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03FB2" w14:textId="159780F6" w:rsidR="00EE08CD" w:rsidRPr="00EE08CD" w:rsidRDefault="003525B4" w:rsidP="00EE08CD">
      <w:pPr>
        <w:spacing w:after="0" w:line="240" w:lineRule="auto"/>
        <w:jc w:val="right"/>
        <w:rPr>
          <w:rFonts w:ascii="Book Antiqua" w:eastAsia="Times New Roman" w:hAnsi="Book Antiqua" w:cs="Book Antiqua"/>
          <w:sz w:val="24"/>
          <w:szCs w:val="24"/>
          <w:lang w:val="pt-BR" w:eastAsia="es-ES"/>
        </w:rPr>
      </w:pPr>
      <w:bookmarkStart w:id="0" w:name="_Hlk51914417"/>
      <w:r>
        <w:rPr>
          <w:rFonts w:ascii="Book Antiqua" w:eastAsia="Times New Roman" w:hAnsi="Book Antiqua" w:cs="Book Antiqua"/>
          <w:sz w:val="24"/>
          <w:szCs w:val="24"/>
          <w:lang w:val="pt-BR" w:eastAsia="es-ES"/>
        </w:rPr>
        <w:t>618</w:t>
      </w:r>
      <w:r w:rsidR="00EE08CD" w:rsidRPr="00EE08CD">
        <w:rPr>
          <w:rFonts w:ascii="Book Antiqua" w:eastAsia="Times New Roman" w:hAnsi="Book Antiqua" w:cs="Book Antiqua"/>
          <w:sz w:val="24"/>
          <w:szCs w:val="24"/>
          <w:lang w:val="pt-BR" w:eastAsia="es-ES"/>
        </w:rPr>
        <w:t>-PLA-</w:t>
      </w:r>
      <w:r w:rsidR="00EE08CD">
        <w:rPr>
          <w:rFonts w:ascii="Book Antiqua" w:eastAsia="Times New Roman" w:hAnsi="Book Antiqua" w:cs="Book Antiqua"/>
          <w:sz w:val="24"/>
          <w:szCs w:val="24"/>
          <w:lang w:val="pt-BR" w:eastAsia="es-ES"/>
        </w:rPr>
        <w:t>PP</w:t>
      </w:r>
      <w:r w:rsidR="00EE08CD" w:rsidRPr="00EE08CD">
        <w:rPr>
          <w:rFonts w:ascii="Book Antiqua" w:eastAsia="Times New Roman" w:hAnsi="Book Antiqua" w:cs="Book Antiqua"/>
          <w:sz w:val="24"/>
          <w:szCs w:val="24"/>
          <w:lang w:val="pt-BR" w:eastAsia="es-ES"/>
        </w:rPr>
        <w:t>-202</w:t>
      </w:r>
      <w:r w:rsidR="004C0488">
        <w:rPr>
          <w:rFonts w:ascii="Book Antiqua" w:eastAsia="Times New Roman" w:hAnsi="Book Antiqua" w:cs="Book Antiqua"/>
          <w:sz w:val="24"/>
          <w:szCs w:val="24"/>
          <w:lang w:val="pt-BR" w:eastAsia="es-ES"/>
        </w:rPr>
        <w:t>3</w:t>
      </w:r>
    </w:p>
    <w:p w14:paraId="0728495D" w14:textId="6370980C" w:rsidR="00EE08CD" w:rsidRPr="00EE08CD" w:rsidRDefault="00EE08CD" w:rsidP="00EE08CD">
      <w:pPr>
        <w:spacing w:after="0" w:line="240" w:lineRule="auto"/>
        <w:jc w:val="right"/>
        <w:rPr>
          <w:rFonts w:ascii="Book Antiqua" w:eastAsia="Times New Roman" w:hAnsi="Book Antiqua" w:cs="Book Antiqua"/>
          <w:sz w:val="24"/>
          <w:szCs w:val="24"/>
          <w:lang w:eastAsia="es-ES"/>
        </w:rPr>
      </w:pPr>
      <w:r w:rsidRPr="00EE08CD">
        <w:rPr>
          <w:rFonts w:ascii="Book Antiqua" w:eastAsia="Times New Roman" w:hAnsi="Book Antiqua" w:cs="Book Antiqua"/>
          <w:sz w:val="24"/>
          <w:szCs w:val="24"/>
          <w:lang w:eastAsia="es-ES"/>
        </w:rPr>
        <w:t>Ref. SICE:</w:t>
      </w:r>
      <w:r w:rsidR="00835126">
        <w:rPr>
          <w:rFonts w:ascii="Book Antiqua" w:eastAsia="Times New Roman" w:hAnsi="Book Antiqua" w:cs="Book Antiqua"/>
          <w:sz w:val="24"/>
          <w:szCs w:val="24"/>
          <w:lang w:eastAsia="es-ES"/>
        </w:rPr>
        <w:t xml:space="preserve"> </w:t>
      </w:r>
      <w:r w:rsidR="00835126" w:rsidRPr="00272485">
        <w:rPr>
          <w:rFonts w:ascii="Book Antiqua" w:eastAsia="Times New Roman" w:hAnsi="Book Antiqua" w:cs="Book Antiqua"/>
          <w:b/>
          <w:bCs/>
          <w:sz w:val="24"/>
          <w:szCs w:val="24"/>
          <w:u w:val="single"/>
          <w:lang w:eastAsia="es-ES"/>
        </w:rPr>
        <w:t>1066</w:t>
      </w:r>
      <w:r w:rsidRPr="00272485">
        <w:rPr>
          <w:rFonts w:ascii="Book Antiqua" w:eastAsia="Times New Roman" w:hAnsi="Book Antiqua" w:cs="Book Antiqua"/>
          <w:b/>
          <w:bCs/>
          <w:sz w:val="24"/>
          <w:szCs w:val="24"/>
          <w:u w:val="single"/>
          <w:lang w:eastAsia="es-ES"/>
        </w:rPr>
        <w:t>-</w:t>
      </w:r>
      <w:r w:rsidR="005B5B60" w:rsidRPr="00272485">
        <w:rPr>
          <w:rFonts w:ascii="Book Antiqua" w:eastAsia="Times New Roman" w:hAnsi="Book Antiqua" w:cs="Book Antiqua"/>
          <w:b/>
          <w:bCs/>
          <w:sz w:val="24"/>
          <w:szCs w:val="24"/>
          <w:u w:val="single"/>
          <w:lang w:eastAsia="es-ES"/>
        </w:rPr>
        <w:t>2023</w:t>
      </w:r>
      <w:r w:rsidR="005B5B60">
        <w:rPr>
          <w:rFonts w:ascii="Book Antiqua" w:eastAsia="Times New Roman" w:hAnsi="Book Antiqua" w:cs="Book Antiqua"/>
          <w:sz w:val="24"/>
          <w:szCs w:val="24"/>
          <w:lang w:eastAsia="es-ES"/>
        </w:rPr>
        <w:t>, 824</w:t>
      </w:r>
      <w:r>
        <w:rPr>
          <w:rFonts w:ascii="Book Antiqua" w:eastAsia="Times New Roman" w:hAnsi="Book Antiqua" w:cs="Book Antiqua"/>
          <w:sz w:val="24"/>
          <w:szCs w:val="24"/>
          <w:lang w:eastAsia="es-ES"/>
        </w:rPr>
        <w:t>-202</w:t>
      </w:r>
      <w:r w:rsidR="004C0488">
        <w:rPr>
          <w:rFonts w:ascii="Book Antiqua" w:eastAsia="Times New Roman" w:hAnsi="Book Antiqua" w:cs="Book Antiqua"/>
          <w:sz w:val="24"/>
          <w:szCs w:val="24"/>
          <w:lang w:eastAsia="es-ES"/>
        </w:rPr>
        <w:t>3</w:t>
      </w:r>
    </w:p>
    <w:p w14:paraId="2F932304" w14:textId="77777777" w:rsidR="00EE08CD" w:rsidRPr="00EE08CD" w:rsidRDefault="00EE08CD" w:rsidP="00EE08CD">
      <w:pPr>
        <w:spacing w:after="0" w:line="240" w:lineRule="auto"/>
        <w:jc w:val="right"/>
        <w:rPr>
          <w:rFonts w:ascii="Book Antiqua" w:eastAsia="Times New Roman" w:hAnsi="Book Antiqua" w:cs="Book Antiqua"/>
          <w:sz w:val="24"/>
          <w:szCs w:val="24"/>
          <w:lang w:val="pt-BR" w:eastAsia="es-ES"/>
        </w:rPr>
      </w:pPr>
    </w:p>
    <w:p w14:paraId="3AB32D11" w14:textId="061F3668" w:rsidR="00EE08CD" w:rsidRPr="00EE08CD" w:rsidRDefault="003525B4" w:rsidP="00EE08CD">
      <w:pPr>
        <w:spacing w:after="0" w:line="240" w:lineRule="auto"/>
        <w:rPr>
          <w:rFonts w:ascii="Book Antiqua" w:eastAsia="Times New Roman" w:hAnsi="Book Antiqua" w:cs="Book Antiqua"/>
          <w:sz w:val="24"/>
          <w:szCs w:val="24"/>
          <w:lang w:val="pt-BR" w:eastAsia="es-ES"/>
        </w:rPr>
      </w:pPr>
      <w:r>
        <w:rPr>
          <w:rFonts w:ascii="Book Antiqua" w:eastAsia="Times New Roman" w:hAnsi="Book Antiqua" w:cs="Book Antiqua"/>
          <w:sz w:val="24"/>
          <w:szCs w:val="24"/>
          <w:lang w:val="pt-BR" w:eastAsia="es-ES"/>
        </w:rPr>
        <w:t xml:space="preserve">27 </w:t>
      </w:r>
      <w:r w:rsidR="00EE08CD">
        <w:rPr>
          <w:rFonts w:ascii="Book Antiqua" w:eastAsia="Times New Roman" w:hAnsi="Book Antiqua" w:cs="Book Antiqua"/>
          <w:sz w:val="24"/>
          <w:szCs w:val="24"/>
          <w:lang w:val="pt-BR" w:eastAsia="es-ES"/>
        </w:rPr>
        <w:t>de junio</w:t>
      </w:r>
      <w:r w:rsidR="00EE08CD" w:rsidRPr="00EE08CD">
        <w:rPr>
          <w:rFonts w:ascii="Book Antiqua" w:eastAsia="Times New Roman" w:hAnsi="Book Antiqua" w:cs="Book Antiqua"/>
          <w:sz w:val="24"/>
          <w:szCs w:val="24"/>
          <w:lang w:val="pt-BR" w:eastAsia="es-ES"/>
        </w:rPr>
        <w:t xml:space="preserve"> de</w:t>
      </w:r>
      <w:r w:rsidR="00EE08CD">
        <w:rPr>
          <w:rFonts w:ascii="Book Antiqua" w:eastAsia="Times New Roman" w:hAnsi="Book Antiqua" w:cs="Book Antiqua"/>
          <w:sz w:val="24"/>
          <w:szCs w:val="24"/>
          <w:lang w:val="pt-BR" w:eastAsia="es-ES"/>
        </w:rPr>
        <w:t>l</w:t>
      </w:r>
      <w:r w:rsidR="00EE08CD" w:rsidRPr="00EE08CD">
        <w:rPr>
          <w:rFonts w:ascii="Book Antiqua" w:eastAsia="Times New Roman" w:hAnsi="Book Antiqua" w:cs="Book Antiqua"/>
          <w:sz w:val="24"/>
          <w:szCs w:val="24"/>
          <w:lang w:val="pt-BR" w:eastAsia="es-ES"/>
        </w:rPr>
        <w:t xml:space="preserve"> 202</w:t>
      </w:r>
      <w:r w:rsidR="004C0488">
        <w:rPr>
          <w:rFonts w:ascii="Book Antiqua" w:eastAsia="Times New Roman" w:hAnsi="Book Antiqua" w:cs="Book Antiqua"/>
          <w:sz w:val="24"/>
          <w:szCs w:val="24"/>
          <w:lang w:val="pt-BR" w:eastAsia="es-ES"/>
        </w:rPr>
        <w:t>3</w:t>
      </w:r>
    </w:p>
    <w:p w14:paraId="27DC6EB8" w14:textId="796F4FB4" w:rsidR="00EE08CD" w:rsidRDefault="00EE08CD" w:rsidP="00EE08CD">
      <w:pPr>
        <w:spacing w:after="0" w:line="240" w:lineRule="auto"/>
        <w:rPr>
          <w:rFonts w:ascii="Book Antiqua" w:eastAsia="Times New Roman" w:hAnsi="Book Antiqua" w:cs="Book Antiqua"/>
          <w:sz w:val="24"/>
          <w:szCs w:val="24"/>
          <w:lang w:val="pt-BR" w:eastAsia="es-ES"/>
        </w:rPr>
      </w:pPr>
    </w:p>
    <w:p w14:paraId="3E51B13D" w14:textId="5F094CF2" w:rsidR="00FD72F6" w:rsidRDefault="00FD72F6" w:rsidP="00EE08CD">
      <w:pPr>
        <w:spacing w:after="0" w:line="240" w:lineRule="auto"/>
        <w:rPr>
          <w:rFonts w:ascii="Book Antiqua" w:eastAsia="Times New Roman" w:hAnsi="Book Antiqua" w:cs="Book Antiqua"/>
          <w:sz w:val="24"/>
          <w:szCs w:val="24"/>
          <w:lang w:val="pt-BR" w:eastAsia="es-ES"/>
        </w:rPr>
      </w:pPr>
    </w:p>
    <w:p w14:paraId="02D9CD50" w14:textId="77777777" w:rsidR="00FD72F6" w:rsidRPr="00EE08CD" w:rsidRDefault="00FD72F6" w:rsidP="00EE08CD">
      <w:pPr>
        <w:spacing w:after="0" w:line="240" w:lineRule="auto"/>
        <w:rPr>
          <w:rFonts w:ascii="Book Antiqua" w:eastAsia="Times New Roman" w:hAnsi="Book Antiqua" w:cs="Book Antiqua"/>
          <w:sz w:val="24"/>
          <w:szCs w:val="24"/>
          <w:lang w:val="pt-BR" w:eastAsia="es-ES"/>
        </w:rPr>
      </w:pPr>
    </w:p>
    <w:p w14:paraId="0EBD2396" w14:textId="77777777" w:rsidR="00EE08CD" w:rsidRPr="00EE08CD" w:rsidRDefault="00EE08CD" w:rsidP="00EE08CD">
      <w:pPr>
        <w:spacing w:after="0" w:line="240" w:lineRule="auto"/>
        <w:rPr>
          <w:rFonts w:ascii="Book Antiqua" w:eastAsia="Times New Roman" w:hAnsi="Book Antiqua" w:cs="Book Antiqua"/>
          <w:sz w:val="24"/>
          <w:szCs w:val="24"/>
          <w:lang w:val="pt-BR" w:eastAsia="es-ES"/>
        </w:rPr>
      </w:pPr>
      <w:r w:rsidRPr="00EE08CD">
        <w:rPr>
          <w:rFonts w:ascii="Book Antiqua" w:eastAsia="Times New Roman" w:hAnsi="Book Antiqua" w:cs="Book Antiqua"/>
          <w:sz w:val="24"/>
          <w:szCs w:val="24"/>
          <w:lang w:val="pt-BR" w:eastAsia="es-ES"/>
        </w:rPr>
        <w:t>Licenciada</w:t>
      </w:r>
    </w:p>
    <w:p w14:paraId="090ADBFB" w14:textId="77777777" w:rsidR="00EE08CD" w:rsidRPr="00EE08CD" w:rsidRDefault="00EE08CD" w:rsidP="00EE08CD">
      <w:pPr>
        <w:spacing w:after="0" w:line="240" w:lineRule="auto"/>
        <w:rPr>
          <w:rFonts w:ascii="Book Antiqua" w:eastAsia="Times New Roman" w:hAnsi="Book Antiqua" w:cs="Book Antiqua"/>
          <w:sz w:val="24"/>
          <w:szCs w:val="24"/>
          <w:lang w:val="pt-BR" w:eastAsia="es-ES"/>
        </w:rPr>
      </w:pPr>
      <w:smartTag w:uri="urn:schemas-microsoft-com:office:smarttags" w:element="PersonName">
        <w:r w:rsidRPr="00EE08CD">
          <w:rPr>
            <w:rFonts w:ascii="Book Antiqua" w:eastAsia="Times New Roman" w:hAnsi="Book Antiqua" w:cs="Book Antiqua"/>
            <w:sz w:val="24"/>
            <w:szCs w:val="24"/>
            <w:lang w:val="pt-BR" w:eastAsia="es-ES"/>
          </w:rPr>
          <w:t>Silvia Navarro Romanini</w:t>
        </w:r>
      </w:smartTag>
      <w:r w:rsidRPr="00EE08CD">
        <w:rPr>
          <w:rFonts w:ascii="Book Antiqua" w:eastAsia="Times New Roman" w:hAnsi="Book Antiqua" w:cs="Book Antiqua"/>
          <w:sz w:val="24"/>
          <w:szCs w:val="24"/>
          <w:lang w:val="pt-BR" w:eastAsia="es-ES"/>
        </w:rPr>
        <w:t xml:space="preserve"> </w:t>
      </w:r>
    </w:p>
    <w:p w14:paraId="00A5DF4A" w14:textId="77777777" w:rsidR="00EE08CD" w:rsidRPr="00EE08CD" w:rsidRDefault="00EE08CD" w:rsidP="00EE08CD">
      <w:pPr>
        <w:spacing w:after="0" w:line="240" w:lineRule="auto"/>
        <w:rPr>
          <w:rFonts w:ascii="Book Antiqua" w:eastAsia="Times New Roman" w:hAnsi="Book Antiqua" w:cs="Book Antiqua"/>
          <w:sz w:val="24"/>
          <w:szCs w:val="24"/>
          <w:lang w:eastAsia="es-ES"/>
        </w:rPr>
      </w:pPr>
      <w:r w:rsidRPr="00EE08CD">
        <w:rPr>
          <w:rFonts w:ascii="Book Antiqua" w:eastAsia="Times New Roman" w:hAnsi="Book Antiqua" w:cs="Book Antiqua"/>
          <w:sz w:val="24"/>
          <w:szCs w:val="24"/>
          <w:lang w:eastAsia="es-ES"/>
        </w:rPr>
        <w:t xml:space="preserve">Secretaría General de </w:t>
      </w:r>
      <w:smartTag w:uri="urn:schemas-microsoft-com:office:smarttags" w:element="PersonName">
        <w:smartTagPr>
          <w:attr w:name="ProductID" w:val="la Corte"/>
        </w:smartTagPr>
        <w:r w:rsidRPr="00EE08CD">
          <w:rPr>
            <w:rFonts w:ascii="Book Antiqua" w:eastAsia="Times New Roman" w:hAnsi="Book Antiqua" w:cs="Book Antiqua"/>
            <w:sz w:val="24"/>
            <w:szCs w:val="24"/>
            <w:lang w:eastAsia="es-ES"/>
          </w:rPr>
          <w:t>la Corte</w:t>
        </w:r>
      </w:smartTag>
    </w:p>
    <w:p w14:paraId="7673C8B6" w14:textId="77777777" w:rsidR="00EE08CD" w:rsidRPr="00EE08CD" w:rsidRDefault="00EE08CD" w:rsidP="00EE08CD">
      <w:pPr>
        <w:spacing w:after="0" w:line="240" w:lineRule="auto"/>
        <w:rPr>
          <w:rFonts w:ascii="Book Antiqua" w:eastAsia="Times New Roman" w:hAnsi="Book Antiqua" w:cs="Arial"/>
          <w:sz w:val="24"/>
          <w:szCs w:val="24"/>
          <w:lang w:eastAsia="es-ES"/>
        </w:rPr>
      </w:pPr>
    </w:p>
    <w:p w14:paraId="52E7DC1D" w14:textId="77777777" w:rsidR="00EE08CD" w:rsidRPr="00EE08CD" w:rsidRDefault="00EE08CD" w:rsidP="00EE08CD">
      <w:pPr>
        <w:spacing w:after="0" w:line="240" w:lineRule="auto"/>
        <w:rPr>
          <w:rFonts w:ascii="Book Antiqua" w:eastAsia="Times New Roman" w:hAnsi="Book Antiqua" w:cs="Book Antiqua"/>
          <w:snapToGrid w:val="0"/>
          <w:sz w:val="24"/>
          <w:szCs w:val="24"/>
          <w:lang w:val="pt-BR" w:eastAsia="es-ES"/>
        </w:rPr>
      </w:pPr>
    </w:p>
    <w:p w14:paraId="23F41C6E" w14:textId="77777777" w:rsidR="00EE08CD" w:rsidRPr="00EE08CD" w:rsidRDefault="00EE08CD" w:rsidP="00EE08CD">
      <w:pPr>
        <w:spacing w:after="0" w:line="240" w:lineRule="auto"/>
        <w:rPr>
          <w:rFonts w:ascii="Book Antiqua" w:eastAsia="Times New Roman" w:hAnsi="Book Antiqua" w:cs="Book Antiqua"/>
          <w:snapToGrid w:val="0"/>
          <w:sz w:val="24"/>
          <w:szCs w:val="24"/>
          <w:lang w:val="pt-BR" w:eastAsia="es-ES"/>
        </w:rPr>
      </w:pPr>
      <w:r w:rsidRPr="00EE08CD">
        <w:rPr>
          <w:rFonts w:ascii="Book Antiqua" w:eastAsia="Times New Roman" w:hAnsi="Book Antiqua" w:cs="Book Antiqua"/>
          <w:snapToGrid w:val="0"/>
          <w:sz w:val="24"/>
          <w:szCs w:val="24"/>
          <w:lang w:val="pt-BR" w:eastAsia="es-ES"/>
        </w:rPr>
        <w:t>Estimada señora:</w:t>
      </w:r>
    </w:p>
    <w:p w14:paraId="66F35DE8" w14:textId="77777777" w:rsidR="00EE08CD" w:rsidRPr="00EE08CD" w:rsidRDefault="00EE08CD" w:rsidP="00EE08CD">
      <w:pPr>
        <w:spacing w:after="0" w:line="240" w:lineRule="auto"/>
        <w:jc w:val="both"/>
        <w:rPr>
          <w:rFonts w:ascii="Book Antiqua" w:eastAsia="Times New Roman" w:hAnsi="Book Antiqua" w:cs="Book Antiqua"/>
          <w:snapToGrid w:val="0"/>
          <w:sz w:val="24"/>
          <w:szCs w:val="24"/>
          <w:lang w:val="pt-BR" w:eastAsia="es-ES"/>
        </w:rPr>
      </w:pPr>
    </w:p>
    <w:p w14:paraId="750CAE33" w14:textId="1AB3D7E1" w:rsidR="00EE08CD" w:rsidRDefault="00EE08CD" w:rsidP="00EE08CD">
      <w:pPr>
        <w:spacing w:after="0" w:line="240" w:lineRule="auto"/>
        <w:ind w:firstLine="708"/>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L</w:t>
      </w:r>
      <w:r w:rsidRPr="00EE08CD">
        <w:rPr>
          <w:rFonts w:ascii="Book Antiqua" w:eastAsia="Times New Roman" w:hAnsi="Book Antiqua" w:cs="Book Antiqua"/>
          <w:sz w:val="24"/>
          <w:szCs w:val="24"/>
          <w:lang w:eastAsia="es-ES"/>
        </w:rPr>
        <w:t xml:space="preserve">e remito el informe suscrito por </w:t>
      </w:r>
      <w:r w:rsidR="007215CA">
        <w:rPr>
          <w:rFonts w:ascii="Book Antiqua" w:eastAsia="Times New Roman" w:hAnsi="Book Antiqua" w:cs="Book Antiqua"/>
          <w:sz w:val="24"/>
          <w:szCs w:val="24"/>
          <w:lang w:eastAsia="es-ES"/>
        </w:rPr>
        <w:t>Lic. Minor Alvarado Chaves</w:t>
      </w:r>
      <w:r w:rsidRPr="00EE08CD">
        <w:rPr>
          <w:rFonts w:ascii="Book Antiqua" w:eastAsia="Times New Roman" w:hAnsi="Book Antiqua" w:cs="Book Antiqua"/>
          <w:sz w:val="24"/>
          <w:szCs w:val="24"/>
          <w:lang w:eastAsia="es-ES"/>
        </w:rPr>
        <w:t xml:space="preserve">, Jefe del Subproceso </w:t>
      </w:r>
      <w:r w:rsidR="007215CA" w:rsidRPr="00EE08CD">
        <w:rPr>
          <w:rFonts w:ascii="Book Antiqua" w:eastAsia="Times New Roman" w:hAnsi="Book Antiqua" w:cs="Book Antiqua"/>
          <w:sz w:val="24"/>
          <w:szCs w:val="24"/>
          <w:lang w:eastAsia="es-ES"/>
        </w:rPr>
        <w:t>de</w:t>
      </w:r>
      <w:r w:rsidR="007215CA">
        <w:rPr>
          <w:rFonts w:ascii="Book Antiqua" w:eastAsia="Times New Roman" w:hAnsi="Book Antiqua" w:cs="Book Antiqua"/>
          <w:sz w:val="24"/>
          <w:szCs w:val="24"/>
          <w:lang w:eastAsia="es-ES"/>
        </w:rPr>
        <w:t xml:space="preserve"> </w:t>
      </w:r>
      <w:r w:rsidR="007215CA" w:rsidRPr="00EE08CD">
        <w:rPr>
          <w:rFonts w:ascii="Book Antiqua" w:eastAsia="Times New Roman" w:hAnsi="Book Antiqua" w:cs="Book Antiqua"/>
          <w:sz w:val="24"/>
          <w:szCs w:val="24"/>
          <w:lang w:eastAsia="es-ES"/>
        </w:rPr>
        <w:t>Formulación</w:t>
      </w:r>
      <w:r w:rsidR="007215CA" w:rsidRPr="007215CA">
        <w:rPr>
          <w:rFonts w:ascii="Book Antiqua" w:eastAsia="Times New Roman" w:hAnsi="Book Antiqua" w:cs="Book Antiqua"/>
          <w:sz w:val="24"/>
          <w:szCs w:val="24"/>
          <w:lang w:eastAsia="es-ES"/>
        </w:rPr>
        <w:t xml:space="preserve"> </w:t>
      </w:r>
      <w:r w:rsidR="007215CA">
        <w:rPr>
          <w:rFonts w:ascii="Book Antiqua" w:eastAsia="Times New Roman" w:hAnsi="Book Antiqua" w:cs="Book Antiqua"/>
          <w:sz w:val="24"/>
          <w:szCs w:val="24"/>
          <w:lang w:eastAsia="es-ES"/>
        </w:rPr>
        <w:t>d</w:t>
      </w:r>
      <w:r w:rsidR="007215CA" w:rsidRPr="007215CA">
        <w:rPr>
          <w:rFonts w:ascii="Book Antiqua" w:eastAsia="Times New Roman" w:hAnsi="Book Antiqua" w:cs="Book Antiqua"/>
          <w:sz w:val="24"/>
          <w:szCs w:val="24"/>
          <w:lang w:eastAsia="es-ES"/>
        </w:rPr>
        <w:t xml:space="preserve">e Presupuesto </w:t>
      </w:r>
      <w:r w:rsidR="007215CA">
        <w:rPr>
          <w:rFonts w:ascii="Book Antiqua" w:eastAsia="Times New Roman" w:hAnsi="Book Antiqua" w:cs="Book Antiqua"/>
          <w:sz w:val="24"/>
          <w:szCs w:val="24"/>
          <w:lang w:eastAsia="es-ES"/>
        </w:rPr>
        <w:t>y</w:t>
      </w:r>
      <w:r w:rsidR="007215CA" w:rsidRPr="007215CA">
        <w:rPr>
          <w:rFonts w:ascii="Book Antiqua" w:eastAsia="Times New Roman" w:hAnsi="Book Antiqua" w:cs="Book Antiqua"/>
          <w:sz w:val="24"/>
          <w:szCs w:val="24"/>
          <w:lang w:eastAsia="es-ES"/>
        </w:rPr>
        <w:t xml:space="preserve"> Portafolio </w:t>
      </w:r>
      <w:r w:rsidR="00FD72F6">
        <w:rPr>
          <w:rFonts w:ascii="Book Antiqua" w:eastAsia="Times New Roman" w:hAnsi="Book Antiqua" w:cs="Book Antiqua"/>
          <w:sz w:val="24"/>
          <w:szCs w:val="24"/>
          <w:lang w:eastAsia="es-ES"/>
        </w:rPr>
        <w:t>d</w:t>
      </w:r>
      <w:r w:rsidR="007215CA" w:rsidRPr="007215CA">
        <w:rPr>
          <w:rFonts w:ascii="Book Antiqua" w:eastAsia="Times New Roman" w:hAnsi="Book Antiqua" w:cs="Book Antiqua"/>
          <w:sz w:val="24"/>
          <w:szCs w:val="24"/>
          <w:lang w:eastAsia="es-ES"/>
        </w:rPr>
        <w:t>e Proyectos Institucional</w:t>
      </w:r>
      <w:r w:rsidR="007215CA">
        <w:rPr>
          <w:rFonts w:ascii="Book Antiqua" w:eastAsia="Times New Roman" w:hAnsi="Book Antiqua" w:cs="Book Antiqua"/>
          <w:sz w:val="24"/>
          <w:szCs w:val="24"/>
          <w:lang w:eastAsia="es-ES"/>
        </w:rPr>
        <w:t xml:space="preserve"> y el Máster Erick Mora Leiva, Jefe del Proceso de Planeación y Evaluación,</w:t>
      </w:r>
      <w:r w:rsidRPr="00EE08CD">
        <w:rPr>
          <w:rFonts w:ascii="Book Antiqua" w:eastAsia="Times New Roman" w:hAnsi="Book Antiqua" w:cs="Book Antiqua"/>
          <w:sz w:val="24"/>
          <w:szCs w:val="24"/>
          <w:lang w:eastAsia="es-ES"/>
        </w:rPr>
        <w:t xml:space="preserve"> relacionado con </w:t>
      </w:r>
      <w:r>
        <w:rPr>
          <w:rFonts w:ascii="Book Antiqua" w:eastAsia="Times New Roman" w:hAnsi="Book Antiqua" w:cs="Book Antiqua"/>
          <w:sz w:val="24"/>
          <w:szCs w:val="24"/>
          <w:lang w:eastAsia="es-ES"/>
        </w:rPr>
        <w:t xml:space="preserve">el </w:t>
      </w:r>
      <w:r w:rsidR="008941B0">
        <w:rPr>
          <w:rFonts w:ascii="Book Antiqua" w:eastAsia="Times New Roman" w:hAnsi="Book Antiqua" w:cs="Book Antiqua"/>
          <w:sz w:val="24"/>
          <w:szCs w:val="24"/>
          <w:lang w:eastAsia="es-ES"/>
        </w:rPr>
        <w:t xml:space="preserve">primer </w:t>
      </w:r>
      <w:r>
        <w:rPr>
          <w:rFonts w:ascii="Book Antiqua" w:eastAsia="Times New Roman" w:hAnsi="Book Antiqua" w:cs="Book Antiqua"/>
          <w:sz w:val="24"/>
          <w:szCs w:val="24"/>
          <w:lang w:eastAsia="es-ES"/>
        </w:rPr>
        <w:t xml:space="preserve">seguimiento </w:t>
      </w:r>
      <w:r w:rsidR="008941B0">
        <w:rPr>
          <w:rFonts w:ascii="Book Antiqua" w:eastAsia="Times New Roman" w:hAnsi="Book Antiqua" w:cs="Book Antiqua"/>
          <w:sz w:val="24"/>
          <w:szCs w:val="24"/>
          <w:lang w:eastAsia="es-ES"/>
        </w:rPr>
        <w:t xml:space="preserve">del 2023 y </w:t>
      </w:r>
      <w:r>
        <w:rPr>
          <w:rFonts w:ascii="Book Antiqua" w:eastAsia="Times New Roman" w:hAnsi="Book Antiqua" w:cs="Book Antiqua"/>
          <w:sz w:val="24"/>
          <w:szCs w:val="24"/>
          <w:lang w:eastAsia="es-ES"/>
        </w:rPr>
        <w:t xml:space="preserve">la </w:t>
      </w:r>
      <w:r w:rsidR="007215CA">
        <w:rPr>
          <w:rFonts w:ascii="Book Antiqua" w:eastAsia="Times New Roman" w:hAnsi="Book Antiqua" w:cs="Book Antiqua"/>
          <w:sz w:val="24"/>
          <w:szCs w:val="24"/>
          <w:lang w:eastAsia="es-ES"/>
        </w:rPr>
        <w:t xml:space="preserve">solicitud de </w:t>
      </w:r>
      <w:r>
        <w:rPr>
          <w:rFonts w:ascii="Book Antiqua" w:eastAsia="Times New Roman" w:hAnsi="Book Antiqua" w:cs="Book Antiqua"/>
          <w:sz w:val="24"/>
          <w:szCs w:val="24"/>
          <w:lang w:eastAsia="es-ES"/>
        </w:rPr>
        <w:t>prórroga de permisos con goce de salario de los proyectos estratégicos</w:t>
      </w:r>
      <w:r w:rsidR="008511CA">
        <w:rPr>
          <w:rFonts w:ascii="Book Antiqua" w:eastAsia="Times New Roman" w:hAnsi="Book Antiqua" w:cs="Book Antiqua"/>
          <w:sz w:val="24"/>
          <w:szCs w:val="24"/>
          <w:lang w:eastAsia="es-ES"/>
        </w:rPr>
        <w:t xml:space="preserve"> a los cuáles se les brinda seguimiento en la Dirección de Planificación </w:t>
      </w:r>
      <w:r w:rsidR="008941B0">
        <w:rPr>
          <w:rFonts w:ascii="Book Antiqua" w:eastAsia="Times New Roman" w:hAnsi="Book Antiqua" w:cs="Book Antiqua"/>
          <w:sz w:val="24"/>
          <w:szCs w:val="24"/>
          <w:lang w:eastAsia="es-ES"/>
        </w:rPr>
        <w:t xml:space="preserve"> y </w:t>
      </w:r>
      <w:r w:rsidR="006B2D20">
        <w:rPr>
          <w:rFonts w:ascii="Book Antiqua" w:eastAsia="Times New Roman" w:hAnsi="Book Antiqua" w:cs="Book Antiqua"/>
          <w:sz w:val="24"/>
          <w:szCs w:val="24"/>
          <w:lang w:eastAsia="es-ES"/>
        </w:rPr>
        <w:t xml:space="preserve">las solicitudes de </w:t>
      </w:r>
      <w:r w:rsidR="008941B0">
        <w:rPr>
          <w:rFonts w:ascii="Book Antiqua" w:eastAsia="Times New Roman" w:hAnsi="Book Antiqua" w:cs="Book Antiqua"/>
          <w:sz w:val="24"/>
          <w:szCs w:val="24"/>
          <w:lang w:eastAsia="es-ES"/>
        </w:rPr>
        <w:t>labores operativas para III trimestre 2023</w:t>
      </w:r>
      <w:r w:rsidR="006B2D20">
        <w:rPr>
          <w:rFonts w:ascii="Book Antiqua" w:eastAsia="Times New Roman" w:hAnsi="Book Antiqua" w:cs="Book Antiqua"/>
          <w:sz w:val="24"/>
          <w:szCs w:val="24"/>
          <w:lang w:eastAsia="es-ES"/>
        </w:rPr>
        <w:t xml:space="preserve"> a cargo de las jefaturas de cada oficina solicitante</w:t>
      </w:r>
      <w:r>
        <w:rPr>
          <w:rFonts w:ascii="Book Antiqua" w:eastAsia="Times New Roman" w:hAnsi="Book Antiqua" w:cs="Book Antiqua"/>
          <w:sz w:val="24"/>
          <w:szCs w:val="24"/>
          <w:lang w:eastAsia="es-ES"/>
        </w:rPr>
        <w:t>.</w:t>
      </w:r>
      <w:r w:rsidR="00D27887">
        <w:rPr>
          <w:rFonts w:ascii="Book Antiqua" w:eastAsia="Times New Roman" w:hAnsi="Book Antiqua" w:cs="Book Antiqua"/>
          <w:sz w:val="24"/>
          <w:szCs w:val="24"/>
          <w:lang w:eastAsia="es-ES"/>
        </w:rPr>
        <w:t xml:space="preserve"> </w:t>
      </w:r>
    </w:p>
    <w:p w14:paraId="6434C6A5" w14:textId="77777777" w:rsidR="00425798" w:rsidRDefault="00425798" w:rsidP="00EE08CD">
      <w:pPr>
        <w:spacing w:after="0" w:line="240" w:lineRule="auto"/>
        <w:ind w:firstLine="708"/>
        <w:jc w:val="both"/>
        <w:rPr>
          <w:rFonts w:ascii="Book Antiqua" w:eastAsia="Times New Roman" w:hAnsi="Book Antiqua" w:cs="Book Antiqua"/>
          <w:sz w:val="24"/>
          <w:szCs w:val="24"/>
          <w:lang w:eastAsia="es-ES"/>
        </w:rPr>
      </w:pPr>
    </w:p>
    <w:p w14:paraId="7774A899" w14:textId="03E287BE" w:rsidR="00D27887" w:rsidRDefault="00D27887" w:rsidP="00EE08CD">
      <w:pPr>
        <w:spacing w:after="0" w:line="240" w:lineRule="auto"/>
        <w:ind w:firstLine="708"/>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Es importante señalar, que la fecha máxima de presentación era el pasado 23 de junio al Consejo Superior</w:t>
      </w:r>
      <w:r w:rsidR="00FD72F6">
        <w:rPr>
          <w:rFonts w:ascii="Book Antiqua" w:eastAsia="Times New Roman" w:hAnsi="Book Antiqua" w:cs="Book Antiqua"/>
          <w:sz w:val="24"/>
          <w:szCs w:val="24"/>
          <w:lang w:eastAsia="es-ES"/>
        </w:rPr>
        <w:t>;</w:t>
      </w:r>
      <w:r>
        <w:rPr>
          <w:rFonts w:ascii="Book Antiqua" w:eastAsia="Times New Roman" w:hAnsi="Book Antiqua" w:cs="Book Antiqua"/>
          <w:sz w:val="24"/>
          <w:szCs w:val="24"/>
          <w:lang w:eastAsia="es-ES"/>
        </w:rPr>
        <w:t xml:space="preserve"> sin embargo, las múltiples consultas de aclaración a las oficinas solicitantes, reviste un trabajo sumamente laborioso</w:t>
      </w:r>
      <w:r w:rsidR="00235C1A">
        <w:rPr>
          <w:rFonts w:ascii="Book Antiqua" w:eastAsia="Times New Roman" w:hAnsi="Book Antiqua" w:cs="Book Antiqua"/>
          <w:sz w:val="24"/>
          <w:szCs w:val="24"/>
          <w:lang w:eastAsia="es-ES"/>
        </w:rPr>
        <w:t>, siendo necesario también dar tiempo para la respuesta a las oficinas que presenten la respectiva información de actualización y respaldo.</w:t>
      </w:r>
    </w:p>
    <w:p w14:paraId="73FC8EA0" w14:textId="77777777" w:rsidR="00D27887" w:rsidRDefault="00D27887" w:rsidP="00EE08CD">
      <w:pPr>
        <w:spacing w:after="0" w:line="240" w:lineRule="auto"/>
        <w:ind w:firstLine="708"/>
        <w:jc w:val="both"/>
        <w:rPr>
          <w:rFonts w:ascii="Book Antiqua" w:eastAsia="Times New Roman" w:hAnsi="Book Antiqua" w:cs="Book Antiqua"/>
          <w:sz w:val="24"/>
          <w:szCs w:val="24"/>
          <w:lang w:eastAsia="es-ES"/>
        </w:rPr>
      </w:pPr>
    </w:p>
    <w:tbl>
      <w:tblPr>
        <w:tblStyle w:val="Tablaconcuadrcula"/>
        <w:tblW w:w="10191" w:type="dxa"/>
        <w:tblInd w:w="-289" w:type="dxa"/>
        <w:tblLook w:val="04A0" w:firstRow="1" w:lastRow="0" w:firstColumn="1" w:lastColumn="0" w:noHBand="0" w:noVBand="1"/>
      </w:tblPr>
      <w:tblGrid>
        <w:gridCol w:w="616"/>
        <w:gridCol w:w="1688"/>
        <w:gridCol w:w="1399"/>
        <w:gridCol w:w="1836"/>
        <w:gridCol w:w="1835"/>
        <w:gridCol w:w="2817"/>
      </w:tblGrid>
      <w:tr w:rsidR="00D27887" w:rsidRPr="008F2C56" w14:paraId="22D197F0" w14:textId="77777777" w:rsidTr="008E2BEE">
        <w:trPr>
          <w:trHeight w:val="913"/>
        </w:trPr>
        <w:tc>
          <w:tcPr>
            <w:tcW w:w="616" w:type="dxa"/>
            <w:shd w:val="clear" w:color="auto" w:fill="F2F2F2" w:themeFill="background1" w:themeFillShade="F2"/>
            <w:vAlign w:val="center"/>
          </w:tcPr>
          <w:p w14:paraId="3AFE2D50" w14:textId="77777777" w:rsidR="00D27887" w:rsidRPr="008F2C56" w:rsidRDefault="00D27887" w:rsidP="008E2BEE">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Año</w:t>
            </w:r>
          </w:p>
        </w:tc>
        <w:tc>
          <w:tcPr>
            <w:tcW w:w="1688" w:type="dxa"/>
            <w:shd w:val="clear" w:color="auto" w:fill="F2F2F2" w:themeFill="background1" w:themeFillShade="F2"/>
            <w:vAlign w:val="center"/>
          </w:tcPr>
          <w:p w14:paraId="441D28A2" w14:textId="77777777" w:rsidR="00D27887" w:rsidRPr="008F2C56" w:rsidRDefault="00D27887" w:rsidP="008E2BEE">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Informe</w:t>
            </w:r>
          </w:p>
        </w:tc>
        <w:tc>
          <w:tcPr>
            <w:tcW w:w="1399" w:type="dxa"/>
            <w:shd w:val="clear" w:color="auto" w:fill="F2F2F2" w:themeFill="background1" w:themeFillShade="F2"/>
            <w:vAlign w:val="center"/>
          </w:tcPr>
          <w:p w14:paraId="2DACAF23" w14:textId="77777777" w:rsidR="00D27887" w:rsidRPr="008F2C56" w:rsidRDefault="00D27887" w:rsidP="008E2BEE">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Fecha de corte</w:t>
            </w:r>
          </w:p>
        </w:tc>
        <w:tc>
          <w:tcPr>
            <w:tcW w:w="1836" w:type="dxa"/>
            <w:shd w:val="clear" w:color="auto" w:fill="F2F2F2" w:themeFill="background1" w:themeFillShade="F2"/>
            <w:vAlign w:val="center"/>
          </w:tcPr>
          <w:p w14:paraId="54C794DA" w14:textId="77777777" w:rsidR="00D27887" w:rsidRPr="008F2C56" w:rsidRDefault="00D27887" w:rsidP="008E2BEE">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Fecha máxima incorporación al sitio del proyecto</w:t>
            </w:r>
          </w:p>
        </w:tc>
        <w:tc>
          <w:tcPr>
            <w:tcW w:w="1835" w:type="dxa"/>
            <w:shd w:val="clear" w:color="auto" w:fill="F2F2F2" w:themeFill="background1" w:themeFillShade="F2"/>
            <w:vAlign w:val="center"/>
          </w:tcPr>
          <w:p w14:paraId="07A63F73" w14:textId="77777777" w:rsidR="00D27887" w:rsidRPr="008F2C56" w:rsidRDefault="00D27887" w:rsidP="008E2BEE">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Fecha prevista de presentación al Consejo Superior</w:t>
            </w:r>
          </w:p>
        </w:tc>
        <w:tc>
          <w:tcPr>
            <w:tcW w:w="2817" w:type="dxa"/>
            <w:shd w:val="clear" w:color="auto" w:fill="F2F2F2" w:themeFill="background1" w:themeFillShade="F2"/>
            <w:vAlign w:val="center"/>
          </w:tcPr>
          <w:p w14:paraId="0FDCC080" w14:textId="77777777" w:rsidR="00D27887" w:rsidRPr="008F2C56" w:rsidRDefault="00D27887" w:rsidP="008E2BEE">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Observaciones</w:t>
            </w:r>
          </w:p>
        </w:tc>
      </w:tr>
      <w:tr w:rsidR="00D27887" w:rsidRPr="008F2C56" w14:paraId="2982B9A0" w14:textId="77777777" w:rsidTr="008E2BEE">
        <w:trPr>
          <w:trHeight w:val="566"/>
        </w:trPr>
        <w:tc>
          <w:tcPr>
            <w:tcW w:w="616" w:type="dxa"/>
            <w:vMerge w:val="restart"/>
            <w:vAlign w:val="center"/>
          </w:tcPr>
          <w:p w14:paraId="5DBE96D2" w14:textId="77777777" w:rsidR="00D27887" w:rsidRPr="008F2C56" w:rsidRDefault="00D27887" w:rsidP="008E2BEE">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2023</w:t>
            </w:r>
          </w:p>
        </w:tc>
        <w:tc>
          <w:tcPr>
            <w:tcW w:w="1688" w:type="dxa"/>
            <w:vAlign w:val="center"/>
          </w:tcPr>
          <w:p w14:paraId="73ACDED0" w14:textId="77777777" w:rsidR="00D27887" w:rsidRPr="008F2C56" w:rsidRDefault="00D27887" w:rsidP="008E2BEE">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I Avance 2023</w:t>
            </w:r>
          </w:p>
        </w:tc>
        <w:tc>
          <w:tcPr>
            <w:tcW w:w="1399" w:type="dxa"/>
            <w:vAlign w:val="center"/>
          </w:tcPr>
          <w:p w14:paraId="49ECBA50" w14:textId="77777777" w:rsidR="00D27887" w:rsidRPr="008F2C56" w:rsidRDefault="00D27887" w:rsidP="008E2BEE">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28 abril 2023</w:t>
            </w:r>
          </w:p>
        </w:tc>
        <w:tc>
          <w:tcPr>
            <w:tcW w:w="1836" w:type="dxa"/>
            <w:vAlign w:val="center"/>
          </w:tcPr>
          <w:p w14:paraId="19B46682" w14:textId="77777777" w:rsidR="00D27887" w:rsidRPr="008F2C56" w:rsidRDefault="00D27887" w:rsidP="008E2BEE">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5 de mayo 2023</w:t>
            </w:r>
          </w:p>
        </w:tc>
        <w:tc>
          <w:tcPr>
            <w:tcW w:w="1835" w:type="dxa"/>
            <w:vAlign w:val="center"/>
          </w:tcPr>
          <w:p w14:paraId="38CD3BBB" w14:textId="77777777" w:rsidR="00D27887" w:rsidRPr="008F2C56" w:rsidRDefault="00D27887" w:rsidP="008E2BEE">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23 junio 2023</w:t>
            </w:r>
          </w:p>
        </w:tc>
        <w:tc>
          <w:tcPr>
            <w:tcW w:w="2817" w:type="dxa"/>
            <w:vAlign w:val="center"/>
          </w:tcPr>
          <w:p w14:paraId="347938BF" w14:textId="77777777" w:rsidR="00D27887" w:rsidRPr="008F2C56" w:rsidRDefault="00D27887" w:rsidP="008E2BEE">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Considera la prórroga de los PCGS para el III Trimestre 2023</w:t>
            </w:r>
          </w:p>
        </w:tc>
      </w:tr>
      <w:tr w:rsidR="00D27887" w:rsidRPr="008F2C56" w14:paraId="2AF27663" w14:textId="77777777" w:rsidTr="008E2BEE">
        <w:trPr>
          <w:trHeight w:val="566"/>
        </w:trPr>
        <w:tc>
          <w:tcPr>
            <w:tcW w:w="616" w:type="dxa"/>
            <w:vMerge/>
            <w:vAlign w:val="center"/>
          </w:tcPr>
          <w:p w14:paraId="1717F87C" w14:textId="77777777" w:rsidR="00D27887" w:rsidRPr="008F2C56" w:rsidRDefault="00D27887" w:rsidP="008E2BEE">
            <w:pPr>
              <w:autoSpaceDE w:val="0"/>
              <w:autoSpaceDN w:val="0"/>
              <w:adjustRightInd w:val="0"/>
              <w:rPr>
                <w:rFonts w:ascii="Book Antiqua" w:hAnsi="Book Antiqua" w:cs="Arial"/>
                <w:color w:val="000000"/>
                <w:sz w:val="20"/>
                <w:szCs w:val="20"/>
                <w:lang w:eastAsia="es-CR"/>
              </w:rPr>
            </w:pPr>
          </w:p>
        </w:tc>
        <w:tc>
          <w:tcPr>
            <w:tcW w:w="1688" w:type="dxa"/>
            <w:vAlign w:val="center"/>
          </w:tcPr>
          <w:p w14:paraId="0DA459DB" w14:textId="77777777" w:rsidR="00D27887" w:rsidRPr="008F2C56" w:rsidRDefault="00D27887" w:rsidP="008E2BEE">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II Avance 2023</w:t>
            </w:r>
          </w:p>
        </w:tc>
        <w:tc>
          <w:tcPr>
            <w:tcW w:w="1399" w:type="dxa"/>
            <w:vAlign w:val="center"/>
          </w:tcPr>
          <w:p w14:paraId="7517F1DC" w14:textId="77777777" w:rsidR="00D27887" w:rsidRPr="008F2C56" w:rsidRDefault="00D27887" w:rsidP="008E2BEE">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29 setiembre 2023</w:t>
            </w:r>
          </w:p>
        </w:tc>
        <w:tc>
          <w:tcPr>
            <w:tcW w:w="1836" w:type="dxa"/>
            <w:vAlign w:val="center"/>
          </w:tcPr>
          <w:p w14:paraId="32A673D1" w14:textId="77777777" w:rsidR="00D27887" w:rsidRPr="008F2C56" w:rsidRDefault="00D27887" w:rsidP="008E2BEE">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6 de octubre 2023</w:t>
            </w:r>
          </w:p>
        </w:tc>
        <w:tc>
          <w:tcPr>
            <w:tcW w:w="1835" w:type="dxa"/>
            <w:vAlign w:val="center"/>
          </w:tcPr>
          <w:p w14:paraId="36B5EC2C" w14:textId="77777777" w:rsidR="00D27887" w:rsidRPr="008F2C56" w:rsidRDefault="00D27887" w:rsidP="008E2BEE">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themeColor="text1"/>
                <w:sz w:val="20"/>
                <w:szCs w:val="20"/>
                <w:lang w:eastAsia="es-CR"/>
              </w:rPr>
              <w:t>4 diciembre 2023</w:t>
            </w:r>
          </w:p>
        </w:tc>
        <w:tc>
          <w:tcPr>
            <w:tcW w:w="2817" w:type="dxa"/>
            <w:vAlign w:val="center"/>
          </w:tcPr>
          <w:p w14:paraId="7C322641" w14:textId="77777777" w:rsidR="00D27887" w:rsidRPr="008F2C56" w:rsidRDefault="00D27887" w:rsidP="008E2BEE">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Considera la prórroga de los PCGS para el I Trimestre 2024</w:t>
            </w:r>
          </w:p>
        </w:tc>
      </w:tr>
    </w:tbl>
    <w:p w14:paraId="02378B42" w14:textId="11D671F7" w:rsidR="00FD72F6" w:rsidRDefault="00FD72F6" w:rsidP="00EE08CD">
      <w:pPr>
        <w:spacing w:after="0" w:line="240" w:lineRule="auto"/>
        <w:ind w:firstLine="708"/>
        <w:jc w:val="both"/>
        <w:rPr>
          <w:rFonts w:ascii="Book Antiqua" w:eastAsia="Times New Roman" w:hAnsi="Book Antiqua" w:cs="Book Antiqua"/>
          <w:sz w:val="24"/>
          <w:szCs w:val="24"/>
          <w:lang w:eastAsia="es-ES"/>
        </w:rPr>
      </w:pPr>
    </w:p>
    <w:p w14:paraId="6ADEC4D7" w14:textId="77777777" w:rsidR="00FD72F6" w:rsidRDefault="00FD72F6">
      <w:pPr>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br w:type="page"/>
      </w:r>
    </w:p>
    <w:p w14:paraId="1B406E5C" w14:textId="77777777" w:rsidR="00D27887" w:rsidRPr="00EE08CD" w:rsidRDefault="00D27887" w:rsidP="00EE08CD">
      <w:pPr>
        <w:spacing w:after="0" w:line="240" w:lineRule="auto"/>
        <w:ind w:firstLine="708"/>
        <w:jc w:val="both"/>
        <w:rPr>
          <w:rFonts w:ascii="Book Antiqua" w:eastAsia="Times New Roman" w:hAnsi="Book Antiqua" w:cs="Book Antiqua"/>
          <w:sz w:val="24"/>
          <w:szCs w:val="24"/>
          <w:lang w:eastAsia="es-ES"/>
        </w:rPr>
      </w:pPr>
    </w:p>
    <w:p w14:paraId="1787C864" w14:textId="77777777" w:rsidR="00EE08CD" w:rsidRPr="00EE08CD" w:rsidRDefault="00EE08CD" w:rsidP="00EE08CD">
      <w:pPr>
        <w:widowControl w:val="0"/>
        <w:spacing w:after="0" w:line="240" w:lineRule="auto"/>
        <w:rPr>
          <w:rFonts w:ascii="Book Antiqua" w:eastAsia="Times New Roman" w:hAnsi="Book Antiqua" w:cs="Book Antiqua"/>
          <w:snapToGrid w:val="0"/>
          <w:sz w:val="24"/>
          <w:szCs w:val="24"/>
          <w:lang w:val="pt-BR" w:eastAsia="es-ES"/>
        </w:rPr>
      </w:pPr>
      <w:r w:rsidRPr="00EE08CD">
        <w:rPr>
          <w:rFonts w:ascii="Book Antiqua" w:eastAsia="Times New Roman" w:hAnsi="Book Antiqua" w:cs="Book Antiqua"/>
          <w:snapToGrid w:val="0"/>
          <w:sz w:val="24"/>
          <w:szCs w:val="24"/>
          <w:lang w:val="pt-BR" w:eastAsia="es-ES"/>
        </w:rPr>
        <w:t>Atentamente,</w:t>
      </w:r>
    </w:p>
    <w:p w14:paraId="4F1F5B7A" w14:textId="7F3265D3" w:rsidR="00EE08CD" w:rsidRDefault="00EE08CD" w:rsidP="00EE08CD">
      <w:pPr>
        <w:widowControl w:val="0"/>
        <w:spacing w:after="0" w:line="240" w:lineRule="auto"/>
        <w:jc w:val="center"/>
        <w:rPr>
          <w:rFonts w:ascii="Book Antiqua" w:eastAsia="Times New Roman" w:hAnsi="Book Antiqua" w:cs="Book Antiqua"/>
          <w:b/>
          <w:bCs/>
          <w:snapToGrid w:val="0"/>
          <w:sz w:val="24"/>
          <w:szCs w:val="24"/>
          <w:lang w:val="pt-BR" w:eastAsia="es-ES"/>
        </w:rPr>
      </w:pPr>
    </w:p>
    <w:p w14:paraId="4B793FAB" w14:textId="058C723E" w:rsidR="00FD72F6" w:rsidRDefault="00FD72F6" w:rsidP="00EE08CD">
      <w:pPr>
        <w:widowControl w:val="0"/>
        <w:spacing w:after="0" w:line="240" w:lineRule="auto"/>
        <w:jc w:val="center"/>
        <w:rPr>
          <w:rFonts w:ascii="Book Antiqua" w:eastAsia="Times New Roman" w:hAnsi="Book Antiqua" w:cs="Book Antiqua"/>
          <w:b/>
          <w:bCs/>
          <w:snapToGrid w:val="0"/>
          <w:sz w:val="24"/>
          <w:szCs w:val="24"/>
          <w:lang w:val="pt-BR" w:eastAsia="es-ES"/>
        </w:rPr>
      </w:pPr>
    </w:p>
    <w:p w14:paraId="7807764F" w14:textId="77777777" w:rsidR="00FD72F6" w:rsidRPr="00EE08CD" w:rsidRDefault="00FD72F6" w:rsidP="00EE08CD">
      <w:pPr>
        <w:widowControl w:val="0"/>
        <w:spacing w:after="0" w:line="240" w:lineRule="auto"/>
        <w:jc w:val="center"/>
        <w:rPr>
          <w:rFonts w:ascii="Book Antiqua" w:eastAsia="Times New Roman" w:hAnsi="Book Antiqua" w:cs="Book Antiqua"/>
          <w:b/>
          <w:bCs/>
          <w:snapToGrid w:val="0"/>
          <w:sz w:val="24"/>
          <w:szCs w:val="24"/>
          <w:lang w:val="pt-BR" w:eastAsia="es-ES"/>
        </w:rPr>
      </w:pPr>
    </w:p>
    <w:p w14:paraId="30706F95" w14:textId="69F63610" w:rsidR="004808A6" w:rsidRPr="004808A6" w:rsidRDefault="004808A6" w:rsidP="007215CA">
      <w:pPr>
        <w:spacing w:after="0" w:line="240" w:lineRule="auto"/>
        <w:rPr>
          <w:rFonts w:ascii="Book Antiqua" w:eastAsia="Times New Roman" w:hAnsi="Book Antiqua" w:cs="Book Antiqua"/>
          <w:snapToGrid w:val="0"/>
          <w:sz w:val="24"/>
          <w:szCs w:val="24"/>
          <w:lang w:val="pt-BR" w:eastAsia="es-ES"/>
        </w:rPr>
      </w:pPr>
      <w:r w:rsidRPr="004808A6">
        <w:rPr>
          <w:rFonts w:ascii="Book Antiqua" w:eastAsia="Times New Roman" w:hAnsi="Book Antiqua" w:cs="Book Antiqua"/>
          <w:snapToGrid w:val="0"/>
          <w:sz w:val="24"/>
          <w:szCs w:val="24"/>
          <w:lang w:val="pt-BR" w:eastAsia="es-ES"/>
        </w:rPr>
        <w:t>Licda. Nacira Valverde Berm</w:t>
      </w:r>
      <w:r w:rsidR="00FD72F6">
        <w:rPr>
          <w:rFonts w:ascii="Book Antiqua" w:eastAsia="Times New Roman" w:hAnsi="Book Antiqua" w:cs="Book Antiqua"/>
          <w:snapToGrid w:val="0"/>
          <w:sz w:val="24"/>
          <w:szCs w:val="24"/>
          <w:lang w:val="pt-BR" w:eastAsia="es-ES"/>
        </w:rPr>
        <w:t>ú</w:t>
      </w:r>
      <w:r w:rsidRPr="004808A6">
        <w:rPr>
          <w:rFonts w:ascii="Book Antiqua" w:eastAsia="Times New Roman" w:hAnsi="Book Antiqua" w:cs="Book Antiqua"/>
          <w:snapToGrid w:val="0"/>
          <w:sz w:val="24"/>
          <w:szCs w:val="24"/>
          <w:lang w:val="pt-BR" w:eastAsia="es-ES"/>
        </w:rPr>
        <w:t>dez</w:t>
      </w:r>
    </w:p>
    <w:p w14:paraId="33BF5340" w14:textId="44C1BC5E" w:rsidR="004C0488" w:rsidRPr="005242D1" w:rsidRDefault="007215CA" w:rsidP="00BE58A8">
      <w:pPr>
        <w:spacing w:after="0" w:line="240" w:lineRule="auto"/>
        <w:rPr>
          <w:rFonts w:ascii="Book Antiqua" w:eastAsia="Times New Roman" w:hAnsi="Book Antiqua" w:cs="Book Antiqua"/>
          <w:sz w:val="24"/>
          <w:szCs w:val="24"/>
          <w:lang w:eastAsia="es-ES"/>
        </w:rPr>
      </w:pPr>
      <w:r w:rsidRPr="005242D1">
        <w:rPr>
          <w:rFonts w:ascii="Book Antiqua" w:eastAsia="Times New Roman" w:hAnsi="Book Antiqua" w:cs="Book Antiqua"/>
          <w:snapToGrid w:val="0"/>
          <w:sz w:val="24"/>
          <w:szCs w:val="24"/>
          <w:lang w:val="pt-BR" w:eastAsia="es-ES"/>
        </w:rPr>
        <w:t>Directo</w:t>
      </w:r>
      <w:r w:rsidR="004808A6" w:rsidRPr="005242D1">
        <w:rPr>
          <w:rFonts w:ascii="Book Antiqua" w:eastAsia="Times New Roman" w:hAnsi="Book Antiqua" w:cs="Book Antiqua"/>
          <w:snapToGrid w:val="0"/>
          <w:sz w:val="24"/>
          <w:szCs w:val="24"/>
          <w:lang w:val="pt-BR" w:eastAsia="es-ES"/>
        </w:rPr>
        <w:t>ra</w:t>
      </w:r>
      <w:r w:rsidRPr="005242D1">
        <w:rPr>
          <w:rFonts w:ascii="Book Antiqua" w:eastAsia="Times New Roman" w:hAnsi="Book Antiqua" w:cs="Book Antiqua"/>
          <w:snapToGrid w:val="0"/>
          <w:sz w:val="24"/>
          <w:szCs w:val="24"/>
          <w:lang w:val="pt-BR" w:eastAsia="es-ES"/>
        </w:rPr>
        <w:t xml:space="preserve"> </w:t>
      </w:r>
      <w:r w:rsidR="00FD72F6" w:rsidRPr="005242D1">
        <w:rPr>
          <w:rFonts w:ascii="Book Antiqua" w:eastAsia="Times New Roman" w:hAnsi="Book Antiqua" w:cs="Book Antiqua"/>
          <w:snapToGrid w:val="0"/>
          <w:sz w:val="24"/>
          <w:szCs w:val="24"/>
          <w:lang w:val="pt-BR" w:eastAsia="es-ES"/>
        </w:rPr>
        <w:t xml:space="preserve">a.i. </w:t>
      </w:r>
      <w:r w:rsidRPr="005242D1">
        <w:rPr>
          <w:rFonts w:ascii="Book Antiqua" w:eastAsia="Times New Roman" w:hAnsi="Book Antiqua" w:cs="Book Antiqua"/>
          <w:snapToGrid w:val="0"/>
          <w:sz w:val="24"/>
          <w:szCs w:val="24"/>
          <w:lang w:val="pt-BR" w:eastAsia="es-ES"/>
        </w:rPr>
        <w:t>de Planificación</w:t>
      </w:r>
    </w:p>
    <w:p w14:paraId="152BFFA7" w14:textId="4D696B31" w:rsidR="004C0488" w:rsidRPr="005242D1" w:rsidRDefault="004C0488" w:rsidP="00BE58A8">
      <w:pPr>
        <w:spacing w:after="0" w:line="240" w:lineRule="auto"/>
        <w:rPr>
          <w:rFonts w:ascii="Book Antiqua" w:eastAsia="Times New Roman" w:hAnsi="Book Antiqua" w:cs="Book Antiqua"/>
          <w:sz w:val="24"/>
          <w:szCs w:val="24"/>
          <w:lang w:eastAsia="es-ES"/>
        </w:rPr>
      </w:pPr>
    </w:p>
    <w:p w14:paraId="604207B9" w14:textId="77777777" w:rsidR="00FD72F6" w:rsidRPr="005242D1" w:rsidRDefault="00FD72F6" w:rsidP="00BE58A8">
      <w:pPr>
        <w:spacing w:after="0" w:line="240" w:lineRule="auto"/>
        <w:rPr>
          <w:rFonts w:ascii="Book Antiqua" w:eastAsia="Times New Roman" w:hAnsi="Book Antiqua" w:cs="Book Antiqua"/>
          <w:sz w:val="24"/>
          <w:szCs w:val="24"/>
          <w:lang w:eastAsia="es-ES"/>
        </w:rPr>
      </w:pPr>
    </w:p>
    <w:p w14:paraId="1ABA3AB7" w14:textId="77777777" w:rsidR="004F5F1C" w:rsidRPr="005242D1" w:rsidRDefault="004F5F1C" w:rsidP="00BE58A8">
      <w:pPr>
        <w:spacing w:after="0" w:line="240" w:lineRule="auto"/>
        <w:rPr>
          <w:rFonts w:ascii="Book Antiqua" w:eastAsia="Times New Roman" w:hAnsi="Book Antiqua" w:cs="Book Antiqua"/>
          <w:sz w:val="24"/>
          <w:szCs w:val="24"/>
          <w:lang w:eastAsia="es-ES"/>
        </w:rPr>
      </w:pPr>
      <w:r w:rsidRPr="005242D1">
        <w:rPr>
          <w:rFonts w:ascii="Book Antiqua" w:eastAsia="Times New Roman" w:hAnsi="Book Antiqua" w:cs="Book Antiqua"/>
          <w:sz w:val="24"/>
          <w:szCs w:val="24"/>
          <w:lang w:eastAsia="es-ES"/>
        </w:rPr>
        <w:t>Copias:</w:t>
      </w:r>
    </w:p>
    <w:p w14:paraId="2C59F653" w14:textId="2478486E" w:rsidR="004F5F1C" w:rsidRPr="005242D1" w:rsidRDefault="005242D1" w:rsidP="005242D1">
      <w:pPr>
        <w:pStyle w:val="Prrafodelista"/>
        <w:numPr>
          <w:ilvl w:val="0"/>
          <w:numId w:val="76"/>
        </w:numPr>
        <w:spacing w:after="0" w:line="240" w:lineRule="auto"/>
        <w:ind w:hanging="720"/>
        <w:rPr>
          <w:rFonts w:ascii="Book Antiqua" w:eastAsia="Times New Roman" w:hAnsi="Book Antiqua" w:cs="Book Antiqua"/>
          <w:sz w:val="24"/>
          <w:szCs w:val="24"/>
          <w:lang w:eastAsia="es-ES"/>
        </w:rPr>
      </w:pPr>
      <w:r w:rsidRPr="005242D1">
        <w:rPr>
          <w:rFonts w:ascii="Book Antiqua" w:eastAsia="Times New Roman" w:hAnsi="Book Antiqua" w:cs="Book Antiqua"/>
          <w:b/>
          <w:bCs/>
          <w:sz w:val="24"/>
          <w:szCs w:val="24"/>
          <w:u w:val="single"/>
          <w:lang w:eastAsia="es-ES"/>
        </w:rPr>
        <w:t>Integrantes Consejo Superior</w:t>
      </w:r>
      <w:r w:rsidRPr="005242D1">
        <w:rPr>
          <w:rFonts w:ascii="Book Antiqua" w:eastAsia="Times New Roman" w:hAnsi="Book Antiqua" w:cs="Book Antiqua"/>
          <w:sz w:val="24"/>
          <w:szCs w:val="24"/>
          <w:lang w:eastAsia="es-ES"/>
        </w:rPr>
        <w:t>:</w:t>
      </w:r>
    </w:p>
    <w:p w14:paraId="545CC91A" w14:textId="696DE208" w:rsidR="006A5BC9" w:rsidRDefault="006A5BC9" w:rsidP="005242D1">
      <w:pPr>
        <w:pStyle w:val="Prrafodelista"/>
        <w:numPr>
          <w:ilvl w:val="0"/>
          <w:numId w:val="77"/>
        </w:numPr>
        <w:spacing w:after="0" w:line="240" w:lineRule="auto"/>
        <w:ind w:firstLine="273"/>
        <w:rPr>
          <w:rStyle w:val="ui-provider"/>
          <w:rFonts w:ascii="Book Antiqua" w:hAnsi="Book Antiqua"/>
          <w:sz w:val="24"/>
          <w:szCs w:val="24"/>
        </w:rPr>
      </w:pPr>
      <w:r>
        <w:rPr>
          <w:rStyle w:val="ui-provider"/>
          <w:rFonts w:ascii="Book Antiqua" w:hAnsi="Book Antiqua"/>
          <w:sz w:val="24"/>
          <w:szCs w:val="24"/>
        </w:rPr>
        <w:t>Lic. Orlando Aguirre Gómez; Presidente</w:t>
      </w:r>
    </w:p>
    <w:p w14:paraId="4ECB3C4F" w14:textId="61BABFCB" w:rsidR="005242D1" w:rsidRPr="005242D1" w:rsidRDefault="000A40C6" w:rsidP="005242D1">
      <w:pPr>
        <w:pStyle w:val="Prrafodelista"/>
        <w:numPr>
          <w:ilvl w:val="0"/>
          <w:numId w:val="77"/>
        </w:numPr>
        <w:spacing w:after="0" w:line="240" w:lineRule="auto"/>
        <w:ind w:firstLine="273"/>
        <w:rPr>
          <w:rStyle w:val="ui-provider"/>
          <w:rFonts w:ascii="Book Antiqua" w:hAnsi="Book Antiqua"/>
          <w:sz w:val="24"/>
          <w:szCs w:val="24"/>
        </w:rPr>
      </w:pPr>
      <w:r>
        <w:rPr>
          <w:rStyle w:val="ui-provider"/>
          <w:rFonts w:ascii="Book Antiqua" w:hAnsi="Book Antiqua"/>
          <w:sz w:val="24"/>
          <w:szCs w:val="24"/>
        </w:rPr>
        <w:t xml:space="preserve">Licda. </w:t>
      </w:r>
      <w:r w:rsidR="005242D1" w:rsidRPr="005242D1">
        <w:rPr>
          <w:rStyle w:val="ui-provider"/>
          <w:rFonts w:ascii="Book Antiqua" w:hAnsi="Book Antiqua"/>
          <w:sz w:val="24"/>
          <w:szCs w:val="24"/>
        </w:rPr>
        <w:t>Sandra Pizarro Gutiérrez</w:t>
      </w:r>
    </w:p>
    <w:p w14:paraId="6925CCDE" w14:textId="323B098B" w:rsidR="005242D1" w:rsidRPr="005242D1" w:rsidRDefault="005242D1" w:rsidP="005242D1">
      <w:pPr>
        <w:pStyle w:val="Prrafodelista"/>
        <w:numPr>
          <w:ilvl w:val="0"/>
          <w:numId w:val="77"/>
        </w:numPr>
        <w:spacing w:after="0" w:line="240" w:lineRule="auto"/>
        <w:ind w:firstLine="273"/>
        <w:rPr>
          <w:rStyle w:val="ui-provider"/>
          <w:rFonts w:ascii="Book Antiqua" w:hAnsi="Book Antiqua"/>
          <w:sz w:val="24"/>
          <w:szCs w:val="24"/>
        </w:rPr>
      </w:pPr>
      <w:r w:rsidRPr="005242D1">
        <w:rPr>
          <w:rStyle w:val="ui-provider"/>
          <w:rFonts w:ascii="Book Antiqua" w:hAnsi="Book Antiqua"/>
          <w:sz w:val="24"/>
          <w:szCs w:val="24"/>
        </w:rPr>
        <w:t>Dra. Ana Isabel Oro</w:t>
      </w:r>
      <w:r w:rsidR="00B04DCB">
        <w:rPr>
          <w:rStyle w:val="ui-provider"/>
          <w:rFonts w:ascii="Book Antiqua" w:hAnsi="Book Antiqua"/>
          <w:sz w:val="24"/>
          <w:szCs w:val="24"/>
        </w:rPr>
        <w:t>z</w:t>
      </w:r>
      <w:r w:rsidRPr="005242D1">
        <w:rPr>
          <w:rStyle w:val="ui-provider"/>
          <w:rFonts w:ascii="Book Antiqua" w:hAnsi="Book Antiqua"/>
          <w:sz w:val="24"/>
          <w:szCs w:val="24"/>
        </w:rPr>
        <w:t xml:space="preserve">co </w:t>
      </w:r>
      <w:r w:rsidR="00B04DCB">
        <w:rPr>
          <w:rStyle w:val="ui-provider"/>
          <w:rFonts w:ascii="Book Antiqua" w:hAnsi="Book Antiqua"/>
          <w:sz w:val="24"/>
          <w:szCs w:val="24"/>
        </w:rPr>
        <w:t>Á</w:t>
      </w:r>
      <w:r w:rsidRPr="005242D1">
        <w:rPr>
          <w:rStyle w:val="ui-provider"/>
          <w:rFonts w:ascii="Book Antiqua" w:hAnsi="Book Antiqua"/>
          <w:sz w:val="24"/>
          <w:szCs w:val="24"/>
        </w:rPr>
        <w:t>lvarez</w:t>
      </w:r>
    </w:p>
    <w:p w14:paraId="6E19EE3C" w14:textId="7BDF1CEC" w:rsidR="005242D1" w:rsidRPr="005242D1" w:rsidRDefault="000A40C6" w:rsidP="005242D1">
      <w:pPr>
        <w:pStyle w:val="Prrafodelista"/>
        <w:numPr>
          <w:ilvl w:val="0"/>
          <w:numId w:val="77"/>
        </w:numPr>
        <w:spacing w:after="0" w:line="240" w:lineRule="auto"/>
        <w:ind w:firstLine="273"/>
        <w:rPr>
          <w:rStyle w:val="ui-provider"/>
          <w:rFonts w:ascii="Book Antiqua" w:hAnsi="Book Antiqua"/>
          <w:sz w:val="24"/>
          <w:szCs w:val="24"/>
        </w:rPr>
      </w:pPr>
      <w:r>
        <w:rPr>
          <w:rStyle w:val="ui-provider"/>
          <w:rFonts w:ascii="Book Antiqua" w:hAnsi="Book Antiqua"/>
          <w:sz w:val="24"/>
          <w:szCs w:val="24"/>
        </w:rPr>
        <w:t xml:space="preserve">Licda. </w:t>
      </w:r>
      <w:r w:rsidR="005242D1" w:rsidRPr="005242D1">
        <w:rPr>
          <w:rStyle w:val="ui-provider"/>
          <w:rFonts w:ascii="Book Antiqua" w:hAnsi="Book Antiqua"/>
          <w:sz w:val="24"/>
          <w:szCs w:val="24"/>
        </w:rPr>
        <w:t>Siria Carmona Castro</w:t>
      </w:r>
    </w:p>
    <w:p w14:paraId="357F7CAD" w14:textId="5A782F7E" w:rsidR="005242D1" w:rsidRPr="005242D1" w:rsidRDefault="000A40C6" w:rsidP="005242D1">
      <w:pPr>
        <w:pStyle w:val="Prrafodelista"/>
        <w:numPr>
          <w:ilvl w:val="0"/>
          <w:numId w:val="77"/>
        </w:numPr>
        <w:spacing w:after="0" w:line="240" w:lineRule="auto"/>
        <w:ind w:firstLine="273"/>
        <w:rPr>
          <w:rFonts w:ascii="Book Antiqua" w:eastAsia="Times New Roman" w:hAnsi="Book Antiqua" w:cs="Book Antiqua"/>
          <w:sz w:val="24"/>
          <w:szCs w:val="24"/>
          <w:lang w:eastAsia="es-ES"/>
        </w:rPr>
      </w:pPr>
      <w:r>
        <w:rPr>
          <w:rStyle w:val="ui-provider"/>
          <w:rFonts w:ascii="Book Antiqua" w:hAnsi="Book Antiqua"/>
          <w:sz w:val="24"/>
          <w:szCs w:val="24"/>
        </w:rPr>
        <w:t xml:space="preserve">Lic. </w:t>
      </w:r>
      <w:r w:rsidR="005242D1" w:rsidRPr="005242D1">
        <w:rPr>
          <w:rStyle w:val="ui-provider"/>
          <w:rFonts w:ascii="Book Antiqua" w:hAnsi="Book Antiqua"/>
          <w:sz w:val="24"/>
          <w:szCs w:val="24"/>
        </w:rPr>
        <w:t>Gary Bonilla Garro </w:t>
      </w:r>
    </w:p>
    <w:p w14:paraId="0D1C2292" w14:textId="77777777" w:rsidR="004F5F1C" w:rsidRPr="005242D1" w:rsidRDefault="004F5F1C" w:rsidP="00BE58A8">
      <w:pPr>
        <w:spacing w:after="0" w:line="240" w:lineRule="auto"/>
        <w:rPr>
          <w:rFonts w:ascii="Book Antiqua" w:eastAsia="Times New Roman" w:hAnsi="Book Antiqua" w:cs="Book Antiqua"/>
          <w:sz w:val="24"/>
          <w:szCs w:val="24"/>
          <w:lang w:eastAsia="es-ES"/>
        </w:rPr>
      </w:pPr>
    </w:p>
    <w:p w14:paraId="483A8A85" w14:textId="1C33DFC4" w:rsidR="00FD72F6" w:rsidRPr="005242D1" w:rsidRDefault="00FD72F6" w:rsidP="005242D1">
      <w:pPr>
        <w:pStyle w:val="Prrafodelista"/>
        <w:numPr>
          <w:ilvl w:val="0"/>
          <w:numId w:val="75"/>
        </w:numPr>
        <w:spacing w:after="0" w:line="240" w:lineRule="auto"/>
        <w:ind w:hanging="720"/>
        <w:rPr>
          <w:rFonts w:ascii="Book Antiqua" w:eastAsia="Times New Roman" w:hAnsi="Book Antiqua" w:cs="Book Antiqua"/>
          <w:sz w:val="24"/>
          <w:szCs w:val="24"/>
          <w:lang w:eastAsia="es-ES"/>
        </w:rPr>
      </w:pPr>
      <w:r w:rsidRPr="005242D1">
        <w:rPr>
          <w:rFonts w:ascii="Book Antiqua" w:eastAsia="Times New Roman" w:hAnsi="Book Antiqua" w:cs="Book Antiqua"/>
          <w:sz w:val="24"/>
          <w:szCs w:val="24"/>
          <w:lang w:eastAsia="es-ES"/>
        </w:rPr>
        <w:t>Archivo</w:t>
      </w:r>
    </w:p>
    <w:p w14:paraId="68412A7C" w14:textId="3B89A4E9" w:rsidR="00FD72F6" w:rsidRPr="005242D1" w:rsidRDefault="00FD72F6" w:rsidP="00BE58A8">
      <w:pPr>
        <w:spacing w:after="0" w:line="240" w:lineRule="auto"/>
        <w:rPr>
          <w:rFonts w:ascii="Book Antiqua" w:eastAsia="Times New Roman" w:hAnsi="Book Antiqua" w:cs="Book Antiqua"/>
          <w:sz w:val="24"/>
          <w:szCs w:val="24"/>
          <w:lang w:eastAsia="es-ES"/>
        </w:rPr>
      </w:pPr>
    </w:p>
    <w:p w14:paraId="2A8863CD" w14:textId="77777777" w:rsidR="00FD72F6" w:rsidRPr="005242D1" w:rsidRDefault="00FD72F6" w:rsidP="00BE58A8">
      <w:pPr>
        <w:spacing w:after="0" w:line="240" w:lineRule="auto"/>
        <w:rPr>
          <w:rFonts w:ascii="Book Antiqua" w:eastAsia="Times New Roman" w:hAnsi="Book Antiqua" w:cs="Book Antiqua"/>
          <w:sz w:val="24"/>
          <w:szCs w:val="24"/>
          <w:lang w:eastAsia="es-ES"/>
        </w:rPr>
      </w:pPr>
    </w:p>
    <w:p w14:paraId="710D989C" w14:textId="7D8DD41D" w:rsidR="00FD72F6" w:rsidRPr="005242D1" w:rsidRDefault="00FD72F6" w:rsidP="00BE58A8">
      <w:pPr>
        <w:spacing w:after="0" w:line="240" w:lineRule="auto"/>
        <w:rPr>
          <w:rFonts w:ascii="Book Antiqua" w:eastAsia="Times New Roman" w:hAnsi="Book Antiqua" w:cs="Book Antiqua"/>
          <w:sz w:val="24"/>
          <w:szCs w:val="24"/>
          <w:lang w:eastAsia="es-ES"/>
        </w:rPr>
      </w:pPr>
      <w:r w:rsidRPr="005242D1">
        <w:rPr>
          <w:rFonts w:ascii="Book Antiqua" w:eastAsia="Times New Roman" w:hAnsi="Book Antiqua" w:cs="Book Antiqua"/>
          <w:sz w:val="24"/>
          <w:szCs w:val="24"/>
          <w:lang w:eastAsia="es-ES"/>
        </w:rPr>
        <w:t>xba</w:t>
      </w:r>
    </w:p>
    <w:p w14:paraId="450F44FC" w14:textId="5A2794F0" w:rsidR="00FD72F6" w:rsidRDefault="00FD72F6" w:rsidP="00BE58A8">
      <w:pPr>
        <w:spacing w:after="0" w:line="240" w:lineRule="auto"/>
        <w:rPr>
          <w:rFonts w:ascii="Book Antiqua" w:eastAsia="Times New Roman" w:hAnsi="Book Antiqua" w:cs="Book Antiqua"/>
          <w:sz w:val="24"/>
          <w:szCs w:val="24"/>
          <w:lang w:eastAsia="es-ES"/>
        </w:rPr>
      </w:pPr>
      <w:r w:rsidRPr="005242D1">
        <w:rPr>
          <w:rFonts w:ascii="Book Antiqua" w:eastAsia="Times New Roman" w:hAnsi="Book Antiqua" w:cs="Book Antiqua"/>
          <w:sz w:val="24"/>
          <w:szCs w:val="24"/>
          <w:lang w:eastAsia="es-ES"/>
        </w:rPr>
        <w:t xml:space="preserve">Ref. </w:t>
      </w:r>
      <w:r w:rsidRPr="005242D1">
        <w:rPr>
          <w:rFonts w:ascii="Book Antiqua" w:eastAsia="Times New Roman" w:hAnsi="Book Antiqua" w:cs="Book Antiqua"/>
          <w:b/>
          <w:bCs/>
          <w:sz w:val="24"/>
          <w:szCs w:val="24"/>
          <w:lang w:eastAsia="es-ES"/>
        </w:rPr>
        <w:t>1066-23</w:t>
      </w:r>
      <w:r w:rsidRPr="005242D1">
        <w:rPr>
          <w:rFonts w:ascii="Book Antiqua" w:eastAsia="Times New Roman" w:hAnsi="Book Antiqua" w:cs="Book Antiqua"/>
          <w:sz w:val="24"/>
          <w:szCs w:val="24"/>
          <w:lang w:eastAsia="es-ES"/>
        </w:rPr>
        <w:t>, 824</w:t>
      </w:r>
      <w:r>
        <w:rPr>
          <w:rFonts w:ascii="Book Antiqua" w:eastAsia="Times New Roman" w:hAnsi="Book Antiqua" w:cs="Book Antiqua"/>
          <w:sz w:val="24"/>
          <w:szCs w:val="24"/>
          <w:lang w:eastAsia="es-ES"/>
        </w:rPr>
        <w:t>-23</w:t>
      </w:r>
    </w:p>
    <w:p w14:paraId="53CA0CB6" w14:textId="77777777" w:rsidR="007215CA" w:rsidRDefault="007215CA" w:rsidP="00BE58A8">
      <w:pPr>
        <w:spacing w:after="0" w:line="240" w:lineRule="auto"/>
        <w:rPr>
          <w:rFonts w:ascii="Book Antiqua" w:eastAsia="Times New Roman" w:hAnsi="Book Antiqua" w:cs="Book Antiqua"/>
          <w:sz w:val="24"/>
          <w:szCs w:val="24"/>
          <w:lang w:eastAsia="es-ES"/>
        </w:rPr>
      </w:pPr>
    </w:p>
    <w:p w14:paraId="3A21F8CF" w14:textId="77777777" w:rsidR="00FD72F6" w:rsidRDefault="00FD72F6" w:rsidP="004C0488">
      <w:pPr>
        <w:spacing w:after="0" w:line="240" w:lineRule="auto"/>
        <w:jc w:val="right"/>
        <w:rPr>
          <w:rFonts w:ascii="Book Antiqua" w:eastAsia="Times New Roman" w:hAnsi="Book Antiqua" w:cs="Book Antiqua"/>
          <w:snapToGrid w:val="0"/>
          <w:sz w:val="24"/>
          <w:szCs w:val="24"/>
          <w:lang w:eastAsia="es-ES"/>
        </w:rPr>
      </w:pPr>
    </w:p>
    <w:p w14:paraId="3CBC993D" w14:textId="77777777" w:rsidR="00FD72F6" w:rsidRDefault="00FD72F6">
      <w:pPr>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br w:type="page"/>
      </w:r>
    </w:p>
    <w:p w14:paraId="7CB1C3AD" w14:textId="77777777" w:rsidR="00FD72F6" w:rsidRDefault="00FD72F6" w:rsidP="00FD72F6">
      <w:pPr>
        <w:spacing w:after="0" w:line="240" w:lineRule="auto"/>
        <w:rPr>
          <w:rFonts w:ascii="Book Antiqua" w:eastAsia="Times New Roman" w:hAnsi="Book Antiqua" w:cs="Book Antiqua"/>
          <w:snapToGrid w:val="0"/>
          <w:sz w:val="24"/>
          <w:szCs w:val="24"/>
          <w:lang w:eastAsia="es-ES"/>
        </w:rPr>
      </w:pPr>
    </w:p>
    <w:p w14:paraId="2F2ED404" w14:textId="332A66AD" w:rsidR="0009002B" w:rsidRDefault="00425798" w:rsidP="00FD72F6">
      <w:pPr>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27 </w:t>
      </w:r>
      <w:r w:rsidR="0009002B">
        <w:rPr>
          <w:rFonts w:ascii="Book Antiqua" w:eastAsia="Times New Roman" w:hAnsi="Book Antiqua" w:cs="Book Antiqua"/>
          <w:snapToGrid w:val="0"/>
          <w:sz w:val="24"/>
          <w:szCs w:val="24"/>
          <w:lang w:eastAsia="es-ES"/>
        </w:rPr>
        <w:t xml:space="preserve">de </w:t>
      </w:r>
      <w:r w:rsidR="00051C7C">
        <w:rPr>
          <w:rFonts w:ascii="Book Antiqua" w:eastAsia="Times New Roman" w:hAnsi="Book Antiqua" w:cs="Book Antiqua"/>
          <w:snapToGrid w:val="0"/>
          <w:sz w:val="24"/>
          <w:szCs w:val="24"/>
          <w:lang w:eastAsia="es-ES"/>
        </w:rPr>
        <w:t xml:space="preserve">junio </w:t>
      </w:r>
      <w:r w:rsidR="0009002B">
        <w:rPr>
          <w:rFonts w:ascii="Book Antiqua" w:eastAsia="Times New Roman" w:hAnsi="Book Antiqua" w:cs="Book Antiqua"/>
          <w:snapToGrid w:val="0"/>
          <w:sz w:val="24"/>
          <w:szCs w:val="24"/>
          <w:lang w:eastAsia="es-ES"/>
        </w:rPr>
        <w:t>de</w:t>
      </w:r>
      <w:r w:rsidR="00AE6369">
        <w:rPr>
          <w:rFonts w:ascii="Book Antiqua" w:eastAsia="Times New Roman" w:hAnsi="Book Antiqua" w:cs="Book Antiqua"/>
          <w:snapToGrid w:val="0"/>
          <w:sz w:val="24"/>
          <w:szCs w:val="24"/>
          <w:lang w:eastAsia="es-ES"/>
        </w:rPr>
        <w:t>l</w:t>
      </w:r>
      <w:r w:rsidR="0009002B">
        <w:rPr>
          <w:rFonts w:ascii="Book Antiqua" w:eastAsia="Times New Roman" w:hAnsi="Book Antiqua" w:cs="Book Antiqua"/>
          <w:snapToGrid w:val="0"/>
          <w:sz w:val="24"/>
          <w:szCs w:val="24"/>
          <w:lang w:eastAsia="es-ES"/>
        </w:rPr>
        <w:t xml:space="preserve"> 202</w:t>
      </w:r>
      <w:r w:rsidR="004C0488">
        <w:rPr>
          <w:rFonts w:ascii="Book Antiqua" w:eastAsia="Times New Roman" w:hAnsi="Book Antiqua" w:cs="Book Antiqua"/>
          <w:snapToGrid w:val="0"/>
          <w:sz w:val="24"/>
          <w:szCs w:val="24"/>
          <w:lang w:eastAsia="es-ES"/>
        </w:rPr>
        <w:t>3</w:t>
      </w:r>
    </w:p>
    <w:p w14:paraId="1F0D09E6" w14:textId="602F24A3" w:rsidR="0009002B" w:rsidRDefault="0009002B" w:rsidP="00BE58A8">
      <w:pPr>
        <w:spacing w:after="0" w:line="240" w:lineRule="auto"/>
        <w:rPr>
          <w:rFonts w:ascii="Book Antiqua" w:eastAsia="Times New Roman" w:hAnsi="Book Antiqua" w:cs="Book Antiqua"/>
          <w:snapToGrid w:val="0"/>
          <w:sz w:val="24"/>
          <w:szCs w:val="24"/>
          <w:lang w:eastAsia="es-ES"/>
        </w:rPr>
      </w:pPr>
    </w:p>
    <w:p w14:paraId="0B9D78A7" w14:textId="77777777" w:rsidR="00FD72F6" w:rsidRDefault="00FD72F6" w:rsidP="00BE58A8">
      <w:pPr>
        <w:spacing w:after="0" w:line="240" w:lineRule="auto"/>
        <w:rPr>
          <w:rFonts w:ascii="Book Antiqua" w:eastAsia="Times New Roman" w:hAnsi="Book Antiqua" w:cs="Book Antiqua"/>
          <w:snapToGrid w:val="0"/>
          <w:sz w:val="24"/>
          <w:szCs w:val="24"/>
          <w:lang w:eastAsia="es-ES"/>
        </w:rPr>
      </w:pPr>
    </w:p>
    <w:p w14:paraId="3767870E" w14:textId="19B504AC" w:rsidR="0009002B" w:rsidRDefault="0009002B" w:rsidP="00BE58A8">
      <w:pPr>
        <w:spacing w:after="0" w:line="240" w:lineRule="auto"/>
        <w:rPr>
          <w:rFonts w:ascii="Book Antiqua" w:eastAsia="Times New Roman" w:hAnsi="Book Antiqua" w:cs="Book Antiqua"/>
          <w:snapToGrid w:val="0"/>
          <w:sz w:val="24"/>
          <w:szCs w:val="24"/>
          <w:lang w:eastAsia="es-ES"/>
        </w:rPr>
      </w:pPr>
    </w:p>
    <w:p w14:paraId="52BCC6AE" w14:textId="77777777" w:rsidR="0009002B" w:rsidRPr="005C7245" w:rsidRDefault="0009002B" w:rsidP="0009002B">
      <w:pPr>
        <w:spacing w:after="0" w:line="240" w:lineRule="auto"/>
        <w:rPr>
          <w:rFonts w:ascii="Book Antiqua" w:eastAsia="Times New Roman" w:hAnsi="Book Antiqua" w:cs="Book Antiqua"/>
          <w:snapToGrid w:val="0"/>
          <w:sz w:val="24"/>
          <w:szCs w:val="24"/>
          <w:lang w:val="pt-BR" w:eastAsia="es-ES"/>
        </w:rPr>
      </w:pPr>
      <w:r w:rsidRPr="005C7245">
        <w:rPr>
          <w:rFonts w:ascii="Book Antiqua" w:eastAsia="Times New Roman" w:hAnsi="Book Antiqua" w:cs="Book Antiqua"/>
          <w:snapToGrid w:val="0"/>
          <w:sz w:val="24"/>
          <w:szCs w:val="24"/>
          <w:lang w:val="pt-BR" w:eastAsia="es-ES"/>
        </w:rPr>
        <w:t xml:space="preserve">Licenciada </w:t>
      </w:r>
    </w:p>
    <w:p w14:paraId="2186C94B" w14:textId="3559D7E9" w:rsidR="0009002B" w:rsidRPr="005C7245" w:rsidRDefault="0009002B" w:rsidP="0009002B">
      <w:pPr>
        <w:spacing w:after="0" w:line="240" w:lineRule="auto"/>
        <w:rPr>
          <w:rFonts w:ascii="Book Antiqua" w:eastAsia="Times New Roman" w:hAnsi="Book Antiqua" w:cs="Book Antiqua"/>
          <w:snapToGrid w:val="0"/>
          <w:sz w:val="24"/>
          <w:szCs w:val="24"/>
          <w:lang w:val="pt-BR" w:eastAsia="es-ES"/>
        </w:rPr>
      </w:pPr>
      <w:r w:rsidRPr="005C7245">
        <w:rPr>
          <w:rFonts w:ascii="Book Antiqua" w:eastAsia="Times New Roman" w:hAnsi="Book Antiqua" w:cs="Book Antiqua"/>
          <w:snapToGrid w:val="0"/>
          <w:sz w:val="24"/>
          <w:szCs w:val="24"/>
          <w:lang w:val="pt-BR" w:eastAsia="es-ES"/>
        </w:rPr>
        <w:t>Nacira Valverde Bermúdez</w:t>
      </w:r>
    </w:p>
    <w:p w14:paraId="4AE4F8F2" w14:textId="77777777" w:rsidR="0009002B" w:rsidRPr="005C7245" w:rsidRDefault="0009002B" w:rsidP="0009002B">
      <w:pPr>
        <w:spacing w:after="0" w:line="240" w:lineRule="auto"/>
        <w:rPr>
          <w:rFonts w:ascii="Book Antiqua" w:eastAsia="Times New Roman" w:hAnsi="Book Antiqua" w:cs="Book Antiqua"/>
          <w:snapToGrid w:val="0"/>
          <w:sz w:val="24"/>
          <w:szCs w:val="24"/>
          <w:lang w:val="pt-BR" w:eastAsia="es-ES"/>
        </w:rPr>
      </w:pPr>
      <w:r w:rsidRPr="005C7245">
        <w:rPr>
          <w:rFonts w:ascii="Book Antiqua" w:eastAsia="Times New Roman" w:hAnsi="Book Antiqua" w:cs="Book Antiqua"/>
          <w:snapToGrid w:val="0"/>
          <w:sz w:val="24"/>
          <w:szCs w:val="24"/>
          <w:lang w:val="pt-BR" w:eastAsia="es-ES"/>
        </w:rPr>
        <w:t>Directora a.i. de Planificación</w:t>
      </w:r>
    </w:p>
    <w:p w14:paraId="36E83A58" w14:textId="77777777" w:rsidR="0009002B" w:rsidRPr="005C7245" w:rsidRDefault="0009002B" w:rsidP="00BE58A8">
      <w:pPr>
        <w:spacing w:after="0" w:line="240" w:lineRule="auto"/>
        <w:rPr>
          <w:rFonts w:ascii="Book Antiqua" w:eastAsia="Times New Roman" w:hAnsi="Book Antiqua" w:cs="Book Antiqua"/>
          <w:snapToGrid w:val="0"/>
          <w:sz w:val="24"/>
          <w:szCs w:val="24"/>
          <w:lang w:eastAsia="es-ES"/>
        </w:rPr>
      </w:pPr>
    </w:p>
    <w:p w14:paraId="23FF5E51" w14:textId="77777777" w:rsidR="0009002B" w:rsidRPr="005C7245" w:rsidRDefault="0009002B" w:rsidP="00BE58A8">
      <w:pPr>
        <w:spacing w:after="0" w:line="240" w:lineRule="auto"/>
        <w:rPr>
          <w:rFonts w:ascii="Book Antiqua" w:eastAsia="Times New Roman" w:hAnsi="Book Antiqua" w:cs="Book Antiqua"/>
          <w:snapToGrid w:val="0"/>
          <w:sz w:val="24"/>
          <w:szCs w:val="24"/>
          <w:lang w:eastAsia="es-ES"/>
        </w:rPr>
      </w:pPr>
    </w:p>
    <w:p w14:paraId="062E78E0" w14:textId="06130DA6" w:rsidR="00BE58A8" w:rsidRPr="005C7245" w:rsidRDefault="00BE58A8" w:rsidP="00BE58A8">
      <w:pPr>
        <w:spacing w:after="0" w:line="240" w:lineRule="auto"/>
        <w:rPr>
          <w:rFonts w:ascii="Book Antiqua" w:eastAsia="Times New Roman" w:hAnsi="Book Antiqua" w:cs="Book Antiqua"/>
          <w:snapToGrid w:val="0"/>
          <w:sz w:val="24"/>
          <w:szCs w:val="24"/>
          <w:lang w:eastAsia="es-ES"/>
        </w:rPr>
      </w:pPr>
      <w:r w:rsidRPr="005C7245">
        <w:rPr>
          <w:rFonts w:ascii="Book Antiqua" w:eastAsia="Times New Roman" w:hAnsi="Book Antiqua" w:cs="Book Antiqua"/>
          <w:snapToGrid w:val="0"/>
          <w:sz w:val="24"/>
          <w:szCs w:val="24"/>
          <w:lang w:eastAsia="es-ES"/>
        </w:rPr>
        <w:t>Estimada señora:</w:t>
      </w:r>
    </w:p>
    <w:p w14:paraId="3FDFE312" w14:textId="77777777" w:rsidR="00BE58A8" w:rsidRPr="005C7245" w:rsidRDefault="00BE58A8" w:rsidP="00BE58A8">
      <w:pPr>
        <w:spacing w:after="0" w:line="240" w:lineRule="auto"/>
        <w:rPr>
          <w:rFonts w:ascii="Book Antiqua" w:eastAsia="Times New Roman" w:hAnsi="Book Antiqua" w:cs="Book Antiqua"/>
          <w:snapToGrid w:val="0"/>
          <w:sz w:val="24"/>
          <w:szCs w:val="24"/>
          <w:lang w:eastAsia="es-ES"/>
        </w:rPr>
      </w:pPr>
    </w:p>
    <w:bookmarkEnd w:id="0"/>
    <w:p w14:paraId="0B16FE23" w14:textId="2D0EAB8A" w:rsidR="00BE58A8" w:rsidRPr="005C7245" w:rsidRDefault="00BE58A8" w:rsidP="00BE58A8">
      <w:pPr>
        <w:spacing w:after="0"/>
        <w:jc w:val="both"/>
        <w:rPr>
          <w:rFonts w:ascii="Book Antiqua" w:eastAsia="Wingdings" w:hAnsi="Book Antiqua"/>
          <w:sz w:val="24"/>
          <w:szCs w:val="24"/>
          <w:lang w:eastAsia="ko-KR"/>
        </w:rPr>
      </w:pPr>
      <w:r w:rsidRPr="005C7245">
        <w:rPr>
          <w:rFonts w:ascii="Book Antiqua" w:eastAsia="Wingdings" w:hAnsi="Book Antiqua"/>
          <w:sz w:val="24"/>
          <w:szCs w:val="24"/>
          <w:lang w:eastAsia="ko-KR"/>
        </w:rPr>
        <w:t>En atención a lo aprobado por el Consejo Superior en la sesión N°</w:t>
      </w:r>
      <w:r w:rsidR="005C7245" w:rsidRPr="005C7245">
        <w:rPr>
          <w:rFonts w:ascii="Book Antiqua" w:eastAsia="Wingdings" w:hAnsi="Book Antiqua"/>
          <w:sz w:val="24"/>
          <w:szCs w:val="24"/>
          <w:lang w:eastAsia="ko-KR"/>
        </w:rPr>
        <w:t>35</w:t>
      </w:r>
      <w:r w:rsidRPr="005C7245">
        <w:rPr>
          <w:rFonts w:ascii="Book Antiqua" w:eastAsia="Wingdings" w:hAnsi="Book Antiqua"/>
          <w:sz w:val="24"/>
          <w:szCs w:val="24"/>
          <w:lang w:eastAsia="ko-KR"/>
        </w:rPr>
        <w:t>-202</w:t>
      </w:r>
      <w:r w:rsidR="000700F7" w:rsidRPr="005C7245">
        <w:rPr>
          <w:rFonts w:ascii="Book Antiqua" w:eastAsia="Wingdings" w:hAnsi="Book Antiqua"/>
          <w:sz w:val="24"/>
          <w:szCs w:val="24"/>
          <w:lang w:eastAsia="ko-KR"/>
        </w:rPr>
        <w:t>3</w:t>
      </w:r>
      <w:r w:rsidRPr="005C7245">
        <w:rPr>
          <w:rFonts w:ascii="Book Antiqua" w:eastAsia="Wingdings" w:hAnsi="Book Antiqua"/>
          <w:sz w:val="24"/>
          <w:szCs w:val="24"/>
          <w:lang w:eastAsia="ko-KR"/>
        </w:rPr>
        <w:t xml:space="preserve"> del </w:t>
      </w:r>
      <w:r w:rsidR="005C7245" w:rsidRPr="005C7245">
        <w:rPr>
          <w:rFonts w:ascii="Book Antiqua" w:eastAsia="Wingdings" w:hAnsi="Book Antiqua"/>
          <w:sz w:val="24"/>
          <w:szCs w:val="24"/>
          <w:lang w:eastAsia="ko-KR"/>
        </w:rPr>
        <w:t>26</w:t>
      </w:r>
      <w:r w:rsidRPr="005C7245">
        <w:rPr>
          <w:rFonts w:ascii="Book Antiqua" w:eastAsia="Wingdings" w:hAnsi="Book Antiqua"/>
          <w:sz w:val="24"/>
          <w:szCs w:val="24"/>
          <w:lang w:eastAsia="ko-KR"/>
        </w:rPr>
        <w:t xml:space="preserve"> de </w:t>
      </w:r>
      <w:r w:rsidR="005C7245" w:rsidRPr="005C7245">
        <w:rPr>
          <w:rFonts w:ascii="Book Antiqua" w:eastAsia="Wingdings" w:hAnsi="Book Antiqua"/>
          <w:sz w:val="24"/>
          <w:szCs w:val="24"/>
          <w:lang w:eastAsia="ko-KR"/>
        </w:rPr>
        <w:t>abril</w:t>
      </w:r>
      <w:r w:rsidRPr="005C7245">
        <w:rPr>
          <w:rFonts w:ascii="Book Antiqua" w:eastAsia="Wingdings" w:hAnsi="Book Antiqua"/>
          <w:sz w:val="24"/>
          <w:szCs w:val="24"/>
          <w:lang w:eastAsia="ko-KR"/>
        </w:rPr>
        <w:t xml:space="preserve"> de 202</w:t>
      </w:r>
      <w:r w:rsidR="005C7245" w:rsidRPr="005C7245">
        <w:rPr>
          <w:rFonts w:ascii="Book Antiqua" w:eastAsia="Wingdings" w:hAnsi="Book Antiqua"/>
          <w:sz w:val="24"/>
          <w:szCs w:val="24"/>
          <w:lang w:eastAsia="ko-KR"/>
        </w:rPr>
        <w:t>3</w:t>
      </w:r>
      <w:r w:rsidRPr="005C7245">
        <w:rPr>
          <w:rFonts w:ascii="Book Antiqua" w:eastAsia="Wingdings" w:hAnsi="Book Antiqua"/>
          <w:sz w:val="24"/>
          <w:szCs w:val="24"/>
          <w:lang w:eastAsia="ko-KR"/>
        </w:rPr>
        <w:t xml:space="preserve">, artículo </w:t>
      </w:r>
      <w:r w:rsidR="005C7245" w:rsidRPr="005C7245">
        <w:rPr>
          <w:rFonts w:ascii="Book Antiqua" w:eastAsia="Wingdings" w:hAnsi="Book Antiqua"/>
          <w:sz w:val="24"/>
          <w:szCs w:val="24"/>
          <w:lang w:eastAsia="ko-KR"/>
        </w:rPr>
        <w:t>XXXIX</w:t>
      </w:r>
      <w:r w:rsidRPr="005C7245">
        <w:rPr>
          <w:rFonts w:ascii="Book Antiqua" w:eastAsia="Wingdings" w:hAnsi="Book Antiqua"/>
          <w:sz w:val="24"/>
          <w:szCs w:val="24"/>
          <w:lang w:eastAsia="ko-KR"/>
        </w:rPr>
        <w:t xml:space="preserve">, en la cual se conoció el informe </w:t>
      </w:r>
      <w:r w:rsidR="000700F7" w:rsidRPr="005C7245">
        <w:rPr>
          <w:rFonts w:ascii="Book Antiqua" w:eastAsia="Wingdings" w:hAnsi="Book Antiqua"/>
          <w:sz w:val="24"/>
          <w:szCs w:val="24"/>
          <w:lang w:eastAsia="ko-KR"/>
        </w:rPr>
        <w:t>277</w:t>
      </w:r>
      <w:r w:rsidRPr="005C7245">
        <w:rPr>
          <w:rFonts w:ascii="Book Antiqua" w:eastAsia="Wingdings" w:hAnsi="Book Antiqua"/>
          <w:sz w:val="24"/>
          <w:szCs w:val="24"/>
          <w:lang w:eastAsia="ko-KR"/>
        </w:rPr>
        <w:t>-PLA-PP-202</w:t>
      </w:r>
      <w:r w:rsidR="000700F7" w:rsidRPr="005C7245">
        <w:rPr>
          <w:rFonts w:ascii="Book Antiqua" w:eastAsia="Wingdings" w:hAnsi="Book Antiqua"/>
          <w:sz w:val="24"/>
          <w:szCs w:val="24"/>
          <w:lang w:eastAsia="ko-KR"/>
        </w:rPr>
        <w:t>3</w:t>
      </w:r>
      <w:r w:rsidRPr="005C7245">
        <w:rPr>
          <w:rFonts w:ascii="Book Antiqua" w:eastAsia="Wingdings" w:hAnsi="Book Antiqua"/>
          <w:sz w:val="24"/>
          <w:szCs w:val="24"/>
          <w:lang w:eastAsia="ko-KR"/>
        </w:rPr>
        <w:t>, relacionado con el informe de seguimiento del portafolio de proyectos estratégicos a la fecha del 31 de diciembre de 202</w:t>
      </w:r>
      <w:r w:rsidR="000700F7" w:rsidRPr="005C7245">
        <w:rPr>
          <w:rFonts w:ascii="Book Antiqua" w:eastAsia="Wingdings" w:hAnsi="Book Antiqua"/>
          <w:sz w:val="24"/>
          <w:szCs w:val="24"/>
          <w:lang w:eastAsia="ko-KR"/>
        </w:rPr>
        <w:t>2</w:t>
      </w:r>
      <w:r w:rsidRPr="005C7245">
        <w:rPr>
          <w:rFonts w:ascii="Book Antiqua" w:eastAsia="Wingdings" w:hAnsi="Book Antiqua"/>
          <w:sz w:val="24"/>
          <w:szCs w:val="24"/>
          <w:lang w:eastAsia="ko-KR"/>
        </w:rPr>
        <w:t>, para lo cual dispuso:</w:t>
      </w:r>
    </w:p>
    <w:p w14:paraId="0C203AF7" w14:textId="77777777" w:rsidR="00BE58A8" w:rsidRPr="005C7245" w:rsidRDefault="00BE58A8" w:rsidP="00BE58A8">
      <w:pPr>
        <w:spacing w:after="0"/>
        <w:ind w:right="851"/>
        <w:jc w:val="both"/>
        <w:rPr>
          <w:rFonts w:ascii="Book Antiqua" w:eastAsia="Wingdings" w:hAnsi="Book Antiqua"/>
          <w:sz w:val="24"/>
          <w:szCs w:val="24"/>
          <w:lang w:eastAsia="ko-KR"/>
        </w:rPr>
      </w:pPr>
    </w:p>
    <w:p w14:paraId="4B82DCB0" w14:textId="4AACB2F7" w:rsidR="00BE58A8" w:rsidRPr="004B5212" w:rsidRDefault="00BE58A8" w:rsidP="00F00B49">
      <w:pPr>
        <w:shd w:val="clear" w:color="auto" w:fill="FFFFFF"/>
        <w:spacing w:after="0"/>
        <w:ind w:left="851" w:right="851"/>
        <w:jc w:val="both"/>
        <w:rPr>
          <w:rFonts w:ascii="Book Antiqua" w:eastAsia="Wingdings" w:hAnsi="Book Antiqua"/>
          <w:i/>
          <w:sz w:val="24"/>
          <w:szCs w:val="24"/>
          <w:lang w:eastAsia="ko-KR"/>
        </w:rPr>
      </w:pPr>
      <w:r w:rsidRPr="005C7245">
        <w:rPr>
          <w:rFonts w:ascii="Book Antiqua" w:eastAsia="Wingdings" w:hAnsi="Book Antiqua"/>
          <w:i/>
          <w:sz w:val="24"/>
          <w:szCs w:val="24"/>
          <w:lang w:eastAsia="ko-KR"/>
        </w:rPr>
        <w:t>“</w:t>
      </w:r>
      <w:r w:rsidR="00F00B49" w:rsidRPr="005C7245">
        <w:rPr>
          <w:rFonts w:ascii="Book Antiqua" w:eastAsia="Wingdings" w:hAnsi="Book Antiqua"/>
          <w:i/>
          <w:sz w:val="24"/>
          <w:szCs w:val="24"/>
          <w:lang w:eastAsia="ko-KR"/>
        </w:rPr>
        <w:t xml:space="preserve"> </w:t>
      </w:r>
      <w:r w:rsidR="00A23EAC" w:rsidRPr="005C7245">
        <w:rPr>
          <w:rFonts w:ascii="Book Antiqua" w:eastAsia="Wingdings" w:hAnsi="Book Antiqua"/>
          <w:i/>
          <w:sz w:val="24"/>
          <w:szCs w:val="24"/>
          <w:lang w:eastAsia="ko-KR"/>
        </w:rPr>
        <w:t>1.) Tener por conocido el informe N° 277-PLA-PP-2023 del 17 de abril de 2023, suscrito por el licenciado Erick Antonio Mora Leiva, Jefe de Proceso Planeación y Evaluación de la Dirección de Planificación. 2.) Acoger las recomendaciones contenidas del informe supra, en consecuencia: 2.1.) Tener por conocidos los resultados del segundo seguimiento 2022 realizado al portafolio institucional de proyectos estratégicos, realizado por la Dirección de Planificación.</w:t>
      </w:r>
      <w:r w:rsidR="00F00B49" w:rsidRPr="005C7245">
        <w:rPr>
          <w:rFonts w:ascii="Book Antiqua" w:eastAsia="Wingdings" w:hAnsi="Book Antiqua"/>
          <w:i/>
          <w:sz w:val="24"/>
          <w:szCs w:val="24"/>
          <w:lang w:eastAsia="ko-KR"/>
        </w:rPr>
        <w:t>”</w:t>
      </w:r>
      <w:r w:rsidR="00FD72F6">
        <w:rPr>
          <w:rFonts w:ascii="Book Antiqua" w:eastAsia="Wingdings" w:hAnsi="Book Antiqua"/>
          <w:i/>
          <w:sz w:val="24"/>
          <w:szCs w:val="24"/>
          <w:lang w:eastAsia="ko-KR"/>
        </w:rPr>
        <w:t>.</w:t>
      </w:r>
    </w:p>
    <w:p w14:paraId="7659264C" w14:textId="77777777" w:rsidR="00BE58A8" w:rsidRPr="004B5212" w:rsidRDefault="00BE58A8" w:rsidP="00BE58A8">
      <w:pPr>
        <w:spacing w:after="0"/>
        <w:rPr>
          <w:rFonts w:ascii="Book Antiqua" w:eastAsia="Wingdings" w:hAnsi="Book Antiqua"/>
          <w:sz w:val="24"/>
          <w:szCs w:val="24"/>
          <w:lang w:eastAsia="ko-KR"/>
        </w:rPr>
      </w:pPr>
    </w:p>
    <w:p w14:paraId="551F340F" w14:textId="2B12102F" w:rsidR="00BE58A8" w:rsidRPr="004B5212" w:rsidRDefault="00BE58A8" w:rsidP="00BE58A8">
      <w:pPr>
        <w:spacing w:after="0"/>
        <w:jc w:val="both"/>
        <w:rPr>
          <w:rFonts w:ascii="Book Antiqua" w:eastAsia="Wingdings" w:hAnsi="Book Antiqua"/>
          <w:sz w:val="24"/>
          <w:szCs w:val="24"/>
          <w:lang w:eastAsia="ko-KR"/>
        </w:rPr>
      </w:pPr>
      <w:r w:rsidRPr="004B5212">
        <w:rPr>
          <w:rFonts w:ascii="Book Antiqua" w:eastAsia="Wingdings" w:hAnsi="Book Antiqua"/>
          <w:sz w:val="24"/>
          <w:szCs w:val="24"/>
          <w:lang w:eastAsia="ko-KR"/>
        </w:rPr>
        <w:t xml:space="preserve">Al respecto, en el informe </w:t>
      </w:r>
      <w:r w:rsidR="00A23EAC">
        <w:rPr>
          <w:rFonts w:ascii="Book Antiqua" w:eastAsia="Wingdings" w:hAnsi="Book Antiqua"/>
          <w:sz w:val="24"/>
          <w:szCs w:val="24"/>
          <w:lang w:eastAsia="ko-KR"/>
        </w:rPr>
        <w:t>277</w:t>
      </w:r>
      <w:r w:rsidRPr="004B5212">
        <w:rPr>
          <w:rFonts w:ascii="Book Antiqua" w:eastAsia="Wingdings" w:hAnsi="Book Antiqua"/>
          <w:sz w:val="24"/>
          <w:szCs w:val="24"/>
          <w:lang w:eastAsia="ko-KR"/>
        </w:rPr>
        <w:t>-PLA-PP-202</w:t>
      </w:r>
      <w:r w:rsidR="00A23EAC">
        <w:rPr>
          <w:rFonts w:ascii="Book Antiqua" w:eastAsia="Wingdings" w:hAnsi="Book Antiqua"/>
          <w:sz w:val="24"/>
          <w:szCs w:val="24"/>
          <w:lang w:eastAsia="ko-KR"/>
        </w:rPr>
        <w:t>3</w:t>
      </w:r>
      <w:r w:rsidRPr="004B5212">
        <w:rPr>
          <w:rFonts w:ascii="Book Antiqua" w:eastAsia="Wingdings" w:hAnsi="Book Antiqua"/>
          <w:sz w:val="24"/>
          <w:szCs w:val="24"/>
          <w:lang w:eastAsia="ko-KR"/>
        </w:rPr>
        <w:t xml:space="preserve"> supra citado, se menciona como parte de las recomendaciones aprobadas:</w:t>
      </w:r>
    </w:p>
    <w:p w14:paraId="291D066E" w14:textId="77777777" w:rsidR="00BE58A8" w:rsidRPr="004B5212" w:rsidRDefault="00BE58A8" w:rsidP="00BE58A8">
      <w:pPr>
        <w:jc w:val="both"/>
      </w:pPr>
    </w:p>
    <w:p w14:paraId="7BFB0CFC" w14:textId="188BC304" w:rsidR="00064F95" w:rsidRDefault="00D033F3" w:rsidP="00064F95">
      <w:pPr>
        <w:shd w:val="clear" w:color="auto" w:fill="FFFFFF"/>
        <w:spacing w:after="120"/>
        <w:ind w:left="851" w:right="851"/>
        <w:jc w:val="both"/>
        <w:rPr>
          <w:rFonts w:ascii="Book Antiqua" w:eastAsia="Wingdings" w:hAnsi="Book Antiqua"/>
          <w:i/>
          <w:sz w:val="24"/>
          <w:szCs w:val="24"/>
          <w:lang w:eastAsia="ko-KR"/>
        </w:rPr>
      </w:pPr>
      <w:r>
        <w:rPr>
          <w:rFonts w:ascii="Book Antiqua" w:eastAsia="Wingdings" w:hAnsi="Book Antiqua"/>
          <w:i/>
          <w:sz w:val="24"/>
          <w:szCs w:val="24"/>
          <w:lang w:eastAsia="ko-KR"/>
        </w:rPr>
        <w:t>“6.</w:t>
      </w:r>
      <w:r w:rsidR="00064F95">
        <w:rPr>
          <w:rFonts w:ascii="Book Antiqua" w:eastAsia="Wingdings" w:hAnsi="Book Antiqua"/>
          <w:i/>
          <w:sz w:val="24"/>
          <w:szCs w:val="24"/>
          <w:lang w:eastAsia="ko-KR"/>
        </w:rPr>
        <w:t xml:space="preserve">5 </w:t>
      </w:r>
      <w:r w:rsidR="00064F95" w:rsidRPr="00064F95">
        <w:rPr>
          <w:rFonts w:ascii="Book Antiqua" w:eastAsia="Wingdings" w:hAnsi="Book Antiqua"/>
          <w:i/>
          <w:sz w:val="24"/>
          <w:szCs w:val="24"/>
          <w:lang w:eastAsia="ko-KR"/>
        </w:rPr>
        <w:t>A todas las oficinas líderes de proyectos estratégicos, tener presente las fechas de presentación de los próximos informes de avance correspondientes al periodo 2023, tal y como se detalla en la siguiente tabla:</w:t>
      </w:r>
    </w:p>
    <w:p w14:paraId="692E296A" w14:textId="77777777" w:rsidR="00064F95" w:rsidRDefault="00064F95" w:rsidP="00064F95">
      <w:pPr>
        <w:pStyle w:val="Prrafodelista"/>
        <w:spacing w:after="0"/>
        <w:rPr>
          <w:rFonts w:ascii="Book Antiqua" w:hAnsi="Book Antiqua"/>
          <w:sz w:val="24"/>
          <w:szCs w:val="24"/>
        </w:rPr>
      </w:pPr>
    </w:p>
    <w:tbl>
      <w:tblPr>
        <w:tblStyle w:val="Tablaconcuadrcula"/>
        <w:tblW w:w="10191" w:type="dxa"/>
        <w:tblInd w:w="-289" w:type="dxa"/>
        <w:tblLook w:val="04A0" w:firstRow="1" w:lastRow="0" w:firstColumn="1" w:lastColumn="0" w:noHBand="0" w:noVBand="1"/>
      </w:tblPr>
      <w:tblGrid>
        <w:gridCol w:w="616"/>
        <w:gridCol w:w="1688"/>
        <w:gridCol w:w="1399"/>
        <w:gridCol w:w="1836"/>
        <w:gridCol w:w="1835"/>
        <w:gridCol w:w="2817"/>
      </w:tblGrid>
      <w:tr w:rsidR="00CE48BE" w:rsidRPr="008F2C56" w14:paraId="2CB77B84" w14:textId="77777777" w:rsidTr="00301740">
        <w:trPr>
          <w:trHeight w:val="913"/>
        </w:trPr>
        <w:tc>
          <w:tcPr>
            <w:tcW w:w="616" w:type="dxa"/>
            <w:shd w:val="clear" w:color="auto" w:fill="F2F2F2" w:themeFill="background1" w:themeFillShade="F2"/>
            <w:vAlign w:val="center"/>
          </w:tcPr>
          <w:p w14:paraId="2AF7A9BE" w14:textId="77777777" w:rsidR="00064F95" w:rsidRPr="008F2C56" w:rsidRDefault="00064F95" w:rsidP="00F400D6">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Año</w:t>
            </w:r>
          </w:p>
        </w:tc>
        <w:tc>
          <w:tcPr>
            <w:tcW w:w="1688" w:type="dxa"/>
            <w:shd w:val="clear" w:color="auto" w:fill="F2F2F2" w:themeFill="background1" w:themeFillShade="F2"/>
            <w:vAlign w:val="center"/>
          </w:tcPr>
          <w:p w14:paraId="7A379684" w14:textId="77777777" w:rsidR="00064F95" w:rsidRPr="008F2C56" w:rsidRDefault="00064F95" w:rsidP="00F400D6">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Informe</w:t>
            </w:r>
          </w:p>
        </w:tc>
        <w:tc>
          <w:tcPr>
            <w:tcW w:w="1399" w:type="dxa"/>
            <w:shd w:val="clear" w:color="auto" w:fill="F2F2F2" w:themeFill="background1" w:themeFillShade="F2"/>
            <w:vAlign w:val="center"/>
          </w:tcPr>
          <w:p w14:paraId="41964482" w14:textId="77777777" w:rsidR="00064F95" w:rsidRPr="008F2C56" w:rsidRDefault="00064F95" w:rsidP="00F400D6">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Fecha de corte</w:t>
            </w:r>
          </w:p>
        </w:tc>
        <w:tc>
          <w:tcPr>
            <w:tcW w:w="1836" w:type="dxa"/>
            <w:shd w:val="clear" w:color="auto" w:fill="F2F2F2" w:themeFill="background1" w:themeFillShade="F2"/>
            <w:vAlign w:val="center"/>
          </w:tcPr>
          <w:p w14:paraId="3CCF0120" w14:textId="77777777" w:rsidR="00064F95" w:rsidRPr="008F2C56" w:rsidRDefault="00064F95" w:rsidP="00F400D6">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Fecha máxima incorporación al sitio del proyecto</w:t>
            </w:r>
          </w:p>
        </w:tc>
        <w:tc>
          <w:tcPr>
            <w:tcW w:w="1835" w:type="dxa"/>
            <w:shd w:val="clear" w:color="auto" w:fill="F2F2F2" w:themeFill="background1" w:themeFillShade="F2"/>
            <w:vAlign w:val="center"/>
          </w:tcPr>
          <w:p w14:paraId="6C6AF08E" w14:textId="77777777" w:rsidR="00064F95" w:rsidRPr="008F2C56" w:rsidRDefault="00064F95" w:rsidP="00F400D6">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Fecha prevista de presentación al Consejo Superior</w:t>
            </w:r>
          </w:p>
        </w:tc>
        <w:tc>
          <w:tcPr>
            <w:tcW w:w="2817" w:type="dxa"/>
            <w:shd w:val="clear" w:color="auto" w:fill="F2F2F2" w:themeFill="background1" w:themeFillShade="F2"/>
            <w:vAlign w:val="center"/>
          </w:tcPr>
          <w:p w14:paraId="5D9B5FCF" w14:textId="77777777" w:rsidR="00064F95" w:rsidRPr="008F2C56" w:rsidRDefault="00064F95" w:rsidP="00F400D6">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Observaciones</w:t>
            </w:r>
          </w:p>
        </w:tc>
      </w:tr>
      <w:tr w:rsidR="00064F95" w:rsidRPr="008F2C56" w14:paraId="6C13B7D2" w14:textId="77777777" w:rsidTr="00301740">
        <w:trPr>
          <w:trHeight w:val="566"/>
        </w:trPr>
        <w:tc>
          <w:tcPr>
            <w:tcW w:w="616" w:type="dxa"/>
            <w:vMerge w:val="restart"/>
            <w:vAlign w:val="center"/>
          </w:tcPr>
          <w:p w14:paraId="160A3F56" w14:textId="77777777" w:rsidR="00064F95" w:rsidRPr="008F2C56" w:rsidRDefault="00064F95" w:rsidP="00F400D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2023</w:t>
            </w:r>
          </w:p>
        </w:tc>
        <w:tc>
          <w:tcPr>
            <w:tcW w:w="1688" w:type="dxa"/>
            <w:vAlign w:val="center"/>
          </w:tcPr>
          <w:p w14:paraId="222C8B8E" w14:textId="77777777" w:rsidR="00064F95" w:rsidRPr="008F2C56" w:rsidRDefault="00064F95" w:rsidP="00F400D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I Avance 2023</w:t>
            </w:r>
          </w:p>
        </w:tc>
        <w:tc>
          <w:tcPr>
            <w:tcW w:w="1399" w:type="dxa"/>
            <w:vAlign w:val="center"/>
          </w:tcPr>
          <w:p w14:paraId="21F27ABD" w14:textId="77777777" w:rsidR="00064F95" w:rsidRPr="008F2C56" w:rsidRDefault="00064F95" w:rsidP="00F400D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28 abril 2023</w:t>
            </w:r>
          </w:p>
        </w:tc>
        <w:tc>
          <w:tcPr>
            <w:tcW w:w="1836" w:type="dxa"/>
            <w:vAlign w:val="center"/>
          </w:tcPr>
          <w:p w14:paraId="6E5B6851" w14:textId="77777777" w:rsidR="00064F95" w:rsidRPr="008F2C56" w:rsidRDefault="00064F95" w:rsidP="00F400D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5 de mayo 2023</w:t>
            </w:r>
          </w:p>
        </w:tc>
        <w:tc>
          <w:tcPr>
            <w:tcW w:w="1835" w:type="dxa"/>
            <w:vAlign w:val="center"/>
          </w:tcPr>
          <w:p w14:paraId="43BDEC74" w14:textId="77777777" w:rsidR="00064F95" w:rsidRPr="008F2C56" w:rsidRDefault="00064F95" w:rsidP="00F400D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23 junio 2023</w:t>
            </w:r>
          </w:p>
        </w:tc>
        <w:tc>
          <w:tcPr>
            <w:tcW w:w="2817" w:type="dxa"/>
            <w:vAlign w:val="center"/>
          </w:tcPr>
          <w:p w14:paraId="6824EFE3" w14:textId="77777777" w:rsidR="00064F95" w:rsidRPr="008F2C56" w:rsidRDefault="00064F95" w:rsidP="00F400D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Considera la prórroga de los PCGS para el III Trimestre 2023</w:t>
            </w:r>
          </w:p>
        </w:tc>
      </w:tr>
      <w:tr w:rsidR="00064F95" w:rsidRPr="008F2C56" w14:paraId="3AFED205" w14:textId="77777777" w:rsidTr="00301740">
        <w:trPr>
          <w:trHeight w:val="566"/>
        </w:trPr>
        <w:tc>
          <w:tcPr>
            <w:tcW w:w="616" w:type="dxa"/>
            <w:vMerge/>
            <w:vAlign w:val="center"/>
          </w:tcPr>
          <w:p w14:paraId="4B7FE3C2" w14:textId="77777777" w:rsidR="00064F95" w:rsidRPr="008F2C56" w:rsidRDefault="00064F95" w:rsidP="00F400D6">
            <w:pPr>
              <w:autoSpaceDE w:val="0"/>
              <w:autoSpaceDN w:val="0"/>
              <w:adjustRightInd w:val="0"/>
              <w:rPr>
                <w:rFonts w:ascii="Book Antiqua" w:hAnsi="Book Antiqua" w:cs="Arial"/>
                <w:color w:val="000000"/>
                <w:sz w:val="20"/>
                <w:szCs w:val="20"/>
                <w:lang w:eastAsia="es-CR"/>
              </w:rPr>
            </w:pPr>
          </w:p>
        </w:tc>
        <w:tc>
          <w:tcPr>
            <w:tcW w:w="1688" w:type="dxa"/>
            <w:vAlign w:val="center"/>
          </w:tcPr>
          <w:p w14:paraId="045155AF" w14:textId="77777777" w:rsidR="00064F95" w:rsidRPr="008F2C56" w:rsidRDefault="00064F95" w:rsidP="00F400D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II Avance 2023</w:t>
            </w:r>
          </w:p>
        </w:tc>
        <w:tc>
          <w:tcPr>
            <w:tcW w:w="1399" w:type="dxa"/>
            <w:vAlign w:val="center"/>
          </w:tcPr>
          <w:p w14:paraId="3F50C3A3" w14:textId="77777777" w:rsidR="00064F95" w:rsidRPr="008F2C56" w:rsidRDefault="00064F95" w:rsidP="00F400D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29 setiembre 2023</w:t>
            </w:r>
          </w:p>
        </w:tc>
        <w:tc>
          <w:tcPr>
            <w:tcW w:w="1836" w:type="dxa"/>
            <w:vAlign w:val="center"/>
          </w:tcPr>
          <w:p w14:paraId="186E0C60" w14:textId="77777777" w:rsidR="00064F95" w:rsidRPr="008F2C56" w:rsidRDefault="00064F95" w:rsidP="00F400D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6 de octubre 2023</w:t>
            </w:r>
          </w:p>
        </w:tc>
        <w:tc>
          <w:tcPr>
            <w:tcW w:w="1835" w:type="dxa"/>
            <w:vAlign w:val="center"/>
          </w:tcPr>
          <w:p w14:paraId="50DD6F47" w14:textId="77777777" w:rsidR="00064F95" w:rsidRPr="008F2C56" w:rsidRDefault="00064F95" w:rsidP="00F400D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themeColor="text1"/>
                <w:sz w:val="20"/>
                <w:szCs w:val="20"/>
                <w:lang w:eastAsia="es-CR"/>
              </w:rPr>
              <w:t>4 diciembre 2023</w:t>
            </w:r>
          </w:p>
        </w:tc>
        <w:tc>
          <w:tcPr>
            <w:tcW w:w="2817" w:type="dxa"/>
            <w:vAlign w:val="center"/>
          </w:tcPr>
          <w:p w14:paraId="5A02DDAB" w14:textId="36A8DD48" w:rsidR="00064F95" w:rsidRPr="008F2C56" w:rsidRDefault="00064F95" w:rsidP="00F400D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Considera la prórroga de los PCGS para el I Trimestre 2024</w:t>
            </w:r>
            <w:r w:rsidR="00FD72F6">
              <w:rPr>
                <w:rFonts w:ascii="Book Antiqua" w:hAnsi="Book Antiqua" w:cs="Arial"/>
                <w:color w:val="000000"/>
                <w:sz w:val="20"/>
                <w:szCs w:val="20"/>
                <w:lang w:eastAsia="es-CR"/>
              </w:rPr>
              <w:t xml:space="preserve">  “.</w:t>
            </w:r>
          </w:p>
        </w:tc>
      </w:tr>
    </w:tbl>
    <w:p w14:paraId="1C7AD4FF" w14:textId="77777777" w:rsidR="00064F95" w:rsidRDefault="00064F95" w:rsidP="00447191">
      <w:pPr>
        <w:spacing w:before="120" w:after="120"/>
        <w:jc w:val="both"/>
        <w:rPr>
          <w:rFonts w:ascii="Book Antiqua" w:eastAsia="Wingdings" w:hAnsi="Book Antiqua"/>
          <w:sz w:val="24"/>
          <w:szCs w:val="24"/>
          <w:lang w:eastAsia="ko-KR"/>
        </w:rPr>
      </w:pPr>
    </w:p>
    <w:p w14:paraId="5C76AD4C" w14:textId="70162448" w:rsidR="00BE58A8" w:rsidRPr="004B5212" w:rsidRDefault="00BE58A8" w:rsidP="00447191">
      <w:pPr>
        <w:spacing w:before="120" w:after="120"/>
        <w:jc w:val="both"/>
        <w:rPr>
          <w:rFonts w:ascii="Book Antiqua" w:eastAsia="Wingdings" w:hAnsi="Book Antiqua"/>
          <w:sz w:val="24"/>
          <w:szCs w:val="24"/>
          <w:lang w:eastAsia="ko-KR"/>
        </w:rPr>
      </w:pPr>
      <w:r w:rsidRPr="002728B1">
        <w:rPr>
          <w:rFonts w:ascii="Book Antiqua" w:eastAsia="Wingdings" w:hAnsi="Book Antiqua"/>
          <w:sz w:val="24"/>
          <w:szCs w:val="24"/>
          <w:lang w:eastAsia="ko-KR"/>
        </w:rPr>
        <w:t xml:space="preserve">Por tal motivo, en atención a lo acordado por el Consejo Superior, se remite el presente informe, el cual se encuentra estructurado en </w:t>
      </w:r>
      <w:r w:rsidR="00520809" w:rsidRPr="002728B1">
        <w:rPr>
          <w:rFonts w:ascii="Book Antiqua" w:eastAsia="Wingdings" w:hAnsi="Book Antiqua"/>
          <w:sz w:val="24"/>
          <w:szCs w:val="24"/>
          <w:lang w:eastAsia="ko-KR"/>
        </w:rPr>
        <w:t>cuatro</w:t>
      </w:r>
      <w:r w:rsidRPr="002728B1">
        <w:rPr>
          <w:rFonts w:ascii="Book Antiqua" w:eastAsia="Wingdings" w:hAnsi="Book Antiqua"/>
          <w:sz w:val="24"/>
          <w:szCs w:val="24"/>
          <w:lang w:eastAsia="ko-KR"/>
        </w:rPr>
        <w:t xml:space="preserve"> capítulos de acuerdo con el siguiente detalle:</w:t>
      </w:r>
    </w:p>
    <w:p w14:paraId="3B8BFA28" w14:textId="4F66C164" w:rsidR="00511699" w:rsidRPr="005C7245" w:rsidRDefault="00BE58A8" w:rsidP="00FD72F6">
      <w:pPr>
        <w:pStyle w:val="Default"/>
        <w:numPr>
          <w:ilvl w:val="0"/>
          <w:numId w:val="1"/>
        </w:numPr>
        <w:tabs>
          <w:tab w:val="left" w:pos="426"/>
        </w:tabs>
        <w:ind w:left="426" w:hanging="426"/>
        <w:jc w:val="both"/>
        <w:rPr>
          <w:rFonts w:ascii="Times New Roman" w:hAnsi="Times New Roman" w:cs="Times New Roman"/>
        </w:rPr>
      </w:pPr>
      <w:r w:rsidRPr="005C7245">
        <w:rPr>
          <w:rFonts w:ascii="Book Antiqua" w:eastAsia="Wingdings" w:hAnsi="Book Antiqua" w:cstheme="minorBidi"/>
          <w:b/>
          <w:color w:val="auto"/>
          <w:u w:val="single"/>
          <w:lang w:eastAsia="ko-KR"/>
        </w:rPr>
        <w:t>Capítulo</w:t>
      </w:r>
      <w:r w:rsidRPr="00257371">
        <w:rPr>
          <w:rFonts w:ascii="Book Antiqua" w:eastAsia="Wingdings" w:hAnsi="Book Antiqua"/>
          <w:b/>
          <w:u w:val="single"/>
          <w:lang w:eastAsia="ko-KR"/>
        </w:rPr>
        <w:t xml:space="preserve"> 1</w:t>
      </w:r>
      <w:r w:rsidR="19560A8B" w:rsidRPr="69309D1B">
        <w:rPr>
          <w:rFonts w:ascii="Book Antiqua" w:eastAsia="Wingdings" w:hAnsi="Book Antiqua"/>
          <w:b/>
          <w:bCs/>
          <w:u w:val="single"/>
          <w:lang w:eastAsia="ko-KR"/>
        </w:rPr>
        <w:t>.</w:t>
      </w:r>
      <w:r w:rsidR="7DF04F60" w:rsidRPr="00257371">
        <w:rPr>
          <w:rFonts w:ascii="Book Antiqua" w:eastAsia="Wingdings" w:hAnsi="Book Antiqua"/>
          <w:b/>
          <w:bCs/>
          <w:u w:val="single"/>
          <w:lang w:eastAsia="ko-KR"/>
        </w:rPr>
        <w:t xml:space="preserve"> </w:t>
      </w:r>
      <w:r w:rsidR="76C0FBA6" w:rsidRPr="00257371">
        <w:rPr>
          <w:rFonts w:ascii="Book Antiqua" w:eastAsia="Wingdings" w:hAnsi="Book Antiqua"/>
          <w:b/>
          <w:bCs/>
          <w:u w:val="single"/>
          <w:lang w:eastAsia="ko-KR"/>
        </w:rPr>
        <w:t>S</w:t>
      </w:r>
      <w:r w:rsidR="2CE8327E" w:rsidRPr="00257371">
        <w:rPr>
          <w:rFonts w:ascii="Book Antiqua" w:eastAsia="Wingdings" w:hAnsi="Book Antiqua"/>
          <w:b/>
          <w:bCs/>
          <w:u w:val="single"/>
          <w:lang w:eastAsia="ko-KR"/>
        </w:rPr>
        <w:t>eguimiento</w:t>
      </w:r>
      <w:r w:rsidR="00252BC2" w:rsidRPr="00257371">
        <w:rPr>
          <w:rFonts w:ascii="Book Antiqua" w:eastAsia="Wingdings" w:hAnsi="Book Antiqua"/>
          <w:b/>
          <w:bCs/>
          <w:u w:val="single"/>
          <w:lang w:eastAsia="ko-KR"/>
        </w:rPr>
        <w:t xml:space="preserve"> </w:t>
      </w:r>
      <w:r w:rsidR="00252BC2" w:rsidRPr="00257371">
        <w:rPr>
          <w:rFonts w:ascii="Book Antiqua" w:eastAsia="Wingdings" w:hAnsi="Book Antiqua"/>
          <w:b/>
          <w:u w:val="single"/>
          <w:lang w:eastAsia="ko-KR"/>
        </w:rPr>
        <w:t xml:space="preserve">de las recomendaciones emitidas </w:t>
      </w:r>
      <w:r w:rsidR="00BA1075" w:rsidRPr="00257371">
        <w:rPr>
          <w:rFonts w:ascii="Book Antiqua" w:eastAsia="Wingdings" w:hAnsi="Book Antiqua"/>
          <w:b/>
          <w:bCs/>
          <w:u w:val="single"/>
          <w:lang w:eastAsia="ko-KR"/>
        </w:rPr>
        <w:t xml:space="preserve">en el informe </w:t>
      </w:r>
      <w:r w:rsidR="000E05E3">
        <w:rPr>
          <w:rFonts w:ascii="Book Antiqua" w:eastAsia="Wingdings" w:hAnsi="Book Antiqua"/>
          <w:b/>
          <w:bCs/>
          <w:u w:val="single"/>
          <w:lang w:eastAsia="ko-KR"/>
        </w:rPr>
        <w:t>277</w:t>
      </w:r>
      <w:r w:rsidR="00BA1075" w:rsidRPr="00257371">
        <w:rPr>
          <w:rFonts w:ascii="Book Antiqua" w:eastAsia="Wingdings" w:hAnsi="Book Antiqua"/>
          <w:b/>
          <w:bCs/>
          <w:u w:val="single"/>
          <w:lang w:eastAsia="ko-KR"/>
        </w:rPr>
        <w:t>-PLA-PP-</w:t>
      </w:r>
      <w:r w:rsidR="4B974B2B" w:rsidRPr="00257371">
        <w:rPr>
          <w:rFonts w:ascii="Book Antiqua" w:eastAsia="Wingdings" w:hAnsi="Book Antiqua"/>
          <w:b/>
          <w:bCs/>
          <w:u w:val="single"/>
          <w:lang w:eastAsia="ko-KR"/>
        </w:rPr>
        <w:t>202</w:t>
      </w:r>
      <w:r w:rsidR="000E05E3">
        <w:rPr>
          <w:rFonts w:ascii="Book Antiqua" w:eastAsia="Wingdings" w:hAnsi="Book Antiqua"/>
          <w:b/>
          <w:bCs/>
          <w:u w:val="single"/>
          <w:lang w:eastAsia="ko-KR"/>
        </w:rPr>
        <w:t>3</w:t>
      </w:r>
      <w:r w:rsidR="0A5C3F43" w:rsidRPr="00257371">
        <w:rPr>
          <w:rFonts w:ascii="Book Antiqua" w:eastAsia="Wingdings" w:hAnsi="Book Antiqua"/>
          <w:b/>
          <w:bCs/>
          <w:u w:val="single"/>
          <w:lang w:eastAsia="ko-KR"/>
        </w:rPr>
        <w:t>:</w:t>
      </w:r>
      <w:r w:rsidR="00B250A8" w:rsidRPr="69309D1B" w:rsidDel="002E6581">
        <w:rPr>
          <w:rFonts w:ascii="Book Antiqua" w:eastAsia="Wingdings" w:hAnsi="Book Antiqua"/>
          <w:b/>
          <w:lang w:eastAsia="ko-KR"/>
        </w:rPr>
        <w:t xml:space="preserve"> </w:t>
      </w:r>
      <w:r w:rsidR="007A73C0">
        <w:rPr>
          <w:rFonts w:ascii="Book Antiqua" w:eastAsia="Wingdings" w:hAnsi="Book Antiqua"/>
          <w:lang w:eastAsia="ko-KR"/>
        </w:rPr>
        <w:t>En este apartado se da seguimiento a las recomendaciones</w:t>
      </w:r>
      <w:r w:rsidR="00B250A8">
        <w:rPr>
          <w:rFonts w:ascii="Book Antiqua" w:eastAsia="Wingdings" w:hAnsi="Book Antiqua"/>
          <w:lang w:eastAsia="ko-KR"/>
        </w:rPr>
        <w:t xml:space="preserve"> </w:t>
      </w:r>
      <w:r w:rsidR="007A73C0">
        <w:rPr>
          <w:rFonts w:ascii="Book Antiqua" w:eastAsia="Wingdings" w:hAnsi="Book Antiqua"/>
          <w:lang w:eastAsia="ko-KR"/>
        </w:rPr>
        <w:t xml:space="preserve">plasmadas en el informe </w:t>
      </w:r>
      <w:r w:rsidR="00AB6539">
        <w:rPr>
          <w:rFonts w:ascii="Book Antiqua" w:eastAsia="Wingdings" w:hAnsi="Book Antiqua"/>
          <w:lang w:eastAsia="ko-KR"/>
        </w:rPr>
        <w:t>277</w:t>
      </w:r>
      <w:r w:rsidR="007A73C0">
        <w:rPr>
          <w:rFonts w:ascii="Book Antiqua" w:eastAsia="Wingdings" w:hAnsi="Book Antiqua"/>
          <w:lang w:eastAsia="ko-KR"/>
        </w:rPr>
        <w:t>-PLA-PP-202</w:t>
      </w:r>
      <w:r w:rsidR="00AB6539">
        <w:rPr>
          <w:rFonts w:ascii="Book Antiqua" w:eastAsia="Wingdings" w:hAnsi="Book Antiqua"/>
          <w:lang w:eastAsia="ko-KR"/>
        </w:rPr>
        <w:t>3</w:t>
      </w:r>
      <w:r w:rsidR="009B6E80">
        <w:rPr>
          <w:rFonts w:ascii="Book Antiqua" w:eastAsia="Wingdings" w:hAnsi="Book Antiqua"/>
          <w:lang w:eastAsia="ko-KR"/>
        </w:rPr>
        <w:t xml:space="preserve">, </w:t>
      </w:r>
      <w:r w:rsidR="00252BC2" w:rsidRPr="004B5212">
        <w:rPr>
          <w:rFonts w:ascii="Book Antiqua" w:eastAsia="Wingdings" w:hAnsi="Book Antiqua"/>
          <w:lang w:eastAsia="ko-KR"/>
        </w:rPr>
        <w:t xml:space="preserve">aprobadas por el Consejo Superior en sesión </w:t>
      </w:r>
      <w:r w:rsidR="005C7245">
        <w:rPr>
          <w:rFonts w:ascii="Book Antiqua" w:eastAsia="Wingdings" w:hAnsi="Book Antiqua"/>
          <w:lang w:eastAsia="ko-KR"/>
        </w:rPr>
        <w:t>35</w:t>
      </w:r>
      <w:r w:rsidR="00E16706" w:rsidRPr="004B5212">
        <w:rPr>
          <w:rFonts w:ascii="Book Antiqua" w:eastAsia="Wingdings" w:hAnsi="Book Antiqua"/>
          <w:lang w:eastAsia="ko-KR"/>
        </w:rPr>
        <w:t>-202</w:t>
      </w:r>
      <w:r w:rsidR="005C7245">
        <w:rPr>
          <w:rFonts w:ascii="Book Antiqua" w:eastAsia="Wingdings" w:hAnsi="Book Antiqua"/>
          <w:lang w:eastAsia="ko-KR"/>
        </w:rPr>
        <w:t>3</w:t>
      </w:r>
      <w:r w:rsidR="00E16706" w:rsidRPr="004B5212">
        <w:rPr>
          <w:rFonts w:ascii="Book Antiqua" w:eastAsia="Wingdings" w:hAnsi="Book Antiqua"/>
          <w:lang w:eastAsia="ko-KR"/>
        </w:rPr>
        <w:t xml:space="preserve"> del </w:t>
      </w:r>
      <w:r w:rsidR="005C7245">
        <w:rPr>
          <w:rFonts w:ascii="Book Antiqua" w:eastAsia="Wingdings" w:hAnsi="Book Antiqua"/>
          <w:lang w:eastAsia="ko-KR"/>
        </w:rPr>
        <w:t>26</w:t>
      </w:r>
      <w:r w:rsidR="00E16706" w:rsidRPr="004B5212">
        <w:rPr>
          <w:rFonts w:ascii="Book Antiqua" w:eastAsia="Wingdings" w:hAnsi="Book Antiqua"/>
          <w:lang w:eastAsia="ko-KR"/>
        </w:rPr>
        <w:t xml:space="preserve"> de </w:t>
      </w:r>
      <w:r w:rsidR="005C7245">
        <w:rPr>
          <w:rFonts w:ascii="Book Antiqua" w:eastAsia="Wingdings" w:hAnsi="Book Antiqua"/>
          <w:lang w:eastAsia="ko-KR"/>
        </w:rPr>
        <w:t>abril</w:t>
      </w:r>
      <w:r w:rsidR="00E16706" w:rsidRPr="004B5212">
        <w:rPr>
          <w:rFonts w:ascii="Book Antiqua" w:eastAsia="Wingdings" w:hAnsi="Book Antiqua"/>
          <w:lang w:eastAsia="ko-KR"/>
        </w:rPr>
        <w:t xml:space="preserve"> de 202</w:t>
      </w:r>
      <w:r w:rsidR="005C7245">
        <w:rPr>
          <w:rFonts w:ascii="Book Antiqua" w:eastAsia="Wingdings" w:hAnsi="Book Antiqua"/>
          <w:lang w:eastAsia="ko-KR"/>
        </w:rPr>
        <w:t>3</w:t>
      </w:r>
      <w:r w:rsidR="00E16706" w:rsidRPr="004B5212">
        <w:rPr>
          <w:rFonts w:ascii="Book Antiqua" w:eastAsia="Wingdings" w:hAnsi="Book Antiqua"/>
          <w:lang w:eastAsia="ko-KR"/>
        </w:rPr>
        <w:t xml:space="preserve">, artículo </w:t>
      </w:r>
      <w:r w:rsidR="005C7245" w:rsidRPr="005C7245">
        <w:rPr>
          <w:rFonts w:ascii="Times New Roman" w:hAnsi="Times New Roman" w:cs="Times New Roman"/>
          <w:b/>
          <w:bCs/>
          <w:sz w:val="26"/>
          <w:szCs w:val="26"/>
        </w:rPr>
        <w:t>XXXIX</w:t>
      </w:r>
      <w:r w:rsidR="2DD686ED" w:rsidRPr="005C7245">
        <w:rPr>
          <w:rFonts w:ascii="Book Antiqua" w:eastAsia="Wingdings" w:hAnsi="Book Antiqua"/>
          <w:lang w:eastAsia="ko-KR"/>
        </w:rPr>
        <w:t>.</w:t>
      </w:r>
    </w:p>
    <w:p w14:paraId="5AB513D6" w14:textId="004FF764" w:rsidR="00BE58A8" w:rsidRPr="004B5212" w:rsidRDefault="00BE58A8" w:rsidP="00FD72F6">
      <w:pPr>
        <w:pStyle w:val="Prrafodelista"/>
        <w:numPr>
          <w:ilvl w:val="0"/>
          <w:numId w:val="1"/>
        </w:numPr>
        <w:tabs>
          <w:tab w:val="left" w:pos="426"/>
        </w:tabs>
        <w:spacing w:before="240" w:after="240"/>
        <w:ind w:left="426" w:hanging="426"/>
        <w:jc w:val="both"/>
        <w:rPr>
          <w:rFonts w:ascii="Book Antiqua" w:eastAsia="Wingdings" w:hAnsi="Book Antiqua"/>
          <w:sz w:val="24"/>
          <w:szCs w:val="24"/>
          <w:lang w:eastAsia="ko-KR"/>
        </w:rPr>
      </w:pPr>
      <w:r w:rsidRPr="00257371">
        <w:rPr>
          <w:rFonts w:ascii="Book Antiqua" w:eastAsia="Wingdings" w:hAnsi="Book Antiqua"/>
          <w:b/>
          <w:sz w:val="24"/>
          <w:szCs w:val="24"/>
          <w:u w:val="single"/>
          <w:lang w:eastAsia="ko-KR"/>
        </w:rPr>
        <w:t>Capítulo 2</w:t>
      </w:r>
      <w:r w:rsidR="19560A8B" w:rsidRPr="69309D1B">
        <w:rPr>
          <w:rFonts w:ascii="Book Antiqua" w:eastAsia="Wingdings" w:hAnsi="Book Antiqua"/>
          <w:b/>
          <w:bCs/>
          <w:sz w:val="24"/>
          <w:szCs w:val="24"/>
          <w:u w:val="single"/>
          <w:lang w:eastAsia="ko-KR"/>
        </w:rPr>
        <w:t>.</w:t>
      </w:r>
      <w:r w:rsidR="7DF04F60" w:rsidRPr="00257371">
        <w:rPr>
          <w:b/>
          <w:bCs/>
          <w:u w:val="single"/>
        </w:rPr>
        <w:t xml:space="preserve"> </w:t>
      </w:r>
      <w:r w:rsidR="2FA93F84" w:rsidRPr="00257371">
        <w:rPr>
          <w:rFonts w:ascii="Book Antiqua" w:eastAsia="Wingdings" w:hAnsi="Book Antiqua"/>
          <w:b/>
          <w:bCs/>
          <w:sz w:val="24"/>
          <w:szCs w:val="24"/>
          <w:u w:val="single"/>
          <w:lang w:eastAsia="ko-KR"/>
        </w:rPr>
        <w:t>Seguimiento de los</w:t>
      </w:r>
      <w:r w:rsidRPr="00257371">
        <w:rPr>
          <w:rFonts w:ascii="Book Antiqua" w:eastAsia="Wingdings" w:hAnsi="Book Antiqua"/>
          <w:b/>
          <w:sz w:val="24"/>
          <w:szCs w:val="24"/>
          <w:u w:val="single"/>
          <w:lang w:eastAsia="ko-KR"/>
        </w:rPr>
        <w:t xml:space="preserve"> Proyectos Estratégicos</w:t>
      </w:r>
      <w:r w:rsidR="00F03E22" w:rsidRPr="00257371">
        <w:rPr>
          <w:rFonts w:ascii="Book Antiqua" w:eastAsia="Wingdings" w:hAnsi="Book Antiqua"/>
          <w:b/>
          <w:sz w:val="24"/>
          <w:szCs w:val="24"/>
          <w:u w:val="single"/>
          <w:lang w:eastAsia="ko-KR"/>
        </w:rPr>
        <w:t xml:space="preserve"> al </w:t>
      </w:r>
      <w:r w:rsidR="005C7245">
        <w:rPr>
          <w:rFonts w:ascii="Book Antiqua" w:eastAsia="Wingdings" w:hAnsi="Book Antiqua"/>
          <w:b/>
          <w:sz w:val="24"/>
          <w:szCs w:val="24"/>
          <w:u w:val="single"/>
          <w:lang w:eastAsia="ko-KR"/>
        </w:rPr>
        <w:t>28-4</w:t>
      </w:r>
      <w:r w:rsidR="00F03E22" w:rsidRPr="00257371">
        <w:rPr>
          <w:rFonts w:ascii="Book Antiqua" w:eastAsia="Wingdings" w:hAnsi="Book Antiqua"/>
          <w:b/>
          <w:sz w:val="24"/>
          <w:szCs w:val="24"/>
          <w:u w:val="single"/>
          <w:lang w:eastAsia="ko-KR"/>
        </w:rPr>
        <w:t>-202</w:t>
      </w:r>
      <w:r w:rsidR="005C7245">
        <w:rPr>
          <w:rFonts w:ascii="Book Antiqua" w:eastAsia="Wingdings" w:hAnsi="Book Antiqua"/>
          <w:b/>
          <w:sz w:val="24"/>
          <w:szCs w:val="24"/>
          <w:u w:val="single"/>
          <w:lang w:eastAsia="ko-KR"/>
        </w:rPr>
        <w:t>3</w:t>
      </w:r>
      <w:r w:rsidR="00F03E22" w:rsidRPr="00257371">
        <w:rPr>
          <w:rFonts w:ascii="Book Antiqua" w:eastAsia="Wingdings" w:hAnsi="Book Antiqua"/>
          <w:b/>
          <w:sz w:val="24"/>
          <w:szCs w:val="24"/>
          <w:u w:val="single"/>
          <w:lang w:eastAsia="ko-KR"/>
        </w:rPr>
        <w:t>:</w:t>
      </w:r>
      <w:r w:rsidR="00F03E22">
        <w:rPr>
          <w:rFonts w:ascii="Book Antiqua" w:eastAsia="Wingdings" w:hAnsi="Book Antiqua"/>
          <w:b/>
          <w:bCs/>
          <w:sz w:val="24"/>
          <w:szCs w:val="24"/>
          <w:lang w:eastAsia="ko-KR"/>
        </w:rPr>
        <w:t xml:space="preserve"> </w:t>
      </w:r>
      <w:r w:rsidR="00CE2901" w:rsidRPr="00257371">
        <w:rPr>
          <w:rFonts w:ascii="Book Antiqua" w:eastAsia="Wingdings" w:hAnsi="Book Antiqua"/>
          <w:sz w:val="24"/>
          <w:szCs w:val="24"/>
          <w:lang w:eastAsia="ko-KR"/>
        </w:rPr>
        <w:t xml:space="preserve">Se detalla el estado y avance reportado por los proyectos estratégicos para el período comprendido del </w:t>
      </w:r>
      <w:r w:rsidR="00BA193F" w:rsidRPr="00257371">
        <w:rPr>
          <w:rFonts w:ascii="Book Antiqua" w:eastAsia="Wingdings" w:hAnsi="Book Antiqua"/>
          <w:sz w:val="24"/>
          <w:szCs w:val="24"/>
          <w:lang w:eastAsia="ko-KR"/>
        </w:rPr>
        <w:t>primer día hábil del 202</w:t>
      </w:r>
      <w:r w:rsidR="005C7245">
        <w:rPr>
          <w:rFonts w:ascii="Book Antiqua" w:eastAsia="Wingdings" w:hAnsi="Book Antiqua"/>
          <w:sz w:val="24"/>
          <w:szCs w:val="24"/>
          <w:lang w:eastAsia="ko-KR"/>
        </w:rPr>
        <w:t>3</w:t>
      </w:r>
      <w:r w:rsidR="00BA193F" w:rsidRPr="00257371">
        <w:rPr>
          <w:rFonts w:ascii="Book Antiqua" w:eastAsia="Wingdings" w:hAnsi="Book Antiqua"/>
          <w:sz w:val="24"/>
          <w:szCs w:val="24"/>
          <w:lang w:eastAsia="ko-KR"/>
        </w:rPr>
        <w:t xml:space="preserve"> hasta el </w:t>
      </w:r>
      <w:r w:rsidR="005C7245">
        <w:rPr>
          <w:rFonts w:ascii="Book Antiqua" w:eastAsia="Wingdings" w:hAnsi="Book Antiqua"/>
          <w:sz w:val="24"/>
          <w:szCs w:val="24"/>
          <w:lang w:eastAsia="ko-KR"/>
        </w:rPr>
        <w:t>28 de abril</w:t>
      </w:r>
      <w:r w:rsidR="00BA193F" w:rsidRPr="00257371">
        <w:rPr>
          <w:rFonts w:ascii="Book Antiqua" w:eastAsia="Wingdings" w:hAnsi="Book Antiqua"/>
          <w:sz w:val="24"/>
          <w:szCs w:val="24"/>
          <w:lang w:eastAsia="ko-KR"/>
        </w:rPr>
        <w:t xml:space="preserve"> del año en curso. </w:t>
      </w:r>
      <w:r w:rsidRPr="004B5212">
        <w:rPr>
          <w:rFonts w:ascii="Book Antiqua" w:eastAsia="Wingdings" w:hAnsi="Book Antiqua"/>
          <w:sz w:val="24"/>
          <w:szCs w:val="24"/>
          <w:lang w:eastAsia="ko-KR"/>
        </w:rPr>
        <w:t xml:space="preserve">Adicionalmente, para el caso de los proyectos en los cuales se concedieron licencias de permiso con goce de salario, según lo estipulado en el artículo 44 de la Ley Orgánica del Poder Judicial, </w:t>
      </w:r>
      <w:r w:rsidRPr="00257371">
        <w:rPr>
          <w:rFonts w:ascii="Book Antiqua" w:eastAsia="Wingdings" w:hAnsi="Book Antiqua"/>
          <w:sz w:val="24"/>
          <w:szCs w:val="24"/>
          <w:lang w:eastAsia="ko-KR"/>
        </w:rPr>
        <w:t>se incorpora el seguimiento</w:t>
      </w:r>
      <w:r w:rsidR="004308A9">
        <w:rPr>
          <w:rFonts w:ascii="Book Antiqua" w:eastAsia="Wingdings" w:hAnsi="Book Antiqua"/>
          <w:sz w:val="24"/>
          <w:szCs w:val="24"/>
          <w:lang w:eastAsia="ko-KR"/>
        </w:rPr>
        <w:t>.</w:t>
      </w:r>
    </w:p>
    <w:p w14:paraId="50D61817" w14:textId="23019CD5" w:rsidR="004308A9" w:rsidRPr="004308A9" w:rsidRDefault="00BE58A8" w:rsidP="00F400D6">
      <w:pPr>
        <w:pStyle w:val="Prrafodelista"/>
        <w:numPr>
          <w:ilvl w:val="0"/>
          <w:numId w:val="1"/>
        </w:numPr>
        <w:tabs>
          <w:tab w:val="left" w:pos="567"/>
        </w:tabs>
        <w:spacing w:before="240" w:after="240"/>
        <w:ind w:left="426"/>
        <w:jc w:val="both"/>
        <w:rPr>
          <w:rFonts w:ascii="Book Antiqua" w:hAnsi="Book Antiqua"/>
        </w:rPr>
      </w:pPr>
      <w:r w:rsidRPr="004308A9">
        <w:rPr>
          <w:rFonts w:ascii="Book Antiqua" w:eastAsia="Wingdings" w:hAnsi="Book Antiqua"/>
          <w:b/>
          <w:bCs/>
          <w:sz w:val="24"/>
          <w:szCs w:val="24"/>
          <w:u w:val="single"/>
          <w:lang w:eastAsia="ko-KR"/>
        </w:rPr>
        <w:t>Capítulo 3</w:t>
      </w:r>
      <w:r w:rsidR="19560A8B" w:rsidRPr="004308A9">
        <w:rPr>
          <w:rFonts w:ascii="Book Antiqua" w:eastAsia="Wingdings" w:hAnsi="Book Antiqua"/>
          <w:b/>
          <w:bCs/>
          <w:sz w:val="24"/>
          <w:szCs w:val="24"/>
          <w:u w:val="single"/>
          <w:lang w:eastAsia="ko-KR"/>
        </w:rPr>
        <w:t>.</w:t>
      </w:r>
      <w:r w:rsidRPr="004308A9">
        <w:rPr>
          <w:rFonts w:ascii="Book Antiqua" w:eastAsia="Wingdings" w:hAnsi="Book Antiqua"/>
          <w:b/>
          <w:bCs/>
          <w:sz w:val="24"/>
          <w:szCs w:val="24"/>
          <w:u w:val="single"/>
          <w:lang w:eastAsia="ko-KR"/>
        </w:rPr>
        <w:t xml:space="preserve"> </w:t>
      </w:r>
      <w:r w:rsidR="007F4A28" w:rsidRPr="004308A9">
        <w:rPr>
          <w:rFonts w:ascii="Book Antiqua" w:eastAsia="Wingdings" w:hAnsi="Book Antiqua"/>
          <w:b/>
          <w:bCs/>
          <w:sz w:val="24"/>
          <w:szCs w:val="24"/>
          <w:u w:val="single"/>
          <w:lang w:eastAsia="ko-KR"/>
        </w:rPr>
        <w:t xml:space="preserve">Seguimiento de las labores operativas </w:t>
      </w:r>
      <w:r w:rsidR="003B6FB6" w:rsidRPr="004308A9">
        <w:rPr>
          <w:rFonts w:ascii="Book Antiqua" w:eastAsia="Wingdings" w:hAnsi="Book Antiqua"/>
          <w:b/>
          <w:bCs/>
          <w:sz w:val="24"/>
          <w:szCs w:val="24"/>
          <w:u w:val="single"/>
          <w:lang w:eastAsia="ko-KR"/>
        </w:rPr>
        <w:t>que cuentan con PCGS y aplican la metodología de administración de proyectos</w:t>
      </w:r>
      <w:r w:rsidR="008201C7">
        <w:rPr>
          <w:rFonts w:ascii="Book Antiqua" w:eastAsia="Wingdings" w:hAnsi="Book Antiqua"/>
          <w:b/>
          <w:bCs/>
          <w:sz w:val="24"/>
          <w:szCs w:val="24"/>
          <w:u w:val="single"/>
          <w:lang w:eastAsia="ko-KR"/>
        </w:rPr>
        <w:t>, según indicación del Consejo Superior</w:t>
      </w:r>
      <w:r w:rsidRPr="004308A9">
        <w:rPr>
          <w:rFonts w:ascii="Book Antiqua" w:eastAsia="Wingdings" w:hAnsi="Book Antiqua"/>
          <w:b/>
          <w:sz w:val="24"/>
          <w:szCs w:val="24"/>
          <w:u w:val="single"/>
          <w:lang w:eastAsia="ko-KR"/>
        </w:rPr>
        <w:t>:</w:t>
      </w:r>
      <w:r w:rsidRPr="004308A9">
        <w:rPr>
          <w:rFonts w:ascii="Book Antiqua" w:eastAsia="Wingdings" w:hAnsi="Book Antiqua"/>
          <w:sz w:val="24"/>
          <w:szCs w:val="24"/>
          <w:lang w:eastAsia="ko-KR"/>
        </w:rPr>
        <w:t xml:space="preserve"> </w:t>
      </w:r>
      <w:r w:rsidR="00740AAE" w:rsidRPr="004308A9">
        <w:rPr>
          <w:rFonts w:ascii="Book Antiqua" w:eastAsia="Wingdings" w:hAnsi="Book Antiqua"/>
          <w:sz w:val="24"/>
          <w:szCs w:val="24"/>
          <w:lang w:eastAsia="ko-KR"/>
        </w:rPr>
        <w:t>S</w:t>
      </w:r>
      <w:r w:rsidRPr="004308A9">
        <w:rPr>
          <w:rFonts w:ascii="Book Antiqua" w:eastAsia="Wingdings" w:hAnsi="Book Antiqua"/>
          <w:sz w:val="24"/>
          <w:szCs w:val="24"/>
          <w:lang w:eastAsia="ko-KR"/>
        </w:rPr>
        <w:t xml:space="preserve">e incluye el detalle del seguimiento realizado específicamente a las labores operativas que poseen asignados permisos con goce </w:t>
      </w:r>
      <w:r w:rsidR="004034F2" w:rsidRPr="004308A9">
        <w:rPr>
          <w:rFonts w:ascii="Book Antiqua" w:eastAsia="Wingdings" w:hAnsi="Book Antiqua"/>
          <w:sz w:val="24"/>
          <w:szCs w:val="24"/>
          <w:lang w:eastAsia="ko-KR"/>
        </w:rPr>
        <w:t>otorgados</w:t>
      </w:r>
      <w:r w:rsidRPr="004308A9">
        <w:rPr>
          <w:rFonts w:ascii="Book Antiqua" w:eastAsia="Wingdings" w:hAnsi="Book Antiqua"/>
          <w:sz w:val="24"/>
          <w:szCs w:val="24"/>
          <w:lang w:eastAsia="ko-KR"/>
        </w:rPr>
        <w:t xml:space="preserve"> mediante el artículo 44 de la Ley Orgánica del Poder Judicial para el período comprendido </w:t>
      </w:r>
      <w:r w:rsidR="004308A9" w:rsidRPr="00257371">
        <w:rPr>
          <w:rFonts w:ascii="Book Antiqua" w:eastAsia="Wingdings" w:hAnsi="Book Antiqua"/>
          <w:sz w:val="24"/>
          <w:szCs w:val="24"/>
          <w:lang w:eastAsia="ko-KR"/>
        </w:rPr>
        <w:t>primer día hábil del 202</w:t>
      </w:r>
      <w:r w:rsidR="004308A9">
        <w:rPr>
          <w:rFonts w:ascii="Book Antiqua" w:eastAsia="Wingdings" w:hAnsi="Book Antiqua"/>
          <w:sz w:val="24"/>
          <w:szCs w:val="24"/>
          <w:lang w:eastAsia="ko-KR"/>
        </w:rPr>
        <w:t>3</w:t>
      </w:r>
      <w:r w:rsidR="004308A9" w:rsidRPr="00257371">
        <w:rPr>
          <w:rFonts w:ascii="Book Antiqua" w:eastAsia="Wingdings" w:hAnsi="Book Antiqua"/>
          <w:sz w:val="24"/>
          <w:szCs w:val="24"/>
          <w:lang w:eastAsia="ko-KR"/>
        </w:rPr>
        <w:t xml:space="preserve"> hasta el </w:t>
      </w:r>
      <w:r w:rsidR="004308A9">
        <w:rPr>
          <w:rFonts w:ascii="Book Antiqua" w:eastAsia="Wingdings" w:hAnsi="Book Antiqua"/>
          <w:sz w:val="24"/>
          <w:szCs w:val="24"/>
          <w:lang w:eastAsia="ko-KR"/>
        </w:rPr>
        <w:t>28 de abril</w:t>
      </w:r>
      <w:r w:rsidR="004308A9" w:rsidRPr="00257371">
        <w:rPr>
          <w:rFonts w:ascii="Book Antiqua" w:eastAsia="Wingdings" w:hAnsi="Book Antiqua"/>
          <w:sz w:val="24"/>
          <w:szCs w:val="24"/>
          <w:lang w:eastAsia="ko-KR"/>
        </w:rPr>
        <w:t xml:space="preserve"> del año en curso</w:t>
      </w:r>
      <w:r w:rsidR="004308A9" w:rsidRPr="004308A9">
        <w:rPr>
          <w:rFonts w:ascii="Book Antiqua" w:eastAsia="Wingdings" w:hAnsi="Book Antiqua"/>
          <w:b/>
          <w:sz w:val="24"/>
          <w:szCs w:val="24"/>
          <w:u w:val="single"/>
          <w:lang w:eastAsia="ko-KR"/>
        </w:rPr>
        <w:t xml:space="preserve"> </w:t>
      </w:r>
    </w:p>
    <w:p w14:paraId="6503408F" w14:textId="41A25787" w:rsidR="00C75133" w:rsidRPr="00EF4E17" w:rsidRDefault="00BE58A8" w:rsidP="00C75133">
      <w:pPr>
        <w:pStyle w:val="Prrafodelista"/>
        <w:numPr>
          <w:ilvl w:val="0"/>
          <w:numId w:val="1"/>
        </w:numPr>
        <w:tabs>
          <w:tab w:val="left" w:pos="567"/>
        </w:tabs>
        <w:spacing w:before="240" w:after="240"/>
        <w:ind w:left="426"/>
        <w:jc w:val="both"/>
        <w:rPr>
          <w:rFonts w:ascii="Book Antiqua" w:hAnsi="Book Antiqua"/>
        </w:rPr>
      </w:pPr>
      <w:r w:rsidRPr="004308A9">
        <w:rPr>
          <w:rFonts w:ascii="Book Antiqua" w:eastAsia="Wingdings" w:hAnsi="Book Antiqua"/>
          <w:b/>
          <w:sz w:val="24"/>
          <w:szCs w:val="24"/>
          <w:u w:val="single"/>
          <w:lang w:eastAsia="ko-KR"/>
        </w:rPr>
        <w:t>Capítulo 4</w:t>
      </w:r>
      <w:r w:rsidR="00D3678A" w:rsidRPr="004308A9">
        <w:rPr>
          <w:rFonts w:ascii="Book Antiqua" w:eastAsia="Wingdings" w:hAnsi="Book Antiqua"/>
          <w:b/>
          <w:bCs/>
          <w:sz w:val="24"/>
          <w:szCs w:val="24"/>
          <w:u w:val="single"/>
          <w:lang w:eastAsia="ko-KR"/>
        </w:rPr>
        <w:t>. Análisis de los PCGS para el tercer trimestre del 202</w:t>
      </w:r>
      <w:r w:rsidR="004308A9">
        <w:rPr>
          <w:rFonts w:ascii="Book Antiqua" w:eastAsia="Wingdings" w:hAnsi="Book Antiqua"/>
          <w:b/>
          <w:bCs/>
          <w:sz w:val="24"/>
          <w:szCs w:val="24"/>
          <w:u w:val="single"/>
          <w:lang w:eastAsia="ko-KR"/>
        </w:rPr>
        <w:t>3</w:t>
      </w:r>
      <w:r w:rsidRPr="004308A9">
        <w:rPr>
          <w:rFonts w:ascii="Book Antiqua" w:eastAsia="Wingdings" w:hAnsi="Book Antiqua"/>
          <w:sz w:val="24"/>
          <w:szCs w:val="24"/>
          <w:lang w:eastAsia="ko-KR"/>
        </w:rPr>
        <w:t xml:space="preserve">: </w:t>
      </w:r>
      <w:r w:rsidR="00740AAE" w:rsidRPr="004308A9">
        <w:rPr>
          <w:rFonts w:ascii="Book Antiqua" w:eastAsia="Wingdings" w:hAnsi="Book Antiqua"/>
          <w:sz w:val="24"/>
          <w:szCs w:val="24"/>
          <w:lang w:eastAsia="ko-KR"/>
        </w:rPr>
        <w:t>S</w:t>
      </w:r>
      <w:r w:rsidRPr="004308A9">
        <w:rPr>
          <w:rFonts w:ascii="Book Antiqua" w:eastAsia="Wingdings" w:hAnsi="Book Antiqua"/>
          <w:sz w:val="24"/>
          <w:szCs w:val="24"/>
          <w:lang w:eastAsia="ko-KR"/>
        </w:rPr>
        <w:t xml:space="preserve">e incluye el </w:t>
      </w:r>
      <w:bookmarkStart w:id="1" w:name="_Hlk89943477"/>
      <w:r w:rsidRPr="004308A9">
        <w:rPr>
          <w:rFonts w:ascii="Book Antiqua" w:eastAsia="Wingdings" w:hAnsi="Book Antiqua"/>
          <w:sz w:val="24"/>
          <w:szCs w:val="24"/>
          <w:lang w:eastAsia="ko-KR"/>
        </w:rPr>
        <w:t xml:space="preserve">análisis de los permisos con goce de salario </w:t>
      </w:r>
      <w:r w:rsidR="004E19B8" w:rsidRPr="004308A9">
        <w:rPr>
          <w:rFonts w:ascii="Book Antiqua" w:eastAsia="Wingdings" w:hAnsi="Book Antiqua"/>
          <w:sz w:val="24"/>
          <w:szCs w:val="24"/>
          <w:lang w:eastAsia="ko-KR"/>
        </w:rPr>
        <w:t>que solicitan ser prorrogados para el tercer trimestre del año 202</w:t>
      </w:r>
      <w:r w:rsidR="004308A9">
        <w:rPr>
          <w:rFonts w:ascii="Book Antiqua" w:eastAsia="Wingdings" w:hAnsi="Book Antiqua"/>
          <w:sz w:val="24"/>
          <w:szCs w:val="24"/>
          <w:lang w:eastAsia="ko-KR"/>
        </w:rPr>
        <w:t>3</w:t>
      </w:r>
      <w:r w:rsidR="004E19B8" w:rsidRPr="004308A9">
        <w:rPr>
          <w:rFonts w:ascii="Book Antiqua" w:eastAsia="Wingdings" w:hAnsi="Book Antiqua"/>
          <w:sz w:val="24"/>
          <w:szCs w:val="24"/>
          <w:lang w:eastAsia="ko-KR"/>
        </w:rPr>
        <w:t xml:space="preserve">, se contemplan tanto las necesidades de los </w:t>
      </w:r>
      <w:bookmarkEnd w:id="1"/>
      <w:r w:rsidRPr="00C75133">
        <w:rPr>
          <w:rFonts w:ascii="Book Antiqua" w:eastAsia="Wingdings" w:hAnsi="Book Antiqua"/>
          <w:sz w:val="24"/>
          <w:szCs w:val="24"/>
          <w:lang w:eastAsia="ko-KR"/>
        </w:rPr>
        <w:t>proyectos estratégicos y labores operativas</w:t>
      </w:r>
      <w:r w:rsidR="004E19B8" w:rsidRPr="00C75133">
        <w:rPr>
          <w:rFonts w:ascii="Book Antiqua" w:eastAsia="Wingdings" w:hAnsi="Book Antiqua"/>
          <w:sz w:val="24"/>
          <w:szCs w:val="24"/>
          <w:lang w:eastAsia="ko-KR"/>
        </w:rPr>
        <w:t xml:space="preserve"> de los diferentes programas presupuestarios</w:t>
      </w:r>
      <w:r w:rsidR="00E202F9" w:rsidRPr="00C75133">
        <w:rPr>
          <w:rFonts w:ascii="Book Antiqua" w:eastAsia="Wingdings" w:hAnsi="Book Antiqua"/>
          <w:sz w:val="24"/>
          <w:szCs w:val="24"/>
          <w:lang w:eastAsia="ko-KR"/>
        </w:rPr>
        <w:t>.</w:t>
      </w:r>
    </w:p>
    <w:p w14:paraId="59F6DD0E" w14:textId="24473AA9" w:rsidR="000310A2" w:rsidRPr="00EF4E17" w:rsidRDefault="004308A9" w:rsidP="00C75133">
      <w:pPr>
        <w:pStyle w:val="Prrafodelista"/>
        <w:numPr>
          <w:ilvl w:val="0"/>
          <w:numId w:val="1"/>
        </w:numPr>
        <w:tabs>
          <w:tab w:val="left" w:pos="567"/>
        </w:tabs>
        <w:spacing w:before="240" w:after="240"/>
        <w:ind w:left="426"/>
        <w:jc w:val="both"/>
        <w:rPr>
          <w:rFonts w:ascii="Book Antiqua" w:hAnsi="Book Antiqua"/>
        </w:rPr>
      </w:pPr>
      <w:r w:rsidRPr="000E2F21">
        <w:rPr>
          <w:rFonts w:ascii="Book Antiqua" w:eastAsia="Wingdings" w:hAnsi="Book Antiqua"/>
          <w:b/>
          <w:sz w:val="24"/>
          <w:szCs w:val="24"/>
          <w:u w:val="single"/>
          <w:lang w:eastAsia="ko-KR"/>
        </w:rPr>
        <w:t>Cap</w:t>
      </w:r>
      <w:r w:rsidR="00A553BF" w:rsidRPr="000E2F21">
        <w:rPr>
          <w:rFonts w:ascii="Book Antiqua" w:eastAsia="Wingdings" w:hAnsi="Book Antiqua"/>
          <w:b/>
          <w:sz w:val="24"/>
          <w:szCs w:val="24"/>
          <w:u w:val="single"/>
          <w:lang w:eastAsia="ko-KR"/>
        </w:rPr>
        <w:t>í</w:t>
      </w:r>
      <w:r w:rsidRPr="000E2F21">
        <w:rPr>
          <w:rFonts w:ascii="Book Antiqua" w:eastAsia="Wingdings" w:hAnsi="Book Antiqua"/>
          <w:b/>
          <w:sz w:val="24"/>
          <w:szCs w:val="24"/>
          <w:u w:val="single"/>
          <w:lang w:eastAsia="ko-KR"/>
        </w:rPr>
        <w:t>tulo 5</w:t>
      </w:r>
      <w:r w:rsidRPr="000E2F21">
        <w:rPr>
          <w:rFonts w:ascii="Book Antiqua" w:hAnsi="Book Antiqua"/>
          <w:b/>
          <w:sz w:val="24"/>
          <w:szCs w:val="24"/>
          <w:u w:val="single"/>
        </w:rPr>
        <w:t xml:space="preserve">. </w:t>
      </w:r>
      <w:r w:rsidR="00A553BF" w:rsidRPr="000E2F21">
        <w:rPr>
          <w:rFonts w:ascii="Book Antiqua" w:hAnsi="Book Antiqua"/>
          <w:b/>
          <w:sz w:val="24"/>
          <w:szCs w:val="24"/>
          <w:u w:val="single"/>
        </w:rPr>
        <w:t>Detalle de avance en labores relacionadas con la priorización</w:t>
      </w:r>
      <w:r w:rsidR="00844144" w:rsidRPr="000E2F21">
        <w:rPr>
          <w:rFonts w:ascii="Book Antiqua" w:hAnsi="Book Antiqua"/>
          <w:b/>
          <w:sz w:val="24"/>
          <w:szCs w:val="24"/>
          <w:u w:val="single"/>
        </w:rPr>
        <w:t xml:space="preserve">: </w:t>
      </w:r>
      <w:r w:rsidR="00844144" w:rsidRPr="000E2F21">
        <w:rPr>
          <w:rFonts w:ascii="Book Antiqua" w:eastAsia="Wingdings" w:hAnsi="Book Antiqua"/>
          <w:sz w:val="24"/>
          <w:szCs w:val="24"/>
          <w:lang w:eastAsia="ko-KR"/>
        </w:rPr>
        <w:t>Se detalla el esfuerzo realizado en determinar los criterios de priorización de los proyectos estratégicos y el avance en esa tarea.</w:t>
      </w:r>
      <w:r w:rsidR="000310A2" w:rsidRPr="000E2F21">
        <w:rPr>
          <w:rFonts w:ascii="Book Antiqua" w:hAnsi="Book Antiqua"/>
          <w:highlight w:val="yellow"/>
        </w:rPr>
        <w:br w:type="page"/>
      </w:r>
    </w:p>
    <w:sdt>
      <w:sdtPr>
        <w:rPr>
          <w:rFonts w:ascii="Book Antiqua" w:eastAsiaTheme="minorHAnsi" w:hAnsi="Book Antiqua" w:cstheme="minorBidi"/>
          <w:color w:val="auto"/>
          <w:sz w:val="20"/>
          <w:szCs w:val="20"/>
          <w:lang w:val="es-ES" w:eastAsia="en-US"/>
        </w:rPr>
        <w:id w:val="-1537727382"/>
        <w:docPartObj>
          <w:docPartGallery w:val="Table of Contents"/>
          <w:docPartUnique/>
        </w:docPartObj>
      </w:sdtPr>
      <w:sdtEndPr>
        <w:rPr>
          <w:b/>
          <w:bCs/>
        </w:rPr>
      </w:sdtEndPr>
      <w:sdtContent>
        <w:p w14:paraId="7E723A22" w14:textId="343436F1" w:rsidR="00447191" w:rsidRDefault="00447191" w:rsidP="00DA0057">
          <w:pPr>
            <w:pStyle w:val="TtuloTDC"/>
            <w:spacing w:before="0"/>
            <w:jc w:val="center"/>
            <w:rPr>
              <w:rFonts w:ascii="Book Antiqua" w:hAnsi="Book Antiqua"/>
              <w:sz w:val="28"/>
              <w:szCs w:val="28"/>
              <w:lang w:val="es-ES"/>
            </w:rPr>
          </w:pPr>
          <w:r w:rsidRPr="00DA0057">
            <w:rPr>
              <w:rFonts w:ascii="Book Antiqua" w:hAnsi="Book Antiqua"/>
              <w:sz w:val="28"/>
              <w:szCs w:val="28"/>
              <w:lang w:val="es-ES"/>
            </w:rPr>
            <w:t>Contenido</w:t>
          </w:r>
        </w:p>
        <w:p w14:paraId="7645B5EC" w14:textId="77777777" w:rsidR="00DA0057" w:rsidRPr="00DA0057" w:rsidRDefault="00DA0057" w:rsidP="00DA0057">
          <w:pPr>
            <w:spacing w:after="0"/>
            <w:rPr>
              <w:lang w:val="es-ES" w:eastAsia="es-CR"/>
            </w:rPr>
          </w:pPr>
        </w:p>
        <w:p w14:paraId="043C3E6D" w14:textId="11A6C67E" w:rsidR="00FD72F6" w:rsidRDefault="00447191">
          <w:pPr>
            <w:pStyle w:val="TDC1"/>
            <w:rPr>
              <w:rFonts w:eastAsiaTheme="minorEastAsia"/>
              <w:noProof/>
              <w:lang w:eastAsia="es-CR"/>
            </w:rPr>
          </w:pPr>
          <w:r w:rsidRPr="00DA0057">
            <w:rPr>
              <w:sz w:val="20"/>
              <w:szCs w:val="20"/>
            </w:rPr>
            <w:fldChar w:fldCharType="begin"/>
          </w:r>
          <w:r w:rsidRPr="00DA0057">
            <w:rPr>
              <w:sz w:val="20"/>
              <w:szCs w:val="20"/>
            </w:rPr>
            <w:instrText xml:space="preserve"> TOC \o "1-3" \h \z \u </w:instrText>
          </w:r>
          <w:r w:rsidRPr="00DA0057">
            <w:rPr>
              <w:sz w:val="20"/>
              <w:szCs w:val="20"/>
            </w:rPr>
            <w:fldChar w:fldCharType="separate"/>
          </w:r>
          <w:hyperlink w:anchor="_Toc138770818" w:history="1">
            <w:r w:rsidR="00FD72F6" w:rsidRPr="00127E6A">
              <w:rPr>
                <w:rStyle w:val="Hipervnculo"/>
                <w:rFonts w:ascii="Book Antiqua" w:eastAsia="Wingdings" w:hAnsi="Book Antiqua"/>
                <w:b/>
                <w:bCs/>
                <w:noProof/>
                <w:lang w:eastAsia="ko-KR"/>
              </w:rPr>
              <w:t>CAPÍTULO 1) SEGUIMIENTO DE LAS RECOMENDACIONES EMITIDAS EN EL INFORME 277-PLA-PP-2023</w:t>
            </w:r>
            <w:r w:rsidR="00FD72F6">
              <w:rPr>
                <w:noProof/>
                <w:webHidden/>
              </w:rPr>
              <w:tab/>
            </w:r>
            <w:r w:rsidR="00FD72F6">
              <w:rPr>
                <w:noProof/>
                <w:webHidden/>
              </w:rPr>
              <w:fldChar w:fldCharType="begin"/>
            </w:r>
            <w:r w:rsidR="00FD72F6">
              <w:rPr>
                <w:noProof/>
                <w:webHidden/>
              </w:rPr>
              <w:instrText xml:space="preserve"> PAGEREF _Toc138770818 \h </w:instrText>
            </w:r>
            <w:r w:rsidR="00FD72F6">
              <w:rPr>
                <w:noProof/>
                <w:webHidden/>
              </w:rPr>
            </w:r>
            <w:r w:rsidR="00FD72F6">
              <w:rPr>
                <w:noProof/>
                <w:webHidden/>
              </w:rPr>
              <w:fldChar w:fldCharType="separate"/>
            </w:r>
            <w:r w:rsidR="00F6374E">
              <w:rPr>
                <w:noProof/>
                <w:webHidden/>
              </w:rPr>
              <w:t>9</w:t>
            </w:r>
            <w:r w:rsidR="00FD72F6">
              <w:rPr>
                <w:noProof/>
                <w:webHidden/>
              </w:rPr>
              <w:fldChar w:fldCharType="end"/>
            </w:r>
          </w:hyperlink>
        </w:p>
        <w:p w14:paraId="16339C90" w14:textId="5CCCD469" w:rsidR="00FD72F6" w:rsidRDefault="00883F21">
          <w:pPr>
            <w:pStyle w:val="TDC2"/>
            <w:tabs>
              <w:tab w:val="left" w:pos="880"/>
              <w:tab w:val="right" w:leader="dot" w:pos="8828"/>
            </w:tabs>
            <w:rPr>
              <w:rFonts w:eastAsiaTheme="minorEastAsia"/>
              <w:noProof/>
              <w:lang w:eastAsia="es-CR"/>
            </w:rPr>
          </w:pPr>
          <w:hyperlink w:anchor="_Toc138770819" w:history="1">
            <w:r w:rsidR="00FD72F6" w:rsidRPr="00127E6A">
              <w:rPr>
                <w:rStyle w:val="Hipervnculo"/>
                <w:rFonts w:ascii="Book Antiqua" w:eastAsia="Wingdings" w:hAnsi="Book Antiqua"/>
                <w:b/>
                <w:bCs/>
                <w:noProof/>
                <w:lang w:eastAsia="ko-KR"/>
              </w:rPr>
              <w:t>1.1</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Recomendaciones dirigidas a la Administración Ciudad Judicial San Joaquín de Flores</w:t>
            </w:r>
            <w:r w:rsidR="00FD72F6">
              <w:rPr>
                <w:noProof/>
                <w:webHidden/>
              </w:rPr>
              <w:tab/>
            </w:r>
            <w:r w:rsidR="00FD72F6">
              <w:rPr>
                <w:noProof/>
                <w:webHidden/>
              </w:rPr>
              <w:fldChar w:fldCharType="begin"/>
            </w:r>
            <w:r w:rsidR="00FD72F6">
              <w:rPr>
                <w:noProof/>
                <w:webHidden/>
              </w:rPr>
              <w:instrText xml:space="preserve"> PAGEREF _Toc138770819 \h </w:instrText>
            </w:r>
            <w:r w:rsidR="00FD72F6">
              <w:rPr>
                <w:noProof/>
                <w:webHidden/>
              </w:rPr>
            </w:r>
            <w:r w:rsidR="00FD72F6">
              <w:rPr>
                <w:noProof/>
                <w:webHidden/>
              </w:rPr>
              <w:fldChar w:fldCharType="separate"/>
            </w:r>
            <w:r w:rsidR="00F6374E">
              <w:rPr>
                <w:noProof/>
                <w:webHidden/>
              </w:rPr>
              <w:t>9</w:t>
            </w:r>
            <w:r w:rsidR="00FD72F6">
              <w:rPr>
                <w:noProof/>
                <w:webHidden/>
              </w:rPr>
              <w:fldChar w:fldCharType="end"/>
            </w:r>
          </w:hyperlink>
        </w:p>
        <w:p w14:paraId="550A064B" w14:textId="767EADE5" w:rsidR="00FD72F6" w:rsidRDefault="00883F21">
          <w:pPr>
            <w:pStyle w:val="TDC2"/>
            <w:tabs>
              <w:tab w:val="left" w:pos="880"/>
              <w:tab w:val="right" w:leader="dot" w:pos="8828"/>
            </w:tabs>
            <w:rPr>
              <w:rFonts w:eastAsiaTheme="minorEastAsia"/>
              <w:noProof/>
              <w:lang w:eastAsia="es-CR"/>
            </w:rPr>
          </w:pPr>
          <w:hyperlink w:anchor="_Toc138770820" w:history="1">
            <w:r w:rsidR="00FD72F6" w:rsidRPr="00127E6A">
              <w:rPr>
                <w:rStyle w:val="Hipervnculo"/>
                <w:rFonts w:ascii="Book Antiqua" w:eastAsia="Wingdings" w:hAnsi="Book Antiqua"/>
                <w:b/>
                <w:bCs/>
                <w:noProof/>
                <w:lang w:eastAsia="ko-KR"/>
              </w:rPr>
              <w:t>1.2</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Recomendación dirigida al Centro de Conciliación del Poder Judicial</w:t>
            </w:r>
            <w:r w:rsidR="00FD72F6">
              <w:rPr>
                <w:noProof/>
                <w:webHidden/>
              </w:rPr>
              <w:tab/>
            </w:r>
            <w:r w:rsidR="00FD72F6">
              <w:rPr>
                <w:noProof/>
                <w:webHidden/>
              </w:rPr>
              <w:fldChar w:fldCharType="begin"/>
            </w:r>
            <w:r w:rsidR="00FD72F6">
              <w:rPr>
                <w:noProof/>
                <w:webHidden/>
              </w:rPr>
              <w:instrText xml:space="preserve"> PAGEREF _Toc138770820 \h </w:instrText>
            </w:r>
            <w:r w:rsidR="00FD72F6">
              <w:rPr>
                <w:noProof/>
                <w:webHidden/>
              </w:rPr>
            </w:r>
            <w:r w:rsidR="00FD72F6">
              <w:rPr>
                <w:noProof/>
                <w:webHidden/>
              </w:rPr>
              <w:fldChar w:fldCharType="separate"/>
            </w:r>
            <w:r w:rsidR="00F6374E">
              <w:rPr>
                <w:noProof/>
                <w:webHidden/>
              </w:rPr>
              <w:t>11</w:t>
            </w:r>
            <w:r w:rsidR="00FD72F6">
              <w:rPr>
                <w:noProof/>
                <w:webHidden/>
              </w:rPr>
              <w:fldChar w:fldCharType="end"/>
            </w:r>
          </w:hyperlink>
        </w:p>
        <w:p w14:paraId="7CA05E1C" w14:textId="206AB9EE" w:rsidR="00FD72F6" w:rsidRDefault="00883F21">
          <w:pPr>
            <w:pStyle w:val="TDC2"/>
            <w:tabs>
              <w:tab w:val="left" w:pos="880"/>
              <w:tab w:val="right" w:leader="dot" w:pos="8828"/>
            </w:tabs>
            <w:rPr>
              <w:rFonts w:eastAsiaTheme="minorEastAsia"/>
              <w:noProof/>
              <w:lang w:eastAsia="es-CR"/>
            </w:rPr>
          </w:pPr>
          <w:hyperlink w:anchor="_Toc138770821" w:history="1">
            <w:r w:rsidR="00FD72F6" w:rsidRPr="00127E6A">
              <w:rPr>
                <w:rStyle w:val="Hipervnculo"/>
                <w:rFonts w:ascii="Book Antiqua" w:eastAsia="Wingdings" w:hAnsi="Book Antiqua"/>
                <w:b/>
                <w:bCs/>
                <w:noProof/>
                <w:lang w:eastAsia="ko-KR"/>
              </w:rPr>
              <w:t>1.3</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Recomendaciones dirigidas al Centro de Información Jurisprudencial</w:t>
            </w:r>
            <w:r w:rsidR="00FD72F6">
              <w:rPr>
                <w:noProof/>
                <w:webHidden/>
              </w:rPr>
              <w:tab/>
            </w:r>
            <w:r w:rsidR="00FD72F6">
              <w:rPr>
                <w:noProof/>
                <w:webHidden/>
              </w:rPr>
              <w:fldChar w:fldCharType="begin"/>
            </w:r>
            <w:r w:rsidR="00FD72F6">
              <w:rPr>
                <w:noProof/>
                <w:webHidden/>
              </w:rPr>
              <w:instrText xml:space="preserve"> PAGEREF _Toc138770821 \h </w:instrText>
            </w:r>
            <w:r w:rsidR="00FD72F6">
              <w:rPr>
                <w:noProof/>
                <w:webHidden/>
              </w:rPr>
            </w:r>
            <w:r w:rsidR="00FD72F6">
              <w:rPr>
                <w:noProof/>
                <w:webHidden/>
              </w:rPr>
              <w:fldChar w:fldCharType="separate"/>
            </w:r>
            <w:r w:rsidR="00F6374E">
              <w:rPr>
                <w:noProof/>
                <w:webHidden/>
              </w:rPr>
              <w:t>12</w:t>
            </w:r>
            <w:r w:rsidR="00FD72F6">
              <w:rPr>
                <w:noProof/>
                <w:webHidden/>
              </w:rPr>
              <w:fldChar w:fldCharType="end"/>
            </w:r>
          </w:hyperlink>
        </w:p>
        <w:p w14:paraId="2F474378" w14:textId="71FEAFAE" w:rsidR="00FD72F6" w:rsidRDefault="00883F21">
          <w:pPr>
            <w:pStyle w:val="TDC2"/>
            <w:tabs>
              <w:tab w:val="left" w:pos="880"/>
              <w:tab w:val="right" w:leader="dot" w:pos="8828"/>
            </w:tabs>
            <w:rPr>
              <w:rFonts w:eastAsiaTheme="minorEastAsia"/>
              <w:noProof/>
              <w:lang w:eastAsia="es-CR"/>
            </w:rPr>
          </w:pPr>
          <w:hyperlink w:anchor="_Toc138770822" w:history="1">
            <w:r w:rsidR="00FD72F6" w:rsidRPr="00127E6A">
              <w:rPr>
                <w:rStyle w:val="Hipervnculo"/>
                <w:rFonts w:ascii="Book Antiqua" w:eastAsia="Wingdings" w:hAnsi="Book Antiqua"/>
                <w:b/>
                <w:bCs/>
                <w:noProof/>
                <w:lang w:eastAsia="ko-KR"/>
              </w:rPr>
              <w:t>1.4</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Recomendaciones dirigidas al Circuito Judicial Puntarenas</w:t>
            </w:r>
            <w:r w:rsidR="00FD72F6">
              <w:rPr>
                <w:noProof/>
                <w:webHidden/>
              </w:rPr>
              <w:tab/>
            </w:r>
            <w:r w:rsidR="00FD72F6">
              <w:rPr>
                <w:noProof/>
                <w:webHidden/>
              </w:rPr>
              <w:fldChar w:fldCharType="begin"/>
            </w:r>
            <w:r w:rsidR="00FD72F6">
              <w:rPr>
                <w:noProof/>
                <w:webHidden/>
              </w:rPr>
              <w:instrText xml:space="preserve"> PAGEREF _Toc138770822 \h </w:instrText>
            </w:r>
            <w:r w:rsidR="00FD72F6">
              <w:rPr>
                <w:noProof/>
                <w:webHidden/>
              </w:rPr>
            </w:r>
            <w:r w:rsidR="00FD72F6">
              <w:rPr>
                <w:noProof/>
                <w:webHidden/>
              </w:rPr>
              <w:fldChar w:fldCharType="separate"/>
            </w:r>
            <w:r w:rsidR="00F6374E">
              <w:rPr>
                <w:noProof/>
                <w:webHidden/>
              </w:rPr>
              <w:t>13</w:t>
            </w:r>
            <w:r w:rsidR="00FD72F6">
              <w:rPr>
                <w:noProof/>
                <w:webHidden/>
              </w:rPr>
              <w:fldChar w:fldCharType="end"/>
            </w:r>
          </w:hyperlink>
        </w:p>
        <w:p w14:paraId="5BF430A1" w14:textId="5CF7D183" w:rsidR="00FD72F6" w:rsidRDefault="00883F21">
          <w:pPr>
            <w:pStyle w:val="TDC2"/>
            <w:tabs>
              <w:tab w:val="left" w:pos="880"/>
              <w:tab w:val="right" w:leader="dot" w:pos="8828"/>
            </w:tabs>
            <w:rPr>
              <w:rFonts w:eastAsiaTheme="minorEastAsia"/>
              <w:noProof/>
              <w:lang w:eastAsia="es-CR"/>
            </w:rPr>
          </w:pPr>
          <w:hyperlink w:anchor="_Toc138770823" w:history="1">
            <w:r w:rsidR="00FD72F6" w:rsidRPr="00127E6A">
              <w:rPr>
                <w:rStyle w:val="Hipervnculo"/>
                <w:rFonts w:ascii="Book Antiqua" w:eastAsia="Wingdings" w:hAnsi="Book Antiqua"/>
                <w:b/>
                <w:bCs/>
                <w:noProof/>
                <w:lang w:eastAsia="ko-KR"/>
              </w:rPr>
              <w:t>1.5</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Recomendaciones dirigidas a la Comisión de Gestión Ambiental Institucional</w:t>
            </w:r>
            <w:r w:rsidR="00FD72F6">
              <w:rPr>
                <w:noProof/>
                <w:webHidden/>
              </w:rPr>
              <w:tab/>
            </w:r>
            <w:r w:rsidR="00FD72F6">
              <w:rPr>
                <w:noProof/>
                <w:webHidden/>
              </w:rPr>
              <w:fldChar w:fldCharType="begin"/>
            </w:r>
            <w:r w:rsidR="00FD72F6">
              <w:rPr>
                <w:noProof/>
                <w:webHidden/>
              </w:rPr>
              <w:instrText xml:space="preserve"> PAGEREF _Toc138770823 \h </w:instrText>
            </w:r>
            <w:r w:rsidR="00FD72F6">
              <w:rPr>
                <w:noProof/>
                <w:webHidden/>
              </w:rPr>
            </w:r>
            <w:r w:rsidR="00FD72F6">
              <w:rPr>
                <w:noProof/>
                <w:webHidden/>
              </w:rPr>
              <w:fldChar w:fldCharType="separate"/>
            </w:r>
            <w:r w:rsidR="00F6374E">
              <w:rPr>
                <w:noProof/>
                <w:webHidden/>
              </w:rPr>
              <w:t>14</w:t>
            </w:r>
            <w:r w:rsidR="00FD72F6">
              <w:rPr>
                <w:noProof/>
                <w:webHidden/>
              </w:rPr>
              <w:fldChar w:fldCharType="end"/>
            </w:r>
          </w:hyperlink>
        </w:p>
        <w:p w14:paraId="41FA68C1" w14:textId="2FE8BDA3" w:rsidR="00FD72F6" w:rsidRDefault="00883F21">
          <w:pPr>
            <w:pStyle w:val="TDC2"/>
            <w:tabs>
              <w:tab w:val="left" w:pos="880"/>
              <w:tab w:val="right" w:leader="dot" w:pos="8828"/>
            </w:tabs>
            <w:rPr>
              <w:rFonts w:eastAsiaTheme="minorEastAsia"/>
              <w:noProof/>
              <w:lang w:eastAsia="es-CR"/>
            </w:rPr>
          </w:pPr>
          <w:hyperlink w:anchor="_Toc138770824" w:history="1">
            <w:r w:rsidR="00FD72F6" w:rsidRPr="00127E6A">
              <w:rPr>
                <w:rStyle w:val="Hipervnculo"/>
                <w:rFonts w:ascii="Book Antiqua" w:eastAsia="Wingdings" w:hAnsi="Book Antiqua"/>
                <w:b/>
                <w:bCs/>
                <w:noProof/>
                <w:lang w:eastAsia="ko-KR"/>
              </w:rPr>
              <w:t>1.6</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Recomendaciones dirigidas a la Comisión de la Jurisdicción Agrario y Agroambiental.</w:t>
            </w:r>
            <w:r w:rsidR="00FD72F6">
              <w:rPr>
                <w:noProof/>
                <w:webHidden/>
              </w:rPr>
              <w:tab/>
            </w:r>
            <w:r w:rsidR="00FD72F6">
              <w:rPr>
                <w:noProof/>
                <w:webHidden/>
              </w:rPr>
              <w:fldChar w:fldCharType="begin"/>
            </w:r>
            <w:r w:rsidR="00FD72F6">
              <w:rPr>
                <w:noProof/>
                <w:webHidden/>
              </w:rPr>
              <w:instrText xml:space="preserve"> PAGEREF _Toc138770824 \h </w:instrText>
            </w:r>
            <w:r w:rsidR="00FD72F6">
              <w:rPr>
                <w:noProof/>
                <w:webHidden/>
              </w:rPr>
            </w:r>
            <w:r w:rsidR="00FD72F6">
              <w:rPr>
                <w:noProof/>
                <w:webHidden/>
              </w:rPr>
              <w:fldChar w:fldCharType="separate"/>
            </w:r>
            <w:r w:rsidR="00F6374E">
              <w:rPr>
                <w:noProof/>
                <w:webHidden/>
              </w:rPr>
              <w:t>14</w:t>
            </w:r>
            <w:r w:rsidR="00FD72F6">
              <w:rPr>
                <w:noProof/>
                <w:webHidden/>
              </w:rPr>
              <w:fldChar w:fldCharType="end"/>
            </w:r>
          </w:hyperlink>
        </w:p>
        <w:p w14:paraId="3E918CE7" w14:textId="7163DD8B" w:rsidR="00FD72F6" w:rsidRDefault="00883F21">
          <w:pPr>
            <w:pStyle w:val="TDC2"/>
            <w:tabs>
              <w:tab w:val="left" w:pos="880"/>
              <w:tab w:val="right" w:leader="dot" w:pos="8828"/>
            </w:tabs>
            <w:rPr>
              <w:rFonts w:eastAsiaTheme="minorEastAsia"/>
              <w:noProof/>
              <w:lang w:eastAsia="es-CR"/>
            </w:rPr>
          </w:pPr>
          <w:hyperlink w:anchor="_Toc138770825" w:history="1">
            <w:r w:rsidR="00FD72F6" w:rsidRPr="00127E6A">
              <w:rPr>
                <w:rStyle w:val="Hipervnculo"/>
                <w:rFonts w:ascii="Book Antiqua" w:eastAsia="Wingdings" w:hAnsi="Book Antiqua"/>
                <w:b/>
                <w:bCs/>
                <w:noProof/>
                <w:lang w:eastAsia="ko-KR"/>
              </w:rPr>
              <w:t>1.7</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Recomendaciones dirigidas a la Comisión de Acceso a la Justicia.</w:t>
            </w:r>
            <w:r w:rsidR="00FD72F6">
              <w:rPr>
                <w:noProof/>
                <w:webHidden/>
              </w:rPr>
              <w:tab/>
            </w:r>
            <w:r w:rsidR="00FD72F6">
              <w:rPr>
                <w:noProof/>
                <w:webHidden/>
              </w:rPr>
              <w:fldChar w:fldCharType="begin"/>
            </w:r>
            <w:r w:rsidR="00FD72F6">
              <w:rPr>
                <w:noProof/>
                <w:webHidden/>
              </w:rPr>
              <w:instrText xml:space="preserve"> PAGEREF _Toc138770825 \h </w:instrText>
            </w:r>
            <w:r w:rsidR="00FD72F6">
              <w:rPr>
                <w:noProof/>
                <w:webHidden/>
              </w:rPr>
            </w:r>
            <w:r w:rsidR="00FD72F6">
              <w:rPr>
                <w:noProof/>
                <w:webHidden/>
              </w:rPr>
              <w:fldChar w:fldCharType="separate"/>
            </w:r>
            <w:r w:rsidR="00F6374E">
              <w:rPr>
                <w:noProof/>
                <w:webHidden/>
              </w:rPr>
              <w:t>16</w:t>
            </w:r>
            <w:r w:rsidR="00FD72F6">
              <w:rPr>
                <w:noProof/>
                <w:webHidden/>
              </w:rPr>
              <w:fldChar w:fldCharType="end"/>
            </w:r>
          </w:hyperlink>
        </w:p>
        <w:p w14:paraId="70D75D1F" w14:textId="1FD19555" w:rsidR="00FD72F6" w:rsidRDefault="00883F21">
          <w:pPr>
            <w:pStyle w:val="TDC2"/>
            <w:tabs>
              <w:tab w:val="left" w:pos="880"/>
              <w:tab w:val="right" w:leader="dot" w:pos="8828"/>
            </w:tabs>
            <w:rPr>
              <w:rFonts w:eastAsiaTheme="minorEastAsia"/>
              <w:noProof/>
              <w:lang w:eastAsia="es-CR"/>
            </w:rPr>
          </w:pPr>
          <w:hyperlink w:anchor="_Toc138770826" w:history="1">
            <w:r w:rsidR="00FD72F6" w:rsidRPr="00127E6A">
              <w:rPr>
                <w:rStyle w:val="Hipervnculo"/>
                <w:rFonts w:ascii="Book Antiqua" w:eastAsia="Wingdings" w:hAnsi="Book Antiqua"/>
                <w:b/>
                <w:bCs/>
                <w:noProof/>
                <w:lang w:eastAsia="ko-KR"/>
              </w:rPr>
              <w:t>1.8</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Recomendación dirigida a la Defensa Pública</w:t>
            </w:r>
            <w:r w:rsidR="00FD72F6">
              <w:rPr>
                <w:noProof/>
                <w:webHidden/>
              </w:rPr>
              <w:tab/>
            </w:r>
            <w:r w:rsidR="00FD72F6">
              <w:rPr>
                <w:noProof/>
                <w:webHidden/>
              </w:rPr>
              <w:fldChar w:fldCharType="begin"/>
            </w:r>
            <w:r w:rsidR="00FD72F6">
              <w:rPr>
                <w:noProof/>
                <w:webHidden/>
              </w:rPr>
              <w:instrText xml:space="preserve"> PAGEREF _Toc138770826 \h </w:instrText>
            </w:r>
            <w:r w:rsidR="00FD72F6">
              <w:rPr>
                <w:noProof/>
                <w:webHidden/>
              </w:rPr>
            </w:r>
            <w:r w:rsidR="00FD72F6">
              <w:rPr>
                <w:noProof/>
                <w:webHidden/>
              </w:rPr>
              <w:fldChar w:fldCharType="separate"/>
            </w:r>
            <w:r w:rsidR="00F6374E">
              <w:rPr>
                <w:noProof/>
                <w:webHidden/>
              </w:rPr>
              <w:t>17</w:t>
            </w:r>
            <w:r w:rsidR="00FD72F6">
              <w:rPr>
                <w:noProof/>
                <w:webHidden/>
              </w:rPr>
              <w:fldChar w:fldCharType="end"/>
            </w:r>
          </w:hyperlink>
        </w:p>
        <w:p w14:paraId="111C5AFC" w14:textId="1D672C23" w:rsidR="00FD72F6" w:rsidRDefault="00883F21">
          <w:pPr>
            <w:pStyle w:val="TDC2"/>
            <w:tabs>
              <w:tab w:val="left" w:pos="880"/>
              <w:tab w:val="right" w:leader="dot" w:pos="8828"/>
            </w:tabs>
            <w:rPr>
              <w:rFonts w:eastAsiaTheme="minorEastAsia"/>
              <w:noProof/>
              <w:lang w:eastAsia="es-CR"/>
            </w:rPr>
          </w:pPr>
          <w:hyperlink w:anchor="_Toc138770827" w:history="1">
            <w:r w:rsidR="00FD72F6" w:rsidRPr="00127E6A">
              <w:rPr>
                <w:rStyle w:val="Hipervnculo"/>
                <w:rFonts w:ascii="Book Antiqua" w:eastAsia="Wingdings" w:hAnsi="Book Antiqua"/>
                <w:b/>
                <w:bCs/>
                <w:noProof/>
                <w:lang w:eastAsia="ko-KR"/>
              </w:rPr>
              <w:t>1.9</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Recomendaciones dirigidas al Departamento de Prensa y Comunicación Organizacional.</w:t>
            </w:r>
            <w:r w:rsidR="00FD72F6">
              <w:rPr>
                <w:noProof/>
                <w:webHidden/>
              </w:rPr>
              <w:tab/>
            </w:r>
            <w:r w:rsidR="00FD72F6">
              <w:rPr>
                <w:noProof/>
                <w:webHidden/>
              </w:rPr>
              <w:fldChar w:fldCharType="begin"/>
            </w:r>
            <w:r w:rsidR="00FD72F6">
              <w:rPr>
                <w:noProof/>
                <w:webHidden/>
              </w:rPr>
              <w:instrText xml:space="preserve"> PAGEREF _Toc138770827 \h </w:instrText>
            </w:r>
            <w:r w:rsidR="00FD72F6">
              <w:rPr>
                <w:noProof/>
                <w:webHidden/>
              </w:rPr>
            </w:r>
            <w:r w:rsidR="00FD72F6">
              <w:rPr>
                <w:noProof/>
                <w:webHidden/>
              </w:rPr>
              <w:fldChar w:fldCharType="separate"/>
            </w:r>
            <w:r w:rsidR="00F6374E">
              <w:rPr>
                <w:noProof/>
                <w:webHidden/>
              </w:rPr>
              <w:t>18</w:t>
            </w:r>
            <w:r w:rsidR="00FD72F6">
              <w:rPr>
                <w:noProof/>
                <w:webHidden/>
              </w:rPr>
              <w:fldChar w:fldCharType="end"/>
            </w:r>
          </w:hyperlink>
        </w:p>
        <w:p w14:paraId="07DB3E9B" w14:textId="304A7C3E" w:rsidR="00FD72F6" w:rsidRDefault="00883F21">
          <w:pPr>
            <w:pStyle w:val="TDC2"/>
            <w:tabs>
              <w:tab w:val="left" w:pos="880"/>
              <w:tab w:val="right" w:leader="dot" w:pos="8828"/>
            </w:tabs>
            <w:rPr>
              <w:rFonts w:eastAsiaTheme="minorEastAsia"/>
              <w:noProof/>
              <w:lang w:eastAsia="es-CR"/>
            </w:rPr>
          </w:pPr>
          <w:hyperlink w:anchor="_Toc138770828" w:history="1">
            <w:r w:rsidR="00FD72F6" w:rsidRPr="00127E6A">
              <w:rPr>
                <w:rStyle w:val="Hipervnculo"/>
                <w:rFonts w:ascii="Book Antiqua" w:eastAsia="Wingdings" w:hAnsi="Book Antiqua"/>
                <w:b/>
                <w:bCs/>
                <w:noProof/>
                <w:lang w:eastAsia="ko-KR"/>
              </w:rPr>
              <w:t>1.10</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Recomendación dirigida al Despacho de la Presidencia.</w:t>
            </w:r>
            <w:r w:rsidR="00FD72F6">
              <w:rPr>
                <w:noProof/>
                <w:webHidden/>
              </w:rPr>
              <w:tab/>
            </w:r>
            <w:r w:rsidR="00FD72F6">
              <w:rPr>
                <w:noProof/>
                <w:webHidden/>
              </w:rPr>
              <w:fldChar w:fldCharType="begin"/>
            </w:r>
            <w:r w:rsidR="00FD72F6">
              <w:rPr>
                <w:noProof/>
                <w:webHidden/>
              </w:rPr>
              <w:instrText xml:space="preserve"> PAGEREF _Toc138770828 \h </w:instrText>
            </w:r>
            <w:r w:rsidR="00FD72F6">
              <w:rPr>
                <w:noProof/>
                <w:webHidden/>
              </w:rPr>
            </w:r>
            <w:r w:rsidR="00FD72F6">
              <w:rPr>
                <w:noProof/>
                <w:webHidden/>
              </w:rPr>
              <w:fldChar w:fldCharType="separate"/>
            </w:r>
            <w:r w:rsidR="00F6374E">
              <w:rPr>
                <w:noProof/>
                <w:webHidden/>
              </w:rPr>
              <w:t>19</w:t>
            </w:r>
            <w:r w:rsidR="00FD72F6">
              <w:rPr>
                <w:noProof/>
                <w:webHidden/>
              </w:rPr>
              <w:fldChar w:fldCharType="end"/>
            </w:r>
          </w:hyperlink>
        </w:p>
        <w:p w14:paraId="00FD779C" w14:textId="2382FFA1" w:rsidR="00FD72F6" w:rsidRDefault="00883F21">
          <w:pPr>
            <w:pStyle w:val="TDC2"/>
            <w:tabs>
              <w:tab w:val="left" w:pos="880"/>
              <w:tab w:val="right" w:leader="dot" w:pos="8828"/>
            </w:tabs>
            <w:rPr>
              <w:rFonts w:eastAsiaTheme="minorEastAsia"/>
              <w:noProof/>
              <w:lang w:eastAsia="es-CR"/>
            </w:rPr>
          </w:pPr>
          <w:hyperlink w:anchor="_Toc138770829" w:history="1">
            <w:r w:rsidR="00FD72F6" w:rsidRPr="00127E6A">
              <w:rPr>
                <w:rStyle w:val="Hipervnculo"/>
                <w:rFonts w:ascii="Book Antiqua" w:eastAsia="Wingdings" w:hAnsi="Book Antiqua"/>
                <w:b/>
                <w:bCs/>
                <w:noProof/>
                <w:lang w:eastAsia="ko-KR"/>
              </w:rPr>
              <w:t>1.11</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Recomendaciones dirigidas a la Dirección de Tecnología de Información</w:t>
            </w:r>
            <w:r w:rsidR="00FD72F6">
              <w:rPr>
                <w:noProof/>
                <w:webHidden/>
              </w:rPr>
              <w:tab/>
            </w:r>
            <w:r w:rsidR="00FD72F6">
              <w:rPr>
                <w:noProof/>
                <w:webHidden/>
              </w:rPr>
              <w:fldChar w:fldCharType="begin"/>
            </w:r>
            <w:r w:rsidR="00FD72F6">
              <w:rPr>
                <w:noProof/>
                <w:webHidden/>
              </w:rPr>
              <w:instrText xml:space="preserve"> PAGEREF _Toc138770829 \h </w:instrText>
            </w:r>
            <w:r w:rsidR="00FD72F6">
              <w:rPr>
                <w:noProof/>
                <w:webHidden/>
              </w:rPr>
            </w:r>
            <w:r w:rsidR="00FD72F6">
              <w:rPr>
                <w:noProof/>
                <w:webHidden/>
              </w:rPr>
              <w:fldChar w:fldCharType="separate"/>
            </w:r>
            <w:r w:rsidR="00F6374E">
              <w:rPr>
                <w:noProof/>
                <w:webHidden/>
              </w:rPr>
              <w:t>24</w:t>
            </w:r>
            <w:r w:rsidR="00FD72F6">
              <w:rPr>
                <w:noProof/>
                <w:webHidden/>
              </w:rPr>
              <w:fldChar w:fldCharType="end"/>
            </w:r>
          </w:hyperlink>
        </w:p>
        <w:p w14:paraId="16E25119" w14:textId="49F2FD07" w:rsidR="00FD72F6" w:rsidRDefault="00883F21">
          <w:pPr>
            <w:pStyle w:val="TDC2"/>
            <w:tabs>
              <w:tab w:val="left" w:pos="880"/>
              <w:tab w:val="right" w:leader="dot" w:pos="8828"/>
            </w:tabs>
            <w:rPr>
              <w:rFonts w:eastAsiaTheme="minorEastAsia"/>
              <w:noProof/>
              <w:lang w:eastAsia="es-CR"/>
            </w:rPr>
          </w:pPr>
          <w:hyperlink w:anchor="_Toc138770830" w:history="1">
            <w:r w:rsidR="00FD72F6" w:rsidRPr="00127E6A">
              <w:rPr>
                <w:rStyle w:val="Hipervnculo"/>
                <w:rFonts w:ascii="Book Antiqua" w:eastAsia="Wingdings" w:hAnsi="Book Antiqua"/>
                <w:b/>
                <w:bCs/>
                <w:noProof/>
                <w:lang w:eastAsia="ko-KR"/>
              </w:rPr>
              <w:t>1.12</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Recomendaciones dirigidas a la Dirección Ejecutiva</w:t>
            </w:r>
            <w:r w:rsidR="00FD72F6">
              <w:rPr>
                <w:noProof/>
                <w:webHidden/>
              </w:rPr>
              <w:tab/>
            </w:r>
            <w:r w:rsidR="00FD72F6">
              <w:rPr>
                <w:noProof/>
                <w:webHidden/>
              </w:rPr>
              <w:fldChar w:fldCharType="begin"/>
            </w:r>
            <w:r w:rsidR="00FD72F6">
              <w:rPr>
                <w:noProof/>
                <w:webHidden/>
              </w:rPr>
              <w:instrText xml:space="preserve"> PAGEREF _Toc138770830 \h </w:instrText>
            </w:r>
            <w:r w:rsidR="00FD72F6">
              <w:rPr>
                <w:noProof/>
                <w:webHidden/>
              </w:rPr>
            </w:r>
            <w:r w:rsidR="00FD72F6">
              <w:rPr>
                <w:noProof/>
                <w:webHidden/>
              </w:rPr>
              <w:fldChar w:fldCharType="separate"/>
            </w:r>
            <w:r w:rsidR="00F6374E">
              <w:rPr>
                <w:noProof/>
                <w:webHidden/>
              </w:rPr>
              <w:t>26</w:t>
            </w:r>
            <w:r w:rsidR="00FD72F6">
              <w:rPr>
                <w:noProof/>
                <w:webHidden/>
              </w:rPr>
              <w:fldChar w:fldCharType="end"/>
            </w:r>
          </w:hyperlink>
        </w:p>
        <w:p w14:paraId="034DF31F" w14:textId="39339960" w:rsidR="00FD72F6" w:rsidRDefault="00883F21">
          <w:pPr>
            <w:pStyle w:val="TDC2"/>
            <w:tabs>
              <w:tab w:val="left" w:pos="880"/>
              <w:tab w:val="right" w:leader="dot" w:pos="8828"/>
            </w:tabs>
            <w:rPr>
              <w:rFonts w:eastAsiaTheme="minorEastAsia"/>
              <w:noProof/>
              <w:lang w:eastAsia="es-CR"/>
            </w:rPr>
          </w:pPr>
          <w:hyperlink w:anchor="_Toc138770831" w:history="1">
            <w:r w:rsidR="00FD72F6" w:rsidRPr="00127E6A">
              <w:rPr>
                <w:rStyle w:val="Hipervnculo"/>
                <w:rFonts w:ascii="Book Antiqua" w:eastAsia="Wingdings" w:hAnsi="Book Antiqua"/>
                <w:b/>
                <w:bCs/>
                <w:noProof/>
                <w:lang w:eastAsia="ko-KR"/>
              </w:rPr>
              <w:t>1.13</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Recomendaciones dirigidas a la Dirección de Gestión Humana</w:t>
            </w:r>
            <w:r w:rsidR="00FD72F6">
              <w:rPr>
                <w:noProof/>
                <w:webHidden/>
              </w:rPr>
              <w:tab/>
            </w:r>
            <w:r w:rsidR="00FD72F6">
              <w:rPr>
                <w:noProof/>
                <w:webHidden/>
              </w:rPr>
              <w:fldChar w:fldCharType="begin"/>
            </w:r>
            <w:r w:rsidR="00FD72F6">
              <w:rPr>
                <w:noProof/>
                <w:webHidden/>
              </w:rPr>
              <w:instrText xml:space="preserve"> PAGEREF _Toc138770831 \h </w:instrText>
            </w:r>
            <w:r w:rsidR="00FD72F6">
              <w:rPr>
                <w:noProof/>
                <w:webHidden/>
              </w:rPr>
            </w:r>
            <w:r w:rsidR="00FD72F6">
              <w:rPr>
                <w:noProof/>
                <w:webHidden/>
              </w:rPr>
              <w:fldChar w:fldCharType="separate"/>
            </w:r>
            <w:r w:rsidR="00F6374E">
              <w:rPr>
                <w:noProof/>
                <w:webHidden/>
              </w:rPr>
              <w:t>31</w:t>
            </w:r>
            <w:r w:rsidR="00FD72F6">
              <w:rPr>
                <w:noProof/>
                <w:webHidden/>
              </w:rPr>
              <w:fldChar w:fldCharType="end"/>
            </w:r>
          </w:hyperlink>
        </w:p>
        <w:p w14:paraId="60748C5E" w14:textId="256202B1" w:rsidR="00FD72F6" w:rsidRDefault="00883F21">
          <w:pPr>
            <w:pStyle w:val="TDC2"/>
            <w:tabs>
              <w:tab w:val="left" w:pos="880"/>
              <w:tab w:val="right" w:leader="dot" w:pos="8828"/>
            </w:tabs>
            <w:rPr>
              <w:rFonts w:eastAsiaTheme="minorEastAsia"/>
              <w:noProof/>
              <w:lang w:eastAsia="es-CR"/>
            </w:rPr>
          </w:pPr>
          <w:hyperlink w:anchor="_Toc138770832" w:history="1">
            <w:r w:rsidR="00FD72F6" w:rsidRPr="00127E6A">
              <w:rPr>
                <w:rStyle w:val="Hipervnculo"/>
                <w:rFonts w:ascii="Book Antiqua" w:eastAsia="Wingdings" w:hAnsi="Book Antiqua"/>
                <w:b/>
                <w:bCs/>
                <w:noProof/>
                <w:lang w:eastAsia="ko-KR"/>
              </w:rPr>
              <w:t>1.14</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Recomendaciones dirigidas a la Escuela Judicial</w:t>
            </w:r>
            <w:r w:rsidR="00FD72F6">
              <w:rPr>
                <w:noProof/>
                <w:webHidden/>
              </w:rPr>
              <w:tab/>
            </w:r>
            <w:r w:rsidR="00FD72F6">
              <w:rPr>
                <w:noProof/>
                <w:webHidden/>
              </w:rPr>
              <w:fldChar w:fldCharType="begin"/>
            </w:r>
            <w:r w:rsidR="00FD72F6">
              <w:rPr>
                <w:noProof/>
                <w:webHidden/>
              </w:rPr>
              <w:instrText xml:space="preserve"> PAGEREF _Toc138770832 \h </w:instrText>
            </w:r>
            <w:r w:rsidR="00FD72F6">
              <w:rPr>
                <w:noProof/>
                <w:webHidden/>
              </w:rPr>
            </w:r>
            <w:r w:rsidR="00FD72F6">
              <w:rPr>
                <w:noProof/>
                <w:webHidden/>
              </w:rPr>
              <w:fldChar w:fldCharType="separate"/>
            </w:r>
            <w:r w:rsidR="00F6374E">
              <w:rPr>
                <w:noProof/>
                <w:webHidden/>
              </w:rPr>
              <w:t>34</w:t>
            </w:r>
            <w:r w:rsidR="00FD72F6">
              <w:rPr>
                <w:noProof/>
                <w:webHidden/>
              </w:rPr>
              <w:fldChar w:fldCharType="end"/>
            </w:r>
          </w:hyperlink>
        </w:p>
        <w:p w14:paraId="7239D8C3" w14:textId="01674746" w:rsidR="00FD72F6" w:rsidRDefault="00883F21">
          <w:pPr>
            <w:pStyle w:val="TDC2"/>
            <w:tabs>
              <w:tab w:val="left" w:pos="880"/>
              <w:tab w:val="right" w:leader="dot" w:pos="8828"/>
            </w:tabs>
            <w:rPr>
              <w:rFonts w:eastAsiaTheme="minorEastAsia"/>
              <w:noProof/>
              <w:lang w:eastAsia="es-CR"/>
            </w:rPr>
          </w:pPr>
          <w:hyperlink w:anchor="_Toc138770833" w:history="1">
            <w:r w:rsidR="00FD72F6" w:rsidRPr="00127E6A">
              <w:rPr>
                <w:rStyle w:val="Hipervnculo"/>
                <w:rFonts w:ascii="Book Antiqua" w:eastAsia="Wingdings" w:hAnsi="Book Antiqua"/>
                <w:b/>
                <w:bCs/>
                <w:noProof/>
                <w:lang w:eastAsia="ko-KR"/>
              </w:rPr>
              <w:t>1.15</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Recomendaciones dirigidas a la Inspección Judicial</w:t>
            </w:r>
            <w:r w:rsidR="00FD72F6">
              <w:rPr>
                <w:noProof/>
                <w:webHidden/>
              </w:rPr>
              <w:tab/>
            </w:r>
            <w:r w:rsidR="00FD72F6">
              <w:rPr>
                <w:noProof/>
                <w:webHidden/>
              </w:rPr>
              <w:fldChar w:fldCharType="begin"/>
            </w:r>
            <w:r w:rsidR="00FD72F6">
              <w:rPr>
                <w:noProof/>
                <w:webHidden/>
              </w:rPr>
              <w:instrText xml:space="preserve"> PAGEREF _Toc138770833 \h </w:instrText>
            </w:r>
            <w:r w:rsidR="00FD72F6">
              <w:rPr>
                <w:noProof/>
                <w:webHidden/>
              </w:rPr>
            </w:r>
            <w:r w:rsidR="00FD72F6">
              <w:rPr>
                <w:noProof/>
                <w:webHidden/>
              </w:rPr>
              <w:fldChar w:fldCharType="separate"/>
            </w:r>
            <w:r w:rsidR="00F6374E">
              <w:rPr>
                <w:noProof/>
                <w:webHidden/>
              </w:rPr>
              <w:t>35</w:t>
            </w:r>
            <w:r w:rsidR="00FD72F6">
              <w:rPr>
                <w:noProof/>
                <w:webHidden/>
              </w:rPr>
              <w:fldChar w:fldCharType="end"/>
            </w:r>
          </w:hyperlink>
        </w:p>
        <w:p w14:paraId="303DAB80" w14:textId="3831EE74" w:rsidR="00FD72F6" w:rsidRDefault="00883F21">
          <w:pPr>
            <w:pStyle w:val="TDC2"/>
            <w:tabs>
              <w:tab w:val="left" w:pos="880"/>
              <w:tab w:val="right" w:leader="dot" w:pos="8828"/>
            </w:tabs>
            <w:rPr>
              <w:rFonts w:eastAsiaTheme="minorEastAsia"/>
              <w:noProof/>
              <w:lang w:eastAsia="es-CR"/>
            </w:rPr>
          </w:pPr>
          <w:hyperlink w:anchor="_Toc138770834" w:history="1">
            <w:r w:rsidR="00FD72F6" w:rsidRPr="00127E6A">
              <w:rPr>
                <w:rStyle w:val="Hipervnculo"/>
                <w:rFonts w:ascii="Book Antiqua" w:eastAsia="Wingdings" w:hAnsi="Book Antiqua"/>
                <w:b/>
                <w:bCs/>
                <w:noProof/>
                <w:lang w:eastAsia="ko-KR"/>
              </w:rPr>
              <w:t>1.16</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Recomendaciones dirigidas a la Junta Administradora del Fondo de Jubilaciones y Pensiones</w:t>
            </w:r>
            <w:r w:rsidR="00FD72F6">
              <w:rPr>
                <w:noProof/>
                <w:webHidden/>
              </w:rPr>
              <w:tab/>
            </w:r>
            <w:r w:rsidR="00FD72F6">
              <w:rPr>
                <w:noProof/>
                <w:webHidden/>
              </w:rPr>
              <w:fldChar w:fldCharType="begin"/>
            </w:r>
            <w:r w:rsidR="00FD72F6">
              <w:rPr>
                <w:noProof/>
                <w:webHidden/>
              </w:rPr>
              <w:instrText xml:space="preserve"> PAGEREF _Toc138770834 \h </w:instrText>
            </w:r>
            <w:r w:rsidR="00FD72F6">
              <w:rPr>
                <w:noProof/>
                <w:webHidden/>
              </w:rPr>
            </w:r>
            <w:r w:rsidR="00FD72F6">
              <w:rPr>
                <w:noProof/>
                <w:webHidden/>
              </w:rPr>
              <w:fldChar w:fldCharType="separate"/>
            </w:r>
            <w:r w:rsidR="00F6374E">
              <w:rPr>
                <w:noProof/>
                <w:webHidden/>
              </w:rPr>
              <w:t>36</w:t>
            </w:r>
            <w:r w:rsidR="00FD72F6">
              <w:rPr>
                <w:noProof/>
                <w:webHidden/>
              </w:rPr>
              <w:fldChar w:fldCharType="end"/>
            </w:r>
          </w:hyperlink>
        </w:p>
        <w:p w14:paraId="48E90E50" w14:textId="7D89967E" w:rsidR="00FD72F6" w:rsidRDefault="00883F21">
          <w:pPr>
            <w:pStyle w:val="TDC2"/>
            <w:tabs>
              <w:tab w:val="left" w:pos="880"/>
              <w:tab w:val="right" w:leader="dot" w:pos="8828"/>
            </w:tabs>
            <w:rPr>
              <w:rFonts w:eastAsiaTheme="minorEastAsia"/>
              <w:noProof/>
              <w:lang w:eastAsia="es-CR"/>
            </w:rPr>
          </w:pPr>
          <w:hyperlink w:anchor="_Toc138770835" w:history="1">
            <w:r w:rsidR="00FD72F6" w:rsidRPr="00127E6A">
              <w:rPr>
                <w:rStyle w:val="Hipervnculo"/>
                <w:rFonts w:ascii="Book Antiqua" w:eastAsia="Wingdings" w:hAnsi="Book Antiqua"/>
                <w:b/>
                <w:bCs/>
                <w:noProof/>
                <w:lang w:eastAsia="ko-KR"/>
              </w:rPr>
              <w:t>1.17</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Recomendaciones dirigidas al Ministerio Público</w:t>
            </w:r>
            <w:r w:rsidR="00FD72F6">
              <w:rPr>
                <w:noProof/>
                <w:webHidden/>
              </w:rPr>
              <w:tab/>
            </w:r>
            <w:r w:rsidR="00FD72F6">
              <w:rPr>
                <w:noProof/>
                <w:webHidden/>
              </w:rPr>
              <w:fldChar w:fldCharType="begin"/>
            </w:r>
            <w:r w:rsidR="00FD72F6">
              <w:rPr>
                <w:noProof/>
                <w:webHidden/>
              </w:rPr>
              <w:instrText xml:space="preserve"> PAGEREF _Toc138770835 \h </w:instrText>
            </w:r>
            <w:r w:rsidR="00FD72F6">
              <w:rPr>
                <w:noProof/>
                <w:webHidden/>
              </w:rPr>
            </w:r>
            <w:r w:rsidR="00FD72F6">
              <w:rPr>
                <w:noProof/>
                <w:webHidden/>
              </w:rPr>
              <w:fldChar w:fldCharType="separate"/>
            </w:r>
            <w:r w:rsidR="00F6374E">
              <w:rPr>
                <w:noProof/>
                <w:webHidden/>
              </w:rPr>
              <w:t>37</w:t>
            </w:r>
            <w:r w:rsidR="00FD72F6">
              <w:rPr>
                <w:noProof/>
                <w:webHidden/>
              </w:rPr>
              <w:fldChar w:fldCharType="end"/>
            </w:r>
          </w:hyperlink>
        </w:p>
        <w:p w14:paraId="2FD6F179" w14:textId="409E43CF" w:rsidR="00FD72F6" w:rsidRDefault="00883F21">
          <w:pPr>
            <w:pStyle w:val="TDC2"/>
            <w:tabs>
              <w:tab w:val="left" w:pos="880"/>
              <w:tab w:val="right" w:leader="dot" w:pos="8828"/>
            </w:tabs>
            <w:rPr>
              <w:rFonts w:eastAsiaTheme="minorEastAsia"/>
              <w:noProof/>
              <w:lang w:eastAsia="es-CR"/>
            </w:rPr>
          </w:pPr>
          <w:hyperlink w:anchor="_Toc138770836" w:history="1">
            <w:r w:rsidR="00FD72F6" w:rsidRPr="00127E6A">
              <w:rPr>
                <w:rStyle w:val="Hipervnculo"/>
                <w:rFonts w:ascii="Book Antiqua" w:eastAsia="Wingdings" w:hAnsi="Book Antiqua"/>
                <w:b/>
                <w:bCs/>
                <w:noProof/>
                <w:lang w:eastAsia="ko-KR"/>
              </w:rPr>
              <w:t>1.18</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Recomendaciones dirigidas a la Oficina de Control Interno</w:t>
            </w:r>
            <w:r w:rsidR="00FD72F6">
              <w:rPr>
                <w:noProof/>
                <w:webHidden/>
              </w:rPr>
              <w:tab/>
            </w:r>
            <w:r w:rsidR="00FD72F6">
              <w:rPr>
                <w:noProof/>
                <w:webHidden/>
              </w:rPr>
              <w:fldChar w:fldCharType="begin"/>
            </w:r>
            <w:r w:rsidR="00FD72F6">
              <w:rPr>
                <w:noProof/>
                <w:webHidden/>
              </w:rPr>
              <w:instrText xml:space="preserve"> PAGEREF _Toc138770836 \h </w:instrText>
            </w:r>
            <w:r w:rsidR="00FD72F6">
              <w:rPr>
                <w:noProof/>
                <w:webHidden/>
              </w:rPr>
            </w:r>
            <w:r w:rsidR="00FD72F6">
              <w:rPr>
                <w:noProof/>
                <w:webHidden/>
              </w:rPr>
              <w:fldChar w:fldCharType="separate"/>
            </w:r>
            <w:r w:rsidR="00F6374E">
              <w:rPr>
                <w:noProof/>
                <w:webHidden/>
              </w:rPr>
              <w:t>39</w:t>
            </w:r>
            <w:r w:rsidR="00FD72F6">
              <w:rPr>
                <w:noProof/>
                <w:webHidden/>
              </w:rPr>
              <w:fldChar w:fldCharType="end"/>
            </w:r>
          </w:hyperlink>
        </w:p>
        <w:p w14:paraId="63FA83B3" w14:textId="0C3CA18B" w:rsidR="00FD72F6" w:rsidRDefault="00883F21">
          <w:pPr>
            <w:pStyle w:val="TDC2"/>
            <w:tabs>
              <w:tab w:val="left" w:pos="880"/>
              <w:tab w:val="right" w:leader="dot" w:pos="8828"/>
            </w:tabs>
            <w:rPr>
              <w:rFonts w:eastAsiaTheme="minorEastAsia"/>
              <w:noProof/>
              <w:lang w:eastAsia="es-CR"/>
            </w:rPr>
          </w:pPr>
          <w:hyperlink w:anchor="_Toc138770837" w:history="1">
            <w:r w:rsidR="00FD72F6" w:rsidRPr="00127E6A">
              <w:rPr>
                <w:rStyle w:val="Hipervnculo"/>
                <w:rFonts w:ascii="Book Antiqua" w:eastAsia="Wingdings" w:hAnsi="Book Antiqua"/>
                <w:b/>
                <w:bCs/>
                <w:noProof/>
                <w:lang w:eastAsia="ko-KR"/>
              </w:rPr>
              <w:t>1.19</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Recomendaciones dirigidas al Oficina de Cumplimiento</w:t>
            </w:r>
            <w:r w:rsidR="00FD72F6">
              <w:rPr>
                <w:noProof/>
                <w:webHidden/>
              </w:rPr>
              <w:tab/>
            </w:r>
            <w:r w:rsidR="00FD72F6">
              <w:rPr>
                <w:noProof/>
                <w:webHidden/>
              </w:rPr>
              <w:fldChar w:fldCharType="begin"/>
            </w:r>
            <w:r w:rsidR="00FD72F6">
              <w:rPr>
                <w:noProof/>
                <w:webHidden/>
              </w:rPr>
              <w:instrText xml:space="preserve"> PAGEREF _Toc138770837 \h </w:instrText>
            </w:r>
            <w:r w:rsidR="00FD72F6">
              <w:rPr>
                <w:noProof/>
                <w:webHidden/>
              </w:rPr>
            </w:r>
            <w:r w:rsidR="00FD72F6">
              <w:rPr>
                <w:noProof/>
                <w:webHidden/>
              </w:rPr>
              <w:fldChar w:fldCharType="separate"/>
            </w:r>
            <w:r w:rsidR="00F6374E">
              <w:rPr>
                <w:noProof/>
                <w:webHidden/>
              </w:rPr>
              <w:t>41</w:t>
            </w:r>
            <w:r w:rsidR="00FD72F6">
              <w:rPr>
                <w:noProof/>
                <w:webHidden/>
              </w:rPr>
              <w:fldChar w:fldCharType="end"/>
            </w:r>
          </w:hyperlink>
        </w:p>
        <w:p w14:paraId="1C9B5494" w14:textId="6EA7ED34" w:rsidR="00FD72F6" w:rsidRDefault="00883F21">
          <w:pPr>
            <w:pStyle w:val="TDC2"/>
            <w:tabs>
              <w:tab w:val="left" w:pos="880"/>
              <w:tab w:val="right" w:leader="dot" w:pos="8828"/>
            </w:tabs>
            <w:rPr>
              <w:rFonts w:eastAsiaTheme="minorEastAsia"/>
              <w:noProof/>
              <w:lang w:eastAsia="es-CR"/>
            </w:rPr>
          </w:pPr>
          <w:hyperlink w:anchor="_Toc138770838" w:history="1">
            <w:r w:rsidR="00FD72F6" w:rsidRPr="00127E6A">
              <w:rPr>
                <w:rStyle w:val="Hipervnculo"/>
                <w:rFonts w:ascii="Book Antiqua" w:eastAsia="Wingdings" w:hAnsi="Book Antiqua"/>
                <w:b/>
                <w:bCs/>
                <w:noProof/>
                <w:lang w:eastAsia="ko-KR"/>
              </w:rPr>
              <w:t>1.20</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Recomendaciones dirigidas al Organismo de Investigación Judicial</w:t>
            </w:r>
            <w:r w:rsidR="00FD72F6">
              <w:rPr>
                <w:noProof/>
                <w:webHidden/>
              </w:rPr>
              <w:tab/>
            </w:r>
            <w:r w:rsidR="00FD72F6">
              <w:rPr>
                <w:noProof/>
                <w:webHidden/>
              </w:rPr>
              <w:fldChar w:fldCharType="begin"/>
            </w:r>
            <w:r w:rsidR="00FD72F6">
              <w:rPr>
                <w:noProof/>
                <w:webHidden/>
              </w:rPr>
              <w:instrText xml:space="preserve"> PAGEREF _Toc138770838 \h </w:instrText>
            </w:r>
            <w:r w:rsidR="00FD72F6">
              <w:rPr>
                <w:noProof/>
                <w:webHidden/>
              </w:rPr>
            </w:r>
            <w:r w:rsidR="00FD72F6">
              <w:rPr>
                <w:noProof/>
                <w:webHidden/>
              </w:rPr>
              <w:fldChar w:fldCharType="separate"/>
            </w:r>
            <w:r w:rsidR="00F6374E">
              <w:rPr>
                <w:noProof/>
                <w:webHidden/>
              </w:rPr>
              <w:t>41</w:t>
            </w:r>
            <w:r w:rsidR="00FD72F6">
              <w:rPr>
                <w:noProof/>
                <w:webHidden/>
              </w:rPr>
              <w:fldChar w:fldCharType="end"/>
            </w:r>
          </w:hyperlink>
        </w:p>
        <w:p w14:paraId="0E08707C" w14:textId="34227A9B" w:rsidR="00FD72F6" w:rsidRDefault="00883F21">
          <w:pPr>
            <w:pStyle w:val="TDC2"/>
            <w:tabs>
              <w:tab w:val="left" w:pos="880"/>
              <w:tab w:val="right" w:leader="dot" w:pos="8828"/>
            </w:tabs>
            <w:rPr>
              <w:rFonts w:eastAsiaTheme="minorEastAsia"/>
              <w:noProof/>
              <w:lang w:eastAsia="es-CR"/>
            </w:rPr>
          </w:pPr>
          <w:hyperlink w:anchor="_Toc138770839" w:history="1">
            <w:r w:rsidR="00FD72F6" w:rsidRPr="00127E6A">
              <w:rPr>
                <w:rStyle w:val="Hipervnculo"/>
                <w:rFonts w:ascii="Book Antiqua" w:eastAsia="Wingdings" w:hAnsi="Book Antiqua"/>
                <w:b/>
                <w:bCs/>
                <w:noProof/>
                <w:lang w:eastAsia="ko-KR"/>
              </w:rPr>
              <w:t>1.21</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Recomendaciones dirigidas al Primer Circuito Judicial Guanacaste</w:t>
            </w:r>
            <w:r w:rsidR="00FD72F6">
              <w:rPr>
                <w:noProof/>
                <w:webHidden/>
              </w:rPr>
              <w:tab/>
            </w:r>
            <w:r w:rsidR="00FD72F6">
              <w:rPr>
                <w:noProof/>
                <w:webHidden/>
              </w:rPr>
              <w:fldChar w:fldCharType="begin"/>
            </w:r>
            <w:r w:rsidR="00FD72F6">
              <w:rPr>
                <w:noProof/>
                <w:webHidden/>
              </w:rPr>
              <w:instrText xml:space="preserve"> PAGEREF _Toc138770839 \h </w:instrText>
            </w:r>
            <w:r w:rsidR="00FD72F6">
              <w:rPr>
                <w:noProof/>
                <w:webHidden/>
              </w:rPr>
            </w:r>
            <w:r w:rsidR="00FD72F6">
              <w:rPr>
                <w:noProof/>
                <w:webHidden/>
              </w:rPr>
              <w:fldChar w:fldCharType="separate"/>
            </w:r>
            <w:r w:rsidR="00F6374E">
              <w:rPr>
                <w:noProof/>
                <w:webHidden/>
              </w:rPr>
              <w:t>44</w:t>
            </w:r>
            <w:r w:rsidR="00FD72F6">
              <w:rPr>
                <w:noProof/>
                <w:webHidden/>
              </w:rPr>
              <w:fldChar w:fldCharType="end"/>
            </w:r>
          </w:hyperlink>
        </w:p>
        <w:p w14:paraId="74CFF9CB" w14:textId="395847DA" w:rsidR="00FD72F6" w:rsidRDefault="00883F21">
          <w:pPr>
            <w:pStyle w:val="TDC2"/>
            <w:tabs>
              <w:tab w:val="left" w:pos="880"/>
              <w:tab w:val="right" w:leader="dot" w:pos="8828"/>
            </w:tabs>
            <w:rPr>
              <w:rFonts w:eastAsiaTheme="minorEastAsia"/>
              <w:noProof/>
              <w:lang w:eastAsia="es-CR"/>
            </w:rPr>
          </w:pPr>
          <w:hyperlink w:anchor="_Toc138770840" w:history="1">
            <w:r w:rsidR="00FD72F6" w:rsidRPr="00127E6A">
              <w:rPr>
                <w:rStyle w:val="Hipervnculo"/>
                <w:rFonts w:ascii="Book Antiqua" w:eastAsia="Wingdings" w:hAnsi="Book Antiqua"/>
                <w:b/>
                <w:bCs/>
                <w:noProof/>
                <w:lang w:eastAsia="ko-KR"/>
              </w:rPr>
              <w:t>1.22</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Recomendaciones dirigidas al Primer Circuito Judicial Zona Sur</w:t>
            </w:r>
            <w:r w:rsidR="00FD72F6">
              <w:rPr>
                <w:noProof/>
                <w:webHidden/>
              </w:rPr>
              <w:tab/>
            </w:r>
            <w:r w:rsidR="00FD72F6">
              <w:rPr>
                <w:noProof/>
                <w:webHidden/>
              </w:rPr>
              <w:fldChar w:fldCharType="begin"/>
            </w:r>
            <w:r w:rsidR="00FD72F6">
              <w:rPr>
                <w:noProof/>
                <w:webHidden/>
              </w:rPr>
              <w:instrText xml:space="preserve"> PAGEREF _Toc138770840 \h </w:instrText>
            </w:r>
            <w:r w:rsidR="00FD72F6">
              <w:rPr>
                <w:noProof/>
                <w:webHidden/>
              </w:rPr>
            </w:r>
            <w:r w:rsidR="00FD72F6">
              <w:rPr>
                <w:noProof/>
                <w:webHidden/>
              </w:rPr>
              <w:fldChar w:fldCharType="separate"/>
            </w:r>
            <w:r w:rsidR="00F6374E">
              <w:rPr>
                <w:noProof/>
                <w:webHidden/>
              </w:rPr>
              <w:t>45</w:t>
            </w:r>
            <w:r w:rsidR="00FD72F6">
              <w:rPr>
                <w:noProof/>
                <w:webHidden/>
              </w:rPr>
              <w:fldChar w:fldCharType="end"/>
            </w:r>
          </w:hyperlink>
        </w:p>
        <w:p w14:paraId="69AEDC27" w14:textId="659AB743" w:rsidR="00FD72F6" w:rsidRDefault="00883F21">
          <w:pPr>
            <w:pStyle w:val="TDC2"/>
            <w:tabs>
              <w:tab w:val="left" w:pos="880"/>
              <w:tab w:val="right" w:leader="dot" w:pos="8828"/>
            </w:tabs>
            <w:rPr>
              <w:rFonts w:eastAsiaTheme="minorEastAsia"/>
              <w:noProof/>
              <w:lang w:eastAsia="es-CR"/>
            </w:rPr>
          </w:pPr>
          <w:hyperlink w:anchor="_Toc138770841" w:history="1">
            <w:r w:rsidR="00FD72F6" w:rsidRPr="00127E6A">
              <w:rPr>
                <w:rStyle w:val="Hipervnculo"/>
                <w:rFonts w:ascii="Book Antiqua" w:eastAsia="Wingdings" w:hAnsi="Book Antiqua"/>
                <w:b/>
                <w:bCs/>
                <w:noProof/>
                <w:lang w:eastAsia="ko-KR"/>
              </w:rPr>
              <w:t>1.23</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Recomendaciones dirigidas al Programa Justicia Restaurativa</w:t>
            </w:r>
            <w:r w:rsidR="00FD72F6">
              <w:rPr>
                <w:noProof/>
                <w:webHidden/>
              </w:rPr>
              <w:tab/>
            </w:r>
            <w:r w:rsidR="00FD72F6">
              <w:rPr>
                <w:noProof/>
                <w:webHidden/>
              </w:rPr>
              <w:fldChar w:fldCharType="begin"/>
            </w:r>
            <w:r w:rsidR="00FD72F6">
              <w:rPr>
                <w:noProof/>
                <w:webHidden/>
              </w:rPr>
              <w:instrText xml:space="preserve"> PAGEREF _Toc138770841 \h </w:instrText>
            </w:r>
            <w:r w:rsidR="00FD72F6">
              <w:rPr>
                <w:noProof/>
                <w:webHidden/>
              </w:rPr>
            </w:r>
            <w:r w:rsidR="00FD72F6">
              <w:rPr>
                <w:noProof/>
                <w:webHidden/>
              </w:rPr>
              <w:fldChar w:fldCharType="separate"/>
            </w:r>
            <w:r w:rsidR="00F6374E">
              <w:rPr>
                <w:noProof/>
                <w:webHidden/>
              </w:rPr>
              <w:t>47</w:t>
            </w:r>
            <w:r w:rsidR="00FD72F6">
              <w:rPr>
                <w:noProof/>
                <w:webHidden/>
              </w:rPr>
              <w:fldChar w:fldCharType="end"/>
            </w:r>
          </w:hyperlink>
        </w:p>
        <w:p w14:paraId="7440A44C" w14:textId="63C5375E" w:rsidR="00FD72F6" w:rsidRDefault="00883F21">
          <w:pPr>
            <w:pStyle w:val="TDC2"/>
            <w:tabs>
              <w:tab w:val="left" w:pos="880"/>
              <w:tab w:val="right" w:leader="dot" w:pos="8828"/>
            </w:tabs>
            <w:rPr>
              <w:rFonts w:eastAsiaTheme="minorEastAsia"/>
              <w:noProof/>
              <w:lang w:eastAsia="es-CR"/>
            </w:rPr>
          </w:pPr>
          <w:hyperlink w:anchor="_Toc138770842" w:history="1">
            <w:r w:rsidR="00FD72F6" w:rsidRPr="00127E6A">
              <w:rPr>
                <w:rStyle w:val="Hipervnculo"/>
                <w:rFonts w:ascii="Book Antiqua" w:eastAsia="Wingdings" w:hAnsi="Book Antiqua"/>
                <w:b/>
                <w:bCs/>
                <w:noProof/>
                <w:lang w:eastAsia="ko-KR"/>
              </w:rPr>
              <w:t>1.24</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Recomendaciones dirigidas al Segundo Circuito Judicial Alajuela</w:t>
            </w:r>
            <w:r w:rsidR="00FD72F6">
              <w:rPr>
                <w:noProof/>
                <w:webHidden/>
              </w:rPr>
              <w:tab/>
            </w:r>
            <w:r w:rsidR="00FD72F6">
              <w:rPr>
                <w:noProof/>
                <w:webHidden/>
              </w:rPr>
              <w:fldChar w:fldCharType="begin"/>
            </w:r>
            <w:r w:rsidR="00FD72F6">
              <w:rPr>
                <w:noProof/>
                <w:webHidden/>
              </w:rPr>
              <w:instrText xml:space="preserve"> PAGEREF _Toc138770842 \h </w:instrText>
            </w:r>
            <w:r w:rsidR="00FD72F6">
              <w:rPr>
                <w:noProof/>
                <w:webHidden/>
              </w:rPr>
            </w:r>
            <w:r w:rsidR="00FD72F6">
              <w:rPr>
                <w:noProof/>
                <w:webHidden/>
              </w:rPr>
              <w:fldChar w:fldCharType="separate"/>
            </w:r>
            <w:r w:rsidR="00F6374E">
              <w:rPr>
                <w:noProof/>
                <w:webHidden/>
              </w:rPr>
              <w:t>48</w:t>
            </w:r>
            <w:r w:rsidR="00FD72F6">
              <w:rPr>
                <w:noProof/>
                <w:webHidden/>
              </w:rPr>
              <w:fldChar w:fldCharType="end"/>
            </w:r>
          </w:hyperlink>
        </w:p>
        <w:p w14:paraId="6EEBF988" w14:textId="70274CB2" w:rsidR="00FD72F6" w:rsidRDefault="00883F21">
          <w:pPr>
            <w:pStyle w:val="TDC2"/>
            <w:tabs>
              <w:tab w:val="left" w:pos="880"/>
              <w:tab w:val="right" w:leader="dot" w:pos="8828"/>
            </w:tabs>
            <w:rPr>
              <w:rFonts w:eastAsiaTheme="minorEastAsia"/>
              <w:noProof/>
              <w:lang w:eastAsia="es-CR"/>
            </w:rPr>
          </w:pPr>
          <w:hyperlink w:anchor="_Toc138770843" w:history="1">
            <w:r w:rsidR="00FD72F6" w:rsidRPr="00127E6A">
              <w:rPr>
                <w:rStyle w:val="Hipervnculo"/>
                <w:rFonts w:ascii="Book Antiqua" w:hAnsi="Book Antiqua"/>
                <w:b/>
                <w:bCs/>
                <w:noProof/>
              </w:rPr>
              <w:t>1.25</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Recomendaciones dirigidas al Segundo Circuito Judicial Zona Sur</w:t>
            </w:r>
            <w:r w:rsidR="00FD72F6">
              <w:rPr>
                <w:noProof/>
                <w:webHidden/>
              </w:rPr>
              <w:tab/>
            </w:r>
            <w:r w:rsidR="00FD72F6">
              <w:rPr>
                <w:noProof/>
                <w:webHidden/>
              </w:rPr>
              <w:fldChar w:fldCharType="begin"/>
            </w:r>
            <w:r w:rsidR="00FD72F6">
              <w:rPr>
                <w:noProof/>
                <w:webHidden/>
              </w:rPr>
              <w:instrText xml:space="preserve"> PAGEREF _Toc138770843 \h </w:instrText>
            </w:r>
            <w:r w:rsidR="00FD72F6">
              <w:rPr>
                <w:noProof/>
                <w:webHidden/>
              </w:rPr>
            </w:r>
            <w:r w:rsidR="00FD72F6">
              <w:rPr>
                <w:noProof/>
                <w:webHidden/>
              </w:rPr>
              <w:fldChar w:fldCharType="separate"/>
            </w:r>
            <w:r w:rsidR="00F6374E">
              <w:rPr>
                <w:noProof/>
                <w:webHidden/>
              </w:rPr>
              <w:t>49</w:t>
            </w:r>
            <w:r w:rsidR="00FD72F6">
              <w:rPr>
                <w:noProof/>
                <w:webHidden/>
              </w:rPr>
              <w:fldChar w:fldCharType="end"/>
            </w:r>
          </w:hyperlink>
        </w:p>
        <w:p w14:paraId="6DD0D568" w14:textId="1E89E744" w:rsidR="00FD72F6" w:rsidRDefault="00883F21">
          <w:pPr>
            <w:pStyle w:val="TDC2"/>
            <w:tabs>
              <w:tab w:val="left" w:pos="880"/>
              <w:tab w:val="right" w:leader="dot" w:pos="8828"/>
            </w:tabs>
            <w:rPr>
              <w:rFonts w:eastAsiaTheme="minorEastAsia"/>
              <w:noProof/>
              <w:lang w:eastAsia="es-CR"/>
            </w:rPr>
          </w:pPr>
          <w:hyperlink w:anchor="_Toc138770844" w:history="1">
            <w:r w:rsidR="00FD72F6" w:rsidRPr="00127E6A">
              <w:rPr>
                <w:rStyle w:val="Hipervnculo"/>
                <w:rFonts w:ascii="Book Antiqua" w:eastAsia="Wingdings" w:hAnsi="Book Antiqua"/>
                <w:b/>
                <w:bCs/>
                <w:noProof/>
                <w:lang w:eastAsia="ko-KR"/>
              </w:rPr>
              <w:t>1.26</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Recomendaciones dirigidas al Tercer Circuito Judicial Alajuela</w:t>
            </w:r>
            <w:r w:rsidR="00FD72F6">
              <w:rPr>
                <w:noProof/>
                <w:webHidden/>
              </w:rPr>
              <w:tab/>
            </w:r>
            <w:r w:rsidR="00FD72F6">
              <w:rPr>
                <w:noProof/>
                <w:webHidden/>
              </w:rPr>
              <w:fldChar w:fldCharType="begin"/>
            </w:r>
            <w:r w:rsidR="00FD72F6">
              <w:rPr>
                <w:noProof/>
                <w:webHidden/>
              </w:rPr>
              <w:instrText xml:space="preserve"> PAGEREF _Toc138770844 \h </w:instrText>
            </w:r>
            <w:r w:rsidR="00FD72F6">
              <w:rPr>
                <w:noProof/>
                <w:webHidden/>
              </w:rPr>
            </w:r>
            <w:r w:rsidR="00FD72F6">
              <w:rPr>
                <w:noProof/>
                <w:webHidden/>
              </w:rPr>
              <w:fldChar w:fldCharType="separate"/>
            </w:r>
            <w:r w:rsidR="00F6374E">
              <w:rPr>
                <w:noProof/>
                <w:webHidden/>
              </w:rPr>
              <w:t>50</w:t>
            </w:r>
            <w:r w:rsidR="00FD72F6">
              <w:rPr>
                <w:noProof/>
                <w:webHidden/>
              </w:rPr>
              <w:fldChar w:fldCharType="end"/>
            </w:r>
          </w:hyperlink>
        </w:p>
        <w:p w14:paraId="7F97F27C" w14:textId="7BB781C0" w:rsidR="00FD72F6" w:rsidRDefault="00883F21">
          <w:pPr>
            <w:pStyle w:val="TDC2"/>
            <w:tabs>
              <w:tab w:val="left" w:pos="880"/>
              <w:tab w:val="right" w:leader="dot" w:pos="8828"/>
            </w:tabs>
            <w:rPr>
              <w:rFonts w:eastAsiaTheme="minorEastAsia"/>
              <w:noProof/>
              <w:lang w:eastAsia="es-CR"/>
            </w:rPr>
          </w:pPr>
          <w:hyperlink w:anchor="_Toc138770845" w:history="1">
            <w:r w:rsidR="00FD72F6" w:rsidRPr="00127E6A">
              <w:rPr>
                <w:rStyle w:val="Hipervnculo"/>
                <w:rFonts w:ascii="Book Antiqua" w:eastAsia="Wingdings" w:hAnsi="Book Antiqua"/>
                <w:b/>
                <w:bCs/>
                <w:noProof/>
                <w:lang w:eastAsia="ko-KR"/>
              </w:rPr>
              <w:t>1.27</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Recomendaciones dirigidas al Dirección de Planificación- Unidad de Portafolio de Proyectos.</w:t>
            </w:r>
            <w:r w:rsidR="00FD72F6">
              <w:rPr>
                <w:noProof/>
                <w:webHidden/>
              </w:rPr>
              <w:tab/>
            </w:r>
            <w:r w:rsidR="00FD72F6">
              <w:rPr>
                <w:noProof/>
                <w:webHidden/>
              </w:rPr>
              <w:fldChar w:fldCharType="begin"/>
            </w:r>
            <w:r w:rsidR="00FD72F6">
              <w:rPr>
                <w:noProof/>
                <w:webHidden/>
              </w:rPr>
              <w:instrText xml:space="preserve"> PAGEREF _Toc138770845 \h </w:instrText>
            </w:r>
            <w:r w:rsidR="00FD72F6">
              <w:rPr>
                <w:noProof/>
                <w:webHidden/>
              </w:rPr>
            </w:r>
            <w:r w:rsidR="00FD72F6">
              <w:rPr>
                <w:noProof/>
                <w:webHidden/>
              </w:rPr>
              <w:fldChar w:fldCharType="separate"/>
            </w:r>
            <w:r w:rsidR="00F6374E">
              <w:rPr>
                <w:noProof/>
                <w:webHidden/>
              </w:rPr>
              <w:t>51</w:t>
            </w:r>
            <w:r w:rsidR="00FD72F6">
              <w:rPr>
                <w:noProof/>
                <w:webHidden/>
              </w:rPr>
              <w:fldChar w:fldCharType="end"/>
            </w:r>
          </w:hyperlink>
        </w:p>
        <w:p w14:paraId="033E7B0F" w14:textId="06EAB377" w:rsidR="00FD72F6" w:rsidRDefault="00883F21">
          <w:pPr>
            <w:pStyle w:val="TDC1"/>
            <w:rPr>
              <w:rFonts w:eastAsiaTheme="minorEastAsia"/>
              <w:noProof/>
              <w:lang w:eastAsia="es-CR"/>
            </w:rPr>
          </w:pPr>
          <w:hyperlink w:anchor="_Toc138770846" w:history="1">
            <w:r w:rsidR="00FD72F6" w:rsidRPr="00127E6A">
              <w:rPr>
                <w:rStyle w:val="Hipervnculo"/>
                <w:rFonts w:ascii="Book Antiqua" w:eastAsia="Wingdings" w:hAnsi="Book Antiqua"/>
                <w:b/>
                <w:noProof/>
                <w:lang w:eastAsia="ko-KR"/>
              </w:rPr>
              <w:t>CAPÍTULO 2)</w:t>
            </w:r>
            <w:r w:rsidR="00FD72F6" w:rsidRPr="00127E6A">
              <w:rPr>
                <w:rStyle w:val="Hipervnculo"/>
                <w:rFonts w:ascii="Book Antiqua" w:eastAsia="Wingdings" w:hAnsi="Book Antiqua"/>
                <w:b/>
                <w:bCs/>
                <w:noProof/>
                <w:lang w:eastAsia="ko-KR"/>
              </w:rPr>
              <w:t xml:space="preserve">  SEGUIMIENTO DE LOS PROYECTOS ESTRATÉGICOS AL 28 DE ABRIL DEL 2023</w:t>
            </w:r>
            <w:r w:rsidR="00FD72F6">
              <w:rPr>
                <w:noProof/>
                <w:webHidden/>
              </w:rPr>
              <w:tab/>
            </w:r>
            <w:r w:rsidR="00FD72F6">
              <w:rPr>
                <w:noProof/>
                <w:webHidden/>
              </w:rPr>
              <w:fldChar w:fldCharType="begin"/>
            </w:r>
            <w:r w:rsidR="00FD72F6">
              <w:rPr>
                <w:noProof/>
                <w:webHidden/>
              </w:rPr>
              <w:instrText xml:space="preserve"> PAGEREF _Toc138770846 \h </w:instrText>
            </w:r>
            <w:r w:rsidR="00FD72F6">
              <w:rPr>
                <w:noProof/>
                <w:webHidden/>
              </w:rPr>
            </w:r>
            <w:r w:rsidR="00FD72F6">
              <w:rPr>
                <w:noProof/>
                <w:webHidden/>
              </w:rPr>
              <w:fldChar w:fldCharType="separate"/>
            </w:r>
            <w:r w:rsidR="00F6374E">
              <w:rPr>
                <w:noProof/>
                <w:webHidden/>
              </w:rPr>
              <w:t>53</w:t>
            </w:r>
            <w:r w:rsidR="00FD72F6">
              <w:rPr>
                <w:noProof/>
                <w:webHidden/>
              </w:rPr>
              <w:fldChar w:fldCharType="end"/>
            </w:r>
          </w:hyperlink>
        </w:p>
        <w:p w14:paraId="0F03933E" w14:textId="401BF612" w:rsidR="00FD72F6" w:rsidRDefault="00883F21">
          <w:pPr>
            <w:pStyle w:val="TDC2"/>
            <w:tabs>
              <w:tab w:val="left" w:pos="880"/>
              <w:tab w:val="right" w:leader="dot" w:pos="8828"/>
            </w:tabs>
            <w:rPr>
              <w:rFonts w:eastAsiaTheme="minorEastAsia"/>
              <w:noProof/>
              <w:lang w:eastAsia="es-CR"/>
            </w:rPr>
          </w:pPr>
          <w:hyperlink w:anchor="_Toc138770847" w:history="1">
            <w:r w:rsidR="00FD72F6" w:rsidRPr="00127E6A">
              <w:rPr>
                <w:rStyle w:val="Hipervnculo"/>
                <w:rFonts w:ascii="Book Antiqua" w:eastAsia="Wingdings" w:hAnsi="Book Antiqua"/>
                <w:b/>
                <w:noProof/>
                <w:lang w:eastAsia="ko-KR"/>
              </w:rPr>
              <w:t>2.1</w:t>
            </w:r>
            <w:r w:rsidR="00FD72F6">
              <w:rPr>
                <w:rFonts w:eastAsiaTheme="minorEastAsia"/>
                <w:noProof/>
                <w:lang w:eastAsia="es-CR"/>
              </w:rPr>
              <w:tab/>
            </w:r>
            <w:r w:rsidR="00FD72F6" w:rsidRPr="00127E6A">
              <w:rPr>
                <w:rStyle w:val="Hipervnculo"/>
                <w:rFonts w:ascii="Book Antiqua" w:eastAsia="Wingdings" w:hAnsi="Book Antiqua"/>
                <w:b/>
                <w:noProof/>
                <w:lang w:eastAsia="ko-KR"/>
              </w:rPr>
              <w:t>Detalle de los proyectos en estado “En progreso”.</w:t>
            </w:r>
            <w:r w:rsidR="00FD72F6">
              <w:rPr>
                <w:noProof/>
                <w:webHidden/>
              </w:rPr>
              <w:tab/>
            </w:r>
            <w:r w:rsidR="00FD72F6">
              <w:rPr>
                <w:noProof/>
                <w:webHidden/>
              </w:rPr>
              <w:fldChar w:fldCharType="begin"/>
            </w:r>
            <w:r w:rsidR="00FD72F6">
              <w:rPr>
                <w:noProof/>
                <w:webHidden/>
              </w:rPr>
              <w:instrText xml:space="preserve"> PAGEREF _Toc138770847 \h </w:instrText>
            </w:r>
            <w:r w:rsidR="00FD72F6">
              <w:rPr>
                <w:noProof/>
                <w:webHidden/>
              </w:rPr>
            </w:r>
            <w:r w:rsidR="00FD72F6">
              <w:rPr>
                <w:noProof/>
                <w:webHidden/>
              </w:rPr>
              <w:fldChar w:fldCharType="separate"/>
            </w:r>
            <w:r w:rsidR="00F6374E">
              <w:rPr>
                <w:noProof/>
                <w:webHidden/>
              </w:rPr>
              <w:t>58</w:t>
            </w:r>
            <w:r w:rsidR="00FD72F6">
              <w:rPr>
                <w:noProof/>
                <w:webHidden/>
              </w:rPr>
              <w:fldChar w:fldCharType="end"/>
            </w:r>
          </w:hyperlink>
        </w:p>
        <w:p w14:paraId="17346C1F" w14:textId="437D1883" w:rsidR="00FD72F6" w:rsidRDefault="00883F21">
          <w:pPr>
            <w:pStyle w:val="TDC2"/>
            <w:tabs>
              <w:tab w:val="left" w:pos="880"/>
              <w:tab w:val="right" w:leader="dot" w:pos="8828"/>
            </w:tabs>
            <w:rPr>
              <w:rFonts w:eastAsiaTheme="minorEastAsia"/>
              <w:noProof/>
              <w:lang w:eastAsia="es-CR"/>
            </w:rPr>
          </w:pPr>
          <w:hyperlink w:anchor="_Toc138770848" w:history="1">
            <w:r w:rsidR="00FD72F6" w:rsidRPr="00127E6A">
              <w:rPr>
                <w:rStyle w:val="Hipervnculo"/>
                <w:rFonts w:ascii="Book Antiqua" w:eastAsia="Wingdings" w:hAnsi="Book Antiqua"/>
                <w:b/>
                <w:noProof/>
                <w:lang w:eastAsia="ko-KR"/>
              </w:rPr>
              <w:t>2.2</w:t>
            </w:r>
            <w:r w:rsidR="00FD72F6">
              <w:rPr>
                <w:rFonts w:eastAsiaTheme="minorEastAsia"/>
                <w:noProof/>
                <w:lang w:eastAsia="es-CR"/>
              </w:rPr>
              <w:tab/>
            </w:r>
            <w:r w:rsidR="00FD72F6" w:rsidRPr="00127E6A">
              <w:rPr>
                <w:rStyle w:val="Hipervnculo"/>
                <w:rFonts w:ascii="Book Antiqua" w:eastAsia="Wingdings" w:hAnsi="Book Antiqua"/>
                <w:b/>
                <w:noProof/>
                <w:lang w:eastAsia="ko-KR"/>
              </w:rPr>
              <w:t>Análisis de Proyectos que reportan retraso en el avance de sus actividades</w:t>
            </w:r>
            <w:r w:rsidR="00FD72F6">
              <w:rPr>
                <w:noProof/>
                <w:webHidden/>
              </w:rPr>
              <w:tab/>
            </w:r>
            <w:r w:rsidR="00FD72F6">
              <w:rPr>
                <w:noProof/>
                <w:webHidden/>
              </w:rPr>
              <w:fldChar w:fldCharType="begin"/>
            </w:r>
            <w:r w:rsidR="00FD72F6">
              <w:rPr>
                <w:noProof/>
                <w:webHidden/>
              </w:rPr>
              <w:instrText xml:space="preserve"> PAGEREF _Toc138770848 \h </w:instrText>
            </w:r>
            <w:r w:rsidR="00FD72F6">
              <w:rPr>
                <w:noProof/>
                <w:webHidden/>
              </w:rPr>
            </w:r>
            <w:r w:rsidR="00FD72F6">
              <w:rPr>
                <w:noProof/>
                <w:webHidden/>
              </w:rPr>
              <w:fldChar w:fldCharType="separate"/>
            </w:r>
            <w:r w:rsidR="00F6374E">
              <w:rPr>
                <w:noProof/>
                <w:webHidden/>
              </w:rPr>
              <w:t>61</w:t>
            </w:r>
            <w:r w:rsidR="00FD72F6">
              <w:rPr>
                <w:noProof/>
                <w:webHidden/>
              </w:rPr>
              <w:fldChar w:fldCharType="end"/>
            </w:r>
          </w:hyperlink>
        </w:p>
        <w:p w14:paraId="5124AD63" w14:textId="0A0A3E64" w:rsidR="00FD72F6" w:rsidRDefault="00883F21">
          <w:pPr>
            <w:pStyle w:val="TDC2"/>
            <w:tabs>
              <w:tab w:val="left" w:pos="880"/>
              <w:tab w:val="right" w:leader="dot" w:pos="8828"/>
            </w:tabs>
            <w:rPr>
              <w:rFonts w:eastAsiaTheme="minorEastAsia"/>
              <w:noProof/>
              <w:lang w:eastAsia="es-CR"/>
            </w:rPr>
          </w:pPr>
          <w:hyperlink w:anchor="_Toc138770849" w:history="1">
            <w:r w:rsidR="00FD72F6" w:rsidRPr="00127E6A">
              <w:rPr>
                <w:rStyle w:val="Hipervnculo"/>
                <w:rFonts w:ascii="Book Antiqua" w:eastAsia="Wingdings" w:hAnsi="Book Antiqua"/>
                <w:b/>
                <w:noProof/>
                <w:lang w:eastAsia="ko-KR"/>
              </w:rPr>
              <w:t>2.3</w:t>
            </w:r>
            <w:r w:rsidR="00FD72F6">
              <w:rPr>
                <w:rFonts w:eastAsiaTheme="minorEastAsia"/>
                <w:noProof/>
                <w:lang w:eastAsia="es-CR"/>
              </w:rPr>
              <w:tab/>
            </w:r>
            <w:r w:rsidR="00FD72F6" w:rsidRPr="00127E6A">
              <w:rPr>
                <w:rStyle w:val="Hipervnculo"/>
                <w:rFonts w:ascii="Book Antiqua" w:eastAsia="Wingdings" w:hAnsi="Book Antiqua"/>
                <w:b/>
                <w:noProof/>
                <w:lang w:eastAsia="ko-KR"/>
              </w:rPr>
              <w:t>Proyectos en Ejecución que presentaron solicitud de cambio</w:t>
            </w:r>
            <w:r w:rsidR="00FD72F6">
              <w:rPr>
                <w:noProof/>
                <w:webHidden/>
              </w:rPr>
              <w:tab/>
            </w:r>
            <w:r w:rsidR="00FD72F6">
              <w:rPr>
                <w:noProof/>
                <w:webHidden/>
              </w:rPr>
              <w:fldChar w:fldCharType="begin"/>
            </w:r>
            <w:r w:rsidR="00FD72F6">
              <w:rPr>
                <w:noProof/>
                <w:webHidden/>
              </w:rPr>
              <w:instrText xml:space="preserve"> PAGEREF _Toc138770849 \h </w:instrText>
            </w:r>
            <w:r w:rsidR="00FD72F6">
              <w:rPr>
                <w:noProof/>
                <w:webHidden/>
              </w:rPr>
            </w:r>
            <w:r w:rsidR="00FD72F6">
              <w:rPr>
                <w:noProof/>
                <w:webHidden/>
              </w:rPr>
              <w:fldChar w:fldCharType="separate"/>
            </w:r>
            <w:r w:rsidR="00F6374E">
              <w:rPr>
                <w:noProof/>
                <w:webHidden/>
              </w:rPr>
              <w:t>64</w:t>
            </w:r>
            <w:r w:rsidR="00FD72F6">
              <w:rPr>
                <w:noProof/>
                <w:webHidden/>
              </w:rPr>
              <w:fldChar w:fldCharType="end"/>
            </w:r>
          </w:hyperlink>
        </w:p>
        <w:p w14:paraId="071C9DCA" w14:textId="46F60FA0" w:rsidR="00FD72F6" w:rsidRDefault="00883F21">
          <w:pPr>
            <w:pStyle w:val="TDC2"/>
            <w:tabs>
              <w:tab w:val="left" w:pos="880"/>
              <w:tab w:val="right" w:leader="dot" w:pos="8828"/>
            </w:tabs>
            <w:rPr>
              <w:rFonts w:eastAsiaTheme="minorEastAsia"/>
              <w:noProof/>
              <w:lang w:eastAsia="es-CR"/>
            </w:rPr>
          </w:pPr>
          <w:hyperlink w:anchor="_Toc138770850" w:history="1">
            <w:r w:rsidR="00FD72F6" w:rsidRPr="00127E6A">
              <w:rPr>
                <w:rStyle w:val="Hipervnculo"/>
                <w:rFonts w:ascii="Book Antiqua" w:eastAsia="Wingdings" w:hAnsi="Book Antiqua"/>
                <w:b/>
                <w:bCs/>
                <w:noProof/>
                <w:lang w:eastAsia="ko-KR"/>
              </w:rPr>
              <w:t>2.4</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 xml:space="preserve">Proyectos </w:t>
            </w:r>
            <w:r w:rsidR="00FD72F6" w:rsidRPr="00127E6A">
              <w:rPr>
                <w:rStyle w:val="Hipervnculo"/>
                <w:rFonts w:ascii="Book Antiqua" w:hAnsi="Book Antiqua"/>
                <w:b/>
                <w:bCs/>
                <w:noProof/>
                <w:shd w:val="clear" w:color="auto" w:fill="FFFFFF"/>
              </w:rPr>
              <w:t>Estratégicos terminados entre enero a abril del 2023 dentro del portafolio que inician su Fase de Cierre</w:t>
            </w:r>
            <w:r w:rsidR="00FD72F6">
              <w:rPr>
                <w:noProof/>
                <w:webHidden/>
              </w:rPr>
              <w:tab/>
            </w:r>
            <w:r w:rsidR="00FD72F6">
              <w:rPr>
                <w:noProof/>
                <w:webHidden/>
              </w:rPr>
              <w:fldChar w:fldCharType="begin"/>
            </w:r>
            <w:r w:rsidR="00FD72F6">
              <w:rPr>
                <w:noProof/>
                <w:webHidden/>
              </w:rPr>
              <w:instrText xml:space="preserve"> PAGEREF _Toc138770850 \h </w:instrText>
            </w:r>
            <w:r w:rsidR="00FD72F6">
              <w:rPr>
                <w:noProof/>
                <w:webHidden/>
              </w:rPr>
            </w:r>
            <w:r w:rsidR="00FD72F6">
              <w:rPr>
                <w:noProof/>
                <w:webHidden/>
              </w:rPr>
              <w:fldChar w:fldCharType="separate"/>
            </w:r>
            <w:r w:rsidR="00F6374E">
              <w:rPr>
                <w:noProof/>
                <w:webHidden/>
              </w:rPr>
              <w:t>90</w:t>
            </w:r>
            <w:r w:rsidR="00FD72F6">
              <w:rPr>
                <w:noProof/>
                <w:webHidden/>
              </w:rPr>
              <w:fldChar w:fldCharType="end"/>
            </w:r>
          </w:hyperlink>
        </w:p>
        <w:p w14:paraId="6FDDF44B" w14:textId="7F434DBF" w:rsidR="00FD72F6" w:rsidRDefault="00883F21">
          <w:pPr>
            <w:pStyle w:val="TDC1"/>
            <w:tabs>
              <w:tab w:val="left" w:pos="1760"/>
            </w:tabs>
            <w:rPr>
              <w:rFonts w:eastAsiaTheme="minorEastAsia"/>
              <w:noProof/>
              <w:lang w:eastAsia="es-CR"/>
            </w:rPr>
          </w:pPr>
          <w:hyperlink w:anchor="_Toc138770851" w:history="1">
            <w:r w:rsidR="00FD72F6" w:rsidRPr="00127E6A">
              <w:rPr>
                <w:rStyle w:val="Hipervnculo"/>
                <w:rFonts w:ascii="Book Antiqua" w:eastAsia="Wingdings" w:hAnsi="Book Antiqua"/>
                <w:b/>
                <w:noProof/>
                <w:lang w:eastAsia="ko-KR"/>
              </w:rPr>
              <w:t>CAPÍTULO 3)</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 xml:space="preserve">SEGUIMIENTO DE LAS </w:t>
            </w:r>
            <w:r w:rsidR="00FD72F6" w:rsidRPr="00127E6A">
              <w:rPr>
                <w:rStyle w:val="Hipervnculo"/>
                <w:rFonts w:ascii="Book Antiqua" w:eastAsia="Wingdings" w:hAnsi="Book Antiqua"/>
                <w:b/>
                <w:noProof/>
                <w:lang w:eastAsia="ko-KR"/>
              </w:rPr>
              <w:t>LABORES OPERATIVAS QUE CUENTAN CON PCGS Y APLICAN LA METODOLOGÍA DE ADMINISTRACIÓN DE PROYECTOS</w:t>
            </w:r>
            <w:r w:rsidR="00FD72F6">
              <w:rPr>
                <w:noProof/>
                <w:webHidden/>
              </w:rPr>
              <w:tab/>
            </w:r>
            <w:r w:rsidR="00FD72F6">
              <w:rPr>
                <w:noProof/>
                <w:webHidden/>
              </w:rPr>
              <w:fldChar w:fldCharType="begin"/>
            </w:r>
            <w:r w:rsidR="00FD72F6">
              <w:rPr>
                <w:noProof/>
                <w:webHidden/>
              </w:rPr>
              <w:instrText xml:space="preserve"> PAGEREF _Toc138770851 \h </w:instrText>
            </w:r>
            <w:r w:rsidR="00FD72F6">
              <w:rPr>
                <w:noProof/>
                <w:webHidden/>
              </w:rPr>
            </w:r>
            <w:r w:rsidR="00FD72F6">
              <w:rPr>
                <w:noProof/>
                <w:webHidden/>
              </w:rPr>
              <w:fldChar w:fldCharType="separate"/>
            </w:r>
            <w:r w:rsidR="00F6374E">
              <w:rPr>
                <w:noProof/>
                <w:webHidden/>
              </w:rPr>
              <w:t>95</w:t>
            </w:r>
            <w:r w:rsidR="00FD72F6">
              <w:rPr>
                <w:noProof/>
                <w:webHidden/>
              </w:rPr>
              <w:fldChar w:fldCharType="end"/>
            </w:r>
          </w:hyperlink>
        </w:p>
        <w:p w14:paraId="30F1DE01" w14:textId="33258647" w:rsidR="00FD72F6" w:rsidRDefault="00883F21">
          <w:pPr>
            <w:pStyle w:val="TDC2"/>
            <w:tabs>
              <w:tab w:val="left" w:pos="880"/>
              <w:tab w:val="right" w:leader="dot" w:pos="8828"/>
            </w:tabs>
            <w:rPr>
              <w:rFonts w:eastAsiaTheme="minorEastAsia"/>
              <w:noProof/>
              <w:lang w:eastAsia="es-CR"/>
            </w:rPr>
          </w:pPr>
          <w:hyperlink w:anchor="_Toc138770852" w:history="1">
            <w:r w:rsidR="00FD72F6" w:rsidRPr="00127E6A">
              <w:rPr>
                <w:rStyle w:val="Hipervnculo"/>
                <w:rFonts w:ascii="Book Antiqua" w:hAnsi="Book Antiqua"/>
                <w:b/>
                <w:bCs/>
                <w:noProof/>
              </w:rPr>
              <w:t>3.1</w:t>
            </w:r>
            <w:r w:rsidR="00FD72F6">
              <w:rPr>
                <w:rFonts w:eastAsiaTheme="minorEastAsia"/>
                <w:noProof/>
                <w:lang w:eastAsia="es-CR"/>
              </w:rPr>
              <w:tab/>
            </w:r>
            <w:r w:rsidR="00FD72F6" w:rsidRPr="00127E6A">
              <w:rPr>
                <w:rStyle w:val="Hipervnculo"/>
                <w:rFonts w:ascii="Book Antiqua" w:eastAsia="Wingdings" w:hAnsi="Book Antiqua" w:cstheme="majorBidi"/>
                <w:b/>
                <w:bCs/>
                <w:noProof/>
                <w:lang w:eastAsia="ko-KR"/>
              </w:rPr>
              <w:t>Seguimiento y resultados de los indicadores correspondientes de enero a abril 2023</w:t>
            </w:r>
            <w:r w:rsidR="00FD72F6">
              <w:rPr>
                <w:noProof/>
                <w:webHidden/>
              </w:rPr>
              <w:tab/>
            </w:r>
            <w:r w:rsidR="00FD72F6">
              <w:rPr>
                <w:noProof/>
                <w:webHidden/>
              </w:rPr>
              <w:fldChar w:fldCharType="begin"/>
            </w:r>
            <w:r w:rsidR="00FD72F6">
              <w:rPr>
                <w:noProof/>
                <w:webHidden/>
              </w:rPr>
              <w:instrText xml:space="preserve"> PAGEREF _Toc138770852 \h </w:instrText>
            </w:r>
            <w:r w:rsidR="00FD72F6">
              <w:rPr>
                <w:noProof/>
                <w:webHidden/>
              </w:rPr>
            </w:r>
            <w:r w:rsidR="00FD72F6">
              <w:rPr>
                <w:noProof/>
                <w:webHidden/>
              </w:rPr>
              <w:fldChar w:fldCharType="separate"/>
            </w:r>
            <w:r w:rsidR="00F6374E">
              <w:rPr>
                <w:noProof/>
                <w:webHidden/>
              </w:rPr>
              <w:t>95</w:t>
            </w:r>
            <w:r w:rsidR="00FD72F6">
              <w:rPr>
                <w:noProof/>
                <w:webHidden/>
              </w:rPr>
              <w:fldChar w:fldCharType="end"/>
            </w:r>
          </w:hyperlink>
        </w:p>
        <w:p w14:paraId="49DE9079" w14:textId="46888D0C" w:rsidR="00FD72F6" w:rsidRDefault="00883F21">
          <w:pPr>
            <w:pStyle w:val="TDC2"/>
            <w:tabs>
              <w:tab w:val="right" w:leader="dot" w:pos="8828"/>
            </w:tabs>
            <w:rPr>
              <w:rFonts w:eastAsiaTheme="minorEastAsia"/>
              <w:noProof/>
              <w:lang w:eastAsia="es-CR"/>
            </w:rPr>
          </w:pPr>
          <w:hyperlink w:anchor="_Toc138770853" w:history="1">
            <w:r w:rsidR="00FD72F6" w:rsidRPr="00127E6A">
              <w:rPr>
                <w:rStyle w:val="Hipervnculo"/>
                <w:rFonts w:ascii="Book Antiqua" w:hAnsi="Book Antiqua"/>
                <w:b/>
                <w:bCs/>
                <w:noProof/>
                <w:lang w:eastAsia="ko-KR"/>
              </w:rPr>
              <w:t>3.2 Seguimiento a labores operativas con rendimiento por debajo de 80%</w:t>
            </w:r>
            <w:r w:rsidR="00FD72F6">
              <w:rPr>
                <w:noProof/>
                <w:webHidden/>
              </w:rPr>
              <w:tab/>
            </w:r>
            <w:r w:rsidR="00FD72F6">
              <w:rPr>
                <w:noProof/>
                <w:webHidden/>
              </w:rPr>
              <w:fldChar w:fldCharType="begin"/>
            </w:r>
            <w:r w:rsidR="00FD72F6">
              <w:rPr>
                <w:noProof/>
                <w:webHidden/>
              </w:rPr>
              <w:instrText xml:space="preserve"> PAGEREF _Toc138770853 \h </w:instrText>
            </w:r>
            <w:r w:rsidR="00FD72F6">
              <w:rPr>
                <w:noProof/>
                <w:webHidden/>
              </w:rPr>
            </w:r>
            <w:r w:rsidR="00FD72F6">
              <w:rPr>
                <w:noProof/>
                <w:webHidden/>
              </w:rPr>
              <w:fldChar w:fldCharType="separate"/>
            </w:r>
            <w:r w:rsidR="00F6374E">
              <w:rPr>
                <w:noProof/>
                <w:webHidden/>
              </w:rPr>
              <w:t>100</w:t>
            </w:r>
            <w:r w:rsidR="00FD72F6">
              <w:rPr>
                <w:noProof/>
                <w:webHidden/>
              </w:rPr>
              <w:fldChar w:fldCharType="end"/>
            </w:r>
          </w:hyperlink>
        </w:p>
        <w:p w14:paraId="7A595010" w14:textId="02010631" w:rsidR="00FD72F6" w:rsidRDefault="00883F21">
          <w:pPr>
            <w:pStyle w:val="TDC2"/>
            <w:tabs>
              <w:tab w:val="left" w:pos="880"/>
              <w:tab w:val="right" w:leader="dot" w:pos="8828"/>
            </w:tabs>
            <w:rPr>
              <w:rFonts w:eastAsiaTheme="minorEastAsia"/>
              <w:noProof/>
              <w:lang w:eastAsia="es-CR"/>
            </w:rPr>
          </w:pPr>
          <w:hyperlink w:anchor="_Toc138770854" w:history="1">
            <w:r w:rsidR="00FD72F6" w:rsidRPr="00127E6A">
              <w:rPr>
                <w:rStyle w:val="Hipervnculo"/>
                <w:rFonts w:ascii="Book Antiqua" w:eastAsia="Wingdings" w:hAnsi="Book Antiqua"/>
                <w:b/>
                <w:noProof/>
                <w:lang w:eastAsia="ko-KR"/>
              </w:rPr>
              <w:t>3.3</w:t>
            </w:r>
            <w:r w:rsidR="00FD72F6">
              <w:rPr>
                <w:rFonts w:eastAsiaTheme="minorEastAsia"/>
                <w:noProof/>
                <w:lang w:eastAsia="es-CR"/>
              </w:rPr>
              <w:tab/>
            </w:r>
            <w:r w:rsidR="00FD72F6" w:rsidRPr="00127E6A">
              <w:rPr>
                <w:rStyle w:val="Hipervnculo"/>
                <w:rFonts w:ascii="Book Antiqua" w:eastAsia="Wingdings" w:hAnsi="Book Antiqua"/>
                <w:b/>
                <w:noProof/>
                <w:lang w:eastAsia="ko-KR"/>
              </w:rPr>
              <w:t>Avance de las labores operativas según cronograma</w:t>
            </w:r>
            <w:r w:rsidR="00FD72F6">
              <w:rPr>
                <w:noProof/>
                <w:webHidden/>
              </w:rPr>
              <w:tab/>
            </w:r>
            <w:r w:rsidR="00FD72F6">
              <w:rPr>
                <w:noProof/>
                <w:webHidden/>
              </w:rPr>
              <w:fldChar w:fldCharType="begin"/>
            </w:r>
            <w:r w:rsidR="00FD72F6">
              <w:rPr>
                <w:noProof/>
                <w:webHidden/>
              </w:rPr>
              <w:instrText xml:space="preserve"> PAGEREF _Toc138770854 \h </w:instrText>
            </w:r>
            <w:r w:rsidR="00FD72F6">
              <w:rPr>
                <w:noProof/>
                <w:webHidden/>
              </w:rPr>
            </w:r>
            <w:r w:rsidR="00FD72F6">
              <w:rPr>
                <w:noProof/>
                <w:webHidden/>
              </w:rPr>
              <w:fldChar w:fldCharType="separate"/>
            </w:r>
            <w:r w:rsidR="00F6374E">
              <w:rPr>
                <w:noProof/>
                <w:webHidden/>
              </w:rPr>
              <w:t>103</w:t>
            </w:r>
            <w:r w:rsidR="00FD72F6">
              <w:rPr>
                <w:noProof/>
                <w:webHidden/>
              </w:rPr>
              <w:fldChar w:fldCharType="end"/>
            </w:r>
          </w:hyperlink>
        </w:p>
        <w:p w14:paraId="4F617B69" w14:textId="3A625D47" w:rsidR="00FD72F6" w:rsidRDefault="00883F21">
          <w:pPr>
            <w:pStyle w:val="TDC2"/>
            <w:tabs>
              <w:tab w:val="left" w:pos="880"/>
              <w:tab w:val="right" w:leader="dot" w:pos="8828"/>
            </w:tabs>
            <w:rPr>
              <w:rFonts w:eastAsiaTheme="minorEastAsia"/>
              <w:noProof/>
              <w:lang w:eastAsia="es-CR"/>
            </w:rPr>
          </w:pPr>
          <w:hyperlink w:anchor="_Toc138770855" w:history="1">
            <w:r w:rsidR="00FD72F6" w:rsidRPr="00127E6A">
              <w:rPr>
                <w:rStyle w:val="Hipervnculo"/>
                <w:rFonts w:ascii="Book Antiqua" w:eastAsia="Wingdings" w:hAnsi="Book Antiqua"/>
                <w:b/>
                <w:bCs/>
                <w:noProof/>
                <w:lang w:eastAsia="ko-KR"/>
              </w:rPr>
              <w:t>3.4.</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Nuevas labores operativas incorporadas en el portafolio para el 2023 producto de la aprobación de permisos con goce de salario</w:t>
            </w:r>
            <w:r w:rsidR="00FD72F6">
              <w:rPr>
                <w:noProof/>
                <w:webHidden/>
              </w:rPr>
              <w:tab/>
            </w:r>
            <w:r w:rsidR="00FD72F6">
              <w:rPr>
                <w:noProof/>
                <w:webHidden/>
              </w:rPr>
              <w:fldChar w:fldCharType="begin"/>
            </w:r>
            <w:r w:rsidR="00FD72F6">
              <w:rPr>
                <w:noProof/>
                <w:webHidden/>
              </w:rPr>
              <w:instrText xml:space="preserve"> PAGEREF _Toc138770855 \h </w:instrText>
            </w:r>
            <w:r w:rsidR="00FD72F6">
              <w:rPr>
                <w:noProof/>
                <w:webHidden/>
              </w:rPr>
            </w:r>
            <w:r w:rsidR="00FD72F6">
              <w:rPr>
                <w:noProof/>
                <w:webHidden/>
              </w:rPr>
              <w:fldChar w:fldCharType="separate"/>
            </w:r>
            <w:r w:rsidR="00F6374E">
              <w:rPr>
                <w:noProof/>
                <w:webHidden/>
              </w:rPr>
              <w:t>105</w:t>
            </w:r>
            <w:r w:rsidR="00FD72F6">
              <w:rPr>
                <w:noProof/>
                <w:webHidden/>
              </w:rPr>
              <w:fldChar w:fldCharType="end"/>
            </w:r>
          </w:hyperlink>
        </w:p>
        <w:p w14:paraId="69C83FE3" w14:textId="46031ED6" w:rsidR="00FD72F6" w:rsidRDefault="00883F21">
          <w:pPr>
            <w:pStyle w:val="TDC2"/>
            <w:tabs>
              <w:tab w:val="left" w:pos="880"/>
              <w:tab w:val="right" w:leader="dot" w:pos="8828"/>
            </w:tabs>
            <w:rPr>
              <w:rFonts w:eastAsiaTheme="minorEastAsia"/>
              <w:noProof/>
              <w:lang w:eastAsia="es-CR"/>
            </w:rPr>
          </w:pPr>
          <w:hyperlink w:anchor="_Toc138770856" w:history="1">
            <w:r w:rsidR="00FD72F6" w:rsidRPr="00127E6A">
              <w:rPr>
                <w:rStyle w:val="Hipervnculo"/>
                <w:rFonts w:ascii="Book Antiqua" w:eastAsia="Wingdings" w:hAnsi="Book Antiqua"/>
                <w:b/>
                <w:noProof/>
                <w:lang w:eastAsia="ko-KR"/>
              </w:rPr>
              <w:t>3.5</w:t>
            </w:r>
            <w:r w:rsidR="00FD72F6">
              <w:rPr>
                <w:rFonts w:eastAsiaTheme="minorEastAsia"/>
                <w:noProof/>
                <w:lang w:eastAsia="es-CR"/>
              </w:rPr>
              <w:tab/>
            </w:r>
            <w:r w:rsidR="00FD72F6" w:rsidRPr="00127E6A">
              <w:rPr>
                <w:rStyle w:val="Hipervnculo"/>
                <w:rFonts w:ascii="Book Antiqua" w:eastAsia="Wingdings" w:hAnsi="Book Antiqua"/>
                <w:b/>
                <w:noProof/>
                <w:lang w:eastAsia="ko-KR"/>
              </w:rPr>
              <w:t>Observaciones de la revisión de los Informes de Avance y de los cronogramas de labores operativas</w:t>
            </w:r>
            <w:r w:rsidR="00FD72F6">
              <w:rPr>
                <w:noProof/>
                <w:webHidden/>
              </w:rPr>
              <w:tab/>
            </w:r>
            <w:r w:rsidR="00FD72F6">
              <w:rPr>
                <w:noProof/>
                <w:webHidden/>
              </w:rPr>
              <w:fldChar w:fldCharType="begin"/>
            </w:r>
            <w:r w:rsidR="00FD72F6">
              <w:rPr>
                <w:noProof/>
                <w:webHidden/>
              </w:rPr>
              <w:instrText xml:space="preserve"> PAGEREF _Toc138770856 \h </w:instrText>
            </w:r>
            <w:r w:rsidR="00FD72F6">
              <w:rPr>
                <w:noProof/>
                <w:webHidden/>
              </w:rPr>
            </w:r>
            <w:r w:rsidR="00FD72F6">
              <w:rPr>
                <w:noProof/>
                <w:webHidden/>
              </w:rPr>
              <w:fldChar w:fldCharType="separate"/>
            </w:r>
            <w:r w:rsidR="00F6374E">
              <w:rPr>
                <w:noProof/>
                <w:webHidden/>
              </w:rPr>
              <w:t>106</w:t>
            </w:r>
            <w:r w:rsidR="00FD72F6">
              <w:rPr>
                <w:noProof/>
                <w:webHidden/>
              </w:rPr>
              <w:fldChar w:fldCharType="end"/>
            </w:r>
          </w:hyperlink>
        </w:p>
        <w:p w14:paraId="4247D203" w14:textId="4DFD46A5" w:rsidR="00FD72F6" w:rsidRDefault="00883F21">
          <w:pPr>
            <w:pStyle w:val="TDC2"/>
            <w:tabs>
              <w:tab w:val="left" w:pos="880"/>
              <w:tab w:val="right" w:leader="dot" w:pos="8828"/>
            </w:tabs>
            <w:rPr>
              <w:rFonts w:eastAsiaTheme="minorEastAsia"/>
              <w:noProof/>
              <w:lang w:eastAsia="es-CR"/>
            </w:rPr>
          </w:pPr>
          <w:hyperlink w:anchor="_Toc138770857" w:history="1">
            <w:r w:rsidR="00FD72F6" w:rsidRPr="00127E6A">
              <w:rPr>
                <w:rStyle w:val="Hipervnculo"/>
                <w:rFonts w:ascii="Book Antiqua" w:eastAsia="Wingdings" w:hAnsi="Book Antiqua" w:cstheme="majorBidi"/>
                <w:b/>
                <w:bCs/>
                <w:noProof/>
                <w:lang w:eastAsia="ko-KR"/>
              </w:rPr>
              <w:t>3.6</w:t>
            </w:r>
            <w:r w:rsidR="00FD72F6">
              <w:rPr>
                <w:rFonts w:eastAsiaTheme="minorEastAsia"/>
                <w:noProof/>
                <w:lang w:eastAsia="es-CR"/>
              </w:rPr>
              <w:tab/>
            </w:r>
            <w:r w:rsidR="00FD72F6" w:rsidRPr="00127E6A">
              <w:rPr>
                <w:rStyle w:val="Hipervnculo"/>
                <w:rFonts w:ascii="Book Antiqua" w:eastAsia="Wingdings" w:hAnsi="Book Antiqua" w:cstheme="majorBidi"/>
                <w:b/>
                <w:bCs/>
                <w:noProof/>
                <w:lang w:eastAsia="ko-KR"/>
              </w:rPr>
              <w:t>Indicadores de cumplimiento propuestos para el 2023 (Indicadores que van a sufrir cambios)</w:t>
            </w:r>
            <w:r w:rsidR="00FD72F6">
              <w:rPr>
                <w:noProof/>
                <w:webHidden/>
              </w:rPr>
              <w:tab/>
            </w:r>
            <w:r w:rsidR="00FD72F6">
              <w:rPr>
                <w:noProof/>
                <w:webHidden/>
              </w:rPr>
              <w:fldChar w:fldCharType="begin"/>
            </w:r>
            <w:r w:rsidR="00FD72F6">
              <w:rPr>
                <w:noProof/>
                <w:webHidden/>
              </w:rPr>
              <w:instrText xml:space="preserve"> PAGEREF _Toc138770857 \h </w:instrText>
            </w:r>
            <w:r w:rsidR="00FD72F6">
              <w:rPr>
                <w:noProof/>
                <w:webHidden/>
              </w:rPr>
            </w:r>
            <w:r w:rsidR="00FD72F6">
              <w:rPr>
                <w:noProof/>
                <w:webHidden/>
              </w:rPr>
              <w:fldChar w:fldCharType="separate"/>
            </w:r>
            <w:r w:rsidR="00F6374E">
              <w:rPr>
                <w:noProof/>
                <w:webHidden/>
              </w:rPr>
              <w:t>111</w:t>
            </w:r>
            <w:r w:rsidR="00FD72F6">
              <w:rPr>
                <w:noProof/>
                <w:webHidden/>
              </w:rPr>
              <w:fldChar w:fldCharType="end"/>
            </w:r>
          </w:hyperlink>
        </w:p>
        <w:p w14:paraId="5850A22B" w14:textId="7D8C3A08" w:rsidR="00FD72F6" w:rsidRDefault="00883F21">
          <w:pPr>
            <w:pStyle w:val="TDC1"/>
            <w:rPr>
              <w:rFonts w:eastAsiaTheme="minorEastAsia"/>
              <w:noProof/>
              <w:lang w:eastAsia="es-CR"/>
            </w:rPr>
          </w:pPr>
          <w:hyperlink w:anchor="_Toc138770858" w:history="1">
            <w:r w:rsidR="00FD72F6" w:rsidRPr="00127E6A">
              <w:rPr>
                <w:rStyle w:val="Hipervnculo"/>
                <w:rFonts w:ascii="Book Antiqua" w:hAnsi="Book Antiqua"/>
                <w:b/>
                <w:bCs/>
                <w:noProof/>
                <w:lang w:eastAsia="ko-KR"/>
              </w:rPr>
              <w:t>CAPÍTULO 4) ANÁLISIS DE LOS PERMISOS CON GOCE DE SALARIO PARA EL III TRIMESTRE 2023</w:t>
            </w:r>
            <w:r w:rsidR="00FD72F6">
              <w:rPr>
                <w:noProof/>
                <w:webHidden/>
              </w:rPr>
              <w:tab/>
            </w:r>
            <w:r w:rsidR="00FD72F6">
              <w:rPr>
                <w:noProof/>
                <w:webHidden/>
              </w:rPr>
              <w:fldChar w:fldCharType="begin"/>
            </w:r>
            <w:r w:rsidR="00FD72F6">
              <w:rPr>
                <w:noProof/>
                <w:webHidden/>
              </w:rPr>
              <w:instrText xml:space="preserve"> PAGEREF _Toc138770858 \h </w:instrText>
            </w:r>
            <w:r w:rsidR="00FD72F6">
              <w:rPr>
                <w:noProof/>
                <w:webHidden/>
              </w:rPr>
            </w:r>
            <w:r w:rsidR="00FD72F6">
              <w:rPr>
                <w:noProof/>
                <w:webHidden/>
              </w:rPr>
              <w:fldChar w:fldCharType="separate"/>
            </w:r>
            <w:r w:rsidR="00F6374E">
              <w:rPr>
                <w:noProof/>
                <w:webHidden/>
              </w:rPr>
              <w:t>115</w:t>
            </w:r>
            <w:r w:rsidR="00FD72F6">
              <w:rPr>
                <w:noProof/>
                <w:webHidden/>
              </w:rPr>
              <w:fldChar w:fldCharType="end"/>
            </w:r>
          </w:hyperlink>
        </w:p>
        <w:p w14:paraId="286A26BC" w14:textId="69894292" w:rsidR="00FD72F6" w:rsidRDefault="00883F21">
          <w:pPr>
            <w:pStyle w:val="TDC2"/>
            <w:tabs>
              <w:tab w:val="left" w:pos="880"/>
              <w:tab w:val="right" w:leader="dot" w:pos="8828"/>
            </w:tabs>
            <w:rPr>
              <w:rFonts w:eastAsiaTheme="minorEastAsia"/>
              <w:noProof/>
              <w:lang w:eastAsia="es-CR"/>
            </w:rPr>
          </w:pPr>
          <w:hyperlink w:anchor="_Toc138770859" w:history="1">
            <w:r w:rsidR="00FD72F6" w:rsidRPr="00127E6A">
              <w:rPr>
                <w:rStyle w:val="Hipervnculo"/>
                <w:rFonts w:ascii="Book Antiqua" w:eastAsia="Wingdings" w:hAnsi="Book Antiqua"/>
                <w:b/>
                <w:bCs/>
                <w:noProof/>
                <w:lang w:val="es-ES" w:eastAsia="ko-KR"/>
              </w:rPr>
              <w:t>4.1</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Análisis del comportamiento de la Subpartida 00105 Suplencias en el 2023</w:t>
            </w:r>
            <w:r w:rsidR="00FD72F6">
              <w:rPr>
                <w:noProof/>
                <w:webHidden/>
              </w:rPr>
              <w:tab/>
            </w:r>
            <w:r w:rsidR="00FD72F6">
              <w:rPr>
                <w:noProof/>
                <w:webHidden/>
              </w:rPr>
              <w:fldChar w:fldCharType="begin"/>
            </w:r>
            <w:r w:rsidR="00FD72F6">
              <w:rPr>
                <w:noProof/>
                <w:webHidden/>
              </w:rPr>
              <w:instrText xml:space="preserve"> PAGEREF _Toc138770859 \h </w:instrText>
            </w:r>
            <w:r w:rsidR="00FD72F6">
              <w:rPr>
                <w:noProof/>
                <w:webHidden/>
              </w:rPr>
            </w:r>
            <w:r w:rsidR="00FD72F6">
              <w:rPr>
                <w:noProof/>
                <w:webHidden/>
              </w:rPr>
              <w:fldChar w:fldCharType="separate"/>
            </w:r>
            <w:r w:rsidR="00F6374E">
              <w:rPr>
                <w:noProof/>
                <w:webHidden/>
              </w:rPr>
              <w:t>115</w:t>
            </w:r>
            <w:r w:rsidR="00FD72F6">
              <w:rPr>
                <w:noProof/>
                <w:webHidden/>
              </w:rPr>
              <w:fldChar w:fldCharType="end"/>
            </w:r>
          </w:hyperlink>
        </w:p>
        <w:p w14:paraId="0B5CCF58" w14:textId="128763A4" w:rsidR="00FD72F6" w:rsidRDefault="00883F21">
          <w:pPr>
            <w:pStyle w:val="TDC2"/>
            <w:tabs>
              <w:tab w:val="left" w:pos="880"/>
              <w:tab w:val="right" w:leader="dot" w:pos="8828"/>
            </w:tabs>
            <w:rPr>
              <w:rFonts w:eastAsiaTheme="minorEastAsia"/>
              <w:noProof/>
              <w:lang w:eastAsia="es-CR"/>
            </w:rPr>
          </w:pPr>
          <w:hyperlink w:anchor="_Toc138770860" w:history="1">
            <w:r w:rsidR="00FD72F6" w:rsidRPr="00127E6A">
              <w:rPr>
                <w:rStyle w:val="Hipervnculo"/>
                <w:rFonts w:ascii="Book Antiqua" w:eastAsia="Wingdings" w:hAnsi="Book Antiqua"/>
                <w:b/>
                <w:bCs/>
                <w:noProof/>
                <w:lang w:val="es-ES" w:eastAsia="ko-KR"/>
              </w:rPr>
              <w:t>4.2</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Permisos con goce de salario que no continúan el 2023</w:t>
            </w:r>
            <w:r w:rsidR="00FD72F6">
              <w:rPr>
                <w:noProof/>
                <w:webHidden/>
              </w:rPr>
              <w:tab/>
            </w:r>
            <w:r w:rsidR="00FD72F6">
              <w:rPr>
                <w:noProof/>
                <w:webHidden/>
              </w:rPr>
              <w:fldChar w:fldCharType="begin"/>
            </w:r>
            <w:r w:rsidR="00FD72F6">
              <w:rPr>
                <w:noProof/>
                <w:webHidden/>
              </w:rPr>
              <w:instrText xml:space="preserve"> PAGEREF _Toc138770860 \h </w:instrText>
            </w:r>
            <w:r w:rsidR="00FD72F6">
              <w:rPr>
                <w:noProof/>
                <w:webHidden/>
              </w:rPr>
            </w:r>
            <w:r w:rsidR="00FD72F6">
              <w:rPr>
                <w:noProof/>
                <w:webHidden/>
              </w:rPr>
              <w:fldChar w:fldCharType="separate"/>
            </w:r>
            <w:r w:rsidR="00F6374E">
              <w:rPr>
                <w:noProof/>
                <w:webHidden/>
              </w:rPr>
              <w:t>116</w:t>
            </w:r>
            <w:r w:rsidR="00FD72F6">
              <w:rPr>
                <w:noProof/>
                <w:webHidden/>
              </w:rPr>
              <w:fldChar w:fldCharType="end"/>
            </w:r>
          </w:hyperlink>
        </w:p>
        <w:p w14:paraId="028B1CAB" w14:textId="5F33BD7D" w:rsidR="00FD72F6" w:rsidRDefault="00883F21">
          <w:pPr>
            <w:pStyle w:val="TDC2"/>
            <w:tabs>
              <w:tab w:val="left" w:pos="880"/>
              <w:tab w:val="right" w:leader="dot" w:pos="8828"/>
            </w:tabs>
            <w:rPr>
              <w:rFonts w:eastAsiaTheme="minorEastAsia"/>
              <w:noProof/>
              <w:lang w:eastAsia="es-CR"/>
            </w:rPr>
          </w:pPr>
          <w:hyperlink w:anchor="_Toc138770861" w:history="1">
            <w:r w:rsidR="00FD72F6" w:rsidRPr="00127E6A">
              <w:rPr>
                <w:rStyle w:val="Hipervnculo"/>
                <w:rFonts w:ascii="Book Antiqua" w:eastAsia="Wingdings" w:hAnsi="Book Antiqua"/>
                <w:b/>
                <w:bCs/>
                <w:noProof/>
                <w:lang w:val="es-ES" w:eastAsia="ko-KR"/>
              </w:rPr>
              <w:t>4.3</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Solicitud de modificación o cambios en los permisos con goce de salario para el III trimestre 2023</w:t>
            </w:r>
            <w:r w:rsidR="00FD72F6">
              <w:rPr>
                <w:noProof/>
                <w:webHidden/>
              </w:rPr>
              <w:tab/>
            </w:r>
            <w:r w:rsidR="00FD72F6">
              <w:rPr>
                <w:noProof/>
                <w:webHidden/>
              </w:rPr>
              <w:fldChar w:fldCharType="begin"/>
            </w:r>
            <w:r w:rsidR="00FD72F6">
              <w:rPr>
                <w:noProof/>
                <w:webHidden/>
              </w:rPr>
              <w:instrText xml:space="preserve"> PAGEREF _Toc138770861 \h </w:instrText>
            </w:r>
            <w:r w:rsidR="00FD72F6">
              <w:rPr>
                <w:noProof/>
                <w:webHidden/>
              </w:rPr>
            </w:r>
            <w:r w:rsidR="00FD72F6">
              <w:rPr>
                <w:noProof/>
                <w:webHidden/>
              </w:rPr>
              <w:fldChar w:fldCharType="separate"/>
            </w:r>
            <w:r w:rsidR="00F6374E">
              <w:rPr>
                <w:noProof/>
                <w:webHidden/>
              </w:rPr>
              <w:t>116</w:t>
            </w:r>
            <w:r w:rsidR="00FD72F6">
              <w:rPr>
                <w:noProof/>
                <w:webHidden/>
              </w:rPr>
              <w:fldChar w:fldCharType="end"/>
            </w:r>
          </w:hyperlink>
        </w:p>
        <w:p w14:paraId="2DD77A5A" w14:textId="1ABEEFF6" w:rsidR="00FD72F6" w:rsidRDefault="00883F21">
          <w:pPr>
            <w:pStyle w:val="TDC2"/>
            <w:tabs>
              <w:tab w:val="left" w:pos="880"/>
              <w:tab w:val="right" w:leader="dot" w:pos="8828"/>
            </w:tabs>
            <w:rPr>
              <w:rFonts w:eastAsiaTheme="minorEastAsia"/>
              <w:noProof/>
              <w:lang w:eastAsia="es-CR"/>
            </w:rPr>
          </w:pPr>
          <w:hyperlink w:anchor="_Toc138770862" w:history="1">
            <w:r w:rsidR="00FD72F6" w:rsidRPr="00127E6A">
              <w:rPr>
                <w:rStyle w:val="Hipervnculo"/>
                <w:rFonts w:ascii="Book Antiqua" w:eastAsia="Wingdings" w:hAnsi="Book Antiqua"/>
                <w:b/>
                <w:bCs/>
                <w:noProof/>
                <w:lang w:val="es-ES" w:eastAsia="ko-KR"/>
              </w:rPr>
              <w:t>4.4</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Nuevas solicitudes de permisos recibidas</w:t>
            </w:r>
            <w:r w:rsidR="00FD72F6">
              <w:rPr>
                <w:noProof/>
                <w:webHidden/>
              </w:rPr>
              <w:tab/>
            </w:r>
            <w:r w:rsidR="00FD72F6">
              <w:rPr>
                <w:noProof/>
                <w:webHidden/>
              </w:rPr>
              <w:fldChar w:fldCharType="begin"/>
            </w:r>
            <w:r w:rsidR="00FD72F6">
              <w:rPr>
                <w:noProof/>
                <w:webHidden/>
              </w:rPr>
              <w:instrText xml:space="preserve"> PAGEREF _Toc138770862 \h </w:instrText>
            </w:r>
            <w:r w:rsidR="00FD72F6">
              <w:rPr>
                <w:noProof/>
                <w:webHidden/>
              </w:rPr>
            </w:r>
            <w:r w:rsidR="00FD72F6">
              <w:rPr>
                <w:noProof/>
                <w:webHidden/>
              </w:rPr>
              <w:fldChar w:fldCharType="separate"/>
            </w:r>
            <w:r w:rsidR="00F6374E">
              <w:rPr>
                <w:noProof/>
                <w:webHidden/>
              </w:rPr>
              <w:t>118</w:t>
            </w:r>
            <w:r w:rsidR="00FD72F6">
              <w:rPr>
                <w:noProof/>
                <w:webHidden/>
              </w:rPr>
              <w:fldChar w:fldCharType="end"/>
            </w:r>
          </w:hyperlink>
        </w:p>
        <w:p w14:paraId="3E7DAB4F" w14:textId="1E0AF13B" w:rsidR="00FD72F6" w:rsidRDefault="00883F21">
          <w:pPr>
            <w:pStyle w:val="TDC3"/>
            <w:rPr>
              <w:rFonts w:eastAsiaTheme="minorEastAsia"/>
              <w:noProof/>
              <w:lang w:eastAsia="es-CR"/>
            </w:rPr>
          </w:pPr>
          <w:hyperlink w:anchor="_Toc138770863" w:history="1">
            <w:r w:rsidR="00FD72F6" w:rsidRPr="00127E6A">
              <w:rPr>
                <w:rStyle w:val="Hipervnculo"/>
                <w:rFonts w:ascii="Book Antiqua" w:hAnsi="Book Antiqua"/>
                <w:b/>
                <w:bCs/>
                <w:noProof/>
                <w:lang w:eastAsia="ko-KR"/>
              </w:rPr>
              <w:t>4.4.1</w:t>
            </w:r>
            <w:r w:rsidR="00FD72F6">
              <w:rPr>
                <w:rFonts w:eastAsiaTheme="minorEastAsia"/>
                <w:noProof/>
                <w:lang w:eastAsia="es-CR"/>
              </w:rPr>
              <w:tab/>
            </w:r>
            <w:r w:rsidR="00FD72F6" w:rsidRPr="00127E6A">
              <w:rPr>
                <w:rStyle w:val="Hipervnculo"/>
                <w:rFonts w:ascii="Book Antiqua" w:hAnsi="Book Antiqua"/>
                <w:b/>
                <w:bCs/>
                <w:noProof/>
                <w:lang w:eastAsia="ko-KR"/>
              </w:rPr>
              <w:t xml:space="preserve">Programa 926 </w:t>
            </w:r>
            <w:r w:rsidR="00FD72F6" w:rsidRPr="00127E6A">
              <w:rPr>
                <w:rStyle w:val="Hipervnculo"/>
                <w:rFonts w:ascii="Book Antiqua" w:hAnsi="Book Antiqua"/>
                <w:b/>
                <w:bCs/>
                <w:noProof/>
                <w:lang w:eastAsia="es-CR"/>
              </w:rPr>
              <w:t>Dirección, administración y órganos de Apoyo</w:t>
            </w:r>
            <w:r w:rsidR="00FD72F6">
              <w:rPr>
                <w:noProof/>
                <w:webHidden/>
              </w:rPr>
              <w:tab/>
            </w:r>
            <w:r w:rsidR="00FD72F6">
              <w:rPr>
                <w:noProof/>
                <w:webHidden/>
              </w:rPr>
              <w:fldChar w:fldCharType="begin"/>
            </w:r>
            <w:r w:rsidR="00FD72F6">
              <w:rPr>
                <w:noProof/>
                <w:webHidden/>
              </w:rPr>
              <w:instrText xml:space="preserve"> PAGEREF _Toc138770863 \h </w:instrText>
            </w:r>
            <w:r w:rsidR="00FD72F6">
              <w:rPr>
                <w:noProof/>
                <w:webHidden/>
              </w:rPr>
            </w:r>
            <w:r w:rsidR="00FD72F6">
              <w:rPr>
                <w:noProof/>
                <w:webHidden/>
              </w:rPr>
              <w:fldChar w:fldCharType="separate"/>
            </w:r>
            <w:r w:rsidR="00F6374E">
              <w:rPr>
                <w:noProof/>
                <w:webHidden/>
              </w:rPr>
              <w:t>118</w:t>
            </w:r>
            <w:r w:rsidR="00FD72F6">
              <w:rPr>
                <w:noProof/>
                <w:webHidden/>
              </w:rPr>
              <w:fldChar w:fldCharType="end"/>
            </w:r>
          </w:hyperlink>
        </w:p>
        <w:p w14:paraId="7621D3A8" w14:textId="201F7F01" w:rsidR="00FD72F6" w:rsidRDefault="00883F21">
          <w:pPr>
            <w:pStyle w:val="TDC3"/>
            <w:rPr>
              <w:rFonts w:eastAsiaTheme="minorEastAsia"/>
              <w:noProof/>
              <w:lang w:eastAsia="es-CR"/>
            </w:rPr>
          </w:pPr>
          <w:hyperlink w:anchor="_Toc138770864" w:history="1">
            <w:r w:rsidR="00FD72F6" w:rsidRPr="00127E6A">
              <w:rPr>
                <w:rStyle w:val="Hipervnculo"/>
                <w:rFonts w:ascii="Book Antiqua" w:hAnsi="Book Antiqua"/>
                <w:b/>
                <w:bCs/>
                <w:noProof/>
                <w:lang w:eastAsia="es-CR"/>
              </w:rPr>
              <w:t>4.4.2</w:t>
            </w:r>
            <w:r w:rsidR="00FD72F6">
              <w:rPr>
                <w:rFonts w:eastAsiaTheme="minorEastAsia"/>
                <w:noProof/>
                <w:lang w:eastAsia="es-CR"/>
              </w:rPr>
              <w:tab/>
            </w:r>
            <w:r w:rsidR="00FD72F6" w:rsidRPr="00127E6A">
              <w:rPr>
                <w:rStyle w:val="Hipervnculo"/>
                <w:rFonts w:ascii="Book Antiqua" w:hAnsi="Book Antiqua"/>
                <w:b/>
                <w:bCs/>
                <w:noProof/>
                <w:lang w:eastAsia="ko-KR"/>
              </w:rPr>
              <w:t>Programa 927 Servicio Jurisdiccional</w:t>
            </w:r>
            <w:r w:rsidR="00FD72F6">
              <w:rPr>
                <w:noProof/>
                <w:webHidden/>
              </w:rPr>
              <w:tab/>
            </w:r>
            <w:r w:rsidR="00FD72F6">
              <w:rPr>
                <w:noProof/>
                <w:webHidden/>
              </w:rPr>
              <w:fldChar w:fldCharType="begin"/>
            </w:r>
            <w:r w:rsidR="00FD72F6">
              <w:rPr>
                <w:noProof/>
                <w:webHidden/>
              </w:rPr>
              <w:instrText xml:space="preserve"> PAGEREF _Toc138770864 \h </w:instrText>
            </w:r>
            <w:r w:rsidR="00FD72F6">
              <w:rPr>
                <w:noProof/>
                <w:webHidden/>
              </w:rPr>
            </w:r>
            <w:r w:rsidR="00FD72F6">
              <w:rPr>
                <w:noProof/>
                <w:webHidden/>
              </w:rPr>
              <w:fldChar w:fldCharType="separate"/>
            </w:r>
            <w:r w:rsidR="00F6374E">
              <w:rPr>
                <w:noProof/>
                <w:webHidden/>
              </w:rPr>
              <w:t>118</w:t>
            </w:r>
            <w:r w:rsidR="00FD72F6">
              <w:rPr>
                <w:noProof/>
                <w:webHidden/>
              </w:rPr>
              <w:fldChar w:fldCharType="end"/>
            </w:r>
          </w:hyperlink>
        </w:p>
        <w:p w14:paraId="0AC1CBB2" w14:textId="161AA146" w:rsidR="00FD72F6" w:rsidRDefault="00883F21">
          <w:pPr>
            <w:pStyle w:val="TDC3"/>
            <w:rPr>
              <w:rFonts w:eastAsiaTheme="minorEastAsia"/>
              <w:noProof/>
              <w:lang w:eastAsia="es-CR"/>
            </w:rPr>
          </w:pPr>
          <w:hyperlink w:anchor="_Toc138770865" w:history="1">
            <w:r w:rsidR="00FD72F6" w:rsidRPr="00127E6A">
              <w:rPr>
                <w:rStyle w:val="Hipervnculo"/>
                <w:rFonts w:ascii="Book Antiqua" w:hAnsi="Book Antiqua"/>
                <w:b/>
                <w:bCs/>
                <w:noProof/>
                <w:lang w:eastAsia="es-CR"/>
              </w:rPr>
              <w:t>4.4.3</w:t>
            </w:r>
            <w:r w:rsidR="00FD72F6">
              <w:rPr>
                <w:rFonts w:eastAsiaTheme="minorEastAsia"/>
                <w:noProof/>
                <w:lang w:eastAsia="es-CR"/>
              </w:rPr>
              <w:tab/>
            </w:r>
            <w:r w:rsidR="00FD72F6" w:rsidRPr="00127E6A">
              <w:rPr>
                <w:rStyle w:val="Hipervnculo"/>
                <w:rFonts w:ascii="Book Antiqua" w:hAnsi="Book Antiqua"/>
                <w:b/>
                <w:bCs/>
                <w:noProof/>
                <w:lang w:eastAsia="ko-KR"/>
              </w:rPr>
              <w:t>Programa 928 Organismo de Investigación Judicial</w:t>
            </w:r>
            <w:r w:rsidR="00FD72F6">
              <w:rPr>
                <w:noProof/>
                <w:webHidden/>
              </w:rPr>
              <w:tab/>
            </w:r>
            <w:r w:rsidR="00FD72F6">
              <w:rPr>
                <w:noProof/>
                <w:webHidden/>
              </w:rPr>
              <w:fldChar w:fldCharType="begin"/>
            </w:r>
            <w:r w:rsidR="00FD72F6">
              <w:rPr>
                <w:noProof/>
                <w:webHidden/>
              </w:rPr>
              <w:instrText xml:space="preserve"> PAGEREF _Toc138770865 \h </w:instrText>
            </w:r>
            <w:r w:rsidR="00FD72F6">
              <w:rPr>
                <w:noProof/>
                <w:webHidden/>
              </w:rPr>
            </w:r>
            <w:r w:rsidR="00FD72F6">
              <w:rPr>
                <w:noProof/>
                <w:webHidden/>
              </w:rPr>
              <w:fldChar w:fldCharType="separate"/>
            </w:r>
            <w:r w:rsidR="00F6374E">
              <w:rPr>
                <w:noProof/>
                <w:webHidden/>
              </w:rPr>
              <w:t>119</w:t>
            </w:r>
            <w:r w:rsidR="00FD72F6">
              <w:rPr>
                <w:noProof/>
                <w:webHidden/>
              </w:rPr>
              <w:fldChar w:fldCharType="end"/>
            </w:r>
          </w:hyperlink>
        </w:p>
        <w:p w14:paraId="47B02249" w14:textId="08A95620" w:rsidR="00FD72F6" w:rsidRDefault="00883F21">
          <w:pPr>
            <w:pStyle w:val="TDC3"/>
            <w:rPr>
              <w:rFonts w:eastAsiaTheme="minorEastAsia"/>
              <w:noProof/>
              <w:lang w:eastAsia="es-CR"/>
            </w:rPr>
          </w:pPr>
          <w:hyperlink w:anchor="_Toc138770866" w:history="1">
            <w:r w:rsidR="00FD72F6" w:rsidRPr="00127E6A">
              <w:rPr>
                <w:rStyle w:val="Hipervnculo"/>
                <w:rFonts w:ascii="Book Antiqua" w:hAnsi="Book Antiqua"/>
                <w:b/>
                <w:noProof/>
                <w:lang w:eastAsia="ko-KR"/>
              </w:rPr>
              <w:t>4.4.4</w:t>
            </w:r>
            <w:r w:rsidR="00FD72F6">
              <w:rPr>
                <w:rFonts w:eastAsiaTheme="minorEastAsia"/>
                <w:noProof/>
                <w:lang w:eastAsia="es-CR"/>
              </w:rPr>
              <w:tab/>
            </w:r>
            <w:r w:rsidR="00FD72F6" w:rsidRPr="00127E6A">
              <w:rPr>
                <w:rStyle w:val="Hipervnculo"/>
                <w:rFonts w:ascii="Book Antiqua" w:hAnsi="Book Antiqua"/>
                <w:b/>
                <w:noProof/>
                <w:lang w:eastAsia="ko-KR"/>
              </w:rPr>
              <w:t>Programa 929</w:t>
            </w:r>
            <w:r w:rsidR="00FD72F6" w:rsidRPr="00127E6A">
              <w:rPr>
                <w:rStyle w:val="Hipervnculo"/>
                <w:rFonts w:ascii="Book Antiqua" w:hAnsi="Book Antiqua"/>
                <w:b/>
                <w:bCs/>
                <w:noProof/>
                <w:lang w:eastAsia="ko-KR"/>
              </w:rPr>
              <w:t xml:space="preserve"> Ministerio Público</w:t>
            </w:r>
            <w:r w:rsidR="00FD72F6">
              <w:rPr>
                <w:noProof/>
                <w:webHidden/>
              </w:rPr>
              <w:tab/>
            </w:r>
            <w:r w:rsidR="00FD72F6">
              <w:rPr>
                <w:noProof/>
                <w:webHidden/>
              </w:rPr>
              <w:fldChar w:fldCharType="begin"/>
            </w:r>
            <w:r w:rsidR="00FD72F6">
              <w:rPr>
                <w:noProof/>
                <w:webHidden/>
              </w:rPr>
              <w:instrText xml:space="preserve"> PAGEREF _Toc138770866 \h </w:instrText>
            </w:r>
            <w:r w:rsidR="00FD72F6">
              <w:rPr>
                <w:noProof/>
                <w:webHidden/>
              </w:rPr>
            </w:r>
            <w:r w:rsidR="00FD72F6">
              <w:rPr>
                <w:noProof/>
                <w:webHidden/>
              </w:rPr>
              <w:fldChar w:fldCharType="separate"/>
            </w:r>
            <w:r w:rsidR="00F6374E">
              <w:rPr>
                <w:noProof/>
                <w:webHidden/>
              </w:rPr>
              <w:t>120</w:t>
            </w:r>
            <w:r w:rsidR="00FD72F6">
              <w:rPr>
                <w:noProof/>
                <w:webHidden/>
              </w:rPr>
              <w:fldChar w:fldCharType="end"/>
            </w:r>
          </w:hyperlink>
        </w:p>
        <w:p w14:paraId="4B203451" w14:textId="06CF0811" w:rsidR="00FD72F6" w:rsidRDefault="00883F21">
          <w:pPr>
            <w:pStyle w:val="TDC3"/>
            <w:rPr>
              <w:rFonts w:eastAsiaTheme="minorEastAsia"/>
              <w:noProof/>
              <w:lang w:eastAsia="es-CR"/>
            </w:rPr>
          </w:pPr>
          <w:hyperlink w:anchor="_Toc138770867" w:history="1">
            <w:r w:rsidR="00FD72F6" w:rsidRPr="00127E6A">
              <w:rPr>
                <w:rStyle w:val="Hipervnculo"/>
                <w:rFonts w:ascii="Book Antiqua" w:hAnsi="Book Antiqua"/>
                <w:b/>
                <w:bCs/>
                <w:noProof/>
                <w:lang w:eastAsia="ko-KR"/>
              </w:rPr>
              <w:t>4.4.5</w:t>
            </w:r>
            <w:r w:rsidR="00FD72F6">
              <w:rPr>
                <w:rFonts w:eastAsiaTheme="minorEastAsia"/>
                <w:noProof/>
                <w:lang w:eastAsia="es-CR"/>
              </w:rPr>
              <w:tab/>
            </w:r>
            <w:r w:rsidR="00FD72F6" w:rsidRPr="00127E6A">
              <w:rPr>
                <w:rStyle w:val="Hipervnculo"/>
                <w:rFonts w:ascii="Book Antiqua" w:hAnsi="Book Antiqua"/>
                <w:b/>
                <w:bCs/>
                <w:noProof/>
                <w:lang w:eastAsia="ko-KR"/>
              </w:rPr>
              <w:t>Programa 930 Defensa Pública</w:t>
            </w:r>
            <w:r w:rsidR="00FD72F6">
              <w:rPr>
                <w:noProof/>
                <w:webHidden/>
              </w:rPr>
              <w:tab/>
            </w:r>
            <w:r w:rsidR="00FD72F6">
              <w:rPr>
                <w:noProof/>
                <w:webHidden/>
              </w:rPr>
              <w:fldChar w:fldCharType="begin"/>
            </w:r>
            <w:r w:rsidR="00FD72F6">
              <w:rPr>
                <w:noProof/>
                <w:webHidden/>
              </w:rPr>
              <w:instrText xml:space="preserve"> PAGEREF _Toc138770867 \h </w:instrText>
            </w:r>
            <w:r w:rsidR="00FD72F6">
              <w:rPr>
                <w:noProof/>
                <w:webHidden/>
              </w:rPr>
            </w:r>
            <w:r w:rsidR="00FD72F6">
              <w:rPr>
                <w:noProof/>
                <w:webHidden/>
              </w:rPr>
              <w:fldChar w:fldCharType="separate"/>
            </w:r>
            <w:r w:rsidR="00F6374E">
              <w:rPr>
                <w:noProof/>
                <w:webHidden/>
              </w:rPr>
              <w:t>120</w:t>
            </w:r>
            <w:r w:rsidR="00FD72F6">
              <w:rPr>
                <w:noProof/>
                <w:webHidden/>
              </w:rPr>
              <w:fldChar w:fldCharType="end"/>
            </w:r>
          </w:hyperlink>
        </w:p>
        <w:p w14:paraId="2D83F38C" w14:textId="5C8A82D2" w:rsidR="00FD72F6" w:rsidRDefault="00883F21">
          <w:pPr>
            <w:pStyle w:val="TDC3"/>
            <w:rPr>
              <w:rFonts w:eastAsiaTheme="minorEastAsia"/>
              <w:noProof/>
              <w:lang w:eastAsia="es-CR"/>
            </w:rPr>
          </w:pPr>
          <w:hyperlink w:anchor="_Toc138770868" w:history="1">
            <w:r w:rsidR="00FD72F6" w:rsidRPr="00127E6A">
              <w:rPr>
                <w:rStyle w:val="Hipervnculo"/>
                <w:rFonts w:ascii="Book Antiqua" w:hAnsi="Book Antiqua"/>
                <w:b/>
                <w:noProof/>
                <w:lang w:eastAsia="ko-KR"/>
              </w:rPr>
              <w:t>4.4.6</w:t>
            </w:r>
            <w:r w:rsidR="00FD72F6">
              <w:rPr>
                <w:rFonts w:eastAsiaTheme="minorEastAsia"/>
                <w:noProof/>
                <w:lang w:eastAsia="es-CR"/>
              </w:rPr>
              <w:tab/>
            </w:r>
            <w:r w:rsidR="00FD72F6" w:rsidRPr="00127E6A">
              <w:rPr>
                <w:rStyle w:val="Hipervnculo"/>
                <w:rFonts w:ascii="Book Antiqua" w:hAnsi="Book Antiqua"/>
                <w:b/>
                <w:bCs/>
                <w:noProof/>
                <w:lang w:eastAsia="ko-KR"/>
              </w:rPr>
              <w:t>Solicitudes nuevas para el Modelo Penal:</w:t>
            </w:r>
            <w:r w:rsidR="00FD72F6">
              <w:rPr>
                <w:noProof/>
                <w:webHidden/>
              </w:rPr>
              <w:tab/>
            </w:r>
            <w:r w:rsidR="00FD72F6">
              <w:rPr>
                <w:noProof/>
                <w:webHidden/>
              </w:rPr>
              <w:fldChar w:fldCharType="begin"/>
            </w:r>
            <w:r w:rsidR="00FD72F6">
              <w:rPr>
                <w:noProof/>
                <w:webHidden/>
              </w:rPr>
              <w:instrText xml:space="preserve"> PAGEREF _Toc138770868 \h </w:instrText>
            </w:r>
            <w:r w:rsidR="00FD72F6">
              <w:rPr>
                <w:noProof/>
                <w:webHidden/>
              </w:rPr>
            </w:r>
            <w:r w:rsidR="00FD72F6">
              <w:rPr>
                <w:noProof/>
                <w:webHidden/>
              </w:rPr>
              <w:fldChar w:fldCharType="separate"/>
            </w:r>
            <w:r w:rsidR="00F6374E">
              <w:rPr>
                <w:noProof/>
                <w:webHidden/>
              </w:rPr>
              <w:t>120</w:t>
            </w:r>
            <w:r w:rsidR="00FD72F6">
              <w:rPr>
                <w:noProof/>
                <w:webHidden/>
              </w:rPr>
              <w:fldChar w:fldCharType="end"/>
            </w:r>
          </w:hyperlink>
        </w:p>
        <w:p w14:paraId="3A231FD2" w14:textId="7A47BAAB" w:rsidR="00FD72F6" w:rsidRDefault="00883F21">
          <w:pPr>
            <w:pStyle w:val="TDC2"/>
            <w:tabs>
              <w:tab w:val="left" w:pos="880"/>
              <w:tab w:val="right" w:leader="dot" w:pos="8828"/>
            </w:tabs>
            <w:rPr>
              <w:rFonts w:eastAsiaTheme="minorEastAsia"/>
              <w:noProof/>
              <w:lang w:eastAsia="es-CR"/>
            </w:rPr>
          </w:pPr>
          <w:hyperlink w:anchor="_Toc138770869" w:history="1">
            <w:r w:rsidR="00FD72F6" w:rsidRPr="00127E6A">
              <w:rPr>
                <w:rStyle w:val="Hipervnculo"/>
                <w:rFonts w:ascii="Book Antiqua" w:eastAsia="Wingdings" w:hAnsi="Book Antiqua"/>
                <w:b/>
                <w:bCs/>
                <w:noProof/>
                <w:lang w:val="es-ES" w:eastAsia="ko-KR"/>
              </w:rPr>
              <w:t>4.5</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Certificación de contenido presupuestario para las solicitudes de PCGS para el III Trimestre 2023</w:t>
            </w:r>
            <w:r w:rsidR="00FD72F6">
              <w:rPr>
                <w:noProof/>
                <w:webHidden/>
              </w:rPr>
              <w:tab/>
            </w:r>
            <w:r w:rsidR="00FD72F6">
              <w:rPr>
                <w:noProof/>
                <w:webHidden/>
              </w:rPr>
              <w:fldChar w:fldCharType="begin"/>
            </w:r>
            <w:r w:rsidR="00FD72F6">
              <w:rPr>
                <w:noProof/>
                <w:webHidden/>
              </w:rPr>
              <w:instrText xml:space="preserve"> PAGEREF _Toc138770869 \h </w:instrText>
            </w:r>
            <w:r w:rsidR="00FD72F6">
              <w:rPr>
                <w:noProof/>
                <w:webHidden/>
              </w:rPr>
            </w:r>
            <w:r w:rsidR="00FD72F6">
              <w:rPr>
                <w:noProof/>
                <w:webHidden/>
              </w:rPr>
              <w:fldChar w:fldCharType="separate"/>
            </w:r>
            <w:r w:rsidR="00F6374E">
              <w:rPr>
                <w:noProof/>
                <w:webHidden/>
              </w:rPr>
              <w:t>121</w:t>
            </w:r>
            <w:r w:rsidR="00FD72F6">
              <w:rPr>
                <w:noProof/>
                <w:webHidden/>
              </w:rPr>
              <w:fldChar w:fldCharType="end"/>
            </w:r>
          </w:hyperlink>
        </w:p>
        <w:p w14:paraId="70888C95" w14:textId="720B5A4F" w:rsidR="00FD72F6" w:rsidRDefault="00883F21">
          <w:pPr>
            <w:pStyle w:val="TDC2"/>
            <w:tabs>
              <w:tab w:val="left" w:pos="880"/>
              <w:tab w:val="right" w:leader="dot" w:pos="8828"/>
            </w:tabs>
            <w:rPr>
              <w:rFonts w:eastAsiaTheme="minorEastAsia"/>
              <w:noProof/>
              <w:lang w:eastAsia="es-CR"/>
            </w:rPr>
          </w:pPr>
          <w:hyperlink w:anchor="_Toc138770870" w:history="1">
            <w:r w:rsidR="00FD72F6" w:rsidRPr="00127E6A">
              <w:rPr>
                <w:rStyle w:val="Hipervnculo"/>
                <w:rFonts w:ascii="Book Antiqua" w:eastAsia="Wingdings" w:hAnsi="Book Antiqua"/>
                <w:b/>
                <w:bCs/>
                <w:noProof/>
                <w:lang w:val="es-ES" w:eastAsia="ko-KR"/>
              </w:rPr>
              <w:t>4.6</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Detalle de permisos que solicitan ser aprobados para el tercer trimestre del año en curso:</w:t>
            </w:r>
            <w:r w:rsidR="00FD72F6">
              <w:rPr>
                <w:noProof/>
                <w:webHidden/>
              </w:rPr>
              <w:tab/>
            </w:r>
            <w:r w:rsidR="00FD72F6">
              <w:rPr>
                <w:noProof/>
                <w:webHidden/>
              </w:rPr>
              <w:fldChar w:fldCharType="begin"/>
            </w:r>
            <w:r w:rsidR="00FD72F6">
              <w:rPr>
                <w:noProof/>
                <w:webHidden/>
              </w:rPr>
              <w:instrText xml:space="preserve"> PAGEREF _Toc138770870 \h </w:instrText>
            </w:r>
            <w:r w:rsidR="00FD72F6">
              <w:rPr>
                <w:noProof/>
                <w:webHidden/>
              </w:rPr>
            </w:r>
            <w:r w:rsidR="00FD72F6">
              <w:rPr>
                <w:noProof/>
                <w:webHidden/>
              </w:rPr>
              <w:fldChar w:fldCharType="separate"/>
            </w:r>
            <w:r w:rsidR="00F6374E">
              <w:rPr>
                <w:noProof/>
                <w:webHidden/>
              </w:rPr>
              <w:t>121</w:t>
            </w:r>
            <w:r w:rsidR="00FD72F6">
              <w:rPr>
                <w:noProof/>
                <w:webHidden/>
              </w:rPr>
              <w:fldChar w:fldCharType="end"/>
            </w:r>
          </w:hyperlink>
        </w:p>
        <w:p w14:paraId="41863367" w14:textId="32CE14D7" w:rsidR="00FD72F6" w:rsidRDefault="00883F21">
          <w:pPr>
            <w:pStyle w:val="TDC2"/>
            <w:tabs>
              <w:tab w:val="right" w:leader="dot" w:pos="8828"/>
            </w:tabs>
            <w:rPr>
              <w:rFonts w:eastAsiaTheme="minorEastAsia"/>
              <w:noProof/>
              <w:lang w:eastAsia="es-CR"/>
            </w:rPr>
          </w:pPr>
          <w:hyperlink w:anchor="_Toc138770871" w:history="1">
            <w:r w:rsidR="00FD72F6" w:rsidRPr="00127E6A">
              <w:rPr>
                <w:rStyle w:val="Hipervnculo"/>
                <w:rFonts w:ascii="Book Antiqua" w:hAnsi="Book Antiqua"/>
                <w:b/>
                <w:bCs/>
                <w:noProof/>
                <w:lang w:val="es-ES"/>
              </w:rPr>
              <w:t>4.7 Detalle de solicitudes de oficinas con ejecución de labores operativas que solicitan nuevos permisos con goce de salario para el III trimestre 2023</w:t>
            </w:r>
            <w:r w:rsidR="00FD72F6">
              <w:rPr>
                <w:noProof/>
                <w:webHidden/>
              </w:rPr>
              <w:tab/>
            </w:r>
            <w:r w:rsidR="00FD72F6">
              <w:rPr>
                <w:noProof/>
                <w:webHidden/>
              </w:rPr>
              <w:fldChar w:fldCharType="begin"/>
            </w:r>
            <w:r w:rsidR="00FD72F6">
              <w:rPr>
                <w:noProof/>
                <w:webHidden/>
              </w:rPr>
              <w:instrText xml:space="preserve"> PAGEREF _Toc138770871 \h </w:instrText>
            </w:r>
            <w:r w:rsidR="00FD72F6">
              <w:rPr>
                <w:noProof/>
                <w:webHidden/>
              </w:rPr>
            </w:r>
            <w:r w:rsidR="00FD72F6">
              <w:rPr>
                <w:noProof/>
                <w:webHidden/>
              </w:rPr>
              <w:fldChar w:fldCharType="separate"/>
            </w:r>
            <w:r w:rsidR="00F6374E">
              <w:rPr>
                <w:noProof/>
                <w:webHidden/>
              </w:rPr>
              <w:t>144</w:t>
            </w:r>
            <w:r w:rsidR="00FD72F6">
              <w:rPr>
                <w:noProof/>
                <w:webHidden/>
              </w:rPr>
              <w:fldChar w:fldCharType="end"/>
            </w:r>
          </w:hyperlink>
        </w:p>
        <w:p w14:paraId="546ED93F" w14:textId="1CE7B646" w:rsidR="00FD72F6" w:rsidRDefault="00883F21">
          <w:pPr>
            <w:pStyle w:val="TDC2"/>
            <w:tabs>
              <w:tab w:val="right" w:leader="dot" w:pos="8828"/>
            </w:tabs>
            <w:rPr>
              <w:rFonts w:eastAsiaTheme="minorEastAsia"/>
              <w:noProof/>
              <w:lang w:eastAsia="es-CR"/>
            </w:rPr>
          </w:pPr>
          <w:hyperlink w:anchor="_Toc138770872" w:history="1">
            <w:r w:rsidR="00FD72F6" w:rsidRPr="00127E6A">
              <w:rPr>
                <w:rStyle w:val="Hipervnculo"/>
                <w:rFonts w:ascii="Book Antiqua" w:hAnsi="Book Antiqua"/>
                <w:b/>
                <w:bCs/>
                <w:noProof/>
                <w:lang w:val="es-ES"/>
              </w:rPr>
              <w:t>4.8 Solicitud de la Dirección de Gestión Humana de ajustar fecha de Informe de avance para prórroga de permisos con goce de salario para el IV trimestre 2023</w:t>
            </w:r>
            <w:r w:rsidR="00FD72F6">
              <w:rPr>
                <w:noProof/>
                <w:webHidden/>
              </w:rPr>
              <w:tab/>
            </w:r>
            <w:r w:rsidR="00FD72F6">
              <w:rPr>
                <w:noProof/>
                <w:webHidden/>
              </w:rPr>
              <w:fldChar w:fldCharType="begin"/>
            </w:r>
            <w:r w:rsidR="00FD72F6">
              <w:rPr>
                <w:noProof/>
                <w:webHidden/>
              </w:rPr>
              <w:instrText xml:space="preserve"> PAGEREF _Toc138770872 \h </w:instrText>
            </w:r>
            <w:r w:rsidR="00FD72F6">
              <w:rPr>
                <w:noProof/>
                <w:webHidden/>
              </w:rPr>
            </w:r>
            <w:r w:rsidR="00FD72F6">
              <w:rPr>
                <w:noProof/>
                <w:webHidden/>
              </w:rPr>
              <w:fldChar w:fldCharType="separate"/>
            </w:r>
            <w:r w:rsidR="00F6374E">
              <w:rPr>
                <w:noProof/>
                <w:webHidden/>
              </w:rPr>
              <w:t>156</w:t>
            </w:r>
            <w:r w:rsidR="00FD72F6">
              <w:rPr>
                <w:noProof/>
                <w:webHidden/>
              </w:rPr>
              <w:fldChar w:fldCharType="end"/>
            </w:r>
          </w:hyperlink>
        </w:p>
        <w:p w14:paraId="3B913621" w14:textId="72CB37A5" w:rsidR="00FD72F6" w:rsidRDefault="00883F21">
          <w:pPr>
            <w:pStyle w:val="TDC1"/>
            <w:rPr>
              <w:rFonts w:eastAsiaTheme="minorEastAsia"/>
              <w:noProof/>
              <w:lang w:eastAsia="es-CR"/>
            </w:rPr>
          </w:pPr>
          <w:hyperlink w:anchor="_Toc138770873" w:history="1">
            <w:r w:rsidR="00FD72F6" w:rsidRPr="00127E6A">
              <w:rPr>
                <w:rStyle w:val="Hipervnculo"/>
                <w:rFonts w:ascii="Book Antiqua" w:eastAsia="Wingdings" w:hAnsi="Book Antiqua"/>
                <w:b/>
                <w:bCs/>
                <w:noProof/>
                <w:lang w:eastAsia="ko-KR"/>
              </w:rPr>
              <w:t>CAPÍTULO 5)  PRIORIZACIÓN DE PROYECTOS ESTRATÉGICOS</w:t>
            </w:r>
            <w:r w:rsidR="00FD72F6">
              <w:rPr>
                <w:noProof/>
                <w:webHidden/>
              </w:rPr>
              <w:tab/>
            </w:r>
            <w:r w:rsidR="00FD72F6">
              <w:rPr>
                <w:noProof/>
                <w:webHidden/>
              </w:rPr>
              <w:fldChar w:fldCharType="begin"/>
            </w:r>
            <w:r w:rsidR="00FD72F6">
              <w:rPr>
                <w:noProof/>
                <w:webHidden/>
              </w:rPr>
              <w:instrText xml:space="preserve"> PAGEREF _Toc138770873 \h </w:instrText>
            </w:r>
            <w:r w:rsidR="00FD72F6">
              <w:rPr>
                <w:noProof/>
                <w:webHidden/>
              </w:rPr>
            </w:r>
            <w:r w:rsidR="00FD72F6">
              <w:rPr>
                <w:noProof/>
                <w:webHidden/>
              </w:rPr>
              <w:fldChar w:fldCharType="separate"/>
            </w:r>
            <w:r w:rsidR="00F6374E">
              <w:rPr>
                <w:noProof/>
                <w:webHidden/>
              </w:rPr>
              <w:t>157</w:t>
            </w:r>
            <w:r w:rsidR="00FD72F6">
              <w:rPr>
                <w:noProof/>
                <w:webHidden/>
              </w:rPr>
              <w:fldChar w:fldCharType="end"/>
            </w:r>
          </w:hyperlink>
        </w:p>
        <w:p w14:paraId="4CD66D93" w14:textId="4441445A" w:rsidR="00FD72F6" w:rsidRDefault="00883F21">
          <w:pPr>
            <w:pStyle w:val="TDC2"/>
            <w:tabs>
              <w:tab w:val="right" w:leader="dot" w:pos="8828"/>
            </w:tabs>
            <w:rPr>
              <w:rFonts w:eastAsiaTheme="minorEastAsia"/>
              <w:noProof/>
              <w:lang w:eastAsia="es-CR"/>
            </w:rPr>
          </w:pPr>
          <w:hyperlink w:anchor="_Toc138770874" w:history="1">
            <w:r w:rsidR="00FD72F6" w:rsidRPr="00127E6A">
              <w:rPr>
                <w:rStyle w:val="Hipervnculo"/>
                <w:rFonts w:ascii="Book Antiqua" w:eastAsia="Wingdings" w:hAnsi="Book Antiqua"/>
                <w:b/>
                <w:bCs/>
                <w:noProof/>
                <w:lang w:eastAsia="ko-KR"/>
              </w:rPr>
              <w:t>Antecedentes sobre la priorización de proyectos según metodología de Administración de Portafolio de Proyectos Estratégicos</w:t>
            </w:r>
            <w:r w:rsidR="00FD72F6">
              <w:rPr>
                <w:noProof/>
                <w:webHidden/>
              </w:rPr>
              <w:tab/>
            </w:r>
            <w:r w:rsidR="00FD72F6">
              <w:rPr>
                <w:noProof/>
                <w:webHidden/>
              </w:rPr>
              <w:fldChar w:fldCharType="begin"/>
            </w:r>
            <w:r w:rsidR="00FD72F6">
              <w:rPr>
                <w:noProof/>
                <w:webHidden/>
              </w:rPr>
              <w:instrText xml:space="preserve"> PAGEREF _Toc138770874 \h </w:instrText>
            </w:r>
            <w:r w:rsidR="00FD72F6">
              <w:rPr>
                <w:noProof/>
                <w:webHidden/>
              </w:rPr>
            </w:r>
            <w:r w:rsidR="00FD72F6">
              <w:rPr>
                <w:noProof/>
                <w:webHidden/>
              </w:rPr>
              <w:fldChar w:fldCharType="separate"/>
            </w:r>
            <w:r w:rsidR="00F6374E">
              <w:rPr>
                <w:noProof/>
                <w:webHidden/>
              </w:rPr>
              <w:t>157</w:t>
            </w:r>
            <w:r w:rsidR="00FD72F6">
              <w:rPr>
                <w:noProof/>
                <w:webHidden/>
              </w:rPr>
              <w:fldChar w:fldCharType="end"/>
            </w:r>
          </w:hyperlink>
        </w:p>
        <w:p w14:paraId="59367538" w14:textId="5F78B4F9" w:rsidR="00FD72F6" w:rsidRDefault="00883F21">
          <w:pPr>
            <w:pStyle w:val="TDC1"/>
            <w:rPr>
              <w:rFonts w:eastAsiaTheme="minorEastAsia"/>
              <w:noProof/>
              <w:lang w:eastAsia="es-CR"/>
            </w:rPr>
          </w:pPr>
          <w:hyperlink w:anchor="_Toc138770875" w:history="1">
            <w:r w:rsidR="00FD72F6" w:rsidRPr="00127E6A">
              <w:rPr>
                <w:rStyle w:val="Hipervnculo"/>
                <w:rFonts w:ascii="Book Antiqua" w:hAnsi="Book Antiqua"/>
                <w:b/>
                <w:bCs/>
                <w:noProof/>
              </w:rPr>
              <w:t>VI. CONCLUSIONES</w:t>
            </w:r>
            <w:r w:rsidR="00FD72F6">
              <w:rPr>
                <w:noProof/>
                <w:webHidden/>
              </w:rPr>
              <w:tab/>
            </w:r>
            <w:r w:rsidR="00FD72F6">
              <w:rPr>
                <w:noProof/>
                <w:webHidden/>
              </w:rPr>
              <w:fldChar w:fldCharType="begin"/>
            </w:r>
            <w:r w:rsidR="00FD72F6">
              <w:rPr>
                <w:noProof/>
                <w:webHidden/>
              </w:rPr>
              <w:instrText xml:space="preserve"> PAGEREF _Toc138770875 \h </w:instrText>
            </w:r>
            <w:r w:rsidR="00FD72F6">
              <w:rPr>
                <w:noProof/>
                <w:webHidden/>
              </w:rPr>
            </w:r>
            <w:r w:rsidR="00FD72F6">
              <w:rPr>
                <w:noProof/>
                <w:webHidden/>
              </w:rPr>
              <w:fldChar w:fldCharType="separate"/>
            </w:r>
            <w:r w:rsidR="00F6374E">
              <w:rPr>
                <w:noProof/>
                <w:webHidden/>
              </w:rPr>
              <w:t>160</w:t>
            </w:r>
            <w:r w:rsidR="00FD72F6">
              <w:rPr>
                <w:noProof/>
                <w:webHidden/>
              </w:rPr>
              <w:fldChar w:fldCharType="end"/>
            </w:r>
          </w:hyperlink>
        </w:p>
        <w:p w14:paraId="193BD6DD" w14:textId="50C3226A" w:rsidR="00FD72F6" w:rsidRDefault="00883F21">
          <w:pPr>
            <w:pStyle w:val="TDC2"/>
            <w:tabs>
              <w:tab w:val="left" w:pos="880"/>
              <w:tab w:val="right" w:leader="dot" w:pos="8828"/>
            </w:tabs>
            <w:rPr>
              <w:rFonts w:eastAsiaTheme="minorEastAsia"/>
              <w:noProof/>
              <w:lang w:eastAsia="es-CR"/>
            </w:rPr>
          </w:pPr>
          <w:hyperlink w:anchor="_Toc138770876" w:history="1">
            <w:r w:rsidR="00FD72F6" w:rsidRPr="00127E6A">
              <w:rPr>
                <w:rStyle w:val="Hipervnculo"/>
                <w:rFonts w:ascii="Book Antiqua" w:eastAsia="Wingdings" w:hAnsi="Book Antiqua"/>
                <w:b/>
                <w:bCs/>
                <w:noProof/>
                <w:lang w:eastAsia="ko-KR"/>
              </w:rPr>
              <w:t>6.1</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Conclusiones relacionadas con el capítulo 1</w:t>
            </w:r>
            <w:r w:rsidR="00FD72F6">
              <w:rPr>
                <w:noProof/>
                <w:webHidden/>
              </w:rPr>
              <w:tab/>
            </w:r>
            <w:r w:rsidR="00FD72F6">
              <w:rPr>
                <w:noProof/>
                <w:webHidden/>
              </w:rPr>
              <w:fldChar w:fldCharType="begin"/>
            </w:r>
            <w:r w:rsidR="00FD72F6">
              <w:rPr>
                <w:noProof/>
                <w:webHidden/>
              </w:rPr>
              <w:instrText xml:space="preserve"> PAGEREF _Toc138770876 \h </w:instrText>
            </w:r>
            <w:r w:rsidR="00FD72F6">
              <w:rPr>
                <w:noProof/>
                <w:webHidden/>
              </w:rPr>
            </w:r>
            <w:r w:rsidR="00FD72F6">
              <w:rPr>
                <w:noProof/>
                <w:webHidden/>
              </w:rPr>
              <w:fldChar w:fldCharType="separate"/>
            </w:r>
            <w:r w:rsidR="00F6374E">
              <w:rPr>
                <w:noProof/>
                <w:webHidden/>
              </w:rPr>
              <w:t>160</w:t>
            </w:r>
            <w:r w:rsidR="00FD72F6">
              <w:rPr>
                <w:noProof/>
                <w:webHidden/>
              </w:rPr>
              <w:fldChar w:fldCharType="end"/>
            </w:r>
          </w:hyperlink>
        </w:p>
        <w:p w14:paraId="27AE96E2" w14:textId="10016329" w:rsidR="00FD72F6" w:rsidRDefault="00883F21">
          <w:pPr>
            <w:pStyle w:val="TDC2"/>
            <w:tabs>
              <w:tab w:val="left" w:pos="880"/>
              <w:tab w:val="right" w:leader="dot" w:pos="8828"/>
            </w:tabs>
            <w:rPr>
              <w:rFonts w:eastAsiaTheme="minorEastAsia"/>
              <w:noProof/>
              <w:lang w:eastAsia="es-CR"/>
            </w:rPr>
          </w:pPr>
          <w:hyperlink w:anchor="_Toc138770877" w:history="1">
            <w:r w:rsidR="00FD72F6" w:rsidRPr="00127E6A">
              <w:rPr>
                <w:rStyle w:val="Hipervnculo"/>
                <w:rFonts w:ascii="Book Antiqua" w:eastAsia="Wingdings" w:hAnsi="Book Antiqua"/>
                <w:b/>
                <w:bCs/>
                <w:noProof/>
                <w:lang w:eastAsia="ko-KR"/>
              </w:rPr>
              <w:t>6.2</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Conclusiones relacionadas con el capítulo 2</w:t>
            </w:r>
            <w:r w:rsidR="00FD72F6">
              <w:rPr>
                <w:noProof/>
                <w:webHidden/>
              </w:rPr>
              <w:tab/>
            </w:r>
            <w:r w:rsidR="00FD72F6">
              <w:rPr>
                <w:noProof/>
                <w:webHidden/>
              </w:rPr>
              <w:fldChar w:fldCharType="begin"/>
            </w:r>
            <w:r w:rsidR="00FD72F6">
              <w:rPr>
                <w:noProof/>
                <w:webHidden/>
              </w:rPr>
              <w:instrText xml:space="preserve"> PAGEREF _Toc138770877 \h </w:instrText>
            </w:r>
            <w:r w:rsidR="00FD72F6">
              <w:rPr>
                <w:noProof/>
                <w:webHidden/>
              </w:rPr>
            </w:r>
            <w:r w:rsidR="00FD72F6">
              <w:rPr>
                <w:noProof/>
                <w:webHidden/>
              </w:rPr>
              <w:fldChar w:fldCharType="separate"/>
            </w:r>
            <w:r w:rsidR="00F6374E">
              <w:rPr>
                <w:noProof/>
                <w:webHidden/>
              </w:rPr>
              <w:t>167</w:t>
            </w:r>
            <w:r w:rsidR="00FD72F6">
              <w:rPr>
                <w:noProof/>
                <w:webHidden/>
              </w:rPr>
              <w:fldChar w:fldCharType="end"/>
            </w:r>
          </w:hyperlink>
        </w:p>
        <w:p w14:paraId="6FDF1139" w14:textId="34C917CD" w:rsidR="00FD72F6" w:rsidRDefault="00883F21">
          <w:pPr>
            <w:pStyle w:val="TDC2"/>
            <w:tabs>
              <w:tab w:val="left" w:pos="880"/>
              <w:tab w:val="right" w:leader="dot" w:pos="8828"/>
            </w:tabs>
            <w:rPr>
              <w:rFonts w:eastAsiaTheme="minorEastAsia"/>
              <w:noProof/>
              <w:lang w:eastAsia="es-CR"/>
            </w:rPr>
          </w:pPr>
          <w:hyperlink w:anchor="_Toc138770878" w:history="1">
            <w:r w:rsidR="00FD72F6" w:rsidRPr="00127E6A">
              <w:rPr>
                <w:rStyle w:val="Hipervnculo"/>
                <w:rFonts w:ascii="Book Antiqua" w:eastAsia="Wingdings" w:hAnsi="Book Antiqua"/>
                <w:b/>
                <w:bCs/>
                <w:noProof/>
                <w:lang w:eastAsia="ko-KR"/>
              </w:rPr>
              <w:t>6.3</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Conclusiones relacionadas con el capítulo 3</w:t>
            </w:r>
            <w:r w:rsidR="00FD72F6">
              <w:rPr>
                <w:noProof/>
                <w:webHidden/>
              </w:rPr>
              <w:tab/>
            </w:r>
            <w:r w:rsidR="00FD72F6">
              <w:rPr>
                <w:noProof/>
                <w:webHidden/>
              </w:rPr>
              <w:fldChar w:fldCharType="begin"/>
            </w:r>
            <w:r w:rsidR="00FD72F6">
              <w:rPr>
                <w:noProof/>
                <w:webHidden/>
              </w:rPr>
              <w:instrText xml:space="preserve"> PAGEREF _Toc138770878 \h </w:instrText>
            </w:r>
            <w:r w:rsidR="00FD72F6">
              <w:rPr>
                <w:noProof/>
                <w:webHidden/>
              </w:rPr>
            </w:r>
            <w:r w:rsidR="00FD72F6">
              <w:rPr>
                <w:noProof/>
                <w:webHidden/>
              </w:rPr>
              <w:fldChar w:fldCharType="separate"/>
            </w:r>
            <w:r w:rsidR="00F6374E">
              <w:rPr>
                <w:noProof/>
                <w:webHidden/>
              </w:rPr>
              <w:t>179</w:t>
            </w:r>
            <w:r w:rsidR="00FD72F6">
              <w:rPr>
                <w:noProof/>
                <w:webHidden/>
              </w:rPr>
              <w:fldChar w:fldCharType="end"/>
            </w:r>
          </w:hyperlink>
        </w:p>
        <w:p w14:paraId="5BA4AF97" w14:textId="003DC158" w:rsidR="00FD72F6" w:rsidRDefault="00883F21">
          <w:pPr>
            <w:pStyle w:val="TDC2"/>
            <w:tabs>
              <w:tab w:val="left" w:pos="880"/>
              <w:tab w:val="right" w:leader="dot" w:pos="8828"/>
            </w:tabs>
            <w:rPr>
              <w:rFonts w:eastAsiaTheme="minorEastAsia"/>
              <w:noProof/>
              <w:lang w:eastAsia="es-CR"/>
            </w:rPr>
          </w:pPr>
          <w:hyperlink w:anchor="_Toc138770879" w:history="1">
            <w:r w:rsidR="00FD72F6" w:rsidRPr="00127E6A">
              <w:rPr>
                <w:rStyle w:val="Hipervnculo"/>
                <w:rFonts w:ascii="Book Antiqua" w:eastAsia="Wingdings" w:hAnsi="Book Antiqua"/>
                <w:b/>
                <w:bCs/>
                <w:noProof/>
                <w:lang w:eastAsia="ko-KR"/>
              </w:rPr>
              <w:t>6.4</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Conclusiones relacionadas con el capítulo 4</w:t>
            </w:r>
            <w:r w:rsidR="00FD72F6">
              <w:rPr>
                <w:noProof/>
                <w:webHidden/>
              </w:rPr>
              <w:tab/>
            </w:r>
            <w:r w:rsidR="00FD72F6">
              <w:rPr>
                <w:noProof/>
                <w:webHidden/>
              </w:rPr>
              <w:fldChar w:fldCharType="begin"/>
            </w:r>
            <w:r w:rsidR="00FD72F6">
              <w:rPr>
                <w:noProof/>
                <w:webHidden/>
              </w:rPr>
              <w:instrText xml:space="preserve"> PAGEREF _Toc138770879 \h </w:instrText>
            </w:r>
            <w:r w:rsidR="00FD72F6">
              <w:rPr>
                <w:noProof/>
                <w:webHidden/>
              </w:rPr>
            </w:r>
            <w:r w:rsidR="00FD72F6">
              <w:rPr>
                <w:noProof/>
                <w:webHidden/>
              </w:rPr>
              <w:fldChar w:fldCharType="separate"/>
            </w:r>
            <w:r w:rsidR="00F6374E">
              <w:rPr>
                <w:noProof/>
                <w:webHidden/>
              </w:rPr>
              <w:t>181</w:t>
            </w:r>
            <w:r w:rsidR="00FD72F6">
              <w:rPr>
                <w:noProof/>
                <w:webHidden/>
              </w:rPr>
              <w:fldChar w:fldCharType="end"/>
            </w:r>
          </w:hyperlink>
        </w:p>
        <w:p w14:paraId="57F125AC" w14:textId="13AC5605" w:rsidR="00FD72F6" w:rsidRDefault="00883F21">
          <w:pPr>
            <w:pStyle w:val="TDC2"/>
            <w:tabs>
              <w:tab w:val="left" w:pos="880"/>
              <w:tab w:val="right" w:leader="dot" w:pos="8828"/>
            </w:tabs>
            <w:rPr>
              <w:rFonts w:eastAsiaTheme="minorEastAsia"/>
              <w:noProof/>
              <w:lang w:eastAsia="es-CR"/>
            </w:rPr>
          </w:pPr>
          <w:hyperlink w:anchor="_Toc138770880" w:history="1">
            <w:r w:rsidR="00FD72F6" w:rsidRPr="00127E6A">
              <w:rPr>
                <w:rStyle w:val="Hipervnculo"/>
                <w:rFonts w:ascii="Book Antiqua" w:eastAsia="Wingdings" w:hAnsi="Book Antiqua"/>
                <w:b/>
                <w:bCs/>
                <w:noProof/>
                <w:lang w:eastAsia="ko-KR"/>
              </w:rPr>
              <w:t>6.5</w:t>
            </w:r>
            <w:r w:rsidR="00FD72F6">
              <w:rPr>
                <w:rFonts w:eastAsiaTheme="minorEastAsia"/>
                <w:noProof/>
                <w:lang w:eastAsia="es-CR"/>
              </w:rPr>
              <w:tab/>
            </w:r>
            <w:r w:rsidR="00FD72F6" w:rsidRPr="00127E6A">
              <w:rPr>
                <w:rStyle w:val="Hipervnculo"/>
                <w:rFonts w:ascii="Book Antiqua" w:eastAsia="Wingdings" w:hAnsi="Book Antiqua"/>
                <w:b/>
                <w:bCs/>
                <w:noProof/>
                <w:lang w:eastAsia="ko-KR"/>
              </w:rPr>
              <w:t>Conclusiones relacionadas con el capítulo 5</w:t>
            </w:r>
            <w:r w:rsidR="00FD72F6">
              <w:rPr>
                <w:noProof/>
                <w:webHidden/>
              </w:rPr>
              <w:tab/>
            </w:r>
            <w:r w:rsidR="00FD72F6">
              <w:rPr>
                <w:noProof/>
                <w:webHidden/>
              </w:rPr>
              <w:fldChar w:fldCharType="begin"/>
            </w:r>
            <w:r w:rsidR="00FD72F6">
              <w:rPr>
                <w:noProof/>
                <w:webHidden/>
              </w:rPr>
              <w:instrText xml:space="preserve"> PAGEREF _Toc138770880 \h </w:instrText>
            </w:r>
            <w:r w:rsidR="00FD72F6">
              <w:rPr>
                <w:noProof/>
                <w:webHidden/>
              </w:rPr>
            </w:r>
            <w:r w:rsidR="00FD72F6">
              <w:rPr>
                <w:noProof/>
                <w:webHidden/>
              </w:rPr>
              <w:fldChar w:fldCharType="separate"/>
            </w:r>
            <w:r w:rsidR="00F6374E">
              <w:rPr>
                <w:noProof/>
                <w:webHidden/>
              </w:rPr>
              <w:t>182</w:t>
            </w:r>
            <w:r w:rsidR="00FD72F6">
              <w:rPr>
                <w:noProof/>
                <w:webHidden/>
              </w:rPr>
              <w:fldChar w:fldCharType="end"/>
            </w:r>
          </w:hyperlink>
        </w:p>
        <w:p w14:paraId="593F0DF3" w14:textId="46E88FC3" w:rsidR="00FD72F6" w:rsidRDefault="00883F21">
          <w:pPr>
            <w:pStyle w:val="TDC1"/>
            <w:rPr>
              <w:rFonts w:eastAsiaTheme="minorEastAsia"/>
              <w:noProof/>
              <w:lang w:eastAsia="es-CR"/>
            </w:rPr>
          </w:pPr>
          <w:hyperlink w:anchor="_Toc138770881" w:history="1">
            <w:r w:rsidR="00FD72F6" w:rsidRPr="00127E6A">
              <w:rPr>
                <w:rStyle w:val="Hipervnculo"/>
                <w:rFonts w:ascii="Book Antiqua" w:eastAsia="Wingdings" w:hAnsi="Book Antiqua"/>
                <w:b/>
                <w:bCs/>
                <w:noProof/>
                <w:lang w:eastAsia="ko-KR"/>
              </w:rPr>
              <w:t>VII. RECOMENDACIONES GENERALES</w:t>
            </w:r>
            <w:r w:rsidR="00FD72F6">
              <w:rPr>
                <w:noProof/>
                <w:webHidden/>
              </w:rPr>
              <w:tab/>
            </w:r>
            <w:r w:rsidR="00FD72F6">
              <w:rPr>
                <w:noProof/>
                <w:webHidden/>
              </w:rPr>
              <w:fldChar w:fldCharType="begin"/>
            </w:r>
            <w:r w:rsidR="00FD72F6">
              <w:rPr>
                <w:noProof/>
                <w:webHidden/>
              </w:rPr>
              <w:instrText xml:space="preserve"> PAGEREF _Toc138770881 \h </w:instrText>
            </w:r>
            <w:r w:rsidR="00FD72F6">
              <w:rPr>
                <w:noProof/>
                <w:webHidden/>
              </w:rPr>
            </w:r>
            <w:r w:rsidR="00FD72F6">
              <w:rPr>
                <w:noProof/>
                <w:webHidden/>
              </w:rPr>
              <w:fldChar w:fldCharType="separate"/>
            </w:r>
            <w:r w:rsidR="00F6374E">
              <w:rPr>
                <w:noProof/>
                <w:webHidden/>
              </w:rPr>
              <w:t>184</w:t>
            </w:r>
            <w:r w:rsidR="00FD72F6">
              <w:rPr>
                <w:noProof/>
                <w:webHidden/>
              </w:rPr>
              <w:fldChar w:fldCharType="end"/>
            </w:r>
          </w:hyperlink>
        </w:p>
        <w:p w14:paraId="630714A4" w14:textId="46A5BD20" w:rsidR="00FD72F6" w:rsidRDefault="00883F21">
          <w:pPr>
            <w:pStyle w:val="TDC2"/>
            <w:tabs>
              <w:tab w:val="right" w:leader="dot" w:pos="8828"/>
            </w:tabs>
            <w:rPr>
              <w:rFonts w:eastAsiaTheme="minorEastAsia"/>
              <w:noProof/>
              <w:lang w:eastAsia="es-CR"/>
            </w:rPr>
          </w:pPr>
          <w:hyperlink w:anchor="_Toc138770882" w:history="1">
            <w:r w:rsidR="00FD72F6" w:rsidRPr="00127E6A">
              <w:rPr>
                <w:rStyle w:val="Hipervnculo"/>
                <w:rFonts w:ascii="Book Antiqua" w:hAnsi="Book Antiqua"/>
                <w:b/>
                <w:bCs/>
                <w:noProof/>
                <w:lang w:eastAsia="ko-KR"/>
              </w:rPr>
              <w:t>Al Consejo Superior</w:t>
            </w:r>
            <w:r w:rsidR="00FD72F6">
              <w:rPr>
                <w:noProof/>
                <w:webHidden/>
              </w:rPr>
              <w:tab/>
            </w:r>
            <w:r w:rsidR="00FD72F6">
              <w:rPr>
                <w:noProof/>
                <w:webHidden/>
              </w:rPr>
              <w:fldChar w:fldCharType="begin"/>
            </w:r>
            <w:r w:rsidR="00FD72F6">
              <w:rPr>
                <w:noProof/>
                <w:webHidden/>
              </w:rPr>
              <w:instrText xml:space="preserve"> PAGEREF _Toc138770882 \h </w:instrText>
            </w:r>
            <w:r w:rsidR="00FD72F6">
              <w:rPr>
                <w:noProof/>
                <w:webHidden/>
              </w:rPr>
            </w:r>
            <w:r w:rsidR="00FD72F6">
              <w:rPr>
                <w:noProof/>
                <w:webHidden/>
              </w:rPr>
              <w:fldChar w:fldCharType="separate"/>
            </w:r>
            <w:r w:rsidR="00F6374E">
              <w:rPr>
                <w:noProof/>
                <w:webHidden/>
              </w:rPr>
              <w:t>184</w:t>
            </w:r>
            <w:r w:rsidR="00FD72F6">
              <w:rPr>
                <w:noProof/>
                <w:webHidden/>
              </w:rPr>
              <w:fldChar w:fldCharType="end"/>
            </w:r>
          </w:hyperlink>
        </w:p>
        <w:p w14:paraId="21AFD0F7" w14:textId="66B5BCA4" w:rsidR="00FD72F6" w:rsidRDefault="00883F21">
          <w:pPr>
            <w:pStyle w:val="TDC2"/>
            <w:tabs>
              <w:tab w:val="right" w:leader="dot" w:pos="8828"/>
            </w:tabs>
            <w:rPr>
              <w:rFonts w:eastAsiaTheme="minorEastAsia"/>
              <w:noProof/>
              <w:lang w:eastAsia="es-CR"/>
            </w:rPr>
          </w:pPr>
          <w:hyperlink w:anchor="_Toc138770883" w:history="1">
            <w:r w:rsidR="00FD72F6" w:rsidRPr="00127E6A">
              <w:rPr>
                <w:rStyle w:val="Hipervnculo"/>
                <w:rFonts w:ascii="Book Antiqua" w:hAnsi="Book Antiqua"/>
                <w:b/>
                <w:noProof/>
              </w:rPr>
              <w:t>A todas las Oficinas líderes o responsables de proyectos estratégicos:</w:t>
            </w:r>
            <w:r w:rsidR="00FD72F6">
              <w:rPr>
                <w:noProof/>
                <w:webHidden/>
              </w:rPr>
              <w:tab/>
            </w:r>
            <w:r w:rsidR="00FD72F6">
              <w:rPr>
                <w:noProof/>
                <w:webHidden/>
              </w:rPr>
              <w:fldChar w:fldCharType="begin"/>
            </w:r>
            <w:r w:rsidR="00FD72F6">
              <w:rPr>
                <w:noProof/>
                <w:webHidden/>
              </w:rPr>
              <w:instrText xml:space="preserve"> PAGEREF _Toc138770883 \h </w:instrText>
            </w:r>
            <w:r w:rsidR="00FD72F6">
              <w:rPr>
                <w:noProof/>
                <w:webHidden/>
              </w:rPr>
            </w:r>
            <w:r w:rsidR="00FD72F6">
              <w:rPr>
                <w:noProof/>
                <w:webHidden/>
              </w:rPr>
              <w:fldChar w:fldCharType="separate"/>
            </w:r>
            <w:r w:rsidR="00F6374E">
              <w:rPr>
                <w:noProof/>
                <w:webHidden/>
              </w:rPr>
              <w:t>187</w:t>
            </w:r>
            <w:r w:rsidR="00FD72F6">
              <w:rPr>
                <w:noProof/>
                <w:webHidden/>
              </w:rPr>
              <w:fldChar w:fldCharType="end"/>
            </w:r>
          </w:hyperlink>
        </w:p>
        <w:p w14:paraId="70F05118" w14:textId="1ED25C55" w:rsidR="00FD72F6" w:rsidRDefault="00883F21">
          <w:pPr>
            <w:pStyle w:val="TDC2"/>
            <w:tabs>
              <w:tab w:val="right" w:leader="dot" w:pos="8828"/>
            </w:tabs>
            <w:rPr>
              <w:rFonts w:eastAsiaTheme="minorEastAsia"/>
              <w:noProof/>
              <w:lang w:eastAsia="es-CR"/>
            </w:rPr>
          </w:pPr>
          <w:hyperlink w:anchor="_Toc138770884" w:history="1">
            <w:r w:rsidR="00FD72F6" w:rsidRPr="00127E6A">
              <w:rPr>
                <w:rStyle w:val="Hipervnculo"/>
                <w:rFonts w:ascii="Book Antiqua" w:hAnsi="Book Antiqua"/>
                <w:b/>
                <w:noProof/>
              </w:rPr>
              <w:t>A las personas líderes de proyecto que no cuentan con licencia del MS Project:</w:t>
            </w:r>
            <w:r w:rsidR="00FD72F6">
              <w:rPr>
                <w:noProof/>
                <w:webHidden/>
              </w:rPr>
              <w:tab/>
            </w:r>
            <w:r w:rsidR="00FD72F6">
              <w:rPr>
                <w:noProof/>
                <w:webHidden/>
              </w:rPr>
              <w:fldChar w:fldCharType="begin"/>
            </w:r>
            <w:r w:rsidR="00FD72F6">
              <w:rPr>
                <w:noProof/>
                <w:webHidden/>
              </w:rPr>
              <w:instrText xml:space="preserve"> PAGEREF _Toc138770884 \h </w:instrText>
            </w:r>
            <w:r w:rsidR="00FD72F6">
              <w:rPr>
                <w:noProof/>
                <w:webHidden/>
              </w:rPr>
            </w:r>
            <w:r w:rsidR="00FD72F6">
              <w:rPr>
                <w:noProof/>
                <w:webHidden/>
              </w:rPr>
              <w:fldChar w:fldCharType="separate"/>
            </w:r>
            <w:r w:rsidR="00F6374E">
              <w:rPr>
                <w:noProof/>
                <w:webHidden/>
              </w:rPr>
              <w:t>188</w:t>
            </w:r>
            <w:r w:rsidR="00FD72F6">
              <w:rPr>
                <w:noProof/>
                <w:webHidden/>
              </w:rPr>
              <w:fldChar w:fldCharType="end"/>
            </w:r>
          </w:hyperlink>
        </w:p>
        <w:p w14:paraId="4E63FCDB" w14:textId="61A382FC" w:rsidR="00FD72F6" w:rsidRDefault="00883F21">
          <w:pPr>
            <w:pStyle w:val="TDC2"/>
            <w:tabs>
              <w:tab w:val="right" w:leader="dot" w:pos="8828"/>
            </w:tabs>
            <w:rPr>
              <w:rFonts w:eastAsiaTheme="minorEastAsia"/>
              <w:noProof/>
              <w:lang w:eastAsia="es-CR"/>
            </w:rPr>
          </w:pPr>
          <w:hyperlink w:anchor="_Toc138770885" w:history="1">
            <w:r w:rsidR="00FD72F6" w:rsidRPr="00127E6A">
              <w:rPr>
                <w:rStyle w:val="Hipervnculo"/>
                <w:rFonts w:ascii="Book Antiqua" w:hAnsi="Book Antiqua"/>
                <w:b/>
                <w:noProof/>
              </w:rPr>
              <w:t>A las oficinas encargadas de proyectos constructivos:</w:t>
            </w:r>
            <w:r w:rsidR="00FD72F6">
              <w:rPr>
                <w:noProof/>
                <w:webHidden/>
              </w:rPr>
              <w:tab/>
            </w:r>
            <w:r w:rsidR="00FD72F6">
              <w:rPr>
                <w:noProof/>
                <w:webHidden/>
              </w:rPr>
              <w:fldChar w:fldCharType="begin"/>
            </w:r>
            <w:r w:rsidR="00FD72F6">
              <w:rPr>
                <w:noProof/>
                <w:webHidden/>
              </w:rPr>
              <w:instrText xml:space="preserve"> PAGEREF _Toc138770885 \h </w:instrText>
            </w:r>
            <w:r w:rsidR="00FD72F6">
              <w:rPr>
                <w:noProof/>
                <w:webHidden/>
              </w:rPr>
            </w:r>
            <w:r w:rsidR="00FD72F6">
              <w:rPr>
                <w:noProof/>
                <w:webHidden/>
              </w:rPr>
              <w:fldChar w:fldCharType="separate"/>
            </w:r>
            <w:r w:rsidR="00F6374E">
              <w:rPr>
                <w:noProof/>
                <w:webHidden/>
              </w:rPr>
              <w:t>189</w:t>
            </w:r>
            <w:r w:rsidR="00FD72F6">
              <w:rPr>
                <w:noProof/>
                <w:webHidden/>
              </w:rPr>
              <w:fldChar w:fldCharType="end"/>
            </w:r>
          </w:hyperlink>
        </w:p>
        <w:p w14:paraId="6CE83034" w14:textId="5FC5B003" w:rsidR="00FD72F6" w:rsidRDefault="00883F21">
          <w:pPr>
            <w:pStyle w:val="TDC2"/>
            <w:tabs>
              <w:tab w:val="right" w:leader="dot" w:pos="8828"/>
            </w:tabs>
            <w:rPr>
              <w:rFonts w:eastAsiaTheme="minorEastAsia"/>
              <w:noProof/>
              <w:lang w:eastAsia="es-CR"/>
            </w:rPr>
          </w:pPr>
          <w:hyperlink w:anchor="_Toc138770886" w:history="1">
            <w:r w:rsidR="00FD72F6" w:rsidRPr="00127E6A">
              <w:rPr>
                <w:rStyle w:val="Hipervnculo"/>
                <w:rFonts w:ascii="Book Antiqua" w:hAnsi="Book Antiqua"/>
                <w:b/>
                <w:noProof/>
              </w:rPr>
              <w:t>A las Oficinas a las cuales se les otorgan permisos con goce de salario:</w:t>
            </w:r>
            <w:r w:rsidR="00FD72F6">
              <w:rPr>
                <w:noProof/>
                <w:webHidden/>
              </w:rPr>
              <w:tab/>
            </w:r>
            <w:r w:rsidR="00FD72F6">
              <w:rPr>
                <w:noProof/>
                <w:webHidden/>
              </w:rPr>
              <w:fldChar w:fldCharType="begin"/>
            </w:r>
            <w:r w:rsidR="00FD72F6">
              <w:rPr>
                <w:noProof/>
                <w:webHidden/>
              </w:rPr>
              <w:instrText xml:space="preserve"> PAGEREF _Toc138770886 \h </w:instrText>
            </w:r>
            <w:r w:rsidR="00FD72F6">
              <w:rPr>
                <w:noProof/>
                <w:webHidden/>
              </w:rPr>
            </w:r>
            <w:r w:rsidR="00FD72F6">
              <w:rPr>
                <w:noProof/>
                <w:webHidden/>
              </w:rPr>
              <w:fldChar w:fldCharType="separate"/>
            </w:r>
            <w:r w:rsidR="00F6374E">
              <w:rPr>
                <w:noProof/>
                <w:webHidden/>
              </w:rPr>
              <w:t>189</w:t>
            </w:r>
            <w:r w:rsidR="00FD72F6">
              <w:rPr>
                <w:noProof/>
                <w:webHidden/>
              </w:rPr>
              <w:fldChar w:fldCharType="end"/>
            </w:r>
          </w:hyperlink>
        </w:p>
        <w:p w14:paraId="228E2225" w14:textId="6070E5BB" w:rsidR="00FD72F6" w:rsidRDefault="00883F21">
          <w:pPr>
            <w:pStyle w:val="TDC2"/>
            <w:tabs>
              <w:tab w:val="right" w:leader="dot" w:pos="8828"/>
            </w:tabs>
            <w:rPr>
              <w:rFonts w:eastAsiaTheme="minorEastAsia"/>
              <w:noProof/>
              <w:lang w:eastAsia="es-CR"/>
            </w:rPr>
          </w:pPr>
          <w:hyperlink w:anchor="_Toc138770887" w:history="1">
            <w:r w:rsidR="00FD72F6" w:rsidRPr="00127E6A">
              <w:rPr>
                <w:rStyle w:val="Hipervnculo"/>
                <w:rFonts w:ascii="Book Antiqua" w:hAnsi="Book Antiqua"/>
                <w:b/>
                <w:noProof/>
              </w:rPr>
              <w:t>A las oficinas encargadas de proyectos operativos</w:t>
            </w:r>
            <w:r w:rsidR="00FD72F6">
              <w:rPr>
                <w:noProof/>
                <w:webHidden/>
              </w:rPr>
              <w:tab/>
            </w:r>
            <w:r w:rsidR="00FD72F6">
              <w:rPr>
                <w:noProof/>
                <w:webHidden/>
              </w:rPr>
              <w:fldChar w:fldCharType="begin"/>
            </w:r>
            <w:r w:rsidR="00FD72F6">
              <w:rPr>
                <w:noProof/>
                <w:webHidden/>
              </w:rPr>
              <w:instrText xml:space="preserve"> PAGEREF _Toc138770887 \h </w:instrText>
            </w:r>
            <w:r w:rsidR="00FD72F6">
              <w:rPr>
                <w:noProof/>
                <w:webHidden/>
              </w:rPr>
            </w:r>
            <w:r w:rsidR="00FD72F6">
              <w:rPr>
                <w:noProof/>
                <w:webHidden/>
              </w:rPr>
              <w:fldChar w:fldCharType="separate"/>
            </w:r>
            <w:r w:rsidR="00F6374E">
              <w:rPr>
                <w:noProof/>
                <w:webHidden/>
              </w:rPr>
              <w:t>189</w:t>
            </w:r>
            <w:r w:rsidR="00FD72F6">
              <w:rPr>
                <w:noProof/>
                <w:webHidden/>
              </w:rPr>
              <w:fldChar w:fldCharType="end"/>
            </w:r>
          </w:hyperlink>
        </w:p>
        <w:p w14:paraId="41C0A49B" w14:textId="7933B22E" w:rsidR="00FD72F6" w:rsidRDefault="00883F21">
          <w:pPr>
            <w:pStyle w:val="TDC2"/>
            <w:tabs>
              <w:tab w:val="right" w:leader="dot" w:pos="8828"/>
            </w:tabs>
            <w:rPr>
              <w:rFonts w:eastAsiaTheme="minorEastAsia"/>
              <w:noProof/>
              <w:lang w:eastAsia="es-CR"/>
            </w:rPr>
          </w:pPr>
          <w:hyperlink w:anchor="_Toc138770888" w:history="1">
            <w:r w:rsidR="00FD72F6" w:rsidRPr="00127E6A">
              <w:rPr>
                <w:rStyle w:val="Hipervnculo"/>
                <w:rFonts w:ascii="Book Antiqua" w:hAnsi="Book Antiqua"/>
                <w:b/>
                <w:bCs/>
                <w:noProof/>
              </w:rPr>
              <w:t>A las oficinas líderes con proyectos estratégicos en etapa de cierre:</w:t>
            </w:r>
            <w:r w:rsidR="00FD72F6">
              <w:rPr>
                <w:noProof/>
                <w:webHidden/>
              </w:rPr>
              <w:tab/>
            </w:r>
            <w:r w:rsidR="00FD72F6">
              <w:rPr>
                <w:noProof/>
                <w:webHidden/>
              </w:rPr>
              <w:fldChar w:fldCharType="begin"/>
            </w:r>
            <w:r w:rsidR="00FD72F6">
              <w:rPr>
                <w:noProof/>
                <w:webHidden/>
              </w:rPr>
              <w:instrText xml:space="preserve"> PAGEREF _Toc138770888 \h </w:instrText>
            </w:r>
            <w:r w:rsidR="00FD72F6">
              <w:rPr>
                <w:noProof/>
                <w:webHidden/>
              </w:rPr>
            </w:r>
            <w:r w:rsidR="00FD72F6">
              <w:rPr>
                <w:noProof/>
                <w:webHidden/>
              </w:rPr>
              <w:fldChar w:fldCharType="separate"/>
            </w:r>
            <w:r w:rsidR="00F6374E">
              <w:rPr>
                <w:noProof/>
                <w:webHidden/>
              </w:rPr>
              <w:t>191</w:t>
            </w:r>
            <w:r w:rsidR="00FD72F6">
              <w:rPr>
                <w:noProof/>
                <w:webHidden/>
              </w:rPr>
              <w:fldChar w:fldCharType="end"/>
            </w:r>
          </w:hyperlink>
        </w:p>
        <w:p w14:paraId="1677ACDF" w14:textId="087EAA88" w:rsidR="00FD72F6" w:rsidRDefault="00883F21">
          <w:pPr>
            <w:pStyle w:val="TDC2"/>
            <w:tabs>
              <w:tab w:val="right" w:leader="dot" w:pos="8828"/>
            </w:tabs>
            <w:rPr>
              <w:rFonts w:eastAsiaTheme="minorEastAsia"/>
              <w:noProof/>
              <w:lang w:eastAsia="es-CR"/>
            </w:rPr>
          </w:pPr>
          <w:hyperlink w:anchor="_Toc138770889" w:history="1">
            <w:r w:rsidR="00FD72F6" w:rsidRPr="00127E6A">
              <w:rPr>
                <w:rStyle w:val="Hipervnculo"/>
                <w:rFonts w:ascii="Book Antiqua" w:hAnsi="Book Antiqua"/>
                <w:b/>
                <w:bCs/>
                <w:noProof/>
              </w:rPr>
              <w:t>A la Dirección de Planificación- Unidad de Portafolio de Proyectos.</w:t>
            </w:r>
            <w:r w:rsidR="00FD72F6">
              <w:rPr>
                <w:noProof/>
                <w:webHidden/>
              </w:rPr>
              <w:tab/>
            </w:r>
            <w:r w:rsidR="00FD72F6">
              <w:rPr>
                <w:noProof/>
                <w:webHidden/>
              </w:rPr>
              <w:fldChar w:fldCharType="begin"/>
            </w:r>
            <w:r w:rsidR="00FD72F6">
              <w:rPr>
                <w:noProof/>
                <w:webHidden/>
              </w:rPr>
              <w:instrText xml:space="preserve"> PAGEREF _Toc138770889 \h </w:instrText>
            </w:r>
            <w:r w:rsidR="00FD72F6">
              <w:rPr>
                <w:noProof/>
                <w:webHidden/>
              </w:rPr>
            </w:r>
            <w:r w:rsidR="00FD72F6">
              <w:rPr>
                <w:noProof/>
                <w:webHidden/>
              </w:rPr>
              <w:fldChar w:fldCharType="separate"/>
            </w:r>
            <w:r w:rsidR="00F6374E">
              <w:rPr>
                <w:noProof/>
                <w:webHidden/>
              </w:rPr>
              <w:t>193</w:t>
            </w:r>
            <w:r w:rsidR="00FD72F6">
              <w:rPr>
                <w:noProof/>
                <w:webHidden/>
              </w:rPr>
              <w:fldChar w:fldCharType="end"/>
            </w:r>
          </w:hyperlink>
        </w:p>
        <w:p w14:paraId="082FA355" w14:textId="6628B65D" w:rsidR="00FD72F6" w:rsidRDefault="00883F21">
          <w:pPr>
            <w:pStyle w:val="TDC2"/>
            <w:tabs>
              <w:tab w:val="right" w:leader="dot" w:pos="8828"/>
            </w:tabs>
            <w:rPr>
              <w:rFonts w:eastAsiaTheme="minorEastAsia"/>
              <w:noProof/>
              <w:lang w:eastAsia="es-CR"/>
            </w:rPr>
          </w:pPr>
          <w:hyperlink w:anchor="_Toc138770890" w:history="1">
            <w:r w:rsidR="00FD72F6" w:rsidRPr="00127E6A">
              <w:rPr>
                <w:rStyle w:val="Hipervnculo"/>
                <w:rFonts w:ascii="Book Antiqua" w:hAnsi="Book Antiqua"/>
                <w:b/>
                <w:bCs/>
                <w:noProof/>
              </w:rPr>
              <w:t>A la Administración de la Ciudad Judicial de San Joaquín de Flores y Dirección Ejecutiva:</w:t>
            </w:r>
            <w:r w:rsidR="00FD72F6">
              <w:rPr>
                <w:noProof/>
                <w:webHidden/>
              </w:rPr>
              <w:tab/>
            </w:r>
            <w:r w:rsidR="00FD72F6">
              <w:rPr>
                <w:noProof/>
                <w:webHidden/>
              </w:rPr>
              <w:fldChar w:fldCharType="begin"/>
            </w:r>
            <w:r w:rsidR="00FD72F6">
              <w:rPr>
                <w:noProof/>
                <w:webHidden/>
              </w:rPr>
              <w:instrText xml:space="preserve"> PAGEREF _Toc138770890 \h </w:instrText>
            </w:r>
            <w:r w:rsidR="00FD72F6">
              <w:rPr>
                <w:noProof/>
                <w:webHidden/>
              </w:rPr>
            </w:r>
            <w:r w:rsidR="00FD72F6">
              <w:rPr>
                <w:noProof/>
                <w:webHidden/>
              </w:rPr>
              <w:fldChar w:fldCharType="separate"/>
            </w:r>
            <w:r w:rsidR="00F6374E">
              <w:rPr>
                <w:noProof/>
                <w:webHidden/>
              </w:rPr>
              <w:t>194</w:t>
            </w:r>
            <w:r w:rsidR="00FD72F6">
              <w:rPr>
                <w:noProof/>
                <w:webHidden/>
              </w:rPr>
              <w:fldChar w:fldCharType="end"/>
            </w:r>
          </w:hyperlink>
        </w:p>
        <w:p w14:paraId="2699AFD3" w14:textId="7F2F9295" w:rsidR="00FD72F6" w:rsidRDefault="00883F21">
          <w:pPr>
            <w:pStyle w:val="TDC2"/>
            <w:tabs>
              <w:tab w:val="right" w:leader="dot" w:pos="8828"/>
            </w:tabs>
            <w:rPr>
              <w:rFonts w:eastAsiaTheme="minorEastAsia"/>
              <w:noProof/>
              <w:lang w:eastAsia="es-CR"/>
            </w:rPr>
          </w:pPr>
          <w:hyperlink w:anchor="_Toc138770891" w:history="1">
            <w:r w:rsidR="00FD72F6" w:rsidRPr="00127E6A">
              <w:rPr>
                <w:rStyle w:val="Hipervnculo"/>
                <w:rFonts w:ascii="Book Antiqua" w:hAnsi="Book Antiqua"/>
                <w:b/>
                <w:bCs/>
                <w:noProof/>
              </w:rPr>
              <w:t>A la Administración de Turrialba y Dirección Ejecutiva:</w:t>
            </w:r>
            <w:r w:rsidR="00FD72F6">
              <w:rPr>
                <w:noProof/>
                <w:webHidden/>
              </w:rPr>
              <w:tab/>
            </w:r>
            <w:r w:rsidR="00FD72F6">
              <w:rPr>
                <w:noProof/>
                <w:webHidden/>
              </w:rPr>
              <w:fldChar w:fldCharType="begin"/>
            </w:r>
            <w:r w:rsidR="00FD72F6">
              <w:rPr>
                <w:noProof/>
                <w:webHidden/>
              </w:rPr>
              <w:instrText xml:space="preserve"> PAGEREF _Toc138770891 \h </w:instrText>
            </w:r>
            <w:r w:rsidR="00FD72F6">
              <w:rPr>
                <w:noProof/>
                <w:webHidden/>
              </w:rPr>
            </w:r>
            <w:r w:rsidR="00FD72F6">
              <w:rPr>
                <w:noProof/>
                <w:webHidden/>
              </w:rPr>
              <w:fldChar w:fldCharType="separate"/>
            </w:r>
            <w:r w:rsidR="00F6374E">
              <w:rPr>
                <w:noProof/>
                <w:webHidden/>
              </w:rPr>
              <w:t>195</w:t>
            </w:r>
            <w:r w:rsidR="00FD72F6">
              <w:rPr>
                <w:noProof/>
                <w:webHidden/>
              </w:rPr>
              <w:fldChar w:fldCharType="end"/>
            </w:r>
          </w:hyperlink>
        </w:p>
        <w:p w14:paraId="70FAF11D" w14:textId="1E067A94" w:rsidR="00FD72F6" w:rsidRDefault="00883F21">
          <w:pPr>
            <w:pStyle w:val="TDC2"/>
            <w:tabs>
              <w:tab w:val="right" w:leader="dot" w:pos="8828"/>
            </w:tabs>
            <w:rPr>
              <w:rFonts w:eastAsiaTheme="minorEastAsia"/>
              <w:noProof/>
              <w:lang w:eastAsia="es-CR"/>
            </w:rPr>
          </w:pPr>
          <w:hyperlink w:anchor="_Toc138770892" w:history="1">
            <w:r w:rsidR="00FD72F6" w:rsidRPr="00127E6A">
              <w:rPr>
                <w:rStyle w:val="Hipervnculo"/>
                <w:rFonts w:ascii="Book Antiqua" w:hAnsi="Book Antiqua"/>
                <w:b/>
                <w:bCs/>
                <w:noProof/>
              </w:rPr>
              <w:t>Al Centro de Información Jurisprudencial</w:t>
            </w:r>
            <w:r w:rsidR="00FD72F6">
              <w:rPr>
                <w:noProof/>
                <w:webHidden/>
              </w:rPr>
              <w:tab/>
            </w:r>
            <w:r w:rsidR="00FD72F6">
              <w:rPr>
                <w:noProof/>
                <w:webHidden/>
              </w:rPr>
              <w:fldChar w:fldCharType="begin"/>
            </w:r>
            <w:r w:rsidR="00FD72F6">
              <w:rPr>
                <w:noProof/>
                <w:webHidden/>
              </w:rPr>
              <w:instrText xml:space="preserve"> PAGEREF _Toc138770892 \h </w:instrText>
            </w:r>
            <w:r w:rsidR="00FD72F6">
              <w:rPr>
                <w:noProof/>
                <w:webHidden/>
              </w:rPr>
            </w:r>
            <w:r w:rsidR="00FD72F6">
              <w:rPr>
                <w:noProof/>
                <w:webHidden/>
              </w:rPr>
              <w:fldChar w:fldCharType="separate"/>
            </w:r>
            <w:r w:rsidR="00F6374E">
              <w:rPr>
                <w:noProof/>
                <w:webHidden/>
              </w:rPr>
              <w:t>195</w:t>
            </w:r>
            <w:r w:rsidR="00FD72F6">
              <w:rPr>
                <w:noProof/>
                <w:webHidden/>
              </w:rPr>
              <w:fldChar w:fldCharType="end"/>
            </w:r>
          </w:hyperlink>
        </w:p>
        <w:p w14:paraId="6600DFF7" w14:textId="05F37BD4" w:rsidR="00FD72F6" w:rsidRDefault="00883F21">
          <w:pPr>
            <w:pStyle w:val="TDC2"/>
            <w:tabs>
              <w:tab w:val="right" w:leader="dot" w:pos="8828"/>
            </w:tabs>
            <w:rPr>
              <w:rFonts w:eastAsiaTheme="minorEastAsia"/>
              <w:noProof/>
              <w:lang w:eastAsia="es-CR"/>
            </w:rPr>
          </w:pPr>
          <w:hyperlink w:anchor="_Toc138770893" w:history="1">
            <w:r w:rsidR="00FD72F6" w:rsidRPr="00127E6A">
              <w:rPr>
                <w:rStyle w:val="Hipervnculo"/>
                <w:rFonts w:ascii="Book Antiqua" w:hAnsi="Book Antiqua"/>
                <w:b/>
                <w:bCs/>
                <w:noProof/>
              </w:rPr>
              <w:t>Al Circuito Judicial Cartago y Dirección Ejecutiva</w:t>
            </w:r>
            <w:r w:rsidR="00FD72F6">
              <w:rPr>
                <w:noProof/>
                <w:webHidden/>
              </w:rPr>
              <w:tab/>
            </w:r>
            <w:r w:rsidR="00FD72F6">
              <w:rPr>
                <w:noProof/>
                <w:webHidden/>
              </w:rPr>
              <w:fldChar w:fldCharType="begin"/>
            </w:r>
            <w:r w:rsidR="00FD72F6">
              <w:rPr>
                <w:noProof/>
                <w:webHidden/>
              </w:rPr>
              <w:instrText xml:space="preserve"> PAGEREF _Toc138770893 \h </w:instrText>
            </w:r>
            <w:r w:rsidR="00FD72F6">
              <w:rPr>
                <w:noProof/>
                <w:webHidden/>
              </w:rPr>
            </w:r>
            <w:r w:rsidR="00FD72F6">
              <w:rPr>
                <w:noProof/>
                <w:webHidden/>
              </w:rPr>
              <w:fldChar w:fldCharType="separate"/>
            </w:r>
            <w:r w:rsidR="00F6374E">
              <w:rPr>
                <w:noProof/>
                <w:webHidden/>
              </w:rPr>
              <w:t>195</w:t>
            </w:r>
            <w:r w:rsidR="00FD72F6">
              <w:rPr>
                <w:noProof/>
                <w:webHidden/>
              </w:rPr>
              <w:fldChar w:fldCharType="end"/>
            </w:r>
          </w:hyperlink>
        </w:p>
        <w:p w14:paraId="4A9CFF71" w14:textId="464E673D" w:rsidR="00FD72F6" w:rsidRDefault="00883F21">
          <w:pPr>
            <w:pStyle w:val="TDC2"/>
            <w:tabs>
              <w:tab w:val="right" w:leader="dot" w:pos="8828"/>
            </w:tabs>
            <w:rPr>
              <w:rFonts w:eastAsiaTheme="minorEastAsia"/>
              <w:noProof/>
              <w:lang w:eastAsia="es-CR"/>
            </w:rPr>
          </w:pPr>
          <w:hyperlink w:anchor="_Toc138770894" w:history="1">
            <w:r w:rsidR="00FD72F6" w:rsidRPr="00127E6A">
              <w:rPr>
                <w:rStyle w:val="Hipervnculo"/>
                <w:rFonts w:ascii="Book Antiqua" w:hAnsi="Book Antiqua"/>
                <w:b/>
                <w:bCs/>
                <w:noProof/>
              </w:rPr>
              <w:t>A la Comisión de la Jurisdicción Agrario y Agroambiental</w:t>
            </w:r>
            <w:r w:rsidR="00FD72F6">
              <w:rPr>
                <w:noProof/>
                <w:webHidden/>
              </w:rPr>
              <w:tab/>
            </w:r>
            <w:r w:rsidR="00FD72F6">
              <w:rPr>
                <w:noProof/>
                <w:webHidden/>
              </w:rPr>
              <w:fldChar w:fldCharType="begin"/>
            </w:r>
            <w:r w:rsidR="00FD72F6">
              <w:rPr>
                <w:noProof/>
                <w:webHidden/>
              </w:rPr>
              <w:instrText xml:space="preserve"> PAGEREF _Toc138770894 \h </w:instrText>
            </w:r>
            <w:r w:rsidR="00FD72F6">
              <w:rPr>
                <w:noProof/>
                <w:webHidden/>
              </w:rPr>
            </w:r>
            <w:r w:rsidR="00FD72F6">
              <w:rPr>
                <w:noProof/>
                <w:webHidden/>
              </w:rPr>
              <w:fldChar w:fldCharType="separate"/>
            </w:r>
            <w:r w:rsidR="00F6374E">
              <w:rPr>
                <w:noProof/>
                <w:webHidden/>
              </w:rPr>
              <w:t>196</w:t>
            </w:r>
            <w:r w:rsidR="00FD72F6">
              <w:rPr>
                <w:noProof/>
                <w:webHidden/>
              </w:rPr>
              <w:fldChar w:fldCharType="end"/>
            </w:r>
          </w:hyperlink>
        </w:p>
        <w:p w14:paraId="04005D6F" w14:textId="26072346" w:rsidR="00FD72F6" w:rsidRDefault="00883F21">
          <w:pPr>
            <w:pStyle w:val="TDC2"/>
            <w:tabs>
              <w:tab w:val="right" w:leader="dot" w:pos="8828"/>
            </w:tabs>
            <w:rPr>
              <w:rFonts w:eastAsiaTheme="minorEastAsia"/>
              <w:noProof/>
              <w:lang w:eastAsia="es-CR"/>
            </w:rPr>
          </w:pPr>
          <w:hyperlink w:anchor="_Toc138770895" w:history="1">
            <w:r w:rsidR="00FD72F6" w:rsidRPr="00127E6A">
              <w:rPr>
                <w:rStyle w:val="Hipervnculo"/>
                <w:rFonts w:ascii="Book Antiqua" w:hAnsi="Book Antiqua"/>
                <w:b/>
                <w:bCs/>
                <w:noProof/>
              </w:rPr>
              <w:t>A la Comisión de Acceso a la Justicia</w:t>
            </w:r>
            <w:r w:rsidR="00FD72F6">
              <w:rPr>
                <w:noProof/>
                <w:webHidden/>
              </w:rPr>
              <w:tab/>
            </w:r>
            <w:r w:rsidR="00FD72F6">
              <w:rPr>
                <w:noProof/>
                <w:webHidden/>
              </w:rPr>
              <w:fldChar w:fldCharType="begin"/>
            </w:r>
            <w:r w:rsidR="00FD72F6">
              <w:rPr>
                <w:noProof/>
                <w:webHidden/>
              </w:rPr>
              <w:instrText xml:space="preserve"> PAGEREF _Toc138770895 \h </w:instrText>
            </w:r>
            <w:r w:rsidR="00FD72F6">
              <w:rPr>
                <w:noProof/>
                <w:webHidden/>
              </w:rPr>
            </w:r>
            <w:r w:rsidR="00FD72F6">
              <w:rPr>
                <w:noProof/>
                <w:webHidden/>
              </w:rPr>
              <w:fldChar w:fldCharType="separate"/>
            </w:r>
            <w:r w:rsidR="00F6374E">
              <w:rPr>
                <w:noProof/>
                <w:webHidden/>
              </w:rPr>
              <w:t>198</w:t>
            </w:r>
            <w:r w:rsidR="00FD72F6">
              <w:rPr>
                <w:noProof/>
                <w:webHidden/>
              </w:rPr>
              <w:fldChar w:fldCharType="end"/>
            </w:r>
          </w:hyperlink>
        </w:p>
        <w:p w14:paraId="1D0D1476" w14:textId="26354704" w:rsidR="00FD72F6" w:rsidRDefault="00883F21">
          <w:pPr>
            <w:pStyle w:val="TDC2"/>
            <w:tabs>
              <w:tab w:val="right" w:leader="dot" w:pos="8828"/>
            </w:tabs>
            <w:rPr>
              <w:rFonts w:eastAsiaTheme="minorEastAsia"/>
              <w:noProof/>
              <w:lang w:eastAsia="es-CR"/>
            </w:rPr>
          </w:pPr>
          <w:hyperlink w:anchor="_Toc138770896" w:history="1">
            <w:r w:rsidR="00FD72F6" w:rsidRPr="00127E6A">
              <w:rPr>
                <w:rStyle w:val="Hipervnculo"/>
                <w:rFonts w:ascii="Book Antiqua" w:hAnsi="Book Antiqua"/>
                <w:b/>
                <w:bCs/>
                <w:noProof/>
              </w:rPr>
              <w:t>Al Despacho de la Presidencia</w:t>
            </w:r>
            <w:r w:rsidR="00FD72F6">
              <w:rPr>
                <w:noProof/>
                <w:webHidden/>
              </w:rPr>
              <w:tab/>
            </w:r>
            <w:r w:rsidR="00FD72F6">
              <w:rPr>
                <w:noProof/>
                <w:webHidden/>
              </w:rPr>
              <w:fldChar w:fldCharType="begin"/>
            </w:r>
            <w:r w:rsidR="00FD72F6">
              <w:rPr>
                <w:noProof/>
                <w:webHidden/>
              </w:rPr>
              <w:instrText xml:space="preserve"> PAGEREF _Toc138770896 \h </w:instrText>
            </w:r>
            <w:r w:rsidR="00FD72F6">
              <w:rPr>
                <w:noProof/>
                <w:webHidden/>
              </w:rPr>
            </w:r>
            <w:r w:rsidR="00FD72F6">
              <w:rPr>
                <w:noProof/>
                <w:webHidden/>
              </w:rPr>
              <w:fldChar w:fldCharType="separate"/>
            </w:r>
            <w:r w:rsidR="00F6374E">
              <w:rPr>
                <w:noProof/>
                <w:webHidden/>
              </w:rPr>
              <w:t>198</w:t>
            </w:r>
            <w:r w:rsidR="00FD72F6">
              <w:rPr>
                <w:noProof/>
                <w:webHidden/>
              </w:rPr>
              <w:fldChar w:fldCharType="end"/>
            </w:r>
          </w:hyperlink>
        </w:p>
        <w:p w14:paraId="19D6C1FE" w14:textId="3B891DB6" w:rsidR="00FD72F6" w:rsidRDefault="00883F21">
          <w:pPr>
            <w:pStyle w:val="TDC2"/>
            <w:tabs>
              <w:tab w:val="right" w:leader="dot" w:pos="8828"/>
            </w:tabs>
            <w:rPr>
              <w:rFonts w:eastAsiaTheme="minorEastAsia"/>
              <w:noProof/>
              <w:lang w:eastAsia="es-CR"/>
            </w:rPr>
          </w:pPr>
          <w:hyperlink w:anchor="_Toc138770897" w:history="1">
            <w:r w:rsidR="00FD72F6" w:rsidRPr="00127E6A">
              <w:rPr>
                <w:rStyle w:val="Hipervnculo"/>
                <w:rFonts w:ascii="Book Antiqua" w:hAnsi="Book Antiqua"/>
                <w:b/>
                <w:bCs/>
                <w:noProof/>
              </w:rPr>
              <w:t>A la Dirección de Tecnología de Información y Comunicaciones</w:t>
            </w:r>
            <w:r w:rsidR="00FD72F6">
              <w:rPr>
                <w:noProof/>
                <w:webHidden/>
              </w:rPr>
              <w:tab/>
            </w:r>
            <w:r w:rsidR="00FD72F6">
              <w:rPr>
                <w:noProof/>
                <w:webHidden/>
              </w:rPr>
              <w:fldChar w:fldCharType="begin"/>
            </w:r>
            <w:r w:rsidR="00FD72F6">
              <w:rPr>
                <w:noProof/>
                <w:webHidden/>
              </w:rPr>
              <w:instrText xml:space="preserve"> PAGEREF _Toc138770897 \h </w:instrText>
            </w:r>
            <w:r w:rsidR="00FD72F6">
              <w:rPr>
                <w:noProof/>
                <w:webHidden/>
              </w:rPr>
            </w:r>
            <w:r w:rsidR="00FD72F6">
              <w:rPr>
                <w:noProof/>
                <w:webHidden/>
              </w:rPr>
              <w:fldChar w:fldCharType="separate"/>
            </w:r>
            <w:r w:rsidR="00F6374E">
              <w:rPr>
                <w:noProof/>
                <w:webHidden/>
              </w:rPr>
              <w:t>205</w:t>
            </w:r>
            <w:r w:rsidR="00FD72F6">
              <w:rPr>
                <w:noProof/>
                <w:webHidden/>
              </w:rPr>
              <w:fldChar w:fldCharType="end"/>
            </w:r>
          </w:hyperlink>
        </w:p>
        <w:p w14:paraId="5EDCFFEB" w14:textId="0B1EBD48" w:rsidR="00FD72F6" w:rsidRDefault="00883F21">
          <w:pPr>
            <w:pStyle w:val="TDC2"/>
            <w:tabs>
              <w:tab w:val="right" w:leader="dot" w:pos="8828"/>
            </w:tabs>
            <w:rPr>
              <w:rFonts w:eastAsiaTheme="minorEastAsia"/>
              <w:noProof/>
              <w:lang w:eastAsia="es-CR"/>
            </w:rPr>
          </w:pPr>
          <w:hyperlink w:anchor="_Toc138770898" w:history="1">
            <w:r w:rsidR="00FD72F6" w:rsidRPr="00127E6A">
              <w:rPr>
                <w:rStyle w:val="Hipervnculo"/>
                <w:rFonts w:ascii="Book Antiqua" w:hAnsi="Book Antiqua"/>
                <w:b/>
                <w:bCs/>
                <w:noProof/>
              </w:rPr>
              <w:t>A la Dirección Ejecutiva</w:t>
            </w:r>
            <w:r w:rsidR="00FD72F6">
              <w:rPr>
                <w:noProof/>
                <w:webHidden/>
              </w:rPr>
              <w:tab/>
            </w:r>
            <w:r w:rsidR="00FD72F6">
              <w:rPr>
                <w:noProof/>
                <w:webHidden/>
              </w:rPr>
              <w:fldChar w:fldCharType="begin"/>
            </w:r>
            <w:r w:rsidR="00FD72F6">
              <w:rPr>
                <w:noProof/>
                <w:webHidden/>
              </w:rPr>
              <w:instrText xml:space="preserve"> PAGEREF _Toc138770898 \h </w:instrText>
            </w:r>
            <w:r w:rsidR="00FD72F6">
              <w:rPr>
                <w:noProof/>
                <w:webHidden/>
              </w:rPr>
            </w:r>
            <w:r w:rsidR="00FD72F6">
              <w:rPr>
                <w:noProof/>
                <w:webHidden/>
              </w:rPr>
              <w:fldChar w:fldCharType="separate"/>
            </w:r>
            <w:r w:rsidR="00F6374E">
              <w:rPr>
                <w:noProof/>
                <w:webHidden/>
              </w:rPr>
              <w:t>207</w:t>
            </w:r>
            <w:r w:rsidR="00FD72F6">
              <w:rPr>
                <w:noProof/>
                <w:webHidden/>
              </w:rPr>
              <w:fldChar w:fldCharType="end"/>
            </w:r>
          </w:hyperlink>
        </w:p>
        <w:p w14:paraId="5F52C19F" w14:textId="5E2EEECC" w:rsidR="00FD72F6" w:rsidRDefault="00883F21">
          <w:pPr>
            <w:pStyle w:val="TDC2"/>
            <w:tabs>
              <w:tab w:val="right" w:leader="dot" w:pos="8828"/>
            </w:tabs>
            <w:rPr>
              <w:rFonts w:eastAsiaTheme="minorEastAsia"/>
              <w:noProof/>
              <w:lang w:eastAsia="es-CR"/>
            </w:rPr>
          </w:pPr>
          <w:hyperlink w:anchor="_Toc138770899" w:history="1">
            <w:r w:rsidR="00FD72F6" w:rsidRPr="00127E6A">
              <w:rPr>
                <w:rStyle w:val="Hipervnculo"/>
                <w:rFonts w:ascii="Book Antiqua" w:hAnsi="Book Antiqua"/>
                <w:b/>
                <w:bCs/>
                <w:noProof/>
              </w:rPr>
              <w:t>A la Dirección Gestión Humana.</w:t>
            </w:r>
            <w:r w:rsidR="00FD72F6">
              <w:rPr>
                <w:noProof/>
                <w:webHidden/>
              </w:rPr>
              <w:tab/>
            </w:r>
            <w:r w:rsidR="00FD72F6">
              <w:rPr>
                <w:noProof/>
                <w:webHidden/>
              </w:rPr>
              <w:fldChar w:fldCharType="begin"/>
            </w:r>
            <w:r w:rsidR="00FD72F6">
              <w:rPr>
                <w:noProof/>
                <w:webHidden/>
              </w:rPr>
              <w:instrText xml:space="preserve"> PAGEREF _Toc138770899 \h </w:instrText>
            </w:r>
            <w:r w:rsidR="00FD72F6">
              <w:rPr>
                <w:noProof/>
                <w:webHidden/>
              </w:rPr>
            </w:r>
            <w:r w:rsidR="00FD72F6">
              <w:rPr>
                <w:noProof/>
                <w:webHidden/>
              </w:rPr>
              <w:fldChar w:fldCharType="separate"/>
            </w:r>
            <w:r w:rsidR="00F6374E">
              <w:rPr>
                <w:noProof/>
                <w:webHidden/>
              </w:rPr>
              <w:t>212</w:t>
            </w:r>
            <w:r w:rsidR="00FD72F6">
              <w:rPr>
                <w:noProof/>
                <w:webHidden/>
              </w:rPr>
              <w:fldChar w:fldCharType="end"/>
            </w:r>
          </w:hyperlink>
        </w:p>
        <w:p w14:paraId="04DAD625" w14:textId="1B5E7FCA" w:rsidR="00FD72F6" w:rsidRDefault="00883F21">
          <w:pPr>
            <w:pStyle w:val="TDC2"/>
            <w:tabs>
              <w:tab w:val="right" w:leader="dot" w:pos="8828"/>
            </w:tabs>
            <w:rPr>
              <w:rFonts w:eastAsiaTheme="minorEastAsia"/>
              <w:noProof/>
              <w:lang w:eastAsia="es-CR"/>
            </w:rPr>
          </w:pPr>
          <w:hyperlink w:anchor="_Toc138770900" w:history="1">
            <w:r w:rsidR="00FD72F6" w:rsidRPr="00127E6A">
              <w:rPr>
                <w:rStyle w:val="Hipervnculo"/>
                <w:rFonts w:ascii="Book Antiqua" w:hAnsi="Book Antiqua"/>
                <w:b/>
                <w:bCs/>
                <w:noProof/>
              </w:rPr>
              <w:t>A la Escuela Judicial</w:t>
            </w:r>
            <w:r w:rsidR="00FD72F6">
              <w:rPr>
                <w:noProof/>
                <w:webHidden/>
              </w:rPr>
              <w:tab/>
            </w:r>
            <w:r w:rsidR="00FD72F6">
              <w:rPr>
                <w:noProof/>
                <w:webHidden/>
              </w:rPr>
              <w:fldChar w:fldCharType="begin"/>
            </w:r>
            <w:r w:rsidR="00FD72F6">
              <w:rPr>
                <w:noProof/>
                <w:webHidden/>
              </w:rPr>
              <w:instrText xml:space="preserve"> PAGEREF _Toc138770900 \h </w:instrText>
            </w:r>
            <w:r w:rsidR="00FD72F6">
              <w:rPr>
                <w:noProof/>
                <w:webHidden/>
              </w:rPr>
            </w:r>
            <w:r w:rsidR="00FD72F6">
              <w:rPr>
                <w:noProof/>
                <w:webHidden/>
              </w:rPr>
              <w:fldChar w:fldCharType="separate"/>
            </w:r>
            <w:r w:rsidR="00F6374E">
              <w:rPr>
                <w:noProof/>
                <w:webHidden/>
              </w:rPr>
              <w:t>216</w:t>
            </w:r>
            <w:r w:rsidR="00FD72F6">
              <w:rPr>
                <w:noProof/>
                <w:webHidden/>
              </w:rPr>
              <w:fldChar w:fldCharType="end"/>
            </w:r>
          </w:hyperlink>
        </w:p>
        <w:p w14:paraId="5A55F3B3" w14:textId="5F79F6F8" w:rsidR="00FD72F6" w:rsidRDefault="00883F21">
          <w:pPr>
            <w:pStyle w:val="TDC2"/>
            <w:tabs>
              <w:tab w:val="right" w:leader="dot" w:pos="8828"/>
            </w:tabs>
            <w:rPr>
              <w:rFonts w:eastAsiaTheme="minorEastAsia"/>
              <w:noProof/>
              <w:lang w:eastAsia="es-CR"/>
            </w:rPr>
          </w:pPr>
          <w:hyperlink w:anchor="_Toc138770901" w:history="1">
            <w:r w:rsidR="00FD72F6" w:rsidRPr="00127E6A">
              <w:rPr>
                <w:rStyle w:val="Hipervnculo"/>
                <w:rFonts w:ascii="Book Antiqua" w:hAnsi="Book Antiqua"/>
                <w:b/>
                <w:bCs/>
                <w:noProof/>
              </w:rPr>
              <w:t>A la Inspección Judicial</w:t>
            </w:r>
            <w:r w:rsidR="00FD72F6">
              <w:rPr>
                <w:noProof/>
                <w:webHidden/>
              </w:rPr>
              <w:tab/>
            </w:r>
            <w:r w:rsidR="00FD72F6">
              <w:rPr>
                <w:noProof/>
                <w:webHidden/>
              </w:rPr>
              <w:fldChar w:fldCharType="begin"/>
            </w:r>
            <w:r w:rsidR="00FD72F6">
              <w:rPr>
                <w:noProof/>
                <w:webHidden/>
              </w:rPr>
              <w:instrText xml:space="preserve"> PAGEREF _Toc138770901 \h </w:instrText>
            </w:r>
            <w:r w:rsidR="00FD72F6">
              <w:rPr>
                <w:noProof/>
                <w:webHidden/>
              </w:rPr>
            </w:r>
            <w:r w:rsidR="00FD72F6">
              <w:rPr>
                <w:noProof/>
                <w:webHidden/>
              </w:rPr>
              <w:fldChar w:fldCharType="separate"/>
            </w:r>
            <w:r w:rsidR="00F6374E">
              <w:rPr>
                <w:noProof/>
                <w:webHidden/>
              </w:rPr>
              <w:t>216</w:t>
            </w:r>
            <w:r w:rsidR="00FD72F6">
              <w:rPr>
                <w:noProof/>
                <w:webHidden/>
              </w:rPr>
              <w:fldChar w:fldCharType="end"/>
            </w:r>
          </w:hyperlink>
        </w:p>
        <w:p w14:paraId="2E7304F4" w14:textId="74841B9D" w:rsidR="00FD72F6" w:rsidRDefault="00883F21">
          <w:pPr>
            <w:pStyle w:val="TDC2"/>
            <w:tabs>
              <w:tab w:val="right" w:leader="dot" w:pos="8828"/>
            </w:tabs>
            <w:rPr>
              <w:rFonts w:eastAsiaTheme="minorEastAsia"/>
              <w:noProof/>
              <w:lang w:eastAsia="es-CR"/>
            </w:rPr>
          </w:pPr>
          <w:hyperlink w:anchor="_Toc138770902" w:history="1">
            <w:r w:rsidR="00FD72F6" w:rsidRPr="00127E6A">
              <w:rPr>
                <w:rStyle w:val="Hipervnculo"/>
                <w:rFonts w:ascii="Book Antiqua" w:hAnsi="Book Antiqua"/>
                <w:b/>
                <w:bCs/>
                <w:noProof/>
              </w:rPr>
              <w:t>A la Ministerio Público</w:t>
            </w:r>
            <w:r w:rsidR="00FD72F6">
              <w:rPr>
                <w:noProof/>
                <w:webHidden/>
              </w:rPr>
              <w:tab/>
            </w:r>
            <w:r w:rsidR="00FD72F6">
              <w:rPr>
                <w:noProof/>
                <w:webHidden/>
              </w:rPr>
              <w:fldChar w:fldCharType="begin"/>
            </w:r>
            <w:r w:rsidR="00FD72F6">
              <w:rPr>
                <w:noProof/>
                <w:webHidden/>
              </w:rPr>
              <w:instrText xml:space="preserve"> PAGEREF _Toc138770902 \h </w:instrText>
            </w:r>
            <w:r w:rsidR="00FD72F6">
              <w:rPr>
                <w:noProof/>
                <w:webHidden/>
              </w:rPr>
            </w:r>
            <w:r w:rsidR="00FD72F6">
              <w:rPr>
                <w:noProof/>
                <w:webHidden/>
              </w:rPr>
              <w:fldChar w:fldCharType="separate"/>
            </w:r>
            <w:r w:rsidR="00F6374E">
              <w:rPr>
                <w:noProof/>
                <w:webHidden/>
              </w:rPr>
              <w:t>217</w:t>
            </w:r>
            <w:r w:rsidR="00FD72F6">
              <w:rPr>
                <w:noProof/>
                <w:webHidden/>
              </w:rPr>
              <w:fldChar w:fldCharType="end"/>
            </w:r>
          </w:hyperlink>
        </w:p>
        <w:p w14:paraId="0D91BFD6" w14:textId="0AB4436E" w:rsidR="00FD72F6" w:rsidRDefault="00883F21">
          <w:pPr>
            <w:pStyle w:val="TDC2"/>
            <w:tabs>
              <w:tab w:val="right" w:leader="dot" w:pos="8828"/>
            </w:tabs>
            <w:rPr>
              <w:rFonts w:eastAsiaTheme="minorEastAsia"/>
              <w:noProof/>
              <w:lang w:eastAsia="es-CR"/>
            </w:rPr>
          </w:pPr>
          <w:hyperlink w:anchor="_Toc138770903" w:history="1">
            <w:r w:rsidR="00FD72F6" w:rsidRPr="00127E6A">
              <w:rPr>
                <w:rStyle w:val="Hipervnculo"/>
                <w:rFonts w:ascii="Book Antiqua" w:hAnsi="Book Antiqua"/>
                <w:b/>
                <w:bCs/>
                <w:noProof/>
              </w:rPr>
              <w:t>A la Oficina de Control Interno</w:t>
            </w:r>
            <w:r w:rsidR="00FD72F6">
              <w:rPr>
                <w:noProof/>
                <w:webHidden/>
              </w:rPr>
              <w:tab/>
            </w:r>
            <w:r w:rsidR="00FD72F6">
              <w:rPr>
                <w:noProof/>
                <w:webHidden/>
              </w:rPr>
              <w:fldChar w:fldCharType="begin"/>
            </w:r>
            <w:r w:rsidR="00FD72F6">
              <w:rPr>
                <w:noProof/>
                <w:webHidden/>
              </w:rPr>
              <w:instrText xml:space="preserve"> PAGEREF _Toc138770903 \h </w:instrText>
            </w:r>
            <w:r w:rsidR="00FD72F6">
              <w:rPr>
                <w:noProof/>
                <w:webHidden/>
              </w:rPr>
            </w:r>
            <w:r w:rsidR="00FD72F6">
              <w:rPr>
                <w:noProof/>
                <w:webHidden/>
              </w:rPr>
              <w:fldChar w:fldCharType="separate"/>
            </w:r>
            <w:r w:rsidR="00F6374E">
              <w:rPr>
                <w:noProof/>
                <w:webHidden/>
              </w:rPr>
              <w:t>218</w:t>
            </w:r>
            <w:r w:rsidR="00FD72F6">
              <w:rPr>
                <w:noProof/>
                <w:webHidden/>
              </w:rPr>
              <w:fldChar w:fldCharType="end"/>
            </w:r>
          </w:hyperlink>
        </w:p>
        <w:p w14:paraId="2B793B40" w14:textId="440A645A" w:rsidR="00FD72F6" w:rsidRDefault="00883F21">
          <w:pPr>
            <w:pStyle w:val="TDC2"/>
            <w:tabs>
              <w:tab w:val="right" w:leader="dot" w:pos="8828"/>
            </w:tabs>
            <w:rPr>
              <w:rFonts w:eastAsiaTheme="minorEastAsia"/>
              <w:noProof/>
              <w:lang w:eastAsia="es-CR"/>
            </w:rPr>
          </w:pPr>
          <w:hyperlink w:anchor="_Toc138770904" w:history="1">
            <w:r w:rsidR="00FD72F6" w:rsidRPr="00127E6A">
              <w:rPr>
                <w:rStyle w:val="Hipervnculo"/>
                <w:rFonts w:ascii="Book Antiqua" w:hAnsi="Book Antiqua"/>
                <w:b/>
                <w:bCs/>
                <w:noProof/>
              </w:rPr>
              <w:t>A la Oficina de Cumplimiento</w:t>
            </w:r>
            <w:r w:rsidR="00FD72F6">
              <w:rPr>
                <w:noProof/>
                <w:webHidden/>
              </w:rPr>
              <w:tab/>
            </w:r>
            <w:r w:rsidR="00FD72F6">
              <w:rPr>
                <w:noProof/>
                <w:webHidden/>
              </w:rPr>
              <w:fldChar w:fldCharType="begin"/>
            </w:r>
            <w:r w:rsidR="00FD72F6">
              <w:rPr>
                <w:noProof/>
                <w:webHidden/>
              </w:rPr>
              <w:instrText xml:space="preserve"> PAGEREF _Toc138770904 \h </w:instrText>
            </w:r>
            <w:r w:rsidR="00FD72F6">
              <w:rPr>
                <w:noProof/>
                <w:webHidden/>
              </w:rPr>
            </w:r>
            <w:r w:rsidR="00FD72F6">
              <w:rPr>
                <w:noProof/>
                <w:webHidden/>
              </w:rPr>
              <w:fldChar w:fldCharType="separate"/>
            </w:r>
            <w:r w:rsidR="00F6374E">
              <w:rPr>
                <w:noProof/>
                <w:webHidden/>
              </w:rPr>
              <w:t>218</w:t>
            </w:r>
            <w:r w:rsidR="00FD72F6">
              <w:rPr>
                <w:noProof/>
                <w:webHidden/>
              </w:rPr>
              <w:fldChar w:fldCharType="end"/>
            </w:r>
          </w:hyperlink>
        </w:p>
        <w:p w14:paraId="64E2DD2A" w14:textId="0E7C1214" w:rsidR="00FD72F6" w:rsidRDefault="00883F21">
          <w:pPr>
            <w:pStyle w:val="TDC2"/>
            <w:tabs>
              <w:tab w:val="right" w:leader="dot" w:pos="8828"/>
            </w:tabs>
            <w:rPr>
              <w:rFonts w:eastAsiaTheme="minorEastAsia"/>
              <w:noProof/>
              <w:lang w:eastAsia="es-CR"/>
            </w:rPr>
          </w:pPr>
          <w:hyperlink w:anchor="_Toc138770905" w:history="1">
            <w:r w:rsidR="00FD72F6" w:rsidRPr="00127E6A">
              <w:rPr>
                <w:rStyle w:val="Hipervnculo"/>
                <w:rFonts w:ascii="Book Antiqua" w:hAnsi="Book Antiqua"/>
                <w:b/>
                <w:bCs/>
                <w:noProof/>
              </w:rPr>
              <w:t>Al Organismo de Investigación Judicial</w:t>
            </w:r>
            <w:r w:rsidR="00FD72F6">
              <w:rPr>
                <w:noProof/>
                <w:webHidden/>
              </w:rPr>
              <w:tab/>
            </w:r>
            <w:r w:rsidR="00FD72F6">
              <w:rPr>
                <w:noProof/>
                <w:webHidden/>
              </w:rPr>
              <w:fldChar w:fldCharType="begin"/>
            </w:r>
            <w:r w:rsidR="00FD72F6">
              <w:rPr>
                <w:noProof/>
                <w:webHidden/>
              </w:rPr>
              <w:instrText xml:space="preserve"> PAGEREF _Toc138770905 \h </w:instrText>
            </w:r>
            <w:r w:rsidR="00FD72F6">
              <w:rPr>
                <w:noProof/>
                <w:webHidden/>
              </w:rPr>
            </w:r>
            <w:r w:rsidR="00FD72F6">
              <w:rPr>
                <w:noProof/>
                <w:webHidden/>
              </w:rPr>
              <w:fldChar w:fldCharType="separate"/>
            </w:r>
            <w:r w:rsidR="00F6374E">
              <w:rPr>
                <w:noProof/>
                <w:webHidden/>
              </w:rPr>
              <w:t>218</w:t>
            </w:r>
            <w:r w:rsidR="00FD72F6">
              <w:rPr>
                <w:noProof/>
                <w:webHidden/>
              </w:rPr>
              <w:fldChar w:fldCharType="end"/>
            </w:r>
          </w:hyperlink>
        </w:p>
        <w:p w14:paraId="6E4B8912" w14:textId="29C3C4CB" w:rsidR="00FD72F6" w:rsidRDefault="00883F21">
          <w:pPr>
            <w:pStyle w:val="TDC2"/>
            <w:tabs>
              <w:tab w:val="right" w:leader="dot" w:pos="8828"/>
            </w:tabs>
            <w:rPr>
              <w:rFonts w:eastAsiaTheme="minorEastAsia"/>
              <w:noProof/>
              <w:lang w:eastAsia="es-CR"/>
            </w:rPr>
          </w:pPr>
          <w:hyperlink w:anchor="_Toc138770906" w:history="1">
            <w:r w:rsidR="00FD72F6" w:rsidRPr="00127E6A">
              <w:rPr>
                <w:rStyle w:val="Hipervnculo"/>
                <w:rFonts w:ascii="Book Antiqua" w:hAnsi="Book Antiqua"/>
                <w:b/>
                <w:bCs/>
                <w:noProof/>
              </w:rPr>
              <w:t>Al Primer Circuito Judicial Zona Sur y Dirección Ejecutiva</w:t>
            </w:r>
            <w:r w:rsidR="00FD72F6">
              <w:rPr>
                <w:noProof/>
                <w:webHidden/>
              </w:rPr>
              <w:tab/>
            </w:r>
            <w:r w:rsidR="00FD72F6">
              <w:rPr>
                <w:noProof/>
                <w:webHidden/>
              </w:rPr>
              <w:fldChar w:fldCharType="begin"/>
            </w:r>
            <w:r w:rsidR="00FD72F6">
              <w:rPr>
                <w:noProof/>
                <w:webHidden/>
              </w:rPr>
              <w:instrText xml:space="preserve"> PAGEREF _Toc138770906 \h </w:instrText>
            </w:r>
            <w:r w:rsidR="00FD72F6">
              <w:rPr>
                <w:noProof/>
                <w:webHidden/>
              </w:rPr>
            </w:r>
            <w:r w:rsidR="00FD72F6">
              <w:rPr>
                <w:noProof/>
                <w:webHidden/>
              </w:rPr>
              <w:fldChar w:fldCharType="separate"/>
            </w:r>
            <w:r w:rsidR="00F6374E">
              <w:rPr>
                <w:noProof/>
                <w:webHidden/>
              </w:rPr>
              <w:t>221</w:t>
            </w:r>
            <w:r w:rsidR="00FD72F6">
              <w:rPr>
                <w:noProof/>
                <w:webHidden/>
              </w:rPr>
              <w:fldChar w:fldCharType="end"/>
            </w:r>
          </w:hyperlink>
        </w:p>
        <w:p w14:paraId="62D65832" w14:textId="72C4B535" w:rsidR="00FD72F6" w:rsidRDefault="00883F21">
          <w:pPr>
            <w:pStyle w:val="TDC2"/>
            <w:tabs>
              <w:tab w:val="right" w:leader="dot" w:pos="8828"/>
            </w:tabs>
            <w:rPr>
              <w:rFonts w:eastAsiaTheme="minorEastAsia"/>
              <w:noProof/>
              <w:lang w:eastAsia="es-CR"/>
            </w:rPr>
          </w:pPr>
          <w:hyperlink w:anchor="_Toc138770907" w:history="1">
            <w:r w:rsidR="00FD72F6" w:rsidRPr="00127E6A">
              <w:rPr>
                <w:rStyle w:val="Hipervnculo"/>
                <w:rFonts w:ascii="Book Antiqua" w:hAnsi="Book Antiqua"/>
                <w:b/>
                <w:bCs/>
                <w:noProof/>
              </w:rPr>
              <w:t>Al Programa Justicia Restaurativa</w:t>
            </w:r>
            <w:r w:rsidR="00FD72F6">
              <w:rPr>
                <w:noProof/>
                <w:webHidden/>
              </w:rPr>
              <w:tab/>
            </w:r>
            <w:r w:rsidR="00FD72F6">
              <w:rPr>
                <w:noProof/>
                <w:webHidden/>
              </w:rPr>
              <w:fldChar w:fldCharType="begin"/>
            </w:r>
            <w:r w:rsidR="00FD72F6">
              <w:rPr>
                <w:noProof/>
                <w:webHidden/>
              </w:rPr>
              <w:instrText xml:space="preserve"> PAGEREF _Toc138770907 \h </w:instrText>
            </w:r>
            <w:r w:rsidR="00FD72F6">
              <w:rPr>
                <w:noProof/>
                <w:webHidden/>
              </w:rPr>
            </w:r>
            <w:r w:rsidR="00FD72F6">
              <w:rPr>
                <w:noProof/>
                <w:webHidden/>
              </w:rPr>
              <w:fldChar w:fldCharType="separate"/>
            </w:r>
            <w:r w:rsidR="00F6374E">
              <w:rPr>
                <w:noProof/>
                <w:webHidden/>
              </w:rPr>
              <w:t>222</w:t>
            </w:r>
            <w:r w:rsidR="00FD72F6">
              <w:rPr>
                <w:noProof/>
                <w:webHidden/>
              </w:rPr>
              <w:fldChar w:fldCharType="end"/>
            </w:r>
          </w:hyperlink>
        </w:p>
        <w:p w14:paraId="54025C4A" w14:textId="6C7F3C40" w:rsidR="00FD72F6" w:rsidRDefault="00883F21">
          <w:pPr>
            <w:pStyle w:val="TDC2"/>
            <w:tabs>
              <w:tab w:val="right" w:leader="dot" w:pos="8828"/>
            </w:tabs>
            <w:rPr>
              <w:rFonts w:eastAsiaTheme="minorEastAsia"/>
              <w:noProof/>
              <w:lang w:eastAsia="es-CR"/>
            </w:rPr>
          </w:pPr>
          <w:hyperlink w:anchor="_Toc138770908" w:history="1">
            <w:r w:rsidR="00FD72F6" w:rsidRPr="00127E6A">
              <w:rPr>
                <w:rStyle w:val="Hipervnculo"/>
                <w:rFonts w:ascii="Book Antiqua" w:hAnsi="Book Antiqua"/>
                <w:b/>
                <w:bCs/>
                <w:noProof/>
              </w:rPr>
              <w:t>Al Segundo Circuito Judicial Zona Sur y Dirección Ejecutiva</w:t>
            </w:r>
            <w:r w:rsidR="00FD72F6">
              <w:rPr>
                <w:noProof/>
                <w:webHidden/>
              </w:rPr>
              <w:tab/>
            </w:r>
            <w:r w:rsidR="00FD72F6">
              <w:rPr>
                <w:noProof/>
                <w:webHidden/>
              </w:rPr>
              <w:fldChar w:fldCharType="begin"/>
            </w:r>
            <w:r w:rsidR="00FD72F6">
              <w:rPr>
                <w:noProof/>
                <w:webHidden/>
              </w:rPr>
              <w:instrText xml:space="preserve"> PAGEREF _Toc138770908 \h </w:instrText>
            </w:r>
            <w:r w:rsidR="00FD72F6">
              <w:rPr>
                <w:noProof/>
                <w:webHidden/>
              </w:rPr>
            </w:r>
            <w:r w:rsidR="00FD72F6">
              <w:rPr>
                <w:noProof/>
                <w:webHidden/>
              </w:rPr>
              <w:fldChar w:fldCharType="separate"/>
            </w:r>
            <w:r w:rsidR="00F6374E">
              <w:rPr>
                <w:noProof/>
                <w:webHidden/>
              </w:rPr>
              <w:t>222</w:t>
            </w:r>
            <w:r w:rsidR="00FD72F6">
              <w:rPr>
                <w:noProof/>
                <w:webHidden/>
              </w:rPr>
              <w:fldChar w:fldCharType="end"/>
            </w:r>
          </w:hyperlink>
        </w:p>
        <w:p w14:paraId="799B72D3" w14:textId="2B7CDE1A" w:rsidR="00FD72F6" w:rsidRDefault="00883F21">
          <w:pPr>
            <w:pStyle w:val="TDC2"/>
            <w:tabs>
              <w:tab w:val="right" w:leader="dot" w:pos="8828"/>
            </w:tabs>
            <w:rPr>
              <w:rFonts w:eastAsiaTheme="minorEastAsia"/>
              <w:noProof/>
              <w:lang w:eastAsia="es-CR"/>
            </w:rPr>
          </w:pPr>
          <w:hyperlink w:anchor="_Toc138770909" w:history="1">
            <w:r w:rsidR="00FD72F6" w:rsidRPr="00127E6A">
              <w:rPr>
                <w:rStyle w:val="Hipervnculo"/>
                <w:rFonts w:ascii="Book Antiqua" w:hAnsi="Book Antiqua"/>
                <w:b/>
                <w:bCs/>
                <w:noProof/>
              </w:rPr>
              <w:t>A la  Dirección de Planificación</w:t>
            </w:r>
            <w:r w:rsidR="00FD72F6">
              <w:rPr>
                <w:noProof/>
                <w:webHidden/>
              </w:rPr>
              <w:tab/>
            </w:r>
            <w:r w:rsidR="00FD72F6">
              <w:rPr>
                <w:noProof/>
                <w:webHidden/>
              </w:rPr>
              <w:fldChar w:fldCharType="begin"/>
            </w:r>
            <w:r w:rsidR="00FD72F6">
              <w:rPr>
                <w:noProof/>
                <w:webHidden/>
              </w:rPr>
              <w:instrText xml:space="preserve"> PAGEREF _Toc138770909 \h </w:instrText>
            </w:r>
            <w:r w:rsidR="00FD72F6">
              <w:rPr>
                <w:noProof/>
                <w:webHidden/>
              </w:rPr>
            </w:r>
            <w:r w:rsidR="00FD72F6">
              <w:rPr>
                <w:noProof/>
                <w:webHidden/>
              </w:rPr>
              <w:fldChar w:fldCharType="separate"/>
            </w:r>
            <w:r w:rsidR="00F6374E">
              <w:rPr>
                <w:noProof/>
                <w:webHidden/>
              </w:rPr>
              <w:t>223</w:t>
            </w:r>
            <w:r w:rsidR="00FD72F6">
              <w:rPr>
                <w:noProof/>
                <w:webHidden/>
              </w:rPr>
              <w:fldChar w:fldCharType="end"/>
            </w:r>
          </w:hyperlink>
        </w:p>
        <w:p w14:paraId="7F2D1652" w14:textId="5B90F0BA" w:rsidR="00447191" w:rsidRDefault="00447191">
          <w:r w:rsidRPr="00DA0057">
            <w:rPr>
              <w:rFonts w:ascii="Book Antiqua" w:hAnsi="Book Antiqua"/>
              <w:sz w:val="20"/>
              <w:szCs w:val="20"/>
              <w:lang w:val="es-ES"/>
            </w:rPr>
            <w:fldChar w:fldCharType="end"/>
          </w:r>
        </w:p>
      </w:sdtContent>
    </w:sdt>
    <w:p w14:paraId="07E4DE55" w14:textId="598B6CC8" w:rsidR="00447191" w:rsidRDefault="00447191" w:rsidP="00164F12">
      <w:pPr>
        <w:spacing w:after="0"/>
        <w:jc w:val="both"/>
        <w:rPr>
          <w:rFonts w:ascii="Book Antiqua" w:hAnsi="Book Antiqua"/>
        </w:rPr>
        <w:sectPr w:rsidR="00447191" w:rsidSect="00701E11">
          <w:headerReference w:type="default" r:id="rId8"/>
          <w:footerReference w:type="default" r:id="rId9"/>
          <w:pgSz w:w="12240" w:h="15840"/>
          <w:pgMar w:top="1417" w:right="1701" w:bottom="1560" w:left="1701" w:header="708" w:footer="708" w:gutter="0"/>
          <w:cols w:space="708"/>
          <w:docGrid w:linePitch="360"/>
        </w:sectPr>
      </w:pPr>
    </w:p>
    <w:p w14:paraId="7EEE1716" w14:textId="7B25278A" w:rsidR="00362D6D" w:rsidRPr="003C2EFD" w:rsidRDefault="00907F65" w:rsidP="008A77FF">
      <w:pPr>
        <w:pStyle w:val="Ttulo1"/>
        <w:ind w:left="360" w:hanging="360"/>
        <w:jc w:val="center"/>
        <w:rPr>
          <w:rFonts w:ascii="Book Antiqua" w:eastAsia="Wingdings" w:hAnsi="Book Antiqua"/>
          <w:b/>
          <w:bCs/>
          <w:color w:val="auto"/>
          <w:sz w:val="24"/>
          <w:szCs w:val="24"/>
          <w:lang w:eastAsia="ko-KR"/>
        </w:rPr>
      </w:pPr>
      <w:bookmarkStart w:id="2" w:name="_Toc138770818"/>
      <w:r w:rsidRPr="003C2EFD">
        <w:rPr>
          <w:rFonts w:ascii="Book Antiqua" w:eastAsia="Wingdings" w:hAnsi="Book Antiqua"/>
          <w:b/>
          <w:bCs/>
          <w:color w:val="auto"/>
          <w:sz w:val="24"/>
          <w:szCs w:val="24"/>
          <w:lang w:eastAsia="ko-KR"/>
        </w:rPr>
        <w:lastRenderedPageBreak/>
        <w:t>CAPÍTULO 1)</w:t>
      </w:r>
      <w:r w:rsidR="00A34231" w:rsidRPr="003C2EFD">
        <w:rPr>
          <w:rFonts w:ascii="Book Antiqua" w:eastAsia="Wingdings" w:hAnsi="Book Antiqua"/>
          <w:b/>
          <w:bCs/>
          <w:color w:val="auto"/>
          <w:sz w:val="24"/>
          <w:szCs w:val="24"/>
          <w:lang w:eastAsia="ko-KR"/>
        </w:rPr>
        <w:t xml:space="preserve"> S</w:t>
      </w:r>
      <w:r w:rsidR="007B5A3B" w:rsidRPr="003C2EFD">
        <w:rPr>
          <w:rFonts w:ascii="Book Antiqua" w:eastAsia="Wingdings" w:hAnsi="Book Antiqua"/>
          <w:b/>
          <w:bCs/>
          <w:color w:val="auto"/>
          <w:sz w:val="24"/>
          <w:szCs w:val="24"/>
          <w:lang w:eastAsia="ko-KR"/>
        </w:rPr>
        <w:t xml:space="preserve">EGUIMIENTO DE LAS RECOMENDACIONES EMITIDAS </w:t>
      </w:r>
      <w:r w:rsidR="76C0FBA6" w:rsidRPr="003C2EFD">
        <w:rPr>
          <w:rFonts w:ascii="Book Antiqua" w:eastAsia="Wingdings" w:hAnsi="Book Antiqua"/>
          <w:b/>
          <w:bCs/>
          <w:color w:val="auto"/>
          <w:sz w:val="24"/>
          <w:szCs w:val="24"/>
          <w:lang w:eastAsia="ko-KR"/>
        </w:rPr>
        <w:t>EN</w:t>
      </w:r>
      <w:r w:rsidR="00D7573D" w:rsidRPr="003C2EFD">
        <w:rPr>
          <w:rFonts w:ascii="Book Antiqua" w:eastAsia="Wingdings" w:hAnsi="Book Antiqua"/>
          <w:b/>
          <w:bCs/>
          <w:color w:val="auto"/>
          <w:sz w:val="24"/>
          <w:szCs w:val="24"/>
          <w:lang w:eastAsia="ko-KR"/>
        </w:rPr>
        <w:t xml:space="preserve"> EL INFORME </w:t>
      </w:r>
      <w:r w:rsidR="00A64BD9" w:rsidRPr="003C2EFD">
        <w:rPr>
          <w:rFonts w:ascii="Book Antiqua" w:eastAsia="Wingdings" w:hAnsi="Book Antiqua"/>
          <w:b/>
          <w:bCs/>
          <w:color w:val="auto"/>
          <w:sz w:val="24"/>
          <w:szCs w:val="24"/>
          <w:lang w:eastAsia="ko-KR"/>
        </w:rPr>
        <w:t>277</w:t>
      </w:r>
      <w:r w:rsidR="00D7573D" w:rsidRPr="003C2EFD">
        <w:rPr>
          <w:rFonts w:ascii="Book Antiqua" w:eastAsia="Wingdings" w:hAnsi="Book Antiqua"/>
          <w:b/>
          <w:bCs/>
          <w:color w:val="auto"/>
          <w:sz w:val="24"/>
          <w:szCs w:val="24"/>
          <w:lang w:eastAsia="ko-KR"/>
        </w:rPr>
        <w:t>-PLA-PP-202</w:t>
      </w:r>
      <w:r w:rsidR="00A64BD9" w:rsidRPr="003C2EFD">
        <w:rPr>
          <w:rFonts w:ascii="Book Antiqua" w:eastAsia="Wingdings" w:hAnsi="Book Antiqua"/>
          <w:b/>
          <w:bCs/>
          <w:color w:val="auto"/>
          <w:sz w:val="24"/>
          <w:szCs w:val="24"/>
          <w:lang w:eastAsia="ko-KR"/>
        </w:rPr>
        <w:t>3</w:t>
      </w:r>
      <w:bookmarkEnd w:id="2"/>
    </w:p>
    <w:p w14:paraId="72E869B5" w14:textId="5CF615DB" w:rsidR="00362D6D" w:rsidRDefault="00362D6D" w:rsidP="00164F12">
      <w:pPr>
        <w:spacing w:after="0"/>
        <w:jc w:val="both"/>
        <w:rPr>
          <w:rFonts w:ascii="Book Antiqua" w:hAnsi="Book Antiqua"/>
        </w:rPr>
      </w:pPr>
    </w:p>
    <w:p w14:paraId="67B151B7" w14:textId="15FFDB2C" w:rsidR="00813206" w:rsidRPr="00AB5053" w:rsidRDefault="00813206" w:rsidP="00164F12">
      <w:pPr>
        <w:spacing w:after="0"/>
        <w:jc w:val="both"/>
        <w:rPr>
          <w:rFonts w:ascii="Book Antiqua" w:hAnsi="Book Antiqua"/>
          <w:sz w:val="24"/>
          <w:szCs w:val="24"/>
        </w:rPr>
      </w:pPr>
      <w:r w:rsidRPr="69309D1B">
        <w:rPr>
          <w:rFonts w:ascii="Book Antiqua" w:hAnsi="Book Antiqua"/>
          <w:sz w:val="24"/>
          <w:szCs w:val="24"/>
        </w:rPr>
        <w:t>El Consejo Superior</w:t>
      </w:r>
      <w:r w:rsidR="00914B96" w:rsidRPr="69309D1B">
        <w:rPr>
          <w:sz w:val="24"/>
          <w:szCs w:val="24"/>
        </w:rPr>
        <w:t xml:space="preserve"> </w:t>
      </w:r>
      <w:r w:rsidR="00914B96" w:rsidRPr="69309D1B">
        <w:rPr>
          <w:rFonts w:ascii="Book Antiqua" w:hAnsi="Book Antiqua"/>
          <w:sz w:val="24"/>
          <w:szCs w:val="24"/>
        </w:rPr>
        <w:t xml:space="preserve">en sesión N° </w:t>
      </w:r>
      <w:r w:rsidR="00A64BD9">
        <w:rPr>
          <w:rFonts w:ascii="Book Antiqua" w:hAnsi="Book Antiqua"/>
          <w:sz w:val="24"/>
          <w:szCs w:val="24"/>
        </w:rPr>
        <w:t>35</w:t>
      </w:r>
      <w:r w:rsidR="00914B96" w:rsidRPr="69309D1B">
        <w:rPr>
          <w:rFonts w:ascii="Book Antiqua" w:hAnsi="Book Antiqua"/>
          <w:sz w:val="24"/>
          <w:szCs w:val="24"/>
        </w:rPr>
        <w:t>-202</w:t>
      </w:r>
      <w:r w:rsidR="00A64BD9">
        <w:rPr>
          <w:rFonts w:ascii="Book Antiqua" w:hAnsi="Book Antiqua"/>
          <w:sz w:val="24"/>
          <w:szCs w:val="24"/>
        </w:rPr>
        <w:t>3</w:t>
      </w:r>
      <w:r w:rsidR="00914B96" w:rsidRPr="69309D1B">
        <w:rPr>
          <w:rFonts w:ascii="Book Antiqua" w:hAnsi="Book Antiqua"/>
          <w:sz w:val="24"/>
          <w:szCs w:val="24"/>
        </w:rPr>
        <w:t xml:space="preserve"> celebrada el </w:t>
      </w:r>
      <w:r w:rsidR="00A64BD9">
        <w:rPr>
          <w:rFonts w:ascii="Book Antiqua" w:hAnsi="Book Antiqua"/>
          <w:sz w:val="24"/>
          <w:szCs w:val="24"/>
        </w:rPr>
        <w:t>26 de abril</w:t>
      </w:r>
      <w:r w:rsidR="00EF696A" w:rsidRPr="69309D1B">
        <w:rPr>
          <w:rFonts w:ascii="Book Antiqua" w:hAnsi="Book Antiqua"/>
          <w:sz w:val="24"/>
          <w:szCs w:val="24"/>
        </w:rPr>
        <w:t xml:space="preserve">, artículo </w:t>
      </w:r>
      <w:r w:rsidR="00A64BD9">
        <w:rPr>
          <w:rFonts w:ascii="Book Antiqua" w:hAnsi="Book Antiqua"/>
          <w:sz w:val="24"/>
          <w:szCs w:val="24"/>
        </w:rPr>
        <w:t>XXXIX</w:t>
      </w:r>
      <w:r w:rsidR="00914B96" w:rsidRPr="69309D1B">
        <w:rPr>
          <w:rFonts w:ascii="Book Antiqua" w:hAnsi="Book Antiqua"/>
          <w:sz w:val="24"/>
          <w:szCs w:val="24"/>
        </w:rPr>
        <w:t xml:space="preserve">, </w:t>
      </w:r>
      <w:r w:rsidR="005D2F6B">
        <w:rPr>
          <w:rFonts w:ascii="Book Antiqua" w:hAnsi="Book Antiqua"/>
          <w:sz w:val="24"/>
          <w:szCs w:val="24"/>
        </w:rPr>
        <w:t xml:space="preserve">se </w:t>
      </w:r>
      <w:r w:rsidR="00914B96" w:rsidRPr="69309D1B">
        <w:rPr>
          <w:rFonts w:ascii="Book Antiqua" w:hAnsi="Book Antiqua"/>
          <w:sz w:val="24"/>
          <w:szCs w:val="24"/>
        </w:rPr>
        <w:t>acordó:</w:t>
      </w:r>
    </w:p>
    <w:p w14:paraId="357997C1" w14:textId="77777777" w:rsidR="00447505" w:rsidRPr="00AB5053" w:rsidRDefault="00447505" w:rsidP="00164F12">
      <w:pPr>
        <w:spacing w:after="0"/>
        <w:jc w:val="both"/>
        <w:rPr>
          <w:rFonts w:ascii="Book Antiqua" w:hAnsi="Book Antiqua"/>
          <w:sz w:val="24"/>
          <w:szCs w:val="24"/>
        </w:rPr>
      </w:pPr>
    </w:p>
    <w:p w14:paraId="3CF4D0CA" w14:textId="2D793499" w:rsidR="00BB4428" w:rsidRDefault="00D033F3" w:rsidP="00B4175C">
      <w:pPr>
        <w:autoSpaceDE w:val="0"/>
        <w:autoSpaceDN w:val="0"/>
        <w:adjustRightInd w:val="0"/>
        <w:spacing w:after="0" w:line="240" w:lineRule="auto"/>
        <w:ind w:left="851" w:right="616"/>
        <w:jc w:val="both"/>
        <w:rPr>
          <w:rFonts w:ascii="Book Antiqua" w:eastAsia="Wingdings" w:hAnsi="Book Antiqua"/>
          <w:i/>
          <w:sz w:val="24"/>
          <w:szCs w:val="24"/>
          <w:lang w:eastAsia="ko-KR"/>
        </w:rPr>
      </w:pPr>
      <w:r w:rsidRPr="004B5212">
        <w:rPr>
          <w:rFonts w:ascii="Book Antiqua" w:eastAsia="Wingdings" w:hAnsi="Book Antiqua"/>
          <w:i/>
          <w:sz w:val="24"/>
          <w:szCs w:val="24"/>
          <w:lang w:eastAsia="ko-KR"/>
        </w:rPr>
        <w:t>“</w:t>
      </w:r>
      <w:r w:rsidR="00BB4428">
        <w:rPr>
          <w:rFonts w:ascii="Book Antiqua" w:eastAsia="Wingdings" w:hAnsi="Book Antiqua"/>
          <w:i/>
          <w:sz w:val="24"/>
          <w:szCs w:val="24"/>
          <w:lang w:eastAsia="ko-KR"/>
        </w:rPr>
        <w:t>b</w:t>
      </w:r>
      <w:r w:rsidR="00EF696A" w:rsidRPr="00511699">
        <w:rPr>
          <w:rFonts w:ascii="Book Antiqua" w:eastAsia="Wingdings" w:hAnsi="Book Antiqua"/>
          <w:i/>
          <w:sz w:val="24"/>
          <w:szCs w:val="24"/>
          <w:lang w:eastAsia="ko-KR"/>
        </w:rPr>
        <w:t xml:space="preserve">) </w:t>
      </w:r>
      <w:r w:rsidR="00BB4428" w:rsidRPr="00BB4428">
        <w:rPr>
          <w:rFonts w:ascii="Book Antiqua" w:eastAsia="Wingdings" w:hAnsi="Book Antiqua"/>
          <w:i/>
          <w:sz w:val="24"/>
          <w:szCs w:val="24"/>
          <w:lang w:eastAsia="ko-KR"/>
        </w:rPr>
        <w:t>Hacer de conocimiento del Consejo Superior el cumplimiento de las recomendaciones señaladas en el presente informe, considerando los plazos otorgados para las diferentes oficinas judiciales.</w:t>
      </w:r>
      <w:r w:rsidR="00BB4428">
        <w:rPr>
          <w:rFonts w:ascii="Book Antiqua" w:eastAsia="Wingdings" w:hAnsi="Book Antiqua"/>
          <w:i/>
          <w:sz w:val="24"/>
          <w:szCs w:val="24"/>
          <w:lang w:eastAsia="ko-KR"/>
        </w:rPr>
        <w:t xml:space="preserve"> (…)”</w:t>
      </w:r>
      <w:r w:rsidR="00FD72F6">
        <w:rPr>
          <w:rFonts w:ascii="Book Antiqua" w:eastAsia="Wingdings" w:hAnsi="Book Antiqua"/>
          <w:i/>
          <w:sz w:val="24"/>
          <w:szCs w:val="24"/>
          <w:lang w:eastAsia="ko-KR"/>
        </w:rPr>
        <w:t>.</w:t>
      </w:r>
    </w:p>
    <w:p w14:paraId="0E0DA3EF" w14:textId="77777777" w:rsidR="00BB4428" w:rsidRPr="00BB4428" w:rsidRDefault="00BB4428" w:rsidP="00B4175C">
      <w:pPr>
        <w:autoSpaceDE w:val="0"/>
        <w:autoSpaceDN w:val="0"/>
        <w:adjustRightInd w:val="0"/>
        <w:spacing w:after="0" w:line="240" w:lineRule="auto"/>
        <w:ind w:left="851" w:right="616"/>
        <w:jc w:val="both"/>
        <w:rPr>
          <w:rFonts w:ascii="Book Antiqua" w:eastAsia="Wingdings" w:hAnsi="Book Antiqua"/>
          <w:i/>
          <w:sz w:val="24"/>
          <w:szCs w:val="24"/>
          <w:lang w:eastAsia="ko-KR"/>
        </w:rPr>
      </w:pPr>
    </w:p>
    <w:p w14:paraId="3D871798" w14:textId="6D4B9BD0" w:rsidR="00EB2739" w:rsidRDefault="00EB2739" w:rsidP="00164F12">
      <w:pPr>
        <w:spacing w:after="0"/>
        <w:jc w:val="both"/>
        <w:rPr>
          <w:rFonts w:ascii="Book Antiqua" w:hAnsi="Book Antiqua"/>
          <w:sz w:val="24"/>
          <w:szCs w:val="24"/>
        </w:rPr>
      </w:pPr>
      <w:r w:rsidRPr="69309D1B">
        <w:rPr>
          <w:rFonts w:ascii="Book Antiqua" w:hAnsi="Book Antiqua"/>
          <w:sz w:val="24"/>
          <w:szCs w:val="24"/>
        </w:rPr>
        <w:t>Así las cosas</w:t>
      </w:r>
      <w:r w:rsidR="00E730A5" w:rsidRPr="69309D1B">
        <w:rPr>
          <w:rFonts w:ascii="Book Antiqua" w:hAnsi="Book Antiqua"/>
          <w:sz w:val="24"/>
          <w:szCs w:val="24"/>
        </w:rPr>
        <w:t xml:space="preserve">, se procede a detallar </w:t>
      </w:r>
      <w:r w:rsidR="00D4603A" w:rsidRPr="69309D1B">
        <w:rPr>
          <w:rFonts w:ascii="Book Antiqua" w:hAnsi="Book Antiqua"/>
          <w:sz w:val="24"/>
          <w:szCs w:val="24"/>
        </w:rPr>
        <w:t xml:space="preserve">el seguimiento </w:t>
      </w:r>
      <w:r w:rsidR="008969A1" w:rsidRPr="69309D1B">
        <w:rPr>
          <w:rFonts w:ascii="Book Antiqua" w:hAnsi="Book Antiqua"/>
          <w:sz w:val="24"/>
          <w:szCs w:val="24"/>
        </w:rPr>
        <w:t xml:space="preserve">realizado por la Unidad Estratégica de Portafolio de Proyectos Institucional </w:t>
      </w:r>
      <w:r w:rsidR="00D4603A" w:rsidRPr="69309D1B">
        <w:rPr>
          <w:rFonts w:ascii="Book Antiqua" w:hAnsi="Book Antiqua"/>
          <w:sz w:val="24"/>
          <w:szCs w:val="24"/>
        </w:rPr>
        <w:t xml:space="preserve">a las recomendaciones del oficio </w:t>
      </w:r>
      <w:r w:rsidR="00495D64">
        <w:rPr>
          <w:rFonts w:ascii="Book Antiqua" w:hAnsi="Book Antiqua"/>
          <w:sz w:val="24"/>
          <w:szCs w:val="24"/>
        </w:rPr>
        <w:t>277</w:t>
      </w:r>
      <w:r w:rsidR="00D4603A" w:rsidRPr="69309D1B">
        <w:rPr>
          <w:rFonts w:ascii="Book Antiqua" w:hAnsi="Book Antiqua"/>
          <w:sz w:val="24"/>
          <w:szCs w:val="24"/>
        </w:rPr>
        <w:t>-PLA-</w:t>
      </w:r>
      <w:r w:rsidR="001A70E8" w:rsidRPr="69309D1B">
        <w:rPr>
          <w:rFonts w:ascii="Book Antiqua" w:hAnsi="Book Antiqua"/>
          <w:sz w:val="24"/>
          <w:szCs w:val="24"/>
        </w:rPr>
        <w:t>PP-</w:t>
      </w:r>
      <w:r w:rsidR="00D4603A" w:rsidRPr="69309D1B">
        <w:rPr>
          <w:rFonts w:ascii="Book Antiqua" w:hAnsi="Book Antiqua"/>
          <w:sz w:val="24"/>
          <w:szCs w:val="24"/>
        </w:rPr>
        <w:t>202</w:t>
      </w:r>
      <w:r w:rsidR="00495D64">
        <w:rPr>
          <w:rFonts w:ascii="Book Antiqua" w:hAnsi="Book Antiqua"/>
          <w:sz w:val="24"/>
          <w:szCs w:val="24"/>
        </w:rPr>
        <w:t>3</w:t>
      </w:r>
      <w:r w:rsidR="00D4603A" w:rsidRPr="69309D1B">
        <w:rPr>
          <w:rFonts w:ascii="Book Antiqua" w:hAnsi="Book Antiqua"/>
          <w:sz w:val="24"/>
          <w:szCs w:val="24"/>
        </w:rPr>
        <w:t xml:space="preserve"> </w:t>
      </w:r>
      <w:r w:rsidR="00213273" w:rsidRPr="69309D1B">
        <w:rPr>
          <w:rFonts w:ascii="Book Antiqua" w:hAnsi="Book Antiqua"/>
          <w:sz w:val="24"/>
          <w:szCs w:val="24"/>
        </w:rPr>
        <w:t>y poner en conocimiento los resultados obtenidos.</w:t>
      </w:r>
    </w:p>
    <w:p w14:paraId="4754806F" w14:textId="77777777" w:rsidR="000B7A67" w:rsidRDefault="000B7A67" w:rsidP="000B7A67">
      <w:pPr>
        <w:spacing w:after="0"/>
        <w:jc w:val="both"/>
        <w:rPr>
          <w:rFonts w:ascii="Book Antiqua" w:hAnsi="Book Antiqua"/>
          <w:sz w:val="24"/>
          <w:szCs w:val="24"/>
        </w:rPr>
      </w:pPr>
    </w:p>
    <w:p w14:paraId="0FCFFF9D" w14:textId="77777777" w:rsidR="000B7A67" w:rsidRDefault="000B7A67" w:rsidP="000B7A67">
      <w:pPr>
        <w:pStyle w:val="Ttulo2"/>
        <w:numPr>
          <w:ilvl w:val="0"/>
          <w:numId w:val="3"/>
        </w:numPr>
        <w:jc w:val="both"/>
        <w:rPr>
          <w:rFonts w:ascii="Book Antiqua" w:eastAsia="Wingdings" w:hAnsi="Book Antiqua"/>
          <w:b/>
          <w:bCs/>
          <w:color w:val="auto"/>
          <w:lang w:eastAsia="ko-KR"/>
        </w:rPr>
      </w:pPr>
      <w:bookmarkStart w:id="3" w:name="_Toc131160522"/>
      <w:bookmarkStart w:id="4" w:name="_Toc138770819"/>
      <w:r>
        <w:rPr>
          <w:rFonts w:ascii="Book Antiqua" w:eastAsia="Wingdings" w:hAnsi="Book Antiqua"/>
          <w:b/>
          <w:bCs/>
          <w:color w:val="auto"/>
          <w:lang w:eastAsia="ko-KR"/>
        </w:rPr>
        <w:t>Recomendaciones dirigidas a la Administración</w:t>
      </w:r>
      <w:r w:rsidRPr="00BA3D78">
        <w:rPr>
          <w:rFonts w:ascii="Book Antiqua" w:eastAsia="Wingdings" w:hAnsi="Book Antiqua"/>
          <w:b/>
          <w:bCs/>
          <w:color w:val="auto"/>
          <w:lang w:eastAsia="ko-KR"/>
        </w:rPr>
        <w:t xml:space="preserve"> Ciudad Judicial San Joaquín de Flores</w:t>
      </w:r>
      <w:bookmarkEnd w:id="3"/>
      <w:bookmarkEnd w:id="4"/>
    </w:p>
    <w:p w14:paraId="398DE2FB" w14:textId="77777777" w:rsidR="000B7A67" w:rsidRDefault="000B7A67" w:rsidP="000B7A67">
      <w:pPr>
        <w:spacing w:after="0"/>
        <w:rPr>
          <w:lang w:eastAsia="ko-KR"/>
        </w:rPr>
      </w:pPr>
    </w:p>
    <w:p w14:paraId="134992D3" w14:textId="77777777" w:rsidR="000B7A67" w:rsidRDefault="000B7A67" w:rsidP="000B7A67">
      <w:pPr>
        <w:spacing w:after="0"/>
        <w:jc w:val="both"/>
        <w:rPr>
          <w:rFonts w:ascii="Book Antiqua" w:hAnsi="Book Antiqua"/>
          <w:sz w:val="24"/>
          <w:szCs w:val="24"/>
        </w:rPr>
      </w:pPr>
      <w:r>
        <w:rPr>
          <w:rFonts w:ascii="Book Antiqua" w:hAnsi="Book Antiqua"/>
          <w:sz w:val="24"/>
          <w:szCs w:val="24"/>
        </w:rPr>
        <w:t xml:space="preserve">En el informe 277-PLA-PP-2023, se dirigió una recomendación a la </w:t>
      </w:r>
      <w:r>
        <w:rPr>
          <w:rFonts w:ascii="Book Antiqua" w:eastAsia="Wingdings" w:hAnsi="Book Antiqua"/>
          <w:b/>
          <w:bCs/>
          <w:lang w:eastAsia="ko-KR"/>
        </w:rPr>
        <w:t>Administración</w:t>
      </w:r>
      <w:r w:rsidRPr="00BA3D78">
        <w:rPr>
          <w:rFonts w:ascii="Book Antiqua" w:eastAsia="Wingdings" w:hAnsi="Book Antiqua"/>
          <w:b/>
          <w:bCs/>
          <w:lang w:eastAsia="ko-KR"/>
        </w:rPr>
        <w:t xml:space="preserve"> Ciudad Judicial San Joaquín de Flores</w:t>
      </w:r>
      <w:r>
        <w:rPr>
          <w:rFonts w:ascii="Book Antiqua" w:hAnsi="Book Antiqua"/>
          <w:sz w:val="24"/>
          <w:szCs w:val="24"/>
        </w:rPr>
        <w:t xml:space="preserve">, debido a que existían proyectos pendientes de acatar recomendaciones del oficio anterior, por lo anterior se realizó la siguiente recomendación: </w:t>
      </w:r>
    </w:p>
    <w:p w14:paraId="089261C0" w14:textId="77777777" w:rsidR="000B7A67" w:rsidRDefault="000B7A67" w:rsidP="000B7A67">
      <w:pPr>
        <w:spacing w:after="0"/>
        <w:jc w:val="both"/>
        <w:rPr>
          <w:rFonts w:ascii="Book Antiqua" w:hAnsi="Book Antiqua"/>
          <w:sz w:val="24"/>
          <w:szCs w:val="24"/>
        </w:rPr>
      </w:pPr>
    </w:p>
    <w:p w14:paraId="72BCC5F5" w14:textId="1DE3A069" w:rsidR="000B7A67" w:rsidRDefault="000B7A67" w:rsidP="000B7A67">
      <w:pPr>
        <w:ind w:left="426" w:right="474"/>
        <w:jc w:val="both"/>
        <w:rPr>
          <w:rFonts w:ascii="Book Antiqua" w:hAnsi="Book Antiqua"/>
          <w:i/>
          <w:iCs/>
        </w:rPr>
      </w:pPr>
      <w:r>
        <w:rPr>
          <w:rFonts w:ascii="Book Antiqua" w:hAnsi="Book Antiqua"/>
          <w:b/>
          <w:sz w:val="24"/>
          <w:szCs w:val="24"/>
        </w:rPr>
        <w:t>“</w:t>
      </w:r>
      <w:r w:rsidRPr="00156F1C">
        <w:rPr>
          <w:rFonts w:ascii="Book Antiqua" w:hAnsi="Book Antiqua"/>
          <w:b/>
          <w:bCs/>
          <w:i/>
          <w:iCs/>
        </w:rPr>
        <w:t>2.10)</w:t>
      </w:r>
      <w:r>
        <w:rPr>
          <w:rFonts w:ascii="Book Antiqua" w:hAnsi="Book Antiqua"/>
          <w:i/>
          <w:iCs/>
        </w:rPr>
        <w:t xml:space="preserve"> El Centro de Conciliación del Poder Judicial, las Comisiones de la Jurisdicción Agrario y Agroambiental, de Acceso a la Justicia, la Defensa Pública, el Departamento de Prensa y Comunicación Organizacional, el Programa Justicia Restaurativa, así como las Administraciones Regionales del Segundo Circuito Judicial de Alajuela, Tercer Circuito Judicial Alajuela, de la Ciudad Judicial de San Joaquín de Flores, de Puntarenas, del Primer Circuito Judicial Guanacaste y Primer Circuito Judicial de la Zona Sur, deberán a más tardar el 28 de abril del 2023, cargar en el sitio de proyecto la atención de las recomendaciones que se describen en la tabla correspondiente expuesta en el presente informe.</w:t>
      </w:r>
    </w:p>
    <w:p w14:paraId="4F034595" w14:textId="1DF4459D" w:rsidR="000B7A67" w:rsidRDefault="000B7A67" w:rsidP="000B7A67">
      <w:pPr>
        <w:ind w:left="426" w:right="474"/>
        <w:jc w:val="both"/>
        <w:rPr>
          <w:rFonts w:ascii="Book Antiqua" w:hAnsi="Book Antiqua"/>
        </w:rPr>
      </w:pPr>
    </w:p>
    <w:p w14:paraId="3F1F5819" w14:textId="30839C89" w:rsidR="00844144" w:rsidRDefault="00844144" w:rsidP="000B7A67">
      <w:pPr>
        <w:ind w:left="426" w:right="474"/>
        <w:jc w:val="both"/>
        <w:rPr>
          <w:rFonts w:ascii="Book Antiqua" w:hAnsi="Book Antiqua"/>
        </w:rPr>
      </w:pPr>
    </w:p>
    <w:p w14:paraId="44190B5C" w14:textId="77777777" w:rsidR="00844144" w:rsidRDefault="00844144" w:rsidP="000B7A67">
      <w:pPr>
        <w:ind w:left="426" w:right="474"/>
        <w:jc w:val="both"/>
        <w:rPr>
          <w:rFonts w:ascii="Book Antiqua" w:hAnsi="Book Antiqua"/>
        </w:rPr>
      </w:pPr>
    </w:p>
    <w:p w14:paraId="4B914F74" w14:textId="77777777" w:rsidR="000B7A67" w:rsidRDefault="000B7A67" w:rsidP="000B7A67">
      <w:pPr>
        <w:ind w:left="426" w:right="474"/>
        <w:jc w:val="both"/>
        <w:rPr>
          <w:rFonts w:ascii="Book Antiqua" w:hAnsi="Book Antiqua"/>
        </w:rPr>
      </w:pPr>
    </w:p>
    <w:tbl>
      <w:tblPr>
        <w:tblW w:w="9923" w:type="dxa"/>
        <w:tblInd w:w="-294" w:type="dxa"/>
        <w:tblCellMar>
          <w:left w:w="70" w:type="dxa"/>
          <w:right w:w="70" w:type="dxa"/>
        </w:tblCellMar>
        <w:tblLook w:val="04A0" w:firstRow="1" w:lastRow="0" w:firstColumn="1" w:lastColumn="0" w:noHBand="0" w:noVBand="1"/>
      </w:tblPr>
      <w:tblGrid>
        <w:gridCol w:w="1493"/>
        <w:gridCol w:w="1390"/>
        <w:gridCol w:w="1128"/>
        <w:gridCol w:w="2253"/>
        <w:gridCol w:w="1254"/>
        <w:gridCol w:w="2405"/>
      </w:tblGrid>
      <w:tr w:rsidR="00BC00B3" w:rsidRPr="004C150A" w14:paraId="14C17AE9" w14:textId="77777777" w:rsidTr="005D2F6B">
        <w:trPr>
          <w:trHeight w:val="480"/>
        </w:trPr>
        <w:tc>
          <w:tcPr>
            <w:tcW w:w="1493" w:type="dxa"/>
            <w:tcBorders>
              <w:top w:val="single" w:sz="8" w:space="0" w:color="auto"/>
              <w:left w:val="single" w:sz="8" w:space="0" w:color="auto"/>
              <w:bottom w:val="nil"/>
              <w:right w:val="single" w:sz="8" w:space="0" w:color="auto"/>
            </w:tcBorders>
            <w:shd w:val="clear" w:color="000000" w:fill="44546A"/>
            <w:vAlign w:val="center"/>
            <w:hideMark/>
          </w:tcPr>
          <w:p w14:paraId="20A1E551" w14:textId="77777777" w:rsidR="000B7A67" w:rsidRPr="004C150A" w:rsidRDefault="000B7A67" w:rsidP="00F400D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lastRenderedPageBreak/>
              <w:t>Centro de responsabilidad</w:t>
            </w:r>
          </w:p>
        </w:tc>
        <w:tc>
          <w:tcPr>
            <w:tcW w:w="1390" w:type="dxa"/>
            <w:tcBorders>
              <w:top w:val="single" w:sz="8" w:space="0" w:color="auto"/>
              <w:left w:val="nil"/>
              <w:bottom w:val="nil"/>
              <w:right w:val="single" w:sz="8" w:space="0" w:color="auto"/>
            </w:tcBorders>
            <w:shd w:val="clear" w:color="000000" w:fill="44546A"/>
            <w:vAlign w:val="center"/>
            <w:hideMark/>
          </w:tcPr>
          <w:p w14:paraId="7DE71589" w14:textId="77777777" w:rsidR="000B7A67" w:rsidRPr="004C150A" w:rsidRDefault="000B7A67" w:rsidP="00F400D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Oficina Líder</w:t>
            </w:r>
          </w:p>
        </w:tc>
        <w:tc>
          <w:tcPr>
            <w:tcW w:w="1128" w:type="dxa"/>
            <w:tcBorders>
              <w:top w:val="single" w:sz="8" w:space="0" w:color="auto"/>
              <w:left w:val="nil"/>
              <w:bottom w:val="nil"/>
              <w:right w:val="single" w:sz="8" w:space="0" w:color="auto"/>
            </w:tcBorders>
            <w:shd w:val="clear" w:color="000000" w:fill="44546A"/>
            <w:vAlign w:val="center"/>
            <w:hideMark/>
          </w:tcPr>
          <w:p w14:paraId="2532230E" w14:textId="77777777" w:rsidR="000B7A67" w:rsidRPr="004C150A" w:rsidRDefault="000B7A67" w:rsidP="00F400D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Código</w:t>
            </w:r>
          </w:p>
        </w:tc>
        <w:tc>
          <w:tcPr>
            <w:tcW w:w="2253" w:type="dxa"/>
            <w:tcBorders>
              <w:top w:val="single" w:sz="8" w:space="0" w:color="auto"/>
              <w:left w:val="nil"/>
              <w:bottom w:val="nil"/>
              <w:right w:val="single" w:sz="8" w:space="0" w:color="auto"/>
            </w:tcBorders>
            <w:shd w:val="clear" w:color="000000" w:fill="44546A"/>
            <w:vAlign w:val="center"/>
            <w:hideMark/>
          </w:tcPr>
          <w:p w14:paraId="0F779459" w14:textId="77777777" w:rsidR="000B7A67" w:rsidRPr="004C150A" w:rsidRDefault="000B7A67" w:rsidP="00F400D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Nombre</w:t>
            </w:r>
          </w:p>
        </w:tc>
        <w:tc>
          <w:tcPr>
            <w:tcW w:w="1254" w:type="dxa"/>
            <w:tcBorders>
              <w:top w:val="single" w:sz="8" w:space="0" w:color="auto"/>
              <w:left w:val="nil"/>
              <w:bottom w:val="nil"/>
              <w:right w:val="single" w:sz="8" w:space="0" w:color="auto"/>
            </w:tcBorders>
            <w:shd w:val="clear" w:color="000000" w:fill="44546A"/>
            <w:vAlign w:val="center"/>
            <w:hideMark/>
          </w:tcPr>
          <w:p w14:paraId="7982E003" w14:textId="77777777" w:rsidR="000B7A67" w:rsidRPr="004C150A" w:rsidRDefault="000B7A67" w:rsidP="00F400D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Apartado del informe</w:t>
            </w:r>
          </w:p>
        </w:tc>
        <w:tc>
          <w:tcPr>
            <w:tcW w:w="2405" w:type="dxa"/>
            <w:tcBorders>
              <w:top w:val="single" w:sz="8" w:space="0" w:color="auto"/>
              <w:left w:val="nil"/>
              <w:bottom w:val="nil"/>
              <w:right w:val="single" w:sz="8" w:space="0" w:color="auto"/>
            </w:tcBorders>
            <w:shd w:val="clear" w:color="000000" w:fill="44546A"/>
            <w:vAlign w:val="center"/>
            <w:hideMark/>
          </w:tcPr>
          <w:p w14:paraId="2CD8D072" w14:textId="77777777" w:rsidR="000B7A67" w:rsidRPr="004C150A" w:rsidRDefault="000B7A67" w:rsidP="00F400D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Recomendación pendiente</w:t>
            </w:r>
          </w:p>
        </w:tc>
      </w:tr>
      <w:tr w:rsidR="00BC00B3" w:rsidRPr="004C150A" w14:paraId="4C077F33" w14:textId="77777777" w:rsidTr="005D2F6B">
        <w:trPr>
          <w:trHeight w:val="599"/>
        </w:trPr>
        <w:tc>
          <w:tcPr>
            <w:tcW w:w="14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94F9C9" w14:textId="77777777" w:rsidR="000B7A67" w:rsidRPr="004C150A" w:rsidRDefault="000B7A67" w:rsidP="00F400D6">
            <w:pPr>
              <w:spacing w:after="0" w:line="240" w:lineRule="auto"/>
              <w:jc w:val="center"/>
              <w:rPr>
                <w:rFonts w:ascii="Book Antiqua" w:eastAsia="Times New Roman" w:hAnsi="Book Antiqua" w:cs="Calibri"/>
                <w:color w:val="000000"/>
                <w:sz w:val="18"/>
                <w:szCs w:val="18"/>
                <w:lang w:eastAsia="es-CR"/>
              </w:rPr>
            </w:pPr>
            <w:r w:rsidRPr="004C150A">
              <w:rPr>
                <w:rFonts w:ascii="Book Antiqua" w:hAnsi="Book Antiqua" w:cs="Calibri"/>
                <w:color w:val="000000"/>
                <w:sz w:val="18"/>
                <w:szCs w:val="18"/>
              </w:rPr>
              <w:t>Administración Ciudad Judicial San Joaquín de Flores</w:t>
            </w:r>
          </w:p>
        </w:tc>
        <w:tc>
          <w:tcPr>
            <w:tcW w:w="13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3F7640" w14:textId="77777777" w:rsidR="000B7A67" w:rsidRPr="004C150A" w:rsidRDefault="000B7A67" w:rsidP="00F400D6">
            <w:pPr>
              <w:spacing w:after="0" w:line="240" w:lineRule="auto"/>
              <w:jc w:val="center"/>
              <w:rPr>
                <w:rFonts w:ascii="Book Antiqua" w:eastAsia="Times New Roman" w:hAnsi="Book Antiqua" w:cs="Calibri"/>
                <w:color w:val="000000"/>
                <w:sz w:val="18"/>
                <w:szCs w:val="18"/>
                <w:lang w:eastAsia="es-CR"/>
              </w:rPr>
            </w:pPr>
            <w:r w:rsidRPr="004C150A">
              <w:rPr>
                <w:rFonts w:ascii="Book Antiqua" w:hAnsi="Book Antiqua" w:cs="Calibri"/>
                <w:color w:val="000000"/>
                <w:sz w:val="18"/>
                <w:szCs w:val="18"/>
              </w:rPr>
              <w:t xml:space="preserve">0667 </w:t>
            </w:r>
            <w:r>
              <w:rPr>
                <w:rFonts w:ascii="Book Antiqua" w:hAnsi="Book Antiqua" w:cs="Calibri"/>
                <w:color w:val="000000"/>
                <w:sz w:val="18"/>
                <w:szCs w:val="18"/>
              </w:rPr>
              <w:t>A</w:t>
            </w:r>
            <w:r w:rsidRPr="004C150A">
              <w:rPr>
                <w:rFonts w:ascii="Book Antiqua" w:hAnsi="Book Antiqua" w:cs="Calibri"/>
                <w:color w:val="000000"/>
                <w:sz w:val="18"/>
                <w:szCs w:val="18"/>
              </w:rPr>
              <w:t>dministración Ciudad Judicial San Joaquín de Flores</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18A8541D" w14:textId="77777777" w:rsidR="000B7A67" w:rsidRPr="004C150A" w:rsidRDefault="000B7A67" w:rsidP="00F400D6">
            <w:pPr>
              <w:spacing w:after="0" w:line="240" w:lineRule="auto"/>
              <w:jc w:val="center"/>
              <w:rPr>
                <w:rFonts w:ascii="Book Antiqua" w:eastAsia="Times New Roman" w:hAnsi="Book Antiqua" w:cs="Calibri"/>
                <w:color w:val="000000"/>
                <w:sz w:val="18"/>
                <w:szCs w:val="18"/>
                <w:lang w:eastAsia="es-CR"/>
              </w:rPr>
            </w:pPr>
            <w:r w:rsidRPr="004C150A">
              <w:rPr>
                <w:rFonts w:ascii="Book Antiqua" w:hAnsi="Book Antiqua" w:cs="Calibri"/>
                <w:color w:val="000000"/>
                <w:sz w:val="18"/>
                <w:szCs w:val="18"/>
              </w:rPr>
              <w:t>0117-DE-P73</w:t>
            </w:r>
          </w:p>
        </w:tc>
        <w:tc>
          <w:tcPr>
            <w:tcW w:w="2253" w:type="dxa"/>
            <w:tcBorders>
              <w:top w:val="single" w:sz="4" w:space="0" w:color="auto"/>
              <w:left w:val="nil"/>
              <w:bottom w:val="single" w:sz="4" w:space="0" w:color="auto"/>
              <w:right w:val="single" w:sz="4" w:space="0" w:color="auto"/>
            </w:tcBorders>
            <w:shd w:val="clear" w:color="auto" w:fill="auto"/>
            <w:vAlign w:val="center"/>
            <w:hideMark/>
          </w:tcPr>
          <w:p w14:paraId="0CAF8E5E" w14:textId="77777777" w:rsidR="000B7A67" w:rsidRPr="004C150A" w:rsidRDefault="000B7A67" w:rsidP="00F400D6">
            <w:pPr>
              <w:spacing w:after="0" w:line="240" w:lineRule="auto"/>
              <w:jc w:val="center"/>
              <w:rPr>
                <w:rFonts w:ascii="Book Antiqua" w:eastAsia="Times New Roman" w:hAnsi="Book Antiqua" w:cs="Calibri"/>
                <w:color w:val="000000"/>
                <w:sz w:val="18"/>
                <w:szCs w:val="18"/>
                <w:lang w:eastAsia="es-CR"/>
              </w:rPr>
            </w:pPr>
            <w:r w:rsidRPr="004C150A">
              <w:rPr>
                <w:rFonts w:ascii="Book Antiqua" w:hAnsi="Book Antiqua" w:cs="Calibri"/>
                <w:sz w:val="18"/>
                <w:szCs w:val="18"/>
              </w:rPr>
              <w:t>Sistema de control de incendios para el edificio de Patología Forense</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14:paraId="45F5579B" w14:textId="77777777" w:rsidR="000B7A67" w:rsidRPr="004C150A" w:rsidRDefault="000B7A67" w:rsidP="00F400D6">
            <w:pPr>
              <w:spacing w:after="0" w:line="240" w:lineRule="auto"/>
              <w:jc w:val="center"/>
              <w:rPr>
                <w:rFonts w:ascii="Book Antiqua" w:eastAsia="Times New Roman" w:hAnsi="Book Antiqua" w:cs="Calibri"/>
                <w:color w:val="000000"/>
                <w:sz w:val="18"/>
                <w:szCs w:val="18"/>
                <w:lang w:eastAsia="es-CR"/>
              </w:rPr>
            </w:pPr>
            <w:r w:rsidRPr="004C150A">
              <w:rPr>
                <w:rFonts w:ascii="Book Antiqua" w:hAnsi="Book Antiqua" w:cs="Calibri"/>
                <w:sz w:val="18"/>
                <w:szCs w:val="18"/>
              </w:rPr>
              <w:t>1.5</w:t>
            </w:r>
          </w:p>
        </w:tc>
        <w:tc>
          <w:tcPr>
            <w:tcW w:w="2405" w:type="dxa"/>
            <w:tcBorders>
              <w:top w:val="single" w:sz="4" w:space="0" w:color="auto"/>
              <w:left w:val="nil"/>
              <w:bottom w:val="single" w:sz="4" w:space="0" w:color="auto"/>
              <w:right w:val="single" w:sz="4" w:space="0" w:color="auto"/>
            </w:tcBorders>
            <w:shd w:val="clear" w:color="auto" w:fill="auto"/>
            <w:vAlign w:val="center"/>
            <w:hideMark/>
          </w:tcPr>
          <w:p w14:paraId="702EBCA2" w14:textId="77777777" w:rsidR="000B7A67" w:rsidRPr="00CD163A" w:rsidRDefault="000B7A67" w:rsidP="00F400D6">
            <w:pPr>
              <w:spacing w:after="0" w:line="240" w:lineRule="auto"/>
              <w:jc w:val="center"/>
              <w:rPr>
                <w:rFonts w:ascii="Book Antiqua" w:eastAsia="Times New Roman" w:hAnsi="Book Antiqua" w:cs="Calibri"/>
                <w:color w:val="000000"/>
                <w:sz w:val="18"/>
                <w:szCs w:val="18"/>
                <w:lang w:eastAsia="es-CR"/>
              </w:rPr>
            </w:pPr>
            <w:r w:rsidRPr="00CD163A">
              <w:rPr>
                <w:rFonts w:ascii="Book Antiqua" w:hAnsi="Book Antiqua" w:cs="Calibri"/>
                <w:sz w:val="18"/>
                <w:szCs w:val="18"/>
              </w:rPr>
              <w:t>Pendiente de presentar Estudio de factibilidad, Plan de Gestión y acta de constitución.</w:t>
            </w:r>
          </w:p>
        </w:tc>
      </w:tr>
      <w:tr w:rsidR="00CE48BE" w:rsidRPr="004C150A" w14:paraId="782C5F84" w14:textId="77777777" w:rsidTr="005D2F6B">
        <w:trPr>
          <w:trHeight w:val="600"/>
        </w:trPr>
        <w:tc>
          <w:tcPr>
            <w:tcW w:w="1493" w:type="dxa"/>
            <w:vMerge/>
            <w:tcBorders>
              <w:top w:val="single" w:sz="4" w:space="0" w:color="auto"/>
              <w:left w:val="single" w:sz="4" w:space="0" w:color="auto"/>
              <w:bottom w:val="single" w:sz="4" w:space="0" w:color="000000"/>
              <w:right w:val="single" w:sz="4" w:space="0" w:color="auto"/>
            </w:tcBorders>
            <w:vAlign w:val="center"/>
            <w:hideMark/>
          </w:tcPr>
          <w:p w14:paraId="56A7942E" w14:textId="77777777" w:rsidR="000B7A67" w:rsidRPr="004C150A" w:rsidRDefault="000B7A67" w:rsidP="00F400D6">
            <w:pPr>
              <w:spacing w:after="0" w:line="240" w:lineRule="auto"/>
              <w:jc w:val="center"/>
              <w:rPr>
                <w:rFonts w:ascii="Book Antiqua" w:eastAsia="Times New Roman" w:hAnsi="Book Antiqua" w:cs="Calibri"/>
                <w:color w:val="000000"/>
                <w:sz w:val="18"/>
                <w:szCs w:val="18"/>
                <w:lang w:eastAsia="es-CR"/>
              </w:rPr>
            </w:pPr>
          </w:p>
        </w:tc>
        <w:tc>
          <w:tcPr>
            <w:tcW w:w="1390" w:type="dxa"/>
            <w:vMerge/>
            <w:tcBorders>
              <w:top w:val="single" w:sz="4" w:space="0" w:color="auto"/>
              <w:left w:val="single" w:sz="4" w:space="0" w:color="auto"/>
              <w:bottom w:val="single" w:sz="4" w:space="0" w:color="000000"/>
              <w:right w:val="single" w:sz="4" w:space="0" w:color="auto"/>
            </w:tcBorders>
            <w:vAlign w:val="center"/>
            <w:hideMark/>
          </w:tcPr>
          <w:p w14:paraId="75EC7B94" w14:textId="77777777" w:rsidR="000B7A67" w:rsidRPr="004C150A" w:rsidRDefault="000B7A67" w:rsidP="00F400D6">
            <w:pPr>
              <w:spacing w:after="0" w:line="240" w:lineRule="auto"/>
              <w:jc w:val="center"/>
              <w:rPr>
                <w:rFonts w:ascii="Book Antiqua" w:eastAsia="Times New Roman" w:hAnsi="Book Antiqua" w:cs="Calibri"/>
                <w:color w:val="000000"/>
                <w:sz w:val="18"/>
                <w:szCs w:val="18"/>
                <w:lang w:eastAsia="es-CR"/>
              </w:rPr>
            </w:pPr>
          </w:p>
        </w:tc>
        <w:tc>
          <w:tcPr>
            <w:tcW w:w="1128" w:type="dxa"/>
            <w:vMerge w:val="restart"/>
            <w:tcBorders>
              <w:top w:val="nil"/>
              <w:left w:val="single" w:sz="4" w:space="0" w:color="auto"/>
              <w:right w:val="single" w:sz="4" w:space="0" w:color="auto"/>
            </w:tcBorders>
            <w:shd w:val="clear" w:color="auto" w:fill="auto"/>
            <w:vAlign w:val="center"/>
            <w:hideMark/>
          </w:tcPr>
          <w:p w14:paraId="0C4DD8ED" w14:textId="77777777" w:rsidR="000B7A67" w:rsidRPr="004C150A" w:rsidRDefault="000B7A67" w:rsidP="00F400D6">
            <w:pPr>
              <w:spacing w:after="0" w:line="240" w:lineRule="auto"/>
              <w:jc w:val="center"/>
              <w:rPr>
                <w:rFonts w:ascii="Book Antiqua" w:eastAsia="Times New Roman" w:hAnsi="Book Antiqua" w:cs="Calibri"/>
                <w:sz w:val="18"/>
                <w:szCs w:val="18"/>
                <w:lang w:eastAsia="es-CR"/>
              </w:rPr>
            </w:pPr>
            <w:r w:rsidRPr="004C150A">
              <w:rPr>
                <w:rFonts w:ascii="Book Antiqua" w:hAnsi="Book Antiqua" w:cs="Calibri"/>
                <w:color w:val="000000"/>
                <w:sz w:val="18"/>
                <w:szCs w:val="18"/>
              </w:rPr>
              <w:t>0117-DE-P11</w:t>
            </w:r>
          </w:p>
        </w:tc>
        <w:tc>
          <w:tcPr>
            <w:tcW w:w="2253" w:type="dxa"/>
            <w:vMerge w:val="restart"/>
            <w:tcBorders>
              <w:top w:val="nil"/>
              <w:left w:val="single" w:sz="4" w:space="0" w:color="auto"/>
              <w:right w:val="single" w:sz="4" w:space="0" w:color="auto"/>
            </w:tcBorders>
            <w:shd w:val="clear" w:color="auto" w:fill="auto"/>
            <w:vAlign w:val="center"/>
            <w:hideMark/>
          </w:tcPr>
          <w:p w14:paraId="2187AED4" w14:textId="77777777" w:rsidR="000B7A67" w:rsidRPr="004C150A" w:rsidRDefault="000B7A67" w:rsidP="00F400D6">
            <w:pPr>
              <w:spacing w:after="0" w:line="240" w:lineRule="auto"/>
              <w:jc w:val="center"/>
              <w:rPr>
                <w:rFonts w:ascii="Book Antiqua" w:eastAsia="Times New Roman" w:hAnsi="Book Antiqua" w:cs="Calibri"/>
                <w:sz w:val="18"/>
                <w:szCs w:val="18"/>
                <w:lang w:eastAsia="es-CR"/>
              </w:rPr>
            </w:pPr>
            <w:r w:rsidRPr="004C150A">
              <w:rPr>
                <w:rFonts w:ascii="Book Antiqua" w:hAnsi="Book Antiqua" w:cs="Calibri"/>
                <w:color w:val="000000"/>
                <w:sz w:val="18"/>
                <w:szCs w:val="18"/>
              </w:rPr>
              <w:t>Sustitución de sistema de alarma contra incendios en bodegas de Ciudad Judicial</w:t>
            </w:r>
          </w:p>
        </w:tc>
        <w:tc>
          <w:tcPr>
            <w:tcW w:w="1254" w:type="dxa"/>
            <w:tcBorders>
              <w:top w:val="nil"/>
              <w:left w:val="nil"/>
              <w:bottom w:val="single" w:sz="4" w:space="0" w:color="auto"/>
              <w:right w:val="single" w:sz="4" w:space="0" w:color="auto"/>
            </w:tcBorders>
            <w:shd w:val="clear" w:color="auto" w:fill="auto"/>
            <w:vAlign w:val="center"/>
            <w:hideMark/>
          </w:tcPr>
          <w:p w14:paraId="6D4AAD5D" w14:textId="77777777" w:rsidR="000B7A67" w:rsidRPr="004C150A" w:rsidRDefault="000B7A67" w:rsidP="00F400D6">
            <w:pPr>
              <w:spacing w:after="0" w:line="240" w:lineRule="auto"/>
              <w:jc w:val="center"/>
              <w:rPr>
                <w:rFonts w:ascii="Book Antiqua" w:eastAsia="Times New Roman" w:hAnsi="Book Antiqua" w:cs="Calibri"/>
                <w:sz w:val="18"/>
                <w:szCs w:val="18"/>
                <w:lang w:eastAsia="es-CR"/>
              </w:rPr>
            </w:pPr>
            <w:r w:rsidRPr="004C150A">
              <w:rPr>
                <w:rFonts w:ascii="Book Antiqua" w:hAnsi="Book Antiqua" w:cs="Calibri"/>
                <w:color w:val="000000"/>
                <w:sz w:val="18"/>
                <w:szCs w:val="18"/>
              </w:rPr>
              <w:t>1.5</w:t>
            </w:r>
          </w:p>
        </w:tc>
        <w:tc>
          <w:tcPr>
            <w:tcW w:w="2405" w:type="dxa"/>
            <w:tcBorders>
              <w:top w:val="nil"/>
              <w:left w:val="nil"/>
              <w:bottom w:val="single" w:sz="4" w:space="0" w:color="auto"/>
              <w:right w:val="single" w:sz="4" w:space="0" w:color="auto"/>
            </w:tcBorders>
            <w:shd w:val="clear" w:color="auto" w:fill="auto"/>
            <w:vAlign w:val="center"/>
            <w:hideMark/>
          </w:tcPr>
          <w:p w14:paraId="64E9CB62" w14:textId="77777777" w:rsidR="000B7A67" w:rsidRPr="00CD163A" w:rsidRDefault="000B7A67" w:rsidP="00F400D6">
            <w:pPr>
              <w:spacing w:after="0" w:line="240" w:lineRule="auto"/>
              <w:jc w:val="center"/>
              <w:rPr>
                <w:rFonts w:ascii="Book Antiqua" w:eastAsia="Times New Roman" w:hAnsi="Book Antiqua" w:cs="Calibri"/>
                <w:sz w:val="18"/>
                <w:szCs w:val="18"/>
                <w:lang w:eastAsia="es-CR"/>
              </w:rPr>
            </w:pPr>
            <w:r w:rsidRPr="00CD163A">
              <w:rPr>
                <w:rFonts w:ascii="Book Antiqua" w:hAnsi="Book Antiqua" w:cs="Calibri"/>
                <w:color w:val="000000"/>
                <w:sz w:val="18"/>
                <w:szCs w:val="18"/>
              </w:rPr>
              <w:t>Actualizar el diccionario del EDT con la codificación requerida / Pendiente coincidir la EDT con el cronograma</w:t>
            </w:r>
          </w:p>
        </w:tc>
      </w:tr>
      <w:tr w:rsidR="007E6FC1" w:rsidRPr="004C150A" w14:paraId="11158FCF" w14:textId="77777777" w:rsidTr="005D2F6B">
        <w:trPr>
          <w:trHeight w:val="354"/>
        </w:trPr>
        <w:tc>
          <w:tcPr>
            <w:tcW w:w="1493" w:type="dxa"/>
            <w:vMerge/>
            <w:tcBorders>
              <w:top w:val="single" w:sz="4" w:space="0" w:color="auto"/>
              <w:left w:val="single" w:sz="4" w:space="0" w:color="auto"/>
              <w:bottom w:val="single" w:sz="4" w:space="0" w:color="000000"/>
              <w:right w:val="single" w:sz="4" w:space="0" w:color="auto"/>
            </w:tcBorders>
            <w:vAlign w:val="center"/>
          </w:tcPr>
          <w:p w14:paraId="595940E4" w14:textId="77777777" w:rsidR="000B7A67" w:rsidRPr="004C150A" w:rsidRDefault="000B7A67" w:rsidP="00F400D6">
            <w:pPr>
              <w:spacing w:after="0" w:line="240" w:lineRule="auto"/>
              <w:jc w:val="center"/>
              <w:rPr>
                <w:rFonts w:ascii="Book Antiqua" w:eastAsia="Times New Roman" w:hAnsi="Book Antiqua" w:cs="Calibri"/>
                <w:color w:val="000000"/>
                <w:sz w:val="18"/>
                <w:szCs w:val="18"/>
                <w:lang w:eastAsia="es-CR"/>
              </w:rPr>
            </w:pPr>
          </w:p>
        </w:tc>
        <w:tc>
          <w:tcPr>
            <w:tcW w:w="1390" w:type="dxa"/>
            <w:vMerge/>
            <w:tcBorders>
              <w:top w:val="single" w:sz="4" w:space="0" w:color="auto"/>
              <w:left w:val="single" w:sz="4" w:space="0" w:color="auto"/>
              <w:bottom w:val="single" w:sz="4" w:space="0" w:color="000000"/>
              <w:right w:val="single" w:sz="4" w:space="0" w:color="auto"/>
            </w:tcBorders>
            <w:vAlign w:val="center"/>
          </w:tcPr>
          <w:p w14:paraId="501B4112" w14:textId="77777777" w:rsidR="000B7A67" w:rsidRPr="004C150A" w:rsidRDefault="000B7A67" w:rsidP="00F400D6">
            <w:pPr>
              <w:spacing w:after="0" w:line="240" w:lineRule="auto"/>
              <w:jc w:val="center"/>
              <w:rPr>
                <w:rFonts w:ascii="Book Antiqua" w:eastAsia="Times New Roman" w:hAnsi="Book Antiqua" w:cs="Calibri"/>
                <w:color w:val="000000"/>
                <w:sz w:val="18"/>
                <w:szCs w:val="18"/>
                <w:lang w:eastAsia="es-CR"/>
              </w:rPr>
            </w:pPr>
          </w:p>
        </w:tc>
        <w:tc>
          <w:tcPr>
            <w:tcW w:w="1128" w:type="dxa"/>
            <w:vMerge/>
            <w:tcBorders>
              <w:left w:val="single" w:sz="4" w:space="0" w:color="auto"/>
              <w:bottom w:val="single" w:sz="4" w:space="0" w:color="000000"/>
              <w:right w:val="single" w:sz="4" w:space="0" w:color="auto"/>
            </w:tcBorders>
            <w:vAlign w:val="center"/>
          </w:tcPr>
          <w:p w14:paraId="409C2C00" w14:textId="77777777" w:rsidR="000B7A67" w:rsidRPr="004C150A" w:rsidRDefault="000B7A67" w:rsidP="00F400D6">
            <w:pPr>
              <w:spacing w:after="0" w:line="240" w:lineRule="auto"/>
              <w:jc w:val="center"/>
              <w:rPr>
                <w:rFonts w:ascii="Book Antiqua" w:eastAsia="Times New Roman" w:hAnsi="Book Antiqua" w:cs="Calibri"/>
                <w:sz w:val="18"/>
                <w:szCs w:val="18"/>
                <w:lang w:eastAsia="es-CR"/>
              </w:rPr>
            </w:pPr>
          </w:p>
        </w:tc>
        <w:tc>
          <w:tcPr>
            <w:tcW w:w="2253" w:type="dxa"/>
            <w:vMerge/>
            <w:tcBorders>
              <w:left w:val="single" w:sz="4" w:space="0" w:color="auto"/>
              <w:bottom w:val="single" w:sz="4" w:space="0" w:color="000000"/>
              <w:right w:val="single" w:sz="4" w:space="0" w:color="auto"/>
            </w:tcBorders>
            <w:vAlign w:val="center"/>
          </w:tcPr>
          <w:p w14:paraId="4250DB62" w14:textId="77777777" w:rsidR="000B7A67" w:rsidRPr="004C150A" w:rsidRDefault="000B7A67" w:rsidP="00F400D6">
            <w:pPr>
              <w:spacing w:after="0" w:line="240" w:lineRule="auto"/>
              <w:jc w:val="center"/>
              <w:rPr>
                <w:rFonts w:ascii="Book Antiqua" w:eastAsia="Times New Roman" w:hAnsi="Book Antiqua" w:cs="Calibri"/>
                <w:sz w:val="18"/>
                <w:szCs w:val="18"/>
                <w:lang w:eastAsia="es-CR"/>
              </w:rPr>
            </w:pPr>
          </w:p>
        </w:tc>
        <w:tc>
          <w:tcPr>
            <w:tcW w:w="1254" w:type="dxa"/>
            <w:tcBorders>
              <w:top w:val="nil"/>
              <w:left w:val="nil"/>
              <w:bottom w:val="single" w:sz="4" w:space="0" w:color="auto"/>
              <w:right w:val="single" w:sz="4" w:space="0" w:color="auto"/>
            </w:tcBorders>
            <w:shd w:val="clear" w:color="auto" w:fill="auto"/>
            <w:vAlign w:val="center"/>
          </w:tcPr>
          <w:p w14:paraId="32FD2135" w14:textId="77777777" w:rsidR="000B7A67" w:rsidRPr="004C150A" w:rsidRDefault="000B7A67" w:rsidP="00F400D6">
            <w:pPr>
              <w:spacing w:after="0" w:line="240" w:lineRule="auto"/>
              <w:jc w:val="center"/>
              <w:rPr>
                <w:rFonts w:ascii="Book Antiqua" w:eastAsia="Times New Roman" w:hAnsi="Book Antiqua" w:cs="Calibri"/>
                <w:sz w:val="18"/>
                <w:szCs w:val="18"/>
                <w:lang w:eastAsia="es-CR"/>
              </w:rPr>
            </w:pPr>
            <w:r w:rsidRPr="004C150A">
              <w:rPr>
                <w:rFonts w:ascii="Book Antiqua" w:hAnsi="Book Antiqua" w:cs="Calibri"/>
                <w:color w:val="000000"/>
                <w:sz w:val="18"/>
                <w:szCs w:val="18"/>
              </w:rPr>
              <w:t>2.1</w:t>
            </w:r>
          </w:p>
        </w:tc>
        <w:tc>
          <w:tcPr>
            <w:tcW w:w="2405" w:type="dxa"/>
            <w:tcBorders>
              <w:top w:val="nil"/>
              <w:left w:val="nil"/>
              <w:bottom w:val="single" w:sz="4" w:space="0" w:color="auto"/>
              <w:right w:val="single" w:sz="4" w:space="0" w:color="auto"/>
            </w:tcBorders>
            <w:shd w:val="clear" w:color="auto" w:fill="auto"/>
            <w:vAlign w:val="center"/>
          </w:tcPr>
          <w:p w14:paraId="33EFC998" w14:textId="77777777" w:rsidR="000B7A67" w:rsidRPr="00CD163A" w:rsidRDefault="000B7A67" w:rsidP="00F400D6">
            <w:pPr>
              <w:spacing w:after="0" w:line="240" w:lineRule="auto"/>
              <w:jc w:val="center"/>
              <w:rPr>
                <w:rFonts w:ascii="Book Antiqua" w:eastAsia="Times New Roman" w:hAnsi="Book Antiqua" w:cs="Calibri"/>
                <w:sz w:val="18"/>
                <w:szCs w:val="18"/>
                <w:lang w:eastAsia="es-CR"/>
              </w:rPr>
            </w:pPr>
            <w:r w:rsidRPr="00CD163A">
              <w:rPr>
                <w:rFonts w:ascii="Book Antiqua" w:hAnsi="Book Antiqua" w:cs="Calibri"/>
                <w:sz w:val="18"/>
                <w:szCs w:val="18"/>
              </w:rPr>
              <w:t>Pendiente de elaborar el III informe de seguimiento.</w:t>
            </w:r>
          </w:p>
        </w:tc>
      </w:tr>
      <w:tr w:rsidR="00BC00B3" w:rsidRPr="004C150A" w14:paraId="3CC9FDB9" w14:textId="77777777" w:rsidTr="005D2F6B">
        <w:trPr>
          <w:trHeight w:val="720"/>
        </w:trPr>
        <w:tc>
          <w:tcPr>
            <w:tcW w:w="1493" w:type="dxa"/>
            <w:vMerge/>
            <w:tcBorders>
              <w:top w:val="single" w:sz="4" w:space="0" w:color="auto"/>
              <w:left w:val="single" w:sz="4" w:space="0" w:color="auto"/>
              <w:bottom w:val="single" w:sz="4" w:space="0" w:color="000000"/>
              <w:right w:val="single" w:sz="4" w:space="0" w:color="auto"/>
            </w:tcBorders>
            <w:vAlign w:val="center"/>
            <w:hideMark/>
          </w:tcPr>
          <w:p w14:paraId="033AA589" w14:textId="77777777" w:rsidR="000B7A67" w:rsidRPr="004C150A" w:rsidRDefault="000B7A67" w:rsidP="00F400D6">
            <w:pPr>
              <w:spacing w:after="0" w:line="240" w:lineRule="auto"/>
              <w:jc w:val="center"/>
              <w:rPr>
                <w:rFonts w:ascii="Book Antiqua" w:eastAsia="Times New Roman" w:hAnsi="Book Antiqua" w:cs="Calibri"/>
                <w:color w:val="000000"/>
                <w:sz w:val="18"/>
                <w:szCs w:val="18"/>
                <w:lang w:eastAsia="es-CR"/>
              </w:rPr>
            </w:pPr>
          </w:p>
        </w:tc>
        <w:tc>
          <w:tcPr>
            <w:tcW w:w="1390" w:type="dxa"/>
            <w:vMerge/>
            <w:tcBorders>
              <w:top w:val="single" w:sz="4" w:space="0" w:color="auto"/>
              <w:left w:val="single" w:sz="4" w:space="0" w:color="auto"/>
              <w:bottom w:val="single" w:sz="4" w:space="0" w:color="000000"/>
              <w:right w:val="single" w:sz="4" w:space="0" w:color="auto"/>
            </w:tcBorders>
            <w:vAlign w:val="center"/>
            <w:hideMark/>
          </w:tcPr>
          <w:p w14:paraId="7BED281F" w14:textId="77777777" w:rsidR="000B7A67" w:rsidRPr="004C150A" w:rsidRDefault="000B7A67" w:rsidP="00F400D6">
            <w:pPr>
              <w:spacing w:after="0" w:line="240" w:lineRule="auto"/>
              <w:jc w:val="center"/>
              <w:rPr>
                <w:rFonts w:ascii="Book Antiqua" w:eastAsia="Times New Roman" w:hAnsi="Book Antiqua" w:cs="Calibri"/>
                <w:color w:val="000000"/>
                <w:sz w:val="18"/>
                <w:szCs w:val="18"/>
                <w:lang w:eastAsia="es-CR"/>
              </w:rPr>
            </w:pPr>
          </w:p>
        </w:tc>
        <w:tc>
          <w:tcPr>
            <w:tcW w:w="1128" w:type="dxa"/>
            <w:tcBorders>
              <w:top w:val="nil"/>
              <w:left w:val="nil"/>
              <w:bottom w:val="single" w:sz="4" w:space="0" w:color="auto"/>
              <w:right w:val="single" w:sz="4" w:space="0" w:color="auto"/>
            </w:tcBorders>
            <w:shd w:val="clear" w:color="auto" w:fill="auto"/>
            <w:vAlign w:val="center"/>
            <w:hideMark/>
          </w:tcPr>
          <w:p w14:paraId="542925AC" w14:textId="77777777" w:rsidR="000B7A67" w:rsidRPr="004C150A" w:rsidRDefault="000B7A67" w:rsidP="00F400D6">
            <w:pPr>
              <w:spacing w:after="0" w:line="240" w:lineRule="auto"/>
              <w:jc w:val="center"/>
              <w:rPr>
                <w:rFonts w:ascii="Book Antiqua" w:eastAsia="Times New Roman" w:hAnsi="Book Antiqua" w:cs="Calibri"/>
                <w:sz w:val="18"/>
                <w:szCs w:val="18"/>
                <w:lang w:eastAsia="es-CR"/>
              </w:rPr>
            </w:pPr>
            <w:r w:rsidRPr="004C150A">
              <w:rPr>
                <w:rFonts w:ascii="Book Antiqua" w:hAnsi="Book Antiqua" w:cs="Calibri"/>
                <w:color w:val="000000"/>
                <w:sz w:val="18"/>
                <w:szCs w:val="18"/>
              </w:rPr>
              <w:t>0117-DE-P72</w:t>
            </w:r>
          </w:p>
        </w:tc>
        <w:tc>
          <w:tcPr>
            <w:tcW w:w="2253" w:type="dxa"/>
            <w:tcBorders>
              <w:top w:val="nil"/>
              <w:left w:val="nil"/>
              <w:bottom w:val="single" w:sz="4" w:space="0" w:color="auto"/>
              <w:right w:val="single" w:sz="4" w:space="0" w:color="auto"/>
            </w:tcBorders>
            <w:shd w:val="clear" w:color="auto" w:fill="auto"/>
            <w:vAlign w:val="center"/>
            <w:hideMark/>
          </w:tcPr>
          <w:p w14:paraId="4997245B" w14:textId="77777777" w:rsidR="000B7A67" w:rsidRPr="004C150A" w:rsidRDefault="000B7A67" w:rsidP="00F400D6">
            <w:pPr>
              <w:spacing w:after="0" w:line="240" w:lineRule="auto"/>
              <w:jc w:val="center"/>
              <w:rPr>
                <w:rFonts w:ascii="Book Antiqua" w:eastAsia="Times New Roman" w:hAnsi="Book Antiqua" w:cs="Calibri"/>
                <w:sz w:val="18"/>
                <w:szCs w:val="18"/>
                <w:lang w:eastAsia="es-CR"/>
              </w:rPr>
            </w:pPr>
            <w:r w:rsidRPr="004C150A">
              <w:rPr>
                <w:rFonts w:ascii="Book Antiqua" w:hAnsi="Book Antiqua" w:cs="Calibri"/>
                <w:sz w:val="18"/>
                <w:szCs w:val="18"/>
              </w:rPr>
              <w:t>Cambio de cubierta de bodegas Ciudad Judicial</w:t>
            </w:r>
          </w:p>
        </w:tc>
        <w:tc>
          <w:tcPr>
            <w:tcW w:w="1254" w:type="dxa"/>
            <w:tcBorders>
              <w:top w:val="nil"/>
              <w:left w:val="nil"/>
              <w:bottom w:val="single" w:sz="4" w:space="0" w:color="auto"/>
              <w:right w:val="single" w:sz="4" w:space="0" w:color="auto"/>
            </w:tcBorders>
            <w:shd w:val="clear" w:color="auto" w:fill="auto"/>
            <w:vAlign w:val="center"/>
            <w:hideMark/>
          </w:tcPr>
          <w:p w14:paraId="465A8DFA" w14:textId="77777777" w:rsidR="000B7A67" w:rsidRPr="004C150A" w:rsidRDefault="000B7A67" w:rsidP="00F400D6">
            <w:pPr>
              <w:spacing w:after="0" w:line="240" w:lineRule="auto"/>
              <w:jc w:val="center"/>
              <w:rPr>
                <w:rFonts w:ascii="Book Antiqua" w:eastAsia="Times New Roman" w:hAnsi="Book Antiqua" w:cs="Calibri"/>
                <w:sz w:val="18"/>
                <w:szCs w:val="18"/>
                <w:lang w:eastAsia="es-CR"/>
              </w:rPr>
            </w:pPr>
            <w:r w:rsidRPr="004C150A">
              <w:rPr>
                <w:rFonts w:ascii="Book Antiqua" w:hAnsi="Book Antiqua" w:cs="Calibri"/>
                <w:sz w:val="18"/>
                <w:szCs w:val="18"/>
              </w:rPr>
              <w:t>1.5</w:t>
            </w:r>
          </w:p>
        </w:tc>
        <w:tc>
          <w:tcPr>
            <w:tcW w:w="2405" w:type="dxa"/>
            <w:tcBorders>
              <w:top w:val="nil"/>
              <w:left w:val="nil"/>
              <w:bottom w:val="single" w:sz="4" w:space="0" w:color="auto"/>
              <w:right w:val="single" w:sz="4" w:space="0" w:color="auto"/>
            </w:tcBorders>
            <w:shd w:val="clear" w:color="auto" w:fill="auto"/>
            <w:vAlign w:val="center"/>
            <w:hideMark/>
          </w:tcPr>
          <w:p w14:paraId="1B057E46" w14:textId="77777777" w:rsidR="000B7A67" w:rsidRPr="00CD163A" w:rsidRDefault="000B7A67" w:rsidP="00F400D6">
            <w:pPr>
              <w:spacing w:after="0" w:line="240" w:lineRule="auto"/>
              <w:jc w:val="center"/>
              <w:rPr>
                <w:rFonts w:ascii="Book Antiqua" w:eastAsia="Times New Roman" w:hAnsi="Book Antiqua" w:cs="Calibri"/>
                <w:sz w:val="18"/>
                <w:szCs w:val="18"/>
                <w:lang w:eastAsia="es-CR"/>
              </w:rPr>
            </w:pPr>
            <w:r w:rsidRPr="00CD163A">
              <w:rPr>
                <w:rFonts w:ascii="Book Antiqua" w:hAnsi="Book Antiqua" w:cs="Calibri"/>
                <w:sz w:val="18"/>
                <w:szCs w:val="18"/>
              </w:rPr>
              <w:t>Pendiente de presentar Estudio de factibilidad, Plan de Gestión y acta de constitución.</w:t>
            </w:r>
          </w:p>
        </w:tc>
      </w:tr>
    </w:tbl>
    <w:p w14:paraId="2C178830" w14:textId="77777777" w:rsidR="000B7A67" w:rsidRDefault="000B7A67" w:rsidP="00FD72F6">
      <w:pPr>
        <w:spacing w:after="0" w:line="240" w:lineRule="auto"/>
        <w:ind w:left="284" w:right="-519"/>
        <w:jc w:val="right"/>
        <w:rPr>
          <w:rFonts w:ascii="Book Antiqua" w:hAnsi="Book Antiqua"/>
          <w:sz w:val="24"/>
          <w:szCs w:val="24"/>
        </w:rPr>
      </w:pPr>
      <w:r>
        <w:rPr>
          <w:rFonts w:ascii="Book Antiqua" w:hAnsi="Book Antiqua"/>
          <w:sz w:val="24"/>
          <w:szCs w:val="24"/>
        </w:rPr>
        <w:t xml:space="preserve"> “.</w:t>
      </w:r>
    </w:p>
    <w:p w14:paraId="1DD05515" w14:textId="77777777" w:rsidR="000B7A67" w:rsidRDefault="000B7A67" w:rsidP="000B7A67">
      <w:pPr>
        <w:spacing w:after="0"/>
        <w:jc w:val="both"/>
        <w:rPr>
          <w:rFonts w:ascii="Book Antiqua" w:hAnsi="Book Antiqua"/>
          <w:sz w:val="24"/>
          <w:szCs w:val="24"/>
        </w:rPr>
      </w:pPr>
    </w:p>
    <w:p w14:paraId="5C5CD095" w14:textId="77777777" w:rsidR="000B7A67" w:rsidRDefault="000B7A67" w:rsidP="000B7A67">
      <w:pPr>
        <w:spacing w:after="0"/>
        <w:jc w:val="both"/>
        <w:rPr>
          <w:rFonts w:ascii="Book Antiqua" w:hAnsi="Book Antiqua"/>
        </w:rPr>
      </w:pPr>
      <w:r>
        <w:rPr>
          <w:rFonts w:ascii="Book Antiqua" w:hAnsi="Book Antiqua"/>
          <w:sz w:val="24"/>
          <w:szCs w:val="24"/>
        </w:rPr>
        <w:t>Con la finalidad de dar seguimiento a estas recomendaciones, se remite correo a la oficina mediante el oficio 1781</w:t>
      </w:r>
      <w:r w:rsidRPr="004C19A1">
        <w:rPr>
          <w:rFonts w:ascii="Book Antiqua" w:hAnsi="Book Antiqua"/>
          <w:sz w:val="24"/>
          <w:szCs w:val="24"/>
        </w:rPr>
        <w:t>-PLA-PP-TR-2023</w:t>
      </w:r>
      <w:r>
        <w:rPr>
          <w:rFonts w:ascii="Book Antiqua" w:hAnsi="Book Antiqua"/>
          <w:sz w:val="24"/>
          <w:szCs w:val="24"/>
        </w:rPr>
        <w:t xml:space="preserve">, </w:t>
      </w:r>
      <w:r w:rsidRPr="007309BD">
        <w:rPr>
          <w:rFonts w:ascii="Book Antiqua" w:hAnsi="Book Antiqua"/>
          <w:sz w:val="24"/>
          <w:szCs w:val="24"/>
        </w:rPr>
        <w:t>la misma respondió indicando el cumplimiento de algunos puntos, como mencionando la suspensión de algunos proyectos, por lo cual no se podrá acatar en este momento dicha recomendación.</w:t>
      </w:r>
    </w:p>
    <w:p w14:paraId="6FBAC8AE" w14:textId="77777777" w:rsidR="000B7A67" w:rsidRDefault="000B7A67" w:rsidP="000B7A67">
      <w:pPr>
        <w:pStyle w:val="Default"/>
        <w:ind w:right="49"/>
        <w:jc w:val="both"/>
        <w:rPr>
          <w:rFonts w:ascii="Book Antiqua" w:hAnsi="Book Antiqua"/>
        </w:rPr>
      </w:pPr>
    </w:p>
    <w:p w14:paraId="6BB1B245" w14:textId="77777777" w:rsidR="000B7A67" w:rsidRDefault="000B7A67" w:rsidP="000B7A67">
      <w:pPr>
        <w:spacing w:after="0"/>
        <w:jc w:val="both"/>
        <w:rPr>
          <w:rFonts w:ascii="Book Antiqua" w:hAnsi="Book Antiqua"/>
          <w:sz w:val="24"/>
          <w:szCs w:val="24"/>
        </w:rPr>
      </w:pPr>
      <w:r>
        <w:rPr>
          <w:rFonts w:ascii="Book Antiqua" w:hAnsi="Book Antiqua"/>
          <w:sz w:val="24"/>
          <w:szCs w:val="24"/>
        </w:rPr>
        <w:t>Consecutivamente se procedió a revisar en los centros de proyectos para validar el cumplimiento de estas recomendaciones (</w:t>
      </w:r>
      <w:hyperlink r:id="rId10" w:history="1">
        <w:r w:rsidRPr="00D92A85">
          <w:rPr>
            <w:rStyle w:val="Hipervnculo"/>
            <w:rFonts w:ascii="Book Antiqua" w:hAnsi="Book Antiqua"/>
            <w:sz w:val="24"/>
            <w:szCs w:val="24"/>
          </w:rPr>
          <w:t>Ver enlace: Administración Ciudad Judicial San Joaquín de Flores</w:t>
        </w:r>
      </w:hyperlink>
      <w:r>
        <w:rPr>
          <w:rFonts w:ascii="Book Antiqua" w:hAnsi="Book Antiqua"/>
          <w:sz w:val="24"/>
          <w:szCs w:val="24"/>
        </w:rPr>
        <w:t>); sin embargo, aún se encuentra pendiente los siguientes puntos:</w:t>
      </w:r>
    </w:p>
    <w:p w14:paraId="1B10F309" w14:textId="77777777" w:rsidR="000B7A67" w:rsidRDefault="000B7A67" w:rsidP="000B7A67">
      <w:pPr>
        <w:spacing w:after="0"/>
        <w:rPr>
          <w:lang w:eastAsia="ko-KR"/>
        </w:rPr>
      </w:pPr>
    </w:p>
    <w:p w14:paraId="74485E62" w14:textId="028F0489" w:rsidR="000B7A67" w:rsidRPr="00A562C7" w:rsidRDefault="000B7A67" w:rsidP="000B7A67">
      <w:pPr>
        <w:pStyle w:val="Descripcin"/>
        <w:keepNext/>
        <w:spacing w:after="0"/>
        <w:jc w:val="center"/>
        <w:rPr>
          <w:rFonts w:ascii="Book Antiqua" w:hAnsi="Book Antiqua" w:cs="&amp;quot"/>
          <w:b/>
          <w:i w:val="0"/>
          <w:iCs w:val="0"/>
          <w:color w:val="auto"/>
          <w:sz w:val="24"/>
          <w:szCs w:val="24"/>
        </w:rPr>
      </w:pPr>
      <w:bookmarkStart w:id="5" w:name="_Toc131155922"/>
      <w:r w:rsidRPr="00A562C7">
        <w:rPr>
          <w:rFonts w:ascii="Book Antiqua" w:hAnsi="Book Antiqua" w:cs="&amp;quot"/>
          <w:b/>
          <w:i w:val="0"/>
          <w:iCs w:val="0"/>
          <w:color w:val="auto"/>
          <w:sz w:val="24"/>
          <w:szCs w:val="24"/>
        </w:rPr>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Pr>
          <w:rFonts w:ascii="Book Antiqua" w:hAnsi="Book Antiqua" w:cs="&amp;quot"/>
          <w:b/>
          <w:i w:val="0"/>
          <w:iCs w:val="0"/>
          <w:noProof/>
          <w:color w:val="auto"/>
          <w:sz w:val="24"/>
          <w:szCs w:val="24"/>
        </w:rPr>
        <w:t>1</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 proyecto</w:t>
      </w:r>
      <w:r w:rsidR="001C41F2">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 xml:space="preserve">que tiene pendiente de </w:t>
      </w:r>
      <w:r>
        <w:rPr>
          <w:rFonts w:ascii="Book Antiqua" w:hAnsi="Book Antiqua" w:cs="&amp;quot"/>
          <w:b/>
          <w:i w:val="0"/>
          <w:iCs w:val="0"/>
          <w:color w:val="auto"/>
          <w:sz w:val="24"/>
          <w:szCs w:val="24"/>
        </w:rPr>
        <w:t xml:space="preserve">atender recomendaciones en </w:t>
      </w:r>
      <w:r w:rsidRPr="004C19A1">
        <w:rPr>
          <w:rFonts w:ascii="Book Antiqua" w:hAnsi="Book Antiqua" w:cs="&amp;quot"/>
          <w:b/>
          <w:i w:val="0"/>
          <w:iCs w:val="0"/>
          <w:color w:val="auto"/>
          <w:sz w:val="24"/>
          <w:szCs w:val="24"/>
        </w:rPr>
        <w:t>Administración Ciudad Judicial San Joaquín de Flores</w:t>
      </w:r>
      <w:bookmarkEnd w:id="5"/>
    </w:p>
    <w:tbl>
      <w:tblPr>
        <w:tblW w:w="9497" w:type="dxa"/>
        <w:tblInd w:w="-5" w:type="dxa"/>
        <w:tblCellMar>
          <w:left w:w="70" w:type="dxa"/>
          <w:right w:w="70" w:type="dxa"/>
        </w:tblCellMar>
        <w:tblLook w:val="04A0" w:firstRow="1" w:lastRow="0" w:firstColumn="1" w:lastColumn="0" w:noHBand="0" w:noVBand="1"/>
      </w:tblPr>
      <w:tblGrid>
        <w:gridCol w:w="1550"/>
        <w:gridCol w:w="1143"/>
        <w:gridCol w:w="1843"/>
        <w:gridCol w:w="4961"/>
      </w:tblGrid>
      <w:tr w:rsidR="000B7A67" w:rsidRPr="00DC632E" w14:paraId="355CDD9F" w14:textId="77777777" w:rsidTr="005E50C6">
        <w:trPr>
          <w:trHeight w:val="480"/>
          <w:tblHeader/>
        </w:trPr>
        <w:tc>
          <w:tcPr>
            <w:tcW w:w="155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1759C5B2" w14:textId="77777777" w:rsidR="000B7A67" w:rsidRPr="00DC632E" w:rsidRDefault="000B7A67" w:rsidP="00F400D6">
            <w:pPr>
              <w:spacing w:after="0" w:line="240" w:lineRule="auto"/>
              <w:jc w:val="center"/>
              <w:rPr>
                <w:rFonts w:ascii="Book Antiqua" w:eastAsia="Times New Roman" w:hAnsi="Book Antiqua" w:cs="Calibri"/>
                <w:b/>
                <w:bCs/>
                <w:color w:val="FFFFFF"/>
                <w:sz w:val="18"/>
                <w:szCs w:val="18"/>
                <w:lang w:eastAsia="es-CR"/>
              </w:rPr>
            </w:pPr>
            <w:r w:rsidRPr="00DC632E">
              <w:rPr>
                <w:rFonts w:ascii="Book Antiqua" w:eastAsia="Times New Roman" w:hAnsi="Book Antiqua" w:cs="Calibri"/>
                <w:b/>
                <w:bCs/>
                <w:color w:val="FFFFFF"/>
                <w:sz w:val="18"/>
                <w:szCs w:val="18"/>
                <w:lang w:eastAsia="es-CR"/>
              </w:rPr>
              <w:t>Centro de responsabilidad</w:t>
            </w:r>
          </w:p>
        </w:tc>
        <w:tc>
          <w:tcPr>
            <w:tcW w:w="1143" w:type="dxa"/>
            <w:tcBorders>
              <w:top w:val="single" w:sz="4" w:space="0" w:color="auto"/>
              <w:left w:val="nil"/>
              <w:bottom w:val="single" w:sz="4" w:space="0" w:color="auto"/>
              <w:right w:val="single" w:sz="4" w:space="0" w:color="auto"/>
            </w:tcBorders>
            <w:shd w:val="clear" w:color="000000" w:fill="44546A"/>
            <w:vAlign w:val="center"/>
            <w:hideMark/>
          </w:tcPr>
          <w:p w14:paraId="6A020D50" w14:textId="77777777" w:rsidR="000B7A67" w:rsidRPr="00DC632E" w:rsidRDefault="000B7A67" w:rsidP="00F400D6">
            <w:pPr>
              <w:spacing w:after="0" w:line="240" w:lineRule="auto"/>
              <w:jc w:val="center"/>
              <w:rPr>
                <w:rFonts w:ascii="Book Antiqua" w:eastAsia="Times New Roman" w:hAnsi="Book Antiqua" w:cs="Calibri"/>
                <w:b/>
                <w:bCs/>
                <w:color w:val="FFFFFF"/>
                <w:sz w:val="18"/>
                <w:szCs w:val="18"/>
                <w:lang w:eastAsia="es-CR"/>
              </w:rPr>
            </w:pPr>
            <w:r w:rsidRPr="00DC632E">
              <w:rPr>
                <w:rFonts w:ascii="Book Antiqua" w:eastAsia="Times New Roman" w:hAnsi="Book Antiqua" w:cs="Calibri"/>
                <w:b/>
                <w:bCs/>
                <w:color w:val="FFFFFF"/>
                <w:sz w:val="18"/>
                <w:szCs w:val="18"/>
                <w:lang w:eastAsia="es-CR"/>
              </w:rPr>
              <w:t>Código</w:t>
            </w:r>
          </w:p>
        </w:tc>
        <w:tc>
          <w:tcPr>
            <w:tcW w:w="1843" w:type="dxa"/>
            <w:tcBorders>
              <w:top w:val="single" w:sz="4" w:space="0" w:color="auto"/>
              <w:left w:val="nil"/>
              <w:bottom w:val="single" w:sz="4" w:space="0" w:color="auto"/>
              <w:right w:val="single" w:sz="4" w:space="0" w:color="auto"/>
            </w:tcBorders>
            <w:shd w:val="clear" w:color="000000" w:fill="44546A"/>
            <w:vAlign w:val="center"/>
            <w:hideMark/>
          </w:tcPr>
          <w:p w14:paraId="6BC5931F" w14:textId="77777777" w:rsidR="000B7A67" w:rsidRPr="00DC632E" w:rsidRDefault="000B7A67" w:rsidP="00F400D6">
            <w:pPr>
              <w:spacing w:after="0" w:line="240" w:lineRule="auto"/>
              <w:jc w:val="center"/>
              <w:rPr>
                <w:rFonts w:ascii="Book Antiqua" w:eastAsia="Times New Roman" w:hAnsi="Book Antiqua" w:cs="Calibri"/>
                <w:b/>
                <w:bCs/>
                <w:color w:val="FFFFFF"/>
                <w:sz w:val="18"/>
                <w:szCs w:val="18"/>
                <w:lang w:eastAsia="es-CR"/>
              </w:rPr>
            </w:pPr>
            <w:r w:rsidRPr="00DC632E">
              <w:rPr>
                <w:rFonts w:ascii="Book Antiqua" w:eastAsia="Times New Roman" w:hAnsi="Book Antiqua" w:cs="Calibri"/>
                <w:b/>
                <w:bCs/>
                <w:color w:val="FFFFFF"/>
                <w:sz w:val="18"/>
                <w:szCs w:val="18"/>
                <w:lang w:eastAsia="es-CR"/>
              </w:rPr>
              <w:t>Nombre</w:t>
            </w:r>
          </w:p>
        </w:tc>
        <w:tc>
          <w:tcPr>
            <w:tcW w:w="4961" w:type="dxa"/>
            <w:tcBorders>
              <w:top w:val="single" w:sz="4" w:space="0" w:color="auto"/>
              <w:left w:val="nil"/>
              <w:bottom w:val="single" w:sz="4" w:space="0" w:color="auto"/>
              <w:right w:val="single" w:sz="4" w:space="0" w:color="auto"/>
            </w:tcBorders>
            <w:shd w:val="clear" w:color="000000" w:fill="44546A"/>
            <w:vAlign w:val="center"/>
            <w:hideMark/>
          </w:tcPr>
          <w:p w14:paraId="15A9FD08" w14:textId="77777777" w:rsidR="000B7A67" w:rsidRPr="00DC632E" w:rsidRDefault="000B7A67" w:rsidP="00F400D6">
            <w:pPr>
              <w:spacing w:after="0" w:line="240" w:lineRule="auto"/>
              <w:jc w:val="center"/>
              <w:rPr>
                <w:rFonts w:ascii="Book Antiqua" w:eastAsia="Times New Roman" w:hAnsi="Book Antiqua" w:cs="Calibri"/>
                <w:b/>
                <w:bCs/>
                <w:color w:val="FFFFFF"/>
                <w:sz w:val="18"/>
                <w:szCs w:val="18"/>
                <w:lang w:eastAsia="es-CR"/>
              </w:rPr>
            </w:pPr>
            <w:r w:rsidRPr="00DC632E">
              <w:rPr>
                <w:rFonts w:ascii="Book Antiqua" w:eastAsia="Times New Roman" w:hAnsi="Book Antiqua" w:cs="Calibri"/>
                <w:b/>
                <w:bCs/>
                <w:color w:val="FFFFFF"/>
                <w:sz w:val="18"/>
                <w:szCs w:val="18"/>
                <w:lang w:eastAsia="es-CR"/>
              </w:rPr>
              <w:t>Recomendación pendiente</w:t>
            </w:r>
          </w:p>
        </w:tc>
      </w:tr>
      <w:tr w:rsidR="000B7A67" w:rsidRPr="00DC632E" w14:paraId="5F753EEE" w14:textId="77777777" w:rsidTr="005E50C6">
        <w:trPr>
          <w:trHeight w:val="720"/>
        </w:trPr>
        <w:tc>
          <w:tcPr>
            <w:tcW w:w="1550" w:type="dxa"/>
            <w:tcBorders>
              <w:top w:val="nil"/>
              <w:left w:val="single" w:sz="4" w:space="0" w:color="auto"/>
              <w:bottom w:val="single" w:sz="4" w:space="0" w:color="auto"/>
              <w:right w:val="single" w:sz="4" w:space="0" w:color="auto"/>
            </w:tcBorders>
            <w:vAlign w:val="center"/>
            <w:hideMark/>
          </w:tcPr>
          <w:p w14:paraId="46AEDBB4" w14:textId="77777777" w:rsidR="000B7A67" w:rsidRPr="00DC632E" w:rsidRDefault="000B7A67" w:rsidP="00F400D6">
            <w:pPr>
              <w:spacing w:after="0" w:line="240" w:lineRule="auto"/>
              <w:jc w:val="center"/>
              <w:rPr>
                <w:rFonts w:ascii="Book Antiqua" w:eastAsia="Times New Roman" w:hAnsi="Book Antiqua" w:cs="Calibri"/>
                <w:color w:val="000000"/>
                <w:sz w:val="18"/>
                <w:szCs w:val="18"/>
                <w:lang w:eastAsia="es-CR"/>
              </w:rPr>
            </w:pPr>
            <w:r w:rsidRPr="00D242EF">
              <w:rPr>
                <w:rFonts w:ascii="Book Antiqua" w:eastAsia="Times New Roman" w:hAnsi="Book Antiqua" w:cs="Calibri"/>
                <w:color w:val="000000"/>
                <w:sz w:val="18"/>
                <w:szCs w:val="18"/>
                <w:lang w:eastAsia="es-CR"/>
              </w:rPr>
              <w:t>0667 Administración Ciudad Judicial San Joaquín de Flores</w:t>
            </w:r>
          </w:p>
        </w:tc>
        <w:tc>
          <w:tcPr>
            <w:tcW w:w="1143" w:type="dxa"/>
            <w:tcBorders>
              <w:top w:val="nil"/>
              <w:left w:val="nil"/>
              <w:bottom w:val="single" w:sz="4" w:space="0" w:color="auto"/>
              <w:right w:val="single" w:sz="4" w:space="0" w:color="auto"/>
            </w:tcBorders>
            <w:shd w:val="clear" w:color="auto" w:fill="auto"/>
            <w:vAlign w:val="center"/>
            <w:hideMark/>
          </w:tcPr>
          <w:p w14:paraId="3D2F520C" w14:textId="77777777" w:rsidR="000B7A67" w:rsidRPr="00DC632E" w:rsidRDefault="000B7A67" w:rsidP="00F400D6">
            <w:pPr>
              <w:spacing w:after="0" w:line="240" w:lineRule="auto"/>
              <w:jc w:val="center"/>
              <w:rPr>
                <w:rFonts w:ascii="Book Antiqua" w:eastAsia="Times New Roman" w:hAnsi="Book Antiqua" w:cs="Calibri"/>
                <w:sz w:val="18"/>
                <w:szCs w:val="18"/>
                <w:lang w:eastAsia="es-CR"/>
              </w:rPr>
            </w:pPr>
            <w:r w:rsidRPr="00DC632E">
              <w:rPr>
                <w:rFonts w:ascii="Book Antiqua" w:eastAsia="Times New Roman" w:hAnsi="Book Antiqua" w:cs="Calibri"/>
                <w:sz w:val="18"/>
                <w:szCs w:val="18"/>
                <w:lang w:eastAsia="es-CR"/>
              </w:rPr>
              <w:t>0117-DE-P73</w:t>
            </w:r>
          </w:p>
        </w:tc>
        <w:tc>
          <w:tcPr>
            <w:tcW w:w="1843" w:type="dxa"/>
            <w:tcBorders>
              <w:top w:val="nil"/>
              <w:left w:val="nil"/>
              <w:bottom w:val="single" w:sz="4" w:space="0" w:color="auto"/>
              <w:right w:val="single" w:sz="4" w:space="0" w:color="auto"/>
            </w:tcBorders>
            <w:shd w:val="clear" w:color="auto" w:fill="auto"/>
            <w:vAlign w:val="center"/>
            <w:hideMark/>
          </w:tcPr>
          <w:p w14:paraId="5B6B5F0A" w14:textId="77777777" w:rsidR="000B7A67" w:rsidRPr="00DC632E" w:rsidRDefault="000B7A67" w:rsidP="00F400D6">
            <w:pPr>
              <w:spacing w:after="0" w:line="240" w:lineRule="auto"/>
              <w:jc w:val="center"/>
              <w:rPr>
                <w:rFonts w:ascii="Book Antiqua" w:eastAsia="Times New Roman" w:hAnsi="Book Antiqua" w:cs="Calibri"/>
                <w:sz w:val="18"/>
                <w:szCs w:val="18"/>
                <w:lang w:eastAsia="es-CR"/>
              </w:rPr>
            </w:pPr>
            <w:r w:rsidRPr="00DC632E">
              <w:rPr>
                <w:rFonts w:ascii="Book Antiqua" w:eastAsia="Times New Roman" w:hAnsi="Book Antiqua" w:cs="Calibri"/>
                <w:sz w:val="18"/>
                <w:szCs w:val="18"/>
                <w:lang w:eastAsia="es-CR"/>
              </w:rPr>
              <w:t>Sistema de control de incendios para el edificio de Patología Forense</w:t>
            </w:r>
          </w:p>
        </w:tc>
        <w:tc>
          <w:tcPr>
            <w:tcW w:w="4961" w:type="dxa"/>
            <w:tcBorders>
              <w:top w:val="nil"/>
              <w:left w:val="nil"/>
              <w:bottom w:val="single" w:sz="4" w:space="0" w:color="auto"/>
              <w:right w:val="single" w:sz="4" w:space="0" w:color="auto"/>
            </w:tcBorders>
            <w:shd w:val="clear" w:color="auto" w:fill="auto"/>
            <w:vAlign w:val="center"/>
            <w:hideMark/>
          </w:tcPr>
          <w:p w14:paraId="4129E3D1" w14:textId="77777777" w:rsidR="000B7A67" w:rsidRDefault="000B7A67" w:rsidP="007309BD">
            <w:pPr>
              <w:rPr>
                <w:rFonts w:ascii="Book Antiqua" w:hAnsi="Book Antiqua" w:cs="Calibri"/>
                <w:color w:val="000000"/>
                <w:sz w:val="16"/>
                <w:szCs w:val="16"/>
              </w:rPr>
            </w:pPr>
            <w:r>
              <w:rPr>
                <w:rFonts w:ascii="Book Antiqua" w:hAnsi="Book Antiqua" w:cs="Calibri"/>
                <w:color w:val="000000"/>
                <w:sz w:val="16"/>
                <w:szCs w:val="16"/>
              </w:rPr>
              <w:t xml:space="preserve">Al verificar los documentos se encuentra: </w:t>
            </w:r>
          </w:p>
          <w:p w14:paraId="7F1592F4" w14:textId="77777777" w:rsidR="000B7A67" w:rsidRDefault="000B7A67" w:rsidP="00F400D6">
            <w:pPr>
              <w:spacing w:after="0"/>
              <w:rPr>
                <w:rFonts w:ascii="Book Antiqua" w:hAnsi="Book Antiqua" w:cs="Calibri"/>
                <w:color w:val="000000"/>
                <w:sz w:val="16"/>
                <w:szCs w:val="16"/>
              </w:rPr>
            </w:pPr>
            <w:r w:rsidRPr="00753367">
              <w:rPr>
                <w:rFonts w:ascii="Book Antiqua" w:hAnsi="Book Antiqua" w:cs="Calibri"/>
                <w:b/>
                <w:bCs/>
                <w:color w:val="000000"/>
                <w:sz w:val="16"/>
                <w:szCs w:val="16"/>
              </w:rPr>
              <w:t>Estudio de Factibilidad</w:t>
            </w:r>
            <w:r>
              <w:rPr>
                <w:rFonts w:ascii="Book Antiqua" w:hAnsi="Book Antiqua" w:cs="Calibri"/>
                <w:color w:val="000000"/>
                <w:sz w:val="16"/>
                <w:szCs w:val="16"/>
              </w:rPr>
              <w:t xml:space="preserve"> </w:t>
            </w:r>
          </w:p>
          <w:p w14:paraId="79B38629" w14:textId="77777777" w:rsidR="000B7A67" w:rsidRDefault="000B7A67" w:rsidP="00155AE5">
            <w:pPr>
              <w:pStyle w:val="Prrafodelista"/>
              <w:numPr>
                <w:ilvl w:val="0"/>
                <w:numId w:val="18"/>
              </w:numPr>
              <w:tabs>
                <w:tab w:val="left" w:pos="166"/>
              </w:tabs>
              <w:ind w:left="0" w:firstLine="0"/>
              <w:jc w:val="both"/>
              <w:rPr>
                <w:rFonts w:ascii="Book Antiqua" w:hAnsi="Book Antiqua" w:cs="Calibri"/>
                <w:color w:val="000000"/>
                <w:sz w:val="16"/>
                <w:szCs w:val="16"/>
              </w:rPr>
            </w:pPr>
            <w:r w:rsidRPr="00D242EF">
              <w:rPr>
                <w:rFonts w:ascii="Book Antiqua" w:hAnsi="Book Antiqua" w:cs="Calibri"/>
                <w:color w:val="000000"/>
                <w:sz w:val="16"/>
                <w:szCs w:val="16"/>
              </w:rPr>
              <w:t xml:space="preserve">en el apartado de Planteamiento inicial del proyecto: Falta indicar las 3 alternativas para solucionar el problema que se planteó (Según el manual para la elaboración del estudio de factibilidad que establece la metodología de Administración de proyectos establece lo siguiente: "La persona líder de proyecto debe identificar al menos tres posibles alternativas que permitan subsanar las causas detalladas en el apartado de la identificación del problema o necesidad e indicar el motivo de la selección realizada y describir brevemente en qué consiste la opción elegida.". </w:t>
            </w:r>
          </w:p>
          <w:p w14:paraId="772EC5E8" w14:textId="77777777" w:rsidR="000B7A67" w:rsidRDefault="000B7A67" w:rsidP="00155AE5">
            <w:pPr>
              <w:pStyle w:val="Prrafodelista"/>
              <w:numPr>
                <w:ilvl w:val="0"/>
                <w:numId w:val="18"/>
              </w:numPr>
              <w:tabs>
                <w:tab w:val="left" w:pos="166"/>
              </w:tabs>
              <w:ind w:left="0" w:firstLine="0"/>
              <w:jc w:val="both"/>
              <w:rPr>
                <w:rFonts w:ascii="Book Antiqua" w:hAnsi="Book Antiqua" w:cs="Calibri"/>
                <w:color w:val="000000"/>
                <w:sz w:val="16"/>
                <w:szCs w:val="16"/>
              </w:rPr>
            </w:pPr>
            <w:r w:rsidRPr="00D242EF">
              <w:rPr>
                <w:rFonts w:ascii="Book Antiqua" w:hAnsi="Book Antiqua" w:cs="Calibri"/>
                <w:color w:val="000000"/>
                <w:sz w:val="16"/>
                <w:szCs w:val="16"/>
              </w:rPr>
              <w:t xml:space="preserve">Descripción de los beneficios: En este punto se pueden incluir varios beneficios, sin embargo, deben ser puntuales. Además, deben ser medibles como lo indica el manual que dice: (...) Estos deben </w:t>
            </w:r>
            <w:r w:rsidRPr="00D242EF">
              <w:rPr>
                <w:rFonts w:ascii="Book Antiqua" w:hAnsi="Book Antiqua" w:cs="Calibri"/>
                <w:color w:val="000000"/>
                <w:sz w:val="16"/>
                <w:szCs w:val="16"/>
              </w:rPr>
              <w:lastRenderedPageBreak/>
              <w:t>caracterizarse por ser cuantitativos y medibles, con el fin de que, al realizar la Fase de Cierre del proyecto, se pueda evaluar los beneficios resultantes de la ejecución del proyecto.”. En el Plazo proyectado para obtener el resultado se debe indicar de 6 meses a 1 año después de finalizado el proyecto.</w:t>
            </w:r>
          </w:p>
          <w:p w14:paraId="586B4E97" w14:textId="77777777" w:rsidR="000B7A67" w:rsidRDefault="000B7A67" w:rsidP="00155AE5">
            <w:pPr>
              <w:pStyle w:val="Prrafodelista"/>
              <w:numPr>
                <w:ilvl w:val="0"/>
                <w:numId w:val="18"/>
              </w:numPr>
              <w:tabs>
                <w:tab w:val="left" w:pos="166"/>
              </w:tabs>
              <w:ind w:left="0" w:firstLine="0"/>
              <w:jc w:val="both"/>
              <w:rPr>
                <w:rFonts w:ascii="Book Antiqua" w:hAnsi="Book Antiqua" w:cs="Calibri"/>
                <w:color w:val="000000"/>
                <w:sz w:val="16"/>
                <w:szCs w:val="16"/>
              </w:rPr>
            </w:pPr>
            <w:r w:rsidRPr="00D242EF">
              <w:rPr>
                <w:rFonts w:ascii="Book Antiqua" w:hAnsi="Book Antiqua" w:cs="Calibri"/>
                <w:color w:val="000000"/>
                <w:sz w:val="16"/>
                <w:szCs w:val="16"/>
              </w:rPr>
              <w:t xml:space="preserve">Tiempo estimado: Se debe establecer el tiempo en meses o años, indicando fecha de inicio y fecha de fin. </w:t>
            </w:r>
          </w:p>
          <w:p w14:paraId="27B2D3B2" w14:textId="77777777" w:rsidR="000B7A67" w:rsidRDefault="000B7A67" w:rsidP="00155AE5">
            <w:pPr>
              <w:pStyle w:val="Prrafodelista"/>
              <w:numPr>
                <w:ilvl w:val="0"/>
                <w:numId w:val="18"/>
              </w:numPr>
              <w:tabs>
                <w:tab w:val="left" w:pos="166"/>
              </w:tabs>
              <w:ind w:left="0" w:firstLine="0"/>
              <w:jc w:val="both"/>
              <w:rPr>
                <w:rFonts w:ascii="Book Antiqua" w:hAnsi="Book Antiqua" w:cs="Calibri"/>
                <w:color w:val="000000"/>
                <w:sz w:val="16"/>
                <w:szCs w:val="16"/>
              </w:rPr>
            </w:pPr>
            <w:r w:rsidRPr="00D242EF">
              <w:rPr>
                <w:rFonts w:ascii="Book Antiqua" w:hAnsi="Book Antiqua" w:cs="Calibri"/>
                <w:color w:val="000000"/>
                <w:sz w:val="16"/>
                <w:szCs w:val="16"/>
              </w:rPr>
              <w:t xml:space="preserve">Estudio de factibilidad anexo: Falta indicar el código. </w:t>
            </w:r>
          </w:p>
          <w:p w14:paraId="1270092A" w14:textId="77777777" w:rsidR="000B7A67" w:rsidRDefault="000B7A67" w:rsidP="00F400D6">
            <w:pPr>
              <w:pStyle w:val="Prrafodelista"/>
              <w:tabs>
                <w:tab w:val="left" w:pos="166"/>
              </w:tabs>
              <w:ind w:left="0"/>
              <w:jc w:val="both"/>
              <w:rPr>
                <w:rFonts w:ascii="Book Antiqua" w:hAnsi="Book Antiqua" w:cs="Calibri"/>
                <w:color w:val="000000"/>
                <w:sz w:val="16"/>
                <w:szCs w:val="16"/>
              </w:rPr>
            </w:pPr>
          </w:p>
          <w:p w14:paraId="6F1C5E41" w14:textId="77777777" w:rsidR="000B7A67" w:rsidRPr="00D242EF" w:rsidRDefault="000B7A67" w:rsidP="00F400D6">
            <w:pPr>
              <w:pStyle w:val="Prrafodelista"/>
              <w:tabs>
                <w:tab w:val="left" w:pos="166"/>
              </w:tabs>
              <w:ind w:left="0"/>
              <w:jc w:val="both"/>
              <w:rPr>
                <w:rFonts w:ascii="Book Antiqua" w:hAnsi="Book Antiqua" w:cs="Calibri"/>
                <w:b/>
                <w:bCs/>
                <w:color w:val="000000"/>
                <w:sz w:val="16"/>
                <w:szCs w:val="16"/>
              </w:rPr>
            </w:pPr>
            <w:r w:rsidRPr="00D242EF">
              <w:rPr>
                <w:rFonts w:ascii="Book Antiqua" w:hAnsi="Book Antiqua" w:cs="Calibri"/>
                <w:b/>
                <w:bCs/>
                <w:color w:val="000000"/>
                <w:sz w:val="16"/>
                <w:szCs w:val="16"/>
              </w:rPr>
              <w:t xml:space="preserve">Plan de gestión:  </w:t>
            </w:r>
          </w:p>
          <w:p w14:paraId="2E58E730" w14:textId="77777777" w:rsidR="000B7A67" w:rsidRDefault="000B7A67" w:rsidP="00155AE5">
            <w:pPr>
              <w:pStyle w:val="Prrafodelista"/>
              <w:numPr>
                <w:ilvl w:val="0"/>
                <w:numId w:val="18"/>
              </w:numPr>
              <w:tabs>
                <w:tab w:val="left" w:pos="166"/>
              </w:tabs>
              <w:jc w:val="both"/>
              <w:rPr>
                <w:rFonts w:ascii="Book Antiqua" w:hAnsi="Book Antiqua" w:cs="Calibri"/>
                <w:color w:val="000000"/>
                <w:sz w:val="16"/>
                <w:szCs w:val="16"/>
              </w:rPr>
            </w:pPr>
            <w:r w:rsidRPr="00D242EF">
              <w:rPr>
                <w:rFonts w:ascii="Book Antiqua" w:hAnsi="Book Antiqua" w:cs="Calibri"/>
                <w:color w:val="000000"/>
                <w:sz w:val="16"/>
                <w:szCs w:val="16"/>
              </w:rPr>
              <w:t xml:space="preserve">pendiente elaborar formulario. </w:t>
            </w:r>
          </w:p>
          <w:p w14:paraId="23A9F4C8" w14:textId="77777777" w:rsidR="000B7A67" w:rsidRDefault="000B7A67" w:rsidP="00F400D6">
            <w:pPr>
              <w:pStyle w:val="Prrafodelista"/>
              <w:tabs>
                <w:tab w:val="left" w:pos="166"/>
              </w:tabs>
              <w:ind w:left="0"/>
              <w:jc w:val="both"/>
              <w:rPr>
                <w:rFonts w:ascii="Book Antiqua" w:hAnsi="Book Antiqua" w:cs="Calibri"/>
                <w:color w:val="000000"/>
                <w:sz w:val="16"/>
                <w:szCs w:val="16"/>
              </w:rPr>
            </w:pPr>
          </w:p>
          <w:p w14:paraId="4A20560D" w14:textId="77777777" w:rsidR="000B7A67" w:rsidRDefault="000B7A67" w:rsidP="00F400D6">
            <w:pPr>
              <w:pStyle w:val="Prrafodelista"/>
              <w:tabs>
                <w:tab w:val="left" w:pos="166"/>
              </w:tabs>
              <w:ind w:left="0"/>
              <w:jc w:val="both"/>
              <w:rPr>
                <w:rFonts w:ascii="Book Antiqua" w:hAnsi="Book Antiqua" w:cs="Calibri"/>
                <w:color w:val="000000"/>
                <w:sz w:val="16"/>
                <w:szCs w:val="16"/>
              </w:rPr>
            </w:pPr>
            <w:r w:rsidRPr="00D242EF">
              <w:rPr>
                <w:rFonts w:ascii="Book Antiqua" w:hAnsi="Book Antiqua" w:cs="Calibri"/>
                <w:b/>
                <w:bCs/>
                <w:color w:val="000000"/>
                <w:sz w:val="16"/>
                <w:szCs w:val="16"/>
              </w:rPr>
              <w:t>Acta de constitución:</w:t>
            </w:r>
            <w:r w:rsidRPr="00D242EF">
              <w:rPr>
                <w:rFonts w:ascii="Book Antiqua" w:hAnsi="Book Antiqua" w:cs="Calibri"/>
                <w:color w:val="000000"/>
                <w:sz w:val="16"/>
                <w:szCs w:val="16"/>
              </w:rPr>
              <w:t xml:space="preserve"> </w:t>
            </w:r>
          </w:p>
          <w:p w14:paraId="55920FCE" w14:textId="77777777" w:rsidR="000B7A67" w:rsidRPr="00DC632E" w:rsidRDefault="000B7A67" w:rsidP="00155AE5">
            <w:pPr>
              <w:pStyle w:val="Prrafodelista"/>
              <w:numPr>
                <w:ilvl w:val="0"/>
                <w:numId w:val="18"/>
              </w:numPr>
              <w:tabs>
                <w:tab w:val="left" w:pos="166"/>
              </w:tabs>
              <w:jc w:val="both"/>
              <w:rPr>
                <w:rFonts w:ascii="Book Antiqua" w:eastAsia="Times New Roman" w:hAnsi="Book Antiqua" w:cs="Calibri"/>
                <w:sz w:val="18"/>
                <w:szCs w:val="18"/>
                <w:lang w:eastAsia="es-CR"/>
              </w:rPr>
            </w:pPr>
            <w:r w:rsidRPr="00D242EF">
              <w:rPr>
                <w:rFonts w:ascii="Book Antiqua" w:hAnsi="Book Antiqua" w:cs="Calibri"/>
                <w:color w:val="000000"/>
                <w:sz w:val="16"/>
                <w:szCs w:val="16"/>
              </w:rPr>
              <w:t>El formulario en el cual se elabora la misma no corresponde al formulario de la metodología institucional vigente, se debe realizar en este para poder revisar.</w:t>
            </w:r>
          </w:p>
        </w:tc>
      </w:tr>
    </w:tbl>
    <w:p w14:paraId="2FFC1C49" w14:textId="18521834" w:rsidR="000B7A67" w:rsidRDefault="00E53C07" w:rsidP="000B7A67">
      <w:pPr>
        <w:spacing w:after="0"/>
        <w:jc w:val="both"/>
        <w:rPr>
          <w:rFonts w:ascii="Book Antiqua" w:hAnsi="Book Antiqua"/>
        </w:rPr>
      </w:pPr>
      <w:r>
        <w:rPr>
          <w:rFonts w:ascii="Book Antiqua" w:hAnsi="Book Antiqua" w:cs="&amp;quot"/>
          <w:b/>
          <w:sz w:val="20"/>
          <w:szCs w:val="20"/>
        </w:rPr>
        <w:lastRenderedPageBreak/>
        <w:t xml:space="preserve">      </w:t>
      </w:r>
      <w:r w:rsidR="000B7A67" w:rsidRPr="00A562C7">
        <w:rPr>
          <w:rFonts w:ascii="Book Antiqua" w:hAnsi="Book Antiqua" w:cs="&amp;quot"/>
          <w:b/>
          <w:sz w:val="20"/>
          <w:szCs w:val="20"/>
        </w:rPr>
        <w:t>Fuente:</w:t>
      </w:r>
      <w:r w:rsidR="000B7A67" w:rsidRPr="00A562C7">
        <w:rPr>
          <w:rFonts w:ascii="Book Antiqua" w:hAnsi="Book Antiqua" w:cs="&amp;quot"/>
          <w:sz w:val="20"/>
          <w:szCs w:val="20"/>
        </w:rPr>
        <w:t xml:space="preserve"> Elaboración propia con datos del MS Project Online</w:t>
      </w:r>
    </w:p>
    <w:p w14:paraId="75D5DE9A" w14:textId="77777777" w:rsidR="000B7A67" w:rsidRDefault="000B7A67" w:rsidP="000B7A67">
      <w:pPr>
        <w:spacing w:after="0"/>
        <w:rPr>
          <w:lang w:eastAsia="ko-KR"/>
        </w:rPr>
      </w:pPr>
    </w:p>
    <w:p w14:paraId="28C9C217" w14:textId="77777777" w:rsidR="000B7A67" w:rsidRPr="003B26B6" w:rsidRDefault="000B7A67" w:rsidP="000B7A67">
      <w:pPr>
        <w:spacing w:after="0"/>
        <w:jc w:val="both"/>
        <w:rPr>
          <w:rFonts w:ascii="Book Antiqua" w:hAnsi="Book Antiqua"/>
          <w:sz w:val="24"/>
          <w:szCs w:val="24"/>
        </w:rPr>
      </w:pPr>
      <w:r>
        <w:rPr>
          <w:rFonts w:ascii="Book Antiqua" w:hAnsi="Book Antiqua"/>
          <w:sz w:val="24"/>
          <w:szCs w:val="24"/>
        </w:rPr>
        <w:t>El proyecto</w:t>
      </w:r>
      <w:r w:rsidRPr="003B26B6">
        <w:rPr>
          <w:rFonts w:ascii="Book Antiqua" w:hAnsi="Book Antiqua"/>
          <w:sz w:val="24"/>
          <w:szCs w:val="24"/>
        </w:rPr>
        <w:t xml:space="preserve"> anterior, tendrán </w:t>
      </w:r>
      <w:r w:rsidRPr="007309BD">
        <w:rPr>
          <w:rFonts w:ascii="Book Antiqua" w:hAnsi="Book Antiqua"/>
          <w:sz w:val="24"/>
          <w:szCs w:val="24"/>
        </w:rPr>
        <w:t xml:space="preserve">al </w:t>
      </w:r>
      <w:r w:rsidRPr="007309BD">
        <w:rPr>
          <w:rFonts w:ascii="Book Antiqua" w:hAnsi="Book Antiqua"/>
          <w:b/>
          <w:bCs/>
          <w:sz w:val="24"/>
          <w:szCs w:val="24"/>
        </w:rPr>
        <w:t>11 de agosto del 2023 para</w:t>
      </w:r>
      <w:r w:rsidRPr="003B26B6">
        <w:rPr>
          <w:rFonts w:ascii="Book Antiqua" w:hAnsi="Book Antiqua"/>
          <w:b/>
          <w:bCs/>
          <w:sz w:val="24"/>
          <w:szCs w:val="24"/>
        </w:rPr>
        <w:t xml:space="preserve"> </w:t>
      </w:r>
      <w:r>
        <w:rPr>
          <w:rFonts w:ascii="Book Antiqua" w:hAnsi="Book Antiqua"/>
          <w:b/>
          <w:bCs/>
          <w:sz w:val="24"/>
          <w:szCs w:val="24"/>
        </w:rPr>
        <w:t xml:space="preserve">atender las recomendaciones pendientes </w:t>
      </w:r>
      <w:r w:rsidRPr="003B26B6">
        <w:rPr>
          <w:rFonts w:ascii="Book Antiqua" w:hAnsi="Book Antiqua"/>
          <w:b/>
          <w:sz w:val="24"/>
          <w:szCs w:val="24"/>
        </w:rPr>
        <w:t xml:space="preserve">y notificar a la </w:t>
      </w:r>
      <w:r>
        <w:rPr>
          <w:rFonts w:ascii="Book Antiqua" w:hAnsi="Book Antiqua"/>
          <w:b/>
          <w:sz w:val="24"/>
          <w:szCs w:val="24"/>
        </w:rPr>
        <w:t xml:space="preserve">Unidad del Portafolio de Proyectos, </w:t>
      </w:r>
      <w:r w:rsidRPr="003B26B6">
        <w:rPr>
          <w:rFonts w:ascii="Book Antiqua" w:hAnsi="Book Antiqua"/>
          <w:b/>
          <w:sz w:val="24"/>
          <w:szCs w:val="24"/>
        </w:rPr>
        <w:t>Dirección de Planificación</w:t>
      </w:r>
      <w:r>
        <w:rPr>
          <w:rFonts w:ascii="Book Antiqua" w:hAnsi="Book Antiqua"/>
          <w:b/>
          <w:sz w:val="24"/>
          <w:szCs w:val="24"/>
        </w:rPr>
        <w:t>.</w:t>
      </w:r>
    </w:p>
    <w:p w14:paraId="5F27C7D7" w14:textId="77777777" w:rsidR="000B7A67" w:rsidRPr="00A562C7" w:rsidRDefault="000B7A67" w:rsidP="000B7A67">
      <w:pPr>
        <w:spacing w:after="0"/>
        <w:jc w:val="both"/>
        <w:rPr>
          <w:rFonts w:ascii="Book Antiqua" w:hAnsi="Book Antiqua"/>
          <w:sz w:val="24"/>
          <w:szCs w:val="24"/>
        </w:rPr>
      </w:pPr>
    </w:p>
    <w:p w14:paraId="142A7AFE" w14:textId="77777777" w:rsidR="000B7A67" w:rsidRPr="00A562C7" w:rsidRDefault="000B7A67" w:rsidP="000B7A67">
      <w:pPr>
        <w:pStyle w:val="Ttulo2"/>
        <w:numPr>
          <w:ilvl w:val="0"/>
          <w:numId w:val="3"/>
        </w:numPr>
        <w:ind w:left="426" w:hanging="426"/>
        <w:jc w:val="both"/>
        <w:rPr>
          <w:rFonts w:ascii="Book Antiqua" w:eastAsia="Wingdings" w:hAnsi="Book Antiqua"/>
          <w:b/>
          <w:bCs/>
          <w:color w:val="auto"/>
          <w:sz w:val="24"/>
          <w:szCs w:val="24"/>
          <w:lang w:eastAsia="ko-KR"/>
        </w:rPr>
      </w:pPr>
      <w:bookmarkStart w:id="6" w:name="_Toc131160518"/>
      <w:bookmarkStart w:id="7" w:name="_Toc138770820"/>
      <w:r>
        <w:rPr>
          <w:rFonts w:ascii="Book Antiqua" w:eastAsia="Wingdings" w:hAnsi="Book Antiqua"/>
          <w:b/>
          <w:bCs/>
          <w:color w:val="auto"/>
          <w:sz w:val="24"/>
          <w:szCs w:val="24"/>
          <w:lang w:eastAsia="ko-KR"/>
        </w:rPr>
        <w:t xml:space="preserve">Recomendación dirigida al </w:t>
      </w:r>
      <w:bookmarkEnd w:id="6"/>
      <w:r w:rsidRPr="009B2066">
        <w:rPr>
          <w:rFonts w:ascii="Book Antiqua" w:eastAsia="Wingdings" w:hAnsi="Book Antiqua"/>
          <w:b/>
          <w:bCs/>
          <w:color w:val="auto"/>
          <w:sz w:val="24"/>
          <w:szCs w:val="24"/>
          <w:lang w:eastAsia="ko-KR"/>
        </w:rPr>
        <w:t>Centro de Conciliación del Poder Judicial</w:t>
      </w:r>
      <w:bookmarkEnd w:id="7"/>
    </w:p>
    <w:p w14:paraId="3CBD2DBA" w14:textId="77777777" w:rsidR="000B7A67" w:rsidRDefault="000B7A67" w:rsidP="000B7A67">
      <w:pPr>
        <w:spacing w:after="0"/>
        <w:jc w:val="both"/>
        <w:rPr>
          <w:rFonts w:ascii="Book Antiqua" w:hAnsi="Book Antiqua"/>
          <w:sz w:val="24"/>
          <w:szCs w:val="24"/>
        </w:rPr>
      </w:pPr>
    </w:p>
    <w:p w14:paraId="40900F0A" w14:textId="77777777" w:rsidR="000B7A67" w:rsidRDefault="000B7A67" w:rsidP="000B7A67">
      <w:pPr>
        <w:spacing w:after="0"/>
        <w:jc w:val="both"/>
        <w:rPr>
          <w:rFonts w:ascii="Book Antiqua" w:hAnsi="Book Antiqua"/>
          <w:sz w:val="24"/>
          <w:szCs w:val="24"/>
        </w:rPr>
      </w:pPr>
      <w:r w:rsidRPr="00A562C7">
        <w:rPr>
          <w:rFonts w:ascii="Book Antiqua" w:hAnsi="Book Antiqua"/>
          <w:sz w:val="24"/>
          <w:szCs w:val="24"/>
        </w:rPr>
        <w:t xml:space="preserve">En el oficio </w:t>
      </w:r>
      <w:r>
        <w:rPr>
          <w:rFonts w:ascii="Book Antiqua" w:hAnsi="Book Antiqua"/>
          <w:sz w:val="24"/>
          <w:szCs w:val="24"/>
        </w:rPr>
        <w:t>277</w:t>
      </w:r>
      <w:r w:rsidRPr="00A562C7">
        <w:rPr>
          <w:rFonts w:ascii="Book Antiqua" w:hAnsi="Book Antiqua"/>
          <w:sz w:val="24"/>
          <w:szCs w:val="24"/>
        </w:rPr>
        <w:t>-PLA-PP-202</w:t>
      </w:r>
      <w:r>
        <w:rPr>
          <w:rFonts w:ascii="Book Antiqua" w:hAnsi="Book Antiqua"/>
          <w:sz w:val="24"/>
          <w:szCs w:val="24"/>
        </w:rPr>
        <w:t>3</w:t>
      </w:r>
      <w:r w:rsidRPr="00A562C7">
        <w:rPr>
          <w:rFonts w:ascii="Book Antiqua" w:hAnsi="Book Antiqua"/>
          <w:sz w:val="24"/>
          <w:szCs w:val="24"/>
        </w:rPr>
        <w:t xml:space="preserve">, </w:t>
      </w:r>
      <w:r>
        <w:rPr>
          <w:rFonts w:ascii="Book Antiqua" w:hAnsi="Book Antiqua"/>
          <w:sz w:val="24"/>
          <w:szCs w:val="24"/>
        </w:rPr>
        <w:t xml:space="preserve">se establece una serie de recomendaciones para el Consejo Superior, dentro de estas se indica la siguiente con respecto al </w:t>
      </w:r>
      <w:r w:rsidRPr="009B2066">
        <w:rPr>
          <w:rFonts w:ascii="Book Antiqua" w:hAnsi="Book Antiqua"/>
          <w:sz w:val="24"/>
          <w:szCs w:val="24"/>
        </w:rPr>
        <w:t>Centro de Conciliación del Poder Judicial</w:t>
      </w:r>
      <w:r>
        <w:rPr>
          <w:rFonts w:ascii="Book Antiqua" w:hAnsi="Book Antiqua"/>
          <w:sz w:val="24"/>
          <w:szCs w:val="24"/>
        </w:rPr>
        <w:t xml:space="preserve">: </w:t>
      </w:r>
    </w:p>
    <w:p w14:paraId="719DBDA2" w14:textId="77777777" w:rsidR="000B7A67" w:rsidRPr="00A562C7" w:rsidRDefault="000B7A67" w:rsidP="000B7A67">
      <w:pPr>
        <w:spacing w:after="0"/>
        <w:jc w:val="both"/>
        <w:rPr>
          <w:rFonts w:ascii="Book Antiqua" w:hAnsi="Book Antiqua"/>
          <w:sz w:val="24"/>
          <w:szCs w:val="24"/>
        </w:rPr>
      </w:pPr>
    </w:p>
    <w:p w14:paraId="4B80E93C" w14:textId="77777777" w:rsidR="000B7A67" w:rsidRDefault="000B7A67" w:rsidP="000B7A67">
      <w:pPr>
        <w:spacing w:after="0"/>
        <w:ind w:left="426" w:right="474"/>
        <w:jc w:val="both"/>
        <w:rPr>
          <w:rFonts w:ascii="Book Antiqua" w:hAnsi="Book Antiqua"/>
          <w:i/>
          <w:iCs/>
        </w:rPr>
      </w:pPr>
      <w:r>
        <w:rPr>
          <w:rFonts w:ascii="Book Antiqua" w:hAnsi="Book Antiqua"/>
          <w:b/>
          <w:sz w:val="24"/>
          <w:szCs w:val="24"/>
        </w:rPr>
        <w:t xml:space="preserve">“ </w:t>
      </w:r>
      <w:r w:rsidRPr="00156F1C">
        <w:rPr>
          <w:rFonts w:ascii="Book Antiqua" w:hAnsi="Book Antiqua"/>
          <w:b/>
          <w:bCs/>
          <w:i/>
          <w:iCs/>
        </w:rPr>
        <w:t>2.10)</w:t>
      </w:r>
      <w:r>
        <w:rPr>
          <w:rFonts w:ascii="Book Antiqua" w:hAnsi="Book Antiqua"/>
          <w:i/>
          <w:iCs/>
        </w:rPr>
        <w:t xml:space="preserve"> El Centro de Conciliación del Poder Judicial, las Comisiones de la Jurisdicción Agrario y Agroambiental, de Acceso a la Justicia, la Defensa Pública, el Departamento de Prensa y Comunicación Organizacional, el Programa Justicia Restaurativa, así como las Administraciones Regionales del Segundo Circuito Judicial de Alajuela, Tercer Circuito Judicial Alajuela, de la Ciudad Judicial de San Joaquín de Flores, de Puntarenas, del Primer Circuito Judicial Guanacaste y Primer Circuito Judicial de la Zona Sur, deberán a más tardar el 28 de abril del 2023, cargar en el sitio de proyecto la atención de las recomendaciones que se describen en la tabla correspondiente expuesta en el presente informe.</w:t>
      </w:r>
    </w:p>
    <w:tbl>
      <w:tblPr>
        <w:tblW w:w="10589" w:type="dxa"/>
        <w:tblInd w:w="-289" w:type="dxa"/>
        <w:tblCellMar>
          <w:left w:w="70" w:type="dxa"/>
          <w:right w:w="70" w:type="dxa"/>
        </w:tblCellMar>
        <w:tblLook w:val="04A0" w:firstRow="1" w:lastRow="0" w:firstColumn="1" w:lastColumn="0" w:noHBand="0" w:noVBand="1"/>
      </w:tblPr>
      <w:tblGrid>
        <w:gridCol w:w="1618"/>
        <w:gridCol w:w="1927"/>
        <w:gridCol w:w="848"/>
        <w:gridCol w:w="2066"/>
        <w:gridCol w:w="1062"/>
        <w:gridCol w:w="3068"/>
      </w:tblGrid>
      <w:tr w:rsidR="00BC00B3" w:rsidRPr="004C150A" w14:paraId="6F5208D4" w14:textId="77777777" w:rsidTr="00301740">
        <w:trPr>
          <w:trHeight w:val="300"/>
        </w:trPr>
        <w:tc>
          <w:tcPr>
            <w:tcW w:w="1618"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2B808687" w14:textId="77777777" w:rsidR="000B7A67" w:rsidRPr="004C150A" w:rsidRDefault="000B7A67" w:rsidP="00F400D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 xml:space="preserve">Centro de responsabilidad </w:t>
            </w:r>
          </w:p>
        </w:tc>
        <w:tc>
          <w:tcPr>
            <w:tcW w:w="1927" w:type="dxa"/>
            <w:tcBorders>
              <w:top w:val="single" w:sz="4" w:space="0" w:color="auto"/>
              <w:left w:val="nil"/>
              <w:bottom w:val="single" w:sz="4" w:space="0" w:color="auto"/>
              <w:right w:val="single" w:sz="4" w:space="0" w:color="auto"/>
            </w:tcBorders>
            <w:shd w:val="clear" w:color="000000" w:fill="44546A"/>
            <w:vAlign w:val="center"/>
            <w:hideMark/>
          </w:tcPr>
          <w:p w14:paraId="7CB5B9D0" w14:textId="77777777" w:rsidR="000B7A67" w:rsidRPr="004C150A" w:rsidRDefault="000B7A67" w:rsidP="00F400D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Oficina Líder</w:t>
            </w:r>
          </w:p>
        </w:tc>
        <w:tc>
          <w:tcPr>
            <w:tcW w:w="848" w:type="dxa"/>
            <w:tcBorders>
              <w:top w:val="single" w:sz="4" w:space="0" w:color="auto"/>
              <w:left w:val="nil"/>
              <w:bottom w:val="single" w:sz="4" w:space="0" w:color="auto"/>
              <w:right w:val="single" w:sz="4" w:space="0" w:color="auto"/>
            </w:tcBorders>
            <w:shd w:val="clear" w:color="000000" w:fill="44546A"/>
            <w:vAlign w:val="center"/>
            <w:hideMark/>
          </w:tcPr>
          <w:p w14:paraId="62A6596C" w14:textId="77777777" w:rsidR="000B7A67" w:rsidRPr="004C150A" w:rsidRDefault="000B7A67" w:rsidP="00F400D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Código</w:t>
            </w:r>
          </w:p>
        </w:tc>
        <w:tc>
          <w:tcPr>
            <w:tcW w:w="2066" w:type="dxa"/>
            <w:tcBorders>
              <w:top w:val="single" w:sz="4" w:space="0" w:color="auto"/>
              <w:left w:val="nil"/>
              <w:bottom w:val="single" w:sz="4" w:space="0" w:color="auto"/>
              <w:right w:val="single" w:sz="4" w:space="0" w:color="auto"/>
            </w:tcBorders>
            <w:shd w:val="clear" w:color="000000" w:fill="44546A"/>
            <w:vAlign w:val="center"/>
            <w:hideMark/>
          </w:tcPr>
          <w:p w14:paraId="22C15DA0" w14:textId="77777777" w:rsidR="000B7A67" w:rsidRPr="004C150A" w:rsidRDefault="000B7A67" w:rsidP="00F400D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Nombre</w:t>
            </w:r>
          </w:p>
        </w:tc>
        <w:tc>
          <w:tcPr>
            <w:tcW w:w="1062" w:type="dxa"/>
            <w:tcBorders>
              <w:top w:val="single" w:sz="4" w:space="0" w:color="auto"/>
              <w:left w:val="nil"/>
              <w:bottom w:val="single" w:sz="4" w:space="0" w:color="auto"/>
              <w:right w:val="single" w:sz="4" w:space="0" w:color="auto"/>
            </w:tcBorders>
            <w:shd w:val="clear" w:color="000000" w:fill="44546A"/>
            <w:vAlign w:val="center"/>
            <w:hideMark/>
          </w:tcPr>
          <w:p w14:paraId="6F319159" w14:textId="77777777" w:rsidR="000B7A67" w:rsidRPr="004C150A" w:rsidRDefault="000B7A67" w:rsidP="00F400D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Parte pendiente</w:t>
            </w:r>
          </w:p>
        </w:tc>
        <w:tc>
          <w:tcPr>
            <w:tcW w:w="3068" w:type="dxa"/>
            <w:tcBorders>
              <w:top w:val="single" w:sz="4" w:space="0" w:color="auto"/>
              <w:left w:val="nil"/>
              <w:bottom w:val="single" w:sz="4" w:space="0" w:color="auto"/>
              <w:right w:val="single" w:sz="4" w:space="0" w:color="auto"/>
            </w:tcBorders>
            <w:shd w:val="clear" w:color="000000" w:fill="44546A"/>
            <w:vAlign w:val="center"/>
            <w:hideMark/>
          </w:tcPr>
          <w:p w14:paraId="5BA1F572" w14:textId="77777777" w:rsidR="000B7A67" w:rsidRPr="004C150A" w:rsidRDefault="000B7A67" w:rsidP="00F400D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 xml:space="preserve">Detalle </w:t>
            </w:r>
          </w:p>
        </w:tc>
      </w:tr>
      <w:tr w:rsidR="00BC00B3" w:rsidRPr="004C150A" w14:paraId="0B2F0655" w14:textId="77777777" w:rsidTr="00301740">
        <w:trPr>
          <w:trHeight w:val="900"/>
        </w:trPr>
        <w:tc>
          <w:tcPr>
            <w:tcW w:w="1618" w:type="dxa"/>
            <w:tcBorders>
              <w:top w:val="nil"/>
              <w:left w:val="single" w:sz="4" w:space="0" w:color="auto"/>
              <w:bottom w:val="single" w:sz="4" w:space="0" w:color="auto"/>
              <w:right w:val="single" w:sz="4" w:space="0" w:color="auto"/>
            </w:tcBorders>
            <w:shd w:val="clear" w:color="auto" w:fill="auto"/>
            <w:vAlign w:val="center"/>
            <w:hideMark/>
          </w:tcPr>
          <w:p w14:paraId="392994DE" w14:textId="77777777" w:rsidR="000B7A67" w:rsidRPr="004C150A" w:rsidRDefault="000B7A67" w:rsidP="00F400D6">
            <w:pPr>
              <w:spacing w:after="0" w:line="240" w:lineRule="auto"/>
              <w:jc w:val="center"/>
              <w:rPr>
                <w:rFonts w:ascii="Book Antiqua" w:eastAsia="Times New Roman" w:hAnsi="Book Antiqua" w:cs="Calibri"/>
                <w:color w:val="000000"/>
                <w:sz w:val="18"/>
                <w:szCs w:val="18"/>
                <w:lang w:eastAsia="es-CR"/>
              </w:rPr>
            </w:pPr>
            <w:r w:rsidRPr="004C150A">
              <w:rPr>
                <w:rFonts w:ascii="Book Antiqua" w:eastAsia="Times New Roman" w:hAnsi="Book Antiqua" w:cs="Calibri"/>
                <w:color w:val="000000"/>
                <w:sz w:val="18"/>
                <w:szCs w:val="18"/>
                <w:lang w:eastAsia="es-CR"/>
              </w:rPr>
              <w:t>Centro de Conciliación del Poder Judicial</w:t>
            </w:r>
          </w:p>
        </w:tc>
        <w:tc>
          <w:tcPr>
            <w:tcW w:w="1927" w:type="dxa"/>
            <w:tcBorders>
              <w:top w:val="nil"/>
              <w:left w:val="nil"/>
              <w:bottom w:val="single" w:sz="4" w:space="0" w:color="auto"/>
              <w:right w:val="single" w:sz="4" w:space="0" w:color="auto"/>
            </w:tcBorders>
            <w:shd w:val="clear" w:color="auto" w:fill="auto"/>
            <w:vAlign w:val="center"/>
            <w:hideMark/>
          </w:tcPr>
          <w:p w14:paraId="0B40D933" w14:textId="77777777" w:rsidR="000B7A67" w:rsidRPr="004C150A" w:rsidRDefault="000B7A67" w:rsidP="00F400D6">
            <w:pPr>
              <w:spacing w:after="0" w:line="240" w:lineRule="auto"/>
              <w:jc w:val="center"/>
              <w:rPr>
                <w:rFonts w:ascii="Book Antiqua" w:eastAsia="Times New Roman" w:hAnsi="Book Antiqua" w:cs="Calibri"/>
                <w:color w:val="000000"/>
                <w:sz w:val="18"/>
                <w:szCs w:val="18"/>
                <w:lang w:eastAsia="es-CR"/>
              </w:rPr>
            </w:pPr>
            <w:r w:rsidRPr="004C150A">
              <w:rPr>
                <w:rFonts w:ascii="Book Antiqua" w:eastAsia="Times New Roman" w:hAnsi="Book Antiqua" w:cs="Calibri"/>
                <w:color w:val="000000"/>
                <w:sz w:val="18"/>
                <w:szCs w:val="18"/>
                <w:lang w:eastAsia="es-CR"/>
              </w:rPr>
              <w:t>0963 Centro de Conciliación del Poder Judicial</w:t>
            </w:r>
          </w:p>
        </w:tc>
        <w:tc>
          <w:tcPr>
            <w:tcW w:w="848" w:type="dxa"/>
            <w:tcBorders>
              <w:top w:val="nil"/>
              <w:left w:val="nil"/>
              <w:bottom w:val="single" w:sz="4" w:space="0" w:color="auto"/>
              <w:right w:val="single" w:sz="4" w:space="0" w:color="auto"/>
            </w:tcBorders>
            <w:shd w:val="clear" w:color="auto" w:fill="auto"/>
            <w:vAlign w:val="center"/>
            <w:hideMark/>
          </w:tcPr>
          <w:p w14:paraId="51D9371E" w14:textId="77777777" w:rsidR="000B7A67" w:rsidRPr="004C150A" w:rsidRDefault="000B7A67" w:rsidP="00F400D6">
            <w:pPr>
              <w:spacing w:after="0" w:line="240" w:lineRule="auto"/>
              <w:jc w:val="center"/>
              <w:rPr>
                <w:rFonts w:ascii="Book Antiqua" w:eastAsia="Times New Roman" w:hAnsi="Book Antiqua" w:cs="Calibri"/>
                <w:color w:val="000000"/>
                <w:sz w:val="18"/>
                <w:szCs w:val="18"/>
                <w:lang w:eastAsia="es-CR"/>
              </w:rPr>
            </w:pPr>
            <w:r w:rsidRPr="004C150A">
              <w:rPr>
                <w:rFonts w:ascii="Book Antiqua" w:eastAsia="Times New Roman" w:hAnsi="Book Antiqua" w:cs="Calibri"/>
                <w:color w:val="000000"/>
                <w:sz w:val="18"/>
                <w:szCs w:val="18"/>
                <w:lang w:eastAsia="es-CR"/>
              </w:rPr>
              <w:t>0963-CC-P01</w:t>
            </w:r>
          </w:p>
        </w:tc>
        <w:tc>
          <w:tcPr>
            <w:tcW w:w="2066" w:type="dxa"/>
            <w:tcBorders>
              <w:top w:val="nil"/>
              <w:left w:val="nil"/>
              <w:bottom w:val="single" w:sz="4" w:space="0" w:color="auto"/>
              <w:right w:val="single" w:sz="4" w:space="0" w:color="auto"/>
            </w:tcBorders>
            <w:shd w:val="clear" w:color="auto" w:fill="auto"/>
            <w:vAlign w:val="center"/>
            <w:hideMark/>
          </w:tcPr>
          <w:p w14:paraId="15245F94" w14:textId="77777777" w:rsidR="000B7A67" w:rsidRPr="004C150A" w:rsidRDefault="000B7A67" w:rsidP="00F400D6">
            <w:pPr>
              <w:spacing w:after="0" w:line="240" w:lineRule="auto"/>
              <w:jc w:val="center"/>
              <w:rPr>
                <w:rFonts w:ascii="Book Antiqua" w:eastAsia="Times New Roman" w:hAnsi="Book Antiqua" w:cs="Calibri"/>
                <w:color w:val="000000"/>
                <w:sz w:val="18"/>
                <w:szCs w:val="18"/>
                <w:lang w:eastAsia="es-CR"/>
              </w:rPr>
            </w:pPr>
            <w:r w:rsidRPr="004C150A">
              <w:rPr>
                <w:rFonts w:ascii="Book Antiqua" w:eastAsia="Times New Roman" w:hAnsi="Book Antiqua" w:cs="Calibri"/>
                <w:color w:val="000000"/>
                <w:sz w:val="18"/>
                <w:szCs w:val="18"/>
                <w:lang w:eastAsia="es-CR"/>
              </w:rPr>
              <w:t>Política de tratamiento de métodos alternos de resolución de conflictos</w:t>
            </w:r>
          </w:p>
        </w:tc>
        <w:tc>
          <w:tcPr>
            <w:tcW w:w="1062" w:type="dxa"/>
            <w:tcBorders>
              <w:top w:val="nil"/>
              <w:left w:val="nil"/>
              <w:bottom w:val="single" w:sz="4" w:space="0" w:color="auto"/>
              <w:right w:val="single" w:sz="4" w:space="0" w:color="auto"/>
            </w:tcBorders>
            <w:shd w:val="clear" w:color="auto" w:fill="auto"/>
            <w:vAlign w:val="center"/>
            <w:hideMark/>
          </w:tcPr>
          <w:p w14:paraId="2F7376E6" w14:textId="77777777" w:rsidR="000B7A67" w:rsidRPr="004C150A" w:rsidRDefault="000B7A67" w:rsidP="00F400D6">
            <w:pPr>
              <w:spacing w:after="0" w:line="240" w:lineRule="auto"/>
              <w:jc w:val="center"/>
              <w:rPr>
                <w:rFonts w:ascii="Book Antiqua" w:eastAsia="Times New Roman" w:hAnsi="Book Antiqua" w:cs="Calibri"/>
                <w:color w:val="000000"/>
                <w:sz w:val="18"/>
                <w:szCs w:val="18"/>
                <w:lang w:eastAsia="es-CR"/>
              </w:rPr>
            </w:pPr>
            <w:r w:rsidRPr="004C150A">
              <w:rPr>
                <w:rFonts w:ascii="Book Antiqua" w:eastAsia="Times New Roman" w:hAnsi="Book Antiqua" w:cs="Calibri"/>
                <w:color w:val="000000"/>
                <w:sz w:val="18"/>
                <w:szCs w:val="18"/>
                <w:lang w:eastAsia="es-CR"/>
              </w:rPr>
              <w:t>2.1</w:t>
            </w:r>
          </w:p>
        </w:tc>
        <w:tc>
          <w:tcPr>
            <w:tcW w:w="3068" w:type="dxa"/>
            <w:tcBorders>
              <w:top w:val="nil"/>
              <w:left w:val="nil"/>
              <w:bottom w:val="single" w:sz="4" w:space="0" w:color="auto"/>
              <w:right w:val="single" w:sz="4" w:space="0" w:color="auto"/>
            </w:tcBorders>
            <w:shd w:val="clear" w:color="auto" w:fill="auto"/>
            <w:vAlign w:val="center"/>
            <w:hideMark/>
          </w:tcPr>
          <w:p w14:paraId="7BA52FFD" w14:textId="77777777" w:rsidR="000B7A67" w:rsidRPr="004C150A" w:rsidRDefault="000B7A67" w:rsidP="00F400D6">
            <w:pPr>
              <w:spacing w:after="0" w:line="240" w:lineRule="auto"/>
              <w:jc w:val="center"/>
              <w:rPr>
                <w:rFonts w:ascii="Book Antiqua" w:eastAsia="Times New Roman" w:hAnsi="Book Antiqua" w:cs="Calibri"/>
                <w:color w:val="000000"/>
                <w:sz w:val="18"/>
                <w:szCs w:val="18"/>
                <w:lang w:eastAsia="es-CR"/>
              </w:rPr>
            </w:pPr>
            <w:r w:rsidRPr="004C150A">
              <w:rPr>
                <w:rFonts w:ascii="Book Antiqua" w:eastAsia="Times New Roman" w:hAnsi="Book Antiqua" w:cs="Calibri"/>
                <w:color w:val="000000"/>
                <w:sz w:val="18"/>
                <w:szCs w:val="18"/>
                <w:lang w:eastAsia="es-CR"/>
              </w:rPr>
              <w:t>El informe de avance presentaba incorrecto el porcentaje esperado.</w:t>
            </w:r>
          </w:p>
        </w:tc>
      </w:tr>
    </w:tbl>
    <w:p w14:paraId="2612A374" w14:textId="2506702A" w:rsidR="000B7A67" w:rsidRDefault="000B7A67" w:rsidP="005E50C6">
      <w:pPr>
        <w:pStyle w:val="Default"/>
        <w:ind w:right="-1086"/>
        <w:jc w:val="right"/>
        <w:rPr>
          <w:rFonts w:ascii="Book Antiqua" w:hAnsi="Book Antiqua"/>
        </w:rPr>
      </w:pPr>
      <w:r>
        <w:rPr>
          <w:rFonts w:ascii="Book Antiqua" w:hAnsi="Book Antiqua"/>
        </w:rPr>
        <w:lastRenderedPageBreak/>
        <w:t>“</w:t>
      </w:r>
      <w:r w:rsidR="005E50C6">
        <w:rPr>
          <w:rFonts w:ascii="Book Antiqua" w:hAnsi="Book Antiqua"/>
        </w:rPr>
        <w:t>.</w:t>
      </w:r>
    </w:p>
    <w:p w14:paraId="341551F0" w14:textId="77777777" w:rsidR="000B7A67" w:rsidRDefault="000B7A67" w:rsidP="000B7A67">
      <w:pPr>
        <w:pStyle w:val="Default"/>
        <w:ind w:right="49"/>
        <w:jc w:val="both"/>
        <w:rPr>
          <w:rFonts w:ascii="Book Antiqua" w:hAnsi="Book Antiqua"/>
        </w:rPr>
      </w:pPr>
      <w:r w:rsidRPr="00A562C7">
        <w:rPr>
          <w:rFonts w:ascii="Book Antiqua" w:hAnsi="Book Antiqua"/>
        </w:rPr>
        <w:t>Como parte del seguimiento, se procedió</w:t>
      </w:r>
      <w:r>
        <w:rPr>
          <w:rFonts w:ascii="Book Antiqua" w:hAnsi="Book Antiqua"/>
        </w:rPr>
        <w:t xml:space="preserve"> a remitir un recordatorio a la oficina mediante el oficio 1782</w:t>
      </w:r>
      <w:r w:rsidRPr="005A322C">
        <w:rPr>
          <w:rFonts w:ascii="Book Antiqua" w:hAnsi="Book Antiqua"/>
        </w:rPr>
        <w:t>-PLA-PP-TR-2023</w:t>
      </w:r>
      <w:r>
        <w:rPr>
          <w:rFonts w:ascii="Book Antiqua" w:hAnsi="Book Antiqua"/>
        </w:rPr>
        <w:t>, la misma respondió indicando que se había procedido con los documentos solicitados.</w:t>
      </w:r>
    </w:p>
    <w:p w14:paraId="30F531E4" w14:textId="77777777" w:rsidR="000B7A67" w:rsidRDefault="000B7A67" w:rsidP="000B7A67">
      <w:pPr>
        <w:pStyle w:val="Default"/>
        <w:ind w:right="49"/>
        <w:jc w:val="both"/>
        <w:rPr>
          <w:rFonts w:ascii="Book Antiqua" w:hAnsi="Book Antiqua"/>
        </w:rPr>
      </w:pPr>
    </w:p>
    <w:p w14:paraId="4987B92A" w14:textId="405C24B4" w:rsidR="000B7A67" w:rsidRDefault="000B7A67" w:rsidP="000B7A67">
      <w:pPr>
        <w:spacing w:after="0"/>
        <w:jc w:val="both"/>
        <w:rPr>
          <w:rFonts w:ascii="Book Antiqua" w:hAnsi="Book Antiqua"/>
          <w:sz w:val="24"/>
          <w:szCs w:val="24"/>
        </w:rPr>
      </w:pPr>
      <w:r w:rsidRPr="004C0359">
        <w:rPr>
          <w:rFonts w:ascii="Book Antiqua" w:hAnsi="Book Antiqua"/>
          <w:sz w:val="24"/>
          <w:szCs w:val="24"/>
        </w:rPr>
        <w:t>Posteriormente se procedió a revisar en los centros de proyectos para validar el cumplimiento de estas recomendaciones (</w:t>
      </w:r>
      <w:hyperlink r:id="rId11" w:history="1">
        <w:r w:rsidRPr="00011BFE">
          <w:rPr>
            <w:rStyle w:val="Hipervnculo"/>
            <w:rFonts w:ascii="Book Antiqua" w:hAnsi="Book Antiqua"/>
            <w:sz w:val="24"/>
            <w:szCs w:val="24"/>
          </w:rPr>
          <w:t>Ver enlace:</w:t>
        </w:r>
        <w:r w:rsidRPr="00011BFE">
          <w:rPr>
            <w:rStyle w:val="Hipervnculo"/>
          </w:rPr>
          <w:t xml:space="preserve"> </w:t>
        </w:r>
        <w:r w:rsidRPr="00011BFE">
          <w:rPr>
            <w:rStyle w:val="Hipervnculo"/>
            <w:rFonts w:ascii="Book Antiqua" w:hAnsi="Book Antiqua"/>
            <w:sz w:val="24"/>
            <w:szCs w:val="24"/>
          </w:rPr>
          <w:t>Centro de Conciliación del Poder Judicial</w:t>
        </w:r>
      </w:hyperlink>
      <w:r w:rsidRPr="004C0359">
        <w:rPr>
          <w:rFonts w:ascii="Book Antiqua" w:hAnsi="Book Antiqua"/>
          <w:sz w:val="24"/>
          <w:szCs w:val="24"/>
        </w:rPr>
        <w:t xml:space="preserve">); </w:t>
      </w:r>
      <w:r>
        <w:rPr>
          <w:rFonts w:ascii="Book Antiqua" w:hAnsi="Book Antiqua"/>
          <w:sz w:val="24"/>
          <w:szCs w:val="24"/>
        </w:rPr>
        <w:t>constatando el cumplimiento de la</w:t>
      </w:r>
      <w:r w:rsidR="007D70B7">
        <w:rPr>
          <w:rFonts w:ascii="Book Antiqua" w:hAnsi="Book Antiqua"/>
          <w:sz w:val="24"/>
          <w:szCs w:val="24"/>
        </w:rPr>
        <w:t>s recomendaciones</w:t>
      </w:r>
      <w:r>
        <w:rPr>
          <w:rFonts w:ascii="Book Antiqua" w:hAnsi="Book Antiqua"/>
          <w:sz w:val="24"/>
          <w:szCs w:val="24"/>
        </w:rPr>
        <w:t>.</w:t>
      </w:r>
    </w:p>
    <w:p w14:paraId="76D76914" w14:textId="77777777" w:rsidR="000B7A67" w:rsidRPr="00257371" w:rsidRDefault="000B7A67" w:rsidP="000B7A67">
      <w:pPr>
        <w:spacing w:after="0"/>
        <w:jc w:val="both"/>
        <w:rPr>
          <w:rFonts w:ascii="Book Antiqua" w:hAnsi="Book Antiqua"/>
          <w:sz w:val="24"/>
          <w:szCs w:val="24"/>
        </w:rPr>
      </w:pPr>
    </w:p>
    <w:p w14:paraId="40E728E4" w14:textId="77777777" w:rsidR="000B7A67" w:rsidRPr="00F13AAE" w:rsidRDefault="000B7A67" w:rsidP="000B7A67">
      <w:pPr>
        <w:pStyle w:val="Ttulo2"/>
        <w:numPr>
          <w:ilvl w:val="0"/>
          <w:numId w:val="3"/>
        </w:numPr>
        <w:jc w:val="both"/>
        <w:rPr>
          <w:rFonts w:ascii="Book Antiqua" w:eastAsia="Wingdings" w:hAnsi="Book Antiqua"/>
          <w:b/>
          <w:bCs/>
          <w:color w:val="auto"/>
          <w:lang w:eastAsia="ko-KR"/>
        </w:rPr>
      </w:pPr>
      <w:bookmarkStart w:id="8" w:name="_Toc131160523"/>
      <w:bookmarkStart w:id="9" w:name="_Toc138770821"/>
      <w:r w:rsidRPr="00F13AAE">
        <w:rPr>
          <w:rFonts w:ascii="Book Antiqua" w:eastAsia="Wingdings" w:hAnsi="Book Antiqua"/>
          <w:b/>
          <w:bCs/>
          <w:color w:val="auto"/>
          <w:lang w:eastAsia="ko-KR"/>
        </w:rPr>
        <w:t>Recomendaciones dirigidas al Centro de Información Jurisprudencial</w:t>
      </w:r>
      <w:bookmarkEnd w:id="8"/>
      <w:bookmarkEnd w:id="9"/>
    </w:p>
    <w:p w14:paraId="7F1879C8" w14:textId="77777777" w:rsidR="000B7A67" w:rsidRDefault="000B7A67" w:rsidP="000B7A67">
      <w:pPr>
        <w:spacing w:after="0"/>
        <w:jc w:val="both"/>
        <w:rPr>
          <w:rFonts w:ascii="Book Antiqua" w:hAnsi="Book Antiqua"/>
        </w:rPr>
      </w:pPr>
    </w:p>
    <w:p w14:paraId="6904EE62" w14:textId="77777777" w:rsidR="000B7A67" w:rsidRDefault="000B7A67" w:rsidP="000B7A67">
      <w:pPr>
        <w:spacing w:after="0"/>
        <w:jc w:val="both"/>
        <w:rPr>
          <w:rFonts w:ascii="Book Antiqua" w:hAnsi="Book Antiqua"/>
          <w:sz w:val="24"/>
          <w:szCs w:val="24"/>
        </w:rPr>
      </w:pPr>
      <w:r>
        <w:rPr>
          <w:rFonts w:ascii="Book Antiqua" w:hAnsi="Book Antiqua"/>
          <w:sz w:val="24"/>
          <w:szCs w:val="24"/>
        </w:rPr>
        <w:t xml:space="preserve">En el informe 277-PLA-PP-2022, se dirigió una recomendación al </w:t>
      </w:r>
      <w:r w:rsidRPr="00F13AAE">
        <w:rPr>
          <w:rFonts w:ascii="Book Antiqua" w:eastAsia="Wingdings" w:hAnsi="Book Antiqua"/>
          <w:b/>
          <w:bCs/>
          <w:lang w:eastAsia="ko-KR"/>
        </w:rPr>
        <w:t>Centro de Información Jurisprudencial</w:t>
      </w:r>
      <w:r>
        <w:rPr>
          <w:rFonts w:ascii="Book Antiqua" w:hAnsi="Book Antiqua"/>
          <w:sz w:val="24"/>
          <w:szCs w:val="24"/>
        </w:rPr>
        <w:t xml:space="preserve">, debido a que existían proyectos con recomendaciones por acatar, por lo anterior se realizó la siguiente recomendación: </w:t>
      </w:r>
    </w:p>
    <w:p w14:paraId="7D3A01D6" w14:textId="77777777" w:rsidR="000B7A67" w:rsidRDefault="000B7A67" w:rsidP="000B7A67">
      <w:pPr>
        <w:spacing w:after="0"/>
        <w:jc w:val="both"/>
        <w:rPr>
          <w:rFonts w:ascii="Book Antiqua" w:hAnsi="Book Antiqua"/>
        </w:rPr>
      </w:pPr>
    </w:p>
    <w:p w14:paraId="35655F96" w14:textId="77777777" w:rsidR="000B7A67" w:rsidRDefault="000B7A67" w:rsidP="000B7A67">
      <w:pPr>
        <w:pStyle w:val="Prrafodelista"/>
        <w:spacing w:after="0" w:line="240" w:lineRule="auto"/>
        <w:ind w:left="284" w:right="616"/>
        <w:jc w:val="both"/>
        <w:rPr>
          <w:rFonts w:ascii="Book Antiqua" w:eastAsia="Wingdings" w:hAnsi="Book Antiqua"/>
          <w:i/>
          <w:sz w:val="24"/>
          <w:szCs w:val="24"/>
          <w:lang w:eastAsia="ko-KR"/>
        </w:rPr>
      </w:pPr>
      <w:r>
        <w:rPr>
          <w:rFonts w:ascii="Book Antiqua" w:eastAsia="Wingdings" w:hAnsi="Book Antiqua"/>
          <w:i/>
          <w:sz w:val="24"/>
          <w:szCs w:val="24"/>
          <w:lang w:eastAsia="ko-KR"/>
        </w:rPr>
        <w:t>“</w:t>
      </w:r>
      <w:r w:rsidRPr="002A03CE">
        <w:rPr>
          <w:rFonts w:ascii="Book Antiqua" w:eastAsia="Wingdings" w:hAnsi="Book Antiqua"/>
          <w:b/>
          <w:bCs/>
          <w:i/>
          <w:sz w:val="24"/>
          <w:szCs w:val="24"/>
          <w:lang w:eastAsia="ko-KR"/>
        </w:rPr>
        <w:t>2.11)</w:t>
      </w:r>
      <w:r w:rsidRPr="002A03CE">
        <w:rPr>
          <w:rFonts w:ascii="Book Antiqua" w:eastAsia="Wingdings" w:hAnsi="Book Antiqua"/>
          <w:i/>
          <w:sz w:val="24"/>
          <w:szCs w:val="24"/>
          <w:lang w:eastAsia="ko-KR"/>
        </w:rPr>
        <w:t xml:space="preserve"> El Centro de Información Jurisprudencial y la Comisión de Gestión Ambiental Institucional deberá: a) Cargar a más tardar el 28 de abril del 2023, en el sitio de proyecto las recomendaciones que se describen en la tabla correspondiente expuesta en el presente informe. b) Tomar las medidas pertinentes a fin de poder contrarrestar los atrasos presentados y, cuando no sea posible subsanar los atrasos, se deberá valorar la presentación de una solicitud de cambio en los casos que el retraso afecte la fecha de finalización de los proyectos y que la misma tenga autorización de la persona jefe o del director del proyecto.</w:t>
      </w:r>
    </w:p>
    <w:tbl>
      <w:tblPr>
        <w:tblW w:w="10632" w:type="dxa"/>
        <w:tblInd w:w="-289" w:type="dxa"/>
        <w:tblCellMar>
          <w:left w:w="70" w:type="dxa"/>
          <w:right w:w="70" w:type="dxa"/>
        </w:tblCellMar>
        <w:tblLook w:val="04A0" w:firstRow="1" w:lastRow="0" w:firstColumn="1" w:lastColumn="0" w:noHBand="0" w:noVBand="1"/>
      </w:tblPr>
      <w:tblGrid>
        <w:gridCol w:w="1560"/>
        <w:gridCol w:w="1985"/>
        <w:gridCol w:w="850"/>
        <w:gridCol w:w="2126"/>
        <w:gridCol w:w="993"/>
        <w:gridCol w:w="3118"/>
      </w:tblGrid>
      <w:tr w:rsidR="00BC00B3" w:rsidRPr="004C150A" w14:paraId="1E1AFC55" w14:textId="77777777" w:rsidTr="00301740">
        <w:trPr>
          <w:trHeight w:val="300"/>
        </w:trPr>
        <w:tc>
          <w:tcPr>
            <w:tcW w:w="156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0D10C640" w14:textId="77777777" w:rsidR="000B7A67" w:rsidRPr="004C150A" w:rsidRDefault="000B7A67" w:rsidP="00F400D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 xml:space="preserve">Centro de responsabilidad </w:t>
            </w:r>
          </w:p>
        </w:tc>
        <w:tc>
          <w:tcPr>
            <w:tcW w:w="1985" w:type="dxa"/>
            <w:tcBorders>
              <w:top w:val="single" w:sz="4" w:space="0" w:color="auto"/>
              <w:left w:val="nil"/>
              <w:bottom w:val="single" w:sz="4" w:space="0" w:color="auto"/>
              <w:right w:val="single" w:sz="4" w:space="0" w:color="auto"/>
            </w:tcBorders>
            <w:shd w:val="clear" w:color="000000" w:fill="44546A"/>
            <w:vAlign w:val="center"/>
            <w:hideMark/>
          </w:tcPr>
          <w:p w14:paraId="57924709" w14:textId="77777777" w:rsidR="000B7A67" w:rsidRPr="004C150A" w:rsidRDefault="000B7A67" w:rsidP="00F400D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Oficina Líder</w:t>
            </w:r>
          </w:p>
        </w:tc>
        <w:tc>
          <w:tcPr>
            <w:tcW w:w="850" w:type="dxa"/>
            <w:tcBorders>
              <w:top w:val="single" w:sz="4" w:space="0" w:color="auto"/>
              <w:left w:val="nil"/>
              <w:bottom w:val="single" w:sz="4" w:space="0" w:color="auto"/>
              <w:right w:val="single" w:sz="4" w:space="0" w:color="auto"/>
            </w:tcBorders>
            <w:shd w:val="clear" w:color="000000" w:fill="44546A"/>
            <w:vAlign w:val="center"/>
            <w:hideMark/>
          </w:tcPr>
          <w:p w14:paraId="21BC108B" w14:textId="77777777" w:rsidR="000B7A67" w:rsidRPr="004C150A" w:rsidRDefault="000B7A67" w:rsidP="00F400D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Código</w:t>
            </w:r>
          </w:p>
        </w:tc>
        <w:tc>
          <w:tcPr>
            <w:tcW w:w="2126" w:type="dxa"/>
            <w:tcBorders>
              <w:top w:val="single" w:sz="4" w:space="0" w:color="auto"/>
              <w:left w:val="nil"/>
              <w:bottom w:val="single" w:sz="4" w:space="0" w:color="auto"/>
              <w:right w:val="single" w:sz="4" w:space="0" w:color="auto"/>
            </w:tcBorders>
            <w:shd w:val="clear" w:color="000000" w:fill="44546A"/>
            <w:vAlign w:val="center"/>
            <w:hideMark/>
          </w:tcPr>
          <w:p w14:paraId="46D36A08" w14:textId="77777777" w:rsidR="000B7A67" w:rsidRPr="004C150A" w:rsidRDefault="000B7A67" w:rsidP="00F400D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Nombre</w:t>
            </w:r>
          </w:p>
        </w:tc>
        <w:tc>
          <w:tcPr>
            <w:tcW w:w="993" w:type="dxa"/>
            <w:tcBorders>
              <w:top w:val="single" w:sz="4" w:space="0" w:color="auto"/>
              <w:left w:val="nil"/>
              <w:bottom w:val="single" w:sz="4" w:space="0" w:color="auto"/>
              <w:right w:val="single" w:sz="4" w:space="0" w:color="auto"/>
            </w:tcBorders>
            <w:shd w:val="clear" w:color="000000" w:fill="44546A"/>
            <w:vAlign w:val="center"/>
            <w:hideMark/>
          </w:tcPr>
          <w:p w14:paraId="37977DF6" w14:textId="77777777" w:rsidR="000B7A67" w:rsidRPr="004C150A" w:rsidRDefault="000B7A67" w:rsidP="00F400D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Parte pendiente</w:t>
            </w:r>
          </w:p>
        </w:tc>
        <w:tc>
          <w:tcPr>
            <w:tcW w:w="3118" w:type="dxa"/>
            <w:tcBorders>
              <w:top w:val="single" w:sz="4" w:space="0" w:color="auto"/>
              <w:left w:val="nil"/>
              <w:bottom w:val="single" w:sz="4" w:space="0" w:color="auto"/>
              <w:right w:val="single" w:sz="4" w:space="0" w:color="auto"/>
            </w:tcBorders>
            <w:shd w:val="clear" w:color="000000" w:fill="44546A"/>
            <w:vAlign w:val="center"/>
            <w:hideMark/>
          </w:tcPr>
          <w:p w14:paraId="49C82407" w14:textId="77777777" w:rsidR="000B7A67" w:rsidRPr="004C150A" w:rsidRDefault="000B7A67" w:rsidP="00F400D6">
            <w:pPr>
              <w:spacing w:after="0" w:line="240" w:lineRule="auto"/>
              <w:jc w:val="center"/>
              <w:rPr>
                <w:rFonts w:ascii="Book Antiqua" w:eastAsia="Times New Roman" w:hAnsi="Book Antiqua" w:cs="Calibri"/>
                <w:b/>
                <w:bCs/>
                <w:color w:val="FFFFFF"/>
                <w:sz w:val="18"/>
                <w:szCs w:val="18"/>
                <w:lang w:eastAsia="es-CR"/>
              </w:rPr>
            </w:pPr>
            <w:r w:rsidRPr="004C150A">
              <w:rPr>
                <w:rFonts w:ascii="Book Antiqua" w:eastAsia="Times New Roman" w:hAnsi="Book Antiqua" w:cs="Calibri"/>
                <w:b/>
                <w:bCs/>
                <w:color w:val="FFFFFF"/>
                <w:sz w:val="18"/>
                <w:szCs w:val="18"/>
                <w:lang w:eastAsia="es-CR"/>
              </w:rPr>
              <w:t xml:space="preserve">Detalle </w:t>
            </w:r>
          </w:p>
        </w:tc>
      </w:tr>
      <w:tr w:rsidR="007E6FC1" w:rsidRPr="004C150A" w14:paraId="28028586" w14:textId="77777777" w:rsidTr="00301740">
        <w:trPr>
          <w:trHeight w:val="671"/>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0C4F0FEA" w14:textId="77777777" w:rsidR="000B7A67" w:rsidRPr="004C150A" w:rsidRDefault="000B7A67" w:rsidP="00F400D6">
            <w:pPr>
              <w:spacing w:after="0" w:line="240" w:lineRule="auto"/>
              <w:jc w:val="center"/>
              <w:rPr>
                <w:rFonts w:ascii="Book Antiqua" w:eastAsia="Times New Roman" w:hAnsi="Book Antiqua" w:cs="Calibri"/>
                <w:color w:val="000000"/>
                <w:sz w:val="18"/>
                <w:szCs w:val="18"/>
                <w:lang w:eastAsia="es-CR"/>
              </w:rPr>
            </w:pPr>
            <w:r w:rsidRPr="004C150A">
              <w:rPr>
                <w:rFonts w:ascii="Book Antiqua" w:eastAsia="Times New Roman" w:hAnsi="Book Antiqua" w:cs="Calibri"/>
                <w:color w:val="000000"/>
                <w:sz w:val="18"/>
                <w:szCs w:val="18"/>
                <w:lang w:eastAsia="es-CR"/>
              </w:rPr>
              <w:t>Centro</w:t>
            </w:r>
            <w:r>
              <w:rPr>
                <w:rFonts w:ascii="Book Antiqua" w:eastAsia="Times New Roman" w:hAnsi="Book Antiqua" w:cs="Calibri"/>
                <w:color w:val="000000"/>
                <w:sz w:val="18"/>
                <w:szCs w:val="18"/>
                <w:lang w:eastAsia="es-CR"/>
              </w:rPr>
              <w:t xml:space="preserve"> electrónico</w:t>
            </w:r>
            <w:r w:rsidRPr="004C150A">
              <w:rPr>
                <w:rFonts w:ascii="Book Antiqua" w:eastAsia="Times New Roman" w:hAnsi="Book Antiqua" w:cs="Calibri"/>
                <w:color w:val="000000"/>
                <w:sz w:val="18"/>
                <w:szCs w:val="18"/>
                <w:lang w:eastAsia="es-CR"/>
              </w:rPr>
              <w:t xml:space="preserve"> de Información Jurisprudencial</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50223EFA" w14:textId="77777777" w:rsidR="000B7A67" w:rsidRPr="004C150A" w:rsidRDefault="000B7A67" w:rsidP="00F400D6">
            <w:pPr>
              <w:spacing w:after="0" w:line="240" w:lineRule="auto"/>
              <w:jc w:val="center"/>
              <w:rPr>
                <w:rFonts w:ascii="Book Antiqua" w:eastAsia="Times New Roman" w:hAnsi="Book Antiqua" w:cs="Calibri"/>
                <w:color w:val="000000"/>
                <w:sz w:val="18"/>
                <w:szCs w:val="18"/>
                <w:lang w:eastAsia="es-CR"/>
              </w:rPr>
            </w:pPr>
            <w:r w:rsidRPr="004C150A">
              <w:rPr>
                <w:rFonts w:ascii="Book Antiqua" w:eastAsia="Times New Roman" w:hAnsi="Book Antiqua" w:cs="Calibri"/>
                <w:color w:val="000000"/>
                <w:sz w:val="18"/>
                <w:szCs w:val="18"/>
                <w:lang w:eastAsia="es-CR"/>
              </w:rPr>
              <w:t>0034 Centro</w:t>
            </w:r>
            <w:r>
              <w:rPr>
                <w:rFonts w:ascii="Book Antiqua" w:eastAsia="Times New Roman" w:hAnsi="Book Antiqua" w:cs="Calibri"/>
                <w:color w:val="000000"/>
                <w:sz w:val="18"/>
                <w:szCs w:val="18"/>
                <w:lang w:eastAsia="es-CR"/>
              </w:rPr>
              <w:t xml:space="preserve"> electrónico</w:t>
            </w:r>
            <w:r w:rsidRPr="004C150A">
              <w:rPr>
                <w:rFonts w:ascii="Book Antiqua" w:eastAsia="Times New Roman" w:hAnsi="Book Antiqua" w:cs="Calibri"/>
                <w:color w:val="000000"/>
                <w:sz w:val="18"/>
                <w:szCs w:val="18"/>
                <w:lang w:eastAsia="es-CR"/>
              </w:rPr>
              <w:t xml:space="preserve"> de Información Jurisprudencial</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4CD6D4C9" w14:textId="77777777" w:rsidR="000B7A67" w:rsidRPr="004C150A" w:rsidRDefault="000B7A67" w:rsidP="00F400D6">
            <w:pPr>
              <w:spacing w:after="0" w:line="240" w:lineRule="auto"/>
              <w:jc w:val="center"/>
              <w:rPr>
                <w:rFonts w:ascii="Book Antiqua" w:eastAsia="Times New Roman" w:hAnsi="Book Antiqua" w:cs="Calibri"/>
                <w:color w:val="000000"/>
                <w:sz w:val="18"/>
                <w:szCs w:val="18"/>
                <w:lang w:eastAsia="es-CR"/>
              </w:rPr>
            </w:pPr>
            <w:r w:rsidRPr="004C150A">
              <w:rPr>
                <w:rFonts w:ascii="Book Antiqua" w:eastAsia="Times New Roman" w:hAnsi="Book Antiqua" w:cs="Calibri"/>
                <w:color w:val="000000"/>
                <w:sz w:val="18"/>
                <w:szCs w:val="18"/>
                <w:lang w:eastAsia="es-CR"/>
              </w:rPr>
              <w:t>0034-CIJ-P01</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68AE064C" w14:textId="77777777" w:rsidR="000B7A67" w:rsidRPr="004C150A" w:rsidRDefault="000B7A67" w:rsidP="00F400D6">
            <w:pPr>
              <w:spacing w:after="0" w:line="240" w:lineRule="auto"/>
              <w:jc w:val="center"/>
              <w:rPr>
                <w:rFonts w:ascii="Book Antiqua" w:eastAsia="Times New Roman" w:hAnsi="Book Antiqua" w:cs="Calibri"/>
                <w:sz w:val="18"/>
                <w:szCs w:val="18"/>
                <w:lang w:eastAsia="es-CR"/>
              </w:rPr>
            </w:pPr>
            <w:r w:rsidRPr="004C150A">
              <w:rPr>
                <w:rFonts w:ascii="Book Antiqua" w:eastAsia="Times New Roman" w:hAnsi="Book Antiqua" w:cs="Calibri"/>
                <w:sz w:val="18"/>
                <w:szCs w:val="18"/>
                <w:lang w:eastAsia="es-CR"/>
              </w:rPr>
              <w:t>Fortalecimiento del acceso a la información judicial</w:t>
            </w:r>
          </w:p>
        </w:tc>
        <w:tc>
          <w:tcPr>
            <w:tcW w:w="993" w:type="dxa"/>
            <w:tcBorders>
              <w:top w:val="nil"/>
              <w:left w:val="nil"/>
              <w:bottom w:val="single" w:sz="4" w:space="0" w:color="auto"/>
              <w:right w:val="single" w:sz="4" w:space="0" w:color="auto"/>
            </w:tcBorders>
            <w:shd w:val="clear" w:color="auto" w:fill="auto"/>
            <w:vAlign w:val="center"/>
            <w:hideMark/>
          </w:tcPr>
          <w:p w14:paraId="7734854C" w14:textId="77777777" w:rsidR="000B7A67" w:rsidRPr="004C150A" w:rsidRDefault="000B7A67" w:rsidP="00F400D6">
            <w:pPr>
              <w:spacing w:after="0" w:line="240" w:lineRule="auto"/>
              <w:jc w:val="center"/>
              <w:rPr>
                <w:rFonts w:ascii="Book Antiqua" w:eastAsia="Times New Roman" w:hAnsi="Book Antiqua" w:cs="Calibri"/>
                <w:sz w:val="18"/>
                <w:szCs w:val="18"/>
                <w:lang w:eastAsia="es-CR"/>
              </w:rPr>
            </w:pPr>
            <w:r w:rsidRPr="004C150A">
              <w:rPr>
                <w:rFonts w:ascii="Book Antiqua" w:eastAsia="Times New Roman" w:hAnsi="Book Antiqua" w:cs="Calibri"/>
                <w:sz w:val="18"/>
                <w:szCs w:val="18"/>
                <w:lang w:eastAsia="es-CR"/>
              </w:rPr>
              <w:t>1.6</w:t>
            </w:r>
          </w:p>
        </w:tc>
        <w:tc>
          <w:tcPr>
            <w:tcW w:w="3118" w:type="dxa"/>
            <w:tcBorders>
              <w:top w:val="nil"/>
              <w:left w:val="nil"/>
              <w:bottom w:val="single" w:sz="4" w:space="0" w:color="auto"/>
              <w:right w:val="single" w:sz="4" w:space="0" w:color="auto"/>
            </w:tcBorders>
            <w:shd w:val="clear" w:color="auto" w:fill="auto"/>
            <w:vAlign w:val="center"/>
            <w:hideMark/>
          </w:tcPr>
          <w:p w14:paraId="34EA9FD5" w14:textId="77777777" w:rsidR="000B7A67" w:rsidRPr="004C150A" w:rsidRDefault="000B7A67" w:rsidP="00F400D6">
            <w:pPr>
              <w:spacing w:after="0" w:line="240" w:lineRule="auto"/>
              <w:jc w:val="center"/>
              <w:rPr>
                <w:rFonts w:ascii="Book Antiqua" w:eastAsia="Times New Roman" w:hAnsi="Book Antiqua" w:cs="Calibri"/>
                <w:sz w:val="18"/>
                <w:szCs w:val="18"/>
                <w:lang w:eastAsia="es-CR"/>
              </w:rPr>
            </w:pPr>
            <w:r w:rsidRPr="004C150A">
              <w:rPr>
                <w:rFonts w:ascii="Book Antiqua" w:eastAsia="Times New Roman" w:hAnsi="Book Antiqua" w:cs="Calibri"/>
                <w:sz w:val="18"/>
                <w:szCs w:val="18"/>
                <w:lang w:eastAsia="es-CR"/>
              </w:rPr>
              <w:t>Pendiente de actualizar acta de constitución y estudio de factibilidad  producto de la solicitud de cambio</w:t>
            </w:r>
          </w:p>
        </w:tc>
      </w:tr>
      <w:tr w:rsidR="007E6FC1" w:rsidRPr="004C150A" w14:paraId="6FFA50C4" w14:textId="77777777" w:rsidTr="00301740">
        <w:trPr>
          <w:trHeight w:val="690"/>
        </w:trPr>
        <w:tc>
          <w:tcPr>
            <w:tcW w:w="1560" w:type="dxa"/>
            <w:vMerge/>
            <w:tcBorders>
              <w:top w:val="nil"/>
              <w:left w:val="single" w:sz="4" w:space="0" w:color="auto"/>
              <w:bottom w:val="single" w:sz="4" w:space="0" w:color="000000"/>
              <w:right w:val="single" w:sz="4" w:space="0" w:color="auto"/>
            </w:tcBorders>
            <w:vAlign w:val="center"/>
            <w:hideMark/>
          </w:tcPr>
          <w:p w14:paraId="03C922AD" w14:textId="77777777" w:rsidR="000B7A67" w:rsidRPr="004C150A" w:rsidRDefault="000B7A67" w:rsidP="00F400D6">
            <w:pPr>
              <w:spacing w:after="0" w:line="240" w:lineRule="auto"/>
              <w:rPr>
                <w:rFonts w:ascii="Book Antiqua" w:eastAsia="Times New Roman" w:hAnsi="Book Antiqua" w:cs="Calibri"/>
                <w:color w:val="000000"/>
                <w:sz w:val="18"/>
                <w:szCs w:val="18"/>
                <w:lang w:eastAsia="es-CR"/>
              </w:rPr>
            </w:pPr>
          </w:p>
        </w:tc>
        <w:tc>
          <w:tcPr>
            <w:tcW w:w="1985" w:type="dxa"/>
            <w:vMerge/>
            <w:tcBorders>
              <w:top w:val="nil"/>
              <w:left w:val="single" w:sz="4" w:space="0" w:color="auto"/>
              <w:bottom w:val="single" w:sz="4" w:space="0" w:color="000000"/>
              <w:right w:val="single" w:sz="4" w:space="0" w:color="auto"/>
            </w:tcBorders>
            <w:vAlign w:val="center"/>
            <w:hideMark/>
          </w:tcPr>
          <w:p w14:paraId="5643F4C7" w14:textId="77777777" w:rsidR="000B7A67" w:rsidRPr="004C150A" w:rsidRDefault="000B7A67" w:rsidP="00F400D6">
            <w:pPr>
              <w:spacing w:after="0" w:line="240" w:lineRule="auto"/>
              <w:rPr>
                <w:rFonts w:ascii="Book Antiqua" w:eastAsia="Times New Roman" w:hAnsi="Book Antiqua" w:cs="Calibri"/>
                <w:color w:val="000000"/>
                <w:sz w:val="18"/>
                <w:szCs w:val="18"/>
                <w:lang w:eastAsia="es-CR"/>
              </w:rPr>
            </w:pPr>
          </w:p>
        </w:tc>
        <w:tc>
          <w:tcPr>
            <w:tcW w:w="850" w:type="dxa"/>
            <w:vMerge/>
            <w:tcBorders>
              <w:top w:val="nil"/>
              <w:left w:val="single" w:sz="4" w:space="0" w:color="auto"/>
              <w:bottom w:val="single" w:sz="4" w:space="0" w:color="000000"/>
              <w:right w:val="single" w:sz="4" w:space="0" w:color="auto"/>
            </w:tcBorders>
            <w:vAlign w:val="center"/>
            <w:hideMark/>
          </w:tcPr>
          <w:p w14:paraId="08125D66" w14:textId="77777777" w:rsidR="000B7A67" w:rsidRPr="004C150A" w:rsidRDefault="000B7A67" w:rsidP="00F400D6">
            <w:pPr>
              <w:spacing w:after="0" w:line="240" w:lineRule="auto"/>
              <w:rPr>
                <w:rFonts w:ascii="Book Antiqua" w:eastAsia="Times New Roman" w:hAnsi="Book Antiqua" w:cs="Calibri"/>
                <w:color w:val="000000"/>
                <w:sz w:val="18"/>
                <w:szCs w:val="18"/>
                <w:lang w:eastAsia="es-CR"/>
              </w:rPr>
            </w:pPr>
          </w:p>
        </w:tc>
        <w:tc>
          <w:tcPr>
            <w:tcW w:w="2126" w:type="dxa"/>
            <w:vMerge/>
            <w:tcBorders>
              <w:top w:val="nil"/>
              <w:left w:val="single" w:sz="4" w:space="0" w:color="auto"/>
              <w:bottom w:val="single" w:sz="4" w:space="0" w:color="000000"/>
              <w:right w:val="single" w:sz="4" w:space="0" w:color="auto"/>
            </w:tcBorders>
            <w:vAlign w:val="center"/>
            <w:hideMark/>
          </w:tcPr>
          <w:p w14:paraId="4395C322" w14:textId="77777777" w:rsidR="000B7A67" w:rsidRPr="004C150A" w:rsidRDefault="000B7A67" w:rsidP="00F400D6">
            <w:pPr>
              <w:spacing w:after="0" w:line="240" w:lineRule="auto"/>
              <w:rPr>
                <w:rFonts w:ascii="Book Antiqua" w:eastAsia="Times New Roman" w:hAnsi="Book Antiqua" w:cs="Calibri"/>
                <w:sz w:val="18"/>
                <w:szCs w:val="18"/>
                <w:lang w:eastAsia="es-CR"/>
              </w:rPr>
            </w:pPr>
          </w:p>
        </w:tc>
        <w:tc>
          <w:tcPr>
            <w:tcW w:w="993" w:type="dxa"/>
            <w:tcBorders>
              <w:top w:val="nil"/>
              <w:left w:val="nil"/>
              <w:bottom w:val="single" w:sz="4" w:space="0" w:color="auto"/>
              <w:right w:val="single" w:sz="4" w:space="0" w:color="auto"/>
            </w:tcBorders>
            <w:shd w:val="clear" w:color="auto" w:fill="auto"/>
            <w:vAlign w:val="center"/>
            <w:hideMark/>
          </w:tcPr>
          <w:p w14:paraId="636BC837" w14:textId="77777777" w:rsidR="000B7A67" w:rsidRPr="004C150A" w:rsidRDefault="000B7A67" w:rsidP="00F400D6">
            <w:pPr>
              <w:spacing w:after="0" w:line="240" w:lineRule="auto"/>
              <w:jc w:val="center"/>
              <w:rPr>
                <w:rFonts w:ascii="Book Antiqua" w:eastAsia="Times New Roman" w:hAnsi="Book Antiqua" w:cs="Calibri"/>
                <w:color w:val="000000"/>
                <w:sz w:val="18"/>
                <w:szCs w:val="18"/>
                <w:lang w:eastAsia="es-CR"/>
              </w:rPr>
            </w:pPr>
            <w:r w:rsidRPr="004C150A">
              <w:rPr>
                <w:rFonts w:ascii="Book Antiqua" w:eastAsia="Times New Roman" w:hAnsi="Book Antiqua" w:cs="Calibri"/>
                <w:color w:val="000000"/>
                <w:sz w:val="18"/>
                <w:szCs w:val="18"/>
                <w:lang w:eastAsia="es-CR"/>
              </w:rPr>
              <w:t>2.2</w:t>
            </w:r>
          </w:p>
        </w:tc>
        <w:tc>
          <w:tcPr>
            <w:tcW w:w="3118" w:type="dxa"/>
            <w:tcBorders>
              <w:top w:val="nil"/>
              <w:left w:val="nil"/>
              <w:bottom w:val="single" w:sz="4" w:space="0" w:color="auto"/>
              <w:right w:val="single" w:sz="4" w:space="0" w:color="auto"/>
            </w:tcBorders>
            <w:shd w:val="clear" w:color="auto" w:fill="auto"/>
            <w:vAlign w:val="center"/>
            <w:hideMark/>
          </w:tcPr>
          <w:p w14:paraId="38ECD028" w14:textId="77777777" w:rsidR="000B7A67" w:rsidRPr="004C150A" w:rsidRDefault="000B7A67" w:rsidP="00F400D6">
            <w:pPr>
              <w:spacing w:after="0" w:line="240" w:lineRule="auto"/>
              <w:jc w:val="center"/>
              <w:rPr>
                <w:rFonts w:ascii="Book Antiqua" w:eastAsia="Times New Roman" w:hAnsi="Book Antiqua" w:cs="Calibri"/>
                <w:sz w:val="18"/>
                <w:szCs w:val="18"/>
                <w:lang w:eastAsia="es-CR"/>
              </w:rPr>
            </w:pPr>
            <w:r w:rsidRPr="004C150A">
              <w:rPr>
                <w:rFonts w:ascii="Book Antiqua" w:eastAsia="Times New Roman" w:hAnsi="Book Antiqua" w:cs="Calibri"/>
                <w:sz w:val="18"/>
                <w:szCs w:val="18"/>
                <w:lang w:eastAsia="es-CR"/>
              </w:rPr>
              <w:t>Pendiente elaborar solicitud de cambio y realizar ajuste en el cronograma para justificar retraso.</w:t>
            </w:r>
          </w:p>
        </w:tc>
      </w:tr>
      <w:tr w:rsidR="007E6FC1" w:rsidRPr="004C150A" w14:paraId="28ED61B3" w14:textId="77777777" w:rsidTr="00301740">
        <w:trPr>
          <w:trHeight w:val="900"/>
        </w:trPr>
        <w:tc>
          <w:tcPr>
            <w:tcW w:w="1560" w:type="dxa"/>
            <w:vMerge/>
            <w:tcBorders>
              <w:top w:val="nil"/>
              <w:left w:val="single" w:sz="4" w:space="0" w:color="auto"/>
              <w:bottom w:val="single" w:sz="4" w:space="0" w:color="000000"/>
              <w:right w:val="single" w:sz="4" w:space="0" w:color="auto"/>
            </w:tcBorders>
            <w:vAlign w:val="center"/>
            <w:hideMark/>
          </w:tcPr>
          <w:p w14:paraId="70F95EEB" w14:textId="77777777" w:rsidR="000B7A67" w:rsidRPr="004C150A" w:rsidRDefault="000B7A67" w:rsidP="00F400D6">
            <w:pPr>
              <w:spacing w:after="0" w:line="240" w:lineRule="auto"/>
              <w:rPr>
                <w:rFonts w:ascii="Book Antiqua" w:eastAsia="Times New Roman" w:hAnsi="Book Antiqua" w:cs="Calibri"/>
                <w:color w:val="000000"/>
                <w:sz w:val="18"/>
                <w:szCs w:val="18"/>
                <w:lang w:eastAsia="es-CR"/>
              </w:rPr>
            </w:pPr>
          </w:p>
        </w:tc>
        <w:tc>
          <w:tcPr>
            <w:tcW w:w="1985" w:type="dxa"/>
            <w:vMerge/>
            <w:tcBorders>
              <w:top w:val="nil"/>
              <w:left w:val="single" w:sz="4" w:space="0" w:color="auto"/>
              <w:bottom w:val="single" w:sz="4" w:space="0" w:color="000000"/>
              <w:right w:val="single" w:sz="4" w:space="0" w:color="auto"/>
            </w:tcBorders>
            <w:vAlign w:val="center"/>
            <w:hideMark/>
          </w:tcPr>
          <w:p w14:paraId="29BB56FB" w14:textId="77777777" w:rsidR="000B7A67" w:rsidRPr="004C150A" w:rsidRDefault="000B7A67" w:rsidP="00F400D6">
            <w:pPr>
              <w:spacing w:after="0" w:line="240" w:lineRule="auto"/>
              <w:rPr>
                <w:rFonts w:ascii="Book Antiqua" w:eastAsia="Times New Roman" w:hAnsi="Book Antiqua" w:cs="Calibri"/>
                <w:color w:val="000000"/>
                <w:sz w:val="18"/>
                <w:szCs w:val="18"/>
                <w:lang w:eastAsia="es-CR"/>
              </w:rPr>
            </w:pPr>
          </w:p>
        </w:tc>
        <w:tc>
          <w:tcPr>
            <w:tcW w:w="850" w:type="dxa"/>
            <w:tcBorders>
              <w:top w:val="nil"/>
              <w:left w:val="nil"/>
              <w:bottom w:val="single" w:sz="4" w:space="0" w:color="auto"/>
              <w:right w:val="single" w:sz="4" w:space="0" w:color="auto"/>
            </w:tcBorders>
            <w:shd w:val="clear" w:color="auto" w:fill="auto"/>
            <w:vAlign w:val="center"/>
            <w:hideMark/>
          </w:tcPr>
          <w:p w14:paraId="1304AD88" w14:textId="77777777" w:rsidR="000B7A67" w:rsidRPr="004C150A" w:rsidRDefault="000B7A67" w:rsidP="00F400D6">
            <w:pPr>
              <w:spacing w:after="0" w:line="240" w:lineRule="auto"/>
              <w:jc w:val="center"/>
              <w:rPr>
                <w:rFonts w:ascii="Book Antiqua" w:eastAsia="Times New Roman" w:hAnsi="Book Antiqua" w:cs="Calibri"/>
                <w:color w:val="000000"/>
                <w:sz w:val="18"/>
                <w:szCs w:val="18"/>
                <w:lang w:eastAsia="es-CR"/>
              </w:rPr>
            </w:pPr>
            <w:r w:rsidRPr="004C150A">
              <w:rPr>
                <w:rFonts w:ascii="Book Antiqua" w:eastAsia="Times New Roman" w:hAnsi="Book Antiqua" w:cs="Calibri"/>
                <w:color w:val="000000"/>
                <w:sz w:val="18"/>
                <w:szCs w:val="18"/>
                <w:lang w:eastAsia="es-CR"/>
              </w:rPr>
              <w:t>0034-CIJ-P02</w:t>
            </w:r>
          </w:p>
        </w:tc>
        <w:tc>
          <w:tcPr>
            <w:tcW w:w="2126" w:type="dxa"/>
            <w:tcBorders>
              <w:top w:val="nil"/>
              <w:left w:val="nil"/>
              <w:bottom w:val="single" w:sz="4" w:space="0" w:color="auto"/>
              <w:right w:val="single" w:sz="4" w:space="0" w:color="auto"/>
            </w:tcBorders>
            <w:shd w:val="clear" w:color="auto" w:fill="auto"/>
            <w:vAlign w:val="center"/>
            <w:hideMark/>
          </w:tcPr>
          <w:p w14:paraId="358205C9" w14:textId="77777777" w:rsidR="000B7A67" w:rsidRPr="004C150A" w:rsidRDefault="000B7A67" w:rsidP="00F400D6">
            <w:pPr>
              <w:spacing w:after="0" w:line="240" w:lineRule="auto"/>
              <w:jc w:val="center"/>
              <w:rPr>
                <w:rFonts w:ascii="Book Antiqua" w:eastAsia="Times New Roman" w:hAnsi="Book Antiqua" w:cs="Calibri"/>
                <w:sz w:val="18"/>
                <w:szCs w:val="18"/>
                <w:lang w:eastAsia="es-CR"/>
              </w:rPr>
            </w:pPr>
            <w:r w:rsidRPr="004C150A">
              <w:rPr>
                <w:rFonts w:ascii="Book Antiqua" w:eastAsia="Times New Roman" w:hAnsi="Book Antiqua" w:cs="Calibri"/>
                <w:sz w:val="18"/>
                <w:szCs w:val="18"/>
                <w:lang w:eastAsia="es-CR"/>
              </w:rPr>
              <w:t>Herramienta para la despersonalización de documentos judiciales</w:t>
            </w:r>
          </w:p>
        </w:tc>
        <w:tc>
          <w:tcPr>
            <w:tcW w:w="993" w:type="dxa"/>
            <w:tcBorders>
              <w:top w:val="nil"/>
              <w:left w:val="nil"/>
              <w:bottom w:val="single" w:sz="4" w:space="0" w:color="auto"/>
              <w:right w:val="single" w:sz="4" w:space="0" w:color="auto"/>
            </w:tcBorders>
            <w:shd w:val="clear" w:color="auto" w:fill="auto"/>
            <w:vAlign w:val="center"/>
            <w:hideMark/>
          </w:tcPr>
          <w:p w14:paraId="5824BF84" w14:textId="77777777" w:rsidR="000B7A67" w:rsidRPr="004C150A" w:rsidRDefault="000B7A67" w:rsidP="00F400D6">
            <w:pPr>
              <w:spacing w:after="0" w:line="240" w:lineRule="auto"/>
              <w:jc w:val="center"/>
              <w:rPr>
                <w:rFonts w:ascii="Book Antiqua" w:eastAsia="Times New Roman" w:hAnsi="Book Antiqua" w:cs="Calibri"/>
                <w:sz w:val="18"/>
                <w:szCs w:val="18"/>
                <w:lang w:eastAsia="es-CR"/>
              </w:rPr>
            </w:pPr>
            <w:r w:rsidRPr="004C150A">
              <w:rPr>
                <w:rFonts w:ascii="Book Antiqua" w:eastAsia="Times New Roman" w:hAnsi="Book Antiqua" w:cs="Calibri"/>
                <w:sz w:val="18"/>
                <w:szCs w:val="18"/>
                <w:lang w:eastAsia="es-CR"/>
              </w:rPr>
              <w:t>1.6</w:t>
            </w:r>
          </w:p>
        </w:tc>
        <w:tc>
          <w:tcPr>
            <w:tcW w:w="3118" w:type="dxa"/>
            <w:tcBorders>
              <w:top w:val="nil"/>
              <w:left w:val="nil"/>
              <w:bottom w:val="single" w:sz="4" w:space="0" w:color="auto"/>
              <w:right w:val="single" w:sz="4" w:space="0" w:color="auto"/>
            </w:tcBorders>
            <w:shd w:val="clear" w:color="auto" w:fill="auto"/>
            <w:vAlign w:val="center"/>
            <w:hideMark/>
          </w:tcPr>
          <w:p w14:paraId="14D42072" w14:textId="77777777" w:rsidR="000B7A67" w:rsidRPr="004C150A" w:rsidRDefault="000B7A67" w:rsidP="00F400D6">
            <w:pPr>
              <w:spacing w:after="0" w:line="240" w:lineRule="auto"/>
              <w:jc w:val="center"/>
              <w:rPr>
                <w:rFonts w:ascii="Book Antiqua" w:eastAsia="Times New Roman" w:hAnsi="Book Antiqua" w:cs="Calibri"/>
                <w:sz w:val="18"/>
                <w:szCs w:val="18"/>
                <w:lang w:eastAsia="es-CR"/>
              </w:rPr>
            </w:pPr>
            <w:r w:rsidRPr="004C150A">
              <w:rPr>
                <w:rFonts w:ascii="Book Antiqua" w:eastAsia="Times New Roman" w:hAnsi="Book Antiqua" w:cs="Calibri"/>
                <w:sz w:val="18"/>
                <w:szCs w:val="18"/>
                <w:lang w:eastAsia="es-CR"/>
              </w:rPr>
              <w:t>Pendiente de actualizar acta de constitución, plan de gestión producto de la solicitud de cambio</w:t>
            </w:r>
          </w:p>
        </w:tc>
      </w:tr>
    </w:tbl>
    <w:p w14:paraId="35C9D0EB" w14:textId="4BB52AFB" w:rsidR="000B7A67" w:rsidRPr="0045181A" w:rsidRDefault="000B7A67" w:rsidP="0045181A">
      <w:pPr>
        <w:spacing w:after="0"/>
        <w:ind w:right="-1227"/>
        <w:jc w:val="right"/>
        <w:rPr>
          <w:rFonts w:ascii="Book Antiqua" w:eastAsia="Wingdings" w:hAnsi="Book Antiqua"/>
          <w:iCs/>
          <w:sz w:val="24"/>
          <w:szCs w:val="24"/>
          <w:lang w:eastAsia="ko-KR"/>
        </w:rPr>
      </w:pPr>
      <w:r w:rsidRPr="0045181A">
        <w:rPr>
          <w:rFonts w:ascii="Book Antiqua" w:eastAsia="Wingdings" w:hAnsi="Book Antiqua"/>
          <w:iCs/>
          <w:sz w:val="24"/>
          <w:szCs w:val="24"/>
          <w:lang w:eastAsia="ko-KR"/>
        </w:rPr>
        <w:t>“</w:t>
      </w:r>
      <w:r w:rsidR="0045181A" w:rsidRPr="0045181A">
        <w:rPr>
          <w:rFonts w:ascii="Book Antiqua" w:eastAsia="Wingdings" w:hAnsi="Book Antiqua"/>
          <w:iCs/>
          <w:sz w:val="24"/>
          <w:szCs w:val="24"/>
          <w:lang w:eastAsia="ko-KR"/>
        </w:rPr>
        <w:t>.</w:t>
      </w:r>
    </w:p>
    <w:p w14:paraId="1A608663" w14:textId="77777777" w:rsidR="000B7A67" w:rsidRDefault="000B7A67" w:rsidP="000B7A67">
      <w:pPr>
        <w:spacing w:after="0"/>
        <w:ind w:right="616"/>
        <w:jc w:val="both"/>
        <w:rPr>
          <w:rFonts w:ascii="Book Antiqua" w:eastAsia="Wingdings" w:hAnsi="Book Antiqua"/>
          <w:b/>
          <w:bCs/>
          <w:i/>
          <w:sz w:val="24"/>
          <w:szCs w:val="24"/>
          <w:lang w:eastAsia="ko-KR"/>
        </w:rPr>
      </w:pPr>
    </w:p>
    <w:p w14:paraId="04105497" w14:textId="07689CF6" w:rsidR="000B7A67" w:rsidRPr="006157B8" w:rsidRDefault="000B7A67" w:rsidP="000B7A67">
      <w:pPr>
        <w:spacing w:after="0"/>
        <w:jc w:val="both"/>
        <w:rPr>
          <w:rFonts w:ascii="Book Antiqua" w:hAnsi="Book Antiqua"/>
          <w:sz w:val="24"/>
          <w:szCs w:val="24"/>
          <w:highlight w:val="yellow"/>
        </w:rPr>
      </w:pPr>
      <w:r>
        <w:rPr>
          <w:rFonts w:ascii="Book Antiqua" w:hAnsi="Book Antiqua"/>
          <w:sz w:val="24"/>
          <w:szCs w:val="24"/>
        </w:rPr>
        <w:t>Con la finalidad de dar seguimiento a estas recomendaciones, se remite correo a la oficina mediante el oficio 1783</w:t>
      </w:r>
      <w:r w:rsidRPr="004C19A1">
        <w:rPr>
          <w:rFonts w:ascii="Book Antiqua" w:hAnsi="Book Antiqua"/>
          <w:sz w:val="24"/>
          <w:szCs w:val="24"/>
        </w:rPr>
        <w:t>-PLA-PP-TR-2023</w:t>
      </w:r>
      <w:r>
        <w:rPr>
          <w:rFonts w:ascii="Book Antiqua" w:hAnsi="Book Antiqua"/>
          <w:sz w:val="24"/>
          <w:szCs w:val="24"/>
        </w:rPr>
        <w:t>. El cual la oficina responde, indicando el acatamiento de l</w:t>
      </w:r>
      <w:r w:rsidR="007D70B7">
        <w:rPr>
          <w:rFonts w:ascii="Book Antiqua" w:hAnsi="Book Antiqua"/>
          <w:sz w:val="24"/>
          <w:szCs w:val="24"/>
        </w:rPr>
        <w:t>as recomendaciones</w:t>
      </w:r>
      <w:r>
        <w:rPr>
          <w:rFonts w:ascii="Book Antiqua" w:hAnsi="Book Antiqua"/>
          <w:sz w:val="24"/>
          <w:szCs w:val="24"/>
        </w:rPr>
        <w:t>.</w:t>
      </w:r>
    </w:p>
    <w:p w14:paraId="0189E96B" w14:textId="77777777" w:rsidR="000B7A67" w:rsidRPr="004C0359" w:rsidRDefault="000B7A67" w:rsidP="000B7A67">
      <w:pPr>
        <w:spacing w:after="0"/>
        <w:jc w:val="both"/>
        <w:rPr>
          <w:rFonts w:ascii="Book Antiqua" w:hAnsi="Book Antiqua"/>
          <w:sz w:val="24"/>
          <w:szCs w:val="24"/>
        </w:rPr>
      </w:pPr>
    </w:p>
    <w:p w14:paraId="22CC6911" w14:textId="3E0DA275" w:rsidR="000B7A67" w:rsidRDefault="000B7A67" w:rsidP="000B7A67">
      <w:pPr>
        <w:spacing w:after="0"/>
        <w:jc w:val="both"/>
        <w:rPr>
          <w:rFonts w:ascii="Book Antiqua" w:hAnsi="Book Antiqua"/>
          <w:sz w:val="24"/>
          <w:szCs w:val="24"/>
        </w:rPr>
      </w:pPr>
      <w:r>
        <w:rPr>
          <w:rFonts w:ascii="Book Antiqua" w:hAnsi="Book Antiqua"/>
          <w:sz w:val="24"/>
          <w:szCs w:val="24"/>
        </w:rPr>
        <w:lastRenderedPageBreak/>
        <w:t>S</w:t>
      </w:r>
      <w:r w:rsidRPr="004C0359">
        <w:rPr>
          <w:rFonts w:ascii="Book Antiqua" w:hAnsi="Book Antiqua"/>
          <w:sz w:val="24"/>
          <w:szCs w:val="24"/>
        </w:rPr>
        <w:t xml:space="preserve">e procedió a revisar en los centros de proyectos para validar el cumplimiento de estas </w:t>
      </w:r>
      <w:r w:rsidRPr="00D92A85">
        <w:rPr>
          <w:rFonts w:ascii="Book Antiqua" w:hAnsi="Book Antiqua"/>
          <w:sz w:val="24"/>
          <w:szCs w:val="24"/>
        </w:rPr>
        <w:t>recomendaciones (</w:t>
      </w:r>
      <w:hyperlink r:id="rId12" w:history="1">
        <w:r w:rsidRPr="00011BFE">
          <w:rPr>
            <w:rStyle w:val="Hipervnculo"/>
            <w:rFonts w:ascii="Book Antiqua" w:hAnsi="Book Antiqua"/>
            <w:sz w:val="24"/>
            <w:szCs w:val="24"/>
          </w:rPr>
          <w:t>Ver enlace: Centro de Información Jurisprudencial</w:t>
        </w:r>
      </w:hyperlink>
      <w:r w:rsidRPr="00D92A85">
        <w:rPr>
          <w:rFonts w:ascii="Book Antiqua" w:hAnsi="Book Antiqua"/>
          <w:sz w:val="24"/>
          <w:szCs w:val="24"/>
        </w:rPr>
        <w:t>); constatando</w:t>
      </w:r>
      <w:r>
        <w:rPr>
          <w:rFonts w:ascii="Book Antiqua" w:hAnsi="Book Antiqua"/>
          <w:sz w:val="24"/>
          <w:szCs w:val="24"/>
        </w:rPr>
        <w:t xml:space="preserve"> el cumplimiento de</w:t>
      </w:r>
      <w:r w:rsidR="007D70B7">
        <w:rPr>
          <w:rFonts w:ascii="Book Antiqua" w:hAnsi="Book Antiqua"/>
          <w:sz w:val="24"/>
          <w:szCs w:val="24"/>
        </w:rPr>
        <w:t xml:space="preserve"> estas</w:t>
      </w:r>
      <w:r>
        <w:rPr>
          <w:rFonts w:ascii="Book Antiqua" w:hAnsi="Book Antiqua"/>
          <w:sz w:val="24"/>
          <w:szCs w:val="24"/>
        </w:rPr>
        <w:t>.</w:t>
      </w:r>
    </w:p>
    <w:p w14:paraId="16E777B0" w14:textId="77777777" w:rsidR="000B7A67" w:rsidRDefault="000B7A67" w:rsidP="000B7A67">
      <w:pPr>
        <w:spacing w:after="0"/>
        <w:jc w:val="both"/>
        <w:rPr>
          <w:rFonts w:ascii="Book Antiqua" w:hAnsi="Book Antiqua"/>
        </w:rPr>
      </w:pPr>
    </w:p>
    <w:p w14:paraId="48E756FE" w14:textId="77777777" w:rsidR="000B7A67" w:rsidRPr="00F13AAE" w:rsidRDefault="000B7A67" w:rsidP="000B7A67">
      <w:pPr>
        <w:pStyle w:val="Ttulo2"/>
        <w:numPr>
          <w:ilvl w:val="0"/>
          <w:numId w:val="3"/>
        </w:numPr>
        <w:jc w:val="both"/>
        <w:rPr>
          <w:rFonts w:ascii="Book Antiqua" w:eastAsia="Wingdings" w:hAnsi="Book Antiqua"/>
          <w:b/>
          <w:bCs/>
          <w:color w:val="auto"/>
          <w:lang w:eastAsia="ko-KR"/>
        </w:rPr>
      </w:pPr>
      <w:bookmarkStart w:id="10" w:name="_Toc138770822"/>
      <w:r w:rsidRPr="00F13AAE">
        <w:rPr>
          <w:rFonts w:ascii="Book Antiqua" w:eastAsia="Wingdings" w:hAnsi="Book Antiqua"/>
          <w:b/>
          <w:bCs/>
          <w:color w:val="auto"/>
          <w:lang w:eastAsia="ko-KR"/>
        </w:rPr>
        <w:t xml:space="preserve">Recomendaciones dirigidas al </w:t>
      </w:r>
      <w:r w:rsidRPr="00D243D1">
        <w:rPr>
          <w:rFonts w:ascii="Book Antiqua" w:eastAsia="Wingdings" w:hAnsi="Book Antiqua"/>
          <w:b/>
          <w:bCs/>
          <w:color w:val="auto"/>
          <w:lang w:eastAsia="ko-KR"/>
        </w:rPr>
        <w:t>Circuito Judicial Puntarenas</w:t>
      </w:r>
      <w:bookmarkEnd w:id="10"/>
    </w:p>
    <w:p w14:paraId="6E012B5F" w14:textId="77777777" w:rsidR="000B7A67" w:rsidRDefault="000B7A67" w:rsidP="000B7A67">
      <w:pPr>
        <w:spacing w:after="0"/>
        <w:jc w:val="both"/>
        <w:rPr>
          <w:rFonts w:ascii="Book Antiqua" w:hAnsi="Book Antiqua"/>
        </w:rPr>
      </w:pPr>
    </w:p>
    <w:p w14:paraId="3DE9BC9F" w14:textId="77777777" w:rsidR="000B7A67" w:rsidRDefault="000B7A67" w:rsidP="000B7A67">
      <w:pPr>
        <w:spacing w:after="0"/>
        <w:jc w:val="both"/>
        <w:rPr>
          <w:rFonts w:ascii="Book Antiqua" w:hAnsi="Book Antiqua"/>
          <w:sz w:val="24"/>
          <w:szCs w:val="24"/>
        </w:rPr>
      </w:pPr>
      <w:r>
        <w:rPr>
          <w:rFonts w:ascii="Book Antiqua" w:hAnsi="Book Antiqua"/>
          <w:sz w:val="24"/>
          <w:szCs w:val="24"/>
        </w:rPr>
        <w:t xml:space="preserve">En el informe 277-PLA-PP-2023, se dirigió una recomendación al </w:t>
      </w:r>
      <w:r w:rsidRPr="00D243D1">
        <w:rPr>
          <w:rFonts w:ascii="Book Antiqua" w:eastAsia="Wingdings" w:hAnsi="Book Antiqua"/>
          <w:b/>
          <w:bCs/>
          <w:lang w:eastAsia="ko-KR"/>
        </w:rPr>
        <w:t>Circuito Judicial Puntarenas</w:t>
      </w:r>
      <w:r>
        <w:rPr>
          <w:rFonts w:ascii="Book Antiqua" w:hAnsi="Book Antiqua"/>
          <w:sz w:val="24"/>
          <w:szCs w:val="24"/>
        </w:rPr>
        <w:t xml:space="preserve">, debido a que existía un proyecto con recomendaciones, por lo anterior se realizó la siguiente: </w:t>
      </w:r>
    </w:p>
    <w:p w14:paraId="4AF5E2D2" w14:textId="77777777" w:rsidR="000B7A67" w:rsidRDefault="000B7A67" w:rsidP="000B7A67">
      <w:pPr>
        <w:spacing w:after="0"/>
        <w:jc w:val="both"/>
        <w:rPr>
          <w:rFonts w:ascii="Book Antiqua" w:hAnsi="Book Antiqua"/>
          <w:sz w:val="24"/>
          <w:szCs w:val="24"/>
        </w:rPr>
      </w:pPr>
    </w:p>
    <w:p w14:paraId="560B81EE" w14:textId="77777777" w:rsidR="000B7A67" w:rsidRDefault="000B7A67" w:rsidP="000B7A67">
      <w:pPr>
        <w:pStyle w:val="Prrafodelista"/>
        <w:spacing w:after="0" w:line="240" w:lineRule="auto"/>
        <w:jc w:val="both"/>
        <w:rPr>
          <w:rFonts w:ascii="Book Antiqua" w:eastAsia="Wingdings" w:hAnsi="Book Antiqua"/>
          <w:i/>
          <w:sz w:val="24"/>
          <w:szCs w:val="24"/>
          <w:lang w:eastAsia="ko-KR"/>
        </w:rPr>
      </w:pPr>
      <w:r>
        <w:rPr>
          <w:rFonts w:ascii="Book Antiqua" w:hAnsi="Book Antiqua"/>
          <w:sz w:val="24"/>
          <w:szCs w:val="24"/>
        </w:rPr>
        <w:t xml:space="preserve">“ </w:t>
      </w:r>
      <w:r w:rsidRPr="009F17B2">
        <w:rPr>
          <w:rFonts w:ascii="Book Antiqua" w:eastAsia="Wingdings" w:hAnsi="Book Antiqua"/>
          <w:b/>
          <w:bCs/>
          <w:i/>
          <w:sz w:val="24"/>
          <w:szCs w:val="24"/>
          <w:lang w:eastAsia="ko-KR"/>
        </w:rPr>
        <w:t>2.10)</w:t>
      </w:r>
      <w:r w:rsidRPr="009F17B2">
        <w:rPr>
          <w:rFonts w:ascii="Book Antiqua" w:eastAsia="Wingdings" w:hAnsi="Book Antiqua"/>
          <w:i/>
          <w:sz w:val="24"/>
          <w:szCs w:val="24"/>
          <w:lang w:eastAsia="ko-KR"/>
        </w:rPr>
        <w:t xml:space="preserve"> El Centro de Conciliación del Poder Judicial, las Comisiones de la Jurisdicción Agrario y Agroambiental, de Acceso a la Justicia, la Defensa Pública, el Departamento de Prensa y Comunicación Organizacional, el Programa Justicia Restaurativa, así como las Administraciones Regionales del Segundo Circuito Judicial de Alajuela, Tercer Circuito Judicial Alajuela, de la Ciudad Judicial de San Joaquín de Flores, de Puntarenas, del Primer Circuito Judicial Guanacaste y Primer Circuito Judicial de la Zona Sur, deberán a más tardar el 28 de abril del 2023, cargar en el sitio de proyecto la atención de las recomendaciones que se describen en la tabla correspondiente expuesta en el presente informe.</w:t>
      </w:r>
    </w:p>
    <w:tbl>
      <w:tblPr>
        <w:tblW w:w="10491" w:type="dxa"/>
        <w:tblInd w:w="-431" w:type="dxa"/>
        <w:tblCellMar>
          <w:left w:w="70" w:type="dxa"/>
          <w:right w:w="70" w:type="dxa"/>
        </w:tblCellMar>
        <w:tblLook w:val="04A0" w:firstRow="1" w:lastRow="0" w:firstColumn="1" w:lastColumn="0" w:noHBand="0" w:noVBand="1"/>
      </w:tblPr>
      <w:tblGrid>
        <w:gridCol w:w="1560"/>
        <w:gridCol w:w="1701"/>
        <w:gridCol w:w="992"/>
        <w:gridCol w:w="1201"/>
        <w:gridCol w:w="1209"/>
        <w:gridCol w:w="3828"/>
      </w:tblGrid>
      <w:tr w:rsidR="00BC00B3" w:rsidRPr="00CD163A" w14:paraId="1EDC1BF1" w14:textId="77777777" w:rsidTr="00301740">
        <w:trPr>
          <w:trHeight w:val="300"/>
        </w:trPr>
        <w:tc>
          <w:tcPr>
            <w:tcW w:w="156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12847A08" w14:textId="77777777" w:rsidR="000B7A67" w:rsidRPr="00CD163A" w:rsidRDefault="000B7A67" w:rsidP="00F400D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 xml:space="preserve">Centro de responsabilidad </w:t>
            </w:r>
          </w:p>
        </w:tc>
        <w:tc>
          <w:tcPr>
            <w:tcW w:w="1701" w:type="dxa"/>
            <w:tcBorders>
              <w:top w:val="single" w:sz="4" w:space="0" w:color="auto"/>
              <w:left w:val="nil"/>
              <w:bottom w:val="single" w:sz="4" w:space="0" w:color="auto"/>
              <w:right w:val="single" w:sz="4" w:space="0" w:color="auto"/>
            </w:tcBorders>
            <w:shd w:val="clear" w:color="000000" w:fill="44546A"/>
            <w:vAlign w:val="center"/>
            <w:hideMark/>
          </w:tcPr>
          <w:p w14:paraId="7F4A2DF7" w14:textId="77777777" w:rsidR="000B7A67" w:rsidRPr="00CD163A" w:rsidRDefault="000B7A67" w:rsidP="00F400D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Oficina Líder</w:t>
            </w:r>
          </w:p>
        </w:tc>
        <w:tc>
          <w:tcPr>
            <w:tcW w:w="992" w:type="dxa"/>
            <w:tcBorders>
              <w:top w:val="single" w:sz="4" w:space="0" w:color="auto"/>
              <w:left w:val="nil"/>
              <w:bottom w:val="single" w:sz="4" w:space="0" w:color="auto"/>
              <w:right w:val="single" w:sz="4" w:space="0" w:color="auto"/>
            </w:tcBorders>
            <w:shd w:val="clear" w:color="000000" w:fill="44546A"/>
            <w:vAlign w:val="center"/>
            <w:hideMark/>
          </w:tcPr>
          <w:p w14:paraId="5BD24B40" w14:textId="77777777" w:rsidR="000B7A67" w:rsidRPr="00CD163A" w:rsidRDefault="000B7A67" w:rsidP="00F400D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Código</w:t>
            </w:r>
          </w:p>
        </w:tc>
        <w:tc>
          <w:tcPr>
            <w:tcW w:w="1201" w:type="dxa"/>
            <w:tcBorders>
              <w:top w:val="single" w:sz="4" w:space="0" w:color="auto"/>
              <w:left w:val="nil"/>
              <w:bottom w:val="single" w:sz="4" w:space="0" w:color="auto"/>
              <w:right w:val="single" w:sz="4" w:space="0" w:color="auto"/>
            </w:tcBorders>
            <w:shd w:val="clear" w:color="000000" w:fill="44546A"/>
            <w:vAlign w:val="center"/>
            <w:hideMark/>
          </w:tcPr>
          <w:p w14:paraId="2D9DAD18" w14:textId="77777777" w:rsidR="000B7A67" w:rsidRPr="00CD163A" w:rsidRDefault="000B7A67" w:rsidP="00F400D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Nombre</w:t>
            </w:r>
          </w:p>
        </w:tc>
        <w:tc>
          <w:tcPr>
            <w:tcW w:w="1209" w:type="dxa"/>
            <w:tcBorders>
              <w:top w:val="single" w:sz="4" w:space="0" w:color="auto"/>
              <w:left w:val="nil"/>
              <w:bottom w:val="single" w:sz="4" w:space="0" w:color="auto"/>
              <w:right w:val="single" w:sz="4" w:space="0" w:color="auto"/>
            </w:tcBorders>
            <w:shd w:val="clear" w:color="000000" w:fill="44546A"/>
            <w:vAlign w:val="center"/>
            <w:hideMark/>
          </w:tcPr>
          <w:p w14:paraId="15063934" w14:textId="77777777" w:rsidR="000B7A67" w:rsidRPr="00CD163A" w:rsidRDefault="000B7A67" w:rsidP="00F400D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Parte pendiente</w:t>
            </w:r>
          </w:p>
        </w:tc>
        <w:tc>
          <w:tcPr>
            <w:tcW w:w="3828" w:type="dxa"/>
            <w:tcBorders>
              <w:top w:val="single" w:sz="4" w:space="0" w:color="auto"/>
              <w:left w:val="nil"/>
              <w:bottom w:val="single" w:sz="4" w:space="0" w:color="auto"/>
              <w:right w:val="single" w:sz="4" w:space="0" w:color="auto"/>
            </w:tcBorders>
            <w:shd w:val="clear" w:color="000000" w:fill="44546A"/>
            <w:vAlign w:val="center"/>
            <w:hideMark/>
          </w:tcPr>
          <w:p w14:paraId="2ACD3E4F" w14:textId="77777777" w:rsidR="000B7A67" w:rsidRPr="00CD163A" w:rsidRDefault="000B7A67" w:rsidP="00F400D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 xml:space="preserve">Detalle </w:t>
            </w:r>
          </w:p>
        </w:tc>
      </w:tr>
      <w:tr w:rsidR="00BC00B3" w:rsidRPr="00CD163A" w14:paraId="2C5A1FC4" w14:textId="77777777" w:rsidTr="00301740">
        <w:trPr>
          <w:trHeight w:val="813"/>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D28ABB6" w14:textId="77777777" w:rsidR="000B7A67" w:rsidRPr="00CD163A" w:rsidRDefault="000B7A67" w:rsidP="001C41F2">
            <w:pPr>
              <w:spacing w:after="0" w:line="240" w:lineRule="auto"/>
              <w:jc w:val="both"/>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Circuito Judicial Puntarenas</w:t>
            </w:r>
          </w:p>
        </w:tc>
        <w:tc>
          <w:tcPr>
            <w:tcW w:w="1701" w:type="dxa"/>
            <w:tcBorders>
              <w:top w:val="nil"/>
              <w:left w:val="nil"/>
              <w:bottom w:val="single" w:sz="4" w:space="0" w:color="auto"/>
              <w:right w:val="single" w:sz="4" w:space="0" w:color="auto"/>
            </w:tcBorders>
            <w:shd w:val="clear" w:color="auto" w:fill="auto"/>
            <w:vAlign w:val="center"/>
            <w:hideMark/>
          </w:tcPr>
          <w:p w14:paraId="1C506A0B" w14:textId="77777777" w:rsidR="000B7A67" w:rsidRPr="00CD163A" w:rsidRDefault="000B7A67" w:rsidP="001C41F2">
            <w:pPr>
              <w:spacing w:after="0" w:line="240" w:lineRule="auto"/>
              <w:jc w:val="both"/>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0117 DIRECCION EJECUTIVA; 0149 DEPARTAMENTO DE SERVICIOS GENERALES</w:t>
            </w:r>
          </w:p>
        </w:tc>
        <w:tc>
          <w:tcPr>
            <w:tcW w:w="992" w:type="dxa"/>
            <w:tcBorders>
              <w:top w:val="nil"/>
              <w:left w:val="nil"/>
              <w:bottom w:val="single" w:sz="4" w:space="0" w:color="auto"/>
              <w:right w:val="single" w:sz="4" w:space="0" w:color="auto"/>
            </w:tcBorders>
            <w:shd w:val="clear" w:color="auto" w:fill="auto"/>
            <w:vAlign w:val="center"/>
            <w:hideMark/>
          </w:tcPr>
          <w:p w14:paraId="5400E476" w14:textId="77777777" w:rsidR="000B7A67" w:rsidRPr="00CD163A" w:rsidRDefault="000B7A67" w:rsidP="001C41F2">
            <w:pPr>
              <w:spacing w:after="0" w:line="240" w:lineRule="auto"/>
              <w:jc w:val="both"/>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0117-DE-P83</w:t>
            </w:r>
          </w:p>
        </w:tc>
        <w:tc>
          <w:tcPr>
            <w:tcW w:w="1201" w:type="dxa"/>
            <w:tcBorders>
              <w:top w:val="nil"/>
              <w:left w:val="nil"/>
              <w:bottom w:val="single" w:sz="4" w:space="0" w:color="auto"/>
              <w:right w:val="single" w:sz="4" w:space="0" w:color="auto"/>
            </w:tcBorders>
            <w:shd w:val="clear" w:color="auto" w:fill="auto"/>
            <w:vAlign w:val="center"/>
            <w:hideMark/>
          </w:tcPr>
          <w:p w14:paraId="4149731C" w14:textId="77777777" w:rsidR="000B7A67" w:rsidRPr="00CD163A" w:rsidRDefault="000B7A67" w:rsidP="001C41F2">
            <w:pPr>
              <w:spacing w:after="0" w:line="240" w:lineRule="auto"/>
              <w:jc w:val="both"/>
              <w:rPr>
                <w:rFonts w:ascii="Book Antiqua" w:eastAsia="Times New Roman" w:hAnsi="Book Antiqua" w:cs="Calibri"/>
                <w:sz w:val="18"/>
                <w:szCs w:val="18"/>
                <w:lang w:eastAsia="es-CR"/>
              </w:rPr>
            </w:pPr>
            <w:r w:rsidRPr="00CD163A">
              <w:rPr>
                <w:rFonts w:ascii="Book Antiqua" w:eastAsia="Times New Roman" w:hAnsi="Book Antiqua" w:cs="Calibri"/>
                <w:sz w:val="18"/>
                <w:szCs w:val="18"/>
                <w:lang w:eastAsia="es-CR"/>
              </w:rPr>
              <w:t>Proyecto Construcción de nuevo edificio, Tribunales de Justicia de Jacó</w:t>
            </w:r>
          </w:p>
        </w:tc>
        <w:tc>
          <w:tcPr>
            <w:tcW w:w="1209" w:type="dxa"/>
            <w:tcBorders>
              <w:top w:val="nil"/>
              <w:left w:val="nil"/>
              <w:bottom w:val="single" w:sz="4" w:space="0" w:color="auto"/>
              <w:right w:val="single" w:sz="4" w:space="0" w:color="auto"/>
            </w:tcBorders>
            <w:shd w:val="clear" w:color="auto" w:fill="auto"/>
            <w:vAlign w:val="center"/>
            <w:hideMark/>
          </w:tcPr>
          <w:p w14:paraId="39D1D6C2" w14:textId="77777777" w:rsidR="000B7A67" w:rsidRPr="00CD163A" w:rsidRDefault="000B7A67" w:rsidP="001C41F2">
            <w:pPr>
              <w:spacing w:after="0" w:line="240" w:lineRule="auto"/>
              <w:jc w:val="center"/>
              <w:rPr>
                <w:rFonts w:ascii="Book Antiqua" w:eastAsia="Times New Roman" w:hAnsi="Book Antiqua" w:cs="Calibri"/>
                <w:sz w:val="18"/>
                <w:szCs w:val="18"/>
                <w:lang w:eastAsia="es-CR"/>
              </w:rPr>
            </w:pPr>
            <w:r w:rsidRPr="00CD163A">
              <w:rPr>
                <w:rFonts w:ascii="Book Antiqua" w:eastAsia="Times New Roman" w:hAnsi="Book Antiqua" w:cs="Calibri"/>
                <w:sz w:val="18"/>
                <w:szCs w:val="18"/>
                <w:lang w:eastAsia="es-CR"/>
              </w:rPr>
              <w:t>1.8</w:t>
            </w:r>
          </w:p>
        </w:tc>
        <w:tc>
          <w:tcPr>
            <w:tcW w:w="3828" w:type="dxa"/>
            <w:tcBorders>
              <w:top w:val="nil"/>
              <w:left w:val="nil"/>
              <w:bottom w:val="single" w:sz="4" w:space="0" w:color="auto"/>
              <w:right w:val="single" w:sz="4" w:space="0" w:color="auto"/>
            </w:tcBorders>
            <w:shd w:val="clear" w:color="auto" w:fill="auto"/>
            <w:vAlign w:val="center"/>
            <w:hideMark/>
          </w:tcPr>
          <w:p w14:paraId="4228A54C" w14:textId="77777777" w:rsidR="000B7A67" w:rsidRPr="00CD163A" w:rsidRDefault="000B7A67" w:rsidP="001C41F2">
            <w:pPr>
              <w:spacing w:after="0" w:line="240" w:lineRule="auto"/>
              <w:jc w:val="both"/>
              <w:rPr>
                <w:rFonts w:ascii="Book Antiqua" w:eastAsia="Times New Roman" w:hAnsi="Book Antiqua" w:cs="Calibri"/>
                <w:sz w:val="18"/>
                <w:szCs w:val="18"/>
                <w:lang w:eastAsia="es-CR"/>
              </w:rPr>
            </w:pPr>
            <w:r w:rsidRPr="00CD163A">
              <w:rPr>
                <w:rFonts w:ascii="Book Antiqua" w:eastAsia="Times New Roman" w:hAnsi="Book Antiqua" w:cs="Calibri"/>
                <w:sz w:val="18"/>
                <w:szCs w:val="18"/>
                <w:lang w:eastAsia="es-CR"/>
              </w:rPr>
              <w:t>Se solicita que una vez que tenga la aprobación de la Comisión de Construcciones para excluir este proyecto mientras se aclare la situación jurídica, notificar a la Unidad del Portafolio de Proyectos Institucional para modificar el estado del mismo de “Aprobado no iniciado” a “Suspendido”.</w:t>
            </w:r>
          </w:p>
        </w:tc>
      </w:tr>
    </w:tbl>
    <w:p w14:paraId="18815CCD" w14:textId="747F30B1" w:rsidR="000B7A67" w:rsidRDefault="000B7A67" w:rsidP="0013263D">
      <w:pPr>
        <w:spacing w:after="0"/>
        <w:ind w:right="-944"/>
        <w:jc w:val="right"/>
        <w:rPr>
          <w:rFonts w:ascii="Book Antiqua" w:hAnsi="Book Antiqua"/>
          <w:sz w:val="24"/>
          <w:szCs w:val="24"/>
        </w:rPr>
      </w:pPr>
      <w:r>
        <w:rPr>
          <w:rFonts w:ascii="Book Antiqua" w:hAnsi="Book Antiqua"/>
          <w:sz w:val="24"/>
          <w:szCs w:val="24"/>
        </w:rPr>
        <w:t>“</w:t>
      </w:r>
      <w:r w:rsidR="0013263D">
        <w:rPr>
          <w:rFonts w:ascii="Book Antiqua" w:hAnsi="Book Antiqua"/>
          <w:sz w:val="24"/>
          <w:szCs w:val="24"/>
        </w:rPr>
        <w:t>.</w:t>
      </w:r>
    </w:p>
    <w:p w14:paraId="65F29CCF" w14:textId="342CDC03" w:rsidR="00C453A9" w:rsidRDefault="000B7A67" w:rsidP="000B7A67">
      <w:pPr>
        <w:spacing w:after="0"/>
        <w:jc w:val="both"/>
        <w:rPr>
          <w:rFonts w:ascii="Book Antiqua" w:hAnsi="Book Antiqua"/>
          <w:sz w:val="24"/>
          <w:szCs w:val="24"/>
        </w:rPr>
      </w:pPr>
      <w:r>
        <w:rPr>
          <w:rFonts w:ascii="Book Antiqua" w:hAnsi="Book Antiqua"/>
          <w:sz w:val="24"/>
          <w:szCs w:val="24"/>
        </w:rPr>
        <w:t>Con la finalidad de dar seguimiento a estas recomendaciones, se remite correo a la oficina mediante el oficio 1784</w:t>
      </w:r>
      <w:r w:rsidRPr="004C19A1">
        <w:rPr>
          <w:rFonts w:ascii="Book Antiqua" w:hAnsi="Book Antiqua"/>
          <w:sz w:val="24"/>
          <w:szCs w:val="24"/>
        </w:rPr>
        <w:t>-PLA-PP-TR-2023</w:t>
      </w:r>
      <w:r>
        <w:rPr>
          <w:rFonts w:ascii="Book Antiqua" w:hAnsi="Book Antiqua"/>
          <w:sz w:val="24"/>
          <w:szCs w:val="24"/>
        </w:rPr>
        <w:t xml:space="preserve">. </w:t>
      </w:r>
      <w:r w:rsidR="00D74794">
        <w:rPr>
          <w:rFonts w:ascii="Book Antiqua" w:hAnsi="Book Antiqua"/>
          <w:sz w:val="24"/>
          <w:szCs w:val="24"/>
        </w:rPr>
        <w:t>La</w:t>
      </w:r>
      <w:r>
        <w:rPr>
          <w:rFonts w:ascii="Book Antiqua" w:hAnsi="Book Antiqua"/>
          <w:sz w:val="24"/>
          <w:szCs w:val="24"/>
        </w:rPr>
        <w:t xml:space="preserve"> oficina responde, que </w:t>
      </w:r>
      <w:r w:rsidR="00D74794">
        <w:rPr>
          <w:rFonts w:ascii="Book Antiqua" w:hAnsi="Book Antiqua"/>
          <w:sz w:val="24"/>
          <w:szCs w:val="24"/>
        </w:rPr>
        <w:t>se encontraba a</w:t>
      </w:r>
      <w:r w:rsidR="00F641EF">
        <w:rPr>
          <w:rFonts w:ascii="Book Antiqua" w:hAnsi="Book Antiqua"/>
          <w:sz w:val="24"/>
          <w:szCs w:val="24"/>
        </w:rPr>
        <w:t xml:space="preserve"> la fecha del seguimiento</w:t>
      </w:r>
      <w:r w:rsidR="00D74794">
        <w:rPr>
          <w:rFonts w:ascii="Book Antiqua" w:hAnsi="Book Antiqua"/>
          <w:sz w:val="24"/>
          <w:szCs w:val="24"/>
        </w:rPr>
        <w:t xml:space="preserve"> </w:t>
      </w:r>
      <w:r>
        <w:rPr>
          <w:rFonts w:ascii="Book Antiqua" w:hAnsi="Book Antiqua"/>
          <w:sz w:val="24"/>
          <w:szCs w:val="24"/>
        </w:rPr>
        <w:t xml:space="preserve">a la espera de la respuesta de la </w:t>
      </w:r>
      <w:r w:rsidR="002907A5">
        <w:rPr>
          <w:rFonts w:ascii="Book Antiqua" w:hAnsi="Book Antiqua"/>
          <w:sz w:val="24"/>
          <w:szCs w:val="24"/>
        </w:rPr>
        <w:t>C</w:t>
      </w:r>
      <w:r>
        <w:rPr>
          <w:rFonts w:ascii="Book Antiqua" w:hAnsi="Book Antiqua"/>
          <w:sz w:val="24"/>
          <w:szCs w:val="24"/>
        </w:rPr>
        <w:t>omisión de Construcciones</w:t>
      </w:r>
      <w:r w:rsidR="00757412">
        <w:rPr>
          <w:rFonts w:ascii="Book Antiqua" w:hAnsi="Book Antiqua"/>
          <w:sz w:val="24"/>
          <w:szCs w:val="24"/>
        </w:rPr>
        <w:t xml:space="preserve">, sin embargo, el 26 de junio del 2023, se recibe </w:t>
      </w:r>
      <w:r w:rsidR="00BF6423">
        <w:rPr>
          <w:rFonts w:ascii="Book Antiqua" w:hAnsi="Book Antiqua"/>
          <w:sz w:val="24"/>
          <w:szCs w:val="24"/>
        </w:rPr>
        <w:t>el oficio 31-CC-2023 en el que se acuerda</w:t>
      </w:r>
      <w:r w:rsidR="00F641EF">
        <w:rPr>
          <w:rFonts w:ascii="Book Antiqua" w:hAnsi="Book Antiqua"/>
          <w:sz w:val="24"/>
          <w:szCs w:val="24"/>
        </w:rPr>
        <w:t xml:space="preserve">: </w:t>
      </w:r>
    </w:p>
    <w:p w14:paraId="73588563" w14:textId="77777777" w:rsidR="00CF0F6F" w:rsidRDefault="00CF0F6F" w:rsidP="000B7A67">
      <w:pPr>
        <w:spacing w:after="0"/>
        <w:jc w:val="both"/>
        <w:rPr>
          <w:rFonts w:ascii="Book Antiqua" w:hAnsi="Book Antiqua"/>
          <w:i/>
          <w:iCs/>
          <w:sz w:val="24"/>
          <w:szCs w:val="24"/>
        </w:rPr>
      </w:pPr>
    </w:p>
    <w:p w14:paraId="4E95941A" w14:textId="5426E629" w:rsidR="000B7A67" w:rsidRDefault="00C453A9" w:rsidP="000B7A67">
      <w:pPr>
        <w:spacing w:after="0"/>
        <w:jc w:val="both"/>
        <w:rPr>
          <w:rFonts w:ascii="Book Antiqua" w:hAnsi="Book Antiqua"/>
          <w:sz w:val="24"/>
          <w:szCs w:val="24"/>
        </w:rPr>
      </w:pPr>
      <w:r w:rsidRPr="00EF4E17">
        <w:rPr>
          <w:rFonts w:ascii="Book Antiqua" w:hAnsi="Book Antiqua"/>
          <w:i/>
          <w:iCs/>
          <w:sz w:val="24"/>
          <w:szCs w:val="24"/>
        </w:rPr>
        <w:t>“1)</w:t>
      </w:r>
      <w:r w:rsidR="00F641EF">
        <w:rPr>
          <w:rFonts w:ascii="Book Antiqua" w:hAnsi="Book Antiqua"/>
          <w:i/>
          <w:iCs/>
          <w:sz w:val="24"/>
          <w:szCs w:val="24"/>
        </w:rPr>
        <w:t xml:space="preserve"> </w:t>
      </w:r>
      <w:r w:rsidRPr="00EF4E17">
        <w:rPr>
          <w:rFonts w:ascii="Book Antiqua" w:hAnsi="Book Antiqua"/>
          <w:i/>
          <w:iCs/>
          <w:sz w:val="24"/>
          <w:szCs w:val="24"/>
        </w:rPr>
        <w:t>Tener por recibido el oficio 1157-DE-2023 de la Dirección Ejecutiva 2) Avalar la solicitud para modificar el estado del Proyecto de Aprobado no iniciado a Suspendido. 3) Solicitar a la Dirección Ejecutiva dar seguimiento e informar a esta Comisión sobre el estado de la causa abierta por la Fiscalía Adjunta Agraria Ambiental. 4) Hacer este acuerdo de la Dirección de Planificación.”</w:t>
      </w:r>
      <w:r w:rsidR="000B7A67" w:rsidRPr="00EF4E17">
        <w:rPr>
          <w:rFonts w:ascii="Book Antiqua" w:hAnsi="Book Antiqua"/>
          <w:i/>
          <w:iCs/>
          <w:sz w:val="24"/>
          <w:szCs w:val="24"/>
        </w:rPr>
        <w:t xml:space="preserve">. </w:t>
      </w:r>
      <w:r w:rsidR="000B7A67">
        <w:rPr>
          <w:rFonts w:ascii="Book Antiqua" w:hAnsi="Book Antiqua"/>
          <w:sz w:val="24"/>
          <w:szCs w:val="24"/>
        </w:rPr>
        <w:t>(</w:t>
      </w:r>
      <w:hyperlink r:id="rId13" w:history="1">
        <w:r w:rsidR="000B7A67" w:rsidRPr="00011BFE">
          <w:rPr>
            <w:rStyle w:val="Hipervnculo"/>
            <w:rFonts w:ascii="Book Antiqua" w:hAnsi="Book Antiqua"/>
            <w:sz w:val="24"/>
            <w:szCs w:val="24"/>
          </w:rPr>
          <w:t>Ver enlace Circuito Judicial de Puntarenas</w:t>
        </w:r>
      </w:hyperlink>
      <w:r w:rsidR="000B7A67">
        <w:rPr>
          <w:rFonts w:ascii="Book Antiqua" w:hAnsi="Book Antiqua"/>
          <w:sz w:val="24"/>
          <w:szCs w:val="24"/>
        </w:rPr>
        <w:t>).</w:t>
      </w:r>
    </w:p>
    <w:p w14:paraId="7E2B14FC" w14:textId="77777777" w:rsidR="000B7A67" w:rsidRDefault="000B7A67" w:rsidP="000B7A67">
      <w:pPr>
        <w:pStyle w:val="Ttulo2"/>
        <w:numPr>
          <w:ilvl w:val="0"/>
          <w:numId w:val="3"/>
        </w:numPr>
        <w:jc w:val="both"/>
        <w:rPr>
          <w:rFonts w:ascii="Book Antiqua" w:eastAsia="Wingdings" w:hAnsi="Book Antiqua"/>
          <w:b/>
          <w:bCs/>
          <w:color w:val="auto"/>
          <w:lang w:eastAsia="ko-KR"/>
        </w:rPr>
      </w:pPr>
      <w:bookmarkStart w:id="11" w:name="_Toc131160526"/>
      <w:bookmarkStart w:id="12" w:name="_Toc138770823"/>
      <w:r w:rsidRPr="00A462E6">
        <w:rPr>
          <w:rFonts w:ascii="Book Antiqua" w:eastAsia="Wingdings" w:hAnsi="Book Antiqua"/>
          <w:b/>
          <w:bCs/>
          <w:color w:val="auto"/>
          <w:lang w:eastAsia="ko-KR"/>
        </w:rPr>
        <w:lastRenderedPageBreak/>
        <w:t>Recomendaciones dirigidas a</w:t>
      </w:r>
      <w:r>
        <w:rPr>
          <w:rFonts w:ascii="Book Antiqua" w:eastAsia="Wingdings" w:hAnsi="Book Antiqua"/>
          <w:b/>
          <w:bCs/>
          <w:color w:val="auto"/>
          <w:lang w:eastAsia="ko-KR"/>
        </w:rPr>
        <w:t xml:space="preserve"> la</w:t>
      </w:r>
      <w:r w:rsidRPr="00A462E6">
        <w:rPr>
          <w:rFonts w:ascii="Book Antiqua" w:eastAsia="Wingdings" w:hAnsi="Book Antiqua"/>
          <w:b/>
          <w:bCs/>
          <w:color w:val="auto"/>
          <w:lang w:eastAsia="ko-KR"/>
        </w:rPr>
        <w:t xml:space="preserve"> </w:t>
      </w:r>
      <w:r>
        <w:rPr>
          <w:rFonts w:ascii="Book Antiqua" w:eastAsia="Wingdings" w:hAnsi="Book Antiqua"/>
          <w:b/>
          <w:bCs/>
          <w:color w:val="auto"/>
          <w:lang w:eastAsia="ko-KR"/>
        </w:rPr>
        <w:t>C</w:t>
      </w:r>
      <w:r w:rsidRPr="00A462E6">
        <w:rPr>
          <w:rFonts w:ascii="Book Antiqua" w:eastAsia="Wingdings" w:hAnsi="Book Antiqua"/>
          <w:b/>
          <w:bCs/>
          <w:color w:val="auto"/>
          <w:lang w:eastAsia="ko-KR"/>
        </w:rPr>
        <w:t xml:space="preserve">omisión de </w:t>
      </w:r>
      <w:r>
        <w:rPr>
          <w:rFonts w:ascii="Book Antiqua" w:eastAsia="Wingdings" w:hAnsi="Book Antiqua"/>
          <w:b/>
          <w:bCs/>
          <w:color w:val="auto"/>
          <w:lang w:eastAsia="ko-KR"/>
        </w:rPr>
        <w:t>G</w:t>
      </w:r>
      <w:r w:rsidRPr="00A462E6">
        <w:rPr>
          <w:rFonts w:ascii="Book Antiqua" w:eastAsia="Wingdings" w:hAnsi="Book Antiqua"/>
          <w:b/>
          <w:bCs/>
          <w:color w:val="auto"/>
          <w:lang w:eastAsia="ko-KR"/>
        </w:rPr>
        <w:t xml:space="preserve">estión </w:t>
      </w:r>
      <w:r>
        <w:rPr>
          <w:rFonts w:ascii="Book Antiqua" w:eastAsia="Wingdings" w:hAnsi="Book Antiqua"/>
          <w:b/>
          <w:bCs/>
          <w:color w:val="auto"/>
          <w:lang w:eastAsia="ko-KR"/>
        </w:rPr>
        <w:t>A</w:t>
      </w:r>
      <w:r w:rsidRPr="00A462E6">
        <w:rPr>
          <w:rFonts w:ascii="Book Antiqua" w:eastAsia="Wingdings" w:hAnsi="Book Antiqua"/>
          <w:b/>
          <w:bCs/>
          <w:color w:val="auto"/>
          <w:lang w:eastAsia="ko-KR"/>
        </w:rPr>
        <w:t xml:space="preserve">mbiental </w:t>
      </w:r>
      <w:r>
        <w:rPr>
          <w:rFonts w:ascii="Book Antiqua" w:eastAsia="Wingdings" w:hAnsi="Book Antiqua"/>
          <w:b/>
          <w:bCs/>
          <w:color w:val="auto"/>
          <w:lang w:eastAsia="ko-KR"/>
        </w:rPr>
        <w:t>I</w:t>
      </w:r>
      <w:r w:rsidRPr="00A462E6">
        <w:rPr>
          <w:rFonts w:ascii="Book Antiqua" w:eastAsia="Wingdings" w:hAnsi="Book Antiqua"/>
          <w:b/>
          <w:bCs/>
          <w:color w:val="auto"/>
          <w:lang w:eastAsia="ko-KR"/>
        </w:rPr>
        <w:t>nstitucional</w:t>
      </w:r>
      <w:bookmarkEnd w:id="11"/>
      <w:bookmarkEnd w:id="12"/>
    </w:p>
    <w:p w14:paraId="55D0F23E" w14:textId="77777777" w:rsidR="000B7A67" w:rsidRDefault="000B7A67" w:rsidP="000B7A67">
      <w:pPr>
        <w:spacing w:after="0"/>
        <w:rPr>
          <w:lang w:eastAsia="ko-KR"/>
        </w:rPr>
      </w:pPr>
    </w:p>
    <w:p w14:paraId="4BEA278A" w14:textId="77777777" w:rsidR="000B7A67" w:rsidRDefault="000B7A67" w:rsidP="000B7A67">
      <w:pPr>
        <w:spacing w:after="0"/>
        <w:jc w:val="both"/>
        <w:rPr>
          <w:rFonts w:ascii="Book Antiqua" w:hAnsi="Book Antiqua"/>
          <w:sz w:val="24"/>
          <w:szCs w:val="24"/>
        </w:rPr>
      </w:pPr>
      <w:r>
        <w:rPr>
          <w:rFonts w:ascii="Book Antiqua" w:hAnsi="Book Antiqua"/>
          <w:sz w:val="24"/>
          <w:szCs w:val="24"/>
        </w:rPr>
        <w:t xml:space="preserve">En el informe 277-PLA-PP-2023, se dirigió una recomendación a la </w:t>
      </w:r>
      <w:r>
        <w:rPr>
          <w:rFonts w:ascii="Book Antiqua" w:eastAsia="Wingdings" w:hAnsi="Book Antiqua"/>
          <w:b/>
          <w:bCs/>
          <w:lang w:eastAsia="ko-KR"/>
        </w:rPr>
        <w:t>C</w:t>
      </w:r>
      <w:r w:rsidRPr="00A462E6">
        <w:rPr>
          <w:rFonts w:ascii="Book Antiqua" w:eastAsia="Wingdings" w:hAnsi="Book Antiqua"/>
          <w:b/>
          <w:bCs/>
          <w:lang w:eastAsia="ko-KR"/>
        </w:rPr>
        <w:t xml:space="preserve">omisión de </w:t>
      </w:r>
      <w:r>
        <w:rPr>
          <w:rFonts w:ascii="Book Antiqua" w:eastAsia="Wingdings" w:hAnsi="Book Antiqua"/>
          <w:b/>
          <w:bCs/>
          <w:lang w:eastAsia="ko-KR"/>
        </w:rPr>
        <w:t>G</w:t>
      </w:r>
      <w:r w:rsidRPr="00A462E6">
        <w:rPr>
          <w:rFonts w:ascii="Book Antiqua" w:eastAsia="Wingdings" w:hAnsi="Book Antiqua"/>
          <w:b/>
          <w:bCs/>
          <w:lang w:eastAsia="ko-KR"/>
        </w:rPr>
        <w:t xml:space="preserve">estión </w:t>
      </w:r>
      <w:r>
        <w:rPr>
          <w:rFonts w:ascii="Book Antiqua" w:eastAsia="Wingdings" w:hAnsi="Book Antiqua"/>
          <w:b/>
          <w:bCs/>
          <w:lang w:eastAsia="ko-KR"/>
        </w:rPr>
        <w:t>A</w:t>
      </w:r>
      <w:r w:rsidRPr="00A462E6">
        <w:rPr>
          <w:rFonts w:ascii="Book Antiqua" w:eastAsia="Wingdings" w:hAnsi="Book Antiqua"/>
          <w:b/>
          <w:bCs/>
          <w:lang w:eastAsia="ko-KR"/>
        </w:rPr>
        <w:t xml:space="preserve">mbiental </w:t>
      </w:r>
      <w:r>
        <w:rPr>
          <w:rFonts w:ascii="Book Antiqua" w:eastAsia="Wingdings" w:hAnsi="Book Antiqua"/>
          <w:b/>
          <w:bCs/>
          <w:lang w:eastAsia="ko-KR"/>
        </w:rPr>
        <w:t>I</w:t>
      </w:r>
      <w:r w:rsidRPr="00A462E6">
        <w:rPr>
          <w:rFonts w:ascii="Book Antiqua" w:eastAsia="Wingdings" w:hAnsi="Book Antiqua"/>
          <w:b/>
          <w:bCs/>
          <w:lang w:eastAsia="ko-KR"/>
        </w:rPr>
        <w:t>nstitucional</w:t>
      </w:r>
      <w:r>
        <w:rPr>
          <w:rFonts w:ascii="Book Antiqua" w:hAnsi="Book Antiqua"/>
          <w:sz w:val="24"/>
          <w:szCs w:val="24"/>
        </w:rPr>
        <w:t xml:space="preserve">, debido a que existía un proyecto con recomendaciones, por lo anterior se realizó la siguiente: </w:t>
      </w:r>
    </w:p>
    <w:p w14:paraId="70FBAC00" w14:textId="77777777" w:rsidR="000B7A67" w:rsidRDefault="000B7A67" w:rsidP="000B7A67">
      <w:pPr>
        <w:spacing w:after="0"/>
        <w:jc w:val="both"/>
        <w:rPr>
          <w:rFonts w:ascii="Book Antiqua" w:hAnsi="Book Antiqua"/>
          <w:sz w:val="24"/>
          <w:szCs w:val="24"/>
        </w:rPr>
      </w:pPr>
    </w:p>
    <w:p w14:paraId="02027829" w14:textId="77777777" w:rsidR="000B7A67" w:rsidRDefault="000B7A67" w:rsidP="000B7A67">
      <w:pPr>
        <w:pStyle w:val="Prrafodelista"/>
        <w:spacing w:after="0" w:line="240" w:lineRule="auto"/>
        <w:jc w:val="both"/>
        <w:rPr>
          <w:rFonts w:ascii="Book Antiqua" w:eastAsia="Wingdings" w:hAnsi="Book Antiqua"/>
          <w:i/>
          <w:sz w:val="24"/>
          <w:szCs w:val="24"/>
          <w:lang w:eastAsia="ko-KR"/>
        </w:rPr>
      </w:pPr>
      <w:r>
        <w:rPr>
          <w:rFonts w:ascii="Book Antiqua" w:hAnsi="Book Antiqua"/>
          <w:sz w:val="24"/>
          <w:szCs w:val="24"/>
        </w:rPr>
        <w:t xml:space="preserve">“ </w:t>
      </w:r>
      <w:r w:rsidRPr="00FC0C43">
        <w:rPr>
          <w:rFonts w:ascii="Book Antiqua" w:eastAsia="Wingdings" w:hAnsi="Book Antiqua"/>
          <w:b/>
          <w:bCs/>
          <w:i/>
          <w:sz w:val="24"/>
          <w:szCs w:val="24"/>
          <w:lang w:eastAsia="ko-KR"/>
        </w:rPr>
        <w:t xml:space="preserve">2.11) </w:t>
      </w:r>
      <w:r w:rsidRPr="00FC0C43">
        <w:rPr>
          <w:rFonts w:ascii="Book Antiqua" w:eastAsia="Wingdings" w:hAnsi="Book Antiqua"/>
          <w:i/>
          <w:sz w:val="24"/>
          <w:szCs w:val="24"/>
          <w:lang w:eastAsia="ko-KR"/>
        </w:rPr>
        <w:t>El Centro de Información Jurisprudencial y la Comisión de Gestión Ambiental Institucional deberá: a) Cargar a más tardar el 28 de abril del 2023, en el sitio de proyecto las recomendaciones que se describen en la tabla correspondiente expuesta en el presente informe. b) Tomar las medidas pertinentes a fin de poder contrarrestar los atrasos presentados y, cuando no sea posible subsanar los atrasos, se deberá valorar la presentación de una solicitud de cambio en los casos que el retraso afecte la fecha de finalización de los proyectos y que la misma tenga autorización de la persona jefe o del director del proyecto.</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791"/>
        <w:gridCol w:w="993"/>
        <w:gridCol w:w="1134"/>
        <w:gridCol w:w="1134"/>
        <w:gridCol w:w="3969"/>
      </w:tblGrid>
      <w:tr w:rsidR="00BC00B3" w:rsidRPr="00CD163A" w14:paraId="4F20F642" w14:textId="77777777" w:rsidTr="00301740">
        <w:trPr>
          <w:trHeight w:val="300"/>
        </w:trPr>
        <w:tc>
          <w:tcPr>
            <w:tcW w:w="1470" w:type="dxa"/>
            <w:shd w:val="clear" w:color="000000" w:fill="44546A"/>
            <w:vAlign w:val="center"/>
            <w:hideMark/>
          </w:tcPr>
          <w:p w14:paraId="33C86F9F" w14:textId="77777777" w:rsidR="000B7A67" w:rsidRPr="00CD163A" w:rsidRDefault="000B7A67" w:rsidP="00F400D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 xml:space="preserve">Centro de responsabilidad </w:t>
            </w:r>
          </w:p>
        </w:tc>
        <w:tc>
          <w:tcPr>
            <w:tcW w:w="1791" w:type="dxa"/>
            <w:shd w:val="clear" w:color="000000" w:fill="44546A"/>
            <w:vAlign w:val="center"/>
            <w:hideMark/>
          </w:tcPr>
          <w:p w14:paraId="2B6EFF7B" w14:textId="77777777" w:rsidR="000B7A67" w:rsidRPr="00CD163A" w:rsidRDefault="000B7A67" w:rsidP="00F400D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Oficina Líder</w:t>
            </w:r>
          </w:p>
        </w:tc>
        <w:tc>
          <w:tcPr>
            <w:tcW w:w="993" w:type="dxa"/>
            <w:shd w:val="clear" w:color="000000" w:fill="44546A"/>
            <w:vAlign w:val="center"/>
            <w:hideMark/>
          </w:tcPr>
          <w:p w14:paraId="5C4BDE8F" w14:textId="77777777" w:rsidR="000B7A67" w:rsidRPr="00CD163A" w:rsidRDefault="000B7A67" w:rsidP="00F400D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Código</w:t>
            </w:r>
          </w:p>
        </w:tc>
        <w:tc>
          <w:tcPr>
            <w:tcW w:w="1134" w:type="dxa"/>
            <w:shd w:val="clear" w:color="000000" w:fill="44546A"/>
            <w:vAlign w:val="center"/>
            <w:hideMark/>
          </w:tcPr>
          <w:p w14:paraId="65A5FBB9" w14:textId="77777777" w:rsidR="000B7A67" w:rsidRPr="00CD163A" w:rsidRDefault="000B7A67" w:rsidP="00F400D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Nombre</w:t>
            </w:r>
          </w:p>
        </w:tc>
        <w:tc>
          <w:tcPr>
            <w:tcW w:w="1134" w:type="dxa"/>
            <w:shd w:val="clear" w:color="000000" w:fill="44546A"/>
            <w:vAlign w:val="center"/>
            <w:hideMark/>
          </w:tcPr>
          <w:p w14:paraId="2BB6D800" w14:textId="77777777" w:rsidR="000B7A67" w:rsidRPr="00CD163A" w:rsidRDefault="000B7A67" w:rsidP="00F400D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Parte pendiente</w:t>
            </w:r>
          </w:p>
        </w:tc>
        <w:tc>
          <w:tcPr>
            <w:tcW w:w="3969" w:type="dxa"/>
            <w:shd w:val="clear" w:color="000000" w:fill="44546A"/>
            <w:vAlign w:val="center"/>
            <w:hideMark/>
          </w:tcPr>
          <w:p w14:paraId="20895224" w14:textId="77777777" w:rsidR="000B7A67" w:rsidRPr="00CD163A" w:rsidRDefault="000B7A67" w:rsidP="00F400D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 xml:space="preserve">Detalle </w:t>
            </w:r>
          </w:p>
        </w:tc>
      </w:tr>
      <w:tr w:rsidR="009872F5" w:rsidRPr="00CD163A" w14:paraId="1FA73BD5" w14:textId="77777777" w:rsidTr="00301740">
        <w:trPr>
          <w:trHeight w:val="600"/>
        </w:trPr>
        <w:tc>
          <w:tcPr>
            <w:tcW w:w="1470" w:type="dxa"/>
            <w:vMerge w:val="restart"/>
            <w:shd w:val="clear" w:color="auto" w:fill="auto"/>
            <w:vAlign w:val="center"/>
            <w:hideMark/>
          </w:tcPr>
          <w:p w14:paraId="3E94313F" w14:textId="77777777" w:rsidR="000B7A67" w:rsidRPr="00CD163A" w:rsidRDefault="000B7A67" w:rsidP="00F400D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Comisiones Institucionales</w:t>
            </w:r>
          </w:p>
        </w:tc>
        <w:tc>
          <w:tcPr>
            <w:tcW w:w="1791" w:type="dxa"/>
            <w:vMerge w:val="restart"/>
            <w:shd w:val="clear" w:color="auto" w:fill="auto"/>
            <w:vAlign w:val="center"/>
            <w:hideMark/>
          </w:tcPr>
          <w:p w14:paraId="56320D9C" w14:textId="39FB745D" w:rsidR="000B7A67" w:rsidRPr="00CD163A" w:rsidRDefault="000B7A67" w:rsidP="00F400D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 xml:space="preserve">1371 </w:t>
            </w:r>
            <w:r w:rsidR="00FB2D46">
              <w:rPr>
                <w:rFonts w:ascii="Book Antiqua" w:eastAsia="Times New Roman" w:hAnsi="Book Antiqua" w:cs="Calibri"/>
                <w:color w:val="000000"/>
                <w:sz w:val="18"/>
                <w:szCs w:val="18"/>
                <w:lang w:eastAsia="es-CR"/>
              </w:rPr>
              <w:t>C</w:t>
            </w:r>
            <w:r w:rsidRPr="00CD163A">
              <w:rPr>
                <w:rFonts w:ascii="Book Antiqua" w:eastAsia="Times New Roman" w:hAnsi="Book Antiqua" w:cs="Calibri"/>
                <w:color w:val="000000"/>
                <w:sz w:val="18"/>
                <w:szCs w:val="18"/>
                <w:lang w:eastAsia="es-CR"/>
              </w:rPr>
              <w:t xml:space="preserve">omisión de </w:t>
            </w:r>
            <w:r>
              <w:rPr>
                <w:rFonts w:ascii="Book Antiqua" w:eastAsia="Times New Roman" w:hAnsi="Book Antiqua" w:cs="Calibri"/>
                <w:color w:val="000000"/>
                <w:sz w:val="18"/>
                <w:szCs w:val="18"/>
                <w:lang w:eastAsia="es-CR"/>
              </w:rPr>
              <w:t>G</w:t>
            </w:r>
            <w:r w:rsidRPr="00CD163A">
              <w:rPr>
                <w:rFonts w:ascii="Book Antiqua" w:eastAsia="Times New Roman" w:hAnsi="Book Antiqua" w:cs="Calibri"/>
                <w:color w:val="000000"/>
                <w:sz w:val="18"/>
                <w:szCs w:val="18"/>
                <w:lang w:eastAsia="es-CR"/>
              </w:rPr>
              <w:t xml:space="preserve">estión </w:t>
            </w:r>
            <w:r>
              <w:rPr>
                <w:rFonts w:ascii="Book Antiqua" w:eastAsia="Times New Roman" w:hAnsi="Book Antiqua" w:cs="Calibri"/>
                <w:color w:val="000000"/>
                <w:sz w:val="18"/>
                <w:szCs w:val="18"/>
                <w:lang w:eastAsia="es-CR"/>
              </w:rPr>
              <w:t>A</w:t>
            </w:r>
            <w:r w:rsidRPr="00CD163A">
              <w:rPr>
                <w:rFonts w:ascii="Book Antiqua" w:eastAsia="Times New Roman" w:hAnsi="Book Antiqua" w:cs="Calibri"/>
                <w:color w:val="000000"/>
                <w:sz w:val="18"/>
                <w:szCs w:val="18"/>
                <w:lang w:eastAsia="es-CR"/>
              </w:rPr>
              <w:t xml:space="preserve">mbiental </w:t>
            </w:r>
            <w:r>
              <w:rPr>
                <w:rFonts w:ascii="Book Antiqua" w:eastAsia="Times New Roman" w:hAnsi="Book Antiqua" w:cs="Calibri"/>
                <w:color w:val="000000"/>
                <w:sz w:val="18"/>
                <w:szCs w:val="18"/>
                <w:lang w:eastAsia="es-CR"/>
              </w:rPr>
              <w:t>I</w:t>
            </w:r>
            <w:r w:rsidRPr="00CD163A">
              <w:rPr>
                <w:rFonts w:ascii="Book Antiqua" w:eastAsia="Times New Roman" w:hAnsi="Book Antiqua" w:cs="Calibri"/>
                <w:color w:val="000000"/>
                <w:sz w:val="18"/>
                <w:szCs w:val="18"/>
                <w:lang w:eastAsia="es-CR"/>
              </w:rPr>
              <w:t>nstitucional</w:t>
            </w:r>
          </w:p>
        </w:tc>
        <w:tc>
          <w:tcPr>
            <w:tcW w:w="993" w:type="dxa"/>
            <w:vMerge w:val="restart"/>
            <w:shd w:val="clear" w:color="auto" w:fill="auto"/>
            <w:vAlign w:val="center"/>
            <w:hideMark/>
          </w:tcPr>
          <w:p w14:paraId="5940FDB3" w14:textId="77777777" w:rsidR="000B7A67" w:rsidRPr="00CD163A" w:rsidRDefault="000B7A67" w:rsidP="00F400D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1371-CGAI-P01</w:t>
            </w:r>
          </w:p>
        </w:tc>
        <w:tc>
          <w:tcPr>
            <w:tcW w:w="1134" w:type="dxa"/>
            <w:vMerge w:val="restart"/>
            <w:shd w:val="clear" w:color="auto" w:fill="auto"/>
            <w:vAlign w:val="center"/>
            <w:hideMark/>
          </w:tcPr>
          <w:p w14:paraId="2D51A8AD" w14:textId="77777777" w:rsidR="000B7A67" w:rsidRPr="00CD163A" w:rsidRDefault="000B7A67" w:rsidP="00F400D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Política Ambiental del Poder Judicial</w:t>
            </w:r>
          </w:p>
        </w:tc>
        <w:tc>
          <w:tcPr>
            <w:tcW w:w="1134" w:type="dxa"/>
            <w:shd w:val="clear" w:color="auto" w:fill="auto"/>
            <w:vAlign w:val="center"/>
            <w:hideMark/>
          </w:tcPr>
          <w:p w14:paraId="30C0B6DC" w14:textId="77777777" w:rsidR="000B7A67" w:rsidRPr="00CD163A" w:rsidRDefault="000B7A67" w:rsidP="00F400D6">
            <w:pPr>
              <w:spacing w:after="0" w:line="240" w:lineRule="auto"/>
              <w:jc w:val="center"/>
              <w:rPr>
                <w:rFonts w:ascii="Book Antiqua" w:eastAsia="Times New Roman" w:hAnsi="Book Antiqua" w:cs="Calibri"/>
                <w:sz w:val="18"/>
                <w:szCs w:val="18"/>
                <w:lang w:eastAsia="es-CR"/>
              </w:rPr>
            </w:pPr>
            <w:r w:rsidRPr="00CD163A">
              <w:rPr>
                <w:rFonts w:ascii="Book Antiqua" w:eastAsia="Times New Roman" w:hAnsi="Book Antiqua" w:cs="Calibri"/>
                <w:sz w:val="18"/>
                <w:szCs w:val="18"/>
                <w:lang w:eastAsia="es-CR"/>
              </w:rPr>
              <w:t>1.9</w:t>
            </w:r>
          </w:p>
        </w:tc>
        <w:tc>
          <w:tcPr>
            <w:tcW w:w="3969" w:type="dxa"/>
            <w:shd w:val="clear" w:color="auto" w:fill="auto"/>
            <w:vAlign w:val="center"/>
            <w:hideMark/>
          </w:tcPr>
          <w:p w14:paraId="6C33F0BC" w14:textId="77777777" w:rsidR="000B7A67" w:rsidRPr="00CD163A" w:rsidRDefault="000B7A67" w:rsidP="001C41F2">
            <w:pPr>
              <w:spacing w:after="0" w:line="240" w:lineRule="auto"/>
              <w:jc w:val="both"/>
              <w:rPr>
                <w:rFonts w:ascii="Book Antiqua" w:eastAsia="Times New Roman" w:hAnsi="Book Antiqua" w:cs="Calibri"/>
                <w:sz w:val="18"/>
                <w:szCs w:val="18"/>
                <w:lang w:eastAsia="es-CR"/>
              </w:rPr>
            </w:pPr>
            <w:r w:rsidRPr="00CD163A">
              <w:rPr>
                <w:rFonts w:ascii="Book Antiqua" w:eastAsia="Times New Roman" w:hAnsi="Book Antiqua" w:cs="Calibri"/>
                <w:sz w:val="18"/>
                <w:szCs w:val="18"/>
                <w:lang w:eastAsia="es-CR"/>
              </w:rPr>
              <w:t>Pendiente de actualizar documento producto de la solicitud de cambio.</w:t>
            </w:r>
          </w:p>
        </w:tc>
      </w:tr>
      <w:tr w:rsidR="009872F5" w:rsidRPr="00CD163A" w14:paraId="0D268088" w14:textId="77777777" w:rsidTr="00301740">
        <w:trPr>
          <w:trHeight w:val="563"/>
        </w:trPr>
        <w:tc>
          <w:tcPr>
            <w:tcW w:w="1470" w:type="dxa"/>
            <w:vMerge/>
            <w:vAlign w:val="center"/>
            <w:hideMark/>
          </w:tcPr>
          <w:p w14:paraId="6DAF24A1" w14:textId="77777777" w:rsidR="000B7A67" w:rsidRPr="00CD163A" w:rsidRDefault="000B7A67" w:rsidP="00F400D6">
            <w:pPr>
              <w:spacing w:after="0" w:line="240" w:lineRule="auto"/>
              <w:rPr>
                <w:rFonts w:ascii="Book Antiqua" w:eastAsia="Times New Roman" w:hAnsi="Book Antiqua" w:cs="Calibri"/>
                <w:color w:val="000000"/>
                <w:sz w:val="18"/>
                <w:szCs w:val="18"/>
                <w:lang w:eastAsia="es-CR"/>
              </w:rPr>
            </w:pPr>
          </w:p>
        </w:tc>
        <w:tc>
          <w:tcPr>
            <w:tcW w:w="1791" w:type="dxa"/>
            <w:vMerge/>
            <w:vAlign w:val="center"/>
            <w:hideMark/>
          </w:tcPr>
          <w:p w14:paraId="731D34EA" w14:textId="77777777" w:rsidR="000B7A67" w:rsidRPr="00CD163A" w:rsidRDefault="000B7A67" w:rsidP="00F400D6">
            <w:pPr>
              <w:spacing w:after="0" w:line="240" w:lineRule="auto"/>
              <w:rPr>
                <w:rFonts w:ascii="Book Antiqua" w:eastAsia="Times New Roman" w:hAnsi="Book Antiqua" w:cs="Calibri"/>
                <w:color w:val="000000"/>
                <w:sz w:val="18"/>
                <w:szCs w:val="18"/>
                <w:lang w:eastAsia="es-CR"/>
              </w:rPr>
            </w:pPr>
          </w:p>
        </w:tc>
        <w:tc>
          <w:tcPr>
            <w:tcW w:w="993" w:type="dxa"/>
            <w:vMerge/>
            <w:vAlign w:val="center"/>
            <w:hideMark/>
          </w:tcPr>
          <w:p w14:paraId="4283DBBC" w14:textId="77777777" w:rsidR="000B7A67" w:rsidRPr="00CD163A" w:rsidRDefault="000B7A67" w:rsidP="00F400D6">
            <w:pPr>
              <w:spacing w:after="0" w:line="240" w:lineRule="auto"/>
              <w:rPr>
                <w:rFonts w:ascii="Book Antiqua" w:eastAsia="Times New Roman" w:hAnsi="Book Antiqua" w:cs="Calibri"/>
                <w:color w:val="000000"/>
                <w:sz w:val="18"/>
                <w:szCs w:val="18"/>
                <w:lang w:eastAsia="es-CR"/>
              </w:rPr>
            </w:pPr>
          </w:p>
        </w:tc>
        <w:tc>
          <w:tcPr>
            <w:tcW w:w="1134" w:type="dxa"/>
            <w:vMerge/>
            <w:vAlign w:val="center"/>
            <w:hideMark/>
          </w:tcPr>
          <w:p w14:paraId="57919655" w14:textId="77777777" w:rsidR="000B7A67" w:rsidRPr="00CD163A" w:rsidRDefault="000B7A67" w:rsidP="00F400D6">
            <w:pPr>
              <w:spacing w:after="0" w:line="240" w:lineRule="auto"/>
              <w:rPr>
                <w:rFonts w:ascii="Book Antiqua" w:eastAsia="Times New Roman" w:hAnsi="Book Antiqua" w:cs="Calibri"/>
                <w:color w:val="000000"/>
                <w:sz w:val="18"/>
                <w:szCs w:val="18"/>
                <w:lang w:eastAsia="es-CR"/>
              </w:rPr>
            </w:pPr>
          </w:p>
        </w:tc>
        <w:tc>
          <w:tcPr>
            <w:tcW w:w="1134" w:type="dxa"/>
            <w:shd w:val="clear" w:color="auto" w:fill="auto"/>
            <w:vAlign w:val="center"/>
            <w:hideMark/>
          </w:tcPr>
          <w:p w14:paraId="07412F52" w14:textId="77777777" w:rsidR="000B7A67" w:rsidRPr="00CD163A" w:rsidRDefault="000B7A67" w:rsidP="00F400D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2.1</w:t>
            </w:r>
          </w:p>
        </w:tc>
        <w:tc>
          <w:tcPr>
            <w:tcW w:w="3969" w:type="dxa"/>
            <w:shd w:val="clear" w:color="auto" w:fill="auto"/>
            <w:vAlign w:val="center"/>
            <w:hideMark/>
          </w:tcPr>
          <w:p w14:paraId="6AC11A9A" w14:textId="77777777" w:rsidR="000B7A67" w:rsidRPr="00CD163A" w:rsidRDefault="000B7A67" w:rsidP="001C41F2">
            <w:pPr>
              <w:spacing w:after="0" w:line="240" w:lineRule="auto"/>
              <w:jc w:val="both"/>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El informe de avance presentaba incorrecto el porcentaje real y esperado.</w:t>
            </w:r>
          </w:p>
        </w:tc>
      </w:tr>
      <w:tr w:rsidR="009872F5" w:rsidRPr="00CD163A" w14:paraId="7CE73F70" w14:textId="77777777" w:rsidTr="00301740">
        <w:trPr>
          <w:trHeight w:val="557"/>
        </w:trPr>
        <w:tc>
          <w:tcPr>
            <w:tcW w:w="1470" w:type="dxa"/>
            <w:vMerge/>
            <w:vAlign w:val="center"/>
            <w:hideMark/>
          </w:tcPr>
          <w:p w14:paraId="191D9B2E" w14:textId="77777777" w:rsidR="000B7A67" w:rsidRPr="00CD163A" w:rsidRDefault="000B7A67" w:rsidP="00F400D6">
            <w:pPr>
              <w:spacing w:after="0" w:line="240" w:lineRule="auto"/>
              <w:rPr>
                <w:rFonts w:ascii="Book Antiqua" w:eastAsia="Times New Roman" w:hAnsi="Book Antiqua" w:cs="Calibri"/>
                <w:color w:val="000000"/>
                <w:sz w:val="18"/>
                <w:szCs w:val="18"/>
                <w:lang w:eastAsia="es-CR"/>
              </w:rPr>
            </w:pPr>
          </w:p>
        </w:tc>
        <w:tc>
          <w:tcPr>
            <w:tcW w:w="1791" w:type="dxa"/>
            <w:vMerge/>
            <w:vAlign w:val="center"/>
            <w:hideMark/>
          </w:tcPr>
          <w:p w14:paraId="1FD6E8EA" w14:textId="77777777" w:rsidR="000B7A67" w:rsidRPr="00CD163A" w:rsidRDefault="000B7A67" w:rsidP="00F400D6">
            <w:pPr>
              <w:spacing w:after="0" w:line="240" w:lineRule="auto"/>
              <w:rPr>
                <w:rFonts w:ascii="Book Antiqua" w:eastAsia="Times New Roman" w:hAnsi="Book Antiqua" w:cs="Calibri"/>
                <w:color w:val="000000"/>
                <w:sz w:val="18"/>
                <w:szCs w:val="18"/>
                <w:lang w:eastAsia="es-CR"/>
              </w:rPr>
            </w:pPr>
          </w:p>
        </w:tc>
        <w:tc>
          <w:tcPr>
            <w:tcW w:w="993" w:type="dxa"/>
            <w:vMerge/>
            <w:vAlign w:val="center"/>
            <w:hideMark/>
          </w:tcPr>
          <w:p w14:paraId="12B20B23" w14:textId="77777777" w:rsidR="000B7A67" w:rsidRPr="00CD163A" w:rsidRDefault="000B7A67" w:rsidP="00F400D6">
            <w:pPr>
              <w:spacing w:after="0" w:line="240" w:lineRule="auto"/>
              <w:rPr>
                <w:rFonts w:ascii="Book Antiqua" w:eastAsia="Times New Roman" w:hAnsi="Book Antiqua" w:cs="Calibri"/>
                <w:color w:val="000000"/>
                <w:sz w:val="18"/>
                <w:szCs w:val="18"/>
                <w:lang w:eastAsia="es-CR"/>
              </w:rPr>
            </w:pPr>
          </w:p>
        </w:tc>
        <w:tc>
          <w:tcPr>
            <w:tcW w:w="1134" w:type="dxa"/>
            <w:vMerge/>
            <w:vAlign w:val="center"/>
            <w:hideMark/>
          </w:tcPr>
          <w:p w14:paraId="5362050C" w14:textId="77777777" w:rsidR="000B7A67" w:rsidRPr="00CD163A" w:rsidRDefault="000B7A67" w:rsidP="00F400D6">
            <w:pPr>
              <w:spacing w:after="0" w:line="240" w:lineRule="auto"/>
              <w:rPr>
                <w:rFonts w:ascii="Book Antiqua" w:eastAsia="Times New Roman" w:hAnsi="Book Antiqua" w:cs="Calibri"/>
                <w:color w:val="000000"/>
                <w:sz w:val="18"/>
                <w:szCs w:val="18"/>
                <w:lang w:eastAsia="es-CR"/>
              </w:rPr>
            </w:pPr>
          </w:p>
        </w:tc>
        <w:tc>
          <w:tcPr>
            <w:tcW w:w="1134" w:type="dxa"/>
            <w:shd w:val="clear" w:color="auto" w:fill="auto"/>
            <w:vAlign w:val="center"/>
            <w:hideMark/>
          </w:tcPr>
          <w:p w14:paraId="72687433" w14:textId="77777777" w:rsidR="000B7A67" w:rsidRPr="00CD163A" w:rsidRDefault="000B7A67" w:rsidP="00F400D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2.2</w:t>
            </w:r>
          </w:p>
        </w:tc>
        <w:tc>
          <w:tcPr>
            <w:tcW w:w="3969" w:type="dxa"/>
            <w:shd w:val="clear" w:color="auto" w:fill="auto"/>
            <w:vAlign w:val="center"/>
            <w:hideMark/>
          </w:tcPr>
          <w:p w14:paraId="2C3EB660" w14:textId="77777777" w:rsidR="000B7A67" w:rsidRPr="00CD163A" w:rsidRDefault="000B7A67" w:rsidP="001C41F2">
            <w:pPr>
              <w:spacing w:after="0" w:line="240" w:lineRule="auto"/>
              <w:jc w:val="both"/>
              <w:rPr>
                <w:rFonts w:ascii="Book Antiqua" w:eastAsia="Times New Roman" w:hAnsi="Book Antiqua" w:cs="Calibri"/>
                <w:sz w:val="18"/>
                <w:szCs w:val="18"/>
                <w:lang w:eastAsia="es-CR"/>
              </w:rPr>
            </w:pPr>
            <w:r w:rsidRPr="00CD163A">
              <w:rPr>
                <w:rFonts w:ascii="Book Antiqua" w:eastAsia="Times New Roman" w:hAnsi="Book Antiqua" w:cs="Calibri"/>
                <w:sz w:val="18"/>
                <w:szCs w:val="18"/>
                <w:lang w:eastAsia="es-CR"/>
              </w:rPr>
              <w:t>Pendiente elaborar solicitud de cambio y realizar ajuste en el cronograma para justificar retraso.</w:t>
            </w:r>
          </w:p>
        </w:tc>
      </w:tr>
    </w:tbl>
    <w:p w14:paraId="4E799F3A" w14:textId="260226A5" w:rsidR="000B7A67" w:rsidRDefault="000B7A67" w:rsidP="00EC614D">
      <w:pPr>
        <w:spacing w:after="0"/>
        <w:ind w:right="-944"/>
        <w:jc w:val="right"/>
        <w:rPr>
          <w:lang w:eastAsia="ko-KR"/>
        </w:rPr>
      </w:pPr>
      <w:r>
        <w:rPr>
          <w:lang w:eastAsia="ko-KR"/>
        </w:rPr>
        <w:t>“</w:t>
      </w:r>
      <w:r w:rsidR="00CF0F6F">
        <w:rPr>
          <w:lang w:eastAsia="ko-KR"/>
        </w:rPr>
        <w:t>.</w:t>
      </w:r>
    </w:p>
    <w:p w14:paraId="2ADE5182" w14:textId="77777777" w:rsidR="000B7A67" w:rsidRDefault="000B7A67" w:rsidP="000B7A67">
      <w:pPr>
        <w:spacing w:after="0"/>
        <w:rPr>
          <w:lang w:eastAsia="ko-KR"/>
        </w:rPr>
      </w:pPr>
    </w:p>
    <w:p w14:paraId="2DE9AF1C" w14:textId="1BE6499D" w:rsidR="000B7A67" w:rsidRDefault="000B7A67" w:rsidP="000B7A67">
      <w:pPr>
        <w:jc w:val="both"/>
        <w:rPr>
          <w:rFonts w:ascii="Book Antiqua" w:hAnsi="Book Antiqua"/>
          <w:sz w:val="24"/>
          <w:szCs w:val="24"/>
        </w:rPr>
      </w:pPr>
      <w:r>
        <w:rPr>
          <w:rFonts w:ascii="Book Antiqua" w:hAnsi="Book Antiqua"/>
          <w:sz w:val="24"/>
          <w:szCs w:val="24"/>
        </w:rPr>
        <w:t>Con la finalidad de dar seguimiento a estas recomendaciones, se remite correo a la oficina mediante el oficio 1785</w:t>
      </w:r>
      <w:r w:rsidRPr="004C19A1">
        <w:rPr>
          <w:rFonts w:ascii="Book Antiqua" w:hAnsi="Book Antiqua"/>
          <w:sz w:val="24"/>
          <w:szCs w:val="24"/>
        </w:rPr>
        <w:t>-PLA-PP-TR-2023</w:t>
      </w:r>
      <w:r>
        <w:rPr>
          <w:rFonts w:ascii="Book Antiqua" w:hAnsi="Book Antiqua"/>
          <w:sz w:val="24"/>
          <w:szCs w:val="24"/>
        </w:rPr>
        <w:t>. Seguidamente, se procedió a verificar en el expediente del proyecto</w:t>
      </w:r>
      <w:r w:rsidRPr="00011BFE">
        <w:rPr>
          <w:rFonts w:ascii="Book Antiqua" w:hAnsi="Book Antiqua"/>
          <w:sz w:val="24"/>
          <w:szCs w:val="24"/>
        </w:rPr>
        <w:t xml:space="preserve"> (</w:t>
      </w:r>
      <w:r>
        <w:rPr>
          <w:rFonts w:ascii="Book Antiqua" w:hAnsi="Book Antiqua"/>
          <w:sz w:val="24"/>
          <w:szCs w:val="24"/>
        </w:rPr>
        <w:t xml:space="preserve"> </w:t>
      </w:r>
      <w:hyperlink r:id="rId14" w:history="1">
        <w:r w:rsidRPr="00011BFE">
          <w:rPr>
            <w:rStyle w:val="Hipervnculo"/>
            <w:rFonts w:ascii="Book Antiqua" w:hAnsi="Book Antiqua"/>
            <w:sz w:val="24"/>
            <w:szCs w:val="24"/>
          </w:rPr>
          <w:t>Ver enlace: Comisión de Gestión Ambiental Institucional</w:t>
        </w:r>
      </w:hyperlink>
      <w:r w:rsidRPr="00011BFE">
        <w:rPr>
          <w:rFonts w:ascii="Book Antiqua" w:hAnsi="Book Antiqua"/>
          <w:sz w:val="24"/>
          <w:szCs w:val="24"/>
        </w:rPr>
        <w:t xml:space="preserve"> )</w:t>
      </w:r>
      <w:r w:rsidRPr="004C0359">
        <w:rPr>
          <w:rFonts w:ascii="Book Antiqua" w:hAnsi="Book Antiqua"/>
          <w:sz w:val="24"/>
          <w:szCs w:val="24"/>
        </w:rPr>
        <w:t xml:space="preserve">; </w:t>
      </w:r>
      <w:r w:rsidR="00874235" w:rsidRPr="00D92A85">
        <w:rPr>
          <w:rFonts w:ascii="Book Antiqua" w:hAnsi="Book Antiqua"/>
          <w:sz w:val="24"/>
          <w:szCs w:val="24"/>
        </w:rPr>
        <w:t>constatando</w:t>
      </w:r>
      <w:r w:rsidR="00874235">
        <w:rPr>
          <w:rFonts w:ascii="Book Antiqua" w:hAnsi="Book Antiqua"/>
          <w:sz w:val="24"/>
          <w:szCs w:val="24"/>
        </w:rPr>
        <w:t xml:space="preserve"> el cumplimiento de estas.</w:t>
      </w:r>
    </w:p>
    <w:p w14:paraId="7CA9E71E" w14:textId="77777777" w:rsidR="000B7A67" w:rsidRDefault="000B7A67" w:rsidP="000B7A67">
      <w:pPr>
        <w:spacing w:after="0"/>
        <w:rPr>
          <w:lang w:eastAsia="ko-KR"/>
        </w:rPr>
      </w:pPr>
    </w:p>
    <w:p w14:paraId="1D146AC7" w14:textId="77777777" w:rsidR="000B7A67" w:rsidRDefault="000B7A67" w:rsidP="000B7A67">
      <w:pPr>
        <w:pStyle w:val="Ttulo2"/>
        <w:numPr>
          <w:ilvl w:val="0"/>
          <w:numId w:val="3"/>
        </w:numPr>
        <w:tabs>
          <w:tab w:val="left" w:pos="851"/>
        </w:tabs>
        <w:jc w:val="both"/>
        <w:rPr>
          <w:rFonts w:ascii="Book Antiqua" w:eastAsia="Wingdings" w:hAnsi="Book Antiqua"/>
          <w:b/>
          <w:bCs/>
          <w:color w:val="auto"/>
          <w:lang w:eastAsia="ko-KR"/>
        </w:rPr>
      </w:pPr>
      <w:bookmarkStart w:id="13" w:name="_Toc131160527"/>
      <w:bookmarkStart w:id="14" w:name="_Toc138770824"/>
      <w:r w:rsidRPr="00845E8E">
        <w:rPr>
          <w:rFonts w:ascii="Book Antiqua" w:eastAsia="Wingdings" w:hAnsi="Book Antiqua"/>
          <w:b/>
          <w:bCs/>
          <w:color w:val="auto"/>
          <w:lang w:eastAsia="ko-KR"/>
        </w:rPr>
        <w:t xml:space="preserve">Recomendaciones dirigidas a la </w:t>
      </w:r>
      <w:bookmarkStart w:id="15" w:name="_Hlk138152056"/>
      <w:r>
        <w:rPr>
          <w:rFonts w:ascii="Book Antiqua" w:eastAsia="Wingdings" w:hAnsi="Book Antiqua"/>
          <w:b/>
          <w:bCs/>
          <w:color w:val="auto"/>
          <w:lang w:eastAsia="ko-KR"/>
        </w:rPr>
        <w:t>C</w:t>
      </w:r>
      <w:r w:rsidRPr="00845E8E">
        <w:rPr>
          <w:rFonts w:ascii="Book Antiqua" w:eastAsia="Wingdings" w:hAnsi="Book Antiqua"/>
          <w:b/>
          <w:bCs/>
          <w:color w:val="auto"/>
          <w:lang w:eastAsia="ko-KR"/>
        </w:rPr>
        <w:t xml:space="preserve">omisión de la </w:t>
      </w:r>
      <w:r>
        <w:rPr>
          <w:rFonts w:ascii="Book Antiqua" w:eastAsia="Wingdings" w:hAnsi="Book Antiqua"/>
          <w:b/>
          <w:bCs/>
          <w:color w:val="auto"/>
          <w:lang w:eastAsia="ko-KR"/>
        </w:rPr>
        <w:t>J</w:t>
      </w:r>
      <w:r w:rsidRPr="00845E8E">
        <w:rPr>
          <w:rFonts w:ascii="Book Antiqua" w:eastAsia="Wingdings" w:hAnsi="Book Antiqua"/>
          <w:b/>
          <w:bCs/>
          <w:color w:val="auto"/>
          <w:lang w:eastAsia="ko-KR"/>
        </w:rPr>
        <w:t xml:space="preserve">urisdicción </w:t>
      </w:r>
      <w:r>
        <w:rPr>
          <w:rFonts w:ascii="Book Antiqua" w:eastAsia="Wingdings" w:hAnsi="Book Antiqua"/>
          <w:b/>
          <w:bCs/>
          <w:color w:val="auto"/>
          <w:lang w:eastAsia="ko-KR"/>
        </w:rPr>
        <w:t>A</w:t>
      </w:r>
      <w:r w:rsidRPr="00845E8E">
        <w:rPr>
          <w:rFonts w:ascii="Book Antiqua" w:eastAsia="Wingdings" w:hAnsi="Book Antiqua"/>
          <w:b/>
          <w:bCs/>
          <w:color w:val="auto"/>
          <w:lang w:eastAsia="ko-KR"/>
        </w:rPr>
        <w:t xml:space="preserve">grario y </w:t>
      </w:r>
      <w:r>
        <w:rPr>
          <w:rFonts w:ascii="Book Antiqua" w:eastAsia="Wingdings" w:hAnsi="Book Antiqua"/>
          <w:b/>
          <w:bCs/>
          <w:color w:val="auto"/>
          <w:lang w:eastAsia="ko-KR"/>
        </w:rPr>
        <w:t>A</w:t>
      </w:r>
      <w:r w:rsidRPr="00845E8E">
        <w:rPr>
          <w:rFonts w:ascii="Book Antiqua" w:eastAsia="Wingdings" w:hAnsi="Book Antiqua"/>
          <w:b/>
          <w:bCs/>
          <w:color w:val="auto"/>
          <w:lang w:eastAsia="ko-KR"/>
        </w:rPr>
        <w:t>groambiental</w:t>
      </w:r>
      <w:r>
        <w:rPr>
          <w:rFonts w:ascii="Book Antiqua" w:eastAsia="Wingdings" w:hAnsi="Book Antiqua"/>
          <w:b/>
          <w:bCs/>
          <w:color w:val="auto"/>
          <w:lang w:eastAsia="ko-KR"/>
        </w:rPr>
        <w:t>.</w:t>
      </w:r>
      <w:bookmarkEnd w:id="13"/>
      <w:bookmarkEnd w:id="14"/>
    </w:p>
    <w:bookmarkEnd w:id="15"/>
    <w:p w14:paraId="335117F4" w14:textId="77777777" w:rsidR="000B7A67" w:rsidRDefault="000B7A67" w:rsidP="000B7A67">
      <w:pPr>
        <w:spacing w:after="0"/>
        <w:rPr>
          <w:lang w:eastAsia="ko-KR"/>
        </w:rPr>
      </w:pPr>
    </w:p>
    <w:p w14:paraId="4910C64E" w14:textId="77777777" w:rsidR="000B7A67" w:rsidRDefault="000B7A67" w:rsidP="000B7A67">
      <w:pPr>
        <w:spacing w:after="0"/>
        <w:jc w:val="both"/>
        <w:rPr>
          <w:rFonts w:ascii="Book Antiqua" w:hAnsi="Book Antiqua"/>
          <w:sz w:val="24"/>
          <w:szCs w:val="24"/>
        </w:rPr>
      </w:pPr>
      <w:r>
        <w:rPr>
          <w:rFonts w:ascii="Book Antiqua" w:hAnsi="Book Antiqua"/>
          <w:sz w:val="24"/>
          <w:szCs w:val="24"/>
        </w:rPr>
        <w:t xml:space="preserve">En el informe 277-PLA-PP-2023, se dirigió una recomendación a la </w:t>
      </w:r>
      <w:r w:rsidRPr="00845E8E">
        <w:rPr>
          <w:rFonts w:ascii="Book Antiqua" w:eastAsia="Wingdings" w:hAnsi="Book Antiqua"/>
          <w:b/>
          <w:bCs/>
          <w:lang w:eastAsia="ko-KR"/>
        </w:rPr>
        <w:t>Comisión de la Jurisdicción Agrario y Agroambiental</w:t>
      </w:r>
      <w:r>
        <w:rPr>
          <w:rFonts w:ascii="Book Antiqua" w:hAnsi="Book Antiqua"/>
          <w:sz w:val="24"/>
          <w:szCs w:val="24"/>
        </w:rPr>
        <w:t xml:space="preserve">, debido a que el proyecto presentaba recomendaciones pendientes de atender o nuevas, por lo anterior se realizó la siguiente: </w:t>
      </w:r>
    </w:p>
    <w:p w14:paraId="23946FEF" w14:textId="77777777" w:rsidR="000B7A67" w:rsidRPr="00845E8E" w:rsidRDefault="000B7A67" w:rsidP="000B7A67">
      <w:pPr>
        <w:spacing w:after="0"/>
        <w:rPr>
          <w:rFonts w:ascii="Book Antiqua" w:eastAsia="Wingdings" w:hAnsi="Book Antiqua"/>
          <w:iCs/>
          <w:sz w:val="24"/>
          <w:szCs w:val="24"/>
          <w:lang w:eastAsia="ko-KR"/>
        </w:rPr>
      </w:pPr>
    </w:p>
    <w:p w14:paraId="1096F640" w14:textId="77777777" w:rsidR="000B7A67" w:rsidRDefault="000B7A67" w:rsidP="000B7A67">
      <w:pPr>
        <w:pStyle w:val="Prrafodelista"/>
        <w:spacing w:after="0" w:line="240" w:lineRule="auto"/>
        <w:jc w:val="both"/>
        <w:rPr>
          <w:rFonts w:ascii="Book Antiqua" w:eastAsia="Wingdings" w:hAnsi="Book Antiqua"/>
          <w:i/>
          <w:sz w:val="24"/>
          <w:szCs w:val="24"/>
          <w:lang w:eastAsia="ko-KR"/>
        </w:rPr>
      </w:pPr>
      <w:r w:rsidRPr="00845E8E">
        <w:rPr>
          <w:rFonts w:ascii="Book Antiqua" w:eastAsia="Wingdings" w:hAnsi="Book Antiqua"/>
          <w:b/>
          <w:bCs/>
          <w:i/>
          <w:sz w:val="24"/>
          <w:szCs w:val="24"/>
          <w:lang w:eastAsia="ko-KR"/>
        </w:rPr>
        <w:lastRenderedPageBreak/>
        <w:t xml:space="preserve">“ </w:t>
      </w:r>
      <w:r w:rsidRPr="00321D20">
        <w:rPr>
          <w:rFonts w:ascii="Book Antiqua" w:eastAsia="Wingdings" w:hAnsi="Book Antiqua"/>
          <w:b/>
          <w:bCs/>
          <w:i/>
          <w:sz w:val="24"/>
          <w:szCs w:val="24"/>
          <w:lang w:eastAsia="ko-KR"/>
        </w:rPr>
        <w:t xml:space="preserve">2.10) </w:t>
      </w:r>
      <w:r w:rsidRPr="00321D20">
        <w:rPr>
          <w:rFonts w:ascii="Book Antiqua" w:eastAsia="Wingdings" w:hAnsi="Book Antiqua"/>
          <w:i/>
          <w:sz w:val="24"/>
          <w:szCs w:val="24"/>
          <w:lang w:eastAsia="ko-KR"/>
        </w:rPr>
        <w:t>El Centro de Conciliación del Poder Judicial, las Comisiones de la Jurisdicción Agrario y Agroambiental, de Acceso a la Justicia, la Defensa Pública, el Departamento de Prensa y Comunicación Organizacional, el Programa Justicia Restaurativa, así como las Administraciones Regionales del Segundo Circuito Judicial de Alajuela, Tercer Circuito Judicial Alajuela, de la Ciudad Judicial de San Joaquín de Flores, de Puntarenas, del Primer Circuito Judicial Guanacaste y Primer Circuito Judicial de la Zona Sur, deberán a más tardar el 28 de abril del 2023, cargar en el sitio de proyecto la atención de las recomendaciones que se describen en la tabla correspondiente expuesta en el presente informe</w:t>
      </w:r>
    </w:p>
    <w:tbl>
      <w:tblPr>
        <w:tblW w:w="10491" w:type="dxa"/>
        <w:tblInd w:w="-431" w:type="dxa"/>
        <w:tblCellMar>
          <w:left w:w="70" w:type="dxa"/>
          <w:right w:w="70" w:type="dxa"/>
        </w:tblCellMar>
        <w:tblLook w:val="04A0" w:firstRow="1" w:lastRow="0" w:firstColumn="1" w:lastColumn="0" w:noHBand="0" w:noVBand="1"/>
      </w:tblPr>
      <w:tblGrid>
        <w:gridCol w:w="1470"/>
        <w:gridCol w:w="1790"/>
        <w:gridCol w:w="976"/>
        <w:gridCol w:w="1441"/>
        <w:gridCol w:w="970"/>
        <w:gridCol w:w="3844"/>
      </w:tblGrid>
      <w:tr w:rsidR="00BC00B3" w:rsidRPr="00CD163A" w14:paraId="568A92F6" w14:textId="77777777" w:rsidTr="00301740">
        <w:trPr>
          <w:trHeight w:val="300"/>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0A71A13D" w14:textId="77777777" w:rsidR="000B7A67" w:rsidRPr="00CD163A" w:rsidRDefault="000B7A67" w:rsidP="00F400D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 xml:space="preserve">Centro de responsabilidad </w:t>
            </w:r>
          </w:p>
        </w:tc>
        <w:tc>
          <w:tcPr>
            <w:tcW w:w="1790" w:type="dxa"/>
            <w:tcBorders>
              <w:top w:val="single" w:sz="4" w:space="0" w:color="auto"/>
              <w:left w:val="nil"/>
              <w:bottom w:val="single" w:sz="4" w:space="0" w:color="auto"/>
              <w:right w:val="single" w:sz="4" w:space="0" w:color="auto"/>
            </w:tcBorders>
            <w:shd w:val="clear" w:color="000000" w:fill="44546A"/>
            <w:vAlign w:val="center"/>
            <w:hideMark/>
          </w:tcPr>
          <w:p w14:paraId="4443462D" w14:textId="77777777" w:rsidR="000B7A67" w:rsidRPr="00CD163A" w:rsidRDefault="000B7A67" w:rsidP="00F400D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Oficina Líder</w:t>
            </w:r>
          </w:p>
        </w:tc>
        <w:tc>
          <w:tcPr>
            <w:tcW w:w="976" w:type="dxa"/>
            <w:tcBorders>
              <w:top w:val="single" w:sz="4" w:space="0" w:color="auto"/>
              <w:left w:val="nil"/>
              <w:bottom w:val="single" w:sz="4" w:space="0" w:color="auto"/>
              <w:right w:val="single" w:sz="4" w:space="0" w:color="auto"/>
            </w:tcBorders>
            <w:shd w:val="clear" w:color="000000" w:fill="44546A"/>
            <w:vAlign w:val="center"/>
            <w:hideMark/>
          </w:tcPr>
          <w:p w14:paraId="63E7FBD8" w14:textId="77777777" w:rsidR="000B7A67" w:rsidRPr="00CD163A" w:rsidRDefault="000B7A67" w:rsidP="00F400D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Código</w:t>
            </w:r>
          </w:p>
        </w:tc>
        <w:tc>
          <w:tcPr>
            <w:tcW w:w="1441" w:type="dxa"/>
            <w:tcBorders>
              <w:top w:val="single" w:sz="4" w:space="0" w:color="auto"/>
              <w:left w:val="nil"/>
              <w:bottom w:val="single" w:sz="4" w:space="0" w:color="auto"/>
              <w:right w:val="single" w:sz="4" w:space="0" w:color="auto"/>
            </w:tcBorders>
            <w:shd w:val="clear" w:color="000000" w:fill="44546A"/>
            <w:vAlign w:val="center"/>
            <w:hideMark/>
          </w:tcPr>
          <w:p w14:paraId="55B582F5" w14:textId="77777777" w:rsidR="000B7A67" w:rsidRPr="00CD163A" w:rsidRDefault="000B7A67" w:rsidP="00F400D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Nombre</w:t>
            </w:r>
          </w:p>
        </w:tc>
        <w:tc>
          <w:tcPr>
            <w:tcW w:w="970" w:type="dxa"/>
            <w:tcBorders>
              <w:top w:val="single" w:sz="4" w:space="0" w:color="auto"/>
              <w:left w:val="nil"/>
              <w:bottom w:val="single" w:sz="4" w:space="0" w:color="auto"/>
              <w:right w:val="single" w:sz="4" w:space="0" w:color="auto"/>
            </w:tcBorders>
            <w:shd w:val="clear" w:color="000000" w:fill="44546A"/>
            <w:vAlign w:val="center"/>
            <w:hideMark/>
          </w:tcPr>
          <w:p w14:paraId="2F6DC3A7" w14:textId="77777777" w:rsidR="000B7A67" w:rsidRPr="00CD163A" w:rsidRDefault="000B7A67" w:rsidP="00F400D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Parte pendiente</w:t>
            </w:r>
          </w:p>
        </w:tc>
        <w:tc>
          <w:tcPr>
            <w:tcW w:w="3844" w:type="dxa"/>
            <w:tcBorders>
              <w:top w:val="single" w:sz="4" w:space="0" w:color="auto"/>
              <w:left w:val="nil"/>
              <w:bottom w:val="single" w:sz="4" w:space="0" w:color="auto"/>
              <w:right w:val="single" w:sz="4" w:space="0" w:color="auto"/>
            </w:tcBorders>
            <w:shd w:val="clear" w:color="000000" w:fill="44546A"/>
            <w:vAlign w:val="center"/>
            <w:hideMark/>
          </w:tcPr>
          <w:p w14:paraId="20F79E8F" w14:textId="77777777" w:rsidR="000B7A67" w:rsidRPr="00CD163A" w:rsidRDefault="000B7A67" w:rsidP="00F400D6">
            <w:pPr>
              <w:spacing w:after="0" w:line="240" w:lineRule="auto"/>
              <w:jc w:val="center"/>
              <w:rPr>
                <w:rFonts w:ascii="Book Antiqua" w:eastAsia="Times New Roman" w:hAnsi="Book Antiqua" w:cs="Calibri"/>
                <w:b/>
                <w:bCs/>
                <w:color w:val="FFFFFF"/>
                <w:sz w:val="18"/>
                <w:szCs w:val="18"/>
                <w:lang w:eastAsia="es-CR"/>
              </w:rPr>
            </w:pPr>
            <w:r w:rsidRPr="00CD163A">
              <w:rPr>
                <w:rFonts w:ascii="Book Antiqua" w:eastAsia="Times New Roman" w:hAnsi="Book Antiqua" w:cs="Calibri"/>
                <w:b/>
                <w:bCs/>
                <w:color w:val="FFFFFF"/>
                <w:sz w:val="18"/>
                <w:szCs w:val="18"/>
                <w:lang w:eastAsia="es-CR"/>
              </w:rPr>
              <w:t xml:space="preserve">Detalle </w:t>
            </w:r>
          </w:p>
        </w:tc>
      </w:tr>
      <w:tr w:rsidR="00BC00B3" w:rsidRPr="00CD163A" w14:paraId="744C5C65" w14:textId="77777777" w:rsidTr="00301740">
        <w:trPr>
          <w:trHeight w:val="1150"/>
        </w:trPr>
        <w:tc>
          <w:tcPr>
            <w:tcW w:w="1470" w:type="dxa"/>
            <w:vMerge w:val="restart"/>
            <w:tcBorders>
              <w:top w:val="nil"/>
              <w:left w:val="single" w:sz="4" w:space="0" w:color="auto"/>
              <w:bottom w:val="single" w:sz="4" w:space="0" w:color="auto"/>
              <w:right w:val="single" w:sz="4" w:space="0" w:color="auto"/>
            </w:tcBorders>
            <w:shd w:val="clear" w:color="auto" w:fill="auto"/>
            <w:vAlign w:val="center"/>
            <w:hideMark/>
          </w:tcPr>
          <w:p w14:paraId="1D34DE5B" w14:textId="77777777" w:rsidR="000B7A67" w:rsidRPr="00CD163A" w:rsidRDefault="000B7A67" w:rsidP="00F400D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Comisiones Institucionales</w:t>
            </w:r>
          </w:p>
        </w:tc>
        <w:tc>
          <w:tcPr>
            <w:tcW w:w="1790" w:type="dxa"/>
            <w:vMerge w:val="restart"/>
            <w:tcBorders>
              <w:top w:val="nil"/>
              <w:left w:val="single" w:sz="4" w:space="0" w:color="auto"/>
              <w:bottom w:val="single" w:sz="4" w:space="0" w:color="auto"/>
              <w:right w:val="single" w:sz="4" w:space="0" w:color="auto"/>
            </w:tcBorders>
            <w:shd w:val="clear" w:color="auto" w:fill="auto"/>
            <w:vAlign w:val="center"/>
            <w:hideMark/>
          </w:tcPr>
          <w:p w14:paraId="10430D9F" w14:textId="77777777" w:rsidR="000B7A67" w:rsidRPr="00CD163A" w:rsidRDefault="000B7A67" w:rsidP="00F400D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 xml:space="preserve">4000 </w:t>
            </w:r>
            <w:r>
              <w:rPr>
                <w:rFonts w:ascii="Book Antiqua" w:eastAsia="Times New Roman" w:hAnsi="Book Antiqua" w:cs="Calibri"/>
                <w:color w:val="000000"/>
                <w:sz w:val="18"/>
                <w:szCs w:val="18"/>
                <w:lang w:eastAsia="es-CR"/>
              </w:rPr>
              <w:t>C</w:t>
            </w:r>
            <w:r w:rsidRPr="00CD163A">
              <w:rPr>
                <w:rFonts w:ascii="Book Antiqua" w:eastAsia="Times New Roman" w:hAnsi="Book Antiqua" w:cs="Calibri"/>
                <w:color w:val="000000"/>
                <w:sz w:val="18"/>
                <w:szCs w:val="18"/>
                <w:lang w:eastAsia="es-CR"/>
              </w:rPr>
              <w:t xml:space="preserve">omisión de la </w:t>
            </w:r>
            <w:r>
              <w:rPr>
                <w:rFonts w:ascii="Book Antiqua" w:eastAsia="Times New Roman" w:hAnsi="Book Antiqua" w:cs="Calibri"/>
                <w:color w:val="000000"/>
                <w:sz w:val="18"/>
                <w:szCs w:val="18"/>
                <w:lang w:eastAsia="es-CR"/>
              </w:rPr>
              <w:t>J</w:t>
            </w:r>
            <w:r w:rsidRPr="00CD163A">
              <w:rPr>
                <w:rFonts w:ascii="Book Antiqua" w:eastAsia="Times New Roman" w:hAnsi="Book Antiqua" w:cs="Calibri"/>
                <w:color w:val="000000"/>
                <w:sz w:val="18"/>
                <w:szCs w:val="18"/>
                <w:lang w:eastAsia="es-CR"/>
              </w:rPr>
              <w:t xml:space="preserve">urisdicción </w:t>
            </w:r>
            <w:r>
              <w:rPr>
                <w:rFonts w:ascii="Book Antiqua" w:eastAsia="Times New Roman" w:hAnsi="Book Antiqua" w:cs="Calibri"/>
                <w:color w:val="000000"/>
                <w:sz w:val="18"/>
                <w:szCs w:val="18"/>
                <w:lang w:eastAsia="es-CR"/>
              </w:rPr>
              <w:t>A</w:t>
            </w:r>
            <w:r w:rsidRPr="00CD163A">
              <w:rPr>
                <w:rFonts w:ascii="Book Antiqua" w:eastAsia="Times New Roman" w:hAnsi="Book Antiqua" w:cs="Calibri"/>
                <w:color w:val="000000"/>
                <w:sz w:val="18"/>
                <w:szCs w:val="18"/>
                <w:lang w:eastAsia="es-CR"/>
              </w:rPr>
              <w:t xml:space="preserve">grario y </w:t>
            </w:r>
            <w:r>
              <w:rPr>
                <w:rFonts w:ascii="Book Antiqua" w:eastAsia="Times New Roman" w:hAnsi="Book Antiqua" w:cs="Calibri"/>
                <w:color w:val="000000"/>
                <w:sz w:val="18"/>
                <w:szCs w:val="18"/>
                <w:lang w:eastAsia="es-CR"/>
              </w:rPr>
              <w:t>A</w:t>
            </w:r>
            <w:r w:rsidRPr="00CD163A">
              <w:rPr>
                <w:rFonts w:ascii="Book Antiqua" w:eastAsia="Times New Roman" w:hAnsi="Book Antiqua" w:cs="Calibri"/>
                <w:color w:val="000000"/>
                <w:sz w:val="18"/>
                <w:szCs w:val="18"/>
                <w:lang w:eastAsia="es-CR"/>
              </w:rPr>
              <w:t>groambiental</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776E47F4" w14:textId="77777777" w:rsidR="000B7A67" w:rsidRPr="00CD163A" w:rsidRDefault="000B7A67" w:rsidP="00F400D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4000-CA-P01</w:t>
            </w:r>
          </w:p>
        </w:tc>
        <w:tc>
          <w:tcPr>
            <w:tcW w:w="1441" w:type="dxa"/>
            <w:vMerge w:val="restart"/>
            <w:tcBorders>
              <w:top w:val="nil"/>
              <w:left w:val="single" w:sz="4" w:space="0" w:color="auto"/>
              <w:bottom w:val="single" w:sz="4" w:space="0" w:color="auto"/>
              <w:right w:val="single" w:sz="4" w:space="0" w:color="auto"/>
            </w:tcBorders>
            <w:shd w:val="clear" w:color="auto" w:fill="auto"/>
            <w:vAlign w:val="center"/>
            <w:hideMark/>
          </w:tcPr>
          <w:p w14:paraId="5CCB4883" w14:textId="77777777" w:rsidR="000B7A67" w:rsidRPr="00CD163A" w:rsidRDefault="000B7A67" w:rsidP="00F400D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Implementación del Código Procesal Agrario (Comisión Agraria)</w:t>
            </w:r>
          </w:p>
        </w:tc>
        <w:tc>
          <w:tcPr>
            <w:tcW w:w="970" w:type="dxa"/>
            <w:tcBorders>
              <w:top w:val="nil"/>
              <w:left w:val="nil"/>
              <w:bottom w:val="single" w:sz="4" w:space="0" w:color="auto"/>
              <w:right w:val="single" w:sz="4" w:space="0" w:color="auto"/>
            </w:tcBorders>
            <w:shd w:val="clear" w:color="auto" w:fill="auto"/>
            <w:vAlign w:val="center"/>
            <w:hideMark/>
          </w:tcPr>
          <w:p w14:paraId="7DA9A094" w14:textId="77777777" w:rsidR="000B7A67" w:rsidRPr="00CD163A" w:rsidRDefault="000B7A67" w:rsidP="00F400D6">
            <w:pPr>
              <w:spacing w:after="0" w:line="240" w:lineRule="auto"/>
              <w:jc w:val="center"/>
              <w:rPr>
                <w:rFonts w:ascii="Book Antiqua" w:eastAsia="Times New Roman" w:hAnsi="Book Antiqua" w:cs="Calibri"/>
                <w:sz w:val="18"/>
                <w:szCs w:val="18"/>
                <w:lang w:eastAsia="es-CR"/>
              </w:rPr>
            </w:pPr>
            <w:r w:rsidRPr="00CD163A">
              <w:rPr>
                <w:rFonts w:ascii="Book Antiqua" w:eastAsia="Times New Roman" w:hAnsi="Book Antiqua" w:cs="Calibri"/>
                <w:sz w:val="18"/>
                <w:szCs w:val="18"/>
                <w:lang w:eastAsia="es-CR"/>
              </w:rPr>
              <w:t>1.10</w:t>
            </w:r>
          </w:p>
        </w:tc>
        <w:tc>
          <w:tcPr>
            <w:tcW w:w="3844" w:type="dxa"/>
            <w:tcBorders>
              <w:top w:val="nil"/>
              <w:left w:val="nil"/>
              <w:bottom w:val="single" w:sz="4" w:space="0" w:color="auto"/>
              <w:right w:val="single" w:sz="4" w:space="0" w:color="auto"/>
            </w:tcBorders>
            <w:shd w:val="clear" w:color="auto" w:fill="auto"/>
            <w:vAlign w:val="center"/>
            <w:hideMark/>
          </w:tcPr>
          <w:p w14:paraId="6F82498B" w14:textId="77777777" w:rsidR="000B7A67" w:rsidRPr="00CD163A" w:rsidRDefault="000B7A67" w:rsidP="001C41F2">
            <w:pPr>
              <w:spacing w:after="0" w:line="240" w:lineRule="auto"/>
              <w:jc w:val="both"/>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Se debe ordenar la carpeta, y nombrar los F08 por entregable. / Falta incluir en detalle de la EDT fase de cierre y revisar codificación de la EDT / Incluir dentro del cronograma columna EDT y ordenar el mismo según cronograma</w:t>
            </w:r>
          </w:p>
        </w:tc>
      </w:tr>
      <w:tr w:rsidR="00BC00B3" w:rsidRPr="00CD163A" w14:paraId="3EF03BAE" w14:textId="77777777" w:rsidTr="00301740">
        <w:trPr>
          <w:trHeight w:val="570"/>
        </w:trPr>
        <w:tc>
          <w:tcPr>
            <w:tcW w:w="1470" w:type="dxa"/>
            <w:vMerge/>
            <w:tcBorders>
              <w:top w:val="nil"/>
              <w:left w:val="single" w:sz="4" w:space="0" w:color="auto"/>
              <w:bottom w:val="single" w:sz="4" w:space="0" w:color="auto"/>
              <w:right w:val="single" w:sz="4" w:space="0" w:color="auto"/>
            </w:tcBorders>
            <w:vAlign w:val="center"/>
            <w:hideMark/>
          </w:tcPr>
          <w:p w14:paraId="3081751F" w14:textId="77777777" w:rsidR="000B7A67" w:rsidRPr="00CD163A" w:rsidRDefault="000B7A67" w:rsidP="00F400D6">
            <w:pPr>
              <w:spacing w:after="0" w:line="240" w:lineRule="auto"/>
              <w:rPr>
                <w:rFonts w:ascii="Book Antiqua" w:eastAsia="Times New Roman" w:hAnsi="Book Antiqua" w:cs="Calibri"/>
                <w:color w:val="000000"/>
                <w:sz w:val="18"/>
                <w:szCs w:val="18"/>
                <w:lang w:eastAsia="es-CR"/>
              </w:rPr>
            </w:pPr>
          </w:p>
        </w:tc>
        <w:tc>
          <w:tcPr>
            <w:tcW w:w="1790" w:type="dxa"/>
            <w:vMerge/>
            <w:tcBorders>
              <w:top w:val="nil"/>
              <w:left w:val="single" w:sz="4" w:space="0" w:color="auto"/>
              <w:bottom w:val="single" w:sz="4" w:space="0" w:color="auto"/>
              <w:right w:val="single" w:sz="4" w:space="0" w:color="auto"/>
            </w:tcBorders>
            <w:vAlign w:val="center"/>
            <w:hideMark/>
          </w:tcPr>
          <w:p w14:paraId="7176E56C" w14:textId="77777777" w:rsidR="000B7A67" w:rsidRPr="00CD163A" w:rsidRDefault="000B7A67" w:rsidP="00F400D6">
            <w:pPr>
              <w:spacing w:after="0" w:line="240" w:lineRule="auto"/>
              <w:rPr>
                <w:rFonts w:ascii="Book Antiqua" w:eastAsia="Times New Roman" w:hAnsi="Book Antiqua" w:cs="Calibri"/>
                <w:color w:val="000000"/>
                <w:sz w:val="18"/>
                <w:szCs w:val="18"/>
                <w:lang w:eastAsia="es-CR"/>
              </w:rPr>
            </w:pPr>
          </w:p>
        </w:tc>
        <w:tc>
          <w:tcPr>
            <w:tcW w:w="976" w:type="dxa"/>
            <w:vMerge/>
            <w:tcBorders>
              <w:top w:val="nil"/>
              <w:left w:val="single" w:sz="4" w:space="0" w:color="auto"/>
              <w:bottom w:val="single" w:sz="4" w:space="0" w:color="auto"/>
              <w:right w:val="single" w:sz="4" w:space="0" w:color="auto"/>
            </w:tcBorders>
            <w:vAlign w:val="center"/>
            <w:hideMark/>
          </w:tcPr>
          <w:p w14:paraId="794C6527" w14:textId="77777777" w:rsidR="000B7A67" w:rsidRPr="00CD163A" w:rsidRDefault="000B7A67" w:rsidP="00F400D6">
            <w:pPr>
              <w:spacing w:after="0" w:line="240" w:lineRule="auto"/>
              <w:rPr>
                <w:rFonts w:ascii="Book Antiqua" w:eastAsia="Times New Roman" w:hAnsi="Book Antiqua" w:cs="Calibri"/>
                <w:color w:val="000000"/>
                <w:sz w:val="18"/>
                <w:szCs w:val="18"/>
                <w:lang w:eastAsia="es-CR"/>
              </w:rPr>
            </w:pPr>
          </w:p>
        </w:tc>
        <w:tc>
          <w:tcPr>
            <w:tcW w:w="1441" w:type="dxa"/>
            <w:vMerge/>
            <w:tcBorders>
              <w:top w:val="nil"/>
              <w:left w:val="single" w:sz="4" w:space="0" w:color="auto"/>
              <w:bottom w:val="single" w:sz="4" w:space="0" w:color="auto"/>
              <w:right w:val="single" w:sz="4" w:space="0" w:color="auto"/>
            </w:tcBorders>
            <w:vAlign w:val="center"/>
            <w:hideMark/>
          </w:tcPr>
          <w:p w14:paraId="02D1925E" w14:textId="77777777" w:rsidR="000B7A67" w:rsidRPr="00CD163A" w:rsidRDefault="000B7A67" w:rsidP="00F400D6">
            <w:pPr>
              <w:spacing w:after="0" w:line="240" w:lineRule="auto"/>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3CE8C3BD" w14:textId="77777777" w:rsidR="000B7A67" w:rsidRPr="00CD163A" w:rsidRDefault="000B7A67" w:rsidP="00F400D6">
            <w:pPr>
              <w:spacing w:after="0" w:line="240" w:lineRule="auto"/>
              <w:jc w:val="center"/>
              <w:rPr>
                <w:rFonts w:ascii="Book Antiqua" w:eastAsia="Times New Roman" w:hAnsi="Book Antiqua" w:cs="Calibri"/>
                <w:sz w:val="18"/>
                <w:szCs w:val="18"/>
                <w:lang w:eastAsia="es-CR"/>
              </w:rPr>
            </w:pPr>
            <w:r w:rsidRPr="00CD163A">
              <w:rPr>
                <w:rFonts w:ascii="Book Antiqua" w:eastAsia="Times New Roman" w:hAnsi="Book Antiqua" w:cs="Calibri"/>
                <w:sz w:val="18"/>
                <w:szCs w:val="18"/>
                <w:lang w:eastAsia="es-CR"/>
              </w:rPr>
              <w:t>1.10</w:t>
            </w:r>
          </w:p>
        </w:tc>
        <w:tc>
          <w:tcPr>
            <w:tcW w:w="3844" w:type="dxa"/>
            <w:tcBorders>
              <w:top w:val="nil"/>
              <w:left w:val="nil"/>
              <w:bottom w:val="single" w:sz="4" w:space="0" w:color="auto"/>
              <w:right w:val="single" w:sz="4" w:space="0" w:color="auto"/>
            </w:tcBorders>
            <w:shd w:val="clear" w:color="auto" w:fill="auto"/>
            <w:vAlign w:val="center"/>
            <w:hideMark/>
          </w:tcPr>
          <w:p w14:paraId="48AA0E37" w14:textId="77777777" w:rsidR="000B7A67" w:rsidRPr="00CD163A" w:rsidRDefault="000B7A67" w:rsidP="001C41F2">
            <w:pPr>
              <w:spacing w:after="0" w:line="240" w:lineRule="auto"/>
              <w:jc w:val="both"/>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Pendiente Tercer Informe de Avance 2021 y Primer y segundo informe de seguimiento del 2022</w:t>
            </w:r>
          </w:p>
        </w:tc>
      </w:tr>
      <w:tr w:rsidR="00BC00B3" w:rsidRPr="00CD163A" w14:paraId="6B1BB467" w14:textId="77777777" w:rsidTr="00301740">
        <w:trPr>
          <w:trHeight w:val="324"/>
        </w:trPr>
        <w:tc>
          <w:tcPr>
            <w:tcW w:w="1470" w:type="dxa"/>
            <w:vMerge/>
            <w:tcBorders>
              <w:top w:val="nil"/>
              <w:left w:val="single" w:sz="4" w:space="0" w:color="auto"/>
              <w:bottom w:val="single" w:sz="4" w:space="0" w:color="auto"/>
              <w:right w:val="single" w:sz="4" w:space="0" w:color="auto"/>
            </w:tcBorders>
            <w:vAlign w:val="center"/>
            <w:hideMark/>
          </w:tcPr>
          <w:p w14:paraId="212E6B0A" w14:textId="77777777" w:rsidR="000B7A67" w:rsidRPr="00CD163A" w:rsidRDefault="000B7A67" w:rsidP="00F400D6">
            <w:pPr>
              <w:spacing w:after="0" w:line="240" w:lineRule="auto"/>
              <w:rPr>
                <w:rFonts w:ascii="Book Antiqua" w:eastAsia="Times New Roman" w:hAnsi="Book Antiqua" w:cs="Calibri"/>
                <w:color w:val="000000"/>
                <w:sz w:val="18"/>
                <w:szCs w:val="18"/>
                <w:lang w:eastAsia="es-CR"/>
              </w:rPr>
            </w:pPr>
          </w:p>
        </w:tc>
        <w:tc>
          <w:tcPr>
            <w:tcW w:w="1790" w:type="dxa"/>
            <w:vMerge/>
            <w:tcBorders>
              <w:top w:val="nil"/>
              <w:left w:val="single" w:sz="4" w:space="0" w:color="auto"/>
              <w:bottom w:val="single" w:sz="4" w:space="0" w:color="auto"/>
              <w:right w:val="single" w:sz="4" w:space="0" w:color="auto"/>
            </w:tcBorders>
            <w:vAlign w:val="center"/>
            <w:hideMark/>
          </w:tcPr>
          <w:p w14:paraId="0CCD1688" w14:textId="77777777" w:rsidR="000B7A67" w:rsidRPr="00CD163A" w:rsidRDefault="000B7A67" w:rsidP="00F400D6">
            <w:pPr>
              <w:spacing w:after="0" w:line="240" w:lineRule="auto"/>
              <w:rPr>
                <w:rFonts w:ascii="Book Antiqua" w:eastAsia="Times New Roman" w:hAnsi="Book Antiqua" w:cs="Calibri"/>
                <w:color w:val="000000"/>
                <w:sz w:val="18"/>
                <w:szCs w:val="18"/>
                <w:lang w:eastAsia="es-CR"/>
              </w:rPr>
            </w:pPr>
          </w:p>
        </w:tc>
        <w:tc>
          <w:tcPr>
            <w:tcW w:w="976" w:type="dxa"/>
            <w:vMerge/>
            <w:tcBorders>
              <w:top w:val="nil"/>
              <w:left w:val="single" w:sz="4" w:space="0" w:color="auto"/>
              <w:bottom w:val="single" w:sz="4" w:space="0" w:color="auto"/>
              <w:right w:val="single" w:sz="4" w:space="0" w:color="auto"/>
            </w:tcBorders>
            <w:vAlign w:val="center"/>
            <w:hideMark/>
          </w:tcPr>
          <w:p w14:paraId="32E62637" w14:textId="77777777" w:rsidR="000B7A67" w:rsidRPr="00CD163A" w:rsidRDefault="000B7A67" w:rsidP="00F400D6">
            <w:pPr>
              <w:spacing w:after="0" w:line="240" w:lineRule="auto"/>
              <w:rPr>
                <w:rFonts w:ascii="Book Antiqua" w:eastAsia="Times New Roman" w:hAnsi="Book Antiqua" w:cs="Calibri"/>
                <w:color w:val="000000"/>
                <w:sz w:val="18"/>
                <w:szCs w:val="18"/>
                <w:lang w:eastAsia="es-CR"/>
              </w:rPr>
            </w:pPr>
          </w:p>
        </w:tc>
        <w:tc>
          <w:tcPr>
            <w:tcW w:w="1441" w:type="dxa"/>
            <w:vMerge/>
            <w:tcBorders>
              <w:top w:val="nil"/>
              <w:left w:val="single" w:sz="4" w:space="0" w:color="auto"/>
              <w:bottom w:val="single" w:sz="4" w:space="0" w:color="auto"/>
              <w:right w:val="single" w:sz="4" w:space="0" w:color="auto"/>
            </w:tcBorders>
            <w:vAlign w:val="center"/>
            <w:hideMark/>
          </w:tcPr>
          <w:p w14:paraId="4254D868" w14:textId="77777777" w:rsidR="000B7A67" w:rsidRPr="00CD163A" w:rsidRDefault="000B7A67" w:rsidP="00F400D6">
            <w:pPr>
              <w:spacing w:after="0" w:line="240" w:lineRule="auto"/>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4BFEF21C" w14:textId="77777777" w:rsidR="000B7A67" w:rsidRPr="00CD163A" w:rsidRDefault="000B7A67" w:rsidP="00F400D6">
            <w:pPr>
              <w:spacing w:after="0" w:line="240" w:lineRule="auto"/>
              <w:jc w:val="center"/>
              <w:rPr>
                <w:rFonts w:ascii="Book Antiqua" w:eastAsia="Times New Roman" w:hAnsi="Book Antiqua" w:cs="Calibri"/>
                <w:sz w:val="18"/>
                <w:szCs w:val="18"/>
                <w:lang w:eastAsia="es-CR"/>
              </w:rPr>
            </w:pPr>
            <w:r w:rsidRPr="00CD163A">
              <w:rPr>
                <w:rFonts w:ascii="Book Antiqua" w:eastAsia="Times New Roman" w:hAnsi="Book Antiqua" w:cs="Calibri"/>
                <w:sz w:val="18"/>
                <w:szCs w:val="18"/>
                <w:lang w:eastAsia="es-CR"/>
              </w:rPr>
              <w:t>1.10</w:t>
            </w:r>
          </w:p>
        </w:tc>
        <w:tc>
          <w:tcPr>
            <w:tcW w:w="3844" w:type="dxa"/>
            <w:tcBorders>
              <w:top w:val="nil"/>
              <w:left w:val="nil"/>
              <w:bottom w:val="single" w:sz="4" w:space="0" w:color="auto"/>
              <w:right w:val="single" w:sz="4" w:space="0" w:color="auto"/>
            </w:tcBorders>
            <w:shd w:val="clear" w:color="auto" w:fill="auto"/>
            <w:vAlign w:val="center"/>
            <w:hideMark/>
          </w:tcPr>
          <w:p w14:paraId="0E9AFE55" w14:textId="77777777" w:rsidR="000B7A67" w:rsidRPr="00CD163A" w:rsidRDefault="000B7A67" w:rsidP="001C41F2">
            <w:pPr>
              <w:spacing w:after="0" w:line="240" w:lineRule="auto"/>
              <w:jc w:val="both"/>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 xml:space="preserve"> Elaborar la solicitud de cambio, a fin de justificar las modificaciones o cambios realizados tanto en el cronograma, entregables, EDT, líder del proyecto u otros. / Actualizar el acta de constitución y el plan de gestión con las modificaciones solicitadas en el formulario de solicitud de cambio.</w:t>
            </w:r>
          </w:p>
        </w:tc>
      </w:tr>
      <w:tr w:rsidR="00BC00B3" w:rsidRPr="00CD163A" w14:paraId="5164A7DF" w14:textId="77777777" w:rsidTr="00301740">
        <w:trPr>
          <w:trHeight w:val="900"/>
        </w:trPr>
        <w:tc>
          <w:tcPr>
            <w:tcW w:w="1470" w:type="dxa"/>
            <w:vMerge/>
            <w:tcBorders>
              <w:top w:val="nil"/>
              <w:left w:val="single" w:sz="4" w:space="0" w:color="auto"/>
              <w:bottom w:val="single" w:sz="4" w:space="0" w:color="auto"/>
              <w:right w:val="single" w:sz="4" w:space="0" w:color="auto"/>
            </w:tcBorders>
            <w:vAlign w:val="center"/>
            <w:hideMark/>
          </w:tcPr>
          <w:p w14:paraId="20E4D618" w14:textId="77777777" w:rsidR="000B7A67" w:rsidRPr="00CD163A" w:rsidRDefault="000B7A67" w:rsidP="00F400D6">
            <w:pPr>
              <w:spacing w:after="0" w:line="240" w:lineRule="auto"/>
              <w:rPr>
                <w:rFonts w:ascii="Book Antiqua" w:eastAsia="Times New Roman" w:hAnsi="Book Antiqua" w:cs="Calibri"/>
                <w:color w:val="000000"/>
                <w:sz w:val="18"/>
                <w:szCs w:val="18"/>
                <w:lang w:eastAsia="es-CR"/>
              </w:rPr>
            </w:pPr>
          </w:p>
        </w:tc>
        <w:tc>
          <w:tcPr>
            <w:tcW w:w="1790" w:type="dxa"/>
            <w:vMerge/>
            <w:tcBorders>
              <w:top w:val="nil"/>
              <w:left w:val="single" w:sz="4" w:space="0" w:color="auto"/>
              <w:bottom w:val="single" w:sz="4" w:space="0" w:color="auto"/>
              <w:right w:val="single" w:sz="4" w:space="0" w:color="auto"/>
            </w:tcBorders>
            <w:vAlign w:val="center"/>
            <w:hideMark/>
          </w:tcPr>
          <w:p w14:paraId="05F6282B" w14:textId="77777777" w:rsidR="000B7A67" w:rsidRPr="00CD163A" w:rsidRDefault="000B7A67" w:rsidP="00F400D6">
            <w:pPr>
              <w:spacing w:after="0" w:line="240" w:lineRule="auto"/>
              <w:rPr>
                <w:rFonts w:ascii="Book Antiqua" w:eastAsia="Times New Roman" w:hAnsi="Book Antiqua" w:cs="Calibri"/>
                <w:color w:val="000000"/>
                <w:sz w:val="18"/>
                <w:szCs w:val="18"/>
                <w:lang w:eastAsia="es-CR"/>
              </w:rPr>
            </w:pPr>
          </w:p>
        </w:tc>
        <w:tc>
          <w:tcPr>
            <w:tcW w:w="976" w:type="dxa"/>
            <w:vMerge/>
            <w:tcBorders>
              <w:top w:val="nil"/>
              <w:left w:val="single" w:sz="4" w:space="0" w:color="auto"/>
              <w:bottom w:val="single" w:sz="4" w:space="0" w:color="auto"/>
              <w:right w:val="single" w:sz="4" w:space="0" w:color="auto"/>
            </w:tcBorders>
            <w:vAlign w:val="center"/>
            <w:hideMark/>
          </w:tcPr>
          <w:p w14:paraId="4F6FBE1B" w14:textId="77777777" w:rsidR="000B7A67" w:rsidRPr="00CD163A" w:rsidRDefault="000B7A67" w:rsidP="00F400D6">
            <w:pPr>
              <w:spacing w:after="0" w:line="240" w:lineRule="auto"/>
              <w:rPr>
                <w:rFonts w:ascii="Book Antiqua" w:eastAsia="Times New Roman" w:hAnsi="Book Antiqua" w:cs="Calibri"/>
                <w:color w:val="000000"/>
                <w:sz w:val="18"/>
                <w:szCs w:val="18"/>
                <w:lang w:eastAsia="es-CR"/>
              </w:rPr>
            </w:pPr>
          </w:p>
        </w:tc>
        <w:tc>
          <w:tcPr>
            <w:tcW w:w="1441" w:type="dxa"/>
            <w:vMerge/>
            <w:tcBorders>
              <w:top w:val="nil"/>
              <w:left w:val="single" w:sz="4" w:space="0" w:color="auto"/>
              <w:bottom w:val="single" w:sz="4" w:space="0" w:color="auto"/>
              <w:right w:val="single" w:sz="4" w:space="0" w:color="auto"/>
            </w:tcBorders>
            <w:vAlign w:val="center"/>
            <w:hideMark/>
          </w:tcPr>
          <w:p w14:paraId="0CDCEC66" w14:textId="77777777" w:rsidR="000B7A67" w:rsidRPr="00CD163A" w:rsidRDefault="000B7A67" w:rsidP="00F400D6">
            <w:pPr>
              <w:spacing w:after="0" w:line="240" w:lineRule="auto"/>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1265CFB0" w14:textId="77777777" w:rsidR="000B7A67" w:rsidRPr="00CD163A" w:rsidRDefault="000B7A67" w:rsidP="00F400D6">
            <w:pPr>
              <w:spacing w:after="0" w:line="240" w:lineRule="auto"/>
              <w:jc w:val="center"/>
              <w:rPr>
                <w:rFonts w:ascii="Book Antiqua" w:eastAsia="Times New Roman" w:hAnsi="Book Antiqua" w:cs="Calibri"/>
                <w:color w:val="000000"/>
                <w:sz w:val="18"/>
                <w:szCs w:val="18"/>
                <w:lang w:eastAsia="es-CR"/>
              </w:rPr>
            </w:pPr>
            <w:r w:rsidRPr="00CD163A">
              <w:rPr>
                <w:rFonts w:ascii="Book Antiqua" w:eastAsia="Times New Roman" w:hAnsi="Book Antiqua" w:cs="Calibri"/>
                <w:color w:val="000000"/>
                <w:sz w:val="18"/>
                <w:szCs w:val="18"/>
                <w:lang w:eastAsia="es-CR"/>
              </w:rPr>
              <w:t>2.1</w:t>
            </w:r>
          </w:p>
        </w:tc>
        <w:tc>
          <w:tcPr>
            <w:tcW w:w="3844" w:type="dxa"/>
            <w:tcBorders>
              <w:top w:val="nil"/>
              <w:left w:val="nil"/>
              <w:bottom w:val="single" w:sz="4" w:space="0" w:color="auto"/>
              <w:right w:val="single" w:sz="4" w:space="0" w:color="auto"/>
            </w:tcBorders>
            <w:shd w:val="clear" w:color="auto" w:fill="auto"/>
            <w:vAlign w:val="center"/>
            <w:hideMark/>
          </w:tcPr>
          <w:p w14:paraId="66DD431D" w14:textId="77777777" w:rsidR="000B7A67" w:rsidRPr="00CD163A" w:rsidRDefault="000B7A67" w:rsidP="001C41F2">
            <w:pPr>
              <w:spacing w:after="0" w:line="240" w:lineRule="auto"/>
              <w:jc w:val="both"/>
              <w:rPr>
                <w:rFonts w:ascii="Book Antiqua" w:eastAsia="Times New Roman" w:hAnsi="Book Antiqua" w:cs="Calibri"/>
                <w:sz w:val="18"/>
                <w:szCs w:val="18"/>
                <w:lang w:eastAsia="es-CR"/>
              </w:rPr>
            </w:pPr>
            <w:r w:rsidRPr="00CD163A">
              <w:rPr>
                <w:rFonts w:ascii="Book Antiqua" w:eastAsia="Times New Roman" w:hAnsi="Book Antiqua" w:cs="Calibri"/>
                <w:sz w:val="18"/>
                <w:szCs w:val="18"/>
                <w:lang w:eastAsia="es-CR"/>
              </w:rPr>
              <w:t>Pendiente de elaborar el III informe de seguimiento.</w:t>
            </w:r>
          </w:p>
        </w:tc>
      </w:tr>
    </w:tbl>
    <w:p w14:paraId="1D88E4EA" w14:textId="4A9BABB4" w:rsidR="000B7A67" w:rsidRDefault="000B7A67" w:rsidP="00EC614D">
      <w:pPr>
        <w:ind w:right="-660"/>
        <w:jc w:val="right"/>
        <w:rPr>
          <w:lang w:eastAsia="ko-KR"/>
        </w:rPr>
      </w:pPr>
      <w:r>
        <w:rPr>
          <w:lang w:eastAsia="ko-KR"/>
        </w:rPr>
        <w:t>“</w:t>
      </w:r>
      <w:r w:rsidR="00EC614D">
        <w:rPr>
          <w:lang w:eastAsia="ko-KR"/>
        </w:rPr>
        <w:t>.</w:t>
      </w:r>
    </w:p>
    <w:p w14:paraId="27C2A2C0" w14:textId="77777777" w:rsidR="000B7A67" w:rsidRDefault="000B7A67" w:rsidP="000B7A67">
      <w:pPr>
        <w:jc w:val="both"/>
        <w:rPr>
          <w:rFonts w:ascii="Book Antiqua" w:hAnsi="Book Antiqua"/>
          <w:sz w:val="24"/>
          <w:szCs w:val="24"/>
        </w:rPr>
      </w:pPr>
      <w:r w:rsidRPr="009D77B8">
        <w:rPr>
          <w:rFonts w:ascii="Book Antiqua" w:hAnsi="Book Antiqua"/>
          <w:sz w:val="24"/>
          <w:szCs w:val="24"/>
        </w:rPr>
        <w:t xml:space="preserve">Con la finalidad de dar seguimiento a estas recomendaciones, se remite correo a la oficina mediante el oficio </w:t>
      </w:r>
      <w:r>
        <w:rPr>
          <w:rFonts w:ascii="Book Antiqua" w:hAnsi="Book Antiqua"/>
          <w:sz w:val="24"/>
          <w:szCs w:val="24"/>
        </w:rPr>
        <w:t>1786</w:t>
      </w:r>
      <w:r w:rsidRPr="009D77B8">
        <w:rPr>
          <w:rFonts w:ascii="Book Antiqua" w:hAnsi="Book Antiqua"/>
          <w:sz w:val="24"/>
          <w:szCs w:val="24"/>
        </w:rPr>
        <w:t xml:space="preserve">-PLA-PP-TR-2023. </w:t>
      </w:r>
      <w:r>
        <w:rPr>
          <w:rFonts w:ascii="Book Antiqua" w:hAnsi="Book Antiqua"/>
          <w:sz w:val="24"/>
          <w:szCs w:val="24"/>
        </w:rPr>
        <w:t xml:space="preserve">Seguidamente, se procedió a verificar en el expediente del proyecto, </w:t>
      </w:r>
      <w:r w:rsidRPr="00011BFE">
        <w:rPr>
          <w:rFonts w:ascii="Book Antiqua" w:hAnsi="Book Antiqua"/>
          <w:sz w:val="24"/>
          <w:szCs w:val="24"/>
        </w:rPr>
        <w:t>(</w:t>
      </w:r>
      <w:hyperlink r:id="rId15" w:history="1">
        <w:r w:rsidRPr="006179BD">
          <w:rPr>
            <w:rStyle w:val="Hipervnculo"/>
            <w:rFonts w:ascii="Book Antiqua" w:hAnsi="Book Antiqua"/>
            <w:sz w:val="24"/>
            <w:szCs w:val="24"/>
          </w:rPr>
          <w:t>Ver enlace: Comisión de la Jurisdicción Agrario y Agroambienta</w:t>
        </w:r>
      </w:hyperlink>
      <w:r w:rsidRPr="006179BD">
        <w:rPr>
          <w:rStyle w:val="Hipervnculo"/>
        </w:rPr>
        <w:t>l.</w:t>
      </w:r>
      <w:r w:rsidRPr="004C0359">
        <w:rPr>
          <w:rFonts w:ascii="Book Antiqua" w:hAnsi="Book Antiqua"/>
          <w:sz w:val="24"/>
          <w:szCs w:val="24"/>
        </w:rPr>
        <w:t>); sin embargo, aún se encuentra pendiente los siguientes puntos:</w:t>
      </w:r>
    </w:p>
    <w:p w14:paraId="70EA6D00" w14:textId="77777777" w:rsidR="000B7A67" w:rsidRDefault="000B7A67" w:rsidP="000B7A67">
      <w:pPr>
        <w:spacing w:after="0"/>
        <w:jc w:val="both"/>
        <w:rPr>
          <w:rFonts w:ascii="Book Antiqua" w:hAnsi="Book Antiqua"/>
          <w:sz w:val="24"/>
          <w:szCs w:val="24"/>
        </w:rPr>
      </w:pPr>
    </w:p>
    <w:p w14:paraId="6C647D40" w14:textId="3BECE1B0" w:rsidR="000B7A67" w:rsidRPr="00A562C7" w:rsidRDefault="000B7A67" w:rsidP="000B7A67">
      <w:pPr>
        <w:pStyle w:val="Descripcin"/>
        <w:keepNext/>
        <w:spacing w:after="0"/>
        <w:jc w:val="center"/>
        <w:rPr>
          <w:rFonts w:ascii="Book Antiqua" w:hAnsi="Book Antiqua" w:cs="&amp;quot"/>
          <w:b/>
          <w:i w:val="0"/>
          <w:iCs w:val="0"/>
          <w:color w:val="auto"/>
          <w:sz w:val="24"/>
          <w:szCs w:val="24"/>
        </w:rPr>
      </w:pPr>
      <w:bookmarkStart w:id="16" w:name="_Toc131155925"/>
      <w:r w:rsidRPr="00A562C7">
        <w:rPr>
          <w:rFonts w:ascii="Book Antiqua" w:hAnsi="Book Antiqua" w:cs="&amp;quot"/>
          <w:b/>
          <w:i w:val="0"/>
          <w:iCs w:val="0"/>
          <w:color w:val="auto"/>
          <w:sz w:val="24"/>
          <w:szCs w:val="24"/>
        </w:rPr>
        <w:lastRenderedPageBreak/>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sidR="00844144">
        <w:rPr>
          <w:rFonts w:ascii="Book Antiqua" w:hAnsi="Book Antiqua" w:cs="&amp;quot"/>
          <w:b/>
          <w:i w:val="0"/>
          <w:iCs w:val="0"/>
          <w:noProof/>
          <w:color w:val="auto"/>
          <w:sz w:val="24"/>
          <w:szCs w:val="24"/>
        </w:rPr>
        <w:t>2</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Pr>
          <w:rFonts w:ascii="Book Antiqua" w:hAnsi="Book Antiqua" w:cs="&amp;quot"/>
          <w:b/>
          <w:i w:val="0"/>
          <w:iCs w:val="0"/>
          <w:color w:val="auto"/>
          <w:sz w:val="24"/>
          <w:szCs w:val="24"/>
        </w:rPr>
        <w:t>l</w:t>
      </w:r>
      <w:r w:rsidRPr="00143168">
        <w:rPr>
          <w:rFonts w:ascii="Book Antiqua" w:hAnsi="Book Antiqua" w:cs="&amp;quot"/>
          <w:b/>
          <w:i w:val="0"/>
          <w:iCs w:val="0"/>
          <w:color w:val="auto"/>
          <w:sz w:val="24"/>
          <w:szCs w:val="24"/>
        </w:rPr>
        <w:t xml:space="preserve"> proyecto que tiene pendiente de </w:t>
      </w:r>
      <w:r>
        <w:rPr>
          <w:rFonts w:ascii="Book Antiqua" w:hAnsi="Book Antiqua" w:cs="&amp;quot"/>
          <w:b/>
          <w:i w:val="0"/>
          <w:iCs w:val="0"/>
          <w:color w:val="auto"/>
          <w:sz w:val="24"/>
          <w:szCs w:val="24"/>
        </w:rPr>
        <w:t xml:space="preserve">atender recomendaciones en </w:t>
      </w:r>
      <w:r w:rsidRPr="006304FA">
        <w:rPr>
          <w:rFonts w:ascii="Book Antiqua" w:hAnsi="Book Antiqua" w:cs="&amp;quot"/>
          <w:b/>
          <w:i w:val="0"/>
          <w:iCs w:val="0"/>
          <w:color w:val="auto"/>
          <w:sz w:val="24"/>
          <w:szCs w:val="24"/>
        </w:rPr>
        <w:t>Comisión de la Jurisdicción Agrario y Agroambiental.</w:t>
      </w:r>
      <w:bookmarkEnd w:id="16"/>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1"/>
        <w:gridCol w:w="1222"/>
        <w:gridCol w:w="1441"/>
        <w:gridCol w:w="4796"/>
      </w:tblGrid>
      <w:tr w:rsidR="000B7A67" w:rsidRPr="008F2C56" w14:paraId="7FE67CFB" w14:textId="77777777" w:rsidTr="00F400D6">
        <w:trPr>
          <w:trHeight w:val="490"/>
          <w:tblHeader/>
        </w:trPr>
        <w:tc>
          <w:tcPr>
            <w:tcW w:w="1471" w:type="dxa"/>
            <w:shd w:val="clear" w:color="000000" w:fill="44546A"/>
            <w:vAlign w:val="center"/>
            <w:hideMark/>
          </w:tcPr>
          <w:p w14:paraId="662601F3" w14:textId="77777777" w:rsidR="000B7A67" w:rsidRPr="008F2C56" w:rsidRDefault="000B7A67" w:rsidP="00F400D6">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Centro de responsabilidad</w:t>
            </w:r>
          </w:p>
        </w:tc>
        <w:tc>
          <w:tcPr>
            <w:tcW w:w="1222" w:type="dxa"/>
            <w:shd w:val="clear" w:color="000000" w:fill="44546A"/>
            <w:vAlign w:val="center"/>
            <w:hideMark/>
          </w:tcPr>
          <w:p w14:paraId="5B25B14D" w14:textId="77777777" w:rsidR="000B7A67" w:rsidRPr="008F2C56" w:rsidRDefault="000B7A67" w:rsidP="00F400D6">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Código</w:t>
            </w:r>
          </w:p>
        </w:tc>
        <w:tc>
          <w:tcPr>
            <w:tcW w:w="1441" w:type="dxa"/>
            <w:shd w:val="clear" w:color="000000" w:fill="44546A"/>
            <w:vAlign w:val="center"/>
            <w:hideMark/>
          </w:tcPr>
          <w:p w14:paraId="500FB1A3" w14:textId="77777777" w:rsidR="000B7A67" w:rsidRPr="008F2C56" w:rsidRDefault="000B7A67" w:rsidP="00F400D6">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Nombre</w:t>
            </w:r>
          </w:p>
        </w:tc>
        <w:tc>
          <w:tcPr>
            <w:tcW w:w="4796" w:type="dxa"/>
            <w:shd w:val="clear" w:color="000000" w:fill="44546A"/>
            <w:vAlign w:val="center"/>
            <w:hideMark/>
          </w:tcPr>
          <w:p w14:paraId="051E8BD1" w14:textId="77777777" w:rsidR="000B7A67" w:rsidRPr="008F2C56" w:rsidRDefault="000B7A67" w:rsidP="00F400D6">
            <w:pPr>
              <w:spacing w:after="0" w:line="240" w:lineRule="auto"/>
              <w:jc w:val="center"/>
              <w:rPr>
                <w:rFonts w:ascii="Book Antiqua" w:eastAsia="Times New Roman" w:hAnsi="Book Antiqua" w:cs="Calibri"/>
                <w:b/>
                <w:bCs/>
                <w:color w:val="FFFFFF"/>
                <w:sz w:val="18"/>
                <w:szCs w:val="18"/>
                <w:lang w:eastAsia="es-CR"/>
              </w:rPr>
            </w:pPr>
            <w:r w:rsidRPr="008F2C56">
              <w:rPr>
                <w:rFonts w:ascii="Book Antiqua" w:eastAsia="Times New Roman" w:hAnsi="Book Antiqua" w:cs="Calibri"/>
                <w:b/>
                <w:bCs/>
                <w:color w:val="FFFFFF"/>
                <w:sz w:val="18"/>
                <w:szCs w:val="18"/>
                <w:lang w:eastAsia="es-CR"/>
              </w:rPr>
              <w:t>Recomendación pendiente</w:t>
            </w:r>
          </w:p>
        </w:tc>
      </w:tr>
      <w:tr w:rsidR="000B7A67" w:rsidRPr="008F2C56" w14:paraId="37C29CD3" w14:textId="77777777" w:rsidTr="00F400D6">
        <w:trPr>
          <w:trHeight w:val="951"/>
        </w:trPr>
        <w:tc>
          <w:tcPr>
            <w:tcW w:w="1471" w:type="dxa"/>
            <w:vMerge w:val="restart"/>
            <w:shd w:val="clear" w:color="000000" w:fill="FFFFFF"/>
            <w:vAlign w:val="center"/>
            <w:hideMark/>
          </w:tcPr>
          <w:p w14:paraId="4855A1E5" w14:textId="77777777" w:rsidR="000B7A67" w:rsidRPr="008F2C56" w:rsidRDefault="000B7A67" w:rsidP="00F400D6">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Comisiones Institucionales</w:t>
            </w:r>
          </w:p>
        </w:tc>
        <w:tc>
          <w:tcPr>
            <w:tcW w:w="1222" w:type="dxa"/>
            <w:vMerge w:val="restart"/>
            <w:shd w:val="clear" w:color="000000" w:fill="FFFFFF"/>
            <w:vAlign w:val="center"/>
            <w:hideMark/>
          </w:tcPr>
          <w:p w14:paraId="183099A6" w14:textId="77777777" w:rsidR="000B7A67" w:rsidRPr="008F2C56" w:rsidRDefault="000B7A67" w:rsidP="00F400D6">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4000-CA-P01</w:t>
            </w:r>
          </w:p>
        </w:tc>
        <w:tc>
          <w:tcPr>
            <w:tcW w:w="1441" w:type="dxa"/>
            <w:vMerge w:val="restart"/>
            <w:shd w:val="clear" w:color="000000" w:fill="FFFFFF"/>
            <w:vAlign w:val="center"/>
            <w:hideMark/>
          </w:tcPr>
          <w:p w14:paraId="1B832569" w14:textId="77777777" w:rsidR="000B7A67" w:rsidRPr="008F2C56" w:rsidRDefault="000B7A67" w:rsidP="00F400D6">
            <w:pPr>
              <w:spacing w:after="0" w:line="240" w:lineRule="auto"/>
              <w:jc w:val="center"/>
              <w:rPr>
                <w:rFonts w:ascii="Book Antiqua" w:eastAsia="Times New Roman" w:hAnsi="Book Antiqua" w:cs="Calibri"/>
                <w:color w:val="000000"/>
                <w:sz w:val="18"/>
                <w:szCs w:val="18"/>
                <w:lang w:eastAsia="es-CR"/>
              </w:rPr>
            </w:pPr>
            <w:r w:rsidRPr="008F2C56">
              <w:rPr>
                <w:rFonts w:ascii="Book Antiqua" w:eastAsia="Times New Roman" w:hAnsi="Book Antiqua" w:cs="Calibri"/>
                <w:color w:val="000000"/>
                <w:sz w:val="18"/>
                <w:szCs w:val="18"/>
                <w:lang w:eastAsia="es-CR"/>
              </w:rPr>
              <w:t>Implementación del Código Procesal Agrario (Comisión Agraria)</w:t>
            </w:r>
          </w:p>
        </w:tc>
        <w:tc>
          <w:tcPr>
            <w:tcW w:w="4796" w:type="dxa"/>
            <w:shd w:val="clear" w:color="000000" w:fill="FFFFFF"/>
            <w:vAlign w:val="center"/>
            <w:hideMark/>
          </w:tcPr>
          <w:p w14:paraId="113EF827" w14:textId="77777777" w:rsidR="000B7A67" w:rsidRPr="008F2C56" w:rsidRDefault="000B7A67" w:rsidP="001C41F2">
            <w:pPr>
              <w:spacing w:after="0" w:line="240" w:lineRule="auto"/>
              <w:jc w:val="both"/>
              <w:rPr>
                <w:rFonts w:ascii="Book Antiqua" w:eastAsia="Times New Roman" w:hAnsi="Book Antiqua" w:cs="Calibri"/>
                <w:color w:val="000000"/>
                <w:sz w:val="18"/>
                <w:szCs w:val="18"/>
                <w:lang w:eastAsia="es-CR"/>
              </w:rPr>
            </w:pPr>
            <w:r w:rsidRPr="003D29E4">
              <w:rPr>
                <w:rFonts w:ascii="Book Antiqua" w:eastAsia="Times New Roman" w:hAnsi="Book Antiqua" w:cs="Calibri"/>
                <w:color w:val="000000"/>
                <w:sz w:val="18"/>
                <w:szCs w:val="18"/>
                <w:lang w:eastAsia="es-CR"/>
              </w:rPr>
              <w:t>Pendiente corrección de diagrama de la EDT y desglose de la EDT para que coincida con cronograma.</w:t>
            </w:r>
          </w:p>
        </w:tc>
      </w:tr>
      <w:tr w:rsidR="000B7A67" w:rsidRPr="008F2C56" w14:paraId="4F89B838" w14:textId="77777777" w:rsidTr="00F400D6">
        <w:trPr>
          <w:trHeight w:val="480"/>
        </w:trPr>
        <w:tc>
          <w:tcPr>
            <w:tcW w:w="1471" w:type="dxa"/>
            <w:vMerge/>
            <w:vAlign w:val="center"/>
            <w:hideMark/>
          </w:tcPr>
          <w:p w14:paraId="40072E62" w14:textId="77777777" w:rsidR="000B7A67" w:rsidRPr="008F2C56" w:rsidRDefault="000B7A67" w:rsidP="00F400D6">
            <w:pPr>
              <w:spacing w:after="0" w:line="240" w:lineRule="auto"/>
              <w:jc w:val="center"/>
              <w:rPr>
                <w:rFonts w:ascii="Book Antiqua" w:eastAsia="Times New Roman" w:hAnsi="Book Antiqua" w:cs="Calibri"/>
                <w:color w:val="000000"/>
                <w:sz w:val="18"/>
                <w:szCs w:val="18"/>
                <w:lang w:eastAsia="es-CR"/>
              </w:rPr>
            </w:pPr>
          </w:p>
        </w:tc>
        <w:tc>
          <w:tcPr>
            <w:tcW w:w="1222" w:type="dxa"/>
            <w:vMerge/>
            <w:vAlign w:val="center"/>
            <w:hideMark/>
          </w:tcPr>
          <w:p w14:paraId="6E8B365F" w14:textId="77777777" w:rsidR="000B7A67" w:rsidRPr="008F2C56" w:rsidRDefault="000B7A67" w:rsidP="00F400D6">
            <w:pPr>
              <w:spacing w:after="0" w:line="240" w:lineRule="auto"/>
              <w:jc w:val="center"/>
              <w:rPr>
                <w:rFonts w:ascii="Book Antiqua" w:eastAsia="Times New Roman" w:hAnsi="Book Antiqua" w:cs="Calibri"/>
                <w:color w:val="000000"/>
                <w:sz w:val="18"/>
                <w:szCs w:val="18"/>
                <w:lang w:eastAsia="es-CR"/>
              </w:rPr>
            </w:pPr>
          </w:p>
        </w:tc>
        <w:tc>
          <w:tcPr>
            <w:tcW w:w="1441" w:type="dxa"/>
            <w:vMerge/>
            <w:vAlign w:val="center"/>
            <w:hideMark/>
          </w:tcPr>
          <w:p w14:paraId="6DB1D35E" w14:textId="77777777" w:rsidR="000B7A67" w:rsidRPr="008F2C56" w:rsidRDefault="000B7A67" w:rsidP="00F400D6">
            <w:pPr>
              <w:spacing w:after="0" w:line="240" w:lineRule="auto"/>
              <w:jc w:val="center"/>
              <w:rPr>
                <w:rFonts w:ascii="Book Antiqua" w:eastAsia="Times New Roman" w:hAnsi="Book Antiqua" w:cs="Calibri"/>
                <w:color w:val="000000"/>
                <w:sz w:val="18"/>
                <w:szCs w:val="18"/>
                <w:lang w:eastAsia="es-CR"/>
              </w:rPr>
            </w:pPr>
          </w:p>
        </w:tc>
        <w:tc>
          <w:tcPr>
            <w:tcW w:w="4796" w:type="dxa"/>
            <w:shd w:val="clear" w:color="auto" w:fill="auto"/>
            <w:vAlign w:val="center"/>
            <w:hideMark/>
          </w:tcPr>
          <w:p w14:paraId="5A06BCE6" w14:textId="77777777" w:rsidR="000B7A67" w:rsidRPr="008F2C56" w:rsidRDefault="000B7A67" w:rsidP="001C41F2">
            <w:pPr>
              <w:spacing w:after="0" w:line="240" w:lineRule="auto"/>
              <w:jc w:val="both"/>
              <w:rPr>
                <w:rFonts w:ascii="Book Antiqua" w:eastAsia="Times New Roman" w:hAnsi="Book Antiqua" w:cs="Calibri"/>
                <w:color w:val="000000"/>
                <w:sz w:val="18"/>
                <w:szCs w:val="18"/>
                <w:lang w:eastAsia="es-CR"/>
              </w:rPr>
            </w:pPr>
            <w:r w:rsidRPr="003D29E4">
              <w:rPr>
                <w:rFonts w:ascii="Book Antiqua" w:eastAsia="Times New Roman" w:hAnsi="Book Antiqua" w:cs="Calibri"/>
                <w:color w:val="000000"/>
                <w:sz w:val="18"/>
                <w:szCs w:val="18"/>
                <w:lang w:eastAsia="es-CR"/>
              </w:rPr>
              <w:t>Se elabora solicitud de cambio, pero falta algunos puntos por actualizar en documentos.</w:t>
            </w:r>
          </w:p>
        </w:tc>
      </w:tr>
    </w:tbl>
    <w:p w14:paraId="716D0F10" w14:textId="77777777" w:rsidR="000B7A67" w:rsidRDefault="000B7A67" w:rsidP="000B7A67">
      <w:pPr>
        <w:spacing w:after="0"/>
        <w:jc w:val="both"/>
        <w:rPr>
          <w:rFonts w:ascii="Book Antiqua" w:hAnsi="Book Antiqua"/>
          <w:sz w:val="24"/>
          <w:szCs w:val="24"/>
        </w:rPr>
      </w:pPr>
    </w:p>
    <w:p w14:paraId="7FE7C707" w14:textId="77777777" w:rsidR="000B7A67" w:rsidRDefault="000B7A67" w:rsidP="000B7A67">
      <w:pPr>
        <w:spacing w:after="0"/>
        <w:jc w:val="both"/>
        <w:rPr>
          <w:rFonts w:ascii="Book Antiqua" w:hAnsi="Book Antiqua"/>
          <w:b/>
          <w:sz w:val="24"/>
          <w:szCs w:val="24"/>
        </w:rPr>
      </w:pPr>
      <w:r>
        <w:rPr>
          <w:rFonts w:ascii="Book Antiqua" w:hAnsi="Book Antiqua"/>
          <w:sz w:val="24"/>
          <w:szCs w:val="24"/>
        </w:rPr>
        <w:t>El</w:t>
      </w:r>
      <w:r w:rsidRPr="003B26B6">
        <w:rPr>
          <w:rFonts w:ascii="Book Antiqua" w:hAnsi="Book Antiqua"/>
          <w:sz w:val="24"/>
          <w:szCs w:val="24"/>
        </w:rPr>
        <w:t xml:space="preserve"> proyecto anterior, tendrá </w:t>
      </w:r>
      <w:r w:rsidRPr="00333268">
        <w:rPr>
          <w:rFonts w:ascii="Book Antiqua" w:hAnsi="Book Antiqua"/>
          <w:sz w:val="24"/>
          <w:szCs w:val="24"/>
        </w:rPr>
        <w:t xml:space="preserve">al </w:t>
      </w:r>
      <w:r w:rsidRPr="00333268">
        <w:rPr>
          <w:rFonts w:ascii="Book Antiqua" w:hAnsi="Book Antiqua"/>
          <w:b/>
          <w:bCs/>
          <w:sz w:val="24"/>
          <w:szCs w:val="24"/>
        </w:rPr>
        <w:t>11 de agosto del 2023</w:t>
      </w:r>
      <w:r>
        <w:rPr>
          <w:rFonts w:ascii="Book Antiqua" w:hAnsi="Book Antiqua"/>
          <w:b/>
          <w:bCs/>
          <w:sz w:val="24"/>
          <w:szCs w:val="24"/>
        </w:rPr>
        <w:t xml:space="preserve"> </w:t>
      </w:r>
      <w:r w:rsidRPr="00A562C7">
        <w:rPr>
          <w:rFonts w:ascii="Book Antiqua" w:hAnsi="Book Antiqua"/>
          <w:b/>
          <w:bCs/>
          <w:sz w:val="24"/>
          <w:szCs w:val="24"/>
        </w:rPr>
        <w:t>para</w:t>
      </w:r>
      <w:r w:rsidRPr="003B26B6">
        <w:rPr>
          <w:rFonts w:ascii="Book Antiqua" w:hAnsi="Book Antiqua"/>
          <w:b/>
          <w:bCs/>
          <w:sz w:val="24"/>
          <w:szCs w:val="24"/>
        </w:rPr>
        <w:t xml:space="preserve"> </w:t>
      </w:r>
      <w:r>
        <w:rPr>
          <w:rFonts w:ascii="Book Antiqua" w:hAnsi="Book Antiqua"/>
          <w:b/>
          <w:bCs/>
          <w:sz w:val="24"/>
          <w:szCs w:val="24"/>
        </w:rPr>
        <w:t xml:space="preserve">atender las recomendaciones pendientes </w:t>
      </w:r>
      <w:r w:rsidRPr="003B26B6">
        <w:rPr>
          <w:rFonts w:ascii="Book Antiqua" w:hAnsi="Book Antiqua"/>
          <w:b/>
          <w:sz w:val="24"/>
          <w:szCs w:val="24"/>
        </w:rPr>
        <w:t xml:space="preserve">y notificar a la </w:t>
      </w:r>
      <w:r>
        <w:rPr>
          <w:rFonts w:ascii="Book Antiqua" w:hAnsi="Book Antiqua"/>
          <w:b/>
          <w:sz w:val="24"/>
          <w:szCs w:val="24"/>
        </w:rPr>
        <w:t xml:space="preserve">Unidad del Portafolio de Proyectos, </w:t>
      </w:r>
      <w:r w:rsidRPr="003B26B6">
        <w:rPr>
          <w:rFonts w:ascii="Book Antiqua" w:hAnsi="Book Antiqua"/>
          <w:b/>
          <w:sz w:val="24"/>
          <w:szCs w:val="24"/>
        </w:rPr>
        <w:t>Dirección de Planificación</w:t>
      </w:r>
      <w:r>
        <w:rPr>
          <w:rFonts w:ascii="Book Antiqua" w:hAnsi="Book Antiqua"/>
          <w:b/>
          <w:sz w:val="24"/>
          <w:szCs w:val="24"/>
        </w:rPr>
        <w:t>.</w:t>
      </w:r>
    </w:p>
    <w:p w14:paraId="79CB5F3C" w14:textId="77777777" w:rsidR="000B7A67" w:rsidRPr="00C4667E" w:rsidRDefault="000B7A67" w:rsidP="000B7A67">
      <w:pPr>
        <w:spacing w:after="0"/>
        <w:rPr>
          <w:lang w:eastAsia="ko-KR"/>
        </w:rPr>
      </w:pPr>
    </w:p>
    <w:p w14:paraId="0A117F34" w14:textId="77777777" w:rsidR="000B7A67" w:rsidRDefault="000B7A67" w:rsidP="000B7A67">
      <w:pPr>
        <w:pStyle w:val="Ttulo2"/>
        <w:numPr>
          <w:ilvl w:val="0"/>
          <w:numId w:val="3"/>
        </w:numPr>
        <w:tabs>
          <w:tab w:val="left" w:pos="851"/>
        </w:tabs>
        <w:jc w:val="both"/>
        <w:rPr>
          <w:rFonts w:ascii="Book Antiqua" w:eastAsia="Wingdings" w:hAnsi="Book Antiqua"/>
          <w:b/>
          <w:bCs/>
          <w:color w:val="auto"/>
          <w:lang w:eastAsia="ko-KR"/>
        </w:rPr>
      </w:pPr>
      <w:bookmarkStart w:id="17" w:name="_Toc131160528"/>
      <w:bookmarkStart w:id="18" w:name="_Toc138770825"/>
      <w:r w:rsidRPr="00845E8E">
        <w:rPr>
          <w:rFonts w:ascii="Book Antiqua" w:eastAsia="Wingdings" w:hAnsi="Book Antiqua"/>
          <w:b/>
          <w:bCs/>
          <w:color w:val="auto"/>
          <w:lang w:eastAsia="ko-KR"/>
        </w:rPr>
        <w:t xml:space="preserve">Recomendaciones dirigidas a la </w:t>
      </w:r>
      <w:r w:rsidRPr="0090587F">
        <w:rPr>
          <w:rFonts w:ascii="Book Antiqua" w:eastAsia="Wingdings" w:hAnsi="Book Antiqua"/>
          <w:b/>
          <w:bCs/>
          <w:color w:val="auto"/>
          <w:lang w:eastAsia="ko-KR"/>
        </w:rPr>
        <w:t>Comisión de Acceso a la Justicia</w:t>
      </w:r>
      <w:r>
        <w:rPr>
          <w:rFonts w:ascii="Book Antiqua" w:eastAsia="Wingdings" w:hAnsi="Book Antiqua"/>
          <w:b/>
          <w:bCs/>
          <w:color w:val="auto"/>
          <w:lang w:eastAsia="ko-KR"/>
        </w:rPr>
        <w:t>.</w:t>
      </w:r>
      <w:bookmarkEnd w:id="17"/>
      <w:bookmarkEnd w:id="18"/>
    </w:p>
    <w:p w14:paraId="5C49B1D9" w14:textId="77777777" w:rsidR="000B7A67" w:rsidRDefault="000B7A67" w:rsidP="000B7A67">
      <w:pPr>
        <w:spacing w:after="0"/>
        <w:jc w:val="both"/>
        <w:rPr>
          <w:lang w:eastAsia="ko-KR"/>
        </w:rPr>
      </w:pPr>
    </w:p>
    <w:p w14:paraId="1238C85F" w14:textId="77777777" w:rsidR="000B7A67" w:rsidRDefault="000B7A67" w:rsidP="000B7A67">
      <w:pPr>
        <w:spacing w:after="0"/>
        <w:jc w:val="both"/>
        <w:rPr>
          <w:rFonts w:ascii="Book Antiqua" w:hAnsi="Book Antiqua"/>
          <w:sz w:val="24"/>
          <w:szCs w:val="24"/>
        </w:rPr>
      </w:pPr>
      <w:r>
        <w:rPr>
          <w:rFonts w:ascii="Book Antiqua" w:hAnsi="Book Antiqua"/>
          <w:sz w:val="24"/>
          <w:szCs w:val="24"/>
        </w:rPr>
        <w:t xml:space="preserve">En el informe 277-PLA-PP-2023, se dirigió una recomendación a la </w:t>
      </w:r>
      <w:r w:rsidRPr="00A473FD">
        <w:rPr>
          <w:rFonts w:ascii="Book Antiqua" w:eastAsia="Wingdings" w:hAnsi="Book Antiqua"/>
          <w:b/>
          <w:bCs/>
          <w:lang w:eastAsia="ko-KR"/>
        </w:rPr>
        <w:t>Comisión de Acceso a la Justi</w:t>
      </w:r>
      <w:r>
        <w:rPr>
          <w:rFonts w:ascii="Book Antiqua" w:eastAsia="Wingdings" w:hAnsi="Book Antiqua"/>
          <w:b/>
          <w:bCs/>
          <w:lang w:eastAsia="ko-KR"/>
        </w:rPr>
        <w:t>cia</w:t>
      </w:r>
      <w:r>
        <w:rPr>
          <w:rFonts w:ascii="Book Antiqua" w:hAnsi="Book Antiqua"/>
          <w:sz w:val="24"/>
          <w:szCs w:val="24"/>
        </w:rPr>
        <w:t xml:space="preserve">, debido a que existía dos proyectos con gestiones pendientes, por lo anterior se realizó la siguiente recomendación: </w:t>
      </w:r>
    </w:p>
    <w:p w14:paraId="276BA5A0" w14:textId="77777777" w:rsidR="000B7A67" w:rsidRDefault="000B7A67" w:rsidP="000B7A67">
      <w:pPr>
        <w:spacing w:after="0"/>
        <w:jc w:val="both"/>
        <w:rPr>
          <w:lang w:eastAsia="ko-KR"/>
        </w:rPr>
      </w:pPr>
    </w:p>
    <w:p w14:paraId="67BDBF0B" w14:textId="77777777" w:rsidR="000B7A67" w:rsidRDefault="000B7A67" w:rsidP="000B7A67">
      <w:pPr>
        <w:spacing w:after="0" w:line="240" w:lineRule="auto"/>
        <w:ind w:left="567"/>
        <w:jc w:val="both"/>
        <w:rPr>
          <w:rFonts w:ascii="Book Antiqua" w:hAnsi="Book Antiqua"/>
          <w:i/>
          <w:iCs/>
          <w:sz w:val="24"/>
          <w:szCs w:val="24"/>
        </w:rPr>
      </w:pPr>
      <w:r>
        <w:rPr>
          <w:rFonts w:ascii="Book Antiqua" w:hAnsi="Book Antiqua"/>
          <w:sz w:val="24"/>
          <w:szCs w:val="24"/>
        </w:rPr>
        <w:t>“</w:t>
      </w:r>
      <w:r w:rsidRPr="007403A5">
        <w:rPr>
          <w:rFonts w:ascii="Book Antiqua" w:hAnsi="Book Antiqua"/>
          <w:b/>
          <w:bCs/>
          <w:i/>
          <w:iCs/>
          <w:sz w:val="24"/>
          <w:szCs w:val="24"/>
        </w:rPr>
        <w:t>2.10)</w:t>
      </w:r>
      <w:r w:rsidRPr="007403A5">
        <w:rPr>
          <w:rFonts w:ascii="Book Antiqua" w:hAnsi="Book Antiqua"/>
          <w:b/>
          <w:bCs/>
          <w:sz w:val="24"/>
          <w:szCs w:val="24"/>
        </w:rPr>
        <w:t xml:space="preserve"> </w:t>
      </w:r>
      <w:r w:rsidRPr="007403A5">
        <w:rPr>
          <w:rFonts w:ascii="Book Antiqua" w:hAnsi="Book Antiqua"/>
          <w:i/>
          <w:iCs/>
          <w:sz w:val="24"/>
          <w:szCs w:val="24"/>
        </w:rPr>
        <w:t>El Centro de Conciliación del Poder Judicial, las Comisiones de la Jurisdicción Agrario y Agroambiental, de Acceso a la Justicia, la Defensa Pública, el Departamento de Prensa y Comunicación Organizacional, el Programa Justicia Restaurativa, así como las Administraciones Regionales del Segundo Circuito Judicial de Alajuela, Tercer Circuito Judicial Alajuela, de la Ciudad Judicial de San Joaquín de Flores, de Puntarenas, del Primer Circuito Judicial Guanacaste y Primer Circuito Judicial de la Zona Sur, deberán a más tardar el 28 de abril del 2023, cargar en el sitio de proyecto la atención de las recomendaciones que se describen en la tabla correspondiente expuesta en el presente informe.</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1560"/>
        <w:gridCol w:w="992"/>
        <w:gridCol w:w="1559"/>
        <w:gridCol w:w="992"/>
        <w:gridCol w:w="3828"/>
      </w:tblGrid>
      <w:tr w:rsidR="00BC00B3" w:rsidRPr="004A0D30" w14:paraId="5A34E07B" w14:textId="77777777" w:rsidTr="00301740">
        <w:trPr>
          <w:trHeight w:val="300"/>
        </w:trPr>
        <w:tc>
          <w:tcPr>
            <w:tcW w:w="1560" w:type="dxa"/>
            <w:shd w:val="clear" w:color="000000" w:fill="44546A"/>
            <w:vAlign w:val="center"/>
            <w:hideMark/>
          </w:tcPr>
          <w:p w14:paraId="7556F39E" w14:textId="77777777" w:rsidR="000B7A67" w:rsidRPr="004A0D30" w:rsidRDefault="000B7A67" w:rsidP="00F400D6">
            <w:pPr>
              <w:spacing w:after="0" w:line="240" w:lineRule="auto"/>
              <w:jc w:val="center"/>
              <w:rPr>
                <w:rFonts w:ascii="Book Antiqua" w:eastAsia="Times New Roman" w:hAnsi="Book Antiqua" w:cs="Calibri"/>
                <w:b/>
                <w:bCs/>
                <w:color w:val="FFFFFF"/>
                <w:sz w:val="18"/>
                <w:szCs w:val="18"/>
                <w:lang w:eastAsia="es-CR"/>
              </w:rPr>
            </w:pPr>
            <w:r w:rsidRPr="004A0D30">
              <w:rPr>
                <w:rFonts w:ascii="Book Antiqua" w:eastAsia="Times New Roman" w:hAnsi="Book Antiqua" w:cs="Calibri"/>
                <w:b/>
                <w:bCs/>
                <w:color w:val="FFFFFF"/>
                <w:sz w:val="18"/>
                <w:szCs w:val="18"/>
                <w:lang w:eastAsia="es-CR"/>
              </w:rPr>
              <w:t>Centro de responsabilidad</w:t>
            </w:r>
          </w:p>
        </w:tc>
        <w:tc>
          <w:tcPr>
            <w:tcW w:w="1560" w:type="dxa"/>
            <w:shd w:val="clear" w:color="000000" w:fill="44546A"/>
            <w:vAlign w:val="center"/>
            <w:hideMark/>
          </w:tcPr>
          <w:p w14:paraId="23CCE072" w14:textId="77777777" w:rsidR="000B7A67" w:rsidRPr="004A0D30" w:rsidRDefault="000B7A67" w:rsidP="00F400D6">
            <w:pPr>
              <w:spacing w:after="0" w:line="240" w:lineRule="auto"/>
              <w:jc w:val="center"/>
              <w:rPr>
                <w:rFonts w:ascii="Book Antiqua" w:eastAsia="Times New Roman" w:hAnsi="Book Antiqua" w:cs="Calibri"/>
                <w:b/>
                <w:bCs/>
                <w:color w:val="FFFFFF"/>
                <w:sz w:val="18"/>
                <w:szCs w:val="18"/>
                <w:lang w:eastAsia="es-CR"/>
              </w:rPr>
            </w:pPr>
            <w:r w:rsidRPr="004A0D30">
              <w:rPr>
                <w:rFonts w:ascii="Book Antiqua" w:eastAsia="Times New Roman" w:hAnsi="Book Antiqua" w:cs="Calibri"/>
                <w:b/>
                <w:bCs/>
                <w:color w:val="FFFFFF"/>
                <w:sz w:val="18"/>
                <w:szCs w:val="18"/>
                <w:lang w:eastAsia="es-CR"/>
              </w:rPr>
              <w:t>Oficina Líder</w:t>
            </w:r>
          </w:p>
        </w:tc>
        <w:tc>
          <w:tcPr>
            <w:tcW w:w="992" w:type="dxa"/>
            <w:shd w:val="clear" w:color="000000" w:fill="44546A"/>
            <w:vAlign w:val="center"/>
            <w:hideMark/>
          </w:tcPr>
          <w:p w14:paraId="05CB4C8F" w14:textId="77777777" w:rsidR="000B7A67" w:rsidRPr="004A0D30" w:rsidRDefault="000B7A67" w:rsidP="00F400D6">
            <w:pPr>
              <w:spacing w:after="0" w:line="240" w:lineRule="auto"/>
              <w:jc w:val="center"/>
              <w:rPr>
                <w:rFonts w:ascii="Book Antiqua" w:eastAsia="Times New Roman" w:hAnsi="Book Antiqua" w:cs="Calibri"/>
                <w:b/>
                <w:bCs/>
                <w:color w:val="FFFFFF"/>
                <w:sz w:val="18"/>
                <w:szCs w:val="18"/>
                <w:lang w:eastAsia="es-CR"/>
              </w:rPr>
            </w:pPr>
            <w:r w:rsidRPr="004A0D30">
              <w:rPr>
                <w:rFonts w:ascii="Book Antiqua" w:eastAsia="Times New Roman" w:hAnsi="Book Antiqua" w:cs="Calibri"/>
                <w:b/>
                <w:bCs/>
                <w:color w:val="FFFFFF"/>
                <w:sz w:val="18"/>
                <w:szCs w:val="18"/>
                <w:lang w:eastAsia="es-CR"/>
              </w:rPr>
              <w:t>Código</w:t>
            </w:r>
          </w:p>
        </w:tc>
        <w:tc>
          <w:tcPr>
            <w:tcW w:w="1559" w:type="dxa"/>
            <w:shd w:val="clear" w:color="000000" w:fill="44546A"/>
            <w:vAlign w:val="center"/>
            <w:hideMark/>
          </w:tcPr>
          <w:p w14:paraId="6344C6F0" w14:textId="77777777" w:rsidR="000B7A67" w:rsidRPr="004A0D30" w:rsidRDefault="000B7A67" w:rsidP="00F400D6">
            <w:pPr>
              <w:spacing w:after="0" w:line="240" w:lineRule="auto"/>
              <w:jc w:val="center"/>
              <w:rPr>
                <w:rFonts w:ascii="Book Antiqua" w:eastAsia="Times New Roman" w:hAnsi="Book Antiqua" w:cs="Calibri"/>
                <w:b/>
                <w:bCs/>
                <w:color w:val="FFFFFF"/>
                <w:sz w:val="18"/>
                <w:szCs w:val="18"/>
                <w:lang w:eastAsia="es-CR"/>
              </w:rPr>
            </w:pPr>
            <w:r w:rsidRPr="004A0D30">
              <w:rPr>
                <w:rFonts w:ascii="Book Antiqua" w:eastAsia="Times New Roman" w:hAnsi="Book Antiqua" w:cs="Calibri"/>
                <w:b/>
                <w:bCs/>
                <w:color w:val="FFFFFF"/>
                <w:sz w:val="18"/>
                <w:szCs w:val="18"/>
                <w:lang w:eastAsia="es-CR"/>
              </w:rPr>
              <w:t>Nombre</w:t>
            </w:r>
          </w:p>
        </w:tc>
        <w:tc>
          <w:tcPr>
            <w:tcW w:w="992" w:type="dxa"/>
            <w:shd w:val="clear" w:color="000000" w:fill="44546A"/>
            <w:vAlign w:val="center"/>
            <w:hideMark/>
          </w:tcPr>
          <w:p w14:paraId="6090DFD8" w14:textId="77777777" w:rsidR="000B7A67" w:rsidRPr="004A0D30" w:rsidRDefault="000B7A67" w:rsidP="00F400D6">
            <w:pPr>
              <w:spacing w:after="0" w:line="240" w:lineRule="auto"/>
              <w:jc w:val="center"/>
              <w:rPr>
                <w:rFonts w:ascii="Book Antiqua" w:eastAsia="Times New Roman" w:hAnsi="Book Antiqua" w:cs="Calibri"/>
                <w:b/>
                <w:bCs/>
                <w:color w:val="FFFFFF"/>
                <w:sz w:val="18"/>
                <w:szCs w:val="18"/>
                <w:lang w:eastAsia="es-CR"/>
              </w:rPr>
            </w:pPr>
            <w:r w:rsidRPr="004A0D30">
              <w:rPr>
                <w:rFonts w:ascii="Book Antiqua" w:eastAsia="Times New Roman" w:hAnsi="Book Antiqua" w:cs="Calibri"/>
                <w:b/>
                <w:bCs/>
                <w:color w:val="FFFFFF"/>
                <w:sz w:val="18"/>
                <w:szCs w:val="18"/>
                <w:lang w:eastAsia="es-CR"/>
              </w:rPr>
              <w:t>Parte pendiente</w:t>
            </w:r>
          </w:p>
        </w:tc>
        <w:tc>
          <w:tcPr>
            <w:tcW w:w="3828" w:type="dxa"/>
            <w:shd w:val="clear" w:color="000000" w:fill="44546A"/>
            <w:vAlign w:val="center"/>
            <w:hideMark/>
          </w:tcPr>
          <w:p w14:paraId="30E84892" w14:textId="77777777" w:rsidR="000B7A67" w:rsidRPr="004A0D30" w:rsidRDefault="000B7A67" w:rsidP="00F400D6">
            <w:pPr>
              <w:spacing w:after="0" w:line="240" w:lineRule="auto"/>
              <w:jc w:val="center"/>
              <w:rPr>
                <w:rFonts w:ascii="Book Antiqua" w:eastAsia="Times New Roman" w:hAnsi="Book Antiqua" w:cs="Calibri"/>
                <w:b/>
                <w:bCs/>
                <w:color w:val="FFFFFF"/>
                <w:sz w:val="18"/>
                <w:szCs w:val="18"/>
                <w:lang w:eastAsia="es-CR"/>
              </w:rPr>
            </w:pPr>
            <w:r w:rsidRPr="004A0D30">
              <w:rPr>
                <w:rFonts w:ascii="Book Antiqua" w:eastAsia="Times New Roman" w:hAnsi="Book Antiqua" w:cs="Calibri"/>
                <w:b/>
                <w:bCs/>
                <w:color w:val="FFFFFF"/>
                <w:sz w:val="18"/>
                <w:szCs w:val="18"/>
                <w:lang w:eastAsia="es-CR"/>
              </w:rPr>
              <w:t>Detalle</w:t>
            </w:r>
          </w:p>
        </w:tc>
      </w:tr>
      <w:tr w:rsidR="009872F5" w:rsidRPr="004A0D30" w14:paraId="29D49B54" w14:textId="77777777" w:rsidTr="00301740">
        <w:trPr>
          <w:trHeight w:val="477"/>
        </w:trPr>
        <w:tc>
          <w:tcPr>
            <w:tcW w:w="1560" w:type="dxa"/>
            <w:vMerge w:val="restart"/>
            <w:shd w:val="clear" w:color="auto" w:fill="auto"/>
            <w:noWrap/>
            <w:vAlign w:val="center"/>
            <w:hideMark/>
          </w:tcPr>
          <w:p w14:paraId="3994A78D"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Comisiones Institucionales</w:t>
            </w:r>
          </w:p>
        </w:tc>
        <w:tc>
          <w:tcPr>
            <w:tcW w:w="1560" w:type="dxa"/>
            <w:vMerge w:val="restart"/>
            <w:shd w:val="clear" w:color="auto" w:fill="auto"/>
            <w:vAlign w:val="center"/>
            <w:hideMark/>
          </w:tcPr>
          <w:p w14:paraId="16EC9009" w14:textId="213B8DAB"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9993 C</w:t>
            </w:r>
            <w:r w:rsidR="0037535C">
              <w:rPr>
                <w:rFonts w:ascii="Book Antiqua" w:eastAsia="Times New Roman" w:hAnsi="Book Antiqua" w:cs="Calibri"/>
                <w:color w:val="000000"/>
                <w:sz w:val="18"/>
                <w:szCs w:val="18"/>
                <w:lang w:eastAsia="es-CR"/>
              </w:rPr>
              <w:t xml:space="preserve">omisión </w:t>
            </w:r>
            <w:r w:rsidR="000D1033">
              <w:rPr>
                <w:rFonts w:ascii="Book Antiqua" w:eastAsia="Times New Roman" w:hAnsi="Book Antiqua" w:cs="Calibri"/>
                <w:color w:val="000000"/>
                <w:sz w:val="18"/>
                <w:szCs w:val="18"/>
                <w:lang w:eastAsia="es-CR"/>
              </w:rPr>
              <w:t>de Acceso a la Justicia</w:t>
            </w:r>
          </w:p>
        </w:tc>
        <w:tc>
          <w:tcPr>
            <w:tcW w:w="992" w:type="dxa"/>
            <w:vMerge w:val="restart"/>
            <w:shd w:val="clear" w:color="auto" w:fill="auto"/>
            <w:vAlign w:val="center"/>
            <w:hideMark/>
          </w:tcPr>
          <w:p w14:paraId="0C5E6B82"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9993-CAJ-P01</w:t>
            </w:r>
          </w:p>
        </w:tc>
        <w:tc>
          <w:tcPr>
            <w:tcW w:w="1559" w:type="dxa"/>
            <w:vMerge w:val="restart"/>
            <w:shd w:val="clear" w:color="auto" w:fill="auto"/>
            <w:vAlign w:val="center"/>
            <w:hideMark/>
          </w:tcPr>
          <w:p w14:paraId="1D4F2395" w14:textId="77777777" w:rsidR="000B7A67" w:rsidRPr="004A0D30" w:rsidRDefault="000B7A67" w:rsidP="00F400D6">
            <w:pPr>
              <w:spacing w:after="0" w:line="240" w:lineRule="auto"/>
              <w:jc w:val="center"/>
              <w:rPr>
                <w:rFonts w:ascii="Book Antiqua" w:eastAsia="Times New Roman" w:hAnsi="Book Antiqua" w:cs="Calibri"/>
                <w:sz w:val="18"/>
                <w:szCs w:val="18"/>
                <w:lang w:eastAsia="es-CR"/>
              </w:rPr>
            </w:pPr>
            <w:r w:rsidRPr="004A0D30">
              <w:rPr>
                <w:rFonts w:ascii="Book Antiqua" w:eastAsia="Times New Roman" w:hAnsi="Book Antiqua" w:cs="Calibri"/>
                <w:sz w:val="18"/>
                <w:szCs w:val="18"/>
                <w:lang w:eastAsia="es-CR"/>
              </w:rPr>
              <w:t>Política para el Acceso a la Justicia de los Pueblos Indígenas en el Poder Judicial</w:t>
            </w:r>
          </w:p>
        </w:tc>
        <w:tc>
          <w:tcPr>
            <w:tcW w:w="992" w:type="dxa"/>
            <w:shd w:val="clear" w:color="auto" w:fill="auto"/>
            <w:vAlign w:val="center"/>
            <w:hideMark/>
          </w:tcPr>
          <w:p w14:paraId="0014DE4E" w14:textId="77777777" w:rsidR="000B7A67" w:rsidRPr="004A0D30" w:rsidRDefault="000B7A67" w:rsidP="00F400D6">
            <w:pPr>
              <w:spacing w:after="0" w:line="240" w:lineRule="auto"/>
              <w:jc w:val="center"/>
              <w:rPr>
                <w:rFonts w:ascii="Book Antiqua" w:eastAsia="Times New Roman" w:hAnsi="Book Antiqua" w:cs="Calibri"/>
                <w:sz w:val="18"/>
                <w:szCs w:val="18"/>
                <w:lang w:eastAsia="es-CR"/>
              </w:rPr>
            </w:pPr>
            <w:r w:rsidRPr="004A0D30">
              <w:rPr>
                <w:rFonts w:ascii="Book Antiqua" w:eastAsia="Times New Roman" w:hAnsi="Book Antiqua" w:cs="Calibri"/>
                <w:sz w:val="18"/>
                <w:szCs w:val="18"/>
                <w:lang w:eastAsia="es-CR"/>
              </w:rPr>
              <w:t>1.11</w:t>
            </w:r>
          </w:p>
        </w:tc>
        <w:tc>
          <w:tcPr>
            <w:tcW w:w="3828" w:type="dxa"/>
            <w:shd w:val="clear" w:color="auto" w:fill="auto"/>
            <w:vAlign w:val="center"/>
            <w:hideMark/>
          </w:tcPr>
          <w:p w14:paraId="3BA0FB47" w14:textId="77777777" w:rsidR="000B7A67" w:rsidRPr="004A0D30" w:rsidRDefault="000B7A67" w:rsidP="001C41F2">
            <w:pPr>
              <w:spacing w:after="0" w:line="240" w:lineRule="auto"/>
              <w:jc w:val="both"/>
              <w:rPr>
                <w:rFonts w:ascii="Book Antiqua" w:eastAsia="Times New Roman" w:hAnsi="Book Antiqua" w:cs="Calibri"/>
                <w:sz w:val="18"/>
                <w:szCs w:val="18"/>
                <w:lang w:eastAsia="es-CR"/>
              </w:rPr>
            </w:pPr>
            <w:r w:rsidRPr="004A0D30">
              <w:rPr>
                <w:rFonts w:ascii="Book Antiqua" w:eastAsia="Times New Roman" w:hAnsi="Book Antiqua" w:cs="Calibri"/>
                <w:sz w:val="18"/>
                <w:szCs w:val="18"/>
                <w:lang w:eastAsia="es-CR"/>
              </w:rPr>
              <w:t>En el plan de gestión se debe corregir el cronograma, esto debido a que el mismo debe ser exportado desde Project; además en el apartado 3.1 del mismo en el cuadro solamente se deben consignar el nivel de entregables (3.1, 3.2, 3.3 y 4.1)</w:t>
            </w:r>
          </w:p>
        </w:tc>
      </w:tr>
      <w:tr w:rsidR="009872F5" w:rsidRPr="004A0D30" w14:paraId="7243E791" w14:textId="77777777" w:rsidTr="00301740">
        <w:trPr>
          <w:trHeight w:val="168"/>
        </w:trPr>
        <w:tc>
          <w:tcPr>
            <w:tcW w:w="1560" w:type="dxa"/>
            <w:vMerge/>
            <w:vAlign w:val="center"/>
            <w:hideMark/>
          </w:tcPr>
          <w:p w14:paraId="5C57A009"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p>
        </w:tc>
        <w:tc>
          <w:tcPr>
            <w:tcW w:w="1560" w:type="dxa"/>
            <w:vMerge/>
            <w:vAlign w:val="center"/>
            <w:hideMark/>
          </w:tcPr>
          <w:p w14:paraId="28A34DCA"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p>
        </w:tc>
        <w:tc>
          <w:tcPr>
            <w:tcW w:w="992" w:type="dxa"/>
            <w:vMerge/>
            <w:vAlign w:val="center"/>
            <w:hideMark/>
          </w:tcPr>
          <w:p w14:paraId="1BEC1407"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p>
        </w:tc>
        <w:tc>
          <w:tcPr>
            <w:tcW w:w="1559" w:type="dxa"/>
            <w:vMerge/>
            <w:vAlign w:val="center"/>
            <w:hideMark/>
          </w:tcPr>
          <w:p w14:paraId="4AC91B9F" w14:textId="77777777" w:rsidR="000B7A67" w:rsidRPr="004A0D30" w:rsidRDefault="000B7A67" w:rsidP="00F400D6">
            <w:pPr>
              <w:spacing w:after="0" w:line="240" w:lineRule="auto"/>
              <w:jc w:val="center"/>
              <w:rPr>
                <w:rFonts w:ascii="Book Antiqua" w:eastAsia="Times New Roman" w:hAnsi="Book Antiqua" w:cs="Calibri"/>
                <w:sz w:val="18"/>
                <w:szCs w:val="18"/>
                <w:lang w:eastAsia="es-CR"/>
              </w:rPr>
            </w:pPr>
          </w:p>
        </w:tc>
        <w:tc>
          <w:tcPr>
            <w:tcW w:w="992" w:type="dxa"/>
            <w:shd w:val="clear" w:color="auto" w:fill="auto"/>
            <w:vAlign w:val="center"/>
            <w:hideMark/>
          </w:tcPr>
          <w:p w14:paraId="20357CC1"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2.1</w:t>
            </w:r>
          </w:p>
        </w:tc>
        <w:tc>
          <w:tcPr>
            <w:tcW w:w="3828" w:type="dxa"/>
            <w:shd w:val="clear" w:color="auto" w:fill="auto"/>
            <w:vAlign w:val="center"/>
            <w:hideMark/>
          </w:tcPr>
          <w:p w14:paraId="3EFFB15C" w14:textId="77777777" w:rsidR="000B7A67" w:rsidRPr="004A0D30" w:rsidRDefault="000B7A67" w:rsidP="001C41F2">
            <w:pPr>
              <w:spacing w:after="0" w:line="240" w:lineRule="auto"/>
              <w:jc w:val="both"/>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El informe de avance presentaba incorrecto el porcentaje real y esperado.</w:t>
            </w:r>
          </w:p>
        </w:tc>
      </w:tr>
      <w:tr w:rsidR="009872F5" w:rsidRPr="004A0D30" w14:paraId="1AD9BAA3" w14:textId="77777777" w:rsidTr="00301740">
        <w:trPr>
          <w:trHeight w:val="1500"/>
        </w:trPr>
        <w:tc>
          <w:tcPr>
            <w:tcW w:w="1560" w:type="dxa"/>
            <w:vMerge/>
            <w:vAlign w:val="center"/>
            <w:hideMark/>
          </w:tcPr>
          <w:p w14:paraId="32179B04"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p>
        </w:tc>
        <w:tc>
          <w:tcPr>
            <w:tcW w:w="1560" w:type="dxa"/>
            <w:vMerge/>
            <w:vAlign w:val="center"/>
            <w:hideMark/>
          </w:tcPr>
          <w:p w14:paraId="4EA2AD50"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p>
        </w:tc>
        <w:tc>
          <w:tcPr>
            <w:tcW w:w="992" w:type="dxa"/>
            <w:shd w:val="clear" w:color="auto" w:fill="auto"/>
            <w:vAlign w:val="center"/>
            <w:hideMark/>
          </w:tcPr>
          <w:p w14:paraId="51DFAD21"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9993-CAJ-P02</w:t>
            </w:r>
          </w:p>
        </w:tc>
        <w:tc>
          <w:tcPr>
            <w:tcW w:w="1559" w:type="dxa"/>
            <w:shd w:val="clear" w:color="auto" w:fill="auto"/>
            <w:vAlign w:val="center"/>
            <w:hideMark/>
          </w:tcPr>
          <w:p w14:paraId="0D01A761"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Actualización de la Política para el Acceso a la Justicia y Equiparación de Oportunidades de Personas en situación de discapacidad</w:t>
            </w:r>
          </w:p>
        </w:tc>
        <w:tc>
          <w:tcPr>
            <w:tcW w:w="992" w:type="dxa"/>
            <w:shd w:val="clear" w:color="auto" w:fill="auto"/>
            <w:vAlign w:val="center"/>
            <w:hideMark/>
          </w:tcPr>
          <w:p w14:paraId="137EE64B" w14:textId="77777777" w:rsidR="000B7A67" w:rsidRPr="004A0D30" w:rsidRDefault="000B7A67" w:rsidP="00F400D6">
            <w:pPr>
              <w:spacing w:after="0" w:line="240" w:lineRule="auto"/>
              <w:jc w:val="center"/>
              <w:rPr>
                <w:rFonts w:ascii="Book Antiqua" w:eastAsia="Times New Roman" w:hAnsi="Book Antiqua" w:cs="Calibri"/>
                <w:sz w:val="18"/>
                <w:szCs w:val="18"/>
                <w:lang w:eastAsia="es-CR"/>
              </w:rPr>
            </w:pPr>
            <w:r w:rsidRPr="004A0D30">
              <w:rPr>
                <w:rFonts w:ascii="Book Antiqua" w:eastAsia="Times New Roman" w:hAnsi="Book Antiqua" w:cs="Calibri"/>
                <w:sz w:val="18"/>
                <w:szCs w:val="18"/>
                <w:lang w:eastAsia="es-CR"/>
              </w:rPr>
              <w:t>1.11</w:t>
            </w:r>
          </w:p>
        </w:tc>
        <w:tc>
          <w:tcPr>
            <w:tcW w:w="3828" w:type="dxa"/>
            <w:shd w:val="clear" w:color="auto" w:fill="auto"/>
            <w:vAlign w:val="center"/>
            <w:hideMark/>
          </w:tcPr>
          <w:p w14:paraId="06558B9D" w14:textId="77777777" w:rsidR="000B7A67" w:rsidRPr="004A0D30" w:rsidRDefault="000B7A67" w:rsidP="001C41F2">
            <w:pPr>
              <w:spacing w:after="0" w:line="240" w:lineRule="auto"/>
              <w:jc w:val="both"/>
              <w:rPr>
                <w:rFonts w:ascii="Book Antiqua" w:eastAsia="Times New Roman" w:hAnsi="Book Antiqua" w:cs="Calibri"/>
                <w:sz w:val="18"/>
                <w:szCs w:val="18"/>
                <w:lang w:eastAsia="es-CR"/>
              </w:rPr>
            </w:pPr>
            <w:r w:rsidRPr="004A0D30">
              <w:rPr>
                <w:rFonts w:ascii="Book Antiqua" w:eastAsia="Times New Roman" w:hAnsi="Book Antiqua" w:cs="Calibri"/>
                <w:sz w:val="18"/>
                <w:szCs w:val="18"/>
                <w:lang w:eastAsia="es-CR"/>
              </w:rPr>
              <w:t>En el plan de gestión se debe corregir el cronograma, esto debido a que el mismo debe ser exportado desde Project; además en el apartado 3.1 del mismo en el cuadro, falta incluir 4.1</w:t>
            </w:r>
          </w:p>
        </w:tc>
      </w:tr>
    </w:tbl>
    <w:p w14:paraId="2DD9C653" w14:textId="32C9E178" w:rsidR="000B7A67" w:rsidRPr="00845E8E" w:rsidRDefault="000B7A67" w:rsidP="00EC614D">
      <w:pPr>
        <w:ind w:right="-944"/>
        <w:jc w:val="right"/>
        <w:rPr>
          <w:lang w:eastAsia="ko-KR"/>
        </w:rPr>
      </w:pPr>
      <w:r>
        <w:rPr>
          <w:lang w:eastAsia="ko-KR"/>
        </w:rPr>
        <w:t>“</w:t>
      </w:r>
      <w:r w:rsidR="00EC614D">
        <w:rPr>
          <w:lang w:eastAsia="ko-KR"/>
        </w:rPr>
        <w:t>.</w:t>
      </w:r>
    </w:p>
    <w:p w14:paraId="169A2018" w14:textId="77777777" w:rsidR="000B7A67" w:rsidRPr="006157B8" w:rsidRDefault="000B7A67" w:rsidP="000B7A67">
      <w:pPr>
        <w:spacing w:after="0"/>
        <w:jc w:val="both"/>
        <w:rPr>
          <w:rFonts w:ascii="Book Antiqua" w:hAnsi="Book Antiqua"/>
          <w:sz w:val="24"/>
          <w:szCs w:val="24"/>
          <w:highlight w:val="yellow"/>
        </w:rPr>
      </w:pPr>
      <w:r>
        <w:rPr>
          <w:rFonts w:ascii="Book Antiqua" w:hAnsi="Book Antiqua"/>
          <w:sz w:val="24"/>
          <w:szCs w:val="24"/>
        </w:rPr>
        <w:t>Con la finalidad de dar seguimiento a estas recomendaciones, se remite correo a la oficina mediante el oficio 1787</w:t>
      </w:r>
      <w:r w:rsidRPr="004C19A1">
        <w:rPr>
          <w:rFonts w:ascii="Book Antiqua" w:hAnsi="Book Antiqua"/>
          <w:sz w:val="24"/>
          <w:szCs w:val="24"/>
        </w:rPr>
        <w:t>-PLA-PP-TR-2023</w:t>
      </w:r>
      <w:r>
        <w:rPr>
          <w:rFonts w:ascii="Book Antiqua" w:hAnsi="Book Antiqua"/>
          <w:sz w:val="24"/>
          <w:szCs w:val="24"/>
        </w:rPr>
        <w:t xml:space="preserve">. </w:t>
      </w:r>
    </w:p>
    <w:p w14:paraId="31CDE634" w14:textId="77777777" w:rsidR="000B7A67" w:rsidRPr="004C0359" w:rsidRDefault="000B7A67" w:rsidP="000B7A67">
      <w:pPr>
        <w:spacing w:after="0"/>
        <w:jc w:val="both"/>
        <w:rPr>
          <w:rFonts w:ascii="Book Antiqua" w:hAnsi="Book Antiqua"/>
          <w:sz w:val="24"/>
          <w:szCs w:val="24"/>
        </w:rPr>
      </w:pPr>
    </w:p>
    <w:p w14:paraId="4305162F" w14:textId="33D0D8C6" w:rsidR="000B7A67" w:rsidRDefault="000B7A67" w:rsidP="000B7A67">
      <w:pPr>
        <w:spacing w:after="0"/>
        <w:jc w:val="both"/>
        <w:rPr>
          <w:rFonts w:ascii="Book Antiqua" w:hAnsi="Book Antiqua"/>
          <w:sz w:val="24"/>
          <w:szCs w:val="24"/>
        </w:rPr>
      </w:pPr>
      <w:r w:rsidRPr="004C0359">
        <w:rPr>
          <w:rFonts w:ascii="Book Antiqua" w:hAnsi="Book Antiqua"/>
          <w:sz w:val="24"/>
          <w:szCs w:val="24"/>
        </w:rPr>
        <w:t>Posteriormente</w:t>
      </w:r>
      <w:r>
        <w:rPr>
          <w:rFonts w:ascii="Book Antiqua" w:hAnsi="Book Antiqua"/>
          <w:sz w:val="24"/>
          <w:szCs w:val="24"/>
        </w:rPr>
        <w:t>,</w:t>
      </w:r>
      <w:r w:rsidRPr="004C0359">
        <w:rPr>
          <w:rFonts w:ascii="Book Antiqua" w:hAnsi="Book Antiqua"/>
          <w:sz w:val="24"/>
          <w:szCs w:val="24"/>
        </w:rPr>
        <w:t xml:space="preserve"> se procedió a revisar en los centros de proyectos para validar el cumplimiento de estas recomendaciones </w:t>
      </w:r>
      <w:r w:rsidRPr="006179BD">
        <w:rPr>
          <w:rFonts w:ascii="Book Antiqua" w:hAnsi="Book Antiqua"/>
          <w:sz w:val="24"/>
          <w:szCs w:val="24"/>
        </w:rPr>
        <w:t>(</w:t>
      </w:r>
      <w:hyperlink r:id="rId16" w:history="1">
        <w:r w:rsidRPr="006179BD">
          <w:rPr>
            <w:rStyle w:val="Hipervnculo"/>
            <w:rFonts w:ascii="Book Antiqua" w:hAnsi="Book Antiqua"/>
            <w:sz w:val="24"/>
            <w:szCs w:val="24"/>
          </w:rPr>
          <w:t>Ver enlace: Comisión de Acceso a la Justicia</w:t>
        </w:r>
      </w:hyperlink>
      <w:r w:rsidRPr="006179BD">
        <w:rPr>
          <w:rFonts w:ascii="Book Antiqua" w:hAnsi="Book Antiqua"/>
          <w:sz w:val="24"/>
          <w:szCs w:val="24"/>
        </w:rPr>
        <w:t>);</w:t>
      </w:r>
      <w:r w:rsidRPr="004C0359">
        <w:rPr>
          <w:rFonts w:ascii="Book Antiqua" w:hAnsi="Book Antiqua"/>
          <w:sz w:val="24"/>
          <w:szCs w:val="24"/>
        </w:rPr>
        <w:t xml:space="preserve"> </w:t>
      </w:r>
      <w:r>
        <w:rPr>
          <w:rFonts w:ascii="Book Antiqua" w:hAnsi="Book Antiqua"/>
          <w:sz w:val="24"/>
          <w:szCs w:val="24"/>
        </w:rPr>
        <w:t>constatando el cumplimiento d</w:t>
      </w:r>
      <w:r w:rsidR="00F505C8">
        <w:rPr>
          <w:rFonts w:ascii="Book Antiqua" w:hAnsi="Book Antiqua"/>
          <w:sz w:val="24"/>
          <w:szCs w:val="24"/>
        </w:rPr>
        <w:t>e las recomendaciones.</w:t>
      </w:r>
    </w:p>
    <w:p w14:paraId="3530D2E1" w14:textId="77777777" w:rsidR="000B7A67" w:rsidRDefault="000B7A67" w:rsidP="000B7A67">
      <w:pPr>
        <w:pStyle w:val="Default"/>
        <w:ind w:right="49"/>
        <w:jc w:val="both"/>
        <w:rPr>
          <w:rFonts w:ascii="Book Antiqua" w:hAnsi="Book Antiqua"/>
        </w:rPr>
      </w:pPr>
    </w:p>
    <w:p w14:paraId="2D16D85B" w14:textId="77777777" w:rsidR="000B7A67" w:rsidRPr="00A562C7" w:rsidRDefault="000B7A67" w:rsidP="000B7A67">
      <w:pPr>
        <w:pStyle w:val="Ttulo2"/>
        <w:numPr>
          <w:ilvl w:val="0"/>
          <w:numId w:val="3"/>
        </w:numPr>
        <w:ind w:left="426" w:hanging="426"/>
        <w:jc w:val="both"/>
        <w:rPr>
          <w:rFonts w:ascii="Book Antiqua" w:eastAsia="Wingdings" w:hAnsi="Book Antiqua"/>
          <w:b/>
          <w:bCs/>
          <w:color w:val="auto"/>
          <w:sz w:val="24"/>
          <w:szCs w:val="24"/>
          <w:lang w:eastAsia="ko-KR"/>
        </w:rPr>
      </w:pPr>
      <w:bookmarkStart w:id="19" w:name="_Toc138770826"/>
      <w:r>
        <w:rPr>
          <w:rFonts w:ascii="Book Antiqua" w:eastAsia="Wingdings" w:hAnsi="Book Antiqua"/>
          <w:b/>
          <w:bCs/>
          <w:color w:val="auto"/>
          <w:sz w:val="24"/>
          <w:szCs w:val="24"/>
          <w:lang w:eastAsia="ko-KR"/>
        </w:rPr>
        <w:t>Recomendación dirigida a la Defensa Pública</w:t>
      </w:r>
      <w:bookmarkEnd w:id="19"/>
      <w:r>
        <w:rPr>
          <w:rFonts w:ascii="Book Antiqua" w:eastAsia="Wingdings" w:hAnsi="Book Antiqua"/>
          <w:b/>
          <w:bCs/>
          <w:color w:val="auto"/>
          <w:sz w:val="24"/>
          <w:szCs w:val="24"/>
          <w:lang w:eastAsia="ko-KR"/>
        </w:rPr>
        <w:t xml:space="preserve"> </w:t>
      </w:r>
    </w:p>
    <w:p w14:paraId="6076F3FF" w14:textId="77777777" w:rsidR="000B7A67" w:rsidRPr="00A562C7" w:rsidRDefault="000B7A67" w:rsidP="000B7A67">
      <w:pPr>
        <w:spacing w:after="0"/>
        <w:jc w:val="both"/>
        <w:rPr>
          <w:rFonts w:ascii="Book Antiqua" w:hAnsi="Book Antiqua"/>
          <w:sz w:val="24"/>
          <w:szCs w:val="24"/>
        </w:rPr>
      </w:pPr>
    </w:p>
    <w:p w14:paraId="4E7B6EC7" w14:textId="77777777" w:rsidR="000B7A67" w:rsidRPr="00A562C7" w:rsidRDefault="000B7A67" w:rsidP="000B7A67">
      <w:pPr>
        <w:spacing w:after="0"/>
        <w:jc w:val="both"/>
        <w:rPr>
          <w:rFonts w:ascii="Book Antiqua" w:hAnsi="Book Antiqua"/>
          <w:sz w:val="24"/>
          <w:szCs w:val="24"/>
        </w:rPr>
      </w:pPr>
      <w:r w:rsidRPr="00A562C7">
        <w:rPr>
          <w:rFonts w:ascii="Book Antiqua" w:hAnsi="Book Antiqua"/>
          <w:sz w:val="24"/>
          <w:szCs w:val="24"/>
        </w:rPr>
        <w:t xml:space="preserve">En el oficio </w:t>
      </w:r>
      <w:r>
        <w:rPr>
          <w:rFonts w:ascii="Book Antiqua" w:hAnsi="Book Antiqua"/>
          <w:sz w:val="24"/>
          <w:szCs w:val="24"/>
        </w:rPr>
        <w:t>277</w:t>
      </w:r>
      <w:r w:rsidRPr="00A562C7">
        <w:rPr>
          <w:rFonts w:ascii="Book Antiqua" w:hAnsi="Book Antiqua"/>
          <w:sz w:val="24"/>
          <w:szCs w:val="24"/>
        </w:rPr>
        <w:t>-PLA-PP-202</w:t>
      </w:r>
      <w:r>
        <w:rPr>
          <w:rFonts w:ascii="Book Antiqua" w:hAnsi="Book Antiqua"/>
          <w:sz w:val="24"/>
          <w:szCs w:val="24"/>
        </w:rPr>
        <w:t>3</w:t>
      </w:r>
      <w:r w:rsidRPr="00A562C7">
        <w:rPr>
          <w:rFonts w:ascii="Book Antiqua" w:hAnsi="Book Antiqua"/>
          <w:sz w:val="24"/>
          <w:szCs w:val="24"/>
        </w:rPr>
        <w:t xml:space="preserve">, </w:t>
      </w:r>
      <w:r>
        <w:rPr>
          <w:rFonts w:ascii="Book Antiqua" w:hAnsi="Book Antiqua"/>
          <w:sz w:val="24"/>
          <w:szCs w:val="24"/>
        </w:rPr>
        <w:t xml:space="preserve">se establece una serie de recomendaciones para el Consejo Superior, dentro de estas se indica la siguiente con respecto a la Defensa Pública: </w:t>
      </w:r>
    </w:p>
    <w:p w14:paraId="7055ACC5" w14:textId="77777777" w:rsidR="000B7A67" w:rsidRPr="00DB39AD" w:rsidRDefault="000B7A67" w:rsidP="000B7A67">
      <w:pPr>
        <w:spacing w:after="0"/>
        <w:jc w:val="both"/>
        <w:rPr>
          <w:rFonts w:ascii="Book Antiqua" w:hAnsi="Book Antiqua"/>
          <w:sz w:val="24"/>
          <w:szCs w:val="24"/>
        </w:rPr>
      </w:pPr>
    </w:p>
    <w:p w14:paraId="21D1F1A9" w14:textId="77777777" w:rsidR="000B7A67" w:rsidRDefault="000B7A67" w:rsidP="000B7A67">
      <w:pPr>
        <w:autoSpaceDE w:val="0"/>
        <w:autoSpaceDN w:val="0"/>
        <w:adjustRightInd w:val="0"/>
        <w:spacing w:after="0" w:line="240" w:lineRule="auto"/>
        <w:ind w:left="709" w:right="616"/>
        <w:jc w:val="both"/>
        <w:rPr>
          <w:rFonts w:ascii="Book Antiqua" w:eastAsia="Wingdings" w:hAnsi="Book Antiqua"/>
          <w:i/>
          <w:sz w:val="24"/>
          <w:szCs w:val="24"/>
          <w:lang w:eastAsia="ko-KR"/>
        </w:rPr>
      </w:pPr>
      <w:r w:rsidRPr="00767FBC">
        <w:rPr>
          <w:rFonts w:ascii="Book Antiqua" w:eastAsia="Wingdings" w:hAnsi="Book Antiqua"/>
          <w:i/>
          <w:sz w:val="24"/>
          <w:szCs w:val="24"/>
          <w:lang w:eastAsia="ko-KR"/>
        </w:rPr>
        <w:t>“</w:t>
      </w:r>
      <w:r w:rsidRPr="007403A5">
        <w:rPr>
          <w:rFonts w:ascii="Book Antiqua" w:eastAsia="Wingdings" w:hAnsi="Book Antiqua"/>
          <w:i/>
          <w:sz w:val="24"/>
          <w:szCs w:val="24"/>
          <w:lang w:eastAsia="ko-KR"/>
        </w:rPr>
        <w:t>2.10) El Centro de Conciliación del Poder Judicial, las Comisiones de la Jurisdicción Agrario y Agroambiental, de Acceso a la Justicia, la Defensa Pública, el Departamento de Prensa y Comunicación Organizacional, el Programa Justicia Restaurativa, así como las Administraciones Regionales del Segundo Circuito Judicial de Alajuela, Tercer Circuito Judicial Alajuela, de la Ciudad Judicial de San Joaquín de Flores, de Puntarenas, del Primer Circuito Judicial Guanacaste y Primer Circuito Judicial de la Zona Sur, deberán a más tardar el 28 de abril del 2023, cargar en el sitio de proyecto la atención de las recomendaciones que se describen en la tabla correspondiente expuesta en el presente informe</w:t>
      </w:r>
      <w:r w:rsidRPr="00D45E16">
        <w:rPr>
          <w:rFonts w:ascii="Book Antiqua" w:eastAsia="Wingdings" w:hAnsi="Book Antiqua"/>
          <w:i/>
          <w:sz w:val="24"/>
          <w:szCs w:val="24"/>
          <w:lang w:eastAsia="ko-KR"/>
        </w:rPr>
        <w:t>.</w:t>
      </w:r>
    </w:p>
    <w:tbl>
      <w:tblPr>
        <w:tblW w:w="10348" w:type="dxa"/>
        <w:tblInd w:w="-714" w:type="dxa"/>
        <w:tblCellMar>
          <w:left w:w="70" w:type="dxa"/>
          <w:right w:w="70" w:type="dxa"/>
        </w:tblCellMar>
        <w:tblLook w:val="04A0" w:firstRow="1" w:lastRow="0" w:firstColumn="1" w:lastColumn="0" w:noHBand="0" w:noVBand="1"/>
      </w:tblPr>
      <w:tblGrid>
        <w:gridCol w:w="1470"/>
        <w:gridCol w:w="1665"/>
        <w:gridCol w:w="1260"/>
        <w:gridCol w:w="2268"/>
        <w:gridCol w:w="992"/>
        <w:gridCol w:w="2693"/>
      </w:tblGrid>
      <w:tr w:rsidR="00BC00B3" w:rsidRPr="004A0D30" w14:paraId="459E9D31" w14:textId="77777777" w:rsidTr="001C41F2">
        <w:trPr>
          <w:trHeight w:val="300"/>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0E30B00C" w14:textId="77777777" w:rsidR="000B7A67" w:rsidRPr="004A0D30" w:rsidRDefault="000B7A67" w:rsidP="00F400D6">
            <w:pPr>
              <w:spacing w:after="0" w:line="240" w:lineRule="auto"/>
              <w:jc w:val="center"/>
              <w:rPr>
                <w:rFonts w:ascii="Book Antiqua" w:eastAsia="Times New Roman" w:hAnsi="Book Antiqua" w:cs="Calibri"/>
                <w:b/>
                <w:bCs/>
                <w:color w:val="FFFFFF"/>
                <w:sz w:val="18"/>
                <w:szCs w:val="18"/>
                <w:lang w:eastAsia="es-CR"/>
              </w:rPr>
            </w:pPr>
            <w:r w:rsidRPr="004A0D30">
              <w:rPr>
                <w:rFonts w:ascii="Book Antiqua" w:eastAsia="Times New Roman" w:hAnsi="Book Antiqua" w:cs="Calibri"/>
                <w:b/>
                <w:bCs/>
                <w:color w:val="FFFFFF"/>
                <w:sz w:val="18"/>
                <w:szCs w:val="18"/>
                <w:lang w:eastAsia="es-CR"/>
              </w:rPr>
              <w:t xml:space="preserve">Centro de responsabilidad </w:t>
            </w:r>
          </w:p>
        </w:tc>
        <w:tc>
          <w:tcPr>
            <w:tcW w:w="1665" w:type="dxa"/>
            <w:tcBorders>
              <w:top w:val="single" w:sz="4" w:space="0" w:color="auto"/>
              <w:left w:val="nil"/>
              <w:bottom w:val="single" w:sz="4" w:space="0" w:color="auto"/>
              <w:right w:val="single" w:sz="4" w:space="0" w:color="auto"/>
            </w:tcBorders>
            <w:shd w:val="clear" w:color="000000" w:fill="44546A"/>
            <w:vAlign w:val="center"/>
            <w:hideMark/>
          </w:tcPr>
          <w:p w14:paraId="7CDE730E" w14:textId="77777777" w:rsidR="000B7A67" w:rsidRPr="004A0D30" w:rsidRDefault="000B7A67" w:rsidP="00F400D6">
            <w:pPr>
              <w:spacing w:after="0" w:line="240" w:lineRule="auto"/>
              <w:jc w:val="center"/>
              <w:rPr>
                <w:rFonts w:ascii="Book Antiqua" w:eastAsia="Times New Roman" w:hAnsi="Book Antiqua" w:cs="Calibri"/>
                <w:b/>
                <w:bCs/>
                <w:color w:val="FFFFFF"/>
                <w:sz w:val="18"/>
                <w:szCs w:val="18"/>
                <w:lang w:eastAsia="es-CR"/>
              </w:rPr>
            </w:pPr>
            <w:r w:rsidRPr="004A0D30">
              <w:rPr>
                <w:rFonts w:ascii="Book Antiqua" w:eastAsia="Times New Roman" w:hAnsi="Book Antiqua" w:cs="Calibri"/>
                <w:b/>
                <w:bCs/>
                <w:color w:val="FFFFFF"/>
                <w:sz w:val="18"/>
                <w:szCs w:val="18"/>
                <w:lang w:eastAsia="es-CR"/>
              </w:rPr>
              <w:t>Oficina Líder</w:t>
            </w:r>
          </w:p>
        </w:tc>
        <w:tc>
          <w:tcPr>
            <w:tcW w:w="1260" w:type="dxa"/>
            <w:tcBorders>
              <w:top w:val="single" w:sz="4" w:space="0" w:color="auto"/>
              <w:left w:val="nil"/>
              <w:bottom w:val="single" w:sz="4" w:space="0" w:color="auto"/>
              <w:right w:val="single" w:sz="4" w:space="0" w:color="auto"/>
            </w:tcBorders>
            <w:shd w:val="clear" w:color="000000" w:fill="44546A"/>
            <w:vAlign w:val="center"/>
            <w:hideMark/>
          </w:tcPr>
          <w:p w14:paraId="7CF0D0DA" w14:textId="77777777" w:rsidR="000B7A67" w:rsidRPr="004A0D30" w:rsidRDefault="000B7A67" w:rsidP="00F400D6">
            <w:pPr>
              <w:spacing w:after="0" w:line="240" w:lineRule="auto"/>
              <w:jc w:val="center"/>
              <w:rPr>
                <w:rFonts w:ascii="Book Antiqua" w:eastAsia="Times New Roman" w:hAnsi="Book Antiqua" w:cs="Calibri"/>
                <w:b/>
                <w:bCs/>
                <w:color w:val="FFFFFF"/>
                <w:sz w:val="18"/>
                <w:szCs w:val="18"/>
                <w:lang w:eastAsia="es-CR"/>
              </w:rPr>
            </w:pPr>
            <w:r w:rsidRPr="004A0D30">
              <w:rPr>
                <w:rFonts w:ascii="Book Antiqua" w:eastAsia="Times New Roman" w:hAnsi="Book Antiqua" w:cs="Calibri"/>
                <w:b/>
                <w:bCs/>
                <w:color w:val="FFFFFF"/>
                <w:sz w:val="18"/>
                <w:szCs w:val="18"/>
                <w:lang w:eastAsia="es-CR"/>
              </w:rPr>
              <w:t>Código</w:t>
            </w:r>
          </w:p>
        </w:tc>
        <w:tc>
          <w:tcPr>
            <w:tcW w:w="2268" w:type="dxa"/>
            <w:tcBorders>
              <w:top w:val="single" w:sz="4" w:space="0" w:color="auto"/>
              <w:left w:val="nil"/>
              <w:bottom w:val="single" w:sz="4" w:space="0" w:color="auto"/>
              <w:right w:val="single" w:sz="4" w:space="0" w:color="auto"/>
            </w:tcBorders>
            <w:shd w:val="clear" w:color="000000" w:fill="44546A"/>
            <w:vAlign w:val="center"/>
            <w:hideMark/>
          </w:tcPr>
          <w:p w14:paraId="3D892345" w14:textId="77777777" w:rsidR="000B7A67" w:rsidRPr="004A0D30" w:rsidRDefault="000B7A67" w:rsidP="00F400D6">
            <w:pPr>
              <w:spacing w:after="0" w:line="240" w:lineRule="auto"/>
              <w:jc w:val="center"/>
              <w:rPr>
                <w:rFonts w:ascii="Book Antiqua" w:eastAsia="Times New Roman" w:hAnsi="Book Antiqua" w:cs="Calibri"/>
                <w:b/>
                <w:bCs/>
                <w:color w:val="FFFFFF"/>
                <w:sz w:val="18"/>
                <w:szCs w:val="18"/>
                <w:lang w:eastAsia="es-CR"/>
              </w:rPr>
            </w:pPr>
            <w:r w:rsidRPr="004A0D30">
              <w:rPr>
                <w:rFonts w:ascii="Book Antiqua" w:eastAsia="Times New Roman" w:hAnsi="Book Antiqua" w:cs="Calibri"/>
                <w:b/>
                <w:bCs/>
                <w:color w:val="FFFFFF"/>
                <w:sz w:val="18"/>
                <w:szCs w:val="18"/>
                <w:lang w:eastAsia="es-CR"/>
              </w:rPr>
              <w:t>Nombre</w:t>
            </w:r>
          </w:p>
        </w:tc>
        <w:tc>
          <w:tcPr>
            <w:tcW w:w="992" w:type="dxa"/>
            <w:tcBorders>
              <w:top w:val="single" w:sz="4" w:space="0" w:color="auto"/>
              <w:left w:val="nil"/>
              <w:bottom w:val="single" w:sz="4" w:space="0" w:color="auto"/>
              <w:right w:val="single" w:sz="4" w:space="0" w:color="auto"/>
            </w:tcBorders>
            <w:shd w:val="clear" w:color="000000" w:fill="44546A"/>
            <w:vAlign w:val="center"/>
            <w:hideMark/>
          </w:tcPr>
          <w:p w14:paraId="511AF372" w14:textId="77777777" w:rsidR="000B7A67" w:rsidRPr="004A0D30" w:rsidRDefault="000B7A67" w:rsidP="00F400D6">
            <w:pPr>
              <w:spacing w:after="0" w:line="240" w:lineRule="auto"/>
              <w:jc w:val="center"/>
              <w:rPr>
                <w:rFonts w:ascii="Book Antiqua" w:eastAsia="Times New Roman" w:hAnsi="Book Antiqua" w:cs="Calibri"/>
                <w:b/>
                <w:bCs/>
                <w:color w:val="FFFFFF"/>
                <w:sz w:val="18"/>
                <w:szCs w:val="18"/>
                <w:lang w:eastAsia="es-CR"/>
              </w:rPr>
            </w:pPr>
            <w:r w:rsidRPr="004A0D30">
              <w:rPr>
                <w:rFonts w:ascii="Book Antiqua" w:eastAsia="Times New Roman" w:hAnsi="Book Antiqua" w:cs="Calibri"/>
                <w:b/>
                <w:bCs/>
                <w:color w:val="FFFFFF"/>
                <w:sz w:val="18"/>
                <w:szCs w:val="18"/>
                <w:lang w:eastAsia="es-CR"/>
              </w:rPr>
              <w:t>Parte pendiente</w:t>
            </w:r>
          </w:p>
        </w:tc>
        <w:tc>
          <w:tcPr>
            <w:tcW w:w="2693" w:type="dxa"/>
            <w:tcBorders>
              <w:top w:val="single" w:sz="4" w:space="0" w:color="auto"/>
              <w:left w:val="nil"/>
              <w:bottom w:val="single" w:sz="4" w:space="0" w:color="auto"/>
              <w:right w:val="single" w:sz="4" w:space="0" w:color="auto"/>
            </w:tcBorders>
            <w:shd w:val="clear" w:color="000000" w:fill="44546A"/>
            <w:vAlign w:val="center"/>
            <w:hideMark/>
          </w:tcPr>
          <w:p w14:paraId="11FA2D0A" w14:textId="77777777" w:rsidR="000B7A67" w:rsidRPr="004A0D30" w:rsidRDefault="000B7A67" w:rsidP="00F400D6">
            <w:pPr>
              <w:spacing w:after="0" w:line="240" w:lineRule="auto"/>
              <w:jc w:val="center"/>
              <w:rPr>
                <w:rFonts w:ascii="Book Antiqua" w:eastAsia="Times New Roman" w:hAnsi="Book Antiqua" w:cs="Calibri"/>
                <w:b/>
                <w:bCs/>
                <w:color w:val="FFFFFF"/>
                <w:sz w:val="18"/>
                <w:szCs w:val="18"/>
                <w:lang w:eastAsia="es-CR"/>
              </w:rPr>
            </w:pPr>
            <w:r w:rsidRPr="004A0D30">
              <w:rPr>
                <w:rFonts w:ascii="Book Antiqua" w:eastAsia="Times New Roman" w:hAnsi="Book Antiqua" w:cs="Calibri"/>
                <w:b/>
                <w:bCs/>
                <w:color w:val="FFFFFF"/>
                <w:sz w:val="18"/>
                <w:szCs w:val="18"/>
                <w:lang w:eastAsia="es-CR"/>
              </w:rPr>
              <w:t xml:space="preserve">Detalle </w:t>
            </w:r>
          </w:p>
        </w:tc>
      </w:tr>
      <w:tr w:rsidR="007E6FC1" w:rsidRPr="004A0D30" w14:paraId="67C5298A" w14:textId="77777777" w:rsidTr="001C41F2">
        <w:trPr>
          <w:trHeight w:val="600"/>
        </w:trPr>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7101425B"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Defensa Pública</w:t>
            </w:r>
          </w:p>
        </w:tc>
        <w:tc>
          <w:tcPr>
            <w:tcW w:w="1665" w:type="dxa"/>
            <w:vMerge w:val="restart"/>
            <w:tcBorders>
              <w:top w:val="nil"/>
              <w:left w:val="single" w:sz="4" w:space="0" w:color="auto"/>
              <w:bottom w:val="single" w:sz="4" w:space="0" w:color="000000"/>
              <w:right w:val="single" w:sz="4" w:space="0" w:color="auto"/>
            </w:tcBorders>
            <w:shd w:val="clear" w:color="auto" w:fill="auto"/>
            <w:vAlign w:val="center"/>
            <w:hideMark/>
          </w:tcPr>
          <w:p w14:paraId="585B89EE" w14:textId="04B68A34"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0032 J</w:t>
            </w:r>
            <w:r w:rsidR="00F00075">
              <w:rPr>
                <w:rFonts w:ascii="Book Antiqua" w:eastAsia="Times New Roman" w:hAnsi="Book Antiqua" w:cs="Calibri"/>
                <w:color w:val="000000"/>
                <w:sz w:val="18"/>
                <w:szCs w:val="18"/>
                <w:lang w:eastAsia="es-CR"/>
              </w:rPr>
              <w:t>efatura  de la Defensa Pública</w:t>
            </w:r>
          </w:p>
        </w:tc>
        <w:tc>
          <w:tcPr>
            <w:tcW w:w="1260" w:type="dxa"/>
            <w:tcBorders>
              <w:top w:val="nil"/>
              <w:left w:val="nil"/>
              <w:bottom w:val="single" w:sz="4" w:space="0" w:color="auto"/>
              <w:right w:val="single" w:sz="4" w:space="0" w:color="auto"/>
            </w:tcBorders>
            <w:shd w:val="clear" w:color="auto" w:fill="auto"/>
            <w:vAlign w:val="center"/>
            <w:hideMark/>
          </w:tcPr>
          <w:p w14:paraId="4AC74674"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0032-DP-P01</w:t>
            </w:r>
          </w:p>
        </w:tc>
        <w:tc>
          <w:tcPr>
            <w:tcW w:w="2268" w:type="dxa"/>
            <w:tcBorders>
              <w:top w:val="nil"/>
              <w:left w:val="nil"/>
              <w:bottom w:val="single" w:sz="4" w:space="0" w:color="auto"/>
              <w:right w:val="single" w:sz="4" w:space="0" w:color="auto"/>
            </w:tcBorders>
            <w:shd w:val="clear" w:color="auto" w:fill="auto"/>
            <w:vAlign w:val="center"/>
            <w:hideMark/>
          </w:tcPr>
          <w:p w14:paraId="59E6A58F" w14:textId="77777777" w:rsidR="000B7A67" w:rsidRPr="004A0D30" w:rsidRDefault="000B7A67" w:rsidP="00F400D6">
            <w:pPr>
              <w:spacing w:after="0" w:line="240" w:lineRule="auto"/>
              <w:jc w:val="center"/>
              <w:rPr>
                <w:rFonts w:ascii="Book Antiqua" w:eastAsia="Times New Roman" w:hAnsi="Book Antiqua" w:cs="Calibri"/>
                <w:sz w:val="18"/>
                <w:szCs w:val="18"/>
                <w:lang w:eastAsia="es-CR"/>
              </w:rPr>
            </w:pPr>
            <w:r w:rsidRPr="004A0D30">
              <w:rPr>
                <w:rFonts w:ascii="Book Antiqua" w:eastAsia="Times New Roman" w:hAnsi="Book Antiqua" w:cs="Calibri"/>
                <w:sz w:val="18"/>
                <w:szCs w:val="18"/>
                <w:lang w:eastAsia="es-CR"/>
              </w:rPr>
              <w:t>Estrategia de Comunicación y Proyección de la Defensa Pública</w:t>
            </w:r>
          </w:p>
        </w:tc>
        <w:tc>
          <w:tcPr>
            <w:tcW w:w="992" w:type="dxa"/>
            <w:tcBorders>
              <w:top w:val="nil"/>
              <w:left w:val="nil"/>
              <w:bottom w:val="single" w:sz="4" w:space="0" w:color="auto"/>
              <w:right w:val="single" w:sz="4" w:space="0" w:color="auto"/>
            </w:tcBorders>
            <w:shd w:val="clear" w:color="auto" w:fill="auto"/>
            <w:vAlign w:val="center"/>
            <w:hideMark/>
          </w:tcPr>
          <w:p w14:paraId="006A3B7D" w14:textId="77777777" w:rsidR="000B7A67" w:rsidRPr="004A0D30" w:rsidRDefault="000B7A67" w:rsidP="00F400D6">
            <w:pPr>
              <w:spacing w:after="0" w:line="240" w:lineRule="auto"/>
              <w:jc w:val="center"/>
              <w:rPr>
                <w:rFonts w:ascii="Book Antiqua" w:eastAsia="Times New Roman" w:hAnsi="Book Antiqua" w:cs="Calibri"/>
                <w:sz w:val="18"/>
                <w:szCs w:val="18"/>
                <w:lang w:eastAsia="es-CR"/>
              </w:rPr>
            </w:pPr>
            <w:r w:rsidRPr="004A0D30">
              <w:rPr>
                <w:rFonts w:ascii="Book Antiqua" w:eastAsia="Times New Roman" w:hAnsi="Book Antiqua" w:cs="Calibri"/>
                <w:sz w:val="18"/>
                <w:szCs w:val="18"/>
                <w:lang w:eastAsia="es-CR"/>
              </w:rPr>
              <w:t>1.12</w:t>
            </w:r>
          </w:p>
        </w:tc>
        <w:tc>
          <w:tcPr>
            <w:tcW w:w="2693" w:type="dxa"/>
            <w:tcBorders>
              <w:top w:val="nil"/>
              <w:left w:val="nil"/>
              <w:bottom w:val="single" w:sz="4" w:space="0" w:color="auto"/>
              <w:right w:val="single" w:sz="4" w:space="0" w:color="auto"/>
            </w:tcBorders>
            <w:shd w:val="clear" w:color="auto" w:fill="auto"/>
            <w:vAlign w:val="center"/>
            <w:hideMark/>
          </w:tcPr>
          <w:p w14:paraId="0678EA67" w14:textId="77777777" w:rsidR="000B7A67" w:rsidRPr="004A0D30" w:rsidRDefault="000B7A67" w:rsidP="001C41F2">
            <w:pPr>
              <w:spacing w:after="0" w:line="240" w:lineRule="auto"/>
              <w:jc w:val="both"/>
              <w:rPr>
                <w:rFonts w:ascii="Book Antiqua" w:eastAsia="Times New Roman" w:hAnsi="Book Antiqua" w:cs="Calibri"/>
                <w:sz w:val="18"/>
                <w:szCs w:val="18"/>
                <w:lang w:eastAsia="es-CR"/>
              </w:rPr>
            </w:pPr>
            <w:r w:rsidRPr="004A0D30">
              <w:rPr>
                <w:rFonts w:ascii="Book Antiqua" w:eastAsia="Times New Roman" w:hAnsi="Book Antiqua" w:cs="Calibri"/>
                <w:sz w:val="18"/>
                <w:szCs w:val="18"/>
                <w:lang w:eastAsia="es-CR"/>
              </w:rPr>
              <w:t>Pendiente de actualizar documento producto de la solicitud de cambio.</w:t>
            </w:r>
          </w:p>
        </w:tc>
      </w:tr>
      <w:tr w:rsidR="007E6FC1" w:rsidRPr="004A0D30" w14:paraId="3AF10AEC" w14:textId="77777777" w:rsidTr="001C41F2">
        <w:trPr>
          <w:trHeight w:val="461"/>
        </w:trPr>
        <w:tc>
          <w:tcPr>
            <w:tcW w:w="1470" w:type="dxa"/>
            <w:vMerge/>
            <w:tcBorders>
              <w:top w:val="nil"/>
              <w:left w:val="single" w:sz="4" w:space="0" w:color="auto"/>
              <w:bottom w:val="single" w:sz="4" w:space="0" w:color="000000"/>
              <w:right w:val="single" w:sz="4" w:space="0" w:color="auto"/>
            </w:tcBorders>
            <w:vAlign w:val="center"/>
            <w:hideMark/>
          </w:tcPr>
          <w:p w14:paraId="11D77A58" w14:textId="77777777" w:rsidR="000B7A67" w:rsidRPr="004A0D30" w:rsidRDefault="000B7A67" w:rsidP="00F400D6">
            <w:pPr>
              <w:spacing w:after="0" w:line="240" w:lineRule="auto"/>
              <w:rPr>
                <w:rFonts w:ascii="Book Antiqua" w:eastAsia="Times New Roman" w:hAnsi="Book Antiqua" w:cs="Calibri"/>
                <w:color w:val="000000"/>
                <w:sz w:val="18"/>
                <w:szCs w:val="18"/>
                <w:lang w:eastAsia="es-CR"/>
              </w:rPr>
            </w:pPr>
          </w:p>
        </w:tc>
        <w:tc>
          <w:tcPr>
            <w:tcW w:w="1665" w:type="dxa"/>
            <w:vMerge/>
            <w:tcBorders>
              <w:top w:val="nil"/>
              <w:left w:val="single" w:sz="4" w:space="0" w:color="auto"/>
              <w:bottom w:val="single" w:sz="4" w:space="0" w:color="000000"/>
              <w:right w:val="single" w:sz="4" w:space="0" w:color="auto"/>
            </w:tcBorders>
            <w:vAlign w:val="center"/>
            <w:hideMark/>
          </w:tcPr>
          <w:p w14:paraId="127D4914" w14:textId="77777777" w:rsidR="000B7A67" w:rsidRPr="004A0D30" w:rsidRDefault="000B7A67" w:rsidP="00F400D6">
            <w:pPr>
              <w:spacing w:after="0" w:line="240" w:lineRule="auto"/>
              <w:rPr>
                <w:rFonts w:ascii="Book Antiqua" w:eastAsia="Times New Roman" w:hAnsi="Book Antiqua" w:cs="Calibri"/>
                <w:color w:val="000000"/>
                <w:sz w:val="18"/>
                <w:szCs w:val="18"/>
                <w:lang w:eastAsia="es-CR"/>
              </w:rPr>
            </w:pPr>
          </w:p>
        </w:tc>
        <w:tc>
          <w:tcPr>
            <w:tcW w:w="1260" w:type="dxa"/>
            <w:tcBorders>
              <w:top w:val="nil"/>
              <w:left w:val="nil"/>
              <w:bottom w:val="single" w:sz="4" w:space="0" w:color="auto"/>
              <w:right w:val="single" w:sz="4" w:space="0" w:color="auto"/>
            </w:tcBorders>
            <w:shd w:val="clear" w:color="auto" w:fill="auto"/>
            <w:vAlign w:val="center"/>
            <w:hideMark/>
          </w:tcPr>
          <w:p w14:paraId="6B694633"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0032-DP-P02</w:t>
            </w:r>
          </w:p>
        </w:tc>
        <w:tc>
          <w:tcPr>
            <w:tcW w:w="2268" w:type="dxa"/>
            <w:tcBorders>
              <w:top w:val="nil"/>
              <w:left w:val="nil"/>
              <w:bottom w:val="single" w:sz="4" w:space="0" w:color="auto"/>
              <w:right w:val="single" w:sz="4" w:space="0" w:color="auto"/>
            </w:tcBorders>
            <w:shd w:val="clear" w:color="auto" w:fill="auto"/>
            <w:vAlign w:val="center"/>
            <w:hideMark/>
          </w:tcPr>
          <w:p w14:paraId="40B70CBC"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Estrategias de Coordinación de la Defensa Pública</w:t>
            </w:r>
          </w:p>
        </w:tc>
        <w:tc>
          <w:tcPr>
            <w:tcW w:w="992" w:type="dxa"/>
            <w:tcBorders>
              <w:top w:val="nil"/>
              <w:left w:val="nil"/>
              <w:bottom w:val="single" w:sz="4" w:space="0" w:color="auto"/>
              <w:right w:val="single" w:sz="4" w:space="0" w:color="auto"/>
            </w:tcBorders>
            <w:shd w:val="clear" w:color="auto" w:fill="auto"/>
            <w:vAlign w:val="center"/>
            <w:hideMark/>
          </w:tcPr>
          <w:p w14:paraId="49706C07"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2.1</w:t>
            </w:r>
          </w:p>
        </w:tc>
        <w:tc>
          <w:tcPr>
            <w:tcW w:w="2693" w:type="dxa"/>
            <w:tcBorders>
              <w:top w:val="nil"/>
              <w:left w:val="nil"/>
              <w:bottom w:val="single" w:sz="4" w:space="0" w:color="auto"/>
              <w:right w:val="single" w:sz="4" w:space="0" w:color="auto"/>
            </w:tcBorders>
            <w:shd w:val="clear" w:color="auto" w:fill="auto"/>
            <w:vAlign w:val="center"/>
            <w:hideMark/>
          </w:tcPr>
          <w:p w14:paraId="78ED1950" w14:textId="77777777" w:rsidR="000B7A67" w:rsidRPr="004A0D30" w:rsidRDefault="000B7A67" w:rsidP="001C41F2">
            <w:pPr>
              <w:spacing w:after="0" w:line="240" w:lineRule="auto"/>
              <w:jc w:val="both"/>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El informe de avance presentaba incorrecto el porcentaje esperado.</w:t>
            </w:r>
          </w:p>
        </w:tc>
      </w:tr>
      <w:tr w:rsidR="007E6FC1" w:rsidRPr="004A0D30" w14:paraId="596E4DC0" w14:textId="77777777" w:rsidTr="001C41F2">
        <w:trPr>
          <w:trHeight w:val="600"/>
        </w:trPr>
        <w:tc>
          <w:tcPr>
            <w:tcW w:w="1470" w:type="dxa"/>
            <w:vMerge/>
            <w:tcBorders>
              <w:top w:val="nil"/>
              <w:left w:val="single" w:sz="4" w:space="0" w:color="auto"/>
              <w:bottom w:val="single" w:sz="4" w:space="0" w:color="000000"/>
              <w:right w:val="single" w:sz="4" w:space="0" w:color="auto"/>
            </w:tcBorders>
            <w:vAlign w:val="center"/>
            <w:hideMark/>
          </w:tcPr>
          <w:p w14:paraId="4C3CD920" w14:textId="77777777" w:rsidR="000B7A67" w:rsidRPr="004A0D30" w:rsidRDefault="000B7A67" w:rsidP="00F400D6">
            <w:pPr>
              <w:spacing w:after="0" w:line="240" w:lineRule="auto"/>
              <w:rPr>
                <w:rFonts w:ascii="Book Antiqua" w:eastAsia="Times New Roman" w:hAnsi="Book Antiqua" w:cs="Calibri"/>
                <w:color w:val="000000"/>
                <w:sz w:val="18"/>
                <w:szCs w:val="18"/>
                <w:lang w:eastAsia="es-CR"/>
              </w:rPr>
            </w:pPr>
          </w:p>
        </w:tc>
        <w:tc>
          <w:tcPr>
            <w:tcW w:w="1665" w:type="dxa"/>
            <w:vMerge/>
            <w:tcBorders>
              <w:top w:val="nil"/>
              <w:left w:val="single" w:sz="4" w:space="0" w:color="auto"/>
              <w:bottom w:val="single" w:sz="4" w:space="0" w:color="000000"/>
              <w:right w:val="single" w:sz="4" w:space="0" w:color="auto"/>
            </w:tcBorders>
            <w:vAlign w:val="center"/>
            <w:hideMark/>
          </w:tcPr>
          <w:p w14:paraId="55626ED9" w14:textId="77777777" w:rsidR="000B7A67" w:rsidRPr="004A0D30" w:rsidRDefault="000B7A67" w:rsidP="00F400D6">
            <w:pPr>
              <w:spacing w:after="0" w:line="240" w:lineRule="auto"/>
              <w:rPr>
                <w:rFonts w:ascii="Book Antiqua" w:eastAsia="Times New Roman" w:hAnsi="Book Antiqua" w:cs="Calibri"/>
                <w:color w:val="000000"/>
                <w:sz w:val="18"/>
                <w:szCs w:val="18"/>
                <w:lang w:eastAsia="es-CR"/>
              </w:rPr>
            </w:pPr>
          </w:p>
        </w:tc>
        <w:tc>
          <w:tcPr>
            <w:tcW w:w="1260" w:type="dxa"/>
            <w:tcBorders>
              <w:top w:val="nil"/>
              <w:left w:val="nil"/>
              <w:bottom w:val="single" w:sz="4" w:space="0" w:color="auto"/>
              <w:right w:val="single" w:sz="4" w:space="0" w:color="auto"/>
            </w:tcBorders>
            <w:shd w:val="clear" w:color="auto" w:fill="auto"/>
            <w:vAlign w:val="center"/>
            <w:hideMark/>
          </w:tcPr>
          <w:p w14:paraId="3C436CF3"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0032-DP-P03</w:t>
            </w:r>
          </w:p>
        </w:tc>
        <w:tc>
          <w:tcPr>
            <w:tcW w:w="2268" w:type="dxa"/>
            <w:tcBorders>
              <w:top w:val="nil"/>
              <w:left w:val="nil"/>
              <w:bottom w:val="single" w:sz="4" w:space="0" w:color="auto"/>
              <w:right w:val="single" w:sz="4" w:space="0" w:color="auto"/>
            </w:tcBorders>
            <w:shd w:val="clear" w:color="auto" w:fill="auto"/>
            <w:vAlign w:val="center"/>
            <w:hideMark/>
          </w:tcPr>
          <w:p w14:paraId="01B77242"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Estrategia de capacitación de la Defensa Pública</w:t>
            </w:r>
          </w:p>
        </w:tc>
        <w:tc>
          <w:tcPr>
            <w:tcW w:w="992" w:type="dxa"/>
            <w:tcBorders>
              <w:top w:val="nil"/>
              <w:left w:val="nil"/>
              <w:bottom w:val="single" w:sz="4" w:space="0" w:color="auto"/>
              <w:right w:val="single" w:sz="4" w:space="0" w:color="auto"/>
            </w:tcBorders>
            <w:shd w:val="clear" w:color="auto" w:fill="auto"/>
            <w:vAlign w:val="center"/>
            <w:hideMark/>
          </w:tcPr>
          <w:p w14:paraId="75A7087E"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2.1</w:t>
            </w:r>
          </w:p>
        </w:tc>
        <w:tc>
          <w:tcPr>
            <w:tcW w:w="2693" w:type="dxa"/>
            <w:tcBorders>
              <w:top w:val="nil"/>
              <w:left w:val="nil"/>
              <w:bottom w:val="single" w:sz="4" w:space="0" w:color="auto"/>
              <w:right w:val="single" w:sz="4" w:space="0" w:color="auto"/>
            </w:tcBorders>
            <w:shd w:val="clear" w:color="auto" w:fill="auto"/>
            <w:vAlign w:val="center"/>
            <w:hideMark/>
          </w:tcPr>
          <w:p w14:paraId="23FDC4A9" w14:textId="77777777" w:rsidR="000B7A67" w:rsidRPr="004A0D30" w:rsidRDefault="000B7A67" w:rsidP="001C41F2">
            <w:pPr>
              <w:spacing w:after="0" w:line="240" w:lineRule="auto"/>
              <w:jc w:val="both"/>
              <w:rPr>
                <w:rFonts w:ascii="Book Antiqua" w:eastAsia="Times New Roman" w:hAnsi="Book Antiqua" w:cs="Calibri"/>
                <w:sz w:val="18"/>
                <w:szCs w:val="18"/>
                <w:lang w:eastAsia="es-CR"/>
              </w:rPr>
            </w:pPr>
            <w:r w:rsidRPr="004A0D30">
              <w:rPr>
                <w:rFonts w:ascii="Book Antiqua" w:eastAsia="Times New Roman" w:hAnsi="Book Antiqua" w:cs="Calibri"/>
                <w:sz w:val="18"/>
                <w:szCs w:val="18"/>
                <w:lang w:eastAsia="es-CR"/>
              </w:rPr>
              <w:t>Pendiente de elaborar el III informe de seguimiento.</w:t>
            </w:r>
          </w:p>
        </w:tc>
      </w:tr>
      <w:tr w:rsidR="007E6FC1" w:rsidRPr="004A0D30" w14:paraId="44B4E2D7" w14:textId="77777777" w:rsidTr="001C41F2">
        <w:trPr>
          <w:trHeight w:val="810"/>
        </w:trPr>
        <w:tc>
          <w:tcPr>
            <w:tcW w:w="1470" w:type="dxa"/>
            <w:vMerge/>
            <w:tcBorders>
              <w:top w:val="nil"/>
              <w:left w:val="single" w:sz="4" w:space="0" w:color="auto"/>
              <w:bottom w:val="single" w:sz="4" w:space="0" w:color="000000"/>
              <w:right w:val="single" w:sz="4" w:space="0" w:color="auto"/>
            </w:tcBorders>
            <w:vAlign w:val="center"/>
            <w:hideMark/>
          </w:tcPr>
          <w:p w14:paraId="77A9AE17" w14:textId="77777777" w:rsidR="000B7A67" w:rsidRPr="004A0D30" w:rsidRDefault="000B7A67" w:rsidP="00F400D6">
            <w:pPr>
              <w:spacing w:after="0" w:line="240" w:lineRule="auto"/>
              <w:rPr>
                <w:rFonts w:ascii="Book Antiqua" w:eastAsia="Times New Roman" w:hAnsi="Book Antiqua" w:cs="Calibri"/>
                <w:color w:val="000000"/>
                <w:sz w:val="18"/>
                <w:szCs w:val="18"/>
                <w:lang w:eastAsia="es-CR"/>
              </w:rPr>
            </w:pPr>
          </w:p>
        </w:tc>
        <w:tc>
          <w:tcPr>
            <w:tcW w:w="1665" w:type="dxa"/>
            <w:vMerge/>
            <w:tcBorders>
              <w:top w:val="nil"/>
              <w:left w:val="single" w:sz="4" w:space="0" w:color="auto"/>
              <w:bottom w:val="single" w:sz="4" w:space="0" w:color="000000"/>
              <w:right w:val="single" w:sz="4" w:space="0" w:color="auto"/>
            </w:tcBorders>
            <w:vAlign w:val="center"/>
            <w:hideMark/>
          </w:tcPr>
          <w:p w14:paraId="4388A569" w14:textId="77777777" w:rsidR="000B7A67" w:rsidRPr="004A0D30" w:rsidRDefault="000B7A67" w:rsidP="00F400D6">
            <w:pPr>
              <w:spacing w:after="0" w:line="240" w:lineRule="auto"/>
              <w:rPr>
                <w:rFonts w:ascii="Book Antiqua" w:eastAsia="Times New Roman" w:hAnsi="Book Antiqua" w:cs="Calibri"/>
                <w:color w:val="000000"/>
                <w:sz w:val="18"/>
                <w:szCs w:val="18"/>
                <w:lang w:eastAsia="es-CR"/>
              </w:rPr>
            </w:pPr>
          </w:p>
        </w:tc>
        <w:tc>
          <w:tcPr>
            <w:tcW w:w="1260" w:type="dxa"/>
            <w:tcBorders>
              <w:top w:val="nil"/>
              <w:left w:val="nil"/>
              <w:bottom w:val="single" w:sz="4" w:space="0" w:color="auto"/>
              <w:right w:val="single" w:sz="4" w:space="0" w:color="auto"/>
            </w:tcBorders>
            <w:shd w:val="clear" w:color="auto" w:fill="auto"/>
            <w:vAlign w:val="center"/>
            <w:hideMark/>
          </w:tcPr>
          <w:p w14:paraId="6C3E8D20"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0032-DP-P04</w:t>
            </w:r>
          </w:p>
        </w:tc>
        <w:tc>
          <w:tcPr>
            <w:tcW w:w="2268" w:type="dxa"/>
            <w:tcBorders>
              <w:top w:val="nil"/>
              <w:left w:val="nil"/>
              <w:bottom w:val="single" w:sz="4" w:space="0" w:color="auto"/>
              <w:right w:val="single" w:sz="4" w:space="0" w:color="auto"/>
            </w:tcBorders>
            <w:shd w:val="clear" w:color="auto" w:fill="auto"/>
            <w:vAlign w:val="center"/>
            <w:hideMark/>
          </w:tcPr>
          <w:p w14:paraId="36B8F89D" w14:textId="77777777" w:rsidR="000B7A67" w:rsidRPr="004A0D30" w:rsidRDefault="000B7A67" w:rsidP="00F400D6">
            <w:pPr>
              <w:spacing w:after="0" w:line="240" w:lineRule="auto"/>
              <w:jc w:val="center"/>
              <w:rPr>
                <w:rFonts w:ascii="Book Antiqua" w:eastAsia="Times New Roman" w:hAnsi="Book Antiqua" w:cs="Calibri"/>
                <w:sz w:val="18"/>
                <w:szCs w:val="18"/>
                <w:lang w:eastAsia="es-CR"/>
              </w:rPr>
            </w:pPr>
            <w:r w:rsidRPr="004A0D30">
              <w:rPr>
                <w:rFonts w:ascii="Book Antiqua" w:eastAsia="Times New Roman" w:hAnsi="Book Antiqua" w:cs="Calibri"/>
                <w:sz w:val="18"/>
                <w:szCs w:val="18"/>
                <w:lang w:eastAsia="es-CR"/>
              </w:rPr>
              <w:t>Actualización de los estados procesales</w:t>
            </w:r>
          </w:p>
        </w:tc>
        <w:tc>
          <w:tcPr>
            <w:tcW w:w="992" w:type="dxa"/>
            <w:tcBorders>
              <w:top w:val="nil"/>
              <w:left w:val="nil"/>
              <w:bottom w:val="single" w:sz="4" w:space="0" w:color="auto"/>
              <w:right w:val="single" w:sz="4" w:space="0" w:color="auto"/>
            </w:tcBorders>
            <w:shd w:val="clear" w:color="auto" w:fill="auto"/>
            <w:vAlign w:val="center"/>
            <w:hideMark/>
          </w:tcPr>
          <w:p w14:paraId="71267FC4" w14:textId="77777777" w:rsidR="000B7A67" w:rsidRPr="004A0D30" w:rsidRDefault="000B7A67" w:rsidP="00F400D6">
            <w:pPr>
              <w:spacing w:after="0" w:line="240" w:lineRule="auto"/>
              <w:jc w:val="center"/>
              <w:rPr>
                <w:rFonts w:ascii="Book Antiqua" w:eastAsia="Times New Roman" w:hAnsi="Book Antiqua" w:cs="Calibri"/>
                <w:sz w:val="18"/>
                <w:szCs w:val="18"/>
                <w:lang w:eastAsia="es-CR"/>
              </w:rPr>
            </w:pPr>
            <w:r w:rsidRPr="004A0D30">
              <w:rPr>
                <w:rFonts w:ascii="Book Antiqua" w:eastAsia="Times New Roman" w:hAnsi="Book Antiqua" w:cs="Calibri"/>
                <w:sz w:val="18"/>
                <w:szCs w:val="18"/>
                <w:lang w:eastAsia="es-CR"/>
              </w:rPr>
              <w:t>1.12</w:t>
            </w:r>
          </w:p>
        </w:tc>
        <w:tc>
          <w:tcPr>
            <w:tcW w:w="2693" w:type="dxa"/>
            <w:tcBorders>
              <w:top w:val="nil"/>
              <w:left w:val="nil"/>
              <w:bottom w:val="single" w:sz="4" w:space="0" w:color="auto"/>
              <w:right w:val="single" w:sz="4" w:space="0" w:color="auto"/>
            </w:tcBorders>
            <w:shd w:val="clear" w:color="auto" w:fill="auto"/>
            <w:vAlign w:val="center"/>
            <w:hideMark/>
          </w:tcPr>
          <w:p w14:paraId="6D006F25" w14:textId="77777777" w:rsidR="000B7A67" w:rsidRPr="004A0D30" w:rsidRDefault="000B7A67" w:rsidP="001C41F2">
            <w:pPr>
              <w:spacing w:after="0" w:line="240" w:lineRule="auto"/>
              <w:jc w:val="both"/>
              <w:rPr>
                <w:rFonts w:ascii="Book Antiqua" w:eastAsia="Times New Roman" w:hAnsi="Book Antiqua" w:cs="Calibri"/>
                <w:sz w:val="18"/>
                <w:szCs w:val="18"/>
                <w:lang w:eastAsia="es-CR"/>
              </w:rPr>
            </w:pPr>
            <w:r w:rsidRPr="004A0D30">
              <w:rPr>
                <w:rFonts w:ascii="Book Antiqua" w:eastAsia="Times New Roman" w:hAnsi="Book Antiqua" w:cs="Calibri"/>
                <w:sz w:val="18"/>
                <w:szCs w:val="18"/>
                <w:lang w:eastAsia="es-CR"/>
              </w:rPr>
              <w:t>Pendiente realizar solicitud de cambio para justificar modificación en fecha de fin según cronograma</w:t>
            </w:r>
          </w:p>
        </w:tc>
      </w:tr>
      <w:tr w:rsidR="007E6FC1" w:rsidRPr="004A0D30" w14:paraId="737DEFC9" w14:textId="77777777" w:rsidTr="001C41F2">
        <w:trPr>
          <w:trHeight w:val="255"/>
        </w:trPr>
        <w:tc>
          <w:tcPr>
            <w:tcW w:w="1470" w:type="dxa"/>
            <w:vMerge/>
            <w:tcBorders>
              <w:top w:val="nil"/>
              <w:left w:val="single" w:sz="4" w:space="0" w:color="auto"/>
              <w:bottom w:val="single" w:sz="4" w:space="0" w:color="000000"/>
              <w:right w:val="single" w:sz="4" w:space="0" w:color="auto"/>
            </w:tcBorders>
            <w:vAlign w:val="center"/>
            <w:hideMark/>
          </w:tcPr>
          <w:p w14:paraId="6A6F2A72" w14:textId="77777777" w:rsidR="000B7A67" w:rsidRPr="004A0D30" w:rsidRDefault="000B7A67" w:rsidP="00F400D6">
            <w:pPr>
              <w:spacing w:after="0" w:line="240" w:lineRule="auto"/>
              <w:rPr>
                <w:rFonts w:ascii="Book Antiqua" w:eastAsia="Times New Roman" w:hAnsi="Book Antiqua" w:cs="Calibri"/>
                <w:color w:val="000000"/>
                <w:sz w:val="18"/>
                <w:szCs w:val="18"/>
                <w:lang w:eastAsia="es-CR"/>
              </w:rPr>
            </w:pPr>
          </w:p>
        </w:tc>
        <w:tc>
          <w:tcPr>
            <w:tcW w:w="1665" w:type="dxa"/>
            <w:vMerge/>
            <w:tcBorders>
              <w:top w:val="nil"/>
              <w:left w:val="single" w:sz="4" w:space="0" w:color="auto"/>
              <w:bottom w:val="single" w:sz="4" w:space="0" w:color="000000"/>
              <w:right w:val="single" w:sz="4" w:space="0" w:color="auto"/>
            </w:tcBorders>
            <w:vAlign w:val="center"/>
            <w:hideMark/>
          </w:tcPr>
          <w:p w14:paraId="45BC372C" w14:textId="77777777" w:rsidR="000B7A67" w:rsidRPr="004A0D30" w:rsidRDefault="000B7A67" w:rsidP="00F400D6">
            <w:pPr>
              <w:spacing w:after="0" w:line="240" w:lineRule="auto"/>
              <w:rPr>
                <w:rFonts w:ascii="Book Antiqua" w:eastAsia="Times New Roman" w:hAnsi="Book Antiqua" w:cs="Calibri"/>
                <w:color w:val="000000"/>
                <w:sz w:val="18"/>
                <w:szCs w:val="18"/>
                <w:lang w:eastAsia="es-CR"/>
              </w:rPr>
            </w:pPr>
          </w:p>
        </w:tc>
        <w:tc>
          <w:tcPr>
            <w:tcW w:w="1260" w:type="dxa"/>
            <w:tcBorders>
              <w:top w:val="nil"/>
              <w:left w:val="nil"/>
              <w:bottom w:val="single" w:sz="4" w:space="0" w:color="auto"/>
              <w:right w:val="single" w:sz="4" w:space="0" w:color="auto"/>
            </w:tcBorders>
            <w:shd w:val="clear" w:color="auto" w:fill="auto"/>
            <w:vAlign w:val="center"/>
            <w:hideMark/>
          </w:tcPr>
          <w:p w14:paraId="609D7211"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0032-DP-P05</w:t>
            </w:r>
          </w:p>
        </w:tc>
        <w:tc>
          <w:tcPr>
            <w:tcW w:w="2268" w:type="dxa"/>
            <w:tcBorders>
              <w:top w:val="nil"/>
              <w:left w:val="nil"/>
              <w:bottom w:val="single" w:sz="4" w:space="0" w:color="auto"/>
              <w:right w:val="single" w:sz="4" w:space="0" w:color="auto"/>
            </w:tcBorders>
            <w:shd w:val="clear" w:color="auto" w:fill="auto"/>
            <w:vAlign w:val="center"/>
            <w:hideMark/>
          </w:tcPr>
          <w:p w14:paraId="132DE346"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Implantación del Sistema de Seguimiento de Casos</w:t>
            </w:r>
          </w:p>
        </w:tc>
        <w:tc>
          <w:tcPr>
            <w:tcW w:w="992" w:type="dxa"/>
            <w:tcBorders>
              <w:top w:val="nil"/>
              <w:left w:val="nil"/>
              <w:bottom w:val="single" w:sz="4" w:space="0" w:color="auto"/>
              <w:right w:val="single" w:sz="4" w:space="0" w:color="auto"/>
            </w:tcBorders>
            <w:shd w:val="clear" w:color="auto" w:fill="auto"/>
            <w:vAlign w:val="center"/>
            <w:hideMark/>
          </w:tcPr>
          <w:p w14:paraId="6274B9E3"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2.4</w:t>
            </w:r>
          </w:p>
        </w:tc>
        <w:tc>
          <w:tcPr>
            <w:tcW w:w="2693" w:type="dxa"/>
            <w:tcBorders>
              <w:top w:val="nil"/>
              <w:left w:val="nil"/>
              <w:bottom w:val="single" w:sz="4" w:space="0" w:color="auto"/>
              <w:right w:val="single" w:sz="4" w:space="0" w:color="auto"/>
            </w:tcBorders>
            <w:shd w:val="clear" w:color="auto" w:fill="auto"/>
            <w:vAlign w:val="center"/>
            <w:hideMark/>
          </w:tcPr>
          <w:p w14:paraId="330C21EA" w14:textId="77777777" w:rsidR="000B7A67" w:rsidRPr="004A0D30" w:rsidRDefault="000B7A67" w:rsidP="001C41F2">
            <w:pPr>
              <w:spacing w:after="0" w:line="240" w:lineRule="auto"/>
              <w:jc w:val="both"/>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Pendiente aprobación del informe de cierre por parte del patrocinador</w:t>
            </w:r>
          </w:p>
        </w:tc>
      </w:tr>
      <w:tr w:rsidR="007E6FC1" w:rsidRPr="004A0D30" w14:paraId="6FCDC30E" w14:textId="77777777" w:rsidTr="001C41F2">
        <w:trPr>
          <w:trHeight w:val="900"/>
        </w:trPr>
        <w:tc>
          <w:tcPr>
            <w:tcW w:w="1470" w:type="dxa"/>
            <w:vMerge/>
            <w:tcBorders>
              <w:top w:val="nil"/>
              <w:left w:val="single" w:sz="4" w:space="0" w:color="auto"/>
              <w:bottom w:val="single" w:sz="4" w:space="0" w:color="000000"/>
              <w:right w:val="single" w:sz="4" w:space="0" w:color="auto"/>
            </w:tcBorders>
            <w:vAlign w:val="center"/>
            <w:hideMark/>
          </w:tcPr>
          <w:p w14:paraId="4164F3CC" w14:textId="77777777" w:rsidR="000B7A67" w:rsidRPr="004A0D30" w:rsidRDefault="000B7A67" w:rsidP="00F400D6">
            <w:pPr>
              <w:spacing w:after="0" w:line="240" w:lineRule="auto"/>
              <w:rPr>
                <w:rFonts w:ascii="Book Antiqua" w:eastAsia="Times New Roman" w:hAnsi="Book Antiqua" w:cs="Calibri"/>
                <w:color w:val="000000"/>
                <w:sz w:val="18"/>
                <w:szCs w:val="18"/>
                <w:lang w:eastAsia="es-CR"/>
              </w:rPr>
            </w:pPr>
          </w:p>
        </w:tc>
        <w:tc>
          <w:tcPr>
            <w:tcW w:w="1665" w:type="dxa"/>
            <w:tcBorders>
              <w:top w:val="nil"/>
              <w:left w:val="nil"/>
              <w:bottom w:val="single" w:sz="4" w:space="0" w:color="auto"/>
              <w:right w:val="single" w:sz="4" w:space="0" w:color="auto"/>
            </w:tcBorders>
            <w:shd w:val="clear" w:color="auto" w:fill="auto"/>
            <w:vAlign w:val="center"/>
            <w:hideMark/>
          </w:tcPr>
          <w:p w14:paraId="58E9A3A9" w14:textId="30267C1A"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 xml:space="preserve">0709 </w:t>
            </w:r>
            <w:r w:rsidR="000B21DF">
              <w:rPr>
                <w:rFonts w:ascii="Book Antiqua" w:eastAsia="Times New Roman" w:hAnsi="Book Antiqua" w:cs="Calibri"/>
                <w:color w:val="000000"/>
                <w:sz w:val="18"/>
                <w:szCs w:val="18"/>
                <w:lang w:eastAsia="es-CR"/>
              </w:rPr>
              <w:t>A</w:t>
            </w:r>
            <w:r w:rsidR="000B21DF" w:rsidRPr="004A0D30">
              <w:rPr>
                <w:rFonts w:ascii="Book Antiqua" w:eastAsia="Times New Roman" w:hAnsi="Book Antiqua" w:cs="Calibri"/>
                <w:color w:val="000000"/>
                <w:sz w:val="18"/>
                <w:szCs w:val="18"/>
                <w:lang w:eastAsia="es-CR"/>
              </w:rPr>
              <w:t xml:space="preserve">dministracion de la </w:t>
            </w:r>
            <w:r w:rsidR="000B21DF">
              <w:rPr>
                <w:rFonts w:ascii="Book Antiqua" w:eastAsia="Times New Roman" w:hAnsi="Book Antiqua" w:cs="Calibri"/>
                <w:color w:val="000000"/>
                <w:sz w:val="18"/>
                <w:szCs w:val="18"/>
                <w:lang w:eastAsia="es-CR"/>
              </w:rPr>
              <w:t>D</w:t>
            </w:r>
            <w:r w:rsidR="000B21DF" w:rsidRPr="004A0D30">
              <w:rPr>
                <w:rFonts w:ascii="Book Antiqua" w:eastAsia="Times New Roman" w:hAnsi="Book Antiqua" w:cs="Calibri"/>
                <w:color w:val="000000"/>
                <w:sz w:val="18"/>
                <w:szCs w:val="18"/>
                <w:lang w:eastAsia="es-CR"/>
              </w:rPr>
              <w:t xml:space="preserve">efensa </w:t>
            </w:r>
            <w:r w:rsidR="000B21DF">
              <w:rPr>
                <w:rFonts w:ascii="Book Antiqua" w:eastAsia="Times New Roman" w:hAnsi="Book Antiqua" w:cs="Calibri"/>
                <w:color w:val="000000"/>
                <w:sz w:val="18"/>
                <w:szCs w:val="18"/>
                <w:lang w:eastAsia="es-CR"/>
              </w:rPr>
              <w:t>Pú</w:t>
            </w:r>
            <w:r w:rsidR="000B21DF" w:rsidRPr="004A0D30">
              <w:rPr>
                <w:rFonts w:ascii="Book Antiqua" w:eastAsia="Times New Roman" w:hAnsi="Book Antiqua" w:cs="Calibri"/>
                <w:color w:val="000000"/>
                <w:sz w:val="18"/>
                <w:szCs w:val="18"/>
                <w:lang w:eastAsia="es-CR"/>
              </w:rPr>
              <w:t>blica</w:t>
            </w:r>
          </w:p>
        </w:tc>
        <w:tc>
          <w:tcPr>
            <w:tcW w:w="1260" w:type="dxa"/>
            <w:tcBorders>
              <w:top w:val="nil"/>
              <w:left w:val="nil"/>
              <w:bottom w:val="single" w:sz="4" w:space="0" w:color="auto"/>
              <w:right w:val="single" w:sz="4" w:space="0" w:color="auto"/>
            </w:tcBorders>
            <w:shd w:val="clear" w:color="auto" w:fill="auto"/>
            <w:vAlign w:val="center"/>
            <w:hideMark/>
          </w:tcPr>
          <w:p w14:paraId="16388056"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0032-DP-P08</w:t>
            </w:r>
          </w:p>
        </w:tc>
        <w:tc>
          <w:tcPr>
            <w:tcW w:w="2268" w:type="dxa"/>
            <w:tcBorders>
              <w:top w:val="nil"/>
              <w:left w:val="nil"/>
              <w:bottom w:val="single" w:sz="4" w:space="0" w:color="auto"/>
              <w:right w:val="single" w:sz="4" w:space="0" w:color="auto"/>
            </w:tcBorders>
            <w:shd w:val="clear" w:color="auto" w:fill="auto"/>
            <w:vAlign w:val="center"/>
            <w:hideMark/>
          </w:tcPr>
          <w:p w14:paraId="10A012FA"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Estudio Administración Defensa Pública</w:t>
            </w:r>
          </w:p>
        </w:tc>
        <w:tc>
          <w:tcPr>
            <w:tcW w:w="992" w:type="dxa"/>
            <w:tcBorders>
              <w:top w:val="nil"/>
              <w:left w:val="nil"/>
              <w:bottom w:val="single" w:sz="4" w:space="0" w:color="auto"/>
              <w:right w:val="single" w:sz="4" w:space="0" w:color="auto"/>
            </w:tcBorders>
            <w:shd w:val="clear" w:color="auto" w:fill="auto"/>
            <w:vAlign w:val="center"/>
            <w:hideMark/>
          </w:tcPr>
          <w:p w14:paraId="6804A8FB" w14:textId="77777777" w:rsidR="000B7A67" w:rsidRPr="004A0D30" w:rsidRDefault="000B7A67" w:rsidP="00F400D6">
            <w:pPr>
              <w:spacing w:after="0" w:line="240" w:lineRule="auto"/>
              <w:jc w:val="center"/>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2.1</w:t>
            </w:r>
          </w:p>
        </w:tc>
        <w:tc>
          <w:tcPr>
            <w:tcW w:w="2693" w:type="dxa"/>
            <w:tcBorders>
              <w:top w:val="nil"/>
              <w:left w:val="nil"/>
              <w:bottom w:val="single" w:sz="4" w:space="0" w:color="auto"/>
              <w:right w:val="single" w:sz="4" w:space="0" w:color="auto"/>
            </w:tcBorders>
            <w:shd w:val="clear" w:color="auto" w:fill="auto"/>
            <w:vAlign w:val="center"/>
            <w:hideMark/>
          </w:tcPr>
          <w:p w14:paraId="15D38CD0" w14:textId="77777777" w:rsidR="000B7A67" w:rsidRPr="004A0D30" w:rsidRDefault="000B7A67" w:rsidP="001C41F2">
            <w:pPr>
              <w:spacing w:after="0" w:line="240" w:lineRule="auto"/>
              <w:jc w:val="both"/>
              <w:rPr>
                <w:rFonts w:ascii="Book Antiqua" w:eastAsia="Times New Roman" w:hAnsi="Book Antiqua" w:cs="Calibri"/>
                <w:color w:val="000000"/>
                <w:sz w:val="18"/>
                <w:szCs w:val="18"/>
                <w:lang w:eastAsia="es-CR"/>
              </w:rPr>
            </w:pPr>
            <w:r w:rsidRPr="004A0D30">
              <w:rPr>
                <w:rFonts w:ascii="Book Antiqua" w:eastAsia="Times New Roman" w:hAnsi="Book Antiqua" w:cs="Calibri"/>
                <w:color w:val="000000"/>
                <w:sz w:val="18"/>
                <w:szCs w:val="18"/>
                <w:lang w:eastAsia="es-CR"/>
              </w:rPr>
              <w:t>El informe de avance presentaba incorrecto el porcentaje esperado.</w:t>
            </w:r>
          </w:p>
        </w:tc>
      </w:tr>
    </w:tbl>
    <w:p w14:paraId="43C0D278" w14:textId="28A31F28" w:rsidR="000B7A67" w:rsidRDefault="000B7A67" w:rsidP="00EC614D">
      <w:pPr>
        <w:autoSpaceDE w:val="0"/>
        <w:autoSpaceDN w:val="0"/>
        <w:adjustRightInd w:val="0"/>
        <w:spacing w:after="0" w:line="240" w:lineRule="auto"/>
        <w:ind w:left="709" w:right="-660"/>
        <w:jc w:val="right"/>
        <w:rPr>
          <w:rFonts w:ascii="Book Antiqua" w:eastAsia="Wingdings" w:hAnsi="Book Antiqua"/>
          <w:i/>
          <w:sz w:val="24"/>
          <w:szCs w:val="24"/>
          <w:lang w:eastAsia="ko-KR"/>
        </w:rPr>
      </w:pPr>
      <w:r>
        <w:rPr>
          <w:rFonts w:ascii="Book Antiqua" w:eastAsia="Wingdings" w:hAnsi="Book Antiqua"/>
          <w:i/>
          <w:sz w:val="24"/>
          <w:szCs w:val="24"/>
          <w:lang w:eastAsia="ko-KR"/>
        </w:rPr>
        <w:t>”</w:t>
      </w:r>
      <w:r w:rsidR="00EC614D">
        <w:rPr>
          <w:rFonts w:ascii="Book Antiqua" w:eastAsia="Wingdings" w:hAnsi="Book Antiqua"/>
          <w:i/>
          <w:sz w:val="24"/>
          <w:szCs w:val="24"/>
          <w:lang w:eastAsia="ko-KR"/>
        </w:rPr>
        <w:t>.</w:t>
      </w:r>
    </w:p>
    <w:p w14:paraId="57570C1A" w14:textId="77777777" w:rsidR="000B7A67" w:rsidRDefault="000B7A67" w:rsidP="000B7A67">
      <w:pPr>
        <w:autoSpaceDE w:val="0"/>
        <w:autoSpaceDN w:val="0"/>
        <w:adjustRightInd w:val="0"/>
        <w:spacing w:after="0" w:line="240" w:lineRule="auto"/>
        <w:ind w:left="709" w:right="616"/>
        <w:jc w:val="both"/>
        <w:rPr>
          <w:rFonts w:ascii="Book Antiqua" w:hAnsi="Book Antiqua"/>
        </w:rPr>
      </w:pPr>
    </w:p>
    <w:p w14:paraId="4178185D" w14:textId="77777777" w:rsidR="000B7A67" w:rsidRDefault="000B7A67" w:rsidP="000B7A67">
      <w:pPr>
        <w:pStyle w:val="Default"/>
        <w:ind w:right="49"/>
        <w:jc w:val="both"/>
        <w:rPr>
          <w:rFonts w:ascii="Book Antiqua" w:hAnsi="Book Antiqua"/>
        </w:rPr>
      </w:pPr>
      <w:r w:rsidRPr="00A562C7">
        <w:rPr>
          <w:rFonts w:ascii="Book Antiqua" w:hAnsi="Book Antiqua"/>
        </w:rPr>
        <w:t>Como parte del seguimiento, se procedió</w:t>
      </w:r>
      <w:r>
        <w:rPr>
          <w:rFonts w:ascii="Book Antiqua" w:hAnsi="Book Antiqua"/>
        </w:rPr>
        <w:t xml:space="preserve"> a remitir un recordatorio a la oficina mediante el oficio 1788</w:t>
      </w:r>
      <w:r w:rsidRPr="005A322C">
        <w:rPr>
          <w:rFonts w:ascii="Book Antiqua" w:hAnsi="Book Antiqua"/>
        </w:rPr>
        <w:t>-PLA-PP-TR-2023</w:t>
      </w:r>
      <w:r>
        <w:rPr>
          <w:rFonts w:ascii="Book Antiqua" w:hAnsi="Book Antiqua"/>
        </w:rPr>
        <w:t>, la misma respondió indicando que se había procedido con los documentos solicitados.</w:t>
      </w:r>
    </w:p>
    <w:p w14:paraId="374B763C" w14:textId="77777777" w:rsidR="000B7A67" w:rsidRDefault="000B7A67" w:rsidP="000B7A67">
      <w:pPr>
        <w:pStyle w:val="Default"/>
        <w:ind w:right="49"/>
        <w:jc w:val="both"/>
        <w:rPr>
          <w:rFonts w:ascii="Book Antiqua" w:hAnsi="Book Antiqua"/>
        </w:rPr>
      </w:pPr>
    </w:p>
    <w:p w14:paraId="6503BC74" w14:textId="3F57179B" w:rsidR="000B7A67" w:rsidRPr="00257371" w:rsidRDefault="000B7A67" w:rsidP="000B7A67">
      <w:pPr>
        <w:spacing w:after="0"/>
        <w:jc w:val="both"/>
        <w:rPr>
          <w:rFonts w:ascii="Book Antiqua" w:hAnsi="Book Antiqua"/>
          <w:sz w:val="24"/>
          <w:szCs w:val="24"/>
        </w:rPr>
      </w:pPr>
      <w:r w:rsidRPr="004C0359">
        <w:rPr>
          <w:rFonts w:ascii="Book Antiqua" w:hAnsi="Book Antiqua"/>
          <w:sz w:val="24"/>
          <w:szCs w:val="24"/>
        </w:rPr>
        <w:t xml:space="preserve">Posteriormente se procedió a revisar en los centros de proyectos para validar el cumplimiento de estas </w:t>
      </w:r>
      <w:r w:rsidRPr="00A15711">
        <w:rPr>
          <w:rFonts w:ascii="Book Antiqua" w:hAnsi="Book Antiqua"/>
          <w:sz w:val="24"/>
          <w:szCs w:val="24"/>
        </w:rPr>
        <w:t>recomendaciones (</w:t>
      </w:r>
      <w:hyperlink r:id="rId17" w:history="1">
        <w:r w:rsidRPr="00A15711">
          <w:rPr>
            <w:rStyle w:val="Hipervnculo"/>
            <w:rFonts w:ascii="Book Antiqua" w:hAnsi="Book Antiqua"/>
            <w:sz w:val="24"/>
            <w:szCs w:val="24"/>
          </w:rPr>
          <w:t>Ver enlace: Defensa Pública</w:t>
        </w:r>
      </w:hyperlink>
      <w:r w:rsidRPr="00A15711">
        <w:rPr>
          <w:rFonts w:ascii="Book Antiqua" w:hAnsi="Book Antiqua"/>
          <w:sz w:val="24"/>
          <w:szCs w:val="24"/>
        </w:rPr>
        <w:t>);</w:t>
      </w:r>
      <w:r w:rsidRPr="004C0359">
        <w:rPr>
          <w:rFonts w:ascii="Book Antiqua" w:hAnsi="Book Antiqua"/>
          <w:sz w:val="24"/>
          <w:szCs w:val="24"/>
        </w:rPr>
        <w:t xml:space="preserve"> </w:t>
      </w:r>
      <w:r>
        <w:rPr>
          <w:rFonts w:ascii="Book Antiqua" w:hAnsi="Book Antiqua"/>
          <w:sz w:val="24"/>
          <w:szCs w:val="24"/>
        </w:rPr>
        <w:t>constatando el cumplimiento de l</w:t>
      </w:r>
      <w:r w:rsidR="00F505C8">
        <w:rPr>
          <w:rFonts w:ascii="Book Antiqua" w:hAnsi="Book Antiqua"/>
          <w:sz w:val="24"/>
          <w:szCs w:val="24"/>
        </w:rPr>
        <w:t>as recomendaciones</w:t>
      </w:r>
      <w:r>
        <w:rPr>
          <w:rFonts w:ascii="Book Antiqua" w:hAnsi="Book Antiqua"/>
          <w:sz w:val="24"/>
          <w:szCs w:val="24"/>
        </w:rPr>
        <w:t>.</w:t>
      </w:r>
    </w:p>
    <w:p w14:paraId="5B61941E" w14:textId="77777777" w:rsidR="000B7A67" w:rsidRDefault="000B7A67" w:rsidP="000B7A67">
      <w:pPr>
        <w:pStyle w:val="Default"/>
        <w:ind w:right="49"/>
        <w:jc w:val="both"/>
        <w:rPr>
          <w:rFonts w:ascii="Book Antiqua" w:hAnsi="Book Antiqua"/>
        </w:rPr>
      </w:pPr>
    </w:p>
    <w:p w14:paraId="497C24E8" w14:textId="77777777" w:rsidR="000B7A67" w:rsidRDefault="000B7A67" w:rsidP="000B7A67">
      <w:pPr>
        <w:pStyle w:val="Ttulo2"/>
        <w:numPr>
          <w:ilvl w:val="0"/>
          <w:numId w:val="3"/>
        </w:numPr>
        <w:tabs>
          <w:tab w:val="left" w:pos="851"/>
        </w:tabs>
        <w:jc w:val="both"/>
        <w:rPr>
          <w:rFonts w:ascii="Book Antiqua" w:eastAsia="Wingdings" w:hAnsi="Book Antiqua"/>
          <w:b/>
          <w:bCs/>
          <w:color w:val="auto"/>
          <w:lang w:eastAsia="ko-KR"/>
        </w:rPr>
      </w:pPr>
      <w:bookmarkStart w:id="20" w:name="_Toc131160530"/>
      <w:bookmarkStart w:id="21" w:name="_Toc138770827"/>
      <w:r w:rsidRPr="00845E8E">
        <w:rPr>
          <w:rFonts w:ascii="Book Antiqua" w:eastAsia="Wingdings" w:hAnsi="Book Antiqua"/>
          <w:b/>
          <w:bCs/>
          <w:color w:val="auto"/>
          <w:lang w:eastAsia="ko-KR"/>
        </w:rPr>
        <w:t>Recomendaciones dirigidas a</w:t>
      </w:r>
      <w:r>
        <w:rPr>
          <w:rFonts w:ascii="Book Antiqua" w:eastAsia="Wingdings" w:hAnsi="Book Antiqua"/>
          <w:b/>
          <w:bCs/>
          <w:color w:val="auto"/>
          <w:lang w:eastAsia="ko-KR"/>
        </w:rPr>
        <w:t>l</w:t>
      </w:r>
      <w:r w:rsidRPr="00845E8E">
        <w:rPr>
          <w:rFonts w:ascii="Book Antiqua" w:eastAsia="Wingdings" w:hAnsi="Book Antiqua"/>
          <w:b/>
          <w:bCs/>
          <w:color w:val="auto"/>
          <w:lang w:eastAsia="ko-KR"/>
        </w:rPr>
        <w:t xml:space="preserve"> </w:t>
      </w:r>
      <w:r w:rsidRPr="00330E06">
        <w:rPr>
          <w:rFonts w:ascii="Book Antiqua" w:eastAsia="Wingdings" w:hAnsi="Book Antiqua"/>
          <w:b/>
          <w:bCs/>
          <w:color w:val="auto"/>
          <w:lang w:eastAsia="ko-KR"/>
        </w:rPr>
        <w:t>Departamento de Prensa y Comunicación Organizacional</w:t>
      </w:r>
      <w:r>
        <w:rPr>
          <w:rFonts w:ascii="Book Antiqua" w:eastAsia="Wingdings" w:hAnsi="Book Antiqua"/>
          <w:b/>
          <w:bCs/>
          <w:color w:val="auto"/>
          <w:lang w:eastAsia="ko-KR"/>
        </w:rPr>
        <w:t>.</w:t>
      </w:r>
      <w:bookmarkEnd w:id="20"/>
      <w:bookmarkEnd w:id="21"/>
    </w:p>
    <w:p w14:paraId="3AA0A23C" w14:textId="77777777" w:rsidR="000B7A67" w:rsidRDefault="000B7A67" w:rsidP="000B7A67">
      <w:pPr>
        <w:spacing w:after="0"/>
        <w:jc w:val="both"/>
        <w:rPr>
          <w:rFonts w:ascii="Book Antiqua" w:hAnsi="Book Antiqua"/>
          <w:sz w:val="24"/>
          <w:szCs w:val="24"/>
        </w:rPr>
      </w:pPr>
    </w:p>
    <w:p w14:paraId="3F7CBC5A" w14:textId="77777777" w:rsidR="000B7A67" w:rsidRDefault="000B7A67" w:rsidP="000B7A67">
      <w:pPr>
        <w:spacing w:after="0"/>
        <w:jc w:val="both"/>
        <w:rPr>
          <w:rFonts w:ascii="Book Antiqua" w:hAnsi="Book Antiqua"/>
          <w:sz w:val="24"/>
          <w:szCs w:val="24"/>
        </w:rPr>
      </w:pPr>
      <w:r>
        <w:rPr>
          <w:rFonts w:ascii="Book Antiqua" w:hAnsi="Book Antiqua"/>
          <w:sz w:val="24"/>
          <w:szCs w:val="24"/>
        </w:rPr>
        <w:t xml:space="preserve">En el informe 277-PLA-PP-2022, se dirigió una recomendación al </w:t>
      </w:r>
      <w:r w:rsidRPr="00330E06">
        <w:rPr>
          <w:rFonts w:ascii="Book Antiqua" w:eastAsia="Wingdings" w:hAnsi="Book Antiqua"/>
          <w:b/>
          <w:bCs/>
          <w:lang w:eastAsia="ko-KR"/>
        </w:rPr>
        <w:t>Departamento de Prensa y Comunicación Organizacional</w:t>
      </w:r>
      <w:r>
        <w:rPr>
          <w:rFonts w:ascii="Book Antiqua" w:hAnsi="Book Antiqua"/>
          <w:sz w:val="24"/>
          <w:szCs w:val="24"/>
        </w:rPr>
        <w:t xml:space="preserve">, debido a que existía un proyecto con gestiones pendientes, por lo anterior se realizó la siguiente recomendación: </w:t>
      </w:r>
    </w:p>
    <w:p w14:paraId="2F529965" w14:textId="77777777" w:rsidR="000B7A67" w:rsidRDefault="000B7A67" w:rsidP="000B7A67">
      <w:pPr>
        <w:spacing w:after="0"/>
        <w:jc w:val="both"/>
        <w:rPr>
          <w:rFonts w:ascii="Book Antiqua" w:hAnsi="Book Antiqua"/>
          <w:sz w:val="24"/>
          <w:szCs w:val="24"/>
        </w:rPr>
      </w:pPr>
    </w:p>
    <w:p w14:paraId="0ED38339" w14:textId="77777777" w:rsidR="000B7A67" w:rsidRDefault="000B7A67" w:rsidP="000B7A67">
      <w:pPr>
        <w:pStyle w:val="Prrafodelista"/>
        <w:spacing w:after="0" w:line="240" w:lineRule="auto"/>
        <w:ind w:left="927"/>
        <w:jc w:val="both"/>
        <w:rPr>
          <w:rFonts w:ascii="Book Antiqua" w:hAnsi="Book Antiqua"/>
          <w:i/>
          <w:iCs/>
          <w:sz w:val="24"/>
          <w:szCs w:val="24"/>
        </w:rPr>
      </w:pPr>
      <w:r>
        <w:rPr>
          <w:rFonts w:ascii="Book Antiqua" w:hAnsi="Book Antiqua"/>
          <w:sz w:val="24"/>
          <w:szCs w:val="24"/>
        </w:rPr>
        <w:t>“</w:t>
      </w:r>
      <w:r w:rsidRPr="00074D1F">
        <w:rPr>
          <w:rFonts w:ascii="Book Antiqua" w:hAnsi="Book Antiqua"/>
          <w:b/>
          <w:bCs/>
          <w:sz w:val="24"/>
          <w:szCs w:val="24"/>
        </w:rPr>
        <w:t xml:space="preserve">2.10) </w:t>
      </w:r>
      <w:r w:rsidRPr="00074D1F">
        <w:rPr>
          <w:rFonts w:ascii="Book Antiqua" w:hAnsi="Book Antiqua"/>
          <w:i/>
          <w:iCs/>
          <w:sz w:val="24"/>
          <w:szCs w:val="24"/>
        </w:rPr>
        <w:t>El Centro de Conciliación del Poder Judicial, las Comisiones de la Jurisdicción Agrario y Agroambiental, de Acceso a la Justicia, la Defensa Pública, el Departamento de Prensa y Comunicación Organizacional, el Programa Justicia Restaurativa, así como las Administraciones Regionales del Segundo Circuito Judicial de Alajuela, Tercer Circuito Judicial Alajuela, de la Ciudad Judicial de San Joaquín de Flores, de Puntarenas, del Primer Circuito Judicial Guanacaste y Primer Circuito Judicial de la Zona Sur, deberán a más tardar el 28 de abril del 2023, cargar en el sitio de proyecto la atención de las recomendaciones que se describen en la tabla correspondiente expuesta en el presente informe.</w:t>
      </w:r>
    </w:p>
    <w:p w14:paraId="635DD8C7" w14:textId="77777777" w:rsidR="000B7A67" w:rsidRDefault="000B7A67" w:rsidP="000B7A67">
      <w:pPr>
        <w:pStyle w:val="Prrafodelista"/>
        <w:spacing w:after="0" w:line="240" w:lineRule="auto"/>
        <w:ind w:left="927"/>
        <w:jc w:val="both"/>
        <w:rPr>
          <w:rFonts w:ascii="Book Antiqua" w:hAnsi="Book Antiqua"/>
          <w:i/>
          <w:iCs/>
          <w:sz w:val="24"/>
          <w:szCs w:val="24"/>
        </w:rPr>
      </w:pPr>
    </w:p>
    <w:p w14:paraId="2252378A" w14:textId="77777777" w:rsidR="000B7A67" w:rsidRDefault="000B7A67" w:rsidP="000B7A67">
      <w:pPr>
        <w:pStyle w:val="Prrafodelista"/>
        <w:spacing w:after="0" w:line="240" w:lineRule="auto"/>
        <w:ind w:left="927"/>
        <w:jc w:val="both"/>
        <w:rPr>
          <w:i/>
          <w:iCs/>
        </w:rPr>
      </w:pPr>
    </w:p>
    <w:p w14:paraId="47297C87" w14:textId="77777777" w:rsidR="000B7A67" w:rsidRDefault="000B7A67" w:rsidP="000B7A67">
      <w:pPr>
        <w:pStyle w:val="Prrafodelista"/>
        <w:spacing w:after="0" w:line="240" w:lineRule="auto"/>
        <w:ind w:left="927"/>
        <w:jc w:val="both"/>
        <w:rPr>
          <w:rFonts w:ascii="Book Antiqua" w:hAnsi="Book Antiqua"/>
          <w:i/>
          <w:iCs/>
          <w:sz w:val="24"/>
          <w:szCs w:val="24"/>
        </w:rPr>
      </w:pPr>
    </w:p>
    <w:tbl>
      <w:tblPr>
        <w:tblW w:w="10348" w:type="dxa"/>
        <w:tblInd w:w="-714" w:type="dxa"/>
        <w:tblCellMar>
          <w:left w:w="70" w:type="dxa"/>
          <w:right w:w="70" w:type="dxa"/>
        </w:tblCellMar>
        <w:tblLook w:val="04A0" w:firstRow="1" w:lastRow="0" w:firstColumn="1" w:lastColumn="0" w:noHBand="0" w:noVBand="1"/>
      </w:tblPr>
      <w:tblGrid>
        <w:gridCol w:w="2127"/>
        <w:gridCol w:w="2127"/>
        <w:gridCol w:w="957"/>
        <w:gridCol w:w="1559"/>
        <w:gridCol w:w="1134"/>
        <w:gridCol w:w="2444"/>
      </w:tblGrid>
      <w:tr w:rsidR="00BC00B3" w:rsidRPr="00294FCD" w14:paraId="25FEAB72" w14:textId="77777777" w:rsidTr="00F505C8">
        <w:trPr>
          <w:trHeight w:val="300"/>
        </w:trPr>
        <w:tc>
          <w:tcPr>
            <w:tcW w:w="2127"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1D9B2741" w14:textId="77777777" w:rsidR="000B7A67" w:rsidRPr="00294FCD" w:rsidRDefault="000B7A67" w:rsidP="00F400D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lastRenderedPageBreak/>
              <w:t xml:space="preserve">Centro de responsabilidad </w:t>
            </w:r>
          </w:p>
        </w:tc>
        <w:tc>
          <w:tcPr>
            <w:tcW w:w="2127" w:type="dxa"/>
            <w:tcBorders>
              <w:top w:val="single" w:sz="4" w:space="0" w:color="auto"/>
              <w:left w:val="nil"/>
              <w:bottom w:val="single" w:sz="4" w:space="0" w:color="auto"/>
              <w:right w:val="single" w:sz="4" w:space="0" w:color="auto"/>
            </w:tcBorders>
            <w:shd w:val="clear" w:color="000000" w:fill="44546A"/>
            <w:vAlign w:val="center"/>
            <w:hideMark/>
          </w:tcPr>
          <w:p w14:paraId="643DA4C7" w14:textId="77777777" w:rsidR="000B7A67" w:rsidRPr="00294FCD" w:rsidRDefault="000B7A67" w:rsidP="00F400D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Oficina Líder</w:t>
            </w:r>
          </w:p>
        </w:tc>
        <w:tc>
          <w:tcPr>
            <w:tcW w:w="957" w:type="dxa"/>
            <w:tcBorders>
              <w:top w:val="single" w:sz="4" w:space="0" w:color="auto"/>
              <w:left w:val="nil"/>
              <w:bottom w:val="single" w:sz="4" w:space="0" w:color="auto"/>
              <w:right w:val="single" w:sz="4" w:space="0" w:color="auto"/>
            </w:tcBorders>
            <w:shd w:val="clear" w:color="000000" w:fill="44546A"/>
            <w:vAlign w:val="center"/>
            <w:hideMark/>
          </w:tcPr>
          <w:p w14:paraId="2BE76107" w14:textId="77777777" w:rsidR="000B7A67" w:rsidRPr="00294FCD" w:rsidRDefault="000B7A67" w:rsidP="00F400D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Código</w:t>
            </w:r>
          </w:p>
        </w:tc>
        <w:tc>
          <w:tcPr>
            <w:tcW w:w="1559" w:type="dxa"/>
            <w:tcBorders>
              <w:top w:val="single" w:sz="4" w:space="0" w:color="auto"/>
              <w:left w:val="nil"/>
              <w:bottom w:val="single" w:sz="4" w:space="0" w:color="auto"/>
              <w:right w:val="single" w:sz="4" w:space="0" w:color="auto"/>
            </w:tcBorders>
            <w:shd w:val="clear" w:color="000000" w:fill="44546A"/>
            <w:vAlign w:val="center"/>
            <w:hideMark/>
          </w:tcPr>
          <w:p w14:paraId="6682113F" w14:textId="77777777" w:rsidR="000B7A67" w:rsidRPr="00294FCD" w:rsidRDefault="000B7A67" w:rsidP="00F400D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Nombre</w:t>
            </w:r>
          </w:p>
        </w:tc>
        <w:tc>
          <w:tcPr>
            <w:tcW w:w="1134" w:type="dxa"/>
            <w:tcBorders>
              <w:top w:val="single" w:sz="4" w:space="0" w:color="auto"/>
              <w:left w:val="nil"/>
              <w:bottom w:val="single" w:sz="4" w:space="0" w:color="auto"/>
              <w:right w:val="single" w:sz="4" w:space="0" w:color="auto"/>
            </w:tcBorders>
            <w:shd w:val="clear" w:color="000000" w:fill="44546A"/>
            <w:vAlign w:val="center"/>
            <w:hideMark/>
          </w:tcPr>
          <w:p w14:paraId="26DC9792" w14:textId="77777777" w:rsidR="000B7A67" w:rsidRPr="00294FCD" w:rsidRDefault="000B7A67" w:rsidP="00F400D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Parte pendiente</w:t>
            </w:r>
          </w:p>
        </w:tc>
        <w:tc>
          <w:tcPr>
            <w:tcW w:w="2444" w:type="dxa"/>
            <w:tcBorders>
              <w:top w:val="single" w:sz="4" w:space="0" w:color="auto"/>
              <w:left w:val="nil"/>
              <w:bottom w:val="single" w:sz="4" w:space="0" w:color="auto"/>
              <w:right w:val="single" w:sz="4" w:space="0" w:color="auto"/>
            </w:tcBorders>
            <w:shd w:val="clear" w:color="000000" w:fill="44546A"/>
            <w:vAlign w:val="center"/>
            <w:hideMark/>
          </w:tcPr>
          <w:p w14:paraId="77AF9547" w14:textId="77777777" w:rsidR="000B7A67" w:rsidRPr="00294FCD" w:rsidRDefault="000B7A67" w:rsidP="00F400D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 xml:space="preserve">Detalle </w:t>
            </w:r>
          </w:p>
        </w:tc>
      </w:tr>
      <w:tr w:rsidR="00BC00B3" w:rsidRPr="00294FCD" w14:paraId="676930DA" w14:textId="77777777" w:rsidTr="00F505C8">
        <w:trPr>
          <w:trHeight w:val="9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604088F"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Departamento de Prensa y Comunicación Organizacional</w:t>
            </w:r>
          </w:p>
        </w:tc>
        <w:tc>
          <w:tcPr>
            <w:tcW w:w="2127" w:type="dxa"/>
            <w:tcBorders>
              <w:top w:val="nil"/>
              <w:left w:val="nil"/>
              <w:bottom w:val="single" w:sz="4" w:space="0" w:color="auto"/>
              <w:right w:val="single" w:sz="4" w:space="0" w:color="auto"/>
            </w:tcBorders>
            <w:shd w:val="clear" w:color="auto" w:fill="auto"/>
            <w:vAlign w:val="center"/>
            <w:hideMark/>
          </w:tcPr>
          <w:p w14:paraId="53C92F1D"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0116 Departamento de Prensa y Comunicación Organizacional</w:t>
            </w:r>
          </w:p>
        </w:tc>
        <w:tc>
          <w:tcPr>
            <w:tcW w:w="957" w:type="dxa"/>
            <w:tcBorders>
              <w:top w:val="nil"/>
              <w:left w:val="nil"/>
              <w:bottom w:val="single" w:sz="4" w:space="0" w:color="auto"/>
              <w:right w:val="single" w:sz="4" w:space="0" w:color="auto"/>
            </w:tcBorders>
            <w:shd w:val="clear" w:color="auto" w:fill="auto"/>
            <w:vAlign w:val="center"/>
            <w:hideMark/>
          </w:tcPr>
          <w:p w14:paraId="68214B37"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0116-DPC-P01</w:t>
            </w:r>
          </w:p>
        </w:tc>
        <w:tc>
          <w:tcPr>
            <w:tcW w:w="1559" w:type="dxa"/>
            <w:tcBorders>
              <w:top w:val="nil"/>
              <w:left w:val="nil"/>
              <w:bottom w:val="single" w:sz="4" w:space="0" w:color="auto"/>
              <w:right w:val="single" w:sz="4" w:space="0" w:color="auto"/>
            </w:tcBorders>
            <w:shd w:val="clear" w:color="auto" w:fill="auto"/>
            <w:vAlign w:val="center"/>
            <w:hideMark/>
          </w:tcPr>
          <w:p w14:paraId="604F7B75"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Política de Comunicación Integral</w:t>
            </w:r>
          </w:p>
        </w:tc>
        <w:tc>
          <w:tcPr>
            <w:tcW w:w="1134" w:type="dxa"/>
            <w:tcBorders>
              <w:top w:val="nil"/>
              <w:left w:val="nil"/>
              <w:bottom w:val="single" w:sz="4" w:space="0" w:color="auto"/>
              <w:right w:val="single" w:sz="4" w:space="0" w:color="auto"/>
            </w:tcBorders>
            <w:shd w:val="clear" w:color="auto" w:fill="auto"/>
            <w:vAlign w:val="center"/>
            <w:hideMark/>
          </w:tcPr>
          <w:p w14:paraId="644028B8"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2.2</w:t>
            </w:r>
          </w:p>
        </w:tc>
        <w:tc>
          <w:tcPr>
            <w:tcW w:w="2444" w:type="dxa"/>
            <w:tcBorders>
              <w:top w:val="nil"/>
              <w:left w:val="nil"/>
              <w:bottom w:val="single" w:sz="4" w:space="0" w:color="auto"/>
              <w:right w:val="single" w:sz="4" w:space="0" w:color="auto"/>
            </w:tcBorders>
            <w:shd w:val="clear" w:color="auto" w:fill="auto"/>
            <w:vAlign w:val="center"/>
            <w:hideMark/>
          </w:tcPr>
          <w:p w14:paraId="0C67064B" w14:textId="77777777" w:rsidR="000B7A67" w:rsidRPr="00294FCD" w:rsidRDefault="000B7A67" w:rsidP="001C41F2">
            <w:pPr>
              <w:spacing w:after="0" w:line="240" w:lineRule="auto"/>
              <w:jc w:val="both"/>
              <w:rPr>
                <w:rFonts w:ascii="Book Antiqua" w:eastAsia="Times New Roman" w:hAnsi="Book Antiqua" w:cs="Calibri"/>
                <w:sz w:val="18"/>
                <w:szCs w:val="18"/>
                <w:lang w:eastAsia="es-CR"/>
              </w:rPr>
            </w:pPr>
            <w:r w:rsidRPr="00294FCD">
              <w:rPr>
                <w:rFonts w:ascii="Book Antiqua" w:eastAsia="Times New Roman" w:hAnsi="Book Antiqua" w:cs="Calibri"/>
                <w:sz w:val="18"/>
                <w:szCs w:val="18"/>
                <w:lang w:eastAsia="es-CR"/>
              </w:rPr>
              <w:t>Pendiente elaborar solicitud de cambio y realizar ajuste en el cronograma para justificar retraso.</w:t>
            </w:r>
          </w:p>
        </w:tc>
      </w:tr>
    </w:tbl>
    <w:p w14:paraId="49841195" w14:textId="3B6ECFF9" w:rsidR="000B7A67" w:rsidRDefault="000B7A67" w:rsidP="002E6EFE">
      <w:pPr>
        <w:spacing w:after="0"/>
        <w:ind w:right="-519"/>
        <w:jc w:val="right"/>
        <w:rPr>
          <w:rFonts w:ascii="Book Antiqua" w:hAnsi="Book Antiqua"/>
          <w:sz w:val="24"/>
          <w:szCs w:val="24"/>
        </w:rPr>
      </w:pPr>
      <w:r>
        <w:rPr>
          <w:rFonts w:ascii="Book Antiqua" w:hAnsi="Book Antiqua"/>
          <w:sz w:val="24"/>
          <w:szCs w:val="24"/>
        </w:rPr>
        <w:t>“</w:t>
      </w:r>
      <w:r w:rsidR="002E6EFE">
        <w:rPr>
          <w:rFonts w:ascii="Book Antiqua" w:hAnsi="Book Antiqua"/>
          <w:sz w:val="24"/>
          <w:szCs w:val="24"/>
        </w:rPr>
        <w:t>.</w:t>
      </w:r>
    </w:p>
    <w:p w14:paraId="6AA35AAA" w14:textId="77777777" w:rsidR="000B7A67" w:rsidRDefault="000B7A67" w:rsidP="000B7A67">
      <w:pPr>
        <w:spacing w:after="0"/>
        <w:jc w:val="both"/>
        <w:rPr>
          <w:rFonts w:ascii="Book Antiqua" w:hAnsi="Book Antiqua"/>
          <w:sz w:val="24"/>
          <w:szCs w:val="24"/>
        </w:rPr>
      </w:pPr>
    </w:p>
    <w:p w14:paraId="17DA2E49" w14:textId="77777777" w:rsidR="000B7A67" w:rsidRDefault="000B7A67" w:rsidP="000B7A67">
      <w:pPr>
        <w:spacing w:after="0"/>
        <w:jc w:val="both"/>
        <w:rPr>
          <w:rFonts w:ascii="Book Antiqua" w:hAnsi="Book Antiqua"/>
          <w:sz w:val="24"/>
          <w:szCs w:val="24"/>
        </w:rPr>
      </w:pPr>
      <w:r>
        <w:rPr>
          <w:rFonts w:ascii="Book Antiqua" w:hAnsi="Book Antiqua"/>
          <w:sz w:val="24"/>
          <w:szCs w:val="24"/>
        </w:rPr>
        <w:t>Con la finalidad de dar seguimiento a estas recomendaciones, se remite correo a la oficina mediante el oficio 1789</w:t>
      </w:r>
      <w:r w:rsidRPr="004C19A1">
        <w:rPr>
          <w:rFonts w:ascii="Book Antiqua" w:hAnsi="Book Antiqua"/>
          <w:sz w:val="24"/>
          <w:szCs w:val="24"/>
        </w:rPr>
        <w:t>-PLA-PP-TR-2023</w:t>
      </w:r>
      <w:r>
        <w:rPr>
          <w:rFonts w:ascii="Book Antiqua" w:hAnsi="Book Antiqua"/>
          <w:sz w:val="24"/>
          <w:szCs w:val="24"/>
        </w:rPr>
        <w:t xml:space="preserve">. </w:t>
      </w:r>
    </w:p>
    <w:p w14:paraId="282E6A08" w14:textId="77777777" w:rsidR="000B7A67" w:rsidRPr="004C0359" w:rsidRDefault="000B7A67" w:rsidP="000B7A67">
      <w:pPr>
        <w:spacing w:after="0"/>
        <w:jc w:val="both"/>
        <w:rPr>
          <w:rFonts w:ascii="Book Antiqua" w:hAnsi="Book Antiqua"/>
          <w:sz w:val="24"/>
          <w:szCs w:val="24"/>
        </w:rPr>
      </w:pPr>
    </w:p>
    <w:p w14:paraId="17A681A3" w14:textId="17335711" w:rsidR="000B7A67" w:rsidRPr="00257371" w:rsidRDefault="000B7A67" w:rsidP="000B7A67">
      <w:pPr>
        <w:spacing w:after="0"/>
        <w:jc w:val="both"/>
        <w:rPr>
          <w:rFonts w:ascii="Book Antiqua" w:hAnsi="Book Antiqua"/>
          <w:sz w:val="24"/>
          <w:szCs w:val="24"/>
        </w:rPr>
      </w:pPr>
      <w:r w:rsidRPr="00FA687A">
        <w:rPr>
          <w:rFonts w:ascii="Book Antiqua" w:hAnsi="Book Antiqua"/>
          <w:sz w:val="24"/>
          <w:szCs w:val="24"/>
        </w:rPr>
        <w:t>Consecutivamente</w:t>
      </w:r>
      <w:r>
        <w:rPr>
          <w:rFonts w:ascii="Book Antiqua" w:hAnsi="Book Antiqua"/>
          <w:sz w:val="24"/>
          <w:szCs w:val="24"/>
        </w:rPr>
        <w:t>,</w:t>
      </w:r>
      <w:r w:rsidRPr="00FA687A">
        <w:rPr>
          <w:rFonts w:ascii="Book Antiqua" w:hAnsi="Book Antiqua"/>
          <w:sz w:val="24"/>
          <w:szCs w:val="24"/>
        </w:rPr>
        <w:t xml:space="preserve"> se procedió a revisar en los centros de proyectos para validar el cumplimiento de esta recomendaci</w:t>
      </w:r>
      <w:r w:rsidR="00907B84">
        <w:rPr>
          <w:rFonts w:ascii="Book Antiqua" w:hAnsi="Book Antiqua"/>
          <w:sz w:val="24"/>
          <w:szCs w:val="24"/>
        </w:rPr>
        <w:t>ón</w:t>
      </w:r>
      <w:r w:rsidRPr="00FA687A">
        <w:rPr>
          <w:rFonts w:ascii="Book Antiqua" w:hAnsi="Book Antiqua"/>
          <w:sz w:val="24"/>
          <w:szCs w:val="24"/>
        </w:rPr>
        <w:t xml:space="preserve"> </w:t>
      </w:r>
      <w:r w:rsidRPr="00A15711">
        <w:rPr>
          <w:rFonts w:ascii="Book Antiqua" w:hAnsi="Book Antiqua"/>
          <w:sz w:val="24"/>
          <w:szCs w:val="24"/>
        </w:rPr>
        <w:t>(</w:t>
      </w:r>
      <w:hyperlink r:id="rId18" w:history="1">
        <w:r w:rsidRPr="00A15711">
          <w:rPr>
            <w:rStyle w:val="Hipervnculo"/>
            <w:rFonts w:ascii="Book Antiqua" w:hAnsi="Book Antiqua"/>
            <w:sz w:val="24"/>
            <w:szCs w:val="24"/>
          </w:rPr>
          <w:t>Ver enlace:</w:t>
        </w:r>
        <w:r w:rsidRPr="00A15711">
          <w:rPr>
            <w:rStyle w:val="Hipervnculo"/>
          </w:rPr>
          <w:t xml:space="preserve"> </w:t>
        </w:r>
        <w:r w:rsidRPr="00A15711">
          <w:rPr>
            <w:rStyle w:val="Hipervnculo"/>
            <w:rFonts w:ascii="Book Antiqua" w:hAnsi="Book Antiqua"/>
            <w:sz w:val="24"/>
            <w:szCs w:val="24"/>
          </w:rPr>
          <w:t>Departamento de Prensa y Comunicación Organizacional</w:t>
        </w:r>
      </w:hyperlink>
      <w:r w:rsidRPr="00A15711">
        <w:rPr>
          <w:rFonts w:ascii="Book Antiqua" w:hAnsi="Book Antiqua"/>
          <w:sz w:val="24"/>
          <w:szCs w:val="24"/>
        </w:rPr>
        <w:t>);</w:t>
      </w:r>
      <w:r w:rsidRPr="00FA687A">
        <w:rPr>
          <w:rFonts w:ascii="Book Antiqua" w:hAnsi="Book Antiqua"/>
          <w:sz w:val="24"/>
          <w:szCs w:val="24"/>
        </w:rPr>
        <w:t xml:space="preserve"> constatando el cumplimiento de la misma.</w:t>
      </w:r>
    </w:p>
    <w:p w14:paraId="69C7FDB0" w14:textId="77777777" w:rsidR="000B7A67" w:rsidRDefault="000B7A67" w:rsidP="000B7A67">
      <w:pPr>
        <w:pStyle w:val="Default"/>
        <w:ind w:right="49"/>
        <w:jc w:val="both"/>
        <w:rPr>
          <w:rFonts w:ascii="Book Antiqua" w:hAnsi="Book Antiqua"/>
        </w:rPr>
      </w:pPr>
    </w:p>
    <w:p w14:paraId="385C40F9" w14:textId="77777777" w:rsidR="000B7A67" w:rsidRDefault="000B7A67" w:rsidP="000B7A67">
      <w:pPr>
        <w:pStyle w:val="Ttulo2"/>
        <w:numPr>
          <w:ilvl w:val="0"/>
          <w:numId w:val="3"/>
        </w:numPr>
        <w:jc w:val="both"/>
        <w:rPr>
          <w:rFonts w:ascii="Book Antiqua" w:eastAsia="Wingdings" w:hAnsi="Book Antiqua"/>
          <w:b/>
          <w:bCs/>
          <w:color w:val="auto"/>
          <w:sz w:val="24"/>
          <w:szCs w:val="24"/>
          <w:lang w:eastAsia="ko-KR"/>
        </w:rPr>
      </w:pPr>
      <w:bookmarkStart w:id="22" w:name="_Toc131160519"/>
      <w:bookmarkStart w:id="23" w:name="_Toc138770828"/>
      <w:r w:rsidRPr="001865F7">
        <w:rPr>
          <w:rFonts w:ascii="Book Antiqua" w:eastAsia="Wingdings" w:hAnsi="Book Antiqua"/>
          <w:b/>
          <w:bCs/>
          <w:color w:val="auto"/>
          <w:sz w:val="24"/>
          <w:szCs w:val="24"/>
          <w:lang w:eastAsia="ko-KR"/>
        </w:rPr>
        <w:t>Recomendación dirigida al Despacho de la Presidencia.</w:t>
      </w:r>
      <w:bookmarkEnd w:id="22"/>
      <w:bookmarkEnd w:id="23"/>
    </w:p>
    <w:p w14:paraId="463569D9" w14:textId="77777777" w:rsidR="000B7A67" w:rsidRPr="001730BE" w:rsidRDefault="000B7A67" w:rsidP="000B7A67">
      <w:pPr>
        <w:pStyle w:val="Prrafodelista"/>
        <w:spacing w:after="0"/>
        <w:jc w:val="both"/>
        <w:rPr>
          <w:rFonts w:ascii="Book Antiqua" w:hAnsi="Book Antiqua"/>
          <w:sz w:val="24"/>
          <w:szCs w:val="24"/>
        </w:rPr>
      </w:pPr>
    </w:p>
    <w:p w14:paraId="0A2A7810" w14:textId="77777777" w:rsidR="000B7A67" w:rsidRPr="001730BE" w:rsidRDefault="000B7A67" w:rsidP="000B7A67">
      <w:pPr>
        <w:pStyle w:val="Prrafodelista"/>
        <w:spacing w:after="0"/>
        <w:ind w:left="0"/>
        <w:jc w:val="both"/>
        <w:rPr>
          <w:rFonts w:ascii="Book Antiqua" w:hAnsi="Book Antiqua"/>
          <w:sz w:val="24"/>
          <w:szCs w:val="24"/>
        </w:rPr>
      </w:pPr>
      <w:r w:rsidRPr="001730BE">
        <w:rPr>
          <w:rFonts w:ascii="Book Antiqua" w:hAnsi="Book Antiqua"/>
          <w:sz w:val="24"/>
          <w:szCs w:val="24"/>
        </w:rPr>
        <w:t xml:space="preserve">En el oficio </w:t>
      </w:r>
      <w:r>
        <w:rPr>
          <w:rFonts w:ascii="Book Antiqua" w:hAnsi="Book Antiqua"/>
          <w:sz w:val="24"/>
          <w:szCs w:val="24"/>
        </w:rPr>
        <w:t>277</w:t>
      </w:r>
      <w:r w:rsidRPr="001730BE">
        <w:rPr>
          <w:rFonts w:ascii="Book Antiqua" w:hAnsi="Book Antiqua"/>
          <w:sz w:val="24"/>
          <w:szCs w:val="24"/>
        </w:rPr>
        <w:t>-PLA-PP-202</w:t>
      </w:r>
      <w:r>
        <w:rPr>
          <w:rFonts w:ascii="Book Antiqua" w:hAnsi="Book Antiqua"/>
          <w:sz w:val="24"/>
          <w:szCs w:val="24"/>
        </w:rPr>
        <w:t>3</w:t>
      </w:r>
      <w:r w:rsidRPr="001730BE">
        <w:rPr>
          <w:rFonts w:ascii="Book Antiqua" w:hAnsi="Book Antiqua"/>
          <w:sz w:val="24"/>
          <w:szCs w:val="24"/>
        </w:rPr>
        <w:t>, se establece una serie de recomendaciones para el Consejo Superior, dentro de estas se indica la siguiente con respecto a</w:t>
      </w:r>
      <w:r>
        <w:rPr>
          <w:rFonts w:ascii="Book Antiqua" w:hAnsi="Book Antiqua"/>
          <w:sz w:val="24"/>
          <w:szCs w:val="24"/>
        </w:rPr>
        <w:t>l</w:t>
      </w:r>
      <w:r w:rsidRPr="001730BE">
        <w:rPr>
          <w:rFonts w:ascii="Book Antiqua" w:hAnsi="Book Antiqua"/>
          <w:sz w:val="24"/>
          <w:szCs w:val="24"/>
        </w:rPr>
        <w:t xml:space="preserve"> </w:t>
      </w:r>
      <w:r w:rsidRPr="006864E0">
        <w:rPr>
          <w:rFonts w:ascii="Book Antiqua" w:eastAsia="Wingdings" w:hAnsi="Book Antiqua"/>
          <w:sz w:val="24"/>
          <w:szCs w:val="24"/>
          <w:lang w:eastAsia="ko-KR"/>
        </w:rPr>
        <w:t>Despacho de la Presidencia</w:t>
      </w:r>
      <w:r w:rsidRPr="001730BE">
        <w:rPr>
          <w:rFonts w:ascii="Book Antiqua" w:hAnsi="Book Antiqua"/>
          <w:sz w:val="24"/>
          <w:szCs w:val="24"/>
        </w:rPr>
        <w:t xml:space="preserve">: </w:t>
      </w:r>
    </w:p>
    <w:p w14:paraId="1A4CA334" w14:textId="77777777" w:rsidR="000B7A67" w:rsidRPr="001730BE" w:rsidRDefault="000B7A67" w:rsidP="000B7A67">
      <w:pPr>
        <w:pStyle w:val="Prrafodelista"/>
        <w:spacing w:after="0"/>
        <w:jc w:val="both"/>
        <w:rPr>
          <w:rFonts w:ascii="Book Antiqua" w:hAnsi="Book Antiqua"/>
          <w:sz w:val="24"/>
          <w:szCs w:val="24"/>
        </w:rPr>
      </w:pPr>
    </w:p>
    <w:p w14:paraId="091DCDDF" w14:textId="77777777" w:rsidR="000B7A67" w:rsidRDefault="000B7A67" w:rsidP="000B7A67">
      <w:pPr>
        <w:autoSpaceDE w:val="0"/>
        <w:autoSpaceDN w:val="0"/>
        <w:adjustRightInd w:val="0"/>
        <w:spacing w:after="0" w:line="240" w:lineRule="auto"/>
        <w:ind w:left="709" w:right="616"/>
        <w:jc w:val="both"/>
        <w:rPr>
          <w:rFonts w:ascii="Book Antiqua" w:eastAsia="Wingdings" w:hAnsi="Book Antiqua"/>
          <w:i/>
          <w:sz w:val="24"/>
          <w:szCs w:val="24"/>
          <w:lang w:eastAsia="ko-KR"/>
        </w:rPr>
      </w:pPr>
      <w:r w:rsidRPr="001730BE">
        <w:rPr>
          <w:rFonts w:ascii="Book Antiqua" w:eastAsia="Wingdings" w:hAnsi="Book Antiqua"/>
          <w:i/>
          <w:sz w:val="24"/>
          <w:szCs w:val="24"/>
          <w:lang w:eastAsia="ko-KR"/>
        </w:rPr>
        <w:t>“</w:t>
      </w:r>
      <w:r w:rsidRPr="00272152">
        <w:rPr>
          <w:rFonts w:ascii="Book Antiqua" w:eastAsia="Wingdings" w:hAnsi="Book Antiqua"/>
          <w:i/>
          <w:sz w:val="24"/>
          <w:szCs w:val="24"/>
          <w:lang w:eastAsia="ko-KR"/>
        </w:rPr>
        <w:t>2.12) El Despacho de la Presidencia, deberá: a) A más tardar el 28 de abril del 2023, cargar en el sitio de proyecto la atención de las recomendaciones que se describen en la tabla correspondiente expuesta en el presente informe.</w:t>
      </w:r>
      <w:r w:rsidRPr="00016C78">
        <w:t xml:space="preserve"> </w:t>
      </w:r>
      <w:r w:rsidRPr="00016C78">
        <w:rPr>
          <w:rFonts w:ascii="Book Antiqua" w:eastAsia="Wingdings" w:hAnsi="Book Antiqua"/>
          <w:i/>
          <w:sz w:val="24"/>
          <w:szCs w:val="24"/>
          <w:lang w:eastAsia="ko-KR"/>
        </w:rPr>
        <w:t>b.) Dar seguimiento y verificar que, a más tardar el 28 de abril del 2023, la Sección de Cooperación y Relaciones Internacionales, así como el Centro de Apoyo, Coordinación y Mejoramiento de la Función Jurisdiccional, carguen por su orden, en el sitio de sus respectivos proyectos, la atención de la recomendación descrita para cada uno de ellos en la respectiva tabla que se expone por parte de la Dirección de Planificación en el presente informe.</w:t>
      </w:r>
    </w:p>
    <w:tbl>
      <w:tblPr>
        <w:tblW w:w="10632" w:type="dxa"/>
        <w:tblInd w:w="-714" w:type="dxa"/>
        <w:tblLayout w:type="fixed"/>
        <w:tblCellMar>
          <w:left w:w="70" w:type="dxa"/>
          <w:right w:w="70" w:type="dxa"/>
        </w:tblCellMar>
        <w:tblLook w:val="04A0" w:firstRow="1" w:lastRow="0" w:firstColumn="1" w:lastColumn="0" w:noHBand="0" w:noVBand="1"/>
      </w:tblPr>
      <w:tblGrid>
        <w:gridCol w:w="1418"/>
        <w:gridCol w:w="1418"/>
        <w:gridCol w:w="1134"/>
        <w:gridCol w:w="1417"/>
        <w:gridCol w:w="1134"/>
        <w:gridCol w:w="4111"/>
      </w:tblGrid>
      <w:tr w:rsidR="00BC00B3" w:rsidRPr="00294FCD" w14:paraId="65AA422C" w14:textId="77777777" w:rsidTr="00301740">
        <w:trPr>
          <w:trHeight w:val="300"/>
          <w:tblHeader/>
        </w:trPr>
        <w:tc>
          <w:tcPr>
            <w:tcW w:w="1418"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576F9E88" w14:textId="77777777" w:rsidR="000B7A67" w:rsidRPr="00294FCD" w:rsidRDefault="000B7A67" w:rsidP="00F400D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 xml:space="preserve">Centro de responsabilidad </w:t>
            </w:r>
          </w:p>
        </w:tc>
        <w:tc>
          <w:tcPr>
            <w:tcW w:w="1418" w:type="dxa"/>
            <w:tcBorders>
              <w:top w:val="single" w:sz="4" w:space="0" w:color="auto"/>
              <w:left w:val="nil"/>
              <w:bottom w:val="single" w:sz="4" w:space="0" w:color="auto"/>
              <w:right w:val="single" w:sz="4" w:space="0" w:color="auto"/>
            </w:tcBorders>
            <w:shd w:val="clear" w:color="000000" w:fill="44546A"/>
            <w:vAlign w:val="center"/>
            <w:hideMark/>
          </w:tcPr>
          <w:p w14:paraId="70219BEC" w14:textId="77777777" w:rsidR="000B7A67" w:rsidRPr="00294FCD" w:rsidRDefault="000B7A67" w:rsidP="00F400D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Oficina Líder</w:t>
            </w:r>
          </w:p>
        </w:tc>
        <w:tc>
          <w:tcPr>
            <w:tcW w:w="1134" w:type="dxa"/>
            <w:tcBorders>
              <w:top w:val="single" w:sz="4" w:space="0" w:color="auto"/>
              <w:left w:val="nil"/>
              <w:bottom w:val="single" w:sz="4" w:space="0" w:color="auto"/>
              <w:right w:val="single" w:sz="4" w:space="0" w:color="auto"/>
            </w:tcBorders>
            <w:shd w:val="clear" w:color="000000" w:fill="44546A"/>
            <w:vAlign w:val="center"/>
            <w:hideMark/>
          </w:tcPr>
          <w:p w14:paraId="5467A8BD" w14:textId="77777777" w:rsidR="000B7A67" w:rsidRPr="00294FCD" w:rsidRDefault="000B7A67" w:rsidP="00F400D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Código</w:t>
            </w:r>
          </w:p>
        </w:tc>
        <w:tc>
          <w:tcPr>
            <w:tcW w:w="1417" w:type="dxa"/>
            <w:tcBorders>
              <w:top w:val="single" w:sz="4" w:space="0" w:color="auto"/>
              <w:left w:val="nil"/>
              <w:bottom w:val="single" w:sz="4" w:space="0" w:color="auto"/>
              <w:right w:val="single" w:sz="4" w:space="0" w:color="auto"/>
            </w:tcBorders>
            <w:shd w:val="clear" w:color="000000" w:fill="44546A"/>
            <w:vAlign w:val="center"/>
            <w:hideMark/>
          </w:tcPr>
          <w:p w14:paraId="27C14C2E" w14:textId="77777777" w:rsidR="000B7A67" w:rsidRPr="00294FCD" w:rsidRDefault="000B7A67" w:rsidP="00F400D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Nombre</w:t>
            </w:r>
          </w:p>
        </w:tc>
        <w:tc>
          <w:tcPr>
            <w:tcW w:w="1134" w:type="dxa"/>
            <w:tcBorders>
              <w:top w:val="single" w:sz="4" w:space="0" w:color="auto"/>
              <w:left w:val="nil"/>
              <w:bottom w:val="single" w:sz="4" w:space="0" w:color="auto"/>
              <w:right w:val="single" w:sz="4" w:space="0" w:color="auto"/>
            </w:tcBorders>
            <w:shd w:val="clear" w:color="000000" w:fill="44546A"/>
            <w:vAlign w:val="center"/>
            <w:hideMark/>
          </w:tcPr>
          <w:p w14:paraId="3D943B4E" w14:textId="77777777" w:rsidR="000B7A67" w:rsidRPr="00294FCD" w:rsidRDefault="000B7A67" w:rsidP="00F400D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Parte pendiente</w:t>
            </w:r>
          </w:p>
        </w:tc>
        <w:tc>
          <w:tcPr>
            <w:tcW w:w="4111" w:type="dxa"/>
            <w:tcBorders>
              <w:top w:val="single" w:sz="4" w:space="0" w:color="auto"/>
              <w:left w:val="nil"/>
              <w:bottom w:val="single" w:sz="4" w:space="0" w:color="auto"/>
              <w:right w:val="single" w:sz="4" w:space="0" w:color="auto"/>
            </w:tcBorders>
            <w:shd w:val="clear" w:color="000000" w:fill="44546A"/>
            <w:vAlign w:val="center"/>
            <w:hideMark/>
          </w:tcPr>
          <w:p w14:paraId="7AB3FAD2" w14:textId="77777777" w:rsidR="000B7A67" w:rsidRPr="00294FCD" w:rsidRDefault="000B7A67" w:rsidP="00F400D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 xml:space="preserve">Detalle </w:t>
            </w:r>
          </w:p>
        </w:tc>
      </w:tr>
      <w:tr w:rsidR="007E6FC1" w:rsidRPr="00294FCD" w14:paraId="1F193148" w14:textId="77777777" w:rsidTr="00301740">
        <w:trPr>
          <w:trHeight w:val="441"/>
        </w:trPr>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4FB983CD"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Despacho de la Presidencia</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1B0225F1"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0653 Despacho de la Presidencia</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3C76598E"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0653-DP-P02</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23566F9C" w14:textId="77777777" w:rsidR="000B7A67" w:rsidRPr="00294FCD" w:rsidRDefault="000B7A67" w:rsidP="00F400D6">
            <w:pPr>
              <w:spacing w:after="0" w:line="240" w:lineRule="auto"/>
              <w:jc w:val="center"/>
              <w:rPr>
                <w:rFonts w:ascii="Book Antiqua" w:eastAsia="Times New Roman" w:hAnsi="Book Antiqua" w:cs="Calibri"/>
                <w:sz w:val="18"/>
                <w:szCs w:val="18"/>
                <w:lang w:eastAsia="es-CR"/>
              </w:rPr>
            </w:pPr>
            <w:r w:rsidRPr="00294FCD">
              <w:rPr>
                <w:rFonts w:ascii="Book Antiqua" w:eastAsia="Times New Roman" w:hAnsi="Book Antiqua" w:cs="Calibri"/>
                <w:sz w:val="18"/>
                <w:szCs w:val="18"/>
                <w:lang w:eastAsia="es-CR"/>
              </w:rPr>
              <w:t>Régimen Disciplinario</w:t>
            </w:r>
          </w:p>
        </w:tc>
        <w:tc>
          <w:tcPr>
            <w:tcW w:w="1134" w:type="dxa"/>
            <w:tcBorders>
              <w:top w:val="nil"/>
              <w:left w:val="nil"/>
              <w:bottom w:val="single" w:sz="4" w:space="0" w:color="auto"/>
              <w:right w:val="single" w:sz="4" w:space="0" w:color="auto"/>
            </w:tcBorders>
            <w:shd w:val="clear" w:color="auto" w:fill="auto"/>
            <w:vAlign w:val="center"/>
            <w:hideMark/>
          </w:tcPr>
          <w:p w14:paraId="4604710A" w14:textId="77777777" w:rsidR="000B7A67" w:rsidRPr="00294FCD" w:rsidRDefault="000B7A67" w:rsidP="00F400D6">
            <w:pPr>
              <w:spacing w:after="0" w:line="240" w:lineRule="auto"/>
              <w:jc w:val="center"/>
              <w:rPr>
                <w:rFonts w:ascii="Book Antiqua" w:eastAsia="Times New Roman" w:hAnsi="Book Antiqua" w:cs="Calibri"/>
                <w:sz w:val="18"/>
                <w:szCs w:val="18"/>
                <w:lang w:eastAsia="es-CR"/>
              </w:rPr>
            </w:pPr>
            <w:r w:rsidRPr="00294FCD">
              <w:rPr>
                <w:rFonts w:ascii="Book Antiqua" w:eastAsia="Times New Roman" w:hAnsi="Book Antiqua" w:cs="Calibri"/>
                <w:sz w:val="18"/>
                <w:szCs w:val="18"/>
                <w:lang w:eastAsia="es-CR"/>
              </w:rPr>
              <w:t>1.14</w:t>
            </w:r>
          </w:p>
        </w:tc>
        <w:tc>
          <w:tcPr>
            <w:tcW w:w="4111" w:type="dxa"/>
            <w:tcBorders>
              <w:top w:val="nil"/>
              <w:left w:val="nil"/>
              <w:bottom w:val="single" w:sz="4" w:space="0" w:color="auto"/>
              <w:right w:val="single" w:sz="4" w:space="0" w:color="auto"/>
            </w:tcBorders>
            <w:shd w:val="clear" w:color="auto" w:fill="auto"/>
            <w:vAlign w:val="center"/>
            <w:hideMark/>
          </w:tcPr>
          <w:p w14:paraId="33715D68" w14:textId="77777777" w:rsidR="000B7A67" w:rsidRPr="00294FCD" w:rsidRDefault="000B7A67" w:rsidP="008C331F">
            <w:pPr>
              <w:spacing w:after="0" w:line="240" w:lineRule="auto"/>
              <w:jc w:val="both"/>
              <w:rPr>
                <w:rFonts w:ascii="Book Antiqua" w:eastAsia="Times New Roman" w:hAnsi="Book Antiqua" w:cs="Calibri"/>
                <w:sz w:val="18"/>
                <w:szCs w:val="18"/>
                <w:lang w:eastAsia="es-CR"/>
              </w:rPr>
            </w:pPr>
            <w:r w:rsidRPr="00294FCD">
              <w:rPr>
                <w:rFonts w:ascii="Book Antiqua" w:eastAsia="Times New Roman" w:hAnsi="Book Antiqua" w:cs="Calibri"/>
                <w:sz w:val="18"/>
                <w:szCs w:val="18"/>
                <w:lang w:eastAsia="es-CR"/>
              </w:rPr>
              <w:t>Pendiente de actualizar documento producto de la solicitud de cambio.</w:t>
            </w:r>
          </w:p>
        </w:tc>
      </w:tr>
      <w:tr w:rsidR="007E6FC1" w:rsidRPr="00294FCD" w14:paraId="71899CB1" w14:textId="77777777" w:rsidTr="00301740">
        <w:trPr>
          <w:trHeight w:val="476"/>
        </w:trPr>
        <w:tc>
          <w:tcPr>
            <w:tcW w:w="1418" w:type="dxa"/>
            <w:vMerge/>
            <w:tcBorders>
              <w:top w:val="nil"/>
              <w:left w:val="single" w:sz="4" w:space="0" w:color="auto"/>
              <w:bottom w:val="single" w:sz="4" w:space="0" w:color="000000"/>
              <w:right w:val="single" w:sz="4" w:space="0" w:color="auto"/>
            </w:tcBorders>
            <w:vAlign w:val="center"/>
            <w:hideMark/>
          </w:tcPr>
          <w:p w14:paraId="24844A1C"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418" w:type="dxa"/>
            <w:vMerge/>
            <w:tcBorders>
              <w:top w:val="nil"/>
              <w:left w:val="single" w:sz="4" w:space="0" w:color="auto"/>
              <w:bottom w:val="single" w:sz="4" w:space="0" w:color="000000"/>
              <w:right w:val="single" w:sz="4" w:space="0" w:color="auto"/>
            </w:tcBorders>
            <w:vAlign w:val="center"/>
            <w:hideMark/>
          </w:tcPr>
          <w:p w14:paraId="021BDB6F"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01BDDAD7"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417" w:type="dxa"/>
            <w:vMerge/>
            <w:tcBorders>
              <w:top w:val="nil"/>
              <w:left w:val="single" w:sz="4" w:space="0" w:color="auto"/>
              <w:bottom w:val="single" w:sz="4" w:space="0" w:color="000000"/>
              <w:right w:val="single" w:sz="4" w:space="0" w:color="auto"/>
            </w:tcBorders>
            <w:vAlign w:val="center"/>
            <w:hideMark/>
          </w:tcPr>
          <w:p w14:paraId="6B810F58" w14:textId="77777777" w:rsidR="000B7A67" w:rsidRPr="00294FCD" w:rsidRDefault="000B7A67" w:rsidP="00F400D6">
            <w:pPr>
              <w:spacing w:after="0" w:line="240" w:lineRule="auto"/>
              <w:rPr>
                <w:rFonts w:ascii="Book Antiqua" w:eastAsia="Times New Roman" w:hAnsi="Book Antiqua" w:cs="Calibri"/>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51369E5F"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2.1</w:t>
            </w:r>
          </w:p>
        </w:tc>
        <w:tc>
          <w:tcPr>
            <w:tcW w:w="4111" w:type="dxa"/>
            <w:tcBorders>
              <w:top w:val="nil"/>
              <w:left w:val="nil"/>
              <w:bottom w:val="single" w:sz="4" w:space="0" w:color="auto"/>
              <w:right w:val="single" w:sz="4" w:space="0" w:color="auto"/>
            </w:tcBorders>
            <w:shd w:val="clear" w:color="auto" w:fill="auto"/>
            <w:vAlign w:val="center"/>
            <w:hideMark/>
          </w:tcPr>
          <w:p w14:paraId="37667B01" w14:textId="77777777" w:rsidR="000B7A67" w:rsidRPr="00294FCD" w:rsidRDefault="000B7A67" w:rsidP="008C331F">
            <w:pPr>
              <w:spacing w:after="0" w:line="240" w:lineRule="auto"/>
              <w:jc w:val="both"/>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El informe de avance presentaba incorrecto el porcentaje esperado.</w:t>
            </w:r>
          </w:p>
        </w:tc>
      </w:tr>
      <w:tr w:rsidR="007E6FC1" w:rsidRPr="00294FCD" w14:paraId="782BA3F9" w14:textId="77777777" w:rsidTr="00301740">
        <w:trPr>
          <w:trHeight w:val="368"/>
        </w:trPr>
        <w:tc>
          <w:tcPr>
            <w:tcW w:w="1418" w:type="dxa"/>
            <w:vMerge/>
            <w:tcBorders>
              <w:top w:val="nil"/>
              <w:left w:val="single" w:sz="4" w:space="0" w:color="auto"/>
              <w:bottom w:val="single" w:sz="4" w:space="0" w:color="000000"/>
              <w:right w:val="single" w:sz="4" w:space="0" w:color="auto"/>
            </w:tcBorders>
            <w:vAlign w:val="center"/>
            <w:hideMark/>
          </w:tcPr>
          <w:p w14:paraId="474D2F81"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418" w:type="dxa"/>
            <w:vMerge/>
            <w:tcBorders>
              <w:top w:val="nil"/>
              <w:left w:val="single" w:sz="4" w:space="0" w:color="auto"/>
              <w:bottom w:val="single" w:sz="4" w:space="0" w:color="000000"/>
              <w:right w:val="single" w:sz="4" w:space="0" w:color="auto"/>
            </w:tcBorders>
            <w:vAlign w:val="center"/>
            <w:hideMark/>
          </w:tcPr>
          <w:p w14:paraId="772455C8"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47FBC567"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417" w:type="dxa"/>
            <w:vMerge/>
            <w:tcBorders>
              <w:top w:val="nil"/>
              <w:left w:val="single" w:sz="4" w:space="0" w:color="auto"/>
              <w:bottom w:val="single" w:sz="4" w:space="0" w:color="000000"/>
              <w:right w:val="single" w:sz="4" w:space="0" w:color="auto"/>
            </w:tcBorders>
            <w:vAlign w:val="center"/>
            <w:hideMark/>
          </w:tcPr>
          <w:p w14:paraId="20D0E20D" w14:textId="77777777" w:rsidR="000B7A67" w:rsidRPr="00294FCD" w:rsidRDefault="000B7A67" w:rsidP="00F400D6">
            <w:pPr>
              <w:spacing w:after="0" w:line="240" w:lineRule="auto"/>
              <w:rPr>
                <w:rFonts w:ascii="Book Antiqua" w:eastAsia="Times New Roman" w:hAnsi="Book Antiqua" w:cs="Calibri"/>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087CDA34"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2.2</w:t>
            </w:r>
          </w:p>
        </w:tc>
        <w:tc>
          <w:tcPr>
            <w:tcW w:w="4111" w:type="dxa"/>
            <w:tcBorders>
              <w:top w:val="nil"/>
              <w:left w:val="nil"/>
              <w:bottom w:val="single" w:sz="4" w:space="0" w:color="auto"/>
              <w:right w:val="single" w:sz="4" w:space="0" w:color="auto"/>
            </w:tcBorders>
            <w:shd w:val="clear" w:color="auto" w:fill="auto"/>
            <w:vAlign w:val="center"/>
            <w:hideMark/>
          </w:tcPr>
          <w:p w14:paraId="38CBA953" w14:textId="77777777" w:rsidR="000B7A67" w:rsidRPr="00294FCD" w:rsidRDefault="000B7A67" w:rsidP="008C331F">
            <w:pPr>
              <w:spacing w:after="0" w:line="240" w:lineRule="auto"/>
              <w:jc w:val="both"/>
              <w:rPr>
                <w:rFonts w:ascii="Book Antiqua" w:eastAsia="Times New Roman" w:hAnsi="Book Antiqua" w:cs="Calibri"/>
                <w:sz w:val="18"/>
                <w:szCs w:val="18"/>
                <w:lang w:eastAsia="es-CR"/>
              </w:rPr>
            </w:pPr>
            <w:r w:rsidRPr="00294FCD">
              <w:rPr>
                <w:rFonts w:ascii="Book Antiqua" w:eastAsia="Times New Roman" w:hAnsi="Book Antiqua" w:cs="Calibri"/>
                <w:sz w:val="18"/>
                <w:szCs w:val="18"/>
                <w:lang w:eastAsia="es-CR"/>
              </w:rPr>
              <w:t>Pendiente elaborar solicitud de cambio y realizar ajuste en el cronograma para justificar retraso.</w:t>
            </w:r>
          </w:p>
        </w:tc>
      </w:tr>
      <w:tr w:rsidR="007E6FC1" w:rsidRPr="00294FCD" w14:paraId="0BEBE175" w14:textId="77777777" w:rsidTr="00301740">
        <w:trPr>
          <w:trHeight w:val="278"/>
        </w:trPr>
        <w:tc>
          <w:tcPr>
            <w:tcW w:w="1418" w:type="dxa"/>
            <w:vMerge/>
            <w:tcBorders>
              <w:top w:val="nil"/>
              <w:left w:val="single" w:sz="4" w:space="0" w:color="auto"/>
              <w:bottom w:val="single" w:sz="4" w:space="0" w:color="000000"/>
              <w:right w:val="single" w:sz="4" w:space="0" w:color="auto"/>
            </w:tcBorders>
            <w:vAlign w:val="center"/>
            <w:hideMark/>
          </w:tcPr>
          <w:p w14:paraId="3D3E8AF5"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418" w:type="dxa"/>
            <w:vMerge/>
            <w:tcBorders>
              <w:top w:val="nil"/>
              <w:left w:val="single" w:sz="4" w:space="0" w:color="auto"/>
              <w:bottom w:val="single" w:sz="4" w:space="0" w:color="000000"/>
              <w:right w:val="single" w:sz="4" w:space="0" w:color="auto"/>
            </w:tcBorders>
            <w:vAlign w:val="center"/>
            <w:hideMark/>
          </w:tcPr>
          <w:p w14:paraId="2365AA74"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E48E8A1"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0653-DP-P14</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1E111CB7"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 xml:space="preserve">Desarrollo e Implantación Sistema </w:t>
            </w:r>
            <w:r w:rsidRPr="00294FCD">
              <w:rPr>
                <w:rFonts w:ascii="Book Antiqua" w:eastAsia="Times New Roman" w:hAnsi="Book Antiqua" w:cs="Calibri"/>
                <w:color w:val="000000"/>
                <w:sz w:val="18"/>
                <w:szCs w:val="18"/>
                <w:lang w:eastAsia="es-CR"/>
              </w:rPr>
              <w:lastRenderedPageBreak/>
              <w:t>Observatorio Judicial</w:t>
            </w:r>
          </w:p>
        </w:tc>
        <w:tc>
          <w:tcPr>
            <w:tcW w:w="1134" w:type="dxa"/>
            <w:tcBorders>
              <w:top w:val="nil"/>
              <w:left w:val="nil"/>
              <w:bottom w:val="single" w:sz="4" w:space="0" w:color="auto"/>
              <w:right w:val="single" w:sz="4" w:space="0" w:color="auto"/>
            </w:tcBorders>
            <w:shd w:val="clear" w:color="auto" w:fill="auto"/>
            <w:vAlign w:val="center"/>
            <w:hideMark/>
          </w:tcPr>
          <w:p w14:paraId="1187631D" w14:textId="77777777" w:rsidR="000B7A67" w:rsidRPr="00294FCD" w:rsidRDefault="000B7A67" w:rsidP="00F400D6">
            <w:pPr>
              <w:spacing w:after="0" w:line="240" w:lineRule="auto"/>
              <w:jc w:val="center"/>
              <w:rPr>
                <w:rFonts w:ascii="Book Antiqua" w:eastAsia="Times New Roman" w:hAnsi="Book Antiqua" w:cs="Calibri"/>
                <w:sz w:val="18"/>
                <w:szCs w:val="18"/>
                <w:lang w:eastAsia="es-CR"/>
              </w:rPr>
            </w:pPr>
            <w:r w:rsidRPr="00294FCD">
              <w:rPr>
                <w:rFonts w:ascii="Book Antiqua" w:eastAsia="Times New Roman" w:hAnsi="Book Antiqua" w:cs="Calibri"/>
                <w:sz w:val="18"/>
                <w:szCs w:val="18"/>
                <w:lang w:eastAsia="es-CR"/>
              </w:rPr>
              <w:lastRenderedPageBreak/>
              <w:t>1.14</w:t>
            </w:r>
          </w:p>
        </w:tc>
        <w:tc>
          <w:tcPr>
            <w:tcW w:w="4111" w:type="dxa"/>
            <w:tcBorders>
              <w:top w:val="nil"/>
              <w:left w:val="nil"/>
              <w:bottom w:val="single" w:sz="4" w:space="0" w:color="auto"/>
              <w:right w:val="single" w:sz="4" w:space="0" w:color="auto"/>
            </w:tcBorders>
            <w:shd w:val="clear" w:color="auto" w:fill="auto"/>
            <w:vAlign w:val="center"/>
            <w:hideMark/>
          </w:tcPr>
          <w:p w14:paraId="11F1FFB8" w14:textId="77777777" w:rsidR="000B7A67" w:rsidRPr="00294FCD" w:rsidRDefault="000B7A67" w:rsidP="008C331F">
            <w:pPr>
              <w:spacing w:after="0" w:line="240" w:lineRule="auto"/>
              <w:jc w:val="both"/>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Pendiente Plan de gestión y acta de constitución producto de la solicitud de cambio.</w:t>
            </w:r>
          </w:p>
        </w:tc>
      </w:tr>
      <w:tr w:rsidR="007E6FC1" w:rsidRPr="00294FCD" w14:paraId="22DCB235" w14:textId="77777777" w:rsidTr="00301740">
        <w:trPr>
          <w:trHeight w:val="384"/>
        </w:trPr>
        <w:tc>
          <w:tcPr>
            <w:tcW w:w="1418" w:type="dxa"/>
            <w:vMerge/>
            <w:tcBorders>
              <w:top w:val="nil"/>
              <w:left w:val="single" w:sz="4" w:space="0" w:color="auto"/>
              <w:bottom w:val="single" w:sz="4" w:space="0" w:color="000000"/>
              <w:right w:val="single" w:sz="4" w:space="0" w:color="auto"/>
            </w:tcBorders>
            <w:vAlign w:val="center"/>
            <w:hideMark/>
          </w:tcPr>
          <w:p w14:paraId="7334EE0A"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418" w:type="dxa"/>
            <w:vMerge/>
            <w:tcBorders>
              <w:top w:val="nil"/>
              <w:left w:val="single" w:sz="4" w:space="0" w:color="auto"/>
              <w:bottom w:val="single" w:sz="4" w:space="0" w:color="000000"/>
              <w:right w:val="single" w:sz="4" w:space="0" w:color="auto"/>
            </w:tcBorders>
            <w:vAlign w:val="center"/>
            <w:hideMark/>
          </w:tcPr>
          <w:p w14:paraId="509CD9BC"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2C59F4EA"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417" w:type="dxa"/>
            <w:vMerge/>
            <w:tcBorders>
              <w:top w:val="nil"/>
              <w:left w:val="single" w:sz="4" w:space="0" w:color="auto"/>
              <w:bottom w:val="single" w:sz="4" w:space="0" w:color="000000"/>
              <w:right w:val="single" w:sz="4" w:space="0" w:color="auto"/>
            </w:tcBorders>
            <w:vAlign w:val="center"/>
            <w:hideMark/>
          </w:tcPr>
          <w:p w14:paraId="121572E7"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5BE5BCBE" w14:textId="77777777" w:rsidR="000B7A67" w:rsidRPr="00294FCD" w:rsidRDefault="000B7A67" w:rsidP="00F400D6">
            <w:pPr>
              <w:spacing w:after="0" w:line="240" w:lineRule="auto"/>
              <w:jc w:val="center"/>
              <w:rPr>
                <w:rFonts w:ascii="Book Antiqua" w:eastAsia="Times New Roman" w:hAnsi="Book Antiqua" w:cs="Calibri"/>
                <w:sz w:val="18"/>
                <w:szCs w:val="18"/>
                <w:lang w:eastAsia="es-CR"/>
              </w:rPr>
            </w:pPr>
            <w:r w:rsidRPr="00294FCD">
              <w:rPr>
                <w:rFonts w:ascii="Book Antiqua" w:eastAsia="Times New Roman" w:hAnsi="Book Antiqua" w:cs="Calibri"/>
                <w:sz w:val="18"/>
                <w:szCs w:val="18"/>
                <w:lang w:eastAsia="es-CR"/>
              </w:rPr>
              <w:t>1.14</w:t>
            </w:r>
          </w:p>
        </w:tc>
        <w:tc>
          <w:tcPr>
            <w:tcW w:w="4111" w:type="dxa"/>
            <w:tcBorders>
              <w:top w:val="nil"/>
              <w:left w:val="nil"/>
              <w:bottom w:val="single" w:sz="4" w:space="0" w:color="auto"/>
              <w:right w:val="single" w:sz="4" w:space="0" w:color="auto"/>
            </w:tcBorders>
            <w:shd w:val="clear" w:color="auto" w:fill="auto"/>
            <w:vAlign w:val="center"/>
            <w:hideMark/>
          </w:tcPr>
          <w:p w14:paraId="1786A10A" w14:textId="77777777" w:rsidR="000B7A67" w:rsidRPr="00294FCD" w:rsidRDefault="000B7A67" w:rsidP="008C331F">
            <w:pPr>
              <w:spacing w:after="0" w:line="240" w:lineRule="auto"/>
              <w:jc w:val="both"/>
              <w:rPr>
                <w:rFonts w:ascii="Book Antiqua" w:eastAsia="Times New Roman" w:hAnsi="Book Antiqua" w:cs="Calibri"/>
                <w:sz w:val="18"/>
                <w:szCs w:val="18"/>
                <w:lang w:eastAsia="es-CR"/>
              </w:rPr>
            </w:pPr>
            <w:r w:rsidRPr="00294FCD">
              <w:rPr>
                <w:rFonts w:ascii="Book Antiqua" w:eastAsia="Times New Roman" w:hAnsi="Book Antiqua" w:cs="Calibri"/>
                <w:sz w:val="18"/>
                <w:szCs w:val="18"/>
                <w:lang w:eastAsia="es-CR"/>
              </w:rPr>
              <w:t>Pendiente elaborar solicitud de cambio y realizar ajuste en el cronograma para justificar retraso.</w:t>
            </w:r>
          </w:p>
        </w:tc>
      </w:tr>
      <w:tr w:rsidR="007E6FC1" w:rsidRPr="00294FCD" w14:paraId="101A2DA1" w14:textId="77777777" w:rsidTr="00301740">
        <w:trPr>
          <w:trHeight w:val="414"/>
        </w:trPr>
        <w:tc>
          <w:tcPr>
            <w:tcW w:w="1418" w:type="dxa"/>
            <w:vMerge/>
            <w:tcBorders>
              <w:top w:val="nil"/>
              <w:left w:val="single" w:sz="4" w:space="0" w:color="auto"/>
              <w:bottom w:val="single" w:sz="4" w:space="0" w:color="000000"/>
              <w:right w:val="single" w:sz="4" w:space="0" w:color="auto"/>
            </w:tcBorders>
            <w:vAlign w:val="center"/>
            <w:hideMark/>
          </w:tcPr>
          <w:p w14:paraId="07AD703A"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418" w:type="dxa"/>
            <w:vMerge/>
            <w:tcBorders>
              <w:top w:val="nil"/>
              <w:left w:val="single" w:sz="4" w:space="0" w:color="auto"/>
              <w:bottom w:val="single" w:sz="4" w:space="0" w:color="000000"/>
              <w:right w:val="single" w:sz="4" w:space="0" w:color="auto"/>
            </w:tcBorders>
            <w:vAlign w:val="center"/>
            <w:hideMark/>
          </w:tcPr>
          <w:p w14:paraId="23B713CC"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417F51D3"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417" w:type="dxa"/>
            <w:vMerge/>
            <w:tcBorders>
              <w:top w:val="nil"/>
              <w:left w:val="single" w:sz="4" w:space="0" w:color="auto"/>
              <w:bottom w:val="single" w:sz="4" w:space="0" w:color="000000"/>
              <w:right w:val="single" w:sz="4" w:space="0" w:color="auto"/>
            </w:tcBorders>
            <w:vAlign w:val="center"/>
            <w:hideMark/>
          </w:tcPr>
          <w:p w14:paraId="4C72E7E3"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6F36E04E"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2.1</w:t>
            </w:r>
          </w:p>
        </w:tc>
        <w:tc>
          <w:tcPr>
            <w:tcW w:w="4111" w:type="dxa"/>
            <w:tcBorders>
              <w:top w:val="nil"/>
              <w:left w:val="nil"/>
              <w:bottom w:val="single" w:sz="4" w:space="0" w:color="auto"/>
              <w:right w:val="single" w:sz="4" w:space="0" w:color="auto"/>
            </w:tcBorders>
            <w:shd w:val="clear" w:color="auto" w:fill="auto"/>
            <w:vAlign w:val="center"/>
            <w:hideMark/>
          </w:tcPr>
          <w:p w14:paraId="2747FF4E" w14:textId="77777777" w:rsidR="000B7A67" w:rsidRPr="00294FCD" w:rsidRDefault="000B7A67" w:rsidP="008C331F">
            <w:pPr>
              <w:spacing w:after="0" w:line="240" w:lineRule="auto"/>
              <w:jc w:val="both"/>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El informe de avance presentaba incorrecto el porcentaje esperado.</w:t>
            </w:r>
          </w:p>
        </w:tc>
      </w:tr>
      <w:tr w:rsidR="007E6FC1" w:rsidRPr="00294FCD" w14:paraId="547D730A" w14:textId="77777777" w:rsidTr="00301740">
        <w:trPr>
          <w:trHeight w:val="326"/>
        </w:trPr>
        <w:tc>
          <w:tcPr>
            <w:tcW w:w="1418" w:type="dxa"/>
            <w:vMerge/>
            <w:tcBorders>
              <w:top w:val="nil"/>
              <w:left w:val="single" w:sz="4" w:space="0" w:color="auto"/>
              <w:bottom w:val="single" w:sz="4" w:space="0" w:color="000000"/>
              <w:right w:val="single" w:sz="4" w:space="0" w:color="auto"/>
            </w:tcBorders>
            <w:vAlign w:val="center"/>
            <w:hideMark/>
          </w:tcPr>
          <w:p w14:paraId="5755283E"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418" w:type="dxa"/>
            <w:vMerge/>
            <w:tcBorders>
              <w:top w:val="nil"/>
              <w:left w:val="single" w:sz="4" w:space="0" w:color="auto"/>
              <w:bottom w:val="single" w:sz="4" w:space="0" w:color="000000"/>
              <w:right w:val="single" w:sz="4" w:space="0" w:color="auto"/>
            </w:tcBorders>
            <w:vAlign w:val="center"/>
            <w:hideMark/>
          </w:tcPr>
          <w:p w14:paraId="78F5B98C"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05DC26B3"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417" w:type="dxa"/>
            <w:vMerge/>
            <w:tcBorders>
              <w:top w:val="nil"/>
              <w:left w:val="single" w:sz="4" w:space="0" w:color="auto"/>
              <w:bottom w:val="single" w:sz="4" w:space="0" w:color="000000"/>
              <w:right w:val="single" w:sz="4" w:space="0" w:color="auto"/>
            </w:tcBorders>
            <w:vAlign w:val="center"/>
            <w:hideMark/>
          </w:tcPr>
          <w:p w14:paraId="69C557CC"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52C624D8"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2.2</w:t>
            </w:r>
          </w:p>
        </w:tc>
        <w:tc>
          <w:tcPr>
            <w:tcW w:w="4111" w:type="dxa"/>
            <w:tcBorders>
              <w:top w:val="nil"/>
              <w:left w:val="nil"/>
              <w:bottom w:val="single" w:sz="4" w:space="0" w:color="auto"/>
              <w:right w:val="single" w:sz="4" w:space="0" w:color="auto"/>
            </w:tcBorders>
            <w:shd w:val="clear" w:color="auto" w:fill="auto"/>
            <w:vAlign w:val="center"/>
            <w:hideMark/>
          </w:tcPr>
          <w:p w14:paraId="1680565A" w14:textId="77777777" w:rsidR="000B7A67" w:rsidRPr="00294FCD" w:rsidRDefault="000B7A67" w:rsidP="008C331F">
            <w:pPr>
              <w:spacing w:after="0" w:line="240" w:lineRule="auto"/>
              <w:jc w:val="both"/>
              <w:rPr>
                <w:rFonts w:ascii="Book Antiqua" w:eastAsia="Times New Roman" w:hAnsi="Book Antiqua" w:cs="Calibri"/>
                <w:sz w:val="18"/>
                <w:szCs w:val="18"/>
                <w:lang w:eastAsia="es-CR"/>
              </w:rPr>
            </w:pPr>
            <w:r w:rsidRPr="00294FCD">
              <w:rPr>
                <w:rFonts w:ascii="Book Antiqua" w:eastAsia="Times New Roman" w:hAnsi="Book Antiqua" w:cs="Calibri"/>
                <w:sz w:val="18"/>
                <w:szCs w:val="18"/>
                <w:lang w:eastAsia="es-CR"/>
              </w:rPr>
              <w:t>Pendiente elaborar solicitud de cambio y realizar ajuste en el cronograma para justificar retraso.</w:t>
            </w:r>
          </w:p>
        </w:tc>
      </w:tr>
      <w:tr w:rsidR="007E6FC1" w:rsidRPr="00294FCD" w14:paraId="3B7661C1" w14:textId="77777777" w:rsidTr="00301740">
        <w:trPr>
          <w:trHeight w:val="600"/>
        </w:trPr>
        <w:tc>
          <w:tcPr>
            <w:tcW w:w="1418" w:type="dxa"/>
            <w:vMerge/>
            <w:tcBorders>
              <w:top w:val="nil"/>
              <w:left w:val="single" w:sz="4" w:space="0" w:color="auto"/>
              <w:bottom w:val="single" w:sz="4" w:space="0" w:color="000000"/>
              <w:right w:val="single" w:sz="4" w:space="0" w:color="auto"/>
            </w:tcBorders>
            <w:vAlign w:val="center"/>
            <w:hideMark/>
          </w:tcPr>
          <w:p w14:paraId="6BB3373F"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418" w:type="dxa"/>
            <w:vMerge/>
            <w:tcBorders>
              <w:top w:val="nil"/>
              <w:left w:val="single" w:sz="4" w:space="0" w:color="auto"/>
              <w:bottom w:val="single" w:sz="4" w:space="0" w:color="000000"/>
              <w:right w:val="single" w:sz="4" w:space="0" w:color="auto"/>
            </w:tcBorders>
            <w:vAlign w:val="center"/>
            <w:hideMark/>
          </w:tcPr>
          <w:p w14:paraId="555B6C50"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2F571FCA"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P10-PRI-PC</w:t>
            </w:r>
          </w:p>
        </w:tc>
        <w:tc>
          <w:tcPr>
            <w:tcW w:w="1417" w:type="dxa"/>
            <w:tcBorders>
              <w:top w:val="nil"/>
              <w:left w:val="nil"/>
              <w:bottom w:val="single" w:sz="4" w:space="0" w:color="auto"/>
              <w:right w:val="single" w:sz="4" w:space="0" w:color="auto"/>
            </w:tcBorders>
            <w:shd w:val="clear" w:color="auto" w:fill="auto"/>
            <w:vAlign w:val="center"/>
            <w:hideMark/>
          </w:tcPr>
          <w:p w14:paraId="3C6B6359"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Reglamento de Carrera de la Defensa Publica</w:t>
            </w:r>
          </w:p>
        </w:tc>
        <w:tc>
          <w:tcPr>
            <w:tcW w:w="1134" w:type="dxa"/>
            <w:tcBorders>
              <w:top w:val="nil"/>
              <w:left w:val="nil"/>
              <w:bottom w:val="single" w:sz="4" w:space="0" w:color="auto"/>
              <w:right w:val="single" w:sz="4" w:space="0" w:color="auto"/>
            </w:tcBorders>
            <w:shd w:val="clear" w:color="auto" w:fill="auto"/>
            <w:vAlign w:val="center"/>
            <w:hideMark/>
          </w:tcPr>
          <w:p w14:paraId="7ECF146F"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2.1</w:t>
            </w:r>
          </w:p>
        </w:tc>
        <w:tc>
          <w:tcPr>
            <w:tcW w:w="4111" w:type="dxa"/>
            <w:tcBorders>
              <w:top w:val="nil"/>
              <w:left w:val="nil"/>
              <w:bottom w:val="single" w:sz="4" w:space="0" w:color="auto"/>
              <w:right w:val="single" w:sz="4" w:space="0" w:color="auto"/>
            </w:tcBorders>
            <w:shd w:val="clear" w:color="auto" w:fill="auto"/>
            <w:vAlign w:val="center"/>
            <w:hideMark/>
          </w:tcPr>
          <w:p w14:paraId="694FF4FC" w14:textId="77777777" w:rsidR="000B7A67" w:rsidRPr="00294FCD" w:rsidRDefault="000B7A67" w:rsidP="008C331F">
            <w:pPr>
              <w:spacing w:after="0" w:line="240" w:lineRule="auto"/>
              <w:jc w:val="both"/>
              <w:rPr>
                <w:rFonts w:ascii="Book Antiqua" w:eastAsia="Times New Roman" w:hAnsi="Book Antiqua" w:cs="Calibri"/>
                <w:sz w:val="18"/>
                <w:szCs w:val="18"/>
                <w:lang w:eastAsia="es-CR"/>
              </w:rPr>
            </w:pPr>
            <w:r w:rsidRPr="00294FCD">
              <w:rPr>
                <w:rFonts w:ascii="Book Antiqua" w:eastAsia="Times New Roman" w:hAnsi="Book Antiqua" w:cs="Calibri"/>
                <w:sz w:val="18"/>
                <w:szCs w:val="18"/>
                <w:lang w:eastAsia="es-CR"/>
              </w:rPr>
              <w:t>Pendiente de elaborar el III informe de seguimiento.</w:t>
            </w:r>
          </w:p>
        </w:tc>
      </w:tr>
      <w:tr w:rsidR="00BC00B3" w:rsidRPr="00ED01F9" w14:paraId="5E0B5033" w14:textId="77777777" w:rsidTr="00301740">
        <w:trPr>
          <w:trHeight w:val="900"/>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47910CC5" w14:textId="77777777" w:rsidR="000B7A67" w:rsidRPr="00ED01F9" w:rsidRDefault="000B7A67" w:rsidP="00F400D6">
            <w:pPr>
              <w:spacing w:after="0" w:line="240" w:lineRule="auto"/>
              <w:jc w:val="center"/>
              <w:rPr>
                <w:rFonts w:ascii="Book Antiqua" w:eastAsia="Times New Roman" w:hAnsi="Book Antiqua" w:cs="Calibri"/>
                <w:color w:val="000000"/>
                <w:sz w:val="18"/>
                <w:szCs w:val="18"/>
                <w:lang w:eastAsia="es-CR"/>
              </w:rPr>
            </w:pPr>
            <w:bookmarkStart w:id="24" w:name="_Hlk138055974"/>
            <w:r w:rsidRPr="00ED01F9">
              <w:rPr>
                <w:rFonts w:ascii="Book Antiqua" w:eastAsia="Times New Roman" w:hAnsi="Book Antiqua" w:cs="Calibri"/>
                <w:color w:val="000000"/>
                <w:sz w:val="18"/>
                <w:szCs w:val="18"/>
                <w:lang w:eastAsia="es-CR"/>
              </w:rPr>
              <w:t>Despacho de la Presidencia</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22A3AB5F" w14:textId="77777777" w:rsidR="000B7A67" w:rsidRPr="00ED01F9" w:rsidRDefault="000B7A67" w:rsidP="00F400D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1049 Sección de Cooperación y Relaciones Internacionales</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BF23220" w14:textId="77777777" w:rsidR="000B7A67" w:rsidRPr="00ED01F9" w:rsidRDefault="000B7A67" w:rsidP="00F400D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0653-DP-P12</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579F4EE" w14:textId="77777777" w:rsidR="000B7A67" w:rsidRPr="00ED01F9" w:rsidRDefault="000B7A67" w:rsidP="00F400D6">
            <w:pPr>
              <w:spacing w:after="0" w:line="240" w:lineRule="auto"/>
              <w:jc w:val="center"/>
              <w:rPr>
                <w:rFonts w:ascii="Book Antiqua" w:eastAsia="Times New Roman" w:hAnsi="Book Antiqua" w:cs="Calibri"/>
                <w:sz w:val="18"/>
                <w:szCs w:val="18"/>
                <w:lang w:eastAsia="es-CR"/>
              </w:rPr>
            </w:pPr>
            <w:r w:rsidRPr="00ED01F9">
              <w:rPr>
                <w:rFonts w:ascii="Book Antiqua" w:eastAsia="Times New Roman" w:hAnsi="Book Antiqua" w:cs="Calibri"/>
                <w:sz w:val="18"/>
                <w:szCs w:val="18"/>
                <w:lang w:eastAsia="es-CR"/>
              </w:rPr>
              <w:t>Implementación de los ODS y Cumplimiento de la Agenda 2030</w:t>
            </w:r>
          </w:p>
        </w:tc>
        <w:tc>
          <w:tcPr>
            <w:tcW w:w="1134" w:type="dxa"/>
            <w:tcBorders>
              <w:top w:val="nil"/>
              <w:left w:val="nil"/>
              <w:bottom w:val="single" w:sz="4" w:space="0" w:color="auto"/>
              <w:right w:val="single" w:sz="4" w:space="0" w:color="auto"/>
            </w:tcBorders>
            <w:shd w:val="clear" w:color="auto" w:fill="auto"/>
            <w:vAlign w:val="center"/>
            <w:hideMark/>
          </w:tcPr>
          <w:p w14:paraId="02B61952" w14:textId="77777777" w:rsidR="000B7A67" w:rsidRPr="00ED01F9" w:rsidRDefault="000B7A67" w:rsidP="00F400D6">
            <w:pPr>
              <w:spacing w:after="0" w:line="240" w:lineRule="auto"/>
              <w:jc w:val="center"/>
              <w:rPr>
                <w:rFonts w:ascii="Book Antiqua" w:eastAsia="Times New Roman" w:hAnsi="Book Antiqua" w:cs="Calibri"/>
                <w:sz w:val="18"/>
                <w:szCs w:val="18"/>
                <w:lang w:eastAsia="es-CR"/>
              </w:rPr>
            </w:pPr>
            <w:r w:rsidRPr="00ED01F9">
              <w:rPr>
                <w:rFonts w:ascii="Book Antiqua" w:eastAsia="Times New Roman" w:hAnsi="Book Antiqua" w:cs="Calibri"/>
                <w:sz w:val="18"/>
                <w:szCs w:val="18"/>
                <w:lang w:eastAsia="es-CR"/>
              </w:rPr>
              <w:t>1.14</w:t>
            </w:r>
          </w:p>
        </w:tc>
        <w:tc>
          <w:tcPr>
            <w:tcW w:w="4111" w:type="dxa"/>
            <w:tcBorders>
              <w:top w:val="nil"/>
              <w:left w:val="nil"/>
              <w:bottom w:val="single" w:sz="4" w:space="0" w:color="auto"/>
              <w:right w:val="single" w:sz="4" w:space="0" w:color="auto"/>
            </w:tcBorders>
            <w:shd w:val="clear" w:color="auto" w:fill="auto"/>
            <w:vAlign w:val="center"/>
            <w:hideMark/>
          </w:tcPr>
          <w:p w14:paraId="1EF5FD83" w14:textId="77777777" w:rsidR="000B7A67" w:rsidRPr="00ED01F9" w:rsidRDefault="000B7A67" w:rsidP="008C331F">
            <w:pPr>
              <w:spacing w:after="0" w:line="240" w:lineRule="auto"/>
              <w:jc w:val="both"/>
              <w:rPr>
                <w:rFonts w:ascii="Book Antiqua" w:eastAsia="Times New Roman" w:hAnsi="Book Antiqua" w:cs="Calibri"/>
                <w:sz w:val="18"/>
                <w:szCs w:val="18"/>
                <w:lang w:eastAsia="es-CR"/>
              </w:rPr>
            </w:pPr>
            <w:r w:rsidRPr="00ED01F9">
              <w:rPr>
                <w:rFonts w:ascii="Book Antiqua" w:eastAsia="Times New Roman" w:hAnsi="Book Antiqua" w:cs="Calibri"/>
                <w:sz w:val="18"/>
                <w:szCs w:val="18"/>
                <w:lang w:eastAsia="es-CR"/>
              </w:rPr>
              <w:t>Pendiente de actualizar documento producto de la solicitud de cambio.</w:t>
            </w:r>
          </w:p>
        </w:tc>
      </w:tr>
      <w:tr w:rsidR="00BC00B3" w:rsidRPr="00ED01F9" w14:paraId="66791958" w14:textId="77777777" w:rsidTr="00301740">
        <w:trPr>
          <w:trHeight w:val="900"/>
        </w:trPr>
        <w:tc>
          <w:tcPr>
            <w:tcW w:w="1418" w:type="dxa"/>
            <w:vMerge/>
            <w:tcBorders>
              <w:top w:val="nil"/>
              <w:left w:val="single" w:sz="4" w:space="0" w:color="auto"/>
              <w:bottom w:val="single" w:sz="4" w:space="0" w:color="auto"/>
              <w:right w:val="single" w:sz="4" w:space="0" w:color="auto"/>
            </w:tcBorders>
            <w:vAlign w:val="center"/>
            <w:hideMark/>
          </w:tcPr>
          <w:p w14:paraId="73109B8D" w14:textId="77777777" w:rsidR="000B7A67" w:rsidRPr="00ED01F9" w:rsidRDefault="000B7A67" w:rsidP="00F400D6">
            <w:pPr>
              <w:spacing w:after="0" w:line="240" w:lineRule="auto"/>
              <w:rPr>
                <w:rFonts w:ascii="Book Antiqua" w:eastAsia="Times New Roman" w:hAnsi="Book Antiqua" w:cs="Calibri"/>
                <w:color w:val="000000"/>
                <w:sz w:val="18"/>
                <w:szCs w:val="18"/>
                <w:lang w:eastAsia="es-CR"/>
              </w:rPr>
            </w:pPr>
          </w:p>
        </w:tc>
        <w:tc>
          <w:tcPr>
            <w:tcW w:w="1418" w:type="dxa"/>
            <w:vMerge/>
            <w:tcBorders>
              <w:top w:val="nil"/>
              <w:left w:val="single" w:sz="4" w:space="0" w:color="auto"/>
              <w:bottom w:val="single" w:sz="4" w:space="0" w:color="auto"/>
              <w:right w:val="single" w:sz="4" w:space="0" w:color="auto"/>
            </w:tcBorders>
            <w:vAlign w:val="center"/>
            <w:hideMark/>
          </w:tcPr>
          <w:p w14:paraId="5F2C670F" w14:textId="77777777" w:rsidR="000B7A67" w:rsidRPr="00ED01F9" w:rsidRDefault="000B7A67" w:rsidP="00F400D6">
            <w:pPr>
              <w:spacing w:after="0" w:line="240" w:lineRule="auto"/>
              <w:rPr>
                <w:rFonts w:ascii="Book Antiqua" w:eastAsia="Times New Roman" w:hAnsi="Book Antiqua" w:cs="Calibri"/>
                <w:color w:val="000000"/>
                <w:sz w:val="18"/>
                <w:szCs w:val="18"/>
                <w:lang w:eastAsia="es-CR"/>
              </w:rPr>
            </w:pPr>
          </w:p>
        </w:tc>
        <w:tc>
          <w:tcPr>
            <w:tcW w:w="1134" w:type="dxa"/>
            <w:vMerge/>
            <w:tcBorders>
              <w:top w:val="nil"/>
              <w:left w:val="single" w:sz="4" w:space="0" w:color="auto"/>
              <w:bottom w:val="single" w:sz="4" w:space="0" w:color="auto"/>
              <w:right w:val="single" w:sz="4" w:space="0" w:color="auto"/>
            </w:tcBorders>
            <w:vAlign w:val="center"/>
            <w:hideMark/>
          </w:tcPr>
          <w:p w14:paraId="457A8796" w14:textId="77777777" w:rsidR="000B7A67" w:rsidRPr="00ED01F9" w:rsidRDefault="000B7A67" w:rsidP="00F400D6">
            <w:pPr>
              <w:spacing w:after="0" w:line="240" w:lineRule="auto"/>
              <w:rPr>
                <w:rFonts w:ascii="Book Antiqua" w:eastAsia="Times New Roman" w:hAnsi="Book Antiqua" w:cs="Calibri"/>
                <w:color w:val="000000"/>
                <w:sz w:val="18"/>
                <w:szCs w:val="18"/>
                <w:lang w:eastAsia="es-CR"/>
              </w:rPr>
            </w:pPr>
          </w:p>
        </w:tc>
        <w:tc>
          <w:tcPr>
            <w:tcW w:w="1417" w:type="dxa"/>
            <w:vMerge/>
            <w:tcBorders>
              <w:top w:val="nil"/>
              <w:left w:val="single" w:sz="4" w:space="0" w:color="auto"/>
              <w:bottom w:val="single" w:sz="4" w:space="0" w:color="auto"/>
              <w:right w:val="single" w:sz="4" w:space="0" w:color="auto"/>
            </w:tcBorders>
            <w:vAlign w:val="center"/>
            <w:hideMark/>
          </w:tcPr>
          <w:p w14:paraId="08B056DE" w14:textId="77777777" w:rsidR="000B7A67" w:rsidRPr="00ED01F9" w:rsidRDefault="000B7A67" w:rsidP="00F400D6">
            <w:pPr>
              <w:spacing w:after="0" w:line="240" w:lineRule="auto"/>
              <w:rPr>
                <w:rFonts w:ascii="Book Antiqua" w:eastAsia="Times New Roman" w:hAnsi="Book Antiqua" w:cs="Calibri"/>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70014029" w14:textId="77777777" w:rsidR="000B7A67" w:rsidRPr="00ED01F9" w:rsidRDefault="000B7A67" w:rsidP="00F400D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2.4</w:t>
            </w:r>
          </w:p>
        </w:tc>
        <w:tc>
          <w:tcPr>
            <w:tcW w:w="4111" w:type="dxa"/>
            <w:tcBorders>
              <w:top w:val="nil"/>
              <w:left w:val="nil"/>
              <w:bottom w:val="single" w:sz="4" w:space="0" w:color="auto"/>
              <w:right w:val="single" w:sz="4" w:space="0" w:color="auto"/>
            </w:tcBorders>
            <w:shd w:val="clear" w:color="auto" w:fill="auto"/>
            <w:vAlign w:val="center"/>
            <w:hideMark/>
          </w:tcPr>
          <w:p w14:paraId="7B0769F7" w14:textId="77777777" w:rsidR="000B7A67" w:rsidRPr="00ED01F9" w:rsidRDefault="000B7A67" w:rsidP="008C331F">
            <w:pPr>
              <w:spacing w:after="0" w:line="240" w:lineRule="auto"/>
              <w:jc w:val="both"/>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Pendiente aprobación del informe de cierre por parte del patrocinador</w:t>
            </w:r>
          </w:p>
        </w:tc>
      </w:tr>
      <w:tr w:rsidR="007E6FC1" w:rsidRPr="00ED01F9" w14:paraId="625A8A29" w14:textId="77777777" w:rsidTr="00301740">
        <w:trPr>
          <w:trHeight w:val="1200"/>
        </w:trPr>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4ECE4578" w14:textId="77777777" w:rsidR="000B7A67" w:rsidRPr="00ED01F9" w:rsidRDefault="000B7A67" w:rsidP="00F400D6">
            <w:pPr>
              <w:spacing w:after="0" w:line="240" w:lineRule="auto"/>
              <w:jc w:val="center"/>
              <w:rPr>
                <w:rFonts w:ascii="Book Antiqua" w:eastAsia="Times New Roman" w:hAnsi="Book Antiqua" w:cs="Calibri"/>
                <w:color w:val="000000"/>
                <w:sz w:val="18"/>
                <w:szCs w:val="18"/>
                <w:lang w:eastAsia="es-CR"/>
              </w:rPr>
            </w:pPr>
            <w:bookmarkStart w:id="25" w:name="_Hlk138061077"/>
            <w:bookmarkEnd w:id="24"/>
            <w:r w:rsidRPr="00ED01F9">
              <w:rPr>
                <w:rFonts w:ascii="Book Antiqua" w:eastAsia="Times New Roman" w:hAnsi="Book Antiqua" w:cs="Calibri"/>
                <w:color w:val="000000"/>
                <w:sz w:val="18"/>
                <w:szCs w:val="18"/>
                <w:lang w:eastAsia="es-CR"/>
              </w:rPr>
              <w:t>Despacho de la Presidencia</w:t>
            </w:r>
          </w:p>
        </w:tc>
        <w:tc>
          <w:tcPr>
            <w:tcW w:w="1418" w:type="dxa"/>
            <w:vMerge w:val="restart"/>
            <w:tcBorders>
              <w:top w:val="nil"/>
              <w:left w:val="single" w:sz="4" w:space="0" w:color="auto"/>
              <w:right w:val="single" w:sz="4" w:space="0" w:color="auto"/>
            </w:tcBorders>
            <w:shd w:val="clear" w:color="auto" w:fill="auto"/>
            <w:vAlign w:val="center"/>
            <w:hideMark/>
          </w:tcPr>
          <w:p w14:paraId="5A4BFA23" w14:textId="77777777" w:rsidR="000B7A67" w:rsidRPr="00ED01F9" w:rsidRDefault="000B7A67" w:rsidP="00F400D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 xml:space="preserve">1324 </w:t>
            </w:r>
            <w:r>
              <w:rPr>
                <w:rFonts w:ascii="Book Antiqua" w:eastAsia="Times New Roman" w:hAnsi="Book Antiqua" w:cs="Calibri"/>
                <w:color w:val="000000"/>
                <w:sz w:val="18"/>
                <w:szCs w:val="18"/>
                <w:lang w:eastAsia="es-CR"/>
              </w:rPr>
              <w:t>C</w:t>
            </w:r>
            <w:r w:rsidRPr="00ED01F9">
              <w:rPr>
                <w:rFonts w:ascii="Book Antiqua" w:eastAsia="Times New Roman" w:hAnsi="Book Antiqua" w:cs="Calibri"/>
                <w:color w:val="000000"/>
                <w:sz w:val="18"/>
                <w:szCs w:val="18"/>
                <w:lang w:eastAsia="es-CR"/>
              </w:rPr>
              <w:t xml:space="preserve">entro de </w:t>
            </w:r>
            <w:r>
              <w:rPr>
                <w:rFonts w:ascii="Book Antiqua" w:eastAsia="Times New Roman" w:hAnsi="Book Antiqua" w:cs="Calibri"/>
                <w:color w:val="000000"/>
                <w:sz w:val="18"/>
                <w:szCs w:val="18"/>
                <w:lang w:eastAsia="es-CR"/>
              </w:rPr>
              <w:t>A</w:t>
            </w:r>
            <w:r w:rsidRPr="00ED01F9">
              <w:rPr>
                <w:rFonts w:ascii="Book Antiqua" w:eastAsia="Times New Roman" w:hAnsi="Book Antiqua" w:cs="Calibri"/>
                <w:color w:val="000000"/>
                <w:sz w:val="18"/>
                <w:szCs w:val="18"/>
                <w:lang w:eastAsia="es-CR"/>
              </w:rPr>
              <w:t xml:space="preserve">poyo, </w:t>
            </w:r>
            <w:r>
              <w:rPr>
                <w:rFonts w:ascii="Book Antiqua" w:eastAsia="Times New Roman" w:hAnsi="Book Antiqua" w:cs="Calibri"/>
                <w:color w:val="000000"/>
                <w:sz w:val="18"/>
                <w:szCs w:val="18"/>
                <w:lang w:eastAsia="es-CR"/>
              </w:rPr>
              <w:t>C</w:t>
            </w:r>
            <w:r w:rsidRPr="00ED01F9">
              <w:rPr>
                <w:rFonts w:ascii="Book Antiqua" w:eastAsia="Times New Roman" w:hAnsi="Book Antiqua" w:cs="Calibri"/>
                <w:color w:val="000000"/>
                <w:sz w:val="18"/>
                <w:szCs w:val="18"/>
                <w:lang w:eastAsia="es-CR"/>
              </w:rPr>
              <w:t xml:space="preserve">oordinación y </w:t>
            </w:r>
            <w:r>
              <w:rPr>
                <w:rFonts w:ascii="Book Antiqua" w:eastAsia="Times New Roman" w:hAnsi="Book Antiqua" w:cs="Calibri"/>
                <w:color w:val="000000"/>
                <w:sz w:val="18"/>
                <w:szCs w:val="18"/>
                <w:lang w:eastAsia="es-CR"/>
              </w:rPr>
              <w:t>M</w:t>
            </w:r>
            <w:r w:rsidRPr="00ED01F9">
              <w:rPr>
                <w:rFonts w:ascii="Book Antiqua" w:eastAsia="Times New Roman" w:hAnsi="Book Antiqua" w:cs="Calibri"/>
                <w:color w:val="000000"/>
                <w:sz w:val="18"/>
                <w:szCs w:val="18"/>
                <w:lang w:eastAsia="es-CR"/>
              </w:rPr>
              <w:t xml:space="preserve">ejoramiento de la </w:t>
            </w:r>
            <w:r>
              <w:rPr>
                <w:rFonts w:ascii="Book Antiqua" w:eastAsia="Times New Roman" w:hAnsi="Book Antiqua" w:cs="Calibri"/>
                <w:color w:val="000000"/>
                <w:sz w:val="18"/>
                <w:szCs w:val="18"/>
                <w:lang w:eastAsia="es-CR"/>
              </w:rPr>
              <w:t>F</w:t>
            </w:r>
            <w:r w:rsidRPr="00ED01F9">
              <w:rPr>
                <w:rFonts w:ascii="Book Antiqua" w:eastAsia="Times New Roman" w:hAnsi="Book Antiqua" w:cs="Calibri"/>
                <w:color w:val="000000"/>
                <w:sz w:val="18"/>
                <w:szCs w:val="18"/>
                <w:lang w:eastAsia="es-CR"/>
              </w:rPr>
              <w:t xml:space="preserve">unción </w:t>
            </w:r>
            <w:r>
              <w:rPr>
                <w:rFonts w:ascii="Book Antiqua" w:eastAsia="Times New Roman" w:hAnsi="Book Antiqua" w:cs="Calibri"/>
                <w:color w:val="000000"/>
                <w:sz w:val="18"/>
                <w:szCs w:val="18"/>
                <w:lang w:eastAsia="es-CR"/>
              </w:rPr>
              <w:t>J</w:t>
            </w:r>
            <w:r w:rsidRPr="00ED01F9">
              <w:rPr>
                <w:rFonts w:ascii="Book Antiqua" w:eastAsia="Times New Roman" w:hAnsi="Book Antiqua" w:cs="Calibri"/>
                <w:color w:val="000000"/>
                <w:sz w:val="18"/>
                <w:szCs w:val="18"/>
                <w:lang w:eastAsia="es-CR"/>
              </w:rPr>
              <w:t>urisdiccional</w:t>
            </w:r>
          </w:p>
        </w:tc>
        <w:tc>
          <w:tcPr>
            <w:tcW w:w="1134" w:type="dxa"/>
            <w:tcBorders>
              <w:top w:val="nil"/>
              <w:left w:val="nil"/>
              <w:bottom w:val="single" w:sz="4" w:space="0" w:color="auto"/>
              <w:right w:val="single" w:sz="4" w:space="0" w:color="auto"/>
            </w:tcBorders>
            <w:shd w:val="clear" w:color="auto" w:fill="auto"/>
            <w:vAlign w:val="center"/>
            <w:hideMark/>
          </w:tcPr>
          <w:p w14:paraId="2FC7FFFC" w14:textId="77777777" w:rsidR="000B7A67" w:rsidRPr="00ED01F9" w:rsidRDefault="000B7A67" w:rsidP="00F400D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1324-CACMFJ-P06</w:t>
            </w:r>
          </w:p>
        </w:tc>
        <w:tc>
          <w:tcPr>
            <w:tcW w:w="1417" w:type="dxa"/>
            <w:tcBorders>
              <w:top w:val="nil"/>
              <w:left w:val="nil"/>
              <w:bottom w:val="single" w:sz="4" w:space="0" w:color="auto"/>
              <w:right w:val="single" w:sz="4" w:space="0" w:color="auto"/>
            </w:tcBorders>
            <w:shd w:val="clear" w:color="auto" w:fill="auto"/>
            <w:vAlign w:val="center"/>
            <w:hideMark/>
          </w:tcPr>
          <w:p w14:paraId="26B43646" w14:textId="77777777" w:rsidR="000B7A67" w:rsidRPr="00ED01F9" w:rsidRDefault="000B7A67" w:rsidP="00F400D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Plan de Atención de los Procesos Expropiatorios en el Juzgado Contencioso Administrativo y Civil Hacienda</w:t>
            </w:r>
          </w:p>
        </w:tc>
        <w:tc>
          <w:tcPr>
            <w:tcW w:w="1134" w:type="dxa"/>
            <w:tcBorders>
              <w:top w:val="nil"/>
              <w:left w:val="nil"/>
              <w:bottom w:val="single" w:sz="4" w:space="0" w:color="auto"/>
              <w:right w:val="single" w:sz="4" w:space="0" w:color="auto"/>
            </w:tcBorders>
            <w:shd w:val="clear" w:color="auto" w:fill="auto"/>
            <w:vAlign w:val="center"/>
            <w:hideMark/>
          </w:tcPr>
          <w:p w14:paraId="6A92D918" w14:textId="77777777" w:rsidR="000B7A67" w:rsidRPr="00ED01F9" w:rsidRDefault="000B7A67" w:rsidP="00F400D6">
            <w:pPr>
              <w:spacing w:after="0" w:line="240" w:lineRule="auto"/>
              <w:jc w:val="center"/>
              <w:rPr>
                <w:rFonts w:ascii="Book Antiqua" w:eastAsia="Times New Roman" w:hAnsi="Book Antiqua" w:cs="Calibri"/>
                <w:sz w:val="18"/>
                <w:szCs w:val="18"/>
                <w:lang w:eastAsia="es-CR"/>
              </w:rPr>
            </w:pPr>
            <w:r w:rsidRPr="00ED01F9">
              <w:rPr>
                <w:rFonts w:ascii="Book Antiqua" w:eastAsia="Times New Roman" w:hAnsi="Book Antiqua" w:cs="Calibri"/>
                <w:sz w:val="18"/>
                <w:szCs w:val="18"/>
                <w:lang w:eastAsia="es-CR"/>
              </w:rPr>
              <w:t>1.3</w:t>
            </w:r>
          </w:p>
        </w:tc>
        <w:tc>
          <w:tcPr>
            <w:tcW w:w="4111" w:type="dxa"/>
            <w:tcBorders>
              <w:top w:val="nil"/>
              <w:left w:val="nil"/>
              <w:bottom w:val="single" w:sz="4" w:space="0" w:color="auto"/>
              <w:right w:val="single" w:sz="4" w:space="0" w:color="auto"/>
            </w:tcBorders>
            <w:shd w:val="clear" w:color="auto" w:fill="auto"/>
            <w:vAlign w:val="center"/>
            <w:hideMark/>
          </w:tcPr>
          <w:p w14:paraId="1E9F5A5E" w14:textId="77777777" w:rsidR="000B7A67" w:rsidRPr="00ED01F9" w:rsidRDefault="000B7A67" w:rsidP="008C331F">
            <w:pPr>
              <w:spacing w:after="0" w:line="240" w:lineRule="auto"/>
              <w:jc w:val="both"/>
              <w:rPr>
                <w:rFonts w:ascii="Book Antiqua" w:eastAsia="Times New Roman" w:hAnsi="Book Antiqua" w:cs="Calibri"/>
                <w:sz w:val="18"/>
                <w:szCs w:val="18"/>
                <w:lang w:eastAsia="es-CR"/>
              </w:rPr>
            </w:pPr>
            <w:r w:rsidRPr="00ED01F9">
              <w:rPr>
                <w:rFonts w:ascii="Book Antiqua" w:eastAsia="Times New Roman" w:hAnsi="Book Antiqua" w:cs="Calibri"/>
                <w:sz w:val="18"/>
                <w:szCs w:val="18"/>
                <w:lang w:eastAsia="es-CR"/>
              </w:rPr>
              <w:t xml:space="preserve">Pendiente de enviar </w:t>
            </w:r>
            <w:r w:rsidRPr="00ED01F9">
              <w:rPr>
                <w:rFonts w:ascii="Book Antiqua" w:eastAsia="Times New Roman" w:hAnsi="Book Antiqua" w:cs="Calibri"/>
                <w:b/>
                <w:bCs/>
                <w:sz w:val="18"/>
                <w:szCs w:val="18"/>
                <w:lang w:eastAsia="es-CR"/>
              </w:rPr>
              <w:t xml:space="preserve">Estudio de factibilidad, Acta de constitución, Plan de Gestión. </w:t>
            </w:r>
          </w:p>
        </w:tc>
      </w:tr>
      <w:tr w:rsidR="007E6FC1" w:rsidRPr="00ED01F9" w14:paraId="2963BC9D" w14:textId="77777777" w:rsidTr="00301740">
        <w:trPr>
          <w:trHeight w:val="1148"/>
        </w:trPr>
        <w:tc>
          <w:tcPr>
            <w:tcW w:w="1418" w:type="dxa"/>
            <w:vMerge/>
            <w:tcBorders>
              <w:top w:val="nil"/>
              <w:left w:val="single" w:sz="4" w:space="0" w:color="auto"/>
              <w:bottom w:val="single" w:sz="4" w:space="0" w:color="000000"/>
              <w:right w:val="single" w:sz="4" w:space="0" w:color="auto"/>
            </w:tcBorders>
            <w:vAlign w:val="center"/>
            <w:hideMark/>
          </w:tcPr>
          <w:p w14:paraId="467321B5" w14:textId="77777777" w:rsidR="000B7A67" w:rsidRPr="00ED01F9" w:rsidRDefault="000B7A67" w:rsidP="00F400D6">
            <w:pPr>
              <w:spacing w:after="0" w:line="240" w:lineRule="auto"/>
              <w:rPr>
                <w:rFonts w:ascii="Book Antiqua" w:eastAsia="Times New Roman" w:hAnsi="Book Antiqua" w:cs="Calibri"/>
                <w:color w:val="000000"/>
                <w:sz w:val="18"/>
                <w:szCs w:val="18"/>
                <w:lang w:eastAsia="es-CR"/>
              </w:rPr>
            </w:pPr>
          </w:p>
        </w:tc>
        <w:tc>
          <w:tcPr>
            <w:tcW w:w="1418" w:type="dxa"/>
            <w:vMerge/>
            <w:tcBorders>
              <w:left w:val="single" w:sz="4" w:space="0" w:color="auto"/>
              <w:bottom w:val="single" w:sz="4" w:space="0" w:color="000000"/>
              <w:right w:val="single" w:sz="4" w:space="0" w:color="auto"/>
            </w:tcBorders>
            <w:vAlign w:val="center"/>
            <w:hideMark/>
          </w:tcPr>
          <w:p w14:paraId="49E0FC4A" w14:textId="77777777" w:rsidR="000B7A67" w:rsidRPr="00ED01F9" w:rsidRDefault="000B7A67" w:rsidP="00F400D6">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573B6D10" w14:textId="77777777" w:rsidR="000B7A67" w:rsidRPr="00ED01F9" w:rsidRDefault="000B7A67" w:rsidP="00F400D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1324-CACMFJ-P0</w:t>
            </w:r>
            <w:r>
              <w:rPr>
                <w:rFonts w:ascii="Book Antiqua" w:eastAsia="Times New Roman" w:hAnsi="Book Antiqua" w:cs="Calibri"/>
                <w:color w:val="000000"/>
                <w:sz w:val="18"/>
                <w:szCs w:val="18"/>
                <w:lang w:eastAsia="es-CR"/>
              </w:rPr>
              <w:t>7</w:t>
            </w:r>
          </w:p>
        </w:tc>
        <w:tc>
          <w:tcPr>
            <w:tcW w:w="1417" w:type="dxa"/>
            <w:tcBorders>
              <w:top w:val="nil"/>
              <w:left w:val="nil"/>
              <w:bottom w:val="single" w:sz="4" w:space="0" w:color="auto"/>
              <w:right w:val="single" w:sz="4" w:space="0" w:color="auto"/>
            </w:tcBorders>
            <w:shd w:val="clear" w:color="auto" w:fill="auto"/>
            <w:vAlign w:val="center"/>
            <w:hideMark/>
          </w:tcPr>
          <w:p w14:paraId="1DD3D1E9" w14:textId="77777777" w:rsidR="000B7A67" w:rsidRPr="00ED01F9" w:rsidRDefault="000B7A67" w:rsidP="00F400D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Proyecto operativo en el Área de Ejecución de Sentencias de Amparos de Legalidad del Tribunal Contencioso Administrativo</w:t>
            </w:r>
          </w:p>
        </w:tc>
        <w:tc>
          <w:tcPr>
            <w:tcW w:w="1134" w:type="dxa"/>
            <w:tcBorders>
              <w:top w:val="nil"/>
              <w:left w:val="nil"/>
              <w:bottom w:val="single" w:sz="4" w:space="0" w:color="auto"/>
              <w:right w:val="single" w:sz="4" w:space="0" w:color="auto"/>
            </w:tcBorders>
            <w:shd w:val="clear" w:color="auto" w:fill="auto"/>
            <w:vAlign w:val="center"/>
            <w:hideMark/>
          </w:tcPr>
          <w:p w14:paraId="62289BFA" w14:textId="77777777" w:rsidR="000B7A67" w:rsidRPr="00ED01F9" w:rsidRDefault="000B7A67" w:rsidP="00F400D6">
            <w:pPr>
              <w:spacing w:after="0" w:line="240" w:lineRule="auto"/>
              <w:jc w:val="center"/>
              <w:rPr>
                <w:rFonts w:ascii="Book Antiqua" w:eastAsia="Times New Roman" w:hAnsi="Book Antiqua" w:cs="Calibri"/>
                <w:sz w:val="18"/>
                <w:szCs w:val="18"/>
                <w:lang w:eastAsia="es-CR"/>
              </w:rPr>
            </w:pPr>
            <w:r w:rsidRPr="00ED01F9">
              <w:rPr>
                <w:rFonts w:ascii="Book Antiqua" w:eastAsia="Times New Roman" w:hAnsi="Book Antiqua" w:cs="Calibri"/>
                <w:sz w:val="18"/>
                <w:szCs w:val="18"/>
                <w:lang w:eastAsia="es-CR"/>
              </w:rPr>
              <w:t>1.3</w:t>
            </w:r>
          </w:p>
        </w:tc>
        <w:tc>
          <w:tcPr>
            <w:tcW w:w="4111" w:type="dxa"/>
            <w:tcBorders>
              <w:top w:val="nil"/>
              <w:left w:val="nil"/>
              <w:bottom w:val="single" w:sz="4" w:space="0" w:color="auto"/>
              <w:right w:val="single" w:sz="4" w:space="0" w:color="auto"/>
            </w:tcBorders>
            <w:shd w:val="clear" w:color="auto" w:fill="auto"/>
            <w:vAlign w:val="center"/>
            <w:hideMark/>
          </w:tcPr>
          <w:p w14:paraId="4AF4B8D6" w14:textId="77777777" w:rsidR="000B7A67" w:rsidRPr="00ED01F9" w:rsidRDefault="000B7A67" w:rsidP="008C331F">
            <w:pPr>
              <w:spacing w:after="0" w:line="240" w:lineRule="auto"/>
              <w:jc w:val="both"/>
              <w:rPr>
                <w:rFonts w:ascii="Book Antiqua" w:eastAsia="Times New Roman" w:hAnsi="Book Antiqua" w:cs="Calibri"/>
                <w:sz w:val="18"/>
                <w:szCs w:val="18"/>
                <w:lang w:eastAsia="es-CR"/>
              </w:rPr>
            </w:pPr>
            <w:r w:rsidRPr="00ED01F9">
              <w:rPr>
                <w:rFonts w:ascii="Book Antiqua" w:eastAsia="Times New Roman" w:hAnsi="Book Antiqua" w:cs="Calibri"/>
                <w:sz w:val="18"/>
                <w:szCs w:val="18"/>
                <w:lang w:eastAsia="es-CR"/>
              </w:rPr>
              <w:t xml:space="preserve">Pendiente de enviar </w:t>
            </w:r>
            <w:r w:rsidRPr="00ED01F9">
              <w:rPr>
                <w:rFonts w:ascii="Book Antiqua" w:eastAsia="Times New Roman" w:hAnsi="Book Antiqua" w:cs="Calibri"/>
                <w:b/>
                <w:bCs/>
                <w:sz w:val="18"/>
                <w:szCs w:val="18"/>
                <w:lang w:eastAsia="es-CR"/>
              </w:rPr>
              <w:t xml:space="preserve">Estudio de factibilidad, Acta de constitución, Plan de Gestión, ficha técnica. </w:t>
            </w:r>
          </w:p>
        </w:tc>
      </w:tr>
    </w:tbl>
    <w:bookmarkEnd w:id="25"/>
    <w:p w14:paraId="7247A8D3" w14:textId="7DB64F58" w:rsidR="000B7A67" w:rsidRDefault="002E6EFE" w:rsidP="002E6EFE">
      <w:pPr>
        <w:pStyle w:val="Prrafodelista"/>
        <w:spacing w:after="0"/>
        <w:ind w:left="0"/>
        <w:jc w:val="right"/>
        <w:rPr>
          <w:rFonts w:ascii="Book Antiqua" w:hAnsi="Book Antiqua"/>
          <w:sz w:val="24"/>
          <w:szCs w:val="24"/>
        </w:rPr>
      </w:pPr>
      <w:r>
        <w:rPr>
          <w:rFonts w:ascii="Book Antiqua" w:hAnsi="Book Antiqua"/>
          <w:sz w:val="24"/>
          <w:szCs w:val="24"/>
        </w:rPr>
        <w:t>“.</w:t>
      </w:r>
    </w:p>
    <w:p w14:paraId="29DE7E84" w14:textId="77777777" w:rsidR="002E6EFE" w:rsidRDefault="002E6EFE" w:rsidP="000B7A67">
      <w:pPr>
        <w:pStyle w:val="Prrafodelista"/>
        <w:spacing w:after="0"/>
        <w:ind w:left="0"/>
        <w:jc w:val="both"/>
        <w:rPr>
          <w:rFonts w:ascii="Book Antiqua" w:hAnsi="Book Antiqua"/>
          <w:sz w:val="24"/>
          <w:szCs w:val="24"/>
        </w:rPr>
      </w:pPr>
    </w:p>
    <w:p w14:paraId="4224A608" w14:textId="2CF0B863" w:rsidR="000B7A67" w:rsidRDefault="000B7A67" w:rsidP="000B7A67">
      <w:pPr>
        <w:pStyle w:val="Prrafodelista"/>
        <w:spacing w:after="0"/>
        <w:ind w:left="0"/>
        <w:jc w:val="both"/>
        <w:rPr>
          <w:rFonts w:ascii="Book Antiqua" w:hAnsi="Book Antiqua"/>
          <w:sz w:val="24"/>
          <w:szCs w:val="24"/>
        </w:rPr>
      </w:pPr>
      <w:r w:rsidRPr="004E62CB">
        <w:rPr>
          <w:rFonts w:ascii="Book Antiqua" w:hAnsi="Book Antiqua"/>
          <w:sz w:val="24"/>
          <w:szCs w:val="24"/>
        </w:rPr>
        <w:t>Como parte del seguimiento, se procedió a remitir un recordatorio a la</w:t>
      </w:r>
      <w:r>
        <w:rPr>
          <w:rFonts w:ascii="Book Antiqua" w:hAnsi="Book Antiqua"/>
          <w:sz w:val="24"/>
          <w:szCs w:val="24"/>
        </w:rPr>
        <w:t>s</w:t>
      </w:r>
      <w:r w:rsidRPr="004E62CB">
        <w:rPr>
          <w:rFonts w:ascii="Book Antiqua" w:hAnsi="Book Antiqua"/>
          <w:sz w:val="24"/>
          <w:szCs w:val="24"/>
        </w:rPr>
        <w:t xml:space="preserve"> oficina</w:t>
      </w:r>
      <w:r>
        <w:rPr>
          <w:rFonts w:ascii="Book Antiqua" w:hAnsi="Book Antiqua"/>
          <w:sz w:val="24"/>
          <w:szCs w:val="24"/>
        </w:rPr>
        <w:t xml:space="preserve">s lideres </w:t>
      </w:r>
      <w:r w:rsidRPr="004E62CB">
        <w:rPr>
          <w:rFonts w:ascii="Book Antiqua" w:hAnsi="Book Antiqua"/>
          <w:sz w:val="24"/>
          <w:szCs w:val="24"/>
        </w:rPr>
        <w:t xml:space="preserve">mediante el oficio </w:t>
      </w:r>
      <w:r>
        <w:rPr>
          <w:rFonts w:ascii="Book Antiqua" w:hAnsi="Book Antiqua"/>
          <w:sz w:val="24"/>
          <w:szCs w:val="24"/>
        </w:rPr>
        <w:t>1791</w:t>
      </w:r>
      <w:r w:rsidRPr="004E62CB">
        <w:rPr>
          <w:rFonts w:ascii="Book Antiqua" w:hAnsi="Book Antiqua"/>
          <w:sz w:val="24"/>
          <w:szCs w:val="24"/>
        </w:rPr>
        <w:t>-PLA-PP-TR-2023</w:t>
      </w:r>
      <w:r>
        <w:rPr>
          <w:rFonts w:ascii="Book Antiqua" w:hAnsi="Book Antiqua"/>
          <w:sz w:val="24"/>
          <w:szCs w:val="24"/>
        </w:rPr>
        <w:t xml:space="preserve">, </w:t>
      </w:r>
      <w:r w:rsidRPr="00C6002A">
        <w:rPr>
          <w:rFonts w:ascii="Book Antiqua" w:hAnsi="Book Antiqua"/>
          <w:sz w:val="24"/>
          <w:szCs w:val="24"/>
        </w:rPr>
        <w:t>1792-PLA-PP-TR-2023,</w:t>
      </w:r>
      <w:r>
        <w:rPr>
          <w:rFonts w:ascii="Book Antiqua" w:hAnsi="Book Antiqua"/>
          <w:sz w:val="24"/>
          <w:szCs w:val="24"/>
        </w:rPr>
        <w:t xml:space="preserve"> y</w:t>
      </w:r>
      <w:r w:rsidRPr="00C6002A">
        <w:rPr>
          <w:rFonts w:ascii="Book Antiqua" w:hAnsi="Book Antiqua"/>
          <w:sz w:val="24"/>
          <w:szCs w:val="24"/>
        </w:rPr>
        <w:t xml:space="preserve"> 1793-PLA-PP-TR-2023</w:t>
      </w:r>
      <w:r>
        <w:rPr>
          <w:rFonts w:ascii="Book Antiqua" w:hAnsi="Book Antiqua"/>
          <w:sz w:val="24"/>
          <w:szCs w:val="24"/>
        </w:rPr>
        <w:t>.</w:t>
      </w:r>
    </w:p>
    <w:p w14:paraId="130252A8" w14:textId="77777777" w:rsidR="000B7A67" w:rsidRDefault="000B7A67" w:rsidP="000B7A67">
      <w:pPr>
        <w:pStyle w:val="Prrafodelista"/>
        <w:spacing w:after="0"/>
        <w:ind w:left="0"/>
        <w:jc w:val="both"/>
        <w:rPr>
          <w:rFonts w:ascii="Book Antiqua" w:hAnsi="Book Antiqua"/>
          <w:sz w:val="24"/>
          <w:szCs w:val="24"/>
        </w:rPr>
      </w:pPr>
    </w:p>
    <w:p w14:paraId="5B29B106" w14:textId="77777777" w:rsidR="000B7A67" w:rsidRDefault="000B7A67" w:rsidP="000B7A67">
      <w:pPr>
        <w:spacing w:after="0"/>
        <w:jc w:val="both"/>
        <w:rPr>
          <w:rFonts w:ascii="Book Antiqua" w:hAnsi="Book Antiqua"/>
          <w:sz w:val="24"/>
          <w:szCs w:val="24"/>
        </w:rPr>
      </w:pPr>
      <w:r>
        <w:rPr>
          <w:rFonts w:ascii="Book Antiqua" w:hAnsi="Book Antiqua"/>
          <w:sz w:val="24"/>
          <w:szCs w:val="24"/>
        </w:rPr>
        <w:t>S</w:t>
      </w:r>
      <w:r w:rsidRPr="00FA687A">
        <w:rPr>
          <w:rFonts w:ascii="Book Antiqua" w:hAnsi="Book Antiqua"/>
          <w:sz w:val="24"/>
          <w:szCs w:val="24"/>
        </w:rPr>
        <w:t>e procedió a revisar en los centros de proyectos para validar el cumplimiento de estas recomendacione</w:t>
      </w:r>
      <w:r>
        <w:rPr>
          <w:rFonts w:ascii="Book Antiqua" w:hAnsi="Book Antiqua"/>
          <w:sz w:val="24"/>
          <w:szCs w:val="24"/>
        </w:rPr>
        <w:t xml:space="preserve">s </w:t>
      </w:r>
      <w:r w:rsidRPr="00A15711">
        <w:rPr>
          <w:rFonts w:ascii="Book Antiqua" w:hAnsi="Book Antiqua"/>
          <w:sz w:val="24"/>
          <w:szCs w:val="24"/>
        </w:rPr>
        <w:t>(</w:t>
      </w:r>
      <w:hyperlink r:id="rId19" w:history="1">
        <w:r w:rsidRPr="00A15711">
          <w:rPr>
            <w:rStyle w:val="Hipervnculo"/>
            <w:rFonts w:ascii="Book Antiqua" w:hAnsi="Book Antiqua"/>
            <w:sz w:val="24"/>
            <w:szCs w:val="24"/>
          </w:rPr>
          <w:t>Ver enlace:</w:t>
        </w:r>
        <w:r w:rsidRPr="00A15711">
          <w:rPr>
            <w:rStyle w:val="Hipervnculo"/>
          </w:rPr>
          <w:t xml:space="preserve"> </w:t>
        </w:r>
        <w:r w:rsidRPr="00A15711">
          <w:rPr>
            <w:rStyle w:val="Hipervnculo"/>
            <w:rFonts w:ascii="Book Antiqua" w:hAnsi="Book Antiqua"/>
            <w:sz w:val="24"/>
            <w:szCs w:val="24"/>
          </w:rPr>
          <w:t>Despacho de la Presidencia</w:t>
        </w:r>
      </w:hyperlink>
      <w:r w:rsidRPr="00A15711">
        <w:rPr>
          <w:rFonts w:ascii="Book Antiqua" w:hAnsi="Book Antiqua"/>
          <w:sz w:val="24"/>
          <w:szCs w:val="24"/>
        </w:rPr>
        <w:t>);</w:t>
      </w:r>
      <w:r w:rsidRPr="00FA687A">
        <w:rPr>
          <w:rFonts w:ascii="Book Antiqua" w:hAnsi="Book Antiqua"/>
          <w:sz w:val="24"/>
          <w:szCs w:val="24"/>
        </w:rPr>
        <w:t xml:space="preserve"> </w:t>
      </w:r>
      <w:r>
        <w:rPr>
          <w:rFonts w:ascii="Book Antiqua" w:hAnsi="Book Antiqua"/>
          <w:sz w:val="24"/>
          <w:szCs w:val="24"/>
        </w:rPr>
        <w:t>sin embargo, aún se encuentra pendiente de atender las siguientes recomendaciones:</w:t>
      </w:r>
    </w:p>
    <w:p w14:paraId="697923A5" w14:textId="77777777" w:rsidR="000B7A67" w:rsidRDefault="000B7A67" w:rsidP="000B7A67">
      <w:pPr>
        <w:spacing w:after="0"/>
        <w:jc w:val="both"/>
        <w:rPr>
          <w:rFonts w:ascii="Book Antiqua" w:hAnsi="Book Antiqua"/>
          <w:sz w:val="24"/>
          <w:szCs w:val="24"/>
        </w:rPr>
      </w:pPr>
    </w:p>
    <w:p w14:paraId="6759636E" w14:textId="07F9480A" w:rsidR="000B7A67" w:rsidRDefault="000B7A67" w:rsidP="000B7A67">
      <w:pPr>
        <w:pStyle w:val="Descripcin"/>
        <w:keepNext/>
        <w:spacing w:after="0"/>
        <w:jc w:val="center"/>
        <w:rPr>
          <w:rFonts w:ascii="Book Antiqua" w:hAnsi="Book Antiqua" w:cs="&amp;quot"/>
          <w:b/>
          <w:i w:val="0"/>
          <w:iCs w:val="0"/>
          <w:color w:val="auto"/>
          <w:sz w:val="24"/>
          <w:szCs w:val="24"/>
        </w:rPr>
      </w:pPr>
      <w:r w:rsidRPr="00A562C7">
        <w:rPr>
          <w:rFonts w:ascii="Book Antiqua" w:hAnsi="Book Antiqua" w:cs="&amp;quot"/>
          <w:b/>
          <w:i w:val="0"/>
          <w:iCs w:val="0"/>
          <w:color w:val="auto"/>
          <w:sz w:val="24"/>
          <w:szCs w:val="24"/>
        </w:rPr>
        <w:lastRenderedPageBreak/>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sidR="00844144">
        <w:rPr>
          <w:rFonts w:ascii="Book Antiqua" w:hAnsi="Book Antiqua" w:cs="&amp;quot"/>
          <w:b/>
          <w:i w:val="0"/>
          <w:iCs w:val="0"/>
          <w:noProof/>
          <w:color w:val="auto"/>
          <w:sz w:val="24"/>
          <w:szCs w:val="24"/>
        </w:rPr>
        <w:t>3</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sidR="00A553BF">
        <w:rPr>
          <w:rFonts w:ascii="Book Antiqua" w:hAnsi="Book Antiqua" w:cs="&amp;quot"/>
          <w:b/>
          <w:i w:val="0"/>
          <w:iCs w:val="0"/>
          <w:color w:val="auto"/>
          <w:sz w:val="24"/>
          <w:szCs w:val="24"/>
        </w:rPr>
        <w:t xml:space="preserve"> </w:t>
      </w:r>
      <w:r>
        <w:rPr>
          <w:rFonts w:ascii="Book Antiqua" w:hAnsi="Book Antiqua" w:cs="&amp;quot"/>
          <w:b/>
          <w:i w:val="0"/>
          <w:iCs w:val="0"/>
          <w:color w:val="auto"/>
          <w:sz w:val="24"/>
          <w:szCs w:val="24"/>
        </w:rPr>
        <w:t>l</w:t>
      </w:r>
      <w:r w:rsidR="00A553BF">
        <w:rPr>
          <w:rFonts w:ascii="Book Antiqua" w:hAnsi="Book Antiqua" w:cs="&amp;quot"/>
          <w:b/>
          <w:i w:val="0"/>
          <w:iCs w:val="0"/>
          <w:color w:val="auto"/>
          <w:sz w:val="24"/>
          <w:szCs w:val="24"/>
        </w:rPr>
        <w:t>os</w:t>
      </w:r>
      <w:r w:rsidRPr="00143168">
        <w:rPr>
          <w:rFonts w:ascii="Book Antiqua" w:hAnsi="Book Antiqua" w:cs="&amp;quot"/>
          <w:b/>
          <w:i w:val="0"/>
          <w:iCs w:val="0"/>
          <w:color w:val="auto"/>
          <w:sz w:val="24"/>
          <w:szCs w:val="24"/>
        </w:rPr>
        <w:t xml:space="preserve"> proyecto</w:t>
      </w:r>
      <w:r w:rsidR="00A553BF">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que tiene</w:t>
      </w:r>
      <w:r w:rsidR="00A553BF">
        <w:rPr>
          <w:rFonts w:ascii="Book Antiqua" w:hAnsi="Book Antiqua" w:cs="&amp;quot"/>
          <w:b/>
          <w:i w:val="0"/>
          <w:iCs w:val="0"/>
          <w:color w:val="auto"/>
          <w:sz w:val="24"/>
          <w:szCs w:val="24"/>
        </w:rPr>
        <w:t>n</w:t>
      </w:r>
      <w:r w:rsidRPr="00143168">
        <w:rPr>
          <w:rFonts w:ascii="Book Antiqua" w:hAnsi="Book Antiqua" w:cs="&amp;quot"/>
          <w:b/>
          <w:i w:val="0"/>
          <w:iCs w:val="0"/>
          <w:color w:val="auto"/>
          <w:sz w:val="24"/>
          <w:szCs w:val="24"/>
        </w:rPr>
        <w:t xml:space="preserve"> pendiente de </w:t>
      </w:r>
      <w:r>
        <w:rPr>
          <w:rFonts w:ascii="Book Antiqua" w:hAnsi="Book Antiqua" w:cs="&amp;quot"/>
          <w:b/>
          <w:i w:val="0"/>
          <w:iCs w:val="0"/>
          <w:color w:val="auto"/>
          <w:sz w:val="24"/>
          <w:szCs w:val="24"/>
        </w:rPr>
        <w:t xml:space="preserve">atender recomendaciones en </w:t>
      </w:r>
      <w:r w:rsidRPr="00093C0D">
        <w:rPr>
          <w:rFonts w:ascii="Book Antiqua" w:hAnsi="Book Antiqua" w:cs="&amp;quot"/>
          <w:b/>
          <w:i w:val="0"/>
          <w:iCs w:val="0"/>
          <w:color w:val="auto"/>
          <w:sz w:val="24"/>
          <w:szCs w:val="24"/>
        </w:rPr>
        <w:t>Despacho de la Presidencia</w:t>
      </w:r>
      <w:r w:rsidRPr="006304FA">
        <w:rPr>
          <w:rFonts w:ascii="Book Antiqua" w:hAnsi="Book Antiqua" w:cs="&amp;quot"/>
          <w:b/>
          <w:i w:val="0"/>
          <w:iCs w:val="0"/>
          <w:color w:val="auto"/>
          <w:sz w:val="24"/>
          <w:szCs w:val="24"/>
        </w:rPr>
        <w:t>.</w:t>
      </w:r>
    </w:p>
    <w:tbl>
      <w:tblPr>
        <w:tblW w:w="10774" w:type="dxa"/>
        <w:tblInd w:w="-714" w:type="dxa"/>
        <w:tblCellMar>
          <w:left w:w="70" w:type="dxa"/>
          <w:right w:w="70" w:type="dxa"/>
        </w:tblCellMar>
        <w:tblLook w:val="04A0" w:firstRow="1" w:lastRow="0" w:firstColumn="1" w:lastColumn="0" w:noHBand="0" w:noVBand="1"/>
      </w:tblPr>
      <w:tblGrid>
        <w:gridCol w:w="1557"/>
        <w:gridCol w:w="1365"/>
        <w:gridCol w:w="1189"/>
        <w:gridCol w:w="1560"/>
        <w:gridCol w:w="1134"/>
        <w:gridCol w:w="3969"/>
      </w:tblGrid>
      <w:tr w:rsidR="00BC00B3" w:rsidRPr="00294FCD" w14:paraId="52C0D21F" w14:textId="77777777" w:rsidTr="00301740">
        <w:trPr>
          <w:trHeight w:val="300"/>
          <w:tblHeader/>
        </w:trPr>
        <w:tc>
          <w:tcPr>
            <w:tcW w:w="1557"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6B4861C7" w14:textId="77777777" w:rsidR="000B7A67" w:rsidRPr="00294FCD" w:rsidRDefault="000B7A67" w:rsidP="00F400D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 xml:space="preserve">Centro de responsabilidad </w:t>
            </w:r>
          </w:p>
        </w:tc>
        <w:tc>
          <w:tcPr>
            <w:tcW w:w="1365" w:type="dxa"/>
            <w:tcBorders>
              <w:top w:val="single" w:sz="4" w:space="0" w:color="auto"/>
              <w:left w:val="nil"/>
              <w:bottom w:val="single" w:sz="4" w:space="0" w:color="auto"/>
              <w:right w:val="single" w:sz="4" w:space="0" w:color="auto"/>
            </w:tcBorders>
            <w:shd w:val="clear" w:color="000000" w:fill="44546A"/>
            <w:vAlign w:val="center"/>
            <w:hideMark/>
          </w:tcPr>
          <w:p w14:paraId="52DC01EF" w14:textId="77777777" w:rsidR="000B7A67" w:rsidRPr="00294FCD" w:rsidRDefault="000B7A67" w:rsidP="00F400D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Oficina Líder</w:t>
            </w:r>
          </w:p>
        </w:tc>
        <w:tc>
          <w:tcPr>
            <w:tcW w:w="1189" w:type="dxa"/>
            <w:tcBorders>
              <w:top w:val="single" w:sz="4" w:space="0" w:color="auto"/>
              <w:left w:val="nil"/>
              <w:bottom w:val="single" w:sz="4" w:space="0" w:color="auto"/>
              <w:right w:val="single" w:sz="4" w:space="0" w:color="auto"/>
            </w:tcBorders>
            <w:shd w:val="clear" w:color="000000" w:fill="44546A"/>
            <w:vAlign w:val="center"/>
            <w:hideMark/>
          </w:tcPr>
          <w:p w14:paraId="5D43045D" w14:textId="77777777" w:rsidR="000B7A67" w:rsidRPr="00294FCD" w:rsidRDefault="000B7A67" w:rsidP="00F400D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Código</w:t>
            </w:r>
          </w:p>
        </w:tc>
        <w:tc>
          <w:tcPr>
            <w:tcW w:w="1560" w:type="dxa"/>
            <w:tcBorders>
              <w:top w:val="single" w:sz="4" w:space="0" w:color="auto"/>
              <w:left w:val="nil"/>
              <w:bottom w:val="single" w:sz="4" w:space="0" w:color="auto"/>
              <w:right w:val="single" w:sz="4" w:space="0" w:color="auto"/>
            </w:tcBorders>
            <w:shd w:val="clear" w:color="000000" w:fill="44546A"/>
            <w:vAlign w:val="center"/>
            <w:hideMark/>
          </w:tcPr>
          <w:p w14:paraId="6F0B5C1E" w14:textId="77777777" w:rsidR="000B7A67" w:rsidRPr="00294FCD" w:rsidRDefault="000B7A67" w:rsidP="00F400D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Nombre</w:t>
            </w:r>
          </w:p>
        </w:tc>
        <w:tc>
          <w:tcPr>
            <w:tcW w:w="1134" w:type="dxa"/>
            <w:tcBorders>
              <w:top w:val="single" w:sz="4" w:space="0" w:color="auto"/>
              <w:left w:val="nil"/>
              <w:bottom w:val="single" w:sz="4" w:space="0" w:color="auto"/>
              <w:right w:val="single" w:sz="4" w:space="0" w:color="auto"/>
            </w:tcBorders>
            <w:shd w:val="clear" w:color="000000" w:fill="44546A"/>
            <w:vAlign w:val="center"/>
            <w:hideMark/>
          </w:tcPr>
          <w:p w14:paraId="21D9E02A" w14:textId="77777777" w:rsidR="000B7A67" w:rsidRPr="00294FCD" w:rsidRDefault="000B7A67" w:rsidP="00F400D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Parte pendiente</w:t>
            </w:r>
          </w:p>
        </w:tc>
        <w:tc>
          <w:tcPr>
            <w:tcW w:w="3969" w:type="dxa"/>
            <w:tcBorders>
              <w:top w:val="single" w:sz="4" w:space="0" w:color="auto"/>
              <w:left w:val="nil"/>
              <w:bottom w:val="single" w:sz="4" w:space="0" w:color="auto"/>
              <w:right w:val="single" w:sz="4" w:space="0" w:color="auto"/>
            </w:tcBorders>
            <w:shd w:val="clear" w:color="000000" w:fill="44546A"/>
            <w:vAlign w:val="center"/>
            <w:hideMark/>
          </w:tcPr>
          <w:p w14:paraId="3E796913" w14:textId="77777777" w:rsidR="000B7A67" w:rsidRPr="00294FCD" w:rsidRDefault="000B7A67" w:rsidP="00F400D6">
            <w:pPr>
              <w:spacing w:after="0" w:line="240" w:lineRule="auto"/>
              <w:jc w:val="center"/>
              <w:rPr>
                <w:rFonts w:ascii="Book Antiqua" w:eastAsia="Times New Roman" w:hAnsi="Book Antiqua" w:cs="Calibri"/>
                <w:b/>
                <w:bCs/>
                <w:color w:val="FFFFFF"/>
                <w:sz w:val="18"/>
                <w:szCs w:val="18"/>
                <w:lang w:eastAsia="es-CR"/>
              </w:rPr>
            </w:pPr>
            <w:r w:rsidRPr="00294FCD">
              <w:rPr>
                <w:rFonts w:ascii="Book Antiqua" w:eastAsia="Times New Roman" w:hAnsi="Book Antiqua" w:cs="Calibri"/>
                <w:b/>
                <w:bCs/>
                <w:color w:val="FFFFFF"/>
                <w:sz w:val="18"/>
                <w:szCs w:val="18"/>
                <w:lang w:eastAsia="es-CR"/>
              </w:rPr>
              <w:t xml:space="preserve">Detalle </w:t>
            </w:r>
          </w:p>
        </w:tc>
      </w:tr>
      <w:tr w:rsidR="007E6FC1" w:rsidRPr="00294FCD" w14:paraId="4FEDC59F" w14:textId="77777777" w:rsidTr="00301740">
        <w:trPr>
          <w:trHeight w:val="278"/>
        </w:trPr>
        <w:tc>
          <w:tcPr>
            <w:tcW w:w="1557" w:type="dxa"/>
            <w:vMerge w:val="restart"/>
            <w:tcBorders>
              <w:top w:val="nil"/>
              <w:left w:val="single" w:sz="4" w:space="0" w:color="auto"/>
              <w:bottom w:val="single" w:sz="4" w:space="0" w:color="000000"/>
              <w:right w:val="single" w:sz="4" w:space="0" w:color="auto"/>
            </w:tcBorders>
            <w:vAlign w:val="center"/>
            <w:hideMark/>
          </w:tcPr>
          <w:p w14:paraId="4A49CF65"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Despacho de la Presidencia</w:t>
            </w:r>
          </w:p>
        </w:tc>
        <w:tc>
          <w:tcPr>
            <w:tcW w:w="1365" w:type="dxa"/>
            <w:vMerge w:val="restart"/>
            <w:tcBorders>
              <w:top w:val="nil"/>
              <w:left w:val="single" w:sz="4" w:space="0" w:color="auto"/>
              <w:bottom w:val="single" w:sz="4" w:space="0" w:color="000000"/>
              <w:right w:val="single" w:sz="4" w:space="0" w:color="auto"/>
            </w:tcBorders>
            <w:vAlign w:val="center"/>
            <w:hideMark/>
          </w:tcPr>
          <w:p w14:paraId="0CA63142"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0653 Despacho de la Presidencia</w:t>
            </w:r>
          </w:p>
        </w:tc>
        <w:tc>
          <w:tcPr>
            <w:tcW w:w="1189" w:type="dxa"/>
            <w:vMerge w:val="restart"/>
            <w:tcBorders>
              <w:top w:val="nil"/>
              <w:left w:val="single" w:sz="4" w:space="0" w:color="auto"/>
              <w:bottom w:val="single" w:sz="4" w:space="0" w:color="000000"/>
              <w:right w:val="single" w:sz="4" w:space="0" w:color="auto"/>
            </w:tcBorders>
            <w:shd w:val="clear" w:color="auto" w:fill="auto"/>
            <w:vAlign w:val="center"/>
            <w:hideMark/>
          </w:tcPr>
          <w:p w14:paraId="5EBC631A"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0653-DP-P14</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7C32CA23"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Desarrollo e Implantación Sistema Observatorio Judicial</w:t>
            </w:r>
          </w:p>
        </w:tc>
        <w:tc>
          <w:tcPr>
            <w:tcW w:w="1134" w:type="dxa"/>
            <w:tcBorders>
              <w:top w:val="nil"/>
              <w:left w:val="nil"/>
              <w:bottom w:val="single" w:sz="4" w:space="0" w:color="auto"/>
              <w:right w:val="single" w:sz="4" w:space="0" w:color="auto"/>
            </w:tcBorders>
            <w:shd w:val="clear" w:color="auto" w:fill="auto"/>
            <w:vAlign w:val="center"/>
            <w:hideMark/>
          </w:tcPr>
          <w:p w14:paraId="43819DEC" w14:textId="77777777" w:rsidR="000B7A67" w:rsidRPr="00294FCD" w:rsidRDefault="000B7A67" w:rsidP="00F400D6">
            <w:pPr>
              <w:spacing w:after="0" w:line="240" w:lineRule="auto"/>
              <w:jc w:val="center"/>
              <w:rPr>
                <w:rFonts w:ascii="Book Antiqua" w:eastAsia="Times New Roman" w:hAnsi="Book Antiqua" w:cs="Calibri"/>
                <w:sz w:val="18"/>
                <w:szCs w:val="18"/>
                <w:lang w:eastAsia="es-CR"/>
              </w:rPr>
            </w:pPr>
            <w:r w:rsidRPr="00294FCD">
              <w:rPr>
                <w:rFonts w:ascii="Book Antiqua" w:eastAsia="Times New Roman" w:hAnsi="Book Antiqua" w:cs="Calibri"/>
                <w:sz w:val="18"/>
                <w:szCs w:val="18"/>
                <w:lang w:eastAsia="es-CR"/>
              </w:rPr>
              <w:t>1.14</w:t>
            </w:r>
          </w:p>
        </w:tc>
        <w:tc>
          <w:tcPr>
            <w:tcW w:w="3969" w:type="dxa"/>
            <w:tcBorders>
              <w:top w:val="nil"/>
              <w:left w:val="nil"/>
              <w:bottom w:val="single" w:sz="4" w:space="0" w:color="auto"/>
              <w:right w:val="single" w:sz="4" w:space="0" w:color="auto"/>
            </w:tcBorders>
            <w:shd w:val="clear" w:color="auto" w:fill="auto"/>
            <w:vAlign w:val="center"/>
            <w:hideMark/>
          </w:tcPr>
          <w:p w14:paraId="5E942E4A" w14:textId="77777777" w:rsidR="000B7A67" w:rsidRDefault="000B7A67" w:rsidP="008C331F">
            <w:pPr>
              <w:spacing w:after="0" w:line="240" w:lineRule="auto"/>
              <w:jc w:val="both"/>
              <w:rPr>
                <w:rFonts w:ascii="Book Antiqua" w:eastAsia="Times New Roman" w:hAnsi="Book Antiqua" w:cs="Calibri"/>
                <w:color w:val="000000"/>
                <w:sz w:val="18"/>
                <w:szCs w:val="18"/>
                <w:lang w:eastAsia="es-CR"/>
              </w:rPr>
            </w:pPr>
            <w:r w:rsidRPr="00272152">
              <w:rPr>
                <w:rFonts w:ascii="Book Antiqua" w:eastAsia="Times New Roman" w:hAnsi="Book Antiqua" w:cs="Calibri"/>
                <w:color w:val="000000"/>
                <w:sz w:val="18"/>
                <w:szCs w:val="18"/>
                <w:lang w:eastAsia="es-CR"/>
              </w:rPr>
              <w:t xml:space="preserve">Producto de la solicitud de cambio pendiente: </w:t>
            </w:r>
          </w:p>
          <w:p w14:paraId="75C0B8A0" w14:textId="77777777" w:rsidR="000B7A67" w:rsidRDefault="000B7A67" w:rsidP="008C331F">
            <w:pPr>
              <w:spacing w:after="0" w:line="240" w:lineRule="auto"/>
              <w:jc w:val="both"/>
              <w:rPr>
                <w:rFonts w:ascii="Book Antiqua" w:eastAsia="Times New Roman" w:hAnsi="Book Antiqua" w:cs="Calibri"/>
                <w:color w:val="000000"/>
                <w:sz w:val="18"/>
                <w:szCs w:val="18"/>
                <w:lang w:eastAsia="es-CR"/>
              </w:rPr>
            </w:pPr>
            <w:r w:rsidRPr="00B465C1">
              <w:rPr>
                <w:rFonts w:ascii="Book Antiqua" w:eastAsia="Times New Roman" w:hAnsi="Book Antiqua" w:cs="Calibri"/>
                <w:b/>
                <w:bCs/>
                <w:color w:val="000000"/>
                <w:sz w:val="18"/>
                <w:szCs w:val="18"/>
                <w:lang w:eastAsia="es-CR"/>
              </w:rPr>
              <w:t>Estudio de factibilidad</w:t>
            </w:r>
            <w:r w:rsidRPr="00272152">
              <w:rPr>
                <w:rFonts w:ascii="Book Antiqua" w:eastAsia="Times New Roman" w:hAnsi="Book Antiqua" w:cs="Calibri"/>
                <w:color w:val="000000"/>
                <w:sz w:val="18"/>
                <w:szCs w:val="18"/>
                <w:lang w:eastAsia="es-CR"/>
              </w:rPr>
              <w:t xml:space="preserve"> (formulario de DTI, se debe elaborar en formulario de metodología institucional vigente) se debe actualizar los costos, porque no están todos los permisos brindados. </w:t>
            </w:r>
          </w:p>
          <w:p w14:paraId="7D77D9F7" w14:textId="77777777" w:rsidR="000B7A67" w:rsidRDefault="000B7A67" w:rsidP="008C331F">
            <w:pPr>
              <w:spacing w:after="0" w:line="240" w:lineRule="auto"/>
              <w:jc w:val="both"/>
              <w:rPr>
                <w:rFonts w:ascii="Book Antiqua" w:eastAsia="Times New Roman" w:hAnsi="Book Antiqua" w:cs="Calibri"/>
                <w:color w:val="000000"/>
                <w:sz w:val="18"/>
                <w:szCs w:val="18"/>
                <w:lang w:eastAsia="es-CR"/>
              </w:rPr>
            </w:pPr>
            <w:r w:rsidRPr="00B465C1">
              <w:rPr>
                <w:rFonts w:ascii="Book Antiqua" w:eastAsia="Times New Roman" w:hAnsi="Book Antiqua" w:cs="Calibri"/>
                <w:b/>
                <w:bCs/>
                <w:color w:val="000000"/>
                <w:sz w:val="18"/>
                <w:szCs w:val="18"/>
                <w:lang w:eastAsia="es-CR"/>
              </w:rPr>
              <w:t>Plan de dirección del proyecto</w:t>
            </w:r>
            <w:r w:rsidRPr="00272152">
              <w:rPr>
                <w:rFonts w:ascii="Book Antiqua" w:eastAsia="Times New Roman" w:hAnsi="Book Antiqua" w:cs="Calibri"/>
                <w:color w:val="000000"/>
                <w:sz w:val="18"/>
                <w:szCs w:val="18"/>
                <w:lang w:eastAsia="es-CR"/>
              </w:rPr>
              <w:t xml:space="preserve"> (formulario de DTI, se debe elaborar en formulario de metodología institucional vigente): revisar la estructura de desglose del proyecto, porque no coincide con el cronograma. </w:t>
            </w:r>
          </w:p>
          <w:p w14:paraId="79F1E511" w14:textId="77777777" w:rsidR="000B7A67" w:rsidRPr="00294FCD" w:rsidRDefault="000B7A67" w:rsidP="008C331F">
            <w:pPr>
              <w:spacing w:after="0" w:line="240" w:lineRule="auto"/>
              <w:jc w:val="both"/>
              <w:rPr>
                <w:rFonts w:ascii="Book Antiqua" w:eastAsia="Times New Roman" w:hAnsi="Book Antiqua" w:cs="Calibri"/>
                <w:color w:val="000000"/>
                <w:sz w:val="18"/>
                <w:szCs w:val="18"/>
                <w:lang w:eastAsia="es-CR"/>
              </w:rPr>
            </w:pPr>
            <w:r w:rsidRPr="00361E8B">
              <w:rPr>
                <w:rFonts w:ascii="Book Antiqua" w:eastAsia="Times New Roman" w:hAnsi="Book Antiqua" w:cs="Calibri"/>
                <w:b/>
                <w:bCs/>
                <w:color w:val="000000"/>
                <w:sz w:val="18"/>
                <w:szCs w:val="18"/>
                <w:lang w:eastAsia="es-CR"/>
              </w:rPr>
              <w:t>Acta de constitución:</w:t>
            </w:r>
            <w:r w:rsidRPr="00272152">
              <w:rPr>
                <w:rFonts w:ascii="Book Antiqua" w:eastAsia="Times New Roman" w:hAnsi="Book Antiqua" w:cs="Calibri"/>
                <w:color w:val="000000"/>
                <w:sz w:val="18"/>
                <w:szCs w:val="18"/>
                <w:lang w:eastAsia="es-CR"/>
              </w:rPr>
              <w:t xml:space="preserve"> fecha de finalización de be coincidir con cronograma; el cronograma general es un cronograma de alto nivel; Recursos del proyecto: este debe contemplar todos los costos en los cuales ha incurrido el proyecto o incurrirá el proyecto tanto en recurso humano como gasto variable; en equipo del proyecto se deben indicar todos los roles, nombres y puestos del proyecto. (Se debe trasladar la información a la versión 2 de la metodología institucional)</w:t>
            </w:r>
          </w:p>
        </w:tc>
      </w:tr>
      <w:tr w:rsidR="007E6FC1" w:rsidRPr="00294FCD" w14:paraId="3B32B30F" w14:textId="77777777" w:rsidTr="00301740">
        <w:trPr>
          <w:trHeight w:val="414"/>
        </w:trPr>
        <w:tc>
          <w:tcPr>
            <w:tcW w:w="1557" w:type="dxa"/>
            <w:vMerge/>
            <w:tcBorders>
              <w:top w:val="nil"/>
              <w:left w:val="single" w:sz="4" w:space="0" w:color="auto"/>
              <w:bottom w:val="single" w:sz="4" w:space="0" w:color="000000"/>
              <w:right w:val="single" w:sz="4" w:space="0" w:color="auto"/>
            </w:tcBorders>
            <w:vAlign w:val="center"/>
            <w:hideMark/>
          </w:tcPr>
          <w:p w14:paraId="6FC335C2"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365" w:type="dxa"/>
            <w:vMerge/>
            <w:tcBorders>
              <w:top w:val="nil"/>
              <w:left w:val="single" w:sz="4" w:space="0" w:color="auto"/>
              <w:bottom w:val="single" w:sz="4" w:space="0" w:color="000000"/>
              <w:right w:val="single" w:sz="4" w:space="0" w:color="auto"/>
            </w:tcBorders>
            <w:vAlign w:val="center"/>
            <w:hideMark/>
          </w:tcPr>
          <w:p w14:paraId="2EF23AE1"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189" w:type="dxa"/>
            <w:vMerge/>
            <w:tcBorders>
              <w:top w:val="nil"/>
              <w:left w:val="single" w:sz="4" w:space="0" w:color="auto"/>
              <w:bottom w:val="single" w:sz="4" w:space="0" w:color="000000"/>
              <w:right w:val="single" w:sz="4" w:space="0" w:color="auto"/>
            </w:tcBorders>
            <w:vAlign w:val="center"/>
            <w:hideMark/>
          </w:tcPr>
          <w:p w14:paraId="1DC996B1"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560" w:type="dxa"/>
            <w:vMerge/>
            <w:tcBorders>
              <w:top w:val="nil"/>
              <w:left w:val="single" w:sz="4" w:space="0" w:color="auto"/>
              <w:bottom w:val="single" w:sz="4" w:space="0" w:color="000000"/>
              <w:right w:val="single" w:sz="4" w:space="0" w:color="auto"/>
            </w:tcBorders>
            <w:vAlign w:val="center"/>
            <w:hideMark/>
          </w:tcPr>
          <w:p w14:paraId="59A6CCAE"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6F071AE1"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2.1</w:t>
            </w:r>
          </w:p>
        </w:tc>
        <w:tc>
          <w:tcPr>
            <w:tcW w:w="3969" w:type="dxa"/>
            <w:tcBorders>
              <w:top w:val="nil"/>
              <w:left w:val="nil"/>
              <w:bottom w:val="single" w:sz="4" w:space="0" w:color="auto"/>
              <w:right w:val="single" w:sz="4" w:space="0" w:color="auto"/>
            </w:tcBorders>
            <w:shd w:val="clear" w:color="auto" w:fill="auto"/>
            <w:vAlign w:val="center"/>
            <w:hideMark/>
          </w:tcPr>
          <w:p w14:paraId="7E9F2A9D" w14:textId="77777777" w:rsidR="000B7A67" w:rsidRPr="00294FCD" w:rsidRDefault="000B7A67" w:rsidP="008C331F">
            <w:pPr>
              <w:spacing w:after="0" w:line="240" w:lineRule="auto"/>
              <w:jc w:val="both"/>
              <w:rPr>
                <w:rFonts w:ascii="Book Antiqua" w:eastAsia="Times New Roman" w:hAnsi="Book Antiqua" w:cs="Calibri"/>
                <w:color w:val="000000"/>
                <w:sz w:val="18"/>
                <w:szCs w:val="18"/>
                <w:lang w:eastAsia="es-CR"/>
              </w:rPr>
            </w:pPr>
            <w:r w:rsidRPr="00EB23FC">
              <w:rPr>
                <w:rFonts w:ascii="Book Antiqua" w:eastAsia="Times New Roman" w:hAnsi="Book Antiqua" w:cs="Calibri"/>
                <w:sz w:val="18"/>
                <w:szCs w:val="18"/>
                <w:lang w:eastAsia="es-CR"/>
              </w:rPr>
              <w:t>No se corrigió el informe de avance de diciembre, ni se justifica los motivos por los cuales no se corrige el informe.</w:t>
            </w:r>
          </w:p>
        </w:tc>
      </w:tr>
      <w:tr w:rsidR="007E6FC1" w:rsidRPr="00294FCD" w14:paraId="791BC99F" w14:textId="77777777" w:rsidTr="00301740">
        <w:trPr>
          <w:trHeight w:val="600"/>
        </w:trPr>
        <w:tc>
          <w:tcPr>
            <w:tcW w:w="1557" w:type="dxa"/>
            <w:vMerge/>
            <w:tcBorders>
              <w:top w:val="nil"/>
              <w:left w:val="single" w:sz="4" w:space="0" w:color="auto"/>
              <w:bottom w:val="single" w:sz="4" w:space="0" w:color="000000"/>
              <w:right w:val="single" w:sz="4" w:space="0" w:color="auto"/>
            </w:tcBorders>
            <w:vAlign w:val="center"/>
            <w:hideMark/>
          </w:tcPr>
          <w:p w14:paraId="230C2131"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365" w:type="dxa"/>
            <w:vMerge/>
            <w:tcBorders>
              <w:top w:val="nil"/>
              <w:left w:val="single" w:sz="4" w:space="0" w:color="auto"/>
              <w:bottom w:val="single" w:sz="4" w:space="0" w:color="000000"/>
              <w:right w:val="single" w:sz="4" w:space="0" w:color="auto"/>
            </w:tcBorders>
            <w:vAlign w:val="center"/>
            <w:hideMark/>
          </w:tcPr>
          <w:p w14:paraId="23620701" w14:textId="77777777" w:rsidR="000B7A67" w:rsidRPr="00294FCD" w:rsidRDefault="000B7A67" w:rsidP="00F400D6">
            <w:pPr>
              <w:spacing w:after="0" w:line="240" w:lineRule="auto"/>
              <w:rPr>
                <w:rFonts w:ascii="Book Antiqua" w:eastAsia="Times New Roman" w:hAnsi="Book Antiqua" w:cs="Calibri"/>
                <w:color w:val="000000"/>
                <w:sz w:val="18"/>
                <w:szCs w:val="18"/>
                <w:lang w:eastAsia="es-CR"/>
              </w:rPr>
            </w:pPr>
          </w:p>
        </w:tc>
        <w:tc>
          <w:tcPr>
            <w:tcW w:w="1189" w:type="dxa"/>
            <w:tcBorders>
              <w:top w:val="nil"/>
              <w:left w:val="nil"/>
              <w:bottom w:val="single" w:sz="4" w:space="0" w:color="auto"/>
              <w:right w:val="single" w:sz="4" w:space="0" w:color="auto"/>
            </w:tcBorders>
            <w:shd w:val="clear" w:color="auto" w:fill="auto"/>
            <w:vAlign w:val="center"/>
            <w:hideMark/>
          </w:tcPr>
          <w:p w14:paraId="02B37FAB"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P10-PRI-PC</w:t>
            </w:r>
          </w:p>
        </w:tc>
        <w:tc>
          <w:tcPr>
            <w:tcW w:w="1560" w:type="dxa"/>
            <w:tcBorders>
              <w:top w:val="nil"/>
              <w:left w:val="nil"/>
              <w:bottom w:val="single" w:sz="4" w:space="0" w:color="auto"/>
              <w:right w:val="single" w:sz="4" w:space="0" w:color="auto"/>
            </w:tcBorders>
            <w:shd w:val="clear" w:color="auto" w:fill="auto"/>
            <w:vAlign w:val="center"/>
            <w:hideMark/>
          </w:tcPr>
          <w:p w14:paraId="3B356F7B"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Reglamento de Carrera de la Defensa Publica</w:t>
            </w:r>
          </w:p>
        </w:tc>
        <w:tc>
          <w:tcPr>
            <w:tcW w:w="1134" w:type="dxa"/>
            <w:tcBorders>
              <w:top w:val="nil"/>
              <w:left w:val="nil"/>
              <w:bottom w:val="single" w:sz="4" w:space="0" w:color="auto"/>
              <w:right w:val="single" w:sz="4" w:space="0" w:color="auto"/>
            </w:tcBorders>
            <w:shd w:val="clear" w:color="auto" w:fill="auto"/>
            <w:vAlign w:val="center"/>
            <w:hideMark/>
          </w:tcPr>
          <w:p w14:paraId="0C02898C" w14:textId="77777777" w:rsidR="000B7A67" w:rsidRPr="00294FCD" w:rsidRDefault="000B7A67" w:rsidP="00F400D6">
            <w:pPr>
              <w:spacing w:after="0" w:line="240" w:lineRule="auto"/>
              <w:jc w:val="center"/>
              <w:rPr>
                <w:rFonts w:ascii="Book Antiqua" w:eastAsia="Times New Roman" w:hAnsi="Book Antiqua" w:cs="Calibri"/>
                <w:color w:val="000000"/>
                <w:sz w:val="18"/>
                <w:szCs w:val="18"/>
                <w:lang w:eastAsia="es-CR"/>
              </w:rPr>
            </w:pPr>
            <w:r w:rsidRPr="00294FCD">
              <w:rPr>
                <w:rFonts w:ascii="Book Antiqua" w:eastAsia="Times New Roman" w:hAnsi="Book Antiqua" w:cs="Calibri"/>
                <w:color w:val="000000"/>
                <w:sz w:val="18"/>
                <w:szCs w:val="18"/>
                <w:lang w:eastAsia="es-CR"/>
              </w:rPr>
              <w:t>2.1</w:t>
            </w:r>
          </w:p>
        </w:tc>
        <w:tc>
          <w:tcPr>
            <w:tcW w:w="3969" w:type="dxa"/>
            <w:tcBorders>
              <w:top w:val="nil"/>
              <w:left w:val="nil"/>
              <w:bottom w:val="single" w:sz="4" w:space="0" w:color="auto"/>
              <w:right w:val="single" w:sz="4" w:space="0" w:color="auto"/>
            </w:tcBorders>
            <w:shd w:val="clear" w:color="auto" w:fill="auto"/>
            <w:vAlign w:val="center"/>
            <w:hideMark/>
          </w:tcPr>
          <w:p w14:paraId="58636B64" w14:textId="77777777" w:rsidR="000B7A67" w:rsidRPr="00294FCD" w:rsidRDefault="000B7A67" w:rsidP="008C331F">
            <w:pPr>
              <w:spacing w:after="0" w:line="240" w:lineRule="auto"/>
              <w:jc w:val="both"/>
              <w:rPr>
                <w:rFonts w:ascii="Book Antiqua" w:eastAsia="Times New Roman" w:hAnsi="Book Antiqua" w:cs="Calibri"/>
                <w:sz w:val="18"/>
                <w:szCs w:val="18"/>
                <w:lang w:eastAsia="es-CR"/>
              </w:rPr>
            </w:pPr>
            <w:r w:rsidRPr="00294FCD">
              <w:rPr>
                <w:rFonts w:ascii="Book Antiqua" w:eastAsia="Times New Roman" w:hAnsi="Book Antiqua" w:cs="Calibri"/>
                <w:sz w:val="18"/>
                <w:szCs w:val="18"/>
                <w:lang w:eastAsia="es-CR"/>
              </w:rPr>
              <w:t>Pendiente de elaborar el III informe de seguimiento</w:t>
            </w:r>
            <w:r>
              <w:rPr>
                <w:rFonts w:ascii="Book Antiqua" w:eastAsia="Times New Roman" w:hAnsi="Book Antiqua" w:cs="Calibri"/>
                <w:sz w:val="18"/>
                <w:szCs w:val="18"/>
                <w:lang w:eastAsia="es-CR"/>
              </w:rPr>
              <w:t xml:space="preserve"> del 2022</w:t>
            </w:r>
            <w:r w:rsidRPr="00294FCD">
              <w:rPr>
                <w:rFonts w:ascii="Book Antiqua" w:eastAsia="Times New Roman" w:hAnsi="Book Antiqua" w:cs="Calibri"/>
                <w:sz w:val="18"/>
                <w:szCs w:val="18"/>
                <w:lang w:eastAsia="es-CR"/>
              </w:rPr>
              <w:t>.</w:t>
            </w:r>
          </w:p>
        </w:tc>
      </w:tr>
      <w:tr w:rsidR="00BC00B3" w:rsidRPr="00ED01F9" w14:paraId="19919333" w14:textId="77777777" w:rsidTr="00301740">
        <w:trPr>
          <w:trHeight w:val="900"/>
        </w:trPr>
        <w:tc>
          <w:tcPr>
            <w:tcW w:w="1557" w:type="dxa"/>
            <w:vMerge w:val="restart"/>
            <w:tcBorders>
              <w:top w:val="nil"/>
              <w:left w:val="single" w:sz="4" w:space="0" w:color="auto"/>
              <w:bottom w:val="single" w:sz="4" w:space="0" w:color="auto"/>
              <w:right w:val="single" w:sz="4" w:space="0" w:color="auto"/>
            </w:tcBorders>
            <w:shd w:val="clear" w:color="auto" w:fill="auto"/>
            <w:vAlign w:val="center"/>
            <w:hideMark/>
          </w:tcPr>
          <w:p w14:paraId="3A12C0FD" w14:textId="77777777" w:rsidR="000B7A67" w:rsidRPr="00ED01F9" w:rsidRDefault="000B7A67" w:rsidP="00F400D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Despacho de la Presidencia</w:t>
            </w:r>
          </w:p>
        </w:tc>
        <w:tc>
          <w:tcPr>
            <w:tcW w:w="1365" w:type="dxa"/>
            <w:vMerge w:val="restart"/>
            <w:tcBorders>
              <w:top w:val="nil"/>
              <w:left w:val="single" w:sz="4" w:space="0" w:color="auto"/>
              <w:bottom w:val="single" w:sz="4" w:space="0" w:color="auto"/>
              <w:right w:val="single" w:sz="4" w:space="0" w:color="auto"/>
            </w:tcBorders>
            <w:shd w:val="clear" w:color="auto" w:fill="auto"/>
            <w:vAlign w:val="center"/>
            <w:hideMark/>
          </w:tcPr>
          <w:p w14:paraId="7C8276DC" w14:textId="77777777" w:rsidR="000B7A67" w:rsidRPr="00ED01F9" w:rsidRDefault="000B7A67" w:rsidP="00F400D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1049 Sección de Cooperación y Relaciones Internacionales</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14:paraId="3416C4AB" w14:textId="77777777" w:rsidR="000B7A67" w:rsidRPr="00ED01F9" w:rsidRDefault="000B7A67" w:rsidP="00F400D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0653-DP-P12</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68839994" w14:textId="77777777" w:rsidR="000B7A67" w:rsidRPr="00ED01F9" w:rsidRDefault="000B7A67" w:rsidP="00F400D6">
            <w:pPr>
              <w:spacing w:after="0" w:line="240" w:lineRule="auto"/>
              <w:jc w:val="center"/>
              <w:rPr>
                <w:rFonts w:ascii="Book Antiqua" w:eastAsia="Times New Roman" w:hAnsi="Book Antiqua" w:cs="Calibri"/>
                <w:sz w:val="18"/>
                <w:szCs w:val="18"/>
                <w:lang w:eastAsia="es-CR"/>
              </w:rPr>
            </w:pPr>
            <w:r w:rsidRPr="00ED01F9">
              <w:rPr>
                <w:rFonts w:ascii="Book Antiqua" w:eastAsia="Times New Roman" w:hAnsi="Book Antiqua" w:cs="Calibri"/>
                <w:sz w:val="18"/>
                <w:szCs w:val="18"/>
                <w:lang w:eastAsia="es-CR"/>
              </w:rPr>
              <w:t>Implementación de los ODS y Cumplimiento de la Agenda 2030</w:t>
            </w:r>
          </w:p>
        </w:tc>
        <w:tc>
          <w:tcPr>
            <w:tcW w:w="1134" w:type="dxa"/>
            <w:tcBorders>
              <w:top w:val="nil"/>
              <w:left w:val="nil"/>
              <w:bottom w:val="single" w:sz="4" w:space="0" w:color="auto"/>
              <w:right w:val="single" w:sz="4" w:space="0" w:color="auto"/>
            </w:tcBorders>
            <w:shd w:val="clear" w:color="auto" w:fill="auto"/>
            <w:vAlign w:val="center"/>
            <w:hideMark/>
          </w:tcPr>
          <w:p w14:paraId="1BA7AB38" w14:textId="77777777" w:rsidR="000B7A67" w:rsidRPr="00ED01F9" w:rsidRDefault="000B7A67" w:rsidP="00F400D6">
            <w:pPr>
              <w:spacing w:after="0" w:line="240" w:lineRule="auto"/>
              <w:jc w:val="center"/>
              <w:rPr>
                <w:rFonts w:ascii="Book Antiqua" w:eastAsia="Times New Roman" w:hAnsi="Book Antiqua" w:cs="Calibri"/>
                <w:sz w:val="18"/>
                <w:szCs w:val="18"/>
                <w:lang w:eastAsia="es-CR"/>
              </w:rPr>
            </w:pPr>
            <w:r w:rsidRPr="00ED01F9">
              <w:rPr>
                <w:rFonts w:ascii="Book Antiqua" w:eastAsia="Times New Roman" w:hAnsi="Book Antiqua" w:cs="Calibri"/>
                <w:sz w:val="18"/>
                <w:szCs w:val="18"/>
                <w:lang w:eastAsia="es-CR"/>
              </w:rPr>
              <w:t>1.14</w:t>
            </w:r>
          </w:p>
        </w:tc>
        <w:tc>
          <w:tcPr>
            <w:tcW w:w="3969" w:type="dxa"/>
            <w:tcBorders>
              <w:top w:val="nil"/>
              <w:left w:val="nil"/>
              <w:bottom w:val="single" w:sz="4" w:space="0" w:color="auto"/>
              <w:right w:val="single" w:sz="4" w:space="0" w:color="auto"/>
            </w:tcBorders>
            <w:shd w:val="clear" w:color="auto" w:fill="auto"/>
            <w:vAlign w:val="center"/>
            <w:hideMark/>
          </w:tcPr>
          <w:p w14:paraId="0A603EC4" w14:textId="77777777" w:rsidR="000B7A67" w:rsidRDefault="000B7A67" w:rsidP="008C331F">
            <w:pPr>
              <w:spacing w:after="0"/>
              <w:jc w:val="both"/>
              <w:rPr>
                <w:rFonts w:ascii="Book Antiqua" w:hAnsi="Book Antiqua" w:cs="Calibri"/>
                <w:sz w:val="18"/>
                <w:szCs w:val="18"/>
              </w:rPr>
            </w:pPr>
            <w:r>
              <w:rPr>
                <w:rFonts w:ascii="Book Antiqua" w:hAnsi="Book Antiqua" w:cs="Calibri"/>
                <w:sz w:val="18"/>
                <w:szCs w:val="18"/>
              </w:rPr>
              <w:t xml:space="preserve">Pendiente de actualizar documento producto de la solicitud de cambio de setiembre 2022: </w:t>
            </w:r>
            <w:r w:rsidRPr="00361E8B">
              <w:rPr>
                <w:rFonts w:ascii="Book Antiqua" w:hAnsi="Book Antiqua" w:cs="Calibri"/>
                <w:b/>
                <w:bCs/>
                <w:sz w:val="18"/>
                <w:szCs w:val="18"/>
              </w:rPr>
              <w:t>Acta de constitución</w:t>
            </w:r>
            <w:r>
              <w:rPr>
                <w:rFonts w:ascii="Book Antiqua" w:hAnsi="Book Antiqua" w:cs="Calibri"/>
                <w:sz w:val="18"/>
                <w:szCs w:val="18"/>
              </w:rPr>
              <w:t xml:space="preserve"> fecha de fin no concuerda con cronograma; cronograma de alto nivel falta incluirlo. </w:t>
            </w:r>
          </w:p>
          <w:p w14:paraId="29549A41" w14:textId="77777777" w:rsidR="000B7A67" w:rsidRDefault="000B7A67" w:rsidP="008C331F">
            <w:pPr>
              <w:spacing w:after="0"/>
              <w:jc w:val="both"/>
              <w:rPr>
                <w:rFonts w:ascii="Book Antiqua" w:hAnsi="Book Antiqua" w:cs="Calibri"/>
                <w:sz w:val="18"/>
                <w:szCs w:val="18"/>
              </w:rPr>
            </w:pPr>
            <w:r w:rsidRPr="00361E8B">
              <w:rPr>
                <w:rFonts w:ascii="Book Antiqua" w:hAnsi="Book Antiqua" w:cs="Calibri"/>
                <w:b/>
                <w:bCs/>
                <w:sz w:val="18"/>
                <w:szCs w:val="18"/>
              </w:rPr>
              <w:t>Estudio de factibilidad:</w:t>
            </w:r>
            <w:r>
              <w:rPr>
                <w:rFonts w:ascii="Book Antiqua" w:hAnsi="Book Antiqua" w:cs="Calibri"/>
                <w:sz w:val="18"/>
                <w:szCs w:val="18"/>
              </w:rPr>
              <w:t xml:space="preserve"> en Análisis de costo-beneficio se debe verificar costo de inversión y cálculo del SROI, porque no coincide con datos superiores. </w:t>
            </w:r>
          </w:p>
          <w:p w14:paraId="2DAE7A2B" w14:textId="77777777" w:rsidR="000B7A67" w:rsidRPr="00ED01F9" w:rsidRDefault="000B7A67" w:rsidP="008C331F">
            <w:pPr>
              <w:spacing w:after="0"/>
              <w:jc w:val="both"/>
              <w:rPr>
                <w:rFonts w:ascii="Book Antiqua" w:eastAsia="Times New Roman" w:hAnsi="Book Antiqua" w:cs="Calibri"/>
                <w:sz w:val="18"/>
                <w:szCs w:val="18"/>
                <w:lang w:eastAsia="es-CR"/>
              </w:rPr>
            </w:pPr>
            <w:r w:rsidRPr="00361E8B">
              <w:rPr>
                <w:rFonts w:ascii="Book Antiqua" w:hAnsi="Book Antiqua" w:cs="Calibri"/>
                <w:b/>
                <w:bCs/>
                <w:sz w:val="18"/>
                <w:szCs w:val="18"/>
              </w:rPr>
              <w:t>Plan de gestión:</w:t>
            </w:r>
            <w:r>
              <w:rPr>
                <w:rFonts w:ascii="Book Antiqua" w:hAnsi="Book Antiqua" w:cs="Calibri"/>
                <w:sz w:val="18"/>
                <w:szCs w:val="18"/>
              </w:rPr>
              <w:t xml:space="preserve"> No viene cronograma adjunto final.</w:t>
            </w:r>
          </w:p>
        </w:tc>
      </w:tr>
      <w:tr w:rsidR="00BC00B3" w:rsidRPr="00ED01F9" w14:paraId="12580EB6" w14:textId="77777777" w:rsidTr="00301740">
        <w:trPr>
          <w:trHeight w:val="900"/>
        </w:trPr>
        <w:tc>
          <w:tcPr>
            <w:tcW w:w="1557" w:type="dxa"/>
            <w:vMerge/>
            <w:tcBorders>
              <w:top w:val="nil"/>
              <w:left w:val="single" w:sz="4" w:space="0" w:color="auto"/>
              <w:bottom w:val="single" w:sz="4" w:space="0" w:color="auto"/>
              <w:right w:val="single" w:sz="4" w:space="0" w:color="auto"/>
            </w:tcBorders>
            <w:vAlign w:val="center"/>
            <w:hideMark/>
          </w:tcPr>
          <w:p w14:paraId="00C8BB43" w14:textId="77777777" w:rsidR="000B7A67" w:rsidRPr="00ED01F9" w:rsidRDefault="000B7A67" w:rsidP="00F400D6">
            <w:pPr>
              <w:spacing w:after="0" w:line="240" w:lineRule="auto"/>
              <w:rPr>
                <w:rFonts w:ascii="Book Antiqua" w:eastAsia="Times New Roman" w:hAnsi="Book Antiqua" w:cs="Calibri"/>
                <w:color w:val="000000"/>
                <w:sz w:val="18"/>
                <w:szCs w:val="18"/>
                <w:lang w:eastAsia="es-CR"/>
              </w:rPr>
            </w:pPr>
          </w:p>
        </w:tc>
        <w:tc>
          <w:tcPr>
            <w:tcW w:w="1365" w:type="dxa"/>
            <w:vMerge/>
            <w:tcBorders>
              <w:top w:val="nil"/>
              <w:left w:val="single" w:sz="4" w:space="0" w:color="auto"/>
              <w:bottom w:val="single" w:sz="4" w:space="0" w:color="auto"/>
              <w:right w:val="single" w:sz="4" w:space="0" w:color="auto"/>
            </w:tcBorders>
            <w:vAlign w:val="center"/>
            <w:hideMark/>
          </w:tcPr>
          <w:p w14:paraId="2FC4A181" w14:textId="77777777" w:rsidR="000B7A67" w:rsidRPr="00ED01F9" w:rsidRDefault="000B7A67" w:rsidP="00F400D6">
            <w:pPr>
              <w:spacing w:after="0" w:line="240" w:lineRule="auto"/>
              <w:rPr>
                <w:rFonts w:ascii="Book Antiqua" w:eastAsia="Times New Roman" w:hAnsi="Book Antiqua" w:cs="Calibri"/>
                <w:color w:val="000000"/>
                <w:sz w:val="18"/>
                <w:szCs w:val="18"/>
                <w:lang w:eastAsia="es-CR"/>
              </w:rPr>
            </w:pPr>
          </w:p>
        </w:tc>
        <w:tc>
          <w:tcPr>
            <w:tcW w:w="1189" w:type="dxa"/>
            <w:vMerge/>
            <w:tcBorders>
              <w:top w:val="nil"/>
              <w:left w:val="single" w:sz="4" w:space="0" w:color="auto"/>
              <w:bottom w:val="single" w:sz="4" w:space="0" w:color="auto"/>
              <w:right w:val="single" w:sz="4" w:space="0" w:color="auto"/>
            </w:tcBorders>
            <w:vAlign w:val="center"/>
            <w:hideMark/>
          </w:tcPr>
          <w:p w14:paraId="25749321" w14:textId="77777777" w:rsidR="000B7A67" w:rsidRPr="00ED01F9" w:rsidRDefault="000B7A67" w:rsidP="00F400D6">
            <w:pPr>
              <w:spacing w:after="0" w:line="240" w:lineRule="auto"/>
              <w:rPr>
                <w:rFonts w:ascii="Book Antiqua" w:eastAsia="Times New Roman" w:hAnsi="Book Antiqua" w:cs="Calibri"/>
                <w:color w:val="000000"/>
                <w:sz w:val="18"/>
                <w:szCs w:val="18"/>
                <w:lang w:eastAsia="es-CR"/>
              </w:rPr>
            </w:pPr>
          </w:p>
        </w:tc>
        <w:tc>
          <w:tcPr>
            <w:tcW w:w="1560" w:type="dxa"/>
            <w:vMerge/>
            <w:tcBorders>
              <w:top w:val="nil"/>
              <w:left w:val="single" w:sz="4" w:space="0" w:color="auto"/>
              <w:bottom w:val="single" w:sz="4" w:space="0" w:color="auto"/>
              <w:right w:val="single" w:sz="4" w:space="0" w:color="auto"/>
            </w:tcBorders>
            <w:vAlign w:val="center"/>
            <w:hideMark/>
          </w:tcPr>
          <w:p w14:paraId="043D1FFD" w14:textId="77777777" w:rsidR="000B7A67" w:rsidRPr="00ED01F9" w:rsidRDefault="000B7A67" w:rsidP="00F400D6">
            <w:pPr>
              <w:spacing w:after="0" w:line="240" w:lineRule="auto"/>
              <w:rPr>
                <w:rFonts w:ascii="Book Antiqua" w:eastAsia="Times New Roman" w:hAnsi="Book Antiqua" w:cs="Calibri"/>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3800D137" w14:textId="77777777" w:rsidR="000B7A67" w:rsidRPr="00ED01F9" w:rsidRDefault="000B7A67" w:rsidP="00F400D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2.4</w:t>
            </w:r>
          </w:p>
        </w:tc>
        <w:tc>
          <w:tcPr>
            <w:tcW w:w="3969" w:type="dxa"/>
            <w:tcBorders>
              <w:top w:val="nil"/>
              <w:left w:val="nil"/>
              <w:bottom w:val="single" w:sz="4" w:space="0" w:color="auto"/>
              <w:right w:val="single" w:sz="4" w:space="0" w:color="auto"/>
            </w:tcBorders>
            <w:shd w:val="clear" w:color="auto" w:fill="auto"/>
            <w:vAlign w:val="center"/>
            <w:hideMark/>
          </w:tcPr>
          <w:p w14:paraId="1266F1D4" w14:textId="77777777" w:rsidR="000B7A67" w:rsidRPr="00ED01F9" w:rsidRDefault="000B7A67" w:rsidP="008C331F">
            <w:pPr>
              <w:jc w:val="both"/>
              <w:rPr>
                <w:rFonts w:ascii="Book Antiqua" w:eastAsia="Times New Roman" w:hAnsi="Book Antiqua" w:cs="Calibri"/>
                <w:color w:val="000000"/>
                <w:sz w:val="18"/>
                <w:szCs w:val="18"/>
                <w:lang w:eastAsia="es-CR"/>
              </w:rPr>
            </w:pPr>
            <w:r>
              <w:rPr>
                <w:rFonts w:ascii="Book Antiqua" w:hAnsi="Book Antiqua" w:cs="Calibri"/>
                <w:color w:val="000000"/>
                <w:sz w:val="18"/>
                <w:szCs w:val="18"/>
              </w:rPr>
              <w:t xml:space="preserve">Pendiente aprobación del informe de cierre por parte del patrocinador (Según correo enviado en enero 2023 a líder del proyecto, se había solicitado que por no encontrarse patrocinador actualmente en el Poder Judicial, remitir el mismo al Consejo Superior) </w:t>
            </w:r>
          </w:p>
        </w:tc>
      </w:tr>
      <w:tr w:rsidR="007E6FC1" w:rsidRPr="00ED01F9" w14:paraId="08B57A83" w14:textId="77777777" w:rsidTr="00301740">
        <w:trPr>
          <w:trHeight w:val="738"/>
        </w:trPr>
        <w:tc>
          <w:tcPr>
            <w:tcW w:w="1557" w:type="dxa"/>
            <w:vMerge w:val="restart"/>
            <w:tcBorders>
              <w:top w:val="nil"/>
              <w:left w:val="single" w:sz="4" w:space="0" w:color="auto"/>
              <w:bottom w:val="single" w:sz="4" w:space="0" w:color="000000"/>
              <w:right w:val="single" w:sz="4" w:space="0" w:color="auto"/>
            </w:tcBorders>
            <w:shd w:val="clear" w:color="auto" w:fill="auto"/>
            <w:vAlign w:val="center"/>
            <w:hideMark/>
          </w:tcPr>
          <w:p w14:paraId="57391489" w14:textId="77777777" w:rsidR="000B7A67" w:rsidRPr="00ED01F9" w:rsidRDefault="000B7A67" w:rsidP="00F400D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lastRenderedPageBreak/>
              <w:t>Despacho de la Presidencia</w:t>
            </w:r>
          </w:p>
        </w:tc>
        <w:tc>
          <w:tcPr>
            <w:tcW w:w="1365" w:type="dxa"/>
            <w:vMerge w:val="restart"/>
            <w:tcBorders>
              <w:top w:val="nil"/>
              <w:left w:val="single" w:sz="4" w:space="0" w:color="auto"/>
              <w:right w:val="single" w:sz="4" w:space="0" w:color="auto"/>
            </w:tcBorders>
            <w:shd w:val="clear" w:color="auto" w:fill="auto"/>
            <w:vAlign w:val="center"/>
            <w:hideMark/>
          </w:tcPr>
          <w:p w14:paraId="43D5C35B" w14:textId="77777777" w:rsidR="000B7A67" w:rsidRPr="00ED01F9" w:rsidRDefault="000B7A67" w:rsidP="00F400D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 xml:space="preserve">1324 </w:t>
            </w:r>
            <w:r>
              <w:rPr>
                <w:rFonts w:ascii="Book Antiqua" w:eastAsia="Times New Roman" w:hAnsi="Book Antiqua" w:cs="Calibri"/>
                <w:color w:val="000000"/>
                <w:sz w:val="18"/>
                <w:szCs w:val="18"/>
                <w:lang w:eastAsia="es-CR"/>
              </w:rPr>
              <w:t>C</w:t>
            </w:r>
            <w:r w:rsidRPr="00ED01F9">
              <w:rPr>
                <w:rFonts w:ascii="Book Antiqua" w:eastAsia="Times New Roman" w:hAnsi="Book Antiqua" w:cs="Calibri"/>
                <w:color w:val="000000"/>
                <w:sz w:val="18"/>
                <w:szCs w:val="18"/>
                <w:lang w:eastAsia="es-CR"/>
              </w:rPr>
              <w:t xml:space="preserve">entro de </w:t>
            </w:r>
            <w:r>
              <w:rPr>
                <w:rFonts w:ascii="Book Antiqua" w:eastAsia="Times New Roman" w:hAnsi="Book Antiqua" w:cs="Calibri"/>
                <w:color w:val="000000"/>
                <w:sz w:val="18"/>
                <w:szCs w:val="18"/>
                <w:lang w:eastAsia="es-CR"/>
              </w:rPr>
              <w:t>A</w:t>
            </w:r>
            <w:r w:rsidRPr="00ED01F9">
              <w:rPr>
                <w:rFonts w:ascii="Book Antiqua" w:eastAsia="Times New Roman" w:hAnsi="Book Antiqua" w:cs="Calibri"/>
                <w:color w:val="000000"/>
                <w:sz w:val="18"/>
                <w:szCs w:val="18"/>
                <w:lang w:eastAsia="es-CR"/>
              </w:rPr>
              <w:t xml:space="preserve">poyo, </w:t>
            </w:r>
            <w:r>
              <w:rPr>
                <w:rFonts w:ascii="Book Antiqua" w:eastAsia="Times New Roman" w:hAnsi="Book Antiqua" w:cs="Calibri"/>
                <w:color w:val="000000"/>
                <w:sz w:val="18"/>
                <w:szCs w:val="18"/>
                <w:lang w:eastAsia="es-CR"/>
              </w:rPr>
              <w:t>C</w:t>
            </w:r>
            <w:r w:rsidRPr="00ED01F9">
              <w:rPr>
                <w:rFonts w:ascii="Book Antiqua" w:eastAsia="Times New Roman" w:hAnsi="Book Antiqua" w:cs="Calibri"/>
                <w:color w:val="000000"/>
                <w:sz w:val="18"/>
                <w:szCs w:val="18"/>
                <w:lang w:eastAsia="es-CR"/>
              </w:rPr>
              <w:t xml:space="preserve">oordinación y </w:t>
            </w:r>
            <w:r>
              <w:rPr>
                <w:rFonts w:ascii="Book Antiqua" w:eastAsia="Times New Roman" w:hAnsi="Book Antiqua" w:cs="Calibri"/>
                <w:color w:val="000000"/>
                <w:sz w:val="18"/>
                <w:szCs w:val="18"/>
                <w:lang w:eastAsia="es-CR"/>
              </w:rPr>
              <w:t>M</w:t>
            </w:r>
            <w:r w:rsidRPr="00ED01F9">
              <w:rPr>
                <w:rFonts w:ascii="Book Antiqua" w:eastAsia="Times New Roman" w:hAnsi="Book Antiqua" w:cs="Calibri"/>
                <w:color w:val="000000"/>
                <w:sz w:val="18"/>
                <w:szCs w:val="18"/>
                <w:lang w:eastAsia="es-CR"/>
              </w:rPr>
              <w:t xml:space="preserve">ejoramiento de la </w:t>
            </w:r>
            <w:r>
              <w:rPr>
                <w:rFonts w:ascii="Book Antiqua" w:eastAsia="Times New Roman" w:hAnsi="Book Antiqua" w:cs="Calibri"/>
                <w:color w:val="000000"/>
                <w:sz w:val="18"/>
                <w:szCs w:val="18"/>
                <w:lang w:eastAsia="es-CR"/>
              </w:rPr>
              <w:t>F</w:t>
            </w:r>
            <w:r w:rsidRPr="00ED01F9">
              <w:rPr>
                <w:rFonts w:ascii="Book Antiqua" w:eastAsia="Times New Roman" w:hAnsi="Book Antiqua" w:cs="Calibri"/>
                <w:color w:val="000000"/>
                <w:sz w:val="18"/>
                <w:szCs w:val="18"/>
                <w:lang w:eastAsia="es-CR"/>
              </w:rPr>
              <w:t xml:space="preserve">unción </w:t>
            </w:r>
            <w:r>
              <w:rPr>
                <w:rFonts w:ascii="Book Antiqua" w:eastAsia="Times New Roman" w:hAnsi="Book Antiqua" w:cs="Calibri"/>
                <w:color w:val="000000"/>
                <w:sz w:val="18"/>
                <w:szCs w:val="18"/>
                <w:lang w:eastAsia="es-CR"/>
              </w:rPr>
              <w:t>J</w:t>
            </w:r>
            <w:r w:rsidRPr="00ED01F9">
              <w:rPr>
                <w:rFonts w:ascii="Book Antiqua" w:eastAsia="Times New Roman" w:hAnsi="Book Antiqua" w:cs="Calibri"/>
                <w:color w:val="000000"/>
                <w:sz w:val="18"/>
                <w:szCs w:val="18"/>
                <w:lang w:eastAsia="es-CR"/>
              </w:rPr>
              <w:t>urisdiccional</w:t>
            </w:r>
          </w:p>
        </w:tc>
        <w:tc>
          <w:tcPr>
            <w:tcW w:w="1189" w:type="dxa"/>
            <w:tcBorders>
              <w:top w:val="nil"/>
              <w:left w:val="nil"/>
              <w:bottom w:val="single" w:sz="4" w:space="0" w:color="auto"/>
              <w:right w:val="single" w:sz="4" w:space="0" w:color="auto"/>
            </w:tcBorders>
            <w:shd w:val="clear" w:color="auto" w:fill="auto"/>
            <w:vAlign w:val="center"/>
            <w:hideMark/>
          </w:tcPr>
          <w:p w14:paraId="7AB45000" w14:textId="77777777" w:rsidR="000B7A67" w:rsidRPr="00ED01F9" w:rsidRDefault="000B7A67" w:rsidP="00F400D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1324-CACMFJ-P06</w:t>
            </w:r>
          </w:p>
        </w:tc>
        <w:tc>
          <w:tcPr>
            <w:tcW w:w="1560" w:type="dxa"/>
            <w:tcBorders>
              <w:top w:val="nil"/>
              <w:left w:val="nil"/>
              <w:bottom w:val="single" w:sz="4" w:space="0" w:color="auto"/>
              <w:right w:val="single" w:sz="4" w:space="0" w:color="auto"/>
            </w:tcBorders>
            <w:shd w:val="clear" w:color="auto" w:fill="auto"/>
            <w:vAlign w:val="center"/>
            <w:hideMark/>
          </w:tcPr>
          <w:p w14:paraId="726DF6F3" w14:textId="77777777" w:rsidR="000B7A67" w:rsidRPr="00ED01F9" w:rsidRDefault="000B7A67" w:rsidP="00F400D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Plan de Atención de los Procesos Expropiatorios en el Juzgado Contencioso Administrativo y Civil Hacienda</w:t>
            </w:r>
          </w:p>
        </w:tc>
        <w:tc>
          <w:tcPr>
            <w:tcW w:w="1134" w:type="dxa"/>
            <w:tcBorders>
              <w:top w:val="nil"/>
              <w:left w:val="nil"/>
              <w:bottom w:val="single" w:sz="4" w:space="0" w:color="auto"/>
              <w:right w:val="single" w:sz="4" w:space="0" w:color="auto"/>
            </w:tcBorders>
            <w:shd w:val="clear" w:color="auto" w:fill="auto"/>
            <w:vAlign w:val="center"/>
            <w:hideMark/>
          </w:tcPr>
          <w:p w14:paraId="7FA7B84B" w14:textId="77777777" w:rsidR="000B7A67" w:rsidRPr="00ED01F9" w:rsidRDefault="000B7A67" w:rsidP="00F400D6">
            <w:pPr>
              <w:spacing w:after="0" w:line="240" w:lineRule="auto"/>
              <w:jc w:val="center"/>
              <w:rPr>
                <w:rFonts w:ascii="Book Antiqua" w:eastAsia="Times New Roman" w:hAnsi="Book Antiqua" w:cs="Calibri"/>
                <w:sz w:val="18"/>
                <w:szCs w:val="18"/>
                <w:lang w:eastAsia="es-CR"/>
              </w:rPr>
            </w:pPr>
            <w:r w:rsidRPr="00ED01F9">
              <w:rPr>
                <w:rFonts w:ascii="Book Antiqua" w:eastAsia="Times New Roman" w:hAnsi="Book Antiqua" w:cs="Calibri"/>
                <w:sz w:val="18"/>
                <w:szCs w:val="18"/>
                <w:lang w:eastAsia="es-CR"/>
              </w:rPr>
              <w:t>1.3</w:t>
            </w:r>
          </w:p>
        </w:tc>
        <w:tc>
          <w:tcPr>
            <w:tcW w:w="3969" w:type="dxa"/>
            <w:tcBorders>
              <w:top w:val="nil"/>
              <w:left w:val="nil"/>
              <w:bottom w:val="single" w:sz="4" w:space="0" w:color="auto"/>
              <w:right w:val="single" w:sz="4" w:space="0" w:color="auto"/>
            </w:tcBorders>
            <w:shd w:val="clear" w:color="auto" w:fill="auto"/>
            <w:vAlign w:val="center"/>
            <w:hideMark/>
          </w:tcPr>
          <w:p w14:paraId="6056045D" w14:textId="77777777" w:rsidR="000B7A67" w:rsidRDefault="000B7A67" w:rsidP="00B97CE8">
            <w:pPr>
              <w:spacing w:after="0"/>
              <w:jc w:val="both"/>
              <w:rPr>
                <w:rFonts w:ascii="Book Antiqua" w:hAnsi="Book Antiqua" w:cs="Calibri"/>
                <w:color w:val="000000"/>
                <w:sz w:val="18"/>
                <w:szCs w:val="18"/>
              </w:rPr>
            </w:pPr>
            <w:r>
              <w:rPr>
                <w:rFonts w:ascii="Book Antiqua" w:hAnsi="Book Antiqua" w:cs="Calibri"/>
                <w:b/>
                <w:bCs/>
                <w:color w:val="000000"/>
                <w:sz w:val="18"/>
                <w:szCs w:val="18"/>
              </w:rPr>
              <w:t xml:space="preserve">Corregir : </w:t>
            </w:r>
            <w:r w:rsidRPr="00361E8B">
              <w:rPr>
                <w:rFonts w:ascii="Book Antiqua" w:hAnsi="Book Antiqua" w:cs="Calibri"/>
                <w:b/>
                <w:bCs/>
                <w:color w:val="000000"/>
                <w:sz w:val="18"/>
                <w:szCs w:val="18"/>
              </w:rPr>
              <w:t>En Estudio de factibilidad</w:t>
            </w:r>
            <w:r>
              <w:rPr>
                <w:rFonts w:ascii="Book Antiqua" w:hAnsi="Book Antiqua" w:cs="Calibri"/>
                <w:b/>
                <w:bCs/>
                <w:color w:val="000000"/>
                <w:sz w:val="18"/>
                <w:szCs w:val="18"/>
              </w:rPr>
              <w:t xml:space="preserve">: </w:t>
            </w:r>
            <w:r w:rsidRPr="00361E8B">
              <w:rPr>
                <w:rFonts w:ascii="Book Antiqua" w:hAnsi="Book Antiqua" w:cs="Calibri"/>
                <w:color w:val="000000"/>
                <w:sz w:val="18"/>
                <w:szCs w:val="18"/>
              </w:rPr>
              <w:t xml:space="preserve">Planteamiento inicial del proyecto: Falta indicar las 3 alternativas para solucionar el problema que se planteó. Costos de inversión: En este apartado se debe contemplar los recursos ordinarios del proyecto y con permisos con goce requerido para la ejecución del proyecto. Revisar que este por todo el periodo del proyecto y la cantidad de personas que intervienen. Costos de Operación: En este apartado no se debe contemplar los recursos ordinarios ni permisos con goce de la ejecución del proyecto; sino los costos que genere el proyecto una vez terminado. Fuente de financiamiento: Se debe indicar a si es con recurso ordinario o como se pagará. Análisis Costo -Beneficio del Proyecto: El costo de inversión debe coincidir una vez actualizado si aplica. </w:t>
            </w:r>
          </w:p>
          <w:p w14:paraId="5EF24C02" w14:textId="77777777" w:rsidR="000B7A67" w:rsidRDefault="000B7A67" w:rsidP="00B97CE8">
            <w:pPr>
              <w:spacing w:after="0"/>
              <w:jc w:val="both"/>
              <w:rPr>
                <w:rFonts w:ascii="Book Antiqua" w:hAnsi="Book Antiqua" w:cs="Calibri"/>
                <w:color w:val="000000"/>
                <w:sz w:val="18"/>
                <w:szCs w:val="18"/>
              </w:rPr>
            </w:pPr>
            <w:r w:rsidRPr="00361E8B">
              <w:rPr>
                <w:rFonts w:ascii="Book Antiqua" w:hAnsi="Book Antiqua" w:cs="Calibri"/>
                <w:b/>
                <w:bCs/>
                <w:color w:val="000000"/>
                <w:sz w:val="18"/>
                <w:szCs w:val="18"/>
              </w:rPr>
              <w:t>Acta de constitución:</w:t>
            </w:r>
            <w:r w:rsidRPr="00361E8B">
              <w:rPr>
                <w:rFonts w:ascii="Book Antiqua" w:hAnsi="Book Antiqua" w:cs="Calibri"/>
                <w:color w:val="000000"/>
                <w:sz w:val="18"/>
                <w:szCs w:val="18"/>
              </w:rPr>
              <w:t xml:space="preserve"> Código del Proyecto: El código esta incorrecto es el 0655-CONAMAJ-P06. Descripción del proyecto: Se debe ampliar, considerar lo que se estableció en el estudio de factibilidad o plan de gestión. </w:t>
            </w:r>
            <w:r w:rsidRPr="00F0340E">
              <w:rPr>
                <w:rFonts w:ascii="Book Antiqua" w:hAnsi="Book Antiqua" w:cs="Calibri"/>
                <w:color w:val="000000"/>
                <w:sz w:val="18"/>
                <w:szCs w:val="18"/>
              </w:rPr>
              <w:t>Objetivo del Proyecto: Falta indicar los indicadores del proyecto para evaluar los permisos con goce.</w:t>
            </w:r>
            <w:r>
              <w:rPr>
                <w:rFonts w:ascii="Book Antiqua" w:hAnsi="Book Antiqua" w:cs="Calibri"/>
                <w:color w:val="000000"/>
                <w:sz w:val="18"/>
                <w:szCs w:val="18"/>
              </w:rPr>
              <w:t xml:space="preserve"> </w:t>
            </w:r>
            <w:r w:rsidRPr="00361E8B">
              <w:rPr>
                <w:rFonts w:ascii="Book Antiqua" w:hAnsi="Book Antiqua" w:cs="Calibri"/>
                <w:color w:val="000000"/>
                <w:sz w:val="18"/>
                <w:szCs w:val="18"/>
              </w:rPr>
              <w:t xml:space="preserve">Recursos del proyecto: Este apartado debe coincidir con los montos indicando en el estudio de factibilidad en el apartado de costo de inversión. Equipo de trabajo del proyecto: En este apartado se debe indicar el equipo de trabajo, y mencionar el rol de cada uno. Aprobación: Falta aprobación del documento. </w:t>
            </w:r>
          </w:p>
          <w:p w14:paraId="105ADBF8" w14:textId="77777777" w:rsidR="000B7A67" w:rsidRPr="00361E8B" w:rsidRDefault="000B7A67" w:rsidP="00B97CE8">
            <w:pPr>
              <w:spacing w:after="0"/>
              <w:jc w:val="both"/>
              <w:rPr>
                <w:rFonts w:ascii="Book Antiqua" w:hAnsi="Book Antiqua" w:cs="Calibri"/>
                <w:color w:val="000000"/>
                <w:sz w:val="18"/>
                <w:szCs w:val="18"/>
              </w:rPr>
            </w:pPr>
            <w:r w:rsidRPr="00361E8B">
              <w:rPr>
                <w:rFonts w:ascii="Book Antiqua" w:hAnsi="Book Antiqua" w:cs="Calibri"/>
                <w:b/>
                <w:bCs/>
                <w:color w:val="000000"/>
                <w:sz w:val="18"/>
                <w:szCs w:val="18"/>
              </w:rPr>
              <w:t xml:space="preserve">Plan de gestión: </w:t>
            </w:r>
            <w:r w:rsidRPr="00361E8B">
              <w:rPr>
                <w:rFonts w:ascii="Book Antiqua" w:hAnsi="Book Antiqua" w:cs="Calibri"/>
                <w:color w:val="000000"/>
                <w:sz w:val="18"/>
                <w:szCs w:val="18"/>
              </w:rPr>
              <w:t xml:space="preserve">Beneficios y resultados esperados: </w:t>
            </w:r>
            <w:r w:rsidRPr="00887C20">
              <w:rPr>
                <w:rFonts w:ascii="Book Antiqua" w:hAnsi="Book Antiqua" w:cs="Calibri"/>
                <w:color w:val="000000"/>
                <w:sz w:val="18"/>
                <w:szCs w:val="18"/>
              </w:rPr>
              <w:t>Los beneficios indicados en este apartado debe ser iguales a los del estudio de factibilidad</w:t>
            </w:r>
            <w:r w:rsidRPr="00361E8B">
              <w:rPr>
                <w:rFonts w:ascii="Book Antiqua" w:hAnsi="Book Antiqua" w:cs="Calibri"/>
                <w:color w:val="000000"/>
                <w:sz w:val="18"/>
                <w:szCs w:val="18"/>
              </w:rPr>
              <w:t xml:space="preserve">. Detalle de los entregables del proyecto: Falta realizar el diagrama de la EDT, se puede ver un ejemplo en el manual de elaboración del plan de gestión; El detalle de los entregables debe coincidir el cronograma y solamente debe indicarse el 3 nivel. Detalle del presupuesto del proyecto: </w:t>
            </w:r>
            <w:r w:rsidRPr="00887C20">
              <w:rPr>
                <w:rFonts w:ascii="Book Antiqua" w:hAnsi="Book Antiqua" w:cs="Calibri"/>
                <w:color w:val="000000"/>
                <w:sz w:val="18"/>
                <w:szCs w:val="18"/>
              </w:rPr>
              <w:t xml:space="preserve">Se debe incluir en el apartado de costos del proyecto, los costos relacionados con el presupuesto ordinario de la partida 1 a la 7; y en el subtítulo 6.2 y 6.3 indicar los recursos humanos según sea el caso. Además, esto debe coincidir con el estudio de </w:t>
            </w:r>
            <w:r w:rsidRPr="00887C20">
              <w:rPr>
                <w:rFonts w:ascii="Book Antiqua" w:hAnsi="Book Antiqua" w:cs="Calibri"/>
                <w:color w:val="000000"/>
                <w:sz w:val="18"/>
                <w:szCs w:val="18"/>
              </w:rPr>
              <w:lastRenderedPageBreak/>
              <w:t>factibilidad y acta de constitución.</w:t>
            </w:r>
            <w:r w:rsidRPr="00361E8B">
              <w:rPr>
                <w:rFonts w:ascii="Book Antiqua" w:hAnsi="Book Antiqua" w:cs="Calibri"/>
                <w:color w:val="000000"/>
                <w:sz w:val="18"/>
                <w:szCs w:val="18"/>
              </w:rPr>
              <w:t xml:space="preserve"> Administración de la comunicación: Falta completar este dato.</w:t>
            </w:r>
          </w:p>
        </w:tc>
      </w:tr>
      <w:tr w:rsidR="007E6FC1" w:rsidRPr="00ED01F9" w14:paraId="55446FC2" w14:textId="77777777" w:rsidTr="00301740">
        <w:trPr>
          <w:trHeight w:val="1148"/>
        </w:trPr>
        <w:tc>
          <w:tcPr>
            <w:tcW w:w="1557" w:type="dxa"/>
            <w:vMerge/>
            <w:tcBorders>
              <w:top w:val="nil"/>
              <w:left w:val="single" w:sz="4" w:space="0" w:color="auto"/>
              <w:bottom w:val="single" w:sz="4" w:space="0" w:color="000000"/>
              <w:right w:val="single" w:sz="4" w:space="0" w:color="auto"/>
            </w:tcBorders>
            <w:vAlign w:val="center"/>
            <w:hideMark/>
          </w:tcPr>
          <w:p w14:paraId="352996A8" w14:textId="77777777" w:rsidR="000B7A67" w:rsidRPr="00ED01F9" w:rsidRDefault="000B7A67" w:rsidP="00F400D6">
            <w:pPr>
              <w:spacing w:after="0" w:line="240" w:lineRule="auto"/>
              <w:rPr>
                <w:rFonts w:ascii="Book Antiqua" w:eastAsia="Times New Roman" w:hAnsi="Book Antiqua" w:cs="Calibri"/>
                <w:color w:val="000000"/>
                <w:sz w:val="18"/>
                <w:szCs w:val="18"/>
                <w:lang w:eastAsia="es-CR"/>
              </w:rPr>
            </w:pPr>
          </w:p>
        </w:tc>
        <w:tc>
          <w:tcPr>
            <w:tcW w:w="1365" w:type="dxa"/>
            <w:vMerge/>
            <w:tcBorders>
              <w:left w:val="single" w:sz="4" w:space="0" w:color="auto"/>
              <w:bottom w:val="single" w:sz="4" w:space="0" w:color="000000"/>
              <w:right w:val="single" w:sz="4" w:space="0" w:color="auto"/>
            </w:tcBorders>
            <w:vAlign w:val="center"/>
            <w:hideMark/>
          </w:tcPr>
          <w:p w14:paraId="1785852C" w14:textId="77777777" w:rsidR="000B7A67" w:rsidRPr="00ED01F9" w:rsidRDefault="000B7A67" w:rsidP="00F400D6">
            <w:pPr>
              <w:spacing w:after="0" w:line="240" w:lineRule="auto"/>
              <w:rPr>
                <w:rFonts w:ascii="Book Antiqua" w:eastAsia="Times New Roman" w:hAnsi="Book Antiqua" w:cs="Calibri"/>
                <w:color w:val="000000"/>
                <w:sz w:val="18"/>
                <w:szCs w:val="18"/>
                <w:lang w:eastAsia="es-CR"/>
              </w:rPr>
            </w:pPr>
          </w:p>
        </w:tc>
        <w:tc>
          <w:tcPr>
            <w:tcW w:w="1189" w:type="dxa"/>
            <w:tcBorders>
              <w:top w:val="nil"/>
              <w:left w:val="nil"/>
              <w:bottom w:val="single" w:sz="4" w:space="0" w:color="auto"/>
              <w:right w:val="single" w:sz="4" w:space="0" w:color="auto"/>
            </w:tcBorders>
            <w:shd w:val="clear" w:color="auto" w:fill="auto"/>
            <w:vAlign w:val="center"/>
            <w:hideMark/>
          </w:tcPr>
          <w:p w14:paraId="7852B02A" w14:textId="77777777" w:rsidR="000B7A67" w:rsidRPr="00ED01F9" w:rsidRDefault="000B7A67" w:rsidP="00F400D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1324-CACMFJ-P0</w:t>
            </w:r>
            <w:r>
              <w:rPr>
                <w:rFonts w:ascii="Book Antiqua" w:eastAsia="Times New Roman" w:hAnsi="Book Antiqua" w:cs="Calibri"/>
                <w:color w:val="000000"/>
                <w:sz w:val="18"/>
                <w:szCs w:val="18"/>
                <w:lang w:eastAsia="es-CR"/>
              </w:rPr>
              <w:t>7</w:t>
            </w:r>
          </w:p>
        </w:tc>
        <w:tc>
          <w:tcPr>
            <w:tcW w:w="1560" w:type="dxa"/>
            <w:tcBorders>
              <w:top w:val="nil"/>
              <w:left w:val="nil"/>
              <w:bottom w:val="single" w:sz="4" w:space="0" w:color="auto"/>
              <w:right w:val="single" w:sz="4" w:space="0" w:color="auto"/>
            </w:tcBorders>
            <w:shd w:val="clear" w:color="auto" w:fill="auto"/>
            <w:vAlign w:val="center"/>
            <w:hideMark/>
          </w:tcPr>
          <w:p w14:paraId="173D2A87" w14:textId="77777777" w:rsidR="000B7A67" w:rsidRPr="00ED01F9" w:rsidRDefault="000B7A67" w:rsidP="00F400D6">
            <w:pPr>
              <w:spacing w:after="0" w:line="240" w:lineRule="auto"/>
              <w:jc w:val="center"/>
              <w:rPr>
                <w:rFonts w:ascii="Book Antiqua" w:eastAsia="Times New Roman" w:hAnsi="Book Antiqua" w:cs="Calibri"/>
                <w:color w:val="000000"/>
                <w:sz w:val="18"/>
                <w:szCs w:val="18"/>
                <w:lang w:eastAsia="es-CR"/>
              </w:rPr>
            </w:pPr>
            <w:r w:rsidRPr="00ED01F9">
              <w:rPr>
                <w:rFonts w:ascii="Book Antiqua" w:eastAsia="Times New Roman" w:hAnsi="Book Antiqua" w:cs="Calibri"/>
                <w:color w:val="000000"/>
                <w:sz w:val="18"/>
                <w:szCs w:val="18"/>
                <w:lang w:eastAsia="es-CR"/>
              </w:rPr>
              <w:t>Proyecto operativo en el Área de Ejecución de Sentencias de Amparos de Legalidad del Tribunal Contencioso Administrativo</w:t>
            </w:r>
          </w:p>
        </w:tc>
        <w:tc>
          <w:tcPr>
            <w:tcW w:w="1134" w:type="dxa"/>
            <w:tcBorders>
              <w:top w:val="nil"/>
              <w:left w:val="nil"/>
              <w:bottom w:val="single" w:sz="4" w:space="0" w:color="auto"/>
              <w:right w:val="single" w:sz="4" w:space="0" w:color="auto"/>
            </w:tcBorders>
            <w:shd w:val="clear" w:color="auto" w:fill="auto"/>
            <w:vAlign w:val="center"/>
            <w:hideMark/>
          </w:tcPr>
          <w:p w14:paraId="20954CD8" w14:textId="77777777" w:rsidR="000B7A67" w:rsidRPr="00ED01F9" w:rsidRDefault="000B7A67" w:rsidP="00F400D6">
            <w:pPr>
              <w:spacing w:after="0" w:line="240" w:lineRule="auto"/>
              <w:jc w:val="center"/>
              <w:rPr>
                <w:rFonts w:ascii="Book Antiqua" w:eastAsia="Times New Roman" w:hAnsi="Book Antiqua" w:cs="Calibri"/>
                <w:sz w:val="18"/>
                <w:szCs w:val="18"/>
                <w:lang w:eastAsia="es-CR"/>
              </w:rPr>
            </w:pPr>
            <w:r w:rsidRPr="00ED01F9">
              <w:rPr>
                <w:rFonts w:ascii="Book Antiqua" w:eastAsia="Times New Roman" w:hAnsi="Book Antiqua" w:cs="Calibri"/>
                <w:sz w:val="18"/>
                <w:szCs w:val="18"/>
                <w:lang w:eastAsia="es-CR"/>
              </w:rPr>
              <w:t>1.3</w:t>
            </w:r>
          </w:p>
        </w:tc>
        <w:tc>
          <w:tcPr>
            <w:tcW w:w="3969" w:type="dxa"/>
            <w:tcBorders>
              <w:top w:val="nil"/>
              <w:left w:val="nil"/>
              <w:bottom w:val="single" w:sz="4" w:space="0" w:color="auto"/>
              <w:right w:val="single" w:sz="4" w:space="0" w:color="auto"/>
            </w:tcBorders>
            <w:shd w:val="clear" w:color="auto" w:fill="auto"/>
            <w:vAlign w:val="center"/>
            <w:hideMark/>
          </w:tcPr>
          <w:p w14:paraId="1AB1BF1B" w14:textId="77777777" w:rsidR="000B7A67" w:rsidRDefault="000B7A67" w:rsidP="00B97CE8">
            <w:pPr>
              <w:spacing w:after="0" w:line="240" w:lineRule="auto"/>
              <w:jc w:val="both"/>
              <w:rPr>
                <w:rFonts w:ascii="Book Antiqua" w:eastAsia="Times New Roman" w:hAnsi="Book Antiqua" w:cs="Calibri"/>
                <w:sz w:val="18"/>
                <w:szCs w:val="18"/>
                <w:lang w:eastAsia="es-CR"/>
              </w:rPr>
            </w:pPr>
            <w:r>
              <w:rPr>
                <w:rFonts w:ascii="Book Antiqua" w:eastAsia="Times New Roman" w:hAnsi="Book Antiqua" w:cs="Calibri"/>
                <w:sz w:val="18"/>
                <w:szCs w:val="18"/>
                <w:lang w:eastAsia="es-CR"/>
              </w:rPr>
              <w:t xml:space="preserve">Corregir </w:t>
            </w:r>
            <w:r w:rsidRPr="00ED3548">
              <w:rPr>
                <w:rFonts w:ascii="Book Antiqua" w:eastAsia="Times New Roman" w:hAnsi="Book Antiqua" w:cs="Calibri"/>
                <w:b/>
                <w:bCs/>
                <w:sz w:val="18"/>
                <w:szCs w:val="18"/>
                <w:lang w:eastAsia="es-CR"/>
              </w:rPr>
              <w:t>En estudio de factibilidad:</w:t>
            </w:r>
            <w:r w:rsidRPr="00ED3548">
              <w:rPr>
                <w:rFonts w:ascii="Book Antiqua" w:eastAsia="Times New Roman" w:hAnsi="Book Antiqua" w:cs="Calibri"/>
                <w:sz w:val="18"/>
                <w:szCs w:val="18"/>
                <w:lang w:eastAsia="es-CR"/>
              </w:rPr>
              <w:t xml:space="preserve"> Planteamiento inicial del proyecto: Falta indicar las 3 alternativas para solucionar el problema que se planteó. Costos de inversión: En este apartado se debe contemplar los recursos ordinarios del proyecto y con permisos con goce requerido para la ejecución del proyecto. Revisar que este por todo el periodo del proyecto y la cantidad de personas que intervienen. Costos de Operación: En este apartado no se debe contemplar los recursos ordinarios ni permisos con goce de la ejecución del proyecto; sino los costos que genere el proyecto una vez terminado. Fuente de financiamiento: Se debe indicar a si es con recurso ordinario o como se pagará. Análisis Costo -Beneficio del Proyecto: El costo de inversión debe coincidir una vez actualizado si aplica. </w:t>
            </w:r>
          </w:p>
          <w:p w14:paraId="2FFD30F9" w14:textId="77777777" w:rsidR="000B7A67" w:rsidRDefault="000B7A67" w:rsidP="00B97CE8">
            <w:pPr>
              <w:spacing w:after="0" w:line="240" w:lineRule="auto"/>
              <w:jc w:val="both"/>
              <w:rPr>
                <w:rFonts w:ascii="Book Antiqua" w:eastAsia="Times New Roman" w:hAnsi="Book Antiqua" w:cs="Calibri"/>
                <w:sz w:val="18"/>
                <w:szCs w:val="18"/>
                <w:lang w:eastAsia="es-CR"/>
              </w:rPr>
            </w:pPr>
            <w:r w:rsidRPr="00ED3548">
              <w:rPr>
                <w:rFonts w:ascii="Book Antiqua" w:eastAsia="Times New Roman" w:hAnsi="Book Antiqua" w:cs="Calibri"/>
                <w:b/>
                <w:bCs/>
                <w:sz w:val="18"/>
                <w:szCs w:val="18"/>
                <w:lang w:eastAsia="es-CR"/>
              </w:rPr>
              <w:t>Acta de constitución:</w:t>
            </w:r>
            <w:r w:rsidRPr="00ED3548">
              <w:rPr>
                <w:rFonts w:ascii="Book Antiqua" w:eastAsia="Times New Roman" w:hAnsi="Book Antiqua" w:cs="Calibri"/>
                <w:sz w:val="18"/>
                <w:szCs w:val="18"/>
                <w:lang w:eastAsia="es-CR"/>
              </w:rPr>
              <w:t xml:space="preserve"> Código del Proyecto: El código esta incorrecto es el 0655-CONAMAJ-P06. Descripción del proyecto: Se debe ampliar, considerar lo que se estableció en el estudio de factibilidad. Objetivo del Proyecto: Falta indicar los indicadores del proyecto para evaluar los permisos con goce. Recursos del proyecto: Este apartado debe coincidir con los montos indicando en el estudio de factibilidad en el apartado de costo de inversión. Equipo de trabajo del proyecto: En este apartado se debe indicar el equipo de trabajo, y mencionar el rol de cada uno. Aprobación: Falta aprobación del documento. </w:t>
            </w:r>
          </w:p>
          <w:p w14:paraId="1F4C82D9" w14:textId="77777777" w:rsidR="000B7A67" w:rsidRPr="00ED01F9" w:rsidRDefault="000B7A67" w:rsidP="00B97CE8">
            <w:pPr>
              <w:spacing w:after="0" w:line="240" w:lineRule="auto"/>
              <w:jc w:val="both"/>
              <w:rPr>
                <w:rFonts w:ascii="Book Antiqua" w:eastAsia="Times New Roman" w:hAnsi="Book Antiqua" w:cs="Calibri"/>
                <w:sz w:val="18"/>
                <w:szCs w:val="18"/>
                <w:lang w:eastAsia="es-CR"/>
              </w:rPr>
            </w:pPr>
            <w:r w:rsidRPr="00ED3548">
              <w:rPr>
                <w:rFonts w:ascii="Book Antiqua" w:eastAsia="Times New Roman" w:hAnsi="Book Antiqua" w:cs="Calibri"/>
                <w:b/>
                <w:bCs/>
                <w:sz w:val="18"/>
                <w:szCs w:val="18"/>
                <w:lang w:eastAsia="es-CR"/>
              </w:rPr>
              <w:t>Plan de gestión:</w:t>
            </w:r>
            <w:r w:rsidRPr="00ED3548">
              <w:rPr>
                <w:rFonts w:ascii="Book Antiqua" w:eastAsia="Times New Roman" w:hAnsi="Book Antiqua" w:cs="Calibri"/>
                <w:sz w:val="18"/>
                <w:szCs w:val="18"/>
                <w:lang w:eastAsia="es-CR"/>
              </w:rPr>
              <w:t xml:space="preserve"> Descripción del proyecto: Se debe ampliar, considerar lo que se estableció en el estudio de factibilidad. Objetivo del Proyecto: Falta indicar los indicadores del proyecto para evaluar los permisos con goce. Alcance del proyecto: Debe ser concreto, e indica cual es el alcance del proyecto. Beneficios y resultados esperados: Los beneficios indicados en este apartado debe ser iguales a los del estudio de factibilidad. Detalle de los entregables del proyecto: Falta realizar el diagrama de la EDT, se puede ver un ejemplo en el manual de elaboración del plan de gestión. Detalle del presupuesto del proyecto: Se debe incluir en el apartado de costos del proyecto, los costos relacionados con el presupuesto ordinario de la </w:t>
            </w:r>
            <w:r w:rsidRPr="00ED3548">
              <w:rPr>
                <w:rFonts w:ascii="Book Antiqua" w:eastAsia="Times New Roman" w:hAnsi="Book Antiqua" w:cs="Calibri"/>
                <w:sz w:val="18"/>
                <w:szCs w:val="18"/>
                <w:lang w:eastAsia="es-CR"/>
              </w:rPr>
              <w:lastRenderedPageBreak/>
              <w:t>partida 1 a la 7; y en el subtítulo 6.2 y 6.3 indicar los recursos humanos según sea el caso. Además, esto debe coincidir con el estudio de factibilidad y acta de constitución.</w:t>
            </w:r>
          </w:p>
        </w:tc>
      </w:tr>
    </w:tbl>
    <w:p w14:paraId="3D8056C5" w14:textId="77777777" w:rsidR="000B7A67" w:rsidRDefault="000B7A67" w:rsidP="000B7A67">
      <w:pPr>
        <w:spacing w:after="0"/>
        <w:jc w:val="both"/>
        <w:rPr>
          <w:rFonts w:ascii="Book Antiqua" w:hAnsi="Book Antiqua"/>
          <w:sz w:val="24"/>
          <w:szCs w:val="24"/>
        </w:rPr>
      </w:pPr>
    </w:p>
    <w:p w14:paraId="7F8D8F9D" w14:textId="77777777" w:rsidR="000B7A67" w:rsidRDefault="000B7A67" w:rsidP="000B7A67">
      <w:pPr>
        <w:spacing w:after="0"/>
        <w:jc w:val="both"/>
        <w:rPr>
          <w:rFonts w:ascii="Book Antiqua" w:hAnsi="Book Antiqua"/>
          <w:b/>
          <w:sz w:val="24"/>
          <w:szCs w:val="24"/>
        </w:rPr>
      </w:pPr>
      <w:r w:rsidRPr="003B26B6">
        <w:rPr>
          <w:rFonts w:ascii="Book Antiqua" w:hAnsi="Book Antiqua"/>
          <w:sz w:val="24"/>
          <w:szCs w:val="24"/>
        </w:rPr>
        <w:t xml:space="preserve">Los proyectos anteriores, </w:t>
      </w:r>
      <w:r w:rsidRPr="001E33D7">
        <w:rPr>
          <w:rFonts w:ascii="Book Antiqua" w:hAnsi="Book Antiqua"/>
          <w:sz w:val="24"/>
          <w:szCs w:val="24"/>
        </w:rPr>
        <w:t xml:space="preserve">tendrán al </w:t>
      </w:r>
      <w:r w:rsidRPr="001E33D7">
        <w:rPr>
          <w:rFonts w:ascii="Book Antiqua" w:hAnsi="Book Antiqua"/>
          <w:b/>
          <w:bCs/>
          <w:sz w:val="24"/>
          <w:szCs w:val="24"/>
        </w:rPr>
        <w:t>11 de agosto del 2023</w:t>
      </w:r>
      <w:r>
        <w:rPr>
          <w:rFonts w:ascii="Book Antiqua" w:hAnsi="Book Antiqua"/>
          <w:b/>
          <w:bCs/>
          <w:sz w:val="24"/>
          <w:szCs w:val="24"/>
        </w:rPr>
        <w:t xml:space="preserve"> </w:t>
      </w:r>
      <w:r w:rsidRPr="00A562C7">
        <w:rPr>
          <w:rFonts w:ascii="Book Antiqua" w:hAnsi="Book Antiqua"/>
          <w:b/>
          <w:bCs/>
          <w:sz w:val="24"/>
          <w:szCs w:val="24"/>
        </w:rPr>
        <w:t>para</w:t>
      </w:r>
      <w:r w:rsidRPr="003B26B6">
        <w:rPr>
          <w:rFonts w:ascii="Book Antiqua" w:hAnsi="Book Antiqua"/>
          <w:b/>
          <w:bCs/>
          <w:sz w:val="24"/>
          <w:szCs w:val="24"/>
        </w:rPr>
        <w:t xml:space="preserve"> </w:t>
      </w:r>
      <w:r>
        <w:rPr>
          <w:rFonts w:ascii="Book Antiqua" w:hAnsi="Book Antiqua"/>
          <w:b/>
          <w:bCs/>
          <w:sz w:val="24"/>
          <w:szCs w:val="24"/>
        </w:rPr>
        <w:t xml:space="preserve">atender las recomendaciones pendientes </w:t>
      </w:r>
      <w:r w:rsidRPr="003B26B6">
        <w:rPr>
          <w:rFonts w:ascii="Book Antiqua" w:hAnsi="Book Antiqua"/>
          <w:b/>
          <w:sz w:val="24"/>
          <w:szCs w:val="24"/>
        </w:rPr>
        <w:t xml:space="preserve">y notificar a la </w:t>
      </w:r>
      <w:r>
        <w:rPr>
          <w:rFonts w:ascii="Book Antiqua" w:hAnsi="Book Antiqua"/>
          <w:b/>
          <w:sz w:val="24"/>
          <w:szCs w:val="24"/>
        </w:rPr>
        <w:t xml:space="preserve">Unidad del Portafolio de Proyectos, </w:t>
      </w:r>
      <w:r w:rsidRPr="003B26B6">
        <w:rPr>
          <w:rFonts w:ascii="Book Antiqua" w:hAnsi="Book Antiqua"/>
          <w:b/>
          <w:sz w:val="24"/>
          <w:szCs w:val="24"/>
        </w:rPr>
        <w:t>Dirección de Planificación</w:t>
      </w:r>
      <w:r>
        <w:rPr>
          <w:rFonts w:ascii="Book Antiqua" w:hAnsi="Book Antiqua"/>
          <w:b/>
          <w:sz w:val="24"/>
          <w:szCs w:val="24"/>
        </w:rPr>
        <w:t>.</w:t>
      </w:r>
    </w:p>
    <w:p w14:paraId="74CB883F" w14:textId="77777777" w:rsidR="000B7A67" w:rsidRDefault="000B7A67" w:rsidP="000B7A67">
      <w:pPr>
        <w:spacing w:after="0"/>
        <w:rPr>
          <w:lang w:eastAsia="ko-KR"/>
        </w:rPr>
      </w:pPr>
    </w:p>
    <w:p w14:paraId="3F36CFCC" w14:textId="77777777" w:rsidR="000B7A67" w:rsidRDefault="000B7A67" w:rsidP="000B7A67">
      <w:pPr>
        <w:pStyle w:val="Ttulo2"/>
        <w:numPr>
          <w:ilvl w:val="0"/>
          <w:numId w:val="3"/>
        </w:numPr>
        <w:tabs>
          <w:tab w:val="left" w:pos="851"/>
        </w:tabs>
        <w:jc w:val="both"/>
        <w:rPr>
          <w:rFonts w:ascii="Book Antiqua" w:eastAsia="Wingdings" w:hAnsi="Book Antiqua"/>
          <w:b/>
          <w:bCs/>
          <w:color w:val="auto"/>
          <w:lang w:eastAsia="ko-KR"/>
        </w:rPr>
      </w:pPr>
      <w:bookmarkStart w:id="26" w:name="_Toc131160565"/>
      <w:bookmarkStart w:id="27" w:name="_Toc138770829"/>
      <w:bookmarkStart w:id="28" w:name="_Toc131160520"/>
      <w:r w:rsidRPr="00845E8E">
        <w:rPr>
          <w:rFonts w:ascii="Book Antiqua" w:eastAsia="Wingdings" w:hAnsi="Book Antiqua"/>
          <w:b/>
          <w:bCs/>
          <w:color w:val="auto"/>
          <w:lang w:eastAsia="ko-KR"/>
        </w:rPr>
        <w:t>Recomendaciones dirigidas a</w:t>
      </w:r>
      <w:r>
        <w:rPr>
          <w:rFonts w:ascii="Book Antiqua" w:eastAsia="Wingdings" w:hAnsi="Book Antiqua"/>
          <w:b/>
          <w:bCs/>
          <w:color w:val="auto"/>
          <w:lang w:eastAsia="ko-KR"/>
        </w:rPr>
        <w:t xml:space="preserve"> la </w:t>
      </w:r>
      <w:r w:rsidRPr="00AA2E42">
        <w:rPr>
          <w:rFonts w:ascii="Book Antiqua" w:eastAsia="Wingdings" w:hAnsi="Book Antiqua"/>
          <w:b/>
          <w:bCs/>
          <w:color w:val="auto"/>
          <w:lang w:eastAsia="ko-KR"/>
        </w:rPr>
        <w:t>Dirección de Tecnología de Información</w:t>
      </w:r>
      <w:bookmarkEnd w:id="26"/>
      <w:bookmarkEnd w:id="27"/>
    </w:p>
    <w:p w14:paraId="34CEA924" w14:textId="77777777" w:rsidR="000B7A67" w:rsidRDefault="000B7A67" w:rsidP="000B7A67">
      <w:pPr>
        <w:spacing w:after="0"/>
        <w:rPr>
          <w:lang w:eastAsia="ko-KR"/>
        </w:rPr>
      </w:pPr>
    </w:p>
    <w:p w14:paraId="773B905C" w14:textId="77777777" w:rsidR="000B7A67" w:rsidRDefault="000B7A67" w:rsidP="000B7A67">
      <w:pPr>
        <w:rPr>
          <w:lang w:eastAsia="ko-KR"/>
        </w:rPr>
      </w:pPr>
      <w:r>
        <w:rPr>
          <w:rFonts w:ascii="Book Antiqua" w:hAnsi="Book Antiqua"/>
          <w:sz w:val="24"/>
          <w:szCs w:val="24"/>
        </w:rPr>
        <w:t xml:space="preserve">En el informe 277-PLA-PP-2023, se dirigió una recomendación a la </w:t>
      </w:r>
      <w:r w:rsidRPr="00AA2E42">
        <w:rPr>
          <w:rFonts w:ascii="Book Antiqua" w:eastAsia="Wingdings" w:hAnsi="Book Antiqua"/>
          <w:b/>
          <w:bCs/>
          <w:lang w:eastAsia="ko-KR"/>
        </w:rPr>
        <w:t>Dirección de Tecnología de Información</w:t>
      </w:r>
      <w:r>
        <w:rPr>
          <w:rFonts w:ascii="Book Antiqua" w:eastAsia="Wingdings" w:hAnsi="Book Antiqua"/>
          <w:b/>
          <w:bCs/>
          <w:lang w:eastAsia="ko-KR"/>
        </w:rPr>
        <w:t>,</w:t>
      </w:r>
      <w:r>
        <w:rPr>
          <w:rFonts w:ascii="Book Antiqua" w:hAnsi="Book Antiqua"/>
          <w:sz w:val="24"/>
          <w:szCs w:val="24"/>
        </w:rPr>
        <w:t xml:space="preserve"> debido a que existían proyectos con gestiones pendientes, o recomendaciones nuevas, por lo anterior se realizaron las siguientes:</w:t>
      </w:r>
    </w:p>
    <w:p w14:paraId="431E01CC" w14:textId="77777777" w:rsidR="000B7A67" w:rsidRPr="00174798" w:rsidRDefault="000B7A67" w:rsidP="000B7A67">
      <w:pPr>
        <w:spacing w:after="0" w:line="240" w:lineRule="auto"/>
        <w:ind w:left="567"/>
        <w:jc w:val="both"/>
        <w:rPr>
          <w:rFonts w:ascii="Book Antiqua" w:hAnsi="Book Antiqua"/>
          <w:sz w:val="24"/>
          <w:szCs w:val="24"/>
        </w:rPr>
      </w:pPr>
      <w:r>
        <w:rPr>
          <w:rFonts w:ascii="Book Antiqua" w:hAnsi="Book Antiqua"/>
          <w:sz w:val="24"/>
          <w:szCs w:val="24"/>
        </w:rPr>
        <w:t xml:space="preserve">“ </w:t>
      </w:r>
      <w:r w:rsidRPr="00727F83">
        <w:rPr>
          <w:rFonts w:ascii="Book Antiqua" w:hAnsi="Book Antiqua"/>
          <w:b/>
          <w:bCs/>
          <w:sz w:val="24"/>
          <w:szCs w:val="24"/>
        </w:rPr>
        <w:t xml:space="preserve">2.13.) </w:t>
      </w:r>
      <w:r w:rsidRPr="00727F83">
        <w:rPr>
          <w:rFonts w:ascii="Book Antiqua" w:hAnsi="Book Antiqua"/>
          <w:i/>
          <w:iCs/>
          <w:sz w:val="24"/>
          <w:szCs w:val="24"/>
        </w:rPr>
        <w:t>La Dirección de Tecnología de Información deberá: a.) Dar seguimiento y verificar que las oficinas líderes que se detallan a continuación carguen en el sitio de los proyectos, a más tardar el 28 de abril del 2023, la atención de las recomendaciones que, para cada caso, se detallan en las tablas incorporadas en el presente informe por la Dirección de Planificación. b.) Tomar las medidas pertinentes a fin de poder contrarrestar los atrasos presentados y, cuando no sea posible subsanar los atrasos, se deberá valorar la presentación de una solicitud de cambio en los casos que el retraso afecte la fecha de finalización de los proyectos y que la misma tenga autorización de la persona jefe o del director del proyecto. c.) Revisar y monitorear los proyectos que presentan un retraso significativo, y cuentan con permisos con goce otorgados.</w:t>
      </w:r>
    </w:p>
    <w:tbl>
      <w:tblPr>
        <w:tblW w:w="10065" w:type="dxa"/>
        <w:tblInd w:w="-431" w:type="dxa"/>
        <w:tblCellMar>
          <w:left w:w="70" w:type="dxa"/>
          <w:right w:w="70" w:type="dxa"/>
        </w:tblCellMar>
        <w:tblLook w:val="04A0" w:firstRow="1" w:lastRow="0" w:firstColumn="1" w:lastColumn="0" w:noHBand="0" w:noVBand="1"/>
      </w:tblPr>
      <w:tblGrid>
        <w:gridCol w:w="1470"/>
        <w:gridCol w:w="1650"/>
        <w:gridCol w:w="850"/>
        <w:gridCol w:w="1701"/>
        <w:gridCol w:w="992"/>
        <w:gridCol w:w="3402"/>
      </w:tblGrid>
      <w:tr w:rsidR="00BC00B3" w:rsidRPr="00D70F8D" w14:paraId="52EC9A23" w14:textId="77777777" w:rsidTr="001E33D7">
        <w:trPr>
          <w:trHeight w:val="300"/>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7137C9FF" w14:textId="77777777" w:rsidR="000B7A67" w:rsidRPr="00D70F8D" w:rsidRDefault="000B7A67" w:rsidP="00F400D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 xml:space="preserve">Centro de responsabilidad </w:t>
            </w:r>
          </w:p>
        </w:tc>
        <w:tc>
          <w:tcPr>
            <w:tcW w:w="1650" w:type="dxa"/>
            <w:tcBorders>
              <w:top w:val="single" w:sz="4" w:space="0" w:color="auto"/>
              <w:left w:val="nil"/>
              <w:bottom w:val="single" w:sz="4" w:space="0" w:color="auto"/>
              <w:right w:val="single" w:sz="4" w:space="0" w:color="auto"/>
            </w:tcBorders>
            <w:shd w:val="clear" w:color="000000" w:fill="44546A"/>
            <w:vAlign w:val="center"/>
            <w:hideMark/>
          </w:tcPr>
          <w:p w14:paraId="044D2225" w14:textId="77777777" w:rsidR="000B7A67" w:rsidRPr="00D70F8D" w:rsidRDefault="000B7A67" w:rsidP="00F400D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Oficina Líder</w:t>
            </w:r>
          </w:p>
        </w:tc>
        <w:tc>
          <w:tcPr>
            <w:tcW w:w="850" w:type="dxa"/>
            <w:tcBorders>
              <w:top w:val="single" w:sz="4" w:space="0" w:color="auto"/>
              <w:left w:val="nil"/>
              <w:bottom w:val="single" w:sz="4" w:space="0" w:color="auto"/>
              <w:right w:val="single" w:sz="4" w:space="0" w:color="auto"/>
            </w:tcBorders>
            <w:shd w:val="clear" w:color="000000" w:fill="44546A"/>
            <w:vAlign w:val="center"/>
            <w:hideMark/>
          </w:tcPr>
          <w:p w14:paraId="1E238523" w14:textId="77777777" w:rsidR="000B7A67" w:rsidRPr="00D70F8D" w:rsidRDefault="000B7A67" w:rsidP="00F400D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Código</w:t>
            </w:r>
          </w:p>
        </w:tc>
        <w:tc>
          <w:tcPr>
            <w:tcW w:w="1701" w:type="dxa"/>
            <w:tcBorders>
              <w:top w:val="single" w:sz="4" w:space="0" w:color="auto"/>
              <w:left w:val="nil"/>
              <w:bottom w:val="single" w:sz="4" w:space="0" w:color="auto"/>
              <w:right w:val="single" w:sz="4" w:space="0" w:color="auto"/>
            </w:tcBorders>
            <w:shd w:val="clear" w:color="000000" w:fill="44546A"/>
            <w:vAlign w:val="center"/>
            <w:hideMark/>
          </w:tcPr>
          <w:p w14:paraId="53B7632F" w14:textId="77777777" w:rsidR="000B7A67" w:rsidRPr="00D70F8D" w:rsidRDefault="000B7A67" w:rsidP="00F400D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Nombre</w:t>
            </w:r>
          </w:p>
        </w:tc>
        <w:tc>
          <w:tcPr>
            <w:tcW w:w="992" w:type="dxa"/>
            <w:tcBorders>
              <w:top w:val="single" w:sz="4" w:space="0" w:color="auto"/>
              <w:left w:val="nil"/>
              <w:bottom w:val="single" w:sz="4" w:space="0" w:color="auto"/>
              <w:right w:val="single" w:sz="4" w:space="0" w:color="auto"/>
            </w:tcBorders>
            <w:shd w:val="clear" w:color="000000" w:fill="44546A"/>
            <w:vAlign w:val="center"/>
            <w:hideMark/>
          </w:tcPr>
          <w:p w14:paraId="3D64E940" w14:textId="77777777" w:rsidR="000B7A67" w:rsidRPr="00D70F8D" w:rsidRDefault="000B7A67" w:rsidP="00F400D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Parte pendiente</w:t>
            </w:r>
          </w:p>
        </w:tc>
        <w:tc>
          <w:tcPr>
            <w:tcW w:w="3402" w:type="dxa"/>
            <w:tcBorders>
              <w:top w:val="single" w:sz="4" w:space="0" w:color="auto"/>
              <w:left w:val="nil"/>
              <w:bottom w:val="single" w:sz="4" w:space="0" w:color="auto"/>
              <w:right w:val="single" w:sz="4" w:space="0" w:color="auto"/>
            </w:tcBorders>
            <w:shd w:val="clear" w:color="000000" w:fill="44546A"/>
            <w:vAlign w:val="center"/>
            <w:hideMark/>
          </w:tcPr>
          <w:p w14:paraId="63551AA8" w14:textId="77777777" w:rsidR="000B7A67" w:rsidRPr="00D70F8D" w:rsidRDefault="000B7A67" w:rsidP="00F400D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 xml:space="preserve">Detalle </w:t>
            </w:r>
          </w:p>
        </w:tc>
      </w:tr>
      <w:tr w:rsidR="007E6FC1" w:rsidRPr="00D70F8D" w14:paraId="64993C72" w14:textId="77777777" w:rsidTr="001E33D7">
        <w:trPr>
          <w:trHeight w:val="560"/>
        </w:trPr>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59E21B43" w14:textId="05DD46A2"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 xml:space="preserve">Dirección de Tecnología de </w:t>
            </w:r>
            <w:r w:rsidR="00691CF5">
              <w:rPr>
                <w:rFonts w:ascii="Book Antiqua" w:eastAsia="Times New Roman" w:hAnsi="Book Antiqua" w:cs="Calibri"/>
                <w:color w:val="000000"/>
                <w:sz w:val="18"/>
                <w:szCs w:val="18"/>
                <w:lang w:eastAsia="es-CR"/>
              </w:rPr>
              <w:t xml:space="preserve">la </w:t>
            </w:r>
            <w:r w:rsidRPr="00D70F8D">
              <w:rPr>
                <w:rFonts w:ascii="Book Antiqua" w:eastAsia="Times New Roman" w:hAnsi="Book Antiqua" w:cs="Calibri"/>
                <w:color w:val="000000"/>
                <w:sz w:val="18"/>
                <w:szCs w:val="18"/>
                <w:lang w:eastAsia="es-CR"/>
              </w:rPr>
              <w:t>Información</w:t>
            </w:r>
            <w:r w:rsidR="00691CF5">
              <w:rPr>
                <w:rFonts w:ascii="Book Antiqua" w:eastAsia="Times New Roman" w:hAnsi="Book Antiqua" w:cs="Calibri"/>
                <w:color w:val="000000"/>
                <w:sz w:val="18"/>
                <w:szCs w:val="18"/>
                <w:lang w:eastAsia="es-CR"/>
              </w:rPr>
              <w:t xml:space="preserve"> y Comunicaci</w:t>
            </w:r>
            <w:r w:rsidR="00634EC6">
              <w:rPr>
                <w:rFonts w:ascii="Book Antiqua" w:eastAsia="Times New Roman" w:hAnsi="Book Antiqua" w:cs="Calibri"/>
                <w:color w:val="000000"/>
                <w:sz w:val="18"/>
                <w:szCs w:val="18"/>
                <w:lang w:eastAsia="es-CR"/>
              </w:rPr>
              <w:t>ones</w:t>
            </w:r>
            <w:r w:rsidR="00691CF5">
              <w:rPr>
                <w:rFonts w:ascii="Book Antiqua" w:eastAsia="Times New Roman" w:hAnsi="Book Antiqua" w:cs="Calibri"/>
                <w:color w:val="000000"/>
                <w:sz w:val="18"/>
                <w:szCs w:val="18"/>
                <w:lang w:eastAsia="es-CR"/>
              </w:rPr>
              <w:t xml:space="preserve"> </w:t>
            </w:r>
          </w:p>
        </w:tc>
        <w:tc>
          <w:tcPr>
            <w:tcW w:w="1650" w:type="dxa"/>
            <w:vMerge w:val="restart"/>
            <w:tcBorders>
              <w:top w:val="nil"/>
              <w:left w:val="single" w:sz="4" w:space="0" w:color="auto"/>
              <w:bottom w:val="single" w:sz="4" w:space="0" w:color="000000"/>
              <w:right w:val="single" w:sz="4" w:space="0" w:color="auto"/>
            </w:tcBorders>
            <w:shd w:val="clear" w:color="auto" w:fill="auto"/>
            <w:vAlign w:val="center"/>
            <w:hideMark/>
          </w:tcPr>
          <w:p w14:paraId="523CBE6B"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 xml:space="preserve">0123 </w:t>
            </w:r>
            <w:r>
              <w:rPr>
                <w:rFonts w:ascii="Book Antiqua" w:eastAsia="Times New Roman" w:hAnsi="Book Antiqua" w:cs="Calibri"/>
                <w:color w:val="000000"/>
                <w:sz w:val="18"/>
                <w:szCs w:val="18"/>
                <w:lang w:eastAsia="es-CR"/>
              </w:rPr>
              <w:t>S</w:t>
            </w:r>
            <w:r w:rsidRPr="00D70F8D">
              <w:rPr>
                <w:rFonts w:ascii="Book Antiqua" w:eastAsia="Times New Roman" w:hAnsi="Book Antiqua" w:cs="Calibri"/>
                <w:color w:val="000000"/>
                <w:sz w:val="18"/>
                <w:szCs w:val="18"/>
                <w:lang w:eastAsia="es-CR"/>
              </w:rPr>
              <w:t xml:space="preserve">ubproceso </w:t>
            </w:r>
            <w:r>
              <w:rPr>
                <w:rFonts w:ascii="Book Antiqua" w:eastAsia="Times New Roman" w:hAnsi="Book Antiqua" w:cs="Calibri"/>
                <w:color w:val="000000"/>
                <w:sz w:val="18"/>
                <w:szCs w:val="18"/>
                <w:lang w:eastAsia="es-CR"/>
              </w:rPr>
              <w:t>S</w:t>
            </w:r>
            <w:r w:rsidRPr="00D70F8D">
              <w:rPr>
                <w:rFonts w:ascii="Book Antiqua" w:eastAsia="Times New Roman" w:hAnsi="Book Antiqua" w:cs="Calibri"/>
                <w:color w:val="000000"/>
                <w:sz w:val="18"/>
                <w:szCs w:val="18"/>
                <w:lang w:eastAsia="es-CR"/>
              </w:rPr>
              <w:t xml:space="preserve">istemas </w:t>
            </w:r>
            <w:r>
              <w:rPr>
                <w:rFonts w:ascii="Book Antiqua" w:eastAsia="Times New Roman" w:hAnsi="Book Antiqua" w:cs="Calibri"/>
                <w:color w:val="000000"/>
                <w:sz w:val="18"/>
                <w:szCs w:val="18"/>
                <w:lang w:eastAsia="es-CR"/>
              </w:rPr>
              <w:t>A</w:t>
            </w:r>
            <w:r w:rsidRPr="00D70F8D">
              <w:rPr>
                <w:rFonts w:ascii="Book Antiqua" w:eastAsia="Times New Roman" w:hAnsi="Book Antiqua" w:cs="Calibri"/>
                <w:color w:val="000000"/>
                <w:sz w:val="18"/>
                <w:szCs w:val="18"/>
                <w:lang w:eastAsia="es-CR"/>
              </w:rPr>
              <w:t>dministrativos</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7F61E9FB"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0122-DTI-P02</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6A5A3D97"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Incorporación de la jurisprudencia oral en el Nexus-PJ</w:t>
            </w:r>
          </w:p>
        </w:tc>
        <w:tc>
          <w:tcPr>
            <w:tcW w:w="992" w:type="dxa"/>
            <w:tcBorders>
              <w:top w:val="nil"/>
              <w:left w:val="nil"/>
              <w:bottom w:val="single" w:sz="4" w:space="0" w:color="auto"/>
              <w:right w:val="single" w:sz="4" w:space="0" w:color="auto"/>
            </w:tcBorders>
            <w:shd w:val="clear" w:color="auto" w:fill="auto"/>
            <w:vAlign w:val="center"/>
            <w:hideMark/>
          </w:tcPr>
          <w:p w14:paraId="22F9A9FE"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2.1</w:t>
            </w:r>
          </w:p>
        </w:tc>
        <w:tc>
          <w:tcPr>
            <w:tcW w:w="3402" w:type="dxa"/>
            <w:tcBorders>
              <w:top w:val="nil"/>
              <w:left w:val="nil"/>
              <w:bottom w:val="single" w:sz="4" w:space="0" w:color="auto"/>
              <w:right w:val="single" w:sz="4" w:space="0" w:color="auto"/>
            </w:tcBorders>
            <w:shd w:val="clear" w:color="auto" w:fill="auto"/>
            <w:vAlign w:val="center"/>
            <w:hideMark/>
          </w:tcPr>
          <w:p w14:paraId="5EFB2A79" w14:textId="77777777" w:rsidR="000B7A67" w:rsidRPr="00D70F8D" w:rsidRDefault="000B7A67" w:rsidP="00C52E88">
            <w:pPr>
              <w:spacing w:after="0" w:line="240" w:lineRule="auto"/>
              <w:jc w:val="both"/>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El informe de avance presentaba incorrecto el porcentaje real y esperado.</w:t>
            </w:r>
          </w:p>
        </w:tc>
      </w:tr>
      <w:tr w:rsidR="007E6FC1" w:rsidRPr="00D70F8D" w14:paraId="2F7A0A87" w14:textId="77777777" w:rsidTr="001E33D7">
        <w:trPr>
          <w:trHeight w:val="644"/>
        </w:trPr>
        <w:tc>
          <w:tcPr>
            <w:tcW w:w="1470" w:type="dxa"/>
            <w:vMerge/>
            <w:tcBorders>
              <w:top w:val="nil"/>
              <w:left w:val="single" w:sz="4" w:space="0" w:color="auto"/>
              <w:bottom w:val="single" w:sz="4" w:space="0" w:color="000000"/>
              <w:right w:val="single" w:sz="4" w:space="0" w:color="auto"/>
            </w:tcBorders>
            <w:vAlign w:val="center"/>
            <w:hideMark/>
          </w:tcPr>
          <w:p w14:paraId="65B0CF1B"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vMerge/>
            <w:tcBorders>
              <w:top w:val="nil"/>
              <w:left w:val="single" w:sz="4" w:space="0" w:color="auto"/>
              <w:bottom w:val="single" w:sz="4" w:space="0" w:color="000000"/>
              <w:right w:val="single" w:sz="4" w:space="0" w:color="auto"/>
            </w:tcBorders>
            <w:vAlign w:val="center"/>
            <w:hideMark/>
          </w:tcPr>
          <w:p w14:paraId="4B063C03"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850" w:type="dxa"/>
            <w:vMerge/>
            <w:tcBorders>
              <w:top w:val="nil"/>
              <w:left w:val="single" w:sz="4" w:space="0" w:color="auto"/>
              <w:bottom w:val="single" w:sz="4" w:space="0" w:color="000000"/>
              <w:right w:val="single" w:sz="4" w:space="0" w:color="auto"/>
            </w:tcBorders>
            <w:vAlign w:val="center"/>
            <w:hideMark/>
          </w:tcPr>
          <w:p w14:paraId="49392CEF"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1701" w:type="dxa"/>
            <w:vMerge/>
            <w:tcBorders>
              <w:top w:val="nil"/>
              <w:left w:val="single" w:sz="4" w:space="0" w:color="auto"/>
              <w:bottom w:val="single" w:sz="4" w:space="0" w:color="000000"/>
              <w:right w:val="single" w:sz="4" w:space="0" w:color="auto"/>
            </w:tcBorders>
            <w:vAlign w:val="center"/>
            <w:hideMark/>
          </w:tcPr>
          <w:p w14:paraId="317DB19B"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992" w:type="dxa"/>
            <w:tcBorders>
              <w:top w:val="nil"/>
              <w:left w:val="nil"/>
              <w:bottom w:val="single" w:sz="4" w:space="0" w:color="auto"/>
              <w:right w:val="single" w:sz="4" w:space="0" w:color="auto"/>
            </w:tcBorders>
            <w:shd w:val="clear" w:color="auto" w:fill="auto"/>
            <w:vAlign w:val="center"/>
            <w:hideMark/>
          </w:tcPr>
          <w:p w14:paraId="3E13468C"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2.3</w:t>
            </w:r>
          </w:p>
        </w:tc>
        <w:tc>
          <w:tcPr>
            <w:tcW w:w="3402" w:type="dxa"/>
            <w:tcBorders>
              <w:top w:val="nil"/>
              <w:left w:val="nil"/>
              <w:bottom w:val="single" w:sz="4" w:space="0" w:color="auto"/>
              <w:right w:val="single" w:sz="4" w:space="0" w:color="auto"/>
            </w:tcBorders>
            <w:shd w:val="clear" w:color="auto" w:fill="auto"/>
            <w:vAlign w:val="center"/>
            <w:hideMark/>
          </w:tcPr>
          <w:p w14:paraId="04864E64" w14:textId="77777777" w:rsidR="000B7A67" w:rsidRPr="00D70F8D" w:rsidRDefault="000B7A67" w:rsidP="00C52E88">
            <w:pPr>
              <w:spacing w:after="0" w:line="240" w:lineRule="auto"/>
              <w:jc w:val="both"/>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Pendiente actualizar acta de constitución y plan de gestión producto de la solicitud de cambio del 2-12-22</w:t>
            </w:r>
          </w:p>
        </w:tc>
      </w:tr>
      <w:tr w:rsidR="007E6FC1" w:rsidRPr="00D70F8D" w14:paraId="4498C776" w14:textId="77777777" w:rsidTr="001E33D7">
        <w:trPr>
          <w:trHeight w:val="166"/>
        </w:trPr>
        <w:tc>
          <w:tcPr>
            <w:tcW w:w="1470" w:type="dxa"/>
            <w:vMerge/>
            <w:tcBorders>
              <w:top w:val="nil"/>
              <w:left w:val="single" w:sz="4" w:space="0" w:color="auto"/>
              <w:bottom w:val="single" w:sz="4" w:space="0" w:color="000000"/>
              <w:right w:val="single" w:sz="4" w:space="0" w:color="auto"/>
            </w:tcBorders>
            <w:vAlign w:val="center"/>
            <w:hideMark/>
          </w:tcPr>
          <w:p w14:paraId="77F2995B"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vMerge w:val="restart"/>
            <w:tcBorders>
              <w:top w:val="nil"/>
              <w:left w:val="single" w:sz="4" w:space="0" w:color="auto"/>
              <w:bottom w:val="single" w:sz="4" w:space="0" w:color="000000"/>
              <w:right w:val="single" w:sz="4" w:space="0" w:color="auto"/>
            </w:tcBorders>
            <w:shd w:val="clear" w:color="auto" w:fill="auto"/>
            <w:vAlign w:val="center"/>
            <w:hideMark/>
          </w:tcPr>
          <w:p w14:paraId="30F240BB"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 xml:space="preserve">0685 </w:t>
            </w:r>
            <w:r>
              <w:rPr>
                <w:rFonts w:ascii="Book Antiqua" w:eastAsia="Times New Roman" w:hAnsi="Book Antiqua" w:cs="Calibri"/>
                <w:color w:val="000000"/>
                <w:sz w:val="18"/>
                <w:szCs w:val="18"/>
                <w:lang w:eastAsia="es-CR"/>
              </w:rPr>
              <w:t>S</w:t>
            </w:r>
            <w:r w:rsidRPr="00D70F8D">
              <w:rPr>
                <w:rFonts w:ascii="Book Antiqua" w:eastAsia="Times New Roman" w:hAnsi="Book Antiqua" w:cs="Calibri"/>
                <w:color w:val="000000"/>
                <w:sz w:val="18"/>
                <w:szCs w:val="18"/>
                <w:lang w:eastAsia="es-CR"/>
              </w:rPr>
              <w:t xml:space="preserve">ubproceso </w:t>
            </w:r>
            <w:r>
              <w:rPr>
                <w:rFonts w:ascii="Book Antiqua" w:eastAsia="Times New Roman" w:hAnsi="Book Antiqua" w:cs="Calibri"/>
                <w:color w:val="000000"/>
                <w:sz w:val="18"/>
                <w:szCs w:val="18"/>
                <w:lang w:eastAsia="es-CR"/>
              </w:rPr>
              <w:t>T</w:t>
            </w:r>
            <w:r w:rsidRPr="00D70F8D">
              <w:rPr>
                <w:rFonts w:ascii="Book Antiqua" w:eastAsia="Times New Roman" w:hAnsi="Book Antiqua" w:cs="Calibri"/>
                <w:color w:val="000000"/>
                <w:sz w:val="18"/>
                <w:szCs w:val="18"/>
                <w:lang w:eastAsia="es-CR"/>
              </w:rPr>
              <w:t>elemática</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58AA0566"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0122-DTI-P11</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0D9DEE21"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Rediseño y Migración de Telefonía IP</w:t>
            </w:r>
          </w:p>
        </w:tc>
        <w:tc>
          <w:tcPr>
            <w:tcW w:w="992" w:type="dxa"/>
            <w:tcBorders>
              <w:top w:val="nil"/>
              <w:left w:val="nil"/>
              <w:bottom w:val="single" w:sz="4" w:space="0" w:color="auto"/>
              <w:right w:val="single" w:sz="4" w:space="0" w:color="auto"/>
            </w:tcBorders>
            <w:shd w:val="clear" w:color="auto" w:fill="auto"/>
            <w:vAlign w:val="center"/>
            <w:hideMark/>
          </w:tcPr>
          <w:p w14:paraId="7EC513D1"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2.1</w:t>
            </w:r>
          </w:p>
        </w:tc>
        <w:tc>
          <w:tcPr>
            <w:tcW w:w="3402" w:type="dxa"/>
            <w:tcBorders>
              <w:top w:val="nil"/>
              <w:left w:val="nil"/>
              <w:bottom w:val="single" w:sz="4" w:space="0" w:color="auto"/>
              <w:right w:val="single" w:sz="4" w:space="0" w:color="auto"/>
            </w:tcBorders>
            <w:shd w:val="clear" w:color="auto" w:fill="auto"/>
            <w:vAlign w:val="center"/>
            <w:hideMark/>
          </w:tcPr>
          <w:p w14:paraId="69964317" w14:textId="77777777" w:rsidR="000B7A67" w:rsidRPr="00D70F8D" w:rsidRDefault="000B7A67" w:rsidP="00C52E88">
            <w:pPr>
              <w:spacing w:after="0" w:line="240" w:lineRule="auto"/>
              <w:jc w:val="both"/>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El informe de avance presentaba incorrecto el porcentaje real y esperado.</w:t>
            </w:r>
          </w:p>
        </w:tc>
      </w:tr>
      <w:tr w:rsidR="007E6FC1" w:rsidRPr="00D70F8D" w14:paraId="1CE76597" w14:textId="77777777" w:rsidTr="001E33D7">
        <w:trPr>
          <w:trHeight w:val="414"/>
        </w:trPr>
        <w:tc>
          <w:tcPr>
            <w:tcW w:w="1470" w:type="dxa"/>
            <w:vMerge/>
            <w:tcBorders>
              <w:top w:val="nil"/>
              <w:left w:val="single" w:sz="4" w:space="0" w:color="auto"/>
              <w:bottom w:val="single" w:sz="4" w:space="0" w:color="000000"/>
              <w:right w:val="single" w:sz="4" w:space="0" w:color="auto"/>
            </w:tcBorders>
            <w:vAlign w:val="center"/>
            <w:hideMark/>
          </w:tcPr>
          <w:p w14:paraId="3428C83E"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vMerge/>
            <w:tcBorders>
              <w:top w:val="nil"/>
              <w:left w:val="single" w:sz="4" w:space="0" w:color="auto"/>
              <w:bottom w:val="single" w:sz="4" w:space="0" w:color="000000"/>
              <w:right w:val="single" w:sz="4" w:space="0" w:color="auto"/>
            </w:tcBorders>
            <w:vAlign w:val="center"/>
            <w:hideMark/>
          </w:tcPr>
          <w:p w14:paraId="1B96CC37"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850" w:type="dxa"/>
            <w:vMerge/>
            <w:tcBorders>
              <w:top w:val="nil"/>
              <w:left w:val="single" w:sz="4" w:space="0" w:color="auto"/>
              <w:bottom w:val="single" w:sz="4" w:space="0" w:color="000000"/>
              <w:right w:val="single" w:sz="4" w:space="0" w:color="auto"/>
            </w:tcBorders>
            <w:vAlign w:val="center"/>
            <w:hideMark/>
          </w:tcPr>
          <w:p w14:paraId="03251DB8"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1701" w:type="dxa"/>
            <w:vMerge/>
            <w:tcBorders>
              <w:top w:val="nil"/>
              <w:left w:val="single" w:sz="4" w:space="0" w:color="auto"/>
              <w:bottom w:val="single" w:sz="4" w:space="0" w:color="000000"/>
              <w:right w:val="single" w:sz="4" w:space="0" w:color="auto"/>
            </w:tcBorders>
            <w:vAlign w:val="center"/>
            <w:hideMark/>
          </w:tcPr>
          <w:p w14:paraId="41F1D71D"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992" w:type="dxa"/>
            <w:tcBorders>
              <w:top w:val="nil"/>
              <w:left w:val="nil"/>
              <w:bottom w:val="single" w:sz="4" w:space="0" w:color="auto"/>
              <w:right w:val="single" w:sz="4" w:space="0" w:color="auto"/>
            </w:tcBorders>
            <w:shd w:val="clear" w:color="auto" w:fill="auto"/>
            <w:vAlign w:val="center"/>
            <w:hideMark/>
          </w:tcPr>
          <w:p w14:paraId="75D64103"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2.2</w:t>
            </w:r>
          </w:p>
        </w:tc>
        <w:tc>
          <w:tcPr>
            <w:tcW w:w="3402" w:type="dxa"/>
            <w:tcBorders>
              <w:top w:val="nil"/>
              <w:left w:val="nil"/>
              <w:bottom w:val="single" w:sz="4" w:space="0" w:color="auto"/>
              <w:right w:val="single" w:sz="4" w:space="0" w:color="auto"/>
            </w:tcBorders>
            <w:shd w:val="clear" w:color="auto" w:fill="auto"/>
            <w:vAlign w:val="center"/>
            <w:hideMark/>
          </w:tcPr>
          <w:p w14:paraId="3788F9E4" w14:textId="77777777" w:rsidR="000B7A67" w:rsidRPr="00D70F8D" w:rsidRDefault="000B7A67" w:rsidP="00C52E88">
            <w:pPr>
              <w:spacing w:after="0" w:line="240" w:lineRule="auto"/>
              <w:jc w:val="both"/>
              <w:rPr>
                <w:rFonts w:ascii="Book Antiqua" w:eastAsia="Times New Roman" w:hAnsi="Book Antiqua" w:cs="Calibri"/>
                <w:sz w:val="18"/>
                <w:szCs w:val="18"/>
                <w:lang w:eastAsia="es-CR"/>
              </w:rPr>
            </w:pPr>
            <w:r w:rsidRPr="00D70F8D">
              <w:rPr>
                <w:rFonts w:ascii="Book Antiqua" w:eastAsia="Times New Roman" w:hAnsi="Book Antiqua" w:cs="Calibri"/>
                <w:sz w:val="18"/>
                <w:szCs w:val="18"/>
                <w:lang w:eastAsia="es-CR"/>
              </w:rPr>
              <w:t>Pendiente elaborar solicitud de cambio y realizar ajuste en el cronograma para justificar retraso.</w:t>
            </w:r>
          </w:p>
        </w:tc>
      </w:tr>
      <w:tr w:rsidR="007E6FC1" w:rsidRPr="00D70F8D" w14:paraId="52339D48" w14:textId="77777777" w:rsidTr="001E33D7">
        <w:trPr>
          <w:trHeight w:val="579"/>
        </w:trPr>
        <w:tc>
          <w:tcPr>
            <w:tcW w:w="1470" w:type="dxa"/>
            <w:vMerge/>
            <w:tcBorders>
              <w:top w:val="nil"/>
              <w:left w:val="single" w:sz="4" w:space="0" w:color="auto"/>
              <w:bottom w:val="single" w:sz="4" w:space="0" w:color="000000"/>
              <w:right w:val="single" w:sz="4" w:space="0" w:color="auto"/>
            </w:tcBorders>
            <w:vAlign w:val="center"/>
            <w:hideMark/>
          </w:tcPr>
          <w:p w14:paraId="74310973"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tcBorders>
              <w:top w:val="nil"/>
              <w:left w:val="nil"/>
              <w:bottom w:val="single" w:sz="4" w:space="0" w:color="auto"/>
              <w:right w:val="single" w:sz="4" w:space="0" w:color="auto"/>
            </w:tcBorders>
            <w:shd w:val="clear" w:color="auto" w:fill="auto"/>
            <w:vAlign w:val="center"/>
            <w:hideMark/>
          </w:tcPr>
          <w:p w14:paraId="18447871"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 xml:space="preserve">0686 </w:t>
            </w:r>
            <w:r>
              <w:rPr>
                <w:rFonts w:ascii="Book Antiqua" w:eastAsia="Times New Roman" w:hAnsi="Book Antiqua" w:cs="Calibri"/>
                <w:color w:val="000000"/>
                <w:sz w:val="18"/>
                <w:szCs w:val="18"/>
                <w:lang w:eastAsia="es-CR"/>
              </w:rPr>
              <w:t>S</w:t>
            </w:r>
            <w:r w:rsidRPr="00D70F8D">
              <w:rPr>
                <w:rFonts w:ascii="Book Antiqua" w:eastAsia="Times New Roman" w:hAnsi="Book Antiqua" w:cs="Calibri"/>
                <w:color w:val="000000"/>
                <w:sz w:val="18"/>
                <w:szCs w:val="18"/>
                <w:lang w:eastAsia="es-CR"/>
              </w:rPr>
              <w:t xml:space="preserve">ubproceso </w:t>
            </w:r>
            <w:r>
              <w:rPr>
                <w:rFonts w:ascii="Book Antiqua" w:eastAsia="Times New Roman" w:hAnsi="Book Antiqua" w:cs="Calibri"/>
                <w:color w:val="000000"/>
                <w:sz w:val="18"/>
                <w:szCs w:val="18"/>
                <w:lang w:eastAsia="es-CR"/>
              </w:rPr>
              <w:t>G</w:t>
            </w:r>
            <w:r w:rsidRPr="00D70F8D">
              <w:rPr>
                <w:rFonts w:ascii="Book Antiqua" w:eastAsia="Times New Roman" w:hAnsi="Book Antiqua" w:cs="Calibri"/>
                <w:color w:val="000000"/>
                <w:sz w:val="18"/>
                <w:szCs w:val="18"/>
                <w:lang w:eastAsia="es-CR"/>
              </w:rPr>
              <w:t xml:space="preserve">estión del </w:t>
            </w:r>
            <w:r>
              <w:rPr>
                <w:rFonts w:ascii="Book Antiqua" w:eastAsia="Times New Roman" w:hAnsi="Book Antiqua" w:cs="Calibri"/>
                <w:color w:val="000000"/>
                <w:sz w:val="18"/>
                <w:szCs w:val="18"/>
                <w:lang w:eastAsia="es-CR"/>
              </w:rPr>
              <w:t>S</w:t>
            </w:r>
            <w:r w:rsidRPr="00D70F8D">
              <w:rPr>
                <w:rFonts w:ascii="Book Antiqua" w:eastAsia="Times New Roman" w:hAnsi="Book Antiqua" w:cs="Calibri"/>
                <w:color w:val="000000"/>
                <w:sz w:val="18"/>
                <w:szCs w:val="18"/>
                <w:lang w:eastAsia="es-CR"/>
              </w:rPr>
              <w:t>ervicio</w:t>
            </w:r>
          </w:p>
        </w:tc>
        <w:tc>
          <w:tcPr>
            <w:tcW w:w="850" w:type="dxa"/>
            <w:tcBorders>
              <w:top w:val="nil"/>
              <w:left w:val="nil"/>
              <w:bottom w:val="single" w:sz="4" w:space="0" w:color="auto"/>
              <w:right w:val="single" w:sz="4" w:space="0" w:color="auto"/>
            </w:tcBorders>
            <w:shd w:val="clear" w:color="auto" w:fill="auto"/>
            <w:vAlign w:val="center"/>
            <w:hideMark/>
          </w:tcPr>
          <w:p w14:paraId="15CD3DAD"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0122-DTI-P16</w:t>
            </w:r>
          </w:p>
        </w:tc>
        <w:tc>
          <w:tcPr>
            <w:tcW w:w="1701" w:type="dxa"/>
            <w:tcBorders>
              <w:top w:val="nil"/>
              <w:left w:val="nil"/>
              <w:bottom w:val="single" w:sz="4" w:space="0" w:color="auto"/>
              <w:right w:val="single" w:sz="4" w:space="0" w:color="auto"/>
            </w:tcBorders>
            <w:shd w:val="clear" w:color="auto" w:fill="auto"/>
            <w:vAlign w:val="center"/>
            <w:hideMark/>
          </w:tcPr>
          <w:p w14:paraId="7DC3D948"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Implantación del Nuevo Sistema de Gestión</w:t>
            </w:r>
          </w:p>
        </w:tc>
        <w:tc>
          <w:tcPr>
            <w:tcW w:w="992" w:type="dxa"/>
            <w:tcBorders>
              <w:top w:val="nil"/>
              <w:left w:val="nil"/>
              <w:bottom w:val="single" w:sz="4" w:space="0" w:color="auto"/>
              <w:right w:val="single" w:sz="4" w:space="0" w:color="auto"/>
            </w:tcBorders>
            <w:shd w:val="clear" w:color="auto" w:fill="auto"/>
            <w:vAlign w:val="center"/>
            <w:hideMark/>
          </w:tcPr>
          <w:p w14:paraId="5D738B47"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2.1</w:t>
            </w:r>
          </w:p>
        </w:tc>
        <w:tc>
          <w:tcPr>
            <w:tcW w:w="3402" w:type="dxa"/>
            <w:tcBorders>
              <w:top w:val="nil"/>
              <w:left w:val="nil"/>
              <w:bottom w:val="single" w:sz="4" w:space="0" w:color="auto"/>
              <w:right w:val="single" w:sz="4" w:space="0" w:color="auto"/>
            </w:tcBorders>
            <w:shd w:val="clear" w:color="auto" w:fill="auto"/>
            <w:vAlign w:val="center"/>
            <w:hideMark/>
          </w:tcPr>
          <w:p w14:paraId="34B300D4" w14:textId="77777777" w:rsidR="000B7A67" w:rsidRPr="00D70F8D" w:rsidRDefault="000B7A67" w:rsidP="00C52E88">
            <w:pPr>
              <w:spacing w:after="0" w:line="240" w:lineRule="auto"/>
              <w:jc w:val="both"/>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El informe de avance presentaba incorrecto el porcentaje real y esperado.</w:t>
            </w:r>
          </w:p>
        </w:tc>
      </w:tr>
      <w:tr w:rsidR="007E6FC1" w:rsidRPr="00D70F8D" w14:paraId="5E689AFC" w14:textId="77777777" w:rsidTr="001E33D7">
        <w:trPr>
          <w:trHeight w:val="900"/>
        </w:trPr>
        <w:tc>
          <w:tcPr>
            <w:tcW w:w="1470" w:type="dxa"/>
            <w:vMerge/>
            <w:tcBorders>
              <w:top w:val="nil"/>
              <w:left w:val="single" w:sz="4" w:space="0" w:color="auto"/>
              <w:bottom w:val="single" w:sz="4" w:space="0" w:color="000000"/>
              <w:right w:val="single" w:sz="4" w:space="0" w:color="auto"/>
            </w:tcBorders>
            <w:vAlign w:val="center"/>
            <w:hideMark/>
          </w:tcPr>
          <w:p w14:paraId="2125ABF3"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tcBorders>
              <w:top w:val="nil"/>
              <w:left w:val="nil"/>
              <w:bottom w:val="single" w:sz="4" w:space="0" w:color="auto"/>
              <w:right w:val="single" w:sz="4" w:space="0" w:color="auto"/>
            </w:tcBorders>
            <w:shd w:val="clear" w:color="auto" w:fill="auto"/>
            <w:vAlign w:val="center"/>
            <w:hideMark/>
          </w:tcPr>
          <w:p w14:paraId="3D42461F"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 xml:space="preserve">1841 </w:t>
            </w:r>
            <w:r>
              <w:rPr>
                <w:rFonts w:ascii="Book Antiqua" w:eastAsia="Times New Roman" w:hAnsi="Book Antiqua" w:cs="Calibri"/>
                <w:color w:val="000000"/>
                <w:sz w:val="18"/>
                <w:szCs w:val="18"/>
                <w:lang w:eastAsia="es-CR"/>
              </w:rPr>
              <w:t>S</w:t>
            </w:r>
            <w:r w:rsidRPr="00D70F8D">
              <w:rPr>
                <w:rFonts w:ascii="Book Antiqua" w:eastAsia="Times New Roman" w:hAnsi="Book Antiqua" w:cs="Calibri"/>
                <w:color w:val="000000"/>
                <w:sz w:val="18"/>
                <w:szCs w:val="18"/>
                <w:lang w:eastAsia="es-CR"/>
              </w:rPr>
              <w:t xml:space="preserve">ubproceso </w:t>
            </w:r>
            <w:r>
              <w:rPr>
                <w:rFonts w:ascii="Book Antiqua" w:eastAsia="Times New Roman" w:hAnsi="Book Antiqua" w:cs="Calibri"/>
                <w:color w:val="000000"/>
                <w:sz w:val="18"/>
                <w:szCs w:val="18"/>
                <w:lang w:eastAsia="es-CR"/>
              </w:rPr>
              <w:t>S</w:t>
            </w:r>
            <w:r w:rsidRPr="00D70F8D">
              <w:rPr>
                <w:rFonts w:ascii="Book Antiqua" w:eastAsia="Times New Roman" w:hAnsi="Book Antiqua" w:cs="Calibri"/>
                <w:color w:val="000000"/>
                <w:sz w:val="18"/>
                <w:szCs w:val="18"/>
                <w:lang w:eastAsia="es-CR"/>
              </w:rPr>
              <w:t xml:space="preserve">istemas </w:t>
            </w:r>
            <w:r>
              <w:rPr>
                <w:rFonts w:ascii="Book Antiqua" w:eastAsia="Times New Roman" w:hAnsi="Book Antiqua" w:cs="Calibri"/>
                <w:color w:val="000000"/>
                <w:sz w:val="18"/>
                <w:szCs w:val="18"/>
                <w:lang w:eastAsia="es-CR"/>
              </w:rPr>
              <w:t>J</w:t>
            </w:r>
            <w:r w:rsidRPr="00D70F8D">
              <w:rPr>
                <w:rFonts w:ascii="Book Antiqua" w:eastAsia="Times New Roman" w:hAnsi="Book Antiqua" w:cs="Calibri"/>
                <w:color w:val="000000"/>
                <w:sz w:val="18"/>
                <w:szCs w:val="18"/>
                <w:lang w:eastAsia="es-CR"/>
              </w:rPr>
              <w:t>urisdiccionales</w:t>
            </w:r>
          </w:p>
        </w:tc>
        <w:tc>
          <w:tcPr>
            <w:tcW w:w="850" w:type="dxa"/>
            <w:tcBorders>
              <w:top w:val="nil"/>
              <w:left w:val="nil"/>
              <w:bottom w:val="single" w:sz="4" w:space="0" w:color="auto"/>
              <w:right w:val="single" w:sz="4" w:space="0" w:color="auto"/>
            </w:tcBorders>
            <w:shd w:val="clear" w:color="auto" w:fill="auto"/>
            <w:vAlign w:val="center"/>
            <w:hideMark/>
          </w:tcPr>
          <w:p w14:paraId="3288D99F"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0122-DTI-P12</w:t>
            </w:r>
          </w:p>
        </w:tc>
        <w:tc>
          <w:tcPr>
            <w:tcW w:w="1701" w:type="dxa"/>
            <w:tcBorders>
              <w:top w:val="nil"/>
              <w:left w:val="nil"/>
              <w:bottom w:val="single" w:sz="4" w:space="0" w:color="auto"/>
              <w:right w:val="single" w:sz="4" w:space="0" w:color="auto"/>
            </w:tcBorders>
            <w:shd w:val="clear" w:color="auto" w:fill="auto"/>
            <w:vAlign w:val="center"/>
            <w:hideMark/>
          </w:tcPr>
          <w:p w14:paraId="471171BE"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Modernización del Sistema de Gestión en Línea y la Aplicación Móvil</w:t>
            </w:r>
          </w:p>
        </w:tc>
        <w:tc>
          <w:tcPr>
            <w:tcW w:w="992" w:type="dxa"/>
            <w:tcBorders>
              <w:top w:val="nil"/>
              <w:left w:val="nil"/>
              <w:bottom w:val="single" w:sz="4" w:space="0" w:color="auto"/>
              <w:right w:val="single" w:sz="4" w:space="0" w:color="auto"/>
            </w:tcBorders>
            <w:shd w:val="clear" w:color="auto" w:fill="auto"/>
            <w:vAlign w:val="center"/>
            <w:hideMark/>
          </w:tcPr>
          <w:p w14:paraId="03455CB8"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2.4</w:t>
            </w:r>
          </w:p>
        </w:tc>
        <w:tc>
          <w:tcPr>
            <w:tcW w:w="3402" w:type="dxa"/>
            <w:tcBorders>
              <w:top w:val="nil"/>
              <w:left w:val="nil"/>
              <w:bottom w:val="single" w:sz="4" w:space="0" w:color="auto"/>
              <w:right w:val="single" w:sz="4" w:space="0" w:color="auto"/>
            </w:tcBorders>
            <w:shd w:val="clear" w:color="auto" w:fill="auto"/>
            <w:vAlign w:val="center"/>
            <w:hideMark/>
          </w:tcPr>
          <w:p w14:paraId="1702B864" w14:textId="77777777" w:rsidR="000B7A67" w:rsidRPr="00D70F8D" w:rsidRDefault="000B7A67" w:rsidP="00C52E88">
            <w:pPr>
              <w:spacing w:after="0" w:line="240" w:lineRule="auto"/>
              <w:jc w:val="both"/>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Pendiente aprobación del informe de cierre por parte del patrocinador</w:t>
            </w:r>
          </w:p>
        </w:tc>
      </w:tr>
      <w:tr w:rsidR="007E6FC1" w:rsidRPr="00D70F8D" w14:paraId="458812F8" w14:textId="77777777" w:rsidTr="001E33D7">
        <w:trPr>
          <w:trHeight w:val="262"/>
        </w:trPr>
        <w:tc>
          <w:tcPr>
            <w:tcW w:w="1470" w:type="dxa"/>
            <w:vMerge/>
            <w:tcBorders>
              <w:top w:val="nil"/>
              <w:left w:val="single" w:sz="4" w:space="0" w:color="auto"/>
              <w:bottom w:val="single" w:sz="4" w:space="0" w:color="000000"/>
              <w:right w:val="single" w:sz="4" w:space="0" w:color="auto"/>
            </w:tcBorders>
            <w:vAlign w:val="center"/>
            <w:hideMark/>
          </w:tcPr>
          <w:p w14:paraId="6E0EB167"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vMerge w:val="restart"/>
            <w:tcBorders>
              <w:top w:val="nil"/>
              <w:left w:val="single" w:sz="4" w:space="0" w:color="auto"/>
              <w:bottom w:val="single" w:sz="4" w:space="0" w:color="000000"/>
              <w:right w:val="single" w:sz="4" w:space="0" w:color="auto"/>
            </w:tcBorders>
            <w:shd w:val="clear" w:color="auto" w:fill="auto"/>
            <w:vAlign w:val="center"/>
            <w:hideMark/>
          </w:tcPr>
          <w:p w14:paraId="44B89FEC"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 xml:space="preserve">1845 </w:t>
            </w:r>
            <w:r>
              <w:rPr>
                <w:rFonts w:ascii="Book Antiqua" w:eastAsia="Times New Roman" w:hAnsi="Book Antiqua" w:cs="Calibri"/>
                <w:color w:val="000000"/>
                <w:sz w:val="18"/>
                <w:szCs w:val="18"/>
                <w:lang w:eastAsia="es-CR"/>
              </w:rPr>
              <w:t>U</w:t>
            </w:r>
            <w:r w:rsidRPr="00D70F8D">
              <w:rPr>
                <w:rFonts w:ascii="Book Antiqua" w:eastAsia="Times New Roman" w:hAnsi="Book Antiqua" w:cs="Calibri"/>
                <w:color w:val="000000"/>
                <w:sz w:val="18"/>
                <w:szCs w:val="18"/>
                <w:lang w:eastAsia="es-CR"/>
              </w:rPr>
              <w:t xml:space="preserve">nidad </w:t>
            </w:r>
            <w:r>
              <w:rPr>
                <w:rFonts w:ascii="Book Antiqua" w:eastAsia="Times New Roman" w:hAnsi="Book Antiqua" w:cs="Calibri"/>
                <w:color w:val="000000"/>
                <w:sz w:val="18"/>
                <w:szCs w:val="18"/>
                <w:lang w:eastAsia="es-CR"/>
              </w:rPr>
              <w:t>I</w:t>
            </w:r>
            <w:r w:rsidRPr="00D70F8D">
              <w:rPr>
                <w:rFonts w:ascii="Book Antiqua" w:eastAsia="Times New Roman" w:hAnsi="Book Antiqua" w:cs="Calibri"/>
                <w:color w:val="000000"/>
                <w:sz w:val="18"/>
                <w:szCs w:val="18"/>
                <w:lang w:eastAsia="es-CR"/>
              </w:rPr>
              <w:t xml:space="preserve">nteligencia </w:t>
            </w:r>
            <w:r>
              <w:rPr>
                <w:rFonts w:ascii="Book Antiqua" w:eastAsia="Times New Roman" w:hAnsi="Book Antiqua" w:cs="Calibri"/>
                <w:color w:val="000000"/>
                <w:sz w:val="18"/>
                <w:szCs w:val="18"/>
                <w:lang w:eastAsia="es-CR"/>
              </w:rPr>
              <w:t>I</w:t>
            </w:r>
            <w:r w:rsidRPr="00D70F8D">
              <w:rPr>
                <w:rFonts w:ascii="Book Antiqua" w:eastAsia="Times New Roman" w:hAnsi="Book Antiqua" w:cs="Calibri"/>
                <w:color w:val="000000"/>
                <w:sz w:val="18"/>
                <w:szCs w:val="18"/>
                <w:lang w:eastAsia="es-CR"/>
              </w:rPr>
              <w:t>nformacion</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79DC02F6"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0122-DTI-P15</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086A9C98"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Diseño e implementación de la automatización robótica de procesos</w:t>
            </w:r>
          </w:p>
        </w:tc>
        <w:tc>
          <w:tcPr>
            <w:tcW w:w="992" w:type="dxa"/>
            <w:tcBorders>
              <w:top w:val="nil"/>
              <w:left w:val="nil"/>
              <w:bottom w:val="single" w:sz="4" w:space="0" w:color="auto"/>
              <w:right w:val="single" w:sz="4" w:space="0" w:color="auto"/>
            </w:tcBorders>
            <w:shd w:val="clear" w:color="auto" w:fill="auto"/>
            <w:vAlign w:val="center"/>
            <w:hideMark/>
          </w:tcPr>
          <w:p w14:paraId="7D062531" w14:textId="77777777" w:rsidR="000B7A67" w:rsidRPr="00D70F8D" w:rsidRDefault="000B7A67" w:rsidP="00F400D6">
            <w:pPr>
              <w:spacing w:after="0" w:line="240" w:lineRule="auto"/>
              <w:jc w:val="center"/>
              <w:rPr>
                <w:rFonts w:ascii="Book Antiqua" w:eastAsia="Times New Roman" w:hAnsi="Book Antiqua" w:cs="Calibri"/>
                <w:sz w:val="18"/>
                <w:szCs w:val="18"/>
                <w:lang w:eastAsia="es-CR"/>
              </w:rPr>
            </w:pPr>
            <w:r w:rsidRPr="00D70F8D">
              <w:rPr>
                <w:rFonts w:ascii="Book Antiqua" w:eastAsia="Times New Roman" w:hAnsi="Book Antiqua" w:cs="Calibri"/>
                <w:sz w:val="18"/>
                <w:szCs w:val="18"/>
                <w:lang w:eastAsia="es-CR"/>
              </w:rPr>
              <w:t>1.16</w:t>
            </w:r>
          </w:p>
        </w:tc>
        <w:tc>
          <w:tcPr>
            <w:tcW w:w="3402" w:type="dxa"/>
            <w:tcBorders>
              <w:top w:val="nil"/>
              <w:left w:val="nil"/>
              <w:bottom w:val="single" w:sz="4" w:space="0" w:color="auto"/>
              <w:right w:val="single" w:sz="4" w:space="0" w:color="auto"/>
            </w:tcBorders>
            <w:shd w:val="clear" w:color="auto" w:fill="auto"/>
            <w:vAlign w:val="center"/>
            <w:hideMark/>
          </w:tcPr>
          <w:p w14:paraId="6FCDCEEB" w14:textId="77777777" w:rsidR="000B7A67" w:rsidRPr="00D70F8D" w:rsidRDefault="000B7A67" w:rsidP="00C52E88">
            <w:pPr>
              <w:spacing w:after="0" w:line="240" w:lineRule="auto"/>
              <w:jc w:val="both"/>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Pendiente de actualizar acta de constitución producto de la solicitud de cambio</w:t>
            </w:r>
          </w:p>
        </w:tc>
      </w:tr>
      <w:tr w:rsidR="007E6FC1" w:rsidRPr="00D70F8D" w14:paraId="76470A14" w14:textId="77777777" w:rsidTr="001E33D7">
        <w:trPr>
          <w:trHeight w:val="765"/>
        </w:trPr>
        <w:tc>
          <w:tcPr>
            <w:tcW w:w="1470" w:type="dxa"/>
            <w:vMerge/>
            <w:tcBorders>
              <w:top w:val="nil"/>
              <w:left w:val="single" w:sz="4" w:space="0" w:color="auto"/>
              <w:bottom w:val="single" w:sz="4" w:space="0" w:color="000000"/>
              <w:right w:val="single" w:sz="4" w:space="0" w:color="auto"/>
            </w:tcBorders>
            <w:vAlign w:val="center"/>
            <w:hideMark/>
          </w:tcPr>
          <w:p w14:paraId="104C88D7"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vMerge/>
            <w:tcBorders>
              <w:top w:val="nil"/>
              <w:left w:val="single" w:sz="4" w:space="0" w:color="auto"/>
              <w:bottom w:val="single" w:sz="4" w:space="0" w:color="000000"/>
              <w:right w:val="single" w:sz="4" w:space="0" w:color="auto"/>
            </w:tcBorders>
            <w:vAlign w:val="center"/>
            <w:hideMark/>
          </w:tcPr>
          <w:p w14:paraId="632A644A"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850" w:type="dxa"/>
            <w:vMerge/>
            <w:tcBorders>
              <w:top w:val="nil"/>
              <w:left w:val="single" w:sz="4" w:space="0" w:color="auto"/>
              <w:bottom w:val="single" w:sz="4" w:space="0" w:color="000000"/>
              <w:right w:val="single" w:sz="4" w:space="0" w:color="auto"/>
            </w:tcBorders>
            <w:vAlign w:val="center"/>
            <w:hideMark/>
          </w:tcPr>
          <w:p w14:paraId="6C564FF5"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1701" w:type="dxa"/>
            <w:vMerge/>
            <w:tcBorders>
              <w:top w:val="nil"/>
              <w:left w:val="single" w:sz="4" w:space="0" w:color="auto"/>
              <w:bottom w:val="single" w:sz="4" w:space="0" w:color="000000"/>
              <w:right w:val="single" w:sz="4" w:space="0" w:color="auto"/>
            </w:tcBorders>
            <w:vAlign w:val="center"/>
            <w:hideMark/>
          </w:tcPr>
          <w:p w14:paraId="46466B7B"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992" w:type="dxa"/>
            <w:tcBorders>
              <w:top w:val="nil"/>
              <w:left w:val="nil"/>
              <w:bottom w:val="single" w:sz="4" w:space="0" w:color="auto"/>
              <w:right w:val="single" w:sz="4" w:space="0" w:color="auto"/>
            </w:tcBorders>
            <w:shd w:val="clear" w:color="auto" w:fill="auto"/>
            <w:vAlign w:val="center"/>
            <w:hideMark/>
          </w:tcPr>
          <w:p w14:paraId="169622BB"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2.3</w:t>
            </w:r>
          </w:p>
        </w:tc>
        <w:tc>
          <w:tcPr>
            <w:tcW w:w="3402" w:type="dxa"/>
            <w:tcBorders>
              <w:top w:val="nil"/>
              <w:left w:val="nil"/>
              <w:bottom w:val="single" w:sz="4" w:space="0" w:color="auto"/>
              <w:right w:val="single" w:sz="4" w:space="0" w:color="auto"/>
            </w:tcBorders>
            <w:shd w:val="clear" w:color="auto" w:fill="auto"/>
            <w:vAlign w:val="center"/>
            <w:hideMark/>
          </w:tcPr>
          <w:p w14:paraId="18BF19A2" w14:textId="77777777" w:rsidR="000B7A67" w:rsidRPr="00D70F8D" w:rsidRDefault="000B7A67" w:rsidP="00C52E88">
            <w:pPr>
              <w:spacing w:after="0" w:line="240" w:lineRule="auto"/>
              <w:jc w:val="both"/>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Pendiente actualizar acta de constitución y plan de gestión producto de la solicitud de cambio del 16-12-22</w:t>
            </w:r>
          </w:p>
        </w:tc>
      </w:tr>
    </w:tbl>
    <w:p w14:paraId="1E5AA43E" w14:textId="57A84B8B" w:rsidR="000B7A67" w:rsidRDefault="000B7A67" w:rsidP="002E6EFE">
      <w:pPr>
        <w:spacing w:after="0"/>
        <w:ind w:right="-568"/>
        <w:jc w:val="right"/>
        <w:rPr>
          <w:rFonts w:ascii="Book Antiqua" w:hAnsi="Book Antiqua"/>
          <w:sz w:val="24"/>
          <w:szCs w:val="24"/>
        </w:rPr>
      </w:pPr>
      <w:r>
        <w:rPr>
          <w:rFonts w:ascii="Book Antiqua" w:hAnsi="Book Antiqua"/>
          <w:sz w:val="24"/>
          <w:szCs w:val="24"/>
        </w:rPr>
        <w:t>“</w:t>
      </w:r>
      <w:r w:rsidR="002E6EFE">
        <w:rPr>
          <w:rFonts w:ascii="Book Antiqua" w:hAnsi="Book Antiqua"/>
          <w:sz w:val="24"/>
          <w:szCs w:val="24"/>
        </w:rPr>
        <w:t>.</w:t>
      </w:r>
    </w:p>
    <w:p w14:paraId="165BA57C" w14:textId="77777777" w:rsidR="000B7A67" w:rsidRDefault="000B7A67" w:rsidP="000B7A67">
      <w:pPr>
        <w:spacing w:after="0"/>
        <w:rPr>
          <w:rFonts w:ascii="Book Antiqua" w:hAnsi="Book Antiqua"/>
          <w:sz w:val="24"/>
          <w:szCs w:val="24"/>
        </w:rPr>
      </w:pPr>
    </w:p>
    <w:p w14:paraId="54E83A0C" w14:textId="77777777" w:rsidR="000B7A67" w:rsidRDefault="000B7A67" w:rsidP="000B7A67">
      <w:pPr>
        <w:spacing w:after="0"/>
        <w:jc w:val="both"/>
        <w:rPr>
          <w:rFonts w:ascii="Book Antiqua" w:hAnsi="Book Antiqua"/>
          <w:sz w:val="24"/>
          <w:szCs w:val="24"/>
        </w:rPr>
      </w:pPr>
      <w:r>
        <w:rPr>
          <w:rFonts w:ascii="Book Antiqua" w:hAnsi="Book Antiqua"/>
          <w:sz w:val="24"/>
          <w:szCs w:val="24"/>
        </w:rPr>
        <w:t>Con la finalidad de dar seguimiento a estas recomendaciones, se remite correo a la oficina mediante el oficio 1794</w:t>
      </w:r>
      <w:r w:rsidRPr="004C19A1">
        <w:rPr>
          <w:rFonts w:ascii="Book Antiqua" w:hAnsi="Book Antiqua"/>
          <w:sz w:val="24"/>
          <w:szCs w:val="24"/>
        </w:rPr>
        <w:t>-PLA-PP-TR-2023</w:t>
      </w:r>
      <w:r>
        <w:rPr>
          <w:rFonts w:ascii="Book Antiqua" w:hAnsi="Book Antiqua"/>
          <w:sz w:val="24"/>
          <w:szCs w:val="24"/>
        </w:rPr>
        <w:t xml:space="preserve">. </w:t>
      </w:r>
    </w:p>
    <w:p w14:paraId="6C07BA72" w14:textId="77777777" w:rsidR="000B7A67" w:rsidRPr="004C0359" w:rsidRDefault="000B7A67" w:rsidP="000B7A67">
      <w:pPr>
        <w:spacing w:after="0"/>
        <w:jc w:val="both"/>
        <w:rPr>
          <w:rFonts w:ascii="Book Antiqua" w:hAnsi="Book Antiqua"/>
          <w:sz w:val="24"/>
          <w:szCs w:val="24"/>
        </w:rPr>
      </w:pPr>
    </w:p>
    <w:p w14:paraId="7F888A51" w14:textId="4BBE16B6" w:rsidR="000B7A67" w:rsidRDefault="000B7A67" w:rsidP="000B7A67">
      <w:pPr>
        <w:spacing w:after="0"/>
        <w:jc w:val="both"/>
        <w:rPr>
          <w:rFonts w:ascii="Book Antiqua" w:hAnsi="Book Antiqua"/>
          <w:sz w:val="24"/>
          <w:szCs w:val="24"/>
        </w:rPr>
      </w:pPr>
      <w:r w:rsidRPr="00FA687A">
        <w:rPr>
          <w:rFonts w:ascii="Book Antiqua" w:hAnsi="Book Antiqua"/>
          <w:sz w:val="24"/>
          <w:szCs w:val="24"/>
        </w:rPr>
        <w:t xml:space="preserve">Posteriormente se procedió a revisar en los centros de proyectos para validar el cumplimiento de estas recomendaciones </w:t>
      </w:r>
      <w:r w:rsidRPr="00A15711">
        <w:rPr>
          <w:rFonts w:ascii="Book Antiqua" w:hAnsi="Book Antiqua"/>
          <w:sz w:val="24"/>
          <w:szCs w:val="24"/>
        </w:rPr>
        <w:t>(</w:t>
      </w:r>
      <w:hyperlink r:id="rId20" w:history="1">
        <w:r w:rsidRPr="00A15711">
          <w:rPr>
            <w:rStyle w:val="Hipervnculo"/>
            <w:rFonts w:ascii="Book Antiqua" w:hAnsi="Book Antiqua"/>
            <w:sz w:val="24"/>
            <w:szCs w:val="24"/>
          </w:rPr>
          <w:t>Ver enlace:</w:t>
        </w:r>
        <w:r w:rsidRPr="00A15711">
          <w:rPr>
            <w:rStyle w:val="Hipervnculo"/>
          </w:rPr>
          <w:t xml:space="preserve"> </w:t>
        </w:r>
        <w:r w:rsidRPr="00A15711">
          <w:rPr>
            <w:rStyle w:val="Hipervnculo"/>
            <w:rFonts w:ascii="Book Antiqua" w:hAnsi="Book Antiqua"/>
            <w:sz w:val="24"/>
            <w:szCs w:val="24"/>
          </w:rPr>
          <w:t>Dirección de Tecnología de Información y Comunicación</w:t>
        </w:r>
      </w:hyperlink>
      <w:r w:rsidRPr="00A15711">
        <w:rPr>
          <w:rFonts w:ascii="Book Antiqua" w:hAnsi="Book Antiqua"/>
          <w:sz w:val="24"/>
          <w:szCs w:val="24"/>
        </w:rPr>
        <w:t>);</w:t>
      </w:r>
      <w:r>
        <w:rPr>
          <w:rFonts w:ascii="Book Antiqua" w:hAnsi="Book Antiqua"/>
          <w:sz w:val="24"/>
          <w:szCs w:val="24"/>
        </w:rPr>
        <w:t xml:space="preserve"> sin embargo, se identificó que existen proyectos que mantienen recomendaciones pendientes de atender, </w:t>
      </w:r>
      <w:r w:rsidR="008F6850">
        <w:rPr>
          <w:rFonts w:ascii="Book Antiqua" w:hAnsi="Book Antiqua"/>
          <w:sz w:val="24"/>
          <w:szCs w:val="24"/>
        </w:rPr>
        <w:t>los</w:t>
      </w:r>
      <w:r>
        <w:rPr>
          <w:rFonts w:ascii="Book Antiqua" w:hAnsi="Book Antiqua"/>
          <w:sz w:val="24"/>
          <w:szCs w:val="24"/>
        </w:rPr>
        <w:t xml:space="preserve"> cual</w:t>
      </w:r>
      <w:r w:rsidR="008F6850">
        <w:rPr>
          <w:rFonts w:ascii="Book Antiqua" w:hAnsi="Book Antiqua"/>
          <w:sz w:val="24"/>
          <w:szCs w:val="24"/>
        </w:rPr>
        <w:t>es</w:t>
      </w:r>
      <w:r>
        <w:rPr>
          <w:rFonts w:ascii="Book Antiqua" w:hAnsi="Book Antiqua"/>
          <w:sz w:val="24"/>
          <w:szCs w:val="24"/>
        </w:rPr>
        <w:t xml:space="preserve"> se detalla</w:t>
      </w:r>
      <w:r w:rsidR="008F6850">
        <w:rPr>
          <w:rFonts w:ascii="Book Antiqua" w:hAnsi="Book Antiqua"/>
          <w:sz w:val="24"/>
          <w:szCs w:val="24"/>
        </w:rPr>
        <w:t>n</w:t>
      </w:r>
      <w:r>
        <w:rPr>
          <w:rFonts w:ascii="Book Antiqua" w:hAnsi="Book Antiqua"/>
          <w:sz w:val="24"/>
          <w:szCs w:val="24"/>
        </w:rPr>
        <w:t xml:space="preserve"> a continuación:</w:t>
      </w:r>
    </w:p>
    <w:p w14:paraId="342F3CA3" w14:textId="77777777" w:rsidR="000B7A67" w:rsidRDefault="000B7A67" w:rsidP="000B7A67">
      <w:pPr>
        <w:spacing w:after="0"/>
        <w:rPr>
          <w:rFonts w:ascii="Book Antiqua" w:hAnsi="Book Antiqua"/>
          <w:sz w:val="24"/>
          <w:szCs w:val="24"/>
        </w:rPr>
      </w:pPr>
    </w:p>
    <w:p w14:paraId="133612C2" w14:textId="2EC10C1F" w:rsidR="000B7A67" w:rsidRPr="008054C5" w:rsidRDefault="000B7A67" w:rsidP="000B7A67">
      <w:pPr>
        <w:pStyle w:val="Descripcin"/>
        <w:keepNext/>
        <w:spacing w:after="0"/>
        <w:jc w:val="center"/>
        <w:rPr>
          <w:rFonts w:ascii="Book Antiqua" w:hAnsi="Book Antiqua" w:cs="&amp;quot"/>
          <w:b/>
          <w:i w:val="0"/>
          <w:iCs w:val="0"/>
          <w:color w:val="auto"/>
          <w:sz w:val="24"/>
          <w:szCs w:val="24"/>
        </w:rPr>
      </w:pPr>
      <w:bookmarkStart w:id="29" w:name="_Toc131155929"/>
      <w:r w:rsidRPr="008054C5">
        <w:rPr>
          <w:rFonts w:ascii="Book Antiqua" w:hAnsi="Book Antiqua" w:cs="&amp;quot"/>
          <w:b/>
          <w:i w:val="0"/>
          <w:iCs w:val="0"/>
          <w:color w:val="auto"/>
          <w:sz w:val="24"/>
          <w:szCs w:val="24"/>
        </w:rPr>
        <w:t xml:space="preserve">Tabla </w:t>
      </w:r>
      <w:r w:rsidRPr="008054C5">
        <w:rPr>
          <w:rFonts w:ascii="Book Antiqua" w:hAnsi="Book Antiqua" w:cs="&amp;quot"/>
          <w:b/>
          <w:i w:val="0"/>
          <w:iCs w:val="0"/>
          <w:color w:val="auto"/>
          <w:sz w:val="24"/>
          <w:szCs w:val="24"/>
        </w:rPr>
        <w:fldChar w:fldCharType="begin"/>
      </w:r>
      <w:r w:rsidRPr="008054C5">
        <w:rPr>
          <w:rFonts w:ascii="Book Antiqua" w:hAnsi="Book Antiqua" w:cs="&amp;quot"/>
          <w:b/>
          <w:i w:val="0"/>
          <w:iCs w:val="0"/>
          <w:color w:val="auto"/>
          <w:sz w:val="24"/>
          <w:szCs w:val="24"/>
        </w:rPr>
        <w:instrText xml:space="preserve"> SEQ Tabla \* ARABIC </w:instrText>
      </w:r>
      <w:r w:rsidRPr="008054C5">
        <w:rPr>
          <w:rFonts w:ascii="Book Antiqua" w:hAnsi="Book Antiqua" w:cs="&amp;quot"/>
          <w:b/>
          <w:i w:val="0"/>
          <w:iCs w:val="0"/>
          <w:color w:val="auto"/>
          <w:sz w:val="24"/>
          <w:szCs w:val="24"/>
        </w:rPr>
        <w:fldChar w:fldCharType="separate"/>
      </w:r>
      <w:r w:rsidR="00844144">
        <w:rPr>
          <w:rFonts w:ascii="Book Antiqua" w:hAnsi="Book Antiqua" w:cs="&amp;quot"/>
          <w:b/>
          <w:i w:val="0"/>
          <w:iCs w:val="0"/>
          <w:noProof/>
          <w:color w:val="auto"/>
          <w:sz w:val="24"/>
          <w:szCs w:val="24"/>
        </w:rPr>
        <w:t>4</w:t>
      </w:r>
      <w:r w:rsidRPr="008054C5">
        <w:rPr>
          <w:rFonts w:ascii="Book Antiqua" w:hAnsi="Book Antiqua" w:cs="&amp;quot"/>
          <w:b/>
          <w:i w:val="0"/>
          <w:iCs w:val="0"/>
          <w:color w:val="auto"/>
          <w:sz w:val="24"/>
          <w:szCs w:val="24"/>
        </w:rPr>
        <w:fldChar w:fldCharType="end"/>
      </w:r>
      <w:r w:rsidRPr="008054C5">
        <w:rPr>
          <w:rFonts w:ascii="Book Antiqua" w:hAnsi="Book Antiqua" w:cs="&amp;quot"/>
          <w:b/>
          <w:i w:val="0"/>
          <w:iCs w:val="0"/>
          <w:color w:val="auto"/>
          <w:sz w:val="24"/>
          <w:szCs w:val="24"/>
        </w:rPr>
        <w:t>. Detalle de</w:t>
      </w:r>
      <w:r w:rsidR="008F6850">
        <w:rPr>
          <w:rFonts w:ascii="Book Antiqua" w:hAnsi="Book Antiqua" w:cs="&amp;quot"/>
          <w:b/>
          <w:i w:val="0"/>
          <w:iCs w:val="0"/>
          <w:color w:val="auto"/>
          <w:sz w:val="24"/>
          <w:szCs w:val="24"/>
        </w:rPr>
        <w:t xml:space="preserve"> los</w:t>
      </w:r>
      <w:r w:rsidRPr="008054C5">
        <w:rPr>
          <w:rFonts w:ascii="Book Antiqua" w:hAnsi="Book Antiqua" w:cs="&amp;quot"/>
          <w:b/>
          <w:i w:val="0"/>
          <w:iCs w:val="0"/>
          <w:color w:val="auto"/>
          <w:sz w:val="24"/>
          <w:szCs w:val="24"/>
        </w:rPr>
        <w:t xml:space="preserve"> proyecto</w:t>
      </w:r>
      <w:r w:rsidR="008F6850">
        <w:rPr>
          <w:rFonts w:ascii="Book Antiqua" w:hAnsi="Book Antiqua" w:cs="&amp;quot"/>
          <w:b/>
          <w:i w:val="0"/>
          <w:iCs w:val="0"/>
          <w:color w:val="auto"/>
          <w:sz w:val="24"/>
          <w:szCs w:val="24"/>
        </w:rPr>
        <w:t>s</w:t>
      </w:r>
      <w:r w:rsidRPr="008054C5">
        <w:rPr>
          <w:rFonts w:ascii="Book Antiqua" w:hAnsi="Book Antiqua" w:cs="&amp;quot"/>
          <w:b/>
          <w:i w:val="0"/>
          <w:iCs w:val="0"/>
          <w:color w:val="auto"/>
          <w:sz w:val="24"/>
          <w:szCs w:val="24"/>
        </w:rPr>
        <w:t xml:space="preserve"> que tiene</w:t>
      </w:r>
      <w:r w:rsidR="008F6850">
        <w:rPr>
          <w:rFonts w:ascii="Book Antiqua" w:hAnsi="Book Antiqua" w:cs="&amp;quot"/>
          <w:b/>
          <w:i w:val="0"/>
          <w:iCs w:val="0"/>
          <w:color w:val="auto"/>
          <w:sz w:val="24"/>
          <w:szCs w:val="24"/>
        </w:rPr>
        <w:t>n</w:t>
      </w:r>
      <w:r w:rsidRPr="008054C5">
        <w:rPr>
          <w:rFonts w:ascii="Book Antiqua" w:hAnsi="Book Antiqua" w:cs="&amp;quot"/>
          <w:b/>
          <w:i w:val="0"/>
          <w:iCs w:val="0"/>
          <w:color w:val="auto"/>
          <w:sz w:val="24"/>
          <w:szCs w:val="24"/>
        </w:rPr>
        <w:t xml:space="preserve"> pendiente de atender recomendaciones para Dirección de Tecnología de Información</w:t>
      </w:r>
      <w:bookmarkEnd w:id="29"/>
      <w:r>
        <w:rPr>
          <w:rFonts w:ascii="Book Antiqua" w:hAnsi="Book Antiqua" w:cs="&amp;quot"/>
          <w:b/>
          <w:i w:val="0"/>
          <w:iCs w:val="0"/>
          <w:color w:val="auto"/>
          <w:sz w:val="24"/>
          <w:szCs w:val="24"/>
        </w:rPr>
        <w:t xml:space="preserve"> y Comunicación</w:t>
      </w:r>
    </w:p>
    <w:p w14:paraId="1C7A5247" w14:textId="77777777" w:rsidR="000B7A67" w:rsidRDefault="000B7A67" w:rsidP="000B7A67">
      <w:pPr>
        <w:spacing w:after="0"/>
      </w:pPr>
    </w:p>
    <w:tbl>
      <w:tblPr>
        <w:tblW w:w="10632" w:type="dxa"/>
        <w:tblInd w:w="-431" w:type="dxa"/>
        <w:tblCellMar>
          <w:left w:w="70" w:type="dxa"/>
          <w:right w:w="70" w:type="dxa"/>
        </w:tblCellMar>
        <w:tblLook w:val="04A0" w:firstRow="1" w:lastRow="0" w:firstColumn="1" w:lastColumn="0" w:noHBand="0" w:noVBand="1"/>
      </w:tblPr>
      <w:tblGrid>
        <w:gridCol w:w="1470"/>
        <w:gridCol w:w="1650"/>
        <w:gridCol w:w="850"/>
        <w:gridCol w:w="1701"/>
        <w:gridCol w:w="992"/>
        <w:gridCol w:w="3969"/>
      </w:tblGrid>
      <w:tr w:rsidR="00BC00B3" w:rsidRPr="00D70F8D" w14:paraId="138AF90A" w14:textId="77777777" w:rsidTr="00301740">
        <w:trPr>
          <w:trHeight w:val="300"/>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1BB3314E" w14:textId="77777777" w:rsidR="000B7A67" w:rsidRPr="00D70F8D" w:rsidRDefault="000B7A67" w:rsidP="00F400D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 xml:space="preserve">Centro de responsabilidad </w:t>
            </w:r>
          </w:p>
        </w:tc>
        <w:tc>
          <w:tcPr>
            <w:tcW w:w="1650" w:type="dxa"/>
            <w:tcBorders>
              <w:top w:val="single" w:sz="4" w:space="0" w:color="auto"/>
              <w:left w:val="nil"/>
              <w:bottom w:val="single" w:sz="4" w:space="0" w:color="auto"/>
              <w:right w:val="single" w:sz="4" w:space="0" w:color="auto"/>
            </w:tcBorders>
            <w:shd w:val="clear" w:color="000000" w:fill="44546A"/>
            <w:vAlign w:val="center"/>
            <w:hideMark/>
          </w:tcPr>
          <w:p w14:paraId="44774A10" w14:textId="77777777" w:rsidR="000B7A67" w:rsidRPr="00D70F8D" w:rsidRDefault="000B7A67" w:rsidP="00F400D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Oficina Líder</w:t>
            </w:r>
          </w:p>
        </w:tc>
        <w:tc>
          <w:tcPr>
            <w:tcW w:w="850" w:type="dxa"/>
            <w:tcBorders>
              <w:top w:val="single" w:sz="4" w:space="0" w:color="auto"/>
              <w:left w:val="nil"/>
              <w:bottom w:val="single" w:sz="4" w:space="0" w:color="auto"/>
              <w:right w:val="single" w:sz="4" w:space="0" w:color="auto"/>
            </w:tcBorders>
            <w:shd w:val="clear" w:color="000000" w:fill="44546A"/>
            <w:vAlign w:val="center"/>
            <w:hideMark/>
          </w:tcPr>
          <w:p w14:paraId="2F6121A7" w14:textId="77777777" w:rsidR="000B7A67" w:rsidRPr="00D70F8D" w:rsidRDefault="000B7A67" w:rsidP="00F400D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Código</w:t>
            </w:r>
          </w:p>
        </w:tc>
        <w:tc>
          <w:tcPr>
            <w:tcW w:w="1701" w:type="dxa"/>
            <w:tcBorders>
              <w:top w:val="single" w:sz="4" w:space="0" w:color="auto"/>
              <w:left w:val="nil"/>
              <w:bottom w:val="single" w:sz="4" w:space="0" w:color="auto"/>
              <w:right w:val="single" w:sz="4" w:space="0" w:color="auto"/>
            </w:tcBorders>
            <w:shd w:val="clear" w:color="000000" w:fill="44546A"/>
            <w:vAlign w:val="center"/>
            <w:hideMark/>
          </w:tcPr>
          <w:p w14:paraId="3C54D557" w14:textId="77777777" w:rsidR="000B7A67" w:rsidRPr="00D70F8D" w:rsidRDefault="000B7A67" w:rsidP="00F400D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Nombre</w:t>
            </w:r>
          </w:p>
        </w:tc>
        <w:tc>
          <w:tcPr>
            <w:tcW w:w="992" w:type="dxa"/>
            <w:tcBorders>
              <w:top w:val="single" w:sz="4" w:space="0" w:color="auto"/>
              <w:left w:val="nil"/>
              <w:bottom w:val="single" w:sz="4" w:space="0" w:color="auto"/>
              <w:right w:val="single" w:sz="4" w:space="0" w:color="auto"/>
            </w:tcBorders>
            <w:shd w:val="clear" w:color="000000" w:fill="44546A"/>
            <w:vAlign w:val="center"/>
            <w:hideMark/>
          </w:tcPr>
          <w:p w14:paraId="1D8943FF" w14:textId="77777777" w:rsidR="000B7A67" w:rsidRPr="00D70F8D" w:rsidRDefault="000B7A67" w:rsidP="00F400D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Parte pendiente</w:t>
            </w:r>
          </w:p>
        </w:tc>
        <w:tc>
          <w:tcPr>
            <w:tcW w:w="3969" w:type="dxa"/>
            <w:tcBorders>
              <w:top w:val="single" w:sz="4" w:space="0" w:color="auto"/>
              <w:left w:val="nil"/>
              <w:bottom w:val="single" w:sz="4" w:space="0" w:color="auto"/>
              <w:right w:val="single" w:sz="4" w:space="0" w:color="auto"/>
            </w:tcBorders>
            <w:shd w:val="clear" w:color="000000" w:fill="44546A"/>
            <w:vAlign w:val="center"/>
            <w:hideMark/>
          </w:tcPr>
          <w:p w14:paraId="36025BDD" w14:textId="77777777" w:rsidR="000B7A67" w:rsidRPr="00D70F8D" w:rsidRDefault="000B7A67" w:rsidP="00F400D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 xml:space="preserve">Detalle </w:t>
            </w:r>
          </w:p>
        </w:tc>
      </w:tr>
      <w:tr w:rsidR="007E6FC1" w:rsidRPr="00D70F8D" w14:paraId="6C07A57C" w14:textId="77777777" w:rsidTr="00301740">
        <w:trPr>
          <w:trHeight w:val="166"/>
        </w:trPr>
        <w:tc>
          <w:tcPr>
            <w:tcW w:w="1470" w:type="dxa"/>
            <w:vMerge w:val="restart"/>
            <w:tcBorders>
              <w:top w:val="nil"/>
              <w:left w:val="single" w:sz="4" w:space="0" w:color="auto"/>
              <w:bottom w:val="single" w:sz="4" w:space="0" w:color="000000"/>
              <w:right w:val="single" w:sz="4" w:space="0" w:color="auto"/>
            </w:tcBorders>
            <w:vAlign w:val="center"/>
            <w:hideMark/>
          </w:tcPr>
          <w:p w14:paraId="5580C09C"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Dirección de Tecnología de Información</w:t>
            </w:r>
            <w:r>
              <w:rPr>
                <w:rFonts w:ascii="Book Antiqua" w:eastAsia="Times New Roman" w:hAnsi="Book Antiqua" w:cs="Calibri"/>
                <w:color w:val="000000"/>
                <w:sz w:val="18"/>
                <w:szCs w:val="18"/>
                <w:lang w:eastAsia="es-CR"/>
              </w:rPr>
              <w:t xml:space="preserve"> y Comunicación</w:t>
            </w:r>
          </w:p>
        </w:tc>
        <w:tc>
          <w:tcPr>
            <w:tcW w:w="1650" w:type="dxa"/>
            <w:tcBorders>
              <w:top w:val="nil"/>
              <w:left w:val="single" w:sz="4" w:space="0" w:color="auto"/>
              <w:bottom w:val="single" w:sz="4" w:space="0" w:color="000000"/>
              <w:right w:val="single" w:sz="4" w:space="0" w:color="auto"/>
            </w:tcBorders>
            <w:shd w:val="clear" w:color="auto" w:fill="auto"/>
            <w:vAlign w:val="center"/>
            <w:hideMark/>
          </w:tcPr>
          <w:p w14:paraId="476A018E"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 xml:space="preserve">0685 </w:t>
            </w:r>
            <w:r>
              <w:rPr>
                <w:rFonts w:ascii="Book Antiqua" w:eastAsia="Times New Roman" w:hAnsi="Book Antiqua" w:cs="Calibri"/>
                <w:color w:val="000000"/>
                <w:sz w:val="18"/>
                <w:szCs w:val="18"/>
                <w:lang w:eastAsia="es-CR"/>
              </w:rPr>
              <w:t>S</w:t>
            </w:r>
            <w:r w:rsidRPr="00D70F8D">
              <w:rPr>
                <w:rFonts w:ascii="Book Antiqua" w:eastAsia="Times New Roman" w:hAnsi="Book Antiqua" w:cs="Calibri"/>
                <w:color w:val="000000"/>
                <w:sz w:val="18"/>
                <w:szCs w:val="18"/>
                <w:lang w:eastAsia="es-CR"/>
              </w:rPr>
              <w:t xml:space="preserve">ubproceso </w:t>
            </w:r>
            <w:r>
              <w:rPr>
                <w:rFonts w:ascii="Book Antiqua" w:eastAsia="Times New Roman" w:hAnsi="Book Antiqua" w:cs="Calibri"/>
                <w:color w:val="000000"/>
                <w:sz w:val="18"/>
                <w:szCs w:val="18"/>
                <w:lang w:eastAsia="es-CR"/>
              </w:rPr>
              <w:t>T</w:t>
            </w:r>
            <w:r w:rsidRPr="00D70F8D">
              <w:rPr>
                <w:rFonts w:ascii="Book Antiqua" w:eastAsia="Times New Roman" w:hAnsi="Book Antiqua" w:cs="Calibri"/>
                <w:color w:val="000000"/>
                <w:sz w:val="18"/>
                <w:szCs w:val="18"/>
                <w:lang w:eastAsia="es-CR"/>
              </w:rPr>
              <w:t>elemática</w:t>
            </w:r>
          </w:p>
        </w:tc>
        <w:tc>
          <w:tcPr>
            <w:tcW w:w="850" w:type="dxa"/>
            <w:tcBorders>
              <w:top w:val="nil"/>
              <w:left w:val="single" w:sz="4" w:space="0" w:color="auto"/>
              <w:bottom w:val="single" w:sz="4" w:space="0" w:color="000000"/>
              <w:right w:val="single" w:sz="4" w:space="0" w:color="auto"/>
            </w:tcBorders>
            <w:shd w:val="clear" w:color="auto" w:fill="auto"/>
            <w:vAlign w:val="center"/>
            <w:hideMark/>
          </w:tcPr>
          <w:p w14:paraId="48CA791B"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0122-DTI-P11</w:t>
            </w:r>
          </w:p>
        </w:tc>
        <w:tc>
          <w:tcPr>
            <w:tcW w:w="1701" w:type="dxa"/>
            <w:tcBorders>
              <w:top w:val="nil"/>
              <w:left w:val="single" w:sz="4" w:space="0" w:color="auto"/>
              <w:bottom w:val="single" w:sz="4" w:space="0" w:color="000000"/>
              <w:right w:val="single" w:sz="4" w:space="0" w:color="auto"/>
            </w:tcBorders>
            <w:shd w:val="clear" w:color="auto" w:fill="auto"/>
            <w:vAlign w:val="center"/>
            <w:hideMark/>
          </w:tcPr>
          <w:p w14:paraId="1A94D674"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Rediseño y Migración de Telefonía IP</w:t>
            </w:r>
          </w:p>
        </w:tc>
        <w:tc>
          <w:tcPr>
            <w:tcW w:w="992" w:type="dxa"/>
            <w:tcBorders>
              <w:top w:val="nil"/>
              <w:left w:val="nil"/>
              <w:bottom w:val="single" w:sz="4" w:space="0" w:color="auto"/>
              <w:right w:val="single" w:sz="4" w:space="0" w:color="auto"/>
            </w:tcBorders>
            <w:shd w:val="clear" w:color="auto" w:fill="auto"/>
            <w:vAlign w:val="center"/>
            <w:hideMark/>
          </w:tcPr>
          <w:p w14:paraId="5AF3EB38"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2.1</w:t>
            </w:r>
          </w:p>
        </w:tc>
        <w:tc>
          <w:tcPr>
            <w:tcW w:w="3969" w:type="dxa"/>
            <w:tcBorders>
              <w:top w:val="nil"/>
              <w:left w:val="nil"/>
              <w:bottom w:val="single" w:sz="4" w:space="0" w:color="auto"/>
              <w:right w:val="single" w:sz="4" w:space="0" w:color="auto"/>
            </w:tcBorders>
            <w:shd w:val="clear" w:color="auto" w:fill="auto"/>
            <w:vAlign w:val="center"/>
            <w:hideMark/>
          </w:tcPr>
          <w:p w14:paraId="5A939D55" w14:textId="77777777" w:rsidR="000B7A67" w:rsidRPr="00D70F8D" w:rsidRDefault="000B7A67" w:rsidP="00C52E88">
            <w:pPr>
              <w:spacing w:after="0" w:line="240" w:lineRule="auto"/>
              <w:jc w:val="both"/>
              <w:rPr>
                <w:rFonts w:ascii="Book Antiqua" w:eastAsia="Times New Roman" w:hAnsi="Book Antiqua" w:cs="Calibri"/>
                <w:color w:val="000000"/>
                <w:sz w:val="18"/>
                <w:szCs w:val="18"/>
                <w:lang w:eastAsia="es-CR"/>
              </w:rPr>
            </w:pPr>
            <w:r w:rsidRPr="00053AEE">
              <w:rPr>
                <w:rFonts w:ascii="Book Antiqua" w:eastAsia="Times New Roman" w:hAnsi="Book Antiqua" w:cs="Calibri"/>
                <w:color w:val="000000"/>
                <w:sz w:val="18"/>
                <w:szCs w:val="18"/>
                <w:lang w:eastAsia="es-CR"/>
              </w:rPr>
              <w:t>No se corrigió el informe de avance de diciembre</w:t>
            </w:r>
            <w:r w:rsidRPr="00D70F8D">
              <w:rPr>
                <w:rFonts w:ascii="Book Antiqua" w:eastAsia="Times New Roman" w:hAnsi="Book Antiqua" w:cs="Calibri"/>
                <w:color w:val="000000"/>
                <w:sz w:val="18"/>
                <w:szCs w:val="18"/>
                <w:lang w:eastAsia="es-CR"/>
              </w:rPr>
              <w:t xml:space="preserve"> presentaba incorrecto el porcentaje real y esperado</w:t>
            </w:r>
            <w:r w:rsidRPr="00053AEE">
              <w:rPr>
                <w:rFonts w:ascii="Book Antiqua" w:eastAsia="Times New Roman" w:hAnsi="Book Antiqua" w:cs="Calibri"/>
                <w:color w:val="000000"/>
                <w:sz w:val="18"/>
                <w:szCs w:val="18"/>
                <w:lang w:eastAsia="es-CR"/>
              </w:rPr>
              <w:t>, ni se justifica los motivos por los cuales no se corrige el informe.</w:t>
            </w:r>
          </w:p>
        </w:tc>
      </w:tr>
      <w:tr w:rsidR="007E6FC1" w:rsidRPr="00D70F8D" w14:paraId="47982CDB" w14:textId="77777777" w:rsidTr="00301740">
        <w:trPr>
          <w:trHeight w:val="579"/>
        </w:trPr>
        <w:tc>
          <w:tcPr>
            <w:tcW w:w="1470" w:type="dxa"/>
            <w:vMerge/>
            <w:tcBorders>
              <w:top w:val="nil"/>
              <w:left w:val="single" w:sz="4" w:space="0" w:color="auto"/>
              <w:bottom w:val="single" w:sz="4" w:space="0" w:color="000000"/>
              <w:right w:val="single" w:sz="4" w:space="0" w:color="auto"/>
            </w:tcBorders>
            <w:vAlign w:val="center"/>
            <w:hideMark/>
          </w:tcPr>
          <w:p w14:paraId="7C647D8E"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tcBorders>
              <w:top w:val="nil"/>
              <w:left w:val="nil"/>
              <w:bottom w:val="single" w:sz="4" w:space="0" w:color="auto"/>
              <w:right w:val="single" w:sz="4" w:space="0" w:color="auto"/>
            </w:tcBorders>
            <w:shd w:val="clear" w:color="auto" w:fill="auto"/>
            <w:vAlign w:val="center"/>
            <w:hideMark/>
          </w:tcPr>
          <w:p w14:paraId="3631A600"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 xml:space="preserve">0686 </w:t>
            </w:r>
            <w:r>
              <w:rPr>
                <w:rFonts w:ascii="Book Antiqua" w:eastAsia="Times New Roman" w:hAnsi="Book Antiqua" w:cs="Calibri"/>
                <w:color w:val="000000"/>
                <w:sz w:val="18"/>
                <w:szCs w:val="18"/>
                <w:lang w:eastAsia="es-CR"/>
              </w:rPr>
              <w:t>S</w:t>
            </w:r>
            <w:r w:rsidRPr="00D70F8D">
              <w:rPr>
                <w:rFonts w:ascii="Book Antiqua" w:eastAsia="Times New Roman" w:hAnsi="Book Antiqua" w:cs="Calibri"/>
                <w:color w:val="000000"/>
                <w:sz w:val="18"/>
                <w:szCs w:val="18"/>
                <w:lang w:eastAsia="es-CR"/>
              </w:rPr>
              <w:t xml:space="preserve">ubproceso </w:t>
            </w:r>
            <w:r>
              <w:rPr>
                <w:rFonts w:ascii="Book Antiqua" w:eastAsia="Times New Roman" w:hAnsi="Book Antiqua" w:cs="Calibri"/>
                <w:color w:val="000000"/>
                <w:sz w:val="18"/>
                <w:szCs w:val="18"/>
                <w:lang w:eastAsia="es-CR"/>
              </w:rPr>
              <w:t>G</w:t>
            </w:r>
            <w:r w:rsidRPr="00D70F8D">
              <w:rPr>
                <w:rFonts w:ascii="Book Antiqua" w:eastAsia="Times New Roman" w:hAnsi="Book Antiqua" w:cs="Calibri"/>
                <w:color w:val="000000"/>
                <w:sz w:val="18"/>
                <w:szCs w:val="18"/>
                <w:lang w:eastAsia="es-CR"/>
              </w:rPr>
              <w:t xml:space="preserve">estión del </w:t>
            </w:r>
            <w:r>
              <w:rPr>
                <w:rFonts w:ascii="Book Antiqua" w:eastAsia="Times New Roman" w:hAnsi="Book Antiqua" w:cs="Calibri"/>
                <w:color w:val="000000"/>
                <w:sz w:val="18"/>
                <w:szCs w:val="18"/>
                <w:lang w:eastAsia="es-CR"/>
              </w:rPr>
              <w:t>S</w:t>
            </w:r>
            <w:r w:rsidRPr="00D70F8D">
              <w:rPr>
                <w:rFonts w:ascii="Book Antiqua" w:eastAsia="Times New Roman" w:hAnsi="Book Antiqua" w:cs="Calibri"/>
                <w:color w:val="000000"/>
                <w:sz w:val="18"/>
                <w:szCs w:val="18"/>
                <w:lang w:eastAsia="es-CR"/>
              </w:rPr>
              <w:t>ervicio</w:t>
            </w:r>
          </w:p>
        </w:tc>
        <w:tc>
          <w:tcPr>
            <w:tcW w:w="850" w:type="dxa"/>
            <w:tcBorders>
              <w:top w:val="nil"/>
              <w:left w:val="nil"/>
              <w:bottom w:val="single" w:sz="4" w:space="0" w:color="auto"/>
              <w:right w:val="single" w:sz="4" w:space="0" w:color="auto"/>
            </w:tcBorders>
            <w:shd w:val="clear" w:color="auto" w:fill="auto"/>
            <w:vAlign w:val="center"/>
            <w:hideMark/>
          </w:tcPr>
          <w:p w14:paraId="29BA19C1"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0122-DTI-P16</w:t>
            </w:r>
          </w:p>
        </w:tc>
        <w:tc>
          <w:tcPr>
            <w:tcW w:w="1701" w:type="dxa"/>
            <w:tcBorders>
              <w:top w:val="nil"/>
              <w:left w:val="nil"/>
              <w:bottom w:val="single" w:sz="4" w:space="0" w:color="auto"/>
              <w:right w:val="single" w:sz="4" w:space="0" w:color="auto"/>
            </w:tcBorders>
            <w:shd w:val="clear" w:color="auto" w:fill="auto"/>
            <w:vAlign w:val="center"/>
            <w:hideMark/>
          </w:tcPr>
          <w:p w14:paraId="637ACD17"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Implantación del Nuevo Sistema de Gestión</w:t>
            </w:r>
          </w:p>
        </w:tc>
        <w:tc>
          <w:tcPr>
            <w:tcW w:w="992" w:type="dxa"/>
            <w:tcBorders>
              <w:top w:val="nil"/>
              <w:left w:val="nil"/>
              <w:bottom w:val="single" w:sz="4" w:space="0" w:color="auto"/>
              <w:right w:val="single" w:sz="4" w:space="0" w:color="auto"/>
            </w:tcBorders>
            <w:shd w:val="clear" w:color="auto" w:fill="auto"/>
            <w:vAlign w:val="center"/>
            <w:hideMark/>
          </w:tcPr>
          <w:p w14:paraId="791ACC3C"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2.1</w:t>
            </w:r>
          </w:p>
        </w:tc>
        <w:tc>
          <w:tcPr>
            <w:tcW w:w="3969" w:type="dxa"/>
            <w:tcBorders>
              <w:top w:val="nil"/>
              <w:left w:val="nil"/>
              <w:bottom w:val="single" w:sz="4" w:space="0" w:color="auto"/>
              <w:right w:val="single" w:sz="4" w:space="0" w:color="auto"/>
            </w:tcBorders>
            <w:shd w:val="clear" w:color="auto" w:fill="auto"/>
            <w:vAlign w:val="center"/>
            <w:hideMark/>
          </w:tcPr>
          <w:p w14:paraId="141A14AF" w14:textId="77777777" w:rsidR="000B7A67" w:rsidRPr="00D70F8D" w:rsidRDefault="000B7A67" w:rsidP="00C52E88">
            <w:pPr>
              <w:spacing w:after="0" w:line="240" w:lineRule="auto"/>
              <w:jc w:val="both"/>
              <w:rPr>
                <w:rFonts w:ascii="Book Antiqua" w:eastAsia="Times New Roman" w:hAnsi="Book Antiqua" w:cs="Calibri"/>
                <w:color w:val="000000"/>
                <w:sz w:val="18"/>
                <w:szCs w:val="18"/>
                <w:lang w:eastAsia="es-CR"/>
              </w:rPr>
            </w:pPr>
            <w:r w:rsidRPr="00053AEE">
              <w:rPr>
                <w:rFonts w:ascii="Book Antiqua" w:eastAsia="Times New Roman" w:hAnsi="Book Antiqua" w:cs="Calibri"/>
                <w:color w:val="000000"/>
                <w:sz w:val="18"/>
                <w:szCs w:val="18"/>
                <w:lang w:eastAsia="es-CR"/>
              </w:rPr>
              <w:t>No se corrigió el informe de avance de diciembre</w:t>
            </w:r>
            <w:r w:rsidRPr="00D70F8D">
              <w:rPr>
                <w:rFonts w:ascii="Book Antiqua" w:eastAsia="Times New Roman" w:hAnsi="Book Antiqua" w:cs="Calibri"/>
                <w:color w:val="000000"/>
                <w:sz w:val="18"/>
                <w:szCs w:val="18"/>
                <w:lang w:eastAsia="es-CR"/>
              </w:rPr>
              <w:t xml:space="preserve"> presentaba incorrecto el porcentaje real y esperado</w:t>
            </w:r>
            <w:r w:rsidRPr="00053AEE">
              <w:rPr>
                <w:rFonts w:ascii="Book Antiqua" w:eastAsia="Times New Roman" w:hAnsi="Book Antiqua" w:cs="Calibri"/>
                <w:color w:val="000000"/>
                <w:sz w:val="18"/>
                <w:szCs w:val="18"/>
                <w:lang w:eastAsia="es-CR"/>
              </w:rPr>
              <w:t>, ni se justifica los motivos por los cuales no se corrige el informe.</w:t>
            </w:r>
          </w:p>
        </w:tc>
      </w:tr>
      <w:tr w:rsidR="007E6FC1" w:rsidRPr="00D70F8D" w14:paraId="4EE7CCAB" w14:textId="77777777" w:rsidTr="00301740">
        <w:trPr>
          <w:trHeight w:val="900"/>
        </w:trPr>
        <w:tc>
          <w:tcPr>
            <w:tcW w:w="1470" w:type="dxa"/>
            <w:vMerge/>
            <w:tcBorders>
              <w:top w:val="nil"/>
              <w:left w:val="single" w:sz="4" w:space="0" w:color="auto"/>
              <w:bottom w:val="single" w:sz="4" w:space="0" w:color="000000"/>
              <w:right w:val="single" w:sz="4" w:space="0" w:color="auto"/>
            </w:tcBorders>
            <w:vAlign w:val="center"/>
            <w:hideMark/>
          </w:tcPr>
          <w:p w14:paraId="33FD98A3"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tcBorders>
              <w:top w:val="nil"/>
              <w:left w:val="nil"/>
              <w:bottom w:val="single" w:sz="4" w:space="0" w:color="auto"/>
              <w:right w:val="single" w:sz="4" w:space="0" w:color="auto"/>
            </w:tcBorders>
            <w:shd w:val="clear" w:color="auto" w:fill="auto"/>
            <w:vAlign w:val="center"/>
            <w:hideMark/>
          </w:tcPr>
          <w:p w14:paraId="22D57F35"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 xml:space="preserve">1841 </w:t>
            </w:r>
            <w:r>
              <w:rPr>
                <w:rFonts w:ascii="Book Antiqua" w:eastAsia="Times New Roman" w:hAnsi="Book Antiqua" w:cs="Calibri"/>
                <w:color w:val="000000"/>
                <w:sz w:val="18"/>
                <w:szCs w:val="18"/>
                <w:lang w:eastAsia="es-CR"/>
              </w:rPr>
              <w:t>S</w:t>
            </w:r>
            <w:r w:rsidRPr="00D70F8D">
              <w:rPr>
                <w:rFonts w:ascii="Book Antiqua" w:eastAsia="Times New Roman" w:hAnsi="Book Antiqua" w:cs="Calibri"/>
                <w:color w:val="000000"/>
                <w:sz w:val="18"/>
                <w:szCs w:val="18"/>
                <w:lang w:eastAsia="es-CR"/>
              </w:rPr>
              <w:t xml:space="preserve">ubproceso </w:t>
            </w:r>
            <w:r>
              <w:rPr>
                <w:rFonts w:ascii="Book Antiqua" w:eastAsia="Times New Roman" w:hAnsi="Book Antiqua" w:cs="Calibri"/>
                <w:color w:val="000000"/>
                <w:sz w:val="18"/>
                <w:szCs w:val="18"/>
                <w:lang w:eastAsia="es-CR"/>
              </w:rPr>
              <w:t>S</w:t>
            </w:r>
            <w:r w:rsidRPr="00D70F8D">
              <w:rPr>
                <w:rFonts w:ascii="Book Antiqua" w:eastAsia="Times New Roman" w:hAnsi="Book Antiqua" w:cs="Calibri"/>
                <w:color w:val="000000"/>
                <w:sz w:val="18"/>
                <w:szCs w:val="18"/>
                <w:lang w:eastAsia="es-CR"/>
              </w:rPr>
              <w:t xml:space="preserve">istemas </w:t>
            </w:r>
            <w:r>
              <w:rPr>
                <w:rFonts w:ascii="Book Antiqua" w:eastAsia="Times New Roman" w:hAnsi="Book Antiqua" w:cs="Calibri"/>
                <w:color w:val="000000"/>
                <w:sz w:val="18"/>
                <w:szCs w:val="18"/>
                <w:lang w:eastAsia="es-CR"/>
              </w:rPr>
              <w:t>J</w:t>
            </w:r>
            <w:r w:rsidRPr="00D70F8D">
              <w:rPr>
                <w:rFonts w:ascii="Book Antiqua" w:eastAsia="Times New Roman" w:hAnsi="Book Antiqua" w:cs="Calibri"/>
                <w:color w:val="000000"/>
                <w:sz w:val="18"/>
                <w:szCs w:val="18"/>
                <w:lang w:eastAsia="es-CR"/>
              </w:rPr>
              <w:t>urisdiccionales</w:t>
            </w:r>
          </w:p>
        </w:tc>
        <w:tc>
          <w:tcPr>
            <w:tcW w:w="850" w:type="dxa"/>
            <w:tcBorders>
              <w:top w:val="nil"/>
              <w:left w:val="nil"/>
              <w:bottom w:val="single" w:sz="4" w:space="0" w:color="auto"/>
              <w:right w:val="single" w:sz="4" w:space="0" w:color="auto"/>
            </w:tcBorders>
            <w:shd w:val="clear" w:color="auto" w:fill="auto"/>
            <w:vAlign w:val="center"/>
            <w:hideMark/>
          </w:tcPr>
          <w:p w14:paraId="737DCD7F"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0122-DTI-P12</w:t>
            </w:r>
          </w:p>
        </w:tc>
        <w:tc>
          <w:tcPr>
            <w:tcW w:w="1701" w:type="dxa"/>
            <w:tcBorders>
              <w:top w:val="nil"/>
              <w:left w:val="nil"/>
              <w:bottom w:val="single" w:sz="4" w:space="0" w:color="auto"/>
              <w:right w:val="single" w:sz="4" w:space="0" w:color="auto"/>
            </w:tcBorders>
            <w:shd w:val="clear" w:color="auto" w:fill="auto"/>
            <w:vAlign w:val="center"/>
            <w:hideMark/>
          </w:tcPr>
          <w:p w14:paraId="3C4178A6"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Modernización del Sistema de Gestión en Línea y la Aplicación Móvil</w:t>
            </w:r>
          </w:p>
        </w:tc>
        <w:tc>
          <w:tcPr>
            <w:tcW w:w="992" w:type="dxa"/>
            <w:tcBorders>
              <w:top w:val="nil"/>
              <w:left w:val="nil"/>
              <w:bottom w:val="single" w:sz="4" w:space="0" w:color="auto"/>
              <w:right w:val="single" w:sz="4" w:space="0" w:color="auto"/>
            </w:tcBorders>
            <w:shd w:val="clear" w:color="auto" w:fill="auto"/>
            <w:vAlign w:val="center"/>
            <w:hideMark/>
          </w:tcPr>
          <w:p w14:paraId="36BE475B"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2.4</w:t>
            </w:r>
          </w:p>
        </w:tc>
        <w:tc>
          <w:tcPr>
            <w:tcW w:w="3969" w:type="dxa"/>
            <w:tcBorders>
              <w:top w:val="nil"/>
              <w:left w:val="nil"/>
              <w:bottom w:val="single" w:sz="4" w:space="0" w:color="auto"/>
              <w:right w:val="single" w:sz="4" w:space="0" w:color="auto"/>
            </w:tcBorders>
            <w:shd w:val="clear" w:color="auto" w:fill="auto"/>
            <w:vAlign w:val="center"/>
            <w:hideMark/>
          </w:tcPr>
          <w:p w14:paraId="3CC439BD" w14:textId="77777777" w:rsidR="000B7A67" w:rsidRPr="00D70F8D" w:rsidRDefault="000B7A67" w:rsidP="00C52E88">
            <w:pPr>
              <w:jc w:val="both"/>
              <w:rPr>
                <w:rFonts w:ascii="Book Antiqua" w:eastAsia="Times New Roman" w:hAnsi="Book Antiqua" w:cs="Calibri"/>
                <w:color w:val="000000"/>
                <w:sz w:val="18"/>
                <w:szCs w:val="18"/>
                <w:lang w:eastAsia="es-CR"/>
              </w:rPr>
            </w:pPr>
            <w:r w:rsidRPr="00053AEE">
              <w:rPr>
                <w:rFonts w:ascii="Book Antiqua" w:eastAsia="Times New Roman" w:hAnsi="Book Antiqua" w:cs="Calibri"/>
                <w:color w:val="000000"/>
                <w:sz w:val="18"/>
                <w:szCs w:val="18"/>
                <w:lang w:eastAsia="es-CR"/>
              </w:rPr>
              <w:t>Pendiente elaborar informe de cierre en formulario de la metodología institucional de proyectos el mismo tiene que ser aprobado por el patrocinador del proyecto.</w:t>
            </w:r>
          </w:p>
        </w:tc>
      </w:tr>
    </w:tbl>
    <w:p w14:paraId="2DA3A120" w14:textId="77777777" w:rsidR="000B7A67" w:rsidRDefault="000B7A67" w:rsidP="000B7A67">
      <w:pPr>
        <w:spacing w:after="0"/>
        <w:jc w:val="both"/>
        <w:rPr>
          <w:rFonts w:ascii="Book Antiqua" w:hAnsi="Book Antiqua"/>
          <w:sz w:val="24"/>
          <w:szCs w:val="24"/>
        </w:rPr>
      </w:pPr>
    </w:p>
    <w:p w14:paraId="79691CC4" w14:textId="77777777" w:rsidR="000B7A67" w:rsidRDefault="000B7A67" w:rsidP="000B7A67">
      <w:pPr>
        <w:spacing w:after="0"/>
        <w:jc w:val="both"/>
        <w:rPr>
          <w:rFonts w:ascii="Book Antiqua" w:hAnsi="Book Antiqua"/>
          <w:b/>
          <w:sz w:val="24"/>
          <w:szCs w:val="24"/>
        </w:rPr>
      </w:pPr>
      <w:r w:rsidRPr="003B26B6">
        <w:rPr>
          <w:rFonts w:ascii="Book Antiqua" w:hAnsi="Book Antiqua"/>
          <w:sz w:val="24"/>
          <w:szCs w:val="24"/>
        </w:rPr>
        <w:t xml:space="preserve">Los proyectos anteriores, tendrán </w:t>
      </w:r>
      <w:r w:rsidRPr="001E33D7">
        <w:rPr>
          <w:rFonts w:ascii="Book Antiqua" w:hAnsi="Book Antiqua"/>
          <w:sz w:val="24"/>
          <w:szCs w:val="24"/>
        </w:rPr>
        <w:t xml:space="preserve">al </w:t>
      </w:r>
      <w:r w:rsidRPr="001E33D7">
        <w:rPr>
          <w:rFonts w:ascii="Book Antiqua" w:hAnsi="Book Antiqua"/>
          <w:b/>
          <w:bCs/>
          <w:sz w:val="24"/>
          <w:szCs w:val="24"/>
        </w:rPr>
        <w:t>11 de agosto del 2023</w:t>
      </w:r>
      <w:r>
        <w:rPr>
          <w:rFonts w:ascii="Book Antiqua" w:hAnsi="Book Antiqua"/>
          <w:b/>
          <w:bCs/>
          <w:sz w:val="24"/>
          <w:szCs w:val="24"/>
        </w:rPr>
        <w:t xml:space="preserve"> </w:t>
      </w:r>
      <w:r w:rsidRPr="00A562C7">
        <w:rPr>
          <w:rFonts w:ascii="Book Antiqua" w:hAnsi="Book Antiqua"/>
          <w:b/>
          <w:bCs/>
          <w:sz w:val="24"/>
          <w:szCs w:val="24"/>
        </w:rPr>
        <w:t>para</w:t>
      </w:r>
      <w:r w:rsidRPr="003B26B6">
        <w:rPr>
          <w:rFonts w:ascii="Book Antiqua" w:hAnsi="Book Antiqua"/>
          <w:b/>
          <w:bCs/>
          <w:sz w:val="24"/>
          <w:szCs w:val="24"/>
        </w:rPr>
        <w:t xml:space="preserve"> </w:t>
      </w:r>
      <w:r>
        <w:rPr>
          <w:rFonts w:ascii="Book Antiqua" w:hAnsi="Book Antiqua"/>
          <w:b/>
          <w:bCs/>
          <w:sz w:val="24"/>
          <w:szCs w:val="24"/>
        </w:rPr>
        <w:t xml:space="preserve">atender las recomendaciones pendientes </w:t>
      </w:r>
      <w:r w:rsidRPr="003B26B6">
        <w:rPr>
          <w:rFonts w:ascii="Book Antiqua" w:hAnsi="Book Antiqua"/>
          <w:b/>
          <w:sz w:val="24"/>
          <w:szCs w:val="24"/>
        </w:rPr>
        <w:t xml:space="preserve">y notificar a la </w:t>
      </w:r>
      <w:r>
        <w:rPr>
          <w:rFonts w:ascii="Book Antiqua" w:hAnsi="Book Antiqua"/>
          <w:b/>
          <w:sz w:val="24"/>
          <w:szCs w:val="24"/>
        </w:rPr>
        <w:t xml:space="preserve">Unidad del Portafolio de Proyectos, </w:t>
      </w:r>
      <w:r w:rsidRPr="003B26B6">
        <w:rPr>
          <w:rFonts w:ascii="Book Antiqua" w:hAnsi="Book Antiqua"/>
          <w:b/>
          <w:sz w:val="24"/>
          <w:szCs w:val="24"/>
        </w:rPr>
        <w:t>Dirección de Planificación</w:t>
      </w:r>
      <w:r>
        <w:rPr>
          <w:rFonts w:ascii="Book Antiqua" w:hAnsi="Book Antiqua"/>
          <w:b/>
          <w:sz w:val="24"/>
          <w:szCs w:val="24"/>
        </w:rPr>
        <w:t>.</w:t>
      </w:r>
    </w:p>
    <w:p w14:paraId="025821F2" w14:textId="77777777" w:rsidR="008F6850" w:rsidRDefault="008F6850" w:rsidP="000B7A67">
      <w:pPr>
        <w:spacing w:after="0"/>
        <w:jc w:val="both"/>
        <w:rPr>
          <w:rFonts w:ascii="Book Antiqua" w:hAnsi="Book Antiqua"/>
          <w:b/>
          <w:sz w:val="24"/>
          <w:szCs w:val="24"/>
        </w:rPr>
      </w:pPr>
    </w:p>
    <w:p w14:paraId="50818ABB" w14:textId="77777777" w:rsidR="000B7A67" w:rsidRPr="001D2656" w:rsidRDefault="000B7A67" w:rsidP="000B7A67">
      <w:pPr>
        <w:pStyle w:val="Ttulo2"/>
        <w:numPr>
          <w:ilvl w:val="0"/>
          <w:numId w:val="3"/>
        </w:numPr>
        <w:tabs>
          <w:tab w:val="left" w:pos="851"/>
        </w:tabs>
        <w:spacing w:before="0"/>
        <w:jc w:val="both"/>
        <w:rPr>
          <w:rFonts w:ascii="Book Antiqua" w:eastAsia="Wingdings" w:hAnsi="Book Antiqua"/>
          <w:b/>
          <w:bCs/>
          <w:color w:val="auto"/>
          <w:lang w:eastAsia="ko-KR"/>
        </w:rPr>
      </w:pPr>
      <w:bookmarkStart w:id="30" w:name="_Toc131160567"/>
      <w:bookmarkStart w:id="31" w:name="_Toc138770830"/>
      <w:r w:rsidRPr="001D2656">
        <w:rPr>
          <w:rFonts w:ascii="Book Antiqua" w:eastAsia="Wingdings" w:hAnsi="Book Antiqua"/>
          <w:b/>
          <w:bCs/>
          <w:color w:val="auto"/>
          <w:lang w:eastAsia="ko-KR"/>
        </w:rPr>
        <w:lastRenderedPageBreak/>
        <w:t xml:space="preserve">Recomendaciones dirigidas </w:t>
      </w:r>
      <w:r>
        <w:rPr>
          <w:rFonts w:ascii="Book Antiqua" w:eastAsia="Wingdings" w:hAnsi="Book Antiqua"/>
          <w:b/>
          <w:bCs/>
          <w:color w:val="auto"/>
          <w:lang w:eastAsia="ko-KR"/>
        </w:rPr>
        <w:t xml:space="preserve">a la </w:t>
      </w:r>
      <w:r w:rsidRPr="00AF40B3">
        <w:rPr>
          <w:rFonts w:ascii="Book Antiqua" w:eastAsia="Wingdings" w:hAnsi="Book Antiqua"/>
          <w:b/>
          <w:bCs/>
          <w:color w:val="auto"/>
          <w:lang w:eastAsia="ko-KR"/>
        </w:rPr>
        <w:t>Dirección Ejecutiva</w:t>
      </w:r>
      <w:bookmarkEnd w:id="30"/>
      <w:bookmarkEnd w:id="31"/>
    </w:p>
    <w:p w14:paraId="14B407C5" w14:textId="77777777" w:rsidR="000B7A67" w:rsidRDefault="000B7A67" w:rsidP="000B7A67">
      <w:pPr>
        <w:spacing w:after="0"/>
        <w:jc w:val="both"/>
        <w:rPr>
          <w:rFonts w:ascii="Book Antiqua" w:hAnsi="Book Antiqua"/>
        </w:rPr>
      </w:pPr>
    </w:p>
    <w:p w14:paraId="599AD041" w14:textId="77777777" w:rsidR="000B7A67" w:rsidRDefault="000B7A67" w:rsidP="000B7A67">
      <w:pPr>
        <w:jc w:val="both"/>
        <w:rPr>
          <w:lang w:eastAsia="ko-KR"/>
        </w:rPr>
      </w:pPr>
      <w:r>
        <w:rPr>
          <w:rFonts w:ascii="Book Antiqua" w:hAnsi="Book Antiqua"/>
          <w:sz w:val="24"/>
          <w:szCs w:val="24"/>
        </w:rPr>
        <w:t xml:space="preserve">En el informe 277-PLA-PP-2023, se dirigió una recomendación a la </w:t>
      </w:r>
      <w:r w:rsidRPr="00AF40B3">
        <w:rPr>
          <w:rFonts w:ascii="Book Antiqua" w:hAnsi="Book Antiqua"/>
          <w:b/>
          <w:bCs/>
          <w:sz w:val="24"/>
          <w:szCs w:val="24"/>
        </w:rPr>
        <w:t>Dirección Ejecutiva</w:t>
      </w:r>
      <w:r>
        <w:rPr>
          <w:rFonts w:ascii="Book Antiqua" w:eastAsia="Wingdings" w:hAnsi="Book Antiqua"/>
          <w:b/>
          <w:bCs/>
          <w:lang w:eastAsia="ko-KR"/>
        </w:rPr>
        <w:t>,</w:t>
      </w:r>
      <w:r>
        <w:rPr>
          <w:rFonts w:ascii="Book Antiqua" w:hAnsi="Book Antiqua"/>
          <w:sz w:val="24"/>
          <w:szCs w:val="24"/>
        </w:rPr>
        <w:t xml:space="preserve"> debido a que existían proyectos con gestiones pendientes de atender o nuevas recomendaciones, por lo anterior se realizaron las siguientes:</w:t>
      </w:r>
    </w:p>
    <w:p w14:paraId="23343697" w14:textId="77777777" w:rsidR="000B7A67" w:rsidRDefault="000B7A67" w:rsidP="000B7A67">
      <w:pPr>
        <w:jc w:val="both"/>
        <w:rPr>
          <w:rFonts w:ascii="Book Antiqua" w:hAnsi="Book Antiqua"/>
          <w:i/>
          <w:iCs/>
          <w:sz w:val="24"/>
          <w:szCs w:val="24"/>
        </w:rPr>
      </w:pPr>
      <w:r>
        <w:rPr>
          <w:rFonts w:ascii="Book Antiqua" w:hAnsi="Book Antiqua"/>
          <w:sz w:val="24"/>
          <w:szCs w:val="24"/>
        </w:rPr>
        <w:t>“</w:t>
      </w:r>
      <w:r w:rsidRPr="00C6002A">
        <w:rPr>
          <w:rFonts w:ascii="Book Antiqua" w:hAnsi="Book Antiqua"/>
          <w:b/>
          <w:bCs/>
          <w:sz w:val="24"/>
          <w:szCs w:val="24"/>
        </w:rPr>
        <w:t xml:space="preserve">2.14.) </w:t>
      </w:r>
      <w:r w:rsidRPr="00C6002A">
        <w:rPr>
          <w:rFonts w:ascii="Book Antiqua" w:hAnsi="Book Antiqua"/>
          <w:i/>
          <w:iCs/>
          <w:sz w:val="24"/>
          <w:szCs w:val="24"/>
        </w:rPr>
        <w:t>La Dirección Ejecutiva deberá: a.) A más tardar el 28 de abril del 2023, cargar en el sitio de proyecto la atención de las siguientes recomendaciones que se detallan en la tabla que se incorpora en el presente informe</w:t>
      </w:r>
      <w:r>
        <w:rPr>
          <w:rFonts w:ascii="Book Antiqua" w:hAnsi="Book Antiqua"/>
          <w:i/>
          <w:iCs/>
          <w:sz w:val="24"/>
          <w:szCs w:val="24"/>
        </w:rPr>
        <w:t xml:space="preserve"> b.) Dar seguimiento y verificar que el Departamento Financiero Contable; el Departamento de Proveeduría, la Oficina de Administración II Circuito Judicial de San José; el Departamento de Seguridad, carguen en el sitio de sus respectivos proyectos, a más tardar el 28 de abril del 2023, la atención de la recomendación que se dispone para cada uno de ellos en la respectiva tabla que se incluye en este informe. c.) Verificar que las oficinas líderes que presentan retraso, tomen las medidas pertinentes a fin de poder contrarrestar los atrasos presentados y, cuando no sea posible subsanar los atrasos, se deberá valorar la presentación de una solicitud de cambio en los casos que el retraso afecte la fecha de finalización de los proyectos y que la misma tenga autorización de la persona jefe o del director del proyecto .d.) Revisar y monitorear los proyectos que presentan un retraso significativo, y cuentan con permisos con goce otorgados</w:t>
      </w:r>
      <w:r w:rsidRPr="00C6002A">
        <w:rPr>
          <w:rFonts w:ascii="Book Antiqua" w:hAnsi="Book Antiqua"/>
          <w:i/>
          <w:iCs/>
          <w:sz w:val="24"/>
          <w:szCs w:val="24"/>
        </w:rPr>
        <w:t>.</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500"/>
        <w:gridCol w:w="843"/>
        <w:gridCol w:w="2241"/>
        <w:gridCol w:w="970"/>
        <w:gridCol w:w="2899"/>
      </w:tblGrid>
      <w:tr w:rsidR="00BC00B3" w:rsidRPr="00D70F8D" w14:paraId="5DC2A863" w14:textId="77777777" w:rsidTr="007B19B9">
        <w:trPr>
          <w:trHeight w:val="300"/>
          <w:tblHeader/>
        </w:trPr>
        <w:tc>
          <w:tcPr>
            <w:tcW w:w="1470" w:type="dxa"/>
            <w:shd w:val="clear" w:color="000000" w:fill="44546A"/>
            <w:vAlign w:val="center"/>
            <w:hideMark/>
          </w:tcPr>
          <w:p w14:paraId="251F04B1" w14:textId="77777777" w:rsidR="000B7A67" w:rsidRPr="00D70F8D" w:rsidRDefault="000B7A67" w:rsidP="00F400D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 xml:space="preserve">Centro de responsabilidad </w:t>
            </w:r>
          </w:p>
        </w:tc>
        <w:tc>
          <w:tcPr>
            <w:tcW w:w="1500" w:type="dxa"/>
            <w:shd w:val="clear" w:color="000000" w:fill="44546A"/>
            <w:vAlign w:val="center"/>
            <w:hideMark/>
          </w:tcPr>
          <w:p w14:paraId="3203B8DE" w14:textId="77777777" w:rsidR="000B7A67" w:rsidRPr="00D70F8D" w:rsidRDefault="000B7A67" w:rsidP="00F400D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Oficina Líder</w:t>
            </w:r>
          </w:p>
        </w:tc>
        <w:tc>
          <w:tcPr>
            <w:tcW w:w="843" w:type="dxa"/>
            <w:shd w:val="clear" w:color="000000" w:fill="44546A"/>
            <w:vAlign w:val="center"/>
            <w:hideMark/>
          </w:tcPr>
          <w:p w14:paraId="53D7E9D3" w14:textId="77777777" w:rsidR="000B7A67" w:rsidRPr="00D70F8D" w:rsidRDefault="000B7A67" w:rsidP="00F400D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Código</w:t>
            </w:r>
          </w:p>
        </w:tc>
        <w:tc>
          <w:tcPr>
            <w:tcW w:w="2241" w:type="dxa"/>
            <w:shd w:val="clear" w:color="000000" w:fill="44546A"/>
            <w:vAlign w:val="center"/>
            <w:hideMark/>
          </w:tcPr>
          <w:p w14:paraId="1D3220F1" w14:textId="77777777" w:rsidR="000B7A67" w:rsidRPr="00D70F8D" w:rsidRDefault="000B7A67" w:rsidP="00F400D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Nombre</w:t>
            </w:r>
          </w:p>
        </w:tc>
        <w:tc>
          <w:tcPr>
            <w:tcW w:w="970" w:type="dxa"/>
            <w:shd w:val="clear" w:color="000000" w:fill="44546A"/>
            <w:vAlign w:val="center"/>
            <w:hideMark/>
          </w:tcPr>
          <w:p w14:paraId="27267680" w14:textId="77777777" w:rsidR="000B7A67" w:rsidRPr="00D70F8D" w:rsidRDefault="000B7A67" w:rsidP="00F400D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Parte pendiente</w:t>
            </w:r>
          </w:p>
        </w:tc>
        <w:tc>
          <w:tcPr>
            <w:tcW w:w="2899" w:type="dxa"/>
            <w:shd w:val="clear" w:color="000000" w:fill="44546A"/>
            <w:vAlign w:val="center"/>
            <w:hideMark/>
          </w:tcPr>
          <w:p w14:paraId="099CC1C7" w14:textId="77777777" w:rsidR="000B7A67" w:rsidRPr="00D70F8D" w:rsidRDefault="000B7A67" w:rsidP="00F400D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 xml:space="preserve">Detalle </w:t>
            </w:r>
          </w:p>
        </w:tc>
      </w:tr>
      <w:tr w:rsidR="009872F5" w:rsidRPr="00D70F8D" w14:paraId="0839FBCD" w14:textId="77777777" w:rsidTr="007B19B9">
        <w:trPr>
          <w:trHeight w:val="244"/>
        </w:trPr>
        <w:tc>
          <w:tcPr>
            <w:tcW w:w="1470" w:type="dxa"/>
            <w:vMerge w:val="restart"/>
            <w:shd w:val="clear" w:color="auto" w:fill="auto"/>
            <w:vAlign w:val="center"/>
            <w:hideMark/>
          </w:tcPr>
          <w:p w14:paraId="0FC2C78B"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Dirección Ejecutiva</w:t>
            </w:r>
          </w:p>
        </w:tc>
        <w:tc>
          <w:tcPr>
            <w:tcW w:w="1500" w:type="dxa"/>
            <w:vMerge w:val="restart"/>
            <w:shd w:val="clear" w:color="auto" w:fill="auto"/>
            <w:vAlign w:val="center"/>
            <w:hideMark/>
          </w:tcPr>
          <w:p w14:paraId="3E6DD05A"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Times New Roman" w:eastAsia="Times New Roman" w:hAnsi="Times New Roman" w:cs="Times New Roman"/>
                <w:color w:val="000000"/>
                <w:sz w:val="18"/>
                <w:szCs w:val="18"/>
                <w:lang w:eastAsia="es-CR"/>
              </w:rPr>
              <w:t>​</w:t>
            </w:r>
            <w:r w:rsidRPr="00D70F8D">
              <w:rPr>
                <w:rFonts w:ascii="Book Antiqua" w:eastAsia="Times New Roman" w:hAnsi="Book Antiqua" w:cs="Calibri"/>
                <w:color w:val="000000"/>
                <w:sz w:val="18"/>
                <w:szCs w:val="18"/>
                <w:lang w:eastAsia="es-CR"/>
              </w:rPr>
              <w:t>0117 Dirección Ejecutiva</w:t>
            </w:r>
          </w:p>
        </w:tc>
        <w:tc>
          <w:tcPr>
            <w:tcW w:w="843" w:type="dxa"/>
            <w:shd w:val="clear" w:color="auto" w:fill="auto"/>
            <w:vAlign w:val="center"/>
            <w:hideMark/>
          </w:tcPr>
          <w:p w14:paraId="15DED0A8"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0117-DE-P05</w:t>
            </w:r>
          </w:p>
        </w:tc>
        <w:tc>
          <w:tcPr>
            <w:tcW w:w="2241" w:type="dxa"/>
            <w:shd w:val="clear" w:color="auto" w:fill="auto"/>
            <w:vAlign w:val="center"/>
            <w:hideMark/>
          </w:tcPr>
          <w:p w14:paraId="1FF78D35"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Construcción Edificio Circuito Judicial Puntarenas</w:t>
            </w:r>
          </w:p>
        </w:tc>
        <w:tc>
          <w:tcPr>
            <w:tcW w:w="970" w:type="dxa"/>
            <w:shd w:val="clear" w:color="auto" w:fill="auto"/>
            <w:vAlign w:val="center"/>
            <w:hideMark/>
          </w:tcPr>
          <w:p w14:paraId="76F0EB5D"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2.1</w:t>
            </w:r>
          </w:p>
        </w:tc>
        <w:tc>
          <w:tcPr>
            <w:tcW w:w="2899" w:type="dxa"/>
            <w:shd w:val="clear" w:color="auto" w:fill="auto"/>
            <w:vAlign w:val="center"/>
            <w:hideMark/>
          </w:tcPr>
          <w:p w14:paraId="13824912" w14:textId="77777777" w:rsidR="000B7A67" w:rsidRPr="00D70F8D" w:rsidRDefault="000B7A67" w:rsidP="00560831">
            <w:pPr>
              <w:spacing w:after="0" w:line="240" w:lineRule="auto"/>
              <w:jc w:val="both"/>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El informe de avance presentaba incorrecto el porcentaje esperado.</w:t>
            </w:r>
          </w:p>
        </w:tc>
      </w:tr>
      <w:tr w:rsidR="009872F5" w:rsidRPr="00D70F8D" w14:paraId="39EDFF83" w14:textId="77777777" w:rsidTr="007B19B9">
        <w:trPr>
          <w:trHeight w:val="470"/>
        </w:trPr>
        <w:tc>
          <w:tcPr>
            <w:tcW w:w="1470" w:type="dxa"/>
            <w:vMerge/>
            <w:vAlign w:val="center"/>
            <w:hideMark/>
          </w:tcPr>
          <w:p w14:paraId="337DAD28"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1500" w:type="dxa"/>
            <w:vMerge/>
            <w:vAlign w:val="center"/>
            <w:hideMark/>
          </w:tcPr>
          <w:p w14:paraId="7768AE85"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843" w:type="dxa"/>
            <w:shd w:val="clear" w:color="auto" w:fill="auto"/>
            <w:vAlign w:val="center"/>
            <w:hideMark/>
          </w:tcPr>
          <w:p w14:paraId="05FC201A"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0117-DE-P84</w:t>
            </w:r>
          </w:p>
        </w:tc>
        <w:tc>
          <w:tcPr>
            <w:tcW w:w="2241" w:type="dxa"/>
            <w:shd w:val="clear" w:color="auto" w:fill="auto"/>
            <w:vAlign w:val="center"/>
            <w:hideMark/>
          </w:tcPr>
          <w:p w14:paraId="34683B9F"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Adquisición Propiedad Sala Constitucional</w:t>
            </w:r>
          </w:p>
        </w:tc>
        <w:tc>
          <w:tcPr>
            <w:tcW w:w="970" w:type="dxa"/>
            <w:shd w:val="clear" w:color="auto" w:fill="auto"/>
            <w:vAlign w:val="center"/>
            <w:hideMark/>
          </w:tcPr>
          <w:p w14:paraId="1DC402C1"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2.1</w:t>
            </w:r>
          </w:p>
        </w:tc>
        <w:tc>
          <w:tcPr>
            <w:tcW w:w="2899" w:type="dxa"/>
            <w:shd w:val="clear" w:color="auto" w:fill="auto"/>
            <w:vAlign w:val="center"/>
            <w:hideMark/>
          </w:tcPr>
          <w:p w14:paraId="03AA5E3D" w14:textId="77777777" w:rsidR="000B7A67" w:rsidRPr="00D70F8D" w:rsidRDefault="000B7A67" w:rsidP="00560831">
            <w:pPr>
              <w:spacing w:after="0" w:line="240" w:lineRule="auto"/>
              <w:jc w:val="both"/>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El informe de avance presentaba incorrecto el porcentaje esperado.</w:t>
            </w:r>
          </w:p>
        </w:tc>
      </w:tr>
      <w:tr w:rsidR="009872F5" w:rsidRPr="00D70F8D" w14:paraId="5A04DA97" w14:textId="77777777" w:rsidTr="007B19B9">
        <w:trPr>
          <w:trHeight w:val="1080"/>
        </w:trPr>
        <w:tc>
          <w:tcPr>
            <w:tcW w:w="1470" w:type="dxa"/>
            <w:vMerge/>
            <w:vAlign w:val="center"/>
            <w:hideMark/>
          </w:tcPr>
          <w:p w14:paraId="7A7004A6"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1500" w:type="dxa"/>
            <w:vMerge/>
            <w:vAlign w:val="center"/>
            <w:hideMark/>
          </w:tcPr>
          <w:p w14:paraId="366F601F"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843" w:type="dxa"/>
            <w:shd w:val="clear" w:color="auto" w:fill="auto"/>
            <w:vAlign w:val="center"/>
            <w:hideMark/>
          </w:tcPr>
          <w:p w14:paraId="69C75D00"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0117-DE-P22</w:t>
            </w:r>
          </w:p>
        </w:tc>
        <w:tc>
          <w:tcPr>
            <w:tcW w:w="2241" w:type="dxa"/>
            <w:shd w:val="clear" w:color="auto" w:fill="auto"/>
            <w:vAlign w:val="center"/>
            <w:hideMark/>
          </w:tcPr>
          <w:p w14:paraId="2047BDBE"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Publicación electrónica del Boletín Judicial, a través del Departamento de Artes Gráficas</w:t>
            </w:r>
          </w:p>
        </w:tc>
        <w:tc>
          <w:tcPr>
            <w:tcW w:w="970" w:type="dxa"/>
            <w:shd w:val="clear" w:color="auto" w:fill="auto"/>
            <w:vAlign w:val="center"/>
            <w:hideMark/>
          </w:tcPr>
          <w:p w14:paraId="7B46D559" w14:textId="77777777" w:rsidR="000B7A67" w:rsidRPr="00D70F8D" w:rsidRDefault="000B7A67" w:rsidP="00F400D6">
            <w:pPr>
              <w:spacing w:after="0" w:line="240" w:lineRule="auto"/>
              <w:jc w:val="center"/>
              <w:rPr>
                <w:rFonts w:ascii="Book Antiqua" w:eastAsia="Times New Roman" w:hAnsi="Book Antiqua" w:cs="Calibri"/>
                <w:sz w:val="18"/>
                <w:szCs w:val="18"/>
                <w:lang w:eastAsia="es-CR"/>
              </w:rPr>
            </w:pPr>
            <w:r w:rsidRPr="00D70F8D">
              <w:rPr>
                <w:rFonts w:ascii="Book Antiqua" w:eastAsia="Times New Roman" w:hAnsi="Book Antiqua" w:cs="Calibri"/>
                <w:sz w:val="18"/>
                <w:szCs w:val="18"/>
                <w:lang w:eastAsia="es-CR"/>
              </w:rPr>
              <w:t>1.18</w:t>
            </w:r>
          </w:p>
        </w:tc>
        <w:tc>
          <w:tcPr>
            <w:tcW w:w="2899" w:type="dxa"/>
            <w:shd w:val="clear" w:color="auto" w:fill="auto"/>
            <w:vAlign w:val="center"/>
            <w:hideMark/>
          </w:tcPr>
          <w:p w14:paraId="6773A16E" w14:textId="77777777" w:rsidR="000B7A67" w:rsidRPr="00D70F8D" w:rsidRDefault="000B7A67" w:rsidP="00560831">
            <w:pPr>
              <w:spacing w:after="0" w:line="240" w:lineRule="auto"/>
              <w:jc w:val="both"/>
              <w:rPr>
                <w:rFonts w:ascii="Book Antiqua" w:eastAsia="Times New Roman" w:hAnsi="Book Antiqua" w:cs="Calibri"/>
                <w:sz w:val="18"/>
                <w:szCs w:val="18"/>
                <w:lang w:eastAsia="es-CR"/>
              </w:rPr>
            </w:pPr>
            <w:r w:rsidRPr="00D70F8D">
              <w:rPr>
                <w:rFonts w:ascii="Book Antiqua" w:eastAsia="Times New Roman" w:hAnsi="Book Antiqua" w:cs="Calibri"/>
                <w:sz w:val="18"/>
                <w:szCs w:val="18"/>
                <w:lang w:eastAsia="es-CR"/>
              </w:rPr>
              <w:t>Pendiente II  y III Informe de avance del 2021, esto debido a que según cronograma el proyecto inicio fase de ejecución en octubre del 2021.</w:t>
            </w:r>
          </w:p>
        </w:tc>
      </w:tr>
      <w:tr w:rsidR="009872F5" w:rsidRPr="00D70F8D" w14:paraId="7340FB4C" w14:textId="77777777" w:rsidTr="007B19B9">
        <w:trPr>
          <w:trHeight w:val="765"/>
        </w:trPr>
        <w:tc>
          <w:tcPr>
            <w:tcW w:w="1470" w:type="dxa"/>
            <w:vMerge/>
            <w:vAlign w:val="center"/>
            <w:hideMark/>
          </w:tcPr>
          <w:p w14:paraId="0742C6B3"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1500" w:type="dxa"/>
            <w:vMerge/>
            <w:vAlign w:val="center"/>
            <w:hideMark/>
          </w:tcPr>
          <w:p w14:paraId="27CD6D76"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843" w:type="dxa"/>
            <w:shd w:val="clear" w:color="auto" w:fill="auto"/>
            <w:vAlign w:val="center"/>
            <w:hideMark/>
          </w:tcPr>
          <w:p w14:paraId="0EED16B2"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0117-DE-P22</w:t>
            </w:r>
          </w:p>
        </w:tc>
        <w:tc>
          <w:tcPr>
            <w:tcW w:w="2241" w:type="dxa"/>
            <w:shd w:val="clear" w:color="auto" w:fill="auto"/>
            <w:vAlign w:val="center"/>
            <w:hideMark/>
          </w:tcPr>
          <w:p w14:paraId="388C6170"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Publicación electrónica del Boletín Judicial, a través del Departamento de Artes Gráficas</w:t>
            </w:r>
          </w:p>
        </w:tc>
        <w:tc>
          <w:tcPr>
            <w:tcW w:w="970" w:type="dxa"/>
            <w:shd w:val="clear" w:color="auto" w:fill="auto"/>
            <w:vAlign w:val="center"/>
            <w:hideMark/>
          </w:tcPr>
          <w:p w14:paraId="7C82D70E"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2.3</w:t>
            </w:r>
          </w:p>
        </w:tc>
        <w:tc>
          <w:tcPr>
            <w:tcW w:w="2899" w:type="dxa"/>
            <w:shd w:val="clear" w:color="auto" w:fill="auto"/>
            <w:vAlign w:val="center"/>
            <w:hideMark/>
          </w:tcPr>
          <w:p w14:paraId="42813E54" w14:textId="77777777" w:rsidR="000B7A67" w:rsidRPr="00D70F8D" w:rsidRDefault="000B7A67" w:rsidP="00560831">
            <w:pPr>
              <w:spacing w:after="0" w:line="240" w:lineRule="auto"/>
              <w:jc w:val="both"/>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Pendiente actualizar acta de constitución y plan de gestión producto de la solicitud de cambio del 1-11-22, 6-12-22, 18-1-23</w:t>
            </w:r>
          </w:p>
        </w:tc>
      </w:tr>
      <w:tr w:rsidR="009872F5" w:rsidRPr="00D70F8D" w14:paraId="768E490E" w14:textId="77777777" w:rsidTr="007B19B9">
        <w:trPr>
          <w:trHeight w:val="205"/>
        </w:trPr>
        <w:tc>
          <w:tcPr>
            <w:tcW w:w="1470" w:type="dxa"/>
            <w:vMerge/>
            <w:vAlign w:val="center"/>
            <w:hideMark/>
          </w:tcPr>
          <w:p w14:paraId="1EF58A33"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1500" w:type="dxa"/>
            <w:vMerge/>
            <w:vAlign w:val="center"/>
            <w:hideMark/>
          </w:tcPr>
          <w:p w14:paraId="4CC3761B"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843" w:type="dxa"/>
            <w:vMerge w:val="restart"/>
            <w:shd w:val="clear" w:color="auto" w:fill="auto"/>
            <w:vAlign w:val="center"/>
            <w:hideMark/>
          </w:tcPr>
          <w:p w14:paraId="0196D0C4"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0117-DE-P49</w:t>
            </w:r>
          </w:p>
        </w:tc>
        <w:tc>
          <w:tcPr>
            <w:tcW w:w="2241" w:type="dxa"/>
            <w:vMerge w:val="restart"/>
            <w:shd w:val="clear" w:color="auto" w:fill="auto"/>
            <w:vAlign w:val="center"/>
            <w:hideMark/>
          </w:tcPr>
          <w:p w14:paraId="11D39259"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Proyecto del Subproceso de Gestión de Continuidad del Servicio</w:t>
            </w:r>
          </w:p>
        </w:tc>
        <w:tc>
          <w:tcPr>
            <w:tcW w:w="970" w:type="dxa"/>
            <w:shd w:val="clear" w:color="auto" w:fill="auto"/>
            <w:vAlign w:val="center"/>
            <w:hideMark/>
          </w:tcPr>
          <w:p w14:paraId="7CA21B13"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2.1</w:t>
            </w:r>
          </w:p>
        </w:tc>
        <w:tc>
          <w:tcPr>
            <w:tcW w:w="2899" w:type="dxa"/>
            <w:shd w:val="clear" w:color="auto" w:fill="auto"/>
            <w:vAlign w:val="center"/>
            <w:hideMark/>
          </w:tcPr>
          <w:p w14:paraId="71F59CD3" w14:textId="77777777" w:rsidR="000B7A67" w:rsidRPr="00D70F8D" w:rsidRDefault="000B7A67" w:rsidP="00560831">
            <w:pPr>
              <w:spacing w:after="0" w:line="240" w:lineRule="auto"/>
              <w:jc w:val="both"/>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El informe de avance presentaba incorrecto el porcentaje esperado.</w:t>
            </w:r>
          </w:p>
        </w:tc>
      </w:tr>
      <w:tr w:rsidR="009872F5" w:rsidRPr="00D70F8D" w14:paraId="3738B347" w14:textId="77777777" w:rsidTr="007B19B9">
        <w:trPr>
          <w:trHeight w:val="810"/>
        </w:trPr>
        <w:tc>
          <w:tcPr>
            <w:tcW w:w="1470" w:type="dxa"/>
            <w:vMerge/>
            <w:vAlign w:val="center"/>
            <w:hideMark/>
          </w:tcPr>
          <w:p w14:paraId="4B958869"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1500" w:type="dxa"/>
            <w:vMerge/>
            <w:vAlign w:val="center"/>
            <w:hideMark/>
          </w:tcPr>
          <w:p w14:paraId="429EF465"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843" w:type="dxa"/>
            <w:vMerge/>
            <w:vAlign w:val="center"/>
            <w:hideMark/>
          </w:tcPr>
          <w:p w14:paraId="67128EC5"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2241" w:type="dxa"/>
            <w:vMerge/>
            <w:vAlign w:val="center"/>
            <w:hideMark/>
          </w:tcPr>
          <w:p w14:paraId="4DFC11BA"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970" w:type="dxa"/>
            <w:shd w:val="clear" w:color="auto" w:fill="auto"/>
            <w:vAlign w:val="center"/>
            <w:hideMark/>
          </w:tcPr>
          <w:p w14:paraId="5A40F791"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2.2</w:t>
            </w:r>
          </w:p>
        </w:tc>
        <w:tc>
          <w:tcPr>
            <w:tcW w:w="2899" w:type="dxa"/>
            <w:shd w:val="clear" w:color="auto" w:fill="auto"/>
            <w:vAlign w:val="center"/>
            <w:hideMark/>
          </w:tcPr>
          <w:p w14:paraId="09665E34" w14:textId="77777777" w:rsidR="000B7A67" w:rsidRPr="00D70F8D" w:rsidRDefault="000B7A67" w:rsidP="00560831">
            <w:pPr>
              <w:spacing w:after="0" w:line="240" w:lineRule="auto"/>
              <w:jc w:val="both"/>
              <w:rPr>
                <w:rFonts w:ascii="Book Antiqua" w:eastAsia="Times New Roman" w:hAnsi="Book Antiqua" w:cs="Calibri"/>
                <w:sz w:val="18"/>
                <w:szCs w:val="18"/>
                <w:lang w:eastAsia="es-CR"/>
              </w:rPr>
            </w:pPr>
            <w:r w:rsidRPr="00D70F8D">
              <w:rPr>
                <w:rFonts w:ascii="Book Antiqua" w:eastAsia="Times New Roman" w:hAnsi="Book Antiqua" w:cs="Calibri"/>
                <w:sz w:val="18"/>
                <w:szCs w:val="18"/>
                <w:lang w:eastAsia="es-CR"/>
              </w:rPr>
              <w:t>Pendiente elaborar solicitud de cambio y realizar ajuste en el cronograma para justificar retraso.</w:t>
            </w:r>
          </w:p>
        </w:tc>
      </w:tr>
      <w:tr w:rsidR="009872F5" w:rsidRPr="00ED41B3" w14:paraId="727E16D0" w14:textId="77777777" w:rsidTr="007B19B9">
        <w:trPr>
          <w:trHeight w:val="1080"/>
        </w:trPr>
        <w:tc>
          <w:tcPr>
            <w:tcW w:w="1470" w:type="dxa"/>
            <w:vMerge w:val="restart"/>
            <w:shd w:val="clear" w:color="auto" w:fill="auto"/>
            <w:vAlign w:val="center"/>
            <w:hideMark/>
          </w:tcPr>
          <w:p w14:paraId="15428216" w14:textId="77777777" w:rsidR="000B7A67" w:rsidRPr="00ED41B3"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lastRenderedPageBreak/>
              <w:t>Dirección Ejecutiva</w:t>
            </w:r>
          </w:p>
        </w:tc>
        <w:tc>
          <w:tcPr>
            <w:tcW w:w="1500" w:type="dxa"/>
            <w:shd w:val="clear" w:color="auto" w:fill="auto"/>
            <w:vAlign w:val="center"/>
            <w:hideMark/>
          </w:tcPr>
          <w:p w14:paraId="338550EC" w14:textId="77777777" w:rsidR="000B7A67" w:rsidRPr="00ED41B3"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 xml:space="preserve">0127 </w:t>
            </w:r>
            <w:r>
              <w:rPr>
                <w:rFonts w:ascii="Book Antiqua" w:eastAsia="Times New Roman" w:hAnsi="Book Antiqua" w:cs="Calibri"/>
                <w:color w:val="000000"/>
                <w:sz w:val="18"/>
                <w:szCs w:val="18"/>
                <w:lang w:eastAsia="es-CR"/>
              </w:rPr>
              <w:t>D</w:t>
            </w:r>
            <w:r w:rsidRPr="00ED41B3">
              <w:rPr>
                <w:rFonts w:ascii="Book Antiqua" w:eastAsia="Times New Roman" w:hAnsi="Book Antiqua" w:cs="Calibri"/>
                <w:color w:val="000000"/>
                <w:sz w:val="18"/>
                <w:szCs w:val="18"/>
                <w:lang w:eastAsia="es-CR"/>
              </w:rPr>
              <w:t xml:space="preserve">epartamento </w:t>
            </w:r>
            <w:r>
              <w:rPr>
                <w:rFonts w:ascii="Book Antiqua" w:eastAsia="Times New Roman" w:hAnsi="Book Antiqua" w:cs="Calibri"/>
                <w:color w:val="000000"/>
                <w:sz w:val="18"/>
                <w:szCs w:val="18"/>
                <w:lang w:eastAsia="es-CR"/>
              </w:rPr>
              <w:t>F</w:t>
            </w:r>
            <w:r w:rsidRPr="00ED41B3">
              <w:rPr>
                <w:rFonts w:ascii="Book Antiqua" w:eastAsia="Times New Roman" w:hAnsi="Book Antiqua" w:cs="Calibri"/>
                <w:color w:val="000000"/>
                <w:sz w:val="18"/>
                <w:szCs w:val="18"/>
                <w:lang w:eastAsia="es-CR"/>
              </w:rPr>
              <w:t xml:space="preserve">inanciero </w:t>
            </w:r>
            <w:r>
              <w:rPr>
                <w:rFonts w:ascii="Book Antiqua" w:eastAsia="Times New Roman" w:hAnsi="Book Antiqua" w:cs="Calibri"/>
                <w:color w:val="000000"/>
                <w:sz w:val="18"/>
                <w:szCs w:val="18"/>
                <w:lang w:eastAsia="es-CR"/>
              </w:rPr>
              <w:t>C</w:t>
            </w:r>
            <w:r w:rsidRPr="00ED41B3">
              <w:rPr>
                <w:rFonts w:ascii="Book Antiqua" w:eastAsia="Times New Roman" w:hAnsi="Book Antiqua" w:cs="Calibri"/>
                <w:color w:val="000000"/>
                <w:sz w:val="18"/>
                <w:szCs w:val="18"/>
                <w:lang w:eastAsia="es-CR"/>
              </w:rPr>
              <w:t>ontable</w:t>
            </w:r>
          </w:p>
        </w:tc>
        <w:tc>
          <w:tcPr>
            <w:tcW w:w="843" w:type="dxa"/>
            <w:shd w:val="clear" w:color="auto" w:fill="auto"/>
            <w:vAlign w:val="center"/>
            <w:hideMark/>
          </w:tcPr>
          <w:p w14:paraId="1C7E39CA" w14:textId="77777777" w:rsidR="000B7A67" w:rsidRPr="00ED41B3"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0117-DE-P20</w:t>
            </w:r>
          </w:p>
        </w:tc>
        <w:tc>
          <w:tcPr>
            <w:tcW w:w="2241" w:type="dxa"/>
            <w:shd w:val="clear" w:color="auto" w:fill="auto"/>
            <w:vAlign w:val="center"/>
            <w:hideMark/>
          </w:tcPr>
          <w:p w14:paraId="317BBBDF" w14:textId="77777777" w:rsidR="000B7A67" w:rsidRPr="00ED41B3"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Abordaje de los requerimientos emitidos por la Superintendencia de Pensiones al Fondo de Jubilaciones del Poder Judicial y Pensiones</w:t>
            </w:r>
          </w:p>
        </w:tc>
        <w:tc>
          <w:tcPr>
            <w:tcW w:w="970" w:type="dxa"/>
            <w:shd w:val="clear" w:color="auto" w:fill="auto"/>
            <w:vAlign w:val="center"/>
            <w:hideMark/>
          </w:tcPr>
          <w:p w14:paraId="72E32A68" w14:textId="77777777" w:rsidR="000B7A67" w:rsidRPr="00ED41B3"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2.4</w:t>
            </w:r>
          </w:p>
        </w:tc>
        <w:tc>
          <w:tcPr>
            <w:tcW w:w="2899" w:type="dxa"/>
            <w:shd w:val="clear" w:color="auto" w:fill="auto"/>
            <w:vAlign w:val="center"/>
            <w:hideMark/>
          </w:tcPr>
          <w:p w14:paraId="0FDED42A" w14:textId="77777777" w:rsidR="000B7A67" w:rsidRPr="00ED41B3" w:rsidRDefault="000B7A67" w:rsidP="00560831">
            <w:pPr>
              <w:spacing w:after="0" w:line="240" w:lineRule="auto"/>
              <w:jc w:val="both"/>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Pendiente aprobación del informe de cierre por parte del patrocinador</w:t>
            </w:r>
          </w:p>
        </w:tc>
      </w:tr>
      <w:tr w:rsidR="009872F5" w:rsidRPr="00ED41B3" w14:paraId="4053F808" w14:textId="77777777" w:rsidTr="007B19B9">
        <w:trPr>
          <w:trHeight w:val="1286"/>
        </w:trPr>
        <w:tc>
          <w:tcPr>
            <w:tcW w:w="1470" w:type="dxa"/>
            <w:vMerge/>
            <w:vAlign w:val="center"/>
            <w:hideMark/>
          </w:tcPr>
          <w:p w14:paraId="6A3E154F" w14:textId="77777777" w:rsidR="000B7A67" w:rsidRPr="00ED41B3" w:rsidRDefault="000B7A67" w:rsidP="00F400D6">
            <w:pPr>
              <w:spacing w:after="0" w:line="240" w:lineRule="auto"/>
              <w:rPr>
                <w:rFonts w:ascii="Book Antiqua" w:eastAsia="Times New Roman" w:hAnsi="Book Antiqua" w:cs="Calibri"/>
                <w:color w:val="000000"/>
                <w:sz w:val="18"/>
                <w:szCs w:val="18"/>
                <w:lang w:eastAsia="es-CR"/>
              </w:rPr>
            </w:pPr>
          </w:p>
        </w:tc>
        <w:tc>
          <w:tcPr>
            <w:tcW w:w="1500" w:type="dxa"/>
            <w:shd w:val="clear" w:color="auto" w:fill="auto"/>
            <w:vAlign w:val="center"/>
            <w:hideMark/>
          </w:tcPr>
          <w:p w14:paraId="6AC45954" w14:textId="77777777" w:rsidR="000B7A67" w:rsidRPr="00ED41B3"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 xml:space="preserve">0129 </w:t>
            </w:r>
            <w:r>
              <w:rPr>
                <w:rFonts w:ascii="Book Antiqua" w:eastAsia="Times New Roman" w:hAnsi="Book Antiqua" w:cs="Calibri"/>
                <w:color w:val="000000"/>
                <w:sz w:val="18"/>
                <w:szCs w:val="18"/>
                <w:lang w:eastAsia="es-CR"/>
              </w:rPr>
              <w:t>S</w:t>
            </w:r>
            <w:r w:rsidRPr="00ED41B3">
              <w:rPr>
                <w:rFonts w:ascii="Book Antiqua" w:eastAsia="Times New Roman" w:hAnsi="Book Antiqua" w:cs="Calibri"/>
                <w:color w:val="000000"/>
                <w:sz w:val="18"/>
                <w:szCs w:val="18"/>
                <w:lang w:eastAsia="es-CR"/>
              </w:rPr>
              <w:t xml:space="preserve">ección de </w:t>
            </w:r>
            <w:r>
              <w:rPr>
                <w:rFonts w:ascii="Book Antiqua" w:eastAsia="Times New Roman" w:hAnsi="Book Antiqua" w:cs="Calibri"/>
                <w:color w:val="000000"/>
                <w:sz w:val="18"/>
                <w:szCs w:val="18"/>
                <w:lang w:eastAsia="es-CR"/>
              </w:rPr>
              <w:t>C</w:t>
            </w:r>
            <w:r w:rsidRPr="00ED41B3">
              <w:rPr>
                <w:rFonts w:ascii="Book Antiqua" w:eastAsia="Times New Roman" w:hAnsi="Book Antiqua" w:cs="Calibri"/>
                <w:color w:val="000000"/>
                <w:sz w:val="18"/>
                <w:szCs w:val="18"/>
                <w:lang w:eastAsia="es-CR"/>
              </w:rPr>
              <w:t>ontabilidad</w:t>
            </w:r>
          </w:p>
        </w:tc>
        <w:tc>
          <w:tcPr>
            <w:tcW w:w="843" w:type="dxa"/>
            <w:shd w:val="clear" w:color="auto" w:fill="auto"/>
            <w:vAlign w:val="center"/>
            <w:hideMark/>
          </w:tcPr>
          <w:p w14:paraId="09A3DF5C" w14:textId="77777777" w:rsidR="000B7A67" w:rsidRPr="00ED41B3"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0117-DE-P30</w:t>
            </w:r>
          </w:p>
        </w:tc>
        <w:tc>
          <w:tcPr>
            <w:tcW w:w="2241" w:type="dxa"/>
            <w:shd w:val="clear" w:color="auto" w:fill="auto"/>
            <w:vAlign w:val="center"/>
            <w:hideMark/>
          </w:tcPr>
          <w:p w14:paraId="6EBC78DA" w14:textId="77777777" w:rsidR="000B7A67" w:rsidRPr="00ED41B3"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Análisis y aplicación de las disposiciones emitidas por la CGR, en informe DFOE-GOB-IF-00009-2021, de acuerdo a la implementación de las NICSP en el Poder Judicial</w:t>
            </w:r>
          </w:p>
        </w:tc>
        <w:tc>
          <w:tcPr>
            <w:tcW w:w="970" w:type="dxa"/>
            <w:shd w:val="clear" w:color="auto" w:fill="auto"/>
            <w:vAlign w:val="center"/>
            <w:hideMark/>
          </w:tcPr>
          <w:p w14:paraId="4F753862" w14:textId="77777777" w:rsidR="000B7A67" w:rsidRPr="00ED41B3"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2.1</w:t>
            </w:r>
          </w:p>
        </w:tc>
        <w:tc>
          <w:tcPr>
            <w:tcW w:w="2899" w:type="dxa"/>
            <w:shd w:val="clear" w:color="auto" w:fill="auto"/>
            <w:vAlign w:val="center"/>
            <w:hideMark/>
          </w:tcPr>
          <w:p w14:paraId="5F00E4BC" w14:textId="77777777" w:rsidR="000B7A67" w:rsidRPr="00ED41B3" w:rsidRDefault="000B7A67" w:rsidP="00560831">
            <w:pPr>
              <w:spacing w:after="0" w:line="240" w:lineRule="auto"/>
              <w:jc w:val="both"/>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El informe de avance presentaba incorrecto el porcentaje real y esperado.</w:t>
            </w:r>
          </w:p>
        </w:tc>
      </w:tr>
      <w:tr w:rsidR="009872F5" w:rsidRPr="00ED41B3" w14:paraId="2B106399" w14:textId="77777777" w:rsidTr="007B19B9">
        <w:trPr>
          <w:trHeight w:val="765"/>
        </w:trPr>
        <w:tc>
          <w:tcPr>
            <w:tcW w:w="1470" w:type="dxa"/>
            <w:vMerge w:val="restart"/>
            <w:shd w:val="clear" w:color="auto" w:fill="auto"/>
            <w:vAlign w:val="center"/>
            <w:hideMark/>
          </w:tcPr>
          <w:p w14:paraId="705F2EC8" w14:textId="77777777" w:rsidR="000B7A67" w:rsidRPr="00ED41B3"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Dirección Ejecutiva</w:t>
            </w:r>
          </w:p>
        </w:tc>
        <w:tc>
          <w:tcPr>
            <w:tcW w:w="1500" w:type="dxa"/>
            <w:vMerge w:val="restart"/>
            <w:shd w:val="clear" w:color="auto" w:fill="auto"/>
            <w:vAlign w:val="center"/>
            <w:hideMark/>
          </w:tcPr>
          <w:p w14:paraId="0E92B3BB" w14:textId="77777777" w:rsidR="000B7A67" w:rsidRPr="00ED41B3"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 xml:space="preserve">0140 </w:t>
            </w:r>
            <w:r>
              <w:rPr>
                <w:rFonts w:ascii="Book Antiqua" w:eastAsia="Times New Roman" w:hAnsi="Book Antiqua" w:cs="Calibri"/>
                <w:color w:val="000000"/>
                <w:sz w:val="18"/>
                <w:szCs w:val="18"/>
                <w:lang w:eastAsia="es-CR"/>
              </w:rPr>
              <w:t>D</w:t>
            </w:r>
            <w:r w:rsidRPr="00ED41B3">
              <w:rPr>
                <w:rFonts w:ascii="Book Antiqua" w:eastAsia="Times New Roman" w:hAnsi="Book Antiqua" w:cs="Calibri"/>
                <w:color w:val="000000"/>
                <w:sz w:val="18"/>
                <w:szCs w:val="18"/>
                <w:lang w:eastAsia="es-CR"/>
              </w:rPr>
              <w:t xml:space="preserve">epartamento de </w:t>
            </w:r>
            <w:r>
              <w:rPr>
                <w:rFonts w:ascii="Book Antiqua" w:eastAsia="Times New Roman" w:hAnsi="Book Antiqua" w:cs="Calibri"/>
                <w:color w:val="000000"/>
                <w:sz w:val="18"/>
                <w:szCs w:val="18"/>
                <w:lang w:eastAsia="es-CR"/>
              </w:rPr>
              <w:t>P</w:t>
            </w:r>
            <w:r w:rsidRPr="00ED41B3">
              <w:rPr>
                <w:rFonts w:ascii="Book Antiqua" w:eastAsia="Times New Roman" w:hAnsi="Book Antiqua" w:cs="Calibri"/>
                <w:color w:val="000000"/>
                <w:sz w:val="18"/>
                <w:szCs w:val="18"/>
                <w:lang w:eastAsia="es-CR"/>
              </w:rPr>
              <w:t>roveeduría</w:t>
            </w:r>
          </w:p>
        </w:tc>
        <w:tc>
          <w:tcPr>
            <w:tcW w:w="843" w:type="dxa"/>
            <w:shd w:val="clear" w:color="auto" w:fill="auto"/>
            <w:vAlign w:val="center"/>
            <w:hideMark/>
          </w:tcPr>
          <w:p w14:paraId="2D05D730" w14:textId="77777777" w:rsidR="000B7A67" w:rsidRPr="00ED41B3"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0117-DE-P14</w:t>
            </w:r>
          </w:p>
        </w:tc>
        <w:tc>
          <w:tcPr>
            <w:tcW w:w="2241" w:type="dxa"/>
            <w:shd w:val="clear" w:color="auto" w:fill="auto"/>
            <w:vAlign w:val="center"/>
            <w:hideMark/>
          </w:tcPr>
          <w:p w14:paraId="541D2680" w14:textId="77777777" w:rsidR="000B7A67" w:rsidRPr="00ED41B3"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Implementación del Sistema de Compras Públicas</w:t>
            </w:r>
          </w:p>
        </w:tc>
        <w:tc>
          <w:tcPr>
            <w:tcW w:w="970" w:type="dxa"/>
            <w:shd w:val="clear" w:color="auto" w:fill="auto"/>
            <w:vAlign w:val="center"/>
            <w:hideMark/>
          </w:tcPr>
          <w:p w14:paraId="7D5AE313" w14:textId="77777777" w:rsidR="000B7A67" w:rsidRPr="00ED41B3"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2.3</w:t>
            </w:r>
          </w:p>
        </w:tc>
        <w:tc>
          <w:tcPr>
            <w:tcW w:w="2899" w:type="dxa"/>
            <w:shd w:val="clear" w:color="auto" w:fill="auto"/>
            <w:vAlign w:val="center"/>
            <w:hideMark/>
          </w:tcPr>
          <w:p w14:paraId="22C6434B" w14:textId="77777777" w:rsidR="000B7A67" w:rsidRPr="00ED41B3" w:rsidRDefault="000B7A67" w:rsidP="00560831">
            <w:pPr>
              <w:spacing w:after="0" w:line="240" w:lineRule="auto"/>
              <w:jc w:val="both"/>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Pendiente actualizar plan de gestión producto de la solicitud de cambio del 24/11/2022</w:t>
            </w:r>
          </w:p>
        </w:tc>
      </w:tr>
      <w:tr w:rsidR="009872F5" w:rsidRPr="00ED41B3" w14:paraId="66F5D7DD" w14:textId="77777777" w:rsidTr="007B19B9">
        <w:trPr>
          <w:trHeight w:val="677"/>
        </w:trPr>
        <w:tc>
          <w:tcPr>
            <w:tcW w:w="1470" w:type="dxa"/>
            <w:vMerge/>
            <w:vAlign w:val="center"/>
            <w:hideMark/>
          </w:tcPr>
          <w:p w14:paraId="2EC9A5C5" w14:textId="77777777" w:rsidR="000B7A67" w:rsidRPr="00ED41B3" w:rsidRDefault="000B7A67" w:rsidP="00F400D6">
            <w:pPr>
              <w:spacing w:after="0" w:line="240" w:lineRule="auto"/>
              <w:rPr>
                <w:rFonts w:ascii="Book Antiqua" w:eastAsia="Times New Roman" w:hAnsi="Book Antiqua" w:cs="Calibri"/>
                <w:color w:val="000000"/>
                <w:sz w:val="18"/>
                <w:szCs w:val="18"/>
                <w:lang w:eastAsia="es-CR"/>
              </w:rPr>
            </w:pPr>
          </w:p>
        </w:tc>
        <w:tc>
          <w:tcPr>
            <w:tcW w:w="1500" w:type="dxa"/>
            <w:vMerge/>
            <w:vAlign w:val="center"/>
            <w:hideMark/>
          </w:tcPr>
          <w:p w14:paraId="08E95175" w14:textId="77777777" w:rsidR="000B7A67" w:rsidRPr="00ED41B3" w:rsidRDefault="000B7A67" w:rsidP="00F400D6">
            <w:pPr>
              <w:spacing w:after="0" w:line="240" w:lineRule="auto"/>
              <w:rPr>
                <w:rFonts w:ascii="Book Antiqua" w:eastAsia="Times New Roman" w:hAnsi="Book Antiqua" w:cs="Calibri"/>
                <w:color w:val="000000"/>
                <w:sz w:val="18"/>
                <w:szCs w:val="18"/>
                <w:lang w:eastAsia="es-CR"/>
              </w:rPr>
            </w:pPr>
          </w:p>
        </w:tc>
        <w:tc>
          <w:tcPr>
            <w:tcW w:w="843" w:type="dxa"/>
            <w:vMerge w:val="restart"/>
            <w:shd w:val="clear" w:color="auto" w:fill="auto"/>
            <w:vAlign w:val="center"/>
            <w:hideMark/>
          </w:tcPr>
          <w:p w14:paraId="79E6B5A4" w14:textId="77777777" w:rsidR="000B7A67" w:rsidRPr="00ED41B3"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0117-DE-P29</w:t>
            </w:r>
          </w:p>
        </w:tc>
        <w:tc>
          <w:tcPr>
            <w:tcW w:w="2241" w:type="dxa"/>
            <w:vMerge w:val="restart"/>
            <w:shd w:val="clear" w:color="auto" w:fill="auto"/>
            <w:vAlign w:val="center"/>
            <w:hideMark/>
          </w:tcPr>
          <w:p w14:paraId="22D34100" w14:textId="77777777" w:rsidR="000B7A67" w:rsidRPr="00ED41B3"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Sistema de Inventario y Materiales de la Proveeduría</w:t>
            </w:r>
          </w:p>
        </w:tc>
        <w:tc>
          <w:tcPr>
            <w:tcW w:w="970" w:type="dxa"/>
            <w:shd w:val="clear" w:color="auto" w:fill="auto"/>
            <w:vAlign w:val="center"/>
            <w:hideMark/>
          </w:tcPr>
          <w:p w14:paraId="1D71708C" w14:textId="77777777" w:rsidR="000B7A67" w:rsidRPr="00ED41B3" w:rsidRDefault="000B7A67" w:rsidP="00F400D6">
            <w:pPr>
              <w:spacing w:after="0" w:line="240" w:lineRule="auto"/>
              <w:jc w:val="center"/>
              <w:rPr>
                <w:rFonts w:ascii="Book Antiqua" w:eastAsia="Times New Roman" w:hAnsi="Book Antiqua" w:cs="Calibri"/>
                <w:sz w:val="18"/>
                <w:szCs w:val="18"/>
                <w:lang w:eastAsia="es-CR"/>
              </w:rPr>
            </w:pPr>
            <w:r w:rsidRPr="00ED41B3">
              <w:rPr>
                <w:rFonts w:ascii="Book Antiqua" w:eastAsia="Times New Roman" w:hAnsi="Book Antiqua" w:cs="Calibri"/>
                <w:sz w:val="18"/>
                <w:szCs w:val="18"/>
                <w:lang w:eastAsia="es-CR"/>
              </w:rPr>
              <w:t>1.19</w:t>
            </w:r>
          </w:p>
        </w:tc>
        <w:tc>
          <w:tcPr>
            <w:tcW w:w="2899" w:type="dxa"/>
            <w:shd w:val="clear" w:color="auto" w:fill="auto"/>
            <w:vAlign w:val="center"/>
            <w:hideMark/>
          </w:tcPr>
          <w:p w14:paraId="23F772A5" w14:textId="77777777" w:rsidR="000B7A67" w:rsidRPr="00ED41B3" w:rsidRDefault="000B7A67" w:rsidP="00560831">
            <w:pPr>
              <w:spacing w:after="0" w:line="240" w:lineRule="auto"/>
              <w:jc w:val="both"/>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Pendiente de actualizar acta de constitución y plan de gestión producto de la solicitud de cambio.</w:t>
            </w:r>
          </w:p>
        </w:tc>
      </w:tr>
      <w:tr w:rsidR="009872F5" w:rsidRPr="00ED41B3" w14:paraId="1CDCB693" w14:textId="77777777" w:rsidTr="007B19B9">
        <w:trPr>
          <w:trHeight w:val="600"/>
        </w:trPr>
        <w:tc>
          <w:tcPr>
            <w:tcW w:w="1470" w:type="dxa"/>
            <w:vMerge/>
            <w:vAlign w:val="center"/>
            <w:hideMark/>
          </w:tcPr>
          <w:p w14:paraId="006734C5" w14:textId="77777777" w:rsidR="000B7A67" w:rsidRPr="00ED41B3" w:rsidRDefault="000B7A67" w:rsidP="00F400D6">
            <w:pPr>
              <w:spacing w:after="0" w:line="240" w:lineRule="auto"/>
              <w:rPr>
                <w:rFonts w:ascii="Book Antiqua" w:eastAsia="Times New Roman" w:hAnsi="Book Antiqua" w:cs="Calibri"/>
                <w:color w:val="000000"/>
                <w:sz w:val="18"/>
                <w:szCs w:val="18"/>
                <w:lang w:eastAsia="es-CR"/>
              </w:rPr>
            </w:pPr>
          </w:p>
        </w:tc>
        <w:tc>
          <w:tcPr>
            <w:tcW w:w="1500" w:type="dxa"/>
            <w:vMerge/>
            <w:vAlign w:val="center"/>
            <w:hideMark/>
          </w:tcPr>
          <w:p w14:paraId="12602A3C" w14:textId="77777777" w:rsidR="000B7A67" w:rsidRPr="00ED41B3" w:rsidRDefault="000B7A67" w:rsidP="00F400D6">
            <w:pPr>
              <w:spacing w:after="0" w:line="240" w:lineRule="auto"/>
              <w:rPr>
                <w:rFonts w:ascii="Book Antiqua" w:eastAsia="Times New Roman" w:hAnsi="Book Antiqua" w:cs="Calibri"/>
                <w:color w:val="000000"/>
                <w:sz w:val="18"/>
                <w:szCs w:val="18"/>
                <w:lang w:eastAsia="es-CR"/>
              </w:rPr>
            </w:pPr>
          </w:p>
        </w:tc>
        <w:tc>
          <w:tcPr>
            <w:tcW w:w="843" w:type="dxa"/>
            <w:vMerge/>
            <w:vAlign w:val="center"/>
            <w:hideMark/>
          </w:tcPr>
          <w:p w14:paraId="0E40E9E9" w14:textId="77777777" w:rsidR="000B7A67" w:rsidRPr="00ED41B3" w:rsidRDefault="000B7A67" w:rsidP="00F400D6">
            <w:pPr>
              <w:spacing w:after="0" w:line="240" w:lineRule="auto"/>
              <w:rPr>
                <w:rFonts w:ascii="Book Antiqua" w:eastAsia="Times New Roman" w:hAnsi="Book Antiqua" w:cs="Calibri"/>
                <w:color w:val="000000"/>
                <w:sz w:val="18"/>
                <w:szCs w:val="18"/>
                <w:lang w:eastAsia="es-CR"/>
              </w:rPr>
            </w:pPr>
          </w:p>
        </w:tc>
        <w:tc>
          <w:tcPr>
            <w:tcW w:w="2241" w:type="dxa"/>
            <w:vMerge/>
            <w:vAlign w:val="center"/>
            <w:hideMark/>
          </w:tcPr>
          <w:p w14:paraId="6B5A54A2" w14:textId="77777777" w:rsidR="000B7A67" w:rsidRPr="00ED41B3" w:rsidRDefault="000B7A67" w:rsidP="00F400D6">
            <w:pPr>
              <w:spacing w:after="0" w:line="240" w:lineRule="auto"/>
              <w:rPr>
                <w:rFonts w:ascii="Book Antiqua" w:eastAsia="Times New Roman" w:hAnsi="Book Antiqua" w:cs="Calibri"/>
                <w:color w:val="000000"/>
                <w:sz w:val="18"/>
                <w:szCs w:val="18"/>
                <w:lang w:eastAsia="es-CR"/>
              </w:rPr>
            </w:pPr>
          </w:p>
        </w:tc>
        <w:tc>
          <w:tcPr>
            <w:tcW w:w="970" w:type="dxa"/>
            <w:shd w:val="clear" w:color="auto" w:fill="auto"/>
            <w:vAlign w:val="center"/>
            <w:hideMark/>
          </w:tcPr>
          <w:p w14:paraId="036DB7B5" w14:textId="77777777" w:rsidR="000B7A67" w:rsidRPr="00ED41B3"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2.1</w:t>
            </w:r>
          </w:p>
        </w:tc>
        <w:tc>
          <w:tcPr>
            <w:tcW w:w="2899" w:type="dxa"/>
            <w:shd w:val="clear" w:color="auto" w:fill="auto"/>
            <w:vAlign w:val="center"/>
            <w:hideMark/>
          </w:tcPr>
          <w:p w14:paraId="232D532D" w14:textId="77777777" w:rsidR="000B7A67" w:rsidRPr="00ED41B3" w:rsidRDefault="000B7A67" w:rsidP="00560831">
            <w:pPr>
              <w:spacing w:after="0" w:line="240" w:lineRule="auto"/>
              <w:jc w:val="both"/>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El informe de avance presentaba incorrecto el porcentaje real.</w:t>
            </w:r>
          </w:p>
        </w:tc>
      </w:tr>
      <w:tr w:rsidR="009872F5" w:rsidRPr="00ED41B3" w14:paraId="6700FE2F" w14:textId="77777777" w:rsidTr="007B19B9">
        <w:trPr>
          <w:trHeight w:val="498"/>
        </w:trPr>
        <w:tc>
          <w:tcPr>
            <w:tcW w:w="1470" w:type="dxa"/>
            <w:vMerge/>
            <w:vAlign w:val="center"/>
            <w:hideMark/>
          </w:tcPr>
          <w:p w14:paraId="5A54D4FB" w14:textId="77777777" w:rsidR="000B7A67" w:rsidRPr="00ED41B3" w:rsidRDefault="000B7A67" w:rsidP="00F400D6">
            <w:pPr>
              <w:spacing w:after="0" w:line="240" w:lineRule="auto"/>
              <w:rPr>
                <w:rFonts w:ascii="Book Antiqua" w:eastAsia="Times New Roman" w:hAnsi="Book Antiqua" w:cs="Calibri"/>
                <w:color w:val="000000"/>
                <w:sz w:val="18"/>
                <w:szCs w:val="18"/>
                <w:lang w:eastAsia="es-CR"/>
              </w:rPr>
            </w:pPr>
          </w:p>
        </w:tc>
        <w:tc>
          <w:tcPr>
            <w:tcW w:w="1500" w:type="dxa"/>
            <w:vMerge/>
            <w:vAlign w:val="center"/>
            <w:hideMark/>
          </w:tcPr>
          <w:p w14:paraId="037B8824" w14:textId="77777777" w:rsidR="000B7A67" w:rsidRPr="00ED41B3" w:rsidRDefault="000B7A67" w:rsidP="00F400D6">
            <w:pPr>
              <w:spacing w:after="0" w:line="240" w:lineRule="auto"/>
              <w:rPr>
                <w:rFonts w:ascii="Book Antiqua" w:eastAsia="Times New Roman" w:hAnsi="Book Antiqua" w:cs="Calibri"/>
                <w:color w:val="000000"/>
                <w:sz w:val="18"/>
                <w:szCs w:val="18"/>
                <w:lang w:eastAsia="es-CR"/>
              </w:rPr>
            </w:pPr>
          </w:p>
        </w:tc>
        <w:tc>
          <w:tcPr>
            <w:tcW w:w="843" w:type="dxa"/>
            <w:vMerge/>
            <w:vAlign w:val="center"/>
            <w:hideMark/>
          </w:tcPr>
          <w:p w14:paraId="35227038" w14:textId="77777777" w:rsidR="000B7A67" w:rsidRPr="00ED41B3" w:rsidRDefault="000B7A67" w:rsidP="00F400D6">
            <w:pPr>
              <w:spacing w:after="0" w:line="240" w:lineRule="auto"/>
              <w:rPr>
                <w:rFonts w:ascii="Book Antiqua" w:eastAsia="Times New Roman" w:hAnsi="Book Antiqua" w:cs="Calibri"/>
                <w:color w:val="000000"/>
                <w:sz w:val="18"/>
                <w:szCs w:val="18"/>
                <w:lang w:eastAsia="es-CR"/>
              </w:rPr>
            </w:pPr>
          </w:p>
        </w:tc>
        <w:tc>
          <w:tcPr>
            <w:tcW w:w="2241" w:type="dxa"/>
            <w:vMerge/>
            <w:vAlign w:val="center"/>
            <w:hideMark/>
          </w:tcPr>
          <w:p w14:paraId="0537F574" w14:textId="77777777" w:rsidR="000B7A67" w:rsidRPr="00ED41B3" w:rsidRDefault="000B7A67" w:rsidP="00F400D6">
            <w:pPr>
              <w:spacing w:after="0" w:line="240" w:lineRule="auto"/>
              <w:rPr>
                <w:rFonts w:ascii="Book Antiqua" w:eastAsia="Times New Roman" w:hAnsi="Book Antiqua" w:cs="Calibri"/>
                <w:color w:val="000000"/>
                <w:sz w:val="18"/>
                <w:szCs w:val="18"/>
                <w:lang w:eastAsia="es-CR"/>
              </w:rPr>
            </w:pPr>
          </w:p>
        </w:tc>
        <w:tc>
          <w:tcPr>
            <w:tcW w:w="970" w:type="dxa"/>
            <w:shd w:val="clear" w:color="auto" w:fill="auto"/>
            <w:vAlign w:val="center"/>
            <w:hideMark/>
          </w:tcPr>
          <w:p w14:paraId="4ED02633" w14:textId="77777777" w:rsidR="000B7A67" w:rsidRPr="00ED41B3"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2.2</w:t>
            </w:r>
          </w:p>
        </w:tc>
        <w:tc>
          <w:tcPr>
            <w:tcW w:w="2899" w:type="dxa"/>
            <w:shd w:val="clear" w:color="auto" w:fill="auto"/>
            <w:vAlign w:val="center"/>
            <w:hideMark/>
          </w:tcPr>
          <w:p w14:paraId="2256622C" w14:textId="77777777" w:rsidR="000B7A67" w:rsidRPr="00ED41B3" w:rsidRDefault="000B7A67" w:rsidP="00560831">
            <w:pPr>
              <w:spacing w:after="0" w:line="240" w:lineRule="auto"/>
              <w:jc w:val="both"/>
              <w:rPr>
                <w:rFonts w:ascii="Book Antiqua" w:eastAsia="Times New Roman" w:hAnsi="Book Antiqua" w:cs="Calibri"/>
                <w:sz w:val="18"/>
                <w:szCs w:val="18"/>
                <w:lang w:eastAsia="es-CR"/>
              </w:rPr>
            </w:pPr>
            <w:r w:rsidRPr="00ED41B3">
              <w:rPr>
                <w:rFonts w:ascii="Book Antiqua" w:eastAsia="Times New Roman" w:hAnsi="Book Antiqua" w:cs="Calibri"/>
                <w:sz w:val="18"/>
                <w:szCs w:val="18"/>
                <w:lang w:eastAsia="es-CR"/>
              </w:rPr>
              <w:t>Pendiente elaborar solicitud de cambio y realizar ajuste en el cronograma para justificar retraso.</w:t>
            </w:r>
          </w:p>
        </w:tc>
      </w:tr>
      <w:tr w:rsidR="009872F5" w:rsidRPr="00ED41B3" w14:paraId="654DBC99" w14:textId="77777777" w:rsidTr="007B19B9">
        <w:trPr>
          <w:trHeight w:val="765"/>
        </w:trPr>
        <w:tc>
          <w:tcPr>
            <w:tcW w:w="1470" w:type="dxa"/>
            <w:vMerge/>
            <w:vAlign w:val="center"/>
            <w:hideMark/>
          </w:tcPr>
          <w:p w14:paraId="2C2446DD" w14:textId="77777777" w:rsidR="000B7A67" w:rsidRPr="00ED41B3" w:rsidRDefault="000B7A67" w:rsidP="00F400D6">
            <w:pPr>
              <w:spacing w:after="0" w:line="240" w:lineRule="auto"/>
              <w:rPr>
                <w:rFonts w:ascii="Book Antiqua" w:eastAsia="Times New Roman" w:hAnsi="Book Antiqua" w:cs="Calibri"/>
                <w:color w:val="000000"/>
                <w:sz w:val="18"/>
                <w:szCs w:val="18"/>
                <w:lang w:eastAsia="es-CR"/>
              </w:rPr>
            </w:pPr>
          </w:p>
        </w:tc>
        <w:tc>
          <w:tcPr>
            <w:tcW w:w="1500" w:type="dxa"/>
            <w:vMerge/>
            <w:vAlign w:val="center"/>
            <w:hideMark/>
          </w:tcPr>
          <w:p w14:paraId="06BF5472" w14:textId="77777777" w:rsidR="000B7A67" w:rsidRPr="00ED41B3" w:rsidRDefault="000B7A67" w:rsidP="00F400D6">
            <w:pPr>
              <w:spacing w:after="0" w:line="240" w:lineRule="auto"/>
              <w:rPr>
                <w:rFonts w:ascii="Book Antiqua" w:eastAsia="Times New Roman" w:hAnsi="Book Antiqua" w:cs="Calibri"/>
                <w:color w:val="000000"/>
                <w:sz w:val="18"/>
                <w:szCs w:val="18"/>
                <w:lang w:eastAsia="es-CR"/>
              </w:rPr>
            </w:pPr>
          </w:p>
        </w:tc>
        <w:tc>
          <w:tcPr>
            <w:tcW w:w="843" w:type="dxa"/>
            <w:vMerge/>
            <w:vAlign w:val="center"/>
            <w:hideMark/>
          </w:tcPr>
          <w:p w14:paraId="751749D1" w14:textId="77777777" w:rsidR="000B7A67" w:rsidRPr="00ED41B3" w:rsidRDefault="000B7A67" w:rsidP="00F400D6">
            <w:pPr>
              <w:spacing w:after="0" w:line="240" w:lineRule="auto"/>
              <w:rPr>
                <w:rFonts w:ascii="Book Antiqua" w:eastAsia="Times New Roman" w:hAnsi="Book Antiqua" w:cs="Calibri"/>
                <w:color w:val="000000"/>
                <w:sz w:val="18"/>
                <w:szCs w:val="18"/>
                <w:lang w:eastAsia="es-CR"/>
              </w:rPr>
            </w:pPr>
          </w:p>
        </w:tc>
        <w:tc>
          <w:tcPr>
            <w:tcW w:w="2241" w:type="dxa"/>
            <w:vMerge/>
            <w:vAlign w:val="center"/>
            <w:hideMark/>
          </w:tcPr>
          <w:p w14:paraId="1977BDCE" w14:textId="77777777" w:rsidR="000B7A67" w:rsidRPr="00ED41B3" w:rsidRDefault="000B7A67" w:rsidP="00F400D6">
            <w:pPr>
              <w:spacing w:after="0" w:line="240" w:lineRule="auto"/>
              <w:rPr>
                <w:rFonts w:ascii="Book Antiqua" w:eastAsia="Times New Roman" w:hAnsi="Book Antiqua" w:cs="Calibri"/>
                <w:color w:val="000000"/>
                <w:sz w:val="18"/>
                <w:szCs w:val="18"/>
                <w:lang w:eastAsia="es-CR"/>
              </w:rPr>
            </w:pPr>
          </w:p>
        </w:tc>
        <w:tc>
          <w:tcPr>
            <w:tcW w:w="970" w:type="dxa"/>
            <w:shd w:val="clear" w:color="auto" w:fill="auto"/>
            <w:vAlign w:val="center"/>
            <w:hideMark/>
          </w:tcPr>
          <w:p w14:paraId="21B94A73" w14:textId="77777777" w:rsidR="000B7A67" w:rsidRPr="00ED41B3"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2.3</w:t>
            </w:r>
          </w:p>
        </w:tc>
        <w:tc>
          <w:tcPr>
            <w:tcW w:w="2899" w:type="dxa"/>
            <w:shd w:val="clear" w:color="auto" w:fill="auto"/>
            <w:vAlign w:val="center"/>
            <w:hideMark/>
          </w:tcPr>
          <w:p w14:paraId="5C69E39C" w14:textId="77777777" w:rsidR="000B7A67" w:rsidRPr="00ED41B3" w:rsidRDefault="000B7A67" w:rsidP="00560831">
            <w:pPr>
              <w:spacing w:after="0" w:line="240" w:lineRule="auto"/>
              <w:jc w:val="both"/>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Pendiente actualizar acta de constitución y plan de gestión producto de la solicitud de cambio del 15-9-22</w:t>
            </w:r>
          </w:p>
        </w:tc>
      </w:tr>
      <w:tr w:rsidR="009872F5" w:rsidRPr="00ED41B3" w14:paraId="4E944A58" w14:textId="77777777" w:rsidTr="007B19B9">
        <w:trPr>
          <w:trHeight w:val="745"/>
        </w:trPr>
        <w:tc>
          <w:tcPr>
            <w:tcW w:w="1470" w:type="dxa"/>
            <w:vMerge/>
            <w:vAlign w:val="center"/>
            <w:hideMark/>
          </w:tcPr>
          <w:p w14:paraId="72492D1E" w14:textId="77777777" w:rsidR="000B7A67" w:rsidRPr="00ED41B3" w:rsidRDefault="000B7A67" w:rsidP="00F400D6">
            <w:pPr>
              <w:spacing w:after="0" w:line="240" w:lineRule="auto"/>
              <w:rPr>
                <w:rFonts w:ascii="Book Antiqua" w:eastAsia="Times New Roman" w:hAnsi="Book Antiqua" w:cs="Calibri"/>
                <w:color w:val="000000"/>
                <w:sz w:val="18"/>
                <w:szCs w:val="18"/>
                <w:lang w:eastAsia="es-CR"/>
              </w:rPr>
            </w:pPr>
          </w:p>
        </w:tc>
        <w:tc>
          <w:tcPr>
            <w:tcW w:w="1500" w:type="dxa"/>
            <w:shd w:val="clear" w:color="auto" w:fill="auto"/>
            <w:vAlign w:val="center"/>
            <w:hideMark/>
          </w:tcPr>
          <w:p w14:paraId="7C54DB8B" w14:textId="77777777" w:rsidR="000B7A67" w:rsidRPr="00ED41B3"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0140 Departamento de Proveeduría / 1331 Dirección Jurídica</w:t>
            </w:r>
          </w:p>
        </w:tc>
        <w:tc>
          <w:tcPr>
            <w:tcW w:w="843" w:type="dxa"/>
            <w:shd w:val="clear" w:color="auto" w:fill="auto"/>
            <w:vAlign w:val="center"/>
            <w:hideMark/>
          </w:tcPr>
          <w:p w14:paraId="5E77693E" w14:textId="77777777" w:rsidR="000B7A67" w:rsidRPr="00ED41B3"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0117-DE-P31</w:t>
            </w:r>
          </w:p>
        </w:tc>
        <w:tc>
          <w:tcPr>
            <w:tcW w:w="2241" w:type="dxa"/>
            <w:shd w:val="clear" w:color="auto" w:fill="auto"/>
            <w:vAlign w:val="center"/>
            <w:hideMark/>
          </w:tcPr>
          <w:p w14:paraId="260D5235" w14:textId="77777777" w:rsidR="000B7A67" w:rsidRPr="00ED41B3"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Implementación de acciones de mejora, modificación y adaptación institucional a la nueva Ley N°9986,“Ley General de Contratación Pública”</w:t>
            </w:r>
          </w:p>
        </w:tc>
        <w:tc>
          <w:tcPr>
            <w:tcW w:w="970" w:type="dxa"/>
            <w:shd w:val="clear" w:color="auto" w:fill="auto"/>
            <w:vAlign w:val="center"/>
            <w:hideMark/>
          </w:tcPr>
          <w:p w14:paraId="68177732" w14:textId="77777777" w:rsidR="000B7A67" w:rsidRPr="00ED41B3"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2.1</w:t>
            </w:r>
          </w:p>
        </w:tc>
        <w:tc>
          <w:tcPr>
            <w:tcW w:w="2899" w:type="dxa"/>
            <w:shd w:val="clear" w:color="auto" w:fill="auto"/>
            <w:vAlign w:val="center"/>
            <w:hideMark/>
          </w:tcPr>
          <w:p w14:paraId="67449EFD" w14:textId="77777777" w:rsidR="000B7A67" w:rsidRPr="00ED41B3" w:rsidRDefault="000B7A67" w:rsidP="00560831">
            <w:pPr>
              <w:spacing w:after="0" w:line="240" w:lineRule="auto"/>
              <w:jc w:val="both"/>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El informe de avance presentaba incorrecto el porcentaje real y esperado.</w:t>
            </w:r>
          </w:p>
        </w:tc>
      </w:tr>
      <w:tr w:rsidR="009872F5" w:rsidRPr="00557D98" w14:paraId="309CAFB5" w14:textId="77777777" w:rsidTr="007B19B9">
        <w:trPr>
          <w:trHeight w:val="810"/>
        </w:trPr>
        <w:tc>
          <w:tcPr>
            <w:tcW w:w="1470" w:type="dxa"/>
            <w:vMerge w:val="restart"/>
            <w:shd w:val="clear" w:color="auto" w:fill="auto"/>
            <w:vAlign w:val="center"/>
            <w:hideMark/>
          </w:tcPr>
          <w:p w14:paraId="29F4E42B" w14:textId="77777777" w:rsidR="000B7A67" w:rsidRPr="00557D98" w:rsidRDefault="000B7A67" w:rsidP="00F400D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Dirección Ejecutiva</w:t>
            </w:r>
          </w:p>
        </w:tc>
        <w:tc>
          <w:tcPr>
            <w:tcW w:w="1500" w:type="dxa"/>
            <w:vMerge w:val="restart"/>
            <w:shd w:val="clear" w:color="auto" w:fill="auto"/>
            <w:vAlign w:val="center"/>
            <w:hideMark/>
          </w:tcPr>
          <w:p w14:paraId="32E20310" w14:textId="77777777" w:rsidR="000B7A67" w:rsidRPr="00557D98" w:rsidRDefault="000B7A67" w:rsidP="00F400D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0147 Departamento de Seguridad</w:t>
            </w:r>
          </w:p>
        </w:tc>
        <w:tc>
          <w:tcPr>
            <w:tcW w:w="843" w:type="dxa"/>
            <w:vMerge w:val="restart"/>
            <w:shd w:val="clear" w:color="auto" w:fill="auto"/>
            <w:vAlign w:val="center"/>
            <w:hideMark/>
          </w:tcPr>
          <w:p w14:paraId="239C548E" w14:textId="77777777" w:rsidR="000B7A67" w:rsidRPr="00557D98" w:rsidRDefault="000B7A67" w:rsidP="00F400D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0117-DE-P21</w:t>
            </w:r>
          </w:p>
        </w:tc>
        <w:tc>
          <w:tcPr>
            <w:tcW w:w="2241" w:type="dxa"/>
            <w:vMerge w:val="restart"/>
            <w:shd w:val="clear" w:color="auto" w:fill="auto"/>
            <w:vAlign w:val="center"/>
            <w:hideMark/>
          </w:tcPr>
          <w:p w14:paraId="3F6499F6" w14:textId="77777777" w:rsidR="000B7A67" w:rsidRPr="00557D98" w:rsidRDefault="000B7A67" w:rsidP="00F400D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Sistema de Voceo y Comunicación Institucional para la Corte Suprema de Justicia y la de Plaza de la Justicia</w:t>
            </w:r>
          </w:p>
        </w:tc>
        <w:tc>
          <w:tcPr>
            <w:tcW w:w="970" w:type="dxa"/>
            <w:shd w:val="clear" w:color="auto" w:fill="auto"/>
            <w:vAlign w:val="center"/>
            <w:hideMark/>
          </w:tcPr>
          <w:p w14:paraId="11734C0F" w14:textId="77777777" w:rsidR="000B7A67" w:rsidRPr="00557D98" w:rsidRDefault="000B7A67" w:rsidP="00F400D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2.2</w:t>
            </w:r>
          </w:p>
        </w:tc>
        <w:tc>
          <w:tcPr>
            <w:tcW w:w="2899" w:type="dxa"/>
            <w:shd w:val="clear" w:color="auto" w:fill="auto"/>
            <w:vAlign w:val="center"/>
            <w:hideMark/>
          </w:tcPr>
          <w:p w14:paraId="0F399F30" w14:textId="77777777" w:rsidR="000B7A67" w:rsidRPr="00557D98" w:rsidRDefault="000B7A67" w:rsidP="00560831">
            <w:pPr>
              <w:spacing w:after="0" w:line="240" w:lineRule="auto"/>
              <w:jc w:val="both"/>
              <w:rPr>
                <w:rFonts w:ascii="Book Antiqua" w:eastAsia="Times New Roman" w:hAnsi="Book Antiqua" w:cs="Calibri"/>
                <w:sz w:val="18"/>
                <w:szCs w:val="18"/>
                <w:lang w:eastAsia="es-CR"/>
              </w:rPr>
            </w:pPr>
            <w:r w:rsidRPr="00557D98">
              <w:rPr>
                <w:rFonts w:ascii="Book Antiqua" w:eastAsia="Times New Roman" w:hAnsi="Book Antiqua" w:cs="Calibri"/>
                <w:sz w:val="18"/>
                <w:szCs w:val="18"/>
                <w:lang w:eastAsia="es-CR"/>
              </w:rPr>
              <w:t>Pendiente elaborar solicitud de cambio y realizar ajuste en el cronograma para justificar retraso.</w:t>
            </w:r>
          </w:p>
        </w:tc>
      </w:tr>
      <w:tr w:rsidR="009872F5" w:rsidRPr="00557D98" w14:paraId="1BFF2959" w14:textId="77777777" w:rsidTr="007B19B9">
        <w:trPr>
          <w:trHeight w:val="765"/>
        </w:trPr>
        <w:tc>
          <w:tcPr>
            <w:tcW w:w="1470" w:type="dxa"/>
            <w:vMerge/>
            <w:vAlign w:val="center"/>
            <w:hideMark/>
          </w:tcPr>
          <w:p w14:paraId="060D803C" w14:textId="77777777" w:rsidR="000B7A67" w:rsidRPr="00557D98" w:rsidRDefault="000B7A67" w:rsidP="00F400D6">
            <w:pPr>
              <w:spacing w:after="0" w:line="240" w:lineRule="auto"/>
              <w:rPr>
                <w:rFonts w:ascii="Book Antiqua" w:eastAsia="Times New Roman" w:hAnsi="Book Antiqua" w:cs="Calibri"/>
                <w:color w:val="000000"/>
                <w:sz w:val="18"/>
                <w:szCs w:val="18"/>
                <w:lang w:eastAsia="es-CR"/>
              </w:rPr>
            </w:pPr>
          </w:p>
        </w:tc>
        <w:tc>
          <w:tcPr>
            <w:tcW w:w="1500" w:type="dxa"/>
            <w:vMerge/>
            <w:vAlign w:val="center"/>
            <w:hideMark/>
          </w:tcPr>
          <w:p w14:paraId="4EFD2A3B" w14:textId="77777777" w:rsidR="000B7A67" w:rsidRPr="00557D98" w:rsidRDefault="000B7A67" w:rsidP="00F400D6">
            <w:pPr>
              <w:spacing w:after="0" w:line="240" w:lineRule="auto"/>
              <w:rPr>
                <w:rFonts w:ascii="Book Antiqua" w:eastAsia="Times New Roman" w:hAnsi="Book Antiqua" w:cs="Calibri"/>
                <w:color w:val="000000"/>
                <w:sz w:val="18"/>
                <w:szCs w:val="18"/>
                <w:lang w:eastAsia="es-CR"/>
              </w:rPr>
            </w:pPr>
          </w:p>
        </w:tc>
        <w:tc>
          <w:tcPr>
            <w:tcW w:w="843" w:type="dxa"/>
            <w:vMerge/>
            <w:vAlign w:val="center"/>
            <w:hideMark/>
          </w:tcPr>
          <w:p w14:paraId="6149E842" w14:textId="77777777" w:rsidR="000B7A67" w:rsidRPr="00557D98" w:rsidRDefault="000B7A67" w:rsidP="00F400D6">
            <w:pPr>
              <w:spacing w:after="0" w:line="240" w:lineRule="auto"/>
              <w:rPr>
                <w:rFonts w:ascii="Book Antiqua" w:eastAsia="Times New Roman" w:hAnsi="Book Antiqua" w:cs="Calibri"/>
                <w:color w:val="000000"/>
                <w:sz w:val="18"/>
                <w:szCs w:val="18"/>
                <w:lang w:eastAsia="es-CR"/>
              </w:rPr>
            </w:pPr>
          </w:p>
        </w:tc>
        <w:tc>
          <w:tcPr>
            <w:tcW w:w="2241" w:type="dxa"/>
            <w:vMerge/>
            <w:vAlign w:val="center"/>
            <w:hideMark/>
          </w:tcPr>
          <w:p w14:paraId="6B60091C" w14:textId="77777777" w:rsidR="000B7A67" w:rsidRPr="00557D98" w:rsidRDefault="000B7A67" w:rsidP="00F400D6">
            <w:pPr>
              <w:spacing w:after="0" w:line="240" w:lineRule="auto"/>
              <w:rPr>
                <w:rFonts w:ascii="Book Antiqua" w:eastAsia="Times New Roman" w:hAnsi="Book Antiqua" w:cs="Calibri"/>
                <w:color w:val="000000"/>
                <w:sz w:val="18"/>
                <w:szCs w:val="18"/>
                <w:lang w:eastAsia="es-CR"/>
              </w:rPr>
            </w:pPr>
          </w:p>
        </w:tc>
        <w:tc>
          <w:tcPr>
            <w:tcW w:w="970" w:type="dxa"/>
            <w:shd w:val="clear" w:color="auto" w:fill="auto"/>
            <w:vAlign w:val="center"/>
            <w:hideMark/>
          </w:tcPr>
          <w:p w14:paraId="5E4A6EE8" w14:textId="77777777" w:rsidR="000B7A67" w:rsidRPr="00557D98" w:rsidRDefault="000B7A67" w:rsidP="00F400D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2.3</w:t>
            </w:r>
          </w:p>
        </w:tc>
        <w:tc>
          <w:tcPr>
            <w:tcW w:w="2899" w:type="dxa"/>
            <w:shd w:val="clear" w:color="auto" w:fill="auto"/>
            <w:vAlign w:val="center"/>
            <w:hideMark/>
          </w:tcPr>
          <w:p w14:paraId="688D9E4F" w14:textId="77777777" w:rsidR="000B7A67" w:rsidRPr="00557D98" w:rsidRDefault="000B7A67" w:rsidP="00560831">
            <w:pPr>
              <w:spacing w:after="0" w:line="240" w:lineRule="auto"/>
              <w:jc w:val="both"/>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Pendiente actualizar acta de constitución producto de la solicitud de cambio del 31-12-22</w:t>
            </w:r>
          </w:p>
        </w:tc>
      </w:tr>
      <w:tr w:rsidR="007E6FC1" w:rsidRPr="00557D98" w14:paraId="31BCFC5C" w14:textId="77777777" w:rsidTr="007B1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8"/>
        </w:trPr>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26E1FD59" w14:textId="77777777" w:rsidR="000B7A67" w:rsidRPr="00557D98" w:rsidRDefault="000B7A67" w:rsidP="00F400D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Dirección Ejecutiva</w:t>
            </w:r>
          </w:p>
        </w:tc>
        <w:tc>
          <w:tcPr>
            <w:tcW w:w="1500" w:type="dxa"/>
            <w:vMerge w:val="restart"/>
            <w:tcBorders>
              <w:top w:val="nil"/>
              <w:left w:val="single" w:sz="4" w:space="0" w:color="auto"/>
              <w:bottom w:val="single" w:sz="4" w:space="0" w:color="000000"/>
              <w:right w:val="single" w:sz="4" w:space="0" w:color="auto"/>
            </w:tcBorders>
            <w:shd w:val="clear" w:color="auto" w:fill="auto"/>
            <w:vAlign w:val="center"/>
            <w:hideMark/>
          </w:tcPr>
          <w:p w14:paraId="46C0F3C8" w14:textId="77777777" w:rsidR="000B7A67" w:rsidRPr="00557D98" w:rsidRDefault="000B7A67" w:rsidP="00F400D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0176 Oficina de Administración II Cir. Jud. San José</w:t>
            </w:r>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73551F30" w14:textId="77777777" w:rsidR="000B7A67" w:rsidRPr="00557D98" w:rsidRDefault="000B7A67" w:rsidP="00F400D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0117-DE-P23</w:t>
            </w:r>
          </w:p>
        </w:tc>
        <w:tc>
          <w:tcPr>
            <w:tcW w:w="2241" w:type="dxa"/>
            <w:vMerge w:val="restart"/>
            <w:tcBorders>
              <w:top w:val="nil"/>
              <w:left w:val="single" w:sz="4" w:space="0" w:color="auto"/>
              <w:bottom w:val="single" w:sz="4" w:space="0" w:color="000000"/>
              <w:right w:val="single" w:sz="4" w:space="0" w:color="auto"/>
            </w:tcBorders>
            <w:shd w:val="clear" w:color="auto" w:fill="auto"/>
            <w:vAlign w:val="center"/>
            <w:hideMark/>
          </w:tcPr>
          <w:p w14:paraId="239A64FB" w14:textId="77777777" w:rsidR="000B7A67" w:rsidRPr="00557D98" w:rsidRDefault="000B7A67" w:rsidP="00F400D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Sistema de Detección de Incendios en el II Circ Jud San José</w:t>
            </w:r>
          </w:p>
        </w:tc>
        <w:tc>
          <w:tcPr>
            <w:tcW w:w="970" w:type="dxa"/>
            <w:tcBorders>
              <w:top w:val="nil"/>
              <w:left w:val="nil"/>
              <w:bottom w:val="single" w:sz="4" w:space="0" w:color="auto"/>
              <w:right w:val="single" w:sz="4" w:space="0" w:color="auto"/>
            </w:tcBorders>
            <w:shd w:val="clear" w:color="auto" w:fill="auto"/>
            <w:vAlign w:val="center"/>
            <w:hideMark/>
          </w:tcPr>
          <w:p w14:paraId="7520C46D" w14:textId="77777777" w:rsidR="000B7A67" w:rsidRPr="00557D98" w:rsidRDefault="000B7A67" w:rsidP="00F400D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2.1</w:t>
            </w:r>
          </w:p>
        </w:tc>
        <w:tc>
          <w:tcPr>
            <w:tcW w:w="2899" w:type="dxa"/>
            <w:tcBorders>
              <w:top w:val="nil"/>
              <w:left w:val="nil"/>
              <w:bottom w:val="single" w:sz="4" w:space="0" w:color="auto"/>
              <w:right w:val="single" w:sz="4" w:space="0" w:color="auto"/>
            </w:tcBorders>
            <w:shd w:val="clear" w:color="auto" w:fill="auto"/>
            <w:vAlign w:val="center"/>
            <w:hideMark/>
          </w:tcPr>
          <w:p w14:paraId="051C823C" w14:textId="77777777" w:rsidR="000B7A67" w:rsidRPr="00557D98" w:rsidRDefault="000B7A67" w:rsidP="00560831">
            <w:pPr>
              <w:spacing w:after="0" w:line="240" w:lineRule="auto"/>
              <w:jc w:val="both"/>
              <w:rPr>
                <w:rFonts w:ascii="Book Antiqua" w:eastAsia="Times New Roman" w:hAnsi="Book Antiqua" w:cs="Calibri"/>
                <w:sz w:val="18"/>
                <w:szCs w:val="18"/>
                <w:lang w:eastAsia="es-CR"/>
              </w:rPr>
            </w:pPr>
            <w:r w:rsidRPr="00557D98">
              <w:rPr>
                <w:rFonts w:ascii="Book Antiqua" w:eastAsia="Times New Roman" w:hAnsi="Book Antiqua" w:cs="Calibri"/>
                <w:sz w:val="18"/>
                <w:szCs w:val="18"/>
                <w:lang w:eastAsia="es-CR"/>
              </w:rPr>
              <w:t>Pendiente de elaborar el III informe de seguimiento.</w:t>
            </w:r>
          </w:p>
        </w:tc>
      </w:tr>
      <w:tr w:rsidR="007E6FC1" w:rsidRPr="00557D98" w14:paraId="6E00169D" w14:textId="77777777" w:rsidTr="007B1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470" w:type="dxa"/>
            <w:vMerge/>
            <w:tcBorders>
              <w:top w:val="nil"/>
              <w:left w:val="single" w:sz="4" w:space="0" w:color="auto"/>
              <w:bottom w:val="single" w:sz="4" w:space="0" w:color="000000"/>
              <w:right w:val="single" w:sz="4" w:space="0" w:color="auto"/>
            </w:tcBorders>
            <w:vAlign w:val="center"/>
            <w:hideMark/>
          </w:tcPr>
          <w:p w14:paraId="3A2A109E" w14:textId="77777777" w:rsidR="000B7A67" w:rsidRPr="00557D98" w:rsidRDefault="000B7A67" w:rsidP="00F400D6">
            <w:pPr>
              <w:spacing w:after="0" w:line="240" w:lineRule="auto"/>
              <w:rPr>
                <w:rFonts w:ascii="Book Antiqua" w:eastAsia="Times New Roman" w:hAnsi="Book Antiqua" w:cs="Calibri"/>
                <w:color w:val="000000"/>
                <w:sz w:val="18"/>
                <w:szCs w:val="18"/>
                <w:lang w:eastAsia="es-CR"/>
              </w:rPr>
            </w:pPr>
          </w:p>
        </w:tc>
        <w:tc>
          <w:tcPr>
            <w:tcW w:w="1500" w:type="dxa"/>
            <w:vMerge/>
            <w:tcBorders>
              <w:top w:val="nil"/>
              <w:left w:val="single" w:sz="4" w:space="0" w:color="auto"/>
              <w:bottom w:val="single" w:sz="4" w:space="0" w:color="000000"/>
              <w:right w:val="single" w:sz="4" w:space="0" w:color="auto"/>
            </w:tcBorders>
            <w:vAlign w:val="center"/>
            <w:hideMark/>
          </w:tcPr>
          <w:p w14:paraId="7ACC43E7" w14:textId="77777777" w:rsidR="000B7A67" w:rsidRPr="00557D98" w:rsidRDefault="000B7A67" w:rsidP="00F400D6">
            <w:pPr>
              <w:spacing w:after="0" w:line="240" w:lineRule="auto"/>
              <w:rPr>
                <w:rFonts w:ascii="Book Antiqua" w:eastAsia="Times New Roman" w:hAnsi="Book Antiqua" w:cs="Calibri"/>
                <w:color w:val="000000"/>
                <w:sz w:val="18"/>
                <w:szCs w:val="18"/>
                <w:lang w:eastAsia="es-CR"/>
              </w:rPr>
            </w:pPr>
          </w:p>
        </w:tc>
        <w:tc>
          <w:tcPr>
            <w:tcW w:w="843" w:type="dxa"/>
            <w:vMerge/>
            <w:tcBorders>
              <w:top w:val="nil"/>
              <w:left w:val="single" w:sz="4" w:space="0" w:color="auto"/>
              <w:bottom w:val="single" w:sz="4" w:space="0" w:color="000000"/>
              <w:right w:val="single" w:sz="4" w:space="0" w:color="auto"/>
            </w:tcBorders>
            <w:vAlign w:val="center"/>
            <w:hideMark/>
          </w:tcPr>
          <w:p w14:paraId="0955F234" w14:textId="77777777" w:rsidR="000B7A67" w:rsidRPr="00557D98" w:rsidRDefault="000B7A67" w:rsidP="00F400D6">
            <w:pPr>
              <w:spacing w:after="0" w:line="240" w:lineRule="auto"/>
              <w:rPr>
                <w:rFonts w:ascii="Book Antiqua" w:eastAsia="Times New Roman" w:hAnsi="Book Antiqua" w:cs="Calibri"/>
                <w:color w:val="000000"/>
                <w:sz w:val="18"/>
                <w:szCs w:val="18"/>
                <w:lang w:eastAsia="es-CR"/>
              </w:rPr>
            </w:pPr>
          </w:p>
        </w:tc>
        <w:tc>
          <w:tcPr>
            <w:tcW w:w="2241" w:type="dxa"/>
            <w:vMerge/>
            <w:tcBorders>
              <w:top w:val="nil"/>
              <w:left w:val="single" w:sz="4" w:space="0" w:color="auto"/>
              <w:bottom w:val="single" w:sz="4" w:space="0" w:color="000000"/>
              <w:right w:val="single" w:sz="4" w:space="0" w:color="auto"/>
            </w:tcBorders>
            <w:vAlign w:val="center"/>
            <w:hideMark/>
          </w:tcPr>
          <w:p w14:paraId="41395CFA" w14:textId="77777777" w:rsidR="000B7A67" w:rsidRPr="00557D98" w:rsidRDefault="000B7A67" w:rsidP="00F400D6">
            <w:pPr>
              <w:spacing w:after="0" w:line="240" w:lineRule="auto"/>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50B0C37A" w14:textId="77777777" w:rsidR="000B7A67" w:rsidRPr="00557D98" w:rsidRDefault="000B7A67" w:rsidP="00F400D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2.3</w:t>
            </w:r>
          </w:p>
        </w:tc>
        <w:tc>
          <w:tcPr>
            <w:tcW w:w="2899" w:type="dxa"/>
            <w:tcBorders>
              <w:top w:val="nil"/>
              <w:left w:val="nil"/>
              <w:bottom w:val="single" w:sz="4" w:space="0" w:color="auto"/>
              <w:right w:val="single" w:sz="4" w:space="0" w:color="auto"/>
            </w:tcBorders>
            <w:shd w:val="clear" w:color="auto" w:fill="auto"/>
            <w:vAlign w:val="center"/>
            <w:hideMark/>
          </w:tcPr>
          <w:p w14:paraId="2848054D" w14:textId="77777777" w:rsidR="000B7A67" w:rsidRPr="00557D98" w:rsidRDefault="000B7A67" w:rsidP="00560831">
            <w:pPr>
              <w:spacing w:after="0" w:line="240" w:lineRule="auto"/>
              <w:jc w:val="both"/>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Pendiente actualizar acta de constitución y plan de gestión producto de la solicitud de cambio del 29/6/2022, 29/12/2022</w:t>
            </w:r>
          </w:p>
        </w:tc>
      </w:tr>
      <w:tr w:rsidR="007E6FC1" w:rsidRPr="00557D98" w14:paraId="46F9BD5D" w14:textId="77777777" w:rsidTr="007B1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1470" w:type="dxa"/>
            <w:vMerge/>
            <w:tcBorders>
              <w:top w:val="nil"/>
              <w:left w:val="single" w:sz="4" w:space="0" w:color="auto"/>
              <w:bottom w:val="single" w:sz="4" w:space="0" w:color="000000"/>
              <w:right w:val="single" w:sz="4" w:space="0" w:color="auto"/>
            </w:tcBorders>
            <w:vAlign w:val="center"/>
            <w:hideMark/>
          </w:tcPr>
          <w:p w14:paraId="1470755B" w14:textId="77777777" w:rsidR="000B7A67" w:rsidRPr="00557D98" w:rsidRDefault="000B7A67" w:rsidP="00F400D6">
            <w:pPr>
              <w:spacing w:after="0" w:line="240" w:lineRule="auto"/>
              <w:rPr>
                <w:rFonts w:ascii="Book Antiqua" w:eastAsia="Times New Roman" w:hAnsi="Book Antiqua" w:cs="Calibri"/>
                <w:color w:val="000000"/>
                <w:sz w:val="18"/>
                <w:szCs w:val="18"/>
                <w:lang w:eastAsia="es-CR"/>
              </w:rPr>
            </w:pPr>
          </w:p>
        </w:tc>
        <w:tc>
          <w:tcPr>
            <w:tcW w:w="1500" w:type="dxa"/>
            <w:vMerge/>
            <w:tcBorders>
              <w:top w:val="nil"/>
              <w:left w:val="single" w:sz="4" w:space="0" w:color="auto"/>
              <w:bottom w:val="single" w:sz="4" w:space="0" w:color="000000"/>
              <w:right w:val="single" w:sz="4" w:space="0" w:color="auto"/>
            </w:tcBorders>
            <w:vAlign w:val="center"/>
            <w:hideMark/>
          </w:tcPr>
          <w:p w14:paraId="3952E253" w14:textId="77777777" w:rsidR="000B7A67" w:rsidRPr="00557D98" w:rsidRDefault="000B7A67" w:rsidP="00F400D6">
            <w:pPr>
              <w:spacing w:after="0" w:line="240" w:lineRule="auto"/>
              <w:rPr>
                <w:rFonts w:ascii="Book Antiqua" w:eastAsia="Times New Roman" w:hAnsi="Book Antiqua" w:cs="Calibri"/>
                <w:color w:val="000000"/>
                <w:sz w:val="18"/>
                <w:szCs w:val="18"/>
                <w:lang w:eastAsia="es-CR"/>
              </w:rPr>
            </w:pPr>
          </w:p>
        </w:tc>
        <w:tc>
          <w:tcPr>
            <w:tcW w:w="843" w:type="dxa"/>
            <w:tcBorders>
              <w:top w:val="nil"/>
              <w:left w:val="nil"/>
              <w:bottom w:val="single" w:sz="4" w:space="0" w:color="auto"/>
              <w:right w:val="single" w:sz="4" w:space="0" w:color="auto"/>
            </w:tcBorders>
            <w:shd w:val="clear" w:color="auto" w:fill="auto"/>
            <w:vAlign w:val="center"/>
            <w:hideMark/>
          </w:tcPr>
          <w:p w14:paraId="3BC161D2" w14:textId="77777777" w:rsidR="000B7A67" w:rsidRPr="00557D98" w:rsidRDefault="000B7A67" w:rsidP="00F400D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0117-DE-P24</w:t>
            </w:r>
          </w:p>
        </w:tc>
        <w:tc>
          <w:tcPr>
            <w:tcW w:w="2241" w:type="dxa"/>
            <w:tcBorders>
              <w:top w:val="nil"/>
              <w:left w:val="nil"/>
              <w:bottom w:val="single" w:sz="4" w:space="0" w:color="auto"/>
              <w:right w:val="single" w:sz="4" w:space="0" w:color="auto"/>
            </w:tcBorders>
            <w:shd w:val="clear" w:color="auto" w:fill="auto"/>
            <w:vAlign w:val="center"/>
            <w:hideMark/>
          </w:tcPr>
          <w:p w14:paraId="04D27CB3" w14:textId="77777777" w:rsidR="000B7A67" w:rsidRPr="00557D98" w:rsidRDefault="000B7A67" w:rsidP="00F400D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Reacondicionamiento Eléctrico Anexo A del II Circ Jud San José</w:t>
            </w:r>
          </w:p>
        </w:tc>
        <w:tc>
          <w:tcPr>
            <w:tcW w:w="970" w:type="dxa"/>
            <w:tcBorders>
              <w:top w:val="nil"/>
              <w:left w:val="nil"/>
              <w:bottom w:val="single" w:sz="4" w:space="0" w:color="auto"/>
              <w:right w:val="single" w:sz="4" w:space="0" w:color="auto"/>
            </w:tcBorders>
            <w:shd w:val="clear" w:color="auto" w:fill="auto"/>
            <w:vAlign w:val="center"/>
            <w:hideMark/>
          </w:tcPr>
          <w:p w14:paraId="1A06967A" w14:textId="77777777" w:rsidR="000B7A67" w:rsidRPr="00557D98" w:rsidRDefault="000B7A67" w:rsidP="00F400D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2.3</w:t>
            </w:r>
          </w:p>
        </w:tc>
        <w:tc>
          <w:tcPr>
            <w:tcW w:w="2899" w:type="dxa"/>
            <w:tcBorders>
              <w:top w:val="nil"/>
              <w:left w:val="nil"/>
              <w:bottom w:val="single" w:sz="4" w:space="0" w:color="auto"/>
              <w:right w:val="single" w:sz="4" w:space="0" w:color="auto"/>
            </w:tcBorders>
            <w:shd w:val="clear" w:color="auto" w:fill="auto"/>
            <w:vAlign w:val="center"/>
            <w:hideMark/>
          </w:tcPr>
          <w:p w14:paraId="09C789AF" w14:textId="77777777" w:rsidR="000B7A67" w:rsidRPr="00557D98" w:rsidRDefault="000B7A67" w:rsidP="00560831">
            <w:pPr>
              <w:spacing w:after="0" w:line="240" w:lineRule="auto"/>
              <w:jc w:val="both"/>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Pendiente actualizar acta de constitución y plan de gestión producto de la solicitud de cambio del 18/4/22, 29/12/2022, 27/5/22, 7/4/22</w:t>
            </w:r>
          </w:p>
        </w:tc>
      </w:tr>
    </w:tbl>
    <w:p w14:paraId="75E27ADD" w14:textId="3D98D79E" w:rsidR="000B7A67" w:rsidRDefault="000B7A67" w:rsidP="002E6EFE">
      <w:pPr>
        <w:spacing w:after="0"/>
        <w:jc w:val="right"/>
        <w:rPr>
          <w:rFonts w:ascii="Book Antiqua" w:hAnsi="Book Antiqua"/>
        </w:rPr>
      </w:pPr>
      <w:r>
        <w:rPr>
          <w:rFonts w:ascii="Book Antiqua" w:hAnsi="Book Antiqua"/>
        </w:rPr>
        <w:t>“</w:t>
      </w:r>
      <w:r w:rsidR="002E6EFE">
        <w:rPr>
          <w:rFonts w:ascii="Book Antiqua" w:hAnsi="Book Antiqua"/>
        </w:rPr>
        <w:t>.</w:t>
      </w:r>
    </w:p>
    <w:p w14:paraId="0C906793" w14:textId="77777777" w:rsidR="000B7A67" w:rsidRDefault="000B7A67" w:rsidP="000B7A67">
      <w:pPr>
        <w:spacing w:after="0"/>
        <w:jc w:val="both"/>
        <w:rPr>
          <w:rFonts w:ascii="Book Antiqua" w:hAnsi="Book Antiqua"/>
        </w:rPr>
      </w:pPr>
    </w:p>
    <w:p w14:paraId="1AE22C79" w14:textId="77777777" w:rsidR="000B7A67" w:rsidRDefault="000B7A67" w:rsidP="000B7A67">
      <w:pPr>
        <w:spacing w:after="0"/>
        <w:jc w:val="both"/>
        <w:rPr>
          <w:rFonts w:ascii="Book Antiqua" w:hAnsi="Book Antiqua"/>
          <w:sz w:val="24"/>
          <w:szCs w:val="24"/>
        </w:rPr>
      </w:pPr>
      <w:r>
        <w:rPr>
          <w:rFonts w:ascii="Book Antiqua" w:hAnsi="Book Antiqua"/>
          <w:sz w:val="24"/>
          <w:szCs w:val="24"/>
        </w:rPr>
        <w:t>Con la finalidad de dar seguimiento a esta recomendación, se remite correo a las oficinas líderes mediante el oficio 1795</w:t>
      </w:r>
      <w:r w:rsidRPr="004C19A1">
        <w:rPr>
          <w:rFonts w:ascii="Book Antiqua" w:hAnsi="Book Antiqua"/>
          <w:sz w:val="24"/>
          <w:szCs w:val="24"/>
        </w:rPr>
        <w:t>-PLA-PP-TR-2023</w:t>
      </w:r>
      <w:r>
        <w:rPr>
          <w:rFonts w:ascii="Book Antiqua" w:hAnsi="Book Antiqua"/>
          <w:sz w:val="24"/>
          <w:szCs w:val="24"/>
        </w:rPr>
        <w:t>,</w:t>
      </w:r>
      <w:r w:rsidRPr="00B05EFA">
        <w:rPr>
          <w:rFonts w:ascii="Book Antiqua" w:hAnsi="Book Antiqua"/>
          <w:sz w:val="24"/>
          <w:szCs w:val="24"/>
        </w:rPr>
        <w:t xml:space="preserve"> </w:t>
      </w:r>
      <w:r>
        <w:rPr>
          <w:rFonts w:ascii="Book Antiqua" w:hAnsi="Book Antiqua"/>
          <w:sz w:val="24"/>
          <w:szCs w:val="24"/>
        </w:rPr>
        <w:t>1796</w:t>
      </w:r>
      <w:r w:rsidRPr="004C19A1">
        <w:rPr>
          <w:rFonts w:ascii="Book Antiqua" w:hAnsi="Book Antiqua"/>
          <w:sz w:val="24"/>
          <w:szCs w:val="24"/>
        </w:rPr>
        <w:t>-PLA-PP-TR-2023</w:t>
      </w:r>
      <w:r>
        <w:rPr>
          <w:rFonts w:ascii="Book Antiqua" w:hAnsi="Book Antiqua"/>
          <w:sz w:val="24"/>
          <w:szCs w:val="24"/>
        </w:rPr>
        <w:t>,</w:t>
      </w:r>
      <w:r w:rsidRPr="00D9238F">
        <w:rPr>
          <w:rFonts w:ascii="Book Antiqua" w:hAnsi="Book Antiqua"/>
          <w:sz w:val="24"/>
          <w:szCs w:val="24"/>
        </w:rPr>
        <w:t xml:space="preserve"> </w:t>
      </w:r>
      <w:r>
        <w:rPr>
          <w:rFonts w:ascii="Book Antiqua" w:hAnsi="Book Antiqua"/>
          <w:sz w:val="24"/>
          <w:szCs w:val="24"/>
        </w:rPr>
        <w:t>1790</w:t>
      </w:r>
      <w:r w:rsidRPr="004C19A1">
        <w:rPr>
          <w:rFonts w:ascii="Book Antiqua" w:hAnsi="Book Antiqua"/>
          <w:sz w:val="24"/>
          <w:szCs w:val="24"/>
        </w:rPr>
        <w:t>-PLA-PP-TR-2023</w:t>
      </w:r>
      <w:r>
        <w:rPr>
          <w:rFonts w:ascii="Book Antiqua" w:hAnsi="Book Antiqua"/>
          <w:sz w:val="24"/>
          <w:szCs w:val="24"/>
        </w:rPr>
        <w:t>,</w:t>
      </w:r>
      <w:r w:rsidRPr="00EE576B">
        <w:rPr>
          <w:rFonts w:ascii="Book Antiqua" w:hAnsi="Book Antiqua"/>
          <w:sz w:val="24"/>
          <w:szCs w:val="24"/>
        </w:rPr>
        <w:t xml:space="preserve"> </w:t>
      </w:r>
      <w:r>
        <w:rPr>
          <w:rFonts w:ascii="Book Antiqua" w:hAnsi="Book Antiqua"/>
          <w:sz w:val="24"/>
          <w:szCs w:val="24"/>
        </w:rPr>
        <w:t>1803</w:t>
      </w:r>
      <w:r w:rsidRPr="004C19A1">
        <w:rPr>
          <w:rFonts w:ascii="Book Antiqua" w:hAnsi="Book Antiqua"/>
          <w:sz w:val="24"/>
          <w:szCs w:val="24"/>
        </w:rPr>
        <w:t>-PLA-PP-TR-2023</w:t>
      </w:r>
      <w:r>
        <w:rPr>
          <w:rFonts w:ascii="Book Antiqua" w:hAnsi="Book Antiqua"/>
          <w:sz w:val="24"/>
          <w:szCs w:val="24"/>
        </w:rPr>
        <w:t xml:space="preserve">. </w:t>
      </w:r>
    </w:p>
    <w:p w14:paraId="71D0EF07" w14:textId="77777777" w:rsidR="000B7A67" w:rsidRPr="004C0359" w:rsidRDefault="000B7A67" w:rsidP="000B7A67">
      <w:pPr>
        <w:spacing w:after="0"/>
        <w:jc w:val="both"/>
        <w:rPr>
          <w:rFonts w:ascii="Book Antiqua" w:hAnsi="Book Antiqua"/>
          <w:sz w:val="24"/>
          <w:szCs w:val="24"/>
        </w:rPr>
      </w:pPr>
    </w:p>
    <w:p w14:paraId="776ECDE9" w14:textId="77777777" w:rsidR="000B7A67" w:rsidRDefault="000B7A67" w:rsidP="000B7A67">
      <w:pPr>
        <w:spacing w:after="0"/>
        <w:jc w:val="both"/>
        <w:rPr>
          <w:rFonts w:ascii="Book Antiqua" w:hAnsi="Book Antiqua"/>
          <w:sz w:val="24"/>
          <w:szCs w:val="24"/>
        </w:rPr>
      </w:pPr>
      <w:r>
        <w:rPr>
          <w:rFonts w:ascii="Book Antiqua" w:hAnsi="Book Antiqua"/>
          <w:sz w:val="24"/>
          <w:szCs w:val="24"/>
        </w:rPr>
        <w:t>Además,</w:t>
      </w:r>
      <w:r w:rsidRPr="00FA687A">
        <w:rPr>
          <w:rFonts w:ascii="Book Antiqua" w:hAnsi="Book Antiqua"/>
          <w:sz w:val="24"/>
          <w:szCs w:val="24"/>
        </w:rPr>
        <w:t xml:space="preserve"> se procedió a revisar en los centros de proyectos</w:t>
      </w:r>
      <w:r>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estas recomendaciones </w:t>
      </w:r>
      <w:r w:rsidRPr="00A15711">
        <w:rPr>
          <w:rFonts w:ascii="Book Antiqua" w:hAnsi="Book Antiqua"/>
          <w:sz w:val="24"/>
          <w:szCs w:val="24"/>
        </w:rPr>
        <w:t>(</w:t>
      </w:r>
      <w:hyperlink r:id="rId21" w:history="1">
        <w:r w:rsidRPr="00A15711">
          <w:rPr>
            <w:rStyle w:val="Hipervnculo"/>
            <w:rFonts w:ascii="Book Antiqua" w:hAnsi="Book Antiqua"/>
            <w:sz w:val="24"/>
            <w:szCs w:val="24"/>
          </w:rPr>
          <w:t>Ver enlace: Dirección Ejecutiva</w:t>
        </w:r>
      </w:hyperlink>
      <w:r w:rsidRPr="00A15711">
        <w:rPr>
          <w:rFonts w:ascii="Book Antiqua" w:hAnsi="Book Antiqua"/>
          <w:sz w:val="24"/>
          <w:szCs w:val="24"/>
        </w:rPr>
        <w:t>);</w:t>
      </w:r>
      <w:r>
        <w:rPr>
          <w:rFonts w:ascii="Book Antiqua" w:hAnsi="Book Antiqua"/>
          <w:sz w:val="24"/>
          <w:szCs w:val="24"/>
        </w:rPr>
        <w:t xml:space="preserve"> sin embargo, aún se encuentra pendiente de atender las siguientes recomendaciones:</w:t>
      </w:r>
    </w:p>
    <w:p w14:paraId="70DE52E9" w14:textId="77777777" w:rsidR="000B7A67" w:rsidRDefault="000B7A67" w:rsidP="000B7A67">
      <w:pPr>
        <w:spacing w:after="0"/>
        <w:jc w:val="both"/>
        <w:rPr>
          <w:rFonts w:ascii="Book Antiqua" w:hAnsi="Book Antiqua"/>
          <w:sz w:val="24"/>
          <w:szCs w:val="24"/>
        </w:rPr>
      </w:pPr>
    </w:p>
    <w:p w14:paraId="1C1FAACF" w14:textId="54B7F2AF" w:rsidR="000B7A67" w:rsidRPr="008054C5" w:rsidRDefault="000B7A67" w:rsidP="000B7A67">
      <w:pPr>
        <w:pStyle w:val="Descripcin"/>
        <w:keepNext/>
        <w:spacing w:after="0"/>
        <w:jc w:val="center"/>
        <w:rPr>
          <w:rFonts w:ascii="Book Antiqua" w:hAnsi="Book Antiqua" w:cs="&amp;quot"/>
          <w:b/>
          <w:i w:val="0"/>
          <w:iCs w:val="0"/>
          <w:color w:val="auto"/>
          <w:sz w:val="24"/>
          <w:szCs w:val="24"/>
        </w:rPr>
      </w:pPr>
      <w:r w:rsidRPr="008054C5">
        <w:rPr>
          <w:rFonts w:ascii="Book Antiqua" w:hAnsi="Book Antiqua" w:cs="&amp;quot"/>
          <w:b/>
          <w:i w:val="0"/>
          <w:iCs w:val="0"/>
          <w:color w:val="auto"/>
          <w:sz w:val="24"/>
          <w:szCs w:val="24"/>
        </w:rPr>
        <w:t xml:space="preserve">Tabla </w:t>
      </w:r>
      <w:r w:rsidRPr="008054C5">
        <w:rPr>
          <w:rFonts w:ascii="Book Antiqua" w:hAnsi="Book Antiqua" w:cs="&amp;quot"/>
          <w:b/>
          <w:i w:val="0"/>
          <w:iCs w:val="0"/>
          <w:color w:val="auto"/>
          <w:sz w:val="24"/>
          <w:szCs w:val="24"/>
        </w:rPr>
        <w:fldChar w:fldCharType="begin"/>
      </w:r>
      <w:r w:rsidRPr="008054C5">
        <w:rPr>
          <w:rFonts w:ascii="Book Antiqua" w:hAnsi="Book Antiqua" w:cs="&amp;quot"/>
          <w:b/>
          <w:i w:val="0"/>
          <w:iCs w:val="0"/>
          <w:color w:val="auto"/>
          <w:sz w:val="24"/>
          <w:szCs w:val="24"/>
        </w:rPr>
        <w:instrText xml:space="preserve"> SEQ Tabla \* ARABIC </w:instrText>
      </w:r>
      <w:r w:rsidRPr="008054C5">
        <w:rPr>
          <w:rFonts w:ascii="Book Antiqua" w:hAnsi="Book Antiqua" w:cs="&amp;quot"/>
          <w:b/>
          <w:i w:val="0"/>
          <w:iCs w:val="0"/>
          <w:color w:val="auto"/>
          <w:sz w:val="24"/>
          <w:szCs w:val="24"/>
        </w:rPr>
        <w:fldChar w:fldCharType="separate"/>
      </w:r>
      <w:r w:rsidR="00844144">
        <w:rPr>
          <w:rFonts w:ascii="Book Antiqua" w:hAnsi="Book Antiqua" w:cs="&amp;quot"/>
          <w:b/>
          <w:i w:val="0"/>
          <w:iCs w:val="0"/>
          <w:noProof/>
          <w:color w:val="auto"/>
          <w:sz w:val="24"/>
          <w:szCs w:val="24"/>
        </w:rPr>
        <w:t>5</w:t>
      </w:r>
      <w:r w:rsidRPr="008054C5">
        <w:rPr>
          <w:rFonts w:ascii="Book Antiqua" w:hAnsi="Book Antiqua" w:cs="&amp;quot"/>
          <w:b/>
          <w:i w:val="0"/>
          <w:iCs w:val="0"/>
          <w:color w:val="auto"/>
          <w:sz w:val="24"/>
          <w:szCs w:val="24"/>
        </w:rPr>
        <w:fldChar w:fldCharType="end"/>
      </w:r>
      <w:r w:rsidRPr="008054C5">
        <w:rPr>
          <w:rFonts w:ascii="Book Antiqua" w:hAnsi="Book Antiqua" w:cs="&amp;quot"/>
          <w:b/>
          <w:i w:val="0"/>
          <w:iCs w:val="0"/>
          <w:color w:val="auto"/>
          <w:sz w:val="24"/>
          <w:szCs w:val="24"/>
        </w:rPr>
        <w:t>. Detalle de</w:t>
      </w:r>
      <w:r w:rsidR="007B19B9">
        <w:rPr>
          <w:rFonts w:ascii="Book Antiqua" w:hAnsi="Book Antiqua" w:cs="&amp;quot"/>
          <w:b/>
          <w:i w:val="0"/>
          <w:iCs w:val="0"/>
          <w:color w:val="auto"/>
          <w:sz w:val="24"/>
          <w:szCs w:val="24"/>
        </w:rPr>
        <w:t xml:space="preserve"> </w:t>
      </w:r>
      <w:r w:rsidRPr="008054C5">
        <w:rPr>
          <w:rFonts w:ascii="Book Antiqua" w:hAnsi="Book Antiqua" w:cs="&amp;quot"/>
          <w:b/>
          <w:i w:val="0"/>
          <w:iCs w:val="0"/>
          <w:color w:val="auto"/>
          <w:sz w:val="24"/>
          <w:szCs w:val="24"/>
        </w:rPr>
        <w:t>l</w:t>
      </w:r>
      <w:r w:rsidR="007B19B9">
        <w:rPr>
          <w:rFonts w:ascii="Book Antiqua" w:hAnsi="Book Antiqua" w:cs="&amp;quot"/>
          <w:b/>
          <w:i w:val="0"/>
          <w:iCs w:val="0"/>
          <w:color w:val="auto"/>
          <w:sz w:val="24"/>
          <w:szCs w:val="24"/>
        </w:rPr>
        <w:t>os</w:t>
      </w:r>
      <w:r w:rsidRPr="008054C5">
        <w:rPr>
          <w:rFonts w:ascii="Book Antiqua" w:hAnsi="Book Antiqua" w:cs="&amp;quot"/>
          <w:b/>
          <w:i w:val="0"/>
          <w:iCs w:val="0"/>
          <w:color w:val="auto"/>
          <w:sz w:val="24"/>
          <w:szCs w:val="24"/>
        </w:rPr>
        <w:t xml:space="preserve"> proyecto</w:t>
      </w:r>
      <w:r w:rsidR="007B19B9">
        <w:rPr>
          <w:rFonts w:ascii="Book Antiqua" w:hAnsi="Book Antiqua" w:cs="&amp;quot"/>
          <w:b/>
          <w:i w:val="0"/>
          <w:iCs w:val="0"/>
          <w:color w:val="auto"/>
          <w:sz w:val="24"/>
          <w:szCs w:val="24"/>
        </w:rPr>
        <w:t>s</w:t>
      </w:r>
      <w:r w:rsidRPr="008054C5">
        <w:rPr>
          <w:rFonts w:ascii="Book Antiqua" w:hAnsi="Book Antiqua" w:cs="&amp;quot"/>
          <w:b/>
          <w:i w:val="0"/>
          <w:iCs w:val="0"/>
          <w:color w:val="auto"/>
          <w:sz w:val="24"/>
          <w:szCs w:val="24"/>
        </w:rPr>
        <w:t xml:space="preserve"> que tiene</w:t>
      </w:r>
      <w:r w:rsidR="007B19B9">
        <w:rPr>
          <w:rFonts w:ascii="Book Antiqua" w:hAnsi="Book Antiqua" w:cs="&amp;quot"/>
          <w:b/>
          <w:i w:val="0"/>
          <w:iCs w:val="0"/>
          <w:color w:val="auto"/>
          <w:sz w:val="24"/>
          <w:szCs w:val="24"/>
        </w:rPr>
        <w:t>n</w:t>
      </w:r>
      <w:r w:rsidRPr="008054C5">
        <w:rPr>
          <w:rFonts w:ascii="Book Antiqua" w:hAnsi="Book Antiqua" w:cs="&amp;quot"/>
          <w:b/>
          <w:i w:val="0"/>
          <w:iCs w:val="0"/>
          <w:color w:val="auto"/>
          <w:sz w:val="24"/>
          <w:szCs w:val="24"/>
        </w:rPr>
        <w:t xml:space="preserve"> pendiente de atender recomendaciones para Dirección </w:t>
      </w:r>
      <w:r>
        <w:rPr>
          <w:rFonts w:ascii="Book Antiqua" w:hAnsi="Book Antiqua" w:cs="&amp;quot"/>
          <w:b/>
          <w:i w:val="0"/>
          <w:iCs w:val="0"/>
          <w:color w:val="auto"/>
          <w:sz w:val="24"/>
          <w:szCs w:val="24"/>
        </w:rPr>
        <w:t>Ejecutiva</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7"/>
        <w:gridCol w:w="1414"/>
        <w:gridCol w:w="1316"/>
        <w:gridCol w:w="1867"/>
        <w:gridCol w:w="989"/>
        <w:gridCol w:w="2932"/>
      </w:tblGrid>
      <w:tr w:rsidR="00BC00B3" w:rsidRPr="00D70F8D" w14:paraId="4FB936AA" w14:textId="77777777" w:rsidTr="005C5E7B">
        <w:trPr>
          <w:trHeight w:val="300"/>
          <w:tblHeader/>
        </w:trPr>
        <w:tc>
          <w:tcPr>
            <w:tcW w:w="1547" w:type="dxa"/>
            <w:shd w:val="clear" w:color="000000" w:fill="44546A"/>
            <w:vAlign w:val="center"/>
            <w:hideMark/>
          </w:tcPr>
          <w:p w14:paraId="05E88BEA" w14:textId="77777777" w:rsidR="000B7A67" w:rsidRPr="00D70F8D" w:rsidRDefault="000B7A67" w:rsidP="00F400D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 xml:space="preserve">Centro de responsabilidad </w:t>
            </w:r>
          </w:p>
        </w:tc>
        <w:tc>
          <w:tcPr>
            <w:tcW w:w="1414" w:type="dxa"/>
            <w:shd w:val="clear" w:color="000000" w:fill="44546A"/>
            <w:vAlign w:val="center"/>
            <w:hideMark/>
          </w:tcPr>
          <w:p w14:paraId="454C32C6" w14:textId="77777777" w:rsidR="000B7A67" w:rsidRPr="00D70F8D" w:rsidRDefault="000B7A67" w:rsidP="00F400D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Oficina Líder</w:t>
            </w:r>
          </w:p>
        </w:tc>
        <w:tc>
          <w:tcPr>
            <w:tcW w:w="1316" w:type="dxa"/>
            <w:shd w:val="clear" w:color="000000" w:fill="44546A"/>
            <w:vAlign w:val="center"/>
            <w:hideMark/>
          </w:tcPr>
          <w:p w14:paraId="1744BA90" w14:textId="77777777" w:rsidR="000B7A67" w:rsidRPr="00D70F8D" w:rsidRDefault="000B7A67" w:rsidP="00F400D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Código</w:t>
            </w:r>
          </w:p>
        </w:tc>
        <w:tc>
          <w:tcPr>
            <w:tcW w:w="1867" w:type="dxa"/>
            <w:shd w:val="clear" w:color="000000" w:fill="44546A"/>
            <w:vAlign w:val="center"/>
            <w:hideMark/>
          </w:tcPr>
          <w:p w14:paraId="42B5D79E" w14:textId="77777777" w:rsidR="000B7A67" w:rsidRPr="00D70F8D" w:rsidRDefault="000B7A67" w:rsidP="00F400D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Nombre</w:t>
            </w:r>
          </w:p>
        </w:tc>
        <w:tc>
          <w:tcPr>
            <w:tcW w:w="989" w:type="dxa"/>
            <w:shd w:val="clear" w:color="000000" w:fill="44546A"/>
            <w:vAlign w:val="center"/>
            <w:hideMark/>
          </w:tcPr>
          <w:p w14:paraId="551D8FCE" w14:textId="77777777" w:rsidR="000B7A67" w:rsidRPr="00D70F8D" w:rsidRDefault="000B7A67" w:rsidP="00F400D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Parte pendiente</w:t>
            </w:r>
          </w:p>
        </w:tc>
        <w:tc>
          <w:tcPr>
            <w:tcW w:w="2932" w:type="dxa"/>
            <w:shd w:val="clear" w:color="000000" w:fill="44546A"/>
            <w:vAlign w:val="center"/>
            <w:hideMark/>
          </w:tcPr>
          <w:p w14:paraId="6A22AFA5" w14:textId="77777777" w:rsidR="000B7A67" w:rsidRPr="00D70F8D" w:rsidRDefault="000B7A67" w:rsidP="00F400D6">
            <w:pPr>
              <w:spacing w:after="0" w:line="240" w:lineRule="auto"/>
              <w:jc w:val="center"/>
              <w:rPr>
                <w:rFonts w:ascii="Book Antiqua" w:eastAsia="Times New Roman" w:hAnsi="Book Antiqua" w:cs="Calibri"/>
                <w:b/>
                <w:bCs/>
                <w:color w:val="FFFFFF"/>
                <w:sz w:val="18"/>
                <w:szCs w:val="18"/>
                <w:lang w:eastAsia="es-CR"/>
              </w:rPr>
            </w:pPr>
            <w:r w:rsidRPr="00D70F8D">
              <w:rPr>
                <w:rFonts w:ascii="Book Antiqua" w:eastAsia="Times New Roman" w:hAnsi="Book Antiqua" w:cs="Calibri"/>
                <w:b/>
                <w:bCs/>
                <w:color w:val="FFFFFF"/>
                <w:sz w:val="18"/>
                <w:szCs w:val="18"/>
                <w:lang w:eastAsia="es-CR"/>
              </w:rPr>
              <w:t xml:space="preserve">Detalle </w:t>
            </w:r>
          </w:p>
        </w:tc>
      </w:tr>
      <w:tr w:rsidR="00BC00B3" w:rsidRPr="00D70F8D" w14:paraId="44A9C02B" w14:textId="77777777" w:rsidTr="005C5E7B">
        <w:trPr>
          <w:trHeight w:val="1575"/>
        </w:trPr>
        <w:tc>
          <w:tcPr>
            <w:tcW w:w="1547" w:type="dxa"/>
            <w:vAlign w:val="center"/>
            <w:hideMark/>
          </w:tcPr>
          <w:p w14:paraId="0F72FCEA"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Dirección Ejecutiva</w:t>
            </w:r>
          </w:p>
        </w:tc>
        <w:tc>
          <w:tcPr>
            <w:tcW w:w="1414" w:type="dxa"/>
            <w:vAlign w:val="center"/>
          </w:tcPr>
          <w:p w14:paraId="495D58BA"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Times New Roman" w:eastAsia="Times New Roman" w:hAnsi="Times New Roman" w:cs="Times New Roman"/>
                <w:color w:val="000000"/>
                <w:sz w:val="18"/>
                <w:szCs w:val="18"/>
                <w:lang w:eastAsia="es-CR"/>
              </w:rPr>
              <w:t>​</w:t>
            </w:r>
            <w:r w:rsidRPr="00D70F8D">
              <w:rPr>
                <w:rFonts w:ascii="Book Antiqua" w:eastAsia="Times New Roman" w:hAnsi="Book Antiqua" w:cs="Calibri"/>
                <w:color w:val="000000"/>
                <w:sz w:val="18"/>
                <w:szCs w:val="18"/>
                <w:lang w:eastAsia="es-CR"/>
              </w:rPr>
              <w:t>0117 Dirección Ejecutiva</w:t>
            </w:r>
          </w:p>
        </w:tc>
        <w:tc>
          <w:tcPr>
            <w:tcW w:w="1316" w:type="dxa"/>
            <w:vAlign w:val="center"/>
          </w:tcPr>
          <w:p w14:paraId="1D21A87F"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0117-DE-P22</w:t>
            </w:r>
          </w:p>
        </w:tc>
        <w:tc>
          <w:tcPr>
            <w:tcW w:w="1867" w:type="dxa"/>
            <w:vAlign w:val="center"/>
          </w:tcPr>
          <w:p w14:paraId="2F49CA35"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Publicación electrónica del Boletín Judicial, a través del Departamento de Artes Gráficas</w:t>
            </w:r>
          </w:p>
        </w:tc>
        <w:tc>
          <w:tcPr>
            <w:tcW w:w="989" w:type="dxa"/>
            <w:shd w:val="clear" w:color="auto" w:fill="auto"/>
            <w:vAlign w:val="center"/>
            <w:hideMark/>
          </w:tcPr>
          <w:p w14:paraId="3CDF2454"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D70F8D">
              <w:rPr>
                <w:rFonts w:ascii="Book Antiqua" w:eastAsia="Times New Roman" w:hAnsi="Book Antiqua" w:cs="Calibri"/>
                <w:color w:val="000000"/>
                <w:sz w:val="18"/>
                <w:szCs w:val="18"/>
                <w:lang w:eastAsia="es-CR"/>
              </w:rPr>
              <w:t>2.3</w:t>
            </w:r>
          </w:p>
        </w:tc>
        <w:tc>
          <w:tcPr>
            <w:tcW w:w="2932" w:type="dxa"/>
            <w:shd w:val="clear" w:color="auto" w:fill="auto"/>
            <w:vAlign w:val="bottom"/>
            <w:hideMark/>
          </w:tcPr>
          <w:p w14:paraId="1C134783" w14:textId="50D4F093" w:rsidR="000B7A67" w:rsidRDefault="000B7A67" w:rsidP="00560831">
            <w:pPr>
              <w:spacing w:after="0" w:line="240" w:lineRule="auto"/>
              <w:jc w:val="both"/>
              <w:rPr>
                <w:rFonts w:ascii="Book Antiqua" w:eastAsia="Times New Roman" w:hAnsi="Book Antiqua" w:cs="Calibri"/>
                <w:color w:val="000000"/>
                <w:sz w:val="18"/>
                <w:szCs w:val="18"/>
                <w:lang w:eastAsia="es-CR"/>
              </w:rPr>
            </w:pPr>
            <w:r w:rsidRPr="002350E9">
              <w:rPr>
                <w:rFonts w:ascii="Book Antiqua" w:eastAsia="Times New Roman" w:hAnsi="Book Antiqua" w:cs="Calibri"/>
                <w:color w:val="000000"/>
                <w:sz w:val="18"/>
                <w:szCs w:val="18"/>
                <w:lang w:eastAsia="es-CR"/>
              </w:rPr>
              <w:t xml:space="preserve">Pendiente actualizar cronograma producto de las solicitudes 1-11-22, 6-12-22, 18-1-23, esto debido a que no se encuentra dichas tareas actualizadas; además en el </w:t>
            </w:r>
            <w:r w:rsidRPr="002350E9">
              <w:rPr>
                <w:rFonts w:ascii="Book Antiqua" w:eastAsia="Times New Roman" w:hAnsi="Book Antiqua" w:cs="Calibri"/>
                <w:b/>
                <w:bCs/>
                <w:color w:val="000000"/>
                <w:sz w:val="18"/>
                <w:szCs w:val="18"/>
                <w:lang w:eastAsia="es-CR"/>
              </w:rPr>
              <w:t>plan de gestión:</w:t>
            </w:r>
            <w:r w:rsidRPr="002350E9">
              <w:rPr>
                <w:rFonts w:ascii="Book Antiqua" w:eastAsia="Times New Roman" w:hAnsi="Book Antiqua" w:cs="Calibri"/>
                <w:color w:val="000000"/>
                <w:sz w:val="18"/>
                <w:szCs w:val="18"/>
                <w:lang w:eastAsia="es-CR"/>
              </w:rPr>
              <w:t xml:space="preserve"> la fecha de finalización se debe colocar por lo menos el mes; revisar apartado de datos generales y el de roles y responsabilidades, porque Administrador y líder del proyecto no concuerdan; en diagrama de la EDT falta indicar la codificación a los entregables; el cronograma considerando que solamente se anexa el PDF, se debe incluir en la carpeta del plan de gestión, porque no permite abrirlo, o anexar el Word del documento también; la administración de riesgo igual en caso de solamente anexar el PDF se debe incluir en la carpeta o incluir el Word; administración de adquisiciones considerando que se deben gestionar la compra de algunos artículos se debe completar la misma. </w:t>
            </w:r>
          </w:p>
          <w:p w14:paraId="2AAB3559" w14:textId="77777777" w:rsidR="000B7A67" w:rsidRDefault="000B7A67" w:rsidP="00560831">
            <w:pPr>
              <w:spacing w:after="0" w:line="240" w:lineRule="auto"/>
              <w:jc w:val="both"/>
              <w:rPr>
                <w:rFonts w:ascii="Book Antiqua" w:eastAsia="Times New Roman" w:hAnsi="Book Antiqua" w:cs="Calibri"/>
                <w:color w:val="000000"/>
                <w:sz w:val="18"/>
                <w:szCs w:val="18"/>
                <w:lang w:eastAsia="es-CR"/>
              </w:rPr>
            </w:pPr>
            <w:r w:rsidRPr="002350E9">
              <w:rPr>
                <w:rFonts w:ascii="Book Antiqua" w:eastAsia="Times New Roman" w:hAnsi="Book Antiqua" w:cs="Calibri"/>
                <w:b/>
                <w:bCs/>
                <w:color w:val="000000"/>
                <w:sz w:val="18"/>
                <w:szCs w:val="18"/>
                <w:lang w:eastAsia="es-CR"/>
              </w:rPr>
              <w:lastRenderedPageBreak/>
              <w:t>Estudio de factibilidad:</w:t>
            </w:r>
            <w:r w:rsidRPr="002350E9">
              <w:rPr>
                <w:rFonts w:ascii="Book Antiqua" w:eastAsia="Times New Roman" w:hAnsi="Book Antiqua" w:cs="Calibri"/>
                <w:color w:val="000000"/>
                <w:sz w:val="18"/>
                <w:szCs w:val="18"/>
                <w:lang w:eastAsia="es-CR"/>
              </w:rPr>
              <w:t xml:space="preserve"> en planteamiento inicial del proyecto se debe incluir las 3 alternativas de solución valoradas para solucionar el problema o la situación y porque se seleccionó la que se aplica actualmente; tiempo estimado mejor colocar meses y años de inicio y fin. </w:t>
            </w:r>
          </w:p>
          <w:p w14:paraId="052A591F" w14:textId="77777777" w:rsidR="000B7A67" w:rsidRPr="00D70F8D" w:rsidRDefault="000B7A67" w:rsidP="00560831">
            <w:pPr>
              <w:spacing w:after="0" w:line="240" w:lineRule="auto"/>
              <w:jc w:val="both"/>
              <w:rPr>
                <w:rFonts w:ascii="Book Antiqua" w:eastAsia="Times New Roman" w:hAnsi="Book Antiqua" w:cs="Calibri"/>
                <w:color w:val="000000"/>
                <w:sz w:val="18"/>
                <w:szCs w:val="18"/>
                <w:lang w:eastAsia="es-CR"/>
              </w:rPr>
            </w:pPr>
            <w:r w:rsidRPr="002350E9">
              <w:rPr>
                <w:rFonts w:ascii="Book Antiqua" w:eastAsia="Times New Roman" w:hAnsi="Book Antiqua" w:cs="Calibri"/>
                <w:b/>
                <w:bCs/>
                <w:color w:val="000000"/>
                <w:sz w:val="18"/>
                <w:szCs w:val="18"/>
                <w:lang w:eastAsia="es-CR"/>
              </w:rPr>
              <w:t>Acta de constitución:</w:t>
            </w:r>
            <w:r w:rsidRPr="002350E9">
              <w:rPr>
                <w:rFonts w:ascii="Book Antiqua" w:eastAsia="Times New Roman" w:hAnsi="Book Antiqua" w:cs="Calibri"/>
                <w:color w:val="000000"/>
                <w:sz w:val="18"/>
                <w:szCs w:val="18"/>
                <w:lang w:eastAsia="es-CR"/>
              </w:rPr>
              <w:t xml:space="preserve"> cronograma de alto nivel debe ser un cronograma donde se muestre los principales entregables indicando el año o mes de su entrega según planificación; verificar apartado de datos generales y equipo de trabajo porque no coincide líder y administrador del proyecto.</w:t>
            </w:r>
          </w:p>
        </w:tc>
      </w:tr>
      <w:tr w:rsidR="009872F5" w:rsidRPr="00D70F8D" w14:paraId="0B4F55E3" w14:textId="77777777" w:rsidTr="005C5E7B">
        <w:trPr>
          <w:trHeight w:val="821"/>
        </w:trPr>
        <w:tc>
          <w:tcPr>
            <w:tcW w:w="1547" w:type="dxa"/>
            <w:vMerge w:val="restart"/>
            <w:vAlign w:val="center"/>
          </w:tcPr>
          <w:p w14:paraId="3F3E1D85"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lastRenderedPageBreak/>
              <w:t>Dirección Ejecutiva</w:t>
            </w:r>
          </w:p>
        </w:tc>
        <w:tc>
          <w:tcPr>
            <w:tcW w:w="1414" w:type="dxa"/>
            <w:vMerge w:val="restart"/>
            <w:vAlign w:val="center"/>
          </w:tcPr>
          <w:p w14:paraId="4CFF405F"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 xml:space="preserve">0140 </w:t>
            </w:r>
            <w:r>
              <w:rPr>
                <w:rFonts w:ascii="Book Antiqua" w:eastAsia="Times New Roman" w:hAnsi="Book Antiqua" w:cs="Calibri"/>
                <w:color w:val="000000"/>
                <w:sz w:val="18"/>
                <w:szCs w:val="18"/>
                <w:lang w:eastAsia="es-CR"/>
              </w:rPr>
              <w:t>D</w:t>
            </w:r>
            <w:r w:rsidRPr="00ED41B3">
              <w:rPr>
                <w:rFonts w:ascii="Book Antiqua" w:eastAsia="Times New Roman" w:hAnsi="Book Antiqua" w:cs="Calibri"/>
                <w:color w:val="000000"/>
                <w:sz w:val="18"/>
                <w:szCs w:val="18"/>
                <w:lang w:eastAsia="es-CR"/>
              </w:rPr>
              <w:t xml:space="preserve">epartamento de </w:t>
            </w:r>
            <w:r>
              <w:rPr>
                <w:rFonts w:ascii="Book Antiqua" w:eastAsia="Times New Roman" w:hAnsi="Book Antiqua" w:cs="Calibri"/>
                <w:color w:val="000000"/>
                <w:sz w:val="18"/>
                <w:szCs w:val="18"/>
                <w:lang w:eastAsia="es-CR"/>
              </w:rPr>
              <w:t>P</w:t>
            </w:r>
            <w:r w:rsidRPr="00ED41B3">
              <w:rPr>
                <w:rFonts w:ascii="Book Antiqua" w:eastAsia="Times New Roman" w:hAnsi="Book Antiqua" w:cs="Calibri"/>
                <w:color w:val="000000"/>
                <w:sz w:val="18"/>
                <w:szCs w:val="18"/>
                <w:lang w:eastAsia="es-CR"/>
              </w:rPr>
              <w:t>roveeduría</w:t>
            </w:r>
          </w:p>
        </w:tc>
        <w:tc>
          <w:tcPr>
            <w:tcW w:w="1316" w:type="dxa"/>
            <w:vMerge w:val="restart"/>
            <w:shd w:val="clear" w:color="auto" w:fill="auto"/>
            <w:vAlign w:val="center"/>
          </w:tcPr>
          <w:p w14:paraId="77555A2B"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0117-DE-P29</w:t>
            </w:r>
          </w:p>
        </w:tc>
        <w:tc>
          <w:tcPr>
            <w:tcW w:w="1867" w:type="dxa"/>
            <w:vMerge w:val="restart"/>
            <w:shd w:val="clear" w:color="auto" w:fill="auto"/>
            <w:vAlign w:val="center"/>
          </w:tcPr>
          <w:p w14:paraId="207125C6"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Sistema de Inventario y Materiales de la Proveeduría</w:t>
            </w:r>
          </w:p>
        </w:tc>
        <w:tc>
          <w:tcPr>
            <w:tcW w:w="989" w:type="dxa"/>
            <w:shd w:val="clear" w:color="auto" w:fill="auto"/>
            <w:vAlign w:val="center"/>
          </w:tcPr>
          <w:p w14:paraId="2FC2E40A"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2.1</w:t>
            </w:r>
          </w:p>
        </w:tc>
        <w:tc>
          <w:tcPr>
            <w:tcW w:w="2932" w:type="dxa"/>
            <w:shd w:val="clear" w:color="auto" w:fill="auto"/>
            <w:vAlign w:val="center"/>
          </w:tcPr>
          <w:p w14:paraId="62B31591" w14:textId="77777777" w:rsidR="000B7A67" w:rsidRPr="00D70F8D" w:rsidRDefault="000B7A67" w:rsidP="00560831">
            <w:pPr>
              <w:spacing w:after="0"/>
              <w:jc w:val="both"/>
              <w:rPr>
                <w:rFonts w:ascii="Book Antiqua" w:eastAsia="Times New Roman" w:hAnsi="Book Antiqua" w:cs="Calibri"/>
                <w:color w:val="000000"/>
                <w:sz w:val="18"/>
                <w:szCs w:val="18"/>
                <w:lang w:eastAsia="es-CR"/>
              </w:rPr>
            </w:pPr>
            <w:r w:rsidRPr="00C85F80">
              <w:rPr>
                <w:rFonts w:ascii="Book Antiqua" w:eastAsia="Times New Roman" w:hAnsi="Book Antiqua" w:cs="Calibri"/>
                <w:color w:val="000000"/>
                <w:sz w:val="18"/>
                <w:szCs w:val="18"/>
                <w:lang w:eastAsia="es-CR"/>
              </w:rPr>
              <w:t>No se corrigió el informe de avance de diciembre presentaba incorrecto el porcentaje real, ni se justifica los motivos por los cuales no se corrige el informe.</w:t>
            </w:r>
          </w:p>
        </w:tc>
      </w:tr>
      <w:tr w:rsidR="009872F5" w:rsidRPr="00D70F8D" w14:paraId="5C1697C0" w14:textId="77777777" w:rsidTr="005C5E7B">
        <w:trPr>
          <w:trHeight w:val="765"/>
        </w:trPr>
        <w:tc>
          <w:tcPr>
            <w:tcW w:w="1547" w:type="dxa"/>
            <w:vMerge/>
            <w:vAlign w:val="center"/>
          </w:tcPr>
          <w:p w14:paraId="7D9EA2C1"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1414" w:type="dxa"/>
            <w:vMerge/>
            <w:vAlign w:val="center"/>
          </w:tcPr>
          <w:p w14:paraId="49D6B648"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1316" w:type="dxa"/>
            <w:vMerge/>
            <w:shd w:val="clear" w:color="auto" w:fill="auto"/>
            <w:vAlign w:val="center"/>
          </w:tcPr>
          <w:p w14:paraId="4D1BBED9"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p>
        </w:tc>
        <w:tc>
          <w:tcPr>
            <w:tcW w:w="1867" w:type="dxa"/>
            <w:vMerge/>
            <w:shd w:val="clear" w:color="auto" w:fill="auto"/>
            <w:vAlign w:val="center"/>
          </w:tcPr>
          <w:p w14:paraId="3C756ABE"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p>
        </w:tc>
        <w:tc>
          <w:tcPr>
            <w:tcW w:w="989" w:type="dxa"/>
            <w:shd w:val="clear" w:color="auto" w:fill="auto"/>
            <w:vAlign w:val="center"/>
          </w:tcPr>
          <w:p w14:paraId="7F8CC1AD"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ED41B3">
              <w:rPr>
                <w:rFonts w:ascii="Book Antiqua" w:eastAsia="Times New Roman" w:hAnsi="Book Antiqua" w:cs="Calibri"/>
                <w:color w:val="000000"/>
                <w:sz w:val="18"/>
                <w:szCs w:val="18"/>
                <w:lang w:eastAsia="es-CR"/>
              </w:rPr>
              <w:t>2.3</w:t>
            </w:r>
          </w:p>
        </w:tc>
        <w:tc>
          <w:tcPr>
            <w:tcW w:w="2932" w:type="dxa"/>
            <w:shd w:val="clear" w:color="auto" w:fill="auto"/>
            <w:vAlign w:val="center"/>
          </w:tcPr>
          <w:p w14:paraId="55EF1510" w14:textId="77777777" w:rsidR="000B7A67" w:rsidRDefault="000B7A67" w:rsidP="00560831">
            <w:pPr>
              <w:spacing w:after="0" w:line="240" w:lineRule="auto"/>
              <w:jc w:val="both"/>
              <w:rPr>
                <w:rFonts w:ascii="Book Antiqua" w:eastAsia="Times New Roman" w:hAnsi="Book Antiqua" w:cs="Calibri"/>
                <w:color w:val="000000"/>
                <w:sz w:val="18"/>
                <w:szCs w:val="18"/>
                <w:lang w:eastAsia="es-CR"/>
              </w:rPr>
            </w:pPr>
            <w:r w:rsidRPr="00C85F80">
              <w:rPr>
                <w:rFonts w:ascii="Book Antiqua" w:eastAsia="Times New Roman" w:hAnsi="Book Antiqua" w:cs="Calibri"/>
                <w:color w:val="000000"/>
                <w:sz w:val="18"/>
                <w:szCs w:val="18"/>
                <w:lang w:eastAsia="es-CR"/>
              </w:rPr>
              <w:t xml:space="preserve">Pendiente: </w:t>
            </w:r>
            <w:r w:rsidRPr="00C85F80">
              <w:rPr>
                <w:rFonts w:ascii="Book Antiqua" w:eastAsia="Times New Roman" w:hAnsi="Book Antiqua" w:cs="Calibri"/>
                <w:b/>
                <w:bCs/>
                <w:color w:val="000000"/>
                <w:sz w:val="18"/>
                <w:szCs w:val="18"/>
                <w:lang w:eastAsia="es-CR"/>
              </w:rPr>
              <w:t>Plan de gestión:</w:t>
            </w:r>
            <w:r w:rsidRPr="00C85F80">
              <w:rPr>
                <w:rFonts w:ascii="Book Antiqua" w:eastAsia="Times New Roman" w:hAnsi="Book Antiqua" w:cs="Calibri"/>
                <w:color w:val="000000"/>
                <w:sz w:val="18"/>
                <w:szCs w:val="18"/>
                <w:lang w:eastAsia="es-CR"/>
              </w:rPr>
              <w:t xml:space="preserve"> actualizar fecha de finalización, objetivo se menciona 20 meses, pero se extendió el cronograma; administración de riesgo no abre; Detalle del presupuesto del proyecto falta incluir los recursos humanos por todo el periodo del proyecto; el cronograma inserto esta desactualizado (La versión de mayo corresponde a formato de metodología de DTI y no la institucional). </w:t>
            </w:r>
          </w:p>
          <w:p w14:paraId="5007F388" w14:textId="77777777" w:rsidR="000B7A67" w:rsidRPr="00D70F8D" w:rsidRDefault="000B7A67" w:rsidP="00560831">
            <w:pPr>
              <w:spacing w:after="0" w:line="240" w:lineRule="auto"/>
              <w:jc w:val="both"/>
              <w:rPr>
                <w:rFonts w:ascii="Book Antiqua" w:eastAsia="Times New Roman" w:hAnsi="Book Antiqua" w:cs="Calibri"/>
                <w:color w:val="000000"/>
                <w:sz w:val="18"/>
                <w:szCs w:val="18"/>
                <w:lang w:eastAsia="es-CR"/>
              </w:rPr>
            </w:pPr>
            <w:r w:rsidRPr="00C85F80">
              <w:rPr>
                <w:rFonts w:ascii="Book Antiqua" w:eastAsia="Times New Roman" w:hAnsi="Book Antiqua" w:cs="Calibri"/>
                <w:b/>
                <w:bCs/>
                <w:color w:val="000000"/>
                <w:sz w:val="18"/>
                <w:szCs w:val="18"/>
                <w:lang w:eastAsia="es-CR"/>
              </w:rPr>
              <w:t>Acta de constitución:</w:t>
            </w:r>
            <w:r w:rsidRPr="00C85F80">
              <w:rPr>
                <w:rFonts w:ascii="Book Antiqua" w:eastAsia="Times New Roman" w:hAnsi="Book Antiqua" w:cs="Calibri"/>
                <w:color w:val="000000"/>
                <w:sz w:val="18"/>
                <w:szCs w:val="18"/>
                <w:lang w:eastAsia="es-CR"/>
              </w:rPr>
              <w:t xml:space="preserve"> pendiente indicar código; fecha de finalización incorrecta; cronograma de alto nivel no se indica los años de los entregables o el tiempo para cada uno; recurso del proyecto no coincide con plan de gestión; Equipo de trabajo del proyecto se debe indicar el rol de cada uno. </w:t>
            </w:r>
            <w:r w:rsidRPr="00C85F80">
              <w:rPr>
                <w:rFonts w:ascii="Book Antiqua" w:eastAsia="Times New Roman" w:hAnsi="Book Antiqua" w:cs="Calibri"/>
                <w:b/>
                <w:bCs/>
                <w:color w:val="000000"/>
                <w:sz w:val="18"/>
                <w:szCs w:val="18"/>
                <w:lang w:eastAsia="es-CR"/>
              </w:rPr>
              <w:t>Estudio de factibilidad:</w:t>
            </w:r>
            <w:r w:rsidRPr="00C85F80">
              <w:rPr>
                <w:rFonts w:ascii="Book Antiqua" w:eastAsia="Times New Roman" w:hAnsi="Book Antiqua" w:cs="Calibri"/>
                <w:color w:val="000000"/>
                <w:sz w:val="18"/>
                <w:szCs w:val="18"/>
                <w:lang w:eastAsia="es-CR"/>
              </w:rPr>
              <w:t xml:space="preserve"> costos de operación se debe indicar no aplica.</w:t>
            </w:r>
          </w:p>
        </w:tc>
      </w:tr>
      <w:tr w:rsidR="009872F5" w:rsidRPr="00D70F8D" w14:paraId="50794C70" w14:textId="77777777" w:rsidTr="005C5E7B">
        <w:trPr>
          <w:trHeight w:val="2142"/>
        </w:trPr>
        <w:tc>
          <w:tcPr>
            <w:tcW w:w="1547" w:type="dxa"/>
            <w:vMerge w:val="restart"/>
            <w:vAlign w:val="center"/>
          </w:tcPr>
          <w:p w14:paraId="69C87771"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lastRenderedPageBreak/>
              <w:t>Dirección Ejecutiva</w:t>
            </w:r>
          </w:p>
        </w:tc>
        <w:tc>
          <w:tcPr>
            <w:tcW w:w="1414" w:type="dxa"/>
            <w:vMerge w:val="restart"/>
            <w:vAlign w:val="center"/>
          </w:tcPr>
          <w:p w14:paraId="4A9B09F5"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0176 Oficina de Administración II Cir. Jud. San José</w:t>
            </w:r>
          </w:p>
        </w:tc>
        <w:tc>
          <w:tcPr>
            <w:tcW w:w="1316" w:type="dxa"/>
            <w:shd w:val="clear" w:color="auto" w:fill="auto"/>
            <w:vAlign w:val="center"/>
          </w:tcPr>
          <w:p w14:paraId="38D9E906"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0117-DE-P23</w:t>
            </w:r>
          </w:p>
        </w:tc>
        <w:tc>
          <w:tcPr>
            <w:tcW w:w="1867" w:type="dxa"/>
            <w:shd w:val="clear" w:color="auto" w:fill="auto"/>
            <w:vAlign w:val="center"/>
          </w:tcPr>
          <w:p w14:paraId="1ACD7009"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Sistema de Detección de Incendios en el II Circ Jud San José</w:t>
            </w:r>
          </w:p>
        </w:tc>
        <w:tc>
          <w:tcPr>
            <w:tcW w:w="989" w:type="dxa"/>
            <w:shd w:val="clear" w:color="auto" w:fill="auto"/>
            <w:vAlign w:val="center"/>
          </w:tcPr>
          <w:p w14:paraId="564FCF7A"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2.3</w:t>
            </w:r>
          </w:p>
        </w:tc>
        <w:tc>
          <w:tcPr>
            <w:tcW w:w="2932" w:type="dxa"/>
            <w:shd w:val="clear" w:color="auto" w:fill="auto"/>
            <w:vAlign w:val="center"/>
          </w:tcPr>
          <w:p w14:paraId="4ED75CBA" w14:textId="77777777" w:rsidR="000B7A67" w:rsidRPr="00EE576B" w:rsidRDefault="000B7A67" w:rsidP="00560831">
            <w:pPr>
              <w:spacing w:after="0" w:line="240" w:lineRule="auto"/>
              <w:jc w:val="both"/>
              <w:rPr>
                <w:rFonts w:ascii="Book Antiqua" w:eastAsia="Times New Roman" w:hAnsi="Book Antiqua" w:cs="Calibri"/>
                <w:color w:val="000000"/>
                <w:sz w:val="18"/>
                <w:szCs w:val="18"/>
                <w:lang w:eastAsia="es-CR"/>
              </w:rPr>
            </w:pPr>
            <w:r w:rsidRPr="00EE576B">
              <w:rPr>
                <w:rFonts w:ascii="Book Antiqua" w:eastAsia="Times New Roman" w:hAnsi="Book Antiqua" w:cs="Calibri"/>
                <w:color w:val="000000"/>
                <w:sz w:val="18"/>
                <w:szCs w:val="18"/>
                <w:lang w:eastAsia="es-CR"/>
              </w:rPr>
              <w:t xml:space="preserve">Pendiente producto de la solicitud de cambio del 29/6/2022, 29/12/2022 lo siguiente: </w:t>
            </w:r>
          </w:p>
          <w:p w14:paraId="370D2A81" w14:textId="77777777" w:rsidR="000B7A67" w:rsidRDefault="000B7A67" w:rsidP="00560831">
            <w:pPr>
              <w:spacing w:after="0"/>
              <w:jc w:val="both"/>
              <w:rPr>
                <w:rFonts w:ascii="Book Antiqua" w:eastAsia="Times New Roman" w:hAnsi="Book Antiqua" w:cs="Calibri"/>
                <w:color w:val="000000"/>
                <w:sz w:val="18"/>
                <w:szCs w:val="18"/>
                <w:lang w:eastAsia="es-CR"/>
              </w:rPr>
            </w:pPr>
            <w:r w:rsidRPr="00EE576B">
              <w:rPr>
                <w:rFonts w:ascii="Book Antiqua" w:eastAsia="Times New Roman" w:hAnsi="Book Antiqua" w:cs="Calibri"/>
                <w:b/>
                <w:bCs/>
                <w:color w:val="000000"/>
                <w:sz w:val="18"/>
                <w:szCs w:val="18"/>
                <w:lang w:eastAsia="es-CR"/>
              </w:rPr>
              <w:t>En el plan de gestión:</w:t>
            </w:r>
            <w:r w:rsidRPr="00EE576B">
              <w:rPr>
                <w:rFonts w:ascii="Book Antiqua" w:eastAsia="Times New Roman" w:hAnsi="Book Antiqua" w:cs="Calibri"/>
                <w:color w:val="000000"/>
                <w:sz w:val="18"/>
                <w:szCs w:val="18"/>
                <w:lang w:eastAsia="es-CR"/>
              </w:rPr>
              <w:t xml:space="preserve"> revisar que la EDT y el cronograma coincidan en su totalidad específicamente el diagrama de la EDT y se debe quitar el entregable 4.2 del cuadro de desglose de entregables</w:t>
            </w:r>
            <w:r w:rsidRPr="00F66B6C">
              <w:rPr>
                <w:rFonts w:ascii="Book Antiqua" w:eastAsia="Times New Roman" w:hAnsi="Book Antiqua" w:cs="Calibri"/>
                <w:color w:val="000000"/>
                <w:sz w:val="18"/>
                <w:szCs w:val="18"/>
                <w:lang w:eastAsia="es-CR"/>
              </w:rPr>
              <w:t>, falto completar la administración de adquisiciones esto debido a que se debió hacer una contratación para cubrir los costos del proyecto.</w:t>
            </w:r>
          </w:p>
          <w:p w14:paraId="0F247607" w14:textId="77777777" w:rsidR="000B7A67" w:rsidRDefault="000B7A67" w:rsidP="00560831">
            <w:pPr>
              <w:spacing w:after="0"/>
              <w:jc w:val="both"/>
              <w:rPr>
                <w:rFonts w:ascii="Book Antiqua" w:eastAsia="Times New Roman" w:hAnsi="Book Antiqua" w:cs="Calibri"/>
                <w:color w:val="000000"/>
                <w:sz w:val="18"/>
                <w:szCs w:val="18"/>
                <w:lang w:eastAsia="es-CR"/>
              </w:rPr>
            </w:pPr>
            <w:r w:rsidRPr="00EE576B">
              <w:rPr>
                <w:rFonts w:ascii="Book Antiqua" w:eastAsia="Times New Roman" w:hAnsi="Book Antiqua" w:cs="Calibri"/>
                <w:color w:val="000000"/>
                <w:sz w:val="18"/>
                <w:szCs w:val="18"/>
                <w:lang w:eastAsia="es-CR"/>
              </w:rPr>
              <w:t xml:space="preserve"> </w:t>
            </w:r>
            <w:r>
              <w:rPr>
                <w:rFonts w:ascii="Book Antiqua" w:eastAsia="Times New Roman" w:hAnsi="Book Antiqua" w:cs="Calibri"/>
                <w:color w:val="000000"/>
                <w:sz w:val="18"/>
                <w:szCs w:val="18"/>
                <w:lang w:eastAsia="es-CR"/>
              </w:rPr>
              <w:t>A</w:t>
            </w:r>
            <w:r w:rsidRPr="00EE576B">
              <w:rPr>
                <w:rFonts w:ascii="Book Antiqua" w:eastAsia="Times New Roman" w:hAnsi="Book Antiqua" w:cs="Calibri"/>
                <w:b/>
                <w:bCs/>
                <w:color w:val="000000"/>
                <w:sz w:val="18"/>
                <w:szCs w:val="18"/>
                <w:lang w:eastAsia="es-CR"/>
              </w:rPr>
              <w:t>cta de constitución</w:t>
            </w:r>
            <w:r w:rsidRPr="00EE576B">
              <w:rPr>
                <w:rFonts w:ascii="Book Antiqua" w:eastAsia="Times New Roman" w:hAnsi="Book Antiqua" w:cs="Calibri"/>
                <w:color w:val="000000"/>
                <w:sz w:val="18"/>
                <w:szCs w:val="18"/>
                <w:lang w:eastAsia="es-CR"/>
              </w:rPr>
              <w:t xml:space="preserve"> se debe actualizar: fecha de fin, cronograma de alto nivel debe mostrar los entregables principales e indicar año o mes. </w:t>
            </w:r>
          </w:p>
          <w:p w14:paraId="04D091E2" w14:textId="77777777" w:rsidR="000B7A67" w:rsidRPr="00EE576B" w:rsidRDefault="000B7A67" w:rsidP="00560831">
            <w:pPr>
              <w:spacing w:after="0"/>
              <w:jc w:val="both"/>
              <w:rPr>
                <w:rFonts w:ascii="Book Antiqua" w:eastAsia="Times New Roman" w:hAnsi="Book Antiqua" w:cs="Calibri"/>
                <w:color w:val="000000"/>
                <w:sz w:val="18"/>
                <w:szCs w:val="18"/>
                <w:lang w:eastAsia="es-CR"/>
              </w:rPr>
            </w:pPr>
            <w:r w:rsidRPr="00EE576B">
              <w:rPr>
                <w:rFonts w:ascii="Book Antiqua" w:eastAsia="Times New Roman" w:hAnsi="Book Antiqua" w:cs="Calibri"/>
                <w:b/>
                <w:bCs/>
                <w:color w:val="000000"/>
                <w:sz w:val="18"/>
                <w:szCs w:val="18"/>
                <w:lang w:eastAsia="es-CR"/>
              </w:rPr>
              <w:t>Estudio de factibilidad pendiente:</w:t>
            </w:r>
            <w:r w:rsidRPr="00EE576B">
              <w:rPr>
                <w:rFonts w:ascii="Book Antiqua" w:eastAsia="Times New Roman" w:hAnsi="Book Antiqua" w:cs="Calibri"/>
                <w:color w:val="000000"/>
                <w:sz w:val="18"/>
                <w:szCs w:val="18"/>
                <w:lang w:eastAsia="es-CR"/>
              </w:rPr>
              <w:t xml:space="preserve">  tiempo estimado indicar fecha de inicio y fin; Planteamiento inicial del proyecto debe venir 3 alternativas de solución y el motivo por el cual se seleccionó la alternativa que se ejecutó y Descripción de la necesidad oportunidad de mejora o problema, falta incluir lo mencionado en solicitud de cambio del 29-6, y excluir lo del 29-12.</w:t>
            </w:r>
          </w:p>
        </w:tc>
      </w:tr>
      <w:tr w:rsidR="009872F5" w:rsidRPr="00D70F8D" w14:paraId="73AF66C3" w14:textId="77777777" w:rsidTr="005C5E7B">
        <w:trPr>
          <w:trHeight w:val="765"/>
        </w:trPr>
        <w:tc>
          <w:tcPr>
            <w:tcW w:w="1547" w:type="dxa"/>
            <w:vMerge/>
            <w:vAlign w:val="center"/>
          </w:tcPr>
          <w:p w14:paraId="58764D83"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1414" w:type="dxa"/>
            <w:vMerge/>
            <w:vAlign w:val="center"/>
          </w:tcPr>
          <w:p w14:paraId="4D8878D9" w14:textId="77777777" w:rsidR="000B7A67" w:rsidRPr="00D70F8D" w:rsidRDefault="000B7A67" w:rsidP="00F400D6">
            <w:pPr>
              <w:spacing w:after="0" w:line="240" w:lineRule="auto"/>
              <w:rPr>
                <w:rFonts w:ascii="Book Antiqua" w:eastAsia="Times New Roman" w:hAnsi="Book Antiqua" w:cs="Calibri"/>
                <w:color w:val="000000"/>
                <w:sz w:val="18"/>
                <w:szCs w:val="18"/>
                <w:lang w:eastAsia="es-CR"/>
              </w:rPr>
            </w:pPr>
          </w:p>
        </w:tc>
        <w:tc>
          <w:tcPr>
            <w:tcW w:w="1316" w:type="dxa"/>
            <w:shd w:val="clear" w:color="auto" w:fill="auto"/>
            <w:vAlign w:val="center"/>
          </w:tcPr>
          <w:p w14:paraId="07910A02"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0117-DE-P24</w:t>
            </w:r>
          </w:p>
        </w:tc>
        <w:tc>
          <w:tcPr>
            <w:tcW w:w="1867" w:type="dxa"/>
            <w:shd w:val="clear" w:color="auto" w:fill="auto"/>
            <w:vAlign w:val="center"/>
          </w:tcPr>
          <w:p w14:paraId="623994CA"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Reacondicionamiento Eléctrico Anexo A del II Circ Jud San José</w:t>
            </w:r>
          </w:p>
        </w:tc>
        <w:tc>
          <w:tcPr>
            <w:tcW w:w="989" w:type="dxa"/>
            <w:shd w:val="clear" w:color="auto" w:fill="auto"/>
            <w:vAlign w:val="center"/>
          </w:tcPr>
          <w:p w14:paraId="560DEDB6" w14:textId="77777777" w:rsidR="000B7A67" w:rsidRPr="00D70F8D" w:rsidRDefault="000B7A67" w:rsidP="00F400D6">
            <w:pPr>
              <w:spacing w:after="0" w:line="240" w:lineRule="auto"/>
              <w:jc w:val="center"/>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2.3</w:t>
            </w:r>
          </w:p>
        </w:tc>
        <w:tc>
          <w:tcPr>
            <w:tcW w:w="2932" w:type="dxa"/>
            <w:shd w:val="clear" w:color="auto" w:fill="auto"/>
            <w:vAlign w:val="center"/>
          </w:tcPr>
          <w:p w14:paraId="6F654145" w14:textId="77777777" w:rsidR="000B7A67" w:rsidRPr="00EE576B" w:rsidRDefault="000B7A67" w:rsidP="00560831">
            <w:pPr>
              <w:spacing w:after="0" w:line="240" w:lineRule="auto"/>
              <w:jc w:val="both"/>
              <w:rPr>
                <w:rFonts w:ascii="Book Antiqua" w:eastAsia="Times New Roman" w:hAnsi="Book Antiqua" w:cs="Calibri"/>
                <w:color w:val="000000"/>
                <w:sz w:val="18"/>
                <w:szCs w:val="18"/>
                <w:lang w:eastAsia="es-CR"/>
              </w:rPr>
            </w:pPr>
            <w:r w:rsidRPr="00557D98">
              <w:rPr>
                <w:rFonts w:ascii="Book Antiqua" w:eastAsia="Times New Roman" w:hAnsi="Book Antiqua" w:cs="Calibri"/>
                <w:color w:val="000000"/>
                <w:sz w:val="18"/>
                <w:szCs w:val="18"/>
                <w:lang w:eastAsia="es-CR"/>
              </w:rPr>
              <w:t>Pendiente actualizar acta de constitución y plan de gestión producto de la solicitud de cambio del 18/4/22, 29/12/2022, 27/5/22, 7/4/22</w:t>
            </w:r>
            <w:r>
              <w:rPr>
                <w:rFonts w:ascii="Book Antiqua" w:eastAsia="Times New Roman" w:hAnsi="Book Antiqua" w:cs="Calibri"/>
                <w:color w:val="000000"/>
                <w:sz w:val="18"/>
                <w:szCs w:val="18"/>
                <w:lang w:eastAsia="es-CR"/>
              </w:rPr>
              <w:t xml:space="preserve"> </w:t>
            </w:r>
            <w:r w:rsidRPr="00EE576B">
              <w:rPr>
                <w:rFonts w:ascii="Book Antiqua" w:eastAsia="Times New Roman" w:hAnsi="Book Antiqua" w:cs="Calibri"/>
                <w:color w:val="000000"/>
                <w:sz w:val="18"/>
                <w:szCs w:val="18"/>
                <w:lang w:eastAsia="es-CR"/>
              </w:rPr>
              <w:t xml:space="preserve">lo siguiente: </w:t>
            </w:r>
          </w:p>
          <w:p w14:paraId="1A85F253" w14:textId="77777777" w:rsidR="000B7A67" w:rsidRDefault="000B7A67" w:rsidP="00560831">
            <w:pPr>
              <w:spacing w:after="0" w:line="240" w:lineRule="auto"/>
              <w:jc w:val="both"/>
              <w:rPr>
                <w:rFonts w:ascii="Book Antiqua" w:eastAsia="Times New Roman" w:hAnsi="Book Antiqua" w:cs="Calibri"/>
                <w:color w:val="000000"/>
                <w:sz w:val="18"/>
                <w:szCs w:val="18"/>
                <w:lang w:eastAsia="es-CR"/>
              </w:rPr>
            </w:pPr>
            <w:r w:rsidRPr="00F66B6C">
              <w:rPr>
                <w:rFonts w:ascii="Book Antiqua" w:eastAsia="Times New Roman" w:hAnsi="Book Antiqua" w:cs="Calibri"/>
                <w:b/>
                <w:bCs/>
                <w:color w:val="000000"/>
                <w:sz w:val="18"/>
                <w:szCs w:val="18"/>
                <w:lang w:eastAsia="es-CR"/>
              </w:rPr>
              <w:t>En el plan de gestión</w:t>
            </w:r>
            <w:r w:rsidRPr="00F66B6C">
              <w:rPr>
                <w:rFonts w:ascii="Book Antiqua" w:eastAsia="Times New Roman" w:hAnsi="Book Antiqua" w:cs="Calibri"/>
                <w:color w:val="000000"/>
                <w:sz w:val="18"/>
                <w:szCs w:val="18"/>
                <w:lang w:eastAsia="es-CR"/>
              </w:rPr>
              <w:t xml:space="preserve">:  revisar que la EDT y el cronograma coincidan en su totalidad específicamente el diagrama de la EDT. </w:t>
            </w:r>
          </w:p>
          <w:p w14:paraId="1FAE102E" w14:textId="77777777" w:rsidR="000B7A67" w:rsidRPr="00D70F8D" w:rsidRDefault="000B7A67" w:rsidP="00560831">
            <w:pPr>
              <w:spacing w:after="0" w:line="240" w:lineRule="auto"/>
              <w:jc w:val="both"/>
              <w:rPr>
                <w:rFonts w:ascii="Book Antiqua" w:eastAsia="Times New Roman" w:hAnsi="Book Antiqua" w:cs="Calibri"/>
                <w:color w:val="000000"/>
                <w:sz w:val="18"/>
                <w:szCs w:val="18"/>
                <w:lang w:eastAsia="es-CR"/>
              </w:rPr>
            </w:pPr>
            <w:r w:rsidRPr="00F66B6C">
              <w:rPr>
                <w:rFonts w:ascii="Book Antiqua" w:eastAsia="Times New Roman" w:hAnsi="Book Antiqua" w:cs="Calibri"/>
                <w:b/>
                <w:bCs/>
                <w:color w:val="000000"/>
                <w:sz w:val="18"/>
                <w:szCs w:val="18"/>
                <w:lang w:eastAsia="es-CR"/>
              </w:rPr>
              <w:t>En Estudio de factibilidad pendiente</w:t>
            </w:r>
            <w:r w:rsidRPr="00F66B6C">
              <w:rPr>
                <w:rFonts w:ascii="Book Antiqua" w:eastAsia="Times New Roman" w:hAnsi="Book Antiqua" w:cs="Calibri"/>
                <w:color w:val="000000"/>
                <w:sz w:val="18"/>
                <w:szCs w:val="18"/>
                <w:lang w:eastAsia="es-CR"/>
              </w:rPr>
              <w:t>: Planteamiento inicial del proyecto debe venir 3 alternativas de solución y el motivo por el cual se seleccionó la alternativa que se ejecutó</w:t>
            </w:r>
            <w:r>
              <w:rPr>
                <w:rFonts w:ascii="Book Antiqua" w:eastAsia="Times New Roman" w:hAnsi="Book Antiqua" w:cs="Calibri"/>
                <w:color w:val="000000"/>
                <w:sz w:val="18"/>
                <w:szCs w:val="18"/>
                <w:lang w:eastAsia="es-CR"/>
              </w:rPr>
              <w:t xml:space="preserve">; </w:t>
            </w:r>
            <w:r w:rsidRPr="00EE576B">
              <w:rPr>
                <w:rFonts w:ascii="Book Antiqua" w:eastAsia="Times New Roman" w:hAnsi="Book Antiqua" w:cs="Calibri"/>
                <w:color w:val="000000"/>
                <w:sz w:val="18"/>
                <w:szCs w:val="18"/>
                <w:lang w:eastAsia="es-CR"/>
              </w:rPr>
              <w:t>tiempo estimado indicar fecha de inicio y fin</w:t>
            </w:r>
            <w:r>
              <w:rPr>
                <w:rFonts w:ascii="Book Antiqua" w:eastAsia="Times New Roman" w:hAnsi="Book Antiqua" w:cs="Calibri"/>
                <w:color w:val="000000"/>
                <w:sz w:val="18"/>
                <w:szCs w:val="18"/>
                <w:lang w:eastAsia="es-CR"/>
              </w:rPr>
              <w:t>.</w:t>
            </w:r>
          </w:p>
        </w:tc>
      </w:tr>
    </w:tbl>
    <w:p w14:paraId="2B062D91" w14:textId="77777777" w:rsidR="000B7A67" w:rsidRDefault="000B7A67" w:rsidP="000B7A67">
      <w:pPr>
        <w:spacing w:after="0"/>
        <w:jc w:val="both"/>
        <w:rPr>
          <w:rFonts w:ascii="Book Antiqua" w:hAnsi="Book Antiqua"/>
          <w:sz w:val="24"/>
          <w:szCs w:val="24"/>
        </w:rPr>
      </w:pPr>
    </w:p>
    <w:p w14:paraId="270EEEB7" w14:textId="77777777" w:rsidR="000B7A67" w:rsidRDefault="000B7A67" w:rsidP="000B7A67">
      <w:pPr>
        <w:spacing w:after="0"/>
        <w:jc w:val="both"/>
        <w:rPr>
          <w:rFonts w:ascii="Book Antiqua" w:hAnsi="Book Antiqua"/>
          <w:b/>
          <w:sz w:val="24"/>
          <w:szCs w:val="24"/>
        </w:rPr>
      </w:pPr>
      <w:r w:rsidRPr="003B26B6">
        <w:rPr>
          <w:rFonts w:ascii="Book Antiqua" w:hAnsi="Book Antiqua"/>
          <w:sz w:val="24"/>
          <w:szCs w:val="24"/>
        </w:rPr>
        <w:lastRenderedPageBreak/>
        <w:t xml:space="preserve">Los proyectos anteriores, tendrán </w:t>
      </w:r>
      <w:r w:rsidRPr="005C5E7B">
        <w:rPr>
          <w:rFonts w:ascii="Book Antiqua" w:hAnsi="Book Antiqua"/>
          <w:sz w:val="24"/>
          <w:szCs w:val="24"/>
        </w:rPr>
        <w:t xml:space="preserve">al </w:t>
      </w:r>
      <w:r w:rsidRPr="005C5E7B">
        <w:rPr>
          <w:rFonts w:ascii="Book Antiqua" w:hAnsi="Book Antiqua"/>
          <w:b/>
          <w:bCs/>
          <w:sz w:val="24"/>
          <w:szCs w:val="24"/>
        </w:rPr>
        <w:t>11 de agosto del 2023 para</w:t>
      </w:r>
      <w:r w:rsidRPr="003B26B6">
        <w:rPr>
          <w:rFonts w:ascii="Book Antiqua" w:hAnsi="Book Antiqua"/>
          <w:b/>
          <w:bCs/>
          <w:sz w:val="24"/>
          <w:szCs w:val="24"/>
        </w:rPr>
        <w:t xml:space="preserve"> </w:t>
      </w:r>
      <w:r>
        <w:rPr>
          <w:rFonts w:ascii="Book Antiqua" w:hAnsi="Book Antiqua"/>
          <w:b/>
          <w:bCs/>
          <w:sz w:val="24"/>
          <w:szCs w:val="24"/>
        </w:rPr>
        <w:t xml:space="preserve">atender las recomendaciones pendientes </w:t>
      </w:r>
      <w:r w:rsidRPr="003B26B6">
        <w:rPr>
          <w:rFonts w:ascii="Book Antiqua" w:hAnsi="Book Antiqua"/>
          <w:b/>
          <w:sz w:val="24"/>
          <w:szCs w:val="24"/>
        </w:rPr>
        <w:t xml:space="preserve">y notificar a la </w:t>
      </w:r>
      <w:r>
        <w:rPr>
          <w:rFonts w:ascii="Book Antiqua" w:hAnsi="Book Antiqua"/>
          <w:b/>
          <w:sz w:val="24"/>
          <w:szCs w:val="24"/>
        </w:rPr>
        <w:t xml:space="preserve">Unidad del Portafolio de Proyectos, </w:t>
      </w:r>
      <w:r w:rsidRPr="003B26B6">
        <w:rPr>
          <w:rFonts w:ascii="Book Antiqua" w:hAnsi="Book Antiqua"/>
          <w:b/>
          <w:sz w:val="24"/>
          <w:szCs w:val="24"/>
        </w:rPr>
        <w:t>Dirección de Planificación</w:t>
      </w:r>
      <w:r>
        <w:rPr>
          <w:rFonts w:ascii="Book Antiqua" w:hAnsi="Book Antiqua"/>
          <w:b/>
          <w:sz w:val="24"/>
          <w:szCs w:val="24"/>
        </w:rPr>
        <w:t>.</w:t>
      </w:r>
    </w:p>
    <w:p w14:paraId="02E8B08F" w14:textId="77777777" w:rsidR="000B7A67" w:rsidRDefault="000B7A67" w:rsidP="000B7A67">
      <w:pPr>
        <w:spacing w:after="0"/>
        <w:jc w:val="both"/>
        <w:rPr>
          <w:rFonts w:ascii="Book Antiqua" w:hAnsi="Book Antiqua"/>
          <w:sz w:val="24"/>
          <w:szCs w:val="24"/>
        </w:rPr>
      </w:pPr>
    </w:p>
    <w:p w14:paraId="33CA1BC4" w14:textId="77777777" w:rsidR="000B7A67" w:rsidRPr="001D2656" w:rsidRDefault="000B7A67" w:rsidP="000B7A67">
      <w:pPr>
        <w:pStyle w:val="Ttulo2"/>
        <w:numPr>
          <w:ilvl w:val="0"/>
          <w:numId w:val="3"/>
        </w:numPr>
        <w:tabs>
          <w:tab w:val="left" w:pos="851"/>
        </w:tabs>
        <w:spacing w:before="0"/>
        <w:jc w:val="both"/>
        <w:rPr>
          <w:rFonts w:ascii="Book Antiqua" w:eastAsia="Wingdings" w:hAnsi="Book Antiqua"/>
          <w:b/>
          <w:bCs/>
          <w:color w:val="auto"/>
          <w:lang w:eastAsia="ko-KR"/>
        </w:rPr>
      </w:pPr>
      <w:bookmarkStart w:id="32" w:name="_Toc131160571"/>
      <w:bookmarkStart w:id="33" w:name="_Toc138770831"/>
      <w:r w:rsidRPr="001D2656">
        <w:rPr>
          <w:rFonts w:ascii="Book Antiqua" w:eastAsia="Wingdings" w:hAnsi="Book Antiqua"/>
          <w:b/>
          <w:bCs/>
          <w:color w:val="auto"/>
          <w:lang w:eastAsia="ko-KR"/>
        </w:rPr>
        <w:t xml:space="preserve">Recomendaciones dirigidas </w:t>
      </w:r>
      <w:r>
        <w:rPr>
          <w:rFonts w:ascii="Book Antiqua" w:eastAsia="Wingdings" w:hAnsi="Book Antiqua"/>
          <w:b/>
          <w:bCs/>
          <w:color w:val="auto"/>
          <w:lang w:eastAsia="ko-KR"/>
        </w:rPr>
        <w:t>a la Dirección de Gestión Humana</w:t>
      </w:r>
      <w:bookmarkEnd w:id="32"/>
      <w:bookmarkEnd w:id="33"/>
    </w:p>
    <w:p w14:paraId="6B98026C" w14:textId="77777777" w:rsidR="000B7A67" w:rsidRDefault="000B7A67" w:rsidP="000B7A67">
      <w:pPr>
        <w:spacing w:after="0"/>
        <w:jc w:val="both"/>
        <w:rPr>
          <w:rFonts w:ascii="Book Antiqua" w:hAnsi="Book Antiqua"/>
        </w:rPr>
      </w:pPr>
    </w:p>
    <w:p w14:paraId="41A1E05F" w14:textId="77777777" w:rsidR="000B7A67" w:rsidRDefault="000B7A67" w:rsidP="000B7A67">
      <w:pPr>
        <w:jc w:val="both"/>
        <w:rPr>
          <w:lang w:eastAsia="ko-KR"/>
        </w:rPr>
      </w:pPr>
      <w:r>
        <w:rPr>
          <w:rFonts w:ascii="Book Antiqua" w:hAnsi="Book Antiqua"/>
          <w:sz w:val="24"/>
          <w:szCs w:val="24"/>
        </w:rPr>
        <w:t xml:space="preserve">En el informe 277-PLA-PP-2023, se dirigió una recomendación a la </w:t>
      </w:r>
      <w:r w:rsidRPr="002C501F">
        <w:rPr>
          <w:rFonts w:ascii="Book Antiqua" w:hAnsi="Book Antiqua"/>
          <w:b/>
          <w:bCs/>
          <w:sz w:val="24"/>
          <w:szCs w:val="24"/>
        </w:rPr>
        <w:t>Dirección de Gestión Humana</w:t>
      </w:r>
      <w:r>
        <w:rPr>
          <w:rFonts w:ascii="Book Antiqua" w:eastAsia="Wingdings" w:hAnsi="Book Antiqua"/>
          <w:b/>
          <w:bCs/>
          <w:lang w:eastAsia="ko-KR"/>
        </w:rPr>
        <w:t>,</w:t>
      </w:r>
      <w:r>
        <w:rPr>
          <w:rFonts w:ascii="Book Antiqua" w:hAnsi="Book Antiqua"/>
          <w:sz w:val="24"/>
          <w:szCs w:val="24"/>
        </w:rPr>
        <w:t xml:space="preserve"> debido a que existían proyectos con gestiones pendientes de atender o nuevas recomendaciones, por lo anterior se realiza el seguimiento a las siguientes recomendaciones:</w:t>
      </w:r>
    </w:p>
    <w:p w14:paraId="7A296F28" w14:textId="77777777" w:rsidR="000B7A67" w:rsidRDefault="000B7A67" w:rsidP="000B7A67">
      <w:pPr>
        <w:jc w:val="both"/>
        <w:rPr>
          <w:rFonts w:ascii="Book Antiqua" w:hAnsi="Book Antiqua"/>
          <w:i/>
          <w:iCs/>
          <w:sz w:val="24"/>
          <w:szCs w:val="24"/>
        </w:rPr>
      </w:pPr>
      <w:r w:rsidRPr="003041AE">
        <w:rPr>
          <w:rFonts w:ascii="Book Antiqua" w:hAnsi="Book Antiqua"/>
          <w:i/>
          <w:iCs/>
          <w:sz w:val="24"/>
          <w:szCs w:val="24"/>
        </w:rPr>
        <w:t>“</w:t>
      </w:r>
      <w:r w:rsidRPr="00FB38BA">
        <w:rPr>
          <w:rFonts w:ascii="Book Antiqua" w:hAnsi="Book Antiqua"/>
          <w:b/>
          <w:bCs/>
          <w:i/>
          <w:iCs/>
          <w:sz w:val="24"/>
          <w:szCs w:val="24"/>
        </w:rPr>
        <w:t xml:space="preserve">2.15.) </w:t>
      </w:r>
      <w:r>
        <w:rPr>
          <w:rFonts w:ascii="Book Antiqua" w:hAnsi="Book Antiqua"/>
          <w:i/>
          <w:iCs/>
          <w:sz w:val="24"/>
          <w:szCs w:val="24"/>
        </w:rPr>
        <w:t>La Dirección Gestión Humana deberá: a.) A más tardar el 28 de abril del 2023, cargar en el sitio de los proyectos las recomendaciones que se disponen en la respectiva tabla que se contiene en el presente informe.</w:t>
      </w:r>
      <w:r w:rsidRPr="00D92A85">
        <w:rPr>
          <w:rFonts w:ascii="Book Antiqua" w:hAnsi="Book Antiqua"/>
          <w:i/>
          <w:iCs/>
          <w:sz w:val="24"/>
          <w:szCs w:val="24"/>
        </w:rPr>
        <w:t xml:space="preserve"> </w:t>
      </w:r>
      <w:r>
        <w:rPr>
          <w:rFonts w:ascii="Book Antiqua" w:hAnsi="Book Antiqua"/>
          <w:i/>
          <w:iCs/>
          <w:sz w:val="24"/>
          <w:szCs w:val="24"/>
        </w:rPr>
        <w:t>b.) Dar seguimiento y verificar que las Secciones de: Reclutamiento y Selección; Administración Salarial; Carrera Judicial; Presupuesto y Estudios Especiales; Desarrollo Humano y, Gestión del Desempeño, carguen en el sitio de sus respectivos proyectos, a más tardar el 28 de abril del 2023, la atención de la recomendación que se dispone para cada caso, en la respectiva tabla que se incluye en este informe. c.) Tomar las medidas pertinentes a fin de poder contrarrestar los atrasos presentados y, cuando no sea posible subsanar los atrasos, se deberá valorar la presentación de una solicitud de cambio en los casos que el retraso afecte la fecha de finalización de los proyectos y que la misma tenga autorización de la persona jefe o del director del proyecto. d.) Revisar y monitorear los proyectos que presentan un retraso significativo, y cuentan con permisos con goce otorgados.</w:t>
      </w:r>
    </w:p>
    <w:tbl>
      <w:tblPr>
        <w:tblW w:w="9498" w:type="dxa"/>
        <w:tblInd w:w="-431" w:type="dxa"/>
        <w:tblCellMar>
          <w:left w:w="70" w:type="dxa"/>
          <w:right w:w="70" w:type="dxa"/>
        </w:tblCellMar>
        <w:tblLook w:val="04A0" w:firstRow="1" w:lastRow="0" w:firstColumn="1" w:lastColumn="0" w:noHBand="0" w:noVBand="1"/>
      </w:tblPr>
      <w:tblGrid>
        <w:gridCol w:w="1470"/>
        <w:gridCol w:w="1390"/>
        <w:gridCol w:w="978"/>
        <w:gridCol w:w="1975"/>
        <w:gridCol w:w="1134"/>
        <w:gridCol w:w="2551"/>
      </w:tblGrid>
      <w:tr w:rsidR="00BC00B3" w:rsidRPr="00126691" w14:paraId="2CC855FC" w14:textId="77777777" w:rsidTr="005C5E7B">
        <w:trPr>
          <w:trHeight w:val="300"/>
          <w:tblHeader/>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229A38C9" w14:textId="77777777" w:rsidR="000B7A67" w:rsidRPr="00126691" w:rsidRDefault="000B7A67" w:rsidP="00F400D6">
            <w:pPr>
              <w:spacing w:after="0" w:line="240" w:lineRule="auto"/>
              <w:jc w:val="center"/>
              <w:rPr>
                <w:rFonts w:ascii="Book Antiqua" w:eastAsia="Times New Roman" w:hAnsi="Book Antiqua" w:cs="Calibri"/>
                <w:b/>
                <w:bCs/>
                <w:color w:val="FFFFFF"/>
                <w:sz w:val="18"/>
                <w:szCs w:val="18"/>
                <w:lang w:eastAsia="es-CR"/>
              </w:rPr>
            </w:pPr>
            <w:r w:rsidRPr="00126691">
              <w:rPr>
                <w:rFonts w:ascii="Book Antiqua" w:eastAsia="Times New Roman" w:hAnsi="Book Antiqua" w:cs="Calibri"/>
                <w:b/>
                <w:bCs/>
                <w:color w:val="FFFFFF"/>
                <w:sz w:val="18"/>
                <w:szCs w:val="18"/>
                <w:lang w:eastAsia="es-CR"/>
              </w:rPr>
              <w:t xml:space="preserve">Centro de responsabilidad </w:t>
            </w:r>
          </w:p>
        </w:tc>
        <w:tc>
          <w:tcPr>
            <w:tcW w:w="1390" w:type="dxa"/>
            <w:tcBorders>
              <w:top w:val="single" w:sz="4" w:space="0" w:color="auto"/>
              <w:left w:val="nil"/>
              <w:bottom w:val="single" w:sz="4" w:space="0" w:color="auto"/>
              <w:right w:val="single" w:sz="4" w:space="0" w:color="auto"/>
            </w:tcBorders>
            <w:shd w:val="clear" w:color="000000" w:fill="44546A"/>
            <w:vAlign w:val="center"/>
            <w:hideMark/>
          </w:tcPr>
          <w:p w14:paraId="11813630" w14:textId="77777777" w:rsidR="000B7A67" w:rsidRPr="00126691" w:rsidRDefault="000B7A67" w:rsidP="00F400D6">
            <w:pPr>
              <w:spacing w:after="0" w:line="240" w:lineRule="auto"/>
              <w:jc w:val="center"/>
              <w:rPr>
                <w:rFonts w:ascii="Book Antiqua" w:eastAsia="Times New Roman" w:hAnsi="Book Antiqua" w:cs="Calibri"/>
                <w:b/>
                <w:bCs/>
                <w:color w:val="FFFFFF"/>
                <w:sz w:val="18"/>
                <w:szCs w:val="18"/>
                <w:lang w:eastAsia="es-CR"/>
              </w:rPr>
            </w:pPr>
            <w:r w:rsidRPr="00126691">
              <w:rPr>
                <w:rFonts w:ascii="Book Antiqua" w:eastAsia="Times New Roman" w:hAnsi="Book Antiqua" w:cs="Calibri"/>
                <w:b/>
                <w:bCs/>
                <w:color w:val="FFFFFF"/>
                <w:sz w:val="18"/>
                <w:szCs w:val="18"/>
                <w:lang w:eastAsia="es-CR"/>
              </w:rPr>
              <w:t>Oficina Líder</w:t>
            </w:r>
          </w:p>
        </w:tc>
        <w:tc>
          <w:tcPr>
            <w:tcW w:w="978" w:type="dxa"/>
            <w:tcBorders>
              <w:top w:val="single" w:sz="4" w:space="0" w:color="auto"/>
              <w:left w:val="nil"/>
              <w:bottom w:val="single" w:sz="4" w:space="0" w:color="auto"/>
              <w:right w:val="single" w:sz="4" w:space="0" w:color="auto"/>
            </w:tcBorders>
            <w:shd w:val="clear" w:color="000000" w:fill="44546A"/>
            <w:vAlign w:val="center"/>
            <w:hideMark/>
          </w:tcPr>
          <w:p w14:paraId="250887A3" w14:textId="77777777" w:rsidR="000B7A67" w:rsidRPr="00126691" w:rsidRDefault="000B7A67" w:rsidP="00F400D6">
            <w:pPr>
              <w:spacing w:after="0" w:line="240" w:lineRule="auto"/>
              <w:jc w:val="center"/>
              <w:rPr>
                <w:rFonts w:ascii="Book Antiqua" w:eastAsia="Times New Roman" w:hAnsi="Book Antiqua" w:cs="Calibri"/>
                <w:b/>
                <w:bCs/>
                <w:color w:val="FFFFFF"/>
                <w:sz w:val="18"/>
                <w:szCs w:val="18"/>
                <w:lang w:eastAsia="es-CR"/>
              </w:rPr>
            </w:pPr>
            <w:r w:rsidRPr="00126691">
              <w:rPr>
                <w:rFonts w:ascii="Book Antiqua" w:eastAsia="Times New Roman" w:hAnsi="Book Antiqua" w:cs="Calibri"/>
                <w:b/>
                <w:bCs/>
                <w:color w:val="FFFFFF"/>
                <w:sz w:val="18"/>
                <w:szCs w:val="18"/>
                <w:lang w:eastAsia="es-CR"/>
              </w:rPr>
              <w:t>Código</w:t>
            </w:r>
          </w:p>
        </w:tc>
        <w:tc>
          <w:tcPr>
            <w:tcW w:w="1975" w:type="dxa"/>
            <w:tcBorders>
              <w:top w:val="single" w:sz="4" w:space="0" w:color="auto"/>
              <w:left w:val="nil"/>
              <w:bottom w:val="single" w:sz="4" w:space="0" w:color="auto"/>
              <w:right w:val="single" w:sz="4" w:space="0" w:color="auto"/>
            </w:tcBorders>
            <w:shd w:val="clear" w:color="000000" w:fill="44546A"/>
            <w:vAlign w:val="center"/>
            <w:hideMark/>
          </w:tcPr>
          <w:p w14:paraId="53483488" w14:textId="77777777" w:rsidR="000B7A67" w:rsidRPr="00126691" w:rsidRDefault="000B7A67" w:rsidP="00F400D6">
            <w:pPr>
              <w:spacing w:after="0" w:line="240" w:lineRule="auto"/>
              <w:jc w:val="center"/>
              <w:rPr>
                <w:rFonts w:ascii="Book Antiqua" w:eastAsia="Times New Roman" w:hAnsi="Book Antiqua" w:cs="Calibri"/>
                <w:b/>
                <w:bCs/>
                <w:color w:val="FFFFFF"/>
                <w:sz w:val="18"/>
                <w:szCs w:val="18"/>
                <w:lang w:eastAsia="es-CR"/>
              </w:rPr>
            </w:pPr>
            <w:r w:rsidRPr="00126691">
              <w:rPr>
                <w:rFonts w:ascii="Book Antiqua" w:eastAsia="Times New Roman" w:hAnsi="Book Antiqua" w:cs="Calibri"/>
                <w:b/>
                <w:bCs/>
                <w:color w:val="FFFFFF"/>
                <w:sz w:val="18"/>
                <w:szCs w:val="18"/>
                <w:lang w:eastAsia="es-CR"/>
              </w:rPr>
              <w:t>Nombre</w:t>
            </w:r>
          </w:p>
        </w:tc>
        <w:tc>
          <w:tcPr>
            <w:tcW w:w="1134" w:type="dxa"/>
            <w:tcBorders>
              <w:top w:val="single" w:sz="4" w:space="0" w:color="auto"/>
              <w:left w:val="nil"/>
              <w:bottom w:val="single" w:sz="4" w:space="0" w:color="auto"/>
              <w:right w:val="single" w:sz="4" w:space="0" w:color="auto"/>
            </w:tcBorders>
            <w:shd w:val="clear" w:color="000000" w:fill="44546A"/>
            <w:vAlign w:val="center"/>
            <w:hideMark/>
          </w:tcPr>
          <w:p w14:paraId="141427B7" w14:textId="77777777" w:rsidR="000B7A67" w:rsidRPr="00126691" w:rsidRDefault="000B7A67" w:rsidP="00F400D6">
            <w:pPr>
              <w:spacing w:after="0" w:line="240" w:lineRule="auto"/>
              <w:jc w:val="center"/>
              <w:rPr>
                <w:rFonts w:ascii="Book Antiqua" w:eastAsia="Times New Roman" w:hAnsi="Book Antiqua" w:cs="Calibri"/>
                <w:b/>
                <w:bCs/>
                <w:color w:val="FFFFFF"/>
                <w:sz w:val="18"/>
                <w:szCs w:val="18"/>
                <w:lang w:eastAsia="es-CR"/>
              </w:rPr>
            </w:pPr>
            <w:r w:rsidRPr="00126691">
              <w:rPr>
                <w:rFonts w:ascii="Book Antiqua" w:eastAsia="Times New Roman" w:hAnsi="Book Antiqua" w:cs="Calibri"/>
                <w:b/>
                <w:bCs/>
                <w:color w:val="FFFFFF"/>
                <w:sz w:val="18"/>
                <w:szCs w:val="18"/>
                <w:lang w:eastAsia="es-CR"/>
              </w:rPr>
              <w:t>Parte pendiente</w:t>
            </w:r>
          </w:p>
        </w:tc>
        <w:tc>
          <w:tcPr>
            <w:tcW w:w="2551" w:type="dxa"/>
            <w:tcBorders>
              <w:top w:val="single" w:sz="4" w:space="0" w:color="auto"/>
              <w:left w:val="nil"/>
              <w:bottom w:val="single" w:sz="4" w:space="0" w:color="auto"/>
              <w:right w:val="single" w:sz="4" w:space="0" w:color="auto"/>
            </w:tcBorders>
            <w:shd w:val="clear" w:color="000000" w:fill="44546A"/>
            <w:vAlign w:val="center"/>
            <w:hideMark/>
          </w:tcPr>
          <w:p w14:paraId="644456F1" w14:textId="77777777" w:rsidR="000B7A67" w:rsidRPr="00126691" w:rsidRDefault="000B7A67" w:rsidP="00F400D6">
            <w:pPr>
              <w:spacing w:after="0" w:line="240" w:lineRule="auto"/>
              <w:jc w:val="center"/>
              <w:rPr>
                <w:rFonts w:ascii="Book Antiqua" w:eastAsia="Times New Roman" w:hAnsi="Book Antiqua" w:cs="Calibri"/>
                <w:b/>
                <w:bCs/>
                <w:color w:val="FFFFFF"/>
                <w:sz w:val="18"/>
                <w:szCs w:val="18"/>
                <w:lang w:eastAsia="es-CR"/>
              </w:rPr>
            </w:pPr>
            <w:r w:rsidRPr="00126691">
              <w:rPr>
                <w:rFonts w:ascii="Book Antiqua" w:eastAsia="Times New Roman" w:hAnsi="Book Antiqua" w:cs="Calibri"/>
                <w:b/>
                <w:bCs/>
                <w:color w:val="FFFFFF"/>
                <w:sz w:val="18"/>
                <w:szCs w:val="18"/>
                <w:lang w:eastAsia="es-CR"/>
              </w:rPr>
              <w:t xml:space="preserve">Detalle </w:t>
            </w:r>
          </w:p>
        </w:tc>
      </w:tr>
      <w:tr w:rsidR="007E6FC1" w:rsidRPr="00126691" w14:paraId="020BFA42" w14:textId="77777777" w:rsidTr="005C5E7B">
        <w:trPr>
          <w:trHeight w:val="552"/>
        </w:trPr>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1C9776BF"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Dirección Gestión Humana</w:t>
            </w:r>
          </w:p>
        </w:tc>
        <w:tc>
          <w:tcPr>
            <w:tcW w:w="1390" w:type="dxa"/>
            <w:tcBorders>
              <w:top w:val="nil"/>
              <w:left w:val="nil"/>
              <w:bottom w:val="single" w:sz="4" w:space="0" w:color="auto"/>
              <w:right w:val="single" w:sz="4" w:space="0" w:color="auto"/>
            </w:tcBorders>
            <w:shd w:val="clear" w:color="auto" w:fill="auto"/>
            <w:vAlign w:val="center"/>
            <w:hideMark/>
          </w:tcPr>
          <w:p w14:paraId="79B33AD3"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 xml:space="preserve">0134 </w:t>
            </w:r>
            <w:r>
              <w:rPr>
                <w:rFonts w:ascii="Book Antiqua" w:eastAsia="Times New Roman" w:hAnsi="Book Antiqua" w:cs="Calibri"/>
                <w:color w:val="000000"/>
                <w:sz w:val="18"/>
                <w:szCs w:val="18"/>
                <w:lang w:eastAsia="es-CR"/>
              </w:rPr>
              <w:t>D</w:t>
            </w:r>
            <w:r w:rsidRPr="00126691">
              <w:rPr>
                <w:rFonts w:ascii="Book Antiqua" w:eastAsia="Times New Roman" w:hAnsi="Book Antiqua" w:cs="Calibri"/>
                <w:color w:val="000000"/>
                <w:sz w:val="18"/>
                <w:szCs w:val="18"/>
                <w:lang w:eastAsia="es-CR"/>
              </w:rPr>
              <w:t xml:space="preserve">irección </w:t>
            </w:r>
            <w:r>
              <w:rPr>
                <w:rFonts w:ascii="Book Antiqua" w:eastAsia="Times New Roman" w:hAnsi="Book Antiqua" w:cs="Calibri"/>
                <w:color w:val="000000"/>
                <w:sz w:val="18"/>
                <w:szCs w:val="18"/>
                <w:lang w:eastAsia="es-CR"/>
              </w:rPr>
              <w:t>G</w:t>
            </w:r>
            <w:r w:rsidRPr="00126691">
              <w:rPr>
                <w:rFonts w:ascii="Book Antiqua" w:eastAsia="Times New Roman" w:hAnsi="Book Antiqua" w:cs="Calibri"/>
                <w:color w:val="000000"/>
                <w:sz w:val="18"/>
                <w:szCs w:val="18"/>
                <w:lang w:eastAsia="es-CR"/>
              </w:rPr>
              <w:t xml:space="preserve">estión </w:t>
            </w:r>
            <w:r>
              <w:rPr>
                <w:rFonts w:ascii="Book Antiqua" w:eastAsia="Times New Roman" w:hAnsi="Book Antiqua" w:cs="Calibri"/>
                <w:color w:val="000000"/>
                <w:sz w:val="18"/>
                <w:szCs w:val="18"/>
                <w:lang w:eastAsia="es-CR"/>
              </w:rPr>
              <w:t>H</w:t>
            </w:r>
            <w:r w:rsidRPr="00126691">
              <w:rPr>
                <w:rFonts w:ascii="Book Antiqua" w:eastAsia="Times New Roman" w:hAnsi="Book Antiqua" w:cs="Calibri"/>
                <w:color w:val="000000"/>
                <w:sz w:val="18"/>
                <w:szCs w:val="18"/>
                <w:lang w:eastAsia="es-CR"/>
              </w:rPr>
              <w:t>umana</w:t>
            </w:r>
          </w:p>
        </w:tc>
        <w:tc>
          <w:tcPr>
            <w:tcW w:w="978" w:type="dxa"/>
            <w:tcBorders>
              <w:top w:val="nil"/>
              <w:left w:val="nil"/>
              <w:bottom w:val="single" w:sz="4" w:space="0" w:color="auto"/>
              <w:right w:val="single" w:sz="4" w:space="0" w:color="auto"/>
            </w:tcBorders>
            <w:shd w:val="clear" w:color="auto" w:fill="auto"/>
            <w:vAlign w:val="center"/>
            <w:hideMark/>
          </w:tcPr>
          <w:p w14:paraId="6BE4AEC1"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0134-DGH-P14</w:t>
            </w:r>
          </w:p>
        </w:tc>
        <w:tc>
          <w:tcPr>
            <w:tcW w:w="1975" w:type="dxa"/>
            <w:tcBorders>
              <w:top w:val="nil"/>
              <w:left w:val="nil"/>
              <w:bottom w:val="single" w:sz="4" w:space="0" w:color="auto"/>
              <w:right w:val="single" w:sz="4" w:space="0" w:color="auto"/>
            </w:tcBorders>
            <w:shd w:val="clear" w:color="auto" w:fill="auto"/>
            <w:vAlign w:val="center"/>
            <w:hideMark/>
          </w:tcPr>
          <w:p w14:paraId="3F1116ED"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Actualización de la Política sobre Empleabilidad en el Poder Judicial</w:t>
            </w:r>
          </w:p>
        </w:tc>
        <w:tc>
          <w:tcPr>
            <w:tcW w:w="1134" w:type="dxa"/>
            <w:tcBorders>
              <w:top w:val="nil"/>
              <w:left w:val="nil"/>
              <w:bottom w:val="single" w:sz="4" w:space="0" w:color="auto"/>
              <w:right w:val="single" w:sz="4" w:space="0" w:color="auto"/>
            </w:tcBorders>
            <w:shd w:val="clear" w:color="auto" w:fill="auto"/>
            <w:vAlign w:val="center"/>
            <w:hideMark/>
          </w:tcPr>
          <w:p w14:paraId="0DA962D5"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2.1</w:t>
            </w:r>
          </w:p>
        </w:tc>
        <w:tc>
          <w:tcPr>
            <w:tcW w:w="2551" w:type="dxa"/>
            <w:tcBorders>
              <w:top w:val="nil"/>
              <w:left w:val="nil"/>
              <w:bottom w:val="single" w:sz="4" w:space="0" w:color="auto"/>
              <w:right w:val="single" w:sz="4" w:space="0" w:color="auto"/>
            </w:tcBorders>
            <w:shd w:val="clear" w:color="auto" w:fill="auto"/>
            <w:vAlign w:val="center"/>
            <w:hideMark/>
          </w:tcPr>
          <w:p w14:paraId="36414BF6" w14:textId="77777777" w:rsidR="000B7A67" w:rsidRPr="00126691" w:rsidRDefault="000B7A67" w:rsidP="00560831">
            <w:pPr>
              <w:spacing w:after="0" w:line="240" w:lineRule="auto"/>
              <w:jc w:val="both"/>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El informe de avance presentaba incorrecto el porcentaje real y esperado.</w:t>
            </w:r>
          </w:p>
        </w:tc>
      </w:tr>
      <w:tr w:rsidR="007E6FC1" w:rsidRPr="00126691" w14:paraId="15967AE3" w14:textId="77777777" w:rsidTr="005C5E7B">
        <w:trPr>
          <w:trHeight w:val="508"/>
        </w:trPr>
        <w:tc>
          <w:tcPr>
            <w:tcW w:w="1470" w:type="dxa"/>
            <w:vMerge/>
            <w:tcBorders>
              <w:top w:val="nil"/>
              <w:left w:val="single" w:sz="4" w:space="0" w:color="auto"/>
              <w:bottom w:val="single" w:sz="4" w:space="0" w:color="000000"/>
              <w:right w:val="single" w:sz="4" w:space="0" w:color="auto"/>
            </w:tcBorders>
            <w:vAlign w:val="center"/>
            <w:hideMark/>
          </w:tcPr>
          <w:p w14:paraId="208C59F2"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1390" w:type="dxa"/>
            <w:vMerge w:val="restart"/>
            <w:tcBorders>
              <w:top w:val="nil"/>
              <w:left w:val="single" w:sz="4" w:space="0" w:color="auto"/>
              <w:bottom w:val="single" w:sz="4" w:space="0" w:color="000000"/>
              <w:right w:val="single" w:sz="4" w:space="0" w:color="auto"/>
            </w:tcBorders>
            <w:shd w:val="clear" w:color="auto" w:fill="auto"/>
            <w:vAlign w:val="center"/>
            <w:hideMark/>
          </w:tcPr>
          <w:p w14:paraId="43635396"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 xml:space="preserve">0136 </w:t>
            </w:r>
            <w:r>
              <w:rPr>
                <w:rFonts w:ascii="Book Antiqua" w:eastAsia="Times New Roman" w:hAnsi="Book Antiqua" w:cs="Calibri"/>
                <w:color w:val="000000"/>
                <w:sz w:val="18"/>
                <w:szCs w:val="18"/>
                <w:lang w:eastAsia="es-CR"/>
              </w:rPr>
              <w:t>S</w:t>
            </w:r>
            <w:r w:rsidRPr="00126691">
              <w:rPr>
                <w:rFonts w:ascii="Book Antiqua" w:eastAsia="Times New Roman" w:hAnsi="Book Antiqua" w:cs="Calibri"/>
                <w:color w:val="000000"/>
                <w:sz w:val="18"/>
                <w:szCs w:val="18"/>
                <w:lang w:eastAsia="es-CR"/>
              </w:rPr>
              <w:t xml:space="preserve">ección de </w:t>
            </w:r>
            <w:r>
              <w:rPr>
                <w:rFonts w:ascii="Book Antiqua" w:eastAsia="Times New Roman" w:hAnsi="Book Antiqua" w:cs="Calibri"/>
                <w:color w:val="000000"/>
                <w:sz w:val="18"/>
                <w:szCs w:val="18"/>
                <w:lang w:eastAsia="es-CR"/>
              </w:rPr>
              <w:t>R</w:t>
            </w:r>
            <w:r w:rsidRPr="00126691">
              <w:rPr>
                <w:rFonts w:ascii="Book Antiqua" w:eastAsia="Times New Roman" w:hAnsi="Book Antiqua" w:cs="Calibri"/>
                <w:color w:val="000000"/>
                <w:sz w:val="18"/>
                <w:szCs w:val="18"/>
                <w:lang w:eastAsia="es-CR"/>
              </w:rPr>
              <w:t xml:space="preserve">eclutamiento y </w:t>
            </w:r>
            <w:r>
              <w:rPr>
                <w:rFonts w:ascii="Book Antiqua" w:eastAsia="Times New Roman" w:hAnsi="Book Antiqua" w:cs="Calibri"/>
                <w:color w:val="000000"/>
                <w:sz w:val="18"/>
                <w:szCs w:val="18"/>
                <w:lang w:eastAsia="es-CR"/>
              </w:rPr>
              <w:t>S</w:t>
            </w:r>
            <w:r w:rsidRPr="00126691">
              <w:rPr>
                <w:rFonts w:ascii="Book Antiqua" w:eastAsia="Times New Roman" w:hAnsi="Book Antiqua" w:cs="Calibri"/>
                <w:color w:val="000000"/>
                <w:sz w:val="18"/>
                <w:szCs w:val="18"/>
                <w:lang w:eastAsia="es-CR"/>
              </w:rPr>
              <w:t>elección</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14:paraId="548A7496"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0134-DGH-P04</w:t>
            </w:r>
          </w:p>
        </w:tc>
        <w:tc>
          <w:tcPr>
            <w:tcW w:w="1975" w:type="dxa"/>
            <w:vMerge w:val="restart"/>
            <w:tcBorders>
              <w:top w:val="nil"/>
              <w:left w:val="single" w:sz="4" w:space="0" w:color="auto"/>
              <w:bottom w:val="single" w:sz="4" w:space="0" w:color="000000"/>
              <w:right w:val="single" w:sz="4" w:space="0" w:color="auto"/>
            </w:tcBorders>
            <w:shd w:val="clear" w:color="auto" w:fill="auto"/>
            <w:vAlign w:val="center"/>
            <w:hideMark/>
          </w:tcPr>
          <w:p w14:paraId="5EA78930"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Estandarización del proceso de reclutamiento y selección</w:t>
            </w:r>
          </w:p>
        </w:tc>
        <w:tc>
          <w:tcPr>
            <w:tcW w:w="1134" w:type="dxa"/>
            <w:tcBorders>
              <w:top w:val="nil"/>
              <w:left w:val="nil"/>
              <w:bottom w:val="single" w:sz="4" w:space="0" w:color="auto"/>
              <w:right w:val="single" w:sz="4" w:space="0" w:color="auto"/>
            </w:tcBorders>
            <w:shd w:val="clear" w:color="auto" w:fill="auto"/>
            <w:vAlign w:val="center"/>
            <w:hideMark/>
          </w:tcPr>
          <w:p w14:paraId="5C46E973" w14:textId="77777777" w:rsidR="000B7A67" w:rsidRPr="00126691" w:rsidRDefault="000B7A67" w:rsidP="00F400D6">
            <w:pPr>
              <w:spacing w:after="0" w:line="240" w:lineRule="auto"/>
              <w:jc w:val="center"/>
              <w:rPr>
                <w:rFonts w:ascii="Book Antiqua" w:eastAsia="Times New Roman" w:hAnsi="Book Antiqua" w:cs="Calibri"/>
                <w:sz w:val="18"/>
                <w:szCs w:val="18"/>
                <w:lang w:eastAsia="es-CR"/>
              </w:rPr>
            </w:pPr>
            <w:r w:rsidRPr="00126691">
              <w:rPr>
                <w:rFonts w:ascii="Book Antiqua" w:eastAsia="Times New Roman" w:hAnsi="Book Antiqua" w:cs="Calibri"/>
                <w:sz w:val="18"/>
                <w:szCs w:val="18"/>
                <w:lang w:eastAsia="es-CR"/>
              </w:rPr>
              <w:t>1.22</w:t>
            </w:r>
          </w:p>
        </w:tc>
        <w:tc>
          <w:tcPr>
            <w:tcW w:w="2551" w:type="dxa"/>
            <w:tcBorders>
              <w:top w:val="nil"/>
              <w:left w:val="nil"/>
              <w:bottom w:val="single" w:sz="4" w:space="0" w:color="auto"/>
              <w:right w:val="single" w:sz="4" w:space="0" w:color="auto"/>
            </w:tcBorders>
            <w:shd w:val="clear" w:color="auto" w:fill="auto"/>
            <w:vAlign w:val="center"/>
            <w:hideMark/>
          </w:tcPr>
          <w:p w14:paraId="2776DA03" w14:textId="77777777" w:rsidR="000B7A67" w:rsidRPr="00126691" w:rsidRDefault="000B7A67" w:rsidP="00560831">
            <w:pPr>
              <w:spacing w:after="0" w:line="240" w:lineRule="auto"/>
              <w:jc w:val="both"/>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Pendiente elaborar solicitud de cambio y realizar ajuste en el cronograma para justificar retraso</w:t>
            </w:r>
          </w:p>
        </w:tc>
      </w:tr>
      <w:tr w:rsidR="007E6FC1" w:rsidRPr="00126691" w14:paraId="56BE2F7C" w14:textId="77777777" w:rsidTr="005C5E7B">
        <w:trPr>
          <w:trHeight w:val="234"/>
        </w:trPr>
        <w:tc>
          <w:tcPr>
            <w:tcW w:w="1470" w:type="dxa"/>
            <w:vMerge/>
            <w:tcBorders>
              <w:top w:val="nil"/>
              <w:left w:val="single" w:sz="4" w:space="0" w:color="auto"/>
              <w:bottom w:val="single" w:sz="4" w:space="0" w:color="000000"/>
              <w:right w:val="single" w:sz="4" w:space="0" w:color="auto"/>
            </w:tcBorders>
            <w:vAlign w:val="center"/>
            <w:hideMark/>
          </w:tcPr>
          <w:p w14:paraId="48F5091E"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1390" w:type="dxa"/>
            <w:vMerge/>
            <w:tcBorders>
              <w:top w:val="nil"/>
              <w:left w:val="single" w:sz="4" w:space="0" w:color="auto"/>
              <w:bottom w:val="single" w:sz="4" w:space="0" w:color="000000"/>
              <w:right w:val="single" w:sz="4" w:space="0" w:color="auto"/>
            </w:tcBorders>
            <w:vAlign w:val="center"/>
            <w:hideMark/>
          </w:tcPr>
          <w:p w14:paraId="7B6B95A4"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978" w:type="dxa"/>
            <w:vMerge/>
            <w:tcBorders>
              <w:top w:val="nil"/>
              <w:left w:val="single" w:sz="4" w:space="0" w:color="auto"/>
              <w:bottom w:val="single" w:sz="4" w:space="0" w:color="000000"/>
              <w:right w:val="single" w:sz="4" w:space="0" w:color="auto"/>
            </w:tcBorders>
            <w:vAlign w:val="center"/>
            <w:hideMark/>
          </w:tcPr>
          <w:p w14:paraId="6958BB4C"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1975" w:type="dxa"/>
            <w:vMerge/>
            <w:tcBorders>
              <w:top w:val="nil"/>
              <w:left w:val="single" w:sz="4" w:space="0" w:color="auto"/>
              <w:bottom w:val="single" w:sz="4" w:space="0" w:color="000000"/>
              <w:right w:val="single" w:sz="4" w:space="0" w:color="auto"/>
            </w:tcBorders>
            <w:vAlign w:val="center"/>
            <w:hideMark/>
          </w:tcPr>
          <w:p w14:paraId="0C16433B"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4D1DE222"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2.1</w:t>
            </w:r>
          </w:p>
        </w:tc>
        <w:tc>
          <w:tcPr>
            <w:tcW w:w="2551" w:type="dxa"/>
            <w:tcBorders>
              <w:top w:val="nil"/>
              <w:left w:val="nil"/>
              <w:bottom w:val="single" w:sz="4" w:space="0" w:color="auto"/>
              <w:right w:val="single" w:sz="4" w:space="0" w:color="auto"/>
            </w:tcBorders>
            <w:shd w:val="clear" w:color="auto" w:fill="auto"/>
            <w:vAlign w:val="center"/>
            <w:hideMark/>
          </w:tcPr>
          <w:p w14:paraId="0E7918EF" w14:textId="77777777" w:rsidR="000B7A67" w:rsidRPr="00126691" w:rsidRDefault="000B7A67" w:rsidP="00560831">
            <w:pPr>
              <w:spacing w:after="0" w:line="240" w:lineRule="auto"/>
              <w:jc w:val="both"/>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El informe de avance presentaba incorrecto el porcentaje esperado.</w:t>
            </w:r>
          </w:p>
        </w:tc>
      </w:tr>
      <w:tr w:rsidR="007E6FC1" w:rsidRPr="00126691" w14:paraId="043140BF" w14:textId="77777777" w:rsidTr="005C5E7B">
        <w:trPr>
          <w:trHeight w:val="435"/>
        </w:trPr>
        <w:tc>
          <w:tcPr>
            <w:tcW w:w="1470" w:type="dxa"/>
            <w:vMerge/>
            <w:tcBorders>
              <w:top w:val="nil"/>
              <w:left w:val="single" w:sz="4" w:space="0" w:color="auto"/>
              <w:bottom w:val="single" w:sz="4" w:space="0" w:color="000000"/>
              <w:right w:val="single" w:sz="4" w:space="0" w:color="auto"/>
            </w:tcBorders>
            <w:vAlign w:val="center"/>
            <w:hideMark/>
          </w:tcPr>
          <w:p w14:paraId="59309DC2"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1390" w:type="dxa"/>
            <w:vMerge/>
            <w:tcBorders>
              <w:top w:val="nil"/>
              <w:left w:val="single" w:sz="4" w:space="0" w:color="auto"/>
              <w:bottom w:val="single" w:sz="4" w:space="0" w:color="000000"/>
              <w:right w:val="single" w:sz="4" w:space="0" w:color="auto"/>
            </w:tcBorders>
            <w:vAlign w:val="center"/>
            <w:hideMark/>
          </w:tcPr>
          <w:p w14:paraId="39210307"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978" w:type="dxa"/>
            <w:vMerge/>
            <w:tcBorders>
              <w:top w:val="nil"/>
              <w:left w:val="single" w:sz="4" w:space="0" w:color="auto"/>
              <w:bottom w:val="single" w:sz="4" w:space="0" w:color="000000"/>
              <w:right w:val="single" w:sz="4" w:space="0" w:color="auto"/>
            </w:tcBorders>
            <w:vAlign w:val="center"/>
            <w:hideMark/>
          </w:tcPr>
          <w:p w14:paraId="427DFE6E"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1975" w:type="dxa"/>
            <w:vMerge/>
            <w:tcBorders>
              <w:top w:val="nil"/>
              <w:left w:val="single" w:sz="4" w:space="0" w:color="auto"/>
              <w:bottom w:val="single" w:sz="4" w:space="0" w:color="000000"/>
              <w:right w:val="single" w:sz="4" w:space="0" w:color="auto"/>
            </w:tcBorders>
            <w:vAlign w:val="center"/>
            <w:hideMark/>
          </w:tcPr>
          <w:p w14:paraId="7696A876"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0CC9A34B"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2.2</w:t>
            </w:r>
          </w:p>
        </w:tc>
        <w:tc>
          <w:tcPr>
            <w:tcW w:w="2551" w:type="dxa"/>
            <w:tcBorders>
              <w:top w:val="nil"/>
              <w:left w:val="nil"/>
              <w:bottom w:val="single" w:sz="4" w:space="0" w:color="auto"/>
              <w:right w:val="single" w:sz="4" w:space="0" w:color="auto"/>
            </w:tcBorders>
            <w:shd w:val="clear" w:color="auto" w:fill="auto"/>
            <w:vAlign w:val="center"/>
            <w:hideMark/>
          </w:tcPr>
          <w:p w14:paraId="2E8A216E" w14:textId="77777777" w:rsidR="000B7A67" w:rsidRPr="00126691" w:rsidRDefault="000B7A67" w:rsidP="00560831">
            <w:pPr>
              <w:spacing w:after="0" w:line="240" w:lineRule="auto"/>
              <w:jc w:val="both"/>
              <w:rPr>
                <w:rFonts w:ascii="Book Antiqua" w:eastAsia="Times New Roman" w:hAnsi="Book Antiqua" w:cs="Calibri"/>
                <w:sz w:val="18"/>
                <w:szCs w:val="18"/>
                <w:lang w:eastAsia="es-CR"/>
              </w:rPr>
            </w:pPr>
            <w:r w:rsidRPr="00126691">
              <w:rPr>
                <w:rFonts w:ascii="Book Antiqua" w:eastAsia="Times New Roman" w:hAnsi="Book Antiqua" w:cs="Calibri"/>
                <w:sz w:val="18"/>
                <w:szCs w:val="18"/>
                <w:lang w:eastAsia="es-CR"/>
              </w:rPr>
              <w:t>Pendiente elaborar solicitud de cambio y realizar ajuste en el cronograma para justificar retraso.</w:t>
            </w:r>
          </w:p>
        </w:tc>
      </w:tr>
      <w:tr w:rsidR="007E6FC1" w:rsidRPr="00126691" w14:paraId="3AB86D30" w14:textId="77777777" w:rsidTr="005C5E7B">
        <w:trPr>
          <w:trHeight w:val="810"/>
        </w:trPr>
        <w:tc>
          <w:tcPr>
            <w:tcW w:w="1470" w:type="dxa"/>
            <w:vMerge/>
            <w:tcBorders>
              <w:top w:val="nil"/>
              <w:left w:val="single" w:sz="4" w:space="0" w:color="auto"/>
              <w:bottom w:val="single" w:sz="4" w:space="0" w:color="000000"/>
              <w:right w:val="single" w:sz="4" w:space="0" w:color="auto"/>
            </w:tcBorders>
            <w:vAlign w:val="center"/>
            <w:hideMark/>
          </w:tcPr>
          <w:p w14:paraId="708D934F"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1390" w:type="dxa"/>
            <w:tcBorders>
              <w:top w:val="nil"/>
              <w:left w:val="nil"/>
              <w:bottom w:val="single" w:sz="4" w:space="0" w:color="auto"/>
              <w:right w:val="single" w:sz="4" w:space="0" w:color="auto"/>
            </w:tcBorders>
            <w:shd w:val="clear" w:color="auto" w:fill="auto"/>
            <w:vAlign w:val="center"/>
            <w:hideMark/>
          </w:tcPr>
          <w:p w14:paraId="0259392F"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 xml:space="preserve">0819 </w:t>
            </w:r>
            <w:r>
              <w:rPr>
                <w:rFonts w:ascii="Book Antiqua" w:eastAsia="Times New Roman" w:hAnsi="Book Antiqua" w:cs="Calibri"/>
                <w:color w:val="000000"/>
                <w:sz w:val="18"/>
                <w:szCs w:val="18"/>
                <w:lang w:eastAsia="es-CR"/>
              </w:rPr>
              <w:t>S</w:t>
            </w:r>
            <w:r w:rsidRPr="00126691">
              <w:rPr>
                <w:rFonts w:ascii="Book Antiqua" w:eastAsia="Times New Roman" w:hAnsi="Book Antiqua" w:cs="Calibri"/>
                <w:color w:val="000000"/>
                <w:sz w:val="18"/>
                <w:szCs w:val="18"/>
                <w:lang w:eastAsia="es-CR"/>
              </w:rPr>
              <w:t xml:space="preserve">ección de </w:t>
            </w:r>
            <w:r>
              <w:rPr>
                <w:rFonts w:ascii="Book Antiqua" w:eastAsia="Times New Roman" w:hAnsi="Book Antiqua" w:cs="Calibri"/>
                <w:color w:val="000000"/>
                <w:sz w:val="18"/>
                <w:szCs w:val="18"/>
                <w:lang w:eastAsia="es-CR"/>
              </w:rPr>
              <w:t>A</w:t>
            </w:r>
            <w:r w:rsidRPr="00126691">
              <w:rPr>
                <w:rFonts w:ascii="Book Antiqua" w:eastAsia="Times New Roman" w:hAnsi="Book Antiqua" w:cs="Calibri"/>
                <w:color w:val="000000"/>
                <w:sz w:val="18"/>
                <w:szCs w:val="18"/>
                <w:lang w:eastAsia="es-CR"/>
              </w:rPr>
              <w:t xml:space="preserve">dministracion </w:t>
            </w:r>
            <w:r>
              <w:rPr>
                <w:rFonts w:ascii="Book Antiqua" w:eastAsia="Times New Roman" w:hAnsi="Book Antiqua" w:cs="Calibri"/>
                <w:color w:val="000000"/>
                <w:sz w:val="18"/>
                <w:szCs w:val="18"/>
                <w:lang w:eastAsia="es-CR"/>
              </w:rPr>
              <w:t>S</w:t>
            </w:r>
            <w:r w:rsidRPr="00126691">
              <w:rPr>
                <w:rFonts w:ascii="Book Antiqua" w:eastAsia="Times New Roman" w:hAnsi="Book Antiqua" w:cs="Calibri"/>
                <w:color w:val="000000"/>
                <w:sz w:val="18"/>
                <w:szCs w:val="18"/>
                <w:lang w:eastAsia="es-CR"/>
              </w:rPr>
              <w:t>alarial</w:t>
            </w:r>
          </w:p>
        </w:tc>
        <w:tc>
          <w:tcPr>
            <w:tcW w:w="978" w:type="dxa"/>
            <w:tcBorders>
              <w:top w:val="nil"/>
              <w:left w:val="nil"/>
              <w:bottom w:val="single" w:sz="4" w:space="0" w:color="auto"/>
              <w:right w:val="single" w:sz="4" w:space="0" w:color="auto"/>
            </w:tcBorders>
            <w:shd w:val="clear" w:color="auto" w:fill="auto"/>
            <w:vAlign w:val="center"/>
            <w:hideMark/>
          </w:tcPr>
          <w:p w14:paraId="33F380BD"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0134-DGH-P08</w:t>
            </w:r>
          </w:p>
        </w:tc>
        <w:tc>
          <w:tcPr>
            <w:tcW w:w="1975" w:type="dxa"/>
            <w:tcBorders>
              <w:top w:val="nil"/>
              <w:left w:val="nil"/>
              <w:bottom w:val="single" w:sz="4" w:space="0" w:color="auto"/>
              <w:right w:val="single" w:sz="4" w:space="0" w:color="auto"/>
            </w:tcBorders>
            <w:shd w:val="clear" w:color="auto" w:fill="auto"/>
            <w:vAlign w:val="center"/>
            <w:hideMark/>
          </w:tcPr>
          <w:p w14:paraId="1F9EA323"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 xml:space="preserve">Variaciones en el Sistema de Pago, Reglamentos y </w:t>
            </w:r>
            <w:r w:rsidRPr="00126691">
              <w:rPr>
                <w:rFonts w:ascii="Book Antiqua" w:eastAsia="Times New Roman" w:hAnsi="Book Antiqua" w:cs="Calibri"/>
                <w:color w:val="000000"/>
                <w:sz w:val="18"/>
                <w:szCs w:val="18"/>
                <w:lang w:eastAsia="es-CR"/>
              </w:rPr>
              <w:lastRenderedPageBreak/>
              <w:t>Procedimientos producto de la Ley 9635</w:t>
            </w:r>
          </w:p>
        </w:tc>
        <w:tc>
          <w:tcPr>
            <w:tcW w:w="1134" w:type="dxa"/>
            <w:tcBorders>
              <w:top w:val="nil"/>
              <w:left w:val="nil"/>
              <w:bottom w:val="single" w:sz="4" w:space="0" w:color="auto"/>
              <w:right w:val="single" w:sz="4" w:space="0" w:color="auto"/>
            </w:tcBorders>
            <w:shd w:val="clear" w:color="auto" w:fill="auto"/>
            <w:vAlign w:val="center"/>
            <w:hideMark/>
          </w:tcPr>
          <w:p w14:paraId="23E54358"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lastRenderedPageBreak/>
              <w:t>2.4</w:t>
            </w:r>
          </w:p>
        </w:tc>
        <w:tc>
          <w:tcPr>
            <w:tcW w:w="2551" w:type="dxa"/>
            <w:tcBorders>
              <w:top w:val="nil"/>
              <w:left w:val="nil"/>
              <w:bottom w:val="single" w:sz="4" w:space="0" w:color="auto"/>
              <w:right w:val="single" w:sz="4" w:space="0" w:color="auto"/>
            </w:tcBorders>
            <w:shd w:val="clear" w:color="auto" w:fill="auto"/>
            <w:vAlign w:val="center"/>
            <w:hideMark/>
          </w:tcPr>
          <w:p w14:paraId="2D554157" w14:textId="77777777" w:rsidR="000B7A67" w:rsidRPr="00126691" w:rsidRDefault="000B7A67" w:rsidP="00560831">
            <w:pPr>
              <w:spacing w:after="0" w:line="240" w:lineRule="auto"/>
              <w:jc w:val="both"/>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Pendiente informe de cierre</w:t>
            </w:r>
          </w:p>
        </w:tc>
      </w:tr>
      <w:tr w:rsidR="007E6FC1" w:rsidRPr="00126691" w14:paraId="6BA1D6A9" w14:textId="77777777" w:rsidTr="005C5E7B">
        <w:trPr>
          <w:trHeight w:val="866"/>
        </w:trPr>
        <w:tc>
          <w:tcPr>
            <w:tcW w:w="1470" w:type="dxa"/>
            <w:vMerge/>
            <w:tcBorders>
              <w:top w:val="nil"/>
              <w:left w:val="single" w:sz="4" w:space="0" w:color="auto"/>
              <w:bottom w:val="single" w:sz="4" w:space="0" w:color="000000"/>
              <w:right w:val="single" w:sz="4" w:space="0" w:color="auto"/>
            </w:tcBorders>
            <w:vAlign w:val="center"/>
            <w:hideMark/>
          </w:tcPr>
          <w:p w14:paraId="5041A852"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1390" w:type="dxa"/>
            <w:vMerge w:val="restart"/>
            <w:tcBorders>
              <w:top w:val="nil"/>
              <w:left w:val="single" w:sz="4" w:space="0" w:color="auto"/>
              <w:bottom w:val="single" w:sz="4" w:space="0" w:color="000000"/>
              <w:right w:val="single" w:sz="4" w:space="0" w:color="auto"/>
            </w:tcBorders>
            <w:shd w:val="clear" w:color="auto" w:fill="auto"/>
            <w:vAlign w:val="center"/>
            <w:hideMark/>
          </w:tcPr>
          <w:p w14:paraId="01E3427C"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 xml:space="preserve">0842 </w:t>
            </w:r>
            <w:r>
              <w:rPr>
                <w:rFonts w:ascii="Book Antiqua" w:eastAsia="Times New Roman" w:hAnsi="Book Antiqua" w:cs="Calibri"/>
                <w:color w:val="000000"/>
                <w:sz w:val="18"/>
                <w:szCs w:val="18"/>
                <w:lang w:eastAsia="es-CR"/>
              </w:rPr>
              <w:t>S</w:t>
            </w:r>
            <w:r w:rsidRPr="00126691">
              <w:rPr>
                <w:rFonts w:ascii="Book Antiqua" w:eastAsia="Times New Roman" w:hAnsi="Book Antiqua" w:cs="Calibri"/>
                <w:color w:val="000000"/>
                <w:sz w:val="18"/>
                <w:szCs w:val="18"/>
                <w:lang w:eastAsia="es-CR"/>
              </w:rPr>
              <w:t xml:space="preserve">ección de </w:t>
            </w:r>
            <w:r>
              <w:rPr>
                <w:rFonts w:ascii="Book Antiqua" w:eastAsia="Times New Roman" w:hAnsi="Book Antiqua" w:cs="Calibri"/>
                <w:color w:val="000000"/>
                <w:sz w:val="18"/>
                <w:szCs w:val="18"/>
                <w:lang w:eastAsia="es-CR"/>
              </w:rPr>
              <w:t>A</w:t>
            </w:r>
            <w:r w:rsidRPr="00126691">
              <w:rPr>
                <w:rFonts w:ascii="Book Antiqua" w:eastAsia="Times New Roman" w:hAnsi="Book Antiqua" w:cs="Calibri"/>
                <w:color w:val="000000"/>
                <w:sz w:val="18"/>
                <w:szCs w:val="18"/>
                <w:lang w:eastAsia="es-CR"/>
              </w:rPr>
              <w:t xml:space="preserve">dministración de la </w:t>
            </w:r>
            <w:r>
              <w:rPr>
                <w:rFonts w:ascii="Book Antiqua" w:eastAsia="Times New Roman" w:hAnsi="Book Antiqua" w:cs="Calibri"/>
                <w:color w:val="000000"/>
                <w:sz w:val="18"/>
                <w:szCs w:val="18"/>
                <w:lang w:eastAsia="es-CR"/>
              </w:rPr>
              <w:t>C</w:t>
            </w:r>
            <w:r w:rsidRPr="00126691">
              <w:rPr>
                <w:rFonts w:ascii="Book Antiqua" w:eastAsia="Times New Roman" w:hAnsi="Book Antiqua" w:cs="Calibri"/>
                <w:color w:val="000000"/>
                <w:sz w:val="18"/>
                <w:szCs w:val="18"/>
                <w:lang w:eastAsia="es-CR"/>
              </w:rPr>
              <w:t xml:space="preserve">arrera </w:t>
            </w:r>
            <w:r>
              <w:rPr>
                <w:rFonts w:ascii="Book Antiqua" w:eastAsia="Times New Roman" w:hAnsi="Book Antiqua" w:cs="Calibri"/>
                <w:color w:val="000000"/>
                <w:sz w:val="18"/>
                <w:szCs w:val="18"/>
                <w:lang w:eastAsia="es-CR"/>
              </w:rPr>
              <w:t>J</w:t>
            </w:r>
            <w:r w:rsidRPr="00126691">
              <w:rPr>
                <w:rFonts w:ascii="Book Antiqua" w:eastAsia="Times New Roman" w:hAnsi="Book Antiqua" w:cs="Calibri"/>
                <w:color w:val="000000"/>
                <w:sz w:val="18"/>
                <w:szCs w:val="18"/>
                <w:lang w:eastAsia="es-CR"/>
              </w:rPr>
              <w:t>udicial</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14:paraId="067A49B8"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0134-DGH-P06</w:t>
            </w:r>
          </w:p>
        </w:tc>
        <w:tc>
          <w:tcPr>
            <w:tcW w:w="1975" w:type="dxa"/>
            <w:vMerge w:val="restart"/>
            <w:tcBorders>
              <w:top w:val="nil"/>
              <w:left w:val="single" w:sz="4" w:space="0" w:color="auto"/>
              <w:bottom w:val="single" w:sz="4" w:space="0" w:color="000000"/>
              <w:right w:val="single" w:sz="4" w:space="0" w:color="auto"/>
            </w:tcBorders>
            <w:shd w:val="clear" w:color="auto" w:fill="auto"/>
            <w:vAlign w:val="center"/>
            <w:hideMark/>
          </w:tcPr>
          <w:p w14:paraId="1C6AD3F1"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Modernización del Proceso de Evaluación Psicológica (Puestos de Judicatura)</w:t>
            </w:r>
          </w:p>
        </w:tc>
        <w:tc>
          <w:tcPr>
            <w:tcW w:w="1134" w:type="dxa"/>
            <w:tcBorders>
              <w:top w:val="nil"/>
              <w:left w:val="nil"/>
              <w:bottom w:val="single" w:sz="4" w:space="0" w:color="auto"/>
              <w:right w:val="single" w:sz="4" w:space="0" w:color="auto"/>
            </w:tcBorders>
            <w:shd w:val="clear" w:color="auto" w:fill="auto"/>
            <w:vAlign w:val="center"/>
            <w:hideMark/>
          </w:tcPr>
          <w:p w14:paraId="49518295" w14:textId="77777777" w:rsidR="000B7A67" w:rsidRPr="00126691" w:rsidRDefault="000B7A67" w:rsidP="00F400D6">
            <w:pPr>
              <w:spacing w:after="0" w:line="240" w:lineRule="auto"/>
              <w:jc w:val="center"/>
              <w:rPr>
                <w:rFonts w:ascii="Book Antiqua" w:eastAsia="Times New Roman" w:hAnsi="Book Antiqua" w:cs="Calibri"/>
                <w:sz w:val="18"/>
                <w:szCs w:val="18"/>
                <w:lang w:eastAsia="es-CR"/>
              </w:rPr>
            </w:pPr>
            <w:r w:rsidRPr="00126691">
              <w:rPr>
                <w:rFonts w:ascii="Book Antiqua" w:eastAsia="Times New Roman" w:hAnsi="Book Antiqua" w:cs="Calibri"/>
                <w:sz w:val="18"/>
                <w:szCs w:val="18"/>
                <w:lang w:eastAsia="es-CR"/>
              </w:rPr>
              <w:t>1.22</w:t>
            </w:r>
          </w:p>
        </w:tc>
        <w:tc>
          <w:tcPr>
            <w:tcW w:w="2551" w:type="dxa"/>
            <w:tcBorders>
              <w:top w:val="nil"/>
              <w:left w:val="nil"/>
              <w:bottom w:val="single" w:sz="4" w:space="0" w:color="auto"/>
              <w:right w:val="single" w:sz="4" w:space="0" w:color="auto"/>
            </w:tcBorders>
            <w:shd w:val="clear" w:color="auto" w:fill="auto"/>
            <w:vAlign w:val="center"/>
            <w:hideMark/>
          </w:tcPr>
          <w:p w14:paraId="570B6801" w14:textId="77777777" w:rsidR="000B7A67" w:rsidRPr="00126691" w:rsidRDefault="000B7A67" w:rsidP="00560831">
            <w:pPr>
              <w:spacing w:after="0" w:line="240" w:lineRule="auto"/>
              <w:jc w:val="both"/>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Pendiente realizar solicitud de cambio para justificar modificación en fecha de fin según cronograma</w:t>
            </w:r>
          </w:p>
        </w:tc>
      </w:tr>
      <w:tr w:rsidR="007E6FC1" w:rsidRPr="00126691" w14:paraId="683546BC" w14:textId="77777777" w:rsidTr="005C5E7B">
        <w:trPr>
          <w:trHeight w:val="570"/>
        </w:trPr>
        <w:tc>
          <w:tcPr>
            <w:tcW w:w="1470" w:type="dxa"/>
            <w:vMerge/>
            <w:tcBorders>
              <w:top w:val="nil"/>
              <w:left w:val="single" w:sz="4" w:space="0" w:color="auto"/>
              <w:bottom w:val="single" w:sz="4" w:space="0" w:color="000000"/>
              <w:right w:val="single" w:sz="4" w:space="0" w:color="auto"/>
            </w:tcBorders>
            <w:vAlign w:val="center"/>
            <w:hideMark/>
          </w:tcPr>
          <w:p w14:paraId="3AB50B9A"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1390" w:type="dxa"/>
            <w:vMerge/>
            <w:tcBorders>
              <w:top w:val="nil"/>
              <w:left w:val="single" w:sz="4" w:space="0" w:color="auto"/>
              <w:bottom w:val="single" w:sz="4" w:space="0" w:color="000000"/>
              <w:right w:val="single" w:sz="4" w:space="0" w:color="auto"/>
            </w:tcBorders>
            <w:vAlign w:val="center"/>
            <w:hideMark/>
          </w:tcPr>
          <w:p w14:paraId="4E8AF6AD"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978" w:type="dxa"/>
            <w:vMerge/>
            <w:tcBorders>
              <w:top w:val="nil"/>
              <w:left w:val="single" w:sz="4" w:space="0" w:color="auto"/>
              <w:bottom w:val="single" w:sz="4" w:space="0" w:color="000000"/>
              <w:right w:val="single" w:sz="4" w:space="0" w:color="auto"/>
            </w:tcBorders>
            <w:vAlign w:val="center"/>
            <w:hideMark/>
          </w:tcPr>
          <w:p w14:paraId="44261B9F"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1975" w:type="dxa"/>
            <w:vMerge/>
            <w:tcBorders>
              <w:top w:val="nil"/>
              <w:left w:val="single" w:sz="4" w:space="0" w:color="auto"/>
              <w:bottom w:val="single" w:sz="4" w:space="0" w:color="000000"/>
              <w:right w:val="single" w:sz="4" w:space="0" w:color="auto"/>
            </w:tcBorders>
            <w:vAlign w:val="center"/>
            <w:hideMark/>
          </w:tcPr>
          <w:p w14:paraId="04FE7543"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30E53E4B"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2.4</w:t>
            </w:r>
          </w:p>
        </w:tc>
        <w:tc>
          <w:tcPr>
            <w:tcW w:w="2551" w:type="dxa"/>
            <w:tcBorders>
              <w:top w:val="nil"/>
              <w:left w:val="nil"/>
              <w:bottom w:val="single" w:sz="4" w:space="0" w:color="auto"/>
              <w:right w:val="single" w:sz="4" w:space="0" w:color="auto"/>
            </w:tcBorders>
            <w:shd w:val="clear" w:color="auto" w:fill="auto"/>
            <w:vAlign w:val="center"/>
            <w:hideMark/>
          </w:tcPr>
          <w:p w14:paraId="65938A80" w14:textId="77777777" w:rsidR="000B7A67" w:rsidRPr="00126691" w:rsidRDefault="000B7A67" w:rsidP="00560831">
            <w:pPr>
              <w:spacing w:after="0" w:line="240" w:lineRule="auto"/>
              <w:jc w:val="both"/>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Pendiente aprobación del informe de cierre por parte del patrocinador</w:t>
            </w:r>
          </w:p>
        </w:tc>
      </w:tr>
      <w:tr w:rsidR="007E6FC1" w:rsidRPr="00126691" w14:paraId="0C5ED1AE" w14:textId="77777777" w:rsidTr="005C5E7B">
        <w:trPr>
          <w:trHeight w:val="560"/>
        </w:trPr>
        <w:tc>
          <w:tcPr>
            <w:tcW w:w="1470" w:type="dxa"/>
            <w:vMerge/>
            <w:tcBorders>
              <w:top w:val="nil"/>
              <w:left w:val="single" w:sz="4" w:space="0" w:color="auto"/>
              <w:bottom w:val="single" w:sz="4" w:space="0" w:color="000000"/>
              <w:right w:val="single" w:sz="4" w:space="0" w:color="auto"/>
            </w:tcBorders>
            <w:vAlign w:val="center"/>
            <w:hideMark/>
          </w:tcPr>
          <w:p w14:paraId="5EE78C43"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1390" w:type="dxa"/>
            <w:tcBorders>
              <w:top w:val="nil"/>
              <w:left w:val="nil"/>
              <w:bottom w:val="single" w:sz="4" w:space="0" w:color="auto"/>
              <w:right w:val="single" w:sz="4" w:space="0" w:color="auto"/>
            </w:tcBorders>
            <w:shd w:val="clear" w:color="auto" w:fill="auto"/>
            <w:vAlign w:val="center"/>
            <w:hideMark/>
          </w:tcPr>
          <w:p w14:paraId="73FCCABE"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 xml:space="preserve">0999 </w:t>
            </w:r>
            <w:r>
              <w:rPr>
                <w:rFonts w:ascii="Book Antiqua" w:eastAsia="Times New Roman" w:hAnsi="Book Antiqua" w:cs="Calibri"/>
                <w:color w:val="000000"/>
                <w:sz w:val="18"/>
                <w:szCs w:val="18"/>
                <w:lang w:eastAsia="es-CR"/>
              </w:rPr>
              <w:t>U</w:t>
            </w:r>
            <w:r w:rsidRPr="00126691">
              <w:rPr>
                <w:rFonts w:ascii="Book Antiqua" w:eastAsia="Times New Roman" w:hAnsi="Book Antiqua" w:cs="Calibri"/>
                <w:color w:val="000000"/>
                <w:sz w:val="18"/>
                <w:szCs w:val="18"/>
                <w:lang w:eastAsia="es-CR"/>
              </w:rPr>
              <w:t xml:space="preserve">nidad de </w:t>
            </w:r>
            <w:r>
              <w:rPr>
                <w:rFonts w:ascii="Book Antiqua" w:eastAsia="Times New Roman" w:hAnsi="Book Antiqua" w:cs="Calibri"/>
                <w:color w:val="000000"/>
                <w:sz w:val="18"/>
                <w:szCs w:val="18"/>
                <w:lang w:eastAsia="es-CR"/>
              </w:rPr>
              <w:t>P</w:t>
            </w:r>
            <w:r w:rsidRPr="00126691">
              <w:rPr>
                <w:rFonts w:ascii="Book Antiqua" w:eastAsia="Times New Roman" w:hAnsi="Book Antiqua" w:cs="Calibri"/>
                <w:color w:val="000000"/>
                <w:sz w:val="18"/>
                <w:szCs w:val="18"/>
                <w:lang w:eastAsia="es-CR"/>
              </w:rPr>
              <w:t xml:space="preserve">resupuesto y </w:t>
            </w:r>
            <w:r>
              <w:rPr>
                <w:rFonts w:ascii="Book Antiqua" w:eastAsia="Times New Roman" w:hAnsi="Book Antiqua" w:cs="Calibri"/>
                <w:color w:val="000000"/>
                <w:sz w:val="18"/>
                <w:szCs w:val="18"/>
                <w:lang w:eastAsia="es-CR"/>
              </w:rPr>
              <w:t>E</w:t>
            </w:r>
            <w:r w:rsidRPr="00126691">
              <w:rPr>
                <w:rFonts w:ascii="Book Antiqua" w:eastAsia="Times New Roman" w:hAnsi="Book Antiqua" w:cs="Calibri"/>
                <w:color w:val="000000"/>
                <w:sz w:val="18"/>
                <w:szCs w:val="18"/>
                <w:lang w:eastAsia="es-CR"/>
              </w:rPr>
              <w:t xml:space="preserve">studios </w:t>
            </w:r>
            <w:r>
              <w:rPr>
                <w:rFonts w:ascii="Book Antiqua" w:eastAsia="Times New Roman" w:hAnsi="Book Antiqua" w:cs="Calibri"/>
                <w:color w:val="000000"/>
                <w:sz w:val="18"/>
                <w:szCs w:val="18"/>
                <w:lang w:eastAsia="es-CR"/>
              </w:rPr>
              <w:t>E</w:t>
            </w:r>
            <w:r w:rsidRPr="00126691">
              <w:rPr>
                <w:rFonts w:ascii="Book Antiqua" w:eastAsia="Times New Roman" w:hAnsi="Book Antiqua" w:cs="Calibri"/>
                <w:color w:val="000000"/>
                <w:sz w:val="18"/>
                <w:szCs w:val="18"/>
                <w:lang w:eastAsia="es-CR"/>
              </w:rPr>
              <w:t>speciales</w:t>
            </w:r>
          </w:p>
        </w:tc>
        <w:tc>
          <w:tcPr>
            <w:tcW w:w="978" w:type="dxa"/>
            <w:tcBorders>
              <w:top w:val="nil"/>
              <w:left w:val="nil"/>
              <w:bottom w:val="single" w:sz="4" w:space="0" w:color="auto"/>
              <w:right w:val="single" w:sz="4" w:space="0" w:color="auto"/>
            </w:tcBorders>
            <w:shd w:val="clear" w:color="auto" w:fill="auto"/>
            <w:vAlign w:val="center"/>
            <w:hideMark/>
          </w:tcPr>
          <w:p w14:paraId="43FAC426"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0134-DGH-P03</w:t>
            </w:r>
          </w:p>
        </w:tc>
        <w:tc>
          <w:tcPr>
            <w:tcW w:w="1975" w:type="dxa"/>
            <w:tcBorders>
              <w:top w:val="nil"/>
              <w:left w:val="nil"/>
              <w:bottom w:val="single" w:sz="4" w:space="0" w:color="auto"/>
              <w:right w:val="single" w:sz="4" w:space="0" w:color="auto"/>
            </w:tcBorders>
            <w:shd w:val="clear" w:color="auto" w:fill="auto"/>
            <w:vAlign w:val="center"/>
            <w:hideMark/>
          </w:tcPr>
          <w:p w14:paraId="0643B9A7"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Sistema de Formulación y Ejecución Presupuestaria para Remuneraciones</w:t>
            </w:r>
          </w:p>
        </w:tc>
        <w:tc>
          <w:tcPr>
            <w:tcW w:w="1134" w:type="dxa"/>
            <w:tcBorders>
              <w:top w:val="nil"/>
              <w:left w:val="nil"/>
              <w:bottom w:val="single" w:sz="4" w:space="0" w:color="auto"/>
              <w:right w:val="single" w:sz="4" w:space="0" w:color="auto"/>
            </w:tcBorders>
            <w:shd w:val="clear" w:color="auto" w:fill="auto"/>
            <w:vAlign w:val="center"/>
            <w:hideMark/>
          </w:tcPr>
          <w:p w14:paraId="6F35F8F5"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2.3</w:t>
            </w:r>
          </w:p>
        </w:tc>
        <w:tc>
          <w:tcPr>
            <w:tcW w:w="2551" w:type="dxa"/>
            <w:tcBorders>
              <w:top w:val="nil"/>
              <w:left w:val="nil"/>
              <w:bottom w:val="single" w:sz="4" w:space="0" w:color="auto"/>
              <w:right w:val="single" w:sz="4" w:space="0" w:color="auto"/>
            </w:tcBorders>
            <w:shd w:val="clear" w:color="auto" w:fill="auto"/>
            <w:vAlign w:val="center"/>
            <w:hideMark/>
          </w:tcPr>
          <w:p w14:paraId="049CBF2D" w14:textId="77777777" w:rsidR="000B7A67" w:rsidRPr="00126691" w:rsidRDefault="000B7A67" w:rsidP="00560831">
            <w:pPr>
              <w:spacing w:after="0" w:line="240" w:lineRule="auto"/>
              <w:jc w:val="both"/>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Pendiente actualizar acta de constitución y plan de gestión producto de la solicitud de cambio del 18-1-23</w:t>
            </w:r>
          </w:p>
        </w:tc>
      </w:tr>
      <w:tr w:rsidR="007E6FC1" w:rsidRPr="00126691" w14:paraId="47AA41E4" w14:textId="77777777" w:rsidTr="005C5E7B">
        <w:trPr>
          <w:trHeight w:val="515"/>
        </w:trPr>
        <w:tc>
          <w:tcPr>
            <w:tcW w:w="1470" w:type="dxa"/>
            <w:vMerge/>
            <w:tcBorders>
              <w:top w:val="nil"/>
              <w:left w:val="single" w:sz="4" w:space="0" w:color="auto"/>
              <w:bottom w:val="single" w:sz="4" w:space="0" w:color="000000"/>
              <w:right w:val="single" w:sz="4" w:space="0" w:color="auto"/>
            </w:tcBorders>
            <w:vAlign w:val="center"/>
            <w:hideMark/>
          </w:tcPr>
          <w:p w14:paraId="2C9EB9C2"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1390" w:type="dxa"/>
            <w:vMerge w:val="restart"/>
            <w:tcBorders>
              <w:top w:val="nil"/>
              <w:left w:val="single" w:sz="4" w:space="0" w:color="auto"/>
              <w:right w:val="single" w:sz="4" w:space="0" w:color="auto"/>
            </w:tcBorders>
            <w:shd w:val="clear" w:color="auto" w:fill="auto"/>
            <w:vAlign w:val="center"/>
            <w:hideMark/>
          </w:tcPr>
          <w:p w14:paraId="60490E22"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 xml:space="preserve">1064 </w:t>
            </w:r>
            <w:r>
              <w:rPr>
                <w:rFonts w:ascii="Book Antiqua" w:eastAsia="Times New Roman" w:hAnsi="Book Antiqua" w:cs="Calibri"/>
                <w:color w:val="000000"/>
                <w:sz w:val="18"/>
                <w:szCs w:val="18"/>
                <w:lang w:eastAsia="es-CR"/>
              </w:rPr>
              <w:t>D</w:t>
            </w:r>
            <w:r w:rsidRPr="00126691">
              <w:rPr>
                <w:rFonts w:ascii="Book Antiqua" w:eastAsia="Times New Roman" w:hAnsi="Book Antiqua" w:cs="Calibri"/>
                <w:color w:val="000000"/>
                <w:sz w:val="18"/>
                <w:szCs w:val="18"/>
                <w:lang w:eastAsia="es-CR"/>
              </w:rPr>
              <w:t xml:space="preserve">esarrollo </w:t>
            </w:r>
            <w:r>
              <w:rPr>
                <w:rFonts w:ascii="Book Antiqua" w:eastAsia="Times New Roman" w:hAnsi="Book Antiqua" w:cs="Calibri"/>
                <w:color w:val="000000"/>
                <w:sz w:val="18"/>
                <w:szCs w:val="18"/>
                <w:lang w:eastAsia="es-CR"/>
              </w:rPr>
              <w:t>H</w:t>
            </w:r>
            <w:r w:rsidRPr="00126691">
              <w:rPr>
                <w:rFonts w:ascii="Book Antiqua" w:eastAsia="Times New Roman" w:hAnsi="Book Antiqua" w:cs="Calibri"/>
                <w:color w:val="000000"/>
                <w:sz w:val="18"/>
                <w:szCs w:val="18"/>
                <w:lang w:eastAsia="es-CR"/>
              </w:rPr>
              <w:t>umano</w:t>
            </w:r>
          </w:p>
          <w:p w14:paraId="6DB01334"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14:paraId="16DD9E77"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0134-DGH-P07</w:t>
            </w:r>
          </w:p>
        </w:tc>
        <w:tc>
          <w:tcPr>
            <w:tcW w:w="1975" w:type="dxa"/>
            <w:vMerge w:val="restart"/>
            <w:tcBorders>
              <w:top w:val="nil"/>
              <w:left w:val="single" w:sz="4" w:space="0" w:color="auto"/>
              <w:bottom w:val="single" w:sz="4" w:space="0" w:color="000000"/>
              <w:right w:val="single" w:sz="4" w:space="0" w:color="auto"/>
            </w:tcBorders>
            <w:shd w:val="clear" w:color="auto" w:fill="auto"/>
            <w:vAlign w:val="center"/>
            <w:hideMark/>
          </w:tcPr>
          <w:p w14:paraId="4F14F659"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Política Integral de Bienestar y Salud Laboral</w:t>
            </w:r>
          </w:p>
        </w:tc>
        <w:tc>
          <w:tcPr>
            <w:tcW w:w="1134" w:type="dxa"/>
            <w:tcBorders>
              <w:top w:val="nil"/>
              <w:left w:val="nil"/>
              <w:bottom w:val="single" w:sz="4" w:space="0" w:color="auto"/>
              <w:right w:val="single" w:sz="4" w:space="0" w:color="auto"/>
            </w:tcBorders>
            <w:shd w:val="clear" w:color="auto" w:fill="auto"/>
            <w:vAlign w:val="center"/>
            <w:hideMark/>
          </w:tcPr>
          <w:p w14:paraId="723B9A3B" w14:textId="77777777" w:rsidR="000B7A67" w:rsidRPr="00126691" w:rsidRDefault="000B7A67" w:rsidP="00F400D6">
            <w:pPr>
              <w:spacing w:after="0" w:line="240" w:lineRule="auto"/>
              <w:jc w:val="center"/>
              <w:rPr>
                <w:rFonts w:ascii="Book Antiqua" w:eastAsia="Times New Roman" w:hAnsi="Book Antiqua" w:cs="Calibri"/>
                <w:sz w:val="18"/>
                <w:szCs w:val="18"/>
                <w:lang w:eastAsia="es-CR"/>
              </w:rPr>
            </w:pPr>
            <w:r w:rsidRPr="00126691">
              <w:rPr>
                <w:rFonts w:ascii="Book Antiqua" w:eastAsia="Times New Roman" w:hAnsi="Book Antiqua" w:cs="Calibri"/>
                <w:sz w:val="18"/>
                <w:szCs w:val="18"/>
                <w:lang w:eastAsia="es-CR"/>
              </w:rPr>
              <w:t>1.22</w:t>
            </w:r>
          </w:p>
        </w:tc>
        <w:tc>
          <w:tcPr>
            <w:tcW w:w="2551" w:type="dxa"/>
            <w:tcBorders>
              <w:top w:val="nil"/>
              <w:left w:val="nil"/>
              <w:bottom w:val="single" w:sz="4" w:space="0" w:color="auto"/>
              <w:right w:val="single" w:sz="4" w:space="0" w:color="auto"/>
            </w:tcBorders>
            <w:shd w:val="clear" w:color="auto" w:fill="auto"/>
            <w:vAlign w:val="center"/>
            <w:hideMark/>
          </w:tcPr>
          <w:p w14:paraId="7398CAD5" w14:textId="77777777" w:rsidR="000B7A67" w:rsidRPr="00126691" w:rsidRDefault="000B7A67" w:rsidP="00560831">
            <w:pPr>
              <w:spacing w:after="0" w:line="240" w:lineRule="auto"/>
              <w:jc w:val="both"/>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Pendiente de actualizar documento producto de la solicitud de cambio del 29-9-22 y del 31-10-22</w:t>
            </w:r>
          </w:p>
        </w:tc>
      </w:tr>
      <w:tr w:rsidR="00CE48BE" w:rsidRPr="00126691" w14:paraId="312D35FC" w14:textId="77777777" w:rsidTr="005C5E7B">
        <w:trPr>
          <w:trHeight w:val="765"/>
        </w:trPr>
        <w:tc>
          <w:tcPr>
            <w:tcW w:w="1470" w:type="dxa"/>
            <w:vMerge/>
            <w:tcBorders>
              <w:top w:val="nil"/>
              <w:left w:val="single" w:sz="4" w:space="0" w:color="auto"/>
              <w:bottom w:val="single" w:sz="4" w:space="0" w:color="000000"/>
              <w:right w:val="single" w:sz="4" w:space="0" w:color="auto"/>
            </w:tcBorders>
            <w:vAlign w:val="center"/>
            <w:hideMark/>
          </w:tcPr>
          <w:p w14:paraId="69AEB30C"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1390" w:type="dxa"/>
            <w:vMerge/>
            <w:tcBorders>
              <w:left w:val="single" w:sz="4" w:space="0" w:color="auto"/>
              <w:right w:val="single" w:sz="4" w:space="0" w:color="auto"/>
            </w:tcBorders>
            <w:vAlign w:val="center"/>
            <w:hideMark/>
          </w:tcPr>
          <w:p w14:paraId="6E17D0C9"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p>
        </w:tc>
        <w:tc>
          <w:tcPr>
            <w:tcW w:w="978" w:type="dxa"/>
            <w:vMerge/>
            <w:tcBorders>
              <w:top w:val="nil"/>
              <w:left w:val="single" w:sz="4" w:space="0" w:color="auto"/>
              <w:bottom w:val="single" w:sz="4" w:space="0" w:color="000000"/>
              <w:right w:val="single" w:sz="4" w:space="0" w:color="auto"/>
            </w:tcBorders>
            <w:vAlign w:val="center"/>
            <w:hideMark/>
          </w:tcPr>
          <w:p w14:paraId="22B1B1C6"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1975" w:type="dxa"/>
            <w:vMerge/>
            <w:tcBorders>
              <w:top w:val="nil"/>
              <w:left w:val="single" w:sz="4" w:space="0" w:color="auto"/>
              <w:bottom w:val="single" w:sz="4" w:space="0" w:color="000000"/>
              <w:right w:val="single" w:sz="4" w:space="0" w:color="auto"/>
            </w:tcBorders>
            <w:vAlign w:val="center"/>
            <w:hideMark/>
          </w:tcPr>
          <w:p w14:paraId="15FDAB0F"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3F9825C8"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2.3</w:t>
            </w:r>
          </w:p>
        </w:tc>
        <w:tc>
          <w:tcPr>
            <w:tcW w:w="2551" w:type="dxa"/>
            <w:tcBorders>
              <w:top w:val="nil"/>
              <w:left w:val="nil"/>
              <w:bottom w:val="single" w:sz="4" w:space="0" w:color="auto"/>
              <w:right w:val="single" w:sz="4" w:space="0" w:color="auto"/>
            </w:tcBorders>
            <w:shd w:val="clear" w:color="auto" w:fill="auto"/>
            <w:vAlign w:val="center"/>
            <w:hideMark/>
          </w:tcPr>
          <w:p w14:paraId="4AEE407F" w14:textId="77777777" w:rsidR="000B7A67" w:rsidRPr="00126691" w:rsidRDefault="000B7A67" w:rsidP="00560831">
            <w:pPr>
              <w:spacing w:after="0" w:line="240" w:lineRule="auto"/>
              <w:jc w:val="both"/>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Pendiente actualizar acta de constitución y plan de gestión producto de la solicitud de cambio del 7/12/2022, 18-1-23</w:t>
            </w:r>
          </w:p>
        </w:tc>
      </w:tr>
      <w:tr w:rsidR="00CE48BE" w:rsidRPr="00126691" w14:paraId="5EEA73D0" w14:textId="77777777" w:rsidTr="005C5E7B">
        <w:trPr>
          <w:trHeight w:val="480"/>
        </w:trPr>
        <w:tc>
          <w:tcPr>
            <w:tcW w:w="1470" w:type="dxa"/>
            <w:vMerge/>
            <w:tcBorders>
              <w:top w:val="nil"/>
              <w:left w:val="single" w:sz="4" w:space="0" w:color="auto"/>
              <w:bottom w:val="single" w:sz="4" w:space="0" w:color="000000"/>
              <w:right w:val="single" w:sz="4" w:space="0" w:color="auto"/>
            </w:tcBorders>
            <w:vAlign w:val="center"/>
            <w:hideMark/>
          </w:tcPr>
          <w:p w14:paraId="2E7CC2F7"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1390" w:type="dxa"/>
            <w:vMerge/>
            <w:tcBorders>
              <w:left w:val="single" w:sz="4" w:space="0" w:color="auto"/>
              <w:bottom w:val="single" w:sz="4" w:space="0" w:color="auto"/>
              <w:right w:val="single" w:sz="4" w:space="0" w:color="auto"/>
            </w:tcBorders>
            <w:shd w:val="clear" w:color="auto" w:fill="auto"/>
            <w:vAlign w:val="center"/>
            <w:hideMark/>
          </w:tcPr>
          <w:p w14:paraId="03503CF9"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p>
        </w:tc>
        <w:tc>
          <w:tcPr>
            <w:tcW w:w="978" w:type="dxa"/>
            <w:tcBorders>
              <w:top w:val="nil"/>
              <w:left w:val="nil"/>
              <w:bottom w:val="single" w:sz="4" w:space="0" w:color="auto"/>
              <w:right w:val="single" w:sz="4" w:space="0" w:color="auto"/>
            </w:tcBorders>
            <w:shd w:val="clear" w:color="auto" w:fill="auto"/>
            <w:vAlign w:val="center"/>
            <w:hideMark/>
          </w:tcPr>
          <w:p w14:paraId="383FDB9F"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0134-DGH-P16</w:t>
            </w:r>
          </w:p>
        </w:tc>
        <w:tc>
          <w:tcPr>
            <w:tcW w:w="1975" w:type="dxa"/>
            <w:tcBorders>
              <w:top w:val="nil"/>
              <w:left w:val="nil"/>
              <w:bottom w:val="single" w:sz="4" w:space="0" w:color="auto"/>
              <w:right w:val="single" w:sz="4" w:space="0" w:color="auto"/>
            </w:tcBorders>
            <w:shd w:val="clear" w:color="auto" w:fill="auto"/>
            <w:vAlign w:val="center"/>
            <w:hideMark/>
          </w:tcPr>
          <w:p w14:paraId="04D94154"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Política de Teletrabajo</w:t>
            </w:r>
          </w:p>
        </w:tc>
        <w:tc>
          <w:tcPr>
            <w:tcW w:w="1134" w:type="dxa"/>
            <w:tcBorders>
              <w:top w:val="nil"/>
              <w:left w:val="nil"/>
              <w:bottom w:val="single" w:sz="4" w:space="0" w:color="auto"/>
              <w:right w:val="single" w:sz="4" w:space="0" w:color="auto"/>
            </w:tcBorders>
            <w:shd w:val="clear" w:color="auto" w:fill="auto"/>
            <w:vAlign w:val="center"/>
            <w:hideMark/>
          </w:tcPr>
          <w:p w14:paraId="1DABE07A"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2.1</w:t>
            </w:r>
          </w:p>
        </w:tc>
        <w:tc>
          <w:tcPr>
            <w:tcW w:w="2551" w:type="dxa"/>
            <w:tcBorders>
              <w:top w:val="nil"/>
              <w:left w:val="nil"/>
              <w:bottom w:val="single" w:sz="4" w:space="0" w:color="auto"/>
              <w:right w:val="single" w:sz="4" w:space="0" w:color="auto"/>
            </w:tcBorders>
            <w:shd w:val="clear" w:color="auto" w:fill="auto"/>
            <w:vAlign w:val="center"/>
            <w:hideMark/>
          </w:tcPr>
          <w:p w14:paraId="65CF5B32" w14:textId="77777777" w:rsidR="000B7A67" w:rsidRPr="00126691" w:rsidRDefault="000B7A67" w:rsidP="00560831">
            <w:pPr>
              <w:spacing w:after="0" w:line="240" w:lineRule="auto"/>
              <w:jc w:val="both"/>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El informe de avance presentaba incorrecto el porcentaje esperado.</w:t>
            </w:r>
          </w:p>
        </w:tc>
      </w:tr>
      <w:tr w:rsidR="007E6FC1" w:rsidRPr="00126691" w14:paraId="377F2B6F" w14:textId="77777777" w:rsidTr="005C5E7B">
        <w:trPr>
          <w:trHeight w:val="810"/>
        </w:trPr>
        <w:tc>
          <w:tcPr>
            <w:tcW w:w="1470" w:type="dxa"/>
            <w:vMerge/>
            <w:tcBorders>
              <w:top w:val="nil"/>
              <w:left w:val="single" w:sz="4" w:space="0" w:color="auto"/>
              <w:bottom w:val="single" w:sz="4" w:space="0" w:color="000000"/>
              <w:right w:val="single" w:sz="4" w:space="0" w:color="auto"/>
            </w:tcBorders>
            <w:vAlign w:val="center"/>
            <w:hideMark/>
          </w:tcPr>
          <w:p w14:paraId="6369ECEB"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1390" w:type="dxa"/>
            <w:tcBorders>
              <w:top w:val="nil"/>
              <w:left w:val="nil"/>
              <w:bottom w:val="single" w:sz="4" w:space="0" w:color="auto"/>
              <w:right w:val="single" w:sz="4" w:space="0" w:color="auto"/>
            </w:tcBorders>
            <w:shd w:val="clear" w:color="auto" w:fill="auto"/>
            <w:vAlign w:val="center"/>
            <w:hideMark/>
          </w:tcPr>
          <w:p w14:paraId="71B2E4F6"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 xml:space="preserve">1832 </w:t>
            </w:r>
            <w:r>
              <w:rPr>
                <w:rFonts w:ascii="Book Antiqua" w:eastAsia="Times New Roman" w:hAnsi="Book Antiqua" w:cs="Calibri"/>
                <w:color w:val="000000"/>
                <w:sz w:val="18"/>
                <w:szCs w:val="18"/>
                <w:lang w:eastAsia="es-CR"/>
              </w:rPr>
              <w:t>S</w:t>
            </w:r>
            <w:r w:rsidRPr="00126691">
              <w:rPr>
                <w:rFonts w:ascii="Book Antiqua" w:eastAsia="Times New Roman" w:hAnsi="Book Antiqua" w:cs="Calibri"/>
                <w:color w:val="000000"/>
                <w:sz w:val="18"/>
                <w:szCs w:val="18"/>
                <w:lang w:eastAsia="es-CR"/>
              </w:rPr>
              <w:t xml:space="preserve">ubproceso de </w:t>
            </w:r>
            <w:r>
              <w:rPr>
                <w:rFonts w:ascii="Book Antiqua" w:eastAsia="Times New Roman" w:hAnsi="Book Antiqua" w:cs="Calibri"/>
                <w:color w:val="000000"/>
                <w:sz w:val="18"/>
                <w:szCs w:val="18"/>
                <w:lang w:eastAsia="es-CR"/>
              </w:rPr>
              <w:t>G</w:t>
            </w:r>
            <w:r w:rsidRPr="00126691">
              <w:rPr>
                <w:rFonts w:ascii="Book Antiqua" w:eastAsia="Times New Roman" w:hAnsi="Book Antiqua" w:cs="Calibri"/>
                <w:color w:val="000000"/>
                <w:sz w:val="18"/>
                <w:szCs w:val="18"/>
                <w:lang w:eastAsia="es-CR"/>
              </w:rPr>
              <w:t xml:space="preserve">estión del </w:t>
            </w:r>
            <w:r>
              <w:rPr>
                <w:rFonts w:ascii="Book Antiqua" w:eastAsia="Times New Roman" w:hAnsi="Book Antiqua" w:cs="Calibri"/>
                <w:color w:val="000000"/>
                <w:sz w:val="18"/>
                <w:szCs w:val="18"/>
                <w:lang w:eastAsia="es-CR"/>
              </w:rPr>
              <w:t>D</w:t>
            </w:r>
            <w:r w:rsidRPr="00126691">
              <w:rPr>
                <w:rFonts w:ascii="Book Antiqua" w:eastAsia="Times New Roman" w:hAnsi="Book Antiqua" w:cs="Calibri"/>
                <w:color w:val="000000"/>
                <w:sz w:val="18"/>
                <w:szCs w:val="18"/>
                <w:lang w:eastAsia="es-CR"/>
              </w:rPr>
              <w:t>esempeño</w:t>
            </w:r>
          </w:p>
        </w:tc>
        <w:tc>
          <w:tcPr>
            <w:tcW w:w="978" w:type="dxa"/>
            <w:tcBorders>
              <w:top w:val="nil"/>
              <w:left w:val="nil"/>
              <w:bottom w:val="single" w:sz="4" w:space="0" w:color="auto"/>
              <w:right w:val="single" w:sz="4" w:space="0" w:color="auto"/>
            </w:tcBorders>
            <w:shd w:val="clear" w:color="auto" w:fill="auto"/>
            <w:vAlign w:val="center"/>
            <w:hideMark/>
          </w:tcPr>
          <w:p w14:paraId="7706994A"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0134-DGH-P02</w:t>
            </w:r>
          </w:p>
        </w:tc>
        <w:tc>
          <w:tcPr>
            <w:tcW w:w="1975" w:type="dxa"/>
            <w:tcBorders>
              <w:top w:val="nil"/>
              <w:left w:val="nil"/>
              <w:bottom w:val="single" w:sz="4" w:space="0" w:color="auto"/>
              <w:right w:val="single" w:sz="4" w:space="0" w:color="auto"/>
            </w:tcBorders>
            <w:shd w:val="clear" w:color="auto" w:fill="auto"/>
            <w:vAlign w:val="center"/>
            <w:hideMark/>
          </w:tcPr>
          <w:p w14:paraId="5333A9B0"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Sistema de Evaluación del Desempeño por Competencias</w:t>
            </w:r>
          </w:p>
        </w:tc>
        <w:tc>
          <w:tcPr>
            <w:tcW w:w="1134" w:type="dxa"/>
            <w:tcBorders>
              <w:top w:val="nil"/>
              <w:left w:val="nil"/>
              <w:bottom w:val="single" w:sz="4" w:space="0" w:color="auto"/>
              <w:right w:val="single" w:sz="4" w:space="0" w:color="auto"/>
            </w:tcBorders>
            <w:shd w:val="clear" w:color="auto" w:fill="auto"/>
            <w:vAlign w:val="center"/>
            <w:hideMark/>
          </w:tcPr>
          <w:p w14:paraId="00019DE2"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2.2</w:t>
            </w:r>
          </w:p>
        </w:tc>
        <w:tc>
          <w:tcPr>
            <w:tcW w:w="2551" w:type="dxa"/>
            <w:tcBorders>
              <w:top w:val="nil"/>
              <w:left w:val="nil"/>
              <w:bottom w:val="single" w:sz="4" w:space="0" w:color="auto"/>
              <w:right w:val="single" w:sz="4" w:space="0" w:color="auto"/>
            </w:tcBorders>
            <w:shd w:val="clear" w:color="auto" w:fill="auto"/>
            <w:vAlign w:val="center"/>
            <w:hideMark/>
          </w:tcPr>
          <w:p w14:paraId="59128B84" w14:textId="77777777" w:rsidR="000B7A67" w:rsidRPr="00126691" w:rsidRDefault="000B7A67" w:rsidP="00560831">
            <w:pPr>
              <w:spacing w:after="0" w:line="240" w:lineRule="auto"/>
              <w:jc w:val="both"/>
              <w:rPr>
                <w:rFonts w:ascii="Book Antiqua" w:eastAsia="Times New Roman" w:hAnsi="Book Antiqua" w:cs="Calibri"/>
                <w:sz w:val="18"/>
                <w:szCs w:val="18"/>
                <w:lang w:eastAsia="es-CR"/>
              </w:rPr>
            </w:pPr>
            <w:r w:rsidRPr="00126691">
              <w:rPr>
                <w:rFonts w:ascii="Book Antiqua" w:eastAsia="Times New Roman" w:hAnsi="Book Antiqua" w:cs="Calibri"/>
                <w:sz w:val="18"/>
                <w:szCs w:val="18"/>
                <w:lang w:eastAsia="es-CR"/>
              </w:rPr>
              <w:t>Pendiente elaborar solicitud de cambio y realizar ajuste en el cronograma para justificar retraso.</w:t>
            </w:r>
          </w:p>
        </w:tc>
      </w:tr>
    </w:tbl>
    <w:p w14:paraId="24B218EB" w14:textId="2B94AC34" w:rsidR="000B7A67" w:rsidRDefault="000B7A67" w:rsidP="002E6EFE">
      <w:pPr>
        <w:spacing w:after="0"/>
        <w:jc w:val="right"/>
        <w:rPr>
          <w:rFonts w:ascii="Book Antiqua" w:hAnsi="Book Antiqua"/>
        </w:rPr>
      </w:pPr>
      <w:r>
        <w:rPr>
          <w:rFonts w:ascii="Book Antiqua" w:hAnsi="Book Antiqua"/>
        </w:rPr>
        <w:t xml:space="preserve"> “</w:t>
      </w:r>
      <w:r w:rsidR="002E6EFE">
        <w:rPr>
          <w:rFonts w:ascii="Book Antiqua" w:hAnsi="Book Antiqua"/>
        </w:rPr>
        <w:t>.</w:t>
      </w:r>
    </w:p>
    <w:p w14:paraId="5F72AFCF" w14:textId="77777777" w:rsidR="000B7A67" w:rsidRDefault="000B7A67" w:rsidP="000B7A67">
      <w:pPr>
        <w:spacing w:after="0"/>
        <w:jc w:val="both"/>
        <w:rPr>
          <w:rFonts w:ascii="Book Antiqua" w:hAnsi="Book Antiqua"/>
        </w:rPr>
      </w:pPr>
    </w:p>
    <w:p w14:paraId="4DCF7A21" w14:textId="77777777" w:rsidR="000B7A67" w:rsidRDefault="000B7A67" w:rsidP="000B7A67">
      <w:pPr>
        <w:spacing w:after="0"/>
        <w:jc w:val="both"/>
        <w:rPr>
          <w:rFonts w:ascii="Book Antiqua" w:hAnsi="Book Antiqua"/>
        </w:rPr>
      </w:pPr>
      <w:r>
        <w:rPr>
          <w:rFonts w:ascii="Book Antiqua" w:hAnsi="Book Antiqua"/>
          <w:sz w:val="24"/>
          <w:szCs w:val="24"/>
        </w:rPr>
        <w:t>Con la finalidad de dar seguimiento a esta recomendación, se remite correo a la oficina mediante el oficio 1804</w:t>
      </w:r>
      <w:r w:rsidRPr="004C19A1">
        <w:rPr>
          <w:rFonts w:ascii="Book Antiqua" w:hAnsi="Book Antiqua"/>
          <w:sz w:val="24"/>
          <w:szCs w:val="24"/>
        </w:rPr>
        <w:t>-PLA-PP-TR-2023</w:t>
      </w:r>
      <w:r>
        <w:rPr>
          <w:rFonts w:ascii="Book Antiqua" w:hAnsi="Book Antiqua"/>
          <w:sz w:val="24"/>
          <w:szCs w:val="24"/>
        </w:rPr>
        <w:t>.</w:t>
      </w:r>
    </w:p>
    <w:p w14:paraId="2B8D2D57" w14:textId="77777777" w:rsidR="000B7A67" w:rsidRDefault="000B7A67" w:rsidP="000B7A67">
      <w:pPr>
        <w:spacing w:after="0"/>
        <w:jc w:val="both"/>
        <w:rPr>
          <w:rFonts w:ascii="Book Antiqua" w:hAnsi="Book Antiqua"/>
        </w:rPr>
      </w:pPr>
    </w:p>
    <w:p w14:paraId="621124EA" w14:textId="77777777" w:rsidR="000B7A67" w:rsidRDefault="000B7A67" w:rsidP="000B7A67">
      <w:pPr>
        <w:spacing w:after="0"/>
        <w:jc w:val="both"/>
        <w:rPr>
          <w:rFonts w:ascii="Book Antiqua" w:hAnsi="Book Antiqua"/>
          <w:sz w:val="24"/>
          <w:szCs w:val="24"/>
        </w:rPr>
      </w:pPr>
      <w:r>
        <w:rPr>
          <w:rFonts w:ascii="Book Antiqua" w:hAnsi="Book Antiqua"/>
          <w:sz w:val="24"/>
          <w:szCs w:val="24"/>
        </w:rPr>
        <w:t>Además,</w:t>
      </w:r>
      <w:r w:rsidRPr="00FA687A">
        <w:rPr>
          <w:rFonts w:ascii="Book Antiqua" w:hAnsi="Book Antiqua"/>
          <w:sz w:val="24"/>
          <w:szCs w:val="24"/>
        </w:rPr>
        <w:t xml:space="preserve"> se procedió a revisar en los centros de proyectos</w:t>
      </w:r>
      <w:r>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estas recomendaciones </w:t>
      </w:r>
      <w:r w:rsidRPr="00833CFA">
        <w:rPr>
          <w:rFonts w:ascii="Book Antiqua" w:hAnsi="Book Antiqua"/>
          <w:sz w:val="24"/>
          <w:szCs w:val="24"/>
        </w:rPr>
        <w:t>(</w:t>
      </w:r>
      <w:hyperlink r:id="rId22" w:history="1">
        <w:r w:rsidRPr="00833CFA">
          <w:rPr>
            <w:rStyle w:val="Hipervnculo"/>
            <w:rFonts w:ascii="Book Antiqua" w:hAnsi="Book Antiqua"/>
            <w:sz w:val="24"/>
            <w:szCs w:val="24"/>
          </w:rPr>
          <w:t>Ver enlace:</w:t>
        </w:r>
        <w:r w:rsidRPr="00833CFA">
          <w:rPr>
            <w:rStyle w:val="Hipervnculo"/>
          </w:rPr>
          <w:t xml:space="preserve"> </w:t>
        </w:r>
        <w:r w:rsidRPr="00833CFA">
          <w:rPr>
            <w:rStyle w:val="Hipervnculo"/>
            <w:rFonts w:ascii="Book Antiqua" w:hAnsi="Book Antiqua"/>
            <w:sz w:val="24"/>
            <w:szCs w:val="24"/>
          </w:rPr>
          <w:t>Dirección de Gestión Humana);</w:t>
        </w:r>
      </w:hyperlink>
      <w:r w:rsidRPr="00414C02">
        <w:rPr>
          <w:rFonts w:ascii="Book Antiqua" w:hAnsi="Book Antiqua"/>
          <w:sz w:val="24"/>
          <w:szCs w:val="24"/>
        </w:rPr>
        <w:t xml:space="preserve"> </w:t>
      </w:r>
      <w:r>
        <w:rPr>
          <w:rFonts w:ascii="Book Antiqua" w:hAnsi="Book Antiqua"/>
          <w:sz w:val="24"/>
          <w:szCs w:val="24"/>
        </w:rPr>
        <w:t>no obstante, se identificaron varios proyectos que mantienen recomendaciones pendientes de atender, los cuales se detallan a continuación:</w:t>
      </w:r>
    </w:p>
    <w:p w14:paraId="46C21BB2" w14:textId="77777777" w:rsidR="000B7A67" w:rsidRDefault="000B7A67" w:rsidP="000B7A67">
      <w:pPr>
        <w:spacing w:after="0"/>
        <w:jc w:val="both"/>
        <w:rPr>
          <w:rFonts w:ascii="Book Antiqua" w:hAnsi="Book Antiqua"/>
          <w:sz w:val="24"/>
          <w:szCs w:val="24"/>
        </w:rPr>
      </w:pPr>
    </w:p>
    <w:p w14:paraId="1FAD4AB7" w14:textId="73389BB8" w:rsidR="000B7A67" w:rsidRDefault="000B7A67" w:rsidP="000B7A67">
      <w:pPr>
        <w:pStyle w:val="Descripcin"/>
        <w:keepNext/>
        <w:spacing w:after="0"/>
        <w:jc w:val="center"/>
        <w:rPr>
          <w:rFonts w:ascii="Book Antiqua" w:hAnsi="Book Antiqua" w:cs="&amp;quot"/>
          <w:b/>
          <w:i w:val="0"/>
          <w:iCs w:val="0"/>
          <w:color w:val="auto"/>
          <w:sz w:val="24"/>
          <w:szCs w:val="24"/>
        </w:rPr>
      </w:pPr>
      <w:bookmarkStart w:id="34" w:name="_Toc131155931"/>
      <w:r w:rsidRPr="00A562C7">
        <w:rPr>
          <w:rFonts w:ascii="Book Antiqua" w:hAnsi="Book Antiqua" w:cs="&amp;quot"/>
          <w:b/>
          <w:i w:val="0"/>
          <w:iCs w:val="0"/>
          <w:color w:val="auto"/>
          <w:sz w:val="24"/>
          <w:szCs w:val="24"/>
        </w:rPr>
        <w:lastRenderedPageBreak/>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sidR="00844144">
        <w:rPr>
          <w:rFonts w:ascii="Book Antiqua" w:hAnsi="Book Antiqua" w:cs="&amp;quot"/>
          <w:b/>
          <w:i w:val="0"/>
          <w:iCs w:val="0"/>
          <w:noProof/>
          <w:color w:val="auto"/>
          <w:sz w:val="24"/>
          <w:szCs w:val="24"/>
        </w:rPr>
        <w:t>6</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Pr>
          <w:rFonts w:ascii="Book Antiqua" w:hAnsi="Book Antiqua" w:cs="&amp;quot"/>
          <w:b/>
          <w:i w:val="0"/>
          <w:iCs w:val="0"/>
          <w:color w:val="auto"/>
          <w:sz w:val="24"/>
          <w:szCs w:val="24"/>
        </w:rPr>
        <w:t xml:space="preserve"> los</w:t>
      </w:r>
      <w:r w:rsidRPr="00143168">
        <w:rPr>
          <w:rFonts w:ascii="Book Antiqua" w:hAnsi="Book Antiqua" w:cs="&amp;quot"/>
          <w:b/>
          <w:i w:val="0"/>
          <w:iCs w:val="0"/>
          <w:color w:val="auto"/>
          <w:sz w:val="24"/>
          <w:szCs w:val="24"/>
        </w:rPr>
        <w:t xml:space="preserve"> proyecto</w:t>
      </w:r>
      <w:r>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que tiene pendiente</w:t>
      </w:r>
      <w:r>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de </w:t>
      </w:r>
      <w:r>
        <w:rPr>
          <w:rFonts w:ascii="Book Antiqua" w:hAnsi="Book Antiqua" w:cs="&amp;quot"/>
          <w:b/>
          <w:i w:val="0"/>
          <w:iCs w:val="0"/>
          <w:color w:val="auto"/>
          <w:sz w:val="24"/>
          <w:szCs w:val="24"/>
        </w:rPr>
        <w:t>atender recomendaciones de la Dirección de Gestión Humana</w:t>
      </w:r>
      <w:bookmarkEnd w:id="34"/>
    </w:p>
    <w:tbl>
      <w:tblPr>
        <w:tblW w:w="9782" w:type="dxa"/>
        <w:tblInd w:w="-431" w:type="dxa"/>
        <w:tblCellMar>
          <w:left w:w="70" w:type="dxa"/>
          <w:right w:w="70" w:type="dxa"/>
        </w:tblCellMar>
        <w:tblLook w:val="04A0" w:firstRow="1" w:lastRow="0" w:firstColumn="1" w:lastColumn="0" w:noHBand="0" w:noVBand="1"/>
      </w:tblPr>
      <w:tblGrid>
        <w:gridCol w:w="1470"/>
        <w:gridCol w:w="1390"/>
        <w:gridCol w:w="978"/>
        <w:gridCol w:w="1975"/>
        <w:gridCol w:w="1134"/>
        <w:gridCol w:w="2835"/>
      </w:tblGrid>
      <w:tr w:rsidR="00BC00B3" w:rsidRPr="00126691" w14:paraId="2139BB10" w14:textId="77777777" w:rsidTr="005C5E7B">
        <w:trPr>
          <w:trHeight w:val="300"/>
          <w:tblHeader/>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56181A28" w14:textId="77777777" w:rsidR="000B7A67" w:rsidRPr="00126691" w:rsidRDefault="000B7A67" w:rsidP="00F400D6">
            <w:pPr>
              <w:spacing w:after="0" w:line="240" w:lineRule="auto"/>
              <w:jc w:val="center"/>
              <w:rPr>
                <w:rFonts w:ascii="Book Antiqua" w:eastAsia="Times New Roman" w:hAnsi="Book Antiqua" w:cs="Calibri"/>
                <w:b/>
                <w:bCs/>
                <w:color w:val="FFFFFF"/>
                <w:sz w:val="18"/>
                <w:szCs w:val="18"/>
                <w:lang w:eastAsia="es-CR"/>
              </w:rPr>
            </w:pPr>
            <w:r w:rsidRPr="00126691">
              <w:rPr>
                <w:rFonts w:ascii="Book Antiqua" w:eastAsia="Times New Roman" w:hAnsi="Book Antiqua" w:cs="Calibri"/>
                <w:b/>
                <w:bCs/>
                <w:color w:val="FFFFFF"/>
                <w:sz w:val="18"/>
                <w:szCs w:val="18"/>
                <w:lang w:eastAsia="es-CR"/>
              </w:rPr>
              <w:t xml:space="preserve">Centro de responsabilidad </w:t>
            </w:r>
          </w:p>
        </w:tc>
        <w:tc>
          <w:tcPr>
            <w:tcW w:w="1390" w:type="dxa"/>
            <w:tcBorders>
              <w:top w:val="single" w:sz="4" w:space="0" w:color="auto"/>
              <w:left w:val="nil"/>
              <w:bottom w:val="single" w:sz="4" w:space="0" w:color="auto"/>
              <w:right w:val="single" w:sz="4" w:space="0" w:color="auto"/>
            </w:tcBorders>
            <w:shd w:val="clear" w:color="000000" w:fill="44546A"/>
            <w:vAlign w:val="center"/>
            <w:hideMark/>
          </w:tcPr>
          <w:p w14:paraId="75B05BE7" w14:textId="77777777" w:rsidR="000B7A67" w:rsidRPr="00126691" w:rsidRDefault="000B7A67" w:rsidP="00F400D6">
            <w:pPr>
              <w:spacing w:after="0" w:line="240" w:lineRule="auto"/>
              <w:jc w:val="center"/>
              <w:rPr>
                <w:rFonts w:ascii="Book Antiqua" w:eastAsia="Times New Roman" w:hAnsi="Book Antiqua" w:cs="Calibri"/>
                <w:b/>
                <w:bCs/>
                <w:color w:val="FFFFFF"/>
                <w:sz w:val="18"/>
                <w:szCs w:val="18"/>
                <w:lang w:eastAsia="es-CR"/>
              </w:rPr>
            </w:pPr>
            <w:r w:rsidRPr="00126691">
              <w:rPr>
                <w:rFonts w:ascii="Book Antiqua" w:eastAsia="Times New Roman" w:hAnsi="Book Antiqua" w:cs="Calibri"/>
                <w:b/>
                <w:bCs/>
                <w:color w:val="FFFFFF"/>
                <w:sz w:val="18"/>
                <w:szCs w:val="18"/>
                <w:lang w:eastAsia="es-CR"/>
              </w:rPr>
              <w:t>Oficina Líder</w:t>
            </w:r>
          </w:p>
        </w:tc>
        <w:tc>
          <w:tcPr>
            <w:tcW w:w="978" w:type="dxa"/>
            <w:tcBorders>
              <w:top w:val="single" w:sz="4" w:space="0" w:color="auto"/>
              <w:left w:val="nil"/>
              <w:bottom w:val="single" w:sz="4" w:space="0" w:color="auto"/>
              <w:right w:val="single" w:sz="4" w:space="0" w:color="auto"/>
            </w:tcBorders>
            <w:shd w:val="clear" w:color="000000" w:fill="44546A"/>
            <w:vAlign w:val="center"/>
            <w:hideMark/>
          </w:tcPr>
          <w:p w14:paraId="09C291ED" w14:textId="77777777" w:rsidR="000B7A67" w:rsidRPr="00126691" w:rsidRDefault="000B7A67" w:rsidP="00F400D6">
            <w:pPr>
              <w:spacing w:after="0" w:line="240" w:lineRule="auto"/>
              <w:jc w:val="center"/>
              <w:rPr>
                <w:rFonts w:ascii="Book Antiqua" w:eastAsia="Times New Roman" w:hAnsi="Book Antiqua" w:cs="Calibri"/>
                <w:b/>
                <w:bCs/>
                <w:color w:val="FFFFFF"/>
                <w:sz w:val="18"/>
                <w:szCs w:val="18"/>
                <w:lang w:eastAsia="es-CR"/>
              </w:rPr>
            </w:pPr>
            <w:r w:rsidRPr="00126691">
              <w:rPr>
                <w:rFonts w:ascii="Book Antiqua" w:eastAsia="Times New Roman" w:hAnsi="Book Antiqua" w:cs="Calibri"/>
                <w:b/>
                <w:bCs/>
                <w:color w:val="FFFFFF"/>
                <w:sz w:val="18"/>
                <w:szCs w:val="18"/>
                <w:lang w:eastAsia="es-CR"/>
              </w:rPr>
              <w:t>Código</w:t>
            </w:r>
          </w:p>
        </w:tc>
        <w:tc>
          <w:tcPr>
            <w:tcW w:w="1975" w:type="dxa"/>
            <w:tcBorders>
              <w:top w:val="single" w:sz="4" w:space="0" w:color="auto"/>
              <w:left w:val="nil"/>
              <w:bottom w:val="single" w:sz="4" w:space="0" w:color="auto"/>
              <w:right w:val="single" w:sz="4" w:space="0" w:color="auto"/>
            </w:tcBorders>
            <w:shd w:val="clear" w:color="000000" w:fill="44546A"/>
            <w:vAlign w:val="center"/>
            <w:hideMark/>
          </w:tcPr>
          <w:p w14:paraId="0864DEE2" w14:textId="77777777" w:rsidR="000B7A67" w:rsidRPr="00126691" w:rsidRDefault="000B7A67" w:rsidP="00F400D6">
            <w:pPr>
              <w:spacing w:after="0" w:line="240" w:lineRule="auto"/>
              <w:jc w:val="center"/>
              <w:rPr>
                <w:rFonts w:ascii="Book Antiqua" w:eastAsia="Times New Roman" w:hAnsi="Book Antiqua" w:cs="Calibri"/>
                <w:b/>
                <w:bCs/>
                <w:color w:val="FFFFFF"/>
                <w:sz w:val="18"/>
                <w:szCs w:val="18"/>
                <w:lang w:eastAsia="es-CR"/>
              </w:rPr>
            </w:pPr>
            <w:r w:rsidRPr="00126691">
              <w:rPr>
                <w:rFonts w:ascii="Book Antiqua" w:eastAsia="Times New Roman" w:hAnsi="Book Antiqua" w:cs="Calibri"/>
                <w:b/>
                <w:bCs/>
                <w:color w:val="FFFFFF"/>
                <w:sz w:val="18"/>
                <w:szCs w:val="18"/>
                <w:lang w:eastAsia="es-CR"/>
              </w:rPr>
              <w:t>Nombre</w:t>
            </w:r>
          </w:p>
        </w:tc>
        <w:tc>
          <w:tcPr>
            <w:tcW w:w="1134" w:type="dxa"/>
            <w:tcBorders>
              <w:top w:val="single" w:sz="4" w:space="0" w:color="auto"/>
              <w:left w:val="nil"/>
              <w:bottom w:val="single" w:sz="4" w:space="0" w:color="auto"/>
              <w:right w:val="single" w:sz="4" w:space="0" w:color="auto"/>
            </w:tcBorders>
            <w:shd w:val="clear" w:color="000000" w:fill="44546A"/>
            <w:vAlign w:val="center"/>
            <w:hideMark/>
          </w:tcPr>
          <w:p w14:paraId="20C736E8" w14:textId="77777777" w:rsidR="000B7A67" w:rsidRPr="00126691" w:rsidRDefault="000B7A67" w:rsidP="00F400D6">
            <w:pPr>
              <w:spacing w:after="0" w:line="240" w:lineRule="auto"/>
              <w:jc w:val="center"/>
              <w:rPr>
                <w:rFonts w:ascii="Book Antiqua" w:eastAsia="Times New Roman" w:hAnsi="Book Antiqua" w:cs="Calibri"/>
                <w:b/>
                <w:bCs/>
                <w:color w:val="FFFFFF"/>
                <w:sz w:val="18"/>
                <w:szCs w:val="18"/>
                <w:lang w:eastAsia="es-CR"/>
              </w:rPr>
            </w:pPr>
            <w:r w:rsidRPr="00126691">
              <w:rPr>
                <w:rFonts w:ascii="Book Antiqua" w:eastAsia="Times New Roman" w:hAnsi="Book Antiqua" w:cs="Calibri"/>
                <w:b/>
                <w:bCs/>
                <w:color w:val="FFFFFF"/>
                <w:sz w:val="18"/>
                <w:szCs w:val="18"/>
                <w:lang w:eastAsia="es-CR"/>
              </w:rPr>
              <w:t>Parte pendiente</w:t>
            </w:r>
          </w:p>
        </w:tc>
        <w:tc>
          <w:tcPr>
            <w:tcW w:w="2835" w:type="dxa"/>
            <w:tcBorders>
              <w:top w:val="single" w:sz="4" w:space="0" w:color="auto"/>
              <w:left w:val="nil"/>
              <w:bottom w:val="single" w:sz="4" w:space="0" w:color="auto"/>
              <w:right w:val="single" w:sz="4" w:space="0" w:color="auto"/>
            </w:tcBorders>
            <w:shd w:val="clear" w:color="000000" w:fill="44546A"/>
            <w:vAlign w:val="center"/>
            <w:hideMark/>
          </w:tcPr>
          <w:p w14:paraId="15921B9B" w14:textId="77777777" w:rsidR="000B7A67" w:rsidRPr="00126691" w:rsidRDefault="000B7A67" w:rsidP="00F400D6">
            <w:pPr>
              <w:spacing w:after="0" w:line="240" w:lineRule="auto"/>
              <w:jc w:val="center"/>
              <w:rPr>
                <w:rFonts w:ascii="Book Antiqua" w:eastAsia="Times New Roman" w:hAnsi="Book Antiqua" w:cs="Calibri"/>
                <w:b/>
                <w:bCs/>
                <w:color w:val="FFFFFF"/>
                <w:sz w:val="18"/>
                <w:szCs w:val="18"/>
                <w:lang w:eastAsia="es-CR"/>
              </w:rPr>
            </w:pPr>
            <w:r w:rsidRPr="00126691">
              <w:rPr>
                <w:rFonts w:ascii="Book Antiqua" w:eastAsia="Times New Roman" w:hAnsi="Book Antiqua" w:cs="Calibri"/>
                <w:b/>
                <w:bCs/>
                <w:color w:val="FFFFFF"/>
                <w:sz w:val="18"/>
                <w:szCs w:val="18"/>
                <w:lang w:eastAsia="es-CR"/>
              </w:rPr>
              <w:t xml:space="preserve">Detalle </w:t>
            </w:r>
          </w:p>
        </w:tc>
      </w:tr>
      <w:tr w:rsidR="007E6FC1" w:rsidRPr="00126691" w14:paraId="3F5277DE" w14:textId="77777777" w:rsidTr="005C5E7B">
        <w:trPr>
          <w:trHeight w:val="810"/>
        </w:trPr>
        <w:tc>
          <w:tcPr>
            <w:tcW w:w="1470" w:type="dxa"/>
            <w:vMerge w:val="restart"/>
            <w:tcBorders>
              <w:top w:val="nil"/>
              <w:left w:val="single" w:sz="4" w:space="0" w:color="auto"/>
              <w:bottom w:val="single" w:sz="4" w:space="0" w:color="000000"/>
              <w:right w:val="single" w:sz="4" w:space="0" w:color="auto"/>
            </w:tcBorders>
            <w:vAlign w:val="center"/>
            <w:hideMark/>
          </w:tcPr>
          <w:p w14:paraId="3ECA1FAB"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Dirección Gestión Humana</w:t>
            </w:r>
          </w:p>
        </w:tc>
        <w:tc>
          <w:tcPr>
            <w:tcW w:w="1390" w:type="dxa"/>
            <w:tcBorders>
              <w:top w:val="nil"/>
              <w:left w:val="nil"/>
              <w:bottom w:val="single" w:sz="4" w:space="0" w:color="auto"/>
              <w:right w:val="single" w:sz="4" w:space="0" w:color="auto"/>
            </w:tcBorders>
            <w:shd w:val="clear" w:color="auto" w:fill="auto"/>
            <w:vAlign w:val="center"/>
            <w:hideMark/>
          </w:tcPr>
          <w:p w14:paraId="6B2DA834"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 xml:space="preserve">0819 </w:t>
            </w:r>
            <w:r>
              <w:rPr>
                <w:rFonts w:ascii="Book Antiqua" w:eastAsia="Times New Roman" w:hAnsi="Book Antiqua" w:cs="Calibri"/>
                <w:color w:val="000000"/>
                <w:sz w:val="18"/>
                <w:szCs w:val="18"/>
                <w:lang w:eastAsia="es-CR"/>
              </w:rPr>
              <w:t>S</w:t>
            </w:r>
            <w:r w:rsidRPr="00126691">
              <w:rPr>
                <w:rFonts w:ascii="Book Antiqua" w:eastAsia="Times New Roman" w:hAnsi="Book Antiqua" w:cs="Calibri"/>
                <w:color w:val="000000"/>
                <w:sz w:val="18"/>
                <w:szCs w:val="18"/>
                <w:lang w:eastAsia="es-CR"/>
              </w:rPr>
              <w:t xml:space="preserve">ección de </w:t>
            </w:r>
            <w:r>
              <w:rPr>
                <w:rFonts w:ascii="Book Antiqua" w:eastAsia="Times New Roman" w:hAnsi="Book Antiqua" w:cs="Calibri"/>
                <w:color w:val="000000"/>
                <w:sz w:val="18"/>
                <w:szCs w:val="18"/>
                <w:lang w:eastAsia="es-CR"/>
              </w:rPr>
              <w:t>A</w:t>
            </w:r>
            <w:r w:rsidRPr="00126691">
              <w:rPr>
                <w:rFonts w:ascii="Book Antiqua" w:eastAsia="Times New Roman" w:hAnsi="Book Antiqua" w:cs="Calibri"/>
                <w:color w:val="000000"/>
                <w:sz w:val="18"/>
                <w:szCs w:val="18"/>
                <w:lang w:eastAsia="es-CR"/>
              </w:rPr>
              <w:t xml:space="preserve">dministracion </w:t>
            </w:r>
            <w:r>
              <w:rPr>
                <w:rFonts w:ascii="Book Antiqua" w:eastAsia="Times New Roman" w:hAnsi="Book Antiqua" w:cs="Calibri"/>
                <w:color w:val="000000"/>
                <w:sz w:val="18"/>
                <w:szCs w:val="18"/>
                <w:lang w:eastAsia="es-CR"/>
              </w:rPr>
              <w:t>S</w:t>
            </w:r>
            <w:r w:rsidRPr="00126691">
              <w:rPr>
                <w:rFonts w:ascii="Book Antiqua" w:eastAsia="Times New Roman" w:hAnsi="Book Antiqua" w:cs="Calibri"/>
                <w:color w:val="000000"/>
                <w:sz w:val="18"/>
                <w:szCs w:val="18"/>
                <w:lang w:eastAsia="es-CR"/>
              </w:rPr>
              <w:t>alarial</w:t>
            </w:r>
          </w:p>
        </w:tc>
        <w:tc>
          <w:tcPr>
            <w:tcW w:w="978" w:type="dxa"/>
            <w:tcBorders>
              <w:top w:val="nil"/>
              <w:left w:val="nil"/>
              <w:bottom w:val="single" w:sz="4" w:space="0" w:color="auto"/>
              <w:right w:val="single" w:sz="4" w:space="0" w:color="auto"/>
            </w:tcBorders>
            <w:shd w:val="clear" w:color="auto" w:fill="auto"/>
            <w:vAlign w:val="center"/>
            <w:hideMark/>
          </w:tcPr>
          <w:p w14:paraId="519ABEDD"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0134-DGH-P08</w:t>
            </w:r>
          </w:p>
        </w:tc>
        <w:tc>
          <w:tcPr>
            <w:tcW w:w="1975" w:type="dxa"/>
            <w:tcBorders>
              <w:top w:val="nil"/>
              <w:left w:val="nil"/>
              <w:bottom w:val="single" w:sz="4" w:space="0" w:color="auto"/>
              <w:right w:val="single" w:sz="4" w:space="0" w:color="auto"/>
            </w:tcBorders>
            <w:shd w:val="clear" w:color="auto" w:fill="auto"/>
            <w:vAlign w:val="center"/>
            <w:hideMark/>
          </w:tcPr>
          <w:p w14:paraId="3898F462"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Variaciones en el Sistema de Pago, Reglamentos y Procedimientos producto de la Ley 9635</w:t>
            </w:r>
          </w:p>
        </w:tc>
        <w:tc>
          <w:tcPr>
            <w:tcW w:w="1134" w:type="dxa"/>
            <w:tcBorders>
              <w:top w:val="nil"/>
              <w:left w:val="nil"/>
              <w:bottom w:val="single" w:sz="4" w:space="0" w:color="auto"/>
              <w:right w:val="single" w:sz="4" w:space="0" w:color="auto"/>
            </w:tcBorders>
            <w:shd w:val="clear" w:color="auto" w:fill="auto"/>
            <w:vAlign w:val="center"/>
            <w:hideMark/>
          </w:tcPr>
          <w:p w14:paraId="5EE4341C"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2.4</w:t>
            </w:r>
          </w:p>
        </w:tc>
        <w:tc>
          <w:tcPr>
            <w:tcW w:w="2835" w:type="dxa"/>
            <w:tcBorders>
              <w:top w:val="nil"/>
              <w:left w:val="nil"/>
              <w:bottom w:val="single" w:sz="4" w:space="0" w:color="auto"/>
              <w:right w:val="single" w:sz="4" w:space="0" w:color="auto"/>
            </w:tcBorders>
            <w:shd w:val="clear" w:color="auto" w:fill="auto"/>
            <w:vAlign w:val="center"/>
            <w:hideMark/>
          </w:tcPr>
          <w:p w14:paraId="73AFEE36" w14:textId="77777777" w:rsidR="000B7A67" w:rsidRPr="00126691" w:rsidRDefault="000B7A67" w:rsidP="008B24AA">
            <w:pPr>
              <w:spacing w:after="0" w:line="240" w:lineRule="auto"/>
              <w:jc w:val="both"/>
              <w:rPr>
                <w:rFonts w:ascii="Book Antiqua" w:eastAsia="Times New Roman" w:hAnsi="Book Antiqua" w:cs="Calibri"/>
                <w:color w:val="000000"/>
                <w:sz w:val="18"/>
                <w:szCs w:val="18"/>
                <w:lang w:eastAsia="es-CR"/>
              </w:rPr>
            </w:pPr>
            <w:r w:rsidRPr="005A591D">
              <w:rPr>
                <w:rFonts w:ascii="Book Antiqua" w:eastAsia="Times New Roman" w:hAnsi="Book Antiqua" w:cs="Calibri"/>
                <w:color w:val="000000"/>
                <w:sz w:val="18"/>
                <w:szCs w:val="18"/>
                <w:lang w:eastAsia="es-CR"/>
              </w:rPr>
              <w:t>Aun no se ha elaborado Informe de cierre</w:t>
            </w:r>
          </w:p>
        </w:tc>
      </w:tr>
      <w:tr w:rsidR="00CE48BE" w:rsidRPr="00126691" w14:paraId="6AE628E7" w14:textId="77777777" w:rsidTr="005C5E7B">
        <w:trPr>
          <w:trHeight w:val="2232"/>
        </w:trPr>
        <w:tc>
          <w:tcPr>
            <w:tcW w:w="1470" w:type="dxa"/>
            <w:vMerge/>
            <w:tcBorders>
              <w:top w:val="nil"/>
              <w:left w:val="single" w:sz="4" w:space="0" w:color="auto"/>
              <w:bottom w:val="single" w:sz="4" w:space="0" w:color="000000"/>
              <w:right w:val="single" w:sz="4" w:space="0" w:color="auto"/>
            </w:tcBorders>
            <w:vAlign w:val="center"/>
            <w:hideMark/>
          </w:tcPr>
          <w:p w14:paraId="59CD4901"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1390" w:type="dxa"/>
            <w:vMerge w:val="restart"/>
            <w:tcBorders>
              <w:top w:val="nil"/>
              <w:left w:val="single" w:sz="4" w:space="0" w:color="auto"/>
              <w:right w:val="single" w:sz="4" w:space="0" w:color="auto"/>
            </w:tcBorders>
            <w:shd w:val="clear" w:color="auto" w:fill="auto"/>
            <w:vAlign w:val="center"/>
            <w:hideMark/>
          </w:tcPr>
          <w:p w14:paraId="33767E89"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 xml:space="preserve">1064 </w:t>
            </w:r>
            <w:r>
              <w:rPr>
                <w:rFonts w:ascii="Book Antiqua" w:eastAsia="Times New Roman" w:hAnsi="Book Antiqua" w:cs="Calibri"/>
                <w:color w:val="000000"/>
                <w:sz w:val="18"/>
                <w:szCs w:val="18"/>
                <w:lang w:eastAsia="es-CR"/>
              </w:rPr>
              <w:t>D</w:t>
            </w:r>
            <w:r w:rsidRPr="00126691">
              <w:rPr>
                <w:rFonts w:ascii="Book Antiqua" w:eastAsia="Times New Roman" w:hAnsi="Book Antiqua" w:cs="Calibri"/>
                <w:color w:val="000000"/>
                <w:sz w:val="18"/>
                <w:szCs w:val="18"/>
                <w:lang w:eastAsia="es-CR"/>
              </w:rPr>
              <w:t xml:space="preserve">esarrollo </w:t>
            </w:r>
            <w:r>
              <w:rPr>
                <w:rFonts w:ascii="Book Antiqua" w:eastAsia="Times New Roman" w:hAnsi="Book Antiqua" w:cs="Calibri"/>
                <w:color w:val="000000"/>
                <w:sz w:val="18"/>
                <w:szCs w:val="18"/>
                <w:lang w:eastAsia="es-CR"/>
              </w:rPr>
              <w:t>H</w:t>
            </w:r>
            <w:r w:rsidRPr="00126691">
              <w:rPr>
                <w:rFonts w:ascii="Book Antiqua" w:eastAsia="Times New Roman" w:hAnsi="Book Antiqua" w:cs="Calibri"/>
                <w:color w:val="000000"/>
                <w:sz w:val="18"/>
                <w:szCs w:val="18"/>
                <w:lang w:eastAsia="es-CR"/>
              </w:rPr>
              <w:t>umano</w:t>
            </w:r>
          </w:p>
          <w:p w14:paraId="63E11912"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14:paraId="4D8BB66F"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0134-DGH-P07</w:t>
            </w:r>
          </w:p>
        </w:tc>
        <w:tc>
          <w:tcPr>
            <w:tcW w:w="1975" w:type="dxa"/>
            <w:vMerge w:val="restart"/>
            <w:tcBorders>
              <w:top w:val="nil"/>
              <w:left w:val="single" w:sz="4" w:space="0" w:color="auto"/>
              <w:bottom w:val="single" w:sz="4" w:space="0" w:color="000000"/>
              <w:right w:val="single" w:sz="4" w:space="0" w:color="auto"/>
            </w:tcBorders>
            <w:shd w:val="clear" w:color="auto" w:fill="auto"/>
            <w:vAlign w:val="center"/>
            <w:hideMark/>
          </w:tcPr>
          <w:p w14:paraId="03E29393"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Política Integral de Bienestar y Salud Laboral</w:t>
            </w:r>
          </w:p>
        </w:tc>
        <w:tc>
          <w:tcPr>
            <w:tcW w:w="1134" w:type="dxa"/>
            <w:tcBorders>
              <w:top w:val="nil"/>
              <w:left w:val="nil"/>
              <w:bottom w:val="single" w:sz="4" w:space="0" w:color="auto"/>
              <w:right w:val="single" w:sz="4" w:space="0" w:color="auto"/>
            </w:tcBorders>
            <w:shd w:val="clear" w:color="auto" w:fill="auto"/>
            <w:vAlign w:val="center"/>
            <w:hideMark/>
          </w:tcPr>
          <w:p w14:paraId="26441A50" w14:textId="77777777" w:rsidR="000B7A67" w:rsidRPr="00126691" w:rsidRDefault="000B7A67" w:rsidP="00F400D6">
            <w:pPr>
              <w:spacing w:after="0" w:line="240" w:lineRule="auto"/>
              <w:jc w:val="center"/>
              <w:rPr>
                <w:rFonts w:ascii="Book Antiqua" w:eastAsia="Times New Roman" w:hAnsi="Book Antiqua" w:cs="Calibri"/>
                <w:sz w:val="18"/>
                <w:szCs w:val="18"/>
                <w:lang w:eastAsia="es-CR"/>
              </w:rPr>
            </w:pPr>
            <w:r w:rsidRPr="00126691">
              <w:rPr>
                <w:rFonts w:ascii="Book Antiqua" w:eastAsia="Times New Roman" w:hAnsi="Book Antiqua" w:cs="Calibri"/>
                <w:sz w:val="18"/>
                <w:szCs w:val="18"/>
                <w:lang w:eastAsia="es-CR"/>
              </w:rPr>
              <w:t>1.22</w:t>
            </w:r>
          </w:p>
        </w:tc>
        <w:tc>
          <w:tcPr>
            <w:tcW w:w="2835" w:type="dxa"/>
            <w:vMerge w:val="restart"/>
            <w:tcBorders>
              <w:top w:val="nil"/>
              <w:left w:val="nil"/>
              <w:right w:val="single" w:sz="4" w:space="0" w:color="auto"/>
            </w:tcBorders>
            <w:shd w:val="clear" w:color="auto" w:fill="auto"/>
            <w:vAlign w:val="center"/>
            <w:hideMark/>
          </w:tcPr>
          <w:p w14:paraId="1DB23379" w14:textId="77777777" w:rsidR="000B7A67" w:rsidRDefault="000B7A67" w:rsidP="008B24AA">
            <w:pPr>
              <w:spacing w:after="0" w:line="240" w:lineRule="auto"/>
              <w:jc w:val="both"/>
              <w:rPr>
                <w:rFonts w:ascii="Book Antiqua" w:eastAsia="Times New Roman" w:hAnsi="Book Antiqua" w:cs="Calibri"/>
                <w:color w:val="000000"/>
                <w:sz w:val="18"/>
                <w:szCs w:val="18"/>
                <w:lang w:eastAsia="es-CR"/>
              </w:rPr>
            </w:pPr>
            <w:r w:rsidRPr="005A591D">
              <w:rPr>
                <w:rFonts w:ascii="Book Antiqua" w:eastAsia="Times New Roman" w:hAnsi="Book Antiqua" w:cs="Calibri"/>
                <w:color w:val="000000"/>
                <w:sz w:val="18"/>
                <w:szCs w:val="18"/>
                <w:lang w:eastAsia="es-CR"/>
              </w:rPr>
              <w:t xml:space="preserve">Pendiente actualizar acta de constitución y plan de gestión producto de la solicitud de cambio del 7/12/2022, 18-1-23, 29-9-22 y 31-10-22 pendiente actualizar: </w:t>
            </w:r>
          </w:p>
          <w:p w14:paraId="586D7C93" w14:textId="77777777" w:rsidR="000B7A67" w:rsidRDefault="000B7A67" w:rsidP="008B24AA">
            <w:pPr>
              <w:spacing w:after="0" w:line="240" w:lineRule="auto"/>
              <w:jc w:val="both"/>
              <w:rPr>
                <w:rFonts w:ascii="Book Antiqua" w:eastAsia="Times New Roman" w:hAnsi="Book Antiqua" w:cs="Calibri"/>
                <w:color w:val="000000"/>
                <w:sz w:val="18"/>
                <w:szCs w:val="18"/>
                <w:lang w:eastAsia="es-CR"/>
              </w:rPr>
            </w:pPr>
            <w:r w:rsidRPr="005A591D">
              <w:rPr>
                <w:rFonts w:ascii="Book Antiqua" w:eastAsia="Times New Roman" w:hAnsi="Book Antiqua" w:cs="Calibri"/>
                <w:b/>
                <w:bCs/>
                <w:color w:val="000000"/>
                <w:sz w:val="18"/>
                <w:szCs w:val="18"/>
                <w:lang w:eastAsia="es-CR"/>
              </w:rPr>
              <w:t>Acta de constitución:</w:t>
            </w:r>
            <w:r w:rsidRPr="005A591D">
              <w:rPr>
                <w:rFonts w:ascii="Book Antiqua" w:eastAsia="Times New Roman" w:hAnsi="Book Antiqua" w:cs="Calibri"/>
                <w:color w:val="000000"/>
                <w:sz w:val="18"/>
                <w:szCs w:val="18"/>
                <w:lang w:eastAsia="es-CR"/>
              </w:rPr>
              <w:t xml:space="preserve"> actualizar líder del proyecto y verificar los otros roles; falta indicar tema estratégico; el cronograma de alto nivel falta actualizarlo; equipo del proyecto se debe indicar el rol, nombre de cada integrante que conforma el proyecto iniciando en el patrocinador. </w:t>
            </w:r>
          </w:p>
          <w:p w14:paraId="7B510883" w14:textId="77777777" w:rsidR="000B7A67" w:rsidRDefault="000B7A67" w:rsidP="008B24AA">
            <w:pPr>
              <w:spacing w:after="0" w:line="240" w:lineRule="auto"/>
              <w:jc w:val="both"/>
              <w:rPr>
                <w:rFonts w:ascii="Book Antiqua" w:eastAsia="Times New Roman" w:hAnsi="Book Antiqua" w:cs="Calibri"/>
                <w:color w:val="000000"/>
                <w:sz w:val="18"/>
                <w:szCs w:val="18"/>
                <w:lang w:eastAsia="es-CR"/>
              </w:rPr>
            </w:pPr>
            <w:r w:rsidRPr="005A591D">
              <w:rPr>
                <w:rFonts w:ascii="Book Antiqua" w:eastAsia="Times New Roman" w:hAnsi="Book Antiqua" w:cs="Calibri"/>
                <w:b/>
                <w:bCs/>
                <w:color w:val="000000"/>
                <w:sz w:val="18"/>
                <w:szCs w:val="18"/>
                <w:lang w:eastAsia="es-CR"/>
              </w:rPr>
              <w:t>Estudio de factibilidad</w:t>
            </w:r>
            <w:r w:rsidRPr="005A591D">
              <w:rPr>
                <w:rFonts w:ascii="Book Antiqua" w:eastAsia="Times New Roman" w:hAnsi="Book Antiqua" w:cs="Calibri"/>
                <w:color w:val="000000"/>
                <w:sz w:val="18"/>
                <w:szCs w:val="18"/>
                <w:lang w:eastAsia="es-CR"/>
              </w:rPr>
              <w:t xml:space="preserve"> se debe indicar en el apartado de planteamiento inicial del proyecto se debe indicar 3 alternativas de solución y porque se seleccionó la misma; tiempo estimado por lo menos colocar mes y año de inicio y fin; fuente de financiamiento indicar como se financia el proyecto tanto con recurso humano como con costos</w:t>
            </w:r>
            <w:r>
              <w:rPr>
                <w:rFonts w:ascii="Book Antiqua" w:eastAsia="Times New Roman" w:hAnsi="Book Antiqua" w:cs="Calibri"/>
                <w:color w:val="000000"/>
                <w:sz w:val="18"/>
                <w:szCs w:val="18"/>
                <w:lang w:eastAsia="es-CR"/>
              </w:rPr>
              <w:t xml:space="preserve"> </w:t>
            </w:r>
            <w:r w:rsidRPr="005A591D">
              <w:rPr>
                <w:rFonts w:ascii="Book Antiqua" w:eastAsia="Times New Roman" w:hAnsi="Book Antiqua" w:cs="Calibri"/>
                <w:color w:val="000000"/>
                <w:sz w:val="18"/>
                <w:szCs w:val="18"/>
                <w:lang w:eastAsia="es-CR"/>
              </w:rPr>
              <w:t xml:space="preserve">(mencionar partidas presupuestarias). </w:t>
            </w:r>
          </w:p>
          <w:p w14:paraId="6EC0861E" w14:textId="77777777" w:rsidR="000B7A67" w:rsidRPr="00126691" w:rsidRDefault="000B7A67" w:rsidP="008B24AA">
            <w:pPr>
              <w:spacing w:after="0" w:line="240" w:lineRule="auto"/>
              <w:jc w:val="both"/>
              <w:rPr>
                <w:rFonts w:ascii="Book Antiqua" w:eastAsia="Times New Roman" w:hAnsi="Book Antiqua" w:cs="Calibri"/>
                <w:color w:val="000000"/>
                <w:sz w:val="18"/>
                <w:szCs w:val="18"/>
                <w:lang w:eastAsia="es-CR"/>
              </w:rPr>
            </w:pPr>
            <w:r w:rsidRPr="00833CFA">
              <w:rPr>
                <w:rFonts w:ascii="Book Antiqua" w:eastAsia="Times New Roman" w:hAnsi="Book Antiqua" w:cs="Calibri"/>
                <w:b/>
                <w:bCs/>
                <w:color w:val="000000"/>
                <w:sz w:val="18"/>
                <w:szCs w:val="18"/>
                <w:lang w:eastAsia="es-CR"/>
              </w:rPr>
              <w:t>Plan de gestión:</w:t>
            </w:r>
            <w:r w:rsidRPr="005A591D">
              <w:rPr>
                <w:rFonts w:ascii="Book Antiqua" w:eastAsia="Times New Roman" w:hAnsi="Book Antiqua" w:cs="Calibri"/>
                <w:color w:val="000000"/>
                <w:sz w:val="18"/>
                <w:szCs w:val="18"/>
                <w:lang w:eastAsia="es-CR"/>
              </w:rPr>
              <w:t xml:space="preserve"> revisar datos generales porque no coincide líder ni administrador del proyecto; los beneficios esperados debe coincidir con el estudio de factibilidad; en roles y responsabilidades falta actualizar líder del proyecto; se debe eliminar del cuadro y diagrama de la EDT el punto 4.2 esto debido a que el mismo no se encuentra en el cronograma; cronograma pendiente de actualizarlo con las solicitudes de cambio; en </w:t>
            </w:r>
            <w:r w:rsidRPr="005A591D">
              <w:rPr>
                <w:rFonts w:ascii="Book Antiqua" w:eastAsia="Times New Roman" w:hAnsi="Book Antiqua" w:cs="Calibri"/>
                <w:color w:val="000000"/>
                <w:sz w:val="18"/>
                <w:szCs w:val="18"/>
                <w:lang w:eastAsia="es-CR"/>
              </w:rPr>
              <w:lastRenderedPageBreak/>
              <w:t>administración de presupuesto se debe revisar los costos porque el recurso humano se menciona en el apartado inferior.</w:t>
            </w:r>
          </w:p>
        </w:tc>
      </w:tr>
      <w:tr w:rsidR="00CE48BE" w:rsidRPr="00126691" w14:paraId="35CA15E8" w14:textId="77777777" w:rsidTr="005C5E7B">
        <w:trPr>
          <w:trHeight w:val="765"/>
        </w:trPr>
        <w:tc>
          <w:tcPr>
            <w:tcW w:w="1470" w:type="dxa"/>
            <w:vMerge/>
            <w:tcBorders>
              <w:top w:val="nil"/>
              <w:left w:val="single" w:sz="4" w:space="0" w:color="auto"/>
              <w:bottom w:val="single" w:sz="4" w:space="0" w:color="000000"/>
              <w:right w:val="single" w:sz="4" w:space="0" w:color="auto"/>
            </w:tcBorders>
            <w:vAlign w:val="center"/>
            <w:hideMark/>
          </w:tcPr>
          <w:p w14:paraId="1ABC1770"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1390" w:type="dxa"/>
            <w:vMerge/>
            <w:tcBorders>
              <w:left w:val="single" w:sz="4" w:space="0" w:color="auto"/>
              <w:right w:val="single" w:sz="4" w:space="0" w:color="auto"/>
            </w:tcBorders>
            <w:vAlign w:val="center"/>
            <w:hideMark/>
          </w:tcPr>
          <w:p w14:paraId="3CDBDE5B"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p>
        </w:tc>
        <w:tc>
          <w:tcPr>
            <w:tcW w:w="978" w:type="dxa"/>
            <w:vMerge/>
            <w:tcBorders>
              <w:top w:val="nil"/>
              <w:left w:val="single" w:sz="4" w:space="0" w:color="auto"/>
              <w:bottom w:val="single" w:sz="4" w:space="0" w:color="000000"/>
              <w:right w:val="single" w:sz="4" w:space="0" w:color="auto"/>
            </w:tcBorders>
            <w:vAlign w:val="center"/>
            <w:hideMark/>
          </w:tcPr>
          <w:p w14:paraId="59EE2B83"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1975" w:type="dxa"/>
            <w:vMerge/>
            <w:tcBorders>
              <w:top w:val="nil"/>
              <w:left w:val="single" w:sz="4" w:space="0" w:color="auto"/>
              <w:bottom w:val="single" w:sz="4" w:space="0" w:color="000000"/>
              <w:right w:val="single" w:sz="4" w:space="0" w:color="auto"/>
            </w:tcBorders>
            <w:vAlign w:val="center"/>
            <w:hideMark/>
          </w:tcPr>
          <w:p w14:paraId="2108345B"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1134" w:type="dxa"/>
            <w:tcBorders>
              <w:top w:val="nil"/>
              <w:left w:val="nil"/>
              <w:bottom w:val="single" w:sz="4" w:space="0" w:color="auto"/>
              <w:right w:val="single" w:sz="4" w:space="0" w:color="auto"/>
            </w:tcBorders>
            <w:shd w:val="clear" w:color="auto" w:fill="auto"/>
            <w:vAlign w:val="center"/>
            <w:hideMark/>
          </w:tcPr>
          <w:p w14:paraId="52CD52E3"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2.3</w:t>
            </w:r>
          </w:p>
        </w:tc>
        <w:tc>
          <w:tcPr>
            <w:tcW w:w="2835" w:type="dxa"/>
            <w:vMerge/>
            <w:tcBorders>
              <w:left w:val="nil"/>
              <w:bottom w:val="single" w:sz="4" w:space="0" w:color="auto"/>
              <w:right w:val="single" w:sz="4" w:space="0" w:color="auto"/>
            </w:tcBorders>
            <w:shd w:val="clear" w:color="auto" w:fill="auto"/>
            <w:vAlign w:val="center"/>
            <w:hideMark/>
          </w:tcPr>
          <w:p w14:paraId="29F1A16A" w14:textId="77777777" w:rsidR="000B7A67" w:rsidRPr="00126691" w:rsidRDefault="000B7A67" w:rsidP="008B24AA">
            <w:pPr>
              <w:spacing w:after="0" w:line="240" w:lineRule="auto"/>
              <w:jc w:val="both"/>
              <w:rPr>
                <w:rFonts w:ascii="Book Antiqua" w:eastAsia="Times New Roman" w:hAnsi="Book Antiqua" w:cs="Calibri"/>
                <w:color w:val="000000"/>
                <w:sz w:val="18"/>
                <w:szCs w:val="18"/>
                <w:lang w:eastAsia="es-CR"/>
              </w:rPr>
            </w:pPr>
          </w:p>
        </w:tc>
      </w:tr>
      <w:tr w:rsidR="00CE48BE" w:rsidRPr="00126691" w14:paraId="68C2D814" w14:textId="77777777" w:rsidTr="005C5E7B">
        <w:trPr>
          <w:trHeight w:val="480"/>
        </w:trPr>
        <w:tc>
          <w:tcPr>
            <w:tcW w:w="1470" w:type="dxa"/>
            <w:vMerge/>
            <w:tcBorders>
              <w:top w:val="nil"/>
              <w:left w:val="single" w:sz="4" w:space="0" w:color="auto"/>
              <w:bottom w:val="single" w:sz="4" w:space="0" w:color="000000"/>
              <w:right w:val="single" w:sz="4" w:space="0" w:color="auto"/>
            </w:tcBorders>
            <w:vAlign w:val="center"/>
            <w:hideMark/>
          </w:tcPr>
          <w:p w14:paraId="24B73A2D" w14:textId="77777777" w:rsidR="000B7A67" w:rsidRPr="00126691" w:rsidRDefault="000B7A67" w:rsidP="00F400D6">
            <w:pPr>
              <w:spacing w:after="0" w:line="240" w:lineRule="auto"/>
              <w:rPr>
                <w:rFonts w:ascii="Book Antiqua" w:eastAsia="Times New Roman" w:hAnsi="Book Antiqua" w:cs="Calibri"/>
                <w:color w:val="000000"/>
                <w:sz w:val="18"/>
                <w:szCs w:val="18"/>
                <w:lang w:eastAsia="es-CR"/>
              </w:rPr>
            </w:pPr>
          </w:p>
        </w:tc>
        <w:tc>
          <w:tcPr>
            <w:tcW w:w="1390" w:type="dxa"/>
            <w:vMerge/>
            <w:tcBorders>
              <w:left w:val="single" w:sz="4" w:space="0" w:color="auto"/>
              <w:bottom w:val="single" w:sz="4" w:space="0" w:color="auto"/>
              <w:right w:val="single" w:sz="4" w:space="0" w:color="auto"/>
            </w:tcBorders>
            <w:shd w:val="clear" w:color="auto" w:fill="auto"/>
            <w:vAlign w:val="center"/>
            <w:hideMark/>
          </w:tcPr>
          <w:p w14:paraId="243FA279"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p>
        </w:tc>
        <w:tc>
          <w:tcPr>
            <w:tcW w:w="978" w:type="dxa"/>
            <w:tcBorders>
              <w:top w:val="nil"/>
              <w:left w:val="nil"/>
              <w:bottom w:val="single" w:sz="4" w:space="0" w:color="auto"/>
              <w:right w:val="single" w:sz="4" w:space="0" w:color="auto"/>
            </w:tcBorders>
            <w:shd w:val="clear" w:color="auto" w:fill="auto"/>
            <w:vAlign w:val="center"/>
            <w:hideMark/>
          </w:tcPr>
          <w:p w14:paraId="3848B26E"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0134-DGH-P16</w:t>
            </w:r>
          </w:p>
        </w:tc>
        <w:tc>
          <w:tcPr>
            <w:tcW w:w="1975" w:type="dxa"/>
            <w:tcBorders>
              <w:top w:val="nil"/>
              <w:left w:val="nil"/>
              <w:bottom w:val="single" w:sz="4" w:space="0" w:color="auto"/>
              <w:right w:val="single" w:sz="4" w:space="0" w:color="auto"/>
            </w:tcBorders>
            <w:shd w:val="clear" w:color="auto" w:fill="auto"/>
            <w:vAlign w:val="center"/>
            <w:hideMark/>
          </w:tcPr>
          <w:p w14:paraId="57F201D2"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Política de Teletrabajo</w:t>
            </w:r>
          </w:p>
        </w:tc>
        <w:tc>
          <w:tcPr>
            <w:tcW w:w="1134" w:type="dxa"/>
            <w:tcBorders>
              <w:top w:val="nil"/>
              <w:left w:val="nil"/>
              <w:bottom w:val="single" w:sz="4" w:space="0" w:color="auto"/>
              <w:right w:val="single" w:sz="4" w:space="0" w:color="auto"/>
            </w:tcBorders>
            <w:shd w:val="clear" w:color="auto" w:fill="auto"/>
            <w:vAlign w:val="center"/>
            <w:hideMark/>
          </w:tcPr>
          <w:p w14:paraId="7A3CC9A6" w14:textId="77777777" w:rsidR="000B7A67" w:rsidRPr="00126691" w:rsidRDefault="000B7A67" w:rsidP="00F400D6">
            <w:pPr>
              <w:spacing w:after="0" w:line="240" w:lineRule="auto"/>
              <w:jc w:val="center"/>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2.1</w:t>
            </w:r>
          </w:p>
        </w:tc>
        <w:tc>
          <w:tcPr>
            <w:tcW w:w="2835" w:type="dxa"/>
            <w:tcBorders>
              <w:top w:val="nil"/>
              <w:left w:val="nil"/>
              <w:bottom w:val="single" w:sz="4" w:space="0" w:color="auto"/>
              <w:right w:val="single" w:sz="4" w:space="0" w:color="auto"/>
            </w:tcBorders>
            <w:shd w:val="clear" w:color="auto" w:fill="auto"/>
            <w:vAlign w:val="center"/>
            <w:hideMark/>
          </w:tcPr>
          <w:p w14:paraId="0910E8E2" w14:textId="77777777" w:rsidR="000B7A67" w:rsidRPr="00126691" w:rsidRDefault="000B7A67" w:rsidP="008B24AA">
            <w:pPr>
              <w:spacing w:after="0" w:line="240" w:lineRule="auto"/>
              <w:jc w:val="both"/>
              <w:rPr>
                <w:rFonts w:ascii="Book Antiqua" w:eastAsia="Times New Roman" w:hAnsi="Book Antiqua" w:cs="Calibri"/>
                <w:color w:val="000000"/>
                <w:sz w:val="18"/>
                <w:szCs w:val="18"/>
                <w:lang w:eastAsia="es-CR"/>
              </w:rPr>
            </w:pPr>
            <w:r w:rsidRPr="00126691">
              <w:rPr>
                <w:rFonts w:ascii="Book Antiqua" w:eastAsia="Times New Roman" w:hAnsi="Book Antiqua" w:cs="Calibri"/>
                <w:color w:val="000000"/>
                <w:sz w:val="18"/>
                <w:szCs w:val="18"/>
                <w:lang w:eastAsia="es-CR"/>
              </w:rPr>
              <w:t>El informe de avance presentaba incorrecto el porcentaje esperado.</w:t>
            </w:r>
          </w:p>
        </w:tc>
      </w:tr>
    </w:tbl>
    <w:p w14:paraId="15E85707" w14:textId="77777777" w:rsidR="000B7A67" w:rsidRDefault="000B7A67" w:rsidP="000B7A67">
      <w:pPr>
        <w:spacing w:after="0"/>
        <w:jc w:val="both"/>
        <w:rPr>
          <w:rFonts w:ascii="Book Antiqua" w:hAnsi="Book Antiqua"/>
          <w:sz w:val="24"/>
          <w:szCs w:val="24"/>
        </w:rPr>
      </w:pPr>
    </w:p>
    <w:p w14:paraId="0D5F6044" w14:textId="77777777" w:rsidR="000B7A67" w:rsidRDefault="000B7A67" w:rsidP="000B7A67">
      <w:pPr>
        <w:spacing w:after="0"/>
        <w:jc w:val="both"/>
        <w:rPr>
          <w:rFonts w:ascii="Book Antiqua" w:hAnsi="Book Antiqua"/>
          <w:b/>
          <w:sz w:val="24"/>
          <w:szCs w:val="24"/>
        </w:rPr>
      </w:pPr>
      <w:r w:rsidRPr="003B26B6">
        <w:rPr>
          <w:rFonts w:ascii="Book Antiqua" w:hAnsi="Book Antiqua"/>
          <w:sz w:val="24"/>
          <w:szCs w:val="24"/>
        </w:rPr>
        <w:t xml:space="preserve">Los proyectos </w:t>
      </w:r>
      <w:r w:rsidRPr="005C5E7B">
        <w:rPr>
          <w:rFonts w:ascii="Book Antiqua" w:hAnsi="Book Antiqua"/>
          <w:sz w:val="24"/>
          <w:szCs w:val="24"/>
        </w:rPr>
        <w:t xml:space="preserve">anteriores, tendrán al </w:t>
      </w:r>
      <w:r w:rsidRPr="005C5E7B">
        <w:rPr>
          <w:rFonts w:ascii="Book Antiqua" w:hAnsi="Book Antiqua"/>
          <w:b/>
          <w:bCs/>
          <w:sz w:val="24"/>
          <w:szCs w:val="24"/>
        </w:rPr>
        <w:t xml:space="preserve">11 de agosto del 2023 para atender las recomendaciones pendientes </w:t>
      </w:r>
      <w:r w:rsidRPr="005C5E7B">
        <w:rPr>
          <w:rFonts w:ascii="Book Antiqua" w:hAnsi="Book Antiqua"/>
          <w:b/>
          <w:sz w:val="24"/>
          <w:szCs w:val="24"/>
        </w:rPr>
        <w:t>y notificar a la Unidad del Portafolio</w:t>
      </w:r>
      <w:r>
        <w:rPr>
          <w:rFonts w:ascii="Book Antiqua" w:hAnsi="Book Antiqua"/>
          <w:b/>
          <w:sz w:val="24"/>
          <w:szCs w:val="24"/>
        </w:rPr>
        <w:t xml:space="preserve"> de Proyectos, </w:t>
      </w:r>
      <w:r w:rsidRPr="003B26B6">
        <w:rPr>
          <w:rFonts w:ascii="Book Antiqua" w:hAnsi="Book Antiqua"/>
          <w:b/>
          <w:sz w:val="24"/>
          <w:szCs w:val="24"/>
        </w:rPr>
        <w:t>Dirección de Planificación</w:t>
      </w:r>
      <w:r>
        <w:rPr>
          <w:rFonts w:ascii="Book Antiqua" w:hAnsi="Book Antiqua"/>
          <w:b/>
          <w:sz w:val="24"/>
          <w:szCs w:val="24"/>
        </w:rPr>
        <w:t>.</w:t>
      </w:r>
    </w:p>
    <w:p w14:paraId="1EFCD770" w14:textId="77777777" w:rsidR="000B7A67" w:rsidRDefault="000B7A67" w:rsidP="000B7A67">
      <w:pPr>
        <w:spacing w:after="0"/>
        <w:jc w:val="both"/>
        <w:rPr>
          <w:rFonts w:ascii="Book Antiqua" w:hAnsi="Book Antiqua"/>
        </w:rPr>
      </w:pPr>
    </w:p>
    <w:p w14:paraId="64E1A925" w14:textId="77777777" w:rsidR="000B7A67" w:rsidRPr="001D2656" w:rsidRDefault="000B7A67" w:rsidP="000B7A67">
      <w:pPr>
        <w:pStyle w:val="Ttulo2"/>
        <w:numPr>
          <w:ilvl w:val="0"/>
          <w:numId w:val="3"/>
        </w:numPr>
        <w:tabs>
          <w:tab w:val="left" w:pos="851"/>
        </w:tabs>
        <w:spacing w:before="0"/>
        <w:jc w:val="both"/>
        <w:rPr>
          <w:rFonts w:ascii="Book Antiqua" w:eastAsia="Wingdings" w:hAnsi="Book Antiqua"/>
          <w:b/>
          <w:bCs/>
          <w:color w:val="auto"/>
          <w:lang w:eastAsia="ko-KR"/>
        </w:rPr>
      </w:pPr>
      <w:bookmarkStart w:id="35" w:name="_Toc138770832"/>
      <w:r w:rsidRPr="001D2656">
        <w:rPr>
          <w:rFonts w:ascii="Book Antiqua" w:eastAsia="Wingdings" w:hAnsi="Book Antiqua"/>
          <w:b/>
          <w:bCs/>
          <w:color w:val="auto"/>
          <w:lang w:eastAsia="ko-KR"/>
        </w:rPr>
        <w:t xml:space="preserve">Recomendaciones dirigidas </w:t>
      </w:r>
      <w:r>
        <w:rPr>
          <w:rFonts w:ascii="Book Antiqua" w:eastAsia="Wingdings" w:hAnsi="Book Antiqua"/>
          <w:b/>
          <w:bCs/>
          <w:color w:val="auto"/>
          <w:lang w:eastAsia="ko-KR"/>
        </w:rPr>
        <w:t>a la Escuela Judicial</w:t>
      </w:r>
      <w:bookmarkEnd w:id="35"/>
    </w:p>
    <w:p w14:paraId="4022D8E4" w14:textId="77777777" w:rsidR="000B7A67" w:rsidRDefault="000B7A67" w:rsidP="000B7A67">
      <w:pPr>
        <w:spacing w:after="0"/>
        <w:jc w:val="both"/>
        <w:rPr>
          <w:rFonts w:ascii="Book Antiqua" w:hAnsi="Book Antiqua"/>
        </w:rPr>
      </w:pPr>
    </w:p>
    <w:p w14:paraId="13E7849D" w14:textId="77777777" w:rsidR="000B7A67" w:rsidRDefault="000B7A67" w:rsidP="000B7A67">
      <w:pPr>
        <w:jc w:val="both"/>
        <w:rPr>
          <w:lang w:eastAsia="ko-KR"/>
        </w:rPr>
      </w:pPr>
      <w:r>
        <w:rPr>
          <w:rFonts w:ascii="Book Antiqua" w:hAnsi="Book Antiqua"/>
          <w:sz w:val="24"/>
          <w:szCs w:val="24"/>
        </w:rPr>
        <w:t xml:space="preserve">En el informe 277-PLA-PP-2022, se dirigió una recomendación a la </w:t>
      </w:r>
      <w:r w:rsidRPr="00833CFA">
        <w:rPr>
          <w:rFonts w:ascii="Book Antiqua" w:hAnsi="Book Antiqua"/>
          <w:b/>
          <w:bCs/>
          <w:sz w:val="24"/>
          <w:szCs w:val="24"/>
        </w:rPr>
        <w:t>Escuela Judicial</w:t>
      </w:r>
      <w:r>
        <w:rPr>
          <w:rFonts w:ascii="Book Antiqua" w:eastAsia="Wingdings" w:hAnsi="Book Antiqua"/>
          <w:b/>
          <w:bCs/>
          <w:lang w:eastAsia="ko-KR"/>
        </w:rPr>
        <w:t>,</w:t>
      </w:r>
      <w:r>
        <w:rPr>
          <w:rFonts w:ascii="Book Antiqua" w:hAnsi="Book Antiqua"/>
          <w:sz w:val="24"/>
          <w:szCs w:val="24"/>
        </w:rPr>
        <w:t xml:space="preserve"> debido a que existían proyectos con gestiones pendientes de atender o nuevas recomendaciones, por lo anterior se realiza el seguimiento a las siguientes recomendaciones:</w:t>
      </w:r>
    </w:p>
    <w:p w14:paraId="33D73016" w14:textId="77777777" w:rsidR="000B7A67" w:rsidRDefault="000B7A67" w:rsidP="000B7A67">
      <w:pPr>
        <w:jc w:val="both"/>
        <w:rPr>
          <w:rFonts w:ascii="Book Antiqua" w:hAnsi="Book Antiqua"/>
          <w:i/>
          <w:iCs/>
          <w:sz w:val="24"/>
          <w:szCs w:val="24"/>
        </w:rPr>
      </w:pPr>
      <w:r w:rsidRPr="003041AE">
        <w:rPr>
          <w:rFonts w:ascii="Book Antiqua" w:hAnsi="Book Antiqua"/>
          <w:i/>
          <w:iCs/>
          <w:sz w:val="24"/>
          <w:szCs w:val="24"/>
        </w:rPr>
        <w:t>“</w:t>
      </w:r>
      <w:r w:rsidRPr="00CC0F21">
        <w:rPr>
          <w:rFonts w:ascii="Book Antiqua" w:hAnsi="Book Antiqua"/>
          <w:b/>
          <w:bCs/>
          <w:i/>
          <w:iCs/>
          <w:sz w:val="24"/>
          <w:szCs w:val="24"/>
        </w:rPr>
        <w:t xml:space="preserve">2.16) </w:t>
      </w:r>
      <w:r w:rsidRPr="00CC0F21">
        <w:rPr>
          <w:rFonts w:ascii="Book Antiqua" w:hAnsi="Book Antiqua"/>
          <w:i/>
          <w:iCs/>
          <w:sz w:val="24"/>
          <w:szCs w:val="24"/>
        </w:rPr>
        <w:t xml:space="preserve">La Escuela Judicial, la Inspección Judicial, la Junta Administradora del Fondo de Jubilaciones del Poder Judicial, el Ministerio Público, la Oficina de Control Interno, la Oficina de Cumplimiento, el Organismo de Investigación Judicial, deberán por su orden: a) A más tardar el 28 de abril del 2023, cargar en el sitio de proyecto la atención de las recomendaciones que, para cada uno de esos órganos, se disponen en la respectiva tabla que se incluye en el presente informe. </w:t>
      </w:r>
      <w:r>
        <w:rPr>
          <w:rFonts w:ascii="Book Antiqua" w:hAnsi="Book Antiqua"/>
          <w:i/>
          <w:iCs/>
          <w:sz w:val="24"/>
          <w:szCs w:val="24"/>
        </w:rPr>
        <w:t>b) Por su parte, el Organismo de Investigación Judicial, deberá, además: i. Tomar las medidas pertinentes a fin de poder contrarrestar los atrasos presentados y, cuando no sea posible subsanar los atrasos, deberá valorar la presentación de una solicitud de cambio en los casos que el retraso afecte la fecha de finalización de los proyectos y que la misma tenga autorización de la persona jefe o del director del proyecto. ii. Revisar y monitorear los proyectos que presentan un retraso significativo, y cuentan con permisos con goce otorgados</w:t>
      </w:r>
    </w:p>
    <w:p w14:paraId="615C868B" w14:textId="77777777" w:rsidR="000B7A67" w:rsidRDefault="000B7A67" w:rsidP="000B7A67">
      <w:pPr>
        <w:spacing w:after="0" w:line="240" w:lineRule="auto"/>
        <w:ind w:left="567"/>
        <w:jc w:val="both"/>
        <w:rPr>
          <w:rFonts w:ascii="Book Antiqua" w:hAnsi="Book Antiqua"/>
          <w:i/>
          <w:iCs/>
          <w:sz w:val="24"/>
          <w:szCs w:val="24"/>
        </w:rPr>
      </w:pPr>
    </w:p>
    <w:tbl>
      <w:tblPr>
        <w:tblW w:w="10207" w:type="dxa"/>
        <w:tblInd w:w="-147" w:type="dxa"/>
        <w:tblCellMar>
          <w:left w:w="70" w:type="dxa"/>
          <w:right w:w="70" w:type="dxa"/>
        </w:tblCellMar>
        <w:tblLook w:val="04A0" w:firstRow="1" w:lastRow="0" w:firstColumn="1" w:lastColumn="0" w:noHBand="0" w:noVBand="1"/>
      </w:tblPr>
      <w:tblGrid>
        <w:gridCol w:w="1471"/>
        <w:gridCol w:w="1210"/>
        <w:gridCol w:w="978"/>
        <w:gridCol w:w="1173"/>
        <w:gridCol w:w="1406"/>
        <w:gridCol w:w="3969"/>
      </w:tblGrid>
      <w:tr w:rsidR="00BC00B3" w:rsidRPr="00455263" w14:paraId="0E0DD076" w14:textId="77777777" w:rsidTr="00301740">
        <w:trPr>
          <w:trHeight w:val="300"/>
        </w:trPr>
        <w:tc>
          <w:tcPr>
            <w:tcW w:w="1471"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35A2786F" w14:textId="77777777" w:rsidR="000B7A67" w:rsidRPr="00455263" w:rsidRDefault="000B7A67" w:rsidP="00F400D6">
            <w:pPr>
              <w:spacing w:after="0" w:line="240" w:lineRule="auto"/>
              <w:jc w:val="center"/>
              <w:rPr>
                <w:rFonts w:ascii="Book Antiqua" w:eastAsia="Times New Roman" w:hAnsi="Book Antiqua" w:cs="Calibri"/>
                <w:b/>
                <w:bCs/>
                <w:color w:val="FFFFFF"/>
                <w:sz w:val="18"/>
                <w:szCs w:val="18"/>
                <w:lang w:eastAsia="es-CR"/>
              </w:rPr>
            </w:pPr>
            <w:r w:rsidRPr="00455263">
              <w:rPr>
                <w:rFonts w:ascii="Book Antiqua" w:eastAsia="Times New Roman" w:hAnsi="Book Antiqua" w:cs="Calibri"/>
                <w:b/>
                <w:bCs/>
                <w:color w:val="FFFFFF"/>
                <w:sz w:val="18"/>
                <w:szCs w:val="18"/>
                <w:lang w:eastAsia="es-CR"/>
              </w:rPr>
              <w:t xml:space="preserve">Centro de responsabilidad </w:t>
            </w:r>
          </w:p>
        </w:tc>
        <w:tc>
          <w:tcPr>
            <w:tcW w:w="1210" w:type="dxa"/>
            <w:tcBorders>
              <w:top w:val="single" w:sz="4" w:space="0" w:color="auto"/>
              <w:left w:val="nil"/>
              <w:bottom w:val="single" w:sz="4" w:space="0" w:color="auto"/>
              <w:right w:val="single" w:sz="4" w:space="0" w:color="auto"/>
            </w:tcBorders>
            <w:shd w:val="clear" w:color="000000" w:fill="44546A"/>
            <w:vAlign w:val="center"/>
            <w:hideMark/>
          </w:tcPr>
          <w:p w14:paraId="34F3106B" w14:textId="77777777" w:rsidR="000B7A67" w:rsidRPr="00455263" w:rsidRDefault="000B7A67" w:rsidP="00F400D6">
            <w:pPr>
              <w:spacing w:after="0" w:line="240" w:lineRule="auto"/>
              <w:jc w:val="center"/>
              <w:rPr>
                <w:rFonts w:ascii="Book Antiqua" w:eastAsia="Times New Roman" w:hAnsi="Book Antiqua" w:cs="Calibri"/>
                <w:b/>
                <w:bCs/>
                <w:color w:val="FFFFFF"/>
                <w:sz w:val="18"/>
                <w:szCs w:val="18"/>
                <w:lang w:eastAsia="es-CR"/>
              </w:rPr>
            </w:pPr>
            <w:r w:rsidRPr="00455263">
              <w:rPr>
                <w:rFonts w:ascii="Book Antiqua" w:eastAsia="Times New Roman" w:hAnsi="Book Antiqua" w:cs="Calibri"/>
                <w:b/>
                <w:bCs/>
                <w:color w:val="FFFFFF"/>
                <w:sz w:val="18"/>
                <w:szCs w:val="18"/>
                <w:lang w:eastAsia="es-CR"/>
              </w:rPr>
              <w:t>Oficina Líder</w:t>
            </w:r>
          </w:p>
        </w:tc>
        <w:tc>
          <w:tcPr>
            <w:tcW w:w="978" w:type="dxa"/>
            <w:tcBorders>
              <w:top w:val="single" w:sz="4" w:space="0" w:color="auto"/>
              <w:left w:val="nil"/>
              <w:bottom w:val="single" w:sz="4" w:space="0" w:color="auto"/>
              <w:right w:val="single" w:sz="4" w:space="0" w:color="auto"/>
            </w:tcBorders>
            <w:shd w:val="clear" w:color="000000" w:fill="44546A"/>
            <w:vAlign w:val="center"/>
            <w:hideMark/>
          </w:tcPr>
          <w:p w14:paraId="6BC9A765" w14:textId="77777777" w:rsidR="000B7A67" w:rsidRPr="00455263" w:rsidRDefault="000B7A67" w:rsidP="00F400D6">
            <w:pPr>
              <w:spacing w:after="0" w:line="240" w:lineRule="auto"/>
              <w:jc w:val="center"/>
              <w:rPr>
                <w:rFonts w:ascii="Book Antiqua" w:eastAsia="Times New Roman" w:hAnsi="Book Antiqua" w:cs="Calibri"/>
                <w:b/>
                <w:bCs/>
                <w:color w:val="FFFFFF"/>
                <w:sz w:val="18"/>
                <w:szCs w:val="18"/>
                <w:lang w:eastAsia="es-CR"/>
              </w:rPr>
            </w:pPr>
            <w:r w:rsidRPr="00455263">
              <w:rPr>
                <w:rFonts w:ascii="Book Antiqua" w:eastAsia="Times New Roman" w:hAnsi="Book Antiqua" w:cs="Calibri"/>
                <w:b/>
                <w:bCs/>
                <w:color w:val="FFFFFF"/>
                <w:sz w:val="18"/>
                <w:szCs w:val="18"/>
                <w:lang w:eastAsia="es-CR"/>
              </w:rPr>
              <w:t>Código</w:t>
            </w:r>
          </w:p>
        </w:tc>
        <w:tc>
          <w:tcPr>
            <w:tcW w:w="1173" w:type="dxa"/>
            <w:tcBorders>
              <w:top w:val="single" w:sz="4" w:space="0" w:color="auto"/>
              <w:left w:val="nil"/>
              <w:bottom w:val="single" w:sz="4" w:space="0" w:color="auto"/>
              <w:right w:val="single" w:sz="4" w:space="0" w:color="auto"/>
            </w:tcBorders>
            <w:shd w:val="clear" w:color="000000" w:fill="44546A"/>
            <w:vAlign w:val="center"/>
            <w:hideMark/>
          </w:tcPr>
          <w:p w14:paraId="3227B552" w14:textId="77777777" w:rsidR="000B7A67" w:rsidRPr="00455263" w:rsidRDefault="000B7A67" w:rsidP="00F400D6">
            <w:pPr>
              <w:spacing w:after="0" w:line="240" w:lineRule="auto"/>
              <w:jc w:val="center"/>
              <w:rPr>
                <w:rFonts w:ascii="Book Antiqua" w:eastAsia="Times New Roman" w:hAnsi="Book Antiqua" w:cs="Calibri"/>
                <w:b/>
                <w:bCs/>
                <w:color w:val="FFFFFF"/>
                <w:sz w:val="18"/>
                <w:szCs w:val="18"/>
                <w:lang w:eastAsia="es-CR"/>
              </w:rPr>
            </w:pPr>
            <w:r w:rsidRPr="00455263">
              <w:rPr>
                <w:rFonts w:ascii="Book Antiqua" w:eastAsia="Times New Roman" w:hAnsi="Book Antiqua" w:cs="Calibri"/>
                <w:b/>
                <w:bCs/>
                <w:color w:val="FFFFFF"/>
                <w:sz w:val="18"/>
                <w:szCs w:val="18"/>
                <w:lang w:eastAsia="es-CR"/>
              </w:rPr>
              <w:t>Nombre</w:t>
            </w:r>
          </w:p>
        </w:tc>
        <w:tc>
          <w:tcPr>
            <w:tcW w:w="1406" w:type="dxa"/>
            <w:tcBorders>
              <w:top w:val="single" w:sz="4" w:space="0" w:color="auto"/>
              <w:left w:val="nil"/>
              <w:bottom w:val="single" w:sz="4" w:space="0" w:color="auto"/>
              <w:right w:val="single" w:sz="4" w:space="0" w:color="auto"/>
            </w:tcBorders>
            <w:shd w:val="clear" w:color="000000" w:fill="44546A"/>
            <w:vAlign w:val="center"/>
            <w:hideMark/>
          </w:tcPr>
          <w:p w14:paraId="3863C65C" w14:textId="77777777" w:rsidR="000B7A67" w:rsidRPr="00455263" w:rsidRDefault="000B7A67" w:rsidP="00F400D6">
            <w:pPr>
              <w:spacing w:after="0" w:line="240" w:lineRule="auto"/>
              <w:jc w:val="center"/>
              <w:rPr>
                <w:rFonts w:ascii="Book Antiqua" w:eastAsia="Times New Roman" w:hAnsi="Book Antiqua" w:cs="Calibri"/>
                <w:b/>
                <w:bCs/>
                <w:color w:val="FFFFFF"/>
                <w:sz w:val="18"/>
                <w:szCs w:val="18"/>
                <w:lang w:eastAsia="es-CR"/>
              </w:rPr>
            </w:pPr>
            <w:r w:rsidRPr="00455263">
              <w:rPr>
                <w:rFonts w:ascii="Book Antiqua" w:eastAsia="Times New Roman" w:hAnsi="Book Antiqua" w:cs="Calibri"/>
                <w:b/>
                <w:bCs/>
                <w:color w:val="FFFFFF"/>
                <w:sz w:val="18"/>
                <w:szCs w:val="18"/>
                <w:lang w:eastAsia="es-CR"/>
              </w:rPr>
              <w:t>Parte pendiente</w:t>
            </w:r>
          </w:p>
        </w:tc>
        <w:tc>
          <w:tcPr>
            <w:tcW w:w="3969" w:type="dxa"/>
            <w:tcBorders>
              <w:top w:val="single" w:sz="4" w:space="0" w:color="auto"/>
              <w:left w:val="nil"/>
              <w:bottom w:val="single" w:sz="4" w:space="0" w:color="auto"/>
              <w:right w:val="single" w:sz="4" w:space="0" w:color="auto"/>
            </w:tcBorders>
            <w:shd w:val="clear" w:color="000000" w:fill="44546A"/>
            <w:vAlign w:val="center"/>
            <w:hideMark/>
          </w:tcPr>
          <w:p w14:paraId="66BD7A68" w14:textId="77777777" w:rsidR="000B7A67" w:rsidRPr="00455263" w:rsidRDefault="000B7A67" w:rsidP="00F400D6">
            <w:pPr>
              <w:spacing w:after="0" w:line="240" w:lineRule="auto"/>
              <w:jc w:val="center"/>
              <w:rPr>
                <w:rFonts w:ascii="Book Antiqua" w:eastAsia="Times New Roman" w:hAnsi="Book Antiqua" w:cs="Calibri"/>
                <w:b/>
                <w:bCs/>
                <w:color w:val="FFFFFF"/>
                <w:sz w:val="18"/>
                <w:szCs w:val="18"/>
                <w:lang w:eastAsia="es-CR"/>
              </w:rPr>
            </w:pPr>
            <w:r w:rsidRPr="00455263">
              <w:rPr>
                <w:rFonts w:ascii="Book Antiqua" w:eastAsia="Times New Roman" w:hAnsi="Book Antiqua" w:cs="Calibri"/>
                <w:b/>
                <w:bCs/>
                <w:color w:val="FFFFFF"/>
                <w:sz w:val="18"/>
                <w:szCs w:val="18"/>
                <w:lang w:eastAsia="es-CR"/>
              </w:rPr>
              <w:t xml:space="preserve">Detalle </w:t>
            </w:r>
          </w:p>
        </w:tc>
      </w:tr>
      <w:tr w:rsidR="007E6FC1" w:rsidRPr="00455263" w14:paraId="02B7491E" w14:textId="77777777" w:rsidTr="00301740">
        <w:trPr>
          <w:trHeight w:val="724"/>
        </w:trPr>
        <w:tc>
          <w:tcPr>
            <w:tcW w:w="1471" w:type="dxa"/>
            <w:vMerge w:val="restart"/>
            <w:tcBorders>
              <w:top w:val="nil"/>
              <w:left w:val="single" w:sz="4" w:space="0" w:color="auto"/>
              <w:bottom w:val="single" w:sz="4" w:space="0" w:color="000000"/>
              <w:right w:val="single" w:sz="4" w:space="0" w:color="auto"/>
            </w:tcBorders>
            <w:shd w:val="clear" w:color="auto" w:fill="auto"/>
            <w:vAlign w:val="center"/>
            <w:hideMark/>
          </w:tcPr>
          <w:p w14:paraId="4302E8D4" w14:textId="77777777" w:rsidR="000B7A67" w:rsidRPr="00455263" w:rsidRDefault="000B7A67" w:rsidP="00F400D6">
            <w:pPr>
              <w:spacing w:after="0" w:line="240" w:lineRule="auto"/>
              <w:jc w:val="center"/>
              <w:rPr>
                <w:rFonts w:ascii="Book Antiqua" w:eastAsia="Times New Roman" w:hAnsi="Book Antiqua" w:cs="Calibri"/>
                <w:color w:val="000000"/>
                <w:sz w:val="18"/>
                <w:szCs w:val="18"/>
                <w:lang w:eastAsia="es-CR"/>
              </w:rPr>
            </w:pPr>
            <w:r w:rsidRPr="00455263">
              <w:rPr>
                <w:rFonts w:ascii="Book Antiqua" w:eastAsia="Times New Roman" w:hAnsi="Book Antiqua" w:cs="Calibri"/>
                <w:color w:val="000000"/>
                <w:sz w:val="18"/>
                <w:szCs w:val="18"/>
                <w:lang w:eastAsia="es-CR"/>
              </w:rPr>
              <w:t>Escuela Judicial</w:t>
            </w:r>
          </w:p>
        </w:tc>
        <w:tc>
          <w:tcPr>
            <w:tcW w:w="1210" w:type="dxa"/>
            <w:vMerge w:val="restart"/>
            <w:tcBorders>
              <w:top w:val="nil"/>
              <w:left w:val="single" w:sz="4" w:space="0" w:color="auto"/>
              <w:bottom w:val="single" w:sz="4" w:space="0" w:color="000000"/>
              <w:right w:val="single" w:sz="4" w:space="0" w:color="auto"/>
            </w:tcBorders>
            <w:shd w:val="clear" w:color="auto" w:fill="auto"/>
            <w:vAlign w:val="center"/>
            <w:hideMark/>
          </w:tcPr>
          <w:p w14:paraId="61AADC10" w14:textId="77777777" w:rsidR="000B7A67" w:rsidRPr="00455263" w:rsidRDefault="000B7A67" w:rsidP="00F400D6">
            <w:pPr>
              <w:spacing w:after="0" w:line="240" w:lineRule="auto"/>
              <w:jc w:val="center"/>
              <w:rPr>
                <w:rFonts w:ascii="Book Antiqua" w:eastAsia="Times New Roman" w:hAnsi="Book Antiqua" w:cs="Calibri"/>
                <w:color w:val="000000"/>
                <w:sz w:val="18"/>
                <w:szCs w:val="18"/>
                <w:lang w:eastAsia="es-CR"/>
              </w:rPr>
            </w:pPr>
            <w:r w:rsidRPr="00455263">
              <w:rPr>
                <w:rFonts w:ascii="Book Antiqua" w:eastAsia="Times New Roman" w:hAnsi="Book Antiqua" w:cs="Calibri"/>
                <w:color w:val="000000"/>
                <w:sz w:val="18"/>
                <w:szCs w:val="18"/>
                <w:lang w:eastAsia="es-CR"/>
              </w:rPr>
              <w:t>0035 Escuela Judicial</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14:paraId="72C943DA" w14:textId="77777777" w:rsidR="000B7A67" w:rsidRPr="00455263" w:rsidRDefault="000B7A67" w:rsidP="00F400D6">
            <w:pPr>
              <w:spacing w:after="0" w:line="240" w:lineRule="auto"/>
              <w:jc w:val="center"/>
              <w:rPr>
                <w:rFonts w:ascii="Book Antiqua" w:eastAsia="Times New Roman" w:hAnsi="Book Antiqua" w:cs="Calibri"/>
                <w:color w:val="000000"/>
                <w:sz w:val="18"/>
                <w:szCs w:val="18"/>
                <w:lang w:eastAsia="es-CR"/>
              </w:rPr>
            </w:pPr>
            <w:r w:rsidRPr="00455263">
              <w:rPr>
                <w:rFonts w:ascii="Book Antiqua" w:eastAsia="Times New Roman" w:hAnsi="Book Antiqua" w:cs="Calibri"/>
                <w:color w:val="000000"/>
                <w:sz w:val="18"/>
                <w:szCs w:val="18"/>
                <w:lang w:eastAsia="es-CR"/>
              </w:rPr>
              <w:t>0035-EJ-P01</w:t>
            </w:r>
          </w:p>
        </w:tc>
        <w:tc>
          <w:tcPr>
            <w:tcW w:w="1173" w:type="dxa"/>
            <w:vMerge w:val="restart"/>
            <w:tcBorders>
              <w:top w:val="nil"/>
              <w:left w:val="single" w:sz="4" w:space="0" w:color="auto"/>
              <w:bottom w:val="single" w:sz="4" w:space="0" w:color="000000"/>
              <w:right w:val="single" w:sz="4" w:space="0" w:color="auto"/>
            </w:tcBorders>
            <w:shd w:val="clear" w:color="auto" w:fill="auto"/>
            <w:vAlign w:val="center"/>
            <w:hideMark/>
          </w:tcPr>
          <w:p w14:paraId="2E3CED92" w14:textId="77777777" w:rsidR="000B7A67" w:rsidRPr="00455263" w:rsidRDefault="000B7A67" w:rsidP="00F400D6">
            <w:pPr>
              <w:spacing w:after="0" w:line="240" w:lineRule="auto"/>
              <w:jc w:val="center"/>
              <w:rPr>
                <w:rFonts w:ascii="Book Antiqua" w:eastAsia="Times New Roman" w:hAnsi="Book Antiqua" w:cs="Calibri"/>
                <w:color w:val="000000"/>
                <w:sz w:val="18"/>
                <w:szCs w:val="18"/>
                <w:lang w:eastAsia="es-CR"/>
              </w:rPr>
            </w:pPr>
            <w:r w:rsidRPr="00455263">
              <w:rPr>
                <w:rFonts w:ascii="Book Antiqua" w:eastAsia="Times New Roman" w:hAnsi="Book Antiqua" w:cs="Calibri"/>
                <w:color w:val="000000"/>
                <w:sz w:val="18"/>
                <w:szCs w:val="18"/>
                <w:lang w:eastAsia="es-CR"/>
              </w:rPr>
              <w:t>Sistema de Gestión de Capacitación</w:t>
            </w:r>
          </w:p>
        </w:tc>
        <w:tc>
          <w:tcPr>
            <w:tcW w:w="1406" w:type="dxa"/>
            <w:tcBorders>
              <w:top w:val="nil"/>
              <w:left w:val="nil"/>
              <w:bottom w:val="single" w:sz="4" w:space="0" w:color="auto"/>
              <w:right w:val="single" w:sz="4" w:space="0" w:color="auto"/>
            </w:tcBorders>
            <w:shd w:val="clear" w:color="auto" w:fill="auto"/>
            <w:vAlign w:val="center"/>
            <w:hideMark/>
          </w:tcPr>
          <w:p w14:paraId="7272B8C0" w14:textId="77777777" w:rsidR="000B7A67" w:rsidRPr="00455263" w:rsidRDefault="000B7A67" w:rsidP="00F400D6">
            <w:pPr>
              <w:spacing w:after="0" w:line="240" w:lineRule="auto"/>
              <w:jc w:val="center"/>
              <w:rPr>
                <w:rFonts w:ascii="Book Antiqua" w:eastAsia="Times New Roman" w:hAnsi="Book Antiqua" w:cs="Calibri"/>
                <w:sz w:val="18"/>
                <w:szCs w:val="18"/>
                <w:lang w:eastAsia="es-CR"/>
              </w:rPr>
            </w:pPr>
            <w:r w:rsidRPr="00455263">
              <w:rPr>
                <w:rFonts w:ascii="Book Antiqua" w:eastAsia="Times New Roman" w:hAnsi="Book Antiqua" w:cs="Calibri"/>
                <w:sz w:val="18"/>
                <w:szCs w:val="18"/>
                <w:lang w:eastAsia="es-CR"/>
              </w:rPr>
              <w:t>1.23</w:t>
            </w:r>
          </w:p>
        </w:tc>
        <w:tc>
          <w:tcPr>
            <w:tcW w:w="3969" w:type="dxa"/>
            <w:tcBorders>
              <w:top w:val="nil"/>
              <w:left w:val="nil"/>
              <w:bottom w:val="single" w:sz="4" w:space="0" w:color="auto"/>
              <w:right w:val="single" w:sz="4" w:space="0" w:color="auto"/>
            </w:tcBorders>
            <w:shd w:val="clear" w:color="auto" w:fill="auto"/>
            <w:vAlign w:val="center"/>
            <w:hideMark/>
          </w:tcPr>
          <w:p w14:paraId="36269F3A" w14:textId="77777777" w:rsidR="000B7A67" w:rsidRPr="00455263" w:rsidRDefault="000B7A67" w:rsidP="008B24AA">
            <w:pPr>
              <w:spacing w:after="0" w:line="240" w:lineRule="auto"/>
              <w:jc w:val="both"/>
              <w:rPr>
                <w:rFonts w:ascii="Book Antiqua" w:eastAsia="Times New Roman" w:hAnsi="Book Antiqua" w:cs="Calibri"/>
                <w:color w:val="000000"/>
                <w:sz w:val="18"/>
                <w:szCs w:val="18"/>
                <w:lang w:eastAsia="es-CR"/>
              </w:rPr>
            </w:pPr>
            <w:r w:rsidRPr="00455263">
              <w:rPr>
                <w:rFonts w:ascii="Book Antiqua" w:eastAsia="Times New Roman" w:hAnsi="Book Antiqua" w:cs="Calibri"/>
                <w:color w:val="000000"/>
                <w:sz w:val="18"/>
                <w:szCs w:val="18"/>
                <w:lang w:eastAsia="es-CR"/>
              </w:rPr>
              <w:t>Pendiente de ajustar Plan de Gestión dado que se registra que el proyecto termina 29 de diciembre del 2024   y el cronograma indica que termina el 31 de diciembre 2024.</w:t>
            </w:r>
          </w:p>
        </w:tc>
      </w:tr>
      <w:tr w:rsidR="007E6FC1" w:rsidRPr="00455263" w14:paraId="187E6398" w14:textId="77777777" w:rsidTr="00301740">
        <w:trPr>
          <w:trHeight w:val="113"/>
        </w:trPr>
        <w:tc>
          <w:tcPr>
            <w:tcW w:w="1471" w:type="dxa"/>
            <w:vMerge/>
            <w:tcBorders>
              <w:top w:val="nil"/>
              <w:left w:val="single" w:sz="4" w:space="0" w:color="auto"/>
              <w:bottom w:val="single" w:sz="4" w:space="0" w:color="000000"/>
              <w:right w:val="single" w:sz="4" w:space="0" w:color="auto"/>
            </w:tcBorders>
            <w:vAlign w:val="center"/>
            <w:hideMark/>
          </w:tcPr>
          <w:p w14:paraId="4C7CBD98" w14:textId="77777777" w:rsidR="000B7A67" w:rsidRPr="00455263" w:rsidRDefault="000B7A67" w:rsidP="00F400D6">
            <w:pPr>
              <w:spacing w:after="0" w:line="240" w:lineRule="auto"/>
              <w:rPr>
                <w:rFonts w:ascii="Book Antiqua" w:eastAsia="Times New Roman" w:hAnsi="Book Antiqua" w:cs="Calibri"/>
                <w:color w:val="000000"/>
                <w:sz w:val="18"/>
                <w:szCs w:val="18"/>
                <w:lang w:eastAsia="es-CR"/>
              </w:rPr>
            </w:pPr>
          </w:p>
        </w:tc>
        <w:tc>
          <w:tcPr>
            <w:tcW w:w="1210" w:type="dxa"/>
            <w:vMerge/>
            <w:tcBorders>
              <w:top w:val="nil"/>
              <w:left w:val="single" w:sz="4" w:space="0" w:color="auto"/>
              <w:bottom w:val="single" w:sz="4" w:space="0" w:color="000000"/>
              <w:right w:val="single" w:sz="4" w:space="0" w:color="auto"/>
            </w:tcBorders>
            <w:vAlign w:val="center"/>
            <w:hideMark/>
          </w:tcPr>
          <w:p w14:paraId="688244D0" w14:textId="77777777" w:rsidR="000B7A67" w:rsidRPr="00455263" w:rsidRDefault="000B7A67" w:rsidP="00F400D6">
            <w:pPr>
              <w:spacing w:after="0" w:line="240" w:lineRule="auto"/>
              <w:rPr>
                <w:rFonts w:ascii="Book Antiqua" w:eastAsia="Times New Roman" w:hAnsi="Book Antiqua" w:cs="Calibri"/>
                <w:color w:val="000000"/>
                <w:sz w:val="18"/>
                <w:szCs w:val="18"/>
                <w:lang w:eastAsia="es-CR"/>
              </w:rPr>
            </w:pPr>
          </w:p>
        </w:tc>
        <w:tc>
          <w:tcPr>
            <w:tcW w:w="978" w:type="dxa"/>
            <w:vMerge/>
            <w:tcBorders>
              <w:top w:val="nil"/>
              <w:left w:val="single" w:sz="4" w:space="0" w:color="auto"/>
              <w:bottom w:val="single" w:sz="4" w:space="0" w:color="000000"/>
              <w:right w:val="single" w:sz="4" w:space="0" w:color="auto"/>
            </w:tcBorders>
            <w:vAlign w:val="center"/>
            <w:hideMark/>
          </w:tcPr>
          <w:p w14:paraId="6896D32D" w14:textId="77777777" w:rsidR="000B7A67" w:rsidRPr="00455263" w:rsidRDefault="000B7A67" w:rsidP="00F400D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7D304999" w14:textId="77777777" w:rsidR="000B7A67" w:rsidRPr="00455263" w:rsidRDefault="000B7A67" w:rsidP="00F400D6">
            <w:pPr>
              <w:spacing w:after="0" w:line="240" w:lineRule="auto"/>
              <w:rPr>
                <w:rFonts w:ascii="Book Antiqua" w:eastAsia="Times New Roman" w:hAnsi="Book Antiqua" w:cs="Calibri"/>
                <w:color w:val="000000"/>
                <w:sz w:val="18"/>
                <w:szCs w:val="18"/>
                <w:lang w:eastAsia="es-CR"/>
              </w:rPr>
            </w:pPr>
          </w:p>
        </w:tc>
        <w:tc>
          <w:tcPr>
            <w:tcW w:w="1406" w:type="dxa"/>
            <w:tcBorders>
              <w:top w:val="nil"/>
              <w:left w:val="nil"/>
              <w:bottom w:val="single" w:sz="4" w:space="0" w:color="auto"/>
              <w:right w:val="single" w:sz="4" w:space="0" w:color="auto"/>
            </w:tcBorders>
            <w:shd w:val="clear" w:color="auto" w:fill="auto"/>
            <w:vAlign w:val="center"/>
            <w:hideMark/>
          </w:tcPr>
          <w:p w14:paraId="40847422" w14:textId="77777777" w:rsidR="000B7A67" w:rsidRPr="00455263" w:rsidRDefault="000B7A67" w:rsidP="00F400D6">
            <w:pPr>
              <w:spacing w:after="0" w:line="240" w:lineRule="auto"/>
              <w:jc w:val="center"/>
              <w:rPr>
                <w:rFonts w:ascii="Book Antiqua" w:eastAsia="Times New Roman" w:hAnsi="Book Antiqua" w:cs="Calibri"/>
                <w:color w:val="000000"/>
                <w:sz w:val="18"/>
                <w:szCs w:val="18"/>
                <w:lang w:eastAsia="es-CR"/>
              </w:rPr>
            </w:pPr>
            <w:r w:rsidRPr="00455263">
              <w:rPr>
                <w:rFonts w:ascii="Book Antiqua" w:eastAsia="Times New Roman" w:hAnsi="Book Antiqua" w:cs="Calibri"/>
                <w:color w:val="000000"/>
                <w:sz w:val="18"/>
                <w:szCs w:val="18"/>
                <w:lang w:eastAsia="es-CR"/>
              </w:rPr>
              <w:t>2.1</w:t>
            </w:r>
          </w:p>
        </w:tc>
        <w:tc>
          <w:tcPr>
            <w:tcW w:w="3969" w:type="dxa"/>
            <w:tcBorders>
              <w:top w:val="nil"/>
              <w:left w:val="nil"/>
              <w:bottom w:val="single" w:sz="4" w:space="0" w:color="auto"/>
              <w:right w:val="single" w:sz="4" w:space="0" w:color="auto"/>
            </w:tcBorders>
            <w:shd w:val="clear" w:color="auto" w:fill="auto"/>
            <w:vAlign w:val="center"/>
            <w:hideMark/>
          </w:tcPr>
          <w:p w14:paraId="34681871" w14:textId="77777777" w:rsidR="000B7A67" w:rsidRPr="00455263" w:rsidRDefault="000B7A67" w:rsidP="008B24AA">
            <w:pPr>
              <w:spacing w:after="0" w:line="240" w:lineRule="auto"/>
              <w:jc w:val="both"/>
              <w:rPr>
                <w:rFonts w:ascii="Book Antiqua" w:eastAsia="Times New Roman" w:hAnsi="Book Antiqua" w:cs="Calibri"/>
                <w:color w:val="000000"/>
                <w:sz w:val="18"/>
                <w:szCs w:val="18"/>
                <w:lang w:eastAsia="es-CR"/>
              </w:rPr>
            </w:pPr>
            <w:r w:rsidRPr="00455263">
              <w:rPr>
                <w:rFonts w:ascii="Book Antiqua" w:eastAsia="Times New Roman" w:hAnsi="Book Antiqua" w:cs="Calibri"/>
                <w:color w:val="000000"/>
                <w:sz w:val="18"/>
                <w:szCs w:val="18"/>
                <w:lang w:eastAsia="es-CR"/>
              </w:rPr>
              <w:t>El informe de avance presentaba incorrecto el porcentaje esperado.</w:t>
            </w:r>
          </w:p>
        </w:tc>
      </w:tr>
      <w:tr w:rsidR="007E6FC1" w:rsidRPr="00455263" w14:paraId="3725FF2D" w14:textId="77777777" w:rsidTr="00301740">
        <w:trPr>
          <w:trHeight w:val="765"/>
        </w:trPr>
        <w:tc>
          <w:tcPr>
            <w:tcW w:w="1471" w:type="dxa"/>
            <w:vMerge/>
            <w:tcBorders>
              <w:top w:val="nil"/>
              <w:left w:val="single" w:sz="4" w:space="0" w:color="auto"/>
              <w:bottom w:val="single" w:sz="4" w:space="0" w:color="000000"/>
              <w:right w:val="single" w:sz="4" w:space="0" w:color="auto"/>
            </w:tcBorders>
            <w:vAlign w:val="center"/>
            <w:hideMark/>
          </w:tcPr>
          <w:p w14:paraId="43BF8F11" w14:textId="77777777" w:rsidR="000B7A67" w:rsidRPr="00455263" w:rsidRDefault="000B7A67" w:rsidP="00F400D6">
            <w:pPr>
              <w:spacing w:after="0" w:line="240" w:lineRule="auto"/>
              <w:rPr>
                <w:rFonts w:ascii="Book Antiqua" w:eastAsia="Times New Roman" w:hAnsi="Book Antiqua" w:cs="Calibri"/>
                <w:color w:val="000000"/>
                <w:sz w:val="18"/>
                <w:szCs w:val="18"/>
                <w:lang w:eastAsia="es-CR"/>
              </w:rPr>
            </w:pPr>
          </w:p>
        </w:tc>
        <w:tc>
          <w:tcPr>
            <w:tcW w:w="1210" w:type="dxa"/>
            <w:vMerge/>
            <w:tcBorders>
              <w:top w:val="nil"/>
              <w:left w:val="single" w:sz="4" w:space="0" w:color="auto"/>
              <w:bottom w:val="single" w:sz="4" w:space="0" w:color="000000"/>
              <w:right w:val="single" w:sz="4" w:space="0" w:color="auto"/>
            </w:tcBorders>
            <w:vAlign w:val="center"/>
            <w:hideMark/>
          </w:tcPr>
          <w:p w14:paraId="26E058A4" w14:textId="77777777" w:rsidR="000B7A67" w:rsidRPr="00455263" w:rsidRDefault="000B7A67" w:rsidP="00F400D6">
            <w:pPr>
              <w:spacing w:after="0" w:line="240" w:lineRule="auto"/>
              <w:rPr>
                <w:rFonts w:ascii="Book Antiqua" w:eastAsia="Times New Roman" w:hAnsi="Book Antiqua" w:cs="Calibri"/>
                <w:color w:val="000000"/>
                <w:sz w:val="18"/>
                <w:szCs w:val="18"/>
                <w:lang w:eastAsia="es-CR"/>
              </w:rPr>
            </w:pPr>
          </w:p>
        </w:tc>
        <w:tc>
          <w:tcPr>
            <w:tcW w:w="978" w:type="dxa"/>
            <w:vMerge/>
            <w:tcBorders>
              <w:top w:val="nil"/>
              <w:left w:val="single" w:sz="4" w:space="0" w:color="auto"/>
              <w:bottom w:val="single" w:sz="4" w:space="0" w:color="000000"/>
              <w:right w:val="single" w:sz="4" w:space="0" w:color="auto"/>
            </w:tcBorders>
            <w:vAlign w:val="center"/>
            <w:hideMark/>
          </w:tcPr>
          <w:p w14:paraId="07B560C6" w14:textId="77777777" w:rsidR="000B7A67" w:rsidRPr="00455263" w:rsidRDefault="000B7A67" w:rsidP="00F400D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544E538F" w14:textId="77777777" w:rsidR="000B7A67" w:rsidRPr="00455263" w:rsidRDefault="000B7A67" w:rsidP="00F400D6">
            <w:pPr>
              <w:spacing w:after="0" w:line="240" w:lineRule="auto"/>
              <w:rPr>
                <w:rFonts w:ascii="Book Antiqua" w:eastAsia="Times New Roman" w:hAnsi="Book Antiqua" w:cs="Calibri"/>
                <w:color w:val="000000"/>
                <w:sz w:val="18"/>
                <w:szCs w:val="18"/>
                <w:lang w:eastAsia="es-CR"/>
              </w:rPr>
            </w:pPr>
          </w:p>
        </w:tc>
        <w:tc>
          <w:tcPr>
            <w:tcW w:w="1406" w:type="dxa"/>
            <w:tcBorders>
              <w:top w:val="nil"/>
              <w:left w:val="nil"/>
              <w:bottom w:val="single" w:sz="4" w:space="0" w:color="auto"/>
              <w:right w:val="single" w:sz="4" w:space="0" w:color="auto"/>
            </w:tcBorders>
            <w:shd w:val="clear" w:color="auto" w:fill="auto"/>
            <w:vAlign w:val="center"/>
            <w:hideMark/>
          </w:tcPr>
          <w:p w14:paraId="5BE887AA" w14:textId="77777777" w:rsidR="000B7A67" w:rsidRPr="00455263" w:rsidRDefault="000B7A67" w:rsidP="00F400D6">
            <w:pPr>
              <w:spacing w:after="0" w:line="240" w:lineRule="auto"/>
              <w:jc w:val="center"/>
              <w:rPr>
                <w:rFonts w:ascii="Book Antiqua" w:eastAsia="Times New Roman" w:hAnsi="Book Antiqua" w:cs="Calibri"/>
                <w:color w:val="000000"/>
                <w:sz w:val="18"/>
                <w:szCs w:val="18"/>
                <w:lang w:eastAsia="es-CR"/>
              </w:rPr>
            </w:pPr>
            <w:r w:rsidRPr="00455263">
              <w:rPr>
                <w:rFonts w:ascii="Book Antiqua" w:eastAsia="Times New Roman" w:hAnsi="Book Antiqua" w:cs="Calibri"/>
                <w:color w:val="000000"/>
                <w:sz w:val="18"/>
                <w:szCs w:val="18"/>
                <w:lang w:eastAsia="es-CR"/>
              </w:rPr>
              <w:t>2.3</w:t>
            </w:r>
          </w:p>
        </w:tc>
        <w:tc>
          <w:tcPr>
            <w:tcW w:w="3969" w:type="dxa"/>
            <w:tcBorders>
              <w:top w:val="nil"/>
              <w:left w:val="nil"/>
              <w:bottom w:val="single" w:sz="4" w:space="0" w:color="auto"/>
              <w:right w:val="single" w:sz="4" w:space="0" w:color="auto"/>
            </w:tcBorders>
            <w:shd w:val="clear" w:color="auto" w:fill="auto"/>
            <w:vAlign w:val="center"/>
            <w:hideMark/>
          </w:tcPr>
          <w:p w14:paraId="02A9621F" w14:textId="77777777" w:rsidR="000B7A67" w:rsidRPr="00455263" w:rsidRDefault="000B7A67" w:rsidP="008B24AA">
            <w:pPr>
              <w:spacing w:after="0" w:line="240" w:lineRule="auto"/>
              <w:jc w:val="both"/>
              <w:rPr>
                <w:rFonts w:ascii="Book Antiqua" w:eastAsia="Times New Roman" w:hAnsi="Book Antiqua" w:cs="Calibri"/>
                <w:color w:val="000000"/>
                <w:sz w:val="18"/>
                <w:szCs w:val="18"/>
                <w:lang w:eastAsia="es-CR"/>
              </w:rPr>
            </w:pPr>
            <w:r w:rsidRPr="00455263">
              <w:rPr>
                <w:rFonts w:ascii="Book Antiqua" w:eastAsia="Times New Roman" w:hAnsi="Book Antiqua" w:cs="Calibri"/>
                <w:color w:val="000000"/>
                <w:sz w:val="18"/>
                <w:szCs w:val="18"/>
                <w:lang w:eastAsia="es-CR"/>
              </w:rPr>
              <w:t>Pendiente actualizar acta de constitución y plan de gestión producto de la solicitud de cambio del 31-10-22 y del 31-12-22</w:t>
            </w:r>
          </w:p>
        </w:tc>
      </w:tr>
    </w:tbl>
    <w:p w14:paraId="47BB38DE" w14:textId="6C55E693" w:rsidR="000B7A67" w:rsidRDefault="000B7A67" w:rsidP="00DD5642">
      <w:pPr>
        <w:spacing w:after="0"/>
        <w:jc w:val="right"/>
        <w:rPr>
          <w:rFonts w:ascii="Book Antiqua" w:hAnsi="Book Antiqua"/>
        </w:rPr>
      </w:pPr>
      <w:r>
        <w:rPr>
          <w:rFonts w:ascii="Book Antiqua" w:hAnsi="Book Antiqua"/>
        </w:rPr>
        <w:lastRenderedPageBreak/>
        <w:t xml:space="preserve"> “</w:t>
      </w:r>
      <w:r w:rsidR="00DD5642">
        <w:rPr>
          <w:rFonts w:ascii="Book Antiqua" w:hAnsi="Book Antiqua"/>
        </w:rPr>
        <w:t>.</w:t>
      </w:r>
    </w:p>
    <w:p w14:paraId="74816D1E" w14:textId="77777777" w:rsidR="000B7A67" w:rsidRDefault="000B7A67" w:rsidP="000B7A67">
      <w:pPr>
        <w:spacing w:after="0"/>
        <w:jc w:val="both"/>
        <w:rPr>
          <w:rFonts w:ascii="Book Antiqua" w:hAnsi="Book Antiqua"/>
        </w:rPr>
      </w:pPr>
    </w:p>
    <w:p w14:paraId="24441B40" w14:textId="77777777" w:rsidR="000B7A67" w:rsidRDefault="000B7A67" w:rsidP="000B7A67">
      <w:pPr>
        <w:spacing w:after="0"/>
        <w:jc w:val="both"/>
        <w:rPr>
          <w:rFonts w:ascii="Book Antiqua" w:hAnsi="Book Antiqua"/>
        </w:rPr>
      </w:pPr>
      <w:r>
        <w:rPr>
          <w:rFonts w:ascii="Book Antiqua" w:hAnsi="Book Antiqua"/>
          <w:sz w:val="24"/>
          <w:szCs w:val="24"/>
        </w:rPr>
        <w:t>Con la finalidad de dar seguimiento a esta recomendación, se remite correo a la oficina mediante el oficio 1805</w:t>
      </w:r>
      <w:r w:rsidRPr="004C19A1">
        <w:rPr>
          <w:rFonts w:ascii="Book Antiqua" w:hAnsi="Book Antiqua"/>
          <w:sz w:val="24"/>
          <w:szCs w:val="24"/>
        </w:rPr>
        <w:t>-PLA-PP-TR-2023</w:t>
      </w:r>
      <w:r>
        <w:rPr>
          <w:rFonts w:ascii="Book Antiqua" w:hAnsi="Book Antiqua"/>
          <w:sz w:val="24"/>
          <w:szCs w:val="24"/>
        </w:rPr>
        <w:t>.</w:t>
      </w:r>
    </w:p>
    <w:p w14:paraId="63D629C2" w14:textId="77777777" w:rsidR="000B7A67" w:rsidRDefault="000B7A67" w:rsidP="000B7A67">
      <w:pPr>
        <w:spacing w:after="0"/>
        <w:jc w:val="both"/>
        <w:rPr>
          <w:rFonts w:ascii="Book Antiqua" w:hAnsi="Book Antiqua"/>
        </w:rPr>
      </w:pPr>
    </w:p>
    <w:p w14:paraId="2A0CEA91" w14:textId="77777777" w:rsidR="000B7A67" w:rsidRDefault="000B7A67" w:rsidP="000B7A67">
      <w:pPr>
        <w:spacing w:after="0"/>
        <w:jc w:val="both"/>
        <w:rPr>
          <w:rFonts w:ascii="Book Antiqua" w:hAnsi="Book Antiqua"/>
          <w:sz w:val="24"/>
          <w:szCs w:val="24"/>
        </w:rPr>
      </w:pPr>
      <w:r>
        <w:rPr>
          <w:rFonts w:ascii="Book Antiqua" w:hAnsi="Book Antiqua"/>
          <w:sz w:val="24"/>
          <w:szCs w:val="24"/>
        </w:rPr>
        <w:t>Además,</w:t>
      </w:r>
      <w:r w:rsidRPr="00FA687A">
        <w:rPr>
          <w:rFonts w:ascii="Book Antiqua" w:hAnsi="Book Antiqua"/>
          <w:sz w:val="24"/>
          <w:szCs w:val="24"/>
        </w:rPr>
        <w:t xml:space="preserve"> se procedió a revisar en </w:t>
      </w:r>
      <w:r>
        <w:rPr>
          <w:rFonts w:ascii="Book Antiqua" w:hAnsi="Book Antiqua"/>
          <w:sz w:val="24"/>
          <w:szCs w:val="24"/>
        </w:rPr>
        <w:t>el</w:t>
      </w:r>
      <w:r w:rsidRPr="00FA687A">
        <w:rPr>
          <w:rFonts w:ascii="Book Antiqua" w:hAnsi="Book Antiqua"/>
          <w:sz w:val="24"/>
          <w:szCs w:val="24"/>
        </w:rPr>
        <w:t xml:space="preserve"> centro de proyectos</w:t>
      </w:r>
      <w:r>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estas recomendaciones (</w:t>
      </w:r>
      <w:hyperlink r:id="rId23" w:history="1">
        <w:r w:rsidRPr="00154278">
          <w:rPr>
            <w:rStyle w:val="Hipervnculo"/>
            <w:rFonts w:ascii="Book Antiqua" w:hAnsi="Book Antiqua"/>
            <w:sz w:val="24"/>
            <w:szCs w:val="24"/>
          </w:rPr>
          <w:t>Ver enlace:</w:t>
        </w:r>
        <w:r w:rsidRPr="00154278">
          <w:rPr>
            <w:rStyle w:val="Hipervnculo"/>
          </w:rPr>
          <w:t xml:space="preserve"> </w:t>
        </w:r>
        <w:r w:rsidRPr="00154278">
          <w:rPr>
            <w:rStyle w:val="Hipervnculo"/>
            <w:rFonts w:ascii="Book Antiqua" w:hAnsi="Book Antiqua"/>
            <w:sz w:val="24"/>
            <w:szCs w:val="24"/>
          </w:rPr>
          <w:t>Escuela Judicial</w:t>
        </w:r>
      </w:hyperlink>
      <w:r w:rsidRPr="00FA687A">
        <w:rPr>
          <w:rFonts w:ascii="Book Antiqua" w:hAnsi="Book Antiqua"/>
          <w:sz w:val="24"/>
          <w:szCs w:val="24"/>
        </w:rPr>
        <w:t>);</w:t>
      </w:r>
      <w:r w:rsidRPr="00414C02">
        <w:rPr>
          <w:rFonts w:ascii="Book Antiqua" w:hAnsi="Book Antiqua"/>
          <w:sz w:val="24"/>
          <w:szCs w:val="24"/>
        </w:rPr>
        <w:t xml:space="preserve"> </w:t>
      </w:r>
      <w:r>
        <w:rPr>
          <w:rFonts w:ascii="Book Antiqua" w:hAnsi="Book Antiqua"/>
          <w:sz w:val="24"/>
          <w:szCs w:val="24"/>
        </w:rPr>
        <w:t>no obstante, se identifica un proyecto que se requiere ajustar y atender la recomendación, el cual se detallan a continuación:</w:t>
      </w:r>
    </w:p>
    <w:p w14:paraId="4C8F9684" w14:textId="77777777" w:rsidR="000B7A67" w:rsidRDefault="000B7A67" w:rsidP="000B7A67">
      <w:pPr>
        <w:spacing w:after="0"/>
        <w:jc w:val="both"/>
        <w:rPr>
          <w:rFonts w:ascii="Book Antiqua" w:hAnsi="Book Antiqua"/>
          <w:sz w:val="24"/>
          <w:szCs w:val="24"/>
        </w:rPr>
      </w:pPr>
    </w:p>
    <w:p w14:paraId="3B8E17A0" w14:textId="03E4E417" w:rsidR="000B7A67" w:rsidRDefault="000B7A67" w:rsidP="000B7A67">
      <w:pPr>
        <w:pStyle w:val="Descripcin"/>
        <w:keepNext/>
        <w:spacing w:after="0"/>
        <w:jc w:val="center"/>
        <w:rPr>
          <w:rFonts w:ascii="Book Antiqua" w:hAnsi="Book Antiqua" w:cs="&amp;quot"/>
          <w:b/>
          <w:i w:val="0"/>
          <w:iCs w:val="0"/>
          <w:color w:val="auto"/>
          <w:sz w:val="24"/>
          <w:szCs w:val="24"/>
        </w:rPr>
      </w:pPr>
      <w:r w:rsidRPr="00A562C7">
        <w:rPr>
          <w:rFonts w:ascii="Book Antiqua" w:hAnsi="Book Antiqua" w:cs="&amp;quot"/>
          <w:b/>
          <w:i w:val="0"/>
          <w:iCs w:val="0"/>
          <w:color w:val="auto"/>
          <w:sz w:val="24"/>
          <w:szCs w:val="24"/>
        </w:rPr>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sidR="00844144">
        <w:rPr>
          <w:rFonts w:ascii="Book Antiqua" w:hAnsi="Book Antiqua" w:cs="&amp;quot"/>
          <w:b/>
          <w:i w:val="0"/>
          <w:iCs w:val="0"/>
          <w:noProof/>
          <w:color w:val="auto"/>
          <w:sz w:val="24"/>
          <w:szCs w:val="24"/>
        </w:rPr>
        <w:t>7</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sidR="008B24AA">
        <w:rPr>
          <w:rFonts w:ascii="Book Antiqua" w:hAnsi="Book Antiqua" w:cs="&amp;quot"/>
          <w:b/>
          <w:i w:val="0"/>
          <w:iCs w:val="0"/>
          <w:color w:val="auto"/>
          <w:sz w:val="24"/>
          <w:szCs w:val="24"/>
        </w:rPr>
        <w:t xml:space="preserve">l </w:t>
      </w:r>
      <w:r w:rsidRPr="00143168">
        <w:rPr>
          <w:rFonts w:ascii="Book Antiqua" w:hAnsi="Book Antiqua" w:cs="&amp;quot"/>
          <w:b/>
          <w:i w:val="0"/>
          <w:iCs w:val="0"/>
          <w:color w:val="auto"/>
          <w:sz w:val="24"/>
          <w:szCs w:val="24"/>
        </w:rPr>
        <w:t xml:space="preserve">proyecto que tiene pendiente de </w:t>
      </w:r>
      <w:r>
        <w:rPr>
          <w:rFonts w:ascii="Book Antiqua" w:hAnsi="Book Antiqua" w:cs="&amp;quot"/>
          <w:b/>
          <w:i w:val="0"/>
          <w:iCs w:val="0"/>
          <w:color w:val="auto"/>
          <w:sz w:val="24"/>
          <w:szCs w:val="24"/>
        </w:rPr>
        <w:t xml:space="preserve">atender recomendaciones de la </w:t>
      </w:r>
      <w:r w:rsidRPr="002127B3">
        <w:rPr>
          <w:rFonts w:ascii="Book Antiqua" w:hAnsi="Book Antiqua" w:cs="&amp;quot"/>
          <w:b/>
          <w:i w:val="0"/>
          <w:iCs w:val="0"/>
          <w:color w:val="auto"/>
          <w:sz w:val="24"/>
          <w:szCs w:val="24"/>
        </w:rPr>
        <w:t>Escuela Judicial</w:t>
      </w:r>
    </w:p>
    <w:tbl>
      <w:tblPr>
        <w:tblW w:w="10207" w:type="dxa"/>
        <w:tblInd w:w="-147" w:type="dxa"/>
        <w:tblCellMar>
          <w:left w:w="70" w:type="dxa"/>
          <w:right w:w="70" w:type="dxa"/>
        </w:tblCellMar>
        <w:tblLook w:val="04A0" w:firstRow="1" w:lastRow="0" w:firstColumn="1" w:lastColumn="0" w:noHBand="0" w:noVBand="1"/>
      </w:tblPr>
      <w:tblGrid>
        <w:gridCol w:w="1471"/>
        <w:gridCol w:w="1210"/>
        <w:gridCol w:w="978"/>
        <w:gridCol w:w="1173"/>
        <w:gridCol w:w="1406"/>
        <w:gridCol w:w="3969"/>
      </w:tblGrid>
      <w:tr w:rsidR="00BC00B3" w:rsidRPr="00455263" w14:paraId="0B3BE472" w14:textId="77777777" w:rsidTr="00301740">
        <w:trPr>
          <w:trHeight w:val="300"/>
        </w:trPr>
        <w:tc>
          <w:tcPr>
            <w:tcW w:w="1471"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552D2E83" w14:textId="77777777" w:rsidR="000B7A67" w:rsidRPr="00455263" w:rsidRDefault="000B7A67" w:rsidP="00F400D6">
            <w:pPr>
              <w:spacing w:after="0" w:line="240" w:lineRule="auto"/>
              <w:jc w:val="center"/>
              <w:rPr>
                <w:rFonts w:ascii="Book Antiqua" w:eastAsia="Times New Roman" w:hAnsi="Book Antiqua" w:cs="Calibri"/>
                <w:b/>
                <w:bCs/>
                <w:color w:val="FFFFFF"/>
                <w:sz w:val="18"/>
                <w:szCs w:val="18"/>
                <w:lang w:eastAsia="es-CR"/>
              </w:rPr>
            </w:pPr>
            <w:r w:rsidRPr="00455263">
              <w:rPr>
                <w:rFonts w:ascii="Book Antiqua" w:eastAsia="Times New Roman" w:hAnsi="Book Antiqua" w:cs="Calibri"/>
                <w:b/>
                <w:bCs/>
                <w:color w:val="FFFFFF"/>
                <w:sz w:val="18"/>
                <w:szCs w:val="18"/>
                <w:lang w:eastAsia="es-CR"/>
              </w:rPr>
              <w:t xml:space="preserve">Centro de responsabilidad </w:t>
            </w:r>
          </w:p>
        </w:tc>
        <w:tc>
          <w:tcPr>
            <w:tcW w:w="1210" w:type="dxa"/>
            <w:tcBorders>
              <w:top w:val="single" w:sz="4" w:space="0" w:color="auto"/>
              <w:left w:val="nil"/>
              <w:bottom w:val="single" w:sz="4" w:space="0" w:color="auto"/>
              <w:right w:val="single" w:sz="4" w:space="0" w:color="auto"/>
            </w:tcBorders>
            <w:shd w:val="clear" w:color="000000" w:fill="44546A"/>
            <w:vAlign w:val="center"/>
            <w:hideMark/>
          </w:tcPr>
          <w:p w14:paraId="415E4C2E" w14:textId="77777777" w:rsidR="000B7A67" w:rsidRPr="00455263" w:rsidRDefault="000B7A67" w:rsidP="00F400D6">
            <w:pPr>
              <w:spacing w:after="0" w:line="240" w:lineRule="auto"/>
              <w:jc w:val="center"/>
              <w:rPr>
                <w:rFonts w:ascii="Book Antiqua" w:eastAsia="Times New Roman" w:hAnsi="Book Antiqua" w:cs="Calibri"/>
                <w:b/>
                <w:bCs/>
                <w:color w:val="FFFFFF"/>
                <w:sz w:val="18"/>
                <w:szCs w:val="18"/>
                <w:lang w:eastAsia="es-CR"/>
              </w:rPr>
            </w:pPr>
            <w:r w:rsidRPr="00455263">
              <w:rPr>
                <w:rFonts w:ascii="Book Antiqua" w:eastAsia="Times New Roman" w:hAnsi="Book Antiqua" w:cs="Calibri"/>
                <w:b/>
                <w:bCs/>
                <w:color w:val="FFFFFF"/>
                <w:sz w:val="18"/>
                <w:szCs w:val="18"/>
                <w:lang w:eastAsia="es-CR"/>
              </w:rPr>
              <w:t>Oficina Líder</w:t>
            </w:r>
          </w:p>
        </w:tc>
        <w:tc>
          <w:tcPr>
            <w:tcW w:w="978" w:type="dxa"/>
            <w:tcBorders>
              <w:top w:val="single" w:sz="4" w:space="0" w:color="auto"/>
              <w:left w:val="nil"/>
              <w:bottom w:val="single" w:sz="4" w:space="0" w:color="auto"/>
              <w:right w:val="single" w:sz="4" w:space="0" w:color="auto"/>
            </w:tcBorders>
            <w:shd w:val="clear" w:color="000000" w:fill="44546A"/>
            <w:vAlign w:val="center"/>
            <w:hideMark/>
          </w:tcPr>
          <w:p w14:paraId="599D4C76" w14:textId="77777777" w:rsidR="000B7A67" w:rsidRPr="00455263" w:rsidRDefault="000B7A67" w:rsidP="00F400D6">
            <w:pPr>
              <w:spacing w:after="0" w:line="240" w:lineRule="auto"/>
              <w:jc w:val="center"/>
              <w:rPr>
                <w:rFonts w:ascii="Book Antiqua" w:eastAsia="Times New Roman" w:hAnsi="Book Antiqua" w:cs="Calibri"/>
                <w:b/>
                <w:bCs/>
                <w:color w:val="FFFFFF"/>
                <w:sz w:val="18"/>
                <w:szCs w:val="18"/>
                <w:lang w:eastAsia="es-CR"/>
              </w:rPr>
            </w:pPr>
            <w:r w:rsidRPr="00455263">
              <w:rPr>
                <w:rFonts w:ascii="Book Antiqua" w:eastAsia="Times New Roman" w:hAnsi="Book Antiqua" w:cs="Calibri"/>
                <w:b/>
                <w:bCs/>
                <w:color w:val="FFFFFF"/>
                <w:sz w:val="18"/>
                <w:szCs w:val="18"/>
                <w:lang w:eastAsia="es-CR"/>
              </w:rPr>
              <w:t>Código</w:t>
            </w:r>
          </w:p>
        </w:tc>
        <w:tc>
          <w:tcPr>
            <w:tcW w:w="1173" w:type="dxa"/>
            <w:tcBorders>
              <w:top w:val="single" w:sz="4" w:space="0" w:color="auto"/>
              <w:left w:val="nil"/>
              <w:bottom w:val="single" w:sz="4" w:space="0" w:color="auto"/>
              <w:right w:val="single" w:sz="4" w:space="0" w:color="auto"/>
            </w:tcBorders>
            <w:shd w:val="clear" w:color="000000" w:fill="44546A"/>
            <w:vAlign w:val="center"/>
            <w:hideMark/>
          </w:tcPr>
          <w:p w14:paraId="028B3D36" w14:textId="77777777" w:rsidR="000B7A67" w:rsidRPr="00455263" w:rsidRDefault="000B7A67" w:rsidP="00F400D6">
            <w:pPr>
              <w:spacing w:after="0" w:line="240" w:lineRule="auto"/>
              <w:jc w:val="center"/>
              <w:rPr>
                <w:rFonts w:ascii="Book Antiqua" w:eastAsia="Times New Roman" w:hAnsi="Book Antiqua" w:cs="Calibri"/>
                <w:b/>
                <w:bCs/>
                <w:color w:val="FFFFFF"/>
                <w:sz w:val="18"/>
                <w:szCs w:val="18"/>
                <w:lang w:eastAsia="es-CR"/>
              </w:rPr>
            </w:pPr>
            <w:r w:rsidRPr="00455263">
              <w:rPr>
                <w:rFonts w:ascii="Book Antiqua" w:eastAsia="Times New Roman" w:hAnsi="Book Antiqua" w:cs="Calibri"/>
                <w:b/>
                <w:bCs/>
                <w:color w:val="FFFFFF"/>
                <w:sz w:val="18"/>
                <w:szCs w:val="18"/>
                <w:lang w:eastAsia="es-CR"/>
              </w:rPr>
              <w:t>Nombre</w:t>
            </w:r>
          </w:p>
        </w:tc>
        <w:tc>
          <w:tcPr>
            <w:tcW w:w="1406" w:type="dxa"/>
            <w:tcBorders>
              <w:top w:val="single" w:sz="4" w:space="0" w:color="auto"/>
              <w:left w:val="nil"/>
              <w:bottom w:val="single" w:sz="4" w:space="0" w:color="auto"/>
              <w:right w:val="single" w:sz="4" w:space="0" w:color="auto"/>
            </w:tcBorders>
            <w:shd w:val="clear" w:color="000000" w:fill="44546A"/>
            <w:vAlign w:val="center"/>
            <w:hideMark/>
          </w:tcPr>
          <w:p w14:paraId="32B7FB23" w14:textId="77777777" w:rsidR="000B7A67" w:rsidRPr="00455263" w:rsidRDefault="000B7A67" w:rsidP="00F400D6">
            <w:pPr>
              <w:spacing w:after="0" w:line="240" w:lineRule="auto"/>
              <w:jc w:val="center"/>
              <w:rPr>
                <w:rFonts w:ascii="Book Antiqua" w:eastAsia="Times New Roman" w:hAnsi="Book Antiqua" w:cs="Calibri"/>
                <w:b/>
                <w:bCs/>
                <w:color w:val="FFFFFF"/>
                <w:sz w:val="18"/>
                <w:szCs w:val="18"/>
                <w:lang w:eastAsia="es-CR"/>
              </w:rPr>
            </w:pPr>
            <w:r w:rsidRPr="00455263">
              <w:rPr>
                <w:rFonts w:ascii="Book Antiqua" w:eastAsia="Times New Roman" w:hAnsi="Book Antiqua" w:cs="Calibri"/>
                <w:b/>
                <w:bCs/>
                <w:color w:val="FFFFFF"/>
                <w:sz w:val="18"/>
                <w:szCs w:val="18"/>
                <w:lang w:eastAsia="es-CR"/>
              </w:rPr>
              <w:t>Parte pendiente</w:t>
            </w:r>
          </w:p>
        </w:tc>
        <w:tc>
          <w:tcPr>
            <w:tcW w:w="3969" w:type="dxa"/>
            <w:tcBorders>
              <w:top w:val="single" w:sz="4" w:space="0" w:color="auto"/>
              <w:left w:val="nil"/>
              <w:bottom w:val="single" w:sz="4" w:space="0" w:color="auto"/>
              <w:right w:val="single" w:sz="4" w:space="0" w:color="auto"/>
            </w:tcBorders>
            <w:shd w:val="clear" w:color="000000" w:fill="44546A"/>
            <w:vAlign w:val="center"/>
            <w:hideMark/>
          </w:tcPr>
          <w:p w14:paraId="572A423C" w14:textId="77777777" w:rsidR="000B7A67" w:rsidRPr="00455263" w:rsidRDefault="000B7A67" w:rsidP="00F400D6">
            <w:pPr>
              <w:spacing w:after="0" w:line="240" w:lineRule="auto"/>
              <w:jc w:val="center"/>
              <w:rPr>
                <w:rFonts w:ascii="Book Antiqua" w:eastAsia="Times New Roman" w:hAnsi="Book Antiqua" w:cs="Calibri"/>
                <w:b/>
                <w:bCs/>
                <w:color w:val="FFFFFF"/>
                <w:sz w:val="18"/>
                <w:szCs w:val="18"/>
                <w:lang w:eastAsia="es-CR"/>
              </w:rPr>
            </w:pPr>
            <w:r w:rsidRPr="00455263">
              <w:rPr>
                <w:rFonts w:ascii="Book Antiqua" w:eastAsia="Times New Roman" w:hAnsi="Book Antiqua" w:cs="Calibri"/>
                <w:b/>
                <w:bCs/>
                <w:color w:val="FFFFFF"/>
                <w:sz w:val="18"/>
                <w:szCs w:val="18"/>
                <w:lang w:eastAsia="es-CR"/>
              </w:rPr>
              <w:t xml:space="preserve">Detalle </w:t>
            </w:r>
          </w:p>
        </w:tc>
      </w:tr>
      <w:tr w:rsidR="00BC00B3" w:rsidRPr="00455263" w14:paraId="1CF50C42" w14:textId="77777777" w:rsidTr="00301740">
        <w:trPr>
          <w:trHeight w:val="724"/>
        </w:trPr>
        <w:tc>
          <w:tcPr>
            <w:tcW w:w="1471" w:type="dxa"/>
            <w:tcBorders>
              <w:top w:val="nil"/>
              <w:left w:val="single" w:sz="4" w:space="0" w:color="auto"/>
              <w:bottom w:val="single" w:sz="4" w:space="0" w:color="000000"/>
              <w:right w:val="single" w:sz="4" w:space="0" w:color="auto"/>
            </w:tcBorders>
            <w:shd w:val="clear" w:color="auto" w:fill="auto"/>
            <w:vAlign w:val="center"/>
            <w:hideMark/>
          </w:tcPr>
          <w:p w14:paraId="13B7AB6E" w14:textId="77777777" w:rsidR="000B7A67" w:rsidRPr="00455263" w:rsidRDefault="000B7A67" w:rsidP="00F400D6">
            <w:pPr>
              <w:spacing w:after="0" w:line="240" w:lineRule="auto"/>
              <w:jc w:val="center"/>
              <w:rPr>
                <w:rFonts w:ascii="Book Antiqua" w:eastAsia="Times New Roman" w:hAnsi="Book Antiqua" w:cs="Calibri"/>
                <w:color w:val="000000"/>
                <w:sz w:val="18"/>
                <w:szCs w:val="18"/>
                <w:lang w:eastAsia="es-CR"/>
              </w:rPr>
            </w:pPr>
            <w:r w:rsidRPr="00455263">
              <w:rPr>
                <w:rFonts w:ascii="Book Antiqua" w:eastAsia="Times New Roman" w:hAnsi="Book Antiqua" w:cs="Calibri"/>
                <w:color w:val="000000"/>
                <w:sz w:val="18"/>
                <w:szCs w:val="18"/>
                <w:lang w:eastAsia="es-CR"/>
              </w:rPr>
              <w:t>Escuela Judicial</w:t>
            </w:r>
          </w:p>
        </w:tc>
        <w:tc>
          <w:tcPr>
            <w:tcW w:w="1210" w:type="dxa"/>
            <w:tcBorders>
              <w:top w:val="nil"/>
              <w:left w:val="single" w:sz="4" w:space="0" w:color="auto"/>
              <w:bottom w:val="single" w:sz="4" w:space="0" w:color="000000"/>
              <w:right w:val="single" w:sz="4" w:space="0" w:color="auto"/>
            </w:tcBorders>
            <w:shd w:val="clear" w:color="auto" w:fill="auto"/>
            <w:vAlign w:val="center"/>
            <w:hideMark/>
          </w:tcPr>
          <w:p w14:paraId="08384F6A" w14:textId="77777777" w:rsidR="000B7A67" w:rsidRPr="00455263" w:rsidRDefault="000B7A67" w:rsidP="00F400D6">
            <w:pPr>
              <w:spacing w:after="0" w:line="240" w:lineRule="auto"/>
              <w:jc w:val="center"/>
              <w:rPr>
                <w:rFonts w:ascii="Book Antiqua" w:eastAsia="Times New Roman" w:hAnsi="Book Antiqua" w:cs="Calibri"/>
                <w:color w:val="000000"/>
                <w:sz w:val="18"/>
                <w:szCs w:val="18"/>
                <w:lang w:eastAsia="es-CR"/>
              </w:rPr>
            </w:pPr>
            <w:r w:rsidRPr="00455263">
              <w:rPr>
                <w:rFonts w:ascii="Book Antiqua" w:eastAsia="Times New Roman" w:hAnsi="Book Antiqua" w:cs="Calibri"/>
                <w:color w:val="000000"/>
                <w:sz w:val="18"/>
                <w:szCs w:val="18"/>
                <w:lang w:eastAsia="es-CR"/>
              </w:rPr>
              <w:t>0035 Escuela Judicial</w:t>
            </w:r>
          </w:p>
        </w:tc>
        <w:tc>
          <w:tcPr>
            <w:tcW w:w="978" w:type="dxa"/>
            <w:tcBorders>
              <w:top w:val="nil"/>
              <w:left w:val="single" w:sz="4" w:space="0" w:color="auto"/>
              <w:bottom w:val="single" w:sz="4" w:space="0" w:color="000000"/>
              <w:right w:val="single" w:sz="4" w:space="0" w:color="auto"/>
            </w:tcBorders>
            <w:shd w:val="clear" w:color="auto" w:fill="auto"/>
            <w:vAlign w:val="center"/>
            <w:hideMark/>
          </w:tcPr>
          <w:p w14:paraId="734B4EAD" w14:textId="77777777" w:rsidR="000B7A67" w:rsidRPr="00455263" w:rsidRDefault="000B7A67" w:rsidP="00F400D6">
            <w:pPr>
              <w:spacing w:after="0" w:line="240" w:lineRule="auto"/>
              <w:jc w:val="center"/>
              <w:rPr>
                <w:rFonts w:ascii="Book Antiqua" w:eastAsia="Times New Roman" w:hAnsi="Book Antiqua" w:cs="Calibri"/>
                <w:color w:val="000000"/>
                <w:sz w:val="18"/>
                <w:szCs w:val="18"/>
                <w:lang w:eastAsia="es-CR"/>
              </w:rPr>
            </w:pPr>
            <w:r w:rsidRPr="00455263">
              <w:rPr>
                <w:rFonts w:ascii="Book Antiqua" w:eastAsia="Times New Roman" w:hAnsi="Book Antiqua" w:cs="Calibri"/>
                <w:color w:val="000000"/>
                <w:sz w:val="18"/>
                <w:szCs w:val="18"/>
                <w:lang w:eastAsia="es-CR"/>
              </w:rPr>
              <w:t>0035-EJ-P01</w:t>
            </w:r>
          </w:p>
        </w:tc>
        <w:tc>
          <w:tcPr>
            <w:tcW w:w="1173" w:type="dxa"/>
            <w:tcBorders>
              <w:top w:val="nil"/>
              <w:left w:val="single" w:sz="4" w:space="0" w:color="auto"/>
              <w:bottom w:val="single" w:sz="4" w:space="0" w:color="000000"/>
              <w:right w:val="single" w:sz="4" w:space="0" w:color="auto"/>
            </w:tcBorders>
            <w:shd w:val="clear" w:color="auto" w:fill="auto"/>
            <w:vAlign w:val="center"/>
            <w:hideMark/>
          </w:tcPr>
          <w:p w14:paraId="2B163364" w14:textId="77777777" w:rsidR="000B7A67" w:rsidRPr="00455263" w:rsidRDefault="000B7A67" w:rsidP="00F400D6">
            <w:pPr>
              <w:spacing w:after="0" w:line="240" w:lineRule="auto"/>
              <w:jc w:val="center"/>
              <w:rPr>
                <w:rFonts w:ascii="Book Antiqua" w:eastAsia="Times New Roman" w:hAnsi="Book Antiqua" w:cs="Calibri"/>
                <w:color w:val="000000"/>
                <w:sz w:val="18"/>
                <w:szCs w:val="18"/>
                <w:lang w:eastAsia="es-CR"/>
              </w:rPr>
            </w:pPr>
            <w:r w:rsidRPr="00455263">
              <w:rPr>
                <w:rFonts w:ascii="Book Antiqua" w:eastAsia="Times New Roman" w:hAnsi="Book Antiqua" w:cs="Calibri"/>
                <w:color w:val="000000"/>
                <w:sz w:val="18"/>
                <w:szCs w:val="18"/>
                <w:lang w:eastAsia="es-CR"/>
              </w:rPr>
              <w:t>Sistema de Gestión de Capacitación</w:t>
            </w:r>
          </w:p>
        </w:tc>
        <w:tc>
          <w:tcPr>
            <w:tcW w:w="1406" w:type="dxa"/>
            <w:tcBorders>
              <w:top w:val="nil"/>
              <w:left w:val="nil"/>
              <w:bottom w:val="single" w:sz="4" w:space="0" w:color="auto"/>
              <w:right w:val="single" w:sz="4" w:space="0" w:color="auto"/>
            </w:tcBorders>
            <w:shd w:val="clear" w:color="auto" w:fill="auto"/>
            <w:vAlign w:val="center"/>
            <w:hideMark/>
          </w:tcPr>
          <w:p w14:paraId="0DBE5694" w14:textId="77777777" w:rsidR="000B7A67" w:rsidRPr="00455263" w:rsidRDefault="000B7A67" w:rsidP="00F400D6">
            <w:pPr>
              <w:spacing w:after="0" w:line="240" w:lineRule="auto"/>
              <w:jc w:val="center"/>
              <w:rPr>
                <w:rFonts w:ascii="Book Antiqua" w:eastAsia="Times New Roman" w:hAnsi="Book Antiqua" w:cs="Calibri"/>
                <w:sz w:val="18"/>
                <w:szCs w:val="18"/>
                <w:lang w:eastAsia="es-CR"/>
              </w:rPr>
            </w:pPr>
            <w:r w:rsidRPr="00455263">
              <w:rPr>
                <w:rFonts w:ascii="Book Antiqua" w:eastAsia="Times New Roman" w:hAnsi="Book Antiqua" w:cs="Calibri"/>
                <w:color w:val="000000"/>
                <w:sz w:val="18"/>
                <w:szCs w:val="18"/>
                <w:lang w:eastAsia="es-CR"/>
              </w:rPr>
              <w:t>2.1</w:t>
            </w:r>
          </w:p>
        </w:tc>
        <w:tc>
          <w:tcPr>
            <w:tcW w:w="3969" w:type="dxa"/>
            <w:tcBorders>
              <w:top w:val="nil"/>
              <w:left w:val="nil"/>
              <w:bottom w:val="single" w:sz="4" w:space="0" w:color="auto"/>
              <w:right w:val="single" w:sz="4" w:space="0" w:color="auto"/>
            </w:tcBorders>
            <w:shd w:val="clear" w:color="auto" w:fill="auto"/>
            <w:vAlign w:val="center"/>
            <w:hideMark/>
          </w:tcPr>
          <w:p w14:paraId="5A0C17AC" w14:textId="77777777" w:rsidR="000B7A67" w:rsidRPr="00455263" w:rsidRDefault="000B7A67" w:rsidP="00F95BC2">
            <w:pPr>
              <w:spacing w:after="0" w:line="240" w:lineRule="auto"/>
              <w:jc w:val="both"/>
              <w:rPr>
                <w:rFonts w:ascii="Book Antiqua" w:eastAsia="Times New Roman" w:hAnsi="Book Antiqua" w:cs="Calibri"/>
                <w:color w:val="000000"/>
                <w:sz w:val="18"/>
                <w:szCs w:val="18"/>
                <w:lang w:eastAsia="es-CR"/>
              </w:rPr>
            </w:pPr>
            <w:r w:rsidRPr="002127B3">
              <w:rPr>
                <w:rFonts w:ascii="Book Antiqua" w:eastAsia="Times New Roman" w:hAnsi="Book Antiqua" w:cs="Calibri"/>
                <w:color w:val="000000"/>
                <w:sz w:val="18"/>
                <w:szCs w:val="18"/>
                <w:lang w:eastAsia="es-CR"/>
              </w:rPr>
              <w:t>No se corrigió el informe de avance de diciembre presentaba incorrecto el porcentaje esperado, ni se justifica los motivos por los cuales no se corrige el informe.</w:t>
            </w:r>
          </w:p>
        </w:tc>
      </w:tr>
    </w:tbl>
    <w:p w14:paraId="7FE41398" w14:textId="77777777" w:rsidR="000B7A67" w:rsidRDefault="000B7A67" w:rsidP="000B7A67">
      <w:pPr>
        <w:spacing w:after="0"/>
        <w:jc w:val="both"/>
        <w:rPr>
          <w:rFonts w:ascii="Book Antiqua" w:hAnsi="Book Antiqua"/>
          <w:sz w:val="24"/>
          <w:szCs w:val="24"/>
        </w:rPr>
      </w:pPr>
    </w:p>
    <w:p w14:paraId="6BD0A354" w14:textId="77777777" w:rsidR="000B7A67" w:rsidRDefault="000B7A67" w:rsidP="000B7A67">
      <w:pPr>
        <w:spacing w:after="0"/>
        <w:jc w:val="both"/>
        <w:rPr>
          <w:rFonts w:ascii="Book Antiqua" w:hAnsi="Book Antiqua"/>
          <w:b/>
          <w:sz w:val="24"/>
          <w:szCs w:val="24"/>
        </w:rPr>
      </w:pPr>
      <w:r>
        <w:rPr>
          <w:rFonts w:ascii="Book Antiqua" w:hAnsi="Book Antiqua"/>
          <w:sz w:val="24"/>
          <w:szCs w:val="24"/>
        </w:rPr>
        <w:t>El</w:t>
      </w:r>
      <w:r w:rsidRPr="003B26B6">
        <w:rPr>
          <w:rFonts w:ascii="Book Antiqua" w:hAnsi="Book Antiqua"/>
          <w:sz w:val="24"/>
          <w:szCs w:val="24"/>
        </w:rPr>
        <w:t xml:space="preserve"> proyect</w:t>
      </w:r>
      <w:r>
        <w:rPr>
          <w:rFonts w:ascii="Book Antiqua" w:hAnsi="Book Antiqua"/>
          <w:sz w:val="24"/>
          <w:szCs w:val="24"/>
        </w:rPr>
        <w:t>o</w:t>
      </w:r>
      <w:r w:rsidRPr="003B26B6">
        <w:rPr>
          <w:rFonts w:ascii="Book Antiqua" w:hAnsi="Book Antiqua"/>
          <w:sz w:val="24"/>
          <w:szCs w:val="24"/>
        </w:rPr>
        <w:t xml:space="preserve"> anterior, </w:t>
      </w:r>
      <w:r w:rsidRPr="005C5E7B">
        <w:rPr>
          <w:rFonts w:ascii="Book Antiqua" w:hAnsi="Book Antiqua"/>
          <w:sz w:val="24"/>
          <w:szCs w:val="24"/>
        </w:rPr>
        <w:t xml:space="preserve">tendrá al </w:t>
      </w:r>
      <w:r w:rsidRPr="005C5E7B">
        <w:rPr>
          <w:rFonts w:ascii="Book Antiqua" w:hAnsi="Book Antiqua"/>
          <w:b/>
          <w:bCs/>
          <w:sz w:val="24"/>
          <w:szCs w:val="24"/>
        </w:rPr>
        <w:t>11 de agosto del 2023 para</w:t>
      </w:r>
      <w:r w:rsidRPr="003B26B6">
        <w:rPr>
          <w:rFonts w:ascii="Book Antiqua" w:hAnsi="Book Antiqua"/>
          <w:b/>
          <w:bCs/>
          <w:sz w:val="24"/>
          <w:szCs w:val="24"/>
        </w:rPr>
        <w:t xml:space="preserve"> </w:t>
      </w:r>
      <w:r>
        <w:rPr>
          <w:rFonts w:ascii="Book Antiqua" w:hAnsi="Book Antiqua"/>
          <w:b/>
          <w:bCs/>
          <w:sz w:val="24"/>
          <w:szCs w:val="24"/>
        </w:rPr>
        <w:t xml:space="preserve">atender las recomendaciones pendientes </w:t>
      </w:r>
      <w:r w:rsidRPr="003B26B6">
        <w:rPr>
          <w:rFonts w:ascii="Book Antiqua" w:hAnsi="Book Antiqua"/>
          <w:b/>
          <w:sz w:val="24"/>
          <w:szCs w:val="24"/>
        </w:rPr>
        <w:t xml:space="preserve">y notificar a la </w:t>
      </w:r>
      <w:r>
        <w:rPr>
          <w:rFonts w:ascii="Book Antiqua" w:hAnsi="Book Antiqua"/>
          <w:b/>
          <w:sz w:val="24"/>
          <w:szCs w:val="24"/>
        </w:rPr>
        <w:t xml:space="preserve">Unidad del Portafolio de Proyectos, </w:t>
      </w:r>
      <w:r w:rsidRPr="003B26B6">
        <w:rPr>
          <w:rFonts w:ascii="Book Antiqua" w:hAnsi="Book Antiqua"/>
          <w:b/>
          <w:sz w:val="24"/>
          <w:szCs w:val="24"/>
        </w:rPr>
        <w:t>Dirección de Planificación</w:t>
      </w:r>
      <w:r>
        <w:rPr>
          <w:rFonts w:ascii="Book Antiqua" w:hAnsi="Book Antiqua"/>
          <w:b/>
          <w:sz w:val="24"/>
          <w:szCs w:val="24"/>
        </w:rPr>
        <w:t>.</w:t>
      </w:r>
    </w:p>
    <w:p w14:paraId="3E16CA1F" w14:textId="77777777" w:rsidR="000B7A67" w:rsidRDefault="000B7A67" w:rsidP="000B7A67">
      <w:pPr>
        <w:spacing w:after="0"/>
        <w:jc w:val="both"/>
        <w:rPr>
          <w:rFonts w:ascii="Book Antiqua" w:hAnsi="Book Antiqua"/>
          <w:b/>
          <w:sz w:val="24"/>
          <w:szCs w:val="24"/>
        </w:rPr>
      </w:pPr>
    </w:p>
    <w:p w14:paraId="0B54E3CD" w14:textId="77777777" w:rsidR="000B7A67" w:rsidRPr="001D2656" w:rsidRDefault="000B7A67" w:rsidP="000B7A67">
      <w:pPr>
        <w:pStyle w:val="Ttulo2"/>
        <w:numPr>
          <w:ilvl w:val="0"/>
          <w:numId w:val="3"/>
        </w:numPr>
        <w:tabs>
          <w:tab w:val="left" w:pos="851"/>
        </w:tabs>
        <w:spacing w:before="0"/>
        <w:jc w:val="both"/>
        <w:rPr>
          <w:rFonts w:ascii="Book Antiqua" w:eastAsia="Wingdings" w:hAnsi="Book Antiqua"/>
          <w:b/>
          <w:bCs/>
          <w:color w:val="auto"/>
          <w:lang w:eastAsia="ko-KR"/>
        </w:rPr>
      </w:pPr>
      <w:bookmarkStart w:id="36" w:name="_Toc138770833"/>
      <w:r w:rsidRPr="001D2656">
        <w:rPr>
          <w:rFonts w:ascii="Book Antiqua" w:eastAsia="Wingdings" w:hAnsi="Book Antiqua"/>
          <w:b/>
          <w:bCs/>
          <w:color w:val="auto"/>
          <w:lang w:eastAsia="ko-KR"/>
        </w:rPr>
        <w:t xml:space="preserve">Recomendaciones dirigidas </w:t>
      </w:r>
      <w:r>
        <w:rPr>
          <w:rFonts w:ascii="Book Antiqua" w:eastAsia="Wingdings" w:hAnsi="Book Antiqua"/>
          <w:b/>
          <w:bCs/>
          <w:color w:val="auto"/>
          <w:lang w:eastAsia="ko-KR"/>
        </w:rPr>
        <w:t xml:space="preserve">a la </w:t>
      </w:r>
      <w:r w:rsidRPr="004170F5">
        <w:rPr>
          <w:rFonts w:ascii="Book Antiqua" w:eastAsia="Wingdings" w:hAnsi="Book Antiqua"/>
          <w:b/>
          <w:bCs/>
          <w:color w:val="auto"/>
          <w:lang w:eastAsia="ko-KR"/>
        </w:rPr>
        <w:t>Inspección Judicial</w:t>
      </w:r>
      <w:bookmarkEnd w:id="36"/>
    </w:p>
    <w:p w14:paraId="52B3EF76" w14:textId="77777777" w:rsidR="000B7A67" w:rsidRDefault="000B7A67" w:rsidP="000B7A67">
      <w:pPr>
        <w:spacing w:after="0"/>
        <w:jc w:val="both"/>
        <w:rPr>
          <w:rFonts w:ascii="Book Antiqua" w:hAnsi="Book Antiqua"/>
        </w:rPr>
      </w:pPr>
    </w:p>
    <w:p w14:paraId="5BF6605A" w14:textId="77777777" w:rsidR="000B7A67" w:rsidRDefault="000B7A67" w:rsidP="000B7A67">
      <w:pPr>
        <w:jc w:val="both"/>
        <w:rPr>
          <w:lang w:eastAsia="ko-KR"/>
        </w:rPr>
      </w:pPr>
      <w:r>
        <w:rPr>
          <w:rFonts w:ascii="Book Antiqua" w:hAnsi="Book Antiqua"/>
          <w:sz w:val="24"/>
          <w:szCs w:val="24"/>
        </w:rPr>
        <w:t xml:space="preserve">En el informe 277-PLA-PP-2022, se dirigió una recomendación a la </w:t>
      </w:r>
      <w:r w:rsidRPr="004170F5">
        <w:rPr>
          <w:rFonts w:ascii="Book Antiqua" w:hAnsi="Book Antiqua"/>
          <w:b/>
          <w:bCs/>
          <w:sz w:val="24"/>
          <w:szCs w:val="24"/>
        </w:rPr>
        <w:t>Inspección Judicial</w:t>
      </w:r>
      <w:r>
        <w:rPr>
          <w:rFonts w:ascii="Book Antiqua" w:eastAsia="Wingdings" w:hAnsi="Book Antiqua"/>
          <w:b/>
          <w:bCs/>
          <w:lang w:eastAsia="ko-KR"/>
        </w:rPr>
        <w:t>,</w:t>
      </w:r>
      <w:r>
        <w:rPr>
          <w:rFonts w:ascii="Book Antiqua" w:hAnsi="Book Antiqua"/>
          <w:sz w:val="24"/>
          <w:szCs w:val="24"/>
        </w:rPr>
        <w:t xml:space="preserve"> debido a que existían proyectos con gestiones pendientes de atender o nuevas recomendaciones, por lo anterior se realiza el seguimiento a las siguientes recomendaciones:</w:t>
      </w:r>
    </w:p>
    <w:p w14:paraId="15DB3869" w14:textId="77777777" w:rsidR="000B7A67" w:rsidRDefault="000B7A67" w:rsidP="000B7A67">
      <w:pPr>
        <w:jc w:val="both"/>
        <w:rPr>
          <w:rFonts w:ascii="Book Antiqua" w:hAnsi="Book Antiqua"/>
          <w:i/>
          <w:iCs/>
          <w:sz w:val="24"/>
          <w:szCs w:val="24"/>
        </w:rPr>
      </w:pPr>
      <w:r w:rsidRPr="003041AE">
        <w:rPr>
          <w:rFonts w:ascii="Book Antiqua" w:hAnsi="Book Antiqua"/>
          <w:i/>
          <w:iCs/>
          <w:sz w:val="24"/>
          <w:szCs w:val="24"/>
        </w:rPr>
        <w:t>“</w:t>
      </w:r>
      <w:r w:rsidRPr="00CC0F21">
        <w:rPr>
          <w:rFonts w:ascii="Book Antiqua" w:hAnsi="Book Antiqua"/>
          <w:b/>
          <w:bCs/>
          <w:i/>
          <w:iCs/>
          <w:sz w:val="24"/>
          <w:szCs w:val="24"/>
        </w:rPr>
        <w:t xml:space="preserve">2.16) </w:t>
      </w:r>
      <w:r w:rsidRPr="00CC0F21">
        <w:rPr>
          <w:rFonts w:ascii="Book Antiqua" w:hAnsi="Book Antiqua"/>
          <w:i/>
          <w:iCs/>
          <w:sz w:val="24"/>
          <w:szCs w:val="24"/>
        </w:rPr>
        <w:t xml:space="preserve">La Escuela Judicial, la Inspección Judicial, la Junta Administradora del Fondo de Jubilaciones del Poder Judicial, el Ministerio Público, la Oficina de Control Interno, la Oficina de Cumplimiento, el Organismo de Investigación Judicial, deberán por su orden: a) A más tardar el 28 de abril del 2023, cargar en el sitio de proyecto la atención de las recomendaciones que, para cada uno de esos órganos, se disponen en la respectiva tabla que se incluye en el presente informe. </w:t>
      </w:r>
      <w:r>
        <w:rPr>
          <w:rFonts w:ascii="Book Antiqua" w:hAnsi="Book Antiqua"/>
          <w:i/>
          <w:iCs/>
          <w:sz w:val="24"/>
          <w:szCs w:val="24"/>
        </w:rPr>
        <w:t xml:space="preserve">b) Por su parte, el Organismo de Investigación Judicial, deberá, además: i. Tomar las medidas pertinentes a fin de poder contrarrestar los atrasos presentados y, cuando no sea posible subsanar los atrasos, deberá valorar la presentación de una solicitud de cambio en los casos que el retraso afecte la fecha de finalización de los proyectos y que la misma tenga </w:t>
      </w:r>
      <w:r>
        <w:rPr>
          <w:rFonts w:ascii="Book Antiqua" w:hAnsi="Book Antiqua"/>
          <w:i/>
          <w:iCs/>
          <w:sz w:val="24"/>
          <w:szCs w:val="24"/>
        </w:rPr>
        <w:lastRenderedPageBreak/>
        <w:t>autorización de la persona jefe o del director del proyecto. ii. Revisar y monitorear los proyectos que presentan un retraso significativo, y cuentan con permisos con goce otorgados</w:t>
      </w:r>
    </w:p>
    <w:tbl>
      <w:tblPr>
        <w:tblW w:w="9903" w:type="dxa"/>
        <w:tblInd w:w="-147" w:type="dxa"/>
        <w:tblCellMar>
          <w:left w:w="70" w:type="dxa"/>
          <w:right w:w="70" w:type="dxa"/>
        </w:tblCellMar>
        <w:tblLook w:val="04A0" w:firstRow="1" w:lastRow="0" w:firstColumn="1" w:lastColumn="0" w:noHBand="0" w:noVBand="1"/>
      </w:tblPr>
      <w:tblGrid>
        <w:gridCol w:w="1616"/>
        <w:gridCol w:w="992"/>
        <w:gridCol w:w="964"/>
        <w:gridCol w:w="2264"/>
        <w:gridCol w:w="1060"/>
        <w:gridCol w:w="3007"/>
      </w:tblGrid>
      <w:tr w:rsidR="00BC00B3" w:rsidRPr="000B4474" w14:paraId="581420ED" w14:textId="77777777" w:rsidTr="00301740">
        <w:trPr>
          <w:trHeight w:val="300"/>
        </w:trPr>
        <w:tc>
          <w:tcPr>
            <w:tcW w:w="1618"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160FD436" w14:textId="77777777" w:rsidR="000B7A67" w:rsidRPr="000B4474" w:rsidRDefault="000B7A67" w:rsidP="00F400D6">
            <w:pPr>
              <w:spacing w:after="0" w:line="240" w:lineRule="auto"/>
              <w:jc w:val="center"/>
              <w:rPr>
                <w:rFonts w:ascii="Book Antiqua" w:eastAsia="Times New Roman" w:hAnsi="Book Antiqua" w:cs="Calibri"/>
                <w:b/>
                <w:bCs/>
                <w:color w:val="FFFFFF"/>
                <w:sz w:val="18"/>
                <w:szCs w:val="18"/>
                <w:lang w:eastAsia="es-CR"/>
              </w:rPr>
            </w:pPr>
            <w:r w:rsidRPr="000B4474">
              <w:rPr>
                <w:rFonts w:ascii="Book Antiqua" w:eastAsia="Times New Roman" w:hAnsi="Book Antiqua" w:cs="Calibri"/>
                <w:b/>
                <w:bCs/>
                <w:color w:val="FFFFFF"/>
                <w:sz w:val="18"/>
                <w:szCs w:val="18"/>
                <w:lang w:eastAsia="es-CR"/>
              </w:rPr>
              <w:t xml:space="preserve">Centro de responsabilidad </w:t>
            </w:r>
          </w:p>
        </w:tc>
        <w:tc>
          <w:tcPr>
            <w:tcW w:w="934" w:type="dxa"/>
            <w:tcBorders>
              <w:top w:val="single" w:sz="4" w:space="0" w:color="auto"/>
              <w:left w:val="nil"/>
              <w:bottom w:val="single" w:sz="4" w:space="0" w:color="auto"/>
              <w:right w:val="single" w:sz="4" w:space="0" w:color="auto"/>
            </w:tcBorders>
            <w:shd w:val="clear" w:color="000000" w:fill="44546A"/>
            <w:vAlign w:val="center"/>
            <w:hideMark/>
          </w:tcPr>
          <w:p w14:paraId="784CDAB4" w14:textId="77777777" w:rsidR="000B7A67" w:rsidRPr="000B4474" w:rsidRDefault="000B7A67" w:rsidP="00F400D6">
            <w:pPr>
              <w:spacing w:after="0" w:line="240" w:lineRule="auto"/>
              <w:jc w:val="center"/>
              <w:rPr>
                <w:rFonts w:ascii="Book Antiqua" w:eastAsia="Times New Roman" w:hAnsi="Book Antiqua" w:cs="Calibri"/>
                <w:b/>
                <w:bCs/>
                <w:color w:val="FFFFFF"/>
                <w:sz w:val="18"/>
                <w:szCs w:val="18"/>
                <w:lang w:eastAsia="es-CR"/>
              </w:rPr>
            </w:pPr>
            <w:r w:rsidRPr="000B4474">
              <w:rPr>
                <w:rFonts w:ascii="Book Antiqua" w:eastAsia="Times New Roman" w:hAnsi="Book Antiqua" w:cs="Calibri"/>
                <w:b/>
                <w:bCs/>
                <w:color w:val="FFFFFF"/>
                <w:sz w:val="18"/>
                <w:szCs w:val="18"/>
                <w:lang w:eastAsia="es-CR"/>
              </w:rPr>
              <w:t>Oficina Líder</w:t>
            </w:r>
          </w:p>
        </w:tc>
        <w:tc>
          <w:tcPr>
            <w:tcW w:w="969" w:type="dxa"/>
            <w:tcBorders>
              <w:top w:val="single" w:sz="4" w:space="0" w:color="auto"/>
              <w:left w:val="nil"/>
              <w:bottom w:val="single" w:sz="4" w:space="0" w:color="auto"/>
              <w:right w:val="single" w:sz="4" w:space="0" w:color="auto"/>
            </w:tcBorders>
            <w:shd w:val="clear" w:color="000000" w:fill="44546A"/>
            <w:vAlign w:val="center"/>
            <w:hideMark/>
          </w:tcPr>
          <w:p w14:paraId="376F2959" w14:textId="77777777" w:rsidR="000B7A67" w:rsidRPr="000B4474" w:rsidRDefault="000B7A67" w:rsidP="00F400D6">
            <w:pPr>
              <w:spacing w:after="0" w:line="240" w:lineRule="auto"/>
              <w:jc w:val="center"/>
              <w:rPr>
                <w:rFonts w:ascii="Book Antiqua" w:eastAsia="Times New Roman" w:hAnsi="Book Antiqua" w:cs="Calibri"/>
                <w:b/>
                <w:bCs/>
                <w:color w:val="FFFFFF"/>
                <w:sz w:val="18"/>
                <w:szCs w:val="18"/>
                <w:lang w:eastAsia="es-CR"/>
              </w:rPr>
            </w:pPr>
            <w:r w:rsidRPr="000B4474">
              <w:rPr>
                <w:rFonts w:ascii="Book Antiqua" w:eastAsia="Times New Roman" w:hAnsi="Book Antiqua" w:cs="Calibri"/>
                <w:b/>
                <w:bCs/>
                <w:color w:val="FFFFFF"/>
                <w:sz w:val="18"/>
                <w:szCs w:val="18"/>
                <w:lang w:eastAsia="es-CR"/>
              </w:rPr>
              <w:t>Código</w:t>
            </w:r>
          </w:p>
        </w:tc>
        <w:tc>
          <w:tcPr>
            <w:tcW w:w="2271" w:type="dxa"/>
            <w:tcBorders>
              <w:top w:val="single" w:sz="4" w:space="0" w:color="auto"/>
              <w:left w:val="nil"/>
              <w:bottom w:val="single" w:sz="4" w:space="0" w:color="auto"/>
              <w:right w:val="single" w:sz="4" w:space="0" w:color="auto"/>
            </w:tcBorders>
            <w:shd w:val="clear" w:color="000000" w:fill="44546A"/>
            <w:vAlign w:val="center"/>
            <w:hideMark/>
          </w:tcPr>
          <w:p w14:paraId="3E91FBD9" w14:textId="77777777" w:rsidR="000B7A67" w:rsidRPr="000B4474" w:rsidRDefault="000B7A67" w:rsidP="00F400D6">
            <w:pPr>
              <w:spacing w:after="0" w:line="240" w:lineRule="auto"/>
              <w:jc w:val="center"/>
              <w:rPr>
                <w:rFonts w:ascii="Book Antiqua" w:eastAsia="Times New Roman" w:hAnsi="Book Antiqua" w:cs="Calibri"/>
                <w:b/>
                <w:bCs/>
                <w:color w:val="FFFFFF"/>
                <w:sz w:val="18"/>
                <w:szCs w:val="18"/>
                <w:lang w:eastAsia="es-CR"/>
              </w:rPr>
            </w:pPr>
            <w:r w:rsidRPr="000B4474">
              <w:rPr>
                <w:rFonts w:ascii="Book Antiqua" w:eastAsia="Times New Roman" w:hAnsi="Book Antiqua" w:cs="Calibri"/>
                <w:b/>
                <w:bCs/>
                <w:color w:val="FFFFFF"/>
                <w:sz w:val="18"/>
                <w:szCs w:val="18"/>
                <w:lang w:eastAsia="es-CR"/>
              </w:rPr>
              <w:t>Nombre</w:t>
            </w:r>
          </w:p>
        </w:tc>
        <w:tc>
          <w:tcPr>
            <w:tcW w:w="1062" w:type="dxa"/>
            <w:tcBorders>
              <w:top w:val="single" w:sz="4" w:space="0" w:color="auto"/>
              <w:left w:val="nil"/>
              <w:bottom w:val="single" w:sz="4" w:space="0" w:color="auto"/>
              <w:right w:val="single" w:sz="4" w:space="0" w:color="auto"/>
            </w:tcBorders>
            <w:shd w:val="clear" w:color="000000" w:fill="44546A"/>
            <w:vAlign w:val="center"/>
            <w:hideMark/>
          </w:tcPr>
          <w:p w14:paraId="0177765F" w14:textId="77777777" w:rsidR="000B7A67" w:rsidRPr="000B4474" w:rsidRDefault="000B7A67" w:rsidP="00F400D6">
            <w:pPr>
              <w:spacing w:after="0" w:line="240" w:lineRule="auto"/>
              <w:jc w:val="center"/>
              <w:rPr>
                <w:rFonts w:ascii="Book Antiqua" w:eastAsia="Times New Roman" w:hAnsi="Book Antiqua" w:cs="Calibri"/>
                <w:b/>
                <w:bCs/>
                <w:color w:val="FFFFFF"/>
                <w:sz w:val="18"/>
                <w:szCs w:val="18"/>
                <w:lang w:eastAsia="es-CR"/>
              </w:rPr>
            </w:pPr>
            <w:r w:rsidRPr="000B4474">
              <w:rPr>
                <w:rFonts w:ascii="Book Antiqua" w:eastAsia="Times New Roman" w:hAnsi="Book Antiqua" w:cs="Calibri"/>
                <w:b/>
                <w:bCs/>
                <w:color w:val="FFFFFF"/>
                <w:sz w:val="18"/>
                <w:szCs w:val="18"/>
                <w:lang w:eastAsia="es-CR"/>
              </w:rPr>
              <w:t>Parte pendiente</w:t>
            </w:r>
          </w:p>
        </w:tc>
        <w:tc>
          <w:tcPr>
            <w:tcW w:w="3049" w:type="dxa"/>
            <w:tcBorders>
              <w:top w:val="single" w:sz="4" w:space="0" w:color="auto"/>
              <w:left w:val="nil"/>
              <w:bottom w:val="single" w:sz="4" w:space="0" w:color="auto"/>
              <w:right w:val="single" w:sz="4" w:space="0" w:color="auto"/>
            </w:tcBorders>
            <w:shd w:val="clear" w:color="000000" w:fill="44546A"/>
            <w:vAlign w:val="center"/>
            <w:hideMark/>
          </w:tcPr>
          <w:p w14:paraId="5F04D960" w14:textId="77777777" w:rsidR="000B7A67" w:rsidRPr="000B4474" w:rsidRDefault="000B7A67" w:rsidP="00F400D6">
            <w:pPr>
              <w:spacing w:after="0" w:line="240" w:lineRule="auto"/>
              <w:jc w:val="center"/>
              <w:rPr>
                <w:rFonts w:ascii="Book Antiqua" w:eastAsia="Times New Roman" w:hAnsi="Book Antiqua" w:cs="Calibri"/>
                <w:b/>
                <w:bCs/>
                <w:color w:val="FFFFFF"/>
                <w:sz w:val="18"/>
                <w:szCs w:val="18"/>
                <w:lang w:eastAsia="es-CR"/>
              </w:rPr>
            </w:pPr>
            <w:r w:rsidRPr="000B4474">
              <w:rPr>
                <w:rFonts w:ascii="Book Antiqua" w:eastAsia="Times New Roman" w:hAnsi="Book Antiqua" w:cs="Calibri"/>
                <w:b/>
                <w:bCs/>
                <w:color w:val="FFFFFF"/>
                <w:sz w:val="18"/>
                <w:szCs w:val="18"/>
                <w:lang w:eastAsia="es-CR"/>
              </w:rPr>
              <w:t xml:space="preserve">Detalle </w:t>
            </w:r>
          </w:p>
        </w:tc>
      </w:tr>
      <w:tr w:rsidR="00BC00B3" w:rsidRPr="000B4474" w14:paraId="72A87B54" w14:textId="77777777" w:rsidTr="00301740">
        <w:trPr>
          <w:trHeight w:val="1350"/>
        </w:trPr>
        <w:tc>
          <w:tcPr>
            <w:tcW w:w="1618" w:type="dxa"/>
            <w:tcBorders>
              <w:top w:val="nil"/>
              <w:left w:val="single" w:sz="4" w:space="0" w:color="auto"/>
              <w:bottom w:val="single" w:sz="4" w:space="0" w:color="auto"/>
              <w:right w:val="single" w:sz="4" w:space="0" w:color="auto"/>
            </w:tcBorders>
            <w:shd w:val="clear" w:color="auto" w:fill="auto"/>
            <w:vAlign w:val="center"/>
            <w:hideMark/>
          </w:tcPr>
          <w:p w14:paraId="173FFC5E" w14:textId="77777777" w:rsidR="000B7A67" w:rsidRPr="000B4474" w:rsidRDefault="000B7A67" w:rsidP="00F400D6">
            <w:pPr>
              <w:spacing w:after="0" w:line="240" w:lineRule="auto"/>
              <w:jc w:val="center"/>
              <w:rPr>
                <w:rFonts w:ascii="Book Antiqua" w:eastAsia="Times New Roman" w:hAnsi="Book Antiqua" w:cs="Calibri"/>
                <w:color w:val="000000"/>
                <w:sz w:val="18"/>
                <w:szCs w:val="18"/>
                <w:lang w:eastAsia="es-CR"/>
              </w:rPr>
            </w:pPr>
            <w:r w:rsidRPr="000B4474">
              <w:rPr>
                <w:rFonts w:ascii="Book Antiqua" w:eastAsia="Times New Roman" w:hAnsi="Book Antiqua" w:cs="Calibri"/>
                <w:color w:val="000000"/>
                <w:sz w:val="18"/>
                <w:szCs w:val="18"/>
                <w:lang w:eastAsia="es-CR"/>
              </w:rPr>
              <w:t>Inspección Judicial</w:t>
            </w:r>
          </w:p>
        </w:tc>
        <w:tc>
          <w:tcPr>
            <w:tcW w:w="934" w:type="dxa"/>
            <w:tcBorders>
              <w:top w:val="nil"/>
              <w:left w:val="nil"/>
              <w:bottom w:val="single" w:sz="4" w:space="0" w:color="auto"/>
              <w:right w:val="single" w:sz="4" w:space="0" w:color="auto"/>
            </w:tcBorders>
            <w:shd w:val="clear" w:color="auto" w:fill="auto"/>
            <w:vAlign w:val="center"/>
            <w:hideMark/>
          </w:tcPr>
          <w:p w14:paraId="0CC15494" w14:textId="77777777" w:rsidR="000B7A67" w:rsidRPr="000B4474" w:rsidRDefault="000B7A67" w:rsidP="00F400D6">
            <w:pPr>
              <w:spacing w:after="0" w:line="240" w:lineRule="auto"/>
              <w:jc w:val="center"/>
              <w:rPr>
                <w:rFonts w:ascii="Book Antiqua" w:eastAsia="Times New Roman" w:hAnsi="Book Antiqua" w:cs="Calibri"/>
                <w:color w:val="000000"/>
                <w:sz w:val="18"/>
                <w:szCs w:val="18"/>
                <w:lang w:eastAsia="es-CR"/>
              </w:rPr>
            </w:pPr>
            <w:r w:rsidRPr="000B4474">
              <w:rPr>
                <w:rFonts w:ascii="Book Antiqua" w:eastAsia="Times New Roman" w:hAnsi="Book Antiqua" w:cs="Calibri"/>
                <w:color w:val="000000"/>
                <w:sz w:val="18"/>
                <w:szCs w:val="18"/>
                <w:lang w:eastAsia="es-CR"/>
              </w:rPr>
              <w:t>0031 Inspección Judicial</w:t>
            </w:r>
          </w:p>
        </w:tc>
        <w:tc>
          <w:tcPr>
            <w:tcW w:w="969" w:type="dxa"/>
            <w:tcBorders>
              <w:top w:val="nil"/>
              <w:left w:val="nil"/>
              <w:bottom w:val="single" w:sz="4" w:space="0" w:color="auto"/>
              <w:right w:val="single" w:sz="4" w:space="0" w:color="auto"/>
            </w:tcBorders>
            <w:shd w:val="clear" w:color="auto" w:fill="auto"/>
            <w:vAlign w:val="center"/>
            <w:hideMark/>
          </w:tcPr>
          <w:p w14:paraId="6FD66E9B" w14:textId="77777777" w:rsidR="000B7A67" w:rsidRPr="000B4474" w:rsidRDefault="000B7A67" w:rsidP="00F400D6">
            <w:pPr>
              <w:spacing w:after="0" w:line="240" w:lineRule="auto"/>
              <w:jc w:val="center"/>
              <w:rPr>
                <w:rFonts w:ascii="Book Antiqua" w:eastAsia="Times New Roman" w:hAnsi="Book Antiqua" w:cs="Calibri"/>
                <w:color w:val="000000"/>
                <w:sz w:val="18"/>
                <w:szCs w:val="18"/>
                <w:lang w:eastAsia="es-CR"/>
              </w:rPr>
            </w:pPr>
            <w:r w:rsidRPr="000B4474">
              <w:rPr>
                <w:rFonts w:ascii="Book Antiqua" w:eastAsia="Times New Roman" w:hAnsi="Book Antiqua" w:cs="Calibri"/>
                <w:color w:val="000000"/>
                <w:sz w:val="18"/>
                <w:szCs w:val="18"/>
                <w:lang w:eastAsia="es-CR"/>
              </w:rPr>
              <w:t>0031-IJ-P02</w:t>
            </w:r>
          </w:p>
        </w:tc>
        <w:tc>
          <w:tcPr>
            <w:tcW w:w="2271" w:type="dxa"/>
            <w:tcBorders>
              <w:top w:val="nil"/>
              <w:left w:val="nil"/>
              <w:bottom w:val="single" w:sz="4" w:space="0" w:color="auto"/>
              <w:right w:val="single" w:sz="4" w:space="0" w:color="auto"/>
            </w:tcBorders>
            <w:shd w:val="clear" w:color="auto" w:fill="auto"/>
            <w:vAlign w:val="center"/>
            <w:hideMark/>
          </w:tcPr>
          <w:p w14:paraId="105E1D08" w14:textId="77777777" w:rsidR="000B7A67" w:rsidRPr="000B4474" w:rsidRDefault="000B7A67" w:rsidP="00F400D6">
            <w:pPr>
              <w:spacing w:after="0" w:line="240" w:lineRule="auto"/>
              <w:jc w:val="center"/>
              <w:rPr>
                <w:rFonts w:ascii="Book Antiqua" w:eastAsia="Times New Roman" w:hAnsi="Book Antiqua" w:cs="Calibri"/>
                <w:color w:val="000000"/>
                <w:sz w:val="18"/>
                <w:szCs w:val="18"/>
                <w:lang w:eastAsia="es-CR"/>
              </w:rPr>
            </w:pPr>
            <w:r w:rsidRPr="000B4474">
              <w:rPr>
                <w:rFonts w:ascii="Book Antiqua" w:eastAsia="Times New Roman" w:hAnsi="Book Antiqua" w:cs="Calibri"/>
                <w:color w:val="000000"/>
                <w:sz w:val="18"/>
                <w:szCs w:val="18"/>
                <w:lang w:eastAsia="es-CR"/>
              </w:rPr>
              <w:t>Plan de trabajo para el apoyo a las visitas a los despachos jurisdiccionales y descongestionamiento de causas complejas</w:t>
            </w:r>
          </w:p>
        </w:tc>
        <w:tc>
          <w:tcPr>
            <w:tcW w:w="1062" w:type="dxa"/>
            <w:tcBorders>
              <w:top w:val="nil"/>
              <w:left w:val="nil"/>
              <w:bottom w:val="single" w:sz="4" w:space="0" w:color="auto"/>
              <w:right w:val="single" w:sz="4" w:space="0" w:color="auto"/>
            </w:tcBorders>
            <w:shd w:val="clear" w:color="auto" w:fill="auto"/>
            <w:vAlign w:val="center"/>
            <w:hideMark/>
          </w:tcPr>
          <w:p w14:paraId="058C84F7" w14:textId="77777777" w:rsidR="000B7A67" w:rsidRPr="000B4474" w:rsidRDefault="000B7A67" w:rsidP="00F400D6">
            <w:pPr>
              <w:spacing w:after="0" w:line="240" w:lineRule="auto"/>
              <w:jc w:val="center"/>
              <w:rPr>
                <w:rFonts w:ascii="Book Antiqua" w:eastAsia="Times New Roman" w:hAnsi="Book Antiqua" w:cs="Calibri"/>
                <w:sz w:val="18"/>
                <w:szCs w:val="18"/>
                <w:lang w:eastAsia="es-CR"/>
              </w:rPr>
            </w:pPr>
            <w:r w:rsidRPr="000B4474">
              <w:rPr>
                <w:rFonts w:ascii="Book Antiqua" w:eastAsia="Times New Roman" w:hAnsi="Book Antiqua" w:cs="Calibri"/>
                <w:sz w:val="18"/>
                <w:szCs w:val="18"/>
                <w:lang w:eastAsia="es-CR"/>
              </w:rPr>
              <w:t>3.5</w:t>
            </w:r>
          </w:p>
        </w:tc>
        <w:tc>
          <w:tcPr>
            <w:tcW w:w="3049" w:type="dxa"/>
            <w:tcBorders>
              <w:top w:val="nil"/>
              <w:left w:val="nil"/>
              <w:bottom w:val="single" w:sz="4" w:space="0" w:color="auto"/>
              <w:right w:val="single" w:sz="4" w:space="0" w:color="auto"/>
            </w:tcBorders>
            <w:shd w:val="clear" w:color="auto" w:fill="auto"/>
            <w:vAlign w:val="center"/>
            <w:hideMark/>
          </w:tcPr>
          <w:p w14:paraId="7AD5AF06" w14:textId="77777777" w:rsidR="000B7A67" w:rsidRPr="000B4474" w:rsidRDefault="000B7A67" w:rsidP="00F95BC2">
            <w:pPr>
              <w:spacing w:after="0" w:line="240" w:lineRule="auto"/>
              <w:jc w:val="both"/>
              <w:rPr>
                <w:rFonts w:ascii="Book Antiqua" w:eastAsia="Times New Roman" w:hAnsi="Book Antiqua" w:cs="Calibri"/>
                <w:sz w:val="18"/>
                <w:szCs w:val="18"/>
                <w:lang w:eastAsia="es-CR"/>
              </w:rPr>
            </w:pPr>
            <w:r w:rsidRPr="000B4474">
              <w:rPr>
                <w:rFonts w:ascii="Book Antiqua" w:eastAsia="Times New Roman" w:hAnsi="Book Antiqua" w:cs="Calibri"/>
                <w:sz w:val="18"/>
                <w:szCs w:val="18"/>
                <w:lang w:eastAsia="es-CR"/>
              </w:rPr>
              <w:t>Pendiente de subir Informe de cierre en el sitio de proyecto.</w:t>
            </w:r>
          </w:p>
        </w:tc>
      </w:tr>
    </w:tbl>
    <w:p w14:paraId="449032FC" w14:textId="367B7D1B" w:rsidR="000B7A67" w:rsidRDefault="000B7A67" w:rsidP="00DD5642">
      <w:pPr>
        <w:spacing w:after="0"/>
        <w:jc w:val="right"/>
        <w:rPr>
          <w:rFonts w:ascii="Book Antiqua" w:hAnsi="Book Antiqua"/>
        </w:rPr>
      </w:pPr>
      <w:r>
        <w:rPr>
          <w:rFonts w:ascii="Book Antiqua" w:hAnsi="Book Antiqua"/>
        </w:rPr>
        <w:t xml:space="preserve"> “</w:t>
      </w:r>
      <w:r w:rsidR="00DD5642">
        <w:rPr>
          <w:rFonts w:ascii="Book Antiqua" w:hAnsi="Book Antiqua"/>
        </w:rPr>
        <w:t>.</w:t>
      </w:r>
    </w:p>
    <w:p w14:paraId="6B00D5EB" w14:textId="77777777" w:rsidR="000B7A67" w:rsidRDefault="000B7A67" w:rsidP="000B7A67">
      <w:pPr>
        <w:spacing w:after="0"/>
        <w:jc w:val="both"/>
        <w:rPr>
          <w:rFonts w:ascii="Book Antiqua" w:hAnsi="Book Antiqua"/>
        </w:rPr>
      </w:pPr>
    </w:p>
    <w:p w14:paraId="1A1B998D" w14:textId="77777777" w:rsidR="000B7A67" w:rsidRDefault="000B7A67" w:rsidP="000B7A67">
      <w:pPr>
        <w:spacing w:after="0"/>
        <w:jc w:val="both"/>
        <w:rPr>
          <w:rFonts w:ascii="Book Antiqua" w:hAnsi="Book Antiqua"/>
        </w:rPr>
      </w:pPr>
      <w:r>
        <w:rPr>
          <w:rFonts w:ascii="Book Antiqua" w:hAnsi="Book Antiqua"/>
          <w:sz w:val="24"/>
          <w:szCs w:val="24"/>
        </w:rPr>
        <w:t>Con la finalidad de dar seguimiento a esta recomendación, se remite correo a la oficina mediante el oficio 1810</w:t>
      </w:r>
      <w:r w:rsidRPr="004C19A1">
        <w:rPr>
          <w:rFonts w:ascii="Book Antiqua" w:hAnsi="Book Antiqua"/>
          <w:sz w:val="24"/>
          <w:szCs w:val="24"/>
        </w:rPr>
        <w:t>-PLA-PP-TR-2023</w:t>
      </w:r>
      <w:r>
        <w:rPr>
          <w:rFonts w:ascii="Book Antiqua" w:hAnsi="Book Antiqua"/>
          <w:sz w:val="24"/>
          <w:szCs w:val="24"/>
        </w:rPr>
        <w:t>.</w:t>
      </w:r>
    </w:p>
    <w:p w14:paraId="2FDE6F65" w14:textId="77777777" w:rsidR="000B7A67" w:rsidRDefault="000B7A67" w:rsidP="000B7A67">
      <w:pPr>
        <w:spacing w:after="0"/>
        <w:jc w:val="both"/>
        <w:rPr>
          <w:rFonts w:ascii="Book Antiqua" w:hAnsi="Book Antiqua"/>
        </w:rPr>
      </w:pPr>
    </w:p>
    <w:p w14:paraId="03643FE0" w14:textId="3368356D" w:rsidR="000B7A67" w:rsidRDefault="000B7A67" w:rsidP="000B7A67">
      <w:pPr>
        <w:spacing w:after="0"/>
        <w:jc w:val="both"/>
        <w:rPr>
          <w:rFonts w:ascii="Book Antiqua" w:hAnsi="Book Antiqua"/>
          <w:sz w:val="24"/>
          <w:szCs w:val="24"/>
        </w:rPr>
      </w:pPr>
      <w:r>
        <w:rPr>
          <w:rFonts w:ascii="Book Antiqua" w:hAnsi="Book Antiqua"/>
          <w:sz w:val="24"/>
          <w:szCs w:val="24"/>
        </w:rPr>
        <w:t>Además,</w:t>
      </w:r>
      <w:r w:rsidRPr="00FA687A">
        <w:rPr>
          <w:rFonts w:ascii="Book Antiqua" w:hAnsi="Book Antiqua"/>
          <w:sz w:val="24"/>
          <w:szCs w:val="24"/>
        </w:rPr>
        <w:t xml:space="preserve"> se procedió a revisar en </w:t>
      </w:r>
      <w:r>
        <w:rPr>
          <w:rFonts w:ascii="Book Antiqua" w:hAnsi="Book Antiqua"/>
          <w:sz w:val="24"/>
          <w:szCs w:val="24"/>
        </w:rPr>
        <w:t>el</w:t>
      </w:r>
      <w:r w:rsidRPr="00FA687A">
        <w:rPr>
          <w:rFonts w:ascii="Book Antiqua" w:hAnsi="Book Antiqua"/>
          <w:sz w:val="24"/>
          <w:szCs w:val="24"/>
        </w:rPr>
        <w:t xml:space="preserve"> centro de proyectos</w:t>
      </w:r>
      <w:r>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estas recomendaciones (</w:t>
      </w:r>
      <w:hyperlink r:id="rId24" w:history="1">
        <w:r w:rsidRPr="00154278">
          <w:rPr>
            <w:rStyle w:val="Hipervnculo"/>
            <w:rFonts w:ascii="Book Antiqua" w:hAnsi="Book Antiqua"/>
            <w:sz w:val="24"/>
            <w:szCs w:val="24"/>
          </w:rPr>
          <w:t>Ver enlace:</w:t>
        </w:r>
        <w:r w:rsidRPr="00154278">
          <w:rPr>
            <w:rStyle w:val="Hipervnculo"/>
          </w:rPr>
          <w:t xml:space="preserve"> </w:t>
        </w:r>
        <w:r w:rsidRPr="00154278">
          <w:rPr>
            <w:rStyle w:val="Hipervnculo"/>
            <w:rFonts w:ascii="Book Antiqua" w:hAnsi="Book Antiqua"/>
            <w:sz w:val="24"/>
            <w:szCs w:val="24"/>
          </w:rPr>
          <w:t>Inspección Judicial</w:t>
        </w:r>
      </w:hyperlink>
      <w:r w:rsidRPr="00FA687A">
        <w:rPr>
          <w:rFonts w:ascii="Book Antiqua" w:hAnsi="Book Antiqua"/>
          <w:sz w:val="24"/>
          <w:szCs w:val="24"/>
        </w:rPr>
        <w:t>);</w:t>
      </w:r>
      <w:r w:rsidRPr="00414C02">
        <w:rPr>
          <w:rFonts w:ascii="Book Antiqua" w:hAnsi="Book Antiqua"/>
          <w:sz w:val="24"/>
          <w:szCs w:val="24"/>
        </w:rPr>
        <w:t xml:space="preserve"> </w:t>
      </w:r>
      <w:r>
        <w:rPr>
          <w:rFonts w:ascii="Book Antiqua" w:hAnsi="Book Antiqua"/>
          <w:sz w:val="24"/>
          <w:szCs w:val="24"/>
        </w:rPr>
        <w:t xml:space="preserve">no obstante, se identifica </w:t>
      </w:r>
      <w:r w:rsidR="008D0269">
        <w:rPr>
          <w:rFonts w:ascii="Book Antiqua" w:hAnsi="Book Antiqua"/>
          <w:sz w:val="24"/>
          <w:szCs w:val="24"/>
        </w:rPr>
        <w:t>que al</w:t>
      </w:r>
      <w:r>
        <w:rPr>
          <w:rFonts w:ascii="Book Antiqua" w:hAnsi="Book Antiqua"/>
          <w:sz w:val="24"/>
          <w:szCs w:val="24"/>
        </w:rPr>
        <w:t xml:space="preserve"> proyecto </w:t>
      </w:r>
      <w:r w:rsidR="008D0269">
        <w:rPr>
          <w:rFonts w:ascii="Book Antiqua" w:hAnsi="Book Antiqua"/>
          <w:sz w:val="24"/>
          <w:szCs w:val="24"/>
        </w:rPr>
        <w:t>quedo pendiente</w:t>
      </w:r>
      <w:r>
        <w:rPr>
          <w:rFonts w:ascii="Book Antiqua" w:hAnsi="Book Antiqua"/>
          <w:sz w:val="24"/>
          <w:szCs w:val="24"/>
        </w:rPr>
        <w:t xml:space="preserve"> la </w:t>
      </w:r>
      <w:r w:rsidR="008D0269">
        <w:rPr>
          <w:rFonts w:ascii="Book Antiqua" w:hAnsi="Book Antiqua"/>
          <w:sz w:val="24"/>
          <w:szCs w:val="24"/>
        </w:rPr>
        <w:t>aprobación del informe de cierre</w:t>
      </w:r>
      <w:r>
        <w:rPr>
          <w:rFonts w:ascii="Book Antiqua" w:hAnsi="Book Antiqua"/>
          <w:sz w:val="24"/>
          <w:szCs w:val="24"/>
        </w:rPr>
        <w:t>, el cual se detallan a continuación:</w:t>
      </w:r>
    </w:p>
    <w:p w14:paraId="37F3211C" w14:textId="77777777" w:rsidR="000B7A67" w:rsidRDefault="000B7A67" w:rsidP="000B7A67">
      <w:pPr>
        <w:spacing w:after="0"/>
        <w:jc w:val="both"/>
        <w:rPr>
          <w:rFonts w:ascii="Book Antiqua" w:hAnsi="Book Antiqua"/>
          <w:sz w:val="24"/>
          <w:szCs w:val="24"/>
        </w:rPr>
      </w:pPr>
    </w:p>
    <w:p w14:paraId="0549F383" w14:textId="597E1AD9" w:rsidR="000B7A67" w:rsidRDefault="000B7A67" w:rsidP="000B7A67">
      <w:pPr>
        <w:pStyle w:val="Descripcin"/>
        <w:keepNext/>
        <w:spacing w:after="0"/>
        <w:jc w:val="center"/>
        <w:rPr>
          <w:rFonts w:ascii="Book Antiqua" w:hAnsi="Book Antiqua" w:cs="&amp;quot"/>
          <w:b/>
          <w:i w:val="0"/>
          <w:iCs w:val="0"/>
          <w:color w:val="auto"/>
          <w:sz w:val="24"/>
          <w:szCs w:val="24"/>
        </w:rPr>
      </w:pPr>
      <w:r w:rsidRPr="00A562C7">
        <w:rPr>
          <w:rFonts w:ascii="Book Antiqua" w:hAnsi="Book Antiqua" w:cs="&amp;quot"/>
          <w:b/>
          <w:i w:val="0"/>
          <w:iCs w:val="0"/>
          <w:color w:val="auto"/>
          <w:sz w:val="24"/>
          <w:szCs w:val="24"/>
        </w:rPr>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sidR="00844144">
        <w:rPr>
          <w:rFonts w:ascii="Book Antiqua" w:hAnsi="Book Antiqua" w:cs="&amp;quot"/>
          <w:b/>
          <w:i w:val="0"/>
          <w:iCs w:val="0"/>
          <w:noProof/>
          <w:color w:val="auto"/>
          <w:sz w:val="24"/>
          <w:szCs w:val="24"/>
        </w:rPr>
        <w:t>8</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Pr>
          <w:rFonts w:ascii="Book Antiqua" w:hAnsi="Book Antiqua" w:cs="&amp;quot"/>
          <w:b/>
          <w:i w:val="0"/>
          <w:iCs w:val="0"/>
          <w:color w:val="auto"/>
          <w:sz w:val="24"/>
          <w:szCs w:val="24"/>
        </w:rPr>
        <w:t xml:space="preserve"> los</w:t>
      </w:r>
      <w:r w:rsidRPr="00143168">
        <w:rPr>
          <w:rFonts w:ascii="Book Antiqua" w:hAnsi="Book Antiqua" w:cs="&amp;quot"/>
          <w:b/>
          <w:i w:val="0"/>
          <w:iCs w:val="0"/>
          <w:color w:val="auto"/>
          <w:sz w:val="24"/>
          <w:szCs w:val="24"/>
        </w:rPr>
        <w:t xml:space="preserve"> proyecto</w:t>
      </w:r>
      <w:r>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que tiene pendiente</w:t>
      </w:r>
      <w:r>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de </w:t>
      </w:r>
      <w:r>
        <w:rPr>
          <w:rFonts w:ascii="Book Antiqua" w:hAnsi="Book Antiqua" w:cs="&amp;quot"/>
          <w:b/>
          <w:i w:val="0"/>
          <w:iCs w:val="0"/>
          <w:color w:val="auto"/>
          <w:sz w:val="24"/>
          <w:szCs w:val="24"/>
        </w:rPr>
        <w:t xml:space="preserve">atender recomendaciones de la </w:t>
      </w:r>
      <w:r w:rsidRPr="00154278">
        <w:rPr>
          <w:rFonts w:ascii="Book Antiqua" w:hAnsi="Book Antiqua" w:cs="&amp;quot"/>
          <w:b/>
          <w:i w:val="0"/>
          <w:iCs w:val="0"/>
          <w:color w:val="auto"/>
          <w:sz w:val="24"/>
          <w:szCs w:val="24"/>
        </w:rPr>
        <w:t>Inspección Judicial</w:t>
      </w:r>
    </w:p>
    <w:tbl>
      <w:tblPr>
        <w:tblW w:w="10207" w:type="dxa"/>
        <w:tblInd w:w="-147" w:type="dxa"/>
        <w:tblCellMar>
          <w:left w:w="70" w:type="dxa"/>
          <w:right w:w="70" w:type="dxa"/>
        </w:tblCellMar>
        <w:tblLook w:val="04A0" w:firstRow="1" w:lastRow="0" w:firstColumn="1" w:lastColumn="0" w:noHBand="0" w:noVBand="1"/>
      </w:tblPr>
      <w:tblGrid>
        <w:gridCol w:w="1471"/>
        <w:gridCol w:w="1166"/>
        <w:gridCol w:w="930"/>
        <w:gridCol w:w="1922"/>
        <w:gridCol w:w="1317"/>
        <w:gridCol w:w="3401"/>
      </w:tblGrid>
      <w:tr w:rsidR="00BC00B3" w:rsidRPr="00455263" w14:paraId="7053E9BE" w14:textId="77777777" w:rsidTr="00301740">
        <w:trPr>
          <w:trHeight w:val="300"/>
        </w:trPr>
        <w:tc>
          <w:tcPr>
            <w:tcW w:w="1471"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010F8EE2" w14:textId="77777777" w:rsidR="000B7A67" w:rsidRPr="00455263" w:rsidRDefault="000B7A67" w:rsidP="00F400D6">
            <w:pPr>
              <w:spacing w:after="0" w:line="240" w:lineRule="auto"/>
              <w:jc w:val="center"/>
              <w:rPr>
                <w:rFonts w:ascii="Book Antiqua" w:eastAsia="Times New Roman" w:hAnsi="Book Antiqua" w:cs="Calibri"/>
                <w:b/>
                <w:bCs/>
                <w:color w:val="FFFFFF"/>
                <w:sz w:val="18"/>
                <w:szCs w:val="18"/>
                <w:lang w:eastAsia="es-CR"/>
              </w:rPr>
            </w:pPr>
            <w:r w:rsidRPr="00455263">
              <w:rPr>
                <w:rFonts w:ascii="Book Antiqua" w:eastAsia="Times New Roman" w:hAnsi="Book Antiqua" w:cs="Calibri"/>
                <w:b/>
                <w:bCs/>
                <w:color w:val="FFFFFF"/>
                <w:sz w:val="18"/>
                <w:szCs w:val="18"/>
                <w:lang w:eastAsia="es-CR"/>
              </w:rPr>
              <w:t xml:space="preserve">Centro de responsabilidad </w:t>
            </w:r>
          </w:p>
        </w:tc>
        <w:tc>
          <w:tcPr>
            <w:tcW w:w="1210" w:type="dxa"/>
            <w:tcBorders>
              <w:top w:val="single" w:sz="4" w:space="0" w:color="auto"/>
              <w:left w:val="nil"/>
              <w:bottom w:val="single" w:sz="4" w:space="0" w:color="auto"/>
              <w:right w:val="single" w:sz="4" w:space="0" w:color="auto"/>
            </w:tcBorders>
            <w:shd w:val="clear" w:color="000000" w:fill="44546A"/>
            <w:vAlign w:val="center"/>
            <w:hideMark/>
          </w:tcPr>
          <w:p w14:paraId="4CE9209C" w14:textId="77777777" w:rsidR="000B7A67" w:rsidRPr="00455263" w:rsidRDefault="000B7A67" w:rsidP="00F400D6">
            <w:pPr>
              <w:spacing w:after="0" w:line="240" w:lineRule="auto"/>
              <w:jc w:val="center"/>
              <w:rPr>
                <w:rFonts w:ascii="Book Antiqua" w:eastAsia="Times New Roman" w:hAnsi="Book Antiqua" w:cs="Calibri"/>
                <w:b/>
                <w:bCs/>
                <w:color w:val="FFFFFF"/>
                <w:sz w:val="18"/>
                <w:szCs w:val="18"/>
                <w:lang w:eastAsia="es-CR"/>
              </w:rPr>
            </w:pPr>
            <w:r w:rsidRPr="00455263">
              <w:rPr>
                <w:rFonts w:ascii="Book Antiqua" w:eastAsia="Times New Roman" w:hAnsi="Book Antiqua" w:cs="Calibri"/>
                <w:b/>
                <w:bCs/>
                <w:color w:val="FFFFFF"/>
                <w:sz w:val="18"/>
                <w:szCs w:val="18"/>
                <w:lang w:eastAsia="es-CR"/>
              </w:rPr>
              <w:t>Oficina Líder</w:t>
            </w:r>
          </w:p>
        </w:tc>
        <w:tc>
          <w:tcPr>
            <w:tcW w:w="978" w:type="dxa"/>
            <w:tcBorders>
              <w:top w:val="single" w:sz="4" w:space="0" w:color="auto"/>
              <w:left w:val="nil"/>
              <w:bottom w:val="single" w:sz="4" w:space="0" w:color="auto"/>
              <w:right w:val="single" w:sz="4" w:space="0" w:color="auto"/>
            </w:tcBorders>
            <w:shd w:val="clear" w:color="000000" w:fill="44546A"/>
            <w:vAlign w:val="center"/>
            <w:hideMark/>
          </w:tcPr>
          <w:p w14:paraId="2694D678" w14:textId="77777777" w:rsidR="000B7A67" w:rsidRPr="00455263" w:rsidRDefault="000B7A67" w:rsidP="00F400D6">
            <w:pPr>
              <w:spacing w:after="0" w:line="240" w:lineRule="auto"/>
              <w:jc w:val="center"/>
              <w:rPr>
                <w:rFonts w:ascii="Book Antiqua" w:eastAsia="Times New Roman" w:hAnsi="Book Antiqua" w:cs="Calibri"/>
                <w:b/>
                <w:bCs/>
                <w:color w:val="FFFFFF"/>
                <w:sz w:val="18"/>
                <w:szCs w:val="18"/>
                <w:lang w:eastAsia="es-CR"/>
              </w:rPr>
            </w:pPr>
            <w:r w:rsidRPr="00455263">
              <w:rPr>
                <w:rFonts w:ascii="Book Antiqua" w:eastAsia="Times New Roman" w:hAnsi="Book Antiqua" w:cs="Calibri"/>
                <w:b/>
                <w:bCs/>
                <w:color w:val="FFFFFF"/>
                <w:sz w:val="18"/>
                <w:szCs w:val="18"/>
                <w:lang w:eastAsia="es-CR"/>
              </w:rPr>
              <w:t>Código</w:t>
            </w:r>
          </w:p>
        </w:tc>
        <w:tc>
          <w:tcPr>
            <w:tcW w:w="1173" w:type="dxa"/>
            <w:tcBorders>
              <w:top w:val="single" w:sz="4" w:space="0" w:color="auto"/>
              <w:left w:val="nil"/>
              <w:bottom w:val="single" w:sz="4" w:space="0" w:color="auto"/>
              <w:right w:val="single" w:sz="4" w:space="0" w:color="auto"/>
            </w:tcBorders>
            <w:shd w:val="clear" w:color="000000" w:fill="44546A"/>
            <w:vAlign w:val="center"/>
            <w:hideMark/>
          </w:tcPr>
          <w:p w14:paraId="36F477B6" w14:textId="77777777" w:rsidR="000B7A67" w:rsidRPr="00455263" w:rsidRDefault="000B7A67" w:rsidP="00F400D6">
            <w:pPr>
              <w:spacing w:after="0" w:line="240" w:lineRule="auto"/>
              <w:jc w:val="center"/>
              <w:rPr>
                <w:rFonts w:ascii="Book Antiqua" w:eastAsia="Times New Roman" w:hAnsi="Book Antiqua" w:cs="Calibri"/>
                <w:b/>
                <w:bCs/>
                <w:color w:val="FFFFFF"/>
                <w:sz w:val="18"/>
                <w:szCs w:val="18"/>
                <w:lang w:eastAsia="es-CR"/>
              </w:rPr>
            </w:pPr>
            <w:r w:rsidRPr="00455263">
              <w:rPr>
                <w:rFonts w:ascii="Book Antiqua" w:eastAsia="Times New Roman" w:hAnsi="Book Antiqua" w:cs="Calibri"/>
                <w:b/>
                <w:bCs/>
                <w:color w:val="FFFFFF"/>
                <w:sz w:val="18"/>
                <w:szCs w:val="18"/>
                <w:lang w:eastAsia="es-CR"/>
              </w:rPr>
              <w:t>Nombre</w:t>
            </w:r>
          </w:p>
        </w:tc>
        <w:tc>
          <w:tcPr>
            <w:tcW w:w="1406" w:type="dxa"/>
            <w:tcBorders>
              <w:top w:val="single" w:sz="4" w:space="0" w:color="auto"/>
              <w:left w:val="nil"/>
              <w:bottom w:val="single" w:sz="4" w:space="0" w:color="auto"/>
              <w:right w:val="single" w:sz="4" w:space="0" w:color="auto"/>
            </w:tcBorders>
            <w:shd w:val="clear" w:color="000000" w:fill="44546A"/>
            <w:vAlign w:val="center"/>
            <w:hideMark/>
          </w:tcPr>
          <w:p w14:paraId="5BA14AD8" w14:textId="77777777" w:rsidR="000B7A67" w:rsidRPr="00455263" w:rsidRDefault="000B7A67" w:rsidP="00F400D6">
            <w:pPr>
              <w:spacing w:after="0" w:line="240" w:lineRule="auto"/>
              <w:jc w:val="center"/>
              <w:rPr>
                <w:rFonts w:ascii="Book Antiqua" w:eastAsia="Times New Roman" w:hAnsi="Book Antiqua" w:cs="Calibri"/>
                <w:b/>
                <w:bCs/>
                <w:color w:val="FFFFFF"/>
                <w:sz w:val="18"/>
                <w:szCs w:val="18"/>
                <w:lang w:eastAsia="es-CR"/>
              </w:rPr>
            </w:pPr>
            <w:r w:rsidRPr="00455263">
              <w:rPr>
                <w:rFonts w:ascii="Book Antiqua" w:eastAsia="Times New Roman" w:hAnsi="Book Antiqua" w:cs="Calibri"/>
                <w:b/>
                <w:bCs/>
                <w:color w:val="FFFFFF"/>
                <w:sz w:val="18"/>
                <w:szCs w:val="18"/>
                <w:lang w:eastAsia="es-CR"/>
              </w:rPr>
              <w:t>Parte pendiente</w:t>
            </w:r>
          </w:p>
        </w:tc>
        <w:tc>
          <w:tcPr>
            <w:tcW w:w="3969" w:type="dxa"/>
            <w:tcBorders>
              <w:top w:val="single" w:sz="4" w:space="0" w:color="auto"/>
              <w:left w:val="nil"/>
              <w:bottom w:val="single" w:sz="4" w:space="0" w:color="auto"/>
              <w:right w:val="single" w:sz="4" w:space="0" w:color="auto"/>
            </w:tcBorders>
            <w:shd w:val="clear" w:color="000000" w:fill="44546A"/>
            <w:vAlign w:val="center"/>
            <w:hideMark/>
          </w:tcPr>
          <w:p w14:paraId="55C1367B" w14:textId="77777777" w:rsidR="000B7A67" w:rsidRPr="00455263" w:rsidRDefault="000B7A67" w:rsidP="00F400D6">
            <w:pPr>
              <w:spacing w:after="0" w:line="240" w:lineRule="auto"/>
              <w:jc w:val="center"/>
              <w:rPr>
                <w:rFonts w:ascii="Book Antiqua" w:eastAsia="Times New Roman" w:hAnsi="Book Antiqua" w:cs="Calibri"/>
                <w:b/>
                <w:bCs/>
                <w:color w:val="FFFFFF"/>
                <w:sz w:val="18"/>
                <w:szCs w:val="18"/>
                <w:lang w:eastAsia="es-CR"/>
              </w:rPr>
            </w:pPr>
            <w:r w:rsidRPr="00455263">
              <w:rPr>
                <w:rFonts w:ascii="Book Antiqua" w:eastAsia="Times New Roman" w:hAnsi="Book Antiqua" w:cs="Calibri"/>
                <w:b/>
                <w:bCs/>
                <w:color w:val="FFFFFF"/>
                <w:sz w:val="18"/>
                <w:szCs w:val="18"/>
                <w:lang w:eastAsia="es-CR"/>
              </w:rPr>
              <w:t xml:space="preserve">Detalle </w:t>
            </w:r>
          </w:p>
        </w:tc>
      </w:tr>
      <w:tr w:rsidR="00BC00B3" w:rsidRPr="00455263" w14:paraId="11FDBF00" w14:textId="77777777" w:rsidTr="00301740">
        <w:trPr>
          <w:trHeight w:val="724"/>
        </w:trPr>
        <w:tc>
          <w:tcPr>
            <w:tcW w:w="1471" w:type="dxa"/>
            <w:tcBorders>
              <w:top w:val="nil"/>
              <w:left w:val="single" w:sz="4" w:space="0" w:color="auto"/>
              <w:bottom w:val="single" w:sz="4" w:space="0" w:color="000000"/>
              <w:right w:val="single" w:sz="4" w:space="0" w:color="auto"/>
            </w:tcBorders>
            <w:shd w:val="clear" w:color="auto" w:fill="auto"/>
            <w:vAlign w:val="center"/>
            <w:hideMark/>
          </w:tcPr>
          <w:p w14:paraId="5E3B0ECA" w14:textId="77777777" w:rsidR="000B7A67" w:rsidRPr="00455263" w:rsidRDefault="000B7A67" w:rsidP="00F400D6">
            <w:pPr>
              <w:spacing w:after="0" w:line="240" w:lineRule="auto"/>
              <w:jc w:val="center"/>
              <w:rPr>
                <w:rFonts w:ascii="Book Antiqua" w:eastAsia="Times New Roman" w:hAnsi="Book Antiqua" w:cs="Calibri"/>
                <w:color w:val="000000"/>
                <w:sz w:val="18"/>
                <w:szCs w:val="18"/>
                <w:lang w:eastAsia="es-CR"/>
              </w:rPr>
            </w:pPr>
            <w:r w:rsidRPr="000B4474">
              <w:rPr>
                <w:rFonts w:ascii="Book Antiqua" w:eastAsia="Times New Roman" w:hAnsi="Book Antiqua" w:cs="Calibri"/>
                <w:color w:val="000000"/>
                <w:sz w:val="18"/>
                <w:szCs w:val="18"/>
                <w:lang w:eastAsia="es-CR"/>
              </w:rPr>
              <w:t>Inspección Judicial</w:t>
            </w:r>
          </w:p>
        </w:tc>
        <w:tc>
          <w:tcPr>
            <w:tcW w:w="1210" w:type="dxa"/>
            <w:tcBorders>
              <w:top w:val="nil"/>
              <w:left w:val="single" w:sz="4" w:space="0" w:color="auto"/>
              <w:bottom w:val="single" w:sz="4" w:space="0" w:color="000000"/>
              <w:right w:val="single" w:sz="4" w:space="0" w:color="auto"/>
            </w:tcBorders>
            <w:shd w:val="clear" w:color="auto" w:fill="auto"/>
            <w:vAlign w:val="center"/>
            <w:hideMark/>
          </w:tcPr>
          <w:p w14:paraId="1AB34376" w14:textId="77777777" w:rsidR="000B7A67" w:rsidRPr="00455263" w:rsidRDefault="000B7A67" w:rsidP="00F400D6">
            <w:pPr>
              <w:spacing w:after="0" w:line="240" w:lineRule="auto"/>
              <w:jc w:val="center"/>
              <w:rPr>
                <w:rFonts w:ascii="Book Antiqua" w:eastAsia="Times New Roman" w:hAnsi="Book Antiqua" w:cs="Calibri"/>
                <w:color w:val="000000"/>
                <w:sz w:val="18"/>
                <w:szCs w:val="18"/>
                <w:lang w:eastAsia="es-CR"/>
              </w:rPr>
            </w:pPr>
            <w:r w:rsidRPr="000B4474">
              <w:rPr>
                <w:rFonts w:ascii="Book Antiqua" w:eastAsia="Times New Roman" w:hAnsi="Book Antiqua" w:cs="Calibri"/>
                <w:color w:val="000000"/>
                <w:sz w:val="18"/>
                <w:szCs w:val="18"/>
                <w:lang w:eastAsia="es-CR"/>
              </w:rPr>
              <w:t>0031 Inspección Judicial</w:t>
            </w:r>
          </w:p>
        </w:tc>
        <w:tc>
          <w:tcPr>
            <w:tcW w:w="978" w:type="dxa"/>
            <w:tcBorders>
              <w:top w:val="nil"/>
              <w:left w:val="single" w:sz="4" w:space="0" w:color="auto"/>
              <w:bottom w:val="single" w:sz="4" w:space="0" w:color="000000"/>
              <w:right w:val="single" w:sz="4" w:space="0" w:color="auto"/>
            </w:tcBorders>
            <w:shd w:val="clear" w:color="auto" w:fill="auto"/>
            <w:vAlign w:val="center"/>
            <w:hideMark/>
          </w:tcPr>
          <w:p w14:paraId="6A2FC4CE" w14:textId="77777777" w:rsidR="000B7A67" w:rsidRPr="00455263" w:rsidRDefault="000B7A67" w:rsidP="00F400D6">
            <w:pPr>
              <w:spacing w:after="0" w:line="240" w:lineRule="auto"/>
              <w:jc w:val="center"/>
              <w:rPr>
                <w:rFonts w:ascii="Book Antiqua" w:eastAsia="Times New Roman" w:hAnsi="Book Antiqua" w:cs="Calibri"/>
                <w:color w:val="000000"/>
                <w:sz w:val="18"/>
                <w:szCs w:val="18"/>
                <w:lang w:eastAsia="es-CR"/>
              </w:rPr>
            </w:pPr>
            <w:r w:rsidRPr="000B4474">
              <w:rPr>
                <w:rFonts w:ascii="Book Antiqua" w:eastAsia="Times New Roman" w:hAnsi="Book Antiqua" w:cs="Calibri"/>
                <w:color w:val="000000"/>
                <w:sz w:val="18"/>
                <w:szCs w:val="18"/>
                <w:lang w:eastAsia="es-CR"/>
              </w:rPr>
              <w:t>0031-IJ-P02</w:t>
            </w:r>
          </w:p>
        </w:tc>
        <w:tc>
          <w:tcPr>
            <w:tcW w:w="1173" w:type="dxa"/>
            <w:tcBorders>
              <w:top w:val="nil"/>
              <w:left w:val="single" w:sz="4" w:space="0" w:color="auto"/>
              <w:bottom w:val="single" w:sz="4" w:space="0" w:color="000000"/>
              <w:right w:val="single" w:sz="4" w:space="0" w:color="auto"/>
            </w:tcBorders>
            <w:shd w:val="clear" w:color="auto" w:fill="auto"/>
            <w:vAlign w:val="center"/>
            <w:hideMark/>
          </w:tcPr>
          <w:p w14:paraId="459E02DB" w14:textId="77777777" w:rsidR="000B7A67" w:rsidRPr="00455263" w:rsidRDefault="000B7A67" w:rsidP="00F400D6">
            <w:pPr>
              <w:spacing w:after="0" w:line="240" w:lineRule="auto"/>
              <w:jc w:val="center"/>
              <w:rPr>
                <w:rFonts w:ascii="Book Antiqua" w:eastAsia="Times New Roman" w:hAnsi="Book Antiqua" w:cs="Calibri"/>
                <w:color w:val="000000"/>
                <w:sz w:val="18"/>
                <w:szCs w:val="18"/>
                <w:lang w:eastAsia="es-CR"/>
              </w:rPr>
            </w:pPr>
            <w:r w:rsidRPr="000B4474">
              <w:rPr>
                <w:rFonts w:ascii="Book Antiqua" w:eastAsia="Times New Roman" w:hAnsi="Book Antiqua" w:cs="Calibri"/>
                <w:color w:val="000000"/>
                <w:sz w:val="18"/>
                <w:szCs w:val="18"/>
                <w:lang w:eastAsia="es-CR"/>
              </w:rPr>
              <w:t>Plan de trabajo para el apoyo a las visitas a los despachos jurisdiccionales y descongestionamiento de causas complejas</w:t>
            </w:r>
          </w:p>
        </w:tc>
        <w:tc>
          <w:tcPr>
            <w:tcW w:w="1406" w:type="dxa"/>
            <w:tcBorders>
              <w:top w:val="nil"/>
              <w:left w:val="nil"/>
              <w:bottom w:val="single" w:sz="4" w:space="0" w:color="auto"/>
              <w:right w:val="single" w:sz="4" w:space="0" w:color="auto"/>
            </w:tcBorders>
            <w:shd w:val="clear" w:color="auto" w:fill="auto"/>
            <w:vAlign w:val="center"/>
            <w:hideMark/>
          </w:tcPr>
          <w:p w14:paraId="59E0543D" w14:textId="77777777" w:rsidR="000B7A67" w:rsidRPr="00455263" w:rsidRDefault="000B7A67" w:rsidP="00F400D6">
            <w:pPr>
              <w:spacing w:after="0" w:line="240" w:lineRule="auto"/>
              <w:jc w:val="center"/>
              <w:rPr>
                <w:rFonts w:ascii="Book Antiqua" w:eastAsia="Times New Roman" w:hAnsi="Book Antiqua" w:cs="Calibri"/>
                <w:sz w:val="18"/>
                <w:szCs w:val="18"/>
                <w:lang w:eastAsia="es-CR"/>
              </w:rPr>
            </w:pPr>
            <w:r w:rsidRPr="000B4474">
              <w:rPr>
                <w:rFonts w:ascii="Book Antiqua" w:eastAsia="Times New Roman" w:hAnsi="Book Antiqua" w:cs="Calibri"/>
                <w:sz w:val="18"/>
                <w:szCs w:val="18"/>
                <w:lang w:eastAsia="es-CR"/>
              </w:rPr>
              <w:t>3.5</w:t>
            </w:r>
          </w:p>
        </w:tc>
        <w:tc>
          <w:tcPr>
            <w:tcW w:w="3969" w:type="dxa"/>
            <w:tcBorders>
              <w:top w:val="nil"/>
              <w:left w:val="nil"/>
              <w:bottom w:val="single" w:sz="4" w:space="0" w:color="auto"/>
              <w:right w:val="single" w:sz="4" w:space="0" w:color="auto"/>
            </w:tcBorders>
            <w:shd w:val="clear" w:color="auto" w:fill="auto"/>
            <w:vAlign w:val="center"/>
            <w:hideMark/>
          </w:tcPr>
          <w:p w14:paraId="0E0C8958" w14:textId="77777777" w:rsidR="000B7A67" w:rsidRPr="00455263" w:rsidRDefault="000B7A67" w:rsidP="00F95BC2">
            <w:pPr>
              <w:spacing w:after="0" w:line="240" w:lineRule="auto"/>
              <w:jc w:val="both"/>
              <w:rPr>
                <w:rFonts w:ascii="Book Antiqua" w:eastAsia="Times New Roman" w:hAnsi="Book Antiqua" w:cs="Calibri"/>
                <w:color w:val="000000"/>
                <w:sz w:val="18"/>
                <w:szCs w:val="18"/>
                <w:lang w:eastAsia="es-CR"/>
              </w:rPr>
            </w:pPr>
            <w:r w:rsidRPr="00154278">
              <w:rPr>
                <w:rFonts w:ascii="Book Antiqua" w:eastAsia="Times New Roman" w:hAnsi="Book Antiqua" w:cs="Calibri"/>
                <w:sz w:val="18"/>
                <w:szCs w:val="18"/>
                <w:lang w:eastAsia="es-CR"/>
              </w:rPr>
              <w:t>Pendiente aprobación por parte del patrocinador de proyecto</w:t>
            </w:r>
            <w:r>
              <w:rPr>
                <w:rFonts w:ascii="Book Antiqua" w:eastAsia="Times New Roman" w:hAnsi="Book Antiqua" w:cs="Calibri"/>
                <w:sz w:val="18"/>
                <w:szCs w:val="18"/>
                <w:lang w:eastAsia="es-CR"/>
              </w:rPr>
              <w:t>.</w:t>
            </w:r>
          </w:p>
        </w:tc>
      </w:tr>
    </w:tbl>
    <w:p w14:paraId="4E952829" w14:textId="77777777" w:rsidR="000B7A67" w:rsidRDefault="000B7A67" w:rsidP="000B7A67">
      <w:pPr>
        <w:spacing w:after="0"/>
        <w:jc w:val="both"/>
        <w:rPr>
          <w:rFonts w:ascii="Book Antiqua" w:hAnsi="Book Antiqua"/>
          <w:sz w:val="24"/>
          <w:szCs w:val="24"/>
        </w:rPr>
      </w:pPr>
    </w:p>
    <w:p w14:paraId="4B327979" w14:textId="77777777" w:rsidR="000B7A67" w:rsidRDefault="000B7A67" w:rsidP="000B7A67">
      <w:pPr>
        <w:spacing w:after="0"/>
        <w:jc w:val="both"/>
        <w:rPr>
          <w:rFonts w:ascii="Book Antiqua" w:hAnsi="Book Antiqua"/>
          <w:b/>
          <w:sz w:val="24"/>
          <w:szCs w:val="24"/>
        </w:rPr>
      </w:pPr>
      <w:r>
        <w:rPr>
          <w:rFonts w:ascii="Book Antiqua" w:hAnsi="Book Antiqua"/>
          <w:sz w:val="24"/>
          <w:szCs w:val="24"/>
        </w:rPr>
        <w:t>El</w:t>
      </w:r>
      <w:r w:rsidRPr="003B26B6">
        <w:rPr>
          <w:rFonts w:ascii="Book Antiqua" w:hAnsi="Book Antiqua"/>
          <w:sz w:val="24"/>
          <w:szCs w:val="24"/>
        </w:rPr>
        <w:t xml:space="preserve"> proyect</w:t>
      </w:r>
      <w:r>
        <w:rPr>
          <w:rFonts w:ascii="Book Antiqua" w:hAnsi="Book Antiqua"/>
          <w:sz w:val="24"/>
          <w:szCs w:val="24"/>
        </w:rPr>
        <w:t>o</w:t>
      </w:r>
      <w:r w:rsidRPr="003B26B6">
        <w:rPr>
          <w:rFonts w:ascii="Book Antiqua" w:hAnsi="Book Antiqua"/>
          <w:sz w:val="24"/>
          <w:szCs w:val="24"/>
        </w:rPr>
        <w:t xml:space="preserve"> anterior, </w:t>
      </w:r>
      <w:r w:rsidRPr="005C5E7B">
        <w:rPr>
          <w:rFonts w:ascii="Book Antiqua" w:hAnsi="Book Antiqua"/>
          <w:sz w:val="24"/>
          <w:szCs w:val="24"/>
        </w:rPr>
        <w:t xml:space="preserve">tendrá al </w:t>
      </w:r>
      <w:r w:rsidRPr="005C5E7B">
        <w:rPr>
          <w:rFonts w:ascii="Book Antiqua" w:hAnsi="Book Antiqua"/>
          <w:b/>
          <w:bCs/>
          <w:sz w:val="24"/>
          <w:szCs w:val="24"/>
        </w:rPr>
        <w:t>11 de agosto del 2023 para atender</w:t>
      </w:r>
      <w:r>
        <w:rPr>
          <w:rFonts w:ascii="Book Antiqua" w:hAnsi="Book Antiqua"/>
          <w:b/>
          <w:bCs/>
          <w:sz w:val="24"/>
          <w:szCs w:val="24"/>
        </w:rPr>
        <w:t xml:space="preserve"> las recomendaciones pendientes </w:t>
      </w:r>
      <w:r w:rsidRPr="003B26B6">
        <w:rPr>
          <w:rFonts w:ascii="Book Antiqua" w:hAnsi="Book Antiqua"/>
          <w:b/>
          <w:sz w:val="24"/>
          <w:szCs w:val="24"/>
        </w:rPr>
        <w:t xml:space="preserve">y notificar a la </w:t>
      </w:r>
      <w:r>
        <w:rPr>
          <w:rFonts w:ascii="Book Antiqua" w:hAnsi="Book Antiqua"/>
          <w:b/>
          <w:sz w:val="24"/>
          <w:szCs w:val="24"/>
        </w:rPr>
        <w:t xml:space="preserve">Unidad del Portafolio de Proyectos, </w:t>
      </w:r>
      <w:r w:rsidRPr="003B26B6">
        <w:rPr>
          <w:rFonts w:ascii="Book Antiqua" w:hAnsi="Book Antiqua"/>
          <w:b/>
          <w:sz w:val="24"/>
          <w:szCs w:val="24"/>
        </w:rPr>
        <w:t>Dirección de Planificación</w:t>
      </w:r>
      <w:r>
        <w:rPr>
          <w:rFonts w:ascii="Book Antiqua" w:hAnsi="Book Antiqua"/>
          <w:b/>
          <w:sz w:val="24"/>
          <w:szCs w:val="24"/>
        </w:rPr>
        <w:t>.</w:t>
      </w:r>
    </w:p>
    <w:p w14:paraId="218DEBD7" w14:textId="0482A609" w:rsidR="000B7A67" w:rsidRDefault="00270E0A" w:rsidP="00EF4E17">
      <w:pPr>
        <w:tabs>
          <w:tab w:val="left" w:pos="2076"/>
        </w:tabs>
        <w:spacing w:after="0"/>
        <w:jc w:val="both"/>
        <w:rPr>
          <w:rFonts w:ascii="Book Antiqua" w:hAnsi="Book Antiqua"/>
          <w:b/>
          <w:sz w:val="24"/>
          <w:szCs w:val="24"/>
        </w:rPr>
      </w:pPr>
      <w:r>
        <w:rPr>
          <w:rFonts w:ascii="Book Antiqua" w:hAnsi="Book Antiqua"/>
          <w:b/>
          <w:sz w:val="24"/>
          <w:szCs w:val="24"/>
        </w:rPr>
        <w:tab/>
      </w:r>
    </w:p>
    <w:p w14:paraId="5C9D4962" w14:textId="77777777" w:rsidR="000B7A67" w:rsidRPr="00134A35" w:rsidRDefault="000B7A67" w:rsidP="000B7A67">
      <w:pPr>
        <w:pStyle w:val="Ttulo2"/>
        <w:numPr>
          <w:ilvl w:val="0"/>
          <w:numId w:val="3"/>
        </w:numPr>
        <w:tabs>
          <w:tab w:val="left" w:pos="851"/>
        </w:tabs>
        <w:spacing w:before="0"/>
        <w:jc w:val="both"/>
        <w:rPr>
          <w:rFonts w:ascii="Book Antiqua" w:eastAsia="Wingdings" w:hAnsi="Book Antiqua"/>
          <w:b/>
          <w:bCs/>
          <w:color w:val="auto"/>
          <w:lang w:eastAsia="ko-KR"/>
        </w:rPr>
      </w:pPr>
      <w:bookmarkStart w:id="37" w:name="_Toc138770834"/>
      <w:r w:rsidRPr="00134A35">
        <w:rPr>
          <w:rFonts w:ascii="Book Antiqua" w:eastAsia="Wingdings" w:hAnsi="Book Antiqua"/>
          <w:b/>
          <w:bCs/>
          <w:color w:val="auto"/>
          <w:lang w:eastAsia="ko-KR"/>
        </w:rPr>
        <w:t>Recomendaciones dirigidas a la Junta Administradora del Fondo de Jubilaciones y Pensiones</w:t>
      </w:r>
      <w:bookmarkEnd w:id="37"/>
    </w:p>
    <w:p w14:paraId="191509DF" w14:textId="77777777" w:rsidR="000B7A67" w:rsidRPr="00134A35" w:rsidRDefault="000B7A67" w:rsidP="000B7A67">
      <w:pPr>
        <w:rPr>
          <w:lang w:eastAsia="ko-KR"/>
        </w:rPr>
      </w:pPr>
    </w:p>
    <w:p w14:paraId="57287E9C" w14:textId="77777777" w:rsidR="000B7A67" w:rsidRPr="00134A35" w:rsidRDefault="000B7A67" w:rsidP="000B7A67">
      <w:pPr>
        <w:jc w:val="both"/>
        <w:rPr>
          <w:lang w:eastAsia="ko-KR"/>
        </w:rPr>
      </w:pPr>
      <w:r w:rsidRPr="00134A35">
        <w:rPr>
          <w:rFonts w:ascii="Book Antiqua" w:hAnsi="Book Antiqua"/>
          <w:sz w:val="24"/>
          <w:szCs w:val="24"/>
        </w:rPr>
        <w:t xml:space="preserve">En el informe 277-PLA-PP-2022, se dirigió una recomendación a la </w:t>
      </w:r>
      <w:r w:rsidRPr="00134A35">
        <w:rPr>
          <w:rFonts w:ascii="Book Antiqua" w:hAnsi="Book Antiqua"/>
          <w:b/>
          <w:sz w:val="24"/>
          <w:szCs w:val="24"/>
        </w:rPr>
        <w:t>Junta Administradora del Fondo de Jubilaciones y Pensiones</w:t>
      </w:r>
      <w:r w:rsidRPr="00134A35">
        <w:rPr>
          <w:rFonts w:ascii="Book Antiqua" w:eastAsia="Wingdings" w:hAnsi="Book Antiqua"/>
          <w:b/>
          <w:lang w:eastAsia="ko-KR"/>
        </w:rPr>
        <w:t>,</w:t>
      </w:r>
      <w:r w:rsidRPr="00134A35">
        <w:rPr>
          <w:rFonts w:ascii="Book Antiqua" w:hAnsi="Book Antiqua"/>
          <w:sz w:val="24"/>
          <w:szCs w:val="24"/>
        </w:rPr>
        <w:t xml:space="preserve"> debido a que existían </w:t>
      </w:r>
      <w:r w:rsidRPr="00134A35">
        <w:rPr>
          <w:rFonts w:ascii="Book Antiqua" w:hAnsi="Book Antiqua"/>
          <w:sz w:val="24"/>
          <w:szCs w:val="24"/>
        </w:rPr>
        <w:lastRenderedPageBreak/>
        <w:t>proyectos con gestiones pendientes de atender o nuevas recomendaciones, por lo anterior se realiza el seguimiento a las siguientes recomendaciones:</w:t>
      </w:r>
    </w:p>
    <w:p w14:paraId="478E1544" w14:textId="77777777" w:rsidR="000B7A67" w:rsidRPr="00134A35" w:rsidRDefault="000B7A67" w:rsidP="000B7A67">
      <w:pPr>
        <w:jc w:val="both"/>
        <w:rPr>
          <w:rFonts w:ascii="Book Antiqua" w:hAnsi="Book Antiqua"/>
          <w:i/>
          <w:sz w:val="24"/>
          <w:szCs w:val="24"/>
        </w:rPr>
      </w:pPr>
      <w:r w:rsidRPr="00134A35">
        <w:rPr>
          <w:rFonts w:ascii="Book Antiqua" w:hAnsi="Book Antiqua"/>
          <w:i/>
          <w:sz w:val="24"/>
          <w:szCs w:val="24"/>
        </w:rPr>
        <w:t>“</w:t>
      </w:r>
      <w:r w:rsidRPr="00134A35">
        <w:rPr>
          <w:rFonts w:ascii="Book Antiqua" w:hAnsi="Book Antiqua"/>
          <w:b/>
          <w:i/>
          <w:sz w:val="24"/>
          <w:szCs w:val="24"/>
        </w:rPr>
        <w:t xml:space="preserve">2.16) </w:t>
      </w:r>
      <w:r w:rsidRPr="00134A35">
        <w:rPr>
          <w:rFonts w:ascii="Book Antiqua" w:hAnsi="Book Antiqua"/>
          <w:i/>
          <w:sz w:val="24"/>
          <w:szCs w:val="24"/>
        </w:rPr>
        <w:t>La Escuela Judicial, la Inspección Judicial, la Junta Administradora del Fondo de Jubilaciones del Poder Judicial, el Ministerio Público, la Oficina de Control Interno, la Oficina de Cumplimiento, el Organismo de Investigación Judicial, deberán por su orden: a) A más tardar el 28 de abril del 2023, cargar en el sitio de proyecto la atención de las recomendaciones que, para cada uno de esos órganos, se disponen en la respectiva tabla que se incluye en el presente informe. b) Por su parte, el Organismo de Investigación Judicial, deberá, además: i. Tomar las medidas pertinentes a fin de poder contrarrestar los atrasos presentados y, cuando no sea posible subsanar los atrasos, deberá valorar la presentación de una solicitud de cambio en los casos que el retraso afecte la fecha de finalización de los proyectos y que la misma tenga autorización de la persona jefe o del director del proyecto. ii. Revisar y monitorear los proyectos que presentan un retraso significativo, y cuentan con permisos con goce otorgados</w:t>
      </w:r>
    </w:p>
    <w:tbl>
      <w:tblPr>
        <w:tblW w:w="9903" w:type="dxa"/>
        <w:tblInd w:w="-147" w:type="dxa"/>
        <w:tblCellMar>
          <w:left w:w="70" w:type="dxa"/>
          <w:right w:w="70" w:type="dxa"/>
        </w:tblCellMar>
        <w:tblLook w:val="04A0" w:firstRow="1" w:lastRow="0" w:firstColumn="1" w:lastColumn="0" w:noHBand="0" w:noVBand="1"/>
      </w:tblPr>
      <w:tblGrid>
        <w:gridCol w:w="1598"/>
        <w:gridCol w:w="1424"/>
        <w:gridCol w:w="960"/>
        <w:gridCol w:w="2136"/>
        <w:gridCol w:w="1048"/>
        <w:gridCol w:w="2737"/>
      </w:tblGrid>
      <w:tr w:rsidR="00BC00B3" w:rsidRPr="00134A35" w14:paraId="7F37A0B8" w14:textId="77777777" w:rsidTr="00301740">
        <w:trPr>
          <w:trHeight w:val="300"/>
        </w:trPr>
        <w:tc>
          <w:tcPr>
            <w:tcW w:w="1616"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30D2AF71" w14:textId="77777777" w:rsidR="000B7A67" w:rsidRPr="00134A35" w:rsidRDefault="000B7A67" w:rsidP="00F400D6">
            <w:pPr>
              <w:spacing w:after="0" w:line="240" w:lineRule="auto"/>
              <w:jc w:val="center"/>
              <w:rPr>
                <w:rFonts w:ascii="Book Antiqua" w:eastAsia="Times New Roman" w:hAnsi="Book Antiqua" w:cs="Calibri"/>
                <w:b/>
                <w:color w:val="FFFFFF"/>
                <w:sz w:val="18"/>
                <w:szCs w:val="18"/>
                <w:lang w:eastAsia="es-CR"/>
              </w:rPr>
            </w:pPr>
            <w:r w:rsidRPr="00134A35">
              <w:rPr>
                <w:rFonts w:ascii="Book Antiqua" w:eastAsia="Times New Roman" w:hAnsi="Book Antiqua" w:cs="Calibri"/>
                <w:b/>
                <w:color w:val="FFFFFF"/>
                <w:sz w:val="18"/>
                <w:szCs w:val="18"/>
                <w:lang w:eastAsia="es-CR"/>
              </w:rPr>
              <w:t xml:space="preserve">Centro de responsabilidad </w:t>
            </w:r>
          </w:p>
        </w:tc>
        <w:tc>
          <w:tcPr>
            <w:tcW w:w="992" w:type="dxa"/>
            <w:tcBorders>
              <w:top w:val="single" w:sz="4" w:space="0" w:color="auto"/>
              <w:left w:val="nil"/>
              <w:bottom w:val="single" w:sz="4" w:space="0" w:color="auto"/>
              <w:right w:val="single" w:sz="4" w:space="0" w:color="auto"/>
            </w:tcBorders>
            <w:shd w:val="clear" w:color="000000" w:fill="44546A"/>
            <w:vAlign w:val="center"/>
            <w:hideMark/>
          </w:tcPr>
          <w:p w14:paraId="1DA13E72" w14:textId="77777777" w:rsidR="000B7A67" w:rsidRPr="00134A35" w:rsidRDefault="000B7A67" w:rsidP="00F400D6">
            <w:pPr>
              <w:spacing w:after="0" w:line="240" w:lineRule="auto"/>
              <w:jc w:val="center"/>
              <w:rPr>
                <w:rFonts w:ascii="Book Antiqua" w:eastAsia="Times New Roman" w:hAnsi="Book Antiqua" w:cs="Calibri"/>
                <w:b/>
                <w:color w:val="FFFFFF"/>
                <w:sz w:val="18"/>
                <w:szCs w:val="18"/>
                <w:lang w:eastAsia="es-CR"/>
              </w:rPr>
            </w:pPr>
            <w:r w:rsidRPr="00134A35">
              <w:rPr>
                <w:rFonts w:ascii="Book Antiqua" w:eastAsia="Times New Roman" w:hAnsi="Book Antiqua" w:cs="Calibri"/>
                <w:b/>
                <w:color w:val="FFFFFF"/>
                <w:sz w:val="18"/>
                <w:szCs w:val="18"/>
                <w:lang w:eastAsia="es-CR"/>
              </w:rPr>
              <w:t>Oficina Líder</w:t>
            </w:r>
          </w:p>
        </w:tc>
        <w:tc>
          <w:tcPr>
            <w:tcW w:w="964" w:type="dxa"/>
            <w:tcBorders>
              <w:top w:val="single" w:sz="4" w:space="0" w:color="auto"/>
              <w:left w:val="nil"/>
              <w:bottom w:val="single" w:sz="4" w:space="0" w:color="auto"/>
              <w:right w:val="single" w:sz="4" w:space="0" w:color="auto"/>
            </w:tcBorders>
            <w:shd w:val="clear" w:color="000000" w:fill="44546A"/>
            <w:vAlign w:val="center"/>
            <w:hideMark/>
          </w:tcPr>
          <w:p w14:paraId="4DE55E53" w14:textId="77777777" w:rsidR="000B7A67" w:rsidRPr="00134A35" w:rsidRDefault="000B7A67" w:rsidP="00F400D6">
            <w:pPr>
              <w:spacing w:after="0" w:line="240" w:lineRule="auto"/>
              <w:jc w:val="center"/>
              <w:rPr>
                <w:rFonts w:ascii="Book Antiqua" w:eastAsia="Times New Roman" w:hAnsi="Book Antiqua" w:cs="Calibri"/>
                <w:b/>
                <w:color w:val="FFFFFF"/>
                <w:sz w:val="18"/>
                <w:szCs w:val="18"/>
                <w:lang w:eastAsia="es-CR"/>
              </w:rPr>
            </w:pPr>
            <w:r w:rsidRPr="00134A35">
              <w:rPr>
                <w:rFonts w:ascii="Book Antiqua" w:eastAsia="Times New Roman" w:hAnsi="Book Antiqua" w:cs="Calibri"/>
                <w:b/>
                <w:color w:val="FFFFFF"/>
                <w:sz w:val="18"/>
                <w:szCs w:val="18"/>
                <w:lang w:eastAsia="es-CR"/>
              </w:rPr>
              <w:t>Código</w:t>
            </w:r>
          </w:p>
        </w:tc>
        <w:tc>
          <w:tcPr>
            <w:tcW w:w="2264" w:type="dxa"/>
            <w:tcBorders>
              <w:top w:val="single" w:sz="4" w:space="0" w:color="auto"/>
              <w:left w:val="nil"/>
              <w:bottom w:val="single" w:sz="4" w:space="0" w:color="auto"/>
              <w:right w:val="single" w:sz="4" w:space="0" w:color="auto"/>
            </w:tcBorders>
            <w:shd w:val="clear" w:color="000000" w:fill="44546A"/>
            <w:vAlign w:val="center"/>
            <w:hideMark/>
          </w:tcPr>
          <w:p w14:paraId="736077DB" w14:textId="77777777" w:rsidR="000B7A67" w:rsidRPr="00134A35" w:rsidRDefault="000B7A67" w:rsidP="00F400D6">
            <w:pPr>
              <w:spacing w:after="0" w:line="240" w:lineRule="auto"/>
              <w:jc w:val="center"/>
              <w:rPr>
                <w:rFonts w:ascii="Book Antiqua" w:eastAsia="Times New Roman" w:hAnsi="Book Antiqua" w:cs="Calibri"/>
                <w:b/>
                <w:color w:val="FFFFFF"/>
                <w:sz w:val="18"/>
                <w:szCs w:val="18"/>
                <w:lang w:eastAsia="es-CR"/>
              </w:rPr>
            </w:pPr>
            <w:r w:rsidRPr="00134A35">
              <w:rPr>
                <w:rFonts w:ascii="Book Antiqua" w:eastAsia="Times New Roman" w:hAnsi="Book Antiqua" w:cs="Calibri"/>
                <w:b/>
                <w:color w:val="FFFFFF"/>
                <w:sz w:val="18"/>
                <w:szCs w:val="18"/>
                <w:lang w:eastAsia="es-CR"/>
              </w:rPr>
              <w:t>Nombre</w:t>
            </w:r>
          </w:p>
        </w:tc>
        <w:tc>
          <w:tcPr>
            <w:tcW w:w="1060" w:type="dxa"/>
            <w:tcBorders>
              <w:top w:val="single" w:sz="4" w:space="0" w:color="auto"/>
              <w:left w:val="nil"/>
              <w:bottom w:val="single" w:sz="4" w:space="0" w:color="auto"/>
              <w:right w:val="single" w:sz="4" w:space="0" w:color="auto"/>
            </w:tcBorders>
            <w:shd w:val="clear" w:color="000000" w:fill="44546A"/>
            <w:vAlign w:val="center"/>
            <w:hideMark/>
          </w:tcPr>
          <w:p w14:paraId="56E3075D" w14:textId="77777777" w:rsidR="000B7A67" w:rsidRPr="00134A35" w:rsidRDefault="000B7A67" w:rsidP="00F400D6">
            <w:pPr>
              <w:spacing w:after="0" w:line="240" w:lineRule="auto"/>
              <w:jc w:val="center"/>
              <w:rPr>
                <w:rFonts w:ascii="Book Antiqua" w:eastAsia="Times New Roman" w:hAnsi="Book Antiqua" w:cs="Calibri"/>
                <w:b/>
                <w:color w:val="FFFFFF"/>
                <w:sz w:val="18"/>
                <w:szCs w:val="18"/>
                <w:lang w:eastAsia="es-CR"/>
              </w:rPr>
            </w:pPr>
            <w:r w:rsidRPr="00134A35">
              <w:rPr>
                <w:rFonts w:ascii="Book Antiqua" w:eastAsia="Times New Roman" w:hAnsi="Book Antiqua" w:cs="Calibri"/>
                <w:b/>
                <w:color w:val="FFFFFF"/>
                <w:sz w:val="18"/>
                <w:szCs w:val="18"/>
                <w:lang w:eastAsia="es-CR"/>
              </w:rPr>
              <w:t>Parte pendiente</w:t>
            </w:r>
          </w:p>
        </w:tc>
        <w:tc>
          <w:tcPr>
            <w:tcW w:w="3007" w:type="dxa"/>
            <w:tcBorders>
              <w:top w:val="single" w:sz="4" w:space="0" w:color="auto"/>
              <w:left w:val="nil"/>
              <w:bottom w:val="single" w:sz="4" w:space="0" w:color="auto"/>
              <w:right w:val="single" w:sz="4" w:space="0" w:color="auto"/>
            </w:tcBorders>
            <w:shd w:val="clear" w:color="000000" w:fill="44546A"/>
            <w:vAlign w:val="center"/>
            <w:hideMark/>
          </w:tcPr>
          <w:p w14:paraId="5E9E6FE6" w14:textId="77777777" w:rsidR="000B7A67" w:rsidRPr="00134A35" w:rsidRDefault="000B7A67" w:rsidP="00F400D6">
            <w:pPr>
              <w:spacing w:after="0" w:line="240" w:lineRule="auto"/>
              <w:jc w:val="center"/>
              <w:rPr>
                <w:rFonts w:ascii="Book Antiqua" w:eastAsia="Times New Roman" w:hAnsi="Book Antiqua" w:cs="Calibri"/>
                <w:b/>
                <w:color w:val="FFFFFF"/>
                <w:sz w:val="18"/>
                <w:szCs w:val="18"/>
                <w:lang w:eastAsia="es-CR"/>
              </w:rPr>
            </w:pPr>
            <w:r w:rsidRPr="00134A35">
              <w:rPr>
                <w:rFonts w:ascii="Book Antiqua" w:eastAsia="Times New Roman" w:hAnsi="Book Antiqua" w:cs="Calibri"/>
                <w:b/>
                <w:color w:val="FFFFFF"/>
                <w:sz w:val="18"/>
                <w:szCs w:val="18"/>
                <w:lang w:eastAsia="es-CR"/>
              </w:rPr>
              <w:t xml:space="preserve">Detalle </w:t>
            </w:r>
          </w:p>
        </w:tc>
      </w:tr>
      <w:tr w:rsidR="00BC00B3" w:rsidRPr="00134A35" w14:paraId="3F21FE5E" w14:textId="77777777" w:rsidTr="00301740">
        <w:trPr>
          <w:trHeight w:val="1350"/>
        </w:trPr>
        <w:tc>
          <w:tcPr>
            <w:tcW w:w="1616" w:type="dxa"/>
            <w:tcBorders>
              <w:top w:val="nil"/>
              <w:left w:val="single" w:sz="4" w:space="0" w:color="auto"/>
              <w:bottom w:val="single" w:sz="4" w:space="0" w:color="auto"/>
              <w:right w:val="single" w:sz="4" w:space="0" w:color="auto"/>
            </w:tcBorders>
            <w:shd w:val="clear" w:color="auto" w:fill="auto"/>
            <w:vAlign w:val="center"/>
            <w:hideMark/>
          </w:tcPr>
          <w:p w14:paraId="141DAEB4" w14:textId="77777777" w:rsidR="000B7A67" w:rsidRPr="00134A35" w:rsidRDefault="000B7A67" w:rsidP="00F400D6">
            <w:pPr>
              <w:spacing w:after="0" w:line="240" w:lineRule="auto"/>
              <w:jc w:val="center"/>
              <w:rPr>
                <w:rFonts w:ascii="Book Antiqua" w:eastAsia="Times New Roman" w:hAnsi="Book Antiqua" w:cs="Calibri"/>
                <w:color w:val="000000"/>
                <w:sz w:val="18"/>
                <w:szCs w:val="18"/>
                <w:lang w:eastAsia="es-CR"/>
              </w:rPr>
            </w:pPr>
            <w:r w:rsidRPr="00134A35">
              <w:rPr>
                <w:rFonts w:ascii="Book Antiqua" w:eastAsia="Times New Roman" w:hAnsi="Book Antiqua" w:cs="Calibri"/>
                <w:color w:val="000000"/>
                <w:sz w:val="18"/>
                <w:szCs w:val="18"/>
                <w:lang w:eastAsia="es-CR"/>
              </w:rPr>
              <w:t>Junta Administradora del Fondo de Jubilaciones y Pensiones</w:t>
            </w:r>
          </w:p>
        </w:tc>
        <w:tc>
          <w:tcPr>
            <w:tcW w:w="992" w:type="dxa"/>
            <w:tcBorders>
              <w:top w:val="nil"/>
              <w:left w:val="nil"/>
              <w:bottom w:val="single" w:sz="4" w:space="0" w:color="auto"/>
              <w:right w:val="single" w:sz="4" w:space="0" w:color="auto"/>
            </w:tcBorders>
            <w:shd w:val="clear" w:color="auto" w:fill="auto"/>
            <w:vAlign w:val="center"/>
            <w:hideMark/>
          </w:tcPr>
          <w:p w14:paraId="51C3EC9B" w14:textId="77777777" w:rsidR="000B7A67" w:rsidRPr="00134A35" w:rsidRDefault="000B7A67" w:rsidP="00F400D6">
            <w:pPr>
              <w:spacing w:after="0" w:line="240" w:lineRule="auto"/>
              <w:jc w:val="center"/>
              <w:rPr>
                <w:rFonts w:ascii="Book Antiqua" w:eastAsia="Times New Roman" w:hAnsi="Book Antiqua" w:cs="Calibri"/>
                <w:color w:val="000000"/>
                <w:sz w:val="18"/>
                <w:szCs w:val="18"/>
                <w:lang w:eastAsia="es-CR"/>
              </w:rPr>
            </w:pPr>
            <w:r w:rsidRPr="00134A35">
              <w:rPr>
                <w:rFonts w:ascii="Book Antiqua" w:eastAsia="Times New Roman" w:hAnsi="Book Antiqua" w:cs="Calibri"/>
                <w:color w:val="000000"/>
                <w:sz w:val="18"/>
                <w:szCs w:val="18"/>
                <w:lang w:eastAsia="es-CR"/>
              </w:rPr>
              <w:t>1907 Dirección Junta Administradora del Fondo de Jubilaciones y Pensiones</w:t>
            </w:r>
          </w:p>
        </w:tc>
        <w:tc>
          <w:tcPr>
            <w:tcW w:w="964" w:type="dxa"/>
            <w:tcBorders>
              <w:top w:val="nil"/>
              <w:left w:val="nil"/>
              <w:bottom w:val="single" w:sz="4" w:space="0" w:color="auto"/>
              <w:right w:val="single" w:sz="4" w:space="0" w:color="auto"/>
            </w:tcBorders>
            <w:shd w:val="clear" w:color="auto" w:fill="auto"/>
            <w:vAlign w:val="center"/>
            <w:hideMark/>
          </w:tcPr>
          <w:p w14:paraId="6458DF82" w14:textId="77777777" w:rsidR="000B7A67" w:rsidRPr="00134A35" w:rsidRDefault="000B7A67" w:rsidP="00F400D6">
            <w:pPr>
              <w:spacing w:after="0" w:line="240" w:lineRule="auto"/>
              <w:jc w:val="center"/>
              <w:rPr>
                <w:rFonts w:ascii="Book Antiqua" w:eastAsia="Times New Roman" w:hAnsi="Book Antiqua" w:cs="Calibri"/>
                <w:color w:val="000000"/>
                <w:sz w:val="18"/>
                <w:szCs w:val="18"/>
                <w:lang w:eastAsia="es-CR"/>
              </w:rPr>
            </w:pPr>
            <w:r w:rsidRPr="00134A35">
              <w:rPr>
                <w:rFonts w:ascii="Book Antiqua" w:eastAsia="Times New Roman" w:hAnsi="Book Antiqua" w:cs="Calibri"/>
                <w:color w:val="000000"/>
                <w:sz w:val="18"/>
                <w:szCs w:val="18"/>
                <w:lang w:eastAsia="es-CR"/>
              </w:rPr>
              <w:t>9989-JUNAFO-P01</w:t>
            </w:r>
          </w:p>
        </w:tc>
        <w:tc>
          <w:tcPr>
            <w:tcW w:w="2264" w:type="dxa"/>
            <w:tcBorders>
              <w:top w:val="nil"/>
              <w:left w:val="nil"/>
              <w:bottom w:val="single" w:sz="4" w:space="0" w:color="auto"/>
              <w:right w:val="single" w:sz="4" w:space="0" w:color="auto"/>
            </w:tcBorders>
            <w:shd w:val="clear" w:color="auto" w:fill="auto"/>
            <w:vAlign w:val="center"/>
            <w:hideMark/>
          </w:tcPr>
          <w:p w14:paraId="408358F7" w14:textId="77777777" w:rsidR="000B7A67" w:rsidRPr="00134A35" w:rsidRDefault="000B7A67" w:rsidP="00F400D6">
            <w:pPr>
              <w:spacing w:after="0" w:line="240" w:lineRule="auto"/>
              <w:jc w:val="center"/>
              <w:rPr>
                <w:rFonts w:ascii="Book Antiqua" w:eastAsia="Times New Roman" w:hAnsi="Book Antiqua" w:cs="Calibri"/>
                <w:color w:val="000000"/>
                <w:sz w:val="18"/>
                <w:szCs w:val="18"/>
                <w:lang w:eastAsia="es-CR"/>
              </w:rPr>
            </w:pPr>
            <w:r w:rsidRPr="00134A35">
              <w:rPr>
                <w:rFonts w:ascii="Book Antiqua" w:eastAsia="Times New Roman" w:hAnsi="Book Antiqua" w:cs="Calibri"/>
                <w:color w:val="000000"/>
                <w:sz w:val="18"/>
                <w:szCs w:val="18"/>
                <w:lang w:eastAsia="es-CR"/>
              </w:rPr>
              <w:t>Conformación de la Auditoría Interna de la JUNAFO</w:t>
            </w:r>
          </w:p>
        </w:tc>
        <w:tc>
          <w:tcPr>
            <w:tcW w:w="1060" w:type="dxa"/>
            <w:tcBorders>
              <w:top w:val="nil"/>
              <w:left w:val="nil"/>
              <w:bottom w:val="single" w:sz="4" w:space="0" w:color="auto"/>
              <w:right w:val="single" w:sz="4" w:space="0" w:color="auto"/>
            </w:tcBorders>
            <w:shd w:val="clear" w:color="auto" w:fill="auto"/>
            <w:vAlign w:val="center"/>
            <w:hideMark/>
          </w:tcPr>
          <w:p w14:paraId="09F8D44D" w14:textId="77777777" w:rsidR="000B7A67" w:rsidRPr="00134A35" w:rsidRDefault="000B7A67" w:rsidP="00F400D6">
            <w:pPr>
              <w:spacing w:after="0" w:line="240" w:lineRule="auto"/>
              <w:jc w:val="center"/>
              <w:rPr>
                <w:rFonts w:ascii="Book Antiqua" w:eastAsia="Times New Roman" w:hAnsi="Book Antiqua" w:cs="Calibri"/>
                <w:sz w:val="18"/>
                <w:szCs w:val="18"/>
                <w:lang w:eastAsia="es-CR"/>
              </w:rPr>
            </w:pPr>
            <w:r w:rsidRPr="00134A35">
              <w:rPr>
                <w:rFonts w:ascii="Book Antiqua" w:eastAsia="Times New Roman" w:hAnsi="Book Antiqua" w:cs="Calibri"/>
                <w:sz w:val="18"/>
                <w:szCs w:val="18"/>
                <w:lang w:eastAsia="es-CR"/>
              </w:rPr>
              <w:t>3.5</w:t>
            </w:r>
          </w:p>
        </w:tc>
        <w:tc>
          <w:tcPr>
            <w:tcW w:w="3007" w:type="dxa"/>
            <w:tcBorders>
              <w:top w:val="nil"/>
              <w:left w:val="nil"/>
              <w:bottom w:val="single" w:sz="4" w:space="0" w:color="auto"/>
              <w:right w:val="single" w:sz="4" w:space="0" w:color="auto"/>
            </w:tcBorders>
            <w:shd w:val="clear" w:color="auto" w:fill="auto"/>
            <w:vAlign w:val="center"/>
            <w:hideMark/>
          </w:tcPr>
          <w:p w14:paraId="29F535E9" w14:textId="77777777" w:rsidR="000B7A67" w:rsidRPr="00134A35" w:rsidRDefault="000B7A67" w:rsidP="00F400D6">
            <w:pPr>
              <w:spacing w:after="0" w:line="240" w:lineRule="auto"/>
              <w:jc w:val="center"/>
              <w:rPr>
                <w:rFonts w:ascii="Book Antiqua" w:eastAsia="Times New Roman" w:hAnsi="Book Antiqua" w:cs="Calibri"/>
                <w:sz w:val="18"/>
                <w:szCs w:val="18"/>
                <w:lang w:eastAsia="es-CR"/>
              </w:rPr>
            </w:pPr>
            <w:r w:rsidRPr="00134A35">
              <w:rPr>
                <w:rFonts w:ascii="Book Antiqua" w:eastAsia="Times New Roman" w:hAnsi="Book Antiqua" w:cs="Calibri"/>
                <w:sz w:val="18"/>
                <w:szCs w:val="18"/>
                <w:lang w:eastAsia="es-CR"/>
              </w:rPr>
              <w:t>Pendiente de subir Informe de cierre en el sitio de proyecto.</w:t>
            </w:r>
          </w:p>
        </w:tc>
      </w:tr>
    </w:tbl>
    <w:p w14:paraId="16282402" w14:textId="3A7B3745" w:rsidR="000B7A67" w:rsidRPr="00134A35" w:rsidRDefault="000B7A67" w:rsidP="00DD5642">
      <w:pPr>
        <w:spacing w:after="0"/>
        <w:jc w:val="right"/>
        <w:rPr>
          <w:rFonts w:ascii="Book Antiqua" w:hAnsi="Book Antiqua"/>
        </w:rPr>
      </w:pPr>
      <w:r w:rsidRPr="00134A35">
        <w:rPr>
          <w:rFonts w:ascii="Book Antiqua" w:hAnsi="Book Antiqua"/>
        </w:rPr>
        <w:t xml:space="preserve"> “</w:t>
      </w:r>
      <w:r w:rsidR="00DD5642">
        <w:rPr>
          <w:rFonts w:ascii="Book Antiqua" w:hAnsi="Book Antiqua"/>
        </w:rPr>
        <w:t>.</w:t>
      </w:r>
    </w:p>
    <w:p w14:paraId="1CFA1B9F" w14:textId="77777777" w:rsidR="000B7A67" w:rsidRPr="00134A35" w:rsidRDefault="000B7A67" w:rsidP="000B7A67">
      <w:pPr>
        <w:spacing w:after="0"/>
        <w:jc w:val="both"/>
        <w:rPr>
          <w:rFonts w:ascii="Book Antiqua" w:hAnsi="Book Antiqua"/>
        </w:rPr>
      </w:pPr>
    </w:p>
    <w:p w14:paraId="420273C2" w14:textId="77777777" w:rsidR="000B7A67" w:rsidRPr="00134A35" w:rsidRDefault="000B7A67" w:rsidP="000B7A67">
      <w:pPr>
        <w:spacing w:after="0"/>
        <w:jc w:val="both"/>
        <w:rPr>
          <w:rFonts w:ascii="Book Antiqua" w:hAnsi="Book Antiqua"/>
        </w:rPr>
      </w:pPr>
      <w:r w:rsidRPr="00134A35">
        <w:rPr>
          <w:rFonts w:ascii="Book Antiqua" w:hAnsi="Book Antiqua"/>
          <w:sz w:val="24"/>
          <w:szCs w:val="24"/>
        </w:rPr>
        <w:t>Con la finalidad de dar seguimiento a esta recomendación, se remite correo a la oficina mediante el oficio 1811-PLA-PP-TR-2023.</w:t>
      </w:r>
    </w:p>
    <w:p w14:paraId="731FC0E0" w14:textId="77777777" w:rsidR="000B7A67" w:rsidRPr="00134A35" w:rsidRDefault="000B7A67" w:rsidP="000B7A67">
      <w:pPr>
        <w:spacing w:after="0"/>
        <w:jc w:val="both"/>
        <w:rPr>
          <w:rFonts w:ascii="Book Antiqua" w:hAnsi="Book Antiqua"/>
        </w:rPr>
      </w:pPr>
    </w:p>
    <w:p w14:paraId="243744B1" w14:textId="3A349F8F" w:rsidR="000B7A67" w:rsidRPr="00257371" w:rsidRDefault="000B7A67" w:rsidP="000B7A67">
      <w:pPr>
        <w:spacing w:after="0"/>
        <w:jc w:val="both"/>
        <w:rPr>
          <w:rFonts w:ascii="Book Antiqua" w:hAnsi="Book Antiqua"/>
          <w:sz w:val="24"/>
          <w:szCs w:val="24"/>
        </w:rPr>
      </w:pPr>
      <w:r w:rsidRPr="00134A35">
        <w:rPr>
          <w:rFonts w:ascii="Book Antiqua" w:hAnsi="Book Antiqua"/>
          <w:sz w:val="24"/>
          <w:szCs w:val="24"/>
        </w:rPr>
        <w:t>Además, se procedió a revisar en el centro de proyectos y correo electrónico para validar el cumplimiento de esta recomendaci</w:t>
      </w:r>
      <w:r w:rsidR="00F402B4" w:rsidRPr="00134A35">
        <w:rPr>
          <w:rFonts w:ascii="Book Antiqua" w:hAnsi="Book Antiqua"/>
          <w:sz w:val="24"/>
          <w:szCs w:val="24"/>
        </w:rPr>
        <w:t>ón</w:t>
      </w:r>
      <w:r w:rsidRPr="00134A35">
        <w:rPr>
          <w:rFonts w:ascii="Book Antiqua" w:hAnsi="Book Antiqua"/>
          <w:sz w:val="24"/>
          <w:szCs w:val="24"/>
        </w:rPr>
        <w:t xml:space="preserve"> (</w:t>
      </w:r>
      <w:hyperlink r:id="rId25" w:history="1">
        <w:r w:rsidRPr="00134A35">
          <w:rPr>
            <w:rStyle w:val="Hipervnculo"/>
            <w:rFonts w:ascii="Book Antiqua" w:hAnsi="Book Antiqua"/>
            <w:sz w:val="24"/>
            <w:szCs w:val="24"/>
          </w:rPr>
          <w:t>Ver enlace:</w:t>
        </w:r>
        <w:r w:rsidRPr="00134A35">
          <w:rPr>
            <w:rStyle w:val="Hipervnculo"/>
          </w:rPr>
          <w:t xml:space="preserve"> </w:t>
        </w:r>
        <w:r w:rsidRPr="00134A35">
          <w:rPr>
            <w:rStyle w:val="Hipervnculo"/>
            <w:rFonts w:ascii="Book Antiqua" w:hAnsi="Book Antiqua"/>
            <w:sz w:val="24"/>
            <w:szCs w:val="24"/>
          </w:rPr>
          <w:t>Junta Administradora del Fondo de Jubilaciones y Pensiones</w:t>
        </w:r>
      </w:hyperlink>
      <w:r w:rsidRPr="00134A35">
        <w:rPr>
          <w:rFonts w:ascii="Book Antiqua" w:hAnsi="Book Antiqua"/>
          <w:sz w:val="24"/>
          <w:szCs w:val="24"/>
        </w:rPr>
        <w:t>); constatando el cumplimiento de la misma.</w:t>
      </w:r>
    </w:p>
    <w:p w14:paraId="26F9FAA8" w14:textId="77777777" w:rsidR="000B7A67" w:rsidRDefault="000B7A67" w:rsidP="000B7A67">
      <w:pPr>
        <w:spacing w:after="0"/>
        <w:jc w:val="both"/>
        <w:rPr>
          <w:rFonts w:ascii="Book Antiqua" w:hAnsi="Book Antiqua"/>
          <w:b/>
          <w:sz w:val="24"/>
          <w:szCs w:val="24"/>
        </w:rPr>
      </w:pPr>
    </w:p>
    <w:p w14:paraId="5F11D100" w14:textId="77777777" w:rsidR="000B7A67" w:rsidRPr="001D2656" w:rsidRDefault="000B7A67" w:rsidP="000B7A67">
      <w:pPr>
        <w:pStyle w:val="Ttulo2"/>
        <w:numPr>
          <w:ilvl w:val="0"/>
          <w:numId w:val="3"/>
        </w:numPr>
        <w:tabs>
          <w:tab w:val="left" w:pos="851"/>
        </w:tabs>
        <w:spacing w:before="0"/>
        <w:jc w:val="both"/>
        <w:rPr>
          <w:rFonts w:ascii="Book Antiqua" w:eastAsia="Wingdings" w:hAnsi="Book Antiqua"/>
          <w:b/>
          <w:bCs/>
          <w:color w:val="auto"/>
          <w:lang w:eastAsia="ko-KR"/>
        </w:rPr>
      </w:pPr>
      <w:bookmarkStart w:id="38" w:name="_Toc131160573"/>
      <w:bookmarkStart w:id="39" w:name="_Toc138770835"/>
      <w:r w:rsidRPr="001D2656">
        <w:rPr>
          <w:rFonts w:ascii="Book Antiqua" w:eastAsia="Wingdings" w:hAnsi="Book Antiqua"/>
          <w:b/>
          <w:bCs/>
          <w:color w:val="auto"/>
          <w:lang w:eastAsia="ko-KR"/>
        </w:rPr>
        <w:t xml:space="preserve">Recomendaciones dirigidas </w:t>
      </w:r>
      <w:r>
        <w:rPr>
          <w:rFonts w:ascii="Book Antiqua" w:eastAsia="Wingdings" w:hAnsi="Book Antiqua"/>
          <w:b/>
          <w:bCs/>
          <w:color w:val="auto"/>
          <w:lang w:eastAsia="ko-KR"/>
        </w:rPr>
        <w:t>al Ministerio Público</w:t>
      </w:r>
      <w:bookmarkEnd w:id="38"/>
      <w:bookmarkEnd w:id="39"/>
    </w:p>
    <w:p w14:paraId="498BE243" w14:textId="77777777" w:rsidR="000B7A67" w:rsidRDefault="000B7A67" w:rsidP="000B7A67">
      <w:pPr>
        <w:spacing w:after="0"/>
        <w:jc w:val="both"/>
        <w:rPr>
          <w:rFonts w:ascii="Book Antiqua" w:hAnsi="Book Antiqua"/>
        </w:rPr>
      </w:pPr>
    </w:p>
    <w:p w14:paraId="16740872" w14:textId="77777777" w:rsidR="000B7A67" w:rsidRDefault="000B7A67" w:rsidP="000B7A67">
      <w:pPr>
        <w:jc w:val="both"/>
        <w:rPr>
          <w:lang w:eastAsia="ko-KR"/>
        </w:rPr>
      </w:pPr>
      <w:r>
        <w:rPr>
          <w:rFonts w:ascii="Book Antiqua" w:hAnsi="Book Antiqua"/>
          <w:sz w:val="24"/>
          <w:szCs w:val="24"/>
        </w:rPr>
        <w:t xml:space="preserve">En el informe 277-PLA-PP-2023, se dirigió una recomendación al </w:t>
      </w:r>
      <w:r w:rsidRPr="00975197">
        <w:rPr>
          <w:rFonts w:ascii="Book Antiqua" w:hAnsi="Book Antiqua"/>
          <w:b/>
          <w:bCs/>
          <w:sz w:val="24"/>
          <w:szCs w:val="24"/>
        </w:rPr>
        <w:t>Ministerio Público</w:t>
      </w:r>
      <w:r>
        <w:rPr>
          <w:rFonts w:ascii="Book Antiqua" w:eastAsia="Wingdings" w:hAnsi="Book Antiqua"/>
          <w:b/>
          <w:bCs/>
          <w:lang w:eastAsia="ko-KR"/>
        </w:rPr>
        <w:t>,</w:t>
      </w:r>
      <w:r>
        <w:rPr>
          <w:rFonts w:ascii="Book Antiqua" w:hAnsi="Book Antiqua"/>
          <w:sz w:val="24"/>
          <w:szCs w:val="24"/>
        </w:rPr>
        <w:t xml:space="preserve"> debido a que existían proyectos con gestiones pendientes de atender o nuevas recomendaciones, por lo anterior se realiza el seguimiento a las siguientes recomendaciones:</w:t>
      </w:r>
    </w:p>
    <w:p w14:paraId="7C74CAA9" w14:textId="77777777" w:rsidR="000B7A67" w:rsidRDefault="000B7A67" w:rsidP="000B7A67">
      <w:pPr>
        <w:spacing w:after="0" w:line="240" w:lineRule="auto"/>
        <w:ind w:left="567"/>
        <w:jc w:val="both"/>
        <w:rPr>
          <w:rFonts w:ascii="Book Antiqua" w:hAnsi="Book Antiqua"/>
          <w:i/>
          <w:iCs/>
          <w:sz w:val="24"/>
          <w:szCs w:val="24"/>
        </w:rPr>
      </w:pPr>
      <w:r w:rsidRPr="003041AE">
        <w:rPr>
          <w:rFonts w:ascii="Book Antiqua" w:hAnsi="Book Antiqua"/>
          <w:i/>
          <w:iCs/>
          <w:sz w:val="24"/>
          <w:szCs w:val="24"/>
        </w:rPr>
        <w:t>“</w:t>
      </w:r>
      <w:r w:rsidRPr="00975197">
        <w:rPr>
          <w:rFonts w:ascii="Book Antiqua" w:hAnsi="Book Antiqua"/>
          <w:b/>
          <w:bCs/>
          <w:i/>
          <w:iCs/>
          <w:sz w:val="24"/>
          <w:szCs w:val="24"/>
        </w:rPr>
        <w:t xml:space="preserve">2.16) </w:t>
      </w:r>
      <w:r w:rsidRPr="00975197">
        <w:rPr>
          <w:rFonts w:ascii="Book Antiqua" w:hAnsi="Book Antiqua"/>
          <w:i/>
          <w:iCs/>
          <w:sz w:val="24"/>
          <w:szCs w:val="24"/>
        </w:rPr>
        <w:t xml:space="preserve">La Escuela Judicial, la Inspección Judicial, la Junta Administradora del Fondo de Jubilaciones del Poder Judicial, el Ministerio Público, la Oficina de Control Interno, la </w:t>
      </w:r>
      <w:r w:rsidRPr="00975197">
        <w:rPr>
          <w:rFonts w:ascii="Book Antiqua" w:hAnsi="Book Antiqua"/>
          <w:i/>
          <w:iCs/>
          <w:sz w:val="24"/>
          <w:szCs w:val="24"/>
        </w:rPr>
        <w:lastRenderedPageBreak/>
        <w:t>Oficina de Cumplimiento, el Organismo de Investigación Judicial, deberán por su orden: a)</w:t>
      </w:r>
      <w:r w:rsidRPr="00975197">
        <w:rPr>
          <w:rFonts w:ascii="Book Antiqua" w:hAnsi="Book Antiqua"/>
          <w:i/>
          <w:iCs/>
          <w:sz w:val="24"/>
          <w:szCs w:val="24"/>
        </w:rPr>
        <w:tab/>
        <w:t>A más tardar el 28 de abril del 2023, cargar en el sitio de proyecto la atención de las recomendaciones que, para cada uno de esos órganos, se disponen en la respectiva tabla que se incluye en el presente informe</w:t>
      </w:r>
      <w:r w:rsidRPr="00975197">
        <w:rPr>
          <w:rFonts w:ascii="Book Antiqua" w:hAnsi="Book Antiqua"/>
          <w:b/>
          <w:bCs/>
          <w:i/>
          <w:iCs/>
          <w:sz w:val="24"/>
          <w:szCs w:val="24"/>
        </w:rPr>
        <w:t>.</w:t>
      </w:r>
      <w:r w:rsidRPr="00975197">
        <w:rPr>
          <w:rFonts w:ascii="Book Antiqua" w:hAnsi="Book Antiqua"/>
          <w:i/>
          <w:iCs/>
          <w:sz w:val="24"/>
          <w:szCs w:val="24"/>
        </w:rPr>
        <w:t xml:space="preserve"> b) Por su parte, el Organismo de Investigación Judicial, deberá, además: i. Tomar las medidas pertinentes a fin de poder contrarrestar los atrasos presentados y, cuando no sea posible subsanar los atrasos, deberá valorar la presentación de una solicitud de cambio en los casos que el retraso afecte la fecha de finalización de los proyectos y que la misma tenga autorización de la persona jefe o del director del proyecto. ii. Revisar y monitorear los proyectos que presentan un retraso significativo, y cuentan con permisos con goce otorgados”</w:t>
      </w:r>
    </w:p>
    <w:tbl>
      <w:tblPr>
        <w:tblW w:w="10065" w:type="dxa"/>
        <w:tblInd w:w="-289" w:type="dxa"/>
        <w:tblCellMar>
          <w:left w:w="70" w:type="dxa"/>
          <w:right w:w="70" w:type="dxa"/>
        </w:tblCellMar>
        <w:tblLook w:val="04A0" w:firstRow="1" w:lastRow="0" w:firstColumn="1" w:lastColumn="0" w:noHBand="0" w:noVBand="1"/>
      </w:tblPr>
      <w:tblGrid>
        <w:gridCol w:w="1470"/>
        <w:gridCol w:w="1173"/>
        <w:gridCol w:w="1054"/>
        <w:gridCol w:w="2257"/>
        <w:gridCol w:w="1265"/>
        <w:gridCol w:w="2846"/>
      </w:tblGrid>
      <w:tr w:rsidR="00BC00B3" w:rsidRPr="00D207B8" w14:paraId="75F5EF77" w14:textId="77777777" w:rsidTr="00F402B4">
        <w:trPr>
          <w:trHeight w:val="300"/>
          <w:tblHeader/>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278FC004"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 xml:space="preserve">Centro de responsabilidad </w:t>
            </w:r>
          </w:p>
        </w:tc>
        <w:tc>
          <w:tcPr>
            <w:tcW w:w="1173" w:type="dxa"/>
            <w:tcBorders>
              <w:top w:val="single" w:sz="4" w:space="0" w:color="auto"/>
              <w:left w:val="nil"/>
              <w:bottom w:val="single" w:sz="4" w:space="0" w:color="auto"/>
              <w:right w:val="single" w:sz="4" w:space="0" w:color="auto"/>
            </w:tcBorders>
            <w:shd w:val="clear" w:color="000000" w:fill="44546A"/>
            <w:vAlign w:val="center"/>
            <w:hideMark/>
          </w:tcPr>
          <w:p w14:paraId="50C60E6D"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Oficina Líder</w:t>
            </w:r>
          </w:p>
        </w:tc>
        <w:tc>
          <w:tcPr>
            <w:tcW w:w="1054" w:type="dxa"/>
            <w:tcBorders>
              <w:top w:val="single" w:sz="4" w:space="0" w:color="auto"/>
              <w:left w:val="nil"/>
              <w:bottom w:val="single" w:sz="4" w:space="0" w:color="auto"/>
              <w:right w:val="single" w:sz="4" w:space="0" w:color="auto"/>
            </w:tcBorders>
            <w:shd w:val="clear" w:color="000000" w:fill="44546A"/>
            <w:vAlign w:val="center"/>
            <w:hideMark/>
          </w:tcPr>
          <w:p w14:paraId="5924558C"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Código</w:t>
            </w:r>
          </w:p>
        </w:tc>
        <w:tc>
          <w:tcPr>
            <w:tcW w:w="2257" w:type="dxa"/>
            <w:tcBorders>
              <w:top w:val="single" w:sz="4" w:space="0" w:color="auto"/>
              <w:left w:val="nil"/>
              <w:bottom w:val="single" w:sz="4" w:space="0" w:color="auto"/>
              <w:right w:val="single" w:sz="4" w:space="0" w:color="auto"/>
            </w:tcBorders>
            <w:shd w:val="clear" w:color="000000" w:fill="44546A"/>
            <w:vAlign w:val="center"/>
            <w:hideMark/>
          </w:tcPr>
          <w:p w14:paraId="61F2AF8D"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Nombre</w:t>
            </w:r>
          </w:p>
        </w:tc>
        <w:tc>
          <w:tcPr>
            <w:tcW w:w="1265" w:type="dxa"/>
            <w:tcBorders>
              <w:top w:val="single" w:sz="4" w:space="0" w:color="auto"/>
              <w:left w:val="nil"/>
              <w:bottom w:val="single" w:sz="4" w:space="0" w:color="auto"/>
              <w:right w:val="single" w:sz="4" w:space="0" w:color="auto"/>
            </w:tcBorders>
            <w:shd w:val="clear" w:color="000000" w:fill="44546A"/>
            <w:vAlign w:val="center"/>
            <w:hideMark/>
          </w:tcPr>
          <w:p w14:paraId="3645B04E"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Parte pendiente</w:t>
            </w:r>
          </w:p>
        </w:tc>
        <w:tc>
          <w:tcPr>
            <w:tcW w:w="2846" w:type="dxa"/>
            <w:tcBorders>
              <w:top w:val="single" w:sz="4" w:space="0" w:color="auto"/>
              <w:left w:val="nil"/>
              <w:bottom w:val="single" w:sz="4" w:space="0" w:color="auto"/>
              <w:right w:val="single" w:sz="4" w:space="0" w:color="auto"/>
            </w:tcBorders>
            <w:shd w:val="clear" w:color="000000" w:fill="44546A"/>
            <w:vAlign w:val="center"/>
            <w:hideMark/>
          </w:tcPr>
          <w:p w14:paraId="2A897262"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 xml:space="preserve">Detalle </w:t>
            </w:r>
          </w:p>
        </w:tc>
      </w:tr>
      <w:tr w:rsidR="007E6FC1" w:rsidRPr="00D207B8" w14:paraId="03855208" w14:textId="77777777" w:rsidTr="00F402B4">
        <w:trPr>
          <w:trHeight w:val="583"/>
        </w:trPr>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76F0AE93"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Ministerio Público</w:t>
            </w:r>
          </w:p>
        </w:tc>
        <w:tc>
          <w:tcPr>
            <w:tcW w:w="1173" w:type="dxa"/>
            <w:vMerge w:val="restart"/>
            <w:tcBorders>
              <w:top w:val="nil"/>
              <w:left w:val="single" w:sz="4" w:space="0" w:color="auto"/>
              <w:bottom w:val="single" w:sz="4" w:space="0" w:color="000000"/>
              <w:right w:val="single" w:sz="4" w:space="0" w:color="auto"/>
            </w:tcBorders>
            <w:shd w:val="clear" w:color="auto" w:fill="auto"/>
            <w:vAlign w:val="center"/>
            <w:hideMark/>
          </w:tcPr>
          <w:p w14:paraId="0A663178"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 xml:space="preserve">0033 </w:t>
            </w:r>
            <w:r>
              <w:rPr>
                <w:rFonts w:ascii="Book Antiqua" w:eastAsia="Times New Roman" w:hAnsi="Book Antiqua" w:cs="Calibri"/>
                <w:color w:val="000000"/>
                <w:sz w:val="18"/>
                <w:szCs w:val="18"/>
                <w:lang w:eastAsia="es-CR"/>
              </w:rPr>
              <w:t>F</w:t>
            </w:r>
            <w:r w:rsidRPr="00D207B8">
              <w:rPr>
                <w:rFonts w:ascii="Book Antiqua" w:eastAsia="Times New Roman" w:hAnsi="Book Antiqua" w:cs="Calibri"/>
                <w:color w:val="000000"/>
                <w:sz w:val="18"/>
                <w:szCs w:val="18"/>
                <w:lang w:eastAsia="es-CR"/>
              </w:rPr>
              <w:t xml:space="preserve">iscalia </w:t>
            </w:r>
            <w:r>
              <w:rPr>
                <w:rFonts w:ascii="Book Antiqua" w:eastAsia="Times New Roman" w:hAnsi="Book Antiqua" w:cs="Calibri"/>
                <w:color w:val="000000"/>
                <w:sz w:val="18"/>
                <w:szCs w:val="18"/>
                <w:lang w:eastAsia="es-CR"/>
              </w:rPr>
              <w:t>G</w:t>
            </w:r>
            <w:r w:rsidRPr="00D207B8">
              <w:rPr>
                <w:rFonts w:ascii="Book Antiqua" w:eastAsia="Times New Roman" w:hAnsi="Book Antiqua" w:cs="Calibri"/>
                <w:color w:val="000000"/>
                <w:sz w:val="18"/>
                <w:szCs w:val="18"/>
                <w:lang w:eastAsia="es-CR"/>
              </w:rPr>
              <w:t>eneral</w:t>
            </w:r>
          </w:p>
        </w:tc>
        <w:tc>
          <w:tcPr>
            <w:tcW w:w="1054" w:type="dxa"/>
            <w:vMerge w:val="restart"/>
            <w:tcBorders>
              <w:top w:val="nil"/>
              <w:left w:val="single" w:sz="4" w:space="0" w:color="auto"/>
              <w:bottom w:val="single" w:sz="4" w:space="0" w:color="000000"/>
              <w:right w:val="single" w:sz="4" w:space="0" w:color="auto"/>
            </w:tcBorders>
            <w:shd w:val="clear" w:color="auto" w:fill="auto"/>
            <w:vAlign w:val="center"/>
            <w:hideMark/>
          </w:tcPr>
          <w:p w14:paraId="0D848A02"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0717-MP-P01</w:t>
            </w:r>
          </w:p>
        </w:tc>
        <w:tc>
          <w:tcPr>
            <w:tcW w:w="2257" w:type="dxa"/>
            <w:vMerge w:val="restart"/>
            <w:tcBorders>
              <w:top w:val="nil"/>
              <w:left w:val="single" w:sz="4" w:space="0" w:color="auto"/>
              <w:bottom w:val="single" w:sz="4" w:space="0" w:color="000000"/>
              <w:right w:val="single" w:sz="4" w:space="0" w:color="auto"/>
            </w:tcBorders>
            <w:shd w:val="clear" w:color="auto" w:fill="auto"/>
            <w:vAlign w:val="center"/>
            <w:hideMark/>
          </w:tcPr>
          <w:p w14:paraId="30AF3828"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Modelo de abordaje de casos penales de corrupción</w:t>
            </w:r>
          </w:p>
        </w:tc>
        <w:tc>
          <w:tcPr>
            <w:tcW w:w="1265" w:type="dxa"/>
            <w:tcBorders>
              <w:top w:val="nil"/>
              <w:left w:val="nil"/>
              <w:bottom w:val="single" w:sz="4" w:space="0" w:color="auto"/>
              <w:right w:val="single" w:sz="4" w:space="0" w:color="auto"/>
            </w:tcBorders>
            <w:shd w:val="clear" w:color="auto" w:fill="auto"/>
            <w:vAlign w:val="center"/>
            <w:hideMark/>
          </w:tcPr>
          <w:p w14:paraId="4D0A30AB"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2.1</w:t>
            </w:r>
          </w:p>
        </w:tc>
        <w:tc>
          <w:tcPr>
            <w:tcW w:w="2846" w:type="dxa"/>
            <w:tcBorders>
              <w:top w:val="nil"/>
              <w:left w:val="nil"/>
              <w:bottom w:val="single" w:sz="4" w:space="0" w:color="auto"/>
              <w:right w:val="single" w:sz="4" w:space="0" w:color="auto"/>
            </w:tcBorders>
            <w:shd w:val="clear" w:color="auto" w:fill="auto"/>
            <w:vAlign w:val="center"/>
            <w:hideMark/>
          </w:tcPr>
          <w:p w14:paraId="1AF9FDAB" w14:textId="77777777" w:rsidR="000B7A67" w:rsidRPr="00D207B8" w:rsidRDefault="000B7A67" w:rsidP="00F402B4">
            <w:pPr>
              <w:spacing w:after="0" w:line="240" w:lineRule="auto"/>
              <w:jc w:val="both"/>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El informe de avance presentaba incorrecto el porcentaje real y esperado.</w:t>
            </w:r>
          </w:p>
        </w:tc>
      </w:tr>
      <w:tr w:rsidR="007E6FC1" w:rsidRPr="00D207B8" w14:paraId="6A948CF6" w14:textId="77777777" w:rsidTr="00F402B4">
        <w:trPr>
          <w:trHeight w:val="765"/>
        </w:trPr>
        <w:tc>
          <w:tcPr>
            <w:tcW w:w="1470" w:type="dxa"/>
            <w:vMerge/>
            <w:tcBorders>
              <w:top w:val="nil"/>
              <w:left w:val="single" w:sz="4" w:space="0" w:color="auto"/>
              <w:bottom w:val="single" w:sz="4" w:space="0" w:color="000000"/>
              <w:right w:val="single" w:sz="4" w:space="0" w:color="auto"/>
            </w:tcBorders>
            <w:vAlign w:val="center"/>
            <w:hideMark/>
          </w:tcPr>
          <w:p w14:paraId="2CA8A645"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5CFF62BB"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054" w:type="dxa"/>
            <w:vMerge/>
            <w:tcBorders>
              <w:top w:val="nil"/>
              <w:left w:val="single" w:sz="4" w:space="0" w:color="auto"/>
              <w:bottom w:val="single" w:sz="4" w:space="0" w:color="000000"/>
              <w:right w:val="single" w:sz="4" w:space="0" w:color="auto"/>
            </w:tcBorders>
            <w:vAlign w:val="center"/>
            <w:hideMark/>
          </w:tcPr>
          <w:p w14:paraId="4C7B8C94"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2257" w:type="dxa"/>
            <w:vMerge/>
            <w:tcBorders>
              <w:top w:val="nil"/>
              <w:left w:val="single" w:sz="4" w:space="0" w:color="auto"/>
              <w:bottom w:val="single" w:sz="4" w:space="0" w:color="000000"/>
              <w:right w:val="single" w:sz="4" w:space="0" w:color="auto"/>
            </w:tcBorders>
            <w:vAlign w:val="center"/>
            <w:hideMark/>
          </w:tcPr>
          <w:p w14:paraId="3ACCF224"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265" w:type="dxa"/>
            <w:tcBorders>
              <w:top w:val="nil"/>
              <w:left w:val="nil"/>
              <w:bottom w:val="single" w:sz="4" w:space="0" w:color="auto"/>
              <w:right w:val="single" w:sz="4" w:space="0" w:color="auto"/>
            </w:tcBorders>
            <w:shd w:val="clear" w:color="auto" w:fill="auto"/>
            <w:vAlign w:val="center"/>
            <w:hideMark/>
          </w:tcPr>
          <w:p w14:paraId="637229E4"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2.3</w:t>
            </w:r>
          </w:p>
        </w:tc>
        <w:tc>
          <w:tcPr>
            <w:tcW w:w="2846" w:type="dxa"/>
            <w:tcBorders>
              <w:top w:val="nil"/>
              <w:left w:val="nil"/>
              <w:bottom w:val="single" w:sz="4" w:space="0" w:color="auto"/>
              <w:right w:val="single" w:sz="4" w:space="0" w:color="auto"/>
            </w:tcBorders>
            <w:shd w:val="clear" w:color="auto" w:fill="auto"/>
            <w:vAlign w:val="center"/>
            <w:hideMark/>
          </w:tcPr>
          <w:p w14:paraId="2DBDEF5D" w14:textId="77777777" w:rsidR="000B7A67" w:rsidRPr="00D207B8" w:rsidRDefault="000B7A67" w:rsidP="00F402B4">
            <w:pPr>
              <w:spacing w:after="0" w:line="240" w:lineRule="auto"/>
              <w:jc w:val="both"/>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Pendiente actualizar acta de constitución y plan de gestión producto de la solicitud de cambio del 19-1-23</w:t>
            </w:r>
          </w:p>
        </w:tc>
      </w:tr>
      <w:tr w:rsidR="007E6FC1" w:rsidRPr="00D207B8" w14:paraId="79370D61" w14:textId="77777777" w:rsidTr="00F402B4">
        <w:trPr>
          <w:trHeight w:val="434"/>
        </w:trPr>
        <w:tc>
          <w:tcPr>
            <w:tcW w:w="1470" w:type="dxa"/>
            <w:vMerge/>
            <w:tcBorders>
              <w:top w:val="nil"/>
              <w:left w:val="single" w:sz="4" w:space="0" w:color="auto"/>
              <w:bottom w:val="single" w:sz="4" w:space="0" w:color="000000"/>
              <w:right w:val="single" w:sz="4" w:space="0" w:color="auto"/>
            </w:tcBorders>
            <w:vAlign w:val="center"/>
            <w:hideMark/>
          </w:tcPr>
          <w:p w14:paraId="5FF0B2D3"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3009335A"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054" w:type="dxa"/>
            <w:vMerge w:val="restart"/>
            <w:tcBorders>
              <w:top w:val="nil"/>
              <w:left w:val="single" w:sz="4" w:space="0" w:color="auto"/>
              <w:bottom w:val="single" w:sz="4" w:space="0" w:color="000000"/>
              <w:right w:val="single" w:sz="4" w:space="0" w:color="auto"/>
            </w:tcBorders>
            <w:shd w:val="clear" w:color="auto" w:fill="auto"/>
            <w:vAlign w:val="center"/>
            <w:hideMark/>
          </w:tcPr>
          <w:p w14:paraId="6C03D058"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0717-MP-P02</w:t>
            </w:r>
          </w:p>
        </w:tc>
        <w:tc>
          <w:tcPr>
            <w:tcW w:w="2257" w:type="dxa"/>
            <w:vMerge w:val="restart"/>
            <w:tcBorders>
              <w:top w:val="nil"/>
              <w:left w:val="single" w:sz="4" w:space="0" w:color="auto"/>
              <w:bottom w:val="single" w:sz="4" w:space="0" w:color="000000"/>
              <w:right w:val="single" w:sz="4" w:space="0" w:color="auto"/>
            </w:tcBorders>
            <w:shd w:val="clear" w:color="auto" w:fill="auto"/>
            <w:vAlign w:val="center"/>
            <w:hideMark/>
          </w:tcPr>
          <w:p w14:paraId="695CB933"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Modelo de abordaje de casos penales de crimen organizado</w:t>
            </w:r>
          </w:p>
        </w:tc>
        <w:tc>
          <w:tcPr>
            <w:tcW w:w="1265" w:type="dxa"/>
            <w:tcBorders>
              <w:top w:val="nil"/>
              <w:left w:val="nil"/>
              <w:bottom w:val="single" w:sz="4" w:space="0" w:color="auto"/>
              <w:right w:val="single" w:sz="4" w:space="0" w:color="auto"/>
            </w:tcBorders>
            <w:shd w:val="clear" w:color="auto" w:fill="auto"/>
            <w:vAlign w:val="center"/>
            <w:hideMark/>
          </w:tcPr>
          <w:p w14:paraId="2539D5D6"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2.1</w:t>
            </w:r>
          </w:p>
        </w:tc>
        <w:tc>
          <w:tcPr>
            <w:tcW w:w="2846" w:type="dxa"/>
            <w:tcBorders>
              <w:top w:val="nil"/>
              <w:left w:val="nil"/>
              <w:bottom w:val="single" w:sz="4" w:space="0" w:color="auto"/>
              <w:right w:val="single" w:sz="4" w:space="0" w:color="auto"/>
            </w:tcBorders>
            <w:shd w:val="clear" w:color="auto" w:fill="auto"/>
            <w:vAlign w:val="center"/>
            <w:hideMark/>
          </w:tcPr>
          <w:p w14:paraId="36CD3355" w14:textId="77777777" w:rsidR="000B7A67" w:rsidRPr="00D207B8" w:rsidRDefault="000B7A67" w:rsidP="00F402B4">
            <w:pPr>
              <w:spacing w:after="0" w:line="240" w:lineRule="auto"/>
              <w:jc w:val="both"/>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El informe de avance presentaba incorrecto el porcentaje real.</w:t>
            </w:r>
          </w:p>
        </w:tc>
      </w:tr>
      <w:tr w:rsidR="007E6FC1" w:rsidRPr="00D207B8" w14:paraId="36482444" w14:textId="77777777" w:rsidTr="00F402B4">
        <w:trPr>
          <w:trHeight w:val="765"/>
        </w:trPr>
        <w:tc>
          <w:tcPr>
            <w:tcW w:w="1470" w:type="dxa"/>
            <w:vMerge/>
            <w:tcBorders>
              <w:top w:val="nil"/>
              <w:left w:val="single" w:sz="4" w:space="0" w:color="auto"/>
              <w:bottom w:val="single" w:sz="4" w:space="0" w:color="000000"/>
              <w:right w:val="single" w:sz="4" w:space="0" w:color="auto"/>
            </w:tcBorders>
            <w:vAlign w:val="center"/>
            <w:hideMark/>
          </w:tcPr>
          <w:p w14:paraId="500949B5"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0F5D8E2E"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054" w:type="dxa"/>
            <w:vMerge/>
            <w:tcBorders>
              <w:top w:val="nil"/>
              <w:left w:val="single" w:sz="4" w:space="0" w:color="auto"/>
              <w:bottom w:val="single" w:sz="4" w:space="0" w:color="000000"/>
              <w:right w:val="single" w:sz="4" w:space="0" w:color="auto"/>
            </w:tcBorders>
            <w:vAlign w:val="center"/>
            <w:hideMark/>
          </w:tcPr>
          <w:p w14:paraId="132443FE"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2257" w:type="dxa"/>
            <w:vMerge/>
            <w:tcBorders>
              <w:top w:val="nil"/>
              <w:left w:val="single" w:sz="4" w:space="0" w:color="auto"/>
              <w:bottom w:val="single" w:sz="4" w:space="0" w:color="000000"/>
              <w:right w:val="single" w:sz="4" w:space="0" w:color="auto"/>
            </w:tcBorders>
            <w:vAlign w:val="center"/>
            <w:hideMark/>
          </w:tcPr>
          <w:p w14:paraId="71513379"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265" w:type="dxa"/>
            <w:tcBorders>
              <w:top w:val="nil"/>
              <w:left w:val="nil"/>
              <w:bottom w:val="single" w:sz="4" w:space="0" w:color="auto"/>
              <w:right w:val="single" w:sz="4" w:space="0" w:color="auto"/>
            </w:tcBorders>
            <w:shd w:val="clear" w:color="auto" w:fill="auto"/>
            <w:vAlign w:val="center"/>
            <w:hideMark/>
          </w:tcPr>
          <w:p w14:paraId="53309EBE"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2.3</w:t>
            </w:r>
          </w:p>
        </w:tc>
        <w:tc>
          <w:tcPr>
            <w:tcW w:w="2846" w:type="dxa"/>
            <w:tcBorders>
              <w:top w:val="nil"/>
              <w:left w:val="nil"/>
              <w:bottom w:val="single" w:sz="4" w:space="0" w:color="auto"/>
              <w:right w:val="single" w:sz="4" w:space="0" w:color="auto"/>
            </w:tcBorders>
            <w:shd w:val="clear" w:color="auto" w:fill="auto"/>
            <w:vAlign w:val="center"/>
            <w:hideMark/>
          </w:tcPr>
          <w:p w14:paraId="0B46CD8C" w14:textId="77777777" w:rsidR="000B7A67" w:rsidRPr="00D207B8" w:rsidRDefault="000B7A67" w:rsidP="00F402B4">
            <w:pPr>
              <w:spacing w:after="0" w:line="240" w:lineRule="auto"/>
              <w:jc w:val="both"/>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Pendiente actualizar acta de constitución y plan de gestión producto de la solicitud de cambio del 23-11-23</w:t>
            </w:r>
          </w:p>
        </w:tc>
      </w:tr>
      <w:tr w:rsidR="007E6FC1" w:rsidRPr="00D207B8" w14:paraId="7D7C3F9C" w14:textId="77777777" w:rsidTr="00F402B4">
        <w:trPr>
          <w:trHeight w:val="765"/>
        </w:trPr>
        <w:tc>
          <w:tcPr>
            <w:tcW w:w="1470" w:type="dxa"/>
            <w:vMerge/>
            <w:tcBorders>
              <w:top w:val="nil"/>
              <w:left w:val="single" w:sz="4" w:space="0" w:color="auto"/>
              <w:bottom w:val="single" w:sz="4" w:space="0" w:color="000000"/>
              <w:right w:val="single" w:sz="4" w:space="0" w:color="auto"/>
            </w:tcBorders>
            <w:vAlign w:val="center"/>
            <w:hideMark/>
          </w:tcPr>
          <w:p w14:paraId="08A40538"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1768F7E2"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054" w:type="dxa"/>
            <w:tcBorders>
              <w:top w:val="nil"/>
              <w:left w:val="nil"/>
              <w:bottom w:val="single" w:sz="4" w:space="0" w:color="auto"/>
              <w:right w:val="single" w:sz="4" w:space="0" w:color="auto"/>
            </w:tcBorders>
            <w:shd w:val="clear" w:color="auto" w:fill="auto"/>
            <w:vAlign w:val="center"/>
            <w:hideMark/>
          </w:tcPr>
          <w:p w14:paraId="30FA57F8"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0717-MP-P03</w:t>
            </w:r>
          </w:p>
        </w:tc>
        <w:tc>
          <w:tcPr>
            <w:tcW w:w="2257" w:type="dxa"/>
            <w:tcBorders>
              <w:top w:val="nil"/>
              <w:left w:val="nil"/>
              <w:bottom w:val="single" w:sz="4" w:space="0" w:color="auto"/>
              <w:right w:val="single" w:sz="4" w:space="0" w:color="auto"/>
            </w:tcBorders>
            <w:shd w:val="clear" w:color="auto" w:fill="auto"/>
            <w:vAlign w:val="center"/>
            <w:hideMark/>
          </w:tcPr>
          <w:p w14:paraId="0F0D87C9"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Modelo de abordaje en casos penales con poblaciones vulnerables y vulnerabilizadas</w:t>
            </w:r>
          </w:p>
        </w:tc>
        <w:tc>
          <w:tcPr>
            <w:tcW w:w="1265" w:type="dxa"/>
            <w:tcBorders>
              <w:top w:val="nil"/>
              <w:left w:val="nil"/>
              <w:bottom w:val="single" w:sz="4" w:space="0" w:color="auto"/>
              <w:right w:val="single" w:sz="4" w:space="0" w:color="auto"/>
            </w:tcBorders>
            <w:shd w:val="clear" w:color="auto" w:fill="auto"/>
            <w:vAlign w:val="center"/>
            <w:hideMark/>
          </w:tcPr>
          <w:p w14:paraId="151ED076"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2.3</w:t>
            </w:r>
          </w:p>
        </w:tc>
        <w:tc>
          <w:tcPr>
            <w:tcW w:w="2846" w:type="dxa"/>
            <w:tcBorders>
              <w:top w:val="nil"/>
              <w:left w:val="nil"/>
              <w:bottom w:val="single" w:sz="4" w:space="0" w:color="auto"/>
              <w:right w:val="single" w:sz="4" w:space="0" w:color="auto"/>
            </w:tcBorders>
            <w:shd w:val="clear" w:color="auto" w:fill="auto"/>
            <w:vAlign w:val="center"/>
            <w:hideMark/>
          </w:tcPr>
          <w:p w14:paraId="5A2FF94F" w14:textId="77777777" w:rsidR="000B7A67" w:rsidRPr="00D207B8" w:rsidRDefault="000B7A67" w:rsidP="00F402B4">
            <w:pPr>
              <w:spacing w:after="0" w:line="240" w:lineRule="auto"/>
              <w:jc w:val="both"/>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Pendiente actualizar acta de constitución y plan de gestión producto de la solicitud de cambio del 20-12-22</w:t>
            </w:r>
          </w:p>
        </w:tc>
      </w:tr>
      <w:tr w:rsidR="007E6FC1" w:rsidRPr="00D207B8" w14:paraId="6DD06EC7" w14:textId="77777777" w:rsidTr="00F402B4">
        <w:trPr>
          <w:trHeight w:val="1253"/>
        </w:trPr>
        <w:tc>
          <w:tcPr>
            <w:tcW w:w="1470" w:type="dxa"/>
            <w:vMerge/>
            <w:tcBorders>
              <w:top w:val="nil"/>
              <w:left w:val="single" w:sz="4" w:space="0" w:color="auto"/>
              <w:bottom w:val="single" w:sz="4" w:space="0" w:color="000000"/>
              <w:right w:val="single" w:sz="4" w:space="0" w:color="auto"/>
            </w:tcBorders>
            <w:vAlign w:val="center"/>
            <w:hideMark/>
          </w:tcPr>
          <w:p w14:paraId="22A143CD"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1FB2DA54"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054" w:type="dxa"/>
            <w:vMerge w:val="restart"/>
            <w:tcBorders>
              <w:top w:val="nil"/>
              <w:left w:val="single" w:sz="4" w:space="0" w:color="auto"/>
              <w:bottom w:val="single" w:sz="4" w:space="0" w:color="000000"/>
              <w:right w:val="single" w:sz="4" w:space="0" w:color="auto"/>
            </w:tcBorders>
            <w:shd w:val="clear" w:color="auto" w:fill="auto"/>
            <w:vAlign w:val="center"/>
            <w:hideMark/>
          </w:tcPr>
          <w:p w14:paraId="2B6E8D9A"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0717-MP-P04</w:t>
            </w:r>
          </w:p>
        </w:tc>
        <w:tc>
          <w:tcPr>
            <w:tcW w:w="2257" w:type="dxa"/>
            <w:vMerge w:val="restart"/>
            <w:tcBorders>
              <w:top w:val="nil"/>
              <w:left w:val="single" w:sz="4" w:space="0" w:color="auto"/>
              <w:bottom w:val="single" w:sz="4" w:space="0" w:color="000000"/>
              <w:right w:val="single" w:sz="4" w:space="0" w:color="auto"/>
            </w:tcBorders>
            <w:shd w:val="clear" w:color="auto" w:fill="auto"/>
            <w:vAlign w:val="center"/>
            <w:hideMark/>
          </w:tcPr>
          <w:p w14:paraId="4B3B128E"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Modelo para el abordaje de la criminalidad no convencional</w:t>
            </w:r>
          </w:p>
        </w:tc>
        <w:tc>
          <w:tcPr>
            <w:tcW w:w="1265" w:type="dxa"/>
            <w:tcBorders>
              <w:top w:val="nil"/>
              <w:left w:val="nil"/>
              <w:bottom w:val="single" w:sz="4" w:space="0" w:color="auto"/>
              <w:right w:val="single" w:sz="4" w:space="0" w:color="auto"/>
            </w:tcBorders>
            <w:shd w:val="clear" w:color="auto" w:fill="auto"/>
            <w:vAlign w:val="center"/>
            <w:hideMark/>
          </w:tcPr>
          <w:p w14:paraId="3443A19C" w14:textId="77777777" w:rsidR="000B7A67" w:rsidRPr="00D207B8" w:rsidRDefault="000B7A67" w:rsidP="00F400D6">
            <w:pPr>
              <w:spacing w:after="0" w:line="240" w:lineRule="auto"/>
              <w:jc w:val="center"/>
              <w:rPr>
                <w:rFonts w:ascii="Book Antiqua" w:eastAsia="Times New Roman" w:hAnsi="Book Antiqua" w:cs="Calibri"/>
                <w:sz w:val="18"/>
                <w:szCs w:val="18"/>
                <w:lang w:eastAsia="es-CR"/>
              </w:rPr>
            </w:pPr>
            <w:r w:rsidRPr="00D207B8">
              <w:rPr>
                <w:rFonts w:ascii="Book Antiqua" w:eastAsia="Times New Roman" w:hAnsi="Book Antiqua" w:cs="Calibri"/>
                <w:sz w:val="18"/>
                <w:szCs w:val="18"/>
                <w:lang w:eastAsia="es-CR"/>
              </w:rPr>
              <w:t>1.24</w:t>
            </w:r>
          </w:p>
        </w:tc>
        <w:tc>
          <w:tcPr>
            <w:tcW w:w="2846" w:type="dxa"/>
            <w:tcBorders>
              <w:top w:val="nil"/>
              <w:left w:val="nil"/>
              <w:bottom w:val="single" w:sz="4" w:space="0" w:color="auto"/>
              <w:right w:val="single" w:sz="4" w:space="0" w:color="auto"/>
            </w:tcBorders>
            <w:shd w:val="clear" w:color="auto" w:fill="auto"/>
            <w:vAlign w:val="center"/>
            <w:hideMark/>
          </w:tcPr>
          <w:p w14:paraId="219BB737" w14:textId="77777777" w:rsidR="000B7A67" w:rsidRPr="00D207B8" w:rsidRDefault="000B7A67" w:rsidP="00F402B4">
            <w:pPr>
              <w:spacing w:after="0" w:line="240" w:lineRule="auto"/>
              <w:jc w:val="both"/>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Plan de Gestión indica que el proyecto termina el 6 setiembre 2024  y el cronograma indica que termina el 30 agosto 2024, se debe ajustar documentación vinculada (se realiza solicitud de cambio pero no se actualiza documentación.)</w:t>
            </w:r>
          </w:p>
        </w:tc>
      </w:tr>
      <w:tr w:rsidR="007E6FC1" w:rsidRPr="00D207B8" w14:paraId="0E3A891A" w14:textId="77777777" w:rsidTr="00F402B4">
        <w:trPr>
          <w:trHeight w:val="254"/>
        </w:trPr>
        <w:tc>
          <w:tcPr>
            <w:tcW w:w="1470" w:type="dxa"/>
            <w:vMerge/>
            <w:tcBorders>
              <w:top w:val="nil"/>
              <w:left w:val="single" w:sz="4" w:space="0" w:color="auto"/>
              <w:bottom w:val="single" w:sz="4" w:space="0" w:color="000000"/>
              <w:right w:val="single" w:sz="4" w:space="0" w:color="auto"/>
            </w:tcBorders>
            <w:vAlign w:val="center"/>
            <w:hideMark/>
          </w:tcPr>
          <w:p w14:paraId="7036B22A"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7D5DE86B"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054" w:type="dxa"/>
            <w:vMerge/>
            <w:tcBorders>
              <w:top w:val="nil"/>
              <w:left w:val="single" w:sz="4" w:space="0" w:color="auto"/>
              <w:bottom w:val="single" w:sz="4" w:space="0" w:color="000000"/>
              <w:right w:val="single" w:sz="4" w:space="0" w:color="auto"/>
            </w:tcBorders>
            <w:vAlign w:val="center"/>
            <w:hideMark/>
          </w:tcPr>
          <w:p w14:paraId="16AA581F"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2257" w:type="dxa"/>
            <w:vMerge/>
            <w:tcBorders>
              <w:top w:val="nil"/>
              <w:left w:val="single" w:sz="4" w:space="0" w:color="auto"/>
              <w:bottom w:val="single" w:sz="4" w:space="0" w:color="000000"/>
              <w:right w:val="single" w:sz="4" w:space="0" w:color="auto"/>
            </w:tcBorders>
            <w:vAlign w:val="center"/>
            <w:hideMark/>
          </w:tcPr>
          <w:p w14:paraId="20034B7F"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265" w:type="dxa"/>
            <w:tcBorders>
              <w:top w:val="nil"/>
              <w:left w:val="nil"/>
              <w:bottom w:val="single" w:sz="4" w:space="0" w:color="auto"/>
              <w:right w:val="single" w:sz="4" w:space="0" w:color="auto"/>
            </w:tcBorders>
            <w:shd w:val="clear" w:color="auto" w:fill="auto"/>
            <w:vAlign w:val="center"/>
            <w:hideMark/>
          </w:tcPr>
          <w:p w14:paraId="3973FD63"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2.1</w:t>
            </w:r>
          </w:p>
        </w:tc>
        <w:tc>
          <w:tcPr>
            <w:tcW w:w="2846" w:type="dxa"/>
            <w:tcBorders>
              <w:top w:val="nil"/>
              <w:left w:val="nil"/>
              <w:bottom w:val="single" w:sz="4" w:space="0" w:color="auto"/>
              <w:right w:val="single" w:sz="4" w:space="0" w:color="auto"/>
            </w:tcBorders>
            <w:shd w:val="clear" w:color="auto" w:fill="auto"/>
            <w:vAlign w:val="center"/>
            <w:hideMark/>
          </w:tcPr>
          <w:p w14:paraId="31CC85EC" w14:textId="77777777" w:rsidR="000B7A67" w:rsidRPr="00D207B8" w:rsidRDefault="000B7A67" w:rsidP="00F402B4">
            <w:pPr>
              <w:spacing w:after="0" w:line="240" w:lineRule="auto"/>
              <w:jc w:val="both"/>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El informe de avance presentaba incorrecto el porcentaje real y esperado.</w:t>
            </w:r>
          </w:p>
        </w:tc>
      </w:tr>
      <w:tr w:rsidR="007E6FC1" w:rsidRPr="00D207B8" w14:paraId="5EE5C232" w14:textId="77777777" w:rsidTr="00F402B4">
        <w:trPr>
          <w:trHeight w:val="765"/>
        </w:trPr>
        <w:tc>
          <w:tcPr>
            <w:tcW w:w="1470" w:type="dxa"/>
            <w:vMerge/>
            <w:tcBorders>
              <w:top w:val="nil"/>
              <w:left w:val="single" w:sz="4" w:space="0" w:color="auto"/>
              <w:bottom w:val="single" w:sz="4" w:space="0" w:color="000000"/>
              <w:right w:val="single" w:sz="4" w:space="0" w:color="auto"/>
            </w:tcBorders>
            <w:vAlign w:val="center"/>
            <w:hideMark/>
          </w:tcPr>
          <w:p w14:paraId="76AA602A"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01383488"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054" w:type="dxa"/>
            <w:vMerge/>
            <w:tcBorders>
              <w:top w:val="nil"/>
              <w:left w:val="single" w:sz="4" w:space="0" w:color="auto"/>
              <w:bottom w:val="single" w:sz="4" w:space="0" w:color="000000"/>
              <w:right w:val="single" w:sz="4" w:space="0" w:color="auto"/>
            </w:tcBorders>
            <w:vAlign w:val="center"/>
            <w:hideMark/>
          </w:tcPr>
          <w:p w14:paraId="6443EFE4"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2257" w:type="dxa"/>
            <w:vMerge/>
            <w:tcBorders>
              <w:top w:val="nil"/>
              <w:left w:val="single" w:sz="4" w:space="0" w:color="auto"/>
              <w:bottom w:val="single" w:sz="4" w:space="0" w:color="000000"/>
              <w:right w:val="single" w:sz="4" w:space="0" w:color="auto"/>
            </w:tcBorders>
            <w:vAlign w:val="center"/>
            <w:hideMark/>
          </w:tcPr>
          <w:p w14:paraId="1D56D74C"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265" w:type="dxa"/>
            <w:tcBorders>
              <w:top w:val="nil"/>
              <w:left w:val="nil"/>
              <w:bottom w:val="single" w:sz="4" w:space="0" w:color="auto"/>
              <w:right w:val="single" w:sz="4" w:space="0" w:color="auto"/>
            </w:tcBorders>
            <w:shd w:val="clear" w:color="auto" w:fill="auto"/>
            <w:vAlign w:val="center"/>
            <w:hideMark/>
          </w:tcPr>
          <w:p w14:paraId="278E38E8"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2.3</w:t>
            </w:r>
          </w:p>
        </w:tc>
        <w:tc>
          <w:tcPr>
            <w:tcW w:w="2846" w:type="dxa"/>
            <w:tcBorders>
              <w:top w:val="nil"/>
              <w:left w:val="nil"/>
              <w:bottom w:val="single" w:sz="4" w:space="0" w:color="auto"/>
              <w:right w:val="single" w:sz="4" w:space="0" w:color="auto"/>
            </w:tcBorders>
            <w:shd w:val="clear" w:color="auto" w:fill="auto"/>
            <w:vAlign w:val="center"/>
            <w:hideMark/>
          </w:tcPr>
          <w:p w14:paraId="1629DBE6" w14:textId="77777777" w:rsidR="000B7A67" w:rsidRPr="00D207B8" w:rsidRDefault="000B7A67" w:rsidP="00F402B4">
            <w:pPr>
              <w:spacing w:after="0" w:line="240" w:lineRule="auto"/>
              <w:jc w:val="both"/>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Pendiente actualizar acta de constitución y plan de gestión producto de la solicitud de cambio del 20-12-22, 19-1-23</w:t>
            </w:r>
          </w:p>
        </w:tc>
      </w:tr>
      <w:tr w:rsidR="007E6FC1" w:rsidRPr="00D207B8" w14:paraId="48DD88AE" w14:textId="77777777" w:rsidTr="00F402B4">
        <w:trPr>
          <w:trHeight w:val="362"/>
        </w:trPr>
        <w:tc>
          <w:tcPr>
            <w:tcW w:w="1470" w:type="dxa"/>
            <w:vMerge/>
            <w:tcBorders>
              <w:top w:val="nil"/>
              <w:left w:val="single" w:sz="4" w:space="0" w:color="auto"/>
              <w:bottom w:val="single" w:sz="4" w:space="0" w:color="000000"/>
              <w:right w:val="single" w:sz="4" w:space="0" w:color="auto"/>
            </w:tcBorders>
            <w:vAlign w:val="center"/>
            <w:hideMark/>
          </w:tcPr>
          <w:p w14:paraId="2F57E87C"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5A7E9B3C"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054" w:type="dxa"/>
            <w:vMerge w:val="restart"/>
            <w:tcBorders>
              <w:top w:val="nil"/>
              <w:left w:val="single" w:sz="4" w:space="0" w:color="auto"/>
              <w:bottom w:val="single" w:sz="4" w:space="0" w:color="000000"/>
              <w:right w:val="single" w:sz="4" w:space="0" w:color="auto"/>
            </w:tcBorders>
            <w:shd w:val="clear" w:color="auto" w:fill="auto"/>
            <w:vAlign w:val="center"/>
            <w:hideMark/>
          </w:tcPr>
          <w:p w14:paraId="461643DC"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0717-MP-P05</w:t>
            </w:r>
          </w:p>
        </w:tc>
        <w:tc>
          <w:tcPr>
            <w:tcW w:w="2257" w:type="dxa"/>
            <w:vMerge w:val="restart"/>
            <w:tcBorders>
              <w:top w:val="nil"/>
              <w:left w:val="single" w:sz="4" w:space="0" w:color="auto"/>
              <w:bottom w:val="single" w:sz="4" w:space="0" w:color="000000"/>
              <w:right w:val="single" w:sz="4" w:space="0" w:color="auto"/>
            </w:tcBorders>
            <w:shd w:val="clear" w:color="auto" w:fill="auto"/>
            <w:vAlign w:val="center"/>
            <w:hideMark/>
          </w:tcPr>
          <w:p w14:paraId="5F361A73"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Estrategia de Capacitación del Ministerio Público</w:t>
            </w:r>
          </w:p>
        </w:tc>
        <w:tc>
          <w:tcPr>
            <w:tcW w:w="1265" w:type="dxa"/>
            <w:tcBorders>
              <w:top w:val="nil"/>
              <w:left w:val="nil"/>
              <w:bottom w:val="single" w:sz="4" w:space="0" w:color="auto"/>
              <w:right w:val="single" w:sz="4" w:space="0" w:color="auto"/>
            </w:tcBorders>
            <w:shd w:val="clear" w:color="auto" w:fill="auto"/>
            <w:vAlign w:val="center"/>
            <w:hideMark/>
          </w:tcPr>
          <w:p w14:paraId="39A18B37"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2.1</w:t>
            </w:r>
          </w:p>
        </w:tc>
        <w:tc>
          <w:tcPr>
            <w:tcW w:w="2846" w:type="dxa"/>
            <w:tcBorders>
              <w:top w:val="nil"/>
              <w:left w:val="nil"/>
              <w:bottom w:val="single" w:sz="4" w:space="0" w:color="auto"/>
              <w:right w:val="single" w:sz="4" w:space="0" w:color="auto"/>
            </w:tcBorders>
            <w:shd w:val="clear" w:color="auto" w:fill="auto"/>
            <w:vAlign w:val="center"/>
            <w:hideMark/>
          </w:tcPr>
          <w:p w14:paraId="056683DE" w14:textId="77777777" w:rsidR="000B7A67" w:rsidRPr="00D207B8" w:rsidRDefault="000B7A67" w:rsidP="00F402B4">
            <w:pPr>
              <w:spacing w:after="0" w:line="240" w:lineRule="auto"/>
              <w:jc w:val="both"/>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El informe de avance presentaba incorrecto el porcentaje real y esperado.</w:t>
            </w:r>
          </w:p>
        </w:tc>
      </w:tr>
      <w:tr w:rsidR="007E6FC1" w:rsidRPr="00D207B8" w14:paraId="35F69AF5" w14:textId="77777777" w:rsidTr="00F402B4">
        <w:trPr>
          <w:trHeight w:val="683"/>
        </w:trPr>
        <w:tc>
          <w:tcPr>
            <w:tcW w:w="1470" w:type="dxa"/>
            <w:vMerge/>
            <w:tcBorders>
              <w:top w:val="nil"/>
              <w:left w:val="single" w:sz="4" w:space="0" w:color="auto"/>
              <w:bottom w:val="single" w:sz="4" w:space="0" w:color="000000"/>
              <w:right w:val="single" w:sz="4" w:space="0" w:color="auto"/>
            </w:tcBorders>
            <w:vAlign w:val="center"/>
            <w:hideMark/>
          </w:tcPr>
          <w:p w14:paraId="75D15B6A"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7BACFA66"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054" w:type="dxa"/>
            <w:vMerge/>
            <w:tcBorders>
              <w:top w:val="nil"/>
              <w:left w:val="single" w:sz="4" w:space="0" w:color="auto"/>
              <w:bottom w:val="single" w:sz="4" w:space="0" w:color="000000"/>
              <w:right w:val="single" w:sz="4" w:space="0" w:color="auto"/>
            </w:tcBorders>
            <w:vAlign w:val="center"/>
            <w:hideMark/>
          </w:tcPr>
          <w:p w14:paraId="360F15DD"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2257" w:type="dxa"/>
            <w:vMerge/>
            <w:tcBorders>
              <w:top w:val="nil"/>
              <w:left w:val="single" w:sz="4" w:space="0" w:color="auto"/>
              <w:bottom w:val="single" w:sz="4" w:space="0" w:color="000000"/>
              <w:right w:val="single" w:sz="4" w:space="0" w:color="auto"/>
            </w:tcBorders>
            <w:vAlign w:val="center"/>
            <w:hideMark/>
          </w:tcPr>
          <w:p w14:paraId="7BC68E08"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265" w:type="dxa"/>
            <w:tcBorders>
              <w:top w:val="nil"/>
              <w:left w:val="nil"/>
              <w:bottom w:val="single" w:sz="4" w:space="0" w:color="auto"/>
              <w:right w:val="single" w:sz="4" w:space="0" w:color="auto"/>
            </w:tcBorders>
            <w:shd w:val="clear" w:color="auto" w:fill="auto"/>
            <w:vAlign w:val="center"/>
            <w:hideMark/>
          </w:tcPr>
          <w:p w14:paraId="0B43C571"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2.3</w:t>
            </w:r>
          </w:p>
        </w:tc>
        <w:tc>
          <w:tcPr>
            <w:tcW w:w="2846" w:type="dxa"/>
            <w:tcBorders>
              <w:top w:val="nil"/>
              <w:left w:val="nil"/>
              <w:bottom w:val="single" w:sz="4" w:space="0" w:color="auto"/>
              <w:right w:val="single" w:sz="4" w:space="0" w:color="auto"/>
            </w:tcBorders>
            <w:shd w:val="clear" w:color="auto" w:fill="auto"/>
            <w:vAlign w:val="center"/>
            <w:hideMark/>
          </w:tcPr>
          <w:p w14:paraId="41FA2F55" w14:textId="77777777" w:rsidR="000B7A67" w:rsidRPr="00D207B8" w:rsidRDefault="000B7A67" w:rsidP="00F402B4">
            <w:pPr>
              <w:spacing w:after="0" w:line="240" w:lineRule="auto"/>
              <w:jc w:val="both"/>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Pendiente actualizar acta de constitución y plan de gestión producto de la solicitud de cambio del 20-12-22</w:t>
            </w:r>
          </w:p>
        </w:tc>
      </w:tr>
      <w:tr w:rsidR="007E6FC1" w:rsidRPr="00D207B8" w14:paraId="767BCFA5" w14:textId="77777777" w:rsidTr="00F402B4">
        <w:trPr>
          <w:trHeight w:val="611"/>
        </w:trPr>
        <w:tc>
          <w:tcPr>
            <w:tcW w:w="1470" w:type="dxa"/>
            <w:vMerge/>
            <w:tcBorders>
              <w:top w:val="nil"/>
              <w:left w:val="single" w:sz="4" w:space="0" w:color="auto"/>
              <w:bottom w:val="single" w:sz="4" w:space="0" w:color="000000"/>
              <w:right w:val="single" w:sz="4" w:space="0" w:color="auto"/>
            </w:tcBorders>
            <w:vAlign w:val="center"/>
            <w:hideMark/>
          </w:tcPr>
          <w:p w14:paraId="50A382FE"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2BE529E2"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054" w:type="dxa"/>
            <w:tcBorders>
              <w:top w:val="nil"/>
              <w:left w:val="nil"/>
              <w:bottom w:val="single" w:sz="4" w:space="0" w:color="auto"/>
              <w:right w:val="single" w:sz="4" w:space="0" w:color="auto"/>
            </w:tcBorders>
            <w:shd w:val="clear" w:color="auto" w:fill="auto"/>
            <w:vAlign w:val="center"/>
            <w:hideMark/>
          </w:tcPr>
          <w:p w14:paraId="11849441"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0717-MP-P06</w:t>
            </w:r>
          </w:p>
        </w:tc>
        <w:tc>
          <w:tcPr>
            <w:tcW w:w="2257" w:type="dxa"/>
            <w:tcBorders>
              <w:top w:val="nil"/>
              <w:left w:val="nil"/>
              <w:bottom w:val="single" w:sz="4" w:space="0" w:color="auto"/>
              <w:right w:val="single" w:sz="4" w:space="0" w:color="auto"/>
            </w:tcBorders>
            <w:shd w:val="clear" w:color="auto" w:fill="auto"/>
            <w:vAlign w:val="center"/>
            <w:hideMark/>
          </w:tcPr>
          <w:p w14:paraId="26382A3A"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Programa de capacitación en Justicia Restaurativa</w:t>
            </w:r>
          </w:p>
        </w:tc>
        <w:tc>
          <w:tcPr>
            <w:tcW w:w="1265" w:type="dxa"/>
            <w:tcBorders>
              <w:top w:val="nil"/>
              <w:left w:val="nil"/>
              <w:bottom w:val="single" w:sz="4" w:space="0" w:color="auto"/>
              <w:right w:val="single" w:sz="4" w:space="0" w:color="auto"/>
            </w:tcBorders>
            <w:shd w:val="clear" w:color="auto" w:fill="auto"/>
            <w:vAlign w:val="center"/>
            <w:hideMark/>
          </w:tcPr>
          <w:p w14:paraId="53B8B7C7"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2.3</w:t>
            </w:r>
          </w:p>
        </w:tc>
        <w:tc>
          <w:tcPr>
            <w:tcW w:w="2846" w:type="dxa"/>
            <w:tcBorders>
              <w:top w:val="nil"/>
              <w:left w:val="nil"/>
              <w:bottom w:val="single" w:sz="4" w:space="0" w:color="auto"/>
              <w:right w:val="single" w:sz="4" w:space="0" w:color="auto"/>
            </w:tcBorders>
            <w:shd w:val="clear" w:color="auto" w:fill="auto"/>
            <w:vAlign w:val="center"/>
            <w:hideMark/>
          </w:tcPr>
          <w:p w14:paraId="706F3CC9" w14:textId="77777777" w:rsidR="000B7A67" w:rsidRPr="00D207B8" w:rsidRDefault="000B7A67" w:rsidP="00F402B4">
            <w:pPr>
              <w:spacing w:after="0" w:line="240" w:lineRule="auto"/>
              <w:jc w:val="both"/>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Pendiente actualizar acta de constitución y plan de gestión producto de la solicitud de cambio del 20-12-22</w:t>
            </w:r>
          </w:p>
        </w:tc>
      </w:tr>
      <w:tr w:rsidR="007E6FC1" w:rsidRPr="00D207B8" w14:paraId="70C1DF96" w14:textId="77777777" w:rsidTr="00F402B4">
        <w:trPr>
          <w:trHeight w:val="448"/>
        </w:trPr>
        <w:tc>
          <w:tcPr>
            <w:tcW w:w="1470" w:type="dxa"/>
            <w:vMerge/>
            <w:tcBorders>
              <w:top w:val="nil"/>
              <w:left w:val="single" w:sz="4" w:space="0" w:color="auto"/>
              <w:bottom w:val="single" w:sz="4" w:space="0" w:color="000000"/>
              <w:right w:val="single" w:sz="4" w:space="0" w:color="auto"/>
            </w:tcBorders>
            <w:vAlign w:val="center"/>
            <w:hideMark/>
          </w:tcPr>
          <w:p w14:paraId="06D9EB0D"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711AF9CE"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054" w:type="dxa"/>
            <w:vMerge w:val="restart"/>
            <w:tcBorders>
              <w:top w:val="nil"/>
              <w:left w:val="single" w:sz="4" w:space="0" w:color="auto"/>
              <w:bottom w:val="single" w:sz="4" w:space="0" w:color="000000"/>
              <w:right w:val="single" w:sz="4" w:space="0" w:color="auto"/>
            </w:tcBorders>
            <w:shd w:val="clear" w:color="auto" w:fill="auto"/>
            <w:vAlign w:val="center"/>
            <w:hideMark/>
          </w:tcPr>
          <w:p w14:paraId="32EE5ADC"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0717-MP-P09</w:t>
            </w:r>
          </w:p>
        </w:tc>
        <w:tc>
          <w:tcPr>
            <w:tcW w:w="2257" w:type="dxa"/>
            <w:vMerge w:val="restart"/>
            <w:tcBorders>
              <w:top w:val="nil"/>
              <w:left w:val="single" w:sz="4" w:space="0" w:color="auto"/>
              <w:bottom w:val="single" w:sz="4" w:space="0" w:color="000000"/>
              <w:right w:val="single" w:sz="4" w:space="0" w:color="auto"/>
            </w:tcBorders>
            <w:shd w:val="clear" w:color="auto" w:fill="auto"/>
            <w:vAlign w:val="center"/>
            <w:hideMark/>
          </w:tcPr>
          <w:p w14:paraId="7D2069AF"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Rezago y Archivos Fiscales</w:t>
            </w:r>
          </w:p>
        </w:tc>
        <w:tc>
          <w:tcPr>
            <w:tcW w:w="1265" w:type="dxa"/>
            <w:tcBorders>
              <w:top w:val="nil"/>
              <w:left w:val="nil"/>
              <w:bottom w:val="single" w:sz="4" w:space="0" w:color="auto"/>
              <w:right w:val="single" w:sz="4" w:space="0" w:color="auto"/>
            </w:tcBorders>
            <w:shd w:val="clear" w:color="auto" w:fill="auto"/>
            <w:vAlign w:val="center"/>
            <w:hideMark/>
          </w:tcPr>
          <w:p w14:paraId="5F834E84"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2.1</w:t>
            </w:r>
          </w:p>
        </w:tc>
        <w:tc>
          <w:tcPr>
            <w:tcW w:w="2846" w:type="dxa"/>
            <w:tcBorders>
              <w:top w:val="nil"/>
              <w:left w:val="nil"/>
              <w:bottom w:val="single" w:sz="4" w:space="0" w:color="auto"/>
              <w:right w:val="single" w:sz="4" w:space="0" w:color="auto"/>
            </w:tcBorders>
            <w:shd w:val="clear" w:color="auto" w:fill="auto"/>
            <w:vAlign w:val="center"/>
            <w:hideMark/>
          </w:tcPr>
          <w:p w14:paraId="4B68062E" w14:textId="77777777" w:rsidR="000B7A67" w:rsidRPr="00D207B8" w:rsidRDefault="000B7A67" w:rsidP="00F402B4">
            <w:pPr>
              <w:spacing w:after="0" w:line="240" w:lineRule="auto"/>
              <w:jc w:val="both"/>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El informe de avance presentaba incorrecto el porcentaje real y esperado.</w:t>
            </w:r>
          </w:p>
        </w:tc>
      </w:tr>
      <w:tr w:rsidR="007E6FC1" w:rsidRPr="00D207B8" w14:paraId="5C267F2E" w14:textId="77777777" w:rsidTr="00F402B4">
        <w:trPr>
          <w:trHeight w:val="618"/>
        </w:trPr>
        <w:tc>
          <w:tcPr>
            <w:tcW w:w="1470" w:type="dxa"/>
            <w:vMerge/>
            <w:tcBorders>
              <w:top w:val="nil"/>
              <w:left w:val="single" w:sz="4" w:space="0" w:color="auto"/>
              <w:bottom w:val="single" w:sz="4" w:space="0" w:color="000000"/>
              <w:right w:val="single" w:sz="4" w:space="0" w:color="auto"/>
            </w:tcBorders>
            <w:vAlign w:val="center"/>
            <w:hideMark/>
          </w:tcPr>
          <w:p w14:paraId="58AB6544"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173" w:type="dxa"/>
            <w:vMerge/>
            <w:tcBorders>
              <w:top w:val="nil"/>
              <w:left w:val="single" w:sz="4" w:space="0" w:color="auto"/>
              <w:bottom w:val="single" w:sz="4" w:space="0" w:color="000000"/>
              <w:right w:val="single" w:sz="4" w:space="0" w:color="auto"/>
            </w:tcBorders>
            <w:vAlign w:val="center"/>
            <w:hideMark/>
          </w:tcPr>
          <w:p w14:paraId="4258D192"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054" w:type="dxa"/>
            <w:vMerge/>
            <w:tcBorders>
              <w:top w:val="nil"/>
              <w:left w:val="single" w:sz="4" w:space="0" w:color="auto"/>
              <w:bottom w:val="single" w:sz="4" w:space="0" w:color="000000"/>
              <w:right w:val="single" w:sz="4" w:space="0" w:color="auto"/>
            </w:tcBorders>
            <w:vAlign w:val="center"/>
            <w:hideMark/>
          </w:tcPr>
          <w:p w14:paraId="646CAF25"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2257" w:type="dxa"/>
            <w:vMerge/>
            <w:tcBorders>
              <w:top w:val="nil"/>
              <w:left w:val="single" w:sz="4" w:space="0" w:color="auto"/>
              <w:bottom w:val="single" w:sz="4" w:space="0" w:color="000000"/>
              <w:right w:val="single" w:sz="4" w:space="0" w:color="auto"/>
            </w:tcBorders>
            <w:vAlign w:val="center"/>
            <w:hideMark/>
          </w:tcPr>
          <w:p w14:paraId="388807DE"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265" w:type="dxa"/>
            <w:tcBorders>
              <w:top w:val="nil"/>
              <w:left w:val="nil"/>
              <w:bottom w:val="single" w:sz="4" w:space="0" w:color="auto"/>
              <w:right w:val="single" w:sz="4" w:space="0" w:color="auto"/>
            </w:tcBorders>
            <w:shd w:val="clear" w:color="auto" w:fill="auto"/>
            <w:vAlign w:val="center"/>
            <w:hideMark/>
          </w:tcPr>
          <w:p w14:paraId="55A298ED"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2.3</w:t>
            </w:r>
          </w:p>
        </w:tc>
        <w:tc>
          <w:tcPr>
            <w:tcW w:w="2846" w:type="dxa"/>
            <w:tcBorders>
              <w:top w:val="nil"/>
              <w:left w:val="nil"/>
              <w:bottom w:val="single" w:sz="4" w:space="0" w:color="auto"/>
              <w:right w:val="single" w:sz="4" w:space="0" w:color="auto"/>
            </w:tcBorders>
            <w:shd w:val="clear" w:color="auto" w:fill="auto"/>
            <w:vAlign w:val="center"/>
            <w:hideMark/>
          </w:tcPr>
          <w:p w14:paraId="59D1AEA9" w14:textId="77777777" w:rsidR="000B7A67" w:rsidRPr="00D207B8" w:rsidRDefault="000B7A67" w:rsidP="00F402B4">
            <w:pPr>
              <w:spacing w:after="0" w:line="240" w:lineRule="auto"/>
              <w:jc w:val="both"/>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Pendiente actualizar acta de constitución y plan de gestión producto de la solicitud de cambio del 21-12-22</w:t>
            </w:r>
          </w:p>
        </w:tc>
      </w:tr>
      <w:tr w:rsidR="007E6FC1" w:rsidRPr="00D207B8" w14:paraId="598CC9A5" w14:textId="77777777" w:rsidTr="00F402B4">
        <w:trPr>
          <w:trHeight w:val="1080"/>
        </w:trPr>
        <w:tc>
          <w:tcPr>
            <w:tcW w:w="1470" w:type="dxa"/>
            <w:vMerge/>
            <w:tcBorders>
              <w:top w:val="nil"/>
              <w:left w:val="single" w:sz="4" w:space="0" w:color="auto"/>
              <w:bottom w:val="single" w:sz="4" w:space="0" w:color="000000"/>
              <w:right w:val="single" w:sz="4" w:space="0" w:color="auto"/>
            </w:tcBorders>
            <w:vAlign w:val="center"/>
            <w:hideMark/>
          </w:tcPr>
          <w:p w14:paraId="4BE9F63B" w14:textId="77777777" w:rsidR="000B7A67" w:rsidRPr="00D207B8" w:rsidRDefault="000B7A67" w:rsidP="00F400D6">
            <w:pPr>
              <w:spacing w:after="0" w:line="240" w:lineRule="auto"/>
              <w:rPr>
                <w:rFonts w:ascii="Book Antiqua" w:eastAsia="Times New Roman" w:hAnsi="Book Antiqua" w:cs="Calibri"/>
                <w:color w:val="000000"/>
                <w:sz w:val="18"/>
                <w:szCs w:val="18"/>
                <w:lang w:eastAsia="es-CR"/>
              </w:rPr>
            </w:pPr>
          </w:p>
        </w:tc>
        <w:tc>
          <w:tcPr>
            <w:tcW w:w="1173" w:type="dxa"/>
            <w:tcBorders>
              <w:top w:val="nil"/>
              <w:left w:val="nil"/>
              <w:bottom w:val="single" w:sz="4" w:space="0" w:color="auto"/>
              <w:right w:val="single" w:sz="4" w:space="0" w:color="auto"/>
            </w:tcBorders>
            <w:shd w:val="clear" w:color="auto" w:fill="auto"/>
            <w:vAlign w:val="center"/>
            <w:hideMark/>
          </w:tcPr>
          <w:p w14:paraId="69980C33"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 xml:space="preserve">0716 </w:t>
            </w:r>
            <w:r>
              <w:rPr>
                <w:rFonts w:ascii="Book Antiqua" w:eastAsia="Times New Roman" w:hAnsi="Book Antiqua" w:cs="Calibri"/>
                <w:color w:val="000000"/>
                <w:sz w:val="18"/>
                <w:szCs w:val="18"/>
                <w:lang w:eastAsia="es-CR"/>
              </w:rPr>
              <w:t>U</w:t>
            </w:r>
            <w:r w:rsidRPr="00D207B8">
              <w:rPr>
                <w:rFonts w:ascii="Book Antiqua" w:eastAsia="Times New Roman" w:hAnsi="Book Antiqua" w:cs="Calibri"/>
                <w:color w:val="000000"/>
                <w:sz w:val="18"/>
                <w:szCs w:val="18"/>
                <w:lang w:eastAsia="es-CR"/>
              </w:rPr>
              <w:t xml:space="preserve">nidad de </w:t>
            </w:r>
            <w:r>
              <w:rPr>
                <w:rFonts w:ascii="Book Antiqua" w:eastAsia="Times New Roman" w:hAnsi="Book Antiqua" w:cs="Calibri"/>
                <w:color w:val="000000"/>
                <w:sz w:val="18"/>
                <w:szCs w:val="18"/>
                <w:lang w:eastAsia="es-CR"/>
              </w:rPr>
              <w:t>C</w:t>
            </w:r>
            <w:r w:rsidRPr="00D207B8">
              <w:rPr>
                <w:rFonts w:ascii="Book Antiqua" w:eastAsia="Times New Roman" w:hAnsi="Book Antiqua" w:cs="Calibri"/>
                <w:color w:val="000000"/>
                <w:sz w:val="18"/>
                <w:szCs w:val="18"/>
                <w:lang w:eastAsia="es-CR"/>
              </w:rPr>
              <w:t xml:space="preserve">apacitación y </w:t>
            </w:r>
            <w:r>
              <w:rPr>
                <w:rFonts w:ascii="Book Antiqua" w:eastAsia="Times New Roman" w:hAnsi="Book Antiqua" w:cs="Calibri"/>
                <w:color w:val="000000"/>
                <w:sz w:val="18"/>
                <w:szCs w:val="18"/>
                <w:lang w:eastAsia="es-CR"/>
              </w:rPr>
              <w:t>S</w:t>
            </w:r>
            <w:r w:rsidRPr="00D207B8">
              <w:rPr>
                <w:rFonts w:ascii="Book Antiqua" w:eastAsia="Times New Roman" w:hAnsi="Book Antiqua" w:cs="Calibri"/>
                <w:color w:val="000000"/>
                <w:sz w:val="18"/>
                <w:szCs w:val="18"/>
                <w:lang w:eastAsia="es-CR"/>
              </w:rPr>
              <w:t>upervisión (</w:t>
            </w:r>
            <w:r>
              <w:rPr>
                <w:rFonts w:ascii="Book Antiqua" w:eastAsia="Times New Roman" w:hAnsi="Book Antiqua" w:cs="Calibri"/>
                <w:color w:val="000000"/>
                <w:sz w:val="18"/>
                <w:szCs w:val="18"/>
                <w:lang w:eastAsia="es-CR"/>
              </w:rPr>
              <w:t>M</w:t>
            </w:r>
            <w:r w:rsidRPr="00D207B8">
              <w:rPr>
                <w:rFonts w:ascii="Book Antiqua" w:eastAsia="Times New Roman" w:hAnsi="Book Antiqua" w:cs="Calibri"/>
                <w:color w:val="000000"/>
                <w:sz w:val="18"/>
                <w:szCs w:val="18"/>
                <w:lang w:eastAsia="es-CR"/>
              </w:rPr>
              <w:t xml:space="preserve">inisterio </w:t>
            </w:r>
            <w:r>
              <w:rPr>
                <w:rFonts w:ascii="Book Antiqua" w:eastAsia="Times New Roman" w:hAnsi="Book Antiqua" w:cs="Calibri"/>
                <w:color w:val="000000"/>
                <w:sz w:val="18"/>
                <w:szCs w:val="18"/>
                <w:lang w:eastAsia="es-CR"/>
              </w:rPr>
              <w:t>P</w:t>
            </w:r>
            <w:r w:rsidRPr="00D207B8">
              <w:rPr>
                <w:rFonts w:ascii="Book Antiqua" w:eastAsia="Times New Roman" w:hAnsi="Book Antiqua" w:cs="Calibri"/>
                <w:color w:val="000000"/>
                <w:sz w:val="18"/>
                <w:szCs w:val="18"/>
                <w:lang w:eastAsia="es-CR"/>
              </w:rPr>
              <w:t>ublico)</w:t>
            </w:r>
          </w:p>
        </w:tc>
        <w:tc>
          <w:tcPr>
            <w:tcW w:w="1054" w:type="dxa"/>
            <w:tcBorders>
              <w:top w:val="nil"/>
              <w:left w:val="nil"/>
              <w:bottom w:val="single" w:sz="4" w:space="0" w:color="auto"/>
              <w:right w:val="single" w:sz="4" w:space="0" w:color="auto"/>
            </w:tcBorders>
            <w:shd w:val="clear" w:color="auto" w:fill="auto"/>
            <w:vAlign w:val="center"/>
            <w:hideMark/>
          </w:tcPr>
          <w:p w14:paraId="0918E768"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0717-MP-P16</w:t>
            </w:r>
          </w:p>
        </w:tc>
        <w:tc>
          <w:tcPr>
            <w:tcW w:w="2257" w:type="dxa"/>
            <w:tcBorders>
              <w:top w:val="nil"/>
              <w:left w:val="nil"/>
              <w:bottom w:val="single" w:sz="4" w:space="0" w:color="auto"/>
              <w:right w:val="single" w:sz="4" w:space="0" w:color="auto"/>
            </w:tcBorders>
            <w:shd w:val="clear" w:color="auto" w:fill="auto"/>
            <w:vAlign w:val="center"/>
            <w:hideMark/>
          </w:tcPr>
          <w:p w14:paraId="1B724352"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Actualización de materiales didácticos y cursos de acuerdo con las reformas legales en materia penal, penal juvenil y procesal penal</w:t>
            </w:r>
          </w:p>
        </w:tc>
        <w:tc>
          <w:tcPr>
            <w:tcW w:w="1265" w:type="dxa"/>
            <w:tcBorders>
              <w:top w:val="nil"/>
              <w:left w:val="nil"/>
              <w:bottom w:val="single" w:sz="4" w:space="0" w:color="auto"/>
              <w:right w:val="single" w:sz="4" w:space="0" w:color="auto"/>
            </w:tcBorders>
            <w:shd w:val="clear" w:color="auto" w:fill="auto"/>
            <w:vAlign w:val="center"/>
            <w:hideMark/>
          </w:tcPr>
          <w:p w14:paraId="098D5FA8"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2.4</w:t>
            </w:r>
          </w:p>
        </w:tc>
        <w:tc>
          <w:tcPr>
            <w:tcW w:w="2846" w:type="dxa"/>
            <w:tcBorders>
              <w:top w:val="nil"/>
              <w:left w:val="nil"/>
              <w:bottom w:val="single" w:sz="4" w:space="0" w:color="auto"/>
              <w:right w:val="single" w:sz="4" w:space="0" w:color="auto"/>
            </w:tcBorders>
            <w:shd w:val="clear" w:color="auto" w:fill="auto"/>
            <w:vAlign w:val="center"/>
            <w:hideMark/>
          </w:tcPr>
          <w:p w14:paraId="0F9B72B9" w14:textId="77777777" w:rsidR="000B7A67" w:rsidRPr="00D207B8" w:rsidRDefault="000B7A67" w:rsidP="00F402B4">
            <w:pPr>
              <w:spacing w:after="0" w:line="240" w:lineRule="auto"/>
              <w:jc w:val="both"/>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Pendiente aprobación del informe de cierre por parte del patrocinador</w:t>
            </w:r>
          </w:p>
        </w:tc>
      </w:tr>
    </w:tbl>
    <w:p w14:paraId="09209FC1" w14:textId="65D7B594" w:rsidR="000B7A67" w:rsidRDefault="000B7A67" w:rsidP="00DD5642">
      <w:pPr>
        <w:spacing w:after="0"/>
        <w:jc w:val="right"/>
        <w:rPr>
          <w:rFonts w:ascii="Book Antiqua" w:hAnsi="Book Antiqua"/>
        </w:rPr>
      </w:pPr>
      <w:r>
        <w:rPr>
          <w:rFonts w:ascii="Book Antiqua" w:hAnsi="Book Antiqua"/>
        </w:rPr>
        <w:t xml:space="preserve"> “</w:t>
      </w:r>
      <w:r w:rsidR="00DD5642">
        <w:rPr>
          <w:rFonts w:ascii="Book Antiqua" w:hAnsi="Book Antiqua"/>
        </w:rPr>
        <w:t>.</w:t>
      </w:r>
    </w:p>
    <w:p w14:paraId="439D564D" w14:textId="77777777" w:rsidR="000B7A67" w:rsidRDefault="000B7A67" w:rsidP="000B7A67">
      <w:pPr>
        <w:spacing w:after="0"/>
        <w:jc w:val="both"/>
        <w:rPr>
          <w:rFonts w:ascii="Book Antiqua" w:hAnsi="Book Antiqua"/>
        </w:rPr>
      </w:pPr>
    </w:p>
    <w:p w14:paraId="0604A1BE" w14:textId="77777777" w:rsidR="000B7A67" w:rsidRDefault="000B7A67" w:rsidP="000B7A67">
      <w:pPr>
        <w:spacing w:after="0"/>
        <w:jc w:val="both"/>
        <w:rPr>
          <w:rFonts w:ascii="Book Antiqua" w:hAnsi="Book Antiqua"/>
        </w:rPr>
      </w:pPr>
      <w:r>
        <w:rPr>
          <w:rFonts w:ascii="Book Antiqua" w:hAnsi="Book Antiqua"/>
          <w:sz w:val="24"/>
          <w:szCs w:val="24"/>
        </w:rPr>
        <w:t>Con la finalidad de dar seguimiento a esta recomendación, se remite correo a la oficina mediante el oficio 1812</w:t>
      </w:r>
      <w:r w:rsidRPr="004C19A1">
        <w:rPr>
          <w:rFonts w:ascii="Book Antiqua" w:hAnsi="Book Antiqua"/>
          <w:sz w:val="24"/>
          <w:szCs w:val="24"/>
        </w:rPr>
        <w:t>-PLA-PP-TR-2023</w:t>
      </w:r>
      <w:r>
        <w:rPr>
          <w:rFonts w:ascii="Book Antiqua" w:hAnsi="Book Antiqua"/>
          <w:sz w:val="24"/>
          <w:szCs w:val="24"/>
        </w:rPr>
        <w:t>.</w:t>
      </w:r>
    </w:p>
    <w:p w14:paraId="7ABD9A5C" w14:textId="77777777" w:rsidR="000B7A67" w:rsidRDefault="000B7A67" w:rsidP="000B7A67">
      <w:pPr>
        <w:spacing w:after="0"/>
        <w:jc w:val="both"/>
        <w:rPr>
          <w:rFonts w:ascii="Book Antiqua" w:hAnsi="Book Antiqua"/>
        </w:rPr>
      </w:pPr>
    </w:p>
    <w:p w14:paraId="56D7BF4B" w14:textId="15D80A56" w:rsidR="000B7A67" w:rsidRDefault="000B7A67" w:rsidP="000B7A67">
      <w:pPr>
        <w:spacing w:after="0"/>
        <w:jc w:val="both"/>
        <w:rPr>
          <w:rFonts w:ascii="Book Antiqua" w:eastAsia="Wingdings" w:hAnsi="Book Antiqua"/>
          <w:b/>
          <w:bCs/>
          <w:sz w:val="24"/>
          <w:szCs w:val="24"/>
          <w:lang w:eastAsia="ko-KR"/>
        </w:rPr>
      </w:pPr>
      <w:r>
        <w:rPr>
          <w:rFonts w:ascii="Book Antiqua" w:hAnsi="Book Antiqua"/>
          <w:sz w:val="24"/>
          <w:szCs w:val="24"/>
        </w:rPr>
        <w:t>Además,</w:t>
      </w:r>
      <w:r w:rsidRPr="00FA687A">
        <w:rPr>
          <w:rFonts w:ascii="Book Antiqua" w:hAnsi="Book Antiqua"/>
          <w:sz w:val="24"/>
          <w:szCs w:val="24"/>
        </w:rPr>
        <w:t xml:space="preserve"> se procedió a revisar en </w:t>
      </w:r>
      <w:r>
        <w:rPr>
          <w:rFonts w:ascii="Book Antiqua" w:hAnsi="Book Antiqua"/>
          <w:sz w:val="24"/>
          <w:szCs w:val="24"/>
        </w:rPr>
        <w:t>el</w:t>
      </w:r>
      <w:r w:rsidRPr="00FA687A">
        <w:rPr>
          <w:rFonts w:ascii="Book Antiqua" w:hAnsi="Book Antiqua"/>
          <w:sz w:val="24"/>
          <w:szCs w:val="24"/>
        </w:rPr>
        <w:t xml:space="preserve"> centro de proyectos</w:t>
      </w:r>
      <w:r>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estas recomendaciones (</w:t>
      </w:r>
      <w:hyperlink r:id="rId26" w:history="1">
        <w:r w:rsidRPr="00EC36AD">
          <w:rPr>
            <w:rStyle w:val="Hipervnculo"/>
            <w:rFonts w:ascii="Book Antiqua" w:hAnsi="Book Antiqua"/>
            <w:sz w:val="24"/>
            <w:szCs w:val="24"/>
          </w:rPr>
          <w:t>Ver enlace:</w:t>
        </w:r>
        <w:r w:rsidRPr="00EC36AD">
          <w:rPr>
            <w:rStyle w:val="Hipervnculo"/>
          </w:rPr>
          <w:t xml:space="preserve"> </w:t>
        </w:r>
        <w:r w:rsidRPr="00EC36AD">
          <w:rPr>
            <w:rStyle w:val="Hipervnculo"/>
            <w:rFonts w:ascii="Book Antiqua" w:hAnsi="Book Antiqua"/>
            <w:sz w:val="24"/>
            <w:szCs w:val="24"/>
          </w:rPr>
          <w:t>Ministerio Público</w:t>
        </w:r>
      </w:hyperlink>
      <w:r w:rsidRPr="00FA687A">
        <w:rPr>
          <w:rFonts w:ascii="Book Antiqua" w:hAnsi="Book Antiqua"/>
          <w:sz w:val="24"/>
          <w:szCs w:val="24"/>
        </w:rPr>
        <w:t>);</w:t>
      </w:r>
      <w:r w:rsidRPr="00414C02">
        <w:rPr>
          <w:rFonts w:ascii="Book Antiqua" w:hAnsi="Book Antiqua"/>
          <w:sz w:val="24"/>
          <w:szCs w:val="24"/>
        </w:rPr>
        <w:t xml:space="preserve"> </w:t>
      </w:r>
      <w:r>
        <w:rPr>
          <w:rFonts w:ascii="Book Antiqua" w:hAnsi="Book Antiqua"/>
          <w:sz w:val="24"/>
          <w:szCs w:val="24"/>
        </w:rPr>
        <w:t xml:space="preserve">constatando el cumplimiento de </w:t>
      </w:r>
      <w:r w:rsidR="00F402B4">
        <w:rPr>
          <w:rFonts w:ascii="Book Antiqua" w:hAnsi="Book Antiqua"/>
          <w:sz w:val="24"/>
          <w:szCs w:val="24"/>
        </w:rPr>
        <w:t>las recomendaciones</w:t>
      </w:r>
      <w:r>
        <w:rPr>
          <w:rFonts w:ascii="Book Antiqua" w:hAnsi="Book Antiqua"/>
          <w:sz w:val="24"/>
          <w:szCs w:val="24"/>
        </w:rPr>
        <w:t>.</w:t>
      </w:r>
    </w:p>
    <w:bookmarkEnd w:id="28"/>
    <w:p w14:paraId="2DD29476" w14:textId="77777777" w:rsidR="000B7A67" w:rsidRDefault="000B7A67" w:rsidP="000B7A67">
      <w:pPr>
        <w:spacing w:after="0"/>
        <w:jc w:val="both"/>
        <w:rPr>
          <w:rFonts w:ascii="Book Antiqua" w:hAnsi="Book Antiqua"/>
          <w:b/>
          <w:sz w:val="24"/>
          <w:szCs w:val="24"/>
        </w:rPr>
      </w:pPr>
    </w:p>
    <w:p w14:paraId="02964225" w14:textId="77777777" w:rsidR="000B7A67" w:rsidRDefault="000B7A67" w:rsidP="000B7A67">
      <w:pPr>
        <w:pStyle w:val="Ttulo2"/>
        <w:numPr>
          <w:ilvl w:val="0"/>
          <w:numId w:val="3"/>
        </w:numPr>
        <w:tabs>
          <w:tab w:val="left" w:pos="851"/>
        </w:tabs>
        <w:spacing w:before="0"/>
        <w:jc w:val="both"/>
        <w:rPr>
          <w:rFonts w:ascii="Book Antiqua" w:eastAsia="Wingdings" w:hAnsi="Book Antiqua"/>
          <w:b/>
          <w:bCs/>
          <w:color w:val="auto"/>
          <w:lang w:eastAsia="ko-KR"/>
        </w:rPr>
      </w:pPr>
      <w:bookmarkStart w:id="40" w:name="_Toc138770836"/>
      <w:bookmarkStart w:id="41" w:name="_Toc131160524"/>
      <w:r w:rsidRPr="00EC36AD">
        <w:rPr>
          <w:rFonts w:ascii="Book Antiqua" w:eastAsia="Wingdings" w:hAnsi="Book Antiqua"/>
          <w:b/>
          <w:bCs/>
          <w:color w:val="auto"/>
          <w:lang w:eastAsia="ko-KR"/>
        </w:rPr>
        <w:t>Recomendaciones dirigidas a</w:t>
      </w:r>
      <w:r>
        <w:rPr>
          <w:rFonts w:ascii="Book Antiqua" w:eastAsia="Wingdings" w:hAnsi="Book Antiqua"/>
          <w:b/>
          <w:bCs/>
          <w:color w:val="auto"/>
          <w:lang w:eastAsia="ko-KR"/>
        </w:rPr>
        <w:t xml:space="preserve"> la</w:t>
      </w:r>
      <w:r w:rsidRPr="00EC36AD">
        <w:rPr>
          <w:rFonts w:ascii="Book Antiqua" w:eastAsia="Wingdings" w:hAnsi="Book Antiqua"/>
          <w:b/>
          <w:bCs/>
          <w:color w:val="auto"/>
          <w:lang w:eastAsia="ko-KR"/>
        </w:rPr>
        <w:t xml:space="preserve"> Oficina de Control Interno</w:t>
      </w:r>
      <w:bookmarkEnd w:id="40"/>
    </w:p>
    <w:p w14:paraId="59743FA9" w14:textId="77777777" w:rsidR="000B7A67" w:rsidRPr="00EC36AD" w:rsidRDefault="000B7A67" w:rsidP="000B7A67">
      <w:pPr>
        <w:rPr>
          <w:lang w:eastAsia="ko-KR"/>
        </w:rPr>
      </w:pPr>
    </w:p>
    <w:p w14:paraId="5BBB1568" w14:textId="77777777" w:rsidR="000B7A67" w:rsidRDefault="000B7A67" w:rsidP="000B7A67">
      <w:pPr>
        <w:spacing w:after="0"/>
        <w:jc w:val="both"/>
        <w:rPr>
          <w:rFonts w:ascii="Book Antiqua" w:hAnsi="Book Antiqua"/>
          <w:sz w:val="24"/>
          <w:szCs w:val="24"/>
        </w:rPr>
      </w:pPr>
      <w:r>
        <w:rPr>
          <w:rFonts w:ascii="Book Antiqua" w:hAnsi="Book Antiqua"/>
          <w:sz w:val="24"/>
          <w:szCs w:val="24"/>
        </w:rPr>
        <w:t xml:space="preserve">En el informe 277-PLA-PP-2023, se dirigió una recomendación a la </w:t>
      </w:r>
      <w:r w:rsidRPr="00EC36AD">
        <w:rPr>
          <w:rFonts w:ascii="Book Antiqua" w:hAnsi="Book Antiqua"/>
          <w:sz w:val="24"/>
          <w:szCs w:val="24"/>
        </w:rPr>
        <w:t>Oficina de Control Interno</w:t>
      </w:r>
      <w:r>
        <w:rPr>
          <w:rFonts w:ascii="Book Antiqua" w:eastAsia="Wingdings" w:hAnsi="Book Antiqua"/>
          <w:b/>
          <w:bCs/>
          <w:lang w:eastAsia="ko-KR"/>
        </w:rPr>
        <w:t>,</w:t>
      </w:r>
      <w:r>
        <w:rPr>
          <w:rFonts w:ascii="Book Antiqua" w:hAnsi="Book Antiqua"/>
          <w:sz w:val="24"/>
          <w:szCs w:val="24"/>
        </w:rPr>
        <w:t xml:space="preserve"> debido a que existía un proyecto con gestiones pendientes de atender o nuevas recomendaciones, por lo anterior se realiza el seguimiento a las siguientes recomendaciones:</w:t>
      </w:r>
    </w:p>
    <w:p w14:paraId="33310D8D" w14:textId="77777777" w:rsidR="000B7A67" w:rsidRDefault="000B7A67" w:rsidP="000B7A67">
      <w:pPr>
        <w:spacing w:after="0"/>
        <w:jc w:val="both"/>
        <w:rPr>
          <w:rFonts w:ascii="Book Antiqua" w:hAnsi="Book Antiqua"/>
          <w:sz w:val="24"/>
          <w:szCs w:val="24"/>
        </w:rPr>
      </w:pPr>
    </w:p>
    <w:p w14:paraId="7BE19ABC" w14:textId="007419C6" w:rsidR="000B7A67" w:rsidRDefault="000B7A67" w:rsidP="000B7A67">
      <w:pPr>
        <w:jc w:val="both"/>
        <w:rPr>
          <w:rFonts w:ascii="Book Antiqua" w:hAnsi="Book Antiqua"/>
          <w:i/>
          <w:iCs/>
          <w:sz w:val="24"/>
          <w:szCs w:val="24"/>
        </w:rPr>
      </w:pPr>
      <w:r>
        <w:rPr>
          <w:rFonts w:ascii="Book Antiqua" w:hAnsi="Book Antiqua"/>
          <w:i/>
          <w:iCs/>
          <w:sz w:val="24"/>
          <w:szCs w:val="24"/>
        </w:rPr>
        <w:t>    </w:t>
      </w:r>
      <w:r w:rsidR="00DD5642">
        <w:rPr>
          <w:rFonts w:ascii="Book Antiqua" w:hAnsi="Book Antiqua"/>
          <w:i/>
          <w:iCs/>
          <w:sz w:val="24"/>
          <w:szCs w:val="24"/>
        </w:rPr>
        <w:t>“</w:t>
      </w:r>
      <w:r>
        <w:rPr>
          <w:rFonts w:ascii="Book Antiqua" w:hAnsi="Book Antiqua"/>
          <w:b/>
          <w:bCs/>
          <w:i/>
          <w:iCs/>
          <w:sz w:val="24"/>
          <w:szCs w:val="24"/>
        </w:rPr>
        <w:t xml:space="preserve">2.16) </w:t>
      </w:r>
      <w:r w:rsidRPr="00EC36AD">
        <w:rPr>
          <w:rFonts w:ascii="Book Antiqua" w:hAnsi="Book Antiqua"/>
          <w:i/>
          <w:iCs/>
          <w:sz w:val="24"/>
          <w:szCs w:val="24"/>
        </w:rPr>
        <w:t>La Escuela Judicial, la Inspección Judicial, la Junta Administradora del Fondo de Jubilaciones del Poder Judicial, el Ministerio Público, la Oficina de Control Interno, la Oficina de Cumplimiento, el Organismo de Investigación Judicial, deberán por su orden:</w:t>
      </w:r>
      <w:r>
        <w:rPr>
          <w:rFonts w:ascii="Book Antiqua" w:hAnsi="Book Antiqua"/>
          <w:b/>
          <w:bCs/>
          <w:i/>
          <w:iCs/>
          <w:sz w:val="24"/>
          <w:szCs w:val="24"/>
        </w:rPr>
        <w:t xml:space="preserve">  </w:t>
      </w:r>
      <w:r w:rsidRPr="00EC36AD">
        <w:rPr>
          <w:rFonts w:ascii="Book Antiqua" w:hAnsi="Book Antiqua"/>
          <w:i/>
          <w:iCs/>
          <w:sz w:val="24"/>
          <w:szCs w:val="24"/>
        </w:rPr>
        <w:t>a)</w:t>
      </w:r>
      <w:r>
        <w:rPr>
          <w:rFonts w:ascii="Book Antiqua" w:hAnsi="Book Antiqua"/>
          <w:b/>
          <w:bCs/>
          <w:i/>
          <w:iCs/>
          <w:sz w:val="24"/>
          <w:szCs w:val="24"/>
        </w:rPr>
        <w:t xml:space="preserve"> </w:t>
      </w:r>
      <w:r>
        <w:rPr>
          <w:rFonts w:ascii="Book Antiqua" w:eastAsia="Times New Roman" w:hAnsi="Book Antiqua"/>
          <w:i/>
          <w:iCs/>
          <w:sz w:val="24"/>
          <w:szCs w:val="24"/>
        </w:rPr>
        <w:t xml:space="preserve">A más tardar el 28 de abril del 2023, cargar en el sitio de proyecto la atención de las recomendaciones </w:t>
      </w:r>
      <w:r>
        <w:rPr>
          <w:rFonts w:ascii="Book Antiqua" w:eastAsia="Times New Roman" w:hAnsi="Book Antiqua"/>
          <w:i/>
          <w:iCs/>
          <w:sz w:val="24"/>
          <w:szCs w:val="24"/>
        </w:rPr>
        <w:lastRenderedPageBreak/>
        <w:t>que, para cada uno de esos órganos, se disponen en la respectiva tabla que se incluye en el presente informe.</w:t>
      </w:r>
      <w:r>
        <w:rPr>
          <w:rFonts w:ascii="Book Antiqua" w:hAnsi="Book Antiqua"/>
          <w:i/>
          <w:iCs/>
          <w:sz w:val="24"/>
          <w:szCs w:val="24"/>
        </w:rPr>
        <w:t xml:space="preserve"> b) Por su parte, el Organismo de Investigación Judicial, deberá, además: i. Tomar las medidas pertinentes a fin de poder contrarrestar los atrasos presentados y, cuando no  sea posible subsanar los atrasos, deberá valorar la presentación de una solicitud de cambio en los casos que el retraso afecte la fecha de finalización de los proyectos y que la misma tenga autorización de la persona jefe o del director del proyecto. ii. Revisar y monitorear los proyectos que presentan un retraso significativo, y cuentan con permisos con goce otorgados”</w:t>
      </w:r>
    </w:p>
    <w:tbl>
      <w:tblPr>
        <w:tblW w:w="9640" w:type="dxa"/>
        <w:tblInd w:w="-289" w:type="dxa"/>
        <w:tblCellMar>
          <w:left w:w="70" w:type="dxa"/>
          <w:right w:w="70" w:type="dxa"/>
        </w:tblCellMar>
        <w:tblLook w:val="04A0" w:firstRow="1" w:lastRow="0" w:firstColumn="1" w:lastColumn="0" w:noHBand="0" w:noVBand="1"/>
      </w:tblPr>
      <w:tblGrid>
        <w:gridCol w:w="1560"/>
        <w:gridCol w:w="1276"/>
        <w:gridCol w:w="993"/>
        <w:gridCol w:w="2551"/>
        <w:gridCol w:w="992"/>
        <w:gridCol w:w="2268"/>
      </w:tblGrid>
      <w:tr w:rsidR="00BC00B3" w:rsidRPr="00D207B8" w14:paraId="275292B6" w14:textId="77777777" w:rsidTr="00F402B4">
        <w:trPr>
          <w:trHeight w:val="300"/>
        </w:trPr>
        <w:tc>
          <w:tcPr>
            <w:tcW w:w="156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18FA0733"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 xml:space="preserve">Centro de responsabilidad </w:t>
            </w:r>
          </w:p>
        </w:tc>
        <w:tc>
          <w:tcPr>
            <w:tcW w:w="1276" w:type="dxa"/>
            <w:tcBorders>
              <w:top w:val="single" w:sz="4" w:space="0" w:color="auto"/>
              <w:left w:val="nil"/>
              <w:bottom w:val="single" w:sz="4" w:space="0" w:color="auto"/>
              <w:right w:val="single" w:sz="4" w:space="0" w:color="auto"/>
            </w:tcBorders>
            <w:shd w:val="clear" w:color="000000" w:fill="44546A"/>
            <w:vAlign w:val="center"/>
            <w:hideMark/>
          </w:tcPr>
          <w:p w14:paraId="4AF2EE64"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Oficina Líder</w:t>
            </w:r>
          </w:p>
        </w:tc>
        <w:tc>
          <w:tcPr>
            <w:tcW w:w="993" w:type="dxa"/>
            <w:tcBorders>
              <w:top w:val="single" w:sz="4" w:space="0" w:color="auto"/>
              <w:left w:val="nil"/>
              <w:bottom w:val="single" w:sz="4" w:space="0" w:color="auto"/>
              <w:right w:val="single" w:sz="4" w:space="0" w:color="auto"/>
            </w:tcBorders>
            <w:shd w:val="clear" w:color="000000" w:fill="44546A"/>
            <w:vAlign w:val="center"/>
            <w:hideMark/>
          </w:tcPr>
          <w:p w14:paraId="64B05B60"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Código</w:t>
            </w:r>
          </w:p>
        </w:tc>
        <w:tc>
          <w:tcPr>
            <w:tcW w:w="2551" w:type="dxa"/>
            <w:tcBorders>
              <w:top w:val="single" w:sz="4" w:space="0" w:color="auto"/>
              <w:left w:val="nil"/>
              <w:bottom w:val="single" w:sz="4" w:space="0" w:color="auto"/>
              <w:right w:val="single" w:sz="4" w:space="0" w:color="auto"/>
            </w:tcBorders>
            <w:shd w:val="clear" w:color="000000" w:fill="44546A"/>
            <w:vAlign w:val="center"/>
            <w:hideMark/>
          </w:tcPr>
          <w:p w14:paraId="5CAE650A"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Nombre</w:t>
            </w:r>
          </w:p>
        </w:tc>
        <w:tc>
          <w:tcPr>
            <w:tcW w:w="992" w:type="dxa"/>
            <w:tcBorders>
              <w:top w:val="single" w:sz="4" w:space="0" w:color="auto"/>
              <w:left w:val="nil"/>
              <w:bottom w:val="single" w:sz="4" w:space="0" w:color="auto"/>
              <w:right w:val="single" w:sz="4" w:space="0" w:color="auto"/>
            </w:tcBorders>
            <w:shd w:val="clear" w:color="000000" w:fill="44546A"/>
            <w:vAlign w:val="center"/>
            <w:hideMark/>
          </w:tcPr>
          <w:p w14:paraId="29671171"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Parte pendiente</w:t>
            </w:r>
          </w:p>
        </w:tc>
        <w:tc>
          <w:tcPr>
            <w:tcW w:w="2268" w:type="dxa"/>
            <w:tcBorders>
              <w:top w:val="single" w:sz="4" w:space="0" w:color="auto"/>
              <w:left w:val="nil"/>
              <w:bottom w:val="single" w:sz="4" w:space="0" w:color="auto"/>
              <w:right w:val="single" w:sz="4" w:space="0" w:color="auto"/>
            </w:tcBorders>
            <w:shd w:val="clear" w:color="000000" w:fill="44546A"/>
            <w:vAlign w:val="center"/>
            <w:hideMark/>
          </w:tcPr>
          <w:p w14:paraId="7214E999"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 xml:space="preserve">Detalle </w:t>
            </w:r>
          </w:p>
        </w:tc>
      </w:tr>
      <w:tr w:rsidR="00BC00B3" w:rsidRPr="00D207B8" w14:paraId="4F9C126E" w14:textId="77777777" w:rsidTr="00F402B4">
        <w:trPr>
          <w:trHeight w:val="9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5D31AF9"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Oficina de Control Interno</w:t>
            </w:r>
          </w:p>
        </w:tc>
        <w:tc>
          <w:tcPr>
            <w:tcW w:w="1276" w:type="dxa"/>
            <w:tcBorders>
              <w:top w:val="nil"/>
              <w:left w:val="nil"/>
              <w:bottom w:val="single" w:sz="4" w:space="0" w:color="auto"/>
              <w:right w:val="single" w:sz="4" w:space="0" w:color="auto"/>
            </w:tcBorders>
            <w:shd w:val="clear" w:color="auto" w:fill="auto"/>
            <w:vAlign w:val="center"/>
            <w:hideMark/>
          </w:tcPr>
          <w:p w14:paraId="2EBE878B"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Times New Roman" w:eastAsia="Times New Roman" w:hAnsi="Times New Roman" w:cs="Times New Roman"/>
                <w:color w:val="000000"/>
                <w:sz w:val="18"/>
                <w:szCs w:val="18"/>
                <w:lang w:eastAsia="es-CR"/>
              </w:rPr>
              <w:t>​</w:t>
            </w:r>
            <w:r w:rsidRPr="00D207B8">
              <w:rPr>
                <w:rFonts w:ascii="Book Antiqua" w:eastAsia="Times New Roman" w:hAnsi="Book Antiqua" w:cs="Calibri"/>
                <w:color w:val="000000"/>
                <w:sz w:val="18"/>
                <w:szCs w:val="18"/>
                <w:lang w:eastAsia="es-CR"/>
              </w:rPr>
              <w:t>0914 Oficina de Control Interno</w:t>
            </w:r>
          </w:p>
        </w:tc>
        <w:tc>
          <w:tcPr>
            <w:tcW w:w="993" w:type="dxa"/>
            <w:tcBorders>
              <w:top w:val="nil"/>
              <w:left w:val="nil"/>
              <w:bottom w:val="single" w:sz="4" w:space="0" w:color="auto"/>
              <w:right w:val="single" w:sz="4" w:space="0" w:color="auto"/>
            </w:tcBorders>
            <w:shd w:val="clear" w:color="auto" w:fill="auto"/>
            <w:vAlign w:val="center"/>
            <w:hideMark/>
          </w:tcPr>
          <w:p w14:paraId="5E62A51A"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0914-OCI-P02</w:t>
            </w:r>
          </w:p>
        </w:tc>
        <w:tc>
          <w:tcPr>
            <w:tcW w:w="2551" w:type="dxa"/>
            <w:tcBorders>
              <w:top w:val="nil"/>
              <w:left w:val="nil"/>
              <w:bottom w:val="single" w:sz="4" w:space="0" w:color="auto"/>
              <w:right w:val="single" w:sz="4" w:space="0" w:color="auto"/>
            </w:tcBorders>
            <w:shd w:val="clear" w:color="auto" w:fill="auto"/>
            <w:vAlign w:val="center"/>
            <w:hideMark/>
          </w:tcPr>
          <w:p w14:paraId="0964CCD6"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Implementación del Sistema SEVRI y PAI, para el análisis de los riesgos estratégicos</w:t>
            </w:r>
          </w:p>
        </w:tc>
        <w:tc>
          <w:tcPr>
            <w:tcW w:w="992" w:type="dxa"/>
            <w:tcBorders>
              <w:top w:val="nil"/>
              <w:left w:val="nil"/>
              <w:bottom w:val="single" w:sz="4" w:space="0" w:color="auto"/>
              <w:right w:val="single" w:sz="4" w:space="0" w:color="auto"/>
            </w:tcBorders>
            <w:shd w:val="clear" w:color="auto" w:fill="auto"/>
            <w:vAlign w:val="center"/>
            <w:hideMark/>
          </w:tcPr>
          <w:p w14:paraId="7B12E0EA"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2.4</w:t>
            </w:r>
          </w:p>
        </w:tc>
        <w:tc>
          <w:tcPr>
            <w:tcW w:w="2268" w:type="dxa"/>
            <w:tcBorders>
              <w:top w:val="nil"/>
              <w:left w:val="nil"/>
              <w:bottom w:val="single" w:sz="4" w:space="0" w:color="auto"/>
              <w:right w:val="single" w:sz="4" w:space="0" w:color="auto"/>
            </w:tcBorders>
            <w:shd w:val="clear" w:color="auto" w:fill="auto"/>
            <w:vAlign w:val="center"/>
            <w:hideMark/>
          </w:tcPr>
          <w:p w14:paraId="1E4B7389"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Pendiente aprobación del informe de cierre por parte del patrocinador</w:t>
            </w:r>
          </w:p>
        </w:tc>
      </w:tr>
    </w:tbl>
    <w:p w14:paraId="317BE0A0" w14:textId="010D814C" w:rsidR="000B7A67" w:rsidRDefault="000B7A67" w:rsidP="00DD5642">
      <w:pPr>
        <w:spacing w:after="0"/>
        <w:jc w:val="right"/>
        <w:rPr>
          <w:rFonts w:ascii="Book Antiqua" w:hAnsi="Book Antiqua"/>
        </w:rPr>
      </w:pPr>
      <w:r>
        <w:rPr>
          <w:rFonts w:ascii="Book Antiqua" w:hAnsi="Book Antiqua"/>
        </w:rPr>
        <w:t xml:space="preserve"> “</w:t>
      </w:r>
      <w:r w:rsidR="00DD5642">
        <w:rPr>
          <w:rFonts w:ascii="Book Antiqua" w:hAnsi="Book Antiqua"/>
        </w:rPr>
        <w:t>.</w:t>
      </w:r>
    </w:p>
    <w:p w14:paraId="78652BB8" w14:textId="77777777" w:rsidR="000B7A67" w:rsidRDefault="000B7A67" w:rsidP="000B7A67">
      <w:pPr>
        <w:spacing w:after="0"/>
        <w:jc w:val="both"/>
        <w:rPr>
          <w:rFonts w:ascii="Book Antiqua" w:hAnsi="Book Antiqua"/>
        </w:rPr>
      </w:pPr>
    </w:p>
    <w:p w14:paraId="5C4B2AA0" w14:textId="77777777" w:rsidR="000B7A67" w:rsidRDefault="000B7A67" w:rsidP="000B7A67">
      <w:pPr>
        <w:spacing w:after="0"/>
        <w:jc w:val="both"/>
        <w:rPr>
          <w:rFonts w:ascii="Book Antiqua" w:hAnsi="Book Antiqua"/>
          <w:sz w:val="24"/>
          <w:szCs w:val="24"/>
        </w:rPr>
      </w:pPr>
      <w:r>
        <w:rPr>
          <w:rFonts w:ascii="Book Antiqua" w:hAnsi="Book Antiqua"/>
          <w:sz w:val="24"/>
          <w:szCs w:val="24"/>
        </w:rPr>
        <w:t>Con la finalidad de dar seguimiento a esta recomendación, se remite correo a la oficina mediante el oficio 1813</w:t>
      </w:r>
      <w:r w:rsidRPr="004C19A1">
        <w:rPr>
          <w:rFonts w:ascii="Book Antiqua" w:hAnsi="Book Antiqua"/>
          <w:sz w:val="24"/>
          <w:szCs w:val="24"/>
        </w:rPr>
        <w:t>-PLA-PP-TR-2023</w:t>
      </w:r>
      <w:r>
        <w:rPr>
          <w:rFonts w:ascii="Book Antiqua" w:hAnsi="Book Antiqua"/>
          <w:sz w:val="24"/>
          <w:szCs w:val="24"/>
        </w:rPr>
        <w:t>.</w:t>
      </w:r>
    </w:p>
    <w:p w14:paraId="4AAF34D6" w14:textId="77777777" w:rsidR="000B7A67" w:rsidRDefault="000B7A67" w:rsidP="000B7A67">
      <w:pPr>
        <w:spacing w:after="0"/>
        <w:jc w:val="both"/>
        <w:rPr>
          <w:rFonts w:ascii="Book Antiqua" w:hAnsi="Book Antiqua"/>
        </w:rPr>
      </w:pPr>
    </w:p>
    <w:p w14:paraId="3E8AC11F" w14:textId="77777777" w:rsidR="000B7A67" w:rsidRDefault="000B7A67" w:rsidP="000B7A67">
      <w:pPr>
        <w:spacing w:after="0"/>
        <w:jc w:val="both"/>
        <w:rPr>
          <w:rFonts w:ascii="Book Antiqua" w:hAnsi="Book Antiqua"/>
          <w:sz w:val="24"/>
          <w:szCs w:val="24"/>
        </w:rPr>
      </w:pPr>
      <w:r>
        <w:rPr>
          <w:rFonts w:ascii="Book Antiqua" w:hAnsi="Book Antiqua"/>
          <w:sz w:val="24"/>
          <w:szCs w:val="24"/>
        </w:rPr>
        <w:t>Además,</w:t>
      </w:r>
      <w:r w:rsidRPr="00FA687A">
        <w:rPr>
          <w:rFonts w:ascii="Book Antiqua" w:hAnsi="Book Antiqua"/>
          <w:sz w:val="24"/>
          <w:szCs w:val="24"/>
        </w:rPr>
        <w:t xml:space="preserve"> se procedió a revisar en </w:t>
      </w:r>
      <w:r>
        <w:rPr>
          <w:rFonts w:ascii="Book Antiqua" w:hAnsi="Book Antiqua"/>
          <w:sz w:val="24"/>
          <w:szCs w:val="24"/>
        </w:rPr>
        <w:t>el</w:t>
      </w:r>
      <w:r w:rsidRPr="00FA687A">
        <w:rPr>
          <w:rFonts w:ascii="Book Antiqua" w:hAnsi="Book Antiqua"/>
          <w:sz w:val="24"/>
          <w:szCs w:val="24"/>
        </w:rPr>
        <w:t xml:space="preserve"> centro de proyectos</w:t>
      </w:r>
      <w:r>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estas recomendaciones (</w:t>
      </w:r>
      <w:hyperlink r:id="rId27" w:history="1">
        <w:r w:rsidRPr="00151E43">
          <w:rPr>
            <w:rStyle w:val="Hipervnculo"/>
            <w:rFonts w:ascii="Book Antiqua" w:hAnsi="Book Antiqua"/>
            <w:sz w:val="24"/>
            <w:szCs w:val="24"/>
          </w:rPr>
          <w:t>Ver enlace:</w:t>
        </w:r>
        <w:r w:rsidRPr="00151E43">
          <w:rPr>
            <w:rStyle w:val="Hipervnculo"/>
          </w:rPr>
          <w:t xml:space="preserve"> </w:t>
        </w:r>
        <w:r w:rsidRPr="00151E43">
          <w:rPr>
            <w:rStyle w:val="Hipervnculo"/>
            <w:rFonts w:ascii="Book Antiqua" w:hAnsi="Book Antiqua"/>
            <w:sz w:val="24"/>
            <w:szCs w:val="24"/>
          </w:rPr>
          <w:t>Oficina de Control Interno</w:t>
        </w:r>
      </w:hyperlink>
      <w:r w:rsidRPr="00FA687A">
        <w:rPr>
          <w:rFonts w:ascii="Book Antiqua" w:hAnsi="Book Antiqua"/>
          <w:sz w:val="24"/>
          <w:szCs w:val="24"/>
        </w:rPr>
        <w:t>);</w:t>
      </w:r>
      <w:r w:rsidRPr="00414C02">
        <w:rPr>
          <w:rFonts w:ascii="Book Antiqua" w:hAnsi="Book Antiqua"/>
          <w:sz w:val="24"/>
          <w:szCs w:val="24"/>
        </w:rPr>
        <w:t xml:space="preserve"> </w:t>
      </w:r>
      <w:r>
        <w:rPr>
          <w:rFonts w:ascii="Book Antiqua" w:hAnsi="Book Antiqua"/>
          <w:sz w:val="24"/>
          <w:szCs w:val="24"/>
        </w:rPr>
        <w:t>no obstante, se identifica un proyecto que se requiere ajustar y atender la recomendación, el cual se detallan a continuación:</w:t>
      </w:r>
    </w:p>
    <w:p w14:paraId="6C1F91C2" w14:textId="77777777" w:rsidR="000B7A67" w:rsidRDefault="000B7A67" w:rsidP="000B7A67">
      <w:pPr>
        <w:spacing w:after="0"/>
        <w:jc w:val="both"/>
        <w:rPr>
          <w:rFonts w:ascii="Book Antiqua" w:hAnsi="Book Antiqua"/>
          <w:sz w:val="24"/>
          <w:szCs w:val="24"/>
        </w:rPr>
      </w:pPr>
    </w:p>
    <w:p w14:paraId="1227B4F8" w14:textId="42648ABE" w:rsidR="000B7A67" w:rsidRDefault="000B7A67" w:rsidP="000B7A67">
      <w:pPr>
        <w:pStyle w:val="Descripcin"/>
        <w:keepNext/>
        <w:spacing w:after="0"/>
        <w:jc w:val="center"/>
        <w:rPr>
          <w:rFonts w:ascii="Book Antiqua" w:hAnsi="Book Antiqua" w:cs="&amp;quot"/>
          <w:b/>
          <w:i w:val="0"/>
          <w:iCs w:val="0"/>
          <w:color w:val="auto"/>
          <w:sz w:val="24"/>
          <w:szCs w:val="24"/>
        </w:rPr>
      </w:pPr>
      <w:r w:rsidRPr="00A562C7">
        <w:rPr>
          <w:rFonts w:ascii="Book Antiqua" w:hAnsi="Book Antiqua" w:cs="&amp;quot"/>
          <w:b/>
          <w:i w:val="0"/>
          <w:iCs w:val="0"/>
          <w:color w:val="auto"/>
          <w:sz w:val="24"/>
          <w:szCs w:val="24"/>
        </w:rPr>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sidR="00844144">
        <w:rPr>
          <w:rFonts w:ascii="Book Antiqua" w:hAnsi="Book Antiqua" w:cs="&amp;quot"/>
          <w:b/>
          <w:i w:val="0"/>
          <w:iCs w:val="0"/>
          <w:noProof/>
          <w:color w:val="auto"/>
          <w:sz w:val="24"/>
          <w:szCs w:val="24"/>
        </w:rPr>
        <w:t>9</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sidR="00F402B4">
        <w:rPr>
          <w:rFonts w:ascii="Book Antiqua" w:hAnsi="Book Antiqua" w:cs="&amp;quot"/>
          <w:b/>
          <w:i w:val="0"/>
          <w:iCs w:val="0"/>
          <w:color w:val="auto"/>
          <w:sz w:val="24"/>
          <w:szCs w:val="24"/>
        </w:rPr>
        <w:t>l</w:t>
      </w:r>
      <w:r w:rsidRPr="00143168">
        <w:rPr>
          <w:rFonts w:ascii="Book Antiqua" w:hAnsi="Book Antiqua" w:cs="&amp;quot"/>
          <w:b/>
          <w:i w:val="0"/>
          <w:iCs w:val="0"/>
          <w:color w:val="auto"/>
          <w:sz w:val="24"/>
          <w:szCs w:val="24"/>
        </w:rPr>
        <w:t xml:space="preserve"> proyecto que tiene pendiente de </w:t>
      </w:r>
      <w:r>
        <w:rPr>
          <w:rFonts w:ascii="Book Antiqua" w:hAnsi="Book Antiqua" w:cs="&amp;quot"/>
          <w:b/>
          <w:i w:val="0"/>
          <w:iCs w:val="0"/>
          <w:color w:val="auto"/>
          <w:sz w:val="24"/>
          <w:szCs w:val="24"/>
        </w:rPr>
        <w:t xml:space="preserve">atender recomendaciones de la </w:t>
      </w:r>
      <w:r w:rsidRPr="009F6F37">
        <w:rPr>
          <w:rFonts w:ascii="Book Antiqua" w:hAnsi="Book Antiqua" w:cs="&amp;quot"/>
          <w:b/>
          <w:i w:val="0"/>
          <w:iCs w:val="0"/>
          <w:color w:val="auto"/>
          <w:sz w:val="24"/>
          <w:szCs w:val="24"/>
        </w:rPr>
        <w:t>Oficina de Control Interno</w:t>
      </w:r>
    </w:p>
    <w:tbl>
      <w:tblPr>
        <w:tblW w:w="9923" w:type="dxa"/>
        <w:tblInd w:w="-289" w:type="dxa"/>
        <w:tblCellMar>
          <w:left w:w="70" w:type="dxa"/>
          <w:right w:w="70" w:type="dxa"/>
        </w:tblCellMar>
        <w:tblLook w:val="04A0" w:firstRow="1" w:lastRow="0" w:firstColumn="1" w:lastColumn="0" w:noHBand="0" w:noVBand="1"/>
      </w:tblPr>
      <w:tblGrid>
        <w:gridCol w:w="1560"/>
        <w:gridCol w:w="1276"/>
        <w:gridCol w:w="993"/>
        <w:gridCol w:w="2551"/>
        <w:gridCol w:w="992"/>
        <w:gridCol w:w="2551"/>
      </w:tblGrid>
      <w:tr w:rsidR="00BC00B3" w:rsidRPr="00D207B8" w14:paraId="629800AC" w14:textId="77777777" w:rsidTr="00F402B4">
        <w:trPr>
          <w:trHeight w:val="300"/>
        </w:trPr>
        <w:tc>
          <w:tcPr>
            <w:tcW w:w="156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18563A61"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 xml:space="preserve">Centro de responsabilidad </w:t>
            </w:r>
          </w:p>
        </w:tc>
        <w:tc>
          <w:tcPr>
            <w:tcW w:w="1276" w:type="dxa"/>
            <w:tcBorders>
              <w:top w:val="single" w:sz="4" w:space="0" w:color="auto"/>
              <w:left w:val="nil"/>
              <w:bottom w:val="single" w:sz="4" w:space="0" w:color="auto"/>
              <w:right w:val="single" w:sz="4" w:space="0" w:color="auto"/>
            </w:tcBorders>
            <w:shd w:val="clear" w:color="000000" w:fill="44546A"/>
            <w:vAlign w:val="center"/>
            <w:hideMark/>
          </w:tcPr>
          <w:p w14:paraId="3F0A5C20"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Oficina Líder</w:t>
            </w:r>
          </w:p>
        </w:tc>
        <w:tc>
          <w:tcPr>
            <w:tcW w:w="993" w:type="dxa"/>
            <w:tcBorders>
              <w:top w:val="single" w:sz="4" w:space="0" w:color="auto"/>
              <w:left w:val="nil"/>
              <w:bottom w:val="single" w:sz="4" w:space="0" w:color="auto"/>
              <w:right w:val="single" w:sz="4" w:space="0" w:color="auto"/>
            </w:tcBorders>
            <w:shd w:val="clear" w:color="000000" w:fill="44546A"/>
            <w:vAlign w:val="center"/>
            <w:hideMark/>
          </w:tcPr>
          <w:p w14:paraId="0B7D1D02"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Código</w:t>
            </w:r>
          </w:p>
        </w:tc>
        <w:tc>
          <w:tcPr>
            <w:tcW w:w="2551" w:type="dxa"/>
            <w:tcBorders>
              <w:top w:val="single" w:sz="4" w:space="0" w:color="auto"/>
              <w:left w:val="nil"/>
              <w:bottom w:val="single" w:sz="4" w:space="0" w:color="auto"/>
              <w:right w:val="single" w:sz="4" w:space="0" w:color="auto"/>
            </w:tcBorders>
            <w:shd w:val="clear" w:color="000000" w:fill="44546A"/>
            <w:vAlign w:val="center"/>
            <w:hideMark/>
          </w:tcPr>
          <w:p w14:paraId="59CE7FFC"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Nombre</w:t>
            </w:r>
          </w:p>
        </w:tc>
        <w:tc>
          <w:tcPr>
            <w:tcW w:w="992" w:type="dxa"/>
            <w:tcBorders>
              <w:top w:val="single" w:sz="4" w:space="0" w:color="auto"/>
              <w:left w:val="nil"/>
              <w:bottom w:val="single" w:sz="4" w:space="0" w:color="auto"/>
              <w:right w:val="single" w:sz="4" w:space="0" w:color="auto"/>
            </w:tcBorders>
            <w:shd w:val="clear" w:color="000000" w:fill="44546A"/>
            <w:vAlign w:val="center"/>
            <w:hideMark/>
          </w:tcPr>
          <w:p w14:paraId="6210D178"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Parte pendiente</w:t>
            </w:r>
          </w:p>
        </w:tc>
        <w:tc>
          <w:tcPr>
            <w:tcW w:w="2551" w:type="dxa"/>
            <w:tcBorders>
              <w:top w:val="single" w:sz="4" w:space="0" w:color="auto"/>
              <w:left w:val="nil"/>
              <w:bottom w:val="single" w:sz="4" w:space="0" w:color="auto"/>
              <w:right w:val="single" w:sz="4" w:space="0" w:color="auto"/>
            </w:tcBorders>
            <w:shd w:val="clear" w:color="000000" w:fill="44546A"/>
            <w:vAlign w:val="center"/>
            <w:hideMark/>
          </w:tcPr>
          <w:p w14:paraId="3A40CA27"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 xml:space="preserve">Detalle </w:t>
            </w:r>
          </w:p>
        </w:tc>
      </w:tr>
      <w:tr w:rsidR="00BC00B3" w:rsidRPr="00D207B8" w14:paraId="126B00C8" w14:textId="77777777" w:rsidTr="00F402B4">
        <w:trPr>
          <w:trHeight w:val="9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C5EC3C3"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Oficina de Control Interno</w:t>
            </w:r>
          </w:p>
        </w:tc>
        <w:tc>
          <w:tcPr>
            <w:tcW w:w="1276" w:type="dxa"/>
            <w:tcBorders>
              <w:top w:val="nil"/>
              <w:left w:val="nil"/>
              <w:bottom w:val="single" w:sz="4" w:space="0" w:color="auto"/>
              <w:right w:val="single" w:sz="4" w:space="0" w:color="auto"/>
            </w:tcBorders>
            <w:shd w:val="clear" w:color="auto" w:fill="auto"/>
            <w:vAlign w:val="center"/>
            <w:hideMark/>
          </w:tcPr>
          <w:p w14:paraId="5A8904A7"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Times New Roman" w:eastAsia="Times New Roman" w:hAnsi="Times New Roman" w:cs="Times New Roman"/>
                <w:color w:val="000000"/>
                <w:sz w:val="18"/>
                <w:szCs w:val="18"/>
                <w:lang w:eastAsia="es-CR"/>
              </w:rPr>
              <w:t>​</w:t>
            </w:r>
            <w:r w:rsidRPr="00D207B8">
              <w:rPr>
                <w:rFonts w:ascii="Book Antiqua" w:eastAsia="Times New Roman" w:hAnsi="Book Antiqua" w:cs="Calibri"/>
                <w:color w:val="000000"/>
                <w:sz w:val="18"/>
                <w:szCs w:val="18"/>
                <w:lang w:eastAsia="es-CR"/>
              </w:rPr>
              <w:t>0914 Oficina de Control Interno</w:t>
            </w:r>
          </w:p>
        </w:tc>
        <w:tc>
          <w:tcPr>
            <w:tcW w:w="993" w:type="dxa"/>
            <w:tcBorders>
              <w:top w:val="nil"/>
              <w:left w:val="nil"/>
              <w:bottom w:val="single" w:sz="4" w:space="0" w:color="auto"/>
              <w:right w:val="single" w:sz="4" w:space="0" w:color="auto"/>
            </w:tcBorders>
            <w:shd w:val="clear" w:color="auto" w:fill="auto"/>
            <w:vAlign w:val="center"/>
            <w:hideMark/>
          </w:tcPr>
          <w:p w14:paraId="55845B66"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0914-OCI-P02</w:t>
            </w:r>
          </w:p>
        </w:tc>
        <w:tc>
          <w:tcPr>
            <w:tcW w:w="2551" w:type="dxa"/>
            <w:tcBorders>
              <w:top w:val="nil"/>
              <w:left w:val="nil"/>
              <w:bottom w:val="single" w:sz="4" w:space="0" w:color="auto"/>
              <w:right w:val="single" w:sz="4" w:space="0" w:color="auto"/>
            </w:tcBorders>
            <w:shd w:val="clear" w:color="auto" w:fill="auto"/>
            <w:vAlign w:val="center"/>
            <w:hideMark/>
          </w:tcPr>
          <w:p w14:paraId="51B34500"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Implementación del Sistema SEVRI y PAI, para el análisis de los riesgos estratégicos</w:t>
            </w:r>
          </w:p>
        </w:tc>
        <w:tc>
          <w:tcPr>
            <w:tcW w:w="992" w:type="dxa"/>
            <w:tcBorders>
              <w:top w:val="nil"/>
              <w:left w:val="nil"/>
              <w:bottom w:val="single" w:sz="4" w:space="0" w:color="auto"/>
              <w:right w:val="single" w:sz="4" w:space="0" w:color="auto"/>
            </w:tcBorders>
            <w:shd w:val="clear" w:color="auto" w:fill="auto"/>
            <w:vAlign w:val="center"/>
            <w:hideMark/>
          </w:tcPr>
          <w:p w14:paraId="656AEEE2"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2.4</w:t>
            </w:r>
          </w:p>
        </w:tc>
        <w:tc>
          <w:tcPr>
            <w:tcW w:w="2551" w:type="dxa"/>
            <w:tcBorders>
              <w:top w:val="nil"/>
              <w:left w:val="nil"/>
              <w:bottom w:val="single" w:sz="4" w:space="0" w:color="auto"/>
              <w:right w:val="single" w:sz="4" w:space="0" w:color="auto"/>
            </w:tcBorders>
            <w:shd w:val="clear" w:color="auto" w:fill="auto"/>
            <w:vAlign w:val="center"/>
            <w:hideMark/>
          </w:tcPr>
          <w:p w14:paraId="525B44CB" w14:textId="77777777" w:rsidR="000B7A67" w:rsidRPr="00D207B8" w:rsidRDefault="000B7A67" w:rsidP="00F402B4">
            <w:pPr>
              <w:spacing w:after="0" w:line="240" w:lineRule="auto"/>
              <w:jc w:val="both"/>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Pendiente aprobación del informe de cierre por parte del patrocinador</w:t>
            </w:r>
          </w:p>
        </w:tc>
      </w:tr>
    </w:tbl>
    <w:p w14:paraId="2E09B4C0" w14:textId="77777777" w:rsidR="000B7A67" w:rsidRDefault="000B7A67" w:rsidP="000B7A67">
      <w:pPr>
        <w:spacing w:after="0"/>
        <w:jc w:val="both"/>
        <w:rPr>
          <w:rFonts w:ascii="Book Antiqua" w:hAnsi="Book Antiqua"/>
          <w:sz w:val="24"/>
          <w:szCs w:val="24"/>
        </w:rPr>
      </w:pPr>
    </w:p>
    <w:p w14:paraId="4567F727" w14:textId="77777777" w:rsidR="000B7A67" w:rsidRDefault="000B7A67" w:rsidP="000B7A67">
      <w:pPr>
        <w:spacing w:after="0"/>
        <w:jc w:val="both"/>
        <w:rPr>
          <w:rFonts w:ascii="Book Antiqua" w:hAnsi="Book Antiqua"/>
          <w:b/>
          <w:sz w:val="24"/>
          <w:szCs w:val="24"/>
        </w:rPr>
      </w:pPr>
      <w:r>
        <w:rPr>
          <w:rFonts w:ascii="Book Antiqua" w:hAnsi="Book Antiqua"/>
          <w:sz w:val="24"/>
          <w:szCs w:val="24"/>
        </w:rPr>
        <w:t>El</w:t>
      </w:r>
      <w:r w:rsidRPr="003B26B6">
        <w:rPr>
          <w:rFonts w:ascii="Book Antiqua" w:hAnsi="Book Antiqua"/>
          <w:sz w:val="24"/>
          <w:szCs w:val="24"/>
        </w:rPr>
        <w:t xml:space="preserve"> proyect</w:t>
      </w:r>
      <w:r>
        <w:rPr>
          <w:rFonts w:ascii="Book Antiqua" w:hAnsi="Book Antiqua"/>
          <w:sz w:val="24"/>
          <w:szCs w:val="24"/>
        </w:rPr>
        <w:t>o</w:t>
      </w:r>
      <w:r w:rsidRPr="003B26B6">
        <w:rPr>
          <w:rFonts w:ascii="Book Antiqua" w:hAnsi="Book Antiqua"/>
          <w:sz w:val="24"/>
          <w:szCs w:val="24"/>
        </w:rPr>
        <w:t xml:space="preserve"> anterior</w:t>
      </w:r>
      <w:r>
        <w:rPr>
          <w:rFonts w:ascii="Book Antiqua" w:hAnsi="Book Antiqua"/>
          <w:sz w:val="24"/>
          <w:szCs w:val="24"/>
        </w:rPr>
        <w:t>,</w:t>
      </w:r>
      <w:r w:rsidRPr="009F6F37">
        <w:rPr>
          <w:rFonts w:ascii="Book Antiqua" w:hAnsi="Book Antiqua"/>
          <w:sz w:val="24"/>
          <w:szCs w:val="24"/>
        </w:rPr>
        <w:t xml:space="preserve"> </w:t>
      </w:r>
      <w:r w:rsidRPr="005C5E7B">
        <w:rPr>
          <w:rFonts w:ascii="Book Antiqua" w:hAnsi="Book Antiqua"/>
          <w:sz w:val="24"/>
          <w:szCs w:val="24"/>
        </w:rPr>
        <w:t xml:space="preserve">tendrá al </w:t>
      </w:r>
      <w:r w:rsidRPr="005C5E7B">
        <w:rPr>
          <w:rFonts w:ascii="Book Antiqua" w:hAnsi="Book Antiqua"/>
          <w:b/>
          <w:bCs/>
          <w:sz w:val="24"/>
          <w:szCs w:val="24"/>
        </w:rPr>
        <w:t>11 de agosto del 2023 para</w:t>
      </w:r>
      <w:r w:rsidRPr="003B26B6">
        <w:rPr>
          <w:rFonts w:ascii="Book Antiqua" w:hAnsi="Book Antiqua"/>
          <w:b/>
          <w:bCs/>
          <w:sz w:val="24"/>
          <w:szCs w:val="24"/>
        </w:rPr>
        <w:t xml:space="preserve"> </w:t>
      </w:r>
      <w:r>
        <w:rPr>
          <w:rFonts w:ascii="Book Antiqua" w:hAnsi="Book Antiqua"/>
          <w:b/>
          <w:bCs/>
          <w:sz w:val="24"/>
          <w:szCs w:val="24"/>
        </w:rPr>
        <w:t xml:space="preserve">atender las recomendaciones pendientes </w:t>
      </w:r>
      <w:r w:rsidRPr="003B26B6">
        <w:rPr>
          <w:rFonts w:ascii="Book Antiqua" w:hAnsi="Book Antiqua"/>
          <w:b/>
          <w:sz w:val="24"/>
          <w:szCs w:val="24"/>
        </w:rPr>
        <w:t xml:space="preserve">y notificar a la </w:t>
      </w:r>
      <w:r>
        <w:rPr>
          <w:rFonts w:ascii="Book Antiqua" w:hAnsi="Book Antiqua"/>
          <w:b/>
          <w:sz w:val="24"/>
          <w:szCs w:val="24"/>
        </w:rPr>
        <w:t xml:space="preserve">Unidad del Portafolio de Proyectos, </w:t>
      </w:r>
      <w:r w:rsidRPr="003B26B6">
        <w:rPr>
          <w:rFonts w:ascii="Book Antiqua" w:hAnsi="Book Antiqua"/>
          <w:b/>
          <w:sz w:val="24"/>
          <w:szCs w:val="24"/>
        </w:rPr>
        <w:t>Dirección de Planificación</w:t>
      </w:r>
      <w:r>
        <w:rPr>
          <w:rFonts w:ascii="Book Antiqua" w:hAnsi="Book Antiqua"/>
          <w:b/>
          <w:sz w:val="24"/>
          <w:szCs w:val="24"/>
        </w:rPr>
        <w:t>.</w:t>
      </w:r>
    </w:p>
    <w:p w14:paraId="40815EFF" w14:textId="77777777" w:rsidR="000B7A67" w:rsidRDefault="000B7A67" w:rsidP="000B7A67">
      <w:pPr>
        <w:spacing w:after="0"/>
        <w:jc w:val="both"/>
        <w:rPr>
          <w:rFonts w:ascii="Book Antiqua" w:eastAsia="Wingdings" w:hAnsi="Book Antiqua"/>
          <w:b/>
          <w:bCs/>
          <w:lang w:eastAsia="ko-KR"/>
        </w:rPr>
      </w:pPr>
    </w:p>
    <w:p w14:paraId="71EB56D3" w14:textId="77777777" w:rsidR="00270E0A" w:rsidRDefault="00270E0A" w:rsidP="000B7A67">
      <w:pPr>
        <w:spacing w:after="0"/>
        <w:jc w:val="both"/>
        <w:rPr>
          <w:rFonts w:ascii="Book Antiqua" w:eastAsia="Wingdings" w:hAnsi="Book Antiqua"/>
          <w:b/>
          <w:bCs/>
          <w:lang w:eastAsia="ko-KR"/>
        </w:rPr>
      </w:pPr>
    </w:p>
    <w:p w14:paraId="0F3CA686" w14:textId="77777777" w:rsidR="00270E0A" w:rsidRDefault="00270E0A" w:rsidP="000B7A67">
      <w:pPr>
        <w:spacing w:after="0"/>
        <w:jc w:val="both"/>
        <w:rPr>
          <w:rFonts w:ascii="Book Antiqua" w:eastAsia="Wingdings" w:hAnsi="Book Antiqua"/>
          <w:b/>
          <w:bCs/>
          <w:lang w:eastAsia="ko-KR"/>
        </w:rPr>
      </w:pPr>
    </w:p>
    <w:p w14:paraId="49515950" w14:textId="77777777" w:rsidR="00270E0A" w:rsidRDefault="00270E0A" w:rsidP="000B7A67">
      <w:pPr>
        <w:spacing w:after="0"/>
        <w:jc w:val="both"/>
        <w:rPr>
          <w:rFonts w:ascii="Book Antiqua" w:eastAsia="Wingdings" w:hAnsi="Book Antiqua"/>
          <w:b/>
          <w:bCs/>
          <w:lang w:eastAsia="ko-KR"/>
        </w:rPr>
      </w:pPr>
    </w:p>
    <w:p w14:paraId="38894B37" w14:textId="77777777" w:rsidR="00270E0A" w:rsidRDefault="00270E0A" w:rsidP="000B7A67">
      <w:pPr>
        <w:spacing w:after="0"/>
        <w:jc w:val="both"/>
        <w:rPr>
          <w:rFonts w:ascii="Book Antiqua" w:eastAsia="Wingdings" w:hAnsi="Book Antiqua"/>
          <w:b/>
          <w:bCs/>
          <w:lang w:eastAsia="ko-KR"/>
        </w:rPr>
      </w:pPr>
    </w:p>
    <w:p w14:paraId="3E262F95" w14:textId="77777777" w:rsidR="000B7A67" w:rsidRPr="00F13AAE" w:rsidRDefault="000B7A67" w:rsidP="000B7A67">
      <w:pPr>
        <w:pStyle w:val="Ttulo2"/>
        <w:numPr>
          <w:ilvl w:val="0"/>
          <w:numId w:val="3"/>
        </w:numPr>
        <w:jc w:val="both"/>
        <w:rPr>
          <w:rFonts w:ascii="Book Antiqua" w:eastAsia="Wingdings" w:hAnsi="Book Antiqua"/>
          <w:b/>
          <w:bCs/>
          <w:color w:val="auto"/>
          <w:lang w:eastAsia="ko-KR"/>
        </w:rPr>
      </w:pPr>
      <w:bookmarkStart w:id="42" w:name="_Toc138770837"/>
      <w:r w:rsidRPr="00F13AAE">
        <w:rPr>
          <w:rFonts w:ascii="Book Antiqua" w:eastAsia="Wingdings" w:hAnsi="Book Antiqua"/>
          <w:b/>
          <w:bCs/>
          <w:color w:val="auto"/>
          <w:lang w:eastAsia="ko-KR"/>
        </w:rPr>
        <w:lastRenderedPageBreak/>
        <w:t xml:space="preserve">Recomendaciones dirigidas al </w:t>
      </w:r>
      <w:bookmarkEnd w:id="41"/>
      <w:r w:rsidRPr="00151E43">
        <w:rPr>
          <w:rFonts w:ascii="Book Antiqua" w:eastAsia="Wingdings" w:hAnsi="Book Antiqua"/>
          <w:b/>
          <w:bCs/>
          <w:color w:val="auto"/>
          <w:lang w:eastAsia="ko-KR"/>
        </w:rPr>
        <w:t>Oficina de Cumplimiento</w:t>
      </w:r>
      <w:bookmarkEnd w:id="42"/>
    </w:p>
    <w:p w14:paraId="59FC43E4" w14:textId="77777777" w:rsidR="000B7A67" w:rsidRDefault="000B7A67" w:rsidP="000B7A67">
      <w:pPr>
        <w:spacing w:after="0"/>
        <w:jc w:val="both"/>
        <w:rPr>
          <w:rFonts w:ascii="Book Antiqua" w:hAnsi="Book Antiqua"/>
        </w:rPr>
      </w:pPr>
    </w:p>
    <w:p w14:paraId="3DC556B9" w14:textId="77777777" w:rsidR="000B7A67" w:rsidRDefault="000B7A67" w:rsidP="000B7A67">
      <w:pPr>
        <w:spacing w:after="0"/>
        <w:jc w:val="both"/>
        <w:rPr>
          <w:rFonts w:ascii="Book Antiqua" w:hAnsi="Book Antiqua"/>
          <w:sz w:val="24"/>
          <w:szCs w:val="24"/>
        </w:rPr>
      </w:pPr>
      <w:r>
        <w:rPr>
          <w:rFonts w:ascii="Book Antiqua" w:hAnsi="Book Antiqua"/>
          <w:sz w:val="24"/>
          <w:szCs w:val="24"/>
        </w:rPr>
        <w:t xml:space="preserve">En el informe 277-PLA-PP-2023, se dirigió una recomendación al </w:t>
      </w:r>
      <w:r w:rsidRPr="00151E43">
        <w:rPr>
          <w:rFonts w:ascii="Book Antiqua" w:eastAsia="Wingdings" w:hAnsi="Book Antiqua"/>
          <w:b/>
          <w:bCs/>
          <w:lang w:eastAsia="ko-KR"/>
        </w:rPr>
        <w:t>Oficina de Cumplimiento</w:t>
      </w:r>
      <w:r>
        <w:rPr>
          <w:rFonts w:ascii="Book Antiqua" w:hAnsi="Book Antiqua"/>
          <w:sz w:val="24"/>
          <w:szCs w:val="24"/>
        </w:rPr>
        <w:t xml:space="preserve">, debido a que existía un proyecto con una gestión pendiente, por lo anterior se realizó la siguiente recomendación: </w:t>
      </w:r>
    </w:p>
    <w:p w14:paraId="569CC954" w14:textId="77777777" w:rsidR="000B7A67" w:rsidRDefault="000B7A67" w:rsidP="000B7A67">
      <w:pPr>
        <w:spacing w:after="0"/>
        <w:jc w:val="both"/>
        <w:rPr>
          <w:rFonts w:ascii="Book Antiqua" w:hAnsi="Book Antiqua"/>
        </w:rPr>
      </w:pPr>
    </w:p>
    <w:p w14:paraId="57E4785A" w14:textId="77777777" w:rsidR="000B7A67" w:rsidRDefault="000B7A67" w:rsidP="000B7A67">
      <w:pPr>
        <w:pStyle w:val="Prrafodelista"/>
        <w:spacing w:after="0" w:line="240" w:lineRule="auto"/>
        <w:ind w:left="927"/>
        <w:jc w:val="both"/>
        <w:rPr>
          <w:rFonts w:ascii="Book Antiqua" w:eastAsia="Wingdings" w:hAnsi="Book Antiqua"/>
          <w:i/>
          <w:sz w:val="24"/>
          <w:szCs w:val="24"/>
          <w:lang w:eastAsia="ko-KR"/>
        </w:rPr>
      </w:pPr>
      <w:r>
        <w:rPr>
          <w:rFonts w:ascii="Book Antiqua" w:eastAsia="Wingdings" w:hAnsi="Book Antiqua"/>
          <w:i/>
          <w:sz w:val="24"/>
          <w:szCs w:val="24"/>
          <w:lang w:eastAsia="ko-KR"/>
        </w:rPr>
        <w:t xml:space="preserve">“ </w:t>
      </w:r>
      <w:r w:rsidRPr="00237BE1">
        <w:rPr>
          <w:rFonts w:ascii="Book Antiqua" w:eastAsia="Wingdings" w:hAnsi="Book Antiqua"/>
          <w:b/>
          <w:bCs/>
          <w:i/>
          <w:sz w:val="24"/>
          <w:szCs w:val="24"/>
          <w:lang w:eastAsia="ko-KR"/>
        </w:rPr>
        <w:t xml:space="preserve">35. </w:t>
      </w:r>
      <w:r w:rsidRPr="00237BE1">
        <w:rPr>
          <w:rFonts w:ascii="Book Antiqua" w:eastAsia="Wingdings" w:hAnsi="Book Antiqua"/>
          <w:i/>
          <w:sz w:val="24"/>
          <w:szCs w:val="24"/>
          <w:lang w:eastAsia="ko-KR"/>
        </w:rPr>
        <w:t xml:space="preserve">Deberá a más tardar el 20 de enero del 2023, cargar en el sitio de proyecto la atención de la siguiente recomendación: </w:t>
      </w:r>
    </w:p>
    <w:tbl>
      <w:tblPr>
        <w:tblW w:w="10105" w:type="dxa"/>
        <w:tblInd w:w="-289" w:type="dxa"/>
        <w:tblCellMar>
          <w:left w:w="70" w:type="dxa"/>
          <w:right w:w="70" w:type="dxa"/>
        </w:tblCellMar>
        <w:tblLook w:val="04A0" w:firstRow="1" w:lastRow="0" w:firstColumn="1" w:lastColumn="0" w:noHBand="0" w:noVBand="1"/>
      </w:tblPr>
      <w:tblGrid>
        <w:gridCol w:w="1470"/>
        <w:gridCol w:w="1791"/>
        <w:gridCol w:w="900"/>
        <w:gridCol w:w="1701"/>
        <w:gridCol w:w="1134"/>
        <w:gridCol w:w="3109"/>
      </w:tblGrid>
      <w:tr w:rsidR="00BC00B3" w:rsidRPr="00D207B8" w14:paraId="1178BF2B" w14:textId="77777777" w:rsidTr="00301740">
        <w:trPr>
          <w:trHeight w:val="300"/>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72E9F08E"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 xml:space="preserve">Centro de responsabilidad </w:t>
            </w:r>
          </w:p>
        </w:tc>
        <w:tc>
          <w:tcPr>
            <w:tcW w:w="1791" w:type="dxa"/>
            <w:tcBorders>
              <w:top w:val="single" w:sz="4" w:space="0" w:color="auto"/>
              <w:left w:val="nil"/>
              <w:bottom w:val="single" w:sz="4" w:space="0" w:color="auto"/>
              <w:right w:val="single" w:sz="4" w:space="0" w:color="auto"/>
            </w:tcBorders>
            <w:shd w:val="clear" w:color="000000" w:fill="44546A"/>
            <w:vAlign w:val="center"/>
            <w:hideMark/>
          </w:tcPr>
          <w:p w14:paraId="13BE6BF4"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Oficina Líder</w:t>
            </w:r>
          </w:p>
        </w:tc>
        <w:tc>
          <w:tcPr>
            <w:tcW w:w="900" w:type="dxa"/>
            <w:tcBorders>
              <w:top w:val="single" w:sz="4" w:space="0" w:color="auto"/>
              <w:left w:val="nil"/>
              <w:bottom w:val="single" w:sz="4" w:space="0" w:color="auto"/>
              <w:right w:val="single" w:sz="4" w:space="0" w:color="auto"/>
            </w:tcBorders>
            <w:shd w:val="clear" w:color="000000" w:fill="44546A"/>
            <w:vAlign w:val="center"/>
            <w:hideMark/>
          </w:tcPr>
          <w:p w14:paraId="0B402691"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Código</w:t>
            </w:r>
          </w:p>
        </w:tc>
        <w:tc>
          <w:tcPr>
            <w:tcW w:w="1701" w:type="dxa"/>
            <w:tcBorders>
              <w:top w:val="single" w:sz="4" w:space="0" w:color="auto"/>
              <w:left w:val="nil"/>
              <w:bottom w:val="single" w:sz="4" w:space="0" w:color="auto"/>
              <w:right w:val="single" w:sz="4" w:space="0" w:color="auto"/>
            </w:tcBorders>
            <w:shd w:val="clear" w:color="000000" w:fill="44546A"/>
            <w:vAlign w:val="center"/>
            <w:hideMark/>
          </w:tcPr>
          <w:p w14:paraId="3714419F"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Nombre</w:t>
            </w:r>
          </w:p>
        </w:tc>
        <w:tc>
          <w:tcPr>
            <w:tcW w:w="1134" w:type="dxa"/>
            <w:tcBorders>
              <w:top w:val="single" w:sz="4" w:space="0" w:color="auto"/>
              <w:left w:val="nil"/>
              <w:bottom w:val="single" w:sz="4" w:space="0" w:color="auto"/>
              <w:right w:val="single" w:sz="4" w:space="0" w:color="auto"/>
            </w:tcBorders>
            <w:shd w:val="clear" w:color="000000" w:fill="44546A"/>
            <w:vAlign w:val="center"/>
            <w:hideMark/>
          </w:tcPr>
          <w:p w14:paraId="1F264C67"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Parte pendiente</w:t>
            </w:r>
          </w:p>
        </w:tc>
        <w:tc>
          <w:tcPr>
            <w:tcW w:w="3109" w:type="dxa"/>
            <w:tcBorders>
              <w:top w:val="single" w:sz="4" w:space="0" w:color="auto"/>
              <w:left w:val="nil"/>
              <w:bottom w:val="single" w:sz="4" w:space="0" w:color="auto"/>
              <w:right w:val="single" w:sz="4" w:space="0" w:color="auto"/>
            </w:tcBorders>
            <w:shd w:val="clear" w:color="000000" w:fill="44546A"/>
            <w:vAlign w:val="center"/>
            <w:hideMark/>
          </w:tcPr>
          <w:p w14:paraId="1B4DC484"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 xml:space="preserve">Detalle </w:t>
            </w:r>
          </w:p>
        </w:tc>
      </w:tr>
      <w:tr w:rsidR="00BC00B3" w:rsidRPr="00D207B8" w14:paraId="5D1BC72C" w14:textId="77777777" w:rsidTr="00301740">
        <w:trPr>
          <w:trHeight w:val="60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604A8579"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bookmarkStart w:id="43" w:name="_Hlk138170520"/>
            <w:bookmarkStart w:id="44" w:name="_Hlk138170780"/>
            <w:r w:rsidRPr="00D207B8">
              <w:rPr>
                <w:rFonts w:ascii="Book Antiqua" w:eastAsia="Times New Roman" w:hAnsi="Book Antiqua" w:cs="Calibri"/>
                <w:color w:val="000000"/>
                <w:sz w:val="18"/>
                <w:szCs w:val="18"/>
                <w:lang w:eastAsia="es-CR"/>
              </w:rPr>
              <w:t>Oficina de Cumplimiento</w:t>
            </w:r>
            <w:bookmarkEnd w:id="43"/>
          </w:p>
        </w:tc>
        <w:tc>
          <w:tcPr>
            <w:tcW w:w="1791" w:type="dxa"/>
            <w:tcBorders>
              <w:top w:val="nil"/>
              <w:left w:val="nil"/>
              <w:bottom w:val="single" w:sz="4" w:space="0" w:color="auto"/>
              <w:right w:val="single" w:sz="4" w:space="0" w:color="auto"/>
            </w:tcBorders>
            <w:shd w:val="clear" w:color="auto" w:fill="auto"/>
            <w:vAlign w:val="center"/>
            <w:hideMark/>
          </w:tcPr>
          <w:p w14:paraId="25EF5D48"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1846 Oficina de Cumplimiento</w:t>
            </w:r>
          </w:p>
        </w:tc>
        <w:tc>
          <w:tcPr>
            <w:tcW w:w="900" w:type="dxa"/>
            <w:tcBorders>
              <w:top w:val="nil"/>
              <w:left w:val="nil"/>
              <w:bottom w:val="single" w:sz="4" w:space="0" w:color="auto"/>
              <w:right w:val="single" w:sz="4" w:space="0" w:color="auto"/>
            </w:tcBorders>
            <w:shd w:val="clear" w:color="auto" w:fill="auto"/>
            <w:vAlign w:val="center"/>
            <w:hideMark/>
          </w:tcPr>
          <w:p w14:paraId="6ADA6354"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1846-OC-P01</w:t>
            </w:r>
          </w:p>
        </w:tc>
        <w:tc>
          <w:tcPr>
            <w:tcW w:w="1701" w:type="dxa"/>
            <w:tcBorders>
              <w:top w:val="nil"/>
              <w:left w:val="nil"/>
              <w:bottom w:val="single" w:sz="4" w:space="0" w:color="auto"/>
              <w:right w:val="single" w:sz="4" w:space="0" w:color="auto"/>
            </w:tcBorders>
            <w:shd w:val="clear" w:color="auto" w:fill="auto"/>
            <w:vAlign w:val="center"/>
            <w:hideMark/>
          </w:tcPr>
          <w:p w14:paraId="572174FE"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Reducción de las brechas de riesgo</w:t>
            </w:r>
          </w:p>
        </w:tc>
        <w:tc>
          <w:tcPr>
            <w:tcW w:w="1134" w:type="dxa"/>
            <w:tcBorders>
              <w:top w:val="nil"/>
              <w:left w:val="nil"/>
              <w:bottom w:val="single" w:sz="4" w:space="0" w:color="auto"/>
              <w:right w:val="single" w:sz="4" w:space="0" w:color="auto"/>
            </w:tcBorders>
            <w:shd w:val="clear" w:color="auto" w:fill="auto"/>
            <w:vAlign w:val="center"/>
            <w:hideMark/>
          </w:tcPr>
          <w:p w14:paraId="39920845"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2.4</w:t>
            </w:r>
          </w:p>
        </w:tc>
        <w:tc>
          <w:tcPr>
            <w:tcW w:w="3109" w:type="dxa"/>
            <w:tcBorders>
              <w:top w:val="nil"/>
              <w:left w:val="nil"/>
              <w:bottom w:val="single" w:sz="4" w:space="0" w:color="auto"/>
              <w:right w:val="single" w:sz="4" w:space="0" w:color="auto"/>
            </w:tcBorders>
            <w:shd w:val="clear" w:color="auto" w:fill="auto"/>
            <w:vAlign w:val="center"/>
            <w:hideMark/>
          </w:tcPr>
          <w:p w14:paraId="32540A4C"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Pendiente informe de cierre</w:t>
            </w:r>
          </w:p>
        </w:tc>
      </w:tr>
    </w:tbl>
    <w:bookmarkEnd w:id="44"/>
    <w:p w14:paraId="0DB4BA5B" w14:textId="30863FA1" w:rsidR="000B7A67" w:rsidRDefault="000B7A67" w:rsidP="001443A4">
      <w:pPr>
        <w:spacing w:after="0"/>
        <w:jc w:val="right"/>
        <w:rPr>
          <w:rFonts w:ascii="Book Antiqua" w:hAnsi="Book Antiqua"/>
        </w:rPr>
      </w:pPr>
      <w:r>
        <w:rPr>
          <w:rFonts w:ascii="Book Antiqua" w:hAnsi="Book Antiqua"/>
        </w:rPr>
        <w:t>“</w:t>
      </w:r>
      <w:r w:rsidR="001443A4">
        <w:rPr>
          <w:rFonts w:ascii="Book Antiqua" w:hAnsi="Book Antiqua"/>
        </w:rPr>
        <w:t>.</w:t>
      </w:r>
    </w:p>
    <w:p w14:paraId="695DE097" w14:textId="77777777" w:rsidR="000B7A67" w:rsidRDefault="000B7A67" w:rsidP="000B7A67">
      <w:pPr>
        <w:spacing w:after="0"/>
        <w:jc w:val="both"/>
        <w:rPr>
          <w:rFonts w:ascii="Book Antiqua" w:hAnsi="Book Antiqua"/>
        </w:rPr>
      </w:pPr>
    </w:p>
    <w:p w14:paraId="517DEF26" w14:textId="77777777" w:rsidR="000B7A67" w:rsidRPr="006157B8" w:rsidRDefault="000B7A67" w:rsidP="000B7A67">
      <w:pPr>
        <w:spacing w:after="0"/>
        <w:jc w:val="both"/>
        <w:rPr>
          <w:rFonts w:ascii="Book Antiqua" w:hAnsi="Book Antiqua"/>
          <w:sz w:val="24"/>
          <w:szCs w:val="24"/>
          <w:highlight w:val="yellow"/>
        </w:rPr>
      </w:pPr>
      <w:r>
        <w:rPr>
          <w:rFonts w:ascii="Book Antiqua" w:hAnsi="Book Antiqua"/>
          <w:sz w:val="24"/>
          <w:szCs w:val="24"/>
        </w:rPr>
        <w:t>Con la finalidad de dar seguimiento a estas recomendaciones, se remite correo a la oficina mediante el oficio 1814</w:t>
      </w:r>
      <w:r w:rsidRPr="004C19A1">
        <w:rPr>
          <w:rFonts w:ascii="Book Antiqua" w:hAnsi="Book Antiqua"/>
          <w:sz w:val="24"/>
          <w:szCs w:val="24"/>
        </w:rPr>
        <w:t>-PLA-PP-TR-2023</w:t>
      </w:r>
      <w:r>
        <w:rPr>
          <w:rFonts w:ascii="Book Antiqua" w:hAnsi="Book Antiqua"/>
          <w:sz w:val="24"/>
          <w:szCs w:val="24"/>
        </w:rPr>
        <w:t xml:space="preserve">. </w:t>
      </w:r>
    </w:p>
    <w:p w14:paraId="674C6D07" w14:textId="77777777" w:rsidR="000B7A67" w:rsidRPr="004C0359" w:rsidRDefault="000B7A67" w:rsidP="000B7A67">
      <w:pPr>
        <w:spacing w:after="0"/>
        <w:jc w:val="both"/>
        <w:rPr>
          <w:rFonts w:ascii="Book Antiqua" w:hAnsi="Book Antiqua"/>
          <w:sz w:val="24"/>
          <w:szCs w:val="24"/>
        </w:rPr>
      </w:pPr>
    </w:p>
    <w:p w14:paraId="79FF98C8" w14:textId="0AB3D556" w:rsidR="000B7A67" w:rsidRDefault="000B7A67" w:rsidP="000B7A67">
      <w:pPr>
        <w:spacing w:after="0"/>
        <w:jc w:val="both"/>
        <w:rPr>
          <w:rFonts w:ascii="Book Antiqua" w:hAnsi="Book Antiqua"/>
          <w:sz w:val="24"/>
          <w:szCs w:val="24"/>
        </w:rPr>
      </w:pPr>
      <w:r>
        <w:rPr>
          <w:rFonts w:ascii="Book Antiqua" w:hAnsi="Book Antiqua"/>
          <w:sz w:val="24"/>
          <w:szCs w:val="24"/>
        </w:rPr>
        <w:t>S</w:t>
      </w:r>
      <w:r w:rsidRPr="00FA687A">
        <w:rPr>
          <w:rFonts w:ascii="Book Antiqua" w:hAnsi="Book Antiqua"/>
          <w:sz w:val="24"/>
          <w:szCs w:val="24"/>
        </w:rPr>
        <w:t>e procedió a revisar en los centros de proyectos para validar el cumplimiento de estas recomendacione</w:t>
      </w:r>
      <w:r>
        <w:rPr>
          <w:rFonts w:ascii="Book Antiqua" w:hAnsi="Book Antiqua"/>
          <w:sz w:val="24"/>
          <w:szCs w:val="24"/>
        </w:rPr>
        <w:t xml:space="preserve">s </w:t>
      </w:r>
      <w:r w:rsidRPr="00A15711">
        <w:rPr>
          <w:rFonts w:ascii="Book Antiqua" w:hAnsi="Book Antiqua"/>
          <w:sz w:val="24"/>
          <w:szCs w:val="24"/>
        </w:rPr>
        <w:t>(</w:t>
      </w:r>
      <w:hyperlink r:id="rId28" w:history="1">
        <w:r w:rsidRPr="002E102B">
          <w:rPr>
            <w:rStyle w:val="Hipervnculo"/>
            <w:rFonts w:ascii="Book Antiqua" w:hAnsi="Book Antiqua"/>
            <w:sz w:val="24"/>
            <w:szCs w:val="24"/>
          </w:rPr>
          <w:t>Ver enlace:</w:t>
        </w:r>
        <w:r w:rsidRPr="002E102B">
          <w:rPr>
            <w:rStyle w:val="Hipervnculo"/>
          </w:rPr>
          <w:t xml:space="preserve"> </w:t>
        </w:r>
        <w:r w:rsidRPr="002E102B">
          <w:rPr>
            <w:rStyle w:val="Hipervnculo"/>
            <w:rFonts w:ascii="Book Antiqua" w:hAnsi="Book Antiqua"/>
            <w:sz w:val="24"/>
            <w:szCs w:val="24"/>
          </w:rPr>
          <w:t>Oficina de Cumplimiento</w:t>
        </w:r>
      </w:hyperlink>
      <w:r w:rsidRPr="00A15711">
        <w:rPr>
          <w:rFonts w:ascii="Book Antiqua" w:hAnsi="Book Antiqua"/>
          <w:sz w:val="24"/>
          <w:szCs w:val="24"/>
        </w:rPr>
        <w:t>);</w:t>
      </w:r>
      <w:r w:rsidRPr="00FA687A">
        <w:rPr>
          <w:rFonts w:ascii="Book Antiqua" w:hAnsi="Book Antiqua"/>
          <w:sz w:val="24"/>
          <w:szCs w:val="24"/>
        </w:rPr>
        <w:t xml:space="preserve"> </w:t>
      </w:r>
      <w:r>
        <w:rPr>
          <w:rFonts w:ascii="Book Antiqua" w:hAnsi="Book Antiqua"/>
          <w:sz w:val="24"/>
          <w:szCs w:val="24"/>
        </w:rPr>
        <w:t>sin embargo, aún se encuentra pendiente de atender la siguiente recomendaci</w:t>
      </w:r>
      <w:r w:rsidR="00AC38D3">
        <w:rPr>
          <w:rFonts w:ascii="Book Antiqua" w:hAnsi="Book Antiqua"/>
          <w:sz w:val="24"/>
          <w:szCs w:val="24"/>
        </w:rPr>
        <w:t>ón</w:t>
      </w:r>
      <w:r>
        <w:rPr>
          <w:rFonts w:ascii="Book Antiqua" w:hAnsi="Book Antiqua"/>
          <w:sz w:val="24"/>
          <w:szCs w:val="24"/>
        </w:rPr>
        <w:t>:</w:t>
      </w:r>
    </w:p>
    <w:p w14:paraId="5D95186E" w14:textId="77777777" w:rsidR="000B7A67" w:rsidRDefault="000B7A67" w:rsidP="000B7A67">
      <w:pPr>
        <w:spacing w:after="0"/>
        <w:jc w:val="both"/>
        <w:rPr>
          <w:rFonts w:ascii="Book Antiqua" w:hAnsi="Book Antiqua"/>
          <w:sz w:val="24"/>
          <w:szCs w:val="24"/>
        </w:rPr>
      </w:pPr>
    </w:p>
    <w:p w14:paraId="3BD723D4" w14:textId="1A370293" w:rsidR="000B7A67" w:rsidRDefault="000B7A67" w:rsidP="000B7A67">
      <w:pPr>
        <w:pStyle w:val="Descripcin"/>
        <w:keepNext/>
        <w:spacing w:after="0"/>
        <w:jc w:val="center"/>
        <w:rPr>
          <w:rFonts w:ascii="Book Antiqua" w:hAnsi="Book Antiqua" w:cs="&amp;quot"/>
          <w:b/>
          <w:i w:val="0"/>
          <w:iCs w:val="0"/>
          <w:color w:val="auto"/>
          <w:sz w:val="24"/>
          <w:szCs w:val="24"/>
        </w:rPr>
      </w:pPr>
      <w:r w:rsidRPr="00A562C7">
        <w:rPr>
          <w:rFonts w:ascii="Book Antiqua" w:hAnsi="Book Antiqua" w:cs="&amp;quot"/>
          <w:b/>
          <w:i w:val="0"/>
          <w:iCs w:val="0"/>
          <w:color w:val="auto"/>
          <w:sz w:val="24"/>
          <w:szCs w:val="24"/>
        </w:rPr>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sidR="00844144">
        <w:rPr>
          <w:rFonts w:ascii="Book Antiqua" w:hAnsi="Book Antiqua" w:cs="&amp;quot"/>
          <w:b/>
          <w:i w:val="0"/>
          <w:iCs w:val="0"/>
          <w:noProof/>
          <w:color w:val="auto"/>
          <w:sz w:val="24"/>
          <w:szCs w:val="24"/>
        </w:rPr>
        <w:t>10</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Pr>
          <w:rFonts w:ascii="Book Antiqua" w:hAnsi="Book Antiqua" w:cs="&amp;quot"/>
          <w:b/>
          <w:i w:val="0"/>
          <w:iCs w:val="0"/>
          <w:color w:val="auto"/>
          <w:sz w:val="24"/>
          <w:szCs w:val="24"/>
        </w:rPr>
        <w:t>l</w:t>
      </w:r>
      <w:r w:rsidRPr="00143168">
        <w:rPr>
          <w:rFonts w:ascii="Book Antiqua" w:hAnsi="Book Antiqua" w:cs="&amp;quot"/>
          <w:b/>
          <w:i w:val="0"/>
          <w:iCs w:val="0"/>
          <w:color w:val="auto"/>
          <w:sz w:val="24"/>
          <w:szCs w:val="24"/>
        </w:rPr>
        <w:t xml:space="preserve"> proyecto que tiene pendiente de </w:t>
      </w:r>
      <w:r>
        <w:rPr>
          <w:rFonts w:ascii="Book Antiqua" w:hAnsi="Book Antiqua" w:cs="&amp;quot"/>
          <w:b/>
          <w:i w:val="0"/>
          <w:iCs w:val="0"/>
          <w:color w:val="auto"/>
          <w:sz w:val="24"/>
          <w:szCs w:val="24"/>
        </w:rPr>
        <w:t>atender recomendaci</w:t>
      </w:r>
      <w:r w:rsidR="00AC38D3">
        <w:rPr>
          <w:rFonts w:ascii="Book Antiqua" w:hAnsi="Book Antiqua" w:cs="&amp;quot"/>
          <w:b/>
          <w:i w:val="0"/>
          <w:iCs w:val="0"/>
          <w:color w:val="auto"/>
          <w:sz w:val="24"/>
          <w:szCs w:val="24"/>
        </w:rPr>
        <w:t xml:space="preserve">ón </w:t>
      </w:r>
      <w:r>
        <w:rPr>
          <w:rFonts w:ascii="Book Antiqua" w:hAnsi="Book Antiqua" w:cs="&amp;quot"/>
          <w:b/>
          <w:i w:val="0"/>
          <w:iCs w:val="0"/>
          <w:color w:val="auto"/>
          <w:sz w:val="24"/>
          <w:szCs w:val="24"/>
        </w:rPr>
        <w:t xml:space="preserve">en </w:t>
      </w:r>
      <w:r w:rsidRPr="002E102B">
        <w:rPr>
          <w:rFonts w:ascii="Book Antiqua" w:hAnsi="Book Antiqua" w:cs="&amp;quot"/>
          <w:b/>
          <w:i w:val="0"/>
          <w:iCs w:val="0"/>
          <w:color w:val="auto"/>
          <w:sz w:val="24"/>
          <w:szCs w:val="24"/>
        </w:rPr>
        <w:t>Oficina de Cumplimiento</w:t>
      </w:r>
      <w:r w:rsidRPr="006304FA">
        <w:rPr>
          <w:rFonts w:ascii="Book Antiqua" w:hAnsi="Book Antiqua" w:cs="&amp;quot"/>
          <w:b/>
          <w:i w:val="0"/>
          <w:iCs w:val="0"/>
          <w:color w:val="auto"/>
          <w:sz w:val="24"/>
          <w:szCs w:val="24"/>
        </w:rPr>
        <w:t>.</w:t>
      </w:r>
    </w:p>
    <w:tbl>
      <w:tblPr>
        <w:tblW w:w="10105" w:type="dxa"/>
        <w:tblInd w:w="-289" w:type="dxa"/>
        <w:tblCellMar>
          <w:left w:w="70" w:type="dxa"/>
          <w:right w:w="70" w:type="dxa"/>
        </w:tblCellMar>
        <w:tblLook w:val="04A0" w:firstRow="1" w:lastRow="0" w:firstColumn="1" w:lastColumn="0" w:noHBand="0" w:noVBand="1"/>
      </w:tblPr>
      <w:tblGrid>
        <w:gridCol w:w="1470"/>
        <w:gridCol w:w="1791"/>
        <w:gridCol w:w="900"/>
        <w:gridCol w:w="1701"/>
        <w:gridCol w:w="1134"/>
        <w:gridCol w:w="3109"/>
      </w:tblGrid>
      <w:tr w:rsidR="00BC00B3" w:rsidRPr="00D207B8" w14:paraId="0F57299E" w14:textId="77777777" w:rsidTr="00301740">
        <w:trPr>
          <w:trHeight w:val="300"/>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47865D1F"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 xml:space="preserve">Centro de responsabilidad </w:t>
            </w:r>
          </w:p>
        </w:tc>
        <w:tc>
          <w:tcPr>
            <w:tcW w:w="1791" w:type="dxa"/>
            <w:tcBorders>
              <w:top w:val="single" w:sz="4" w:space="0" w:color="auto"/>
              <w:left w:val="nil"/>
              <w:bottom w:val="single" w:sz="4" w:space="0" w:color="auto"/>
              <w:right w:val="single" w:sz="4" w:space="0" w:color="auto"/>
            </w:tcBorders>
            <w:shd w:val="clear" w:color="000000" w:fill="44546A"/>
            <w:vAlign w:val="center"/>
            <w:hideMark/>
          </w:tcPr>
          <w:p w14:paraId="08AF57B1"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Oficina Líder</w:t>
            </w:r>
          </w:p>
        </w:tc>
        <w:tc>
          <w:tcPr>
            <w:tcW w:w="900" w:type="dxa"/>
            <w:tcBorders>
              <w:top w:val="single" w:sz="4" w:space="0" w:color="auto"/>
              <w:left w:val="nil"/>
              <w:bottom w:val="single" w:sz="4" w:space="0" w:color="auto"/>
              <w:right w:val="single" w:sz="4" w:space="0" w:color="auto"/>
            </w:tcBorders>
            <w:shd w:val="clear" w:color="000000" w:fill="44546A"/>
            <w:vAlign w:val="center"/>
            <w:hideMark/>
          </w:tcPr>
          <w:p w14:paraId="49C3C438"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Código</w:t>
            </w:r>
          </w:p>
        </w:tc>
        <w:tc>
          <w:tcPr>
            <w:tcW w:w="1701" w:type="dxa"/>
            <w:tcBorders>
              <w:top w:val="single" w:sz="4" w:space="0" w:color="auto"/>
              <w:left w:val="nil"/>
              <w:bottom w:val="single" w:sz="4" w:space="0" w:color="auto"/>
              <w:right w:val="single" w:sz="4" w:space="0" w:color="auto"/>
            </w:tcBorders>
            <w:shd w:val="clear" w:color="000000" w:fill="44546A"/>
            <w:vAlign w:val="center"/>
            <w:hideMark/>
          </w:tcPr>
          <w:p w14:paraId="764B648B"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Nombre</w:t>
            </w:r>
          </w:p>
        </w:tc>
        <w:tc>
          <w:tcPr>
            <w:tcW w:w="1134" w:type="dxa"/>
            <w:tcBorders>
              <w:top w:val="single" w:sz="4" w:space="0" w:color="auto"/>
              <w:left w:val="nil"/>
              <w:bottom w:val="single" w:sz="4" w:space="0" w:color="auto"/>
              <w:right w:val="single" w:sz="4" w:space="0" w:color="auto"/>
            </w:tcBorders>
            <w:shd w:val="clear" w:color="000000" w:fill="44546A"/>
            <w:vAlign w:val="center"/>
            <w:hideMark/>
          </w:tcPr>
          <w:p w14:paraId="455D1E49"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Parte pendiente</w:t>
            </w:r>
          </w:p>
        </w:tc>
        <w:tc>
          <w:tcPr>
            <w:tcW w:w="3109" w:type="dxa"/>
            <w:tcBorders>
              <w:top w:val="single" w:sz="4" w:space="0" w:color="auto"/>
              <w:left w:val="nil"/>
              <w:bottom w:val="single" w:sz="4" w:space="0" w:color="auto"/>
              <w:right w:val="single" w:sz="4" w:space="0" w:color="auto"/>
            </w:tcBorders>
            <w:shd w:val="clear" w:color="000000" w:fill="44546A"/>
            <w:vAlign w:val="center"/>
            <w:hideMark/>
          </w:tcPr>
          <w:p w14:paraId="205F9EAE" w14:textId="77777777" w:rsidR="000B7A67" w:rsidRPr="00D207B8" w:rsidRDefault="000B7A67" w:rsidP="00F400D6">
            <w:pPr>
              <w:spacing w:after="0" w:line="240" w:lineRule="auto"/>
              <w:jc w:val="center"/>
              <w:rPr>
                <w:rFonts w:ascii="Book Antiqua" w:eastAsia="Times New Roman" w:hAnsi="Book Antiqua" w:cs="Calibri"/>
                <w:b/>
                <w:bCs/>
                <w:color w:val="FFFFFF"/>
                <w:sz w:val="18"/>
                <w:szCs w:val="18"/>
                <w:lang w:eastAsia="es-CR"/>
              </w:rPr>
            </w:pPr>
            <w:r w:rsidRPr="00D207B8">
              <w:rPr>
                <w:rFonts w:ascii="Book Antiqua" w:eastAsia="Times New Roman" w:hAnsi="Book Antiqua" w:cs="Calibri"/>
                <w:b/>
                <w:bCs/>
                <w:color w:val="FFFFFF"/>
                <w:sz w:val="18"/>
                <w:szCs w:val="18"/>
                <w:lang w:eastAsia="es-CR"/>
              </w:rPr>
              <w:t xml:space="preserve">Detalle </w:t>
            </w:r>
          </w:p>
        </w:tc>
      </w:tr>
      <w:tr w:rsidR="00BC00B3" w:rsidRPr="00D207B8" w14:paraId="055E7600" w14:textId="77777777" w:rsidTr="00301740">
        <w:trPr>
          <w:trHeight w:val="60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1DE452EA"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Oficina de Cumplimiento</w:t>
            </w:r>
          </w:p>
        </w:tc>
        <w:tc>
          <w:tcPr>
            <w:tcW w:w="1791" w:type="dxa"/>
            <w:tcBorders>
              <w:top w:val="nil"/>
              <w:left w:val="nil"/>
              <w:bottom w:val="single" w:sz="4" w:space="0" w:color="auto"/>
              <w:right w:val="single" w:sz="4" w:space="0" w:color="auto"/>
            </w:tcBorders>
            <w:shd w:val="clear" w:color="auto" w:fill="auto"/>
            <w:vAlign w:val="center"/>
            <w:hideMark/>
          </w:tcPr>
          <w:p w14:paraId="5B4D9D8B"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1846 Oficina de Cumplimiento</w:t>
            </w:r>
          </w:p>
        </w:tc>
        <w:tc>
          <w:tcPr>
            <w:tcW w:w="900" w:type="dxa"/>
            <w:tcBorders>
              <w:top w:val="nil"/>
              <w:left w:val="nil"/>
              <w:bottom w:val="single" w:sz="4" w:space="0" w:color="auto"/>
              <w:right w:val="single" w:sz="4" w:space="0" w:color="auto"/>
            </w:tcBorders>
            <w:shd w:val="clear" w:color="auto" w:fill="auto"/>
            <w:vAlign w:val="center"/>
            <w:hideMark/>
          </w:tcPr>
          <w:p w14:paraId="4BA1C2B9"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1846-OC-P01</w:t>
            </w:r>
          </w:p>
        </w:tc>
        <w:tc>
          <w:tcPr>
            <w:tcW w:w="1701" w:type="dxa"/>
            <w:tcBorders>
              <w:top w:val="nil"/>
              <w:left w:val="nil"/>
              <w:bottom w:val="single" w:sz="4" w:space="0" w:color="auto"/>
              <w:right w:val="single" w:sz="4" w:space="0" w:color="auto"/>
            </w:tcBorders>
            <w:shd w:val="clear" w:color="auto" w:fill="auto"/>
            <w:vAlign w:val="center"/>
            <w:hideMark/>
          </w:tcPr>
          <w:p w14:paraId="17B81C42"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Reducción de las brechas de riesgo</w:t>
            </w:r>
          </w:p>
        </w:tc>
        <w:tc>
          <w:tcPr>
            <w:tcW w:w="1134" w:type="dxa"/>
            <w:tcBorders>
              <w:top w:val="nil"/>
              <w:left w:val="nil"/>
              <w:bottom w:val="single" w:sz="4" w:space="0" w:color="auto"/>
              <w:right w:val="single" w:sz="4" w:space="0" w:color="auto"/>
            </w:tcBorders>
            <w:shd w:val="clear" w:color="auto" w:fill="auto"/>
            <w:vAlign w:val="center"/>
            <w:hideMark/>
          </w:tcPr>
          <w:p w14:paraId="0D20DCC8" w14:textId="77777777" w:rsidR="000B7A67" w:rsidRPr="00D207B8" w:rsidRDefault="000B7A67" w:rsidP="00F400D6">
            <w:pPr>
              <w:spacing w:after="0" w:line="240" w:lineRule="auto"/>
              <w:jc w:val="center"/>
              <w:rPr>
                <w:rFonts w:ascii="Book Antiqua" w:eastAsia="Times New Roman" w:hAnsi="Book Antiqua" w:cs="Calibri"/>
                <w:color w:val="000000"/>
                <w:sz w:val="18"/>
                <w:szCs w:val="18"/>
                <w:lang w:eastAsia="es-CR"/>
              </w:rPr>
            </w:pPr>
            <w:r w:rsidRPr="00D207B8">
              <w:rPr>
                <w:rFonts w:ascii="Book Antiqua" w:eastAsia="Times New Roman" w:hAnsi="Book Antiqua" w:cs="Calibri"/>
                <w:color w:val="000000"/>
                <w:sz w:val="18"/>
                <w:szCs w:val="18"/>
                <w:lang w:eastAsia="es-CR"/>
              </w:rPr>
              <w:t>2.4</w:t>
            </w:r>
          </w:p>
        </w:tc>
        <w:tc>
          <w:tcPr>
            <w:tcW w:w="3109" w:type="dxa"/>
            <w:tcBorders>
              <w:top w:val="nil"/>
              <w:left w:val="nil"/>
              <w:bottom w:val="single" w:sz="4" w:space="0" w:color="auto"/>
              <w:right w:val="single" w:sz="4" w:space="0" w:color="auto"/>
            </w:tcBorders>
            <w:shd w:val="clear" w:color="auto" w:fill="auto"/>
            <w:vAlign w:val="center"/>
            <w:hideMark/>
          </w:tcPr>
          <w:p w14:paraId="40C29F1A" w14:textId="77777777" w:rsidR="000B7A67" w:rsidRPr="00D207B8" w:rsidRDefault="000B7A67" w:rsidP="00AC38D3">
            <w:pPr>
              <w:jc w:val="both"/>
              <w:rPr>
                <w:rFonts w:ascii="Book Antiqua" w:eastAsia="Times New Roman" w:hAnsi="Book Antiqua" w:cs="Calibri"/>
                <w:color w:val="000000"/>
                <w:sz w:val="18"/>
                <w:szCs w:val="18"/>
                <w:lang w:eastAsia="es-CR"/>
              </w:rPr>
            </w:pPr>
            <w:r>
              <w:rPr>
                <w:rFonts w:ascii="Book Antiqua" w:hAnsi="Book Antiqua" w:cs="Calibri"/>
                <w:color w:val="000000"/>
                <w:sz w:val="18"/>
                <w:szCs w:val="18"/>
              </w:rPr>
              <w:t>Pendiente aprobación del informe de cierre por parte del patrocinador</w:t>
            </w:r>
          </w:p>
        </w:tc>
      </w:tr>
    </w:tbl>
    <w:p w14:paraId="13E19167" w14:textId="77777777" w:rsidR="000B7A67" w:rsidRDefault="000B7A67" w:rsidP="000B7A67">
      <w:pPr>
        <w:spacing w:after="0"/>
        <w:jc w:val="both"/>
        <w:rPr>
          <w:rFonts w:ascii="Book Antiqua" w:hAnsi="Book Antiqua"/>
          <w:sz w:val="24"/>
          <w:szCs w:val="24"/>
        </w:rPr>
      </w:pPr>
    </w:p>
    <w:p w14:paraId="4F93E71F" w14:textId="7DB39BB3" w:rsidR="000B7A67" w:rsidRDefault="00844144" w:rsidP="000B7A67">
      <w:pPr>
        <w:spacing w:after="0"/>
        <w:jc w:val="both"/>
        <w:rPr>
          <w:rFonts w:ascii="Book Antiqua" w:hAnsi="Book Antiqua"/>
          <w:b/>
          <w:sz w:val="24"/>
          <w:szCs w:val="24"/>
        </w:rPr>
      </w:pPr>
      <w:r>
        <w:rPr>
          <w:rFonts w:ascii="Book Antiqua" w:hAnsi="Book Antiqua"/>
          <w:sz w:val="24"/>
          <w:szCs w:val="24"/>
        </w:rPr>
        <w:t>El</w:t>
      </w:r>
      <w:r w:rsidR="000B7A67" w:rsidRPr="003B26B6">
        <w:rPr>
          <w:rFonts w:ascii="Book Antiqua" w:hAnsi="Book Antiqua"/>
          <w:sz w:val="24"/>
          <w:szCs w:val="24"/>
        </w:rPr>
        <w:t xml:space="preserve"> proyecto anterior </w:t>
      </w:r>
      <w:r w:rsidR="000B7A67" w:rsidRPr="00DB5676">
        <w:rPr>
          <w:rFonts w:ascii="Book Antiqua" w:hAnsi="Book Antiqua"/>
          <w:sz w:val="24"/>
          <w:szCs w:val="24"/>
        </w:rPr>
        <w:t xml:space="preserve">tendrá al </w:t>
      </w:r>
      <w:r w:rsidR="000B7A67" w:rsidRPr="00DB5676">
        <w:rPr>
          <w:rFonts w:ascii="Book Antiqua" w:hAnsi="Book Antiqua"/>
          <w:b/>
          <w:bCs/>
          <w:sz w:val="24"/>
          <w:szCs w:val="24"/>
        </w:rPr>
        <w:t>11 de agosto del 2023 para</w:t>
      </w:r>
      <w:r w:rsidR="000B7A67" w:rsidRPr="003B26B6">
        <w:rPr>
          <w:rFonts w:ascii="Book Antiqua" w:hAnsi="Book Antiqua"/>
          <w:b/>
          <w:bCs/>
          <w:sz w:val="24"/>
          <w:szCs w:val="24"/>
        </w:rPr>
        <w:t xml:space="preserve"> </w:t>
      </w:r>
      <w:r w:rsidR="000B7A67">
        <w:rPr>
          <w:rFonts w:ascii="Book Antiqua" w:hAnsi="Book Antiqua"/>
          <w:b/>
          <w:bCs/>
          <w:sz w:val="24"/>
          <w:szCs w:val="24"/>
        </w:rPr>
        <w:t xml:space="preserve">atender las recomendaciones pendientes </w:t>
      </w:r>
      <w:r w:rsidR="000B7A67" w:rsidRPr="003B26B6">
        <w:rPr>
          <w:rFonts w:ascii="Book Antiqua" w:hAnsi="Book Antiqua"/>
          <w:b/>
          <w:sz w:val="24"/>
          <w:szCs w:val="24"/>
        </w:rPr>
        <w:t xml:space="preserve">y notificar a la </w:t>
      </w:r>
      <w:r w:rsidR="000B7A67">
        <w:rPr>
          <w:rFonts w:ascii="Book Antiqua" w:hAnsi="Book Antiqua"/>
          <w:b/>
          <w:sz w:val="24"/>
          <w:szCs w:val="24"/>
        </w:rPr>
        <w:t xml:space="preserve">Unidad del Portafolio de Proyectos, </w:t>
      </w:r>
      <w:r w:rsidR="000B7A67" w:rsidRPr="003B26B6">
        <w:rPr>
          <w:rFonts w:ascii="Book Antiqua" w:hAnsi="Book Antiqua"/>
          <w:b/>
          <w:sz w:val="24"/>
          <w:szCs w:val="24"/>
        </w:rPr>
        <w:t>Dirección de Planificación</w:t>
      </w:r>
      <w:r w:rsidR="000B7A67">
        <w:rPr>
          <w:rFonts w:ascii="Book Antiqua" w:hAnsi="Book Antiqua"/>
          <w:b/>
          <w:sz w:val="24"/>
          <w:szCs w:val="24"/>
        </w:rPr>
        <w:t>.</w:t>
      </w:r>
    </w:p>
    <w:p w14:paraId="13DFDC92" w14:textId="77777777" w:rsidR="00AC38D3" w:rsidRDefault="00AC38D3" w:rsidP="000B7A67">
      <w:pPr>
        <w:spacing w:after="0"/>
        <w:jc w:val="both"/>
        <w:rPr>
          <w:rFonts w:ascii="Book Antiqua" w:hAnsi="Book Antiqua"/>
        </w:rPr>
      </w:pPr>
      <w:bookmarkStart w:id="45" w:name="_Toc131160563"/>
      <w:bookmarkStart w:id="46" w:name="_Toc131160564"/>
      <w:bookmarkEnd w:id="45"/>
      <w:bookmarkEnd w:id="46"/>
    </w:p>
    <w:p w14:paraId="22A1070C" w14:textId="77777777" w:rsidR="000B7A67" w:rsidRPr="008B5BD4" w:rsidRDefault="000B7A67" w:rsidP="000B7A67">
      <w:pPr>
        <w:pStyle w:val="Ttulo2"/>
        <w:numPr>
          <w:ilvl w:val="0"/>
          <w:numId w:val="3"/>
        </w:numPr>
        <w:tabs>
          <w:tab w:val="left" w:pos="851"/>
        </w:tabs>
        <w:spacing w:before="0"/>
        <w:jc w:val="both"/>
        <w:rPr>
          <w:rFonts w:ascii="Book Antiqua" w:eastAsia="Wingdings" w:hAnsi="Book Antiqua"/>
          <w:b/>
          <w:bCs/>
          <w:color w:val="auto"/>
          <w:lang w:eastAsia="ko-KR"/>
        </w:rPr>
      </w:pPr>
      <w:bookmarkStart w:id="47" w:name="_Toc131160574"/>
      <w:bookmarkStart w:id="48" w:name="_Toc138770838"/>
      <w:r w:rsidRPr="008B5BD4">
        <w:rPr>
          <w:rFonts w:ascii="Book Antiqua" w:eastAsia="Wingdings" w:hAnsi="Book Antiqua"/>
          <w:b/>
          <w:bCs/>
          <w:color w:val="auto"/>
          <w:lang w:eastAsia="ko-KR"/>
        </w:rPr>
        <w:t>Recomendaciones dirigidas al Organismo de Investigación Judicial</w:t>
      </w:r>
      <w:bookmarkEnd w:id="47"/>
      <w:bookmarkEnd w:id="48"/>
    </w:p>
    <w:p w14:paraId="16982583" w14:textId="77777777" w:rsidR="000B7A67" w:rsidRDefault="000B7A67" w:rsidP="000B7A67">
      <w:pPr>
        <w:spacing w:after="0"/>
        <w:jc w:val="both"/>
        <w:rPr>
          <w:rFonts w:ascii="Book Antiqua" w:hAnsi="Book Antiqua"/>
        </w:rPr>
      </w:pPr>
    </w:p>
    <w:p w14:paraId="65E3D75F" w14:textId="77777777" w:rsidR="000B7A67" w:rsidRDefault="000B7A67" w:rsidP="000B7A67">
      <w:pPr>
        <w:jc w:val="both"/>
        <w:rPr>
          <w:lang w:eastAsia="ko-KR"/>
        </w:rPr>
      </w:pPr>
      <w:r>
        <w:rPr>
          <w:rFonts w:ascii="Book Antiqua" w:hAnsi="Book Antiqua"/>
          <w:sz w:val="24"/>
          <w:szCs w:val="24"/>
        </w:rPr>
        <w:t xml:space="preserve">En el informe 277-PLA-PP-2023, se dirigió una recomendación al </w:t>
      </w:r>
      <w:r w:rsidRPr="00EA7F20">
        <w:rPr>
          <w:rFonts w:ascii="Book Antiqua" w:hAnsi="Book Antiqua"/>
          <w:b/>
          <w:bCs/>
          <w:sz w:val="24"/>
          <w:szCs w:val="24"/>
        </w:rPr>
        <w:t>Organismo de Investigación Judicial</w:t>
      </w:r>
      <w:r>
        <w:rPr>
          <w:rFonts w:ascii="Book Antiqua" w:eastAsia="Wingdings" w:hAnsi="Book Antiqua"/>
          <w:b/>
          <w:bCs/>
          <w:lang w:eastAsia="ko-KR"/>
        </w:rPr>
        <w:t>,</w:t>
      </w:r>
      <w:r>
        <w:rPr>
          <w:rFonts w:ascii="Book Antiqua" w:hAnsi="Book Antiqua"/>
          <w:sz w:val="24"/>
          <w:szCs w:val="24"/>
        </w:rPr>
        <w:t xml:space="preserve"> debido a que existían proyectos con gestiones pendientes de atender o nuevas recomendaciones, por lo anterior se realiza el seguimiento a las siguientes recomendaciones:</w:t>
      </w:r>
    </w:p>
    <w:p w14:paraId="70CA4DF8" w14:textId="77777777" w:rsidR="000B7A67" w:rsidRDefault="000B7A67" w:rsidP="000B7A67">
      <w:pPr>
        <w:spacing w:after="0" w:line="240" w:lineRule="auto"/>
        <w:ind w:left="567"/>
        <w:jc w:val="both"/>
        <w:rPr>
          <w:rFonts w:ascii="Book Antiqua" w:hAnsi="Book Antiqua"/>
          <w:i/>
          <w:iCs/>
          <w:sz w:val="24"/>
          <w:szCs w:val="24"/>
        </w:rPr>
      </w:pPr>
      <w:r w:rsidRPr="003041AE">
        <w:rPr>
          <w:rFonts w:ascii="Book Antiqua" w:hAnsi="Book Antiqua"/>
          <w:i/>
          <w:iCs/>
          <w:sz w:val="24"/>
          <w:szCs w:val="24"/>
        </w:rPr>
        <w:lastRenderedPageBreak/>
        <w:t>“</w:t>
      </w:r>
      <w:r w:rsidRPr="00EA7F20">
        <w:rPr>
          <w:rFonts w:ascii="Book Antiqua" w:hAnsi="Book Antiqua"/>
          <w:b/>
          <w:bCs/>
          <w:i/>
          <w:iCs/>
          <w:sz w:val="24"/>
          <w:szCs w:val="24"/>
        </w:rPr>
        <w:t>2.16)</w:t>
      </w:r>
      <w:r w:rsidRPr="00EA7F20">
        <w:rPr>
          <w:rFonts w:ascii="Book Antiqua" w:hAnsi="Book Antiqua"/>
          <w:i/>
          <w:iCs/>
          <w:sz w:val="24"/>
          <w:szCs w:val="24"/>
        </w:rPr>
        <w:t xml:space="preserve"> La Escuela Judicial, la Inspección Judicial, la Junta Administradora del Fondo de Jubilaciones del Poder Judicial, el Ministerio Público, la Oficina de Control Interno, la Oficina de Cumplimiento, el Organismo de Investigación Judicial, deberán por su orden: a) A más tardar el 28 de abril del 2023, cargar en el sitio de proyecto la atención de las recomendaciones que, para cada uno de esos órganos, se disponen en la respectiva tabla que se incluye en el presente informe.</w:t>
      </w:r>
      <w:r w:rsidRPr="00817C99">
        <w:t xml:space="preserve"> </w:t>
      </w:r>
      <w:r w:rsidRPr="00817C99">
        <w:rPr>
          <w:rFonts w:ascii="Book Antiqua" w:hAnsi="Book Antiqua"/>
          <w:i/>
          <w:iCs/>
          <w:sz w:val="24"/>
          <w:szCs w:val="24"/>
        </w:rPr>
        <w:t>b) Por su parte, el Organismo de Investigación Judicial, deberá, además: i. Tomar las medidas pertinentes a fin de poder contrarrestar los atrasos presentados y, cuando no sea posible subsanar los atrasos, deberá valorar la presentación de una solicitud de cambio en los casos que el retraso afecte la fecha de finalización de los proyectos y que la misma tenga autorización de la persona jefe o del director del proyecto. ii. Revisar y monitorear los proyectos que presentan un retraso significativo, y cuentan con permisos con goce otorgados</w:t>
      </w:r>
    </w:p>
    <w:tbl>
      <w:tblPr>
        <w:tblW w:w="10774" w:type="dxa"/>
        <w:tblInd w:w="-431" w:type="dxa"/>
        <w:tblCellMar>
          <w:left w:w="70" w:type="dxa"/>
          <w:right w:w="70" w:type="dxa"/>
        </w:tblCellMar>
        <w:tblLook w:val="04A0" w:firstRow="1" w:lastRow="0" w:firstColumn="1" w:lastColumn="0" w:noHBand="0" w:noVBand="1"/>
      </w:tblPr>
      <w:tblGrid>
        <w:gridCol w:w="1470"/>
        <w:gridCol w:w="1650"/>
        <w:gridCol w:w="853"/>
        <w:gridCol w:w="1867"/>
        <w:gridCol w:w="970"/>
        <w:gridCol w:w="3964"/>
      </w:tblGrid>
      <w:tr w:rsidR="00BC00B3" w:rsidRPr="00BA2408" w14:paraId="1825086B" w14:textId="77777777" w:rsidTr="00301740">
        <w:trPr>
          <w:trHeight w:val="300"/>
          <w:tblHeader/>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1C1E29F8" w14:textId="77777777" w:rsidR="000B7A67" w:rsidRPr="00BA2408" w:rsidRDefault="000B7A67" w:rsidP="00F400D6">
            <w:pPr>
              <w:spacing w:after="0" w:line="240" w:lineRule="auto"/>
              <w:jc w:val="center"/>
              <w:rPr>
                <w:rFonts w:ascii="Book Antiqua" w:eastAsia="Times New Roman" w:hAnsi="Book Antiqua" w:cs="Calibri"/>
                <w:b/>
                <w:bCs/>
                <w:color w:val="FFFFFF"/>
                <w:sz w:val="18"/>
                <w:szCs w:val="18"/>
                <w:lang w:eastAsia="es-CR"/>
              </w:rPr>
            </w:pPr>
            <w:r w:rsidRPr="00BA2408">
              <w:rPr>
                <w:rFonts w:ascii="Book Antiqua" w:eastAsia="Times New Roman" w:hAnsi="Book Antiqua" w:cs="Calibri"/>
                <w:b/>
                <w:bCs/>
                <w:color w:val="FFFFFF"/>
                <w:sz w:val="18"/>
                <w:szCs w:val="18"/>
                <w:lang w:eastAsia="es-CR"/>
              </w:rPr>
              <w:t xml:space="preserve">Centro de responsabilidad </w:t>
            </w:r>
          </w:p>
        </w:tc>
        <w:tc>
          <w:tcPr>
            <w:tcW w:w="1650" w:type="dxa"/>
            <w:tcBorders>
              <w:top w:val="single" w:sz="4" w:space="0" w:color="auto"/>
              <w:left w:val="nil"/>
              <w:bottom w:val="single" w:sz="4" w:space="0" w:color="auto"/>
              <w:right w:val="single" w:sz="4" w:space="0" w:color="auto"/>
            </w:tcBorders>
            <w:shd w:val="clear" w:color="000000" w:fill="44546A"/>
            <w:vAlign w:val="center"/>
            <w:hideMark/>
          </w:tcPr>
          <w:p w14:paraId="4C3CC0C5" w14:textId="77777777" w:rsidR="000B7A67" w:rsidRPr="00BA2408" w:rsidRDefault="000B7A67" w:rsidP="00F400D6">
            <w:pPr>
              <w:spacing w:after="0" w:line="240" w:lineRule="auto"/>
              <w:jc w:val="center"/>
              <w:rPr>
                <w:rFonts w:ascii="Book Antiqua" w:eastAsia="Times New Roman" w:hAnsi="Book Antiqua" w:cs="Calibri"/>
                <w:b/>
                <w:bCs/>
                <w:color w:val="FFFFFF"/>
                <w:sz w:val="18"/>
                <w:szCs w:val="18"/>
                <w:lang w:eastAsia="es-CR"/>
              </w:rPr>
            </w:pPr>
            <w:r w:rsidRPr="00BA2408">
              <w:rPr>
                <w:rFonts w:ascii="Book Antiqua" w:eastAsia="Times New Roman" w:hAnsi="Book Antiqua" w:cs="Calibri"/>
                <w:b/>
                <w:bCs/>
                <w:color w:val="FFFFFF"/>
                <w:sz w:val="18"/>
                <w:szCs w:val="18"/>
                <w:lang w:eastAsia="es-CR"/>
              </w:rPr>
              <w:t>Oficina Líder</w:t>
            </w:r>
          </w:p>
        </w:tc>
        <w:tc>
          <w:tcPr>
            <w:tcW w:w="853" w:type="dxa"/>
            <w:tcBorders>
              <w:top w:val="single" w:sz="4" w:space="0" w:color="auto"/>
              <w:left w:val="nil"/>
              <w:bottom w:val="single" w:sz="4" w:space="0" w:color="auto"/>
              <w:right w:val="single" w:sz="4" w:space="0" w:color="auto"/>
            </w:tcBorders>
            <w:shd w:val="clear" w:color="000000" w:fill="44546A"/>
            <w:vAlign w:val="center"/>
            <w:hideMark/>
          </w:tcPr>
          <w:p w14:paraId="51BC2FD0" w14:textId="77777777" w:rsidR="000B7A67" w:rsidRPr="00BA2408" w:rsidRDefault="000B7A67" w:rsidP="00F400D6">
            <w:pPr>
              <w:spacing w:after="0" w:line="240" w:lineRule="auto"/>
              <w:jc w:val="center"/>
              <w:rPr>
                <w:rFonts w:ascii="Book Antiqua" w:eastAsia="Times New Roman" w:hAnsi="Book Antiqua" w:cs="Calibri"/>
                <w:b/>
                <w:bCs/>
                <w:color w:val="FFFFFF"/>
                <w:sz w:val="18"/>
                <w:szCs w:val="18"/>
                <w:lang w:eastAsia="es-CR"/>
              </w:rPr>
            </w:pPr>
            <w:r w:rsidRPr="00BA2408">
              <w:rPr>
                <w:rFonts w:ascii="Book Antiqua" w:eastAsia="Times New Roman" w:hAnsi="Book Antiqua" w:cs="Calibri"/>
                <w:b/>
                <w:bCs/>
                <w:color w:val="FFFFFF"/>
                <w:sz w:val="18"/>
                <w:szCs w:val="18"/>
                <w:lang w:eastAsia="es-CR"/>
              </w:rPr>
              <w:t>Código</w:t>
            </w:r>
          </w:p>
        </w:tc>
        <w:tc>
          <w:tcPr>
            <w:tcW w:w="1867" w:type="dxa"/>
            <w:tcBorders>
              <w:top w:val="single" w:sz="4" w:space="0" w:color="auto"/>
              <w:left w:val="nil"/>
              <w:bottom w:val="single" w:sz="4" w:space="0" w:color="auto"/>
              <w:right w:val="single" w:sz="4" w:space="0" w:color="auto"/>
            </w:tcBorders>
            <w:shd w:val="clear" w:color="000000" w:fill="44546A"/>
            <w:vAlign w:val="center"/>
            <w:hideMark/>
          </w:tcPr>
          <w:p w14:paraId="3B832E22" w14:textId="77777777" w:rsidR="000B7A67" w:rsidRPr="00BA2408" w:rsidRDefault="000B7A67" w:rsidP="00F400D6">
            <w:pPr>
              <w:spacing w:after="0" w:line="240" w:lineRule="auto"/>
              <w:jc w:val="center"/>
              <w:rPr>
                <w:rFonts w:ascii="Book Antiqua" w:eastAsia="Times New Roman" w:hAnsi="Book Antiqua" w:cs="Calibri"/>
                <w:b/>
                <w:bCs/>
                <w:color w:val="FFFFFF"/>
                <w:sz w:val="18"/>
                <w:szCs w:val="18"/>
                <w:lang w:eastAsia="es-CR"/>
              </w:rPr>
            </w:pPr>
            <w:r w:rsidRPr="00BA2408">
              <w:rPr>
                <w:rFonts w:ascii="Book Antiqua" w:eastAsia="Times New Roman" w:hAnsi="Book Antiqua" w:cs="Calibri"/>
                <w:b/>
                <w:bCs/>
                <w:color w:val="FFFFFF"/>
                <w:sz w:val="18"/>
                <w:szCs w:val="18"/>
                <w:lang w:eastAsia="es-CR"/>
              </w:rPr>
              <w:t>Nombre</w:t>
            </w:r>
          </w:p>
        </w:tc>
        <w:tc>
          <w:tcPr>
            <w:tcW w:w="970" w:type="dxa"/>
            <w:tcBorders>
              <w:top w:val="single" w:sz="4" w:space="0" w:color="auto"/>
              <w:left w:val="nil"/>
              <w:bottom w:val="single" w:sz="4" w:space="0" w:color="auto"/>
              <w:right w:val="single" w:sz="4" w:space="0" w:color="auto"/>
            </w:tcBorders>
            <w:shd w:val="clear" w:color="000000" w:fill="44546A"/>
            <w:vAlign w:val="center"/>
            <w:hideMark/>
          </w:tcPr>
          <w:p w14:paraId="328D9396" w14:textId="77777777" w:rsidR="000B7A67" w:rsidRPr="00BA2408" w:rsidRDefault="000B7A67" w:rsidP="00F400D6">
            <w:pPr>
              <w:spacing w:after="0" w:line="240" w:lineRule="auto"/>
              <w:jc w:val="center"/>
              <w:rPr>
                <w:rFonts w:ascii="Book Antiqua" w:eastAsia="Times New Roman" w:hAnsi="Book Antiqua" w:cs="Calibri"/>
                <w:b/>
                <w:bCs/>
                <w:color w:val="FFFFFF"/>
                <w:sz w:val="18"/>
                <w:szCs w:val="18"/>
                <w:lang w:eastAsia="es-CR"/>
              </w:rPr>
            </w:pPr>
            <w:r w:rsidRPr="00BA2408">
              <w:rPr>
                <w:rFonts w:ascii="Book Antiqua" w:eastAsia="Times New Roman" w:hAnsi="Book Antiqua" w:cs="Calibri"/>
                <w:b/>
                <w:bCs/>
                <w:color w:val="FFFFFF"/>
                <w:sz w:val="18"/>
                <w:szCs w:val="18"/>
                <w:lang w:eastAsia="es-CR"/>
              </w:rPr>
              <w:t>Parte pendiente</w:t>
            </w:r>
          </w:p>
        </w:tc>
        <w:tc>
          <w:tcPr>
            <w:tcW w:w="3964" w:type="dxa"/>
            <w:tcBorders>
              <w:top w:val="single" w:sz="4" w:space="0" w:color="auto"/>
              <w:left w:val="nil"/>
              <w:bottom w:val="single" w:sz="4" w:space="0" w:color="auto"/>
              <w:right w:val="single" w:sz="4" w:space="0" w:color="auto"/>
            </w:tcBorders>
            <w:shd w:val="clear" w:color="000000" w:fill="44546A"/>
            <w:vAlign w:val="center"/>
            <w:hideMark/>
          </w:tcPr>
          <w:p w14:paraId="7C63B509" w14:textId="77777777" w:rsidR="000B7A67" w:rsidRPr="00BA2408" w:rsidRDefault="000B7A67" w:rsidP="00F400D6">
            <w:pPr>
              <w:spacing w:after="0" w:line="240" w:lineRule="auto"/>
              <w:jc w:val="center"/>
              <w:rPr>
                <w:rFonts w:ascii="Book Antiqua" w:eastAsia="Times New Roman" w:hAnsi="Book Antiqua" w:cs="Calibri"/>
                <w:b/>
                <w:bCs/>
                <w:color w:val="FFFFFF"/>
                <w:sz w:val="18"/>
                <w:szCs w:val="18"/>
                <w:lang w:eastAsia="es-CR"/>
              </w:rPr>
            </w:pPr>
            <w:r w:rsidRPr="00BA2408">
              <w:rPr>
                <w:rFonts w:ascii="Book Antiqua" w:eastAsia="Times New Roman" w:hAnsi="Book Antiqua" w:cs="Calibri"/>
                <w:b/>
                <w:bCs/>
                <w:color w:val="FFFFFF"/>
                <w:sz w:val="18"/>
                <w:szCs w:val="18"/>
                <w:lang w:eastAsia="es-CR"/>
              </w:rPr>
              <w:t xml:space="preserve">Detalle </w:t>
            </w:r>
          </w:p>
        </w:tc>
      </w:tr>
      <w:tr w:rsidR="007E6FC1" w:rsidRPr="00BA2408" w14:paraId="355AB660" w14:textId="77777777" w:rsidTr="00301740">
        <w:trPr>
          <w:trHeight w:val="655"/>
        </w:trPr>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5FC0A4F2"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Organismo de Investigación Judicial</w:t>
            </w:r>
          </w:p>
        </w:tc>
        <w:tc>
          <w:tcPr>
            <w:tcW w:w="1650" w:type="dxa"/>
            <w:tcBorders>
              <w:top w:val="nil"/>
              <w:left w:val="nil"/>
              <w:bottom w:val="single" w:sz="4" w:space="0" w:color="auto"/>
              <w:right w:val="single" w:sz="4" w:space="0" w:color="auto"/>
            </w:tcBorders>
            <w:shd w:val="clear" w:color="auto" w:fill="auto"/>
            <w:vAlign w:val="center"/>
            <w:hideMark/>
          </w:tcPr>
          <w:p w14:paraId="7C84BAF7"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 xml:space="preserve">0078 </w:t>
            </w:r>
            <w:r>
              <w:rPr>
                <w:rFonts w:ascii="Book Antiqua" w:eastAsia="Times New Roman" w:hAnsi="Book Antiqua" w:cs="Calibri"/>
                <w:color w:val="000000"/>
                <w:sz w:val="18"/>
                <w:szCs w:val="18"/>
                <w:lang w:eastAsia="es-CR"/>
              </w:rPr>
              <w:t>D</w:t>
            </w:r>
            <w:r w:rsidRPr="00BA2408">
              <w:rPr>
                <w:rFonts w:ascii="Book Antiqua" w:eastAsia="Times New Roman" w:hAnsi="Book Antiqua" w:cs="Calibri"/>
                <w:color w:val="000000"/>
                <w:sz w:val="18"/>
                <w:szCs w:val="18"/>
                <w:lang w:eastAsia="es-CR"/>
              </w:rPr>
              <w:t xml:space="preserve">epartamento de </w:t>
            </w:r>
            <w:r>
              <w:rPr>
                <w:rFonts w:ascii="Book Antiqua" w:eastAsia="Times New Roman" w:hAnsi="Book Antiqua" w:cs="Calibri"/>
                <w:color w:val="000000"/>
                <w:sz w:val="18"/>
                <w:szCs w:val="18"/>
                <w:lang w:eastAsia="es-CR"/>
              </w:rPr>
              <w:t>M</w:t>
            </w:r>
            <w:r w:rsidRPr="00BA2408">
              <w:rPr>
                <w:rFonts w:ascii="Book Antiqua" w:eastAsia="Times New Roman" w:hAnsi="Book Antiqua" w:cs="Calibri"/>
                <w:color w:val="000000"/>
                <w:sz w:val="18"/>
                <w:szCs w:val="18"/>
                <w:lang w:eastAsia="es-CR"/>
              </w:rPr>
              <w:t xml:space="preserve">edicina </w:t>
            </w:r>
            <w:r>
              <w:rPr>
                <w:rFonts w:ascii="Book Antiqua" w:eastAsia="Times New Roman" w:hAnsi="Book Antiqua" w:cs="Calibri"/>
                <w:color w:val="000000"/>
                <w:sz w:val="18"/>
                <w:szCs w:val="18"/>
                <w:lang w:eastAsia="es-CR"/>
              </w:rPr>
              <w:t>L</w:t>
            </w:r>
            <w:r w:rsidRPr="00BA2408">
              <w:rPr>
                <w:rFonts w:ascii="Book Antiqua" w:eastAsia="Times New Roman" w:hAnsi="Book Antiqua" w:cs="Calibri"/>
                <w:color w:val="000000"/>
                <w:sz w:val="18"/>
                <w:szCs w:val="18"/>
                <w:lang w:eastAsia="es-CR"/>
              </w:rPr>
              <w:t>egal</w:t>
            </w:r>
          </w:p>
        </w:tc>
        <w:tc>
          <w:tcPr>
            <w:tcW w:w="853" w:type="dxa"/>
            <w:tcBorders>
              <w:top w:val="nil"/>
              <w:left w:val="nil"/>
              <w:bottom w:val="single" w:sz="4" w:space="0" w:color="auto"/>
              <w:right w:val="single" w:sz="4" w:space="0" w:color="auto"/>
            </w:tcBorders>
            <w:shd w:val="clear" w:color="auto" w:fill="auto"/>
            <w:vAlign w:val="center"/>
            <w:hideMark/>
          </w:tcPr>
          <w:p w14:paraId="0B059AE2"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1167-OIJ-P02</w:t>
            </w:r>
          </w:p>
        </w:tc>
        <w:tc>
          <w:tcPr>
            <w:tcW w:w="1867" w:type="dxa"/>
            <w:tcBorders>
              <w:top w:val="nil"/>
              <w:left w:val="nil"/>
              <w:bottom w:val="single" w:sz="4" w:space="0" w:color="auto"/>
              <w:right w:val="single" w:sz="4" w:space="0" w:color="auto"/>
            </w:tcBorders>
            <w:shd w:val="clear" w:color="auto" w:fill="auto"/>
            <w:vAlign w:val="center"/>
            <w:hideMark/>
          </w:tcPr>
          <w:p w14:paraId="71137B08"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Reacondicionamiento de la Morgue Judicial</w:t>
            </w:r>
          </w:p>
        </w:tc>
        <w:tc>
          <w:tcPr>
            <w:tcW w:w="970" w:type="dxa"/>
            <w:tcBorders>
              <w:top w:val="nil"/>
              <w:left w:val="nil"/>
              <w:bottom w:val="single" w:sz="4" w:space="0" w:color="auto"/>
              <w:right w:val="single" w:sz="4" w:space="0" w:color="auto"/>
            </w:tcBorders>
            <w:shd w:val="clear" w:color="auto" w:fill="auto"/>
            <w:vAlign w:val="center"/>
            <w:hideMark/>
          </w:tcPr>
          <w:p w14:paraId="1363E52F"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2.3</w:t>
            </w:r>
          </w:p>
        </w:tc>
        <w:tc>
          <w:tcPr>
            <w:tcW w:w="3964" w:type="dxa"/>
            <w:tcBorders>
              <w:top w:val="nil"/>
              <w:left w:val="nil"/>
              <w:bottom w:val="single" w:sz="4" w:space="0" w:color="auto"/>
              <w:right w:val="single" w:sz="4" w:space="0" w:color="auto"/>
            </w:tcBorders>
            <w:shd w:val="clear" w:color="auto" w:fill="auto"/>
            <w:vAlign w:val="center"/>
            <w:hideMark/>
          </w:tcPr>
          <w:p w14:paraId="7A5BF88A" w14:textId="77777777" w:rsidR="000B7A67" w:rsidRPr="00BA2408" w:rsidRDefault="000B7A67" w:rsidP="00AC38D3">
            <w:pPr>
              <w:spacing w:after="0" w:line="240" w:lineRule="auto"/>
              <w:jc w:val="both"/>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Pendiente actualizar acta de constitución producto de la solicitud de cambio del 31-12-22</w:t>
            </w:r>
          </w:p>
        </w:tc>
      </w:tr>
      <w:tr w:rsidR="007E6FC1" w:rsidRPr="00BA2408" w14:paraId="1A841EAC" w14:textId="77777777" w:rsidTr="00301740">
        <w:trPr>
          <w:trHeight w:val="724"/>
        </w:trPr>
        <w:tc>
          <w:tcPr>
            <w:tcW w:w="1470" w:type="dxa"/>
            <w:vMerge/>
            <w:tcBorders>
              <w:top w:val="nil"/>
              <w:left w:val="single" w:sz="4" w:space="0" w:color="auto"/>
              <w:bottom w:val="single" w:sz="4" w:space="0" w:color="000000"/>
              <w:right w:val="single" w:sz="4" w:space="0" w:color="auto"/>
            </w:tcBorders>
            <w:vAlign w:val="center"/>
            <w:hideMark/>
          </w:tcPr>
          <w:p w14:paraId="74135E9C"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vMerge w:val="restart"/>
            <w:tcBorders>
              <w:top w:val="nil"/>
              <w:left w:val="single" w:sz="4" w:space="0" w:color="auto"/>
              <w:bottom w:val="single" w:sz="4" w:space="0" w:color="000000"/>
              <w:right w:val="single" w:sz="4" w:space="0" w:color="auto"/>
            </w:tcBorders>
            <w:shd w:val="clear" w:color="auto" w:fill="auto"/>
            <w:vAlign w:val="center"/>
            <w:hideMark/>
          </w:tcPr>
          <w:p w14:paraId="2621696E"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 xml:space="preserve">0083 </w:t>
            </w:r>
            <w:r>
              <w:rPr>
                <w:rFonts w:ascii="Book Antiqua" w:eastAsia="Times New Roman" w:hAnsi="Book Antiqua" w:cs="Calibri"/>
                <w:color w:val="000000"/>
                <w:sz w:val="18"/>
                <w:szCs w:val="18"/>
                <w:lang w:eastAsia="es-CR"/>
              </w:rPr>
              <w:t>D</w:t>
            </w:r>
            <w:r w:rsidRPr="00BA2408">
              <w:rPr>
                <w:rFonts w:ascii="Book Antiqua" w:eastAsia="Times New Roman" w:hAnsi="Book Antiqua" w:cs="Calibri"/>
                <w:color w:val="000000"/>
                <w:sz w:val="18"/>
                <w:szCs w:val="18"/>
                <w:lang w:eastAsia="es-CR"/>
              </w:rPr>
              <w:t xml:space="preserve">epartamento de </w:t>
            </w:r>
            <w:r>
              <w:rPr>
                <w:rFonts w:ascii="Book Antiqua" w:eastAsia="Times New Roman" w:hAnsi="Book Antiqua" w:cs="Calibri"/>
                <w:color w:val="000000"/>
                <w:sz w:val="18"/>
                <w:szCs w:val="18"/>
                <w:lang w:eastAsia="es-CR"/>
              </w:rPr>
              <w:t>L</w:t>
            </w:r>
            <w:r w:rsidRPr="00BA2408">
              <w:rPr>
                <w:rFonts w:ascii="Book Antiqua" w:eastAsia="Times New Roman" w:hAnsi="Book Antiqua" w:cs="Calibri"/>
                <w:color w:val="000000"/>
                <w:sz w:val="18"/>
                <w:szCs w:val="18"/>
                <w:lang w:eastAsia="es-CR"/>
              </w:rPr>
              <w:t xml:space="preserve">aboratorio de </w:t>
            </w:r>
            <w:r>
              <w:rPr>
                <w:rFonts w:ascii="Book Antiqua" w:eastAsia="Times New Roman" w:hAnsi="Book Antiqua" w:cs="Calibri"/>
                <w:color w:val="000000"/>
                <w:sz w:val="18"/>
                <w:szCs w:val="18"/>
                <w:lang w:eastAsia="es-CR"/>
              </w:rPr>
              <w:t>C</w:t>
            </w:r>
            <w:r w:rsidRPr="00BA2408">
              <w:rPr>
                <w:rFonts w:ascii="Book Antiqua" w:eastAsia="Times New Roman" w:hAnsi="Book Antiqua" w:cs="Calibri"/>
                <w:color w:val="000000"/>
                <w:sz w:val="18"/>
                <w:szCs w:val="18"/>
                <w:lang w:eastAsia="es-CR"/>
              </w:rPr>
              <w:t xml:space="preserve">iencias </w:t>
            </w:r>
            <w:r>
              <w:rPr>
                <w:rFonts w:ascii="Book Antiqua" w:eastAsia="Times New Roman" w:hAnsi="Book Antiqua" w:cs="Calibri"/>
                <w:color w:val="000000"/>
                <w:sz w:val="18"/>
                <w:szCs w:val="18"/>
                <w:lang w:eastAsia="es-CR"/>
              </w:rPr>
              <w:t>F</w:t>
            </w:r>
            <w:r w:rsidRPr="00BA2408">
              <w:rPr>
                <w:rFonts w:ascii="Book Antiqua" w:eastAsia="Times New Roman" w:hAnsi="Book Antiqua" w:cs="Calibri"/>
                <w:color w:val="000000"/>
                <w:sz w:val="18"/>
                <w:szCs w:val="18"/>
                <w:lang w:eastAsia="es-CR"/>
              </w:rPr>
              <w:t>orenses</w:t>
            </w:r>
          </w:p>
        </w:tc>
        <w:tc>
          <w:tcPr>
            <w:tcW w:w="853" w:type="dxa"/>
            <w:vMerge w:val="restart"/>
            <w:tcBorders>
              <w:top w:val="nil"/>
              <w:left w:val="single" w:sz="4" w:space="0" w:color="auto"/>
              <w:bottom w:val="single" w:sz="4" w:space="0" w:color="000000"/>
              <w:right w:val="single" w:sz="4" w:space="0" w:color="auto"/>
            </w:tcBorders>
            <w:shd w:val="clear" w:color="auto" w:fill="auto"/>
            <w:vAlign w:val="center"/>
            <w:hideMark/>
          </w:tcPr>
          <w:p w14:paraId="6AD66405"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1167-OIJ-P23</w:t>
            </w:r>
          </w:p>
        </w:tc>
        <w:tc>
          <w:tcPr>
            <w:tcW w:w="1867" w:type="dxa"/>
            <w:vMerge w:val="restart"/>
            <w:tcBorders>
              <w:top w:val="nil"/>
              <w:left w:val="single" w:sz="4" w:space="0" w:color="auto"/>
              <w:bottom w:val="single" w:sz="4" w:space="0" w:color="000000"/>
              <w:right w:val="single" w:sz="4" w:space="0" w:color="auto"/>
            </w:tcBorders>
            <w:shd w:val="clear" w:color="auto" w:fill="auto"/>
            <w:vAlign w:val="center"/>
            <w:hideMark/>
          </w:tcPr>
          <w:p w14:paraId="3DC80376"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Implementar y validar dos metodologías de análisis de material vegetal sospechoso para distinguir entre cáñamo y marihuana</w:t>
            </w:r>
          </w:p>
        </w:tc>
        <w:tc>
          <w:tcPr>
            <w:tcW w:w="970" w:type="dxa"/>
            <w:tcBorders>
              <w:top w:val="nil"/>
              <w:left w:val="nil"/>
              <w:bottom w:val="single" w:sz="4" w:space="0" w:color="auto"/>
              <w:right w:val="single" w:sz="4" w:space="0" w:color="auto"/>
            </w:tcBorders>
            <w:shd w:val="clear" w:color="auto" w:fill="auto"/>
            <w:vAlign w:val="center"/>
            <w:hideMark/>
          </w:tcPr>
          <w:p w14:paraId="3D399238" w14:textId="77777777" w:rsidR="000B7A67" w:rsidRPr="00BA2408" w:rsidRDefault="000B7A67" w:rsidP="00F400D6">
            <w:pPr>
              <w:spacing w:after="0" w:line="240" w:lineRule="auto"/>
              <w:jc w:val="center"/>
              <w:rPr>
                <w:rFonts w:ascii="Book Antiqua" w:eastAsia="Times New Roman" w:hAnsi="Book Antiqua" w:cs="Calibri"/>
                <w:sz w:val="18"/>
                <w:szCs w:val="18"/>
                <w:lang w:eastAsia="es-CR"/>
              </w:rPr>
            </w:pPr>
            <w:r w:rsidRPr="00BA2408">
              <w:rPr>
                <w:rFonts w:ascii="Book Antiqua" w:eastAsia="Times New Roman" w:hAnsi="Book Antiqua" w:cs="Calibri"/>
                <w:sz w:val="18"/>
                <w:szCs w:val="18"/>
                <w:lang w:eastAsia="es-CR"/>
              </w:rPr>
              <w:t>1.25</w:t>
            </w:r>
          </w:p>
        </w:tc>
        <w:tc>
          <w:tcPr>
            <w:tcW w:w="3964" w:type="dxa"/>
            <w:tcBorders>
              <w:top w:val="nil"/>
              <w:left w:val="nil"/>
              <w:bottom w:val="single" w:sz="4" w:space="0" w:color="auto"/>
              <w:right w:val="single" w:sz="4" w:space="0" w:color="auto"/>
            </w:tcBorders>
            <w:shd w:val="clear" w:color="auto" w:fill="auto"/>
            <w:vAlign w:val="center"/>
            <w:hideMark/>
          </w:tcPr>
          <w:p w14:paraId="64AB4BB4" w14:textId="77777777" w:rsidR="000B7A67" w:rsidRPr="00BA2408" w:rsidRDefault="000B7A67" w:rsidP="00AC38D3">
            <w:pPr>
              <w:spacing w:after="0" w:line="240" w:lineRule="auto"/>
              <w:jc w:val="both"/>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Pendiente elaborar solicitud de cambio y realizar ajuste en el cronograma para justificar retraso.</w:t>
            </w:r>
          </w:p>
        </w:tc>
      </w:tr>
      <w:tr w:rsidR="007E6FC1" w:rsidRPr="00BA2408" w14:paraId="79EF0CC6" w14:textId="77777777" w:rsidTr="00301740">
        <w:trPr>
          <w:trHeight w:val="1020"/>
        </w:trPr>
        <w:tc>
          <w:tcPr>
            <w:tcW w:w="1470" w:type="dxa"/>
            <w:vMerge/>
            <w:tcBorders>
              <w:top w:val="nil"/>
              <w:left w:val="single" w:sz="4" w:space="0" w:color="auto"/>
              <w:bottom w:val="single" w:sz="4" w:space="0" w:color="000000"/>
              <w:right w:val="single" w:sz="4" w:space="0" w:color="auto"/>
            </w:tcBorders>
            <w:vAlign w:val="center"/>
            <w:hideMark/>
          </w:tcPr>
          <w:p w14:paraId="59995DA3"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vMerge/>
            <w:tcBorders>
              <w:top w:val="nil"/>
              <w:left w:val="single" w:sz="4" w:space="0" w:color="auto"/>
              <w:bottom w:val="single" w:sz="4" w:space="0" w:color="000000"/>
              <w:right w:val="single" w:sz="4" w:space="0" w:color="auto"/>
            </w:tcBorders>
            <w:vAlign w:val="center"/>
            <w:hideMark/>
          </w:tcPr>
          <w:p w14:paraId="6BAA160C"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853" w:type="dxa"/>
            <w:vMerge/>
            <w:tcBorders>
              <w:top w:val="nil"/>
              <w:left w:val="single" w:sz="4" w:space="0" w:color="auto"/>
              <w:bottom w:val="single" w:sz="4" w:space="0" w:color="000000"/>
              <w:right w:val="single" w:sz="4" w:space="0" w:color="auto"/>
            </w:tcBorders>
            <w:vAlign w:val="center"/>
            <w:hideMark/>
          </w:tcPr>
          <w:p w14:paraId="771CB069"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1867" w:type="dxa"/>
            <w:vMerge/>
            <w:tcBorders>
              <w:top w:val="nil"/>
              <w:left w:val="single" w:sz="4" w:space="0" w:color="auto"/>
              <w:bottom w:val="single" w:sz="4" w:space="0" w:color="000000"/>
              <w:right w:val="single" w:sz="4" w:space="0" w:color="auto"/>
            </w:tcBorders>
            <w:vAlign w:val="center"/>
            <w:hideMark/>
          </w:tcPr>
          <w:p w14:paraId="22A89545"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970" w:type="dxa"/>
            <w:tcBorders>
              <w:top w:val="nil"/>
              <w:left w:val="nil"/>
              <w:bottom w:val="single" w:sz="4" w:space="0" w:color="auto"/>
              <w:right w:val="single" w:sz="4" w:space="0" w:color="auto"/>
            </w:tcBorders>
            <w:shd w:val="clear" w:color="auto" w:fill="auto"/>
            <w:vAlign w:val="center"/>
            <w:hideMark/>
          </w:tcPr>
          <w:p w14:paraId="38734BE9"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2.2</w:t>
            </w:r>
          </w:p>
        </w:tc>
        <w:tc>
          <w:tcPr>
            <w:tcW w:w="3964" w:type="dxa"/>
            <w:tcBorders>
              <w:top w:val="nil"/>
              <w:left w:val="nil"/>
              <w:bottom w:val="single" w:sz="4" w:space="0" w:color="auto"/>
              <w:right w:val="single" w:sz="4" w:space="0" w:color="auto"/>
            </w:tcBorders>
            <w:shd w:val="clear" w:color="auto" w:fill="auto"/>
            <w:vAlign w:val="center"/>
            <w:hideMark/>
          </w:tcPr>
          <w:p w14:paraId="3A340D4D" w14:textId="77777777" w:rsidR="000B7A67" w:rsidRPr="00BA2408" w:rsidRDefault="000B7A67" w:rsidP="00AC38D3">
            <w:pPr>
              <w:spacing w:after="0" w:line="240" w:lineRule="auto"/>
              <w:jc w:val="both"/>
              <w:rPr>
                <w:rFonts w:ascii="Book Antiqua" w:eastAsia="Times New Roman" w:hAnsi="Book Antiqua" w:cs="Calibri"/>
                <w:sz w:val="18"/>
                <w:szCs w:val="18"/>
                <w:lang w:eastAsia="es-CR"/>
              </w:rPr>
            </w:pPr>
            <w:r w:rsidRPr="00BA2408">
              <w:rPr>
                <w:rFonts w:ascii="Book Antiqua" w:eastAsia="Times New Roman" w:hAnsi="Book Antiqua" w:cs="Calibri"/>
                <w:sz w:val="18"/>
                <w:szCs w:val="18"/>
                <w:lang w:eastAsia="es-CR"/>
              </w:rPr>
              <w:t>Pendiente elaborar solicitud de cambio y realizar ajuste en el cronograma para justificar retraso.</w:t>
            </w:r>
          </w:p>
        </w:tc>
      </w:tr>
      <w:tr w:rsidR="007E6FC1" w:rsidRPr="00BA2408" w14:paraId="23EFCD55" w14:textId="77777777" w:rsidTr="00301740">
        <w:trPr>
          <w:trHeight w:val="1015"/>
        </w:trPr>
        <w:tc>
          <w:tcPr>
            <w:tcW w:w="1470" w:type="dxa"/>
            <w:vMerge/>
            <w:tcBorders>
              <w:top w:val="nil"/>
              <w:left w:val="single" w:sz="4" w:space="0" w:color="auto"/>
              <w:bottom w:val="single" w:sz="4" w:space="0" w:color="000000"/>
              <w:right w:val="single" w:sz="4" w:space="0" w:color="auto"/>
            </w:tcBorders>
            <w:vAlign w:val="center"/>
            <w:hideMark/>
          </w:tcPr>
          <w:p w14:paraId="62CA04E9"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vMerge/>
            <w:tcBorders>
              <w:top w:val="nil"/>
              <w:left w:val="single" w:sz="4" w:space="0" w:color="auto"/>
              <w:bottom w:val="single" w:sz="4" w:space="0" w:color="000000"/>
              <w:right w:val="single" w:sz="4" w:space="0" w:color="auto"/>
            </w:tcBorders>
            <w:vAlign w:val="center"/>
            <w:hideMark/>
          </w:tcPr>
          <w:p w14:paraId="7B2B3795"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853" w:type="dxa"/>
            <w:tcBorders>
              <w:top w:val="nil"/>
              <w:left w:val="nil"/>
              <w:bottom w:val="single" w:sz="4" w:space="0" w:color="auto"/>
              <w:right w:val="single" w:sz="4" w:space="0" w:color="auto"/>
            </w:tcBorders>
            <w:shd w:val="clear" w:color="auto" w:fill="auto"/>
            <w:vAlign w:val="center"/>
            <w:hideMark/>
          </w:tcPr>
          <w:p w14:paraId="44004045"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1167-OIJ-P33</w:t>
            </w:r>
          </w:p>
        </w:tc>
        <w:tc>
          <w:tcPr>
            <w:tcW w:w="1867" w:type="dxa"/>
            <w:tcBorders>
              <w:top w:val="nil"/>
              <w:left w:val="nil"/>
              <w:bottom w:val="single" w:sz="4" w:space="0" w:color="auto"/>
              <w:right w:val="single" w:sz="4" w:space="0" w:color="auto"/>
            </w:tcBorders>
            <w:shd w:val="clear" w:color="auto" w:fill="auto"/>
            <w:vAlign w:val="center"/>
            <w:hideMark/>
          </w:tcPr>
          <w:p w14:paraId="58AE7BB2"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Construcción de bodega en el Departamento de Ciencias Forenses</w:t>
            </w:r>
          </w:p>
        </w:tc>
        <w:tc>
          <w:tcPr>
            <w:tcW w:w="970" w:type="dxa"/>
            <w:tcBorders>
              <w:top w:val="nil"/>
              <w:left w:val="nil"/>
              <w:bottom w:val="single" w:sz="4" w:space="0" w:color="auto"/>
              <w:right w:val="single" w:sz="4" w:space="0" w:color="auto"/>
            </w:tcBorders>
            <w:shd w:val="clear" w:color="auto" w:fill="auto"/>
            <w:vAlign w:val="center"/>
            <w:hideMark/>
          </w:tcPr>
          <w:p w14:paraId="38CC3355" w14:textId="77777777" w:rsidR="000B7A67" w:rsidRPr="00BA2408" w:rsidRDefault="000B7A67" w:rsidP="00F400D6">
            <w:pPr>
              <w:spacing w:after="0" w:line="240" w:lineRule="auto"/>
              <w:jc w:val="center"/>
              <w:rPr>
                <w:rFonts w:ascii="Book Antiqua" w:eastAsia="Times New Roman" w:hAnsi="Book Antiqua" w:cs="Calibri"/>
                <w:sz w:val="18"/>
                <w:szCs w:val="18"/>
                <w:lang w:eastAsia="es-CR"/>
              </w:rPr>
            </w:pPr>
            <w:r w:rsidRPr="00BA2408">
              <w:rPr>
                <w:rFonts w:ascii="Book Antiqua" w:eastAsia="Times New Roman" w:hAnsi="Book Antiqua" w:cs="Calibri"/>
                <w:sz w:val="18"/>
                <w:szCs w:val="18"/>
                <w:lang w:eastAsia="es-CR"/>
              </w:rPr>
              <w:t>1.25</w:t>
            </w:r>
          </w:p>
        </w:tc>
        <w:tc>
          <w:tcPr>
            <w:tcW w:w="3964" w:type="dxa"/>
            <w:tcBorders>
              <w:top w:val="nil"/>
              <w:left w:val="nil"/>
              <w:bottom w:val="single" w:sz="4" w:space="0" w:color="auto"/>
              <w:right w:val="single" w:sz="4" w:space="0" w:color="auto"/>
            </w:tcBorders>
            <w:shd w:val="clear" w:color="auto" w:fill="auto"/>
            <w:vAlign w:val="center"/>
            <w:hideMark/>
          </w:tcPr>
          <w:p w14:paraId="0CDA0B4A" w14:textId="77777777" w:rsidR="000B7A67" w:rsidRPr="00BA2408" w:rsidRDefault="000B7A67" w:rsidP="00AC38D3">
            <w:pPr>
              <w:spacing w:after="0" w:line="240" w:lineRule="auto"/>
              <w:jc w:val="both"/>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No se encuentran subidos en el sitio ni el estudio de factibilidad, ni el Plan de gestión ni acta de constitución. Y no se encuentra subida en el sitio la solicitud de cambio de ajuste de fecha de cronograma.</w:t>
            </w:r>
          </w:p>
        </w:tc>
      </w:tr>
      <w:tr w:rsidR="007E6FC1" w:rsidRPr="00BA2408" w14:paraId="434A3328" w14:textId="77777777" w:rsidTr="00301740">
        <w:trPr>
          <w:trHeight w:val="1158"/>
        </w:trPr>
        <w:tc>
          <w:tcPr>
            <w:tcW w:w="1470" w:type="dxa"/>
            <w:vMerge/>
            <w:tcBorders>
              <w:top w:val="nil"/>
              <w:left w:val="single" w:sz="4" w:space="0" w:color="auto"/>
              <w:bottom w:val="single" w:sz="4" w:space="0" w:color="000000"/>
              <w:right w:val="single" w:sz="4" w:space="0" w:color="auto"/>
            </w:tcBorders>
            <w:vAlign w:val="center"/>
            <w:hideMark/>
          </w:tcPr>
          <w:p w14:paraId="41A4F93D"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vMerge/>
            <w:tcBorders>
              <w:top w:val="nil"/>
              <w:left w:val="single" w:sz="4" w:space="0" w:color="auto"/>
              <w:bottom w:val="single" w:sz="4" w:space="0" w:color="000000"/>
              <w:right w:val="single" w:sz="4" w:space="0" w:color="auto"/>
            </w:tcBorders>
            <w:vAlign w:val="center"/>
            <w:hideMark/>
          </w:tcPr>
          <w:p w14:paraId="70FA7E50"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853" w:type="dxa"/>
            <w:tcBorders>
              <w:top w:val="nil"/>
              <w:left w:val="nil"/>
              <w:bottom w:val="single" w:sz="4" w:space="0" w:color="auto"/>
              <w:right w:val="single" w:sz="4" w:space="0" w:color="auto"/>
            </w:tcBorders>
            <w:shd w:val="clear" w:color="auto" w:fill="auto"/>
            <w:vAlign w:val="center"/>
            <w:hideMark/>
          </w:tcPr>
          <w:p w14:paraId="54CCA525"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1167-OIJ-P34</w:t>
            </w:r>
          </w:p>
        </w:tc>
        <w:tc>
          <w:tcPr>
            <w:tcW w:w="1867" w:type="dxa"/>
            <w:tcBorders>
              <w:top w:val="nil"/>
              <w:left w:val="nil"/>
              <w:bottom w:val="single" w:sz="4" w:space="0" w:color="auto"/>
              <w:right w:val="single" w:sz="4" w:space="0" w:color="auto"/>
            </w:tcBorders>
            <w:shd w:val="clear" w:color="auto" w:fill="auto"/>
            <w:vAlign w:val="center"/>
            <w:hideMark/>
          </w:tcPr>
          <w:p w14:paraId="49E84D70"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Sustitución del sistema de detección y supresión de incendios del edificio del Departamento de Ciencias Forenses</w:t>
            </w:r>
          </w:p>
        </w:tc>
        <w:tc>
          <w:tcPr>
            <w:tcW w:w="970" w:type="dxa"/>
            <w:tcBorders>
              <w:top w:val="nil"/>
              <w:left w:val="nil"/>
              <w:bottom w:val="single" w:sz="4" w:space="0" w:color="auto"/>
              <w:right w:val="single" w:sz="4" w:space="0" w:color="auto"/>
            </w:tcBorders>
            <w:shd w:val="clear" w:color="auto" w:fill="auto"/>
            <w:vAlign w:val="center"/>
            <w:hideMark/>
          </w:tcPr>
          <w:p w14:paraId="6FEFA916" w14:textId="77777777" w:rsidR="000B7A67" w:rsidRPr="00BA2408" w:rsidRDefault="000B7A67" w:rsidP="00F400D6">
            <w:pPr>
              <w:spacing w:after="0" w:line="240" w:lineRule="auto"/>
              <w:jc w:val="center"/>
              <w:rPr>
                <w:rFonts w:ascii="Book Antiqua" w:eastAsia="Times New Roman" w:hAnsi="Book Antiqua" w:cs="Calibri"/>
                <w:sz w:val="18"/>
                <w:szCs w:val="18"/>
                <w:lang w:eastAsia="es-CR"/>
              </w:rPr>
            </w:pPr>
            <w:r w:rsidRPr="00BA2408">
              <w:rPr>
                <w:rFonts w:ascii="Book Antiqua" w:eastAsia="Times New Roman" w:hAnsi="Book Antiqua" w:cs="Calibri"/>
                <w:sz w:val="18"/>
                <w:szCs w:val="18"/>
                <w:lang w:eastAsia="es-CR"/>
              </w:rPr>
              <w:t>1.25</w:t>
            </w:r>
          </w:p>
        </w:tc>
        <w:tc>
          <w:tcPr>
            <w:tcW w:w="3964" w:type="dxa"/>
            <w:tcBorders>
              <w:top w:val="nil"/>
              <w:left w:val="nil"/>
              <w:bottom w:val="single" w:sz="4" w:space="0" w:color="auto"/>
              <w:right w:val="single" w:sz="4" w:space="0" w:color="auto"/>
            </w:tcBorders>
            <w:shd w:val="clear" w:color="auto" w:fill="auto"/>
            <w:vAlign w:val="center"/>
            <w:hideMark/>
          </w:tcPr>
          <w:p w14:paraId="5836A44E" w14:textId="77777777" w:rsidR="000B7A67" w:rsidRPr="00BA2408" w:rsidRDefault="000B7A67" w:rsidP="00AC38D3">
            <w:pPr>
              <w:spacing w:after="0" w:line="240" w:lineRule="auto"/>
              <w:jc w:val="both"/>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No se encuentran subidos en el sitio ni el estudio de factibilidad, ni el Plan de gestión ni acta de constitución. No se encuentra subida en el sitio la solicitud de cambio de ajuste de fecha de cronograma.</w:t>
            </w:r>
          </w:p>
        </w:tc>
      </w:tr>
      <w:tr w:rsidR="007E6FC1" w:rsidRPr="00BA2408" w14:paraId="22F9AC91" w14:textId="77777777" w:rsidTr="00301740">
        <w:trPr>
          <w:trHeight w:val="900"/>
        </w:trPr>
        <w:tc>
          <w:tcPr>
            <w:tcW w:w="1470" w:type="dxa"/>
            <w:vMerge/>
            <w:tcBorders>
              <w:top w:val="nil"/>
              <w:left w:val="single" w:sz="4" w:space="0" w:color="auto"/>
              <w:bottom w:val="single" w:sz="4" w:space="0" w:color="000000"/>
              <w:right w:val="single" w:sz="4" w:space="0" w:color="auto"/>
            </w:tcBorders>
            <w:vAlign w:val="center"/>
            <w:hideMark/>
          </w:tcPr>
          <w:p w14:paraId="109951D0"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vMerge/>
            <w:tcBorders>
              <w:top w:val="nil"/>
              <w:left w:val="single" w:sz="4" w:space="0" w:color="auto"/>
              <w:bottom w:val="single" w:sz="4" w:space="0" w:color="000000"/>
              <w:right w:val="single" w:sz="4" w:space="0" w:color="auto"/>
            </w:tcBorders>
            <w:vAlign w:val="center"/>
            <w:hideMark/>
          </w:tcPr>
          <w:p w14:paraId="64E44897"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853" w:type="dxa"/>
            <w:tcBorders>
              <w:top w:val="nil"/>
              <w:left w:val="nil"/>
              <w:bottom w:val="single" w:sz="4" w:space="0" w:color="auto"/>
              <w:right w:val="single" w:sz="4" w:space="0" w:color="auto"/>
            </w:tcBorders>
            <w:shd w:val="clear" w:color="auto" w:fill="auto"/>
            <w:vAlign w:val="center"/>
            <w:hideMark/>
          </w:tcPr>
          <w:p w14:paraId="24C1B341"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1167-OIJ-P52</w:t>
            </w:r>
          </w:p>
        </w:tc>
        <w:tc>
          <w:tcPr>
            <w:tcW w:w="1867" w:type="dxa"/>
            <w:tcBorders>
              <w:top w:val="nil"/>
              <w:left w:val="nil"/>
              <w:bottom w:val="single" w:sz="4" w:space="0" w:color="auto"/>
              <w:right w:val="single" w:sz="4" w:space="0" w:color="auto"/>
            </w:tcBorders>
            <w:shd w:val="clear" w:color="auto" w:fill="auto"/>
            <w:vAlign w:val="center"/>
            <w:hideMark/>
          </w:tcPr>
          <w:p w14:paraId="36069BC1"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Implementación de la gestión de la contaminación cognitiva en el trabajo de casos forenses</w:t>
            </w:r>
          </w:p>
        </w:tc>
        <w:tc>
          <w:tcPr>
            <w:tcW w:w="970" w:type="dxa"/>
            <w:tcBorders>
              <w:top w:val="nil"/>
              <w:left w:val="nil"/>
              <w:bottom w:val="single" w:sz="4" w:space="0" w:color="auto"/>
              <w:right w:val="single" w:sz="4" w:space="0" w:color="auto"/>
            </w:tcBorders>
            <w:shd w:val="clear" w:color="auto" w:fill="auto"/>
            <w:vAlign w:val="center"/>
            <w:hideMark/>
          </w:tcPr>
          <w:p w14:paraId="36921E78"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2.1</w:t>
            </w:r>
          </w:p>
        </w:tc>
        <w:tc>
          <w:tcPr>
            <w:tcW w:w="3964" w:type="dxa"/>
            <w:tcBorders>
              <w:top w:val="nil"/>
              <w:left w:val="nil"/>
              <w:bottom w:val="single" w:sz="4" w:space="0" w:color="auto"/>
              <w:right w:val="single" w:sz="4" w:space="0" w:color="auto"/>
            </w:tcBorders>
            <w:shd w:val="clear" w:color="auto" w:fill="auto"/>
            <w:vAlign w:val="center"/>
            <w:hideMark/>
          </w:tcPr>
          <w:p w14:paraId="1EA7B5E4" w14:textId="77777777" w:rsidR="000B7A67" w:rsidRPr="00BA2408" w:rsidRDefault="000B7A67" w:rsidP="00AC38D3">
            <w:pPr>
              <w:spacing w:after="0" w:line="240" w:lineRule="auto"/>
              <w:jc w:val="both"/>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El informe de avance presentaba incorrecto el porcentaje esperado.</w:t>
            </w:r>
          </w:p>
        </w:tc>
      </w:tr>
      <w:tr w:rsidR="007E6FC1" w:rsidRPr="00BA2408" w14:paraId="4B69E031" w14:textId="77777777" w:rsidTr="00301740">
        <w:trPr>
          <w:trHeight w:val="1500"/>
        </w:trPr>
        <w:tc>
          <w:tcPr>
            <w:tcW w:w="1470" w:type="dxa"/>
            <w:vMerge/>
            <w:tcBorders>
              <w:top w:val="nil"/>
              <w:left w:val="single" w:sz="4" w:space="0" w:color="auto"/>
              <w:bottom w:val="single" w:sz="4" w:space="0" w:color="000000"/>
              <w:right w:val="single" w:sz="4" w:space="0" w:color="auto"/>
            </w:tcBorders>
            <w:vAlign w:val="center"/>
            <w:hideMark/>
          </w:tcPr>
          <w:p w14:paraId="5F5E0E1E"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vMerge/>
            <w:tcBorders>
              <w:top w:val="nil"/>
              <w:left w:val="single" w:sz="4" w:space="0" w:color="auto"/>
              <w:bottom w:val="single" w:sz="4" w:space="0" w:color="000000"/>
              <w:right w:val="single" w:sz="4" w:space="0" w:color="auto"/>
            </w:tcBorders>
            <w:vAlign w:val="center"/>
            <w:hideMark/>
          </w:tcPr>
          <w:p w14:paraId="36506DC4"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853" w:type="dxa"/>
            <w:tcBorders>
              <w:top w:val="nil"/>
              <w:left w:val="nil"/>
              <w:bottom w:val="single" w:sz="4" w:space="0" w:color="auto"/>
              <w:right w:val="single" w:sz="4" w:space="0" w:color="auto"/>
            </w:tcBorders>
            <w:shd w:val="clear" w:color="auto" w:fill="auto"/>
            <w:vAlign w:val="center"/>
            <w:hideMark/>
          </w:tcPr>
          <w:p w14:paraId="468FBC03"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1167-OIJ-P50</w:t>
            </w:r>
          </w:p>
        </w:tc>
        <w:tc>
          <w:tcPr>
            <w:tcW w:w="1867" w:type="dxa"/>
            <w:tcBorders>
              <w:top w:val="nil"/>
              <w:left w:val="nil"/>
              <w:bottom w:val="single" w:sz="4" w:space="0" w:color="auto"/>
              <w:right w:val="single" w:sz="4" w:space="0" w:color="auto"/>
            </w:tcBorders>
            <w:shd w:val="clear" w:color="auto" w:fill="auto"/>
            <w:vAlign w:val="center"/>
            <w:hideMark/>
          </w:tcPr>
          <w:p w14:paraId="132CA7B1"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Extensión de los alcances y beneficios de la pericia de Comparación biométrica de voces y fortalecimiento del área pericial</w:t>
            </w:r>
          </w:p>
        </w:tc>
        <w:tc>
          <w:tcPr>
            <w:tcW w:w="970" w:type="dxa"/>
            <w:tcBorders>
              <w:top w:val="nil"/>
              <w:left w:val="nil"/>
              <w:bottom w:val="single" w:sz="4" w:space="0" w:color="auto"/>
              <w:right w:val="single" w:sz="4" w:space="0" w:color="auto"/>
            </w:tcBorders>
            <w:shd w:val="clear" w:color="auto" w:fill="auto"/>
            <w:vAlign w:val="center"/>
            <w:hideMark/>
          </w:tcPr>
          <w:p w14:paraId="3329FAA8"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2.1</w:t>
            </w:r>
          </w:p>
        </w:tc>
        <w:tc>
          <w:tcPr>
            <w:tcW w:w="3964" w:type="dxa"/>
            <w:tcBorders>
              <w:top w:val="nil"/>
              <w:left w:val="nil"/>
              <w:bottom w:val="single" w:sz="4" w:space="0" w:color="auto"/>
              <w:right w:val="single" w:sz="4" w:space="0" w:color="auto"/>
            </w:tcBorders>
            <w:shd w:val="clear" w:color="auto" w:fill="auto"/>
            <w:vAlign w:val="center"/>
            <w:hideMark/>
          </w:tcPr>
          <w:p w14:paraId="6C81D233" w14:textId="77777777" w:rsidR="000B7A67" w:rsidRPr="00BA2408" w:rsidRDefault="000B7A67" w:rsidP="00AC38D3">
            <w:pPr>
              <w:spacing w:after="0" w:line="240" w:lineRule="auto"/>
              <w:jc w:val="both"/>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El informe de avance presentaba incorrecto el porcentaje esperado.</w:t>
            </w:r>
          </w:p>
        </w:tc>
      </w:tr>
      <w:tr w:rsidR="007E6FC1" w:rsidRPr="00BA2408" w14:paraId="274C7D06" w14:textId="77777777" w:rsidTr="00301740">
        <w:trPr>
          <w:trHeight w:val="554"/>
        </w:trPr>
        <w:tc>
          <w:tcPr>
            <w:tcW w:w="1470" w:type="dxa"/>
            <w:vMerge/>
            <w:tcBorders>
              <w:top w:val="nil"/>
              <w:left w:val="single" w:sz="4" w:space="0" w:color="auto"/>
              <w:bottom w:val="single" w:sz="4" w:space="0" w:color="000000"/>
              <w:right w:val="single" w:sz="4" w:space="0" w:color="auto"/>
            </w:tcBorders>
            <w:vAlign w:val="center"/>
            <w:hideMark/>
          </w:tcPr>
          <w:p w14:paraId="37CAA6C5"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vMerge w:val="restart"/>
            <w:tcBorders>
              <w:top w:val="nil"/>
              <w:left w:val="single" w:sz="4" w:space="0" w:color="auto"/>
              <w:bottom w:val="single" w:sz="4" w:space="0" w:color="000000"/>
              <w:right w:val="single" w:sz="4" w:space="0" w:color="auto"/>
            </w:tcBorders>
            <w:shd w:val="clear" w:color="auto" w:fill="auto"/>
            <w:vAlign w:val="center"/>
            <w:hideMark/>
          </w:tcPr>
          <w:p w14:paraId="746CADC7"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 xml:space="preserve">0657 </w:t>
            </w:r>
            <w:r>
              <w:rPr>
                <w:rFonts w:ascii="Book Antiqua" w:eastAsia="Times New Roman" w:hAnsi="Book Antiqua" w:cs="Calibri"/>
                <w:color w:val="000000"/>
                <w:sz w:val="18"/>
                <w:szCs w:val="18"/>
                <w:lang w:eastAsia="es-CR"/>
              </w:rPr>
              <w:t>O</w:t>
            </w:r>
            <w:r w:rsidRPr="00BA2408">
              <w:rPr>
                <w:rFonts w:ascii="Book Antiqua" w:eastAsia="Times New Roman" w:hAnsi="Book Antiqua" w:cs="Calibri"/>
                <w:color w:val="000000"/>
                <w:sz w:val="18"/>
                <w:szCs w:val="18"/>
                <w:lang w:eastAsia="es-CR"/>
              </w:rPr>
              <w:t xml:space="preserve">ficina de </w:t>
            </w:r>
            <w:r>
              <w:rPr>
                <w:rFonts w:ascii="Book Antiqua" w:eastAsia="Times New Roman" w:hAnsi="Book Antiqua" w:cs="Calibri"/>
                <w:color w:val="000000"/>
                <w:sz w:val="18"/>
                <w:szCs w:val="18"/>
                <w:lang w:eastAsia="es-CR"/>
              </w:rPr>
              <w:t>P</w:t>
            </w:r>
            <w:r w:rsidRPr="00BA2408">
              <w:rPr>
                <w:rFonts w:ascii="Book Antiqua" w:eastAsia="Times New Roman" w:hAnsi="Book Antiqua" w:cs="Calibri"/>
                <w:color w:val="000000"/>
                <w:sz w:val="18"/>
                <w:szCs w:val="18"/>
                <w:lang w:eastAsia="es-CR"/>
              </w:rPr>
              <w:t xml:space="preserve">lanes y </w:t>
            </w:r>
            <w:r>
              <w:rPr>
                <w:rFonts w:ascii="Book Antiqua" w:eastAsia="Times New Roman" w:hAnsi="Book Antiqua" w:cs="Calibri"/>
                <w:color w:val="000000"/>
                <w:sz w:val="18"/>
                <w:szCs w:val="18"/>
                <w:lang w:eastAsia="es-CR"/>
              </w:rPr>
              <w:t>O</w:t>
            </w:r>
            <w:r w:rsidRPr="00BA2408">
              <w:rPr>
                <w:rFonts w:ascii="Book Antiqua" w:eastAsia="Times New Roman" w:hAnsi="Book Antiqua" w:cs="Calibri"/>
                <w:color w:val="000000"/>
                <w:sz w:val="18"/>
                <w:szCs w:val="18"/>
                <w:lang w:eastAsia="es-CR"/>
              </w:rPr>
              <w:t>peraciones</w:t>
            </w:r>
          </w:p>
        </w:tc>
        <w:tc>
          <w:tcPr>
            <w:tcW w:w="853" w:type="dxa"/>
            <w:tcBorders>
              <w:top w:val="nil"/>
              <w:left w:val="nil"/>
              <w:bottom w:val="single" w:sz="4" w:space="0" w:color="auto"/>
              <w:right w:val="single" w:sz="4" w:space="0" w:color="auto"/>
            </w:tcBorders>
            <w:shd w:val="clear" w:color="auto" w:fill="auto"/>
            <w:vAlign w:val="center"/>
            <w:hideMark/>
          </w:tcPr>
          <w:p w14:paraId="08539FCF"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1167-OIJ-P15</w:t>
            </w:r>
          </w:p>
        </w:tc>
        <w:tc>
          <w:tcPr>
            <w:tcW w:w="1867" w:type="dxa"/>
            <w:tcBorders>
              <w:top w:val="nil"/>
              <w:left w:val="nil"/>
              <w:bottom w:val="single" w:sz="4" w:space="0" w:color="auto"/>
              <w:right w:val="single" w:sz="4" w:space="0" w:color="auto"/>
            </w:tcBorders>
            <w:shd w:val="clear" w:color="auto" w:fill="auto"/>
            <w:vAlign w:val="center"/>
            <w:hideMark/>
          </w:tcPr>
          <w:p w14:paraId="0B268D10"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Adquisición e instalación del Incinerador</w:t>
            </w:r>
          </w:p>
        </w:tc>
        <w:tc>
          <w:tcPr>
            <w:tcW w:w="970" w:type="dxa"/>
            <w:tcBorders>
              <w:top w:val="nil"/>
              <w:left w:val="nil"/>
              <w:bottom w:val="single" w:sz="4" w:space="0" w:color="auto"/>
              <w:right w:val="single" w:sz="4" w:space="0" w:color="auto"/>
            </w:tcBorders>
            <w:shd w:val="clear" w:color="auto" w:fill="auto"/>
            <w:vAlign w:val="center"/>
            <w:hideMark/>
          </w:tcPr>
          <w:p w14:paraId="60FE4F84"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2.1</w:t>
            </w:r>
          </w:p>
        </w:tc>
        <w:tc>
          <w:tcPr>
            <w:tcW w:w="3964" w:type="dxa"/>
            <w:tcBorders>
              <w:top w:val="nil"/>
              <w:left w:val="nil"/>
              <w:bottom w:val="single" w:sz="4" w:space="0" w:color="auto"/>
              <w:right w:val="single" w:sz="4" w:space="0" w:color="auto"/>
            </w:tcBorders>
            <w:shd w:val="clear" w:color="auto" w:fill="auto"/>
            <w:vAlign w:val="center"/>
            <w:hideMark/>
          </w:tcPr>
          <w:p w14:paraId="173D5758" w14:textId="77777777" w:rsidR="000B7A67" w:rsidRPr="00BA2408" w:rsidRDefault="000B7A67" w:rsidP="00AC38D3">
            <w:pPr>
              <w:spacing w:after="0" w:line="240" w:lineRule="auto"/>
              <w:jc w:val="both"/>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El informe de avance presentaba incorrecto el porcentaje real y esperado.</w:t>
            </w:r>
          </w:p>
        </w:tc>
      </w:tr>
      <w:tr w:rsidR="007E6FC1" w:rsidRPr="00BA2408" w14:paraId="1711E55F" w14:textId="77777777" w:rsidTr="00301740">
        <w:trPr>
          <w:trHeight w:val="1500"/>
        </w:trPr>
        <w:tc>
          <w:tcPr>
            <w:tcW w:w="1470" w:type="dxa"/>
            <w:vMerge/>
            <w:tcBorders>
              <w:top w:val="nil"/>
              <w:left w:val="single" w:sz="4" w:space="0" w:color="auto"/>
              <w:bottom w:val="single" w:sz="4" w:space="0" w:color="000000"/>
              <w:right w:val="single" w:sz="4" w:space="0" w:color="auto"/>
            </w:tcBorders>
            <w:vAlign w:val="center"/>
            <w:hideMark/>
          </w:tcPr>
          <w:p w14:paraId="3C650F8B"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vMerge/>
            <w:tcBorders>
              <w:top w:val="nil"/>
              <w:left w:val="single" w:sz="4" w:space="0" w:color="auto"/>
              <w:bottom w:val="single" w:sz="4" w:space="0" w:color="000000"/>
              <w:right w:val="single" w:sz="4" w:space="0" w:color="auto"/>
            </w:tcBorders>
            <w:vAlign w:val="center"/>
            <w:hideMark/>
          </w:tcPr>
          <w:p w14:paraId="0C122276"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853" w:type="dxa"/>
            <w:tcBorders>
              <w:top w:val="nil"/>
              <w:left w:val="nil"/>
              <w:bottom w:val="single" w:sz="4" w:space="0" w:color="auto"/>
              <w:right w:val="single" w:sz="4" w:space="0" w:color="auto"/>
            </w:tcBorders>
            <w:shd w:val="clear" w:color="auto" w:fill="auto"/>
            <w:vAlign w:val="center"/>
            <w:hideMark/>
          </w:tcPr>
          <w:p w14:paraId="2EC0CFFA"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1167-OIJ-P24</w:t>
            </w:r>
          </w:p>
        </w:tc>
        <w:tc>
          <w:tcPr>
            <w:tcW w:w="1867" w:type="dxa"/>
            <w:tcBorders>
              <w:top w:val="nil"/>
              <w:left w:val="nil"/>
              <w:bottom w:val="single" w:sz="4" w:space="0" w:color="auto"/>
              <w:right w:val="single" w:sz="4" w:space="0" w:color="auto"/>
            </w:tcBorders>
            <w:shd w:val="clear" w:color="auto" w:fill="auto"/>
            <w:vAlign w:val="center"/>
            <w:hideMark/>
          </w:tcPr>
          <w:p w14:paraId="35F76BC2"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Sistema Único Policial Especializado en la Resolución de la Criminalidad común, Organizada y la Prevención (SUPERCOP)</w:t>
            </w:r>
          </w:p>
        </w:tc>
        <w:tc>
          <w:tcPr>
            <w:tcW w:w="970" w:type="dxa"/>
            <w:tcBorders>
              <w:top w:val="nil"/>
              <w:left w:val="nil"/>
              <w:bottom w:val="single" w:sz="4" w:space="0" w:color="auto"/>
              <w:right w:val="single" w:sz="4" w:space="0" w:color="auto"/>
            </w:tcBorders>
            <w:shd w:val="clear" w:color="auto" w:fill="auto"/>
            <w:vAlign w:val="center"/>
            <w:hideMark/>
          </w:tcPr>
          <w:p w14:paraId="6FEDC552"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2.1</w:t>
            </w:r>
          </w:p>
        </w:tc>
        <w:tc>
          <w:tcPr>
            <w:tcW w:w="3964" w:type="dxa"/>
            <w:tcBorders>
              <w:top w:val="nil"/>
              <w:left w:val="nil"/>
              <w:bottom w:val="single" w:sz="4" w:space="0" w:color="auto"/>
              <w:right w:val="single" w:sz="4" w:space="0" w:color="auto"/>
            </w:tcBorders>
            <w:shd w:val="clear" w:color="auto" w:fill="auto"/>
            <w:vAlign w:val="center"/>
            <w:hideMark/>
          </w:tcPr>
          <w:p w14:paraId="0FB7BE72" w14:textId="77777777" w:rsidR="000B7A67" w:rsidRPr="00BA2408" w:rsidRDefault="000B7A67" w:rsidP="00AC38D3">
            <w:pPr>
              <w:spacing w:after="0" w:line="240" w:lineRule="auto"/>
              <w:jc w:val="both"/>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El informe de avance presentaba incorrecto el porcentaje real.</w:t>
            </w:r>
          </w:p>
        </w:tc>
      </w:tr>
      <w:tr w:rsidR="007E6FC1" w:rsidRPr="00BA2408" w14:paraId="299D270B" w14:textId="77777777" w:rsidTr="00301740">
        <w:trPr>
          <w:trHeight w:val="632"/>
        </w:trPr>
        <w:tc>
          <w:tcPr>
            <w:tcW w:w="1470" w:type="dxa"/>
            <w:vMerge/>
            <w:tcBorders>
              <w:top w:val="nil"/>
              <w:left w:val="single" w:sz="4" w:space="0" w:color="auto"/>
              <w:bottom w:val="single" w:sz="4" w:space="0" w:color="000000"/>
              <w:right w:val="single" w:sz="4" w:space="0" w:color="auto"/>
            </w:tcBorders>
            <w:vAlign w:val="center"/>
            <w:hideMark/>
          </w:tcPr>
          <w:p w14:paraId="24992BB4"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tcBorders>
              <w:top w:val="nil"/>
              <w:left w:val="nil"/>
              <w:bottom w:val="single" w:sz="4" w:space="0" w:color="auto"/>
              <w:right w:val="single" w:sz="4" w:space="0" w:color="auto"/>
            </w:tcBorders>
            <w:shd w:val="clear" w:color="auto" w:fill="auto"/>
            <w:vAlign w:val="center"/>
            <w:hideMark/>
          </w:tcPr>
          <w:p w14:paraId="232E6917"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 xml:space="preserve">0937 </w:t>
            </w:r>
            <w:r>
              <w:rPr>
                <w:rFonts w:ascii="Book Antiqua" w:eastAsia="Times New Roman" w:hAnsi="Book Antiqua" w:cs="Calibri"/>
                <w:color w:val="000000"/>
                <w:sz w:val="18"/>
                <w:szCs w:val="18"/>
                <w:lang w:eastAsia="es-CR"/>
              </w:rPr>
              <w:t>S</w:t>
            </w:r>
            <w:r w:rsidRPr="00BA2408">
              <w:rPr>
                <w:rFonts w:ascii="Book Antiqua" w:eastAsia="Times New Roman" w:hAnsi="Book Antiqua" w:cs="Calibri"/>
                <w:color w:val="000000"/>
                <w:sz w:val="18"/>
                <w:szCs w:val="18"/>
                <w:lang w:eastAsia="es-CR"/>
              </w:rPr>
              <w:t xml:space="preserve">ección de </w:t>
            </w:r>
            <w:r>
              <w:rPr>
                <w:rFonts w:ascii="Book Antiqua" w:eastAsia="Times New Roman" w:hAnsi="Book Antiqua" w:cs="Calibri"/>
                <w:color w:val="000000"/>
                <w:sz w:val="18"/>
                <w:szCs w:val="18"/>
                <w:lang w:eastAsia="es-CR"/>
              </w:rPr>
              <w:t>T</w:t>
            </w:r>
            <w:r w:rsidRPr="00BA2408">
              <w:rPr>
                <w:rFonts w:ascii="Book Antiqua" w:eastAsia="Times New Roman" w:hAnsi="Book Antiqua" w:cs="Calibri"/>
                <w:color w:val="000000"/>
                <w:sz w:val="18"/>
                <w:szCs w:val="18"/>
                <w:lang w:eastAsia="es-CR"/>
              </w:rPr>
              <w:t>ransportes del OIJ</w:t>
            </w:r>
          </w:p>
        </w:tc>
        <w:tc>
          <w:tcPr>
            <w:tcW w:w="853" w:type="dxa"/>
            <w:tcBorders>
              <w:top w:val="nil"/>
              <w:left w:val="nil"/>
              <w:bottom w:val="single" w:sz="4" w:space="0" w:color="auto"/>
              <w:right w:val="single" w:sz="4" w:space="0" w:color="auto"/>
            </w:tcBorders>
            <w:shd w:val="clear" w:color="auto" w:fill="auto"/>
            <w:vAlign w:val="center"/>
            <w:hideMark/>
          </w:tcPr>
          <w:p w14:paraId="468262E2"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1167-OIJ-P01</w:t>
            </w:r>
          </w:p>
        </w:tc>
        <w:tc>
          <w:tcPr>
            <w:tcW w:w="1867" w:type="dxa"/>
            <w:tcBorders>
              <w:top w:val="nil"/>
              <w:left w:val="nil"/>
              <w:bottom w:val="single" w:sz="4" w:space="0" w:color="auto"/>
              <w:right w:val="single" w:sz="4" w:space="0" w:color="auto"/>
            </w:tcBorders>
            <w:shd w:val="clear" w:color="auto" w:fill="auto"/>
            <w:vAlign w:val="center"/>
            <w:hideMark/>
          </w:tcPr>
          <w:p w14:paraId="1318558A"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Contratación de talleres externos para el OIJ</w:t>
            </w:r>
          </w:p>
        </w:tc>
        <w:tc>
          <w:tcPr>
            <w:tcW w:w="970" w:type="dxa"/>
            <w:tcBorders>
              <w:top w:val="nil"/>
              <w:left w:val="nil"/>
              <w:bottom w:val="single" w:sz="4" w:space="0" w:color="auto"/>
              <w:right w:val="single" w:sz="4" w:space="0" w:color="auto"/>
            </w:tcBorders>
            <w:shd w:val="clear" w:color="auto" w:fill="auto"/>
            <w:vAlign w:val="center"/>
            <w:hideMark/>
          </w:tcPr>
          <w:p w14:paraId="27965604" w14:textId="77777777" w:rsidR="000B7A67" w:rsidRPr="00BA2408" w:rsidRDefault="000B7A67" w:rsidP="00F400D6">
            <w:pPr>
              <w:spacing w:after="0" w:line="240" w:lineRule="auto"/>
              <w:jc w:val="center"/>
              <w:rPr>
                <w:rFonts w:ascii="Book Antiqua" w:eastAsia="Times New Roman" w:hAnsi="Book Antiqua" w:cs="Calibri"/>
                <w:sz w:val="18"/>
                <w:szCs w:val="18"/>
                <w:lang w:eastAsia="es-CR"/>
              </w:rPr>
            </w:pPr>
            <w:r w:rsidRPr="00BA2408">
              <w:rPr>
                <w:rFonts w:ascii="Book Antiqua" w:eastAsia="Times New Roman" w:hAnsi="Book Antiqua" w:cs="Calibri"/>
                <w:sz w:val="18"/>
                <w:szCs w:val="18"/>
                <w:lang w:eastAsia="es-CR"/>
              </w:rPr>
              <w:t>1.25</w:t>
            </w:r>
          </w:p>
        </w:tc>
        <w:tc>
          <w:tcPr>
            <w:tcW w:w="3964" w:type="dxa"/>
            <w:tcBorders>
              <w:top w:val="nil"/>
              <w:left w:val="nil"/>
              <w:bottom w:val="single" w:sz="4" w:space="0" w:color="auto"/>
              <w:right w:val="single" w:sz="4" w:space="0" w:color="auto"/>
            </w:tcBorders>
            <w:shd w:val="clear" w:color="auto" w:fill="auto"/>
            <w:vAlign w:val="center"/>
            <w:hideMark/>
          </w:tcPr>
          <w:p w14:paraId="4D6EAAD9" w14:textId="77777777" w:rsidR="000B7A67" w:rsidRPr="00BA2408" w:rsidRDefault="000B7A67" w:rsidP="00AC38D3">
            <w:pPr>
              <w:spacing w:after="0" w:line="240" w:lineRule="auto"/>
              <w:jc w:val="both"/>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Pendiente actualizar acta de constitución producto de la solicitud de cambio.</w:t>
            </w:r>
          </w:p>
        </w:tc>
      </w:tr>
      <w:tr w:rsidR="007E6FC1" w:rsidRPr="00BA2408" w14:paraId="0F1D59FB" w14:textId="77777777" w:rsidTr="00301740">
        <w:trPr>
          <w:trHeight w:val="528"/>
        </w:trPr>
        <w:tc>
          <w:tcPr>
            <w:tcW w:w="1470" w:type="dxa"/>
            <w:vMerge/>
            <w:tcBorders>
              <w:top w:val="nil"/>
              <w:left w:val="single" w:sz="4" w:space="0" w:color="auto"/>
              <w:bottom w:val="single" w:sz="4" w:space="0" w:color="000000"/>
              <w:right w:val="single" w:sz="4" w:space="0" w:color="auto"/>
            </w:tcBorders>
            <w:vAlign w:val="center"/>
            <w:hideMark/>
          </w:tcPr>
          <w:p w14:paraId="0CEF8D2B"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tcBorders>
              <w:top w:val="nil"/>
              <w:left w:val="nil"/>
              <w:bottom w:val="single" w:sz="4" w:space="0" w:color="auto"/>
              <w:right w:val="single" w:sz="4" w:space="0" w:color="auto"/>
            </w:tcBorders>
            <w:shd w:val="clear" w:color="auto" w:fill="auto"/>
            <w:vAlign w:val="center"/>
            <w:hideMark/>
          </w:tcPr>
          <w:p w14:paraId="5D0758A0"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 xml:space="preserve">1132 </w:t>
            </w:r>
            <w:r>
              <w:rPr>
                <w:rFonts w:ascii="Book Antiqua" w:eastAsia="Times New Roman" w:hAnsi="Book Antiqua" w:cs="Calibri"/>
                <w:color w:val="000000"/>
                <w:sz w:val="18"/>
                <w:szCs w:val="18"/>
                <w:lang w:eastAsia="es-CR"/>
              </w:rPr>
              <w:t>P</w:t>
            </w:r>
            <w:r w:rsidRPr="00BA2408">
              <w:rPr>
                <w:rFonts w:ascii="Book Antiqua" w:eastAsia="Times New Roman" w:hAnsi="Book Antiqua" w:cs="Calibri"/>
                <w:color w:val="000000"/>
                <w:sz w:val="18"/>
                <w:szCs w:val="18"/>
                <w:lang w:eastAsia="es-CR"/>
              </w:rPr>
              <w:t xml:space="preserve">lataforma de </w:t>
            </w:r>
            <w:r>
              <w:rPr>
                <w:rFonts w:ascii="Book Antiqua" w:eastAsia="Times New Roman" w:hAnsi="Book Antiqua" w:cs="Calibri"/>
                <w:color w:val="000000"/>
                <w:sz w:val="18"/>
                <w:szCs w:val="18"/>
                <w:lang w:eastAsia="es-CR"/>
              </w:rPr>
              <w:t>I</w:t>
            </w:r>
            <w:r w:rsidRPr="00BA2408">
              <w:rPr>
                <w:rFonts w:ascii="Book Antiqua" w:eastAsia="Times New Roman" w:hAnsi="Book Antiqua" w:cs="Calibri"/>
                <w:color w:val="000000"/>
                <w:sz w:val="18"/>
                <w:szCs w:val="18"/>
                <w:lang w:eastAsia="es-CR"/>
              </w:rPr>
              <w:t xml:space="preserve">nformacion </w:t>
            </w:r>
            <w:r>
              <w:rPr>
                <w:rFonts w:ascii="Book Antiqua" w:eastAsia="Times New Roman" w:hAnsi="Book Antiqua" w:cs="Calibri"/>
                <w:color w:val="000000"/>
                <w:sz w:val="18"/>
                <w:szCs w:val="18"/>
                <w:lang w:eastAsia="es-CR"/>
              </w:rPr>
              <w:t>P</w:t>
            </w:r>
            <w:r w:rsidRPr="00BA2408">
              <w:rPr>
                <w:rFonts w:ascii="Book Antiqua" w:eastAsia="Times New Roman" w:hAnsi="Book Antiqua" w:cs="Calibri"/>
                <w:color w:val="000000"/>
                <w:sz w:val="18"/>
                <w:szCs w:val="18"/>
                <w:lang w:eastAsia="es-CR"/>
              </w:rPr>
              <w:t>olicial</w:t>
            </w:r>
          </w:p>
        </w:tc>
        <w:tc>
          <w:tcPr>
            <w:tcW w:w="853" w:type="dxa"/>
            <w:tcBorders>
              <w:top w:val="nil"/>
              <w:left w:val="nil"/>
              <w:bottom w:val="single" w:sz="4" w:space="0" w:color="auto"/>
              <w:right w:val="single" w:sz="4" w:space="0" w:color="auto"/>
            </w:tcBorders>
            <w:shd w:val="clear" w:color="auto" w:fill="auto"/>
            <w:vAlign w:val="center"/>
            <w:hideMark/>
          </w:tcPr>
          <w:p w14:paraId="7DDFE031"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1167-OIJ-P22</w:t>
            </w:r>
          </w:p>
        </w:tc>
        <w:tc>
          <w:tcPr>
            <w:tcW w:w="1867" w:type="dxa"/>
            <w:tcBorders>
              <w:top w:val="nil"/>
              <w:left w:val="nil"/>
              <w:bottom w:val="single" w:sz="4" w:space="0" w:color="auto"/>
              <w:right w:val="single" w:sz="4" w:space="0" w:color="auto"/>
            </w:tcBorders>
            <w:shd w:val="clear" w:color="auto" w:fill="auto"/>
            <w:vAlign w:val="center"/>
            <w:hideMark/>
          </w:tcPr>
          <w:p w14:paraId="10A8B17D"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Sistema de Análisis de Crímenes Violentos</w:t>
            </w:r>
          </w:p>
        </w:tc>
        <w:tc>
          <w:tcPr>
            <w:tcW w:w="970" w:type="dxa"/>
            <w:tcBorders>
              <w:top w:val="nil"/>
              <w:left w:val="nil"/>
              <w:bottom w:val="single" w:sz="4" w:space="0" w:color="auto"/>
              <w:right w:val="single" w:sz="4" w:space="0" w:color="auto"/>
            </w:tcBorders>
            <w:shd w:val="clear" w:color="auto" w:fill="auto"/>
            <w:vAlign w:val="center"/>
            <w:hideMark/>
          </w:tcPr>
          <w:p w14:paraId="32ADBB4A"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2.4</w:t>
            </w:r>
          </w:p>
        </w:tc>
        <w:tc>
          <w:tcPr>
            <w:tcW w:w="3964" w:type="dxa"/>
            <w:tcBorders>
              <w:top w:val="nil"/>
              <w:left w:val="nil"/>
              <w:bottom w:val="single" w:sz="4" w:space="0" w:color="auto"/>
              <w:right w:val="single" w:sz="4" w:space="0" w:color="auto"/>
            </w:tcBorders>
            <w:shd w:val="clear" w:color="auto" w:fill="auto"/>
            <w:vAlign w:val="center"/>
            <w:hideMark/>
          </w:tcPr>
          <w:p w14:paraId="4DF6C62C" w14:textId="77777777" w:rsidR="000B7A67" w:rsidRPr="00BA2408" w:rsidRDefault="000B7A67" w:rsidP="00AC38D3">
            <w:pPr>
              <w:spacing w:after="0" w:line="240" w:lineRule="auto"/>
              <w:jc w:val="both"/>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Pendiente aprobación del informe de cierre por parte del patrocinador</w:t>
            </w:r>
          </w:p>
        </w:tc>
      </w:tr>
      <w:tr w:rsidR="007E6FC1" w:rsidRPr="00BA2408" w14:paraId="60D501BC" w14:textId="77777777" w:rsidTr="00301740">
        <w:trPr>
          <w:trHeight w:val="900"/>
        </w:trPr>
        <w:tc>
          <w:tcPr>
            <w:tcW w:w="1470" w:type="dxa"/>
            <w:vMerge/>
            <w:tcBorders>
              <w:top w:val="nil"/>
              <w:left w:val="single" w:sz="4" w:space="0" w:color="auto"/>
              <w:bottom w:val="single" w:sz="4" w:space="0" w:color="000000"/>
              <w:right w:val="single" w:sz="4" w:space="0" w:color="auto"/>
            </w:tcBorders>
            <w:vAlign w:val="center"/>
            <w:hideMark/>
          </w:tcPr>
          <w:p w14:paraId="7411BD69"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tcBorders>
              <w:top w:val="nil"/>
              <w:left w:val="nil"/>
              <w:bottom w:val="single" w:sz="4" w:space="0" w:color="auto"/>
              <w:right w:val="single" w:sz="4" w:space="0" w:color="auto"/>
            </w:tcBorders>
            <w:shd w:val="clear" w:color="auto" w:fill="auto"/>
            <w:vAlign w:val="center"/>
            <w:hideMark/>
          </w:tcPr>
          <w:p w14:paraId="679C4D11"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 xml:space="preserve">1167 </w:t>
            </w:r>
            <w:r>
              <w:rPr>
                <w:rFonts w:ascii="Book Antiqua" w:eastAsia="Times New Roman" w:hAnsi="Book Antiqua" w:cs="Calibri"/>
                <w:color w:val="000000"/>
                <w:sz w:val="18"/>
                <w:szCs w:val="18"/>
                <w:lang w:eastAsia="es-CR"/>
              </w:rPr>
              <w:t>A</w:t>
            </w:r>
            <w:r w:rsidRPr="00BA2408">
              <w:rPr>
                <w:rFonts w:ascii="Book Antiqua" w:eastAsia="Times New Roman" w:hAnsi="Book Antiqua" w:cs="Calibri"/>
                <w:color w:val="000000"/>
                <w:sz w:val="18"/>
                <w:szCs w:val="18"/>
                <w:lang w:eastAsia="es-CR"/>
              </w:rPr>
              <w:t xml:space="preserve">dministracion del </w:t>
            </w:r>
            <w:r>
              <w:rPr>
                <w:rFonts w:ascii="Book Antiqua" w:eastAsia="Times New Roman" w:hAnsi="Book Antiqua" w:cs="Calibri"/>
                <w:color w:val="000000"/>
                <w:sz w:val="18"/>
                <w:szCs w:val="18"/>
                <w:lang w:eastAsia="es-CR"/>
              </w:rPr>
              <w:t>O</w:t>
            </w:r>
            <w:r w:rsidRPr="00BA2408">
              <w:rPr>
                <w:rFonts w:ascii="Book Antiqua" w:eastAsia="Times New Roman" w:hAnsi="Book Antiqua" w:cs="Calibri"/>
                <w:color w:val="000000"/>
                <w:sz w:val="18"/>
                <w:szCs w:val="18"/>
                <w:lang w:eastAsia="es-CR"/>
              </w:rPr>
              <w:t xml:space="preserve">rganismo de </w:t>
            </w:r>
            <w:r>
              <w:rPr>
                <w:rFonts w:ascii="Book Antiqua" w:eastAsia="Times New Roman" w:hAnsi="Book Antiqua" w:cs="Calibri"/>
                <w:color w:val="000000"/>
                <w:sz w:val="18"/>
                <w:szCs w:val="18"/>
                <w:lang w:eastAsia="es-CR"/>
              </w:rPr>
              <w:t>I</w:t>
            </w:r>
            <w:r w:rsidRPr="00BA2408">
              <w:rPr>
                <w:rFonts w:ascii="Book Antiqua" w:eastAsia="Times New Roman" w:hAnsi="Book Antiqua" w:cs="Calibri"/>
                <w:color w:val="000000"/>
                <w:sz w:val="18"/>
                <w:szCs w:val="18"/>
                <w:lang w:eastAsia="es-CR"/>
              </w:rPr>
              <w:t xml:space="preserve">nvestigación </w:t>
            </w:r>
            <w:r>
              <w:rPr>
                <w:rFonts w:ascii="Book Antiqua" w:eastAsia="Times New Roman" w:hAnsi="Book Antiqua" w:cs="Calibri"/>
                <w:color w:val="000000"/>
                <w:sz w:val="18"/>
                <w:szCs w:val="18"/>
                <w:lang w:eastAsia="es-CR"/>
              </w:rPr>
              <w:t>J</w:t>
            </w:r>
            <w:r w:rsidRPr="00BA2408">
              <w:rPr>
                <w:rFonts w:ascii="Book Antiqua" w:eastAsia="Times New Roman" w:hAnsi="Book Antiqua" w:cs="Calibri"/>
                <w:color w:val="000000"/>
                <w:sz w:val="18"/>
                <w:szCs w:val="18"/>
                <w:lang w:eastAsia="es-CR"/>
              </w:rPr>
              <w:t>udicial</w:t>
            </w:r>
          </w:p>
        </w:tc>
        <w:tc>
          <w:tcPr>
            <w:tcW w:w="853" w:type="dxa"/>
            <w:tcBorders>
              <w:top w:val="nil"/>
              <w:left w:val="nil"/>
              <w:bottom w:val="single" w:sz="4" w:space="0" w:color="auto"/>
              <w:right w:val="single" w:sz="4" w:space="0" w:color="auto"/>
            </w:tcBorders>
            <w:shd w:val="clear" w:color="auto" w:fill="auto"/>
            <w:vAlign w:val="center"/>
            <w:hideMark/>
          </w:tcPr>
          <w:p w14:paraId="724582FA"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1167-OIJ-P27</w:t>
            </w:r>
          </w:p>
        </w:tc>
        <w:tc>
          <w:tcPr>
            <w:tcW w:w="1867" w:type="dxa"/>
            <w:tcBorders>
              <w:top w:val="nil"/>
              <w:left w:val="nil"/>
              <w:bottom w:val="single" w:sz="4" w:space="0" w:color="auto"/>
              <w:right w:val="single" w:sz="4" w:space="0" w:color="auto"/>
            </w:tcBorders>
            <w:shd w:val="clear" w:color="auto" w:fill="auto"/>
            <w:vAlign w:val="center"/>
            <w:hideMark/>
          </w:tcPr>
          <w:p w14:paraId="6FBEB00C"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Optimización de la tramitología en los procesos de gestión humana</w:t>
            </w:r>
          </w:p>
        </w:tc>
        <w:tc>
          <w:tcPr>
            <w:tcW w:w="970" w:type="dxa"/>
            <w:tcBorders>
              <w:top w:val="nil"/>
              <w:left w:val="nil"/>
              <w:bottom w:val="single" w:sz="4" w:space="0" w:color="auto"/>
              <w:right w:val="single" w:sz="4" w:space="0" w:color="auto"/>
            </w:tcBorders>
            <w:shd w:val="clear" w:color="auto" w:fill="auto"/>
            <w:vAlign w:val="center"/>
            <w:hideMark/>
          </w:tcPr>
          <w:p w14:paraId="0174A6B0" w14:textId="77777777" w:rsidR="000B7A67" w:rsidRPr="00BA2408" w:rsidRDefault="000B7A67" w:rsidP="00F400D6">
            <w:pPr>
              <w:spacing w:after="0" w:line="240" w:lineRule="auto"/>
              <w:jc w:val="center"/>
              <w:rPr>
                <w:rFonts w:ascii="Book Antiqua" w:eastAsia="Times New Roman" w:hAnsi="Book Antiqua" w:cs="Calibri"/>
                <w:sz w:val="18"/>
                <w:szCs w:val="18"/>
                <w:lang w:eastAsia="es-CR"/>
              </w:rPr>
            </w:pPr>
            <w:r w:rsidRPr="00BA2408">
              <w:rPr>
                <w:rFonts w:ascii="Book Antiqua" w:eastAsia="Times New Roman" w:hAnsi="Book Antiqua" w:cs="Calibri"/>
                <w:sz w:val="18"/>
                <w:szCs w:val="18"/>
                <w:lang w:eastAsia="es-CR"/>
              </w:rPr>
              <w:t>1.25</w:t>
            </w:r>
          </w:p>
        </w:tc>
        <w:tc>
          <w:tcPr>
            <w:tcW w:w="3964" w:type="dxa"/>
            <w:tcBorders>
              <w:top w:val="nil"/>
              <w:left w:val="nil"/>
              <w:bottom w:val="single" w:sz="4" w:space="0" w:color="auto"/>
              <w:right w:val="single" w:sz="4" w:space="0" w:color="auto"/>
            </w:tcBorders>
            <w:shd w:val="clear" w:color="auto" w:fill="auto"/>
            <w:vAlign w:val="center"/>
            <w:hideMark/>
          </w:tcPr>
          <w:p w14:paraId="732B57D2" w14:textId="77777777" w:rsidR="000B7A67" w:rsidRPr="00BA2408" w:rsidRDefault="000B7A67" w:rsidP="00AC38D3">
            <w:pPr>
              <w:spacing w:after="0" w:line="240" w:lineRule="auto"/>
              <w:jc w:val="both"/>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 xml:space="preserve">Pendiente de actualizar Estudio de Factibilidad con nuevo recurso brindado. </w:t>
            </w:r>
          </w:p>
        </w:tc>
      </w:tr>
    </w:tbl>
    <w:p w14:paraId="66B064A2" w14:textId="2943C5F4" w:rsidR="000B7A67" w:rsidRDefault="000B7A67" w:rsidP="001443A4">
      <w:pPr>
        <w:spacing w:after="0"/>
        <w:jc w:val="right"/>
        <w:rPr>
          <w:rFonts w:ascii="Book Antiqua" w:hAnsi="Book Antiqua"/>
        </w:rPr>
      </w:pPr>
      <w:r>
        <w:rPr>
          <w:rFonts w:ascii="Book Antiqua" w:hAnsi="Book Antiqua"/>
        </w:rPr>
        <w:t xml:space="preserve"> “</w:t>
      </w:r>
      <w:r w:rsidR="001443A4">
        <w:rPr>
          <w:rFonts w:ascii="Book Antiqua" w:hAnsi="Book Antiqua"/>
        </w:rPr>
        <w:t>.</w:t>
      </w:r>
    </w:p>
    <w:p w14:paraId="181184CE" w14:textId="77777777" w:rsidR="000B7A67" w:rsidRDefault="000B7A67" w:rsidP="000B7A67">
      <w:pPr>
        <w:spacing w:after="0"/>
        <w:jc w:val="both"/>
        <w:rPr>
          <w:rFonts w:ascii="Book Antiqua" w:hAnsi="Book Antiqua"/>
        </w:rPr>
      </w:pPr>
    </w:p>
    <w:p w14:paraId="7320802A" w14:textId="77777777" w:rsidR="000B7A67" w:rsidRDefault="000B7A67" w:rsidP="000B7A67">
      <w:pPr>
        <w:spacing w:after="0"/>
        <w:jc w:val="both"/>
        <w:rPr>
          <w:rFonts w:ascii="Book Antiqua" w:hAnsi="Book Antiqua"/>
        </w:rPr>
      </w:pPr>
      <w:r>
        <w:rPr>
          <w:rFonts w:ascii="Book Antiqua" w:hAnsi="Book Antiqua"/>
          <w:sz w:val="24"/>
          <w:szCs w:val="24"/>
        </w:rPr>
        <w:t>Con la finalidad de dar seguimiento a esta recomendación, se remite correo a la oficina mediante el oficio 1817</w:t>
      </w:r>
      <w:r w:rsidRPr="004C19A1">
        <w:rPr>
          <w:rFonts w:ascii="Book Antiqua" w:hAnsi="Book Antiqua"/>
          <w:sz w:val="24"/>
          <w:szCs w:val="24"/>
        </w:rPr>
        <w:t>-PLA-PP-TR-2023</w:t>
      </w:r>
      <w:r>
        <w:rPr>
          <w:rFonts w:ascii="Book Antiqua" w:hAnsi="Book Antiqua"/>
          <w:sz w:val="24"/>
          <w:szCs w:val="24"/>
        </w:rPr>
        <w:t>.</w:t>
      </w:r>
    </w:p>
    <w:p w14:paraId="40E1C757" w14:textId="77777777" w:rsidR="000B7A67" w:rsidRDefault="000B7A67" w:rsidP="000B7A67">
      <w:pPr>
        <w:spacing w:after="0"/>
        <w:jc w:val="both"/>
        <w:rPr>
          <w:rFonts w:ascii="Book Antiqua" w:hAnsi="Book Antiqua"/>
        </w:rPr>
      </w:pPr>
    </w:p>
    <w:p w14:paraId="30A926A7" w14:textId="77777777" w:rsidR="000B7A67" w:rsidRDefault="000B7A67" w:rsidP="000B7A67">
      <w:pPr>
        <w:spacing w:after="0"/>
        <w:jc w:val="both"/>
        <w:rPr>
          <w:rFonts w:ascii="Book Antiqua" w:hAnsi="Book Antiqua"/>
          <w:sz w:val="24"/>
          <w:szCs w:val="24"/>
        </w:rPr>
      </w:pPr>
      <w:r>
        <w:rPr>
          <w:rFonts w:ascii="Book Antiqua" w:hAnsi="Book Antiqua"/>
          <w:sz w:val="24"/>
          <w:szCs w:val="24"/>
        </w:rPr>
        <w:t>Además,</w:t>
      </w:r>
      <w:r w:rsidRPr="00FA687A">
        <w:rPr>
          <w:rFonts w:ascii="Book Antiqua" w:hAnsi="Book Antiqua"/>
          <w:sz w:val="24"/>
          <w:szCs w:val="24"/>
        </w:rPr>
        <w:t xml:space="preserve"> se procedió a revisar en </w:t>
      </w:r>
      <w:r>
        <w:rPr>
          <w:rFonts w:ascii="Book Antiqua" w:hAnsi="Book Antiqua"/>
          <w:sz w:val="24"/>
          <w:szCs w:val="24"/>
        </w:rPr>
        <w:t>el</w:t>
      </w:r>
      <w:r w:rsidRPr="00FA687A">
        <w:rPr>
          <w:rFonts w:ascii="Book Antiqua" w:hAnsi="Book Antiqua"/>
          <w:sz w:val="24"/>
          <w:szCs w:val="24"/>
        </w:rPr>
        <w:t xml:space="preserve"> centro de proyectos</w:t>
      </w:r>
      <w:r>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estas recomendaciones (</w:t>
      </w:r>
      <w:hyperlink r:id="rId29" w:history="1">
        <w:r w:rsidRPr="00B91057">
          <w:rPr>
            <w:rStyle w:val="Hipervnculo"/>
            <w:rFonts w:ascii="Book Antiqua" w:hAnsi="Book Antiqua"/>
            <w:sz w:val="24"/>
            <w:szCs w:val="24"/>
          </w:rPr>
          <w:t>Ver enlace:</w:t>
        </w:r>
        <w:r w:rsidRPr="00B91057">
          <w:rPr>
            <w:rStyle w:val="Hipervnculo"/>
          </w:rPr>
          <w:t xml:space="preserve"> </w:t>
        </w:r>
        <w:r w:rsidRPr="00B91057">
          <w:rPr>
            <w:rStyle w:val="Hipervnculo"/>
            <w:rFonts w:ascii="Book Antiqua" w:hAnsi="Book Antiqua"/>
            <w:sz w:val="24"/>
            <w:szCs w:val="24"/>
          </w:rPr>
          <w:t>Organismo de Investigación Judicial</w:t>
        </w:r>
      </w:hyperlink>
      <w:r w:rsidRPr="00FA687A">
        <w:rPr>
          <w:rFonts w:ascii="Book Antiqua" w:hAnsi="Book Antiqua"/>
          <w:sz w:val="24"/>
          <w:szCs w:val="24"/>
        </w:rPr>
        <w:t>);</w:t>
      </w:r>
      <w:r w:rsidRPr="00414C02">
        <w:rPr>
          <w:rFonts w:ascii="Book Antiqua" w:hAnsi="Book Antiqua"/>
          <w:sz w:val="24"/>
          <w:szCs w:val="24"/>
        </w:rPr>
        <w:t xml:space="preserve"> </w:t>
      </w:r>
      <w:r>
        <w:rPr>
          <w:rFonts w:ascii="Book Antiqua" w:hAnsi="Book Antiqua"/>
          <w:sz w:val="24"/>
          <w:szCs w:val="24"/>
        </w:rPr>
        <w:t>no obstante, se identifican varios proyectos en los cuales se requiere ajustar y atender las recomendaciones pendientes, los cuales se detallan a continuación:</w:t>
      </w:r>
    </w:p>
    <w:p w14:paraId="643CAA89" w14:textId="77777777" w:rsidR="000B7A67" w:rsidRDefault="000B7A67" w:rsidP="000B7A67">
      <w:pPr>
        <w:spacing w:after="0"/>
        <w:jc w:val="both"/>
        <w:rPr>
          <w:rFonts w:ascii="Book Antiqua" w:hAnsi="Book Antiqua"/>
          <w:sz w:val="24"/>
          <w:szCs w:val="24"/>
        </w:rPr>
      </w:pPr>
    </w:p>
    <w:p w14:paraId="066729C2" w14:textId="11698726" w:rsidR="000B7A67" w:rsidRDefault="000B7A67" w:rsidP="000B7A67">
      <w:pPr>
        <w:pStyle w:val="Descripcin"/>
        <w:keepNext/>
        <w:spacing w:after="0"/>
        <w:jc w:val="center"/>
        <w:rPr>
          <w:rFonts w:ascii="Book Antiqua" w:hAnsi="Book Antiqua" w:cs="&amp;quot"/>
          <w:b/>
          <w:i w:val="0"/>
          <w:iCs w:val="0"/>
          <w:color w:val="auto"/>
          <w:sz w:val="24"/>
          <w:szCs w:val="24"/>
        </w:rPr>
      </w:pPr>
      <w:bookmarkStart w:id="49" w:name="_Toc131155934"/>
      <w:r w:rsidRPr="00A562C7">
        <w:rPr>
          <w:rFonts w:ascii="Book Antiqua" w:hAnsi="Book Antiqua" w:cs="&amp;quot"/>
          <w:b/>
          <w:i w:val="0"/>
          <w:iCs w:val="0"/>
          <w:color w:val="auto"/>
          <w:sz w:val="24"/>
          <w:szCs w:val="24"/>
        </w:rPr>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sidR="00844144">
        <w:rPr>
          <w:rFonts w:ascii="Book Antiqua" w:hAnsi="Book Antiqua" w:cs="&amp;quot"/>
          <w:b/>
          <w:i w:val="0"/>
          <w:iCs w:val="0"/>
          <w:noProof/>
          <w:color w:val="auto"/>
          <w:sz w:val="24"/>
          <w:szCs w:val="24"/>
        </w:rPr>
        <w:t>11</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Pr>
          <w:rFonts w:ascii="Book Antiqua" w:hAnsi="Book Antiqua" w:cs="&amp;quot"/>
          <w:b/>
          <w:i w:val="0"/>
          <w:iCs w:val="0"/>
          <w:color w:val="auto"/>
          <w:sz w:val="24"/>
          <w:szCs w:val="24"/>
        </w:rPr>
        <w:t xml:space="preserve"> los</w:t>
      </w:r>
      <w:r w:rsidRPr="00143168">
        <w:rPr>
          <w:rFonts w:ascii="Book Antiqua" w:hAnsi="Book Antiqua" w:cs="&amp;quot"/>
          <w:b/>
          <w:i w:val="0"/>
          <w:iCs w:val="0"/>
          <w:color w:val="auto"/>
          <w:sz w:val="24"/>
          <w:szCs w:val="24"/>
        </w:rPr>
        <w:t xml:space="preserve"> proyecto</w:t>
      </w:r>
      <w:r>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que tiene</w:t>
      </w:r>
      <w:r w:rsidR="00AC38D3">
        <w:rPr>
          <w:rFonts w:ascii="Book Antiqua" w:hAnsi="Book Antiqua" w:cs="&amp;quot"/>
          <w:b/>
          <w:i w:val="0"/>
          <w:iCs w:val="0"/>
          <w:color w:val="auto"/>
          <w:sz w:val="24"/>
          <w:szCs w:val="24"/>
        </w:rPr>
        <w:t>n</w:t>
      </w:r>
      <w:r w:rsidRPr="00143168">
        <w:rPr>
          <w:rFonts w:ascii="Book Antiqua" w:hAnsi="Book Antiqua" w:cs="&amp;quot"/>
          <w:b/>
          <w:i w:val="0"/>
          <w:iCs w:val="0"/>
          <w:color w:val="auto"/>
          <w:sz w:val="24"/>
          <w:szCs w:val="24"/>
        </w:rPr>
        <w:t xml:space="preserve"> pendiente</w:t>
      </w:r>
      <w:r>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de </w:t>
      </w:r>
      <w:r>
        <w:rPr>
          <w:rFonts w:ascii="Book Antiqua" w:hAnsi="Book Antiqua" w:cs="&amp;quot"/>
          <w:b/>
          <w:i w:val="0"/>
          <w:iCs w:val="0"/>
          <w:color w:val="auto"/>
          <w:sz w:val="24"/>
          <w:szCs w:val="24"/>
        </w:rPr>
        <w:t>atender recomendaciones de Organismo de Investigación Judicial</w:t>
      </w:r>
      <w:bookmarkEnd w:id="49"/>
    </w:p>
    <w:tbl>
      <w:tblPr>
        <w:tblW w:w="10774" w:type="dxa"/>
        <w:tblInd w:w="-431" w:type="dxa"/>
        <w:tblCellMar>
          <w:left w:w="70" w:type="dxa"/>
          <w:right w:w="70" w:type="dxa"/>
        </w:tblCellMar>
        <w:tblLook w:val="04A0" w:firstRow="1" w:lastRow="0" w:firstColumn="1" w:lastColumn="0" w:noHBand="0" w:noVBand="1"/>
      </w:tblPr>
      <w:tblGrid>
        <w:gridCol w:w="1470"/>
        <w:gridCol w:w="1650"/>
        <w:gridCol w:w="853"/>
        <w:gridCol w:w="1867"/>
        <w:gridCol w:w="970"/>
        <w:gridCol w:w="3964"/>
      </w:tblGrid>
      <w:tr w:rsidR="00BC00B3" w:rsidRPr="00BA2408" w14:paraId="1001414E" w14:textId="77777777" w:rsidTr="001443A4">
        <w:trPr>
          <w:trHeight w:val="300"/>
          <w:tblHeader/>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3EB99EBD" w14:textId="77777777" w:rsidR="000B7A67" w:rsidRPr="00BA2408" w:rsidRDefault="000B7A67" w:rsidP="00F400D6">
            <w:pPr>
              <w:spacing w:after="0" w:line="240" w:lineRule="auto"/>
              <w:jc w:val="center"/>
              <w:rPr>
                <w:rFonts w:ascii="Book Antiqua" w:eastAsia="Times New Roman" w:hAnsi="Book Antiqua" w:cs="Calibri"/>
                <w:b/>
                <w:bCs/>
                <w:color w:val="FFFFFF"/>
                <w:sz w:val="18"/>
                <w:szCs w:val="18"/>
                <w:lang w:eastAsia="es-CR"/>
              </w:rPr>
            </w:pPr>
            <w:r w:rsidRPr="00BA2408">
              <w:rPr>
                <w:rFonts w:ascii="Book Antiqua" w:eastAsia="Times New Roman" w:hAnsi="Book Antiqua" w:cs="Calibri"/>
                <w:b/>
                <w:bCs/>
                <w:color w:val="FFFFFF"/>
                <w:sz w:val="18"/>
                <w:szCs w:val="18"/>
                <w:lang w:eastAsia="es-CR"/>
              </w:rPr>
              <w:t xml:space="preserve">Centro de responsabilidad </w:t>
            </w:r>
          </w:p>
        </w:tc>
        <w:tc>
          <w:tcPr>
            <w:tcW w:w="1650" w:type="dxa"/>
            <w:tcBorders>
              <w:top w:val="single" w:sz="4" w:space="0" w:color="auto"/>
              <w:left w:val="nil"/>
              <w:bottom w:val="single" w:sz="4" w:space="0" w:color="auto"/>
              <w:right w:val="single" w:sz="4" w:space="0" w:color="auto"/>
            </w:tcBorders>
            <w:shd w:val="clear" w:color="000000" w:fill="44546A"/>
            <w:vAlign w:val="center"/>
            <w:hideMark/>
          </w:tcPr>
          <w:p w14:paraId="720B9964" w14:textId="77777777" w:rsidR="000B7A67" w:rsidRPr="00BA2408" w:rsidRDefault="000B7A67" w:rsidP="00F400D6">
            <w:pPr>
              <w:spacing w:after="0" w:line="240" w:lineRule="auto"/>
              <w:jc w:val="center"/>
              <w:rPr>
                <w:rFonts w:ascii="Book Antiqua" w:eastAsia="Times New Roman" w:hAnsi="Book Antiqua" w:cs="Calibri"/>
                <w:b/>
                <w:bCs/>
                <w:color w:val="FFFFFF"/>
                <w:sz w:val="18"/>
                <w:szCs w:val="18"/>
                <w:lang w:eastAsia="es-CR"/>
              </w:rPr>
            </w:pPr>
            <w:r w:rsidRPr="00BA2408">
              <w:rPr>
                <w:rFonts w:ascii="Book Antiqua" w:eastAsia="Times New Roman" w:hAnsi="Book Antiqua" w:cs="Calibri"/>
                <w:b/>
                <w:bCs/>
                <w:color w:val="FFFFFF"/>
                <w:sz w:val="18"/>
                <w:szCs w:val="18"/>
                <w:lang w:eastAsia="es-CR"/>
              </w:rPr>
              <w:t>Oficina Líder</w:t>
            </w:r>
          </w:p>
        </w:tc>
        <w:tc>
          <w:tcPr>
            <w:tcW w:w="853" w:type="dxa"/>
            <w:tcBorders>
              <w:top w:val="single" w:sz="4" w:space="0" w:color="auto"/>
              <w:left w:val="nil"/>
              <w:bottom w:val="single" w:sz="4" w:space="0" w:color="auto"/>
              <w:right w:val="single" w:sz="4" w:space="0" w:color="auto"/>
            </w:tcBorders>
            <w:shd w:val="clear" w:color="000000" w:fill="44546A"/>
            <w:vAlign w:val="center"/>
            <w:hideMark/>
          </w:tcPr>
          <w:p w14:paraId="42087E46" w14:textId="77777777" w:rsidR="000B7A67" w:rsidRPr="00BA2408" w:rsidRDefault="000B7A67" w:rsidP="00F400D6">
            <w:pPr>
              <w:spacing w:after="0" w:line="240" w:lineRule="auto"/>
              <w:jc w:val="center"/>
              <w:rPr>
                <w:rFonts w:ascii="Book Antiqua" w:eastAsia="Times New Roman" w:hAnsi="Book Antiqua" w:cs="Calibri"/>
                <w:b/>
                <w:bCs/>
                <w:color w:val="FFFFFF"/>
                <w:sz w:val="18"/>
                <w:szCs w:val="18"/>
                <w:lang w:eastAsia="es-CR"/>
              </w:rPr>
            </w:pPr>
            <w:r w:rsidRPr="00BA2408">
              <w:rPr>
                <w:rFonts w:ascii="Book Antiqua" w:eastAsia="Times New Roman" w:hAnsi="Book Antiqua" w:cs="Calibri"/>
                <w:b/>
                <w:bCs/>
                <w:color w:val="FFFFFF"/>
                <w:sz w:val="18"/>
                <w:szCs w:val="18"/>
                <w:lang w:eastAsia="es-CR"/>
              </w:rPr>
              <w:t>Código</w:t>
            </w:r>
          </w:p>
        </w:tc>
        <w:tc>
          <w:tcPr>
            <w:tcW w:w="1867" w:type="dxa"/>
            <w:tcBorders>
              <w:top w:val="single" w:sz="4" w:space="0" w:color="auto"/>
              <w:left w:val="nil"/>
              <w:bottom w:val="single" w:sz="4" w:space="0" w:color="auto"/>
              <w:right w:val="single" w:sz="4" w:space="0" w:color="auto"/>
            </w:tcBorders>
            <w:shd w:val="clear" w:color="000000" w:fill="44546A"/>
            <w:vAlign w:val="center"/>
            <w:hideMark/>
          </w:tcPr>
          <w:p w14:paraId="5AE12177" w14:textId="77777777" w:rsidR="000B7A67" w:rsidRPr="00BA2408" w:rsidRDefault="000B7A67" w:rsidP="00F400D6">
            <w:pPr>
              <w:spacing w:after="0" w:line="240" w:lineRule="auto"/>
              <w:jc w:val="center"/>
              <w:rPr>
                <w:rFonts w:ascii="Book Antiqua" w:eastAsia="Times New Roman" w:hAnsi="Book Antiqua" w:cs="Calibri"/>
                <w:b/>
                <w:bCs/>
                <w:color w:val="FFFFFF"/>
                <w:sz w:val="18"/>
                <w:szCs w:val="18"/>
                <w:lang w:eastAsia="es-CR"/>
              </w:rPr>
            </w:pPr>
            <w:r w:rsidRPr="00BA2408">
              <w:rPr>
                <w:rFonts w:ascii="Book Antiqua" w:eastAsia="Times New Roman" w:hAnsi="Book Antiqua" w:cs="Calibri"/>
                <w:b/>
                <w:bCs/>
                <w:color w:val="FFFFFF"/>
                <w:sz w:val="18"/>
                <w:szCs w:val="18"/>
                <w:lang w:eastAsia="es-CR"/>
              </w:rPr>
              <w:t>Nombre</w:t>
            </w:r>
          </w:p>
        </w:tc>
        <w:tc>
          <w:tcPr>
            <w:tcW w:w="970" w:type="dxa"/>
            <w:tcBorders>
              <w:top w:val="single" w:sz="4" w:space="0" w:color="auto"/>
              <w:left w:val="nil"/>
              <w:bottom w:val="single" w:sz="4" w:space="0" w:color="auto"/>
              <w:right w:val="single" w:sz="4" w:space="0" w:color="auto"/>
            </w:tcBorders>
            <w:shd w:val="clear" w:color="000000" w:fill="44546A"/>
            <w:vAlign w:val="center"/>
            <w:hideMark/>
          </w:tcPr>
          <w:p w14:paraId="09CDAA80" w14:textId="77777777" w:rsidR="000B7A67" w:rsidRPr="00BA2408" w:rsidRDefault="000B7A67" w:rsidP="00F400D6">
            <w:pPr>
              <w:spacing w:after="0" w:line="240" w:lineRule="auto"/>
              <w:jc w:val="center"/>
              <w:rPr>
                <w:rFonts w:ascii="Book Antiqua" w:eastAsia="Times New Roman" w:hAnsi="Book Antiqua" w:cs="Calibri"/>
                <w:b/>
                <w:bCs/>
                <w:color w:val="FFFFFF"/>
                <w:sz w:val="18"/>
                <w:szCs w:val="18"/>
                <w:lang w:eastAsia="es-CR"/>
              </w:rPr>
            </w:pPr>
            <w:r w:rsidRPr="00BA2408">
              <w:rPr>
                <w:rFonts w:ascii="Book Antiqua" w:eastAsia="Times New Roman" w:hAnsi="Book Antiqua" w:cs="Calibri"/>
                <w:b/>
                <w:bCs/>
                <w:color w:val="FFFFFF"/>
                <w:sz w:val="18"/>
                <w:szCs w:val="18"/>
                <w:lang w:eastAsia="es-CR"/>
              </w:rPr>
              <w:t>Parte pendiente</w:t>
            </w:r>
          </w:p>
        </w:tc>
        <w:tc>
          <w:tcPr>
            <w:tcW w:w="3964" w:type="dxa"/>
            <w:tcBorders>
              <w:top w:val="single" w:sz="4" w:space="0" w:color="auto"/>
              <w:left w:val="nil"/>
              <w:bottom w:val="single" w:sz="4" w:space="0" w:color="auto"/>
              <w:right w:val="single" w:sz="4" w:space="0" w:color="auto"/>
            </w:tcBorders>
            <w:shd w:val="clear" w:color="000000" w:fill="44546A"/>
            <w:vAlign w:val="center"/>
            <w:hideMark/>
          </w:tcPr>
          <w:p w14:paraId="3212A2EE" w14:textId="77777777" w:rsidR="000B7A67" w:rsidRPr="00BA2408" w:rsidRDefault="000B7A67" w:rsidP="00F400D6">
            <w:pPr>
              <w:spacing w:after="0" w:line="240" w:lineRule="auto"/>
              <w:jc w:val="center"/>
              <w:rPr>
                <w:rFonts w:ascii="Book Antiqua" w:eastAsia="Times New Roman" w:hAnsi="Book Antiqua" w:cs="Calibri"/>
                <w:b/>
                <w:bCs/>
                <w:color w:val="FFFFFF"/>
                <w:sz w:val="18"/>
                <w:szCs w:val="18"/>
                <w:lang w:eastAsia="es-CR"/>
              </w:rPr>
            </w:pPr>
            <w:r w:rsidRPr="00BA2408">
              <w:rPr>
                <w:rFonts w:ascii="Book Antiqua" w:eastAsia="Times New Roman" w:hAnsi="Book Antiqua" w:cs="Calibri"/>
                <w:b/>
                <w:bCs/>
                <w:color w:val="FFFFFF"/>
                <w:sz w:val="18"/>
                <w:szCs w:val="18"/>
                <w:lang w:eastAsia="es-CR"/>
              </w:rPr>
              <w:t xml:space="preserve">Detalle </w:t>
            </w:r>
          </w:p>
        </w:tc>
      </w:tr>
      <w:tr w:rsidR="007E6FC1" w:rsidRPr="00BA2408" w14:paraId="058FFC4B" w14:textId="77777777" w:rsidTr="001443A4">
        <w:trPr>
          <w:trHeight w:val="1015"/>
        </w:trPr>
        <w:tc>
          <w:tcPr>
            <w:tcW w:w="1470" w:type="dxa"/>
            <w:vMerge w:val="restart"/>
            <w:tcBorders>
              <w:top w:val="nil"/>
              <w:left w:val="single" w:sz="4" w:space="0" w:color="auto"/>
              <w:bottom w:val="single" w:sz="4" w:space="0" w:color="000000"/>
              <w:right w:val="single" w:sz="4" w:space="0" w:color="auto"/>
            </w:tcBorders>
            <w:vAlign w:val="center"/>
            <w:hideMark/>
          </w:tcPr>
          <w:p w14:paraId="1B3313B2"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Organismo de Investigación Judicial</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11875CA6"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 xml:space="preserve">0083 </w:t>
            </w:r>
            <w:r>
              <w:rPr>
                <w:rFonts w:ascii="Book Antiqua" w:eastAsia="Times New Roman" w:hAnsi="Book Antiqua" w:cs="Calibri"/>
                <w:color w:val="000000"/>
                <w:sz w:val="18"/>
                <w:szCs w:val="18"/>
                <w:lang w:eastAsia="es-CR"/>
              </w:rPr>
              <w:t>D</w:t>
            </w:r>
            <w:r w:rsidRPr="00BA2408">
              <w:rPr>
                <w:rFonts w:ascii="Book Antiqua" w:eastAsia="Times New Roman" w:hAnsi="Book Antiqua" w:cs="Calibri"/>
                <w:color w:val="000000"/>
                <w:sz w:val="18"/>
                <w:szCs w:val="18"/>
                <w:lang w:eastAsia="es-CR"/>
              </w:rPr>
              <w:t xml:space="preserve">epartamento de </w:t>
            </w:r>
            <w:r>
              <w:rPr>
                <w:rFonts w:ascii="Book Antiqua" w:eastAsia="Times New Roman" w:hAnsi="Book Antiqua" w:cs="Calibri"/>
                <w:color w:val="000000"/>
                <w:sz w:val="18"/>
                <w:szCs w:val="18"/>
                <w:lang w:eastAsia="es-CR"/>
              </w:rPr>
              <w:t>L</w:t>
            </w:r>
            <w:r w:rsidRPr="00BA2408">
              <w:rPr>
                <w:rFonts w:ascii="Book Antiqua" w:eastAsia="Times New Roman" w:hAnsi="Book Antiqua" w:cs="Calibri"/>
                <w:color w:val="000000"/>
                <w:sz w:val="18"/>
                <w:szCs w:val="18"/>
                <w:lang w:eastAsia="es-CR"/>
              </w:rPr>
              <w:t xml:space="preserve">aboratorio de </w:t>
            </w:r>
            <w:r>
              <w:rPr>
                <w:rFonts w:ascii="Book Antiqua" w:eastAsia="Times New Roman" w:hAnsi="Book Antiqua" w:cs="Calibri"/>
                <w:color w:val="000000"/>
                <w:sz w:val="18"/>
                <w:szCs w:val="18"/>
                <w:lang w:eastAsia="es-CR"/>
              </w:rPr>
              <w:t>C</w:t>
            </w:r>
            <w:r w:rsidRPr="00BA2408">
              <w:rPr>
                <w:rFonts w:ascii="Book Antiqua" w:eastAsia="Times New Roman" w:hAnsi="Book Antiqua" w:cs="Calibri"/>
                <w:color w:val="000000"/>
                <w:sz w:val="18"/>
                <w:szCs w:val="18"/>
                <w:lang w:eastAsia="es-CR"/>
              </w:rPr>
              <w:t xml:space="preserve">iencias </w:t>
            </w:r>
            <w:r>
              <w:rPr>
                <w:rFonts w:ascii="Book Antiqua" w:eastAsia="Times New Roman" w:hAnsi="Book Antiqua" w:cs="Calibri"/>
                <w:color w:val="000000"/>
                <w:sz w:val="18"/>
                <w:szCs w:val="18"/>
                <w:lang w:eastAsia="es-CR"/>
              </w:rPr>
              <w:t>F</w:t>
            </w:r>
            <w:r w:rsidRPr="00BA2408">
              <w:rPr>
                <w:rFonts w:ascii="Book Antiqua" w:eastAsia="Times New Roman" w:hAnsi="Book Antiqua" w:cs="Calibri"/>
                <w:color w:val="000000"/>
                <w:sz w:val="18"/>
                <w:szCs w:val="18"/>
                <w:lang w:eastAsia="es-CR"/>
              </w:rPr>
              <w:t>orenses</w:t>
            </w:r>
          </w:p>
        </w:tc>
        <w:tc>
          <w:tcPr>
            <w:tcW w:w="853" w:type="dxa"/>
            <w:tcBorders>
              <w:top w:val="nil"/>
              <w:left w:val="nil"/>
              <w:bottom w:val="single" w:sz="4" w:space="0" w:color="auto"/>
              <w:right w:val="single" w:sz="4" w:space="0" w:color="auto"/>
            </w:tcBorders>
            <w:shd w:val="clear" w:color="auto" w:fill="auto"/>
            <w:vAlign w:val="center"/>
            <w:hideMark/>
          </w:tcPr>
          <w:p w14:paraId="10F9FCA3"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1167-OIJ-P33</w:t>
            </w:r>
          </w:p>
        </w:tc>
        <w:tc>
          <w:tcPr>
            <w:tcW w:w="1867" w:type="dxa"/>
            <w:tcBorders>
              <w:top w:val="nil"/>
              <w:left w:val="nil"/>
              <w:bottom w:val="single" w:sz="4" w:space="0" w:color="auto"/>
              <w:right w:val="single" w:sz="4" w:space="0" w:color="auto"/>
            </w:tcBorders>
            <w:shd w:val="clear" w:color="auto" w:fill="auto"/>
            <w:vAlign w:val="center"/>
            <w:hideMark/>
          </w:tcPr>
          <w:p w14:paraId="615DB2C2"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Construcción de bodega en el Departamento de Ciencias Forenses</w:t>
            </w:r>
          </w:p>
        </w:tc>
        <w:tc>
          <w:tcPr>
            <w:tcW w:w="970" w:type="dxa"/>
            <w:tcBorders>
              <w:top w:val="nil"/>
              <w:left w:val="nil"/>
              <w:bottom w:val="single" w:sz="4" w:space="0" w:color="auto"/>
              <w:right w:val="single" w:sz="4" w:space="0" w:color="auto"/>
            </w:tcBorders>
            <w:shd w:val="clear" w:color="auto" w:fill="auto"/>
            <w:vAlign w:val="center"/>
            <w:hideMark/>
          </w:tcPr>
          <w:p w14:paraId="629FA97F" w14:textId="77777777" w:rsidR="000B7A67" w:rsidRPr="00BA2408" w:rsidRDefault="000B7A67" w:rsidP="00F400D6">
            <w:pPr>
              <w:spacing w:after="0" w:line="240" w:lineRule="auto"/>
              <w:jc w:val="center"/>
              <w:rPr>
                <w:rFonts w:ascii="Book Antiqua" w:eastAsia="Times New Roman" w:hAnsi="Book Antiqua" w:cs="Calibri"/>
                <w:sz w:val="18"/>
                <w:szCs w:val="18"/>
                <w:lang w:eastAsia="es-CR"/>
              </w:rPr>
            </w:pPr>
            <w:r w:rsidRPr="00BA2408">
              <w:rPr>
                <w:rFonts w:ascii="Book Antiqua" w:eastAsia="Times New Roman" w:hAnsi="Book Antiqua" w:cs="Calibri"/>
                <w:sz w:val="18"/>
                <w:szCs w:val="18"/>
                <w:lang w:eastAsia="es-CR"/>
              </w:rPr>
              <w:t>1.25</w:t>
            </w:r>
          </w:p>
        </w:tc>
        <w:tc>
          <w:tcPr>
            <w:tcW w:w="3964" w:type="dxa"/>
            <w:tcBorders>
              <w:top w:val="nil"/>
              <w:left w:val="nil"/>
              <w:bottom w:val="single" w:sz="4" w:space="0" w:color="auto"/>
              <w:right w:val="single" w:sz="4" w:space="0" w:color="auto"/>
            </w:tcBorders>
            <w:shd w:val="clear" w:color="auto" w:fill="auto"/>
            <w:vAlign w:val="center"/>
            <w:hideMark/>
          </w:tcPr>
          <w:p w14:paraId="223651FE" w14:textId="77777777" w:rsidR="000B7A67" w:rsidRDefault="000B7A67" w:rsidP="00AC38D3">
            <w:pPr>
              <w:spacing w:after="0" w:line="240" w:lineRule="auto"/>
              <w:jc w:val="both"/>
              <w:rPr>
                <w:rFonts w:ascii="Book Antiqua" w:eastAsia="Times New Roman" w:hAnsi="Book Antiqua" w:cs="Calibri"/>
                <w:color w:val="000000"/>
                <w:sz w:val="18"/>
                <w:szCs w:val="18"/>
                <w:lang w:eastAsia="es-CR"/>
              </w:rPr>
            </w:pPr>
            <w:r w:rsidRPr="00343A94">
              <w:rPr>
                <w:rFonts w:ascii="Book Antiqua" w:eastAsia="Times New Roman" w:hAnsi="Book Antiqua" w:cs="Calibri"/>
                <w:color w:val="000000"/>
                <w:sz w:val="18"/>
                <w:szCs w:val="18"/>
                <w:lang w:eastAsia="es-CR"/>
              </w:rPr>
              <w:t>Se debe corregir</w:t>
            </w:r>
            <w:r>
              <w:rPr>
                <w:rFonts w:ascii="Book Antiqua" w:eastAsia="Times New Roman" w:hAnsi="Book Antiqua" w:cs="Calibri"/>
                <w:color w:val="000000"/>
                <w:sz w:val="18"/>
                <w:szCs w:val="18"/>
                <w:lang w:eastAsia="es-CR"/>
              </w:rPr>
              <w:t>:</w:t>
            </w:r>
          </w:p>
          <w:p w14:paraId="18F4437C" w14:textId="77777777" w:rsidR="000B7A67" w:rsidRDefault="000B7A67" w:rsidP="00AC38D3">
            <w:pPr>
              <w:spacing w:after="0" w:line="240" w:lineRule="auto"/>
              <w:jc w:val="both"/>
              <w:rPr>
                <w:rFonts w:ascii="Book Antiqua" w:eastAsia="Times New Roman" w:hAnsi="Book Antiqua" w:cs="Calibri"/>
                <w:color w:val="000000"/>
                <w:sz w:val="18"/>
                <w:szCs w:val="18"/>
                <w:lang w:eastAsia="es-CR"/>
              </w:rPr>
            </w:pPr>
            <w:r w:rsidRPr="00343A94">
              <w:rPr>
                <w:rFonts w:ascii="Book Antiqua" w:eastAsia="Times New Roman" w:hAnsi="Book Antiqua" w:cs="Calibri"/>
                <w:color w:val="000000"/>
                <w:sz w:val="18"/>
                <w:szCs w:val="18"/>
                <w:lang w:eastAsia="es-CR"/>
              </w:rPr>
              <w:t xml:space="preserve"> </w:t>
            </w:r>
            <w:r w:rsidRPr="00343A94">
              <w:rPr>
                <w:rFonts w:ascii="Book Antiqua" w:eastAsia="Times New Roman" w:hAnsi="Book Antiqua" w:cs="Calibri"/>
                <w:b/>
                <w:bCs/>
                <w:color w:val="000000"/>
                <w:sz w:val="18"/>
                <w:szCs w:val="18"/>
                <w:lang w:eastAsia="es-CR"/>
              </w:rPr>
              <w:t>Acta de constitución:</w:t>
            </w:r>
            <w:r w:rsidRPr="00343A94">
              <w:rPr>
                <w:rFonts w:ascii="Book Antiqua" w:eastAsia="Times New Roman" w:hAnsi="Book Antiqua" w:cs="Calibri"/>
                <w:color w:val="000000"/>
                <w:sz w:val="18"/>
                <w:szCs w:val="18"/>
                <w:lang w:eastAsia="es-CR"/>
              </w:rPr>
              <w:t xml:space="preserve"> Cronograma de alto nivel Se debe elaborar un cronograma que permita visualizar los entregables principales solamente por año o mes según sea el caso. Recursos del proyecto: Este apartado debe coincidir con los montos indicando en el estudio de factibilidad en el apartado de costo de inversión. Equipo de </w:t>
            </w:r>
            <w:r w:rsidRPr="00343A94">
              <w:rPr>
                <w:rFonts w:ascii="Book Antiqua" w:eastAsia="Times New Roman" w:hAnsi="Book Antiqua" w:cs="Calibri"/>
                <w:color w:val="000000"/>
                <w:sz w:val="18"/>
                <w:szCs w:val="18"/>
                <w:lang w:eastAsia="es-CR"/>
              </w:rPr>
              <w:lastRenderedPageBreak/>
              <w:t xml:space="preserve">trabajo del proyecto: En este apartado falta indicar el administrador del proyecto. </w:t>
            </w:r>
          </w:p>
          <w:p w14:paraId="6DCDA717" w14:textId="77777777" w:rsidR="000B7A67" w:rsidRPr="00BA2408" w:rsidRDefault="000B7A67" w:rsidP="00AC38D3">
            <w:pPr>
              <w:spacing w:after="0" w:line="240" w:lineRule="auto"/>
              <w:jc w:val="both"/>
              <w:rPr>
                <w:rFonts w:ascii="Book Antiqua" w:eastAsia="Times New Roman" w:hAnsi="Book Antiqua" w:cs="Calibri"/>
                <w:color w:val="000000"/>
                <w:sz w:val="18"/>
                <w:szCs w:val="18"/>
                <w:lang w:eastAsia="es-CR"/>
              </w:rPr>
            </w:pPr>
            <w:r w:rsidRPr="00343A94">
              <w:rPr>
                <w:rFonts w:ascii="Book Antiqua" w:eastAsia="Times New Roman" w:hAnsi="Book Antiqua" w:cs="Calibri"/>
                <w:b/>
                <w:bCs/>
                <w:color w:val="000000"/>
                <w:sz w:val="18"/>
                <w:szCs w:val="18"/>
                <w:lang w:eastAsia="es-CR"/>
              </w:rPr>
              <w:t>Plan de gestión:</w:t>
            </w:r>
            <w:r w:rsidRPr="00343A94">
              <w:rPr>
                <w:rFonts w:ascii="Book Antiqua" w:eastAsia="Times New Roman" w:hAnsi="Book Antiqua" w:cs="Calibri"/>
                <w:color w:val="000000"/>
                <w:sz w:val="18"/>
                <w:szCs w:val="18"/>
                <w:lang w:eastAsia="es-CR"/>
              </w:rPr>
              <w:t xml:space="preserve"> Detalle del presupuesto del proyecto En el cuadro se debe corregir el primer punto porque dice 3.3 y no 3.1 y se debe corregir el diagrama con la EDT, porque no empieza en 3.1 el primer entregable. Detalle del presupuesto del proyecto: Este apartado debe coincidir con los montos indicando en el estudio de factibilidad en el apartado de costo de inversión.</w:t>
            </w:r>
          </w:p>
        </w:tc>
      </w:tr>
      <w:tr w:rsidR="007E6FC1" w:rsidRPr="00BA2408" w14:paraId="4F88402C" w14:textId="77777777" w:rsidTr="001443A4">
        <w:trPr>
          <w:trHeight w:val="1158"/>
        </w:trPr>
        <w:tc>
          <w:tcPr>
            <w:tcW w:w="1470" w:type="dxa"/>
            <w:vMerge/>
            <w:tcBorders>
              <w:top w:val="nil"/>
              <w:left w:val="single" w:sz="4" w:space="0" w:color="auto"/>
              <w:bottom w:val="single" w:sz="4" w:space="0" w:color="000000"/>
              <w:right w:val="single" w:sz="4" w:space="0" w:color="auto"/>
            </w:tcBorders>
            <w:vAlign w:val="center"/>
            <w:hideMark/>
          </w:tcPr>
          <w:p w14:paraId="7FCE821D"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vMerge/>
            <w:tcBorders>
              <w:left w:val="single" w:sz="4" w:space="0" w:color="auto"/>
              <w:bottom w:val="single" w:sz="4" w:space="0" w:color="auto"/>
              <w:right w:val="single" w:sz="4" w:space="0" w:color="auto"/>
            </w:tcBorders>
            <w:shd w:val="clear" w:color="auto" w:fill="auto"/>
            <w:vAlign w:val="center"/>
            <w:hideMark/>
          </w:tcPr>
          <w:p w14:paraId="30628D92"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853" w:type="dxa"/>
            <w:tcBorders>
              <w:top w:val="nil"/>
              <w:left w:val="nil"/>
              <w:bottom w:val="single" w:sz="4" w:space="0" w:color="auto"/>
              <w:right w:val="single" w:sz="4" w:space="0" w:color="auto"/>
            </w:tcBorders>
            <w:shd w:val="clear" w:color="auto" w:fill="auto"/>
            <w:vAlign w:val="center"/>
            <w:hideMark/>
          </w:tcPr>
          <w:p w14:paraId="4FDDD768"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1167-OIJ-P34</w:t>
            </w:r>
          </w:p>
        </w:tc>
        <w:tc>
          <w:tcPr>
            <w:tcW w:w="1867" w:type="dxa"/>
            <w:tcBorders>
              <w:top w:val="nil"/>
              <w:left w:val="nil"/>
              <w:bottom w:val="single" w:sz="4" w:space="0" w:color="auto"/>
              <w:right w:val="single" w:sz="4" w:space="0" w:color="auto"/>
            </w:tcBorders>
            <w:shd w:val="clear" w:color="auto" w:fill="auto"/>
            <w:vAlign w:val="center"/>
            <w:hideMark/>
          </w:tcPr>
          <w:p w14:paraId="0C9D818F"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Sustitución del sistema de detección y supresión de incendios del edificio del Departamento de Ciencias Forenses</w:t>
            </w:r>
          </w:p>
        </w:tc>
        <w:tc>
          <w:tcPr>
            <w:tcW w:w="970" w:type="dxa"/>
            <w:tcBorders>
              <w:top w:val="nil"/>
              <w:left w:val="nil"/>
              <w:bottom w:val="single" w:sz="4" w:space="0" w:color="auto"/>
              <w:right w:val="single" w:sz="4" w:space="0" w:color="auto"/>
            </w:tcBorders>
            <w:shd w:val="clear" w:color="auto" w:fill="auto"/>
            <w:vAlign w:val="center"/>
            <w:hideMark/>
          </w:tcPr>
          <w:p w14:paraId="117FF716" w14:textId="77777777" w:rsidR="000B7A67" w:rsidRPr="00BA2408" w:rsidRDefault="000B7A67" w:rsidP="00F400D6">
            <w:pPr>
              <w:spacing w:after="0" w:line="240" w:lineRule="auto"/>
              <w:jc w:val="center"/>
              <w:rPr>
                <w:rFonts w:ascii="Book Antiqua" w:eastAsia="Times New Roman" w:hAnsi="Book Antiqua" w:cs="Calibri"/>
                <w:sz w:val="18"/>
                <w:szCs w:val="18"/>
                <w:lang w:eastAsia="es-CR"/>
              </w:rPr>
            </w:pPr>
            <w:r w:rsidRPr="00BA2408">
              <w:rPr>
                <w:rFonts w:ascii="Book Antiqua" w:eastAsia="Times New Roman" w:hAnsi="Book Antiqua" w:cs="Calibri"/>
                <w:sz w:val="18"/>
                <w:szCs w:val="18"/>
                <w:lang w:eastAsia="es-CR"/>
              </w:rPr>
              <w:t>1.25</w:t>
            </w:r>
          </w:p>
        </w:tc>
        <w:tc>
          <w:tcPr>
            <w:tcW w:w="3964" w:type="dxa"/>
            <w:tcBorders>
              <w:top w:val="nil"/>
              <w:left w:val="nil"/>
              <w:bottom w:val="single" w:sz="4" w:space="0" w:color="auto"/>
              <w:right w:val="single" w:sz="4" w:space="0" w:color="auto"/>
            </w:tcBorders>
            <w:shd w:val="clear" w:color="auto" w:fill="auto"/>
            <w:vAlign w:val="center"/>
            <w:hideMark/>
          </w:tcPr>
          <w:p w14:paraId="7536B9F1" w14:textId="77777777" w:rsidR="000B7A67" w:rsidRPr="00BA2408" w:rsidRDefault="000B7A67" w:rsidP="00AC38D3">
            <w:pPr>
              <w:spacing w:after="0" w:line="240" w:lineRule="auto"/>
              <w:jc w:val="both"/>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 xml:space="preserve">No se encuentran subidos en el sitio ni el estudio de factibilidad, ni el Plan de gestión ni acta de constitución. </w:t>
            </w:r>
          </w:p>
        </w:tc>
      </w:tr>
      <w:tr w:rsidR="007E6FC1" w:rsidRPr="00BA2408" w14:paraId="7F0DC176" w14:textId="77777777" w:rsidTr="001443A4">
        <w:trPr>
          <w:trHeight w:val="900"/>
        </w:trPr>
        <w:tc>
          <w:tcPr>
            <w:tcW w:w="1470" w:type="dxa"/>
            <w:vMerge/>
            <w:tcBorders>
              <w:top w:val="nil"/>
              <w:left w:val="single" w:sz="4" w:space="0" w:color="auto"/>
              <w:bottom w:val="single" w:sz="4" w:space="0" w:color="000000"/>
              <w:right w:val="single" w:sz="4" w:space="0" w:color="auto"/>
            </w:tcBorders>
            <w:vAlign w:val="center"/>
            <w:hideMark/>
          </w:tcPr>
          <w:p w14:paraId="3912A7EF"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vMerge/>
            <w:tcBorders>
              <w:left w:val="single" w:sz="4" w:space="0" w:color="auto"/>
              <w:bottom w:val="single" w:sz="4" w:space="0" w:color="auto"/>
              <w:right w:val="single" w:sz="4" w:space="0" w:color="auto"/>
            </w:tcBorders>
            <w:vAlign w:val="center"/>
            <w:hideMark/>
          </w:tcPr>
          <w:p w14:paraId="1BC14E66"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853" w:type="dxa"/>
            <w:tcBorders>
              <w:top w:val="nil"/>
              <w:left w:val="nil"/>
              <w:bottom w:val="single" w:sz="4" w:space="0" w:color="auto"/>
              <w:right w:val="single" w:sz="4" w:space="0" w:color="auto"/>
            </w:tcBorders>
            <w:shd w:val="clear" w:color="auto" w:fill="auto"/>
            <w:vAlign w:val="center"/>
            <w:hideMark/>
          </w:tcPr>
          <w:p w14:paraId="61E958F9"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1167-OIJ-P52</w:t>
            </w:r>
          </w:p>
        </w:tc>
        <w:tc>
          <w:tcPr>
            <w:tcW w:w="1867" w:type="dxa"/>
            <w:tcBorders>
              <w:top w:val="nil"/>
              <w:left w:val="nil"/>
              <w:bottom w:val="single" w:sz="4" w:space="0" w:color="auto"/>
              <w:right w:val="single" w:sz="4" w:space="0" w:color="auto"/>
            </w:tcBorders>
            <w:shd w:val="clear" w:color="auto" w:fill="auto"/>
            <w:vAlign w:val="center"/>
            <w:hideMark/>
          </w:tcPr>
          <w:p w14:paraId="500731F5"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Implementación de la gestión de la contaminación cognitiva en el trabajo de casos forenses</w:t>
            </w:r>
          </w:p>
        </w:tc>
        <w:tc>
          <w:tcPr>
            <w:tcW w:w="970" w:type="dxa"/>
            <w:tcBorders>
              <w:top w:val="nil"/>
              <w:left w:val="nil"/>
              <w:bottom w:val="single" w:sz="4" w:space="0" w:color="auto"/>
              <w:right w:val="single" w:sz="4" w:space="0" w:color="auto"/>
            </w:tcBorders>
            <w:shd w:val="clear" w:color="auto" w:fill="auto"/>
            <w:vAlign w:val="center"/>
            <w:hideMark/>
          </w:tcPr>
          <w:p w14:paraId="3F145441"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2.1</w:t>
            </w:r>
          </w:p>
        </w:tc>
        <w:tc>
          <w:tcPr>
            <w:tcW w:w="3964" w:type="dxa"/>
            <w:tcBorders>
              <w:top w:val="nil"/>
              <w:left w:val="nil"/>
              <w:bottom w:val="single" w:sz="4" w:space="0" w:color="auto"/>
              <w:right w:val="single" w:sz="4" w:space="0" w:color="auto"/>
            </w:tcBorders>
            <w:shd w:val="clear" w:color="auto" w:fill="auto"/>
            <w:vAlign w:val="center"/>
            <w:hideMark/>
          </w:tcPr>
          <w:p w14:paraId="09F109B3" w14:textId="77777777" w:rsidR="000B7A67" w:rsidRPr="00BA2408" w:rsidRDefault="000B7A67" w:rsidP="00AC38D3">
            <w:pPr>
              <w:spacing w:after="0" w:line="240" w:lineRule="auto"/>
              <w:jc w:val="both"/>
              <w:rPr>
                <w:rFonts w:ascii="Book Antiqua" w:eastAsia="Times New Roman" w:hAnsi="Book Antiqua" w:cs="Calibri"/>
                <w:color w:val="000000"/>
                <w:sz w:val="18"/>
                <w:szCs w:val="18"/>
                <w:lang w:eastAsia="es-CR"/>
              </w:rPr>
            </w:pPr>
            <w:r w:rsidRPr="00343A94">
              <w:rPr>
                <w:rFonts w:ascii="Book Antiqua" w:eastAsia="Times New Roman" w:hAnsi="Book Antiqua" w:cs="Calibri"/>
                <w:color w:val="000000"/>
                <w:sz w:val="18"/>
                <w:szCs w:val="18"/>
                <w:lang w:eastAsia="es-CR"/>
              </w:rPr>
              <w:t>No se corrigió el informe de avance de diciembre presentaba incorrecto el porcentaje esperado, ni se justifica los motivos por los cuales no se corrige el informe.</w:t>
            </w:r>
          </w:p>
        </w:tc>
      </w:tr>
      <w:tr w:rsidR="007E6FC1" w:rsidRPr="00BA2408" w14:paraId="272A2A4B" w14:textId="77777777" w:rsidTr="001443A4">
        <w:trPr>
          <w:trHeight w:val="1500"/>
        </w:trPr>
        <w:tc>
          <w:tcPr>
            <w:tcW w:w="1470" w:type="dxa"/>
            <w:vMerge/>
            <w:tcBorders>
              <w:top w:val="nil"/>
              <w:left w:val="single" w:sz="4" w:space="0" w:color="auto"/>
              <w:bottom w:val="single" w:sz="4" w:space="0" w:color="000000"/>
              <w:right w:val="single" w:sz="4" w:space="0" w:color="auto"/>
            </w:tcBorders>
            <w:vAlign w:val="center"/>
            <w:hideMark/>
          </w:tcPr>
          <w:p w14:paraId="4DC3B6DD"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vMerge/>
            <w:tcBorders>
              <w:left w:val="single" w:sz="4" w:space="0" w:color="auto"/>
              <w:bottom w:val="single" w:sz="4" w:space="0" w:color="auto"/>
              <w:right w:val="single" w:sz="4" w:space="0" w:color="auto"/>
            </w:tcBorders>
            <w:vAlign w:val="center"/>
            <w:hideMark/>
          </w:tcPr>
          <w:p w14:paraId="684B24CF"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853" w:type="dxa"/>
            <w:tcBorders>
              <w:top w:val="nil"/>
              <w:left w:val="nil"/>
              <w:bottom w:val="single" w:sz="4" w:space="0" w:color="auto"/>
              <w:right w:val="single" w:sz="4" w:space="0" w:color="auto"/>
            </w:tcBorders>
            <w:shd w:val="clear" w:color="auto" w:fill="auto"/>
            <w:vAlign w:val="center"/>
            <w:hideMark/>
          </w:tcPr>
          <w:p w14:paraId="25D001F3"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1167-OIJ-P50</w:t>
            </w:r>
          </w:p>
        </w:tc>
        <w:tc>
          <w:tcPr>
            <w:tcW w:w="1867" w:type="dxa"/>
            <w:tcBorders>
              <w:top w:val="nil"/>
              <w:left w:val="nil"/>
              <w:bottom w:val="single" w:sz="4" w:space="0" w:color="auto"/>
              <w:right w:val="single" w:sz="4" w:space="0" w:color="auto"/>
            </w:tcBorders>
            <w:shd w:val="clear" w:color="auto" w:fill="auto"/>
            <w:vAlign w:val="center"/>
            <w:hideMark/>
          </w:tcPr>
          <w:p w14:paraId="37E79E92"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Extensión de los alcances y beneficios de la pericia de Comparación biométrica de voces y fortalecimiento del área pericial</w:t>
            </w:r>
          </w:p>
        </w:tc>
        <w:tc>
          <w:tcPr>
            <w:tcW w:w="970" w:type="dxa"/>
            <w:tcBorders>
              <w:top w:val="nil"/>
              <w:left w:val="nil"/>
              <w:bottom w:val="single" w:sz="4" w:space="0" w:color="auto"/>
              <w:right w:val="single" w:sz="4" w:space="0" w:color="auto"/>
            </w:tcBorders>
            <w:shd w:val="clear" w:color="auto" w:fill="auto"/>
            <w:vAlign w:val="center"/>
            <w:hideMark/>
          </w:tcPr>
          <w:p w14:paraId="4BBB11F8"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2.1</w:t>
            </w:r>
          </w:p>
        </w:tc>
        <w:tc>
          <w:tcPr>
            <w:tcW w:w="3964" w:type="dxa"/>
            <w:tcBorders>
              <w:top w:val="nil"/>
              <w:left w:val="nil"/>
              <w:bottom w:val="single" w:sz="4" w:space="0" w:color="auto"/>
              <w:right w:val="single" w:sz="4" w:space="0" w:color="auto"/>
            </w:tcBorders>
            <w:shd w:val="clear" w:color="auto" w:fill="auto"/>
            <w:vAlign w:val="center"/>
            <w:hideMark/>
          </w:tcPr>
          <w:p w14:paraId="62AD2325" w14:textId="77777777" w:rsidR="000B7A67" w:rsidRPr="00BA2408" w:rsidRDefault="000B7A67" w:rsidP="00AC38D3">
            <w:pPr>
              <w:spacing w:after="0" w:line="240" w:lineRule="auto"/>
              <w:jc w:val="both"/>
              <w:rPr>
                <w:rFonts w:ascii="Book Antiqua" w:eastAsia="Times New Roman" w:hAnsi="Book Antiqua" w:cs="Calibri"/>
                <w:color w:val="000000"/>
                <w:sz w:val="18"/>
                <w:szCs w:val="18"/>
                <w:lang w:eastAsia="es-CR"/>
              </w:rPr>
            </w:pPr>
            <w:r w:rsidRPr="00343A94">
              <w:rPr>
                <w:rFonts w:ascii="Book Antiqua" w:eastAsia="Times New Roman" w:hAnsi="Book Antiqua" w:cs="Calibri"/>
                <w:color w:val="000000"/>
                <w:sz w:val="18"/>
                <w:szCs w:val="18"/>
                <w:lang w:eastAsia="es-CR"/>
              </w:rPr>
              <w:t>No se corrigió el informe de avance de diciembre presentaba incorrecto el porcentaje esperado, ni se justifica los motivos por los cuales no se corrige el informe.</w:t>
            </w:r>
          </w:p>
        </w:tc>
      </w:tr>
      <w:tr w:rsidR="007E6FC1" w:rsidRPr="00BA2408" w14:paraId="0F9207F0" w14:textId="77777777" w:rsidTr="001443A4">
        <w:trPr>
          <w:trHeight w:val="554"/>
        </w:trPr>
        <w:tc>
          <w:tcPr>
            <w:tcW w:w="1470" w:type="dxa"/>
            <w:vMerge/>
            <w:tcBorders>
              <w:top w:val="nil"/>
              <w:left w:val="single" w:sz="4" w:space="0" w:color="auto"/>
              <w:bottom w:val="single" w:sz="4" w:space="0" w:color="000000"/>
              <w:right w:val="single" w:sz="4" w:space="0" w:color="auto"/>
            </w:tcBorders>
            <w:vAlign w:val="center"/>
            <w:hideMark/>
          </w:tcPr>
          <w:p w14:paraId="17A54FA6"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BED42F6"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 xml:space="preserve">0657 </w:t>
            </w:r>
            <w:r>
              <w:rPr>
                <w:rFonts w:ascii="Book Antiqua" w:eastAsia="Times New Roman" w:hAnsi="Book Antiqua" w:cs="Calibri"/>
                <w:color w:val="000000"/>
                <w:sz w:val="18"/>
                <w:szCs w:val="18"/>
                <w:lang w:eastAsia="es-CR"/>
              </w:rPr>
              <w:t>O</w:t>
            </w:r>
            <w:r w:rsidRPr="00BA2408">
              <w:rPr>
                <w:rFonts w:ascii="Book Antiqua" w:eastAsia="Times New Roman" w:hAnsi="Book Antiqua" w:cs="Calibri"/>
                <w:color w:val="000000"/>
                <w:sz w:val="18"/>
                <w:szCs w:val="18"/>
                <w:lang w:eastAsia="es-CR"/>
              </w:rPr>
              <w:t xml:space="preserve">ficina de </w:t>
            </w:r>
            <w:r>
              <w:rPr>
                <w:rFonts w:ascii="Book Antiqua" w:eastAsia="Times New Roman" w:hAnsi="Book Antiqua" w:cs="Calibri"/>
                <w:color w:val="000000"/>
                <w:sz w:val="18"/>
                <w:szCs w:val="18"/>
                <w:lang w:eastAsia="es-CR"/>
              </w:rPr>
              <w:t>P</w:t>
            </w:r>
            <w:r w:rsidRPr="00BA2408">
              <w:rPr>
                <w:rFonts w:ascii="Book Antiqua" w:eastAsia="Times New Roman" w:hAnsi="Book Antiqua" w:cs="Calibri"/>
                <w:color w:val="000000"/>
                <w:sz w:val="18"/>
                <w:szCs w:val="18"/>
                <w:lang w:eastAsia="es-CR"/>
              </w:rPr>
              <w:t xml:space="preserve">lanes y </w:t>
            </w:r>
            <w:r>
              <w:rPr>
                <w:rFonts w:ascii="Book Antiqua" w:eastAsia="Times New Roman" w:hAnsi="Book Antiqua" w:cs="Calibri"/>
                <w:color w:val="000000"/>
                <w:sz w:val="18"/>
                <w:szCs w:val="18"/>
                <w:lang w:eastAsia="es-CR"/>
              </w:rPr>
              <w:t>O</w:t>
            </w:r>
            <w:r w:rsidRPr="00BA2408">
              <w:rPr>
                <w:rFonts w:ascii="Book Antiqua" w:eastAsia="Times New Roman" w:hAnsi="Book Antiqua" w:cs="Calibri"/>
                <w:color w:val="000000"/>
                <w:sz w:val="18"/>
                <w:szCs w:val="18"/>
                <w:lang w:eastAsia="es-CR"/>
              </w:rPr>
              <w:t>peraciones</w:t>
            </w:r>
          </w:p>
        </w:tc>
        <w:tc>
          <w:tcPr>
            <w:tcW w:w="853" w:type="dxa"/>
            <w:tcBorders>
              <w:top w:val="nil"/>
              <w:left w:val="nil"/>
              <w:bottom w:val="single" w:sz="4" w:space="0" w:color="auto"/>
              <w:right w:val="single" w:sz="4" w:space="0" w:color="auto"/>
            </w:tcBorders>
            <w:shd w:val="clear" w:color="auto" w:fill="auto"/>
            <w:vAlign w:val="center"/>
            <w:hideMark/>
          </w:tcPr>
          <w:p w14:paraId="182E9EED"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1167-OIJ-P15</w:t>
            </w:r>
          </w:p>
        </w:tc>
        <w:tc>
          <w:tcPr>
            <w:tcW w:w="1867" w:type="dxa"/>
            <w:tcBorders>
              <w:top w:val="nil"/>
              <w:left w:val="nil"/>
              <w:bottom w:val="single" w:sz="4" w:space="0" w:color="auto"/>
              <w:right w:val="single" w:sz="4" w:space="0" w:color="auto"/>
            </w:tcBorders>
            <w:shd w:val="clear" w:color="auto" w:fill="auto"/>
            <w:vAlign w:val="center"/>
            <w:hideMark/>
          </w:tcPr>
          <w:p w14:paraId="4F93AF7B"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Adquisición e instalación del Incinerador</w:t>
            </w:r>
          </w:p>
        </w:tc>
        <w:tc>
          <w:tcPr>
            <w:tcW w:w="970" w:type="dxa"/>
            <w:tcBorders>
              <w:top w:val="nil"/>
              <w:left w:val="nil"/>
              <w:bottom w:val="single" w:sz="4" w:space="0" w:color="auto"/>
              <w:right w:val="single" w:sz="4" w:space="0" w:color="auto"/>
            </w:tcBorders>
            <w:shd w:val="clear" w:color="auto" w:fill="auto"/>
            <w:vAlign w:val="center"/>
            <w:hideMark/>
          </w:tcPr>
          <w:p w14:paraId="6FBFE32A"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2.1</w:t>
            </w:r>
          </w:p>
        </w:tc>
        <w:tc>
          <w:tcPr>
            <w:tcW w:w="3964" w:type="dxa"/>
            <w:tcBorders>
              <w:top w:val="nil"/>
              <w:left w:val="nil"/>
              <w:bottom w:val="single" w:sz="4" w:space="0" w:color="auto"/>
              <w:right w:val="single" w:sz="4" w:space="0" w:color="auto"/>
            </w:tcBorders>
            <w:shd w:val="clear" w:color="auto" w:fill="auto"/>
            <w:vAlign w:val="center"/>
            <w:hideMark/>
          </w:tcPr>
          <w:p w14:paraId="2F7AA829" w14:textId="77777777" w:rsidR="000B7A67" w:rsidRPr="00BA2408" w:rsidRDefault="000B7A67" w:rsidP="00AC38D3">
            <w:pPr>
              <w:spacing w:after="0" w:line="240" w:lineRule="auto"/>
              <w:jc w:val="both"/>
              <w:rPr>
                <w:rFonts w:ascii="Book Antiqua" w:eastAsia="Times New Roman" w:hAnsi="Book Antiqua" w:cs="Calibri"/>
                <w:color w:val="000000"/>
                <w:sz w:val="18"/>
                <w:szCs w:val="18"/>
                <w:lang w:eastAsia="es-CR"/>
              </w:rPr>
            </w:pPr>
            <w:r w:rsidRPr="00343A94">
              <w:rPr>
                <w:rFonts w:ascii="Book Antiqua" w:eastAsia="Times New Roman" w:hAnsi="Book Antiqua" w:cs="Calibri"/>
                <w:color w:val="000000"/>
                <w:sz w:val="18"/>
                <w:szCs w:val="18"/>
                <w:lang w:eastAsia="es-CR"/>
              </w:rPr>
              <w:t>No se corrigió el informe de avance de diciembre presentaba incorrecto el porcentaje esperado, ni se justifica los motivos por los cuales no se corrige el informe.</w:t>
            </w:r>
          </w:p>
        </w:tc>
      </w:tr>
      <w:tr w:rsidR="007E6FC1" w:rsidRPr="00BA2408" w14:paraId="65E6B52B" w14:textId="77777777" w:rsidTr="00301740">
        <w:trPr>
          <w:trHeight w:val="528"/>
        </w:trPr>
        <w:tc>
          <w:tcPr>
            <w:tcW w:w="1470" w:type="dxa"/>
            <w:vMerge/>
            <w:tcBorders>
              <w:top w:val="nil"/>
              <w:left w:val="single" w:sz="4" w:space="0" w:color="auto"/>
              <w:bottom w:val="single" w:sz="4" w:space="0" w:color="000000"/>
              <w:right w:val="single" w:sz="4" w:space="0" w:color="auto"/>
            </w:tcBorders>
            <w:vAlign w:val="center"/>
            <w:hideMark/>
          </w:tcPr>
          <w:p w14:paraId="704729E6" w14:textId="77777777" w:rsidR="000B7A67" w:rsidRPr="00BA2408" w:rsidRDefault="000B7A67" w:rsidP="00F400D6">
            <w:pPr>
              <w:spacing w:after="0" w:line="240" w:lineRule="auto"/>
              <w:rPr>
                <w:rFonts w:ascii="Book Antiqua" w:eastAsia="Times New Roman" w:hAnsi="Book Antiqua" w:cs="Calibri"/>
                <w:color w:val="000000"/>
                <w:sz w:val="18"/>
                <w:szCs w:val="18"/>
                <w:lang w:eastAsia="es-CR"/>
              </w:rPr>
            </w:pPr>
          </w:p>
        </w:tc>
        <w:tc>
          <w:tcPr>
            <w:tcW w:w="1650" w:type="dxa"/>
            <w:tcBorders>
              <w:top w:val="nil"/>
              <w:left w:val="nil"/>
              <w:bottom w:val="single" w:sz="4" w:space="0" w:color="auto"/>
              <w:right w:val="single" w:sz="4" w:space="0" w:color="auto"/>
            </w:tcBorders>
            <w:shd w:val="clear" w:color="auto" w:fill="auto"/>
            <w:vAlign w:val="center"/>
            <w:hideMark/>
          </w:tcPr>
          <w:p w14:paraId="751F40BB"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 xml:space="preserve">1132 </w:t>
            </w:r>
            <w:r>
              <w:rPr>
                <w:rFonts w:ascii="Book Antiqua" w:eastAsia="Times New Roman" w:hAnsi="Book Antiqua" w:cs="Calibri"/>
                <w:color w:val="000000"/>
                <w:sz w:val="18"/>
                <w:szCs w:val="18"/>
                <w:lang w:eastAsia="es-CR"/>
              </w:rPr>
              <w:t>P</w:t>
            </w:r>
            <w:r w:rsidRPr="00BA2408">
              <w:rPr>
                <w:rFonts w:ascii="Book Antiqua" w:eastAsia="Times New Roman" w:hAnsi="Book Antiqua" w:cs="Calibri"/>
                <w:color w:val="000000"/>
                <w:sz w:val="18"/>
                <w:szCs w:val="18"/>
                <w:lang w:eastAsia="es-CR"/>
              </w:rPr>
              <w:t xml:space="preserve">lataforma de </w:t>
            </w:r>
            <w:r>
              <w:rPr>
                <w:rFonts w:ascii="Book Antiqua" w:eastAsia="Times New Roman" w:hAnsi="Book Antiqua" w:cs="Calibri"/>
                <w:color w:val="000000"/>
                <w:sz w:val="18"/>
                <w:szCs w:val="18"/>
                <w:lang w:eastAsia="es-CR"/>
              </w:rPr>
              <w:t>I</w:t>
            </w:r>
            <w:r w:rsidRPr="00BA2408">
              <w:rPr>
                <w:rFonts w:ascii="Book Antiqua" w:eastAsia="Times New Roman" w:hAnsi="Book Antiqua" w:cs="Calibri"/>
                <w:color w:val="000000"/>
                <w:sz w:val="18"/>
                <w:szCs w:val="18"/>
                <w:lang w:eastAsia="es-CR"/>
              </w:rPr>
              <w:t xml:space="preserve">nformacion </w:t>
            </w:r>
            <w:r>
              <w:rPr>
                <w:rFonts w:ascii="Book Antiqua" w:eastAsia="Times New Roman" w:hAnsi="Book Antiqua" w:cs="Calibri"/>
                <w:color w:val="000000"/>
                <w:sz w:val="18"/>
                <w:szCs w:val="18"/>
                <w:lang w:eastAsia="es-CR"/>
              </w:rPr>
              <w:t>P</w:t>
            </w:r>
            <w:r w:rsidRPr="00BA2408">
              <w:rPr>
                <w:rFonts w:ascii="Book Antiqua" w:eastAsia="Times New Roman" w:hAnsi="Book Antiqua" w:cs="Calibri"/>
                <w:color w:val="000000"/>
                <w:sz w:val="18"/>
                <w:szCs w:val="18"/>
                <w:lang w:eastAsia="es-CR"/>
              </w:rPr>
              <w:t>olicial</w:t>
            </w:r>
          </w:p>
        </w:tc>
        <w:tc>
          <w:tcPr>
            <w:tcW w:w="853" w:type="dxa"/>
            <w:tcBorders>
              <w:top w:val="nil"/>
              <w:left w:val="nil"/>
              <w:bottom w:val="single" w:sz="4" w:space="0" w:color="auto"/>
              <w:right w:val="single" w:sz="4" w:space="0" w:color="auto"/>
            </w:tcBorders>
            <w:shd w:val="clear" w:color="auto" w:fill="auto"/>
            <w:vAlign w:val="center"/>
            <w:hideMark/>
          </w:tcPr>
          <w:p w14:paraId="4B034097"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1167-OIJ-P22</w:t>
            </w:r>
          </w:p>
        </w:tc>
        <w:tc>
          <w:tcPr>
            <w:tcW w:w="1867" w:type="dxa"/>
            <w:tcBorders>
              <w:top w:val="nil"/>
              <w:left w:val="nil"/>
              <w:bottom w:val="single" w:sz="4" w:space="0" w:color="auto"/>
              <w:right w:val="single" w:sz="4" w:space="0" w:color="auto"/>
            </w:tcBorders>
            <w:shd w:val="clear" w:color="auto" w:fill="auto"/>
            <w:vAlign w:val="center"/>
            <w:hideMark/>
          </w:tcPr>
          <w:p w14:paraId="56D1C808"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Sistema de Análisis de Crímenes Violentos</w:t>
            </w:r>
          </w:p>
        </w:tc>
        <w:tc>
          <w:tcPr>
            <w:tcW w:w="970" w:type="dxa"/>
            <w:tcBorders>
              <w:top w:val="nil"/>
              <w:left w:val="nil"/>
              <w:bottom w:val="single" w:sz="4" w:space="0" w:color="auto"/>
              <w:right w:val="single" w:sz="4" w:space="0" w:color="auto"/>
            </w:tcBorders>
            <w:shd w:val="clear" w:color="auto" w:fill="auto"/>
            <w:vAlign w:val="center"/>
            <w:hideMark/>
          </w:tcPr>
          <w:p w14:paraId="48F3B951" w14:textId="77777777" w:rsidR="000B7A67" w:rsidRPr="00BA2408" w:rsidRDefault="000B7A67" w:rsidP="00F400D6">
            <w:pPr>
              <w:spacing w:after="0" w:line="240" w:lineRule="auto"/>
              <w:jc w:val="center"/>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2.4</w:t>
            </w:r>
          </w:p>
        </w:tc>
        <w:tc>
          <w:tcPr>
            <w:tcW w:w="3964" w:type="dxa"/>
            <w:tcBorders>
              <w:top w:val="nil"/>
              <w:left w:val="nil"/>
              <w:bottom w:val="single" w:sz="4" w:space="0" w:color="auto"/>
              <w:right w:val="single" w:sz="4" w:space="0" w:color="auto"/>
            </w:tcBorders>
            <w:shd w:val="clear" w:color="auto" w:fill="auto"/>
            <w:vAlign w:val="center"/>
            <w:hideMark/>
          </w:tcPr>
          <w:p w14:paraId="49192D2B" w14:textId="77777777" w:rsidR="000B7A67" w:rsidRPr="00BA2408" w:rsidRDefault="000B7A67" w:rsidP="00AC38D3">
            <w:pPr>
              <w:spacing w:after="0" w:line="240" w:lineRule="auto"/>
              <w:jc w:val="both"/>
              <w:rPr>
                <w:rFonts w:ascii="Book Antiqua" w:eastAsia="Times New Roman" w:hAnsi="Book Antiqua" w:cs="Calibri"/>
                <w:color w:val="000000"/>
                <w:sz w:val="18"/>
                <w:szCs w:val="18"/>
                <w:lang w:eastAsia="es-CR"/>
              </w:rPr>
            </w:pPr>
            <w:r w:rsidRPr="00BA2408">
              <w:rPr>
                <w:rFonts w:ascii="Book Antiqua" w:eastAsia="Times New Roman" w:hAnsi="Book Antiqua" w:cs="Calibri"/>
                <w:color w:val="000000"/>
                <w:sz w:val="18"/>
                <w:szCs w:val="18"/>
                <w:lang w:eastAsia="es-CR"/>
              </w:rPr>
              <w:t>Pendiente aprobación del informe de cierre por parte del patrocinador</w:t>
            </w:r>
          </w:p>
        </w:tc>
      </w:tr>
    </w:tbl>
    <w:p w14:paraId="5EC117B3" w14:textId="77777777" w:rsidR="000B7A67" w:rsidRDefault="000B7A67" w:rsidP="000B7A67">
      <w:pPr>
        <w:spacing w:after="0"/>
        <w:jc w:val="both"/>
        <w:rPr>
          <w:rFonts w:ascii="Book Antiqua" w:hAnsi="Book Antiqua"/>
          <w:sz w:val="24"/>
          <w:szCs w:val="24"/>
        </w:rPr>
      </w:pPr>
    </w:p>
    <w:p w14:paraId="30B70924" w14:textId="77777777" w:rsidR="000B7A67" w:rsidRDefault="000B7A67" w:rsidP="000B7A67">
      <w:pPr>
        <w:spacing w:after="0"/>
        <w:jc w:val="both"/>
        <w:rPr>
          <w:rFonts w:ascii="Book Antiqua" w:hAnsi="Book Antiqua"/>
          <w:b/>
          <w:sz w:val="24"/>
          <w:szCs w:val="24"/>
        </w:rPr>
      </w:pPr>
      <w:r>
        <w:rPr>
          <w:rFonts w:ascii="Book Antiqua" w:hAnsi="Book Antiqua"/>
          <w:sz w:val="24"/>
          <w:szCs w:val="24"/>
        </w:rPr>
        <w:t>El</w:t>
      </w:r>
      <w:r w:rsidRPr="003B26B6">
        <w:rPr>
          <w:rFonts w:ascii="Book Antiqua" w:hAnsi="Book Antiqua"/>
          <w:sz w:val="24"/>
          <w:szCs w:val="24"/>
        </w:rPr>
        <w:t xml:space="preserve"> proyect</w:t>
      </w:r>
      <w:r>
        <w:rPr>
          <w:rFonts w:ascii="Book Antiqua" w:hAnsi="Book Antiqua"/>
          <w:sz w:val="24"/>
          <w:szCs w:val="24"/>
        </w:rPr>
        <w:t>o</w:t>
      </w:r>
      <w:r w:rsidRPr="003B26B6">
        <w:rPr>
          <w:rFonts w:ascii="Book Antiqua" w:hAnsi="Book Antiqua"/>
          <w:sz w:val="24"/>
          <w:szCs w:val="24"/>
        </w:rPr>
        <w:t xml:space="preserve"> anterior</w:t>
      </w:r>
      <w:r>
        <w:rPr>
          <w:rFonts w:ascii="Book Antiqua" w:hAnsi="Book Antiqua"/>
          <w:sz w:val="24"/>
          <w:szCs w:val="24"/>
        </w:rPr>
        <w:t>,</w:t>
      </w:r>
      <w:r w:rsidRPr="009F6F37">
        <w:rPr>
          <w:rFonts w:ascii="Book Antiqua" w:hAnsi="Book Antiqua"/>
          <w:sz w:val="24"/>
          <w:szCs w:val="24"/>
        </w:rPr>
        <w:t xml:space="preserve"> </w:t>
      </w:r>
      <w:r w:rsidRPr="003B26B6">
        <w:rPr>
          <w:rFonts w:ascii="Book Antiqua" w:hAnsi="Book Antiqua"/>
          <w:sz w:val="24"/>
          <w:szCs w:val="24"/>
        </w:rPr>
        <w:t xml:space="preserve">tendrá </w:t>
      </w:r>
      <w:r w:rsidRPr="00DB5676">
        <w:rPr>
          <w:rFonts w:ascii="Book Antiqua" w:hAnsi="Book Antiqua"/>
          <w:sz w:val="24"/>
          <w:szCs w:val="24"/>
        </w:rPr>
        <w:t xml:space="preserve">al </w:t>
      </w:r>
      <w:r w:rsidRPr="00DB5676">
        <w:rPr>
          <w:rFonts w:ascii="Book Antiqua" w:hAnsi="Book Antiqua"/>
          <w:b/>
          <w:bCs/>
          <w:sz w:val="24"/>
          <w:szCs w:val="24"/>
        </w:rPr>
        <w:t>11 de agosto del 2023 para</w:t>
      </w:r>
      <w:r w:rsidRPr="003B26B6">
        <w:rPr>
          <w:rFonts w:ascii="Book Antiqua" w:hAnsi="Book Antiqua"/>
          <w:b/>
          <w:bCs/>
          <w:sz w:val="24"/>
          <w:szCs w:val="24"/>
        </w:rPr>
        <w:t xml:space="preserve"> </w:t>
      </w:r>
      <w:r>
        <w:rPr>
          <w:rFonts w:ascii="Book Antiqua" w:hAnsi="Book Antiqua"/>
          <w:b/>
          <w:bCs/>
          <w:sz w:val="24"/>
          <w:szCs w:val="24"/>
        </w:rPr>
        <w:t xml:space="preserve">atender las recomendaciones pendientes </w:t>
      </w:r>
      <w:r w:rsidRPr="003B26B6">
        <w:rPr>
          <w:rFonts w:ascii="Book Antiqua" w:hAnsi="Book Antiqua"/>
          <w:b/>
          <w:sz w:val="24"/>
          <w:szCs w:val="24"/>
        </w:rPr>
        <w:t xml:space="preserve">y notificar a la </w:t>
      </w:r>
      <w:r>
        <w:rPr>
          <w:rFonts w:ascii="Book Antiqua" w:hAnsi="Book Antiqua"/>
          <w:b/>
          <w:sz w:val="24"/>
          <w:szCs w:val="24"/>
        </w:rPr>
        <w:t xml:space="preserve">Unidad del Portafolio de Proyectos, </w:t>
      </w:r>
      <w:r w:rsidRPr="003B26B6">
        <w:rPr>
          <w:rFonts w:ascii="Book Antiqua" w:hAnsi="Book Antiqua"/>
          <w:b/>
          <w:sz w:val="24"/>
          <w:szCs w:val="24"/>
        </w:rPr>
        <w:t>Dirección de Planificación</w:t>
      </w:r>
      <w:r>
        <w:rPr>
          <w:rFonts w:ascii="Book Antiqua" w:hAnsi="Book Antiqua"/>
          <w:b/>
          <w:sz w:val="24"/>
          <w:szCs w:val="24"/>
        </w:rPr>
        <w:t>.</w:t>
      </w:r>
    </w:p>
    <w:p w14:paraId="78E67F1E" w14:textId="77777777" w:rsidR="000B7A67" w:rsidRDefault="000B7A67" w:rsidP="000B7A67">
      <w:pPr>
        <w:spacing w:after="0"/>
        <w:jc w:val="both"/>
        <w:rPr>
          <w:rFonts w:ascii="Book Antiqua" w:hAnsi="Book Antiqua"/>
        </w:rPr>
      </w:pPr>
    </w:p>
    <w:p w14:paraId="3DA7A852" w14:textId="77777777" w:rsidR="000B7A67" w:rsidRPr="001D2656" w:rsidRDefault="000B7A67" w:rsidP="000B7A67">
      <w:pPr>
        <w:pStyle w:val="Ttulo2"/>
        <w:numPr>
          <w:ilvl w:val="0"/>
          <w:numId w:val="3"/>
        </w:numPr>
        <w:tabs>
          <w:tab w:val="left" w:pos="851"/>
        </w:tabs>
        <w:spacing w:before="0"/>
        <w:jc w:val="both"/>
        <w:rPr>
          <w:rFonts w:ascii="Book Antiqua" w:eastAsia="Wingdings" w:hAnsi="Book Antiqua"/>
          <w:b/>
          <w:bCs/>
          <w:color w:val="auto"/>
          <w:lang w:eastAsia="ko-KR"/>
        </w:rPr>
      </w:pPr>
      <w:bookmarkStart w:id="50" w:name="_Toc131160575"/>
      <w:bookmarkStart w:id="51" w:name="_Toc138770839"/>
      <w:bookmarkStart w:id="52" w:name="_Hlk138169859"/>
      <w:r w:rsidRPr="001D2656">
        <w:rPr>
          <w:rFonts w:ascii="Book Antiqua" w:eastAsia="Wingdings" w:hAnsi="Book Antiqua"/>
          <w:b/>
          <w:bCs/>
          <w:color w:val="auto"/>
          <w:lang w:eastAsia="ko-KR"/>
        </w:rPr>
        <w:t xml:space="preserve">Recomendaciones dirigidas </w:t>
      </w:r>
      <w:r>
        <w:rPr>
          <w:rFonts w:ascii="Book Antiqua" w:eastAsia="Wingdings" w:hAnsi="Book Antiqua"/>
          <w:b/>
          <w:bCs/>
          <w:color w:val="auto"/>
          <w:lang w:eastAsia="ko-KR"/>
        </w:rPr>
        <w:t xml:space="preserve">al </w:t>
      </w:r>
      <w:r w:rsidRPr="00A370E3">
        <w:rPr>
          <w:rFonts w:ascii="Book Antiqua" w:eastAsia="Wingdings" w:hAnsi="Book Antiqua"/>
          <w:b/>
          <w:bCs/>
          <w:color w:val="auto"/>
          <w:lang w:eastAsia="ko-KR"/>
        </w:rPr>
        <w:t>Primer Circuito Judicial Guanacaste</w:t>
      </w:r>
      <w:bookmarkEnd w:id="50"/>
      <w:bookmarkEnd w:id="51"/>
    </w:p>
    <w:p w14:paraId="63F12688" w14:textId="77777777" w:rsidR="000B7A67" w:rsidRDefault="000B7A67" w:rsidP="000B7A67">
      <w:pPr>
        <w:spacing w:after="0"/>
        <w:jc w:val="both"/>
        <w:rPr>
          <w:rFonts w:ascii="Book Antiqua" w:hAnsi="Book Antiqua"/>
        </w:rPr>
      </w:pPr>
    </w:p>
    <w:p w14:paraId="356019F5" w14:textId="77777777" w:rsidR="000B7A67" w:rsidRDefault="000B7A67" w:rsidP="000B7A67">
      <w:pPr>
        <w:spacing w:after="0"/>
        <w:jc w:val="both"/>
        <w:rPr>
          <w:rFonts w:ascii="Book Antiqua" w:hAnsi="Book Antiqua"/>
          <w:sz w:val="24"/>
          <w:szCs w:val="24"/>
        </w:rPr>
      </w:pPr>
      <w:r>
        <w:rPr>
          <w:rFonts w:ascii="Book Antiqua" w:hAnsi="Book Antiqua"/>
          <w:sz w:val="24"/>
          <w:szCs w:val="24"/>
        </w:rPr>
        <w:t xml:space="preserve">En el informe 277-PLA-PP-2023, se dirigió una recomendación al </w:t>
      </w:r>
      <w:r w:rsidRPr="00707C4A">
        <w:rPr>
          <w:rFonts w:ascii="Book Antiqua" w:hAnsi="Book Antiqua"/>
          <w:b/>
          <w:bCs/>
          <w:sz w:val="24"/>
          <w:szCs w:val="24"/>
        </w:rPr>
        <w:t>Primer Circuito Judicial Guanacaste</w:t>
      </w:r>
      <w:r>
        <w:rPr>
          <w:rFonts w:ascii="Book Antiqua" w:eastAsia="Wingdings" w:hAnsi="Book Antiqua"/>
          <w:b/>
          <w:bCs/>
          <w:lang w:eastAsia="ko-KR"/>
        </w:rPr>
        <w:t>,</w:t>
      </w:r>
      <w:r>
        <w:rPr>
          <w:rFonts w:ascii="Book Antiqua" w:hAnsi="Book Antiqua"/>
          <w:sz w:val="24"/>
          <w:szCs w:val="24"/>
        </w:rPr>
        <w:t xml:space="preserve"> debido a que existía un proyecto con gestiones pendientes de </w:t>
      </w:r>
      <w:r>
        <w:rPr>
          <w:rFonts w:ascii="Book Antiqua" w:hAnsi="Book Antiqua"/>
          <w:sz w:val="24"/>
          <w:szCs w:val="24"/>
        </w:rPr>
        <w:lastRenderedPageBreak/>
        <w:t>atender o nuevas recomendaciones, por lo anterior se realiza el seguimiento a las siguientes recomendaciones:</w:t>
      </w:r>
    </w:p>
    <w:p w14:paraId="42D08AB8" w14:textId="77777777" w:rsidR="000B7A67" w:rsidRDefault="000B7A67" w:rsidP="000B7A67">
      <w:pPr>
        <w:spacing w:after="0"/>
        <w:jc w:val="both"/>
        <w:rPr>
          <w:rFonts w:ascii="Book Antiqua" w:hAnsi="Book Antiqua"/>
          <w:sz w:val="24"/>
          <w:szCs w:val="24"/>
        </w:rPr>
      </w:pPr>
    </w:p>
    <w:p w14:paraId="55668FF5" w14:textId="77777777" w:rsidR="000B7A67" w:rsidRDefault="000B7A67" w:rsidP="000B7A67">
      <w:pPr>
        <w:spacing w:after="0" w:line="240" w:lineRule="auto"/>
        <w:jc w:val="both"/>
        <w:rPr>
          <w:rFonts w:ascii="Book Antiqua" w:hAnsi="Book Antiqua"/>
          <w:i/>
          <w:iCs/>
          <w:sz w:val="24"/>
          <w:szCs w:val="24"/>
        </w:rPr>
      </w:pPr>
      <w:r w:rsidRPr="005C1ADA">
        <w:rPr>
          <w:rFonts w:ascii="Book Antiqua" w:hAnsi="Book Antiqua"/>
          <w:i/>
          <w:iCs/>
          <w:sz w:val="24"/>
          <w:szCs w:val="24"/>
        </w:rPr>
        <w:t>“</w:t>
      </w:r>
      <w:r w:rsidRPr="007505ED">
        <w:rPr>
          <w:rFonts w:ascii="Book Antiqua" w:hAnsi="Book Antiqua"/>
          <w:b/>
          <w:bCs/>
          <w:i/>
          <w:iCs/>
          <w:sz w:val="24"/>
          <w:szCs w:val="24"/>
        </w:rPr>
        <w:t xml:space="preserve">2.10) </w:t>
      </w:r>
      <w:r w:rsidRPr="007505ED">
        <w:rPr>
          <w:rFonts w:ascii="Book Antiqua" w:hAnsi="Book Antiqua"/>
          <w:i/>
          <w:iCs/>
          <w:sz w:val="24"/>
          <w:szCs w:val="24"/>
        </w:rPr>
        <w:t>El Centro de Conciliación del Poder Judicial, las Comisiones de  la Jurisdicción Agrario y Agroambiental, de Acceso a la Justicia, la Defensa Pública, el Departamento de Prensa y Comunicación Organizacional, el Programa Justicia Restaurativa, así como las Administraciones Regionales del Segundo Circuito Judicial de Alajuela, Tercer Circuito Judicial Alajuela, de la Ciudad Judicial de San Joaquín de Flores, de Puntarenas, del Primer Circuito Judicial Guanacaste y Primer Circuito Judicial de la Zona Sur, deberán a más tardar el 28 de abril del 2023, cargar en el sitio de proyecto la atención de las recomendaciones que se describen en la tabla correspondiente expuesta en el presente informe.</w:t>
      </w:r>
    </w:p>
    <w:tbl>
      <w:tblPr>
        <w:tblW w:w="9924" w:type="dxa"/>
        <w:tblInd w:w="-431" w:type="dxa"/>
        <w:tblCellMar>
          <w:left w:w="70" w:type="dxa"/>
          <w:right w:w="70" w:type="dxa"/>
        </w:tblCellMar>
        <w:tblLook w:val="04A0" w:firstRow="1" w:lastRow="0" w:firstColumn="1" w:lastColumn="0" w:noHBand="0" w:noVBand="1"/>
      </w:tblPr>
      <w:tblGrid>
        <w:gridCol w:w="1560"/>
        <w:gridCol w:w="1843"/>
        <w:gridCol w:w="992"/>
        <w:gridCol w:w="1985"/>
        <w:gridCol w:w="1134"/>
        <w:gridCol w:w="2410"/>
      </w:tblGrid>
      <w:tr w:rsidR="00BC00B3" w:rsidRPr="00971A5C" w14:paraId="5BEC5E9A" w14:textId="77777777" w:rsidTr="00AC38D3">
        <w:trPr>
          <w:trHeight w:val="300"/>
        </w:trPr>
        <w:tc>
          <w:tcPr>
            <w:tcW w:w="156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5AAD7F0C" w14:textId="77777777" w:rsidR="000B7A67" w:rsidRPr="00971A5C" w:rsidRDefault="000B7A67" w:rsidP="00F400D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 xml:space="preserve">Centro de responsabilidad </w:t>
            </w:r>
          </w:p>
        </w:tc>
        <w:tc>
          <w:tcPr>
            <w:tcW w:w="1843" w:type="dxa"/>
            <w:tcBorders>
              <w:top w:val="single" w:sz="4" w:space="0" w:color="auto"/>
              <w:left w:val="nil"/>
              <w:bottom w:val="single" w:sz="4" w:space="0" w:color="auto"/>
              <w:right w:val="single" w:sz="4" w:space="0" w:color="auto"/>
            </w:tcBorders>
            <w:shd w:val="clear" w:color="000000" w:fill="44546A"/>
            <w:vAlign w:val="center"/>
            <w:hideMark/>
          </w:tcPr>
          <w:p w14:paraId="4CEFCF6B" w14:textId="77777777" w:rsidR="000B7A67" w:rsidRPr="00971A5C" w:rsidRDefault="000B7A67" w:rsidP="00F400D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Oficina Líder</w:t>
            </w:r>
          </w:p>
        </w:tc>
        <w:tc>
          <w:tcPr>
            <w:tcW w:w="992" w:type="dxa"/>
            <w:tcBorders>
              <w:top w:val="single" w:sz="4" w:space="0" w:color="auto"/>
              <w:left w:val="nil"/>
              <w:bottom w:val="single" w:sz="4" w:space="0" w:color="auto"/>
              <w:right w:val="single" w:sz="4" w:space="0" w:color="auto"/>
            </w:tcBorders>
            <w:shd w:val="clear" w:color="000000" w:fill="44546A"/>
            <w:vAlign w:val="center"/>
            <w:hideMark/>
          </w:tcPr>
          <w:p w14:paraId="26F51078" w14:textId="77777777" w:rsidR="000B7A67" w:rsidRPr="00971A5C" w:rsidRDefault="000B7A67" w:rsidP="00F400D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Código</w:t>
            </w:r>
          </w:p>
        </w:tc>
        <w:tc>
          <w:tcPr>
            <w:tcW w:w="1985" w:type="dxa"/>
            <w:tcBorders>
              <w:top w:val="single" w:sz="4" w:space="0" w:color="auto"/>
              <w:left w:val="nil"/>
              <w:bottom w:val="single" w:sz="4" w:space="0" w:color="auto"/>
              <w:right w:val="single" w:sz="4" w:space="0" w:color="auto"/>
            </w:tcBorders>
            <w:shd w:val="clear" w:color="000000" w:fill="44546A"/>
            <w:vAlign w:val="center"/>
            <w:hideMark/>
          </w:tcPr>
          <w:p w14:paraId="228581D8" w14:textId="77777777" w:rsidR="000B7A67" w:rsidRPr="00971A5C" w:rsidRDefault="000B7A67" w:rsidP="00F400D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Nombre</w:t>
            </w:r>
          </w:p>
        </w:tc>
        <w:tc>
          <w:tcPr>
            <w:tcW w:w="1134" w:type="dxa"/>
            <w:tcBorders>
              <w:top w:val="single" w:sz="4" w:space="0" w:color="auto"/>
              <w:left w:val="nil"/>
              <w:bottom w:val="single" w:sz="4" w:space="0" w:color="auto"/>
              <w:right w:val="single" w:sz="4" w:space="0" w:color="auto"/>
            </w:tcBorders>
            <w:shd w:val="clear" w:color="000000" w:fill="44546A"/>
            <w:vAlign w:val="center"/>
            <w:hideMark/>
          </w:tcPr>
          <w:p w14:paraId="76D3026C" w14:textId="77777777" w:rsidR="000B7A67" w:rsidRPr="00971A5C" w:rsidRDefault="000B7A67" w:rsidP="00F400D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Parte pendiente</w:t>
            </w:r>
          </w:p>
        </w:tc>
        <w:tc>
          <w:tcPr>
            <w:tcW w:w="2410" w:type="dxa"/>
            <w:tcBorders>
              <w:top w:val="single" w:sz="4" w:space="0" w:color="auto"/>
              <w:left w:val="nil"/>
              <w:bottom w:val="single" w:sz="4" w:space="0" w:color="auto"/>
              <w:right w:val="single" w:sz="4" w:space="0" w:color="auto"/>
            </w:tcBorders>
            <w:shd w:val="clear" w:color="000000" w:fill="44546A"/>
            <w:vAlign w:val="center"/>
            <w:hideMark/>
          </w:tcPr>
          <w:p w14:paraId="1810E9F7" w14:textId="77777777" w:rsidR="000B7A67" w:rsidRPr="00971A5C" w:rsidRDefault="000B7A67" w:rsidP="00F400D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 xml:space="preserve">Detalle </w:t>
            </w:r>
          </w:p>
        </w:tc>
      </w:tr>
      <w:tr w:rsidR="00BC00B3" w:rsidRPr="00971A5C" w14:paraId="4E3DB64B" w14:textId="77777777" w:rsidTr="00AC38D3">
        <w:trPr>
          <w:trHeight w:val="1066"/>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5F62ACA" w14:textId="77777777" w:rsidR="000B7A67" w:rsidRPr="00971A5C" w:rsidRDefault="000B7A67" w:rsidP="00F400D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Primer Circuito Judicial Guanacaste</w:t>
            </w:r>
          </w:p>
        </w:tc>
        <w:tc>
          <w:tcPr>
            <w:tcW w:w="1843" w:type="dxa"/>
            <w:tcBorders>
              <w:top w:val="nil"/>
              <w:left w:val="nil"/>
              <w:bottom w:val="single" w:sz="4" w:space="0" w:color="auto"/>
              <w:right w:val="single" w:sz="4" w:space="0" w:color="auto"/>
            </w:tcBorders>
            <w:shd w:val="clear" w:color="auto" w:fill="auto"/>
            <w:vAlign w:val="center"/>
            <w:hideMark/>
          </w:tcPr>
          <w:p w14:paraId="1FD44FFE" w14:textId="77777777" w:rsidR="000B7A67" w:rsidRPr="00971A5C" w:rsidRDefault="000B7A67" w:rsidP="00F400D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 xml:space="preserve">0415 </w:t>
            </w:r>
            <w:r>
              <w:rPr>
                <w:rFonts w:ascii="Book Antiqua" w:eastAsia="Times New Roman" w:hAnsi="Book Antiqua" w:cs="Calibri"/>
                <w:color w:val="000000"/>
                <w:sz w:val="18"/>
                <w:szCs w:val="18"/>
                <w:lang w:eastAsia="es-CR"/>
              </w:rPr>
              <w:t>administración</w:t>
            </w:r>
            <w:r w:rsidRPr="00971A5C">
              <w:rPr>
                <w:rFonts w:ascii="Book Antiqua" w:eastAsia="Times New Roman" w:hAnsi="Book Antiqua" w:cs="Calibri"/>
                <w:color w:val="000000"/>
                <w:sz w:val="18"/>
                <w:szCs w:val="18"/>
                <w:lang w:eastAsia="es-CR"/>
              </w:rPr>
              <w:t xml:space="preserve"> </w:t>
            </w:r>
            <w:r>
              <w:rPr>
                <w:rFonts w:ascii="Book Antiqua" w:eastAsia="Times New Roman" w:hAnsi="Book Antiqua" w:cs="Calibri"/>
                <w:color w:val="000000"/>
                <w:sz w:val="18"/>
                <w:szCs w:val="18"/>
                <w:lang w:eastAsia="es-CR"/>
              </w:rPr>
              <w:t>R</w:t>
            </w:r>
            <w:r w:rsidRPr="00971A5C">
              <w:rPr>
                <w:rFonts w:ascii="Book Antiqua" w:eastAsia="Times New Roman" w:hAnsi="Book Antiqua" w:cs="Calibri"/>
                <w:color w:val="000000"/>
                <w:sz w:val="18"/>
                <w:szCs w:val="18"/>
                <w:lang w:eastAsia="es-CR"/>
              </w:rPr>
              <w:t xml:space="preserve">egional </w:t>
            </w:r>
            <w:r>
              <w:rPr>
                <w:rFonts w:ascii="Book Antiqua" w:eastAsia="Times New Roman" w:hAnsi="Book Antiqua" w:cs="Calibri"/>
                <w:color w:val="000000"/>
                <w:sz w:val="18"/>
                <w:szCs w:val="18"/>
                <w:lang w:eastAsia="es-CR"/>
              </w:rPr>
              <w:t>I C</w:t>
            </w:r>
            <w:r w:rsidRPr="00971A5C">
              <w:rPr>
                <w:rFonts w:ascii="Book Antiqua" w:eastAsia="Times New Roman" w:hAnsi="Book Antiqua" w:cs="Calibri"/>
                <w:color w:val="000000"/>
                <w:sz w:val="18"/>
                <w:szCs w:val="18"/>
                <w:lang w:eastAsia="es-CR"/>
              </w:rPr>
              <w:t xml:space="preserve">ircuito </w:t>
            </w:r>
            <w:r>
              <w:rPr>
                <w:rFonts w:ascii="Book Antiqua" w:eastAsia="Times New Roman" w:hAnsi="Book Antiqua" w:cs="Calibri"/>
                <w:color w:val="000000"/>
                <w:sz w:val="18"/>
                <w:szCs w:val="18"/>
                <w:lang w:eastAsia="es-CR"/>
              </w:rPr>
              <w:t>J</w:t>
            </w:r>
            <w:r w:rsidRPr="00971A5C">
              <w:rPr>
                <w:rFonts w:ascii="Book Antiqua" w:eastAsia="Times New Roman" w:hAnsi="Book Antiqua" w:cs="Calibri"/>
                <w:color w:val="000000"/>
                <w:sz w:val="18"/>
                <w:szCs w:val="18"/>
                <w:lang w:eastAsia="es-CR"/>
              </w:rPr>
              <w:t xml:space="preserve">udicial </w:t>
            </w:r>
            <w:r>
              <w:rPr>
                <w:rFonts w:ascii="Book Antiqua" w:eastAsia="Times New Roman" w:hAnsi="Book Antiqua" w:cs="Calibri"/>
                <w:color w:val="000000"/>
                <w:sz w:val="18"/>
                <w:szCs w:val="18"/>
                <w:lang w:eastAsia="es-CR"/>
              </w:rPr>
              <w:t>G</w:t>
            </w:r>
            <w:r w:rsidRPr="00971A5C">
              <w:rPr>
                <w:rFonts w:ascii="Book Antiqua" w:eastAsia="Times New Roman" w:hAnsi="Book Antiqua" w:cs="Calibri"/>
                <w:color w:val="000000"/>
                <w:sz w:val="18"/>
                <w:szCs w:val="18"/>
                <w:lang w:eastAsia="es-CR"/>
              </w:rPr>
              <w:t>uanacaste</w:t>
            </w:r>
          </w:p>
        </w:tc>
        <w:tc>
          <w:tcPr>
            <w:tcW w:w="992" w:type="dxa"/>
            <w:tcBorders>
              <w:top w:val="nil"/>
              <w:left w:val="nil"/>
              <w:bottom w:val="single" w:sz="4" w:space="0" w:color="auto"/>
              <w:right w:val="single" w:sz="4" w:space="0" w:color="auto"/>
            </w:tcBorders>
            <w:shd w:val="clear" w:color="auto" w:fill="auto"/>
            <w:vAlign w:val="center"/>
            <w:hideMark/>
          </w:tcPr>
          <w:p w14:paraId="2F0D7720" w14:textId="77777777" w:rsidR="000B7A67" w:rsidRPr="00971A5C" w:rsidRDefault="000B7A67" w:rsidP="00F400D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0117-DE-P74</w:t>
            </w:r>
          </w:p>
        </w:tc>
        <w:tc>
          <w:tcPr>
            <w:tcW w:w="1985" w:type="dxa"/>
            <w:tcBorders>
              <w:top w:val="nil"/>
              <w:left w:val="nil"/>
              <w:bottom w:val="single" w:sz="4" w:space="0" w:color="auto"/>
              <w:right w:val="single" w:sz="4" w:space="0" w:color="auto"/>
            </w:tcBorders>
            <w:shd w:val="clear" w:color="auto" w:fill="auto"/>
            <w:vAlign w:val="center"/>
            <w:hideMark/>
          </w:tcPr>
          <w:p w14:paraId="329FD4C7" w14:textId="77777777" w:rsidR="000B7A67" w:rsidRPr="00971A5C" w:rsidRDefault="000B7A67" w:rsidP="00F400D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Acondicionamiento eléctrico del Edificio de Tribunales de Liberia</w:t>
            </w:r>
          </w:p>
        </w:tc>
        <w:tc>
          <w:tcPr>
            <w:tcW w:w="1134" w:type="dxa"/>
            <w:tcBorders>
              <w:top w:val="nil"/>
              <w:left w:val="nil"/>
              <w:bottom w:val="single" w:sz="4" w:space="0" w:color="auto"/>
              <w:right w:val="single" w:sz="4" w:space="0" w:color="auto"/>
            </w:tcBorders>
            <w:shd w:val="clear" w:color="auto" w:fill="auto"/>
            <w:vAlign w:val="center"/>
            <w:hideMark/>
          </w:tcPr>
          <w:p w14:paraId="38B29B14" w14:textId="77777777" w:rsidR="000B7A67" w:rsidRPr="00971A5C" w:rsidRDefault="000B7A67" w:rsidP="00F400D6">
            <w:pPr>
              <w:spacing w:after="0" w:line="240" w:lineRule="auto"/>
              <w:jc w:val="center"/>
              <w:rPr>
                <w:rFonts w:ascii="Book Antiqua" w:eastAsia="Times New Roman" w:hAnsi="Book Antiqua" w:cs="Calibri"/>
                <w:sz w:val="18"/>
                <w:szCs w:val="18"/>
                <w:lang w:eastAsia="es-CR"/>
              </w:rPr>
            </w:pPr>
            <w:r w:rsidRPr="00971A5C">
              <w:rPr>
                <w:rFonts w:ascii="Book Antiqua" w:eastAsia="Times New Roman" w:hAnsi="Book Antiqua" w:cs="Calibri"/>
                <w:sz w:val="18"/>
                <w:szCs w:val="18"/>
                <w:lang w:eastAsia="es-CR"/>
              </w:rPr>
              <w:t>1.26</w:t>
            </w:r>
          </w:p>
        </w:tc>
        <w:tc>
          <w:tcPr>
            <w:tcW w:w="2410" w:type="dxa"/>
            <w:tcBorders>
              <w:top w:val="nil"/>
              <w:left w:val="nil"/>
              <w:bottom w:val="single" w:sz="4" w:space="0" w:color="auto"/>
              <w:right w:val="single" w:sz="4" w:space="0" w:color="auto"/>
            </w:tcBorders>
            <w:shd w:val="clear" w:color="auto" w:fill="auto"/>
            <w:vAlign w:val="center"/>
            <w:hideMark/>
          </w:tcPr>
          <w:p w14:paraId="36F41E5D" w14:textId="77777777" w:rsidR="000B7A67" w:rsidRPr="00971A5C" w:rsidRDefault="000B7A67" w:rsidP="00AC38D3">
            <w:pPr>
              <w:spacing w:after="0" w:line="240" w:lineRule="auto"/>
              <w:jc w:val="both"/>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Pendiente de presentar   Plan de Gestión.  Pendiente atender correcciones enviadas el 21-11-22 acta de constitución, y estudio de factibilidad</w:t>
            </w:r>
          </w:p>
        </w:tc>
      </w:tr>
    </w:tbl>
    <w:p w14:paraId="3087334A" w14:textId="37C2AD0D" w:rsidR="000B7A67" w:rsidRDefault="000B7A67" w:rsidP="00953FA3">
      <w:pPr>
        <w:spacing w:after="0"/>
        <w:jc w:val="right"/>
        <w:rPr>
          <w:rFonts w:ascii="Book Antiqua" w:hAnsi="Book Antiqua"/>
        </w:rPr>
      </w:pPr>
      <w:r>
        <w:rPr>
          <w:rFonts w:ascii="Book Antiqua" w:hAnsi="Book Antiqua"/>
        </w:rPr>
        <w:t xml:space="preserve"> “</w:t>
      </w:r>
      <w:r w:rsidR="00953FA3">
        <w:rPr>
          <w:rFonts w:ascii="Book Antiqua" w:hAnsi="Book Antiqua"/>
        </w:rPr>
        <w:t>.</w:t>
      </w:r>
    </w:p>
    <w:p w14:paraId="4DC761C4" w14:textId="77777777" w:rsidR="000B7A67" w:rsidRDefault="000B7A67" w:rsidP="000B7A67">
      <w:pPr>
        <w:spacing w:after="0"/>
        <w:jc w:val="both"/>
        <w:rPr>
          <w:rFonts w:ascii="Book Antiqua" w:hAnsi="Book Antiqua"/>
        </w:rPr>
      </w:pPr>
    </w:p>
    <w:p w14:paraId="74FE8BC5" w14:textId="77777777" w:rsidR="000B7A67" w:rsidRDefault="000B7A67" w:rsidP="000B7A67">
      <w:pPr>
        <w:spacing w:after="0"/>
        <w:jc w:val="both"/>
        <w:rPr>
          <w:rFonts w:ascii="Book Antiqua" w:hAnsi="Book Antiqua"/>
          <w:sz w:val="24"/>
          <w:szCs w:val="24"/>
        </w:rPr>
      </w:pPr>
      <w:r>
        <w:rPr>
          <w:rFonts w:ascii="Book Antiqua" w:hAnsi="Book Antiqua"/>
          <w:sz w:val="24"/>
          <w:szCs w:val="24"/>
        </w:rPr>
        <w:t>Con la finalidad de dar seguimiento a esta recomendación, se remite correo a la oficina mediante el oficio 1818</w:t>
      </w:r>
      <w:r w:rsidRPr="004C19A1">
        <w:rPr>
          <w:rFonts w:ascii="Book Antiqua" w:hAnsi="Book Antiqua"/>
          <w:sz w:val="24"/>
          <w:szCs w:val="24"/>
        </w:rPr>
        <w:t>-PLA-PP-TR-2023</w:t>
      </w:r>
      <w:r>
        <w:rPr>
          <w:rFonts w:ascii="Book Antiqua" w:hAnsi="Book Antiqua"/>
          <w:sz w:val="24"/>
          <w:szCs w:val="24"/>
        </w:rPr>
        <w:t xml:space="preserve">. </w:t>
      </w:r>
    </w:p>
    <w:p w14:paraId="6444F029" w14:textId="77777777" w:rsidR="000B7A67" w:rsidRDefault="000B7A67" w:rsidP="000B7A67">
      <w:pPr>
        <w:spacing w:after="0"/>
        <w:jc w:val="both"/>
        <w:rPr>
          <w:rFonts w:ascii="Book Antiqua" w:hAnsi="Book Antiqua"/>
        </w:rPr>
      </w:pPr>
    </w:p>
    <w:p w14:paraId="43BE4ECE" w14:textId="0DC6A023" w:rsidR="000B7A67" w:rsidRDefault="000B7A67" w:rsidP="000B7A67">
      <w:pPr>
        <w:spacing w:after="0"/>
        <w:jc w:val="both"/>
        <w:rPr>
          <w:rFonts w:ascii="Book Antiqua" w:hAnsi="Book Antiqua"/>
          <w:sz w:val="24"/>
          <w:szCs w:val="24"/>
        </w:rPr>
      </w:pPr>
      <w:r>
        <w:rPr>
          <w:rFonts w:ascii="Book Antiqua" w:hAnsi="Book Antiqua"/>
          <w:sz w:val="24"/>
          <w:szCs w:val="24"/>
        </w:rPr>
        <w:t>Además,</w:t>
      </w:r>
      <w:r w:rsidRPr="00FA687A">
        <w:rPr>
          <w:rFonts w:ascii="Book Antiqua" w:hAnsi="Book Antiqua"/>
          <w:sz w:val="24"/>
          <w:szCs w:val="24"/>
        </w:rPr>
        <w:t xml:space="preserve"> se procedió a revisar en </w:t>
      </w:r>
      <w:r>
        <w:rPr>
          <w:rFonts w:ascii="Book Antiqua" w:hAnsi="Book Antiqua"/>
          <w:sz w:val="24"/>
          <w:szCs w:val="24"/>
        </w:rPr>
        <w:t>el</w:t>
      </w:r>
      <w:r w:rsidRPr="00FA687A">
        <w:rPr>
          <w:rFonts w:ascii="Book Antiqua" w:hAnsi="Book Antiqua"/>
          <w:sz w:val="24"/>
          <w:szCs w:val="24"/>
        </w:rPr>
        <w:t xml:space="preserve"> centro de proyectos</w:t>
      </w:r>
      <w:r>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estas recomendaciones (</w:t>
      </w:r>
      <w:hyperlink r:id="rId30" w:history="1">
        <w:r w:rsidRPr="00B91057">
          <w:rPr>
            <w:rStyle w:val="Hipervnculo"/>
            <w:rFonts w:ascii="Book Antiqua" w:hAnsi="Book Antiqua"/>
            <w:sz w:val="24"/>
            <w:szCs w:val="24"/>
          </w:rPr>
          <w:t>Ver enlace:</w:t>
        </w:r>
        <w:r w:rsidRPr="00B91057">
          <w:rPr>
            <w:rStyle w:val="Hipervnculo"/>
          </w:rPr>
          <w:t xml:space="preserve"> </w:t>
        </w:r>
        <w:r w:rsidRPr="00B91057">
          <w:rPr>
            <w:rStyle w:val="Hipervnculo"/>
            <w:rFonts w:ascii="Book Antiqua" w:hAnsi="Book Antiqua"/>
            <w:sz w:val="24"/>
            <w:szCs w:val="24"/>
          </w:rPr>
          <w:t>Primer Circuito Judicial Guanacaste</w:t>
        </w:r>
      </w:hyperlink>
      <w:r w:rsidRPr="00FA687A">
        <w:rPr>
          <w:rFonts w:ascii="Book Antiqua" w:hAnsi="Book Antiqua"/>
          <w:sz w:val="24"/>
          <w:szCs w:val="24"/>
        </w:rPr>
        <w:t>);</w:t>
      </w:r>
      <w:r w:rsidRPr="00414C02">
        <w:rPr>
          <w:rFonts w:ascii="Book Antiqua" w:hAnsi="Book Antiqua"/>
          <w:sz w:val="24"/>
          <w:szCs w:val="24"/>
        </w:rPr>
        <w:t xml:space="preserve"> </w:t>
      </w:r>
      <w:r w:rsidRPr="008B5BD4">
        <w:rPr>
          <w:rFonts w:ascii="Book Antiqua" w:hAnsi="Book Antiqua"/>
          <w:sz w:val="24"/>
          <w:szCs w:val="24"/>
        </w:rPr>
        <w:t xml:space="preserve">según correo recibido y solicitud de cambio elaborada, se notifica que este proyecto se debe suspender temporalmente por aspectos presupuestarios hasta el 2025; por lo anterior, se solicita a la oficina líder notificar </w:t>
      </w:r>
      <w:r w:rsidR="008B5BD4" w:rsidRPr="008B5BD4">
        <w:rPr>
          <w:rFonts w:ascii="Book Antiqua" w:hAnsi="Book Antiqua"/>
          <w:sz w:val="24"/>
          <w:szCs w:val="24"/>
        </w:rPr>
        <w:t>cuando se reactive.</w:t>
      </w:r>
    </w:p>
    <w:p w14:paraId="76E1FC9D" w14:textId="77777777" w:rsidR="000B7A67" w:rsidRDefault="000B7A67" w:rsidP="000B7A67">
      <w:pPr>
        <w:spacing w:after="0"/>
        <w:jc w:val="both"/>
        <w:rPr>
          <w:rFonts w:ascii="Book Antiqua" w:hAnsi="Book Antiqua"/>
          <w:sz w:val="24"/>
          <w:szCs w:val="24"/>
        </w:rPr>
      </w:pPr>
    </w:p>
    <w:p w14:paraId="5DD10BFB" w14:textId="77777777" w:rsidR="000B7A67" w:rsidRPr="00EB037D" w:rsidRDefault="000B7A67" w:rsidP="000B7A67">
      <w:pPr>
        <w:pStyle w:val="Ttulo2"/>
        <w:numPr>
          <w:ilvl w:val="0"/>
          <w:numId w:val="3"/>
        </w:numPr>
        <w:tabs>
          <w:tab w:val="left" w:pos="851"/>
        </w:tabs>
        <w:spacing w:before="0"/>
        <w:jc w:val="both"/>
        <w:rPr>
          <w:rFonts w:ascii="Book Antiqua" w:eastAsia="Wingdings" w:hAnsi="Book Antiqua"/>
          <w:b/>
          <w:bCs/>
          <w:color w:val="auto"/>
          <w:lang w:eastAsia="ko-KR"/>
        </w:rPr>
      </w:pPr>
      <w:bookmarkStart w:id="53" w:name="_Toc131160577"/>
      <w:bookmarkStart w:id="54" w:name="_Toc138770840"/>
      <w:bookmarkEnd w:id="52"/>
      <w:r w:rsidRPr="00EB037D">
        <w:rPr>
          <w:rFonts w:ascii="Book Antiqua" w:eastAsia="Wingdings" w:hAnsi="Book Antiqua"/>
          <w:b/>
          <w:bCs/>
          <w:color w:val="auto"/>
          <w:lang w:eastAsia="ko-KR"/>
        </w:rPr>
        <w:t>Recomendaciones dirigidas al Primer Circuito Judicial Zona Sur</w:t>
      </w:r>
      <w:bookmarkEnd w:id="53"/>
      <w:bookmarkEnd w:id="54"/>
    </w:p>
    <w:p w14:paraId="37C58EE6" w14:textId="77777777" w:rsidR="000B7A67" w:rsidRDefault="000B7A67" w:rsidP="000B7A67">
      <w:pPr>
        <w:spacing w:after="0"/>
        <w:jc w:val="both"/>
        <w:rPr>
          <w:rFonts w:ascii="Book Antiqua" w:hAnsi="Book Antiqua"/>
        </w:rPr>
      </w:pPr>
    </w:p>
    <w:p w14:paraId="3107EAEB" w14:textId="77777777" w:rsidR="000B7A67" w:rsidRDefault="000B7A67" w:rsidP="000B7A67">
      <w:pPr>
        <w:spacing w:after="0"/>
        <w:rPr>
          <w:rFonts w:ascii="Book Antiqua" w:hAnsi="Book Antiqua"/>
          <w:sz w:val="24"/>
          <w:szCs w:val="24"/>
        </w:rPr>
      </w:pPr>
      <w:r>
        <w:rPr>
          <w:rFonts w:ascii="Book Antiqua" w:hAnsi="Book Antiqua"/>
          <w:sz w:val="24"/>
          <w:szCs w:val="24"/>
        </w:rPr>
        <w:t xml:space="preserve">En el informe 277-PLA-PP-2023, se dirigió una recomendación al </w:t>
      </w:r>
      <w:r w:rsidRPr="00F81F06">
        <w:rPr>
          <w:rFonts w:ascii="Book Antiqua" w:hAnsi="Book Antiqua"/>
          <w:b/>
          <w:bCs/>
          <w:sz w:val="24"/>
          <w:szCs w:val="24"/>
        </w:rPr>
        <w:t>Primer Circuito Judicial Zona Sur</w:t>
      </w:r>
      <w:r>
        <w:rPr>
          <w:rFonts w:ascii="Book Antiqua" w:eastAsia="Wingdings" w:hAnsi="Book Antiqua"/>
          <w:b/>
          <w:bCs/>
          <w:lang w:eastAsia="ko-KR"/>
        </w:rPr>
        <w:t>,</w:t>
      </w:r>
      <w:r>
        <w:rPr>
          <w:rFonts w:ascii="Book Antiqua" w:hAnsi="Book Antiqua"/>
          <w:sz w:val="24"/>
          <w:szCs w:val="24"/>
        </w:rPr>
        <w:t xml:space="preserve"> debido a que existía un proyecto con gestiones pendientes de atender o nuevas recomendaciones, por lo anterior se realiza el seguimiento a las siguientes recomendaciones:</w:t>
      </w:r>
    </w:p>
    <w:p w14:paraId="17CBF94A" w14:textId="77777777" w:rsidR="000B7A67" w:rsidRDefault="000B7A67" w:rsidP="000B7A67">
      <w:pPr>
        <w:spacing w:after="0"/>
        <w:jc w:val="both"/>
        <w:rPr>
          <w:lang w:eastAsia="ko-KR"/>
        </w:rPr>
      </w:pPr>
    </w:p>
    <w:p w14:paraId="07273D0A" w14:textId="77777777" w:rsidR="000B7A67" w:rsidRDefault="000B7A67" w:rsidP="000B7A67">
      <w:pPr>
        <w:jc w:val="both"/>
        <w:rPr>
          <w:rFonts w:ascii="Book Antiqua" w:hAnsi="Book Antiqua"/>
          <w:i/>
          <w:iCs/>
          <w:sz w:val="24"/>
          <w:szCs w:val="24"/>
        </w:rPr>
      </w:pPr>
      <w:r w:rsidRPr="005C1ADA">
        <w:rPr>
          <w:rFonts w:ascii="Book Antiqua" w:hAnsi="Book Antiqua"/>
          <w:i/>
          <w:iCs/>
          <w:sz w:val="24"/>
          <w:szCs w:val="24"/>
        </w:rPr>
        <w:t>“</w:t>
      </w:r>
      <w:r w:rsidRPr="00F81F06">
        <w:rPr>
          <w:rFonts w:ascii="Book Antiqua" w:hAnsi="Book Antiqua"/>
          <w:b/>
          <w:bCs/>
          <w:i/>
          <w:iCs/>
          <w:sz w:val="24"/>
          <w:szCs w:val="24"/>
        </w:rPr>
        <w:t>2.10)</w:t>
      </w:r>
      <w:r>
        <w:rPr>
          <w:rFonts w:ascii="Book Antiqua" w:hAnsi="Book Antiqua"/>
          <w:i/>
          <w:iCs/>
          <w:sz w:val="24"/>
          <w:szCs w:val="24"/>
        </w:rPr>
        <w:t xml:space="preserve"> El Centro de Conciliación del Poder Judicial, las Comisiones de  la Jurisdicción Agrario y Agroambiental, de Acceso a la Justicia, la Defensa Pública, el Departamento de Prensa y </w:t>
      </w:r>
      <w:r>
        <w:rPr>
          <w:rFonts w:ascii="Book Antiqua" w:hAnsi="Book Antiqua"/>
          <w:i/>
          <w:iCs/>
          <w:sz w:val="24"/>
          <w:szCs w:val="24"/>
        </w:rPr>
        <w:lastRenderedPageBreak/>
        <w:t>Comunicación Organizacional, el Programa Justicia Restaurativa, así como las Administraciones Regionales del Segundo Circuito Judicial de Alajuela, Tercer Circuito Judicial Alajuela, de la Ciudad Judicial de San Joaquín de Flores, de Puntarenas, del Primer Circuito Judicial Guanacaste y Primer Circuito Judicial de la Zona Sur, deberán a más tardar el 28 de abril del 2023, cargar en el sitio de proyecto la atención de las recomendaciones que se describen en la tabla correspondiente expuesta en el presente informe.</w:t>
      </w:r>
    </w:p>
    <w:tbl>
      <w:tblPr>
        <w:tblW w:w="10207" w:type="dxa"/>
        <w:tblInd w:w="-431" w:type="dxa"/>
        <w:tblCellMar>
          <w:left w:w="70" w:type="dxa"/>
          <w:right w:w="70" w:type="dxa"/>
        </w:tblCellMar>
        <w:tblLook w:val="04A0" w:firstRow="1" w:lastRow="0" w:firstColumn="1" w:lastColumn="0" w:noHBand="0" w:noVBand="1"/>
      </w:tblPr>
      <w:tblGrid>
        <w:gridCol w:w="1471"/>
        <w:gridCol w:w="1805"/>
        <w:gridCol w:w="978"/>
        <w:gridCol w:w="2693"/>
        <w:gridCol w:w="1134"/>
        <w:gridCol w:w="2126"/>
      </w:tblGrid>
      <w:tr w:rsidR="00BC00B3" w:rsidRPr="00971A5C" w14:paraId="5FCFD37C" w14:textId="77777777" w:rsidTr="00572206">
        <w:trPr>
          <w:trHeight w:val="300"/>
        </w:trPr>
        <w:tc>
          <w:tcPr>
            <w:tcW w:w="1471"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075D621B" w14:textId="77777777" w:rsidR="000B7A67" w:rsidRPr="00971A5C" w:rsidRDefault="000B7A67" w:rsidP="00F400D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 xml:space="preserve">Centro de responsabilidad </w:t>
            </w:r>
          </w:p>
        </w:tc>
        <w:tc>
          <w:tcPr>
            <w:tcW w:w="1805" w:type="dxa"/>
            <w:tcBorders>
              <w:top w:val="single" w:sz="4" w:space="0" w:color="auto"/>
              <w:left w:val="nil"/>
              <w:bottom w:val="single" w:sz="4" w:space="0" w:color="auto"/>
              <w:right w:val="single" w:sz="4" w:space="0" w:color="auto"/>
            </w:tcBorders>
            <w:shd w:val="clear" w:color="000000" w:fill="44546A"/>
            <w:vAlign w:val="center"/>
            <w:hideMark/>
          </w:tcPr>
          <w:p w14:paraId="24896580" w14:textId="77777777" w:rsidR="000B7A67" w:rsidRPr="00971A5C" w:rsidRDefault="000B7A67" w:rsidP="00F400D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Oficina Líder</w:t>
            </w:r>
          </w:p>
        </w:tc>
        <w:tc>
          <w:tcPr>
            <w:tcW w:w="978" w:type="dxa"/>
            <w:tcBorders>
              <w:top w:val="single" w:sz="4" w:space="0" w:color="auto"/>
              <w:left w:val="nil"/>
              <w:bottom w:val="single" w:sz="4" w:space="0" w:color="auto"/>
              <w:right w:val="single" w:sz="4" w:space="0" w:color="auto"/>
            </w:tcBorders>
            <w:shd w:val="clear" w:color="000000" w:fill="44546A"/>
            <w:vAlign w:val="center"/>
            <w:hideMark/>
          </w:tcPr>
          <w:p w14:paraId="4607A21C" w14:textId="77777777" w:rsidR="000B7A67" w:rsidRPr="00971A5C" w:rsidRDefault="000B7A67" w:rsidP="00F400D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Código</w:t>
            </w:r>
          </w:p>
        </w:tc>
        <w:tc>
          <w:tcPr>
            <w:tcW w:w="2693" w:type="dxa"/>
            <w:tcBorders>
              <w:top w:val="single" w:sz="4" w:space="0" w:color="auto"/>
              <w:left w:val="nil"/>
              <w:bottom w:val="single" w:sz="4" w:space="0" w:color="auto"/>
              <w:right w:val="single" w:sz="4" w:space="0" w:color="auto"/>
            </w:tcBorders>
            <w:shd w:val="clear" w:color="000000" w:fill="44546A"/>
            <w:vAlign w:val="center"/>
            <w:hideMark/>
          </w:tcPr>
          <w:p w14:paraId="2DE2F85F" w14:textId="77777777" w:rsidR="000B7A67" w:rsidRPr="00971A5C" w:rsidRDefault="000B7A67" w:rsidP="00F400D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Nombre</w:t>
            </w:r>
          </w:p>
        </w:tc>
        <w:tc>
          <w:tcPr>
            <w:tcW w:w="1134" w:type="dxa"/>
            <w:tcBorders>
              <w:top w:val="single" w:sz="4" w:space="0" w:color="auto"/>
              <w:left w:val="nil"/>
              <w:bottom w:val="single" w:sz="4" w:space="0" w:color="auto"/>
              <w:right w:val="single" w:sz="4" w:space="0" w:color="auto"/>
            </w:tcBorders>
            <w:shd w:val="clear" w:color="000000" w:fill="44546A"/>
            <w:vAlign w:val="center"/>
            <w:hideMark/>
          </w:tcPr>
          <w:p w14:paraId="775F1313" w14:textId="77777777" w:rsidR="000B7A67" w:rsidRPr="00971A5C" w:rsidRDefault="000B7A67" w:rsidP="00F400D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Parte pendiente</w:t>
            </w:r>
          </w:p>
        </w:tc>
        <w:tc>
          <w:tcPr>
            <w:tcW w:w="2126" w:type="dxa"/>
            <w:tcBorders>
              <w:top w:val="single" w:sz="4" w:space="0" w:color="auto"/>
              <w:left w:val="nil"/>
              <w:bottom w:val="single" w:sz="4" w:space="0" w:color="auto"/>
              <w:right w:val="single" w:sz="4" w:space="0" w:color="auto"/>
            </w:tcBorders>
            <w:shd w:val="clear" w:color="000000" w:fill="44546A"/>
            <w:vAlign w:val="center"/>
            <w:hideMark/>
          </w:tcPr>
          <w:p w14:paraId="156BB372" w14:textId="77777777" w:rsidR="000B7A67" w:rsidRPr="00971A5C" w:rsidRDefault="000B7A67" w:rsidP="00F400D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 xml:space="preserve">Detalle </w:t>
            </w:r>
          </w:p>
        </w:tc>
      </w:tr>
      <w:tr w:rsidR="007E6FC1" w:rsidRPr="00971A5C" w14:paraId="60141A6B" w14:textId="77777777" w:rsidTr="00572206">
        <w:trPr>
          <w:trHeight w:val="913"/>
        </w:trPr>
        <w:tc>
          <w:tcPr>
            <w:tcW w:w="1471" w:type="dxa"/>
            <w:vMerge w:val="restart"/>
            <w:tcBorders>
              <w:top w:val="nil"/>
              <w:left w:val="single" w:sz="4" w:space="0" w:color="auto"/>
              <w:bottom w:val="single" w:sz="4" w:space="0" w:color="000000"/>
              <w:right w:val="single" w:sz="4" w:space="0" w:color="auto"/>
            </w:tcBorders>
            <w:shd w:val="clear" w:color="auto" w:fill="auto"/>
            <w:vAlign w:val="center"/>
            <w:hideMark/>
          </w:tcPr>
          <w:p w14:paraId="42F1294B" w14:textId="77777777" w:rsidR="000B7A67" w:rsidRPr="00971A5C" w:rsidRDefault="000B7A67" w:rsidP="00F400D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Primer Circuito Judicial Zona Sur</w:t>
            </w:r>
          </w:p>
        </w:tc>
        <w:tc>
          <w:tcPr>
            <w:tcW w:w="1805" w:type="dxa"/>
            <w:vMerge w:val="restart"/>
            <w:tcBorders>
              <w:top w:val="nil"/>
              <w:left w:val="single" w:sz="4" w:space="0" w:color="auto"/>
              <w:bottom w:val="single" w:sz="4" w:space="0" w:color="000000"/>
              <w:right w:val="single" w:sz="4" w:space="0" w:color="auto"/>
            </w:tcBorders>
            <w:shd w:val="clear" w:color="auto" w:fill="auto"/>
            <w:vAlign w:val="center"/>
            <w:hideMark/>
          </w:tcPr>
          <w:p w14:paraId="38C9F5A4" w14:textId="77777777" w:rsidR="000B7A67" w:rsidRPr="00971A5C" w:rsidRDefault="000B7A67" w:rsidP="00F400D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 xml:space="preserve">0284 </w:t>
            </w:r>
            <w:r>
              <w:rPr>
                <w:rFonts w:ascii="Book Antiqua" w:eastAsia="Times New Roman" w:hAnsi="Book Antiqua" w:cs="Calibri"/>
                <w:color w:val="000000"/>
                <w:sz w:val="18"/>
                <w:szCs w:val="18"/>
                <w:lang w:eastAsia="es-CR"/>
              </w:rPr>
              <w:t>A</w:t>
            </w:r>
            <w:r w:rsidRPr="00971A5C">
              <w:rPr>
                <w:rFonts w:ascii="Book Antiqua" w:eastAsia="Times New Roman" w:hAnsi="Book Antiqua" w:cs="Calibri"/>
                <w:color w:val="000000"/>
                <w:sz w:val="18"/>
                <w:szCs w:val="18"/>
                <w:lang w:eastAsia="es-CR"/>
              </w:rPr>
              <w:t xml:space="preserve">dministración </w:t>
            </w:r>
            <w:r>
              <w:rPr>
                <w:rFonts w:ascii="Book Antiqua" w:eastAsia="Times New Roman" w:hAnsi="Book Antiqua" w:cs="Calibri"/>
                <w:color w:val="000000"/>
                <w:sz w:val="18"/>
                <w:szCs w:val="18"/>
                <w:lang w:eastAsia="es-CR"/>
              </w:rPr>
              <w:t>R</w:t>
            </w:r>
            <w:r w:rsidRPr="00971A5C">
              <w:rPr>
                <w:rFonts w:ascii="Book Antiqua" w:eastAsia="Times New Roman" w:hAnsi="Book Antiqua" w:cs="Calibri"/>
                <w:color w:val="000000"/>
                <w:sz w:val="18"/>
                <w:szCs w:val="18"/>
                <w:lang w:eastAsia="es-CR"/>
              </w:rPr>
              <w:t xml:space="preserve">egional de </w:t>
            </w:r>
            <w:r>
              <w:rPr>
                <w:rFonts w:ascii="Book Antiqua" w:eastAsia="Times New Roman" w:hAnsi="Book Antiqua" w:cs="Calibri"/>
                <w:color w:val="000000"/>
                <w:sz w:val="18"/>
                <w:szCs w:val="18"/>
                <w:lang w:eastAsia="es-CR"/>
              </w:rPr>
              <w:t>P</w:t>
            </w:r>
            <w:r w:rsidRPr="00971A5C">
              <w:rPr>
                <w:rFonts w:ascii="Book Antiqua" w:eastAsia="Times New Roman" w:hAnsi="Book Antiqua" w:cs="Calibri"/>
                <w:color w:val="000000"/>
                <w:sz w:val="18"/>
                <w:szCs w:val="18"/>
                <w:lang w:eastAsia="es-CR"/>
              </w:rPr>
              <w:t xml:space="preserve">erez </w:t>
            </w:r>
            <w:r>
              <w:rPr>
                <w:rFonts w:ascii="Book Antiqua" w:eastAsia="Times New Roman" w:hAnsi="Book Antiqua" w:cs="Calibri"/>
                <w:color w:val="000000"/>
                <w:sz w:val="18"/>
                <w:szCs w:val="18"/>
                <w:lang w:eastAsia="es-CR"/>
              </w:rPr>
              <w:t>Z</w:t>
            </w:r>
            <w:r w:rsidRPr="00971A5C">
              <w:rPr>
                <w:rFonts w:ascii="Book Antiqua" w:eastAsia="Times New Roman" w:hAnsi="Book Antiqua" w:cs="Calibri"/>
                <w:color w:val="000000"/>
                <w:sz w:val="18"/>
                <w:szCs w:val="18"/>
                <w:lang w:eastAsia="es-CR"/>
              </w:rPr>
              <w:t>eledón</w:t>
            </w:r>
          </w:p>
        </w:tc>
        <w:tc>
          <w:tcPr>
            <w:tcW w:w="978" w:type="dxa"/>
            <w:tcBorders>
              <w:top w:val="nil"/>
              <w:left w:val="nil"/>
              <w:bottom w:val="single" w:sz="4" w:space="0" w:color="auto"/>
              <w:right w:val="single" w:sz="4" w:space="0" w:color="auto"/>
            </w:tcBorders>
            <w:shd w:val="clear" w:color="auto" w:fill="auto"/>
            <w:vAlign w:val="center"/>
            <w:hideMark/>
          </w:tcPr>
          <w:p w14:paraId="36E174C9" w14:textId="77777777" w:rsidR="000B7A67" w:rsidRPr="00971A5C" w:rsidRDefault="000B7A67" w:rsidP="00F400D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0117-DE-P76</w:t>
            </w:r>
          </w:p>
        </w:tc>
        <w:tc>
          <w:tcPr>
            <w:tcW w:w="2693" w:type="dxa"/>
            <w:tcBorders>
              <w:top w:val="nil"/>
              <w:left w:val="nil"/>
              <w:bottom w:val="single" w:sz="4" w:space="0" w:color="auto"/>
              <w:right w:val="single" w:sz="4" w:space="0" w:color="auto"/>
            </w:tcBorders>
            <w:shd w:val="clear" w:color="auto" w:fill="auto"/>
            <w:vAlign w:val="center"/>
            <w:hideMark/>
          </w:tcPr>
          <w:p w14:paraId="024A258E" w14:textId="77777777" w:rsidR="000B7A67" w:rsidRPr="00971A5C" w:rsidRDefault="000B7A67" w:rsidP="00F400D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Sustitución completa del sistema Hídrico y tuberías del edificio de los tribunales de justicia de Pérez Zeledón</w:t>
            </w:r>
          </w:p>
        </w:tc>
        <w:tc>
          <w:tcPr>
            <w:tcW w:w="1134" w:type="dxa"/>
            <w:tcBorders>
              <w:top w:val="nil"/>
              <w:left w:val="nil"/>
              <w:bottom w:val="single" w:sz="4" w:space="0" w:color="auto"/>
              <w:right w:val="single" w:sz="4" w:space="0" w:color="auto"/>
            </w:tcBorders>
            <w:shd w:val="clear" w:color="auto" w:fill="auto"/>
            <w:vAlign w:val="center"/>
            <w:hideMark/>
          </w:tcPr>
          <w:p w14:paraId="718F6697" w14:textId="77777777" w:rsidR="000B7A67" w:rsidRPr="00971A5C" w:rsidRDefault="000B7A67" w:rsidP="00F400D6">
            <w:pPr>
              <w:spacing w:after="0" w:line="240" w:lineRule="auto"/>
              <w:jc w:val="center"/>
              <w:rPr>
                <w:rFonts w:ascii="Book Antiqua" w:eastAsia="Times New Roman" w:hAnsi="Book Antiqua" w:cs="Calibri"/>
                <w:sz w:val="18"/>
                <w:szCs w:val="18"/>
                <w:lang w:eastAsia="es-CR"/>
              </w:rPr>
            </w:pPr>
            <w:r w:rsidRPr="00971A5C">
              <w:rPr>
                <w:rFonts w:ascii="Book Antiqua" w:eastAsia="Times New Roman" w:hAnsi="Book Antiqua" w:cs="Calibri"/>
                <w:sz w:val="18"/>
                <w:szCs w:val="18"/>
                <w:lang w:eastAsia="es-CR"/>
              </w:rPr>
              <w:t>1.28</w:t>
            </w:r>
          </w:p>
        </w:tc>
        <w:tc>
          <w:tcPr>
            <w:tcW w:w="2126" w:type="dxa"/>
            <w:tcBorders>
              <w:top w:val="nil"/>
              <w:left w:val="nil"/>
              <w:bottom w:val="single" w:sz="4" w:space="0" w:color="auto"/>
              <w:right w:val="single" w:sz="4" w:space="0" w:color="auto"/>
            </w:tcBorders>
            <w:shd w:val="clear" w:color="auto" w:fill="auto"/>
            <w:vAlign w:val="center"/>
            <w:hideMark/>
          </w:tcPr>
          <w:p w14:paraId="255F9CEE" w14:textId="77777777" w:rsidR="000B7A67" w:rsidRPr="00971A5C" w:rsidRDefault="000B7A67" w:rsidP="00572206">
            <w:pPr>
              <w:spacing w:after="0" w:line="240" w:lineRule="auto"/>
              <w:jc w:val="both"/>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Pendiente de presentar Estudio de factibilidad, Plan de Gestión y acta de constitución.</w:t>
            </w:r>
          </w:p>
        </w:tc>
      </w:tr>
      <w:tr w:rsidR="007E6FC1" w:rsidRPr="00971A5C" w14:paraId="5E0BD0BF" w14:textId="77777777" w:rsidTr="00572206">
        <w:trPr>
          <w:trHeight w:val="699"/>
        </w:trPr>
        <w:tc>
          <w:tcPr>
            <w:tcW w:w="1471" w:type="dxa"/>
            <w:vMerge/>
            <w:tcBorders>
              <w:top w:val="nil"/>
              <w:left w:val="single" w:sz="4" w:space="0" w:color="auto"/>
              <w:bottom w:val="single" w:sz="4" w:space="0" w:color="000000"/>
              <w:right w:val="single" w:sz="4" w:space="0" w:color="auto"/>
            </w:tcBorders>
            <w:vAlign w:val="center"/>
            <w:hideMark/>
          </w:tcPr>
          <w:p w14:paraId="7E467167" w14:textId="77777777" w:rsidR="000B7A67" w:rsidRPr="00971A5C" w:rsidRDefault="000B7A67" w:rsidP="00F400D6">
            <w:pPr>
              <w:spacing w:after="0" w:line="240" w:lineRule="auto"/>
              <w:rPr>
                <w:rFonts w:ascii="Book Antiqua" w:eastAsia="Times New Roman" w:hAnsi="Book Antiqua" w:cs="Calibri"/>
                <w:color w:val="000000"/>
                <w:sz w:val="18"/>
                <w:szCs w:val="18"/>
                <w:lang w:eastAsia="es-CR"/>
              </w:rPr>
            </w:pPr>
          </w:p>
        </w:tc>
        <w:tc>
          <w:tcPr>
            <w:tcW w:w="1805" w:type="dxa"/>
            <w:vMerge/>
            <w:tcBorders>
              <w:top w:val="nil"/>
              <w:left w:val="single" w:sz="4" w:space="0" w:color="auto"/>
              <w:bottom w:val="single" w:sz="4" w:space="0" w:color="000000"/>
              <w:right w:val="single" w:sz="4" w:space="0" w:color="auto"/>
            </w:tcBorders>
            <w:vAlign w:val="center"/>
            <w:hideMark/>
          </w:tcPr>
          <w:p w14:paraId="6F798A41" w14:textId="77777777" w:rsidR="000B7A67" w:rsidRPr="00971A5C" w:rsidRDefault="000B7A67" w:rsidP="00F400D6">
            <w:pPr>
              <w:spacing w:after="0" w:line="240" w:lineRule="auto"/>
              <w:rPr>
                <w:rFonts w:ascii="Book Antiqua" w:eastAsia="Times New Roman" w:hAnsi="Book Antiqua" w:cs="Calibri"/>
                <w:color w:val="000000"/>
                <w:sz w:val="18"/>
                <w:szCs w:val="18"/>
                <w:lang w:eastAsia="es-CR"/>
              </w:rPr>
            </w:pPr>
          </w:p>
        </w:tc>
        <w:tc>
          <w:tcPr>
            <w:tcW w:w="978" w:type="dxa"/>
            <w:tcBorders>
              <w:top w:val="nil"/>
              <w:left w:val="nil"/>
              <w:bottom w:val="single" w:sz="4" w:space="0" w:color="auto"/>
              <w:right w:val="single" w:sz="4" w:space="0" w:color="auto"/>
            </w:tcBorders>
            <w:shd w:val="clear" w:color="auto" w:fill="auto"/>
            <w:vAlign w:val="center"/>
            <w:hideMark/>
          </w:tcPr>
          <w:p w14:paraId="24B9D9F9" w14:textId="77777777" w:rsidR="000B7A67" w:rsidRPr="00971A5C" w:rsidRDefault="000B7A67" w:rsidP="00F400D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0117-DE-P75</w:t>
            </w:r>
          </w:p>
        </w:tc>
        <w:tc>
          <w:tcPr>
            <w:tcW w:w="2693" w:type="dxa"/>
            <w:tcBorders>
              <w:top w:val="nil"/>
              <w:left w:val="nil"/>
              <w:bottom w:val="single" w:sz="4" w:space="0" w:color="auto"/>
              <w:right w:val="single" w:sz="4" w:space="0" w:color="auto"/>
            </w:tcBorders>
            <w:shd w:val="clear" w:color="auto" w:fill="auto"/>
            <w:vAlign w:val="center"/>
            <w:hideMark/>
          </w:tcPr>
          <w:p w14:paraId="08EBF0C3" w14:textId="77777777" w:rsidR="000B7A67" w:rsidRPr="00971A5C" w:rsidRDefault="000B7A67" w:rsidP="00F400D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II Etapa Salida de emergencia del Edificio de Tribunales de Justicia de Pérez Zeledón</w:t>
            </w:r>
          </w:p>
        </w:tc>
        <w:tc>
          <w:tcPr>
            <w:tcW w:w="1134" w:type="dxa"/>
            <w:tcBorders>
              <w:top w:val="nil"/>
              <w:left w:val="nil"/>
              <w:bottom w:val="single" w:sz="4" w:space="0" w:color="auto"/>
              <w:right w:val="single" w:sz="4" w:space="0" w:color="auto"/>
            </w:tcBorders>
            <w:shd w:val="clear" w:color="auto" w:fill="auto"/>
            <w:vAlign w:val="center"/>
            <w:hideMark/>
          </w:tcPr>
          <w:p w14:paraId="5E80315E" w14:textId="77777777" w:rsidR="000B7A67" w:rsidRPr="00971A5C" w:rsidRDefault="000B7A67" w:rsidP="00F400D6">
            <w:pPr>
              <w:spacing w:after="0" w:line="240" w:lineRule="auto"/>
              <w:jc w:val="center"/>
              <w:rPr>
                <w:rFonts w:ascii="Book Antiqua" w:eastAsia="Times New Roman" w:hAnsi="Book Antiqua" w:cs="Calibri"/>
                <w:sz w:val="18"/>
                <w:szCs w:val="18"/>
                <w:lang w:eastAsia="es-CR"/>
              </w:rPr>
            </w:pPr>
            <w:r w:rsidRPr="00971A5C">
              <w:rPr>
                <w:rFonts w:ascii="Book Antiqua" w:eastAsia="Times New Roman" w:hAnsi="Book Antiqua" w:cs="Calibri"/>
                <w:sz w:val="18"/>
                <w:szCs w:val="18"/>
                <w:lang w:eastAsia="es-CR"/>
              </w:rPr>
              <w:t>1.28</w:t>
            </w:r>
          </w:p>
        </w:tc>
        <w:tc>
          <w:tcPr>
            <w:tcW w:w="2126" w:type="dxa"/>
            <w:tcBorders>
              <w:top w:val="nil"/>
              <w:left w:val="nil"/>
              <w:bottom w:val="single" w:sz="4" w:space="0" w:color="auto"/>
              <w:right w:val="single" w:sz="4" w:space="0" w:color="auto"/>
            </w:tcBorders>
            <w:shd w:val="clear" w:color="auto" w:fill="auto"/>
            <w:vAlign w:val="center"/>
            <w:hideMark/>
          </w:tcPr>
          <w:p w14:paraId="76F2DCC1" w14:textId="77777777" w:rsidR="000B7A67" w:rsidRPr="00971A5C" w:rsidRDefault="000B7A67" w:rsidP="00572206">
            <w:pPr>
              <w:spacing w:after="0" w:line="240" w:lineRule="auto"/>
              <w:jc w:val="both"/>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Pendiente de presentar Estudio de factibilidad, Plan de Gestión y acta de constitución.</w:t>
            </w:r>
          </w:p>
        </w:tc>
      </w:tr>
    </w:tbl>
    <w:p w14:paraId="06541A50" w14:textId="4275AB2E" w:rsidR="000B7A67" w:rsidRDefault="000B7A67" w:rsidP="00953FA3">
      <w:pPr>
        <w:spacing w:after="0"/>
        <w:jc w:val="right"/>
        <w:rPr>
          <w:rFonts w:ascii="Book Antiqua" w:hAnsi="Book Antiqua"/>
        </w:rPr>
      </w:pPr>
      <w:r>
        <w:rPr>
          <w:rFonts w:ascii="Book Antiqua" w:hAnsi="Book Antiqua"/>
        </w:rPr>
        <w:t xml:space="preserve"> “</w:t>
      </w:r>
      <w:r w:rsidR="00953FA3">
        <w:rPr>
          <w:rFonts w:ascii="Book Antiqua" w:hAnsi="Book Antiqua"/>
        </w:rPr>
        <w:t>.</w:t>
      </w:r>
    </w:p>
    <w:p w14:paraId="63822A41" w14:textId="77777777" w:rsidR="000B7A67" w:rsidRDefault="000B7A67" w:rsidP="000B7A67">
      <w:pPr>
        <w:spacing w:after="0"/>
        <w:jc w:val="both"/>
        <w:rPr>
          <w:rFonts w:ascii="Book Antiqua" w:hAnsi="Book Antiqua"/>
        </w:rPr>
      </w:pPr>
    </w:p>
    <w:p w14:paraId="139BEC7D" w14:textId="77777777" w:rsidR="000B7A67" w:rsidRDefault="000B7A67" w:rsidP="000B7A67">
      <w:pPr>
        <w:spacing w:after="0"/>
        <w:jc w:val="both"/>
        <w:rPr>
          <w:rFonts w:ascii="Book Antiqua" w:hAnsi="Book Antiqua"/>
          <w:sz w:val="24"/>
          <w:szCs w:val="24"/>
        </w:rPr>
      </w:pPr>
      <w:r>
        <w:rPr>
          <w:rFonts w:ascii="Book Antiqua" w:hAnsi="Book Antiqua"/>
          <w:sz w:val="24"/>
          <w:szCs w:val="24"/>
        </w:rPr>
        <w:t>Con la finalidad de dar seguimiento a esta recomendación, se remite correo a la oficina mediante el oficio 1819</w:t>
      </w:r>
      <w:r w:rsidRPr="004C19A1">
        <w:rPr>
          <w:rFonts w:ascii="Book Antiqua" w:hAnsi="Book Antiqua"/>
          <w:sz w:val="24"/>
          <w:szCs w:val="24"/>
        </w:rPr>
        <w:t>-PLA-PP-TR-2023</w:t>
      </w:r>
      <w:r>
        <w:rPr>
          <w:rFonts w:ascii="Book Antiqua" w:hAnsi="Book Antiqua"/>
          <w:sz w:val="24"/>
          <w:szCs w:val="24"/>
        </w:rPr>
        <w:t>. Además,</w:t>
      </w:r>
      <w:r w:rsidRPr="00FA687A">
        <w:rPr>
          <w:rFonts w:ascii="Book Antiqua" w:hAnsi="Book Antiqua"/>
          <w:sz w:val="24"/>
          <w:szCs w:val="24"/>
        </w:rPr>
        <w:t xml:space="preserve"> se procedió a revisar en </w:t>
      </w:r>
      <w:r>
        <w:rPr>
          <w:rFonts w:ascii="Book Antiqua" w:hAnsi="Book Antiqua"/>
          <w:sz w:val="24"/>
          <w:szCs w:val="24"/>
        </w:rPr>
        <w:t>el</w:t>
      </w:r>
      <w:r w:rsidRPr="00FA687A">
        <w:rPr>
          <w:rFonts w:ascii="Book Antiqua" w:hAnsi="Book Antiqua"/>
          <w:sz w:val="24"/>
          <w:szCs w:val="24"/>
        </w:rPr>
        <w:t xml:space="preserve"> centro de proyectos</w:t>
      </w:r>
      <w:r>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estas recomendaciones;</w:t>
      </w:r>
      <w:r w:rsidRPr="00414C02">
        <w:rPr>
          <w:rFonts w:ascii="Book Antiqua" w:hAnsi="Book Antiqua"/>
          <w:sz w:val="24"/>
          <w:szCs w:val="24"/>
        </w:rPr>
        <w:t xml:space="preserve"> </w:t>
      </w:r>
      <w:r>
        <w:rPr>
          <w:rFonts w:ascii="Book Antiqua" w:hAnsi="Book Antiqua"/>
          <w:sz w:val="24"/>
          <w:szCs w:val="24"/>
        </w:rPr>
        <w:t>no obstante, se identifica que ambos proyectos continúan con las mismas recomendaciones pendientes de atender, las cuales se reiteran a continuación:</w:t>
      </w:r>
    </w:p>
    <w:p w14:paraId="5FCC27F6" w14:textId="77777777" w:rsidR="000B7A67" w:rsidRDefault="000B7A67" w:rsidP="000B7A67">
      <w:pPr>
        <w:spacing w:after="0"/>
        <w:jc w:val="both"/>
        <w:rPr>
          <w:rFonts w:ascii="Book Antiqua" w:hAnsi="Book Antiqua"/>
          <w:sz w:val="24"/>
          <w:szCs w:val="24"/>
        </w:rPr>
      </w:pPr>
    </w:p>
    <w:p w14:paraId="3625FD2E" w14:textId="495D17A8" w:rsidR="000B7A67" w:rsidRDefault="000B7A67" w:rsidP="000B7A67">
      <w:pPr>
        <w:pStyle w:val="Descripcin"/>
        <w:keepNext/>
        <w:spacing w:after="0"/>
        <w:jc w:val="center"/>
        <w:rPr>
          <w:rFonts w:ascii="Book Antiqua" w:hAnsi="Book Antiqua" w:cs="&amp;quot"/>
          <w:b/>
          <w:i w:val="0"/>
          <w:iCs w:val="0"/>
          <w:color w:val="auto"/>
          <w:sz w:val="24"/>
          <w:szCs w:val="24"/>
        </w:rPr>
      </w:pPr>
      <w:bookmarkStart w:id="55" w:name="_Toc131155936"/>
      <w:r w:rsidRPr="00A562C7">
        <w:rPr>
          <w:rFonts w:ascii="Book Antiqua" w:hAnsi="Book Antiqua" w:cs="&amp;quot"/>
          <w:b/>
          <w:i w:val="0"/>
          <w:iCs w:val="0"/>
          <w:color w:val="auto"/>
          <w:sz w:val="24"/>
          <w:szCs w:val="24"/>
        </w:rPr>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sidR="00844144">
        <w:rPr>
          <w:rFonts w:ascii="Book Antiqua" w:hAnsi="Book Antiqua" w:cs="&amp;quot"/>
          <w:b/>
          <w:i w:val="0"/>
          <w:iCs w:val="0"/>
          <w:noProof/>
          <w:color w:val="auto"/>
          <w:sz w:val="24"/>
          <w:szCs w:val="24"/>
        </w:rPr>
        <w:t>12</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Pr>
          <w:rFonts w:ascii="Book Antiqua" w:hAnsi="Book Antiqua" w:cs="&amp;quot"/>
          <w:b/>
          <w:i w:val="0"/>
          <w:iCs w:val="0"/>
          <w:color w:val="auto"/>
          <w:sz w:val="24"/>
          <w:szCs w:val="24"/>
        </w:rPr>
        <w:t xml:space="preserve"> los</w:t>
      </w:r>
      <w:r w:rsidRPr="00143168">
        <w:rPr>
          <w:rFonts w:ascii="Book Antiqua" w:hAnsi="Book Antiqua" w:cs="&amp;quot"/>
          <w:b/>
          <w:i w:val="0"/>
          <w:iCs w:val="0"/>
          <w:color w:val="auto"/>
          <w:sz w:val="24"/>
          <w:szCs w:val="24"/>
        </w:rPr>
        <w:t xml:space="preserve"> proyecto</w:t>
      </w:r>
      <w:r>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que tiene pendiente</w:t>
      </w:r>
      <w:r>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de </w:t>
      </w:r>
      <w:r>
        <w:rPr>
          <w:rFonts w:ascii="Book Antiqua" w:hAnsi="Book Antiqua" w:cs="&amp;quot"/>
          <w:b/>
          <w:i w:val="0"/>
          <w:iCs w:val="0"/>
          <w:color w:val="auto"/>
          <w:sz w:val="24"/>
          <w:szCs w:val="24"/>
        </w:rPr>
        <w:t>atender recomendaciones del Primer Circuito Judicial Zona Sur</w:t>
      </w:r>
      <w:bookmarkEnd w:id="55"/>
    </w:p>
    <w:tbl>
      <w:tblPr>
        <w:tblW w:w="10349" w:type="dxa"/>
        <w:tblInd w:w="-431" w:type="dxa"/>
        <w:tblCellMar>
          <w:left w:w="70" w:type="dxa"/>
          <w:right w:w="70" w:type="dxa"/>
        </w:tblCellMar>
        <w:tblLook w:val="04A0" w:firstRow="1" w:lastRow="0" w:firstColumn="1" w:lastColumn="0" w:noHBand="0" w:noVBand="1"/>
      </w:tblPr>
      <w:tblGrid>
        <w:gridCol w:w="1471"/>
        <w:gridCol w:w="1805"/>
        <w:gridCol w:w="978"/>
        <w:gridCol w:w="2693"/>
        <w:gridCol w:w="1134"/>
        <w:gridCol w:w="2268"/>
      </w:tblGrid>
      <w:tr w:rsidR="00BC00B3" w:rsidRPr="00971A5C" w14:paraId="21654313" w14:textId="77777777" w:rsidTr="00572206">
        <w:trPr>
          <w:trHeight w:val="300"/>
          <w:tblHeader/>
        </w:trPr>
        <w:tc>
          <w:tcPr>
            <w:tcW w:w="1471"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6A6EAE5E" w14:textId="77777777" w:rsidR="000B7A67" w:rsidRPr="00971A5C" w:rsidRDefault="000B7A67" w:rsidP="00F400D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 xml:space="preserve">Centro de responsabilidad </w:t>
            </w:r>
          </w:p>
        </w:tc>
        <w:tc>
          <w:tcPr>
            <w:tcW w:w="1805" w:type="dxa"/>
            <w:tcBorders>
              <w:top w:val="single" w:sz="4" w:space="0" w:color="auto"/>
              <w:left w:val="nil"/>
              <w:bottom w:val="single" w:sz="4" w:space="0" w:color="auto"/>
              <w:right w:val="single" w:sz="4" w:space="0" w:color="auto"/>
            </w:tcBorders>
            <w:shd w:val="clear" w:color="000000" w:fill="44546A"/>
            <w:vAlign w:val="center"/>
            <w:hideMark/>
          </w:tcPr>
          <w:p w14:paraId="33243220" w14:textId="77777777" w:rsidR="000B7A67" w:rsidRPr="00971A5C" w:rsidRDefault="000B7A67" w:rsidP="00F400D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Oficina Líder</w:t>
            </w:r>
          </w:p>
        </w:tc>
        <w:tc>
          <w:tcPr>
            <w:tcW w:w="978" w:type="dxa"/>
            <w:tcBorders>
              <w:top w:val="single" w:sz="4" w:space="0" w:color="auto"/>
              <w:left w:val="nil"/>
              <w:bottom w:val="single" w:sz="4" w:space="0" w:color="auto"/>
              <w:right w:val="single" w:sz="4" w:space="0" w:color="auto"/>
            </w:tcBorders>
            <w:shd w:val="clear" w:color="000000" w:fill="44546A"/>
            <w:vAlign w:val="center"/>
            <w:hideMark/>
          </w:tcPr>
          <w:p w14:paraId="0EA3D7A2" w14:textId="77777777" w:rsidR="000B7A67" w:rsidRPr="00971A5C" w:rsidRDefault="000B7A67" w:rsidP="00F400D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Código</w:t>
            </w:r>
          </w:p>
        </w:tc>
        <w:tc>
          <w:tcPr>
            <w:tcW w:w="2693" w:type="dxa"/>
            <w:tcBorders>
              <w:top w:val="single" w:sz="4" w:space="0" w:color="auto"/>
              <w:left w:val="nil"/>
              <w:bottom w:val="single" w:sz="4" w:space="0" w:color="auto"/>
              <w:right w:val="single" w:sz="4" w:space="0" w:color="auto"/>
            </w:tcBorders>
            <w:shd w:val="clear" w:color="000000" w:fill="44546A"/>
            <w:vAlign w:val="center"/>
            <w:hideMark/>
          </w:tcPr>
          <w:p w14:paraId="3E942BCE" w14:textId="77777777" w:rsidR="000B7A67" w:rsidRPr="00971A5C" w:rsidRDefault="000B7A67" w:rsidP="00F400D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Nombre</w:t>
            </w:r>
          </w:p>
        </w:tc>
        <w:tc>
          <w:tcPr>
            <w:tcW w:w="1134" w:type="dxa"/>
            <w:tcBorders>
              <w:top w:val="single" w:sz="4" w:space="0" w:color="auto"/>
              <w:left w:val="nil"/>
              <w:bottom w:val="single" w:sz="4" w:space="0" w:color="auto"/>
              <w:right w:val="single" w:sz="4" w:space="0" w:color="auto"/>
            </w:tcBorders>
            <w:shd w:val="clear" w:color="000000" w:fill="44546A"/>
            <w:vAlign w:val="center"/>
            <w:hideMark/>
          </w:tcPr>
          <w:p w14:paraId="55616264" w14:textId="77777777" w:rsidR="000B7A67" w:rsidRPr="00971A5C" w:rsidRDefault="000B7A67" w:rsidP="00F400D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Parte pendiente</w:t>
            </w:r>
          </w:p>
        </w:tc>
        <w:tc>
          <w:tcPr>
            <w:tcW w:w="2268" w:type="dxa"/>
            <w:tcBorders>
              <w:top w:val="single" w:sz="4" w:space="0" w:color="auto"/>
              <w:left w:val="nil"/>
              <w:bottom w:val="single" w:sz="4" w:space="0" w:color="auto"/>
              <w:right w:val="single" w:sz="4" w:space="0" w:color="auto"/>
            </w:tcBorders>
            <w:shd w:val="clear" w:color="000000" w:fill="44546A"/>
            <w:vAlign w:val="center"/>
            <w:hideMark/>
          </w:tcPr>
          <w:p w14:paraId="14086707" w14:textId="77777777" w:rsidR="000B7A67" w:rsidRPr="00971A5C" w:rsidRDefault="000B7A67" w:rsidP="00F400D6">
            <w:pPr>
              <w:spacing w:after="0" w:line="240" w:lineRule="auto"/>
              <w:jc w:val="center"/>
              <w:rPr>
                <w:rFonts w:ascii="Book Antiqua" w:eastAsia="Times New Roman" w:hAnsi="Book Antiqua" w:cs="Calibri"/>
                <w:b/>
                <w:bCs/>
                <w:color w:val="FFFFFF"/>
                <w:sz w:val="18"/>
                <w:szCs w:val="18"/>
                <w:lang w:eastAsia="es-CR"/>
              </w:rPr>
            </w:pPr>
            <w:r w:rsidRPr="00971A5C">
              <w:rPr>
                <w:rFonts w:ascii="Book Antiqua" w:eastAsia="Times New Roman" w:hAnsi="Book Antiqua" w:cs="Calibri"/>
                <w:b/>
                <w:bCs/>
                <w:color w:val="FFFFFF"/>
                <w:sz w:val="18"/>
                <w:szCs w:val="18"/>
                <w:lang w:eastAsia="es-CR"/>
              </w:rPr>
              <w:t xml:space="preserve">Detalle </w:t>
            </w:r>
          </w:p>
        </w:tc>
      </w:tr>
      <w:tr w:rsidR="007E6FC1" w:rsidRPr="00971A5C" w14:paraId="3DAB1422" w14:textId="77777777" w:rsidTr="00572206">
        <w:trPr>
          <w:trHeight w:val="913"/>
        </w:trPr>
        <w:tc>
          <w:tcPr>
            <w:tcW w:w="1471" w:type="dxa"/>
            <w:vMerge w:val="restart"/>
            <w:tcBorders>
              <w:top w:val="nil"/>
              <w:left w:val="single" w:sz="4" w:space="0" w:color="auto"/>
              <w:bottom w:val="single" w:sz="4" w:space="0" w:color="000000"/>
              <w:right w:val="single" w:sz="4" w:space="0" w:color="auto"/>
            </w:tcBorders>
            <w:shd w:val="clear" w:color="auto" w:fill="auto"/>
            <w:vAlign w:val="center"/>
            <w:hideMark/>
          </w:tcPr>
          <w:p w14:paraId="44CAE6FA" w14:textId="77777777" w:rsidR="000B7A67" w:rsidRPr="00971A5C" w:rsidRDefault="000B7A67" w:rsidP="00F400D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Primer Circuito Judicial Zona Sur</w:t>
            </w:r>
          </w:p>
        </w:tc>
        <w:tc>
          <w:tcPr>
            <w:tcW w:w="1805" w:type="dxa"/>
            <w:vMerge w:val="restart"/>
            <w:tcBorders>
              <w:top w:val="nil"/>
              <w:left w:val="single" w:sz="4" w:space="0" w:color="auto"/>
              <w:bottom w:val="single" w:sz="4" w:space="0" w:color="000000"/>
              <w:right w:val="single" w:sz="4" w:space="0" w:color="auto"/>
            </w:tcBorders>
            <w:shd w:val="clear" w:color="auto" w:fill="auto"/>
            <w:vAlign w:val="center"/>
            <w:hideMark/>
          </w:tcPr>
          <w:p w14:paraId="370BCBB4" w14:textId="77777777" w:rsidR="000B7A67" w:rsidRPr="00971A5C" w:rsidRDefault="000B7A67" w:rsidP="00F400D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 xml:space="preserve">0284 </w:t>
            </w:r>
            <w:r>
              <w:rPr>
                <w:rFonts w:ascii="Book Antiqua" w:eastAsia="Times New Roman" w:hAnsi="Book Antiqua" w:cs="Calibri"/>
                <w:color w:val="000000"/>
                <w:sz w:val="18"/>
                <w:szCs w:val="18"/>
                <w:lang w:eastAsia="es-CR"/>
              </w:rPr>
              <w:t>A</w:t>
            </w:r>
            <w:r w:rsidRPr="00971A5C">
              <w:rPr>
                <w:rFonts w:ascii="Book Antiqua" w:eastAsia="Times New Roman" w:hAnsi="Book Antiqua" w:cs="Calibri"/>
                <w:color w:val="000000"/>
                <w:sz w:val="18"/>
                <w:szCs w:val="18"/>
                <w:lang w:eastAsia="es-CR"/>
              </w:rPr>
              <w:t xml:space="preserve">dministración </w:t>
            </w:r>
            <w:r>
              <w:rPr>
                <w:rFonts w:ascii="Book Antiqua" w:eastAsia="Times New Roman" w:hAnsi="Book Antiqua" w:cs="Calibri"/>
                <w:color w:val="000000"/>
                <w:sz w:val="18"/>
                <w:szCs w:val="18"/>
                <w:lang w:eastAsia="es-CR"/>
              </w:rPr>
              <w:t>R</w:t>
            </w:r>
            <w:r w:rsidRPr="00971A5C">
              <w:rPr>
                <w:rFonts w:ascii="Book Antiqua" w:eastAsia="Times New Roman" w:hAnsi="Book Antiqua" w:cs="Calibri"/>
                <w:color w:val="000000"/>
                <w:sz w:val="18"/>
                <w:szCs w:val="18"/>
                <w:lang w:eastAsia="es-CR"/>
              </w:rPr>
              <w:t xml:space="preserve">egional de </w:t>
            </w:r>
            <w:r>
              <w:rPr>
                <w:rFonts w:ascii="Book Antiqua" w:eastAsia="Times New Roman" w:hAnsi="Book Antiqua" w:cs="Calibri"/>
                <w:color w:val="000000"/>
                <w:sz w:val="18"/>
                <w:szCs w:val="18"/>
                <w:lang w:eastAsia="es-CR"/>
              </w:rPr>
              <w:t>P</w:t>
            </w:r>
            <w:r w:rsidRPr="00971A5C">
              <w:rPr>
                <w:rFonts w:ascii="Book Antiqua" w:eastAsia="Times New Roman" w:hAnsi="Book Antiqua" w:cs="Calibri"/>
                <w:color w:val="000000"/>
                <w:sz w:val="18"/>
                <w:szCs w:val="18"/>
                <w:lang w:eastAsia="es-CR"/>
              </w:rPr>
              <w:t xml:space="preserve">erez </w:t>
            </w:r>
            <w:r>
              <w:rPr>
                <w:rFonts w:ascii="Book Antiqua" w:eastAsia="Times New Roman" w:hAnsi="Book Antiqua" w:cs="Calibri"/>
                <w:color w:val="000000"/>
                <w:sz w:val="18"/>
                <w:szCs w:val="18"/>
                <w:lang w:eastAsia="es-CR"/>
              </w:rPr>
              <w:t>Z</w:t>
            </w:r>
            <w:r w:rsidRPr="00971A5C">
              <w:rPr>
                <w:rFonts w:ascii="Book Antiqua" w:eastAsia="Times New Roman" w:hAnsi="Book Antiqua" w:cs="Calibri"/>
                <w:color w:val="000000"/>
                <w:sz w:val="18"/>
                <w:szCs w:val="18"/>
                <w:lang w:eastAsia="es-CR"/>
              </w:rPr>
              <w:t>eledón</w:t>
            </w:r>
          </w:p>
        </w:tc>
        <w:tc>
          <w:tcPr>
            <w:tcW w:w="978" w:type="dxa"/>
            <w:tcBorders>
              <w:top w:val="nil"/>
              <w:left w:val="nil"/>
              <w:bottom w:val="single" w:sz="4" w:space="0" w:color="auto"/>
              <w:right w:val="single" w:sz="4" w:space="0" w:color="auto"/>
            </w:tcBorders>
            <w:shd w:val="clear" w:color="auto" w:fill="auto"/>
            <w:vAlign w:val="center"/>
            <w:hideMark/>
          </w:tcPr>
          <w:p w14:paraId="5A928BC9" w14:textId="77777777" w:rsidR="000B7A67" w:rsidRPr="00971A5C" w:rsidRDefault="000B7A67" w:rsidP="00F400D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0117-DE-P76</w:t>
            </w:r>
          </w:p>
        </w:tc>
        <w:tc>
          <w:tcPr>
            <w:tcW w:w="2693" w:type="dxa"/>
            <w:tcBorders>
              <w:top w:val="nil"/>
              <w:left w:val="nil"/>
              <w:bottom w:val="single" w:sz="4" w:space="0" w:color="auto"/>
              <w:right w:val="single" w:sz="4" w:space="0" w:color="auto"/>
            </w:tcBorders>
            <w:shd w:val="clear" w:color="auto" w:fill="auto"/>
            <w:vAlign w:val="center"/>
            <w:hideMark/>
          </w:tcPr>
          <w:p w14:paraId="43097E3A" w14:textId="77777777" w:rsidR="000B7A67" w:rsidRPr="00971A5C" w:rsidRDefault="000B7A67" w:rsidP="00F400D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Sustitución completa del sistema Hídrico y tuberías del edificio de los tribunales de justicia de Pérez Zeledón</w:t>
            </w:r>
          </w:p>
        </w:tc>
        <w:tc>
          <w:tcPr>
            <w:tcW w:w="1134" w:type="dxa"/>
            <w:tcBorders>
              <w:top w:val="nil"/>
              <w:left w:val="nil"/>
              <w:bottom w:val="single" w:sz="4" w:space="0" w:color="auto"/>
              <w:right w:val="single" w:sz="4" w:space="0" w:color="auto"/>
            </w:tcBorders>
            <w:shd w:val="clear" w:color="auto" w:fill="auto"/>
            <w:vAlign w:val="center"/>
            <w:hideMark/>
          </w:tcPr>
          <w:p w14:paraId="5E3C5999" w14:textId="77777777" w:rsidR="000B7A67" w:rsidRPr="00971A5C" w:rsidRDefault="000B7A67" w:rsidP="00F400D6">
            <w:pPr>
              <w:spacing w:after="0" w:line="240" w:lineRule="auto"/>
              <w:jc w:val="center"/>
              <w:rPr>
                <w:rFonts w:ascii="Book Antiqua" w:eastAsia="Times New Roman" w:hAnsi="Book Antiqua" w:cs="Calibri"/>
                <w:sz w:val="18"/>
                <w:szCs w:val="18"/>
                <w:lang w:eastAsia="es-CR"/>
              </w:rPr>
            </w:pPr>
            <w:r w:rsidRPr="00971A5C">
              <w:rPr>
                <w:rFonts w:ascii="Book Antiqua" w:eastAsia="Times New Roman" w:hAnsi="Book Antiqua" w:cs="Calibri"/>
                <w:sz w:val="18"/>
                <w:szCs w:val="18"/>
                <w:lang w:eastAsia="es-CR"/>
              </w:rPr>
              <w:t>1.28</w:t>
            </w:r>
          </w:p>
        </w:tc>
        <w:tc>
          <w:tcPr>
            <w:tcW w:w="2268" w:type="dxa"/>
            <w:tcBorders>
              <w:top w:val="nil"/>
              <w:left w:val="nil"/>
              <w:bottom w:val="single" w:sz="4" w:space="0" w:color="auto"/>
              <w:right w:val="single" w:sz="4" w:space="0" w:color="auto"/>
            </w:tcBorders>
            <w:shd w:val="clear" w:color="auto" w:fill="auto"/>
            <w:vAlign w:val="center"/>
            <w:hideMark/>
          </w:tcPr>
          <w:p w14:paraId="4C463D50" w14:textId="77777777" w:rsidR="000B7A67" w:rsidRPr="00971A5C" w:rsidRDefault="000B7A67" w:rsidP="008B5BD4">
            <w:pPr>
              <w:spacing w:after="0" w:line="240" w:lineRule="auto"/>
              <w:jc w:val="both"/>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Pendiente de presentar Estudio de factibilidad, Plan de Gestión y acta de constitución.</w:t>
            </w:r>
          </w:p>
        </w:tc>
      </w:tr>
      <w:tr w:rsidR="007E6FC1" w:rsidRPr="00971A5C" w14:paraId="4AF7D5AB" w14:textId="77777777" w:rsidTr="00572206">
        <w:trPr>
          <w:trHeight w:val="699"/>
        </w:trPr>
        <w:tc>
          <w:tcPr>
            <w:tcW w:w="1471" w:type="dxa"/>
            <w:vMerge/>
            <w:tcBorders>
              <w:top w:val="nil"/>
              <w:left w:val="single" w:sz="4" w:space="0" w:color="auto"/>
              <w:bottom w:val="single" w:sz="4" w:space="0" w:color="000000"/>
              <w:right w:val="single" w:sz="4" w:space="0" w:color="auto"/>
            </w:tcBorders>
            <w:vAlign w:val="center"/>
            <w:hideMark/>
          </w:tcPr>
          <w:p w14:paraId="67302FAB" w14:textId="77777777" w:rsidR="000B7A67" w:rsidRPr="00971A5C" w:rsidRDefault="000B7A67" w:rsidP="00F400D6">
            <w:pPr>
              <w:spacing w:after="0" w:line="240" w:lineRule="auto"/>
              <w:rPr>
                <w:rFonts w:ascii="Book Antiqua" w:eastAsia="Times New Roman" w:hAnsi="Book Antiqua" w:cs="Calibri"/>
                <w:color w:val="000000"/>
                <w:sz w:val="18"/>
                <w:szCs w:val="18"/>
                <w:lang w:eastAsia="es-CR"/>
              </w:rPr>
            </w:pPr>
          </w:p>
        </w:tc>
        <w:tc>
          <w:tcPr>
            <w:tcW w:w="1805" w:type="dxa"/>
            <w:vMerge/>
            <w:tcBorders>
              <w:top w:val="nil"/>
              <w:left w:val="single" w:sz="4" w:space="0" w:color="auto"/>
              <w:bottom w:val="single" w:sz="4" w:space="0" w:color="000000"/>
              <w:right w:val="single" w:sz="4" w:space="0" w:color="auto"/>
            </w:tcBorders>
            <w:vAlign w:val="center"/>
            <w:hideMark/>
          </w:tcPr>
          <w:p w14:paraId="3EA1B2B9" w14:textId="77777777" w:rsidR="000B7A67" w:rsidRPr="00971A5C" w:rsidRDefault="000B7A67" w:rsidP="00F400D6">
            <w:pPr>
              <w:spacing w:after="0" w:line="240" w:lineRule="auto"/>
              <w:rPr>
                <w:rFonts w:ascii="Book Antiqua" w:eastAsia="Times New Roman" w:hAnsi="Book Antiqua" w:cs="Calibri"/>
                <w:color w:val="000000"/>
                <w:sz w:val="18"/>
                <w:szCs w:val="18"/>
                <w:lang w:eastAsia="es-CR"/>
              </w:rPr>
            </w:pPr>
          </w:p>
        </w:tc>
        <w:tc>
          <w:tcPr>
            <w:tcW w:w="978" w:type="dxa"/>
            <w:tcBorders>
              <w:top w:val="nil"/>
              <w:left w:val="nil"/>
              <w:bottom w:val="single" w:sz="4" w:space="0" w:color="auto"/>
              <w:right w:val="single" w:sz="4" w:space="0" w:color="auto"/>
            </w:tcBorders>
            <w:shd w:val="clear" w:color="auto" w:fill="auto"/>
            <w:vAlign w:val="center"/>
            <w:hideMark/>
          </w:tcPr>
          <w:p w14:paraId="5C5249DB" w14:textId="77777777" w:rsidR="000B7A67" w:rsidRPr="00971A5C" w:rsidRDefault="000B7A67" w:rsidP="00F400D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0117-DE-P75</w:t>
            </w:r>
          </w:p>
        </w:tc>
        <w:tc>
          <w:tcPr>
            <w:tcW w:w="2693" w:type="dxa"/>
            <w:tcBorders>
              <w:top w:val="nil"/>
              <w:left w:val="nil"/>
              <w:bottom w:val="single" w:sz="4" w:space="0" w:color="auto"/>
              <w:right w:val="single" w:sz="4" w:space="0" w:color="auto"/>
            </w:tcBorders>
            <w:shd w:val="clear" w:color="auto" w:fill="auto"/>
            <w:vAlign w:val="center"/>
            <w:hideMark/>
          </w:tcPr>
          <w:p w14:paraId="5BE850EA" w14:textId="77777777" w:rsidR="000B7A67" w:rsidRPr="00971A5C" w:rsidRDefault="000B7A67" w:rsidP="00F400D6">
            <w:pPr>
              <w:spacing w:after="0" w:line="240" w:lineRule="auto"/>
              <w:jc w:val="center"/>
              <w:rPr>
                <w:rFonts w:ascii="Book Antiqua" w:eastAsia="Times New Roman" w:hAnsi="Book Antiqua" w:cs="Calibri"/>
                <w:color w:val="000000"/>
                <w:sz w:val="18"/>
                <w:szCs w:val="18"/>
                <w:lang w:eastAsia="es-CR"/>
              </w:rPr>
            </w:pPr>
            <w:r w:rsidRPr="00971A5C">
              <w:rPr>
                <w:rFonts w:ascii="Book Antiqua" w:eastAsia="Times New Roman" w:hAnsi="Book Antiqua" w:cs="Calibri"/>
                <w:color w:val="000000"/>
                <w:sz w:val="18"/>
                <w:szCs w:val="18"/>
                <w:lang w:eastAsia="es-CR"/>
              </w:rPr>
              <w:t>II Etapa Salida de emergencia del Edificio de Tribunales de Justicia de Pérez Zeledón</w:t>
            </w:r>
          </w:p>
        </w:tc>
        <w:tc>
          <w:tcPr>
            <w:tcW w:w="1134" w:type="dxa"/>
            <w:tcBorders>
              <w:top w:val="nil"/>
              <w:left w:val="nil"/>
              <w:bottom w:val="single" w:sz="4" w:space="0" w:color="auto"/>
              <w:right w:val="single" w:sz="4" w:space="0" w:color="auto"/>
            </w:tcBorders>
            <w:shd w:val="clear" w:color="auto" w:fill="auto"/>
            <w:vAlign w:val="center"/>
            <w:hideMark/>
          </w:tcPr>
          <w:p w14:paraId="7A751299" w14:textId="77777777" w:rsidR="000B7A67" w:rsidRPr="00971A5C" w:rsidRDefault="000B7A67" w:rsidP="00F400D6">
            <w:pPr>
              <w:spacing w:after="0" w:line="240" w:lineRule="auto"/>
              <w:jc w:val="center"/>
              <w:rPr>
                <w:rFonts w:ascii="Book Antiqua" w:eastAsia="Times New Roman" w:hAnsi="Book Antiqua" w:cs="Calibri"/>
                <w:sz w:val="18"/>
                <w:szCs w:val="18"/>
                <w:lang w:eastAsia="es-CR"/>
              </w:rPr>
            </w:pPr>
            <w:r w:rsidRPr="00971A5C">
              <w:rPr>
                <w:rFonts w:ascii="Book Antiqua" w:eastAsia="Times New Roman" w:hAnsi="Book Antiqua" w:cs="Calibri"/>
                <w:sz w:val="18"/>
                <w:szCs w:val="18"/>
                <w:lang w:eastAsia="es-CR"/>
              </w:rPr>
              <w:t>1.28</w:t>
            </w:r>
          </w:p>
        </w:tc>
        <w:tc>
          <w:tcPr>
            <w:tcW w:w="2268" w:type="dxa"/>
            <w:tcBorders>
              <w:top w:val="nil"/>
              <w:left w:val="nil"/>
              <w:bottom w:val="single" w:sz="4" w:space="0" w:color="auto"/>
              <w:right w:val="single" w:sz="4" w:space="0" w:color="auto"/>
            </w:tcBorders>
            <w:shd w:val="clear" w:color="auto" w:fill="auto"/>
            <w:vAlign w:val="center"/>
            <w:hideMark/>
          </w:tcPr>
          <w:p w14:paraId="78575F81" w14:textId="2F28E3C5" w:rsidR="000B7A67" w:rsidRPr="00971A5C" w:rsidRDefault="000B7A67" w:rsidP="008B5BD4">
            <w:pPr>
              <w:spacing w:after="0" w:line="240" w:lineRule="auto"/>
              <w:jc w:val="both"/>
              <w:rPr>
                <w:rFonts w:ascii="Book Antiqua" w:eastAsia="Times New Roman" w:hAnsi="Book Antiqua" w:cs="Calibri"/>
                <w:color w:val="000000"/>
                <w:sz w:val="18"/>
                <w:szCs w:val="18"/>
                <w:lang w:eastAsia="es-CR"/>
              </w:rPr>
            </w:pPr>
            <w:r w:rsidRPr="008B5BD4">
              <w:rPr>
                <w:rFonts w:ascii="Book Antiqua" w:eastAsia="Times New Roman" w:hAnsi="Book Antiqua" w:cs="Calibri"/>
                <w:color w:val="000000"/>
                <w:sz w:val="18"/>
                <w:szCs w:val="18"/>
                <w:lang w:eastAsia="es-CR"/>
              </w:rPr>
              <w:t>Pendiente de presentar Estudio de factibilidad, Plan de Gestión y acta de constitución</w:t>
            </w:r>
            <w:r w:rsidR="008B5BD4" w:rsidRPr="008B5BD4">
              <w:rPr>
                <w:rFonts w:ascii="Book Antiqua" w:eastAsia="Times New Roman" w:hAnsi="Book Antiqua" w:cs="Calibri"/>
                <w:color w:val="000000"/>
                <w:sz w:val="18"/>
                <w:szCs w:val="18"/>
                <w:lang w:eastAsia="es-CR"/>
              </w:rPr>
              <w:t xml:space="preserve"> (se subieron los documentos de manera extemporánea, los cuales están pendientes de revisar por parte de</w:t>
            </w:r>
            <w:r w:rsidR="008B5BD4">
              <w:rPr>
                <w:rFonts w:ascii="Book Antiqua" w:eastAsia="Times New Roman" w:hAnsi="Book Antiqua" w:cs="Calibri"/>
                <w:color w:val="000000"/>
                <w:sz w:val="18"/>
                <w:szCs w:val="18"/>
                <w:lang w:eastAsia="es-CR"/>
              </w:rPr>
              <w:t xml:space="preserve"> </w:t>
            </w:r>
            <w:r w:rsidR="008B5BD4" w:rsidRPr="008B5BD4">
              <w:rPr>
                <w:rFonts w:ascii="Book Antiqua" w:eastAsia="Times New Roman" w:hAnsi="Book Antiqua" w:cs="Calibri"/>
                <w:color w:val="000000"/>
                <w:sz w:val="18"/>
                <w:szCs w:val="18"/>
                <w:lang w:eastAsia="es-CR"/>
              </w:rPr>
              <w:t>la Unidad de Proyectos).</w:t>
            </w:r>
          </w:p>
        </w:tc>
      </w:tr>
    </w:tbl>
    <w:p w14:paraId="20CCDA10" w14:textId="77777777" w:rsidR="000B7A67" w:rsidRDefault="000B7A67" w:rsidP="000B7A67">
      <w:pPr>
        <w:spacing w:after="0"/>
        <w:jc w:val="both"/>
        <w:rPr>
          <w:rFonts w:ascii="Book Antiqua" w:hAnsi="Book Antiqua"/>
          <w:sz w:val="24"/>
          <w:szCs w:val="24"/>
        </w:rPr>
      </w:pPr>
    </w:p>
    <w:p w14:paraId="6DD66297" w14:textId="77777777" w:rsidR="000B7A67" w:rsidRDefault="000B7A67" w:rsidP="000B7A67">
      <w:pPr>
        <w:spacing w:after="0"/>
        <w:jc w:val="both"/>
        <w:rPr>
          <w:rFonts w:ascii="Book Antiqua" w:hAnsi="Book Antiqua"/>
          <w:b/>
          <w:sz w:val="24"/>
          <w:szCs w:val="24"/>
        </w:rPr>
      </w:pPr>
      <w:r>
        <w:rPr>
          <w:rFonts w:ascii="Book Antiqua" w:hAnsi="Book Antiqua"/>
          <w:sz w:val="24"/>
          <w:szCs w:val="24"/>
        </w:rPr>
        <w:lastRenderedPageBreak/>
        <w:t>El</w:t>
      </w:r>
      <w:r w:rsidRPr="003B26B6">
        <w:rPr>
          <w:rFonts w:ascii="Book Antiqua" w:hAnsi="Book Antiqua"/>
          <w:sz w:val="24"/>
          <w:szCs w:val="24"/>
        </w:rPr>
        <w:t xml:space="preserve"> proyect</w:t>
      </w:r>
      <w:r>
        <w:rPr>
          <w:rFonts w:ascii="Book Antiqua" w:hAnsi="Book Antiqua"/>
          <w:sz w:val="24"/>
          <w:szCs w:val="24"/>
        </w:rPr>
        <w:t>o</w:t>
      </w:r>
      <w:r w:rsidRPr="003B26B6">
        <w:rPr>
          <w:rFonts w:ascii="Book Antiqua" w:hAnsi="Book Antiqua"/>
          <w:sz w:val="24"/>
          <w:szCs w:val="24"/>
        </w:rPr>
        <w:t xml:space="preserve"> anterior</w:t>
      </w:r>
      <w:r>
        <w:rPr>
          <w:rFonts w:ascii="Book Antiqua" w:hAnsi="Book Antiqua"/>
          <w:sz w:val="24"/>
          <w:szCs w:val="24"/>
        </w:rPr>
        <w:t>,</w:t>
      </w:r>
      <w:r w:rsidRPr="009F6F37">
        <w:rPr>
          <w:rFonts w:ascii="Book Antiqua" w:hAnsi="Book Antiqua"/>
          <w:sz w:val="24"/>
          <w:szCs w:val="24"/>
        </w:rPr>
        <w:t xml:space="preserve"> </w:t>
      </w:r>
      <w:r w:rsidRPr="003B26B6">
        <w:rPr>
          <w:rFonts w:ascii="Book Antiqua" w:hAnsi="Book Antiqua"/>
          <w:sz w:val="24"/>
          <w:szCs w:val="24"/>
        </w:rPr>
        <w:t xml:space="preserve">tendrá al </w:t>
      </w:r>
      <w:r w:rsidRPr="00DB5676">
        <w:rPr>
          <w:rFonts w:ascii="Book Antiqua" w:hAnsi="Book Antiqua"/>
          <w:b/>
          <w:bCs/>
          <w:sz w:val="24"/>
          <w:szCs w:val="24"/>
        </w:rPr>
        <w:t>11 de agosto del 2023 para</w:t>
      </w:r>
      <w:r w:rsidRPr="003B26B6">
        <w:rPr>
          <w:rFonts w:ascii="Book Antiqua" w:hAnsi="Book Antiqua"/>
          <w:b/>
          <w:bCs/>
          <w:sz w:val="24"/>
          <w:szCs w:val="24"/>
        </w:rPr>
        <w:t xml:space="preserve"> </w:t>
      </w:r>
      <w:r>
        <w:rPr>
          <w:rFonts w:ascii="Book Antiqua" w:hAnsi="Book Antiqua"/>
          <w:b/>
          <w:bCs/>
          <w:sz w:val="24"/>
          <w:szCs w:val="24"/>
        </w:rPr>
        <w:t xml:space="preserve">atender las recomendaciones pendientes </w:t>
      </w:r>
      <w:r w:rsidRPr="003B26B6">
        <w:rPr>
          <w:rFonts w:ascii="Book Antiqua" w:hAnsi="Book Antiqua"/>
          <w:b/>
          <w:sz w:val="24"/>
          <w:szCs w:val="24"/>
        </w:rPr>
        <w:t xml:space="preserve">y notificar a la </w:t>
      </w:r>
      <w:r>
        <w:rPr>
          <w:rFonts w:ascii="Book Antiqua" w:hAnsi="Book Antiqua"/>
          <w:b/>
          <w:sz w:val="24"/>
          <w:szCs w:val="24"/>
        </w:rPr>
        <w:t xml:space="preserve">Unidad del Portafolio de Proyectos, </w:t>
      </w:r>
      <w:r w:rsidRPr="003B26B6">
        <w:rPr>
          <w:rFonts w:ascii="Book Antiqua" w:hAnsi="Book Antiqua"/>
          <w:b/>
          <w:sz w:val="24"/>
          <w:szCs w:val="24"/>
        </w:rPr>
        <w:t>Dirección de Planificación</w:t>
      </w:r>
      <w:r>
        <w:rPr>
          <w:rFonts w:ascii="Book Antiqua" w:hAnsi="Book Antiqua"/>
          <w:b/>
          <w:sz w:val="24"/>
          <w:szCs w:val="24"/>
        </w:rPr>
        <w:t>.</w:t>
      </w:r>
    </w:p>
    <w:p w14:paraId="54911F55" w14:textId="77777777" w:rsidR="000B7A67" w:rsidRDefault="000B7A67" w:rsidP="000B7A67">
      <w:pPr>
        <w:spacing w:after="0"/>
        <w:jc w:val="both"/>
        <w:rPr>
          <w:rFonts w:ascii="Book Antiqua" w:hAnsi="Book Antiqua"/>
        </w:rPr>
      </w:pPr>
    </w:p>
    <w:p w14:paraId="5E6BF00C" w14:textId="77777777" w:rsidR="000B7A67" w:rsidRPr="00EB037D" w:rsidRDefault="000B7A67" w:rsidP="000B7A67">
      <w:pPr>
        <w:pStyle w:val="Ttulo2"/>
        <w:numPr>
          <w:ilvl w:val="0"/>
          <w:numId w:val="3"/>
        </w:numPr>
        <w:tabs>
          <w:tab w:val="left" w:pos="851"/>
        </w:tabs>
        <w:spacing w:before="0"/>
        <w:jc w:val="both"/>
        <w:rPr>
          <w:rFonts w:ascii="Book Antiqua" w:eastAsia="Wingdings" w:hAnsi="Book Antiqua"/>
          <w:b/>
          <w:bCs/>
          <w:color w:val="auto"/>
          <w:lang w:eastAsia="ko-KR"/>
        </w:rPr>
      </w:pPr>
      <w:bookmarkStart w:id="56" w:name="_Toc138770841"/>
      <w:r w:rsidRPr="00EB037D">
        <w:rPr>
          <w:rFonts w:ascii="Book Antiqua" w:eastAsia="Wingdings" w:hAnsi="Book Antiqua"/>
          <w:b/>
          <w:bCs/>
          <w:color w:val="auto"/>
          <w:lang w:eastAsia="ko-KR"/>
        </w:rPr>
        <w:t xml:space="preserve">Recomendaciones dirigidas al </w:t>
      </w:r>
      <w:r w:rsidRPr="008B065B">
        <w:rPr>
          <w:rFonts w:ascii="Book Antiqua" w:eastAsia="Wingdings" w:hAnsi="Book Antiqua"/>
          <w:b/>
          <w:bCs/>
          <w:color w:val="auto"/>
          <w:lang w:eastAsia="ko-KR"/>
        </w:rPr>
        <w:t>Programa Justicia Restaurativa</w:t>
      </w:r>
      <w:bookmarkEnd w:id="56"/>
    </w:p>
    <w:p w14:paraId="6DE4D2F9" w14:textId="77777777" w:rsidR="000B7A67" w:rsidRDefault="000B7A67" w:rsidP="000B7A67">
      <w:pPr>
        <w:spacing w:after="0"/>
        <w:jc w:val="both"/>
        <w:rPr>
          <w:rFonts w:ascii="Book Antiqua" w:hAnsi="Book Antiqua"/>
        </w:rPr>
      </w:pPr>
    </w:p>
    <w:p w14:paraId="7E7E99C2" w14:textId="77777777" w:rsidR="000B7A67" w:rsidRDefault="000B7A67" w:rsidP="000B7A67">
      <w:pPr>
        <w:spacing w:after="0"/>
        <w:rPr>
          <w:rFonts w:ascii="Book Antiqua" w:hAnsi="Book Antiqua"/>
          <w:sz w:val="24"/>
          <w:szCs w:val="24"/>
        </w:rPr>
      </w:pPr>
      <w:r>
        <w:rPr>
          <w:rFonts w:ascii="Book Antiqua" w:hAnsi="Book Antiqua"/>
          <w:sz w:val="24"/>
          <w:szCs w:val="24"/>
        </w:rPr>
        <w:t xml:space="preserve">En el informe 277-PLA-PP-2023, se dirigió una recomendación al </w:t>
      </w:r>
      <w:r w:rsidRPr="008B065B">
        <w:rPr>
          <w:rFonts w:ascii="Book Antiqua" w:hAnsi="Book Antiqua"/>
          <w:b/>
          <w:bCs/>
          <w:sz w:val="24"/>
          <w:szCs w:val="24"/>
        </w:rPr>
        <w:t>Programa Justicia Restaurativa</w:t>
      </w:r>
      <w:r>
        <w:rPr>
          <w:rFonts w:ascii="Book Antiqua" w:eastAsia="Wingdings" w:hAnsi="Book Antiqua"/>
          <w:b/>
          <w:bCs/>
          <w:lang w:eastAsia="ko-KR"/>
        </w:rPr>
        <w:t>,</w:t>
      </w:r>
      <w:r>
        <w:rPr>
          <w:rFonts w:ascii="Book Antiqua" w:hAnsi="Book Antiqua"/>
          <w:sz w:val="24"/>
          <w:szCs w:val="24"/>
        </w:rPr>
        <w:t xml:space="preserve"> debido a que existía un proyecto con gestiones pendientes de atender o nuevas recomendaciones, por lo anterior se realiza el seguimiento a las siguientes recomendaciones:</w:t>
      </w:r>
    </w:p>
    <w:p w14:paraId="59DD98B1" w14:textId="77777777" w:rsidR="000B7A67" w:rsidRDefault="000B7A67" w:rsidP="000B7A67">
      <w:pPr>
        <w:spacing w:after="0"/>
        <w:jc w:val="both"/>
        <w:rPr>
          <w:lang w:eastAsia="ko-KR"/>
        </w:rPr>
      </w:pPr>
    </w:p>
    <w:p w14:paraId="2537A9D3" w14:textId="77777777" w:rsidR="000B7A67" w:rsidRDefault="000B7A67" w:rsidP="000B7A67">
      <w:pPr>
        <w:jc w:val="both"/>
        <w:rPr>
          <w:rFonts w:ascii="Book Antiqua" w:hAnsi="Book Antiqua"/>
          <w:i/>
          <w:iCs/>
          <w:sz w:val="24"/>
          <w:szCs w:val="24"/>
        </w:rPr>
      </w:pPr>
      <w:r w:rsidRPr="005C1ADA">
        <w:rPr>
          <w:rFonts w:ascii="Book Antiqua" w:hAnsi="Book Antiqua"/>
          <w:i/>
          <w:iCs/>
          <w:sz w:val="24"/>
          <w:szCs w:val="24"/>
        </w:rPr>
        <w:t>“</w:t>
      </w:r>
      <w:r w:rsidRPr="00F81F06">
        <w:rPr>
          <w:rFonts w:ascii="Book Antiqua" w:hAnsi="Book Antiqua"/>
          <w:b/>
          <w:bCs/>
          <w:i/>
          <w:iCs/>
          <w:sz w:val="24"/>
          <w:szCs w:val="24"/>
        </w:rPr>
        <w:t>2.10)</w:t>
      </w:r>
      <w:r>
        <w:rPr>
          <w:rFonts w:ascii="Book Antiqua" w:hAnsi="Book Antiqua"/>
          <w:i/>
          <w:iCs/>
          <w:sz w:val="24"/>
          <w:szCs w:val="24"/>
        </w:rPr>
        <w:t xml:space="preserve"> El Centro de Conciliación del Poder Judicial, las Comisiones de  la Jurisdicción Agrario y Agroambiental, de Acceso a la Justicia, la Defensa Pública, el Departamento de Prensa y Comunicación Organizacional, el Programa Justicia Restaurativa, así como las Administraciones Regionales del Segundo Circuito Judicial de Alajuela, Tercer Circuito Judicial Alajuela, de la Ciudad Judicial de San Joaquín de Flores, de Puntarenas, del Primer Circuito Judicial Guanacaste y Primer Circuito Judicial de la Zona Sur, deberán a más tardar el 28 de abril del 2023, cargar en el sitio de proyecto la atención de las recomendaciones que se describen en la tabla correspondiente expuesta en el presente informe.</w:t>
      </w:r>
    </w:p>
    <w:tbl>
      <w:tblPr>
        <w:tblW w:w="10207" w:type="dxa"/>
        <w:tblInd w:w="-431" w:type="dxa"/>
        <w:tblCellMar>
          <w:left w:w="70" w:type="dxa"/>
          <w:right w:w="70" w:type="dxa"/>
        </w:tblCellMar>
        <w:tblLook w:val="04A0" w:firstRow="1" w:lastRow="0" w:firstColumn="1" w:lastColumn="0" w:noHBand="0" w:noVBand="1"/>
      </w:tblPr>
      <w:tblGrid>
        <w:gridCol w:w="1471"/>
        <w:gridCol w:w="1365"/>
        <w:gridCol w:w="993"/>
        <w:gridCol w:w="2551"/>
        <w:gridCol w:w="1276"/>
        <w:gridCol w:w="2551"/>
      </w:tblGrid>
      <w:tr w:rsidR="00BC00B3" w:rsidRPr="00270375" w14:paraId="17EBEE08" w14:textId="77777777" w:rsidTr="001F5BD2">
        <w:trPr>
          <w:trHeight w:val="300"/>
        </w:trPr>
        <w:tc>
          <w:tcPr>
            <w:tcW w:w="1471"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637AD03A"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Pr>
                <w:rFonts w:ascii="Book Antiqua" w:hAnsi="Book Antiqua"/>
              </w:rPr>
              <w:t xml:space="preserve"> </w:t>
            </w:r>
            <w:r w:rsidRPr="00270375">
              <w:rPr>
                <w:rFonts w:ascii="Book Antiqua" w:eastAsia="Times New Roman" w:hAnsi="Book Antiqua" w:cs="Calibri"/>
                <w:b/>
                <w:bCs/>
                <w:color w:val="FFFFFF"/>
                <w:sz w:val="18"/>
                <w:szCs w:val="18"/>
                <w:lang w:eastAsia="es-CR"/>
              </w:rPr>
              <w:t xml:space="preserve">Centro de responsabilidad </w:t>
            </w:r>
          </w:p>
        </w:tc>
        <w:tc>
          <w:tcPr>
            <w:tcW w:w="1365" w:type="dxa"/>
            <w:tcBorders>
              <w:top w:val="single" w:sz="4" w:space="0" w:color="auto"/>
              <w:left w:val="nil"/>
              <w:bottom w:val="single" w:sz="4" w:space="0" w:color="auto"/>
              <w:right w:val="single" w:sz="4" w:space="0" w:color="auto"/>
            </w:tcBorders>
            <w:shd w:val="clear" w:color="000000" w:fill="44546A"/>
            <w:vAlign w:val="center"/>
            <w:hideMark/>
          </w:tcPr>
          <w:p w14:paraId="79933355"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Oficina Líder</w:t>
            </w:r>
          </w:p>
        </w:tc>
        <w:tc>
          <w:tcPr>
            <w:tcW w:w="993" w:type="dxa"/>
            <w:tcBorders>
              <w:top w:val="single" w:sz="4" w:space="0" w:color="auto"/>
              <w:left w:val="nil"/>
              <w:bottom w:val="single" w:sz="4" w:space="0" w:color="auto"/>
              <w:right w:val="single" w:sz="4" w:space="0" w:color="auto"/>
            </w:tcBorders>
            <w:shd w:val="clear" w:color="000000" w:fill="44546A"/>
            <w:vAlign w:val="center"/>
            <w:hideMark/>
          </w:tcPr>
          <w:p w14:paraId="1F254429"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Código</w:t>
            </w:r>
          </w:p>
        </w:tc>
        <w:tc>
          <w:tcPr>
            <w:tcW w:w="2551" w:type="dxa"/>
            <w:tcBorders>
              <w:top w:val="single" w:sz="4" w:space="0" w:color="auto"/>
              <w:left w:val="nil"/>
              <w:bottom w:val="single" w:sz="4" w:space="0" w:color="auto"/>
              <w:right w:val="single" w:sz="4" w:space="0" w:color="auto"/>
            </w:tcBorders>
            <w:shd w:val="clear" w:color="000000" w:fill="44546A"/>
            <w:vAlign w:val="center"/>
            <w:hideMark/>
          </w:tcPr>
          <w:p w14:paraId="73B48B2B"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Nombre</w:t>
            </w:r>
          </w:p>
        </w:tc>
        <w:tc>
          <w:tcPr>
            <w:tcW w:w="1276" w:type="dxa"/>
            <w:tcBorders>
              <w:top w:val="single" w:sz="4" w:space="0" w:color="auto"/>
              <w:left w:val="nil"/>
              <w:bottom w:val="single" w:sz="4" w:space="0" w:color="auto"/>
              <w:right w:val="single" w:sz="4" w:space="0" w:color="auto"/>
            </w:tcBorders>
            <w:shd w:val="clear" w:color="000000" w:fill="44546A"/>
            <w:vAlign w:val="center"/>
            <w:hideMark/>
          </w:tcPr>
          <w:p w14:paraId="704BEC40"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Parte pendiente</w:t>
            </w:r>
          </w:p>
        </w:tc>
        <w:tc>
          <w:tcPr>
            <w:tcW w:w="2551" w:type="dxa"/>
            <w:tcBorders>
              <w:top w:val="single" w:sz="4" w:space="0" w:color="auto"/>
              <w:left w:val="nil"/>
              <w:bottom w:val="single" w:sz="4" w:space="0" w:color="auto"/>
              <w:right w:val="single" w:sz="4" w:space="0" w:color="auto"/>
            </w:tcBorders>
            <w:shd w:val="clear" w:color="000000" w:fill="44546A"/>
            <w:vAlign w:val="center"/>
            <w:hideMark/>
          </w:tcPr>
          <w:p w14:paraId="2BB3485D"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 xml:space="preserve">Detalle </w:t>
            </w:r>
          </w:p>
        </w:tc>
      </w:tr>
      <w:tr w:rsidR="007E6FC1" w:rsidRPr="00270375" w14:paraId="7CEAF338" w14:textId="77777777" w:rsidTr="001F5BD2">
        <w:trPr>
          <w:trHeight w:val="600"/>
        </w:trPr>
        <w:tc>
          <w:tcPr>
            <w:tcW w:w="1471" w:type="dxa"/>
            <w:vMerge w:val="restart"/>
            <w:tcBorders>
              <w:top w:val="nil"/>
              <w:left w:val="single" w:sz="4" w:space="0" w:color="auto"/>
              <w:bottom w:val="single" w:sz="4" w:space="0" w:color="000000"/>
              <w:right w:val="single" w:sz="4" w:space="0" w:color="auto"/>
            </w:tcBorders>
            <w:shd w:val="clear" w:color="auto" w:fill="auto"/>
            <w:vAlign w:val="center"/>
            <w:hideMark/>
          </w:tcPr>
          <w:p w14:paraId="51175F01"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Programa Justicia Restaurativa</w:t>
            </w:r>
          </w:p>
        </w:tc>
        <w:tc>
          <w:tcPr>
            <w:tcW w:w="1365" w:type="dxa"/>
            <w:vMerge w:val="restart"/>
            <w:tcBorders>
              <w:top w:val="nil"/>
              <w:left w:val="single" w:sz="4" w:space="0" w:color="auto"/>
              <w:bottom w:val="single" w:sz="4" w:space="0" w:color="000000"/>
              <w:right w:val="single" w:sz="4" w:space="0" w:color="auto"/>
            </w:tcBorders>
            <w:shd w:val="clear" w:color="auto" w:fill="auto"/>
            <w:vAlign w:val="center"/>
            <w:hideMark/>
          </w:tcPr>
          <w:p w14:paraId="08A488C0"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Times New Roman" w:eastAsia="Times New Roman" w:hAnsi="Times New Roman" w:cs="Times New Roman"/>
                <w:color w:val="000000"/>
                <w:sz w:val="18"/>
                <w:szCs w:val="18"/>
                <w:lang w:eastAsia="es-CR"/>
              </w:rPr>
              <w:t>​</w:t>
            </w:r>
            <w:r w:rsidRPr="00270375">
              <w:rPr>
                <w:rFonts w:ascii="Book Antiqua" w:eastAsia="Times New Roman" w:hAnsi="Book Antiqua" w:cs="Calibri"/>
                <w:color w:val="000000"/>
                <w:sz w:val="18"/>
                <w:szCs w:val="18"/>
                <w:lang w:eastAsia="es-CR"/>
              </w:rPr>
              <w:t>1377 Programa Justicia Restaurativa</w:t>
            </w:r>
          </w:p>
        </w:tc>
        <w:tc>
          <w:tcPr>
            <w:tcW w:w="993" w:type="dxa"/>
            <w:tcBorders>
              <w:top w:val="nil"/>
              <w:left w:val="nil"/>
              <w:bottom w:val="single" w:sz="4" w:space="0" w:color="auto"/>
              <w:right w:val="single" w:sz="4" w:space="0" w:color="auto"/>
            </w:tcBorders>
            <w:shd w:val="clear" w:color="auto" w:fill="auto"/>
            <w:vAlign w:val="center"/>
            <w:hideMark/>
          </w:tcPr>
          <w:p w14:paraId="2B1EE9FE"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1377-PJR-P06</w:t>
            </w:r>
          </w:p>
        </w:tc>
        <w:tc>
          <w:tcPr>
            <w:tcW w:w="2551" w:type="dxa"/>
            <w:tcBorders>
              <w:top w:val="nil"/>
              <w:left w:val="nil"/>
              <w:bottom w:val="single" w:sz="4" w:space="0" w:color="auto"/>
              <w:right w:val="single" w:sz="4" w:space="0" w:color="auto"/>
            </w:tcBorders>
            <w:shd w:val="clear" w:color="auto" w:fill="auto"/>
            <w:vAlign w:val="center"/>
            <w:hideMark/>
          </w:tcPr>
          <w:p w14:paraId="5C03909C"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Programa de Justicia Restaurativa para el Bienestar Integral del Personal Judicial</w:t>
            </w:r>
          </w:p>
        </w:tc>
        <w:tc>
          <w:tcPr>
            <w:tcW w:w="1276" w:type="dxa"/>
            <w:tcBorders>
              <w:top w:val="nil"/>
              <w:left w:val="nil"/>
              <w:bottom w:val="single" w:sz="4" w:space="0" w:color="auto"/>
              <w:right w:val="single" w:sz="4" w:space="0" w:color="auto"/>
            </w:tcBorders>
            <w:shd w:val="clear" w:color="auto" w:fill="auto"/>
            <w:vAlign w:val="center"/>
            <w:hideMark/>
          </w:tcPr>
          <w:p w14:paraId="0FCF9AA0" w14:textId="77777777" w:rsidR="000B7A67" w:rsidRPr="00270375" w:rsidRDefault="000B7A67" w:rsidP="00F400D6">
            <w:pPr>
              <w:spacing w:after="0" w:line="240" w:lineRule="auto"/>
              <w:jc w:val="center"/>
              <w:rPr>
                <w:rFonts w:ascii="Book Antiqua" w:eastAsia="Times New Roman" w:hAnsi="Book Antiqua" w:cs="Calibri"/>
                <w:sz w:val="18"/>
                <w:szCs w:val="18"/>
                <w:lang w:eastAsia="es-CR"/>
              </w:rPr>
            </w:pPr>
            <w:r w:rsidRPr="00270375">
              <w:rPr>
                <w:rFonts w:ascii="Book Antiqua" w:eastAsia="Times New Roman" w:hAnsi="Book Antiqua" w:cs="Calibri"/>
                <w:sz w:val="18"/>
                <w:szCs w:val="18"/>
                <w:lang w:eastAsia="es-CR"/>
              </w:rPr>
              <w:t>3.3</w:t>
            </w:r>
          </w:p>
        </w:tc>
        <w:tc>
          <w:tcPr>
            <w:tcW w:w="2551" w:type="dxa"/>
            <w:tcBorders>
              <w:top w:val="nil"/>
              <w:left w:val="nil"/>
              <w:bottom w:val="single" w:sz="4" w:space="0" w:color="auto"/>
              <w:right w:val="single" w:sz="4" w:space="0" w:color="auto"/>
            </w:tcBorders>
            <w:shd w:val="clear" w:color="auto" w:fill="auto"/>
            <w:vAlign w:val="center"/>
            <w:hideMark/>
          </w:tcPr>
          <w:p w14:paraId="2A6B9975" w14:textId="77777777" w:rsidR="000B7A67" w:rsidRPr="00270375" w:rsidRDefault="000B7A67" w:rsidP="00F400D6">
            <w:pPr>
              <w:spacing w:after="0" w:line="240" w:lineRule="auto"/>
              <w:jc w:val="center"/>
              <w:rPr>
                <w:rFonts w:ascii="Book Antiqua" w:eastAsia="Times New Roman" w:hAnsi="Book Antiqua" w:cs="Calibri"/>
                <w:sz w:val="18"/>
                <w:szCs w:val="18"/>
                <w:lang w:eastAsia="es-CR"/>
              </w:rPr>
            </w:pPr>
            <w:r w:rsidRPr="00270375">
              <w:rPr>
                <w:rFonts w:ascii="Book Antiqua" w:eastAsia="Times New Roman" w:hAnsi="Book Antiqua" w:cs="Calibri"/>
                <w:sz w:val="18"/>
                <w:szCs w:val="18"/>
                <w:lang w:eastAsia="es-CR"/>
              </w:rPr>
              <w:t>Pendiente de subir Estudio de factibilidad en el sitio de proyecto.</w:t>
            </w:r>
          </w:p>
        </w:tc>
      </w:tr>
      <w:tr w:rsidR="007E6FC1" w:rsidRPr="00270375" w14:paraId="0E311BFC" w14:textId="77777777" w:rsidTr="001F5BD2">
        <w:trPr>
          <w:trHeight w:val="477"/>
        </w:trPr>
        <w:tc>
          <w:tcPr>
            <w:tcW w:w="1471" w:type="dxa"/>
            <w:vMerge/>
            <w:tcBorders>
              <w:top w:val="nil"/>
              <w:left w:val="single" w:sz="4" w:space="0" w:color="auto"/>
              <w:bottom w:val="single" w:sz="4" w:space="0" w:color="000000"/>
              <w:right w:val="single" w:sz="4" w:space="0" w:color="auto"/>
            </w:tcBorders>
            <w:vAlign w:val="center"/>
            <w:hideMark/>
          </w:tcPr>
          <w:p w14:paraId="5C81A3C1" w14:textId="77777777" w:rsidR="000B7A67" w:rsidRPr="00270375" w:rsidRDefault="000B7A67" w:rsidP="00F400D6">
            <w:pPr>
              <w:spacing w:after="0" w:line="240" w:lineRule="auto"/>
              <w:rPr>
                <w:rFonts w:ascii="Book Antiqua" w:eastAsia="Times New Roman" w:hAnsi="Book Antiqua" w:cs="Calibri"/>
                <w:color w:val="000000"/>
                <w:sz w:val="18"/>
                <w:szCs w:val="18"/>
                <w:lang w:eastAsia="es-CR"/>
              </w:rPr>
            </w:pPr>
          </w:p>
        </w:tc>
        <w:tc>
          <w:tcPr>
            <w:tcW w:w="1365" w:type="dxa"/>
            <w:vMerge/>
            <w:tcBorders>
              <w:top w:val="nil"/>
              <w:left w:val="single" w:sz="4" w:space="0" w:color="auto"/>
              <w:bottom w:val="single" w:sz="4" w:space="0" w:color="000000"/>
              <w:right w:val="single" w:sz="4" w:space="0" w:color="auto"/>
            </w:tcBorders>
            <w:vAlign w:val="center"/>
            <w:hideMark/>
          </w:tcPr>
          <w:p w14:paraId="7473F90E" w14:textId="77777777" w:rsidR="000B7A67" w:rsidRPr="00270375" w:rsidRDefault="000B7A67" w:rsidP="00F400D6">
            <w:pPr>
              <w:spacing w:after="0" w:line="240" w:lineRule="auto"/>
              <w:rPr>
                <w:rFonts w:ascii="Book Antiqua" w:eastAsia="Times New Roman" w:hAnsi="Book Antiqua" w:cs="Calibri"/>
                <w:color w:val="000000"/>
                <w:sz w:val="18"/>
                <w:szCs w:val="18"/>
                <w:lang w:eastAsia="es-CR"/>
              </w:rPr>
            </w:pPr>
          </w:p>
        </w:tc>
        <w:tc>
          <w:tcPr>
            <w:tcW w:w="993" w:type="dxa"/>
            <w:tcBorders>
              <w:top w:val="nil"/>
              <w:left w:val="nil"/>
              <w:bottom w:val="single" w:sz="4" w:space="0" w:color="auto"/>
              <w:right w:val="single" w:sz="4" w:space="0" w:color="auto"/>
            </w:tcBorders>
            <w:shd w:val="clear" w:color="auto" w:fill="auto"/>
            <w:vAlign w:val="center"/>
            <w:hideMark/>
          </w:tcPr>
          <w:p w14:paraId="2026750A"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1377-PJR-P02</w:t>
            </w:r>
          </w:p>
        </w:tc>
        <w:tc>
          <w:tcPr>
            <w:tcW w:w="2551" w:type="dxa"/>
            <w:tcBorders>
              <w:top w:val="nil"/>
              <w:left w:val="nil"/>
              <w:bottom w:val="single" w:sz="4" w:space="0" w:color="auto"/>
              <w:right w:val="single" w:sz="4" w:space="0" w:color="auto"/>
            </w:tcBorders>
            <w:shd w:val="clear" w:color="auto" w:fill="auto"/>
            <w:vAlign w:val="center"/>
            <w:hideMark/>
          </w:tcPr>
          <w:p w14:paraId="7E64CA49"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Programa de Justicia Restaurativa para el bienestar del personal judicial</w:t>
            </w:r>
          </w:p>
        </w:tc>
        <w:tc>
          <w:tcPr>
            <w:tcW w:w="1276" w:type="dxa"/>
            <w:tcBorders>
              <w:top w:val="nil"/>
              <w:left w:val="nil"/>
              <w:bottom w:val="single" w:sz="4" w:space="0" w:color="auto"/>
              <w:right w:val="single" w:sz="4" w:space="0" w:color="auto"/>
            </w:tcBorders>
            <w:shd w:val="clear" w:color="auto" w:fill="auto"/>
            <w:vAlign w:val="center"/>
            <w:hideMark/>
          </w:tcPr>
          <w:p w14:paraId="7BB1418F"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2.4</w:t>
            </w:r>
          </w:p>
        </w:tc>
        <w:tc>
          <w:tcPr>
            <w:tcW w:w="2551" w:type="dxa"/>
            <w:tcBorders>
              <w:top w:val="nil"/>
              <w:left w:val="nil"/>
              <w:bottom w:val="single" w:sz="4" w:space="0" w:color="auto"/>
              <w:right w:val="single" w:sz="4" w:space="0" w:color="auto"/>
            </w:tcBorders>
            <w:shd w:val="clear" w:color="auto" w:fill="auto"/>
            <w:vAlign w:val="center"/>
            <w:hideMark/>
          </w:tcPr>
          <w:p w14:paraId="5A2D12A5"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Pendiente aprobación del informe de cierre por parte del patrocinador</w:t>
            </w:r>
          </w:p>
        </w:tc>
      </w:tr>
      <w:tr w:rsidR="007E6FC1" w:rsidRPr="00270375" w14:paraId="0EB020A9" w14:textId="77777777" w:rsidTr="001F5BD2">
        <w:trPr>
          <w:trHeight w:val="515"/>
        </w:trPr>
        <w:tc>
          <w:tcPr>
            <w:tcW w:w="1471" w:type="dxa"/>
            <w:vMerge/>
            <w:tcBorders>
              <w:top w:val="nil"/>
              <w:left w:val="single" w:sz="4" w:space="0" w:color="auto"/>
              <w:bottom w:val="single" w:sz="4" w:space="0" w:color="000000"/>
              <w:right w:val="single" w:sz="4" w:space="0" w:color="auto"/>
            </w:tcBorders>
            <w:vAlign w:val="center"/>
            <w:hideMark/>
          </w:tcPr>
          <w:p w14:paraId="0D0B566F" w14:textId="77777777" w:rsidR="000B7A67" w:rsidRPr="00270375" w:rsidRDefault="000B7A67" w:rsidP="00F400D6">
            <w:pPr>
              <w:spacing w:after="0" w:line="240" w:lineRule="auto"/>
              <w:rPr>
                <w:rFonts w:ascii="Book Antiqua" w:eastAsia="Times New Roman" w:hAnsi="Book Antiqua" w:cs="Calibri"/>
                <w:color w:val="000000"/>
                <w:sz w:val="18"/>
                <w:szCs w:val="18"/>
                <w:lang w:eastAsia="es-CR"/>
              </w:rPr>
            </w:pPr>
          </w:p>
        </w:tc>
        <w:tc>
          <w:tcPr>
            <w:tcW w:w="1365" w:type="dxa"/>
            <w:vMerge/>
            <w:tcBorders>
              <w:top w:val="nil"/>
              <w:left w:val="single" w:sz="4" w:space="0" w:color="auto"/>
              <w:bottom w:val="single" w:sz="4" w:space="0" w:color="000000"/>
              <w:right w:val="single" w:sz="4" w:space="0" w:color="auto"/>
            </w:tcBorders>
            <w:vAlign w:val="center"/>
            <w:hideMark/>
          </w:tcPr>
          <w:p w14:paraId="06FFA988" w14:textId="77777777" w:rsidR="000B7A67" w:rsidRPr="00270375" w:rsidRDefault="000B7A67" w:rsidP="00F400D6">
            <w:pPr>
              <w:spacing w:after="0" w:line="240" w:lineRule="auto"/>
              <w:rPr>
                <w:rFonts w:ascii="Book Antiqua" w:eastAsia="Times New Roman" w:hAnsi="Book Antiqua" w:cs="Calibri"/>
                <w:color w:val="000000"/>
                <w:sz w:val="18"/>
                <w:szCs w:val="18"/>
                <w:lang w:eastAsia="es-CR"/>
              </w:rPr>
            </w:pPr>
          </w:p>
        </w:tc>
        <w:tc>
          <w:tcPr>
            <w:tcW w:w="993" w:type="dxa"/>
            <w:tcBorders>
              <w:top w:val="nil"/>
              <w:left w:val="nil"/>
              <w:bottom w:val="single" w:sz="4" w:space="0" w:color="auto"/>
              <w:right w:val="single" w:sz="4" w:space="0" w:color="auto"/>
            </w:tcBorders>
            <w:shd w:val="clear" w:color="auto" w:fill="auto"/>
            <w:vAlign w:val="center"/>
            <w:hideMark/>
          </w:tcPr>
          <w:p w14:paraId="19178BA5"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1377-PJR-P03</w:t>
            </w:r>
          </w:p>
        </w:tc>
        <w:tc>
          <w:tcPr>
            <w:tcW w:w="2551" w:type="dxa"/>
            <w:tcBorders>
              <w:top w:val="nil"/>
              <w:left w:val="nil"/>
              <w:bottom w:val="single" w:sz="4" w:space="0" w:color="auto"/>
              <w:right w:val="single" w:sz="4" w:space="0" w:color="auto"/>
            </w:tcBorders>
            <w:shd w:val="clear" w:color="auto" w:fill="auto"/>
            <w:vAlign w:val="center"/>
            <w:hideMark/>
          </w:tcPr>
          <w:p w14:paraId="3754E620"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Proyecto de Cooperación Fortalecimiento de Penal Juvenil y Justicia Restaurativa</w:t>
            </w:r>
          </w:p>
        </w:tc>
        <w:tc>
          <w:tcPr>
            <w:tcW w:w="1276" w:type="dxa"/>
            <w:tcBorders>
              <w:top w:val="nil"/>
              <w:left w:val="nil"/>
              <w:bottom w:val="single" w:sz="4" w:space="0" w:color="auto"/>
              <w:right w:val="single" w:sz="4" w:space="0" w:color="auto"/>
            </w:tcBorders>
            <w:shd w:val="clear" w:color="auto" w:fill="auto"/>
            <w:vAlign w:val="center"/>
            <w:hideMark/>
          </w:tcPr>
          <w:p w14:paraId="4F0D2168"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2.4</w:t>
            </w:r>
          </w:p>
        </w:tc>
        <w:tc>
          <w:tcPr>
            <w:tcW w:w="2551" w:type="dxa"/>
            <w:tcBorders>
              <w:top w:val="nil"/>
              <w:left w:val="nil"/>
              <w:bottom w:val="single" w:sz="4" w:space="0" w:color="auto"/>
              <w:right w:val="single" w:sz="4" w:space="0" w:color="auto"/>
            </w:tcBorders>
            <w:shd w:val="clear" w:color="auto" w:fill="auto"/>
            <w:vAlign w:val="center"/>
            <w:hideMark/>
          </w:tcPr>
          <w:p w14:paraId="45C76D12"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Pendiente aprobación del informe de cierre por parte del patrocinador</w:t>
            </w:r>
          </w:p>
        </w:tc>
      </w:tr>
    </w:tbl>
    <w:p w14:paraId="15E1B40F" w14:textId="3734ED49" w:rsidR="000B7A67" w:rsidRDefault="000B7A67" w:rsidP="00953FA3">
      <w:pPr>
        <w:spacing w:after="0"/>
        <w:jc w:val="right"/>
        <w:rPr>
          <w:rFonts w:ascii="Book Antiqua" w:hAnsi="Book Antiqua"/>
        </w:rPr>
      </w:pPr>
      <w:r>
        <w:rPr>
          <w:rFonts w:ascii="Book Antiqua" w:hAnsi="Book Antiqua"/>
        </w:rPr>
        <w:t xml:space="preserve"> “</w:t>
      </w:r>
      <w:r w:rsidR="00953FA3">
        <w:rPr>
          <w:rFonts w:ascii="Book Antiqua" w:hAnsi="Book Antiqua"/>
        </w:rPr>
        <w:t>.</w:t>
      </w:r>
    </w:p>
    <w:p w14:paraId="0EC573ED" w14:textId="77777777" w:rsidR="000B7A67" w:rsidRDefault="000B7A67" w:rsidP="000B7A67">
      <w:pPr>
        <w:spacing w:after="0"/>
        <w:jc w:val="both"/>
        <w:rPr>
          <w:rFonts w:ascii="Book Antiqua" w:hAnsi="Book Antiqua"/>
        </w:rPr>
      </w:pPr>
    </w:p>
    <w:p w14:paraId="47FD01B8" w14:textId="77777777" w:rsidR="000B7A67" w:rsidRDefault="000B7A67" w:rsidP="000B7A67">
      <w:pPr>
        <w:spacing w:after="0"/>
        <w:jc w:val="both"/>
        <w:rPr>
          <w:rFonts w:ascii="Book Antiqua" w:hAnsi="Book Antiqua"/>
          <w:sz w:val="24"/>
          <w:szCs w:val="24"/>
        </w:rPr>
      </w:pPr>
      <w:r>
        <w:rPr>
          <w:rFonts w:ascii="Book Antiqua" w:hAnsi="Book Antiqua"/>
          <w:sz w:val="24"/>
          <w:szCs w:val="24"/>
        </w:rPr>
        <w:t>Con la finalidad de dar seguimiento a esta recomendación, se remite correo a la oficina mediante el oficio 1820</w:t>
      </w:r>
      <w:r w:rsidRPr="004C19A1">
        <w:rPr>
          <w:rFonts w:ascii="Book Antiqua" w:hAnsi="Book Antiqua"/>
          <w:sz w:val="24"/>
          <w:szCs w:val="24"/>
        </w:rPr>
        <w:t>-PLA-PP-TR-2023</w:t>
      </w:r>
      <w:r>
        <w:rPr>
          <w:rFonts w:ascii="Book Antiqua" w:hAnsi="Book Antiqua"/>
          <w:sz w:val="24"/>
          <w:szCs w:val="24"/>
        </w:rPr>
        <w:t>. Además,</w:t>
      </w:r>
      <w:r w:rsidRPr="00FA687A">
        <w:rPr>
          <w:rFonts w:ascii="Book Antiqua" w:hAnsi="Book Antiqua"/>
          <w:sz w:val="24"/>
          <w:szCs w:val="24"/>
        </w:rPr>
        <w:t xml:space="preserve"> se procedió a revisar en </w:t>
      </w:r>
      <w:r>
        <w:rPr>
          <w:rFonts w:ascii="Book Antiqua" w:hAnsi="Book Antiqua"/>
          <w:sz w:val="24"/>
          <w:szCs w:val="24"/>
        </w:rPr>
        <w:t>el</w:t>
      </w:r>
      <w:r w:rsidRPr="00FA687A">
        <w:rPr>
          <w:rFonts w:ascii="Book Antiqua" w:hAnsi="Book Antiqua"/>
          <w:sz w:val="24"/>
          <w:szCs w:val="24"/>
        </w:rPr>
        <w:t xml:space="preserve"> centro de proyectos</w:t>
      </w:r>
      <w:r>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estas recomendaciones</w:t>
      </w:r>
      <w:r>
        <w:rPr>
          <w:rFonts w:ascii="Book Antiqua" w:hAnsi="Book Antiqua"/>
          <w:sz w:val="24"/>
          <w:szCs w:val="24"/>
        </w:rPr>
        <w:t xml:space="preserve"> </w:t>
      </w:r>
      <w:r w:rsidRPr="00FA687A">
        <w:rPr>
          <w:rFonts w:ascii="Book Antiqua" w:hAnsi="Book Antiqua"/>
          <w:sz w:val="24"/>
          <w:szCs w:val="24"/>
        </w:rPr>
        <w:t>(</w:t>
      </w:r>
      <w:hyperlink r:id="rId31" w:history="1">
        <w:r w:rsidRPr="00B75689">
          <w:rPr>
            <w:rStyle w:val="Hipervnculo"/>
            <w:rFonts w:ascii="Book Antiqua" w:hAnsi="Book Antiqua"/>
            <w:sz w:val="24"/>
            <w:szCs w:val="24"/>
          </w:rPr>
          <w:t>Ver enlace:</w:t>
        </w:r>
        <w:r w:rsidRPr="00B75689">
          <w:rPr>
            <w:rStyle w:val="Hipervnculo"/>
          </w:rPr>
          <w:t xml:space="preserve"> </w:t>
        </w:r>
        <w:r w:rsidRPr="00B75689">
          <w:rPr>
            <w:rStyle w:val="Hipervnculo"/>
            <w:rFonts w:ascii="Book Antiqua" w:hAnsi="Book Antiqua"/>
            <w:sz w:val="24"/>
            <w:szCs w:val="24"/>
          </w:rPr>
          <w:t>Programa Justicia Restaurativa</w:t>
        </w:r>
      </w:hyperlink>
      <w:r w:rsidRPr="00FA687A">
        <w:rPr>
          <w:rFonts w:ascii="Book Antiqua" w:hAnsi="Book Antiqua"/>
          <w:sz w:val="24"/>
          <w:szCs w:val="24"/>
        </w:rPr>
        <w:t>);</w:t>
      </w:r>
      <w:r w:rsidRPr="00414C02">
        <w:rPr>
          <w:rFonts w:ascii="Book Antiqua" w:hAnsi="Book Antiqua"/>
          <w:sz w:val="24"/>
          <w:szCs w:val="24"/>
        </w:rPr>
        <w:t xml:space="preserve"> </w:t>
      </w:r>
      <w:r>
        <w:rPr>
          <w:rFonts w:ascii="Book Antiqua" w:hAnsi="Book Antiqua"/>
          <w:sz w:val="24"/>
          <w:szCs w:val="24"/>
        </w:rPr>
        <w:t>no obstante, se identifica que los proyectos continúan con las mismas recomendaciones pendientes de atender, las cuales se reiteran a continuación:</w:t>
      </w:r>
    </w:p>
    <w:p w14:paraId="5037D9A4" w14:textId="77777777" w:rsidR="000B7A67" w:rsidRDefault="000B7A67" w:rsidP="000B7A67">
      <w:pPr>
        <w:spacing w:after="0"/>
        <w:jc w:val="both"/>
        <w:rPr>
          <w:rFonts w:ascii="Book Antiqua" w:hAnsi="Book Antiqua"/>
          <w:sz w:val="24"/>
          <w:szCs w:val="24"/>
        </w:rPr>
      </w:pPr>
    </w:p>
    <w:p w14:paraId="09A554B4" w14:textId="070670D0" w:rsidR="000B7A67" w:rsidRDefault="000B7A67" w:rsidP="000B7A67">
      <w:pPr>
        <w:pStyle w:val="Descripcin"/>
        <w:keepNext/>
        <w:spacing w:after="0"/>
        <w:jc w:val="center"/>
        <w:rPr>
          <w:rFonts w:ascii="Book Antiqua" w:hAnsi="Book Antiqua" w:cs="&amp;quot"/>
          <w:b/>
          <w:i w:val="0"/>
          <w:iCs w:val="0"/>
          <w:color w:val="auto"/>
          <w:sz w:val="24"/>
          <w:szCs w:val="24"/>
        </w:rPr>
      </w:pPr>
      <w:r w:rsidRPr="00A562C7">
        <w:rPr>
          <w:rFonts w:ascii="Book Antiqua" w:hAnsi="Book Antiqua" w:cs="&amp;quot"/>
          <w:b/>
          <w:i w:val="0"/>
          <w:iCs w:val="0"/>
          <w:color w:val="auto"/>
          <w:sz w:val="24"/>
          <w:szCs w:val="24"/>
        </w:rPr>
        <w:lastRenderedPageBreak/>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sidR="00844144">
        <w:rPr>
          <w:rFonts w:ascii="Book Antiqua" w:hAnsi="Book Antiqua" w:cs="&amp;quot"/>
          <w:b/>
          <w:i w:val="0"/>
          <w:iCs w:val="0"/>
          <w:noProof/>
          <w:color w:val="auto"/>
          <w:sz w:val="24"/>
          <w:szCs w:val="24"/>
        </w:rPr>
        <w:t>13</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Pr>
          <w:rFonts w:ascii="Book Antiqua" w:hAnsi="Book Antiqua" w:cs="&amp;quot"/>
          <w:b/>
          <w:i w:val="0"/>
          <w:iCs w:val="0"/>
          <w:color w:val="auto"/>
          <w:sz w:val="24"/>
          <w:szCs w:val="24"/>
        </w:rPr>
        <w:t xml:space="preserve"> los</w:t>
      </w:r>
      <w:r w:rsidRPr="00143168">
        <w:rPr>
          <w:rFonts w:ascii="Book Antiqua" w:hAnsi="Book Antiqua" w:cs="&amp;quot"/>
          <w:b/>
          <w:i w:val="0"/>
          <w:iCs w:val="0"/>
          <w:color w:val="auto"/>
          <w:sz w:val="24"/>
          <w:szCs w:val="24"/>
        </w:rPr>
        <w:t xml:space="preserve"> proyecto</w:t>
      </w:r>
      <w:r>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que tiene pendiente</w:t>
      </w:r>
      <w:r>
        <w:rPr>
          <w:rFonts w:ascii="Book Antiqua" w:hAnsi="Book Antiqua" w:cs="&amp;quot"/>
          <w:b/>
          <w:i w:val="0"/>
          <w:iCs w:val="0"/>
          <w:color w:val="auto"/>
          <w:sz w:val="24"/>
          <w:szCs w:val="24"/>
        </w:rPr>
        <w:t>s</w:t>
      </w:r>
      <w:r w:rsidRPr="00143168">
        <w:rPr>
          <w:rFonts w:ascii="Book Antiqua" w:hAnsi="Book Antiqua" w:cs="&amp;quot"/>
          <w:b/>
          <w:i w:val="0"/>
          <w:iCs w:val="0"/>
          <w:color w:val="auto"/>
          <w:sz w:val="24"/>
          <w:szCs w:val="24"/>
        </w:rPr>
        <w:t xml:space="preserve"> de </w:t>
      </w:r>
      <w:r>
        <w:rPr>
          <w:rFonts w:ascii="Book Antiqua" w:hAnsi="Book Antiqua" w:cs="&amp;quot"/>
          <w:b/>
          <w:i w:val="0"/>
          <w:iCs w:val="0"/>
          <w:color w:val="auto"/>
          <w:sz w:val="24"/>
          <w:szCs w:val="24"/>
        </w:rPr>
        <w:t xml:space="preserve">atender recomendaciones al </w:t>
      </w:r>
      <w:r w:rsidRPr="008B065B">
        <w:rPr>
          <w:rFonts w:ascii="Book Antiqua" w:hAnsi="Book Antiqua" w:cs="&amp;quot"/>
          <w:b/>
          <w:i w:val="0"/>
          <w:iCs w:val="0"/>
          <w:color w:val="auto"/>
          <w:sz w:val="24"/>
          <w:szCs w:val="24"/>
        </w:rPr>
        <w:t>Programa Justicia Restaurativa</w:t>
      </w:r>
    </w:p>
    <w:tbl>
      <w:tblPr>
        <w:tblW w:w="9782" w:type="dxa"/>
        <w:tblInd w:w="-431" w:type="dxa"/>
        <w:tblCellMar>
          <w:left w:w="70" w:type="dxa"/>
          <w:right w:w="70" w:type="dxa"/>
        </w:tblCellMar>
        <w:tblLook w:val="04A0" w:firstRow="1" w:lastRow="0" w:firstColumn="1" w:lastColumn="0" w:noHBand="0" w:noVBand="1"/>
      </w:tblPr>
      <w:tblGrid>
        <w:gridCol w:w="1471"/>
        <w:gridCol w:w="1365"/>
        <w:gridCol w:w="993"/>
        <w:gridCol w:w="2551"/>
        <w:gridCol w:w="1276"/>
        <w:gridCol w:w="2126"/>
      </w:tblGrid>
      <w:tr w:rsidR="00BC00B3" w:rsidRPr="00270375" w14:paraId="076E7680" w14:textId="77777777" w:rsidTr="00700231">
        <w:trPr>
          <w:trHeight w:val="300"/>
        </w:trPr>
        <w:tc>
          <w:tcPr>
            <w:tcW w:w="1471"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26AF34FD"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 xml:space="preserve">Centro de responsabilidad </w:t>
            </w:r>
          </w:p>
        </w:tc>
        <w:tc>
          <w:tcPr>
            <w:tcW w:w="1365" w:type="dxa"/>
            <w:tcBorders>
              <w:top w:val="single" w:sz="4" w:space="0" w:color="auto"/>
              <w:left w:val="nil"/>
              <w:bottom w:val="single" w:sz="4" w:space="0" w:color="auto"/>
              <w:right w:val="single" w:sz="4" w:space="0" w:color="auto"/>
            </w:tcBorders>
            <w:shd w:val="clear" w:color="000000" w:fill="44546A"/>
            <w:vAlign w:val="center"/>
            <w:hideMark/>
          </w:tcPr>
          <w:p w14:paraId="2A909F36"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Oficina Líder</w:t>
            </w:r>
          </w:p>
        </w:tc>
        <w:tc>
          <w:tcPr>
            <w:tcW w:w="993" w:type="dxa"/>
            <w:tcBorders>
              <w:top w:val="single" w:sz="4" w:space="0" w:color="auto"/>
              <w:left w:val="nil"/>
              <w:bottom w:val="single" w:sz="4" w:space="0" w:color="auto"/>
              <w:right w:val="single" w:sz="4" w:space="0" w:color="auto"/>
            </w:tcBorders>
            <w:shd w:val="clear" w:color="000000" w:fill="44546A"/>
            <w:vAlign w:val="center"/>
            <w:hideMark/>
          </w:tcPr>
          <w:p w14:paraId="0938912B"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Código</w:t>
            </w:r>
          </w:p>
        </w:tc>
        <w:tc>
          <w:tcPr>
            <w:tcW w:w="2551" w:type="dxa"/>
            <w:tcBorders>
              <w:top w:val="single" w:sz="4" w:space="0" w:color="auto"/>
              <w:left w:val="nil"/>
              <w:bottom w:val="single" w:sz="4" w:space="0" w:color="auto"/>
              <w:right w:val="single" w:sz="4" w:space="0" w:color="auto"/>
            </w:tcBorders>
            <w:shd w:val="clear" w:color="000000" w:fill="44546A"/>
            <w:vAlign w:val="center"/>
            <w:hideMark/>
          </w:tcPr>
          <w:p w14:paraId="5A25DB16"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Nombre</w:t>
            </w:r>
          </w:p>
        </w:tc>
        <w:tc>
          <w:tcPr>
            <w:tcW w:w="1276" w:type="dxa"/>
            <w:tcBorders>
              <w:top w:val="single" w:sz="4" w:space="0" w:color="auto"/>
              <w:left w:val="nil"/>
              <w:bottom w:val="single" w:sz="4" w:space="0" w:color="auto"/>
              <w:right w:val="single" w:sz="4" w:space="0" w:color="auto"/>
            </w:tcBorders>
            <w:shd w:val="clear" w:color="000000" w:fill="44546A"/>
            <w:vAlign w:val="center"/>
            <w:hideMark/>
          </w:tcPr>
          <w:p w14:paraId="7952CB3B"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Parte pendiente</w:t>
            </w:r>
          </w:p>
        </w:tc>
        <w:tc>
          <w:tcPr>
            <w:tcW w:w="2126" w:type="dxa"/>
            <w:tcBorders>
              <w:top w:val="single" w:sz="4" w:space="0" w:color="auto"/>
              <w:left w:val="nil"/>
              <w:bottom w:val="single" w:sz="4" w:space="0" w:color="auto"/>
              <w:right w:val="single" w:sz="4" w:space="0" w:color="auto"/>
            </w:tcBorders>
            <w:shd w:val="clear" w:color="000000" w:fill="44546A"/>
            <w:vAlign w:val="center"/>
            <w:hideMark/>
          </w:tcPr>
          <w:p w14:paraId="784B9A61"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 xml:space="preserve">Detalle </w:t>
            </w:r>
          </w:p>
        </w:tc>
      </w:tr>
      <w:tr w:rsidR="007E6FC1" w:rsidRPr="00270375" w14:paraId="00A257E9" w14:textId="77777777" w:rsidTr="00700231">
        <w:trPr>
          <w:trHeight w:val="600"/>
        </w:trPr>
        <w:tc>
          <w:tcPr>
            <w:tcW w:w="1471" w:type="dxa"/>
            <w:vMerge w:val="restart"/>
            <w:tcBorders>
              <w:top w:val="nil"/>
              <w:left w:val="single" w:sz="4" w:space="0" w:color="auto"/>
              <w:bottom w:val="single" w:sz="4" w:space="0" w:color="000000"/>
              <w:right w:val="single" w:sz="4" w:space="0" w:color="auto"/>
            </w:tcBorders>
            <w:shd w:val="clear" w:color="auto" w:fill="auto"/>
            <w:vAlign w:val="center"/>
            <w:hideMark/>
          </w:tcPr>
          <w:p w14:paraId="33C4B856"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Programa Justicia Restaurativa</w:t>
            </w:r>
          </w:p>
        </w:tc>
        <w:tc>
          <w:tcPr>
            <w:tcW w:w="1365" w:type="dxa"/>
            <w:vMerge w:val="restart"/>
            <w:tcBorders>
              <w:top w:val="nil"/>
              <w:left w:val="single" w:sz="4" w:space="0" w:color="auto"/>
              <w:bottom w:val="single" w:sz="4" w:space="0" w:color="000000"/>
              <w:right w:val="single" w:sz="4" w:space="0" w:color="auto"/>
            </w:tcBorders>
            <w:shd w:val="clear" w:color="auto" w:fill="auto"/>
            <w:vAlign w:val="center"/>
            <w:hideMark/>
          </w:tcPr>
          <w:p w14:paraId="1CE078B0"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Times New Roman" w:eastAsia="Times New Roman" w:hAnsi="Times New Roman" w:cs="Times New Roman"/>
                <w:color w:val="000000"/>
                <w:sz w:val="18"/>
                <w:szCs w:val="18"/>
                <w:lang w:eastAsia="es-CR"/>
              </w:rPr>
              <w:t>​</w:t>
            </w:r>
            <w:r w:rsidRPr="00270375">
              <w:rPr>
                <w:rFonts w:ascii="Book Antiqua" w:eastAsia="Times New Roman" w:hAnsi="Book Antiqua" w:cs="Calibri"/>
                <w:color w:val="000000"/>
                <w:sz w:val="18"/>
                <w:szCs w:val="18"/>
                <w:lang w:eastAsia="es-CR"/>
              </w:rPr>
              <w:t>1377 Programa Justicia Restaurativa</w:t>
            </w:r>
          </w:p>
        </w:tc>
        <w:tc>
          <w:tcPr>
            <w:tcW w:w="993" w:type="dxa"/>
            <w:tcBorders>
              <w:top w:val="nil"/>
              <w:left w:val="nil"/>
              <w:bottom w:val="single" w:sz="4" w:space="0" w:color="auto"/>
              <w:right w:val="single" w:sz="4" w:space="0" w:color="auto"/>
            </w:tcBorders>
            <w:shd w:val="clear" w:color="auto" w:fill="auto"/>
            <w:vAlign w:val="center"/>
            <w:hideMark/>
          </w:tcPr>
          <w:p w14:paraId="6A82A950"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1377-PJR-P06</w:t>
            </w:r>
          </w:p>
        </w:tc>
        <w:tc>
          <w:tcPr>
            <w:tcW w:w="2551" w:type="dxa"/>
            <w:tcBorders>
              <w:top w:val="nil"/>
              <w:left w:val="nil"/>
              <w:bottom w:val="single" w:sz="4" w:space="0" w:color="auto"/>
              <w:right w:val="single" w:sz="4" w:space="0" w:color="auto"/>
            </w:tcBorders>
            <w:shd w:val="clear" w:color="auto" w:fill="auto"/>
            <w:vAlign w:val="center"/>
            <w:hideMark/>
          </w:tcPr>
          <w:p w14:paraId="31A656CD"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Programa de Justicia Restaurativa para el Bienestar Integral del Personal Judicial</w:t>
            </w:r>
          </w:p>
        </w:tc>
        <w:tc>
          <w:tcPr>
            <w:tcW w:w="1276" w:type="dxa"/>
            <w:tcBorders>
              <w:top w:val="nil"/>
              <w:left w:val="nil"/>
              <w:bottom w:val="single" w:sz="4" w:space="0" w:color="auto"/>
              <w:right w:val="single" w:sz="4" w:space="0" w:color="auto"/>
            </w:tcBorders>
            <w:shd w:val="clear" w:color="auto" w:fill="auto"/>
            <w:vAlign w:val="center"/>
            <w:hideMark/>
          </w:tcPr>
          <w:p w14:paraId="555CD029" w14:textId="77777777" w:rsidR="000B7A67" w:rsidRPr="00270375" w:rsidRDefault="000B7A67" w:rsidP="00F400D6">
            <w:pPr>
              <w:spacing w:after="0" w:line="240" w:lineRule="auto"/>
              <w:jc w:val="center"/>
              <w:rPr>
                <w:rFonts w:ascii="Book Antiqua" w:eastAsia="Times New Roman" w:hAnsi="Book Antiqua" w:cs="Calibri"/>
                <w:sz w:val="18"/>
                <w:szCs w:val="18"/>
                <w:lang w:eastAsia="es-CR"/>
              </w:rPr>
            </w:pPr>
            <w:r w:rsidRPr="00270375">
              <w:rPr>
                <w:rFonts w:ascii="Book Antiqua" w:eastAsia="Times New Roman" w:hAnsi="Book Antiqua" w:cs="Calibri"/>
                <w:sz w:val="18"/>
                <w:szCs w:val="18"/>
                <w:lang w:eastAsia="es-CR"/>
              </w:rPr>
              <w:t>3.3</w:t>
            </w:r>
          </w:p>
        </w:tc>
        <w:tc>
          <w:tcPr>
            <w:tcW w:w="2126" w:type="dxa"/>
            <w:tcBorders>
              <w:top w:val="nil"/>
              <w:left w:val="nil"/>
              <w:bottom w:val="single" w:sz="4" w:space="0" w:color="auto"/>
              <w:right w:val="single" w:sz="4" w:space="0" w:color="auto"/>
            </w:tcBorders>
            <w:shd w:val="clear" w:color="auto" w:fill="auto"/>
            <w:vAlign w:val="center"/>
            <w:hideMark/>
          </w:tcPr>
          <w:p w14:paraId="470DF280" w14:textId="6666293D" w:rsidR="00526BA1" w:rsidRPr="008B5BD4" w:rsidRDefault="00526BA1" w:rsidP="008B5BD4">
            <w:pPr>
              <w:spacing w:after="0" w:line="240" w:lineRule="auto"/>
              <w:jc w:val="both"/>
              <w:rPr>
                <w:rFonts w:ascii="Book Antiqua" w:eastAsia="Times New Roman" w:hAnsi="Book Antiqua" w:cs="Calibri"/>
                <w:color w:val="000000"/>
                <w:sz w:val="18"/>
                <w:szCs w:val="18"/>
                <w:lang w:eastAsia="es-CR"/>
              </w:rPr>
            </w:pPr>
          </w:p>
          <w:p w14:paraId="69A511A4" w14:textId="77777777" w:rsidR="000B7A67" w:rsidRPr="008B5BD4" w:rsidRDefault="000B7A67" w:rsidP="008B5BD4">
            <w:pPr>
              <w:spacing w:after="0" w:line="240" w:lineRule="auto"/>
              <w:jc w:val="both"/>
              <w:rPr>
                <w:rFonts w:ascii="Book Antiqua" w:eastAsia="Times New Roman" w:hAnsi="Book Antiqua" w:cs="Calibri"/>
                <w:color w:val="000000"/>
                <w:sz w:val="18"/>
                <w:szCs w:val="18"/>
                <w:lang w:eastAsia="es-CR"/>
              </w:rPr>
            </w:pPr>
            <w:r w:rsidRPr="008B5BD4">
              <w:rPr>
                <w:rFonts w:ascii="Book Antiqua" w:eastAsia="Times New Roman" w:hAnsi="Book Antiqua" w:cs="Calibri"/>
                <w:color w:val="000000"/>
                <w:sz w:val="18"/>
                <w:szCs w:val="18"/>
                <w:lang w:eastAsia="es-CR"/>
              </w:rPr>
              <w:t>Pendiente de subir Estudio de factibilidad en el sitio de proyecto.</w:t>
            </w:r>
          </w:p>
          <w:p w14:paraId="64AA9EFE" w14:textId="68DA1946" w:rsidR="008B5BD4" w:rsidRPr="00270375" w:rsidRDefault="008B5BD4" w:rsidP="008B5BD4">
            <w:pPr>
              <w:spacing w:after="0" w:line="240" w:lineRule="auto"/>
              <w:rPr>
                <w:rFonts w:ascii="Book Antiqua" w:eastAsia="Times New Roman" w:hAnsi="Book Antiqua" w:cs="Calibri"/>
                <w:sz w:val="18"/>
                <w:szCs w:val="18"/>
                <w:lang w:eastAsia="es-CR"/>
              </w:rPr>
            </w:pPr>
            <w:r w:rsidRPr="008B5BD4">
              <w:rPr>
                <w:rFonts w:ascii="Book Antiqua" w:eastAsia="Times New Roman" w:hAnsi="Book Antiqua" w:cs="Calibri"/>
                <w:color w:val="000000"/>
                <w:sz w:val="18"/>
                <w:szCs w:val="18"/>
                <w:lang w:eastAsia="es-CR"/>
              </w:rPr>
              <w:t>(se subi</w:t>
            </w:r>
            <w:r>
              <w:rPr>
                <w:rFonts w:ascii="Book Antiqua" w:eastAsia="Times New Roman" w:hAnsi="Book Antiqua" w:cs="Calibri"/>
                <w:color w:val="000000"/>
                <w:sz w:val="18"/>
                <w:szCs w:val="18"/>
                <w:lang w:eastAsia="es-CR"/>
              </w:rPr>
              <w:t>ó</w:t>
            </w:r>
            <w:r w:rsidRPr="008B5BD4">
              <w:rPr>
                <w:rFonts w:ascii="Book Antiqua" w:eastAsia="Times New Roman" w:hAnsi="Book Antiqua" w:cs="Calibri"/>
                <w:color w:val="000000"/>
                <w:sz w:val="18"/>
                <w:szCs w:val="18"/>
                <w:lang w:eastAsia="es-CR"/>
              </w:rPr>
              <w:t xml:space="preserve"> </w:t>
            </w:r>
            <w:r>
              <w:rPr>
                <w:rFonts w:ascii="Book Antiqua" w:eastAsia="Times New Roman" w:hAnsi="Book Antiqua" w:cs="Calibri"/>
                <w:color w:val="000000"/>
                <w:sz w:val="18"/>
                <w:szCs w:val="18"/>
                <w:lang w:eastAsia="es-CR"/>
              </w:rPr>
              <w:t>el</w:t>
            </w:r>
            <w:r w:rsidRPr="008B5BD4">
              <w:rPr>
                <w:rFonts w:ascii="Book Antiqua" w:eastAsia="Times New Roman" w:hAnsi="Book Antiqua" w:cs="Calibri"/>
                <w:color w:val="000000"/>
                <w:sz w:val="18"/>
                <w:szCs w:val="18"/>
                <w:lang w:eastAsia="es-CR"/>
              </w:rPr>
              <w:t xml:space="preserve"> documento de manera extemporánea, </w:t>
            </w:r>
            <w:r>
              <w:rPr>
                <w:rFonts w:ascii="Book Antiqua" w:eastAsia="Times New Roman" w:hAnsi="Book Antiqua" w:cs="Calibri"/>
                <w:color w:val="000000"/>
                <w:sz w:val="18"/>
                <w:szCs w:val="18"/>
                <w:lang w:eastAsia="es-CR"/>
              </w:rPr>
              <w:t xml:space="preserve">el </w:t>
            </w:r>
            <w:r w:rsidRPr="008B5BD4">
              <w:rPr>
                <w:rFonts w:ascii="Book Antiqua" w:eastAsia="Times New Roman" w:hAnsi="Book Antiqua" w:cs="Calibri"/>
                <w:color w:val="000000"/>
                <w:sz w:val="18"/>
                <w:szCs w:val="18"/>
                <w:lang w:eastAsia="es-CR"/>
              </w:rPr>
              <w:t>cual está pendiente de revisar por parte de</w:t>
            </w:r>
            <w:r>
              <w:rPr>
                <w:rFonts w:ascii="Book Antiqua" w:eastAsia="Times New Roman" w:hAnsi="Book Antiqua" w:cs="Calibri"/>
                <w:color w:val="000000"/>
                <w:sz w:val="18"/>
                <w:szCs w:val="18"/>
                <w:lang w:eastAsia="es-CR"/>
              </w:rPr>
              <w:t xml:space="preserve"> </w:t>
            </w:r>
            <w:r w:rsidRPr="008B5BD4">
              <w:rPr>
                <w:rFonts w:ascii="Book Antiqua" w:eastAsia="Times New Roman" w:hAnsi="Book Antiqua" w:cs="Calibri"/>
                <w:color w:val="000000"/>
                <w:sz w:val="18"/>
                <w:szCs w:val="18"/>
                <w:lang w:eastAsia="es-CR"/>
              </w:rPr>
              <w:t>la Unidad de Proyectos).</w:t>
            </w:r>
          </w:p>
        </w:tc>
      </w:tr>
      <w:tr w:rsidR="007E6FC1" w:rsidRPr="00270375" w14:paraId="333D38DB" w14:textId="77777777" w:rsidTr="00700231">
        <w:trPr>
          <w:trHeight w:val="477"/>
        </w:trPr>
        <w:tc>
          <w:tcPr>
            <w:tcW w:w="1471" w:type="dxa"/>
            <w:vMerge/>
            <w:tcBorders>
              <w:top w:val="nil"/>
              <w:left w:val="single" w:sz="4" w:space="0" w:color="auto"/>
              <w:bottom w:val="single" w:sz="4" w:space="0" w:color="000000"/>
              <w:right w:val="single" w:sz="4" w:space="0" w:color="auto"/>
            </w:tcBorders>
            <w:vAlign w:val="center"/>
            <w:hideMark/>
          </w:tcPr>
          <w:p w14:paraId="6F132CC1" w14:textId="77777777" w:rsidR="000B7A67" w:rsidRPr="00270375" w:rsidRDefault="000B7A67" w:rsidP="00F400D6">
            <w:pPr>
              <w:spacing w:after="0" w:line="240" w:lineRule="auto"/>
              <w:rPr>
                <w:rFonts w:ascii="Book Antiqua" w:eastAsia="Times New Roman" w:hAnsi="Book Antiqua" w:cs="Calibri"/>
                <w:color w:val="000000"/>
                <w:sz w:val="18"/>
                <w:szCs w:val="18"/>
                <w:lang w:eastAsia="es-CR"/>
              </w:rPr>
            </w:pPr>
          </w:p>
        </w:tc>
        <w:tc>
          <w:tcPr>
            <w:tcW w:w="1365" w:type="dxa"/>
            <w:vMerge/>
            <w:tcBorders>
              <w:top w:val="nil"/>
              <w:left w:val="single" w:sz="4" w:space="0" w:color="auto"/>
              <w:bottom w:val="single" w:sz="4" w:space="0" w:color="000000"/>
              <w:right w:val="single" w:sz="4" w:space="0" w:color="auto"/>
            </w:tcBorders>
            <w:vAlign w:val="center"/>
            <w:hideMark/>
          </w:tcPr>
          <w:p w14:paraId="4DA8E146" w14:textId="77777777" w:rsidR="000B7A67" w:rsidRPr="00270375" w:rsidRDefault="000B7A67" w:rsidP="00F400D6">
            <w:pPr>
              <w:spacing w:after="0" w:line="240" w:lineRule="auto"/>
              <w:rPr>
                <w:rFonts w:ascii="Book Antiqua" w:eastAsia="Times New Roman" w:hAnsi="Book Antiqua" w:cs="Calibri"/>
                <w:color w:val="000000"/>
                <w:sz w:val="18"/>
                <w:szCs w:val="18"/>
                <w:lang w:eastAsia="es-CR"/>
              </w:rPr>
            </w:pPr>
          </w:p>
        </w:tc>
        <w:tc>
          <w:tcPr>
            <w:tcW w:w="993" w:type="dxa"/>
            <w:tcBorders>
              <w:top w:val="nil"/>
              <w:left w:val="nil"/>
              <w:bottom w:val="single" w:sz="4" w:space="0" w:color="auto"/>
              <w:right w:val="single" w:sz="4" w:space="0" w:color="auto"/>
            </w:tcBorders>
            <w:shd w:val="clear" w:color="auto" w:fill="auto"/>
            <w:vAlign w:val="center"/>
            <w:hideMark/>
          </w:tcPr>
          <w:p w14:paraId="62D714DE"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1377-PJR-P02</w:t>
            </w:r>
          </w:p>
        </w:tc>
        <w:tc>
          <w:tcPr>
            <w:tcW w:w="2551" w:type="dxa"/>
            <w:tcBorders>
              <w:top w:val="nil"/>
              <w:left w:val="nil"/>
              <w:bottom w:val="single" w:sz="4" w:space="0" w:color="auto"/>
              <w:right w:val="single" w:sz="4" w:space="0" w:color="auto"/>
            </w:tcBorders>
            <w:shd w:val="clear" w:color="auto" w:fill="auto"/>
            <w:vAlign w:val="center"/>
            <w:hideMark/>
          </w:tcPr>
          <w:p w14:paraId="70486BB3"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Programa de Justicia Restaurativa para el bienestar del personal judicial</w:t>
            </w:r>
          </w:p>
        </w:tc>
        <w:tc>
          <w:tcPr>
            <w:tcW w:w="1276" w:type="dxa"/>
            <w:tcBorders>
              <w:top w:val="nil"/>
              <w:left w:val="nil"/>
              <w:bottom w:val="single" w:sz="4" w:space="0" w:color="auto"/>
              <w:right w:val="single" w:sz="4" w:space="0" w:color="auto"/>
            </w:tcBorders>
            <w:shd w:val="clear" w:color="auto" w:fill="auto"/>
            <w:vAlign w:val="center"/>
            <w:hideMark/>
          </w:tcPr>
          <w:p w14:paraId="2558B72D"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2.4</w:t>
            </w:r>
          </w:p>
        </w:tc>
        <w:tc>
          <w:tcPr>
            <w:tcW w:w="2126" w:type="dxa"/>
            <w:tcBorders>
              <w:top w:val="nil"/>
              <w:left w:val="nil"/>
              <w:bottom w:val="single" w:sz="4" w:space="0" w:color="auto"/>
              <w:right w:val="single" w:sz="4" w:space="0" w:color="auto"/>
            </w:tcBorders>
            <w:shd w:val="clear" w:color="auto" w:fill="auto"/>
            <w:vAlign w:val="center"/>
            <w:hideMark/>
          </w:tcPr>
          <w:p w14:paraId="57780AA5"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Pendiente aprobación del informe de cierre por parte del patrocinador</w:t>
            </w:r>
          </w:p>
        </w:tc>
      </w:tr>
      <w:tr w:rsidR="007E6FC1" w:rsidRPr="00270375" w14:paraId="665D67DD" w14:textId="77777777" w:rsidTr="00700231">
        <w:trPr>
          <w:trHeight w:val="515"/>
        </w:trPr>
        <w:tc>
          <w:tcPr>
            <w:tcW w:w="1471" w:type="dxa"/>
            <w:vMerge/>
            <w:tcBorders>
              <w:top w:val="nil"/>
              <w:left w:val="single" w:sz="4" w:space="0" w:color="auto"/>
              <w:bottom w:val="single" w:sz="4" w:space="0" w:color="000000"/>
              <w:right w:val="single" w:sz="4" w:space="0" w:color="auto"/>
            </w:tcBorders>
            <w:vAlign w:val="center"/>
            <w:hideMark/>
          </w:tcPr>
          <w:p w14:paraId="4EBAE606" w14:textId="77777777" w:rsidR="000B7A67" w:rsidRPr="00270375" w:rsidRDefault="000B7A67" w:rsidP="00F400D6">
            <w:pPr>
              <w:spacing w:after="0" w:line="240" w:lineRule="auto"/>
              <w:rPr>
                <w:rFonts w:ascii="Book Antiqua" w:eastAsia="Times New Roman" w:hAnsi="Book Antiqua" w:cs="Calibri"/>
                <w:color w:val="000000"/>
                <w:sz w:val="18"/>
                <w:szCs w:val="18"/>
                <w:lang w:eastAsia="es-CR"/>
              </w:rPr>
            </w:pPr>
          </w:p>
        </w:tc>
        <w:tc>
          <w:tcPr>
            <w:tcW w:w="1365" w:type="dxa"/>
            <w:vMerge/>
            <w:tcBorders>
              <w:top w:val="nil"/>
              <w:left w:val="single" w:sz="4" w:space="0" w:color="auto"/>
              <w:bottom w:val="single" w:sz="4" w:space="0" w:color="000000"/>
              <w:right w:val="single" w:sz="4" w:space="0" w:color="auto"/>
            </w:tcBorders>
            <w:vAlign w:val="center"/>
            <w:hideMark/>
          </w:tcPr>
          <w:p w14:paraId="7317646B" w14:textId="77777777" w:rsidR="000B7A67" w:rsidRPr="00270375" w:rsidRDefault="000B7A67" w:rsidP="00F400D6">
            <w:pPr>
              <w:spacing w:after="0" w:line="240" w:lineRule="auto"/>
              <w:rPr>
                <w:rFonts w:ascii="Book Antiqua" w:eastAsia="Times New Roman" w:hAnsi="Book Antiqua" w:cs="Calibri"/>
                <w:color w:val="000000"/>
                <w:sz w:val="18"/>
                <w:szCs w:val="18"/>
                <w:lang w:eastAsia="es-CR"/>
              </w:rPr>
            </w:pPr>
          </w:p>
        </w:tc>
        <w:tc>
          <w:tcPr>
            <w:tcW w:w="993" w:type="dxa"/>
            <w:tcBorders>
              <w:top w:val="nil"/>
              <w:left w:val="nil"/>
              <w:bottom w:val="single" w:sz="4" w:space="0" w:color="auto"/>
              <w:right w:val="single" w:sz="4" w:space="0" w:color="auto"/>
            </w:tcBorders>
            <w:shd w:val="clear" w:color="auto" w:fill="auto"/>
            <w:vAlign w:val="center"/>
            <w:hideMark/>
          </w:tcPr>
          <w:p w14:paraId="637460D1"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1377-PJR-P03</w:t>
            </w:r>
          </w:p>
        </w:tc>
        <w:tc>
          <w:tcPr>
            <w:tcW w:w="2551" w:type="dxa"/>
            <w:tcBorders>
              <w:top w:val="nil"/>
              <w:left w:val="nil"/>
              <w:bottom w:val="single" w:sz="4" w:space="0" w:color="auto"/>
              <w:right w:val="single" w:sz="4" w:space="0" w:color="auto"/>
            </w:tcBorders>
            <w:shd w:val="clear" w:color="auto" w:fill="auto"/>
            <w:vAlign w:val="center"/>
            <w:hideMark/>
          </w:tcPr>
          <w:p w14:paraId="02B32D30" w14:textId="4560FC30"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Proyecto de Cooperación Fortalecimiento de Penal Juvenil y Justicia Restaurativa</w:t>
            </w:r>
          </w:p>
        </w:tc>
        <w:tc>
          <w:tcPr>
            <w:tcW w:w="1276" w:type="dxa"/>
            <w:tcBorders>
              <w:top w:val="nil"/>
              <w:left w:val="nil"/>
              <w:bottom w:val="single" w:sz="4" w:space="0" w:color="auto"/>
              <w:right w:val="single" w:sz="4" w:space="0" w:color="auto"/>
            </w:tcBorders>
            <w:shd w:val="clear" w:color="auto" w:fill="auto"/>
            <w:vAlign w:val="center"/>
            <w:hideMark/>
          </w:tcPr>
          <w:p w14:paraId="2ED93632"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2.4</w:t>
            </w:r>
          </w:p>
        </w:tc>
        <w:tc>
          <w:tcPr>
            <w:tcW w:w="2126" w:type="dxa"/>
            <w:tcBorders>
              <w:top w:val="nil"/>
              <w:left w:val="nil"/>
              <w:bottom w:val="single" w:sz="4" w:space="0" w:color="auto"/>
              <w:right w:val="single" w:sz="4" w:space="0" w:color="auto"/>
            </w:tcBorders>
            <w:shd w:val="clear" w:color="auto" w:fill="auto"/>
            <w:vAlign w:val="center"/>
            <w:hideMark/>
          </w:tcPr>
          <w:p w14:paraId="5E00F900"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Pendiente aprobación del informe de cierre por parte del patrocinador</w:t>
            </w:r>
          </w:p>
        </w:tc>
      </w:tr>
    </w:tbl>
    <w:p w14:paraId="28667496" w14:textId="77777777" w:rsidR="000B7A67" w:rsidRDefault="000B7A67" w:rsidP="000B7A67">
      <w:pPr>
        <w:spacing w:after="0"/>
        <w:jc w:val="both"/>
        <w:rPr>
          <w:rFonts w:ascii="Book Antiqua" w:hAnsi="Book Antiqua"/>
          <w:sz w:val="24"/>
          <w:szCs w:val="24"/>
        </w:rPr>
      </w:pPr>
    </w:p>
    <w:p w14:paraId="7D935629" w14:textId="77777777" w:rsidR="000B7A67" w:rsidRDefault="000B7A67" w:rsidP="000B7A67">
      <w:pPr>
        <w:spacing w:after="0"/>
        <w:jc w:val="both"/>
        <w:rPr>
          <w:rFonts w:ascii="Book Antiqua" w:hAnsi="Book Antiqua"/>
          <w:b/>
          <w:sz w:val="24"/>
          <w:szCs w:val="24"/>
        </w:rPr>
      </w:pPr>
      <w:r>
        <w:rPr>
          <w:rFonts w:ascii="Book Antiqua" w:hAnsi="Book Antiqua"/>
          <w:sz w:val="24"/>
          <w:szCs w:val="24"/>
        </w:rPr>
        <w:t>El</w:t>
      </w:r>
      <w:r w:rsidRPr="003B26B6">
        <w:rPr>
          <w:rFonts w:ascii="Book Antiqua" w:hAnsi="Book Antiqua"/>
          <w:sz w:val="24"/>
          <w:szCs w:val="24"/>
        </w:rPr>
        <w:t xml:space="preserve"> proyect</w:t>
      </w:r>
      <w:r>
        <w:rPr>
          <w:rFonts w:ascii="Book Antiqua" w:hAnsi="Book Antiqua"/>
          <w:sz w:val="24"/>
          <w:szCs w:val="24"/>
        </w:rPr>
        <w:t>o</w:t>
      </w:r>
      <w:r w:rsidRPr="003B26B6">
        <w:rPr>
          <w:rFonts w:ascii="Book Antiqua" w:hAnsi="Book Antiqua"/>
          <w:sz w:val="24"/>
          <w:szCs w:val="24"/>
        </w:rPr>
        <w:t xml:space="preserve"> anterior</w:t>
      </w:r>
      <w:r>
        <w:rPr>
          <w:rFonts w:ascii="Book Antiqua" w:hAnsi="Book Antiqua"/>
          <w:sz w:val="24"/>
          <w:szCs w:val="24"/>
        </w:rPr>
        <w:t>,</w:t>
      </w:r>
      <w:r w:rsidRPr="009F6F37">
        <w:rPr>
          <w:rFonts w:ascii="Book Antiqua" w:hAnsi="Book Antiqua"/>
          <w:sz w:val="24"/>
          <w:szCs w:val="24"/>
        </w:rPr>
        <w:t xml:space="preserve"> </w:t>
      </w:r>
      <w:r w:rsidRPr="003C0471">
        <w:rPr>
          <w:rFonts w:ascii="Book Antiqua" w:hAnsi="Book Antiqua"/>
          <w:sz w:val="24"/>
          <w:szCs w:val="24"/>
        </w:rPr>
        <w:t xml:space="preserve">tendrá al </w:t>
      </w:r>
      <w:r w:rsidRPr="003C0471">
        <w:rPr>
          <w:rFonts w:ascii="Book Antiqua" w:hAnsi="Book Antiqua"/>
          <w:b/>
          <w:bCs/>
          <w:sz w:val="24"/>
          <w:szCs w:val="24"/>
        </w:rPr>
        <w:t xml:space="preserve">11 de agosto del 2023 para atender las recomendaciones pendientes </w:t>
      </w:r>
      <w:r w:rsidRPr="003C0471">
        <w:rPr>
          <w:rFonts w:ascii="Book Antiqua" w:hAnsi="Book Antiqua"/>
          <w:b/>
          <w:sz w:val="24"/>
          <w:szCs w:val="24"/>
        </w:rPr>
        <w:t>y notificar a la</w:t>
      </w:r>
      <w:r w:rsidRPr="003B26B6">
        <w:rPr>
          <w:rFonts w:ascii="Book Antiqua" w:hAnsi="Book Antiqua"/>
          <w:b/>
          <w:sz w:val="24"/>
          <w:szCs w:val="24"/>
        </w:rPr>
        <w:t xml:space="preserve"> </w:t>
      </w:r>
      <w:r>
        <w:rPr>
          <w:rFonts w:ascii="Book Antiqua" w:hAnsi="Book Antiqua"/>
          <w:b/>
          <w:sz w:val="24"/>
          <w:szCs w:val="24"/>
        </w:rPr>
        <w:t xml:space="preserve">Unidad del Portafolio de Proyectos, </w:t>
      </w:r>
      <w:r w:rsidRPr="003B26B6">
        <w:rPr>
          <w:rFonts w:ascii="Book Antiqua" w:hAnsi="Book Antiqua"/>
          <w:b/>
          <w:sz w:val="24"/>
          <w:szCs w:val="24"/>
        </w:rPr>
        <w:t>Dirección de Planificación</w:t>
      </w:r>
      <w:r>
        <w:rPr>
          <w:rFonts w:ascii="Book Antiqua" w:hAnsi="Book Antiqua"/>
          <w:b/>
          <w:sz w:val="24"/>
          <w:szCs w:val="24"/>
        </w:rPr>
        <w:t>.</w:t>
      </w:r>
    </w:p>
    <w:p w14:paraId="185D6187" w14:textId="77777777" w:rsidR="000B7A67" w:rsidRDefault="000B7A67" w:rsidP="000B7A67">
      <w:pPr>
        <w:spacing w:after="0"/>
        <w:jc w:val="both"/>
        <w:rPr>
          <w:rFonts w:ascii="Book Antiqua" w:hAnsi="Book Antiqua"/>
        </w:rPr>
      </w:pPr>
    </w:p>
    <w:p w14:paraId="51732A9E" w14:textId="77777777" w:rsidR="000B7A67" w:rsidRPr="001D2656" w:rsidRDefault="000B7A67" w:rsidP="000B7A67">
      <w:pPr>
        <w:pStyle w:val="Ttulo2"/>
        <w:numPr>
          <w:ilvl w:val="0"/>
          <w:numId w:val="3"/>
        </w:numPr>
        <w:tabs>
          <w:tab w:val="left" w:pos="851"/>
        </w:tabs>
        <w:spacing w:before="0"/>
        <w:jc w:val="both"/>
        <w:rPr>
          <w:rFonts w:ascii="Book Antiqua" w:eastAsia="Wingdings" w:hAnsi="Book Antiqua"/>
          <w:b/>
          <w:bCs/>
          <w:color w:val="auto"/>
          <w:lang w:eastAsia="ko-KR"/>
        </w:rPr>
      </w:pPr>
      <w:bookmarkStart w:id="57" w:name="_Toc138770842"/>
      <w:r w:rsidRPr="001D2656">
        <w:rPr>
          <w:rFonts w:ascii="Book Antiqua" w:eastAsia="Wingdings" w:hAnsi="Book Antiqua"/>
          <w:b/>
          <w:bCs/>
          <w:color w:val="auto"/>
          <w:lang w:eastAsia="ko-KR"/>
        </w:rPr>
        <w:t xml:space="preserve">Recomendaciones dirigidas </w:t>
      </w:r>
      <w:r>
        <w:rPr>
          <w:rFonts w:ascii="Book Antiqua" w:eastAsia="Wingdings" w:hAnsi="Book Antiqua"/>
          <w:b/>
          <w:bCs/>
          <w:color w:val="auto"/>
          <w:lang w:eastAsia="ko-KR"/>
        </w:rPr>
        <w:t xml:space="preserve">al </w:t>
      </w:r>
      <w:r w:rsidRPr="009B30E9">
        <w:rPr>
          <w:rFonts w:ascii="Book Antiqua" w:eastAsia="Wingdings" w:hAnsi="Book Antiqua"/>
          <w:b/>
          <w:bCs/>
          <w:color w:val="auto"/>
          <w:lang w:eastAsia="ko-KR"/>
        </w:rPr>
        <w:t>Segundo Circuito Judicial Alajuela</w:t>
      </w:r>
      <w:bookmarkEnd w:id="57"/>
    </w:p>
    <w:p w14:paraId="4A36E08A" w14:textId="77777777" w:rsidR="000B7A67" w:rsidRDefault="000B7A67" w:rsidP="000B7A67">
      <w:pPr>
        <w:spacing w:after="0"/>
        <w:jc w:val="both"/>
        <w:rPr>
          <w:rFonts w:ascii="Book Antiqua" w:hAnsi="Book Antiqua"/>
        </w:rPr>
      </w:pPr>
    </w:p>
    <w:p w14:paraId="3650F29D" w14:textId="77777777" w:rsidR="000B7A67" w:rsidRDefault="000B7A67" w:rsidP="000B7A67">
      <w:pPr>
        <w:spacing w:after="0"/>
        <w:jc w:val="both"/>
        <w:rPr>
          <w:rFonts w:ascii="Book Antiqua" w:hAnsi="Book Antiqua"/>
          <w:sz w:val="24"/>
          <w:szCs w:val="24"/>
        </w:rPr>
      </w:pPr>
      <w:r>
        <w:rPr>
          <w:rFonts w:ascii="Book Antiqua" w:hAnsi="Book Antiqua"/>
          <w:sz w:val="24"/>
          <w:szCs w:val="24"/>
        </w:rPr>
        <w:t xml:space="preserve">En el informe 277-PLA-PP-2023, se dirigió una recomendación al </w:t>
      </w:r>
      <w:r w:rsidRPr="009B30E9">
        <w:rPr>
          <w:rFonts w:ascii="Book Antiqua" w:hAnsi="Book Antiqua"/>
          <w:b/>
          <w:bCs/>
          <w:sz w:val="24"/>
          <w:szCs w:val="24"/>
        </w:rPr>
        <w:t>Segundo Circuito Judicial Alajuela</w:t>
      </w:r>
      <w:r>
        <w:rPr>
          <w:rFonts w:ascii="Book Antiqua" w:eastAsia="Wingdings" w:hAnsi="Book Antiqua"/>
          <w:b/>
          <w:bCs/>
          <w:lang w:eastAsia="ko-KR"/>
        </w:rPr>
        <w:t>,</w:t>
      </w:r>
      <w:r>
        <w:rPr>
          <w:rFonts w:ascii="Book Antiqua" w:hAnsi="Book Antiqua"/>
          <w:sz w:val="24"/>
          <w:szCs w:val="24"/>
        </w:rPr>
        <w:t xml:space="preserve"> debido a que existía un proyecto con gestiones pendientes de atender o nuevas recomendaciones, por lo anterior se realiza el seguimiento a las siguientes recomendaciones:</w:t>
      </w:r>
    </w:p>
    <w:p w14:paraId="5A783AC3" w14:textId="77777777" w:rsidR="000B7A67" w:rsidRDefault="000B7A67" w:rsidP="000B7A67">
      <w:pPr>
        <w:spacing w:after="0"/>
        <w:jc w:val="both"/>
        <w:rPr>
          <w:rFonts w:ascii="Book Antiqua" w:hAnsi="Book Antiqua"/>
          <w:sz w:val="24"/>
          <w:szCs w:val="24"/>
        </w:rPr>
      </w:pPr>
    </w:p>
    <w:p w14:paraId="517340DA" w14:textId="77777777" w:rsidR="000B7A67" w:rsidRDefault="000B7A67" w:rsidP="000B7A67">
      <w:pPr>
        <w:spacing w:after="0" w:line="240" w:lineRule="auto"/>
        <w:jc w:val="both"/>
        <w:rPr>
          <w:rFonts w:ascii="Book Antiqua" w:hAnsi="Book Antiqua"/>
          <w:i/>
          <w:iCs/>
          <w:sz w:val="24"/>
          <w:szCs w:val="24"/>
        </w:rPr>
      </w:pPr>
      <w:r w:rsidRPr="005C1ADA">
        <w:rPr>
          <w:rFonts w:ascii="Book Antiqua" w:hAnsi="Book Antiqua"/>
          <w:i/>
          <w:iCs/>
          <w:sz w:val="24"/>
          <w:szCs w:val="24"/>
        </w:rPr>
        <w:t>“</w:t>
      </w:r>
      <w:r w:rsidRPr="007505ED">
        <w:rPr>
          <w:rFonts w:ascii="Book Antiqua" w:hAnsi="Book Antiqua"/>
          <w:b/>
          <w:bCs/>
          <w:i/>
          <w:iCs/>
          <w:sz w:val="24"/>
          <w:szCs w:val="24"/>
        </w:rPr>
        <w:t xml:space="preserve">2.10) </w:t>
      </w:r>
      <w:r w:rsidRPr="007505ED">
        <w:rPr>
          <w:rFonts w:ascii="Book Antiqua" w:hAnsi="Book Antiqua"/>
          <w:i/>
          <w:iCs/>
          <w:sz w:val="24"/>
          <w:szCs w:val="24"/>
        </w:rPr>
        <w:t>El Centro de Conciliación del Poder Judicial, las Comisiones de  la Jurisdicción Agrario y Agroambiental, de Acceso a la Justicia, la Defensa Pública, el Departamento de Prensa y Comunicación Organizacional, el Programa Justicia Restaurativa, así como las Administraciones Regionales del Segundo Circuito Judicial de Alajuela, Tercer Circuito Judicial Alajuela, de la Ciudad Judicial de San Joaquín de Flores, de Puntarenas, del Primer Circuito Judicial Guanacaste y Primer Circuito Judicial de la Zona Sur, deberán a más tardar el 28 de abril del 2023, cargar en el sitio de proyecto la atención de las recomendaciones que se describen en la tabla correspondiente expuesta en el presente informe.</w:t>
      </w:r>
    </w:p>
    <w:p w14:paraId="7F69E8E6" w14:textId="77777777" w:rsidR="00270E0A" w:rsidRDefault="00270E0A" w:rsidP="000B7A67">
      <w:pPr>
        <w:spacing w:after="0" w:line="240" w:lineRule="auto"/>
        <w:jc w:val="both"/>
        <w:rPr>
          <w:rFonts w:ascii="Book Antiqua" w:hAnsi="Book Antiqua"/>
          <w:i/>
          <w:iCs/>
          <w:sz w:val="24"/>
          <w:szCs w:val="24"/>
        </w:rPr>
      </w:pPr>
    </w:p>
    <w:p w14:paraId="1C040B40" w14:textId="77777777" w:rsidR="00270E0A" w:rsidRDefault="00270E0A" w:rsidP="000B7A67">
      <w:pPr>
        <w:spacing w:after="0" w:line="240" w:lineRule="auto"/>
        <w:jc w:val="both"/>
        <w:rPr>
          <w:rFonts w:ascii="Book Antiqua" w:hAnsi="Book Antiqua"/>
          <w:i/>
          <w:iCs/>
          <w:sz w:val="24"/>
          <w:szCs w:val="24"/>
        </w:rPr>
      </w:pPr>
    </w:p>
    <w:p w14:paraId="0F88225E" w14:textId="77777777" w:rsidR="00700231" w:rsidRDefault="00700231" w:rsidP="000B7A67">
      <w:pPr>
        <w:spacing w:after="0" w:line="240" w:lineRule="auto"/>
        <w:jc w:val="both"/>
        <w:rPr>
          <w:rFonts w:ascii="Book Antiqua" w:hAnsi="Book Antiqua"/>
          <w:i/>
          <w:iCs/>
          <w:sz w:val="24"/>
          <w:szCs w:val="24"/>
        </w:rPr>
      </w:pPr>
    </w:p>
    <w:tbl>
      <w:tblPr>
        <w:tblW w:w="10578" w:type="dxa"/>
        <w:tblInd w:w="-431" w:type="dxa"/>
        <w:tblCellMar>
          <w:left w:w="70" w:type="dxa"/>
          <w:right w:w="70" w:type="dxa"/>
        </w:tblCellMar>
        <w:tblLook w:val="04A0" w:firstRow="1" w:lastRow="0" w:firstColumn="1" w:lastColumn="0" w:noHBand="0" w:noVBand="1"/>
      </w:tblPr>
      <w:tblGrid>
        <w:gridCol w:w="1471"/>
        <w:gridCol w:w="1805"/>
        <w:gridCol w:w="830"/>
        <w:gridCol w:w="2274"/>
        <w:gridCol w:w="1116"/>
        <w:gridCol w:w="3082"/>
      </w:tblGrid>
      <w:tr w:rsidR="00BC00B3" w:rsidRPr="00270375" w14:paraId="04BF9C83" w14:textId="77777777" w:rsidTr="00301740">
        <w:trPr>
          <w:trHeight w:val="300"/>
        </w:trPr>
        <w:tc>
          <w:tcPr>
            <w:tcW w:w="1471"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4D8BC841"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lastRenderedPageBreak/>
              <w:t xml:space="preserve">Centro de responsabilidad </w:t>
            </w:r>
          </w:p>
        </w:tc>
        <w:tc>
          <w:tcPr>
            <w:tcW w:w="1805" w:type="dxa"/>
            <w:tcBorders>
              <w:top w:val="single" w:sz="4" w:space="0" w:color="auto"/>
              <w:left w:val="nil"/>
              <w:bottom w:val="single" w:sz="4" w:space="0" w:color="auto"/>
              <w:right w:val="single" w:sz="4" w:space="0" w:color="auto"/>
            </w:tcBorders>
            <w:shd w:val="clear" w:color="000000" w:fill="44546A"/>
            <w:vAlign w:val="center"/>
            <w:hideMark/>
          </w:tcPr>
          <w:p w14:paraId="068E5662"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Oficina Líder</w:t>
            </w:r>
          </w:p>
        </w:tc>
        <w:tc>
          <w:tcPr>
            <w:tcW w:w="830" w:type="dxa"/>
            <w:tcBorders>
              <w:top w:val="single" w:sz="4" w:space="0" w:color="auto"/>
              <w:left w:val="nil"/>
              <w:bottom w:val="single" w:sz="4" w:space="0" w:color="auto"/>
              <w:right w:val="single" w:sz="4" w:space="0" w:color="auto"/>
            </w:tcBorders>
            <w:shd w:val="clear" w:color="000000" w:fill="44546A"/>
            <w:vAlign w:val="center"/>
            <w:hideMark/>
          </w:tcPr>
          <w:p w14:paraId="1D94AF3E"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Código</w:t>
            </w:r>
          </w:p>
        </w:tc>
        <w:tc>
          <w:tcPr>
            <w:tcW w:w="2274" w:type="dxa"/>
            <w:tcBorders>
              <w:top w:val="single" w:sz="4" w:space="0" w:color="auto"/>
              <w:left w:val="nil"/>
              <w:bottom w:val="single" w:sz="4" w:space="0" w:color="auto"/>
              <w:right w:val="single" w:sz="4" w:space="0" w:color="auto"/>
            </w:tcBorders>
            <w:shd w:val="clear" w:color="000000" w:fill="44546A"/>
            <w:vAlign w:val="center"/>
            <w:hideMark/>
          </w:tcPr>
          <w:p w14:paraId="6C13957E"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Nombre</w:t>
            </w:r>
          </w:p>
        </w:tc>
        <w:tc>
          <w:tcPr>
            <w:tcW w:w="1116" w:type="dxa"/>
            <w:tcBorders>
              <w:top w:val="single" w:sz="4" w:space="0" w:color="auto"/>
              <w:left w:val="nil"/>
              <w:bottom w:val="single" w:sz="4" w:space="0" w:color="auto"/>
              <w:right w:val="single" w:sz="4" w:space="0" w:color="auto"/>
            </w:tcBorders>
            <w:shd w:val="clear" w:color="000000" w:fill="44546A"/>
            <w:vAlign w:val="center"/>
            <w:hideMark/>
          </w:tcPr>
          <w:p w14:paraId="465AF6EA"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Parte pendiente</w:t>
            </w:r>
          </w:p>
        </w:tc>
        <w:tc>
          <w:tcPr>
            <w:tcW w:w="3082" w:type="dxa"/>
            <w:tcBorders>
              <w:top w:val="single" w:sz="4" w:space="0" w:color="auto"/>
              <w:left w:val="nil"/>
              <w:bottom w:val="single" w:sz="4" w:space="0" w:color="auto"/>
              <w:right w:val="single" w:sz="4" w:space="0" w:color="auto"/>
            </w:tcBorders>
            <w:shd w:val="clear" w:color="000000" w:fill="44546A"/>
            <w:vAlign w:val="center"/>
            <w:hideMark/>
          </w:tcPr>
          <w:p w14:paraId="2ABF3777"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 xml:space="preserve">Detalle </w:t>
            </w:r>
          </w:p>
        </w:tc>
      </w:tr>
      <w:tr w:rsidR="00BC00B3" w:rsidRPr="00270375" w14:paraId="3C0F6BCD" w14:textId="77777777" w:rsidTr="00301740">
        <w:trPr>
          <w:trHeight w:val="900"/>
        </w:trPr>
        <w:tc>
          <w:tcPr>
            <w:tcW w:w="1471" w:type="dxa"/>
            <w:tcBorders>
              <w:top w:val="nil"/>
              <w:left w:val="single" w:sz="4" w:space="0" w:color="auto"/>
              <w:bottom w:val="single" w:sz="4" w:space="0" w:color="auto"/>
              <w:right w:val="single" w:sz="4" w:space="0" w:color="auto"/>
            </w:tcBorders>
            <w:shd w:val="clear" w:color="auto" w:fill="auto"/>
            <w:vAlign w:val="center"/>
            <w:hideMark/>
          </w:tcPr>
          <w:p w14:paraId="45E3FD9E"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bookmarkStart w:id="58" w:name="_Hlk138254864"/>
            <w:r w:rsidRPr="00270375">
              <w:rPr>
                <w:rFonts w:ascii="Book Antiqua" w:eastAsia="Times New Roman" w:hAnsi="Book Antiqua" w:cs="Calibri"/>
                <w:color w:val="000000"/>
                <w:sz w:val="18"/>
                <w:szCs w:val="18"/>
                <w:lang w:eastAsia="es-CR"/>
              </w:rPr>
              <w:t>Segundo Circuito Judicial Alajuela</w:t>
            </w:r>
            <w:bookmarkEnd w:id="58"/>
          </w:p>
        </w:tc>
        <w:tc>
          <w:tcPr>
            <w:tcW w:w="1805" w:type="dxa"/>
            <w:tcBorders>
              <w:top w:val="nil"/>
              <w:left w:val="nil"/>
              <w:bottom w:val="single" w:sz="4" w:space="0" w:color="auto"/>
              <w:right w:val="single" w:sz="4" w:space="0" w:color="auto"/>
            </w:tcBorders>
            <w:shd w:val="clear" w:color="auto" w:fill="auto"/>
            <w:vAlign w:val="center"/>
            <w:hideMark/>
          </w:tcPr>
          <w:p w14:paraId="568580CC"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 xml:space="preserve">0561 </w:t>
            </w:r>
            <w:r>
              <w:rPr>
                <w:rFonts w:ascii="Book Antiqua" w:eastAsia="Times New Roman" w:hAnsi="Book Antiqua" w:cs="Calibri"/>
                <w:color w:val="000000"/>
                <w:sz w:val="18"/>
                <w:szCs w:val="18"/>
                <w:lang w:eastAsia="es-CR"/>
              </w:rPr>
              <w:t>A</w:t>
            </w:r>
            <w:r w:rsidRPr="00270375">
              <w:rPr>
                <w:rFonts w:ascii="Book Antiqua" w:eastAsia="Times New Roman" w:hAnsi="Book Antiqua" w:cs="Calibri"/>
                <w:color w:val="000000"/>
                <w:sz w:val="18"/>
                <w:szCs w:val="18"/>
                <w:lang w:eastAsia="es-CR"/>
              </w:rPr>
              <w:t xml:space="preserve">dministracion </w:t>
            </w:r>
            <w:r>
              <w:rPr>
                <w:rFonts w:ascii="Book Antiqua" w:eastAsia="Times New Roman" w:hAnsi="Book Antiqua" w:cs="Calibri"/>
                <w:color w:val="000000"/>
                <w:sz w:val="18"/>
                <w:szCs w:val="18"/>
                <w:lang w:eastAsia="es-CR"/>
              </w:rPr>
              <w:t>R</w:t>
            </w:r>
            <w:r w:rsidRPr="00270375">
              <w:rPr>
                <w:rFonts w:ascii="Book Antiqua" w:eastAsia="Times New Roman" w:hAnsi="Book Antiqua" w:cs="Calibri"/>
                <w:color w:val="000000"/>
                <w:sz w:val="18"/>
                <w:szCs w:val="18"/>
                <w:lang w:eastAsia="es-CR"/>
              </w:rPr>
              <w:t xml:space="preserve">egional </w:t>
            </w:r>
            <w:r>
              <w:rPr>
                <w:rFonts w:ascii="Book Antiqua" w:eastAsia="Times New Roman" w:hAnsi="Book Antiqua" w:cs="Calibri"/>
                <w:color w:val="000000"/>
                <w:sz w:val="18"/>
                <w:szCs w:val="18"/>
                <w:lang w:eastAsia="es-CR"/>
              </w:rPr>
              <w:t>II</w:t>
            </w:r>
            <w:r w:rsidRPr="00270375">
              <w:rPr>
                <w:rFonts w:ascii="Book Antiqua" w:eastAsia="Times New Roman" w:hAnsi="Book Antiqua" w:cs="Calibri"/>
                <w:color w:val="000000"/>
                <w:sz w:val="18"/>
                <w:szCs w:val="18"/>
                <w:lang w:eastAsia="es-CR"/>
              </w:rPr>
              <w:t xml:space="preserve"> </w:t>
            </w:r>
            <w:r>
              <w:rPr>
                <w:rFonts w:ascii="Book Antiqua" w:eastAsia="Times New Roman" w:hAnsi="Book Antiqua" w:cs="Calibri"/>
                <w:color w:val="000000"/>
                <w:sz w:val="18"/>
                <w:szCs w:val="18"/>
                <w:lang w:eastAsia="es-CR"/>
              </w:rPr>
              <w:t>C</w:t>
            </w:r>
            <w:r w:rsidRPr="00270375">
              <w:rPr>
                <w:rFonts w:ascii="Book Antiqua" w:eastAsia="Times New Roman" w:hAnsi="Book Antiqua" w:cs="Calibri"/>
                <w:color w:val="000000"/>
                <w:sz w:val="18"/>
                <w:szCs w:val="18"/>
                <w:lang w:eastAsia="es-CR"/>
              </w:rPr>
              <w:t xml:space="preserve">ircuito </w:t>
            </w:r>
            <w:r>
              <w:rPr>
                <w:rFonts w:ascii="Book Antiqua" w:eastAsia="Times New Roman" w:hAnsi="Book Antiqua" w:cs="Calibri"/>
                <w:color w:val="000000"/>
                <w:sz w:val="18"/>
                <w:szCs w:val="18"/>
                <w:lang w:eastAsia="es-CR"/>
              </w:rPr>
              <w:t>J</w:t>
            </w:r>
            <w:r w:rsidRPr="00270375">
              <w:rPr>
                <w:rFonts w:ascii="Book Antiqua" w:eastAsia="Times New Roman" w:hAnsi="Book Antiqua" w:cs="Calibri"/>
                <w:color w:val="000000"/>
                <w:sz w:val="18"/>
                <w:szCs w:val="18"/>
                <w:lang w:eastAsia="es-CR"/>
              </w:rPr>
              <w:t xml:space="preserve">udicial </w:t>
            </w:r>
            <w:r>
              <w:rPr>
                <w:rFonts w:ascii="Book Antiqua" w:eastAsia="Times New Roman" w:hAnsi="Book Antiqua" w:cs="Calibri"/>
                <w:color w:val="000000"/>
                <w:sz w:val="18"/>
                <w:szCs w:val="18"/>
                <w:lang w:eastAsia="es-CR"/>
              </w:rPr>
              <w:t>A</w:t>
            </w:r>
            <w:r w:rsidRPr="00270375">
              <w:rPr>
                <w:rFonts w:ascii="Book Antiqua" w:eastAsia="Times New Roman" w:hAnsi="Book Antiqua" w:cs="Calibri"/>
                <w:color w:val="000000"/>
                <w:sz w:val="18"/>
                <w:szCs w:val="18"/>
                <w:lang w:eastAsia="es-CR"/>
              </w:rPr>
              <w:t>lajuela</w:t>
            </w:r>
          </w:p>
        </w:tc>
        <w:tc>
          <w:tcPr>
            <w:tcW w:w="830" w:type="dxa"/>
            <w:tcBorders>
              <w:top w:val="nil"/>
              <w:left w:val="nil"/>
              <w:bottom w:val="single" w:sz="4" w:space="0" w:color="auto"/>
              <w:right w:val="single" w:sz="4" w:space="0" w:color="auto"/>
            </w:tcBorders>
            <w:shd w:val="clear" w:color="auto" w:fill="auto"/>
            <w:vAlign w:val="center"/>
            <w:hideMark/>
          </w:tcPr>
          <w:p w14:paraId="5AAAE940"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0117-DE-P12</w:t>
            </w:r>
          </w:p>
        </w:tc>
        <w:tc>
          <w:tcPr>
            <w:tcW w:w="2274" w:type="dxa"/>
            <w:tcBorders>
              <w:top w:val="nil"/>
              <w:left w:val="nil"/>
              <w:bottom w:val="single" w:sz="4" w:space="0" w:color="auto"/>
              <w:right w:val="single" w:sz="4" w:space="0" w:color="auto"/>
            </w:tcBorders>
            <w:shd w:val="clear" w:color="auto" w:fill="auto"/>
            <w:vAlign w:val="center"/>
            <w:hideMark/>
          </w:tcPr>
          <w:p w14:paraId="69C31F9A"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Reacondicionamiento Eléctrico Edificio II Circuito Judicial Alajuela</w:t>
            </w:r>
          </w:p>
        </w:tc>
        <w:tc>
          <w:tcPr>
            <w:tcW w:w="1116" w:type="dxa"/>
            <w:tcBorders>
              <w:top w:val="nil"/>
              <w:left w:val="nil"/>
              <w:bottom w:val="single" w:sz="4" w:space="0" w:color="auto"/>
              <w:right w:val="single" w:sz="4" w:space="0" w:color="auto"/>
            </w:tcBorders>
            <w:shd w:val="clear" w:color="auto" w:fill="auto"/>
            <w:vAlign w:val="center"/>
            <w:hideMark/>
          </w:tcPr>
          <w:p w14:paraId="7DA05199"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2.1</w:t>
            </w:r>
          </w:p>
        </w:tc>
        <w:tc>
          <w:tcPr>
            <w:tcW w:w="3082" w:type="dxa"/>
            <w:tcBorders>
              <w:top w:val="nil"/>
              <w:left w:val="nil"/>
              <w:bottom w:val="single" w:sz="4" w:space="0" w:color="auto"/>
              <w:right w:val="single" w:sz="4" w:space="0" w:color="auto"/>
            </w:tcBorders>
            <w:shd w:val="clear" w:color="auto" w:fill="auto"/>
            <w:vAlign w:val="center"/>
            <w:hideMark/>
          </w:tcPr>
          <w:p w14:paraId="0A67680D"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El informe de avance presentaba incorrecto el porcentaje esperado.</w:t>
            </w:r>
          </w:p>
        </w:tc>
      </w:tr>
    </w:tbl>
    <w:p w14:paraId="36A77057" w14:textId="047FE0BD" w:rsidR="000B7A67" w:rsidRDefault="000B7A67" w:rsidP="00953FA3">
      <w:pPr>
        <w:spacing w:after="0"/>
        <w:jc w:val="right"/>
        <w:rPr>
          <w:rFonts w:ascii="Book Antiqua" w:hAnsi="Book Antiqua"/>
        </w:rPr>
      </w:pPr>
      <w:r>
        <w:rPr>
          <w:rFonts w:ascii="Book Antiqua" w:hAnsi="Book Antiqua"/>
        </w:rPr>
        <w:t xml:space="preserve"> “</w:t>
      </w:r>
      <w:r w:rsidR="00953FA3">
        <w:rPr>
          <w:rFonts w:ascii="Book Antiqua" w:hAnsi="Book Antiqua"/>
        </w:rPr>
        <w:t>.</w:t>
      </w:r>
    </w:p>
    <w:p w14:paraId="508D7D6A" w14:textId="77777777" w:rsidR="000B7A67" w:rsidRDefault="000B7A67" w:rsidP="000B7A67">
      <w:pPr>
        <w:spacing w:after="0"/>
        <w:jc w:val="both"/>
        <w:rPr>
          <w:rFonts w:ascii="Book Antiqua" w:hAnsi="Book Antiqua"/>
          <w:sz w:val="24"/>
          <w:szCs w:val="24"/>
        </w:rPr>
      </w:pPr>
      <w:r>
        <w:rPr>
          <w:rFonts w:ascii="Book Antiqua" w:hAnsi="Book Antiqua"/>
          <w:sz w:val="24"/>
          <w:szCs w:val="24"/>
        </w:rPr>
        <w:t>Con la finalidad de dar seguimiento a esta recomendación, se remite correo a la oficina mediante el oficio 1824</w:t>
      </w:r>
      <w:r w:rsidRPr="004C19A1">
        <w:rPr>
          <w:rFonts w:ascii="Book Antiqua" w:hAnsi="Book Antiqua"/>
          <w:sz w:val="24"/>
          <w:szCs w:val="24"/>
        </w:rPr>
        <w:t>-PLA-PP-TR-2023</w:t>
      </w:r>
      <w:r>
        <w:rPr>
          <w:rFonts w:ascii="Book Antiqua" w:hAnsi="Book Antiqua"/>
          <w:sz w:val="24"/>
          <w:szCs w:val="24"/>
        </w:rPr>
        <w:t xml:space="preserve">. </w:t>
      </w:r>
    </w:p>
    <w:p w14:paraId="5F11341B" w14:textId="77777777" w:rsidR="000B7A67" w:rsidRDefault="000B7A67" w:rsidP="000B7A67">
      <w:pPr>
        <w:spacing w:after="0"/>
        <w:jc w:val="both"/>
        <w:rPr>
          <w:rFonts w:ascii="Book Antiqua" w:hAnsi="Book Antiqua"/>
        </w:rPr>
      </w:pPr>
    </w:p>
    <w:p w14:paraId="3208DF87" w14:textId="231E76DC" w:rsidR="000B7A67" w:rsidRDefault="000B7A67" w:rsidP="000B7A67">
      <w:pPr>
        <w:spacing w:after="0"/>
        <w:jc w:val="both"/>
        <w:rPr>
          <w:rFonts w:ascii="Book Antiqua" w:hAnsi="Book Antiqua"/>
        </w:rPr>
      </w:pPr>
      <w:r>
        <w:rPr>
          <w:rFonts w:ascii="Book Antiqua" w:hAnsi="Book Antiqua"/>
          <w:sz w:val="24"/>
          <w:szCs w:val="24"/>
        </w:rPr>
        <w:t>Además,</w:t>
      </w:r>
      <w:r w:rsidRPr="00FA687A">
        <w:rPr>
          <w:rFonts w:ascii="Book Antiqua" w:hAnsi="Book Antiqua"/>
          <w:sz w:val="24"/>
          <w:szCs w:val="24"/>
        </w:rPr>
        <w:t xml:space="preserve"> se procedió a revisar en </w:t>
      </w:r>
      <w:r>
        <w:rPr>
          <w:rFonts w:ascii="Book Antiqua" w:hAnsi="Book Antiqua"/>
          <w:sz w:val="24"/>
          <w:szCs w:val="24"/>
        </w:rPr>
        <w:t>el</w:t>
      </w:r>
      <w:r w:rsidRPr="00FA687A">
        <w:rPr>
          <w:rFonts w:ascii="Book Antiqua" w:hAnsi="Book Antiqua"/>
          <w:sz w:val="24"/>
          <w:szCs w:val="24"/>
        </w:rPr>
        <w:t xml:space="preserve"> centro de proyectos</w:t>
      </w:r>
      <w:r>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 recomendaci</w:t>
      </w:r>
      <w:r w:rsidR="00700231">
        <w:rPr>
          <w:rFonts w:ascii="Book Antiqua" w:hAnsi="Book Antiqua"/>
          <w:sz w:val="24"/>
          <w:szCs w:val="24"/>
        </w:rPr>
        <w:t>ón</w:t>
      </w:r>
      <w:r w:rsidRPr="00FA687A">
        <w:rPr>
          <w:rFonts w:ascii="Book Antiqua" w:hAnsi="Book Antiqua"/>
          <w:sz w:val="24"/>
          <w:szCs w:val="24"/>
        </w:rPr>
        <w:t xml:space="preserve"> (</w:t>
      </w:r>
      <w:hyperlink r:id="rId32" w:history="1">
        <w:r w:rsidRPr="00B75689">
          <w:rPr>
            <w:rStyle w:val="Hipervnculo"/>
            <w:rFonts w:ascii="Book Antiqua" w:hAnsi="Book Antiqua"/>
            <w:sz w:val="24"/>
            <w:szCs w:val="24"/>
          </w:rPr>
          <w:t>Ver enlace:</w:t>
        </w:r>
        <w:r w:rsidRPr="00B75689">
          <w:rPr>
            <w:rStyle w:val="Hipervnculo"/>
          </w:rPr>
          <w:t xml:space="preserve"> </w:t>
        </w:r>
        <w:r w:rsidRPr="00B75689">
          <w:rPr>
            <w:rStyle w:val="Hipervnculo"/>
            <w:rFonts w:ascii="Book Antiqua" w:hAnsi="Book Antiqua"/>
            <w:sz w:val="24"/>
            <w:szCs w:val="24"/>
          </w:rPr>
          <w:t>Segundo Circuito Judicial Alajuela</w:t>
        </w:r>
      </w:hyperlink>
      <w:r w:rsidRPr="00FA687A">
        <w:rPr>
          <w:rFonts w:ascii="Book Antiqua" w:hAnsi="Book Antiqua"/>
          <w:sz w:val="24"/>
          <w:szCs w:val="24"/>
        </w:rPr>
        <w:t>)</w:t>
      </w:r>
      <w:r w:rsidRPr="004C0359">
        <w:rPr>
          <w:rFonts w:ascii="Book Antiqua" w:hAnsi="Book Antiqua"/>
          <w:sz w:val="24"/>
          <w:szCs w:val="24"/>
        </w:rPr>
        <w:t xml:space="preserve">; </w:t>
      </w:r>
      <w:r>
        <w:rPr>
          <w:rFonts w:ascii="Book Antiqua" w:hAnsi="Book Antiqua"/>
          <w:sz w:val="24"/>
          <w:szCs w:val="24"/>
        </w:rPr>
        <w:t>constatando el cumplimiento de la misma.</w:t>
      </w:r>
    </w:p>
    <w:p w14:paraId="19741137" w14:textId="77777777" w:rsidR="000B7A67" w:rsidRDefault="000B7A67" w:rsidP="000B7A67">
      <w:pPr>
        <w:spacing w:after="0"/>
        <w:jc w:val="both"/>
        <w:rPr>
          <w:rFonts w:ascii="Book Antiqua" w:hAnsi="Book Antiqua"/>
        </w:rPr>
      </w:pPr>
    </w:p>
    <w:p w14:paraId="14C53649" w14:textId="77777777" w:rsidR="000B7A67" w:rsidRPr="00FD718A" w:rsidRDefault="000B7A67" w:rsidP="000B7A67">
      <w:pPr>
        <w:pStyle w:val="Ttulo2"/>
        <w:numPr>
          <w:ilvl w:val="0"/>
          <w:numId w:val="3"/>
        </w:numPr>
        <w:tabs>
          <w:tab w:val="left" w:pos="851"/>
        </w:tabs>
        <w:spacing w:before="0"/>
        <w:jc w:val="both"/>
        <w:rPr>
          <w:rFonts w:ascii="Book Antiqua" w:hAnsi="Book Antiqua"/>
          <w:b/>
          <w:bCs/>
        </w:rPr>
      </w:pPr>
      <w:bookmarkStart w:id="59" w:name="_Toc131160579"/>
      <w:bookmarkStart w:id="60" w:name="_Toc138770843"/>
      <w:r w:rsidRPr="00FD718A">
        <w:rPr>
          <w:rFonts w:ascii="Book Antiqua" w:eastAsia="Wingdings" w:hAnsi="Book Antiqua"/>
          <w:b/>
          <w:bCs/>
          <w:color w:val="auto"/>
          <w:lang w:eastAsia="ko-KR"/>
        </w:rPr>
        <w:t>Recomendaciones dirigidas al Segundo Circuito Judicial Zona Sur</w:t>
      </w:r>
      <w:bookmarkEnd w:id="59"/>
      <w:bookmarkEnd w:id="60"/>
      <w:r w:rsidRPr="00FD718A">
        <w:rPr>
          <w:rFonts w:ascii="Book Antiqua" w:eastAsia="Wingdings" w:hAnsi="Book Antiqua"/>
          <w:b/>
          <w:bCs/>
          <w:color w:val="auto"/>
          <w:lang w:eastAsia="ko-KR"/>
        </w:rPr>
        <w:t xml:space="preserve"> </w:t>
      </w:r>
    </w:p>
    <w:p w14:paraId="6CC0570C" w14:textId="77777777" w:rsidR="000B7A67" w:rsidRDefault="000B7A67" w:rsidP="000B7A67">
      <w:pPr>
        <w:spacing w:after="0"/>
        <w:jc w:val="both"/>
        <w:rPr>
          <w:rFonts w:ascii="Book Antiqua" w:hAnsi="Book Antiqua"/>
        </w:rPr>
      </w:pPr>
    </w:p>
    <w:p w14:paraId="29D860F8" w14:textId="77777777" w:rsidR="000B7A67" w:rsidRDefault="000B7A67" w:rsidP="000B7A67">
      <w:pPr>
        <w:spacing w:after="0"/>
        <w:rPr>
          <w:rFonts w:ascii="Book Antiqua" w:hAnsi="Book Antiqua"/>
          <w:sz w:val="24"/>
          <w:szCs w:val="24"/>
        </w:rPr>
      </w:pPr>
      <w:r>
        <w:rPr>
          <w:rFonts w:ascii="Book Antiqua" w:hAnsi="Book Antiqua"/>
          <w:sz w:val="24"/>
          <w:szCs w:val="24"/>
        </w:rPr>
        <w:t xml:space="preserve">En el informe 277-PLA-PP-2023, se dirigió una recomendación al </w:t>
      </w:r>
      <w:r w:rsidRPr="00F41294">
        <w:rPr>
          <w:rFonts w:ascii="Book Antiqua" w:hAnsi="Book Antiqua"/>
          <w:b/>
          <w:bCs/>
          <w:sz w:val="24"/>
          <w:szCs w:val="24"/>
        </w:rPr>
        <w:t>Segundo Circuito Judicial Zona Sur</w:t>
      </w:r>
      <w:r>
        <w:rPr>
          <w:rFonts w:ascii="Book Antiqua" w:eastAsia="Wingdings" w:hAnsi="Book Antiqua"/>
          <w:b/>
          <w:bCs/>
          <w:lang w:eastAsia="ko-KR"/>
        </w:rPr>
        <w:t>,</w:t>
      </w:r>
      <w:r>
        <w:rPr>
          <w:rFonts w:ascii="Book Antiqua" w:hAnsi="Book Antiqua"/>
          <w:sz w:val="24"/>
          <w:szCs w:val="24"/>
        </w:rPr>
        <w:t xml:space="preserve"> debido a que existía un proyecto con gestiones pendientes de atender o nuevas recomendaciones, por lo anterior se realiza el seguimiento a las siguientes recomendaciones:</w:t>
      </w:r>
    </w:p>
    <w:p w14:paraId="6D0CDC70" w14:textId="77777777" w:rsidR="000B7A67" w:rsidRDefault="000B7A67" w:rsidP="000B7A67">
      <w:pPr>
        <w:spacing w:after="0"/>
        <w:jc w:val="both"/>
        <w:rPr>
          <w:lang w:eastAsia="ko-KR"/>
        </w:rPr>
      </w:pPr>
    </w:p>
    <w:p w14:paraId="2171A66E" w14:textId="77777777" w:rsidR="000B7A67" w:rsidRDefault="000B7A67" w:rsidP="000B7A67">
      <w:pPr>
        <w:jc w:val="both"/>
        <w:rPr>
          <w:rFonts w:ascii="Calibri" w:hAnsi="Calibri"/>
          <w:i/>
          <w:iCs/>
        </w:rPr>
      </w:pPr>
      <w:r w:rsidRPr="005C1ADA">
        <w:rPr>
          <w:rFonts w:ascii="Book Antiqua" w:hAnsi="Book Antiqua"/>
          <w:i/>
          <w:iCs/>
          <w:sz w:val="24"/>
          <w:szCs w:val="24"/>
        </w:rPr>
        <w:t>“</w:t>
      </w:r>
      <w:r w:rsidRPr="00F41294">
        <w:rPr>
          <w:rFonts w:ascii="Book Antiqua" w:hAnsi="Book Antiqua"/>
          <w:b/>
          <w:bCs/>
          <w:i/>
          <w:iCs/>
          <w:sz w:val="24"/>
          <w:szCs w:val="24"/>
        </w:rPr>
        <w:t xml:space="preserve">2.17) </w:t>
      </w:r>
      <w:r w:rsidRPr="00F41294">
        <w:rPr>
          <w:rFonts w:ascii="Book Antiqua" w:hAnsi="Book Antiqua"/>
          <w:i/>
          <w:iCs/>
          <w:sz w:val="24"/>
          <w:szCs w:val="24"/>
        </w:rPr>
        <w:t xml:space="preserve">La Administración del Segundo Circuito Judicial de la Zona Sur deberá: a.) A más tardar el 28 de abril del 2023, cargar en el sitio de proyecto la atención de las recomendaciones que para la Delegación de Regional del Organismo de Investigación Judicial de Ciudad Neilly y el Departamento de Servicios Generales se disponen en la tabla respectiva que se incluye en el presente informe. </w:t>
      </w:r>
      <w:r>
        <w:rPr>
          <w:rFonts w:ascii="Book Antiqua" w:hAnsi="Book Antiqua"/>
          <w:i/>
          <w:iCs/>
          <w:sz w:val="24"/>
          <w:szCs w:val="24"/>
        </w:rPr>
        <w:t>b.) Dar seguimiento y verificar que las oficinas líderes que presentan retraso tomen las medidas pertinentes a fin de poder contrarrestar los atrasos presentados y, cuando no sea posible subsanar los atrasos, se deberá valorar la presentación de una solicitud de cambio en los casos que el retraso afecte la fecha de finalización de los proyectos y, que la misma tenga autorización de la persona jefe o del director del proyecto.</w:t>
      </w:r>
    </w:p>
    <w:tbl>
      <w:tblPr>
        <w:tblW w:w="9782" w:type="dxa"/>
        <w:tblInd w:w="-431" w:type="dxa"/>
        <w:tblCellMar>
          <w:left w:w="70" w:type="dxa"/>
          <w:right w:w="70" w:type="dxa"/>
        </w:tblCellMar>
        <w:tblLook w:val="04A0" w:firstRow="1" w:lastRow="0" w:firstColumn="1" w:lastColumn="0" w:noHBand="0" w:noVBand="1"/>
      </w:tblPr>
      <w:tblGrid>
        <w:gridCol w:w="1471"/>
        <w:gridCol w:w="1635"/>
        <w:gridCol w:w="983"/>
        <w:gridCol w:w="2089"/>
        <w:gridCol w:w="970"/>
        <w:gridCol w:w="2634"/>
      </w:tblGrid>
      <w:tr w:rsidR="00BC00B3" w:rsidRPr="00270375" w14:paraId="046E8243" w14:textId="77777777" w:rsidTr="00EF4E17">
        <w:trPr>
          <w:trHeight w:val="300"/>
          <w:tblHeader/>
        </w:trPr>
        <w:tc>
          <w:tcPr>
            <w:tcW w:w="1471"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200A999D"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 xml:space="preserve">Centro de responsabilidad </w:t>
            </w:r>
          </w:p>
        </w:tc>
        <w:tc>
          <w:tcPr>
            <w:tcW w:w="1649" w:type="dxa"/>
            <w:tcBorders>
              <w:top w:val="single" w:sz="4" w:space="0" w:color="auto"/>
              <w:left w:val="nil"/>
              <w:bottom w:val="single" w:sz="4" w:space="0" w:color="auto"/>
              <w:right w:val="single" w:sz="4" w:space="0" w:color="auto"/>
            </w:tcBorders>
            <w:shd w:val="clear" w:color="000000" w:fill="44546A"/>
            <w:vAlign w:val="center"/>
            <w:hideMark/>
          </w:tcPr>
          <w:p w14:paraId="51B3D2BB"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Oficina Líder</w:t>
            </w:r>
          </w:p>
        </w:tc>
        <w:tc>
          <w:tcPr>
            <w:tcW w:w="993" w:type="dxa"/>
            <w:tcBorders>
              <w:top w:val="single" w:sz="4" w:space="0" w:color="auto"/>
              <w:left w:val="nil"/>
              <w:bottom w:val="single" w:sz="4" w:space="0" w:color="auto"/>
              <w:right w:val="single" w:sz="4" w:space="0" w:color="auto"/>
            </w:tcBorders>
            <w:shd w:val="clear" w:color="000000" w:fill="44546A"/>
            <w:vAlign w:val="center"/>
            <w:hideMark/>
          </w:tcPr>
          <w:p w14:paraId="7AA840B3"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Código</w:t>
            </w:r>
          </w:p>
        </w:tc>
        <w:tc>
          <w:tcPr>
            <w:tcW w:w="2125" w:type="dxa"/>
            <w:tcBorders>
              <w:top w:val="single" w:sz="4" w:space="0" w:color="auto"/>
              <w:left w:val="nil"/>
              <w:bottom w:val="single" w:sz="4" w:space="0" w:color="auto"/>
              <w:right w:val="single" w:sz="4" w:space="0" w:color="auto"/>
            </w:tcBorders>
            <w:shd w:val="clear" w:color="000000" w:fill="44546A"/>
            <w:vAlign w:val="center"/>
            <w:hideMark/>
          </w:tcPr>
          <w:p w14:paraId="23C6FB08"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Nombre</w:t>
            </w:r>
          </w:p>
        </w:tc>
        <w:tc>
          <w:tcPr>
            <w:tcW w:w="851" w:type="dxa"/>
            <w:tcBorders>
              <w:top w:val="single" w:sz="4" w:space="0" w:color="auto"/>
              <w:left w:val="nil"/>
              <w:bottom w:val="single" w:sz="4" w:space="0" w:color="auto"/>
              <w:right w:val="single" w:sz="4" w:space="0" w:color="auto"/>
            </w:tcBorders>
            <w:shd w:val="clear" w:color="000000" w:fill="44546A"/>
            <w:vAlign w:val="center"/>
            <w:hideMark/>
          </w:tcPr>
          <w:p w14:paraId="239919E1"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Parte pendiente</w:t>
            </w:r>
          </w:p>
        </w:tc>
        <w:tc>
          <w:tcPr>
            <w:tcW w:w="2693" w:type="dxa"/>
            <w:tcBorders>
              <w:top w:val="single" w:sz="4" w:space="0" w:color="auto"/>
              <w:left w:val="nil"/>
              <w:bottom w:val="single" w:sz="4" w:space="0" w:color="auto"/>
              <w:right w:val="single" w:sz="4" w:space="0" w:color="auto"/>
            </w:tcBorders>
            <w:shd w:val="clear" w:color="000000" w:fill="44546A"/>
            <w:vAlign w:val="center"/>
            <w:hideMark/>
          </w:tcPr>
          <w:p w14:paraId="43829A84"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 xml:space="preserve">Detalle </w:t>
            </w:r>
          </w:p>
        </w:tc>
      </w:tr>
      <w:tr w:rsidR="007E6FC1" w:rsidRPr="00270375" w14:paraId="22C9E221" w14:textId="77777777" w:rsidTr="00EF4E17">
        <w:trPr>
          <w:trHeight w:val="667"/>
        </w:trPr>
        <w:tc>
          <w:tcPr>
            <w:tcW w:w="1471" w:type="dxa"/>
            <w:vMerge w:val="restart"/>
            <w:tcBorders>
              <w:top w:val="nil"/>
              <w:left w:val="single" w:sz="4" w:space="0" w:color="auto"/>
              <w:bottom w:val="single" w:sz="4" w:space="0" w:color="000000"/>
              <w:right w:val="single" w:sz="4" w:space="0" w:color="auto"/>
            </w:tcBorders>
            <w:shd w:val="clear" w:color="auto" w:fill="auto"/>
            <w:vAlign w:val="center"/>
            <w:hideMark/>
          </w:tcPr>
          <w:p w14:paraId="1E8802AF"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Segundo Circuito Judicial Zona Sur</w:t>
            </w:r>
          </w:p>
        </w:tc>
        <w:tc>
          <w:tcPr>
            <w:tcW w:w="1649" w:type="dxa"/>
            <w:tcBorders>
              <w:top w:val="nil"/>
              <w:left w:val="nil"/>
              <w:bottom w:val="single" w:sz="4" w:space="0" w:color="auto"/>
              <w:right w:val="single" w:sz="4" w:space="0" w:color="auto"/>
            </w:tcBorders>
            <w:shd w:val="clear" w:color="auto" w:fill="auto"/>
            <w:vAlign w:val="center"/>
            <w:hideMark/>
          </w:tcPr>
          <w:p w14:paraId="62DBABD8"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 xml:space="preserve">0062 </w:t>
            </w:r>
            <w:r>
              <w:rPr>
                <w:rFonts w:ascii="Book Antiqua" w:eastAsia="Times New Roman" w:hAnsi="Book Antiqua" w:cs="Calibri"/>
                <w:color w:val="000000"/>
                <w:sz w:val="18"/>
                <w:szCs w:val="18"/>
                <w:lang w:eastAsia="es-CR"/>
              </w:rPr>
              <w:t>D</w:t>
            </w:r>
            <w:r w:rsidRPr="00270375">
              <w:rPr>
                <w:rFonts w:ascii="Book Antiqua" w:eastAsia="Times New Roman" w:hAnsi="Book Antiqua" w:cs="Calibri"/>
                <w:color w:val="000000"/>
                <w:sz w:val="18"/>
                <w:szCs w:val="18"/>
                <w:lang w:eastAsia="es-CR"/>
              </w:rPr>
              <w:t xml:space="preserve">elegación </w:t>
            </w:r>
            <w:r>
              <w:rPr>
                <w:rFonts w:ascii="Book Antiqua" w:eastAsia="Times New Roman" w:hAnsi="Book Antiqua" w:cs="Calibri"/>
                <w:color w:val="000000"/>
                <w:sz w:val="18"/>
                <w:szCs w:val="18"/>
                <w:lang w:eastAsia="es-CR"/>
              </w:rPr>
              <w:t>R</w:t>
            </w:r>
            <w:r w:rsidRPr="00270375">
              <w:rPr>
                <w:rFonts w:ascii="Book Antiqua" w:eastAsia="Times New Roman" w:hAnsi="Book Antiqua" w:cs="Calibri"/>
                <w:color w:val="000000"/>
                <w:sz w:val="18"/>
                <w:szCs w:val="18"/>
                <w:lang w:eastAsia="es-CR"/>
              </w:rPr>
              <w:t xml:space="preserve">egional de </w:t>
            </w:r>
            <w:r>
              <w:rPr>
                <w:rFonts w:ascii="Book Antiqua" w:eastAsia="Times New Roman" w:hAnsi="Book Antiqua" w:cs="Calibri"/>
                <w:color w:val="000000"/>
                <w:sz w:val="18"/>
                <w:szCs w:val="18"/>
                <w:lang w:eastAsia="es-CR"/>
              </w:rPr>
              <w:t>C</w:t>
            </w:r>
            <w:r w:rsidRPr="00270375">
              <w:rPr>
                <w:rFonts w:ascii="Book Antiqua" w:eastAsia="Times New Roman" w:hAnsi="Book Antiqua" w:cs="Calibri"/>
                <w:color w:val="000000"/>
                <w:sz w:val="18"/>
                <w:szCs w:val="18"/>
                <w:lang w:eastAsia="es-CR"/>
              </w:rPr>
              <w:t xml:space="preserve">iudad </w:t>
            </w:r>
            <w:r>
              <w:rPr>
                <w:rFonts w:ascii="Book Antiqua" w:eastAsia="Times New Roman" w:hAnsi="Book Antiqua" w:cs="Calibri"/>
                <w:color w:val="000000"/>
                <w:sz w:val="18"/>
                <w:szCs w:val="18"/>
                <w:lang w:eastAsia="es-CR"/>
              </w:rPr>
              <w:t>N</w:t>
            </w:r>
            <w:r w:rsidRPr="00270375">
              <w:rPr>
                <w:rFonts w:ascii="Book Antiqua" w:eastAsia="Times New Roman" w:hAnsi="Book Antiqua" w:cs="Calibri"/>
                <w:color w:val="000000"/>
                <w:sz w:val="18"/>
                <w:szCs w:val="18"/>
                <w:lang w:eastAsia="es-CR"/>
              </w:rPr>
              <w:t>eilly</w:t>
            </w:r>
          </w:p>
        </w:tc>
        <w:tc>
          <w:tcPr>
            <w:tcW w:w="993" w:type="dxa"/>
            <w:tcBorders>
              <w:top w:val="nil"/>
              <w:left w:val="nil"/>
              <w:bottom w:val="single" w:sz="4" w:space="0" w:color="auto"/>
              <w:right w:val="single" w:sz="4" w:space="0" w:color="auto"/>
            </w:tcBorders>
            <w:shd w:val="clear" w:color="auto" w:fill="auto"/>
            <w:vAlign w:val="center"/>
            <w:hideMark/>
          </w:tcPr>
          <w:p w14:paraId="205C671F"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1167-OIJ-P35</w:t>
            </w:r>
          </w:p>
        </w:tc>
        <w:tc>
          <w:tcPr>
            <w:tcW w:w="2125" w:type="dxa"/>
            <w:tcBorders>
              <w:top w:val="nil"/>
              <w:left w:val="nil"/>
              <w:bottom w:val="single" w:sz="4" w:space="0" w:color="auto"/>
              <w:right w:val="single" w:sz="4" w:space="0" w:color="auto"/>
            </w:tcBorders>
            <w:shd w:val="clear" w:color="auto" w:fill="auto"/>
            <w:vAlign w:val="center"/>
            <w:hideMark/>
          </w:tcPr>
          <w:p w14:paraId="13ECC816"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Ampliación del área de Recepción de la Delegación Regional OIJ Corredores</w:t>
            </w:r>
          </w:p>
        </w:tc>
        <w:tc>
          <w:tcPr>
            <w:tcW w:w="851" w:type="dxa"/>
            <w:tcBorders>
              <w:top w:val="nil"/>
              <w:left w:val="nil"/>
              <w:bottom w:val="single" w:sz="4" w:space="0" w:color="auto"/>
              <w:right w:val="single" w:sz="4" w:space="0" w:color="auto"/>
            </w:tcBorders>
            <w:shd w:val="clear" w:color="auto" w:fill="auto"/>
            <w:vAlign w:val="center"/>
            <w:hideMark/>
          </w:tcPr>
          <w:p w14:paraId="7DC4B3D4" w14:textId="77777777" w:rsidR="000B7A67" w:rsidRPr="00270375" w:rsidRDefault="000B7A67" w:rsidP="00F400D6">
            <w:pPr>
              <w:spacing w:after="0" w:line="240" w:lineRule="auto"/>
              <w:jc w:val="center"/>
              <w:rPr>
                <w:rFonts w:ascii="Book Antiqua" w:eastAsia="Times New Roman" w:hAnsi="Book Antiqua" w:cs="Calibri"/>
                <w:sz w:val="18"/>
                <w:szCs w:val="18"/>
                <w:lang w:eastAsia="es-CR"/>
              </w:rPr>
            </w:pPr>
            <w:r w:rsidRPr="00270375">
              <w:rPr>
                <w:rFonts w:ascii="Book Antiqua" w:eastAsia="Times New Roman" w:hAnsi="Book Antiqua" w:cs="Calibri"/>
                <w:sz w:val="18"/>
                <w:szCs w:val="18"/>
                <w:lang w:eastAsia="es-CR"/>
              </w:rPr>
              <w:t>1.30</w:t>
            </w:r>
          </w:p>
        </w:tc>
        <w:tc>
          <w:tcPr>
            <w:tcW w:w="2693" w:type="dxa"/>
            <w:tcBorders>
              <w:top w:val="nil"/>
              <w:left w:val="nil"/>
              <w:bottom w:val="single" w:sz="4" w:space="0" w:color="auto"/>
              <w:right w:val="single" w:sz="4" w:space="0" w:color="auto"/>
            </w:tcBorders>
            <w:shd w:val="clear" w:color="auto" w:fill="auto"/>
            <w:vAlign w:val="center"/>
            <w:hideMark/>
          </w:tcPr>
          <w:p w14:paraId="7E33C2EC"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Pendiente realizar solicitud de cambio para justificar modificación en fecha de fin según cronograma</w:t>
            </w:r>
          </w:p>
        </w:tc>
      </w:tr>
      <w:tr w:rsidR="007E6FC1" w:rsidRPr="00270375" w14:paraId="418A91F1" w14:textId="77777777" w:rsidTr="00EF4E17">
        <w:trPr>
          <w:trHeight w:val="483"/>
        </w:trPr>
        <w:tc>
          <w:tcPr>
            <w:tcW w:w="1471" w:type="dxa"/>
            <w:vMerge/>
            <w:tcBorders>
              <w:top w:val="nil"/>
              <w:left w:val="single" w:sz="4" w:space="0" w:color="auto"/>
              <w:bottom w:val="single" w:sz="4" w:space="0" w:color="000000"/>
              <w:right w:val="single" w:sz="4" w:space="0" w:color="auto"/>
            </w:tcBorders>
            <w:vAlign w:val="center"/>
            <w:hideMark/>
          </w:tcPr>
          <w:p w14:paraId="35F4D259" w14:textId="77777777" w:rsidR="000B7A67" w:rsidRPr="00270375" w:rsidRDefault="000B7A67" w:rsidP="00F400D6">
            <w:pPr>
              <w:spacing w:after="0" w:line="240" w:lineRule="auto"/>
              <w:rPr>
                <w:rFonts w:ascii="Book Antiqua" w:eastAsia="Times New Roman" w:hAnsi="Book Antiqua" w:cs="Calibri"/>
                <w:color w:val="000000"/>
                <w:sz w:val="18"/>
                <w:szCs w:val="18"/>
                <w:lang w:eastAsia="es-CR"/>
              </w:rPr>
            </w:pPr>
          </w:p>
        </w:tc>
        <w:tc>
          <w:tcPr>
            <w:tcW w:w="1649" w:type="dxa"/>
            <w:tcBorders>
              <w:top w:val="nil"/>
              <w:left w:val="nil"/>
              <w:bottom w:val="single" w:sz="4" w:space="0" w:color="auto"/>
              <w:right w:val="single" w:sz="4" w:space="0" w:color="auto"/>
            </w:tcBorders>
            <w:shd w:val="clear" w:color="auto" w:fill="auto"/>
            <w:vAlign w:val="center"/>
            <w:hideMark/>
          </w:tcPr>
          <w:p w14:paraId="0C366951"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0149 Departamento de Servicios Generales</w:t>
            </w:r>
          </w:p>
        </w:tc>
        <w:tc>
          <w:tcPr>
            <w:tcW w:w="993" w:type="dxa"/>
            <w:tcBorders>
              <w:top w:val="nil"/>
              <w:left w:val="nil"/>
              <w:bottom w:val="single" w:sz="4" w:space="0" w:color="auto"/>
              <w:right w:val="single" w:sz="4" w:space="0" w:color="auto"/>
            </w:tcBorders>
            <w:shd w:val="clear" w:color="auto" w:fill="auto"/>
            <w:vAlign w:val="center"/>
            <w:hideMark/>
          </w:tcPr>
          <w:p w14:paraId="1E72F8C2"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0117-DE-P70</w:t>
            </w:r>
          </w:p>
        </w:tc>
        <w:tc>
          <w:tcPr>
            <w:tcW w:w="2125" w:type="dxa"/>
            <w:tcBorders>
              <w:top w:val="nil"/>
              <w:left w:val="nil"/>
              <w:bottom w:val="single" w:sz="4" w:space="0" w:color="auto"/>
              <w:right w:val="single" w:sz="4" w:space="0" w:color="auto"/>
            </w:tcBorders>
            <w:shd w:val="clear" w:color="auto" w:fill="auto"/>
            <w:vAlign w:val="center"/>
            <w:hideMark/>
          </w:tcPr>
          <w:p w14:paraId="3BBDE406"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Construcción de planta de tratamiento para el Edificio de Tribunales de Corredores</w:t>
            </w:r>
          </w:p>
        </w:tc>
        <w:tc>
          <w:tcPr>
            <w:tcW w:w="851" w:type="dxa"/>
            <w:tcBorders>
              <w:top w:val="nil"/>
              <w:left w:val="nil"/>
              <w:bottom w:val="single" w:sz="4" w:space="0" w:color="auto"/>
              <w:right w:val="single" w:sz="4" w:space="0" w:color="auto"/>
            </w:tcBorders>
            <w:shd w:val="clear" w:color="auto" w:fill="auto"/>
            <w:vAlign w:val="center"/>
            <w:hideMark/>
          </w:tcPr>
          <w:p w14:paraId="7EE180D5" w14:textId="77777777" w:rsidR="000B7A67" w:rsidRPr="00270375" w:rsidRDefault="000B7A67" w:rsidP="00F400D6">
            <w:pPr>
              <w:spacing w:after="0" w:line="240" w:lineRule="auto"/>
              <w:jc w:val="center"/>
              <w:rPr>
                <w:rFonts w:ascii="Book Antiqua" w:eastAsia="Times New Roman" w:hAnsi="Book Antiqua" w:cs="Calibri"/>
                <w:sz w:val="18"/>
                <w:szCs w:val="18"/>
                <w:lang w:eastAsia="es-CR"/>
              </w:rPr>
            </w:pPr>
            <w:r w:rsidRPr="00270375">
              <w:rPr>
                <w:rFonts w:ascii="Book Antiqua" w:eastAsia="Times New Roman" w:hAnsi="Book Antiqua" w:cs="Calibri"/>
                <w:sz w:val="18"/>
                <w:szCs w:val="18"/>
                <w:lang w:eastAsia="es-CR"/>
              </w:rPr>
              <w:t>1.30</w:t>
            </w:r>
          </w:p>
        </w:tc>
        <w:tc>
          <w:tcPr>
            <w:tcW w:w="2693" w:type="dxa"/>
            <w:tcBorders>
              <w:top w:val="nil"/>
              <w:left w:val="nil"/>
              <w:bottom w:val="single" w:sz="4" w:space="0" w:color="auto"/>
              <w:right w:val="single" w:sz="4" w:space="0" w:color="auto"/>
            </w:tcBorders>
            <w:shd w:val="clear" w:color="auto" w:fill="auto"/>
            <w:vAlign w:val="center"/>
            <w:hideMark/>
          </w:tcPr>
          <w:p w14:paraId="2C187699"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Pendiente atender correcciones enviadas el 17/3/23 sobre Estudio de factibilidad, acta de constitución, Plan de Gestión.</w:t>
            </w:r>
          </w:p>
        </w:tc>
      </w:tr>
    </w:tbl>
    <w:p w14:paraId="7C0D9387" w14:textId="316095F6" w:rsidR="000B7A67" w:rsidRPr="00F94BAE" w:rsidRDefault="000B7A67" w:rsidP="005B3A32">
      <w:pPr>
        <w:spacing w:after="0" w:line="240" w:lineRule="auto"/>
        <w:jc w:val="right"/>
        <w:rPr>
          <w:rFonts w:ascii="Book Antiqua" w:hAnsi="Book Antiqua"/>
          <w:sz w:val="24"/>
          <w:szCs w:val="24"/>
        </w:rPr>
      </w:pPr>
      <w:r>
        <w:rPr>
          <w:rFonts w:ascii="Book Antiqua" w:hAnsi="Book Antiqua"/>
        </w:rPr>
        <w:t xml:space="preserve"> “</w:t>
      </w:r>
      <w:r w:rsidR="005B3A32">
        <w:rPr>
          <w:rFonts w:ascii="Book Antiqua" w:hAnsi="Book Antiqua"/>
        </w:rPr>
        <w:t>.</w:t>
      </w:r>
    </w:p>
    <w:p w14:paraId="2FE19F19" w14:textId="77777777" w:rsidR="000B7A67" w:rsidRDefault="000B7A67" w:rsidP="000B7A67">
      <w:pPr>
        <w:spacing w:after="0"/>
        <w:jc w:val="both"/>
        <w:rPr>
          <w:rFonts w:ascii="Book Antiqua" w:hAnsi="Book Antiqua"/>
        </w:rPr>
      </w:pPr>
    </w:p>
    <w:p w14:paraId="7DA16210" w14:textId="77777777" w:rsidR="000B7A67" w:rsidRDefault="000B7A67" w:rsidP="000B7A67">
      <w:pPr>
        <w:spacing w:after="0"/>
        <w:jc w:val="both"/>
        <w:rPr>
          <w:rFonts w:ascii="Book Antiqua" w:hAnsi="Book Antiqua"/>
          <w:sz w:val="24"/>
          <w:szCs w:val="24"/>
        </w:rPr>
      </w:pPr>
      <w:r>
        <w:rPr>
          <w:rFonts w:ascii="Book Antiqua" w:hAnsi="Book Antiqua"/>
          <w:sz w:val="24"/>
          <w:szCs w:val="24"/>
        </w:rPr>
        <w:lastRenderedPageBreak/>
        <w:t>Con la finalidad de dar seguimiento a esta recomendación, se remite correo a la oficina mediante el oficio 1825</w:t>
      </w:r>
      <w:r w:rsidRPr="004C19A1">
        <w:rPr>
          <w:rFonts w:ascii="Book Antiqua" w:hAnsi="Book Antiqua"/>
          <w:sz w:val="24"/>
          <w:szCs w:val="24"/>
        </w:rPr>
        <w:t>-PLA-PP-TR-2023</w:t>
      </w:r>
      <w:r>
        <w:rPr>
          <w:rFonts w:ascii="Book Antiqua" w:hAnsi="Book Antiqua"/>
          <w:sz w:val="24"/>
          <w:szCs w:val="24"/>
        </w:rPr>
        <w:t>.</w:t>
      </w:r>
    </w:p>
    <w:p w14:paraId="333BF3CD" w14:textId="77777777" w:rsidR="000B7A67" w:rsidRDefault="000B7A67" w:rsidP="000B7A67">
      <w:pPr>
        <w:spacing w:after="0"/>
        <w:jc w:val="both"/>
        <w:rPr>
          <w:rFonts w:ascii="Book Antiqua" w:hAnsi="Book Antiqua"/>
        </w:rPr>
      </w:pPr>
    </w:p>
    <w:p w14:paraId="1E04E035" w14:textId="77777777" w:rsidR="000B7A67" w:rsidRDefault="000B7A67" w:rsidP="000B7A67">
      <w:pPr>
        <w:spacing w:after="0"/>
        <w:jc w:val="both"/>
        <w:rPr>
          <w:rFonts w:ascii="Book Antiqua" w:hAnsi="Book Antiqua"/>
          <w:sz w:val="24"/>
          <w:szCs w:val="24"/>
        </w:rPr>
      </w:pPr>
      <w:r>
        <w:rPr>
          <w:rFonts w:ascii="Book Antiqua" w:hAnsi="Book Antiqua"/>
          <w:sz w:val="24"/>
          <w:szCs w:val="24"/>
        </w:rPr>
        <w:t>Además,</w:t>
      </w:r>
      <w:r w:rsidRPr="00FA687A">
        <w:rPr>
          <w:rFonts w:ascii="Book Antiqua" w:hAnsi="Book Antiqua"/>
          <w:sz w:val="24"/>
          <w:szCs w:val="24"/>
        </w:rPr>
        <w:t xml:space="preserve"> se procedió a revisar en </w:t>
      </w:r>
      <w:r>
        <w:rPr>
          <w:rFonts w:ascii="Book Antiqua" w:hAnsi="Book Antiqua"/>
          <w:sz w:val="24"/>
          <w:szCs w:val="24"/>
        </w:rPr>
        <w:t>el</w:t>
      </w:r>
      <w:r w:rsidRPr="00FA687A">
        <w:rPr>
          <w:rFonts w:ascii="Book Antiqua" w:hAnsi="Book Antiqua"/>
          <w:sz w:val="24"/>
          <w:szCs w:val="24"/>
        </w:rPr>
        <w:t xml:space="preserve"> centro de proyectos</w:t>
      </w:r>
      <w:r>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estas recomendaciones (</w:t>
      </w:r>
      <w:r w:rsidRPr="00F41294">
        <w:rPr>
          <w:rFonts w:ascii="Book Antiqua" w:hAnsi="Book Antiqua"/>
          <w:sz w:val="24"/>
          <w:szCs w:val="24"/>
        </w:rPr>
        <w:t>Ver enlace:</w:t>
      </w:r>
      <w:r w:rsidRPr="00F41294">
        <w:t xml:space="preserve"> </w:t>
      </w:r>
      <w:hyperlink r:id="rId33" w:history="1">
        <w:r w:rsidRPr="00BD65A7">
          <w:rPr>
            <w:rStyle w:val="Hipervnculo"/>
            <w:rFonts w:ascii="Book Antiqua" w:hAnsi="Book Antiqua"/>
            <w:sz w:val="24"/>
            <w:szCs w:val="24"/>
          </w:rPr>
          <w:t>Segundo Circuito Judicial Zona</w:t>
        </w:r>
        <w:r w:rsidRPr="00BD65A7">
          <w:rPr>
            <w:rStyle w:val="Hipervnculo"/>
          </w:rPr>
          <w:t xml:space="preserve"> </w:t>
        </w:r>
        <w:r w:rsidRPr="00BD65A7">
          <w:rPr>
            <w:rStyle w:val="Hipervnculo"/>
            <w:rFonts w:ascii="Book Antiqua" w:hAnsi="Book Antiqua"/>
            <w:sz w:val="24"/>
            <w:szCs w:val="24"/>
          </w:rPr>
          <w:t>Sur</w:t>
        </w:r>
      </w:hyperlink>
      <w:r w:rsidRPr="00FA687A">
        <w:rPr>
          <w:rFonts w:ascii="Book Antiqua" w:hAnsi="Book Antiqua"/>
          <w:sz w:val="24"/>
          <w:szCs w:val="24"/>
        </w:rPr>
        <w:t>);</w:t>
      </w:r>
      <w:r w:rsidRPr="00414C02">
        <w:rPr>
          <w:rFonts w:ascii="Book Antiqua" w:hAnsi="Book Antiqua"/>
          <w:sz w:val="24"/>
          <w:szCs w:val="24"/>
        </w:rPr>
        <w:t xml:space="preserve"> </w:t>
      </w:r>
      <w:r>
        <w:rPr>
          <w:rFonts w:ascii="Book Antiqua" w:hAnsi="Book Antiqua"/>
          <w:sz w:val="24"/>
          <w:szCs w:val="24"/>
        </w:rPr>
        <w:t>no obstante, se identifica que ambia proyectos continúan con las mismas recomendaciones pendientes de atender, las cuales se reiteran a continuación:</w:t>
      </w:r>
    </w:p>
    <w:p w14:paraId="3C1A17D6" w14:textId="77777777" w:rsidR="000B7A67" w:rsidRDefault="000B7A67" w:rsidP="000B7A67">
      <w:pPr>
        <w:spacing w:after="0"/>
        <w:jc w:val="both"/>
        <w:rPr>
          <w:rFonts w:ascii="Book Antiqua" w:hAnsi="Book Antiqua"/>
          <w:sz w:val="24"/>
          <w:szCs w:val="24"/>
        </w:rPr>
      </w:pPr>
    </w:p>
    <w:p w14:paraId="50114AA0" w14:textId="20E3108C" w:rsidR="000B7A67" w:rsidRDefault="000B7A67" w:rsidP="000B7A67">
      <w:pPr>
        <w:pStyle w:val="Descripcin"/>
        <w:keepNext/>
        <w:spacing w:after="0"/>
        <w:jc w:val="center"/>
        <w:rPr>
          <w:rFonts w:ascii="Book Antiqua" w:hAnsi="Book Antiqua" w:cs="&amp;quot"/>
          <w:b/>
          <w:i w:val="0"/>
          <w:iCs w:val="0"/>
          <w:color w:val="auto"/>
          <w:sz w:val="24"/>
          <w:szCs w:val="24"/>
        </w:rPr>
      </w:pPr>
      <w:bookmarkStart w:id="61" w:name="_Toc131155937"/>
      <w:r w:rsidRPr="00A562C7">
        <w:rPr>
          <w:rFonts w:ascii="Book Antiqua" w:hAnsi="Book Antiqua" w:cs="&amp;quot"/>
          <w:b/>
          <w:i w:val="0"/>
          <w:iCs w:val="0"/>
          <w:color w:val="auto"/>
          <w:sz w:val="24"/>
          <w:szCs w:val="24"/>
        </w:rPr>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sidR="00844144">
        <w:rPr>
          <w:rFonts w:ascii="Book Antiqua" w:hAnsi="Book Antiqua" w:cs="&amp;quot"/>
          <w:b/>
          <w:i w:val="0"/>
          <w:iCs w:val="0"/>
          <w:noProof/>
          <w:color w:val="auto"/>
          <w:sz w:val="24"/>
          <w:szCs w:val="24"/>
        </w:rPr>
        <w:t>14</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sidR="002B7035">
        <w:rPr>
          <w:rFonts w:ascii="Book Antiqua" w:hAnsi="Book Antiqua" w:cs="&amp;quot"/>
          <w:b/>
          <w:i w:val="0"/>
          <w:iCs w:val="0"/>
          <w:color w:val="auto"/>
          <w:sz w:val="24"/>
          <w:szCs w:val="24"/>
        </w:rPr>
        <w:t>l</w:t>
      </w:r>
      <w:r w:rsidRPr="00143168">
        <w:rPr>
          <w:rFonts w:ascii="Book Antiqua" w:hAnsi="Book Antiqua" w:cs="&amp;quot"/>
          <w:b/>
          <w:i w:val="0"/>
          <w:iCs w:val="0"/>
          <w:color w:val="auto"/>
          <w:sz w:val="24"/>
          <w:szCs w:val="24"/>
        </w:rPr>
        <w:t xml:space="preserve"> proyecto</w:t>
      </w:r>
      <w:r w:rsidR="002B7035">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 xml:space="preserve">que tiene pendiente de </w:t>
      </w:r>
      <w:r>
        <w:rPr>
          <w:rFonts w:ascii="Book Antiqua" w:hAnsi="Book Antiqua" w:cs="&amp;quot"/>
          <w:b/>
          <w:i w:val="0"/>
          <w:iCs w:val="0"/>
          <w:color w:val="auto"/>
          <w:sz w:val="24"/>
          <w:szCs w:val="24"/>
        </w:rPr>
        <w:t>atender recomendaciones del Segundo Circuito Zona Sur</w:t>
      </w:r>
      <w:bookmarkEnd w:id="61"/>
    </w:p>
    <w:tbl>
      <w:tblPr>
        <w:tblW w:w="9924" w:type="dxa"/>
        <w:tblInd w:w="-431" w:type="dxa"/>
        <w:tblCellMar>
          <w:left w:w="70" w:type="dxa"/>
          <w:right w:w="70" w:type="dxa"/>
        </w:tblCellMar>
        <w:tblLook w:val="04A0" w:firstRow="1" w:lastRow="0" w:firstColumn="1" w:lastColumn="0" w:noHBand="0" w:noVBand="1"/>
      </w:tblPr>
      <w:tblGrid>
        <w:gridCol w:w="1471"/>
        <w:gridCol w:w="1649"/>
        <w:gridCol w:w="993"/>
        <w:gridCol w:w="2550"/>
        <w:gridCol w:w="992"/>
        <w:gridCol w:w="2269"/>
      </w:tblGrid>
      <w:tr w:rsidR="00BC00B3" w:rsidRPr="00270375" w14:paraId="3CF16C7A" w14:textId="77777777" w:rsidTr="002B7035">
        <w:trPr>
          <w:trHeight w:val="300"/>
        </w:trPr>
        <w:tc>
          <w:tcPr>
            <w:tcW w:w="1471"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4268CCD1"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 xml:space="preserve">Centro de responsabilidad </w:t>
            </w:r>
          </w:p>
        </w:tc>
        <w:tc>
          <w:tcPr>
            <w:tcW w:w="1649" w:type="dxa"/>
            <w:tcBorders>
              <w:top w:val="single" w:sz="4" w:space="0" w:color="auto"/>
              <w:left w:val="nil"/>
              <w:bottom w:val="single" w:sz="4" w:space="0" w:color="auto"/>
              <w:right w:val="single" w:sz="4" w:space="0" w:color="auto"/>
            </w:tcBorders>
            <w:shd w:val="clear" w:color="000000" w:fill="44546A"/>
            <w:vAlign w:val="center"/>
            <w:hideMark/>
          </w:tcPr>
          <w:p w14:paraId="49864EF5"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Oficina Líder</w:t>
            </w:r>
          </w:p>
        </w:tc>
        <w:tc>
          <w:tcPr>
            <w:tcW w:w="993" w:type="dxa"/>
            <w:tcBorders>
              <w:top w:val="single" w:sz="4" w:space="0" w:color="auto"/>
              <w:left w:val="nil"/>
              <w:bottom w:val="single" w:sz="4" w:space="0" w:color="auto"/>
              <w:right w:val="single" w:sz="4" w:space="0" w:color="auto"/>
            </w:tcBorders>
            <w:shd w:val="clear" w:color="000000" w:fill="44546A"/>
            <w:vAlign w:val="center"/>
            <w:hideMark/>
          </w:tcPr>
          <w:p w14:paraId="408FEF76"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Código</w:t>
            </w:r>
          </w:p>
        </w:tc>
        <w:tc>
          <w:tcPr>
            <w:tcW w:w="2550" w:type="dxa"/>
            <w:tcBorders>
              <w:top w:val="single" w:sz="4" w:space="0" w:color="auto"/>
              <w:left w:val="nil"/>
              <w:bottom w:val="single" w:sz="4" w:space="0" w:color="auto"/>
              <w:right w:val="single" w:sz="4" w:space="0" w:color="auto"/>
            </w:tcBorders>
            <w:shd w:val="clear" w:color="000000" w:fill="44546A"/>
            <w:vAlign w:val="center"/>
            <w:hideMark/>
          </w:tcPr>
          <w:p w14:paraId="6CE24F44"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Nombre</w:t>
            </w:r>
          </w:p>
        </w:tc>
        <w:tc>
          <w:tcPr>
            <w:tcW w:w="992" w:type="dxa"/>
            <w:tcBorders>
              <w:top w:val="single" w:sz="4" w:space="0" w:color="auto"/>
              <w:left w:val="nil"/>
              <w:bottom w:val="single" w:sz="4" w:space="0" w:color="auto"/>
              <w:right w:val="single" w:sz="4" w:space="0" w:color="auto"/>
            </w:tcBorders>
            <w:shd w:val="clear" w:color="000000" w:fill="44546A"/>
            <w:vAlign w:val="center"/>
            <w:hideMark/>
          </w:tcPr>
          <w:p w14:paraId="4107D5E5"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Parte pendiente</w:t>
            </w:r>
          </w:p>
        </w:tc>
        <w:tc>
          <w:tcPr>
            <w:tcW w:w="2269" w:type="dxa"/>
            <w:tcBorders>
              <w:top w:val="single" w:sz="4" w:space="0" w:color="auto"/>
              <w:left w:val="nil"/>
              <w:bottom w:val="single" w:sz="4" w:space="0" w:color="auto"/>
              <w:right w:val="single" w:sz="4" w:space="0" w:color="auto"/>
            </w:tcBorders>
            <w:shd w:val="clear" w:color="000000" w:fill="44546A"/>
            <w:vAlign w:val="center"/>
            <w:hideMark/>
          </w:tcPr>
          <w:p w14:paraId="64A58523" w14:textId="77777777" w:rsidR="000B7A67" w:rsidRPr="00270375" w:rsidRDefault="000B7A67" w:rsidP="00F400D6">
            <w:pPr>
              <w:spacing w:after="0" w:line="240" w:lineRule="auto"/>
              <w:jc w:val="center"/>
              <w:rPr>
                <w:rFonts w:ascii="Book Antiqua" w:eastAsia="Times New Roman" w:hAnsi="Book Antiqua" w:cs="Calibri"/>
                <w:b/>
                <w:bCs/>
                <w:color w:val="FFFFFF"/>
                <w:sz w:val="18"/>
                <w:szCs w:val="18"/>
                <w:lang w:eastAsia="es-CR"/>
              </w:rPr>
            </w:pPr>
            <w:r w:rsidRPr="00270375">
              <w:rPr>
                <w:rFonts w:ascii="Book Antiqua" w:eastAsia="Times New Roman" w:hAnsi="Book Antiqua" w:cs="Calibri"/>
                <w:b/>
                <w:bCs/>
                <w:color w:val="FFFFFF"/>
                <w:sz w:val="18"/>
                <w:szCs w:val="18"/>
                <w:lang w:eastAsia="es-CR"/>
              </w:rPr>
              <w:t xml:space="preserve">Detalle </w:t>
            </w:r>
          </w:p>
        </w:tc>
      </w:tr>
      <w:tr w:rsidR="00BC00B3" w:rsidRPr="00270375" w14:paraId="4DB4000E" w14:textId="77777777" w:rsidTr="002B7035">
        <w:trPr>
          <w:trHeight w:val="847"/>
        </w:trPr>
        <w:tc>
          <w:tcPr>
            <w:tcW w:w="1471" w:type="dxa"/>
            <w:tcBorders>
              <w:top w:val="nil"/>
              <w:left w:val="single" w:sz="4" w:space="0" w:color="auto"/>
              <w:bottom w:val="single" w:sz="4" w:space="0" w:color="000000"/>
              <w:right w:val="single" w:sz="4" w:space="0" w:color="auto"/>
            </w:tcBorders>
            <w:vAlign w:val="center"/>
            <w:hideMark/>
          </w:tcPr>
          <w:p w14:paraId="14DB5938" w14:textId="77777777" w:rsidR="000B7A67" w:rsidRPr="00270375" w:rsidRDefault="000B7A67" w:rsidP="00F400D6">
            <w:pPr>
              <w:spacing w:after="0" w:line="240" w:lineRule="auto"/>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Segundo Circuito Judicial Zona Sur</w:t>
            </w:r>
          </w:p>
        </w:tc>
        <w:tc>
          <w:tcPr>
            <w:tcW w:w="1649" w:type="dxa"/>
            <w:tcBorders>
              <w:top w:val="nil"/>
              <w:left w:val="nil"/>
              <w:bottom w:val="single" w:sz="4" w:space="0" w:color="auto"/>
              <w:right w:val="single" w:sz="4" w:space="0" w:color="auto"/>
            </w:tcBorders>
            <w:shd w:val="clear" w:color="auto" w:fill="auto"/>
            <w:vAlign w:val="center"/>
            <w:hideMark/>
          </w:tcPr>
          <w:p w14:paraId="3DFA651A"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0149 Departamento de Servicios Generales</w:t>
            </w:r>
          </w:p>
        </w:tc>
        <w:tc>
          <w:tcPr>
            <w:tcW w:w="993" w:type="dxa"/>
            <w:tcBorders>
              <w:top w:val="nil"/>
              <w:left w:val="nil"/>
              <w:bottom w:val="single" w:sz="4" w:space="0" w:color="auto"/>
              <w:right w:val="single" w:sz="4" w:space="0" w:color="auto"/>
            </w:tcBorders>
            <w:shd w:val="clear" w:color="auto" w:fill="auto"/>
            <w:vAlign w:val="center"/>
            <w:hideMark/>
          </w:tcPr>
          <w:p w14:paraId="4A057348"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0117-DE-P70</w:t>
            </w:r>
          </w:p>
        </w:tc>
        <w:tc>
          <w:tcPr>
            <w:tcW w:w="2550" w:type="dxa"/>
            <w:tcBorders>
              <w:top w:val="nil"/>
              <w:left w:val="nil"/>
              <w:bottom w:val="single" w:sz="4" w:space="0" w:color="auto"/>
              <w:right w:val="single" w:sz="4" w:space="0" w:color="auto"/>
            </w:tcBorders>
            <w:shd w:val="clear" w:color="auto" w:fill="auto"/>
            <w:vAlign w:val="center"/>
            <w:hideMark/>
          </w:tcPr>
          <w:p w14:paraId="4E246D05" w14:textId="77777777" w:rsidR="000B7A67" w:rsidRPr="00270375" w:rsidRDefault="000B7A67" w:rsidP="00F400D6">
            <w:pPr>
              <w:spacing w:after="0" w:line="240" w:lineRule="auto"/>
              <w:jc w:val="center"/>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Construcción de planta de tratamiento para el Edificio de Tribunales de Corredores</w:t>
            </w:r>
          </w:p>
        </w:tc>
        <w:tc>
          <w:tcPr>
            <w:tcW w:w="992" w:type="dxa"/>
            <w:tcBorders>
              <w:top w:val="nil"/>
              <w:left w:val="nil"/>
              <w:bottom w:val="single" w:sz="4" w:space="0" w:color="auto"/>
              <w:right w:val="single" w:sz="4" w:space="0" w:color="auto"/>
            </w:tcBorders>
            <w:shd w:val="clear" w:color="auto" w:fill="auto"/>
            <w:vAlign w:val="center"/>
            <w:hideMark/>
          </w:tcPr>
          <w:p w14:paraId="667726D1" w14:textId="77777777" w:rsidR="000B7A67" w:rsidRPr="00270375" w:rsidRDefault="000B7A67" w:rsidP="00F400D6">
            <w:pPr>
              <w:spacing w:after="0" w:line="240" w:lineRule="auto"/>
              <w:jc w:val="center"/>
              <w:rPr>
                <w:rFonts w:ascii="Book Antiqua" w:eastAsia="Times New Roman" w:hAnsi="Book Antiqua" w:cs="Calibri"/>
                <w:sz w:val="18"/>
                <w:szCs w:val="18"/>
                <w:lang w:eastAsia="es-CR"/>
              </w:rPr>
            </w:pPr>
            <w:r w:rsidRPr="00270375">
              <w:rPr>
                <w:rFonts w:ascii="Book Antiqua" w:eastAsia="Times New Roman" w:hAnsi="Book Antiqua" w:cs="Calibri"/>
                <w:sz w:val="18"/>
                <w:szCs w:val="18"/>
                <w:lang w:eastAsia="es-CR"/>
              </w:rPr>
              <w:t>1.30</w:t>
            </w:r>
          </w:p>
        </w:tc>
        <w:tc>
          <w:tcPr>
            <w:tcW w:w="2269" w:type="dxa"/>
            <w:tcBorders>
              <w:top w:val="nil"/>
              <w:left w:val="nil"/>
              <w:bottom w:val="single" w:sz="4" w:space="0" w:color="auto"/>
              <w:right w:val="single" w:sz="4" w:space="0" w:color="auto"/>
            </w:tcBorders>
            <w:shd w:val="clear" w:color="auto" w:fill="auto"/>
            <w:vAlign w:val="center"/>
            <w:hideMark/>
          </w:tcPr>
          <w:p w14:paraId="0418FD24" w14:textId="77777777" w:rsidR="000B7A67" w:rsidRPr="00270375" w:rsidRDefault="000B7A67" w:rsidP="002B7035">
            <w:pPr>
              <w:spacing w:after="0" w:line="240" w:lineRule="auto"/>
              <w:jc w:val="both"/>
              <w:rPr>
                <w:rFonts w:ascii="Book Antiqua" w:eastAsia="Times New Roman" w:hAnsi="Book Antiqua" w:cs="Calibri"/>
                <w:color w:val="000000"/>
                <w:sz w:val="18"/>
                <w:szCs w:val="18"/>
                <w:lang w:eastAsia="es-CR"/>
              </w:rPr>
            </w:pPr>
            <w:r w:rsidRPr="00270375">
              <w:rPr>
                <w:rFonts w:ascii="Book Antiqua" w:eastAsia="Times New Roman" w:hAnsi="Book Antiqua" w:cs="Calibri"/>
                <w:color w:val="000000"/>
                <w:sz w:val="18"/>
                <w:szCs w:val="18"/>
                <w:lang w:eastAsia="es-CR"/>
              </w:rPr>
              <w:t>Pendiente atender correcciones enviadas el 17/3/23 sobre Estudio de factibilidad, acta de constitución, Plan de Gestión.</w:t>
            </w:r>
          </w:p>
        </w:tc>
      </w:tr>
    </w:tbl>
    <w:p w14:paraId="0D72F8D9" w14:textId="77777777" w:rsidR="000B7A67" w:rsidRDefault="000B7A67" w:rsidP="000B7A67">
      <w:pPr>
        <w:spacing w:after="0"/>
        <w:jc w:val="both"/>
        <w:rPr>
          <w:rFonts w:ascii="Book Antiqua" w:hAnsi="Book Antiqua"/>
          <w:sz w:val="24"/>
          <w:szCs w:val="24"/>
        </w:rPr>
      </w:pPr>
    </w:p>
    <w:p w14:paraId="0EC1558E" w14:textId="77777777" w:rsidR="000B7A67" w:rsidRDefault="000B7A67" w:rsidP="000B7A67">
      <w:pPr>
        <w:spacing w:after="0"/>
        <w:jc w:val="both"/>
        <w:rPr>
          <w:rFonts w:ascii="Book Antiqua" w:hAnsi="Book Antiqua"/>
          <w:b/>
          <w:sz w:val="24"/>
          <w:szCs w:val="24"/>
        </w:rPr>
      </w:pPr>
      <w:r>
        <w:rPr>
          <w:rFonts w:ascii="Book Antiqua" w:hAnsi="Book Antiqua"/>
          <w:sz w:val="24"/>
          <w:szCs w:val="24"/>
        </w:rPr>
        <w:t>El</w:t>
      </w:r>
      <w:r w:rsidRPr="003B26B6">
        <w:rPr>
          <w:rFonts w:ascii="Book Antiqua" w:hAnsi="Book Antiqua"/>
          <w:sz w:val="24"/>
          <w:szCs w:val="24"/>
        </w:rPr>
        <w:t xml:space="preserve"> proyect</w:t>
      </w:r>
      <w:r>
        <w:rPr>
          <w:rFonts w:ascii="Book Antiqua" w:hAnsi="Book Antiqua"/>
          <w:sz w:val="24"/>
          <w:szCs w:val="24"/>
        </w:rPr>
        <w:t>o</w:t>
      </w:r>
      <w:r w:rsidRPr="003B26B6">
        <w:rPr>
          <w:rFonts w:ascii="Book Antiqua" w:hAnsi="Book Antiqua"/>
          <w:sz w:val="24"/>
          <w:szCs w:val="24"/>
        </w:rPr>
        <w:t xml:space="preserve"> anterior</w:t>
      </w:r>
      <w:r>
        <w:rPr>
          <w:rFonts w:ascii="Book Antiqua" w:hAnsi="Book Antiqua"/>
          <w:sz w:val="24"/>
          <w:szCs w:val="24"/>
        </w:rPr>
        <w:t>,</w:t>
      </w:r>
      <w:r w:rsidRPr="009F6F37">
        <w:rPr>
          <w:rFonts w:ascii="Book Antiqua" w:hAnsi="Book Antiqua"/>
          <w:sz w:val="24"/>
          <w:szCs w:val="24"/>
        </w:rPr>
        <w:t xml:space="preserve"> </w:t>
      </w:r>
      <w:r w:rsidRPr="003C0471">
        <w:rPr>
          <w:rFonts w:ascii="Book Antiqua" w:hAnsi="Book Antiqua"/>
          <w:sz w:val="24"/>
          <w:szCs w:val="24"/>
        </w:rPr>
        <w:t xml:space="preserve">tendrá al </w:t>
      </w:r>
      <w:r w:rsidRPr="003C0471">
        <w:rPr>
          <w:rFonts w:ascii="Book Antiqua" w:hAnsi="Book Antiqua"/>
          <w:b/>
          <w:bCs/>
          <w:sz w:val="24"/>
          <w:szCs w:val="24"/>
        </w:rPr>
        <w:t>11 de agosto del 2023 para</w:t>
      </w:r>
      <w:r w:rsidRPr="003B26B6">
        <w:rPr>
          <w:rFonts w:ascii="Book Antiqua" w:hAnsi="Book Antiqua"/>
          <w:b/>
          <w:bCs/>
          <w:sz w:val="24"/>
          <w:szCs w:val="24"/>
        </w:rPr>
        <w:t xml:space="preserve"> </w:t>
      </w:r>
      <w:r>
        <w:rPr>
          <w:rFonts w:ascii="Book Antiqua" w:hAnsi="Book Antiqua"/>
          <w:b/>
          <w:bCs/>
          <w:sz w:val="24"/>
          <w:szCs w:val="24"/>
        </w:rPr>
        <w:t xml:space="preserve">atender las recomendaciones pendientes </w:t>
      </w:r>
      <w:r w:rsidRPr="003B26B6">
        <w:rPr>
          <w:rFonts w:ascii="Book Antiqua" w:hAnsi="Book Antiqua"/>
          <w:b/>
          <w:sz w:val="24"/>
          <w:szCs w:val="24"/>
        </w:rPr>
        <w:t xml:space="preserve">y notificar a la </w:t>
      </w:r>
      <w:r>
        <w:rPr>
          <w:rFonts w:ascii="Book Antiqua" w:hAnsi="Book Antiqua"/>
          <w:b/>
          <w:sz w:val="24"/>
          <w:szCs w:val="24"/>
        </w:rPr>
        <w:t xml:space="preserve">Unidad del Portafolio de Proyectos, </w:t>
      </w:r>
      <w:r w:rsidRPr="003B26B6">
        <w:rPr>
          <w:rFonts w:ascii="Book Antiqua" w:hAnsi="Book Antiqua"/>
          <w:b/>
          <w:sz w:val="24"/>
          <w:szCs w:val="24"/>
        </w:rPr>
        <w:t>Dirección de Planificación</w:t>
      </w:r>
      <w:r>
        <w:rPr>
          <w:rFonts w:ascii="Book Antiqua" w:hAnsi="Book Antiqua"/>
          <w:b/>
          <w:sz w:val="24"/>
          <w:szCs w:val="24"/>
        </w:rPr>
        <w:t>.</w:t>
      </w:r>
    </w:p>
    <w:p w14:paraId="29FBEF52" w14:textId="77777777" w:rsidR="000B7A67" w:rsidRDefault="000B7A67" w:rsidP="000B7A67">
      <w:pPr>
        <w:spacing w:after="0"/>
        <w:jc w:val="both"/>
        <w:rPr>
          <w:rFonts w:ascii="Book Antiqua" w:hAnsi="Book Antiqua"/>
          <w:b/>
          <w:sz w:val="24"/>
          <w:szCs w:val="24"/>
        </w:rPr>
      </w:pPr>
    </w:p>
    <w:p w14:paraId="4118E23F" w14:textId="77777777" w:rsidR="000B7A67" w:rsidRPr="001D2656" w:rsidRDefault="000B7A67" w:rsidP="000B7A67">
      <w:pPr>
        <w:pStyle w:val="Ttulo2"/>
        <w:numPr>
          <w:ilvl w:val="0"/>
          <w:numId w:val="3"/>
        </w:numPr>
        <w:tabs>
          <w:tab w:val="left" w:pos="851"/>
        </w:tabs>
        <w:spacing w:before="0"/>
        <w:jc w:val="both"/>
        <w:rPr>
          <w:rFonts w:ascii="Book Antiqua" w:eastAsia="Wingdings" w:hAnsi="Book Antiqua"/>
          <w:b/>
          <w:bCs/>
          <w:color w:val="auto"/>
          <w:lang w:eastAsia="ko-KR"/>
        </w:rPr>
      </w:pPr>
      <w:bookmarkStart w:id="62" w:name="_Toc138770844"/>
      <w:r w:rsidRPr="001D2656">
        <w:rPr>
          <w:rFonts w:ascii="Book Antiqua" w:eastAsia="Wingdings" w:hAnsi="Book Antiqua"/>
          <w:b/>
          <w:bCs/>
          <w:color w:val="auto"/>
          <w:lang w:eastAsia="ko-KR"/>
        </w:rPr>
        <w:t xml:space="preserve">Recomendaciones dirigidas </w:t>
      </w:r>
      <w:r>
        <w:rPr>
          <w:rFonts w:ascii="Book Antiqua" w:eastAsia="Wingdings" w:hAnsi="Book Antiqua"/>
          <w:b/>
          <w:bCs/>
          <w:color w:val="auto"/>
          <w:lang w:eastAsia="ko-KR"/>
        </w:rPr>
        <w:t xml:space="preserve">al </w:t>
      </w:r>
      <w:r w:rsidRPr="00CF5CE4">
        <w:rPr>
          <w:rFonts w:ascii="Book Antiqua" w:eastAsia="Wingdings" w:hAnsi="Book Antiqua"/>
          <w:b/>
          <w:bCs/>
          <w:color w:val="auto"/>
          <w:lang w:eastAsia="ko-KR"/>
        </w:rPr>
        <w:t>Tercer Circuito Judicial Alajuela</w:t>
      </w:r>
      <w:bookmarkEnd w:id="62"/>
    </w:p>
    <w:p w14:paraId="72AC7356" w14:textId="77777777" w:rsidR="000B7A67" w:rsidRDefault="000B7A67" w:rsidP="000B7A67">
      <w:pPr>
        <w:spacing w:after="0"/>
        <w:jc w:val="both"/>
        <w:rPr>
          <w:rFonts w:ascii="Book Antiqua" w:hAnsi="Book Antiqua"/>
        </w:rPr>
      </w:pPr>
    </w:p>
    <w:p w14:paraId="5CD18C06" w14:textId="77777777" w:rsidR="000B7A67" w:rsidRDefault="000B7A67" w:rsidP="000B7A67">
      <w:pPr>
        <w:spacing w:after="0"/>
        <w:jc w:val="both"/>
        <w:rPr>
          <w:rFonts w:ascii="Book Antiqua" w:hAnsi="Book Antiqua"/>
          <w:sz w:val="24"/>
          <w:szCs w:val="24"/>
        </w:rPr>
      </w:pPr>
      <w:r>
        <w:rPr>
          <w:rFonts w:ascii="Book Antiqua" w:hAnsi="Book Antiqua"/>
          <w:sz w:val="24"/>
          <w:szCs w:val="24"/>
        </w:rPr>
        <w:t xml:space="preserve">En el informe 277-PLA-PP-2023, se dirigió una recomendación al </w:t>
      </w:r>
      <w:r w:rsidRPr="00CF5CE4">
        <w:rPr>
          <w:rFonts w:ascii="Book Antiqua" w:hAnsi="Book Antiqua"/>
          <w:b/>
          <w:bCs/>
          <w:sz w:val="24"/>
          <w:szCs w:val="24"/>
        </w:rPr>
        <w:t>Tercer Circuito Judicial Alajuela</w:t>
      </w:r>
      <w:r>
        <w:rPr>
          <w:rFonts w:ascii="Book Antiqua" w:eastAsia="Wingdings" w:hAnsi="Book Antiqua"/>
          <w:b/>
          <w:bCs/>
          <w:lang w:eastAsia="ko-KR"/>
        </w:rPr>
        <w:t>,</w:t>
      </w:r>
      <w:r>
        <w:rPr>
          <w:rFonts w:ascii="Book Antiqua" w:hAnsi="Book Antiqua"/>
          <w:sz w:val="24"/>
          <w:szCs w:val="24"/>
        </w:rPr>
        <w:t xml:space="preserve"> debido a que existía un proyecto con gestiones pendientes de atender o nuevas recomendaciones, por lo anterior se realiza el seguimiento a las siguientes recomendaciones:</w:t>
      </w:r>
    </w:p>
    <w:p w14:paraId="6DF59DAA" w14:textId="77777777" w:rsidR="000B7A67" w:rsidRDefault="000B7A67" w:rsidP="000B7A67">
      <w:pPr>
        <w:spacing w:after="0"/>
        <w:jc w:val="both"/>
        <w:rPr>
          <w:rFonts w:ascii="Book Antiqua" w:hAnsi="Book Antiqua"/>
          <w:sz w:val="24"/>
          <w:szCs w:val="24"/>
        </w:rPr>
      </w:pPr>
    </w:p>
    <w:p w14:paraId="02AE7AA6" w14:textId="77777777" w:rsidR="000B7A67" w:rsidRDefault="000B7A67" w:rsidP="000B7A67">
      <w:pPr>
        <w:spacing w:after="0" w:line="240" w:lineRule="auto"/>
        <w:jc w:val="both"/>
        <w:rPr>
          <w:rFonts w:ascii="Book Antiqua" w:hAnsi="Book Antiqua"/>
          <w:i/>
          <w:iCs/>
          <w:sz w:val="24"/>
          <w:szCs w:val="24"/>
        </w:rPr>
      </w:pPr>
      <w:r w:rsidRPr="005C1ADA">
        <w:rPr>
          <w:rFonts w:ascii="Book Antiqua" w:hAnsi="Book Antiqua"/>
          <w:i/>
          <w:iCs/>
          <w:sz w:val="24"/>
          <w:szCs w:val="24"/>
        </w:rPr>
        <w:t>“</w:t>
      </w:r>
      <w:r w:rsidRPr="007505ED">
        <w:rPr>
          <w:rFonts w:ascii="Book Antiqua" w:hAnsi="Book Antiqua"/>
          <w:b/>
          <w:bCs/>
          <w:i/>
          <w:iCs/>
          <w:sz w:val="24"/>
          <w:szCs w:val="24"/>
        </w:rPr>
        <w:t xml:space="preserve">2.10) </w:t>
      </w:r>
      <w:r w:rsidRPr="007505ED">
        <w:rPr>
          <w:rFonts w:ascii="Book Antiqua" w:hAnsi="Book Antiqua"/>
          <w:i/>
          <w:iCs/>
          <w:sz w:val="24"/>
          <w:szCs w:val="24"/>
        </w:rPr>
        <w:t>El Centro de Conciliación del Poder Judicial, las Comisiones de  la Jurisdicción Agrario y Agroambiental, de Acceso a la Justicia, la Defensa Pública, el Departamento de Prensa y Comunicación Organizacional, el Programa Justicia Restaurativa, así como las Administraciones Regionales del Segundo Circuito Judicial de Alajuela, Tercer Circuito Judicial Alajuela, de la Ciudad Judicial de San Joaquín de Flores, de Puntarenas, del Primer Circuito Judicial Guanacaste y Primer Circuito Judicial de la Zona Sur, deberán a más tardar el 28 de abril del 2023, cargar en el sitio de proyecto la atención de las recomendaciones que se describen en la tabla correspondiente expuesta en el presente informe.</w:t>
      </w:r>
    </w:p>
    <w:p w14:paraId="1114D3C7" w14:textId="77777777" w:rsidR="00270E0A" w:rsidRDefault="00270E0A" w:rsidP="000B7A67">
      <w:pPr>
        <w:spacing w:after="0" w:line="240" w:lineRule="auto"/>
        <w:jc w:val="both"/>
        <w:rPr>
          <w:rFonts w:ascii="Book Antiqua" w:hAnsi="Book Antiqua"/>
          <w:i/>
          <w:iCs/>
          <w:sz w:val="24"/>
          <w:szCs w:val="24"/>
        </w:rPr>
      </w:pPr>
    </w:p>
    <w:p w14:paraId="4A1522F2" w14:textId="77777777" w:rsidR="00270E0A" w:rsidRDefault="00270E0A" w:rsidP="000B7A67">
      <w:pPr>
        <w:spacing w:after="0" w:line="240" w:lineRule="auto"/>
        <w:jc w:val="both"/>
        <w:rPr>
          <w:rFonts w:ascii="Book Antiqua" w:hAnsi="Book Antiqua"/>
          <w:i/>
          <w:iCs/>
          <w:sz w:val="24"/>
          <w:szCs w:val="24"/>
        </w:rPr>
      </w:pPr>
    </w:p>
    <w:tbl>
      <w:tblPr>
        <w:tblW w:w="9498" w:type="dxa"/>
        <w:tblInd w:w="-289" w:type="dxa"/>
        <w:tblCellMar>
          <w:left w:w="70" w:type="dxa"/>
          <w:right w:w="70" w:type="dxa"/>
        </w:tblCellMar>
        <w:tblLook w:val="04A0" w:firstRow="1" w:lastRow="0" w:firstColumn="1" w:lastColumn="0" w:noHBand="0" w:noVBand="1"/>
      </w:tblPr>
      <w:tblGrid>
        <w:gridCol w:w="1470"/>
        <w:gridCol w:w="1805"/>
        <w:gridCol w:w="954"/>
        <w:gridCol w:w="1867"/>
        <w:gridCol w:w="992"/>
        <w:gridCol w:w="2410"/>
      </w:tblGrid>
      <w:tr w:rsidR="00BC00B3" w:rsidRPr="00E409D3" w14:paraId="3EAE48FA" w14:textId="77777777" w:rsidTr="002B7035">
        <w:trPr>
          <w:trHeight w:val="300"/>
        </w:trPr>
        <w:tc>
          <w:tcPr>
            <w:tcW w:w="147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7AA3D764" w14:textId="77777777" w:rsidR="000B7A67" w:rsidRPr="00E409D3" w:rsidRDefault="000B7A67" w:rsidP="00F400D6">
            <w:pPr>
              <w:spacing w:after="0" w:line="240" w:lineRule="auto"/>
              <w:jc w:val="center"/>
              <w:rPr>
                <w:rFonts w:ascii="Book Antiqua" w:eastAsia="Times New Roman" w:hAnsi="Book Antiqua" w:cs="Calibri"/>
                <w:b/>
                <w:bCs/>
                <w:color w:val="FFFFFF"/>
                <w:sz w:val="18"/>
                <w:szCs w:val="18"/>
                <w:lang w:eastAsia="es-CR"/>
              </w:rPr>
            </w:pPr>
            <w:bookmarkStart w:id="63" w:name="_Hlk138258363"/>
            <w:r w:rsidRPr="00E409D3">
              <w:rPr>
                <w:rFonts w:ascii="Book Antiqua" w:eastAsia="Times New Roman" w:hAnsi="Book Antiqua" w:cs="Calibri"/>
                <w:b/>
                <w:bCs/>
                <w:color w:val="FFFFFF"/>
                <w:sz w:val="18"/>
                <w:szCs w:val="18"/>
                <w:lang w:eastAsia="es-CR"/>
              </w:rPr>
              <w:t xml:space="preserve">Centro de responsabilidad </w:t>
            </w:r>
          </w:p>
        </w:tc>
        <w:tc>
          <w:tcPr>
            <w:tcW w:w="1805" w:type="dxa"/>
            <w:tcBorders>
              <w:top w:val="single" w:sz="4" w:space="0" w:color="auto"/>
              <w:left w:val="nil"/>
              <w:bottom w:val="single" w:sz="4" w:space="0" w:color="auto"/>
              <w:right w:val="single" w:sz="4" w:space="0" w:color="auto"/>
            </w:tcBorders>
            <w:shd w:val="clear" w:color="000000" w:fill="44546A"/>
            <w:vAlign w:val="center"/>
            <w:hideMark/>
          </w:tcPr>
          <w:p w14:paraId="7A8B1428" w14:textId="77777777" w:rsidR="000B7A67" w:rsidRPr="00E409D3" w:rsidRDefault="000B7A67" w:rsidP="00F400D6">
            <w:pPr>
              <w:spacing w:after="0" w:line="240" w:lineRule="auto"/>
              <w:jc w:val="center"/>
              <w:rPr>
                <w:rFonts w:ascii="Book Antiqua" w:eastAsia="Times New Roman" w:hAnsi="Book Antiqua" w:cs="Calibri"/>
                <w:b/>
                <w:bCs/>
                <w:color w:val="FFFFFF"/>
                <w:sz w:val="18"/>
                <w:szCs w:val="18"/>
                <w:lang w:eastAsia="es-CR"/>
              </w:rPr>
            </w:pPr>
            <w:r w:rsidRPr="00E409D3">
              <w:rPr>
                <w:rFonts w:ascii="Book Antiqua" w:eastAsia="Times New Roman" w:hAnsi="Book Antiqua" w:cs="Calibri"/>
                <w:b/>
                <w:bCs/>
                <w:color w:val="FFFFFF"/>
                <w:sz w:val="18"/>
                <w:szCs w:val="18"/>
                <w:lang w:eastAsia="es-CR"/>
              </w:rPr>
              <w:t>Oficina Líder</w:t>
            </w:r>
          </w:p>
        </w:tc>
        <w:tc>
          <w:tcPr>
            <w:tcW w:w="954" w:type="dxa"/>
            <w:tcBorders>
              <w:top w:val="single" w:sz="4" w:space="0" w:color="auto"/>
              <w:left w:val="nil"/>
              <w:bottom w:val="single" w:sz="4" w:space="0" w:color="auto"/>
              <w:right w:val="single" w:sz="4" w:space="0" w:color="auto"/>
            </w:tcBorders>
            <w:shd w:val="clear" w:color="000000" w:fill="44546A"/>
            <w:vAlign w:val="center"/>
            <w:hideMark/>
          </w:tcPr>
          <w:p w14:paraId="44914AFA" w14:textId="77777777" w:rsidR="000B7A67" w:rsidRPr="00E409D3" w:rsidRDefault="000B7A67" w:rsidP="00F400D6">
            <w:pPr>
              <w:spacing w:after="0" w:line="240" w:lineRule="auto"/>
              <w:jc w:val="center"/>
              <w:rPr>
                <w:rFonts w:ascii="Book Antiqua" w:eastAsia="Times New Roman" w:hAnsi="Book Antiqua" w:cs="Calibri"/>
                <w:b/>
                <w:bCs/>
                <w:color w:val="FFFFFF"/>
                <w:sz w:val="18"/>
                <w:szCs w:val="18"/>
                <w:lang w:eastAsia="es-CR"/>
              </w:rPr>
            </w:pPr>
            <w:r w:rsidRPr="00E409D3">
              <w:rPr>
                <w:rFonts w:ascii="Book Antiqua" w:eastAsia="Times New Roman" w:hAnsi="Book Antiqua" w:cs="Calibri"/>
                <w:b/>
                <w:bCs/>
                <w:color w:val="FFFFFF"/>
                <w:sz w:val="18"/>
                <w:szCs w:val="18"/>
                <w:lang w:eastAsia="es-CR"/>
              </w:rPr>
              <w:t>Código</w:t>
            </w:r>
          </w:p>
        </w:tc>
        <w:tc>
          <w:tcPr>
            <w:tcW w:w="1867" w:type="dxa"/>
            <w:tcBorders>
              <w:top w:val="single" w:sz="4" w:space="0" w:color="auto"/>
              <w:left w:val="nil"/>
              <w:bottom w:val="single" w:sz="4" w:space="0" w:color="auto"/>
              <w:right w:val="single" w:sz="4" w:space="0" w:color="auto"/>
            </w:tcBorders>
            <w:shd w:val="clear" w:color="000000" w:fill="44546A"/>
            <w:vAlign w:val="center"/>
            <w:hideMark/>
          </w:tcPr>
          <w:p w14:paraId="14F629D2" w14:textId="77777777" w:rsidR="000B7A67" w:rsidRPr="00E409D3" w:rsidRDefault="000B7A67" w:rsidP="00F400D6">
            <w:pPr>
              <w:spacing w:after="0" w:line="240" w:lineRule="auto"/>
              <w:jc w:val="center"/>
              <w:rPr>
                <w:rFonts w:ascii="Book Antiqua" w:eastAsia="Times New Roman" w:hAnsi="Book Antiqua" w:cs="Calibri"/>
                <w:b/>
                <w:bCs/>
                <w:color w:val="FFFFFF"/>
                <w:sz w:val="18"/>
                <w:szCs w:val="18"/>
                <w:lang w:eastAsia="es-CR"/>
              </w:rPr>
            </w:pPr>
            <w:r w:rsidRPr="00E409D3">
              <w:rPr>
                <w:rFonts w:ascii="Book Antiqua" w:eastAsia="Times New Roman" w:hAnsi="Book Antiqua" w:cs="Calibri"/>
                <w:b/>
                <w:bCs/>
                <w:color w:val="FFFFFF"/>
                <w:sz w:val="18"/>
                <w:szCs w:val="18"/>
                <w:lang w:eastAsia="es-CR"/>
              </w:rPr>
              <w:t>Nombre</w:t>
            </w:r>
          </w:p>
        </w:tc>
        <w:tc>
          <w:tcPr>
            <w:tcW w:w="992" w:type="dxa"/>
            <w:tcBorders>
              <w:top w:val="single" w:sz="4" w:space="0" w:color="auto"/>
              <w:left w:val="nil"/>
              <w:bottom w:val="single" w:sz="4" w:space="0" w:color="auto"/>
              <w:right w:val="single" w:sz="4" w:space="0" w:color="auto"/>
            </w:tcBorders>
            <w:shd w:val="clear" w:color="000000" w:fill="44546A"/>
            <w:vAlign w:val="center"/>
            <w:hideMark/>
          </w:tcPr>
          <w:p w14:paraId="42AF1E54" w14:textId="77777777" w:rsidR="000B7A67" w:rsidRPr="00E409D3" w:rsidRDefault="000B7A67" w:rsidP="00F400D6">
            <w:pPr>
              <w:spacing w:after="0" w:line="240" w:lineRule="auto"/>
              <w:jc w:val="center"/>
              <w:rPr>
                <w:rFonts w:ascii="Book Antiqua" w:eastAsia="Times New Roman" w:hAnsi="Book Antiqua" w:cs="Calibri"/>
                <w:b/>
                <w:bCs/>
                <w:color w:val="FFFFFF"/>
                <w:sz w:val="18"/>
                <w:szCs w:val="18"/>
                <w:lang w:eastAsia="es-CR"/>
              </w:rPr>
            </w:pPr>
            <w:r w:rsidRPr="00E409D3">
              <w:rPr>
                <w:rFonts w:ascii="Book Antiqua" w:eastAsia="Times New Roman" w:hAnsi="Book Antiqua" w:cs="Calibri"/>
                <w:b/>
                <w:bCs/>
                <w:color w:val="FFFFFF"/>
                <w:sz w:val="18"/>
                <w:szCs w:val="18"/>
                <w:lang w:eastAsia="es-CR"/>
              </w:rPr>
              <w:t>Parte pendiente</w:t>
            </w:r>
          </w:p>
        </w:tc>
        <w:tc>
          <w:tcPr>
            <w:tcW w:w="2410" w:type="dxa"/>
            <w:tcBorders>
              <w:top w:val="single" w:sz="4" w:space="0" w:color="auto"/>
              <w:left w:val="nil"/>
              <w:bottom w:val="single" w:sz="4" w:space="0" w:color="auto"/>
              <w:right w:val="single" w:sz="4" w:space="0" w:color="auto"/>
            </w:tcBorders>
            <w:shd w:val="clear" w:color="000000" w:fill="44546A"/>
            <w:vAlign w:val="center"/>
            <w:hideMark/>
          </w:tcPr>
          <w:p w14:paraId="532B4977" w14:textId="77777777" w:rsidR="000B7A67" w:rsidRPr="00E409D3" w:rsidRDefault="000B7A67" w:rsidP="00F400D6">
            <w:pPr>
              <w:spacing w:after="0" w:line="240" w:lineRule="auto"/>
              <w:jc w:val="center"/>
              <w:rPr>
                <w:rFonts w:ascii="Book Antiqua" w:eastAsia="Times New Roman" w:hAnsi="Book Antiqua" w:cs="Calibri"/>
                <w:b/>
                <w:bCs/>
                <w:color w:val="FFFFFF"/>
                <w:sz w:val="18"/>
                <w:szCs w:val="18"/>
                <w:lang w:eastAsia="es-CR"/>
              </w:rPr>
            </w:pPr>
            <w:r w:rsidRPr="00E409D3">
              <w:rPr>
                <w:rFonts w:ascii="Book Antiqua" w:eastAsia="Times New Roman" w:hAnsi="Book Antiqua" w:cs="Calibri"/>
                <w:b/>
                <w:bCs/>
                <w:color w:val="FFFFFF"/>
                <w:sz w:val="18"/>
                <w:szCs w:val="18"/>
                <w:lang w:eastAsia="es-CR"/>
              </w:rPr>
              <w:t xml:space="preserve">Detalle </w:t>
            </w:r>
          </w:p>
        </w:tc>
      </w:tr>
      <w:tr w:rsidR="007E6FC1" w:rsidRPr="00E409D3" w14:paraId="7CD3EEB9" w14:textId="77777777" w:rsidTr="002B7035">
        <w:trPr>
          <w:trHeight w:val="561"/>
        </w:trPr>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3F326421" w14:textId="77777777" w:rsidR="000B7A67" w:rsidRPr="00E409D3" w:rsidRDefault="000B7A67" w:rsidP="00F400D6">
            <w:pPr>
              <w:spacing w:after="0" w:line="240" w:lineRule="auto"/>
              <w:jc w:val="center"/>
              <w:rPr>
                <w:rFonts w:ascii="Book Antiqua" w:eastAsia="Times New Roman" w:hAnsi="Book Antiqua" w:cs="Calibri"/>
                <w:color w:val="000000"/>
                <w:sz w:val="18"/>
                <w:szCs w:val="18"/>
                <w:lang w:eastAsia="es-CR"/>
              </w:rPr>
            </w:pPr>
            <w:r w:rsidRPr="00E409D3">
              <w:rPr>
                <w:rFonts w:ascii="Book Antiqua" w:eastAsia="Times New Roman" w:hAnsi="Book Antiqua" w:cs="Calibri"/>
                <w:color w:val="000000"/>
                <w:sz w:val="18"/>
                <w:szCs w:val="18"/>
                <w:lang w:eastAsia="es-CR"/>
              </w:rPr>
              <w:t>Tercer Circuito Judicial Alajuela</w:t>
            </w:r>
          </w:p>
        </w:tc>
        <w:tc>
          <w:tcPr>
            <w:tcW w:w="1805" w:type="dxa"/>
            <w:vMerge w:val="restart"/>
            <w:tcBorders>
              <w:top w:val="nil"/>
              <w:left w:val="single" w:sz="4" w:space="0" w:color="auto"/>
              <w:bottom w:val="single" w:sz="4" w:space="0" w:color="000000"/>
              <w:right w:val="single" w:sz="4" w:space="0" w:color="auto"/>
            </w:tcBorders>
            <w:shd w:val="clear" w:color="auto" w:fill="auto"/>
            <w:vAlign w:val="center"/>
            <w:hideMark/>
          </w:tcPr>
          <w:p w14:paraId="0B382081" w14:textId="77777777" w:rsidR="000B7A67" w:rsidRPr="00E409D3" w:rsidRDefault="000B7A67" w:rsidP="00F400D6">
            <w:pPr>
              <w:spacing w:after="0" w:line="240" w:lineRule="auto"/>
              <w:jc w:val="center"/>
              <w:rPr>
                <w:rFonts w:ascii="Book Antiqua" w:eastAsia="Times New Roman" w:hAnsi="Book Antiqua" w:cs="Calibri"/>
                <w:color w:val="000000"/>
                <w:sz w:val="18"/>
                <w:szCs w:val="18"/>
                <w:lang w:eastAsia="es-CR"/>
              </w:rPr>
            </w:pPr>
            <w:r w:rsidRPr="00E409D3">
              <w:rPr>
                <w:rFonts w:ascii="Book Antiqua" w:eastAsia="Times New Roman" w:hAnsi="Book Antiqua" w:cs="Calibri"/>
                <w:color w:val="000000"/>
                <w:sz w:val="18"/>
                <w:szCs w:val="18"/>
                <w:lang w:eastAsia="es-CR"/>
              </w:rPr>
              <w:t xml:space="preserve">0557 </w:t>
            </w:r>
            <w:r>
              <w:rPr>
                <w:rFonts w:ascii="Book Antiqua" w:eastAsia="Times New Roman" w:hAnsi="Book Antiqua" w:cs="Calibri"/>
                <w:color w:val="000000"/>
                <w:sz w:val="18"/>
                <w:szCs w:val="18"/>
                <w:lang w:eastAsia="es-CR"/>
              </w:rPr>
              <w:t>A</w:t>
            </w:r>
            <w:r w:rsidRPr="00E409D3">
              <w:rPr>
                <w:rFonts w:ascii="Book Antiqua" w:eastAsia="Times New Roman" w:hAnsi="Book Antiqua" w:cs="Calibri"/>
                <w:color w:val="000000"/>
                <w:sz w:val="18"/>
                <w:szCs w:val="18"/>
                <w:lang w:eastAsia="es-CR"/>
              </w:rPr>
              <w:t xml:space="preserve">dministracion </w:t>
            </w:r>
            <w:r>
              <w:rPr>
                <w:rFonts w:ascii="Book Antiqua" w:eastAsia="Times New Roman" w:hAnsi="Book Antiqua" w:cs="Calibri"/>
                <w:color w:val="000000"/>
                <w:sz w:val="18"/>
                <w:szCs w:val="18"/>
                <w:lang w:eastAsia="es-CR"/>
              </w:rPr>
              <w:t>R</w:t>
            </w:r>
            <w:r w:rsidRPr="00E409D3">
              <w:rPr>
                <w:rFonts w:ascii="Book Antiqua" w:eastAsia="Times New Roman" w:hAnsi="Book Antiqua" w:cs="Calibri"/>
                <w:color w:val="000000"/>
                <w:sz w:val="18"/>
                <w:szCs w:val="18"/>
                <w:lang w:eastAsia="es-CR"/>
              </w:rPr>
              <w:t>egional</w:t>
            </w:r>
            <w:r>
              <w:rPr>
                <w:rFonts w:ascii="Book Antiqua" w:eastAsia="Times New Roman" w:hAnsi="Book Antiqua" w:cs="Calibri"/>
                <w:color w:val="000000"/>
                <w:sz w:val="18"/>
                <w:szCs w:val="18"/>
                <w:lang w:eastAsia="es-CR"/>
              </w:rPr>
              <w:t xml:space="preserve"> III</w:t>
            </w:r>
            <w:r w:rsidRPr="00E409D3">
              <w:rPr>
                <w:rFonts w:ascii="Book Antiqua" w:eastAsia="Times New Roman" w:hAnsi="Book Antiqua" w:cs="Calibri"/>
                <w:color w:val="000000"/>
                <w:sz w:val="18"/>
                <w:szCs w:val="18"/>
                <w:lang w:eastAsia="es-CR"/>
              </w:rPr>
              <w:t xml:space="preserve"> </w:t>
            </w:r>
            <w:r>
              <w:rPr>
                <w:rFonts w:ascii="Book Antiqua" w:eastAsia="Times New Roman" w:hAnsi="Book Antiqua" w:cs="Calibri"/>
                <w:color w:val="000000"/>
                <w:sz w:val="18"/>
                <w:szCs w:val="18"/>
                <w:lang w:eastAsia="es-CR"/>
              </w:rPr>
              <w:t>C</w:t>
            </w:r>
            <w:r w:rsidRPr="00E409D3">
              <w:rPr>
                <w:rFonts w:ascii="Book Antiqua" w:eastAsia="Times New Roman" w:hAnsi="Book Antiqua" w:cs="Calibri"/>
                <w:color w:val="000000"/>
                <w:sz w:val="18"/>
                <w:szCs w:val="18"/>
                <w:lang w:eastAsia="es-CR"/>
              </w:rPr>
              <w:t xml:space="preserve">ircuito </w:t>
            </w:r>
            <w:r>
              <w:rPr>
                <w:rFonts w:ascii="Book Antiqua" w:eastAsia="Times New Roman" w:hAnsi="Book Antiqua" w:cs="Calibri"/>
                <w:color w:val="000000"/>
                <w:sz w:val="18"/>
                <w:szCs w:val="18"/>
                <w:lang w:eastAsia="es-CR"/>
              </w:rPr>
              <w:t>J</w:t>
            </w:r>
            <w:r w:rsidRPr="00E409D3">
              <w:rPr>
                <w:rFonts w:ascii="Book Antiqua" w:eastAsia="Times New Roman" w:hAnsi="Book Antiqua" w:cs="Calibri"/>
                <w:color w:val="000000"/>
                <w:sz w:val="18"/>
                <w:szCs w:val="18"/>
                <w:lang w:eastAsia="es-CR"/>
              </w:rPr>
              <w:t xml:space="preserve">udicial </w:t>
            </w:r>
            <w:r>
              <w:rPr>
                <w:rFonts w:ascii="Book Antiqua" w:eastAsia="Times New Roman" w:hAnsi="Book Antiqua" w:cs="Calibri"/>
                <w:color w:val="000000"/>
                <w:sz w:val="18"/>
                <w:szCs w:val="18"/>
                <w:lang w:eastAsia="es-CR"/>
              </w:rPr>
              <w:t>A</w:t>
            </w:r>
            <w:r w:rsidRPr="00E409D3">
              <w:rPr>
                <w:rFonts w:ascii="Book Antiqua" w:eastAsia="Times New Roman" w:hAnsi="Book Antiqua" w:cs="Calibri"/>
                <w:color w:val="000000"/>
                <w:sz w:val="18"/>
                <w:szCs w:val="18"/>
                <w:lang w:eastAsia="es-CR"/>
              </w:rPr>
              <w:t>lajuela (</w:t>
            </w:r>
            <w:r>
              <w:rPr>
                <w:rFonts w:ascii="Book Antiqua" w:eastAsia="Times New Roman" w:hAnsi="Book Antiqua" w:cs="Calibri"/>
                <w:color w:val="000000"/>
                <w:sz w:val="18"/>
                <w:szCs w:val="18"/>
                <w:lang w:eastAsia="es-CR"/>
              </w:rPr>
              <w:t>S</w:t>
            </w:r>
            <w:r w:rsidRPr="00E409D3">
              <w:rPr>
                <w:rFonts w:ascii="Book Antiqua" w:eastAsia="Times New Roman" w:hAnsi="Book Antiqua" w:cs="Calibri"/>
                <w:color w:val="000000"/>
                <w:sz w:val="18"/>
                <w:szCs w:val="18"/>
                <w:lang w:eastAsia="es-CR"/>
              </w:rPr>
              <w:t xml:space="preserve">an </w:t>
            </w:r>
            <w:r>
              <w:rPr>
                <w:rFonts w:ascii="Book Antiqua" w:eastAsia="Times New Roman" w:hAnsi="Book Antiqua" w:cs="Calibri"/>
                <w:color w:val="000000"/>
                <w:sz w:val="18"/>
                <w:szCs w:val="18"/>
                <w:lang w:eastAsia="es-CR"/>
              </w:rPr>
              <w:t>R</w:t>
            </w:r>
            <w:r w:rsidRPr="00E409D3">
              <w:rPr>
                <w:rFonts w:ascii="Book Antiqua" w:eastAsia="Times New Roman" w:hAnsi="Book Antiqua" w:cs="Calibri"/>
                <w:color w:val="000000"/>
                <w:sz w:val="18"/>
                <w:szCs w:val="18"/>
                <w:lang w:eastAsia="es-CR"/>
              </w:rPr>
              <w:t xml:space="preserve">amon) / 0120 </w:t>
            </w:r>
            <w:r>
              <w:rPr>
                <w:rFonts w:ascii="Book Antiqua" w:eastAsia="Times New Roman" w:hAnsi="Book Antiqua" w:cs="Calibri"/>
                <w:color w:val="000000"/>
                <w:sz w:val="18"/>
                <w:szCs w:val="18"/>
                <w:lang w:eastAsia="es-CR"/>
              </w:rPr>
              <w:t>S</w:t>
            </w:r>
            <w:r w:rsidRPr="00E409D3">
              <w:rPr>
                <w:rFonts w:ascii="Book Antiqua" w:eastAsia="Times New Roman" w:hAnsi="Book Antiqua" w:cs="Calibri"/>
                <w:color w:val="000000"/>
                <w:sz w:val="18"/>
                <w:szCs w:val="18"/>
                <w:lang w:eastAsia="es-CR"/>
              </w:rPr>
              <w:t xml:space="preserve">ección de </w:t>
            </w:r>
            <w:r>
              <w:rPr>
                <w:rFonts w:ascii="Book Antiqua" w:eastAsia="Times New Roman" w:hAnsi="Book Antiqua" w:cs="Calibri"/>
                <w:color w:val="000000"/>
                <w:sz w:val="18"/>
                <w:szCs w:val="18"/>
                <w:lang w:eastAsia="es-CR"/>
              </w:rPr>
              <w:t>A</w:t>
            </w:r>
            <w:r w:rsidRPr="00E409D3">
              <w:rPr>
                <w:rFonts w:ascii="Book Antiqua" w:eastAsia="Times New Roman" w:hAnsi="Book Antiqua" w:cs="Calibri"/>
                <w:color w:val="000000"/>
                <w:sz w:val="18"/>
                <w:szCs w:val="18"/>
                <w:lang w:eastAsia="es-CR"/>
              </w:rPr>
              <w:t xml:space="preserve">nálisis y </w:t>
            </w:r>
            <w:r>
              <w:rPr>
                <w:rFonts w:ascii="Book Antiqua" w:eastAsia="Times New Roman" w:hAnsi="Book Antiqua" w:cs="Calibri"/>
                <w:color w:val="000000"/>
                <w:sz w:val="18"/>
                <w:szCs w:val="18"/>
                <w:lang w:eastAsia="es-CR"/>
              </w:rPr>
              <w:t>E</w:t>
            </w:r>
            <w:r w:rsidRPr="00E409D3">
              <w:rPr>
                <w:rFonts w:ascii="Book Antiqua" w:eastAsia="Times New Roman" w:hAnsi="Book Antiqua" w:cs="Calibri"/>
                <w:color w:val="000000"/>
                <w:sz w:val="18"/>
                <w:szCs w:val="18"/>
                <w:lang w:eastAsia="es-CR"/>
              </w:rPr>
              <w:t>jecución</w:t>
            </w:r>
          </w:p>
        </w:tc>
        <w:tc>
          <w:tcPr>
            <w:tcW w:w="954" w:type="dxa"/>
            <w:vMerge w:val="restart"/>
            <w:tcBorders>
              <w:top w:val="nil"/>
              <w:left w:val="single" w:sz="4" w:space="0" w:color="auto"/>
              <w:bottom w:val="single" w:sz="4" w:space="0" w:color="000000"/>
              <w:right w:val="single" w:sz="4" w:space="0" w:color="auto"/>
            </w:tcBorders>
            <w:shd w:val="clear" w:color="auto" w:fill="auto"/>
            <w:vAlign w:val="center"/>
            <w:hideMark/>
          </w:tcPr>
          <w:p w14:paraId="0343B887" w14:textId="77777777" w:rsidR="000B7A67" w:rsidRPr="00E409D3" w:rsidRDefault="000B7A67" w:rsidP="00F400D6">
            <w:pPr>
              <w:spacing w:after="0" w:line="240" w:lineRule="auto"/>
              <w:jc w:val="center"/>
              <w:rPr>
                <w:rFonts w:ascii="Book Antiqua" w:eastAsia="Times New Roman" w:hAnsi="Book Antiqua" w:cs="Calibri"/>
                <w:color w:val="000000"/>
                <w:sz w:val="18"/>
                <w:szCs w:val="18"/>
                <w:lang w:eastAsia="es-CR"/>
              </w:rPr>
            </w:pPr>
            <w:r w:rsidRPr="00E409D3">
              <w:rPr>
                <w:rFonts w:ascii="Book Antiqua" w:eastAsia="Times New Roman" w:hAnsi="Book Antiqua" w:cs="Calibri"/>
                <w:color w:val="000000"/>
                <w:sz w:val="18"/>
                <w:szCs w:val="18"/>
                <w:lang w:eastAsia="es-CR"/>
              </w:rPr>
              <w:t>0117-DE-P07</w:t>
            </w:r>
          </w:p>
        </w:tc>
        <w:tc>
          <w:tcPr>
            <w:tcW w:w="1867" w:type="dxa"/>
            <w:vMerge w:val="restart"/>
            <w:tcBorders>
              <w:top w:val="nil"/>
              <w:left w:val="single" w:sz="4" w:space="0" w:color="auto"/>
              <w:bottom w:val="single" w:sz="4" w:space="0" w:color="000000"/>
              <w:right w:val="single" w:sz="4" w:space="0" w:color="auto"/>
            </w:tcBorders>
            <w:shd w:val="clear" w:color="auto" w:fill="auto"/>
            <w:vAlign w:val="center"/>
            <w:hideMark/>
          </w:tcPr>
          <w:p w14:paraId="580AC757" w14:textId="77777777" w:rsidR="000B7A67" w:rsidRPr="00E409D3" w:rsidRDefault="000B7A67" w:rsidP="00F400D6">
            <w:pPr>
              <w:spacing w:after="0" w:line="240" w:lineRule="auto"/>
              <w:jc w:val="center"/>
              <w:rPr>
                <w:rFonts w:ascii="Book Antiqua" w:eastAsia="Times New Roman" w:hAnsi="Book Antiqua" w:cs="Calibri"/>
                <w:color w:val="000000"/>
                <w:sz w:val="18"/>
                <w:szCs w:val="18"/>
                <w:lang w:eastAsia="es-CR"/>
              </w:rPr>
            </w:pPr>
            <w:r w:rsidRPr="00E409D3">
              <w:rPr>
                <w:rFonts w:ascii="Book Antiqua" w:eastAsia="Times New Roman" w:hAnsi="Book Antiqua" w:cs="Calibri"/>
                <w:color w:val="000000"/>
                <w:sz w:val="18"/>
                <w:szCs w:val="18"/>
                <w:lang w:eastAsia="es-CR"/>
              </w:rPr>
              <w:t>Torre Anexa y Reacondicionamiento Eléctrico Edificio III Circuito Judicial Alajuela</w:t>
            </w:r>
          </w:p>
        </w:tc>
        <w:tc>
          <w:tcPr>
            <w:tcW w:w="992" w:type="dxa"/>
            <w:tcBorders>
              <w:top w:val="nil"/>
              <w:left w:val="nil"/>
              <w:bottom w:val="single" w:sz="4" w:space="0" w:color="auto"/>
              <w:right w:val="single" w:sz="4" w:space="0" w:color="auto"/>
            </w:tcBorders>
            <w:shd w:val="clear" w:color="auto" w:fill="auto"/>
            <w:vAlign w:val="center"/>
            <w:hideMark/>
          </w:tcPr>
          <w:p w14:paraId="308E4C92" w14:textId="77777777" w:rsidR="000B7A67" w:rsidRPr="00E409D3" w:rsidRDefault="000B7A67" w:rsidP="00F400D6">
            <w:pPr>
              <w:spacing w:after="0" w:line="240" w:lineRule="auto"/>
              <w:jc w:val="center"/>
              <w:rPr>
                <w:rFonts w:ascii="Book Antiqua" w:eastAsia="Times New Roman" w:hAnsi="Book Antiqua" w:cs="Calibri"/>
                <w:color w:val="000000"/>
                <w:sz w:val="18"/>
                <w:szCs w:val="18"/>
                <w:lang w:eastAsia="es-CR"/>
              </w:rPr>
            </w:pPr>
            <w:r w:rsidRPr="00E409D3">
              <w:rPr>
                <w:rFonts w:ascii="Book Antiqua" w:eastAsia="Times New Roman" w:hAnsi="Book Antiqua" w:cs="Calibri"/>
                <w:color w:val="000000"/>
                <w:sz w:val="18"/>
                <w:szCs w:val="18"/>
                <w:lang w:eastAsia="es-CR"/>
              </w:rPr>
              <w:t>2.1</w:t>
            </w:r>
          </w:p>
        </w:tc>
        <w:tc>
          <w:tcPr>
            <w:tcW w:w="2410" w:type="dxa"/>
            <w:tcBorders>
              <w:top w:val="nil"/>
              <w:left w:val="nil"/>
              <w:bottom w:val="single" w:sz="4" w:space="0" w:color="auto"/>
              <w:right w:val="single" w:sz="4" w:space="0" w:color="auto"/>
            </w:tcBorders>
            <w:shd w:val="clear" w:color="auto" w:fill="auto"/>
            <w:vAlign w:val="center"/>
            <w:hideMark/>
          </w:tcPr>
          <w:p w14:paraId="5E1C4019" w14:textId="77777777" w:rsidR="000B7A67" w:rsidRPr="00E409D3" w:rsidRDefault="000B7A67" w:rsidP="002B7035">
            <w:pPr>
              <w:spacing w:after="0" w:line="240" w:lineRule="auto"/>
              <w:jc w:val="both"/>
              <w:rPr>
                <w:rFonts w:ascii="Book Antiqua" w:eastAsia="Times New Roman" w:hAnsi="Book Antiqua" w:cs="Calibri"/>
                <w:color w:val="000000"/>
                <w:sz w:val="18"/>
                <w:szCs w:val="18"/>
                <w:lang w:eastAsia="es-CR"/>
              </w:rPr>
            </w:pPr>
            <w:r w:rsidRPr="00E409D3">
              <w:rPr>
                <w:rFonts w:ascii="Book Antiqua" w:eastAsia="Times New Roman" w:hAnsi="Book Antiqua" w:cs="Calibri"/>
                <w:color w:val="000000"/>
                <w:sz w:val="18"/>
                <w:szCs w:val="18"/>
                <w:lang w:eastAsia="es-CR"/>
              </w:rPr>
              <w:t>El informe de avance presentaba incorrecto el porcentaje real y esperado.</w:t>
            </w:r>
          </w:p>
        </w:tc>
      </w:tr>
      <w:tr w:rsidR="007E6FC1" w:rsidRPr="00E409D3" w14:paraId="547F6009" w14:textId="77777777" w:rsidTr="002B7035">
        <w:trPr>
          <w:trHeight w:val="839"/>
        </w:trPr>
        <w:tc>
          <w:tcPr>
            <w:tcW w:w="1470" w:type="dxa"/>
            <w:vMerge/>
            <w:tcBorders>
              <w:top w:val="nil"/>
              <w:left w:val="single" w:sz="4" w:space="0" w:color="auto"/>
              <w:bottom w:val="single" w:sz="4" w:space="0" w:color="000000"/>
              <w:right w:val="single" w:sz="4" w:space="0" w:color="auto"/>
            </w:tcBorders>
            <w:vAlign w:val="center"/>
            <w:hideMark/>
          </w:tcPr>
          <w:p w14:paraId="697A21C5" w14:textId="77777777" w:rsidR="000B7A67" w:rsidRPr="00E409D3" w:rsidRDefault="000B7A67" w:rsidP="00F400D6">
            <w:pPr>
              <w:spacing w:after="0" w:line="240" w:lineRule="auto"/>
              <w:rPr>
                <w:rFonts w:ascii="Book Antiqua" w:eastAsia="Times New Roman" w:hAnsi="Book Antiqua" w:cs="Calibri"/>
                <w:color w:val="000000"/>
                <w:sz w:val="18"/>
                <w:szCs w:val="18"/>
                <w:lang w:eastAsia="es-CR"/>
              </w:rPr>
            </w:pPr>
          </w:p>
        </w:tc>
        <w:tc>
          <w:tcPr>
            <w:tcW w:w="1805" w:type="dxa"/>
            <w:vMerge/>
            <w:tcBorders>
              <w:top w:val="nil"/>
              <w:left w:val="single" w:sz="4" w:space="0" w:color="auto"/>
              <w:bottom w:val="single" w:sz="4" w:space="0" w:color="000000"/>
              <w:right w:val="single" w:sz="4" w:space="0" w:color="auto"/>
            </w:tcBorders>
            <w:vAlign w:val="center"/>
            <w:hideMark/>
          </w:tcPr>
          <w:p w14:paraId="0D6E786F" w14:textId="77777777" w:rsidR="000B7A67" w:rsidRPr="00E409D3" w:rsidRDefault="000B7A67" w:rsidP="00F400D6">
            <w:pPr>
              <w:spacing w:after="0" w:line="240" w:lineRule="auto"/>
              <w:rPr>
                <w:rFonts w:ascii="Book Antiqua" w:eastAsia="Times New Roman" w:hAnsi="Book Antiqua" w:cs="Calibri"/>
                <w:color w:val="000000"/>
                <w:sz w:val="18"/>
                <w:szCs w:val="18"/>
                <w:lang w:eastAsia="es-CR"/>
              </w:rPr>
            </w:pPr>
          </w:p>
        </w:tc>
        <w:tc>
          <w:tcPr>
            <w:tcW w:w="954" w:type="dxa"/>
            <w:vMerge/>
            <w:tcBorders>
              <w:top w:val="nil"/>
              <w:left w:val="single" w:sz="4" w:space="0" w:color="auto"/>
              <w:bottom w:val="single" w:sz="4" w:space="0" w:color="000000"/>
              <w:right w:val="single" w:sz="4" w:space="0" w:color="auto"/>
            </w:tcBorders>
            <w:vAlign w:val="center"/>
            <w:hideMark/>
          </w:tcPr>
          <w:p w14:paraId="620EE315" w14:textId="77777777" w:rsidR="000B7A67" w:rsidRPr="00E409D3" w:rsidRDefault="000B7A67" w:rsidP="00F400D6">
            <w:pPr>
              <w:spacing w:after="0" w:line="240" w:lineRule="auto"/>
              <w:rPr>
                <w:rFonts w:ascii="Book Antiqua" w:eastAsia="Times New Roman" w:hAnsi="Book Antiqua" w:cs="Calibri"/>
                <w:color w:val="000000"/>
                <w:sz w:val="18"/>
                <w:szCs w:val="18"/>
                <w:lang w:eastAsia="es-CR"/>
              </w:rPr>
            </w:pPr>
          </w:p>
        </w:tc>
        <w:tc>
          <w:tcPr>
            <w:tcW w:w="1867" w:type="dxa"/>
            <w:vMerge/>
            <w:tcBorders>
              <w:top w:val="nil"/>
              <w:left w:val="single" w:sz="4" w:space="0" w:color="auto"/>
              <w:bottom w:val="single" w:sz="4" w:space="0" w:color="000000"/>
              <w:right w:val="single" w:sz="4" w:space="0" w:color="auto"/>
            </w:tcBorders>
            <w:vAlign w:val="center"/>
            <w:hideMark/>
          </w:tcPr>
          <w:p w14:paraId="702A95A3" w14:textId="77777777" w:rsidR="000B7A67" w:rsidRPr="00E409D3" w:rsidRDefault="000B7A67" w:rsidP="00F400D6">
            <w:pPr>
              <w:spacing w:after="0" w:line="240" w:lineRule="auto"/>
              <w:rPr>
                <w:rFonts w:ascii="Book Antiqua" w:eastAsia="Times New Roman" w:hAnsi="Book Antiqua" w:cs="Calibri"/>
                <w:color w:val="000000"/>
                <w:sz w:val="18"/>
                <w:szCs w:val="18"/>
                <w:lang w:eastAsia="es-CR"/>
              </w:rPr>
            </w:pPr>
          </w:p>
        </w:tc>
        <w:tc>
          <w:tcPr>
            <w:tcW w:w="992" w:type="dxa"/>
            <w:tcBorders>
              <w:top w:val="nil"/>
              <w:left w:val="nil"/>
              <w:bottom w:val="single" w:sz="4" w:space="0" w:color="auto"/>
              <w:right w:val="single" w:sz="4" w:space="0" w:color="auto"/>
            </w:tcBorders>
            <w:shd w:val="clear" w:color="auto" w:fill="auto"/>
            <w:vAlign w:val="center"/>
            <w:hideMark/>
          </w:tcPr>
          <w:p w14:paraId="2CBB7578" w14:textId="77777777" w:rsidR="000B7A67" w:rsidRPr="00E409D3" w:rsidRDefault="000B7A67" w:rsidP="00F400D6">
            <w:pPr>
              <w:spacing w:after="0" w:line="240" w:lineRule="auto"/>
              <w:jc w:val="center"/>
              <w:rPr>
                <w:rFonts w:ascii="Book Antiqua" w:eastAsia="Times New Roman" w:hAnsi="Book Antiqua" w:cs="Calibri"/>
                <w:color w:val="000000"/>
                <w:sz w:val="18"/>
                <w:szCs w:val="18"/>
                <w:lang w:eastAsia="es-CR"/>
              </w:rPr>
            </w:pPr>
            <w:r w:rsidRPr="00E409D3">
              <w:rPr>
                <w:rFonts w:ascii="Book Antiqua" w:eastAsia="Times New Roman" w:hAnsi="Book Antiqua" w:cs="Calibri"/>
                <w:color w:val="000000"/>
                <w:sz w:val="18"/>
                <w:szCs w:val="18"/>
                <w:lang w:eastAsia="es-CR"/>
              </w:rPr>
              <w:t>2.3</w:t>
            </w:r>
          </w:p>
        </w:tc>
        <w:tc>
          <w:tcPr>
            <w:tcW w:w="2410" w:type="dxa"/>
            <w:tcBorders>
              <w:top w:val="nil"/>
              <w:left w:val="nil"/>
              <w:bottom w:val="single" w:sz="4" w:space="0" w:color="auto"/>
              <w:right w:val="single" w:sz="4" w:space="0" w:color="auto"/>
            </w:tcBorders>
            <w:shd w:val="clear" w:color="auto" w:fill="auto"/>
            <w:vAlign w:val="center"/>
            <w:hideMark/>
          </w:tcPr>
          <w:p w14:paraId="2E963BC2" w14:textId="77777777" w:rsidR="000B7A67" w:rsidRPr="00E409D3" w:rsidRDefault="000B7A67" w:rsidP="002B7035">
            <w:pPr>
              <w:spacing w:after="0" w:line="240" w:lineRule="auto"/>
              <w:jc w:val="both"/>
              <w:rPr>
                <w:rFonts w:ascii="Book Antiqua" w:eastAsia="Times New Roman" w:hAnsi="Book Antiqua" w:cs="Calibri"/>
                <w:color w:val="000000"/>
                <w:sz w:val="18"/>
                <w:szCs w:val="18"/>
                <w:lang w:eastAsia="es-CR"/>
              </w:rPr>
            </w:pPr>
            <w:r w:rsidRPr="00E409D3">
              <w:rPr>
                <w:rFonts w:ascii="Book Antiqua" w:eastAsia="Times New Roman" w:hAnsi="Book Antiqua" w:cs="Calibri"/>
                <w:color w:val="000000"/>
                <w:sz w:val="18"/>
                <w:szCs w:val="18"/>
                <w:lang w:eastAsia="es-CR"/>
              </w:rPr>
              <w:t>Pendiente actualizar acta de constitución y plan de gestión producto de la solicitud de cambio del 20/1/2023</w:t>
            </w:r>
          </w:p>
        </w:tc>
      </w:tr>
    </w:tbl>
    <w:bookmarkEnd w:id="63"/>
    <w:p w14:paraId="35941BF3" w14:textId="6165C28D" w:rsidR="000B7A67" w:rsidRDefault="000B7A67" w:rsidP="005B3A32">
      <w:pPr>
        <w:spacing w:after="0"/>
        <w:jc w:val="right"/>
        <w:rPr>
          <w:rFonts w:ascii="Book Antiqua" w:hAnsi="Book Antiqua"/>
        </w:rPr>
      </w:pPr>
      <w:r>
        <w:rPr>
          <w:rFonts w:ascii="Book Antiqua" w:hAnsi="Book Antiqua"/>
        </w:rPr>
        <w:t xml:space="preserve"> “</w:t>
      </w:r>
      <w:r w:rsidR="005B3A32">
        <w:rPr>
          <w:rFonts w:ascii="Book Antiqua" w:hAnsi="Book Antiqua"/>
        </w:rPr>
        <w:t>.</w:t>
      </w:r>
    </w:p>
    <w:p w14:paraId="0E011B96" w14:textId="77777777" w:rsidR="000B7A67" w:rsidRDefault="000B7A67" w:rsidP="000B7A67">
      <w:pPr>
        <w:spacing w:after="0"/>
        <w:jc w:val="both"/>
        <w:rPr>
          <w:rFonts w:ascii="Book Antiqua" w:hAnsi="Book Antiqua"/>
          <w:sz w:val="24"/>
          <w:szCs w:val="24"/>
        </w:rPr>
      </w:pPr>
      <w:r>
        <w:rPr>
          <w:rFonts w:ascii="Book Antiqua" w:hAnsi="Book Antiqua"/>
          <w:sz w:val="24"/>
          <w:szCs w:val="24"/>
        </w:rPr>
        <w:t>Con la finalidad de dar seguimiento a esta recomendación, se remite correo a la oficina mediante el oficio 1826</w:t>
      </w:r>
      <w:r w:rsidRPr="004C19A1">
        <w:rPr>
          <w:rFonts w:ascii="Book Antiqua" w:hAnsi="Book Antiqua"/>
          <w:sz w:val="24"/>
          <w:szCs w:val="24"/>
        </w:rPr>
        <w:t>-PLA-PP-TR-2023</w:t>
      </w:r>
      <w:r>
        <w:rPr>
          <w:rFonts w:ascii="Book Antiqua" w:hAnsi="Book Antiqua"/>
          <w:sz w:val="24"/>
          <w:szCs w:val="24"/>
        </w:rPr>
        <w:t xml:space="preserve">. </w:t>
      </w:r>
    </w:p>
    <w:p w14:paraId="5B8C08F5" w14:textId="77777777" w:rsidR="000B7A67" w:rsidRDefault="000B7A67" w:rsidP="000B7A67">
      <w:pPr>
        <w:spacing w:after="0"/>
        <w:jc w:val="both"/>
        <w:rPr>
          <w:rFonts w:ascii="Book Antiqua" w:hAnsi="Book Antiqua"/>
        </w:rPr>
      </w:pPr>
    </w:p>
    <w:p w14:paraId="26407313" w14:textId="77777777" w:rsidR="000B7A67" w:rsidRDefault="000B7A67" w:rsidP="000B7A67">
      <w:pPr>
        <w:spacing w:after="0"/>
        <w:jc w:val="both"/>
        <w:rPr>
          <w:rFonts w:ascii="Book Antiqua" w:hAnsi="Book Antiqua"/>
        </w:rPr>
      </w:pPr>
      <w:r>
        <w:rPr>
          <w:rFonts w:ascii="Book Antiqua" w:hAnsi="Book Antiqua"/>
          <w:sz w:val="24"/>
          <w:szCs w:val="24"/>
        </w:rPr>
        <w:t>Además,</w:t>
      </w:r>
      <w:r w:rsidRPr="00FA687A">
        <w:rPr>
          <w:rFonts w:ascii="Book Antiqua" w:hAnsi="Book Antiqua"/>
          <w:sz w:val="24"/>
          <w:szCs w:val="24"/>
        </w:rPr>
        <w:t xml:space="preserve"> se procedió a revisar en </w:t>
      </w:r>
      <w:r>
        <w:rPr>
          <w:rFonts w:ascii="Book Antiqua" w:hAnsi="Book Antiqua"/>
          <w:sz w:val="24"/>
          <w:szCs w:val="24"/>
        </w:rPr>
        <w:t>el</w:t>
      </w:r>
      <w:r w:rsidRPr="00FA687A">
        <w:rPr>
          <w:rFonts w:ascii="Book Antiqua" w:hAnsi="Book Antiqua"/>
          <w:sz w:val="24"/>
          <w:szCs w:val="24"/>
        </w:rPr>
        <w:t xml:space="preserve"> centro de proyectos</w:t>
      </w:r>
      <w:r>
        <w:rPr>
          <w:rFonts w:ascii="Book Antiqua" w:hAnsi="Book Antiqua"/>
          <w:sz w:val="24"/>
          <w:szCs w:val="24"/>
        </w:rPr>
        <w:t xml:space="preserve"> y correo electrónico</w:t>
      </w:r>
      <w:r w:rsidRPr="00FA687A">
        <w:rPr>
          <w:rFonts w:ascii="Book Antiqua" w:hAnsi="Book Antiqua"/>
          <w:sz w:val="24"/>
          <w:szCs w:val="24"/>
        </w:rPr>
        <w:t xml:space="preserve"> para validar el cumplimiento de estas recomendaciones (</w:t>
      </w:r>
      <w:r w:rsidRPr="00CF5CE4">
        <w:rPr>
          <w:rFonts w:ascii="Book Antiqua" w:hAnsi="Book Antiqua"/>
          <w:sz w:val="24"/>
          <w:szCs w:val="24"/>
        </w:rPr>
        <w:t>Ver enlace:</w:t>
      </w:r>
      <w:r w:rsidRPr="00CF5CE4">
        <w:t xml:space="preserve"> </w:t>
      </w:r>
      <w:hyperlink r:id="rId34" w:history="1">
        <w:r w:rsidRPr="00ED31F2">
          <w:rPr>
            <w:rStyle w:val="Hipervnculo"/>
            <w:rFonts w:ascii="Book Antiqua" w:hAnsi="Book Antiqua"/>
            <w:sz w:val="24"/>
            <w:szCs w:val="24"/>
          </w:rPr>
          <w:t>Tercer Circuito Judicial Alajuela</w:t>
        </w:r>
      </w:hyperlink>
      <w:r w:rsidRPr="00FA687A">
        <w:rPr>
          <w:rFonts w:ascii="Book Antiqua" w:hAnsi="Book Antiqua"/>
          <w:sz w:val="24"/>
          <w:szCs w:val="24"/>
        </w:rPr>
        <w:t>)</w:t>
      </w:r>
      <w:r w:rsidRPr="004C0359">
        <w:rPr>
          <w:rFonts w:ascii="Book Antiqua" w:hAnsi="Book Antiqua"/>
          <w:sz w:val="24"/>
          <w:szCs w:val="24"/>
        </w:rPr>
        <w:t xml:space="preserve">; </w:t>
      </w:r>
      <w:r>
        <w:rPr>
          <w:rFonts w:ascii="Book Antiqua" w:hAnsi="Book Antiqua"/>
          <w:sz w:val="24"/>
          <w:szCs w:val="24"/>
        </w:rPr>
        <w:t>constatando el cumplimiento de la misma.</w:t>
      </w:r>
    </w:p>
    <w:p w14:paraId="118B721A" w14:textId="77777777" w:rsidR="000B7A67" w:rsidRDefault="000B7A67" w:rsidP="000B7A67">
      <w:pPr>
        <w:spacing w:after="0"/>
        <w:jc w:val="both"/>
        <w:rPr>
          <w:rFonts w:ascii="Book Antiqua" w:hAnsi="Book Antiqua"/>
          <w:b/>
          <w:sz w:val="24"/>
          <w:szCs w:val="24"/>
        </w:rPr>
      </w:pPr>
    </w:p>
    <w:p w14:paraId="2DA50CE3" w14:textId="77777777" w:rsidR="000B7A67" w:rsidRPr="001D2656" w:rsidRDefault="000B7A67" w:rsidP="000B7A67">
      <w:pPr>
        <w:pStyle w:val="Ttulo2"/>
        <w:numPr>
          <w:ilvl w:val="0"/>
          <w:numId w:val="3"/>
        </w:numPr>
        <w:tabs>
          <w:tab w:val="left" w:pos="851"/>
        </w:tabs>
        <w:spacing w:before="0"/>
        <w:jc w:val="both"/>
        <w:rPr>
          <w:rFonts w:ascii="Book Antiqua" w:eastAsia="Wingdings" w:hAnsi="Book Antiqua"/>
          <w:b/>
          <w:bCs/>
          <w:color w:val="auto"/>
          <w:lang w:eastAsia="ko-KR"/>
        </w:rPr>
      </w:pPr>
      <w:bookmarkStart w:id="64" w:name="_Toc138770845"/>
      <w:r w:rsidRPr="001D2656">
        <w:rPr>
          <w:rFonts w:ascii="Book Antiqua" w:eastAsia="Wingdings" w:hAnsi="Book Antiqua"/>
          <w:b/>
          <w:bCs/>
          <w:color w:val="auto"/>
          <w:lang w:eastAsia="ko-KR"/>
        </w:rPr>
        <w:t xml:space="preserve">Recomendaciones dirigidas </w:t>
      </w:r>
      <w:r>
        <w:rPr>
          <w:rFonts w:ascii="Book Antiqua" w:eastAsia="Wingdings" w:hAnsi="Book Antiqua"/>
          <w:b/>
          <w:bCs/>
          <w:color w:val="auto"/>
          <w:lang w:eastAsia="ko-KR"/>
        </w:rPr>
        <w:t xml:space="preserve">al </w:t>
      </w:r>
      <w:r w:rsidRPr="00ED31F2">
        <w:rPr>
          <w:rFonts w:ascii="Book Antiqua" w:eastAsia="Wingdings" w:hAnsi="Book Antiqua"/>
          <w:b/>
          <w:bCs/>
          <w:color w:val="auto"/>
          <w:lang w:eastAsia="ko-KR"/>
        </w:rPr>
        <w:t>Dirección de Planificación- Unidad de Portafolio de Proyectos.</w:t>
      </w:r>
      <w:bookmarkEnd w:id="64"/>
    </w:p>
    <w:p w14:paraId="2FEC3835" w14:textId="77777777" w:rsidR="000B7A67" w:rsidRDefault="000B7A67" w:rsidP="000B7A67">
      <w:pPr>
        <w:spacing w:after="0"/>
        <w:jc w:val="both"/>
        <w:rPr>
          <w:rFonts w:ascii="Book Antiqua" w:hAnsi="Book Antiqua"/>
        </w:rPr>
      </w:pPr>
    </w:p>
    <w:p w14:paraId="143517A2" w14:textId="77777777" w:rsidR="000B7A67" w:rsidRDefault="000B7A67" w:rsidP="000B7A67">
      <w:pPr>
        <w:spacing w:after="0"/>
        <w:jc w:val="both"/>
        <w:rPr>
          <w:rFonts w:ascii="Book Antiqua" w:hAnsi="Book Antiqua"/>
          <w:sz w:val="24"/>
          <w:szCs w:val="24"/>
        </w:rPr>
      </w:pPr>
      <w:r>
        <w:rPr>
          <w:rFonts w:ascii="Book Antiqua" w:hAnsi="Book Antiqua"/>
          <w:sz w:val="24"/>
          <w:szCs w:val="24"/>
        </w:rPr>
        <w:t xml:space="preserve">En el informe 277-PLA-PP-2023, se dirigió una recomendación al </w:t>
      </w:r>
      <w:r w:rsidRPr="00ED31F2">
        <w:rPr>
          <w:rFonts w:ascii="Book Antiqua" w:hAnsi="Book Antiqua"/>
          <w:b/>
          <w:bCs/>
          <w:sz w:val="24"/>
          <w:szCs w:val="24"/>
        </w:rPr>
        <w:t>Dirección de Planificación- Unidad de Portafolio de Proyectos</w:t>
      </w:r>
      <w:r>
        <w:rPr>
          <w:rFonts w:ascii="Book Antiqua" w:eastAsia="Wingdings" w:hAnsi="Book Antiqua"/>
          <w:b/>
          <w:bCs/>
          <w:lang w:eastAsia="ko-KR"/>
        </w:rPr>
        <w:t xml:space="preserve">, </w:t>
      </w:r>
      <w:r w:rsidRPr="00ED31F2">
        <w:rPr>
          <w:rFonts w:ascii="Book Antiqua" w:eastAsia="Wingdings" w:hAnsi="Book Antiqua"/>
          <w:lang w:eastAsia="ko-KR"/>
        </w:rPr>
        <w:t xml:space="preserve">la cual establece: </w:t>
      </w:r>
    </w:p>
    <w:p w14:paraId="53D8552D" w14:textId="77777777" w:rsidR="000B7A67" w:rsidRDefault="000B7A67" w:rsidP="000B7A67">
      <w:pPr>
        <w:spacing w:after="0"/>
        <w:jc w:val="both"/>
        <w:rPr>
          <w:rFonts w:ascii="Book Antiqua" w:hAnsi="Book Antiqua"/>
          <w:sz w:val="24"/>
          <w:szCs w:val="24"/>
        </w:rPr>
      </w:pPr>
    </w:p>
    <w:p w14:paraId="2D488973" w14:textId="17E5804E" w:rsidR="000B7A67" w:rsidRPr="00D161E6" w:rsidRDefault="000B7A67" w:rsidP="000B7A67">
      <w:pPr>
        <w:spacing w:after="0" w:line="240" w:lineRule="auto"/>
        <w:ind w:left="284" w:right="474"/>
        <w:jc w:val="both"/>
        <w:rPr>
          <w:rFonts w:ascii="Book Antiqua" w:hAnsi="Book Antiqua"/>
          <w:i/>
          <w:iCs/>
          <w:sz w:val="24"/>
          <w:szCs w:val="24"/>
        </w:rPr>
      </w:pPr>
      <w:r w:rsidRPr="005C1ADA">
        <w:rPr>
          <w:rFonts w:ascii="Book Antiqua" w:hAnsi="Book Antiqua"/>
          <w:i/>
          <w:iCs/>
          <w:sz w:val="24"/>
          <w:szCs w:val="24"/>
        </w:rPr>
        <w:t>“</w:t>
      </w:r>
      <w:r w:rsidRPr="00D161E6">
        <w:rPr>
          <w:rFonts w:ascii="Book Antiqua" w:hAnsi="Book Antiqua"/>
          <w:b/>
          <w:bCs/>
          <w:i/>
          <w:iCs/>
          <w:sz w:val="24"/>
          <w:szCs w:val="24"/>
        </w:rPr>
        <w:t xml:space="preserve">2.9) </w:t>
      </w:r>
      <w:r w:rsidRPr="00D161E6">
        <w:rPr>
          <w:rFonts w:ascii="Book Antiqua" w:hAnsi="Book Antiqua"/>
          <w:i/>
          <w:iCs/>
          <w:sz w:val="24"/>
          <w:szCs w:val="24"/>
        </w:rPr>
        <w:t>La Dirección de Planificación- Unidad de Portafolio de Proyectos deberá: a.)Realizar capacitaciones que orienten a las personas encargadas de liderar proyectos estratégicos, sobre la forma correcta de completar los diferentes formularios relacionados con la metodología institucional de administración de proyectos y el uso de las herramientas informáticas que facilitan la obtención y el registro de la información, así como el seguimiento de los proyectos en ejecución. Para la capacitación de interés, se deberá enfocar en este periodo para fortalecer la forma de completar los formularios de acuerdo con los roles y responsabilidades de los encargados de los proyectos, así como otros temas que consideren se deben reforzar. Lo anterior, asimismo, con el objetivo de continuar depurando y madurando los procedimientos institucionales relacionados con este tema”</w:t>
      </w:r>
      <w:r w:rsidR="005B3A32">
        <w:rPr>
          <w:rFonts w:ascii="Book Antiqua" w:hAnsi="Book Antiqua"/>
          <w:i/>
          <w:iCs/>
          <w:sz w:val="24"/>
          <w:szCs w:val="24"/>
        </w:rPr>
        <w:t>.</w:t>
      </w:r>
    </w:p>
    <w:p w14:paraId="52CDBC0B" w14:textId="77777777" w:rsidR="000B7A67" w:rsidRDefault="000B7A67" w:rsidP="000B7A67">
      <w:pPr>
        <w:spacing w:after="0"/>
        <w:jc w:val="both"/>
        <w:rPr>
          <w:rFonts w:ascii="Book Antiqua" w:hAnsi="Book Antiqua"/>
        </w:rPr>
      </w:pPr>
      <w:r>
        <w:rPr>
          <w:rFonts w:ascii="Book Antiqua" w:hAnsi="Book Antiqua"/>
        </w:rPr>
        <w:t xml:space="preserve"> </w:t>
      </w:r>
    </w:p>
    <w:p w14:paraId="39B3E5D6" w14:textId="477F2A70" w:rsidR="000B7A67" w:rsidRDefault="000B7A67" w:rsidP="000B7A67">
      <w:pPr>
        <w:spacing w:after="0"/>
        <w:jc w:val="both"/>
        <w:rPr>
          <w:rFonts w:ascii="Book Antiqua" w:hAnsi="Book Antiqua"/>
          <w:sz w:val="24"/>
          <w:szCs w:val="24"/>
        </w:rPr>
      </w:pPr>
      <w:r>
        <w:rPr>
          <w:rFonts w:ascii="Book Antiqua" w:hAnsi="Book Antiqua"/>
          <w:sz w:val="24"/>
          <w:szCs w:val="24"/>
        </w:rPr>
        <w:t>Por lo anterior, durante abril y mayo</w:t>
      </w:r>
      <w:r w:rsidR="00491CC5">
        <w:rPr>
          <w:rFonts w:ascii="Book Antiqua" w:hAnsi="Book Antiqua"/>
          <w:sz w:val="24"/>
          <w:szCs w:val="24"/>
        </w:rPr>
        <w:t xml:space="preserve"> del 2023</w:t>
      </w:r>
      <w:r>
        <w:rPr>
          <w:rFonts w:ascii="Book Antiqua" w:hAnsi="Book Antiqua"/>
          <w:sz w:val="24"/>
          <w:szCs w:val="24"/>
        </w:rPr>
        <w:t xml:space="preserve"> se impartie</w:t>
      </w:r>
      <w:r w:rsidR="00491CC5">
        <w:rPr>
          <w:rFonts w:ascii="Book Antiqua" w:hAnsi="Book Antiqua"/>
          <w:sz w:val="24"/>
          <w:szCs w:val="24"/>
        </w:rPr>
        <w:t>ron</w:t>
      </w:r>
      <w:r>
        <w:rPr>
          <w:rFonts w:ascii="Book Antiqua" w:hAnsi="Book Antiqua"/>
          <w:sz w:val="24"/>
          <w:szCs w:val="24"/>
        </w:rPr>
        <w:t xml:space="preserve"> capacitaciones a las personas líderes, administradores y directores de proyectos </w:t>
      </w:r>
      <w:r w:rsidRPr="0071092B">
        <w:rPr>
          <w:rFonts w:ascii="Book Antiqua" w:hAnsi="Book Antiqua"/>
          <w:sz w:val="24"/>
          <w:szCs w:val="24"/>
        </w:rPr>
        <w:t>de temas relacionados con la metodología institucional de proyectos</w:t>
      </w:r>
      <w:r w:rsidR="00844144">
        <w:rPr>
          <w:rFonts w:ascii="Book Antiqua" w:hAnsi="Book Antiqua"/>
          <w:sz w:val="24"/>
          <w:szCs w:val="24"/>
        </w:rPr>
        <w:t xml:space="preserve"> por medio virtual y herramienta Teams</w:t>
      </w:r>
      <w:r w:rsidRPr="0071092B">
        <w:rPr>
          <w:rFonts w:ascii="Book Antiqua" w:hAnsi="Book Antiqua"/>
          <w:sz w:val="24"/>
          <w:szCs w:val="24"/>
        </w:rPr>
        <w:t xml:space="preserve"> (Ver enlace: </w:t>
      </w:r>
      <w:hyperlink r:id="rId35" w:history="1">
        <w:r w:rsidRPr="0071092B">
          <w:rPr>
            <w:rStyle w:val="Hipervnculo"/>
            <w:rFonts w:ascii="Book Antiqua" w:hAnsi="Book Antiqua"/>
            <w:sz w:val="24"/>
            <w:szCs w:val="24"/>
          </w:rPr>
          <w:t>Minutas de Capacitaciones</w:t>
        </w:r>
      </w:hyperlink>
      <w:r w:rsidRPr="0071092B">
        <w:rPr>
          <w:rFonts w:ascii="Book Antiqua" w:hAnsi="Book Antiqua"/>
          <w:sz w:val="24"/>
          <w:szCs w:val="24"/>
        </w:rPr>
        <w:t xml:space="preserve">). A continuación, se presenta un resumen de </w:t>
      </w:r>
      <w:r w:rsidRPr="0071092B">
        <w:rPr>
          <w:rFonts w:ascii="Book Antiqua" w:hAnsi="Book Antiqua"/>
          <w:sz w:val="24"/>
          <w:szCs w:val="24"/>
        </w:rPr>
        <w:lastRenderedPageBreak/>
        <w:t>l</w:t>
      </w:r>
      <w:r w:rsidR="00BD2B01">
        <w:rPr>
          <w:rFonts w:ascii="Book Antiqua" w:hAnsi="Book Antiqua"/>
          <w:sz w:val="24"/>
          <w:szCs w:val="24"/>
        </w:rPr>
        <w:t>a participación en cada sesión de capacitación así como el detalle de la fecha y nombre de la capacitación.</w:t>
      </w:r>
    </w:p>
    <w:p w14:paraId="4585158A" w14:textId="77777777" w:rsidR="000B7A67" w:rsidRDefault="000B7A67" w:rsidP="000B7A67">
      <w:pPr>
        <w:spacing w:after="0"/>
        <w:jc w:val="both"/>
        <w:rPr>
          <w:rFonts w:ascii="Book Antiqua" w:hAnsi="Book Antiqua"/>
          <w:sz w:val="24"/>
          <w:szCs w:val="24"/>
        </w:rPr>
      </w:pPr>
    </w:p>
    <w:p w14:paraId="1D981DF6" w14:textId="306EC2FD" w:rsidR="000B7A67" w:rsidRDefault="000B7A67" w:rsidP="000B7A67">
      <w:pPr>
        <w:pStyle w:val="Descripcin"/>
        <w:keepNext/>
        <w:spacing w:after="0"/>
        <w:jc w:val="center"/>
        <w:rPr>
          <w:rFonts w:ascii="Book Antiqua" w:hAnsi="Book Antiqua" w:cs="&amp;quot"/>
          <w:b/>
          <w:i w:val="0"/>
          <w:iCs w:val="0"/>
          <w:color w:val="auto"/>
          <w:sz w:val="24"/>
          <w:szCs w:val="24"/>
        </w:rPr>
      </w:pPr>
      <w:r w:rsidRPr="00A562C7">
        <w:rPr>
          <w:rFonts w:ascii="Book Antiqua" w:hAnsi="Book Antiqua" w:cs="&amp;quot"/>
          <w:b/>
          <w:i w:val="0"/>
          <w:iCs w:val="0"/>
          <w:color w:val="auto"/>
          <w:sz w:val="24"/>
          <w:szCs w:val="24"/>
        </w:rPr>
        <w:t xml:space="preserve">Tabla </w:t>
      </w:r>
      <w:r w:rsidRPr="00A562C7">
        <w:rPr>
          <w:rFonts w:ascii="Book Antiqua" w:hAnsi="Book Antiqua" w:cs="&amp;quot"/>
          <w:b/>
          <w:i w:val="0"/>
          <w:iCs w:val="0"/>
          <w:color w:val="auto"/>
          <w:sz w:val="24"/>
          <w:szCs w:val="24"/>
        </w:rPr>
        <w:fldChar w:fldCharType="begin"/>
      </w:r>
      <w:r w:rsidRPr="00A562C7">
        <w:rPr>
          <w:rFonts w:ascii="Book Antiqua" w:hAnsi="Book Antiqua" w:cs="&amp;quot"/>
          <w:b/>
          <w:i w:val="0"/>
          <w:iCs w:val="0"/>
          <w:color w:val="auto"/>
          <w:sz w:val="24"/>
          <w:szCs w:val="24"/>
        </w:rPr>
        <w:instrText xml:space="preserve"> SEQ Tabla \* ARABIC </w:instrText>
      </w:r>
      <w:r w:rsidRPr="00A562C7">
        <w:rPr>
          <w:rFonts w:ascii="Book Antiqua" w:hAnsi="Book Antiqua" w:cs="&amp;quot"/>
          <w:b/>
          <w:i w:val="0"/>
          <w:iCs w:val="0"/>
          <w:color w:val="auto"/>
          <w:sz w:val="24"/>
          <w:szCs w:val="24"/>
        </w:rPr>
        <w:fldChar w:fldCharType="separate"/>
      </w:r>
      <w:r w:rsidR="00844144">
        <w:rPr>
          <w:rFonts w:ascii="Book Antiqua" w:hAnsi="Book Antiqua" w:cs="&amp;quot"/>
          <w:b/>
          <w:i w:val="0"/>
          <w:iCs w:val="0"/>
          <w:noProof/>
          <w:color w:val="auto"/>
          <w:sz w:val="24"/>
          <w:szCs w:val="24"/>
        </w:rPr>
        <w:t>15</w:t>
      </w:r>
      <w:r w:rsidRPr="00A562C7">
        <w:rPr>
          <w:rFonts w:ascii="Book Antiqua" w:hAnsi="Book Antiqua" w:cs="&amp;quot"/>
          <w:b/>
          <w:i w:val="0"/>
          <w:iCs w:val="0"/>
          <w:color w:val="auto"/>
          <w:sz w:val="24"/>
          <w:szCs w:val="24"/>
        </w:rPr>
        <w:fldChar w:fldCharType="end"/>
      </w:r>
      <w:r>
        <w:rPr>
          <w:rFonts w:ascii="Book Antiqua" w:hAnsi="Book Antiqua" w:cs="&amp;quot"/>
          <w:b/>
          <w:i w:val="0"/>
          <w:iCs w:val="0"/>
          <w:color w:val="auto"/>
          <w:sz w:val="24"/>
          <w:szCs w:val="24"/>
        </w:rPr>
        <w:t>.</w:t>
      </w:r>
      <w:r w:rsidRPr="00A562C7">
        <w:rPr>
          <w:rFonts w:ascii="Book Antiqua" w:hAnsi="Book Antiqua" w:cs="&amp;quot"/>
          <w:b/>
          <w:i w:val="0"/>
          <w:iCs w:val="0"/>
          <w:color w:val="auto"/>
          <w:sz w:val="24"/>
          <w:szCs w:val="24"/>
        </w:rPr>
        <w:t xml:space="preserve"> </w:t>
      </w:r>
      <w:r w:rsidRPr="00143168">
        <w:rPr>
          <w:rFonts w:ascii="Book Antiqua" w:hAnsi="Book Antiqua" w:cs="&amp;quot"/>
          <w:b/>
          <w:i w:val="0"/>
          <w:iCs w:val="0"/>
          <w:color w:val="auto"/>
          <w:sz w:val="24"/>
          <w:szCs w:val="24"/>
        </w:rPr>
        <w:t>Detalle de</w:t>
      </w:r>
      <w:r>
        <w:rPr>
          <w:rFonts w:ascii="Book Antiqua" w:hAnsi="Book Antiqua" w:cs="&amp;quot"/>
          <w:b/>
          <w:i w:val="0"/>
          <w:iCs w:val="0"/>
          <w:color w:val="auto"/>
          <w:sz w:val="24"/>
          <w:szCs w:val="24"/>
        </w:rPr>
        <w:t xml:space="preserve"> las capacitaciones brindadas durante el 2023</w:t>
      </w:r>
    </w:p>
    <w:p w14:paraId="64902132" w14:textId="77777777" w:rsidR="00A038C5" w:rsidRPr="00A038C5" w:rsidRDefault="00A038C5" w:rsidP="00A038C5"/>
    <w:tbl>
      <w:tblPr>
        <w:tblStyle w:val="Tablaconcuadrcula"/>
        <w:tblW w:w="8500" w:type="dxa"/>
        <w:jc w:val="center"/>
        <w:tblLook w:val="04A0" w:firstRow="1" w:lastRow="0" w:firstColumn="1" w:lastColumn="0" w:noHBand="0" w:noVBand="1"/>
      </w:tblPr>
      <w:tblGrid>
        <w:gridCol w:w="4531"/>
        <w:gridCol w:w="1984"/>
        <w:gridCol w:w="1985"/>
      </w:tblGrid>
      <w:tr w:rsidR="000B7A67" w:rsidRPr="00434ECE" w14:paraId="2754057C" w14:textId="77777777" w:rsidTr="00F400D6">
        <w:trPr>
          <w:trHeight w:val="584"/>
          <w:tblHeader/>
          <w:jc w:val="center"/>
        </w:trPr>
        <w:tc>
          <w:tcPr>
            <w:tcW w:w="4531" w:type="dxa"/>
            <w:shd w:val="clear" w:color="auto" w:fill="44546A" w:themeFill="text2"/>
            <w:vAlign w:val="center"/>
          </w:tcPr>
          <w:p w14:paraId="6FC21D23" w14:textId="77777777" w:rsidR="000B7A67" w:rsidRPr="00434ECE" w:rsidRDefault="000B7A67" w:rsidP="00F400D6">
            <w:pPr>
              <w:jc w:val="center"/>
              <w:rPr>
                <w:rFonts w:ascii="Book Antiqua" w:hAnsi="Book Antiqua"/>
                <w:b/>
                <w:bCs/>
                <w:color w:val="FFFFFF" w:themeColor="background1"/>
                <w:sz w:val="20"/>
                <w:szCs w:val="20"/>
              </w:rPr>
            </w:pPr>
            <w:r w:rsidRPr="00434ECE">
              <w:rPr>
                <w:rFonts w:ascii="Book Antiqua" w:hAnsi="Book Antiqua"/>
                <w:b/>
                <w:bCs/>
                <w:color w:val="FFFFFF" w:themeColor="background1"/>
                <w:sz w:val="20"/>
                <w:szCs w:val="20"/>
              </w:rPr>
              <w:t>Nombre de la capacitación</w:t>
            </w:r>
          </w:p>
        </w:tc>
        <w:tc>
          <w:tcPr>
            <w:tcW w:w="1984" w:type="dxa"/>
            <w:shd w:val="clear" w:color="auto" w:fill="44546A" w:themeFill="text2"/>
            <w:vAlign w:val="center"/>
          </w:tcPr>
          <w:p w14:paraId="04E4BF74" w14:textId="77777777" w:rsidR="000B7A67" w:rsidRPr="00434ECE" w:rsidRDefault="000B7A67" w:rsidP="00F400D6">
            <w:pPr>
              <w:jc w:val="center"/>
              <w:rPr>
                <w:rFonts w:ascii="Book Antiqua" w:hAnsi="Book Antiqua"/>
                <w:b/>
                <w:bCs/>
                <w:color w:val="FFFFFF" w:themeColor="background1"/>
                <w:sz w:val="20"/>
                <w:szCs w:val="20"/>
              </w:rPr>
            </w:pPr>
            <w:r w:rsidRPr="00434ECE">
              <w:rPr>
                <w:rFonts w:ascii="Book Antiqua" w:hAnsi="Book Antiqua"/>
                <w:b/>
                <w:bCs/>
                <w:color w:val="FFFFFF" w:themeColor="background1"/>
                <w:sz w:val="20"/>
                <w:szCs w:val="20"/>
              </w:rPr>
              <w:t>Fecha de capacitación</w:t>
            </w:r>
          </w:p>
        </w:tc>
        <w:tc>
          <w:tcPr>
            <w:tcW w:w="1985" w:type="dxa"/>
            <w:shd w:val="clear" w:color="auto" w:fill="44546A" w:themeFill="text2"/>
            <w:vAlign w:val="center"/>
          </w:tcPr>
          <w:p w14:paraId="569182CE" w14:textId="77777777" w:rsidR="000B7A67" w:rsidRPr="00434ECE" w:rsidRDefault="000B7A67" w:rsidP="00F400D6">
            <w:pPr>
              <w:jc w:val="center"/>
              <w:rPr>
                <w:rFonts w:ascii="Book Antiqua" w:hAnsi="Book Antiqua"/>
                <w:b/>
                <w:bCs/>
                <w:color w:val="FFFFFF" w:themeColor="background1"/>
                <w:sz w:val="20"/>
                <w:szCs w:val="20"/>
              </w:rPr>
            </w:pPr>
            <w:r w:rsidRPr="00434ECE">
              <w:rPr>
                <w:rFonts w:ascii="Book Antiqua" w:hAnsi="Book Antiqua"/>
                <w:b/>
                <w:bCs/>
                <w:color w:val="FFFFFF" w:themeColor="background1"/>
                <w:sz w:val="20"/>
                <w:szCs w:val="20"/>
              </w:rPr>
              <w:t>Cantidad de personas presentes</w:t>
            </w:r>
          </w:p>
        </w:tc>
      </w:tr>
      <w:tr w:rsidR="000B7A67" w:rsidRPr="00434ECE" w14:paraId="6654328D" w14:textId="77777777" w:rsidTr="00F400D6">
        <w:trPr>
          <w:jc w:val="center"/>
        </w:trPr>
        <w:tc>
          <w:tcPr>
            <w:tcW w:w="4531" w:type="dxa"/>
            <w:vAlign w:val="center"/>
          </w:tcPr>
          <w:p w14:paraId="5D63280F" w14:textId="77777777" w:rsidR="000B7A67" w:rsidRPr="00434ECE" w:rsidRDefault="000B7A67" w:rsidP="00F400D6">
            <w:pPr>
              <w:jc w:val="center"/>
              <w:rPr>
                <w:rFonts w:ascii="Book Antiqua" w:hAnsi="Book Antiqua"/>
                <w:sz w:val="20"/>
                <w:szCs w:val="20"/>
              </w:rPr>
            </w:pPr>
            <w:r w:rsidRPr="00434ECE">
              <w:rPr>
                <w:rFonts w:ascii="Book Antiqua" w:hAnsi="Book Antiqua" w:cs="Arial"/>
                <w:snapToGrid w:val="0"/>
                <w:color w:val="000000"/>
                <w:sz w:val="20"/>
                <w:szCs w:val="20"/>
                <w:lang w:val="es-AR"/>
              </w:rPr>
              <w:t>Capacitación Metodología de Administración de Proyectos</w:t>
            </w:r>
          </w:p>
        </w:tc>
        <w:tc>
          <w:tcPr>
            <w:tcW w:w="1984" w:type="dxa"/>
            <w:vAlign w:val="center"/>
          </w:tcPr>
          <w:p w14:paraId="4004A243" w14:textId="77777777" w:rsidR="000B7A67" w:rsidRPr="00434ECE" w:rsidRDefault="000B7A67" w:rsidP="00F400D6">
            <w:pPr>
              <w:jc w:val="center"/>
              <w:rPr>
                <w:rFonts w:ascii="Book Antiqua" w:hAnsi="Book Antiqua"/>
                <w:sz w:val="20"/>
                <w:szCs w:val="20"/>
              </w:rPr>
            </w:pPr>
            <w:r w:rsidRPr="00434ECE">
              <w:rPr>
                <w:rFonts w:ascii="Book Antiqua" w:hAnsi="Book Antiqua"/>
                <w:sz w:val="20"/>
                <w:szCs w:val="20"/>
              </w:rPr>
              <w:t>17 de abril del 2023</w:t>
            </w:r>
          </w:p>
        </w:tc>
        <w:tc>
          <w:tcPr>
            <w:tcW w:w="1985" w:type="dxa"/>
            <w:vAlign w:val="center"/>
          </w:tcPr>
          <w:p w14:paraId="0CD1C3E0" w14:textId="77777777" w:rsidR="000B7A67" w:rsidRPr="00434ECE" w:rsidRDefault="000B7A67" w:rsidP="00F400D6">
            <w:pPr>
              <w:jc w:val="center"/>
              <w:rPr>
                <w:rFonts w:ascii="Book Antiqua" w:hAnsi="Book Antiqua"/>
                <w:sz w:val="20"/>
                <w:szCs w:val="20"/>
              </w:rPr>
            </w:pPr>
            <w:r w:rsidRPr="00434ECE">
              <w:rPr>
                <w:rFonts w:ascii="Book Antiqua" w:hAnsi="Book Antiqua"/>
                <w:sz w:val="20"/>
                <w:szCs w:val="20"/>
              </w:rPr>
              <w:t>182</w:t>
            </w:r>
          </w:p>
        </w:tc>
      </w:tr>
      <w:tr w:rsidR="000B7A67" w:rsidRPr="00434ECE" w14:paraId="32D2AA7B" w14:textId="77777777" w:rsidTr="00F400D6">
        <w:trPr>
          <w:jc w:val="center"/>
        </w:trPr>
        <w:tc>
          <w:tcPr>
            <w:tcW w:w="4531" w:type="dxa"/>
            <w:vAlign w:val="center"/>
          </w:tcPr>
          <w:p w14:paraId="472444AE" w14:textId="77777777" w:rsidR="000B7A67" w:rsidRPr="00434ECE" w:rsidRDefault="000B7A67" w:rsidP="00F400D6">
            <w:pPr>
              <w:jc w:val="center"/>
              <w:rPr>
                <w:rFonts w:ascii="Book Antiqua" w:hAnsi="Book Antiqua"/>
                <w:sz w:val="20"/>
                <w:szCs w:val="20"/>
              </w:rPr>
            </w:pPr>
            <w:r w:rsidRPr="00434ECE">
              <w:rPr>
                <w:rFonts w:ascii="Book Antiqua" w:hAnsi="Book Antiqua" w:cs="Arial"/>
                <w:snapToGrid w:val="0"/>
                <w:color w:val="000000"/>
                <w:sz w:val="20"/>
                <w:szCs w:val="20"/>
                <w:lang w:val="es-AR"/>
              </w:rPr>
              <w:t>Capacitación del Estudio de Factibilidad de la Administración de Proyectos</w:t>
            </w:r>
          </w:p>
        </w:tc>
        <w:tc>
          <w:tcPr>
            <w:tcW w:w="1984" w:type="dxa"/>
            <w:vAlign w:val="center"/>
          </w:tcPr>
          <w:p w14:paraId="556BB1E8" w14:textId="77777777" w:rsidR="000B7A67" w:rsidRPr="00434ECE" w:rsidRDefault="000B7A67" w:rsidP="00F400D6">
            <w:pPr>
              <w:jc w:val="center"/>
              <w:rPr>
                <w:rFonts w:ascii="Book Antiqua" w:hAnsi="Book Antiqua"/>
                <w:sz w:val="20"/>
                <w:szCs w:val="20"/>
              </w:rPr>
            </w:pPr>
            <w:r w:rsidRPr="00434ECE">
              <w:rPr>
                <w:rFonts w:ascii="Book Antiqua" w:hAnsi="Book Antiqua"/>
                <w:sz w:val="20"/>
                <w:szCs w:val="20"/>
              </w:rPr>
              <w:t>19 de abril del 2023</w:t>
            </w:r>
          </w:p>
        </w:tc>
        <w:tc>
          <w:tcPr>
            <w:tcW w:w="1985" w:type="dxa"/>
            <w:vAlign w:val="center"/>
          </w:tcPr>
          <w:p w14:paraId="1F95044C" w14:textId="77777777" w:rsidR="000B7A67" w:rsidRPr="00434ECE" w:rsidRDefault="000B7A67" w:rsidP="00F400D6">
            <w:pPr>
              <w:jc w:val="center"/>
              <w:rPr>
                <w:rFonts w:ascii="Book Antiqua" w:hAnsi="Book Antiqua"/>
                <w:sz w:val="20"/>
                <w:szCs w:val="20"/>
              </w:rPr>
            </w:pPr>
            <w:r w:rsidRPr="00434ECE">
              <w:rPr>
                <w:rFonts w:ascii="Book Antiqua" w:hAnsi="Book Antiqua"/>
                <w:sz w:val="20"/>
                <w:szCs w:val="20"/>
              </w:rPr>
              <w:t>171</w:t>
            </w:r>
          </w:p>
        </w:tc>
      </w:tr>
      <w:tr w:rsidR="000B7A67" w:rsidRPr="00434ECE" w14:paraId="2B2E3545" w14:textId="77777777" w:rsidTr="00F400D6">
        <w:trPr>
          <w:jc w:val="center"/>
        </w:trPr>
        <w:tc>
          <w:tcPr>
            <w:tcW w:w="4531" w:type="dxa"/>
            <w:vAlign w:val="center"/>
          </w:tcPr>
          <w:p w14:paraId="56E3067A" w14:textId="77777777" w:rsidR="000B7A67" w:rsidRPr="00434ECE" w:rsidRDefault="000B7A67" w:rsidP="00F400D6">
            <w:pPr>
              <w:jc w:val="center"/>
              <w:rPr>
                <w:rFonts w:ascii="Book Antiqua" w:hAnsi="Book Antiqua"/>
                <w:sz w:val="20"/>
                <w:szCs w:val="20"/>
              </w:rPr>
            </w:pPr>
            <w:r w:rsidRPr="00434ECE">
              <w:rPr>
                <w:rStyle w:val="normaltextrun"/>
                <w:rFonts w:ascii="Book Antiqua" w:hAnsi="Book Antiqua" w:cs="Arial"/>
                <w:color w:val="000000"/>
                <w:sz w:val="20"/>
                <w:szCs w:val="20"/>
                <w:shd w:val="clear" w:color="auto" w:fill="FFFFFF"/>
                <w:lang w:val="es-AR"/>
              </w:rPr>
              <w:t>Capacitación sobre Acta de Constitución</w:t>
            </w:r>
          </w:p>
        </w:tc>
        <w:tc>
          <w:tcPr>
            <w:tcW w:w="1984" w:type="dxa"/>
            <w:vAlign w:val="center"/>
          </w:tcPr>
          <w:p w14:paraId="5E7C4F55" w14:textId="77777777" w:rsidR="000B7A67" w:rsidRPr="00434ECE" w:rsidRDefault="000B7A67" w:rsidP="00F400D6">
            <w:pPr>
              <w:jc w:val="center"/>
              <w:rPr>
                <w:rFonts w:ascii="Book Antiqua" w:hAnsi="Book Antiqua"/>
                <w:sz w:val="20"/>
                <w:szCs w:val="20"/>
              </w:rPr>
            </w:pPr>
            <w:r w:rsidRPr="00434ECE">
              <w:rPr>
                <w:rFonts w:ascii="Book Antiqua" w:hAnsi="Book Antiqua"/>
                <w:sz w:val="20"/>
                <w:szCs w:val="20"/>
              </w:rPr>
              <w:t>21 de abril del 2023</w:t>
            </w:r>
          </w:p>
        </w:tc>
        <w:tc>
          <w:tcPr>
            <w:tcW w:w="1985" w:type="dxa"/>
            <w:vAlign w:val="center"/>
          </w:tcPr>
          <w:p w14:paraId="61FC67FD" w14:textId="77777777" w:rsidR="000B7A67" w:rsidRPr="00434ECE" w:rsidRDefault="000B7A67" w:rsidP="00F400D6">
            <w:pPr>
              <w:jc w:val="center"/>
              <w:rPr>
                <w:rFonts w:ascii="Book Antiqua" w:hAnsi="Book Antiqua"/>
                <w:sz w:val="20"/>
                <w:szCs w:val="20"/>
              </w:rPr>
            </w:pPr>
            <w:r w:rsidRPr="00434ECE">
              <w:rPr>
                <w:rFonts w:ascii="Book Antiqua" w:hAnsi="Book Antiqua"/>
                <w:sz w:val="20"/>
                <w:szCs w:val="20"/>
              </w:rPr>
              <w:t>156</w:t>
            </w:r>
          </w:p>
        </w:tc>
      </w:tr>
      <w:tr w:rsidR="000B7A67" w:rsidRPr="00434ECE" w14:paraId="6E80EA9F" w14:textId="77777777" w:rsidTr="00F400D6">
        <w:trPr>
          <w:jc w:val="center"/>
        </w:trPr>
        <w:tc>
          <w:tcPr>
            <w:tcW w:w="4531" w:type="dxa"/>
            <w:vAlign w:val="center"/>
          </w:tcPr>
          <w:p w14:paraId="26BE622C" w14:textId="77777777" w:rsidR="000B7A67" w:rsidRPr="00434ECE" w:rsidRDefault="000B7A67" w:rsidP="00F400D6">
            <w:pPr>
              <w:jc w:val="center"/>
              <w:rPr>
                <w:rFonts w:ascii="Book Antiqua" w:hAnsi="Book Antiqua"/>
                <w:sz w:val="20"/>
                <w:szCs w:val="20"/>
              </w:rPr>
            </w:pPr>
            <w:r w:rsidRPr="00434ECE">
              <w:rPr>
                <w:rStyle w:val="normaltextrun"/>
                <w:rFonts w:ascii="Book Antiqua" w:hAnsi="Book Antiqua" w:cs="Arial"/>
                <w:color w:val="000000"/>
                <w:sz w:val="20"/>
                <w:szCs w:val="20"/>
                <w:shd w:val="clear" w:color="auto" w:fill="FFFFFF"/>
                <w:lang w:val="es-AR"/>
              </w:rPr>
              <w:t>Capacitación sobre Plan de gestión</w:t>
            </w:r>
          </w:p>
        </w:tc>
        <w:tc>
          <w:tcPr>
            <w:tcW w:w="1984" w:type="dxa"/>
            <w:vAlign w:val="center"/>
          </w:tcPr>
          <w:p w14:paraId="70C8FE1C" w14:textId="77777777" w:rsidR="000B7A67" w:rsidRPr="00434ECE" w:rsidRDefault="000B7A67" w:rsidP="00F400D6">
            <w:pPr>
              <w:jc w:val="center"/>
              <w:rPr>
                <w:rFonts w:ascii="Book Antiqua" w:hAnsi="Book Antiqua"/>
                <w:sz w:val="20"/>
                <w:szCs w:val="20"/>
              </w:rPr>
            </w:pPr>
            <w:r w:rsidRPr="00434ECE">
              <w:rPr>
                <w:rFonts w:ascii="Book Antiqua" w:hAnsi="Book Antiqua"/>
                <w:sz w:val="20"/>
                <w:szCs w:val="20"/>
              </w:rPr>
              <w:t>24 de abril del 2023</w:t>
            </w:r>
          </w:p>
        </w:tc>
        <w:tc>
          <w:tcPr>
            <w:tcW w:w="1985" w:type="dxa"/>
            <w:vAlign w:val="center"/>
          </w:tcPr>
          <w:p w14:paraId="69C966FD" w14:textId="77777777" w:rsidR="000B7A67" w:rsidRPr="00434ECE" w:rsidRDefault="000B7A67" w:rsidP="00F400D6">
            <w:pPr>
              <w:jc w:val="center"/>
              <w:rPr>
                <w:rFonts w:ascii="Book Antiqua" w:hAnsi="Book Antiqua"/>
                <w:sz w:val="20"/>
                <w:szCs w:val="20"/>
              </w:rPr>
            </w:pPr>
            <w:r w:rsidRPr="00434ECE">
              <w:rPr>
                <w:rFonts w:ascii="Book Antiqua" w:hAnsi="Book Antiqua"/>
                <w:sz w:val="20"/>
                <w:szCs w:val="20"/>
              </w:rPr>
              <w:t>165</w:t>
            </w:r>
          </w:p>
        </w:tc>
      </w:tr>
      <w:tr w:rsidR="000B7A67" w:rsidRPr="00434ECE" w14:paraId="3907EEE3" w14:textId="77777777" w:rsidTr="00F400D6">
        <w:trPr>
          <w:jc w:val="center"/>
        </w:trPr>
        <w:tc>
          <w:tcPr>
            <w:tcW w:w="4531" w:type="dxa"/>
            <w:vAlign w:val="center"/>
          </w:tcPr>
          <w:p w14:paraId="62B5D97C" w14:textId="77777777" w:rsidR="000B7A67" w:rsidRPr="00434ECE" w:rsidRDefault="000B7A67" w:rsidP="00F400D6">
            <w:pPr>
              <w:jc w:val="center"/>
              <w:rPr>
                <w:rFonts w:ascii="Book Antiqua" w:hAnsi="Book Antiqua"/>
                <w:sz w:val="20"/>
                <w:szCs w:val="20"/>
              </w:rPr>
            </w:pPr>
            <w:r w:rsidRPr="00434ECE">
              <w:rPr>
                <w:rStyle w:val="normaltextrun"/>
                <w:rFonts w:ascii="Book Antiqua" w:hAnsi="Book Antiqua" w:cs="Arial"/>
                <w:color w:val="000000"/>
                <w:sz w:val="20"/>
                <w:szCs w:val="20"/>
                <w:shd w:val="clear" w:color="auto" w:fill="FFFFFF"/>
                <w:lang w:val="es-ES"/>
              </w:rPr>
              <w:t>Capacitación sobre Project Online</w:t>
            </w:r>
          </w:p>
        </w:tc>
        <w:tc>
          <w:tcPr>
            <w:tcW w:w="1984" w:type="dxa"/>
            <w:vAlign w:val="center"/>
          </w:tcPr>
          <w:p w14:paraId="75655079" w14:textId="77777777" w:rsidR="000B7A67" w:rsidRPr="00434ECE" w:rsidRDefault="000B7A67" w:rsidP="00F400D6">
            <w:pPr>
              <w:jc w:val="center"/>
              <w:rPr>
                <w:rFonts w:ascii="Book Antiqua" w:hAnsi="Book Antiqua"/>
                <w:sz w:val="20"/>
                <w:szCs w:val="20"/>
              </w:rPr>
            </w:pPr>
            <w:r w:rsidRPr="00434ECE">
              <w:rPr>
                <w:rFonts w:ascii="Book Antiqua" w:hAnsi="Book Antiqua"/>
                <w:sz w:val="20"/>
                <w:szCs w:val="20"/>
              </w:rPr>
              <w:t>26 de abril del 2023</w:t>
            </w:r>
          </w:p>
        </w:tc>
        <w:tc>
          <w:tcPr>
            <w:tcW w:w="1985" w:type="dxa"/>
            <w:vAlign w:val="center"/>
          </w:tcPr>
          <w:p w14:paraId="4ACD1769" w14:textId="77777777" w:rsidR="000B7A67" w:rsidRPr="00434ECE" w:rsidRDefault="000B7A67" w:rsidP="00F400D6">
            <w:pPr>
              <w:jc w:val="center"/>
              <w:rPr>
                <w:rFonts w:ascii="Book Antiqua" w:hAnsi="Book Antiqua"/>
                <w:sz w:val="20"/>
                <w:szCs w:val="20"/>
              </w:rPr>
            </w:pPr>
            <w:r w:rsidRPr="00434ECE">
              <w:rPr>
                <w:rFonts w:ascii="Book Antiqua" w:hAnsi="Book Antiqua"/>
                <w:sz w:val="20"/>
                <w:szCs w:val="20"/>
              </w:rPr>
              <w:t>130</w:t>
            </w:r>
          </w:p>
        </w:tc>
      </w:tr>
      <w:tr w:rsidR="000B7A67" w:rsidRPr="00434ECE" w14:paraId="65ADF07C" w14:textId="77777777" w:rsidTr="00F400D6">
        <w:trPr>
          <w:jc w:val="center"/>
        </w:trPr>
        <w:tc>
          <w:tcPr>
            <w:tcW w:w="4531" w:type="dxa"/>
            <w:vAlign w:val="center"/>
          </w:tcPr>
          <w:p w14:paraId="006448D8" w14:textId="77777777" w:rsidR="000B7A67" w:rsidRPr="00434ECE" w:rsidRDefault="000B7A67" w:rsidP="00F400D6">
            <w:pPr>
              <w:jc w:val="center"/>
              <w:rPr>
                <w:rStyle w:val="normaltextrun"/>
                <w:rFonts w:ascii="Book Antiqua" w:hAnsi="Book Antiqua" w:cs="Arial"/>
                <w:color w:val="000000"/>
                <w:sz w:val="20"/>
                <w:szCs w:val="20"/>
                <w:shd w:val="clear" w:color="auto" w:fill="FFFFFF"/>
                <w:lang w:val="es-ES"/>
              </w:rPr>
            </w:pPr>
            <w:r w:rsidRPr="00434ECE">
              <w:rPr>
                <w:rStyle w:val="normaltextrun"/>
                <w:rFonts w:ascii="Book Antiqua" w:hAnsi="Book Antiqua" w:cs="Arial"/>
                <w:color w:val="000000"/>
                <w:sz w:val="20"/>
                <w:szCs w:val="20"/>
                <w:shd w:val="clear" w:color="auto" w:fill="FFFFFF"/>
                <w:lang w:val="es-ES"/>
              </w:rPr>
              <w:t>Capacitación sobre informe de Avance, indicadores y solicitud de cambio</w:t>
            </w:r>
          </w:p>
        </w:tc>
        <w:tc>
          <w:tcPr>
            <w:tcW w:w="1984" w:type="dxa"/>
            <w:vAlign w:val="center"/>
          </w:tcPr>
          <w:p w14:paraId="224B39CC" w14:textId="77777777" w:rsidR="000B7A67" w:rsidRPr="00434ECE" w:rsidRDefault="000B7A67" w:rsidP="00F400D6">
            <w:pPr>
              <w:jc w:val="center"/>
              <w:rPr>
                <w:rFonts w:ascii="Book Antiqua" w:hAnsi="Book Antiqua"/>
                <w:sz w:val="20"/>
                <w:szCs w:val="20"/>
              </w:rPr>
            </w:pPr>
            <w:r w:rsidRPr="00434ECE">
              <w:rPr>
                <w:rFonts w:ascii="Book Antiqua" w:hAnsi="Book Antiqua"/>
                <w:sz w:val="20"/>
                <w:szCs w:val="20"/>
              </w:rPr>
              <w:t>2 de mayo del 2023</w:t>
            </w:r>
          </w:p>
        </w:tc>
        <w:tc>
          <w:tcPr>
            <w:tcW w:w="1985" w:type="dxa"/>
            <w:vAlign w:val="center"/>
          </w:tcPr>
          <w:p w14:paraId="3AF50AD9" w14:textId="77777777" w:rsidR="000B7A67" w:rsidRPr="00434ECE" w:rsidRDefault="000B7A67" w:rsidP="00F400D6">
            <w:pPr>
              <w:jc w:val="center"/>
              <w:rPr>
                <w:rFonts w:ascii="Book Antiqua" w:hAnsi="Book Antiqua"/>
                <w:sz w:val="20"/>
                <w:szCs w:val="20"/>
              </w:rPr>
            </w:pPr>
            <w:r w:rsidRPr="00434ECE">
              <w:rPr>
                <w:rFonts w:ascii="Book Antiqua" w:hAnsi="Book Antiqua"/>
                <w:sz w:val="20"/>
                <w:szCs w:val="20"/>
              </w:rPr>
              <w:t>164</w:t>
            </w:r>
          </w:p>
        </w:tc>
      </w:tr>
      <w:tr w:rsidR="000B7A67" w:rsidRPr="00434ECE" w14:paraId="1879F32A" w14:textId="77777777" w:rsidTr="00F400D6">
        <w:trPr>
          <w:jc w:val="center"/>
        </w:trPr>
        <w:tc>
          <w:tcPr>
            <w:tcW w:w="6515" w:type="dxa"/>
            <w:gridSpan w:val="2"/>
            <w:shd w:val="clear" w:color="auto" w:fill="D9E2F3" w:themeFill="accent1" w:themeFillTint="33"/>
            <w:vAlign w:val="center"/>
          </w:tcPr>
          <w:p w14:paraId="5CEFB417" w14:textId="77777777" w:rsidR="000B7A67" w:rsidRPr="00A038C5" w:rsidRDefault="000B7A67" w:rsidP="00F400D6">
            <w:pPr>
              <w:jc w:val="center"/>
              <w:rPr>
                <w:rFonts w:ascii="Book Antiqua" w:hAnsi="Book Antiqua"/>
                <w:b/>
                <w:bCs/>
                <w:sz w:val="20"/>
                <w:szCs w:val="20"/>
              </w:rPr>
            </w:pPr>
            <w:r w:rsidRPr="00A038C5">
              <w:rPr>
                <w:rFonts w:ascii="Book Antiqua" w:hAnsi="Book Antiqua"/>
              </w:rPr>
              <w:t>Total</w:t>
            </w:r>
          </w:p>
        </w:tc>
        <w:tc>
          <w:tcPr>
            <w:tcW w:w="1985" w:type="dxa"/>
            <w:shd w:val="clear" w:color="auto" w:fill="D9E2F3" w:themeFill="accent1" w:themeFillTint="33"/>
            <w:vAlign w:val="center"/>
          </w:tcPr>
          <w:p w14:paraId="72DCB789" w14:textId="77777777" w:rsidR="000B7A67" w:rsidRPr="00585B2C" w:rsidRDefault="000B7A67" w:rsidP="00F400D6">
            <w:pPr>
              <w:jc w:val="center"/>
              <w:rPr>
                <w:rFonts w:ascii="Book Antiqua" w:hAnsi="Book Antiqua"/>
                <w:b/>
                <w:bCs/>
                <w:sz w:val="20"/>
                <w:szCs w:val="20"/>
              </w:rPr>
            </w:pPr>
            <w:r w:rsidRPr="00585B2C">
              <w:rPr>
                <w:rFonts w:ascii="Book Antiqua" w:hAnsi="Book Antiqua"/>
                <w:b/>
                <w:bCs/>
                <w:sz w:val="20"/>
                <w:szCs w:val="20"/>
              </w:rPr>
              <w:t>968</w:t>
            </w:r>
          </w:p>
        </w:tc>
      </w:tr>
    </w:tbl>
    <w:p w14:paraId="1972576B" w14:textId="0B5F6A1D" w:rsidR="000B7A67" w:rsidRDefault="002B7035" w:rsidP="000B7A67">
      <w:pPr>
        <w:spacing w:after="0"/>
        <w:jc w:val="both"/>
        <w:rPr>
          <w:rFonts w:ascii="Book Antiqua" w:hAnsi="Book Antiqua"/>
          <w:sz w:val="24"/>
          <w:szCs w:val="24"/>
        </w:rPr>
      </w:pPr>
      <w:r>
        <w:rPr>
          <w:rFonts w:ascii="Book Antiqua" w:hAnsi="Book Antiqua"/>
          <w:sz w:val="24"/>
          <w:szCs w:val="24"/>
        </w:rPr>
        <w:tab/>
      </w:r>
    </w:p>
    <w:p w14:paraId="52907072" w14:textId="77777777" w:rsidR="000B7A67" w:rsidRDefault="000B7A67" w:rsidP="000B7A67">
      <w:pPr>
        <w:spacing w:after="0"/>
        <w:jc w:val="both"/>
        <w:rPr>
          <w:rFonts w:ascii="Book Antiqua" w:hAnsi="Book Antiqua"/>
          <w:sz w:val="24"/>
          <w:szCs w:val="24"/>
        </w:rPr>
      </w:pPr>
    </w:p>
    <w:p w14:paraId="0A36B7AF" w14:textId="77777777" w:rsidR="000B7A67" w:rsidRDefault="000B7A67" w:rsidP="000B7A67">
      <w:pPr>
        <w:spacing w:after="0"/>
        <w:jc w:val="both"/>
        <w:rPr>
          <w:rFonts w:ascii="Book Antiqua" w:hAnsi="Book Antiqua"/>
          <w:b/>
          <w:sz w:val="24"/>
          <w:szCs w:val="24"/>
        </w:rPr>
      </w:pPr>
    </w:p>
    <w:p w14:paraId="7031681F" w14:textId="77777777" w:rsidR="000B7A67" w:rsidRDefault="000B7A67" w:rsidP="000B7A67">
      <w:pPr>
        <w:spacing w:after="0"/>
        <w:jc w:val="both"/>
        <w:rPr>
          <w:rFonts w:ascii="Book Antiqua" w:hAnsi="Book Antiqua"/>
          <w:b/>
          <w:sz w:val="24"/>
          <w:szCs w:val="24"/>
        </w:rPr>
      </w:pPr>
    </w:p>
    <w:p w14:paraId="32746C44" w14:textId="77777777" w:rsidR="000B7A67" w:rsidRDefault="000B7A67" w:rsidP="000B7A67">
      <w:pPr>
        <w:spacing w:after="0"/>
        <w:jc w:val="both"/>
        <w:rPr>
          <w:rFonts w:ascii="Book Antiqua" w:hAnsi="Book Antiqua"/>
        </w:rPr>
      </w:pPr>
    </w:p>
    <w:p w14:paraId="376A420C" w14:textId="77777777" w:rsidR="000B7A67" w:rsidRDefault="000B7A67" w:rsidP="000B7A67">
      <w:pPr>
        <w:spacing w:after="0"/>
        <w:jc w:val="both"/>
        <w:rPr>
          <w:rFonts w:ascii="Book Antiqua" w:hAnsi="Book Antiqua"/>
        </w:rPr>
      </w:pPr>
    </w:p>
    <w:p w14:paraId="02749BEE" w14:textId="77777777" w:rsidR="000B7A67" w:rsidRDefault="000B7A67" w:rsidP="000B7A67">
      <w:pPr>
        <w:spacing w:after="0"/>
        <w:jc w:val="both"/>
        <w:rPr>
          <w:rFonts w:ascii="Book Antiqua" w:hAnsi="Book Antiqua"/>
        </w:rPr>
      </w:pPr>
    </w:p>
    <w:p w14:paraId="4E8EBD92" w14:textId="77777777" w:rsidR="000B7A67" w:rsidRDefault="000B7A67" w:rsidP="000B7A67">
      <w:pPr>
        <w:spacing w:after="0"/>
        <w:jc w:val="both"/>
        <w:rPr>
          <w:rFonts w:ascii="Book Antiqua" w:hAnsi="Book Antiqua"/>
        </w:rPr>
      </w:pPr>
    </w:p>
    <w:p w14:paraId="550B6826" w14:textId="77777777" w:rsidR="000B7A67" w:rsidRDefault="000B7A67" w:rsidP="000B7A67">
      <w:pPr>
        <w:spacing w:after="0"/>
        <w:jc w:val="both"/>
        <w:rPr>
          <w:rFonts w:ascii="Book Antiqua" w:hAnsi="Book Antiqua"/>
        </w:rPr>
      </w:pPr>
    </w:p>
    <w:p w14:paraId="31A7700B" w14:textId="77777777" w:rsidR="000B7A67" w:rsidRDefault="000B7A67" w:rsidP="000B7A67">
      <w:pPr>
        <w:spacing w:after="0"/>
        <w:jc w:val="both"/>
        <w:rPr>
          <w:rFonts w:ascii="Book Antiqua" w:hAnsi="Book Antiqua"/>
        </w:rPr>
      </w:pPr>
    </w:p>
    <w:p w14:paraId="540E9DFE" w14:textId="77777777" w:rsidR="00B853C2" w:rsidRDefault="00B853C2" w:rsidP="00B853C2">
      <w:pPr>
        <w:rPr>
          <w:highlight w:val="yellow"/>
          <w:lang w:eastAsia="ko-KR"/>
        </w:rPr>
      </w:pPr>
    </w:p>
    <w:p w14:paraId="7298FF28" w14:textId="77777777" w:rsidR="00D96893" w:rsidRDefault="00D96893" w:rsidP="00B853C2">
      <w:pPr>
        <w:rPr>
          <w:highlight w:val="yellow"/>
          <w:lang w:eastAsia="ko-KR"/>
        </w:rPr>
      </w:pPr>
    </w:p>
    <w:p w14:paraId="6F7779E0" w14:textId="77777777" w:rsidR="00D96893" w:rsidRDefault="00D96893" w:rsidP="00B853C2">
      <w:pPr>
        <w:rPr>
          <w:highlight w:val="yellow"/>
          <w:lang w:eastAsia="ko-KR"/>
        </w:rPr>
      </w:pPr>
    </w:p>
    <w:p w14:paraId="3600E118" w14:textId="5AC81AA7" w:rsidR="005B5B60" w:rsidRDefault="005B5B60" w:rsidP="00B853C2">
      <w:pPr>
        <w:rPr>
          <w:highlight w:val="yellow"/>
          <w:lang w:eastAsia="ko-KR"/>
        </w:rPr>
      </w:pPr>
    </w:p>
    <w:p w14:paraId="49B356B4" w14:textId="00120FA9" w:rsidR="005B5B60" w:rsidRDefault="005B5B60" w:rsidP="00B853C2">
      <w:pPr>
        <w:rPr>
          <w:highlight w:val="yellow"/>
          <w:lang w:eastAsia="ko-KR"/>
        </w:rPr>
      </w:pPr>
    </w:p>
    <w:p w14:paraId="4FEF78D2" w14:textId="30FAF37F" w:rsidR="005B5B60" w:rsidRDefault="005B5B60" w:rsidP="00B853C2">
      <w:pPr>
        <w:rPr>
          <w:highlight w:val="yellow"/>
          <w:lang w:eastAsia="ko-KR"/>
        </w:rPr>
      </w:pPr>
    </w:p>
    <w:p w14:paraId="265C2322" w14:textId="37BC9A95" w:rsidR="005B5B60" w:rsidRDefault="005B5B60" w:rsidP="00B853C2">
      <w:pPr>
        <w:rPr>
          <w:highlight w:val="yellow"/>
          <w:lang w:eastAsia="ko-KR"/>
        </w:rPr>
      </w:pPr>
    </w:p>
    <w:p w14:paraId="598307B1" w14:textId="12CAE8AC" w:rsidR="005B5B60" w:rsidRDefault="005B5B60" w:rsidP="00B853C2">
      <w:pPr>
        <w:rPr>
          <w:highlight w:val="yellow"/>
          <w:lang w:eastAsia="ko-KR"/>
        </w:rPr>
      </w:pPr>
    </w:p>
    <w:p w14:paraId="0D4CBA05" w14:textId="77777777" w:rsidR="005B5B60" w:rsidRDefault="005B5B60" w:rsidP="00B853C2">
      <w:pPr>
        <w:rPr>
          <w:highlight w:val="yellow"/>
          <w:lang w:eastAsia="ko-KR"/>
        </w:rPr>
      </w:pPr>
    </w:p>
    <w:p w14:paraId="62C843C1" w14:textId="77777777" w:rsidR="00D96893" w:rsidRDefault="00D96893" w:rsidP="00B853C2">
      <w:pPr>
        <w:rPr>
          <w:highlight w:val="yellow"/>
          <w:lang w:eastAsia="ko-KR"/>
        </w:rPr>
      </w:pPr>
    </w:p>
    <w:p w14:paraId="1D16AD98" w14:textId="180EE933" w:rsidR="00E202F9" w:rsidRPr="003C2EFD" w:rsidRDefault="00362D6D" w:rsidP="00257371">
      <w:pPr>
        <w:pStyle w:val="Ttulo1"/>
        <w:ind w:left="360" w:hanging="360"/>
        <w:jc w:val="center"/>
        <w:rPr>
          <w:rFonts w:ascii="Book Antiqua" w:eastAsia="Wingdings" w:hAnsi="Book Antiqua"/>
          <w:b/>
          <w:bCs/>
          <w:color w:val="auto"/>
          <w:sz w:val="24"/>
          <w:szCs w:val="24"/>
          <w:lang w:eastAsia="ko-KR"/>
        </w:rPr>
      </w:pPr>
      <w:bookmarkStart w:id="65" w:name="_Toc138770846"/>
      <w:r w:rsidRPr="003C2EFD">
        <w:rPr>
          <w:rFonts w:ascii="Book Antiqua" w:eastAsia="Wingdings" w:hAnsi="Book Antiqua"/>
          <w:b/>
          <w:color w:val="auto"/>
          <w:sz w:val="24"/>
          <w:szCs w:val="24"/>
          <w:lang w:eastAsia="ko-KR"/>
        </w:rPr>
        <w:t>CAPÍTULO 2</w:t>
      </w:r>
      <w:r w:rsidR="005B5B60">
        <w:rPr>
          <w:rFonts w:ascii="Book Antiqua" w:eastAsia="Wingdings" w:hAnsi="Book Antiqua"/>
          <w:b/>
          <w:color w:val="auto"/>
          <w:sz w:val="24"/>
          <w:szCs w:val="24"/>
          <w:lang w:eastAsia="ko-KR"/>
        </w:rPr>
        <w:t>)</w:t>
      </w:r>
      <w:r w:rsidR="004D2C5D" w:rsidRPr="003C2EFD">
        <w:rPr>
          <w:rFonts w:ascii="Book Antiqua" w:eastAsia="Wingdings" w:hAnsi="Book Antiqua"/>
          <w:b/>
          <w:bCs/>
          <w:color w:val="auto"/>
          <w:sz w:val="24"/>
          <w:szCs w:val="24"/>
          <w:lang w:eastAsia="ko-KR"/>
        </w:rPr>
        <w:t xml:space="preserve"> </w:t>
      </w:r>
      <w:r w:rsidRPr="003C2EFD">
        <w:rPr>
          <w:rFonts w:ascii="Book Antiqua" w:eastAsia="Wingdings" w:hAnsi="Book Antiqua"/>
          <w:b/>
          <w:bCs/>
          <w:color w:val="auto"/>
          <w:sz w:val="24"/>
          <w:szCs w:val="24"/>
          <w:lang w:eastAsia="ko-KR"/>
        </w:rPr>
        <w:t xml:space="preserve"> </w:t>
      </w:r>
      <w:r w:rsidR="004D2C5D" w:rsidRPr="003C2EFD">
        <w:rPr>
          <w:rFonts w:ascii="Book Antiqua" w:eastAsia="Wingdings" w:hAnsi="Book Antiqua"/>
          <w:b/>
          <w:bCs/>
          <w:color w:val="auto"/>
          <w:sz w:val="24"/>
          <w:szCs w:val="24"/>
          <w:lang w:eastAsia="ko-KR"/>
        </w:rPr>
        <w:t>SEGUIMIENTO DE LOS PROYECTOS ESTRATÉGICOS AL</w:t>
      </w:r>
      <w:r w:rsidR="00F03E22" w:rsidRPr="003C2EFD">
        <w:rPr>
          <w:rFonts w:ascii="Book Antiqua" w:eastAsia="Wingdings" w:hAnsi="Book Antiqua"/>
          <w:b/>
          <w:bCs/>
          <w:color w:val="auto"/>
          <w:sz w:val="24"/>
          <w:szCs w:val="24"/>
          <w:lang w:eastAsia="ko-KR"/>
        </w:rPr>
        <w:br/>
      </w:r>
      <w:r w:rsidR="004B38E0" w:rsidRPr="003C2EFD">
        <w:rPr>
          <w:rFonts w:ascii="Book Antiqua" w:eastAsia="Wingdings" w:hAnsi="Book Antiqua"/>
          <w:b/>
          <w:bCs/>
          <w:color w:val="auto"/>
          <w:sz w:val="24"/>
          <w:szCs w:val="24"/>
          <w:lang w:eastAsia="ko-KR"/>
        </w:rPr>
        <w:t>28 DE ABRIL DEL 2023</w:t>
      </w:r>
      <w:bookmarkEnd w:id="65"/>
      <w:r w:rsidRPr="003C2EFD">
        <w:rPr>
          <w:rFonts w:ascii="Book Antiqua" w:eastAsia="Wingdings" w:hAnsi="Book Antiqua"/>
          <w:b/>
          <w:color w:val="auto"/>
          <w:sz w:val="24"/>
          <w:szCs w:val="24"/>
          <w:lang w:eastAsia="ko-KR"/>
        </w:rPr>
        <w:t xml:space="preserve"> </w:t>
      </w:r>
    </w:p>
    <w:p w14:paraId="5F43DB6A" w14:textId="3E9D9F8A" w:rsidR="00907F65" w:rsidRDefault="00907F65" w:rsidP="00164F12">
      <w:pPr>
        <w:spacing w:after="0"/>
        <w:jc w:val="both"/>
        <w:rPr>
          <w:rFonts w:ascii="Book Antiqua" w:hAnsi="Book Antiqua"/>
        </w:rPr>
      </w:pPr>
    </w:p>
    <w:p w14:paraId="425217A2" w14:textId="77777777" w:rsidR="00A9168A" w:rsidRPr="00A9168A" w:rsidRDefault="00A9168A" w:rsidP="00A9168A">
      <w:pPr>
        <w:spacing w:after="0" w:line="240" w:lineRule="auto"/>
        <w:jc w:val="both"/>
        <w:textAlignment w:val="baseline"/>
        <w:rPr>
          <w:rFonts w:ascii="Segoe UI" w:eastAsia="Times New Roman" w:hAnsi="Segoe UI" w:cs="Segoe UI"/>
          <w:sz w:val="18"/>
          <w:szCs w:val="18"/>
          <w:lang w:eastAsia="es-CR"/>
        </w:rPr>
      </w:pPr>
      <w:r w:rsidRPr="00A9168A">
        <w:rPr>
          <w:rFonts w:ascii="Book Antiqua" w:eastAsia="Times New Roman" w:hAnsi="Book Antiqua" w:cs="Segoe UI"/>
          <w:sz w:val="24"/>
          <w:szCs w:val="24"/>
          <w:lang w:eastAsia="es-CR"/>
        </w:rPr>
        <w:t>Como parte del primer seguimiento del 2023, a continuación; se presentarán los principales resultados relacionados con el estado de los proyectos estratégicos al 28 de abril de 2023.  </w:t>
      </w:r>
    </w:p>
    <w:p w14:paraId="6261843B" w14:textId="77777777" w:rsidR="00A9168A" w:rsidRPr="00A9168A" w:rsidRDefault="00A9168A" w:rsidP="00A9168A">
      <w:pPr>
        <w:spacing w:after="0" w:line="240" w:lineRule="auto"/>
        <w:jc w:val="both"/>
        <w:textAlignment w:val="baseline"/>
        <w:rPr>
          <w:rFonts w:ascii="Segoe UI" w:eastAsia="Times New Roman" w:hAnsi="Segoe UI" w:cs="Segoe UI"/>
          <w:sz w:val="18"/>
          <w:szCs w:val="18"/>
          <w:lang w:eastAsia="es-CR"/>
        </w:rPr>
      </w:pPr>
      <w:r w:rsidRPr="00A9168A">
        <w:rPr>
          <w:rFonts w:ascii="Book Antiqua" w:eastAsia="Times New Roman" w:hAnsi="Book Antiqua" w:cs="Segoe UI"/>
          <w:lang w:eastAsia="es-CR"/>
        </w:rPr>
        <w:t> </w:t>
      </w:r>
    </w:p>
    <w:p w14:paraId="521AB83B" w14:textId="77777777" w:rsidR="00A9168A" w:rsidRPr="00A9168A" w:rsidRDefault="00A9168A" w:rsidP="00A9168A">
      <w:pPr>
        <w:spacing w:after="0" w:line="240" w:lineRule="auto"/>
        <w:jc w:val="both"/>
        <w:textAlignment w:val="baseline"/>
        <w:rPr>
          <w:rFonts w:ascii="Segoe UI" w:eastAsia="Times New Roman" w:hAnsi="Segoe UI" w:cs="Segoe UI"/>
          <w:sz w:val="18"/>
          <w:szCs w:val="18"/>
          <w:lang w:eastAsia="es-CR"/>
        </w:rPr>
      </w:pPr>
      <w:r w:rsidRPr="00A9168A">
        <w:rPr>
          <w:rFonts w:ascii="Book Antiqua" w:eastAsia="Times New Roman" w:hAnsi="Book Antiqua" w:cs="Segoe UI"/>
          <w:sz w:val="24"/>
          <w:szCs w:val="24"/>
          <w:lang w:eastAsia="es-CR"/>
        </w:rPr>
        <w:t>La distribución actual del portafolio según el estado de los proyectos al 28 de abril, se puede observar en la siguiente figura, en la cual se distingue que el porcentaje mayor corresponde a aquellos proyectos que se encuentran en ejecución (en progreso) con un 44%, lo que representa un total de 85 proyectos estratégicos: </w:t>
      </w:r>
    </w:p>
    <w:p w14:paraId="661A7F61" w14:textId="77777777" w:rsidR="00A9168A" w:rsidRPr="00A9168A" w:rsidRDefault="00A9168A" w:rsidP="00A9168A">
      <w:pPr>
        <w:spacing w:after="0" w:line="240" w:lineRule="auto"/>
        <w:jc w:val="both"/>
        <w:textAlignment w:val="baseline"/>
        <w:rPr>
          <w:rFonts w:ascii="Segoe UI" w:eastAsia="Times New Roman" w:hAnsi="Segoe UI" w:cs="Segoe UI"/>
          <w:sz w:val="18"/>
          <w:szCs w:val="18"/>
          <w:lang w:eastAsia="es-CR"/>
        </w:rPr>
      </w:pPr>
      <w:r w:rsidRPr="00A9168A">
        <w:rPr>
          <w:rFonts w:ascii="Book Antiqua" w:eastAsia="Times New Roman" w:hAnsi="Book Antiqua" w:cs="Segoe UI"/>
          <w:lang w:eastAsia="es-CR"/>
        </w:rPr>
        <w:t> </w:t>
      </w:r>
    </w:p>
    <w:p w14:paraId="2195A52D" w14:textId="05DA48E5" w:rsidR="00A9168A" w:rsidRPr="00A9168A" w:rsidRDefault="00A9168A" w:rsidP="00A9168A">
      <w:pPr>
        <w:keepNext/>
        <w:spacing w:after="0" w:line="240" w:lineRule="auto"/>
        <w:jc w:val="center"/>
        <w:textAlignment w:val="baseline"/>
        <w:rPr>
          <w:rFonts w:ascii="Segoe UI" w:eastAsia="Times New Roman" w:hAnsi="Segoe UI" w:cs="Segoe UI"/>
          <w:i/>
          <w:iCs/>
          <w:color w:val="44546A"/>
          <w:sz w:val="18"/>
          <w:szCs w:val="18"/>
          <w:lang w:eastAsia="es-CR"/>
        </w:rPr>
      </w:pPr>
      <w:r w:rsidRPr="00A9168A">
        <w:rPr>
          <w:rFonts w:ascii="Book Antiqua" w:eastAsia="Times New Roman" w:hAnsi="Book Antiqua" w:cs="Segoe UI"/>
          <w:b/>
          <w:bCs/>
          <w:sz w:val="24"/>
          <w:szCs w:val="24"/>
          <w:lang w:eastAsia="es-CR"/>
        </w:rPr>
        <w:t xml:space="preserve">Figura </w:t>
      </w:r>
      <w:r w:rsidRPr="00A9168A">
        <w:rPr>
          <w:rFonts w:ascii="Book Antiqua" w:eastAsia="Times New Roman" w:hAnsi="Book Antiqua" w:cs="Segoe UI"/>
          <w:b/>
          <w:bCs/>
          <w:sz w:val="24"/>
          <w:szCs w:val="24"/>
          <w:lang w:eastAsia="es-CR"/>
        </w:rPr>
        <w:fldChar w:fldCharType="begin"/>
      </w:r>
      <w:r w:rsidRPr="00A9168A">
        <w:rPr>
          <w:rFonts w:ascii="Book Antiqua" w:eastAsia="Times New Roman" w:hAnsi="Book Antiqua" w:cs="Segoe UI"/>
          <w:b/>
          <w:bCs/>
          <w:sz w:val="24"/>
          <w:szCs w:val="24"/>
          <w:lang w:eastAsia="es-CR"/>
        </w:rPr>
        <w:instrText xml:space="preserve"> SEQ Figura \* ARABIC </w:instrText>
      </w:r>
      <w:r w:rsidRPr="00A9168A">
        <w:rPr>
          <w:rFonts w:ascii="Book Antiqua" w:eastAsia="Times New Roman" w:hAnsi="Book Antiqua" w:cs="Segoe UI"/>
          <w:b/>
          <w:bCs/>
          <w:sz w:val="24"/>
          <w:szCs w:val="24"/>
          <w:lang w:eastAsia="es-CR"/>
        </w:rPr>
        <w:fldChar w:fldCharType="separate"/>
      </w:r>
      <w:r>
        <w:rPr>
          <w:rFonts w:ascii="Book Antiqua" w:eastAsia="Times New Roman" w:hAnsi="Book Antiqua" w:cs="Segoe UI"/>
          <w:b/>
          <w:bCs/>
          <w:noProof/>
          <w:sz w:val="24"/>
          <w:szCs w:val="24"/>
          <w:lang w:eastAsia="es-CR"/>
        </w:rPr>
        <w:t>1</w:t>
      </w:r>
      <w:r w:rsidRPr="00A9168A">
        <w:rPr>
          <w:rFonts w:ascii="Book Antiqua" w:eastAsia="Times New Roman" w:hAnsi="Book Antiqua" w:cs="Segoe UI"/>
          <w:b/>
          <w:bCs/>
          <w:sz w:val="24"/>
          <w:szCs w:val="24"/>
          <w:lang w:eastAsia="es-CR"/>
        </w:rPr>
        <w:fldChar w:fldCharType="end"/>
      </w:r>
      <w:r>
        <w:rPr>
          <w:rFonts w:ascii="Book Antiqua" w:eastAsia="Times New Roman" w:hAnsi="Book Antiqua" w:cs="Segoe UI"/>
          <w:b/>
          <w:bCs/>
          <w:sz w:val="24"/>
          <w:szCs w:val="24"/>
          <w:lang w:eastAsia="es-CR"/>
        </w:rPr>
        <w:t xml:space="preserve"> </w:t>
      </w:r>
      <w:r w:rsidRPr="00A9168A">
        <w:rPr>
          <w:rFonts w:ascii="Book Antiqua" w:eastAsia="Times New Roman" w:hAnsi="Book Antiqua" w:cs="Segoe UI"/>
          <w:b/>
          <w:bCs/>
          <w:sz w:val="24"/>
          <w:szCs w:val="24"/>
          <w:lang w:eastAsia="es-CR"/>
        </w:rPr>
        <w:t>Distribución de los proyectos estratégicos según estado en el portafolio institucional</w:t>
      </w:r>
      <w:r w:rsidRPr="00A9168A">
        <w:rPr>
          <w:rFonts w:ascii="Book Antiqua" w:eastAsia="Times New Roman" w:hAnsi="Book Antiqua" w:cs="Segoe UI"/>
          <w:i/>
          <w:iCs/>
          <w:sz w:val="24"/>
          <w:szCs w:val="24"/>
          <w:lang w:eastAsia="es-CR"/>
        </w:rPr>
        <w:t> </w:t>
      </w:r>
    </w:p>
    <w:p w14:paraId="04EE6945" w14:textId="7DD74F6A" w:rsidR="00A9168A" w:rsidRPr="00A9168A" w:rsidRDefault="00A9168A" w:rsidP="00A9168A">
      <w:pPr>
        <w:spacing w:after="0" w:line="240" w:lineRule="auto"/>
        <w:textAlignment w:val="baseline"/>
        <w:rPr>
          <w:rFonts w:ascii="Segoe UI" w:eastAsia="Times New Roman" w:hAnsi="Segoe UI" w:cs="Segoe UI"/>
          <w:sz w:val="18"/>
          <w:szCs w:val="18"/>
          <w:lang w:eastAsia="es-CR"/>
        </w:rPr>
      </w:pPr>
      <w:r w:rsidRPr="00A9168A">
        <w:rPr>
          <w:rFonts w:ascii="Calibri" w:eastAsia="Times New Roman" w:hAnsi="Calibri" w:cs="Calibri"/>
          <w:lang w:eastAsia="es-CR"/>
        </w:rPr>
        <w:t> </w:t>
      </w:r>
      <w:r w:rsidR="0078290B">
        <w:rPr>
          <w:noProof/>
        </w:rPr>
        <w:drawing>
          <wp:inline distT="0" distB="0" distL="0" distR="0" wp14:anchorId="78AAFF4D" wp14:editId="29398FBC">
            <wp:extent cx="5701665" cy="3360420"/>
            <wp:effectExtent l="0" t="0" r="13335" b="11430"/>
            <wp:docPr id="1951023719" name="Gráfico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9493F34" w14:textId="77777777" w:rsidR="00A9168A" w:rsidRPr="00A9168A" w:rsidRDefault="00A9168A" w:rsidP="00A9168A">
      <w:pPr>
        <w:spacing w:after="0" w:line="240" w:lineRule="auto"/>
        <w:jc w:val="center"/>
        <w:textAlignment w:val="baseline"/>
        <w:rPr>
          <w:rFonts w:ascii="Segoe UI" w:eastAsia="Times New Roman" w:hAnsi="Segoe UI" w:cs="Segoe UI"/>
          <w:sz w:val="18"/>
          <w:szCs w:val="18"/>
          <w:lang w:eastAsia="es-CR"/>
        </w:rPr>
      </w:pPr>
      <w:r w:rsidRPr="00A9168A">
        <w:rPr>
          <w:rFonts w:ascii="Book Antiqua" w:eastAsia="Times New Roman" w:hAnsi="Book Antiqua" w:cs="Segoe UI"/>
          <w:b/>
          <w:bCs/>
          <w:sz w:val="20"/>
          <w:szCs w:val="20"/>
          <w:lang w:eastAsia="es-CR"/>
        </w:rPr>
        <w:t>Fuente:</w:t>
      </w:r>
      <w:r w:rsidRPr="00A9168A">
        <w:rPr>
          <w:rFonts w:ascii="Book Antiqua" w:eastAsia="Times New Roman" w:hAnsi="Book Antiqua" w:cs="Segoe UI"/>
          <w:sz w:val="20"/>
          <w:szCs w:val="20"/>
          <w:lang w:eastAsia="es-CR"/>
        </w:rPr>
        <w:t xml:space="preserve"> Elaboración propia según la información de la plataforma del MS Project Online. </w:t>
      </w:r>
    </w:p>
    <w:p w14:paraId="1A0A7E24" w14:textId="77777777" w:rsidR="00A9168A" w:rsidRPr="00A9168A" w:rsidRDefault="00A9168A" w:rsidP="00A9168A">
      <w:pPr>
        <w:spacing w:after="0" w:line="240" w:lineRule="auto"/>
        <w:jc w:val="both"/>
        <w:textAlignment w:val="baseline"/>
        <w:rPr>
          <w:rFonts w:ascii="Segoe UI" w:eastAsia="Times New Roman" w:hAnsi="Segoe UI" w:cs="Segoe UI"/>
          <w:sz w:val="18"/>
          <w:szCs w:val="18"/>
          <w:lang w:eastAsia="es-CR"/>
        </w:rPr>
      </w:pPr>
      <w:r w:rsidRPr="00A9168A">
        <w:rPr>
          <w:rFonts w:ascii="Book Antiqua" w:eastAsia="Times New Roman" w:hAnsi="Book Antiqua" w:cs="Segoe UI"/>
          <w:lang w:eastAsia="es-CR"/>
        </w:rPr>
        <w:t> </w:t>
      </w:r>
    </w:p>
    <w:p w14:paraId="1F95F329" w14:textId="77777777" w:rsidR="00A9168A" w:rsidRPr="00A9168A" w:rsidRDefault="00A9168A" w:rsidP="00A9168A">
      <w:pPr>
        <w:spacing w:after="0" w:line="240" w:lineRule="auto"/>
        <w:jc w:val="both"/>
        <w:textAlignment w:val="baseline"/>
        <w:rPr>
          <w:rFonts w:ascii="Segoe UI" w:eastAsia="Times New Roman" w:hAnsi="Segoe UI" w:cs="Segoe UI"/>
          <w:sz w:val="18"/>
          <w:szCs w:val="18"/>
          <w:lang w:eastAsia="es-CR"/>
        </w:rPr>
      </w:pPr>
      <w:r w:rsidRPr="00A9168A">
        <w:rPr>
          <w:rFonts w:ascii="Book Antiqua" w:eastAsia="Times New Roman" w:hAnsi="Book Antiqua" w:cs="Segoe UI"/>
          <w:sz w:val="24"/>
          <w:szCs w:val="24"/>
          <w:lang w:eastAsia="es-CR"/>
        </w:rPr>
        <w:t>En la siguiente tabla se muestran los movimientos por estado, que ocurrieron entre la fecha de corte del quinto seguimiento al portafolio (31-12-2022) y el contemplado en el presente informe (28-04-2023): </w:t>
      </w:r>
    </w:p>
    <w:p w14:paraId="0F64E04D" w14:textId="2353A268" w:rsidR="00A9168A" w:rsidRPr="00A9168A" w:rsidRDefault="00A9168A" w:rsidP="00A9168A">
      <w:pPr>
        <w:spacing w:after="0" w:line="240" w:lineRule="auto"/>
        <w:jc w:val="center"/>
        <w:textAlignment w:val="baseline"/>
        <w:rPr>
          <w:rFonts w:ascii="Segoe UI" w:eastAsia="Times New Roman" w:hAnsi="Segoe UI" w:cs="Segoe UI"/>
          <w:i/>
          <w:iCs/>
          <w:color w:val="44546A"/>
          <w:sz w:val="18"/>
          <w:szCs w:val="18"/>
          <w:lang w:eastAsia="es-CR"/>
        </w:rPr>
      </w:pPr>
      <w:r w:rsidRPr="00A9168A">
        <w:rPr>
          <w:rFonts w:ascii="Book Antiqua" w:eastAsia="Times New Roman" w:hAnsi="Book Antiqua" w:cs="Segoe UI"/>
          <w:sz w:val="24"/>
          <w:szCs w:val="24"/>
          <w:lang w:eastAsia="es-CR"/>
        </w:rPr>
        <w:lastRenderedPageBreak/>
        <w:t> </w:t>
      </w:r>
      <w:r w:rsidR="009C5588" w:rsidRPr="00A562C7">
        <w:rPr>
          <w:rFonts w:ascii="Book Antiqua" w:hAnsi="Book Antiqua" w:cs="&amp;quot"/>
          <w:b/>
          <w:sz w:val="24"/>
          <w:szCs w:val="24"/>
        </w:rPr>
        <w:t xml:space="preserve">Tabla </w:t>
      </w:r>
      <w:r w:rsidR="009C5588" w:rsidRPr="00A562C7">
        <w:rPr>
          <w:rFonts w:ascii="Book Antiqua" w:hAnsi="Book Antiqua" w:cs="&amp;quot"/>
          <w:b/>
          <w:i/>
          <w:iCs/>
          <w:sz w:val="24"/>
          <w:szCs w:val="24"/>
        </w:rPr>
        <w:fldChar w:fldCharType="begin"/>
      </w:r>
      <w:r w:rsidR="009C5588" w:rsidRPr="00A562C7">
        <w:rPr>
          <w:rFonts w:ascii="Book Antiqua" w:hAnsi="Book Antiqua" w:cs="&amp;quot"/>
          <w:b/>
          <w:sz w:val="24"/>
          <w:szCs w:val="24"/>
        </w:rPr>
        <w:instrText xml:space="preserve"> SEQ Tabla \* ARABIC </w:instrText>
      </w:r>
      <w:r w:rsidR="009C5588" w:rsidRPr="00A562C7">
        <w:rPr>
          <w:rFonts w:ascii="Book Antiqua" w:hAnsi="Book Antiqua" w:cs="&amp;quot"/>
          <w:b/>
          <w:i/>
          <w:iCs/>
          <w:sz w:val="24"/>
          <w:szCs w:val="24"/>
        </w:rPr>
        <w:fldChar w:fldCharType="separate"/>
      </w:r>
      <w:r w:rsidR="00844144">
        <w:rPr>
          <w:rFonts w:ascii="Book Antiqua" w:hAnsi="Book Antiqua" w:cs="&amp;quot"/>
          <w:b/>
          <w:noProof/>
          <w:sz w:val="24"/>
          <w:szCs w:val="24"/>
        </w:rPr>
        <w:t>16</w:t>
      </w:r>
      <w:r w:rsidR="009C5588" w:rsidRPr="00A562C7">
        <w:rPr>
          <w:rFonts w:ascii="Book Antiqua" w:hAnsi="Book Antiqua" w:cs="&amp;quot"/>
          <w:b/>
          <w:i/>
          <w:iCs/>
          <w:sz w:val="24"/>
          <w:szCs w:val="24"/>
        </w:rPr>
        <w:fldChar w:fldCharType="end"/>
      </w:r>
      <w:r w:rsidRPr="00A9168A">
        <w:rPr>
          <w:rFonts w:ascii="Book Antiqua" w:eastAsia="Times New Roman" w:hAnsi="Book Antiqua" w:cs="Segoe UI"/>
          <w:b/>
          <w:bCs/>
          <w:sz w:val="24"/>
          <w:szCs w:val="24"/>
          <w:lang w:eastAsia="es-CR"/>
        </w:rPr>
        <w:t xml:space="preserve"> Comparación de la cantidad de proyectos que se encontraban en el portafolio durante el tercer seguimiento del 2022 y el primer seguimiento 2023 por estado</w:t>
      </w:r>
      <w:r w:rsidRPr="00A9168A">
        <w:rPr>
          <w:rFonts w:ascii="Book Antiqua" w:eastAsia="Times New Roman" w:hAnsi="Book Antiqua" w:cs="Segoe UI"/>
          <w:i/>
          <w:iCs/>
          <w:sz w:val="24"/>
          <w:szCs w:val="24"/>
          <w:lang w:eastAsia="es-CR"/>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5"/>
        <w:gridCol w:w="1980"/>
        <w:gridCol w:w="1845"/>
        <w:gridCol w:w="1200"/>
      </w:tblGrid>
      <w:tr w:rsidR="00A9168A" w:rsidRPr="00A9168A" w14:paraId="05598E98" w14:textId="77777777" w:rsidTr="00A9168A">
        <w:trPr>
          <w:trHeight w:val="300"/>
          <w:jc w:val="center"/>
        </w:trPr>
        <w:tc>
          <w:tcPr>
            <w:tcW w:w="2955" w:type="dxa"/>
            <w:vMerge w:val="restart"/>
            <w:tcBorders>
              <w:top w:val="single" w:sz="6" w:space="0" w:color="auto"/>
              <w:left w:val="single" w:sz="6" w:space="0" w:color="auto"/>
              <w:bottom w:val="single" w:sz="6" w:space="0" w:color="auto"/>
              <w:right w:val="single" w:sz="6" w:space="0" w:color="auto"/>
            </w:tcBorders>
            <w:shd w:val="clear" w:color="auto" w:fill="44546A"/>
            <w:vAlign w:val="center"/>
            <w:hideMark/>
          </w:tcPr>
          <w:p w14:paraId="2BFDAC23"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b/>
                <w:bCs/>
                <w:color w:val="FFFFFF"/>
                <w:sz w:val="18"/>
                <w:szCs w:val="18"/>
                <w:lang w:eastAsia="es-CR"/>
              </w:rPr>
              <w:t>Estado del proyecto estratégico</w:t>
            </w:r>
            <w:r w:rsidRPr="00A9168A">
              <w:rPr>
                <w:rFonts w:ascii="Book Antiqua" w:eastAsia="Times New Roman" w:hAnsi="Book Antiqua" w:cs="Times New Roman"/>
                <w:color w:val="FFFFFF"/>
                <w:sz w:val="18"/>
                <w:szCs w:val="18"/>
                <w:lang w:eastAsia="es-CR"/>
              </w:rPr>
              <w:t> </w:t>
            </w:r>
          </w:p>
        </w:tc>
        <w:tc>
          <w:tcPr>
            <w:tcW w:w="3825" w:type="dxa"/>
            <w:gridSpan w:val="2"/>
            <w:tcBorders>
              <w:top w:val="single" w:sz="6" w:space="0" w:color="auto"/>
              <w:left w:val="nil"/>
              <w:bottom w:val="single" w:sz="6" w:space="0" w:color="auto"/>
              <w:right w:val="single" w:sz="6" w:space="0" w:color="auto"/>
            </w:tcBorders>
            <w:shd w:val="clear" w:color="auto" w:fill="44546A"/>
            <w:vAlign w:val="center"/>
            <w:hideMark/>
          </w:tcPr>
          <w:p w14:paraId="3DC17D1A"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b/>
                <w:bCs/>
                <w:color w:val="FFFFFF"/>
                <w:sz w:val="18"/>
                <w:szCs w:val="18"/>
                <w:lang w:eastAsia="es-CR"/>
              </w:rPr>
              <w:t>Seguimiento</w:t>
            </w:r>
            <w:r w:rsidRPr="00A9168A">
              <w:rPr>
                <w:rFonts w:ascii="Book Antiqua" w:eastAsia="Times New Roman" w:hAnsi="Book Antiqua" w:cs="Times New Roman"/>
                <w:color w:val="FFFFFF"/>
                <w:sz w:val="18"/>
                <w:szCs w:val="18"/>
                <w:lang w:eastAsia="es-CR"/>
              </w:rPr>
              <w:t> </w:t>
            </w:r>
          </w:p>
        </w:tc>
        <w:tc>
          <w:tcPr>
            <w:tcW w:w="1200" w:type="dxa"/>
            <w:vMerge w:val="restart"/>
            <w:tcBorders>
              <w:top w:val="single" w:sz="6" w:space="0" w:color="auto"/>
              <w:left w:val="single" w:sz="6" w:space="0" w:color="auto"/>
              <w:bottom w:val="nil"/>
              <w:right w:val="single" w:sz="6" w:space="0" w:color="auto"/>
            </w:tcBorders>
            <w:shd w:val="clear" w:color="auto" w:fill="44546A"/>
            <w:vAlign w:val="center"/>
            <w:hideMark/>
          </w:tcPr>
          <w:p w14:paraId="42E925BD"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b/>
                <w:bCs/>
                <w:color w:val="FFFFFF"/>
                <w:sz w:val="18"/>
                <w:szCs w:val="18"/>
                <w:lang w:eastAsia="es-CR"/>
              </w:rPr>
              <w:t>Variación</w:t>
            </w:r>
            <w:r w:rsidRPr="00A9168A">
              <w:rPr>
                <w:rFonts w:ascii="Book Antiqua" w:eastAsia="Times New Roman" w:hAnsi="Book Antiqua" w:cs="Times New Roman"/>
                <w:color w:val="FFFFFF"/>
                <w:sz w:val="18"/>
                <w:szCs w:val="18"/>
                <w:lang w:eastAsia="es-CR"/>
              </w:rPr>
              <w:t> </w:t>
            </w:r>
          </w:p>
        </w:tc>
      </w:tr>
      <w:tr w:rsidR="00A9168A" w:rsidRPr="00A9168A" w14:paraId="6681A1FE" w14:textId="77777777" w:rsidTr="00A9168A">
        <w:trPr>
          <w:trHeight w:val="300"/>
          <w:jc w:val="cent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7C002E8" w14:textId="77777777" w:rsidR="00A9168A" w:rsidRPr="00A9168A" w:rsidRDefault="00A9168A" w:rsidP="00A9168A">
            <w:pPr>
              <w:spacing w:after="0" w:line="240" w:lineRule="auto"/>
              <w:rPr>
                <w:rFonts w:ascii="Times New Roman" w:eastAsia="Times New Roman" w:hAnsi="Times New Roman" w:cs="Times New Roman"/>
                <w:sz w:val="24"/>
                <w:szCs w:val="24"/>
                <w:lang w:eastAsia="es-CR"/>
              </w:rPr>
            </w:pPr>
          </w:p>
        </w:tc>
        <w:tc>
          <w:tcPr>
            <w:tcW w:w="1980" w:type="dxa"/>
            <w:tcBorders>
              <w:top w:val="nil"/>
              <w:left w:val="nil"/>
              <w:bottom w:val="single" w:sz="6" w:space="0" w:color="auto"/>
              <w:right w:val="single" w:sz="6" w:space="0" w:color="auto"/>
            </w:tcBorders>
            <w:shd w:val="clear" w:color="auto" w:fill="44546A"/>
            <w:vAlign w:val="center"/>
            <w:hideMark/>
          </w:tcPr>
          <w:p w14:paraId="7C3C6621"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b/>
                <w:bCs/>
                <w:color w:val="FFFFFF"/>
                <w:sz w:val="18"/>
                <w:szCs w:val="18"/>
                <w:lang w:eastAsia="es-CR"/>
              </w:rPr>
              <w:t>Al 31/12/2022</w:t>
            </w:r>
            <w:r w:rsidRPr="00A9168A">
              <w:rPr>
                <w:rFonts w:ascii="Book Antiqua" w:eastAsia="Times New Roman" w:hAnsi="Book Antiqua" w:cs="Times New Roman"/>
                <w:color w:val="FFFFFF"/>
                <w:sz w:val="18"/>
                <w:szCs w:val="18"/>
                <w:lang w:eastAsia="es-CR"/>
              </w:rPr>
              <w:t> </w:t>
            </w:r>
          </w:p>
        </w:tc>
        <w:tc>
          <w:tcPr>
            <w:tcW w:w="1830" w:type="dxa"/>
            <w:tcBorders>
              <w:top w:val="nil"/>
              <w:left w:val="nil"/>
              <w:bottom w:val="single" w:sz="6" w:space="0" w:color="auto"/>
              <w:right w:val="single" w:sz="6" w:space="0" w:color="auto"/>
            </w:tcBorders>
            <w:shd w:val="clear" w:color="auto" w:fill="44546A"/>
            <w:vAlign w:val="center"/>
            <w:hideMark/>
          </w:tcPr>
          <w:p w14:paraId="3426F6C0" w14:textId="53259BC6"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b/>
                <w:bCs/>
                <w:color w:val="FFFFFF"/>
                <w:sz w:val="18"/>
                <w:szCs w:val="18"/>
                <w:lang w:eastAsia="es-CR"/>
              </w:rPr>
              <w:t>Al 28</w:t>
            </w:r>
            <w:r w:rsidR="008B5BD4">
              <w:rPr>
                <w:rFonts w:ascii="Book Antiqua" w:eastAsia="Times New Roman" w:hAnsi="Book Antiqua" w:cs="Times New Roman"/>
                <w:b/>
                <w:bCs/>
                <w:color w:val="FFFFFF"/>
                <w:sz w:val="18"/>
                <w:szCs w:val="18"/>
                <w:lang w:eastAsia="es-CR"/>
              </w:rPr>
              <w:t>/</w:t>
            </w:r>
            <w:r w:rsidRPr="00A9168A">
              <w:rPr>
                <w:rFonts w:ascii="Book Antiqua" w:eastAsia="Times New Roman" w:hAnsi="Book Antiqua" w:cs="Times New Roman"/>
                <w:b/>
                <w:bCs/>
                <w:color w:val="FFFFFF"/>
                <w:sz w:val="18"/>
                <w:szCs w:val="18"/>
                <w:lang w:eastAsia="es-CR"/>
              </w:rPr>
              <w:t>04</w:t>
            </w:r>
            <w:r w:rsidR="008B5BD4">
              <w:rPr>
                <w:rFonts w:ascii="Book Antiqua" w:eastAsia="Times New Roman" w:hAnsi="Book Antiqua" w:cs="Times New Roman"/>
                <w:b/>
                <w:bCs/>
                <w:color w:val="FFFFFF"/>
                <w:sz w:val="18"/>
                <w:szCs w:val="18"/>
                <w:lang w:eastAsia="es-CR"/>
              </w:rPr>
              <w:t>/</w:t>
            </w:r>
            <w:r w:rsidRPr="00A9168A">
              <w:rPr>
                <w:rFonts w:ascii="Book Antiqua" w:eastAsia="Times New Roman" w:hAnsi="Book Antiqua" w:cs="Times New Roman"/>
                <w:b/>
                <w:bCs/>
                <w:color w:val="FFFFFF"/>
                <w:sz w:val="18"/>
                <w:szCs w:val="18"/>
                <w:lang w:eastAsia="es-CR"/>
              </w:rPr>
              <w:t>2023</w:t>
            </w:r>
            <w:r w:rsidRPr="00A9168A">
              <w:rPr>
                <w:rFonts w:ascii="Book Antiqua" w:eastAsia="Times New Roman" w:hAnsi="Book Antiqua" w:cs="Times New Roman"/>
                <w:color w:val="FFFFFF"/>
                <w:sz w:val="18"/>
                <w:szCs w:val="18"/>
                <w:lang w:eastAsia="es-CR"/>
              </w:rPr>
              <w:t> </w:t>
            </w:r>
          </w:p>
        </w:tc>
        <w:tc>
          <w:tcPr>
            <w:tcW w:w="0" w:type="auto"/>
            <w:vMerge/>
            <w:tcBorders>
              <w:top w:val="single" w:sz="6" w:space="0" w:color="auto"/>
              <w:left w:val="single" w:sz="6" w:space="0" w:color="auto"/>
              <w:bottom w:val="nil"/>
              <w:right w:val="single" w:sz="6" w:space="0" w:color="auto"/>
            </w:tcBorders>
            <w:shd w:val="clear" w:color="auto" w:fill="auto"/>
            <w:vAlign w:val="center"/>
            <w:hideMark/>
          </w:tcPr>
          <w:p w14:paraId="55D4F9D7" w14:textId="77777777" w:rsidR="00A9168A" w:rsidRPr="00A9168A" w:rsidRDefault="00A9168A" w:rsidP="00A9168A">
            <w:pPr>
              <w:spacing w:after="0" w:line="240" w:lineRule="auto"/>
              <w:rPr>
                <w:rFonts w:ascii="Times New Roman" w:eastAsia="Times New Roman" w:hAnsi="Times New Roman" w:cs="Times New Roman"/>
                <w:sz w:val="24"/>
                <w:szCs w:val="24"/>
                <w:lang w:eastAsia="es-CR"/>
              </w:rPr>
            </w:pPr>
          </w:p>
        </w:tc>
      </w:tr>
      <w:tr w:rsidR="00A9168A" w:rsidRPr="00A9168A" w14:paraId="250FF445" w14:textId="77777777" w:rsidTr="00A9168A">
        <w:trPr>
          <w:trHeight w:val="300"/>
          <w:jc w:val="center"/>
        </w:trPr>
        <w:tc>
          <w:tcPr>
            <w:tcW w:w="2955" w:type="dxa"/>
            <w:tcBorders>
              <w:top w:val="nil"/>
              <w:left w:val="single" w:sz="6" w:space="0" w:color="auto"/>
              <w:bottom w:val="single" w:sz="6" w:space="0" w:color="auto"/>
              <w:right w:val="single" w:sz="6" w:space="0" w:color="auto"/>
            </w:tcBorders>
            <w:shd w:val="clear" w:color="auto" w:fill="auto"/>
            <w:vAlign w:val="center"/>
            <w:hideMark/>
          </w:tcPr>
          <w:p w14:paraId="163074E7" w14:textId="77777777" w:rsidR="00A9168A" w:rsidRPr="00A9168A" w:rsidRDefault="00A9168A" w:rsidP="00A9168A">
            <w:pPr>
              <w:spacing w:after="0" w:line="240" w:lineRule="auto"/>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Iniciativa </w:t>
            </w:r>
          </w:p>
        </w:tc>
        <w:tc>
          <w:tcPr>
            <w:tcW w:w="1980" w:type="dxa"/>
            <w:tcBorders>
              <w:top w:val="nil"/>
              <w:left w:val="nil"/>
              <w:bottom w:val="single" w:sz="6" w:space="0" w:color="auto"/>
              <w:right w:val="single" w:sz="6" w:space="0" w:color="auto"/>
            </w:tcBorders>
            <w:shd w:val="clear" w:color="auto" w:fill="auto"/>
            <w:vAlign w:val="center"/>
            <w:hideMark/>
          </w:tcPr>
          <w:p w14:paraId="5C017D69"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5 </w:t>
            </w:r>
          </w:p>
        </w:tc>
        <w:tc>
          <w:tcPr>
            <w:tcW w:w="1830" w:type="dxa"/>
            <w:tcBorders>
              <w:top w:val="nil"/>
              <w:left w:val="nil"/>
              <w:bottom w:val="single" w:sz="6" w:space="0" w:color="auto"/>
              <w:right w:val="single" w:sz="6" w:space="0" w:color="auto"/>
            </w:tcBorders>
            <w:shd w:val="clear" w:color="auto" w:fill="FFFFFF"/>
            <w:vAlign w:val="center"/>
            <w:hideMark/>
          </w:tcPr>
          <w:p w14:paraId="40350787"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3 </w:t>
            </w:r>
          </w:p>
        </w:tc>
        <w:tc>
          <w:tcPr>
            <w:tcW w:w="1200" w:type="dxa"/>
            <w:tcBorders>
              <w:top w:val="nil"/>
              <w:left w:val="nil"/>
              <w:bottom w:val="single" w:sz="6" w:space="0" w:color="auto"/>
              <w:right w:val="single" w:sz="6" w:space="0" w:color="auto"/>
            </w:tcBorders>
            <w:shd w:val="clear" w:color="auto" w:fill="auto"/>
            <w:vAlign w:val="center"/>
            <w:hideMark/>
          </w:tcPr>
          <w:p w14:paraId="4D6E8C7A" w14:textId="6931EFCD" w:rsidR="00A9168A" w:rsidRPr="00A9168A" w:rsidRDefault="002D0C06" w:rsidP="00A9168A">
            <w:pPr>
              <w:spacing w:after="0" w:line="240" w:lineRule="auto"/>
              <w:jc w:val="center"/>
              <w:textAlignment w:val="baseline"/>
              <w:rPr>
                <w:rFonts w:ascii="Times New Roman" w:eastAsia="Times New Roman" w:hAnsi="Times New Roman" w:cs="Times New Roman"/>
                <w:sz w:val="24"/>
                <w:szCs w:val="24"/>
                <w:lang w:eastAsia="es-CR"/>
              </w:rPr>
            </w:pPr>
            <w:r>
              <w:rPr>
                <w:rFonts w:ascii="Book Antiqua" w:eastAsia="Times New Roman" w:hAnsi="Book Antiqua" w:cs="Times New Roman"/>
                <w:color w:val="000000"/>
                <w:sz w:val="18"/>
                <w:szCs w:val="18"/>
                <w:lang w:eastAsia="es-CR"/>
              </w:rPr>
              <w:t>-</w:t>
            </w:r>
            <w:r w:rsidR="00A9168A" w:rsidRPr="00A9168A">
              <w:rPr>
                <w:rFonts w:ascii="Book Antiqua" w:eastAsia="Times New Roman" w:hAnsi="Book Antiqua" w:cs="Times New Roman"/>
                <w:color w:val="000000"/>
                <w:sz w:val="18"/>
                <w:szCs w:val="18"/>
                <w:lang w:eastAsia="es-CR"/>
              </w:rPr>
              <w:t>2 </w:t>
            </w:r>
          </w:p>
        </w:tc>
      </w:tr>
      <w:tr w:rsidR="00A9168A" w:rsidRPr="00A9168A" w14:paraId="2E3A4734" w14:textId="77777777" w:rsidTr="00A9168A">
        <w:trPr>
          <w:trHeight w:val="300"/>
          <w:jc w:val="center"/>
        </w:trPr>
        <w:tc>
          <w:tcPr>
            <w:tcW w:w="2955" w:type="dxa"/>
            <w:tcBorders>
              <w:top w:val="nil"/>
              <w:left w:val="single" w:sz="6" w:space="0" w:color="auto"/>
              <w:bottom w:val="single" w:sz="6" w:space="0" w:color="auto"/>
              <w:right w:val="single" w:sz="6" w:space="0" w:color="auto"/>
            </w:tcBorders>
            <w:shd w:val="clear" w:color="auto" w:fill="auto"/>
            <w:vAlign w:val="center"/>
            <w:hideMark/>
          </w:tcPr>
          <w:p w14:paraId="701ACDA3" w14:textId="77777777" w:rsidR="00A9168A" w:rsidRPr="00A9168A" w:rsidRDefault="00A9168A" w:rsidP="00A9168A">
            <w:pPr>
              <w:spacing w:after="0" w:line="240" w:lineRule="auto"/>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Pendiente Aprobación </w:t>
            </w:r>
          </w:p>
        </w:tc>
        <w:tc>
          <w:tcPr>
            <w:tcW w:w="1980" w:type="dxa"/>
            <w:tcBorders>
              <w:top w:val="nil"/>
              <w:left w:val="nil"/>
              <w:bottom w:val="single" w:sz="6" w:space="0" w:color="auto"/>
              <w:right w:val="single" w:sz="6" w:space="0" w:color="auto"/>
            </w:tcBorders>
            <w:shd w:val="clear" w:color="auto" w:fill="auto"/>
            <w:vAlign w:val="center"/>
            <w:hideMark/>
          </w:tcPr>
          <w:p w14:paraId="4F4FC67F"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0 </w:t>
            </w:r>
          </w:p>
        </w:tc>
        <w:tc>
          <w:tcPr>
            <w:tcW w:w="1830" w:type="dxa"/>
            <w:tcBorders>
              <w:top w:val="nil"/>
              <w:left w:val="nil"/>
              <w:bottom w:val="single" w:sz="6" w:space="0" w:color="auto"/>
              <w:right w:val="single" w:sz="6" w:space="0" w:color="auto"/>
            </w:tcBorders>
            <w:shd w:val="clear" w:color="auto" w:fill="FFFFFF"/>
            <w:vAlign w:val="center"/>
            <w:hideMark/>
          </w:tcPr>
          <w:p w14:paraId="427EDFB6"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0 </w:t>
            </w:r>
          </w:p>
        </w:tc>
        <w:tc>
          <w:tcPr>
            <w:tcW w:w="1200" w:type="dxa"/>
            <w:tcBorders>
              <w:top w:val="nil"/>
              <w:left w:val="nil"/>
              <w:bottom w:val="single" w:sz="6" w:space="0" w:color="auto"/>
              <w:right w:val="single" w:sz="6" w:space="0" w:color="auto"/>
            </w:tcBorders>
            <w:shd w:val="clear" w:color="auto" w:fill="auto"/>
            <w:vAlign w:val="center"/>
            <w:hideMark/>
          </w:tcPr>
          <w:p w14:paraId="18592056"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0 </w:t>
            </w:r>
          </w:p>
        </w:tc>
      </w:tr>
      <w:tr w:rsidR="00A9168A" w:rsidRPr="00A9168A" w14:paraId="0A613CC5" w14:textId="77777777" w:rsidTr="00A9168A">
        <w:trPr>
          <w:trHeight w:val="300"/>
          <w:jc w:val="center"/>
        </w:trPr>
        <w:tc>
          <w:tcPr>
            <w:tcW w:w="2955" w:type="dxa"/>
            <w:tcBorders>
              <w:top w:val="nil"/>
              <w:left w:val="single" w:sz="6" w:space="0" w:color="auto"/>
              <w:bottom w:val="single" w:sz="6" w:space="0" w:color="auto"/>
              <w:right w:val="single" w:sz="6" w:space="0" w:color="auto"/>
            </w:tcBorders>
            <w:shd w:val="clear" w:color="auto" w:fill="auto"/>
            <w:vAlign w:val="center"/>
            <w:hideMark/>
          </w:tcPr>
          <w:p w14:paraId="0CCA6611" w14:textId="77777777" w:rsidR="00A9168A" w:rsidRPr="00A9168A" w:rsidRDefault="00A9168A" w:rsidP="00A9168A">
            <w:pPr>
              <w:spacing w:after="0" w:line="240" w:lineRule="auto"/>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Aprobado - No iniciado </w:t>
            </w:r>
          </w:p>
        </w:tc>
        <w:tc>
          <w:tcPr>
            <w:tcW w:w="1980" w:type="dxa"/>
            <w:tcBorders>
              <w:top w:val="nil"/>
              <w:left w:val="nil"/>
              <w:bottom w:val="single" w:sz="6" w:space="0" w:color="auto"/>
              <w:right w:val="single" w:sz="6" w:space="0" w:color="auto"/>
            </w:tcBorders>
            <w:shd w:val="clear" w:color="auto" w:fill="auto"/>
            <w:vAlign w:val="center"/>
            <w:hideMark/>
          </w:tcPr>
          <w:p w14:paraId="4BBA5B4A"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20 </w:t>
            </w:r>
          </w:p>
        </w:tc>
        <w:tc>
          <w:tcPr>
            <w:tcW w:w="1830" w:type="dxa"/>
            <w:tcBorders>
              <w:top w:val="nil"/>
              <w:left w:val="nil"/>
              <w:bottom w:val="single" w:sz="6" w:space="0" w:color="auto"/>
              <w:right w:val="single" w:sz="6" w:space="0" w:color="auto"/>
            </w:tcBorders>
            <w:shd w:val="clear" w:color="auto" w:fill="FFFFFF"/>
            <w:vAlign w:val="center"/>
            <w:hideMark/>
          </w:tcPr>
          <w:p w14:paraId="474CF9CD" w14:textId="0124C203"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1</w:t>
            </w:r>
            <w:r w:rsidR="0078290B">
              <w:rPr>
                <w:rFonts w:ascii="Book Antiqua" w:eastAsia="Times New Roman" w:hAnsi="Book Antiqua" w:cs="Times New Roman"/>
                <w:color w:val="000000"/>
                <w:sz w:val="18"/>
                <w:szCs w:val="18"/>
                <w:lang w:eastAsia="es-CR"/>
              </w:rPr>
              <w:t>1</w:t>
            </w:r>
          </w:p>
        </w:tc>
        <w:tc>
          <w:tcPr>
            <w:tcW w:w="1200" w:type="dxa"/>
            <w:tcBorders>
              <w:top w:val="nil"/>
              <w:left w:val="nil"/>
              <w:bottom w:val="single" w:sz="6" w:space="0" w:color="auto"/>
              <w:right w:val="single" w:sz="6" w:space="0" w:color="auto"/>
            </w:tcBorders>
            <w:shd w:val="clear" w:color="auto" w:fill="auto"/>
            <w:vAlign w:val="center"/>
            <w:hideMark/>
          </w:tcPr>
          <w:p w14:paraId="6F181818" w14:textId="7A339D44" w:rsidR="00A9168A" w:rsidRPr="00A9168A" w:rsidRDefault="002D0C06" w:rsidP="00A9168A">
            <w:pPr>
              <w:spacing w:after="0" w:line="240" w:lineRule="auto"/>
              <w:jc w:val="center"/>
              <w:textAlignment w:val="baseline"/>
              <w:rPr>
                <w:rFonts w:ascii="Times New Roman" w:eastAsia="Times New Roman" w:hAnsi="Times New Roman" w:cs="Times New Roman"/>
                <w:sz w:val="24"/>
                <w:szCs w:val="24"/>
                <w:lang w:eastAsia="es-CR"/>
              </w:rPr>
            </w:pPr>
            <w:r>
              <w:rPr>
                <w:rFonts w:ascii="Book Antiqua" w:eastAsia="Times New Roman" w:hAnsi="Book Antiqua" w:cs="Times New Roman"/>
                <w:color w:val="000000"/>
                <w:sz w:val="18"/>
                <w:szCs w:val="18"/>
                <w:lang w:eastAsia="es-CR"/>
              </w:rPr>
              <w:t>-</w:t>
            </w:r>
            <w:r w:rsidR="0078290B">
              <w:rPr>
                <w:rFonts w:ascii="Book Antiqua" w:eastAsia="Times New Roman" w:hAnsi="Book Antiqua" w:cs="Times New Roman"/>
                <w:color w:val="000000"/>
                <w:sz w:val="18"/>
                <w:szCs w:val="18"/>
                <w:lang w:eastAsia="es-CR"/>
              </w:rPr>
              <w:t>9</w:t>
            </w:r>
          </w:p>
        </w:tc>
      </w:tr>
      <w:tr w:rsidR="00A9168A" w:rsidRPr="00A9168A" w14:paraId="57197044" w14:textId="77777777" w:rsidTr="00A9168A">
        <w:trPr>
          <w:trHeight w:val="300"/>
          <w:jc w:val="center"/>
        </w:trPr>
        <w:tc>
          <w:tcPr>
            <w:tcW w:w="2955" w:type="dxa"/>
            <w:tcBorders>
              <w:top w:val="nil"/>
              <w:left w:val="single" w:sz="6" w:space="0" w:color="auto"/>
              <w:bottom w:val="single" w:sz="6" w:space="0" w:color="auto"/>
              <w:right w:val="single" w:sz="6" w:space="0" w:color="auto"/>
            </w:tcBorders>
            <w:shd w:val="clear" w:color="auto" w:fill="auto"/>
            <w:vAlign w:val="center"/>
            <w:hideMark/>
          </w:tcPr>
          <w:p w14:paraId="4F650258" w14:textId="77777777" w:rsidR="00A9168A" w:rsidRPr="00A9168A" w:rsidRDefault="00A9168A" w:rsidP="00A9168A">
            <w:pPr>
              <w:spacing w:after="0" w:line="240" w:lineRule="auto"/>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En progreso </w:t>
            </w:r>
          </w:p>
        </w:tc>
        <w:tc>
          <w:tcPr>
            <w:tcW w:w="1980" w:type="dxa"/>
            <w:tcBorders>
              <w:top w:val="nil"/>
              <w:left w:val="nil"/>
              <w:bottom w:val="single" w:sz="6" w:space="0" w:color="auto"/>
              <w:right w:val="single" w:sz="6" w:space="0" w:color="auto"/>
            </w:tcBorders>
            <w:shd w:val="clear" w:color="auto" w:fill="auto"/>
            <w:vAlign w:val="center"/>
            <w:hideMark/>
          </w:tcPr>
          <w:p w14:paraId="7117CD52"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84 </w:t>
            </w:r>
          </w:p>
        </w:tc>
        <w:tc>
          <w:tcPr>
            <w:tcW w:w="1830" w:type="dxa"/>
            <w:tcBorders>
              <w:top w:val="nil"/>
              <w:left w:val="nil"/>
              <w:bottom w:val="single" w:sz="6" w:space="0" w:color="auto"/>
              <w:right w:val="single" w:sz="6" w:space="0" w:color="auto"/>
            </w:tcBorders>
            <w:shd w:val="clear" w:color="auto" w:fill="FFFFFF"/>
            <w:vAlign w:val="center"/>
            <w:hideMark/>
          </w:tcPr>
          <w:p w14:paraId="392CBD73"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85 </w:t>
            </w:r>
          </w:p>
        </w:tc>
        <w:tc>
          <w:tcPr>
            <w:tcW w:w="1200" w:type="dxa"/>
            <w:tcBorders>
              <w:top w:val="nil"/>
              <w:left w:val="nil"/>
              <w:bottom w:val="single" w:sz="6" w:space="0" w:color="auto"/>
              <w:right w:val="single" w:sz="6" w:space="0" w:color="auto"/>
            </w:tcBorders>
            <w:shd w:val="clear" w:color="auto" w:fill="auto"/>
            <w:vAlign w:val="center"/>
            <w:hideMark/>
          </w:tcPr>
          <w:p w14:paraId="046CA598" w14:textId="4FFC584F" w:rsidR="00A9168A" w:rsidRPr="00A9168A" w:rsidRDefault="002D0C06" w:rsidP="00A9168A">
            <w:pPr>
              <w:spacing w:after="0" w:line="240" w:lineRule="auto"/>
              <w:jc w:val="center"/>
              <w:textAlignment w:val="baseline"/>
              <w:rPr>
                <w:rFonts w:ascii="Times New Roman" w:eastAsia="Times New Roman" w:hAnsi="Times New Roman" w:cs="Times New Roman"/>
                <w:sz w:val="24"/>
                <w:szCs w:val="24"/>
                <w:lang w:eastAsia="es-CR"/>
              </w:rPr>
            </w:pPr>
            <w:r>
              <w:rPr>
                <w:rFonts w:ascii="Book Antiqua" w:eastAsia="Times New Roman" w:hAnsi="Book Antiqua" w:cs="Times New Roman"/>
                <w:color w:val="000000"/>
                <w:sz w:val="18"/>
                <w:szCs w:val="18"/>
                <w:lang w:eastAsia="es-CR"/>
              </w:rPr>
              <w:t>+</w:t>
            </w:r>
            <w:r w:rsidR="00A9168A" w:rsidRPr="00A9168A">
              <w:rPr>
                <w:rFonts w:ascii="Book Antiqua" w:eastAsia="Times New Roman" w:hAnsi="Book Antiqua" w:cs="Times New Roman"/>
                <w:color w:val="000000"/>
                <w:sz w:val="18"/>
                <w:szCs w:val="18"/>
                <w:lang w:eastAsia="es-CR"/>
              </w:rPr>
              <w:t>1 </w:t>
            </w:r>
          </w:p>
        </w:tc>
      </w:tr>
      <w:tr w:rsidR="00A9168A" w:rsidRPr="00A9168A" w14:paraId="50555216" w14:textId="77777777" w:rsidTr="00A9168A">
        <w:trPr>
          <w:trHeight w:val="300"/>
          <w:jc w:val="center"/>
        </w:trPr>
        <w:tc>
          <w:tcPr>
            <w:tcW w:w="2955" w:type="dxa"/>
            <w:tcBorders>
              <w:top w:val="nil"/>
              <w:left w:val="single" w:sz="6" w:space="0" w:color="auto"/>
              <w:bottom w:val="single" w:sz="6" w:space="0" w:color="auto"/>
              <w:right w:val="single" w:sz="6" w:space="0" w:color="auto"/>
            </w:tcBorders>
            <w:shd w:val="clear" w:color="auto" w:fill="auto"/>
            <w:vAlign w:val="center"/>
            <w:hideMark/>
          </w:tcPr>
          <w:p w14:paraId="05F4B573" w14:textId="77777777" w:rsidR="00A9168A" w:rsidRPr="00A9168A" w:rsidRDefault="00A9168A" w:rsidP="00A9168A">
            <w:pPr>
              <w:spacing w:after="0" w:line="240" w:lineRule="auto"/>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Terminado </w:t>
            </w:r>
          </w:p>
        </w:tc>
        <w:tc>
          <w:tcPr>
            <w:tcW w:w="1980" w:type="dxa"/>
            <w:tcBorders>
              <w:top w:val="nil"/>
              <w:left w:val="nil"/>
              <w:bottom w:val="single" w:sz="6" w:space="0" w:color="auto"/>
              <w:right w:val="single" w:sz="6" w:space="0" w:color="auto"/>
            </w:tcBorders>
            <w:shd w:val="clear" w:color="auto" w:fill="auto"/>
            <w:vAlign w:val="center"/>
            <w:hideMark/>
          </w:tcPr>
          <w:p w14:paraId="17E1C0F7"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11 </w:t>
            </w:r>
          </w:p>
        </w:tc>
        <w:tc>
          <w:tcPr>
            <w:tcW w:w="1830" w:type="dxa"/>
            <w:tcBorders>
              <w:top w:val="nil"/>
              <w:left w:val="nil"/>
              <w:bottom w:val="single" w:sz="6" w:space="0" w:color="auto"/>
              <w:right w:val="single" w:sz="6" w:space="0" w:color="auto"/>
            </w:tcBorders>
            <w:shd w:val="clear" w:color="auto" w:fill="FFFFFF"/>
            <w:vAlign w:val="center"/>
            <w:hideMark/>
          </w:tcPr>
          <w:p w14:paraId="4AB48272"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11 </w:t>
            </w:r>
          </w:p>
        </w:tc>
        <w:tc>
          <w:tcPr>
            <w:tcW w:w="1200" w:type="dxa"/>
            <w:tcBorders>
              <w:top w:val="nil"/>
              <w:left w:val="nil"/>
              <w:bottom w:val="single" w:sz="6" w:space="0" w:color="auto"/>
              <w:right w:val="single" w:sz="6" w:space="0" w:color="auto"/>
            </w:tcBorders>
            <w:shd w:val="clear" w:color="auto" w:fill="auto"/>
            <w:vAlign w:val="center"/>
            <w:hideMark/>
          </w:tcPr>
          <w:p w14:paraId="09FD2A88"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0 </w:t>
            </w:r>
          </w:p>
        </w:tc>
      </w:tr>
      <w:tr w:rsidR="00A9168A" w:rsidRPr="00A9168A" w14:paraId="2C7D0C1C" w14:textId="77777777" w:rsidTr="00A9168A">
        <w:trPr>
          <w:trHeight w:val="300"/>
          <w:jc w:val="center"/>
        </w:trPr>
        <w:tc>
          <w:tcPr>
            <w:tcW w:w="2955" w:type="dxa"/>
            <w:tcBorders>
              <w:top w:val="nil"/>
              <w:left w:val="single" w:sz="6" w:space="0" w:color="auto"/>
              <w:bottom w:val="single" w:sz="6" w:space="0" w:color="auto"/>
              <w:right w:val="single" w:sz="6" w:space="0" w:color="auto"/>
            </w:tcBorders>
            <w:shd w:val="clear" w:color="auto" w:fill="auto"/>
            <w:vAlign w:val="center"/>
            <w:hideMark/>
          </w:tcPr>
          <w:p w14:paraId="743AF60C" w14:textId="77777777" w:rsidR="00A9168A" w:rsidRPr="00A9168A" w:rsidRDefault="00A9168A" w:rsidP="00A9168A">
            <w:pPr>
              <w:spacing w:after="0" w:line="240" w:lineRule="auto"/>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Pendiente Evaluación de Beneficios </w:t>
            </w:r>
          </w:p>
        </w:tc>
        <w:tc>
          <w:tcPr>
            <w:tcW w:w="1980" w:type="dxa"/>
            <w:tcBorders>
              <w:top w:val="nil"/>
              <w:left w:val="nil"/>
              <w:bottom w:val="single" w:sz="6" w:space="0" w:color="auto"/>
              <w:right w:val="single" w:sz="6" w:space="0" w:color="auto"/>
            </w:tcBorders>
            <w:shd w:val="clear" w:color="auto" w:fill="auto"/>
            <w:vAlign w:val="center"/>
            <w:hideMark/>
          </w:tcPr>
          <w:p w14:paraId="14FE2552"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47 </w:t>
            </w:r>
          </w:p>
        </w:tc>
        <w:tc>
          <w:tcPr>
            <w:tcW w:w="1830" w:type="dxa"/>
            <w:tcBorders>
              <w:top w:val="nil"/>
              <w:left w:val="nil"/>
              <w:bottom w:val="single" w:sz="6" w:space="0" w:color="auto"/>
              <w:right w:val="single" w:sz="6" w:space="0" w:color="auto"/>
            </w:tcBorders>
            <w:shd w:val="clear" w:color="auto" w:fill="FFFFFF"/>
            <w:vAlign w:val="center"/>
            <w:hideMark/>
          </w:tcPr>
          <w:p w14:paraId="74EA711C"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51 </w:t>
            </w:r>
          </w:p>
        </w:tc>
        <w:tc>
          <w:tcPr>
            <w:tcW w:w="1200" w:type="dxa"/>
            <w:tcBorders>
              <w:top w:val="nil"/>
              <w:left w:val="nil"/>
              <w:bottom w:val="single" w:sz="6" w:space="0" w:color="auto"/>
              <w:right w:val="single" w:sz="6" w:space="0" w:color="auto"/>
            </w:tcBorders>
            <w:shd w:val="clear" w:color="auto" w:fill="auto"/>
            <w:vAlign w:val="center"/>
            <w:hideMark/>
          </w:tcPr>
          <w:p w14:paraId="61023375" w14:textId="600A7F87" w:rsidR="00A9168A" w:rsidRPr="00A9168A" w:rsidRDefault="002D0C06" w:rsidP="00A9168A">
            <w:pPr>
              <w:spacing w:after="0" w:line="240" w:lineRule="auto"/>
              <w:jc w:val="center"/>
              <w:textAlignment w:val="baseline"/>
              <w:rPr>
                <w:rFonts w:ascii="Times New Roman" w:eastAsia="Times New Roman" w:hAnsi="Times New Roman" w:cs="Times New Roman"/>
                <w:sz w:val="24"/>
                <w:szCs w:val="24"/>
                <w:lang w:eastAsia="es-CR"/>
              </w:rPr>
            </w:pPr>
            <w:r>
              <w:rPr>
                <w:rFonts w:ascii="Book Antiqua" w:eastAsia="Times New Roman" w:hAnsi="Book Antiqua" w:cs="Times New Roman"/>
                <w:color w:val="000000"/>
                <w:sz w:val="18"/>
                <w:szCs w:val="18"/>
                <w:lang w:eastAsia="es-CR"/>
              </w:rPr>
              <w:t>+</w:t>
            </w:r>
            <w:r w:rsidR="00A9168A" w:rsidRPr="00A9168A">
              <w:rPr>
                <w:rFonts w:ascii="Book Antiqua" w:eastAsia="Times New Roman" w:hAnsi="Book Antiqua" w:cs="Times New Roman"/>
                <w:color w:val="000000"/>
                <w:sz w:val="18"/>
                <w:szCs w:val="18"/>
                <w:lang w:eastAsia="es-CR"/>
              </w:rPr>
              <w:t>4 </w:t>
            </w:r>
          </w:p>
        </w:tc>
      </w:tr>
      <w:tr w:rsidR="00A9168A" w:rsidRPr="00A9168A" w14:paraId="7385E00F" w14:textId="77777777" w:rsidTr="00A9168A">
        <w:trPr>
          <w:trHeight w:val="300"/>
          <w:jc w:val="center"/>
        </w:trPr>
        <w:tc>
          <w:tcPr>
            <w:tcW w:w="2955" w:type="dxa"/>
            <w:tcBorders>
              <w:top w:val="nil"/>
              <w:left w:val="single" w:sz="6" w:space="0" w:color="auto"/>
              <w:bottom w:val="single" w:sz="6" w:space="0" w:color="auto"/>
              <w:right w:val="single" w:sz="6" w:space="0" w:color="auto"/>
            </w:tcBorders>
            <w:shd w:val="clear" w:color="auto" w:fill="auto"/>
            <w:vAlign w:val="center"/>
            <w:hideMark/>
          </w:tcPr>
          <w:p w14:paraId="54466AA2" w14:textId="77777777" w:rsidR="00A9168A" w:rsidRPr="00A9168A" w:rsidRDefault="00A9168A" w:rsidP="00A9168A">
            <w:pPr>
              <w:spacing w:after="0" w:line="240" w:lineRule="auto"/>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Suspendido </w:t>
            </w:r>
          </w:p>
        </w:tc>
        <w:tc>
          <w:tcPr>
            <w:tcW w:w="1980" w:type="dxa"/>
            <w:tcBorders>
              <w:top w:val="nil"/>
              <w:left w:val="nil"/>
              <w:bottom w:val="single" w:sz="6" w:space="0" w:color="auto"/>
              <w:right w:val="single" w:sz="6" w:space="0" w:color="auto"/>
            </w:tcBorders>
            <w:shd w:val="clear" w:color="auto" w:fill="auto"/>
            <w:vAlign w:val="center"/>
            <w:hideMark/>
          </w:tcPr>
          <w:p w14:paraId="2C75A83D"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13 </w:t>
            </w:r>
          </w:p>
        </w:tc>
        <w:tc>
          <w:tcPr>
            <w:tcW w:w="1830" w:type="dxa"/>
            <w:tcBorders>
              <w:top w:val="nil"/>
              <w:left w:val="nil"/>
              <w:bottom w:val="single" w:sz="6" w:space="0" w:color="auto"/>
              <w:right w:val="single" w:sz="6" w:space="0" w:color="auto"/>
            </w:tcBorders>
            <w:shd w:val="clear" w:color="auto" w:fill="FFFFFF"/>
            <w:vAlign w:val="center"/>
            <w:hideMark/>
          </w:tcPr>
          <w:p w14:paraId="38C3E867" w14:textId="2925320A" w:rsidR="00A9168A" w:rsidRPr="00A9168A" w:rsidRDefault="0078290B" w:rsidP="00A9168A">
            <w:pPr>
              <w:spacing w:after="0" w:line="240" w:lineRule="auto"/>
              <w:jc w:val="center"/>
              <w:textAlignment w:val="baseline"/>
              <w:rPr>
                <w:rFonts w:ascii="Times New Roman" w:eastAsia="Times New Roman" w:hAnsi="Times New Roman" w:cs="Times New Roman"/>
                <w:sz w:val="24"/>
                <w:szCs w:val="24"/>
                <w:lang w:eastAsia="es-CR"/>
              </w:rPr>
            </w:pPr>
            <w:r>
              <w:rPr>
                <w:rFonts w:ascii="Book Antiqua" w:eastAsia="Times New Roman" w:hAnsi="Book Antiqua" w:cs="Times New Roman"/>
                <w:color w:val="000000"/>
                <w:sz w:val="18"/>
                <w:szCs w:val="18"/>
                <w:lang w:eastAsia="es-CR"/>
              </w:rPr>
              <w:t>20</w:t>
            </w:r>
          </w:p>
        </w:tc>
        <w:tc>
          <w:tcPr>
            <w:tcW w:w="1200" w:type="dxa"/>
            <w:tcBorders>
              <w:top w:val="nil"/>
              <w:left w:val="nil"/>
              <w:bottom w:val="single" w:sz="6" w:space="0" w:color="auto"/>
              <w:right w:val="single" w:sz="6" w:space="0" w:color="auto"/>
            </w:tcBorders>
            <w:shd w:val="clear" w:color="auto" w:fill="auto"/>
            <w:vAlign w:val="center"/>
            <w:hideMark/>
          </w:tcPr>
          <w:p w14:paraId="4EB792C1" w14:textId="12FD8413" w:rsidR="00A9168A" w:rsidRPr="00A9168A" w:rsidRDefault="002D0C06" w:rsidP="00A9168A">
            <w:pPr>
              <w:spacing w:after="0" w:line="240" w:lineRule="auto"/>
              <w:jc w:val="center"/>
              <w:textAlignment w:val="baseline"/>
              <w:rPr>
                <w:rFonts w:ascii="Times New Roman" w:eastAsia="Times New Roman" w:hAnsi="Times New Roman" w:cs="Times New Roman"/>
                <w:sz w:val="24"/>
                <w:szCs w:val="24"/>
                <w:lang w:eastAsia="es-CR"/>
              </w:rPr>
            </w:pPr>
            <w:r>
              <w:rPr>
                <w:rFonts w:ascii="Book Antiqua" w:eastAsia="Times New Roman" w:hAnsi="Book Antiqua" w:cs="Times New Roman"/>
                <w:color w:val="000000"/>
                <w:sz w:val="18"/>
                <w:szCs w:val="18"/>
                <w:lang w:eastAsia="es-CR"/>
              </w:rPr>
              <w:t>+</w:t>
            </w:r>
            <w:r w:rsidR="0078290B">
              <w:rPr>
                <w:rFonts w:ascii="Book Antiqua" w:eastAsia="Times New Roman" w:hAnsi="Book Antiqua" w:cs="Times New Roman"/>
                <w:color w:val="000000"/>
                <w:sz w:val="18"/>
                <w:szCs w:val="18"/>
                <w:lang w:eastAsia="es-CR"/>
              </w:rPr>
              <w:t>7</w:t>
            </w:r>
          </w:p>
        </w:tc>
      </w:tr>
      <w:tr w:rsidR="00A9168A" w:rsidRPr="00A9168A" w14:paraId="204194E0" w14:textId="77777777" w:rsidTr="00A9168A">
        <w:trPr>
          <w:trHeight w:val="300"/>
          <w:jc w:val="center"/>
        </w:trPr>
        <w:tc>
          <w:tcPr>
            <w:tcW w:w="2955" w:type="dxa"/>
            <w:tcBorders>
              <w:top w:val="nil"/>
              <w:left w:val="single" w:sz="6" w:space="0" w:color="auto"/>
              <w:bottom w:val="single" w:sz="6" w:space="0" w:color="auto"/>
              <w:right w:val="single" w:sz="6" w:space="0" w:color="auto"/>
            </w:tcBorders>
            <w:shd w:val="clear" w:color="auto" w:fill="auto"/>
            <w:vAlign w:val="center"/>
            <w:hideMark/>
          </w:tcPr>
          <w:p w14:paraId="71F19981" w14:textId="77777777" w:rsidR="00A9168A" w:rsidRPr="00A9168A" w:rsidRDefault="00A9168A" w:rsidP="00A9168A">
            <w:pPr>
              <w:spacing w:after="0" w:line="240" w:lineRule="auto"/>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No aprobado </w:t>
            </w:r>
          </w:p>
        </w:tc>
        <w:tc>
          <w:tcPr>
            <w:tcW w:w="1980" w:type="dxa"/>
            <w:tcBorders>
              <w:top w:val="nil"/>
              <w:left w:val="nil"/>
              <w:bottom w:val="single" w:sz="6" w:space="0" w:color="auto"/>
              <w:right w:val="single" w:sz="6" w:space="0" w:color="auto"/>
            </w:tcBorders>
            <w:shd w:val="clear" w:color="auto" w:fill="auto"/>
            <w:vAlign w:val="center"/>
            <w:hideMark/>
          </w:tcPr>
          <w:p w14:paraId="5C9AE605"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5 </w:t>
            </w:r>
          </w:p>
        </w:tc>
        <w:tc>
          <w:tcPr>
            <w:tcW w:w="1830" w:type="dxa"/>
            <w:tcBorders>
              <w:top w:val="nil"/>
              <w:left w:val="nil"/>
              <w:bottom w:val="single" w:sz="6" w:space="0" w:color="auto"/>
              <w:right w:val="single" w:sz="6" w:space="0" w:color="auto"/>
            </w:tcBorders>
            <w:shd w:val="clear" w:color="auto" w:fill="FFFFFF"/>
            <w:vAlign w:val="center"/>
            <w:hideMark/>
          </w:tcPr>
          <w:p w14:paraId="3D7726E8"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5 </w:t>
            </w:r>
          </w:p>
        </w:tc>
        <w:tc>
          <w:tcPr>
            <w:tcW w:w="1200" w:type="dxa"/>
            <w:tcBorders>
              <w:top w:val="nil"/>
              <w:left w:val="nil"/>
              <w:bottom w:val="single" w:sz="6" w:space="0" w:color="auto"/>
              <w:right w:val="single" w:sz="6" w:space="0" w:color="auto"/>
            </w:tcBorders>
            <w:shd w:val="clear" w:color="auto" w:fill="auto"/>
            <w:vAlign w:val="center"/>
            <w:hideMark/>
          </w:tcPr>
          <w:p w14:paraId="1F1C6B00"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0 </w:t>
            </w:r>
          </w:p>
        </w:tc>
      </w:tr>
      <w:tr w:rsidR="00A9168A" w:rsidRPr="00A9168A" w14:paraId="775684F4" w14:textId="77777777" w:rsidTr="00A9168A">
        <w:trPr>
          <w:trHeight w:val="300"/>
          <w:jc w:val="center"/>
        </w:trPr>
        <w:tc>
          <w:tcPr>
            <w:tcW w:w="2955" w:type="dxa"/>
            <w:tcBorders>
              <w:top w:val="nil"/>
              <w:left w:val="single" w:sz="6" w:space="0" w:color="auto"/>
              <w:bottom w:val="single" w:sz="6" w:space="0" w:color="auto"/>
              <w:right w:val="single" w:sz="6" w:space="0" w:color="auto"/>
            </w:tcBorders>
            <w:shd w:val="clear" w:color="auto" w:fill="auto"/>
            <w:vAlign w:val="center"/>
            <w:hideMark/>
          </w:tcPr>
          <w:p w14:paraId="0EF91FDB" w14:textId="77777777" w:rsidR="00A9168A" w:rsidRPr="00A9168A" w:rsidRDefault="00A9168A" w:rsidP="00A9168A">
            <w:pPr>
              <w:spacing w:after="0" w:line="240" w:lineRule="auto"/>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Cancelado </w:t>
            </w:r>
          </w:p>
        </w:tc>
        <w:tc>
          <w:tcPr>
            <w:tcW w:w="1980" w:type="dxa"/>
            <w:tcBorders>
              <w:top w:val="nil"/>
              <w:left w:val="nil"/>
              <w:bottom w:val="single" w:sz="6" w:space="0" w:color="auto"/>
              <w:right w:val="single" w:sz="6" w:space="0" w:color="auto"/>
            </w:tcBorders>
            <w:shd w:val="clear" w:color="auto" w:fill="auto"/>
            <w:vAlign w:val="center"/>
            <w:hideMark/>
          </w:tcPr>
          <w:p w14:paraId="0647DD2B"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6 </w:t>
            </w:r>
          </w:p>
        </w:tc>
        <w:tc>
          <w:tcPr>
            <w:tcW w:w="1830" w:type="dxa"/>
            <w:tcBorders>
              <w:top w:val="nil"/>
              <w:left w:val="nil"/>
              <w:bottom w:val="single" w:sz="6" w:space="0" w:color="auto"/>
              <w:right w:val="single" w:sz="6" w:space="0" w:color="auto"/>
            </w:tcBorders>
            <w:shd w:val="clear" w:color="auto" w:fill="FFFFFF"/>
            <w:vAlign w:val="center"/>
            <w:hideMark/>
          </w:tcPr>
          <w:p w14:paraId="0DFC6E7A"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color w:val="000000"/>
                <w:sz w:val="18"/>
                <w:szCs w:val="18"/>
                <w:lang w:eastAsia="es-CR"/>
              </w:rPr>
              <w:t>8 </w:t>
            </w:r>
          </w:p>
        </w:tc>
        <w:tc>
          <w:tcPr>
            <w:tcW w:w="1200" w:type="dxa"/>
            <w:tcBorders>
              <w:top w:val="nil"/>
              <w:left w:val="nil"/>
              <w:bottom w:val="single" w:sz="6" w:space="0" w:color="auto"/>
              <w:right w:val="single" w:sz="6" w:space="0" w:color="auto"/>
            </w:tcBorders>
            <w:shd w:val="clear" w:color="auto" w:fill="auto"/>
            <w:vAlign w:val="center"/>
            <w:hideMark/>
          </w:tcPr>
          <w:p w14:paraId="2826E61C" w14:textId="455E0EC6" w:rsidR="00A9168A" w:rsidRPr="00A9168A" w:rsidRDefault="002D0C06" w:rsidP="00A9168A">
            <w:pPr>
              <w:spacing w:after="0" w:line="240" w:lineRule="auto"/>
              <w:jc w:val="center"/>
              <w:textAlignment w:val="baseline"/>
              <w:rPr>
                <w:rFonts w:ascii="Times New Roman" w:eastAsia="Times New Roman" w:hAnsi="Times New Roman" w:cs="Times New Roman"/>
                <w:sz w:val="24"/>
                <w:szCs w:val="24"/>
                <w:lang w:eastAsia="es-CR"/>
              </w:rPr>
            </w:pPr>
            <w:r>
              <w:rPr>
                <w:rFonts w:ascii="Book Antiqua" w:eastAsia="Times New Roman" w:hAnsi="Book Antiqua" w:cs="Times New Roman"/>
                <w:color w:val="000000"/>
                <w:sz w:val="18"/>
                <w:szCs w:val="18"/>
                <w:lang w:eastAsia="es-CR"/>
              </w:rPr>
              <w:t>+</w:t>
            </w:r>
            <w:r w:rsidR="00A9168A" w:rsidRPr="00A9168A">
              <w:rPr>
                <w:rFonts w:ascii="Book Antiqua" w:eastAsia="Times New Roman" w:hAnsi="Book Antiqua" w:cs="Times New Roman"/>
                <w:color w:val="000000"/>
                <w:sz w:val="18"/>
                <w:szCs w:val="18"/>
                <w:lang w:eastAsia="es-CR"/>
              </w:rPr>
              <w:t>2 </w:t>
            </w:r>
          </w:p>
        </w:tc>
      </w:tr>
      <w:tr w:rsidR="00A9168A" w:rsidRPr="00A9168A" w14:paraId="6DB99D46" w14:textId="77777777" w:rsidTr="00A9168A">
        <w:trPr>
          <w:trHeight w:val="300"/>
          <w:jc w:val="center"/>
        </w:trPr>
        <w:tc>
          <w:tcPr>
            <w:tcW w:w="2955" w:type="dxa"/>
            <w:tcBorders>
              <w:top w:val="nil"/>
              <w:left w:val="single" w:sz="6" w:space="0" w:color="auto"/>
              <w:bottom w:val="single" w:sz="6" w:space="0" w:color="auto"/>
              <w:right w:val="single" w:sz="6" w:space="0" w:color="auto"/>
            </w:tcBorders>
            <w:shd w:val="clear" w:color="auto" w:fill="44546A"/>
            <w:vAlign w:val="center"/>
            <w:hideMark/>
          </w:tcPr>
          <w:p w14:paraId="4D377B1A" w14:textId="77777777" w:rsidR="00A9168A" w:rsidRPr="00A9168A" w:rsidRDefault="00A9168A" w:rsidP="00A9168A">
            <w:pPr>
              <w:spacing w:after="0" w:line="240" w:lineRule="auto"/>
              <w:jc w:val="right"/>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b/>
                <w:bCs/>
                <w:color w:val="FFFFFF"/>
                <w:sz w:val="18"/>
                <w:szCs w:val="18"/>
                <w:lang w:eastAsia="es-CR"/>
              </w:rPr>
              <w:t>Total:</w:t>
            </w:r>
            <w:r w:rsidRPr="00A9168A">
              <w:rPr>
                <w:rFonts w:ascii="Book Antiqua" w:eastAsia="Times New Roman" w:hAnsi="Book Antiqua" w:cs="Times New Roman"/>
                <w:color w:val="FFFFFF"/>
                <w:sz w:val="18"/>
                <w:szCs w:val="18"/>
                <w:lang w:eastAsia="es-CR"/>
              </w:rPr>
              <w:t> </w:t>
            </w:r>
          </w:p>
        </w:tc>
        <w:tc>
          <w:tcPr>
            <w:tcW w:w="1980" w:type="dxa"/>
            <w:tcBorders>
              <w:top w:val="nil"/>
              <w:left w:val="nil"/>
              <w:bottom w:val="single" w:sz="6" w:space="0" w:color="auto"/>
              <w:right w:val="single" w:sz="6" w:space="0" w:color="auto"/>
            </w:tcBorders>
            <w:shd w:val="clear" w:color="auto" w:fill="44546A"/>
            <w:vAlign w:val="center"/>
            <w:hideMark/>
          </w:tcPr>
          <w:p w14:paraId="647A7507"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b/>
                <w:bCs/>
                <w:color w:val="FFFFFF"/>
                <w:sz w:val="18"/>
                <w:szCs w:val="18"/>
                <w:lang w:eastAsia="es-CR"/>
              </w:rPr>
              <w:t>191</w:t>
            </w:r>
            <w:r w:rsidRPr="00A9168A">
              <w:rPr>
                <w:rFonts w:ascii="Book Antiqua" w:eastAsia="Times New Roman" w:hAnsi="Book Antiqua" w:cs="Times New Roman"/>
                <w:color w:val="FFFFFF"/>
                <w:sz w:val="18"/>
                <w:szCs w:val="18"/>
                <w:lang w:eastAsia="es-CR"/>
              </w:rPr>
              <w:t> </w:t>
            </w:r>
          </w:p>
        </w:tc>
        <w:tc>
          <w:tcPr>
            <w:tcW w:w="1830" w:type="dxa"/>
            <w:tcBorders>
              <w:top w:val="nil"/>
              <w:left w:val="nil"/>
              <w:bottom w:val="single" w:sz="6" w:space="0" w:color="auto"/>
              <w:right w:val="single" w:sz="6" w:space="0" w:color="auto"/>
            </w:tcBorders>
            <w:shd w:val="clear" w:color="auto" w:fill="44546A"/>
            <w:vAlign w:val="center"/>
            <w:hideMark/>
          </w:tcPr>
          <w:p w14:paraId="48E86C8D" w14:textId="77777777" w:rsidR="00A9168A" w:rsidRPr="00A9168A" w:rsidRDefault="00A9168A" w:rsidP="00A9168A">
            <w:pPr>
              <w:spacing w:after="0" w:line="240" w:lineRule="auto"/>
              <w:jc w:val="center"/>
              <w:textAlignment w:val="baseline"/>
              <w:rPr>
                <w:rFonts w:ascii="Times New Roman" w:eastAsia="Times New Roman" w:hAnsi="Times New Roman" w:cs="Times New Roman"/>
                <w:sz w:val="24"/>
                <w:szCs w:val="24"/>
                <w:lang w:eastAsia="es-CR"/>
              </w:rPr>
            </w:pPr>
            <w:r w:rsidRPr="00A9168A">
              <w:rPr>
                <w:rFonts w:ascii="Book Antiqua" w:eastAsia="Times New Roman" w:hAnsi="Book Antiqua" w:cs="Times New Roman"/>
                <w:b/>
                <w:bCs/>
                <w:color w:val="FFFFFF"/>
                <w:sz w:val="18"/>
                <w:szCs w:val="18"/>
                <w:lang w:eastAsia="es-CR"/>
              </w:rPr>
              <w:t>194</w:t>
            </w:r>
            <w:r w:rsidRPr="00A9168A">
              <w:rPr>
                <w:rFonts w:ascii="Book Antiqua" w:eastAsia="Times New Roman" w:hAnsi="Book Antiqua" w:cs="Times New Roman"/>
                <w:color w:val="FFFFFF"/>
                <w:sz w:val="18"/>
                <w:szCs w:val="18"/>
                <w:lang w:eastAsia="es-CR"/>
              </w:rPr>
              <w:t> </w:t>
            </w:r>
          </w:p>
        </w:tc>
        <w:tc>
          <w:tcPr>
            <w:tcW w:w="1200" w:type="dxa"/>
            <w:tcBorders>
              <w:top w:val="nil"/>
              <w:left w:val="nil"/>
              <w:bottom w:val="single" w:sz="6" w:space="0" w:color="auto"/>
              <w:right w:val="single" w:sz="6" w:space="0" w:color="auto"/>
            </w:tcBorders>
            <w:shd w:val="clear" w:color="auto" w:fill="44546A"/>
            <w:vAlign w:val="center"/>
            <w:hideMark/>
          </w:tcPr>
          <w:p w14:paraId="1799435A" w14:textId="244FD1CF" w:rsidR="00A9168A" w:rsidRPr="00A9168A" w:rsidRDefault="002D0C06" w:rsidP="00A9168A">
            <w:pPr>
              <w:spacing w:after="0" w:line="240" w:lineRule="auto"/>
              <w:jc w:val="center"/>
              <w:textAlignment w:val="baseline"/>
              <w:rPr>
                <w:rFonts w:ascii="Times New Roman" w:eastAsia="Times New Roman" w:hAnsi="Times New Roman" w:cs="Times New Roman"/>
                <w:sz w:val="24"/>
                <w:szCs w:val="24"/>
                <w:lang w:eastAsia="es-CR"/>
              </w:rPr>
            </w:pPr>
            <w:r>
              <w:rPr>
                <w:rFonts w:ascii="Book Antiqua" w:eastAsia="Times New Roman" w:hAnsi="Book Antiqua" w:cs="Times New Roman"/>
                <w:b/>
                <w:bCs/>
                <w:color w:val="FFFFFF"/>
                <w:sz w:val="18"/>
                <w:szCs w:val="18"/>
                <w:lang w:eastAsia="es-CR"/>
              </w:rPr>
              <w:t>+</w:t>
            </w:r>
            <w:r w:rsidR="00A9168A" w:rsidRPr="00A9168A">
              <w:rPr>
                <w:rFonts w:ascii="Book Antiqua" w:eastAsia="Times New Roman" w:hAnsi="Book Antiqua" w:cs="Times New Roman"/>
                <w:b/>
                <w:bCs/>
                <w:color w:val="FFFFFF"/>
                <w:sz w:val="18"/>
                <w:szCs w:val="18"/>
                <w:lang w:eastAsia="es-CR"/>
              </w:rPr>
              <w:t>3</w:t>
            </w:r>
            <w:r w:rsidR="00A9168A" w:rsidRPr="00A9168A">
              <w:rPr>
                <w:rFonts w:ascii="Book Antiqua" w:eastAsia="Times New Roman" w:hAnsi="Book Antiqua" w:cs="Times New Roman"/>
                <w:color w:val="FFFFFF"/>
                <w:sz w:val="18"/>
                <w:szCs w:val="18"/>
                <w:lang w:eastAsia="es-CR"/>
              </w:rPr>
              <w:t> </w:t>
            </w:r>
          </w:p>
        </w:tc>
      </w:tr>
    </w:tbl>
    <w:p w14:paraId="04D36E82" w14:textId="77777777" w:rsidR="00A9168A" w:rsidRPr="00A9168A" w:rsidRDefault="00A9168A" w:rsidP="00A9168A">
      <w:pPr>
        <w:spacing w:after="0" w:line="240" w:lineRule="auto"/>
        <w:ind w:left="705" w:firstLine="705"/>
        <w:jc w:val="both"/>
        <w:textAlignment w:val="baseline"/>
        <w:rPr>
          <w:rFonts w:ascii="Segoe UI" w:eastAsia="Times New Roman" w:hAnsi="Segoe UI" w:cs="Segoe UI"/>
          <w:sz w:val="18"/>
          <w:szCs w:val="18"/>
          <w:lang w:eastAsia="es-CR"/>
        </w:rPr>
      </w:pPr>
      <w:r w:rsidRPr="00A9168A">
        <w:rPr>
          <w:rFonts w:ascii="Book Antiqua" w:eastAsia="Times New Roman" w:hAnsi="Book Antiqua" w:cs="Segoe UI"/>
          <w:b/>
          <w:bCs/>
          <w:sz w:val="20"/>
          <w:szCs w:val="20"/>
          <w:lang w:eastAsia="es-CR"/>
        </w:rPr>
        <w:t>Fuente:</w:t>
      </w:r>
      <w:r w:rsidRPr="00A9168A">
        <w:rPr>
          <w:rFonts w:ascii="Book Antiqua" w:eastAsia="Times New Roman" w:hAnsi="Book Antiqua" w:cs="Segoe UI"/>
          <w:sz w:val="20"/>
          <w:szCs w:val="20"/>
          <w:lang w:eastAsia="es-CR"/>
        </w:rPr>
        <w:t xml:space="preserve"> Elaboración propia con datos del MS Project Online. </w:t>
      </w:r>
    </w:p>
    <w:p w14:paraId="4A9E8A62" w14:textId="283BFBD8" w:rsidR="008671F5" w:rsidRDefault="008671F5" w:rsidP="006C513C">
      <w:pPr>
        <w:spacing w:after="0"/>
        <w:jc w:val="center"/>
        <w:rPr>
          <w:rFonts w:ascii="Book Antiqua" w:hAnsi="Book Antiqua"/>
        </w:rPr>
      </w:pPr>
    </w:p>
    <w:p w14:paraId="71F1C18F" w14:textId="77777777" w:rsidR="00F71780" w:rsidRPr="00BA1484" w:rsidRDefault="00F71780" w:rsidP="00F71780">
      <w:pPr>
        <w:spacing w:after="0"/>
        <w:jc w:val="both"/>
        <w:rPr>
          <w:rFonts w:ascii="Book Antiqua" w:hAnsi="Book Antiqua" w:cs="&amp;quot"/>
          <w:sz w:val="24"/>
          <w:szCs w:val="24"/>
        </w:rPr>
      </w:pPr>
      <w:r w:rsidRPr="00BA1484">
        <w:rPr>
          <w:rFonts w:ascii="Book Antiqua" w:hAnsi="Book Antiqua" w:cs="&amp;quot"/>
          <w:sz w:val="24"/>
          <w:szCs w:val="24"/>
        </w:rPr>
        <w:t xml:space="preserve">Las razones que mediaron en los diferentes cambios presentados desde </w:t>
      </w:r>
      <w:r>
        <w:rPr>
          <w:rFonts w:ascii="Book Antiqua" w:hAnsi="Book Antiqua" w:cs="&amp;quot"/>
          <w:sz w:val="24"/>
          <w:szCs w:val="24"/>
        </w:rPr>
        <w:t>diciembre</w:t>
      </w:r>
      <w:r w:rsidRPr="00BA1484">
        <w:rPr>
          <w:rFonts w:ascii="Book Antiqua" w:hAnsi="Book Antiqua" w:cs="&amp;quot"/>
          <w:sz w:val="24"/>
          <w:szCs w:val="24"/>
        </w:rPr>
        <w:t xml:space="preserve"> </w:t>
      </w:r>
      <w:r>
        <w:rPr>
          <w:rFonts w:ascii="Book Antiqua" w:hAnsi="Book Antiqua" w:cs="&amp;quot"/>
          <w:sz w:val="24"/>
          <w:szCs w:val="24"/>
        </w:rPr>
        <w:t>2022</w:t>
      </w:r>
      <w:r w:rsidRPr="00BA1484">
        <w:rPr>
          <w:rFonts w:ascii="Book Antiqua" w:hAnsi="Book Antiqua" w:cs="&amp;quot"/>
          <w:sz w:val="24"/>
          <w:szCs w:val="24"/>
        </w:rPr>
        <w:t xml:space="preserve"> a la fecha de corte del </w:t>
      </w:r>
      <w:r>
        <w:rPr>
          <w:rFonts w:ascii="Book Antiqua" w:hAnsi="Book Antiqua" w:cs="&amp;quot"/>
          <w:sz w:val="24"/>
          <w:szCs w:val="24"/>
        </w:rPr>
        <w:t xml:space="preserve">primer </w:t>
      </w:r>
      <w:r w:rsidRPr="00BA1484">
        <w:rPr>
          <w:rFonts w:ascii="Book Antiqua" w:hAnsi="Book Antiqua" w:cs="&amp;quot"/>
          <w:sz w:val="24"/>
          <w:szCs w:val="24"/>
        </w:rPr>
        <w:t>seguimiento 202</w:t>
      </w:r>
      <w:r>
        <w:rPr>
          <w:rFonts w:ascii="Book Antiqua" w:hAnsi="Book Antiqua" w:cs="&amp;quot"/>
          <w:sz w:val="24"/>
          <w:szCs w:val="24"/>
        </w:rPr>
        <w:t>3,</w:t>
      </w:r>
      <w:r w:rsidRPr="00BA1484">
        <w:rPr>
          <w:rFonts w:ascii="Book Antiqua" w:hAnsi="Book Antiqua" w:cs="&amp;quot"/>
          <w:sz w:val="24"/>
          <w:szCs w:val="24"/>
        </w:rPr>
        <w:t xml:space="preserve"> se destacan a continuación: </w:t>
      </w:r>
    </w:p>
    <w:p w14:paraId="629B78DE" w14:textId="77777777" w:rsidR="00F71780" w:rsidRPr="007E3846" w:rsidRDefault="00F71780" w:rsidP="00F71780">
      <w:pPr>
        <w:spacing w:after="0"/>
        <w:jc w:val="both"/>
        <w:rPr>
          <w:rFonts w:ascii="Book Antiqua" w:hAnsi="Book Antiqua"/>
          <w:sz w:val="24"/>
          <w:szCs w:val="24"/>
        </w:rPr>
      </w:pPr>
    </w:p>
    <w:p w14:paraId="0178C879" w14:textId="77777777" w:rsidR="00F71780" w:rsidRDefault="00F71780" w:rsidP="00155AE5">
      <w:pPr>
        <w:pStyle w:val="Prrafodelista"/>
        <w:numPr>
          <w:ilvl w:val="0"/>
          <w:numId w:val="7"/>
        </w:numPr>
        <w:spacing w:after="0"/>
        <w:jc w:val="both"/>
        <w:rPr>
          <w:rFonts w:ascii="Book Antiqua" w:hAnsi="Book Antiqua"/>
          <w:sz w:val="24"/>
          <w:szCs w:val="24"/>
        </w:rPr>
      </w:pPr>
      <w:bookmarkStart w:id="66" w:name="_Hlk85554469"/>
      <w:r>
        <w:rPr>
          <w:rFonts w:ascii="Book Antiqua" w:hAnsi="Book Antiqua"/>
          <w:b/>
          <w:bCs/>
          <w:sz w:val="24"/>
          <w:szCs w:val="24"/>
        </w:rPr>
        <w:t xml:space="preserve">Iniciativa que cambio de estado a Cancelada: </w:t>
      </w:r>
      <w:r w:rsidRPr="00CF060C">
        <w:rPr>
          <w:rFonts w:ascii="Book Antiqua" w:hAnsi="Book Antiqua"/>
          <w:sz w:val="24"/>
          <w:szCs w:val="24"/>
        </w:rPr>
        <w:t>Durante este periodo de análisis la iniciativa de proyecto denominada: “</w:t>
      </w:r>
      <w:r w:rsidRPr="00542548">
        <w:rPr>
          <w:rFonts w:ascii="Book Antiqua" w:hAnsi="Book Antiqua"/>
          <w:sz w:val="24"/>
          <w:szCs w:val="24"/>
        </w:rPr>
        <w:t>Herramienta Tecnológica Modelo de Gestión por Procesos</w:t>
      </w:r>
      <w:r w:rsidRPr="00CF060C">
        <w:rPr>
          <w:rFonts w:ascii="Book Antiqua" w:hAnsi="Book Antiqua"/>
          <w:sz w:val="24"/>
          <w:szCs w:val="24"/>
        </w:rPr>
        <w:t>”</w:t>
      </w:r>
      <w:r>
        <w:rPr>
          <w:rFonts w:ascii="Book Antiqua" w:hAnsi="Book Antiqua"/>
          <w:sz w:val="24"/>
          <w:szCs w:val="24"/>
        </w:rPr>
        <w:t xml:space="preserve"> y “</w:t>
      </w:r>
      <w:r w:rsidRPr="00AC4869">
        <w:rPr>
          <w:rFonts w:ascii="Book Antiqua" w:hAnsi="Book Antiqua"/>
          <w:sz w:val="24"/>
          <w:szCs w:val="24"/>
        </w:rPr>
        <w:t>Rediseño materia Penal Juvenil-primera instancia</w:t>
      </w:r>
      <w:r>
        <w:rPr>
          <w:rFonts w:ascii="Book Antiqua" w:hAnsi="Book Antiqua"/>
          <w:sz w:val="24"/>
          <w:szCs w:val="24"/>
        </w:rPr>
        <w:t>”</w:t>
      </w:r>
      <w:r w:rsidRPr="00CF060C">
        <w:rPr>
          <w:rFonts w:ascii="Book Antiqua" w:hAnsi="Book Antiqua"/>
          <w:sz w:val="24"/>
          <w:szCs w:val="24"/>
        </w:rPr>
        <w:t xml:space="preserve"> cambi</w:t>
      </w:r>
      <w:r>
        <w:rPr>
          <w:rFonts w:ascii="Book Antiqua" w:hAnsi="Book Antiqua"/>
          <w:sz w:val="24"/>
          <w:szCs w:val="24"/>
        </w:rPr>
        <w:t>ó</w:t>
      </w:r>
      <w:r w:rsidRPr="00CF060C">
        <w:rPr>
          <w:rFonts w:ascii="Book Antiqua" w:hAnsi="Book Antiqua"/>
          <w:sz w:val="24"/>
          <w:szCs w:val="24"/>
        </w:rPr>
        <w:t xml:space="preserve"> del estado “Iniciativa”</w:t>
      </w:r>
      <w:r>
        <w:rPr>
          <w:rFonts w:ascii="Book Antiqua" w:hAnsi="Book Antiqua"/>
          <w:sz w:val="24"/>
          <w:szCs w:val="24"/>
        </w:rPr>
        <w:t xml:space="preserve"> y “Aprobado no iniciado” respectivamente</w:t>
      </w:r>
      <w:r w:rsidRPr="00CF060C">
        <w:rPr>
          <w:rFonts w:ascii="Book Antiqua" w:hAnsi="Book Antiqua"/>
          <w:sz w:val="24"/>
          <w:szCs w:val="24"/>
        </w:rPr>
        <w:t xml:space="preserve"> a “Cancelado”</w:t>
      </w:r>
      <w:r>
        <w:rPr>
          <w:rFonts w:ascii="Book Antiqua" w:hAnsi="Book Antiqua"/>
          <w:sz w:val="24"/>
          <w:szCs w:val="24"/>
        </w:rPr>
        <w:t>, esto a solicitud de la oficina solicitante.</w:t>
      </w:r>
    </w:p>
    <w:p w14:paraId="11AF8C0C" w14:textId="77777777" w:rsidR="00F71780" w:rsidRDefault="00F71780" w:rsidP="00F71780">
      <w:pPr>
        <w:pStyle w:val="Prrafodelista"/>
        <w:spacing w:after="0"/>
        <w:jc w:val="both"/>
        <w:rPr>
          <w:rFonts w:ascii="Book Antiqua" w:hAnsi="Book Antiqua"/>
          <w:sz w:val="24"/>
          <w:szCs w:val="24"/>
        </w:rPr>
      </w:pPr>
    </w:p>
    <w:p w14:paraId="169C63C8" w14:textId="77777777" w:rsidR="00F71780" w:rsidRPr="007E3846" w:rsidRDefault="00F71780" w:rsidP="00155AE5">
      <w:pPr>
        <w:pStyle w:val="Prrafodelista"/>
        <w:numPr>
          <w:ilvl w:val="0"/>
          <w:numId w:val="7"/>
        </w:numPr>
        <w:spacing w:after="0"/>
        <w:jc w:val="both"/>
        <w:rPr>
          <w:rFonts w:ascii="Book Antiqua" w:hAnsi="Book Antiqua"/>
          <w:sz w:val="24"/>
          <w:szCs w:val="24"/>
        </w:rPr>
      </w:pPr>
      <w:r w:rsidRPr="007E3846">
        <w:rPr>
          <w:rFonts w:ascii="Book Antiqua" w:hAnsi="Book Antiqua"/>
          <w:b/>
          <w:bCs/>
          <w:sz w:val="24"/>
          <w:szCs w:val="24"/>
        </w:rPr>
        <w:t>Proyectos que finalizaron la fase de ejecución y se encuentran “Pendientes Evaluación de Beneficios”</w:t>
      </w:r>
      <w:r w:rsidRPr="007E3846">
        <w:rPr>
          <w:rFonts w:ascii="Book Antiqua" w:hAnsi="Book Antiqua"/>
          <w:sz w:val="24"/>
          <w:szCs w:val="24"/>
        </w:rPr>
        <w:t>: desde el</w:t>
      </w:r>
      <w:r>
        <w:rPr>
          <w:rFonts w:ascii="Book Antiqua" w:hAnsi="Book Antiqua"/>
          <w:sz w:val="24"/>
          <w:szCs w:val="24"/>
        </w:rPr>
        <w:t xml:space="preserve"> tercer </w:t>
      </w:r>
      <w:r w:rsidRPr="007E3846">
        <w:rPr>
          <w:rFonts w:ascii="Book Antiqua" w:hAnsi="Book Antiqua"/>
          <w:sz w:val="24"/>
          <w:szCs w:val="24"/>
        </w:rPr>
        <w:t xml:space="preserve">seguimiento 2022 a la fecha de corte del </w:t>
      </w:r>
      <w:r>
        <w:rPr>
          <w:rFonts w:ascii="Book Antiqua" w:hAnsi="Book Antiqua"/>
          <w:sz w:val="24"/>
          <w:szCs w:val="24"/>
        </w:rPr>
        <w:t>28</w:t>
      </w:r>
      <w:r w:rsidRPr="007E3846">
        <w:rPr>
          <w:rFonts w:ascii="Book Antiqua" w:hAnsi="Book Antiqua"/>
          <w:sz w:val="24"/>
          <w:szCs w:val="24"/>
        </w:rPr>
        <w:t xml:space="preserve"> de </w:t>
      </w:r>
      <w:r>
        <w:rPr>
          <w:rFonts w:ascii="Book Antiqua" w:hAnsi="Book Antiqua"/>
          <w:sz w:val="24"/>
          <w:szCs w:val="24"/>
        </w:rPr>
        <w:t xml:space="preserve">abril </w:t>
      </w:r>
      <w:r w:rsidRPr="007E3846">
        <w:rPr>
          <w:rFonts w:ascii="Book Antiqua" w:hAnsi="Book Antiqua"/>
          <w:sz w:val="24"/>
          <w:szCs w:val="24"/>
        </w:rPr>
        <w:t>pasado, los siguientes proyectos han iniciado su fase de cierre:</w:t>
      </w:r>
    </w:p>
    <w:p w14:paraId="08ACB036" w14:textId="77777777" w:rsidR="00F71780" w:rsidRDefault="00F71780" w:rsidP="00F71780">
      <w:pPr>
        <w:spacing w:after="0"/>
        <w:jc w:val="both"/>
        <w:rPr>
          <w:rFonts w:ascii="Book Antiqua" w:hAnsi="Book Antiqua"/>
          <w:sz w:val="24"/>
          <w:szCs w:val="24"/>
        </w:rPr>
      </w:pPr>
    </w:p>
    <w:p w14:paraId="0C87A258" w14:textId="77777777" w:rsidR="002D0024" w:rsidRDefault="002D0024" w:rsidP="00F71780">
      <w:pPr>
        <w:spacing w:after="0"/>
        <w:jc w:val="both"/>
        <w:rPr>
          <w:rFonts w:ascii="Book Antiqua" w:hAnsi="Book Antiqua"/>
          <w:sz w:val="24"/>
          <w:szCs w:val="24"/>
        </w:rPr>
      </w:pPr>
    </w:p>
    <w:p w14:paraId="30A882DD" w14:textId="77777777" w:rsidR="002D0024" w:rsidRDefault="002D0024" w:rsidP="00F71780">
      <w:pPr>
        <w:spacing w:after="0"/>
        <w:jc w:val="both"/>
        <w:rPr>
          <w:rFonts w:ascii="Book Antiqua" w:hAnsi="Book Antiqua"/>
          <w:sz w:val="24"/>
          <w:szCs w:val="24"/>
        </w:rPr>
      </w:pPr>
    </w:p>
    <w:p w14:paraId="682783EF" w14:textId="77777777" w:rsidR="002D0024" w:rsidRDefault="002D0024" w:rsidP="00F71780">
      <w:pPr>
        <w:spacing w:after="0"/>
        <w:jc w:val="both"/>
        <w:rPr>
          <w:rFonts w:ascii="Book Antiqua" w:hAnsi="Book Antiqua"/>
          <w:sz w:val="24"/>
          <w:szCs w:val="24"/>
        </w:rPr>
      </w:pPr>
    </w:p>
    <w:p w14:paraId="65EC5B7F" w14:textId="77777777" w:rsidR="002D0024" w:rsidRDefault="002D0024" w:rsidP="00F71780">
      <w:pPr>
        <w:spacing w:after="0"/>
        <w:jc w:val="both"/>
        <w:rPr>
          <w:rFonts w:ascii="Book Antiqua" w:hAnsi="Book Antiqua"/>
          <w:sz w:val="24"/>
          <w:szCs w:val="24"/>
        </w:rPr>
      </w:pPr>
    </w:p>
    <w:p w14:paraId="63F0BA74" w14:textId="77777777" w:rsidR="00F71780" w:rsidRPr="007E3846" w:rsidRDefault="00F71780" w:rsidP="00F71780">
      <w:pPr>
        <w:spacing w:after="0"/>
        <w:jc w:val="both"/>
        <w:rPr>
          <w:rFonts w:ascii="Book Antiqua" w:hAnsi="Book Antiqua"/>
          <w:sz w:val="24"/>
          <w:szCs w:val="24"/>
        </w:rPr>
      </w:pPr>
    </w:p>
    <w:p w14:paraId="252DEA7E" w14:textId="121A3E94" w:rsidR="00F71780" w:rsidRPr="00A7495E" w:rsidRDefault="00F71780" w:rsidP="00F71780">
      <w:pPr>
        <w:pStyle w:val="Descripcin"/>
        <w:keepNext/>
        <w:spacing w:after="0"/>
        <w:jc w:val="center"/>
        <w:rPr>
          <w:rFonts w:ascii="Book Antiqua" w:hAnsi="Book Antiqua" w:cs="&amp;quot"/>
          <w:b/>
          <w:i w:val="0"/>
          <w:iCs w:val="0"/>
          <w:color w:val="auto"/>
          <w:sz w:val="24"/>
          <w:szCs w:val="24"/>
        </w:rPr>
      </w:pPr>
      <w:bookmarkStart w:id="67" w:name="_Hlk119922615"/>
      <w:bookmarkStart w:id="68" w:name="_Toc131155939"/>
      <w:r w:rsidRPr="00A7495E">
        <w:rPr>
          <w:rFonts w:ascii="Book Antiqua" w:hAnsi="Book Antiqua" w:cs="&amp;quot"/>
          <w:b/>
          <w:i w:val="0"/>
          <w:iCs w:val="0"/>
          <w:color w:val="auto"/>
          <w:sz w:val="24"/>
          <w:szCs w:val="24"/>
        </w:rPr>
        <w:lastRenderedPageBreak/>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844144">
        <w:rPr>
          <w:rFonts w:ascii="Book Antiqua" w:hAnsi="Book Antiqua" w:cs="&amp;quot"/>
          <w:b/>
          <w:i w:val="0"/>
          <w:iCs w:val="0"/>
          <w:noProof/>
          <w:color w:val="auto"/>
          <w:sz w:val="24"/>
          <w:szCs w:val="24"/>
        </w:rPr>
        <w:t>17</w:t>
      </w:r>
      <w:r w:rsidRPr="00A7495E">
        <w:rPr>
          <w:rFonts w:ascii="Book Antiqua" w:hAnsi="Book Antiqua" w:cs="&amp;quot"/>
          <w:b/>
          <w:i w:val="0"/>
          <w:iCs w:val="0"/>
          <w:color w:val="auto"/>
          <w:sz w:val="24"/>
          <w:szCs w:val="24"/>
        </w:rPr>
        <w:fldChar w:fldCharType="end"/>
      </w:r>
      <w:bookmarkEnd w:id="67"/>
      <w:r w:rsidRPr="00A7495E">
        <w:rPr>
          <w:rFonts w:ascii="Book Antiqua" w:hAnsi="Book Antiqua" w:cs="&amp;quot"/>
          <w:b/>
          <w:i w:val="0"/>
          <w:iCs w:val="0"/>
          <w:color w:val="auto"/>
          <w:sz w:val="24"/>
          <w:szCs w:val="24"/>
        </w:rPr>
        <w:t>. Proyecto que iniciaron su fase de cierre</w:t>
      </w:r>
      <w:bookmarkEnd w:id="68"/>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3974"/>
        <w:gridCol w:w="3685"/>
      </w:tblGrid>
      <w:tr w:rsidR="00F71780" w:rsidRPr="00EB6A36" w14:paraId="45E6494A" w14:textId="77777777" w:rsidTr="00F400D6">
        <w:trPr>
          <w:trHeight w:val="490"/>
          <w:tblHeader/>
        </w:trPr>
        <w:tc>
          <w:tcPr>
            <w:tcW w:w="1413" w:type="dxa"/>
            <w:shd w:val="clear" w:color="000000" w:fill="44546A"/>
            <w:vAlign w:val="center"/>
            <w:hideMark/>
          </w:tcPr>
          <w:p w14:paraId="6D89A69B" w14:textId="77777777" w:rsidR="00F71780" w:rsidRPr="00EB6A36" w:rsidRDefault="00F71780" w:rsidP="00F400D6">
            <w:pPr>
              <w:spacing w:after="0" w:line="240" w:lineRule="auto"/>
              <w:jc w:val="center"/>
              <w:rPr>
                <w:rFonts w:ascii="Book Antiqua" w:eastAsia="Times New Roman" w:hAnsi="Book Antiqua" w:cs="Calibri"/>
                <w:b/>
                <w:bCs/>
                <w:color w:val="FFFFFF"/>
                <w:sz w:val="18"/>
                <w:szCs w:val="18"/>
                <w:lang w:eastAsia="es-CR"/>
              </w:rPr>
            </w:pPr>
            <w:r w:rsidRPr="00EB6A36">
              <w:rPr>
                <w:rFonts w:ascii="Book Antiqua" w:eastAsia="Times New Roman" w:hAnsi="Book Antiqua" w:cs="Calibri"/>
                <w:b/>
                <w:bCs/>
                <w:color w:val="FFFFFF"/>
                <w:sz w:val="18"/>
                <w:szCs w:val="18"/>
                <w:lang w:eastAsia="es-CR"/>
              </w:rPr>
              <w:t>Código</w:t>
            </w:r>
          </w:p>
        </w:tc>
        <w:tc>
          <w:tcPr>
            <w:tcW w:w="3974" w:type="dxa"/>
            <w:shd w:val="clear" w:color="000000" w:fill="44546A"/>
            <w:vAlign w:val="center"/>
            <w:hideMark/>
          </w:tcPr>
          <w:p w14:paraId="54C98969" w14:textId="77777777" w:rsidR="00F71780" w:rsidRPr="00EB6A36" w:rsidRDefault="00F71780" w:rsidP="00F400D6">
            <w:pPr>
              <w:spacing w:after="0" w:line="240" w:lineRule="auto"/>
              <w:jc w:val="center"/>
              <w:rPr>
                <w:rFonts w:ascii="Book Antiqua" w:eastAsia="Times New Roman" w:hAnsi="Book Antiqua" w:cs="Calibri"/>
                <w:b/>
                <w:bCs/>
                <w:color w:val="FFFFFF"/>
                <w:sz w:val="18"/>
                <w:szCs w:val="18"/>
                <w:lang w:eastAsia="es-CR"/>
              </w:rPr>
            </w:pPr>
            <w:r w:rsidRPr="00EB6A36">
              <w:rPr>
                <w:rFonts w:ascii="Book Antiqua" w:eastAsia="Times New Roman" w:hAnsi="Book Antiqua" w:cs="Calibri"/>
                <w:b/>
                <w:bCs/>
                <w:color w:val="FFFFFF"/>
                <w:sz w:val="18"/>
                <w:szCs w:val="18"/>
                <w:lang w:eastAsia="es-CR"/>
              </w:rPr>
              <w:t>Nombre del proyecto</w:t>
            </w:r>
          </w:p>
        </w:tc>
        <w:tc>
          <w:tcPr>
            <w:tcW w:w="3685" w:type="dxa"/>
            <w:shd w:val="clear" w:color="000000" w:fill="44546A"/>
            <w:vAlign w:val="center"/>
            <w:hideMark/>
          </w:tcPr>
          <w:p w14:paraId="52A959C9" w14:textId="77777777" w:rsidR="00F71780" w:rsidRPr="00EB6A36" w:rsidRDefault="00F71780" w:rsidP="00F400D6">
            <w:pPr>
              <w:spacing w:after="0" w:line="240" w:lineRule="auto"/>
              <w:jc w:val="center"/>
              <w:rPr>
                <w:rFonts w:ascii="Book Antiqua" w:eastAsia="Times New Roman" w:hAnsi="Book Antiqua" w:cs="Calibri"/>
                <w:b/>
                <w:bCs/>
                <w:color w:val="FFFFFF"/>
                <w:sz w:val="18"/>
                <w:szCs w:val="18"/>
                <w:lang w:eastAsia="es-CR"/>
              </w:rPr>
            </w:pPr>
            <w:r w:rsidRPr="00EB6A36">
              <w:rPr>
                <w:rFonts w:ascii="Book Antiqua" w:eastAsia="Times New Roman" w:hAnsi="Book Antiqua" w:cs="Calibri"/>
                <w:b/>
                <w:bCs/>
                <w:color w:val="FFFFFF"/>
                <w:sz w:val="18"/>
                <w:szCs w:val="18"/>
                <w:lang w:eastAsia="es-CR"/>
              </w:rPr>
              <w:t>Oficina Líder</w:t>
            </w:r>
          </w:p>
        </w:tc>
      </w:tr>
      <w:tr w:rsidR="00F71780" w:rsidRPr="001D25FD" w14:paraId="0FDA11CD" w14:textId="77777777" w:rsidTr="00F400D6">
        <w:trPr>
          <w:trHeight w:val="29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66A7C" w14:textId="77777777" w:rsidR="00F71780" w:rsidRPr="001D25FD" w:rsidRDefault="00F71780" w:rsidP="00F400D6">
            <w:pPr>
              <w:spacing w:after="0" w:line="240" w:lineRule="auto"/>
              <w:jc w:val="center"/>
              <w:rPr>
                <w:rFonts w:ascii="Book Antiqua" w:eastAsia="Times New Roman" w:hAnsi="Book Antiqua" w:cs="Calibri"/>
                <w:color w:val="000000"/>
                <w:sz w:val="18"/>
                <w:szCs w:val="18"/>
                <w:lang w:eastAsia="es-CR"/>
              </w:rPr>
            </w:pPr>
            <w:r w:rsidRPr="001D25FD">
              <w:rPr>
                <w:rFonts w:ascii="Book Antiqua" w:eastAsia="Times New Roman" w:hAnsi="Book Antiqua" w:cs="Calibri"/>
                <w:color w:val="000000"/>
                <w:sz w:val="18"/>
                <w:szCs w:val="18"/>
                <w:lang w:eastAsia="es-CR"/>
              </w:rPr>
              <w:t>0117-DE-P06</w:t>
            </w:r>
          </w:p>
        </w:tc>
        <w:tc>
          <w:tcPr>
            <w:tcW w:w="3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FDF47" w14:textId="77777777" w:rsidR="00F71780" w:rsidRPr="001D25FD" w:rsidRDefault="00F71780" w:rsidP="00F400D6">
            <w:pPr>
              <w:spacing w:after="0" w:line="240" w:lineRule="auto"/>
              <w:jc w:val="center"/>
              <w:rPr>
                <w:rFonts w:ascii="Book Antiqua" w:eastAsia="Times New Roman" w:hAnsi="Book Antiqua" w:cs="Calibri"/>
                <w:color w:val="000000"/>
                <w:sz w:val="18"/>
                <w:szCs w:val="18"/>
                <w:lang w:eastAsia="es-CR"/>
              </w:rPr>
            </w:pPr>
            <w:r w:rsidRPr="001D25FD">
              <w:rPr>
                <w:rFonts w:ascii="Book Antiqua" w:eastAsia="Times New Roman" w:hAnsi="Book Antiqua" w:cs="Calibri"/>
                <w:color w:val="000000"/>
                <w:sz w:val="18"/>
                <w:szCs w:val="18"/>
                <w:lang w:eastAsia="es-CR"/>
              </w:rPr>
              <w:t>Construcción Edificio Anexo E</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58487" w14:textId="77777777" w:rsidR="00F71780" w:rsidRPr="001D25FD" w:rsidRDefault="00F71780" w:rsidP="00F400D6">
            <w:pPr>
              <w:spacing w:after="0" w:line="240" w:lineRule="auto"/>
              <w:jc w:val="center"/>
              <w:rPr>
                <w:rFonts w:ascii="Book Antiqua" w:eastAsia="Times New Roman" w:hAnsi="Book Antiqua" w:cs="Calibri"/>
                <w:color w:val="000000"/>
                <w:sz w:val="18"/>
                <w:szCs w:val="18"/>
                <w:lang w:eastAsia="es-CR"/>
              </w:rPr>
            </w:pPr>
            <w:r w:rsidRPr="001D25FD">
              <w:rPr>
                <w:rFonts w:ascii="Book Antiqua" w:eastAsia="Times New Roman" w:hAnsi="Book Antiqua" w:cs="Calibri"/>
                <w:color w:val="000000"/>
                <w:sz w:val="18"/>
                <w:szCs w:val="18"/>
                <w:lang w:eastAsia="es-CR"/>
              </w:rPr>
              <w:t>0117 DIRECCION EJECUTIVA</w:t>
            </w:r>
          </w:p>
        </w:tc>
      </w:tr>
      <w:tr w:rsidR="00F71780" w:rsidRPr="001D25FD" w14:paraId="1CEC9A1E" w14:textId="77777777" w:rsidTr="00F400D6">
        <w:trPr>
          <w:trHeight w:val="29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9A862" w14:textId="77777777" w:rsidR="00F71780" w:rsidRPr="001D25FD" w:rsidRDefault="00F71780" w:rsidP="00F400D6">
            <w:pPr>
              <w:spacing w:after="0" w:line="240" w:lineRule="auto"/>
              <w:jc w:val="center"/>
              <w:rPr>
                <w:rFonts w:ascii="Book Antiqua" w:eastAsia="Times New Roman" w:hAnsi="Book Antiqua" w:cs="Calibri"/>
                <w:color w:val="000000"/>
                <w:sz w:val="18"/>
                <w:szCs w:val="18"/>
                <w:lang w:eastAsia="es-CR"/>
              </w:rPr>
            </w:pPr>
            <w:r w:rsidRPr="001D25FD">
              <w:rPr>
                <w:rFonts w:ascii="Book Antiqua" w:eastAsia="Times New Roman" w:hAnsi="Book Antiqua" w:cs="Calibri"/>
                <w:color w:val="000000"/>
                <w:sz w:val="18"/>
                <w:szCs w:val="18"/>
                <w:lang w:eastAsia="es-CR"/>
              </w:rPr>
              <w:t>0117-DE-P23</w:t>
            </w:r>
          </w:p>
        </w:tc>
        <w:tc>
          <w:tcPr>
            <w:tcW w:w="3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D9950" w14:textId="77777777" w:rsidR="00F71780" w:rsidRPr="001D25FD" w:rsidRDefault="00F71780" w:rsidP="00F400D6">
            <w:pPr>
              <w:spacing w:after="0" w:line="240" w:lineRule="auto"/>
              <w:jc w:val="center"/>
              <w:rPr>
                <w:rFonts w:ascii="Book Antiqua" w:eastAsia="Times New Roman" w:hAnsi="Book Antiqua" w:cs="Calibri"/>
                <w:color w:val="000000"/>
                <w:sz w:val="18"/>
                <w:szCs w:val="18"/>
                <w:lang w:eastAsia="es-CR"/>
              </w:rPr>
            </w:pPr>
            <w:r w:rsidRPr="001D25FD">
              <w:rPr>
                <w:rFonts w:ascii="Book Antiqua" w:eastAsia="Times New Roman" w:hAnsi="Book Antiqua" w:cs="Calibri"/>
                <w:color w:val="000000"/>
                <w:sz w:val="18"/>
                <w:szCs w:val="18"/>
                <w:lang w:eastAsia="es-CR"/>
              </w:rPr>
              <w:t>Sistema de Detección de Incendios en el II Circ Jud San José</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1F4024" w14:textId="77777777" w:rsidR="00F71780" w:rsidRPr="001D25FD" w:rsidRDefault="00F71780" w:rsidP="00F400D6">
            <w:pPr>
              <w:spacing w:after="0" w:line="240" w:lineRule="auto"/>
              <w:jc w:val="center"/>
              <w:rPr>
                <w:rFonts w:ascii="Book Antiqua" w:eastAsia="Times New Roman" w:hAnsi="Book Antiqua" w:cs="Calibri"/>
                <w:color w:val="000000"/>
                <w:sz w:val="18"/>
                <w:szCs w:val="18"/>
                <w:lang w:eastAsia="es-CR"/>
              </w:rPr>
            </w:pPr>
            <w:r w:rsidRPr="001D25FD">
              <w:rPr>
                <w:rFonts w:ascii="Book Antiqua" w:eastAsia="Times New Roman" w:hAnsi="Book Antiqua" w:cs="Calibri"/>
                <w:color w:val="000000"/>
                <w:sz w:val="18"/>
                <w:szCs w:val="18"/>
                <w:lang w:eastAsia="es-CR"/>
              </w:rPr>
              <w:t>0176 OFICINA DE ADMINISTRACION II CIR. JUD. SAN JOSE</w:t>
            </w:r>
          </w:p>
        </w:tc>
      </w:tr>
      <w:tr w:rsidR="00F71780" w:rsidRPr="001D25FD" w14:paraId="2C027CE8" w14:textId="77777777" w:rsidTr="00F400D6">
        <w:trPr>
          <w:trHeight w:val="29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14040" w14:textId="77777777" w:rsidR="00F71780" w:rsidRPr="001D25FD" w:rsidRDefault="00F71780" w:rsidP="00F400D6">
            <w:pPr>
              <w:spacing w:after="0" w:line="240" w:lineRule="auto"/>
              <w:jc w:val="center"/>
              <w:rPr>
                <w:rFonts w:ascii="Book Antiqua" w:eastAsia="Times New Roman" w:hAnsi="Book Antiqua" w:cs="Calibri"/>
                <w:color w:val="000000"/>
                <w:sz w:val="18"/>
                <w:szCs w:val="18"/>
                <w:lang w:eastAsia="es-CR"/>
              </w:rPr>
            </w:pPr>
            <w:r w:rsidRPr="001D25FD">
              <w:rPr>
                <w:rFonts w:ascii="Book Antiqua" w:eastAsia="Times New Roman" w:hAnsi="Book Antiqua" w:cs="Calibri"/>
                <w:color w:val="000000"/>
                <w:sz w:val="18"/>
                <w:szCs w:val="18"/>
                <w:lang w:eastAsia="es-CR"/>
              </w:rPr>
              <w:t>0117-DE-P24</w:t>
            </w:r>
          </w:p>
        </w:tc>
        <w:tc>
          <w:tcPr>
            <w:tcW w:w="3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A9870" w14:textId="77777777" w:rsidR="00F71780" w:rsidRPr="001D25FD" w:rsidRDefault="00F71780" w:rsidP="00F400D6">
            <w:pPr>
              <w:spacing w:after="0" w:line="240" w:lineRule="auto"/>
              <w:jc w:val="center"/>
              <w:rPr>
                <w:rFonts w:ascii="Book Antiqua" w:eastAsia="Times New Roman" w:hAnsi="Book Antiqua" w:cs="Calibri"/>
                <w:color w:val="000000"/>
                <w:sz w:val="18"/>
                <w:szCs w:val="18"/>
                <w:lang w:eastAsia="es-CR"/>
              </w:rPr>
            </w:pPr>
            <w:r w:rsidRPr="001D25FD">
              <w:rPr>
                <w:rFonts w:ascii="Book Antiqua" w:eastAsia="Times New Roman" w:hAnsi="Book Antiqua" w:cs="Calibri"/>
                <w:color w:val="000000"/>
                <w:sz w:val="18"/>
                <w:szCs w:val="18"/>
                <w:lang w:eastAsia="es-CR"/>
              </w:rPr>
              <w:t>Reacondicionamiento Eléctrico Anexo A del II Circ Jud San José</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6DB93" w14:textId="77777777" w:rsidR="00F71780" w:rsidRPr="001D25FD" w:rsidRDefault="00F71780" w:rsidP="00F400D6">
            <w:pPr>
              <w:spacing w:after="0" w:line="240" w:lineRule="auto"/>
              <w:jc w:val="center"/>
              <w:rPr>
                <w:rFonts w:ascii="Book Antiqua" w:eastAsia="Times New Roman" w:hAnsi="Book Antiqua" w:cs="Calibri"/>
                <w:color w:val="000000"/>
                <w:sz w:val="18"/>
                <w:szCs w:val="18"/>
                <w:lang w:eastAsia="es-CR"/>
              </w:rPr>
            </w:pPr>
            <w:r w:rsidRPr="001D25FD">
              <w:rPr>
                <w:rFonts w:ascii="Book Antiqua" w:eastAsia="Times New Roman" w:hAnsi="Book Antiqua" w:cs="Calibri"/>
                <w:color w:val="000000"/>
                <w:sz w:val="18"/>
                <w:szCs w:val="18"/>
                <w:lang w:eastAsia="es-CR"/>
              </w:rPr>
              <w:t>0176 OFICINA DE ADMINISTRACION II CIR. JUD. SAN JOSE</w:t>
            </w:r>
          </w:p>
        </w:tc>
      </w:tr>
      <w:tr w:rsidR="00F71780" w:rsidRPr="001D25FD" w14:paraId="606ED07D" w14:textId="77777777" w:rsidTr="00F400D6">
        <w:trPr>
          <w:trHeight w:val="29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E9656" w14:textId="77777777" w:rsidR="00F71780" w:rsidRPr="001D25FD" w:rsidRDefault="00F71780" w:rsidP="00F400D6">
            <w:pPr>
              <w:spacing w:after="0" w:line="240" w:lineRule="auto"/>
              <w:jc w:val="center"/>
              <w:rPr>
                <w:rFonts w:ascii="Book Antiqua" w:eastAsia="Times New Roman" w:hAnsi="Book Antiqua" w:cs="Calibri"/>
                <w:color w:val="000000"/>
                <w:sz w:val="18"/>
                <w:szCs w:val="18"/>
                <w:lang w:eastAsia="es-CR"/>
              </w:rPr>
            </w:pPr>
            <w:r w:rsidRPr="001D25FD">
              <w:rPr>
                <w:rFonts w:ascii="Book Antiqua" w:eastAsia="Times New Roman" w:hAnsi="Book Antiqua" w:cs="Calibri"/>
                <w:color w:val="000000"/>
                <w:sz w:val="18"/>
                <w:szCs w:val="18"/>
                <w:lang w:eastAsia="es-CR"/>
              </w:rPr>
              <w:t>1167-OIJ-P50</w:t>
            </w:r>
          </w:p>
        </w:tc>
        <w:tc>
          <w:tcPr>
            <w:tcW w:w="3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A5B13" w14:textId="77777777" w:rsidR="00F71780" w:rsidRPr="001D25FD" w:rsidRDefault="00F71780" w:rsidP="00F400D6">
            <w:pPr>
              <w:spacing w:after="0" w:line="240" w:lineRule="auto"/>
              <w:jc w:val="center"/>
              <w:rPr>
                <w:rFonts w:ascii="Book Antiqua" w:eastAsia="Times New Roman" w:hAnsi="Book Antiqua" w:cs="Calibri"/>
                <w:color w:val="000000"/>
                <w:sz w:val="18"/>
                <w:szCs w:val="18"/>
                <w:lang w:eastAsia="es-CR"/>
              </w:rPr>
            </w:pPr>
            <w:r w:rsidRPr="001D25FD">
              <w:rPr>
                <w:rFonts w:ascii="Book Antiqua" w:eastAsia="Times New Roman" w:hAnsi="Book Antiqua" w:cs="Calibri"/>
                <w:color w:val="000000"/>
                <w:sz w:val="18"/>
                <w:szCs w:val="18"/>
                <w:lang w:eastAsia="es-CR"/>
              </w:rPr>
              <w:t>Extensión de los alcances y beneficios de la pericia de Comparación biométrica de voces y fortalecimiento del área pericial</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4CF3B" w14:textId="77777777" w:rsidR="00F71780" w:rsidRPr="001D25FD" w:rsidRDefault="00F71780" w:rsidP="00F400D6">
            <w:pPr>
              <w:spacing w:after="0" w:line="240" w:lineRule="auto"/>
              <w:jc w:val="center"/>
              <w:rPr>
                <w:rFonts w:ascii="Book Antiqua" w:eastAsia="Times New Roman" w:hAnsi="Book Antiqua" w:cs="Calibri"/>
                <w:color w:val="000000"/>
                <w:sz w:val="18"/>
                <w:szCs w:val="18"/>
                <w:lang w:eastAsia="es-CR"/>
              </w:rPr>
            </w:pPr>
            <w:r w:rsidRPr="001D25FD">
              <w:rPr>
                <w:rFonts w:ascii="Book Antiqua" w:eastAsia="Times New Roman" w:hAnsi="Book Antiqua" w:cs="Calibri"/>
                <w:color w:val="000000"/>
                <w:sz w:val="18"/>
                <w:szCs w:val="18"/>
                <w:lang w:eastAsia="es-CR"/>
              </w:rPr>
              <w:t>083 DEPARTAMENTO DE LABORATORIO DE CIENCIAS FORENSES</w:t>
            </w:r>
          </w:p>
        </w:tc>
      </w:tr>
    </w:tbl>
    <w:p w14:paraId="1641453F" w14:textId="77777777" w:rsidR="00F71780" w:rsidRPr="00B00C30" w:rsidRDefault="00F71780" w:rsidP="00F71780">
      <w:pPr>
        <w:spacing w:after="0"/>
        <w:ind w:firstLine="708"/>
        <w:jc w:val="both"/>
        <w:rPr>
          <w:rFonts w:ascii="Book Antiqua" w:hAnsi="Book Antiqua"/>
          <w:sz w:val="24"/>
          <w:szCs w:val="24"/>
        </w:rPr>
      </w:pPr>
      <w:r w:rsidRPr="00B00C30">
        <w:rPr>
          <w:rFonts w:ascii="Book Antiqua" w:hAnsi="Book Antiqua" w:cs="&amp;quot"/>
          <w:b/>
          <w:sz w:val="20"/>
          <w:szCs w:val="20"/>
        </w:rPr>
        <w:t>Fuente:</w:t>
      </w:r>
      <w:r w:rsidRPr="00B00C30">
        <w:rPr>
          <w:rFonts w:ascii="Book Antiqua" w:hAnsi="Book Antiqua" w:cs="&amp;quot"/>
          <w:sz w:val="20"/>
          <w:szCs w:val="20"/>
        </w:rPr>
        <w:t xml:space="preserve"> Elaboración propia con datos del MS Project Online</w:t>
      </w:r>
    </w:p>
    <w:p w14:paraId="610A42B3" w14:textId="77777777" w:rsidR="00F71780" w:rsidRPr="007E3846" w:rsidRDefault="00F71780" w:rsidP="00F71780">
      <w:pPr>
        <w:pStyle w:val="Descripcin"/>
        <w:keepNext/>
        <w:spacing w:after="0"/>
        <w:ind w:left="720"/>
        <w:rPr>
          <w:rFonts w:ascii="Book Antiqua" w:hAnsi="Book Antiqua"/>
          <w:i w:val="0"/>
          <w:iCs w:val="0"/>
          <w:color w:val="auto"/>
          <w:sz w:val="24"/>
          <w:szCs w:val="24"/>
        </w:rPr>
      </w:pPr>
    </w:p>
    <w:p w14:paraId="61ADAB6F" w14:textId="77777777" w:rsidR="00F71780" w:rsidRPr="002137CA" w:rsidRDefault="00F71780" w:rsidP="00155AE5">
      <w:pPr>
        <w:pStyle w:val="Prrafodelista"/>
        <w:numPr>
          <w:ilvl w:val="0"/>
          <w:numId w:val="7"/>
        </w:numPr>
        <w:spacing w:after="0"/>
        <w:jc w:val="both"/>
        <w:rPr>
          <w:rFonts w:ascii="Book Antiqua" w:hAnsi="Book Antiqua"/>
          <w:b/>
          <w:bCs/>
          <w:sz w:val="24"/>
          <w:szCs w:val="24"/>
        </w:rPr>
      </w:pPr>
      <w:r>
        <w:rPr>
          <w:rFonts w:ascii="Book Antiqua" w:hAnsi="Book Antiqua"/>
          <w:b/>
          <w:bCs/>
          <w:sz w:val="24"/>
          <w:szCs w:val="24"/>
        </w:rPr>
        <w:t xml:space="preserve">Proyecto </w:t>
      </w:r>
      <w:r w:rsidRPr="001620F6">
        <w:rPr>
          <w:rFonts w:ascii="Book Antiqua" w:hAnsi="Book Antiqua"/>
          <w:b/>
          <w:bCs/>
          <w:sz w:val="24"/>
          <w:szCs w:val="24"/>
        </w:rPr>
        <w:t xml:space="preserve">que </w:t>
      </w:r>
      <w:r>
        <w:rPr>
          <w:rFonts w:ascii="Book Antiqua" w:hAnsi="Book Antiqua"/>
          <w:b/>
          <w:bCs/>
          <w:sz w:val="24"/>
          <w:szCs w:val="24"/>
        </w:rPr>
        <w:t xml:space="preserve">ingresa </w:t>
      </w:r>
      <w:r w:rsidRPr="001620F6">
        <w:rPr>
          <w:rFonts w:ascii="Book Antiqua" w:hAnsi="Book Antiqua"/>
          <w:b/>
          <w:bCs/>
          <w:sz w:val="24"/>
          <w:szCs w:val="24"/>
        </w:rPr>
        <w:t>al portafolio institucional en el estado: “En Progreso”</w:t>
      </w:r>
      <w:r w:rsidRPr="007E3846">
        <w:rPr>
          <w:rFonts w:ascii="Book Antiqua" w:hAnsi="Book Antiqua"/>
          <w:b/>
          <w:bCs/>
          <w:sz w:val="24"/>
          <w:szCs w:val="24"/>
        </w:rPr>
        <w:t xml:space="preserve">: </w:t>
      </w:r>
      <w:r w:rsidRPr="007E3846">
        <w:rPr>
          <w:rFonts w:ascii="Book Antiqua" w:hAnsi="Book Antiqua"/>
          <w:sz w:val="24"/>
          <w:szCs w:val="24"/>
        </w:rPr>
        <w:t>Durante este periodo se incorpo</w:t>
      </w:r>
      <w:r>
        <w:rPr>
          <w:rFonts w:ascii="Book Antiqua" w:hAnsi="Book Antiqua"/>
          <w:sz w:val="24"/>
          <w:szCs w:val="24"/>
        </w:rPr>
        <w:t>raron los siguientes proyectos</w:t>
      </w:r>
      <w:r w:rsidRPr="007E3846">
        <w:rPr>
          <w:rFonts w:ascii="Book Antiqua" w:hAnsi="Book Antiqua"/>
          <w:sz w:val="24"/>
          <w:szCs w:val="24"/>
        </w:rPr>
        <w:t xml:space="preserve"> </w:t>
      </w:r>
      <w:r>
        <w:rPr>
          <w:rFonts w:ascii="Book Antiqua" w:hAnsi="Book Antiqua"/>
          <w:sz w:val="24"/>
          <w:szCs w:val="24"/>
        </w:rPr>
        <w:t xml:space="preserve">a la fase de </w:t>
      </w:r>
      <w:r w:rsidRPr="007E3846">
        <w:rPr>
          <w:rFonts w:ascii="Book Antiqua" w:hAnsi="Book Antiqua"/>
          <w:sz w:val="24"/>
          <w:szCs w:val="24"/>
        </w:rPr>
        <w:t>ejecución</w:t>
      </w:r>
      <w:r>
        <w:rPr>
          <w:rFonts w:ascii="Book Antiqua" w:hAnsi="Book Antiqua"/>
          <w:sz w:val="24"/>
          <w:szCs w:val="24"/>
        </w:rPr>
        <w:t>, los cuales procedían del estado “Aprobado no iniciado”, “Iniciativa” y “Suspendido”</w:t>
      </w:r>
      <w:r w:rsidRPr="00E15BC1">
        <w:rPr>
          <w:rFonts w:ascii="Book Antiqua" w:hAnsi="Book Antiqua"/>
          <w:sz w:val="24"/>
          <w:szCs w:val="24"/>
        </w:rPr>
        <w:t>; a continuación, se muestra el detalle:</w:t>
      </w:r>
    </w:p>
    <w:p w14:paraId="5E96BC6E" w14:textId="77777777" w:rsidR="00F71780" w:rsidRPr="00E15BC1" w:rsidRDefault="00F71780" w:rsidP="00F71780">
      <w:pPr>
        <w:pStyle w:val="Prrafodelista"/>
        <w:spacing w:after="0"/>
        <w:jc w:val="both"/>
        <w:rPr>
          <w:rFonts w:ascii="Book Antiqua" w:hAnsi="Book Antiqua"/>
          <w:b/>
          <w:bCs/>
          <w:sz w:val="24"/>
          <w:szCs w:val="24"/>
        </w:rPr>
      </w:pPr>
    </w:p>
    <w:p w14:paraId="57C7B282" w14:textId="15358434" w:rsidR="00F71780" w:rsidRPr="00A7495E" w:rsidRDefault="00F71780" w:rsidP="00F71780">
      <w:pPr>
        <w:pStyle w:val="Descripcin"/>
        <w:keepNext/>
        <w:spacing w:after="0"/>
        <w:jc w:val="center"/>
        <w:rPr>
          <w:rFonts w:ascii="Book Antiqua" w:hAnsi="Book Antiqua" w:cs="&amp;quot"/>
          <w:b/>
          <w:i w:val="0"/>
          <w:iCs w:val="0"/>
          <w:color w:val="auto"/>
          <w:sz w:val="24"/>
          <w:szCs w:val="24"/>
        </w:rPr>
      </w:pPr>
      <w:bookmarkStart w:id="69" w:name="_Toc131155940"/>
      <w:r w:rsidRPr="00A7495E">
        <w:rPr>
          <w:rFonts w:ascii="Book Antiqua" w:hAnsi="Book Antiqua" w:cs="&amp;quot"/>
          <w:b/>
          <w:i w:val="0"/>
          <w:iCs w:val="0"/>
          <w:color w:val="auto"/>
          <w:sz w:val="24"/>
          <w:szCs w:val="24"/>
        </w:rPr>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844144">
        <w:rPr>
          <w:rFonts w:ascii="Book Antiqua" w:hAnsi="Book Antiqua" w:cs="&amp;quot"/>
          <w:b/>
          <w:i w:val="0"/>
          <w:iCs w:val="0"/>
          <w:noProof/>
          <w:color w:val="auto"/>
          <w:sz w:val="24"/>
          <w:szCs w:val="24"/>
        </w:rPr>
        <w:t>18</w:t>
      </w:r>
      <w:r w:rsidRPr="00A7495E">
        <w:rPr>
          <w:rFonts w:ascii="Book Antiqua" w:hAnsi="Book Antiqua" w:cs="&amp;quot"/>
          <w:b/>
          <w:i w:val="0"/>
          <w:iCs w:val="0"/>
          <w:color w:val="auto"/>
          <w:sz w:val="24"/>
          <w:szCs w:val="24"/>
        </w:rPr>
        <w:fldChar w:fldCharType="end"/>
      </w:r>
      <w:r w:rsidRPr="00A7495E">
        <w:rPr>
          <w:rFonts w:ascii="Book Antiqua" w:hAnsi="Book Antiqua" w:cs="&amp;quot"/>
          <w:b/>
          <w:i w:val="0"/>
          <w:iCs w:val="0"/>
          <w:color w:val="auto"/>
          <w:sz w:val="24"/>
          <w:szCs w:val="24"/>
        </w:rPr>
        <w:t>. Detalle de proyecto que cambi</w:t>
      </w:r>
      <w:r>
        <w:rPr>
          <w:rFonts w:ascii="Book Antiqua" w:hAnsi="Book Antiqua" w:cs="&amp;quot"/>
          <w:b/>
          <w:i w:val="0"/>
          <w:iCs w:val="0"/>
          <w:color w:val="auto"/>
          <w:sz w:val="24"/>
          <w:szCs w:val="24"/>
        </w:rPr>
        <w:t>ó</w:t>
      </w:r>
      <w:r w:rsidRPr="00A7495E">
        <w:rPr>
          <w:rFonts w:ascii="Book Antiqua" w:hAnsi="Book Antiqua" w:cs="&amp;quot"/>
          <w:b/>
          <w:i w:val="0"/>
          <w:iCs w:val="0"/>
          <w:color w:val="auto"/>
          <w:sz w:val="24"/>
          <w:szCs w:val="24"/>
        </w:rPr>
        <w:t xml:space="preserve"> al estado “En progreso”</w:t>
      </w:r>
      <w:bookmarkEnd w:id="69"/>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9"/>
        <w:gridCol w:w="4253"/>
        <w:gridCol w:w="4111"/>
      </w:tblGrid>
      <w:tr w:rsidR="00F71780" w:rsidRPr="00711AB8" w14:paraId="3AA47D6C" w14:textId="77777777" w:rsidTr="00711AB8">
        <w:trPr>
          <w:trHeight w:val="490"/>
          <w:tblHeader/>
        </w:trPr>
        <w:tc>
          <w:tcPr>
            <w:tcW w:w="1559" w:type="dxa"/>
            <w:shd w:val="clear" w:color="000000" w:fill="44546A"/>
            <w:vAlign w:val="center"/>
            <w:hideMark/>
          </w:tcPr>
          <w:p w14:paraId="23180A4F" w14:textId="77777777" w:rsidR="00F71780" w:rsidRPr="00711AB8" w:rsidRDefault="00F71780" w:rsidP="00F400D6">
            <w:pPr>
              <w:spacing w:after="0" w:line="240" w:lineRule="auto"/>
              <w:jc w:val="center"/>
              <w:rPr>
                <w:rFonts w:ascii="Book Antiqua" w:eastAsia="Times New Roman" w:hAnsi="Book Antiqua" w:cs="Calibri"/>
                <w:b/>
                <w:bCs/>
                <w:color w:val="FFFFFF"/>
                <w:sz w:val="16"/>
                <w:szCs w:val="16"/>
                <w:lang w:eastAsia="es-CR"/>
              </w:rPr>
            </w:pPr>
            <w:r w:rsidRPr="00711AB8">
              <w:rPr>
                <w:rFonts w:ascii="Book Antiqua" w:eastAsia="Times New Roman" w:hAnsi="Book Antiqua" w:cs="Calibri"/>
                <w:b/>
                <w:bCs/>
                <w:color w:val="FFFFFF"/>
                <w:sz w:val="16"/>
                <w:szCs w:val="16"/>
                <w:lang w:eastAsia="es-CR"/>
              </w:rPr>
              <w:t>Código</w:t>
            </w:r>
          </w:p>
        </w:tc>
        <w:tc>
          <w:tcPr>
            <w:tcW w:w="4253" w:type="dxa"/>
            <w:shd w:val="clear" w:color="000000" w:fill="44546A"/>
            <w:vAlign w:val="center"/>
            <w:hideMark/>
          </w:tcPr>
          <w:p w14:paraId="6C502D72" w14:textId="77777777" w:rsidR="00F71780" w:rsidRPr="00711AB8" w:rsidRDefault="00F71780" w:rsidP="00F400D6">
            <w:pPr>
              <w:spacing w:after="0" w:line="240" w:lineRule="auto"/>
              <w:jc w:val="center"/>
              <w:rPr>
                <w:rFonts w:ascii="Book Antiqua" w:eastAsia="Times New Roman" w:hAnsi="Book Antiqua" w:cs="Calibri"/>
                <w:b/>
                <w:bCs/>
                <w:color w:val="FFFFFF"/>
                <w:sz w:val="16"/>
                <w:szCs w:val="16"/>
                <w:lang w:eastAsia="es-CR"/>
              </w:rPr>
            </w:pPr>
            <w:r w:rsidRPr="00711AB8">
              <w:rPr>
                <w:rFonts w:ascii="Book Antiqua" w:eastAsia="Times New Roman" w:hAnsi="Book Antiqua" w:cs="Calibri"/>
                <w:b/>
                <w:bCs/>
                <w:color w:val="FFFFFF"/>
                <w:sz w:val="16"/>
                <w:szCs w:val="16"/>
                <w:lang w:eastAsia="es-CR"/>
              </w:rPr>
              <w:t>Nombre del proyecto</w:t>
            </w:r>
          </w:p>
        </w:tc>
        <w:tc>
          <w:tcPr>
            <w:tcW w:w="4111" w:type="dxa"/>
            <w:shd w:val="clear" w:color="000000" w:fill="44546A"/>
            <w:vAlign w:val="center"/>
            <w:hideMark/>
          </w:tcPr>
          <w:p w14:paraId="5AEC69D2" w14:textId="77777777" w:rsidR="00F71780" w:rsidRPr="00711AB8" w:rsidRDefault="00F71780" w:rsidP="00F400D6">
            <w:pPr>
              <w:spacing w:after="0" w:line="240" w:lineRule="auto"/>
              <w:jc w:val="center"/>
              <w:rPr>
                <w:rFonts w:ascii="Book Antiqua" w:eastAsia="Times New Roman" w:hAnsi="Book Antiqua" w:cs="Calibri"/>
                <w:b/>
                <w:bCs/>
                <w:color w:val="FFFFFF"/>
                <w:sz w:val="16"/>
                <w:szCs w:val="16"/>
                <w:lang w:eastAsia="es-CR"/>
              </w:rPr>
            </w:pPr>
            <w:r w:rsidRPr="00711AB8">
              <w:rPr>
                <w:rFonts w:ascii="Book Antiqua" w:eastAsia="Times New Roman" w:hAnsi="Book Antiqua" w:cs="Calibri"/>
                <w:b/>
                <w:bCs/>
                <w:color w:val="FFFFFF"/>
                <w:sz w:val="16"/>
                <w:szCs w:val="16"/>
                <w:lang w:eastAsia="es-CR"/>
              </w:rPr>
              <w:t>Oficina Líder</w:t>
            </w:r>
          </w:p>
        </w:tc>
      </w:tr>
      <w:tr w:rsidR="00F71780" w:rsidRPr="00711AB8" w14:paraId="65EE82A3" w14:textId="77777777" w:rsidTr="00711AB8">
        <w:trPr>
          <w:trHeight w:val="300"/>
        </w:trPr>
        <w:tc>
          <w:tcPr>
            <w:tcW w:w="1559" w:type="dxa"/>
            <w:shd w:val="clear" w:color="auto" w:fill="auto"/>
            <w:noWrap/>
            <w:vAlign w:val="center"/>
            <w:hideMark/>
          </w:tcPr>
          <w:p w14:paraId="536C73CC" w14:textId="77777777" w:rsidR="00F71780" w:rsidRPr="00711AB8" w:rsidRDefault="00F71780" w:rsidP="00F400D6">
            <w:pPr>
              <w:spacing w:after="0" w:line="240" w:lineRule="auto"/>
              <w:jc w:val="center"/>
              <w:rPr>
                <w:rFonts w:ascii="Book Antiqua" w:eastAsia="Times New Roman" w:hAnsi="Book Antiqua" w:cs="Calibri"/>
                <w:color w:val="000000"/>
                <w:sz w:val="16"/>
                <w:szCs w:val="16"/>
                <w:lang w:eastAsia="es-CR"/>
              </w:rPr>
            </w:pPr>
            <w:r w:rsidRPr="00711AB8">
              <w:rPr>
                <w:rFonts w:ascii="Book Antiqua" w:eastAsia="Times New Roman" w:hAnsi="Book Antiqua" w:cs="Calibri"/>
                <w:color w:val="000000"/>
                <w:sz w:val="16"/>
                <w:szCs w:val="16"/>
                <w:lang w:eastAsia="es-CR"/>
              </w:rPr>
              <w:t>0034-CIJ-P02</w:t>
            </w:r>
          </w:p>
        </w:tc>
        <w:tc>
          <w:tcPr>
            <w:tcW w:w="4253" w:type="dxa"/>
            <w:shd w:val="clear" w:color="auto" w:fill="auto"/>
            <w:noWrap/>
            <w:vAlign w:val="center"/>
            <w:hideMark/>
          </w:tcPr>
          <w:p w14:paraId="02A3319B" w14:textId="77777777" w:rsidR="00F71780" w:rsidRPr="00711AB8" w:rsidRDefault="00F71780" w:rsidP="00F400D6">
            <w:pPr>
              <w:spacing w:after="0" w:line="240" w:lineRule="auto"/>
              <w:jc w:val="center"/>
              <w:rPr>
                <w:rFonts w:ascii="Book Antiqua" w:eastAsia="Times New Roman" w:hAnsi="Book Antiqua" w:cs="Calibri"/>
                <w:color w:val="000000"/>
                <w:sz w:val="16"/>
                <w:szCs w:val="16"/>
                <w:lang w:eastAsia="es-CR"/>
              </w:rPr>
            </w:pPr>
            <w:r w:rsidRPr="00711AB8">
              <w:rPr>
                <w:rFonts w:ascii="Book Antiqua" w:eastAsia="Times New Roman" w:hAnsi="Book Antiqua" w:cs="Calibri"/>
                <w:color w:val="000000"/>
                <w:sz w:val="16"/>
                <w:szCs w:val="16"/>
                <w:lang w:eastAsia="es-CR"/>
              </w:rPr>
              <w:t>Herramienta para la despersonalización de documentos judiciales</w:t>
            </w:r>
          </w:p>
        </w:tc>
        <w:tc>
          <w:tcPr>
            <w:tcW w:w="4111" w:type="dxa"/>
            <w:shd w:val="clear" w:color="auto" w:fill="auto"/>
            <w:noWrap/>
            <w:vAlign w:val="center"/>
            <w:hideMark/>
          </w:tcPr>
          <w:p w14:paraId="49B2A847" w14:textId="77777777" w:rsidR="00F71780" w:rsidRPr="00711AB8" w:rsidRDefault="00F71780" w:rsidP="00F400D6">
            <w:pPr>
              <w:spacing w:after="0" w:line="240" w:lineRule="auto"/>
              <w:jc w:val="center"/>
              <w:rPr>
                <w:rFonts w:ascii="Book Antiqua" w:eastAsia="Times New Roman" w:hAnsi="Book Antiqua" w:cs="Calibri"/>
                <w:color w:val="000000"/>
                <w:sz w:val="16"/>
                <w:szCs w:val="16"/>
                <w:lang w:eastAsia="es-CR"/>
              </w:rPr>
            </w:pPr>
            <w:r w:rsidRPr="00711AB8">
              <w:rPr>
                <w:rFonts w:ascii="Book Antiqua" w:eastAsia="Times New Roman" w:hAnsi="Book Antiqua" w:cs="Calibri"/>
                <w:color w:val="000000"/>
                <w:sz w:val="16"/>
                <w:szCs w:val="16"/>
                <w:lang w:eastAsia="es-CR"/>
              </w:rPr>
              <w:t>CENTRO ELECTRONICO DE INFORMACION JURISPRUDENCIAL</w:t>
            </w:r>
          </w:p>
        </w:tc>
      </w:tr>
      <w:tr w:rsidR="00F71780" w:rsidRPr="00711AB8" w14:paraId="70761D71" w14:textId="77777777" w:rsidTr="00711AB8">
        <w:trPr>
          <w:trHeight w:val="300"/>
        </w:trPr>
        <w:tc>
          <w:tcPr>
            <w:tcW w:w="1559" w:type="dxa"/>
            <w:shd w:val="clear" w:color="auto" w:fill="auto"/>
            <w:noWrap/>
            <w:vAlign w:val="center"/>
            <w:hideMark/>
          </w:tcPr>
          <w:p w14:paraId="0A1685B4" w14:textId="77777777" w:rsidR="00F71780" w:rsidRPr="00711AB8" w:rsidRDefault="00F71780" w:rsidP="00F400D6">
            <w:pPr>
              <w:spacing w:after="0" w:line="240" w:lineRule="auto"/>
              <w:jc w:val="center"/>
              <w:rPr>
                <w:rFonts w:ascii="Book Antiqua" w:eastAsia="Times New Roman" w:hAnsi="Book Antiqua" w:cs="Calibri"/>
                <w:color w:val="000000"/>
                <w:sz w:val="16"/>
                <w:szCs w:val="16"/>
                <w:lang w:eastAsia="es-CR"/>
              </w:rPr>
            </w:pPr>
            <w:r w:rsidRPr="00711AB8">
              <w:rPr>
                <w:rFonts w:ascii="Book Antiqua" w:eastAsia="Times New Roman" w:hAnsi="Book Antiqua" w:cs="Calibri"/>
                <w:color w:val="000000"/>
                <w:sz w:val="16"/>
                <w:szCs w:val="16"/>
                <w:lang w:eastAsia="es-CR"/>
              </w:rPr>
              <w:t>0110-PLA-P25</w:t>
            </w:r>
          </w:p>
        </w:tc>
        <w:tc>
          <w:tcPr>
            <w:tcW w:w="4253" w:type="dxa"/>
            <w:shd w:val="clear" w:color="auto" w:fill="auto"/>
            <w:noWrap/>
            <w:vAlign w:val="center"/>
            <w:hideMark/>
          </w:tcPr>
          <w:p w14:paraId="1D13FFBE" w14:textId="77777777" w:rsidR="00F71780" w:rsidRPr="00711AB8" w:rsidRDefault="00F71780" w:rsidP="00F400D6">
            <w:pPr>
              <w:spacing w:after="0" w:line="240" w:lineRule="auto"/>
              <w:jc w:val="center"/>
              <w:rPr>
                <w:rFonts w:ascii="Book Antiqua" w:eastAsia="Times New Roman" w:hAnsi="Book Antiqua" w:cs="Calibri"/>
                <w:color w:val="000000"/>
                <w:sz w:val="16"/>
                <w:szCs w:val="16"/>
                <w:lang w:eastAsia="es-CR"/>
              </w:rPr>
            </w:pPr>
            <w:r w:rsidRPr="00711AB8">
              <w:rPr>
                <w:rFonts w:ascii="Book Antiqua" w:eastAsia="Times New Roman" w:hAnsi="Book Antiqua" w:cs="Calibri"/>
                <w:color w:val="000000"/>
                <w:sz w:val="16"/>
                <w:szCs w:val="16"/>
                <w:lang w:eastAsia="es-CR"/>
              </w:rPr>
              <w:t>Implementación de oficina Modelo en materia de Tránsito primera instancia</w:t>
            </w:r>
          </w:p>
        </w:tc>
        <w:tc>
          <w:tcPr>
            <w:tcW w:w="4111" w:type="dxa"/>
            <w:shd w:val="clear" w:color="auto" w:fill="auto"/>
            <w:noWrap/>
            <w:vAlign w:val="center"/>
            <w:hideMark/>
          </w:tcPr>
          <w:p w14:paraId="2346DC17" w14:textId="77777777" w:rsidR="00F71780" w:rsidRPr="00711AB8" w:rsidRDefault="00F71780" w:rsidP="00F400D6">
            <w:pPr>
              <w:spacing w:after="0" w:line="240" w:lineRule="auto"/>
              <w:jc w:val="center"/>
              <w:rPr>
                <w:rFonts w:ascii="Book Antiqua" w:eastAsia="Times New Roman" w:hAnsi="Book Antiqua" w:cs="Calibri"/>
                <w:color w:val="000000"/>
                <w:sz w:val="16"/>
                <w:szCs w:val="16"/>
                <w:lang w:eastAsia="es-CR"/>
              </w:rPr>
            </w:pPr>
            <w:r w:rsidRPr="00711AB8">
              <w:rPr>
                <w:rFonts w:ascii="Book Antiqua" w:eastAsia="Times New Roman" w:hAnsi="Book Antiqua" w:cs="Calibri"/>
                <w:color w:val="000000"/>
                <w:sz w:val="16"/>
                <w:szCs w:val="16"/>
                <w:lang w:eastAsia="es-CR"/>
              </w:rPr>
              <w:t>SUBPROCESO MODERNIZACION INSTITUCIONAL</w:t>
            </w:r>
          </w:p>
        </w:tc>
      </w:tr>
      <w:tr w:rsidR="00F71780" w:rsidRPr="00711AB8" w14:paraId="00B1408D" w14:textId="77777777" w:rsidTr="00711AB8">
        <w:trPr>
          <w:trHeight w:val="300"/>
        </w:trPr>
        <w:tc>
          <w:tcPr>
            <w:tcW w:w="1559" w:type="dxa"/>
            <w:shd w:val="clear" w:color="auto" w:fill="auto"/>
            <w:noWrap/>
            <w:vAlign w:val="center"/>
            <w:hideMark/>
          </w:tcPr>
          <w:p w14:paraId="7E547600" w14:textId="77777777" w:rsidR="00F71780" w:rsidRPr="00711AB8" w:rsidRDefault="00F71780" w:rsidP="00F400D6">
            <w:pPr>
              <w:spacing w:after="0" w:line="240" w:lineRule="auto"/>
              <w:jc w:val="center"/>
              <w:rPr>
                <w:rFonts w:ascii="Book Antiqua" w:eastAsia="Times New Roman" w:hAnsi="Book Antiqua" w:cs="Calibri"/>
                <w:color w:val="000000"/>
                <w:sz w:val="16"/>
                <w:szCs w:val="16"/>
                <w:lang w:eastAsia="es-CR"/>
              </w:rPr>
            </w:pPr>
            <w:r w:rsidRPr="00711AB8">
              <w:rPr>
                <w:rFonts w:ascii="Book Antiqua" w:eastAsia="Times New Roman" w:hAnsi="Book Antiqua" w:cs="Calibri"/>
                <w:color w:val="000000"/>
                <w:sz w:val="16"/>
                <w:szCs w:val="16"/>
                <w:lang w:eastAsia="es-CR"/>
              </w:rPr>
              <w:t>0110-PLA-P32</w:t>
            </w:r>
          </w:p>
        </w:tc>
        <w:tc>
          <w:tcPr>
            <w:tcW w:w="4253" w:type="dxa"/>
            <w:shd w:val="clear" w:color="auto" w:fill="auto"/>
            <w:noWrap/>
            <w:vAlign w:val="center"/>
            <w:hideMark/>
          </w:tcPr>
          <w:p w14:paraId="093FEB3E" w14:textId="77777777" w:rsidR="00F71780" w:rsidRPr="00711AB8" w:rsidRDefault="00F71780" w:rsidP="00F400D6">
            <w:pPr>
              <w:spacing w:after="0" w:line="240" w:lineRule="auto"/>
              <w:jc w:val="center"/>
              <w:rPr>
                <w:rFonts w:ascii="Book Antiqua" w:eastAsia="Times New Roman" w:hAnsi="Book Antiqua" w:cs="Calibri"/>
                <w:color w:val="000000"/>
                <w:sz w:val="16"/>
                <w:szCs w:val="16"/>
                <w:lang w:eastAsia="es-CR"/>
              </w:rPr>
            </w:pPr>
            <w:r w:rsidRPr="00711AB8">
              <w:rPr>
                <w:rFonts w:ascii="Book Antiqua" w:eastAsia="Times New Roman" w:hAnsi="Book Antiqua" w:cs="Calibri"/>
                <w:color w:val="000000"/>
                <w:sz w:val="16"/>
                <w:szCs w:val="16"/>
                <w:lang w:eastAsia="es-CR"/>
              </w:rPr>
              <w:t>Implementación de oficina Modelo en el Juzgado y Tribunal Notarial</w:t>
            </w:r>
          </w:p>
        </w:tc>
        <w:tc>
          <w:tcPr>
            <w:tcW w:w="4111" w:type="dxa"/>
            <w:shd w:val="clear" w:color="auto" w:fill="auto"/>
            <w:noWrap/>
            <w:vAlign w:val="center"/>
            <w:hideMark/>
          </w:tcPr>
          <w:p w14:paraId="74306C22" w14:textId="77777777" w:rsidR="00F71780" w:rsidRPr="00711AB8" w:rsidRDefault="00F71780" w:rsidP="00F400D6">
            <w:pPr>
              <w:spacing w:after="0" w:line="240" w:lineRule="auto"/>
              <w:jc w:val="center"/>
              <w:rPr>
                <w:rFonts w:ascii="Book Antiqua" w:eastAsia="Times New Roman" w:hAnsi="Book Antiqua" w:cs="Calibri"/>
                <w:color w:val="000000"/>
                <w:sz w:val="16"/>
                <w:szCs w:val="16"/>
                <w:lang w:eastAsia="es-CR"/>
              </w:rPr>
            </w:pPr>
            <w:r w:rsidRPr="00711AB8">
              <w:rPr>
                <w:rFonts w:ascii="Book Antiqua" w:eastAsia="Times New Roman" w:hAnsi="Book Antiqua" w:cs="Calibri"/>
                <w:color w:val="000000"/>
                <w:sz w:val="16"/>
                <w:szCs w:val="16"/>
                <w:lang w:eastAsia="es-CR"/>
              </w:rPr>
              <w:t xml:space="preserve"> SUBPROCESO MODERNIZACION INSTITUCIONAL</w:t>
            </w:r>
          </w:p>
        </w:tc>
      </w:tr>
      <w:tr w:rsidR="00F71780" w:rsidRPr="00711AB8" w14:paraId="4AD81541" w14:textId="77777777" w:rsidTr="00711AB8">
        <w:trPr>
          <w:trHeight w:val="300"/>
        </w:trPr>
        <w:tc>
          <w:tcPr>
            <w:tcW w:w="1559" w:type="dxa"/>
            <w:shd w:val="clear" w:color="auto" w:fill="auto"/>
            <w:noWrap/>
            <w:vAlign w:val="center"/>
            <w:hideMark/>
          </w:tcPr>
          <w:p w14:paraId="2B061FCA" w14:textId="77777777" w:rsidR="00F71780" w:rsidRPr="00711AB8" w:rsidRDefault="00F71780" w:rsidP="00F400D6">
            <w:pPr>
              <w:spacing w:after="0" w:line="240" w:lineRule="auto"/>
              <w:jc w:val="center"/>
              <w:rPr>
                <w:rFonts w:ascii="Book Antiqua" w:eastAsia="Times New Roman" w:hAnsi="Book Antiqua" w:cs="Calibri"/>
                <w:color w:val="000000"/>
                <w:sz w:val="16"/>
                <w:szCs w:val="16"/>
                <w:lang w:eastAsia="es-CR"/>
              </w:rPr>
            </w:pPr>
            <w:r w:rsidRPr="00711AB8">
              <w:rPr>
                <w:rFonts w:ascii="Book Antiqua" w:eastAsia="Times New Roman" w:hAnsi="Book Antiqua" w:cs="Calibri"/>
                <w:color w:val="000000"/>
                <w:sz w:val="16"/>
                <w:szCs w:val="16"/>
                <w:lang w:eastAsia="es-CR"/>
              </w:rPr>
              <w:t>0653-DP-P16</w:t>
            </w:r>
          </w:p>
        </w:tc>
        <w:tc>
          <w:tcPr>
            <w:tcW w:w="4253" w:type="dxa"/>
            <w:shd w:val="clear" w:color="auto" w:fill="auto"/>
            <w:noWrap/>
            <w:vAlign w:val="center"/>
            <w:hideMark/>
          </w:tcPr>
          <w:p w14:paraId="24FE5590" w14:textId="77777777" w:rsidR="00F71780" w:rsidRPr="00711AB8" w:rsidRDefault="00F71780" w:rsidP="00F400D6">
            <w:pPr>
              <w:spacing w:after="0" w:line="240" w:lineRule="auto"/>
              <w:jc w:val="center"/>
              <w:rPr>
                <w:rFonts w:ascii="Book Antiqua" w:eastAsia="Times New Roman" w:hAnsi="Book Antiqua" w:cs="Calibri"/>
                <w:color w:val="000000"/>
                <w:sz w:val="16"/>
                <w:szCs w:val="16"/>
                <w:lang w:eastAsia="es-CR"/>
              </w:rPr>
            </w:pPr>
            <w:r w:rsidRPr="00711AB8">
              <w:rPr>
                <w:rFonts w:ascii="Book Antiqua" w:eastAsia="Times New Roman" w:hAnsi="Book Antiqua" w:cs="Calibri"/>
                <w:color w:val="000000"/>
                <w:sz w:val="16"/>
                <w:szCs w:val="16"/>
                <w:lang w:eastAsia="es-CR"/>
              </w:rPr>
              <w:t>Mejorar desafíos en el ámbito jurisdiccional establecidos en el cuarto Informe del Estado de la Justicia</w:t>
            </w:r>
          </w:p>
        </w:tc>
        <w:tc>
          <w:tcPr>
            <w:tcW w:w="4111" w:type="dxa"/>
            <w:shd w:val="clear" w:color="auto" w:fill="auto"/>
            <w:noWrap/>
            <w:vAlign w:val="center"/>
            <w:hideMark/>
          </w:tcPr>
          <w:p w14:paraId="4C2537BC" w14:textId="77777777" w:rsidR="00F71780" w:rsidRPr="00711AB8" w:rsidRDefault="00F71780" w:rsidP="00F400D6">
            <w:pPr>
              <w:spacing w:after="0" w:line="240" w:lineRule="auto"/>
              <w:jc w:val="center"/>
              <w:rPr>
                <w:rFonts w:ascii="Book Antiqua" w:eastAsia="Times New Roman" w:hAnsi="Book Antiqua" w:cs="Calibri"/>
                <w:color w:val="000000"/>
                <w:sz w:val="16"/>
                <w:szCs w:val="16"/>
                <w:lang w:eastAsia="es-CR"/>
              </w:rPr>
            </w:pPr>
            <w:r w:rsidRPr="00711AB8">
              <w:rPr>
                <w:rFonts w:ascii="Book Antiqua" w:eastAsia="Times New Roman" w:hAnsi="Book Antiqua" w:cs="Calibri"/>
                <w:color w:val="000000"/>
                <w:sz w:val="16"/>
                <w:szCs w:val="16"/>
                <w:lang w:eastAsia="es-CR"/>
              </w:rPr>
              <w:t>DESPACHO DE LA PRESIDENCIA</w:t>
            </w:r>
          </w:p>
        </w:tc>
      </w:tr>
      <w:tr w:rsidR="00F71780" w:rsidRPr="00711AB8" w14:paraId="530E0BBF" w14:textId="77777777" w:rsidTr="00711AB8">
        <w:trPr>
          <w:trHeight w:val="300"/>
        </w:trPr>
        <w:tc>
          <w:tcPr>
            <w:tcW w:w="1559" w:type="dxa"/>
            <w:shd w:val="clear" w:color="auto" w:fill="auto"/>
            <w:noWrap/>
            <w:vAlign w:val="center"/>
            <w:hideMark/>
          </w:tcPr>
          <w:p w14:paraId="5EB43AA0" w14:textId="77777777" w:rsidR="00F71780" w:rsidRPr="00711AB8" w:rsidRDefault="00F71780" w:rsidP="00F400D6">
            <w:pPr>
              <w:spacing w:after="0" w:line="240" w:lineRule="auto"/>
              <w:jc w:val="center"/>
              <w:rPr>
                <w:rFonts w:ascii="Book Antiqua" w:eastAsia="Times New Roman" w:hAnsi="Book Antiqua" w:cs="Calibri"/>
                <w:color w:val="000000"/>
                <w:sz w:val="16"/>
                <w:szCs w:val="16"/>
                <w:lang w:eastAsia="es-CR"/>
              </w:rPr>
            </w:pPr>
            <w:r w:rsidRPr="00711AB8">
              <w:rPr>
                <w:rFonts w:ascii="Book Antiqua" w:eastAsia="Times New Roman" w:hAnsi="Book Antiqua" w:cs="Calibri"/>
                <w:color w:val="000000"/>
                <w:sz w:val="16"/>
                <w:szCs w:val="16"/>
                <w:lang w:eastAsia="es-CR"/>
              </w:rPr>
              <w:t>0653-DP-P17</w:t>
            </w:r>
          </w:p>
        </w:tc>
        <w:tc>
          <w:tcPr>
            <w:tcW w:w="4253" w:type="dxa"/>
            <w:shd w:val="clear" w:color="auto" w:fill="auto"/>
            <w:noWrap/>
            <w:vAlign w:val="center"/>
            <w:hideMark/>
          </w:tcPr>
          <w:p w14:paraId="4339E810" w14:textId="77777777" w:rsidR="00F71780" w:rsidRPr="00711AB8" w:rsidRDefault="00F71780" w:rsidP="00F400D6">
            <w:pPr>
              <w:spacing w:after="0" w:line="240" w:lineRule="auto"/>
              <w:jc w:val="center"/>
              <w:rPr>
                <w:rFonts w:ascii="Book Antiqua" w:eastAsia="Times New Roman" w:hAnsi="Book Antiqua" w:cs="Calibri"/>
                <w:color w:val="000000"/>
                <w:sz w:val="16"/>
                <w:szCs w:val="16"/>
                <w:lang w:eastAsia="es-CR"/>
              </w:rPr>
            </w:pPr>
            <w:r w:rsidRPr="00711AB8">
              <w:rPr>
                <w:rFonts w:ascii="Book Antiqua" w:eastAsia="Times New Roman" w:hAnsi="Book Antiqua" w:cs="Calibri"/>
                <w:color w:val="000000"/>
                <w:sz w:val="16"/>
                <w:szCs w:val="16"/>
                <w:lang w:eastAsia="es-CR"/>
              </w:rPr>
              <w:t>Mejorar desafíos establecidos en el Informe del Estado de la Justicia en el ámbito de la gobernanza política</w:t>
            </w:r>
          </w:p>
        </w:tc>
        <w:tc>
          <w:tcPr>
            <w:tcW w:w="4111" w:type="dxa"/>
            <w:shd w:val="clear" w:color="auto" w:fill="auto"/>
            <w:noWrap/>
            <w:vAlign w:val="center"/>
            <w:hideMark/>
          </w:tcPr>
          <w:p w14:paraId="1F8882C9" w14:textId="77777777" w:rsidR="00F71780" w:rsidRPr="00711AB8" w:rsidRDefault="00F71780" w:rsidP="00F400D6">
            <w:pPr>
              <w:spacing w:after="0" w:line="240" w:lineRule="auto"/>
              <w:jc w:val="center"/>
              <w:rPr>
                <w:rFonts w:ascii="Book Antiqua" w:eastAsia="Times New Roman" w:hAnsi="Book Antiqua" w:cs="Calibri"/>
                <w:color w:val="000000"/>
                <w:sz w:val="16"/>
                <w:szCs w:val="16"/>
                <w:lang w:eastAsia="es-CR"/>
              </w:rPr>
            </w:pPr>
            <w:r w:rsidRPr="00711AB8">
              <w:rPr>
                <w:rFonts w:ascii="Book Antiqua" w:eastAsia="Times New Roman" w:hAnsi="Book Antiqua" w:cs="Calibri"/>
                <w:color w:val="000000"/>
                <w:sz w:val="16"/>
                <w:szCs w:val="16"/>
                <w:lang w:eastAsia="es-CR"/>
              </w:rPr>
              <w:t>DESPACHO DE LA PRESIDENCIA</w:t>
            </w:r>
          </w:p>
        </w:tc>
      </w:tr>
      <w:tr w:rsidR="00F71780" w:rsidRPr="00711AB8" w14:paraId="0AEB31B2" w14:textId="77777777" w:rsidTr="00711AB8">
        <w:trPr>
          <w:trHeight w:val="300"/>
        </w:trPr>
        <w:tc>
          <w:tcPr>
            <w:tcW w:w="1559" w:type="dxa"/>
            <w:shd w:val="clear" w:color="auto" w:fill="auto"/>
            <w:noWrap/>
            <w:vAlign w:val="center"/>
            <w:hideMark/>
          </w:tcPr>
          <w:p w14:paraId="5CE5771A" w14:textId="77777777" w:rsidR="00F71780" w:rsidRPr="00711AB8" w:rsidRDefault="00F71780" w:rsidP="00F400D6">
            <w:pPr>
              <w:spacing w:after="0" w:line="240" w:lineRule="auto"/>
              <w:jc w:val="center"/>
              <w:rPr>
                <w:rFonts w:ascii="Book Antiqua" w:eastAsia="Times New Roman" w:hAnsi="Book Antiqua" w:cs="Calibri"/>
                <w:color w:val="000000"/>
                <w:sz w:val="16"/>
                <w:szCs w:val="16"/>
                <w:lang w:eastAsia="es-CR"/>
              </w:rPr>
            </w:pPr>
            <w:r w:rsidRPr="00711AB8">
              <w:rPr>
                <w:rFonts w:ascii="Book Antiqua" w:eastAsia="Times New Roman" w:hAnsi="Book Antiqua" w:cs="Calibri"/>
                <w:color w:val="000000"/>
                <w:sz w:val="16"/>
                <w:szCs w:val="16"/>
                <w:lang w:eastAsia="es-CR"/>
              </w:rPr>
              <w:t>0653-DP-P18</w:t>
            </w:r>
          </w:p>
        </w:tc>
        <w:tc>
          <w:tcPr>
            <w:tcW w:w="4253" w:type="dxa"/>
            <w:shd w:val="clear" w:color="auto" w:fill="auto"/>
            <w:noWrap/>
            <w:vAlign w:val="center"/>
            <w:hideMark/>
          </w:tcPr>
          <w:p w14:paraId="6A16FCAE" w14:textId="77777777" w:rsidR="00F71780" w:rsidRPr="00711AB8" w:rsidRDefault="00F71780" w:rsidP="00F400D6">
            <w:pPr>
              <w:spacing w:after="0" w:line="240" w:lineRule="auto"/>
              <w:jc w:val="center"/>
              <w:rPr>
                <w:rFonts w:ascii="Book Antiqua" w:eastAsia="Times New Roman" w:hAnsi="Book Antiqua" w:cs="Calibri"/>
                <w:color w:val="000000"/>
                <w:sz w:val="16"/>
                <w:szCs w:val="16"/>
                <w:lang w:eastAsia="es-CR"/>
              </w:rPr>
            </w:pPr>
            <w:r w:rsidRPr="00711AB8">
              <w:rPr>
                <w:rFonts w:ascii="Book Antiqua" w:eastAsia="Times New Roman" w:hAnsi="Book Antiqua" w:cs="Calibri"/>
                <w:color w:val="000000"/>
                <w:sz w:val="16"/>
                <w:szCs w:val="16"/>
                <w:lang w:eastAsia="es-CR"/>
              </w:rPr>
              <w:t>Mejorar desafíos establecidos en el Informe del Estado de la Justicia en el ámbito de la gestión administrativa</w:t>
            </w:r>
          </w:p>
        </w:tc>
        <w:tc>
          <w:tcPr>
            <w:tcW w:w="4111" w:type="dxa"/>
            <w:shd w:val="clear" w:color="auto" w:fill="auto"/>
            <w:noWrap/>
            <w:vAlign w:val="center"/>
            <w:hideMark/>
          </w:tcPr>
          <w:p w14:paraId="0EE8900E" w14:textId="77777777" w:rsidR="00F71780" w:rsidRPr="00711AB8" w:rsidRDefault="00F71780" w:rsidP="00F400D6">
            <w:pPr>
              <w:spacing w:after="0" w:line="240" w:lineRule="auto"/>
              <w:jc w:val="center"/>
              <w:rPr>
                <w:rFonts w:ascii="Book Antiqua" w:eastAsia="Times New Roman" w:hAnsi="Book Antiqua" w:cs="Calibri"/>
                <w:color w:val="000000"/>
                <w:sz w:val="16"/>
                <w:szCs w:val="16"/>
                <w:lang w:eastAsia="es-CR"/>
              </w:rPr>
            </w:pPr>
            <w:r w:rsidRPr="00711AB8">
              <w:rPr>
                <w:rFonts w:ascii="Book Antiqua" w:eastAsia="Times New Roman" w:hAnsi="Book Antiqua" w:cs="Calibri"/>
                <w:color w:val="000000"/>
                <w:sz w:val="16"/>
                <w:szCs w:val="16"/>
                <w:lang w:eastAsia="es-CR"/>
              </w:rPr>
              <w:t>DESPACHO DE LA PRESIDENCIA</w:t>
            </w:r>
          </w:p>
        </w:tc>
      </w:tr>
    </w:tbl>
    <w:p w14:paraId="7BDE2D83" w14:textId="77777777" w:rsidR="00F71780" w:rsidRDefault="00F71780" w:rsidP="00F71780">
      <w:pPr>
        <w:spacing w:after="0"/>
        <w:ind w:left="708" w:firstLine="708"/>
        <w:jc w:val="both"/>
        <w:rPr>
          <w:rFonts w:ascii="Book Antiqua" w:hAnsi="Book Antiqua" w:cs="&amp;quot"/>
          <w:sz w:val="20"/>
          <w:szCs w:val="20"/>
        </w:rPr>
      </w:pPr>
      <w:r w:rsidRPr="00BA1484">
        <w:rPr>
          <w:rFonts w:ascii="Book Antiqua" w:hAnsi="Book Antiqua" w:cs="&amp;quot"/>
          <w:b/>
          <w:sz w:val="20"/>
          <w:szCs w:val="20"/>
        </w:rPr>
        <w:t>Fuente:</w:t>
      </w:r>
      <w:r w:rsidRPr="00BA1484">
        <w:rPr>
          <w:rFonts w:ascii="Book Antiqua" w:hAnsi="Book Antiqua" w:cs="&amp;quot"/>
          <w:sz w:val="20"/>
          <w:szCs w:val="20"/>
        </w:rPr>
        <w:t xml:space="preserve"> Elaboración propia con datos del MS Project Online.</w:t>
      </w:r>
    </w:p>
    <w:p w14:paraId="1584EF1B" w14:textId="77777777" w:rsidR="00F71780" w:rsidRPr="00E15BC1" w:rsidRDefault="00F71780" w:rsidP="00F71780">
      <w:pPr>
        <w:pStyle w:val="Prrafodelista"/>
        <w:spacing w:after="0"/>
        <w:jc w:val="both"/>
        <w:rPr>
          <w:rFonts w:ascii="Book Antiqua" w:hAnsi="Book Antiqua"/>
          <w:sz w:val="24"/>
          <w:szCs w:val="24"/>
        </w:rPr>
      </w:pPr>
    </w:p>
    <w:bookmarkEnd w:id="66"/>
    <w:p w14:paraId="27D5A3AB" w14:textId="5ED8B425" w:rsidR="00F71780" w:rsidRDefault="00F71780" w:rsidP="00155AE5">
      <w:pPr>
        <w:pStyle w:val="Prrafodelista"/>
        <w:numPr>
          <w:ilvl w:val="0"/>
          <w:numId w:val="7"/>
        </w:numPr>
        <w:spacing w:after="0"/>
        <w:jc w:val="both"/>
        <w:rPr>
          <w:rFonts w:ascii="Book Antiqua" w:hAnsi="Book Antiqua"/>
          <w:sz w:val="24"/>
          <w:szCs w:val="24"/>
        </w:rPr>
      </w:pPr>
      <w:r w:rsidRPr="001620F6">
        <w:rPr>
          <w:rFonts w:ascii="Book Antiqua" w:hAnsi="Book Antiqua"/>
          <w:b/>
          <w:bCs/>
          <w:sz w:val="24"/>
          <w:szCs w:val="24"/>
        </w:rPr>
        <w:t xml:space="preserve">Proyecto </w:t>
      </w:r>
      <w:r>
        <w:rPr>
          <w:rFonts w:ascii="Book Antiqua" w:hAnsi="Book Antiqua"/>
          <w:b/>
          <w:bCs/>
          <w:sz w:val="24"/>
          <w:szCs w:val="24"/>
        </w:rPr>
        <w:t xml:space="preserve">que fueron </w:t>
      </w:r>
      <w:r w:rsidRPr="001620F6">
        <w:rPr>
          <w:rFonts w:ascii="Book Antiqua" w:hAnsi="Book Antiqua"/>
          <w:b/>
          <w:bCs/>
          <w:sz w:val="24"/>
          <w:szCs w:val="24"/>
        </w:rPr>
        <w:t>suspendid</w:t>
      </w:r>
      <w:r>
        <w:rPr>
          <w:rFonts w:ascii="Book Antiqua" w:hAnsi="Book Antiqua"/>
          <w:b/>
          <w:bCs/>
          <w:sz w:val="24"/>
          <w:szCs w:val="24"/>
        </w:rPr>
        <w:t>os</w:t>
      </w:r>
      <w:r w:rsidRPr="001620F6">
        <w:rPr>
          <w:rFonts w:ascii="Book Antiqua" w:hAnsi="Book Antiqua"/>
          <w:sz w:val="24"/>
          <w:szCs w:val="24"/>
        </w:rPr>
        <w:t xml:space="preserve">: </w:t>
      </w:r>
      <w:r>
        <w:rPr>
          <w:rFonts w:ascii="Book Antiqua" w:hAnsi="Book Antiqua"/>
          <w:sz w:val="24"/>
          <w:szCs w:val="24"/>
        </w:rPr>
        <w:t xml:space="preserve">Según solicitud de cambio ingresada en el portafolio de </w:t>
      </w:r>
      <w:r w:rsidRPr="008B5BD4">
        <w:rPr>
          <w:rFonts w:ascii="Book Antiqua" w:hAnsi="Book Antiqua"/>
          <w:sz w:val="24"/>
          <w:szCs w:val="24"/>
        </w:rPr>
        <w:t xml:space="preserve">proyectos </w:t>
      </w:r>
      <w:r w:rsidR="00A70B52" w:rsidRPr="008B5BD4">
        <w:rPr>
          <w:rFonts w:ascii="Book Antiqua" w:hAnsi="Book Antiqua"/>
          <w:sz w:val="24"/>
          <w:szCs w:val="24"/>
        </w:rPr>
        <w:t>a abril 2023</w:t>
      </w:r>
      <w:r w:rsidRPr="008B5BD4">
        <w:rPr>
          <w:rFonts w:ascii="Book Antiqua" w:hAnsi="Book Antiqua"/>
          <w:sz w:val="24"/>
          <w:szCs w:val="24"/>
        </w:rPr>
        <w:t>,</w:t>
      </w:r>
      <w:r>
        <w:rPr>
          <w:rFonts w:ascii="Book Antiqua" w:hAnsi="Book Antiqua"/>
          <w:sz w:val="24"/>
          <w:szCs w:val="24"/>
        </w:rPr>
        <w:t xml:space="preserve"> se solicita la suspensión de</w:t>
      </w:r>
      <w:r w:rsidR="00516EA8">
        <w:rPr>
          <w:rFonts w:ascii="Book Antiqua" w:hAnsi="Book Antiqua"/>
          <w:sz w:val="24"/>
          <w:szCs w:val="24"/>
        </w:rPr>
        <w:t xml:space="preserve"> </w:t>
      </w:r>
      <w:r>
        <w:rPr>
          <w:rFonts w:ascii="Book Antiqua" w:hAnsi="Book Antiqua"/>
          <w:sz w:val="24"/>
          <w:szCs w:val="24"/>
        </w:rPr>
        <w:t>l</w:t>
      </w:r>
      <w:r w:rsidR="00516EA8">
        <w:rPr>
          <w:rFonts w:ascii="Book Antiqua" w:hAnsi="Book Antiqua"/>
          <w:sz w:val="24"/>
          <w:szCs w:val="24"/>
        </w:rPr>
        <w:t>os</w:t>
      </w:r>
      <w:r>
        <w:rPr>
          <w:rFonts w:ascii="Book Antiqua" w:hAnsi="Book Antiqua"/>
          <w:sz w:val="24"/>
          <w:szCs w:val="24"/>
        </w:rPr>
        <w:t xml:space="preserve"> siguiente</w:t>
      </w:r>
      <w:r w:rsidR="00516EA8">
        <w:rPr>
          <w:rFonts w:ascii="Book Antiqua" w:hAnsi="Book Antiqua"/>
          <w:sz w:val="24"/>
          <w:szCs w:val="24"/>
        </w:rPr>
        <w:t>s</w:t>
      </w:r>
      <w:r>
        <w:rPr>
          <w:rFonts w:ascii="Book Antiqua" w:hAnsi="Book Antiqua"/>
          <w:sz w:val="24"/>
          <w:szCs w:val="24"/>
        </w:rPr>
        <w:t xml:space="preserve"> proyecto</w:t>
      </w:r>
      <w:r w:rsidR="00516EA8">
        <w:rPr>
          <w:rFonts w:ascii="Book Antiqua" w:hAnsi="Book Antiqua"/>
          <w:sz w:val="24"/>
          <w:szCs w:val="24"/>
        </w:rPr>
        <w:t>s</w:t>
      </w:r>
      <w:r>
        <w:rPr>
          <w:rFonts w:ascii="Book Antiqua" w:hAnsi="Book Antiqua"/>
          <w:sz w:val="24"/>
          <w:szCs w:val="24"/>
        </w:rPr>
        <w:t>:</w:t>
      </w:r>
    </w:p>
    <w:p w14:paraId="49F4AE30" w14:textId="77777777" w:rsidR="00F71780" w:rsidRPr="001620F6" w:rsidRDefault="00F71780" w:rsidP="00F71780">
      <w:pPr>
        <w:pStyle w:val="Prrafodelista"/>
        <w:spacing w:after="0"/>
        <w:jc w:val="both"/>
        <w:rPr>
          <w:rFonts w:ascii="Book Antiqua" w:hAnsi="Book Antiqua"/>
          <w:sz w:val="24"/>
          <w:szCs w:val="24"/>
        </w:rPr>
      </w:pPr>
    </w:p>
    <w:p w14:paraId="4ACB43D3" w14:textId="258CE506" w:rsidR="00F71780" w:rsidRPr="00A7495E" w:rsidRDefault="00F71780" w:rsidP="00F71780">
      <w:pPr>
        <w:pStyle w:val="Descripcin"/>
        <w:keepNext/>
        <w:spacing w:after="0"/>
        <w:jc w:val="center"/>
        <w:rPr>
          <w:rFonts w:ascii="Book Antiqua" w:hAnsi="Book Antiqua" w:cs="&amp;quot"/>
          <w:b/>
          <w:i w:val="0"/>
          <w:iCs w:val="0"/>
          <w:color w:val="auto"/>
          <w:sz w:val="24"/>
          <w:szCs w:val="24"/>
        </w:rPr>
      </w:pPr>
      <w:bookmarkStart w:id="70" w:name="_Toc131155941"/>
      <w:r w:rsidRPr="00A7495E">
        <w:rPr>
          <w:rFonts w:ascii="Book Antiqua" w:hAnsi="Book Antiqua" w:cs="&amp;quot"/>
          <w:b/>
          <w:i w:val="0"/>
          <w:iCs w:val="0"/>
          <w:color w:val="auto"/>
          <w:sz w:val="24"/>
          <w:szCs w:val="24"/>
        </w:rPr>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844144">
        <w:rPr>
          <w:rFonts w:ascii="Book Antiqua" w:hAnsi="Book Antiqua" w:cs="&amp;quot"/>
          <w:b/>
          <w:i w:val="0"/>
          <w:iCs w:val="0"/>
          <w:noProof/>
          <w:color w:val="auto"/>
          <w:sz w:val="24"/>
          <w:szCs w:val="24"/>
        </w:rPr>
        <w:t>19</w:t>
      </w:r>
      <w:r w:rsidRPr="00A7495E">
        <w:rPr>
          <w:rFonts w:ascii="Book Antiqua" w:hAnsi="Book Antiqua" w:cs="&amp;quot"/>
          <w:b/>
          <w:i w:val="0"/>
          <w:iCs w:val="0"/>
          <w:color w:val="auto"/>
          <w:sz w:val="24"/>
          <w:szCs w:val="24"/>
        </w:rPr>
        <w:fldChar w:fldCharType="end"/>
      </w:r>
      <w:r w:rsidRPr="00A7495E">
        <w:rPr>
          <w:rFonts w:ascii="Book Antiqua" w:hAnsi="Book Antiqua" w:cs="&amp;quot"/>
          <w:b/>
          <w:i w:val="0"/>
          <w:iCs w:val="0"/>
          <w:color w:val="auto"/>
          <w:sz w:val="24"/>
          <w:szCs w:val="24"/>
        </w:rPr>
        <w:t>. Proyecto</w:t>
      </w:r>
      <w:r w:rsidR="00516EA8">
        <w:rPr>
          <w:rFonts w:ascii="Book Antiqua" w:hAnsi="Book Antiqua" w:cs="&amp;quot"/>
          <w:b/>
          <w:i w:val="0"/>
          <w:iCs w:val="0"/>
          <w:color w:val="auto"/>
          <w:sz w:val="24"/>
          <w:szCs w:val="24"/>
        </w:rPr>
        <w:t>s</w:t>
      </w:r>
      <w:r w:rsidRPr="00A7495E">
        <w:rPr>
          <w:rFonts w:ascii="Book Antiqua" w:hAnsi="Book Antiqua" w:cs="&amp;quot"/>
          <w:b/>
          <w:i w:val="0"/>
          <w:iCs w:val="0"/>
          <w:color w:val="auto"/>
          <w:sz w:val="24"/>
          <w:szCs w:val="24"/>
        </w:rPr>
        <w:t xml:space="preserve"> suspendido</w:t>
      </w:r>
      <w:r w:rsidR="00516EA8">
        <w:rPr>
          <w:rFonts w:ascii="Book Antiqua" w:hAnsi="Book Antiqua" w:cs="&amp;quot"/>
          <w:b/>
          <w:i w:val="0"/>
          <w:iCs w:val="0"/>
          <w:color w:val="auto"/>
          <w:sz w:val="24"/>
          <w:szCs w:val="24"/>
        </w:rPr>
        <w:t>s</w:t>
      </w:r>
      <w:r w:rsidRPr="00A7495E">
        <w:rPr>
          <w:rFonts w:ascii="Book Antiqua" w:hAnsi="Book Antiqua" w:cs="&amp;quot"/>
          <w:b/>
          <w:i w:val="0"/>
          <w:iCs w:val="0"/>
          <w:color w:val="auto"/>
          <w:sz w:val="24"/>
          <w:szCs w:val="24"/>
        </w:rPr>
        <w:t xml:space="preserve"> que se encontraban en ejecución</w:t>
      </w:r>
      <w:bookmarkEnd w:id="70"/>
    </w:p>
    <w:tbl>
      <w:tblPr>
        <w:tblW w:w="56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4"/>
        <w:gridCol w:w="1528"/>
        <w:gridCol w:w="1667"/>
        <w:gridCol w:w="973"/>
        <w:gridCol w:w="827"/>
        <w:gridCol w:w="4023"/>
      </w:tblGrid>
      <w:tr w:rsidR="00253A5D" w:rsidRPr="006F3AD8" w14:paraId="36F73FFC" w14:textId="77777777" w:rsidTr="00301740">
        <w:trPr>
          <w:trHeight w:val="300"/>
          <w:tblHeader/>
        </w:trPr>
        <w:tc>
          <w:tcPr>
            <w:tcW w:w="487" w:type="pct"/>
            <w:shd w:val="clear" w:color="000000" w:fill="44546A"/>
            <w:noWrap/>
            <w:vAlign w:val="center"/>
            <w:hideMark/>
          </w:tcPr>
          <w:p w14:paraId="72F5CE11" w14:textId="77777777" w:rsidR="00F71780" w:rsidRPr="006F3AD8" w:rsidRDefault="00F71780" w:rsidP="00F400D6">
            <w:pPr>
              <w:spacing w:after="0" w:line="240" w:lineRule="auto"/>
              <w:jc w:val="center"/>
              <w:rPr>
                <w:rFonts w:ascii="Book Antiqua" w:eastAsia="Times New Roman" w:hAnsi="Book Antiqua" w:cs="Calibri"/>
                <w:b/>
                <w:bCs/>
                <w:color w:val="FFFFFF"/>
                <w:sz w:val="16"/>
                <w:szCs w:val="16"/>
                <w:lang w:eastAsia="es-CR"/>
              </w:rPr>
            </w:pPr>
            <w:r w:rsidRPr="006F3AD8">
              <w:rPr>
                <w:rFonts w:ascii="Book Antiqua" w:eastAsia="Times New Roman" w:hAnsi="Book Antiqua" w:cs="Calibri"/>
                <w:b/>
                <w:bCs/>
                <w:color w:val="FFFFFF"/>
                <w:sz w:val="16"/>
                <w:szCs w:val="16"/>
                <w:lang w:eastAsia="es-CR"/>
              </w:rPr>
              <w:t>Código</w:t>
            </w:r>
          </w:p>
        </w:tc>
        <w:tc>
          <w:tcPr>
            <w:tcW w:w="764" w:type="pct"/>
            <w:shd w:val="clear" w:color="000000" w:fill="44546A"/>
            <w:noWrap/>
            <w:vAlign w:val="center"/>
            <w:hideMark/>
          </w:tcPr>
          <w:p w14:paraId="5AEF48E7" w14:textId="77777777" w:rsidR="00F71780" w:rsidRPr="006F3AD8" w:rsidRDefault="00F71780" w:rsidP="00F400D6">
            <w:pPr>
              <w:spacing w:after="0" w:line="240" w:lineRule="auto"/>
              <w:jc w:val="center"/>
              <w:rPr>
                <w:rFonts w:ascii="Book Antiqua" w:eastAsia="Times New Roman" w:hAnsi="Book Antiqua" w:cs="Calibri"/>
                <w:b/>
                <w:bCs/>
                <w:color w:val="FFFFFF"/>
                <w:sz w:val="16"/>
                <w:szCs w:val="16"/>
                <w:lang w:eastAsia="es-CR"/>
              </w:rPr>
            </w:pPr>
            <w:r w:rsidRPr="006F3AD8">
              <w:rPr>
                <w:rFonts w:ascii="Book Antiqua" w:eastAsia="Times New Roman" w:hAnsi="Book Antiqua" w:cs="Calibri"/>
                <w:b/>
                <w:bCs/>
                <w:color w:val="FFFFFF"/>
                <w:sz w:val="16"/>
                <w:szCs w:val="16"/>
                <w:lang w:eastAsia="es-CR"/>
              </w:rPr>
              <w:t>Nombre del proyecto</w:t>
            </w:r>
          </w:p>
        </w:tc>
        <w:tc>
          <w:tcPr>
            <w:tcW w:w="834" w:type="pct"/>
            <w:shd w:val="clear" w:color="000000" w:fill="44546A"/>
            <w:noWrap/>
            <w:vAlign w:val="center"/>
            <w:hideMark/>
          </w:tcPr>
          <w:p w14:paraId="28CCA0F5" w14:textId="77777777" w:rsidR="00F71780" w:rsidRPr="006F3AD8" w:rsidRDefault="00F71780" w:rsidP="00F400D6">
            <w:pPr>
              <w:spacing w:after="0" w:line="240" w:lineRule="auto"/>
              <w:jc w:val="center"/>
              <w:rPr>
                <w:rFonts w:ascii="Book Antiqua" w:eastAsia="Times New Roman" w:hAnsi="Book Antiqua" w:cs="Calibri"/>
                <w:b/>
                <w:bCs/>
                <w:color w:val="FFFFFF"/>
                <w:sz w:val="16"/>
                <w:szCs w:val="16"/>
                <w:lang w:eastAsia="es-CR"/>
              </w:rPr>
            </w:pPr>
            <w:r w:rsidRPr="006F3AD8">
              <w:rPr>
                <w:rFonts w:ascii="Book Antiqua" w:eastAsia="Times New Roman" w:hAnsi="Book Antiqua" w:cs="Calibri"/>
                <w:b/>
                <w:bCs/>
                <w:color w:val="FFFFFF"/>
                <w:sz w:val="16"/>
                <w:szCs w:val="16"/>
                <w:lang w:eastAsia="es-CR"/>
              </w:rPr>
              <w:t>Oficina Líder</w:t>
            </w:r>
          </w:p>
        </w:tc>
        <w:tc>
          <w:tcPr>
            <w:tcW w:w="487" w:type="pct"/>
            <w:shd w:val="clear" w:color="000000" w:fill="44546A"/>
            <w:noWrap/>
            <w:vAlign w:val="center"/>
            <w:hideMark/>
          </w:tcPr>
          <w:p w14:paraId="4D47A514" w14:textId="77777777" w:rsidR="00F71780" w:rsidRPr="006F3AD8" w:rsidRDefault="00F71780" w:rsidP="00F400D6">
            <w:pPr>
              <w:spacing w:after="0" w:line="240" w:lineRule="auto"/>
              <w:jc w:val="center"/>
              <w:rPr>
                <w:rFonts w:ascii="Book Antiqua" w:eastAsia="Times New Roman" w:hAnsi="Book Antiqua" w:cs="Calibri"/>
                <w:b/>
                <w:bCs/>
                <w:color w:val="FFFFFF"/>
                <w:sz w:val="16"/>
                <w:szCs w:val="16"/>
                <w:lang w:eastAsia="es-CR"/>
              </w:rPr>
            </w:pPr>
            <w:r w:rsidRPr="006F3AD8">
              <w:rPr>
                <w:rFonts w:ascii="Book Antiqua" w:eastAsia="Times New Roman" w:hAnsi="Book Antiqua" w:cs="Calibri"/>
                <w:b/>
                <w:bCs/>
                <w:color w:val="FFFFFF"/>
                <w:sz w:val="16"/>
                <w:szCs w:val="16"/>
                <w:lang w:eastAsia="es-CR"/>
              </w:rPr>
              <w:t>Jefe del Proyecto</w:t>
            </w:r>
          </w:p>
        </w:tc>
        <w:tc>
          <w:tcPr>
            <w:tcW w:w="414" w:type="pct"/>
            <w:shd w:val="clear" w:color="000000" w:fill="44546A"/>
            <w:vAlign w:val="center"/>
          </w:tcPr>
          <w:p w14:paraId="5094D472" w14:textId="77777777" w:rsidR="00F71780" w:rsidRPr="006F3AD8" w:rsidRDefault="00F71780" w:rsidP="00F400D6">
            <w:pPr>
              <w:spacing w:after="0" w:line="240" w:lineRule="auto"/>
              <w:jc w:val="center"/>
              <w:rPr>
                <w:rFonts w:ascii="Book Antiqua" w:eastAsia="Times New Roman" w:hAnsi="Book Antiqua" w:cs="Calibri"/>
                <w:b/>
                <w:bCs/>
                <w:color w:val="FFFFFF"/>
                <w:sz w:val="16"/>
                <w:szCs w:val="16"/>
                <w:lang w:eastAsia="es-CR"/>
              </w:rPr>
            </w:pPr>
            <w:r w:rsidRPr="006F3AD8">
              <w:rPr>
                <w:rFonts w:ascii="Book Antiqua" w:eastAsia="Times New Roman" w:hAnsi="Book Antiqua" w:cs="Calibri"/>
                <w:b/>
                <w:bCs/>
                <w:color w:val="FFFFFF"/>
                <w:sz w:val="16"/>
                <w:szCs w:val="16"/>
                <w:lang w:eastAsia="es-CR"/>
              </w:rPr>
              <w:t>Líder del Proyecto</w:t>
            </w:r>
          </w:p>
        </w:tc>
        <w:tc>
          <w:tcPr>
            <w:tcW w:w="2013" w:type="pct"/>
            <w:shd w:val="clear" w:color="000000" w:fill="44546A"/>
            <w:noWrap/>
            <w:vAlign w:val="center"/>
          </w:tcPr>
          <w:p w14:paraId="78A6EDA1" w14:textId="77777777" w:rsidR="00F71780" w:rsidRPr="006F3AD8" w:rsidRDefault="00F71780" w:rsidP="00FE0EB0">
            <w:pPr>
              <w:spacing w:after="0" w:line="240" w:lineRule="auto"/>
              <w:jc w:val="center"/>
              <w:rPr>
                <w:rFonts w:ascii="Book Antiqua" w:eastAsia="Times New Roman" w:hAnsi="Book Antiqua" w:cs="Calibri"/>
                <w:b/>
                <w:bCs/>
                <w:color w:val="FFFFFF"/>
                <w:sz w:val="16"/>
                <w:szCs w:val="16"/>
                <w:lang w:eastAsia="es-CR"/>
              </w:rPr>
            </w:pPr>
            <w:r w:rsidRPr="006F3AD8">
              <w:rPr>
                <w:rFonts w:ascii="Book Antiqua" w:eastAsia="Times New Roman" w:hAnsi="Book Antiqua" w:cs="Calibri"/>
                <w:b/>
                <w:bCs/>
                <w:color w:val="FFFFFF"/>
                <w:sz w:val="16"/>
                <w:szCs w:val="16"/>
                <w:lang w:eastAsia="es-CR"/>
              </w:rPr>
              <w:t>Motivo</w:t>
            </w:r>
          </w:p>
        </w:tc>
      </w:tr>
      <w:tr w:rsidR="00F71780" w:rsidRPr="006F3AD8" w14:paraId="53ED95D5" w14:textId="77777777" w:rsidTr="00301740">
        <w:trPr>
          <w:trHeight w:val="355"/>
        </w:trPr>
        <w:tc>
          <w:tcPr>
            <w:tcW w:w="487" w:type="pct"/>
            <w:shd w:val="clear" w:color="auto" w:fill="auto"/>
            <w:noWrap/>
            <w:vAlign w:val="center"/>
            <w:hideMark/>
          </w:tcPr>
          <w:p w14:paraId="465E822F" w14:textId="77777777" w:rsidR="00F71780" w:rsidRPr="006F3AD8" w:rsidRDefault="00F71780" w:rsidP="00F400D6">
            <w:pPr>
              <w:spacing w:after="0" w:line="240" w:lineRule="auto"/>
              <w:jc w:val="center"/>
              <w:rPr>
                <w:rFonts w:ascii="Book Antiqua" w:eastAsia="Times New Roman" w:hAnsi="Book Antiqua" w:cs="Calibri"/>
                <w:color w:val="000000"/>
                <w:sz w:val="16"/>
                <w:szCs w:val="16"/>
                <w:lang w:eastAsia="es-CR"/>
              </w:rPr>
            </w:pPr>
            <w:r w:rsidRPr="007418A0">
              <w:rPr>
                <w:rFonts w:ascii="Book Antiqua" w:hAnsi="Book Antiqua" w:cs="Calibri"/>
                <w:color w:val="000000"/>
                <w:sz w:val="16"/>
                <w:szCs w:val="16"/>
              </w:rPr>
              <w:t>0117-DE-P09</w:t>
            </w:r>
          </w:p>
        </w:tc>
        <w:tc>
          <w:tcPr>
            <w:tcW w:w="764" w:type="pct"/>
            <w:shd w:val="clear" w:color="auto" w:fill="auto"/>
            <w:vAlign w:val="center"/>
            <w:hideMark/>
          </w:tcPr>
          <w:p w14:paraId="32B52489" w14:textId="77777777" w:rsidR="00F71780" w:rsidRPr="006F3AD8" w:rsidRDefault="00F71780" w:rsidP="00F400D6">
            <w:pPr>
              <w:spacing w:after="0" w:line="240" w:lineRule="auto"/>
              <w:ind w:right="-26"/>
              <w:jc w:val="center"/>
              <w:rPr>
                <w:rFonts w:ascii="Book Antiqua" w:eastAsia="Times New Roman" w:hAnsi="Book Antiqua" w:cs="Calibri"/>
                <w:color w:val="000000"/>
                <w:sz w:val="16"/>
                <w:szCs w:val="16"/>
                <w:lang w:eastAsia="es-CR"/>
              </w:rPr>
            </w:pPr>
            <w:r w:rsidRPr="007418A0">
              <w:rPr>
                <w:rFonts w:ascii="Book Antiqua" w:hAnsi="Book Antiqua" w:cs="Calibri"/>
                <w:color w:val="000000"/>
                <w:sz w:val="16"/>
                <w:szCs w:val="16"/>
              </w:rPr>
              <w:t>Ampliación Edificio Tribunales de Justicia de Turrialba</w:t>
            </w:r>
          </w:p>
        </w:tc>
        <w:tc>
          <w:tcPr>
            <w:tcW w:w="834" w:type="pct"/>
            <w:shd w:val="clear" w:color="000000" w:fill="FFFFFF"/>
            <w:vAlign w:val="center"/>
            <w:hideMark/>
          </w:tcPr>
          <w:p w14:paraId="6A475EFA" w14:textId="77777777" w:rsidR="00F71780" w:rsidRPr="006F3AD8" w:rsidRDefault="00F71780" w:rsidP="00F400D6">
            <w:pPr>
              <w:spacing w:after="0" w:line="240" w:lineRule="auto"/>
              <w:jc w:val="center"/>
              <w:rPr>
                <w:rFonts w:ascii="Book Antiqua" w:eastAsia="Times New Roman" w:hAnsi="Book Antiqua" w:cs="Calibri"/>
                <w:color w:val="000000"/>
                <w:sz w:val="16"/>
                <w:szCs w:val="16"/>
                <w:lang w:eastAsia="es-CR"/>
              </w:rPr>
            </w:pPr>
            <w:r w:rsidRPr="007418A0">
              <w:rPr>
                <w:rFonts w:ascii="Book Antiqua" w:eastAsia="Times New Roman" w:hAnsi="Book Antiqua" w:cs="Calibri"/>
                <w:color w:val="000000"/>
                <w:sz w:val="16"/>
                <w:szCs w:val="16"/>
                <w:lang w:eastAsia="es-CR"/>
              </w:rPr>
              <w:t>ADMINISTRACION REGIONAL TURRIALBA</w:t>
            </w:r>
          </w:p>
        </w:tc>
        <w:tc>
          <w:tcPr>
            <w:tcW w:w="487" w:type="pct"/>
            <w:shd w:val="clear" w:color="F2F2F2" w:fill="FFFFFF"/>
            <w:vAlign w:val="center"/>
            <w:hideMark/>
          </w:tcPr>
          <w:p w14:paraId="4F139A66" w14:textId="77777777" w:rsidR="00F71780" w:rsidRPr="006F3AD8" w:rsidRDefault="00F71780" w:rsidP="00F400D6">
            <w:pPr>
              <w:spacing w:after="0" w:line="240" w:lineRule="auto"/>
              <w:jc w:val="center"/>
              <w:rPr>
                <w:rFonts w:ascii="Book Antiqua" w:eastAsia="Times New Roman" w:hAnsi="Book Antiqua" w:cs="Calibri"/>
                <w:color w:val="000000"/>
                <w:sz w:val="16"/>
                <w:szCs w:val="16"/>
                <w:lang w:eastAsia="es-CR"/>
              </w:rPr>
            </w:pPr>
            <w:r w:rsidRPr="007418A0">
              <w:rPr>
                <w:rFonts w:ascii="Book Antiqua" w:hAnsi="Book Antiqua" w:cs="Calibri"/>
                <w:color w:val="000000"/>
                <w:sz w:val="16"/>
                <w:szCs w:val="16"/>
              </w:rPr>
              <w:t>Wilberth Kidd Alvarado</w:t>
            </w:r>
          </w:p>
        </w:tc>
        <w:tc>
          <w:tcPr>
            <w:tcW w:w="414" w:type="pct"/>
            <w:shd w:val="clear" w:color="F2F2F2" w:fill="FFFFFF"/>
            <w:vAlign w:val="center"/>
          </w:tcPr>
          <w:p w14:paraId="3E172561" w14:textId="77777777" w:rsidR="00F71780" w:rsidRPr="007418A0" w:rsidRDefault="00F71780" w:rsidP="00F400D6">
            <w:pPr>
              <w:spacing w:after="0" w:line="240" w:lineRule="auto"/>
              <w:jc w:val="center"/>
              <w:rPr>
                <w:rFonts w:ascii="Book Antiqua" w:hAnsi="Book Antiqua" w:cs="Calibri"/>
                <w:color w:val="000000"/>
                <w:sz w:val="16"/>
                <w:szCs w:val="16"/>
              </w:rPr>
            </w:pPr>
            <w:r w:rsidRPr="007418A0">
              <w:rPr>
                <w:rFonts w:ascii="Book Antiqua" w:hAnsi="Book Antiqua" w:cs="Calibri"/>
                <w:color w:val="000000"/>
                <w:sz w:val="16"/>
                <w:szCs w:val="16"/>
              </w:rPr>
              <w:t>William Cerdas Zuñiga</w:t>
            </w:r>
          </w:p>
        </w:tc>
        <w:tc>
          <w:tcPr>
            <w:tcW w:w="2013" w:type="pct"/>
            <w:shd w:val="clear" w:color="F2F2F2" w:fill="FFFFFF"/>
            <w:vAlign w:val="center"/>
          </w:tcPr>
          <w:p w14:paraId="1901CA6A" w14:textId="77777777" w:rsidR="00F71780" w:rsidRDefault="00F71780" w:rsidP="00F400D6">
            <w:pPr>
              <w:spacing w:after="0" w:line="240" w:lineRule="auto"/>
              <w:jc w:val="both"/>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Según correo electrónico remitido por Departamento de Servicios Generales es necesario suspender dicho proyecto hasta el 2025 para poder costear el con estos fondos el proyecto constructivo de San Ramón.</w:t>
            </w:r>
          </w:p>
          <w:p w14:paraId="74BF059E" w14:textId="345E1FBC" w:rsidR="00F71780" w:rsidRDefault="006C729E" w:rsidP="00F400D6">
            <w:pPr>
              <w:spacing w:after="0" w:line="240" w:lineRule="auto"/>
              <w:jc w:val="center"/>
            </w:pPr>
            <w:r>
              <w:object w:dxaOrig="1376" w:dyaOrig="899" w14:anchorId="4B79B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8.25pt;height:45pt" o:ole="">
                  <v:imagedata r:id="rId37" o:title=""/>
                </v:shape>
                <o:OLEObject Type="Embed" ProgID="Package" ShapeID="_x0000_i1026" DrawAspect="Icon" ObjectID="_1749386358" r:id="rId38"/>
              </w:object>
            </w:r>
          </w:p>
          <w:p w14:paraId="6A48BECD" w14:textId="77777777" w:rsidR="00F71780" w:rsidRDefault="00F71780" w:rsidP="00F400D6">
            <w:pPr>
              <w:spacing w:after="0" w:line="240" w:lineRule="auto"/>
              <w:jc w:val="both"/>
              <w:rPr>
                <w:rFonts w:ascii="Book Antiqua" w:eastAsia="Times New Roman" w:hAnsi="Book Antiqua" w:cs="Calibri"/>
                <w:b/>
                <w:bCs/>
                <w:color w:val="000000"/>
                <w:sz w:val="16"/>
                <w:szCs w:val="16"/>
                <w:lang w:eastAsia="es-CR"/>
              </w:rPr>
            </w:pPr>
            <w:r w:rsidRPr="001122DF">
              <w:rPr>
                <w:rFonts w:ascii="Book Antiqua" w:eastAsia="Times New Roman" w:hAnsi="Book Antiqua" w:cs="Calibri"/>
                <w:b/>
                <w:bCs/>
                <w:color w:val="000000"/>
                <w:sz w:val="16"/>
                <w:szCs w:val="16"/>
                <w:lang w:eastAsia="es-CR"/>
              </w:rPr>
              <w:t>Pendiente solicitud de cambio para notificar formalmente la suspensión del proyecto.</w:t>
            </w:r>
          </w:p>
          <w:p w14:paraId="5F4778AE" w14:textId="0F0C69EF" w:rsidR="00876449" w:rsidRPr="001122DF" w:rsidRDefault="00876449" w:rsidP="00F400D6">
            <w:pPr>
              <w:spacing w:after="0" w:line="240" w:lineRule="auto"/>
              <w:jc w:val="both"/>
              <w:rPr>
                <w:rFonts w:ascii="Book Antiqua" w:eastAsia="Times New Roman" w:hAnsi="Book Antiqua" w:cs="Calibri"/>
                <w:b/>
                <w:bCs/>
                <w:color w:val="000000"/>
                <w:sz w:val="16"/>
                <w:szCs w:val="16"/>
                <w:lang w:eastAsia="es-CR"/>
              </w:rPr>
            </w:pPr>
          </w:p>
        </w:tc>
      </w:tr>
      <w:tr w:rsidR="00F71780" w:rsidRPr="007C1781" w14:paraId="76B9EE83" w14:textId="77777777" w:rsidTr="00301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7" w:type="pct"/>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C99F86D"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lastRenderedPageBreak/>
              <w:t>0117-DE-P11</w:t>
            </w:r>
          </w:p>
        </w:tc>
        <w:tc>
          <w:tcPr>
            <w:tcW w:w="764" w:type="pct"/>
            <w:tcBorders>
              <w:top w:val="single" w:sz="4" w:space="0" w:color="auto"/>
              <w:left w:val="nil"/>
              <w:bottom w:val="single" w:sz="4" w:space="0" w:color="auto"/>
              <w:right w:val="single" w:sz="4" w:space="0" w:color="auto"/>
            </w:tcBorders>
            <w:shd w:val="clear" w:color="F2F2F2" w:fill="FFFFFF"/>
            <w:noWrap/>
            <w:vAlign w:val="center"/>
            <w:hideMark/>
          </w:tcPr>
          <w:p w14:paraId="19DC4498"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Sustitución de sistema de alarma contra incendios en bodegas de Ciudad Judicial</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14:paraId="32402A46"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ADMINISTRACION REGIONAL CIUDAD JUDICIAL SAN JOAQUIN DE FLORES</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29BF7"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Wilberth Kidd Alvarado / Alexandra Mora Steller</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63916"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Ronald Vargas Bolaños</w:t>
            </w:r>
          </w:p>
        </w:tc>
        <w:tc>
          <w:tcPr>
            <w:tcW w:w="2013" w:type="pct"/>
            <w:tcBorders>
              <w:top w:val="single" w:sz="4" w:space="0" w:color="auto"/>
              <w:left w:val="single" w:sz="4" w:space="0" w:color="auto"/>
              <w:bottom w:val="single" w:sz="4" w:space="0" w:color="auto"/>
              <w:right w:val="single" w:sz="4" w:space="0" w:color="auto"/>
            </w:tcBorders>
          </w:tcPr>
          <w:p w14:paraId="0808B91E" w14:textId="77777777" w:rsidR="00F71780" w:rsidRDefault="00F71780" w:rsidP="00F400D6">
            <w:pPr>
              <w:spacing w:after="0" w:line="240" w:lineRule="auto"/>
              <w:jc w:val="both"/>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Según correo electrónico remitido por Departamento de Servicios Generales es necesario suspender dicho proyecto hasta el 2025 para poder costear el con estos fondos el proyecto constructivo de San Ramón.</w:t>
            </w:r>
          </w:p>
          <w:p w14:paraId="51B2693F" w14:textId="7A5629FF" w:rsidR="00F71780" w:rsidRDefault="006C729E" w:rsidP="00F400D6">
            <w:pPr>
              <w:spacing w:after="0" w:line="240" w:lineRule="auto"/>
              <w:jc w:val="both"/>
            </w:pPr>
            <w:r>
              <w:object w:dxaOrig="1376" w:dyaOrig="899" w14:anchorId="17549AF2">
                <v:shape id="_x0000_i1027" type="#_x0000_t75" style="width:68.25pt;height:45pt" o:ole="">
                  <v:imagedata r:id="rId37" o:title=""/>
                </v:shape>
                <o:OLEObject Type="Embed" ProgID="Package" ShapeID="_x0000_i1027" DrawAspect="Icon" ObjectID="_1749386359" r:id="rId39"/>
              </w:object>
            </w:r>
            <w:r w:rsidR="00F71780">
              <w:t xml:space="preserve"> </w:t>
            </w:r>
            <w:r w:rsidRPr="001122DF">
              <w:object w:dxaOrig="6375" w:dyaOrig="810" w14:anchorId="23C8F501">
                <v:shape id="_x0000_i1028" type="#_x0000_t75" style="width:84.75pt;height:44.25pt" o:ole="">
                  <v:imagedata r:id="rId40" o:title=""/>
                </v:shape>
                <o:OLEObject Type="Embed" ProgID="Package" ShapeID="_x0000_i1028" DrawAspect="Content" ObjectID="_1749386360" r:id="rId41"/>
              </w:object>
            </w:r>
          </w:p>
          <w:p w14:paraId="447C7C50" w14:textId="77777777" w:rsidR="00F71780" w:rsidRPr="001122DF" w:rsidRDefault="00F71780" w:rsidP="00F400D6">
            <w:pPr>
              <w:spacing w:after="0" w:line="240" w:lineRule="auto"/>
              <w:jc w:val="both"/>
              <w:rPr>
                <w:rFonts w:ascii="Book Antiqua" w:hAnsi="Book Antiqua" w:cs="Calibri"/>
                <w:b/>
                <w:bCs/>
                <w:color w:val="000000"/>
                <w:sz w:val="16"/>
                <w:szCs w:val="16"/>
              </w:rPr>
            </w:pPr>
            <w:r w:rsidRPr="001122DF">
              <w:rPr>
                <w:rFonts w:ascii="Book Antiqua" w:eastAsia="Times New Roman" w:hAnsi="Book Antiqua" w:cs="Calibri"/>
                <w:b/>
                <w:bCs/>
                <w:color w:val="000000"/>
                <w:sz w:val="16"/>
                <w:szCs w:val="16"/>
                <w:lang w:eastAsia="es-CR"/>
              </w:rPr>
              <w:t>Pendiente solicitud de cambio para notificar formalmente la suspensión del proyecto.</w:t>
            </w:r>
          </w:p>
        </w:tc>
      </w:tr>
      <w:tr w:rsidR="00F71780" w:rsidRPr="007C1781" w14:paraId="6E4F66C3" w14:textId="77777777" w:rsidTr="00301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7" w:type="pct"/>
            <w:tcBorders>
              <w:top w:val="nil"/>
              <w:left w:val="single" w:sz="4" w:space="0" w:color="auto"/>
              <w:bottom w:val="single" w:sz="4" w:space="0" w:color="auto"/>
              <w:right w:val="single" w:sz="4" w:space="0" w:color="auto"/>
            </w:tcBorders>
            <w:shd w:val="clear" w:color="F2F2F2" w:fill="FFFFFF"/>
            <w:noWrap/>
            <w:vAlign w:val="center"/>
            <w:hideMark/>
          </w:tcPr>
          <w:p w14:paraId="5600158B"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0117-DE-P26</w:t>
            </w:r>
          </w:p>
        </w:tc>
        <w:tc>
          <w:tcPr>
            <w:tcW w:w="764" w:type="pct"/>
            <w:tcBorders>
              <w:top w:val="nil"/>
              <w:left w:val="nil"/>
              <w:bottom w:val="single" w:sz="4" w:space="0" w:color="auto"/>
              <w:right w:val="single" w:sz="4" w:space="0" w:color="auto"/>
            </w:tcBorders>
            <w:shd w:val="clear" w:color="F2F2F2" w:fill="FFFFFF"/>
            <w:noWrap/>
            <w:vAlign w:val="center"/>
            <w:hideMark/>
          </w:tcPr>
          <w:p w14:paraId="5C475C5F"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Reacondicionamiento Eléctrico Edificio de Tribunales de Cartago</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14:paraId="38AF9169"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ADMINISTRACION REGIONAL CARTAGO</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A4E5F"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Alexandra Mora Steller</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D7B91"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Luis Solís Jiménez</w:t>
            </w:r>
          </w:p>
        </w:tc>
        <w:tc>
          <w:tcPr>
            <w:tcW w:w="2013" w:type="pct"/>
            <w:tcBorders>
              <w:top w:val="single" w:sz="4" w:space="0" w:color="auto"/>
              <w:left w:val="single" w:sz="4" w:space="0" w:color="auto"/>
              <w:bottom w:val="single" w:sz="4" w:space="0" w:color="auto"/>
              <w:right w:val="single" w:sz="4" w:space="0" w:color="auto"/>
            </w:tcBorders>
          </w:tcPr>
          <w:p w14:paraId="4E8A101D" w14:textId="77777777" w:rsidR="00F71780" w:rsidRDefault="00F71780" w:rsidP="00F400D6">
            <w:pPr>
              <w:spacing w:after="0" w:line="240" w:lineRule="auto"/>
              <w:jc w:val="both"/>
              <w:rPr>
                <w:rFonts w:ascii="Book Antiqua" w:hAnsi="Book Antiqua" w:cs="Calibri"/>
                <w:color w:val="000000"/>
                <w:sz w:val="16"/>
                <w:szCs w:val="16"/>
              </w:rPr>
            </w:pPr>
            <w:r>
              <w:rPr>
                <w:rFonts w:ascii="Book Antiqua" w:hAnsi="Book Antiqua" w:cs="Calibri"/>
                <w:color w:val="000000"/>
                <w:sz w:val="16"/>
                <w:szCs w:val="16"/>
              </w:rPr>
              <w:t xml:space="preserve">Según oficio </w:t>
            </w:r>
            <w:r w:rsidRPr="00CE6C6D">
              <w:rPr>
                <w:rFonts w:ascii="Book Antiqua" w:hAnsi="Book Antiqua" w:cs="Calibri"/>
                <w:color w:val="000000"/>
                <w:sz w:val="16"/>
                <w:szCs w:val="16"/>
              </w:rPr>
              <w:t>162-DE-2023</w:t>
            </w:r>
            <w:r>
              <w:rPr>
                <w:rFonts w:ascii="Book Antiqua" w:hAnsi="Book Antiqua" w:cs="Calibri"/>
                <w:color w:val="000000"/>
                <w:sz w:val="16"/>
                <w:szCs w:val="16"/>
              </w:rPr>
              <w:t xml:space="preserve"> establece que </w:t>
            </w:r>
            <w:r w:rsidRPr="00CE6C6D">
              <w:rPr>
                <w:rFonts w:ascii="Book Antiqua" w:hAnsi="Book Antiqua" w:cs="Calibri"/>
                <w:color w:val="000000"/>
                <w:sz w:val="16"/>
                <w:szCs w:val="16"/>
              </w:rPr>
              <w:t>se deben descartar los siguientes proyectos, debido a que el límite presupuestario impuesto conllevó a dejarlos sin efecto</w:t>
            </w:r>
            <w:r>
              <w:rPr>
                <w:rFonts w:ascii="Book Antiqua" w:hAnsi="Book Antiqua" w:cs="Calibri"/>
                <w:color w:val="000000"/>
                <w:sz w:val="16"/>
                <w:szCs w:val="16"/>
              </w:rPr>
              <w:t>.</w:t>
            </w:r>
          </w:p>
          <w:p w14:paraId="21990959" w14:textId="77777777" w:rsidR="00F71780" w:rsidRDefault="00F71780" w:rsidP="00F400D6">
            <w:pPr>
              <w:spacing w:after="0" w:line="240" w:lineRule="auto"/>
              <w:jc w:val="both"/>
              <w:rPr>
                <w:rFonts w:ascii="Book Antiqua" w:hAnsi="Book Antiqua" w:cs="Calibri"/>
                <w:color w:val="000000"/>
                <w:sz w:val="16"/>
                <w:szCs w:val="16"/>
              </w:rPr>
            </w:pPr>
          </w:p>
          <w:p w14:paraId="07085987" w14:textId="2DAE485B" w:rsidR="00F71780" w:rsidRDefault="006C729E" w:rsidP="00F400D6">
            <w:pPr>
              <w:spacing w:after="0" w:line="240" w:lineRule="auto"/>
              <w:jc w:val="center"/>
            </w:pPr>
            <w:r>
              <w:object w:dxaOrig="1376" w:dyaOrig="899" w14:anchorId="6F6BFEF4">
                <v:shape id="_x0000_i1029" type="#_x0000_t75" style="width:68.25pt;height:45pt" o:ole="">
                  <v:imagedata r:id="rId42" o:title=""/>
                </v:shape>
                <o:OLEObject Type="Embed" ProgID="Acrobat.Document.DC" ShapeID="_x0000_i1029" DrawAspect="Icon" ObjectID="_1749386361" r:id="rId43"/>
              </w:object>
            </w:r>
          </w:p>
          <w:p w14:paraId="665F3A60" w14:textId="77777777" w:rsidR="00F71780" w:rsidRPr="007C1781" w:rsidRDefault="00F71780" w:rsidP="00F400D6">
            <w:pPr>
              <w:spacing w:after="0" w:line="240" w:lineRule="auto"/>
              <w:rPr>
                <w:rFonts w:ascii="Book Antiqua" w:hAnsi="Book Antiqua" w:cs="Calibri"/>
                <w:color w:val="000000"/>
                <w:sz w:val="16"/>
                <w:szCs w:val="16"/>
              </w:rPr>
            </w:pPr>
            <w:r w:rsidRPr="001122DF">
              <w:rPr>
                <w:rFonts w:ascii="Book Antiqua" w:eastAsia="Times New Roman" w:hAnsi="Book Antiqua" w:cs="Calibri"/>
                <w:b/>
                <w:bCs/>
                <w:color w:val="000000"/>
                <w:sz w:val="16"/>
                <w:szCs w:val="16"/>
                <w:lang w:eastAsia="es-CR"/>
              </w:rPr>
              <w:t>Pendiente solicitud de cambio para notificar formalmente la suspensión del proyecto.</w:t>
            </w:r>
          </w:p>
        </w:tc>
      </w:tr>
      <w:tr w:rsidR="00F71780" w:rsidRPr="007C1781" w14:paraId="69A2C059" w14:textId="77777777" w:rsidTr="00301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7" w:type="pct"/>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7264AA3"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0117-DE-P27</w:t>
            </w:r>
          </w:p>
        </w:tc>
        <w:tc>
          <w:tcPr>
            <w:tcW w:w="764" w:type="pct"/>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30A3C8A"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Reacondicionamiento eléctrico del Edificio Plaza de la Justicia</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12E36"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DIRECCION EJECUTIVA</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68A4F"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Denis Villalta Gonzalez</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4D77B"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Maria Bolaños Zeledón</w:t>
            </w:r>
          </w:p>
        </w:tc>
        <w:tc>
          <w:tcPr>
            <w:tcW w:w="2013" w:type="pct"/>
            <w:tcBorders>
              <w:top w:val="single" w:sz="4" w:space="0" w:color="auto"/>
              <w:left w:val="single" w:sz="4" w:space="0" w:color="auto"/>
              <w:bottom w:val="single" w:sz="4" w:space="0" w:color="auto"/>
              <w:right w:val="single" w:sz="4" w:space="0" w:color="auto"/>
            </w:tcBorders>
          </w:tcPr>
          <w:p w14:paraId="798B8144" w14:textId="77777777" w:rsidR="00F71780" w:rsidRDefault="00F71780" w:rsidP="00F400D6">
            <w:pPr>
              <w:spacing w:after="0" w:line="240" w:lineRule="auto"/>
              <w:jc w:val="both"/>
              <w:rPr>
                <w:rFonts w:ascii="Book Antiqua" w:hAnsi="Book Antiqua" w:cs="Calibri"/>
                <w:color w:val="000000"/>
                <w:sz w:val="16"/>
                <w:szCs w:val="16"/>
              </w:rPr>
            </w:pPr>
            <w:r>
              <w:rPr>
                <w:rFonts w:ascii="Book Antiqua" w:hAnsi="Book Antiqua" w:cs="Calibri"/>
                <w:color w:val="000000"/>
                <w:sz w:val="16"/>
                <w:szCs w:val="16"/>
              </w:rPr>
              <w:t xml:space="preserve">Según oficio </w:t>
            </w:r>
            <w:r w:rsidRPr="00CE6C6D">
              <w:rPr>
                <w:rFonts w:ascii="Book Antiqua" w:hAnsi="Book Antiqua" w:cs="Calibri"/>
                <w:color w:val="000000"/>
                <w:sz w:val="16"/>
                <w:szCs w:val="16"/>
              </w:rPr>
              <w:t>162-DE-2023</w:t>
            </w:r>
            <w:r>
              <w:rPr>
                <w:rFonts w:ascii="Book Antiqua" w:hAnsi="Book Antiqua" w:cs="Calibri"/>
                <w:color w:val="000000"/>
                <w:sz w:val="16"/>
                <w:szCs w:val="16"/>
              </w:rPr>
              <w:t xml:space="preserve"> establece que </w:t>
            </w:r>
            <w:r w:rsidRPr="00CE6C6D">
              <w:rPr>
                <w:rFonts w:ascii="Book Antiqua" w:hAnsi="Book Antiqua" w:cs="Calibri"/>
                <w:color w:val="000000"/>
                <w:sz w:val="16"/>
                <w:szCs w:val="16"/>
              </w:rPr>
              <w:t>se deben descartar los siguientes proyectos, debido a que el límite presupuestario impuesto conllevó a dejarlos sin efecto</w:t>
            </w:r>
            <w:r>
              <w:rPr>
                <w:rFonts w:ascii="Book Antiqua" w:hAnsi="Book Antiqua" w:cs="Calibri"/>
                <w:color w:val="000000"/>
                <w:sz w:val="16"/>
                <w:szCs w:val="16"/>
              </w:rPr>
              <w:t>.</w:t>
            </w:r>
          </w:p>
          <w:p w14:paraId="77EB0A02" w14:textId="77777777" w:rsidR="00F71780" w:rsidRDefault="00F71780" w:rsidP="00F400D6">
            <w:pPr>
              <w:spacing w:after="0" w:line="240" w:lineRule="auto"/>
              <w:jc w:val="both"/>
              <w:rPr>
                <w:rFonts w:ascii="Book Antiqua" w:hAnsi="Book Antiqua" w:cs="Calibri"/>
                <w:color w:val="000000"/>
                <w:sz w:val="16"/>
                <w:szCs w:val="16"/>
              </w:rPr>
            </w:pPr>
          </w:p>
          <w:p w14:paraId="0EEBD5C2" w14:textId="3E6A4ADD" w:rsidR="00F71780" w:rsidRDefault="006C729E" w:rsidP="00F400D6">
            <w:pPr>
              <w:spacing w:after="0" w:line="240" w:lineRule="auto"/>
              <w:jc w:val="center"/>
              <w:rPr>
                <w:rFonts w:ascii="Book Antiqua" w:hAnsi="Book Antiqua" w:cs="Calibri"/>
                <w:color w:val="000000"/>
                <w:sz w:val="16"/>
                <w:szCs w:val="16"/>
              </w:rPr>
            </w:pPr>
            <w:r>
              <w:object w:dxaOrig="1376" w:dyaOrig="899" w14:anchorId="1D20BD72">
                <v:shape id="_x0000_i1030" type="#_x0000_t75" style="width:68.25pt;height:45pt" o:ole="">
                  <v:imagedata r:id="rId42" o:title=""/>
                </v:shape>
                <o:OLEObject Type="Embed" ProgID="Acrobat.Document.DC" ShapeID="_x0000_i1030" DrawAspect="Icon" ObjectID="_1749386362" r:id="rId44"/>
              </w:object>
            </w:r>
          </w:p>
          <w:p w14:paraId="07EA0F6C" w14:textId="77777777" w:rsidR="00F71780" w:rsidRDefault="00F71780" w:rsidP="00F400D6">
            <w:pPr>
              <w:spacing w:after="0" w:line="240" w:lineRule="auto"/>
              <w:jc w:val="both"/>
              <w:rPr>
                <w:rFonts w:ascii="Book Antiqua" w:eastAsia="Times New Roman" w:hAnsi="Book Antiqua" w:cs="Calibri"/>
                <w:b/>
                <w:bCs/>
                <w:color w:val="000000"/>
                <w:sz w:val="16"/>
                <w:szCs w:val="16"/>
                <w:lang w:eastAsia="es-CR"/>
              </w:rPr>
            </w:pPr>
            <w:r w:rsidRPr="001122DF">
              <w:rPr>
                <w:rFonts w:ascii="Book Antiqua" w:eastAsia="Times New Roman" w:hAnsi="Book Antiqua" w:cs="Calibri"/>
                <w:b/>
                <w:bCs/>
                <w:color w:val="000000"/>
                <w:sz w:val="16"/>
                <w:szCs w:val="16"/>
                <w:lang w:eastAsia="es-CR"/>
              </w:rPr>
              <w:t>Pendiente solicitud de cambio para notificar formalmente la suspensión del proyecto.</w:t>
            </w:r>
          </w:p>
          <w:p w14:paraId="08741DAA" w14:textId="5D4A56A0" w:rsidR="00876449" w:rsidRPr="007C1781" w:rsidRDefault="00876449" w:rsidP="00F400D6">
            <w:pPr>
              <w:spacing w:after="0" w:line="240" w:lineRule="auto"/>
              <w:jc w:val="both"/>
              <w:rPr>
                <w:rFonts w:ascii="Book Antiqua" w:hAnsi="Book Antiqua" w:cs="Calibri"/>
                <w:color w:val="000000"/>
                <w:sz w:val="16"/>
                <w:szCs w:val="16"/>
              </w:rPr>
            </w:pPr>
          </w:p>
        </w:tc>
      </w:tr>
      <w:tr w:rsidR="00F71780" w:rsidRPr="007C1781" w14:paraId="670EED46" w14:textId="77777777" w:rsidTr="00301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7" w:type="pct"/>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3B9FC03"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0117-DE-P72</w:t>
            </w:r>
          </w:p>
        </w:tc>
        <w:tc>
          <w:tcPr>
            <w:tcW w:w="764" w:type="pct"/>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105C539"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Cambio de cubierta de bodegas Ciudad Judicial</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BF625"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ADMINISTRACION REGIONAL CIUDAD JUDICIAL SAN JOAQUIN DE FLORES</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ECC7F"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Ronald Vargas Bolaños</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802EB"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Ronald Vargas Bolaños</w:t>
            </w:r>
          </w:p>
        </w:tc>
        <w:tc>
          <w:tcPr>
            <w:tcW w:w="2013" w:type="pct"/>
            <w:tcBorders>
              <w:top w:val="single" w:sz="4" w:space="0" w:color="auto"/>
              <w:left w:val="single" w:sz="4" w:space="0" w:color="auto"/>
              <w:bottom w:val="single" w:sz="4" w:space="0" w:color="auto"/>
              <w:right w:val="single" w:sz="4" w:space="0" w:color="auto"/>
            </w:tcBorders>
          </w:tcPr>
          <w:p w14:paraId="15E4E8F6" w14:textId="77777777" w:rsidR="00F71780" w:rsidRDefault="00F71780" w:rsidP="00F400D6">
            <w:pPr>
              <w:spacing w:after="0" w:line="240" w:lineRule="auto"/>
              <w:jc w:val="both"/>
              <w:rPr>
                <w:rFonts w:ascii="Book Antiqua" w:hAnsi="Book Antiqua" w:cs="Calibri"/>
                <w:color w:val="000000"/>
                <w:sz w:val="16"/>
                <w:szCs w:val="16"/>
              </w:rPr>
            </w:pPr>
            <w:r>
              <w:rPr>
                <w:rFonts w:ascii="Book Antiqua" w:hAnsi="Book Antiqua" w:cs="Calibri"/>
                <w:color w:val="000000"/>
                <w:sz w:val="16"/>
                <w:szCs w:val="16"/>
              </w:rPr>
              <w:t xml:space="preserve">Según oficio </w:t>
            </w:r>
            <w:r w:rsidRPr="00CE6C6D">
              <w:rPr>
                <w:rFonts w:ascii="Book Antiqua" w:hAnsi="Book Antiqua" w:cs="Calibri"/>
                <w:color w:val="000000"/>
                <w:sz w:val="16"/>
                <w:szCs w:val="16"/>
              </w:rPr>
              <w:t>162-DE-2023</w:t>
            </w:r>
            <w:r>
              <w:rPr>
                <w:rFonts w:ascii="Book Antiqua" w:hAnsi="Book Antiqua" w:cs="Calibri"/>
                <w:color w:val="000000"/>
                <w:sz w:val="16"/>
                <w:szCs w:val="16"/>
              </w:rPr>
              <w:t xml:space="preserve"> establece que </w:t>
            </w:r>
            <w:r w:rsidRPr="00CE6C6D">
              <w:rPr>
                <w:rFonts w:ascii="Book Antiqua" w:hAnsi="Book Antiqua" w:cs="Calibri"/>
                <w:color w:val="000000"/>
                <w:sz w:val="16"/>
                <w:szCs w:val="16"/>
              </w:rPr>
              <w:t>se deben descartar los siguientes proyectos, debido a que el límite presupuestario impuesto conllevó a dejarlos sin efecto</w:t>
            </w:r>
            <w:r>
              <w:rPr>
                <w:rFonts w:ascii="Book Antiqua" w:hAnsi="Book Antiqua" w:cs="Calibri"/>
                <w:color w:val="000000"/>
                <w:sz w:val="16"/>
                <w:szCs w:val="16"/>
              </w:rPr>
              <w:t>.</w:t>
            </w:r>
          </w:p>
          <w:p w14:paraId="09C9D4F3" w14:textId="77777777" w:rsidR="00F71780" w:rsidRDefault="00F71780" w:rsidP="00F400D6">
            <w:pPr>
              <w:spacing w:after="0" w:line="240" w:lineRule="auto"/>
              <w:jc w:val="both"/>
              <w:rPr>
                <w:rFonts w:ascii="Book Antiqua" w:hAnsi="Book Antiqua" w:cs="Calibri"/>
                <w:color w:val="000000"/>
                <w:sz w:val="16"/>
                <w:szCs w:val="16"/>
              </w:rPr>
            </w:pPr>
          </w:p>
          <w:p w14:paraId="1EFB2EDE" w14:textId="503A1AAF" w:rsidR="00F71780" w:rsidRDefault="006C729E" w:rsidP="00F400D6">
            <w:pPr>
              <w:spacing w:after="0" w:line="240" w:lineRule="auto"/>
              <w:jc w:val="center"/>
            </w:pPr>
            <w:r>
              <w:object w:dxaOrig="1376" w:dyaOrig="899" w14:anchorId="0C1079FC">
                <v:shape id="_x0000_i1031" type="#_x0000_t75" style="width:68.25pt;height:45pt" o:ole="">
                  <v:imagedata r:id="rId42" o:title=""/>
                </v:shape>
                <o:OLEObject Type="Embed" ProgID="Acrobat.Document.DC" ShapeID="_x0000_i1031" DrawAspect="Icon" ObjectID="_1749386363" r:id="rId45"/>
              </w:object>
            </w:r>
          </w:p>
          <w:p w14:paraId="291BD8DC" w14:textId="77777777" w:rsidR="00F71780" w:rsidRDefault="00F71780" w:rsidP="00F400D6">
            <w:pPr>
              <w:spacing w:after="0" w:line="240" w:lineRule="auto"/>
              <w:rPr>
                <w:rFonts w:ascii="Book Antiqua" w:eastAsia="Times New Roman" w:hAnsi="Book Antiqua" w:cs="Calibri"/>
                <w:b/>
                <w:bCs/>
                <w:color w:val="000000"/>
                <w:sz w:val="16"/>
                <w:szCs w:val="16"/>
                <w:lang w:eastAsia="es-CR"/>
              </w:rPr>
            </w:pPr>
            <w:r w:rsidRPr="001122DF">
              <w:rPr>
                <w:rFonts w:ascii="Book Antiqua" w:eastAsia="Times New Roman" w:hAnsi="Book Antiqua" w:cs="Calibri"/>
                <w:b/>
                <w:bCs/>
                <w:color w:val="000000"/>
                <w:sz w:val="16"/>
                <w:szCs w:val="16"/>
                <w:lang w:eastAsia="es-CR"/>
              </w:rPr>
              <w:t>Pendiente solicitud de cambio para notificar formalmente la suspensión del proyecto.</w:t>
            </w:r>
          </w:p>
          <w:p w14:paraId="2541C428" w14:textId="58FE269A" w:rsidR="00876449" w:rsidRPr="00CE6C6D" w:rsidRDefault="00876449" w:rsidP="00F400D6">
            <w:pPr>
              <w:spacing w:after="0" w:line="240" w:lineRule="auto"/>
            </w:pPr>
          </w:p>
        </w:tc>
      </w:tr>
      <w:tr w:rsidR="00F71780" w:rsidRPr="007C1781" w14:paraId="4A3D7421" w14:textId="77777777" w:rsidTr="00301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7" w:type="pct"/>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2B17FDB"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0117-DE-P74</w:t>
            </w:r>
          </w:p>
        </w:tc>
        <w:tc>
          <w:tcPr>
            <w:tcW w:w="764" w:type="pct"/>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E82BDD7"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 xml:space="preserve">Acondicionamiento eléctrico del Edificio de </w:t>
            </w:r>
            <w:r w:rsidRPr="007C1781">
              <w:rPr>
                <w:rFonts w:ascii="Book Antiqua" w:hAnsi="Book Antiqua" w:cs="Calibri"/>
                <w:color w:val="000000"/>
                <w:sz w:val="16"/>
                <w:szCs w:val="16"/>
              </w:rPr>
              <w:lastRenderedPageBreak/>
              <w:t>Tribunales de Liberia</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9AD4E"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lastRenderedPageBreak/>
              <w:t xml:space="preserve">ADMINISTRACION REGIONAL I CIRCUITO </w:t>
            </w:r>
            <w:r w:rsidRPr="007C1781">
              <w:rPr>
                <w:rFonts w:ascii="Book Antiqua" w:hAnsi="Book Antiqua" w:cs="Calibri"/>
                <w:color w:val="000000"/>
                <w:sz w:val="16"/>
                <w:szCs w:val="16"/>
              </w:rPr>
              <w:lastRenderedPageBreak/>
              <w:t>JUDICIAL GUANACASTE</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A7F20"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lastRenderedPageBreak/>
              <w:t xml:space="preserve">Licda  Seidy </w:t>
            </w:r>
            <w:r w:rsidRPr="007C1781">
              <w:rPr>
                <w:rFonts w:ascii="Book Antiqua" w:hAnsi="Book Antiqua" w:cs="Calibri"/>
                <w:color w:val="000000"/>
                <w:sz w:val="16"/>
                <w:szCs w:val="16"/>
              </w:rPr>
              <w:lastRenderedPageBreak/>
              <w:t>Jiménez Bermúdez</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BB6C7"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lastRenderedPageBreak/>
              <w:t xml:space="preserve">Lic. Luis Angel  </w:t>
            </w:r>
            <w:r w:rsidRPr="007C1781">
              <w:rPr>
                <w:rFonts w:ascii="Book Antiqua" w:hAnsi="Book Antiqua" w:cs="Calibri"/>
                <w:color w:val="000000"/>
                <w:sz w:val="16"/>
                <w:szCs w:val="16"/>
              </w:rPr>
              <w:lastRenderedPageBreak/>
              <w:t>Vásquez Vallejos</w:t>
            </w:r>
          </w:p>
        </w:tc>
        <w:tc>
          <w:tcPr>
            <w:tcW w:w="2013" w:type="pct"/>
            <w:tcBorders>
              <w:top w:val="single" w:sz="4" w:space="0" w:color="auto"/>
              <w:left w:val="single" w:sz="4" w:space="0" w:color="auto"/>
              <w:bottom w:val="single" w:sz="4" w:space="0" w:color="auto"/>
              <w:right w:val="single" w:sz="4" w:space="0" w:color="auto"/>
            </w:tcBorders>
          </w:tcPr>
          <w:p w14:paraId="110FED6D" w14:textId="77777777" w:rsidR="00F71780" w:rsidRDefault="00F71780" w:rsidP="00F400D6">
            <w:pPr>
              <w:spacing w:after="0" w:line="240" w:lineRule="auto"/>
              <w:jc w:val="both"/>
              <w:rPr>
                <w:rFonts w:ascii="Book Antiqua" w:hAnsi="Book Antiqua" w:cs="Calibri"/>
                <w:color w:val="000000"/>
                <w:sz w:val="16"/>
                <w:szCs w:val="16"/>
              </w:rPr>
            </w:pPr>
            <w:r>
              <w:rPr>
                <w:rFonts w:ascii="Book Antiqua" w:hAnsi="Book Antiqua" w:cs="Calibri"/>
                <w:color w:val="000000"/>
                <w:sz w:val="16"/>
                <w:szCs w:val="16"/>
              </w:rPr>
              <w:lastRenderedPageBreak/>
              <w:t>Mediante solicitud de cambio se solicita la suspensión del proyecto indicando el siguiente motivo:</w:t>
            </w:r>
          </w:p>
          <w:p w14:paraId="2B142F43" w14:textId="77777777" w:rsidR="00F71780" w:rsidRPr="00DD3D8A" w:rsidRDefault="00F71780" w:rsidP="00F400D6">
            <w:pPr>
              <w:pStyle w:val="paragraph"/>
              <w:spacing w:before="0" w:beforeAutospacing="0" w:after="0" w:afterAutospacing="0"/>
              <w:textAlignment w:val="baseline"/>
              <w:rPr>
                <w:rFonts w:ascii="Book Antiqua" w:eastAsiaTheme="minorHAnsi" w:hAnsi="Book Antiqua" w:cs="Calibri"/>
                <w:color w:val="000000"/>
                <w:sz w:val="16"/>
                <w:szCs w:val="16"/>
                <w:lang w:eastAsia="en-US"/>
              </w:rPr>
            </w:pPr>
            <w:r w:rsidRPr="00DD3D8A">
              <w:rPr>
                <w:rFonts w:ascii="Book Antiqua" w:eastAsiaTheme="minorHAnsi" w:hAnsi="Book Antiqua" w:cs="Calibri"/>
                <w:sz w:val="16"/>
                <w:szCs w:val="16"/>
                <w:lang w:eastAsia="en-US"/>
              </w:rPr>
              <w:lastRenderedPageBreak/>
              <w:t>“Los recursos</w:t>
            </w:r>
            <w:r w:rsidRPr="00DD3D8A">
              <w:rPr>
                <w:rFonts w:eastAsiaTheme="minorHAnsi"/>
                <w:sz w:val="16"/>
                <w:szCs w:val="16"/>
                <w:lang w:eastAsia="en-US"/>
              </w:rPr>
              <w:t>  </w:t>
            </w:r>
            <w:r w:rsidRPr="00DD3D8A">
              <w:rPr>
                <w:rFonts w:ascii="Book Antiqua" w:eastAsiaTheme="minorHAnsi" w:hAnsi="Book Antiqua" w:cs="Calibri"/>
                <w:sz w:val="16"/>
                <w:szCs w:val="16"/>
                <w:lang w:eastAsia="en-US"/>
              </w:rPr>
              <w:t xml:space="preserve"> se debieron tomar para concluir el proyecto de cambio de luminarias que quedó</w:t>
            </w:r>
            <w:r w:rsidRPr="00DD3D8A">
              <w:rPr>
                <w:rFonts w:eastAsiaTheme="minorHAnsi"/>
                <w:sz w:val="16"/>
                <w:szCs w:val="16"/>
                <w:lang w:eastAsia="en-US"/>
              </w:rPr>
              <w:t>  </w:t>
            </w:r>
            <w:r w:rsidRPr="00DD3D8A">
              <w:rPr>
                <w:rFonts w:ascii="Book Antiqua" w:eastAsiaTheme="minorHAnsi" w:hAnsi="Book Antiqua" w:cs="Calibri"/>
                <w:sz w:val="16"/>
                <w:szCs w:val="16"/>
                <w:lang w:eastAsia="en-US"/>
              </w:rPr>
              <w:t xml:space="preserve"> como compromiso no devengado</w:t>
            </w:r>
            <w:r w:rsidRPr="00DD3D8A">
              <w:rPr>
                <w:rFonts w:eastAsiaTheme="minorHAnsi"/>
                <w:sz w:val="16"/>
                <w:szCs w:val="16"/>
                <w:lang w:eastAsia="en-US"/>
              </w:rPr>
              <w:t> </w:t>
            </w:r>
            <w:r w:rsidRPr="00DD3D8A">
              <w:rPr>
                <w:rFonts w:ascii="Book Antiqua" w:eastAsiaTheme="minorHAnsi" w:hAnsi="Book Antiqua" w:cs="Calibri"/>
                <w:sz w:val="16"/>
                <w:szCs w:val="16"/>
                <w:lang w:eastAsia="en-US"/>
              </w:rPr>
              <w:t>en el 2022, sin embargo, para</w:t>
            </w:r>
            <w:r w:rsidRPr="00DD3D8A">
              <w:rPr>
                <w:rFonts w:ascii="Book Antiqua" w:eastAsiaTheme="minorHAnsi" w:hAnsi="Book Antiqua" w:cs="Book Antiqua"/>
                <w:sz w:val="16"/>
                <w:szCs w:val="16"/>
                <w:lang w:eastAsia="en-US"/>
              </w:rPr>
              <w:t xml:space="preserve"> 2024</w:t>
            </w:r>
            <w:r w:rsidRPr="00DD3D8A">
              <w:rPr>
                <w:rFonts w:ascii="Book Antiqua" w:eastAsiaTheme="minorHAnsi" w:hAnsi="Book Antiqua" w:cs="Calibri"/>
                <w:sz w:val="16"/>
                <w:szCs w:val="16"/>
                <w:lang w:eastAsia="en-US"/>
              </w:rPr>
              <w:t xml:space="preserve"> no</w:t>
            </w:r>
            <w:r w:rsidRPr="00DD3D8A">
              <w:rPr>
                <w:rFonts w:ascii="Book Antiqua" w:eastAsiaTheme="minorHAnsi" w:hAnsi="Book Antiqua" w:cs="Book Antiqua"/>
                <w:sz w:val="16"/>
                <w:szCs w:val="16"/>
                <w:lang w:eastAsia="en-US"/>
              </w:rPr>
              <w:t xml:space="preserve"> está contemplado</w:t>
            </w:r>
            <w:r w:rsidRPr="00DD3D8A">
              <w:rPr>
                <w:rFonts w:ascii="Book Antiqua" w:eastAsiaTheme="minorHAnsi" w:hAnsi="Book Antiqua" w:cs="Calibri"/>
                <w:sz w:val="16"/>
                <w:szCs w:val="16"/>
                <w:lang w:eastAsia="en-US"/>
              </w:rPr>
              <w:t xml:space="preserve"> requerimiento.</w:t>
            </w:r>
            <w:r w:rsidRPr="00DD3D8A">
              <w:rPr>
                <w:rFonts w:ascii="Book Antiqua" w:eastAsiaTheme="minorHAnsi" w:hAnsi="Book Antiqua" w:cs="Book Antiqua"/>
                <w:sz w:val="16"/>
                <w:szCs w:val="16"/>
                <w:lang w:eastAsia="en-US"/>
              </w:rPr>
              <w:t> </w:t>
            </w:r>
            <w:r w:rsidRPr="00DD3D8A">
              <w:rPr>
                <w:rFonts w:ascii="Book Antiqua" w:eastAsiaTheme="minorHAnsi" w:hAnsi="Book Antiqua" w:cs="Calibri"/>
                <w:sz w:val="16"/>
                <w:szCs w:val="16"/>
                <w:lang w:eastAsia="en-US"/>
              </w:rPr>
              <w:t> </w:t>
            </w:r>
          </w:p>
          <w:p w14:paraId="4065EDD0" w14:textId="77777777" w:rsidR="00F71780" w:rsidRDefault="00F71780" w:rsidP="00F400D6">
            <w:pPr>
              <w:pStyle w:val="paragraph"/>
              <w:spacing w:before="0" w:beforeAutospacing="0" w:after="0" w:afterAutospacing="0"/>
              <w:textAlignment w:val="baseline"/>
              <w:rPr>
                <w:rFonts w:ascii="Book Antiqua" w:eastAsiaTheme="minorHAnsi" w:hAnsi="Book Antiqua" w:cs="Calibri"/>
                <w:color w:val="000000"/>
                <w:sz w:val="16"/>
                <w:szCs w:val="16"/>
                <w:lang w:eastAsia="en-US"/>
              </w:rPr>
            </w:pPr>
            <w:r w:rsidRPr="00DD3D8A">
              <w:rPr>
                <w:rFonts w:ascii="Book Antiqua" w:eastAsiaTheme="minorHAnsi" w:hAnsi="Book Antiqua" w:cs="Calibri"/>
                <w:color w:val="000000"/>
                <w:sz w:val="16"/>
                <w:szCs w:val="16"/>
                <w:lang w:eastAsia="en-US"/>
              </w:rPr>
              <w:t>Se debe considerar la inclusión de recursos para el año 2025, o en su defecto realizar un ajuste   a nivel institucional   y establecer este proyecto como prioridad”</w:t>
            </w:r>
          </w:p>
          <w:p w14:paraId="2161218D" w14:textId="77777777" w:rsidR="00F71780" w:rsidRDefault="00F71780" w:rsidP="00F400D6">
            <w:pPr>
              <w:pStyle w:val="paragraph"/>
              <w:spacing w:before="0" w:beforeAutospacing="0" w:after="0" w:afterAutospacing="0"/>
              <w:textAlignment w:val="baseline"/>
              <w:rPr>
                <w:rFonts w:ascii="Book Antiqua" w:eastAsiaTheme="minorHAnsi" w:hAnsi="Book Antiqua" w:cs="Calibri"/>
                <w:color w:val="000000"/>
                <w:sz w:val="16"/>
                <w:szCs w:val="16"/>
              </w:rPr>
            </w:pPr>
          </w:p>
          <w:p w14:paraId="2650E1A9" w14:textId="582446AD" w:rsidR="00F71780" w:rsidRPr="00DD3D8A" w:rsidRDefault="006C729E" w:rsidP="00F400D6">
            <w:pPr>
              <w:pStyle w:val="paragraph"/>
              <w:spacing w:before="0" w:beforeAutospacing="0" w:after="0" w:afterAutospacing="0"/>
              <w:textAlignment w:val="baseline"/>
              <w:rPr>
                <w:rFonts w:ascii="Book Antiqua" w:eastAsiaTheme="minorHAnsi" w:hAnsi="Book Antiqua" w:cs="Calibri"/>
                <w:color w:val="000000"/>
                <w:sz w:val="16"/>
                <w:szCs w:val="16"/>
                <w:lang w:eastAsia="en-US"/>
              </w:rPr>
            </w:pPr>
            <w:r>
              <w:object w:dxaOrig="1376" w:dyaOrig="899" w14:anchorId="6F247B88">
                <v:shape id="_x0000_i1032" type="#_x0000_t75" style="width:68.25pt;height:45pt" o:ole="">
                  <v:imagedata r:id="rId46" o:title=""/>
                </v:shape>
                <o:OLEObject Type="Embed" ProgID="Acrobat.Document.DC" ShapeID="_x0000_i1032" DrawAspect="Icon" ObjectID="_1749386364" r:id="rId47"/>
              </w:object>
            </w:r>
          </w:p>
          <w:p w14:paraId="07EDD628" w14:textId="77777777" w:rsidR="00F71780" w:rsidRPr="007C1781" w:rsidRDefault="00F71780" w:rsidP="00F400D6">
            <w:pPr>
              <w:spacing w:after="0" w:line="240" w:lineRule="auto"/>
              <w:jc w:val="both"/>
              <w:rPr>
                <w:rFonts w:ascii="Book Antiqua" w:hAnsi="Book Antiqua" w:cs="Calibri"/>
                <w:color w:val="000000"/>
                <w:sz w:val="16"/>
                <w:szCs w:val="16"/>
              </w:rPr>
            </w:pPr>
          </w:p>
        </w:tc>
      </w:tr>
      <w:tr w:rsidR="0078290B" w:rsidRPr="007C1781" w14:paraId="5B431DB2" w14:textId="77777777" w:rsidTr="00301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9A16DA" w14:textId="1458D66B" w:rsidR="0078290B" w:rsidRPr="007C1781" w:rsidRDefault="0078290B" w:rsidP="003A476F">
            <w:pPr>
              <w:spacing w:after="0" w:line="240" w:lineRule="auto"/>
              <w:jc w:val="center"/>
              <w:rPr>
                <w:rFonts w:ascii="Book Antiqua" w:hAnsi="Book Antiqua" w:cs="Calibri"/>
                <w:color w:val="000000"/>
                <w:sz w:val="16"/>
                <w:szCs w:val="16"/>
              </w:rPr>
            </w:pPr>
            <w:r w:rsidRPr="0078290B">
              <w:rPr>
                <w:rFonts w:ascii="Book Antiqua" w:hAnsi="Book Antiqua" w:cs="Calibri"/>
                <w:color w:val="000000"/>
                <w:sz w:val="16"/>
                <w:szCs w:val="16"/>
              </w:rPr>
              <w:lastRenderedPageBreak/>
              <w:t>1167-OIJ-P34</w:t>
            </w:r>
          </w:p>
        </w:tc>
        <w:tc>
          <w:tcPr>
            <w:tcW w:w="7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6B7FAA" w14:textId="25958B4A" w:rsidR="0078290B" w:rsidRPr="007C1781" w:rsidRDefault="0078290B" w:rsidP="003A476F">
            <w:pPr>
              <w:spacing w:after="0" w:line="240" w:lineRule="auto"/>
              <w:jc w:val="center"/>
              <w:rPr>
                <w:rFonts w:ascii="Book Antiqua" w:hAnsi="Book Antiqua" w:cs="Calibri"/>
                <w:color w:val="000000"/>
                <w:sz w:val="16"/>
                <w:szCs w:val="16"/>
              </w:rPr>
            </w:pPr>
            <w:r w:rsidRPr="0078290B">
              <w:rPr>
                <w:rFonts w:ascii="Book Antiqua" w:hAnsi="Book Antiqua" w:cs="Calibri"/>
                <w:color w:val="000000"/>
                <w:sz w:val="16"/>
                <w:szCs w:val="16"/>
              </w:rPr>
              <w:t>Sustitución del sistema de detección y supresión de incendios del edificio del Departamento de Ciencias Forenses</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0D67C4" w14:textId="64D6E2BF" w:rsidR="0078290B" w:rsidRPr="007C1781" w:rsidRDefault="00A2547C" w:rsidP="003A476F">
            <w:pPr>
              <w:spacing w:after="0" w:line="240" w:lineRule="auto"/>
              <w:jc w:val="center"/>
              <w:rPr>
                <w:rFonts w:ascii="Book Antiqua" w:hAnsi="Book Antiqua" w:cs="Calibri"/>
                <w:color w:val="000000"/>
                <w:sz w:val="16"/>
                <w:szCs w:val="16"/>
              </w:rPr>
            </w:pPr>
            <w:r w:rsidRPr="00A2547C">
              <w:rPr>
                <w:rFonts w:ascii="Book Antiqua" w:hAnsi="Book Antiqua" w:cs="Calibri"/>
                <w:color w:val="000000"/>
                <w:sz w:val="16"/>
                <w:szCs w:val="16"/>
              </w:rPr>
              <w:t>0083 DEPARTAMENTO DE LABORATORIO DE CIENCIAS FORENSES</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5276DD" w14:textId="20700189" w:rsidR="0078290B" w:rsidRPr="007C1781" w:rsidRDefault="00A2547C" w:rsidP="003A476F">
            <w:pPr>
              <w:spacing w:after="0" w:line="240" w:lineRule="auto"/>
              <w:jc w:val="center"/>
              <w:rPr>
                <w:rFonts w:ascii="Book Antiqua" w:hAnsi="Book Antiqua" w:cs="Calibri"/>
                <w:color w:val="000000"/>
                <w:sz w:val="16"/>
                <w:szCs w:val="16"/>
              </w:rPr>
            </w:pPr>
            <w:r w:rsidRPr="00A2547C">
              <w:rPr>
                <w:rFonts w:ascii="Book Antiqua" w:hAnsi="Book Antiqua" w:cs="Calibri"/>
                <w:color w:val="000000"/>
                <w:sz w:val="16"/>
                <w:szCs w:val="16"/>
              </w:rPr>
              <w:t>Mauricio Chacón Hernández</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A6B9A6" w14:textId="59E7A353" w:rsidR="0078290B" w:rsidRPr="007C1781" w:rsidRDefault="00A2547C" w:rsidP="003A476F">
            <w:pPr>
              <w:spacing w:after="0" w:line="240" w:lineRule="auto"/>
              <w:jc w:val="center"/>
              <w:rPr>
                <w:rFonts w:ascii="Book Antiqua" w:hAnsi="Book Antiqua" w:cs="Calibri"/>
                <w:color w:val="000000"/>
                <w:sz w:val="16"/>
                <w:szCs w:val="16"/>
              </w:rPr>
            </w:pPr>
            <w:r w:rsidRPr="00A2547C">
              <w:rPr>
                <w:rFonts w:ascii="Book Antiqua" w:hAnsi="Book Antiqua" w:cs="Calibri"/>
                <w:color w:val="000000"/>
                <w:sz w:val="16"/>
                <w:szCs w:val="16"/>
              </w:rPr>
              <w:t>Carolina Rojas Alfaro</w:t>
            </w:r>
          </w:p>
        </w:tc>
        <w:tc>
          <w:tcPr>
            <w:tcW w:w="2013" w:type="pct"/>
            <w:tcBorders>
              <w:top w:val="single" w:sz="4" w:space="0" w:color="auto"/>
              <w:left w:val="single" w:sz="4" w:space="0" w:color="auto"/>
              <w:bottom w:val="single" w:sz="4" w:space="0" w:color="auto"/>
              <w:right w:val="single" w:sz="4" w:space="0" w:color="auto"/>
            </w:tcBorders>
          </w:tcPr>
          <w:p w14:paraId="21D92D54" w14:textId="64168E4B" w:rsidR="0078290B" w:rsidRDefault="00A2547C" w:rsidP="00A2547C">
            <w:pPr>
              <w:spacing w:after="0" w:line="240" w:lineRule="auto"/>
              <w:jc w:val="both"/>
              <w:rPr>
                <w:rFonts w:ascii="Book Antiqua" w:hAnsi="Book Antiqua" w:cs="Calibri"/>
                <w:color w:val="000000"/>
                <w:sz w:val="16"/>
                <w:szCs w:val="16"/>
              </w:rPr>
            </w:pPr>
            <w:r>
              <w:rPr>
                <w:rFonts w:ascii="Book Antiqua" w:hAnsi="Book Antiqua" w:cs="Calibri"/>
                <w:color w:val="000000"/>
                <w:sz w:val="16"/>
                <w:szCs w:val="16"/>
              </w:rPr>
              <w:t>Según acuerdo del Consejo Superior 41-2023 celebrado el 16 de mayo del presente año XXXIV, establece: “</w:t>
            </w:r>
            <w:r w:rsidRPr="00A2547C">
              <w:rPr>
                <w:rFonts w:ascii="Book Antiqua" w:hAnsi="Book Antiqua" w:cs="Calibri"/>
                <w:color w:val="000000"/>
                <w:sz w:val="16"/>
                <w:szCs w:val="16"/>
              </w:rPr>
              <w:t>1.) Tener por conocido el oficio N° 196-DCF-2023 del 4 de mayo de 2023, suscrito por el máster Mauricio Chacón Hernández, Jefe del Departamento de Ciencias Forenses, en que hace de conocimiento las limitaciones y restricciones en la tramitología relacionada con los proyectos de construcción Nº 1167-OIJ-P33 y Nº 1167-OIJ-P34.  2.) Trasladar a la Dirección Ejecutiva para que realice las aclaraciones correspondientes. 3.) Hacer este acuerdo de conocimiento de la Dirección de Planificación.</w:t>
            </w:r>
            <w:r>
              <w:rPr>
                <w:rFonts w:ascii="Book Antiqua" w:hAnsi="Book Antiqua" w:cs="Calibri"/>
                <w:color w:val="000000"/>
                <w:sz w:val="16"/>
                <w:szCs w:val="16"/>
              </w:rPr>
              <w:t xml:space="preserve">”. </w:t>
            </w:r>
            <w:r w:rsidR="00E8321A">
              <w:rPr>
                <w:rFonts w:ascii="Book Antiqua" w:hAnsi="Book Antiqua" w:cs="Calibri"/>
                <w:color w:val="000000"/>
                <w:sz w:val="16"/>
                <w:szCs w:val="16"/>
              </w:rPr>
              <w:t>Además,</w:t>
            </w:r>
            <w:r>
              <w:rPr>
                <w:rFonts w:ascii="Book Antiqua" w:hAnsi="Book Antiqua" w:cs="Calibri"/>
                <w:color w:val="000000"/>
                <w:sz w:val="16"/>
                <w:szCs w:val="16"/>
              </w:rPr>
              <w:t xml:space="preserve"> en dicho acuerdo se indica lo siguiente: “</w:t>
            </w:r>
            <w:r w:rsidRPr="00A2547C">
              <w:rPr>
                <w:rFonts w:ascii="Book Antiqua" w:hAnsi="Book Antiqua" w:cs="Calibri"/>
                <w:color w:val="000000"/>
                <w:sz w:val="16"/>
                <w:szCs w:val="16"/>
              </w:rPr>
              <w:t>2) Respecto al proyecto Medios de egreso del Departamento de Ciencias Forenses</w:t>
            </w:r>
            <w:r>
              <w:rPr>
                <w:rFonts w:ascii="Book Antiqua" w:hAnsi="Book Antiqua" w:cs="Calibri"/>
                <w:color w:val="000000"/>
                <w:sz w:val="16"/>
                <w:szCs w:val="16"/>
              </w:rPr>
              <w:t xml:space="preserve"> </w:t>
            </w:r>
            <w:r w:rsidRPr="00A2547C">
              <w:rPr>
                <w:rFonts w:ascii="Book Antiqua" w:hAnsi="Book Antiqua" w:cs="Calibri"/>
                <w:color w:val="000000"/>
                <w:sz w:val="16"/>
                <w:szCs w:val="16"/>
              </w:rPr>
              <w:t>dado que su ejecución quedó para el año 2024, finalizando en el 2025 y el proyecto Detección y supresión de incendios del Departamento de Ciencias Forenses</w:t>
            </w:r>
            <w:r>
              <w:rPr>
                <w:rFonts w:ascii="Book Antiqua" w:hAnsi="Book Antiqua" w:cs="Calibri"/>
                <w:color w:val="000000"/>
                <w:sz w:val="16"/>
                <w:szCs w:val="16"/>
              </w:rPr>
              <w:t xml:space="preserve"> </w:t>
            </w:r>
            <w:r w:rsidRPr="00A2547C">
              <w:rPr>
                <w:rFonts w:ascii="Book Antiqua" w:hAnsi="Book Antiqua" w:cs="Calibri"/>
                <w:color w:val="000000"/>
                <w:sz w:val="16"/>
                <w:szCs w:val="16"/>
              </w:rPr>
              <w:t>quedó para los periodos 2025 y 2026, deberá de gestionar el ingreso en el Portafolio de Proyectos hasta tanto cuente con los insumos necesarios para poder completar las matrices requeridas de cada proyecto</w:t>
            </w:r>
            <w:r>
              <w:rPr>
                <w:rFonts w:ascii="Book Antiqua" w:hAnsi="Book Antiqua" w:cs="Calibri"/>
                <w:color w:val="000000"/>
                <w:sz w:val="16"/>
                <w:szCs w:val="16"/>
              </w:rPr>
              <w:t xml:space="preserve">” </w:t>
            </w:r>
          </w:p>
          <w:bookmarkStart w:id="71" w:name="_MON_1749384382"/>
          <w:bookmarkEnd w:id="71"/>
          <w:p w14:paraId="35623134" w14:textId="486F27E3" w:rsidR="00A2547C" w:rsidRDefault="00E8321A" w:rsidP="00A2547C">
            <w:pPr>
              <w:spacing w:after="0" w:line="240" w:lineRule="auto"/>
              <w:jc w:val="both"/>
            </w:pPr>
            <w:r>
              <w:object w:dxaOrig="1537" w:dyaOrig="997" w14:anchorId="2F870A14">
                <v:shape id="_x0000_i1033" type="#_x0000_t75" style="width:77.25pt;height:51pt" o:ole="">
                  <v:imagedata r:id="rId48" o:title=""/>
                </v:shape>
                <o:OLEObject Type="Embed" ProgID="Word.Document.12" ShapeID="_x0000_i1033" DrawAspect="Icon" ObjectID="_1749386365" r:id="rId49">
                  <o:FieldCodes>\s</o:FieldCodes>
                </o:OLEObject>
              </w:object>
            </w:r>
            <w:r w:rsidR="006C729E">
              <w:object w:dxaOrig="1440" w:dyaOrig="932" w14:anchorId="6A9A67C5">
                <v:shape id="_x0000_i1034" type="#_x0000_t75" style="width:66pt;height:42.75pt" o:ole="">
                  <v:imagedata r:id="rId50" o:title=""/>
                </v:shape>
                <o:OLEObject Type="Embed" ProgID="Acrobat.Document.DC" ShapeID="_x0000_i1034" DrawAspect="Icon" ObjectID="_1749386366" r:id="rId51"/>
              </w:object>
            </w:r>
          </w:p>
          <w:p w14:paraId="002D0C72" w14:textId="05B741FC" w:rsidR="00E8321A" w:rsidRDefault="00E8321A" w:rsidP="00A2547C">
            <w:pPr>
              <w:spacing w:after="0" w:line="240" w:lineRule="auto"/>
              <w:jc w:val="both"/>
              <w:rPr>
                <w:rFonts w:ascii="Book Antiqua" w:hAnsi="Book Antiqua" w:cs="Calibri"/>
                <w:color w:val="000000"/>
                <w:sz w:val="16"/>
                <w:szCs w:val="16"/>
              </w:rPr>
            </w:pPr>
            <w:r w:rsidRPr="001122DF">
              <w:rPr>
                <w:rFonts w:ascii="Book Antiqua" w:eastAsia="Times New Roman" w:hAnsi="Book Antiqua" w:cs="Calibri"/>
                <w:b/>
                <w:bCs/>
                <w:color w:val="000000"/>
                <w:sz w:val="16"/>
                <w:szCs w:val="16"/>
                <w:lang w:eastAsia="es-CR"/>
              </w:rPr>
              <w:t>Pendiente solicitud de cambio para notificar formalmente la suspensión del proyecto</w:t>
            </w:r>
          </w:p>
        </w:tc>
      </w:tr>
      <w:tr w:rsidR="00F71780" w:rsidRPr="007C1781" w14:paraId="606E23CC" w14:textId="77777777" w:rsidTr="00301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CE749"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0117-DE-P84</w:t>
            </w:r>
          </w:p>
        </w:tc>
        <w:tc>
          <w:tcPr>
            <w:tcW w:w="7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1B86E"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Adquisición Propiedad Sala Constitucional</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D36CA"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DIRECCION EJECUTIVA</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BD3A1"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Alexandra Mora Steller</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27EB5"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Natalia Elizondo Corrales</w:t>
            </w:r>
          </w:p>
        </w:tc>
        <w:tc>
          <w:tcPr>
            <w:tcW w:w="2013" w:type="pct"/>
            <w:tcBorders>
              <w:top w:val="single" w:sz="4" w:space="0" w:color="auto"/>
              <w:left w:val="single" w:sz="4" w:space="0" w:color="auto"/>
              <w:bottom w:val="single" w:sz="4" w:space="0" w:color="auto"/>
              <w:right w:val="single" w:sz="4" w:space="0" w:color="auto"/>
            </w:tcBorders>
          </w:tcPr>
          <w:p w14:paraId="1153E0F0" w14:textId="64D5CE8C" w:rsidR="00F71780" w:rsidRDefault="00F71780" w:rsidP="00F400D6">
            <w:pPr>
              <w:spacing w:after="0" w:line="240" w:lineRule="auto"/>
              <w:jc w:val="both"/>
              <w:rPr>
                <w:rFonts w:ascii="Book Antiqua" w:hAnsi="Book Antiqua" w:cs="Calibri"/>
                <w:color w:val="000000"/>
                <w:sz w:val="16"/>
                <w:szCs w:val="16"/>
              </w:rPr>
            </w:pPr>
            <w:r>
              <w:rPr>
                <w:rFonts w:ascii="Book Antiqua" w:hAnsi="Book Antiqua" w:cs="Calibri"/>
                <w:color w:val="000000"/>
                <w:sz w:val="16"/>
                <w:szCs w:val="16"/>
              </w:rPr>
              <w:t>Mediante solicitud de cambio se solicita la suspensión del proyecto indicando lo siguiente:”</w:t>
            </w:r>
            <w:r w:rsidRPr="00CC405E">
              <w:rPr>
                <w:rFonts w:ascii="Book Antiqua" w:hAnsi="Book Antiqua" w:cs="Calibri"/>
                <w:color w:val="000000"/>
                <w:sz w:val="16"/>
                <w:szCs w:val="16"/>
              </w:rPr>
              <w:t>. Dado que al 31 de diciembre del 2022 no se tuvo respuesta por parte de la Sala Constitucional,</w:t>
            </w:r>
            <w:r>
              <w:rPr>
                <w:rFonts w:ascii="Book Antiqua" w:hAnsi="Book Antiqua" w:cs="Calibri"/>
                <w:color w:val="000000"/>
                <w:sz w:val="16"/>
                <w:szCs w:val="16"/>
              </w:rPr>
              <w:t xml:space="preserve"> </w:t>
            </w:r>
            <w:r w:rsidRPr="00CC405E">
              <w:rPr>
                <w:rFonts w:ascii="Book Antiqua" w:hAnsi="Book Antiqua" w:cs="Calibri"/>
                <w:color w:val="000000"/>
                <w:sz w:val="16"/>
                <w:szCs w:val="16"/>
              </w:rPr>
              <w:t xml:space="preserve">el avance del proyecto se encuentra detenido, por lo que mientras la Sala Constitucional no responda lo </w:t>
            </w:r>
            <w:r>
              <w:rPr>
                <w:rFonts w:ascii="Book Antiqua" w:hAnsi="Book Antiqua" w:cs="Calibri"/>
                <w:color w:val="000000"/>
                <w:sz w:val="16"/>
                <w:szCs w:val="16"/>
              </w:rPr>
              <w:t xml:space="preserve"> </w:t>
            </w:r>
            <w:r w:rsidRPr="00CC405E">
              <w:rPr>
                <w:rFonts w:ascii="Book Antiqua" w:hAnsi="Book Antiqua" w:cs="Calibri"/>
                <w:color w:val="000000"/>
                <w:sz w:val="16"/>
                <w:szCs w:val="16"/>
              </w:rPr>
              <w:t>solicitado no se puede seguir con el trámite del proyecto y esto hace que el porcentaje de avance se vea afectado.</w:t>
            </w:r>
            <w:r>
              <w:rPr>
                <w:rFonts w:ascii="Book Antiqua" w:hAnsi="Book Antiqua" w:cs="Calibri"/>
                <w:color w:val="000000"/>
                <w:sz w:val="16"/>
                <w:szCs w:val="16"/>
              </w:rPr>
              <w:t>”</w:t>
            </w:r>
          </w:p>
          <w:p w14:paraId="59E92257" w14:textId="50A39E9D" w:rsidR="00F71780" w:rsidRDefault="006C729E" w:rsidP="00F400D6">
            <w:pPr>
              <w:spacing w:after="0" w:line="240" w:lineRule="auto"/>
              <w:jc w:val="both"/>
              <w:rPr>
                <w:rFonts w:ascii="Book Antiqua" w:hAnsi="Book Antiqua" w:cs="Calibri"/>
                <w:color w:val="000000"/>
                <w:sz w:val="16"/>
                <w:szCs w:val="16"/>
              </w:rPr>
            </w:pPr>
            <w:r>
              <w:object w:dxaOrig="1376" w:dyaOrig="899" w14:anchorId="65A3F914">
                <v:shape id="_x0000_i1035" type="#_x0000_t75" style="width:68.25pt;height:45pt" o:ole="">
                  <v:imagedata r:id="rId52" o:title=""/>
                </v:shape>
                <o:OLEObject Type="Embed" ProgID="Acrobat.Document.DC" ShapeID="_x0000_i1035" DrawAspect="Icon" ObjectID="_1749386367" r:id="rId53"/>
              </w:object>
            </w:r>
          </w:p>
          <w:p w14:paraId="5FD74490" w14:textId="77777777" w:rsidR="00F71780" w:rsidRPr="007C1781" w:rsidRDefault="00F71780" w:rsidP="00F400D6">
            <w:pPr>
              <w:spacing w:after="0" w:line="240" w:lineRule="auto"/>
              <w:jc w:val="both"/>
              <w:rPr>
                <w:rFonts w:ascii="Book Antiqua" w:hAnsi="Book Antiqua" w:cs="Calibri"/>
                <w:color w:val="000000"/>
                <w:sz w:val="16"/>
                <w:szCs w:val="16"/>
              </w:rPr>
            </w:pPr>
          </w:p>
        </w:tc>
      </w:tr>
      <w:tr w:rsidR="00F71780" w:rsidRPr="007C1781" w14:paraId="7C145C33" w14:textId="77777777" w:rsidTr="00301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7" w:type="pct"/>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C6040FE"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lastRenderedPageBreak/>
              <w:t>0117-DE-P85</w:t>
            </w:r>
          </w:p>
        </w:tc>
        <w:tc>
          <w:tcPr>
            <w:tcW w:w="764" w:type="pct"/>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3AA4218"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Tribunales de Justicia de Quepos</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642E7"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DIRECCION EJECUTIVA</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14387"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Alexandra Mora Steller</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860F1" w14:textId="77777777" w:rsidR="00F71780" w:rsidRPr="007C1781" w:rsidRDefault="00F71780" w:rsidP="00F400D6">
            <w:pPr>
              <w:spacing w:after="0" w:line="240" w:lineRule="auto"/>
              <w:jc w:val="center"/>
              <w:rPr>
                <w:rFonts w:ascii="Book Antiqua" w:hAnsi="Book Antiqua" w:cs="Calibri"/>
                <w:color w:val="000000"/>
                <w:sz w:val="16"/>
                <w:szCs w:val="16"/>
              </w:rPr>
            </w:pPr>
            <w:r w:rsidRPr="007C1781">
              <w:rPr>
                <w:rFonts w:ascii="Book Antiqua" w:hAnsi="Book Antiqua" w:cs="Calibri"/>
                <w:color w:val="000000"/>
                <w:sz w:val="16"/>
                <w:szCs w:val="16"/>
              </w:rPr>
              <w:t>Natalia Elizondo Corrales</w:t>
            </w:r>
          </w:p>
        </w:tc>
        <w:tc>
          <w:tcPr>
            <w:tcW w:w="2013" w:type="pct"/>
            <w:tcBorders>
              <w:top w:val="single" w:sz="4" w:space="0" w:color="auto"/>
              <w:left w:val="single" w:sz="4" w:space="0" w:color="auto"/>
              <w:bottom w:val="single" w:sz="4" w:space="0" w:color="auto"/>
              <w:right w:val="single" w:sz="4" w:space="0" w:color="auto"/>
            </w:tcBorders>
          </w:tcPr>
          <w:p w14:paraId="7BABE1A7" w14:textId="77777777" w:rsidR="00F71780" w:rsidRDefault="00F71780" w:rsidP="00F400D6">
            <w:pPr>
              <w:spacing w:after="0" w:line="240" w:lineRule="auto"/>
              <w:jc w:val="both"/>
              <w:rPr>
                <w:rFonts w:ascii="Book Antiqua" w:hAnsi="Book Antiqua" w:cs="Calibri"/>
                <w:color w:val="000000"/>
                <w:sz w:val="16"/>
                <w:szCs w:val="16"/>
              </w:rPr>
            </w:pPr>
            <w:r>
              <w:rPr>
                <w:rFonts w:ascii="Book Antiqua" w:hAnsi="Book Antiqua" w:cs="Calibri"/>
                <w:color w:val="000000"/>
                <w:sz w:val="16"/>
                <w:szCs w:val="16"/>
              </w:rPr>
              <w:t>Se suspende debido a que el mismo aun no cuenta con la orden de inicio para ejecutarse por medio del Fideicomiso.</w:t>
            </w:r>
          </w:p>
          <w:p w14:paraId="0BFCB749" w14:textId="77777777" w:rsidR="00F71780" w:rsidRDefault="00F71780" w:rsidP="00F400D6">
            <w:pPr>
              <w:spacing w:after="0" w:line="240" w:lineRule="auto"/>
              <w:jc w:val="both"/>
              <w:rPr>
                <w:rFonts w:ascii="Book Antiqua" w:hAnsi="Book Antiqua" w:cs="Calibri"/>
                <w:color w:val="000000"/>
                <w:sz w:val="16"/>
                <w:szCs w:val="16"/>
              </w:rPr>
            </w:pPr>
          </w:p>
          <w:p w14:paraId="60AFF0D0" w14:textId="717A71D6" w:rsidR="00495816" w:rsidRDefault="006C729E" w:rsidP="00F400D6">
            <w:pPr>
              <w:spacing w:after="0" w:line="240" w:lineRule="auto"/>
              <w:jc w:val="both"/>
            </w:pPr>
            <w:r>
              <w:object w:dxaOrig="1376" w:dyaOrig="899" w14:anchorId="5E976B07">
                <v:shape id="_x0000_i1036" type="#_x0000_t75" style="width:68.25pt;height:45pt" o:ole="">
                  <v:imagedata r:id="rId54" o:title=""/>
                </v:shape>
                <o:OLEObject Type="Embed" ProgID="Package" ShapeID="_x0000_i1036" DrawAspect="Icon" ObjectID="_1749386368" r:id="rId55"/>
              </w:object>
            </w:r>
          </w:p>
          <w:p w14:paraId="5B53F815" w14:textId="77777777" w:rsidR="003E235A" w:rsidRDefault="003E235A" w:rsidP="00F400D6">
            <w:pPr>
              <w:spacing w:after="0" w:line="240" w:lineRule="auto"/>
              <w:jc w:val="both"/>
            </w:pPr>
          </w:p>
          <w:p w14:paraId="7910297B" w14:textId="28F50B31" w:rsidR="00F71780" w:rsidRPr="007C1781" w:rsidRDefault="00495816" w:rsidP="00F400D6">
            <w:pPr>
              <w:spacing w:after="0" w:line="240" w:lineRule="auto"/>
              <w:jc w:val="both"/>
              <w:rPr>
                <w:rFonts w:ascii="Book Antiqua" w:hAnsi="Book Antiqua" w:cs="Calibri"/>
                <w:color w:val="000000"/>
                <w:sz w:val="16"/>
                <w:szCs w:val="16"/>
              </w:rPr>
            </w:pPr>
            <w:r w:rsidRPr="00EF4E17">
              <w:rPr>
                <w:rFonts w:ascii="Book Antiqua" w:hAnsi="Book Antiqua" w:cs="Calibri"/>
                <w:color w:val="000000"/>
                <w:sz w:val="16"/>
                <w:szCs w:val="16"/>
              </w:rPr>
              <w:t>Cabe aclarar que</w:t>
            </w:r>
            <w:r>
              <w:rPr>
                <w:rFonts w:ascii="Book Antiqua" w:hAnsi="Book Antiqua" w:cs="Calibri"/>
                <w:color w:val="000000"/>
                <w:sz w:val="16"/>
                <w:szCs w:val="16"/>
              </w:rPr>
              <w:t xml:space="preserve"> el 22 de junio del 2023, se informó por parte de don </w:t>
            </w:r>
            <w:r w:rsidR="00345082">
              <w:rPr>
                <w:rFonts w:ascii="Book Antiqua" w:hAnsi="Book Antiqua" w:cs="Calibri"/>
                <w:color w:val="000000"/>
                <w:sz w:val="16"/>
                <w:szCs w:val="16"/>
              </w:rPr>
              <w:t>Héctor</w:t>
            </w:r>
            <w:r>
              <w:rPr>
                <w:rFonts w:ascii="Book Antiqua" w:hAnsi="Book Antiqua" w:cs="Calibri"/>
                <w:color w:val="000000"/>
                <w:sz w:val="16"/>
                <w:szCs w:val="16"/>
              </w:rPr>
              <w:t xml:space="preserve"> </w:t>
            </w:r>
            <w:r w:rsidR="00345082">
              <w:rPr>
                <w:rFonts w:ascii="Book Antiqua" w:hAnsi="Book Antiqua" w:cs="Calibri"/>
                <w:color w:val="000000"/>
                <w:sz w:val="16"/>
                <w:szCs w:val="16"/>
              </w:rPr>
              <w:t xml:space="preserve">Maroto </w:t>
            </w:r>
            <w:r w:rsidR="00BF65B9">
              <w:rPr>
                <w:rFonts w:ascii="Book Antiqua" w:hAnsi="Book Antiqua" w:cs="Calibri"/>
                <w:color w:val="000000"/>
                <w:sz w:val="16"/>
                <w:szCs w:val="16"/>
              </w:rPr>
              <w:t xml:space="preserve">que este proyecto se reactivaría </w:t>
            </w:r>
            <w:r w:rsidR="004D3772">
              <w:rPr>
                <w:rFonts w:ascii="Book Antiqua" w:hAnsi="Book Antiqua" w:cs="Calibri"/>
                <w:color w:val="000000"/>
                <w:sz w:val="16"/>
                <w:szCs w:val="16"/>
              </w:rPr>
              <w:t xml:space="preserve">a partir de esa fecha, </w:t>
            </w:r>
            <w:r w:rsidR="00420BEF">
              <w:rPr>
                <w:rFonts w:ascii="Book Antiqua" w:hAnsi="Book Antiqua" w:cs="Calibri"/>
                <w:color w:val="000000"/>
                <w:sz w:val="16"/>
                <w:szCs w:val="16"/>
              </w:rPr>
              <w:t>cambio que se hizo efectivo</w:t>
            </w:r>
            <w:r w:rsidR="004D3772">
              <w:rPr>
                <w:rFonts w:ascii="Book Antiqua" w:hAnsi="Book Antiqua" w:cs="Calibri"/>
                <w:color w:val="000000"/>
                <w:sz w:val="16"/>
                <w:szCs w:val="16"/>
              </w:rPr>
              <w:t xml:space="preserve"> a nivel </w:t>
            </w:r>
            <w:r w:rsidR="003E235A">
              <w:rPr>
                <w:rFonts w:ascii="Book Antiqua" w:hAnsi="Book Antiqua" w:cs="Calibri"/>
                <w:color w:val="000000"/>
                <w:sz w:val="16"/>
                <w:szCs w:val="16"/>
              </w:rPr>
              <w:t xml:space="preserve"> de sitio de Proyecto.</w:t>
            </w:r>
            <w:r w:rsidRPr="00EF4E17">
              <w:rPr>
                <w:rFonts w:ascii="Book Antiqua" w:hAnsi="Book Antiqua" w:cs="Calibri"/>
                <w:color w:val="000000"/>
                <w:sz w:val="16"/>
                <w:szCs w:val="16"/>
              </w:rPr>
              <w:t xml:space="preserve"> </w:t>
            </w:r>
            <w:r w:rsidR="00F71780" w:rsidRPr="00DA5A2B">
              <w:rPr>
                <w:rFonts w:ascii="Book Antiqua" w:hAnsi="Book Antiqua" w:cs="Calibri"/>
                <w:color w:val="000000"/>
                <w:sz w:val="16"/>
                <w:szCs w:val="16"/>
              </w:rPr>
              <w:tab/>
            </w:r>
            <w:r w:rsidR="00F71780" w:rsidRPr="00DA5A2B">
              <w:rPr>
                <w:rFonts w:ascii="Book Antiqua" w:hAnsi="Book Antiqua" w:cs="Calibri"/>
                <w:color w:val="000000"/>
                <w:sz w:val="16"/>
                <w:szCs w:val="16"/>
              </w:rPr>
              <w:tab/>
            </w:r>
            <w:r w:rsidR="00F71780" w:rsidRPr="00DA5A2B">
              <w:rPr>
                <w:rFonts w:ascii="Book Antiqua" w:hAnsi="Book Antiqua" w:cs="Calibri"/>
                <w:color w:val="000000"/>
                <w:sz w:val="16"/>
                <w:szCs w:val="16"/>
              </w:rPr>
              <w:tab/>
            </w:r>
          </w:p>
        </w:tc>
      </w:tr>
    </w:tbl>
    <w:p w14:paraId="34220EEF" w14:textId="77777777" w:rsidR="00F71780" w:rsidRDefault="00F71780" w:rsidP="00F71780">
      <w:pPr>
        <w:pStyle w:val="Prrafodelista"/>
        <w:spacing w:after="0"/>
        <w:rPr>
          <w:rFonts w:ascii="Book Antiqua" w:hAnsi="Book Antiqua"/>
          <w:sz w:val="20"/>
          <w:szCs w:val="20"/>
        </w:rPr>
      </w:pPr>
      <w:r w:rsidRPr="000B4CD9">
        <w:rPr>
          <w:rFonts w:ascii="Book Antiqua" w:hAnsi="Book Antiqua"/>
          <w:b/>
          <w:bCs/>
          <w:sz w:val="20"/>
          <w:szCs w:val="20"/>
        </w:rPr>
        <w:t>Fuente:</w:t>
      </w:r>
      <w:r w:rsidRPr="000B4CD9">
        <w:rPr>
          <w:rFonts w:ascii="Book Antiqua" w:hAnsi="Book Antiqua"/>
          <w:sz w:val="20"/>
          <w:szCs w:val="20"/>
        </w:rPr>
        <w:t xml:space="preserve"> Elaboración propia con datos del MS Project Online.</w:t>
      </w:r>
    </w:p>
    <w:p w14:paraId="19A3AAC9" w14:textId="77777777" w:rsidR="00F71780" w:rsidRPr="000B4CD9" w:rsidRDefault="00F71780" w:rsidP="00F71780">
      <w:pPr>
        <w:pStyle w:val="Prrafodelista"/>
        <w:spacing w:after="0"/>
        <w:rPr>
          <w:rFonts w:ascii="Book Antiqua" w:hAnsi="Book Antiqua"/>
          <w:sz w:val="20"/>
          <w:szCs w:val="20"/>
        </w:rPr>
      </w:pPr>
    </w:p>
    <w:p w14:paraId="2C28DBF4" w14:textId="5C9CA5FD" w:rsidR="007A67AB" w:rsidRPr="005055EB" w:rsidRDefault="005055EB" w:rsidP="00F71780">
      <w:pPr>
        <w:spacing w:after="0"/>
        <w:jc w:val="both"/>
        <w:rPr>
          <w:rFonts w:ascii="Book Antiqua" w:hAnsi="Book Antiqua"/>
          <w:b/>
          <w:bCs/>
          <w:sz w:val="28"/>
          <w:szCs w:val="28"/>
        </w:rPr>
      </w:pPr>
      <w:r w:rsidRPr="005055EB">
        <w:rPr>
          <w:rStyle w:val="normaltextrun"/>
          <w:rFonts w:ascii="Book Antiqua" w:hAnsi="Book Antiqua"/>
          <w:color w:val="000000"/>
          <w:sz w:val="24"/>
          <w:szCs w:val="24"/>
          <w:shd w:val="clear" w:color="auto" w:fill="FFFFFF"/>
        </w:rPr>
        <w:t xml:space="preserve">Así las cosas, el portafolio institucional de proyectos estratégicos cuenta con un total de 194 proyectos, de los cuales 85 se encuentran en la fase de ejecución, lo cual corresponde al estado denominado “En Progreso”. El detalle de los proyectos estratégicos que conforman el portafolio institucional y su estado se puede consultar en siguiente enlace </w:t>
      </w:r>
      <w:hyperlink r:id="rId56" w:tgtFrame="_blank" w:history="1">
        <w:r w:rsidRPr="005055EB">
          <w:rPr>
            <w:rStyle w:val="normaltextrun"/>
            <w:rFonts w:ascii="Book Antiqua" w:hAnsi="Book Antiqua" w:cs="Segoe UI"/>
            <w:b/>
            <w:bCs/>
            <w:color w:val="0563C1"/>
            <w:sz w:val="24"/>
            <w:szCs w:val="24"/>
            <w:u w:val="single"/>
            <w:shd w:val="clear" w:color="auto" w:fill="FFFFFF"/>
          </w:rPr>
          <w:t>Reporte proyectos estratégicos por estado del MS Project Online</w:t>
        </w:r>
      </w:hyperlink>
      <w:r w:rsidRPr="005055EB">
        <w:rPr>
          <w:rStyle w:val="eop"/>
          <w:rFonts w:ascii="Book Antiqua" w:hAnsi="Book Antiqua"/>
          <w:color w:val="0563C1"/>
          <w:sz w:val="24"/>
          <w:szCs w:val="24"/>
          <w:shd w:val="clear" w:color="auto" w:fill="FFFFFF"/>
        </w:rPr>
        <w:t> </w:t>
      </w:r>
    </w:p>
    <w:p w14:paraId="07814FAF" w14:textId="7961C5F8" w:rsidR="007A67AB" w:rsidRDefault="007A67AB" w:rsidP="00F71780">
      <w:pPr>
        <w:spacing w:after="0"/>
        <w:jc w:val="both"/>
        <w:rPr>
          <w:rFonts w:ascii="Book Antiqua" w:hAnsi="Book Antiqua"/>
          <w:b/>
          <w:bCs/>
          <w:sz w:val="24"/>
          <w:szCs w:val="24"/>
        </w:rPr>
      </w:pPr>
    </w:p>
    <w:p w14:paraId="6459D9B4" w14:textId="77777777" w:rsidR="00F71780" w:rsidRDefault="00F71780" w:rsidP="00F71780">
      <w:pPr>
        <w:pStyle w:val="Ttulo2"/>
        <w:numPr>
          <w:ilvl w:val="0"/>
          <w:numId w:val="4"/>
        </w:numPr>
        <w:jc w:val="both"/>
        <w:rPr>
          <w:rFonts w:ascii="Book Antiqua" w:eastAsia="Wingdings" w:hAnsi="Book Antiqua"/>
          <w:b/>
          <w:color w:val="auto"/>
          <w:lang w:eastAsia="ko-KR"/>
        </w:rPr>
      </w:pPr>
      <w:bookmarkStart w:id="72" w:name="_Toc138662453"/>
      <w:bookmarkStart w:id="73" w:name="_Toc138662454"/>
      <w:bookmarkStart w:id="74" w:name="_Toc138662455"/>
      <w:bookmarkStart w:id="75" w:name="_Toc138662456"/>
      <w:bookmarkStart w:id="76" w:name="_Toc120891178"/>
      <w:bookmarkStart w:id="77" w:name="_Toc121314809"/>
      <w:bookmarkStart w:id="78" w:name="_Toc121315222"/>
      <w:bookmarkStart w:id="79" w:name="_Toc121730887"/>
      <w:bookmarkStart w:id="80" w:name="_Toc131160582"/>
      <w:bookmarkStart w:id="81" w:name="_Toc131160583"/>
      <w:bookmarkStart w:id="82" w:name="_Toc138770847"/>
      <w:bookmarkEnd w:id="72"/>
      <w:bookmarkEnd w:id="73"/>
      <w:bookmarkEnd w:id="74"/>
      <w:bookmarkEnd w:id="75"/>
      <w:bookmarkEnd w:id="76"/>
      <w:bookmarkEnd w:id="77"/>
      <w:bookmarkEnd w:id="78"/>
      <w:bookmarkEnd w:id="79"/>
      <w:bookmarkEnd w:id="80"/>
      <w:r w:rsidRPr="00484106">
        <w:rPr>
          <w:rFonts w:ascii="Book Antiqua" w:eastAsia="Wingdings" w:hAnsi="Book Antiqua"/>
          <w:b/>
          <w:color w:val="auto"/>
          <w:lang w:eastAsia="ko-KR"/>
        </w:rPr>
        <w:t xml:space="preserve">Detalle de los proyectos </w:t>
      </w:r>
      <w:r>
        <w:rPr>
          <w:rFonts w:ascii="Book Antiqua" w:eastAsia="Wingdings" w:hAnsi="Book Antiqua"/>
          <w:b/>
          <w:color w:val="auto"/>
          <w:lang w:eastAsia="ko-KR"/>
        </w:rPr>
        <w:t>en estado “En progreso”</w:t>
      </w:r>
      <w:bookmarkEnd w:id="81"/>
      <w:r>
        <w:rPr>
          <w:rFonts w:ascii="Book Antiqua" w:eastAsia="Wingdings" w:hAnsi="Book Antiqua"/>
          <w:b/>
          <w:color w:val="auto"/>
          <w:lang w:eastAsia="ko-KR"/>
        </w:rPr>
        <w:t>.</w:t>
      </w:r>
      <w:bookmarkEnd w:id="82"/>
    </w:p>
    <w:p w14:paraId="6601CBBE" w14:textId="77777777" w:rsidR="00F71780" w:rsidRPr="00484106" w:rsidRDefault="00F71780" w:rsidP="00F71780">
      <w:pPr>
        <w:spacing w:after="0"/>
        <w:rPr>
          <w:lang w:eastAsia="ko-KR"/>
        </w:rPr>
      </w:pPr>
    </w:p>
    <w:p w14:paraId="6DF233CD" w14:textId="77777777" w:rsidR="00F71780" w:rsidRPr="00BA1484" w:rsidRDefault="00F71780" w:rsidP="00F71780">
      <w:pPr>
        <w:spacing w:after="0"/>
        <w:jc w:val="both"/>
        <w:rPr>
          <w:rFonts w:ascii="Book Antiqua" w:hAnsi="Book Antiqua"/>
          <w:sz w:val="24"/>
          <w:szCs w:val="24"/>
        </w:rPr>
      </w:pPr>
      <w:r w:rsidRPr="00CE21AF">
        <w:rPr>
          <w:rFonts w:ascii="Book Antiqua" w:hAnsi="Book Antiqua"/>
          <w:sz w:val="24"/>
          <w:szCs w:val="24"/>
        </w:rPr>
        <w:t xml:space="preserve">De los </w:t>
      </w:r>
      <w:r>
        <w:rPr>
          <w:rFonts w:ascii="Book Antiqua" w:hAnsi="Book Antiqua"/>
          <w:sz w:val="24"/>
          <w:szCs w:val="24"/>
        </w:rPr>
        <w:t xml:space="preserve">85 </w:t>
      </w:r>
      <w:r w:rsidRPr="00CE21AF">
        <w:rPr>
          <w:rFonts w:ascii="Book Antiqua" w:hAnsi="Book Antiqua"/>
          <w:sz w:val="24"/>
          <w:szCs w:val="24"/>
        </w:rPr>
        <w:t>proyectos en ejecución,</w:t>
      </w:r>
      <w:r>
        <w:rPr>
          <w:rFonts w:ascii="Book Antiqua" w:hAnsi="Book Antiqua"/>
          <w:sz w:val="24"/>
          <w:szCs w:val="24"/>
        </w:rPr>
        <w:t xml:space="preserve"> todos presentaron</w:t>
      </w:r>
      <w:r w:rsidRPr="00CE21AF">
        <w:rPr>
          <w:rFonts w:ascii="Book Antiqua" w:hAnsi="Book Antiqua"/>
          <w:sz w:val="24"/>
          <w:szCs w:val="24"/>
        </w:rPr>
        <w:t xml:space="preserve"> la entrega del informe de avance ante la Dirección de Planificación, el cual tenía como fecha límite el </w:t>
      </w:r>
      <w:r>
        <w:rPr>
          <w:rFonts w:ascii="Book Antiqua" w:hAnsi="Book Antiqua"/>
          <w:sz w:val="24"/>
          <w:szCs w:val="24"/>
        </w:rPr>
        <w:t>5</w:t>
      </w:r>
      <w:r w:rsidRPr="00CE21AF">
        <w:rPr>
          <w:rFonts w:ascii="Book Antiqua" w:hAnsi="Book Antiqua"/>
          <w:sz w:val="24"/>
          <w:szCs w:val="24"/>
        </w:rPr>
        <w:t xml:space="preserve"> de </w:t>
      </w:r>
      <w:r>
        <w:rPr>
          <w:rFonts w:ascii="Book Antiqua" w:hAnsi="Book Antiqua"/>
          <w:sz w:val="24"/>
          <w:szCs w:val="24"/>
        </w:rPr>
        <w:t xml:space="preserve">mayo </w:t>
      </w:r>
      <w:r w:rsidRPr="00BA1484">
        <w:rPr>
          <w:rFonts w:ascii="Book Antiqua" w:hAnsi="Book Antiqua"/>
          <w:sz w:val="24"/>
          <w:szCs w:val="24"/>
        </w:rPr>
        <w:t xml:space="preserve">del año en curso. </w:t>
      </w:r>
    </w:p>
    <w:p w14:paraId="7FBA425E" w14:textId="77777777" w:rsidR="00F71780" w:rsidRPr="001657D2" w:rsidRDefault="00F71780" w:rsidP="00F71780">
      <w:pPr>
        <w:spacing w:after="0"/>
        <w:jc w:val="both"/>
        <w:rPr>
          <w:rFonts w:ascii="Book Antiqua" w:hAnsi="Book Antiqua"/>
          <w:sz w:val="28"/>
          <w:szCs w:val="28"/>
        </w:rPr>
      </w:pPr>
    </w:p>
    <w:p w14:paraId="051008B8" w14:textId="33F1D5B9" w:rsidR="00F71780" w:rsidRPr="001657D2" w:rsidRDefault="001657D2" w:rsidP="00F71780">
      <w:pPr>
        <w:spacing w:after="0"/>
        <w:jc w:val="both"/>
        <w:rPr>
          <w:rStyle w:val="eop"/>
          <w:rFonts w:ascii="Book Antiqua" w:hAnsi="Book Antiqua"/>
          <w:color w:val="000000"/>
          <w:sz w:val="24"/>
          <w:szCs w:val="24"/>
          <w:shd w:val="clear" w:color="auto" w:fill="FFFFFF"/>
        </w:rPr>
      </w:pPr>
      <w:r w:rsidRPr="001657D2">
        <w:rPr>
          <w:rStyle w:val="normaltextrun"/>
          <w:rFonts w:ascii="Book Antiqua" w:hAnsi="Book Antiqua"/>
          <w:color w:val="000000"/>
          <w:sz w:val="24"/>
          <w:szCs w:val="24"/>
          <w:shd w:val="clear" w:color="auto" w:fill="FFFFFF"/>
        </w:rPr>
        <w:t xml:space="preserve">Como parte de la revisión de la información recibida, se clasificaron los proyectos en 3 categorías a saber: </w:t>
      </w:r>
      <w:r w:rsidRPr="001657D2">
        <w:rPr>
          <w:rStyle w:val="normaltextrun"/>
          <w:rFonts w:ascii="Book Antiqua" w:hAnsi="Book Antiqua"/>
          <w:b/>
          <w:bCs/>
          <w:color w:val="000000"/>
          <w:sz w:val="24"/>
          <w:szCs w:val="24"/>
          <w:shd w:val="clear" w:color="auto" w:fill="FFFFFF"/>
        </w:rPr>
        <w:t>“A tiempo”, “Adelantado” y “Con retraso”.</w:t>
      </w:r>
      <w:r w:rsidRPr="001657D2">
        <w:rPr>
          <w:rStyle w:val="normaltextrun"/>
          <w:rFonts w:ascii="Book Antiqua" w:hAnsi="Book Antiqua"/>
          <w:color w:val="000000"/>
          <w:sz w:val="24"/>
          <w:szCs w:val="24"/>
          <w:shd w:val="clear" w:color="auto" w:fill="FFFFFF"/>
        </w:rPr>
        <w:t xml:space="preserve">  En la siguiente  figura se muestra la agrupación de los 85 proyectos con cronograma cargados en la plataforma de Project Online, para visualizar la categorización de cada uno se puede ingresar al siguiente enlace </w:t>
      </w:r>
      <w:hyperlink r:id="rId57" w:tgtFrame="_blank" w:history="1">
        <w:r w:rsidRPr="001657D2">
          <w:rPr>
            <w:rStyle w:val="normaltextrun"/>
            <w:rFonts w:ascii="Book Antiqua" w:hAnsi="Book Antiqua" w:cs="Segoe UI"/>
            <w:b/>
            <w:bCs/>
            <w:color w:val="0563C1"/>
            <w:sz w:val="24"/>
            <w:szCs w:val="24"/>
            <w:u w:val="single"/>
            <w:shd w:val="clear" w:color="auto" w:fill="FFFFFF"/>
          </w:rPr>
          <w:t>Reporte proyectos estratégicos por estado del MS Project Online</w:t>
        </w:r>
      </w:hyperlink>
      <w:r w:rsidRPr="001657D2">
        <w:rPr>
          <w:rStyle w:val="eop"/>
          <w:rFonts w:ascii="Book Antiqua" w:hAnsi="Book Antiqua"/>
          <w:color w:val="000000"/>
          <w:sz w:val="24"/>
          <w:szCs w:val="24"/>
          <w:shd w:val="clear" w:color="auto" w:fill="FFFFFF"/>
        </w:rPr>
        <w:t> </w:t>
      </w:r>
    </w:p>
    <w:p w14:paraId="6D672997" w14:textId="77777777" w:rsidR="001657D2" w:rsidRDefault="001657D2" w:rsidP="00F71780">
      <w:pPr>
        <w:spacing w:after="0"/>
        <w:jc w:val="both"/>
        <w:rPr>
          <w:rFonts w:ascii="Book Antiqua" w:hAnsi="Book Antiqua"/>
          <w:sz w:val="24"/>
          <w:szCs w:val="24"/>
        </w:rPr>
      </w:pPr>
    </w:p>
    <w:p w14:paraId="532B330A" w14:textId="3D0B5019" w:rsidR="00F71780" w:rsidRDefault="00F71780" w:rsidP="00F71780">
      <w:pPr>
        <w:spacing w:after="0"/>
        <w:jc w:val="both"/>
        <w:rPr>
          <w:rFonts w:ascii="Book Antiqua" w:hAnsi="Book Antiqua"/>
          <w:sz w:val="24"/>
          <w:szCs w:val="24"/>
        </w:rPr>
      </w:pPr>
      <w:r w:rsidRPr="000B4CD9">
        <w:rPr>
          <w:rFonts w:ascii="Book Antiqua" w:hAnsi="Book Antiqua"/>
          <w:sz w:val="24"/>
          <w:szCs w:val="24"/>
        </w:rPr>
        <w:t xml:space="preserve">Como se puede observar se tiene que </w:t>
      </w:r>
      <w:r>
        <w:rPr>
          <w:rFonts w:ascii="Book Antiqua" w:hAnsi="Book Antiqua"/>
          <w:sz w:val="24"/>
          <w:szCs w:val="24"/>
        </w:rPr>
        <w:t>73</w:t>
      </w:r>
      <w:r w:rsidRPr="000B4CD9">
        <w:rPr>
          <w:rFonts w:ascii="Book Antiqua" w:hAnsi="Book Antiqua"/>
          <w:sz w:val="24"/>
          <w:szCs w:val="24"/>
        </w:rPr>
        <w:t xml:space="preserve"> proyectos se encuentran avanzando según lo programado, </w:t>
      </w:r>
      <w:r w:rsidR="00E37D81">
        <w:rPr>
          <w:rFonts w:ascii="Book Antiqua" w:hAnsi="Book Antiqua"/>
          <w:sz w:val="24"/>
          <w:szCs w:val="24"/>
        </w:rPr>
        <w:t>7</w:t>
      </w:r>
      <w:r w:rsidRPr="000B4CD9">
        <w:rPr>
          <w:rFonts w:ascii="Book Antiqua" w:hAnsi="Book Antiqua"/>
          <w:sz w:val="24"/>
          <w:szCs w:val="24"/>
        </w:rPr>
        <w:t xml:space="preserve"> reporta un porcentaje de avance mayor a lo esperado y </w:t>
      </w:r>
      <w:r w:rsidR="00E37D81">
        <w:rPr>
          <w:rFonts w:ascii="Book Antiqua" w:hAnsi="Book Antiqua"/>
          <w:sz w:val="24"/>
          <w:szCs w:val="24"/>
        </w:rPr>
        <w:t>5</w:t>
      </w:r>
      <w:r w:rsidRPr="000B4CD9">
        <w:rPr>
          <w:rFonts w:ascii="Book Antiqua" w:hAnsi="Book Antiqua"/>
          <w:sz w:val="24"/>
          <w:szCs w:val="24"/>
        </w:rPr>
        <w:t xml:space="preserve"> presentan retraso según lo programado.</w:t>
      </w:r>
    </w:p>
    <w:p w14:paraId="3B51E950" w14:textId="77777777" w:rsidR="00F71780" w:rsidRDefault="00F71780" w:rsidP="00F71780">
      <w:pPr>
        <w:spacing w:after="0"/>
        <w:jc w:val="both"/>
        <w:rPr>
          <w:rFonts w:ascii="Book Antiqua" w:hAnsi="Book Antiqua"/>
          <w:sz w:val="24"/>
          <w:szCs w:val="24"/>
        </w:rPr>
      </w:pPr>
    </w:p>
    <w:p w14:paraId="5070845E" w14:textId="2BC2BF9F" w:rsidR="00F71780" w:rsidRPr="000B4CD9" w:rsidRDefault="00F71780" w:rsidP="00F71780">
      <w:pPr>
        <w:pStyle w:val="Descripcin"/>
        <w:spacing w:after="0"/>
        <w:jc w:val="center"/>
        <w:rPr>
          <w:rFonts w:ascii="Book Antiqua" w:hAnsi="Book Antiqua"/>
          <w:b/>
          <w:bCs/>
          <w:i w:val="0"/>
          <w:iCs w:val="0"/>
          <w:sz w:val="24"/>
          <w:szCs w:val="24"/>
        </w:rPr>
      </w:pPr>
      <w:bookmarkStart w:id="83" w:name="_Hlk120188784"/>
      <w:r w:rsidRPr="000B4CD9">
        <w:rPr>
          <w:rFonts w:ascii="Book Antiqua" w:hAnsi="Book Antiqua"/>
          <w:b/>
          <w:bCs/>
          <w:i w:val="0"/>
          <w:iCs w:val="0"/>
          <w:color w:val="auto"/>
          <w:sz w:val="24"/>
          <w:szCs w:val="24"/>
        </w:rPr>
        <w:lastRenderedPageBreak/>
        <w:t xml:space="preserve">Figura </w:t>
      </w:r>
      <w:r w:rsidRPr="000B4CD9">
        <w:rPr>
          <w:rFonts w:ascii="Book Antiqua" w:hAnsi="Book Antiqua"/>
          <w:b/>
          <w:bCs/>
          <w:i w:val="0"/>
          <w:iCs w:val="0"/>
          <w:color w:val="auto"/>
          <w:sz w:val="24"/>
          <w:szCs w:val="24"/>
        </w:rPr>
        <w:fldChar w:fldCharType="begin"/>
      </w:r>
      <w:r w:rsidRPr="000B4CD9">
        <w:rPr>
          <w:rFonts w:ascii="Book Antiqua" w:hAnsi="Book Antiqua"/>
          <w:b/>
          <w:bCs/>
          <w:i w:val="0"/>
          <w:iCs w:val="0"/>
          <w:color w:val="auto"/>
          <w:sz w:val="24"/>
          <w:szCs w:val="24"/>
        </w:rPr>
        <w:instrText xml:space="preserve"> SEQ Figura \* ARABIC </w:instrText>
      </w:r>
      <w:r w:rsidRPr="000B4CD9">
        <w:rPr>
          <w:rFonts w:ascii="Book Antiqua" w:hAnsi="Book Antiqua"/>
          <w:b/>
          <w:bCs/>
          <w:i w:val="0"/>
          <w:iCs w:val="0"/>
          <w:color w:val="auto"/>
          <w:sz w:val="24"/>
          <w:szCs w:val="24"/>
        </w:rPr>
        <w:fldChar w:fldCharType="separate"/>
      </w:r>
      <w:r w:rsidR="002C7B32">
        <w:rPr>
          <w:rFonts w:ascii="Book Antiqua" w:hAnsi="Book Antiqua"/>
          <w:b/>
          <w:bCs/>
          <w:i w:val="0"/>
          <w:iCs w:val="0"/>
          <w:noProof/>
          <w:color w:val="auto"/>
          <w:sz w:val="24"/>
          <w:szCs w:val="24"/>
        </w:rPr>
        <w:t>2</w:t>
      </w:r>
      <w:r w:rsidRPr="000B4CD9">
        <w:rPr>
          <w:rFonts w:ascii="Book Antiqua" w:hAnsi="Book Antiqua"/>
          <w:b/>
          <w:bCs/>
          <w:i w:val="0"/>
          <w:iCs w:val="0"/>
          <w:color w:val="auto"/>
          <w:sz w:val="24"/>
          <w:szCs w:val="24"/>
        </w:rPr>
        <w:fldChar w:fldCharType="end"/>
      </w:r>
      <w:bookmarkEnd w:id="83"/>
      <w:r w:rsidRPr="000B4CD9">
        <w:rPr>
          <w:rFonts w:ascii="Book Antiqua" w:hAnsi="Book Antiqua"/>
          <w:b/>
          <w:bCs/>
          <w:i w:val="0"/>
          <w:iCs w:val="0"/>
          <w:color w:val="auto"/>
          <w:sz w:val="24"/>
          <w:szCs w:val="24"/>
        </w:rPr>
        <w:t xml:space="preserve"> Distribución según avance de los proyectos en ejecución dentro de la plataforma del Project Online</w:t>
      </w:r>
    </w:p>
    <w:p w14:paraId="0792EFFB" w14:textId="6CBD4376" w:rsidR="00F71780" w:rsidRDefault="00E37D81" w:rsidP="00F71780">
      <w:pPr>
        <w:spacing w:after="0"/>
        <w:jc w:val="center"/>
        <w:rPr>
          <w:rFonts w:ascii="Book Antiqua" w:hAnsi="Book Antiqua"/>
          <w:b/>
          <w:sz w:val="20"/>
          <w:szCs w:val="20"/>
        </w:rPr>
      </w:pPr>
      <w:r>
        <w:rPr>
          <w:rFonts w:ascii="Book Antiqua" w:hAnsi="Book Antiqua"/>
          <w:b/>
          <w:noProof/>
          <w:sz w:val="20"/>
          <w:szCs w:val="20"/>
        </w:rPr>
        <w:drawing>
          <wp:inline distT="0" distB="0" distL="0" distR="0" wp14:anchorId="37BC0304" wp14:editId="250FDDD0">
            <wp:extent cx="4649470" cy="3010535"/>
            <wp:effectExtent l="0" t="0" r="0" b="0"/>
            <wp:docPr id="46" name="Picture 46"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Gráfico, Gráfico circular&#10;&#10;Descripción generada automáticament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49470" cy="3010535"/>
                    </a:xfrm>
                    <a:prstGeom prst="rect">
                      <a:avLst/>
                    </a:prstGeom>
                    <a:noFill/>
                    <a:ln>
                      <a:noFill/>
                    </a:ln>
                  </pic:spPr>
                </pic:pic>
              </a:graphicData>
            </a:graphic>
          </wp:inline>
        </w:drawing>
      </w:r>
    </w:p>
    <w:p w14:paraId="2B0D1DE4" w14:textId="77777777" w:rsidR="00F71780" w:rsidRPr="009B00E7" w:rsidRDefault="00F71780" w:rsidP="00F71780">
      <w:pPr>
        <w:spacing w:after="0"/>
        <w:jc w:val="center"/>
        <w:rPr>
          <w:rFonts w:ascii="Book Antiqua" w:hAnsi="Book Antiqua"/>
          <w:sz w:val="20"/>
          <w:szCs w:val="20"/>
        </w:rPr>
      </w:pPr>
      <w:r w:rsidRPr="009B00E7">
        <w:rPr>
          <w:rFonts w:ascii="Book Antiqua" w:hAnsi="Book Antiqua"/>
          <w:b/>
          <w:sz w:val="20"/>
          <w:szCs w:val="20"/>
        </w:rPr>
        <w:t>Fuente:</w:t>
      </w:r>
      <w:r w:rsidRPr="009B00E7">
        <w:rPr>
          <w:rFonts w:ascii="Book Antiqua" w:hAnsi="Book Antiqua"/>
          <w:sz w:val="20"/>
          <w:szCs w:val="20"/>
        </w:rPr>
        <w:t xml:space="preserve"> Elaboración propia con datos del Project Online.</w:t>
      </w:r>
    </w:p>
    <w:p w14:paraId="31408607" w14:textId="77777777" w:rsidR="00F71780" w:rsidRDefault="00F71780" w:rsidP="00F71780">
      <w:pPr>
        <w:spacing w:after="0"/>
        <w:jc w:val="both"/>
        <w:rPr>
          <w:rFonts w:ascii="Book Antiqua" w:eastAsia="Wingdings" w:hAnsi="Book Antiqua"/>
          <w:sz w:val="24"/>
          <w:szCs w:val="24"/>
          <w:lang w:eastAsia="ko-KR"/>
        </w:rPr>
      </w:pPr>
    </w:p>
    <w:p w14:paraId="2C65E8FE" w14:textId="1C85AAA2" w:rsidR="00597CD6" w:rsidRPr="00597CD6" w:rsidRDefault="00597CD6" w:rsidP="00597CD6">
      <w:pPr>
        <w:spacing w:after="0" w:line="240" w:lineRule="auto"/>
        <w:jc w:val="both"/>
        <w:textAlignment w:val="baseline"/>
        <w:rPr>
          <w:rFonts w:ascii="Segoe UI" w:eastAsia="Times New Roman" w:hAnsi="Segoe UI" w:cs="Segoe UI"/>
          <w:sz w:val="18"/>
          <w:szCs w:val="18"/>
          <w:lang w:eastAsia="es-CR"/>
        </w:rPr>
      </w:pPr>
      <w:r w:rsidRPr="00597CD6">
        <w:rPr>
          <w:rFonts w:ascii="Book Antiqua" w:eastAsia="Times New Roman" w:hAnsi="Book Antiqua" w:cs="Segoe UI"/>
          <w:sz w:val="24"/>
          <w:szCs w:val="24"/>
          <w:lang w:eastAsia="es-CR"/>
        </w:rPr>
        <w:t xml:space="preserve">Se procedió a verificar dentro del informe de avance el porcentaje real y el porcentaje esperado para cada uno de los proyectos, contra lo reportado por el MS Project online en el cronograma, encontrándose que solamente el 91% de los informes presentados por los proyectos tenían correctos ambos porcentajes. El detalle de los resultados de dicha revisión se puede revisar en el siguiente enlace: </w:t>
      </w:r>
      <w:r w:rsidR="00E37D81">
        <w:rPr>
          <w:rStyle w:val="normaltextrun"/>
          <w:rFonts w:ascii="Book Antiqua" w:hAnsi="Book Antiqua"/>
          <w:color w:val="000000"/>
          <w:shd w:val="clear" w:color="auto" w:fill="FFFFFF"/>
        </w:rPr>
        <w:t xml:space="preserve"> </w:t>
      </w:r>
      <w:hyperlink r:id="rId59" w:tgtFrame="_blank" w:history="1">
        <w:r w:rsidR="00E37D81">
          <w:rPr>
            <w:rStyle w:val="normaltextrun"/>
            <w:rFonts w:ascii="Book Antiqua" w:hAnsi="Book Antiqua" w:cs="Segoe UI"/>
            <w:b/>
            <w:bCs/>
            <w:color w:val="0563C1"/>
            <w:u w:val="single"/>
            <w:shd w:val="clear" w:color="auto" w:fill="FFFFFF"/>
          </w:rPr>
          <w:t>Resultado de la revisión de los porcentajes en informes.</w:t>
        </w:r>
      </w:hyperlink>
    </w:p>
    <w:p w14:paraId="5CA83422" w14:textId="77777777" w:rsidR="00597CD6" w:rsidRPr="00597CD6" w:rsidRDefault="00597CD6" w:rsidP="00597CD6">
      <w:pPr>
        <w:spacing w:after="0" w:line="240" w:lineRule="auto"/>
        <w:jc w:val="both"/>
        <w:textAlignment w:val="baseline"/>
        <w:rPr>
          <w:rFonts w:ascii="Segoe UI" w:eastAsia="Times New Roman" w:hAnsi="Segoe UI" w:cs="Segoe UI"/>
          <w:sz w:val="18"/>
          <w:szCs w:val="18"/>
          <w:lang w:eastAsia="es-CR"/>
        </w:rPr>
      </w:pPr>
      <w:r w:rsidRPr="00597CD6">
        <w:rPr>
          <w:rFonts w:ascii="Book Antiqua" w:eastAsia="Times New Roman" w:hAnsi="Book Antiqua" w:cs="Segoe UI"/>
          <w:sz w:val="24"/>
          <w:szCs w:val="24"/>
          <w:lang w:eastAsia="es-CR"/>
        </w:rPr>
        <w:t> </w:t>
      </w:r>
    </w:p>
    <w:p w14:paraId="3BE4F0B7" w14:textId="252B1642" w:rsidR="00597CD6" w:rsidRPr="00597CD6" w:rsidRDefault="00597CD6" w:rsidP="00597CD6">
      <w:pPr>
        <w:spacing w:after="0" w:line="240" w:lineRule="auto"/>
        <w:jc w:val="both"/>
        <w:textAlignment w:val="baseline"/>
        <w:rPr>
          <w:rFonts w:ascii="Segoe UI" w:eastAsia="Times New Roman" w:hAnsi="Segoe UI" w:cs="Segoe UI"/>
          <w:sz w:val="18"/>
          <w:szCs w:val="18"/>
          <w:lang w:eastAsia="es-CR"/>
        </w:rPr>
      </w:pPr>
      <w:r w:rsidRPr="00597CD6">
        <w:rPr>
          <w:rFonts w:ascii="Book Antiqua" w:eastAsia="Times New Roman" w:hAnsi="Book Antiqua" w:cs="Segoe UI"/>
          <w:sz w:val="24"/>
          <w:szCs w:val="24"/>
          <w:lang w:eastAsia="es-CR"/>
        </w:rPr>
        <w:t>De igual manera</w:t>
      </w:r>
      <w:r w:rsidR="00CF40E4">
        <w:rPr>
          <w:rFonts w:ascii="Book Antiqua" w:eastAsia="Times New Roman" w:hAnsi="Book Antiqua" w:cs="Segoe UI"/>
          <w:sz w:val="24"/>
          <w:szCs w:val="24"/>
          <w:lang w:eastAsia="es-CR"/>
        </w:rPr>
        <w:t>,</w:t>
      </w:r>
      <w:r w:rsidRPr="00597CD6">
        <w:rPr>
          <w:rFonts w:ascii="Book Antiqua" w:eastAsia="Times New Roman" w:hAnsi="Book Antiqua" w:cs="Segoe UI"/>
          <w:sz w:val="24"/>
          <w:szCs w:val="24"/>
          <w:lang w:eastAsia="es-CR"/>
        </w:rPr>
        <w:t xml:space="preserve"> a continuación se muestran los proyectos que tienen diferencias entre los porcentajes real y esperado</w:t>
      </w:r>
      <w:r w:rsidR="00CF40E4">
        <w:rPr>
          <w:rFonts w:ascii="Book Antiqua" w:eastAsia="Times New Roman" w:hAnsi="Book Antiqua" w:cs="Segoe UI"/>
          <w:sz w:val="24"/>
          <w:szCs w:val="24"/>
          <w:lang w:eastAsia="es-CR"/>
        </w:rPr>
        <w:t>,</w:t>
      </w:r>
      <w:r w:rsidRPr="00597CD6">
        <w:rPr>
          <w:rFonts w:ascii="Book Antiqua" w:eastAsia="Times New Roman" w:hAnsi="Book Antiqua" w:cs="Segoe UI"/>
          <w:sz w:val="24"/>
          <w:szCs w:val="24"/>
          <w:lang w:eastAsia="es-CR"/>
        </w:rPr>
        <w:t xml:space="preserve"> en el informe versus el cronograma de MS Project y que por esta ocasión se consideraron entre los informes presentados a pesar de no modificar los mismos</w:t>
      </w:r>
      <w:r w:rsidR="0048333B">
        <w:rPr>
          <w:rFonts w:ascii="Book Antiqua" w:eastAsia="Times New Roman" w:hAnsi="Book Antiqua" w:cs="Segoe UI"/>
          <w:sz w:val="24"/>
          <w:szCs w:val="24"/>
          <w:lang w:eastAsia="es-CR"/>
        </w:rPr>
        <w:t>,</w:t>
      </w:r>
      <w:r w:rsidRPr="00597CD6">
        <w:rPr>
          <w:rFonts w:ascii="Book Antiqua" w:eastAsia="Times New Roman" w:hAnsi="Book Antiqua" w:cs="Segoe UI"/>
          <w:sz w:val="24"/>
          <w:szCs w:val="24"/>
          <w:lang w:eastAsia="es-CR"/>
        </w:rPr>
        <w:t xml:space="preserve"> aunque se </w:t>
      </w:r>
      <w:r w:rsidR="00592618" w:rsidRPr="00597CD6">
        <w:rPr>
          <w:rFonts w:ascii="Book Antiqua" w:eastAsia="Times New Roman" w:hAnsi="Book Antiqua" w:cs="Segoe UI"/>
          <w:sz w:val="24"/>
          <w:szCs w:val="24"/>
          <w:lang w:eastAsia="es-CR"/>
        </w:rPr>
        <w:t>notificó</w:t>
      </w:r>
      <w:r w:rsidRPr="00597CD6">
        <w:rPr>
          <w:rFonts w:ascii="Book Antiqua" w:eastAsia="Times New Roman" w:hAnsi="Book Antiqua" w:cs="Segoe UI"/>
          <w:sz w:val="24"/>
          <w:szCs w:val="24"/>
          <w:lang w:eastAsia="es-CR"/>
        </w:rPr>
        <w:t xml:space="preserve"> de dicha situación con antelación. </w:t>
      </w:r>
    </w:p>
    <w:p w14:paraId="3DD1F4AB" w14:textId="77777777" w:rsidR="00F71780" w:rsidRPr="00124A1C" w:rsidRDefault="00F71780" w:rsidP="00F71780">
      <w:pPr>
        <w:spacing w:after="0"/>
        <w:jc w:val="both"/>
        <w:rPr>
          <w:rFonts w:ascii="Book Antiqua" w:eastAsia="Wingdings" w:hAnsi="Book Antiqua"/>
          <w:sz w:val="24"/>
          <w:szCs w:val="24"/>
          <w:lang w:eastAsia="ko-KR"/>
        </w:rPr>
      </w:pPr>
    </w:p>
    <w:p w14:paraId="3AA407DB" w14:textId="29BFD2F7" w:rsidR="00F71780" w:rsidRDefault="00F71780" w:rsidP="00F71780">
      <w:pPr>
        <w:pStyle w:val="Descripcin"/>
        <w:keepNext/>
        <w:spacing w:after="0"/>
        <w:jc w:val="center"/>
        <w:rPr>
          <w:rFonts w:ascii="Book Antiqua" w:hAnsi="Book Antiqua" w:cs="&amp;quot"/>
          <w:b/>
          <w:i w:val="0"/>
          <w:iCs w:val="0"/>
          <w:color w:val="auto"/>
          <w:sz w:val="24"/>
          <w:szCs w:val="24"/>
        </w:rPr>
      </w:pPr>
      <w:bookmarkStart w:id="84" w:name="_Toc131155943"/>
      <w:r w:rsidRPr="00A7495E">
        <w:rPr>
          <w:rFonts w:ascii="Book Antiqua" w:hAnsi="Book Antiqua" w:cs="&amp;quot"/>
          <w:b/>
          <w:i w:val="0"/>
          <w:iCs w:val="0"/>
          <w:color w:val="auto"/>
          <w:sz w:val="24"/>
          <w:szCs w:val="24"/>
        </w:rPr>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844144">
        <w:rPr>
          <w:rFonts w:ascii="Book Antiqua" w:hAnsi="Book Antiqua" w:cs="&amp;quot"/>
          <w:b/>
          <w:i w:val="0"/>
          <w:iCs w:val="0"/>
          <w:noProof/>
          <w:color w:val="auto"/>
          <w:sz w:val="24"/>
          <w:szCs w:val="24"/>
        </w:rPr>
        <w:t>20</w:t>
      </w:r>
      <w:r w:rsidRPr="00A7495E">
        <w:rPr>
          <w:rFonts w:ascii="Book Antiqua" w:hAnsi="Book Antiqua" w:cs="&amp;quot"/>
          <w:b/>
          <w:i w:val="0"/>
          <w:iCs w:val="0"/>
          <w:color w:val="auto"/>
          <w:sz w:val="24"/>
          <w:szCs w:val="24"/>
        </w:rPr>
        <w:fldChar w:fldCharType="end"/>
      </w:r>
      <w:r w:rsidRPr="00A7495E">
        <w:rPr>
          <w:rFonts w:ascii="Book Antiqua" w:hAnsi="Book Antiqua" w:cs="&amp;quot"/>
          <w:b/>
          <w:i w:val="0"/>
          <w:iCs w:val="0"/>
          <w:color w:val="auto"/>
          <w:sz w:val="24"/>
          <w:szCs w:val="24"/>
        </w:rPr>
        <w:t xml:space="preserve"> </w:t>
      </w:r>
      <w:r>
        <w:rPr>
          <w:rFonts w:ascii="Book Antiqua" w:hAnsi="Book Antiqua" w:cs="&amp;quot"/>
          <w:b/>
          <w:i w:val="0"/>
          <w:iCs w:val="0"/>
          <w:color w:val="auto"/>
          <w:sz w:val="24"/>
          <w:szCs w:val="24"/>
        </w:rPr>
        <w:t>Detalle de proyectos</w:t>
      </w:r>
      <w:r w:rsidRPr="00A7495E">
        <w:rPr>
          <w:rFonts w:ascii="Book Antiqua" w:hAnsi="Book Antiqua" w:cs="&amp;quot"/>
          <w:b/>
          <w:i w:val="0"/>
          <w:iCs w:val="0"/>
          <w:color w:val="auto"/>
          <w:sz w:val="24"/>
          <w:szCs w:val="24"/>
        </w:rPr>
        <w:t xml:space="preserve"> </w:t>
      </w:r>
      <w:r>
        <w:rPr>
          <w:rFonts w:ascii="Book Antiqua" w:hAnsi="Book Antiqua" w:cs="&amp;quot"/>
          <w:b/>
          <w:i w:val="0"/>
          <w:iCs w:val="0"/>
          <w:color w:val="auto"/>
          <w:sz w:val="24"/>
          <w:szCs w:val="24"/>
        </w:rPr>
        <w:t>que presentan error en porcentaje esperado o real en el informe de avance.</w:t>
      </w:r>
      <w:bookmarkEnd w:id="84"/>
    </w:p>
    <w:tbl>
      <w:tblPr>
        <w:tblW w:w="9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3"/>
        <w:gridCol w:w="1201"/>
        <w:gridCol w:w="1140"/>
        <w:gridCol w:w="1267"/>
        <w:gridCol w:w="1546"/>
        <w:gridCol w:w="21"/>
      </w:tblGrid>
      <w:tr w:rsidR="0012218D" w:rsidRPr="00592618" w14:paraId="3F4D9332" w14:textId="77777777" w:rsidTr="00844144">
        <w:trPr>
          <w:gridAfter w:val="1"/>
          <w:wAfter w:w="21" w:type="dxa"/>
          <w:trHeight w:val="1485"/>
          <w:jc w:val="center"/>
        </w:trPr>
        <w:tc>
          <w:tcPr>
            <w:tcW w:w="4393"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524B5164"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b/>
                <w:bCs/>
                <w:color w:val="FFFFFF"/>
                <w:lang w:eastAsia="es-CR"/>
              </w:rPr>
              <w:t>Detalle de error/ Proyecto</w:t>
            </w:r>
            <w:r w:rsidRPr="00592618">
              <w:rPr>
                <w:rFonts w:ascii="Calibri" w:eastAsia="Times New Roman" w:hAnsi="Calibri" w:cs="Calibri"/>
                <w:color w:val="FFFFFF"/>
                <w:lang w:eastAsia="es-CR"/>
              </w:rPr>
              <w:t> </w:t>
            </w:r>
          </w:p>
        </w:tc>
        <w:tc>
          <w:tcPr>
            <w:tcW w:w="1201"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4EB6111D" w14:textId="77777777" w:rsidR="007874E4" w:rsidRDefault="00592618" w:rsidP="00592618">
            <w:pPr>
              <w:spacing w:after="0" w:line="240" w:lineRule="auto"/>
              <w:jc w:val="center"/>
              <w:textAlignment w:val="baseline"/>
              <w:rPr>
                <w:rFonts w:ascii="Calibri" w:eastAsia="Times New Roman" w:hAnsi="Calibri" w:cs="Calibri"/>
                <w:b/>
                <w:bCs/>
                <w:color w:val="FFFFFF"/>
                <w:lang w:eastAsia="es-CR"/>
              </w:rPr>
            </w:pPr>
            <w:r w:rsidRPr="00592618">
              <w:rPr>
                <w:rFonts w:ascii="Calibri" w:eastAsia="Times New Roman" w:hAnsi="Calibri" w:cs="Calibri"/>
                <w:b/>
                <w:bCs/>
                <w:color w:val="FFFFFF"/>
                <w:lang w:eastAsia="es-CR"/>
              </w:rPr>
              <w:t>Porcentaje Actual al 28-04-23</w:t>
            </w:r>
          </w:p>
          <w:p w14:paraId="2E7E541A" w14:textId="5A8A334A" w:rsidR="00592618" w:rsidRPr="00592618" w:rsidRDefault="007874E4" w:rsidP="00592618">
            <w:pPr>
              <w:spacing w:after="0" w:line="240" w:lineRule="auto"/>
              <w:jc w:val="center"/>
              <w:textAlignment w:val="baseline"/>
              <w:rPr>
                <w:rFonts w:ascii="Segoe UI" w:eastAsia="Times New Roman" w:hAnsi="Segoe UI" w:cs="Segoe UI"/>
                <w:sz w:val="18"/>
                <w:szCs w:val="18"/>
                <w:lang w:eastAsia="es-CR"/>
              </w:rPr>
            </w:pPr>
            <w:r>
              <w:rPr>
                <w:rFonts w:ascii="Calibri" w:eastAsia="Times New Roman" w:hAnsi="Calibri" w:cs="Calibri"/>
                <w:b/>
                <w:bCs/>
                <w:color w:val="FFFFFF"/>
                <w:lang w:eastAsia="es-CR"/>
              </w:rPr>
              <w:t>(</w:t>
            </w:r>
            <w:r w:rsidR="00503636">
              <w:rPr>
                <w:rFonts w:ascii="Calibri" w:eastAsia="Times New Roman" w:hAnsi="Calibri" w:cs="Calibri"/>
                <w:color w:val="FFFFFF"/>
                <w:lang w:eastAsia="es-CR"/>
              </w:rPr>
              <w:t>Pro</w:t>
            </w:r>
            <w:r>
              <w:rPr>
                <w:rFonts w:ascii="Calibri" w:eastAsia="Times New Roman" w:hAnsi="Calibri" w:cs="Calibri"/>
                <w:color w:val="FFFFFF"/>
                <w:lang w:eastAsia="es-CR"/>
              </w:rPr>
              <w:t>j</w:t>
            </w:r>
            <w:r w:rsidR="00503636">
              <w:rPr>
                <w:rFonts w:ascii="Calibri" w:eastAsia="Times New Roman" w:hAnsi="Calibri" w:cs="Calibri"/>
                <w:color w:val="FFFFFF"/>
                <w:lang w:eastAsia="es-CR"/>
              </w:rPr>
              <w:t>ect</w:t>
            </w:r>
            <w:r>
              <w:rPr>
                <w:rFonts w:ascii="Calibri" w:eastAsia="Times New Roman" w:hAnsi="Calibri" w:cs="Calibri"/>
                <w:color w:val="FFFFFF"/>
                <w:lang w:eastAsia="es-CR"/>
              </w:rPr>
              <w:t>)</w:t>
            </w:r>
          </w:p>
        </w:tc>
        <w:tc>
          <w:tcPr>
            <w:tcW w:w="1140" w:type="dxa"/>
            <w:tcBorders>
              <w:top w:val="single" w:sz="6" w:space="0" w:color="auto"/>
              <w:left w:val="nil"/>
              <w:bottom w:val="single" w:sz="6" w:space="0" w:color="auto"/>
              <w:right w:val="single" w:sz="6" w:space="0" w:color="auto"/>
            </w:tcBorders>
            <w:shd w:val="clear" w:color="auto" w:fill="44546A"/>
            <w:vAlign w:val="center"/>
            <w:hideMark/>
          </w:tcPr>
          <w:p w14:paraId="78E2E7AF" w14:textId="77777777" w:rsidR="008D1623" w:rsidRDefault="00592618" w:rsidP="00592618">
            <w:pPr>
              <w:spacing w:after="0" w:line="240" w:lineRule="auto"/>
              <w:jc w:val="center"/>
              <w:textAlignment w:val="baseline"/>
              <w:rPr>
                <w:rFonts w:ascii="Calibri" w:eastAsia="Times New Roman" w:hAnsi="Calibri" w:cs="Calibri"/>
                <w:b/>
                <w:bCs/>
                <w:color w:val="FFFFFF"/>
                <w:lang w:eastAsia="es-CR"/>
              </w:rPr>
            </w:pPr>
            <w:r w:rsidRPr="00592618">
              <w:rPr>
                <w:rFonts w:ascii="Calibri" w:eastAsia="Times New Roman" w:hAnsi="Calibri" w:cs="Calibri"/>
                <w:b/>
                <w:bCs/>
                <w:color w:val="FFFFFF"/>
                <w:lang w:eastAsia="es-CR"/>
              </w:rPr>
              <w:t xml:space="preserve">Porcentaje </w:t>
            </w:r>
          </w:p>
          <w:p w14:paraId="27E66D1D" w14:textId="77777777" w:rsidR="004E2016" w:rsidRDefault="0012218D" w:rsidP="00592618">
            <w:pPr>
              <w:spacing w:after="0" w:line="240" w:lineRule="auto"/>
              <w:jc w:val="center"/>
              <w:textAlignment w:val="baseline"/>
              <w:rPr>
                <w:rFonts w:ascii="Calibri" w:eastAsia="Times New Roman" w:hAnsi="Calibri" w:cs="Calibri"/>
                <w:b/>
                <w:bCs/>
                <w:color w:val="FFFFFF"/>
                <w:lang w:eastAsia="es-CR"/>
              </w:rPr>
            </w:pPr>
            <w:r>
              <w:rPr>
                <w:rFonts w:ascii="Calibri" w:eastAsia="Times New Roman" w:hAnsi="Calibri" w:cs="Calibri"/>
                <w:b/>
                <w:bCs/>
                <w:color w:val="FFFFFF"/>
                <w:lang w:eastAsia="es-CR"/>
              </w:rPr>
              <w:t>Actual</w:t>
            </w:r>
            <w:r w:rsidR="00E17689">
              <w:rPr>
                <w:rFonts w:ascii="Calibri" w:eastAsia="Times New Roman" w:hAnsi="Calibri" w:cs="Calibri"/>
                <w:b/>
                <w:bCs/>
                <w:color w:val="FFFFFF"/>
                <w:lang w:eastAsia="es-CR"/>
              </w:rPr>
              <w:t xml:space="preserve"> </w:t>
            </w:r>
          </w:p>
          <w:p w14:paraId="401756FC" w14:textId="3D2C174E" w:rsidR="004E2016" w:rsidRDefault="00771A7E" w:rsidP="00592618">
            <w:pPr>
              <w:spacing w:after="0" w:line="240" w:lineRule="auto"/>
              <w:jc w:val="center"/>
              <w:textAlignment w:val="baseline"/>
              <w:rPr>
                <w:rFonts w:ascii="Calibri" w:eastAsia="Times New Roman" w:hAnsi="Calibri" w:cs="Calibri"/>
                <w:b/>
                <w:bCs/>
                <w:color w:val="FFFFFF"/>
                <w:lang w:eastAsia="es-CR"/>
              </w:rPr>
            </w:pPr>
            <w:r>
              <w:rPr>
                <w:rFonts w:ascii="Calibri" w:eastAsia="Times New Roman" w:hAnsi="Calibri" w:cs="Calibri"/>
                <w:b/>
                <w:bCs/>
                <w:color w:val="FFFFFF"/>
                <w:lang w:eastAsia="es-CR"/>
              </w:rPr>
              <w:t>Reportado</w:t>
            </w:r>
            <w:r w:rsidR="00592618" w:rsidRPr="00592618">
              <w:rPr>
                <w:rFonts w:ascii="Calibri" w:eastAsia="Times New Roman" w:hAnsi="Calibri" w:cs="Calibri"/>
                <w:b/>
                <w:bCs/>
                <w:color w:val="FFFFFF"/>
                <w:lang w:eastAsia="es-CR"/>
              </w:rPr>
              <w:t xml:space="preserve"> </w:t>
            </w:r>
          </w:p>
          <w:p w14:paraId="3F6D3D11" w14:textId="4DF4B6D8"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b/>
                <w:bCs/>
                <w:color w:val="FFFFFF"/>
                <w:lang w:eastAsia="es-CR"/>
              </w:rPr>
              <w:t>en informe</w:t>
            </w:r>
            <w:r w:rsidRPr="00592618">
              <w:rPr>
                <w:rFonts w:ascii="Calibri" w:eastAsia="Times New Roman" w:hAnsi="Calibri" w:cs="Calibri"/>
                <w:color w:val="FFFFFF"/>
                <w:lang w:eastAsia="es-CR"/>
              </w:rPr>
              <w:t> </w:t>
            </w:r>
          </w:p>
        </w:tc>
        <w:tc>
          <w:tcPr>
            <w:tcW w:w="1267" w:type="dxa"/>
            <w:tcBorders>
              <w:top w:val="single" w:sz="6" w:space="0" w:color="auto"/>
              <w:left w:val="nil"/>
              <w:bottom w:val="single" w:sz="6" w:space="0" w:color="auto"/>
              <w:right w:val="single" w:sz="6" w:space="0" w:color="auto"/>
            </w:tcBorders>
            <w:shd w:val="clear" w:color="auto" w:fill="44546A"/>
            <w:vAlign w:val="center"/>
            <w:hideMark/>
          </w:tcPr>
          <w:p w14:paraId="0A33F3EB" w14:textId="37E37974" w:rsidR="00592618" w:rsidRPr="00EF4E17" w:rsidRDefault="00592618" w:rsidP="00592618">
            <w:pPr>
              <w:spacing w:after="0" w:line="240" w:lineRule="auto"/>
              <w:jc w:val="center"/>
              <w:textAlignment w:val="baseline"/>
              <w:rPr>
                <w:rFonts w:ascii="Calibri" w:eastAsia="Times New Roman" w:hAnsi="Calibri" w:cs="Calibri"/>
                <w:b/>
                <w:bCs/>
                <w:color w:val="FFFFFF"/>
                <w:lang w:eastAsia="es-CR"/>
              </w:rPr>
            </w:pPr>
            <w:r w:rsidRPr="007274FF">
              <w:rPr>
                <w:rFonts w:ascii="Calibri" w:eastAsia="Times New Roman" w:hAnsi="Calibri" w:cs="Calibri"/>
                <w:b/>
                <w:bCs/>
                <w:color w:val="FFFFFF"/>
                <w:lang w:eastAsia="es-CR"/>
              </w:rPr>
              <w:t>Porcentaje Esperado al 28-04-23</w:t>
            </w:r>
            <w:r w:rsidRPr="00EF4E17">
              <w:rPr>
                <w:rFonts w:ascii="Calibri" w:eastAsia="Times New Roman" w:hAnsi="Calibri" w:cs="Calibri"/>
                <w:b/>
                <w:bCs/>
                <w:color w:val="FFFFFF"/>
                <w:lang w:eastAsia="es-CR"/>
              </w:rPr>
              <w:t> </w:t>
            </w:r>
          </w:p>
          <w:p w14:paraId="5CCC83ED" w14:textId="7F58E65B" w:rsidR="00684CC2" w:rsidRPr="00EF4E17" w:rsidRDefault="00684CC2" w:rsidP="00592618">
            <w:pPr>
              <w:spacing w:after="0" w:line="240" w:lineRule="auto"/>
              <w:jc w:val="center"/>
              <w:textAlignment w:val="baseline"/>
              <w:rPr>
                <w:rFonts w:ascii="Calibri" w:eastAsia="Times New Roman" w:hAnsi="Calibri" w:cs="Calibri"/>
                <w:color w:val="FFFFFF"/>
                <w:lang w:eastAsia="es-CR"/>
              </w:rPr>
            </w:pPr>
            <w:r w:rsidRPr="00EF4E17">
              <w:rPr>
                <w:rFonts w:ascii="Calibri" w:eastAsia="Times New Roman" w:hAnsi="Calibri" w:cs="Calibri"/>
                <w:b/>
                <w:bCs/>
                <w:color w:val="FFFFFF"/>
                <w:lang w:eastAsia="es-CR"/>
              </w:rPr>
              <w:t>(Proje</w:t>
            </w:r>
            <w:r w:rsidR="002E61E3" w:rsidRPr="00EF4E17">
              <w:rPr>
                <w:rFonts w:ascii="Calibri" w:eastAsia="Times New Roman" w:hAnsi="Calibri" w:cs="Calibri"/>
                <w:b/>
                <w:bCs/>
                <w:color w:val="FFFFFF"/>
                <w:lang w:eastAsia="es-CR"/>
              </w:rPr>
              <w:t>c</w:t>
            </w:r>
            <w:r w:rsidRPr="00EF4E17">
              <w:rPr>
                <w:rFonts w:ascii="Calibri" w:eastAsia="Times New Roman" w:hAnsi="Calibri" w:cs="Calibri"/>
                <w:b/>
                <w:bCs/>
                <w:color w:val="FFFFFF"/>
                <w:lang w:eastAsia="es-CR"/>
              </w:rPr>
              <w:t>t)</w:t>
            </w:r>
          </w:p>
        </w:tc>
        <w:tc>
          <w:tcPr>
            <w:tcW w:w="1546" w:type="dxa"/>
            <w:tcBorders>
              <w:top w:val="single" w:sz="6" w:space="0" w:color="auto"/>
              <w:left w:val="nil"/>
              <w:bottom w:val="single" w:sz="6" w:space="0" w:color="auto"/>
              <w:right w:val="single" w:sz="6" w:space="0" w:color="auto"/>
            </w:tcBorders>
            <w:shd w:val="clear" w:color="auto" w:fill="44546A"/>
            <w:vAlign w:val="center"/>
            <w:hideMark/>
          </w:tcPr>
          <w:p w14:paraId="2CEDF144" w14:textId="3167751E"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b/>
                <w:bCs/>
                <w:color w:val="FFFFFF"/>
                <w:lang w:eastAsia="es-CR"/>
              </w:rPr>
              <w:t xml:space="preserve">Porcentaje esperado </w:t>
            </w:r>
            <w:r w:rsidR="008D1623">
              <w:rPr>
                <w:rFonts w:ascii="Calibri" w:eastAsia="Times New Roman" w:hAnsi="Calibri" w:cs="Calibri"/>
                <w:b/>
                <w:bCs/>
                <w:color w:val="FFFFFF"/>
                <w:lang w:eastAsia="es-CR"/>
              </w:rPr>
              <w:t xml:space="preserve">reportado </w:t>
            </w:r>
            <w:r w:rsidRPr="00592618">
              <w:rPr>
                <w:rFonts w:ascii="Calibri" w:eastAsia="Times New Roman" w:hAnsi="Calibri" w:cs="Calibri"/>
                <w:b/>
                <w:bCs/>
                <w:color w:val="FFFFFF"/>
                <w:lang w:eastAsia="es-CR"/>
              </w:rPr>
              <w:t>en informe</w:t>
            </w:r>
            <w:r w:rsidRPr="00592618">
              <w:rPr>
                <w:rFonts w:ascii="Calibri" w:eastAsia="Times New Roman" w:hAnsi="Calibri" w:cs="Calibri"/>
                <w:color w:val="FFFFFF"/>
                <w:lang w:eastAsia="es-CR"/>
              </w:rPr>
              <w:t> </w:t>
            </w:r>
          </w:p>
        </w:tc>
      </w:tr>
      <w:tr w:rsidR="00592618" w:rsidRPr="00592618" w14:paraId="1E632A5B" w14:textId="77777777" w:rsidTr="00844144">
        <w:trPr>
          <w:gridAfter w:val="1"/>
          <w:wAfter w:w="21" w:type="dxa"/>
          <w:trHeight w:val="300"/>
          <w:jc w:val="center"/>
        </w:trPr>
        <w:tc>
          <w:tcPr>
            <w:tcW w:w="9547" w:type="dxa"/>
            <w:gridSpan w:val="5"/>
            <w:tcBorders>
              <w:top w:val="single" w:sz="6" w:space="0" w:color="auto"/>
              <w:left w:val="single" w:sz="6" w:space="0" w:color="auto"/>
              <w:bottom w:val="single" w:sz="6" w:space="0" w:color="auto"/>
              <w:right w:val="single" w:sz="6" w:space="0" w:color="000000"/>
            </w:tcBorders>
            <w:shd w:val="clear" w:color="auto" w:fill="A9D08E"/>
            <w:vAlign w:val="bottom"/>
            <w:hideMark/>
          </w:tcPr>
          <w:p w14:paraId="1E14C8AC"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b/>
                <w:bCs/>
                <w:color w:val="000000"/>
                <w:lang w:eastAsia="es-CR"/>
              </w:rPr>
              <w:t>Incorrecto ambos porcentajes en informe de avance</w:t>
            </w:r>
            <w:r w:rsidRPr="00592618">
              <w:rPr>
                <w:rFonts w:ascii="Calibri" w:eastAsia="Times New Roman" w:hAnsi="Calibri" w:cs="Calibri"/>
                <w:color w:val="000000"/>
                <w:lang w:eastAsia="es-CR"/>
              </w:rPr>
              <w:t> </w:t>
            </w:r>
          </w:p>
        </w:tc>
      </w:tr>
      <w:tr w:rsidR="0012218D" w:rsidRPr="00592618" w14:paraId="27689EF8" w14:textId="77777777" w:rsidTr="00844144">
        <w:trPr>
          <w:trHeight w:val="300"/>
          <w:jc w:val="center"/>
        </w:trPr>
        <w:tc>
          <w:tcPr>
            <w:tcW w:w="4393" w:type="dxa"/>
            <w:tcBorders>
              <w:top w:val="nil"/>
              <w:left w:val="single" w:sz="6" w:space="0" w:color="auto"/>
              <w:bottom w:val="single" w:sz="6" w:space="0" w:color="auto"/>
              <w:right w:val="single" w:sz="6" w:space="0" w:color="auto"/>
            </w:tcBorders>
            <w:shd w:val="clear" w:color="auto" w:fill="auto"/>
            <w:vAlign w:val="center"/>
            <w:hideMark/>
          </w:tcPr>
          <w:p w14:paraId="5D5C9D8E"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lastRenderedPageBreak/>
              <w:t>Sistema de Inventario y Materiales de la Proveeduría </w:t>
            </w:r>
          </w:p>
        </w:tc>
        <w:tc>
          <w:tcPr>
            <w:tcW w:w="1201" w:type="dxa"/>
            <w:tcBorders>
              <w:top w:val="single" w:sz="6" w:space="0" w:color="auto"/>
              <w:left w:val="single" w:sz="6" w:space="0" w:color="auto"/>
              <w:bottom w:val="single" w:sz="6" w:space="0" w:color="auto"/>
              <w:right w:val="single" w:sz="6" w:space="0" w:color="auto"/>
            </w:tcBorders>
            <w:shd w:val="clear" w:color="auto" w:fill="D9E2F3"/>
            <w:vAlign w:val="bottom"/>
            <w:hideMark/>
          </w:tcPr>
          <w:p w14:paraId="451528C7"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38% </w:t>
            </w:r>
          </w:p>
        </w:tc>
        <w:tc>
          <w:tcPr>
            <w:tcW w:w="1140" w:type="dxa"/>
            <w:tcBorders>
              <w:top w:val="single" w:sz="6" w:space="0" w:color="auto"/>
              <w:left w:val="nil"/>
              <w:bottom w:val="single" w:sz="6" w:space="0" w:color="auto"/>
              <w:right w:val="single" w:sz="6" w:space="0" w:color="auto"/>
            </w:tcBorders>
            <w:shd w:val="clear" w:color="auto" w:fill="B4C6E7"/>
            <w:vAlign w:val="bottom"/>
            <w:hideMark/>
          </w:tcPr>
          <w:p w14:paraId="57CA2C1D"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67% </w:t>
            </w:r>
          </w:p>
        </w:tc>
        <w:tc>
          <w:tcPr>
            <w:tcW w:w="1267" w:type="dxa"/>
            <w:tcBorders>
              <w:top w:val="nil"/>
              <w:left w:val="nil"/>
              <w:bottom w:val="single" w:sz="6" w:space="0" w:color="auto"/>
              <w:right w:val="single" w:sz="6" w:space="0" w:color="auto"/>
            </w:tcBorders>
            <w:shd w:val="clear" w:color="auto" w:fill="D9E1F2"/>
            <w:vAlign w:val="bottom"/>
            <w:hideMark/>
          </w:tcPr>
          <w:p w14:paraId="020B3BDE"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77% </w:t>
            </w:r>
          </w:p>
        </w:tc>
        <w:tc>
          <w:tcPr>
            <w:tcW w:w="1546" w:type="dxa"/>
            <w:tcBorders>
              <w:top w:val="nil"/>
              <w:left w:val="nil"/>
              <w:bottom w:val="single" w:sz="6" w:space="0" w:color="auto"/>
              <w:right w:val="single" w:sz="6" w:space="0" w:color="auto"/>
            </w:tcBorders>
            <w:shd w:val="clear" w:color="auto" w:fill="B4C6E7"/>
            <w:vAlign w:val="bottom"/>
            <w:hideMark/>
          </w:tcPr>
          <w:p w14:paraId="04045346"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76% </w:t>
            </w:r>
          </w:p>
        </w:tc>
        <w:tc>
          <w:tcPr>
            <w:tcW w:w="21" w:type="dxa"/>
            <w:shd w:val="clear" w:color="auto" w:fill="auto"/>
            <w:vAlign w:val="center"/>
            <w:hideMark/>
          </w:tcPr>
          <w:p w14:paraId="34FB4A92" w14:textId="77777777" w:rsidR="00592618" w:rsidRPr="00592618" w:rsidRDefault="00592618" w:rsidP="00592618">
            <w:pPr>
              <w:spacing w:after="0" w:line="240" w:lineRule="auto"/>
              <w:rPr>
                <w:rFonts w:ascii="Times New Roman" w:eastAsia="Times New Roman" w:hAnsi="Times New Roman" w:cs="Times New Roman"/>
                <w:sz w:val="20"/>
                <w:szCs w:val="20"/>
                <w:lang w:eastAsia="es-CR"/>
              </w:rPr>
            </w:pPr>
          </w:p>
        </w:tc>
      </w:tr>
      <w:tr w:rsidR="0012218D" w:rsidRPr="00592618" w14:paraId="69C2C300" w14:textId="77777777" w:rsidTr="00844144">
        <w:trPr>
          <w:trHeight w:val="585"/>
          <w:jc w:val="center"/>
        </w:trPr>
        <w:tc>
          <w:tcPr>
            <w:tcW w:w="4393" w:type="dxa"/>
            <w:tcBorders>
              <w:top w:val="nil"/>
              <w:left w:val="single" w:sz="6" w:space="0" w:color="auto"/>
              <w:bottom w:val="single" w:sz="6" w:space="0" w:color="auto"/>
              <w:right w:val="single" w:sz="6" w:space="0" w:color="auto"/>
            </w:tcBorders>
            <w:shd w:val="clear" w:color="auto" w:fill="auto"/>
            <w:vAlign w:val="center"/>
            <w:hideMark/>
          </w:tcPr>
          <w:p w14:paraId="73A755D0"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Mejorar desafíos en el ámbito jurisdiccional establecidos en el cuarto Informe del Estado de la Justicia </w:t>
            </w:r>
          </w:p>
        </w:tc>
        <w:tc>
          <w:tcPr>
            <w:tcW w:w="1201" w:type="dxa"/>
            <w:tcBorders>
              <w:top w:val="nil"/>
              <w:left w:val="single" w:sz="6" w:space="0" w:color="auto"/>
              <w:bottom w:val="single" w:sz="6" w:space="0" w:color="auto"/>
              <w:right w:val="single" w:sz="6" w:space="0" w:color="auto"/>
            </w:tcBorders>
            <w:shd w:val="clear" w:color="auto" w:fill="D9E2F3"/>
            <w:vAlign w:val="bottom"/>
            <w:hideMark/>
          </w:tcPr>
          <w:p w14:paraId="7593FA38"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0% </w:t>
            </w:r>
          </w:p>
        </w:tc>
        <w:tc>
          <w:tcPr>
            <w:tcW w:w="1140" w:type="dxa"/>
            <w:tcBorders>
              <w:top w:val="nil"/>
              <w:left w:val="nil"/>
              <w:bottom w:val="single" w:sz="6" w:space="0" w:color="auto"/>
              <w:right w:val="single" w:sz="6" w:space="0" w:color="auto"/>
            </w:tcBorders>
            <w:shd w:val="clear" w:color="auto" w:fill="B4C6E7"/>
            <w:vAlign w:val="bottom"/>
            <w:hideMark/>
          </w:tcPr>
          <w:p w14:paraId="48F31CEC"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10% </w:t>
            </w:r>
          </w:p>
        </w:tc>
        <w:tc>
          <w:tcPr>
            <w:tcW w:w="1267" w:type="dxa"/>
            <w:tcBorders>
              <w:top w:val="nil"/>
              <w:left w:val="nil"/>
              <w:bottom w:val="single" w:sz="6" w:space="0" w:color="auto"/>
              <w:right w:val="single" w:sz="6" w:space="0" w:color="auto"/>
            </w:tcBorders>
            <w:shd w:val="clear" w:color="auto" w:fill="D9E1F2"/>
            <w:vAlign w:val="bottom"/>
            <w:hideMark/>
          </w:tcPr>
          <w:p w14:paraId="31A956D6"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0% </w:t>
            </w:r>
          </w:p>
        </w:tc>
        <w:tc>
          <w:tcPr>
            <w:tcW w:w="1546" w:type="dxa"/>
            <w:tcBorders>
              <w:top w:val="nil"/>
              <w:left w:val="nil"/>
              <w:bottom w:val="single" w:sz="6" w:space="0" w:color="auto"/>
              <w:right w:val="single" w:sz="6" w:space="0" w:color="auto"/>
            </w:tcBorders>
            <w:shd w:val="clear" w:color="auto" w:fill="B4C6E7"/>
            <w:vAlign w:val="bottom"/>
            <w:hideMark/>
          </w:tcPr>
          <w:p w14:paraId="4875260F"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10% </w:t>
            </w:r>
          </w:p>
        </w:tc>
        <w:tc>
          <w:tcPr>
            <w:tcW w:w="21" w:type="dxa"/>
            <w:shd w:val="clear" w:color="auto" w:fill="auto"/>
            <w:vAlign w:val="center"/>
            <w:hideMark/>
          </w:tcPr>
          <w:p w14:paraId="5141F0E1" w14:textId="77777777" w:rsidR="00592618" w:rsidRPr="00592618" w:rsidRDefault="00592618" w:rsidP="00592618">
            <w:pPr>
              <w:spacing w:after="0" w:line="240" w:lineRule="auto"/>
              <w:rPr>
                <w:rFonts w:ascii="Times New Roman" w:eastAsia="Times New Roman" w:hAnsi="Times New Roman" w:cs="Times New Roman"/>
                <w:sz w:val="20"/>
                <w:szCs w:val="20"/>
                <w:lang w:eastAsia="es-CR"/>
              </w:rPr>
            </w:pPr>
          </w:p>
        </w:tc>
      </w:tr>
      <w:tr w:rsidR="0012218D" w:rsidRPr="00592618" w14:paraId="30D09016" w14:textId="77777777" w:rsidTr="00844144">
        <w:trPr>
          <w:trHeight w:val="300"/>
          <w:jc w:val="center"/>
        </w:trPr>
        <w:tc>
          <w:tcPr>
            <w:tcW w:w="4393" w:type="dxa"/>
            <w:tcBorders>
              <w:top w:val="nil"/>
              <w:left w:val="single" w:sz="6" w:space="0" w:color="auto"/>
              <w:bottom w:val="single" w:sz="6" w:space="0" w:color="auto"/>
              <w:right w:val="single" w:sz="6" w:space="0" w:color="auto"/>
            </w:tcBorders>
            <w:shd w:val="clear" w:color="auto" w:fill="auto"/>
            <w:vAlign w:val="center"/>
            <w:hideMark/>
          </w:tcPr>
          <w:p w14:paraId="6FBFB9FA"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Mejorar desafíos establecidos en el Informe del Estado de la Justicia en el ámbito de la gobernanza política </w:t>
            </w:r>
          </w:p>
        </w:tc>
        <w:tc>
          <w:tcPr>
            <w:tcW w:w="1201" w:type="dxa"/>
            <w:tcBorders>
              <w:top w:val="nil"/>
              <w:left w:val="single" w:sz="6" w:space="0" w:color="auto"/>
              <w:bottom w:val="single" w:sz="6" w:space="0" w:color="auto"/>
              <w:right w:val="single" w:sz="6" w:space="0" w:color="auto"/>
            </w:tcBorders>
            <w:shd w:val="clear" w:color="auto" w:fill="D9E2F3"/>
            <w:vAlign w:val="bottom"/>
            <w:hideMark/>
          </w:tcPr>
          <w:p w14:paraId="294EAA00"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0% </w:t>
            </w:r>
          </w:p>
        </w:tc>
        <w:tc>
          <w:tcPr>
            <w:tcW w:w="1140" w:type="dxa"/>
            <w:tcBorders>
              <w:top w:val="nil"/>
              <w:left w:val="nil"/>
              <w:bottom w:val="single" w:sz="6" w:space="0" w:color="auto"/>
              <w:right w:val="single" w:sz="6" w:space="0" w:color="auto"/>
            </w:tcBorders>
            <w:shd w:val="clear" w:color="auto" w:fill="B4C6E7"/>
            <w:vAlign w:val="bottom"/>
            <w:hideMark/>
          </w:tcPr>
          <w:p w14:paraId="49DC9758"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1% </w:t>
            </w:r>
          </w:p>
        </w:tc>
        <w:tc>
          <w:tcPr>
            <w:tcW w:w="1267" w:type="dxa"/>
            <w:tcBorders>
              <w:top w:val="nil"/>
              <w:left w:val="nil"/>
              <w:bottom w:val="single" w:sz="6" w:space="0" w:color="auto"/>
              <w:right w:val="single" w:sz="6" w:space="0" w:color="auto"/>
            </w:tcBorders>
            <w:shd w:val="clear" w:color="auto" w:fill="D9E1F2"/>
            <w:vAlign w:val="bottom"/>
            <w:hideMark/>
          </w:tcPr>
          <w:p w14:paraId="2EA6E08A"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0% </w:t>
            </w:r>
          </w:p>
        </w:tc>
        <w:tc>
          <w:tcPr>
            <w:tcW w:w="1546" w:type="dxa"/>
            <w:tcBorders>
              <w:top w:val="nil"/>
              <w:left w:val="nil"/>
              <w:bottom w:val="single" w:sz="6" w:space="0" w:color="auto"/>
              <w:right w:val="single" w:sz="6" w:space="0" w:color="auto"/>
            </w:tcBorders>
            <w:shd w:val="clear" w:color="auto" w:fill="B4C6E7"/>
            <w:vAlign w:val="bottom"/>
            <w:hideMark/>
          </w:tcPr>
          <w:p w14:paraId="5300D23E"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10% </w:t>
            </w:r>
          </w:p>
        </w:tc>
        <w:tc>
          <w:tcPr>
            <w:tcW w:w="21" w:type="dxa"/>
            <w:shd w:val="clear" w:color="auto" w:fill="auto"/>
            <w:vAlign w:val="center"/>
            <w:hideMark/>
          </w:tcPr>
          <w:p w14:paraId="618E72A2" w14:textId="77777777" w:rsidR="00592618" w:rsidRPr="00592618" w:rsidRDefault="00592618" w:rsidP="00592618">
            <w:pPr>
              <w:spacing w:after="0" w:line="240" w:lineRule="auto"/>
              <w:rPr>
                <w:rFonts w:ascii="Times New Roman" w:eastAsia="Times New Roman" w:hAnsi="Times New Roman" w:cs="Times New Roman"/>
                <w:sz w:val="20"/>
                <w:szCs w:val="20"/>
                <w:lang w:eastAsia="es-CR"/>
              </w:rPr>
            </w:pPr>
          </w:p>
        </w:tc>
      </w:tr>
      <w:tr w:rsidR="0012218D" w:rsidRPr="00592618" w14:paraId="03C0CF65" w14:textId="77777777" w:rsidTr="00844144">
        <w:trPr>
          <w:trHeight w:val="300"/>
          <w:jc w:val="center"/>
        </w:trPr>
        <w:tc>
          <w:tcPr>
            <w:tcW w:w="4393" w:type="dxa"/>
            <w:tcBorders>
              <w:top w:val="nil"/>
              <w:left w:val="single" w:sz="6" w:space="0" w:color="auto"/>
              <w:bottom w:val="single" w:sz="6" w:space="0" w:color="auto"/>
              <w:right w:val="single" w:sz="6" w:space="0" w:color="auto"/>
            </w:tcBorders>
            <w:shd w:val="clear" w:color="auto" w:fill="auto"/>
            <w:vAlign w:val="center"/>
            <w:hideMark/>
          </w:tcPr>
          <w:p w14:paraId="4C3470A9"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Mejorar desafíos establecidos en el Informe del Estado de la Justicia en el ámbito de la gestión administrativa </w:t>
            </w:r>
          </w:p>
        </w:tc>
        <w:tc>
          <w:tcPr>
            <w:tcW w:w="1201" w:type="dxa"/>
            <w:tcBorders>
              <w:top w:val="nil"/>
              <w:left w:val="single" w:sz="6" w:space="0" w:color="auto"/>
              <w:bottom w:val="single" w:sz="6" w:space="0" w:color="auto"/>
              <w:right w:val="single" w:sz="6" w:space="0" w:color="auto"/>
            </w:tcBorders>
            <w:shd w:val="clear" w:color="auto" w:fill="D9E2F3"/>
            <w:vAlign w:val="bottom"/>
            <w:hideMark/>
          </w:tcPr>
          <w:p w14:paraId="12D2E6FA"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0% </w:t>
            </w:r>
          </w:p>
        </w:tc>
        <w:tc>
          <w:tcPr>
            <w:tcW w:w="1140" w:type="dxa"/>
            <w:tcBorders>
              <w:top w:val="nil"/>
              <w:left w:val="nil"/>
              <w:bottom w:val="single" w:sz="6" w:space="0" w:color="auto"/>
              <w:right w:val="single" w:sz="6" w:space="0" w:color="auto"/>
            </w:tcBorders>
            <w:shd w:val="clear" w:color="auto" w:fill="B4C6E7"/>
            <w:vAlign w:val="bottom"/>
            <w:hideMark/>
          </w:tcPr>
          <w:p w14:paraId="3FF3C7A8"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5% </w:t>
            </w:r>
          </w:p>
        </w:tc>
        <w:tc>
          <w:tcPr>
            <w:tcW w:w="1267" w:type="dxa"/>
            <w:tcBorders>
              <w:top w:val="nil"/>
              <w:left w:val="nil"/>
              <w:bottom w:val="single" w:sz="6" w:space="0" w:color="auto"/>
              <w:right w:val="single" w:sz="6" w:space="0" w:color="auto"/>
            </w:tcBorders>
            <w:shd w:val="clear" w:color="auto" w:fill="D9E1F2"/>
            <w:vAlign w:val="bottom"/>
            <w:hideMark/>
          </w:tcPr>
          <w:p w14:paraId="063F52C6"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0% </w:t>
            </w:r>
          </w:p>
        </w:tc>
        <w:tc>
          <w:tcPr>
            <w:tcW w:w="1546" w:type="dxa"/>
            <w:tcBorders>
              <w:top w:val="nil"/>
              <w:left w:val="nil"/>
              <w:bottom w:val="single" w:sz="6" w:space="0" w:color="auto"/>
              <w:right w:val="single" w:sz="6" w:space="0" w:color="auto"/>
            </w:tcBorders>
            <w:shd w:val="clear" w:color="auto" w:fill="B4C6E7"/>
            <w:vAlign w:val="bottom"/>
            <w:hideMark/>
          </w:tcPr>
          <w:p w14:paraId="46572822"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10% </w:t>
            </w:r>
          </w:p>
        </w:tc>
        <w:tc>
          <w:tcPr>
            <w:tcW w:w="21" w:type="dxa"/>
            <w:shd w:val="clear" w:color="auto" w:fill="auto"/>
            <w:vAlign w:val="center"/>
            <w:hideMark/>
          </w:tcPr>
          <w:p w14:paraId="18AB6EA8" w14:textId="77777777" w:rsidR="00592618" w:rsidRPr="00592618" w:rsidRDefault="00592618" w:rsidP="00592618">
            <w:pPr>
              <w:spacing w:after="0" w:line="240" w:lineRule="auto"/>
              <w:rPr>
                <w:rFonts w:ascii="Times New Roman" w:eastAsia="Times New Roman" w:hAnsi="Times New Roman" w:cs="Times New Roman"/>
                <w:sz w:val="20"/>
                <w:szCs w:val="20"/>
                <w:lang w:eastAsia="es-CR"/>
              </w:rPr>
            </w:pPr>
          </w:p>
        </w:tc>
      </w:tr>
      <w:tr w:rsidR="00592618" w:rsidRPr="00592618" w14:paraId="4F77A755" w14:textId="77777777" w:rsidTr="00844144">
        <w:trPr>
          <w:gridAfter w:val="1"/>
          <w:wAfter w:w="21" w:type="dxa"/>
          <w:trHeight w:val="300"/>
          <w:jc w:val="center"/>
        </w:trPr>
        <w:tc>
          <w:tcPr>
            <w:tcW w:w="9547" w:type="dxa"/>
            <w:gridSpan w:val="5"/>
            <w:tcBorders>
              <w:top w:val="single" w:sz="6" w:space="0" w:color="auto"/>
              <w:left w:val="single" w:sz="6" w:space="0" w:color="auto"/>
              <w:bottom w:val="single" w:sz="6" w:space="0" w:color="auto"/>
              <w:right w:val="single" w:sz="6" w:space="0" w:color="000000"/>
            </w:tcBorders>
            <w:shd w:val="clear" w:color="auto" w:fill="A9D08E"/>
            <w:vAlign w:val="center"/>
            <w:hideMark/>
          </w:tcPr>
          <w:p w14:paraId="16E0F730"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b/>
                <w:bCs/>
                <w:color w:val="000000"/>
                <w:lang w:eastAsia="es-CR"/>
              </w:rPr>
              <w:t>Porcentaje actual incorrecto en informe de avance</w:t>
            </w:r>
            <w:r w:rsidRPr="00592618">
              <w:rPr>
                <w:rFonts w:ascii="Calibri" w:eastAsia="Times New Roman" w:hAnsi="Calibri" w:cs="Calibri"/>
                <w:color w:val="000000"/>
                <w:lang w:eastAsia="es-CR"/>
              </w:rPr>
              <w:t> </w:t>
            </w:r>
          </w:p>
        </w:tc>
      </w:tr>
      <w:tr w:rsidR="0012218D" w:rsidRPr="00592618" w14:paraId="3F2960FD" w14:textId="77777777" w:rsidTr="00844144">
        <w:trPr>
          <w:trHeight w:val="300"/>
          <w:jc w:val="center"/>
        </w:trPr>
        <w:tc>
          <w:tcPr>
            <w:tcW w:w="439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5B38E0"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Sistema de Voceo y Comunicación Institucional para la Corte Suprema de Justicia y la de Plaza de la Justicia </w:t>
            </w:r>
          </w:p>
        </w:tc>
        <w:tc>
          <w:tcPr>
            <w:tcW w:w="1201" w:type="dxa"/>
            <w:tcBorders>
              <w:top w:val="single" w:sz="6" w:space="0" w:color="auto"/>
              <w:left w:val="single" w:sz="6" w:space="0" w:color="auto"/>
              <w:bottom w:val="single" w:sz="6" w:space="0" w:color="auto"/>
              <w:right w:val="single" w:sz="6" w:space="0" w:color="auto"/>
            </w:tcBorders>
            <w:shd w:val="clear" w:color="auto" w:fill="D9E2F3"/>
            <w:vAlign w:val="bottom"/>
            <w:hideMark/>
          </w:tcPr>
          <w:p w14:paraId="12A1D0C7"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59% </w:t>
            </w:r>
          </w:p>
        </w:tc>
        <w:tc>
          <w:tcPr>
            <w:tcW w:w="1140" w:type="dxa"/>
            <w:tcBorders>
              <w:top w:val="single" w:sz="6" w:space="0" w:color="auto"/>
              <w:left w:val="single" w:sz="6" w:space="0" w:color="auto"/>
              <w:bottom w:val="single" w:sz="6" w:space="0" w:color="auto"/>
              <w:right w:val="single" w:sz="6" w:space="0" w:color="auto"/>
            </w:tcBorders>
            <w:shd w:val="clear" w:color="auto" w:fill="B4C6E7"/>
            <w:vAlign w:val="bottom"/>
            <w:hideMark/>
          </w:tcPr>
          <w:p w14:paraId="64D32F3E"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44% </w:t>
            </w:r>
          </w:p>
        </w:tc>
        <w:tc>
          <w:tcPr>
            <w:tcW w:w="1267" w:type="dxa"/>
            <w:tcBorders>
              <w:top w:val="single" w:sz="6" w:space="0" w:color="auto"/>
              <w:left w:val="single" w:sz="6" w:space="0" w:color="auto"/>
              <w:bottom w:val="single" w:sz="6" w:space="0" w:color="auto"/>
              <w:right w:val="single" w:sz="6" w:space="0" w:color="auto"/>
            </w:tcBorders>
            <w:shd w:val="clear" w:color="auto" w:fill="D9E2F3"/>
            <w:vAlign w:val="bottom"/>
            <w:hideMark/>
          </w:tcPr>
          <w:p w14:paraId="14C84C45"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57% </w:t>
            </w:r>
          </w:p>
        </w:tc>
        <w:tc>
          <w:tcPr>
            <w:tcW w:w="1546" w:type="dxa"/>
            <w:tcBorders>
              <w:top w:val="single" w:sz="6" w:space="0" w:color="auto"/>
              <w:left w:val="single" w:sz="6" w:space="0" w:color="auto"/>
              <w:bottom w:val="single" w:sz="6" w:space="0" w:color="auto"/>
              <w:right w:val="single" w:sz="6" w:space="0" w:color="auto"/>
            </w:tcBorders>
            <w:shd w:val="clear" w:color="auto" w:fill="B4C6E7"/>
            <w:vAlign w:val="bottom"/>
            <w:hideMark/>
          </w:tcPr>
          <w:p w14:paraId="6322B860"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57% </w:t>
            </w:r>
          </w:p>
        </w:tc>
        <w:tc>
          <w:tcPr>
            <w:tcW w:w="21" w:type="dxa"/>
            <w:shd w:val="clear" w:color="auto" w:fill="auto"/>
            <w:vAlign w:val="center"/>
            <w:hideMark/>
          </w:tcPr>
          <w:p w14:paraId="46081563" w14:textId="77777777" w:rsidR="00592618" w:rsidRPr="00592618" w:rsidRDefault="00592618" w:rsidP="00592618">
            <w:pPr>
              <w:spacing w:after="0" w:line="240" w:lineRule="auto"/>
              <w:rPr>
                <w:rFonts w:ascii="Times New Roman" w:eastAsia="Times New Roman" w:hAnsi="Times New Roman" w:cs="Times New Roman"/>
                <w:sz w:val="20"/>
                <w:szCs w:val="20"/>
                <w:lang w:eastAsia="es-CR"/>
              </w:rPr>
            </w:pPr>
          </w:p>
        </w:tc>
      </w:tr>
      <w:tr w:rsidR="0012218D" w:rsidRPr="00592618" w14:paraId="027D47C6" w14:textId="77777777" w:rsidTr="00844144">
        <w:trPr>
          <w:trHeight w:val="300"/>
          <w:jc w:val="center"/>
        </w:trPr>
        <w:tc>
          <w:tcPr>
            <w:tcW w:w="4393" w:type="dxa"/>
            <w:tcBorders>
              <w:top w:val="nil"/>
              <w:left w:val="single" w:sz="6" w:space="0" w:color="auto"/>
              <w:bottom w:val="single" w:sz="6" w:space="0" w:color="auto"/>
              <w:right w:val="single" w:sz="6" w:space="0" w:color="auto"/>
            </w:tcBorders>
            <w:shd w:val="clear" w:color="auto" w:fill="auto"/>
            <w:vAlign w:val="bottom"/>
            <w:hideMark/>
          </w:tcPr>
          <w:p w14:paraId="317AA493"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Política Integral de Bienestar y Salud Laboral </w:t>
            </w:r>
          </w:p>
        </w:tc>
        <w:tc>
          <w:tcPr>
            <w:tcW w:w="1201" w:type="dxa"/>
            <w:tcBorders>
              <w:top w:val="nil"/>
              <w:left w:val="single" w:sz="6" w:space="0" w:color="auto"/>
              <w:bottom w:val="single" w:sz="6" w:space="0" w:color="auto"/>
              <w:right w:val="single" w:sz="6" w:space="0" w:color="auto"/>
            </w:tcBorders>
            <w:shd w:val="clear" w:color="auto" w:fill="D9E2F3"/>
            <w:vAlign w:val="bottom"/>
            <w:hideMark/>
          </w:tcPr>
          <w:p w14:paraId="49086D00"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74% </w:t>
            </w:r>
          </w:p>
        </w:tc>
        <w:tc>
          <w:tcPr>
            <w:tcW w:w="1140" w:type="dxa"/>
            <w:tcBorders>
              <w:top w:val="nil"/>
              <w:left w:val="single" w:sz="6" w:space="0" w:color="auto"/>
              <w:bottom w:val="single" w:sz="6" w:space="0" w:color="auto"/>
              <w:right w:val="single" w:sz="6" w:space="0" w:color="auto"/>
            </w:tcBorders>
            <w:shd w:val="clear" w:color="auto" w:fill="B4C6E7"/>
            <w:vAlign w:val="bottom"/>
            <w:hideMark/>
          </w:tcPr>
          <w:p w14:paraId="634A6B6B"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76% </w:t>
            </w:r>
          </w:p>
        </w:tc>
        <w:tc>
          <w:tcPr>
            <w:tcW w:w="1267" w:type="dxa"/>
            <w:tcBorders>
              <w:top w:val="nil"/>
              <w:left w:val="single" w:sz="6" w:space="0" w:color="auto"/>
              <w:bottom w:val="single" w:sz="6" w:space="0" w:color="auto"/>
              <w:right w:val="single" w:sz="6" w:space="0" w:color="auto"/>
            </w:tcBorders>
            <w:shd w:val="clear" w:color="auto" w:fill="D9E2F3"/>
            <w:vAlign w:val="bottom"/>
            <w:hideMark/>
          </w:tcPr>
          <w:p w14:paraId="3907E095"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74% </w:t>
            </w:r>
          </w:p>
        </w:tc>
        <w:tc>
          <w:tcPr>
            <w:tcW w:w="1546" w:type="dxa"/>
            <w:tcBorders>
              <w:top w:val="nil"/>
              <w:left w:val="single" w:sz="6" w:space="0" w:color="auto"/>
              <w:bottom w:val="single" w:sz="6" w:space="0" w:color="auto"/>
              <w:right w:val="single" w:sz="6" w:space="0" w:color="auto"/>
            </w:tcBorders>
            <w:shd w:val="clear" w:color="auto" w:fill="B4C6E7"/>
            <w:vAlign w:val="bottom"/>
            <w:hideMark/>
          </w:tcPr>
          <w:p w14:paraId="7E3F7F81"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74% </w:t>
            </w:r>
          </w:p>
        </w:tc>
        <w:tc>
          <w:tcPr>
            <w:tcW w:w="21" w:type="dxa"/>
            <w:shd w:val="clear" w:color="auto" w:fill="auto"/>
            <w:vAlign w:val="center"/>
            <w:hideMark/>
          </w:tcPr>
          <w:p w14:paraId="650B6DB9" w14:textId="77777777" w:rsidR="00592618" w:rsidRPr="00592618" w:rsidRDefault="00592618" w:rsidP="00592618">
            <w:pPr>
              <w:spacing w:after="0" w:line="240" w:lineRule="auto"/>
              <w:rPr>
                <w:rFonts w:ascii="Times New Roman" w:eastAsia="Times New Roman" w:hAnsi="Times New Roman" w:cs="Times New Roman"/>
                <w:sz w:val="20"/>
                <w:szCs w:val="20"/>
                <w:lang w:eastAsia="es-CR"/>
              </w:rPr>
            </w:pPr>
          </w:p>
        </w:tc>
      </w:tr>
      <w:tr w:rsidR="00592618" w:rsidRPr="00592618" w14:paraId="2E5A09D8" w14:textId="77777777" w:rsidTr="00844144">
        <w:trPr>
          <w:gridAfter w:val="1"/>
          <w:wAfter w:w="21" w:type="dxa"/>
          <w:trHeight w:val="300"/>
          <w:jc w:val="center"/>
        </w:trPr>
        <w:tc>
          <w:tcPr>
            <w:tcW w:w="9547" w:type="dxa"/>
            <w:gridSpan w:val="5"/>
            <w:tcBorders>
              <w:top w:val="single" w:sz="6" w:space="0" w:color="auto"/>
              <w:left w:val="single" w:sz="6" w:space="0" w:color="auto"/>
              <w:bottom w:val="single" w:sz="6" w:space="0" w:color="auto"/>
              <w:right w:val="single" w:sz="6" w:space="0" w:color="000000"/>
            </w:tcBorders>
            <w:shd w:val="clear" w:color="auto" w:fill="A9D08E"/>
            <w:vAlign w:val="center"/>
            <w:hideMark/>
          </w:tcPr>
          <w:p w14:paraId="1B372A2F"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b/>
                <w:bCs/>
                <w:color w:val="000000"/>
                <w:lang w:eastAsia="es-CR"/>
              </w:rPr>
              <w:t>Porcentaje esperado incorrecto en informe de avance</w:t>
            </w:r>
            <w:r w:rsidRPr="00592618">
              <w:rPr>
                <w:rFonts w:ascii="Calibri" w:eastAsia="Times New Roman" w:hAnsi="Calibri" w:cs="Calibri"/>
                <w:color w:val="000000"/>
                <w:lang w:eastAsia="es-CR"/>
              </w:rPr>
              <w:t> </w:t>
            </w:r>
          </w:p>
        </w:tc>
      </w:tr>
      <w:tr w:rsidR="0012218D" w:rsidRPr="00592618" w14:paraId="1B04C1A4" w14:textId="77777777" w:rsidTr="00844144">
        <w:trPr>
          <w:trHeight w:val="300"/>
          <w:jc w:val="center"/>
        </w:trPr>
        <w:tc>
          <w:tcPr>
            <w:tcW w:w="439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3879DC"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Acceso y uso de la información estadística </w:t>
            </w:r>
          </w:p>
        </w:tc>
        <w:tc>
          <w:tcPr>
            <w:tcW w:w="1201" w:type="dxa"/>
            <w:tcBorders>
              <w:top w:val="single" w:sz="6" w:space="0" w:color="auto"/>
              <w:left w:val="single" w:sz="6" w:space="0" w:color="auto"/>
              <w:bottom w:val="single" w:sz="6" w:space="0" w:color="auto"/>
              <w:right w:val="single" w:sz="6" w:space="0" w:color="auto"/>
            </w:tcBorders>
            <w:shd w:val="clear" w:color="auto" w:fill="D9E2F3"/>
            <w:vAlign w:val="bottom"/>
            <w:hideMark/>
          </w:tcPr>
          <w:p w14:paraId="44A7D752"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95% </w:t>
            </w:r>
          </w:p>
        </w:tc>
        <w:tc>
          <w:tcPr>
            <w:tcW w:w="1140" w:type="dxa"/>
            <w:tcBorders>
              <w:top w:val="single" w:sz="6" w:space="0" w:color="auto"/>
              <w:left w:val="single" w:sz="6" w:space="0" w:color="auto"/>
              <w:bottom w:val="single" w:sz="6" w:space="0" w:color="auto"/>
              <w:right w:val="single" w:sz="6" w:space="0" w:color="auto"/>
            </w:tcBorders>
            <w:shd w:val="clear" w:color="auto" w:fill="B4C6E7"/>
            <w:vAlign w:val="bottom"/>
            <w:hideMark/>
          </w:tcPr>
          <w:p w14:paraId="75FC3BED"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95% </w:t>
            </w:r>
          </w:p>
        </w:tc>
        <w:tc>
          <w:tcPr>
            <w:tcW w:w="1267" w:type="dxa"/>
            <w:tcBorders>
              <w:top w:val="single" w:sz="6" w:space="0" w:color="auto"/>
              <w:left w:val="single" w:sz="6" w:space="0" w:color="auto"/>
              <w:bottom w:val="single" w:sz="6" w:space="0" w:color="auto"/>
              <w:right w:val="single" w:sz="6" w:space="0" w:color="auto"/>
            </w:tcBorders>
            <w:shd w:val="clear" w:color="auto" w:fill="D9E2F3"/>
            <w:vAlign w:val="bottom"/>
            <w:hideMark/>
          </w:tcPr>
          <w:p w14:paraId="6893FCD0"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95% </w:t>
            </w:r>
          </w:p>
        </w:tc>
        <w:tc>
          <w:tcPr>
            <w:tcW w:w="1546" w:type="dxa"/>
            <w:tcBorders>
              <w:top w:val="single" w:sz="6" w:space="0" w:color="auto"/>
              <w:left w:val="single" w:sz="6" w:space="0" w:color="auto"/>
              <w:bottom w:val="single" w:sz="6" w:space="0" w:color="auto"/>
              <w:right w:val="single" w:sz="6" w:space="0" w:color="auto"/>
            </w:tcBorders>
            <w:shd w:val="clear" w:color="auto" w:fill="B4C6E7"/>
            <w:vAlign w:val="bottom"/>
            <w:hideMark/>
          </w:tcPr>
          <w:p w14:paraId="1056B260"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94% </w:t>
            </w:r>
          </w:p>
        </w:tc>
        <w:tc>
          <w:tcPr>
            <w:tcW w:w="21" w:type="dxa"/>
            <w:shd w:val="clear" w:color="auto" w:fill="auto"/>
            <w:vAlign w:val="center"/>
            <w:hideMark/>
          </w:tcPr>
          <w:p w14:paraId="6905B52F" w14:textId="77777777" w:rsidR="00592618" w:rsidRPr="00592618" w:rsidRDefault="00592618" w:rsidP="00592618">
            <w:pPr>
              <w:spacing w:after="0" w:line="240" w:lineRule="auto"/>
              <w:rPr>
                <w:rFonts w:ascii="Times New Roman" w:eastAsia="Times New Roman" w:hAnsi="Times New Roman" w:cs="Times New Roman"/>
                <w:sz w:val="20"/>
                <w:szCs w:val="20"/>
                <w:lang w:eastAsia="es-CR"/>
              </w:rPr>
            </w:pPr>
          </w:p>
        </w:tc>
      </w:tr>
      <w:tr w:rsidR="0012218D" w:rsidRPr="00592618" w14:paraId="5A73570A" w14:textId="77777777" w:rsidTr="00844144">
        <w:trPr>
          <w:trHeight w:val="300"/>
          <w:jc w:val="center"/>
        </w:trPr>
        <w:tc>
          <w:tcPr>
            <w:tcW w:w="4393" w:type="dxa"/>
            <w:tcBorders>
              <w:top w:val="nil"/>
              <w:left w:val="single" w:sz="6" w:space="0" w:color="auto"/>
              <w:bottom w:val="single" w:sz="6" w:space="0" w:color="auto"/>
              <w:right w:val="single" w:sz="6" w:space="0" w:color="auto"/>
            </w:tcBorders>
            <w:shd w:val="clear" w:color="auto" w:fill="auto"/>
            <w:vAlign w:val="bottom"/>
            <w:hideMark/>
          </w:tcPr>
          <w:p w14:paraId="208563D5"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Política de Teletrabajo </w:t>
            </w:r>
          </w:p>
        </w:tc>
        <w:tc>
          <w:tcPr>
            <w:tcW w:w="1201" w:type="dxa"/>
            <w:tcBorders>
              <w:top w:val="nil"/>
              <w:left w:val="single" w:sz="6" w:space="0" w:color="auto"/>
              <w:bottom w:val="single" w:sz="6" w:space="0" w:color="auto"/>
              <w:right w:val="single" w:sz="6" w:space="0" w:color="auto"/>
            </w:tcBorders>
            <w:shd w:val="clear" w:color="auto" w:fill="D9E2F3"/>
            <w:vAlign w:val="bottom"/>
            <w:hideMark/>
          </w:tcPr>
          <w:p w14:paraId="38539F26"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47% </w:t>
            </w:r>
          </w:p>
        </w:tc>
        <w:tc>
          <w:tcPr>
            <w:tcW w:w="1140" w:type="dxa"/>
            <w:tcBorders>
              <w:top w:val="nil"/>
              <w:left w:val="single" w:sz="6" w:space="0" w:color="auto"/>
              <w:bottom w:val="single" w:sz="6" w:space="0" w:color="auto"/>
              <w:right w:val="single" w:sz="6" w:space="0" w:color="auto"/>
            </w:tcBorders>
            <w:shd w:val="clear" w:color="auto" w:fill="B4C6E7"/>
            <w:vAlign w:val="bottom"/>
            <w:hideMark/>
          </w:tcPr>
          <w:p w14:paraId="7B0D3431"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47% </w:t>
            </w:r>
          </w:p>
        </w:tc>
        <w:tc>
          <w:tcPr>
            <w:tcW w:w="1267" w:type="dxa"/>
            <w:tcBorders>
              <w:top w:val="nil"/>
              <w:left w:val="single" w:sz="6" w:space="0" w:color="auto"/>
              <w:bottom w:val="single" w:sz="6" w:space="0" w:color="auto"/>
              <w:right w:val="single" w:sz="6" w:space="0" w:color="auto"/>
            </w:tcBorders>
            <w:shd w:val="clear" w:color="auto" w:fill="D9E2F3"/>
            <w:vAlign w:val="bottom"/>
            <w:hideMark/>
          </w:tcPr>
          <w:p w14:paraId="44982F44"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48% </w:t>
            </w:r>
          </w:p>
        </w:tc>
        <w:tc>
          <w:tcPr>
            <w:tcW w:w="1546" w:type="dxa"/>
            <w:tcBorders>
              <w:top w:val="nil"/>
              <w:left w:val="single" w:sz="6" w:space="0" w:color="auto"/>
              <w:bottom w:val="single" w:sz="6" w:space="0" w:color="auto"/>
              <w:right w:val="single" w:sz="6" w:space="0" w:color="auto"/>
            </w:tcBorders>
            <w:shd w:val="clear" w:color="auto" w:fill="B4C6E7"/>
            <w:vAlign w:val="bottom"/>
            <w:hideMark/>
          </w:tcPr>
          <w:p w14:paraId="1D5A1A19" w14:textId="77777777" w:rsidR="00592618" w:rsidRPr="00592618" w:rsidRDefault="00592618" w:rsidP="00592618">
            <w:pPr>
              <w:spacing w:after="0" w:line="240" w:lineRule="auto"/>
              <w:jc w:val="center"/>
              <w:textAlignment w:val="baseline"/>
              <w:rPr>
                <w:rFonts w:ascii="Segoe UI" w:eastAsia="Times New Roman" w:hAnsi="Segoe UI" w:cs="Segoe UI"/>
                <w:sz w:val="18"/>
                <w:szCs w:val="18"/>
                <w:lang w:eastAsia="es-CR"/>
              </w:rPr>
            </w:pPr>
            <w:r w:rsidRPr="00592618">
              <w:rPr>
                <w:rFonts w:ascii="Calibri" w:eastAsia="Times New Roman" w:hAnsi="Calibri" w:cs="Calibri"/>
                <w:color w:val="000000"/>
                <w:lang w:eastAsia="es-CR"/>
              </w:rPr>
              <w:t>47% </w:t>
            </w:r>
          </w:p>
        </w:tc>
        <w:tc>
          <w:tcPr>
            <w:tcW w:w="21" w:type="dxa"/>
            <w:shd w:val="clear" w:color="auto" w:fill="auto"/>
            <w:vAlign w:val="center"/>
            <w:hideMark/>
          </w:tcPr>
          <w:p w14:paraId="24A7F51E" w14:textId="77777777" w:rsidR="00592618" w:rsidRPr="00592618" w:rsidRDefault="00592618" w:rsidP="00592618">
            <w:pPr>
              <w:spacing w:after="0" w:line="240" w:lineRule="auto"/>
              <w:rPr>
                <w:rFonts w:ascii="Times New Roman" w:eastAsia="Times New Roman" w:hAnsi="Times New Roman" w:cs="Times New Roman"/>
                <w:sz w:val="20"/>
                <w:szCs w:val="20"/>
                <w:lang w:eastAsia="es-CR"/>
              </w:rPr>
            </w:pPr>
          </w:p>
        </w:tc>
      </w:tr>
    </w:tbl>
    <w:p w14:paraId="61A8FBDD" w14:textId="77777777" w:rsidR="00616959" w:rsidRDefault="00F71780" w:rsidP="00616959">
      <w:pPr>
        <w:spacing w:after="0"/>
        <w:rPr>
          <w:rFonts w:ascii="Book Antiqua" w:hAnsi="Book Antiqua"/>
          <w:sz w:val="20"/>
          <w:szCs w:val="20"/>
        </w:rPr>
      </w:pPr>
      <w:r w:rsidRPr="009B00E7">
        <w:rPr>
          <w:rFonts w:ascii="Book Antiqua" w:hAnsi="Book Antiqua"/>
          <w:b/>
          <w:sz w:val="20"/>
          <w:szCs w:val="20"/>
        </w:rPr>
        <w:t>Fuente:</w:t>
      </w:r>
      <w:r w:rsidRPr="009B00E7">
        <w:rPr>
          <w:rFonts w:ascii="Book Antiqua" w:hAnsi="Book Antiqua"/>
          <w:sz w:val="20"/>
          <w:szCs w:val="20"/>
        </w:rPr>
        <w:t xml:space="preserve"> Elaboración propia con datos del Project Online.</w:t>
      </w:r>
    </w:p>
    <w:p w14:paraId="05BB3852" w14:textId="77777777" w:rsidR="00616959" w:rsidRDefault="00616959" w:rsidP="00616959">
      <w:pPr>
        <w:spacing w:after="0"/>
        <w:rPr>
          <w:rFonts w:ascii="Book Antiqua" w:hAnsi="Book Antiqua"/>
          <w:sz w:val="20"/>
          <w:szCs w:val="20"/>
        </w:rPr>
      </w:pPr>
    </w:p>
    <w:p w14:paraId="378883CA" w14:textId="77777777" w:rsidR="00616959" w:rsidRDefault="00616959" w:rsidP="00616959">
      <w:pPr>
        <w:spacing w:after="0"/>
        <w:rPr>
          <w:rFonts w:ascii="Book Antiqua" w:hAnsi="Book Antiqua"/>
          <w:sz w:val="20"/>
          <w:szCs w:val="20"/>
        </w:rPr>
      </w:pPr>
    </w:p>
    <w:p w14:paraId="60C021E4" w14:textId="77777777" w:rsidR="00616959" w:rsidRDefault="00616959" w:rsidP="00616959">
      <w:pPr>
        <w:pStyle w:val="paragraph"/>
        <w:spacing w:before="0" w:beforeAutospacing="0" w:after="0" w:afterAutospacing="0"/>
        <w:jc w:val="both"/>
        <w:textAlignment w:val="baseline"/>
        <w:rPr>
          <w:rFonts w:ascii="Segoe UI" w:hAnsi="Segoe UI" w:cs="Segoe UI"/>
          <w:sz w:val="18"/>
          <w:szCs w:val="18"/>
        </w:rPr>
      </w:pPr>
      <w:r w:rsidRPr="00C212CA">
        <w:rPr>
          <w:rFonts w:ascii="Book Antiqua" w:eastAsia="Wingdings" w:hAnsi="Book Antiqua"/>
          <w:b/>
          <w:bCs/>
          <w:lang w:eastAsia="ko-KR"/>
        </w:rPr>
        <w:t xml:space="preserve"> </w:t>
      </w:r>
      <w:r>
        <w:rPr>
          <w:rStyle w:val="normaltextrun"/>
          <w:rFonts w:ascii="Book Antiqua" w:eastAsiaTheme="majorEastAsia" w:hAnsi="Book Antiqua" w:cs="Segoe UI"/>
        </w:rPr>
        <w:t>Por lo anterior, se solicita a estos proyectos proceder con las correcciones de los informes de avances, además para futuras ocasiones cuando se determine que existe error en el porcentaje esperado o real, se procederá a devolver el mismo a la oficina líder para corrección, y en caso de no tener el mismo correcto no se contemplará.</w:t>
      </w:r>
      <w:r>
        <w:rPr>
          <w:rStyle w:val="eop"/>
          <w:rFonts w:ascii="Book Antiqua" w:eastAsiaTheme="majorEastAsia" w:hAnsi="Book Antiqua" w:cs="Segoe UI"/>
        </w:rPr>
        <w:t> </w:t>
      </w:r>
    </w:p>
    <w:p w14:paraId="45E119B8" w14:textId="77777777" w:rsidR="00616959" w:rsidRDefault="00616959" w:rsidP="00616959">
      <w:pPr>
        <w:pStyle w:val="paragraph"/>
        <w:spacing w:before="0" w:beforeAutospacing="0" w:after="0" w:afterAutospacing="0"/>
        <w:jc w:val="both"/>
        <w:textAlignment w:val="baseline"/>
        <w:rPr>
          <w:rFonts w:ascii="Segoe UI" w:hAnsi="Segoe UI" w:cs="Segoe UI"/>
          <w:sz w:val="18"/>
          <w:szCs w:val="18"/>
        </w:rPr>
      </w:pPr>
      <w:r>
        <w:rPr>
          <w:rStyle w:val="eop"/>
          <w:rFonts w:ascii="Book Antiqua" w:eastAsiaTheme="majorEastAsia" w:hAnsi="Book Antiqua" w:cs="Segoe UI"/>
        </w:rPr>
        <w:t> </w:t>
      </w:r>
    </w:p>
    <w:p w14:paraId="67A48547" w14:textId="77777777" w:rsidR="00616959" w:rsidRDefault="00616959" w:rsidP="00616959">
      <w:pPr>
        <w:pStyle w:val="paragraph"/>
        <w:spacing w:before="0" w:beforeAutospacing="0" w:after="0" w:afterAutospacing="0"/>
        <w:jc w:val="both"/>
        <w:textAlignment w:val="baseline"/>
        <w:rPr>
          <w:rStyle w:val="eop"/>
          <w:rFonts w:ascii="Book Antiqua" w:eastAsiaTheme="majorEastAsia" w:hAnsi="Book Antiqua" w:cs="Segoe UI"/>
        </w:rPr>
      </w:pPr>
      <w:r>
        <w:rPr>
          <w:rStyle w:val="normaltextrun"/>
          <w:rFonts w:ascii="Book Antiqua" w:eastAsiaTheme="majorEastAsia" w:hAnsi="Book Antiqua" w:cs="Segoe UI"/>
        </w:rPr>
        <w:t xml:space="preserve">El detalle de informes de avance y el resultado de los cronogramas de proyectos estratégicos, se pueden consultar en el siguiente enlace: </w:t>
      </w:r>
      <w:hyperlink r:id="rId60" w:tgtFrame="_blank" w:history="1">
        <w:r>
          <w:rPr>
            <w:rStyle w:val="normaltextrun"/>
            <w:rFonts w:ascii="Book Antiqua" w:eastAsiaTheme="majorEastAsia" w:hAnsi="Book Antiqua" w:cs="Segoe UI"/>
            <w:b/>
            <w:bCs/>
            <w:color w:val="0563C1"/>
            <w:u w:val="single"/>
          </w:rPr>
          <w:t>Informe de avance y cronogramas.</w:t>
        </w:r>
      </w:hyperlink>
      <w:r>
        <w:rPr>
          <w:rStyle w:val="eop"/>
          <w:rFonts w:ascii="Book Antiqua" w:eastAsiaTheme="majorEastAsia" w:hAnsi="Book Antiqua" w:cs="Segoe UI"/>
        </w:rPr>
        <w:t> </w:t>
      </w:r>
    </w:p>
    <w:p w14:paraId="6B6F8581" w14:textId="77777777" w:rsidR="007274FF" w:rsidRDefault="007274FF" w:rsidP="00616959">
      <w:pPr>
        <w:pStyle w:val="paragraph"/>
        <w:spacing w:before="0" w:beforeAutospacing="0" w:after="0" w:afterAutospacing="0"/>
        <w:jc w:val="both"/>
        <w:textAlignment w:val="baseline"/>
        <w:rPr>
          <w:rFonts w:ascii="Segoe UI" w:hAnsi="Segoe UI" w:cs="Segoe UI"/>
          <w:sz w:val="18"/>
          <w:szCs w:val="18"/>
        </w:rPr>
      </w:pPr>
    </w:p>
    <w:p w14:paraId="33BE196C" w14:textId="77777777" w:rsidR="00796B9F" w:rsidRPr="00EF4E17" w:rsidRDefault="00796B9F" w:rsidP="00616959">
      <w:pPr>
        <w:spacing w:after="0"/>
        <w:rPr>
          <w:rStyle w:val="normaltextrun"/>
          <w:rFonts w:eastAsiaTheme="majorEastAsia" w:cs="Segoe UI"/>
        </w:rPr>
      </w:pPr>
    </w:p>
    <w:p w14:paraId="28F45B3D" w14:textId="02DE90FA" w:rsidR="00796B9F" w:rsidRDefault="00DD534A" w:rsidP="00EF4E17">
      <w:pPr>
        <w:spacing w:after="0"/>
        <w:jc w:val="both"/>
        <w:rPr>
          <w:rFonts w:ascii="Calibri" w:eastAsia="Times New Roman" w:hAnsi="Calibri" w:cs="Calibri"/>
          <w:color w:val="000000"/>
          <w:lang w:eastAsia="es-CR"/>
        </w:rPr>
      </w:pPr>
      <w:r w:rsidRPr="00EF4E17">
        <w:rPr>
          <w:rStyle w:val="normaltextrun"/>
          <w:rFonts w:ascii="Book Antiqua" w:eastAsiaTheme="majorEastAsia" w:hAnsi="Book Antiqua" w:cs="Segoe UI"/>
          <w:sz w:val="24"/>
          <w:szCs w:val="24"/>
        </w:rPr>
        <w:t xml:space="preserve">Dado que </w:t>
      </w:r>
      <w:r w:rsidR="00796B9F" w:rsidRPr="00EF4E17">
        <w:rPr>
          <w:rStyle w:val="normaltextrun"/>
          <w:rFonts w:ascii="Book Antiqua" w:eastAsiaTheme="majorEastAsia" w:hAnsi="Book Antiqua" w:cs="Segoe UI"/>
          <w:sz w:val="24"/>
          <w:szCs w:val="24"/>
        </w:rPr>
        <w:t>los 3 proyectos que lidera el Despacho de la Presidencia</w:t>
      </w:r>
      <w:r w:rsidR="00796B9F" w:rsidRPr="00EF4E17">
        <w:rPr>
          <w:rStyle w:val="normaltextrun"/>
          <w:rFonts w:eastAsiaTheme="majorEastAsia" w:cs="Segoe UI"/>
          <w:sz w:val="24"/>
          <w:szCs w:val="24"/>
        </w:rPr>
        <w:t xml:space="preserve">: </w:t>
      </w:r>
      <w:r w:rsidR="00796B9F" w:rsidRPr="00EF4E17">
        <w:rPr>
          <w:rStyle w:val="normaltextrun"/>
          <w:rFonts w:ascii="Book Antiqua" w:eastAsiaTheme="majorEastAsia" w:hAnsi="Book Antiqua" w:cs="Segoe UI"/>
          <w:sz w:val="24"/>
          <w:szCs w:val="24"/>
        </w:rPr>
        <w:t>“</w:t>
      </w:r>
      <w:r w:rsidR="00796B9F" w:rsidRPr="00EF4E17">
        <w:rPr>
          <w:rStyle w:val="normaltextrun"/>
          <w:rFonts w:ascii="Book Antiqua" w:eastAsiaTheme="majorEastAsia" w:hAnsi="Book Antiqua" w:cs="Segoe UI"/>
          <w:b/>
          <w:bCs/>
          <w:sz w:val="24"/>
          <w:szCs w:val="24"/>
        </w:rPr>
        <w:t>Mejorar desafíos en el ámbito jurisdiccional establecidos en el cuarto Informe del Estado de la Justicia”, “Mejorar desafíos establecidos en el Informe del Estado de la Justicia en el ámbito de la gobernanza política” y “Mejorar desafíos establecidos en el Informe del Estado de la Justicia en el ámbito de la gestión administrativa”</w:t>
      </w:r>
      <w:r w:rsidR="00796B9F" w:rsidRPr="00EF4E17">
        <w:rPr>
          <w:rStyle w:val="normaltextrun"/>
          <w:rFonts w:ascii="Book Antiqua" w:eastAsiaTheme="majorEastAsia" w:hAnsi="Book Antiqua" w:cs="Segoe UI"/>
          <w:sz w:val="24"/>
          <w:szCs w:val="24"/>
        </w:rPr>
        <w:t xml:space="preserve"> presentan </w:t>
      </w:r>
      <w:r w:rsidR="007E4887" w:rsidRPr="00EF4E17">
        <w:rPr>
          <w:rStyle w:val="normaltextrun"/>
          <w:rFonts w:ascii="Book Antiqua" w:eastAsiaTheme="majorEastAsia" w:hAnsi="Book Antiqua" w:cs="Segoe UI"/>
          <w:sz w:val="24"/>
          <w:szCs w:val="24"/>
        </w:rPr>
        <w:t>incorrectos ambos porcentajes de</w:t>
      </w:r>
      <w:r w:rsidR="0067328C" w:rsidRPr="00EF4E17">
        <w:rPr>
          <w:rStyle w:val="normaltextrun"/>
          <w:rFonts w:ascii="Book Antiqua" w:eastAsiaTheme="majorEastAsia" w:hAnsi="Book Antiqua" w:cs="Segoe UI"/>
          <w:sz w:val="24"/>
          <w:szCs w:val="24"/>
        </w:rPr>
        <w:t>l</w:t>
      </w:r>
      <w:r w:rsidR="007E4887" w:rsidRPr="00EF4E17">
        <w:rPr>
          <w:rStyle w:val="normaltextrun"/>
          <w:rFonts w:ascii="Book Antiqua" w:eastAsiaTheme="majorEastAsia" w:hAnsi="Book Antiqua" w:cs="Segoe UI"/>
          <w:sz w:val="24"/>
          <w:szCs w:val="24"/>
        </w:rPr>
        <w:t xml:space="preserve"> informe de avance, se debe principalmente a que al revisar el </w:t>
      </w:r>
      <w:r w:rsidR="00EF6E10" w:rsidRPr="00EF4E17">
        <w:rPr>
          <w:rStyle w:val="normaltextrun"/>
          <w:rFonts w:ascii="Book Antiqua" w:eastAsiaTheme="majorEastAsia" w:hAnsi="Book Antiqua" w:cs="Segoe UI"/>
          <w:sz w:val="24"/>
          <w:szCs w:val="24"/>
        </w:rPr>
        <w:t xml:space="preserve">cronograma en el </w:t>
      </w:r>
      <w:r w:rsidR="007E4887" w:rsidRPr="00EF4E17">
        <w:rPr>
          <w:rStyle w:val="normaltextrun"/>
          <w:rFonts w:ascii="Book Antiqua" w:eastAsiaTheme="majorEastAsia" w:hAnsi="Book Antiqua" w:cs="Segoe UI"/>
          <w:sz w:val="24"/>
          <w:szCs w:val="24"/>
        </w:rPr>
        <w:t xml:space="preserve">sitio de proyecto, no se cuenta con </w:t>
      </w:r>
      <w:r w:rsidR="00EF6E10" w:rsidRPr="00EF4E17">
        <w:rPr>
          <w:rStyle w:val="normaltextrun"/>
          <w:rFonts w:ascii="Book Antiqua" w:eastAsiaTheme="majorEastAsia" w:hAnsi="Book Antiqua" w:cs="Segoe UI"/>
          <w:sz w:val="24"/>
          <w:szCs w:val="24"/>
        </w:rPr>
        <w:t>este</w:t>
      </w:r>
      <w:r w:rsidR="007E4887" w:rsidRPr="00EF4E17">
        <w:rPr>
          <w:rStyle w:val="normaltextrun"/>
          <w:rFonts w:ascii="Book Antiqua" w:eastAsiaTheme="majorEastAsia" w:hAnsi="Book Antiqua" w:cs="Segoe UI"/>
          <w:sz w:val="24"/>
          <w:szCs w:val="24"/>
        </w:rPr>
        <w:t xml:space="preserve"> actualizado en el repositorio</w:t>
      </w:r>
      <w:r w:rsidR="0067328C" w:rsidRPr="00EF4E17">
        <w:rPr>
          <w:rStyle w:val="normaltextrun"/>
          <w:rFonts w:ascii="Book Antiqua" w:eastAsiaTheme="majorEastAsia" w:hAnsi="Book Antiqua" w:cs="Segoe UI"/>
          <w:sz w:val="24"/>
          <w:szCs w:val="24"/>
        </w:rPr>
        <w:t>,</w:t>
      </w:r>
      <w:r w:rsidR="00796B9F" w:rsidRPr="00EF4E17">
        <w:rPr>
          <w:rStyle w:val="normaltextrun"/>
          <w:rFonts w:ascii="Book Antiqua" w:eastAsiaTheme="majorEastAsia" w:hAnsi="Book Antiqua" w:cs="Segoe UI"/>
          <w:sz w:val="24"/>
          <w:szCs w:val="24"/>
        </w:rPr>
        <w:t xml:space="preserve"> </w:t>
      </w:r>
      <w:r w:rsidR="00413324" w:rsidRPr="00EF4E17">
        <w:rPr>
          <w:rStyle w:val="normaltextrun"/>
          <w:rFonts w:ascii="Book Antiqua" w:eastAsiaTheme="majorEastAsia" w:hAnsi="Book Antiqua" w:cs="Segoe UI"/>
          <w:sz w:val="24"/>
          <w:szCs w:val="24"/>
        </w:rPr>
        <w:t>p</w:t>
      </w:r>
      <w:r w:rsidR="00A0111C" w:rsidRPr="00EF4E17">
        <w:rPr>
          <w:rStyle w:val="normaltextrun"/>
          <w:rFonts w:ascii="Book Antiqua" w:eastAsiaTheme="majorEastAsia" w:hAnsi="Book Antiqua" w:cs="Segoe UI"/>
          <w:sz w:val="24"/>
          <w:szCs w:val="24"/>
        </w:rPr>
        <w:t xml:space="preserve">or lo tanto, no se conoce el avance real </w:t>
      </w:r>
      <w:r w:rsidR="00A0111C" w:rsidRPr="00EF4E17">
        <w:rPr>
          <w:rStyle w:val="normaltextrun"/>
          <w:rFonts w:ascii="Book Antiqua" w:eastAsiaTheme="majorEastAsia" w:hAnsi="Book Antiqua" w:cs="Segoe UI"/>
          <w:sz w:val="24"/>
          <w:szCs w:val="24"/>
        </w:rPr>
        <w:lastRenderedPageBreak/>
        <w:t>de las tareas y actividades. Estos proyectos tienen</w:t>
      </w:r>
      <w:r w:rsidR="00885077" w:rsidRPr="00EF4E17">
        <w:rPr>
          <w:rStyle w:val="normaltextrun"/>
          <w:rFonts w:ascii="Book Antiqua" w:eastAsiaTheme="majorEastAsia" w:hAnsi="Book Antiqua" w:cs="Segoe UI"/>
          <w:sz w:val="24"/>
          <w:szCs w:val="24"/>
        </w:rPr>
        <w:t xml:space="preserve"> un</w:t>
      </w:r>
      <w:r w:rsidR="00A0111C" w:rsidRPr="00EF4E17">
        <w:rPr>
          <w:rStyle w:val="normaltextrun"/>
          <w:rFonts w:ascii="Book Antiqua" w:eastAsiaTheme="majorEastAsia" w:hAnsi="Book Antiqua" w:cs="Segoe UI"/>
          <w:sz w:val="24"/>
          <w:szCs w:val="24"/>
        </w:rPr>
        <w:t xml:space="preserve"> permiso con goce de salario </w:t>
      </w:r>
      <w:r w:rsidR="00FA7547" w:rsidRPr="00EF4E17">
        <w:rPr>
          <w:rStyle w:val="normaltextrun"/>
          <w:rFonts w:ascii="Book Antiqua" w:eastAsiaTheme="majorEastAsia" w:hAnsi="Book Antiqua" w:cs="Segoe UI"/>
          <w:sz w:val="24"/>
          <w:szCs w:val="24"/>
        </w:rPr>
        <w:t>asociado</w:t>
      </w:r>
      <w:r w:rsidR="00885077" w:rsidRPr="00EF4E17">
        <w:rPr>
          <w:rStyle w:val="normaltextrun"/>
          <w:rFonts w:ascii="Book Antiqua" w:eastAsiaTheme="majorEastAsia" w:hAnsi="Book Antiqua" w:cs="Segoe UI"/>
          <w:sz w:val="24"/>
          <w:szCs w:val="24"/>
        </w:rPr>
        <w:t>,</w:t>
      </w:r>
      <w:r w:rsidR="00FA7547" w:rsidRPr="00EF4E17">
        <w:rPr>
          <w:rStyle w:val="normaltextrun"/>
          <w:rFonts w:ascii="Book Antiqua" w:eastAsiaTheme="majorEastAsia" w:hAnsi="Book Antiqua" w:cs="Segoe UI"/>
          <w:sz w:val="24"/>
          <w:szCs w:val="24"/>
        </w:rPr>
        <w:t xml:space="preserve"> por lo que este permiso quedara condicionado en su continuidad </w:t>
      </w:r>
      <w:r w:rsidR="00833BC0" w:rsidRPr="00EF4E17">
        <w:rPr>
          <w:rStyle w:val="normaltextrun"/>
          <w:rFonts w:ascii="Book Antiqua" w:eastAsiaTheme="majorEastAsia" w:hAnsi="Book Antiqua" w:cs="Segoe UI"/>
          <w:sz w:val="24"/>
          <w:szCs w:val="24"/>
        </w:rPr>
        <w:t>hasta que se actualice el proyecto debidamente en lo relacionado al cronograma y documentación.</w:t>
      </w:r>
    </w:p>
    <w:p w14:paraId="29B10932" w14:textId="77777777" w:rsidR="00F71780" w:rsidRDefault="00F71780" w:rsidP="00796B9F">
      <w:pPr>
        <w:spacing w:after="0"/>
        <w:rPr>
          <w:rFonts w:ascii="Book Antiqua" w:hAnsi="Book Antiqua"/>
        </w:rPr>
      </w:pPr>
    </w:p>
    <w:p w14:paraId="07BA83E8" w14:textId="77777777" w:rsidR="00F71780" w:rsidRPr="00682D00" w:rsidRDefault="00F71780" w:rsidP="00F71780">
      <w:pPr>
        <w:pStyle w:val="Ttulo2"/>
        <w:numPr>
          <w:ilvl w:val="0"/>
          <w:numId w:val="4"/>
        </w:numPr>
        <w:rPr>
          <w:rFonts w:ascii="Book Antiqua" w:eastAsia="Wingdings" w:hAnsi="Book Antiqua"/>
          <w:b/>
          <w:color w:val="auto"/>
          <w:lang w:eastAsia="ko-KR"/>
        </w:rPr>
      </w:pPr>
      <w:bookmarkStart w:id="85" w:name="_Toc131160584"/>
      <w:bookmarkStart w:id="86" w:name="_Toc138770848"/>
      <w:r w:rsidRPr="00682D00">
        <w:rPr>
          <w:rFonts w:ascii="Book Antiqua" w:eastAsia="Wingdings" w:hAnsi="Book Antiqua"/>
          <w:b/>
          <w:color w:val="auto"/>
          <w:lang w:eastAsia="ko-KR"/>
        </w:rPr>
        <w:t>Análisis de Proyectos que reportan retraso en el avance de sus actividades</w:t>
      </w:r>
      <w:bookmarkEnd w:id="85"/>
      <w:bookmarkEnd w:id="86"/>
    </w:p>
    <w:p w14:paraId="19630C5D" w14:textId="77777777" w:rsidR="00F71780" w:rsidRDefault="00F71780" w:rsidP="00F71780">
      <w:pPr>
        <w:spacing w:after="0"/>
        <w:jc w:val="both"/>
        <w:rPr>
          <w:rFonts w:ascii="Book Antiqua" w:hAnsi="Book Antiqua"/>
        </w:rPr>
      </w:pPr>
    </w:p>
    <w:p w14:paraId="7902B1DC" w14:textId="77777777" w:rsidR="001C1B86" w:rsidRPr="001C1B86" w:rsidRDefault="001C1B86" w:rsidP="001C1B86">
      <w:pPr>
        <w:spacing w:after="0" w:line="240" w:lineRule="auto"/>
        <w:ind w:right="45"/>
        <w:jc w:val="both"/>
        <w:textAlignment w:val="baseline"/>
        <w:rPr>
          <w:rFonts w:ascii="Segoe UI" w:eastAsia="Times New Roman" w:hAnsi="Segoe UI" w:cs="Segoe UI"/>
          <w:sz w:val="18"/>
          <w:szCs w:val="18"/>
          <w:lang w:eastAsia="es-CR"/>
        </w:rPr>
      </w:pPr>
      <w:r w:rsidRPr="001C1B86">
        <w:rPr>
          <w:rFonts w:ascii="Book Antiqua" w:eastAsia="Times New Roman" w:hAnsi="Book Antiqua" w:cs="Segoe UI"/>
          <w:sz w:val="24"/>
          <w:szCs w:val="24"/>
          <w:lang w:eastAsia="es-CR"/>
        </w:rPr>
        <w:t>En relación con los datos del tercer seguimiento 2022 hay un decrecimiento en la cantidad de proyectos retrasados pasando de 13 a 5, lo que representa una disminución del 62% respecto al seguimiento anterior.  </w:t>
      </w:r>
    </w:p>
    <w:p w14:paraId="776E4280" w14:textId="77777777" w:rsidR="001C1B86" w:rsidRPr="001C1B86" w:rsidRDefault="001C1B86" w:rsidP="001C1B86">
      <w:pPr>
        <w:spacing w:after="0" w:line="240" w:lineRule="auto"/>
        <w:jc w:val="both"/>
        <w:textAlignment w:val="baseline"/>
        <w:rPr>
          <w:rFonts w:ascii="Segoe UI" w:eastAsia="Times New Roman" w:hAnsi="Segoe UI" w:cs="Segoe UI"/>
          <w:sz w:val="18"/>
          <w:szCs w:val="18"/>
          <w:lang w:eastAsia="es-CR"/>
        </w:rPr>
      </w:pPr>
      <w:r w:rsidRPr="001C1B86">
        <w:rPr>
          <w:rFonts w:ascii="Book Antiqua" w:eastAsia="Times New Roman" w:hAnsi="Book Antiqua" w:cs="Segoe UI"/>
          <w:sz w:val="24"/>
          <w:szCs w:val="24"/>
          <w:lang w:eastAsia="es-CR"/>
        </w:rPr>
        <w:t> </w:t>
      </w:r>
    </w:p>
    <w:p w14:paraId="5BFA12D2" w14:textId="77777777" w:rsidR="001C1B86" w:rsidRPr="001C1B86" w:rsidRDefault="001C1B86" w:rsidP="001C1B86">
      <w:pPr>
        <w:spacing w:after="0" w:line="240" w:lineRule="auto"/>
        <w:jc w:val="both"/>
        <w:textAlignment w:val="baseline"/>
        <w:rPr>
          <w:rFonts w:ascii="Segoe UI" w:eastAsia="Times New Roman" w:hAnsi="Segoe UI" w:cs="Segoe UI"/>
          <w:sz w:val="18"/>
          <w:szCs w:val="18"/>
          <w:lang w:eastAsia="es-CR"/>
        </w:rPr>
      </w:pPr>
      <w:r w:rsidRPr="001C1B86">
        <w:rPr>
          <w:rFonts w:ascii="Book Antiqua" w:eastAsia="Times New Roman" w:hAnsi="Book Antiqua" w:cs="Segoe UI"/>
          <w:sz w:val="24"/>
          <w:szCs w:val="24"/>
          <w:lang w:eastAsia="es-CR"/>
        </w:rPr>
        <w:t>En la siguiente tabla se muestra el detalle de proyectos que tienen otorgados permisos con goce de salario que reportan retraso: </w:t>
      </w:r>
    </w:p>
    <w:p w14:paraId="4A487D46" w14:textId="77777777" w:rsidR="00F71780" w:rsidRDefault="00F71780" w:rsidP="00F71780">
      <w:pPr>
        <w:spacing w:after="0"/>
        <w:jc w:val="both"/>
        <w:rPr>
          <w:rFonts w:ascii="Book Antiqua" w:hAnsi="Book Antiqua"/>
          <w:sz w:val="24"/>
          <w:szCs w:val="24"/>
        </w:rPr>
      </w:pPr>
    </w:p>
    <w:p w14:paraId="59FAB999" w14:textId="57B81D9C" w:rsidR="00F71780" w:rsidRDefault="00F71780" w:rsidP="00F71780">
      <w:pPr>
        <w:pStyle w:val="Descripcin"/>
        <w:keepNext/>
        <w:spacing w:after="0"/>
        <w:jc w:val="center"/>
        <w:rPr>
          <w:rFonts w:ascii="Book Antiqua" w:hAnsi="Book Antiqua" w:cs="&amp;quot"/>
          <w:b/>
          <w:i w:val="0"/>
          <w:iCs w:val="0"/>
          <w:color w:val="auto"/>
          <w:sz w:val="24"/>
          <w:szCs w:val="24"/>
        </w:rPr>
      </w:pPr>
      <w:bookmarkStart w:id="87" w:name="_Toc131155944"/>
      <w:r w:rsidRPr="00A7495E">
        <w:rPr>
          <w:rFonts w:ascii="Book Antiqua" w:hAnsi="Book Antiqua" w:cs="&amp;quot"/>
          <w:b/>
          <w:i w:val="0"/>
          <w:iCs w:val="0"/>
          <w:color w:val="auto"/>
          <w:sz w:val="24"/>
          <w:szCs w:val="24"/>
        </w:rPr>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844144">
        <w:rPr>
          <w:rFonts w:ascii="Book Antiqua" w:hAnsi="Book Antiqua" w:cs="&amp;quot"/>
          <w:b/>
          <w:i w:val="0"/>
          <w:iCs w:val="0"/>
          <w:noProof/>
          <w:color w:val="auto"/>
          <w:sz w:val="24"/>
          <w:szCs w:val="24"/>
        </w:rPr>
        <w:t>21</w:t>
      </w:r>
      <w:r w:rsidRPr="00A7495E">
        <w:rPr>
          <w:rFonts w:ascii="Book Antiqua" w:hAnsi="Book Antiqua" w:cs="&amp;quot"/>
          <w:b/>
          <w:i w:val="0"/>
          <w:iCs w:val="0"/>
          <w:color w:val="auto"/>
          <w:sz w:val="24"/>
          <w:szCs w:val="24"/>
        </w:rPr>
        <w:fldChar w:fldCharType="end"/>
      </w:r>
      <w:r w:rsidRPr="00A7495E">
        <w:rPr>
          <w:rFonts w:ascii="Book Antiqua" w:hAnsi="Book Antiqua" w:cs="&amp;quot"/>
          <w:b/>
          <w:i w:val="0"/>
          <w:iCs w:val="0"/>
          <w:color w:val="auto"/>
          <w:sz w:val="24"/>
          <w:szCs w:val="24"/>
        </w:rPr>
        <w:t>. Detalle de proyectos con permiso con goce de salario que reportan retraso</w:t>
      </w:r>
      <w:bookmarkEnd w:id="87"/>
    </w:p>
    <w:p w14:paraId="70455DD8" w14:textId="77777777" w:rsidR="00C43C40" w:rsidRDefault="00C43C40" w:rsidP="00F71780">
      <w:pPr>
        <w:spacing w:after="0"/>
        <w:rPr>
          <w:rFonts w:ascii="Book Antiqua" w:hAnsi="Book Antiqua"/>
          <w:b/>
          <w:sz w:val="20"/>
          <w:szCs w:val="20"/>
        </w:rPr>
      </w:pPr>
    </w:p>
    <w:tbl>
      <w:tblPr>
        <w:tblW w:w="0" w:type="dxa"/>
        <w:tblInd w:w="-5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8"/>
        <w:gridCol w:w="1295"/>
        <w:gridCol w:w="898"/>
        <w:gridCol w:w="898"/>
        <w:gridCol w:w="2484"/>
        <w:gridCol w:w="1102"/>
        <w:gridCol w:w="602"/>
        <w:gridCol w:w="1572"/>
      </w:tblGrid>
      <w:tr w:rsidR="00C43C40" w:rsidRPr="00C43C40" w14:paraId="6E6BA53C" w14:textId="77777777" w:rsidTr="00861FDD">
        <w:trPr>
          <w:trHeight w:val="765"/>
          <w:tblHeader/>
        </w:trPr>
        <w:tc>
          <w:tcPr>
            <w:tcW w:w="705"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1416A6EA" w14:textId="77777777" w:rsidR="00C43C40" w:rsidRPr="00C43C40" w:rsidRDefault="00C43C40" w:rsidP="00C43C40">
            <w:pPr>
              <w:spacing w:after="0" w:line="240" w:lineRule="auto"/>
              <w:jc w:val="center"/>
              <w:textAlignment w:val="baseline"/>
              <w:rPr>
                <w:rFonts w:ascii="Segoe UI" w:eastAsia="Times New Roman" w:hAnsi="Segoe UI" w:cs="Segoe UI"/>
                <w:sz w:val="18"/>
                <w:szCs w:val="18"/>
                <w:lang w:eastAsia="es-CR"/>
              </w:rPr>
            </w:pPr>
            <w:r w:rsidRPr="00C43C40">
              <w:rPr>
                <w:rFonts w:ascii="Book Antiqua" w:eastAsia="Times New Roman" w:hAnsi="Book Antiqua" w:cs="Segoe UI"/>
                <w:b/>
                <w:bCs/>
                <w:color w:val="FFFFFF"/>
                <w:sz w:val="14"/>
                <w:szCs w:val="14"/>
                <w:lang w:eastAsia="es-CR"/>
              </w:rPr>
              <w:t>Código</w:t>
            </w:r>
            <w:r w:rsidRPr="00C43C40">
              <w:rPr>
                <w:rFonts w:ascii="Book Antiqua" w:eastAsia="Times New Roman" w:hAnsi="Book Antiqua" w:cs="Segoe UI"/>
                <w:color w:val="FFFFFF"/>
                <w:sz w:val="14"/>
                <w:szCs w:val="14"/>
                <w:lang w:eastAsia="es-CR"/>
              </w:rPr>
              <w:t> </w:t>
            </w:r>
          </w:p>
        </w:tc>
        <w:tc>
          <w:tcPr>
            <w:tcW w:w="1410"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440E0A51" w14:textId="77777777" w:rsidR="00C43C40" w:rsidRPr="00C43C40" w:rsidRDefault="00C43C40" w:rsidP="00C43C40">
            <w:pPr>
              <w:spacing w:after="0" w:line="240" w:lineRule="auto"/>
              <w:jc w:val="center"/>
              <w:textAlignment w:val="baseline"/>
              <w:rPr>
                <w:rFonts w:ascii="Segoe UI" w:eastAsia="Times New Roman" w:hAnsi="Segoe UI" w:cs="Segoe UI"/>
                <w:sz w:val="18"/>
                <w:szCs w:val="18"/>
                <w:lang w:eastAsia="es-CR"/>
              </w:rPr>
            </w:pPr>
            <w:r w:rsidRPr="00C43C40">
              <w:rPr>
                <w:rFonts w:ascii="Book Antiqua" w:eastAsia="Times New Roman" w:hAnsi="Book Antiqua" w:cs="Segoe UI"/>
                <w:b/>
                <w:bCs/>
                <w:color w:val="FFFFFF"/>
                <w:sz w:val="14"/>
                <w:szCs w:val="14"/>
                <w:lang w:eastAsia="es-CR"/>
              </w:rPr>
              <w:t>Nombre del proyecto</w:t>
            </w:r>
            <w:r w:rsidRPr="00C43C40">
              <w:rPr>
                <w:rFonts w:ascii="Book Antiqua" w:eastAsia="Times New Roman" w:hAnsi="Book Antiqua" w:cs="Segoe UI"/>
                <w:color w:val="FFFFFF"/>
                <w:sz w:val="14"/>
                <w:szCs w:val="14"/>
                <w:lang w:eastAsia="es-CR"/>
              </w:rPr>
              <w:t> </w:t>
            </w:r>
          </w:p>
        </w:tc>
        <w:tc>
          <w:tcPr>
            <w:tcW w:w="990"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69AE9ED0" w14:textId="77777777" w:rsidR="00C43C40" w:rsidRPr="00C43C40" w:rsidRDefault="00C43C40" w:rsidP="00C43C40">
            <w:pPr>
              <w:spacing w:after="0" w:line="240" w:lineRule="auto"/>
              <w:jc w:val="center"/>
              <w:textAlignment w:val="baseline"/>
              <w:rPr>
                <w:rFonts w:ascii="Segoe UI" w:eastAsia="Times New Roman" w:hAnsi="Segoe UI" w:cs="Segoe UI"/>
                <w:sz w:val="18"/>
                <w:szCs w:val="18"/>
                <w:lang w:eastAsia="es-CR"/>
              </w:rPr>
            </w:pPr>
            <w:r w:rsidRPr="00C43C40">
              <w:rPr>
                <w:rFonts w:ascii="Book Antiqua" w:eastAsia="Times New Roman" w:hAnsi="Book Antiqua" w:cs="Segoe UI"/>
                <w:b/>
                <w:bCs/>
                <w:color w:val="FFFFFF"/>
                <w:sz w:val="14"/>
                <w:szCs w:val="14"/>
                <w:lang w:eastAsia="es-CR"/>
              </w:rPr>
              <w:t>Porcentaje Actual al 28/04/23</w:t>
            </w:r>
            <w:r w:rsidRPr="00C43C40">
              <w:rPr>
                <w:rFonts w:ascii="Book Antiqua" w:eastAsia="Times New Roman" w:hAnsi="Book Antiqua" w:cs="Segoe UI"/>
                <w:color w:val="FFFFFF"/>
                <w:sz w:val="14"/>
                <w:szCs w:val="14"/>
                <w:lang w:eastAsia="es-CR"/>
              </w:rPr>
              <w:t> </w:t>
            </w:r>
          </w:p>
        </w:tc>
        <w:tc>
          <w:tcPr>
            <w:tcW w:w="990"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6B0F8626" w14:textId="77777777" w:rsidR="00C43C40" w:rsidRPr="00C43C40" w:rsidRDefault="00C43C40" w:rsidP="00C43C40">
            <w:pPr>
              <w:spacing w:after="0" w:line="240" w:lineRule="auto"/>
              <w:jc w:val="center"/>
              <w:textAlignment w:val="baseline"/>
              <w:rPr>
                <w:rFonts w:ascii="Segoe UI" w:eastAsia="Times New Roman" w:hAnsi="Segoe UI" w:cs="Segoe UI"/>
                <w:sz w:val="18"/>
                <w:szCs w:val="18"/>
                <w:lang w:eastAsia="es-CR"/>
              </w:rPr>
            </w:pPr>
            <w:r w:rsidRPr="00C43C40">
              <w:rPr>
                <w:rFonts w:ascii="Book Antiqua" w:eastAsia="Times New Roman" w:hAnsi="Book Antiqua" w:cs="Segoe UI"/>
                <w:b/>
                <w:bCs/>
                <w:color w:val="FFFFFF"/>
                <w:sz w:val="14"/>
                <w:szCs w:val="14"/>
                <w:lang w:eastAsia="es-CR"/>
              </w:rPr>
              <w:t>Porcentaje Esperado al 28/04/23</w:t>
            </w:r>
            <w:r w:rsidRPr="00C43C40">
              <w:rPr>
                <w:rFonts w:ascii="Book Antiqua" w:eastAsia="Times New Roman" w:hAnsi="Book Antiqua" w:cs="Segoe UI"/>
                <w:color w:val="FFFFFF"/>
                <w:sz w:val="14"/>
                <w:szCs w:val="14"/>
                <w:lang w:eastAsia="es-CR"/>
              </w:rPr>
              <w:t> </w:t>
            </w:r>
          </w:p>
        </w:tc>
        <w:tc>
          <w:tcPr>
            <w:tcW w:w="3105"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4D9A51EC" w14:textId="77777777" w:rsidR="00C43C40" w:rsidRPr="00C43C40" w:rsidRDefault="00C43C40" w:rsidP="00C43C40">
            <w:pPr>
              <w:spacing w:after="0" w:line="240" w:lineRule="auto"/>
              <w:jc w:val="center"/>
              <w:textAlignment w:val="baseline"/>
              <w:rPr>
                <w:rFonts w:ascii="Segoe UI" w:eastAsia="Times New Roman" w:hAnsi="Segoe UI" w:cs="Segoe UI"/>
                <w:sz w:val="18"/>
                <w:szCs w:val="18"/>
                <w:lang w:eastAsia="es-CR"/>
              </w:rPr>
            </w:pPr>
            <w:r w:rsidRPr="00C43C40">
              <w:rPr>
                <w:rFonts w:ascii="Book Antiqua" w:eastAsia="Times New Roman" w:hAnsi="Book Antiqua" w:cs="Segoe UI"/>
                <w:b/>
                <w:bCs/>
                <w:color w:val="FFFFFF"/>
                <w:sz w:val="14"/>
                <w:szCs w:val="14"/>
                <w:lang w:eastAsia="es-CR"/>
              </w:rPr>
              <w:t>Justificación</w:t>
            </w:r>
            <w:r w:rsidRPr="00C43C40">
              <w:rPr>
                <w:rFonts w:ascii="Book Antiqua" w:eastAsia="Times New Roman" w:hAnsi="Book Antiqua" w:cs="Segoe UI"/>
                <w:color w:val="FFFFFF"/>
                <w:sz w:val="14"/>
                <w:szCs w:val="14"/>
                <w:lang w:eastAsia="es-CR"/>
              </w:rPr>
              <w:t> </w:t>
            </w:r>
          </w:p>
        </w:tc>
        <w:tc>
          <w:tcPr>
            <w:tcW w:w="1125"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344596CA" w14:textId="77777777" w:rsidR="00C43C40" w:rsidRPr="00C43C40" w:rsidRDefault="00C43C40" w:rsidP="00C43C40">
            <w:pPr>
              <w:spacing w:after="0" w:line="240" w:lineRule="auto"/>
              <w:jc w:val="center"/>
              <w:textAlignment w:val="baseline"/>
              <w:rPr>
                <w:rFonts w:ascii="Segoe UI" w:eastAsia="Times New Roman" w:hAnsi="Segoe UI" w:cs="Segoe UI"/>
                <w:sz w:val="18"/>
                <w:szCs w:val="18"/>
                <w:lang w:eastAsia="es-CR"/>
              </w:rPr>
            </w:pPr>
            <w:r w:rsidRPr="00C43C40">
              <w:rPr>
                <w:rFonts w:ascii="Book Antiqua" w:eastAsia="Times New Roman" w:hAnsi="Book Antiqua" w:cs="Segoe UI"/>
                <w:b/>
                <w:bCs/>
                <w:color w:val="FFFFFF"/>
                <w:sz w:val="14"/>
                <w:szCs w:val="14"/>
                <w:lang w:eastAsia="es-CR"/>
              </w:rPr>
              <w:t>Tipo de afectación</w:t>
            </w:r>
            <w:r w:rsidRPr="00C43C40">
              <w:rPr>
                <w:rFonts w:ascii="Book Antiqua" w:eastAsia="Times New Roman" w:hAnsi="Book Antiqua" w:cs="Segoe UI"/>
                <w:color w:val="FFFFFF"/>
                <w:sz w:val="14"/>
                <w:szCs w:val="14"/>
                <w:lang w:eastAsia="es-CR"/>
              </w:rPr>
              <w:t> </w:t>
            </w:r>
          </w:p>
        </w:tc>
        <w:tc>
          <w:tcPr>
            <w:tcW w:w="645"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6CB684DE" w14:textId="77777777" w:rsidR="00C43C40" w:rsidRPr="00C43C40" w:rsidRDefault="00C43C40" w:rsidP="00C43C40">
            <w:pPr>
              <w:spacing w:after="0" w:line="240" w:lineRule="auto"/>
              <w:jc w:val="center"/>
              <w:textAlignment w:val="baseline"/>
              <w:rPr>
                <w:rFonts w:ascii="Segoe UI" w:eastAsia="Times New Roman" w:hAnsi="Segoe UI" w:cs="Segoe UI"/>
                <w:sz w:val="18"/>
                <w:szCs w:val="18"/>
                <w:lang w:eastAsia="es-CR"/>
              </w:rPr>
            </w:pPr>
            <w:r w:rsidRPr="00C43C40">
              <w:rPr>
                <w:rFonts w:ascii="Book Antiqua" w:eastAsia="Times New Roman" w:hAnsi="Book Antiqua" w:cs="Segoe UI"/>
                <w:b/>
                <w:bCs/>
                <w:color w:val="FFFFFF"/>
                <w:sz w:val="14"/>
                <w:szCs w:val="14"/>
                <w:lang w:eastAsia="es-CR"/>
              </w:rPr>
              <w:t>¿Tiene PCGS?</w:t>
            </w:r>
            <w:r w:rsidRPr="00C43C40">
              <w:rPr>
                <w:rFonts w:ascii="Book Antiqua" w:eastAsia="Times New Roman" w:hAnsi="Book Antiqua" w:cs="Segoe UI"/>
                <w:color w:val="FFFFFF"/>
                <w:sz w:val="14"/>
                <w:szCs w:val="14"/>
                <w:lang w:eastAsia="es-CR"/>
              </w:rPr>
              <w:t> </w:t>
            </w:r>
          </w:p>
        </w:tc>
        <w:tc>
          <w:tcPr>
            <w:tcW w:w="1890"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31142F69" w14:textId="77777777" w:rsidR="00C43C40" w:rsidRPr="00C43C40" w:rsidRDefault="00C43C40" w:rsidP="00C43C40">
            <w:pPr>
              <w:spacing w:after="0" w:line="240" w:lineRule="auto"/>
              <w:jc w:val="center"/>
              <w:textAlignment w:val="baseline"/>
              <w:rPr>
                <w:rFonts w:ascii="Segoe UI" w:eastAsia="Times New Roman" w:hAnsi="Segoe UI" w:cs="Segoe UI"/>
                <w:sz w:val="18"/>
                <w:szCs w:val="18"/>
                <w:lang w:eastAsia="es-CR"/>
              </w:rPr>
            </w:pPr>
            <w:r w:rsidRPr="00C43C40">
              <w:rPr>
                <w:rFonts w:ascii="Book Antiqua" w:eastAsia="Times New Roman" w:hAnsi="Book Antiqua" w:cs="Segoe UI"/>
                <w:b/>
                <w:bCs/>
                <w:color w:val="FFFFFF"/>
                <w:sz w:val="14"/>
                <w:szCs w:val="14"/>
                <w:lang w:eastAsia="es-CR"/>
              </w:rPr>
              <w:t>Solicitud de cambio</w:t>
            </w:r>
            <w:r w:rsidRPr="00C43C40">
              <w:rPr>
                <w:rFonts w:ascii="Book Antiqua" w:eastAsia="Times New Roman" w:hAnsi="Book Antiqua" w:cs="Segoe UI"/>
                <w:color w:val="FFFFFF"/>
                <w:sz w:val="14"/>
                <w:szCs w:val="14"/>
                <w:lang w:eastAsia="es-CR"/>
              </w:rPr>
              <w:t> </w:t>
            </w:r>
          </w:p>
        </w:tc>
      </w:tr>
      <w:tr w:rsidR="00C43C40" w:rsidRPr="00C43C40" w14:paraId="30B80DC4" w14:textId="77777777" w:rsidTr="00C43C40">
        <w:trPr>
          <w:trHeight w:val="1290"/>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AEE3B0" w14:textId="77777777" w:rsidR="00C43C40" w:rsidRPr="00C43C40" w:rsidRDefault="00C43C40" w:rsidP="00C43C40">
            <w:pPr>
              <w:spacing w:after="0" w:line="240" w:lineRule="auto"/>
              <w:jc w:val="both"/>
              <w:textAlignment w:val="baseline"/>
              <w:rPr>
                <w:rFonts w:ascii="Segoe UI" w:eastAsia="Times New Roman" w:hAnsi="Segoe UI" w:cs="Segoe UI"/>
                <w:sz w:val="18"/>
                <w:szCs w:val="18"/>
                <w:lang w:eastAsia="es-CR"/>
              </w:rPr>
            </w:pPr>
            <w:r w:rsidRPr="00C43C40">
              <w:rPr>
                <w:rFonts w:ascii="Book Antiqua" w:eastAsia="Times New Roman" w:hAnsi="Book Antiqua" w:cs="Segoe UI"/>
                <w:color w:val="000000"/>
                <w:sz w:val="14"/>
                <w:szCs w:val="14"/>
                <w:lang w:eastAsia="es-CR"/>
              </w:rPr>
              <w:t>0116-DPC-P01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619832" w14:textId="77777777" w:rsidR="00C43C40" w:rsidRPr="00C43C40" w:rsidRDefault="00C43C40" w:rsidP="00C43C40">
            <w:pPr>
              <w:spacing w:after="0" w:line="240" w:lineRule="auto"/>
              <w:jc w:val="both"/>
              <w:textAlignment w:val="baseline"/>
              <w:rPr>
                <w:rFonts w:ascii="Segoe UI" w:eastAsia="Times New Roman" w:hAnsi="Segoe UI" w:cs="Segoe UI"/>
                <w:sz w:val="18"/>
                <w:szCs w:val="18"/>
                <w:lang w:eastAsia="es-CR"/>
              </w:rPr>
            </w:pPr>
            <w:r w:rsidRPr="00C43C40">
              <w:rPr>
                <w:rFonts w:ascii="Book Antiqua" w:eastAsia="Times New Roman" w:hAnsi="Book Antiqua" w:cs="Segoe UI"/>
                <w:color w:val="000000"/>
                <w:sz w:val="14"/>
                <w:szCs w:val="14"/>
                <w:lang w:eastAsia="es-CR"/>
              </w:rPr>
              <w:t>Política de Comunicación Integral </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D18BE63" w14:textId="1A6E6DCF" w:rsidR="00C43C40" w:rsidRPr="00C43C40" w:rsidRDefault="00C43C40" w:rsidP="00C43C40">
            <w:pPr>
              <w:spacing w:after="0" w:line="240" w:lineRule="auto"/>
              <w:jc w:val="center"/>
              <w:textAlignment w:val="baseline"/>
              <w:rPr>
                <w:rFonts w:ascii="Segoe UI" w:eastAsia="Times New Roman" w:hAnsi="Segoe UI" w:cs="Segoe UI"/>
                <w:sz w:val="18"/>
                <w:szCs w:val="18"/>
                <w:lang w:eastAsia="es-CR"/>
              </w:rPr>
            </w:pPr>
            <w:r w:rsidRPr="00C43C40">
              <w:rPr>
                <w:rFonts w:ascii="Book Antiqua" w:eastAsia="Times New Roman" w:hAnsi="Book Antiqua" w:cs="Segoe UI"/>
                <w:color w:val="000000"/>
                <w:sz w:val="14"/>
                <w:szCs w:val="14"/>
                <w:lang w:eastAsia="es-CR"/>
              </w:rPr>
              <w:t>68 %</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94C9823" w14:textId="19775AAB" w:rsidR="00C43C40" w:rsidRPr="00C43C40" w:rsidRDefault="00C43C40" w:rsidP="00C43C40">
            <w:pPr>
              <w:spacing w:after="0" w:line="240" w:lineRule="auto"/>
              <w:jc w:val="center"/>
              <w:textAlignment w:val="baseline"/>
              <w:rPr>
                <w:rFonts w:ascii="Segoe UI" w:eastAsia="Times New Roman" w:hAnsi="Segoe UI" w:cs="Segoe UI"/>
                <w:sz w:val="18"/>
                <w:szCs w:val="18"/>
                <w:lang w:eastAsia="es-CR"/>
              </w:rPr>
            </w:pPr>
            <w:r w:rsidRPr="00C43C40">
              <w:rPr>
                <w:rFonts w:ascii="Book Antiqua" w:eastAsia="Times New Roman" w:hAnsi="Book Antiqua" w:cs="Segoe UI"/>
                <w:color w:val="000000"/>
                <w:sz w:val="14"/>
                <w:szCs w:val="14"/>
                <w:lang w:eastAsia="es-CR"/>
              </w:rPr>
              <w:t>72 %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7524B8" w14:textId="77777777" w:rsidR="00C43C40" w:rsidRPr="00C43C40" w:rsidRDefault="00C43C40" w:rsidP="00C43C40">
            <w:pPr>
              <w:spacing w:after="0" w:line="240" w:lineRule="auto"/>
              <w:jc w:val="both"/>
              <w:textAlignment w:val="baseline"/>
              <w:rPr>
                <w:rFonts w:ascii="Segoe UI" w:eastAsia="Times New Roman" w:hAnsi="Segoe UI" w:cs="Segoe UI"/>
                <w:sz w:val="18"/>
                <w:szCs w:val="18"/>
                <w:lang w:eastAsia="es-CR"/>
              </w:rPr>
            </w:pPr>
            <w:r w:rsidRPr="00C43C40">
              <w:rPr>
                <w:rFonts w:ascii="Book Antiqua" w:eastAsia="Times New Roman" w:hAnsi="Book Antiqua" w:cs="Segoe UI"/>
                <w:color w:val="000000"/>
                <w:sz w:val="14"/>
                <w:szCs w:val="14"/>
                <w:lang w:eastAsia="es-CR"/>
              </w:rPr>
              <w:t>Incorporación del asesor de la Presidencia; Reuniones con jerarquías institucionales; Sesiones de trabajo con Directores de los Órganos Auxiliares del Poder Judicial; Talleres de validación de la Política con actores estratégicos del proyecto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0E94E9" w14:textId="06AD9451" w:rsidR="00C43C40" w:rsidRPr="00C43C40" w:rsidRDefault="00C43C40" w:rsidP="00C43C40">
            <w:pPr>
              <w:spacing w:after="0" w:line="240" w:lineRule="auto"/>
              <w:jc w:val="center"/>
              <w:textAlignment w:val="baseline"/>
              <w:rPr>
                <w:rFonts w:ascii="Segoe UI" w:eastAsia="Times New Roman" w:hAnsi="Segoe UI" w:cs="Segoe UI"/>
                <w:sz w:val="18"/>
                <w:szCs w:val="18"/>
                <w:lang w:eastAsia="es-CR"/>
              </w:rPr>
            </w:pPr>
            <w:r w:rsidRPr="00C43C40">
              <w:rPr>
                <w:rFonts w:ascii="Book Antiqua" w:eastAsia="Times New Roman" w:hAnsi="Book Antiqua" w:cs="Segoe UI"/>
                <w:color w:val="000000"/>
                <w:sz w:val="14"/>
                <w:szCs w:val="14"/>
                <w:lang w:eastAsia="es-CR"/>
              </w:rPr>
              <w:t>Dependencia de otro órgano</w:t>
            </w:r>
          </w:p>
        </w:tc>
        <w:tc>
          <w:tcPr>
            <w:tcW w:w="64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973A854" w14:textId="4C1F8C37" w:rsidR="00C43C40" w:rsidRPr="00C43C40" w:rsidRDefault="00C43C40" w:rsidP="00C43C40">
            <w:pPr>
              <w:spacing w:after="0" w:line="240" w:lineRule="auto"/>
              <w:jc w:val="center"/>
              <w:textAlignment w:val="baseline"/>
              <w:rPr>
                <w:rFonts w:ascii="Segoe UI" w:eastAsia="Times New Roman" w:hAnsi="Segoe UI" w:cs="Segoe UI"/>
                <w:sz w:val="18"/>
                <w:szCs w:val="18"/>
                <w:lang w:eastAsia="es-CR"/>
              </w:rPr>
            </w:pPr>
            <w:r w:rsidRPr="00C43C40">
              <w:rPr>
                <w:rFonts w:ascii="Book Antiqua" w:eastAsia="Times New Roman" w:hAnsi="Book Antiqua" w:cs="Segoe UI"/>
                <w:color w:val="000000"/>
                <w:sz w:val="14"/>
                <w:szCs w:val="14"/>
                <w:lang w:eastAsia="es-CR"/>
              </w:rPr>
              <w:t>Si</w:t>
            </w:r>
          </w:p>
        </w:tc>
        <w:tc>
          <w:tcPr>
            <w:tcW w:w="189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50D77C1" w14:textId="77777777" w:rsidR="00C43C40" w:rsidRPr="00C43C40" w:rsidRDefault="00C43C40" w:rsidP="00C43C40">
            <w:pPr>
              <w:spacing w:after="0" w:line="240" w:lineRule="auto"/>
              <w:jc w:val="both"/>
              <w:textAlignment w:val="baseline"/>
              <w:rPr>
                <w:rFonts w:ascii="Segoe UI" w:eastAsia="Times New Roman" w:hAnsi="Segoe UI" w:cs="Segoe UI"/>
                <w:sz w:val="18"/>
                <w:szCs w:val="18"/>
                <w:lang w:eastAsia="es-CR"/>
              </w:rPr>
            </w:pPr>
            <w:r w:rsidRPr="00C43C40">
              <w:rPr>
                <w:rFonts w:ascii="Book Antiqua" w:eastAsia="Times New Roman" w:hAnsi="Book Antiqua" w:cs="Segoe UI"/>
                <w:color w:val="000000"/>
                <w:sz w:val="14"/>
                <w:szCs w:val="14"/>
                <w:lang w:eastAsia="es-CR"/>
              </w:rPr>
              <w:t>Se elabora solicitud de cambio y se modifica cronograma, ya no presenta retraso, pero no se modifica informe de avance por lo cual se debe indicar. </w:t>
            </w:r>
          </w:p>
        </w:tc>
      </w:tr>
      <w:tr w:rsidR="00C43C40" w:rsidRPr="00C43C40" w14:paraId="4F16EFD9" w14:textId="77777777" w:rsidTr="00C43C40">
        <w:trPr>
          <w:trHeight w:val="2085"/>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F4EC33" w14:textId="77777777" w:rsidR="00C43C40" w:rsidRPr="00C43C40" w:rsidRDefault="00C43C40" w:rsidP="00C43C40">
            <w:pPr>
              <w:spacing w:after="0" w:line="240" w:lineRule="auto"/>
              <w:jc w:val="both"/>
              <w:textAlignment w:val="baseline"/>
              <w:rPr>
                <w:rFonts w:ascii="Segoe UI" w:eastAsia="Times New Roman" w:hAnsi="Segoe UI" w:cs="Segoe UI"/>
                <w:sz w:val="18"/>
                <w:szCs w:val="18"/>
                <w:lang w:eastAsia="es-CR"/>
              </w:rPr>
            </w:pPr>
            <w:r w:rsidRPr="00C43C40">
              <w:rPr>
                <w:rFonts w:ascii="Book Antiqua" w:eastAsia="Times New Roman" w:hAnsi="Book Antiqua" w:cs="Segoe UI"/>
                <w:color w:val="000000"/>
                <w:sz w:val="14"/>
                <w:szCs w:val="14"/>
                <w:lang w:eastAsia="es-CR"/>
              </w:rPr>
              <w:t>0117-DE-P29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162BC2" w14:textId="77777777" w:rsidR="00C43C40" w:rsidRPr="00C43C40" w:rsidRDefault="00C43C40" w:rsidP="00C43C40">
            <w:pPr>
              <w:spacing w:after="0" w:line="240" w:lineRule="auto"/>
              <w:jc w:val="both"/>
              <w:textAlignment w:val="baseline"/>
              <w:rPr>
                <w:rFonts w:ascii="Segoe UI" w:eastAsia="Times New Roman" w:hAnsi="Segoe UI" w:cs="Segoe UI"/>
                <w:sz w:val="18"/>
                <w:szCs w:val="18"/>
                <w:lang w:eastAsia="es-CR"/>
              </w:rPr>
            </w:pPr>
            <w:r w:rsidRPr="00C43C40">
              <w:rPr>
                <w:rFonts w:ascii="Book Antiqua" w:eastAsia="Times New Roman" w:hAnsi="Book Antiqua" w:cs="Segoe UI"/>
                <w:color w:val="000000"/>
                <w:sz w:val="14"/>
                <w:szCs w:val="14"/>
                <w:lang w:eastAsia="es-CR"/>
              </w:rPr>
              <w:t>Sistema de Inventario y Materiales de la Proveeduría </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7997309" w14:textId="12DE1C01" w:rsidR="00C43C40" w:rsidRPr="00C43C40" w:rsidRDefault="00C43C40" w:rsidP="00C43C40">
            <w:pPr>
              <w:spacing w:after="0" w:line="240" w:lineRule="auto"/>
              <w:jc w:val="center"/>
              <w:textAlignment w:val="baseline"/>
              <w:rPr>
                <w:rFonts w:ascii="Segoe UI" w:eastAsia="Times New Roman" w:hAnsi="Segoe UI" w:cs="Segoe UI"/>
                <w:sz w:val="18"/>
                <w:szCs w:val="18"/>
                <w:lang w:eastAsia="es-CR"/>
              </w:rPr>
            </w:pPr>
            <w:r w:rsidRPr="00C43C40">
              <w:rPr>
                <w:rFonts w:ascii="Book Antiqua" w:eastAsia="Times New Roman" w:hAnsi="Book Antiqua" w:cs="Segoe UI"/>
                <w:color w:val="000000"/>
                <w:sz w:val="14"/>
                <w:szCs w:val="14"/>
                <w:lang w:eastAsia="es-CR"/>
              </w:rPr>
              <w:t>38 %</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4DF1E00" w14:textId="6DE50995" w:rsidR="00C43C40" w:rsidRPr="00C43C40" w:rsidRDefault="00C43C40" w:rsidP="00C43C40">
            <w:pPr>
              <w:spacing w:after="0" w:line="240" w:lineRule="auto"/>
              <w:jc w:val="center"/>
              <w:textAlignment w:val="baseline"/>
              <w:rPr>
                <w:rFonts w:ascii="Segoe UI" w:eastAsia="Times New Roman" w:hAnsi="Segoe UI" w:cs="Segoe UI"/>
                <w:sz w:val="18"/>
                <w:szCs w:val="18"/>
                <w:lang w:eastAsia="es-CR"/>
              </w:rPr>
            </w:pPr>
            <w:r w:rsidRPr="00C43C40">
              <w:rPr>
                <w:rFonts w:ascii="Book Antiqua" w:eastAsia="Times New Roman" w:hAnsi="Book Antiqua" w:cs="Segoe UI"/>
                <w:color w:val="000000"/>
                <w:sz w:val="14"/>
                <w:szCs w:val="14"/>
                <w:lang w:eastAsia="es-CR"/>
              </w:rPr>
              <w:t>77 %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8EB80D" w14:textId="77777777" w:rsidR="00C43C40" w:rsidRPr="00C43C40" w:rsidRDefault="00C43C40" w:rsidP="00C43C40">
            <w:pPr>
              <w:spacing w:after="0" w:line="240" w:lineRule="auto"/>
              <w:jc w:val="both"/>
              <w:textAlignment w:val="baseline"/>
              <w:rPr>
                <w:rFonts w:ascii="Segoe UI" w:eastAsia="Times New Roman" w:hAnsi="Segoe UI" w:cs="Segoe UI"/>
                <w:sz w:val="18"/>
                <w:szCs w:val="18"/>
                <w:lang w:eastAsia="es-CR"/>
              </w:rPr>
            </w:pPr>
            <w:r w:rsidRPr="00C43C40">
              <w:rPr>
                <w:rFonts w:ascii="Book Antiqua" w:eastAsia="Times New Roman" w:hAnsi="Book Antiqua" w:cs="Segoe UI"/>
                <w:color w:val="000000"/>
                <w:sz w:val="14"/>
                <w:szCs w:val="14"/>
                <w:lang w:eastAsia="es-CR"/>
              </w:rPr>
              <w:t>El atraso de 9% se debe a las pruebas de usuario pendiente del sprint #13 más su correspondiente pago, las pruebas de usuario de los sprint que se han desarrollo con recurso interno (sprint 14 al 20). La velocidad del desarrollo no es la esperada según lo que se ha indicado en otros informes, ya que no se cuenta con la cantidad de historias de usuario suficientes para su desarrollo. • Tiempo invertido por personal de DTIC 1.346,10 horas.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377A3B" w14:textId="7152FAEF" w:rsidR="00C43C40" w:rsidRPr="00C43C40" w:rsidRDefault="00C43C40" w:rsidP="00C43C40">
            <w:pPr>
              <w:spacing w:after="0" w:line="240" w:lineRule="auto"/>
              <w:jc w:val="center"/>
              <w:textAlignment w:val="baseline"/>
              <w:rPr>
                <w:rFonts w:ascii="Segoe UI" w:eastAsia="Times New Roman" w:hAnsi="Segoe UI" w:cs="Segoe UI"/>
                <w:sz w:val="18"/>
                <w:szCs w:val="18"/>
                <w:lang w:eastAsia="es-CR"/>
              </w:rPr>
            </w:pPr>
            <w:r w:rsidRPr="00C43C40">
              <w:rPr>
                <w:rFonts w:ascii="Book Antiqua" w:eastAsia="Times New Roman" w:hAnsi="Book Antiqua" w:cs="Segoe UI"/>
                <w:color w:val="000000"/>
                <w:sz w:val="14"/>
                <w:szCs w:val="14"/>
                <w:lang w:eastAsia="es-CR"/>
              </w:rPr>
              <w:t>Reprogramación de actividades</w:t>
            </w:r>
          </w:p>
        </w:tc>
        <w:tc>
          <w:tcPr>
            <w:tcW w:w="64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F58E30E" w14:textId="1771A4AE" w:rsidR="00C43C40" w:rsidRPr="00C43C40" w:rsidRDefault="00C43C40" w:rsidP="00C43C40">
            <w:pPr>
              <w:spacing w:after="0" w:line="240" w:lineRule="auto"/>
              <w:jc w:val="center"/>
              <w:textAlignment w:val="baseline"/>
              <w:rPr>
                <w:rFonts w:ascii="Segoe UI" w:eastAsia="Times New Roman" w:hAnsi="Segoe UI" w:cs="Segoe UI"/>
                <w:sz w:val="18"/>
                <w:szCs w:val="18"/>
                <w:lang w:eastAsia="es-CR"/>
              </w:rPr>
            </w:pPr>
            <w:r w:rsidRPr="00C43C40">
              <w:rPr>
                <w:rFonts w:ascii="Book Antiqua" w:eastAsia="Times New Roman" w:hAnsi="Book Antiqua" w:cs="Segoe UI"/>
                <w:color w:val="000000"/>
                <w:sz w:val="14"/>
                <w:szCs w:val="14"/>
                <w:lang w:eastAsia="es-CR"/>
              </w:rPr>
              <w:t>Si</w:t>
            </w:r>
          </w:p>
        </w:tc>
        <w:tc>
          <w:tcPr>
            <w:tcW w:w="189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00B5DB7" w14:textId="77777777" w:rsidR="00C43C40" w:rsidRPr="00C43C40" w:rsidRDefault="00C43C40" w:rsidP="00C43C40">
            <w:pPr>
              <w:spacing w:after="0" w:line="240" w:lineRule="auto"/>
              <w:jc w:val="both"/>
              <w:textAlignment w:val="baseline"/>
              <w:rPr>
                <w:rFonts w:ascii="Segoe UI" w:eastAsia="Times New Roman" w:hAnsi="Segoe UI" w:cs="Segoe UI"/>
                <w:sz w:val="18"/>
                <w:szCs w:val="18"/>
                <w:lang w:eastAsia="es-CR"/>
              </w:rPr>
            </w:pPr>
            <w:r w:rsidRPr="00C43C40">
              <w:rPr>
                <w:rFonts w:ascii="Book Antiqua" w:eastAsia="Times New Roman" w:hAnsi="Book Antiqua" w:cs="Segoe UI"/>
                <w:color w:val="000000"/>
                <w:sz w:val="14"/>
                <w:szCs w:val="14"/>
                <w:lang w:eastAsia="es-CR"/>
              </w:rPr>
              <w:t>Se elabora solicitud de cambio; pero no se modifica cronograma, por lo cual se continua con retraso a espera de reunión para ver modificación de cronograma. </w:t>
            </w:r>
          </w:p>
        </w:tc>
      </w:tr>
      <w:tr w:rsidR="00C43C40" w:rsidRPr="00C43C40" w14:paraId="74A9CF6A" w14:textId="77777777" w:rsidTr="00C43C40">
        <w:trPr>
          <w:trHeight w:val="1455"/>
        </w:trPr>
        <w:tc>
          <w:tcPr>
            <w:tcW w:w="7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DFC44C8" w14:textId="77777777" w:rsidR="00C43C40" w:rsidRPr="00C43C40" w:rsidRDefault="00C43C40" w:rsidP="00C43C40">
            <w:pPr>
              <w:spacing w:after="0" w:line="240" w:lineRule="auto"/>
              <w:jc w:val="both"/>
              <w:textAlignment w:val="baseline"/>
              <w:rPr>
                <w:rFonts w:ascii="Segoe UI" w:eastAsia="Times New Roman" w:hAnsi="Segoe UI" w:cs="Segoe UI"/>
                <w:sz w:val="18"/>
                <w:szCs w:val="18"/>
                <w:lang w:eastAsia="es-CR"/>
              </w:rPr>
            </w:pPr>
            <w:r w:rsidRPr="00C43C40">
              <w:rPr>
                <w:rFonts w:ascii="Book Antiqua" w:eastAsia="Times New Roman" w:hAnsi="Book Antiqua" w:cs="Segoe UI"/>
                <w:color w:val="000000"/>
                <w:sz w:val="14"/>
                <w:szCs w:val="14"/>
                <w:lang w:eastAsia="es-CR"/>
              </w:rPr>
              <w:t>0117-DE-P31 </w:t>
            </w:r>
          </w:p>
        </w:tc>
        <w:tc>
          <w:tcPr>
            <w:tcW w:w="141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1E771D1" w14:textId="77777777" w:rsidR="00C43C40" w:rsidRPr="00C43C40" w:rsidRDefault="00C43C40" w:rsidP="00C43C40">
            <w:pPr>
              <w:spacing w:after="0" w:line="240" w:lineRule="auto"/>
              <w:jc w:val="both"/>
              <w:textAlignment w:val="baseline"/>
              <w:rPr>
                <w:rFonts w:ascii="Segoe UI" w:eastAsia="Times New Roman" w:hAnsi="Segoe UI" w:cs="Segoe UI"/>
                <w:sz w:val="18"/>
                <w:szCs w:val="18"/>
                <w:lang w:eastAsia="es-CR"/>
              </w:rPr>
            </w:pPr>
            <w:r w:rsidRPr="00C43C40">
              <w:rPr>
                <w:rFonts w:ascii="Book Antiqua" w:eastAsia="Times New Roman" w:hAnsi="Book Antiqua" w:cs="Segoe UI"/>
                <w:color w:val="000000"/>
                <w:sz w:val="14"/>
                <w:szCs w:val="14"/>
                <w:lang w:eastAsia="es-CR"/>
              </w:rPr>
              <w:t>Implementación de acciones de mejora, modificación y adaptación institucional a la nueva Ley N°9986,“Ley General de Contratación Pública” </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7062B80" w14:textId="7DC75271" w:rsidR="00C43C40" w:rsidRPr="00C43C40" w:rsidRDefault="00C43C40" w:rsidP="00C43C40">
            <w:pPr>
              <w:spacing w:after="0" w:line="240" w:lineRule="auto"/>
              <w:jc w:val="center"/>
              <w:textAlignment w:val="baseline"/>
              <w:rPr>
                <w:rFonts w:ascii="Segoe UI" w:eastAsia="Times New Roman" w:hAnsi="Segoe UI" w:cs="Segoe UI"/>
                <w:sz w:val="18"/>
                <w:szCs w:val="18"/>
                <w:lang w:eastAsia="es-CR"/>
              </w:rPr>
            </w:pPr>
            <w:r w:rsidRPr="00C43C40">
              <w:rPr>
                <w:rFonts w:ascii="Book Antiqua" w:eastAsia="Times New Roman" w:hAnsi="Book Antiqua" w:cs="Segoe UI"/>
                <w:color w:val="000000"/>
                <w:sz w:val="14"/>
                <w:szCs w:val="14"/>
                <w:lang w:eastAsia="es-CR"/>
              </w:rPr>
              <w:t>59 %</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2BFBFC4" w14:textId="62B2B1D5" w:rsidR="00C43C40" w:rsidRPr="00C43C40" w:rsidRDefault="00C43C40" w:rsidP="00C43C40">
            <w:pPr>
              <w:spacing w:after="0" w:line="240" w:lineRule="auto"/>
              <w:jc w:val="center"/>
              <w:textAlignment w:val="baseline"/>
              <w:rPr>
                <w:rFonts w:ascii="Segoe UI" w:eastAsia="Times New Roman" w:hAnsi="Segoe UI" w:cs="Segoe UI"/>
                <w:sz w:val="18"/>
                <w:szCs w:val="18"/>
                <w:lang w:eastAsia="es-CR"/>
              </w:rPr>
            </w:pPr>
            <w:r w:rsidRPr="00C43C40">
              <w:rPr>
                <w:rFonts w:ascii="Book Antiqua" w:eastAsia="Times New Roman" w:hAnsi="Book Antiqua" w:cs="Segoe UI"/>
                <w:color w:val="000000"/>
                <w:sz w:val="14"/>
                <w:szCs w:val="14"/>
                <w:lang w:eastAsia="es-CR"/>
              </w:rPr>
              <w:t>67 %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2C9C31" w14:textId="77777777" w:rsidR="00C43C40" w:rsidRPr="00C43C40" w:rsidRDefault="00C43C40" w:rsidP="00C43C40">
            <w:pPr>
              <w:spacing w:after="0" w:line="240" w:lineRule="auto"/>
              <w:jc w:val="both"/>
              <w:textAlignment w:val="baseline"/>
              <w:rPr>
                <w:rFonts w:ascii="Segoe UI" w:eastAsia="Times New Roman" w:hAnsi="Segoe UI" w:cs="Segoe UI"/>
                <w:sz w:val="18"/>
                <w:szCs w:val="18"/>
                <w:lang w:eastAsia="es-CR"/>
              </w:rPr>
            </w:pPr>
            <w:r w:rsidRPr="00C43C40">
              <w:rPr>
                <w:rFonts w:ascii="Book Antiqua" w:eastAsia="Times New Roman" w:hAnsi="Book Antiqua" w:cs="Segoe UI"/>
                <w:color w:val="000000"/>
                <w:sz w:val="14"/>
                <w:szCs w:val="14"/>
                <w:lang w:eastAsia="es-CR"/>
              </w:rPr>
              <w:t xml:space="preserve">Los cambios que ha sufrido el plan de trabajo se deben al atraso en la emisión del Reglamento a la Ley por parte del Ministerio de Hacienda, y del estudio de cargas y puestos de trabajo del Departamento de Proveeduría y Dirección Jurídica, ante los cambios que trae la nueva Ley General de Contratación Pública, que está desarrollando la Dirección de Planificación. (Riesgo identificado en el SEVRI del Proyecto).En referencia a la </w:t>
            </w:r>
            <w:r w:rsidRPr="00C43C40">
              <w:rPr>
                <w:rFonts w:ascii="Book Antiqua" w:eastAsia="Times New Roman" w:hAnsi="Book Antiqua" w:cs="Segoe UI"/>
                <w:color w:val="000000"/>
                <w:sz w:val="14"/>
                <w:szCs w:val="14"/>
                <w:lang w:eastAsia="es-CR"/>
              </w:rPr>
              <w:lastRenderedPageBreak/>
              <w:t>publicación de las cápsulas informativas, se sufrió un atraso con el Departamento de Prensa y Artes Gráficas con los últimos 4 artes ya que por parte de Prensa se solicitaron ajustes en diferentes momentos, sin embargo, las cápsulas ya están siendo publicadas. Adicionalmente, era necesario contar con la publicación de las guías con los nuevos procedimientos, para poder iniciar con la confección de las cápsulas y transmitir la información debidamente analizada y operativizada, por lo que en los próximos días se estarán abordando otros temas para conocimiento de la población judicial. En el caso de los procedimientos del entregable 3.18, estos presentaron atraso en las revisiones y ajustes en las guías, debido a que, por cambios internos del personal del Subproceso de Verificación y Ejecución Contractual y vacaciones de la jefatura, estos no han podido ser atendidos. Sin embargo, se espera retomarlos la próxima semana, con la reincorporación de la jefatura de dicho Subproceso.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70E369" w14:textId="7C5D3116" w:rsidR="00C43C40" w:rsidRPr="00C43C40" w:rsidRDefault="00C43C40" w:rsidP="00C43C40">
            <w:pPr>
              <w:spacing w:after="0" w:line="240" w:lineRule="auto"/>
              <w:jc w:val="center"/>
              <w:textAlignment w:val="baseline"/>
              <w:rPr>
                <w:rFonts w:ascii="Segoe UI" w:eastAsia="Times New Roman" w:hAnsi="Segoe UI" w:cs="Segoe UI"/>
                <w:sz w:val="18"/>
                <w:szCs w:val="18"/>
                <w:lang w:eastAsia="es-CR"/>
              </w:rPr>
            </w:pPr>
            <w:r w:rsidRPr="00C43C40">
              <w:rPr>
                <w:rFonts w:ascii="Book Antiqua" w:eastAsia="Times New Roman" w:hAnsi="Book Antiqua" w:cs="Segoe UI"/>
                <w:color w:val="000000"/>
                <w:sz w:val="14"/>
                <w:szCs w:val="14"/>
                <w:lang w:eastAsia="es-CR"/>
              </w:rPr>
              <w:lastRenderedPageBreak/>
              <w:t>Dependencia de otro órgano</w:t>
            </w:r>
          </w:p>
        </w:tc>
        <w:tc>
          <w:tcPr>
            <w:tcW w:w="64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0D1044C" w14:textId="1E310ABC" w:rsidR="00C43C40" w:rsidRPr="00C43C40" w:rsidRDefault="00C43C40" w:rsidP="00C43C40">
            <w:pPr>
              <w:spacing w:after="0" w:line="240" w:lineRule="auto"/>
              <w:jc w:val="center"/>
              <w:textAlignment w:val="baseline"/>
              <w:rPr>
                <w:rFonts w:ascii="Segoe UI" w:eastAsia="Times New Roman" w:hAnsi="Segoe UI" w:cs="Segoe UI"/>
                <w:sz w:val="18"/>
                <w:szCs w:val="18"/>
                <w:lang w:eastAsia="es-CR"/>
              </w:rPr>
            </w:pPr>
            <w:r w:rsidRPr="00C43C40">
              <w:rPr>
                <w:rFonts w:ascii="Book Antiqua" w:eastAsia="Times New Roman" w:hAnsi="Book Antiqua" w:cs="Segoe UI"/>
                <w:color w:val="000000"/>
                <w:sz w:val="14"/>
                <w:szCs w:val="14"/>
                <w:lang w:eastAsia="es-CR"/>
              </w:rPr>
              <w:t>Si</w:t>
            </w:r>
          </w:p>
        </w:tc>
        <w:tc>
          <w:tcPr>
            <w:tcW w:w="189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D9E8038" w14:textId="77777777" w:rsidR="00C43C40" w:rsidRPr="00C43C40" w:rsidRDefault="00C43C40" w:rsidP="00C43C40">
            <w:pPr>
              <w:spacing w:after="0" w:line="240" w:lineRule="auto"/>
              <w:jc w:val="both"/>
              <w:textAlignment w:val="baseline"/>
              <w:rPr>
                <w:rFonts w:ascii="Segoe UI" w:eastAsia="Times New Roman" w:hAnsi="Segoe UI" w:cs="Segoe UI"/>
                <w:sz w:val="18"/>
                <w:szCs w:val="18"/>
                <w:lang w:eastAsia="es-CR"/>
              </w:rPr>
            </w:pPr>
            <w:r w:rsidRPr="00C43C40">
              <w:rPr>
                <w:rFonts w:ascii="Book Antiqua" w:eastAsia="Times New Roman" w:hAnsi="Book Antiqua" w:cs="Segoe UI"/>
                <w:color w:val="000000"/>
                <w:sz w:val="14"/>
                <w:szCs w:val="14"/>
                <w:lang w:eastAsia="es-CR"/>
              </w:rPr>
              <w:t>Se elabora solicitud de cambio y se modifica cronograma, ya no presenta retraso, pero no se modifica informe de avance por lo cual se debe indicar. </w:t>
            </w:r>
          </w:p>
        </w:tc>
      </w:tr>
    </w:tbl>
    <w:p w14:paraId="02BE7111" w14:textId="302E1A69" w:rsidR="00F71780" w:rsidRPr="00D257ED" w:rsidRDefault="00F71780" w:rsidP="00F71780">
      <w:pPr>
        <w:spacing w:after="0"/>
        <w:rPr>
          <w:rFonts w:ascii="Book Antiqua" w:hAnsi="Book Antiqua"/>
          <w:sz w:val="20"/>
          <w:szCs w:val="20"/>
        </w:rPr>
      </w:pPr>
      <w:r w:rsidRPr="00D257ED">
        <w:rPr>
          <w:rFonts w:ascii="Book Antiqua" w:hAnsi="Book Antiqua"/>
          <w:b/>
          <w:sz w:val="20"/>
          <w:szCs w:val="20"/>
        </w:rPr>
        <w:t>Fuente:</w:t>
      </w:r>
      <w:r w:rsidRPr="00D257ED">
        <w:rPr>
          <w:rFonts w:ascii="Book Antiqua" w:hAnsi="Book Antiqua"/>
          <w:sz w:val="20"/>
          <w:szCs w:val="20"/>
        </w:rPr>
        <w:t xml:space="preserve"> Elaboración propia con datos e información suministrada en el repositorio del Project Online.</w:t>
      </w:r>
    </w:p>
    <w:p w14:paraId="5F0451E5" w14:textId="77777777" w:rsidR="00F71780" w:rsidRDefault="00F71780" w:rsidP="00F71780">
      <w:pPr>
        <w:spacing w:after="0"/>
        <w:jc w:val="both"/>
        <w:rPr>
          <w:rFonts w:ascii="Book Antiqua" w:hAnsi="Book Antiqua"/>
          <w:sz w:val="24"/>
          <w:szCs w:val="24"/>
        </w:rPr>
      </w:pPr>
    </w:p>
    <w:p w14:paraId="43C6AB4A" w14:textId="77777777" w:rsidR="00F71780" w:rsidRDefault="00F71780" w:rsidP="00F71780">
      <w:pPr>
        <w:spacing w:after="0"/>
        <w:jc w:val="both"/>
        <w:rPr>
          <w:rFonts w:ascii="Book Antiqua" w:hAnsi="Book Antiqua"/>
          <w:sz w:val="24"/>
          <w:szCs w:val="24"/>
        </w:rPr>
      </w:pPr>
      <w:r w:rsidRPr="4169B2B0">
        <w:rPr>
          <w:rFonts w:ascii="Book Antiqua" w:hAnsi="Book Antiqua"/>
          <w:sz w:val="24"/>
          <w:szCs w:val="24"/>
        </w:rPr>
        <w:t>Asimismo, en la siguiente tabla se muestra el detalle de proyectos que reportan retraso, pero no poseen asignados permisos con goce de salario:</w:t>
      </w:r>
    </w:p>
    <w:p w14:paraId="37A61258" w14:textId="42D00AB0" w:rsidR="00F71780" w:rsidRDefault="00F71780" w:rsidP="00F71780">
      <w:pPr>
        <w:spacing w:after="0"/>
        <w:jc w:val="both"/>
        <w:rPr>
          <w:rFonts w:ascii="Book Antiqua" w:hAnsi="Book Antiqua"/>
          <w:sz w:val="24"/>
          <w:szCs w:val="24"/>
          <w:highlight w:val="yellow"/>
        </w:rPr>
      </w:pPr>
    </w:p>
    <w:p w14:paraId="2C0D3FD7" w14:textId="77777777" w:rsidR="007274FF" w:rsidRDefault="007274FF" w:rsidP="00F71780">
      <w:pPr>
        <w:spacing w:after="0"/>
        <w:jc w:val="both"/>
        <w:rPr>
          <w:rFonts w:ascii="Book Antiqua" w:hAnsi="Book Antiqua"/>
          <w:sz w:val="24"/>
          <w:szCs w:val="24"/>
          <w:highlight w:val="yellow"/>
        </w:rPr>
      </w:pPr>
    </w:p>
    <w:p w14:paraId="0627E6E5" w14:textId="77777777" w:rsidR="007274FF" w:rsidRDefault="007274FF" w:rsidP="00F71780">
      <w:pPr>
        <w:spacing w:after="0"/>
        <w:jc w:val="both"/>
        <w:rPr>
          <w:rFonts w:ascii="Book Antiqua" w:hAnsi="Book Antiqua"/>
          <w:sz w:val="24"/>
          <w:szCs w:val="24"/>
          <w:highlight w:val="yellow"/>
        </w:rPr>
      </w:pPr>
    </w:p>
    <w:p w14:paraId="791A9959" w14:textId="4A83D364" w:rsidR="00F71780" w:rsidRDefault="00F71780" w:rsidP="00F71780">
      <w:pPr>
        <w:pStyle w:val="Descripcin"/>
        <w:keepNext/>
        <w:spacing w:after="0"/>
        <w:jc w:val="center"/>
        <w:rPr>
          <w:rFonts w:ascii="Book Antiqua" w:hAnsi="Book Antiqua" w:cs="&amp;quot"/>
          <w:b/>
          <w:i w:val="0"/>
          <w:iCs w:val="0"/>
          <w:color w:val="auto"/>
          <w:sz w:val="24"/>
          <w:szCs w:val="24"/>
        </w:rPr>
      </w:pPr>
      <w:bookmarkStart w:id="88" w:name="_Toc131155945"/>
      <w:bookmarkStart w:id="89" w:name="_Hlk120196436"/>
      <w:r w:rsidRPr="00A7495E">
        <w:rPr>
          <w:rFonts w:ascii="Book Antiqua" w:hAnsi="Book Antiqua" w:cs="&amp;quot"/>
          <w:b/>
          <w:i w:val="0"/>
          <w:iCs w:val="0"/>
          <w:color w:val="auto"/>
          <w:sz w:val="24"/>
          <w:szCs w:val="24"/>
        </w:rPr>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844144">
        <w:rPr>
          <w:rFonts w:ascii="Book Antiqua" w:hAnsi="Book Antiqua" w:cs="&amp;quot"/>
          <w:b/>
          <w:i w:val="0"/>
          <w:iCs w:val="0"/>
          <w:noProof/>
          <w:color w:val="auto"/>
          <w:sz w:val="24"/>
          <w:szCs w:val="24"/>
        </w:rPr>
        <w:t>22</w:t>
      </w:r>
      <w:r w:rsidRPr="00A7495E">
        <w:rPr>
          <w:rFonts w:ascii="Book Antiqua" w:hAnsi="Book Antiqua" w:cs="&amp;quot"/>
          <w:b/>
          <w:i w:val="0"/>
          <w:iCs w:val="0"/>
          <w:color w:val="auto"/>
          <w:sz w:val="24"/>
          <w:szCs w:val="24"/>
        </w:rPr>
        <w:fldChar w:fldCharType="end"/>
      </w:r>
      <w:r w:rsidRPr="00A7495E">
        <w:rPr>
          <w:rFonts w:ascii="Book Antiqua" w:hAnsi="Book Antiqua" w:cs="&amp;quot"/>
          <w:b/>
          <w:i w:val="0"/>
          <w:iCs w:val="0"/>
          <w:color w:val="auto"/>
          <w:sz w:val="24"/>
          <w:szCs w:val="24"/>
        </w:rPr>
        <w:t xml:space="preserve">. Detalle de proyectos que reportan retraso y que </w:t>
      </w:r>
      <w:r w:rsidR="00C22994">
        <w:rPr>
          <w:rFonts w:ascii="Book Antiqua" w:hAnsi="Book Antiqua" w:cs="&amp;quot"/>
          <w:b/>
          <w:i w:val="0"/>
          <w:iCs w:val="0"/>
          <w:color w:val="auto"/>
          <w:sz w:val="24"/>
          <w:szCs w:val="24"/>
        </w:rPr>
        <w:t>no</w:t>
      </w:r>
      <w:r w:rsidRPr="00A7495E">
        <w:rPr>
          <w:rFonts w:ascii="Book Antiqua" w:hAnsi="Book Antiqua" w:cs="&amp;quot"/>
          <w:b/>
          <w:i w:val="0"/>
          <w:iCs w:val="0"/>
          <w:color w:val="auto"/>
          <w:sz w:val="24"/>
          <w:szCs w:val="24"/>
        </w:rPr>
        <w:t xml:space="preserve"> poseen PCGS</w:t>
      </w:r>
      <w:bookmarkEnd w:id="88"/>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9"/>
        <w:gridCol w:w="1097"/>
        <w:gridCol w:w="882"/>
        <w:gridCol w:w="916"/>
        <w:gridCol w:w="2595"/>
        <w:gridCol w:w="952"/>
        <w:gridCol w:w="565"/>
        <w:gridCol w:w="1248"/>
      </w:tblGrid>
      <w:tr w:rsidR="00DA5591" w:rsidRPr="00DA5591" w14:paraId="2C75945A" w14:textId="77777777" w:rsidTr="00844144">
        <w:trPr>
          <w:trHeight w:val="765"/>
          <w:tblHeader/>
        </w:trPr>
        <w:tc>
          <w:tcPr>
            <w:tcW w:w="705"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601C39EE" w14:textId="77777777" w:rsidR="00DA5591" w:rsidRPr="00DA5591" w:rsidRDefault="00DA5591" w:rsidP="00DA5591">
            <w:pPr>
              <w:spacing w:after="0" w:line="240" w:lineRule="auto"/>
              <w:jc w:val="center"/>
              <w:textAlignment w:val="baseline"/>
              <w:rPr>
                <w:rFonts w:ascii="Segoe UI" w:eastAsia="Times New Roman" w:hAnsi="Segoe UI" w:cs="Segoe UI"/>
                <w:sz w:val="18"/>
                <w:szCs w:val="18"/>
                <w:lang w:eastAsia="es-CR"/>
              </w:rPr>
            </w:pPr>
            <w:r w:rsidRPr="00DA5591">
              <w:rPr>
                <w:rFonts w:ascii="Book Antiqua" w:eastAsia="Times New Roman" w:hAnsi="Book Antiqua" w:cs="Segoe UI"/>
                <w:b/>
                <w:bCs/>
                <w:color w:val="FFFFFF"/>
                <w:sz w:val="14"/>
                <w:szCs w:val="14"/>
                <w:lang w:eastAsia="es-CR"/>
              </w:rPr>
              <w:t>Código</w:t>
            </w:r>
            <w:r w:rsidRPr="00DA5591">
              <w:rPr>
                <w:rFonts w:ascii="Book Antiqua" w:eastAsia="Times New Roman" w:hAnsi="Book Antiqua" w:cs="Segoe UI"/>
                <w:color w:val="FFFFFF"/>
                <w:sz w:val="14"/>
                <w:szCs w:val="14"/>
                <w:lang w:eastAsia="es-CR"/>
              </w:rPr>
              <w:t> </w:t>
            </w:r>
          </w:p>
        </w:tc>
        <w:tc>
          <w:tcPr>
            <w:tcW w:w="1125"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35E75ACB" w14:textId="77777777" w:rsidR="00DA5591" w:rsidRPr="00DA5591" w:rsidRDefault="00DA5591" w:rsidP="00DA5591">
            <w:pPr>
              <w:spacing w:after="0" w:line="240" w:lineRule="auto"/>
              <w:jc w:val="center"/>
              <w:textAlignment w:val="baseline"/>
              <w:rPr>
                <w:rFonts w:ascii="Segoe UI" w:eastAsia="Times New Roman" w:hAnsi="Segoe UI" w:cs="Segoe UI"/>
                <w:sz w:val="18"/>
                <w:szCs w:val="18"/>
                <w:lang w:eastAsia="es-CR"/>
              </w:rPr>
            </w:pPr>
            <w:r w:rsidRPr="00DA5591">
              <w:rPr>
                <w:rFonts w:ascii="Book Antiqua" w:eastAsia="Times New Roman" w:hAnsi="Book Antiqua" w:cs="Segoe UI"/>
                <w:b/>
                <w:bCs/>
                <w:color w:val="FFFFFF"/>
                <w:sz w:val="14"/>
                <w:szCs w:val="14"/>
                <w:lang w:eastAsia="es-CR"/>
              </w:rPr>
              <w:t>Nombre del proyecto</w:t>
            </w:r>
            <w:r w:rsidRPr="00DA5591">
              <w:rPr>
                <w:rFonts w:ascii="Book Antiqua" w:eastAsia="Times New Roman" w:hAnsi="Book Antiqua" w:cs="Segoe UI"/>
                <w:color w:val="FFFFFF"/>
                <w:sz w:val="14"/>
                <w:szCs w:val="14"/>
                <w:lang w:eastAsia="es-CR"/>
              </w:rPr>
              <w:t> </w:t>
            </w:r>
          </w:p>
        </w:tc>
        <w:tc>
          <w:tcPr>
            <w:tcW w:w="945"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0792F6D7" w14:textId="77777777" w:rsidR="00DA5591" w:rsidRPr="00DA5591" w:rsidRDefault="00DA5591" w:rsidP="00DA5591">
            <w:pPr>
              <w:spacing w:after="0" w:line="240" w:lineRule="auto"/>
              <w:jc w:val="center"/>
              <w:textAlignment w:val="baseline"/>
              <w:rPr>
                <w:rFonts w:ascii="Segoe UI" w:eastAsia="Times New Roman" w:hAnsi="Segoe UI" w:cs="Segoe UI"/>
                <w:sz w:val="18"/>
                <w:szCs w:val="18"/>
                <w:lang w:eastAsia="es-CR"/>
              </w:rPr>
            </w:pPr>
            <w:r w:rsidRPr="00DA5591">
              <w:rPr>
                <w:rFonts w:ascii="Book Antiqua" w:eastAsia="Times New Roman" w:hAnsi="Book Antiqua" w:cs="Segoe UI"/>
                <w:b/>
                <w:bCs/>
                <w:color w:val="FFFFFF"/>
                <w:sz w:val="14"/>
                <w:szCs w:val="14"/>
                <w:lang w:eastAsia="es-CR"/>
              </w:rPr>
              <w:t>Porcentaje Actual al 28/04/23</w:t>
            </w:r>
            <w:r w:rsidRPr="00DA5591">
              <w:rPr>
                <w:rFonts w:ascii="Book Antiqua" w:eastAsia="Times New Roman" w:hAnsi="Book Antiqua" w:cs="Segoe UI"/>
                <w:color w:val="FFFFFF"/>
                <w:sz w:val="14"/>
                <w:szCs w:val="14"/>
                <w:lang w:eastAsia="es-CR"/>
              </w:rPr>
              <w:t> </w:t>
            </w:r>
          </w:p>
        </w:tc>
        <w:tc>
          <w:tcPr>
            <w:tcW w:w="990"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2C144875" w14:textId="77777777" w:rsidR="00DA5591" w:rsidRPr="00DA5591" w:rsidRDefault="00DA5591" w:rsidP="00DA5591">
            <w:pPr>
              <w:spacing w:after="0" w:line="240" w:lineRule="auto"/>
              <w:jc w:val="center"/>
              <w:textAlignment w:val="baseline"/>
              <w:rPr>
                <w:rFonts w:ascii="Segoe UI" w:eastAsia="Times New Roman" w:hAnsi="Segoe UI" w:cs="Segoe UI"/>
                <w:sz w:val="18"/>
                <w:szCs w:val="18"/>
                <w:lang w:eastAsia="es-CR"/>
              </w:rPr>
            </w:pPr>
            <w:r w:rsidRPr="00DA5591">
              <w:rPr>
                <w:rFonts w:ascii="Book Antiqua" w:eastAsia="Times New Roman" w:hAnsi="Book Antiqua" w:cs="Segoe UI"/>
                <w:b/>
                <w:bCs/>
                <w:color w:val="FFFFFF"/>
                <w:sz w:val="14"/>
                <w:szCs w:val="14"/>
                <w:lang w:eastAsia="es-CR"/>
              </w:rPr>
              <w:t>Porcentaje Esperado al 28/04/23</w:t>
            </w:r>
            <w:r w:rsidRPr="00DA5591">
              <w:rPr>
                <w:rFonts w:ascii="Book Antiqua" w:eastAsia="Times New Roman" w:hAnsi="Book Antiqua" w:cs="Segoe UI"/>
                <w:color w:val="FFFFFF"/>
                <w:sz w:val="14"/>
                <w:szCs w:val="14"/>
                <w:lang w:eastAsia="es-CR"/>
              </w:rPr>
              <w:t> </w:t>
            </w:r>
          </w:p>
        </w:tc>
        <w:tc>
          <w:tcPr>
            <w:tcW w:w="3105"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212C8CBE" w14:textId="77777777" w:rsidR="00DA5591" w:rsidRPr="00DA5591" w:rsidRDefault="00DA5591" w:rsidP="00DA5591">
            <w:pPr>
              <w:spacing w:after="0" w:line="240" w:lineRule="auto"/>
              <w:jc w:val="center"/>
              <w:textAlignment w:val="baseline"/>
              <w:rPr>
                <w:rFonts w:ascii="Segoe UI" w:eastAsia="Times New Roman" w:hAnsi="Segoe UI" w:cs="Segoe UI"/>
                <w:sz w:val="18"/>
                <w:szCs w:val="18"/>
                <w:lang w:eastAsia="es-CR"/>
              </w:rPr>
            </w:pPr>
            <w:r w:rsidRPr="00DA5591">
              <w:rPr>
                <w:rFonts w:ascii="Book Antiqua" w:eastAsia="Times New Roman" w:hAnsi="Book Antiqua" w:cs="Segoe UI"/>
                <w:b/>
                <w:bCs/>
                <w:color w:val="FFFFFF"/>
                <w:sz w:val="14"/>
                <w:szCs w:val="14"/>
                <w:lang w:eastAsia="es-CR"/>
              </w:rPr>
              <w:t>Justificación</w:t>
            </w:r>
            <w:r w:rsidRPr="00DA5591">
              <w:rPr>
                <w:rFonts w:ascii="Book Antiqua" w:eastAsia="Times New Roman" w:hAnsi="Book Antiqua" w:cs="Segoe UI"/>
                <w:color w:val="FFFFFF"/>
                <w:sz w:val="14"/>
                <w:szCs w:val="14"/>
                <w:lang w:eastAsia="es-CR"/>
              </w:rPr>
              <w:t> </w:t>
            </w:r>
          </w:p>
        </w:tc>
        <w:tc>
          <w:tcPr>
            <w:tcW w:w="990"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45201F81" w14:textId="77777777" w:rsidR="00DA5591" w:rsidRPr="00DA5591" w:rsidRDefault="00DA5591" w:rsidP="00DA5591">
            <w:pPr>
              <w:spacing w:after="0" w:line="240" w:lineRule="auto"/>
              <w:jc w:val="center"/>
              <w:textAlignment w:val="baseline"/>
              <w:rPr>
                <w:rFonts w:ascii="Segoe UI" w:eastAsia="Times New Roman" w:hAnsi="Segoe UI" w:cs="Segoe UI"/>
                <w:sz w:val="18"/>
                <w:szCs w:val="18"/>
                <w:lang w:eastAsia="es-CR"/>
              </w:rPr>
            </w:pPr>
            <w:r w:rsidRPr="00DA5591">
              <w:rPr>
                <w:rFonts w:ascii="Book Antiqua" w:eastAsia="Times New Roman" w:hAnsi="Book Antiqua" w:cs="Segoe UI"/>
                <w:b/>
                <w:bCs/>
                <w:color w:val="FFFFFF"/>
                <w:sz w:val="14"/>
                <w:szCs w:val="14"/>
                <w:lang w:eastAsia="es-CR"/>
              </w:rPr>
              <w:t>Tipo de afectación</w:t>
            </w:r>
            <w:r w:rsidRPr="00DA5591">
              <w:rPr>
                <w:rFonts w:ascii="Book Antiqua" w:eastAsia="Times New Roman" w:hAnsi="Book Antiqua" w:cs="Segoe UI"/>
                <w:color w:val="FFFFFF"/>
                <w:sz w:val="14"/>
                <w:szCs w:val="14"/>
                <w:lang w:eastAsia="es-CR"/>
              </w:rPr>
              <w:t> </w:t>
            </w:r>
          </w:p>
        </w:tc>
        <w:tc>
          <w:tcPr>
            <w:tcW w:w="585"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7C656077" w14:textId="77777777" w:rsidR="00DA5591" w:rsidRPr="00DA5591" w:rsidRDefault="00DA5591" w:rsidP="00DA5591">
            <w:pPr>
              <w:spacing w:after="0" w:line="240" w:lineRule="auto"/>
              <w:jc w:val="center"/>
              <w:textAlignment w:val="baseline"/>
              <w:rPr>
                <w:rFonts w:ascii="Segoe UI" w:eastAsia="Times New Roman" w:hAnsi="Segoe UI" w:cs="Segoe UI"/>
                <w:sz w:val="18"/>
                <w:szCs w:val="18"/>
                <w:lang w:eastAsia="es-CR"/>
              </w:rPr>
            </w:pPr>
            <w:r w:rsidRPr="00DA5591">
              <w:rPr>
                <w:rFonts w:ascii="Book Antiqua" w:eastAsia="Times New Roman" w:hAnsi="Book Antiqua" w:cs="Segoe UI"/>
                <w:b/>
                <w:bCs/>
                <w:color w:val="FFFFFF"/>
                <w:sz w:val="14"/>
                <w:szCs w:val="14"/>
                <w:lang w:eastAsia="es-CR"/>
              </w:rPr>
              <w:t>¿Tiene PCGS?</w:t>
            </w:r>
            <w:r w:rsidRPr="00DA5591">
              <w:rPr>
                <w:rFonts w:ascii="Book Antiqua" w:eastAsia="Times New Roman" w:hAnsi="Book Antiqua" w:cs="Segoe UI"/>
                <w:color w:val="FFFFFF"/>
                <w:sz w:val="14"/>
                <w:szCs w:val="14"/>
                <w:lang w:eastAsia="es-CR"/>
              </w:rPr>
              <w:t> </w:t>
            </w:r>
          </w:p>
        </w:tc>
        <w:tc>
          <w:tcPr>
            <w:tcW w:w="1380"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5832B5CE" w14:textId="77777777" w:rsidR="00DA5591" w:rsidRPr="00DA5591" w:rsidRDefault="00DA5591" w:rsidP="00DA5591">
            <w:pPr>
              <w:spacing w:after="0" w:line="240" w:lineRule="auto"/>
              <w:jc w:val="center"/>
              <w:textAlignment w:val="baseline"/>
              <w:rPr>
                <w:rFonts w:ascii="Segoe UI" w:eastAsia="Times New Roman" w:hAnsi="Segoe UI" w:cs="Segoe UI"/>
                <w:sz w:val="18"/>
                <w:szCs w:val="18"/>
                <w:lang w:eastAsia="es-CR"/>
              </w:rPr>
            </w:pPr>
            <w:r w:rsidRPr="00DA5591">
              <w:rPr>
                <w:rFonts w:ascii="Book Antiqua" w:eastAsia="Times New Roman" w:hAnsi="Book Antiqua" w:cs="Segoe UI"/>
                <w:b/>
                <w:bCs/>
                <w:color w:val="FFFFFF"/>
                <w:sz w:val="14"/>
                <w:szCs w:val="14"/>
                <w:lang w:eastAsia="es-CR"/>
              </w:rPr>
              <w:t>Solicitud de cambio</w:t>
            </w:r>
            <w:r w:rsidRPr="00DA5591">
              <w:rPr>
                <w:rFonts w:ascii="Book Antiqua" w:eastAsia="Times New Roman" w:hAnsi="Book Antiqua" w:cs="Segoe UI"/>
                <w:color w:val="FFFFFF"/>
                <w:sz w:val="14"/>
                <w:szCs w:val="14"/>
                <w:lang w:eastAsia="es-CR"/>
              </w:rPr>
              <w:t> </w:t>
            </w:r>
          </w:p>
        </w:tc>
      </w:tr>
      <w:tr w:rsidR="00DA5591" w:rsidRPr="00DA5591" w14:paraId="0931A6C4" w14:textId="77777777" w:rsidTr="00DA5591">
        <w:trPr>
          <w:trHeight w:val="1395"/>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C9057B" w14:textId="77777777" w:rsidR="00DA5591" w:rsidRPr="00DA5591" w:rsidRDefault="00DA5591" w:rsidP="00DA5591">
            <w:pPr>
              <w:spacing w:after="0" w:line="240" w:lineRule="auto"/>
              <w:jc w:val="center"/>
              <w:textAlignment w:val="baseline"/>
              <w:rPr>
                <w:rFonts w:ascii="Segoe UI" w:eastAsia="Times New Roman" w:hAnsi="Segoe UI" w:cs="Segoe UI"/>
                <w:sz w:val="18"/>
                <w:szCs w:val="18"/>
                <w:lang w:eastAsia="es-CR"/>
              </w:rPr>
            </w:pPr>
            <w:r w:rsidRPr="00DA5591">
              <w:rPr>
                <w:rFonts w:ascii="Book Antiqua" w:eastAsia="Times New Roman" w:hAnsi="Book Antiqua" w:cs="Segoe UI"/>
                <w:color w:val="000000"/>
                <w:sz w:val="14"/>
                <w:szCs w:val="14"/>
                <w:lang w:eastAsia="es-CR"/>
              </w:rPr>
              <w:t>0134-DGH-P04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E40FC7" w14:textId="77777777" w:rsidR="00DA5591" w:rsidRPr="00DA5591" w:rsidRDefault="00DA5591" w:rsidP="00DA5591">
            <w:pPr>
              <w:spacing w:after="0" w:line="240" w:lineRule="auto"/>
              <w:jc w:val="center"/>
              <w:textAlignment w:val="baseline"/>
              <w:rPr>
                <w:rFonts w:ascii="Segoe UI" w:eastAsia="Times New Roman" w:hAnsi="Segoe UI" w:cs="Segoe UI"/>
                <w:sz w:val="18"/>
                <w:szCs w:val="18"/>
                <w:lang w:eastAsia="es-CR"/>
              </w:rPr>
            </w:pPr>
            <w:r w:rsidRPr="00DA5591">
              <w:rPr>
                <w:rFonts w:ascii="Book Antiqua" w:eastAsia="Times New Roman" w:hAnsi="Book Antiqua" w:cs="Segoe UI"/>
                <w:color w:val="000000"/>
                <w:sz w:val="14"/>
                <w:szCs w:val="14"/>
                <w:lang w:eastAsia="es-CR"/>
              </w:rPr>
              <w:t>Estandarización del proceso de reclutamiento y selección </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73E4C29" w14:textId="77777777" w:rsidR="00DA5591" w:rsidRPr="00DA5591" w:rsidRDefault="00DA5591" w:rsidP="00DA5591">
            <w:pPr>
              <w:spacing w:after="0" w:line="240" w:lineRule="auto"/>
              <w:jc w:val="center"/>
              <w:textAlignment w:val="baseline"/>
              <w:rPr>
                <w:rFonts w:ascii="Segoe UI" w:eastAsia="Times New Roman" w:hAnsi="Segoe UI" w:cs="Segoe UI"/>
                <w:sz w:val="18"/>
                <w:szCs w:val="18"/>
                <w:lang w:eastAsia="es-CR"/>
              </w:rPr>
            </w:pPr>
            <w:r w:rsidRPr="00DA5591">
              <w:rPr>
                <w:rFonts w:ascii="Book Antiqua" w:eastAsia="Times New Roman" w:hAnsi="Book Antiqua" w:cs="Segoe UI"/>
                <w:color w:val="000000"/>
                <w:sz w:val="14"/>
                <w:szCs w:val="14"/>
                <w:lang w:eastAsia="es-CR"/>
              </w:rPr>
              <w:t>53 % </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BFCBF4D" w14:textId="77777777" w:rsidR="00DA5591" w:rsidRPr="00DA5591" w:rsidRDefault="00DA5591" w:rsidP="00DA5591">
            <w:pPr>
              <w:spacing w:after="0" w:line="240" w:lineRule="auto"/>
              <w:jc w:val="center"/>
              <w:textAlignment w:val="baseline"/>
              <w:rPr>
                <w:rFonts w:ascii="Segoe UI" w:eastAsia="Times New Roman" w:hAnsi="Segoe UI" w:cs="Segoe UI"/>
                <w:sz w:val="18"/>
                <w:szCs w:val="18"/>
                <w:lang w:eastAsia="es-CR"/>
              </w:rPr>
            </w:pPr>
            <w:r w:rsidRPr="00DA5591">
              <w:rPr>
                <w:rFonts w:ascii="Book Antiqua" w:eastAsia="Times New Roman" w:hAnsi="Book Antiqua" w:cs="Segoe UI"/>
                <w:color w:val="000000"/>
                <w:sz w:val="14"/>
                <w:szCs w:val="14"/>
                <w:lang w:eastAsia="es-CR"/>
              </w:rPr>
              <w:t>67 %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43B0EF" w14:textId="77777777" w:rsidR="00DA5591" w:rsidRPr="00DA5591" w:rsidRDefault="00DA5591" w:rsidP="00DA5591">
            <w:pPr>
              <w:spacing w:after="0" w:line="240" w:lineRule="auto"/>
              <w:jc w:val="both"/>
              <w:textAlignment w:val="baseline"/>
              <w:rPr>
                <w:rFonts w:ascii="Segoe UI" w:eastAsia="Times New Roman" w:hAnsi="Segoe UI" w:cs="Segoe UI"/>
                <w:sz w:val="18"/>
                <w:szCs w:val="18"/>
                <w:lang w:eastAsia="es-CR"/>
              </w:rPr>
            </w:pPr>
            <w:r w:rsidRPr="00DA5591">
              <w:rPr>
                <w:rFonts w:ascii="Book Antiqua" w:eastAsia="Times New Roman" w:hAnsi="Book Antiqua" w:cs="Segoe UI"/>
                <w:color w:val="000000"/>
                <w:sz w:val="14"/>
                <w:szCs w:val="14"/>
                <w:lang w:eastAsia="es-CR"/>
              </w:rPr>
              <w:t>El presente proyecto se encuentra condicionado a la reforma de la Ley Marco de Empleo Público que se encuentra en este momento en desarrollo, pues se tiene que valorar las implicaciones y el impacto directo en los procesos selectivos a cargo de la Sección de Reclutamiento y Selección, ya que impide actualmente la confección de una propuesta ajustada a la nueva realidad institucional y nacional en el tema de estandarización de los procesos.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E79100" w14:textId="77777777" w:rsidR="00DA5591" w:rsidRPr="00DA5591" w:rsidRDefault="00DA5591" w:rsidP="00DA5591">
            <w:pPr>
              <w:spacing w:after="0" w:line="240" w:lineRule="auto"/>
              <w:jc w:val="center"/>
              <w:textAlignment w:val="baseline"/>
              <w:rPr>
                <w:rFonts w:ascii="Segoe UI" w:eastAsia="Times New Roman" w:hAnsi="Segoe UI" w:cs="Segoe UI"/>
                <w:sz w:val="18"/>
                <w:szCs w:val="18"/>
                <w:lang w:eastAsia="es-CR"/>
              </w:rPr>
            </w:pPr>
            <w:r w:rsidRPr="00DA5591">
              <w:rPr>
                <w:rFonts w:ascii="Book Antiqua" w:eastAsia="Times New Roman" w:hAnsi="Book Antiqua" w:cs="Segoe UI"/>
                <w:color w:val="000000"/>
                <w:sz w:val="14"/>
                <w:szCs w:val="14"/>
                <w:lang w:eastAsia="es-CR"/>
              </w:rPr>
              <w:t>Dependencia de otro órgano </w:t>
            </w:r>
          </w:p>
        </w:tc>
        <w:tc>
          <w:tcPr>
            <w:tcW w:w="58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BB26E1D" w14:textId="77777777" w:rsidR="00DA5591" w:rsidRPr="00DA5591" w:rsidRDefault="00DA5591" w:rsidP="00DA5591">
            <w:pPr>
              <w:spacing w:after="0" w:line="240" w:lineRule="auto"/>
              <w:jc w:val="center"/>
              <w:textAlignment w:val="baseline"/>
              <w:rPr>
                <w:rFonts w:ascii="Segoe UI" w:eastAsia="Times New Roman" w:hAnsi="Segoe UI" w:cs="Segoe UI"/>
                <w:sz w:val="18"/>
                <w:szCs w:val="18"/>
                <w:lang w:eastAsia="es-CR"/>
              </w:rPr>
            </w:pPr>
            <w:r w:rsidRPr="00DA5591">
              <w:rPr>
                <w:rFonts w:ascii="Book Antiqua" w:eastAsia="Times New Roman" w:hAnsi="Book Antiqua" w:cs="Segoe UI"/>
                <w:color w:val="000000"/>
                <w:sz w:val="14"/>
                <w:szCs w:val="14"/>
                <w:lang w:eastAsia="es-CR"/>
              </w:rPr>
              <w:t>No </w:t>
            </w:r>
          </w:p>
        </w:tc>
        <w:tc>
          <w:tcPr>
            <w:tcW w:w="13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7372275" w14:textId="77777777" w:rsidR="00DA5591" w:rsidRPr="00DA5591" w:rsidRDefault="00DA5591" w:rsidP="00DA5591">
            <w:pPr>
              <w:spacing w:after="0" w:line="240" w:lineRule="auto"/>
              <w:jc w:val="center"/>
              <w:textAlignment w:val="baseline"/>
              <w:rPr>
                <w:rFonts w:ascii="Segoe UI" w:eastAsia="Times New Roman" w:hAnsi="Segoe UI" w:cs="Segoe UI"/>
                <w:sz w:val="18"/>
                <w:szCs w:val="18"/>
                <w:lang w:eastAsia="es-CR"/>
              </w:rPr>
            </w:pPr>
            <w:r w:rsidRPr="00DA5591">
              <w:rPr>
                <w:rFonts w:ascii="Book Antiqua" w:eastAsia="Times New Roman" w:hAnsi="Book Antiqua" w:cs="Segoe UI"/>
                <w:color w:val="000000"/>
                <w:sz w:val="14"/>
                <w:szCs w:val="14"/>
                <w:lang w:eastAsia="es-CR"/>
              </w:rPr>
              <w:t>Se elabora solicitud de cambio pero no se modifica cronograma, por lo cual se continua con retraso a espera de reunión para ver modificación de cronograma. </w:t>
            </w:r>
          </w:p>
        </w:tc>
      </w:tr>
      <w:tr w:rsidR="00DA5591" w:rsidRPr="00DA5591" w14:paraId="4DBD82BA" w14:textId="77777777" w:rsidTr="00DA5591">
        <w:trPr>
          <w:trHeight w:val="285"/>
        </w:trPr>
        <w:tc>
          <w:tcPr>
            <w:tcW w:w="7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0D772E3" w14:textId="77777777" w:rsidR="00DA5591" w:rsidRPr="00DA5591" w:rsidRDefault="00DA5591" w:rsidP="00DA5591">
            <w:pPr>
              <w:spacing w:after="0" w:line="240" w:lineRule="auto"/>
              <w:jc w:val="center"/>
              <w:textAlignment w:val="baseline"/>
              <w:rPr>
                <w:rFonts w:ascii="Segoe UI" w:eastAsia="Times New Roman" w:hAnsi="Segoe UI" w:cs="Segoe UI"/>
                <w:sz w:val="18"/>
                <w:szCs w:val="18"/>
                <w:lang w:eastAsia="es-CR"/>
              </w:rPr>
            </w:pPr>
            <w:r w:rsidRPr="00DA5591">
              <w:rPr>
                <w:rFonts w:ascii="Book Antiqua" w:eastAsia="Times New Roman" w:hAnsi="Book Antiqua" w:cs="Segoe UI"/>
                <w:color w:val="000000"/>
                <w:sz w:val="14"/>
                <w:szCs w:val="14"/>
                <w:lang w:eastAsia="es-CR"/>
              </w:rPr>
              <w:t>9993-CAJ-P02 </w:t>
            </w:r>
          </w:p>
        </w:tc>
        <w:tc>
          <w:tcPr>
            <w:tcW w:w="11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45F4574" w14:textId="77777777" w:rsidR="00DA5591" w:rsidRPr="00DA5591" w:rsidRDefault="00DA5591" w:rsidP="00DA5591">
            <w:pPr>
              <w:spacing w:after="0" w:line="240" w:lineRule="auto"/>
              <w:jc w:val="center"/>
              <w:textAlignment w:val="baseline"/>
              <w:rPr>
                <w:rFonts w:ascii="Segoe UI" w:eastAsia="Times New Roman" w:hAnsi="Segoe UI" w:cs="Segoe UI"/>
                <w:sz w:val="18"/>
                <w:szCs w:val="18"/>
                <w:lang w:eastAsia="es-CR"/>
              </w:rPr>
            </w:pPr>
            <w:r w:rsidRPr="00DA5591">
              <w:rPr>
                <w:rFonts w:ascii="Book Antiqua" w:eastAsia="Times New Roman" w:hAnsi="Book Antiqua" w:cs="Segoe UI"/>
                <w:color w:val="000000"/>
                <w:sz w:val="14"/>
                <w:szCs w:val="14"/>
                <w:lang w:eastAsia="es-CR"/>
              </w:rPr>
              <w:t xml:space="preserve">Actualización de la Política para el Acceso a la Justicia y </w:t>
            </w:r>
            <w:r w:rsidRPr="00DA5591">
              <w:rPr>
                <w:rFonts w:ascii="Book Antiqua" w:eastAsia="Times New Roman" w:hAnsi="Book Antiqua" w:cs="Segoe UI"/>
                <w:color w:val="000000"/>
                <w:sz w:val="14"/>
                <w:szCs w:val="14"/>
                <w:lang w:eastAsia="es-CR"/>
              </w:rPr>
              <w:lastRenderedPageBreak/>
              <w:t>Equiparación de Oportunidades de Personas en situación de discapacidad </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5F86EED" w14:textId="77777777" w:rsidR="00DA5591" w:rsidRPr="00DA5591" w:rsidRDefault="00DA5591" w:rsidP="00DA5591">
            <w:pPr>
              <w:spacing w:after="0" w:line="240" w:lineRule="auto"/>
              <w:jc w:val="center"/>
              <w:textAlignment w:val="baseline"/>
              <w:rPr>
                <w:rFonts w:ascii="Segoe UI" w:eastAsia="Times New Roman" w:hAnsi="Segoe UI" w:cs="Segoe UI"/>
                <w:sz w:val="18"/>
                <w:szCs w:val="18"/>
                <w:lang w:eastAsia="es-CR"/>
              </w:rPr>
            </w:pPr>
            <w:r w:rsidRPr="00DA5591">
              <w:rPr>
                <w:rFonts w:ascii="Book Antiqua" w:eastAsia="Times New Roman" w:hAnsi="Book Antiqua" w:cs="Segoe UI"/>
                <w:color w:val="000000"/>
                <w:sz w:val="14"/>
                <w:szCs w:val="14"/>
                <w:lang w:eastAsia="es-CR"/>
              </w:rPr>
              <w:lastRenderedPageBreak/>
              <w:t>69 % </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6C43046" w14:textId="77777777" w:rsidR="00DA5591" w:rsidRPr="00DA5591" w:rsidRDefault="00DA5591" w:rsidP="00DA5591">
            <w:pPr>
              <w:spacing w:after="0" w:line="240" w:lineRule="auto"/>
              <w:jc w:val="center"/>
              <w:textAlignment w:val="baseline"/>
              <w:rPr>
                <w:rFonts w:ascii="Segoe UI" w:eastAsia="Times New Roman" w:hAnsi="Segoe UI" w:cs="Segoe UI"/>
                <w:sz w:val="18"/>
                <w:szCs w:val="18"/>
                <w:lang w:eastAsia="es-CR"/>
              </w:rPr>
            </w:pPr>
            <w:r w:rsidRPr="00DA5591">
              <w:rPr>
                <w:rFonts w:ascii="Book Antiqua" w:eastAsia="Times New Roman" w:hAnsi="Book Antiqua" w:cs="Segoe UI"/>
                <w:color w:val="000000"/>
                <w:sz w:val="14"/>
                <w:szCs w:val="14"/>
                <w:lang w:eastAsia="es-CR"/>
              </w:rPr>
              <w:t>75 %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7CAD6B" w14:textId="77777777" w:rsidR="00DA5591" w:rsidRPr="00DA5591" w:rsidRDefault="00DA5591" w:rsidP="00DA5591">
            <w:pPr>
              <w:spacing w:after="0" w:line="240" w:lineRule="auto"/>
              <w:jc w:val="both"/>
              <w:textAlignment w:val="baseline"/>
              <w:rPr>
                <w:rFonts w:ascii="Segoe UI" w:eastAsia="Times New Roman" w:hAnsi="Segoe UI" w:cs="Segoe UI"/>
                <w:sz w:val="18"/>
                <w:szCs w:val="18"/>
                <w:lang w:eastAsia="es-CR"/>
              </w:rPr>
            </w:pPr>
            <w:r w:rsidRPr="00DA5591">
              <w:rPr>
                <w:rFonts w:ascii="Book Antiqua" w:eastAsia="Times New Roman" w:hAnsi="Book Antiqua" w:cs="Segoe UI"/>
                <w:color w:val="000000"/>
                <w:sz w:val="14"/>
                <w:szCs w:val="14"/>
                <w:lang w:val="es-ES" w:eastAsia="es-CR"/>
              </w:rPr>
              <w:t xml:space="preserve">El proyecto presenta un retraso en su ejecución de un 6% respecto de lo esperado que es un 75%. Esto se debe a que las actividades que continúan según </w:t>
            </w:r>
            <w:r w:rsidRPr="00DA5591">
              <w:rPr>
                <w:rFonts w:ascii="Book Antiqua" w:eastAsia="Times New Roman" w:hAnsi="Book Antiqua" w:cs="Segoe UI"/>
                <w:color w:val="000000"/>
                <w:sz w:val="14"/>
                <w:szCs w:val="14"/>
                <w:lang w:val="es-ES" w:eastAsia="es-CR"/>
              </w:rPr>
              <w:lastRenderedPageBreak/>
              <w:t>el plan de proyecto se refieren a “</w:t>
            </w:r>
            <w:r w:rsidRPr="00DA5591">
              <w:rPr>
                <w:rFonts w:ascii="Book Antiqua" w:eastAsia="Times New Roman" w:hAnsi="Book Antiqua" w:cs="Segoe UI"/>
                <w:i/>
                <w:iCs/>
                <w:color w:val="000000"/>
                <w:sz w:val="14"/>
                <w:szCs w:val="14"/>
                <w:lang w:val="es-ES" w:eastAsia="es-CR"/>
              </w:rPr>
              <w:t>Organización de actividades con el Foro consultivo, definición de otras poblaciones meta, cronograma, coordinaciones de lugar, permisos y otros</w:t>
            </w:r>
            <w:r w:rsidRPr="00DA5591">
              <w:rPr>
                <w:rFonts w:ascii="Book Antiqua" w:eastAsia="Times New Roman" w:hAnsi="Book Antiqua" w:cs="Segoe UI"/>
                <w:color w:val="000000"/>
                <w:sz w:val="14"/>
                <w:szCs w:val="14"/>
                <w:lang w:val="es-ES" w:eastAsia="es-CR"/>
              </w:rPr>
              <w:t>”; sin embargo, ha sido consultado al CONAPDIS, primeramente, mediante correo electrónico y, posteriormente, mediante oficio, para saber cuál es la integración del Foro Consultivo y proceder con las acciones respectivas, pero no se ha obtenido respuesta alguna.</w:t>
            </w:r>
            <w:r w:rsidRPr="00DA5591">
              <w:rPr>
                <w:rFonts w:ascii="Book Antiqua" w:eastAsia="Times New Roman" w:hAnsi="Book Antiqua" w:cs="Segoe UI"/>
                <w:color w:val="000000"/>
                <w:sz w:val="14"/>
                <w:szCs w:val="14"/>
                <w:lang w:eastAsia="es-CR"/>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15C05A" w14:textId="77777777" w:rsidR="00DA5591" w:rsidRPr="00DA5591" w:rsidRDefault="00DA5591" w:rsidP="00DA5591">
            <w:pPr>
              <w:spacing w:after="0" w:line="240" w:lineRule="auto"/>
              <w:jc w:val="center"/>
              <w:textAlignment w:val="baseline"/>
              <w:rPr>
                <w:rFonts w:ascii="Segoe UI" w:eastAsia="Times New Roman" w:hAnsi="Segoe UI" w:cs="Segoe UI"/>
                <w:sz w:val="18"/>
                <w:szCs w:val="18"/>
                <w:lang w:eastAsia="es-CR"/>
              </w:rPr>
            </w:pPr>
            <w:r w:rsidRPr="00DA5591">
              <w:rPr>
                <w:rFonts w:ascii="Book Antiqua" w:eastAsia="Times New Roman" w:hAnsi="Book Antiqua" w:cs="Segoe UI"/>
                <w:color w:val="000000"/>
                <w:sz w:val="14"/>
                <w:szCs w:val="14"/>
                <w:lang w:eastAsia="es-CR"/>
              </w:rPr>
              <w:lastRenderedPageBreak/>
              <w:t>Dependencia de otro órgano </w:t>
            </w:r>
          </w:p>
        </w:tc>
        <w:tc>
          <w:tcPr>
            <w:tcW w:w="58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6813EC5" w14:textId="77777777" w:rsidR="00DA5591" w:rsidRPr="00DA5591" w:rsidRDefault="00DA5591" w:rsidP="00DA5591">
            <w:pPr>
              <w:spacing w:after="0" w:line="240" w:lineRule="auto"/>
              <w:jc w:val="center"/>
              <w:textAlignment w:val="baseline"/>
              <w:rPr>
                <w:rFonts w:ascii="Segoe UI" w:eastAsia="Times New Roman" w:hAnsi="Segoe UI" w:cs="Segoe UI"/>
                <w:sz w:val="18"/>
                <w:szCs w:val="18"/>
                <w:lang w:eastAsia="es-CR"/>
              </w:rPr>
            </w:pPr>
            <w:r w:rsidRPr="00DA5591">
              <w:rPr>
                <w:rFonts w:ascii="Book Antiqua" w:eastAsia="Times New Roman" w:hAnsi="Book Antiqua" w:cs="Segoe UI"/>
                <w:color w:val="000000"/>
                <w:sz w:val="14"/>
                <w:szCs w:val="14"/>
                <w:lang w:eastAsia="es-CR"/>
              </w:rPr>
              <w:t>No </w:t>
            </w:r>
          </w:p>
        </w:tc>
        <w:tc>
          <w:tcPr>
            <w:tcW w:w="13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751F1FE" w14:textId="77777777" w:rsidR="00DA5591" w:rsidRPr="00DA5591" w:rsidRDefault="00DA5591" w:rsidP="00DA5591">
            <w:pPr>
              <w:spacing w:after="0" w:line="240" w:lineRule="auto"/>
              <w:jc w:val="center"/>
              <w:textAlignment w:val="baseline"/>
              <w:rPr>
                <w:rFonts w:ascii="Segoe UI" w:eastAsia="Times New Roman" w:hAnsi="Segoe UI" w:cs="Segoe UI"/>
                <w:sz w:val="18"/>
                <w:szCs w:val="18"/>
                <w:lang w:eastAsia="es-CR"/>
              </w:rPr>
            </w:pPr>
            <w:r w:rsidRPr="00DA5591">
              <w:rPr>
                <w:rFonts w:ascii="Book Antiqua" w:eastAsia="Times New Roman" w:hAnsi="Book Antiqua" w:cs="Segoe UI"/>
                <w:color w:val="000000"/>
                <w:sz w:val="14"/>
                <w:szCs w:val="14"/>
                <w:lang w:eastAsia="es-CR"/>
              </w:rPr>
              <w:t xml:space="preserve">No se solicita con anterioridad solicitud de cambio para actualizar </w:t>
            </w:r>
            <w:r w:rsidRPr="00DA5591">
              <w:rPr>
                <w:rFonts w:ascii="Book Antiqua" w:eastAsia="Times New Roman" w:hAnsi="Book Antiqua" w:cs="Segoe UI"/>
                <w:color w:val="000000"/>
                <w:sz w:val="14"/>
                <w:szCs w:val="14"/>
                <w:lang w:eastAsia="es-CR"/>
              </w:rPr>
              <w:lastRenderedPageBreak/>
              <w:t>cronograma y solventar el mismo. </w:t>
            </w:r>
          </w:p>
        </w:tc>
      </w:tr>
    </w:tbl>
    <w:bookmarkEnd w:id="89"/>
    <w:p w14:paraId="61250A7E" w14:textId="77777777" w:rsidR="00F71780" w:rsidRDefault="00F71780" w:rsidP="00F71780">
      <w:pPr>
        <w:spacing w:after="0"/>
        <w:rPr>
          <w:rFonts w:ascii="Book Antiqua" w:hAnsi="Book Antiqua"/>
          <w:sz w:val="20"/>
          <w:szCs w:val="20"/>
        </w:rPr>
      </w:pPr>
      <w:r w:rsidRPr="00D257ED">
        <w:rPr>
          <w:rFonts w:ascii="Book Antiqua" w:hAnsi="Book Antiqua"/>
          <w:b/>
          <w:sz w:val="20"/>
          <w:szCs w:val="20"/>
        </w:rPr>
        <w:lastRenderedPageBreak/>
        <w:t>Fuente:</w:t>
      </w:r>
      <w:r w:rsidRPr="00D257ED">
        <w:rPr>
          <w:rFonts w:ascii="Book Antiqua" w:hAnsi="Book Antiqua"/>
          <w:sz w:val="20"/>
          <w:szCs w:val="20"/>
        </w:rPr>
        <w:t xml:space="preserve"> Elaboración propia con datos e información suministrada en el repositorio del Project Online.</w:t>
      </w:r>
    </w:p>
    <w:p w14:paraId="65106AB9" w14:textId="77777777" w:rsidR="00F71780" w:rsidRPr="00D257ED" w:rsidRDefault="00F71780" w:rsidP="00F71780">
      <w:pPr>
        <w:spacing w:after="0"/>
        <w:rPr>
          <w:rFonts w:ascii="Book Antiqua" w:hAnsi="Book Antiqua"/>
          <w:sz w:val="20"/>
          <w:szCs w:val="20"/>
        </w:rPr>
      </w:pPr>
    </w:p>
    <w:p w14:paraId="41DB2B13" w14:textId="77777777" w:rsidR="00F71780" w:rsidRDefault="00F71780" w:rsidP="00F71780">
      <w:pPr>
        <w:spacing w:after="0"/>
        <w:jc w:val="both"/>
        <w:rPr>
          <w:rFonts w:ascii="Book Antiqua" w:hAnsi="Book Antiqua"/>
          <w:sz w:val="24"/>
          <w:szCs w:val="24"/>
        </w:rPr>
      </w:pPr>
      <w:r w:rsidRPr="00BA1484">
        <w:rPr>
          <w:rFonts w:ascii="Book Antiqua" w:hAnsi="Book Antiqua"/>
          <w:sz w:val="24"/>
          <w:szCs w:val="24"/>
        </w:rPr>
        <w:t>Como se muestra</w:t>
      </w:r>
      <w:r>
        <w:rPr>
          <w:rFonts w:ascii="Book Antiqua" w:hAnsi="Book Antiqua"/>
          <w:sz w:val="24"/>
          <w:szCs w:val="24"/>
        </w:rPr>
        <w:t>n</w:t>
      </w:r>
      <w:r w:rsidRPr="00BA1484">
        <w:rPr>
          <w:rFonts w:ascii="Book Antiqua" w:hAnsi="Book Antiqua"/>
          <w:sz w:val="24"/>
          <w:szCs w:val="24"/>
        </w:rPr>
        <w:t xml:space="preserve"> en la</w:t>
      </w:r>
      <w:r>
        <w:rPr>
          <w:rFonts w:ascii="Book Antiqua" w:hAnsi="Book Antiqua"/>
          <w:sz w:val="24"/>
          <w:szCs w:val="24"/>
        </w:rPr>
        <w:t>s</w:t>
      </w:r>
      <w:r w:rsidRPr="00BA1484">
        <w:rPr>
          <w:rFonts w:ascii="Book Antiqua" w:hAnsi="Book Antiqua"/>
          <w:sz w:val="24"/>
          <w:szCs w:val="24"/>
        </w:rPr>
        <w:t xml:space="preserve"> tabla</w:t>
      </w:r>
      <w:r>
        <w:rPr>
          <w:rFonts w:ascii="Book Antiqua" w:hAnsi="Book Antiqua"/>
          <w:sz w:val="24"/>
          <w:szCs w:val="24"/>
        </w:rPr>
        <w:t>s</w:t>
      </w:r>
      <w:r w:rsidRPr="00BA1484">
        <w:rPr>
          <w:rFonts w:ascii="Book Antiqua" w:hAnsi="Book Antiqua"/>
          <w:sz w:val="24"/>
          <w:szCs w:val="24"/>
        </w:rPr>
        <w:t xml:space="preserve"> anterior</w:t>
      </w:r>
      <w:r>
        <w:rPr>
          <w:rFonts w:ascii="Book Antiqua" w:hAnsi="Book Antiqua"/>
          <w:sz w:val="24"/>
          <w:szCs w:val="24"/>
        </w:rPr>
        <w:t>es</w:t>
      </w:r>
      <w:r w:rsidRPr="00BA1484">
        <w:rPr>
          <w:rFonts w:ascii="Book Antiqua" w:hAnsi="Book Antiqua"/>
          <w:sz w:val="24"/>
          <w:szCs w:val="24"/>
        </w:rPr>
        <w:t>,</w:t>
      </w:r>
      <w:r>
        <w:rPr>
          <w:rFonts w:ascii="Book Antiqua" w:hAnsi="Book Antiqua"/>
          <w:sz w:val="24"/>
          <w:szCs w:val="24"/>
        </w:rPr>
        <w:t xml:space="preserve"> el </w:t>
      </w:r>
      <w:r w:rsidRPr="00BA1484">
        <w:rPr>
          <w:rFonts w:ascii="Book Antiqua" w:hAnsi="Book Antiqua"/>
          <w:sz w:val="24"/>
          <w:szCs w:val="24"/>
        </w:rPr>
        <w:t>principal inconveniente para cumplir con la programación de los cronogramas</w:t>
      </w:r>
      <w:r>
        <w:rPr>
          <w:rFonts w:ascii="Book Antiqua" w:hAnsi="Book Antiqua"/>
          <w:sz w:val="24"/>
          <w:szCs w:val="24"/>
        </w:rPr>
        <w:t xml:space="preserve"> es: la dependencia de otro órgano a nivel interno como externo del Poder Judicial y la reprogramación de actividades producto de situaciones que se presentan.</w:t>
      </w:r>
    </w:p>
    <w:p w14:paraId="10105903" w14:textId="77777777" w:rsidR="00F71780" w:rsidRDefault="00F71780" w:rsidP="00F71780">
      <w:pPr>
        <w:spacing w:after="0"/>
        <w:jc w:val="both"/>
        <w:rPr>
          <w:rFonts w:ascii="Book Antiqua" w:hAnsi="Book Antiqua"/>
          <w:sz w:val="24"/>
          <w:szCs w:val="24"/>
        </w:rPr>
      </w:pPr>
    </w:p>
    <w:p w14:paraId="5E338B26" w14:textId="77777777" w:rsidR="00F71780" w:rsidRDefault="00F71780" w:rsidP="00F71780">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t>A continuación, se muestra el gráfico con la distribución de las razones que mediaron el retraso, además si el proyecto contaba o no con algún permiso con goce de salario asignado según el artículo N°44 de la Ley Orgánica:</w:t>
      </w:r>
    </w:p>
    <w:p w14:paraId="7A6E2072" w14:textId="77777777" w:rsidR="00F71780" w:rsidRDefault="00F71780" w:rsidP="00F71780">
      <w:pPr>
        <w:spacing w:after="0"/>
        <w:jc w:val="both"/>
        <w:rPr>
          <w:rFonts w:ascii="Book Antiqua" w:eastAsia="Wingdings" w:hAnsi="Book Antiqua"/>
          <w:sz w:val="24"/>
          <w:szCs w:val="24"/>
          <w:lang w:eastAsia="ko-KR"/>
        </w:rPr>
      </w:pPr>
    </w:p>
    <w:p w14:paraId="74C73F60" w14:textId="77777777" w:rsidR="007274FF" w:rsidRDefault="007274FF" w:rsidP="00F71780">
      <w:pPr>
        <w:spacing w:after="0"/>
        <w:jc w:val="both"/>
        <w:rPr>
          <w:rFonts w:ascii="Book Antiqua" w:eastAsia="Wingdings" w:hAnsi="Book Antiqua"/>
          <w:sz w:val="24"/>
          <w:szCs w:val="24"/>
          <w:lang w:eastAsia="ko-KR"/>
        </w:rPr>
      </w:pPr>
    </w:p>
    <w:p w14:paraId="6DDFA7FA" w14:textId="64B00507" w:rsidR="00F71780" w:rsidRPr="00BA1484" w:rsidRDefault="00F71780" w:rsidP="00F71780">
      <w:pPr>
        <w:spacing w:after="0"/>
        <w:jc w:val="center"/>
        <w:rPr>
          <w:rFonts w:ascii="Book Antiqua" w:eastAsia="Wingdings" w:hAnsi="Book Antiqua"/>
          <w:b/>
          <w:bCs/>
          <w:sz w:val="24"/>
          <w:szCs w:val="24"/>
          <w:lang w:eastAsia="ko-KR"/>
        </w:rPr>
      </w:pPr>
      <w:r w:rsidRPr="000B4CD9">
        <w:rPr>
          <w:rFonts w:ascii="Book Antiqua" w:hAnsi="Book Antiqua"/>
          <w:b/>
          <w:bCs/>
          <w:sz w:val="24"/>
          <w:szCs w:val="24"/>
        </w:rPr>
        <w:t xml:space="preserve">Figura </w:t>
      </w:r>
      <w:r w:rsidRPr="000B4CD9">
        <w:rPr>
          <w:rFonts w:ascii="Book Antiqua" w:hAnsi="Book Antiqua"/>
          <w:b/>
          <w:bCs/>
          <w:i/>
          <w:iCs/>
          <w:sz w:val="24"/>
          <w:szCs w:val="24"/>
        </w:rPr>
        <w:fldChar w:fldCharType="begin"/>
      </w:r>
      <w:r w:rsidRPr="000B4CD9">
        <w:rPr>
          <w:rFonts w:ascii="Book Antiqua" w:hAnsi="Book Antiqua"/>
          <w:b/>
          <w:bCs/>
          <w:sz w:val="24"/>
          <w:szCs w:val="24"/>
        </w:rPr>
        <w:instrText xml:space="preserve"> SEQ Figura \* ARABIC </w:instrText>
      </w:r>
      <w:r w:rsidRPr="000B4CD9">
        <w:rPr>
          <w:rFonts w:ascii="Book Antiqua" w:hAnsi="Book Antiqua"/>
          <w:b/>
          <w:bCs/>
          <w:i/>
          <w:iCs/>
          <w:sz w:val="24"/>
          <w:szCs w:val="24"/>
        </w:rPr>
        <w:fldChar w:fldCharType="separate"/>
      </w:r>
      <w:r w:rsidR="00706F8B">
        <w:rPr>
          <w:rFonts w:ascii="Book Antiqua" w:hAnsi="Book Antiqua"/>
          <w:b/>
          <w:bCs/>
          <w:noProof/>
          <w:sz w:val="24"/>
          <w:szCs w:val="24"/>
        </w:rPr>
        <w:t>3</w:t>
      </w:r>
      <w:r w:rsidRPr="000B4CD9">
        <w:rPr>
          <w:rFonts w:ascii="Book Antiqua" w:hAnsi="Book Antiqua"/>
          <w:b/>
          <w:bCs/>
          <w:i/>
          <w:iCs/>
          <w:sz w:val="24"/>
          <w:szCs w:val="24"/>
        </w:rPr>
        <w:fldChar w:fldCharType="end"/>
      </w:r>
      <w:r>
        <w:rPr>
          <w:rFonts w:ascii="Book Antiqua" w:hAnsi="Book Antiqua"/>
          <w:b/>
          <w:bCs/>
          <w:i/>
          <w:iCs/>
          <w:sz w:val="24"/>
          <w:szCs w:val="24"/>
        </w:rPr>
        <w:t xml:space="preserve">. </w:t>
      </w:r>
      <w:r w:rsidRPr="00BA1484">
        <w:rPr>
          <w:rFonts w:ascii="Book Antiqua" w:eastAsia="Wingdings" w:hAnsi="Book Antiqua"/>
          <w:b/>
          <w:bCs/>
          <w:sz w:val="24"/>
          <w:szCs w:val="24"/>
          <w:lang w:eastAsia="ko-KR"/>
        </w:rPr>
        <w:t>Cantidad de proyectos estratégicos con o sin permisos con goce de salario distribuidos según el motivo del retraso</w:t>
      </w:r>
    </w:p>
    <w:p w14:paraId="383C17AF" w14:textId="6CAF5ACA" w:rsidR="00F71780" w:rsidRPr="00BA1484" w:rsidRDefault="00706F8B" w:rsidP="00F71780">
      <w:pPr>
        <w:spacing w:after="0"/>
        <w:jc w:val="center"/>
        <w:rPr>
          <w:rFonts w:ascii="Book Antiqua" w:eastAsia="Wingdings" w:hAnsi="Book Antiqua"/>
          <w:b/>
          <w:bCs/>
          <w:sz w:val="24"/>
          <w:szCs w:val="24"/>
          <w:lang w:eastAsia="ko-KR"/>
        </w:rPr>
      </w:pPr>
      <w:r>
        <w:rPr>
          <w:rFonts w:ascii="Book Antiqua" w:eastAsia="Wingdings" w:hAnsi="Book Antiqua"/>
          <w:b/>
          <w:bCs/>
          <w:noProof/>
          <w:lang w:eastAsia="ko-KR"/>
        </w:rPr>
        <w:drawing>
          <wp:inline distT="0" distB="0" distL="0" distR="0" wp14:anchorId="3B2D37B0" wp14:editId="49DADF25">
            <wp:extent cx="4270375" cy="2251710"/>
            <wp:effectExtent l="0" t="0" r="0" b="0"/>
            <wp:docPr id="44" name="Picture 4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Gráfico, Gráfico de barras&#10;&#10;Descripción generada automáticament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70375" cy="2251710"/>
                    </a:xfrm>
                    <a:prstGeom prst="rect">
                      <a:avLst/>
                    </a:prstGeom>
                    <a:noFill/>
                    <a:ln>
                      <a:noFill/>
                    </a:ln>
                  </pic:spPr>
                </pic:pic>
              </a:graphicData>
            </a:graphic>
          </wp:inline>
        </w:drawing>
      </w:r>
    </w:p>
    <w:p w14:paraId="746563C5" w14:textId="3665F563" w:rsidR="00F71780" w:rsidRPr="00EF4E17" w:rsidRDefault="00F71780" w:rsidP="00F71780">
      <w:pPr>
        <w:spacing w:after="0"/>
        <w:jc w:val="both"/>
        <w:rPr>
          <w:rFonts w:ascii="Book Antiqua" w:eastAsia="Wingdings" w:hAnsi="Book Antiqua"/>
          <w:b/>
          <w:bCs/>
          <w:sz w:val="18"/>
          <w:szCs w:val="18"/>
          <w:lang w:eastAsia="ko-KR"/>
        </w:rPr>
      </w:pPr>
      <w:r w:rsidRPr="00EF4E17">
        <w:rPr>
          <w:rFonts w:ascii="Book Antiqua" w:eastAsia="Wingdings" w:hAnsi="Book Antiqua"/>
          <w:b/>
          <w:bCs/>
          <w:sz w:val="18"/>
          <w:szCs w:val="18"/>
          <w:lang w:eastAsia="ko-KR"/>
        </w:rPr>
        <w:t xml:space="preserve">Fuente: </w:t>
      </w:r>
      <w:r w:rsidRPr="00EF4E17">
        <w:rPr>
          <w:rFonts w:ascii="Book Antiqua" w:eastAsia="Wingdings" w:hAnsi="Book Antiqua"/>
          <w:sz w:val="18"/>
          <w:szCs w:val="18"/>
          <w:lang w:eastAsia="ko-KR"/>
        </w:rPr>
        <w:t xml:space="preserve">Elaboración propia con la información contenida en los informes de avance de los proyectos estratégicos que reportaron un retraso durante el </w:t>
      </w:r>
      <w:r w:rsidR="00706F8B" w:rsidRPr="00EF4E17">
        <w:rPr>
          <w:rFonts w:ascii="Book Antiqua" w:eastAsia="Wingdings" w:hAnsi="Book Antiqua"/>
          <w:sz w:val="18"/>
          <w:szCs w:val="18"/>
          <w:lang w:eastAsia="ko-KR"/>
        </w:rPr>
        <w:t xml:space="preserve">primer </w:t>
      </w:r>
      <w:r w:rsidRPr="00EF4E17">
        <w:rPr>
          <w:rFonts w:ascii="Book Antiqua" w:eastAsia="Wingdings" w:hAnsi="Book Antiqua"/>
          <w:sz w:val="18"/>
          <w:szCs w:val="18"/>
          <w:lang w:eastAsia="ko-KR"/>
        </w:rPr>
        <w:t>seguimiento 202</w:t>
      </w:r>
      <w:r w:rsidR="00706F8B" w:rsidRPr="00EF4E17">
        <w:rPr>
          <w:rFonts w:ascii="Book Antiqua" w:eastAsia="Wingdings" w:hAnsi="Book Antiqua"/>
          <w:sz w:val="18"/>
          <w:szCs w:val="18"/>
          <w:lang w:eastAsia="ko-KR"/>
        </w:rPr>
        <w:t>3</w:t>
      </w:r>
      <w:r w:rsidRPr="00EF4E17">
        <w:rPr>
          <w:rFonts w:ascii="Book Antiqua" w:eastAsia="Wingdings" w:hAnsi="Book Antiqua"/>
          <w:sz w:val="18"/>
          <w:szCs w:val="18"/>
          <w:lang w:eastAsia="ko-KR"/>
        </w:rPr>
        <w:t>.</w:t>
      </w:r>
    </w:p>
    <w:p w14:paraId="70B17C8B" w14:textId="77777777" w:rsidR="00F71780" w:rsidRDefault="00F71780" w:rsidP="00F71780">
      <w:pPr>
        <w:spacing w:after="0"/>
        <w:jc w:val="both"/>
        <w:rPr>
          <w:rFonts w:ascii="Book Antiqua" w:hAnsi="Book Antiqua"/>
        </w:rPr>
      </w:pPr>
    </w:p>
    <w:p w14:paraId="2B4C3ACC" w14:textId="77777777" w:rsidR="00717004" w:rsidRPr="00717004" w:rsidRDefault="00717004" w:rsidP="00717004">
      <w:pPr>
        <w:spacing w:after="0" w:line="240" w:lineRule="auto"/>
        <w:jc w:val="both"/>
        <w:textAlignment w:val="baseline"/>
        <w:rPr>
          <w:rFonts w:ascii="Segoe UI" w:eastAsia="Times New Roman" w:hAnsi="Segoe UI" w:cs="Segoe UI"/>
          <w:sz w:val="18"/>
          <w:szCs w:val="18"/>
          <w:lang w:eastAsia="es-CR"/>
        </w:rPr>
      </w:pPr>
      <w:r w:rsidRPr="00717004">
        <w:rPr>
          <w:rFonts w:ascii="Book Antiqua" w:eastAsia="Times New Roman" w:hAnsi="Book Antiqua" w:cs="Segoe UI"/>
          <w:sz w:val="24"/>
          <w:szCs w:val="24"/>
          <w:lang w:eastAsia="es-CR"/>
        </w:rPr>
        <w:lastRenderedPageBreak/>
        <w:t xml:space="preserve">Para todos estos proyectos que muestran una diferencia negativa entre su avance real y el esperado, </w:t>
      </w:r>
      <w:r w:rsidRPr="00717004">
        <w:rPr>
          <w:rFonts w:ascii="Book Antiqua" w:eastAsia="Times New Roman" w:hAnsi="Book Antiqua" w:cs="Segoe UI"/>
          <w:b/>
          <w:bCs/>
          <w:sz w:val="24"/>
          <w:szCs w:val="24"/>
          <w:u w:val="single"/>
          <w:lang w:eastAsia="es-CR"/>
        </w:rPr>
        <w:t>es necesario que las oficinas que reportan retraso implementen las respectivas acciones que permitan subsanar los retrasos presentados o ajusten su cronograma según el desarrollo real de las actividades. </w:t>
      </w:r>
      <w:r w:rsidRPr="00717004">
        <w:rPr>
          <w:rFonts w:ascii="Book Antiqua" w:eastAsia="Times New Roman" w:hAnsi="Book Antiqua" w:cs="Segoe UI"/>
          <w:sz w:val="24"/>
          <w:szCs w:val="24"/>
          <w:lang w:eastAsia="es-CR"/>
        </w:rPr>
        <w:t> </w:t>
      </w:r>
    </w:p>
    <w:p w14:paraId="26785CC2" w14:textId="77777777" w:rsidR="00717004" w:rsidRPr="00717004" w:rsidRDefault="00717004" w:rsidP="00717004">
      <w:pPr>
        <w:pStyle w:val="Prrafodelista"/>
        <w:spacing w:after="0" w:line="240" w:lineRule="auto"/>
        <w:jc w:val="both"/>
        <w:textAlignment w:val="baseline"/>
        <w:rPr>
          <w:rFonts w:ascii="Segoe UI" w:eastAsia="Times New Roman" w:hAnsi="Segoe UI" w:cs="Segoe UI"/>
          <w:sz w:val="18"/>
          <w:szCs w:val="18"/>
          <w:lang w:eastAsia="es-CR"/>
        </w:rPr>
      </w:pPr>
      <w:r w:rsidRPr="00717004">
        <w:rPr>
          <w:rFonts w:ascii="Book Antiqua" w:eastAsia="Times New Roman" w:hAnsi="Book Antiqua" w:cs="Segoe UI"/>
          <w:sz w:val="24"/>
          <w:szCs w:val="24"/>
          <w:lang w:eastAsia="es-CR"/>
        </w:rPr>
        <w:t> </w:t>
      </w:r>
    </w:p>
    <w:p w14:paraId="728B3E3D" w14:textId="77777777" w:rsidR="00717004" w:rsidRDefault="00717004" w:rsidP="00717004">
      <w:pPr>
        <w:spacing w:after="0" w:line="240" w:lineRule="auto"/>
        <w:jc w:val="both"/>
        <w:textAlignment w:val="baseline"/>
        <w:rPr>
          <w:rFonts w:ascii="Book Antiqua" w:eastAsia="Times New Roman" w:hAnsi="Book Antiqua" w:cs="Segoe UI"/>
          <w:sz w:val="24"/>
          <w:szCs w:val="24"/>
          <w:lang w:eastAsia="es-CR"/>
        </w:rPr>
      </w:pPr>
      <w:r w:rsidRPr="00717004">
        <w:rPr>
          <w:rFonts w:ascii="Book Antiqua" w:eastAsia="Times New Roman" w:hAnsi="Book Antiqua" w:cs="Segoe UI"/>
          <w:sz w:val="24"/>
          <w:szCs w:val="24"/>
          <w:lang w:eastAsia="es-CR"/>
        </w:rPr>
        <w:t>Para esta labor tendrán al</w:t>
      </w:r>
      <w:r w:rsidRPr="00717004">
        <w:rPr>
          <w:rFonts w:ascii="Book Antiqua" w:eastAsia="Times New Roman" w:hAnsi="Book Antiqua" w:cs="Segoe UI"/>
          <w:b/>
          <w:bCs/>
          <w:sz w:val="24"/>
          <w:szCs w:val="24"/>
          <w:lang w:eastAsia="es-CR"/>
        </w:rPr>
        <w:t xml:space="preserve"> 11 de agosto del 2023, </w:t>
      </w:r>
      <w:r w:rsidRPr="00717004">
        <w:rPr>
          <w:rFonts w:ascii="Book Antiqua" w:eastAsia="Times New Roman" w:hAnsi="Book Antiqua" w:cs="Segoe UI"/>
          <w:sz w:val="24"/>
          <w:szCs w:val="24"/>
          <w:lang w:eastAsia="es-CR"/>
        </w:rPr>
        <w:t>para que se realicen los ajustes pendientes y notificar a la Unidad del Portafolio de Proyectos la ejecución de los cambios en la documentación y el cronograma que se encuentran en el repositorio de información del Project Online. </w:t>
      </w:r>
    </w:p>
    <w:p w14:paraId="4E18378E" w14:textId="77777777" w:rsidR="00717004" w:rsidRPr="00717004" w:rsidRDefault="00717004" w:rsidP="00717004">
      <w:pPr>
        <w:spacing w:after="0" w:line="240" w:lineRule="auto"/>
        <w:jc w:val="both"/>
        <w:textAlignment w:val="baseline"/>
        <w:rPr>
          <w:rFonts w:ascii="Segoe UI" w:eastAsia="Times New Roman" w:hAnsi="Segoe UI" w:cs="Segoe UI"/>
          <w:sz w:val="18"/>
          <w:szCs w:val="18"/>
          <w:lang w:eastAsia="es-CR"/>
        </w:rPr>
      </w:pPr>
    </w:p>
    <w:p w14:paraId="57F25276" w14:textId="77777777" w:rsidR="00F71780" w:rsidRPr="001640CE" w:rsidRDefault="00F71780" w:rsidP="00F71780">
      <w:pPr>
        <w:pStyle w:val="Ttulo2"/>
        <w:numPr>
          <w:ilvl w:val="0"/>
          <w:numId w:val="4"/>
        </w:numPr>
        <w:ind w:hanging="578"/>
        <w:rPr>
          <w:rFonts w:ascii="Book Antiqua" w:eastAsia="Wingdings" w:hAnsi="Book Antiqua"/>
          <w:b/>
          <w:color w:val="auto"/>
          <w:lang w:eastAsia="ko-KR"/>
        </w:rPr>
      </w:pPr>
      <w:bookmarkStart w:id="90" w:name="_Toc138770849"/>
      <w:r w:rsidRPr="001640CE">
        <w:rPr>
          <w:rFonts w:ascii="Book Antiqua" w:eastAsia="Wingdings" w:hAnsi="Book Antiqua"/>
          <w:b/>
          <w:color w:val="auto"/>
          <w:lang w:eastAsia="ko-KR"/>
        </w:rPr>
        <w:t>Proyectos en Ejecución que presentaron solicitud de cambio</w:t>
      </w:r>
      <w:bookmarkEnd w:id="90"/>
    </w:p>
    <w:p w14:paraId="545D062D" w14:textId="77777777" w:rsidR="00F71780" w:rsidRDefault="00F71780" w:rsidP="00F71780">
      <w:pPr>
        <w:spacing w:after="0"/>
        <w:jc w:val="both"/>
        <w:rPr>
          <w:rFonts w:ascii="Book Antiqua" w:eastAsia="Wingdings" w:hAnsi="Book Antiqua"/>
          <w:sz w:val="24"/>
          <w:szCs w:val="24"/>
          <w:lang w:eastAsia="ko-KR"/>
        </w:rPr>
      </w:pPr>
    </w:p>
    <w:p w14:paraId="51C0B3B4" w14:textId="77777777" w:rsidR="00717004" w:rsidRPr="00717004" w:rsidRDefault="00717004" w:rsidP="00717004">
      <w:pPr>
        <w:spacing w:after="0" w:line="240" w:lineRule="auto"/>
        <w:jc w:val="both"/>
        <w:textAlignment w:val="baseline"/>
        <w:rPr>
          <w:rFonts w:ascii="Segoe UI" w:eastAsia="Times New Roman" w:hAnsi="Segoe UI" w:cs="Segoe UI"/>
          <w:sz w:val="18"/>
          <w:szCs w:val="18"/>
          <w:lang w:eastAsia="es-CR"/>
        </w:rPr>
      </w:pPr>
      <w:r w:rsidRPr="00717004">
        <w:rPr>
          <w:rFonts w:ascii="Book Antiqua" w:eastAsia="Times New Roman" w:hAnsi="Book Antiqua" w:cs="Segoe UI"/>
          <w:sz w:val="24"/>
          <w:szCs w:val="24"/>
          <w:lang w:eastAsia="es-CR"/>
        </w:rPr>
        <w:t>A continuación, se detallan las solicitudes de cambio que se cargaron a la plataforma del MS Project Online, por parte de las personas líderes de proyecto dentro del periodo comprendido entre el 01 de enero al 25 de mayo anterior.  </w:t>
      </w:r>
    </w:p>
    <w:p w14:paraId="68BAD50F" w14:textId="77777777" w:rsidR="00717004" w:rsidRPr="00717004" w:rsidRDefault="00717004" w:rsidP="00717004">
      <w:pPr>
        <w:spacing w:after="0" w:line="240" w:lineRule="auto"/>
        <w:jc w:val="both"/>
        <w:textAlignment w:val="baseline"/>
        <w:rPr>
          <w:rFonts w:ascii="Segoe UI" w:eastAsia="Times New Roman" w:hAnsi="Segoe UI" w:cs="Segoe UI"/>
          <w:sz w:val="18"/>
          <w:szCs w:val="18"/>
          <w:lang w:eastAsia="es-CR"/>
        </w:rPr>
      </w:pPr>
      <w:r w:rsidRPr="00717004">
        <w:rPr>
          <w:rFonts w:ascii="Book Antiqua" w:eastAsia="Times New Roman" w:hAnsi="Book Antiqua" w:cs="Segoe UI"/>
          <w:sz w:val="24"/>
          <w:szCs w:val="24"/>
          <w:lang w:eastAsia="es-CR"/>
        </w:rPr>
        <w:t> </w:t>
      </w:r>
    </w:p>
    <w:p w14:paraId="628C8407" w14:textId="77777777" w:rsidR="00717004" w:rsidRPr="00717004" w:rsidRDefault="00717004" w:rsidP="00717004">
      <w:pPr>
        <w:spacing w:after="0" w:line="240" w:lineRule="auto"/>
        <w:jc w:val="both"/>
        <w:textAlignment w:val="baseline"/>
        <w:rPr>
          <w:rFonts w:ascii="Segoe UI" w:eastAsia="Times New Roman" w:hAnsi="Segoe UI" w:cs="Segoe UI"/>
          <w:sz w:val="18"/>
          <w:szCs w:val="18"/>
          <w:lang w:eastAsia="es-CR"/>
        </w:rPr>
      </w:pPr>
      <w:r w:rsidRPr="00717004">
        <w:rPr>
          <w:rFonts w:ascii="Book Antiqua" w:eastAsia="Times New Roman" w:hAnsi="Book Antiqua" w:cs="Segoe UI"/>
          <w:sz w:val="24"/>
          <w:szCs w:val="24"/>
          <w:lang w:eastAsia="es-CR"/>
        </w:rPr>
        <w:t xml:space="preserve">Se procedió a revisar los proyectos que aplicaron sus cambios, debido a la urgencia, y se verificó la modificación en la documentación producto del mismo, el formulario de solicitud de cambio se puede consultar en el siguiente enlace: </w:t>
      </w:r>
      <w:r w:rsidRPr="00717004">
        <w:rPr>
          <w:rFonts w:ascii="Book Antiqua" w:eastAsia="Times New Roman" w:hAnsi="Book Antiqua" w:cs="Segoe UI"/>
          <w:b/>
          <w:bCs/>
          <w:sz w:val="24"/>
          <w:szCs w:val="24"/>
          <w:lang w:eastAsia="es-CR"/>
        </w:rPr>
        <w:t>”</w:t>
      </w:r>
      <w:hyperlink r:id="rId62" w:tgtFrame="_blank" w:history="1">
        <w:r w:rsidRPr="00717004">
          <w:rPr>
            <w:rFonts w:ascii="Book Antiqua" w:eastAsia="Times New Roman" w:hAnsi="Book Antiqua" w:cs="Segoe UI"/>
            <w:b/>
            <w:bCs/>
            <w:color w:val="0563C1"/>
            <w:sz w:val="24"/>
            <w:szCs w:val="24"/>
            <w:u w:val="single"/>
            <w:lang w:eastAsia="es-CR"/>
          </w:rPr>
          <w:t>Formulario solicitud de cambio</w:t>
        </w:r>
      </w:hyperlink>
      <w:r w:rsidRPr="00717004">
        <w:rPr>
          <w:rFonts w:ascii="Book Antiqua" w:eastAsia="Times New Roman" w:hAnsi="Book Antiqua" w:cs="Segoe UI"/>
          <w:b/>
          <w:bCs/>
          <w:sz w:val="24"/>
          <w:szCs w:val="24"/>
          <w:lang w:eastAsia="es-CR"/>
        </w:rPr>
        <w:t>”</w:t>
      </w:r>
      <w:r w:rsidRPr="00717004">
        <w:rPr>
          <w:rFonts w:ascii="Book Antiqua" w:eastAsia="Times New Roman" w:hAnsi="Book Antiqua" w:cs="Segoe UI"/>
          <w:sz w:val="24"/>
          <w:szCs w:val="24"/>
          <w:lang w:eastAsia="es-CR"/>
        </w:rPr>
        <w:t xml:space="preserve">; además en el siguiente enlace pueden verificar la modificación de los documentos producto de las solicitudes de cambio: </w:t>
      </w:r>
      <w:r w:rsidRPr="00717004">
        <w:rPr>
          <w:rFonts w:ascii="Book Antiqua" w:eastAsia="Times New Roman" w:hAnsi="Book Antiqua" w:cs="Segoe UI"/>
          <w:b/>
          <w:bCs/>
          <w:sz w:val="24"/>
          <w:szCs w:val="24"/>
          <w:lang w:eastAsia="es-CR"/>
        </w:rPr>
        <w:t>“</w:t>
      </w:r>
      <w:hyperlink r:id="rId63" w:tgtFrame="_blank" w:history="1">
        <w:r w:rsidRPr="00717004">
          <w:rPr>
            <w:rFonts w:ascii="Book Antiqua" w:eastAsia="Times New Roman" w:hAnsi="Book Antiqua" w:cs="Segoe UI"/>
            <w:b/>
            <w:bCs/>
            <w:color w:val="0563C1"/>
            <w:sz w:val="24"/>
            <w:szCs w:val="24"/>
            <w:u w:val="single"/>
            <w:lang w:eastAsia="es-CR"/>
          </w:rPr>
          <w:t>Documentos actualizados por Solicitud de cambio</w:t>
        </w:r>
      </w:hyperlink>
      <w:r w:rsidRPr="00717004">
        <w:rPr>
          <w:rFonts w:ascii="Book Antiqua" w:eastAsia="Times New Roman" w:hAnsi="Book Antiqua" w:cs="Segoe UI"/>
          <w:b/>
          <w:bCs/>
          <w:sz w:val="24"/>
          <w:szCs w:val="24"/>
          <w:lang w:eastAsia="es-CR"/>
        </w:rPr>
        <w:t>”</w:t>
      </w:r>
      <w:r w:rsidRPr="00717004">
        <w:rPr>
          <w:rFonts w:ascii="Book Antiqua" w:eastAsia="Times New Roman" w:hAnsi="Book Antiqua" w:cs="Segoe UI"/>
          <w:sz w:val="24"/>
          <w:szCs w:val="24"/>
          <w:lang w:eastAsia="es-CR"/>
        </w:rPr>
        <w:t>. </w:t>
      </w:r>
    </w:p>
    <w:p w14:paraId="43B1E9BE" w14:textId="77777777" w:rsidR="00717004" w:rsidRPr="00717004" w:rsidRDefault="00717004" w:rsidP="00717004">
      <w:pPr>
        <w:spacing w:after="0" w:line="240" w:lineRule="auto"/>
        <w:jc w:val="both"/>
        <w:textAlignment w:val="baseline"/>
        <w:rPr>
          <w:rFonts w:ascii="Segoe UI" w:eastAsia="Times New Roman" w:hAnsi="Segoe UI" w:cs="Segoe UI"/>
          <w:sz w:val="18"/>
          <w:szCs w:val="18"/>
          <w:lang w:eastAsia="es-CR"/>
        </w:rPr>
      </w:pPr>
      <w:r w:rsidRPr="00717004">
        <w:rPr>
          <w:rFonts w:ascii="Book Antiqua" w:eastAsia="Times New Roman" w:hAnsi="Book Antiqua" w:cs="Segoe UI"/>
          <w:sz w:val="24"/>
          <w:szCs w:val="24"/>
          <w:lang w:eastAsia="es-CR"/>
        </w:rPr>
        <w:t> </w:t>
      </w:r>
    </w:p>
    <w:p w14:paraId="1B60F8C4" w14:textId="29016D64" w:rsidR="00717004" w:rsidRPr="00717004" w:rsidRDefault="00717004" w:rsidP="00717004">
      <w:pPr>
        <w:spacing w:after="0" w:line="240" w:lineRule="auto"/>
        <w:jc w:val="both"/>
        <w:textAlignment w:val="baseline"/>
        <w:rPr>
          <w:rFonts w:ascii="Book Antiqua" w:eastAsia="Times New Roman" w:hAnsi="Book Antiqua" w:cs="Segoe UI"/>
          <w:sz w:val="24"/>
          <w:szCs w:val="24"/>
          <w:lang w:eastAsia="es-CR"/>
        </w:rPr>
      </w:pPr>
      <w:r w:rsidRPr="00717004">
        <w:rPr>
          <w:rFonts w:ascii="Book Antiqua" w:eastAsia="Times New Roman" w:hAnsi="Book Antiqua" w:cs="Segoe UI"/>
          <w:sz w:val="24"/>
          <w:szCs w:val="24"/>
          <w:lang w:eastAsia="es-CR"/>
        </w:rPr>
        <w:t>Durante esta revisión en caso de detectarse alguna actualización pendiente en los documentos, se notificó a la oficina líder para que procediera con la misma en un plazo no mayor a 3 días hábiles. A continuación, se muestran los proyectos que actualizaron los documentos producto de una solicitud de cambio</w:t>
      </w:r>
      <w:r w:rsidR="00861FDD">
        <w:rPr>
          <w:rFonts w:ascii="Book Antiqua" w:eastAsia="Times New Roman" w:hAnsi="Book Antiqua" w:cs="Segoe UI"/>
          <w:sz w:val="24"/>
          <w:szCs w:val="24"/>
          <w:lang w:eastAsia="es-CR"/>
        </w:rPr>
        <w:t xml:space="preserve">, sin embargo en la </w:t>
      </w:r>
      <w:r w:rsidR="00861FDD" w:rsidRPr="00861FDD">
        <w:rPr>
          <w:rFonts w:ascii="Book Antiqua" w:eastAsia="Times New Roman" w:hAnsi="Book Antiqua" w:cs="Segoe UI"/>
          <w:sz w:val="24"/>
          <w:szCs w:val="24"/>
          <w:lang w:eastAsia="es-CR"/>
        </w:rPr>
        <w:t>columna de “</w:t>
      </w:r>
      <w:r w:rsidR="00861FDD" w:rsidRPr="00427AC7">
        <w:rPr>
          <w:rFonts w:ascii="Book Antiqua" w:eastAsia="Times New Roman" w:hAnsi="Book Antiqua" w:cs="Segoe UI"/>
          <w:sz w:val="24"/>
          <w:szCs w:val="24"/>
          <w:lang w:eastAsia="es-CR"/>
        </w:rPr>
        <w:t>Persona que aprueba Solicitud de cambio</w:t>
      </w:r>
      <w:r w:rsidR="00861FDD" w:rsidRPr="00861FDD">
        <w:rPr>
          <w:rFonts w:ascii="Book Antiqua" w:eastAsia="Times New Roman" w:hAnsi="Book Antiqua" w:cs="Segoe UI"/>
          <w:sz w:val="24"/>
          <w:szCs w:val="24"/>
          <w:lang w:eastAsia="es-CR"/>
        </w:rPr>
        <w:t>”</w:t>
      </w:r>
      <w:r w:rsidR="00861FDD">
        <w:rPr>
          <w:rFonts w:ascii="Book Antiqua" w:eastAsia="Times New Roman" w:hAnsi="Book Antiqua" w:cs="Segoe UI"/>
          <w:sz w:val="24"/>
          <w:szCs w:val="24"/>
          <w:lang w:eastAsia="es-CR"/>
        </w:rPr>
        <w:t xml:space="preserve"> se detallan las solicitudes que continúan pendientes de aprobación.</w:t>
      </w:r>
    </w:p>
    <w:p w14:paraId="72342967" w14:textId="77777777" w:rsidR="00717004" w:rsidRPr="00717004" w:rsidRDefault="00717004" w:rsidP="00717004">
      <w:pPr>
        <w:spacing w:after="0" w:line="240" w:lineRule="auto"/>
        <w:jc w:val="both"/>
        <w:textAlignment w:val="baseline"/>
        <w:rPr>
          <w:rFonts w:ascii="Book Antiqua" w:eastAsia="Times New Roman" w:hAnsi="Book Antiqua" w:cs="Segoe UI"/>
          <w:sz w:val="24"/>
          <w:szCs w:val="24"/>
          <w:lang w:eastAsia="es-CR"/>
        </w:rPr>
      </w:pPr>
      <w:r w:rsidRPr="00717004">
        <w:rPr>
          <w:rFonts w:ascii="Book Antiqua" w:eastAsia="Times New Roman" w:hAnsi="Book Antiqua" w:cs="Segoe UI"/>
          <w:sz w:val="24"/>
          <w:szCs w:val="24"/>
          <w:lang w:eastAsia="es-CR"/>
        </w:rPr>
        <w:t> </w:t>
      </w:r>
    </w:p>
    <w:p w14:paraId="3FF49D32" w14:textId="77777777" w:rsidR="00F71780" w:rsidRPr="00BA1484" w:rsidRDefault="00F71780" w:rsidP="00F71780">
      <w:pPr>
        <w:spacing w:after="0"/>
        <w:jc w:val="both"/>
        <w:rPr>
          <w:rFonts w:ascii="Book Antiqua" w:eastAsia="Wingdings" w:hAnsi="Book Antiqua"/>
          <w:sz w:val="24"/>
          <w:szCs w:val="24"/>
          <w:lang w:eastAsia="ko-KR"/>
        </w:rPr>
      </w:pPr>
    </w:p>
    <w:p w14:paraId="263F4BBA" w14:textId="6A92C22C" w:rsidR="00F71780" w:rsidRDefault="00F71780" w:rsidP="00F71780">
      <w:pPr>
        <w:pStyle w:val="Descripcin"/>
        <w:keepNext/>
        <w:spacing w:after="0"/>
        <w:jc w:val="center"/>
        <w:rPr>
          <w:rFonts w:ascii="Book Antiqua" w:hAnsi="Book Antiqua" w:cs="&amp;quot"/>
          <w:b/>
          <w:i w:val="0"/>
          <w:iCs w:val="0"/>
          <w:color w:val="auto"/>
          <w:sz w:val="24"/>
          <w:szCs w:val="24"/>
        </w:rPr>
      </w:pPr>
      <w:bookmarkStart w:id="91" w:name="_Toc131155946"/>
      <w:r w:rsidRPr="00861FDD">
        <w:rPr>
          <w:rFonts w:ascii="Book Antiqua" w:hAnsi="Book Antiqua" w:cs="&amp;quot"/>
          <w:b/>
          <w:i w:val="0"/>
          <w:iCs w:val="0"/>
          <w:color w:val="auto"/>
          <w:sz w:val="24"/>
          <w:szCs w:val="24"/>
        </w:rPr>
        <w:t xml:space="preserve">Tabla </w:t>
      </w:r>
      <w:r w:rsidRPr="00861FDD">
        <w:rPr>
          <w:rFonts w:ascii="Book Antiqua" w:hAnsi="Book Antiqua" w:cs="&amp;quot"/>
          <w:b/>
          <w:i w:val="0"/>
          <w:iCs w:val="0"/>
          <w:color w:val="auto"/>
          <w:sz w:val="24"/>
          <w:szCs w:val="24"/>
        </w:rPr>
        <w:fldChar w:fldCharType="begin"/>
      </w:r>
      <w:r w:rsidRPr="00861FDD">
        <w:rPr>
          <w:rFonts w:ascii="Book Antiqua" w:hAnsi="Book Antiqua" w:cs="&amp;quot"/>
          <w:b/>
          <w:i w:val="0"/>
          <w:iCs w:val="0"/>
          <w:color w:val="auto"/>
          <w:sz w:val="24"/>
          <w:szCs w:val="24"/>
        </w:rPr>
        <w:instrText xml:space="preserve"> SEQ Tabla \* ARABIC </w:instrText>
      </w:r>
      <w:r w:rsidRPr="00861FDD">
        <w:rPr>
          <w:rFonts w:ascii="Book Antiqua" w:hAnsi="Book Antiqua" w:cs="&amp;quot"/>
          <w:b/>
          <w:i w:val="0"/>
          <w:iCs w:val="0"/>
          <w:color w:val="auto"/>
          <w:sz w:val="24"/>
          <w:szCs w:val="24"/>
        </w:rPr>
        <w:fldChar w:fldCharType="separate"/>
      </w:r>
      <w:r w:rsidR="00844144">
        <w:rPr>
          <w:rFonts w:ascii="Book Antiqua" w:hAnsi="Book Antiqua" w:cs="&amp;quot"/>
          <w:b/>
          <w:i w:val="0"/>
          <w:iCs w:val="0"/>
          <w:noProof/>
          <w:color w:val="auto"/>
          <w:sz w:val="24"/>
          <w:szCs w:val="24"/>
        </w:rPr>
        <w:t>23</w:t>
      </w:r>
      <w:r w:rsidRPr="00861FDD">
        <w:rPr>
          <w:rFonts w:ascii="Book Antiqua" w:hAnsi="Book Antiqua" w:cs="&amp;quot"/>
          <w:b/>
          <w:i w:val="0"/>
          <w:iCs w:val="0"/>
          <w:color w:val="auto"/>
          <w:sz w:val="24"/>
          <w:szCs w:val="24"/>
        </w:rPr>
        <w:fldChar w:fldCharType="end"/>
      </w:r>
      <w:r w:rsidRPr="00861FDD">
        <w:rPr>
          <w:rFonts w:ascii="Book Antiqua" w:hAnsi="Book Antiqua" w:cs="&amp;quot"/>
          <w:b/>
          <w:i w:val="0"/>
          <w:iCs w:val="0"/>
          <w:color w:val="auto"/>
          <w:sz w:val="24"/>
          <w:szCs w:val="24"/>
        </w:rPr>
        <w:t xml:space="preserve">. Solicitudes de cambios presentadas por los proyectos estratégicos durante el </w:t>
      </w:r>
      <w:r w:rsidR="00427AC7" w:rsidRPr="00861FDD">
        <w:rPr>
          <w:rFonts w:ascii="Book Antiqua" w:hAnsi="Book Antiqua" w:cs="&amp;quot"/>
          <w:b/>
          <w:i w:val="0"/>
          <w:iCs w:val="0"/>
          <w:color w:val="auto"/>
          <w:sz w:val="24"/>
          <w:szCs w:val="24"/>
        </w:rPr>
        <w:t>primer</w:t>
      </w:r>
      <w:r w:rsidRPr="00861FDD">
        <w:rPr>
          <w:rFonts w:ascii="Book Antiqua" w:hAnsi="Book Antiqua" w:cs="&amp;quot"/>
          <w:b/>
          <w:i w:val="0"/>
          <w:iCs w:val="0"/>
          <w:color w:val="auto"/>
          <w:sz w:val="24"/>
          <w:szCs w:val="24"/>
        </w:rPr>
        <w:t xml:space="preserve"> seguimiento al portafolio institucional, </w:t>
      </w:r>
      <w:r w:rsidR="00861FDD" w:rsidRPr="00861FDD">
        <w:rPr>
          <w:rFonts w:ascii="Book Antiqua" w:hAnsi="Book Antiqua" w:cs="&amp;quot"/>
          <w:b/>
          <w:i w:val="0"/>
          <w:iCs w:val="0"/>
          <w:color w:val="auto"/>
          <w:sz w:val="24"/>
          <w:szCs w:val="24"/>
        </w:rPr>
        <w:t>con</w:t>
      </w:r>
      <w:r w:rsidRPr="00861FDD">
        <w:rPr>
          <w:rFonts w:ascii="Book Antiqua" w:hAnsi="Book Antiqua" w:cs="&amp;quot"/>
          <w:b/>
          <w:i w:val="0"/>
          <w:iCs w:val="0"/>
          <w:color w:val="auto"/>
          <w:sz w:val="24"/>
          <w:szCs w:val="24"/>
        </w:rPr>
        <w:t xml:space="preserve"> documentos </w:t>
      </w:r>
      <w:r w:rsidR="00861FDD" w:rsidRPr="00861FDD">
        <w:rPr>
          <w:rFonts w:ascii="Book Antiqua" w:hAnsi="Book Antiqua" w:cs="&amp;quot"/>
          <w:b/>
          <w:i w:val="0"/>
          <w:iCs w:val="0"/>
          <w:color w:val="auto"/>
          <w:sz w:val="24"/>
          <w:szCs w:val="24"/>
        </w:rPr>
        <w:t>actualizados</w:t>
      </w:r>
      <w:r w:rsidRPr="00861FDD">
        <w:rPr>
          <w:rFonts w:ascii="Book Antiqua" w:hAnsi="Book Antiqua" w:cs="&amp;quot"/>
          <w:b/>
          <w:i w:val="0"/>
          <w:iCs w:val="0"/>
          <w:color w:val="auto"/>
          <w:sz w:val="24"/>
          <w:szCs w:val="24"/>
        </w:rPr>
        <w:t>.</w:t>
      </w:r>
      <w:bookmarkEnd w:id="91"/>
    </w:p>
    <w:tbl>
      <w:tblPr>
        <w:tblW w:w="9683" w:type="dxa"/>
        <w:tblInd w:w="-72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29"/>
        <w:gridCol w:w="780"/>
        <w:gridCol w:w="2170"/>
        <w:gridCol w:w="2670"/>
        <w:gridCol w:w="1529"/>
        <w:gridCol w:w="1605"/>
      </w:tblGrid>
      <w:tr w:rsidR="00427AC7" w:rsidRPr="00427AC7" w14:paraId="76FCDF31" w14:textId="77777777" w:rsidTr="00E24FCA">
        <w:trPr>
          <w:trHeight w:val="285"/>
          <w:tblHeader/>
        </w:trPr>
        <w:tc>
          <w:tcPr>
            <w:tcW w:w="929"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56EAC508"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b/>
                <w:bCs/>
                <w:color w:val="FFFFFF"/>
                <w:sz w:val="16"/>
                <w:szCs w:val="16"/>
                <w:lang w:eastAsia="es-CR"/>
              </w:rPr>
              <w:t>Fecha</w:t>
            </w:r>
            <w:r w:rsidRPr="00427AC7">
              <w:rPr>
                <w:rFonts w:ascii="Book Antiqua" w:eastAsia="Times New Roman" w:hAnsi="Book Antiqua" w:cs="Segoe UI"/>
                <w:color w:val="FFFFFF"/>
                <w:sz w:val="16"/>
                <w:szCs w:val="16"/>
                <w:lang w:eastAsia="es-CR"/>
              </w:rPr>
              <w:t> </w:t>
            </w:r>
          </w:p>
        </w:tc>
        <w:tc>
          <w:tcPr>
            <w:tcW w:w="780"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0795B248"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b/>
                <w:bCs/>
                <w:color w:val="FFFFFF"/>
                <w:sz w:val="16"/>
                <w:szCs w:val="16"/>
                <w:lang w:eastAsia="es-CR"/>
              </w:rPr>
              <w:t>Código</w:t>
            </w:r>
            <w:r w:rsidRPr="00427AC7">
              <w:rPr>
                <w:rFonts w:ascii="Book Antiqua" w:eastAsia="Times New Roman" w:hAnsi="Book Antiqua" w:cs="Segoe UI"/>
                <w:color w:val="FFFFFF"/>
                <w:sz w:val="16"/>
                <w:szCs w:val="16"/>
                <w:lang w:eastAsia="es-CR"/>
              </w:rPr>
              <w:t> </w:t>
            </w:r>
          </w:p>
        </w:tc>
        <w:tc>
          <w:tcPr>
            <w:tcW w:w="2170"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14E516A0"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b/>
                <w:bCs/>
                <w:color w:val="FFFFFF"/>
                <w:sz w:val="16"/>
                <w:szCs w:val="16"/>
                <w:lang w:eastAsia="es-CR"/>
              </w:rPr>
              <w:t>Nombre del proyecto</w:t>
            </w:r>
            <w:r w:rsidRPr="00427AC7">
              <w:rPr>
                <w:rFonts w:ascii="Book Antiqua" w:eastAsia="Times New Roman" w:hAnsi="Book Antiqua" w:cs="Segoe UI"/>
                <w:color w:val="FFFFFF"/>
                <w:sz w:val="16"/>
                <w:szCs w:val="16"/>
                <w:lang w:eastAsia="es-CR"/>
              </w:rPr>
              <w:t> </w:t>
            </w:r>
          </w:p>
        </w:tc>
        <w:tc>
          <w:tcPr>
            <w:tcW w:w="2670"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33A1C0E2"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b/>
                <w:bCs/>
                <w:color w:val="FFFFFF"/>
                <w:sz w:val="16"/>
                <w:szCs w:val="16"/>
                <w:lang w:eastAsia="es-CR"/>
              </w:rPr>
              <w:t>Solicitud</w:t>
            </w:r>
            <w:r w:rsidRPr="00427AC7">
              <w:rPr>
                <w:rFonts w:ascii="Book Antiqua" w:eastAsia="Times New Roman" w:hAnsi="Book Antiqua" w:cs="Segoe UI"/>
                <w:color w:val="FFFFFF"/>
                <w:sz w:val="16"/>
                <w:szCs w:val="16"/>
                <w:lang w:eastAsia="es-CR"/>
              </w:rPr>
              <w:t> </w:t>
            </w:r>
          </w:p>
        </w:tc>
        <w:tc>
          <w:tcPr>
            <w:tcW w:w="1529"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5F715FE3"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b/>
                <w:bCs/>
                <w:color w:val="FFFFFF"/>
                <w:sz w:val="16"/>
                <w:szCs w:val="16"/>
                <w:lang w:eastAsia="es-CR"/>
              </w:rPr>
              <w:t>Tipo de impacto</w:t>
            </w:r>
            <w:r w:rsidRPr="00427AC7">
              <w:rPr>
                <w:rFonts w:ascii="Book Antiqua" w:eastAsia="Times New Roman" w:hAnsi="Book Antiqua" w:cs="Segoe UI"/>
                <w:color w:val="FFFFFF"/>
                <w:sz w:val="16"/>
                <w:szCs w:val="16"/>
                <w:lang w:eastAsia="es-CR"/>
              </w:rPr>
              <w:t> </w:t>
            </w:r>
          </w:p>
        </w:tc>
        <w:tc>
          <w:tcPr>
            <w:tcW w:w="1605"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1B7873BD"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b/>
                <w:bCs/>
                <w:color w:val="FFFFFF"/>
                <w:sz w:val="16"/>
                <w:szCs w:val="16"/>
                <w:lang w:eastAsia="es-CR"/>
              </w:rPr>
              <w:t>Persona que aprueba Solicitud de cambio</w:t>
            </w:r>
            <w:r w:rsidRPr="00427AC7">
              <w:rPr>
                <w:rFonts w:ascii="Book Antiqua" w:eastAsia="Times New Roman" w:hAnsi="Book Antiqua" w:cs="Segoe UI"/>
                <w:color w:val="FFFFFF"/>
                <w:sz w:val="16"/>
                <w:szCs w:val="16"/>
                <w:lang w:eastAsia="es-CR"/>
              </w:rPr>
              <w:t> </w:t>
            </w:r>
          </w:p>
        </w:tc>
      </w:tr>
      <w:tr w:rsidR="00427AC7" w:rsidRPr="00427AC7" w14:paraId="3381E5F3"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E0B4A38"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4/5/2023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22B2414"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0032-DP-P04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C13F605"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Actualización de los estados procesales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4D2073E"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 xml:space="preserve">Cambio del líder de proyecto Lic. Rodolfo Brenes Blanco al Lic. Esteban Arguedas Madrigal. Se agregan al cronograma los entregables del al 3.70 extendiendo el plazo fin al 26 de marzo de 2024. Lo anterior cuenta con </w:t>
            </w:r>
            <w:r w:rsidRPr="00427AC7">
              <w:rPr>
                <w:rFonts w:ascii="Book Antiqua" w:eastAsia="Times New Roman" w:hAnsi="Book Antiqua" w:cs="Segoe UI"/>
                <w:color w:val="000000"/>
                <w:sz w:val="16"/>
                <w:szCs w:val="16"/>
                <w:lang w:eastAsia="es-CR"/>
              </w:rPr>
              <w:lastRenderedPageBreak/>
              <w:t>visto bueno de la Dirección de la Defensa Pública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86C9EE1"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lastRenderedPageBreak/>
              <w:t>Cronograma, costo, recursos.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A17F0E8"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Pendiente aprobación de solicitud de cambio por parte del Director del proyecto </w:t>
            </w:r>
          </w:p>
        </w:tc>
      </w:tr>
      <w:tr w:rsidR="00427AC7" w:rsidRPr="00427AC7" w14:paraId="6CC314E6"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95F63D0"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20/3/2023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B84CF71"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0032-DP-P08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1171AB0"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Estudio Administración Defensa Pública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E67967F" w14:textId="2A68082A"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 xml:space="preserve">Ajustes al cronograma de trabajo; Ajustes en el estudio de factibilidad; Ajustes en el acta de constitución; Ajustes en el plan de gestión.;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70567B1"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Costo, cronograma, y rendimiento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567DE2C"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Juan Carlos Pérez Murillo </w:t>
            </w:r>
          </w:p>
        </w:tc>
      </w:tr>
      <w:tr w:rsidR="00427AC7" w:rsidRPr="00427AC7" w14:paraId="07CE40A0" w14:textId="77777777" w:rsidTr="00861FDD">
        <w:trPr>
          <w:trHeight w:val="510"/>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305B05F"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28/4/2023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C4BE6E1"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0034-CIJ-P01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6E532AF"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Fortalecimiento del acceso a la información judicial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1D64177"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Modificación fecha de plan piloto; modificación fechas de cierre;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39A1633"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9525D34"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Patricia Bonilla </w:t>
            </w:r>
          </w:p>
        </w:tc>
      </w:tr>
      <w:tr w:rsidR="00427AC7" w:rsidRPr="00427AC7" w14:paraId="7F5F3F1C"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E91FE77"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7/3/2023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1DBC186"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0034-CIJ-P02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69BDE30"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Herramienta para la despersonalización de documentos judiciales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4A7AD3C"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Modificación del cronograma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FAD8972"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F7ED286"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Pendiente aprobación de solicitud de cambio por parte del Director del proyecto </w:t>
            </w:r>
          </w:p>
        </w:tc>
      </w:tr>
      <w:tr w:rsidR="00427AC7" w:rsidRPr="00427AC7" w14:paraId="1CE0D25D"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4050C9D"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4/5/2023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0C184D4"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0034-CIJ-P02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B118FC9"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Herramienta para la despersonalización de documentos judiciales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BC5D288"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Modificación Acta de Constitución; modificación Plan de Gestión del Proyecto; Modificación de fechas de cierre en cronograma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F2A944E"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F885991"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Patricia Bonilla </w:t>
            </w:r>
          </w:p>
        </w:tc>
      </w:tr>
      <w:tr w:rsidR="00427AC7" w:rsidRPr="00427AC7" w14:paraId="6C8757FE" w14:textId="77777777" w:rsidTr="00861FDD">
        <w:trPr>
          <w:trHeight w:val="49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7F30695"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28/4/2023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150894D"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0035-EJ-P01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9B01C86"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Sistema de Gestión de Capacitación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4431A73"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Modificación del cronograma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D5A521F"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D0D2669" w14:textId="6B65F453"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 xml:space="preserve">Sandra </w:t>
            </w:r>
            <w:r w:rsidR="00322719" w:rsidRPr="00427AC7">
              <w:rPr>
                <w:rFonts w:ascii="Book Antiqua" w:eastAsia="Times New Roman" w:hAnsi="Book Antiqua" w:cs="Segoe UI"/>
                <w:color w:val="000000"/>
                <w:sz w:val="16"/>
                <w:szCs w:val="16"/>
                <w:lang w:eastAsia="es-CR"/>
              </w:rPr>
              <w:t>Zuñiga</w:t>
            </w:r>
            <w:r w:rsidRPr="00427AC7">
              <w:rPr>
                <w:rFonts w:ascii="Book Antiqua" w:eastAsia="Times New Roman" w:hAnsi="Book Antiqua" w:cs="Segoe UI"/>
                <w:color w:val="000000"/>
                <w:sz w:val="16"/>
                <w:szCs w:val="16"/>
                <w:lang w:eastAsia="es-CR"/>
              </w:rPr>
              <w:t xml:space="preserve"> Morales </w:t>
            </w:r>
          </w:p>
        </w:tc>
      </w:tr>
      <w:tr w:rsidR="00427AC7" w:rsidRPr="00427AC7" w14:paraId="09E69746"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F47A0EA"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7/3/2023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9F4EB61"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0110-PLA-P23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3F6AED2"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Automatización de los Procesos Jurisdiccionales y análisis del Rezago Judicial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99D8C2E"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Times New Roman" w:eastAsia="Times New Roman" w:hAnsi="Times New Roman" w:cs="Times New Roman"/>
                <w:color w:val="000000"/>
                <w:sz w:val="16"/>
                <w:szCs w:val="16"/>
                <w:lang w:eastAsia="es-CR"/>
              </w:rPr>
              <w:t> </w:t>
            </w:r>
            <w:r w:rsidRPr="00427AC7">
              <w:rPr>
                <w:rFonts w:ascii="Book Antiqua" w:eastAsia="Times New Roman" w:hAnsi="Book Antiqua" w:cs="Segoe UI"/>
                <w:color w:val="000000"/>
                <w:sz w:val="16"/>
                <w:szCs w:val="16"/>
                <w:lang w:eastAsia="es-CR"/>
              </w:rPr>
              <w:t xml:space="preserve">Se solicita actualizar nombre del Proyecto que se visualiza en el sitio del Proyecto a </w:t>
            </w:r>
            <w:r w:rsidRPr="00427AC7">
              <w:rPr>
                <w:rFonts w:ascii="Book Antiqua" w:eastAsia="Times New Roman" w:hAnsi="Book Antiqua" w:cs="Segoe UI"/>
                <w:i/>
                <w:iCs/>
                <w:color w:val="000000"/>
                <w:sz w:val="16"/>
                <w:szCs w:val="16"/>
                <w:lang w:eastAsia="es-CR"/>
              </w:rPr>
              <w:t>“Automatización de los Procesos Jurisdiccionales y análisis del Rezago Judicial”,</w:t>
            </w:r>
            <w:r w:rsidRPr="00427AC7">
              <w:rPr>
                <w:rFonts w:ascii="Book Antiqua" w:eastAsia="Times New Roman" w:hAnsi="Book Antiqua" w:cs="Segoe UI"/>
                <w:color w:val="000000"/>
                <w:sz w:val="16"/>
                <w:szCs w:val="16"/>
                <w:lang w:eastAsia="es-CR"/>
              </w:rPr>
              <w:t xml:space="preserve"> para alinearlo con el alcance del Proyecto: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C1764AC"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Técnico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87E21E2"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Roger Brenes Mata </w:t>
            </w:r>
          </w:p>
        </w:tc>
      </w:tr>
      <w:tr w:rsidR="00427AC7" w:rsidRPr="00427AC7" w14:paraId="57979DDD" w14:textId="77777777" w:rsidTr="00861FDD">
        <w:trPr>
          <w:trHeight w:val="690"/>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E46066F"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28/4/2023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F71BE66"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0110-PLA-P23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9A1FC17"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Automatización de los Procesos Jurisdiccionales y análisis del Rezago Judicial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650B832"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Modifica cronograma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1B75F10"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2C696E5"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Roger Brenes Mata </w:t>
            </w:r>
          </w:p>
        </w:tc>
      </w:tr>
      <w:tr w:rsidR="00427AC7" w:rsidRPr="00427AC7" w14:paraId="726ADD84"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E901CD8"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28/4/2023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9AF8A73"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0116-DPC-P01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E5F1A8B"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Política de Comunicación Integral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18A2C40"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Modificación del cronograma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D0605B"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costo, recursos.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10D3304" w14:textId="5B62B8AC" w:rsidR="00427AC7" w:rsidRPr="00427AC7" w:rsidRDefault="00322719"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Roger</w:t>
            </w:r>
            <w:r w:rsidR="00427AC7" w:rsidRPr="00427AC7">
              <w:rPr>
                <w:rFonts w:ascii="Book Antiqua" w:eastAsia="Times New Roman" w:hAnsi="Book Antiqua" w:cs="Segoe UI"/>
                <w:color w:val="000000"/>
                <w:sz w:val="16"/>
                <w:szCs w:val="16"/>
                <w:lang w:eastAsia="es-CR"/>
              </w:rPr>
              <w:t xml:space="preserve"> Mata Brenes </w:t>
            </w:r>
          </w:p>
        </w:tc>
      </w:tr>
      <w:tr w:rsidR="00427AC7" w:rsidRPr="00427AC7" w14:paraId="651317D3"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8C11295"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15/5/2023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1F2A648"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0116-DPC-P01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4E2154A"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Política de Comunicación Integral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057788B"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Justificación de atraso, y actualización de porcentaje.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6B86355"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costo, recursos.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AC79104" w14:textId="213B574C" w:rsidR="00427AC7" w:rsidRPr="00427AC7" w:rsidRDefault="00322719"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Roger</w:t>
            </w:r>
            <w:r w:rsidR="00427AC7" w:rsidRPr="00427AC7">
              <w:rPr>
                <w:rFonts w:ascii="Book Antiqua" w:eastAsia="Times New Roman" w:hAnsi="Book Antiqua" w:cs="Segoe UI"/>
                <w:color w:val="000000"/>
                <w:sz w:val="16"/>
                <w:szCs w:val="16"/>
                <w:lang w:eastAsia="es-CR"/>
              </w:rPr>
              <w:t xml:space="preserve"> Mata Brenes </w:t>
            </w:r>
          </w:p>
        </w:tc>
      </w:tr>
      <w:tr w:rsidR="00427AC7" w:rsidRPr="00427AC7" w14:paraId="6E9A7807"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885DD89"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5/5/2023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290891E"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0117-DE-P07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DE90E26"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Torre Anexa y Reacondicionamiento Eléctrico Edificio III Circuito Judicial Alajuela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0D0C83C"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Modificación del cronograma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49E662A"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BC20DDB"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Aura Yanes Quintana </w:t>
            </w:r>
          </w:p>
        </w:tc>
      </w:tr>
      <w:tr w:rsidR="00427AC7" w:rsidRPr="00427AC7" w14:paraId="73397E07"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6FB8CD8"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25/4/2023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B570E50"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0117-DE-P30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5CCF6B9"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Análisis y aplicación de las disposiciones emitidas por la CGR, en informe DFOE-GOB-IF-00009-2021, de acuerdo a la implementación de las NICSP en el Poder Judicial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321BACD"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Modificación del cronograma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00808A9"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F413275"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Ana Eugenia Romero Jenkins </w:t>
            </w:r>
          </w:p>
        </w:tc>
      </w:tr>
      <w:tr w:rsidR="00427AC7" w:rsidRPr="00427AC7" w14:paraId="25993EDE"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FA4D657"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15/5/2023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1BFB4EC"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0117-DE-P31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28CC289"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Implementación de acciones de mejora, modificación y adaptación institucional a la nueva Ley N°9986,“Ley General de Contratación Pública”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D0FE4E6"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Modificación del cronograma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5CD314E"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BE970CD"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Adriana Esquivel Sanabria </w:t>
            </w:r>
          </w:p>
        </w:tc>
      </w:tr>
      <w:tr w:rsidR="00427AC7" w:rsidRPr="00427AC7" w14:paraId="2AAC69C2"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30D8EB0"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28/2/2023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A27A6B7"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0117-DE-P49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E339DD7"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Proyecto del Subproceso de Gestión de Continuidad del Servicio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D3B060A"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Modificación del cronograma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638BAC"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Costo, cronograma , y recursos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1F1F763"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Ana Eugenia Romero Jenkins </w:t>
            </w:r>
          </w:p>
        </w:tc>
      </w:tr>
      <w:tr w:rsidR="00427AC7" w:rsidRPr="00427AC7" w14:paraId="592F0D74"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361F452"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7/2/2023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FE6B425"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0122-DTI-P01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099DEC8"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Nueva versión del Sistema de Gestión de despachos judiciales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A049BB7"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Modificación del cronograma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DD67506" w14:textId="1AC79B0D"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 xml:space="preserve">Costo, cronograma , y </w:t>
            </w:r>
            <w:r w:rsidR="005A1D93" w:rsidRPr="00427AC7">
              <w:rPr>
                <w:rFonts w:ascii="Book Antiqua" w:eastAsia="Times New Roman" w:hAnsi="Book Antiqua" w:cs="Segoe UI"/>
                <w:color w:val="000000"/>
                <w:sz w:val="16"/>
                <w:szCs w:val="16"/>
                <w:lang w:eastAsia="es-CR"/>
              </w:rPr>
              <w:t>técnica</w:t>
            </w:r>
            <w:r w:rsidRPr="00427AC7">
              <w:rPr>
                <w:rFonts w:ascii="Book Antiqua" w:eastAsia="Times New Roman" w:hAnsi="Book Antiqua" w:cs="Segoe UI"/>
                <w:color w:val="000000"/>
                <w:sz w:val="16"/>
                <w:szCs w:val="16"/>
                <w:lang w:eastAsia="es-CR"/>
              </w:rPr>
              <w:t>.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7545433"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Pendiente aprobación de solicitud de cambio </w:t>
            </w:r>
          </w:p>
        </w:tc>
      </w:tr>
      <w:tr w:rsidR="00427AC7" w:rsidRPr="00427AC7" w14:paraId="5883814F"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D240EAD"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lastRenderedPageBreak/>
              <w:t>30/1/2023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B54067F"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0122-DTI-P02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18A1586"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Incorporación de la jurisprudencia oral en el Nexus-PJ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96871FE"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Modificación del cronograma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6EA25F2"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FBE7461"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Pendiente aprobación de solicitud de cambio por parte del Director del proyecto </w:t>
            </w:r>
          </w:p>
        </w:tc>
      </w:tr>
      <w:tr w:rsidR="00427AC7" w:rsidRPr="00427AC7" w14:paraId="60FEBB2C"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80485E5"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8/3/2023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09185FE"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0122-DTI-P02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9CE5F61"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Incorporación de la jurisprudencia oral en el Nexus-PJ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D2DDAB1"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Modificación del cronograma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32B7299"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4D81732"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Pendiente aprobación de solicitud de cambio por parte del Director del proyecto </w:t>
            </w:r>
          </w:p>
        </w:tc>
      </w:tr>
      <w:tr w:rsidR="00427AC7" w:rsidRPr="00427AC7" w14:paraId="0F67A56B"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75F67F2"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31/3/2023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223640B"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0122-DTI-P02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2C1A527"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Incorporación de la jurisprudencia oral en el Nexus-PJ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9E9BAFD"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Modificación del cronograma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6B72C16"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234054"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Pendiente aprobación de solicitud de cambio por parte del Director del proyecto </w:t>
            </w:r>
          </w:p>
        </w:tc>
      </w:tr>
      <w:tr w:rsidR="00427AC7" w:rsidRPr="00427AC7" w14:paraId="1505BB95"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641B79D"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28/4/2023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22DCF49"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0134-DGH-P14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27607C6"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Actualización de la Política sobre Empleabilidad en el Poder Judicial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5151244"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Ajustar el cronograma de trabajo. Reincorporar a la licenciada Jazmín Orozco Arias al proyecto.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46AA4A6"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A3B6E5D"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Roxana Arrieta Meléndez </w:t>
            </w:r>
          </w:p>
        </w:tc>
      </w:tr>
      <w:tr w:rsidR="00427AC7" w:rsidRPr="00427AC7" w14:paraId="691EB5D9"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7F9F5C9"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15/4/2023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B56CB67"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0653-DP-P02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BC60EC6"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Régimen Disciplinario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831B28B"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Ampliación de la fecha de fin del proyecto.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59B7F00"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963EA41"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Roger Brenes Mata </w:t>
            </w:r>
          </w:p>
        </w:tc>
      </w:tr>
      <w:tr w:rsidR="00427AC7" w:rsidRPr="00427AC7" w14:paraId="5C4EE1FB"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A3337CC"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8/3/2023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9F07183"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0717-MP-P04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3F97B8"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Modelo para el abordaje de la criminalidad no convencional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AAC1B53"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La solicitud de modificación de cambio de Líder de Proyecto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7A122CF"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Recursos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BC12902"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Karen Valverde Chaves</w:t>
            </w:r>
            <w:r w:rsidRPr="00427AC7">
              <w:rPr>
                <w:rFonts w:ascii="Times New Roman" w:eastAsia="Times New Roman" w:hAnsi="Times New Roman" w:cs="Times New Roman"/>
                <w:color w:val="000000"/>
                <w:sz w:val="16"/>
                <w:szCs w:val="16"/>
                <w:lang w:eastAsia="es-CR"/>
              </w:rPr>
              <w:t>  </w:t>
            </w:r>
          </w:p>
        </w:tc>
      </w:tr>
      <w:tr w:rsidR="00427AC7" w:rsidRPr="00427AC7" w14:paraId="1781FAFB"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940331F"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18/4/2023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EF61D68"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0717-MP-P06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2D2DCE6"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Programa de capacitación en Justicia Restaurativa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E712D49"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Se solicita el cambio de líder de proyecto, toda vez que, por disposición del Señor Fiscal General Carlo Díaz Sánchez se realizó la reasignación del cumplimiento de los objetivos estratégicos de este Proyecto, a la Oficina de Justicia Restaurativa, resultando procedente nombrar como líder, a la Fiscala Adjunta Sara Arce Moya.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6E3192C"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Recursos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14963AF"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Pendiente aprobación de solicitud de cambio por parte del Director del proyecto </w:t>
            </w:r>
          </w:p>
        </w:tc>
      </w:tr>
      <w:tr w:rsidR="00427AC7" w:rsidRPr="00427AC7" w14:paraId="37D56F50"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08630D1"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20/4/2023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70BC69F"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0718-OAPVT-P01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9CFB5FA"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Propuesta de Reforma a la Ley 8720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0850718"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Ajustes en actividades del cronograma.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A6E044D"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y En otros proyecto o procesos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9A7DCFB"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José Ángel Peñaranda Chaverri </w:t>
            </w:r>
          </w:p>
        </w:tc>
      </w:tr>
      <w:tr w:rsidR="00427AC7" w:rsidRPr="00427AC7" w14:paraId="521FAE97"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21C19B8"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24/3/2023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B137086"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1167-OIJ-P24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3D0A5DD"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Sistema Único Policial Especializado en la Resolución de la Criminalidad común, Organizada y la Prevención (SUPERCOP)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677D950"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1. Inclusión de funcionalidad referente a inteligencia artificial. 2. Actualización del cronograma según los desarrollos operativos de cada módulo Solicitud de recurso humano para el desarrollo de estas nuevas funcionalidades. 3. Actualización de la documentación del proyecto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ED8BD95"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Costo, técnico,  cronograma, rendimiento y recurso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BEDF011"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Randall Zuñiga Lopez </w:t>
            </w:r>
          </w:p>
        </w:tc>
      </w:tr>
      <w:tr w:rsidR="00427AC7" w:rsidRPr="00427AC7" w14:paraId="27E85D84"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479BEB5"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22/5/2023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D95F626"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1371-CGAI-P01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D110C30"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Política Ambiental del Poder Judicial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20D5500"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Actualización de los formularios:• F01. Estudio de Factibilidad (todo el documento) • F01. Acta de constitución (todo el documento) • F02. Plan de Gestión (todo el documento) • Cronograma del proyecto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4828005"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rendimiento y recurso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D76214D"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Damaris Vargas Vásquez </w:t>
            </w:r>
          </w:p>
        </w:tc>
      </w:tr>
      <w:tr w:rsidR="00427AC7" w:rsidRPr="00427AC7" w14:paraId="272E95DB" w14:textId="77777777" w:rsidTr="00861FDD">
        <w:trPr>
          <w:trHeight w:val="285"/>
        </w:trPr>
        <w:tc>
          <w:tcPr>
            <w:tcW w:w="929" w:type="dxa"/>
            <w:tcBorders>
              <w:top w:val="nil"/>
              <w:left w:val="single" w:sz="6" w:space="0" w:color="auto"/>
              <w:bottom w:val="single" w:sz="6" w:space="0" w:color="auto"/>
              <w:right w:val="single" w:sz="6" w:space="0" w:color="auto"/>
            </w:tcBorders>
            <w:shd w:val="clear" w:color="auto" w:fill="FFFFFF"/>
            <w:vAlign w:val="center"/>
            <w:hideMark/>
          </w:tcPr>
          <w:p w14:paraId="185862ED"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19/4/2023 </w:t>
            </w:r>
          </w:p>
        </w:tc>
        <w:tc>
          <w:tcPr>
            <w:tcW w:w="780" w:type="dxa"/>
            <w:tcBorders>
              <w:top w:val="nil"/>
              <w:left w:val="nil"/>
              <w:bottom w:val="single" w:sz="6" w:space="0" w:color="auto"/>
              <w:right w:val="single" w:sz="6" w:space="0" w:color="auto"/>
            </w:tcBorders>
            <w:shd w:val="clear" w:color="auto" w:fill="FFFFFF"/>
            <w:vAlign w:val="center"/>
            <w:hideMark/>
          </w:tcPr>
          <w:p w14:paraId="11D7ED00"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1371-CGAI-P01 </w:t>
            </w:r>
          </w:p>
        </w:tc>
        <w:tc>
          <w:tcPr>
            <w:tcW w:w="2170" w:type="dxa"/>
            <w:tcBorders>
              <w:top w:val="nil"/>
              <w:left w:val="nil"/>
              <w:bottom w:val="single" w:sz="6" w:space="0" w:color="auto"/>
              <w:right w:val="single" w:sz="6" w:space="0" w:color="auto"/>
            </w:tcBorders>
            <w:shd w:val="clear" w:color="auto" w:fill="FFFFFF"/>
            <w:vAlign w:val="center"/>
            <w:hideMark/>
          </w:tcPr>
          <w:p w14:paraId="23ABD6BE"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Política Ambiental del Poder Judicial </w:t>
            </w:r>
          </w:p>
        </w:tc>
        <w:tc>
          <w:tcPr>
            <w:tcW w:w="2670" w:type="dxa"/>
            <w:tcBorders>
              <w:top w:val="nil"/>
              <w:left w:val="nil"/>
              <w:bottom w:val="single" w:sz="6" w:space="0" w:color="auto"/>
              <w:right w:val="single" w:sz="6" w:space="0" w:color="auto"/>
            </w:tcBorders>
            <w:shd w:val="clear" w:color="auto" w:fill="FFFFFF"/>
            <w:vAlign w:val="center"/>
            <w:hideMark/>
          </w:tcPr>
          <w:p w14:paraId="125A0447"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 xml:space="preserve">Actualización del plan de gestión, acta de constitución y cronograma del proyecto por cambios en la integración de la Comisión de Gestión Ambiental. Asimismo, debido a la solicitud de permiso con goce de salario para la señora María Rosa Castro García, Jueza del Tribunal Agrario del Segundo Circuito Judicial </w:t>
            </w:r>
            <w:r w:rsidRPr="00427AC7">
              <w:rPr>
                <w:rFonts w:ascii="Book Antiqua" w:eastAsia="Times New Roman" w:hAnsi="Book Antiqua" w:cs="Segoe UI"/>
                <w:color w:val="000000"/>
                <w:sz w:val="16"/>
                <w:szCs w:val="16"/>
                <w:lang w:eastAsia="es-CR"/>
              </w:rPr>
              <w:lastRenderedPageBreak/>
              <w:t>de San José y modificación del cronograma del proyecto </w:t>
            </w:r>
          </w:p>
        </w:tc>
        <w:tc>
          <w:tcPr>
            <w:tcW w:w="1529" w:type="dxa"/>
            <w:tcBorders>
              <w:top w:val="nil"/>
              <w:left w:val="nil"/>
              <w:bottom w:val="single" w:sz="6" w:space="0" w:color="auto"/>
              <w:right w:val="single" w:sz="6" w:space="0" w:color="auto"/>
            </w:tcBorders>
            <w:shd w:val="clear" w:color="auto" w:fill="FFFFFF"/>
            <w:vAlign w:val="center"/>
            <w:hideMark/>
          </w:tcPr>
          <w:p w14:paraId="2262D5B0"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lastRenderedPageBreak/>
              <w:t>Costo, técnico,  cronograma, rendimiento y recurso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4AC75C3"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Damaris Vargas Vásquez </w:t>
            </w:r>
          </w:p>
        </w:tc>
      </w:tr>
      <w:tr w:rsidR="00427AC7" w:rsidRPr="00427AC7" w14:paraId="261B9374"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137A822"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6/6/2023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F39F553"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0134-DGH-P06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D8523E1"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Modernización del Proceso de Evaluación Psicológica (Puestos de Judicatura)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7BE4774"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Actualización del cronograma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9C80961"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A1C98B8" w14:textId="77777777" w:rsidR="00427AC7" w:rsidRPr="00397A0F" w:rsidRDefault="00427AC7" w:rsidP="00322719">
            <w:pPr>
              <w:spacing w:after="0" w:line="240" w:lineRule="auto"/>
              <w:jc w:val="both"/>
              <w:textAlignment w:val="baseline"/>
              <w:rPr>
                <w:rFonts w:ascii="Segoe UI" w:eastAsia="Times New Roman" w:hAnsi="Segoe UI" w:cs="Segoe UI"/>
                <w:sz w:val="18"/>
                <w:szCs w:val="18"/>
                <w:lang w:eastAsia="es-CR"/>
              </w:rPr>
            </w:pPr>
            <w:r w:rsidRPr="00397A0F">
              <w:rPr>
                <w:rFonts w:ascii="Book Antiqua" w:eastAsia="Times New Roman" w:hAnsi="Book Antiqua" w:cs="Segoe UI"/>
                <w:color w:val="000000"/>
                <w:sz w:val="16"/>
                <w:szCs w:val="16"/>
                <w:lang w:eastAsia="es-CR"/>
              </w:rPr>
              <w:t>Olga Guerrero Córdoba </w:t>
            </w:r>
          </w:p>
        </w:tc>
      </w:tr>
      <w:tr w:rsidR="00427AC7" w:rsidRPr="00427AC7" w14:paraId="70715472"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AF47CFF"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3/2/2023 </w:t>
            </w:r>
          </w:p>
        </w:tc>
        <w:tc>
          <w:tcPr>
            <w:tcW w:w="780" w:type="dxa"/>
            <w:tcBorders>
              <w:top w:val="single" w:sz="6" w:space="0" w:color="auto"/>
              <w:left w:val="nil"/>
              <w:bottom w:val="single" w:sz="6" w:space="0" w:color="auto"/>
              <w:right w:val="single" w:sz="6" w:space="0" w:color="auto"/>
            </w:tcBorders>
            <w:shd w:val="clear" w:color="auto" w:fill="FFFFFF"/>
            <w:vAlign w:val="center"/>
            <w:hideMark/>
          </w:tcPr>
          <w:p w14:paraId="606BEA6C" w14:textId="77777777" w:rsidR="00427AC7" w:rsidRPr="00F83169" w:rsidRDefault="00427AC7" w:rsidP="00427AC7">
            <w:pPr>
              <w:spacing w:after="0" w:line="240" w:lineRule="auto"/>
              <w:jc w:val="center"/>
              <w:textAlignment w:val="baseline"/>
              <w:rPr>
                <w:rFonts w:ascii="Segoe UI" w:eastAsia="Times New Roman" w:hAnsi="Segoe UI" w:cs="Segoe UI"/>
                <w:sz w:val="18"/>
                <w:szCs w:val="18"/>
                <w:lang w:eastAsia="es-CR"/>
              </w:rPr>
            </w:pPr>
            <w:r w:rsidRPr="00F83169">
              <w:rPr>
                <w:rFonts w:ascii="Book Antiqua" w:eastAsia="Times New Roman" w:hAnsi="Book Antiqua" w:cs="Segoe UI"/>
                <w:color w:val="000000"/>
                <w:sz w:val="16"/>
                <w:szCs w:val="16"/>
                <w:lang w:eastAsia="es-CR"/>
              </w:rPr>
              <w:t>0110-PLA-P01 </w:t>
            </w:r>
          </w:p>
        </w:tc>
        <w:tc>
          <w:tcPr>
            <w:tcW w:w="2170" w:type="dxa"/>
            <w:tcBorders>
              <w:top w:val="single" w:sz="6" w:space="0" w:color="auto"/>
              <w:left w:val="nil"/>
              <w:bottom w:val="single" w:sz="6" w:space="0" w:color="auto"/>
              <w:right w:val="single" w:sz="6" w:space="0" w:color="auto"/>
            </w:tcBorders>
            <w:shd w:val="clear" w:color="auto" w:fill="FFFFFF"/>
            <w:vAlign w:val="center"/>
            <w:hideMark/>
          </w:tcPr>
          <w:p w14:paraId="270D1C62" w14:textId="77777777" w:rsidR="00427AC7" w:rsidRPr="00427AC7" w:rsidRDefault="00427AC7" w:rsidP="00EF4E17">
            <w:pPr>
              <w:spacing w:after="0" w:line="240" w:lineRule="auto"/>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Automatización de Indicadores de Gestión </w:t>
            </w:r>
          </w:p>
        </w:tc>
        <w:tc>
          <w:tcPr>
            <w:tcW w:w="2670" w:type="dxa"/>
            <w:tcBorders>
              <w:top w:val="single" w:sz="6" w:space="0" w:color="auto"/>
              <w:left w:val="nil"/>
              <w:bottom w:val="single" w:sz="6" w:space="0" w:color="auto"/>
              <w:right w:val="single" w:sz="6" w:space="0" w:color="auto"/>
            </w:tcBorders>
            <w:shd w:val="clear" w:color="auto" w:fill="FFFFFF"/>
            <w:vAlign w:val="center"/>
            <w:hideMark/>
          </w:tcPr>
          <w:p w14:paraId="3D06ABB3" w14:textId="77777777" w:rsidR="00427AC7" w:rsidRPr="003900F4" w:rsidRDefault="00427AC7" w:rsidP="00322719">
            <w:pPr>
              <w:spacing w:after="0" w:line="240" w:lineRule="auto"/>
              <w:jc w:val="both"/>
              <w:textAlignment w:val="baseline"/>
              <w:rPr>
                <w:rFonts w:ascii="Segoe UI" w:eastAsia="Times New Roman" w:hAnsi="Segoe UI" w:cs="Segoe UI"/>
                <w:sz w:val="18"/>
                <w:szCs w:val="18"/>
                <w:lang w:eastAsia="es-CR"/>
              </w:rPr>
            </w:pPr>
            <w:r w:rsidRPr="00EF4E17">
              <w:rPr>
                <w:rFonts w:ascii="Book Antiqua" w:eastAsia="Times New Roman" w:hAnsi="Book Antiqua" w:cs="Segoe UI"/>
                <w:color w:val="000000"/>
                <w:sz w:val="16"/>
                <w:szCs w:val="16"/>
                <w:lang w:eastAsia="es-CR"/>
              </w:rPr>
              <w:t>Ajuste del cronograma del Proyecto</w:t>
            </w:r>
            <w:r w:rsidRPr="003900F4">
              <w:rPr>
                <w:rFonts w:ascii="Book Antiqua" w:eastAsia="Times New Roman" w:hAnsi="Book Antiqua" w:cs="Segoe UI"/>
                <w:color w:val="000000"/>
                <w:sz w:val="16"/>
                <w:szCs w:val="16"/>
                <w:lang w:eastAsia="es-CR"/>
              </w:rPr>
              <w:t> </w:t>
            </w:r>
          </w:p>
        </w:tc>
        <w:tc>
          <w:tcPr>
            <w:tcW w:w="1529" w:type="dxa"/>
            <w:tcBorders>
              <w:top w:val="single" w:sz="6" w:space="0" w:color="auto"/>
              <w:left w:val="nil"/>
              <w:bottom w:val="single" w:sz="6" w:space="0" w:color="auto"/>
              <w:right w:val="single" w:sz="6" w:space="0" w:color="auto"/>
            </w:tcBorders>
            <w:shd w:val="clear" w:color="auto" w:fill="FFFFFF"/>
            <w:vAlign w:val="center"/>
            <w:hideMark/>
          </w:tcPr>
          <w:p w14:paraId="43F5D289" w14:textId="77777777" w:rsidR="00427AC7" w:rsidRPr="00427AC7" w:rsidRDefault="00427AC7" w:rsidP="00322719">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89AA9CF" w14:textId="11B60F94" w:rsidR="00427AC7" w:rsidRPr="00397A0F" w:rsidRDefault="000C4DA1" w:rsidP="00322719">
            <w:pPr>
              <w:spacing w:after="0" w:line="240" w:lineRule="auto"/>
              <w:jc w:val="both"/>
              <w:textAlignment w:val="baseline"/>
              <w:rPr>
                <w:rFonts w:ascii="Segoe UI" w:eastAsia="Times New Roman" w:hAnsi="Segoe UI" w:cs="Segoe UI"/>
                <w:sz w:val="18"/>
                <w:szCs w:val="18"/>
                <w:lang w:eastAsia="es-CR"/>
              </w:rPr>
            </w:pPr>
            <w:r w:rsidRPr="00EF4E17">
              <w:rPr>
                <w:rFonts w:ascii="Book Antiqua" w:eastAsia="Times New Roman" w:hAnsi="Book Antiqua" w:cs="Segoe UI"/>
                <w:color w:val="000000"/>
                <w:sz w:val="16"/>
                <w:szCs w:val="16"/>
                <w:lang w:eastAsia="es-CR"/>
              </w:rPr>
              <w:t xml:space="preserve"> </w:t>
            </w:r>
            <w:r w:rsidR="00397A0F" w:rsidRPr="00EF4E17">
              <w:rPr>
                <w:rFonts w:ascii="Book Antiqua" w:eastAsia="Times New Roman" w:hAnsi="Book Antiqua" w:cs="Segoe UI"/>
                <w:color w:val="000000"/>
                <w:sz w:val="16"/>
                <w:szCs w:val="16"/>
                <w:lang w:eastAsia="es-CR"/>
              </w:rPr>
              <w:t>En proceso de actualización</w:t>
            </w:r>
            <w:r w:rsidR="00EF4E17">
              <w:rPr>
                <w:rFonts w:ascii="Book Antiqua" w:eastAsia="Times New Roman" w:hAnsi="Book Antiqua" w:cs="Segoe UI"/>
                <w:color w:val="000000"/>
                <w:sz w:val="16"/>
                <w:szCs w:val="16"/>
                <w:lang w:eastAsia="es-CR"/>
              </w:rPr>
              <w:t xml:space="preserve"> por parte del líder de proyecto</w:t>
            </w:r>
            <w:r w:rsidR="00397A0F" w:rsidRPr="00EF4E17">
              <w:rPr>
                <w:rFonts w:ascii="Book Antiqua" w:eastAsia="Times New Roman" w:hAnsi="Book Antiqua" w:cs="Segoe UI"/>
                <w:color w:val="000000"/>
                <w:sz w:val="16"/>
                <w:szCs w:val="16"/>
                <w:lang w:eastAsia="es-CR"/>
              </w:rPr>
              <w:t>.</w:t>
            </w:r>
            <w:r w:rsidRPr="00EF4E17">
              <w:rPr>
                <w:rFonts w:ascii="Book Antiqua" w:eastAsia="Times New Roman" w:hAnsi="Book Antiqua" w:cs="Segoe UI"/>
                <w:color w:val="000000"/>
                <w:sz w:val="16"/>
                <w:szCs w:val="16"/>
                <w:lang w:eastAsia="es-CR"/>
              </w:rPr>
              <w:t> </w:t>
            </w:r>
          </w:p>
        </w:tc>
      </w:tr>
      <w:tr w:rsidR="00427AC7" w:rsidRPr="00427AC7" w14:paraId="2D132727" w14:textId="77777777" w:rsidTr="00861FDD">
        <w:trPr>
          <w:trHeight w:val="285"/>
        </w:trPr>
        <w:tc>
          <w:tcPr>
            <w:tcW w:w="929" w:type="dxa"/>
            <w:tcBorders>
              <w:top w:val="nil"/>
              <w:left w:val="single" w:sz="6" w:space="0" w:color="auto"/>
              <w:bottom w:val="single" w:sz="6" w:space="0" w:color="auto"/>
              <w:right w:val="single" w:sz="6" w:space="0" w:color="auto"/>
            </w:tcBorders>
            <w:shd w:val="clear" w:color="auto" w:fill="FFFFFF"/>
            <w:vAlign w:val="center"/>
            <w:hideMark/>
          </w:tcPr>
          <w:p w14:paraId="66B65497"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21/3/2023 </w:t>
            </w:r>
          </w:p>
        </w:tc>
        <w:tc>
          <w:tcPr>
            <w:tcW w:w="780" w:type="dxa"/>
            <w:tcBorders>
              <w:top w:val="nil"/>
              <w:left w:val="nil"/>
              <w:bottom w:val="single" w:sz="6" w:space="0" w:color="auto"/>
              <w:right w:val="single" w:sz="6" w:space="0" w:color="auto"/>
            </w:tcBorders>
            <w:shd w:val="clear" w:color="auto" w:fill="FFFFFF"/>
            <w:vAlign w:val="center"/>
            <w:hideMark/>
          </w:tcPr>
          <w:p w14:paraId="7BD81698" w14:textId="77777777" w:rsidR="00427AC7" w:rsidRPr="00F83169" w:rsidRDefault="00427AC7" w:rsidP="00427AC7">
            <w:pPr>
              <w:spacing w:after="0" w:line="240" w:lineRule="auto"/>
              <w:jc w:val="center"/>
              <w:textAlignment w:val="baseline"/>
              <w:rPr>
                <w:rFonts w:ascii="Segoe UI" w:eastAsia="Times New Roman" w:hAnsi="Segoe UI" w:cs="Segoe UI"/>
                <w:sz w:val="18"/>
                <w:szCs w:val="18"/>
                <w:lang w:eastAsia="es-CR"/>
              </w:rPr>
            </w:pPr>
            <w:r w:rsidRPr="00F83169">
              <w:rPr>
                <w:rFonts w:ascii="Book Antiqua" w:eastAsia="Times New Roman" w:hAnsi="Book Antiqua" w:cs="Segoe UI"/>
                <w:color w:val="000000"/>
                <w:sz w:val="16"/>
                <w:szCs w:val="16"/>
                <w:lang w:eastAsia="es-CR"/>
              </w:rPr>
              <w:t>0110-PLA-P07 </w:t>
            </w:r>
          </w:p>
        </w:tc>
        <w:tc>
          <w:tcPr>
            <w:tcW w:w="2170" w:type="dxa"/>
            <w:tcBorders>
              <w:top w:val="nil"/>
              <w:left w:val="nil"/>
              <w:bottom w:val="single" w:sz="6" w:space="0" w:color="auto"/>
              <w:right w:val="single" w:sz="6" w:space="0" w:color="auto"/>
            </w:tcBorders>
            <w:shd w:val="clear" w:color="auto" w:fill="FFFFFF"/>
            <w:vAlign w:val="center"/>
            <w:hideMark/>
          </w:tcPr>
          <w:p w14:paraId="2BE7BB15" w14:textId="77777777" w:rsidR="00427AC7" w:rsidRPr="00427AC7" w:rsidRDefault="00427AC7" w:rsidP="00EF4E17">
            <w:pPr>
              <w:spacing w:after="0" w:line="240" w:lineRule="auto"/>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Sistema de Gestión del Plan Estratégico Institucional </w:t>
            </w:r>
          </w:p>
        </w:tc>
        <w:tc>
          <w:tcPr>
            <w:tcW w:w="2670" w:type="dxa"/>
            <w:tcBorders>
              <w:top w:val="nil"/>
              <w:left w:val="nil"/>
              <w:bottom w:val="single" w:sz="6" w:space="0" w:color="auto"/>
              <w:right w:val="single" w:sz="6" w:space="0" w:color="auto"/>
            </w:tcBorders>
            <w:shd w:val="clear" w:color="auto" w:fill="FFFFFF"/>
            <w:vAlign w:val="center"/>
            <w:hideMark/>
          </w:tcPr>
          <w:p w14:paraId="7400E3D3" w14:textId="77777777" w:rsidR="00427AC7" w:rsidRPr="00427AC7" w:rsidRDefault="00427AC7" w:rsidP="008A00AD">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Cambio en el líder del proyecto </w:t>
            </w:r>
          </w:p>
        </w:tc>
        <w:tc>
          <w:tcPr>
            <w:tcW w:w="1529" w:type="dxa"/>
            <w:tcBorders>
              <w:top w:val="nil"/>
              <w:left w:val="nil"/>
              <w:bottom w:val="single" w:sz="6" w:space="0" w:color="auto"/>
              <w:right w:val="single" w:sz="6" w:space="0" w:color="auto"/>
            </w:tcBorders>
            <w:shd w:val="clear" w:color="auto" w:fill="FFFFFF"/>
            <w:vAlign w:val="center"/>
            <w:hideMark/>
          </w:tcPr>
          <w:p w14:paraId="613115A1" w14:textId="77777777" w:rsidR="00427AC7" w:rsidRPr="00427AC7" w:rsidRDefault="00427AC7" w:rsidP="008A00AD">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recursos; técnica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317A49F" w14:textId="1AC23DB8" w:rsidR="00427AC7" w:rsidRPr="00397A0F" w:rsidRDefault="00800EE4" w:rsidP="008A00AD">
            <w:pPr>
              <w:spacing w:after="0" w:line="240" w:lineRule="auto"/>
              <w:jc w:val="both"/>
              <w:textAlignment w:val="baseline"/>
              <w:rPr>
                <w:rFonts w:ascii="Segoe UI" w:eastAsia="Times New Roman" w:hAnsi="Segoe UI" w:cs="Segoe UI"/>
                <w:sz w:val="18"/>
                <w:szCs w:val="18"/>
                <w:lang w:eastAsia="es-CR"/>
              </w:rPr>
            </w:pPr>
            <w:r w:rsidRPr="00397A0F">
              <w:rPr>
                <w:rFonts w:ascii="Book Antiqua" w:eastAsia="Times New Roman" w:hAnsi="Book Antiqua" w:cs="Segoe UI"/>
                <w:color w:val="000000"/>
                <w:sz w:val="16"/>
                <w:szCs w:val="16"/>
                <w:lang w:eastAsia="es-CR"/>
              </w:rPr>
              <w:t>Nacira Valverde Bermúdez </w:t>
            </w:r>
          </w:p>
        </w:tc>
      </w:tr>
      <w:tr w:rsidR="00427AC7" w:rsidRPr="00427AC7" w14:paraId="75E32F22" w14:textId="77777777" w:rsidTr="00861FDD">
        <w:trPr>
          <w:trHeight w:val="285"/>
        </w:trPr>
        <w:tc>
          <w:tcPr>
            <w:tcW w:w="929" w:type="dxa"/>
            <w:tcBorders>
              <w:top w:val="nil"/>
              <w:left w:val="single" w:sz="6" w:space="0" w:color="auto"/>
              <w:bottom w:val="single" w:sz="6" w:space="0" w:color="auto"/>
              <w:right w:val="single" w:sz="6" w:space="0" w:color="auto"/>
            </w:tcBorders>
            <w:shd w:val="clear" w:color="auto" w:fill="FFFFFF"/>
            <w:vAlign w:val="center"/>
            <w:hideMark/>
          </w:tcPr>
          <w:p w14:paraId="52D1D045"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28/4/2023 </w:t>
            </w:r>
          </w:p>
        </w:tc>
        <w:tc>
          <w:tcPr>
            <w:tcW w:w="780" w:type="dxa"/>
            <w:tcBorders>
              <w:top w:val="nil"/>
              <w:left w:val="nil"/>
              <w:bottom w:val="single" w:sz="6" w:space="0" w:color="auto"/>
              <w:right w:val="single" w:sz="6" w:space="0" w:color="auto"/>
            </w:tcBorders>
            <w:shd w:val="clear" w:color="auto" w:fill="FFFFFF"/>
            <w:vAlign w:val="center"/>
            <w:hideMark/>
          </w:tcPr>
          <w:p w14:paraId="562FBD62" w14:textId="77777777" w:rsidR="00427AC7" w:rsidRPr="00F83169" w:rsidRDefault="00427AC7" w:rsidP="00427AC7">
            <w:pPr>
              <w:spacing w:after="0" w:line="240" w:lineRule="auto"/>
              <w:jc w:val="center"/>
              <w:textAlignment w:val="baseline"/>
              <w:rPr>
                <w:rFonts w:ascii="Segoe UI" w:eastAsia="Times New Roman" w:hAnsi="Segoe UI" w:cs="Segoe UI"/>
                <w:sz w:val="18"/>
                <w:szCs w:val="18"/>
                <w:lang w:eastAsia="es-CR"/>
              </w:rPr>
            </w:pPr>
            <w:r w:rsidRPr="00F83169">
              <w:rPr>
                <w:rFonts w:ascii="Book Antiqua" w:eastAsia="Times New Roman" w:hAnsi="Book Antiqua" w:cs="Segoe UI"/>
                <w:color w:val="000000"/>
                <w:sz w:val="16"/>
                <w:szCs w:val="16"/>
                <w:lang w:eastAsia="es-CR"/>
              </w:rPr>
              <w:t>0110-PLA-P07 </w:t>
            </w:r>
          </w:p>
        </w:tc>
        <w:tc>
          <w:tcPr>
            <w:tcW w:w="2170" w:type="dxa"/>
            <w:tcBorders>
              <w:top w:val="nil"/>
              <w:left w:val="nil"/>
              <w:bottom w:val="single" w:sz="6" w:space="0" w:color="auto"/>
              <w:right w:val="single" w:sz="6" w:space="0" w:color="auto"/>
            </w:tcBorders>
            <w:shd w:val="clear" w:color="auto" w:fill="FFFFFF"/>
            <w:vAlign w:val="center"/>
            <w:hideMark/>
          </w:tcPr>
          <w:p w14:paraId="00813C09" w14:textId="77777777" w:rsidR="00427AC7" w:rsidRPr="00427AC7" w:rsidRDefault="00427AC7" w:rsidP="00EF4E17">
            <w:pPr>
              <w:spacing w:after="0" w:line="240" w:lineRule="auto"/>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Sistema de Gestión del Plan Estratégico Institucional </w:t>
            </w:r>
          </w:p>
        </w:tc>
        <w:tc>
          <w:tcPr>
            <w:tcW w:w="2670" w:type="dxa"/>
            <w:tcBorders>
              <w:top w:val="nil"/>
              <w:left w:val="nil"/>
              <w:bottom w:val="single" w:sz="6" w:space="0" w:color="auto"/>
              <w:right w:val="single" w:sz="6" w:space="0" w:color="auto"/>
            </w:tcBorders>
            <w:shd w:val="clear" w:color="auto" w:fill="FFFFFF"/>
            <w:vAlign w:val="center"/>
            <w:hideMark/>
          </w:tcPr>
          <w:p w14:paraId="78E8DA2A" w14:textId="77777777" w:rsidR="00427AC7" w:rsidRPr="00427AC7" w:rsidRDefault="00427AC7" w:rsidP="008A00AD">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Actualización de documentos y costos </w:t>
            </w:r>
          </w:p>
        </w:tc>
        <w:tc>
          <w:tcPr>
            <w:tcW w:w="1529" w:type="dxa"/>
            <w:tcBorders>
              <w:top w:val="nil"/>
              <w:left w:val="nil"/>
              <w:bottom w:val="single" w:sz="6" w:space="0" w:color="auto"/>
              <w:right w:val="single" w:sz="6" w:space="0" w:color="auto"/>
            </w:tcBorders>
            <w:shd w:val="clear" w:color="auto" w:fill="FFFFFF"/>
            <w:vAlign w:val="center"/>
            <w:hideMark/>
          </w:tcPr>
          <w:p w14:paraId="1806869B" w14:textId="77777777" w:rsidR="00427AC7" w:rsidRPr="00427AC7" w:rsidRDefault="00427AC7" w:rsidP="008A00AD">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Costos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D66A560" w14:textId="28C66B0D" w:rsidR="00427AC7" w:rsidRPr="00EF4E17" w:rsidRDefault="00800EE4" w:rsidP="008A00AD">
            <w:pPr>
              <w:spacing w:after="0" w:line="240" w:lineRule="auto"/>
              <w:jc w:val="both"/>
              <w:textAlignment w:val="baseline"/>
              <w:rPr>
                <w:rFonts w:ascii="Segoe UI" w:eastAsia="Times New Roman" w:hAnsi="Segoe UI" w:cs="Segoe UI"/>
                <w:sz w:val="18"/>
                <w:szCs w:val="18"/>
                <w:highlight w:val="cyan"/>
                <w:lang w:eastAsia="es-CR"/>
              </w:rPr>
            </w:pPr>
            <w:r>
              <w:rPr>
                <w:rFonts w:ascii="Book Antiqua" w:eastAsia="Times New Roman" w:hAnsi="Book Antiqua" w:cs="Segoe UI"/>
                <w:color w:val="000000"/>
                <w:sz w:val="16"/>
                <w:szCs w:val="16"/>
                <w:lang w:eastAsia="es-CR"/>
              </w:rPr>
              <w:t>Nacira Valverde Bermúdez</w:t>
            </w:r>
            <w:r w:rsidRPr="00427AC7">
              <w:rPr>
                <w:rFonts w:ascii="Book Antiqua" w:eastAsia="Times New Roman" w:hAnsi="Book Antiqua" w:cs="Segoe UI"/>
                <w:color w:val="000000"/>
                <w:sz w:val="16"/>
                <w:szCs w:val="16"/>
                <w:lang w:eastAsia="es-CR"/>
              </w:rPr>
              <w:t> </w:t>
            </w:r>
          </w:p>
        </w:tc>
      </w:tr>
      <w:tr w:rsidR="00427AC7" w:rsidRPr="00427AC7" w14:paraId="25C43E9B" w14:textId="77777777" w:rsidTr="00861FDD">
        <w:trPr>
          <w:trHeight w:val="285"/>
        </w:trPr>
        <w:tc>
          <w:tcPr>
            <w:tcW w:w="929" w:type="dxa"/>
            <w:tcBorders>
              <w:top w:val="nil"/>
              <w:left w:val="single" w:sz="6" w:space="0" w:color="auto"/>
              <w:bottom w:val="single" w:sz="6" w:space="0" w:color="auto"/>
              <w:right w:val="single" w:sz="6" w:space="0" w:color="auto"/>
            </w:tcBorders>
            <w:shd w:val="clear" w:color="auto" w:fill="FFFFFF"/>
            <w:vAlign w:val="center"/>
            <w:hideMark/>
          </w:tcPr>
          <w:p w14:paraId="279434B2"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5/5/2023 </w:t>
            </w:r>
          </w:p>
        </w:tc>
        <w:tc>
          <w:tcPr>
            <w:tcW w:w="780" w:type="dxa"/>
            <w:tcBorders>
              <w:top w:val="nil"/>
              <w:left w:val="nil"/>
              <w:bottom w:val="single" w:sz="6" w:space="0" w:color="auto"/>
              <w:right w:val="single" w:sz="6" w:space="0" w:color="auto"/>
            </w:tcBorders>
            <w:shd w:val="clear" w:color="auto" w:fill="FFFFFF"/>
            <w:vAlign w:val="center"/>
            <w:hideMark/>
          </w:tcPr>
          <w:p w14:paraId="7BB6688D" w14:textId="77777777" w:rsidR="00427AC7" w:rsidRPr="00F83169" w:rsidRDefault="00427AC7" w:rsidP="00427AC7">
            <w:pPr>
              <w:spacing w:after="0" w:line="240" w:lineRule="auto"/>
              <w:jc w:val="center"/>
              <w:textAlignment w:val="baseline"/>
              <w:rPr>
                <w:rFonts w:ascii="Segoe UI" w:eastAsia="Times New Roman" w:hAnsi="Segoe UI" w:cs="Segoe UI"/>
                <w:sz w:val="18"/>
                <w:szCs w:val="18"/>
                <w:lang w:eastAsia="es-CR"/>
              </w:rPr>
            </w:pPr>
            <w:r w:rsidRPr="00F83169">
              <w:rPr>
                <w:rFonts w:ascii="Book Antiqua" w:eastAsia="Times New Roman" w:hAnsi="Book Antiqua" w:cs="Segoe UI"/>
                <w:color w:val="000000"/>
                <w:sz w:val="16"/>
                <w:szCs w:val="16"/>
                <w:lang w:eastAsia="es-CR"/>
              </w:rPr>
              <w:t>0110-PLA-P07 </w:t>
            </w:r>
          </w:p>
        </w:tc>
        <w:tc>
          <w:tcPr>
            <w:tcW w:w="2170" w:type="dxa"/>
            <w:tcBorders>
              <w:top w:val="nil"/>
              <w:left w:val="nil"/>
              <w:bottom w:val="single" w:sz="6" w:space="0" w:color="auto"/>
              <w:right w:val="single" w:sz="6" w:space="0" w:color="auto"/>
            </w:tcBorders>
            <w:shd w:val="clear" w:color="auto" w:fill="FFFFFF"/>
            <w:vAlign w:val="center"/>
            <w:hideMark/>
          </w:tcPr>
          <w:p w14:paraId="1FD5EBE6" w14:textId="77777777" w:rsidR="00427AC7" w:rsidRPr="00427AC7" w:rsidRDefault="00427AC7" w:rsidP="00EF4E17">
            <w:pPr>
              <w:spacing w:after="0" w:line="240" w:lineRule="auto"/>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Sistema de Gestión del Plan Estratégico Institucional </w:t>
            </w:r>
          </w:p>
        </w:tc>
        <w:tc>
          <w:tcPr>
            <w:tcW w:w="2670" w:type="dxa"/>
            <w:tcBorders>
              <w:top w:val="nil"/>
              <w:left w:val="nil"/>
              <w:bottom w:val="single" w:sz="6" w:space="0" w:color="auto"/>
              <w:right w:val="single" w:sz="6" w:space="0" w:color="auto"/>
            </w:tcBorders>
            <w:shd w:val="clear" w:color="auto" w:fill="FFFFFF"/>
            <w:vAlign w:val="center"/>
            <w:hideMark/>
          </w:tcPr>
          <w:p w14:paraId="6CC7A800" w14:textId="77777777" w:rsidR="00427AC7" w:rsidRPr="00427AC7" w:rsidRDefault="00427AC7" w:rsidP="008A00AD">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Se propone eliminar del cronograma la tarea</w:t>
            </w:r>
            <w:r w:rsidRPr="00427AC7">
              <w:rPr>
                <w:rFonts w:ascii="Book Antiqua" w:eastAsia="Times New Roman" w:hAnsi="Book Antiqua" w:cs="Segoe UI"/>
                <w:i/>
                <w:iCs/>
                <w:color w:val="000000"/>
                <w:sz w:val="16"/>
                <w:szCs w:val="16"/>
                <w:lang w:eastAsia="es-CR"/>
              </w:rPr>
              <w:t xml:space="preserve"> N° ”3.5.12 Generar una matriz de riesgos que permita visualizar el mapa de calor de riesgos estratégicos”.</w:t>
            </w:r>
            <w:r w:rsidRPr="00427AC7">
              <w:rPr>
                <w:rFonts w:ascii="Book Antiqua" w:eastAsia="Times New Roman" w:hAnsi="Book Antiqua" w:cs="Segoe UI"/>
                <w:color w:val="000000"/>
                <w:sz w:val="16"/>
                <w:szCs w:val="16"/>
                <w:lang w:eastAsia="es-CR"/>
              </w:rPr>
              <w:t> </w:t>
            </w:r>
          </w:p>
        </w:tc>
        <w:tc>
          <w:tcPr>
            <w:tcW w:w="1529" w:type="dxa"/>
            <w:tcBorders>
              <w:top w:val="nil"/>
              <w:left w:val="nil"/>
              <w:bottom w:val="single" w:sz="6" w:space="0" w:color="auto"/>
              <w:right w:val="single" w:sz="6" w:space="0" w:color="auto"/>
            </w:tcBorders>
            <w:shd w:val="clear" w:color="auto" w:fill="FFFFFF"/>
            <w:vAlign w:val="center"/>
            <w:hideMark/>
          </w:tcPr>
          <w:p w14:paraId="4284F2D9" w14:textId="77777777" w:rsidR="00427AC7" w:rsidRPr="00427AC7" w:rsidRDefault="00427AC7" w:rsidP="008A00AD">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y recursos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1654993" w14:textId="1F714D95" w:rsidR="00427AC7" w:rsidRPr="00EF4E17" w:rsidRDefault="001342C5" w:rsidP="00EF4E17">
            <w:pPr>
              <w:spacing w:after="0" w:line="240" w:lineRule="auto"/>
              <w:textAlignment w:val="baseline"/>
              <w:rPr>
                <w:rFonts w:ascii="Segoe UI" w:eastAsia="Times New Roman" w:hAnsi="Segoe UI" w:cs="Segoe UI"/>
                <w:sz w:val="18"/>
                <w:szCs w:val="18"/>
                <w:highlight w:val="cyan"/>
                <w:lang w:eastAsia="es-CR"/>
              </w:rPr>
            </w:pPr>
            <w:r>
              <w:rPr>
                <w:rFonts w:ascii="Book Antiqua" w:eastAsia="Times New Roman" w:hAnsi="Book Antiqua" w:cs="Segoe UI"/>
                <w:color w:val="000000"/>
                <w:sz w:val="16"/>
                <w:szCs w:val="16"/>
                <w:lang w:eastAsia="es-CR"/>
              </w:rPr>
              <w:t>Nacira Valverde Bermúdez</w:t>
            </w:r>
            <w:r w:rsidRPr="00427AC7">
              <w:rPr>
                <w:rFonts w:ascii="Book Antiqua" w:eastAsia="Times New Roman" w:hAnsi="Book Antiqua" w:cs="Segoe UI"/>
                <w:color w:val="000000"/>
                <w:sz w:val="16"/>
                <w:szCs w:val="16"/>
                <w:lang w:eastAsia="es-CR"/>
              </w:rPr>
              <w:t> </w:t>
            </w:r>
          </w:p>
        </w:tc>
      </w:tr>
      <w:tr w:rsidR="00427AC7" w:rsidRPr="00427AC7" w14:paraId="6CD6E7FE" w14:textId="77777777" w:rsidTr="00861FDD">
        <w:trPr>
          <w:trHeight w:val="285"/>
        </w:trPr>
        <w:tc>
          <w:tcPr>
            <w:tcW w:w="929" w:type="dxa"/>
            <w:tcBorders>
              <w:top w:val="nil"/>
              <w:left w:val="single" w:sz="6" w:space="0" w:color="auto"/>
              <w:bottom w:val="single" w:sz="6" w:space="0" w:color="auto"/>
              <w:right w:val="single" w:sz="6" w:space="0" w:color="auto"/>
            </w:tcBorders>
            <w:shd w:val="clear" w:color="auto" w:fill="FFFFFF"/>
            <w:vAlign w:val="center"/>
            <w:hideMark/>
          </w:tcPr>
          <w:p w14:paraId="74A28E9B"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11/5/2023 </w:t>
            </w:r>
          </w:p>
        </w:tc>
        <w:tc>
          <w:tcPr>
            <w:tcW w:w="780" w:type="dxa"/>
            <w:tcBorders>
              <w:top w:val="nil"/>
              <w:left w:val="nil"/>
              <w:bottom w:val="single" w:sz="6" w:space="0" w:color="auto"/>
              <w:right w:val="single" w:sz="6" w:space="0" w:color="auto"/>
            </w:tcBorders>
            <w:shd w:val="clear" w:color="auto" w:fill="FFFFFF"/>
            <w:vAlign w:val="center"/>
            <w:hideMark/>
          </w:tcPr>
          <w:p w14:paraId="1B45D4E6" w14:textId="77777777" w:rsidR="00427AC7" w:rsidRPr="00F83169" w:rsidRDefault="00427AC7" w:rsidP="00427AC7">
            <w:pPr>
              <w:spacing w:after="0" w:line="240" w:lineRule="auto"/>
              <w:jc w:val="center"/>
              <w:textAlignment w:val="baseline"/>
              <w:rPr>
                <w:rFonts w:ascii="Segoe UI" w:eastAsia="Times New Roman" w:hAnsi="Segoe UI" w:cs="Segoe UI"/>
                <w:sz w:val="18"/>
                <w:szCs w:val="18"/>
                <w:lang w:eastAsia="es-CR"/>
              </w:rPr>
            </w:pPr>
            <w:r w:rsidRPr="00F83169">
              <w:rPr>
                <w:rFonts w:ascii="Book Antiqua" w:eastAsia="Times New Roman" w:hAnsi="Book Antiqua" w:cs="Segoe UI"/>
                <w:color w:val="000000"/>
                <w:sz w:val="16"/>
                <w:szCs w:val="16"/>
                <w:lang w:eastAsia="es-CR"/>
              </w:rPr>
              <w:t>0110-PLA-P07 </w:t>
            </w:r>
          </w:p>
        </w:tc>
        <w:tc>
          <w:tcPr>
            <w:tcW w:w="2170" w:type="dxa"/>
            <w:tcBorders>
              <w:top w:val="nil"/>
              <w:left w:val="nil"/>
              <w:bottom w:val="single" w:sz="6" w:space="0" w:color="auto"/>
              <w:right w:val="single" w:sz="6" w:space="0" w:color="auto"/>
            </w:tcBorders>
            <w:shd w:val="clear" w:color="auto" w:fill="FFFFFF"/>
            <w:vAlign w:val="center"/>
            <w:hideMark/>
          </w:tcPr>
          <w:p w14:paraId="61052BBB" w14:textId="77777777" w:rsidR="00427AC7" w:rsidRPr="00427AC7" w:rsidRDefault="00427AC7" w:rsidP="00EF4E17">
            <w:pPr>
              <w:spacing w:after="0" w:line="240" w:lineRule="auto"/>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Sistema de Gestión del Plan Estratégico Institucional </w:t>
            </w:r>
          </w:p>
        </w:tc>
        <w:tc>
          <w:tcPr>
            <w:tcW w:w="2670" w:type="dxa"/>
            <w:tcBorders>
              <w:top w:val="nil"/>
              <w:left w:val="nil"/>
              <w:bottom w:val="single" w:sz="6" w:space="0" w:color="auto"/>
              <w:right w:val="single" w:sz="6" w:space="0" w:color="auto"/>
            </w:tcBorders>
            <w:shd w:val="clear" w:color="auto" w:fill="FFFFFF"/>
            <w:vAlign w:val="center"/>
            <w:hideMark/>
          </w:tcPr>
          <w:p w14:paraId="1E6B9D45"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Se propone deshabilitar del cronograma la tarea</w:t>
            </w:r>
            <w:r w:rsidRPr="00427AC7">
              <w:rPr>
                <w:rFonts w:ascii="Book Antiqua" w:eastAsia="Times New Roman" w:hAnsi="Book Antiqua" w:cs="Segoe UI"/>
                <w:i/>
                <w:iCs/>
                <w:color w:val="000000"/>
                <w:sz w:val="16"/>
                <w:szCs w:val="16"/>
                <w:lang w:eastAsia="es-CR"/>
              </w:rPr>
              <w:t xml:space="preserve"> N° ”3.7.11 Definición de Historia de Usuario de Catálogos Generales”.</w:t>
            </w:r>
            <w:r w:rsidRPr="00427AC7">
              <w:rPr>
                <w:rFonts w:ascii="Book Antiqua" w:eastAsia="Times New Roman" w:hAnsi="Book Antiqua" w:cs="Segoe UI"/>
                <w:color w:val="000000"/>
                <w:sz w:val="16"/>
                <w:szCs w:val="16"/>
                <w:lang w:eastAsia="es-CR"/>
              </w:rPr>
              <w:t> </w:t>
            </w:r>
          </w:p>
        </w:tc>
        <w:tc>
          <w:tcPr>
            <w:tcW w:w="1529" w:type="dxa"/>
            <w:tcBorders>
              <w:top w:val="nil"/>
              <w:left w:val="nil"/>
              <w:bottom w:val="single" w:sz="6" w:space="0" w:color="auto"/>
              <w:right w:val="single" w:sz="6" w:space="0" w:color="auto"/>
            </w:tcBorders>
            <w:shd w:val="clear" w:color="auto" w:fill="FFFFFF"/>
            <w:vAlign w:val="center"/>
            <w:hideMark/>
          </w:tcPr>
          <w:p w14:paraId="217D2EF8"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A7F9DD5" w14:textId="19521B7F" w:rsidR="00427AC7" w:rsidRPr="00427AC7" w:rsidRDefault="00EA0B63" w:rsidP="00EF4E17">
            <w:pPr>
              <w:spacing w:after="0" w:line="240" w:lineRule="auto"/>
              <w:textAlignment w:val="baseline"/>
              <w:rPr>
                <w:rFonts w:ascii="Segoe UI" w:eastAsia="Times New Roman" w:hAnsi="Segoe UI" w:cs="Segoe UI"/>
                <w:sz w:val="18"/>
                <w:szCs w:val="18"/>
                <w:lang w:eastAsia="es-CR"/>
              </w:rPr>
            </w:pPr>
            <w:r>
              <w:rPr>
                <w:rFonts w:ascii="Book Antiqua" w:eastAsia="Times New Roman" w:hAnsi="Book Antiqua" w:cs="Segoe UI"/>
                <w:color w:val="000000"/>
                <w:sz w:val="16"/>
                <w:szCs w:val="16"/>
                <w:lang w:eastAsia="es-CR"/>
              </w:rPr>
              <w:t>Nacira Valverde Bermúdez</w:t>
            </w:r>
            <w:r w:rsidRPr="00427AC7">
              <w:rPr>
                <w:rFonts w:ascii="Book Antiqua" w:eastAsia="Times New Roman" w:hAnsi="Book Antiqua" w:cs="Segoe UI"/>
                <w:color w:val="000000"/>
                <w:sz w:val="16"/>
                <w:szCs w:val="16"/>
                <w:lang w:eastAsia="es-CR"/>
              </w:rPr>
              <w:t> </w:t>
            </w:r>
            <w:r w:rsidRPr="00EA0B63">
              <w:rPr>
                <w:rFonts w:ascii="Book Antiqua" w:eastAsia="Times New Roman" w:hAnsi="Book Antiqua" w:cs="Segoe UI"/>
                <w:color w:val="000000"/>
                <w:sz w:val="16"/>
                <w:szCs w:val="16"/>
                <w:highlight w:val="cyan"/>
                <w:lang w:eastAsia="es-CR"/>
              </w:rPr>
              <w:t xml:space="preserve"> </w:t>
            </w:r>
          </w:p>
        </w:tc>
      </w:tr>
      <w:tr w:rsidR="00427AC7" w:rsidRPr="00427AC7" w14:paraId="51803FCB" w14:textId="77777777" w:rsidTr="00861FDD">
        <w:trPr>
          <w:trHeight w:val="285"/>
        </w:trPr>
        <w:tc>
          <w:tcPr>
            <w:tcW w:w="929" w:type="dxa"/>
            <w:tcBorders>
              <w:top w:val="nil"/>
              <w:left w:val="single" w:sz="6" w:space="0" w:color="auto"/>
              <w:bottom w:val="single" w:sz="6" w:space="0" w:color="auto"/>
              <w:right w:val="single" w:sz="6" w:space="0" w:color="auto"/>
            </w:tcBorders>
            <w:shd w:val="clear" w:color="auto" w:fill="FFFFFF"/>
            <w:vAlign w:val="center"/>
            <w:hideMark/>
          </w:tcPr>
          <w:p w14:paraId="0B8EDF88"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28/4/2023 </w:t>
            </w:r>
          </w:p>
        </w:tc>
        <w:tc>
          <w:tcPr>
            <w:tcW w:w="780" w:type="dxa"/>
            <w:tcBorders>
              <w:top w:val="nil"/>
              <w:left w:val="nil"/>
              <w:bottom w:val="single" w:sz="6" w:space="0" w:color="auto"/>
              <w:right w:val="single" w:sz="6" w:space="0" w:color="auto"/>
            </w:tcBorders>
            <w:shd w:val="clear" w:color="auto" w:fill="FFFFFF"/>
            <w:vAlign w:val="center"/>
            <w:hideMark/>
          </w:tcPr>
          <w:p w14:paraId="03221962" w14:textId="77777777" w:rsidR="00427AC7" w:rsidRPr="00F83169" w:rsidRDefault="00427AC7" w:rsidP="00427AC7">
            <w:pPr>
              <w:spacing w:after="0" w:line="240" w:lineRule="auto"/>
              <w:jc w:val="center"/>
              <w:textAlignment w:val="baseline"/>
              <w:rPr>
                <w:rFonts w:ascii="Segoe UI" w:eastAsia="Times New Roman" w:hAnsi="Segoe UI" w:cs="Segoe UI"/>
                <w:sz w:val="18"/>
                <w:szCs w:val="18"/>
                <w:lang w:eastAsia="es-CR"/>
              </w:rPr>
            </w:pPr>
            <w:r w:rsidRPr="00F83169">
              <w:rPr>
                <w:rFonts w:ascii="Book Antiqua" w:eastAsia="Times New Roman" w:hAnsi="Book Antiqua" w:cs="Segoe UI"/>
                <w:color w:val="000000"/>
                <w:sz w:val="16"/>
                <w:szCs w:val="16"/>
                <w:lang w:eastAsia="es-CR"/>
              </w:rPr>
              <w:t>0110-PLA-P08 </w:t>
            </w:r>
          </w:p>
        </w:tc>
        <w:tc>
          <w:tcPr>
            <w:tcW w:w="2170" w:type="dxa"/>
            <w:tcBorders>
              <w:top w:val="nil"/>
              <w:left w:val="nil"/>
              <w:bottom w:val="single" w:sz="6" w:space="0" w:color="auto"/>
              <w:right w:val="single" w:sz="6" w:space="0" w:color="auto"/>
            </w:tcBorders>
            <w:shd w:val="clear" w:color="auto" w:fill="FFFFFF"/>
            <w:vAlign w:val="center"/>
            <w:hideMark/>
          </w:tcPr>
          <w:p w14:paraId="4E348830" w14:textId="77777777" w:rsidR="00427AC7" w:rsidRPr="00427AC7" w:rsidRDefault="00427AC7" w:rsidP="00EF4E17">
            <w:pPr>
              <w:spacing w:after="0" w:line="240" w:lineRule="auto"/>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Acceso y uso de la información estadística </w:t>
            </w:r>
          </w:p>
        </w:tc>
        <w:tc>
          <w:tcPr>
            <w:tcW w:w="2670" w:type="dxa"/>
            <w:tcBorders>
              <w:top w:val="nil"/>
              <w:left w:val="nil"/>
              <w:bottom w:val="single" w:sz="6" w:space="0" w:color="auto"/>
              <w:right w:val="single" w:sz="6" w:space="0" w:color="auto"/>
            </w:tcBorders>
            <w:shd w:val="clear" w:color="auto" w:fill="FFFFFF"/>
            <w:vAlign w:val="center"/>
            <w:hideMark/>
          </w:tcPr>
          <w:p w14:paraId="50596D22"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i/>
                <w:iCs/>
                <w:color w:val="000000"/>
                <w:sz w:val="16"/>
                <w:szCs w:val="16"/>
                <w:lang w:eastAsia="es-CR"/>
              </w:rPr>
              <w:t>Se actualiza la estructura y las fechas de inicio y fin del cronograma que se detalla en el documento adjunto.</w:t>
            </w:r>
            <w:r w:rsidRPr="00427AC7">
              <w:rPr>
                <w:rFonts w:ascii="Book Antiqua" w:eastAsia="Times New Roman" w:hAnsi="Book Antiqua" w:cs="Segoe UI"/>
                <w:color w:val="000000"/>
                <w:sz w:val="16"/>
                <w:szCs w:val="16"/>
                <w:lang w:eastAsia="es-CR"/>
              </w:rPr>
              <w:t> </w:t>
            </w:r>
          </w:p>
        </w:tc>
        <w:tc>
          <w:tcPr>
            <w:tcW w:w="1529" w:type="dxa"/>
            <w:tcBorders>
              <w:top w:val="nil"/>
              <w:left w:val="nil"/>
              <w:bottom w:val="single" w:sz="6" w:space="0" w:color="auto"/>
              <w:right w:val="single" w:sz="6" w:space="0" w:color="auto"/>
            </w:tcBorders>
            <w:shd w:val="clear" w:color="auto" w:fill="FFFFFF"/>
            <w:vAlign w:val="center"/>
            <w:hideMark/>
          </w:tcPr>
          <w:p w14:paraId="11BC9E13"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C0907E3" w14:textId="6F37A705" w:rsidR="00427AC7" w:rsidRPr="00427AC7" w:rsidRDefault="000C4DA1" w:rsidP="00EF4E17">
            <w:pPr>
              <w:spacing w:after="0" w:line="240" w:lineRule="auto"/>
              <w:textAlignment w:val="baseline"/>
              <w:rPr>
                <w:rFonts w:ascii="Segoe UI" w:eastAsia="Times New Roman" w:hAnsi="Segoe UI" w:cs="Segoe UI"/>
                <w:sz w:val="18"/>
                <w:szCs w:val="18"/>
                <w:lang w:eastAsia="es-CR"/>
              </w:rPr>
            </w:pPr>
            <w:r>
              <w:rPr>
                <w:rFonts w:ascii="Book Antiqua" w:eastAsia="Times New Roman" w:hAnsi="Book Antiqua" w:cs="Segoe UI"/>
                <w:color w:val="000000"/>
                <w:sz w:val="16"/>
                <w:szCs w:val="16"/>
                <w:lang w:eastAsia="es-CR"/>
              </w:rPr>
              <w:t>Nacira Valverde Bermúdez</w:t>
            </w:r>
            <w:r w:rsidRPr="00427AC7">
              <w:rPr>
                <w:rFonts w:ascii="Book Antiqua" w:eastAsia="Times New Roman" w:hAnsi="Book Antiqua" w:cs="Segoe UI"/>
                <w:color w:val="000000"/>
                <w:sz w:val="16"/>
                <w:szCs w:val="16"/>
                <w:lang w:eastAsia="es-CR"/>
              </w:rPr>
              <w:t> </w:t>
            </w:r>
          </w:p>
        </w:tc>
      </w:tr>
      <w:tr w:rsidR="00427AC7" w:rsidRPr="00427AC7" w14:paraId="5F0BAB67"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01C2EA8"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5/5/2023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436A9B1"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0110-PLA-P12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018A9CB" w14:textId="77777777" w:rsidR="00427AC7" w:rsidRPr="00427AC7" w:rsidRDefault="00427AC7" w:rsidP="00EF4E17">
            <w:pPr>
              <w:spacing w:after="0" w:line="240" w:lineRule="auto"/>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Modelo de gestión por procesos institucional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2F19F17" w14:textId="00F6FAE8" w:rsidR="00B92735" w:rsidRDefault="00427AC7" w:rsidP="00EF4E17">
            <w:pPr>
              <w:jc w:val="both"/>
              <w:rPr>
                <w:rFonts w:ascii="Book Antiqua" w:hAnsi="Book Antiqua"/>
                <w:b/>
                <w:bCs/>
                <w:lang w:eastAsia="es-CR"/>
              </w:rPr>
            </w:pPr>
            <w:r w:rsidRPr="00427AC7">
              <w:rPr>
                <w:rFonts w:ascii="Book Antiqua" w:eastAsia="Times New Roman" w:hAnsi="Book Antiqua" w:cs="Segoe UI"/>
                <w:color w:val="000000"/>
                <w:sz w:val="16"/>
                <w:szCs w:val="16"/>
                <w:lang w:eastAsia="es-CR"/>
              </w:rPr>
              <w:t>Se actualiza el equipo de proyecto y se incluye a Ing. Josué David Quirós Mora. Se actualiza cronograma</w:t>
            </w:r>
            <w:r w:rsidR="00CD072A">
              <w:rPr>
                <w:rFonts w:ascii="Book Antiqua" w:eastAsia="Times New Roman" w:hAnsi="Book Antiqua" w:cs="Segoe UI"/>
                <w:color w:val="000000"/>
                <w:sz w:val="16"/>
                <w:szCs w:val="16"/>
                <w:lang w:eastAsia="es-CR"/>
              </w:rPr>
              <w:t>.</w:t>
            </w:r>
            <w:r w:rsidR="0068747D">
              <w:rPr>
                <w:rStyle w:val="Refdenotaalpie"/>
                <w:rFonts w:ascii="Book Antiqua" w:eastAsia="Times New Roman" w:hAnsi="Book Antiqua" w:cs="Segoe UI"/>
                <w:color w:val="000000"/>
                <w:sz w:val="16"/>
                <w:szCs w:val="16"/>
                <w:lang w:eastAsia="es-CR"/>
              </w:rPr>
              <w:footnoteReference w:id="2"/>
            </w:r>
            <w:r w:rsidR="0083190A">
              <w:rPr>
                <w:rFonts w:ascii="Book Antiqua" w:eastAsia="Times New Roman" w:hAnsi="Book Antiqua" w:cs="Segoe UI"/>
                <w:color w:val="000000"/>
                <w:sz w:val="16"/>
                <w:szCs w:val="16"/>
                <w:lang w:eastAsia="es-CR"/>
              </w:rPr>
              <w:t xml:space="preserve"> </w:t>
            </w:r>
          </w:p>
          <w:p w14:paraId="1D3696F5" w14:textId="5F0595D5"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249F00C"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y rendimiento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98ADB4A" w14:textId="1CDFF5E3" w:rsidR="00427AC7" w:rsidRPr="00EF4E17" w:rsidRDefault="000C4DA1" w:rsidP="00EF4E17">
            <w:pPr>
              <w:spacing w:after="0" w:line="240" w:lineRule="auto"/>
              <w:textAlignment w:val="baseline"/>
              <w:rPr>
                <w:rFonts w:ascii="Segoe UI" w:eastAsia="Times New Roman" w:hAnsi="Segoe UI" w:cs="Segoe UI"/>
                <w:sz w:val="18"/>
                <w:szCs w:val="18"/>
                <w:highlight w:val="yellow"/>
                <w:lang w:eastAsia="es-CR"/>
              </w:rPr>
            </w:pPr>
            <w:r>
              <w:rPr>
                <w:rFonts w:ascii="Book Antiqua" w:eastAsia="Times New Roman" w:hAnsi="Book Antiqua" w:cs="Segoe UI"/>
                <w:color w:val="000000"/>
                <w:sz w:val="16"/>
                <w:szCs w:val="16"/>
                <w:lang w:eastAsia="es-CR"/>
              </w:rPr>
              <w:t>Nacira Valverde Bermúdez</w:t>
            </w:r>
            <w:r w:rsidRPr="00427AC7">
              <w:rPr>
                <w:rFonts w:ascii="Book Antiqua" w:eastAsia="Times New Roman" w:hAnsi="Book Antiqua" w:cs="Segoe UI"/>
                <w:color w:val="000000"/>
                <w:sz w:val="16"/>
                <w:szCs w:val="16"/>
                <w:lang w:eastAsia="es-CR"/>
              </w:rPr>
              <w:t> </w:t>
            </w:r>
          </w:p>
        </w:tc>
      </w:tr>
      <w:tr w:rsidR="00427AC7" w:rsidRPr="00427AC7" w14:paraId="7182DFA7"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69F5AF8"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28/4/2023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A719664"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0110-PLA-P19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2A339F1"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Programa de Capacitación para la Formación de Líderes de Proyectos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AF2B48F"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Los ajustes contemplan modificaciones en el cronograma del proyecto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C059BE7"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E3AD179" w14:textId="24CDC6F3"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Erick Mora </w:t>
            </w:r>
            <w:r w:rsidR="00613A9F">
              <w:rPr>
                <w:rFonts w:ascii="Book Antiqua" w:eastAsia="Times New Roman" w:hAnsi="Book Antiqua" w:cs="Segoe UI"/>
                <w:color w:val="000000"/>
                <w:sz w:val="16"/>
                <w:szCs w:val="16"/>
                <w:lang w:eastAsia="es-CR"/>
              </w:rPr>
              <w:t>Leiva</w:t>
            </w:r>
          </w:p>
        </w:tc>
      </w:tr>
      <w:tr w:rsidR="00427AC7" w:rsidRPr="00427AC7" w14:paraId="5C0BD185"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4CAFB8F"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12/5/2023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A217A63"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0110-PLA-P21 </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160EED9"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Implementación de la Ley 9481 Creación de la Jurisdicción Especializada en Delincuencia Organizada en Costa Rica </w:t>
            </w:r>
          </w:p>
        </w:tc>
        <w:tc>
          <w:tcPr>
            <w:tcW w:w="267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EB7CE3A"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 xml:space="preserve">Entregable </w:t>
            </w:r>
            <w:r w:rsidRPr="00427AC7">
              <w:rPr>
                <w:rFonts w:ascii="Book Antiqua" w:eastAsia="Times New Roman" w:hAnsi="Book Antiqua" w:cs="Segoe UI"/>
                <w:b/>
                <w:bCs/>
                <w:color w:val="000000"/>
                <w:sz w:val="16"/>
                <w:szCs w:val="16"/>
                <w:lang w:eastAsia="es-CR"/>
              </w:rPr>
              <w:t>3.5 (3.5.4; 3.5.5; 3.5.6; 3.5.7 y 3.5.8):</w:t>
            </w:r>
            <w:r w:rsidRPr="00427AC7">
              <w:rPr>
                <w:rFonts w:ascii="Book Antiqua" w:eastAsia="Times New Roman" w:hAnsi="Book Antiqua" w:cs="Segoe UI"/>
                <w:color w:val="000000"/>
                <w:sz w:val="16"/>
                <w:szCs w:val="16"/>
                <w:lang w:eastAsia="es-CR"/>
              </w:rPr>
              <w:t xml:space="preserve"> Tareas a cargo del Organismo de Investigación Judicial, se solicita modificación de fechas de finalización de los entregables: </w:t>
            </w:r>
          </w:p>
        </w:tc>
        <w:tc>
          <w:tcPr>
            <w:tcW w:w="15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6F6748"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y en otros proyecto o procesos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8D9F152"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Roger Brenes Mata </w:t>
            </w:r>
          </w:p>
        </w:tc>
      </w:tr>
      <w:tr w:rsidR="00427AC7" w:rsidRPr="00427AC7" w14:paraId="49F2632A" w14:textId="77777777" w:rsidTr="00861FDD">
        <w:trPr>
          <w:trHeight w:val="285"/>
        </w:trPr>
        <w:tc>
          <w:tcPr>
            <w:tcW w:w="929" w:type="dxa"/>
            <w:tcBorders>
              <w:top w:val="nil"/>
              <w:left w:val="single" w:sz="6" w:space="0" w:color="auto"/>
              <w:bottom w:val="single" w:sz="6" w:space="0" w:color="auto"/>
              <w:right w:val="single" w:sz="6" w:space="0" w:color="auto"/>
            </w:tcBorders>
            <w:shd w:val="clear" w:color="auto" w:fill="FFFFFF"/>
            <w:vAlign w:val="center"/>
            <w:hideMark/>
          </w:tcPr>
          <w:p w14:paraId="4C71C989"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5/5/2023 </w:t>
            </w:r>
          </w:p>
        </w:tc>
        <w:tc>
          <w:tcPr>
            <w:tcW w:w="780" w:type="dxa"/>
            <w:tcBorders>
              <w:top w:val="nil"/>
              <w:left w:val="nil"/>
              <w:bottom w:val="single" w:sz="6" w:space="0" w:color="auto"/>
              <w:right w:val="single" w:sz="6" w:space="0" w:color="auto"/>
            </w:tcBorders>
            <w:shd w:val="clear" w:color="auto" w:fill="FFFFFF"/>
            <w:vAlign w:val="center"/>
            <w:hideMark/>
          </w:tcPr>
          <w:p w14:paraId="444D6E07"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0110-PLA-P21 </w:t>
            </w:r>
          </w:p>
        </w:tc>
        <w:tc>
          <w:tcPr>
            <w:tcW w:w="2170" w:type="dxa"/>
            <w:tcBorders>
              <w:top w:val="nil"/>
              <w:left w:val="nil"/>
              <w:bottom w:val="single" w:sz="6" w:space="0" w:color="auto"/>
              <w:right w:val="single" w:sz="6" w:space="0" w:color="auto"/>
            </w:tcBorders>
            <w:shd w:val="clear" w:color="auto" w:fill="FFFFFF"/>
            <w:vAlign w:val="center"/>
            <w:hideMark/>
          </w:tcPr>
          <w:p w14:paraId="6982D38A"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Implementación de la Ley 9481 Creación de la Jurisdicción Especializada en Delincuencia Organizada en Costa Rica </w:t>
            </w:r>
          </w:p>
        </w:tc>
        <w:tc>
          <w:tcPr>
            <w:tcW w:w="2670" w:type="dxa"/>
            <w:tcBorders>
              <w:top w:val="nil"/>
              <w:left w:val="nil"/>
              <w:bottom w:val="single" w:sz="6" w:space="0" w:color="auto"/>
              <w:right w:val="single" w:sz="6" w:space="0" w:color="auto"/>
            </w:tcBorders>
            <w:shd w:val="clear" w:color="auto" w:fill="FFFFFF"/>
            <w:vAlign w:val="center"/>
            <w:hideMark/>
          </w:tcPr>
          <w:p w14:paraId="5AFA3C88"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Ampliar el período de entrega de la campaña informativa al 30 de julio 2023. </w:t>
            </w:r>
          </w:p>
        </w:tc>
        <w:tc>
          <w:tcPr>
            <w:tcW w:w="1529" w:type="dxa"/>
            <w:tcBorders>
              <w:top w:val="nil"/>
              <w:left w:val="nil"/>
              <w:bottom w:val="single" w:sz="6" w:space="0" w:color="auto"/>
              <w:right w:val="single" w:sz="6" w:space="0" w:color="auto"/>
            </w:tcBorders>
            <w:shd w:val="clear" w:color="auto" w:fill="FFFFFF"/>
            <w:vAlign w:val="center"/>
            <w:hideMark/>
          </w:tcPr>
          <w:p w14:paraId="4CF120B8"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hideMark/>
          </w:tcPr>
          <w:p w14:paraId="359BA71A" w14:textId="77777777" w:rsidR="00E63BBA" w:rsidRDefault="00E63BBA" w:rsidP="00BD3CEF">
            <w:pPr>
              <w:spacing w:after="0" w:line="240" w:lineRule="auto"/>
              <w:jc w:val="both"/>
              <w:textAlignment w:val="baseline"/>
              <w:rPr>
                <w:rFonts w:ascii="Book Antiqua" w:eastAsia="Times New Roman" w:hAnsi="Book Antiqua" w:cs="Segoe UI"/>
                <w:color w:val="000000"/>
                <w:sz w:val="16"/>
                <w:szCs w:val="16"/>
                <w:lang w:eastAsia="es-CR"/>
              </w:rPr>
            </w:pPr>
          </w:p>
          <w:p w14:paraId="117F0528" w14:textId="77777777" w:rsidR="00E63BBA" w:rsidRDefault="00E63BBA" w:rsidP="00BD3CEF">
            <w:pPr>
              <w:spacing w:after="0" w:line="240" w:lineRule="auto"/>
              <w:jc w:val="both"/>
              <w:textAlignment w:val="baseline"/>
              <w:rPr>
                <w:rFonts w:ascii="Book Antiqua" w:eastAsia="Times New Roman" w:hAnsi="Book Antiqua" w:cs="Segoe UI"/>
                <w:color w:val="000000"/>
                <w:sz w:val="16"/>
                <w:szCs w:val="16"/>
                <w:lang w:eastAsia="es-CR"/>
              </w:rPr>
            </w:pPr>
          </w:p>
          <w:p w14:paraId="59812196" w14:textId="2870FBF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Roger Brenes Mata </w:t>
            </w:r>
          </w:p>
        </w:tc>
      </w:tr>
      <w:tr w:rsidR="00427AC7" w:rsidRPr="00427AC7" w14:paraId="48A08F51" w14:textId="77777777" w:rsidTr="00861FDD">
        <w:trPr>
          <w:trHeight w:val="285"/>
        </w:trPr>
        <w:tc>
          <w:tcPr>
            <w:tcW w:w="929" w:type="dxa"/>
            <w:tcBorders>
              <w:top w:val="nil"/>
              <w:left w:val="single" w:sz="6" w:space="0" w:color="auto"/>
              <w:bottom w:val="single" w:sz="6" w:space="0" w:color="auto"/>
              <w:right w:val="single" w:sz="6" w:space="0" w:color="auto"/>
            </w:tcBorders>
            <w:shd w:val="clear" w:color="auto" w:fill="FFFFFF"/>
            <w:vAlign w:val="center"/>
            <w:hideMark/>
          </w:tcPr>
          <w:p w14:paraId="72D31CC5"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2/5/2023 </w:t>
            </w:r>
          </w:p>
        </w:tc>
        <w:tc>
          <w:tcPr>
            <w:tcW w:w="780" w:type="dxa"/>
            <w:tcBorders>
              <w:top w:val="nil"/>
              <w:left w:val="nil"/>
              <w:bottom w:val="single" w:sz="6" w:space="0" w:color="auto"/>
              <w:right w:val="single" w:sz="6" w:space="0" w:color="auto"/>
            </w:tcBorders>
            <w:shd w:val="clear" w:color="auto" w:fill="FFFFFF"/>
            <w:vAlign w:val="center"/>
            <w:hideMark/>
          </w:tcPr>
          <w:p w14:paraId="28039B97"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0110-PLA-P21 </w:t>
            </w:r>
          </w:p>
        </w:tc>
        <w:tc>
          <w:tcPr>
            <w:tcW w:w="2170" w:type="dxa"/>
            <w:tcBorders>
              <w:top w:val="nil"/>
              <w:left w:val="nil"/>
              <w:bottom w:val="single" w:sz="6" w:space="0" w:color="auto"/>
              <w:right w:val="single" w:sz="6" w:space="0" w:color="auto"/>
            </w:tcBorders>
            <w:shd w:val="clear" w:color="auto" w:fill="FFFFFF"/>
            <w:vAlign w:val="center"/>
            <w:hideMark/>
          </w:tcPr>
          <w:p w14:paraId="2D74CA98"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Implementación de la Ley 9481 Creación de la Jurisdicción Especializada en Delincuencia Organizada en Costa Rica </w:t>
            </w:r>
          </w:p>
        </w:tc>
        <w:tc>
          <w:tcPr>
            <w:tcW w:w="2670" w:type="dxa"/>
            <w:tcBorders>
              <w:top w:val="nil"/>
              <w:left w:val="nil"/>
              <w:bottom w:val="single" w:sz="6" w:space="0" w:color="auto"/>
              <w:right w:val="single" w:sz="6" w:space="0" w:color="auto"/>
            </w:tcBorders>
            <w:shd w:val="clear" w:color="auto" w:fill="FFFFFF"/>
            <w:vAlign w:val="center"/>
            <w:hideMark/>
          </w:tcPr>
          <w:p w14:paraId="748D01C8"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b/>
                <w:bCs/>
                <w:color w:val="000000"/>
                <w:sz w:val="16"/>
                <w:szCs w:val="16"/>
                <w:lang w:eastAsia="es-CR"/>
              </w:rPr>
              <w:t>Informe Campaña de divulgación de los principales cambios (Prensa).</w:t>
            </w:r>
            <w:r w:rsidRPr="00427AC7">
              <w:rPr>
                <w:rFonts w:ascii="Book Antiqua" w:eastAsia="Times New Roman" w:hAnsi="Book Antiqua" w:cs="Segoe UI"/>
                <w:color w:val="000000"/>
                <w:sz w:val="16"/>
                <w:szCs w:val="16"/>
                <w:lang w:eastAsia="es-CR"/>
              </w:rPr>
              <w:t> </w:t>
            </w:r>
          </w:p>
        </w:tc>
        <w:tc>
          <w:tcPr>
            <w:tcW w:w="1529" w:type="dxa"/>
            <w:tcBorders>
              <w:top w:val="nil"/>
              <w:left w:val="nil"/>
              <w:bottom w:val="single" w:sz="6" w:space="0" w:color="auto"/>
              <w:right w:val="single" w:sz="6" w:space="0" w:color="auto"/>
            </w:tcBorders>
            <w:shd w:val="clear" w:color="auto" w:fill="FFFFFF"/>
            <w:vAlign w:val="center"/>
            <w:hideMark/>
          </w:tcPr>
          <w:p w14:paraId="608A4A51"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hideMark/>
          </w:tcPr>
          <w:p w14:paraId="3451FE96"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Roger Brenes Mata </w:t>
            </w:r>
          </w:p>
        </w:tc>
      </w:tr>
      <w:tr w:rsidR="00427AC7" w:rsidRPr="00427AC7" w14:paraId="0C3CC5D6" w14:textId="77777777" w:rsidTr="00861FDD">
        <w:trPr>
          <w:trHeight w:val="285"/>
        </w:trPr>
        <w:tc>
          <w:tcPr>
            <w:tcW w:w="929" w:type="dxa"/>
            <w:tcBorders>
              <w:top w:val="nil"/>
              <w:left w:val="single" w:sz="6" w:space="0" w:color="auto"/>
              <w:bottom w:val="single" w:sz="6" w:space="0" w:color="auto"/>
              <w:right w:val="single" w:sz="6" w:space="0" w:color="auto"/>
            </w:tcBorders>
            <w:shd w:val="clear" w:color="auto" w:fill="FFFFFF"/>
            <w:vAlign w:val="center"/>
            <w:hideMark/>
          </w:tcPr>
          <w:p w14:paraId="52A6F390"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28/4/2023 </w:t>
            </w:r>
          </w:p>
        </w:tc>
        <w:tc>
          <w:tcPr>
            <w:tcW w:w="780" w:type="dxa"/>
            <w:tcBorders>
              <w:top w:val="nil"/>
              <w:left w:val="nil"/>
              <w:bottom w:val="single" w:sz="6" w:space="0" w:color="auto"/>
              <w:right w:val="single" w:sz="6" w:space="0" w:color="auto"/>
            </w:tcBorders>
            <w:shd w:val="clear" w:color="auto" w:fill="FFFFFF"/>
            <w:vAlign w:val="center"/>
            <w:hideMark/>
          </w:tcPr>
          <w:p w14:paraId="69DAACAF"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0110-PLA-P21 </w:t>
            </w:r>
          </w:p>
        </w:tc>
        <w:tc>
          <w:tcPr>
            <w:tcW w:w="2170" w:type="dxa"/>
            <w:tcBorders>
              <w:top w:val="nil"/>
              <w:left w:val="nil"/>
              <w:bottom w:val="single" w:sz="6" w:space="0" w:color="auto"/>
              <w:right w:val="single" w:sz="6" w:space="0" w:color="auto"/>
            </w:tcBorders>
            <w:shd w:val="clear" w:color="auto" w:fill="FFFFFF"/>
            <w:vAlign w:val="center"/>
            <w:hideMark/>
          </w:tcPr>
          <w:p w14:paraId="051F9975"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Implementación de la Ley 9481 Creación de la Jurisdicción Especializada en Delincuencia Organizada en Costa Rica </w:t>
            </w:r>
          </w:p>
        </w:tc>
        <w:tc>
          <w:tcPr>
            <w:tcW w:w="2670" w:type="dxa"/>
            <w:tcBorders>
              <w:top w:val="nil"/>
              <w:left w:val="nil"/>
              <w:bottom w:val="single" w:sz="6" w:space="0" w:color="auto"/>
              <w:right w:val="single" w:sz="6" w:space="0" w:color="auto"/>
            </w:tcBorders>
            <w:shd w:val="clear" w:color="auto" w:fill="FFFFFF"/>
            <w:vAlign w:val="center"/>
            <w:hideMark/>
          </w:tcPr>
          <w:p w14:paraId="284ED5DA"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Se solicita que el cambio de fechas en el cronograma de implantaciones para las siguientes actividades del entregable 3.16 </w:t>
            </w:r>
          </w:p>
        </w:tc>
        <w:tc>
          <w:tcPr>
            <w:tcW w:w="1529" w:type="dxa"/>
            <w:tcBorders>
              <w:top w:val="nil"/>
              <w:left w:val="nil"/>
              <w:bottom w:val="single" w:sz="6" w:space="0" w:color="auto"/>
              <w:right w:val="single" w:sz="6" w:space="0" w:color="auto"/>
            </w:tcBorders>
            <w:shd w:val="clear" w:color="auto" w:fill="FFFFFF"/>
            <w:vAlign w:val="center"/>
            <w:hideMark/>
          </w:tcPr>
          <w:p w14:paraId="736ED672"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hideMark/>
          </w:tcPr>
          <w:p w14:paraId="7E25D3D6"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Roger Brenes Mata </w:t>
            </w:r>
          </w:p>
        </w:tc>
      </w:tr>
      <w:tr w:rsidR="00427AC7" w:rsidRPr="00427AC7" w14:paraId="3C9AF630" w14:textId="77777777" w:rsidTr="00861FDD">
        <w:trPr>
          <w:trHeight w:val="285"/>
        </w:trPr>
        <w:tc>
          <w:tcPr>
            <w:tcW w:w="929" w:type="dxa"/>
            <w:tcBorders>
              <w:top w:val="nil"/>
              <w:left w:val="single" w:sz="6" w:space="0" w:color="auto"/>
              <w:bottom w:val="single" w:sz="6" w:space="0" w:color="auto"/>
              <w:right w:val="single" w:sz="6" w:space="0" w:color="auto"/>
            </w:tcBorders>
            <w:shd w:val="clear" w:color="auto" w:fill="FFFFFF"/>
            <w:vAlign w:val="center"/>
            <w:hideMark/>
          </w:tcPr>
          <w:p w14:paraId="127E576B"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4/5/2023 </w:t>
            </w:r>
          </w:p>
        </w:tc>
        <w:tc>
          <w:tcPr>
            <w:tcW w:w="780" w:type="dxa"/>
            <w:tcBorders>
              <w:top w:val="nil"/>
              <w:left w:val="nil"/>
              <w:bottom w:val="single" w:sz="6" w:space="0" w:color="auto"/>
              <w:right w:val="single" w:sz="6" w:space="0" w:color="auto"/>
            </w:tcBorders>
            <w:shd w:val="clear" w:color="auto" w:fill="FFFFFF"/>
            <w:vAlign w:val="center"/>
            <w:hideMark/>
          </w:tcPr>
          <w:p w14:paraId="13EC71F3"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0110-PLA-P21 </w:t>
            </w:r>
          </w:p>
        </w:tc>
        <w:tc>
          <w:tcPr>
            <w:tcW w:w="2170" w:type="dxa"/>
            <w:tcBorders>
              <w:top w:val="nil"/>
              <w:left w:val="nil"/>
              <w:bottom w:val="single" w:sz="6" w:space="0" w:color="auto"/>
              <w:right w:val="single" w:sz="6" w:space="0" w:color="auto"/>
            </w:tcBorders>
            <w:shd w:val="clear" w:color="auto" w:fill="FFFFFF"/>
            <w:vAlign w:val="center"/>
            <w:hideMark/>
          </w:tcPr>
          <w:p w14:paraId="70DC3517"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 xml:space="preserve">Implementación de la Ley 9481 Creación de la </w:t>
            </w:r>
            <w:r w:rsidRPr="00427AC7">
              <w:rPr>
                <w:rFonts w:ascii="Book Antiqua" w:eastAsia="Times New Roman" w:hAnsi="Book Antiqua" w:cs="Segoe UI"/>
                <w:color w:val="000000"/>
                <w:sz w:val="16"/>
                <w:szCs w:val="16"/>
                <w:lang w:eastAsia="es-CR"/>
              </w:rPr>
              <w:lastRenderedPageBreak/>
              <w:t>Jurisdicción Especializada en Delincuencia Organizada en Costa Rica </w:t>
            </w:r>
          </w:p>
        </w:tc>
        <w:tc>
          <w:tcPr>
            <w:tcW w:w="2670" w:type="dxa"/>
            <w:tcBorders>
              <w:top w:val="nil"/>
              <w:left w:val="nil"/>
              <w:bottom w:val="single" w:sz="6" w:space="0" w:color="auto"/>
              <w:right w:val="single" w:sz="6" w:space="0" w:color="auto"/>
            </w:tcBorders>
            <w:shd w:val="clear" w:color="auto" w:fill="FFFFFF"/>
            <w:vAlign w:val="center"/>
            <w:hideMark/>
          </w:tcPr>
          <w:p w14:paraId="4AEDADF0"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lastRenderedPageBreak/>
              <w:t>Cambio en cronograma en tareas 3.9.11; 3.11; 3.12 </w:t>
            </w:r>
          </w:p>
        </w:tc>
        <w:tc>
          <w:tcPr>
            <w:tcW w:w="1529" w:type="dxa"/>
            <w:tcBorders>
              <w:top w:val="nil"/>
              <w:left w:val="nil"/>
              <w:bottom w:val="single" w:sz="6" w:space="0" w:color="auto"/>
              <w:right w:val="single" w:sz="6" w:space="0" w:color="auto"/>
            </w:tcBorders>
            <w:shd w:val="clear" w:color="auto" w:fill="FFFFFF"/>
            <w:vAlign w:val="center"/>
            <w:hideMark/>
          </w:tcPr>
          <w:p w14:paraId="1B36B053"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17155B"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Roger Brenes Mata </w:t>
            </w:r>
          </w:p>
        </w:tc>
      </w:tr>
      <w:tr w:rsidR="00427AC7" w:rsidRPr="00427AC7" w14:paraId="1A083A70" w14:textId="77777777" w:rsidTr="00861FDD">
        <w:trPr>
          <w:trHeight w:val="285"/>
        </w:trPr>
        <w:tc>
          <w:tcPr>
            <w:tcW w:w="929" w:type="dxa"/>
            <w:tcBorders>
              <w:top w:val="nil"/>
              <w:left w:val="single" w:sz="6" w:space="0" w:color="auto"/>
              <w:bottom w:val="single" w:sz="6" w:space="0" w:color="auto"/>
              <w:right w:val="single" w:sz="6" w:space="0" w:color="auto"/>
            </w:tcBorders>
            <w:shd w:val="clear" w:color="auto" w:fill="FFFFFF"/>
            <w:vAlign w:val="center"/>
            <w:hideMark/>
          </w:tcPr>
          <w:p w14:paraId="1FE356C6"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28/4/2023 </w:t>
            </w:r>
          </w:p>
        </w:tc>
        <w:tc>
          <w:tcPr>
            <w:tcW w:w="780" w:type="dxa"/>
            <w:tcBorders>
              <w:top w:val="nil"/>
              <w:left w:val="nil"/>
              <w:bottom w:val="single" w:sz="6" w:space="0" w:color="auto"/>
              <w:right w:val="single" w:sz="6" w:space="0" w:color="auto"/>
            </w:tcBorders>
            <w:shd w:val="clear" w:color="auto" w:fill="FFFFFF"/>
            <w:vAlign w:val="center"/>
            <w:hideMark/>
          </w:tcPr>
          <w:p w14:paraId="6F849A68"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0110-PLA-P21 </w:t>
            </w:r>
          </w:p>
        </w:tc>
        <w:tc>
          <w:tcPr>
            <w:tcW w:w="2170" w:type="dxa"/>
            <w:tcBorders>
              <w:top w:val="nil"/>
              <w:left w:val="nil"/>
              <w:bottom w:val="single" w:sz="6" w:space="0" w:color="auto"/>
              <w:right w:val="single" w:sz="6" w:space="0" w:color="auto"/>
            </w:tcBorders>
            <w:shd w:val="clear" w:color="auto" w:fill="FFFFFF"/>
            <w:vAlign w:val="center"/>
            <w:hideMark/>
          </w:tcPr>
          <w:p w14:paraId="4D2475A0"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Implementación de la Ley 9481 Creación de la Jurisdicción Especializada en Delincuencia Organizada en Costa Rica </w:t>
            </w:r>
          </w:p>
        </w:tc>
        <w:tc>
          <w:tcPr>
            <w:tcW w:w="2670" w:type="dxa"/>
            <w:tcBorders>
              <w:top w:val="nil"/>
              <w:left w:val="nil"/>
              <w:bottom w:val="single" w:sz="6" w:space="0" w:color="auto"/>
              <w:right w:val="single" w:sz="6" w:space="0" w:color="auto"/>
            </w:tcBorders>
            <w:shd w:val="clear" w:color="auto" w:fill="FFFFFF"/>
            <w:vAlign w:val="center"/>
            <w:hideMark/>
          </w:tcPr>
          <w:p w14:paraId="0AC1600F"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Se requiere la eliminación de  tareas en el cronograma </w:t>
            </w:r>
          </w:p>
        </w:tc>
        <w:tc>
          <w:tcPr>
            <w:tcW w:w="1529" w:type="dxa"/>
            <w:tcBorders>
              <w:top w:val="nil"/>
              <w:left w:val="nil"/>
              <w:bottom w:val="single" w:sz="6" w:space="0" w:color="auto"/>
              <w:right w:val="single" w:sz="6" w:space="0" w:color="auto"/>
            </w:tcBorders>
            <w:shd w:val="clear" w:color="auto" w:fill="FFFFFF"/>
            <w:vAlign w:val="center"/>
            <w:hideMark/>
          </w:tcPr>
          <w:p w14:paraId="378EC643"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B58D59F"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Roger Brenes Mata </w:t>
            </w:r>
          </w:p>
        </w:tc>
      </w:tr>
      <w:tr w:rsidR="00427AC7" w:rsidRPr="00427AC7" w14:paraId="76ED0E0D" w14:textId="77777777" w:rsidTr="00861FDD">
        <w:trPr>
          <w:trHeight w:val="285"/>
        </w:trPr>
        <w:tc>
          <w:tcPr>
            <w:tcW w:w="929" w:type="dxa"/>
            <w:tcBorders>
              <w:top w:val="nil"/>
              <w:left w:val="single" w:sz="6" w:space="0" w:color="auto"/>
              <w:bottom w:val="single" w:sz="6" w:space="0" w:color="auto"/>
              <w:right w:val="single" w:sz="6" w:space="0" w:color="auto"/>
            </w:tcBorders>
            <w:shd w:val="clear" w:color="auto" w:fill="FFFFFF"/>
            <w:vAlign w:val="center"/>
            <w:hideMark/>
          </w:tcPr>
          <w:p w14:paraId="48B68FF6"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22/5/2023 </w:t>
            </w:r>
          </w:p>
        </w:tc>
        <w:tc>
          <w:tcPr>
            <w:tcW w:w="780" w:type="dxa"/>
            <w:tcBorders>
              <w:top w:val="nil"/>
              <w:left w:val="nil"/>
              <w:bottom w:val="single" w:sz="6" w:space="0" w:color="auto"/>
              <w:right w:val="single" w:sz="6" w:space="0" w:color="auto"/>
            </w:tcBorders>
            <w:shd w:val="clear" w:color="auto" w:fill="FFFFFF"/>
            <w:vAlign w:val="center"/>
            <w:hideMark/>
          </w:tcPr>
          <w:p w14:paraId="1EBDAFD4"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0110-PLA-P32 </w:t>
            </w:r>
          </w:p>
        </w:tc>
        <w:tc>
          <w:tcPr>
            <w:tcW w:w="2170" w:type="dxa"/>
            <w:tcBorders>
              <w:top w:val="nil"/>
              <w:left w:val="nil"/>
              <w:bottom w:val="single" w:sz="6" w:space="0" w:color="auto"/>
              <w:right w:val="single" w:sz="6" w:space="0" w:color="auto"/>
            </w:tcBorders>
            <w:shd w:val="clear" w:color="auto" w:fill="FFFFFF"/>
            <w:vAlign w:val="center"/>
            <w:hideMark/>
          </w:tcPr>
          <w:p w14:paraId="6E0F1B39"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Implementación de oficina Modelo en el Juzgado y Tribunal Notarial </w:t>
            </w:r>
          </w:p>
        </w:tc>
        <w:tc>
          <w:tcPr>
            <w:tcW w:w="2670" w:type="dxa"/>
            <w:tcBorders>
              <w:top w:val="nil"/>
              <w:left w:val="nil"/>
              <w:bottom w:val="single" w:sz="6" w:space="0" w:color="auto"/>
              <w:right w:val="single" w:sz="6" w:space="0" w:color="auto"/>
            </w:tcBorders>
            <w:shd w:val="clear" w:color="auto" w:fill="FFFFFF"/>
            <w:vAlign w:val="center"/>
            <w:hideMark/>
          </w:tcPr>
          <w:p w14:paraId="54945749"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Cambio de fechas en el cronograma del proyecto, de las EDT. </w:t>
            </w:r>
          </w:p>
        </w:tc>
        <w:tc>
          <w:tcPr>
            <w:tcW w:w="1529" w:type="dxa"/>
            <w:tcBorders>
              <w:top w:val="nil"/>
              <w:left w:val="nil"/>
              <w:bottom w:val="single" w:sz="6" w:space="0" w:color="auto"/>
              <w:right w:val="single" w:sz="6" w:space="0" w:color="auto"/>
            </w:tcBorders>
            <w:shd w:val="clear" w:color="auto" w:fill="FFFFFF"/>
            <w:vAlign w:val="center"/>
            <w:hideMark/>
          </w:tcPr>
          <w:p w14:paraId="59E575D7"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2E6AFA4" w14:textId="01B320C6" w:rsidR="00427AC7" w:rsidRPr="00427AC7" w:rsidRDefault="00B81D6F" w:rsidP="00BD3CEF">
            <w:pPr>
              <w:spacing w:after="0" w:line="240" w:lineRule="auto"/>
              <w:jc w:val="both"/>
              <w:textAlignment w:val="baseline"/>
              <w:rPr>
                <w:rFonts w:ascii="Segoe UI" w:eastAsia="Times New Roman" w:hAnsi="Segoe UI" w:cs="Segoe UI"/>
                <w:sz w:val="18"/>
                <w:szCs w:val="18"/>
                <w:lang w:eastAsia="es-CR"/>
              </w:rPr>
            </w:pPr>
            <w:r>
              <w:rPr>
                <w:rFonts w:ascii="Book Antiqua" w:eastAsia="Times New Roman" w:hAnsi="Book Antiqua" w:cs="Segoe UI"/>
                <w:color w:val="000000"/>
                <w:sz w:val="16"/>
                <w:szCs w:val="16"/>
                <w:lang w:eastAsia="es-CR"/>
              </w:rPr>
              <w:t>Dixon Li Morales</w:t>
            </w:r>
            <w:r w:rsidR="00427AC7" w:rsidRPr="00427AC7">
              <w:rPr>
                <w:rFonts w:ascii="Book Antiqua" w:eastAsia="Times New Roman" w:hAnsi="Book Antiqua" w:cs="Segoe UI"/>
                <w:color w:val="000000"/>
                <w:sz w:val="16"/>
                <w:szCs w:val="16"/>
                <w:lang w:eastAsia="es-CR"/>
              </w:rPr>
              <w:t> </w:t>
            </w:r>
          </w:p>
        </w:tc>
      </w:tr>
      <w:tr w:rsidR="00427AC7" w:rsidRPr="00427AC7" w14:paraId="7E1452C2"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F410301"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4"/>
                <w:szCs w:val="14"/>
                <w:lang w:eastAsia="es-CR"/>
              </w:rPr>
              <w:t>18/4/2023 </w:t>
            </w:r>
          </w:p>
        </w:tc>
        <w:tc>
          <w:tcPr>
            <w:tcW w:w="780" w:type="dxa"/>
            <w:tcBorders>
              <w:top w:val="single" w:sz="6" w:space="0" w:color="auto"/>
              <w:left w:val="nil"/>
              <w:bottom w:val="single" w:sz="6" w:space="0" w:color="auto"/>
              <w:right w:val="single" w:sz="6" w:space="0" w:color="auto"/>
            </w:tcBorders>
            <w:shd w:val="clear" w:color="auto" w:fill="FFFFFF"/>
            <w:vAlign w:val="center"/>
            <w:hideMark/>
          </w:tcPr>
          <w:p w14:paraId="7C1D27FC"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4"/>
                <w:szCs w:val="14"/>
                <w:lang w:eastAsia="es-CR"/>
              </w:rPr>
              <w:t>1167-OIJ-P18 </w:t>
            </w:r>
          </w:p>
        </w:tc>
        <w:tc>
          <w:tcPr>
            <w:tcW w:w="2170" w:type="dxa"/>
            <w:tcBorders>
              <w:top w:val="single" w:sz="6" w:space="0" w:color="auto"/>
              <w:left w:val="nil"/>
              <w:bottom w:val="single" w:sz="6" w:space="0" w:color="auto"/>
              <w:right w:val="single" w:sz="6" w:space="0" w:color="auto"/>
            </w:tcBorders>
            <w:shd w:val="clear" w:color="auto" w:fill="FFFFFF"/>
            <w:vAlign w:val="center"/>
            <w:hideMark/>
          </w:tcPr>
          <w:p w14:paraId="0593DAAC"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4"/>
                <w:szCs w:val="14"/>
                <w:lang w:eastAsia="es-CR"/>
              </w:rPr>
              <w:t>Acreditación ISO 27001 UTI y PIP </w:t>
            </w:r>
          </w:p>
        </w:tc>
        <w:tc>
          <w:tcPr>
            <w:tcW w:w="2670" w:type="dxa"/>
            <w:tcBorders>
              <w:top w:val="single" w:sz="6" w:space="0" w:color="auto"/>
              <w:left w:val="nil"/>
              <w:bottom w:val="single" w:sz="6" w:space="0" w:color="auto"/>
              <w:right w:val="single" w:sz="6" w:space="0" w:color="auto"/>
            </w:tcBorders>
            <w:shd w:val="clear" w:color="auto" w:fill="FFFFFF"/>
            <w:vAlign w:val="center"/>
            <w:hideMark/>
          </w:tcPr>
          <w:p w14:paraId="1438B029"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4"/>
                <w:szCs w:val="14"/>
                <w:lang w:eastAsia="es-CR"/>
              </w:rPr>
              <w:t>La solicitud de cambio se debe a la actualización del recurso humano definido para el proyecto y cambios en el cronograma del mismo, por tanto, se modificaron los siguientes archivos: Estudio de factibilidad - Versión 02. 1167-OIJ-P18 (28-04-2023); Acta de constitución - Versión 03. 1167-OIJ-P18 (28-4-2023); Plan de Gestión - Versión 05. 1167-OIJ-P18 (28-4-2023). </w:t>
            </w:r>
          </w:p>
        </w:tc>
        <w:tc>
          <w:tcPr>
            <w:tcW w:w="1529" w:type="dxa"/>
            <w:tcBorders>
              <w:top w:val="single" w:sz="6" w:space="0" w:color="auto"/>
              <w:left w:val="nil"/>
              <w:bottom w:val="single" w:sz="6" w:space="0" w:color="auto"/>
              <w:right w:val="single" w:sz="6" w:space="0" w:color="auto"/>
            </w:tcBorders>
            <w:shd w:val="clear" w:color="auto" w:fill="FFFFFF"/>
            <w:vAlign w:val="center"/>
            <w:hideMark/>
          </w:tcPr>
          <w:p w14:paraId="5DCAC6CC"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4"/>
                <w:szCs w:val="14"/>
                <w:lang w:eastAsia="es-CR"/>
              </w:rPr>
              <w:t>Costo, Cronograma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73958E6"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Randall Zuñiga Lopez </w:t>
            </w:r>
          </w:p>
        </w:tc>
      </w:tr>
      <w:tr w:rsidR="00427AC7" w:rsidRPr="00427AC7" w14:paraId="25FBBB23" w14:textId="77777777" w:rsidTr="00861FDD">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CB7C932"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4"/>
                <w:szCs w:val="14"/>
                <w:lang w:eastAsia="es-CR"/>
              </w:rPr>
              <w:t>28/4/2023 </w:t>
            </w:r>
          </w:p>
        </w:tc>
        <w:tc>
          <w:tcPr>
            <w:tcW w:w="780" w:type="dxa"/>
            <w:tcBorders>
              <w:top w:val="single" w:sz="6" w:space="0" w:color="auto"/>
              <w:left w:val="nil"/>
              <w:bottom w:val="single" w:sz="6" w:space="0" w:color="auto"/>
              <w:right w:val="single" w:sz="6" w:space="0" w:color="auto"/>
            </w:tcBorders>
            <w:shd w:val="clear" w:color="auto" w:fill="FFFFFF"/>
            <w:vAlign w:val="center"/>
            <w:hideMark/>
          </w:tcPr>
          <w:p w14:paraId="61AE7295" w14:textId="77777777" w:rsidR="00427AC7" w:rsidRPr="00427AC7" w:rsidRDefault="00427AC7" w:rsidP="00427AC7">
            <w:pPr>
              <w:spacing w:after="0" w:line="240" w:lineRule="auto"/>
              <w:jc w:val="center"/>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4"/>
                <w:szCs w:val="14"/>
                <w:lang w:eastAsia="es-CR"/>
              </w:rPr>
              <w:t>1167-OIJ-P56 </w:t>
            </w:r>
          </w:p>
        </w:tc>
        <w:tc>
          <w:tcPr>
            <w:tcW w:w="2170" w:type="dxa"/>
            <w:tcBorders>
              <w:top w:val="single" w:sz="6" w:space="0" w:color="auto"/>
              <w:left w:val="nil"/>
              <w:bottom w:val="single" w:sz="6" w:space="0" w:color="auto"/>
              <w:right w:val="single" w:sz="6" w:space="0" w:color="auto"/>
            </w:tcBorders>
            <w:shd w:val="clear" w:color="auto" w:fill="FFFFFF"/>
            <w:vAlign w:val="center"/>
            <w:hideMark/>
          </w:tcPr>
          <w:p w14:paraId="7C6E9BDC"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4"/>
                <w:szCs w:val="14"/>
                <w:lang w:eastAsia="es-CR"/>
              </w:rPr>
              <w:t>Procedimientos para la funcionalidad de Oficina Especializada contra el Crimen Organizado </w:t>
            </w:r>
          </w:p>
        </w:tc>
        <w:tc>
          <w:tcPr>
            <w:tcW w:w="2670" w:type="dxa"/>
            <w:tcBorders>
              <w:top w:val="single" w:sz="6" w:space="0" w:color="auto"/>
              <w:left w:val="nil"/>
              <w:bottom w:val="single" w:sz="6" w:space="0" w:color="auto"/>
              <w:right w:val="single" w:sz="6" w:space="0" w:color="auto"/>
            </w:tcBorders>
            <w:shd w:val="clear" w:color="auto" w:fill="FFFFFF"/>
            <w:vAlign w:val="center"/>
            <w:hideMark/>
          </w:tcPr>
          <w:p w14:paraId="3A5E500B" w14:textId="202CA235"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4"/>
                <w:szCs w:val="14"/>
                <w:lang w:eastAsia="es-CR"/>
              </w:rPr>
              <w:t>A. Fecha de finalización del proyecto al 31/04/2023 . B. Incorporación de riesgo. Cambio de roles del personal en el proyecto</w:t>
            </w:r>
            <w:r>
              <w:rPr>
                <w:rFonts w:ascii="Book Antiqua" w:eastAsia="Times New Roman" w:hAnsi="Book Antiqua" w:cs="Segoe UI"/>
                <w:color w:val="000000"/>
                <w:sz w:val="14"/>
                <w:szCs w:val="14"/>
                <w:lang w:eastAsia="es-CR"/>
              </w:rPr>
              <w:t xml:space="preserve"> </w:t>
            </w:r>
            <w:r w:rsidRPr="00427AC7">
              <w:rPr>
                <w:rFonts w:ascii="Book Antiqua" w:eastAsia="Times New Roman" w:hAnsi="Book Antiqua" w:cs="Segoe UI"/>
                <w:color w:val="000000"/>
                <w:sz w:val="14"/>
                <w:szCs w:val="14"/>
                <w:lang w:eastAsia="es-CR"/>
              </w:rPr>
              <w:t>D. Modificación de la fecha de finalización del entregable 3.4 (3.4.3: Infraestructura). E. Actualización en el Estudio de factibilidad  </w:t>
            </w:r>
            <w:r w:rsidRPr="00427AC7">
              <w:rPr>
                <w:rFonts w:ascii="Book Antiqua" w:eastAsia="Times New Roman" w:hAnsi="Book Antiqua" w:cs="Segoe UI"/>
                <w:color w:val="000000"/>
                <w:sz w:val="14"/>
                <w:szCs w:val="14"/>
                <w:lang w:eastAsia="es-CR"/>
              </w:rPr>
              <w:br/>
              <w:t>F. Actualización en el Acta de Constitución G. Actualización en el Plan de Gestión </w:t>
            </w:r>
          </w:p>
        </w:tc>
        <w:tc>
          <w:tcPr>
            <w:tcW w:w="1529" w:type="dxa"/>
            <w:tcBorders>
              <w:top w:val="single" w:sz="6" w:space="0" w:color="auto"/>
              <w:left w:val="nil"/>
              <w:bottom w:val="single" w:sz="6" w:space="0" w:color="auto"/>
              <w:right w:val="single" w:sz="6" w:space="0" w:color="auto"/>
            </w:tcBorders>
            <w:shd w:val="clear" w:color="auto" w:fill="FFFFFF"/>
            <w:vAlign w:val="center"/>
            <w:hideMark/>
          </w:tcPr>
          <w:p w14:paraId="4F31790E"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4"/>
                <w:szCs w:val="14"/>
                <w:lang w:eastAsia="es-CR"/>
              </w:rPr>
              <w:t>Costo, cronograma, rendimiento, En otros proyecto o procesos   y recurso. </w:t>
            </w:r>
          </w:p>
        </w:tc>
        <w:tc>
          <w:tcPr>
            <w:tcW w:w="160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7FDFDBB" w14:textId="77777777" w:rsidR="00427AC7" w:rsidRPr="00427AC7" w:rsidRDefault="00427AC7" w:rsidP="00BD3CEF">
            <w:pPr>
              <w:spacing w:after="0" w:line="240" w:lineRule="auto"/>
              <w:jc w:val="both"/>
              <w:textAlignment w:val="baseline"/>
              <w:rPr>
                <w:rFonts w:ascii="Segoe UI" w:eastAsia="Times New Roman" w:hAnsi="Segoe UI" w:cs="Segoe UI"/>
                <w:sz w:val="18"/>
                <w:szCs w:val="18"/>
                <w:lang w:eastAsia="es-CR"/>
              </w:rPr>
            </w:pPr>
            <w:r w:rsidRPr="00427AC7">
              <w:rPr>
                <w:rFonts w:ascii="Book Antiqua" w:eastAsia="Times New Roman" w:hAnsi="Book Antiqua" w:cs="Segoe UI"/>
                <w:color w:val="000000"/>
                <w:sz w:val="16"/>
                <w:szCs w:val="16"/>
                <w:lang w:eastAsia="es-CR"/>
              </w:rPr>
              <w:t>Randall Zuñiga Lopez </w:t>
            </w:r>
          </w:p>
        </w:tc>
      </w:tr>
      <w:tr w:rsidR="00861FDD" w:rsidRPr="00427AC7" w14:paraId="13315557" w14:textId="77777777" w:rsidTr="00F400D6">
        <w:trPr>
          <w:trHeight w:val="604"/>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14:paraId="1967D97E" w14:textId="5B2813C3" w:rsidR="00861FDD" w:rsidRPr="00427AC7" w:rsidRDefault="00861FDD" w:rsidP="00861FDD">
            <w:pPr>
              <w:spacing w:after="0" w:line="240" w:lineRule="auto"/>
              <w:jc w:val="center"/>
              <w:textAlignment w:val="baseline"/>
              <w:rPr>
                <w:rFonts w:ascii="Book Antiqua" w:eastAsia="Times New Roman" w:hAnsi="Book Antiqua" w:cs="Segoe UI"/>
                <w:color w:val="000000"/>
                <w:sz w:val="14"/>
                <w:szCs w:val="14"/>
                <w:lang w:eastAsia="es-CR"/>
              </w:rPr>
            </w:pPr>
            <w:r w:rsidRPr="005138FF">
              <w:rPr>
                <w:rFonts w:ascii="Book Antiqua" w:eastAsia="Times New Roman" w:hAnsi="Book Antiqua" w:cs="Segoe UI"/>
                <w:color w:val="000000"/>
                <w:sz w:val="14"/>
                <w:szCs w:val="14"/>
                <w:lang w:eastAsia="es-CR"/>
              </w:rPr>
              <w:t>28/4/2023 </w:t>
            </w:r>
          </w:p>
        </w:tc>
        <w:tc>
          <w:tcPr>
            <w:tcW w:w="780" w:type="dxa"/>
            <w:vMerge w:val="restart"/>
            <w:tcBorders>
              <w:top w:val="single" w:sz="6" w:space="0" w:color="auto"/>
              <w:left w:val="nil"/>
              <w:right w:val="single" w:sz="6" w:space="0" w:color="auto"/>
            </w:tcBorders>
            <w:shd w:val="clear" w:color="auto" w:fill="FFFFFF"/>
            <w:vAlign w:val="center"/>
          </w:tcPr>
          <w:p w14:paraId="400F6561" w14:textId="553F276B" w:rsidR="00861FDD" w:rsidRPr="00427AC7" w:rsidRDefault="00861FDD" w:rsidP="00861FDD">
            <w:pPr>
              <w:spacing w:after="0" w:line="240" w:lineRule="auto"/>
              <w:jc w:val="center"/>
              <w:textAlignment w:val="baseline"/>
              <w:rPr>
                <w:rFonts w:ascii="Book Antiqua" w:eastAsia="Times New Roman" w:hAnsi="Book Antiqua" w:cs="Segoe UI"/>
                <w:color w:val="000000"/>
                <w:sz w:val="14"/>
                <w:szCs w:val="14"/>
                <w:lang w:eastAsia="es-CR"/>
              </w:rPr>
            </w:pPr>
            <w:r w:rsidRPr="005138FF">
              <w:rPr>
                <w:rFonts w:ascii="Book Antiqua" w:eastAsia="Times New Roman" w:hAnsi="Book Antiqua" w:cs="Segoe UI"/>
                <w:color w:val="000000"/>
                <w:sz w:val="14"/>
                <w:szCs w:val="14"/>
                <w:lang w:eastAsia="es-CR"/>
              </w:rPr>
              <w:t>0134-DGH-P17 </w:t>
            </w:r>
          </w:p>
        </w:tc>
        <w:tc>
          <w:tcPr>
            <w:tcW w:w="2170" w:type="dxa"/>
            <w:vMerge w:val="restart"/>
            <w:tcBorders>
              <w:top w:val="single" w:sz="6" w:space="0" w:color="auto"/>
              <w:left w:val="nil"/>
              <w:right w:val="single" w:sz="6" w:space="0" w:color="auto"/>
            </w:tcBorders>
            <w:shd w:val="clear" w:color="auto" w:fill="FFFFFF"/>
            <w:vAlign w:val="center"/>
          </w:tcPr>
          <w:p w14:paraId="29B11354" w14:textId="227C8C25" w:rsidR="00861FDD" w:rsidRPr="00427AC7" w:rsidRDefault="00861FDD" w:rsidP="00861FDD">
            <w:pPr>
              <w:spacing w:after="0" w:line="240" w:lineRule="auto"/>
              <w:jc w:val="both"/>
              <w:textAlignment w:val="baseline"/>
              <w:rPr>
                <w:rFonts w:ascii="Book Antiqua" w:eastAsia="Times New Roman" w:hAnsi="Book Antiqua" w:cs="Segoe UI"/>
                <w:color w:val="000000"/>
                <w:sz w:val="14"/>
                <w:szCs w:val="14"/>
                <w:lang w:eastAsia="es-CR"/>
              </w:rPr>
            </w:pPr>
            <w:r w:rsidRPr="005138FF">
              <w:rPr>
                <w:rFonts w:ascii="Book Antiqua" w:eastAsia="Times New Roman" w:hAnsi="Book Antiqua" w:cs="Segoe UI"/>
                <w:color w:val="000000"/>
                <w:sz w:val="14"/>
                <w:szCs w:val="14"/>
                <w:lang w:eastAsia="es-CR"/>
              </w:rPr>
              <w:t>Proyecto Ley N°10159 Marco de Empleo Público </w:t>
            </w:r>
          </w:p>
        </w:tc>
        <w:tc>
          <w:tcPr>
            <w:tcW w:w="2670" w:type="dxa"/>
            <w:tcBorders>
              <w:top w:val="single" w:sz="6" w:space="0" w:color="auto"/>
              <w:left w:val="nil"/>
              <w:bottom w:val="single" w:sz="6" w:space="0" w:color="auto"/>
              <w:right w:val="single" w:sz="6" w:space="0" w:color="auto"/>
            </w:tcBorders>
            <w:shd w:val="clear" w:color="auto" w:fill="FFFFFF"/>
            <w:vAlign w:val="center"/>
          </w:tcPr>
          <w:p w14:paraId="093F563C" w14:textId="45F53551" w:rsidR="00861FDD" w:rsidRDefault="00861FDD" w:rsidP="00861FDD">
            <w:pPr>
              <w:spacing w:after="0" w:line="240" w:lineRule="auto"/>
              <w:jc w:val="both"/>
              <w:textAlignment w:val="baseline"/>
              <w:rPr>
                <w:rFonts w:ascii="Book Antiqua" w:eastAsia="Times New Roman" w:hAnsi="Book Antiqua" w:cs="Segoe UI"/>
                <w:color w:val="000000"/>
                <w:sz w:val="14"/>
                <w:szCs w:val="14"/>
                <w:lang w:eastAsia="es-CR"/>
              </w:rPr>
            </w:pPr>
            <w:r w:rsidRPr="005138FF">
              <w:rPr>
                <w:rFonts w:ascii="Book Antiqua" w:eastAsia="Times New Roman" w:hAnsi="Book Antiqua" w:cs="Segoe UI"/>
                <w:color w:val="000000"/>
                <w:sz w:val="14"/>
                <w:szCs w:val="14"/>
                <w:lang w:eastAsia="es-CR"/>
              </w:rPr>
              <w:t>Modificación de cronograma y de costos </w:t>
            </w:r>
          </w:p>
        </w:tc>
        <w:tc>
          <w:tcPr>
            <w:tcW w:w="1529" w:type="dxa"/>
            <w:tcBorders>
              <w:top w:val="single" w:sz="6" w:space="0" w:color="auto"/>
              <w:left w:val="nil"/>
              <w:bottom w:val="single" w:sz="6" w:space="0" w:color="auto"/>
              <w:right w:val="single" w:sz="6" w:space="0" w:color="auto"/>
            </w:tcBorders>
            <w:shd w:val="clear" w:color="auto" w:fill="FFFFFF"/>
            <w:vAlign w:val="center"/>
          </w:tcPr>
          <w:p w14:paraId="5DDBF1AB" w14:textId="47F3EC09" w:rsidR="00861FDD" w:rsidRPr="00427AC7" w:rsidRDefault="00861FDD" w:rsidP="00861FDD">
            <w:pPr>
              <w:spacing w:after="0" w:line="240" w:lineRule="auto"/>
              <w:jc w:val="both"/>
              <w:textAlignment w:val="baseline"/>
              <w:rPr>
                <w:rFonts w:ascii="Book Antiqua" w:eastAsia="Times New Roman" w:hAnsi="Book Antiqua" w:cs="Segoe UI"/>
                <w:color w:val="000000"/>
                <w:sz w:val="14"/>
                <w:szCs w:val="14"/>
                <w:lang w:eastAsia="es-CR"/>
              </w:rPr>
            </w:pPr>
            <w:r w:rsidRPr="005138FF">
              <w:rPr>
                <w:rFonts w:ascii="Book Antiqua" w:eastAsia="Times New Roman" w:hAnsi="Book Antiqua" w:cs="Segoe UI"/>
                <w:color w:val="000000"/>
                <w:sz w:val="14"/>
                <w:szCs w:val="14"/>
                <w:lang w:eastAsia="es-CR"/>
              </w:rPr>
              <w:t>Costo, cronograma </w:t>
            </w:r>
          </w:p>
        </w:tc>
        <w:tc>
          <w:tcPr>
            <w:tcW w:w="1605" w:type="dxa"/>
            <w:vMerge w:val="restart"/>
            <w:tcBorders>
              <w:top w:val="single" w:sz="6" w:space="0" w:color="auto"/>
              <w:left w:val="single" w:sz="6" w:space="0" w:color="auto"/>
              <w:right w:val="single" w:sz="6" w:space="0" w:color="auto"/>
            </w:tcBorders>
            <w:shd w:val="clear" w:color="auto" w:fill="FFFFFF"/>
            <w:vAlign w:val="center"/>
          </w:tcPr>
          <w:p w14:paraId="59D31DF6" w14:textId="6054B374" w:rsidR="00861FDD" w:rsidRPr="00427AC7" w:rsidRDefault="00861FDD" w:rsidP="00861FDD">
            <w:pPr>
              <w:spacing w:after="0" w:line="240" w:lineRule="auto"/>
              <w:jc w:val="both"/>
              <w:textAlignment w:val="baseline"/>
              <w:rPr>
                <w:rFonts w:ascii="Book Antiqua" w:eastAsia="Times New Roman" w:hAnsi="Book Antiqua" w:cs="Segoe UI"/>
                <w:color w:val="000000"/>
                <w:sz w:val="16"/>
                <w:szCs w:val="16"/>
                <w:lang w:eastAsia="es-CR"/>
              </w:rPr>
            </w:pPr>
            <w:r w:rsidRPr="005138FF">
              <w:rPr>
                <w:rFonts w:ascii="Book Antiqua" w:eastAsia="Times New Roman" w:hAnsi="Book Antiqua" w:cs="Segoe UI"/>
                <w:color w:val="000000"/>
                <w:sz w:val="14"/>
                <w:szCs w:val="14"/>
                <w:lang w:eastAsia="es-CR"/>
              </w:rPr>
              <w:t>Roxana Arrieta Meléndez </w:t>
            </w:r>
          </w:p>
        </w:tc>
      </w:tr>
      <w:tr w:rsidR="00861FDD" w:rsidRPr="00427AC7" w14:paraId="19ACA881" w14:textId="77777777" w:rsidTr="00F400D6">
        <w:trPr>
          <w:trHeight w:val="285"/>
        </w:trPr>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14:paraId="30E5ABE8" w14:textId="2B8AFE40" w:rsidR="00861FDD" w:rsidRPr="00427AC7" w:rsidRDefault="00861FDD" w:rsidP="00861FDD">
            <w:pPr>
              <w:spacing w:after="0" w:line="240" w:lineRule="auto"/>
              <w:jc w:val="center"/>
              <w:textAlignment w:val="baseline"/>
              <w:rPr>
                <w:rFonts w:ascii="Book Antiqua" w:eastAsia="Times New Roman" w:hAnsi="Book Antiqua" w:cs="Segoe UI"/>
                <w:color w:val="000000"/>
                <w:sz w:val="14"/>
                <w:szCs w:val="14"/>
                <w:lang w:eastAsia="es-CR"/>
              </w:rPr>
            </w:pPr>
            <w:r w:rsidRPr="005138FF">
              <w:rPr>
                <w:rFonts w:ascii="Book Antiqua" w:eastAsia="Times New Roman" w:hAnsi="Book Antiqua" w:cs="Segoe UI"/>
                <w:color w:val="000000"/>
                <w:sz w:val="14"/>
                <w:szCs w:val="14"/>
                <w:lang w:eastAsia="es-CR"/>
              </w:rPr>
              <w:t>23/5/2023 </w:t>
            </w:r>
          </w:p>
        </w:tc>
        <w:tc>
          <w:tcPr>
            <w:tcW w:w="780" w:type="dxa"/>
            <w:vMerge/>
            <w:tcBorders>
              <w:left w:val="nil"/>
              <w:bottom w:val="single" w:sz="6" w:space="0" w:color="auto"/>
              <w:right w:val="single" w:sz="6" w:space="0" w:color="auto"/>
            </w:tcBorders>
            <w:shd w:val="clear" w:color="auto" w:fill="FFFFFF"/>
            <w:vAlign w:val="center"/>
          </w:tcPr>
          <w:p w14:paraId="7600A49E" w14:textId="77777777" w:rsidR="00861FDD" w:rsidRPr="00427AC7" w:rsidRDefault="00861FDD" w:rsidP="00861FDD">
            <w:pPr>
              <w:spacing w:after="0" w:line="240" w:lineRule="auto"/>
              <w:jc w:val="center"/>
              <w:textAlignment w:val="baseline"/>
              <w:rPr>
                <w:rFonts w:ascii="Book Antiqua" w:eastAsia="Times New Roman" w:hAnsi="Book Antiqua" w:cs="Segoe UI"/>
                <w:color w:val="000000"/>
                <w:sz w:val="14"/>
                <w:szCs w:val="14"/>
                <w:lang w:eastAsia="es-CR"/>
              </w:rPr>
            </w:pPr>
          </w:p>
        </w:tc>
        <w:tc>
          <w:tcPr>
            <w:tcW w:w="2170" w:type="dxa"/>
            <w:vMerge/>
            <w:tcBorders>
              <w:left w:val="nil"/>
              <w:bottom w:val="single" w:sz="6" w:space="0" w:color="auto"/>
              <w:right w:val="single" w:sz="6" w:space="0" w:color="auto"/>
            </w:tcBorders>
            <w:shd w:val="clear" w:color="auto" w:fill="FFFFFF"/>
            <w:vAlign w:val="center"/>
          </w:tcPr>
          <w:p w14:paraId="11B82A3A" w14:textId="77777777" w:rsidR="00861FDD" w:rsidRPr="00427AC7" w:rsidRDefault="00861FDD" w:rsidP="00861FDD">
            <w:pPr>
              <w:spacing w:after="0" w:line="240" w:lineRule="auto"/>
              <w:jc w:val="both"/>
              <w:textAlignment w:val="baseline"/>
              <w:rPr>
                <w:rFonts w:ascii="Book Antiqua" w:eastAsia="Times New Roman" w:hAnsi="Book Antiqua" w:cs="Segoe UI"/>
                <w:color w:val="000000"/>
                <w:sz w:val="14"/>
                <w:szCs w:val="14"/>
                <w:lang w:eastAsia="es-CR"/>
              </w:rPr>
            </w:pPr>
          </w:p>
        </w:tc>
        <w:tc>
          <w:tcPr>
            <w:tcW w:w="2670" w:type="dxa"/>
            <w:tcBorders>
              <w:top w:val="single" w:sz="6" w:space="0" w:color="auto"/>
              <w:left w:val="nil"/>
              <w:bottom w:val="single" w:sz="6" w:space="0" w:color="auto"/>
              <w:right w:val="single" w:sz="6" w:space="0" w:color="auto"/>
            </w:tcBorders>
            <w:shd w:val="clear" w:color="auto" w:fill="FFFFFF"/>
            <w:vAlign w:val="center"/>
          </w:tcPr>
          <w:p w14:paraId="303CA300" w14:textId="77777777" w:rsidR="00861FDD" w:rsidRDefault="00861FDD" w:rsidP="00861FDD">
            <w:pPr>
              <w:spacing w:after="0" w:line="240" w:lineRule="auto"/>
              <w:jc w:val="both"/>
              <w:textAlignment w:val="baseline"/>
              <w:rPr>
                <w:rFonts w:ascii="Book Antiqua" w:eastAsia="Times New Roman" w:hAnsi="Book Antiqua" w:cs="Segoe UI"/>
                <w:color w:val="000000"/>
                <w:sz w:val="14"/>
                <w:szCs w:val="14"/>
                <w:lang w:eastAsia="es-CR"/>
              </w:rPr>
            </w:pPr>
          </w:p>
          <w:p w14:paraId="18A79247" w14:textId="77777777" w:rsidR="00861FDD" w:rsidRDefault="00861FDD" w:rsidP="00861FDD">
            <w:pPr>
              <w:spacing w:after="0" w:line="240" w:lineRule="auto"/>
              <w:jc w:val="both"/>
              <w:textAlignment w:val="baseline"/>
              <w:rPr>
                <w:rFonts w:ascii="Book Antiqua" w:eastAsia="Times New Roman" w:hAnsi="Book Antiqua" w:cs="Segoe UI"/>
                <w:color w:val="000000"/>
                <w:sz w:val="14"/>
                <w:szCs w:val="14"/>
                <w:lang w:eastAsia="es-CR"/>
              </w:rPr>
            </w:pPr>
          </w:p>
          <w:p w14:paraId="6E32B38F" w14:textId="77777777" w:rsidR="00861FDD" w:rsidRDefault="00861FDD" w:rsidP="00861FDD">
            <w:pPr>
              <w:spacing w:after="0" w:line="240" w:lineRule="auto"/>
              <w:jc w:val="both"/>
              <w:textAlignment w:val="baseline"/>
              <w:rPr>
                <w:rFonts w:ascii="Book Antiqua" w:eastAsia="Times New Roman" w:hAnsi="Book Antiqua" w:cs="Segoe UI"/>
                <w:color w:val="000000"/>
                <w:sz w:val="14"/>
                <w:szCs w:val="14"/>
                <w:lang w:eastAsia="es-CR"/>
              </w:rPr>
            </w:pPr>
          </w:p>
          <w:p w14:paraId="0FEA5871" w14:textId="6B0B3BB7" w:rsidR="00861FDD" w:rsidRDefault="00861FDD" w:rsidP="00861FDD">
            <w:pPr>
              <w:spacing w:after="0" w:line="240" w:lineRule="auto"/>
              <w:jc w:val="both"/>
              <w:textAlignment w:val="baseline"/>
              <w:rPr>
                <w:rFonts w:ascii="Book Antiqua" w:eastAsia="Times New Roman" w:hAnsi="Book Antiqua" w:cs="Segoe UI"/>
                <w:color w:val="000000"/>
                <w:sz w:val="14"/>
                <w:szCs w:val="14"/>
                <w:lang w:eastAsia="es-CR"/>
              </w:rPr>
            </w:pPr>
            <w:r w:rsidRPr="005138FF">
              <w:rPr>
                <w:rFonts w:ascii="Book Antiqua" w:eastAsia="Times New Roman" w:hAnsi="Book Antiqua" w:cs="Segoe UI"/>
                <w:color w:val="000000"/>
                <w:sz w:val="14"/>
                <w:szCs w:val="14"/>
                <w:lang w:eastAsia="es-CR"/>
              </w:rPr>
              <w:t>Modificación de cronograma y de costos </w:t>
            </w:r>
          </w:p>
          <w:p w14:paraId="6138AB0A" w14:textId="2A1F5AC7" w:rsidR="00861FDD" w:rsidRPr="00427AC7" w:rsidRDefault="00861FDD" w:rsidP="00861FDD">
            <w:pPr>
              <w:spacing w:after="0" w:line="240" w:lineRule="auto"/>
              <w:jc w:val="both"/>
              <w:textAlignment w:val="baseline"/>
              <w:rPr>
                <w:rFonts w:ascii="Book Antiqua" w:eastAsia="Times New Roman" w:hAnsi="Book Antiqua" w:cs="Segoe UI"/>
                <w:color w:val="000000"/>
                <w:sz w:val="14"/>
                <w:szCs w:val="14"/>
                <w:lang w:eastAsia="es-CR"/>
              </w:rPr>
            </w:pPr>
          </w:p>
        </w:tc>
        <w:tc>
          <w:tcPr>
            <w:tcW w:w="1529" w:type="dxa"/>
            <w:tcBorders>
              <w:top w:val="single" w:sz="6" w:space="0" w:color="auto"/>
              <w:left w:val="nil"/>
              <w:bottom w:val="single" w:sz="6" w:space="0" w:color="auto"/>
              <w:right w:val="single" w:sz="6" w:space="0" w:color="auto"/>
            </w:tcBorders>
            <w:shd w:val="clear" w:color="auto" w:fill="FFFFFF"/>
            <w:vAlign w:val="center"/>
          </w:tcPr>
          <w:p w14:paraId="560692C5" w14:textId="7315D7A2" w:rsidR="00861FDD" w:rsidRPr="00427AC7" w:rsidRDefault="00861FDD" w:rsidP="00861FDD">
            <w:pPr>
              <w:spacing w:after="0" w:line="240" w:lineRule="auto"/>
              <w:jc w:val="both"/>
              <w:textAlignment w:val="baseline"/>
              <w:rPr>
                <w:rFonts w:ascii="Book Antiqua" w:eastAsia="Times New Roman" w:hAnsi="Book Antiqua" w:cs="Segoe UI"/>
                <w:color w:val="000000"/>
                <w:sz w:val="14"/>
                <w:szCs w:val="14"/>
                <w:lang w:eastAsia="es-CR"/>
              </w:rPr>
            </w:pPr>
            <w:r w:rsidRPr="005138FF">
              <w:rPr>
                <w:rFonts w:ascii="Book Antiqua" w:eastAsia="Times New Roman" w:hAnsi="Book Antiqua" w:cs="Segoe UI"/>
                <w:color w:val="000000"/>
                <w:sz w:val="14"/>
                <w:szCs w:val="14"/>
                <w:lang w:eastAsia="es-CR"/>
              </w:rPr>
              <w:t>Costo, cronograma, recursos</w:t>
            </w:r>
          </w:p>
        </w:tc>
        <w:tc>
          <w:tcPr>
            <w:tcW w:w="1605" w:type="dxa"/>
            <w:vMerge/>
            <w:tcBorders>
              <w:left w:val="single" w:sz="6" w:space="0" w:color="auto"/>
              <w:bottom w:val="single" w:sz="6" w:space="0" w:color="auto"/>
              <w:right w:val="single" w:sz="6" w:space="0" w:color="auto"/>
            </w:tcBorders>
            <w:shd w:val="clear" w:color="auto" w:fill="FFFFFF"/>
            <w:vAlign w:val="center"/>
          </w:tcPr>
          <w:p w14:paraId="55397E3C" w14:textId="77777777" w:rsidR="00861FDD" w:rsidRPr="00427AC7" w:rsidRDefault="00861FDD" w:rsidP="00861FDD">
            <w:pPr>
              <w:spacing w:after="0" w:line="240" w:lineRule="auto"/>
              <w:jc w:val="both"/>
              <w:textAlignment w:val="baseline"/>
              <w:rPr>
                <w:rFonts w:ascii="Book Antiqua" w:eastAsia="Times New Roman" w:hAnsi="Book Antiqua" w:cs="Segoe UI"/>
                <w:color w:val="000000"/>
                <w:sz w:val="16"/>
                <w:szCs w:val="16"/>
                <w:lang w:eastAsia="es-CR"/>
              </w:rPr>
            </w:pPr>
          </w:p>
        </w:tc>
      </w:tr>
    </w:tbl>
    <w:p w14:paraId="48BBBB3D" w14:textId="09FE937D" w:rsidR="00F71780" w:rsidRDefault="00F71780" w:rsidP="00F71780">
      <w:pPr>
        <w:spacing w:after="0"/>
        <w:rPr>
          <w:rFonts w:ascii="Book Antiqua" w:hAnsi="Book Antiqua"/>
          <w:sz w:val="20"/>
          <w:szCs w:val="20"/>
        </w:rPr>
      </w:pPr>
      <w:r w:rsidRPr="00EA5A94">
        <w:rPr>
          <w:rFonts w:ascii="Book Antiqua" w:hAnsi="Book Antiqua"/>
          <w:b/>
          <w:sz w:val="20"/>
          <w:szCs w:val="20"/>
        </w:rPr>
        <w:t>Fuente:</w:t>
      </w:r>
      <w:r w:rsidRPr="00EA5A94">
        <w:rPr>
          <w:rFonts w:ascii="Book Antiqua" w:hAnsi="Book Antiqua"/>
          <w:sz w:val="20"/>
          <w:szCs w:val="20"/>
        </w:rPr>
        <w:t xml:space="preserve"> Elaboración propia con datos e información suministrada en el repositorio del MS Project Online.</w:t>
      </w:r>
    </w:p>
    <w:p w14:paraId="77AEC6C8" w14:textId="77777777" w:rsidR="006C729E" w:rsidRDefault="006C729E" w:rsidP="005138FF">
      <w:pPr>
        <w:spacing w:after="0"/>
        <w:jc w:val="both"/>
        <w:rPr>
          <w:rStyle w:val="normaltextrun"/>
          <w:rFonts w:ascii="Book Antiqua" w:hAnsi="Book Antiqua"/>
          <w:color w:val="000000"/>
          <w:sz w:val="24"/>
          <w:szCs w:val="24"/>
          <w:shd w:val="clear" w:color="auto" w:fill="FFFFFF"/>
        </w:rPr>
      </w:pPr>
    </w:p>
    <w:p w14:paraId="18CD08DD" w14:textId="016E1881" w:rsidR="005138FF" w:rsidRPr="005138FF" w:rsidRDefault="005138FF" w:rsidP="005138FF">
      <w:pPr>
        <w:spacing w:after="0"/>
        <w:jc w:val="both"/>
        <w:rPr>
          <w:rFonts w:ascii="Book Antiqua" w:hAnsi="Book Antiqua"/>
          <w:sz w:val="28"/>
          <w:szCs w:val="28"/>
        </w:rPr>
      </w:pPr>
      <w:r w:rsidRPr="005138FF">
        <w:rPr>
          <w:rStyle w:val="normaltextrun"/>
          <w:rFonts w:ascii="Book Antiqua" w:hAnsi="Book Antiqua"/>
          <w:color w:val="000000"/>
          <w:sz w:val="24"/>
          <w:szCs w:val="24"/>
          <w:shd w:val="clear" w:color="auto" w:fill="FFFFFF"/>
        </w:rPr>
        <w:t>Sin embargo, algunas oficinas líderes pudieron actualizar solamente algunos apartados considerando el plazo de 3 días hábiles posteriores a la revisión de los mismos, por lo cual tendrían pendiente de actualizar aún los siguientes puntos en los documentos y/o cronograma producto de la solicitud de cambio, los cuales se detalla a continuación:</w:t>
      </w:r>
      <w:r w:rsidRPr="005138FF">
        <w:rPr>
          <w:rStyle w:val="eop"/>
          <w:rFonts w:ascii="Book Antiqua" w:hAnsi="Book Antiqua"/>
          <w:color w:val="000000"/>
          <w:sz w:val="24"/>
          <w:szCs w:val="24"/>
          <w:shd w:val="clear" w:color="auto" w:fill="FFFFFF"/>
        </w:rPr>
        <w:t> </w:t>
      </w:r>
    </w:p>
    <w:p w14:paraId="3147673F" w14:textId="77777777" w:rsidR="00427AC7" w:rsidRDefault="00427AC7" w:rsidP="00F71780">
      <w:pPr>
        <w:pStyle w:val="Descripcin"/>
        <w:keepNext/>
        <w:spacing w:after="0"/>
        <w:jc w:val="center"/>
        <w:rPr>
          <w:rFonts w:ascii="Book Antiqua" w:hAnsi="Book Antiqua" w:cs="&amp;quot"/>
          <w:b/>
          <w:i w:val="0"/>
          <w:iCs w:val="0"/>
          <w:color w:val="auto"/>
          <w:sz w:val="24"/>
          <w:szCs w:val="24"/>
        </w:rPr>
      </w:pPr>
      <w:bookmarkStart w:id="92" w:name="_Toc131155947"/>
    </w:p>
    <w:p w14:paraId="7EC65B5D" w14:textId="77777777" w:rsidR="00427AC7" w:rsidRDefault="00427AC7" w:rsidP="00F71780">
      <w:pPr>
        <w:pStyle w:val="Descripcin"/>
        <w:keepNext/>
        <w:spacing w:after="0"/>
        <w:jc w:val="center"/>
        <w:rPr>
          <w:rFonts w:ascii="Book Antiqua" w:hAnsi="Book Antiqua" w:cs="&amp;quot"/>
          <w:b/>
          <w:i w:val="0"/>
          <w:iCs w:val="0"/>
          <w:color w:val="auto"/>
          <w:sz w:val="24"/>
          <w:szCs w:val="24"/>
        </w:rPr>
      </w:pPr>
    </w:p>
    <w:p w14:paraId="54DEAAE4" w14:textId="7451EA7C" w:rsidR="005138FF" w:rsidRDefault="00F71780" w:rsidP="00EF4E17">
      <w:pPr>
        <w:pStyle w:val="Descripcin"/>
        <w:keepNext/>
        <w:spacing w:after="0"/>
        <w:jc w:val="center"/>
        <w:rPr>
          <w:rFonts w:ascii="Book Antiqua" w:hAnsi="Book Antiqua"/>
          <w:b/>
          <w:sz w:val="20"/>
          <w:szCs w:val="20"/>
        </w:rPr>
      </w:pPr>
      <w:r w:rsidRPr="00A7495E">
        <w:rPr>
          <w:rFonts w:ascii="Book Antiqua" w:hAnsi="Book Antiqua" w:cs="&amp;quot"/>
          <w:b/>
          <w:i w:val="0"/>
          <w:iCs w:val="0"/>
          <w:color w:val="auto"/>
          <w:sz w:val="24"/>
          <w:szCs w:val="24"/>
        </w:rPr>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844144">
        <w:rPr>
          <w:rFonts w:ascii="Book Antiqua" w:hAnsi="Book Antiqua" w:cs="&amp;quot"/>
          <w:b/>
          <w:i w:val="0"/>
          <w:iCs w:val="0"/>
          <w:noProof/>
          <w:color w:val="auto"/>
          <w:sz w:val="24"/>
          <w:szCs w:val="24"/>
        </w:rPr>
        <w:t>24</w:t>
      </w:r>
      <w:r w:rsidRPr="00A7495E">
        <w:rPr>
          <w:rFonts w:ascii="Book Antiqua" w:hAnsi="Book Antiqua" w:cs="&amp;quot"/>
          <w:b/>
          <w:i w:val="0"/>
          <w:iCs w:val="0"/>
          <w:color w:val="auto"/>
          <w:sz w:val="24"/>
          <w:szCs w:val="24"/>
        </w:rPr>
        <w:fldChar w:fldCharType="end"/>
      </w:r>
      <w:r w:rsidRPr="00A7495E">
        <w:rPr>
          <w:rFonts w:ascii="Book Antiqua" w:hAnsi="Book Antiqua" w:cs="&amp;quot"/>
          <w:b/>
          <w:i w:val="0"/>
          <w:iCs w:val="0"/>
          <w:color w:val="auto"/>
          <w:sz w:val="24"/>
          <w:szCs w:val="24"/>
        </w:rPr>
        <w:t xml:space="preserve">. Solicitudes de cambios presentadas por los proyectos estratégicos durante el </w:t>
      </w:r>
      <w:r w:rsidR="00AB15E3">
        <w:rPr>
          <w:rFonts w:ascii="Book Antiqua" w:hAnsi="Book Antiqua" w:cs="&amp;quot"/>
          <w:b/>
          <w:i w:val="0"/>
          <w:iCs w:val="0"/>
          <w:color w:val="auto"/>
          <w:sz w:val="24"/>
          <w:szCs w:val="24"/>
        </w:rPr>
        <w:t>primer</w:t>
      </w:r>
      <w:r w:rsidRPr="00A7495E">
        <w:rPr>
          <w:rFonts w:ascii="Book Antiqua" w:hAnsi="Book Antiqua" w:cs="&amp;quot"/>
          <w:b/>
          <w:i w:val="0"/>
          <w:iCs w:val="0"/>
          <w:color w:val="auto"/>
          <w:sz w:val="24"/>
          <w:szCs w:val="24"/>
        </w:rPr>
        <w:t xml:space="preserve"> seguimiento al portafolio institucional, con documentos pendientes de actualizar.</w:t>
      </w:r>
      <w:bookmarkEnd w:id="92"/>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4"/>
        <w:gridCol w:w="603"/>
        <w:gridCol w:w="1377"/>
        <w:gridCol w:w="1396"/>
        <w:gridCol w:w="1335"/>
        <w:gridCol w:w="812"/>
        <w:gridCol w:w="2322"/>
        <w:gridCol w:w="982"/>
      </w:tblGrid>
      <w:tr w:rsidR="005138FF" w:rsidRPr="00C650EF" w14:paraId="0090C5EF" w14:textId="77777777" w:rsidTr="009557E0">
        <w:trPr>
          <w:trHeight w:val="1095"/>
          <w:tblHeader/>
          <w:jc w:val="center"/>
        </w:trPr>
        <w:tc>
          <w:tcPr>
            <w:tcW w:w="804" w:type="dxa"/>
            <w:shd w:val="clear" w:color="auto" w:fill="44546A"/>
            <w:vAlign w:val="center"/>
            <w:hideMark/>
          </w:tcPr>
          <w:p w14:paraId="68F6DABE" w14:textId="77777777" w:rsidR="005138FF" w:rsidRPr="00EF4E17" w:rsidRDefault="005138FF" w:rsidP="005138FF">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FFFFFF"/>
                <w:sz w:val="14"/>
                <w:szCs w:val="14"/>
                <w:lang w:eastAsia="es-CR"/>
              </w:rPr>
              <w:t>Fecha</w:t>
            </w:r>
            <w:r w:rsidRPr="00C650EF">
              <w:rPr>
                <w:rFonts w:ascii="Book Antiqua" w:eastAsia="Times New Roman" w:hAnsi="Book Antiqua" w:cs="Segoe UI"/>
                <w:color w:val="FFFFFF"/>
                <w:sz w:val="14"/>
                <w:szCs w:val="14"/>
                <w:lang w:eastAsia="es-CR"/>
              </w:rPr>
              <w:t> </w:t>
            </w:r>
          </w:p>
        </w:tc>
        <w:tc>
          <w:tcPr>
            <w:tcW w:w="603" w:type="dxa"/>
            <w:shd w:val="clear" w:color="auto" w:fill="44546A"/>
            <w:vAlign w:val="center"/>
            <w:hideMark/>
          </w:tcPr>
          <w:p w14:paraId="61329FC3" w14:textId="77777777" w:rsidR="005138FF" w:rsidRPr="00EF4E17" w:rsidRDefault="005138FF" w:rsidP="005138FF">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FFFFFF"/>
                <w:sz w:val="14"/>
                <w:szCs w:val="14"/>
                <w:lang w:eastAsia="es-CR"/>
              </w:rPr>
              <w:t>Código</w:t>
            </w:r>
            <w:r w:rsidRPr="00C650EF">
              <w:rPr>
                <w:rFonts w:ascii="Book Antiqua" w:eastAsia="Times New Roman" w:hAnsi="Book Antiqua" w:cs="Segoe UI"/>
                <w:color w:val="FFFFFF"/>
                <w:sz w:val="14"/>
                <w:szCs w:val="14"/>
                <w:lang w:eastAsia="es-CR"/>
              </w:rPr>
              <w:t> </w:t>
            </w:r>
          </w:p>
        </w:tc>
        <w:tc>
          <w:tcPr>
            <w:tcW w:w="1377" w:type="dxa"/>
            <w:shd w:val="clear" w:color="auto" w:fill="44546A"/>
            <w:vAlign w:val="center"/>
            <w:hideMark/>
          </w:tcPr>
          <w:p w14:paraId="6E27D587" w14:textId="77777777" w:rsidR="005138FF" w:rsidRPr="00EF4E17" w:rsidRDefault="005138FF" w:rsidP="005138FF">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FFFFFF"/>
                <w:sz w:val="14"/>
                <w:szCs w:val="14"/>
                <w:lang w:eastAsia="es-CR"/>
              </w:rPr>
              <w:t>Nombre del proyecto</w:t>
            </w:r>
            <w:r w:rsidRPr="00C650EF">
              <w:rPr>
                <w:rFonts w:ascii="Book Antiqua" w:eastAsia="Times New Roman" w:hAnsi="Book Antiqua" w:cs="Segoe UI"/>
                <w:color w:val="FFFFFF"/>
                <w:sz w:val="14"/>
                <w:szCs w:val="14"/>
                <w:lang w:eastAsia="es-CR"/>
              </w:rPr>
              <w:t> </w:t>
            </w:r>
          </w:p>
        </w:tc>
        <w:tc>
          <w:tcPr>
            <w:tcW w:w="1396" w:type="dxa"/>
            <w:shd w:val="clear" w:color="auto" w:fill="44546A"/>
            <w:vAlign w:val="center"/>
            <w:hideMark/>
          </w:tcPr>
          <w:p w14:paraId="09378625" w14:textId="77777777" w:rsidR="005138FF" w:rsidRPr="00EF4E17" w:rsidRDefault="005138FF" w:rsidP="005138FF">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FFFFFF"/>
                <w:sz w:val="14"/>
                <w:szCs w:val="14"/>
                <w:lang w:eastAsia="es-CR"/>
              </w:rPr>
              <w:t>Solicitud</w:t>
            </w:r>
            <w:r w:rsidRPr="00C650EF">
              <w:rPr>
                <w:rFonts w:ascii="Book Antiqua" w:eastAsia="Times New Roman" w:hAnsi="Book Antiqua" w:cs="Segoe UI"/>
                <w:color w:val="FFFFFF"/>
                <w:sz w:val="14"/>
                <w:szCs w:val="14"/>
                <w:lang w:eastAsia="es-CR"/>
              </w:rPr>
              <w:t> </w:t>
            </w:r>
          </w:p>
        </w:tc>
        <w:tc>
          <w:tcPr>
            <w:tcW w:w="1335" w:type="dxa"/>
            <w:shd w:val="clear" w:color="auto" w:fill="44546A"/>
            <w:vAlign w:val="center"/>
            <w:hideMark/>
          </w:tcPr>
          <w:p w14:paraId="3221F4B6" w14:textId="77777777" w:rsidR="005138FF" w:rsidRPr="00EF4E17" w:rsidRDefault="005138FF" w:rsidP="005138FF">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FFFFFF"/>
                <w:sz w:val="14"/>
                <w:szCs w:val="14"/>
                <w:lang w:eastAsia="es-CR"/>
              </w:rPr>
              <w:t>Tipo de impacto</w:t>
            </w:r>
            <w:r w:rsidRPr="00C650EF">
              <w:rPr>
                <w:rFonts w:ascii="Book Antiqua" w:eastAsia="Times New Roman" w:hAnsi="Book Antiqua" w:cs="Segoe UI"/>
                <w:color w:val="FFFFFF"/>
                <w:sz w:val="14"/>
                <w:szCs w:val="14"/>
                <w:lang w:eastAsia="es-CR"/>
              </w:rPr>
              <w:t> </w:t>
            </w:r>
          </w:p>
        </w:tc>
        <w:tc>
          <w:tcPr>
            <w:tcW w:w="812" w:type="dxa"/>
            <w:shd w:val="clear" w:color="auto" w:fill="44546A"/>
            <w:vAlign w:val="center"/>
            <w:hideMark/>
          </w:tcPr>
          <w:p w14:paraId="5BB5B797" w14:textId="77777777" w:rsidR="005138FF" w:rsidRPr="00EF4E17" w:rsidRDefault="005138FF" w:rsidP="005138FF">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FFFFFF"/>
                <w:sz w:val="14"/>
                <w:szCs w:val="14"/>
                <w:lang w:eastAsia="es-CR"/>
              </w:rPr>
              <w:t>Se encuentra actualizado cronograma o centro de proyecto</w:t>
            </w:r>
            <w:r w:rsidRPr="00C650EF">
              <w:rPr>
                <w:rFonts w:ascii="Book Antiqua" w:eastAsia="Times New Roman" w:hAnsi="Book Antiqua" w:cs="Segoe UI"/>
                <w:color w:val="FFFFFF"/>
                <w:sz w:val="14"/>
                <w:szCs w:val="14"/>
                <w:lang w:eastAsia="es-CR"/>
              </w:rPr>
              <w:t> </w:t>
            </w:r>
          </w:p>
        </w:tc>
        <w:tc>
          <w:tcPr>
            <w:tcW w:w="2322" w:type="dxa"/>
            <w:shd w:val="clear" w:color="auto" w:fill="44546A"/>
            <w:vAlign w:val="center"/>
            <w:hideMark/>
          </w:tcPr>
          <w:p w14:paraId="65511503" w14:textId="77777777" w:rsidR="005138FF" w:rsidRPr="00EF4E17" w:rsidRDefault="005138FF" w:rsidP="005138FF">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FFFFFF"/>
                <w:sz w:val="14"/>
                <w:szCs w:val="14"/>
                <w:lang w:eastAsia="es-CR"/>
              </w:rPr>
              <w:t>Documentos actualizados producto de la Solicitud de cambio</w:t>
            </w:r>
            <w:r w:rsidRPr="00C650EF">
              <w:rPr>
                <w:rFonts w:ascii="Book Antiqua" w:eastAsia="Times New Roman" w:hAnsi="Book Antiqua" w:cs="Segoe UI"/>
                <w:color w:val="FFFFFF"/>
                <w:sz w:val="14"/>
                <w:szCs w:val="14"/>
                <w:lang w:eastAsia="es-CR"/>
              </w:rPr>
              <w:t> </w:t>
            </w:r>
          </w:p>
        </w:tc>
        <w:tc>
          <w:tcPr>
            <w:tcW w:w="982" w:type="dxa"/>
            <w:shd w:val="clear" w:color="auto" w:fill="44546A"/>
            <w:vAlign w:val="center"/>
            <w:hideMark/>
          </w:tcPr>
          <w:p w14:paraId="72A00946" w14:textId="77777777" w:rsidR="005138FF" w:rsidRPr="00EF4E17" w:rsidRDefault="005138FF" w:rsidP="005138FF">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FFFFFF"/>
                <w:sz w:val="14"/>
                <w:szCs w:val="14"/>
                <w:lang w:eastAsia="es-CR"/>
              </w:rPr>
              <w:t>Persona que aprueba Solicitud de cambio</w:t>
            </w:r>
            <w:r w:rsidRPr="00C650EF">
              <w:rPr>
                <w:rFonts w:ascii="Book Antiqua" w:eastAsia="Times New Roman" w:hAnsi="Book Antiqua" w:cs="Segoe UI"/>
                <w:color w:val="FFFFFF"/>
                <w:sz w:val="14"/>
                <w:szCs w:val="14"/>
                <w:lang w:eastAsia="es-CR"/>
              </w:rPr>
              <w:t> </w:t>
            </w:r>
          </w:p>
        </w:tc>
      </w:tr>
      <w:tr w:rsidR="009557E0" w:rsidRPr="00C650EF" w14:paraId="0B86D7C8" w14:textId="77777777" w:rsidTr="009557E0">
        <w:trPr>
          <w:trHeight w:val="285"/>
          <w:jc w:val="center"/>
        </w:trPr>
        <w:tc>
          <w:tcPr>
            <w:tcW w:w="804" w:type="dxa"/>
            <w:shd w:val="clear" w:color="auto" w:fill="FFFFFF"/>
            <w:vAlign w:val="center"/>
          </w:tcPr>
          <w:p w14:paraId="02AF0A69" w14:textId="21B029FB" w:rsidR="009557E0" w:rsidRPr="00C650EF" w:rsidRDefault="009557E0" w:rsidP="009557E0">
            <w:pPr>
              <w:spacing w:after="0" w:line="240" w:lineRule="auto"/>
              <w:jc w:val="center"/>
              <w:textAlignment w:val="baseline"/>
              <w:rPr>
                <w:rFonts w:ascii="Book Antiqua" w:eastAsia="Times New Roman" w:hAnsi="Book Antiqua" w:cs="Segoe UI"/>
                <w:color w:val="000000"/>
                <w:sz w:val="14"/>
                <w:szCs w:val="14"/>
                <w:lang w:eastAsia="es-CR"/>
              </w:rPr>
            </w:pPr>
            <w:r w:rsidRPr="00EF4E17">
              <w:rPr>
                <w:rFonts w:ascii="Book Antiqua" w:eastAsia="Times New Roman" w:hAnsi="Book Antiqua" w:cs="Segoe UI"/>
                <w:color w:val="000000"/>
                <w:sz w:val="14"/>
                <w:szCs w:val="14"/>
                <w:lang w:eastAsia="es-CR"/>
              </w:rPr>
              <w:t>30/3/2023 </w:t>
            </w:r>
          </w:p>
        </w:tc>
        <w:tc>
          <w:tcPr>
            <w:tcW w:w="603" w:type="dxa"/>
            <w:vMerge w:val="restart"/>
            <w:shd w:val="clear" w:color="auto" w:fill="FFFFFF"/>
            <w:vAlign w:val="center"/>
          </w:tcPr>
          <w:p w14:paraId="0128E202" w14:textId="77777777" w:rsidR="009557E0" w:rsidRPr="00C650EF" w:rsidRDefault="009557E0" w:rsidP="009557E0">
            <w:pPr>
              <w:spacing w:after="0" w:line="240" w:lineRule="auto"/>
              <w:jc w:val="center"/>
              <w:textAlignment w:val="baseline"/>
              <w:rPr>
                <w:rFonts w:ascii="Book Antiqua" w:eastAsia="Times New Roman" w:hAnsi="Book Antiqua" w:cs="Segoe UI"/>
                <w:color w:val="000000"/>
                <w:sz w:val="14"/>
                <w:szCs w:val="14"/>
                <w:lang w:eastAsia="es-CR"/>
              </w:rPr>
            </w:pPr>
            <w:r w:rsidRPr="00EF4E17">
              <w:rPr>
                <w:rFonts w:ascii="Book Antiqua" w:eastAsia="Times New Roman" w:hAnsi="Book Antiqua" w:cs="Segoe UI"/>
                <w:color w:val="000000"/>
                <w:sz w:val="14"/>
                <w:szCs w:val="14"/>
                <w:lang w:eastAsia="es-CR"/>
              </w:rPr>
              <w:t>0110-PLA-P13 </w:t>
            </w:r>
          </w:p>
          <w:p w14:paraId="102F1EF6" w14:textId="6DC9F799" w:rsidR="009557E0" w:rsidRPr="00C650EF" w:rsidRDefault="009557E0" w:rsidP="009557E0">
            <w:pPr>
              <w:spacing w:after="0" w:line="240" w:lineRule="auto"/>
              <w:jc w:val="center"/>
              <w:textAlignment w:val="baseline"/>
              <w:rPr>
                <w:rFonts w:ascii="Book Antiqua" w:eastAsia="Times New Roman" w:hAnsi="Book Antiqua" w:cs="Segoe UI"/>
                <w:color w:val="000000"/>
                <w:sz w:val="14"/>
                <w:szCs w:val="14"/>
                <w:lang w:eastAsia="es-CR"/>
              </w:rPr>
            </w:pPr>
          </w:p>
        </w:tc>
        <w:tc>
          <w:tcPr>
            <w:tcW w:w="1377" w:type="dxa"/>
            <w:vMerge w:val="restart"/>
            <w:shd w:val="clear" w:color="auto" w:fill="FFFFFF"/>
            <w:vAlign w:val="center"/>
          </w:tcPr>
          <w:p w14:paraId="7AC37B6A" w14:textId="0BA1002E" w:rsidR="009557E0" w:rsidRPr="00C650EF" w:rsidRDefault="009557E0" w:rsidP="009557E0">
            <w:pPr>
              <w:spacing w:after="0" w:line="240" w:lineRule="auto"/>
              <w:jc w:val="center"/>
              <w:textAlignment w:val="baseline"/>
              <w:rPr>
                <w:rFonts w:ascii="Book Antiqua" w:eastAsia="Times New Roman" w:hAnsi="Book Antiqua" w:cs="Segoe UI"/>
                <w:color w:val="000000"/>
                <w:sz w:val="14"/>
                <w:szCs w:val="14"/>
                <w:lang w:eastAsia="es-CR"/>
              </w:rPr>
            </w:pPr>
            <w:r w:rsidRPr="00EF4E17">
              <w:rPr>
                <w:rFonts w:ascii="Book Antiqua" w:eastAsia="Times New Roman" w:hAnsi="Book Antiqua" w:cs="Segoe UI"/>
                <w:color w:val="000000"/>
                <w:sz w:val="14"/>
                <w:szCs w:val="14"/>
                <w:lang w:eastAsia="es-CR"/>
              </w:rPr>
              <w:t>Mejora del Proceso Penal (Auxiliar de Justicia) </w:t>
            </w:r>
          </w:p>
        </w:tc>
        <w:tc>
          <w:tcPr>
            <w:tcW w:w="1396" w:type="dxa"/>
            <w:shd w:val="clear" w:color="auto" w:fill="FFFFFF"/>
            <w:vAlign w:val="center"/>
          </w:tcPr>
          <w:p w14:paraId="38627D41" w14:textId="40257BAC" w:rsidR="009557E0" w:rsidRPr="00C650EF" w:rsidRDefault="009557E0" w:rsidP="009557E0">
            <w:pPr>
              <w:spacing w:after="0" w:line="240" w:lineRule="auto"/>
              <w:jc w:val="center"/>
              <w:textAlignment w:val="baseline"/>
              <w:rPr>
                <w:rFonts w:ascii="Book Antiqua" w:eastAsia="Times New Roman" w:hAnsi="Book Antiqua" w:cs="Segoe UI"/>
                <w:b/>
                <w:bCs/>
                <w:color w:val="000000"/>
                <w:sz w:val="14"/>
                <w:szCs w:val="14"/>
                <w:lang w:eastAsia="es-CR"/>
              </w:rPr>
            </w:pPr>
            <w:r w:rsidRPr="00EF4E17">
              <w:rPr>
                <w:rFonts w:ascii="Book Antiqua" w:eastAsia="Times New Roman" w:hAnsi="Book Antiqua" w:cs="Segoe UI"/>
                <w:color w:val="000000"/>
                <w:sz w:val="14"/>
                <w:szCs w:val="14"/>
                <w:lang w:eastAsia="es-CR"/>
              </w:rPr>
              <w:t>Se actualiza el formato del formulario del acta de constitución y se actualiza la fecha de finalización del proyecto, conforme la solicitud de cambio 12, en el que se modifica el cronograma del proyecto. </w:t>
            </w:r>
          </w:p>
        </w:tc>
        <w:tc>
          <w:tcPr>
            <w:tcW w:w="1335" w:type="dxa"/>
            <w:shd w:val="clear" w:color="auto" w:fill="FFFFFF"/>
            <w:vAlign w:val="center"/>
          </w:tcPr>
          <w:p w14:paraId="356C083F" w14:textId="79065C6F" w:rsidR="009557E0" w:rsidRPr="00C650EF" w:rsidRDefault="009557E0" w:rsidP="009557E0">
            <w:pPr>
              <w:spacing w:after="0" w:line="240" w:lineRule="auto"/>
              <w:jc w:val="center"/>
              <w:textAlignment w:val="baseline"/>
              <w:rPr>
                <w:rFonts w:ascii="Book Antiqua" w:eastAsia="Times New Roman" w:hAnsi="Book Antiqua" w:cs="Segoe UI"/>
                <w:color w:val="000000"/>
                <w:sz w:val="14"/>
                <w:szCs w:val="14"/>
                <w:lang w:eastAsia="es-CR"/>
              </w:rPr>
            </w:pPr>
            <w:r w:rsidRPr="00EF4E17">
              <w:rPr>
                <w:rFonts w:ascii="Book Antiqua" w:eastAsia="Times New Roman" w:hAnsi="Book Antiqua" w:cs="Segoe UI"/>
                <w:color w:val="000000"/>
                <w:sz w:val="14"/>
                <w:szCs w:val="14"/>
                <w:lang w:eastAsia="es-CR"/>
              </w:rPr>
              <w:t>Cronograma </w:t>
            </w:r>
          </w:p>
        </w:tc>
        <w:tc>
          <w:tcPr>
            <w:tcW w:w="812" w:type="dxa"/>
            <w:shd w:val="clear" w:color="auto" w:fill="FFFFFF"/>
            <w:vAlign w:val="center"/>
          </w:tcPr>
          <w:p w14:paraId="0C85265E" w14:textId="40E6F945" w:rsidR="009557E0" w:rsidRPr="00C650EF" w:rsidRDefault="009557E0" w:rsidP="009557E0">
            <w:pPr>
              <w:spacing w:after="0" w:line="240" w:lineRule="auto"/>
              <w:jc w:val="center"/>
              <w:textAlignment w:val="baseline"/>
              <w:rPr>
                <w:rFonts w:ascii="Book Antiqua" w:eastAsia="Times New Roman" w:hAnsi="Book Antiqua" w:cs="Segoe UI"/>
                <w:color w:val="000000"/>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vMerge w:val="restart"/>
            <w:shd w:val="clear" w:color="auto" w:fill="FFFFFF"/>
            <w:vAlign w:val="center"/>
          </w:tcPr>
          <w:p w14:paraId="0A2CF0F7" w14:textId="7ECC722D" w:rsidR="003F52C4" w:rsidRPr="00C650EF" w:rsidRDefault="003F52C4" w:rsidP="009557E0">
            <w:pPr>
              <w:spacing w:after="0" w:line="240" w:lineRule="auto"/>
              <w:jc w:val="both"/>
              <w:textAlignment w:val="baseline"/>
              <w:rPr>
                <w:rFonts w:ascii="Book Antiqua" w:eastAsia="Times New Roman" w:hAnsi="Book Antiqua" w:cs="Segoe UI"/>
                <w:color w:val="000000"/>
                <w:sz w:val="14"/>
                <w:szCs w:val="14"/>
                <w:lang w:eastAsia="es-CR"/>
              </w:rPr>
            </w:pPr>
            <w:r w:rsidRPr="00C650EF">
              <w:rPr>
                <w:rFonts w:ascii="Book Antiqua" w:eastAsia="Times New Roman" w:hAnsi="Book Antiqua" w:cs="Segoe UI"/>
                <w:color w:val="000000"/>
                <w:sz w:val="14"/>
                <w:szCs w:val="14"/>
                <w:lang w:eastAsia="es-CR"/>
              </w:rPr>
              <w:t>Producto de la solicitud de cambio del 30-3-23</w:t>
            </w:r>
            <w:r w:rsidR="00F803E3">
              <w:rPr>
                <w:rFonts w:ascii="Book Antiqua" w:eastAsia="Times New Roman" w:hAnsi="Book Antiqua" w:cs="Segoe UI"/>
                <w:color w:val="000000"/>
                <w:sz w:val="14"/>
                <w:szCs w:val="14"/>
                <w:lang w:eastAsia="es-CR"/>
              </w:rPr>
              <w:t xml:space="preserve"> y 6-6-23 </w:t>
            </w:r>
            <w:r w:rsidRPr="00C650EF">
              <w:rPr>
                <w:rFonts w:ascii="Book Antiqua" w:eastAsia="Times New Roman" w:hAnsi="Book Antiqua" w:cs="Segoe UI"/>
                <w:color w:val="000000"/>
                <w:sz w:val="14"/>
                <w:szCs w:val="14"/>
                <w:lang w:eastAsia="es-CR"/>
              </w:rPr>
              <w:t xml:space="preserve"> pendiente: </w:t>
            </w:r>
          </w:p>
          <w:p w14:paraId="0F3951C8" w14:textId="77777777" w:rsidR="000B0D42" w:rsidRPr="00C650EF" w:rsidRDefault="003F52C4" w:rsidP="003F52C4">
            <w:pPr>
              <w:spacing w:after="0" w:line="240" w:lineRule="auto"/>
              <w:ind w:right="148"/>
              <w:jc w:val="both"/>
              <w:textAlignment w:val="baseline"/>
              <w:rPr>
                <w:rFonts w:ascii="Book Antiqua" w:eastAsia="Times New Roman" w:hAnsi="Book Antiqua" w:cs="Segoe UI"/>
                <w:color w:val="000000"/>
                <w:sz w:val="14"/>
                <w:szCs w:val="14"/>
                <w:lang w:eastAsia="es-CR"/>
              </w:rPr>
            </w:pPr>
            <w:r w:rsidRPr="00EF4E17">
              <w:rPr>
                <w:rFonts w:ascii="Book Antiqua" w:eastAsia="Times New Roman" w:hAnsi="Book Antiqua" w:cs="Segoe UI"/>
                <w:b/>
                <w:bCs/>
                <w:color w:val="000000"/>
                <w:sz w:val="14"/>
                <w:szCs w:val="14"/>
                <w:lang w:eastAsia="es-CR"/>
              </w:rPr>
              <w:t>Estudio de factibilidad:</w:t>
            </w:r>
            <w:r w:rsidRPr="00C650EF">
              <w:rPr>
                <w:rFonts w:ascii="Book Antiqua" w:eastAsia="Times New Roman" w:hAnsi="Book Antiqua" w:cs="Segoe UI"/>
                <w:color w:val="000000"/>
                <w:sz w:val="14"/>
                <w:szCs w:val="14"/>
                <w:lang w:eastAsia="es-CR"/>
              </w:rPr>
              <w:t xml:space="preserve"> en Planteamiento inicial del proyecto se debe indicar 3 alternativas para solucionar el problema y porque se seleccionó la que se está ejecutando; el costo de inversión no muestra datos monetarios los cuales son requeridos, además revisar que el cálculo este por todo el periodo; tiempo estimado no coincide con cronograma</w:t>
            </w:r>
            <w:r w:rsidR="000B0D42" w:rsidRPr="00C650EF">
              <w:rPr>
                <w:rFonts w:ascii="Book Antiqua" w:eastAsia="Times New Roman" w:hAnsi="Book Antiqua" w:cs="Segoe UI"/>
                <w:color w:val="000000"/>
                <w:sz w:val="14"/>
                <w:szCs w:val="14"/>
                <w:lang w:eastAsia="es-CR"/>
              </w:rPr>
              <w:t>.</w:t>
            </w:r>
          </w:p>
          <w:p w14:paraId="0EAEC32E" w14:textId="77777777" w:rsidR="000B0D42" w:rsidRPr="00C650EF" w:rsidRDefault="000B0D42" w:rsidP="003F52C4">
            <w:pPr>
              <w:spacing w:after="0" w:line="240" w:lineRule="auto"/>
              <w:ind w:right="148"/>
              <w:jc w:val="both"/>
              <w:textAlignment w:val="baseline"/>
              <w:rPr>
                <w:rFonts w:ascii="Book Antiqua" w:eastAsia="Times New Roman" w:hAnsi="Book Antiqua" w:cs="Segoe UI"/>
                <w:color w:val="000000"/>
                <w:sz w:val="14"/>
                <w:szCs w:val="14"/>
                <w:lang w:eastAsia="es-CR"/>
              </w:rPr>
            </w:pPr>
            <w:r w:rsidRPr="00C650EF">
              <w:rPr>
                <w:rFonts w:ascii="Book Antiqua" w:eastAsia="Times New Roman" w:hAnsi="Book Antiqua" w:cs="Segoe UI"/>
                <w:b/>
                <w:bCs/>
                <w:color w:val="000000"/>
                <w:sz w:val="14"/>
                <w:szCs w:val="14"/>
                <w:lang w:eastAsia="es-CR"/>
              </w:rPr>
              <w:t>A</w:t>
            </w:r>
            <w:r w:rsidRPr="00EF4E17">
              <w:rPr>
                <w:rFonts w:ascii="Book Antiqua" w:eastAsia="Times New Roman" w:hAnsi="Book Antiqua" w:cs="Segoe UI"/>
                <w:b/>
                <w:bCs/>
                <w:color w:val="000000"/>
                <w:sz w:val="14"/>
                <w:szCs w:val="14"/>
                <w:lang w:eastAsia="es-CR"/>
              </w:rPr>
              <w:t>cta de constitución</w:t>
            </w:r>
            <w:r w:rsidRPr="00C650EF">
              <w:rPr>
                <w:rFonts w:ascii="Book Antiqua" w:eastAsia="Times New Roman" w:hAnsi="Book Antiqua" w:cs="Segoe UI"/>
                <w:color w:val="000000"/>
                <w:sz w:val="14"/>
                <w:szCs w:val="14"/>
                <w:lang w:eastAsia="es-CR"/>
              </w:rPr>
              <w:t xml:space="preserve"> </w:t>
            </w:r>
            <w:r w:rsidR="003F52C4" w:rsidRPr="00C650EF">
              <w:rPr>
                <w:rFonts w:ascii="Book Antiqua" w:eastAsia="Times New Roman" w:hAnsi="Book Antiqua" w:cs="Segoe UI"/>
                <w:color w:val="000000"/>
                <w:sz w:val="14"/>
                <w:szCs w:val="14"/>
                <w:lang w:eastAsia="es-CR"/>
              </w:rPr>
              <w:t>el cronograma del alto nivel no coincide con los entregables mostrados en el cronograma, además se recomienda colocar año posible de entrega; en recursos del proyecto se menciona un cuadro con recurso humano pero en el apartado inferior se incluye nuevamente solamente dejar uno, además los costos están hasta el 2019 y no 2026 actualizar; en equipo del proyecto se requiere indicar los roles e incluir desde el patrocinado hasta el equipo del proyecto que apoya al líder</w:t>
            </w:r>
            <w:r w:rsidRPr="00C650EF">
              <w:rPr>
                <w:rFonts w:ascii="Book Antiqua" w:eastAsia="Times New Roman" w:hAnsi="Book Antiqua" w:cs="Segoe UI"/>
                <w:color w:val="000000"/>
                <w:sz w:val="14"/>
                <w:szCs w:val="14"/>
                <w:lang w:eastAsia="es-CR"/>
              </w:rPr>
              <w:t>.</w:t>
            </w:r>
          </w:p>
          <w:p w14:paraId="6B1D9094" w14:textId="0CD97D76" w:rsidR="009557E0" w:rsidRPr="00C650EF" w:rsidRDefault="000B0D42" w:rsidP="00EF4E17">
            <w:pPr>
              <w:spacing w:after="0" w:line="240" w:lineRule="auto"/>
              <w:ind w:right="148"/>
              <w:jc w:val="both"/>
              <w:textAlignment w:val="baseline"/>
              <w:rPr>
                <w:rFonts w:ascii="Book Antiqua" w:eastAsia="Times New Roman" w:hAnsi="Book Antiqua" w:cs="Segoe UI"/>
                <w:color w:val="000000"/>
                <w:sz w:val="14"/>
                <w:szCs w:val="14"/>
                <w:lang w:eastAsia="es-CR"/>
              </w:rPr>
            </w:pPr>
            <w:r w:rsidRPr="00EF4E17">
              <w:rPr>
                <w:rFonts w:ascii="Book Antiqua" w:eastAsia="Times New Roman" w:hAnsi="Book Antiqua" w:cs="Segoe UI"/>
                <w:b/>
                <w:bCs/>
                <w:color w:val="000000"/>
                <w:sz w:val="14"/>
                <w:szCs w:val="14"/>
                <w:lang w:eastAsia="es-CR"/>
              </w:rPr>
              <w:t>Plan de gestión :</w:t>
            </w:r>
            <w:r w:rsidRPr="00C650EF">
              <w:rPr>
                <w:rFonts w:ascii="Book Antiqua" w:eastAsia="Times New Roman" w:hAnsi="Book Antiqua" w:cs="Segoe UI"/>
                <w:color w:val="000000"/>
                <w:sz w:val="14"/>
                <w:szCs w:val="14"/>
                <w:lang w:eastAsia="es-CR"/>
              </w:rPr>
              <w:t xml:space="preserve"> </w:t>
            </w:r>
            <w:r w:rsidR="003F52C4" w:rsidRPr="00C650EF">
              <w:rPr>
                <w:rFonts w:ascii="Book Antiqua" w:eastAsia="Times New Roman" w:hAnsi="Book Antiqua" w:cs="Segoe UI"/>
                <w:color w:val="000000"/>
                <w:sz w:val="14"/>
                <w:szCs w:val="14"/>
                <w:lang w:eastAsia="es-CR"/>
              </w:rPr>
              <w:t>en Beneficios y resultados esperados   debe coincidir con estudio de factibilidad; en detalle de entregables falta indicar el 3.4, 3.5 y 3.6 ( en lugar de 3.6 lo correcto es 4.1, corregir en cronograma y cuadro); el diagrama de la EDT debe estar en el apartado anterior; falta completar el apartado de Calidad de la gestión del proyecto; el cronograma inserto esta desactualizado; en presupuesto del proyecto se menciona un cuadro con recurso humano pero en el apartado inferior se incluye nuevamente solamente dejar uno, además los costos están hasta el 2019 y no 2026 actualizar;</w:t>
            </w:r>
          </w:p>
        </w:tc>
        <w:tc>
          <w:tcPr>
            <w:tcW w:w="982" w:type="dxa"/>
            <w:shd w:val="clear" w:color="auto" w:fill="FFFFFF"/>
            <w:vAlign w:val="center"/>
          </w:tcPr>
          <w:p w14:paraId="684072F4" w14:textId="0E211991" w:rsidR="009557E0" w:rsidRPr="00C650EF" w:rsidRDefault="009557E0" w:rsidP="009557E0">
            <w:pPr>
              <w:spacing w:after="0" w:line="240" w:lineRule="auto"/>
              <w:jc w:val="center"/>
              <w:textAlignment w:val="baseline"/>
              <w:rPr>
                <w:rFonts w:ascii="Book Antiqua" w:eastAsia="Times New Roman" w:hAnsi="Book Antiqua" w:cs="Segoe UI"/>
                <w:color w:val="000000"/>
                <w:sz w:val="14"/>
                <w:szCs w:val="14"/>
                <w:lang w:eastAsia="es-CR"/>
              </w:rPr>
            </w:pPr>
            <w:r w:rsidRPr="00EF4E17">
              <w:rPr>
                <w:rFonts w:ascii="Book Antiqua" w:eastAsia="Times New Roman" w:hAnsi="Book Antiqua" w:cs="Segoe UI"/>
                <w:color w:val="000000"/>
                <w:sz w:val="14"/>
                <w:szCs w:val="14"/>
                <w:lang w:eastAsia="es-CR"/>
              </w:rPr>
              <w:t>Nacira Valverde Bermúdez </w:t>
            </w:r>
          </w:p>
        </w:tc>
      </w:tr>
      <w:tr w:rsidR="009557E0" w:rsidRPr="00C650EF" w14:paraId="1BD0056B" w14:textId="77777777" w:rsidTr="009557E0">
        <w:trPr>
          <w:trHeight w:val="285"/>
          <w:jc w:val="center"/>
        </w:trPr>
        <w:tc>
          <w:tcPr>
            <w:tcW w:w="804" w:type="dxa"/>
            <w:shd w:val="clear" w:color="auto" w:fill="FFFFFF"/>
            <w:vAlign w:val="center"/>
          </w:tcPr>
          <w:p w14:paraId="0A0872EF" w14:textId="34687EFC" w:rsidR="009557E0" w:rsidRPr="00C650EF" w:rsidRDefault="009557E0" w:rsidP="009557E0">
            <w:pPr>
              <w:spacing w:after="0" w:line="240" w:lineRule="auto"/>
              <w:jc w:val="center"/>
              <w:textAlignment w:val="baseline"/>
              <w:rPr>
                <w:rFonts w:ascii="Book Antiqua" w:eastAsia="Times New Roman" w:hAnsi="Book Antiqua" w:cs="Segoe UI"/>
                <w:color w:val="000000"/>
                <w:sz w:val="14"/>
                <w:szCs w:val="14"/>
                <w:lang w:eastAsia="es-CR"/>
              </w:rPr>
            </w:pPr>
            <w:r w:rsidRPr="00C650EF">
              <w:rPr>
                <w:rFonts w:ascii="Book Antiqua" w:eastAsia="Times New Roman" w:hAnsi="Book Antiqua" w:cs="Segoe UI"/>
                <w:color w:val="000000"/>
                <w:sz w:val="14"/>
                <w:szCs w:val="14"/>
                <w:lang w:eastAsia="es-CR"/>
              </w:rPr>
              <w:t>6/6/2023 </w:t>
            </w:r>
          </w:p>
        </w:tc>
        <w:tc>
          <w:tcPr>
            <w:tcW w:w="603" w:type="dxa"/>
            <w:vMerge/>
            <w:shd w:val="clear" w:color="auto" w:fill="FFFFFF"/>
            <w:vAlign w:val="center"/>
          </w:tcPr>
          <w:p w14:paraId="012E0096" w14:textId="6CBCB90B" w:rsidR="009557E0" w:rsidRPr="00C650EF" w:rsidRDefault="009557E0" w:rsidP="009557E0">
            <w:pPr>
              <w:spacing w:after="0" w:line="240" w:lineRule="auto"/>
              <w:jc w:val="center"/>
              <w:textAlignment w:val="baseline"/>
              <w:rPr>
                <w:rFonts w:ascii="Book Antiqua" w:eastAsia="Times New Roman" w:hAnsi="Book Antiqua" w:cs="Segoe UI"/>
                <w:color w:val="000000"/>
                <w:sz w:val="14"/>
                <w:szCs w:val="14"/>
                <w:lang w:eastAsia="es-CR"/>
              </w:rPr>
            </w:pPr>
          </w:p>
        </w:tc>
        <w:tc>
          <w:tcPr>
            <w:tcW w:w="1377" w:type="dxa"/>
            <w:vMerge/>
            <w:shd w:val="clear" w:color="auto" w:fill="FFFFFF"/>
            <w:vAlign w:val="center"/>
          </w:tcPr>
          <w:p w14:paraId="5CD93216" w14:textId="601A511D" w:rsidR="009557E0" w:rsidRPr="00C650EF" w:rsidRDefault="009557E0" w:rsidP="009557E0">
            <w:pPr>
              <w:spacing w:after="0" w:line="240" w:lineRule="auto"/>
              <w:jc w:val="center"/>
              <w:textAlignment w:val="baseline"/>
              <w:rPr>
                <w:rFonts w:ascii="Book Antiqua" w:eastAsia="Times New Roman" w:hAnsi="Book Antiqua" w:cs="Segoe UI"/>
                <w:color w:val="000000"/>
                <w:sz w:val="14"/>
                <w:szCs w:val="14"/>
                <w:lang w:eastAsia="es-CR"/>
              </w:rPr>
            </w:pPr>
          </w:p>
        </w:tc>
        <w:tc>
          <w:tcPr>
            <w:tcW w:w="1396" w:type="dxa"/>
            <w:shd w:val="clear" w:color="auto" w:fill="FFFFFF"/>
            <w:vAlign w:val="center"/>
          </w:tcPr>
          <w:p w14:paraId="13636DA8" w14:textId="091265AE" w:rsidR="009557E0" w:rsidRPr="00C650EF" w:rsidRDefault="009557E0" w:rsidP="009557E0">
            <w:pPr>
              <w:spacing w:after="0" w:line="240" w:lineRule="auto"/>
              <w:jc w:val="center"/>
              <w:textAlignment w:val="baseline"/>
              <w:rPr>
                <w:rFonts w:ascii="Book Antiqua" w:eastAsia="Times New Roman" w:hAnsi="Book Antiqua" w:cs="Segoe UI"/>
                <w:b/>
                <w:bCs/>
                <w:color w:val="000000"/>
                <w:sz w:val="14"/>
                <w:szCs w:val="14"/>
                <w:lang w:eastAsia="es-CR"/>
              </w:rPr>
            </w:pPr>
            <w:r w:rsidRPr="00EF4E17">
              <w:rPr>
                <w:rFonts w:ascii="Book Antiqua" w:eastAsia="Times New Roman" w:hAnsi="Book Antiqua" w:cs="Segoe UI"/>
                <w:color w:val="000000"/>
                <w:sz w:val="14"/>
                <w:szCs w:val="14"/>
                <w:lang w:eastAsia="es-CR"/>
              </w:rPr>
              <w:t>Actualización del cronograma </w:t>
            </w:r>
          </w:p>
        </w:tc>
        <w:tc>
          <w:tcPr>
            <w:tcW w:w="1335" w:type="dxa"/>
            <w:shd w:val="clear" w:color="auto" w:fill="FFFFFF"/>
            <w:vAlign w:val="center"/>
          </w:tcPr>
          <w:p w14:paraId="6872880A" w14:textId="21D369C1" w:rsidR="009557E0" w:rsidRPr="00C650EF" w:rsidRDefault="009557E0" w:rsidP="009557E0">
            <w:pPr>
              <w:spacing w:after="0" w:line="240" w:lineRule="auto"/>
              <w:jc w:val="center"/>
              <w:textAlignment w:val="baseline"/>
              <w:rPr>
                <w:rFonts w:ascii="Book Antiqua" w:eastAsia="Times New Roman" w:hAnsi="Book Antiqua" w:cs="Segoe UI"/>
                <w:color w:val="000000"/>
                <w:sz w:val="14"/>
                <w:szCs w:val="14"/>
                <w:lang w:eastAsia="es-CR"/>
              </w:rPr>
            </w:pPr>
            <w:r w:rsidRPr="00C650EF">
              <w:rPr>
                <w:rFonts w:ascii="Book Antiqua" w:eastAsia="Times New Roman" w:hAnsi="Book Antiqua" w:cs="Segoe UI"/>
                <w:color w:val="000000"/>
                <w:sz w:val="14"/>
                <w:szCs w:val="14"/>
                <w:lang w:eastAsia="es-CR"/>
              </w:rPr>
              <w:t>Cronograma. </w:t>
            </w:r>
          </w:p>
        </w:tc>
        <w:tc>
          <w:tcPr>
            <w:tcW w:w="812" w:type="dxa"/>
            <w:shd w:val="clear" w:color="auto" w:fill="FFFFFF"/>
            <w:vAlign w:val="center"/>
          </w:tcPr>
          <w:p w14:paraId="0CD9E8D0" w14:textId="361A28F6" w:rsidR="009557E0" w:rsidRPr="00C650EF" w:rsidRDefault="009557E0" w:rsidP="009557E0">
            <w:pPr>
              <w:spacing w:after="0" w:line="240" w:lineRule="auto"/>
              <w:jc w:val="center"/>
              <w:textAlignment w:val="baseline"/>
              <w:rPr>
                <w:rFonts w:ascii="Book Antiqua" w:eastAsia="Times New Roman" w:hAnsi="Book Antiqua" w:cs="Segoe UI"/>
                <w:color w:val="000000"/>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vMerge/>
            <w:shd w:val="clear" w:color="auto" w:fill="FFFFFF"/>
            <w:vAlign w:val="center"/>
          </w:tcPr>
          <w:p w14:paraId="1EC52CBC" w14:textId="77777777" w:rsidR="009557E0" w:rsidRPr="00C650EF" w:rsidRDefault="009557E0" w:rsidP="009557E0">
            <w:pPr>
              <w:spacing w:after="0" w:line="240" w:lineRule="auto"/>
              <w:jc w:val="both"/>
              <w:textAlignment w:val="baseline"/>
              <w:rPr>
                <w:rFonts w:ascii="Book Antiqua" w:eastAsia="Times New Roman" w:hAnsi="Book Antiqua" w:cs="Segoe UI"/>
                <w:color w:val="000000"/>
                <w:sz w:val="14"/>
                <w:szCs w:val="14"/>
                <w:lang w:eastAsia="es-CR"/>
              </w:rPr>
            </w:pPr>
          </w:p>
        </w:tc>
        <w:tc>
          <w:tcPr>
            <w:tcW w:w="982" w:type="dxa"/>
            <w:shd w:val="clear" w:color="auto" w:fill="FFFFFF"/>
            <w:vAlign w:val="center"/>
          </w:tcPr>
          <w:p w14:paraId="0D51F27B" w14:textId="26DE8540" w:rsidR="009557E0" w:rsidRPr="00C650EF" w:rsidRDefault="009557E0" w:rsidP="009557E0">
            <w:pPr>
              <w:spacing w:after="0" w:line="240" w:lineRule="auto"/>
              <w:jc w:val="center"/>
              <w:textAlignment w:val="baseline"/>
              <w:rPr>
                <w:rFonts w:ascii="Book Antiqua" w:eastAsia="Times New Roman" w:hAnsi="Book Antiqua" w:cs="Segoe UI"/>
                <w:color w:val="000000"/>
                <w:sz w:val="14"/>
                <w:szCs w:val="14"/>
                <w:lang w:eastAsia="es-CR"/>
              </w:rPr>
            </w:pPr>
            <w:r w:rsidRPr="00EF4E17">
              <w:rPr>
                <w:rFonts w:ascii="Book Antiqua" w:eastAsia="Times New Roman" w:hAnsi="Book Antiqua" w:cs="Segoe UI"/>
                <w:color w:val="000000"/>
                <w:sz w:val="14"/>
                <w:szCs w:val="14"/>
                <w:lang w:eastAsia="es-CR"/>
              </w:rPr>
              <w:t>Nacira Valverde Bermúdez </w:t>
            </w:r>
          </w:p>
        </w:tc>
      </w:tr>
      <w:tr w:rsidR="009557E0" w:rsidRPr="00C650EF" w14:paraId="71CBD29E" w14:textId="77777777" w:rsidTr="009557E0">
        <w:trPr>
          <w:trHeight w:val="285"/>
          <w:jc w:val="center"/>
        </w:trPr>
        <w:tc>
          <w:tcPr>
            <w:tcW w:w="804" w:type="dxa"/>
            <w:shd w:val="clear" w:color="auto" w:fill="FFFFFF"/>
            <w:vAlign w:val="center"/>
          </w:tcPr>
          <w:p w14:paraId="2FE22031" w14:textId="53170759" w:rsidR="009557E0" w:rsidRPr="00C650EF" w:rsidRDefault="009557E0" w:rsidP="009557E0">
            <w:pPr>
              <w:spacing w:after="0" w:line="240" w:lineRule="auto"/>
              <w:jc w:val="center"/>
              <w:textAlignment w:val="baseline"/>
              <w:rPr>
                <w:rFonts w:ascii="Book Antiqua" w:eastAsia="Times New Roman" w:hAnsi="Book Antiqua" w:cs="Segoe UI"/>
                <w:color w:val="000000"/>
                <w:sz w:val="14"/>
                <w:szCs w:val="14"/>
                <w:lang w:eastAsia="es-CR"/>
              </w:rPr>
            </w:pPr>
            <w:r w:rsidRPr="00EF4E17">
              <w:rPr>
                <w:rFonts w:ascii="Book Antiqua" w:eastAsia="Times New Roman" w:hAnsi="Book Antiqua" w:cs="Segoe UI"/>
                <w:color w:val="000000"/>
                <w:sz w:val="14"/>
                <w:szCs w:val="14"/>
                <w:lang w:eastAsia="es-CR"/>
              </w:rPr>
              <w:t>30/3/2023 </w:t>
            </w:r>
          </w:p>
        </w:tc>
        <w:tc>
          <w:tcPr>
            <w:tcW w:w="603" w:type="dxa"/>
            <w:shd w:val="clear" w:color="auto" w:fill="FFFFFF"/>
            <w:vAlign w:val="center"/>
          </w:tcPr>
          <w:p w14:paraId="10F9BC70" w14:textId="3581C54A" w:rsidR="009557E0" w:rsidRPr="00C650EF" w:rsidRDefault="009557E0" w:rsidP="009557E0">
            <w:pPr>
              <w:spacing w:after="0" w:line="240" w:lineRule="auto"/>
              <w:jc w:val="center"/>
              <w:textAlignment w:val="baseline"/>
              <w:rPr>
                <w:rFonts w:ascii="Book Antiqua" w:eastAsia="Times New Roman" w:hAnsi="Book Antiqua" w:cs="Segoe UI"/>
                <w:color w:val="000000"/>
                <w:sz w:val="14"/>
                <w:szCs w:val="14"/>
                <w:lang w:eastAsia="es-CR"/>
              </w:rPr>
            </w:pPr>
            <w:r w:rsidRPr="00EF4E17">
              <w:rPr>
                <w:rFonts w:ascii="Book Antiqua" w:eastAsia="Times New Roman" w:hAnsi="Book Antiqua" w:cs="Segoe UI"/>
                <w:color w:val="000000"/>
                <w:sz w:val="14"/>
                <w:szCs w:val="14"/>
                <w:lang w:eastAsia="es-CR"/>
              </w:rPr>
              <w:t>0110-PLA-P04 </w:t>
            </w:r>
          </w:p>
        </w:tc>
        <w:tc>
          <w:tcPr>
            <w:tcW w:w="1377" w:type="dxa"/>
            <w:shd w:val="clear" w:color="auto" w:fill="FFFFFF"/>
            <w:vAlign w:val="center"/>
          </w:tcPr>
          <w:p w14:paraId="57BED6D9" w14:textId="4E7A6732" w:rsidR="009557E0" w:rsidRPr="00C650EF" w:rsidRDefault="009557E0" w:rsidP="009557E0">
            <w:pPr>
              <w:spacing w:after="0" w:line="240" w:lineRule="auto"/>
              <w:jc w:val="center"/>
              <w:textAlignment w:val="baseline"/>
              <w:rPr>
                <w:rFonts w:ascii="Book Antiqua" w:eastAsia="Times New Roman" w:hAnsi="Book Antiqua" w:cs="Segoe UI"/>
                <w:color w:val="000000"/>
                <w:sz w:val="14"/>
                <w:szCs w:val="14"/>
                <w:lang w:eastAsia="es-CR"/>
              </w:rPr>
            </w:pPr>
            <w:r w:rsidRPr="00EF4E17">
              <w:rPr>
                <w:rFonts w:ascii="Book Antiqua" w:eastAsia="Times New Roman" w:hAnsi="Book Antiqua" w:cs="Segoe UI"/>
                <w:color w:val="000000"/>
                <w:sz w:val="14"/>
                <w:szCs w:val="14"/>
                <w:lang w:eastAsia="es-CR"/>
              </w:rPr>
              <w:t>Mejora del Proceso Penal (Ámbito Jurisdiccional) </w:t>
            </w:r>
          </w:p>
        </w:tc>
        <w:tc>
          <w:tcPr>
            <w:tcW w:w="1396" w:type="dxa"/>
            <w:shd w:val="clear" w:color="auto" w:fill="FFFFFF"/>
            <w:vAlign w:val="center"/>
          </w:tcPr>
          <w:p w14:paraId="4F452B95" w14:textId="48D5D5A9" w:rsidR="009557E0" w:rsidRPr="00C650EF" w:rsidRDefault="009557E0" w:rsidP="009557E0">
            <w:pPr>
              <w:spacing w:after="0" w:line="240" w:lineRule="auto"/>
              <w:jc w:val="center"/>
              <w:textAlignment w:val="baseline"/>
              <w:rPr>
                <w:rFonts w:ascii="Book Antiqua" w:eastAsia="Times New Roman" w:hAnsi="Book Antiqua" w:cs="Segoe UI"/>
                <w:b/>
                <w:bCs/>
                <w:color w:val="000000"/>
                <w:sz w:val="14"/>
                <w:szCs w:val="14"/>
                <w:lang w:eastAsia="es-CR"/>
              </w:rPr>
            </w:pPr>
            <w:r w:rsidRPr="00EF4E17">
              <w:rPr>
                <w:rFonts w:ascii="Book Antiqua" w:eastAsia="Times New Roman" w:hAnsi="Book Antiqua" w:cs="Segoe UI"/>
                <w:color w:val="000000"/>
                <w:sz w:val="14"/>
                <w:szCs w:val="14"/>
                <w:lang w:eastAsia="es-CR"/>
              </w:rPr>
              <w:t xml:space="preserve">Se actualiza el formato del formulario del acta de constitución y se actualiza la fecha de </w:t>
            </w:r>
            <w:r w:rsidRPr="00EF4E17">
              <w:rPr>
                <w:rFonts w:ascii="Book Antiqua" w:eastAsia="Times New Roman" w:hAnsi="Book Antiqua" w:cs="Segoe UI"/>
                <w:color w:val="000000"/>
                <w:sz w:val="14"/>
                <w:szCs w:val="14"/>
                <w:lang w:eastAsia="es-CR"/>
              </w:rPr>
              <w:lastRenderedPageBreak/>
              <w:t>finalización del proyecto, conforme la solicitud de cambio 12, en el que se modifica el cronograma del proyecto </w:t>
            </w:r>
          </w:p>
        </w:tc>
        <w:tc>
          <w:tcPr>
            <w:tcW w:w="1335" w:type="dxa"/>
            <w:shd w:val="clear" w:color="auto" w:fill="FFFFFF"/>
            <w:vAlign w:val="center"/>
          </w:tcPr>
          <w:p w14:paraId="2BA5CA6C" w14:textId="4E728ED5" w:rsidR="009557E0" w:rsidRPr="00C650EF" w:rsidRDefault="009557E0" w:rsidP="009557E0">
            <w:pPr>
              <w:spacing w:after="0" w:line="240" w:lineRule="auto"/>
              <w:jc w:val="center"/>
              <w:textAlignment w:val="baseline"/>
              <w:rPr>
                <w:rFonts w:ascii="Book Antiqua" w:eastAsia="Times New Roman" w:hAnsi="Book Antiqua" w:cs="Segoe UI"/>
                <w:color w:val="000000"/>
                <w:sz w:val="14"/>
                <w:szCs w:val="14"/>
                <w:lang w:eastAsia="es-CR"/>
              </w:rPr>
            </w:pPr>
            <w:r w:rsidRPr="00EF4E17">
              <w:rPr>
                <w:rFonts w:ascii="Book Antiqua" w:eastAsia="Times New Roman" w:hAnsi="Book Antiqua" w:cs="Segoe UI"/>
                <w:color w:val="000000"/>
                <w:sz w:val="14"/>
                <w:szCs w:val="14"/>
                <w:lang w:eastAsia="es-CR"/>
              </w:rPr>
              <w:lastRenderedPageBreak/>
              <w:t>Cronograma </w:t>
            </w:r>
          </w:p>
        </w:tc>
        <w:tc>
          <w:tcPr>
            <w:tcW w:w="812" w:type="dxa"/>
            <w:shd w:val="clear" w:color="auto" w:fill="FFFFFF"/>
            <w:vAlign w:val="center"/>
          </w:tcPr>
          <w:p w14:paraId="12535C2A" w14:textId="00B6CDA2" w:rsidR="009557E0" w:rsidRPr="00C650EF" w:rsidRDefault="009557E0" w:rsidP="009557E0">
            <w:pPr>
              <w:spacing w:after="0" w:line="240" w:lineRule="auto"/>
              <w:jc w:val="center"/>
              <w:textAlignment w:val="baseline"/>
              <w:rPr>
                <w:rFonts w:ascii="Book Antiqua" w:eastAsia="Times New Roman" w:hAnsi="Book Antiqua" w:cs="Segoe UI"/>
                <w:color w:val="000000"/>
                <w:sz w:val="14"/>
                <w:szCs w:val="14"/>
                <w:lang w:eastAsia="es-CR"/>
              </w:rPr>
            </w:pPr>
            <w:r w:rsidRPr="00C650EF">
              <w:rPr>
                <w:rFonts w:ascii="Book Antiqua" w:eastAsia="Times New Roman" w:hAnsi="Book Antiqua" w:cs="Segoe UI"/>
                <w:color w:val="000000"/>
                <w:sz w:val="14"/>
                <w:szCs w:val="14"/>
                <w:lang w:eastAsia="es-CR"/>
              </w:rPr>
              <w:t>Si</w:t>
            </w:r>
          </w:p>
        </w:tc>
        <w:tc>
          <w:tcPr>
            <w:tcW w:w="2322" w:type="dxa"/>
            <w:shd w:val="clear" w:color="auto" w:fill="FFFFFF"/>
            <w:vAlign w:val="center"/>
          </w:tcPr>
          <w:p w14:paraId="6BE1ECF8" w14:textId="77777777" w:rsidR="00C650EF" w:rsidRPr="00C650EF" w:rsidRDefault="00C650EF" w:rsidP="009557E0">
            <w:pPr>
              <w:spacing w:after="0" w:line="240" w:lineRule="auto"/>
              <w:jc w:val="both"/>
              <w:textAlignment w:val="baseline"/>
              <w:rPr>
                <w:rFonts w:ascii="Book Antiqua" w:eastAsia="Times New Roman" w:hAnsi="Book Antiqua" w:cs="Segoe UI"/>
                <w:color w:val="000000"/>
                <w:sz w:val="14"/>
                <w:szCs w:val="14"/>
                <w:lang w:eastAsia="es-CR"/>
              </w:rPr>
            </w:pPr>
            <w:r w:rsidRPr="00C650EF">
              <w:rPr>
                <w:rFonts w:ascii="Book Antiqua" w:eastAsia="Times New Roman" w:hAnsi="Book Antiqua" w:cs="Segoe UI"/>
                <w:color w:val="000000"/>
                <w:sz w:val="14"/>
                <w:szCs w:val="14"/>
                <w:lang w:eastAsia="es-CR"/>
              </w:rPr>
              <w:t xml:space="preserve">Producto de la solicitud de cambio del 30-3-23 pendiente: </w:t>
            </w:r>
          </w:p>
          <w:p w14:paraId="03CECB57" w14:textId="77777777" w:rsidR="00C650EF" w:rsidRPr="00C650EF" w:rsidRDefault="00C650EF" w:rsidP="009557E0">
            <w:pPr>
              <w:spacing w:after="0" w:line="240" w:lineRule="auto"/>
              <w:jc w:val="both"/>
              <w:textAlignment w:val="baseline"/>
              <w:rPr>
                <w:rFonts w:ascii="Book Antiqua" w:eastAsia="Times New Roman" w:hAnsi="Book Antiqua" w:cs="Segoe UI"/>
                <w:color w:val="000000"/>
                <w:sz w:val="14"/>
                <w:szCs w:val="14"/>
                <w:lang w:eastAsia="es-CR"/>
              </w:rPr>
            </w:pPr>
            <w:r w:rsidRPr="00EF4E17">
              <w:rPr>
                <w:rFonts w:ascii="Book Antiqua" w:eastAsia="Times New Roman" w:hAnsi="Book Antiqua" w:cs="Segoe UI"/>
                <w:b/>
                <w:bCs/>
                <w:color w:val="000000"/>
                <w:sz w:val="14"/>
                <w:szCs w:val="14"/>
                <w:lang w:eastAsia="es-CR"/>
              </w:rPr>
              <w:t>Estudio de factibilidad</w:t>
            </w:r>
            <w:r w:rsidRPr="00C650EF">
              <w:rPr>
                <w:rFonts w:ascii="Book Antiqua" w:eastAsia="Times New Roman" w:hAnsi="Book Antiqua" w:cs="Segoe UI"/>
                <w:color w:val="000000"/>
                <w:sz w:val="14"/>
                <w:szCs w:val="14"/>
                <w:lang w:eastAsia="es-CR"/>
              </w:rPr>
              <w:t xml:space="preserve">: Planteamiento inicial del proyecto se deben indicar 3 alternativas de </w:t>
            </w:r>
            <w:r w:rsidRPr="00C650EF">
              <w:rPr>
                <w:rFonts w:ascii="Book Antiqua" w:eastAsia="Times New Roman" w:hAnsi="Book Antiqua" w:cs="Segoe UI"/>
                <w:color w:val="000000"/>
                <w:sz w:val="14"/>
                <w:szCs w:val="14"/>
                <w:lang w:eastAsia="es-CR"/>
              </w:rPr>
              <w:lastRenderedPageBreak/>
              <w:t xml:space="preserve">solución del problema que se está atendiendo y porque se escogió la que se aplica actualmente; en costo de inversión se deben indicar los costos asociados al proyecto por su duración tanto en recurso humano ordinario, con permiso como del gasto variable; tiempo estimado no coincide con cronograma; análisis de costo- beneficio revisar al modificar costo de inversión; </w:t>
            </w:r>
          </w:p>
          <w:p w14:paraId="23038350" w14:textId="6DF8FB55" w:rsidR="009557E0" w:rsidRPr="00C650EF" w:rsidRDefault="00C650EF" w:rsidP="009557E0">
            <w:pPr>
              <w:spacing w:after="0" w:line="240" w:lineRule="auto"/>
              <w:jc w:val="both"/>
              <w:textAlignment w:val="baseline"/>
              <w:rPr>
                <w:rFonts w:ascii="Book Antiqua" w:eastAsia="Times New Roman" w:hAnsi="Book Antiqua" w:cs="Segoe UI"/>
                <w:color w:val="000000"/>
                <w:sz w:val="14"/>
                <w:szCs w:val="14"/>
                <w:lang w:eastAsia="es-CR"/>
              </w:rPr>
            </w:pPr>
            <w:r w:rsidRPr="00EF4E17">
              <w:rPr>
                <w:rFonts w:ascii="Book Antiqua" w:eastAsia="Times New Roman" w:hAnsi="Book Antiqua" w:cs="Segoe UI"/>
                <w:b/>
                <w:bCs/>
                <w:color w:val="000000"/>
                <w:sz w:val="14"/>
                <w:szCs w:val="14"/>
                <w:lang w:eastAsia="es-CR"/>
              </w:rPr>
              <w:t>Plan de gestión:</w:t>
            </w:r>
            <w:r w:rsidRPr="00C650EF">
              <w:rPr>
                <w:rFonts w:ascii="Book Antiqua" w:eastAsia="Times New Roman" w:hAnsi="Book Antiqua" w:cs="Segoe UI"/>
                <w:color w:val="000000"/>
                <w:sz w:val="14"/>
                <w:szCs w:val="14"/>
                <w:lang w:eastAsia="es-CR"/>
              </w:rPr>
              <w:t xml:space="preserve"> la fecha de finalización no coincide con cronograma; Beneficios y resultados esperados debe coincidir con estudio de factibilidad en las columnas de Descripción del beneficio, Situación sin proyecto, Situación después del proyecto, Plazo esperado de obtención del resultado ( se recomienda colocar de seis a un año posterior a concluir el proyecto); en apartado de roles y responsabilidades revisar personas consignas debe coincidir con situación actual; en el apartado de detalle de los entregables se recomienda eliminar el 4.2 el informe de los beneficios; porque este ocurre hasta por lo menos 6 meses de concluido el proyecto; el cronograma inserto se encuentra desactualizado; en el apartado de presupuesto específicamente en costos del proyecto, si se completa los cuadros del recurso humano no hace falta colocarlo en este apartado también; los costos del proyecto están desactualizados tanto en recurso humano ordinario como con permiso. </w:t>
            </w:r>
            <w:r w:rsidRPr="00EF4E17">
              <w:rPr>
                <w:rFonts w:ascii="Book Antiqua" w:eastAsia="Times New Roman" w:hAnsi="Book Antiqua" w:cs="Segoe UI"/>
                <w:b/>
                <w:bCs/>
                <w:color w:val="000000"/>
                <w:sz w:val="14"/>
                <w:szCs w:val="14"/>
                <w:lang w:eastAsia="es-CR"/>
              </w:rPr>
              <w:t>Acta de constitución:</w:t>
            </w:r>
            <w:r w:rsidRPr="00C650EF">
              <w:rPr>
                <w:rFonts w:ascii="Book Antiqua" w:eastAsia="Times New Roman" w:hAnsi="Book Antiqua" w:cs="Segoe UI"/>
                <w:color w:val="000000"/>
                <w:sz w:val="14"/>
                <w:szCs w:val="14"/>
                <w:lang w:eastAsia="es-CR"/>
              </w:rPr>
              <w:t xml:space="preserve"> la fecha de finalización no coincide con cronograma; en cronograma de alto nivel falta entregables por indicar y se recomienda mencionar años posibles de entrega; en el apartado de recursos del proyecto,  en costos del proyecto, si se completa los cuadros del recurso humano no hace falta colocarlo en este apartado también; los costos del proyecto están desactualizados tanto en recurso humano ordinario como con permiso; en equipo de trabajo del proyecto falta indicar el rol de cada uno.</w:t>
            </w:r>
          </w:p>
        </w:tc>
        <w:tc>
          <w:tcPr>
            <w:tcW w:w="982" w:type="dxa"/>
            <w:shd w:val="clear" w:color="auto" w:fill="FFFFFF"/>
            <w:vAlign w:val="center"/>
          </w:tcPr>
          <w:p w14:paraId="58D1558C" w14:textId="2E211615" w:rsidR="009557E0" w:rsidRPr="00C650EF" w:rsidRDefault="009557E0" w:rsidP="009557E0">
            <w:pPr>
              <w:spacing w:after="0" w:line="240" w:lineRule="auto"/>
              <w:jc w:val="center"/>
              <w:textAlignment w:val="baseline"/>
              <w:rPr>
                <w:rFonts w:ascii="Book Antiqua" w:eastAsia="Times New Roman" w:hAnsi="Book Antiqua" w:cs="Segoe UI"/>
                <w:color w:val="000000"/>
                <w:sz w:val="14"/>
                <w:szCs w:val="14"/>
                <w:lang w:eastAsia="es-CR"/>
              </w:rPr>
            </w:pPr>
            <w:r w:rsidRPr="00EF4E17">
              <w:rPr>
                <w:rFonts w:ascii="Book Antiqua" w:eastAsia="Times New Roman" w:hAnsi="Book Antiqua" w:cs="Segoe UI"/>
                <w:color w:val="000000"/>
                <w:sz w:val="14"/>
                <w:szCs w:val="14"/>
                <w:lang w:eastAsia="es-CR"/>
              </w:rPr>
              <w:lastRenderedPageBreak/>
              <w:t>Nacira Valverde Bermúdez </w:t>
            </w:r>
          </w:p>
        </w:tc>
      </w:tr>
      <w:tr w:rsidR="009557E0" w:rsidRPr="00C650EF" w14:paraId="0B296E05" w14:textId="77777777" w:rsidTr="009557E0">
        <w:trPr>
          <w:trHeight w:val="285"/>
          <w:jc w:val="center"/>
        </w:trPr>
        <w:tc>
          <w:tcPr>
            <w:tcW w:w="804" w:type="dxa"/>
            <w:shd w:val="clear" w:color="auto" w:fill="FFFFFF"/>
            <w:vAlign w:val="center"/>
            <w:hideMark/>
          </w:tcPr>
          <w:p w14:paraId="4D060CE8"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5/5/2023 </w:t>
            </w:r>
          </w:p>
        </w:tc>
        <w:tc>
          <w:tcPr>
            <w:tcW w:w="603" w:type="dxa"/>
            <w:shd w:val="clear" w:color="auto" w:fill="FFFFFF"/>
            <w:vAlign w:val="center"/>
            <w:hideMark/>
          </w:tcPr>
          <w:p w14:paraId="7C2A0B20"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0117-DE-P01 </w:t>
            </w:r>
          </w:p>
        </w:tc>
        <w:tc>
          <w:tcPr>
            <w:tcW w:w="1377" w:type="dxa"/>
            <w:shd w:val="clear" w:color="auto" w:fill="FFFFFF"/>
            <w:vAlign w:val="center"/>
            <w:hideMark/>
          </w:tcPr>
          <w:p w14:paraId="73F9D70A"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Sistema Control de Accesos y Asistencia Electrónica </w:t>
            </w:r>
          </w:p>
        </w:tc>
        <w:tc>
          <w:tcPr>
            <w:tcW w:w="1396" w:type="dxa"/>
            <w:shd w:val="clear" w:color="auto" w:fill="FFFFFF"/>
            <w:vAlign w:val="center"/>
            <w:hideMark/>
          </w:tcPr>
          <w:p w14:paraId="52BB83C2"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Modificación del cronograma</w:t>
            </w:r>
            <w:r w:rsidRPr="00C650EF">
              <w:rPr>
                <w:rFonts w:ascii="Book Antiqua" w:eastAsia="Times New Roman" w:hAnsi="Book Antiqua" w:cs="Segoe UI"/>
                <w:color w:val="000000"/>
                <w:sz w:val="14"/>
                <w:szCs w:val="14"/>
                <w:lang w:eastAsia="es-CR"/>
              </w:rPr>
              <w:t> </w:t>
            </w:r>
          </w:p>
        </w:tc>
        <w:tc>
          <w:tcPr>
            <w:tcW w:w="1335" w:type="dxa"/>
            <w:shd w:val="clear" w:color="auto" w:fill="FFFFFF"/>
            <w:vAlign w:val="center"/>
            <w:hideMark/>
          </w:tcPr>
          <w:p w14:paraId="7EBA7D51"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Cronograma, costo, recursos. </w:t>
            </w:r>
          </w:p>
        </w:tc>
        <w:tc>
          <w:tcPr>
            <w:tcW w:w="812" w:type="dxa"/>
            <w:shd w:val="clear" w:color="auto" w:fill="FFFFFF"/>
            <w:vAlign w:val="center"/>
            <w:hideMark/>
          </w:tcPr>
          <w:p w14:paraId="53669671"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shd w:val="clear" w:color="auto" w:fill="FFFFFF"/>
            <w:vAlign w:val="center"/>
            <w:hideMark/>
          </w:tcPr>
          <w:p w14:paraId="21A65D5F"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Producto de la solicitud de cambio del 5-5-23 pendiente:  </w:t>
            </w:r>
          </w:p>
          <w:p w14:paraId="0658C3B5"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Plan de gestión:</w:t>
            </w:r>
            <w:r w:rsidRPr="00C650EF">
              <w:rPr>
                <w:rFonts w:ascii="Book Antiqua" w:eastAsia="Times New Roman" w:hAnsi="Book Antiqua" w:cs="Segoe UI"/>
                <w:color w:val="000000"/>
                <w:sz w:val="14"/>
                <w:szCs w:val="14"/>
                <w:lang w:eastAsia="es-CR"/>
              </w:rPr>
              <w:t xml:space="preserve"> corregir cuadro de EDT el mismo debe indicar las diferentes fases y entregables; además se debe corregir el cronograma para que también indica que las fases de formulación, </w:t>
            </w:r>
            <w:r w:rsidRPr="00C650EF">
              <w:rPr>
                <w:rFonts w:ascii="Book Antiqua" w:eastAsia="Times New Roman" w:hAnsi="Book Antiqua" w:cs="Segoe UI"/>
                <w:color w:val="000000"/>
                <w:sz w:val="14"/>
                <w:szCs w:val="14"/>
                <w:lang w:eastAsia="es-CR"/>
              </w:rPr>
              <w:lastRenderedPageBreak/>
              <w:t>planificación, ejecución y cierre; falta el diagrama de la EDT.  </w:t>
            </w:r>
          </w:p>
          <w:p w14:paraId="1658A117"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Acta de constitución:</w:t>
            </w:r>
            <w:r w:rsidRPr="00C650EF">
              <w:rPr>
                <w:rFonts w:ascii="Book Antiqua" w:eastAsia="Times New Roman" w:hAnsi="Book Antiqua" w:cs="Segoe UI"/>
                <w:color w:val="000000"/>
                <w:sz w:val="14"/>
                <w:szCs w:val="14"/>
                <w:lang w:eastAsia="es-CR"/>
              </w:rPr>
              <w:t xml:space="preserve"> Se debe trasladar al formulario de actual, esto debido a que se encuentra en la versión anterior.  </w:t>
            </w:r>
          </w:p>
          <w:p w14:paraId="6128BAE2"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Estudio de factibilidad:</w:t>
            </w:r>
            <w:r w:rsidRPr="00C650EF">
              <w:rPr>
                <w:rFonts w:ascii="Book Antiqua" w:eastAsia="Times New Roman" w:hAnsi="Book Antiqua" w:cs="Segoe UI"/>
                <w:color w:val="000000"/>
                <w:sz w:val="14"/>
                <w:szCs w:val="14"/>
                <w:lang w:eastAsia="es-CR"/>
              </w:rPr>
              <w:t xml:space="preserve"> Planteamiento inicial del proyecto: se debe indicar 3 alternativas de solución del proyecto y porque se escogió la actual; Cuantificación de los beneficios:  se debe indicar los montos; costo de inversión: se debe indicar los costos y estos coincidir con plan de gestión y acta de constitución; costo de operación son los costos una vez concluidos el proyecto, no durante su ejecución; Análisis Costo -Beneficio del Proyecto: se debe verificar el costo de inversión. </w:t>
            </w:r>
          </w:p>
        </w:tc>
        <w:tc>
          <w:tcPr>
            <w:tcW w:w="982" w:type="dxa"/>
            <w:shd w:val="clear" w:color="auto" w:fill="FFFFFF"/>
            <w:vAlign w:val="center"/>
            <w:hideMark/>
          </w:tcPr>
          <w:p w14:paraId="72964D89"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lastRenderedPageBreak/>
              <w:t>Pendiente aprobación de solicitud de cambio </w:t>
            </w:r>
          </w:p>
        </w:tc>
      </w:tr>
      <w:tr w:rsidR="009557E0" w:rsidRPr="00C650EF" w14:paraId="039056F5" w14:textId="77777777" w:rsidTr="009557E0">
        <w:trPr>
          <w:trHeight w:val="285"/>
          <w:jc w:val="center"/>
        </w:trPr>
        <w:tc>
          <w:tcPr>
            <w:tcW w:w="804" w:type="dxa"/>
            <w:shd w:val="clear" w:color="auto" w:fill="FFFFFF"/>
            <w:vAlign w:val="center"/>
            <w:hideMark/>
          </w:tcPr>
          <w:p w14:paraId="4F6E62FF"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4/5/2023 </w:t>
            </w:r>
          </w:p>
        </w:tc>
        <w:tc>
          <w:tcPr>
            <w:tcW w:w="603" w:type="dxa"/>
            <w:shd w:val="clear" w:color="auto" w:fill="FFFFFF"/>
            <w:vAlign w:val="center"/>
            <w:hideMark/>
          </w:tcPr>
          <w:p w14:paraId="58D8BEC8"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0117-DE-P14 </w:t>
            </w:r>
          </w:p>
        </w:tc>
        <w:tc>
          <w:tcPr>
            <w:tcW w:w="1377" w:type="dxa"/>
            <w:shd w:val="clear" w:color="auto" w:fill="FFFFFF"/>
            <w:vAlign w:val="center"/>
            <w:hideMark/>
          </w:tcPr>
          <w:p w14:paraId="0E1BD8F3"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Implementación del Sistema de Compras Públicas </w:t>
            </w:r>
          </w:p>
        </w:tc>
        <w:tc>
          <w:tcPr>
            <w:tcW w:w="1396" w:type="dxa"/>
            <w:shd w:val="clear" w:color="auto" w:fill="FFFFFF"/>
            <w:vAlign w:val="center"/>
            <w:hideMark/>
          </w:tcPr>
          <w:p w14:paraId="5D5E9108"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Se actualizan los documentos del proyecto, y en el acta constitutiva también se resaltan los nombres de los profesionales en informática que están a cargo del proyecto. A nivel de cronograma solo se eliminó el desarrollo de las bitácoras de VEC, ya que el sistema va de salida. </w:t>
            </w:r>
          </w:p>
        </w:tc>
        <w:tc>
          <w:tcPr>
            <w:tcW w:w="1335" w:type="dxa"/>
            <w:shd w:val="clear" w:color="auto" w:fill="FFFFFF"/>
            <w:vAlign w:val="center"/>
            <w:hideMark/>
          </w:tcPr>
          <w:p w14:paraId="0FEEC6F0"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Cronograma y recursos </w:t>
            </w:r>
          </w:p>
        </w:tc>
        <w:tc>
          <w:tcPr>
            <w:tcW w:w="812" w:type="dxa"/>
            <w:shd w:val="clear" w:color="auto" w:fill="FFFFFF"/>
            <w:vAlign w:val="center"/>
            <w:hideMark/>
          </w:tcPr>
          <w:p w14:paraId="56528F4C"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shd w:val="clear" w:color="auto" w:fill="FFFFFF"/>
            <w:vAlign w:val="center"/>
            <w:hideMark/>
          </w:tcPr>
          <w:p w14:paraId="38503399"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Producto de la solicitud de cambio del 4-5-23 pendiente:  </w:t>
            </w:r>
          </w:p>
          <w:p w14:paraId="77D83804"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Plan de gestión:</w:t>
            </w:r>
            <w:r w:rsidRPr="00C650EF">
              <w:rPr>
                <w:rFonts w:ascii="Book Antiqua" w:eastAsia="Times New Roman" w:hAnsi="Book Antiqua" w:cs="Segoe UI"/>
                <w:color w:val="000000"/>
                <w:sz w:val="14"/>
                <w:szCs w:val="14"/>
                <w:lang w:eastAsia="es-CR"/>
              </w:rPr>
              <w:t xml:space="preserve"> el diagrama de la EDT le falta la fase de cierre, igualmente en el cuadro de  detalle de los entregables falta el 4.1.  </w:t>
            </w:r>
          </w:p>
          <w:p w14:paraId="3CE9DD93"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Acta de constitución:</w:t>
            </w:r>
            <w:r w:rsidRPr="00C650EF">
              <w:rPr>
                <w:rFonts w:ascii="Book Antiqua" w:eastAsia="Times New Roman" w:hAnsi="Book Antiqua" w:cs="Segoe UI"/>
                <w:color w:val="000000"/>
                <w:sz w:val="14"/>
                <w:szCs w:val="14"/>
                <w:lang w:eastAsia="es-CR"/>
              </w:rPr>
              <w:t xml:space="preserve"> cronograma de alto nivel se debe incluir de la fase de ejecución los años en el cual se pretende  finalizar con cada entregable; recursos del proyecto en este se debe indicar los montos tal como se mencionan en el plan de gestión en el apartado de presupuesto; Factores críticos de éxito, se debe indicar lo mismo que se menciona en el plan de gestión en el apartado de alcance dentro del cuadro; equipo del proyecto debe establecerse los roles y nombre de las personas que conforman todo el proyecto desde el patrocinador hasta el equipo de proyecto. </w:t>
            </w:r>
          </w:p>
        </w:tc>
        <w:tc>
          <w:tcPr>
            <w:tcW w:w="982" w:type="dxa"/>
            <w:shd w:val="clear" w:color="auto" w:fill="FFFFFF"/>
            <w:vAlign w:val="center"/>
            <w:hideMark/>
          </w:tcPr>
          <w:p w14:paraId="72E62E6F"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Adriana Esquivel Sanabria </w:t>
            </w:r>
          </w:p>
        </w:tc>
      </w:tr>
      <w:tr w:rsidR="009557E0" w:rsidRPr="00C650EF" w14:paraId="0823CE66" w14:textId="77777777" w:rsidTr="009557E0">
        <w:trPr>
          <w:trHeight w:val="2025"/>
          <w:jc w:val="center"/>
        </w:trPr>
        <w:tc>
          <w:tcPr>
            <w:tcW w:w="804" w:type="dxa"/>
            <w:shd w:val="clear" w:color="auto" w:fill="FFFFFF"/>
            <w:vAlign w:val="center"/>
            <w:hideMark/>
          </w:tcPr>
          <w:p w14:paraId="5364A794"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7/3/2023 </w:t>
            </w:r>
          </w:p>
        </w:tc>
        <w:tc>
          <w:tcPr>
            <w:tcW w:w="603" w:type="dxa"/>
            <w:vMerge w:val="restart"/>
            <w:shd w:val="clear" w:color="auto" w:fill="FFFFFF"/>
            <w:vAlign w:val="center"/>
            <w:hideMark/>
          </w:tcPr>
          <w:p w14:paraId="577DC9E8"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0117-DE-P29 </w:t>
            </w:r>
          </w:p>
        </w:tc>
        <w:tc>
          <w:tcPr>
            <w:tcW w:w="1377" w:type="dxa"/>
            <w:vMerge w:val="restart"/>
            <w:shd w:val="clear" w:color="auto" w:fill="FFFFFF"/>
            <w:vAlign w:val="center"/>
            <w:hideMark/>
          </w:tcPr>
          <w:p w14:paraId="0FB7ADC3"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Sistema de Inventario y Materiales de la Proveeduría </w:t>
            </w:r>
          </w:p>
        </w:tc>
        <w:tc>
          <w:tcPr>
            <w:tcW w:w="1396" w:type="dxa"/>
            <w:shd w:val="clear" w:color="auto" w:fill="FFFFFF"/>
            <w:vAlign w:val="center"/>
            <w:hideMark/>
          </w:tcPr>
          <w:p w14:paraId="1491DB92"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Modificación del cronograma</w:t>
            </w:r>
            <w:r w:rsidRPr="00C650EF">
              <w:rPr>
                <w:rFonts w:ascii="Book Antiqua" w:eastAsia="Times New Roman" w:hAnsi="Book Antiqua" w:cs="Segoe UI"/>
                <w:color w:val="000000"/>
                <w:sz w:val="14"/>
                <w:szCs w:val="14"/>
                <w:lang w:eastAsia="es-CR"/>
              </w:rPr>
              <w:t> </w:t>
            </w:r>
          </w:p>
        </w:tc>
        <w:tc>
          <w:tcPr>
            <w:tcW w:w="1335" w:type="dxa"/>
            <w:shd w:val="clear" w:color="auto" w:fill="FFFFFF"/>
            <w:vAlign w:val="center"/>
            <w:hideMark/>
          </w:tcPr>
          <w:p w14:paraId="3AA13FB0"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Cronograma </w:t>
            </w:r>
          </w:p>
        </w:tc>
        <w:tc>
          <w:tcPr>
            <w:tcW w:w="812" w:type="dxa"/>
            <w:shd w:val="clear" w:color="auto" w:fill="FFFFFF"/>
            <w:vAlign w:val="center"/>
            <w:hideMark/>
          </w:tcPr>
          <w:p w14:paraId="57151FFF"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No </w:t>
            </w:r>
          </w:p>
        </w:tc>
        <w:tc>
          <w:tcPr>
            <w:tcW w:w="2322" w:type="dxa"/>
            <w:vMerge w:val="restart"/>
            <w:shd w:val="clear" w:color="auto" w:fill="FFFFFF"/>
            <w:vAlign w:val="center"/>
            <w:hideMark/>
          </w:tcPr>
          <w:p w14:paraId="60796A67"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Producto de la solicitud de cambio del 7-3-23, 12-5-23 pendiente:  </w:t>
            </w:r>
          </w:p>
          <w:p w14:paraId="2CF3D96C"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Plan de gestión</w:t>
            </w:r>
            <w:r w:rsidRPr="00C650EF">
              <w:rPr>
                <w:rFonts w:ascii="Book Antiqua" w:eastAsia="Times New Roman" w:hAnsi="Book Antiqua" w:cs="Segoe UI"/>
                <w:color w:val="000000"/>
                <w:sz w:val="14"/>
                <w:szCs w:val="14"/>
                <w:lang w:eastAsia="es-CR"/>
              </w:rPr>
              <w:t>: actualizar fecha de finalización, objetivo se menciona 20 meses, pero se extendió el cronograma; administración de riesgo no abre; Detalle del presupuesto del proyecto falta incluir los recursos humanos por todo el periodo del proyecto; el cronograma inserto esta desactualizado (La versión de mayo corresponde a formato de metodología de DTI y no la institucional).  </w:t>
            </w:r>
          </w:p>
          <w:p w14:paraId="21E8BC35"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Acta de constitución:</w:t>
            </w:r>
            <w:r w:rsidRPr="00C650EF">
              <w:rPr>
                <w:rFonts w:ascii="Book Antiqua" w:eastAsia="Times New Roman" w:hAnsi="Book Antiqua" w:cs="Segoe UI"/>
                <w:color w:val="000000"/>
                <w:sz w:val="14"/>
                <w:szCs w:val="14"/>
                <w:lang w:eastAsia="es-CR"/>
              </w:rPr>
              <w:t xml:space="preserve"> pendiente indicar código; fecha de finalización incorrecta; ; cronograma de alto nivel no se indica los años de los entregables o el tiempo para cada </w:t>
            </w:r>
            <w:r w:rsidRPr="00C650EF">
              <w:rPr>
                <w:rFonts w:ascii="Book Antiqua" w:eastAsia="Times New Roman" w:hAnsi="Book Antiqua" w:cs="Segoe UI"/>
                <w:color w:val="000000"/>
                <w:sz w:val="14"/>
                <w:szCs w:val="14"/>
                <w:lang w:eastAsia="es-CR"/>
              </w:rPr>
              <w:lastRenderedPageBreak/>
              <w:t>uno; recurso del proyecto no coincide con plan de gestión; Equipo de trabajo del proyecto se debe indicar el rol de cada uno.  </w:t>
            </w:r>
          </w:p>
          <w:p w14:paraId="78890B07"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Estudio de factibilidad</w:t>
            </w:r>
            <w:r w:rsidRPr="00C650EF">
              <w:rPr>
                <w:rFonts w:ascii="Book Antiqua" w:eastAsia="Times New Roman" w:hAnsi="Book Antiqua" w:cs="Segoe UI"/>
                <w:color w:val="000000"/>
                <w:sz w:val="14"/>
                <w:szCs w:val="14"/>
                <w:lang w:eastAsia="es-CR"/>
              </w:rPr>
              <w:t xml:space="preserve"> costos de operación se debe indicar no aplica. </w:t>
            </w:r>
          </w:p>
        </w:tc>
        <w:tc>
          <w:tcPr>
            <w:tcW w:w="982" w:type="dxa"/>
            <w:shd w:val="clear" w:color="auto" w:fill="FFFFFF"/>
            <w:vAlign w:val="center"/>
            <w:hideMark/>
          </w:tcPr>
          <w:p w14:paraId="3C78FA36"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lastRenderedPageBreak/>
              <w:t>Pendiente aprobación de solicitud de cambio </w:t>
            </w:r>
          </w:p>
        </w:tc>
      </w:tr>
      <w:tr w:rsidR="009557E0" w:rsidRPr="00C650EF" w14:paraId="65393261" w14:textId="77777777" w:rsidTr="009557E0">
        <w:trPr>
          <w:trHeight w:val="285"/>
          <w:jc w:val="center"/>
        </w:trPr>
        <w:tc>
          <w:tcPr>
            <w:tcW w:w="804" w:type="dxa"/>
            <w:shd w:val="clear" w:color="auto" w:fill="FFFFFF"/>
            <w:vAlign w:val="center"/>
            <w:hideMark/>
          </w:tcPr>
          <w:p w14:paraId="60B1DE4B"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12/5/2023 </w:t>
            </w:r>
          </w:p>
        </w:tc>
        <w:tc>
          <w:tcPr>
            <w:tcW w:w="0" w:type="auto"/>
            <w:vMerge/>
            <w:shd w:val="clear" w:color="auto" w:fill="auto"/>
            <w:vAlign w:val="center"/>
            <w:hideMark/>
          </w:tcPr>
          <w:p w14:paraId="22A9C8C7" w14:textId="77777777" w:rsidR="009557E0" w:rsidRPr="00EF4E17" w:rsidRDefault="009557E0" w:rsidP="009557E0">
            <w:pPr>
              <w:spacing w:after="0" w:line="240" w:lineRule="auto"/>
              <w:rPr>
                <w:rFonts w:ascii="Book Antiqua" w:eastAsia="Times New Roman" w:hAnsi="Book Antiqua" w:cs="Segoe UI"/>
                <w:sz w:val="14"/>
                <w:szCs w:val="14"/>
                <w:lang w:eastAsia="es-CR"/>
              </w:rPr>
            </w:pPr>
          </w:p>
        </w:tc>
        <w:tc>
          <w:tcPr>
            <w:tcW w:w="0" w:type="auto"/>
            <w:vMerge/>
            <w:shd w:val="clear" w:color="auto" w:fill="auto"/>
            <w:vAlign w:val="center"/>
            <w:hideMark/>
          </w:tcPr>
          <w:p w14:paraId="6688327D" w14:textId="77777777" w:rsidR="009557E0" w:rsidRPr="00EF4E17" w:rsidRDefault="009557E0" w:rsidP="009557E0">
            <w:pPr>
              <w:spacing w:after="0" w:line="240" w:lineRule="auto"/>
              <w:rPr>
                <w:rFonts w:ascii="Book Antiqua" w:eastAsia="Times New Roman" w:hAnsi="Book Antiqua" w:cs="Segoe UI"/>
                <w:sz w:val="14"/>
                <w:szCs w:val="14"/>
                <w:lang w:eastAsia="es-CR"/>
              </w:rPr>
            </w:pPr>
          </w:p>
        </w:tc>
        <w:tc>
          <w:tcPr>
            <w:tcW w:w="1396" w:type="dxa"/>
            <w:shd w:val="clear" w:color="auto" w:fill="FFFFFF"/>
            <w:vAlign w:val="center"/>
            <w:hideMark/>
          </w:tcPr>
          <w:p w14:paraId="1205C818"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Modificación del cronograma</w:t>
            </w:r>
            <w:r w:rsidRPr="00C650EF">
              <w:rPr>
                <w:rFonts w:ascii="Book Antiqua" w:eastAsia="Times New Roman" w:hAnsi="Book Antiqua" w:cs="Segoe UI"/>
                <w:color w:val="000000"/>
                <w:sz w:val="14"/>
                <w:szCs w:val="14"/>
                <w:lang w:eastAsia="es-CR"/>
              </w:rPr>
              <w:t> </w:t>
            </w:r>
          </w:p>
        </w:tc>
        <w:tc>
          <w:tcPr>
            <w:tcW w:w="1335" w:type="dxa"/>
            <w:shd w:val="clear" w:color="auto" w:fill="FFFFFF"/>
            <w:vAlign w:val="center"/>
            <w:hideMark/>
          </w:tcPr>
          <w:p w14:paraId="02D9FCAA"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Cronograma </w:t>
            </w:r>
          </w:p>
        </w:tc>
        <w:tc>
          <w:tcPr>
            <w:tcW w:w="812" w:type="dxa"/>
            <w:shd w:val="clear" w:color="auto" w:fill="FFFFFF"/>
            <w:vAlign w:val="center"/>
            <w:hideMark/>
          </w:tcPr>
          <w:p w14:paraId="7FBEC538"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No </w:t>
            </w:r>
          </w:p>
        </w:tc>
        <w:tc>
          <w:tcPr>
            <w:tcW w:w="2322" w:type="dxa"/>
            <w:vMerge/>
            <w:shd w:val="clear" w:color="auto" w:fill="auto"/>
            <w:vAlign w:val="center"/>
            <w:hideMark/>
          </w:tcPr>
          <w:p w14:paraId="54A0EFC7" w14:textId="77777777" w:rsidR="009557E0" w:rsidRPr="00EF4E17" w:rsidRDefault="009557E0" w:rsidP="009557E0">
            <w:pPr>
              <w:spacing w:after="0" w:line="240" w:lineRule="auto"/>
              <w:jc w:val="both"/>
              <w:rPr>
                <w:rFonts w:ascii="Book Antiqua" w:eastAsia="Times New Roman" w:hAnsi="Book Antiqua" w:cs="Segoe UI"/>
                <w:sz w:val="14"/>
                <w:szCs w:val="14"/>
                <w:lang w:eastAsia="es-CR"/>
              </w:rPr>
            </w:pPr>
          </w:p>
        </w:tc>
        <w:tc>
          <w:tcPr>
            <w:tcW w:w="982" w:type="dxa"/>
            <w:shd w:val="clear" w:color="auto" w:fill="FFFFFF"/>
            <w:vAlign w:val="center"/>
            <w:hideMark/>
          </w:tcPr>
          <w:p w14:paraId="3D1B8E91"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Pendiente aprobación de solicitud de cambio </w:t>
            </w:r>
          </w:p>
        </w:tc>
      </w:tr>
      <w:tr w:rsidR="009557E0" w:rsidRPr="00C650EF" w14:paraId="3B09BF7F" w14:textId="77777777" w:rsidTr="009557E0">
        <w:trPr>
          <w:trHeight w:val="705"/>
          <w:jc w:val="center"/>
        </w:trPr>
        <w:tc>
          <w:tcPr>
            <w:tcW w:w="804" w:type="dxa"/>
            <w:shd w:val="clear" w:color="auto" w:fill="FFFFFF"/>
            <w:vAlign w:val="center"/>
            <w:hideMark/>
          </w:tcPr>
          <w:p w14:paraId="5E4EAE0B"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6/2/2023 </w:t>
            </w:r>
          </w:p>
        </w:tc>
        <w:tc>
          <w:tcPr>
            <w:tcW w:w="603" w:type="dxa"/>
            <w:vMerge w:val="restart"/>
            <w:shd w:val="clear" w:color="auto" w:fill="FFFFFF"/>
            <w:vAlign w:val="center"/>
            <w:hideMark/>
          </w:tcPr>
          <w:p w14:paraId="0B77D10A"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0117-DE-P31 </w:t>
            </w:r>
          </w:p>
        </w:tc>
        <w:tc>
          <w:tcPr>
            <w:tcW w:w="1377" w:type="dxa"/>
            <w:vMerge w:val="restart"/>
            <w:shd w:val="clear" w:color="auto" w:fill="FFFFFF"/>
            <w:vAlign w:val="center"/>
            <w:hideMark/>
          </w:tcPr>
          <w:p w14:paraId="0E9B1579"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Implementación de acciones de mejora, modificación y adaptación institucional a la nueva Ley N°9986,“Ley General de Contratación Pública” </w:t>
            </w:r>
          </w:p>
        </w:tc>
        <w:tc>
          <w:tcPr>
            <w:tcW w:w="1396" w:type="dxa"/>
            <w:shd w:val="clear" w:color="auto" w:fill="FFFFFF"/>
            <w:vAlign w:val="center"/>
            <w:hideMark/>
          </w:tcPr>
          <w:p w14:paraId="6E937635"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Modificación del cronograma</w:t>
            </w:r>
            <w:r w:rsidRPr="00C650EF">
              <w:rPr>
                <w:rFonts w:ascii="Book Antiqua" w:eastAsia="Times New Roman" w:hAnsi="Book Antiqua" w:cs="Segoe UI"/>
                <w:color w:val="000000"/>
                <w:sz w:val="14"/>
                <w:szCs w:val="14"/>
                <w:lang w:eastAsia="es-CR"/>
              </w:rPr>
              <w:t> </w:t>
            </w:r>
          </w:p>
        </w:tc>
        <w:tc>
          <w:tcPr>
            <w:tcW w:w="1335" w:type="dxa"/>
            <w:shd w:val="clear" w:color="auto" w:fill="FFFFFF"/>
            <w:vAlign w:val="center"/>
            <w:hideMark/>
          </w:tcPr>
          <w:p w14:paraId="2A2AB263"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Cronograma. </w:t>
            </w:r>
          </w:p>
        </w:tc>
        <w:tc>
          <w:tcPr>
            <w:tcW w:w="812" w:type="dxa"/>
            <w:shd w:val="clear" w:color="auto" w:fill="FFFFFF"/>
            <w:vAlign w:val="center"/>
            <w:hideMark/>
          </w:tcPr>
          <w:p w14:paraId="430A3F6E"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vMerge w:val="restart"/>
            <w:shd w:val="clear" w:color="auto" w:fill="FFFFFF"/>
            <w:vAlign w:val="center"/>
            <w:hideMark/>
          </w:tcPr>
          <w:p w14:paraId="7B303307"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Producto de la solicitud de cambio del 27-2-23;10-3-23;6-2-23 pendiente:  </w:t>
            </w:r>
          </w:p>
          <w:p w14:paraId="03228C1B"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Estudio de factibilidad:</w:t>
            </w:r>
            <w:r w:rsidRPr="00C650EF">
              <w:rPr>
                <w:rFonts w:ascii="Book Antiqua" w:eastAsia="Times New Roman" w:hAnsi="Book Antiqua" w:cs="Segoe UI"/>
                <w:color w:val="000000"/>
                <w:sz w:val="14"/>
                <w:szCs w:val="14"/>
                <w:lang w:eastAsia="es-CR"/>
              </w:rPr>
              <w:t xml:space="preserve"> costo de inversión no coincide con el plan de gestión y el acta de constitución; revisar SROI y costo de inversión.  </w:t>
            </w:r>
          </w:p>
          <w:p w14:paraId="5F65A553"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Acta de constitución: </w:t>
            </w:r>
            <w:r w:rsidRPr="00C650EF">
              <w:rPr>
                <w:rFonts w:ascii="Book Antiqua" w:eastAsia="Times New Roman" w:hAnsi="Book Antiqua" w:cs="Segoe UI"/>
                <w:color w:val="000000"/>
                <w:sz w:val="14"/>
                <w:szCs w:val="14"/>
                <w:lang w:eastAsia="es-CR"/>
              </w:rPr>
              <w:t xml:space="preserve"> recursos del proyecto debe coincidir con estudio de factibilidad y plan de gestión.  </w:t>
            </w:r>
          </w:p>
          <w:p w14:paraId="59843FDD"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 xml:space="preserve">Plan de gestión: </w:t>
            </w:r>
            <w:r w:rsidRPr="00C650EF">
              <w:rPr>
                <w:rFonts w:ascii="Book Antiqua" w:eastAsia="Times New Roman" w:hAnsi="Book Antiqua" w:cs="Segoe UI"/>
                <w:color w:val="000000"/>
                <w:sz w:val="14"/>
                <w:szCs w:val="14"/>
                <w:lang w:eastAsia="es-CR"/>
              </w:rPr>
              <w:t>el diagrama de la EDT falta; el apartado de presupuesto debe coincidir con acta de constitución y estudio de factibilidad; el cronograma se debe incluir en PDF descargado desde el Project. </w:t>
            </w:r>
          </w:p>
        </w:tc>
        <w:tc>
          <w:tcPr>
            <w:tcW w:w="982" w:type="dxa"/>
            <w:shd w:val="clear" w:color="auto" w:fill="FFFFFF"/>
            <w:vAlign w:val="center"/>
            <w:hideMark/>
          </w:tcPr>
          <w:p w14:paraId="4192E28B"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Adriana Esquivel Sanabria </w:t>
            </w:r>
          </w:p>
        </w:tc>
      </w:tr>
      <w:tr w:rsidR="009557E0" w:rsidRPr="00C650EF" w14:paraId="20ECA08A" w14:textId="77777777" w:rsidTr="009557E0">
        <w:trPr>
          <w:trHeight w:val="915"/>
          <w:jc w:val="center"/>
        </w:trPr>
        <w:tc>
          <w:tcPr>
            <w:tcW w:w="804" w:type="dxa"/>
            <w:shd w:val="clear" w:color="auto" w:fill="FFFFFF"/>
            <w:vAlign w:val="center"/>
            <w:hideMark/>
          </w:tcPr>
          <w:p w14:paraId="00042C2E"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27/2/2023 </w:t>
            </w:r>
          </w:p>
        </w:tc>
        <w:tc>
          <w:tcPr>
            <w:tcW w:w="0" w:type="auto"/>
            <w:vMerge/>
            <w:shd w:val="clear" w:color="auto" w:fill="auto"/>
            <w:vAlign w:val="center"/>
            <w:hideMark/>
          </w:tcPr>
          <w:p w14:paraId="3B1F874D" w14:textId="77777777" w:rsidR="009557E0" w:rsidRPr="00EF4E17" w:rsidRDefault="009557E0" w:rsidP="009557E0">
            <w:pPr>
              <w:spacing w:after="0" w:line="240" w:lineRule="auto"/>
              <w:rPr>
                <w:rFonts w:ascii="Book Antiqua" w:eastAsia="Times New Roman" w:hAnsi="Book Antiqua" w:cs="Segoe UI"/>
                <w:sz w:val="14"/>
                <w:szCs w:val="14"/>
                <w:lang w:eastAsia="es-CR"/>
              </w:rPr>
            </w:pPr>
          </w:p>
        </w:tc>
        <w:tc>
          <w:tcPr>
            <w:tcW w:w="0" w:type="auto"/>
            <w:vMerge/>
            <w:shd w:val="clear" w:color="auto" w:fill="auto"/>
            <w:vAlign w:val="center"/>
            <w:hideMark/>
          </w:tcPr>
          <w:p w14:paraId="43965D5B" w14:textId="77777777" w:rsidR="009557E0" w:rsidRPr="00EF4E17" w:rsidRDefault="009557E0" w:rsidP="009557E0">
            <w:pPr>
              <w:spacing w:after="0" w:line="240" w:lineRule="auto"/>
              <w:rPr>
                <w:rFonts w:ascii="Book Antiqua" w:eastAsia="Times New Roman" w:hAnsi="Book Antiqua" w:cs="Segoe UI"/>
                <w:sz w:val="14"/>
                <w:szCs w:val="14"/>
                <w:lang w:eastAsia="es-CR"/>
              </w:rPr>
            </w:pPr>
          </w:p>
        </w:tc>
        <w:tc>
          <w:tcPr>
            <w:tcW w:w="1396" w:type="dxa"/>
            <w:shd w:val="clear" w:color="auto" w:fill="FFFFFF"/>
            <w:vAlign w:val="center"/>
            <w:hideMark/>
          </w:tcPr>
          <w:p w14:paraId="7A883F3A"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Modificación del cronograma</w:t>
            </w:r>
            <w:r w:rsidRPr="00C650EF">
              <w:rPr>
                <w:rFonts w:ascii="Book Antiqua" w:eastAsia="Times New Roman" w:hAnsi="Book Antiqua" w:cs="Segoe UI"/>
                <w:color w:val="000000"/>
                <w:sz w:val="14"/>
                <w:szCs w:val="14"/>
                <w:lang w:eastAsia="es-CR"/>
              </w:rPr>
              <w:t> </w:t>
            </w:r>
          </w:p>
        </w:tc>
        <w:tc>
          <w:tcPr>
            <w:tcW w:w="1335" w:type="dxa"/>
            <w:shd w:val="clear" w:color="auto" w:fill="FFFFFF"/>
            <w:vAlign w:val="center"/>
            <w:hideMark/>
          </w:tcPr>
          <w:p w14:paraId="57EE85BC"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Cronograma. </w:t>
            </w:r>
          </w:p>
        </w:tc>
        <w:tc>
          <w:tcPr>
            <w:tcW w:w="812" w:type="dxa"/>
            <w:shd w:val="clear" w:color="auto" w:fill="FFFFFF"/>
            <w:vAlign w:val="center"/>
            <w:hideMark/>
          </w:tcPr>
          <w:p w14:paraId="748D6C43"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vMerge/>
            <w:shd w:val="clear" w:color="auto" w:fill="auto"/>
            <w:vAlign w:val="center"/>
            <w:hideMark/>
          </w:tcPr>
          <w:p w14:paraId="707F46EA" w14:textId="77777777" w:rsidR="009557E0" w:rsidRPr="00EF4E17" w:rsidRDefault="009557E0" w:rsidP="009557E0">
            <w:pPr>
              <w:spacing w:after="0" w:line="240" w:lineRule="auto"/>
              <w:jc w:val="both"/>
              <w:rPr>
                <w:rFonts w:ascii="Book Antiqua" w:eastAsia="Times New Roman" w:hAnsi="Book Antiqua" w:cs="Segoe UI"/>
                <w:sz w:val="14"/>
                <w:szCs w:val="14"/>
                <w:lang w:eastAsia="es-CR"/>
              </w:rPr>
            </w:pPr>
          </w:p>
        </w:tc>
        <w:tc>
          <w:tcPr>
            <w:tcW w:w="982" w:type="dxa"/>
            <w:shd w:val="clear" w:color="auto" w:fill="FFFFFF"/>
            <w:vAlign w:val="center"/>
            <w:hideMark/>
          </w:tcPr>
          <w:p w14:paraId="5DD07385"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Adriana Esquivel Sanabria </w:t>
            </w:r>
          </w:p>
        </w:tc>
      </w:tr>
      <w:tr w:rsidR="009557E0" w:rsidRPr="00C650EF" w14:paraId="22894981" w14:textId="77777777" w:rsidTr="009557E0">
        <w:trPr>
          <w:trHeight w:val="285"/>
          <w:jc w:val="center"/>
        </w:trPr>
        <w:tc>
          <w:tcPr>
            <w:tcW w:w="804" w:type="dxa"/>
            <w:shd w:val="clear" w:color="auto" w:fill="FFFFFF"/>
            <w:vAlign w:val="center"/>
            <w:hideMark/>
          </w:tcPr>
          <w:p w14:paraId="30D7A533"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10/3/2023 </w:t>
            </w:r>
          </w:p>
        </w:tc>
        <w:tc>
          <w:tcPr>
            <w:tcW w:w="0" w:type="auto"/>
            <w:vMerge/>
            <w:shd w:val="clear" w:color="auto" w:fill="auto"/>
            <w:vAlign w:val="center"/>
            <w:hideMark/>
          </w:tcPr>
          <w:p w14:paraId="5BE971EA" w14:textId="77777777" w:rsidR="009557E0" w:rsidRPr="00EF4E17" w:rsidRDefault="009557E0" w:rsidP="009557E0">
            <w:pPr>
              <w:spacing w:after="0" w:line="240" w:lineRule="auto"/>
              <w:rPr>
                <w:rFonts w:ascii="Book Antiqua" w:eastAsia="Times New Roman" w:hAnsi="Book Antiqua" w:cs="Segoe UI"/>
                <w:sz w:val="14"/>
                <w:szCs w:val="14"/>
                <w:lang w:eastAsia="es-CR"/>
              </w:rPr>
            </w:pPr>
          </w:p>
        </w:tc>
        <w:tc>
          <w:tcPr>
            <w:tcW w:w="0" w:type="auto"/>
            <w:vMerge/>
            <w:shd w:val="clear" w:color="auto" w:fill="auto"/>
            <w:vAlign w:val="center"/>
            <w:hideMark/>
          </w:tcPr>
          <w:p w14:paraId="25C3F66D" w14:textId="77777777" w:rsidR="009557E0" w:rsidRPr="00EF4E17" w:rsidRDefault="009557E0" w:rsidP="009557E0">
            <w:pPr>
              <w:spacing w:after="0" w:line="240" w:lineRule="auto"/>
              <w:rPr>
                <w:rFonts w:ascii="Book Antiqua" w:eastAsia="Times New Roman" w:hAnsi="Book Antiqua" w:cs="Segoe UI"/>
                <w:sz w:val="14"/>
                <w:szCs w:val="14"/>
                <w:lang w:eastAsia="es-CR"/>
              </w:rPr>
            </w:pPr>
          </w:p>
        </w:tc>
        <w:tc>
          <w:tcPr>
            <w:tcW w:w="1396" w:type="dxa"/>
            <w:shd w:val="clear" w:color="auto" w:fill="FFFFFF"/>
            <w:vAlign w:val="center"/>
            <w:hideMark/>
          </w:tcPr>
          <w:p w14:paraId="69D173F5"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Modificación del cronograma</w:t>
            </w:r>
            <w:r w:rsidRPr="00C650EF">
              <w:rPr>
                <w:rFonts w:ascii="Book Antiqua" w:eastAsia="Times New Roman" w:hAnsi="Book Antiqua" w:cs="Segoe UI"/>
                <w:color w:val="000000"/>
                <w:sz w:val="14"/>
                <w:szCs w:val="14"/>
                <w:lang w:eastAsia="es-CR"/>
              </w:rPr>
              <w:t> </w:t>
            </w:r>
          </w:p>
        </w:tc>
        <w:tc>
          <w:tcPr>
            <w:tcW w:w="1335" w:type="dxa"/>
            <w:shd w:val="clear" w:color="auto" w:fill="FFFFFF"/>
            <w:vAlign w:val="center"/>
            <w:hideMark/>
          </w:tcPr>
          <w:p w14:paraId="235A7F55"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Cronograma. </w:t>
            </w:r>
          </w:p>
        </w:tc>
        <w:tc>
          <w:tcPr>
            <w:tcW w:w="812" w:type="dxa"/>
            <w:shd w:val="clear" w:color="auto" w:fill="FFFFFF"/>
            <w:vAlign w:val="center"/>
            <w:hideMark/>
          </w:tcPr>
          <w:p w14:paraId="61D3A6FC"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vMerge/>
            <w:shd w:val="clear" w:color="auto" w:fill="auto"/>
            <w:vAlign w:val="center"/>
            <w:hideMark/>
          </w:tcPr>
          <w:p w14:paraId="0FB9F9DA" w14:textId="77777777" w:rsidR="009557E0" w:rsidRPr="00EF4E17" w:rsidRDefault="009557E0" w:rsidP="009557E0">
            <w:pPr>
              <w:spacing w:after="0" w:line="240" w:lineRule="auto"/>
              <w:jc w:val="both"/>
              <w:rPr>
                <w:rFonts w:ascii="Book Antiqua" w:eastAsia="Times New Roman" w:hAnsi="Book Antiqua" w:cs="Segoe UI"/>
                <w:sz w:val="14"/>
                <w:szCs w:val="14"/>
                <w:lang w:eastAsia="es-CR"/>
              </w:rPr>
            </w:pPr>
          </w:p>
        </w:tc>
        <w:tc>
          <w:tcPr>
            <w:tcW w:w="982" w:type="dxa"/>
            <w:shd w:val="clear" w:color="auto" w:fill="FFFFFF"/>
            <w:vAlign w:val="center"/>
            <w:hideMark/>
          </w:tcPr>
          <w:p w14:paraId="6CB2CDAD"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Adriana Esquivel Sanabria </w:t>
            </w:r>
          </w:p>
        </w:tc>
      </w:tr>
      <w:tr w:rsidR="009557E0" w:rsidRPr="00C650EF" w14:paraId="46CDC054" w14:textId="77777777" w:rsidTr="009557E0">
        <w:trPr>
          <w:trHeight w:val="1305"/>
          <w:jc w:val="center"/>
        </w:trPr>
        <w:tc>
          <w:tcPr>
            <w:tcW w:w="804" w:type="dxa"/>
            <w:shd w:val="clear" w:color="auto" w:fill="FFFFFF"/>
            <w:vAlign w:val="center"/>
            <w:hideMark/>
          </w:tcPr>
          <w:p w14:paraId="07D5A3D2"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21/4/2023 </w:t>
            </w:r>
          </w:p>
        </w:tc>
        <w:tc>
          <w:tcPr>
            <w:tcW w:w="603" w:type="dxa"/>
            <w:vMerge w:val="restart"/>
            <w:shd w:val="clear" w:color="auto" w:fill="FFFFFF"/>
            <w:vAlign w:val="center"/>
            <w:hideMark/>
          </w:tcPr>
          <w:p w14:paraId="29FA6D7B"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0122-DTI-P11 </w:t>
            </w:r>
          </w:p>
        </w:tc>
        <w:tc>
          <w:tcPr>
            <w:tcW w:w="1377" w:type="dxa"/>
            <w:vMerge w:val="restart"/>
            <w:shd w:val="clear" w:color="auto" w:fill="FFFFFF"/>
            <w:vAlign w:val="center"/>
            <w:hideMark/>
          </w:tcPr>
          <w:p w14:paraId="0746D863"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Rediseño y Migración de Telefonía IP </w:t>
            </w:r>
          </w:p>
          <w:p w14:paraId="43E7F321"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 </w:t>
            </w:r>
          </w:p>
        </w:tc>
        <w:tc>
          <w:tcPr>
            <w:tcW w:w="1396" w:type="dxa"/>
            <w:shd w:val="clear" w:color="auto" w:fill="FFFFFF"/>
            <w:vAlign w:val="center"/>
            <w:hideMark/>
          </w:tcPr>
          <w:p w14:paraId="3467166D"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Modificación del cronograma</w:t>
            </w:r>
            <w:r w:rsidRPr="00C650EF">
              <w:rPr>
                <w:rFonts w:ascii="Times New Roman" w:eastAsia="Times New Roman" w:hAnsi="Times New Roman" w:cs="Times New Roman"/>
                <w:color w:val="000000"/>
                <w:sz w:val="14"/>
                <w:szCs w:val="14"/>
                <w:lang w:eastAsia="es-CR"/>
              </w:rPr>
              <w:t> </w:t>
            </w:r>
            <w:r w:rsidRPr="00C650EF">
              <w:rPr>
                <w:rFonts w:ascii="Book Antiqua" w:eastAsia="Times New Roman" w:hAnsi="Book Antiqua" w:cs="Segoe UI"/>
                <w:color w:val="000000"/>
                <w:sz w:val="14"/>
                <w:szCs w:val="14"/>
                <w:lang w:eastAsia="es-CR"/>
              </w:rPr>
              <w:t>y de rol de persona. </w:t>
            </w:r>
          </w:p>
        </w:tc>
        <w:tc>
          <w:tcPr>
            <w:tcW w:w="1335" w:type="dxa"/>
            <w:shd w:val="clear" w:color="auto" w:fill="FFFFFF"/>
            <w:vAlign w:val="center"/>
            <w:hideMark/>
          </w:tcPr>
          <w:p w14:paraId="71D41A7A"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Cronograma y recursos </w:t>
            </w:r>
          </w:p>
        </w:tc>
        <w:tc>
          <w:tcPr>
            <w:tcW w:w="812" w:type="dxa"/>
            <w:shd w:val="clear" w:color="auto" w:fill="FFFFFF"/>
            <w:vAlign w:val="center"/>
            <w:hideMark/>
          </w:tcPr>
          <w:p w14:paraId="7108B413"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vMerge w:val="restart"/>
            <w:shd w:val="clear" w:color="auto" w:fill="FFFFFF"/>
            <w:vAlign w:val="center"/>
            <w:hideMark/>
          </w:tcPr>
          <w:p w14:paraId="75F1438C"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 xml:space="preserve">Producto de la solicitud de cambio del 21-4-23, 25-4-23 pendiente: </w:t>
            </w:r>
            <w:r w:rsidRPr="00C650EF">
              <w:rPr>
                <w:rFonts w:ascii="Book Antiqua" w:eastAsia="Times New Roman" w:hAnsi="Book Antiqua" w:cs="Segoe UI"/>
                <w:b/>
                <w:bCs/>
                <w:color w:val="000000"/>
                <w:sz w:val="14"/>
                <w:szCs w:val="14"/>
                <w:lang w:eastAsia="es-CR"/>
              </w:rPr>
              <w:t>Acta de constitución:</w:t>
            </w:r>
            <w:r w:rsidRPr="00C650EF">
              <w:rPr>
                <w:rFonts w:ascii="Book Antiqua" w:eastAsia="Times New Roman" w:hAnsi="Book Antiqua" w:cs="Segoe UI"/>
                <w:color w:val="000000"/>
                <w:sz w:val="14"/>
                <w:szCs w:val="14"/>
                <w:lang w:eastAsia="es-CR"/>
              </w:rPr>
              <w:t xml:space="preserve"> (se debe trasladar la información al formulario de la metodología 2; porque se encuentra en metodología 1) recursos del proyecto debe coincidir los costos con el plan de gestión y estudio de factibilidad el formulario adjunto no permitía ver dicha información por favor verificar.  </w:t>
            </w:r>
          </w:p>
          <w:p w14:paraId="43B93B6F"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Plan de gestión:</w:t>
            </w:r>
            <w:r w:rsidRPr="00C650EF">
              <w:rPr>
                <w:rFonts w:ascii="Book Antiqua" w:eastAsia="Times New Roman" w:hAnsi="Book Antiqua" w:cs="Segoe UI"/>
                <w:color w:val="000000"/>
                <w:sz w:val="14"/>
                <w:szCs w:val="14"/>
                <w:lang w:eastAsia="es-CR"/>
              </w:rPr>
              <w:t xml:space="preserve"> detalle del presupuesto revisar que coincida con acta de constitución y estudio de factibilidad, ver apartado de recurso humano ordinario y adicional porque creo que esta repetido en costo del proyecto y en este apartado. </w:t>
            </w:r>
          </w:p>
        </w:tc>
        <w:tc>
          <w:tcPr>
            <w:tcW w:w="982" w:type="dxa"/>
            <w:shd w:val="clear" w:color="auto" w:fill="FFFFFF"/>
            <w:vAlign w:val="center"/>
            <w:hideMark/>
          </w:tcPr>
          <w:p w14:paraId="3429E89E"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Martin Hernández Serrano </w:t>
            </w:r>
          </w:p>
        </w:tc>
      </w:tr>
      <w:tr w:rsidR="009557E0" w:rsidRPr="00C650EF" w14:paraId="46920DC3" w14:textId="77777777" w:rsidTr="009557E0">
        <w:trPr>
          <w:trHeight w:val="285"/>
          <w:jc w:val="center"/>
        </w:trPr>
        <w:tc>
          <w:tcPr>
            <w:tcW w:w="804" w:type="dxa"/>
            <w:shd w:val="clear" w:color="auto" w:fill="FFFFFF"/>
            <w:vAlign w:val="center"/>
            <w:hideMark/>
          </w:tcPr>
          <w:p w14:paraId="5E582291"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25/4/2023 </w:t>
            </w:r>
          </w:p>
        </w:tc>
        <w:tc>
          <w:tcPr>
            <w:tcW w:w="0" w:type="auto"/>
            <w:vMerge/>
            <w:shd w:val="clear" w:color="auto" w:fill="auto"/>
            <w:vAlign w:val="center"/>
            <w:hideMark/>
          </w:tcPr>
          <w:p w14:paraId="7632FC86" w14:textId="77777777" w:rsidR="009557E0" w:rsidRPr="00EF4E17" w:rsidRDefault="009557E0" w:rsidP="009557E0">
            <w:pPr>
              <w:spacing w:after="0" w:line="240" w:lineRule="auto"/>
              <w:rPr>
                <w:rFonts w:ascii="Book Antiqua" w:eastAsia="Times New Roman" w:hAnsi="Book Antiqua" w:cs="Segoe UI"/>
                <w:sz w:val="14"/>
                <w:szCs w:val="14"/>
                <w:lang w:eastAsia="es-CR"/>
              </w:rPr>
            </w:pPr>
          </w:p>
        </w:tc>
        <w:tc>
          <w:tcPr>
            <w:tcW w:w="0" w:type="auto"/>
            <w:vMerge/>
            <w:shd w:val="clear" w:color="auto" w:fill="auto"/>
            <w:vAlign w:val="center"/>
            <w:hideMark/>
          </w:tcPr>
          <w:p w14:paraId="1D0E9772" w14:textId="77777777" w:rsidR="009557E0" w:rsidRPr="00EF4E17" w:rsidRDefault="009557E0" w:rsidP="009557E0">
            <w:pPr>
              <w:spacing w:after="0" w:line="240" w:lineRule="auto"/>
              <w:rPr>
                <w:rFonts w:ascii="Book Antiqua" w:eastAsia="Times New Roman" w:hAnsi="Book Antiqua" w:cs="Segoe UI"/>
                <w:sz w:val="14"/>
                <w:szCs w:val="14"/>
                <w:lang w:eastAsia="es-CR"/>
              </w:rPr>
            </w:pPr>
          </w:p>
        </w:tc>
        <w:tc>
          <w:tcPr>
            <w:tcW w:w="1396" w:type="dxa"/>
            <w:shd w:val="clear" w:color="auto" w:fill="FFFFFF"/>
            <w:vAlign w:val="center"/>
            <w:hideMark/>
          </w:tcPr>
          <w:p w14:paraId="53D4A024"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Modificación del cronograma</w:t>
            </w:r>
            <w:r w:rsidRPr="00C650EF">
              <w:rPr>
                <w:rFonts w:ascii="Book Antiqua" w:eastAsia="Times New Roman" w:hAnsi="Book Antiqua" w:cs="Segoe UI"/>
                <w:color w:val="000000"/>
                <w:sz w:val="14"/>
                <w:szCs w:val="14"/>
                <w:lang w:eastAsia="es-CR"/>
              </w:rPr>
              <w:t> </w:t>
            </w:r>
          </w:p>
        </w:tc>
        <w:tc>
          <w:tcPr>
            <w:tcW w:w="1335" w:type="dxa"/>
            <w:shd w:val="clear" w:color="auto" w:fill="FFFFFF"/>
            <w:vAlign w:val="center"/>
            <w:hideMark/>
          </w:tcPr>
          <w:p w14:paraId="1F1079F8"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Cronograma. </w:t>
            </w:r>
          </w:p>
        </w:tc>
        <w:tc>
          <w:tcPr>
            <w:tcW w:w="812" w:type="dxa"/>
            <w:shd w:val="clear" w:color="auto" w:fill="FFFFFF"/>
            <w:vAlign w:val="center"/>
            <w:hideMark/>
          </w:tcPr>
          <w:p w14:paraId="5623E05B"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vMerge/>
            <w:shd w:val="clear" w:color="auto" w:fill="auto"/>
            <w:vAlign w:val="center"/>
            <w:hideMark/>
          </w:tcPr>
          <w:p w14:paraId="3962E4EA" w14:textId="77777777" w:rsidR="009557E0" w:rsidRPr="00EF4E17" w:rsidRDefault="009557E0" w:rsidP="009557E0">
            <w:pPr>
              <w:spacing w:after="0" w:line="240" w:lineRule="auto"/>
              <w:jc w:val="both"/>
              <w:rPr>
                <w:rFonts w:ascii="Book Antiqua" w:eastAsia="Times New Roman" w:hAnsi="Book Antiqua" w:cs="Segoe UI"/>
                <w:sz w:val="14"/>
                <w:szCs w:val="14"/>
                <w:lang w:eastAsia="es-CR"/>
              </w:rPr>
            </w:pPr>
          </w:p>
        </w:tc>
        <w:tc>
          <w:tcPr>
            <w:tcW w:w="982" w:type="dxa"/>
            <w:shd w:val="clear" w:color="auto" w:fill="FFFFFF"/>
            <w:vAlign w:val="center"/>
            <w:hideMark/>
          </w:tcPr>
          <w:p w14:paraId="21F4C764"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Martin Hernández Serrano </w:t>
            </w:r>
          </w:p>
        </w:tc>
      </w:tr>
      <w:tr w:rsidR="009557E0" w:rsidRPr="00C650EF" w14:paraId="5772E5FD" w14:textId="77777777" w:rsidTr="009557E0">
        <w:trPr>
          <w:trHeight w:val="1185"/>
          <w:jc w:val="center"/>
        </w:trPr>
        <w:tc>
          <w:tcPr>
            <w:tcW w:w="804" w:type="dxa"/>
            <w:shd w:val="clear" w:color="auto" w:fill="FFFFFF"/>
            <w:vAlign w:val="center"/>
            <w:hideMark/>
          </w:tcPr>
          <w:p w14:paraId="6C26C1C9"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10/3/2023 </w:t>
            </w:r>
          </w:p>
        </w:tc>
        <w:tc>
          <w:tcPr>
            <w:tcW w:w="603" w:type="dxa"/>
            <w:vMerge w:val="restart"/>
            <w:shd w:val="clear" w:color="auto" w:fill="FFFFFF"/>
            <w:vAlign w:val="center"/>
            <w:hideMark/>
          </w:tcPr>
          <w:p w14:paraId="25E534F5" w14:textId="7946D731"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0134-DGH-P02</w:t>
            </w:r>
            <w:r w:rsidRPr="00C650EF">
              <w:rPr>
                <w:rStyle w:val="Refdenotaalpie"/>
                <w:rFonts w:ascii="Book Antiqua" w:eastAsia="Times New Roman" w:hAnsi="Book Antiqua" w:cs="Segoe UI"/>
                <w:color w:val="000000"/>
                <w:sz w:val="14"/>
                <w:szCs w:val="14"/>
                <w:lang w:eastAsia="es-CR"/>
              </w:rPr>
              <w:footnoteReference w:id="3"/>
            </w:r>
          </w:p>
        </w:tc>
        <w:tc>
          <w:tcPr>
            <w:tcW w:w="1377" w:type="dxa"/>
            <w:vMerge w:val="restart"/>
            <w:shd w:val="clear" w:color="auto" w:fill="FFFFFF"/>
            <w:vAlign w:val="center"/>
            <w:hideMark/>
          </w:tcPr>
          <w:p w14:paraId="652D5512"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Sistema de Evaluación del Desempeño por Competencias </w:t>
            </w:r>
          </w:p>
        </w:tc>
        <w:tc>
          <w:tcPr>
            <w:tcW w:w="1396" w:type="dxa"/>
            <w:shd w:val="clear" w:color="auto" w:fill="FFFFFF"/>
            <w:vAlign w:val="center"/>
            <w:hideMark/>
          </w:tcPr>
          <w:p w14:paraId="17258AFA"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Cambio en la fecha fin del proyecto hasta el 22 de diciembre 2023. Cambios en el cronograma. Inclusión de nuevas fases </w:t>
            </w:r>
          </w:p>
        </w:tc>
        <w:tc>
          <w:tcPr>
            <w:tcW w:w="1335" w:type="dxa"/>
            <w:shd w:val="clear" w:color="auto" w:fill="FFFFFF"/>
            <w:vAlign w:val="center"/>
            <w:hideMark/>
          </w:tcPr>
          <w:p w14:paraId="165160D4"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Cronograma, costo y recursos </w:t>
            </w:r>
          </w:p>
        </w:tc>
        <w:tc>
          <w:tcPr>
            <w:tcW w:w="812" w:type="dxa"/>
            <w:shd w:val="clear" w:color="auto" w:fill="FFFFFF"/>
            <w:vAlign w:val="center"/>
            <w:hideMark/>
          </w:tcPr>
          <w:p w14:paraId="4AFC6DD8"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vMerge w:val="restart"/>
            <w:shd w:val="clear" w:color="auto" w:fill="FFFFFF"/>
            <w:vAlign w:val="center"/>
            <w:hideMark/>
          </w:tcPr>
          <w:p w14:paraId="510EE696"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Producto de la solicitud de cambio del 10-3-23, 25-5-23  pendiente:  </w:t>
            </w:r>
          </w:p>
          <w:p w14:paraId="43B0F0A5"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Acta de constitución:</w:t>
            </w:r>
            <w:r w:rsidRPr="00C650EF">
              <w:rPr>
                <w:rFonts w:ascii="Book Antiqua" w:eastAsia="Times New Roman" w:hAnsi="Book Antiqua" w:cs="Segoe UI"/>
                <w:color w:val="000000"/>
                <w:sz w:val="14"/>
                <w:szCs w:val="14"/>
                <w:lang w:eastAsia="es-CR"/>
              </w:rPr>
              <w:t xml:space="preserve"> Se debe trasladar los datos de este formulario al formulario de la metodología 2 la cual es la vigente.  </w:t>
            </w:r>
          </w:p>
          <w:p w14:paraId="760CAFD9"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Plan de gestión:</w:t>
            </w:r>
            <w:r w:rsidRPr="00C650EF">
              <w:rPr>
                <w:rFonts w:ascii="Book Antiqua" w:eastAsia="Times New Roman" w:hAnsi="Book Antiqua" w:cs="Segoe UI"/>
                <w:color w:val="000000"/>
                <w:sz w:val="14"/>
                <w:szCs w:val="14"/>
                <w:lang w:eastAsia="es-CR"/>
              </w:rPr>
              <w:t xml:space="preserve"> en el apartado de roles y responsabilidades, la columna de Responsabilidades generales en el proyecto debe mencionarse de manera general las responsabilidades, no tan detallado; en el Detalle de los entregables del proyecto revisar la codificación recordar que el nivel 1 es el nombre del proyecto, nivel 2 fases, y nivel 3 entregables, por lo anterior las fases que se mencionan 1,2,3,4 el código </w:t>
            </w:r>
            <w:r w:rsidRPr="00C650EF">
              <w:rPr>
                <w:rFonts w:ascii="Book Antiqua" w:eastAsia="Times New Roman" w:hAnsi="Book Antiqua" w:cs="Segoe UI"/>
                <w:color w:val="000000"/>
                <w:sz w:val="14"/>
                <w:szCs w:val="14"/>
                <w:lang w:eastAsia="es-CR"/>
              </w:rPr>
              <w:lastRenderedPageBreak/>
              <w:t>correcto sería 3.1, 3.2...; en el cuadro debe indicarse solo el nivel 3.. </w:t>
            </w:r>
          </w:p>
        </w:tc>
        <w:tc>
          <w:tcPr>
            <w:tcW w:w="982" w:type="dxa"/>
            <w:shd w:val="clear" w:color="auto" w:fill="FFFFFF"/>
            <w:vAlign w:val="center"/>
            <w:hideMark/>
          </w:tcPr>
          <w:p w14:paraId="5FC303BA"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lastRenderedPageBreak/>
              <w:t>Roxana Arrieta Meléndez </w:t>
            </w:r>
          </w:p>
        </w:tc>
      </w:tr>
      <w:tr w:rsidR="009557E0" w:rsidRPr="00C650EF" w14:paraId="038D18F8" w14:textId="77777777" w:rsidTr="009557E0">
        <w:trPr>
          <w:trHeight w:val="1755"/>
          <w:jc w:val="center"/>
        </w:trPr>
        <w:tc>
          <w:tcPr>
            <w:tcW w:w="804" w:type="dxa"/>
            <w:shd w:val="clear" w:color="auto" w:fill="FFFFFF"/>
            <w:vAlign w:val="center"/>
            <w:hideMark/>
          </w:tcPr>
          <w:p w14:paraId="6DEDF891"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25/5/2023 </w:t>
            </w:r>
          </w:p>
        </w:tc>
        <w:tc>
          <w:tcPr>
            <w:tcW w:w="0" w:type="auto"/>
            <w:vMerge/>
            <w:shd w:val="clear" w:color="auto" w:fill="auto"/>
            <w:vAlign w:val="center"/>
            <w:hideMark/>
          </w:tcPr>
          <w:p w14:paraId="5D65D4D3" w14:textId="77777777" w:rsidR="009557E0" w:rsidRPr="00EF4E17" w:rsidRDefault="009557E0" w:rsidP="009557E0">
            <w:pPr>
              <w:spacing w:after="0" w:line="240" w:lineRule="auto"/>
              <w:rPr>
                <w:rFonts w:ascii="Book Antiqua" w:eastAsia="Times New Roman" w:hAnsi="Book Antiqua" w:cs="Segoe UI"/>
                <w:sz w:val="14"/>
                <w:szCs w:val="14"/>
                <w:lang w:eastAsia="es-CR"/>
              </w:rPr>
            </w:pPr>
          </w:p>
        </w:tc>
        <w:tc>
          <w:tcPr>
            <w:tcW w:w="0" w:type="auto"/>
            <w:vMerge/>
            <w:shd w:val="clear" w:color="auto" w:fill="auto"/>
            <w:vAlign w:val="center"/>
            <w:hideMark/>
          </w:tcPr>
          <w:p w14:paraId="26A29020" w14:textId="77777777" w:rsidR="009557E0" w:rsidRPr="00EF4E17" w:rsidRDefault="009557E0" w:rsidP="009557E0">
            <w:pPr>
              <w:spacing w:after="0" w:line="240" w:lineRule="auto"/>
              <w:rPr>
                <w:rFonts w:ascii="Book Antiqua" w:eastAsia="Times New Roman" w:hAnsi="Book Antiqua" w:cs="Segoe UI"/>
                <w:sz w:val="14"/>
                <w:szCs w:val="14"/>
                <w:lang w:eastAsia="es-CR"/>
              </w:rPr>
            </w:pPr>
          </w:p>
        </w:tc>
        <w:tc>
          <w:tcPr>
            <w:tcW w:w="1396" w:type="dxa"/>
            <w:shd w:val="clear" w:color="auto" w:fill="FFFFFF"/>
            <w:vAlign w:val="center"/>
            <w:hideMark/>
          </w:tcPr>
          <w:p w14:paraId="457FDD90"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Cambio en cronograma</w:t>
            </w:r>
            <w:r w:rsidRPr="00C650EF">
              <w:rPr>
                <w:rFonts w:ascii="Book Antiqua" w:eastAsia="Times New Roman" w:hAnsi="Book Antiqua" w:cs="Segoe UI"/>
                <w:color w:val="000000"/>
                <w:sz w:val="14"/>
                <w:szCs w:val="14"/>
                <w:lang w:eastAsia="es-CR"/>
              </w:rPr>
              <w:t> </w:t>
            </w:r>
          </w:p>
        </w:tc>
        <w:tc>
          <w:tcPr>
            <w:tcW w:w="1335" w:type="dxa"/>
            <w:shd w:val="clear" w:color="auto" w:fill="FFFFFF"/>
            <w:vAlign w:val="center"/>
            <w:hideMark/>
          </w:tcPr>
          <w:p w14:paraId="5563B128"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Cronograma </w:t>
            </w:r>
          </w:p>
        </w:tc>
        <w:tc>
          <w:tcPr>
            <w:tcW w:w="812" w:type="dxa"/>
            <w:shd w:val="clear" w:color="auto" w:fill="FFFFFF"/>
            <w:vAlign w:val="center"/>
            <w:hideMark/>
          </w:tcPr>
          <w:p w14:paraId="6C902F2F"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vMerge/>
            <w:shd w:val="clear" w:color="auto" w:fill="auto"/>
            <w:vAlign w:val="center"/>
            <w:hideMark/>
          </w:tcPr>
          <w:p w14:paraId="726F0E3D" w14:textId="77777777" w:rsidR="009557E0" w:rsidRPr="00EF4E17" w:rsidRDefault="009557E0" w:rsidP="009557E0">
            <w:pPr>
              <w:spacing w:after="0" w:line="240" w:lineRule="auto"/>
              <w:jc w:val="both"/>
              <w:rPr>
                <w:rFonts w:ascii="Book Antiqua" w:eastAsia="Times New Roman" w:hAnsi="Book Antiqua" w:cs="Segoe UI"/>
                <w:sz w:val="14"/>
                <w:szCs w:val="14"/>
                <w:lang w:eastAsia="es-CR"/>
              </w:rPr>
            </w:pPr>
          </w:p>
        </w:tc>
        <w:tc>
          <w:tcPr>
            <w:tcW w:w="982" w:type="dxa"/>
            <w:shd w:val="clear" w:color="auto" w:fill="FFFFFF"/>
            <w:vAlign w:val="center"/>
            <w:hideMark/>
          </w:tcPr>
          <w:p w14:paraId="29823738"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Roxana Arrieta Meléndez </w:t>
            </w:r>
          </w:p>
        </w:tc>
      </w:tr>
      <w:tr w:rsidR="009557E0" w:rsidRPr="00C650EF" w14:paraId="2B138DB8" w14:textId="77777777" w:rsidTr="009557E0">
        <w:trPr>
          <w:trHeight w:val="285"/>
          <w:jc w:val="center"/>
        </w:trPr>
        <w:tc>
          <w:tcPr>
            <w:tcW w:w="804" w:type="dxa"/>
            <w:shd w:val="clear" w:color="auto" w:fill="FFFFFF"/>
            <w:vAlign w:val="center"/>
            <w:hideMark/>
          </w:tcPr>
          <w:p w14:paraId="5703895B"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28/4/2023 </w:t>
            </w:r>
          </w:p>
        </w:tc>
        <w:tc>
          <w:tcPr>
            <w:tcW w:w="603" w:type="dxa"/>
            <w:shd w:val="clear" w:color="auto" w:fill="FFFFFF"/>
            <w:vAlign w:val="center"/>
            <w:hideMark/>
          </w:tcPr>
          <w:p w14:paraId="3DB948CB"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0134-DGH-P03 </w:t>
            </w:r>
          </w:p>
        </w:tc>
        <w:tc>
          <w:tcPr>
            <w:tcW w:w="1377" w:type="dxa"/>
            <w:shd w:val="clear" w:color="auto" w:fill="FFFFFF"/>
            <w:vAlign w:val="center"/>
            <w:hideMark/>
          </w:tcPr>
          <w:p w14:paraId="082A5A55" w14:textId="6ACF3E5D"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Sistema de Formulación y Ejecución Presupuestaria para Remuneraciones</w:t>
            </w:r>
            <w:r w:rsidR="0030303A">
              <w:rPr>
                <w:rStyle w:val="Refdenotaalpie"/>
                <w:rFonts w:ascii="Book Antiqua" w:eastAsia="Times New Roman" w:hAnsi="Book Antiqua" w:cs="Segoe UI"/>
                <w:color w:val="000000"/>
                <w:sz w:val="14"/>
                <w:szCs w:val="14"/>
                <w:lang w:eastAsia="es-CR"/>
              </w:rPr>
              <w:footnoteReference w:id="4"/>
            </w:r>
            <w:r w:rsidRPr="00C650EF">
              <w:rPr>
                <w:rFonts w:ascii="Book Antiqua" w:eastAsia="Times New Roman" w:hAnsi="Book Antiqua" w:cs="Segoe UI"/>
                <w:color w:val="000000"/>
                <w:sz w:val="14"/>
                <w:szCs w:val="14"/>
                <w:lang w:eastAsia="es-CR"/>
              </w:rPr>
              <w:t> </w:t>
            </w:r>
          </w:p>
        </w:tc>
        <w:tc>
          <w:tcPr>
            <w:tcW w:w="1396" w:type="dxa"/>
            <w:shd w:val="clear" w:color="auto" w:fill="FFFFFF"/>
            <w:vAlign w:val="center"/>
            <w:hideMark/>
          </w:tcPr>
          <w:p w14:paraId="5BD82666"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Cronograma 1.1 Ampliación de tres meses en la fecha final ; Se ajustan los costos en el informe del Estudio de Factibilidad y Plan de Gestión </w:t>
            </w:r>
          </w:p>
        </w:tc>
        <w:tc>
          <w:tcPr>
            <w:tcW w:w="1335" w:type="dxa"/>
            <w:shd w:val="clear" w:color="auto" w:fill="FFFFFF"/>
            <w:vAlign w:val="center"/>
            <w:hideMark/>
          </w:tcPr>
          <w:p w14:paraId="0E4607C0"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Costo y cronograma </w:t>
            </w:r>
          </w:p>
        </w:tc>
        <w:tc>
          <w:tcPr>
            <w:tcW w:w="812" w:type="dxa"/>
            <w:shd w:val="clear" w:color="auto" w:fill="FFFFFF"/>
            <w:vAlign w:val="center"/>
            <w:hideMark/>
          </w:tcPr>
          <w:p w14:paraId="2FA40B6C"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shd w:val="clear" w:color="auto" w:fill="FFFFFF"/>
            <w:vAlign w:val="center"/>
            <w:hideMark/>
          </w:tcPr>
          <w:p w14:paraId="4356EA54"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Producto de la solicitud de cambio del 28-4-23 pendiente:  </w:t>
            </w:r>
          </w:p>
          <w:p w14:paraId="786865EA" w14:textId="3B46E926"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Acta de constitución:</w:t>
            </w:r>
            <w:r w:rsidRPr="00C650EF">
              <w:rPr>
                <w:rFonts w:ascii="Book Antiqua" w:eastAsia="Times New Roman" w:hAnsi="Book Antiqua" w:cs="Segoe UI"/>
                <w:color w:val="000000"/>
                <w:sz w:val="14"/>
                <w:szCs w:val="14"/>
                <w:lang w:eastAsia="es-CR"/>
              </w:rPr>
              <w:t xml:space="preserve"> en el apartado de Equipo de trabajo del proyecto se debe indicar rol y nombre de la persona. Estudio de factibilidad: en el apartado de Planteamiento inicial del proyecto se debe mencionar tres alternativas de solución del problema, entre la cual se debe indicar la alternativa seleccionada.  </w:t>
            </w:r>
          </w:p>
          <w:p w14:paraId="581AB433" w14:textId="3B04C5E0"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Plan de gestión:</w:t>
            </w:r>
            <w:r w:rsidRPr="00C650EF">
              <w:rPr>
                <w:rFonts w:ascii="Book Antiqua" w:eastAsia="Times New Roman" w:hAnsi="Book Antiqua" w:cs="Segoe UI"/>
                <w:color w:val="000000"/>
                <w:sz w:val="14"/>
                <w:szCs w:val="14"/>
                <w:lang w:eastAsia="es-CR"/>
              </w:rPr>
              <w:t xml:space="preserve"> el alcance está muy extenso, el mismo debe ser más concreto; el cronograma inserto no permite abrir por favor revisar el mismo. </w:t>
            </w:r>
          </w:p>
        </w:tc>
        <w:tc>
          <w:tcPr>
            <w:tcW w:w="982" w:type="dxa"/>
            <w:shd w:val="clear" w:color="auto" w:fill="FFFFFF"/>
            <w:vAlign w:val="center"/>
            <w:hideMark/>
          </w:tcPr>
          <w:p w14:paraId="137FDB7A"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Roxana Arrieta Meléndez </w:t>
            </w:r>
          </w:p>
        </w:tc>
      </w:tr>
      <w:tr w:rsidR="009557E0" w:rsidRPr="00C650EF" w14:paraId="45710BC6" w14:textId="77777777" w:rsidTr="009557E0">
        <w:trPr>
          <w:trHeight w:val="570"/>
          <w:jc w:val="center"/>
        </w:trPr>
        <w:tc>
          <w:tcPr>
            <w:tcW w:w="804" w:type="dxa"/>
            <w:shd w:val="clear" w:color="auto" w:fill="FFFFFF"/>
            <w:vAlign w:val="center"/>
            <w:hideMark/>
          </w:tcPr>
          <w:p w14:paraId="2830A0BD"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15/5/2023 </w:t>
            </w:r>
          </w:p>
        </w:tc>
        <w:tc>
          <w:tcPr>
            <w:tcW w:w="603" w:type="dxa"/>
            <w:vMerge w:val="restart"/>
            <w:shd w:val="clear" w:color="auto" w:fill="FFFFFF"/>
            <w:vAlign w:val="center"/>
            <w:hideMark/>
          </w:tcPr>
          <w:p w14:paraId="6C9344C7"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0134-DGH-P04 </w:t>
            </w:r>
          </w:p>
        </w:tc>
        <w:tc>
          <w:tcPr>
            <w:tcW w:w="1377" w:type="dxa"/>
            <w:vMerge w:val="restart"/>
            <w:shd w:val="clear" w:color="auto" w:fill="FFFFFF"/>
            <w:vAlign w:val="center"/>
            <w:hideMark/>
          </w:tcPr>
          <w:p w14:paraId="68C2897E"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Estandarización del proceso de reclutamiento y selección </w:t>
            </w:r>
          </w:p>
        </w:tc>
        <w:tc>
          <w:tcPr>
            <w:tcW w:w="1396" w:type="dxa"/>
            <w:shd w:val="clear" w:color="auto" w:fill="FFFFFF"/>
            <w:vAlign w:val="center"/>
            <w:hideMark/>
          </w:tcPr>
          <w:p w14:paraId="0A2182B7"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Cronograma </w:t>
            </w:r>
          </w:p>
        </w:tc>
        <w:tc>
          <w:tcPr>
            <w:tcW w:w="1335" w:type="dxa"/>
            <w:shd w:val="clear" w:color="auto" w:fill="FFFFFF"/>
            <w:vAlign w:val="center"/>
            <w:hideMark/>
          </w:tcPr>
          <w:p w14:paraId="42A05516"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Cronograma </w:t>
            </w:r>
          </w:p>
        </w:tc>
        <w:tc>
          <w:tcPr>
            <w:tcW w:w="812" w:type="dxa"/>
            <w:shd w:val="clear" w:color="auto" w:fill="FFFFFF"/>
            <w:vAlign w:val="center"/>
            <w:hideMark/>
          </w:tcPr>
          <w:p w14:paraId="1BED0616"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vMerge w:val="restart"/>
            <w:shd w:val="clear" w:color="auto" w:fill="FFFFFF"/>
            <w:vAlign w:val="center"/>
            <w:hideMark/>
          </w:tcPr>
          <w:p w14:paraId="6F0F2C57"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Producto de la solicitud de cambio del 15-5-23, 23-5-23 pendiente:  </w:t>
            </w:r>
          </w:p>
          <w:p w14:paraId="34250835"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Acta de constitución</w:t>
            </w:r>
            <w:r w:rsidRPr="00C650EF">
              <w:rPr>
                <w:rFonts w:ascii="Book Antiqua" w:eastAsia="Times New Roman" w:hAnsi="Book Antiqua" w:cs="Segoe UI"/>
                <w:color w:val="000000"/>
                <w:sz w:val="14"/>
                <w:szCs w:val="14"/>
                <w:lang w:eastAsia="es-CR"/>
              </w:rPr>
              <w:t xml:space="preserve"> el cronograma de alto nivel debe ser un cronograma o una planificación de los principales entregables con los años de entrega o meses algo muy general. </w:t>
            </w:r>
          </w:p>
        </w:tc>
        <w:tc>
          <w:tcPr>
            <w:tcW w:w="982" w:type="dxa"/>
            <w:shd w:val="clear" w:color="auto" w:fill="FFFFFF"/>
            <w:vAlign w:val="center"/>
            <w:hideMark/>
          </w:tcPr>
          <w:p w14:paraId="0BB8A3D0"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Olga Guerrero </w:t>
            </w:r>
          </w:p>
        </w:tc>
      </w:tr>
      <w:tr w:rsidR="009557E0" w:rsidRPr="00C650EF" w14:paraId="7BFEE7A0" w14:textId="77777777" w:rsidTr="009557E0">
        <w:trPr>
          <w:trHeight w:val="285"/>
          <w:jc w:val="center"/>
        </w:trPr>
        <w:tc>
          <w:tcPr>
            <w:tcW w:w="804" w:type="dxa"/>
            <w:shd w:val="clear" w:color="auto" w:fill="FFFFFF"/>
            <w:vAlign w:val="center"/>
            <w:hideMark/>
          </w:tcPr>
          <w:p w14:paraId="1CDD8106"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23/5/2023 </w:t>
            </w:r>
          </w:p>
        </w:tc>
        <w:tc>
          <w:tcPr>
            <w:tcW w:w="0" w:type="auto"/>
            <w:vMerge/>
            <w:shd w:val="clear" w:color="auto" w:fill="auto"/>
            <w:vAlign w:val="center"/>
            <w:hideMark/>
          </w:tcPr>
          <w:p w14:paraId="78AB91B4" w14:textId="77777777" w:rsidR="009557E0" w:rsidRPr="00EF4E17" w:rsidRDefault="009557E0" w:rsidP="009557E0">
            <w:pPr>
              <w:spacing w:after="0" w:line="240" w:lineRule="auto"/>
              <w:rPr>
                <w:rFonts w:ascii="Book Antiqua" w:eastAsia="Times New Roman" w:hAnsi="Book Antiqua" w:cs="Segoe UI"/>
                <w:sz w:val="14"/>
                <w:szCs w:val="14"/>
                <w:lang w:eastAsia="es-CR"/>
              </w:rPr>
            </w:pPr>
          </w:p>
        </w:tc>
        <w:tc>
          <w:tcPr>
            <w:tcW w:w="0" w:type="auto"/>
            <w:vMerge/>
            <w:shd w:val="clear" w:color="auto" w:fill="auto"/>
            <w:vAlign w:val="center"/>
            <w:hideMark/>
          </w:tcPr>
          <w:p w14:paraId="69018E04" w14:textId="77777777" w:rsidR="009557E0" w:rsidRPr="00EF4E17" w:rsidRDefault="009557E0" w:rsidP="009557E0">
            <w:pPr>
              <w:spacing w:after="0" w:line="240" w:lineRule="auto"/>
              <w:rPr>
                <w:rFonts w:ascii="Book Antiqua" w:eastAsia="Times New Roman" w:hAnsi="Book Antiqua" w:cs="Segoe UI"/>
                <w:sz w:val="14"/>
                <w:szCs w:val="14"/>
                <w:lang w:eastAsia="es-CR"/>
              </w:rPr>
            </w:pPr>
          </w:p>
        </w:tc>
        <w:tc>
          <w:tcPr>
            <w:tcW w:w="1396" w:type="dxa"/>
            <w:shd w:val="clear" w:color="auto" w:fill="FFFFFF"/>
            <w:vAlign w:val="center"/>
            <w:hideMark/>
          </w:tcPr>
          <w:p w14:paraId="7BB21162"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Cronograma y documentos </w:t>
            </w:r>
          </w:p>
        </w:tc>
        <w:tc>
          <w:tcPr>
            <w:tcW w:w="1335" w:type="dxa"/>
            <w:shd w:val="clear" w:color="auto" w:fill="FFFFFF"/>
            <w:vAlign w:val="center"/>
            <w:hideMark/>
          </w:tcPr>
          <w:p w14:paraId="7951C5F3"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Cronograma, Costo, técnica, </w:t>
            </w:r>
          </w:p>
        </w:tc>
        <w:tc>
          <w:tcPr>
            <w:tcW w:w="812" w:type="dxa"/>
            <w:shd w:val="clear" w:color="auto" w:fill="FFFFFF"/>
            <w:vAlign w:val="center"/>
            <w:hideMark/>
          </w:tcPr>
          <w:p w14:paraId="5123E41A"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vMerge/>
            <w:shd w:val="clear" w:color="auto" w:fill="auto"/>
            <w:vAlign w:val="center"/>
            <w:hideMark/>
          </w:tcPr>
          <w:p w14:paraId="68F297C7" w14:textId="77777777" w:rsidR="009557E0" w:rsidRPr="00EF4E17" w:rsidRDefault="009557E0" w:rsidP="009557E0">
            <w:pPr>
              <w:spacing w:after="0" w:line="240" w:lineRule="auto"/>
              <w:jc w:val="both"/>
              <w:rPr>
                <w:rFonts w:ascii="Book Antiqua" w:eastAsia="Times New Roman" w:hAnsi="Book Antiqua" w:cs="Segoe UI"/>
                <w:sz w:val="14"/>
                <w:szCs w:val="14"/>
                <w:lang w:eastAsia="es-CR"/>
              </w:rPr>
            </w:pPr>
          </w:p>
        </w:tc>
        <w:tc>
          <w:tcPr>
            <w:tcW w:w="982" w:type="dxa"/>
            <w:shd w:val="clear" w:color="auto" w:fill="FFFFFF"/>
            <w:vAlign w:val="center"/>
            <w:hideMark/>
          </w:tcPr>
          <w:p w14:paraId="3DB5A16F"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Olga Guerrero </w:t>
            </w:r>
          </w:p>
        </w:tc>
      </w:tr>
      <w:tr w:rsidR="009557E0" w:rsidRPr="00C650EF" w14:paraId="5CCFB060" w14:textId="77777777" w:rsidTr="009557E0">
        <w:trPr>
          <w:trHeight w:val="285"/>
          <w:jc w:val="center"/>
        </w:trPr>
        <w:tc>
          <w:tcPr>
            <w:tcW w:w="804" w:type="dxa"/>
            <w:shd w:val="clear" w:color="auto" w:fill="FFFFFF"/>
            <w:vAlign w:val="center"/>
            <w:hideMark/>
          </w:tcPr>
          <w:p w14:paraId="7D08F030"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18/4/2023 </w:t>
            </w:r>
          </w:p>
        </w:tc>
        <w:tc>
          <w:tcPr>
            <w:tcW w:w="603" w:type="dxa"/>
            <w:shd w:val="clear" w:color="auto" w:fill="FFFFFF"/>
            <w:vAlign w:val="center"/>
            <w:hideMark/>
          </w:tcPr>
          <w:p w14:paraId="5AF3666F"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0134-DGH-P16 </w:t>
            </w:r>
          </w:p>
        </w:tc>
        <w:tc>
          <w:tcPr>
            <w:tcW w:w="1377" w:type="dxa"/>
            <w:shd w:val="clear" w:color="auto" w:fill="FFFFFF"/>
            <w:vAlign w:val="center"/>
            <w:hideMark/>
          </w:tcPr>
          <w:p w14:paraId="46AD9A0C"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Política de Teletrabajo </w:t>
            </w:r>
          </w:p>
        </w:tc>
        <w:tc>
          <w:tcPr>
            <w:tcW w:w="1396" w:type="dxa"/>
            <w:shd w:val="clear" w:color="auto" w:fill="FFFFFF"/>
            <w:vAlign w:val="center"/>
            <w:hideMark/>
          </w:tcPr>
          <w:p w14:paraId="0CFBA384"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EDT 3.2 Elaboración de la propuesta de la política (ajuste de fechas); inclusión EDT 6 Implementación de la Política de teletrabajo (actividades relacionadas con la implementación del plan de acción y ajuste de fecha) </w:t>
            </w:r>
          </w:p>
        </w:tc>
        <w:tc>
          <w:tcPr>
            <w:tcW w:w="1335" w:type="dxa"/>
            <w:shd w:val="clear" w:color="auto" w:fill="FFFFFF"/>
            <w:vAlign w:val="center"/>
            <w:hideMark/>
          </w:tcPr>
          <w:p w14:paraId="2CBCBAAC"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Costo, cronograma, recursos. </w:t>
            </w:r>
          </w:p>
        </w:tc>
        <w:tc>
          <w:tcPr>
            <w:tcW w:w="812" w:type="dxa"/>
            <w:shd w:val="clear" w:color="auto" w:fill="FFFFFF"/>
            <w:vAlign w:val="center"/>
            <w:hideMark/>
          </w:tcPr>
          <w:p w14:paraId="5F522968"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shd w:val="clear" w:color="auto" w:fill="FFFFFF"/>
            <w:vAlign w:val="center"/>
            <w:hideMark/>
          </w:tcPr>
          <w:p w14:paraId="6E0B5B36"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Producto de la solicitud de cambio del 18-4-23 pendiente:  </w:t>
            </w:r>
          </w:p>
          <w:p w14:paraId="44B71E0E"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Acta de Constitución:</w:t>
            </w:r>
            <w:r w:rsidRPr="00C650EF">
              <w:rPr>
                <w:rFonts w:ascii="Book Antiqua" w:eastAsia="Times New Roman" w:hAnsi="Book Antiqua" w:cs="Segoe UI"/>
                <w:color w:val="000000"/>
                <w:sz w:val="14"/>
                <w:szCs w:val="14"/>
                <w:lang w:eastAsia="es-CR"/>
              </w:rPr>
              <w:t>  el cronograma de alto nivel debe mostrar los entregables generales preferiblemente con años o mes y no fechas específicas, además se recomienda hacerlo de manera general por entregable, sin fechas establecidas sino años o mese; equipo del proyecto debe establecerse los roles y nombre de las personas que conforman todo el proyecto desde el patrocinador hasta el equipo de proyecto.  </w:t>
            </w:r>
          </w:p>
          <w:p w14:paraId="4008C73E" w14:textId="07D6C551"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 xml:space="preserve">Estudio de factibilidad: </w:t>
            </w:r>
            <w:r w:rsidRPr="00C650EF">
              <w:rPr>
                <w:rFonts w:ascii="Book Antiqua" w:eastAsia="Times New Roman" w:hAnsi="Book Antiqua" w:cs="Segoe UI"/>
                <w:color w:val="000000"/>
                <w:sz w:val="14"/>
                <w:szCs w:val="14"/>
                <w:lang w:eastAsia="es-CR"/>
              </w:rPr>
              <w:t xml:space="preserve">el planteamiento del proyecto se debe indicar 3 alternativas para solucionar </w:t>
            </w:r>
            <w:r w:rsidRPr="00C650EF">
              <w:rPr>
                <w:rFonts w:ascii="Book Antiqua" w:eastAsia="Times New Roman" w:hAnsi="Book Antiqua" w:cs="Segoe UI"/>
                <w:color w:val="000000"/>
                <w:sz w:val="14"/>
                <w:szCs w:val="14"/>
                <w:lang w:eastAsia="es-CR"/>
              </w:rPr>
              <w:lastRenderedPageBreak/>
              <w:t>el problema; revisar costo de inversión con plan de gestión, estos no coinciden; dentro de los costos de operación se mencionan costos relacionados con la implementación sin embargo esta fase se está considerando dentro del proyecto, por lo cual no se podría contemplar como costo de operación sino como costo de inversión; revisar y actualizar SROI con los costos de inversión actualizados.  </w:t>
            </w:r>
          </w:p>
          <w:p w14:paraId="2BD06C4B" w14:textId="186BA9E8"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Plan de gestión:</w:t>
            </w:r>
            <w:r w:rsidRPr="00C650EF">
              <w:rPr>
                <w:rFonts w:ascii="Book Antiqua" w:eastAsia="Times New Roman" w:hAnsi="Book Antiqua" w:cs="Segoe UI"/>
                <w:color w:val="000000"/>
                <w:sz w:val="14"/>
                <w:szCs w:val="14"/>
                <w:lang w:eastAsia="es-CR"/>
              </w:rPr>
              <w:t>  en el apartado de detalle de entregables: el diagrama de la EDT debe mostrar solamente 4 fases que son las que están establecidas en la metodología, por lo cual se solicita corregir la EDT y el cronograma; además verificar que estén todos los entregables igual que el cronograma, en este cuadro solamente se debe mostrar los entregables ( 3 nivel de la EDT); cronograma del proyecto debe estar en PDF y descargado desde Project el actualizado; los costos variables corresponden a recursos del presupuesto como computadora, silla, licencias, y la parte del recurso humano va en la parte inferior del apartado, además se debe verificar que se encuentre actualizados estos costos a todo el periodo; la administración de riesgo no aparece se debe incorporar. </w:t>
            </w:r>
          </w:p>
        </w:tc>
        <w:tc>
          <w:tcPr>
            <w:tcW w:w="982" w:type="dxa"/>
            <w:shd w:val="clear" w:color="auto" w:fill="FFFFFF"/>
            <w:vAlign w:val="center"/>
            <w:hideMark/>
          </w:tcPr>
          <w:p w14:paraId="75D739C2"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lastRenderedPageBreak/>
              <w:t>Roxana Arrieta Meléndez </w:t>
            </w:r>
          </w:p>
        </w:tc>
      </w:tr>
      <w:tr w:rsidR="009557E0" w:rsidRPr="00C650EF" w14:paraId="4D5EE228" w14:textId="77777777" w:rsidTr="009557E0">
        <w:trPr>
          <w:trHeight w:val="3105"/>
          <w:jc w:val="center"/>
        </w:trPr>
        <w:tc>
          <w:tcPr>
            <w:tcW w:w="804" w:type="dxa"/>
            <w:shd w:val="clear" w:color="auto" w:fill="FFFFFF"/>
            <w:vAlign w:val="center"/>
            <w:hideMark/>
          </w:tcPr>
          <w:p w14:paraId="1312C549"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28/4/2023 </w:t>
            </w:r>
          </w:p>
        </w:tc>
        <w:tc>
          <w:tcPr>
            <w:tcW w:w="603" w:type="dxa"/>
            <w:shd w:val="clear" w:color="auto" w:fill="FFFFFF"/>
            <w:vAlign w:val="center"/>
            <w:hideMark/>
          </w:tcPr>
          <w:p w14:paraId="52273CB6"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0653-DP-P14 </w:t>
            </w:r>
          </w:p>
        </w:tc>
        <w:tc>
          <w:tcPr>
            <w:tcW w:w="1377" w:type="dxa"/>
            <w:shd w:val="clear" w:color="auto" w:fill="FFFFFF"/>
            <w:vAlign w:val="center"/>
            <w:hideMark/>
          </w:tcPr>
          <w:p w14:paraId="4650FEFD" w14:textId="0EB8FF53"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Desarrollo e Implantación Sistema Observatorio Judicial</w:t>
            </w:r>
            <w:r w:rsidR="00087715">
              <w:rPr>
                <w:rStyle w:val="Refdenotaalpie"/>
                <w:rFonts w:ascii="Book Antiqua" w:eastAsia="Times New Roman" w:hAnsi="Book Antiqua" w:cs="Segoe UI"/>
                <w:color w:val="000000"/>
                <w:sz w:val="14"/>
                <w:szCs w:val="14"/>
                <w:lang w:eastAsia="es-CR"/>
              </w:rPr>
              <w:footnoteReference w:id="5"/>
            </w:r>
            <w:r w:rsidRPr="00C650EF">
              <w:rPr>
                <w:rFonts w:ascii="Book Antiqua" w:eastAsia="Times New Roman" w:hAnsi="Book Antiqua" w:cs="Segoe UI"/>
                <w:color w:val="000000"/>
                <w:sz w:val="14"/>
                <w:szCs w:val="14"/>
                <w:lang w:eastAsia="es-CR"/>
              </w:rPr>
              <w:t> </w:t>
            </w:r>
          </w:p>
        </w:tc>
        <w:tc>
          <w:tcPr>
            <w:tcW w:w="1396" w:type="dxa"/>
            <w:shd w:val="clear" w:color="auto" w:fill="FFFFFF"/>
            <w:vAlign w:val="center"/>
            <w:hideMark/>
          </w:tcPr>
          <w:p w14:paraId="2C5306D4"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Se gestiona cambio al cronograma para organizar tareas que representen el porcentaje de avance del proyecto, al 28 de abril de 2023 </w:t>
            </w:r>
          </w:p>
        </w:tc>
        <w:tc>
          <w:tcPr>
            <w:tcW w:w="1335" w:type="dxa"/>
            <w:shd w:val="clear" w:color="auto" w:fill="FFFFFF"/>
            <w:vAlign w:val="center"/>
            <w:hideMark/>
          </w:tcPr>
          <w:p w14:paraId="0839C178"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Cronograma </w:t>
            </w:r>
          </w:p>
        </w:tc>
        <w:tc>
          <w:tcPr>
            <w:tcW w:w="812" w:type="dxa"/>
            <w:shd w:val="clear" w:color="auto" w:fill="FFFFFF"/>
            <w:vAlign w:val="center"/>
            <w:hideMark/>
          </w:tcPr>
          <w:p w14:paraId="2ABFD2E4"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shd w:val="clear" w:color="auto" w:fill="FFFFFF"/>
            <w:vAlign w:val="center"/>
            <w:hideMark/>
          </w:tcPr>
          <w:p w14:paraId="1C0A3472"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Producto de la solicitud de cambio del 28-4-23 pendiente:  </w:t>
            </w:r>
          </w:p>
          <w:p w14:paraId="4E8AB50E" w14:textId="5A86D878"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Estudio de factibilidad</w:t>
            </w:r>
            <w:r w:rsidRPr="00C650EF">
              <w:rPr>
                <w:rFonts w:ascii="Book Antiqua" w:eastAsia="Times New Roman" w:hAnsi="Book Antiqua" w:cs="Segoe UI"/>
                <w:color w:val="000000"/>
                <w:sz w:val="14"/>
                <w:szCs w:val="14"/>
                <w:lang w:eastAsia="es-CR"/>
              </w:rPr>
              <w:t xml:space="preserve"> (formulario de DTI) se debe actualizar los costos, porque no están todos los permisos brindados. Plan de dirección del proyecto: revisar la estructura de desglose del proyecto, porque no coincide con el cronograma.  </w:t>
            </w:r>
          </w:p>
          <w:p w14:paraId="3A50CA67" w14:textId="26F23A1A"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Acta de constitución</w:t>
            </w:r>
            <w:r w:rsidRPr="00C650EF">
              <w:rPr>
                <w:rFonts w:ascii="Book Antiqua" w:eastAsia="Times New Roman" w:hAnsi="Book Antiqua" w:cs="Segoe UI"/>
                <w:color w:val="000000"/>
                <w:sz w:val="14"/>
                <w:szCs w:val="14"/>
                <w:lang w:eastAsia="es-CR"/>
              </w:rPr>
              <w:t xml:space="preserve">: fecha de finalización de be coincidir con cronograma; el cronograma general es un  cronograma de alto nivel; Recursos del proyecto: este debe contemplar todos los costos en los cuales ha incurrido el proyecto o incurrirá el proyecto tanto en recurso humano como gasto variable; en </w:t>
            </w:r>
            <w:r w:rsidRPr="00C650EF">
              <w:rPr>
                <w:rFonts w:ascii="Book Antiqua" w:eastAsia="Times New Roman" w:hAnsi="Book Antiqua" w:cs="Segoe UI"/>
                <w:color w:val="000000"/>
                <w:sz w:val="14"/>
                <w:szCs w:val="14"/>
                <w:lang w:eastAsia="es-CR"/>
              </w:rPr>
              <w:lastRenderedPageBreak/>
              <w:t>equipo del proyecto se deben indicar todos los roles, nombres y puestos del proyecto. </w:t>
            </w:r>
          </w:p>
        </w:tc>
        <w:tc>
          <w:tcPr>
            <w:tcW w:w="982" w:type="dxa"/>
            <w:shd w:val="clear" w:color="auto" w:fill="FFFFFF"/>
            <w:vAlign w:val="center"/>
            <w:hideMark/>
          </w:tcPr>
          <w:p w14:paraId="4871B5F9"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lastRenderedPageBreak/>
              <w:t>Pendiente aprobación de solicitud de cambio por parte del Director del proyecto </w:t>
            </w:r>
          </w:p>
        </w:tc>
      </w:tr>
      <w:tr w:rsidR="009557E0" w:rsidRPr="00C650EF" w14:paraId="4A6C9FE7" w14:textId="77777777" w:rsidTr="009557E0">
        <w:trPr>
          <w:trHeight w:val="285"/>
          <w:jc w:val="center"/>
        </w:trPr>
        <w:tc>
          <w:tcPr>
            <w:tcW w:w="804" w:type="dxa"/>
            <w:shd w:val="clear" w:color="auto" w:fill="FFFFFF"/>
            <w:vAlign w:val="center"/>
            <w:hideMark/>
          </w:tcPr>
          <w:p w14:paraId="4C16E40F"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23/2/2023 </w:t>
            </w:r>
          </w:p>
        </w:tc>
        <w:tc>
          <w:tcPr>
            <w:tcW w:w="603" w:type="dxa"/>
            <w:shd w:val="clear" w:color="auto" w:fill="FFFFFF"/>
            <w:vAlign w:val="center"/>
            <w:hideMark/>
          </w:tcPr>
          <w:p w14:paraId="2537F0E3"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0717-MP-P03 </w:t>
            </w:r>
          </w:p>
        </w:tc>
        <w:tc>
          <w:tcPr>
            <w:tcW w:w="1377" w:type="dxa"/>
            <w:shd w:val="clear" w:color="auto" w:fill="FFFFFF"/>
            <w:vAlign w:val="center"/>
            <w:hideMark/>
          </w:tcPr>
          <w:p w14:paraId="6E20FB58"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Modelo de abordaje en casos penales con poblaciones vulnerables y vulnerabilizadas </w:t>
            </w:r>
          </w:p>
        </w:tc>
        <w:tc>
          <w:tcPr>
            <w:tcW w:w="1396" w:type="dxa"/>
            <w:shd w:val="clear" w:color="auto" w:fill="FFFFFF"/>
            <w:vAlign w:val="center"/>
            <w:hideMark/>
          </w:tcPr>
          <w:p w14:paraId="025758BB"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Se modifica cronograma para ampliar la tarea de DISEÑO DE PROTOCOLOS DE ATENCIÓN OTRAS POBLACIONES </w:t>
            </w:r>
          </w:p>
        </w:tc>
        <w:tc>
          <w:tcPr>
            <w:tcW w:w="1335" w:type="dxa"/>
            <w:shd w:val="clear" w:color="auto" w:fill="FFFFFF"/>
            <w:vAlign w:val="center"/>
            <w:hideMark/>
          </w:tcPr>
          <w:p w14:paraId="6BF3B7DA"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Técnico y cronograma </w:t>
            </w:r>
          </w:p>
        </w:tc>
        <w:tc>
          <w:tcPr>
            <w:tcW w:w="812" w:type="dxa"/>
            <w:shd w:val="clear" w:color="auto" w:fill="FFFFFF"/>
            <w:vAlign w:val="center"/>
            <w:hideMark/>
          </w:tcPr>
          <w:p w14:paraId="7FE10FB1"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shd w:val="clear" w:color="auto" w:fill="FFFFFF"/>
            <w:vAlign w:val="center"/>
            <w:hideMark/>
          </w:tcPr>
          <w:p w14:paraId="782406FD"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Producto de la solicitud de cambio del 23-2-23 pendiente:   </w:t>
            </w:r>
          </w:p>
          <w:p w14:paraId="192D0456"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Plan de Gestión:</w:t>
            </w:r>
            <w:r w:rsidRPr="00C650EF">
              <w:rPr>
                <w:rFonts w:ascii="Book Antiqua" w:eastAsia="Times New Roman" w:hAnsi="Book Antiqua" w:cs="Segoe UI"/>
                <w:color w:val="000000"/>
                <w:sz w:val="14"/>
                <w:szCs w:val="14"/>
                <w:lang w:eastAsia="es-CR"/>
              </w:rPr>
              <w:t xml:space="preserve"> cronograma se debe insertar en PDF descargado desde el Project; revisar aspectos de presupuesto porque no coincide con acta de constitución y estudio de factibilidad.  </w:t>
            </w:r>
          </w:p>
          <w:p w14:paraId="6F0C046C" w14:textId="4F619110"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Estudio de factibilidad: </w:t>
            </w:r>
            <w:r w:rsidRPr="00C650EF">
              <w:rPr>
                <w:rFonts w:ascii="Book Antiqua" w:eastAsia="Times New Roman" w:hAnsi="Book Antiqua" w:cs="Segoe UI"/>
                <w:color w:val="000000"/>
                <w:sz w:val="14"/>
                <w:szCs w:val="14"/>
                <w:lang w:eastAsia="es-CR"/>
              </w:rPr>
              <w:t xml:space="preserve"> costos de operación son los costos en los cuales se incurre una vez concluidos los proyectos, no durante su ejecución; análisis de costos-beneficio (SROI) revisar datos del apartado los costos se debe dividir beneficios entre costos.  </w:t>
            </w:r>
          </w:p>
          <w:p w14:paraId="3B129161" w14:textId="090BEFF9"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Acta de constitución:</w:t>
            </w:r>
            <w:r w:rsidRPr="00C650EF">
              <w:rPr>
                <w:rFonts w:ascii="Book Antiqua" w:eastAsia="Times New Roman" w:hAnsi="Book Antiqua" w:cs="Segoe UI"/>
                <w:color w:val="000000"/>
                <w:sz w:val="14"/>
                <w:szCs w:val="14"/>
                <w:lang w:eastAsia="es-CR"/>
              </w:rPr>
              <w:t>  revisar recursos del proyecto, este debe coincidir con plan de gestión y estudio de factibilidad; la lista de interesados no corresponde al equipo del proyecto, sino a las personas que están interesadas en el proyecto o se van a beneficiar de este; en equipo del proyecto se debe incluir todos los roles desde el patrocinador hasta el equipo de proyecto. </w:t>
            </w:r>
          </w:p>
        </w:tc>
        <w:tc>
          <w:tcPr>
            <w:tcW w:w="982" w:type="dxa"/>
            <w:shd w:val="clear" w:color="auto" w:fill="FFFFFF"/>
            <w:vAlign w:val="center"/>
            <w:hideMark/>
          </w:tcPr>
          <w:p w14:paraId="526010AD"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Pendiente aprobación de solicitud de cambio por parte del Director del proyecto </w:t>
            </w:r>
          </w:p>
        </w:tc>
      </w:tr>
      <w:tr w:rsidR="009557E0" w:rsidRPr="00C650EF" w14:paraId="1B02C427" w14:textId="77777777" w:rsidTr="009557E0">
        <w:trPr>
          <w:trHeight w:val="615"/>
          <w:jc w:val="center"/>
        </w:trPr>
        <w:tc>
          <w:tcPr>
            <w:tcW w:w="804" w:type="dxa"/>
            <w:shd w:val="clear" w:color="auto" w:fill="FFFFFF"/>
            <w:vAlign w:val="center"/>
            <w:hideMark/>
          </w:tcPr>
          <w:p w14:paraId="443F3FB4"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25/4/2023 </w:t>
            </w:r>
          </w:p>
        </w:tc>
        <w:tc>
          <w:tcPr>
            <w:tcW w:w="603" w:type="dxa"/>
            <w:shd w:val="clear" w:color="auto" w:fill="FFFFFF"/>
            <w:vAlign w:val="center"/>
            <w:hideMark/>
          </w:tcPr>
          <w:p w14:paraId="497BAD9D"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0717-MP-P05 </w:t>
            </w:r>
          </w:p>
        </w:tc>
        <w:tc>
          <w:tcPr>
            <w:tcW w:w="1377" w:type="dxa"/>
            <w:shd w:val="clear" w:color="auto" w:fill="FFFFFF"/>
            <w:vAlign w:val="center"/>
            <w:hideMark/>
          </w:tcPr>
          <w:p w14:paraId="28C035FB"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Estrategia de Capacitación del Ministerio Público </w:t>
            </w:r>
          </w:p>
        </w:tc>
        <w:tc>
          <w:tcPr>
            <w:tcW w:w="1396" w:type="dxa"/>
            <w:shd w:val="clear" w:color="auto" w:fill="FFFFFF"/>
            <w:vAlign w:val="center"/>
            <w:hideMark/>
          </w:tcPr>
          <w:p w14:paraId="70E39EC5"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Actualización de documentos </w:t>
            </w:r>
          </w:p>
        </w:tc>
        <w:tc>
          <w:tcPr>
            <w:tcW w:w="1335" w:type="dxa"/>
            <w:shd w:val="clear" w:color="auto" w:fill="FFFFFF"/>
            <w:vAlign w:val="center"/>
            <w:hideMark/>
          </w:tcPr>
          <w:p w14:paraId="674EDB6F"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Costo, recursos, rendimiento </w:t>
            </w:r>
          </w:p>
        </w:tc>
        <w:tc>
          <w:tcPr>
            <w:tcW w:w="812" w:type="dxa"/>
            <w:shd w:val="clear" w:color="auto" w:fill="FFFFFF"/>
            <w:vAlign w:val="center"/>
            <w:hideMark/>
          </w:tcPr>
          <w:p w14:paraId="57451281"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shd w:val="clear" w:color="auto" w:fill="FFFFFF"/>
            <w:vAlign w:val="center"/>
            <w:hideMark/>
          </w:tcPr>
          <w:p w14:paraId="0FE3CF42"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Producto de la solicitud de cambio del 25-4-23 pendiente:  </w:t>
            </w:r>
          </w:p>
          <w:p w14:paraId="3192DC23"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Estudio de factibilidad</w:t>
            </w:r>
            <w:r w:rsidRPr="00C650EF">
              <w:rPr>
                <w:rFonts w:ascii="Book Antiqua" w:eastAsia="Times New Roman" w:hAnsi="Book Antiqua" w:cs="Segoe UI"/>
                <w:color w:val="000000"/>
                <w:sz w:val="14"/>
                <w:szCs w:val="14"/>
                <w:lang w:eastAsia="es-CR"/>
              </w:rPr>
              <w:t xml:space="preserve"> revisar costo de inversión porque en el mismo no se indica un monto y este debe coincidir con plan de gestión y acta de constitución. </w:t>
            </w:r>
          </w:p>
        </w:tc>
        <w:tc>
          <w:tcPr>
            <w:tcW w:w="982" w:type="dxa"/>
            <w:shd w:val="clear" w:color="auto" w:fill="FFFFFF"/>
            <w:vAlign w:val="center"/>
            <w:hideMark/>
          </w:tcPr>
          <w:p w14:paraId="6A13F74A"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Pendiente aprobación de solicitud de cambio por parte del Director del proyecto </w:t>
            </w:r>
          </w:p>
        </w:tc>
      </w:tr>
      <w:tr w:rsidR="009557E0" w:rsidRPr="00C650EF" w14:paraId="3BF04769" w14:textId="77777777" w:rsidTr="009557E0">
        <w:trPr>
          <w:trHeight w:val="1560"/>
          <w:jc w:val="center"/>
        </w:trPr>
        <w:tc>
          <w:tcPr>
            <w:tcW w:w="804" w:type="dxa"/>
            <w:shd w:val="clear" w:color="auto" w:fill="FFFFFF"/>
            <w:vAlign w:val="center"/>
            <w:hideMark/>
          </w:tcPr>
          <w:p w14:paraId="542BBFB8"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20/4/2023 </w:t>
            </w:r>
          </w:p>
        </w:tc>
        <w:tc>
          <w:tcPr>
            <w:tcW w:w="603" w:type="dxa"/>
            <w:shd w:val="clear" w:color="auto" w:fill="FFFFFF"/>
            <w:vAlign w:val="center"/>
            <w:hideMark/>
          </w:tcPr>
          <w:p w14:paraId="2D66CE7C"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0718-OAPVT-P02 </w:t>
            </w:r>
          </w:p>
        </w:tc>
        <w:tc>
          <w:tcPr>
            <w:tcW w:w="1377" w:type="dxa"/>
            <w:shd w:val="clear" w:color="auto" w:fill="FFFFFF"/>
            <w:vAlign w:val="center"/>
            <w:hideMark/>
          </w:tcPr>
          <w:p w14:paraId="5C0C4050"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Propuesta de Reglamento a la Ley 8720 </w:t>
            </w:r>
          </w:p>
        </w:tc>
        <w:tc>
          <w:tcPr>
            <w:tcW w:w="1396" w:type="dxa"/>
            <w:shd w:val="clear" w:color="auto" w:fill="FFFFFF"/>
            <w:vAlign w:val="center"/>
            <w:hideMark/>
          </w:tcPr>
          <w:p w14:paraId="5D0C3206"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Ajustes en actividades del cronograma. </w:t>
            </w:r>
          </w:p>
        </w:tc>
        <w:tc>
          <w:tcPr>
            <w:tcW w:w="1335" w:type="dxa"/>
            <w:shd w:val="clear" w:color="auto" w:fill="FFFFFF"/>
            <w:vAlign w:val="center"/>
            <w:hideMark/>
          </w:tcPr>
          <w:p w14:paraId="37E7FEC6"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Cronograma y En otros proyecto o procesos </w:t>
            </w:r>
          </w:p>
        </w:tc>
        <w:tc>
          <w:tcPr>
            <w:tcW w:w="812" w:type="dxa"/>
            <w:shd w:val="clear" w:color="auto" w:fill="FFFFFF"/>
            <w:vAlign w:val="center"/>
            <w:hideMark/>
          </w:tcPr>
          <w:p w14:paraId="5A25CFAA"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shd w:val="clear" w:color="auto" w:fill="FFFFFF"/>
            <w:vAlign w:val="center"/>
            <w:hideMark/>
          </w:tcPr>
          <w:p w14:paraId="779C8F83"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Producto de la solicitud de cambio del pendiente 20-4-23:  </w:t>
            </w:r>
          </w:p>
          <w:p w14:paraId="4C3A7DDD" w14:textId="287F11D3"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Plan de gestión:</w:t>
            </w:r>
            <w:r w:rsidRPr="00C650EF">
              <w:rPr>
                <w:rFonts w:ascii="Book Antiqua" w:eastAsia="Times New Roman" w:hAnsi="Book Antiqua" w:cs="Segoe UI"/>
                <w:color w:val="000000"/>
                <w:sz w:val="14"/>
                <w:szCs w:val="14"/>
                <w:lang w:eastAsia="es-CR"/>
              </w:rPr>
              <w:t xml:space="preserve"> el cronograma no abre.</w:t>
            </w:r>
          </w:p>
          <w:p w14:paraId="7AFB6910" w14:textId="5B7D4612"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Acta de constitución:</w:t>
            </w:r>
            <w:r w:rsidRPr="00C650EF">
              <w:rPr>
                <w:rFonts w:ascii="Book Antiqua" w:eastAsia="Times New Roman" w:hAnsi="Book Antiqua" w:cs="Segoe UI"/>
                <w:color w:val="000000"/>
                <w:sz w:val="14"/>
                <w:szCs w:val="14"/>
                <w:lang w:eastAsia="es-CR"/>
              </w:rPr>
              <w:t xml:space="preserve"> revisar cronograma de alto nivel porque a partir del 3.4 aparece 5 en adelante y luego nuevamente 4; recursos del proyecto verificar que el monto está </w:t>
            </w:r>
            <w:r w:rsidRPr="00C650EF">
              <w:rPr>
                <w:rFonts w:ascii="Book Antiqua" w:eastAsia="Times New Roman" w:hAnsi="Book Antiqua" w:cs="Segoe UI"/>
                <w:color w:val="000000"/>
                <w:sz w:val="14"/>
                <w:szCs w:val="14"/>
                <w:lang w:eastAsia="es-CR"/>
              </w:rPr>
              <w:lastRenderedPageBreak/>
              <w:t>acorde al plan de gestión y estudio de factibilidad; </w:t>
            </w:r>
          </w:p>
        </w:tc>
        <w:tc>
          <w:tcPr>
            <w:tcW w:w="982" w:type="dxa"/>
            <w:shd w:val="clear" w:color="auto" w:fill="FFFFFF"/>
            <w:vAlign w:val="center"/>
            <w:hideMark/>
          </w:tcPr>
          <w:p w14:paraId="19FA8C97"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lastRenderedPageBreak/>
              <w:t>José Ángel Peñaranda Chaverri </w:t>
            </w:r>
          </w:p>
        </w:tc>
      </w:tr>
      <w:tr w:rsidR="009557E0" w:rsidRPr="00C650EF" w14:paraId="7A1673F8" w14:textId="77777777" w:rsidTr="009557E0">
        <w:trPr>
          <w:trHeight w:val="2670"/>
          <w:jc w:val="center"/>
        </w:trPr>
        <w:tc>
          <w:tcPr>
            <w:tcW w:w="804" w:type="dxa"/>
            <w:shd w:val="clear" w:color="auto" w:fill="FFFFFF"/>
            <w:vAlign w:val="center"/>
            <w:hideMark/>
          </w:tcPr>
          <w:p w14:paraId="0BF056B9"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28/4/2023 </w:t>
            </w:r>
          </w:p>
        </w:tc>
        <w:tc>
          <w:tcPr>
            <w:tcW w:w="603" w:type="dxa"/>
            <w:shd w:val="clear" w:color="auto" w:fill="FFFFFF"/>
            <w:vAlign w:val="center"/>
            <w:hideMark/>
          </w:tcPr>
          <w:p w14:paraId="1E3BA6F0"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1167-OIJ-P02 </w:t>
            </w:r>
          </w:p>
        </w:tc>
        <w:tc>
          <w:tcPr>
            <w:tcW w:w="1377" w:type="dxa"/>
            <w:shd w:val="clear" w:color="auto" w:fill="FFFFFF"/>
            <w:vAlign w:val="center"/>
            <w:hideMark/>
          </w:tcPr>
          <w:p w14:paraId="718013B6"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Reacondicionamiento de la Morgue Judicial </w:t>
            </w:r>
          </w:p>
        </w:tc>
        <w:tc>
          <w:tcPr>
            <w:tcW w:w="1396" w:type="dxa"/>
            <w:shd w:val="clear" w:color="auto" w:fill="FFFFFF"/>
            <w:vAlign w:val="center"/>
            <w:hideMark/>
          </w:tcPr>
          <w:p w14:paraId="598114BE"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Se requiere ajustar las fechas de inicio y finalización de los estregables indicados en el apartado 1 de este documento con el fin de que reflejen los cambios dentro de la ejecución de la fase contructiva y de cierre del proyecto. </w:t>
            </w:r>
          </w:p>
        </w:tc>
        <w:tc>
          <w:tcPr>
            <w:tcW w:w="1335" w:type="dxa"/>
            <w:shd w:val="clear" w:color="auto" w:fill="FFFFFF"/>
            <w:vAlign w:val="center"/>
            <w:hideMark/>
          </w:tcPr>
          <w:p w14:paraId="48059EF4"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Cronograma </w:t>
            </w:r>
          </w:p>
        </w:tc>
        <w:tc>
          <w:tcPr>
            <w:tcW w:w="812" w:type="dxa"/>
            <w:shd w:val="clear" w:color="auto" w:fill="FFFFFF"/>
            <w:vAlign w:val="center"/>
            <w:hideMark/>
          </w:tcPr>
          <w:p w14:paraId="1AAFDFFE"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shd w:val="clear" w:color="auto" w:fill="FFFFFF"/>
            <w:vAlign w:val="center"/>
            <w:hideMark/>
          </w:tcPr>
          <w:p w14:paraId="6830D595"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Producto de la solicitud de cambio del pendiente 28-4-23:  </w:t>
            </w:r>
          </w:p>
          <w:p w14:paraId="347EABD1"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 xml:space="preserve">Estudio de factibilidad: </w:t>
            </w:r>
            <w:r w:rsidRPr="00C650EF">
              <w:rPr>
                <w:rFonts w:ascii="Book Antiqua" w:eastAsia="Times New Roman" w:hAnsi="Book Antiqua" w:cs="Segoe UI"/>
                <w:color w:val="000000"/>
                <w:sz w:val="14"/>
                <w:szCs w:val="14"/>
                <w:lang w:eastAsia="es-CR"/>
              </w:rPr>
              <w:t>el costo de inversión se debe revisar porque no coincida con el plan de gestión  verificar aspectos del recurso humano.  </w:t>
            </w:r>
          </w:p>
          <w:p w14:paraId="7A923FF9"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Acta de constitución:</w:t>
            </w:r>
            <w:r w:rsidRPr="00C650EF">
              <w:rPr>
                <w:rFonts w:ascii="Book Antiqua" w:eastAsia="Times New Roman" w:hAnsi="Book Antiqua" w:cs="Segoe UI"/>
                <w:color w:val="000000"/>
                <w:sz w:val="14"/>
                <w:szCs w:val="14"/>
                <w:lang w:eastAsia="es-CR"/>
              </w:rPr>
              <w:t xml:space="preserve"> los recursos del proyecto deben coincidir con el plan de gestión verificar aspectos del recurso humano.  </w:t>
            </w:r>
          </w:p>
          <w:p w14:paraId="57AD257F"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Plan de gestión:</w:t>
            </w:r>
            <w:r w:rsidRPr="00C650EF">
              <w:rPr>
                <w:rFonts w:ascii="Book Antiqua" w:eastAsia="Times New Roman" w:hAnsi="Book Antiqua" w:cs="Segoe UI"/>
                <w:color w:val="000000"/>
                <w:sz w:val="14"/>
                <w:szCs w:val="14"/>
                <w:lang w:eastAsia="es-CR"/>
              </w:rPr>
              <w:t xml:space="preserve"> en el apartado de presupuesto se debe revisar porque en costos se incluyen recurso humano y posteriormente  se incluye de nuevo el recurso humano en punto 6.2 y por lo tanto no coincide los costos con el acta de constitución ni el estudio de factibilidad. </w:t>
            </w:r>
          </w:p>
        </w:tc>
        <w:tc>
          <w:tcPr>
            <w:tcW w:w="982" w:type="dxa"/>
            <w:shd w:val="clear" w:color="auto" w:fill="FFFFFF"/>
            <w:vAlign w:val="center"/>
            <w:hideMark/>
          </w:tcPr>
          <w:p w14:paraId="288464A9"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Randall Zuñiga Lopez </w:t>
            </w:r>
          </w:p>
        </w:tc>
      </w:tr>
      <w:tr w:rsidR="009557E0" w:rsidRPr="00C650EF" w14:paraId="6D52EC5B" w14:textId="77777777" w:rsidTr="009557E0">
        <w:trPr>
          <w:trHeight w:val="285"/>
          <w:jc w:val="center"/>
        </w:trPr>
        <w:tc>
          <w:tcPr>
            <w:tcW w:w="804" w:type="dxa"/>
            <w:shd w:val="clear" w:color="auto" w:fill="FFFFFF"/>
            <w:vAlign w:val="center"/>
            <w:hideMark/>
          </w:tcPr>
          <w:p w14:paraId="4A6BE35C"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28/4/2023 </w:t>
            </w:r>
          </w:p>
        </w:tc>
        <w:tc>
          <w:tcPr>
            <w:tcW w:w="603" w:type="dxa"/>
            <w:shd w:val="clear" w:color="auto" w:fill="FFFFFF"/>
            <w:vAlign w:val="center"/>
            <w:hideMark/>
          </w:tcPr>
          <w:p w14:paraId="27FE1A6A"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1167-OIJ-P11 </w:t>
            </w:r>
          </w:p>
        </w:tc>
        <w:tc>
          <w:tcPr>
            <w:tcW w:w="1377" w:type="dxa"/>
            <w:shd w:val="clear" w:color="auto" w:fill="FFFFFF"/>
            <w:vAlign w:val="center"/>
            <w:hideMark/>
          </w:tcPr>
          <w:p w14:paraId="5A480DC0"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Logística y Ejecución de Cooperación Internacional </w:t>
            </w:r>
          </w:p>
        </w:tc>
        <w:tc>
          <w:tcPr>
            <w:tcW w:w="1396" w:type="dxa"/>
            <w:shd w:val="clear" w:color="auto" w:fill="FFFFFF"/>
            <w:vAlign w:val="center"/>
            <w:hideMark/>
          </w:tcPr>
          <w:p w14:paraId="19447643"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1. Corrección de subordinación de tareas; 2. Se modifica la fecha de inicio de la tarea con EDT 3.6.4; 3. Ampliación del plazo del entregable EDT 3.7 </w:t>
            </w:r>
          </w:p>
        </w:tc>
        <w:tc>
          <w:tcPr>
            <w:tcW w:w="1335" w:type="dxa"/>
            <w:shd w:val="clear" w:color="auto" w:fill="FFFFFF"/>
            <w:vAlign w:val="center"/>
            <w:hideMark/>
          </w:tcPr>
          <w:p w14:paraId="7279B750"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Cronograma y rendimiento </w:t>
            </w:r>
          </w:p>
        </w:tc>
        <w:tc>
          <w:tcPr>
            <w:tcW w:w="812" w:type="dxa"/>
            <w:shd w:val="clear" w:color="auto" w:fill="FFFFFF"/>
            <w:vAlign w:val="center"/>
            <w:hideMark/>
          </w:tcPr>
          <w:p w14:paraId="427A6323"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shd w:val="clear" w:color="auto" w:fill="FFFFFF"/>
            <w:vAlign w:val="center"/>
            <w:hideMark/>
          </w:tcPr>
          <w:p w14:paraId="6C39FEEB"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Producto de la solicitud de cambio del pendiente 28-4-23:  </w:t>
            </w:r>
          </w:p>
          <w:p w14:paraId="07F568F9"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Plan de gestión:</w:t>
            </w:r>
            <w:r w:rsidRPr="00C650EF">
              <w:rPr>
                <w:rFonts w:ascii="Book Antiqua" w:eastAsia="Times New Roman" w:hAnsi="Book Antiqua" w:cs="Segoe UI"/>
                <w:color w:val="000000"/>
                <w:sz w:val="14"/>
                <w:szCs w:val="14"/>
                <w:lang w:eastAsia="es-CR"/>
              </w:rPr>
              <w:t xml:space="preserve"> el organigrama falta indicar todos los roles y los participantes; el cronograma debe estar inserto en PDF. </w:t>
            </w:r>
          </w:p>
        </w:tc>
        <w:tc>
          <w:tcPr>
            <w:tcW w:w="982" w:type="dxa"/>
            <w:shd w:val="clear" w:color="auto" w:fill="FFFFFF"/>
            <w:vAlign w:val="center"/>
            <w:hideMark/>
          </w:tcPr>
          <w:p w14:paraId="6CC8C5A3"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Randall Zuñiga Lopez </w:t>
            </w:r>
          </w:p>
        </w:tc>
      </w:tr>
      <w:tr w:rsidR="009557E0" w:rsidRPr="00C650EF" w14:paraId="5CFFBDC6" w14:textId="77777777" w:rsidTr="009557E0">
        <w:trPr>
          <w:trHeight w:val="2295"/>
          <w:jc w:val="center"/>
        </w:trPr>
        <w:tc>
          <w:tcPr>
            <w:tcW w:w="804" w:type="dxa"/>
            <w:shd w:val="clear" w:color="auto" w:fill="FFFFFF"/>
            <w:vAlign w:val="center"/>
            <w:hideMark/>
          </w:tcPr>
          <w:p w14:paraId="21425FDD"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14/2/2023 </w:t>
            </w:r>
          </w:p>
        </w:tc>
        <w:tc>
          <w:tcPr>
            <w:tcW w:w="603" w:type="dxa"/>
            <w:shd w:val="clear" w:color="auto" w:fill="FFFFFF"/>
            <w:vAlign w:val="center"/>
            <w:hideMark/>
          </w:tcPr>
          <w:p w14:paraId="0A645E0E"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1167-OIJ-P15 </w:t>
            </w:r>
          </w:p>
        </w:tc>
        <w:tc>
          <w:tcPr>
            <w:tcW w:w="1377" w:type="dxa"/>
            <w:shd w:val="clear" w:color="auto" w:fill="FFFFFF"/>
            <w:vAlign w:val="center"/>
            <w:hideMark/>
          </w:tcPr>
          <w:p w14:paraId="4778FE7A"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Adquisición e instalación del Incinerador </w:t>
            </w:r>
          </w:p>
        </w:tc>
        <w:tc>
          <w:tcPr>
            <w:tcW w:w="1396" w:type="dxa"/>
            <w:shd w:val="clear" w:color="auto" w:fill="FFFFFF"/>
            <w:vAlign w:val="center"/>
            <w:hideMark/>
          </w:tcPr>
          <w:p w14:paraId="737020EF" w14:textId="77777777" w:rsidR="009557E0" w:rsidRPr="00C650EF" w:rsidRDefault="009557E0" w:rsidP="009557E0">
            <w:pPr>
              <w:spacing w:after="0" w:line="240" w:lineRule="auto"/>
              <w:jc w:val="both"/>
              <w:textAlignment w:val="baseline"/>
              <w:rPr>
                <w:rFonts w:ascii="Book Antiqua" w:eastAsia="Times New Roman" w:hAnsi="Book Antiqua" w:cs="Segoe UI"/>
                <w:color w:val="000000"/>
                <w:sz w:val="14"/>
                <w:szCs w:val="14"/>
                <w:lang w:eastAsia="es-CR"/>
              </w:rPr>
            </w:pPr>
            <w:r w:rsidRPr="00C650EF">
              <w:rPr>
                <w:rFonts w:ascii="Book Antiqua" w:eastAsia="Times New Roman" w:hAnsi="Book Antiqua" w:cs="Segoe UI"/>
                <w:color w:val="000000"/>
                <w:sz w:val="14"/>
                <w:szCs w:val="14"/>
                <w:lang w:eastAsia="es-CR"/>
              </w:rPr>
              <w:t>a. Actualización de cronograma de actividades y fecha de cierre de proyecto.       b. Cambio de roles en los responsables del proyecto.</w:t>
            </w:r>
          </w:p>
          <w:p w14:paraId="07C75B6D" w14:textId="632DE9D3"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 Actualización de la documentación: acta de constitución, estudio de factibilidad, plan de gestión. </w:t>
            </w:r>
          </w:p>
        </w:tc>
        <w:tc>
          <w:tcPr>
            <w:tcW w:w="1335" w:type="dxa"/>
            <w:shd w:val="clear" w:color="auto" w:fill="FFFFFF"/>
            <w:vAlign w:val="center"/>
            <w:hideMark/>
          </w:tcPr>
          <w:p w14:paraId="060B148E"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Costo, cronograma, rendimiento y recurso </w:t>
            </w:r>
          </w:p>
        </w:tc>
        <w:tc>
          <w:tcPr>
            <w:tcW w:w="812" w:type="dxa"/>
            <w:shd w:val="clear" w:color="auto" w:fill="FFFFFF"/>
            <w:vAlign w:val="center"/>
            <w:hideMark/>
          </w:tcPr>
          <w:p w14:paraId="722048A6"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shd w:val="clear" w:color="auto" w:fill="FFFFFF"/>
            <w:vAlign w:val="center"/>
            <w:hideMark/>
          </w:tcPr>
          <w:p w14:paraId="5B9009EE"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Producto de la solicitud de cambio del pendiente 14-2-23:  </w:t>
            </w:r>
          </w:p>
          <w:p w14:paraId="3FD9D297" w14:textId="668F8FF0"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Plan de gestión:</w:t>
            </w:r>
            <w:r w:rsidRPr="00C650EF">
              <w:rPr>
                <w:rFonts w:ascii="Book Antiqua" w:eastAsia="Times New Roman" w:hAnsi="Book Antiqua" w:cs="Segoe UI"/>
                <w:color w:val="000000"/>
                <w:sz w:val="14"/>
                <w:szCs w:val="14"/>
                <w:lang w:eastAsia="es-CR"/>
              </w:rPr>
              <w:t>  el diagrama de la EDT no se muestra completo; a nivel del desglose de la EDT se debe incluir solamente los entregables no los paquetes de trabajo; además faltan la fase de formulación porque debe aparecer las 4 fases de la metodología, esto se debe corregir en cronograma, diagrama de EDT, y cuadro de desglose de la EDT; el cronograma debe incluirse en PDF, o anexarse en la carpeta para que muestre completo. </w:t>
            </w:r>
          </w:p>
        </w:tc>
        <w:tc>
          <w:tcPr>
            <w:tcW w:w="982" w:type="dxa"/>
            <w:shd w:val="clear" w:color="auto" w:fill="FFFFFF"/>
            <w:vAlign w:val="center"/>
            <w:hideMark/>
          </w:tcPr>
          <w:p w14:paraId="2270D09C"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Randall Zuñiga Lopez </w:t>
            </w:r>
          </w:p>
        </w:tc>
      </w:tr>
      <w:tr w:rsidR="009557E0" w:rsidRPr="00C650EF" w14:paraId="4C5EC1C1" w14:textId="77777777" w:rsidTr="009557E0">
        <w:trPr>
          <w:trHeight w:val="3165"/>
          <w:jc w:val="center"/>
        </w:trPr>
        <w:tc>
          <w:tcPr>
            <w:tcW w:w="804" w:type="dxa"/>
            <w:shd w:val="clear" w:color="auto" w:fill="FFFFFF"/>
            <w:vAlign w:val="center"/>
            <w:hideMark/>
          </w:tcPr>
          <w:p w14:paraId="5A202B3F"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lastRenderedPageBreak/>
              <w:t>18/4/2023 </w:t>
            </w:r>
          </w:p>
        </w:tc>
        <w:tc>
          <w:tcPr>
            <w:tcW w:w="603" w:type="dxa"/>
            <w:shd w:val="clear" w:color="auto" w:fill="FFFFFF"/>
            <w:vAlign w:val="center"/>
            <w:hideMark/>
          </w:tcPr>
          <w:p w14:paraId="1F27F352"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1167-OIJ-P17 </w:t>
            </w:r>
          </w:p>
        </w:tc>
        <w:tc>
          <w:tcPr>
            <w:tcW w:w="1377" w:type="dxa"/>
            <w:shd w:val="clear" w:color="auto" w:fill="FFFFFF"/>
            <w:vAlign w:val="center"/>
            <w:hideMark/>
          </w:tcPr>
          <w:p w14:paraId="5AAE45B0"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Acreditación ISO 17020 e ISO 17025 SIORI </w:t>
            </w:r>
          </w:p>
        </w:tc>
        <w:tc>
          <w:tcPr>
            <w:tcW w:w="1396" w:type="dxa"/>
            <w:shd w:val="clear" w:color="auto" w:fill="FFFFFF"/>
            <w:vAlign w:val="center"/>
            <w:hideMark/>
          </w:tcPr>
          <w:p w14:paraId="6AB453EA"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1- Se agregan tareas vinculadas al entregable 3.10. 2- Se agrega un riesgo al Plan de Gestión.3- Se modifican plazos de tareas vinculadas al entregable 3.4 </w:t>
            </w:r>
            <w:r w:rsidRPr="00C650EF">
              <w:rPr>
                <w:rFonts w:ascii="Book Antiqua" w:eastAsia="Times New Roman" w:hAnsi="Book Antiqua" w:cs="Segoe UI"/>
                <w:color w:val="000000"/>
                <w:sz w:val="14"/>
                <w:szCs w:val="14"/>
                <w:lang w:eastAsia="es-CR"/>
              </w:rPr>
              <w:br/>
              <w:t>4- Se modifica fecha de finalización del proyecto.5- Reajuste en el Cronograma.6- Modificación de costos del proyecto.7- Actualización de la documentación del proyecto. </w:t>
            </w:r>
          </w:p>
        </w:tc>
        <w:tc>
          <w:tcPr>
            <w:tcW w:w="1335" w:type="dxa"/>
            <w:shd w:val="clear" w:color="auto" w:fill="FFFFFF"/>
            <w:vAlign w:val="center"/>
            <w:hideMark/>
          </w:tcPr>
          <w:p w14:paraId="23043630"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Costo, cronograma, rendimiento. </w:t>
            </w:r>
          </w:p>
        </w:tc>
        <w:tc>
          <w:tcPr>
            <w:tcW w:w="812" w:type="dxa"/>
            <w:shd w:val="clear" w:color="auto" w:fill="FFFFFF"/>
            <w:vAlign w:val="center"/>
            <w:hideMark/>
          </w:tcPr>
          <w:p w14:paraId="739FA4C7"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shd w:val="clear" w:color="auto" w:fill="FFFFFF"/>
            <w:vAlign w:val="center"/>
            <w:hideMark/>
          </w:tcPr>
          <w:p w14:paraId="4E816239"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Producto de la solicitud de cambio del pendiente 18-4-23: </w:t>
            </w:r>
            <w:r w:rsidRPr="00C650EF">
              <w:rPr>
                <w:rFonts w:ascii="Book Antiqua" w:eastAsia="Times New Roman" w:hAnsi="Book Antiqua" w:cs="Segoe UI"/>
                <w:b/>
                <w:bCs/>
                <w:color w:val="000000"/>
                <w:sz w:val="14"/>
                <w:szCs w:val="14"/>
                <w:lang w:eastAsia="es-CR"/>
              </w:rPr>
              <w:t> </w:t>
            </w:r>
            <w:r w:rsidRPr="00C650EF">
              <w:rPr>
                <w:rFonts w:ascii="Book Antiqua" w:eastAsia="Times New Roman" w:hAnsi="Book Antiqua" w:cs="Segoe UI"/>
                <w:color w:val="000000"/>
                <w:sz w:val="14"/>
                <w:szCs w:val="14"/>
                <w:lang w:eastAsia="es-CR"/>
              </w:rPr>
              <w:t> </w:t>
            </w:r>
          </w:p>
          <w:p w14:paraId="54A20F54" w14:textId="01D1992B"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Estudio de factibilidad:</w:t>
            </w:r>
            <w:r w:rsidRPr="00C650EF">
              <w:rPr>
                <w:rFonts w:ascii="Book Antiqua" w:eastAsia="Times New Roman" w:hAnsi="Book Antiqua" w:cs="Segoe UI"/>
                <w:color w:val="000000"/>
                <w:sz w:val="14"/>
                <w:szCs w:val="14"/>
                <w:lang w:eastAsia="es-CR"/>
              </w:rPr>
              <w:t xml:space="preserve"> el costo de inversión no coincide con acta de constitución y plan de gestión, el costo de operación corresponde al costo que se incurre una vez concluido el proyecto no durante su ejecución, verificar el SROI porque se está contemplando costos de inversión y de operación y solamente es costo de inversión.</w:t>
            </w:r>
            <w:r w:rsidRPr="00C650EF">
              <w:rPr>
                <w:rFonts w:ascii="Book Antiqua" w:eastAsia="Times New Roman" w:hAnsi="Book Antiqua" w:cs="Segoe UI"/>
                <w:b/>
                <w:bCs/>
                <w:color w:val="000000"/>
                <w:sz w:val="14"/>
                <w:szCs w:val="14"/>
                <w:lang w:eastAsia="es-CR"/>
              </w:rPr>
              <w:t> </w:t>
            </w:r>
            <w:r w:rsidRPr="00C650EF">
              <w:rPr>
                <w:rFonts w:ascii="Book Antiqua" w:eastAsia="Times New Roman" w:hAnsi="Book Antiqua" w:cs="Segoe UI"/>
                <w:color w:val="000000"/>
                <w:sz w:val="14"/>
                <w:szCs w:val="14"/>
                <w:lang w:eastAsia="es-CR"/>
              </w:rPr>
              <w:t> </w:t>
            </w:r>
          </w:p>
          <w:p w14:paraId="6832F58F"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Plan de gestión: </w:t>
            </w:r>
            <w:r w:rsidRPr="00C650EF">
              <w:rPr>
                <w:rFonts w:ascii="Book Antiqua" w:eastAsia="Times New Roman" w:hAnsi="Book Antiqua" w:cs="Segoe UI"/>
                <w:color w:val="000000"/>
                <w:sz w:val="14"/>
                <w:szCs w:val="14"/>
                <w:lang w:eastAsia="es-CR"/>
              </w:rPr>
              <w:t xml:space="preserve"> el diagrama de la EDT no se encuentra; el cronograma debe incluirse en PDF, o anexarse en la carpeta para que muestre completo; el apartado de presupuesto del proyecto contiene datos que no coinciden con acta de constitución y estudio de factibilidad. </w:t>
            </w:r>
          </w:p>
        </w:tc>
        <w:tc>
          <w:tcPr>
            <w:tcW w:w="982" w:type="dxa"/>
            <w:shd w:val="clear" w:color="auto" w:fill="FFFFFF"/>
            <w:vAlign w:val="center"/>
            <w:hideMark/>
          </w:tcPr>
          <w:p w14:paraId="06036C4F"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Randall Zuñiga Lopez </w:t>
            </w:r>
          </w:p>
        </w:tc>
      </w:tr>
      <w:tr w:rsidR="009557E0" w:rsidRPr="00C650EF" w14:paraId="77B98122" w14:textId="77777777" w:rsidTr="009557E0">
        <w:trPr>
          <w:trHeight w:val="3045"/>
          <w:jc w:val="center"/>
        </w:trPr>
        <w:tc>
          <w:tcPr>
            <w:tcW w:w="804" w:type="dxa"/>
            <w:shd w:val="clear" w:color="auto" w:fill="FFFFFF"/>
            <w:vAlign w:val="center"/>
            <w:hideMark/>
          </w:tcPr>
          <w:p w14:paraId="6A3BE5A6"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27/2/2023 </w:t>
            </w:r>
          </w:p>
        </w:tc>
        <w:tc>
          <w:tcPr>
            <w:tcW w:w="603" w:type="dxa"/>
            <w:vMerge w:val="restart"/>
            <w:shd w:val="clear" w:color="auto" w:fill="FFFFFF"/>
            <w:vAlign w:val="center"/>
            <w:hideMark/>
          </w:tcPr>
          <w:p w14:paraId="16E5F7A9"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1167-OIJ-P23 </w:t>
            </w:r>
          </w:p>
        </w:tc>
        <w:tc>
          <w:tcPr>
            <w:tcW w:w="1377" w:type="dxa"/>
            <w:vMerge w:val="restart"/>
            <w:shd w:val="clear" w:color="auto" w:fill="FFFFFF"/>
            <w:vAlign w:val="center"/>
            <w:hideMark/>
          </w:tcPr>
          <w:p w14:paraId="0F5AC685"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Implementar y validar dos metodologías de análisis de material vegetal sospechoso para distinguir entre cáñamo y marihuana </w:t>
            </w:r>
          </w:p>
        </w:tc>
        <w:tc>
          <w:tcPr>
            <w:tcW w:w="1396" w:type="dxa"/>
            <w:shd w:val="clear" w:color="auto" w:fill="FFFFFF"/>
            <w:vAlign w:val="center"/>
            <w:hideMark/>
          </w:tcPr>
          <w:p w14:paraId="287E91AB"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1. Modificación de la fecha de finalización del proyecto.2. Modificación de tareas en el cronograma del proyecto.3. Cambios en el rol del personal asignado en el proyecto.4. Ampliar los beneficios esperados gracias a donación materiales de referencia vegetales que va a donar la DEA.5. Actualización de la documentación del proyecto. </w:t>
            </w:r>
          </w:p>
        </w:tc>
        <w:tc>
          <w:tcPr>
            <w:tcW w:w="1335" w:type="dxa"/>
            <w:shd w:val="clear" w:color="auto" w:fill="FFFFFF"/>
            <w:vAlign w:val="center"/>
            <w:hideMark/>
          </w:tcPr>
          <w:p w14:paraId="1AA70D30"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Costo, cronograma, rendimiento y recurso </w:t>
            </w:r>
          </w:p>
        </w:tc>
        <w:tc>
          <w:tcPr>
            <w:tcW w:w="812" w:type="dxa"/>
            <w:shd w:val="clear" w:color="auto" w:fill="FFFFFF"/>
            <w:vAlign w:val="center"/>
            <w:hideMark/>
          </w:tcPr>
          <w:p w14:paraId="15B1A988"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vMerge w:val="restart"/>
            <w:shd w:val="clear" w:color="auto" w:fill="FFFFFF"/>
            <w:vAlign w:val="center"/>
            <w:hideMark/>
          </w:tcPr>
          <w:p w14:paraId="5BC177A2" w14:textId="1136E59B" w:rsidR="009557E0" w:rsidRPr="00C650EF" w:rsidRDefault="009557E0" w:rsidP="009557E0">
            <w:pPr>
              <w:spacing w:after="0" w:line="240" w:lineRule="auto"/>
              <w:jc w:val="both"/>
              <w:textAlignment w:val="baseline"/>
              <w:rPr>
                <w:rFonts w:ascii="Book Antiqua" w:eastAsia="Times New Roman" w:hAnsi="Book Antiqua" w:cs="Segoe UI"/>
                <w:color w:val="000000"/>
                <w:sz w:val="14"/>
                <w:szCs w:val="14"/>
                <w:lang w:eastAsia="es-CR"/>
              </w:rPr>
            </w:pPr>
            <w:r w:rsidRPr="00C650EF">
              <w:rPr>
                <w:rFonts w:ascii="Book Antiqua" w:eastAsia="Times New Roman" w:hAnsi="Book Antiqua" w:cs="Segoe UI"/>
                <w:color w:val="000000"/>
                <w:sz w:val="14"/>
                <w:szCs w:val="14"/>
                <w:lang w:eastAsia="es-CR"/>
              </w:rPr>
              <w:t>Producto de la solicitud de cambio del pendiente 27-2-23 y 28-4-23:.  </w:t>
            </w:r>
          </w:p>
          <w:p w14:paraId="02131E6A"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p>
          <w:p w14:paraId="281768A8" w14:textId="7E1F698A"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Plan de gestión:</w:t>
            </w:r>
            <w:r w:rsidRPr="00C650EF">
              <w:rPr>
                <w:rFonts w:ascii="Book Antiqua" w:eastAsia="Times New Roman" w:hAnsi="Book Antiqua" w:cs="Segoe UI"/>
                <w:color w:val="000000"/>
                <w:sz w:val="14"/>
                <w:szCs w:val="14"/>
                <w:lang w:eastAsia="es-CR"/>
              </w:rPr>
              <w:t xml:space="preserve"> fecha de finalización no concuerda con cronograma; el diagrama de la EDT debe contener todas las fases y los entregables de estas; el cronograma  esta desactualizado además se debe incluirse en PDF, o anexarse en la carpeta para que muestre completo. </w:t>
            </w:r>
          </w:p>
          <w:p w14:paraId="2516B09A" w14:textId="0FD65B73"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Estudio de factibilidad:</w:t>
            </w:r>
            <w:r w:rsidRPr="00C650EF">
              <w:rPr>
                <w:rFonts w:ascii="Book Antiqua" w:eastAsia="Times New Roman" w:hAnsi="Book Antiqua" w:cs="Segoe UI"/>
                <w:color w:val="000000"/>
                <w:sz w:val="14"/>
                <w:szCs w:val="14"/>
                <w:lang w:eastAsia="es-CR"/>
              </w:rPr>
              <w:t xml:space="preserve"> tiempo estimado no con cronograma. .Acta de constitución:  fecha de finalización no concuerda con cronograma </w:t>
            </w:r>
            <w:r w:rsidRPr="00EF4E17">
              <w:rPr>
                <w:rFonts w:ascii="Book Antiqua" w:eastAsia="Times New Roman" w:hAnsi="Book Antiqua" w:cs="Segoe UI"/>
                <w:color w:val="000000"/>
                <w:sz w:val="14"/>
                <w:szCs w:val="14"/>
                <w:lang w:eastAsia="es-CR"/>
              </w:rPr>
              <w:t>concuerda</w:t>
            </w:r>
          </w:p>
        </w:tc>
        <w:tc>
          <w:tcPr>
            <w:tcW w:w="982" w:type="dxa"/>
            <w:shd w:val="clear" w:color="auto" w:fill="FFFFFF"/>
            <w:vAlign w:val="center"/>
            <w:hideMark/>
          </w:tcPr>
          <w:p w14:paraId="7281C6EE"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Randall Zuñiga Lopez </w:t>
            </w:r>
          </w:p>
        </w:tc>
      </w:tr>
      <w:tr w:rsidR="009557E0" w:rsidRPr="00C650EF" w14:paraId="27049521" w14:textId="77777777" w:rsidTr="009557E0">
        <w:trPr>
          <w:trHeight w:val="285"/>
          <w:jc w:val="center"/>
        </w:trPr>
        <w:tc>
          <w:tcPr>
            <w:tcW w:w="804" w:type="dxa"/>
            <w:shd w:val="clear" w:color="auto" w:fill="FFFFFF"/>
            <w:vAlign w:val="center"/>
            <w:hideMark/>
          </w:tcPr>
          <w:p w14:paraId="229BEC1D"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28/4/2023 </w:t>
            </w:r>
          </w:p>
        </w:tc>
        <w:tc>
          <w:tcPr>
            <w:tcW w:w="0" w:type="auto"/>
            <w:vMerge/>
            <w:shd w:val="clear" w:color="auto" w:fill="auto"/>
            <w:vAlign w:val="center"/>
            <w:hideMark/>
          </w:tcPr>
          <w:p w14:paraId="52BDEAA0" w14:textId="77777777" w:rsidR="009557E0" w:rsidRPr="00EF4E17" w:rsidRDefault="009557E0" w:rsidP="009557E0">
            <w:pPr>
              <w:spacing w:after="0" w:line="240" w:lineRule="auto"/>
              <w:rPr>
                <w:rFonts w:ascii="Book Antiqua" w:eastAsia="Times New Roman" w:hAnsi="Book Antiqua" w:cs="Segoe UI"/>
                <w:sz w:val="14"/>
                <w:szCs w:val="14"/>
                <w:lang w:eastAsia="es-CR"/>
              </w:rPr>
            </w:pPr>
          </w:p>
        </w:tc>
        <w:tc>
          <w:tcPr>
            <w:tcW w:w="0" w:type="auto"/>
            <w:vMerge/>
            <w:shd w:val="clear" w:color="auto" w:fill="auto"/>
            <w:vAlign w:val="center"/>
            <w:hideMark/>
          </w:tcPr>
          <w:p w14:paraId="5ADEF103" w14:textId="77777777" w:rsidR="009557E0" w:rsidRPr="00EF4E17" w:rsidRDefault="009557E0" w:rsidP="009557E0">
            <w:pPr>
              <w:spacing w:after="0" w:line="240" w:lineRule="auto"/>
              <w:rPr>
                <w:rFonts w:ascii="Book Antiqua" w:eastAsia="Times New Roman" w:hAnsi="Book Antiqua" w:cs="Segoe UI"/>
                <w:sz w:val="14"/>
                <w:szCs w:val="14"/>
                <w:lang w:eastAsia="es-CR"/>
              </w:rPr>
            </w:pPr>
          </w:p>
        </w:tc>
        <w:tc>
          <w:tcPr>
            <w:tcW w:w="1396" w:type="dxa"/>
            <w:shd w:val="clear" w:color="auto" w:fill="FFFFFF"/>
            <w:vAlign w:val="center"/>
            <w:hideMark/>
          </w:tcPr>
          <w:p w14:paraId="35D0E7B7"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Solicitud de reorganización del cronograma con nuevas fechas de término del proyecto </w:t>
            </w:r>
          </w:p>
        </w:tc>
        <w:tc>
          <w:tcPr>
            <w:tcW w:w="1335" w:type="dxa"/>
            <w:shd w:val="clear" w:color="auto" w:fill="FFFFFF"/>
            <w:vAlign w:val="center"/>
            <w:hideMark/>
          </w:tcPr>
          <w:p w14:paraId="2A563957"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Cronograma </w:t>
            </w:r>
          </w:p>
        </w:tc>
        <w:tc>
          <w:tcPr>
            <w:tcW w:w="812" w:type="dxa"/>
            <w:shd w:val="clear" w:color="auto" w:fill="FFFFFF"/>
            <w:vAlign w:val="center"/>
            <w:hideMark/>
          </w:tcPr>
          <w:p w14:paraId="48E27A9F"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vMerge/>
            <w:shd w:val="clear" w:color="auto" w:fill="auto"/>
            <w:vAlign w:val="center"/>
            <w:hideMark/>
          </w:tcPr>
          <w:p w14:paraId="3387128F" w14:textId="77777777" w:rsidR="009557E0" w:rsidRPr="00EF4E17" w:rsidRDefault="009557E0" w:rsidP="009557E0">
            <w:pPr>
              <w:spacing w:after="0" w:line="240" w:lineRule="auto"/>
              <w:rPr>
                <w:rFonts w:ascii="Book Antiqua" w:eastAsia="Times New Roman" w:hAnsi="Book Antiqua" w:cs="Segoe UI"/>
                <w:sz w:val="14"/>
                <w:szCs w:val="14"/>
                <w:lang w:eastAsia="es-CR"/>
              </w:rPr>
            </w:pPr>
          </w:p>
        </w:tc>
        <w:tc>
          <w:tcPr>
            <w:tcW w:w="982" w:type="dxa"/>
            <w:shd w:val="clear" w:color="auto" w:fill="FFFFFF"/>
            <w:vAlign w:val="center"/>
            <w:hideMark/>
          </w:tcPr>
          <w:p w14:paraId="5FDFC7E5"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Randall Zuñiga Lopez </w:t>
            </w:r>
          </w:p>
        </w:tc>
      </w:tr>
      <w:tr w:rsidR="009557E0" w:rsidRPr="00C650EF" w14:paraId="727E95AA" w14:textId="77777777" w:rsidTr="009557E0">
        <w:trPr>
          <w:trHeight w:val="3735"/>
          <w:jc w:val="center"/>
        </w:trPr>
        <w:tc>
          <w:tcPr>
            <w:tcW w:w="804" w:type="dxa"/>
            <w:shd w:val="clear" w:color="auto" w:fill="FFFFFF"/>
            <w:vAlign w:val="center"/>
            <w:hideMark/>
          </w:tcPr>
          <w:p w14:paraId="75D9CCE8"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lastRenderedPageBreak/>
              <w:t>4/4/2023 </w:t>
            </w:r>
          </w:p>
        </w:tc>
        <w:tc>
          <w:tcPr>
            <w:tcW w:w="603" w:type="dxa"/>
            <w:shd w:val="clear" w:color="auto" w:fill="FFFFFF"/>
            <w:vAlign w:val="center"/>
            <w:hideMark/>
          </w:tcPr>
          <w:p w14:paraId="3F96C9C8"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1167-OIJ-P52 </w:t>
            </w:r>
          </w:p>
        </w:tc>
        <w:tc>
          <w:tcPr>
            <w:tcW w:w="1377" w:type="dxa"/>
            <w:shd w:val="clear" w:color="auto" w:fill="FFFFFF"/>
            <w:vAlign w:val="center"/>
            <w:hideMark/>
          </w:tcPr>
          <w:p w14:paraId="16C7CDE8"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Implementación de la gestión de la contaminación cognitiva en el trabajo de casos forenses </w:t>
            </w:r>
          </w:p>
        </w:tc>
        <w:tc>
          <w:tcPr>
            <w:tcW w:w="1396" w:type="dxa"/>
            <w:shd w:val="clear" w:color="auto" w:fill="FFFFFF"/>
            <w:vAlign w:val="center"/>
            <w:hideMark/>
          </w:tcPr>
          <w:p w14:paraId="0A33055E"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 Redefinición del alcance del proyecto: se da para mejorar los procesos de gestión alrededor de planificación, ejecución, control, seguimiento y cierre de proyectos que se llevan en el Departamento de Ciencias Forenses y abordar una nueva necesidad en el tema de la atención del sesgo. B. Actualización de documentos del Proyecto: según los estándares de la metodología de proyectos de la institución. </w:t>
            </w:r>
          </w:p>
        </w:tc>
        <w:tc>
          <w:tcPr>
            <w:tcW w:w="1335" w:type="dxa"/>
            <w:shd w:val="clear" w:color="auto" w:fill="FFFFFF"/>
            <w:vAlign w:val="center"/>
            <w:hideMark/>
          </w:tcPr>
          <w:p w14:paraId="62619095"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Costo, técnico,  cronograma, rendimiento y recurso </w:t>
            </w:r>
          </w:p>
        </w:tc>
        <w:tc>
          <w:tcPr>
            <w:tcW w:w="812" w:type="dxa"/>
            <w:shd w:val="clear" w:color="auto" w:fill="FFFFFF"/>
            <w:vAlign w:val="center"/>
            <w:hideMark/>
          </w:tcPr>
          <w:p w14:paraId="53F48F20"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shd w:val="clear" w:color="auto" w:fill="FFFFFF"/>
            <w:vAlign w:val="center"/>
            <w:hideMark/>
          </w:tcPr>
          <w:p w14:paraId="6823A726"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Producto de la solicitud de cambio del pendiente 4-4-23: </w:t>
            </w:r>
          </w:p>
          <w:p w14:paraId="3AD0458E"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Plan de gestión:</w:t>
            </w:r>
            <w:r w:rsidRPr="00C650EF">
              <w:rPr>
                <w:rFonts w:ascii="Book Antiqua" w:eastAsia="Times New Roman" w:hAnsi="Book Antiqua" w:cs="Segoe UI"/>
                <w:color w:val="000000"/>
                <w:sz w:val="14"/>
                <w:szCs w:val="14"/>
                <w:lang w:eastAsia="es-CR"/>
              </w:rPr>
              <w:t xml:space="preserve"> los beneficios deben coincidir con el estudio de factibilidad; el cronograma debe incluirse en PDF, o anexarse en la carpeta para que muestre completo. </w:t>
            </w:r>
          </w:p>
        </w:tc>
        <w:tc>
          <w:tcPr>
            <w:tcW w:w="982" w:type="dxa"/>
            <w:shd w:val="clear" w:color="auto" w:fill="FFFFFF"/>
            <w:vAlign w:val="center"/>
            <w:hideMark/>
          </w:tcPr>
          <w:p w14:paraId="63092FE0"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Randall Zuñiga Lopez </w:t>
            </w:r>
          </w:p>
        </w:tc>
      </w:tr>
      <w:tr w:rsidR="009557E0" w:rsidRPr="00C650EF" w14:paraId="7A9B14E0" w14:textId="77777777" w:rsidTr="009557E0">
        <w:trPr>
          <w:trHeight w:val="3555"/>
          <w:jc w:val="center"/>
        </w:trPr>
        <w:tc>
          <w:tcPr>
            <w:tcW w:w="804" w:type="dxa"/>
            <w:shd w:val="clear" w:color="auto" w:fill="FFFFFF"/>
            <w:vAlign w:val="center"/>
            <w:hideMark/>
          </w:tcPr>
          <w:p w14:paraId="7D408D2B"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28/4/2023 </w:t>
            </w:r>
          </w:p>
        </w:tc>
        <w:tc>
          <w:tcPr>
            <w:tcW w:w="603" w:type="dxa"/>
            <w:shd w:val="clear" w:color="auto" w:fill="FFFFFF"/>
            <w:vAlign w:val="center"/>
            <w:hideMark/>
          </w:tcPr>
          <w:p w14:paraId="3074B8E9"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1374-CF-P01 </w:t>
            </w:r>
          </w:p>
        </w:tc>
        <w:tc>
          <w:tcPr>
            <w:tcW w:w="1377" w:type="dxa"/>
            <w:shd w:val="clear" w:color="auto" w:fill="FFFFFF"/>
            <w:vAlign w:val="center"/>
            <w:hideMark/>
          </w:tcPr>
          <w:p w14:paraId="08E69A17"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Implementación del Código Procesal de Familia </w:t>
            </w:r>
          </w:p>
        </w:tc>
        <w:tc>
          <w:tcPr>
            <w:tcW w:w="1396" w:type="dxa"/>
            <w:shd w:val="clear" w:color="auto" w:fill="FFFFFF"/>
            <w:vAlign w:val="center"/>
            <w:hideMark/>
          </w:tcPr>
          <w:p w14:paraId="11B216DC"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Actualización del cronograma </w:t>
            </w:r>
          </w:p>
        </w:tc>
        <w:tc>
          <w:tcPr>
            <w:tcW w:w="1335" w:type="dxa"/>
            <w:shd w:val="clear" w:color="auto" w:fill="FFFFFF"/>
            <w:vAlign w:val="center"/>
            <w:hideMark/>
          </w:tcPr>
          <w:p w14:paraId="7823B9BB"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Cronograma. </w:t>
            </w:r>
          </w:p>
        </w:tc>
        <w:tc>
          <w:tcPr>
            <w:tcW w:w="812" w:type="dxa"/>
            <w:shd w:val="clear" w:color="auto" w:fill="FFFFFF"/>
            <w:vAlign w:val="center"/>
            <w:hideMark/>
          </w:tcPr>
          <w:p w14:paraId="0D992389"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shd w:val="clear" w:color="auto" w:fill="FFFFFF"/>
            <w:vAlign w:val="center"/>
            <w:hideMark/>
          </w:tcPr>
          <w:p w14:paraId="46F50820"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Producto de la solicitud de cambio del pendiente 28-4-23:  </w:t>
            </w:r>
          </w:p>
          <w:p w14:paraId="414586CC" w14:textId="596EC813"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 xml:space="preserve">Acta de constitución: </w:t>
            </w:r>
            <w:r w:rsidRPr="00C650EF">
              <w:rPr>
                <w:rFonts w:ascii="Book Antiqua" w:eastAsia="Times New Roman" w:hAnsi="Book Antiqua" w:cs="Segoe UI"/>
                <w:color w:val="000000"/>
                <w:sz w:val="14"/>
                <w:szCs w:val="14"/>
                <w:lang w:eastAsia="es-CR"/>
              </w:rPr>
              <w:t>el cronograma es de alto nivel solamente debe incluir los entregables con años o meses de entrega; en recursos del proyecto verificar que este coincidas con los costos del apartado anterior y con el estudio de factibilidad, y plan de gestión, porque en el cuadro se encuentra recurso humano y en el apartado inferior también.  </w:t>
            </w:r>
          </w:p>
          <w:p w14:paraId="23510B6A" w14:textId="7E02FBA8"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Estudio de factibilidad: </w:t>
            </w:r>
            <w:r w:rsidRPr="00C650EF">
              <w:rPr>
                <w:rFonts w:ascii="Book Antiqua" w:eastAsia="Times New Roman" w:hAnsi="Book Antiqua" w:cs="Segoe UI"/>
                <w:color w:val="000000"/>
                <w:sz w:val="14"/>
                <w:szCs w:val="14"/>
                <w:lang w:eastAsia="es-CR"/>
              </w:rPr>
              <w:t xml:space="preserve"> verificar el costo de inversión el mismo debe coincidir con el acta de constitución, y plan de gestión revisar el monto total; en análisis de costo-beneficio se debe verificar el costo de inversión porque no coincide con el apartado superior; revisar el costo de operación porque el mismo se indica costos que son durante la ejecución del proyecto y no una vez concluido. </w:t>
            </w:r>
          </w:p>
        </w:tc>
        <w:tc>
          <w:tcPr>
            <w:tcW w:w="982" w:type="dxa"/>
            <w:shd w:val="clear" w:color="auto" w:fill="FFFFFF"/>
            <w:vAlign w:val="center"/>
            <w:hideMark/>
          </w:tcPr>
          <w:p w14:paraId="772FAA09"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Dixon Li Morales </w:t>
            </w:r>
          </w:p>
        </w:tc>
      </w:tr>
      <w:tr w:rsidR="009557E0" w:rsidRPr="00C650EF" w14:paraId="383F7F68" w14:textId="77777777" w:rsidTr="009557E0">
        <w:trPr>
          <w:trHeight w:val="4875"/>
          <w:jc w:val="center"/>
        </w:trPr>
        <w:tc>
          <w:tcPr>
            <w:tcW w:w="804" w:type="dxa"/>
            <w:shd w:val="clear" w:color="auto" w:fill="FFFFFF"/>
            <w:vAlign w:val="center"/>
            <w:hideMark/>
          </w:tcPr>
          <w:p w14:paraId="2A7CCE16"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lastRenderedPageBreak/>
              <w:t>15/5/2023 </w:t>
            </w:r>
          </w:p>
        </w:tc>
        <w:tc>
          <w:tcPr>
            <w:tcW w:w="603" w:type="dxa"/>
            <w:shd w:val="clear" w:color="auto" w:fill="FFFFFF"/>
            <w:vAlign w:val="center"/>
            <w:hideMark/>
          </w:tcPr>
          <w:p w14:paraId="10FAED73"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4000-CA-P01 </w:t>
            </w:r>
          </w:p>
        </w:tc>
        <w:tc>
          <w:tcPr>
            <w:tcW w:w="1377" w:type="dxa"/>
            <w:shd w:val="clear" w:color="auto" w:fill="FFFFFF"/>
            <w:vAlign w:val="center"/>
            <w:hideMark/>
          </w:tcPr>
          <w:p w14:paraId="057404E3"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Implementación del Código Procesal Agrario (Comisión Agraria) </w:t>
            </w:r>
          </w:p>
        </w:tc>
        <w:tc>
          <w:tcPr>
            <w:tcW w:w="1396" w:type="dxa"/>
            <w:shd w:val="clear" w:color="auto" w:fill="FFFFFF"/>
            <w:vAlign w:val="center"/>
            <w:hideMark/>
          </w:tcPr>
          <w:p w14:paraId="4EEC1D1B"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Actualización del cronograma, y cambio de líder </w:t>
            </w:r>
          </w:p>
        </w:tc>
        <w:tc>
          <w:tcPr>
            <w:tcW w:w="1335" w:type="dxa"/>
            <w:shd w:val="clear" w:color="auto" w:fill="FFFFFF"/>
            <w:vAlign w:val="center"/>
            <w:hideMark/>
          </w:tcPr>
          <w:p w14:paraId="532567D4"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Costo, cronograma, y recurso </w:t>
            </w:r>
          </w:p>
        </w:tc>
        <w:tc>
          <w:tcPr>
            <w:tcW w:w="812" w:type="dxa"/>
            <w:shd w:val="clear" w:color="auto" w:fill="FFFFFF"/>
            <w:vAlign w:val="center"/>
            <w:hideMark/>
          </w:tcPr>
          <w:p w14:paraId="5D0D13BE"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 </w:t>
            </w:r>
          </w:p>
        </w:tc>
        <w:tc>
          <w:tcPr>
            <w:tcW w:w="2322" w:type="dxa"/>
            <w:shd w:val="clear" w:color="auto" w:fill="FFFFFF"/>
            <w:vAlign w:val="center"/>
            <w:hideMark/>
          </w:tcPr>
          <w:p w14:paraId="59BB5728"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Producto de la solicitud de cambio del pendiente 15-5-23:  </w:t>
            </w:r>
          </w:p>
          <w:p w14:paraId="030B9265"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Estudio de factibilidad:</w:t>
            </w:r>
            <w:r w:rsidRPr="00C650EF">
              <w:rPr>
                <w:rFonts w:ascii="Book Antiqua" w:eastAsia="Times New Roman" w:hAnsi="Book Antiqua" w:cs="Segoe UI"/>
                <w:color w:val="000000"/>
                <w:sz w:val="14"/>
                <w:szCs w:val="14"/>
                <w:lang w:eastAsia="es-CR"/>
              </w:rPr>
              <w:t xml:space="preserve"> en apartado de Planteamiento inicial del proyecto: en este apartado se deben indicar 3 alternativas de solución del problema o la mejora y porque se selecciona la misma; costo de inversión se debe verificar y debe coincidir con plan de gestión y acta de constitución; el costo de operación corresponde a los costos una vez finalizados en proyecto; el tiempo estimado se debe revisar no coincide con cronograma; análisis costo-beneficio se debe verificar si se varia el costo de inversión.  </w:t>
            </w:r>
          </w:p>
          <w:p w14:paraId="6DFBDFA4"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Acta de constitución</w:t>
            </w:r>
            <w:r w:rsidRPr="00C650EF">
              <w:rPr>
                <w:rFonts w:ascii="Book Antiqua" w:eastAsia="Times New Roman" w:hAnsi="Book Antiqua" w:cs="Segoe UI"/>
                <w:color w:val="000000"/>
                <w:sz w:val="14"/>
                <w:szCs w:val="14"/>
                <w:lang w:eastAsia="es-CR"/>
              </w:rPr>
              <w:t xml:space="preserve">: (Se requiere que se realice en el formulario de la metodología 2)  fecha de finalización no coincide con cronograma; costo se debe coincidir con plan de gestión y estudio de factibilidad; el tiempo también lo deben de verificar; cronograma general es importante que se inserte un cronograma de alto nivel como se menciona en el formulario de la metodología 2; recursos del proyecto deben coincidir con plan de gestión y estudio de factibilidad. </w:t>
            </w:r>
            <w:r w:rsidRPr="00C650EF">
              <w:rPr>
                <w:rFonts w:ascii="Book Antiqua" w:eastAsia="Times New Roman" w:hAnsi="Book Antiqua" w:cs="Segoe UI"/>
                <w:b/>
                <w:bCs/>
                <w:color w:val="000000"/>
                <w:sz w:val="14"/>
                <w:szCs w:val="14"/>
                <w:lang w:eastAsia="es-CR"/>
              </w:rPr>
              <w:t>Plan de gestión:</w:t>
            </w:r>
            <w:r w:rsidRPr="00C650EF">
              <w:rPr>
                <w:rFonts w:ascii="Book Antiqua" w:eastAsia="Times New Roman" w:hAnsi="Book Antiqua" w:cs="Segoe UI"/>
                <w:color w:val="000000"/>
                <w:sz w:val="14"/>
                <w:szCs w:val="14"/>
                <w:lang w:eastAsia="es-CR"/>
              </w:rPr>
              <w:t xml:space="preserve"> el organigrama debe coincidir con las modificaciones solicitadas; roles y responsabilidades se debe actualizar; detalle de los entregables el diagrama y el cuadro se debe actualizar para coincidir con cronograma; cronograma se debe insertar en PDF y descargado del Project; el presupuesto debe coincidir con acta de constitución y estudio de factibilidad. </w:t>
            </w:r>
          </w:p>
        </w:tc>
        <w:tc>
          <w:tcPr>
            <w:tcW w:w="982" w:type="dxa"/>
            <w:shd w:val="clear" w:color="auto" w:fill="FFFFFF"/>
            <w:vAlign w:val="center"/>
            <w:hideMark/>
          </w:tcPr>
          <w:p w14:paraId="72BF8433"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Pendiente aprobación de solicitud de cambio por parte del Director/ Administrador del proyecto </w:t>
            </w:r>
          </w:p>
        </w:tc>
      </w:tr>
      <w:tr w:rsidR="009557E0" w:rsidRPr="00C650EF" w14:paraId="2FB32000" w14:textId="77777777" w:rsidTr="009557E0">
        <w:trPr>
          <w:trHeight w:val="285"/>
          <w:jc w:val="center"/>
        </w:trPr>
        <w:tc>
          <w:tcPr>
            <w:tcW w:w="804" w:type="dxa"/>
            <w:shd w:val="clear" w:color="auto" w:fill="FFFFFF"/>
            <w:vAlign w:val="center"/>
            <w:hideMark/>
          </w:tcPr>
          <w:p w14:paraId="77077B64"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16/5/2023 </w:t>
            </w:r>
          </w:p>
        </w:tc>
        <w:tc>
          <w:tcPr>
            <w:tcW w:w="603" w:type="dxa"/>
            <w:shd w:val="clear" w:color="auto" w:fill="FFFFFF"/>
            <w:vAlign w:val="center"/>
            <w:hideMark/>
          </w:tcPr>
          <w:p w14:paraId="75159786"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0117-DE-P21 </w:t>
            </w:r>
          </w:p>
        </w:tc>
        <w:tc>
          <w:tcPr>
            <w:tcW w:w="1377" w:type="dxa"/>
            <w:shd w:val="clear" w:color="auto" w:fill="FFFFFF"/>
            <w:vAlign w:val="center"/>
            <w:hideMark/>
          </w:tcPr>
          <w:p w14:paraId="5862D49B"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Sistema de Voceo y Comunicación Institucional para la Corte Suprema de Justicia y la de Plaza de la Justicia </w:t>
            </w:r>
          </w:p>
        </w:tc>
        <w:tc>
          <w:tcPr>
            <w:tcW w:w="1396" w:type="dxa"/>
            <w:shd w:val="clear" w:color="auto" w:fill="FFFFFF"/>
            <w:vAlign w:val="center"/>
            <w:hideMark/>
          </w:tcPr>
          <w:p w14:paraId="628331EC"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Justificación de atraso, y actualización de porcentaje. </w:t>
            </w:r>
          </w:p>
        </w:tc>
        <w:tc>
          <w:tcPr>
            <w:tcW w:w="1335" w:type="dxa"/>
            <w:shd w:val="clear" w:color="auto" w:fill="FFFFFF"/>
            <w:vAlign w:val="center"/>
            <w:hideMark/>
          </w:tcPr>
          <w:p w14:paraId="5E1F0EFD"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Cronograma. </w:t>
            </w:r>
          </w:p>
        </w:tc>
        <w:tc>
          <w:tcPr>
            <w:tcW w:w="812" w:type="dxa"/>
            <w:shd w:val="clear" w:color="auto" w:fill="FFFFFF"/>
            <w:vAlign w:val="center"/>
            <w:hideMark/>
          </w:tcPr>
          <w:p w14:paraId="688EDB19"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No </w:t>
            </w:r>
          </w:p>
        </w:tc>
        <w:tc>
          <w:tcPr>
            <w:tcW w:w="2322" w:type="dxa"/>
            <w:shd w:val="clear" w:color="auto" w:fill="FFFFFF"/>
            <w:vAlign w:val="center"/>
            <w:hideMark/>
          </w:tcPr>
          <w:p w14:paraId="4B782A18"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Pendiente actualizar cronograma y documentos para presentar proyecto al día. </w:t>
            </w:r>
          </w:p>
        </w:tc>
        <w:tc>
          <w:tcPr>
            <w:tcW w:w="982" w:type="dxa"/>
            <w:shd w:val="clear" w:color="auto" w:fill="FFFFFF"/>
            <w:vAlign w:val="center"/>
            <w:hideMark/>
          </w:tcPr>
          <w:p w14:paraId="5BF3B6A8"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Edward Rodriguez Murillo </w:t>
            </w:r>
          </w:p>
        </w:tc>
      </w:tr>
      <w:tr w:rsidR="009557E0" w:rsidRPr="00C650EF" w14:paraId="3EAC1E9F" w14:textId="77777777" w:rsidTr="009557E0">
        <w:trPr>
          <w:trHeight w:val="1575"/>
          <w:jc w:val="center"/>
        </w:trPr>
        <w:tc>
          <w:tcPr>
            <w:tcW w:w="804" w:type="dxa"/>
            <w:shd w:val="clear" w:color="auto" w:fill="FFFFFF"/>
            <w:vAlign w:val="center"/>
            <w:hideMark/>
          </w:tcPr>
          <w:p w14:paraId="05DF7918"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8/2/2023 </w:t>
            </w:r>
          </w:p>
        </w:tc>
        <w:tc>
          <w:tcPr>
            <w:tcW w:w="603" w:type="dxa"/>
            <w:vMerge w:val="restart"/>
            <w:shd w:val="clear" w:color="auto" w:fill="FFFFFF"/>
            <w:vAlign w:val="center"/>
            <w:hideMark/>
          </w:tcPr>
          <w:p w14:paraId="69354012"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0122-DTI-P15 </w:t>
            </w:r>
          </w:p>
        </w:tc>
        <w:tc>
          <w:tcPr>
            <w:tcW w:w="1377" w:type="dxa"/>
            <w:vMerge w:val="restart"/>
            <w:shd w:val="clear" w:color="auto" w:fill="FFFFFF"/>
            <w:vAlign w:val="center"/>
            <w:hideMark/>
          </w:tcPr>
          <w:p w14:paraId="3AE7CEC7"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Diseño e implementación de la automatización robótica de procesos </w:t>
            </w:r>
          </w:p>
        </w:tc>
        <w:tc>
          <w:tcPr>
            <w:tcW w:w="1396" w:type="dxa"/>
            <w:shd w:val="clear" w:color="auto" w:fill="FFFFFF"/>
            <w:vAlign w:val="center"/>
            <w:hideMark/>
          </w:tcPr>
          <w:p w14:paraId="69F472C5" w14:textId="5B4870A3"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Modificación de cronograma. ( Se utiliza formulario de DTI y no de metodología de proyectos) </w:t>
            </w:r>
          </w:p>
        </w:tc>
        <w:tc>
          <w:tcPr>
            <w:tcW w:w="1335" w:type="dxa"/>
            <w:shd w:val="clear" w:color="auto" w:fill="FFFFFF"/>
            <w:vAlign w:val="center"/>
            <w:hideMark/>
          </w:tcPr>
          <w:p w14:paraId="61E3DE89"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Cronograma. </w:t>
            </w:r>
          </w:p>
        </w:tc>
        <w:tc>
          <w:tcPr>
            <w:tcW w:w="812" w:type="dxa"/>
            <w:shd w:val="clear" w:color="auto" w:fill="FFFFFF"/>
            <w:vAlign w:val="center"/>
            <w:hideMark/>
          </w:tcPr>
          <w:p w14:paraId="7DDD07FB"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 </w:t>
            </w:r>
          </w:p>
        </w:tc>
        <w:tc>
          <w:tcPr>
            <w:tcW w:w="2322" w:type="dxa"/>
            <w:vMerge w:val="restart"/>
            <w:shd w:val="clear" w:color="auto" w:fill="FFFFFF"/>
            <w:vAlign w:val="center"/>
            <w:hideMark/>
          </w:tcPr>
          <w:p w14:paraId="23881CB3"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Producto de la solicitud de cambio del 8-2-23 y 22-5-23 pendiente:  </w:t>
            </w:r>
          </w:p>
          <w:p w14:paraId="37C1C3E3"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Plan de gestión:</w:t>
            </w:r>
            <w:r w:rsidRPr="00C650EF">
              <w:rPr>
                <w:rFonts w:ascii="Book Antiqua" w:eastAsia="Times New Roman" w:hAnsi="Book Antiqua" w:cs="Segoe UI"/>
                <w:color w:val="000000"/>
                <w:sz w:val="14"/>
                <w:szCs w:val="14"/>
                <w:lang w:eastAsia="es-CR"/>
              </w:rPr>
              <w:t xml:space="preserve"> actualizar desglose de entregables, además falta incluir código de EDT; Falta diagrama de la EDT; el cronograma debe insertarse en PDF descargado desde el Project; organigrama del proyecto debe ser un organigrama que muestre la jerarquía del proyecto por rol y participantes del mismo; beneficios esperados debe coincidir con estudio de factibilidad.  </w:t>
            </w:r>
          </w:p>
          <w:p w14:paraId="1F84B289" w14:textId="537D612E"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Acta de constitución:</w:t>
            </w:r>
            <w:r w:rsidRPr="00C650EF">
              <w:rPr>
                <w:rFonts w:ascii="Book Antiqua" w:eastAsia="Times New Roman" w:hAnsi="Book Antiqua" w:cs="Segoe UI"/>
                <w:color w:val="000000"/>
                <w:sz w:val="14"/>
                <w:szCs w:val="14"/>
                <w:lang w:eastAsia="es-CR"/>
              </w:rPr>
              <w:t xml:space="preserve"> Falta Código del proyecto (Se debe trasladar la </w:t>
            </w:r>
            <w:r w:rsidRPr="00C650EF">
              <w:rPr>
                <w:rFonts w:ascii="Book Antiqua" w:eastAsia="Times New Roman" w:hAnsi="Book Antiqua" w:cs="Segoe UI"/>
                <w:color w:val="000000"/>
                <w:sz w:val="14"/>
                <w:szCs w:val="14"/>
                <w:lang w:eastAsia="es-CR"/>
              </w:rPr>
              <w:lastRenderedPageBreak/>
              <w:t>información al formulario vigente actualmente, según la versión 2 de la metodología de proyectos institucional).  </w:t>
            </w:r>
          </w:p>
          <w:p w14:paraId="40C1E7CB" w14:textId="77777777" w:rsidR="009557E0" w:rsidRPr="00EF4E17" w:rsidRDefault="009557E0" w:rsidP="009557E0">
            <w:pPr>
              <w:spacing w:after="0" w:line="240" w:lineRule="auto"/>
              <w:jc w:val="both"/>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b/>
                <w:bCs/>
                <w:color w:val="000000"/>
                <w:sz w:val="14"/>
                <w:szCs w:val="14"/>
                <w:lang w:eastAsia="es-CR"/>
              </w:rPr>
              <w:t>Estudio de factibilidad:</w:t>
            </w:r>
            <w:r w:rsidRPr="00C650EF">
              <w:rPr>
                <w:rFonts w:ascii="Book Antiqua" w:eastAsia="Times New Roman" w:hAnsi="Book Antiqua" w:cs="Segoe UI"/>
                <w:color w:val="000000"/>
                <w:sz w:val="14"/>
                <w:szCs w:val="14"/>
                <w:lang w:eastAsia="es-CR"/>
              </w:rPr>
              <w:t xml:space="preserve"> en apartado de Planteamiento inicial del proyecto: en este apartado se deben indicar 3 alternativas de solución del problema o la mejora y porque se selecciona la misma; cuantificación de los beneficios se debe indicar un monto; costo de operación corresponde a los costos una vez concluido el proyecto no durante la ejecución del mismo. </w:t>
            </w:r>
          </w:p>
        </w:tc>
        <w:tc>
          <w:tcPr>
            <w:tcW w:w="982" w:type="dxa"/>
            <w:shd w:val="clear" w:color="auto" w:fill="FFFFFF"/>
            <w:vAlign w:val="center"/>
            <w:hideMark/>
          </w:tcPr>
          <w:p w14:paraId="69E62F29"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lastRenderedPageBreak/>
              <w:t>Pendiente aprobación de solicitud de cambio por parte del Director/ Administrador del proyecto </w:t>
            </w:r>
          </w:p>
        </w:tc>
      </w:tr>
      <w:tr w:rsidR="009557E0" w:rsidRPr="00C650EF" w14:paraId="7180BF65" w14:textId="77777777" w:rsidTr="009557E0">
        <w:trPr>
          <w:trHeight w:val="285"/>
          <w:jc w:val="center"/>
        </w:trPr>
        <w:tc>
          <w:tcPr>
            <w:tcW w:w="804" w:type="dxa"/>
            <w:shd w:val="clear" w:color="auto" w:fill="FFFFFF"/>
            <w:vAlign w:val="center"/>
            <w:hideMark/>
          </w:tcPr>
          <w:p w14:paraId="6C1F94B9"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22/5/2023 </w:t>
            </w:r>
          </w:p>
        </w:tc>
        <w:tc>
          <w:tcPr>
            <w:tcW w:w="0" w:type="auto"/>
            <w:vMerge/>
            <w:shd w:val="clear" w:color="auto" w:fill="auto"/>
            <w:vAlign w:val="center"/>
            <w:hideMark/>
          </w:tcPr>
          <w:p w14:paraId="12996AAE" w14:textId="77777777" w:rsidR="009557E0" w:rsidRPr="00EF4E17" w:rsidRDefault="009557E0" w:rsidP="009557E0">
            <w:pPr>
              <w:spacing w:after="0" w:line="240" w:lineRule="auto"/>
              <w:rPr>
                <w:rFonts w:ascii="Book Antiqua" w:eastAsia="Times New Roman" w:hAnsi="Book Antiqua" w:cs="Segoe UI"/>
                <w:sz w:val="14"/>
                <w:szCs w:val="14"/>
                <w:lang w:eastAsia="es-CR"/>
              </w:rPr>
            </w:pPr>
          </w:p>
        </w:tc>
        <w:tc>
          <w:tcPr>
            <w:tcW w:w="0" w:type="auto"/>
            <w:vMerge/>
            <w:shd w:val="clear" w:color="auto" w:fill="auto"/>
            <w:vAlign w:val="center"/>
            <w:hideMark/>
          </w:tcPr>
          <w:p w14:paraId="229E573A" w14:textId="77777777" w:rsidR="009557E0" w:rsidRPr="00EF4E17" w:rsidRDefault="009557E0" w:rsidP="009557E0">
            <w:pPr>
              <w:spacing w:after="0" w:line="240" w:lineRule="auto"/>
              <w:rPr>
                <w:rFonts w:ascii="Book Antiqua" w:eastAsia="Times New Roman" w:hAnsi="Book Antiqua" w:cs="Segoe UI"/>
                <w:sz w:val="14"/>
                <w:szCs w:val="14"/>
                <w:lang w:eastAsia="es-CR"/>
              </w:rPr>
            </w:pPr>
          </w:p>
        </w:tc>
        <w:tc>
          <w:tcPr>
            <w:tcW w:w="1396" w:type="dxa"/>
            <w:shd w:val="clear" w:color="auto" w:fill="FFFFFF"/>
            <w:vAlign w:val="center"/>
            <w:hideMark/>
          </w:tcPr>
          <w:p w14:paraId="2F850085" w14:textId="380C963D"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 xml:space="preserve">Eliminación de actividades del cronograma (Se utiliza formulario de DTI y no de </w:t>
            </w:r>
            <w:r w:rsidRPr="00C650EF">
              <w:rPr>
                <w:rFonts w:ascii="Book Antiqua" w:eastAsia="Times New Roman" w:hAnsi="Book Antiqua" w:cs="Segoe UI"/>
                <w:color w:val="000000"/>
                <w:sz w:val="14"/>
                <w:szCs w:val="14"/>
                <w:lang w:eastAsia="es-CR"/>
              </w:rPr>
              <w:lastRenderedPageBreak/>
              <w:t>metodología de proyectos) </w:t>
            </w:r>
          </w:p>
        </w:tc>
        <w:tc>
          <w:tcPr>
            <w:tcW w:w="1335" w:type="dxa"/>
            <w:shd w:val="clear" w:color="auto" w:fill="FFFFFF"/>
            <w:vAlign w:val="center"/>
            <w:hideMark/>
          </w:tcPr>
          <w:p w14:paraId="1C71CDDA"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lastRenderedPageBreak/>
              <w:t>Cronograma. </w:t>
            </w:r>
          </w:p>
        </w:tc>
        <w:tc>
          <w:tcPr>
            <w:tcW w:w="812" w:type="dxa"/>
            <w:shd w:val="clear" w:color="auto" w:fill="FFFFFF"/>
            <w:vAlign w:val="center"/>
            <w:hideMark/>
          </w:tcPr>
          <w:p w14:paraId="54F2EE60"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 </w:t>
            </w:r>
          </w:p>
        </w:tc>
        <w:tc>
          <w:tcPr>
            <w:tcW w:w="2322" w:type="dxa"/>
            <w:vMerge/>
            <w:shd w:val="clear" w:color="auto" w:fill="auto"/>
            <w:vAlign w:val="center"/>
            <w:hideMark/>
          </w:tcPr>
          <w:p w14:paraId="06AFABF9" w14:textId="77777777" w:rsidR="009557E0" w:rsidRPr="00EF4E17" w:rsidRDefault="009557E0" w:rsidP="009557E0">
            <w:pPr>
              <w:spacing w:after="0" w:line="240" w:lineRule="auto"/>
              <w:rPr>
                <w:rFonts w:ascii="Book Antiqua" w:eastAsia="Times New Roman" w:hAnsi="Book Antiqua" w:cs="Segoe UI"/>
                <w:sz w:val="14"/>
                <w:szCs w:val="14"/>
                <w:lang w:eastAsia="es-CR"/>
              </w:rPr>
            </w:pPr>
          </w:p>
        </w:tc>
        <w:tc>
          <w:tcPr>
            <w:tcW w:w="982" w:type="dxa"/>
            <w:shd w:val="clear" w:color="auto" w:fill="FFFFFF"/>
            <w:vAlign w:val="center"/>
            <w:hideMark/>
          </w:tcPr>
          <w:p w14:paraId="1C6533CB" w14:textId="77777777" w:rsidR="009557E0" w:rsidRPr="00EF4E17" w:rsidRDefault="009557E0" w:rsidP="009557E0">
            <w:pPr>
              <w:spacing w:after="0" w:line="240" w:lineRule="auto"/>
              <w:jc w:val="center"/>
              <w:textAlignment w:val="baseline"/>
              <w:rPr>
                <w:rFonts w:ascii="Book Antiqua" w:eastAsia="Times New Roman" w:hAnsi="Book Antiqua" w:cs="Segoe UI"/>
                <w:sz w:val="14"/>
                <w:szCs w:val="14"/>
                <w:lang w:eastAsia="es-CR"/>
              </w:rPr>
            </w:pPr>
            <w:r w:rsidRPr="00C650EF">
              <w:rPr>
                <w:rFonts w:ascii="Book Antiqua" w:eastAsia="Times New Roman" w:hAnsi="Book Antiqua" w:cs="Segoe UI"/>
                <w:color w:val="000000"/>
                <w:sz w:val="14"/>
                <w:szCs w:val="14"/>
                <w:lang w:eastAsia="es-CR"/>
              </w:rPr>
              <w:t xml:space="preserve">Pendiente aprobación de solicitud de cambio por parte del Director/ </w:t>
            </w:r>
            <w:r w:rsidRPr="00C650EF">
              <w:rPr>
                <w:rFonts w:ascii="Book Antiqua" w:eastAsia="Times New Roman" w:hAnsi="Book Antiqua" w:cs="Segoe UI"/>
                <w:color w:val="000000"/>
                <w:sz w:val="14"/>
                <w:szCs w:val="14"/>
                <w:lang w:eastAsia="es-CR"/>
              </w:rPr>
              <w:lastRenderedPageBreak/>
              <w:t>Administrador del proyecto </w:t>
            </w:r>
          </w:p>
        </w:tc>
      </w:tr>
    </w:tbl>
    <w:p w14:paraId="33751985" w14:textId="096DD059" w:rsidR="00F71780" w:rsidRDefault="00F71780" w:rsidP="00F71780">
      <w:pPr>
        <w:spacing w:after="0"/>
        <w:rPr>
          <w:rFonts w:ascii="Book Antiqua" w:hAnsi="Book Antiqua"/>
          <w:sz w:val="20"/>
          <w:szCs w:val="20"/>
        </w:rPr>
      </w:pPr>
      <w:r w:rsidRPr="00EA5A94">
        <w:rPr>
          <w:rFonts w:ascii="Book Antiqua" w:hAnsi="Book Antiqua"/>
          <w:b/>
          <w:sz w:val="20"/>
          <w:szCs w:val="20"/>
        </w:rPr>
        <w:lastRenderedPageBreak/>
        <w:t>Fuente:</w:t>
      </w:r>
      <w:r w:rsidRPr="00EA5A94">
        <w:rPr>
          <w:rFonts w:ascii="Book Antiqua" w:hAnsi="Book Antiqua"/>
          <w:sz w:val="20"/>
          <w:szCs w:val="20"/>
        </w:rPr>
        <w:t xml:space="preserve"> Elaboración propia con datos e información suministrada en el repositorio del MS Project Online.</w:t>
      </w:r>
    </w:p>
    <w:p w14:paraId="2E60DA3C" w14:textId="77777777" w:rsidR="00F71780" w:rsidRDefault="00F71780" w:rsidP="00F71780">
      <w:pPr>
        <w:spacing w:after="0"/>
        <w:rPr>
          <w:rFonts w:ascii="Book Antiqua" w:hAnsi="Book Antiqua"/>
          <w:sz w:val="20"/>
          <w:szCs w:val="20"/>
        </w:rPr>
      </w:pPr>
    </w:p>
    <w:p w14:paraId="69AEFC19" w14:textId="77777777" w:rsidR="00F262A5" w:rsidRPr="00F262A5" w:rsidRDefault="00F262A5" w:rsidP="00F262A5">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sz w:val="24"/>
          <w:szCs w:val="24"/>
          <w:lang w:eastAsia="es-CR"/>
        </w:rPr>
        <w:t>Así las cosas, en las tablas anteriores se muestran 35 proyectos estratégicos que vieron la necesidad de aplicar uno o más controles de cambio a los planteamientos originales determinados durante la etapa de planificación, el 94% de las modificaciones están relacionados con el ajuste en los cronogramas de trabajo.  </w:t>
      </w:r>
    </w:p>
    <w:p w14:paraId="790A369A" w14:textId="77777777" w:rsidR="00F262A5" w:rsidRPr="00F262A5" w:rsidRDefault="00F262A5" w:rsidP="00F262A5">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sz w:val="24"/>
          <w:szCs w:val="24"/>
          <w:lang w:eastAsia="es-CR"/>
        </w:rPr>
        <w:t> </w:t>
      </w:r>
    </w:p>
    <w:p w14:paraId="17DDA4E3" w14:textId="77777777" w:rsidR="00F262A5" w:rsidRPr="00F262A5" w:rsidRDefault="00F262A5" w:rsidP="00F262A5">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sz w:val="24"/>
          <w:szCs w:val="24"/>
          <w:lang w:eastAsia="es-CR"/>
        </w:rPr>
        <w:t>Durante el análisis se identificaron 23 proyectos que producto de la solicitud de cambio genera un incremento en la duración del cronograma, de los cuales 4 proyectos están incrementando su cronograma en 12 meses o más; 4 proyectos tendrían un incremento entre 6 a 11 meses y 15 proyectos un incremento menor a 6 meses. El detalle de los proyectos en esta condición se aprecia a continuación: </w:t>
      </w:r>
    </w:p>
    <w:p w14:paraId="257882B7" w14:textId="77777777" w:rsidR="00F262A5" w:rsidRDefault="00F262A5" w:rsidP="00F71780">
      <w:pPr>
        <w:spacing w:after="0"/>
        <w:jc w:val="both"/>
        <w:rPr>
          <w:rFonts w:ascii="Book Antiqua" w:hAnsi="Book Antiqua"/>
          <w:sz w:val="24"/>
          <w:szCs w:val="24"/>
        </w:rPr>
      </w:pPr>
    </w:p>
    <w:p w14:paraId="610DE1AF" w14:textId="7B41933F" w:rsidR="00F71780" w:rsidRDefault="00F71780" w:rsidP="00F71780">
      <w:pPr>
        <w:pStyle w:val="Descripcin"/>
        <w:keepNext/>
        <w:spacing w:after="0"/>
        <w:jc w:val="center"/>
        <w:rPr>
          <w:rFonts w:ascii="Book Antiqua" w:hAnsi="Book Antiqua" w:cs="&amp;quot"/>
          <w:b/>
          <w:i w:val="0"/>
          <w:iCs w:val="0"/>
          <w:color w:val="auto"/>
          <w:sz w:val="24"/>
          <w:szCs w:val="24"/>
        </w:rPr>
      </w:pPr>
      <w:bookmarkStart w:id="93" w:name="_Toc131155948"/>
      <w:r w:rsidRPr="00A7495E">
        <w:rPr>
          <w:rFonts w:ascii="Book Antiqua" w:hAnsi="Book Antiqua" w:cs="&amp;quot"/>
          <w:b/>
          <w:i w:val="0"/>
          <w:iCs w:val="0"/>
          <w:color w:val="auto"/>
          <w:sz w:val="24"/>
          <w:szCs w:val="24"/>
        </w:rPr>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844144">
        <w:rPr>
          <w:rFonts w:ascii="Book Antiqua" w:hAnsi="Book Antiqua" w:cs="&amp;quot"/>
          <w:b/>
          <w:i w:val="0"/>
          <w:iCs w:val="0"/>
          <w:noProof/>
          <w:color w:val="auto"/>
          <w:sz w:val="24"/>
          <w:szCs w:val="24"/>
        </w:rPr>
        <w:t>25</w:t>
      </w:r>
      <w:r w:rsidRPr="00A7495E">
        <w:rPr>
          <w:rFonts w:ascii="Book Antiqua" w:hAnsi="Book Antiqua" w:cs="&amp;quot"/>
          <w:b/>
          <w:i w:val="0"/>
          <w:iCs w:val="0"/>
          <w:color w:val="auto"/>
          <w:sz w:val="24"/>
          <w:szCs w:val="24"/>
        </w:rPr>
        <w:fldChar w:fldCharType="end"/>
      </w:r>
      <w:r w:rsidRPr="00A7495E">
        <w:rPr>
          <w:rFonts w:ascii="Book Antiqua" w:hAnsi="Book Antiqua" w:cs="&amp;quot"/>
          <w:b/>
          <w:i w:val="0"/>
          <w:iCs w:val="0"/>
          <w:color w:val="auto"/>
          <w:sz w:val="24"/>
          <w:szCs w:val="24"/>
        </w:rPr>
        <w:t xml:space="preserve"> Proyectos estratégicos que modificaron su fecha de finalización ampliando cronograma</w:t>
      </w:r>
      <w:bookmarkEnd w:id="93"/>
    </w:p>
    <w:tbl>
      <w:tblPr>
        <w:tblW w:w="10786" w:type="dxa"/>
        <w:tblInd w:w="-11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9"/>
        <w:gridCol w:w="629"/>
        <w:gridCol w:w="1408"/>
        <w:gridCol w:w="837"/>
        <w:gridCol w:w="837"/>
        <w:gridCol w:w="786"/>
        <w:gridCol w:w="713"/>
        <w:gridCol w:w="657"/>
        <w:gridCol w:w="2215"/>
        <w:gridCol w:w="1275"/>
      </w:tblGrid>
      <w:tr w:rsidR="007A1274" w:rsidRPr="00F262A5" w14:paraId="755B30BF" w14:textId="77777777" w:rsidTr="007A1274">
        <w:trPr>
          <w:trHeight w:val="870"/>
          <w:tblHeader/>
        </w:trPr>
        <w:tc>
          <w:tcPr>
            <w:tcW w:w="1429" w:type="dxa"/>
            <w:tcBorders>
              <w:top w:val="single" w:sz="6" w:space="0" w:color="auto"/>
              <w:left w:val="single" w:sz="6" w:space="0" w:color="auto"/>
              <w:bottom w:val="nil"/>
              <w:right w:val="single" w:sz="6" w:space="0" w:color="auto"/>
            </w:tcBorders>
            <w:shd w:val="clear" w:color="auto" w:fill="44546A"/>
            <w:vAlign w:val="center"/>
            <w:hideMark/>
          </w:tcPr>
          <w:p w14:paraId="3EACBA50"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b/>
                <w:bCs/>
                <w:color w:val="FFFFFF"/>
                <w:sz w:val="14"/>
                <w:szCs w:val="14"/>
                <w:lang w:eastAsia="es-CR"/>
              </w:rPr>
              <w:t>Oficina Líder</w:t>
            </w:r>
            <w:r w:rsidRPr="00F262A5">
              <w:rPr>
                <w:rFonts w:ascii="Book Antiqua" w:eastAsia="Times New Roman" w:hAnsi="Book Antiqua" w:cs="Segoe UI"/>
                <w:color w:val="FFFFFF"/>
                <w:sz w:val="14"/>
                <w:szCs w:val="14"/>
                <w:lang w:eastAsia="es-CR"/>
              </w:rPr>
              <w:t> </w:t>
            </w:r>
          </w:p>
        </w:tc>
        <w:tc>
          <w:tcPr>
            <w:tcW w:w="629" w:type="dxa"/>
            <w:tcBorders>
              <w:top w:val="single" w:sz="6" w:space="0" w:color="auto"/>
              <w:left w:val="nil"/>
              <w:bottom w:val="nil"/>
              <w:right w:val="single" w:sz="6" w:space="0" w:color="auto"/>
            </w:tcBorders>
            <w:shd w:val="clear" w:color="auto" w:fill="44546A"/>
            <w:vAlign w:val="center"/>
            <w:hideMark/>
          </w:tcPr>
          <w:p w14:paraId="03745C51"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b/>
                <w:bCs/>
                <w:color w:val="FFFFFF"/>
                <w:sz w:val="14"/>
                <w:szCs w:val="14"/>
                <w:lang w:eastAsia="es-CR"/>
              </w:rPr>
              <w:t>Código</w:t>
            </w:r>
            <w:r w:rsidRPr="00F262A5">
              <w:rPr>
                <w:rFonts w:ascii="Book Antiqua" w:eastAsia="Times New Roman" w:hAnsi="Book Antiqua" w:cs="Segoe UI"/>
                <w:color w:val="FFFFFF"/>
                <w:sz w:val="14"/>
                <w:szCs w:val="14"/>
                <w:lang w:eastAsia="es-CR"/>
              </w:rPr>
              <w:t> </w:t>
            </w:r>
          </w:p>
        </w:tc>
        <w:tc>
          <w:tcPr>
            <w:tcW w:w="1408" w:type="dxa"/>
            <w:tcBorders>
              <w:top w:val="single" w:sz="6" w:space="0" w:color="auto"/>
              <w:left w:val="nil"/>
              <w:bottom w:val="nil"/>
              <w:right w:val="single" w:sz="6" w:space="0" w:color="auto"/>
            </w:tcBorders>
            <w:shd w:val="clear" w:color="auto" w:fill="44546A"/>
            <w:vAlign w:val="center"/>
            <w:hideMark/>
          </w:tcPr>
          <w:p w14:paraId="22064D52"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b/>
                <w:bCs/>
                <w:color w:val="FFFFFF"/>
                <w:sz w:val="14"/>
                <w:szCs w:val="14"/>
                <w:lang w:eastAsia="es-CR"/>
              </w:rPr>
              <w:t>Nombre del proyecto</w:t>
            </w:r>
            <w:r w:rsidRPr="00F262A5">
              <w:rPr>
                <w:rFonts w:ascii="Book Antiqua" w:eastAsia="Times New Roman" w:hAnsi="Book Antiqua" w:cs="Segoe UI"/>
                <w:color w:val="FFFFFF"/>
                <w:sz w:val="14"/>
                <w:szCs w:val="14"/>
                <w:lang w:eastAsia="es-CR"/>
              </w:rPr>
              <w:t> </w:t>
            </w:r>
          </w:p>
        </w:tc>
        <w:tc>
          <w:tcPr>
            <w:tcW w:w="837" w:type="dxa"/>
            <w:tcBorders>
              <w:top w:val="single" w:sz="6" w:space="0" w:color="auto"/>
              <w:left w:val="single" w:sz="6" w:space="0" w:color="auto"/>
              <w:bottom w:val="nil"/>
              <w:right w:val="single" w:sz="6" w:space="0" w:color="auto"/>
            </w:tcBorders>
            <w:shd w:val="clear" w:color="auto" w:fill="44546A"/>
            <w:vAlign w:val="center"/>
            <w:hideMark/>
          </w:tcPr>
          <w:p w14:paraId="66D0F79D"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b/>
                <w:bCs/>
                <w:color w:val="FFFFFF"/>
                <w:sz w:val="14"/>
                <w:szCs w:val="14"/>
                <w:lang w:eastAsia="es-CR"/>
              </w:rPr>
              <w:t>Fecha de Finalización reportada al 31-12-2022</w:t>
            </w:r>
            <w:r w:rsidRPr="00F262A5">
              <w:rPr>
                <w:rFonts w:ascii="Book Antiqua" w:eastAsia="Times New Roman" w:hAnsi="Book Antiqua" w:cs="Segoe UI"/>
                <w:color w:val="FFFFFF"/>
                <w:sz w:val="14"/>
                <w:szCs w:val="14"/>
                <w:lang w:eastAsia="es-CR"/>
              </w:rPr>
              <w:t> </w:t>
            </w:r>
          </w:p>
        </w:tc>
        <w:tc>
          <w:tcPr>
            <w:tcW w:w="837" w:type="dxa"/>
            <w:tcBorders>
              <w:top w:val="single" w:sz="6" w:space="0" w:color="auto"/>
              <w:left w:val="nil"/>
              <w:bottom w:val="nil"/>
              <w:right w:val="single" w:sz="6" w:space="0" w:color="auto"/>
            </w:tcBorders>
            <w:shd w:val="clear" w:color="auto" w:fill="44546A"/>
            <w:vAlign w:val="center"/>
            <w:hideMark/>
          </w:tcPr>
          <w:p w14:paraId="79B81E0B"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b/>
                <w:bCs/>
                <w:color w:val="FFFFFF"/>
                <w:sz w:val="14"/>
                <w:szCs w:val="14"/>
                <w:lang w:eastAsia="es-CR"/>
              </w:rPr>
              <w:t>Fecha de Finalización Nueva (Al 28-4-23)</w:t>
            </w:r>
            <w:r w:rsidRPr="00F262A5">
              <w:rPr>
                <w:rFonts w:ascii="Book Antiqua" w:eastAsia="Times New Roman" w:hAnsi="Book Antiqua" w:cs="Segoe UI"/>
                <w:color w:val="FFFFFF"/>
                <w:sz w:val="14"/>
                <w:szCs w:val="14"/>
                <w:lang w:eastAsia="es-CR"/>
              </w:rPr>
              <w:t> </w:t>
            </w:r>
          </w:p>
        </w:tc>
        <w:tc>
          <w:tcPr>
            <w:tcW w:w="786" w:type="dxa"/>
            <w:tcBorders>
              <w:top w:val="single" w:sz="6" w:space="0" w:color="auto"/>
              <w:left w:val="nil"/>
              <w:bottom w:val="nil"/>
              <w:right w:val="single" w:sz="6" w:space="0" w:color="auto"/>
            </w:tcBorders>
            <w:shd w:val="clear" w:color="auto" w:fill="44546A"/>
            <w:vAlign w:val="center"/>
            <w:hideMark/>
          </w:tcPr>
          <w:p w14:paraId="27658E4C"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b/>
                <w:bCs/>
                <w:color w:val="FFFFFF"/>
                <w:sz w:val="14"/>
                <w:szCs w:val="14"/>
                <w:lang w:eastAsia="es-CR"/>
              </w:rPr>
              <w:t>Incremento / meses</w:t>
            </w:r>
            <w:r w:rsidRPr="00F262A5">
              <w:rPr>
                <w:rFonts w:ascii="Book Antiqua" w:eastAsia="Times New Roman" w:hAnsi="Book Antiqua" w:cs="Segoe UI"/>
                <w:color w:val="FFFFFF"/>
                <w:sz w:val="14"/>
                <w:szCs w:val="14"/>
                <w:lang w:eastAsia="es-CR"/>
              </w:rPr>
              <w:t> </w:t>
            </w:r>
          </w:p>
        </w:tc>
        <w:tc>
          <w:tcPr>
            <w:tcW w:w="713" w:type="dxa"/>
            <w:tcBorders>
              <w:top w:val="single" w:sz="6" w:space="0" w:color="auto"/>
              <w:left w:val="nil"/>
              <w:bottom w:val="nil"/>
              <w:right w:val="single" w:sz="6" w:space="0" w:color="auto"/>
            </w:tcBorders>
            <w:shd w:val="clear" w:color="auto" w:fill="44546A"/>
            <w:vAlign w:val="center"/>
            <w:hideMark/>
          </w:tcPr>
          <w:p w14:paraId="7E10CEA6"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b/>
                <w:bCs/>
                <w:color w:val="FFFFFF"/>
                <w:sz w:val="14"/>
                <w:szCs w:val="14"/>
                <w:lang w:eastAsia="es-CR"/>
              </w:rPr>
              <w:t>¿Tienen permisos con goce de salario asignado?</w:t>
            </w:r>
            <w:r w:rsidRPr="00F262A5">
              <w:rPr>
                <w:rFonts w:ascii="Book Antiqua" w:eastAsia="Times New Roman" w:hAnsi="Book Antiqua" w:cs="Segoe UI"/>
                <w:color w:val="FFFFFF"/>
                <w:sz w:val="14"/>
                <w:szCs w:val="14"/>
                <w:lang w:eastAsia="es-CR"/>
              </w:rPr>
              <w:t> </w:t>
            </w:r>
          </w:p>
        </w:tc>
        <w:tc>
          <w:tcPr>
            <w:tcW w:w="657" w:type="dxa"/>
            <w:tcBorders>
              <w:top w:val="nil"/>
              <w:left w:val="nil"/>
              <w:bottom w:val="nil"/>
              <w:right w:val="nil"/>
            </w:tcBorders>
            <w:shd w:val="clear" w:color="auto" w:fill="44546A"/>
            <w:vAlign w:val="center"/>
            <w:hideMark/>
          </w:tcPr>
          <w:p w14:paraId="65D4BCB9"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b/>
                <w:bCs/>
                <w:color w:val="FFFFFF"/>
                <w:sz w:val="14"/>
                <w:szCs w:val="14"/>
                <w:lang w:eastAsia="es-CR"/>
              </w:rPr>
              <w:t>Cantidad de permisos</w:t>
            </w:r>
            <w:r w:rsidRPr="00F262A5">
              <w:rPr>
                <w:rFonts w:ascii="Book Antiqua" w:eastAsia="Times New Roman" w:hAnsi="Book Antiqua" w:cs="Segoe UI"/>
                <w:color w:val="FFFFFF"/>
                <w:sz w:val="14"/>
                <w:szCs w:val="14"/>
                <w:lang w:eastAsia="es-CR"/>
              </w:rPr>
              <w:t> </w:t>
            </w:r>
          </w:p>
        </w:tc>
        <w:tc>
          <w:tcPr>
            <w:tcW w:w="2215" w:type="dxa"/>
            <w:tcBorders>
              <w:top w:val="single" w:sz="6" w:space="0" w:color="auto"/>
              <w:left w:val="nil"/>
              <w:bottom w:val="nil"/>
              <w:right w:val="single" w:sz="6" w:space="0" w:color="auto"/>
            </w:tcBorders>
            <w:shd w:val="clear" w:color="auto" w:fill="44546A"/>
            <w:vAlign w:val="center"/>
            <w:hideMark/>
          </w:tcPr>
          <w:p w14:paraId="2D590051"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b/>
                <w:bCs/>
                <w:color w:val="FFFFFF"/>
                <w:sz w:val="14"/>
                <w:szCs w:val="14"/>
                <w:lang w:eastAsia="es-CR"/>
              </w:rPr>
              <w:t>Justificación del incremento</w:t>
            </w:r>
            <w:r w:rsidRPr="00F262A5">
              <w:rPr>
                <w:rFonts w:ascii="Book Antiqua" w:eastAsia="Times New Roman" w:hAnsi="Book Antiqua" w:cs="Segoe UI"/>
                <w:color w:val="FFFFFF"/>
                <w:sz w:val="14"/>
                <w:szCs w:val="14"/>
                <w:lang w:eastAsia="es-CR"/>
              </w:rPr>
              <w:t> </w:t>
            </w:r>
          </w:p>
        </w:tc>
        <w:tc>
          <w:tcPr>
            <w:tcW w:w="1275" w:type="dxa"/>
            <w:tcBorders>
              <w:top w:val="single" w:sz="6" w:space="0" w:color="auto"/>
              <w:left w:val="nil"/>
              <w:bottom w:val="nil"/>
              <w:right w:val="single" w:sz="6" w:space="0" w:color="auto"/>
            </w:tcBorders>
            <w:shd w:val="clear" w:color="auto" w:fill="44546A"/>
            <w:vAlign w:val="center"/>
            <w:hideMark/>
          </w:tcPr>
          <w:p w14:paraId="4A6DE79C"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b/>
                <w:bCs/>
                <w:color w:val="FFFFFF"/>
                <w:sz w:val="14"/>
                <w:szCs w:val="14"/>
                <w:lang w:eastAsia="es-CR"/>
              </w:rPr>
              <w:t>Recomendación</w:t>
            </w:r>
            <w:r w:rsidRPr="00F262A5">
              <w:rPr>
                <w:rFonts w:ascii="Book Antiqua" w:eastAsia="Times New Roman" w:hAnsi="Book Antiqua" w:cs="Segoe UI"/>
                <w:color w:val="FFFFFF"/>
                <w:sz w:val="14"/>
                <w:szCs w:val="14"/>
                <w:lang w:eastAsia="es-CR"/>
              </w:rPr>
              <w:t> </w:t>
            </w:r>
          </w:p>
        </w:tc>
      </w:tr>
      <w:tr w:rsidR="00F262A5" w:rsidRPr="00F262A5" w14:paraId="4E2047B8" w14:textId="77777777" w:rsidTr="007A1274">
        <w:trPr>
          <w:trHeight w:val="1200"/>
        </w:trPr>
        <w:tc>
          <w:tcPr>
            <w:tcW w:w="142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66A10DD"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OFICINA DE PLANES Y OPERACIONES </w:t>
            </w:r>
          </w:p>
        </w:tc>
        <w:tc>
          <w:tcPr>
            <w:tcW w:w="629" w:type="dxa"/>
            <w:tcBorders>
              <w:top w:val="single" w:sz="6" w:space="0" w:color="auto"/>
              <w:left w:val="nil"/>
              <w:bottom w:val="single" w:sz="6" w:space="0" w:color="auto"/>
              <w:right w:val="single" w:sz="6" w:space="0" w:color="auto"/>
            </w:tcBorders>
            <w:shd w:val="clear" w:color="auto" w:fill="auto"/>
            <w:vAlign w:val="center"/>
            <w:hideMark/>
          </w:tcPr>
          <w:p w14:paraId="6E15C354"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1167-OIJ-P18 </w:t>
            </w:r>
          </w:p>
        </w:tc>
        <w:tc>
          <w:tcPr>
            <w:tcW w:w="1408" w:type="dxa"/>
            <w:tcBorders>
              <w:top w:val="single" w:sz="6" w:space="0" w:color="auto"/>
              <w:left w:val="nil"/>
              <w:bottom w:val="single" w:sz="6" w:space="0" w:color="auto"/>
              <w:right w:val="single" w:sz="6" w:space="0" w:color="auto"/>
            </w:tcBorders>
            <w:shd w:val="clear" w:color="auto" w:fill="auto"/>
            <w:vAlign w:val="center"/>
            <w:hideMark/>
          </w:tcPr>
          <w:p w14:paraId="53F34D93"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Acreditación ISO 27001 UTI y PIP </w:t>
            </w:r>
          </w:p>
        </w:tc>
        <w:tc>
          <w:tcPr>
            <w:tcW w:w="837" w:type="dxa"/>
            <w:tcBorders>
              <w:top w:val="single" w:sz="6" w:space="0" w:color="auto"/>
              <w:left w:val="nil"/>
              <w:bottom w:val="single" w:sz="6" w:space="0" w:color="auto"/>
              <w:right w:val="single" w:sz="6" w:space="0" w:color="auto"/>
            </w:tcBorders>
            <w:shd w:val="clear" w:color="auto" w:fill="auto"/>
            <w:vAlign w:val="center"/>
            <w:hideMark/>
          </w:tcPr>
          <w:p w14:paraId="37F3D526" w14:textId="6D801EB3" w:rsidR="00F262A5" w:rsidRPr="00F262A5" w:rsidRDefault="00F262A5" w:rsidP="007A1274">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07/11/2024</w:t>
            </w:r>
          </w:p>
        </w:tc>
        <w:tc>
          <w:tcPr>
            <w:tcW w:w="837" w:type="dxa"/>
            <w:tcBorders>
              <w:top w:val="single" w:sz="6" w:space="0" w:color="auto"/>
              <w:left w:val="nil"/>
              <w:bottom w:val="single" w:sz="6" w:space="0" w:color="auto"/>
              <w:right w:val="single" w:sz="6" w:space="0" w:color="auto"/>
            </w:tcBorders>
            <w:shd w:val="clear" w:color="auto" w:fill="auto"/>
            <w:vAlign w:val="center"/>
            <w:hideMark/>
          </w:tcPr>
          <w:p w14:paraId="2044D6FE" w14:textId="67269BDB" w:rsidR="00F262A5" w:rsidRPr="00F262A5" w:rsidRDefault="00F262A5" w:rsidP="007A1274">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24/12/2026</w:t>
            </w:r>
          </w:p>
        </w:tc>
        <w:tc>
          <w:tcPr>
            <w:tcW w:w="786" w:type="dxa"/>
            <w:tcBorders>
              <w:top w:val="single" w:sz="6" w:space="0" w:color="auto"/>
              <w:left w:val="nil"/>
              <w:bottom w:val="single" w:sz="6" w:space="0" w:color="auto"/>
              <w:right w:val="single" w:sz="6" w:space="0" w:color="auto"/>
            </w:tcBorders>
            <w:shd w:val="clear" w:color="auto" w:fill="auto"/>
            <w:vAlign w:val="center"/>
            <w:hideMark/>
          </w:tcPr>
          <w:p w14:paraId="0BF88CFE" w14:textId="4F3610E0" w:rsidR="00F262A5" w:rsidRPr="00F262A5" w:rsidRDefault="00F262A5" w:rsidP="007A1274">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27</w:t>
            </w:r>
          </w:p>
        </w:tc>
        <w:tc>
          <w:tcPr>
            <w:tcW w:w="713" w:type="dxa"/>
            <w:tcBorders>
              <w:top w:val="single" w:sz="6" w:space="0" w:color="auto"/>
              <w:left w:val="nil"/>
              <w:bottom w:val="single" w:sz="6" w:space="0" w:color="auto"/>
              <w:right w:val="single" w:sz="6" w:space="0" w:color="auto"/>
            </w:tcBorders>
            <w:shd w:val="clear" w:color="auto" w:fill="auto"/>
            <w:vAlign w:val="center"/>
            <w:hideMark/>
          </w:tcPr>
          <w:p w14:paraId="5945A106"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No </w:t>
            </w:r>
          </w:p>
        </w:tc>
        <w:tc>
          <w:tcPr>
            <w:tcW w:w="657" w:type="dxa"/>
            <w:tcBorders>
              <w:top w:val="single" w:sz="6" w:space="0" w:color="auto"/>
              <w:left w:val="nil"/>
              <w:bottom w:val="single" w:sz="6" w:space="0" w:color="auto"/>
              <w:right w:val="single" w:sz="6" w:space="0" w:color="auto"/>
            </w:tcBorders>
            <w:shd w:val="clear" w:color="auto" w:fill="auto"/>
            <w:vAlign w:val="center"/>
            <w:hideMark/>
          </w:tcPr>
          <w:p w14:paraId="5F3F3839"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0 </w:t>
            </w:r>
          </w:p>
        </w:tc>
        <w:tc>
          <w:tcPr>
            <w:tcW w:w="2215" w:type="dxa"/>
            <w:tcBorders>
              <w:top w:val="single" w:sz="6" w:space="0" w:color="auto"/>
              <w:left w:val="nil"/>
              <w:bottom w:val="single" w:sz="6" w:space="0" w:color="auto"/>
              <w:right w:val="single" w:sz="6" w:space="0" w:color="auto"/>
            </w:tcBorders>
            <w:shd w:val="clear" w:color="auto" w:fill="auto"/>
            <w:vAlign w:val="center"/>
            <w:hideMark/>
          </w:tcPr>
          <w:p w14:paraId="175CC2C5" w14:textId="77777777"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xml:space="preserve">En atención a la materialización del riesgo “Fluctuación de personal en las reuniones del equipo”, específicamente debido a la activación de la fuente “Sobrecarga de trabajo y responsabilidades de los miembros del equipo que si asisten a las reuniones”, se definió como opción de respuesta al riesgo; el disminuir el porcentaje de horas asignadas al proyecto por parte de cada uno de los miembros, es decir se pasó de 7 a 4 horas semanales para laborar en este proyecto; es decir, esto implica la asignación de un 10% mensual al proyecto. En </w:t>
            </w:r>
            <w:r w:rsidRPr="00F262A5">
              <w:rPr>
                <w:rFonts w:ascii="Book Antiqua" w:eastAsia="Times New Roman" w:hAnsi="Book Antiqua" w:cs="Segoe UI"/>
                <w:color w:val="000000"/>
                <w:sz w:val="14"/>
                <w:szCs w:val="14"/>
                <w:lang w:eastAsia="es-CR"/>
              </w:rPr>
              <w:lastRenderedPageBreak/>
              <w:t>consecuencia, se extendió la fecha de finalización del proyecto, la cual estaba definida anteriormente para el 2024 y la cual se extendió hasta finales del 2026. A nivel de costos implicó un aumento en el monto total del proyecto, debido al cambio la fecha de finalización del proyecto. </w:t>
            </w:r>
          </w:p>
        </w:tc>
        <w:tc>
          <w:tcPr>
            <w:tcW w:w="1275" w:type="dxa"/>
            <w:tcBorders>
              <w:top w:val="single" w:sz="6" w:space="0" w:color="auto"/>
              <w:left w:val="nil"/>
              <w:bottom w:val="single" w:sz="6" w:space="0" w:color="auto"/>
              <w:right w:val="single" w:sz="6" w:space="0" w:color="auto"/>
            </w:tcBorders>
            <w:shd w:val="clear" w:color="auto" w:fill="auto"/>
            <w:vAlign w:val="center"/>
            <w:hideMark/>
          </w:tcPr>
          <w:p w14:paraId="5CA8ADCC"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lastRenderedPageBreak/>
              <w:t> </w:t>
            </w:r>
          </w:p>
        </w:tc>
      </w:tr>
      <w:tr w:rsidR="00F262A5" w:rsidRPr="00F262A5" w14:paraId="43BE26BB" w14:textId="77777777" w:rsidTr="00EF4E17">
        <w:trPr>
          <w:trHeight w:val="1582"/>
        </w:trPr>
        <w:tc>
          <w:tcPr>
            <w:tcW w:w="1429" w:type="dxa"/>
            <w:tcBorders>
              <w:top w:val="nil"/>
              <w:left w:val="single" w:sz="6" w:space="0" w:color="auto"/>
              <w:bottom w:val="single" w:sz="6" w:space="0" w:color="auto"/>
              <w:right w:val="single" w:sz="6" w:space="0" w:color="auto"/>
            </w:tcBorders>
            <w:shd w:val="clear" w:color="auto" w:fill="FFFFFF"/>
            <w:vAlign w:val="center"/>
            <w:hideMark/>
          </w:tcPr>
          <w:p w14:paraId="476C4B2A"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SUBPROCESO ORGANIZACION INSTITUCIONAL </w:t>
            </w:r>
          </w:p>
        </w:tc>
        <w:tc>
          <w:tcPr>
            <w:tcW w:w="629" w:type="dxa"/>
            <w:tcBorders>
              <w:top w:val="nil"/>
              <w:left w:val="nil"/>
              <w:bottom w:val="single" w:sz="6" w:space="0" w:color="auto"/>
              <w:right w:val="single" w:sz="6" w:space="0" w:color="auto"/>
            </w:tcBorders>
            <w:shd w:val="clear" w:color="auto" w:fill="auto"/>
            <w:vAlign w:val="center"/>
            <w:hideMark/>
          </w:tcPr>
          <w:p w14:paraId="208C64A0"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0110-PLA-P12 </w:t>
            </w:r>
          </w:p>
        </w:tc>
        <w:tc>
          <w:tcPr>
            <w:tcW w:w="1408" w:type="dxa"/>
            <w:tcBorders>
              <w:top w:val="nil"/>
              <w:left w:val="nil"/>
              <w:bottom w:val="single" w:sz="6" w:space="0" w:color="auto"/>
              <w:right w:val="single" w:sz="6" w:space="0" w:color="auto"/>
            </w:tcBorders>
            <w:shd w:val="clear" w:color="auto" w:fill="auto"/>
            <w:vAlign w:val="center"/>
            <w:hideMark/>
          </w:tcPr>
          <w:p w14:paraId="44FD03D9"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Modelo de gestión por procesos institucional </w:t>
            </w:r>
          </w:p>
        </w:tc>
        <w:tc>
          <w:tcPr>
            <w:tcW w:w="837" w:type="dxa"/>
            <w:tcBorders>
              <w:top w:val="nil"/>
              <w:left w:val="nil"/>
              <w:bottom w:val="single" w:sz="6" w:space="0" w:color="auto"/>
              <w:right w:val="single" w:sz="6" w:space="0" w:color="auto"/>
            </w:tcBorders>
            <w:shd w:val="clear" w:color="auto" w:fill="auto"/>
            <w:vAlign w:val="center"/>
            <w:hideMark/>
          </w:tcPr>
          <w:p w14:paraId="39897EBD"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01/06/2023 </w:t>
            </w:r>
          </w:p>
        </w:tc>
        <w:tc>
          <w:tcPr>
            <w:tcW w:w="837" w:type="dxa"/>
            <w:tcBorders>
              <w:top w:val="nil"/>
              <w:left w:val="nil"/>
              <w:bottom w:val="single" w:sz="6" w:space="0" w:color="auto"/>
              <w:right w:val="single" w:sz="6" w:space="0" w:color="auto"/>
            </w:tcBorders>
            <w:shd w:val="clear" w:color="auto" w:fill="auto"/>
            <w:vAlign w:val="center"/>
            <w:hideMark/>
          </w:tcPr>
          <w:p w14:paraId="6ACFE981"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15/03/2024 </w:t>
            </w:r>
          </w:p>
        </w:tc>
        <w:tc>
          <w:tcPr>
            <w:tcW w:w="786" w:type="dxa"/>
            <w:tcBorders>
              <w:top w:val="nil"/>
              <w:left w:val="nil"/>
              <w:bottom w:val="single" w:sz="6" w:space="0" w:color="auto"/>
              <w:right w:val="single" w:sz="6" w:space="0" w:color="auto"/>
            </w:tcBorders>
            <w:shd w:val="clear" w:color="auto" w:fill="auto"/>
            <w:vAlign w:val="center"/>
            <w:hideMark/>
          </w:tcPr>
          <w:p w14:paraId="453DF9B1"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10 </w:t>
            </w:r>
          </w:p>
        </w:tc>
        <w:tc>
          <w:tcPr>
            <w:tcW w:w="713" w:type="dxa"/>
            <w:tcBorders>
              <w:top w:val="nil"/>
              <w:left w:val="nil"/>
              <w:bottom w:val="single" w:sz="6" w:space="0" w:color="auto"/>
              <w:right w:val="single" w:sz="6" w:space="0" w:color="auto"/>
            </w:tcBorders>
            <w:shd w:val="clear" w:color="auto" w:fill="auto"/>
            <w:vAlign w:val="center"/>
            <w:hideMark/>
          </w:tcPr>
          <w:p w14:paraId="75A0D0A4"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No </w:t>
            </w:r>
          </w:p>
        </w:tc>
        <w:tc>
          <w:tcPr>
            <w:tcW w:w="657" w:type="dxa"/>
            <w:tcBorders>
              <w:top w:val="nil"/>
              <w:left w:val="nil"/>
              <w:bottom w:val="single" w:sz="6" w:space="0" w:color="auto"/>
              <w:right w:val="single" w:sz="6" w:space="0" w:color="auto"/>
            </w:tcBorders>
            <w:shd w:val="clear" w:color="auto" w:fill="auto"/>
            <w:vAlign w:val="center"/>
            <w:hideMark/>
          </w:tcPr>
          <w:p w14:paraId="35711F83"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0 </w:t>
            </w:r>
          </w:p>
        </w:tc>
        <w:tc>
          <w:tcPr>
            <w:tcW w:w="2215" w:type="dxa"/>
            <w:tcBorders>
              <w:top w:val="nil"/>
              <w:left w:val="nil"/>
              <w:bottom w:val="single" w:sz="6" w:space="0" w:color="auto"/>
              <w:right w:val="single" w:sz="6" w:space="0" w:color="auto"/>
            </w:tcBorders>
            <w:shd w:val="clear" w:color="auto" w:fill="auto"/>
            <w:vAlign w:val="center"/>
            <w:hideMark/>
          </w:tcPr>
          <w:p w14:paraId="4FD2A8D9" w14:textId="77777777"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Se realizan siguientes ajustes al cronograma de trabajo de acuerdo con los nuevos alcances del Proyecto y las necesidades institucionales. La actualización se basa en la eliminación de 3 tareas, la modificación de fecha de entrega de 10 tareas y la inclusión de 40 tareas nuevas al cronograma de trabajo. </w:t>
            </w:r>
          </w:p>
        </w:tc>
        <w:tc>
          <w:tcPr>
            <w:tcW w:w="1275" w:type="dxa"/>
            <w:tcBorders>
              <w:top w:val="nil"/>
              <w:left w:val="nil"/>
              <w:bottom w:val="single" w:sz="6" w:space="0" w:color="auto"/>
              <w:right w:val="single" w:sz="6" w:space="0" w:color="auto"/>
            </w:tcBorders>
            <w:shd w:val="clear" w:color="auto" w:fill="auto"/>
            <w:vAlign w:val="center"/>
            <w:hideMark/>
          </w:tcPr>
          <w:p w14:paraId="5FA478E1" w14:textId="77777777"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w:t>
            </w:r>
          </w:p>
        </w:tc>
      </w:tr>
      <w:tr w:rsidR="00F262A5" w:rsidRPr="00F262A5" w14:paraId="630E9BD5" w14:textId="77777777" w:rsidTr="007A1274">
        <w:trPr>
          <w:trHeight w:val="1200"/>
        </w:trPr>
        <w:tc>
          <w:tcPr>
            <w:tcW w:w="1429" w:type="dxa"/>
            <w:tcBorders>
              <w:top w:val="nil"/>
              <w:left w:val="single" w:sz="6" w:space="0" w:color="auto"/>
              <w:bottom w:val="single" w:sz="6" w:space="0" w:color="auto"/>
              <w:right w:val="single" w:sz="6" w:space="0" w:color="auto"/>
            </w:tcBorders>
            <w:shd w:val="clear" w:color="auto" w:fill="FFFFFF"/>
            <w:vAlign w:val="center"/>
            <w:hideMark/>
          </w:tcPr>
          <w:p w14:paraId="70E0A959"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CENTRO ELECTRONICO DE INFORMACION JURISPRUDENCIAL </w:t>
            </w:r>
          </w:p>
        </w:tc>
        <w:tc>
          <w:tcPr>
            <w:tcW w:w="629" w:type="dxa"/>
            <w:tcBorders>
              <w:top w:val="nil"/>
              <w:left w:val="nil"/>
              <w:bottom w:val="single" w:sz="6" w:space="0" w:color="auto"/>
              <w:right w:val="single" w:sz="6" w:space="0" w:color="auto"/>
            </w:tcBorders>
            <w:shd w:val="clear" w:color="auto" w:fill="auto"/>
            <w:vAlign w:val="center"/>
            <w:hideMark/>
          </w:tcPr>
          <w:p w14:paraId="75CDBE3B"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0034-CIJ-P01 </w:t>
            </w:r>
          </w:p>
        </w:tc>
        <w:tc>
          <w:tcPr>
            <w:tcW w:w="1408" w:type="dxa"/>
            <w:tcBorders>
              <w:top w:val="nil"/>
              <w:left w:val="nil"/>
              <w:bottom w:val="single" w:sz="6" w:space="0" w:color="auto"/>
              <w:right w:val="single" w:sz="6" w:space="0" w:color="auto"/>
            </w:tcBorders>
            <w:shd w:val="clear" w:color="auto" w:fill="auto"/>
            <w:vAlign w:val="center"/>
            <w:hideMark/>
          </w:tcPr>
          <w:p w14:paraId="7107C3DC"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Fortalecimiento del acceso a la información judicial </w:t>
            </w:r>
          </w:p>
        </w:tc>
        <w:tc>
          <w:tcPr>
            <w:tcW w:w="837" w:type="dxa"/>
            <w:tcBorders>
              <w:top w:val="nil"/>
              <w:left w:val="nil"/>
              <w:bottom w:val="single" w:sz="6" w:space="0" w:color="auto"/>
              <w:right w:val="single" w:sz="6" w:space="0" w:color="auto"/>
            </w:tcBorders>
            <w:shd w:val="clear" w:color="auto" w:fill="auto"/>
            <w:vAlign w:val="center"/>
            <w:hideMark/>
          </w:tcPr>
          <w:p w14:paraId="51F1B473"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13/06/2023 </w:t>
            </w:r>
          </w:p>
        </w:tc>
        <w:tc>
          <w:tcPr>
            <w:tcW w:w="837" w:type="dxa"/>
            <w:tcBorders>
              <w:top w:val="nil"/>
              <w:left w:val="nil"/>
              <w:bottom w:val="single" w:sz="6" w:space="0" w:color="auto"/>
              <w:right w:val="single" w:sz="6" w:space="0" w:color="auto"/>
            </w:tcBorders>
            <w:shd w:val="clear" w:color="auto" w:fill="auto"/>
            <w:vAlign w:val="center"/>
            <w:hideMark/>
          </w:tcPr>
          <w:p w14:paraId="40A47E69"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30/10/2023 </w:t>
            </w:r>
          </w:p>
        </w:tc>
        <w:tc>
          <w:tcPr>
            <w:tcW w:w="786" w:type="dxa"/>
            <w:tcBorders>
              <w:top w:val="nil"/>
              <w:left w:val="nil"/>
              <w:bottom w:val="single" w:sz="6" w:space="0" w:color="auto"/>
              <w:right w:val="single" w:sz="6" w:space="0" w:color="auto"/>
            </w:tcBorders>
            <w:shd w:val="clear" w:color="auto" w:fill="auto"/>
            <w:vAlign w:val="center"/>
            <w:hideMark/>
          </w:tcPr>
          <w:p w14:paraId="01926BCC"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5 </w:t>
            </w:r>
          </w:p>
        </w:tc>
        <w:tc>
          <w:tcPr>
            <w:tcW w:w="713" w:type="dxa"/>
            <w:tcBorders>
              <w:top w:val="nil"/>
              <w:left w:val="nil"/>
              <w:bottom w:val="single" w:sz="6" w:space="0" w:color="auto"/>
              <w:right w:val="single" w:sz="6" w:space="0" w:color="auto"/>
            </w:tcBorders>
            <w:shd w:val="clear" w:color="auto" w:fill="auto"/>
            <w:vAlign w:val="center"/>
            <w:hideMark/>
          </w:tcPr>
          <w:p w14:paraId="693E28EE"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No </w:t>
            </w:r>
          </w:p>
        </w:tc>
        <w:tc>
          <w:tcPr>
            <w:tcW w:w="657" w:type="dxa"/>
            <w:tcBorders>
              <w:top w:val="nil"/>
              <w:left w:val="nil"/>
              <w:bottom w:val="single" w:sz="6" w:space="0" w:color="auto"/>
              <w:right w:val="single" w:sz="6" w:space="0" w:color="auto"/>
            </w:tcBorders>
            <w:shd w:val="clear" w:color="auto" w:fill="auto"/>
            <w:vAlign w:val="center"/>
            <w:hideMark/>
          </w:tcPr>
          <w:p w14:paraId="10B518AB"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0 </w:t>
            </w:r>
          </w:p>
        </w:tc>
        <w:tc>
          <w:tcPr>
            <w:tcW w:w="2215" w:type="dxa"/>
            <w:tcBorders>
              <w:top w:val="nil"/>
              <w:left w:val="nil"/>
              <w:bottom w:val="single" w:sz="6" w:space="0" w:color="auto"/>
              <w:right w:val="single" w:sz="6" w:space="0" w:color="auto"/>
            </w:tcBorders>
            <w:shd w:val="clear" w:color="auto" w:fill="auto"/>
            <w:vAlign w:val="center"/>
            <w:hideMark/>
          </w:tcPr>
          <w:p w14:paraId="0E800DC6" w14:textId="77777777"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Modificación fechas de cierre. Se modifican las fechas correspondientes a las actividades 3.1. Informe de Cierre, 3.2. Lecciones aprendidas y 3.3. Informe de evaluación de beneficios. </w:t>
            </w:r>
          </w:p>
        </w:tc>
        <w:tc>
          <w:tcPr>
            <w:tcW w:w="1275" w:type="dxa"/>
            <w:tcBorders>
              <w:top w:val="nil"/>
              <w:left w:val="nil"/>
              <w:bottom w:val="single" w:sz="6" w:space="0" w:color="auto"/>
              <w:right w:val="single" w:sz="6" w:space="0" w:color="auto"/>
            </w:tcBorders>
            <w:shd w:val="clear" w:color="auto" w:fill="auto"/>
            <w:vAlign w:val="center"/>
            <w:hideMark/>
          </w:tcPr>
          <w:p w14:paraId="619D1A80" w14:textId="6BB18C28"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xml:space="preserve">Se debe eliminar el entregable de Informe de evaluación de beneficios, porque este ocurre de 6 meses a un año </w:t>
            </w:r>
            <w:r w:rsidR="007A1274" w:rsidRPr="00F262A5">
              <w:rPr>
                <w:rFonts w:ascii="Book Antiqua" w:eastAsia="Times New Roman" w:hAnsi="Book Antiqua" w:cs="Segoe UI"/>
                <w:color w:val="000000"/>
                <w:sz w:val="14"/>
                <w:szCs w:val="14"/>
                <w:lang w:eastAsia="es-CR"/>
              </w:rPr>
              <w:t>después</w:t>
            </w:r>
            <w:r w:rsidRPr="00F262A5">
              <w:rPr>
                <w:rFonts w:ascii="Book Antiqua" w:eastAsia="Times New Roman" w:hAnsi="Book Antiqua" w:cs="Segoe UI"/>
                <w:color w:val="000000"/>
                <w:sz w:val="14"/>
                <w:szCs w:val="14"/>
                <w:lang w:eastAsia="es-CR"/>
              </w:rPr>
              <w:t xml:space="preserve"> de concluido el proyecto </w:t>
            </w:r>
          </w:p>
        </w:tc>
      </w:tr>
      <w:tr w:rsidR="00F262A5" w:rsidRPr="00F262A5" w14:paraId="5D6043BE" w14:textId="77777777" w:rsidTr="007A1274">
        <w:trPr>
          <w:trHeight w:val="720"/>
        </w:trPr>
        <w:tc>
          <w:tcPr>
            <w:tcW w:w="1429" w:type="dxa"/>
            <w:tcBorders>
              <w:top w:val="nil"/>
              <w:left w:val="single" w:sz="6" w:space="0" w:color="auto"/>
              <w:bottom w:val="single" w:sz="6" w:space="0" w:color="auto"/>
              <w:right w:val="single" w:sz="6" w:space="0" w:color="auto"/>
            </w:tcBorders>
            <w:shd w:val="clear" w:color="auto" w:fill="FFFFFF"/>
            <w:vAlign w:val="center"/>
            <w:hideMark/>
          </w:tcPr>
          <w:p w14:paraId="427D1378"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DESPACHO DE LA PRESIDENCIA </w:t>
            </w:r>
          </w:p>
        </w:tc>
        <w:tc>
          <w:tcPr>
            <w:tcW w:w="629" w:type="dxa"/>
            <w:tcBorders>
              <w:top w:val="nil"/>
              <w:left w:val="nil"/>
              <w:bottom w:val="single" w:sz="6" w:space="0" w:color="auto"/>
              <w:right w:val="single" w:sz="6" w:space="0" w:color="auto"/>
            </w:tcBorders>
            <w:shd w:val="clear" w:color="auto" w:fill="auto"/>
            <w:vAlign w:val="center"/>
            <w:hideMark/>
          </w:tcPr>
          <w:p w14:paraId="5360BB4F"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0653-DP-P02 </w:t>
            </w:r>
          </w:p>
        </w:tc>
        <w:tc>
          <w:tcPr>
            <w:tcW w:w="1408" w:type="dxa"/>
            <w:tcBorders>
              <w:top w:val="nil"/>
              <w:left w:val="nil"/>
              <w:bottom w:val="single" w:sz="6" w:space="0" w:color="auto"/>
              <w:right w:val="single" w:sz="6" w:space="0" w:color="auto"/>
            </w:tcBorders>
            <w:shd w:val="clear" w:color="auto" w:fill="auto"/>
            <w:vAlign w:val="center"/>
            <w:hideMark/>
          </w:tcPr>
          <w:p w14:paraId="40FEA1F0"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Régimen Disciplinario </w:t>
            </w:r>
          </w:p>
        </w:tc>
        <w:tc>
          <w:tcPr>
            <w:tcW w:w="837" w:type="dxa"/>
            <w:tcBorders>
              <w:top w:val="nil"/>
              <w:left w:val="nil"/>
              <w:bottom w:val="single" w:sz="6" w:space="0" w:color="auto"/>
              <w:right w:val="single" w:sz="6" w:space="0" w:color="auto"/>
            </w:tcBorders>
            <w:shd w:val="clear" w:color="auto" w:fill="auto"/>
            <w:vAlign w:val="center"/>
            <w:hideMark/>
          </w:tcPr>
          <w:p w14:paraId="03973EAC"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02/02/2023 </w:t>
            </w:r>
          </w:p>
        </w:tc>
        <w:tc>
          <w:tcPr>
            <w:tcW w:w="837" w:type="dxa"/>
            <w:tcBorders>
              <w:top w:val="nil"/>
              <w:left w:val="nil"/>
              <w:bottom w:val="single" w:sz="6" w:space="0" w:color="auto"/>
              <w:right w:val="single" w:sz="6" w:space="0" w:color="auto"/>
            </w:tcBorders>
            <w:shd w:val="clear" w:color="auto" w:fill="auto"/>
            <w:vAlign w:val="center"/>
            <w:hideMark/>
          </w:tcPr>
          <w:p w14:paraId="5C4BEEBA"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31/05/2023 </w:t>
            </w:r>
          </w:p>
        </w:tc>
        <w:tc>
          <w:tcPr>
            <w:tcW w:w="786" w:type="dxa"/>
            <w:tcBorders>
              <w:top w:val="nil"/>
              <w:left w:val="nil"/>
              <w:bottom w:val="single" w:sz="6" w:space="0" w:color="auto"/>
              <w:right w:val="single" w:sz="6" w:space="0" w:color="auto"/>
            </w:tcBorders>
            <w:shd w:val="clear" w:color="auto" w:fill="auto"/>
            <w:vAlign w:val="center"/>
            <w:hideMark/>
          </w:tcPr>
          <w:p w14:paraId="68122FC8"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4 </w:t>
            </w:r>
          </w:p>
        </w:tc>
        <w:tc>
          <w:tcPr>
            <w:tcW w:w="713" w:type="dxa"/>
            <w:tcBorders>
              <w:top w:val="nil"/>
              <w:left w:val="nil"/>
              <w:bottom w:val="single" w:sz="6" w:space="0" w:color="auto"/>
              <w:right w:val="single" w:sz="6" w:space="0" w:color="auto"/>
            </w:tcBorders>
            <w:shd w:val="clear" w:color="auto" w:fill="auto"/>
            <w:vAlign w:val="center"/>
            <w:hideMark/>
          </w:tcPr>
          <w:p w14:paraId="1CC0002C"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No </w:t>
            </w:r>
          </w:p>
        </w:tc>
        <w:tc>
          <w:tcPr>
            <w:tcW w:w="657" w:type="dxa"/>
            <w:tcBorders>
              <w:top w:val="nil"/>
              <w:left w:val="nil"/>
              <w:bottom w:val="single" w:sz="6" w:space="0" w:color="auto"/>
              <w:right w:val="single" w:sz="6" w:space="0" w:color="auto"/>
            </w:tcBorders>
            <w:shd w:val="clear" w:color="auto" w:fill="auto"/>
            <w:vAlign w:val="center"/>
            <w:hideMark/>
          </w:tcPr>
          <w:p w14:paraId="0CD35CC6"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0 </w:t>
            </w:r>
          </w:p>
        </w:tc>
        <w:tc>
          <w:tcPr>
            <w:tcW w:w="2215" w:type="dxa"/>
            <w:tcBorders>
              <w:top w:val="nil"/>
              <w:left w:val="nil"/>
              <w:bottom w:val="single" w:sz="6" w:space="0" w:color="auto"/>
              <w:right w:val="single" w:sz="6" w:space="0" w:color="auto"/>
            </w:tcBorders>
            <w:shd w:val="clear" w:color="auto" w:fill="auto"/>
            <w:vAlign w:val="center"/>
            <w:hideMark/>
          </w:tcPr>
          <w:p w14:paraId="239AC1AB" w14:textId="77777777"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Se debe modificar el cronograma, se está a la espera que se conozca en Corte Plena la propuesta. </w:t>
            </w:r>
          </w:p>
        </w:tc>
        <w:tc>
          <w:tcPr>
            <w:tcW w:w="1275" w:type="dxa"/>
            <w:tcBorders>
              <w:top w:val="nil"/>
              <w:left w:val="nil"/>
              <w:bottom w:val="single" w:sz="6" w:space="0" w:color="auto"/>
              <w:right w:val="single" w:sz="6" w:space="0" w:color="auto"/>
            </w:tcBorders>
            <w:shd w:val="clear" w:color="auto" w:fill="auto"/>
            <w:vAlign w:val="center"/>
            <w:hideMark/>
          </w:tcPr>
          <w:p w14:paraId="03047745" w14:textId="77777777"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w:t>
            </w:r>
          </w:p>
        </w:tc>
      </w:tr>
      <w:tr w:rsidR="00F262A5" w:rsidRPr="00F262A5" w14:paraId="72BBC4C6" w14:textId="77777777" w:rsidTr="007A1274">
        <w:trPr>
          <w:trHeight w:val="1920"/>
        </w:trPr>
        <w:tc>
          <w:tcPr>
            <w:tcW w:w="1429" w:type="dxa"/>
            <w:tcBorders>
              <w:top w:val="nil"/>
              <w:left w:val="single" w:sz="6" w:space="0" w:color="auto"/>
              <w:bottom w:val="single" w:sz="6" w:space="0" w:color="auto"/>
              <w:right w:val="single" w:sz="6" w:space="0" w:color="auto"/>
            </w:tcBorders>
            <w:shd w:val="clear" w:color="auto" w:fill="FFFFFF"/>
            <w:vAlign w:val="center"/>
            <w:hideMark/>
          </w:tcPr>
          <w:p w14:paraId="5113BA46"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DEPARTAMENTO DE MEDICINA LEGAL </w:t>
            </w:r>
          </w:p>
        </w:tc>
        <w:tc>
          <w:tcPr>
            <w:tcW w:w="629" w:type="dxa"/>
            <w:tcBorders>
              <w:top w:val="nil"/>
              <w:left w:val="nil"/>
              <w:bottom w:val="single" w:sz="6" w:space="0" w:color="auto"/>
              <w:right w:val="single" w:sz="6" w:space="0" w:color="auto"/>
            </w:tcBorders>
            <w:shd w:val="clear" w:color="auto" w:fill="auto"/>
            <w:vAlign w:val="center"/>
            <w:hideMark/>
          </w:tcPr>
          <w:p w14:paraId="7CDDEFA2"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1167-OIJ-P02 </w:t>
            </w:r>
          </w:p>
        </w:tc>
        <w:tc>
          <w:tcPr>
            <w:tcW w:w="1408" w:type="dxa"/>
            <w:tcBorders>
              <w:top w:val="nil"/>
              <w:left w:val="nil"/>
              <w:bottom w:val="single" w:sz="6" w:space="0" w:color="auto"/>
              <w:right w:val="single" w:sz="6" w:space="0" w:color="auto"/>
            </w:tcBorders>
            <w:shd w:val="clear" w:color="auto" w:fill="auto"/>
            <w:vAlign w:val="center"/>
            <w:hideMark/>
          </w:tcPr>
          <w:p w14:paraId="693F22BE"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Reacondicionamiento de la Morgue Judicial </w:t>
            </w:r>
          </w:p>
        </w:tc>
        <w:tc>
          <w:tcPr>
            <w:tcW w:w="837" w:type="dxa"/>
            <w:tcBorders>
              <w:top w:val="nil"/>
              <w:left w:val="nil"/>
              <w:bottom w:val="single" w:sz="6" w:space="0" w:color="auto"/>
              <w:right w:val="single" w:sz="6" w:space="0" w:color="auto"/>
            </w:tcBorders>
            <w:shd w:val="clear" w:color="auto" w:fill="auto"/>
            <w:vAlign w:val="center"/>
            <w:hideMark/>
          </w:tcPr>
          <w:p w14:paraId="3624CDD5"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28/04/2023 </w:t>
            </w:r>
          </w:p>
        </w:tc>
        <w:tc>
          <w:tcPr>
            <w:tcW w:w="837" w:type="dxa"/>
            <w:tcBorders>
              <w:top w:val="nil"/>
              <w:left w:val="nil"/>
              <w:bottom w:val="single" w:sz="6" w:space="0" w:color="auto"/>
              <w:right w:val="single" w:sz="6" w:space="0" w:color="auto"/>
            </w:tcBorders>
            <w:shd w:val="clear" w:color="auto" w:fill="auto"/>
            <w:vAlign w:val="center"/>
            <w:hideMark/>
          </w:tcPr>
          <w:p w14:paraId="3CF9330E"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31/07/2023 </w:t>
            </w:r>
          </w:p>
        </w:tc>
        <w:tc>
          <w:tcPr>
            <w:tcW w:w="786" w:type="dxa"/>
            <w:tcBorders>
              <w:top w:val="nil"/>
              <w:left w:val="nil"/>
              <w:bottom w:val="single" w:sz="6" w:space="0" w:color="auto"/>
              <w:right w:val="single" w:sz="6" w:space="0" w:color="auto"/>
            </w:tcBorders>
            <w:shd w:val="clear" w:color="auto" w:fill="auto"/>
            <w:vAlign w:val="center"/>
            <w:hideMark/>
          </w:tcPr>
          <w:p w14:paraId="3F286F49"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3 </w:t>
            </w:r>
          </w:p>
        </w:tc>
        <w:tc>
          <w:tcPr>
            <w:tcW w:w="713" w:type="dxa"/>
            <w:tcBorders>
              <w:top w:val="nil"/>
              <w:left w:val="nil"/>
              <w:bottom w:val="single" w:sz="6" w:space="0" w:color="auto"/>
              <w:right w:val="single" w:sz="6" w:space="0" w:color="auto"/>
            </w:tcBorders>
            <w:shd w:val="clear" w:color="auto" w:fill="auto"/>
            <w:vAlign w:val="center"/>
            <w:hideMark/>
          </w:tcPr>
          <w:p w14:paraId="0D421D23"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No </w:t>
            </w:r>
          </w:p>
        </w:tc>
        <w:tc>
          <w:tcPr>
            <w:tcW w:w="657" w:type="dxa"/>
            <w:tcBorders>
              <w:top w:val="nil"/>
              <w:left w:val="nil"/>
              <w:bottom w:val="single" w:sz="6" w:space="0" w:color="auto"/>
              <w:right w:val="single" w:sz="6" w:space="0" w:color="auto"/>
            </w:tcBorders>
            <w:shd w:val="clear" w:color="auto" w:fill="auto"/>
            <w:vAlign w:val="center"/>
            <w:hideMark/>
          </w:tcPr>
          <w:p w14:paraId="3C64847B"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0 </w:t>
            </w:r>
          </w:p>
        </w:tc>
        <w:tc>
          <w:tcPr>
            <w:tcW w:w="2215" w:type="dxa"/>
            <w:tcBorders>
              <w:top w:val="nil"/>
              <w:left w:val="nil"/>
              <w:bottom w:val="single" w:sz="6" w:space="0" w:color="auto"/>
              <w:right w:val="single" w:sz="6" w:space="0" w:color="auto"/>
            </w:tcBorders>
            <w:shd w:val="clear" w:color="auto" w:fill="auto"/>
            <w:vAlign w:val="center"/>
            <w:hideMark/>
          </w:tcPr>
          <w:p w14:paraId="773B486F" w14:textId="77777777"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 Ajustes al cronograma: Debido a que no fue posible el cambio del supresor que se mantenía como elemento pendiente de la etapa 3, mismo que no permite la recepción definitiva del proyecto, la empresa constructora presentó una propuesta para sustituir el supresor del proyecto con el fin de poder finalizar el proceso de recepción de la contratación. Esta propuesta se encuentra en revisión por parte de la inspección, de la cual aún se mantiene pendiente la respuesta. </w:t>
            </w:r>
            <w:r w:rsidRPr="00F262A5">
              <w:rPr>
                <w:rFonts w:ascii="Book Antiqua" w:eastAsia="Times New Roman" w:hAnsi="Book Antiqua" w:cs="Segoe UI"/>
                <w:color w:val="000000"/>
                <w:sz w:val="14"/>
                <w:szCs w:val="14"/>
                <w:lang w:eastAsia="es-CR"/>
              </w:rPr>
              <w:br/>
              <w:t>Por lo anterior, con la información disponible a la fecha se establecen los siguientes cambios en el cronograma, con el fin de establecer un periodo prudencial para que los entregables que se encuentran pendientes de concluir sean finalizados: • EDT 2.1.3. Etapa III: nueva fecha de finalización: 30/06/2023 • EDT 3.1. Fase de cierre: nueva fecha de cierre y finalización del proyecto: 31/07/2023. </w:t>
            </w:r>
          </w:p>
        </w:tc>
        <w:tc>
          <w:tcPr>
            <w:tcW w:w="1275" w:type="dxa"/>
            <w:tcBorders>
              <w:top w:val="nil"/>
              <w:left w:val="nil"/>
              <w:bottom w:val="single" w:sz="6" w:space="0" w:color="auto"/>
              <w:right w:val="single" w:sz="6" w:space="0" w:color="auto"/>
            </w:tcBorders>
            <w:shd w:val="clear" w:color="auto" w:fill="auto"/>
            <w:vAlign w:val="center"/>
            <w:hideMark/>
          </w:tcPr>
          <w:p w14:paraId="3856BDCA" w14:textId="77777777"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w:t>
            </w:r>
          </w:p>
        </w:tc>
      </w:tr>
      <w:tr w:rsidR="00F262A5" w:rsidRPr="00F262A5" w14:paraId="740FBBE2" w14:textId="77777777" w:rsidTr="00EF4E17">
        <w:trPr>
          <w:trHeight w:val="1603"/>
        </w:trPr>
        <w:tc>
          <w:tcPr>
            <w:tcW w:w="1429" w:type="dxa"/>
            <w:tcBorders>
              <w:top w:val="nil"/>
              <w:left w:val="single" w:sz="6" w:space="0" w:color="auto"/>
              <w:bottom w:val="single" w:sz="6" w:space="0" w:color="auto"/>
              <w:right w:val="single" w:sz="6" w:space="0" w:color="auto"/>
            </w:tcBorders>
            <w:shd w:val="clear" w:color="auto" w:fill="FFFFFF"/>
            <w:vAlign w:val="center"/>
            <w:hideMark/>
          </w:tcPr>
          <w:p w14:paraId="2878CA54"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lastRenderedPageBreak/>
              <w:t>SECCION DE RECLUTAMIENTO Y SELECCION </w:t>
            </w:r>
          </w:p>
        </w:tc>
        <w:tc>
          <w:tcPr>
            <w:tcW w:w="629" w:type="dxa"/>
            <w:tcBorders>
              <w:top w:val="nil"/>
              <w:left w:val="nil"/>
              <w:bottom w:val="single" w:sz="6" w:space="0" w:color="auto"/>
              <w:right w:val="single" w:sz="6" w:space="0" w:color="auto"/>
            </w:tcBorders>
            <w:shd w:val="clear" w:color="auto" w:fill="auto"/>
            <w:vAlign w:val="center"/>
            <w:hideMark/>
          </w:tcPr>
          <w:p w14:paraId="3CF6CFA8"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0134-DGH-P04 </w:t>
            </w:r>
          </w:p>
        </w:tc>
        <w:tc>
          <w:tcPr>
            <w:tcW w:w="1408" w:type="dxa"/>
            <w:tcBorders>
              <w:top w:val="nil"/>
              <w:left w:val="nil"/>
              <w:bottom w:val="single" w:sz="6" w:space="0" w:color="auto"/>
              <w:right w:val="single" w:sz="6" w:space="0" w:color="auto"/>
            </w:tcBorders>
            <w:shd w:val="clear" w:color="auto" w:fill="auto"/>
            <w:vAlign w:val="center"/>
            <w:hideMark/>
          </w:tcPr>
          <w:p w14:paraId="63894362"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Estandarización del proceso de reclutamiento y selección </w:t>
            </w:r>
          </w:p>
        </w:tc>
        <w:tc>
          <w:tcPr>
            <w:tcW w:w="837" w:type="dxa"/>
            <w:tcBorders>
              <w:top w:val="nil"/>
              <w:left w:val="nil"/>
              <w:bottom w:val="single" w:sz="6" w:space="0" w:color="auto"/>
              <w:right w:val="single" w:sz="6" w:space="0" w:color="auto"/>
            </w:tcBorders>
            <w:shd w:val="clear" w:color="auto" w:fill="auto"/>
            <w:vAlign w:val="center"/>
            <w:hideMark/>
          </w:tcPr>
          <w:p w14:paraId="23EB0143"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30/09/2024 </w:t>
            </w:r>
          </w:p>
        </w:tc>
        <w:tc>
          <w:tcPr>
            <w:tcW w:w="837" w:type="dxa"/>
            <w:tcBorders>
              <w:top w:val="nil"/>
              <w:left w:val="nil"/>
              <w:bottom w:val="single" w:sz="6" w:space="0" w:color="auto"/>
              <w:right w:val="single" w:sz="6" w:space="0" w:color="auto"/>
            </w:tcBorders>
            <w:shd w:val="clear" w:color="auto" w:fill="auto"/>
            <w:vAlign w:val="center"/>
            <w:hideMark/>
          </w:tcPr>
          <w:p w14:paraId="099C2815"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31/12/2024 </w:t>
            </w:r>
          </w:p>
        </w:tc>
        <w:tc>
          <w:tcPr>
            <w:tcW w:w="786" w:type="dxa"/>
            <w:tcBorders>
              <w:top w:val="nil"/>
              <w:left w:val="nil"/>
              <w:bottom w:val="single" w:sz="6" w:space="0" w:color="auto"/>
              <w:right w:val="single" w:sz="6" w:space="0" w:color="auto"/>
            </w:tcBorders>
            <w:shd w:val="clear" w:color="auto" w:fill="auto"/>
            <w:vAlign w:val="center"/>
            <w:hideMark/>
          </w:tcPr>
          <w:p w14:paraId="46BA5EB5"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3 </w:t>
            </w:r>
          </w:p>
        </w:tc>
        <w:tc>
          <w:tcPr>
            <w:tcW w:w="713" w:type="dxa"/>
            <w:tcBorders>
              <w:top w:val="nil"/>
              <w:left w:val="nil"/>
              <w:bottom w:val="single" w:sz="6" w:space="0" w:color="auto"/>
              <w:right w:val="single" w:sz="6" w:space="0" w:color="auto"/>
            </w:tcBorders>
            <w:shd w:val="clear" w:color="auto" w:fill="auto"/>
            <w:vAlign w:val="center"/>
            <w:hideMark/>
          </w:tcPr>
          <w:p w14:paraId="76D01E9E"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No </w:t>
            </w:r>
          </w:p>
        </w:tc>
        <w:tc>
          <w:tcPr>
            <w:tcW w:w="657" w:type="dxa"/>
            <w:tcBorders>
              <w:top w:val="nil"/>
              <w:left w:val="nil"/>
              <w:bottom w:val="single" w:sz="6" w:space="0" w:color="auto"/>
              <w:right w:val="single" w:sz="6" w:space="0" w:color="auto"/>
            </w:tcBorders>
            <w:shd w:val="clear" w:color="auto" w:fill="auto"/>
            <w:vAlign w:val="center"/>
            <w:hideMark/>
          </w:tcPr>
          <w:p w14:paraId="29337D93"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0 </w:t>
            </w:r>
          </w:p>
        </w:tc>
        <w:tc>
          <w:tcPr>
            <w:tcW w:w="2215" w:type="dxa"/>
            <w:tcBorders>
              <w:top w:val="nil"/>
              <w:left w:val="nil"/>
              <w:bottom w:val="single" w:sz="6" w:space="0" w:color="auto"/>
              <w:right w:val="single" w:sz="6" w:space="0" w:color="auto"/>
            </w:tcBorders>
            <w:shd w:val="clear" w:color="auto" w:fill="auto"/>
            <w:vAlign w:val="center"/>
            <w:hideMark/>
          </w:tcPr>
          <w:p w14:paraId="376532B7" w14:textId="576128AB"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xml:space="preserve">El primer cambio en el </w:t>
            </w:r>
            <w:r w:rsidR="007A1274" w:rsidRPr="00F262A5">
              <w:rPr>
                <w:rFonts w:ascii="Book Antiqua" w:eastAsia="Times New Roman" w:hAnsi="Book Antiqua" w:cs="Segoe UI"/>
                <w:color w:val="000000"/>
                <w:sz w:val="14"/>
                <w:szCs w:val="14"/>
                <w:lang w:eastAsia="es-CR"/>
              </w:rPr>
              <w:t>cronograma</w:t>
            </w:r>
            <w:r w:rsidRPr="00F262A5">
              <w:rPr>
                <w:rFonts w:ascii="Book Antiqua" w:eastAsia="Times New Roman" w:hAnsi="Book Antiqua" w:cs="Segoe UI"/>
                <w:color w:val="000000"/>
                <w:sz w:val="14"/>
                <w:szCs w:val="14"/>
                <w:lang w:eastAsia="es-CR"/>
              </w:rPr>
              <w:t xml:space="preserve"> obedece a que se realiza un ajuste en la fecha de finalización del proyecto, la cual se consignó como fecha al 30 de setiembre de 2024; no obstante, según el desarrollo de tareas, la fecha correcta de finalización es el 31 de diciembre del 2024. </w:t>
            </w:r>
          </w:p>
        </w:tc>
        <w:tc>
          <w:tcPr>
            <w:tcW w:w="1275" w:type="dxa"/>
            <w:tcBorders>
              <w:top w:val="nil"/>
              <w:left w:val="nil"/>
              <w:bottom w:val="single" w:sz="6" w:space="0" w:color="auto"/>
              <w:right w:val="single" w:sz="6" w:space="0" w:color="auto"/>
            </w:tcBorders>
            <w:shd w:val="clear" w:color="auto" w:fill="auto"/>
            <w:vAlign w:val="center"/>
            <w:hideMark/>
          </w:tcPr>
          <w:p w14:paraId="405766CE"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w:t>
            </w:r>
          </w:p>
        </w:tc>
      </w:tr>
      <w:tr w:rsidR="00F262A5" w:rsidRPr="00F262A5" w14:paraId="0D8B2CC7" w14:textId="77777777" w:rsidTr="00EF4E17">
        <w:trPr>
          <w:trHeight w:val="2959"/>
        </w:trPr>
        <w:tc>
          <w:tcPr>
            <w:tcW w:w="1429" w:type="dxa"/>
            <w:tcBorders>
              <w:top w:val="nil"/>
              <w:left w:val="single" w:sz="6" w:space="0" w:color="auto"/>
              <w:bottom w:val="single" w:sz="6" w:space="0" w:color="auto"/>
              <w:right w:val="single" w:sz="6" w:space="0" w:color="auto"/>
            </w:tcBorders>
            <w:shd w:val="clear" w:color="auto" w:fill="FFFFFF"/>
            <w:vAlign w:val="center"/>
            <w:hideMark/>
          </w:tcPr>
          <w:p w14:paraId="1AA7BF25"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SUBPROCESO SISTEMAS ADMINISTRATIVOS </w:t>
            </w:r>
          </w:p>
        </w:tc>
        <w:tc>
          <w:tcPr>
            <w:tcW w:w="629" w:type="dxa"/>
            <w:tcBorders>
              <w:top w:val="nil"/>
              <w:left w:val="nil"/>
              <w:bottom w:val="single" w:sz="6" w:space="0" w:color="auto"/>
              <w:right w:val="single" w:sz="6" w:space="0" w:color="auto"/>
            </w:tcBorders>
            <w:shd w:val="clear" w:color="auto" w:fill="auto"/>
            <w:vAlign w:val="center"/>
            <w:hideMark/>
          </w:tcPr>
          <w:p w14:paraId="305CB39A"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0122-DTI-P02 </w:t>
            </w:r>
          </w:p>
        </w:tc>
        <w:tc>
          <w:tcPr>
            <w:tcW w:w="1408" w:type="dxa"/>
            <w:tcBorders>
              <w:top w:val="nil"/>
              <w:left w:val="nil"/>
              <w:bottom w:val="single" w:sz="6" w:space="0" w:color="auto"/>
              <w:right w:val="single" w:sz="6" w:space="0" w:color="auto"/>
            </w:tcBorders>
            <w:shd w:val="clear" w:color="auto" w:fill="auto"/>
            <w:vAlign w:val="center"/>
            <w:hideMark/>
          </w:tcPr>
          <w:p w14:paraId="6F62E785"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Incorporación de la jurisprudencia oral en el Nexus-PJ </w:t>
            </w:r>
          </w:p>
        </w:tc>
        <w:tc>
          <w:tcPr>
            <w:tcW w:w="837" w:type="dxa"/>
            <w:tcBorders>
              <w:top w:val="nil"/>
              <w:left w:val="nil"/>
              <w:bottom w:val="single" w:sz="6" w:space="0" w:color="auto"/>
              <w:right w:val="single" w:sz="6" w:space="0" w:color="auto"/>
            </w:tcBorders>
            <w:shd w:val="clear" w:color="auto" w:fill="auto"/>
            <w:vAlign w:val="center"/>
            <w:hideMark/>
          </w:tcPr>
          <w:p w14:paraId="4058CB95"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08/09/2023 </w:t>
            </w:r>
          </w:p>
        </w:tc>
        <w:tc>
          <w:tcPr>
            <w:tcW w:w="837" w:type="dxa"/>
            <w:tcBorders>
              <w:top w:val="nil"/>
              <w:left w:val="nil"/>
              <w:bottom w:val="single" w:sz="6" w:space="0" w:color="auto"/>
              <w:right w:val="single" w:sz="6" w:space="0" w:color="auto"/>
            </w:tcBorders>
            <w:shd w:val="clear" w:color="auto" w:fill="auto"/>
            <w:vAlign w:val="center"/>
            <w:hideMark/>
          </w:tcPr>
          <w:p w14:paraId="2986ED1F"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06/11/2023 </w:t>
            </w:r>
          </w:p>
        </w:tc>
        <w:tc>
          <w:tcPr>
            <w:tcW w:w="786" w:type="dxa"/>
            <w:tcBorders>
              <w:top w:val="nil"/>
              <w:left w:val="nil"/>
              <w:bottom w:val="single" w:sz="6" w:space="0" w:color="auto"/>
              <w:right w:val="single" w:sz="6" w:space="0" w:color="auto"/>
            </w:tcBorders>
            <w:shd w:val="clear" w:color="auto" w:fill="auto"/>
            <w:vAlign w:val="center"/>
            <w:hideMark/>
          </w:tcPr>
          <w:p w14:paraId="38437782"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2 </w:t>
            </w:r>
          </w:p>
        </w:tc>
        <w:tc>
          <w:tcPr>
            <w:tcW w:w="713" w:type="dxa"/>
            <w:tcBorders>
              <w:top w:val="nil"/>
              <w:left w:val="nil"/>
              <w:bottom w:val="single" w:sz="6" w:space="0" w:color="auto"/>
              <w:right w:val="single" w:sz="6" w:space="0" w:color="auto"/>
            </w:tcBorders>
            <w:shd w:val="clear" w:color="auto" w:fill="auto"/>
            <w:vAlign w:val="center"/>
            <w:hideMark/>
          </w:tcPr>
          <w:p w14:paraId="0F4C8761"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No </w:t>
            </w:r>
          </w:p>
        </w:tc>
        <w:tc>
          <w:tcPr>
            <w:tcW w:w="657" w:type="dxa"/>
            <w:tcBorders>
              <w:top w:val="nil"/>
              <w:left w:val="nil"/>
              <w:bottom w:val="single" w:sz="6" w:space="0" w:color="auto"/>
              <w:right w:val="single" w:sz="6" w:space="0" w:color="auto"/>
            </w:tcBorders>
            <w:shd w:val="clear" w:color="auto" w:fill="auto"/>
            <w:vAlign w:val="center"/>
            <w:hideMark/>
          </w:tcPr>
          <w:p w14:paraId="05F23CDA"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0 </w:t>
            </w:r>
          </w:p>
        </w:tc>
        <w:tc>
          <w:tcPr>
            <w:tcW w:w="2215" w:type="dxa"/>
            <w:tcBorders>
              <w:top w:val="nil"/>
              <w:left w:val="nil"/>
              <w:bottom w:val="single" w:sz="6" w:space="0" w:color="auto"/>
              <w:right w:val="single" w:sz="6" w:space="0" w:color="auto"/>
            </w:tcBorders>
            <w:shd w:val="clear" w:color="auto" w:fill="auto"/>
            <w:vAlign w:val="center"/>
            <w:hideMark/>
          </w:tcPr>
          <w:p w14:paraId="39153BE8" w14:textId="77777777"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Esta tarea de instalación fue coordinada con la unidad de Base Tecnológica quien emite recomendación de no instalar antes de Semana Santa para evitar riesgo de inestabilidad del sistema durante el cierre colectivo. Por tanto se remitió RFC de instalación con fecha de inicio 12 de abril con una ventana de instalación de 48 horas. Es por lo anterior, que se requiere modificar la fecha de finalización de la línea 36 “Instalación de mejoras de Nexus.PJ en producción” del cronograma de trabajo, cambiando la misma del 31 de marzo a 14 de abril. </w:t>
            </w:r>
          </w:p>
        </w:tc>
        <w:tc>
          <w:tcPr>
            <w:tcW w:w="1275" w:type="dxa"/>
            <w:tcBorders>
              <w:top w:val="nil"/>
              <w:left w:val="nil"/>
              <w:bottom w:val="single" w:sz="6" w:space="0" w:color="auto"/>
              <w:right w:val="single" w:sz="6" w:space="0" w:color="auto"/>
            </w:tcBorders>
            <w:shd w:val="clear" w:color="auto" w:fill="auto"/>
            <w:vAlign w:val="center"/>
            <w:hideMark/>
          </w:tcPr>
          <w:p w14:paraId="7EA7FC68"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w:t>
            </w:r>
          </w:p>
        </w:tc>
      </w:tr>
      <w:tr w:rsidR="007A1274" w:rsidRPr="00F262A5" w14:paraId="42F87EB0" w14:textId="77777777" w:rsidTr="007A1274">
        <w:trPr>
          <w:trHeight w:val="1920"/>
        </w:trPr>
        <w:tc>
          <w:tcPr>
            <w:tcW w:w="1429" w:type="dxa"/>
            <w:tcBorders>
              <w:top w:val="nil"/>
              <w:left w:val="single" w:sz="6" w:space="0" w:color="auto"/>
              <w:bottom w:val="single" w:sz="6" w:space="0" w:color="auto"/>
              <w:right w:val="single" w:sz="6" w:space="0" w:color="auto"/>
            </w:tcBorders>
            <w:shd w:val="clear" w:color="auto" w:fill="D9E1F2"/>
            <w:vAlign w:val="center"/>
            <w:hideMark/>
          </w:tcPr>
          <w:p w14:paraId="2F417FAC"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SUBPROCESO MODERNIZACION INSTITUCIONAL </w:t>
            </w:r>
          </w:p>
        </w:tc>
        <w:tc>
          <w:tcPr>
            <w:tcW w:w="629" w:type="dxa"/>
            <w:tcBorders>
              <w:top w:val="nil"/>
              <w:left w:val="nil"/>
              <w:bottom w:val="single" w:sz="6" w:space="0" w:color="auto"/>
              <w:right w:val="single" w:sz="6" w:space="0" w:color="auto"/>
            </w:tcBorders>
            <w:shd w:val="clear" w:color="auto" w:fill="D9E1F2"/>
            <w:vAlign w:val="center"/>
            <w:hideMark/>
          </w:tcPr>
          <w:p w14:paraId="7ECBB7DB"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0110-PLA-P32 </w:t>
            </w:r>
          </w:p>
        </w:tc>
        <w:tc>
          <w:tcPr>
            <w:tcW w:w="1408" w:type="dxa"/>
            <w:tcBorders>
              <w:top w:val="nil"/>
              <w:left w:val="nil"/>
              <w:bottom w:val="single" w:sz="6" w:space="0" w:color="auto"/>
              <w:right w:val="single" w:sz="6" w:space="0" w:color="auto"/>
            </w:tcBorders>
            <w:shd w:val="clear" w:color="auto" w:fill="D9E1F2"/>
            <w:vAlign w:val="center"/>
            <w:hideMark/>
          </w:tcPr>
          <w:p w14:paraId="68594C9C"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Implementación de oficina Modelo en el Juzgado y Tribunal Notarial </w:t>
            </w:r>
          </w:p>
        </w:tc>
        <w:tc>
          <w:tcPr>
            <w:tcW w:w="837" w:type="dxa"/>
            <w:tcBorders>
              <w:top w:val="nil"/>
              <w:left w:val="nil"/>
              <w:bottom w:val="single" w:sz="6" w:space="0" w:color="auto"/>
              <w:right w:val="single" w:sz="6" w:space="0" w:color="auto"/>
            </w:tcBorders>
            <w:shd w:val="clear" w:color="auto" w:fill="D9E1F2"/>
            <w:vAlign w:val="center"/>
            <w:hideMark/>
          </w:tcPr>
          <w:p w14:paraId="44DCE6D8"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09/01/2023 </w:t>
            </w:r>
          </w:p>
        </w:tc>
        <w:tc>
          <w:tcPr>
            <w:tcW w:w="837" w:type="dxa"/>
            <w:tcBorders>
              <w:top w:val="nil"/>
              <w:left w:val="nil"/>
              <w:bottom w:val="single" w:sz="6" w:space="0" w:color="auto"/>
              <w:right w:val="single" w:sz="6" w:space="0" w:color="auto"/>
            </w:tcBorders>
            <w:shd w:val="clear" w:color="auto" w:fill="D9E1F2"/>
            <w:vAlign w:val="center"/>
            <w:hideMark/>
          </w:tcPr>
          <w:p w14:paraId="6990D511"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10/06/2024 </w:t>
            </w:r>
          </w:p>
        </w:tc>
        <w:tc>
          <w:tcPr>
            <w:tcW w:w="786" w:type="dxa"/>
            <w:tcBorders>
              <w:top w:val="nil"/>
              <w:left w:val="nil"/>
              <w:bottom w:val="single" w:sz="6" w:space="0" w:color="auto"/>
              <w:right w:val="single" w:sz="6" w:space="0" w:color="auto"/>
            </w:tcBorders>
            <w:shd w:val="clear" w:color="auto" w:fill="D9E1F2"/>
            <w:vAlign w:val="center"/>
            <w:hideMark/>
          </w:tcPr>
          <w:p w14:paraId="744ADCE4"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18 </w:t>
            </w:r>
          </w:p>
        </w:tc>
        <w:tc>
          <w:tcPr>
            <w:tcW w:w="713" w:type="dxa"/>
            <w:tcBorders>
              <w:top w:val="nil"/>
              <w:left w:val="nil"/>
              <w:bottom w:val="single" w:sz="6" w:space="0" w:color="auto"/>
              <w:right w:val="single" w:sz="6" w:space="0" w:color="auto"/>
            </w:tcBorders>
            <w:shd w:val="clear" w:color="auto" w:fill="D9E1F2"/>
            <w:vAlign w:val="center"/>
            <w:hideMark/>
          </w:tcPr>
          <w:p w14:paraId="7709105C"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Si </w:t>
            </w:r>
          </w:p>
        </w:tc>
        <w:tc>
          <w:tcPr>
            <w:tcW w:w="657" w:type="dxa"/>
            <w:tcBorders>
              <w:top w:val="nil"/>
              <w:left w:val="nil"/>
              <w:bottom w:val="single" w:sz="6" w:space="0" w:color="auto"/>
              <w:right w:val="single" w:sz="6" w:space="0" w:color="auto"/>
            </w:tcBorders>
            <w:shd w:val="clear" w:color="auto" w:fill="D9E1F2"/>
            <w:vAlign w:val="center"/>
            <w:hideMark/>
          </w:tcPr>
          <w:p w14:paraId="31C58B3D"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1 </w:t>
            </w:r>
          </w:p>
        </w:tc>
        <w:tc>
          <w:tcPr>
            <w:tcW w:w="2215" w:type="dxa"/>
            <w:tcBorders>
              <w:top w:val="nil"/>
              <w:left w:val="nil"/>
              <w:bottom w:val="single" w:sz="6" w:space="0" w:color="auto"/>
              <w:right w:val="single" w:sz="6" w:space="0" w:color="auto"/>
            </w:tcBorders>
            <w:shd w:val="clear" w:color="auto" w:fill="D9E1F2"/>
            <w:vAlign w:val="center"/>
            <w:hideMark/>
          </w:tcPr>
          <w:p w14:paraId="027B79B5" w14:textId="0C5EDC9F"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xml:space="preserve">La justificación de cambio recae en la necesidad de modificar las fechas de ejecución de la EDT que se detallan en el punto 1 debido a que se ha presentado un atraso para él envió a consulta del preliminar 387- PLA-ES-MI(NPL)-2023, además de que el informe definitivo debe ser enviado por el Subproceso de Estadística para aprobación del Consejo, actualmente se encuentran en periodo de atención de observaciones al informe en consulta. La ejecución del inventario no se considera oportuno ni viable realizar sin contar con la nueva </w:t>
            </w:r>
            <w:r w:rsidR="00A63E0E" w:rsidRPr="00F262A5">
              <w:rPr>
                <w:rFonts w:ascii="Book Antiqua" w:eastAsia="Times New Roman" w:hAnsi="Book Antiqua" w:cs="Segoe UI"/>
                <w:color w:val="000000"/>
                <w:sz w:val="14"/>
                <w:szCs w:val="14"/>
                <w:lang w:eastAsia="es-CR"/>
              </w:rPr>
              <w:t>fórmula</w:t>
            </w:r>
            <w:r w:rsidRPr="00F262A5">
              <w:rPr>
                <w:rFonts w:ascii="Book Antiqua" w:eastAsia="Times New Roman" w:hAnsi="Book Antiqua" w:cs="Segoe UI"/>
                <w:color w:val="000000"/>
                <w:sz w:val="14"/>
                <w:szCs w:val="14"/>
                <w:lang w:eastAsia="es-CR"/>
              </w:rPr>
              <w:t xml:space="preserve"> estadística ya que implicaría tener que hacer un nuevo inventario para actualizar lo que </w:t>
            </w:r>
            <w:r w:rsidRPr="00F262A5">
              <w:rPr>
                <w:rFonts w:ascii="Book Antiqua" w:eastAsia="Times New Roman" w:hAnsi="Book Antiqua" w:cs="Segoe UI"/>
                <w:color w:val="000000"/>
                <w:sz w:val="14"/>
                <w:szCs w:val="14"/>
                <w:lang w:eastAsia="es-CR"/>
              </w:rPr>
              <w:br/>
              <w:t xml:space="preserve">corresponda de acuerdo con los cambios en la formula. Al inicio del proyecto se estimó que la nueva </w:t>
            </w:r>
            <w:r w:rsidR="00A63E0E" w:rsidRPr="00F262A5">
              <w:rPr>
                <w:rFonts w:ascii="Book Antiqua" w:eastAsia="Times New Roman" w:hAnsi="Book Antiqua" w:cs="Segoe UI"/>
                <w:color w:val="000000"/>
                <w:sz w:val="14"/>
                <w:szCs w:val="14"/>
                <w:lang w:eastAsia="es-CR"/>
              </w:rPr>
              <w:t>fórmula</w:t>
            </w:r>
            <w:r w:rsidRPr="00F262A5">
              <w:rPr>
                <w:rFonts w:ascii="Book Antiqua" w:eastAsia="Times New Roman" w:hAnsi="Book Antiqua" w:cs="Segoe UI"/>
                <w:color w:val="000000"/>
                <w:sz w:val="14"/>
                <w:szCs w:val="14"/>
                <w:lang w:eastAsia="es-CR"/>
              </w:rPr>
              <w:t xml:space="preserve"> estadística se encontraría lista para dar inicio con el inventario en las fechas programadas inicialmente, no obstante, no fue así por lo cual se requiere realizar una solicitud de cambio en el cronograma del proyecto. </w:t>
            </w:r>
          </w:p>
        </w:tc>
        <w:tc>
          <w:tcPr>
            <w:tcW w:w="1275" w:type="dxa"/>
            <w:tcBorders>
              <w:top w:val="nil"/>
              <w:left w:val="nil"/>
              <w:bottom w:val="single" w:sz="6" w:space="0" w:color="auto"/>
              <w:right w:val="single" w:sz="6" w:space="0" w:color="auto"/>
            </w:tcBorders>
            <w:shd w:val="clear" w:color="auto" w:fill="D9E1F2"/>
            <w:vAlign w:val="center"/>
            <w:hideMark/>
          </w:tcPr>
          <w:p w14:paraId="55F8C05C"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w:t>
            </w:r>
          </w:p>
        </w:tc>
      </w:tr>
      <w:tr w:rsidR="007A1274" w:rsidRPr="00F262A5" w14:paraId="5CE0B705" w14:textId="77777777" w:rsidTr="007A1274">
        <w:trPr>
          <w:trHeight w:val="2385"/>
        </w:trPr>
        <w:tc>
          <w:tcPr>
            <w:tcW w:w="1429" w:type="dxa"/>
            <w:tcBorders>
              <w:top w:val="nil"/>
              <w:left w:val="single" w:sz="6" w:space="0" w:color="auto"/>
              <w:bottom w:val="single" w:sz="6" w:space="0" w:color="auto"/>
              <w:right w:val="single" w:sz="6" w:space="0" w:color="auto"/>
            </w:tcBorders>
            <w:shd w:val="clear" w:color="auto" w:fill="D9E1F2"/>
            <w:vAlign w:val="center"/>
            <w:hideMark/>
          </w:tcPr>
          <w:p w14:paraId="5220FAAE"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lastRenderedPageBreak/>
              <w:t>DEPARTAMENTO DE LABORATORIO DE CIENCIAS FORENSES </w:t>
            </w:r>
          </w:p>
        </w:tc>
        <w:tc>
          <w:tcPr>
            <w:tcW w:w="629" w:type="dxa"/>
            <w:tcBorders>
              <w:top w:val="nil"/>
              <w:left w:val="nil"/>
              <w:bottom w:val="single" w:sz="6" w:space="0" w:color="auto"/>
              <w:right w:val="single" w:sz="6" w:space="0" w:color="auto"/>
            </w:tcBorders>
            <w:shd w:val="clear" w:color="auto" w:fill="D9E1F2"/>
            <w:vAlign w:val="center"/>
            <w:hideMark/>
          </w:tcPr>
          <w:p w14:paraId="563DCFC2"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1167-OIJ-P52 </w:t>
            </w:r>
          </w:p>
        </w:tc>
        <w:tc>
          <w:tcPr>
            <w:tcW w:w="1408" w:type="dxa"/>
            <w:tcBorders>
              <w:top w:val="nil"/>
              <w:left w:val="nil"/>
              <w:bottom w:val="single" w:sz="6" w:space="0" w:color="auto"/>
              <w:right w:val="single" w:sz="6" w:space="0" w:color="auto"/>
            </w:tcBorders>
            <w:shd w:val="clear" w:color="auto" w:fill="D9E1F2"/>
            <w:vAlign w:val="center"/>
            <w:hideMark/>
          </w:tcPr>
          <w:p w14:paraId="1C582A8F"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Implementación de la gestión de la contaminación cognitiva en el trabajo de casos forenses </w:t>
            </w:r>
          </w:p>
        </w:tc>
        <w:tc>
          <w:tcPr>
            <w:tcW w:w="837" w:type="dxa"/>
            <w:tcBorders>
              <w:top w:val="nil"/>
              <w:left w:val="nil"/>
              <w:bottom w:val="single" w:sz="6" w:space="0" w:color="auto"/>
              <w:right w:val="single" w:sz="6" w:space="0" w:color="auto"/>
            </w:tcBorders>
            <w:shd w:val="clear" w:color="auto" w:fill="D9E1F2"/>
            <w:vAlign w:val="center"/>
            <w:hideMark/>
          </w:tcPr>
          <w:p w14:paraId="7D6564B2"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24/07/2023 </w:t>
            </w:r>
          </w:p>
        </w:tc>
        <w:tc>
          <w:tcPr>
            <w:tcW w:w="837" w:type="dxa"/>
            <w:tcBorders>
              <w:top w:val="nil"/>
              <w:left w:val="nil"/>
              <w:bottom w:val="single" w:sz="6" w:space="0" w:color="auto"/>
              <w:right w:val="single" w:sz="6" w:space="0" w:color="auto"/>
            </w:tcBorders>
            <w:shd w:val="clear" w:color="auto" w:fill="D9E1F2"/>
            <w:vAlign w:val="center"/>
            <w:hideMark/>
          </w:tcPr>
          <w:p w14:paraId="35D4FC12"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30/08/2024 </w:t>
            </w:r>
          </w:p>
        </w:tc>
        <w:tc>
          <w:tcPr>
            <w:tcW w:w="786" w:type="dxa"/>
            <w:tcBorders>
              <w:top w:val="nil"/>
              <w:left w:val="nil"/>
              <w:bottom w:val="single" w:sz="6" w:space="0" w:color="auto"/>
              <w:right w:val="single" w:sz="6" w:space="0" w:color="auto"/>
            </w:tcBorders>
            <w:shd w:val="clear" w:color="auto" w:fill="D9E1F2"/>
            <w:vAlign w:val="center"/>
            <w:hideMark/>
          </w:tcPr>
          <w:p w14:paraId="46D71EAC"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14 </w:t>
            </w:r>
          </w:p>
        </w:tc>
        <w:tc>
          <w:tcPr>
            <w:tcW w:w="713" w:type="dxa"/>
            <w:tcBorders>
              <w:top w:val="nil"/>
              <w:left w:val="nil"/>
              <w:bottom w:val="single" w:sz="6" w:space="0" w:color="auto"/>
              <w:right w:val="single" w:sz="6" w:space="0" w:color="auto"/>
            </w:tcBorders>
            <w:shd w:val="clear" w:color="auto" w:fill="D9E1F2"/>
            <w:vAlign w:val="center"/>
            <w:hideMark/>
          </w:tcPr>
          <w:p w14:paraId="45C0880C"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Si </w:t>
            </w:r>
          </w:p>
        </w:tc>
        <w:tc>
          <w:tcPr>
            <w:tcW w:w="657" w:type="dxa"/>
            <w:tcBorders>
              <w:top w:val="nil"/>
              <w:left w:val="nil"/>
              <w:bottom w:val="single" w:sz="6" w:space="0" w:color="auto"/>
              <w:right w:val="single" w:sz="6" w:space="0" w:color="auto"/>
            </w:tcBorders>
            <w:shd w:val="clear" w:color="auto" w:fill="D9E1F2"/>
            <w:vAlign w:val="center"/>
            <w:hideMark/>
          </w:tcPr>
          <w:p w14:paraId="06300CDB"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1 </w:t>
            </w:r>
          </w:p>
        </w:tc>
        <w:tc>
          <w:tcPr>
            <w:tcW w:w="2215" w:type="dxa"/>
            <w:tcBorders>
              <w:top w:val="nil"/>
              <w:left w:val="nil"/>
              <w:bottom w:val="single" w:sz="6" w:space="0" w:color="auto"/>
              <w:right w:val="single" w:sz="6" w:space="0" w:color="auto"/>
            </w:tcBorders>
            <w:shd w:val="clear" w:color="auto" w:fill="D9E1F2"/>
            <w:vAlign w:val="center"/>
            <w:hideMark/>
          </w:tcPr>
          <w:p w14:paraId="7C69CE86" w14:textId="77777777"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Se instaura un cambio en los siguientes aspectos del proyecto: nombre, objetivo, alcance, beneficios y </w:t>
            </w:r>
            <w:r w:rsidRPr="00F262A5">
              <w:rPr>
                <w:rFonts w:ascii="Book Antiqua" w:eastAsia="Times New Roman" w:hAnsi="Book Antiqua" w:cs="Segoe UI"/>
                <w:color w:val="000000"/>
                <w:sz w:val="14"/>
                <w:szCs w:val="14"/>
                <w:lang w:eastAsia="es-CR"/>
              </w:rPr>
              <w:br/>
              <w:t>resultados esperados, detalle de los entregables, costos y cronograma. </w:t>
            </w:r>
            <w:r w:rsidRPr="00F262A5">
              <w:rPr>
                <w:rFonts w:ascii="Book Antiqua" w:eastAsia="Times New Roman" w:hAnsi="Book Antiqua" w:cs="Segoe UI"/>
                <w:color w:val="000000"/>
                <w:sz w:val="14"/>
                <w:szCs w:val="14"/>
                <w:lang w:eastAsia="es-CR"/>
              </w:rPr>
              <w:br/>
              <w:t>Lo anterior dado que durante la ejecución de este proyecto se detectan dos necesidades que deben ser abordadas: el recopilar las necesidades para un sistema automatizado para abordar el sesgo y los procesos que deben ser atendidos en la unidad de gestión de proyectos, las cuales ambas entrarían a formar parte de </w:t>
            </w:r>
            <w:r w:rsidRPr="00F262A5">
              <w:rPr>
                <w:rFonts w:ascii="Book Antiqua" w:eastAsia="Times New Roman" w:hAnsi="Book Antiqua" w:cs="Segoe UI"/>
                <w:color w:val="000000"/>
                <w:sz w:val="14"/>
                <w:szCs w:val="14"/>
                <w:lang w:eastAsia="es-CR"/>
              </w:rPr>
              <w:br/>
              <w:t>los entregables del proyecto. Esto implica mover la fecha de fin del proyecto del 30/06/23 al 30/08/24. Como primer propósito de esta solicitud de cambio está abordar de una manera más integral y propiciando la automatización de las mejoras, la manera en que la información sesgada puede afectar la cognición humana </w:t>
            </w:r>
            <w:r w:rsidRPr="00F262A5">
              <w:rPr>
                <w:rFonts w:ascii="Book Antiqua" w:eastAsia="Times New Roman" w:hAnsi="Book Antiqua" w:cs="Segoe UI"/>
                <w:color w:val="000000"/>
                <w:sz w:val="14"/>
                <w:szCs w:val="14"/>
                <w:lang w:eastAsia="es-CR"/>
              </w:rPr>
              <w:br/>
              <w:t>y la toma de decisiones y así reducir el sesgo y aumentar la repetibilidad y la transparencia de las decisiones de los analistas forenses. Como segundo propósito de esta solicitud de cambio está la mejorar de la atención de las labores de planificación, ejecución, control y seguimiento y cierre de proyectos que lleva el DCF. </w:t>
            </w:r>
          </w:p>
        </w:tc>
        <w:tc>
          <w:tcPr>
            <w:tcW w:w="1275" w:type="dxa"/>
            <w:tcBorders>
              <w:top w:val="nil"/>
              <w:left w:val="nil"/>
              <w:bottom w:val="single" w:sz="6" w:space="0" w:color="auto"/>
              <w:right w:val="single" w:sz="6" w:space="0" w:color="auto"/>
            </w:tcBorders>
            <w:shd w:val="clear" w:color="auto" w:fill="D9E1F2"/>
            <w:vAlign w:val="center"/>
            <w:hideMark/>
          </w:tcPr>
          <w:p w14:paraId="0224E7E4"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w:t>
            </w:r>
          </w:p>
        </w:tc>
      </w:tr>
      <w:tr w:rsidR="007A1274" w:rsidRPr="00F262A5" w14:paraId="58F9BC17" w14:textId="77777777" w:rsidTr="007A1274">
        <w:trPr>
          <w:trHeight w:val="3105"/>
        </w:trPr>
        <w:tc>
          <w:tcPr>
            <w:tcW w:w="1429" w:type="dxa"/>
            <w:tcBorders>
              <w:top w:val="nil"/>
              <w:left w:val="single" w:sz="6" w:space="0" w:color="auto"/>
              <w:bottom w:val="single" w:sz="6" w:space="0" w:color="auto"/>
              <w:right w:val="single" w:sz="6" w:space="0" w:color="auto"/>
            </w:tcBorders>
            <w:shd w:val="clear" w:color="auto" w:fill="D9E1F2"/>
            <w:vAlign w:val="center"/>
            <w:hideMark/>
          </w:tcPr>
          <w:p w14:paraId="33DA2691"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DESARROLLO HUMANO </w:t>
            </w:r>
          </w:p>
        </w:tc>
        <w:tc>
          <w:tcPr>
            <w:tcW w:w="629" w:type="dxa"/>
            <w:tcBorders>
              <w:top w:val="nil"/>
              <w:left w:val="nil"/>
              <w:bottom w:val="single" w:sz="6" w:space="0" w:color="auto"/>
              <w:right w:val="single" w:sz="6" w:space="0" w:color="auto"/>
            </w:tcBorders>
            <w:shd w:val="clear" w:color="auto" w:fill="D9E1F2"/>
            <w:vAlign w:val="center"/>
            <w:hideMark/>
          </w:tcPr>
          <w:p w14:paraId="53065ACC"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0134-DGH-P16 </w:t>
            </w:r>
          </w:p>
        </w:tc>
        <w:tc>
          <w:tcPr>
            <w:tcW w:w="1408" w:type="dxa"/>
            <w:tcBorders>
              <w:top w:val="nil"/>
              <w:left w:val="nil"/>
              <w:bottom w:val="single" w:sz="6" w:space="0" w:color="auto"/>
              <w:right w:val="single" w:sz="6" w:space="0" w:color="auto"/>
            </w:tcBorders>
            <w:shd w:val="clear" w:color="auto" w:fill="D9E1F2"/>
            <w:vAlign w:val="center"/>
            <w:hideMark/>
          </w:tcPr>
          <w:p w14:paraId="35D620F2"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Política de Teletrabajo </w:t>
            </w:r>
          </w:p>
        </w:tc>
        <w:tc>
          <w:tcPr>
            <w:tcW w:w="837" w:type="dxa"/>
            <w:tcBorders>
              <w:top w:val="nil"/>
              <w:left w:val="nil"/>
              <w:bottom w:val="single" w:sz="6" w:space="0" w:color="auto"/>
              <w:right w:val="single" w:sz="6" w:space="0" w:color="auto"/>
            </w:tcBorders>
            <w:shd w:val="clear" w:color="auto" w:fill="D9E1F2"/>
            <w:vAlign w:val="center"/>
            <w:hideMark/>
          </w:tcPr>
          <w:p w14:paraId="72BABFC6"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28/12/2023 </w:t>
            </w:r>
          </w:p>
        </w:tc>
        <w:tc>
          <w:tcPr>
            <w:tcW w:w="837" w:type="dxa"/>
            <w:tcBorders>
              <w:top w:val="nil"/>
              <w:left w:val="nil"/>
              <w:bottom w:val="single" w:sz="6" w:space="0" w:color="auto"/>
              <w:right w:val="single" w:sz="6" w:space="0" w:color="auto"/>
            </w:tcBorders>
            <w:shd w:val="clear" w:color="auto" w:fill="D9E1F2"/>
            <w:vAlign w:val="center"/>
            <w:hideMark/>
          </w:tcPr>
          <w:p w14:paraId="015C034C"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31/12/2024 </w:t>
            </w:r>
          </w:p>
        </w:tc>
        <w:tc>
          <w:tcPr>
            <w:tcW w:w="786" w:type="dxa"/>
            <w:tcBorders>
              <w:top w:val="nil"/>
              <w:left w:val="nil"/>
              <w:bottom w:val="single" w:sz="6" w:space="0" w:color="auto"/>
              <w:right w:val="single" w:sz="6" w:space="0" w:color="auto"/>
            </w:tcBorders>
            <w:shd w:val="clear" w:color="auto" w:fill="D9E1F2"/>
            <w:vAlign w:val="center"/>
            <w:hideMark/>
          </w:tcPr>
          <w:p w14:paraId="41F73188"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13 </w:t>
            </w:r>
          </w:p>
        </w:tc>
        <w:tc>
          <w:tcPr>
            <w:tcW w:w="713" w:type="dxa"/>
            <w:tcBorders>
              <w:top w:val="nil"/>
              <w:left w:val="nil"/>
              <w:bottom w:val="single" w:sz="6" w:space="0" w:color="auto"/>
              <w:right w:val="single" w:sz="6" w:space="0" w:color="auto"/>
            </w:tcBorders>
            <w:shd w:val="clear" w:color="auto" w:fill="D9E1F2"/>
            <w:vAlign w:val="center"/>
            <w:hideMark/>
          </w:tcPr>
          <w:p w14:paraId="43340DB7"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Si </w:t>
            </w:r>
          </w:p>
        </w:tc>
        <w:tc>
          <w:tcPr>
            <w:tcW w:w="657" w:type="dxa"/>
            <w:tcBorders>
              <w:top w:val="nil"/>
              <w:left w:val="nil"/>
              <w:bottom w:val="single" w:sz="6" w:space="0" w:color="auto"/>
              <w:right w:val="single" w:sz="6" w:space="0" w:color="auto"/>
            </w:tcBorders>
            <w:shd w:val="clear" w:color="auto" w:fill="D9E1F2"/>
            <w:vAlign w:val="center"/>
            <w:hideMark/>
          </w:tcPr>
          <w:p w14:paraId="3EFF0C95"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1 </w:t>
            </w:r>
          </w:p>
        </w:tc>
        <w:tc>
          <w:tcPr>
            <w:tcW w:w="2215" w:type="dxa"/>
            <w:tcBorders>
              <w:top w:val="nil"/>
              <w:left w:val="nil"/>
              <w:bottom w:val="single" w:sz="6" w:space="0" w:color="auto"/>
              <w:right w:val="single" w:sz="6" w:space="0" w:color="auto"/>
            </w:tcBorders>
            <w:shd w:val="clear" w:color="auto" w:fill="D9E1F2"/>
            <w:vAlign w:val="center"/>
            <w:hideMark/>
          </w:tcPr>
          <w:p w14:paraId="59928792" w14:textId="77777777"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Entregable 3.2: Elaboración de la propuesta de la política. Se requiere el ajuste de las fechas de ese entregable, dado que la Dirección de Planificación tuvo un atraso en la revisión de la estructura de la política y el plan de acción, se les envió el 17 de noviembre de 2022 y lo respondieron hasta el 24 de marzo de 2023, el documento en este momento se encuentra en revisiones de las observaciones y esto debe ser revisado de nuevo por la Dirección de Planificación para obtener el visto bueno final de las Comisiones. </w:t>
            </w:r>
          </w:p>
        </w:tc>
        <w:tc>
          <w:tcPr>
            <w:tcW w:w="1275" w:type="dxa"/>
            <w:tcBorders>
              <w:top w:val="nil"/>
              <w:left w:val="nil"/>
              <w:bottom w:val="single" w:sz="6" w:space="0" w:color="auto"/>
              <w:right w:val="single" w:sz="6" w:space="0" w:color="auto"/>
            </w:tcBorders>
            <w:shd w:val="clear" w:color="auto" w:fill="D9E1F2"/>
            <w:vAlign w:val="center"/>
            <w:hideMark/>
          </w:tcPr>
          <w:p w14:paraId="6567C4E7" w14:textId="77777777"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En sesión de trabajo del 15 de junio se determinó que el cronograma incluía entregables que no corresponde al alcance del mismo, y esto implicaría una disminución en la fecha de finalización del proyecto. </w:t>
            </w:r>
          </w:p>
        </w:tc>
      </w:tr>
      <w:tr w:rsidR="007A1274" w:rsidRPr="00F262A5" w14:paraId="2E82915A" w14:textId="77777777" w:rsidTr="00EF4E17">
        <w:trPr>
          <w:trHeight w:val="2170"/>
        </w:trPr>
        <w:tc>
          <w:tcPr>
            <w:tcW w:w="1429" w:type="dxa"/>
            <w:tcBorders>
              <w:top w:val="nil"/>
              <w:left w:val="single" w:sz="6" w:space="0" w:color="auto"/>
              <w:bottom w:val="single" w:sz="6" w:space="0" w:color="auto"/>
              <w:right w:val="single" w:sz="6" w:space="0" w:color="auto"/>
            </w:tcBorders>
            <w:shd w:val="clear" w:color="auto" w:fill="D9E1F2"/>
            <w:vAlign w:val="center"/>
            <w:hideMark/>
          </w:tcPr>
          <w:p w14:paraId="7FB1A6F4"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lastRenderedPageBreak/>
              <w:t>DIRECCION EJECUTIVA </w:t>
            </w:r>
          </w:p>
        </w:tc>
        <w:tc>
          <w:tcPr>
            <w:tcW w:w="629" w:type="dxa"/>
            <w:tcBorders>
              <w:top w:val="nil"/>
              <w:left w:val="nil"/>
              <w:bottom w:val="single" w:sz="6" w:space="0" w:color="auto"/>
              <w:right w:val="single" w:sz="6" w:space="0" w:color="auto"/>
            </w:tcBorders>
            <w:shd w:val="clear" w:color="auto" w:fill="D9E1F2"/>
            <w:vAlign w:val="center"/>
            <w:hideMark/>
          </w:tcPr>
          <w:p w14:paraId="5D5ECE5B"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0117-DE-P49 </w:t>
            </w:r>
          </w:p>
        </w:tc>
        <w:tc>
          <w:tcPr>
            <w:tcW w:w="1408" w:type="dxa"/>
            <w:tcBorders>
              <w:top w:val="nil"/>
              <w:left w:val="nil"/>
              <w:bottom w:val="single" w:sz="6" w:space="0" w:color="auto"/>
              <w:right w:val="single" w:sz="6" w:space="0" w:color="auto"/>
            </w:tcBorders>
            <w:shd w:val="clear" w:color="auto" w:fill="D9E1F2"/>
            <w:vAlign w:val="center"/>
            <w:hideMark/>
          </w:tcPr>
          <w:p w14:paraId="191F72AB"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Proyecto del Subproceso de Gestión de Continuidad del Servicio </w:t>
            </w:r>
          </w:p>
        </w:tc>
        <w:tc>
          <w:tcPr>
            <w:tcW w:w="837" w:type="dxa"/>
            <w:tcBorders>
              <w:top w:val="nil"/>
              <w:left w:val="nil"/>
              <w:bottom w:val="single" w:sz="6" w:space="0" w:color="auto"/>
              <w:right w:val="single" w:sz="6" w:space="0" w:color="auto"/>
            </w:tcBorders>
            <w:shd w:val="clear" w:color="auto" w:fill="D9E1F2"/>
            <w:vAlign w:val="center"/>
            <w:hideMark/>
          </w:tcPr>
          <w:p w14:paraId="667EDC64"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28/02/2023 </w:t>
            </w:r>
          </w:p>
        </w:tc>
        <w:tc>
          <w:tcPr>
            <w:tcW w:w="837" w:type="dxa"/>
            <w:tcBorders>
              <w:top w:val="nil"/>
              <w:left w:val="nil"/>
              <w:bottom w:val="single" w:sz="6" w:space="0" w:color="auto"/>
              <w:right w:val="single" w:sz="6" w:space="0" w:color="auto"/>
            </w:tcBorders>
            <w:shd w:val="clear" w:color="auto" w:fill="D9E1F2"/>
            <w:vAlign w:val="center"/>
            <w:hideMark/>
          </w:tcPr>
          <w:p w14:paraId="2BD9D31A"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15/01/2024 </w:t>
            </w:r>
          </w:p>
        </w:tc>
        <w:tc>
          <w:tcPr>
            <w:tcW w:w="786" w:type="dxa"/>
            <w:tcBorders>
              <w:top w:val="nil"/>
              <w:left w:val="nil"/>
              <w:bottom w:val="single" w:sz="6" w:space="0" w:color="auto"/>
              <w:right w:val="single" w:sz="6" w:space="0" w:color="auto"/>
            </w:tcBorders>
            <w:shd w:val="clear" w:color="auto" w:fill="D9E1F2"/>
            <w:vAlign w:val="center"/>
            <w:hideMark/>
          </w:tcPr>
          <w:p w14:paraId="5E846010"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11 </w:t>
            </w:r>
          </w:p>
        </w:tc>
        <w:tc>
          <w:tcPr>
            <w:tcW w:w="713" w:type="dxa"/>
            <w:tcBorders>
              <w:top w:val="nil"/>
              <w:left w:val="nil"/>
              <w:bottom w:val="single" w:sz="6" w:space="0" w:color="auto"/>
              <w:right w:val="single" w:sz="6" w:space="0" w:color="auto"/>
            </w:tcBorders>
            <w:shd w:val="clear" w:color="auto" w:fill="D9E1F2"/>
            <w:vAlign w:val="center"/>
            <w:hideMark/>
          </w:tcPr>
          <w:p w14:paraId="17663AEE"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Si </w:t>
            </w:r>
          </w:p>
        </w:tc>
        <w:tc>
          <w:tcPr>
            <w:tcW w:w="657" w:type="dxa"/>
            <w:tcBorders>
              <w:top w:val="nil"/>
              <w:left w:val="nil"/>
              <w:bottom w:val="single" w:sz="6" w:space="0" w:color="auto"/>
              <w:right w:val="single" w:sz="6" w:space="0" w:color="auto"/>
            </w:tcBorders>
            <w:shd w:val="clear" w:color="auto" w:fill="D9E1F2"/>
            <w:vAlign w:val="center"/>
            <w:hideMark/>
          </w:tcPr>
          <w:p w14:paraId="47EF6C44"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2 </w:t>
            </w:r>
          </w:p>
        </w:tc>
        <w:tc>
          <w:tcPr>
            <w:tcW w:w="2215" w:type="dxa"/>
            <w:tcBorders>
              <w:top w:val="nil"/>
              <w:left w:val="nil"/>
              <w:bottom w:val="single" w:sz="6" w:space="0" w:color="auto"/>
              <w:right w:val="single" w:sz="6" w:space="0" w:color="auto"/>
            </w:tcBorders>
            <w:shd w:val="clear" w:color="auto" w:fill="D9E1F2"/>
            <w:vAlign w:val="center"/>
            <w:hideMark/>
          </w:tcPr>
          <w:p w14:paraId="47194232" w14:textId="77777777"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 Cambios en el cronograma: a) Modificación de entregables para las nuevas metas planteadas del 2023, considerando la prórroga de los permisos con goce de salario para el período actual que generan un nuevos entregables para el proyecto. b) Modificación de fechas por motivo del proyecto de Modelo de Gestión por Procesos que suministra insumos para la atención de la continuidad del servicio. </w:t>
            </w:r>
          </w:p>
        </w:tc>
        <w:tc>
          <w:tcPr>
            <w:tcW w:w="1275" w:type="dxa"/>
            <w:tcBorders>
              <w:top w:val="nil"/>
              <w:left w:val="nil"/>
              <w:bottom w:val="single" w:sz="6" w:space="0" w:color="auto"/>
              <w:right w:val="single" w:sz="6" w:space="0" w:color="auto"/>
            </w:tcBorders>
            <w:shd w:val="clear" w:color="auto" w:fill="D9E1F2"/>
            <w:vAlign w:val="center"/>
            <w:hideMark/>
          </w:tcPr>
          <w:p w14:paraId="2F0D5BAC" w14:textId="77777777"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Realizar un ajuste a nivel de cronograma una vez que se tenga la recalificación de las plazas que serían en el 2023, por lo tanto, el proyecto no concluiría en el 2024, para pasar a ser una labor operativa. </w:t>
            </w:r>
          </w:p>
        </w:tc>
      </w:tr>
      <w:tr w:rsidR="007A1274" w:rsidRPr="00F262A5" w14:paraId="147342B1" w14:textId="77777777" w:rsidTr="007A1274">
        <w:trPr>
          <w:trHeight w:val="3600"/>
        </w:trPr>
        <w:tc>
          <w:tcPr>
            <w:tcW w:w="1429" w:type="dxa"/>
            <w:tcBorders>
              <w:top w:val="nil"/>
              <w:left w:val="single" w:sz="6" w:space="0" w:color="auto"/>
              <w:bottom w:val="single" w:sz="6" w:space="0" w:color="auto"/>
              <w:right w:val="single" w:sz="6" w:space="0" w:color="auto"/>
            </w:tcBorders>
            <w:shd w:val="clear" w:color="auto" w:fill="D9E1F2"/>
            <w:vAlign w:val="center"/>
            <w:hideMark/>
          </w:tcPr>
          <w:p w14:paraId="620F088E"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SUBPROCESO DE GESTION DEL DESEMPEÑO </w:t>
            </w:r>
          </w:p>
        </w:tc>
        <w:tc>
          <w:tcPr>
            <w:tcW w:w="629" w:type="dxa"/>
            <w:tcBorders>
              <w:top w:val="nil"/>
              <w:left w:val="nil"/>
              <w:bottom w:val="single" w:sz="6" w:space="0" w:color="auto"/>
              <w:right w:val="single" w:sz="6" w:space="0" w:color="auto"/>
            </w:tcBorders>
            <w:shd w:val="clear" w:color="auto" w:fill="D9E1F2"/>
            <w:vAlign w:val="center"/>
            <w:hideMark/>
          </w:tcPr>
          <w:p w14:paraId="75C807C6"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0134-DGH-P02 </w:t>
            </w:r>
          </w:p>
        </w:tc>
        <w:tc>
          <w:tcPr>
            <w:tcW w:w="1408" w:type="dxa"/>
            <w:tcBorders>
              <w:top w:val="nil"/>
              <w:left w:val="nil"/>
              <w:bottom w:val="single" w:sz="6" w:space="0" w:color="auto"/>
              <w:right w:val="single" w:sz="6" w:space="0" w:color="auto"/>
            </w:tcBorders>
            <w:shd w:val="clear" w:color="auto" w:fill="D9E1F2"/>
            <w:vAlign w:val="center"/>
            <w:hideMark/>
          </w:tcPr>
          <w:p w14:paraId="15DF2F1E"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Sistema de Evaluación del Desempeño por Competencias </w:t>
            </w:r>
          </w:p>
        </w:tc>
        <w:tc>
          <w:tcPr>
            <w:tcW w:w="837" w:type="dxa"/>
            <w:tcBorders>
              <w:top w:val="nil"/>
              <w:left w:val="nil"/>
              <w:bottom w:val="single" w:sz="6" w:space="0" w:color="auto"/>
              <w:right w:val="single" w:sz="6" w:space="0" w:color="auto"/>
            </w:tcBorders>
            <w:shd w:val="clear" w:color="auto" w:fill="D9E1F2"/>
            <w:vAlign w:val="center"/>
            <w:hideMark/>
          </w:tcPr>
          <w:p w14:paraId="2E1F52DD"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28/04/2023 </w:t>
            </w:r>
          </w:p>
        </w:tc>
        <w:tc>
          <w:tcPr>
            <w:tcW w:w="837" w:type="dxa"/>
            <w:tcBorders>
              <w:top w:val="nil"/>
              <w:left w:val="nil"/>
              <w:bottom w:val="single" w:sz="6" w:space="0" w:color="auto"/>
              <w:right w:val="single" w:sz="6" w:space="0" w:color="auto"/>
            </w:tcBorders>
            <w:shd w:val="clear" w:color="auto" w:fill="D9E1F2"/>
            <w:vAlign w:val="center"/>
            <w:hideMark/>
          </w:tcPr>
          <w:p w14:paraId="02BAAE46"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22/12/2023 </w:t>
            </w:r>
          </w:p>
        </w:tc>
        <w:tc>
          <w:tcPr>
            <w:tcW w:w="786" w:type="dxa"/>
            <w:tcBorders>
              <w:top w:val="nil"/>
              <w:left w:val="nil"/>
              <w:bottom w:val="single" w:sz="6" w:space="0" w:color="auto"/>
              <w:right w:val="single" w:sz="6" w:space="0" w:color="auto"/>
            </w:tcBorders>
            <w:shd w:val="clear" w:color="auto" w:fill="D9E1F2"/>
            <w:vAlign w:val="center"/>
            <w:hideMark/>
          </w:tcPr>
          <w:p w14:paraId="4EBC5991"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8 </w:t>
            </w:r>
          </w:p>
        </w:tc>
        <w:tc>
          <w:tcPr>
            <w:tcW w:w="713" w:type="dxa"/>
            <w:tcBorders>
              <w:top w:val="nil"/>
              <w:left w:val="nil"/>
              <w:bottom w:val="single" w:sz="6" w:space="0" w:color="auto"/>
              <w:right w:val="single" w:sz="6" w:space="0" w:color="auto"/>
            </w:tcBorders>
            <w:shd w:val="clear" w:color="auto" w:fill="D9E1F2"/>
            <w:vAlign w:val="center"/>
            <w:hideMark/>
          </w:tcPr>
          <w:p w14:paraId="2AC4FAFA"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Si </w:t>
            </w:r>
          </w:p>
        </w:tc>
        <w:tc>
          <w:tcPr>
            <w:tcW w:w="657" w:type="dxa"/>
            <w:tcBorders>
              <w:top w:val="nil"/>
              <w:left w:val="nil"/>
              <w:bottom w:val="single" w:sz="6" w:space="0" w:color="auto"/>
              <w:right w:val="single" w:sz="6" w:space="0" w:color="auto"/>
            </w:tcBorders>
            <w:shd w:val="clear" w:color="auto" w:fill="D9E1F2"/>
            <w:vAlign w:val="center"/>
            <w:hideMark/>
          </w:tcPr>
          <w:p w14:paraId="61DD177E"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5 </w:t>
            </w:r>
          </w:p>
        </w:tc>
        <w:tc>
          <w:tcPr>
            <w:tcW w:w="2215" w:type="dxa"/>
            <w:tcBorders>
              <w:top w:val="nil"/>
              <w:left w:val="nil"/>
              <w:bottom w:val="single" w:sz="6" w:space="0" w:color="auto"/>
              <w:right w:val="single" w:sz="6" w:space="0" w:color="auto"/>
            </w:tcBorders>
            <w:shd w:val="clear" w:color="auto" w:fill="D9E1F2"/>
            <w:vAlign w:val="center"/>
            <w:hideMark/>
          </w:tcPr>
          <w:p w14:paraId="79DB3255" w14:textId="77777777"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Por ser la Evaluación del Desempeño un proceso permanente en la institución, que es cíclico y continuo, y con el propósito de dar continuidad a cada una de las actividades que demanda el proceso de evaluación en cada una de sus etapas, se realizaron ajustes al cronograma, modificando fechas de inicio y/o fin de las </w:t>
            </w:r>
            <w:r w:rsidRPr="00F262A5">
              <w:rPr>
                <w:rFonts w:ascii="Book Antiqua" w:eastAsia="Times New Roman" w:hAnsi="Book Antiqua" w:cs="Segoe UI"/>
                <w:color w:val="000000"/>
                <w:sz w:val="14"/>
                <w:szCs w:val="14"/>
                <w:lang w:eastAsia="es-CR"/>
              </w:rPr>
              <w:br/>
              <w:t>fases 5,6,7 y 8; así como la inclusión de nuevos entregables en la fases 5 y 8; además de la inclusión de nuevas fases, 9 y 10; fue necesario extender la fecha fin del proyecto hasta el 22 de diciembre 2023. Impactando el porcentaje de avance, que disminuyó de 90% a un 69%. </w:t>
            </w:r>
          </w:p>
        </w:tc>
        <w:tc>
          <w:tcPr>
            <w:tcW w:w="1275" w:type="dxa"/>
            <w:tcBorders>
              <w:top w:val="nil"/>
              <w:left w:val="nil"/>
              <w:bottom w:val="single" w:sz="6" w:space="0" w:color="auto"/>
              <w:right w:val="single" w:sz="6" w:space="0" w:color="auto"/>
            </w:tcBorders>
            <w:shd w:val="clear" w:color="auto" w:fill="D9E1F2"/>
            <w:vAlign w:val="center"/>
            <w:hideMark/>
          </w:tcPr>
          <w:p w14:paraId="6926E6DB" w14:textId="5EDA8A8B"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xml:space="preserve">Se recomienda valorar concluir el proyecto, si el mismo ya </w:t>
            </w:r>
            <w:r w:rsidR="007A1274" w:rsidRPr="00F262A5">
              <w:rPr>
                <w:rFonts w:ascii="Book Antiqua" w:eastAsia="Times New Roman" w:hAnsi="Book Antiqua" w:cs="Segoe UI"/>
                <w:color w:val="000000"/>
                <w:sz w:val="14"/>
                <w:szCs w:val="14"/>
                <w:lang w:eastAsia="es-CR"/>
              </w:rPr>
              <w:t>cumplió</w:t>
            </w:r>
            <w:r w:rsidRPr="00F262A5">
              <w:rPr>
                <w:rFonts w:ascii="Book Antiqua" w:eastAsia="Times New Roman" w:hAnsi="Book Antiqua" w:cs="Segoe UI"/>
                <w:color w:val="000000"/>
                <w:sz w:val="14"/>
                <w:szCs w:val="14"/>
                <w:lang w:eastAsia="es-CR"/>
              </w:rPr>
              <w:t xml:space="preserve"> con el alcance (entregable principal que es la confección del sistema); y crear uno operativo para la sostenibilidad y mejoras del sistema. </w:t>
            </w:r>
          </w:p>
        </w:tc>
      </w:tr>
      <w:tr w:rsidR="007A1274" w:rsidRPr="00F262A5" w14:paraId="0F927107" w14:textId="77777777" w:rsidTr="007A1274">
        <w:trPr>
          <w:trHeight w:val="1200"/>
        </w:trPr>
        <w:tc>
          <w:tcPr>
            <w:tcW w:w="1429" w:type="dxa"/>
            <w:tcBorders>
              <w:top w:val="nil"/>
              <w:left w:val="single" w:sz="6" w:space="0" w:color="auto"/>
              <w:bottom w:val="single" w:sz="6" w:space="0" w:color="auto"/>
              <w:right w:val="single" w:sz="6" w:space="0" w:color="auto"/>
            </w:tcBorders>
            <w:shd w:val="clear" w:color="auto" w:fill="D9E1F2"/>
            <w:vAlign w:val="center"/>
            <w:hideMark/>
          </w:tcPr>
          <w:p w14:paraId="24D23FB1"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JEFATURA DEFENSA PUBLICA </w:t>
            </w:r>
          </w:p>
        </w:tc>
        <w:tc>
          <w:tcPr>
            <w:tcW w:w="629" w:type="dxa"/>
            <w:tcBorders>
              <w:top w:val="nil"/>
              <w:left w:val="nil"/>
              <w:bottom w:val="single" w:sz="6" w:space="0" w:color="auto"/>
              <w:right w:val="single" w:sz="6" w:space="0" w:color="auto"/>
            </w:tcBorders>
            <w:shd w:val="clear" w:color="auto" w:fill="D9E1F2"/>
            <w:vAlign w:val="center"/>
            <w:hideMark/>
          </w:tcPr>
          <w:p w14:paraId="30E23667"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0032-DP-P04 </w:t>
            </w:r>
          </w:p>
        </w:tc>
        <w:tc>
          <w:tcPr>
            <w:tcW w:w="1408" w:type="dxa"/>
            <w:tcBorders>
              <w:top w:val="nil"/>
              <w:left w:val="nil"/>
              <w:bottom w:val="single" w:sz="6" w:space="0" w:color="auto"/>
              <w:right w:val="single" w:sz="6" w:space="0" w:color="auto"/>
            </w:tcBorders>
            <w:shd w:val="clear" w:color="auto" w:fill="D9E1F2"/>
            <w:vAlign w:val="center"/>
            <w:hideMark/>
          </w:tcPr>
          <w:p w14:paraId="714DE3BC"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Actualización de los estados procesales </w:t>
            </w:r>
          </w:p>
        </w:tc>
        <w:tc>
          <w:tcPr>
            <w:tcW w:w="837" w:type="dxa"/>
            <w:tcBorders>
              <w:top w:val="nil"/>
              <w:left w:val="nil"/>
              <w:bottom w:val="single" w:sz="6" w:space="0" w:color="auto"/>
              <w:right w:val="single" w:sz="6" w:space="0" w:color="auto"/>
            </w:tcBorders>
            <w:shd w:val="clear" w:color="auto" w:fill="D9E1F2"/>
            <w:vAlign w:val="center"/>
            <w:hideMark/>
          </w:tcPr>
          <w:p w14:paraId="542686BA"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17/10/2023 </w:t>
            </w:r>
          </w:p>
        </w:tc>
        <w:tc>
          <w:tcPr>
            <w:tcW w:w="837" w:type="dxa"/>
            <w:tcBorders>
              <w:top w:val="nil"/>
              <w:left w:val="nil"/>
              <w:bottom w:val="single" w:sz="6" w:space="0" w:color="auto"/>
              <w:right w:val="single" w:sz="6" w:space="0" w:color="auto"/>
            </w:tcBorders>
            <w:shd w:val="clear" w:color="auto" w:fill="D9E1F2"/>
            <w:vAlign w:val="center"/>
            <w:hideMark/>
          </w:tcPr>
          <w:p w14:paraId="650B68E8"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26/03/2024 </w:t>
            </w:r>
          </w:p>
        </w:tc>
        <w:tc>
          <w:tcPr>
            <w:tcW w:w="786" w:type="dxa"/>
            <w:tcBorders>
              <w:top w:val="nil"/>
              <w:left w:val="nil"/>
              <w:bottom w:val="single" w:sz="6" w:space="0" w:color="auto"/>
              <w:right w:val="single" w:sz="6" w:space="0" w:color="auto"/>
            </w:tcBorders>
            <w:shd w:val="clear" w:color="auto" w:fill="D9E1F2"/>
            <w:vAlign w:val="center"/>
            <w:hideMark/>
          </w:tcPr>
          <w:p w14:paraId="01C4763C"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6 </w:t>
            </w:r>
          </w:p>
        </w:tc>
        <w:tc>
          <w:tcPr>
            <w:tcW w:w="713" w:type="dxa"/>
            <w:tcBorders>
              <w:top w:val="nil"/>
              <w:left w:val="nil"/>
              <w:bottom w:val="single" w:sz="6" w:space="0" w:color="auto"/>
              <w:right w:val="single" w:sz="6" w:space="0" w:color="auto"/>
            </w:tcBorders>
            <w:shd w:val="clear" w:color="auto" w:fill="D9E1F2"/>
            <w:vAlign w:val="center"/>
            <w:hideMark/>
          </w:tcPr>
          <w:p w14:paraId="68F88920"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Si </w:t>
            </w:r>
          </w:p>
        </w:tc>
        <w:tc>
          <w:tcPr>
            <w:tcW w:w="657" w:type="dxa"/>
            <w:tcBorders>
              <w:top w:val="nil"/>
              <w:left w:val="nil"/>
              <w:bottom w:val="single" w:sz="6" w:space="0" w:color="auto"/>
              <w:right w:val="single" w:sz="6" w:space="0" w:color="auto"/>
            </w:tcBorders>
            <w:shd w:val="clear" w:color="auto" w:fill="D9E1F2"/>
            <w:vAlign w:val="center"/>
            <w:hideMark/>
          </w:tcPr>
          <w:p w14:paraId="21B18CB6"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4 </w:t>
            </w:r>
          </w:p>
        </w:tc>
        <w:tc>
          <w:tcPr>
            <w:tcW w:w="2215" w:type="dxa"/>
            <w:tcBorders>
              <w:top w:val="nil"/>
              <w:left w:val="nil"/>
              <w:bottom w:val="single" w:sz="6" w:space="0" w:color="auto"/>
              <w:right w:val="single" w:sz="6" w:space="0" w:color="auto"/>
            </w:tcBorders>
            <w:shd w:val="clear" w:color="auto" w:fill="D9E1F2"/>
            <w:vAlign w:val="center"/>
            <w:hideMark/>
          </w:tcPr>
          <w:p w14:paraId="336FE4CE" w14:textId="77777777"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Se agregan al cronograma los entregables del 3.60 al 3.70 extendiendo el plazo fin al 26 de marzo de 2024. Lo anterior cuenta con visto bueno de la Dirección de la Defensa Pública. </w:t>
            </w:r>
          </w:p>
        </w:tc>
        <w:tc>
          <w:tcPr>
            <w:tcW w:w="1275" w:type="dxa"/>
            <w:tcBorders>
              <w:top w:val="nil"/>
              <w:left w:val="nil"/>
              <w:bottom w:val="single" w:sz="6" w:space="0" w:color="auto"/>
              <w:right w:val="single" w:sz="6" w:space="0" w:color="auto"/>
            </w:tcBorders>
            <w:shd w:val="clear" w:color="auto" w:fill="D9E1F2"/>
            <w:vAlign w:val="center"/>
            <w:hideMark/>
          </w:tcPr>
          <w:p w14:paraId="66A97FA3"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w:t>
            </w:r>
          </w:p>
        </w:tc>
      </w:tr>
      <w:tr w:rsidR="007A1274" w:rsidRPr="00F262A5" w14:paraId="62410BE2" w14:textId="77777777" w:rsidTr="007A1274">
        <w:trPr>
          <w:trHeight w:val="1665"/>
        </w:trPr>
        <w:tc>
          <w:tcPr>
            <w:tcW w:w="1429" w:type="dxa"/>
            <w:tcBorders>
              <w:top w:val="nil"/>
              <w:left w:val="single" w:sz="6" w:space="0" w:color="auto"/>
              <w:bottom w:val="single" w:sz="6" w:space="0" w:color="auto"/>
              <w:right w:val="single" w:sz="6" w:space="0" w:color="auto"/>
            </w:tcBorders>
            <w:shd w:val="clear" w:color="auto" w:fill="D9E1F2"/>
            <w:vAlign w:val="center"/>
            <w:hideMark/>
          </w:tcPr>
          <w:p w14:paraId="0006C0BC"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DEPARTAMENTO DE LABORATORIO DE CIENCIAS FORENSES </w:t>
            </w:r>
          </w:p>
        </w:tc>
        <w:tc>
          <w:tcPr>
            <w:tcW w:w="629" w:type="dxa"/>
            <w:tcBorders>
              <w:top w:val="nil"/>
              <w:left w:val="nil"/>
              <w:bottom w:val="single" w:sz="6" w:space="0" w:color="auto"/>
              <w:right w:val="single" w:sz="6" w:space="0" w:color="auto"/>
            </w:tcBorders>
            <w:shd w:val="clear" w:color="auto" w:fill="D9E1F2"/>
            <w:vAlign w:val="center"/>
            <w:hideMark/>
          </w:tcPr>
          <w:p w14:paraId="1E1C9FB3"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1167-OIJ-P23 </w:t>
            </w:r>
          </w:p>
        </w:tc>
        <w:tc>
          <w:tcPr>
            <w:tcW w:w="1408" w:type="dxa"/>
            <w:tcBorders>
              <w:top w:val="nil"/>
              <w:left w:val="nil"/>
              <w:bottom w:val="single" w:sz="6" w:space="0" w:color="auto"/>
              <w:right w:val="single" w:sz="6" w:space="0" w:color="auto"/>
            </w:tcBorders>
            <w:shd w:val="clear" w:color="auto" w:fill="D9E1F2"/>
            <w:vAlign w:val="center"/>
            <w:hideMark/>
          </w:tcPr>
          <w:p w14:paraId="4B2760BB"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Implementar y validar dos metodologías de análisis de material vegetal sospechoso para distinguir entre cáñamo y marihuana </w:t>
            </w:r>
          </w:p>
        </w:tc>
        <w:tc>
          <w:tcPr>
            <w:tcW w:w="837" w:type="dxa"/>
            <w:tcBorders>
              <w:top w:val="nil"/>
              <w:left w:val="nil"/>
              <w:bottom w:val="single" w:sz="6" w:space="0" w:color="auto"/>
              <w:right w:val="single" w:sz="6" w:space="0" w:color="auto"/>
            </w:tcBorders>
            <w:shd w:val="clear" w:color="auto" w:fill="D9E1F2"/>
            <w:vAlign w:val="center"/>
            <w:hideMark/>
          </w:tcPr>
          <w:p w14:paraId="40B6D115"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01/03/2023 </w:t>
            </w:r>
          </w:p>
        </w:tc>
        <w:tc>
          <w:tcPr>
            <w:tcW w:w="837" w:type="dxa"/>
            <w:tcBorders>
              <w:top w:val="nil"/>
              <w:left w:val="nil"/>
              <w:bottom w:val="single" w:sz="6" w:space="0" w:color="auto"/>
              <w:right w:val="single" w:sz="6" w:space="0" w:color="auto"/>
            </w:tcBorders>
            <w:shd w:val="clear" w:color="auto" w:fill="D9E1F2"/>
            <w:vAlign w:val="center"/>
            <w:hideMark/>
          </w:tcPr>
          <w:p w14:paraId="407FE2BA"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30/06/2023 </w:t>
            </w:r>
          </w:p>
        </w:tc>
        <w:tc>
          <w:tcPr>
            <w:tcW w:w="786" w:type="dxa"/>
            <w:tcBorders>
              <w:top w:val="nil"/>
              <w:left w:val="nil"/>
              <w:bottom w:val="single" w:sz="6" w:space="0" w:color="auto"/>
              <w:right w:val="single" w:sz="6" w:space="0" w:color="auto"/>
            </w:tcBorders>
            <w:shd w:val="clear" w:color="auto" w:fill="D9E1F2"/>
            <w:vAlign w:val="center"/>
            <w:hideMark/>
          </w:tcPr>
          <w:p w14:paraId="0529DA15"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4 </w:t>
            </w:r>
          </w:p>
        </w:tc>
        <w:tc>
          <w:tcPr>
            <w:tcW w:w="713" w:type="dxa"/>
            <w:tcBorders>
              <w:top w:val="nil"/>
              <w:left w:val="nil"/>
              <w:bottom w:val="single" w:sz="6" w:space="0" w:color="auto"/>
              <w:right w:val="single" w:sz="6" w:space="0" w:color="auto"/>
            </w:tcBorders>
            <w:shd w:val="clear" w:color="auto" w:fill="D9E1F2"/>
            <w:vAlign w:val="center"/>
            <w:hideMark/>
          </w:tcPr>
          <w:p w14:paraId="31A0094F"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Si </w:t>
            </w:r>
          </w:p>
        </w:tc>
        <w:tc>
          <w:tcPr>
            <w:tcW w:w="657" w:type="dxa"/>
            <w:tcBorders>
              <w:top w:val="nil"/>
              <w:left w:val="nil"/>
              <w:bottom w:val="single" w:sz="6" w:space="0" w:color="auto"/>
              <w:right w:val="single" w:sz="6" w:space="0" w:color="auto"/>
            </w:tcBorders>
            <w:shd w:val="clear" w:color="auto" w:fill="D9E1F2"/>
            <w:vAlign w:val="center"/>
            <w:hideMark/>
          </w:tcPr>
          <w:p w14:paraId="6391DF95"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1 </w:t>
            </w:r>
          </w:p>
        </w:tc>
        <w:tc>
          <w:tcPr>
            <w:tcW w:w="2215" w:type="dxa"/>
            <w:tcBorders>
              <w:top w:val="nil"/>
              <w:left w:val="nil"/>
              <w:bottom w:val="single" w:sz="6" w:space="0" w:color="auto"/>
              <w:right w:val="single" w:sz="6" w:space="0" w:color="auto"/>
            </w:tcBorders>
            <w:shd w:val="clear" w:color="auto" w:fill="D9E1F2"/>
            <w:vAlign w:val="center"/>
            <w:hideMark/>
          </w:tcPr>
          <w:p w14:paraId="6E3B46B2" w14:textId="77777777"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A marzo del 2023 se está a la espera del envío de los materiales desde los Estados Unidos, como una donación de la DEA. </w:t>
            </w:r>
            <w:r w:rsidRPr="00F262A5">
              <w:rPr>
                <w:rFonts w:ascii="Book Antiqua" w:eastAsia="Times New Roman" w:hAnsi="Book Antiqua" w:cs="Segoe UI"/>
                <w:color w:val="000000"/>
                <w:sz w:val="14"/>
                <w:szCs w:val="14"/>
                <w:lang w:eastAsia="es-CR"/>
              </w:rPr>
              <w:br/>
              <w:t xml:space="preserve">Los materiales de referencia son utilizados en la implementación y validación de las metodologías de análisis, lo que constituye una evaluación del desempeño del análisis químico que demuestra que son aptas para su uso en rutina, previo a la prestación de un servicio en la Sección de Química Analítica. Con lo anterior se realizaron los siguientes cambios en los entregables: • 3.3 Presupuestos de incertidumbres: modificando las fechas de finalización de las tareas: 3.3.1, 3.3.3, implicando que este entregable estaría listo el 31 de mayo 2023. • 3.4 Diseño y montaje de experimentos: se espera finalizar </w:t>
            </w:r>
            <w:r w:rsidRPr="00F262A5">
              <w:rPr>
                <w:rFonts w:ascii="Book Antiqua" w:eastAsia="Times New Roman" w:hAnsi="Book Antiqua" w:cs="Segoe UI"/>
                <w:color w:val="000000"/>
                <w:sz w:val="14"/>
                <w:szCs w:val="14"/>
                <w:lang w:eastAsia="es-CR"/>
              </w:rPr>
              <w:lastRenderedPageBreak/>
              <w:t>el 31 de mayo 2023 dado los cambios en las tareas 3.4.1, 3.4.2, 3.4.3, 3.4.4, 3.4.8, 3.4.9, 3.4.10, 3.4.11, 3.4.15, • 3.5 Hojas de cálculo validadas: al modificarse las tareas 3.5.1, 3.5.3, 3.6.1 se espera finalizar el 31 de mayo 2023 • 3.6 Informes de validación: se requiere modificar la tarea 3.6.2, para finalizar este entregable el 31 de mayo 2023 • 3.7 Procedimientos de operación: las tareas 3.7.1, 3.7.2, se modifican para finalizar el 31 de mayo 2023 • 3.8 Paquete documental: se amplía la tarea 3.8.1 para finalizar el 28 de abril 2023 • 3.9 Adquisición de materiales: las labores de la tarea 3.9.2 se amplían para finalizar el 31 de mayo 2023 • 4.1 Informe de cierre: dado los cambios anteriores se espera finalizar el proyecto el 30 de junio del 2023 </w:t>
            </w:r>
          </w:p>
        </w:tc>
        <w:tc>
          <w:tcPr>
            <w:tcW w:w="1275" w:type="dxa"/>
            <w:tcBorders>
              <w:top w:val="nil"/>
              <w:left w:val="nil"/>
              <w:bottom w:val="single" w:sz="6" w:space="0" w:color="auto"/>
              <w:right w:val="single" w:sz="6" w:space="0" w:color="auto"/>
            </w:tcBorders>
            <w:shd w:val="clear" w:color="auto" w:fill="D9E1F2"/>
            <w:vAlign w:val="center"/>
            <w:hideMark/>
          </w:tcPr>
          <w:p w14:paraId="73140642"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lastRenderedPageBreak/>
              <w:t> </w:t>
            </w:r>
          </w:p>
        </w:tc>
      </w:tr>
      <w:tr w:rsidR="007A1274" w:rsidRPr="00F262A5" w14:paraId="4D4E73F3" w14:textId="77777777" w:rsidTr="007A1274">
        <w:trPr>
          <w:trHeight w:val="1920"/>
        </w:trPr>
        <w:tc>
          <w:tcPr>
            <w:tcW w:w="1429" w:type="dxa"/>
            <w:tcBorders>
              <w:top w:val="nil"/>
              <w:left w:val="single" w:sz="6" w:space="0" w:color="auto"/>
              <w:bottom w:val="single" w:sz="6" w:space="0" w:color="auto"/>
              <w:right w:val="single" w:sz="6" w:space="0" w:color="auto"/>
            </w:tcBorders>
            <w:shd w:val="clear" w:color="auto" w:fill="D9E1F2"/>
            <w:vAlign w:val="center"/>
            <w:hideMark/>
          </w:tcPr>
          <w:p w14:paraId="7471CB51"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DEPARTAMENTO DE PRENSA Y COMUNICACION ORGANIZACIONAL </w:t>
            </w:r>
          </w:p>
        </w:tc>
        <w:tc>
          <w:tcPr>
            <w:tcW w:w="629" w:type="dxa"/>
            <w:tcBorders>
              <w:top w:val="nil"/>
              <w:left w:val="nil"/>
              <w:bottom w:val="single" w:sz="6" w:space="0" w:color="auto"/>
              <w:right w:val="single" w:sz="6" w:space="0" w:color="auto"/>
            </w:tcBorders>
            <w:shd w:val="clear" w:color="auto" w:fill="D9E1F2"/>
            <w:vAlign w:val="center"/>
            <w:hideMark/>
          </w:tcPr>
          <w:p w14:paraId="4C91EA0C"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0116-DPC-P01 </w:t>
            </w:r>
          </w:p>
        </w:tc>
        <w:tc>
          <w:tcPr>
            <w:tcW w:w="1408" w:type="dxa"/>
            <w:tcBorders>
              <w:top w:val="nil"/>
              <w:left w:val="nil"/>
              <w:bottom w:val="single" w:sz="6" w:space="0" w:color="auto"/>
              <w:right w:val="single" w:sz="6" w:space="0" w:color="auto"/>
            </w:tcBorders>
            <w:shd w:val="clear" w:color="auto" w:fill="D9E1F2"/>
            <w:vAlign w:val="center"/>
            <w:hideMark/>
          </w:tcPr>
          <w:p w14:paraId="14CC9F82"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Política de Comunicación Integral </w:t>
            </w:r>
          </w:p>
        </w:tc>
        <w:tc>
          <w:tcPr>
            <w:tcW w:w="837" w:type="dxa"/>
            <w:tcBorders>
              <w:top w:val="nil"/>
              <w:left w:val="nil"/>
              <w:bottom w:val="single" w:sz="6" w:space="0" w:color="auto"/>
              <w:right w:val="single" w:sz="6" w:space="0" w:color="auto"/>
            </w:tcBorders>
            <w:shd w:val="clear" w:color="auto" w:fill="D9E1F2"/>
            <w:vAlign w:val="center"/>
            <w:hideMark/>
          </w:tcPr>
          <w:p w14:paraId="09100D34"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31/03/2023 </w:t>
            </w:r>
          </w:p>
        </w:tc>
        <w:tc>
          <w:tcPr>
            <w:tcW w:w="837" w:type="dxa"/>
            <w:tcBorders>
              <w:top w:val="nil"/>
              <w:left w:val="nil"/>
              <w:bottom w:val="single" w:sz="6" w:space="0" w:color="auto"/>
              <w:right w:val="single" w:sz="6" w:space="0" w:color="auto"/>
            </w:tcBorders>
            <w:shd w:val="clear" w:color="auto" w:fill="D9E1F2"/>
            <w:vAlign w:val="center"/>
            <w:hideMark/>
          </w:tcPr>
          <w:p w14:paraId="47D7489A"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30/06/2023 </w:t>
            </w:r>
          </w:p>
        </w:tc>
        <w:tc>
          <w:tcPr>
            <w:tcW w:w="786" w:type="dxa"/>
            <w:tcBorders>
              <w:top w:val="nil"/>
              <w:left w:val="nil"/>
              <w:bottom w:val="single" w:sz="6" w:space="0" w:color="auto"/>
              <w:right w:val="single" w:sz="6" w:space="0" w:color="auto"/>
            </w:tcBorders>
            <w:shd w:val="clear" w:color="auto" w:fill="D9E1F2"/>
            <w:vAlign w:val="center"/>
            <w:hideMark/>
          </w:tcPr>
          <w:p w14:paraId="29090514"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3 </w:t>
            </w:r>
          </w:p>
        </w:tc>
        <w:tc>
          <w:tcPr>
            <w:tcW w:w="713" w:type="dxa"/>
            <w:tcBorders>
              <w:top w:val="nil"/>
              <w:left w:val="nil"/>
              <w:bottom w:val="single" w:sz="6" w:space="0" w:color="auto"/>
              <w:right w:val="single" w:sz="6" w:space="0" w:color="auto"/>
            </w:tcBorders>
            <w:shd w:val="clear" w:color="auto" w:fill="D9E1F2"/>
            <w:vAlign w:val="center"/>
            <w:hideMark/>
          </w:tcPr>
          <w:p w14:paraId="5A148E88"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Si </w:t>
            </w:r>
          </w:p>
        </w:tc>
        <w:tc>
          <w:tcPr>
            <w:tcW w:w="657" w:type="dxa"/>
            <w:tcBorders>
              <w:top w:val="nil"/>
              <w:left w:val="nil"/>
              <w:bottom w:val="single" w:sz="6" w:space="0" w:color="auto"/>
              <w:right w:val="single" w:sz="6" w:space="0" w:color="auto"/>
            </w:tcBorders>
            <w:shd w:val="clear" w:color="auto" w:fill="D9E1F2"/>
            <w:vAlign w:val="center"/>
            <w:hideMark/>
          </w:tcPr>
          <w:p w14:paraId="61ACCF12"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1 </w:t>
            </w:r>
          </w:p>
        </w:tc>
        <w:tc>
          <w:tcPr>
            <w:tcW w:w="2215" w:type="dxa"/>
            <w:tcBorders>
              <w:top w:val="nil"/>
              <w:left w:val="nil"/>
              <w:bottom w:val="single" w:sz="6" w:space="0" w:color="auto"/>
              <w:right w:val="single" w:sz="6" w:space="0" w:color="auto"/>
            </w:tcBorders>
            <w:shd w:val="clear" w:color="auto" w:fill="D9E1F2"/>
            <w:vAlign w:val="center"/>
            <w:hideMark/>
          </w:tcPr>
          <w:p w14:paraId="3D90D34F" w14:textId="77777777"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Tomando en consideración los aspectos mencionados en la solicitud de cambio 2 del 04 de agosto 2022 y la solicitud de cambio 3 del 24 de octubre 2022, se solicitó prórroga del plazo de cierre del proyecto para junio de 2023 y se efectuaron los ajustes correspondientes al cronograma en cuanto a las tareas y plazos. </w:t>
            </w:r>
          </w:p>
        </w:tc>
        <w:tc>
          <w:tcPr>
            <w:tcW w:w="1275" w:type="dxa"/>
            <w:tcBorders>
              <w:top w:val="nil"/>
              <w:left w:val="nil"/>
              <w:bottom w:val="single" w:sz="6" w:space="0" w:color="auto"/>
              <w:right w:val="single" w:sz="6" w:space="0" w:color="auto"/>
            </w:tcBorders>
            <w:shd w:val="clear" w:color="auto" w:fill="D9E1F2"/>
            <w:vAlign w:val="center"/>
            <w:hideMark/>
          </w:tcPr>
          <w:p w14:paraId="78075B82"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w:t>
            </w:r>
          </w:p>
        </w:tc>
      </w:tr>
      <w:tr w:rsidR="007A1274" w:rsidRPr="00F262A5" w14:paraId="7F7D4413" w14:textId="77777777" w:rsidTr="007A1274">
        <w:trPr>
          <w:trHeight w:val="720"/>
        </w:trPr>
        <w:tc>
          <w:tcPr>
            <w:tcW w:w="1429" w:type="dxa"/>
            <w:tcBorders>
              <w:top w:val="nil"/>
              <w:left w:val="single" w:sz="6" w:space="0" w:color="auto"/>
              <w:bottom w:val="single" w:sz="6" w:space="0" w:color="auto"/>
              <w:right w:val="single" w:sz="6" w:space="0" w:color="auto"/>
            </w:tcBorders>
            <w:shd w:val="clear" w:color="auto" w:fill="D9E1F2"/>
            <w:vAlign w:val="center"/>
            <w:hideMark/>
          </w:tcPr>
          <w:p w14:paraId="55C31681"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OFICINA DE PLANES Y OPERACIONES </w:t>
            </w:r>
          </w:p>
        </w:tc>
        <w:tc>
          <w:tcPr>
            <w:tcW w:w="629" w:type="dxa"/>
            <w:tcBorders>
              <w:top w:val="nil"/>
              <w:left w:val="nil"/>
              <w:bottom w:val="single" w:sz="6" w:space="0" w:color="auto"/>
              <w:right w:val="single" w:sz="6" w:space="0" w:color="auto"/>
            </w:tcBorders>
            <w:shd w:val="clear" w:color="auto" w:fill="D9E1F2"/>
            <w:vAlign w:val="center"/>
            <w:hideMark/>
          </w:tcPr>
          <w:p w14:paraId="38433BEA"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1167-OIJ-P24 </w:t>
            </w:r>
          </w:p>
        </w:tc>
        <w:tc>
          <w:tcPr>
            <w:tcW w:w="1408" w:type="dxa"/>
            <w:tcBorders>
              <w:top w:val="nil"/>
              <w:left w:val="nil"/>
              <w:bottom w:val="single" w:sz="6" w:space="0" w:color="auto"/>
              <w:right w:val="single" w:sz="6" w:space="0" w:color="auto"/>
            </w:tcBorders>
            <w:shd w:val="clear" w:color="auto" w:fill="D9E1F2"/>
            <w:vAlign w:val="center"/>
            <w:hideMark/>
          </w:tcPr>
          <w:p w14:paraId="065E4CD0"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Sistema Único Policial Especializado en la Resolución de la Criminalidad común, Organizada y la Prevención (SUPERCOP) </w:t>
            </w:r>
          </w:p>
        </w:tc>
        <w:tc>
          <w:tcPr>
            <w:tcW w:w="837" w:type="dxa"/>
            <w:tcBorders>
              <w:top w:val="nil"/>
              <w:left w:val="nil"/>
              <w:bottom w:val="single" w:sz="6" w:space="0" w:color="auto"/>
              <w:right w:val="single" w:sz="6" w:space="0" w:color="auto"/>
            </w:tcBorders>
            <w:shd w:val="clear" w:color="auto" w:fill="D9E1F2"/>
            <w:vAlign w:val="center"/>
            <w:hideMark/>
          </w:tcPr>
          <w:p w14:paraId="6AB58201"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07/06/2027 </w:t>
            </w:r>
          </w:p>
        </w:tc>
        <w:tc>
          <w:tcPr>
            <w:tcW w:w="837" w:type="dxa"/>
            <w:tcBorders>
              <w:top w:val="nil"/>
              <w:left w:val="nil"/>
              <w:bottom w:val="single" w:sz="6" w:space="0" w:color="auto"/>
              <w:right w:val="single" w:sz="6" w:space="0" w:color="auto"/>
            </w:tcBorders>
            <w:shd w:val="clear" w:color="auto" w:fill="D9E1F2"/>
            <w:vAlign w:val="center"/>
            <w:hideMark/>
          </w:tcPr>
          <w:p w14:paraId="50495447"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26/08/2027 </w:t>
            </w:r>
          </w:p>
        </w:tc>
        <w:tc>
          <w:tcPr>
            <w:tcW w:w="786" w:type="dxa"/>
            <w:tcBorders>
              <w:top w:val="nil"/>
              <w:left w:val="nil"/>
              <w:bottom w:val="single" w:sz="6" w:space="0" w:color="auto"/>
              <w:right w:val="single" w:sz="6" w:space="0" w:color="auto"/>
            </w:tcBorders>
            <w:shd w:val="clear" w:color="auto" w:fill="D9E1F2"/>
            <w:vAlign w:val="center"/>
            <w:hideMark/>
          </w:tcPr>
          <w:p w14:paraId="2833018F"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3 </w:t>
            </w:r>
          </w:p>
        </w:tc>
        <w:tc>
          <w:tcPr>
            <w:tcW w:w="713" w:type="dxa"/>
            <w:tcBorders>
              <w:top w:val="nil"/>
              <w:left w:val="nil"/>
              <w:bottom w:val="single" w:sz="6" w:space="0" w:color="auto"/>
              <w:right w:val="single" w:sz="6" w:space="0" w:color="auto"/>
            </w:tcBorders>
            <w:shd w:val="clear" w:color="auto" w:fill="D9E1F2"/>
            <w:vAlign w:val="center"/>
            <w:hideMark/>
          </w:tcPr>
          <w:p w14:paraId="47CF95A7"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Si </w:t>
            </w:r>
          </w:p>
        </w:tc>
        <w:tc>
          <w:tcPr>
            <w:tcW w:w="657" w:type="dxa"/>
            <w:tcBorders>
              <w:top w:val="nil"/>
              <w:left w:val="nil"/>
              <w:bottom w:val="single" w:sz="6" w:space="0" w:color="auto"/>
              <w:right w:val="single" w:sz="6" w:space="0" w:color="auto"/>
            </w:tcBorders>
            <w:shd w:val="clear" w:color="auto" w:fill="D9E1F2"/>
            <w:vAlign w:val="center"/>
            <w:hideMark/>
          </w:tcPr>
          <w:p w14:paraId="01AD052F"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19 </w:t>
            </w:r>
          </w:p>
        </w:tc>
        <w:tc>
          <w:tcPr>
            <w:tcW w:w="2215" w:type="dxa"/>
            <w:tcBorders>
              <w:top w:val="nil"/>
              <w:left w:val="nil"/>
              <w:bottom w:val="single" w:sz="6" w:space="0" w:color="auto"/>
              <w:right w:val="single" w:sz="6" w:space="0" w:color="auto"/>
            </w:tcBorders>
            <w:shd w:val="clear" w:color="auto" w:fill="D9E1F2"/>
            <w:vAlign w:val="center"/>
            <w:hideMark/>
          </w:tcPr>
          <w:p w14:paraId="65AC838F" w14:textId="77777777"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 Inclusión de funcionalidad referente a inteligencia artificial. Desde la Dirección General se evidenciado la necesidad de incluir herramientas modernas que automaticen procesos complejos para los usuarios, como por ejemplo el reconocimiento de fotografías para identificar delincuentes en Archivo Criminal, clasificación de denuncias según su modalidad delictiva, entre otros, es por ello que se considera la necesidad de investigar e incorporar en los sistemas técnicas de inteligencias artificial, machine learning y Deep Learning. Durante el proceso de diseño se identificaron nuevas funcionalidades o complejidad en las ya existentes por lo que se actualizó el cronograma general con respecto a los cronogramas operativos. Esta actualización integró el componente de Investigación y Desarrollo de tecnológicas de innovación como Inteligencia Artificial mencionadas en el punto anterior. </w:t>
            </w:r>
          </w:p>
        </w:tc>
        <w:tc>
          <w:tcPr>
            <w:tcW w:w="1275" w:type="dxa"/>
            <w:tcBorders>
              <w:top w:val="nil"/>
              <w:left w:val="nil"/>
              <w:bottom w:val="single" w:sz="6" w:space="0" w:color="auto"/>
              <w:right w:val="single" w:sz="6" w:space="0" w:color="auto"/>
            </w:tcBorders>
            <w:shd w:val="clear" w:color="auto" w:fill="D9E1F2"/>
            <w:vAlign w:val="center"/>
            <w:hideMark/>
          </w:tcPr>
          <w:p w14:paraId="263FFA97"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w:t>
            </w:r>
          </w:p>
        </w:tc>
      </w:tr>
      <w:tr w:rsidR="007A1274" w:rsidRPr="00F262A5" w14:paraId="10948425" w14:textId="77777777" w:rsidTr="00EF4E17">
        <w:trPr>
          <w:trHeight w:val="3304"/>
        </w:trPr>
        <w:tc>
          <w:tcPr>
            <w:tcW w:w="1429" w:type="dxa"/>
            <w:tcBorders>
              <w:top w:val="nil"/>
              <w:left w:val="single" w:sz="6" w:space="0" w:color="auto"/>
              <w:bottom w:val="single" w:sz="6" w:space="0" w:color="auto"/>
              <w:right w:val="single" w:sz="6" w:space="0" w:color="auto"/>
            </w:tcBorders>
            <w:shd w:val="clear" w:color="auto" w:fill="D9E1F2"/>
            <w:vAlign w:val="center"/>
            <w:hideMark/>
          </w:tcPr>
          <w:p w14:paraId="03A98936"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lastRenderedPageBreak/>
              <w:t>UNIDAD DE PRESUPUESTO Y ESTUDIOS ESPECIALES </w:t>
            </w:r>
          </w:p>
        </w:tc>
        <w:tc>
          <w:tcPr>
            <w:tcW w:w="629" w:type="dxa"/>
            <w:tcBorders>
              <w:top w:val="nil"/>
              <w:left w:val="nil"/>
              <w:bottom w:val="single" w:sz="6" w:space="0" w:color="auto"/>
              <w:right w:val="single" w:sz="6" w:space="0" w:color="auto"/>
            </w:tcBorders>
            <w:shd w:val="clear" w:color="auto" w:fill="D9E1F2"/>
            <w:vAlign w:val="center"/>
            <w:hideMark/>
          </w:tcPr>
          <w:p w14:paraId="1A019D48"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0134-DGH-P03 </w:t>
            </w:r>
          </w:p>
        </w:tc>
        <w:tc>
          <w:tcPr>
            <w:tcW w:w="1408" w:type="dxa"/>
            <w:tcBorders>
              <w:top w:val="nil"/>
              <w:left w:val="nil"/>
              <w:bottom w:val="single" w:sz="6" w:space="0" w:color="auto"/>
              <w:right w:val="single" w:sz="6" w:space="0" w:color="auto"/>
            </w:tcBorders>
            <w:shd w:val="clear" w:color="auto" w:fill="D9E1F2"/>
            <w:vAlign w:val="center"/>
            <w:hideMark/>
          </w:tcPr>
          <w:p w14:paraId="4AFBA3A1"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Sistema de Formulación y Ejecución Presupuestaria para Remuneraciones </w:t>
            </w:r>
          </w:p>
        </w:tc>
        <w:tc>
          <w:tcPr>
            <w:tcW w:w="837" w:type="dxa"/>
            <w:tcBorders>
              <w:top w:val="nil"/>
              <w:left w:val="nil"/>
              <w:bottom w:val="single" w:sz="6" w:space="0" w:color="auto"/>
              <w:right w:val="single" w:sz="6" w:space="0" w:color="auto"/>
            </w:tcBorders>
            <w:shd w:val="clear" w:color="auto" w:fill="D9E1F2"/>
            <w:vAlign w:val="center"/>
            <w:hideMark/>
          </w:tcPr>
          <w:p w14:paraId="32C1347A"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29/08/2025 </w:t>
            </w:r>
          </w:p>
        </w:tc>
        <w:tc>
          <w:tcPr>
            <w:tcW w:w="837" w:type="dxa"/>
            <w:tcBorders>
              <w:top w:val="nil"/>
              <w:left w:val="nil"/>
              <w:bottom w:val="single" w:sz="6" w:space="0" w:color="auto"/>
              <w:right w:val="single" w:sz="6" w:space="0" w:color="auto"/>
            </w:tcBorders>
            <w:shd w:val="clear" w:color="auto" w:fill="D9E1F2"/>
            <w:vAlign w:val="center"/>
            <w:hideMark/>
          </w:tcPr>
          <w:p w14:paraId="3906EFC2"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13/11/2025 </w:t>
            </w:r>
          </w:p>
        </w:tc>
        <w:tc>
          <w:tcPr>
            <w:tcW w:w="786" w:type="dxa"/>
            <w:tcBorders>
              <w:top w:val="nil"/>
              <w:left w:val="nil"/>
              <w:bottom w:val="single" w:sz="6" w:space="0" w:color="auto"/>
              <w:right w:val="single" w:sz="6" w:space="0" w:color="auto"/>
            </w:tcBorders>
            <w:shd w:val="clear" w:color="auto" w:fill="D9E1F2"/>
            <w:vAlign w:val="center"/>
            <w:hideMark/>
          </w:tcPr>
          <w:p w14:paraId="5A28AB3C"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3 </w:t>
            </w:r>
          </w:p>
        </w:tc>
        <w:tc>
          <w:tcPr>
            <w:tcW w:w="713" w:type="dxa"/>
            <w:tcBorders>
              <w:top w:val="nil"/>
              <w:left w:val="nil"/>
              <w:bottom w:val="single" w:sz="6" w:space="0" w:color="auto"/>
              <w:right w:val="single" w:sz="6" w:space="0" w:color="auto"/>
            </w:tcBorders>
            <w:shd w:val="clear" w:color="auto" w:fill="D9E1F2"/>
            <w:vAlign w:val="center"/>
            <w:hideMark/>
          </w:tcPr>
          <w:p w14:paraId="653DFAC1"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Si </w:t>
            </w:r>
          </w:p>
        </w:tc>
        <w:tc>
          <w:tcPr>
            <w:tcW w:w="657" w:type="dxa"/>
            <w:tcBorders>
              <w:top w:val="nil"/>
              <w:left w:val="nil"/>
              <w:bottom w:val="single" w:sz="6" w:space="0" w:color="auto"/>
              <w:right w:val="single" w:sz="6" w:space="0" w:color="auto"/>
            </w:tcBorders>
            <w:shd w:val="clear" w:color="auto" w:fill="D9E1F2"/>
            <w:vAlign w:val="center"/>
            <w:hideMark/>
          </w:tcPr>
          <w:p w14:paraId="15C9B5C7"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2 </w:t>
            </w:r>
          </w:p>
        </w:tc>
        <w:tc>
          <w:tcPr>
            <w:tcW w:w="2215" w:type="dxa"/>
            <w:tcBorders>
              <w:top w:val="nil"/>
              <w:left w:val="nil"/>
              <w:bottom w:val="single" w:sz="6" w:space="0" w:color="auto"/>
              <w:right w:val="single" w:sz="6" w:space="0" w:color="auto"/>
            </w:tcBorders>
            <w:shd w:val="clear" w:color="auto" w:fill="D9E1F2"/>
            <w:vAlign w:val="center"/>
            <w:hideMark/>
          </w:tcPr>
          <w:p w14:paraId="764F49D6" w14:textId="77777777"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Dicho cambio se presenta, con una afectación a la fecha final del proyecto pasando su finalización de agosto 2025 a noviembre 2025, un plazo de tres meses, esta ampliación en el cronograma se debe principalmente en la inclusión de la actividad 3.1.2.5 “Nuevos Parámetros Formulación Empleo Público”, dicha actividad nace de la obligatoriedad de obtener nuevos parámetros de estudio, indicadores que permitan lograr estadísticas con el objetivo de trazar una línea de formulación para los futuros funcionarios que devengarán un salario único, en razón a la implementación de las directrices establecidas por la Ley Marco Empleo Público así como su respectivo reglamento. </w:t>
            </w:r>
          </w:p>
        </w:tc>
        <w:tc>
          <w:tcPr>
            <w:tcW w:w="1275" w:type="dxa"/>
            <w:tcBorders>
              <w:top w:val="nil"/>
              <w:left w:val="nil"/>
              <w:bottom w:val="single" w:sz="6" w:space="0" w:color="auto"/>
              <w:right w:val="single" w:sz="6" w:space="0" w:color="auto"/>
            </w:tcBorders>
            <w:shd w:val="clear" w:color="auto" w:fill="D9E1F2"/>
            <w:vAlign w:val="center"/>
            <w:hideMark/>
          </w:tcPr>
          <w:p w14:paraId="5AD09FEF"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w:t>
            </w:r>
          </w:p>
        </w:tc>
      </w:tr>
      <w:tr w:rsidR="007A1274" w:rsidRPr="00F262A5" w14:paraId="7211F619" w14:textId="77777777" w:rsidTr="007A1274">
        <w:trPr>
          <w:trHeight w:val="5985"/>
        </w:trPr>
        <w:tc>
          <w:tcPr>
            <w:tcW w:w="1429" w:type="dxa"/>
            <w:tcBorders>
              <w:top w:val="nil"/>
              <w:left w:val="single" w:sz="6" w:space="0" w:color="auto"/>
              <w:bottom w:val="single" w:sz="6" w:space="0" w:color="auto"/>
              <w:right w:val="single" w:sz="6" w:space="0" w:color="auto"/>
            </w:tcBorders>
            <w:shd w:val="clear" w:color="auto" w:fill="D9E1F2"/>
            <w:vAlign w:val="center"/>
            <w:hideMark/>
          </w:tcPr>
          <w:p w14:paraId="2C9E3DA2"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SUBPROCESO SISTEMAS JURISDICCIONALES </w:t>
            </w:r>
          </w:p>
        </w:tc>
        <w:tc>
          <w:tcPr>
            <w:tcW w:w="629" w:type="dxa"/>
            <w:tcBorders>
              <w:top w:val="nil"/>
              <w:left w:val="nil"/>
              <w:bottom w:val="single" w:sz="6" w:space="0" w:color="auto"/>
              <w:right w:val="single" w:sz="6" w:space="0" w:color="auto"/>
            </w:tcBorders>
            <w:shd w:val="clear" w:color="auto" w:fill="D9E1F2"/>
            <w:vAlign w:val="center"/>
            <w:hideMark/>
          </w:tcPr>
          <w:p w14:paraId="4DAF408C"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0122-DTI-P01 </w:t>
            </w:r>
          </w:p>
        </w:tc>
        <w:tc>
          <w:tcPr>
            <w:tcW w:w="1408" w:type="dxa"/>
            <w:tcBorders>
              <w:top w:val="nil"/>
              <w:left w:val="nil"/>
              <w:bottom w:val="single" w:sz="6" w:space="0" w:color="auto"/>
              <w:right w:val="single" w:sz="6" w:space="0" w:color="auto"/>
            </w:tcBorders>
            <w:shd w:val="clear" w:color="auto" w:fill="D9E1F2"/>
            <w:vAlign w:val="center"/>
            <w:hideMark/>
          </w:tcPr>
          <w:p w14:paraId="574C2CC0"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Nueva versión del Sistema de Gestión de despachos judiciales </w:t>
            </w:r>
          </w:p>
        </w:tc>
        <w:tc>
          <w:tcPr>
            <w:tcW w:w="837" w:type="dxa"/>
            <w:tcBorders>
              <w:top w:val="nil"/>
              <w:left w:val="nil"/>
              <w:bottom w:val="single" w:sz="6" w:space="0" w:color="auto"/>
              <w:right w:val="single" w:sz="6" w:space="0" w:color="auto"/>
            </w:tcBorders>
            <w:shd w:val="clear" w:color="auto" w:fill="D9E1F2"/>
            <w:vAlign w:val="center"/>
            <w:hideMark/>
          </w:tcPr>
          <w:p w14:paraId="205D9F30"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23/04/2029 </w:t>
            </w:r>
          </w:p>
        </w:tc>
        <w:tc>
          <w:tcPr>
            <w:tcW w:w="837" w:type="dxa"/>
            <w:tcBorders>
              <w:top w:val="nil"/>
              <w:left w:val="nil"/>
              <w:bottom w:val="single" w:sz="6" w:space="0" w:color="auto"/>
              <w:right w:val="single" w:sz="6" w:space="0" w:color="auto"/>
            </w:tcBorders>
            <w:shd w:val="clear" w:color="auto" w:fill="D9E1F2"/>
            <w:vAlign w:val="center"/>
            <w:hideMark/>
          </w:tcPr>
          <w:p w14:paraId="42B0BB52"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26/06/2029 </w:t>
            </w:r>
          </w:p>
        </w:tc>
        <w:tc>
          <w:tcPr>
            <w:tcW w:w="786" w:type="dxa"/>
            <w:tcBorders>
              <w:top w:val="nil"/>
              <w:left w:val="nil"/>
              <w:bottom w:val="single" w:sz="6" w:space="0" w:color="auto"/>
              <w:right w:val="single" w:sz="6" w:space="0" w:color="auto"/>
            </w:tcBorders>
            <w:shd w:val="clear" w:color="auto" w:fill="D9E1F2"/>
            <w:vAlign w:val="center"/>
            <w:hideMark/>
          </w:tcPr>
          <w:p w14:paraId="110F0C30"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2 </w:t>
            </w:r>
          </w:p>
        </w:tc>
        <w:tc>
          <w:tcPr>
            <w:tcW w:w="713" w:type="dxa"/>
            <w:tcBorders>
              <w:top w:val="nil"/>
              <w:left w:val="nil"/>
              <w:bottom w:val="single" w:sz="6" w:space="0" w:color="auto"/>
              <w:right w:val="single" w:sz="6" w:space="0" w:color="auto"/>
            </w:tcBorders>
            <w:shd w:val="clear" w:color="auto" w:fill="D9E1F2"/>
            <w:vAlign w:val="center"/>
            <w:hideMark/>
          </w:tcPr>
          <w:p w14:paraId="09534749"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Si </w:t>
            </w:r>
          </w:p>
        </w:tc>
        <w:tc>
          <w:tcPr>
            <w:tcW w:w="657" w:type="dxa"/>
            <w:tcBorders>
              <w:top w:val="nil"/>
              <w:left w:val="nil"/>
              <w:bottom w:val="single" w:sz="6" w:space="0" w:color="auto"/>
              <w:right w:val="single" w:sz="6" w:space="0" w:color="auto"/>
            </w:tcBorders>
            <w:shd w:val="clear" w:color="auto" w:fill="D9E1F2"/>
            <w:vAlign w:val="center"/>
            <w:hideMark/>
          </w:tcPr>
          <w:p w14:paraId="5AE277B0"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5 </w:t>
            </w:r>
          </w:p>
        </w:tc>
        <w:tc>
          <w:tcPr>
            <w:tcW w:w="2215" w:type="dxa"/>
            <w:tcBorders>
              <w:top w:val="nil"/>
              <w:left w:val="nil"/>
              <w:bottom w:val="single" w:sz="6" w:space="0" w:color="auto"/>
              <w:right w:val="single" w:sz="6" w:space="0" w:color="auto"/>
            </w:tcBorders>
            <w:shd w:val="clear" w:color="auto" w:fill="D9E1F2"/>
            <w:vAlign w:val="center"/>
            <w:hideMark/>
          </w:tcPr>
          <w:p w14:paraId="3D166F4F" w14:textId="329BC71B"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xml:space="preserve">Se ajusta el cronograma de actividades y fechas de los entregables del mismo, producto de revisar y considerar las funcionalidades ya implementadas en los sistemas de Gestión de Despachos Judiciales y Escritorio Virtual, y que aún no habían sido contempladas en el plan de trabajo original del proyecto, garantizando el buen funcionamiento del sistema SIAGPJ en los despachos de la jurisdicción Laboral y Civil. Así como la priorización de los entregables 2 (Antes 2. Segunda Etapa-Penal) y 3 (Antes 3.Tercera Etapa Civil y Laboral), a los cuales se invierte la prioridad y recursos, en relación al plan de implantación del </w:t>
            </w:r>
            <w:r w:rsidR="007A1274" w:rsidRPr="00F262A5">
              <w:rPr>
                <w:rFonts w:ascii="Book Antiqua" w:eastAsia="Times New Roman" w:hAnsi="Book Antiqua" w:cs="Segoe UI"/>
                <w:color w:val="000000"/>
                <w:sz w:val="14"/>
                <w:szCs w:val="14"/>
                <w:lang w:eastAsia="es-CR"/>
              </w:rPr>
              <w:t>sistema. Adicionalmente</w:t>
            </w:r>
            <w:r w:rsidRPr="00F262A5">
              <w:rPr>
                <w:rFonts w:ascii="Book Antiqua" w:eastAsia="Times New Roman" w:hAnsi="Book Antiqua" w:cs="Segoe UI"/>
                <w:color w:val="000000"/>
                <w:sz w:val="14"/>
                <w:szCs w:val="14"/>
                <w:lang w:eastAsia="es-CR"/>
              </w:rPr>
              <w:t>, se incluyó 10 nuevas actividades a dicho entregable, a fin de considerar funcionalidades ya implementadas en los sistemas de Gestión de Despachos Judiciales y Escritorio Virtual, y que aún no habían sido contempladas en el plan de trabajo original del proyecto, garantizando el buen funcionamiento del sistema SIAGPJ en los despachos de la jurisdicción Laboral y Civil. </w:t>
            </w:r>
          </w:p>
        </w:tc>
        <w:tc>
          <w:tcPr>
            <w:tcW w:w="1275" w:type="dxa"/>
            <w:tcBorders>
              <w:top w:val="nil"/>
              <w:left w:val="nil"/>
              <w:bottom w:val="single" w:sz="6" w:space="0" w:color="auto"/>
              <w:right w:val="single" w:sz="6" w:space="0" w:color="auto"/>
            </w:tcBorders>
            <w:shd w:val="clear" w:color="auto" w:fill="D9E1F2"/>
            <w:vAlign w:val="center"/>
            <w:hideMark/>
          </w:tcPr>
          <w:p w14:paraId="20B8F168"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w:t>
            </w:r>
          </w:p>
        </w:tc>
      </w:tr>
      <w:tr w:rsidR="007A1274" w:rsidRPr="00F262A5" w14:paraId="47279D34" w14:textId="77777777" w:rsidTr="00EF4E17">
        <w:trPr>
          <w:trHeight w:val="1603"/>
        </w:trPr>
        <w:tc>
          <w:tcPr>
            <w:tcW w:w="1429" w:type="dxa"/>
            <w:tcBorders>
              <w:top w:val="nil"/>
              <w:left w:val="single" w:sz="6" w:space="0" w:color="auto"/>
              <w:bottom w:val="single" w:sz="6" w:space="0" w:color="auto"/>
              <w:right w:val="single" w:sz="6" w:space="0" w:color="auto"/>
            </w:tcBorders>
            <w:shd w:val="clear" w:color="auto" w:fill="D9E1F2"/>
            <w:vAlign w:val="center"/>
            <w:hideMark/>
          </w:tcPr>
          <w:p w14:paraId="361B1CB0"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lastRenderedPageBreak/>
              <w:t>COMISION DE ASUNTOS PENALES </w:t>
            </w:r>
          </w:p>
        </w:tc>
        <w:tc>
          <w:tcPr>
            <w:tcW w:w="629" w:type="dxa"/>
            <w:tcBorders>
              <w:top w:val="nil"/>
              <w:left w:val="nil"/>
              <w:bottom w:val="single" w:sz="6" w:space="0" w:color="auto"/>
              <w:right w:val="single" w:sz="6" w:space="0" w:color="auto"/>
            </w:tcBorders>
            <w:shd w:val="clear" w:color="auto" w:fill="D9E1F2"/>
            <w:vAlign w:val="center"/>
            <w:hideMark/>
          </w:tcPr>
          <w:p w14:paraId="49284C4D"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0110-PLA-P04 </w:t>
            </w:r>
          </w:p>
        </w:tc>
        <w:tc>
          <w:tcPr>
            <w:tcW w:w="1408" w:type="dxa"/>
            <w:tcBorders>
              <w:top w:val="nil"/>
              <w:left w:val="nil"/>
              <w:bottom w:val="single" w:sz="6" w:space="0" w:color="auto"/>
              <w:right w:val="single" w:sz="6" w:space="0" w:color="auto"/>
            </w:tcBorders>
            <w:shd w:val="clear" w:color="auto" w:fill="D9E1F2"/>
            <w:vAlign w:val="center"/>
            <w:hideMark/>
          </w:tcPr>
          <w:p w14:paraId="2A0400F0"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Mejora del Proceso Penal (Ámbito Jurisdiccional) </w:t>
            </w:r>
          </w:p>
        </w:tc>
        <w:tc>
          <w:tcPr>
            <w:tcW w:w="837" w:type="dxa"/>
            <w:tcBorders>
              <w:top w:val="nil"/>
              <w:left w:val="nil"/>
              <w:bottom w:val="single" w:sz="6" w:space="0" w:color="auto"/>
              <w:right w:val="single" w:sz="6" w:space="0" w:color="auto"/>
            </w:tcBorders>
            <w:shd w:val="clear" w:color="auto" w:fill="D9E1F2"/>
            <w:vAlign w:val="center"/>
            <w:hideMark/>
          </w:tcPr>
          <w:p w14:paraId="76A4BE4B"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11/11/2026 </w:t>
            </w:r>
          </w:p>
        </w:tc>
        <w:tc>
          <w:tcPr>
            <w:tcW w:w="837" w:type="dxa"/>
            <w:tcBorders>
              <w:top w:val="nil"/>
              <w:left w:val="nil"/>
              <w:bottom w:val="single" w:sz="6" w:space="0" w:color="auto"/>
              <w:right w:val="single" w:sz="6" w:space="0" w:color="auto"/>
            </w:tcBorders>
            <w:shd w:val="clear" w:color="auto" w:fill="D9E1F2"/>
            <w:vAlign w:val="center"/>
            <w:hideMark/>
          </w:tcPr>
          <w:p w14:paraId="29252B8C"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11/01/2027 </w:t>
            </w:r>
          </w:p>
        </w:tc>
        <w:tc>
          <w:tcPr>
            <w:tcW w:w="786" w:type="dxa"/>
            <w:tcBorders>
              <w:top w:val="nil"/>
              <w:left w:val="nil"/>
              <w:bottom w:val="single" w:sz="6" w:space="0" w:color="auto"/>
              <w:right w:val="single" w:sz="6" w:space="0" w:color="auto"/>
            </w:tcBorders>
            <w:shd w:val="clear" w:color="auto" w:fill="D9E1F2"/>
            <w:vAlign w:val="center"/>
            <w:hideMark/>
          </w:tcPr>
          <w:p w14:paraId="12046DB5"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2 </w:t>
            </w:r>
          </w:p>
        </w:tc>
        <w:tc>
          <w:tcPr>
            <w:tcW w:w="713" w:type="dxa"/>
            <w:tcBorders>
              <w:top w:val="nil"/>
              <w:left w:val="nil"/>
              <w:bottom w:val="single" w:sz="6" w:space="0" w:color="auto"/>
              <w:right w:val="single" w:sz="6" w:space="0" w:color="auto"/>
            </w:tcBorders>
            <w:shd w:val="clear" w:color="auto" w:fill="D9E1F2"/>
            <w:vAlign w:val="center"/>
            <w:hideMark/>
          </w:tcPr>
          <w:p w14:paraId="4EF1760B"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Si </w:t>
            </w:r>
          </w:p>
        </w:tc>
        <w:tc>
          <w:tcPr>
            <w:tcW w:w="657" w:type="dxa"/>
            <w:tcBorders>
              <w:top w:val="nil"/>
              <w:left w:val="nil"/>
              <w:bottom w:val="single" w:sz="6" w:space="0" w:color="auto"/>
              <w:right w:val="single" w:sz="6" w:space="0" w:color="auto"/>
            </w:tcBorders>
            <w:shd w:val="clear" w:color="auto" w:fill="D9E1F2"/>
            <w:vAlign w:val="center"/>
            <w:hideMark/>
          </w:tcPr>
          <w:p w14:paraId="204A742A"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150 </w:t>
            </w:r>
          </w:p>
        </w:tc>
        <w:tc>
          <w:tcPr>
            <w:tcW w:w="2215" w:type="dxa"/>
            <w:tcBorders>
              <w:top w:val="nil"/>
              <w:left w:val="nil"/>
              <w:bottom w:val="single" w:sz="6" w:space="0" w:color="auto"/>
              <w:right w:val="single" w:sz="6" w:space="0" w:color="auto"/>
            </w:tcBorders>
            <w:shd w:val="clear" w:color="auto" w:fill="D9E1F2"/>
            <w:vAlign w:val="center"/>
            <w:hideMark/>
          </w:tcPr>
          <w:p w14:paraId="635745E0" w14:textId="28814D7D"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xml:space="preserve">Los cambios propuestos son los siguientes: Modificación en las fechas de Inicio y finalización del abordaje de oficinas, así como fechas de conclusión de seguimientos, producto de un </w:t>
            </w:r>
            <w:r w:rsidR="007A1274" w:rsidRPr="00F262A5">
              <w:rPr>
                <w:rFonts w:ascii="Book Antiqua" w:eastAsia="Times New Roman" w:hAnsi="Book Antiqua" w:cs="Segoe UI"/>
                <w:color w:val="000000"/>
                <w:sz w:val="14"/>
                <w:szCs w:val="14"/>
                <w:lang w:eastAsia="es-CR"/>
              </w:rPr>
              <w:t>replanteamiento</w:t>
            </w:r>
            <w:r w:rsidRPr="00F262A5">
              <w:rPr>
                <w:rFonts w:ascii="Book Antiqua" w:eastAsia="Times New Roman" w:hAnsi="Book Antiqua" w:cs="Segoe UI"/>
                <w:color w:val="000000"/>
                <w:sz w:val="14"/>
                <w:szCs w:val="14"/>
                <w:lang w:eastAsia="es-CR"/>
              </w:rPr>
              <w:t xml:space="preserve"> de actividades por el ingreso de los Despacho de la Jurisdicción especializada Delincuencia Organizada. </w:t>
            </w:r>
          </w:p>
        </w:tc>
        <w:tc>
          <w:tcPr>
            <w:tcW w:w="1275" w:type="dxa"/>
            <w:tcBorders>
              <w:top w:val="nil"/>
              <w:left w:val="nil"/>
              <w:bottom w:val="single" w:sz="6" w:space="0" w:color="auto"/>
              <w:right w:val="single" w:sz="6" w:space="0" w:color="auto"/>
            </w:tcBorders>
            <w:shd w:val="clear" w:color="auto" w:fill="D9E1F2"/>
            <w:vAlign w:val="center"/>
            <w:hideMark/>
          </w:tcPr>
          <w:p w14:paraId="26207B51"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w:t>
            </w:r>
          </w:p>
        </w:tc>
      </w:tr>
      <w:tr w:rsidR="007A1274" w:rsidRPr="00F262A5" w14:paraId="348C6C69" w14:textId="77777777" w:rsidTr="007A1274">
        <w:trPr>
          <w:trHeight w:val="8190"/>
        </w:trPr>
        <w:tc>
          <w:tcPr>
            <w:tcW w:w="1429" w:type="dxa"/>
            <w:tcBorders>
              <w:top w:val="nil"/>
              <w:left w:val="single" w:sz="6" w:space="0" w:color="auto"/>
              <w:bottom w:val="single" w:sz="6" w:space="0" w:color="auto"/>
              <w:right w:val="single" w:sz="6" w:space="0" w:color="auto"/>
            </w:tcBorders>
            <w:shd w:val="clear" w:color="auto" w:fill="D9E1F2"/>
            <w:vAlign w:val="center"/>
            <w:hideMark/>
          </w:tcPr>
          <w:p w14:paraId="55C6B85E"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DEPARTAMENTO DE INVESTIGACIONES CRIMINALES </w:t>
            </w:r>
          </w:p>
        </w:tc>
        <w:tc>
          <w:tcPr>
            <w:tcW w:w="629" w:type="dxa"/>
            <w:tcBorders>
              <w:top w:val="nil"/>
              <w:left w:val="nil"/>
              <w:bottom w:val="single" w:sz="6" w:space="0" w:color="auto"/>
              <w:right w:val="single" w:sz="6" w:space="0" w:color="auto"/>
            </w:tcBorders>
            <w:shd w:val="clear" w:color="auto" w:fill="D9E1F2"/>
            <w:vAlign w:val="center"/>
            <w:hideMark/>
          </w:tcPr>
          <w:p w14:paraId="439BDE3E"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1167-OIJ-P17 </w:t>
            </w:r>
          </w:p>
        </w:tc>
        <w:tc>
          <w:tcPr>
            <w:tcW w:w="1408" w:type="dxa"/>
            <w:tcBorders>
              <w:top w:val="nil"/>
              <w:left w:val="nil"/>
              <w:bottom w:val="single" w:sz="6" w:space="0" w:color="auto"/>
              <w:right w:val="single" w:sz="6" w:space="0" w:color="auto"/>
            </w:tcBorders>
            <w:shd w:val="clear" w:color="auto" w:fill="D9E1F2"/>
            <w:vAlign w:val="center"/>
            <w:hideMark/>
          </w:tcPr>
          <w:p w14:paraId="4DA9C02C"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Acreditación ISO 17020 e ISO 17025 SIORI </w:t>
            </w:r>
          </w:p>
        </w:tc>
        <w:tc>
          <w:tcPr>
            <w:tcW w:w="837" w:type="dxa"/>
            <w:tcBorders>
              <w:top w:val="nil"/>
              <w:left w:val="nil"/>
              <w:bottom w:val="single" w:sz="6" w:space="0" w:color="auto"/>
              <w:right w:val="single" w:sz="6" w:space="0" w:color="auto"/>
            </w:tcBorders>
            <w:shd w:val="clear" w:color="auto" w:fill="D9E1F2"/>
            <w:vAlign w:val="center"/>
            <w:hideMark/>
          </w:tcPr>
          <w:p w14:paraId="043E350D"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31/12/2024 </w:t>
            </w:r>
          </w:p>
        </w:tc>
        <w:tc>
          <w:tcPr>
            <w:tcW w:w="837" w:type="dxa"/>
            <w:tcBorders>
              <w:top w:val="nil"/>
              <w:left w:val="nil"/>
              <w:bottom w:val="single" w:sz="6" w:space="0" w:color="auto"/>
              <w:right w:val="single" w:sz="6" w:space="0" w:color="auto"/>
            </w:tcBorders>
            <w:shd w:val="clear" w:color="auto" w:fill="D9E1F2"/>
            <w:vAlign w:val="center"/>
            <w:hideMark/>
          </w:tcPr>
          <w:p w14:paraId="6185D7C3"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28/02/2025 </w:t>
            </w:r>
          </w:p>
        </w:tc>
        <w:tc>
          <w:tcPr>
            <w:tcW w:w="786" w:type="dxa"/>
            <w:tcBorders>
              <w:top w:val="nil"/>
              <w:left w:val="nil"/>
              <w:bottom w:val="single" w:sz="6" w:space="0" w:color="auto"/>
              <w:right w:val="single" w:sz="6" w:space="0" w:color="auto"/>
            </w:tcBorders>
            <w:shd w:val="clear" w:color="auto" w:fill="D9E1F2"/>
            <w:vAlign w:val="center"/>
            <w:hideMark/>
          </w:tcPr>
          <w:p w14:paraId="66B33BD7"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2 </w:t>
            </w:r>
          </w:p>
        </w:tc>
        <w:tc>
          <w:tcPr>
            <w:tcW w:w="713" w:type="dxa"/>
            <w:tcBorders>
              <w:top w:val="nil"/>
              <w:left w:val="nil"/>
              <w:bottom w:val="single" w:sz="6" w:space="0" w:color="auto"/>
              <w:right w:val="single" w:sz="6" w:space="0" w:color="auto"/>
            </w:tcBorders>
            <w:shd w:val="clear" w:color="auto" w:fill="D9E1F2"/>
            <w:vAlign w:val="center"/>
            <w:hideMark/>
          </w:tcPr>
          <w:p w14:paraId="050B8572"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Si </w:t>
            </w:r>
          </w:p>
        </w:tc>
        <w:tc>
          <w:tcPr>
            <w:tcW w:w="657" w:type="dxa"/>
            <w:tcBorders>
              <w:top w:val="nil"/>
              <w:left w:val="nil"/>
              <w:bottom w:val="single" w:sz="6" w:space="0" w:color="auto"/>
              <w:right w:val="single" w:sz="6" w:space="0" w:color="auto"/>
            </w:tcBorders>
            <w:shd w:val="clear" w:color="auto" w:fill="D9E1F2"/>
            <w:vAlign w:val="center"/>
            <w:hideMark/>
          </w:tcPr>
          <w:p w14:paraId="260B0DD4"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2 </w:t>
            </w:r>
          </w:p>
        </w:tc>
        <w:tc>
          <w:tcPr>
            <w:tcW w:w="2215" w:type="dxa"/>
            <w:tcBorders>
              <w:top w:val="nil"/>
              <w:left w:val="nil"/>
              <w:bottom w:val="single" w:sz="6" w:space="0" w:color="auto"/>
              <w:right w:val="single" w:sz="6" w:space="0" w:color="auto"/>
            </w:tcBorders>
            <w:shd w:val="clear" w:color="auto" w:fill="D9E1F2"/>
            <w:vAlign w:val="center"/>
            <w:hideMark/>
          </w:tcPr>
          <w:p w14:paraId="111E4653" w14:textId="449B5687"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xml:space="preserve">1- Se agregan tareas vinculadas al entregable 3.10: con la nueva calendarización con West Virginia se requiere hacer las </w:t>
            </w:r>
            <w:r w:rsidR="00A63E0E" w:rsidRPr="00F262A5">
              <w:rPr>
                <w:rFonts w:ascii="Book Antiqua" w:eastAsia="Times New Roman" w:hAnsi="Book Antiqua" w:cs="Segoe UI"/>
                <w:color w:val="000000"/>
                <w:sz w:val="14"/>
                <w:szCs w:val="14"/>
                <w:lang w:eastAsia="es-CR"/>
              </w:rPr>
              <w:t>siguientes modificaciones</w:t>
            </w:r>
            <w:r w:rsidRPr="00F262A5">
              <w:rPr>
                <w:rFonts w:ascii="Book Antiqua" w:eastAsia="Times New Roman" w:hAnsi="Book Antiqua" w:cs="Segoe UI"/>
                <w:color w:val="000000"/>
                <w:sz w:val="14"/>
                <w:szCs w:val="14"/>
                <w:lang w:eastAsia="es-CR"/>
              </w:rPr>
              <w:t>: La Solicitud de Auditoría a ANAB vinculada a la tarea 3.10.4 se realizará en el tercer cuatrimestre del 2024 por lo que se amplía el plazo para el 30 de setiembre de 2024 y por </w:t>
            </w:r>
            <w:r w:rsidRPr="00F262A5">
              <w:rPr>
                <w:rFonts w:ascii="Book Antiqua" w:eastAsia="Times New Roman" w:hAnsi="Book Antiqua" w:cs="Segoe UI"/>
                <w:color w:val="000000"/>
                <w:sz w:val="14"/>
                <w:szCs w:val="14"/>
                <w:lang w:eastAsia="es-CR"/>
              </w:rPr>
              <w:br/>
              <w:t>ende se modifica el plazo para la tarea 3.10.8 que se proyecta a finalizar el 31 de diciembre de 2024. · La Auditoría Interna N.º 01 vinculada a la tarea 3.10.5 será realizada en conjunto con la Universidad de West Virginia por lo que se modifica el plazo a finalizar el 28 de julio de 2023. · Se amplía el plazo de la tarea “Actividades de mejora 2” (EDT 3.10.6) dado que se contempla una visita de cuatro personas de la sección a la Universidad de West Virginia en agosto de 2023 para capacitación de instructores y familiarización en sistema Foresight. · Se agrega una segunda Auditoría Interna vinculada (tarea 3.10.7) para finalizar el 28 de junio de 2024. 2. Se modifican plazos de tareas vinculadas al entregable 3.4 · En cuanto al EDT 3.4.5.1 “Procedimiento para respaldo de material digital </w:t>
            </w:r>
            <w:r w:rsidRPr="00F262A5">
              <w:rPr>
                <w:rFonts w:ascii="Book Antiqua" w:eastAsia="Times New Roman" w:hAnsi="Book Antiqua" w:cs="Segoe UI"/>
                <w:color w:val="000000"/>
                <w:sz w:val="14"/>
                <w:szCs w:val="14"/>
                <w:lang w:eastAsia="es-CR"/>
              </w:rPr>
              <w:br/>
              <w:t>(audiovisual 3D)”, actualmente no se cuenta con los recursos para la actualización de la licencia y se está analizando su continuidad, por lo que se hizo una reprogramación de las fechas en las que se tenía contemplado finalizar esta labor. Debido a los cambios en los plazos antes citados, se modifica la fecha de finalización del proyecto para el 28 de febrero de 2025. </w:t>
            </w:r>
          </w:p>
        </w:tc>
        <w:tc>
          <w:tcPr>
            <w:tcW w:w="1275" w:type="dxa"/>
            <w:tcBorders>
              <w:top w:val="nil"/>
              <w:left w:val="nil"/>
              <w:bottom w:val="single" w:sz="6" w:space="0" w:color="auto"/>
              <w:right w:val="single" w:sz="6" w:space="0" w:color="auto"/>
            </w:tcBorders>
            <w:shd w:val="clear" w:color="auto" w:fill="D9E1F2"/>
            <w:vAlign w:val="center"/>
            <w:hideMark/>
          </w:tcPr>
          <w:p w14:paraId="517C9C7E"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w:t>
            </w:r>
          </w:p>
        </w:tc>
      </w:tr>
      <w:tr w:rsidR="007A1274" w:rsidRPr="00F262A5" w14:paraId="020F269A" w14:textId="77777777" w:rsidTr="007A1274">
        <w:trPr>
          <w:trHeight w:val="1200"/>
        </w:trPr>
        <w:tc>
          <w:tcPr>
            <w:tcW w:w="1429" w:type="dxa"/>
            <w:tcBorders>
              <w:top w:val="nil"/>
              <w:left w:val="single" w:sz="6" w:space="0" w:color="auto"/>
              <w:bottom w:val="single" w:sz="6" w:space="0" w:color="auto"/>
              <w:right w:val="single" w:sz="6" w:space="0" w:color="auto"/>
            </w:tcBorders>
            <w:shd w:val="clear" w:color="auto" w:fill="D9E1F2"/>
            <w:vAlign w:val="center"/>
            <w:hideMark/>
          </w:tcPr>
          <w:p w14:paraId="0A27BB6F"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lastRenderedPageBreak/>
              <w:t>COMISION DE LA JURISDICCION AGRARIO Y AGROAMBIENTAL </w:t>
            </w:r>
          </w:p>
        </w:tc>
        <w:tc>
          <w:tcPr>
            <w:tcW w:w="629" w:type="dxa"/>
            <w:tcBorders>
              <w:top w:val="nil"/>
              <w:left w:val="nil"/>
              <w:bottom w:val="single" w:sz="6" w:space="0" w:color="auto"/>
              <w:right w:val="single" w:sz="6" w:space="0" w:color="auto"/>
            </w:tcBorders>
            <w:shd w:val="clear" w:color="auto" w:fill="D9E1F2"/>
            <w:vAlign w:val="center"/>
            <w:hideMark/>
          </w:tcPr>
          <w:p w14:paraId="314E4926"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4000-CA-P01 </w:t>
            </w:r>
          </w:p>
        </w:tc>
        <w:tc>
          <w:tcPr>
            <w:tcW w:w="1408" w:type="dxa"/>
            <w:tcBorders>
              <w:top w:val="nil"/>
              <w:left w:val="nil"/>
              <w:bottom w:val="single" w:sz="6" w:space="0" w:color="auto"/>
              <w:right w:val="single" w:sz="6" w:space="0" w:color="auto"/>
            </w:tcBorders>
            <w:shd w:val="clear" w:color="auto" w:fill="D9E1F2"/>
            <w:vAlign w:val="center"/>
            <w:hideMark/>
          </w:tcPr>
          <w:p w14:paraId="2358F6A5"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Implementación del Código Procesal Agrario (Comisión Agraria) </w:t>
            </w:r>
          </w:p>
        </w:tc>
        <w:tc>
          <w:tcPr>
            <w:tcW w:w="837" w:type="dxa"/>
            <w:tcBorders>
              <w:top w:val="nil"/>
              <w:left w:val="nil"/>
              <w:bottom w:val="single" w:sz="6" w:space="0" w:color="auto"/>
              <w:right w:val="single" w:sz="6" w:space="0" w:color="auto"/>
            </w:tcBorders>
            <w:shd w:val="clear" w:color="auto" w:fill="D9E1F2"/>
            <w:vAlign w:val="center"/>
            <w:hideMark/>
          </w:tcPr>
          <w:p w14:paraId="26FAE87E"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23/09/2024 </w:t>
            </w:r>
          </w:p>
        </w:tc>
        <w:tc>
          <w:tcPr>
            <w:tcW w:w="837" w:type="dxa"/>
            <w:tcBorders>
              <w:top w:val="nil"/>
              <w:left w:val="nil"/>
              <w:bottom w:val="single" w:sz="6" w:space="0" w:color="auto"/>
              <w:right w:val="single" w:sz="6" w:space="0" w:color="auto"/>
            </w:tcBorders>
            <w:shd w:val="clear" w:color="auto" w:fill="D9E1F2"/>
            <w:vAlign w:val="center"/>
            <w:hideMark/>
          </w:tcPr>
          <w:p w14:paraId="02B5E75E"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14/10/2024 </w:t>
            </w:r>
          </w:p>
        </w:tc>
        <w:tc>
          <w:tcPr>
            <w:tcW w:w="786" w:type="dxa"/>
            <w:tcBorders>
              <w:top w:val="nil"/>
              <w:left w:val="nil"/>
              <w:bottom w:val="single" w:sz="6" w:space="0" w:color="auto"/>
              <w:right w:val="single" w:sz="6" w:space="0" w:color="auto"/>
            </w:tcBorders>
            <w:shd w:val="clear" w:color="auto" w:fill="D9E1F2"/>
            <w:vAlign w:val="center"/>
            <w:hideMark/>
          </w:tcPr>
          <w:p w14:paraId="1779C077"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1 </w:t>
            </w:r>
          </w:p>
        </w:tc>
        <w:tc>
          <w:tcPr>
            <w:tcW w:w="713" w:type="dxa"/>
            <w:tcBorders>
              <w:top w:val="nil"/>
              <w:left w:val="nil"/>
              <w:bottom w:val="single" w:sz="6" w:space="0" w:color="auto"/>
              <w:right w:val="single" w:sz="6" w:space="0" w:color="auto"/>
            </w:tcBorders>
            <w:shd w:val="clear" w:color="auto" w:fill="D9E1F2"/>
            <w:vAlign w:val="center"/>
            <w:hideMark/>
          </w:tcPr>
          <w:p w14:paraId="34D95B5E"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Si </w:t>
            </w:r>
          </w:p>
        </w:tc>
        <w:tc>
          <w:tcPr>
            <w:tcW w:w="657" w:type="dxa"/>
            <w:tcBorders>
              <w:top w:val="nil"/>
              <w:left w:val="nil"/>
              <w:bottom w:val="single" w:sz="6" w:space="0" w:color="auto"/>
              <w:right w:val="single" w:sz="6" w:space="0" w:color="auto"/>
            </w:tcBorders>
            <w:shd w:val="clear" w:color="auto" w:fill="D9E1F2"/>
            <w:vAlign w:val="center"/>
            <w:hideMark/>
          </w:tcPr>
          <w:p w14:paraId="1192F03B"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2 </w:t>
            </w:r>
          </w:p>
        </w:tc>
        <w:tc>
          <w:tcPr>
            <w:tcW w:w="2215" w:type="dxa"/>
            <w:tcBorders>
              <w:top w:val="nil"/>
              <w:left w:val="nil"/>
              <w:bottom w:val="single" w:sz="6" w:space="0" w:color="auto"/>
              <w:right w:val="single" w:sz="6" w:space="0" w:color="auto"/>
            </w:tcBorders>
            <w:shd w:val="clear" w:color="auto" w:fill="D9E1F2"/>
            <w:vAlign w:val="center"/>
            <w:hideMark/>
          </w:tcPr>
          <w:p w14:paraId="4D16BB0F" w14:textId="77777777"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A partir de la revisión llevada a cabo junto con la Gestoría y el diagnóstico del estado actual del proyecto, se proponen un cambio en los entregables para trabajar en el proyecto. </w:t>
            </w:r>
          </w:p>
        </w:tc>
        <w:tc>
          <w:tcPr>
            <w:tcW w:w="1275" w:type="dxa"/>
            <w:tcBorders>
              <w:top w:val="nil"/>
              <w:left w:val="nil"/>
              <w:bottom w:val="single" w:sz="6" w:space="0" w:color="auto"/>
              <w:right w:val="single" w:sz="6" w:space="0" w:color="auto"/>
            </w:tcBorders>
            <w:shd w:val="clear" w:color="auto" w:fill="D9E1F2"/>
            <w:vAlign w:val="center"/>
            <w:hideMark/>
          </w:tcPr>
          <w:p w14:paraId="7C130E0E"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w:t>
            </w:r>
          </w:p>
        </w:tc>
      </w:tr>
      <w:tr w:rsidR="007A1274" w:rsidRPr="00F262A5" w14:paraId="31B020FF" w14:textId="77777777" w:rsidTr="007A1274">
        <w:trPr>
          <w:trHeight w:val="2385"/>
        </w:trPr>
        <w:tc>
          <w:tcPr>
            <w:tcW w:w="1429" w:type="dxa"/>
            <w:tcBorders>
              <w:top w:val="nil"/>
              <w:left w:val="single" w:sz="6" w:space="0" w:color="auto"/>
              <w:bottom w:val="single" w:sz="6" w:space="0" w:color="auto"/>
              <w:right w:val="single" w:sz="6" w:space="0" w:color="auto"/>
            </w:tcBorders>
            <w:shd w:val="clear" w:color="auto" w:fill="D9E1F2"/>
            <w:vAlign w:val="center"/>
            <w:hideMark/>
          </w:tcPr>
          <w:p w14:paraId="1A488AA2"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SUBPROCESO MODERNIZACION INSTITUCIONAL / 0110 DIRECCIÓN DE PLANIFICACIÓN </w:t>
            </w:r>
          </w:p>
        </w:tc>
        <w:tc>
          <w:tcPr>
            <w:tcW w:w="629" w:type="dxa"/>
            <w:tcBorders>
              <w:top w:val="nil"/>
              <w:left w:val="nil"/>
              <w:bottom w:val="single" w:sz="6" w:space="0" w:color="auto"/>
              <w:right w:val="single" w:sz="6" w:space="0" w:color="auto"/>
            </w:tcBorders>
            <w:shd w:val="clear" w:color="auto" w:fill="D9E1F2"/>
            <w:vAlign w:val="center"/>
            <w:hideMark/>
          </w:tcPr>
          <w:p w14:paraId="6BFB3487"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0110-PLA-P23 </w:t>
            </w:r>
          </w:p>
        </w:tc>
        <w:tc>
          <w:tcPr>
            <w:tcW w:w="1408" w:type="dxa"/>
            <w:tcBorders>
              <w:top w:val="nil"/>
              <w:left w:val="nil"/>
              <w:bottom w:val="single" w:sz="6" w:space="0" w:color="auto"/>
              <w:right w:val="single" w:sz="6" w:space="0" w:color="auto"/>
            </w:tcBorders>
            <w:shd w:val="clear" w:color="auto" w:fill="D9E1F2"/>
            <w:vAlign w:val="center"/>
            <w:hideMark/>
          </w:tcPr>
          <w:p w14:paraId="1F1B216C"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Automatización de los Procesos Jurisdiccionales y análisis del Rezago Judicial </w:t>
            </w:r>
          </w:p>
        </w:tc>
        <w:tc>
          <w:tcPr>
            <w:tcW w:w="837" w:type="dxa"/>
            <w:tcBorders>
              <w:top w:val="nil"/>
              <w:left w:val="nil"/>
              <w:bottom w:val="single" w:sz="6" w:space="0" w:color="auto"/>
              <w:right w:val="single" w:sz="6" w:space="0" w:color="auto"/>
            </w:tcBorders>
            <w:shd w:val="clear" w:color="auto" w:fill="D9E1F2"/>
            <w:vAlign w:val="center"/>
            <w:hideMark/>
          </w:tcPr>
          <w:p w14:paraId="6EDDE1CE"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02/07/2030 </w:t>
            </w:r>
          </w:p>
        </w:tc>
        <w:tc>
          <w:tcPr>
            <w:tcW w:w="837" w:type="dxa"/>
            <w:tcBorders>
              <w:top w:val="nil"/>
              <w:left w:val="nil"/>
              <w:bottom w:val="single" w:sz="6" w:space="0" w:color="auto"/>
              <w:right w:val="single" w:sz="6" w:space="0" w:color="auto"/>
            </w:tcBorders>
            <w:shd w:val="clear" w:color="auto" w:fill="D9E1F2"/>
            <w:vAlign w:val="center"/>
            <w:hideMark/>
          </w:tcPr>
          <w:p w14:paraId="512C972B"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23/07/2030 </w:t>
            </w:r>
          </w:p>
        </w:tc>
        <w:tc>
          <w:tcPr>
            <w:tcW w:w="786" w:type="dxa"/>
            <w:tcBorders>
              <w:top w:val="nil"/>
              <w:left w:val="nil"/>
              <w:bottom w:val="single" w:sz="6" w:space="0" w:color="auto"/>
              <w:right w:val="single" w:sz="6" w:space="0" w:color="auto"/>
            </w:tcBorders>
            <w:shd w:val="clear" w:color="auto" w:fill="D9E1F2"/>
            <w:vAlign w:val="center"/>
            <w:hideMark/>
          </w:tcPr>
          <w:p w14:paraId="36B025DD"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0,8 </w:t>
            </w:r>
          </w:p>
        </w:tc>
        <w:tc>
          <w:tcPr>
            <w:tcW w:w="713" w:type="dxa"/>
            <w:tcBorders>
              <w:top w:val="nil"/>
              <w:left w:val="nil"/>
              <w:bottom w:val="single" w:sz="6" w:space="0" w:color="auto"/>
              <w:right w:val="single" w:sz="6" w:space="0" w:color="auto"/>
            </w:tcBorders>
            <w:shd w:val="clear" w:color="auto" w:fill="D9E1F2"/>
            <w:vAlign w:val="center"/>
            <w:hideMark/>
          </w:tcPr>
          <w:p w14:paraId="1EA94F93"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Si </w:t>
            </w:r>
          </w:p>
        </w:tc>
        <w:tc>
          <w:tcPr>
            <w:tcW w:w="657" w:type="dxa"/>
            <w:tcBorders>
              <w:top w:val="nil"/>
              <w:left w:val="nil"/>
              <w:bottom w:val="single" w:sz="6" w:space="0" w:color="auto"/>
              <w:right w:val="single" w:sz="6" w:space="0" w:color="auto"/>
            </w:tcBorders>
            <w:shd w:val="clear" w:color="auto" w:fill="D9E1F2"/>
            <w:vAlign w:val="center"/>
            <w:hideMark/>
          </w:tcPr>
          <w:p w14:paraId="605E8E65"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3 </w:t>
            </w:r>
          </w:p>
        </w:tc>
        <w:tc>
          <w:tcPr>
            <w:tcW w:w="2215" w:type="dxa"/>
            <w:tcBorders>
              <w:top w:val="nil"/>
              <w:left w:val="nil"/>
              <w:bottom w:val="single" w:sz="6" w:space="0" w:color="auto"/>
              <w:right w:val="single" w:sz="6" w:space="0" w:color="auto"/>
            </w:tcBorders>
            <w:shd w:val="clear" w:color="auto" w:fill="D9E1F2"/>
            <w:vAlign w:val="center"/>
            <w:hideMark/>
          </w:tcPr>
          <w:p w14:paraId="2689AA49" w14:textId="34B8AEE9"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Se cambia el alcance del proyecto, en virtud de lo conocido por el CS en sesión</w:t>
            </w:r>
            <w:r w:rsidRPr="00F262A5">
              <w:rPr>
                <w:rFonts w:ascii="Times New Roman" w:eastAsia="Times New Roman" w:hAnsi="Times New Roman" w:cs="Times New Roman"/>
                <w:color w:val="000000"/>
                <w:sz w:val="14"/>
                <w:szCs w:val="14"/>
                <w:lang w:eastAsia="es-CR"/>
              </w:rPr>
              <w:t> </w:t>
            </w:r>
            <w:r w:rsidRPr="00F262A5">
              <w:rPr>
                <w:rFonts w:ascii="Book Antiqua" w:eastAsia="Times New Roman" w:hAnsi="Book Antiqua" w:cs="Segoe UI"/>
                <w:color w:val="000000"/>
                <w:sz w:val="14"/>
                <w:szCs w:val="14"/>
                <w:lang w:eastAsia="es-CR"/>
              </w:rPr>
              <w:t xml:space="preserve"> N</w:t>
            </w:r>
            <w:r w:rsidRPr="00F262A5">
              <w:rPr>
                <w:rFonts w:ascii="Book Antiqua" w:eastAsia="Times New Roman" w:hAnsi="Book Antiqua" w:cs="Book Antiqua"/>
                <w:color w:val="000000"/>
                <w:sz w:val="14"/>
                <w:szCs w:val="14"/>
                <w:lang w:eastAsia="es-CR"/>
              </w:rPr>
              <w:t>°</w:t>
            </w:r>
            <w:r w:rsidRPr="00F262A5">
              <w:rPr>
                <w:rFonts w:ascii="Book Antiqua" w:eastAsia="Times New Roman" w:hAnsi="Book Antiqua" w:cs="Segoe UI"/>
                <w:color w:val="000000"/>
                <w:sz w:val="14"/>
                <w:szCs w:val="14"/>
                <w:lang w:eastAsia="es-CR"/>
              </w:rPr>
              <w:t xml:space="preserve"> 06-2023 celebrada el 24 de enero del 2023, </w:t>
            </w:r>
            <w:r w:rsidR="00A63E0E" w:rsidRPr="00F262A5">
              <w:rPr>
                <w:rFonts w:ascii="Book Antiqua" w:eastAsia="Times New Roman" w:hAnsi="Book Antiqua" w:cs="Segoe UI"/>
                <w:color w:val="000000"/>
                <w:sz w:val="14"/>
                <w:szCs w:val="14"/>
                <w:lang w:eastAsia="es-CR"/>
              </w:rPr>
              <w:t>art. XXXIV</w:t>
            </w:r>
            <w:r w:rsidRPr="00F262A5">
              <w:rPr>
                <w:rFonts w:ascii="Book Antiqua" w:eastAsia="Times New Roman" w:hAnsi="Book Antiqua" w:cs="Segoe UI"/>
                <w:color w:val="000000"/>
                <w:sz w:val="14"/>
                <w:szCs w:val="14"/>
                <w:lang w:eastAsia="es-CR"/>
              </w:rPr>
              <w:t xml:space="preserve">, en virtud de que la Dirección de Tecnología de la Información señaló que para la realización de mejoras tecnológicas se estimaba un tiempo hasta el 2032, y se posterga aún más hasta el 2027 de acuerdo </w:t>
            </w:r>
            <w:r w:rsidR="00D21B86">
              <w:rPr>
                <w:rFonts w:ascii="Book Antiqua" w:eastAsia="Times New Roman" w:hAnsi="Book Antiqua" w:cs="Segoe UI"/>
                <w:color w:val="000000"/>
                <w:sz w:val="14"/>
                <w:szCs w:val="14"/>
                <w:lang w:eastAsia="es-CR"/>
              </w:rPr>
              <w:t>con</w:t>
            </w:r>
            <w:r w:rsidRPr="00F262A5">
              <w:rPr>
                <w:rFonts w:ascii="Book Antiqua" w:eastAsia="Times New Roman" w:hAnsi="Book Antiqua" w:cs="Segoe UI"/>
                <w:color w:val="000000"/>
                <w:sz w:val="14"/>
                <w:szCs w:val="14"/>
                <w:lang w:eastAsia="es-CR"/>
              </w:rPr>
              <w:t xml:space="preserve"> reciente envío de cronograma correspondiente al avance DTI a abril 2023. </w:t>
            </w:r>
          </w:p>
        </w:tc>
        <w:tc>
          <w:tcPr>
            <w:tcW w:w="1275" w:type="dxa"/>
            <w:tcBorders>
              <w:top w:val="nil"/>
              <w:left w:val="nil"/>
              <w:bottom w:val="single" w:sz="6" w:space="0" w:color="auto"/>
              <w:right w:val="single" w:sz="6" w:space="0" w:color="auto"/>
            </w:tcBorders>
            <w:shd w:val="clear" w:color="auto" w:fill="D9E1F2"/>
            <w:vAlign w:val="center"/>
            <w:hideMark/>
          </w:tcPr>
          <w:p w14:paraId="0A567416"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w:t>
            </w:r>
          </w:p>
        </w:tc>
      </w:tr>
      <w:tr w:rsidR="007A1274" w:rsidRPr="00F262A5" w14:paraId="10EB24AB" w14:textId="77777777" w:rsidTr="007A1274">
        <w:trPr>
          <w:trHeight w:val="1200"/>
        </w:trPr>
        <w:tc>
          <w:tcPr>
            <w:tcW w:w="1429" w:type="dxa"/>
            <w:tcBorders>
              <w:top w:val="nil"/>
              <w:left w:val="single" w:sz="6" w:space="0" w:color="auto"/>
              <w:bottom w:val="single" w:sz="6" w:space="0" w:color="auto"/>
              <w:right w:val="single" w:sz="6" w:space="0" w:color="auto"/>
            </w:tcBorders>
            <w:shd w:val="clear" w:color="auto" w:fill="D9E1F2"/>
            <w:vAlign w:val="center"/>
            <w:hideMark/>
          </w:tcPr>
          <w:p w14:paraId="4CEEA888"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SUBPROCESO ESTADISTICA </w:t>
            </w:r>
          </w:p>
        </w:tc>
        <w:tc>
          <w:tcPr>
            <w:tcW w:w="629" w:type="dxa"/>
            <w:tcBorders>
              <w:top w:val="nil"/>
              <w:left w:val="nil"/>
              <w:bottom w:val="single" w:sz="6" w:space="0" w:color="auto"/>
              <w:right w:val="single" w:sz="6" w:space="0" w:color="auto"/>
            </w:tcBorders>
            <w:shd w:val="clear" w:color="auto" w:fill="D9E1F2"/>
            <w:vAlign w:val="center"/>
            <w:hideMark/>
          </w:tcPr>
          <w:p w14:paraId="7AC457B3"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0110-PLA-P01 </w:t>
            </w:r>
          </w:p>
        </w:tc>
        <w:tc>
          <w:tcPr>
            <w:tcW w:w="1408" w:type="dxa"/>
            <w:tcBorders>
              <w:top w:val="nil"/>
              <w:left w:val="nil"/>
              <w:bottom w:val="single" w:sz="6" w:space="0" w:color="auto"/>
              <w:right w:val="single" w:sz="6" w:space="0" w:color="auto"/>
            </w:tcBorders>
            <w:shd w:val="clear" w:color="auto" w:fill="D9E1F2"/>
            <w:vAlign w:val="center"/>
            <w:hideMark/>
          </w:tcPr>
          <w:p w14:paraId="59655640"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Automatización de Indicadores de Gestión </w:t>
            </w:r>
          </w:p>
        </w:tc>
        <w:tc>
          <w:tcPr>
            <w:tcW w:w="837" w:type="dxa"/>
            <w:tcBorders>
              <w:top w:val="nil"/>
              <w:left w:val="nil"/>
              <w:bottom w:val="single" w:sz="6" w:space="0" w:color="auto"/>
              <w:right w:val="single" w:sz="6" w:space="0" w:color="auto"/>
            </w:tcBorders>
            <w:shd w:val="clear" w:color="auto" w:fill="D9E1F2"/>
            <w:vAlign w:val="center"/>
            <w:hideMark/>
          </w:tcPr>
          <w:p w14:paraId="1FAAC891"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22/12/2023 </w:t>
            </w:r>
          </w:p>
        </w:tc>
        <w:tc>
          <w:tcPr>
            <w:tcW w:w="837" w:type="dxa"/>
            <w:tcBorders>
              <w:top w:val="nil"/>
              <w:left w:val="nil"/>
              <w:bottom w:val="single" w:sz="6" w:space="0" w:color="auto"/>
              <w:right w:val="single" w:sz="6" w:space="0" w:color="auto"/>
            </w:tcBorders>
            <w:shd w:val="clear" w:color="auto" w:fill="D9E1F2"/>
            <w:vAlign w:val="center"/>
            <w:hideMark/>
          </w:tcPr>
          <w:p w14:paraId="75DD2B0E"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10/01/2024 </w:t>
            </w:r>
          </w:p>
        </w:tc>
        <w:tc>
          <w:tcPr>
            <w:tcW w:w="786" w:type="dxa"/>
            <w:tcBorders>
              <w:top w:val="nil"/>
              <w:left w:val="nil"/>
              <w:bottom w:val="single" w:sz="6" w:space="0" w:color="auto"/>
              <w:right w:val="single" w:sz="6" w:space="0" w:color="auto"/>
            </w:tcBorders>
            <w:shd w:val="clear" w:color="auto" w:fill="D9E1F2"/>
            <w:vAlign w:val="center"/>
            <w:hideMark/>
          </w:tcPr>
          <w:p w14:paraId="40C9A3C2"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0,7 </w:t>
            </w:r>
          </w:p>
        </w:tc>
        <w:tc>
          <w:tcPr>
            <w:tcW w:w="713" w:type="dxa"/>
            <w:tcBorders>
              <w:top w:val="nil"/>
              <w:left w:val="nil"/>
              <w:bottom w:val="single" w:sz="6" w:space="0" w:color="auto"/>
              <w:right w:val="single" w:sz="6" w:space="0" w:color="auto"/>
            </w:tcBorders>
            <w:shd w:val="clear" w:color="auto" w:fill="D9E1F2"/>
            <w:vAlign w:val="center"/>
            <w:hideMark/>
          </w:tcPr>
          <w:p w14:paraId="129C2411"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Si </w:t>
            </w:r>
          </w:p>
        </w:tc>
        <w:tc>
          <w:tcPr>
            <w:tcW w:w="657" w:type="dxa"/>
            <w:tcBorders>
              <w:top w:val="nil"/>
              <w:left w:val="nil"/>
              <w:bottom w:val="single" w:sz="6" w:space="0" w:color="auto"/>
              <w:right w:val="single" w:sz="6" w:space="0" w:color="auto"/>
            </w:tcBorders>
            <w:shd w:val="clear" w:color="auto" w:fill="D9E1F2"/>
            <w:vAlign w:val="center"/>
            <w:hideMark/>
          </w:tcPr>
          <w:p w14:paraId="0B206ACF"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2 </w:t>
            </w:r>
          </w:p>
        </w:tc>
        <w:tc>
          <w:tcPr>
            <w:tcW w:w="2215" w:type="dxa"/>
            <w:tcBorders>
              <w:top w:val="nil"/>
              <w:left w:val="nil"/>
              <w:bottom w:val="single" w:sz="6" w:space="0" w:color="auto"/>
              <w:right w:val="single" w:sz="6" w:space="0" w:color="auto"/>
            </w:tcBorders>
            <w:shd w:val="clear" w:color="auto" w:fill="D9E1F2"/>
            <w:vAlign w:val="center"/>
            <w:hideMark/>
          </w:tcPr>
          <w:p w14:paraId="75AE3760" w14:textId="77777777" w:rsidR="00F262A5" w:rsidRPr="00F262A5" w:rsidRDefault="00F262A5" w:rsidP="007A1274">
            <w:pPr>
              <w:spacing w:after="0" w:line="240" w:lineRule="auto"/>
              <w:jc w:val="both"/>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1. Ajuste del cronograma del Proyecto Se realizan un cambio en el cronograma del proyecto, el cual corresponde a la inclusión de nuevas tareas correspondientes al diseño de indicadores para los juzgados penales, tribunales penales, tribunales de apelación de sentencia y juzgados de ejecución de la pena. </w:t>
            </w:r>
          </w:p>
        </w:tc>
        <w:tc>
          <w:tcPr>
            <w:tcW w:w="1275" w:type="dxa"/>
            <w:tcBorders>
              <w:top w:val="nil"/>
              <w:left w:val="nil"/>
              <w:bottom w:val="single" w:sz="6" w:space="0" w:color="auto"/>
              <w:right w:val="single" w:sz="6" w:space="0" w:color="auto"/>
            </w:tcBorders>
            <w:shd w:val="clear" w:color="auto" w:fill="D9E1F2"/>
            <w:vAlign w:val="center"/>
            <w:hideMark/>
          </w:tcPr>
          <w:p w14:paraId="378F5636" w14:textId="77777777" w:rsidR="00F262A5" w:rsidRPr="00F262A5" w:rsidRDefault="00F262A5" w:rsidP="00F262A5">
            <w:pPr>
              <w:spacing w:after="0" w:line="240" w:lineRule="auto"/>
              <w:jc w:val="center"/>
              <w:textAlignment w:val="baseline"/>
              <w:rPr>
                <w:rFonts w:ascii="Segoe UI" w:eastAsia="Times New Roman" w:hAnsi="Segoe UI" w:cs="Segoe UI"/>
                <w:sz w:val="18"/>
                <w:szCs w:val="18"/>
                <w:lang w:eastAsia="es-CR"/>
              </w:rPr>
            </w:pPr>
            <w:r w:rsidRPr="00F262A5">
              <w:rPr>
                <w:rFonts w:ascii="Book Antiqua" w:eastAsia="Times New Roman" w:hAnsi="Book Antiqua" w:cs="Segoe UI"/>
                <w:color w:val="000000"/>
                <w:sz w:val="14"/>
                <w:szCs w:val="14"/>
                <w:lang w:eastAsia="es-CR"/>
              </w:rPr>
              <w:t> </w:t>
            </w:r>
          </w:p>
        </w:tc>
      </w:tr>
    </w:tbl>
    <w:p w14:paraId="2040884F" w14:textId="56C56731" w:rsidR="00F71780" w:rsidRDefault="00F71780" w:rsidP="00F71780">
      <w:pPr>
        <w:spacing w:after="0"/>
        <w:jc w:val="both"/>
        <w:rPr>
          <w:rFonts w:ascii="Book Antiqua" w:hAnsi="Book Antiqua"/>
          <w:sz w:val="24"/>
          <w:szCs w:val="24"/>
        </w:rPr>
      </w:pPr>
      <w:r w:rsidRPr="00EA5A94">
        <w:rPr>
          <w:rFonts w:ascii="Book Antiqua" w:hAnsi="Book Antiqua"/>
          <w:b/>
          <w:sz w:val="20"/>
          <w:szCs w:val="20"/>
        </w:rPr>
        <w:t>Fuente:</w:t>
      </w:r>
      <w:r w:rsidRPr="00EA5A94">
        <w:rPr>
          <w:rFonts w:ascii="Book Antiqua" w:hAnsi="Book Antiqua"/>
          <w:sz w:val="20"/>
          <w:szCs w:val="20"/>
        </w:rPr>
        <w:t xml:space="preserve"> Elaboración propia con datos e información suministrada en el repositorio del MS Project Online</w:t>
      </w:r>
    </w:p>
    <w:p w14:paraId="66BA07FA" w14:textId="77777777" w:rsidR="00F71780" w:rsidRDefault="00F71780" w:rsidP="00F71780">
      <w:pPr>
        <w:spacing w:after="0"/>
        <w:jc w:val="both"/>
        <w:rPr>
          <w:rFonts w:ascii="Book Antiqua" w:hAnsi="Book Antiqua"/>
          <w:sz w:val="24"/>
          <w:szCs w:val="24"/>
        </w:rPr>
      </w:pPr>
    </w:p>
    <w:p w14:paraId="303C4964" w14:textId="343AF3DD" w:rsidR="00F71780" w:rsidRDefault="00B33DB9" w:rsidP="00F71780">
      <w:pPr>
        <w:spacing w:after="0"/>
        <w:jc w:val="both"/>
        <w:rPr>
          <w:rStyle w:val="eop"/>
          <w:rFonts w:ascii="Book Antiqua" w:hAnsi="Book Antiqua"/>
          <w:color w:val="000000"/>
          <w:sz w:val="24"/>
          <w:szCs w:val="24"/>
          <w:shd w:val="clear" w:color="auto" w:fill="FFFFFF"/>
        </w:rPr>
      </w:pPr>
      <w:r w:rsidRPr="00F20A0C">
        <w:rPr>
          <w:rStyle w:val="normaltextrun"/>
          <w:rFonts w:ascii="Book Antiqua" w:hAnsi="Book Antiqua"/>
          <w:color w:val="000000"/>
          <w:sz w:val="24"/>
          <w:szCs w:val="24"/>
          <w:shd w:val="clear" w:color="auto" w:fill="FFFFFF"/>
        </w:rPr>
        <w:t xml:space="preserve">En el siguiente gráfico se muestra el rango de incremento en la duración de los cronogramas contemplando si estos cuentan o con permiso con goce; es importante que las partes </w:t>
      </w:r>
      <w:r w:rsidRPr="00F20A0C">
        <w:rPr>
          <w:rStyle w:val="normaltextrun"/>
          <w:rFonts w:ascii="Book Antiqua" w:hAnsi="Book Antiqua"/>
          <w:b/>
          <w:bCs/>
          <w:color w:val="000000"/>
          <w:sz w:val="24"/>
          <w:szCs w:val="24"/>
          <w:u w:val="single"/>
          <w:shd w:val="clear" w:color="auto" w:fill="FFFFFF"/>
        </w:rPr>
        <w:t>interesadas, observen con principal detalle los proyectos que incrementan en más de 1 año sus cronogramas y poseen permisos con goce de salario, esto con el fin de evaluar el impacto de dichos cambios, y así poder determinar las acciones o medidas a tomar, para que los incrementos no sean tan significativos.</w:t>
      </w:r>
      <w:r w:rsidRPr="00F20A0C">
        <w:rPr>
          <w:rStyle w:val="eop"/>
          <w:rFonts w:ascii="Book Antiqua" w:hAnsi="Book Antiqua"/>
          <w:color w:val="000000"/>
          <w:sz w:val="24"/>
          <w:szCs w:val="24"/>
          <w:shd w:val="clear" w:color="auto" w:fill="FFFFFF"/>
        </w:rPr>
        <w:t> </w:t>
      </w:r>
    </w:p>
    <w:p w14:paraId="41317260" w14:textId="77777777" w:rsidR="00D21B86" w:rsidRDefault="00D21B86" w:rsidP="00F71780">
      <w:pPr>
        <w:spacing w:after="0"/>
        <w:jc w:val="both"/>
        <w:rPr>
          <w:rStyle w:val="eop"/>
          <w:rFonts w:ascii="Book Antiqua" w:hAnsi="Book Antiqua"/>
          <w:color w:val="000000"/>
          <w:sz w:val="24"/>
          <w:szCs w:val="24"/>
          <w:shd w:val="clear" w:color="auto" w:fill="FFFFFF"/>
        </w:rPr>
      </w:pPr>
    </w:p>
    <w:p w14:paraId="776CED9C" w14:textId="77777777" w:rsidR="00D21B86" w:rsidRDefault="00D21B86" w:rsidP="00F71780">
      <w:pPr>
        <w:spacing w:after="0"/>
        <w:jc w:val="both"/>
        <w:rPr>
          <w:rStyle w:val="eop"/>
          <w:rFonts w:ascii="Book Antiqua" w:hAnsi="Book Antiqua"/>
          <w:color w:val="000000"/>
          <w:sz w:val="24"/>
          <w:szCs w:val="24"/>
          <w:shd w:val="clear" w:color="auto" w:fill="FFFFFF"/>
        </w:rPr>
      </w:pPr>
    </w:p>
    <w:p w14:paraId="22EEF331" w14:textId="77777777" w:rsidR="00D21B86" w:rsidRDefault="00D21B86" w:rsidP="00F71780">
      <w:pPr>
        <w:spacing w:after="0"/>
        <w:jc w:val="both"/>
        <w:rPr>
          <w:rStyle w:val="eop"/>
          <w:rFonts w:ascii="Book Antiqua" w:hAnsi="Book Antiqua"/>
          <w:color w:val="000000"/>
          <w:sz w:val="24"/>
          <w:szCs w:val="24"/>
          <w:shd w:val="clear" w:color="auto" w:fill="FFFFFF"/>
        </w:rPr>
      </w:pPr>
    </w:p>
    <w:p w14:paraId="7330815D" w14:textId="77777777" w:rsidR="00D21B86" w:rsidRDefault="00D21B86" w:rsidP="00F71780">
      <w:pPr>
        <w:spacing w:after="0"/>
        <w:jc w:val="both"/>
        <w:rPr>
          <w:rStyle w:val="eop"/>
          <w:rFonts w:ascii="Book Antiqua" w:hAnsi="Book Antiqua"/>
          <w:color w:val="000000"/>
          <w:sz w:val="24"/>
          <w:szCs w:val="24"/>
          <w:shd w:val="clear" w:color="auto" w:fill="FFFFFF"/>
        </w:rPr>
      </w:pPr>
    </w:p>
    <w:p w14:paraId="5F8D7AAD" w14:textId="77777777" w:rsidR="00D21B86" w:rsidRDefault="00D21B86" w:rsidP="00F71780">
      <w:pPr>
        <w:spacing w:after="0"/>
        <w:jc w:val="both"/>
        <w:rPr>
          <w:rStyle w:val="eop"/>
          <w:rFonts w:ascii="Book Antiqua" w:hAnsi="Book Antiqua"/>
          <w:color w:val="000000"/>
          <w:sz w:val="24"/>
          <w:szCs w:val="24"/>
          <w:shd w:val="clear" w:color="auto" w:fill="FFFFFF"/>
        </w:rPr>
      </w:pPr>
    </w:p>
    <w:p w14:paraId="190184CE" w14:textId="77777777" w:rsidR="00D21B86" w:rsidRPr="00F20A0C" w:rsidRDefault="00D21B86" w:rsidP="00F71780">
      <w:pPr>
        <w:spacing w:after="0"/>
        <w:jc w:val="both"/>
        <w:rPr>
          <w:rStyle w:val="eop"/>
          <w:rFonts w:ascii="Book Antiqua" w:hAnsi="Book Antiqua"/>
          <w:color w:val="000000"/>
          <w:sz w:val="24"/>
          <w:szCs w:val="24"/>
          <w:shd w:val="clear" w:color="auto" w:fill="FFFFFF"/>
        </w:rPr>
      </w:pPr>
    </w:p>
    <w:p w14:paraId="313B18F6" w14:textId="77777777" w:rsidR="00B33DB9" w:rsidRDefault="00B33DB9" w:rsidP="00F71780">
      <w:pPr>
        <w:spacing w:after="0"/>
        <w:jc w:val="both"/>
        <w:rPr>
          <w:rFonts w:ascii="Book Antiqua" w:hAnsi="Book Antiqua"/>
          <w:sz w:val="24"/>
          <w:szCs w:val="24"/>
        </w:rPr>
      </w:pPr>
    </w:p>
    <w:p w14:paraId="13D8497D" w14:textId="2C1AEA86" w:rsidR="00F71780" w:rsidRPr="00B71DC7" w:rsidRDefault="00F71780" w:rsidP="00F71780">
      <w:pPr>
        <w:spacing w:after="0"/>
        <w:jc w:val="center"/>
        <w:rPr>
          <w:rFonts w:ascii="Book Antiqua" w:hAnsi="Book Antiqua"/>
          <w:b/>
          <w:bCs/>
          <w:sz w:val="24"/>
          <w:szCs w:val="24"/>
        </w:rPr>
      </w:pPr>
      <w:bookmarkStart w:id="94" w:name="_Hlk120776168"/>
      <w:r w:rsidRPr="003F6F2C">
        <w:rPr>
          <w:rFonts w:ascii="Book Antiqua" w:hAnsi="Book Antiqua"/>
          <w:b/>
          <w:bCs/>
          <w:sz w:val="24"/>
          <w:szCs w:val="24"/>
        </w:rPr>
        <w:lastRenderedPageBreak/>
        <w:t xml:space="preserve">Figura </w:t>
      </w:r>
      <w:r w:rsidRPr="003F6F2C">
        <w:rPr>
          <w:rFonts w:ascii="Book Antiqua" w:hAnsi="Book Antiqua"/>
          <w:b/>
          <w:bCs/>
          <w:sz w:val="24"/>
          <w:szCs w:val="24"/>
        </w:rPr>
        <w:fldChar w:fldCharType="begin"/>
      </w:r>
      <w:r w:rsidRPr="003F6F2C">
        <w:rPr>
          <w:rFonts w:ascii="Book Antiqua" w:hAnsi="Book Antiqua"/>
          <w:b/>
          <w:bCs/>
          <w:sz w:val="24"/>
          <w:szCs w:val="24"/>
        </w:rPr>
        <w:instrText xml:space="preserve"> SEQ Figura \* ARABIC </w:instrText>
      </w:r>
      <w:r w:rsidRPr="003F6F2C">
        <w:rPr>
          <w:rFonts w:ascii="Book Antiqua" w:hAnsi="Book Antiqua"/>
          <w:b/>
          <w:bCs/>
          <w:sz w:val="24"/>
          <w:szCs w:val="24"/>
        </w:rPr>
        <w:fldChar w:fldCharType="separate"/>
      </w:r>
      <w:r w:rsidR="00A63E0E">
        <w:rPr>
          <w:rFonts w:ascii="Book Antiqua" w:hAnsi="Book Antiqua"/>
          <w:b/>
          <w:bCs/>
          <w:noProof/>
          <w:sz w:val="24"/>
          <w:szCs w:val="24"/>
        </w:rPr>
        <w:t>4</w:t>
      </w:r>
      <w:r w:rsidRPr="003F6F2C">
        <w:rPr>
          <w:rFonts w:ascii="Book Antiqua" w:hAnsi="Book Antiqua"/>
          <w:b/>
          <w:bCs/>
          <w:sz w:val="24"/>
          <w:szCs w:val="24"/>
        </w:rPr>
        <w:fldChar w:fldCharType="end"/>
      </w:r>
      <w:bookmarkEnd w:id="94"/>
      <w:r>
        <w:rPr>
          <w:rFonts w:ascii="Book Antiqua" w:hAnsi="Book Antiqua"/>
          <w:b/>
          <w:bCs/>
          <w:i/>
          <w:iCs/>
          <w:sz w:val="24"/>
          <w:szCs w:val="24"/>
        </w:rPr>
        <w:t xml:space="preserve"> </w:t>
      </w:r>
      <w:r w:rsidRPr="00B71DC7">
        <w:rPr>
          <w:rFonts w:ascii="Book Antiqua" w:hAnsi="Book Antiqua"/>
          <w:b/>
          <w:bCs/>
          <w:sz w:val="24"/>
          <w:szCs w:val="24"/>
        </w:rPr>
        <w:t>Cantidad de proyectos y rangos de incremento en la duración del cronograma</w:t>
      </w:r>
      <w:r>
        <w:rPr>
          <w:rFonts w:ascii="Book Antiqua" w:hAnsi="Book Antiqua"/>
          <w:b/>
          <w:bCs/>
          <w:sz w:val="24"/>
          <w:szCs w:val="24"/>
        </w:rPr>
        <w:t xml:space="preserve"> contemplando si cuentan o no con permisos con goce</w:t>
      </w:r>
      <w:r w:rsidR="00D21B86">
        <w:rPr>
          <w:rFonts w:ascii="Book Antiqua" w:hAnsi="Book Antiqua"/>
          <w:b/>
          <w:bCs/>
          <w:sz w:val="24"/>
          <w:szCs w:val="24"/>
        </w:rPr>
        <w:t xml:space="preserve"> de salario</w:t>
      </w:r>
    </w:p>
    <w:p w14:paraId="02223BAF" w14:textId="4FCB8348" w:rsidR="00B33DB9" w:rsidRDefault="00B33DB9" w:rsidP="00F71780">
      <w:pPr>
        <w:spacing w:after="0"/>
        <w:jc w:val="center"/>
        <w:rPr>
          <w:rFonts w:ascii="Book Antiqua" w:hAnsi="Book Antiqua"/>
          <w:sz w:val="24"/>
          <w:szCs w:val="24"/>
          <w:highlight w:val="yellow"/>
        </w:rPr>
      </w:pPr>
      <w:r>
        <w:rPr>
          <w:rFonts w:ascii="Book Antiqua" w:hAnsi="Book Antiqua"/>
          <w:noProof/>
          <w:highlight w:val="yellow"/>
        </w:rPr>
        <w:drawing>
          <wp:inline distT="0" distB="0" distL="0" distR="0" wp14:anchorId="5CE00DE9" wp14:editId="2496FF43">
            <wp:extent cx="4709795" cy="2493010"/>
            <wp:effectExtent l="0" t="0" r="0" b="2540"/>
            <wp:docPr id="45" name="Picture 45" descr="Gráfico, Gráfico de barras,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Gráfico, Gráfico de barras, Gráfico en cascada&#10;&#10;Descripción generada automáticament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09795" cy="2493010"/>
                    </a:xfrm>
                    <a:prstGeom prst="rect">
                      <a:avLst/>
                    </a:prstGeom>
                    <a:noFill/>
                    <a:ln>
                      <a:noFill/>
                    </a:ln>
                  </pic:spPr>
                </pic:pic>
              </a:graphicData>
            </a:graphic>
          </wp:inline>
        </w:drawing>
      </w:r>
    </w:p>
    <w:p w14:paraId="592E4270" w14:textId="77777777" w:rsidR="00F71780" w:rsidRPr="00EF4E17" w:rsidRDefault="00F71780" w:rsidP="00EF4E17">
      <w:pPr>
        <w:spacing w:after="0"/>
        <w:ind w:firstLine="708"/>
        <w:jc w:val="both"/>
        <w:rPr>
          <w:rFonts w:ascii="Book Antiqua" w:hAnsi="Book Antiqua"/>
          <w:sz w:val="18"/>
          <w:szCs w:val="18"/>
        </w:rPr>
      </w:pPr>
      <w:r w:rsidRPr="00EF4E17">
        <w:rPr>
          <w:rFonts w:ascii="Book Antiqua" w:hAnsi="Book Antiqua"/>
          <w:b/>
          <w:bCs/>
          <w:sz w:val="18"/>
          <w:szCs w:val="18"/>
        </w:rPr>
        <w:t>Fuente:</w:t>
      </w:r>
      <w:r w:rsidRPr="00EF4E17">
        <w:rPr>
          <w:rFonts w:ascii="Book Antiqua" w:hAnsi="Book Antiqua"/>
          <w:sz w:val="18"/>
          <w:szCs w:val="18"/>
        </w:rPr>
        <w:t xml:space="preserve"> Elaboración propia con información del MS Project Online.</w:t>
      </w:r>
    </w:p>
    <w:p w14:paraId="5EB7ABA9" w14:textId="77777777" w:rsidR="00F71780" w:rsidRDefault="00F71780" w:rsidP="00F71780">
      <w:pPr>
        <w:spacing w:after="0"/>
        <w:jc w:val="both"/>
        <w:rPr>
          <w:rFonts w:ascii="Book Antiqua" w:hAnsi="Book Antiqua"/>
          <w:sz w:val="24"/>
          <w:szCs w:val="24"/>
          <w:highlight w:val="yellow"/>
        </w:rPr>
      </w:pPr>
    </w:p>
    <w:p w14:paraId="31D6ABC9" w14:textId="51CCB95F" w:rsidR="00F71780" w:rsidRPr="00B33DB9" w:rsidRDefault="00B33DB9" w:rsidP="00F71780">
      <w:pPr>
        <w:spacing w:after="0"/>
        <w:jc w:val="both"/>
        <w:rPr>
          <w:rStyle w:val="eop"/>
          <w:rFonts w:ascii="Book Antiqua" w:hAnsi="Book Antiqua"/>
          <w:color w:val="000000"/>
          <w:sz w:val="24"/>
          <w:szCs w:val="24"/>
          <w:shd w:val="clear" w:color="auto" w:fill="FFFFFF"/>
        </w:rPr>
      </w:pPr>
      <w:r w:rsidRPr="00B33DB9">
        <w:rPr>
          <w:rStyle w:val="normaltextrun"/>
          <w:rFonts w:ascii="Book Antiqua" w:hAnsi="Book Antiqua"/>
          <w:color w:val="000000"/>
          <w:sz w:val="24"/>
          <w:szCs w:val="24"/>
          <w:shd w:val="clear" w:color="auto" w:fill="FFFFFF"/>
        </w:rPr>
        <w:t xml:space="preserve">Además, se tienen un total de </w:t>
      </w:r>
      <w:r w:rsidR="005B7561">
        <w:rPr>
          <w:rStyle w:val="normaltextrun"/>
          <w:rFonts w:ascii="Book Antiqua" w:hAnsi="Book Antiqua"/>
          <w:color w:val="000000"/>
          <w:sz w:val="24"/>
          <w:szCs w:val="24"/>
          <w:shd w:val="clear" w:color="auto" w:fill="FFFFFF"/>
        </w:rPr>
        <w:t>5</w:t>
      </w:r>
      <w:r w:rsidRPr="00B33DB9">
        <w:rPr>
          <w:rStyle w:val="normaltextrun"/>
          <w:rFonts w:ascii="Book Antiqua" w:hAnsi="Book Antiqua"/>
          <w:color w:val="000000"/>
          <w:sz w:val="24"/>
          <w:szCs w:val="24"/>
          <w:shd w:val="clear" w:color="auto" w:fill="FFFFFF"/>
        </w:rPr>
        <w:t xml:space="preserve"> proyectos que a partir de los cambios formulados se da una disminución en la duración del proyecto, la lista de los mismos se puede observar en la siguiente tabla:</w:t>
      </w:r>
      <w:r w:rsidRPr="00B33DB9">
        <w:rPr>
          <w:rStyle w:val="eop"/>
          <w:rFonts w:ascii="Book Antiqua" w:hAnsi="Book Antiqua"/>
          <w:color w:val="000000"/>
          <w:sz w:val="24"/>
          <w:szCs w:val="24"/>
          <w:shd w:val="clear" w:color="auto" w:fill="FFFFFF"/>
        </w:rPr>
        <w:t> </w:t>
      </w:r>
    </w:p>
    <w:p w14:paraId="5486F8C1" w14:textId="77777777" w:rsidR="00B33DB9" w:rsidRDefault="00B33DB9" w:rsidP="00F71780">
      <w:pPr>
        <w:spacing w:after="0"/>
        <w:jc w:val="both"/>
        <w:rPr>
          <w:rFonts w:ascii="Book Antiqua" w:hAnsi="Book Antiqua"/>
          <w:sz w:val="24"/>
          <w:szCs w:val="24"/>
        </w:rPr>
      </w:pPr>
    </w:p>
    <w:p w14:paraId="13890B33" w14:textId="2898D45D" w:rsidR="00F71780" w:rsidRDefault="00F71780" w:rsidP="00F71780">
      <w:pPr>
        <w:pStyle w:val="Descripcin"/>
        <w:keepNext/>
        <w:spacing w:after="0"/>
        <w:jc w:val="center"/>
        <w:rPr>
          <w:rFonts w:ascii="Book Antiqua" w:hAnsi="Book Antiqua" w:cs="&amp;quot"/>
          <w:b/>
          <w:i w:val="0"/>
          <w:iCs w:val="0"/>
          <w:color w:val="auto"/>
          <w:sz w:val="24"/>
          <w:szCs w:val="24"/>
        </w:rPr>
      </w:pPr>
      <w:bookmarkStart w:id="95" w:name="_Toc131155949"/>
      <w:r w:rsidRPr="00A7495E">
        <w:rPr>
          <w:rFonts w:ascii="Book Antiqua" w:hAnsi="Book Antiqua" w:cs="&amp;quot"/>
          <w:b/>
          <w:i w:val="0"/>
          <w:iCs w:val="0"/>
          <w:color w:val="auto"/>
          <w:sz w:val="24"/>
          <w:szCs w:val="24"/>
        </w:rPr>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3C2EFD">
        <w:rPr>
          <w:rFonts w:ascii="Book Antiqua" w:hAnsi="Book Antiqua" w:cs="&amp;quot"/>
          <w:b/>
          <w:i w:val="0"/>
          <w:iCs w:val="0"/>
          <w:noProof/>
          <w:color w:val="auto"/>
          <w:sz w:val="24"/>
          <w:szCs w:val="24"/>
        </w:rPr>
        <w:t>26</w:t>
      </w:r>
      <w:r w:rsidRPr="00A7495E">
        <w:rPr>
          <w:rFonts w:ascii="Book Antiqua" w:hAnsi="Book Antiqua" w:cs="&amp;quot"/>
          <w:b/>
          <w:i w:val="0"/>
          <w:iCs w:val="0"/>
          <w:color w:val="auto"/>
          <w:sz w:val="24"/>
          <w:szCs w:val="24"/>
        </w:rPr>
        <w:fldChar w:fldCharType="end"/>
      </w:r>
      <w:r w:rsidRPr="00A7495E">
        <w:rPr>
          <w:rFonts w:ascii="Book Antiqua" w:hAnsi="Book Antiqua" w:cs="&amp;quot"/>
          <w:b/>
          <w:i w:val="0"/>
          <w:iCs w:val="0"/>
          <w:color w:val="auto"/>
          <w:sz w:val="24"/>
          <w:szCs w:val="24"/>
        </w:rPr>
        <w:t xml:space="preserve"> Proyectos estratégicos que disminuyeron su fecha de finalización</w:t>
      </w:r>
      <w:bookmarkEnd w:id="95"/>
    </w:p>
    <w:tbl>
      <w:tblPr>
        <w:tblW w:w="0"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56"/>
        <w:gridCol w:w="2936"/>
        <w:gridCol w:w="1353"/>
        <w:gridCol w:w="1113"/>
        <w:gridCol w:w="1132"/>
        <w:gridCol w:w="1324"/>
      </w:tblGrid>
      <w:tr w:rsidR="005B7561" w:rsidRPr="005B7561" w14:paraId="4E1FE639" w14:textId="77777777" w:rsidTr="005B7561">
        <w:trPr>
          <w:trHeight w:val="435"/>
          <w:jc w:val="center"/>
        </w:trPr>
        <w:tc>
          <w:tcPr>
            <w:tcW w:w="1260"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56387916" w14:textId="77777777"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b/>
                <w:bCs/>
                <w:color w:val="FFFFFF"/>
                <w:sz w:val="16"/>
                <w:szCs w:val="16"/>
                <w:lang w:eastAsia="es-CR"/>
              </w:rPr>
              <w:t>Código</w:t>
            </w:r>
            <w:r w:rsidRPr="005B7561">
              <w:rPr>
                <w:rFonts w:ascii="Book Antiqua" w:eastAsia="Times New Roman" w:hAnsi="Book Antiqua" w:cs="Segoe UI"/>
                <w:color w:val="FFFFFF"/>
                <w:sz w:val="16"/>
                <w:szCs w:val="16"/>
                <w:lang w:eastAsia="es-CR"/>
              </w:rPr>
              <w:t> </w:t>
            </w:r>
          </w:p>
        </w:tc>
        <w:tc>
          <w:tcPr>
            <w:tcW w:w="3540"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4F8A11F8" w14:textId="77777777"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b/>
                <w:bCs/>
                <w:color w:val="FFFFFF"/>
                <w:sz w:val="16"/>
                <w:szCs w:val="16"/>
                <w:lang w:eastAsia="es-CR"/>
              </w:rPr>
              <w:t>Nombre del proyecto</w:t>
            </w:r>
            <w:r w:rsidRPr="005B7561">
              <w:rPr>
                <w:rFonts w:ascii="Book Antiqua" w:eastAsia="Times New Roman" w:hAnsi="Book Antiqua" w:cs="Segoe UI"/>
                <w:color w:val="FFFFFF"/>
                <w:sz w:val="16"/>
                <w:szCs w:val="16"/>
                <w:lang w:eastAsia="es-CR"/>
              </w:rPr>
              <w:t> </w:t>
            </w:r>
          </w:p>
        </w:tc>
        <w:tc>
          <w:tcPr>
            <w:tcW w:w="1545"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7EE0465C" w14:textId="77777777"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b/>
                <w:bCs/>
                <w:color w:val="FFFFFF"/>
                <w:sz w:val="16"/>
                <w:szCs w:val="16"/>
                <w:lang w:eastAsia="es-CR"/>
              </w:rPr>
              <w:t>Fecha de Finalización reportada al 31-10-2022</w:t>
            </w:r>
            <w:r w:rsidRPr="005B7561">
              <w:rPr>
                <w:rFonts w:ascii="Book Antiqua" w:eastAsia="Times New Roman" w:hAnsi="Book Antiqua" w:cs="Segoe UI"/>
                <w:color w:val="FFFFFF"/>
                <w:sz w:val="16"/>
                <w:szCs w:val="16"/>
                <w:lang w:eastAsia="es-CR"/>
              </w:rPr>
              <w:t> </w:t>
            </w:r>
          </w:p>
        </w:tc>
        <w:tc>
          <w:tcPr>
            <w:tcW w:w="1200"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7CF82D81" w14:textId="77777777"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b/>
                <w:bCs/>
                <w:color w:val="FFFFFF"/>
                <w:sz w:val="16"/>
                <w:szCs w:val="16"/>
                <w:lang w:eastAsia="es-CR"/>
              </w:rPr>
              <w:t>Fecha de Finalización Nueva</w:t>
            </w:r>
            <w:r w:rsidRPr="005B7561">
              <w:rPr>
                <w:rFonts w:ascii="Book Antiqua" w:eastAsia="Times New Roman" w:hAnsi="Book Antiqua" w:cs="Segoe UI"/>
                <w:color w:val="FFFFFF"/>
                <w:sz w:val="16"/>
                <w:szCs w:val="16"/>
                <w:lang w:eastAsia="es-CR"/>
              </w:rPr>
              <w:t> </w:t>
            </w:r>
          </w:p>
        </w:tc>
        <w:tc>
          <w:tcPr>
            <w:tcW w:w="1200"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57F6B841" w14:textId="77777777"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b/>
                <w:bCs/>
                <w:color w:val="FFFFFF"/>
                <w:sz w:val="16"/>
                <w:szCs w:val="16"/>
                <w:lang w:eastAsia="es-CR"/>
              </w:rPr>
              <w:t>Disminución / meses</w:t>
            </w:r>
            <w:r w:rsidRPr="005B7561">
              <w:rPr>
                <w:rFonts w:ascii="Book Antiqua" w:eastAsia="Times New Roman" w:hAnsi="Book Antiqua" w:cs="Segoe UI"/>
                <w:color w:val="FFFFFF"/>
                <w:sz w:val="16"/>
                <w:szCs w:val="16"/>
                <w:lang w:eastAsia="es-CR"/>
              </w:rPr>
              <w:t> </w:t>
            </w:r>
          </w:p>
        </w:tc>
        <w:tc>
          <w:tcPr>
            <w:tcW w:w="1560"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2F078256" w14:textId="77777777"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b/>
                <w:bCs/>
                <w:color w:val="FFFFFF"/>
                <w:sz w:val="16"/>
                <w:szCs w:val="16"/>
                <w:lang w:eastAsia="es-CR"/>
              </w:rPr>
              <w:t>¿Tienen permisos con goce de salario asignado?</w:t>
            </w:r>
            <w:r w:rsidRPr="005B7561">
              <w:rPr>
                <w:rFonts w:ascii="Book Antiqua" w:eastAsia="Times New Roman" w:hAnsi="Book Antiqua" w:cs="Segoe UI"/>
                <w:color w:val="FFFFFF"/>
                <w:sz w:val="16"/>
                <w:szCs w:val="16"/>
                <w:lang w:eastAsia="es-CR"/>
              </w:rPr>
              <w:t> </w:t>
            </w:r>
          </w:p>
        </w:tc>
      </w:tr>
      <w:tr w:rsidR="005B7561" w:rsidRPr="005B7561" w14:paraId="0E87F16F" w14:textId="77777777" w:rsidTr="005B7561">
        <w:trPr>
          <w:trHeight w:val="465"/>
          <w:jc w:val="center"/>
        </w:trPr>
        <w:tc>
          <w:tcPr>
            <w:tcW w:w="12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8CFEF66" w14:textId="35F05F0F"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0117-DE-P07</w:t>
            </w:r>
          </w:p>
        </w:tc>
        <w:tc>
          <w:tcPr>
            <w:tcW w:w="35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1FFBF7" w14:textId="617B8B5A"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Torre Anexa y Reacondicionamiento Eléctrico Edificio III Circuito Judicial Alajuela</w:t>
            </w:r>
          </w:p>
        </w:tc>
        <w:tc>
          <w:tcPr>
            <w:tcW w:w="154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211F964" w14:textId="5B9DF1C8"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26/02/2026</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6992FD1" w14:textId="555169AF"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18/04/2025</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DCC517F" w14:textId="2F504B39"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11</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25F568B" w14:textId="36628BB8"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No</w:t>
            </w:r>
          </w:p>
        </w:tc>
      </w:tr>
      <w:tr w:rsidR="005B7561" w:rsidRPr="005B7561" w14:paraId="61A18187" w14:textId="77777777" w:rsidTr="005B7561">
        <w:trPr>
          <w:trHeight w:val="480"/>
          <w:jc w:val="center"/>
        </w:trPr>
        <w:tc>
          <w:tcPr>
            <w:tcW w:w="12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045E820" w14:textId="7D96ECA7"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0134-DGH-P17</w:t>
            </w:r>
          </w:p>
        </w:tc>
        <w:tc>
          <w:tcPr>
            <w:tcW w:w="35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4E6BAF6" w14:textId="2201C891"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Proyecto Ley N°10159 Marco de Empleo Público</w:t>
            </w:r>
          </w:p>
        </w:tc>
        <w:tc>
          <w:tcPr>
            <w:tcW w:w="154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29F5712" w14:textId="39782CEE"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12/06/2025</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5DC1000" w14:textId="52608086"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30/12/2024</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65EAE43" w14:textId="5B2F7B41"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6</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9501E27" w14:textId="47986001"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Si</w:t>
            </w:r>
          </w:p>
        </w:tc>
      </w:tr>
      <w:tr w:rsidR="005B7561" w:rsidRPr="005B7561" w14:paraId="18736ADB" w14:textId="77777777" w:rsidTr="005B7561">
        <w:trPr>
          <w:trHeight w:val="405"/>
          <w:jc w:val="center"/>
        </w:trPr>
        <w:tc>
          <w:tcPr>
            <w:tcW w:w="12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BF2FD33" w14:textId="3BA7D5B7"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0653-DP-P14</w:t>
            </w:r>
          </w:p>
        </w:tc>
        <w:tc>
          <w:tcPr>
            <w:tcW w:w="35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3E84940" w14:textId="30BE8EAB"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Desarrollo e Implantación Sistema Observatorio Judicial</w:t>
            </w:r>
          </w:p>
        </w:tc>
        <w:tc>
          <w:tcPr>
            <w:tcW w:w="154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14EC6D0" w14:textId="19741103"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14/12/2027</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62DD3A2" w14:textId="14BD603B"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11/06/2027</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71CBEEC" w14:textId="40217D7E"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6</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4D55D91" w14:textId="5FD81E3E"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Si</w:t>
            </w:r>
          </w:p>
        </w:tc>
      </w:tr>
      <w:tr w:rsidR="005B7561" w:rsidRPr="005B7561" w14:paraId="0E50B8B8" w14:textId="77777777" w:rsidTr="005B7561">
        <w:trPr>
          <w:trHeight w:val="405"/>
          <w:jc w:val="center"/>
        </w:trPr>
        <w:tc>
          <w:tcPr>
            <w:tcW w:w="12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ED70B9B" w14:textId="010D17B4"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0717-MP-P05</w:t>
            </w:r>
          </w:p>
        </w:tc>
        <w:tc>
          <w:tcPr>
            <w:tcW w:w="35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AE50E0E" w14:textId="6E530C6F"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Estrategia de Capacitación del Ministerio Público</w:t>
            </w:r>
          </w:p>
        </w:tc>
        <w:tc>
          <w:tcPr>
            <w:tcW w:w="154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058F346" w14:textId="0310F970"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01/12/2025</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F798324" w14:textId="3D3DE720"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19/06/2025</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3A8FD8F" w14:textId="0AD87B44"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6</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5141405" w14:textId="2DFD9282"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Si</w:t>
            </w:r>
          </w:p>
        </w:tc>
      </w:tr>
      <w:tr w:rsidR="005B7561" w:rsidRPr="005B7561" w14:paraId="2D3BA965" w14:textId="77777777" w:rsidTr="005B7561">
        <w:trPr>
          <w:trHeight w:val="405"/>
          <w:jc w:val="center"/>
        </w:trPr>
        <w:tc>
          <w:tcPr>
            <w:tcW w:w="12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9CB2776" w14:textId="73EA3E8B"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0717-MP-P03</w:t>
            </w:r>
          </w:p>
        </w:tc>
        <w:tc>
          <w:tcPr>
            <w:tcW w:w="35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1B5B1B0" w14:textId="7C6E58F9"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Modelo de abordaje en casos penales con poblaciones vulnerables y vulnerabilizadas</w:t>
            </w:r>
          </w:p>
        </w:tc>
        <w:tc>
          <w:tcPr>
            <w:tcW w:w="154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26E5BEC" w14:textId="305839AD"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24/01/2025</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EC91BF0" w14:textId="43A96702"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19/12/2024</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441B0A9" w14:textId="54E1844D"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1</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7233882" w14:textId="6A9D703C" w:rsidR="005B7561" w:rsidRPr="005B7561" w:rsidRDefault="005B7561" w:rsidP="005B7561">
            <w:pPr>
              <w:spacing w:after="0" w:line="240" w:lineRule="auto"/>
              <w:jc w:val="center"/>
              <w:textAlignment w:val="baseline"/>
              <w:rPr>
                <w:rFonts w:ascii="Segoe UI" w:eastAsia="Times New Roman" w:hAnsi="Segoe UI" w:cs="Segoe UI"/>
                <w:sz w:val="18"/>
                <w:szCs w:val="18"/>
                <w:lang w:eastAsia="es-CR"/>
              </w:rPr>
            </w:pPr>
            <w:r w:rsidRPr="005B7561">
              <w:rPr>
                <w:rFonts w:ascii="Book Antiqua" w:eastAsia="Times New Roman" w:hAnsi="Book Antiqua" w:cs="Segoe UI"/>
                <w:color w:val="000000"/>
                <w:sz w:val="16"/>
                <w:szCs w:val="16"/>
                <w:lang w:eastAsia="es-CR"/>
              </w:rPr>
              <w:t>No</w:t>
            </w:r>
          </w:p>
        </w:tc>
      </w:tr>
    </w:tbl>
    <w:p w14:paraId="684048EE" w14:textId="5C8832D6" w:rsidR="00F71780" w:rsidRPr="00EA5A94" w:rsidRDefault="00F71780" w:rsidP="00F71780">
      <w:pPr>
        <w:spacing w:after="0"/>
        <w:jc w:val="both"/>
        <w:rPr>
          <w:rFonts w:ascii="Book Antiqua" w:hAnsi="Book Antiqua"/>
          <w:sz w:val="20"/>
          <w:szCs w:val="20"/>
        </w:rPr>
      </w:pPr>
      <w:r>
        <w:rPr>
          <w:rFonts w:ascii="Book Antiqua" w:hAnsi="Book Antiqua"/>
          <w:sz w:val="24"/>
          <w:szCs w:val="24"/>
        </w:rPr>
        <w:t xml:space="preserve"> </w:t>
      </w:r>
      <w:r w:rsidRPr="00EA5A94">
        <w:rPr>
          <w:rFonts w:ascii="Book Antiqua" w:hAnsi="Book Antiqua"/>
          <w:b/>
          <w:bCs/>
          <w:sz w:val="20"/>
          <w:szCs w:val="20"/>
        </w:rPr>
        <w:t>Fuente:</w:t>
      </w:r>
      <w:r w:rsidRPr="00EA5A94">
        <w:rPr>
          <w:rFonts w:ascii="Book Antiqua" w:hAnsi="Book Antiqua"/>
          <w:sz w:val="20"/>
          <w:szCs w:val="20"/>
        </w:rPr>
        <w:t xml:space="preserve"> Elaboración propia con información del MS Project Online.</w:t>
      </w:r>
    </w:p>
    <w:p w14:paraId="053AB931" w14:textId="77777777" w:rsidR="00F71780" w:rsidRDefault="00F71780" w:rsidP="00F71780">
      <w:pPr>
        <w:spacing w:after="0"/>
        <w:jc w:val="both"/>
        <w:rPr>
          <w:rFonts w:ascii="Book Antiqua" w:hAnsi="Book Antiqua"/>
          <w:sz w:val="24"/>
          <w:szCs w:val="24"/>
        </w:rPr>
      </w:pPr>
    </w:p>
    <w:p w14:paraId="794E1657" w14:textId="052F682E" w:rsidR="005B7561" w:rsidRPr="005B7561" w:rsidRDefault="005B7561" w:rsidP="005B7561">
      <w:pPr>
        <w:spacing w:after="0" w:line="240" w:lineRule="auto"/>
        <w:jc w:val="both"/>
        <w:textAlignment w:val="baseline"/>
        <w:rPr>
          <w:rFonts w:ascii="Segoe UI" w:eastAsia="Times New Roman" w:hAnsi="Segoe UI" w:cs="Segoe UI"/>
          <w:sz w:val="18"/>
          <w:szCs w:val="18"/>
          <w:lang w:eastAsia="es-CR"/>
        </w:rPr>
      </w:pPr>
      <w:r w:rsidRPr="005B7561">
        <w:rPr>
          <w:rFonts w:ascii="Book Antiqua" w:eastAsia="Times New Roman" w:hAnsi="Book Antiqua" w:cs="Segoe UI"/>
          <w:sz w:val="24"/>
          <w:szCs w:val="24"/>
          <w:lang w:eastAsia="es-CR"/>
        </w:rPr>
        <w:t>Por otro lado, los proyectos que aún se encuentran pendiente de realizar el cambio propuesto, o la actualización de la documentación producto de la solicitud de cambio  </w:t>
      </w:r>
      <w:r>
        <w:rPr>
          <w:rFonts w:ascii="Book Antiqua" w:eastAsia="Times New Roman" w:hAnsi="Book Antiqua" w:cs="Segoe UI"/>
          <w:sz w:val="24"/>
          <w:szCs w:val="24"/>
          <w:lang w:eastAsia="es-CR"/>
        </w:rPr>
        <w:t xml:space="preserve"> </w:t>
      </w:r>
      <w:r w:rsidRPr="005B7561">
        <w:rPr>
          <w:rFonts w:ascii="Book Antiqua" w:eastAsia="Times New Roman" w:hAnsi="Book Antiqua" w:cs="Segoe UI"/>
          <w:b/>
          <w:bCs/>
          <w:sz w:val="24"/>
          <w:szCs w:val="24"/>
          <w:lang w:eastAsia="es-CR"/>
        </w:rPr>
        <w:t>tendrán hasta el 11 de agosto del 2023, para que se realicen los ajustes pendientes y notificar a la Unidad del Portafolio.</w:t>
      </w:r>
      <w:r w:rsidRPr="005B7561">
        <w:rPr>
          <w:rFonts w:ascii="Book Antiqua" w:eastAsia="Times New Roman" w:hAnsi="Book Antiqua" w:cs="Segoe UI"/>
          <w:sz w:val="24"/>
          <w:szCs w:val="24"/>
          <w:lang w:eastAsia="es-CR"/>
        </w:rPr>
        <w:t> </w:t>
      </w:r>
    </w:p>
    <w:p w14:paraId="5CBEA807" w14:textId="0E091142" w:rsidR="00F71780" w:rsidRPr="00083E0D" w:rsidRDefault="00F71780" w:rsidP="00F71780">
      <w:pPr>
        <w:pStyle w:val="Ttulo2"/>
        <w:numPr>
          <w:ilvl w:val="0"/>
          <w:numId w:val="4"/>
        </w:numPr>
        <w:rPr>
          <w:rFonts w:ascii="Book Antiqua" w:eastAsia="Wingdings" w:hAnsi="Book Antiqua"/>
          <w:b/>
          <w:bCs/>
          <w:color w:val="auto"/>
          <w:lang w:eastAsia="ko-KR"/>
        </w:rPr>
      </w:pPr>
      <w:bookmarkStart w:id="96" w:name="_Toc131160586"/>
      <w:bookmarkStart w:id="97" w:name="_Toc138770850"/>
      <w:r w:rsidRPr="00083E0D">
        <w:rPr>
          <w:rFonts w:ascii="Book Antiqua" w:eastAsia="Wingdings" w:hAnsi="Book Antiqua"/>
          <w:b/>
          <w:bCs/>
          <w:color w:val="auto"/>
          <w:lang w:eastAsia="ko-KR"/>
        </w:rPr>
        <w:lastRenderedPageBreak/>
        <w:t xml:space="preserve">Proyectos </w:t>
      </w:r>
      <w:bookmarkEnd w:id="96"/>
      <w:r w:rsidR="000347D3">
        <w:rPr>
          <w:rStyle w:val="normaltextrun"/>
          <w:rFonts w:ascii="Book Antiqua" w:hAnsi="Book Antiqua"/>
          <w:b/>
          <w:bCs/>
          <w:color w:val="000000"/>
          <w:shd w:val="clear" w:color="auto" w:fill="FFFFFF"/>
        </w:rPr>
        <w:t>Estratégicos terminados entre enero a abril del 2023 dentro del portafolio que inician su Fase de Cierre</w:t>
      </w:r>
      <w:bookmarkEnd w:id="97"/>
    </w:p>
    <w:p w14:paraId="1940F833" w14:textId="77777777" w:rsidR="00F71780" w:rsidRPr="00C005C0" w:rsidRDefault="00F71780" w:rsidP="00F71780">
      <w:pPr>
        <w:spacing w:after="0"/>
        <w:jc w:val="both"/>
        <w:rPr>
          <w:rFonts w:ascii="Book Antiqua" w:hAnsi="Book Antiqua"/>
          <w:sz w:val="24"/>
          <w:szCs w:val="24"/>
        </w:rPr>
      </w:pPr>
    </w:p>
    <w:p w14:paraId="4CF4417F" w14:textId="3914238B" w:rsidR="00F71780" w:rsidRPr="000347D3" w:rsidRDefault="000347D3" w:rsidP="00F71780">
      <w:pPr>
        <w:spacing w:after="0"/>
        <w:jc w:val="both"/>
        <w:rPr>
          <w:rStyle w:val="eop"/>
          <w:rFonts w:ascii="Book Antiqua" w:hAnsi="Book Antiqua"/>
          <w:color w:val="000000"/>
          <w:sz w:val="24"/>
          <w:szCs w:val="24"/>
          <w:shd w:val="clear" w:color="auto" w:fill="FFFFFF"/>
        </w:rPr>
      </w:pPr>
      <w:r w:rsidRPr="000347D3">
        <w:rPr>
          <w:rStyle w:val="normaltextrun"/>
          <w:rFonts w:ascii="Book Antiqua" w:hAnsi="Book Antiqua"/>
          <w:color w:val="000000"/>
          <w:sz w:val="24"/>
          <w:szCs w:val="24"/>
          <w:shd w:val="clear" w:color="auto" w:fill="FFFFFF"/>
        </w:rPr>
        <w:t xml:space="preserve">A continuación, se detallan todos los proyectos que a la fecha de corte del primer seguimiento 2023, finalizaron su etapa de ejecución dentro del portafolio institucional antes del 28 de abril anterior, y por lo cual se cambió su estado de “En progreso” a “Pendiente de Evaluación”, de igual manera se procedió a verificar el cumplimiento del informe de cierre, los mismos se puede consultar en el siguiente enlace: </w:t>
      </w:r>
      <w:hyperlink r:id="rId65" w:tgtFrame="_blank" w:history="1">
        <w:r w:rsidRPr="000347D3">
          <w:rPr>
            <w:rStyle w:val="normaltextrun"/>
            <w:rFonts w:ascii="Book Antiqua" w:hAnsi="Book Antiqua" w:cs="Segoe UI"/>
            <w:color w:val="0563C1"/>
            <w:sz w:val="24"/>
            <w:szCs w:val="24"/>
            <w:u w:val="single"/>
            <w:shd w:val="clear" w:color="auto" w:fill="FFFFFF"/>
          </w:rPr>
          <w:t>Informe de cierre.</w:t>
        </w:r>
      </w:hyperlink>
      <w:r w:rsidRPr="000347D3">
        <w:rPr>
          <w:rStyle w:val="normaltextrun"/>
          <w:rFonts w:ascii="Book Antiqua" w:hAnsi="Book Antiqua"/>
          <w:color w:val="000000"/>
          <w:sz w:val="24"/>
          <w:szCs w:val="24"/>
          <w:shd w:val="clear" w:color="auto" w:fill="FFFFFF"/>
        </w:rPr>
        <w:t> </w:t>
      </w:r>
      <w:r w:rsidRPr="000347D3">
        <w:rPr>
          <w:rStyle w:val="eop"/>
          <w:rFonts w:ascii="Book Antiqua" w:hAnsi="Book Antiqua"/>
          <w:color w:val="000000"/>
          <w:sz w:val="24"/>
          <w:szCs w:val="24"/>
          <w:shd w:val="clear" w:color="auto" w:fill="FFFFFF"/>
        </w:rPr>
        <w:t> </w:t>
      </w:r>
    </w:p>
    <w:p w14:paraId="36F33607" w14:textId="77777777" w:rsidR="000347D3" w:rsidRDefault="000347D3" w:rsidP="00F71780">
      <w:pPr>
        <w:spacing w:after="0"/>
        <w:jc w:val="both"/>
        <w:rPr>
          <w:rFonts w:ascii="Book Antiqua" w:hAnsi="Book Antiqua"/>
        </w:rPr>
      </w:pPr>
    </w:p>
    <w:p w14:paraId="190D2403" w14:textId="66AF6B0B" w:rsidR="000347D3" w:rsidRDefault="00F71780" w:rsidP="00EF4E17">
      <w:pPr>
        <w:pStyle w:val="Descripcin"/>
        <w:keepNext/>
        <w:spacing w:after="0"/>
        <w:jc w:val="center"/>
        <w:rPr>
          <w:rFonts w:ascii="Book Antiqua" w:hAnsi="Book Antiqua"/>
          <w:b/>
          <w:bCs/>
          <w:sz w:val="20"/>
          <w:szCs w:val="20"/>
        </w:rPr>
      </w:pPr>
      <w:bookmarkStart w:id="98" w:name="_Toc131155950"/>
      <w:r w:rsidRPr="00A7495E">
        <w:rPr>
          <w:rFonts w:ascii="Book Antiqua" w:hAnsi="Book Antiqua" w:cs="&amp;quot"/>
          <w:b/>
          <w:i w:val="0"/>
          <w:iCs w:val="0"/>
          <w:color w:val="auto"/>
          <w:sz w:val="24"/>
          <w:szCs w:val="24"/>
        </w:rPr>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3C2EFD">
        <w:rPr>
          <w:rFonts w:ascii="Book Antiqua" w:hAnsi="Book Antiqua" w:cs="&amp;quot"/>
          <w:b/>
          <w:i w:val="0"/>
          <w:iCs w:val="0"/>
          <w:noProof/>
          <w:color w:val="auto"/>
          <w:sz w:val="24"/>
          <w:szCs w:val="24"/>
        </w:rPr>
        <w:t>27</w:t>
      </w:r>
      <w:r w:rsidRPr="00A7495E">
        <w:rPr>
          <w:rFonts w:ascii="Book Antiqua" w:hAnsi="Book Antiqua" w:cs="&amp;quot"/>
          <w:b/>
          <w:i w:val="0"/>
          <w:iCs w:val="0"/>
          <w:color w:val="auto"/>
          <w:sz w:val="24"/>
          <w:szCs w:val="24"/>
        </w:rPr>
        <w:fldChar w:fldCharType="end"/>
      </w:r>
      <w:r w:rsidRPr="00A7495E">
        <w:rPr>
          <w:rFonts w:ascii="Book Antiqua" w:hAnsi="Book Antiqua" w:cs="&amp;quot"/>
          <w:b/>
          <w:i w:val="0"/>
          <w:iCs w:val="0"/>
          <w:color w:val="auto"/>
          <w:sz w:val="24"/>
          <w:szCs w:val="24"/>
        </w:rPr>
        <w:t xml:space="preserve"> </w:t>
      </w:r>
      <w:bookmarkStart w:id="99" w:name="_Hlk88552013"/>
      <w:r w:rsidR="003D50E4">
        <w:rPr>
          <w:rFonts w:ascii="Book Antiqua" w:hAnsi="Book Antiqua" w:cs="&amp;quot"/>
          <w:b/>
          <w:i w:val="0"/>
          <w:iCs w:val="0"/>
          <w:color w:val="auto"/>
          <w:sz w:val="24"/>
          <w:szCs w:val="24"/>
        </w:rPr>
        <w:t xml:space="preserve">: </w:t>
      </w:r>
      <w:r w:rsidRPr="00A7495E">
        <w:rPr>
          <w:rFonts w:ascii="Book Antiqua" w:hAnsi="Book Antiqua" w:cs="&amp;quot"/>
          <w:b/>
          <w:i w:val="0"/>
          <w:iCs w:val="0"/>
          <w:color w:val="auto"/>
          <w:sz w:val="24"/>
          <w:szCs w:val="24"/>
        </w:rPr>
        <w:t>Detalle de proyectos estratégicos en etapa de cierre</w:t>
      </w:r>
      <w:bookmarkEnd w:id="98"/>
      <w:bookmarkEnd w:id="99"/>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2"/>
        <w:gridCol w:w="2357"/>
        <w:gridCol w:w="2244"/>
        <w:gridCol w:w="1472"/>
        <w:gridCol w:w="1369"/>
      </w:tblGrid>
      <w:tr w:rsidR="000347D3" w:rsidRPr="000347D3" w14:paraId="6089EDE6" w14:textId="77777777" w:rsidTr="000347D3">
        <w:trPr>
          <w:trHeight w:val="660"/>
        </w:trPr>
        <w:tc>
          <w:tcPr>
            <w:tcW w:w="1800"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1923240E" w14:textId="77777777" w:rsidR="000347D3" w:rsidRPr="000347D3" w:rsidRDefault="000347D3"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FFFFFF"/>
                <w:sz w:val="16"/>
                <w:szCs w:val="16"/>
                <w:lang w:eastAsia="es-CR"/>
              </w:rPr>
              <w:t>Código </w:t>
            </w:r>
          </w:p>
        </w:tc>
        <w:tc>
          <w:tcPr>
            <w:tcW w:w="2655"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742ADC10" w14:textId="77777777" w:rsidR="000347D3" w:rsidRPr="000347D3" w:rsidRDefault="000347D3"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FFFFFF"/>
                <w:sz w:val="16"/>
                <w:szCs w:val="16"/>
                <w:lang w:eastAsia="es-CR"/>
              </w:rPr>
              <w:t>Nombre del proyecto </w:t>
            </w:r>
          </w:p>
        </w:tc>
        <w:tc>
          <w:tcPr>
            <w:tcW w:w="2520"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2B494DBF" w14:textId="77777777" w:rsidR="000347D3" w:rsidRPr="000347D3" w:rsidRDefault="000347D3"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FFFFFF"/>
                <w:sz w:val="16"/>
                <w:szCs w:val="16"/>
                <w:lang w:eastAsia="es-CR"/>
              </w:rPr>
              <w:t>Oficina Líder </w:t>
            </w:r>
          </w:p>
        </w:tc>
        <w:tc>
          <w:tcPr>
            <w:tcW w:w="1665"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36385CA6" w14:textId="77777777" w:rsidR="000347D3" w:rsidRPr="000347D3" w:rsidRDefault="000347D3"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FFFFFF"/>
                <w:sz w:val="16"/>
                <w:szCs w:val="16"/>
                <w:lang w:eastAsia="es-CR"/>
              </w:rPr>
              <w:t>Líder del Proyecto </w:t>
            </w:r>
          </w:p>
        </w:tc>
        <w:tc>
          <w:tcPr>
            <w:tcW w:w="1530"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2B4711FD" w14:textId="77777777" w:rsidR="000347D3" w:rsidRPr="000347D3" w:rsidRDefault="000347D3"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FFFFFF"/>
                <w:sz w:val="16"/>
                <w:szCs w:val="16"/>
                <w:lang w:eastAsia="es-CR"/>
              </w:rPr>
              <w:t>Informe de Cierre realizado </w:t>
            </w:r>
          </w:p>
        </w:tc>
      </w:tr>
      <w:tr w:rsidR="000347D3" w:rsidRPr="000347D3" w14:paraId="5822B8DA" w14:textId="77777777" w:rsidTr="000347D3">
        <w:trPr>
          <w:trHeight w:val="660"/>
        </w:trPr>
        <w:tc>
          <w:tcPr>
            <w:tcW w:w="1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788C57" w14:textId="77777777" w:rsidR="000347D3" w:rsidRPr="000347D3" w:rsidRDefault="000347D3"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000000"/>
                <w:sz w:val="16"/>
                <w:szCs w:val="16"/>
                <w:lang w:eastAsia="es-CR"/>
              </w:rPr>
              <w:t>0117-DE-P06 </w:t>
            </w:r>
          </w:p>
        </w:tc>
        <w:tc>
          <w:tcPr>
            <w:tcW w:w="26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AC9BC7" w14:textId="77777777" w:rsidR="000347D3" w:rsidRPr="000347D3" w:rsidRDefault="000347D3"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000000"/>
                <w:sz w:val="16"/>
                <w:szCs w:val="16"/>
                <w:lang w:eastAsia="es-CR"/>
              </w:rPr>
              <w:t>Construcción Edificio Anexo E </w:t>
            </w:r>
          </w:p>
        </w:tc>
        <w:tc>
          <w:tcPr>
            <w:tcW w:w="25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E107A4" w14:textId="77777777" w:rsidR="000347D3" w:rsidRPr="000347D3" w:rsidRDefault="000347D3"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000000"/>
                <w:sz w:val="16"/>
                <w:szCs w:val="16"/>
                <w:lang w:eastAsia="es-CR"/>
              </w:rPr>
              <w:t>0117 DIRECCION EJECUTIVA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EF2393" w14:textId="74916E4F" w:rsidR="000347D3" w:rsidRPr="000347D3" w:rsidRDefault="00A63E0E"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000000"/>
                <w:sz w:val="16"/>
                <w:szCs w:val="16"/>
                <w:lang w:eastAsia="es-CR"/>
              </w:rPr>
              <w:t>Héctor</w:t>
            </w:r>
            <w:r w:rsidR="000347D3" w:rsidRPr="000347D3">
              <w:rPr>
                <w:rFonts w:ascii="Book Antiqua" w:eastAsia="Times New Roman" w:hAnsi="Book Antiqua" w:cs="Segoe UI"/>
                <w:color w:val="000000"/>
                <w:sz w:val="16"/>
                <w:szCs w:val="16"/>
                <w:lang w:eastAsia="es-CR"/>
              </w:rPr>
              <w:t xml:space="preserve"> Maroto Cambronero </w:t>
            </w:r>
          </w:p>
        </w:tc>
        <w:tc>
          <w:tcPr>
            <w:tcW w:w="153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D34A821" w14:textId="77777777" w:rsidR="000347D3" w:rsidRPr="000347D3" w:rsidRDefault="000347D3"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000000"/>
                <w:sz w:val="16"/>
                <w:szCs w:val="16"/>
                <w:lang w:eastAsia="es-CR"/>
              </w:rPr>
              <w:t>Pendiente elaborar informe de cierre  </w:t>
            </w:r>
          </w:p>
        </w:tc>
      </w:tr>
      <w:tr w:rsidR="000347D3" w:rsidRPr="000347D3" w14:paraId="7B4BC057" w14:textId="77777777" w:rsidTr="000347D3">
        <w:trPr>
          <w:trHeight w:val="660"/>
        </w:trPr>
        <w:tc>
          <w:tcPr>
            <w:tcW w:w="1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1A6C3F" w14:textId="77777777" w:rsidR="000347D3" w:rsidRPr="000347D3" w:rsidRDefault="000347D3"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000000"/>
                <w:sz w:val="16"/>
                <w:szCs w:val="16"/>
                <w:lang w:eastAsia="es-CR"/>
              </w:rPr>
              <w:t>0117-DE-P23 </w:t>
            </w:r>
          </w:p>
        </w:tc>
        <w:tc>
          <w:tcPr>
            <w:tcW w:w="26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B779B0" w14:textId="77777777" w:rsidR="000347D3" w:rsidRPr="000347D3" w:rsidRDefault="000347D3"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000000"/>
                <w:sz w:val="16"/>
                <w:szCs w:val="16"/>
                <w:lang w:eastAsia="es-CR"/>
              </w:rPr>
              <w:t>Sistema de Detección de Incendios en el II Circ Jud San José </w:t>
            </w:r>
          </w:p>
        </w:tc>
        <w:tc>
          <w:tcPr>
            <w:tcW w:w="25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C435BF" w14:textId="77777777" w:rsidR="000347D3" w:rsidRPr="000347D3" w:rsidRDefault="000347D3"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000000"/>
                <w:sz w:val="16"/>
                <w:szCs w:val="16"/>
                <w:lang w:eastAsia="es-CR"/>
              </w:rPr>
              <w:t>0176 OFICINA DE ADMINISTRACION II CIR. JUD. SAN JOSE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4EADF1" w14:textId="77777777" w:rsidR="000347D3" w:rsidRPr="000347D3" w:rsidRDefault="000347D3"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000000"/>
                <w:sz w:val="16"/>
                <w:szCs w:val="16"/>
                <w:lang w:eastAsia="es-CR"/>
              </w:rPr>
              <w:t>Miguel Gutiérrez Fernández </w:t>
            </w:r>
          </w:p>
        </w:tc>
        <w:tc>
          <w:tcPr>
            <w:tcW w:w="153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773A9F5" w14:textId="77777777" w:rsidR="000347D3" w:rsidRPr="000347D3" w:rsidRDefault="000347D3"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000000"/>
                <w:sz w:val="16"/>
                <w:szCs w:val="16"/>
                <w:lang w:eastAsia="es-CR"/>
              </w:rPr>
              <w:t>Pendiente aprobación del patrocinador del informe de cierre </w:t>
            </w:r>
          </w:p>
        </w:tc>
      </w:tr>
      <w:tr w:rsidR="000347D3" w:rsidRPr="000347D3" w14:paraId="7F559C0E" w14:textId="77777777" w:rsidTr="000347D3">
        <w:trPr>
          <w:trHeight w:val="660"/>
        </w:trPr>
        <w:tc>
          <w:tcPr>
            <w:tcW w:w="1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1ECD7B" w14:textId="77777777" w:rsidR="000347D3" w:rsidRPr="000347D3" w:rsidRDefault="000347D3"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000000"/>
                <w:sz w:val="16"/>
                <w:szCs w:val="16"/>
                <w:lang w:eastAsia="es-CR"/>
              </w:rPr>
              <w:t>0117-DE-P24 </w:t>
            </w:r>
          </w:p>
        </w:tc>
        <w:tc>
          <w:tcPr>
            <w:tcW w:w="26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BDB589" w14:textId="77777777" w:rsidR="000347D3" w:rsidRPr="000347D3" w:rsidRDefault="000347D3"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000000"/>
                <w:sz w:val="16"/>
                <w:szCs w:val="16"/>
                <w:lang w:eastAsia="es-CR"/>
              </w:rPr>
              <w:t>Reacondicionamiento Eléctrico Anexo A del II Circ Jud San José </w:t>
            </w:r>
          </w:p>
        </w:tc>
        <w:tc>
          <w:tcPr>
            <w:tcW w:w="25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EA180C" w14:textId="77777777" w:rsidR="000347D3" w:rsidRPr="000347D3" w:rsidRDefault="000347D3"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000000"/>
                <w:sz w:val="16"/>
                <w:szCs w:val="16"/>
                <w:lang w:eastAsia="es-CR"/>
              </w:rPr>
              <w:t>0176 OFICINA DE ADMINISTRACION II CIR. JUD. SAN JOSE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A93E94" w14:textId="77777777" w:rsidR="000347D3" w:rsidRPr="000347D3" w:rsidRDefault="000347D3"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000000"/>
                <w:sz w:val="16"/>
                <w:szCs w:val="16"/>
                <w:lang w:eastAsia="es-CR"/>
              </w:rPr>
              <w:t>Miguel Gutiérrez Fernández </w:t>
            </w:r>
          </w:p>
        </w:tc>
        <w:tc>
          <w:tcPr>
            <w:tcW w:w="153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ED292C6" w14:textId="77777777" w:rsidR="000347D3" w:rsidRPr="000347D3" w:rsidRDefault="000347D3"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000000"/>
                <w:sz w:val="16"/>
                <w:szCs w:val="16"/>
                <w:lang w:eastAsia="es-CR"/>
              </w:rPr>
              <w:t>Pendiente aprobación del patrocinador del informe de cierre </w:t>
            </w:r>
          </w:p>
        </w:tc>
      </w:tr>
      <w:tr w:rsidR="000347D3" w:rsidRPr="000347D3" w14:paraId="33E3EA8E" w14:textId="77777777" w:rsidTr="000347D3">
        <w:trPr>
          <w:trHeight w:val="660"/>
        </w:trPr>
        <w:tc>
          <w:tcPr>
            <w:tcW w:w="1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50B508" w14:textId="77777777" w:rsidR="000347D3" w:rsidRPr="000347D3" w:rsidRDefault="000347D3"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000000"/>
                <w:sz w:val="16"/>
                <w:szCs w:val="16"/>
                <w:lang w:eastAsia="es-CR"/>
              </w:rPr>
              <w:t>1167-OIJ-P50 </w:t>
            </w:r>
          </w:p>
        </w:tc>
        <w:tc>
          <w:tcPr>
            <w:tcW w:w="26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3DB5C5" w14:textId="77777777" w:rsidR="000347D3" w:rsidRPr="000347D3" w:rsidRDefault="000347D3"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000000"/>
                <w:sz w:val="16"/>
                <w:szCs w:val="16"/>
                <w:lang w:eastAsia="es-CR"/>
              </w:rPr>
              <w:t>Extensión de los alcances y beneficios de la pericia de Comparación biométrica de voces y fortalecimiento del área pericial </w:t>
            </w:r>
          </w:p>
        </w:tc>
        <w:tc>
          <w:tcPr>
            <w:tcW w:w="25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731372" w14:textId="77777777" w:rsidR="000347D3" w:rsidRPr="000347D3" w:rsidRDefault="000347D3"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000000"/>
                <w:sz w:val="16"/>
                <w:szCs w:val="16"/>
                <w:lang w:eastAsia="es-CR"/>
              </w:rPr>
              <w:t>083 DEPARTAMENTO DE LABORATORIO DE CIENCIAS FORENSES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BDBDD3" w14:textId="77777777" w:rsidR="000347D3" w:rsidRPr="000347D3" w:rsidRDefault="000347D3"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000000"/>
                <w:sz w:val="16"/>
                <w:szCs w:val="16"/>
                <w:lang w:eastAsia="es-CR"/>
              </w:rPr>
              <w:t>Máster Carolina Rojas Alfaro </w:t>
            </w:r>
          </w:p>
        </w:tc>
        <w:tc>
          <w:tcPr>
            <w:tcW w:w="153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A283772" w14:textId="77777777" w:rsidR="000347D3" w:rsidRPr="000347D3" w:rsidRDefault="000347D3" w:rsidP="000347D3">
            <w:pPr>
              <w:spacing w:after="0" w:line="240" w:lineRule="auto"/>
              <w:jc w:val="center"/>
              <w:textAlignment w:val="baseline"/>
              <w:rPr>
                <w:rFonts w:ascii="Segoe UI" w:eastAsia="Times New Roman" w:hAnsi="Segoe UI" w:cs="Segoe UI"/>
                <w:sz w:val="18"/>
                <w:szCs w:val="18"/>
                <w:lang w:eastAsia="es-CR"/>
              </w:rPr>
            </w:pPr>
            <w:r w:rsidRPr="000347D3">
              <w:rPr>
                <w:rFonts w:ascii="Book Antiqua" w:eastAsia="Times New Roman" w:hAnsi="Book Antiqua" w:cs="Segoe UI"/>
                <w:color w:val="000000"/>
                <w:sz w:val="16"/>
                <w:szCs w:val="16"/>
                <w:lang w:eastAsia="es-CR"/>
              </w:rPr>
              <w:t>Informe de cierre presentado </w:t>
            </w:r>
          </w:p>
        </w:tc>
      </w:tr>
    </w:tbl>
    <w:p w14:paraId="27D89198" w14:textId="282B3C4A" w:rsidR="00F71780" w:rsidRPr="00EA5A94" w:rsidRDefault="00F71780" w:rsidP="00F71780">
      <w:pPr>
        <w:spacing w:after="0"/>
        <w:jc w:val="both"/>
        <w:rPr>
          <w:rFonts w:ascii="Book Antiqua" w:hAnsi="Book Antiqua"/>
          <w:sz w:val="20"/>
          <w:szCs w:val="20"/>
        </w:rPr>
      </w:pPr>
      <w:r w:rsidRPr="00EA5A94">
        <w:rPr>
          <w:rFonts w:ascii="Book Antiqua" w:hAnsi="Book Antiqua"/>
          <w:b/>
          <w:bCs/>
          <w:sz w:val="20"/>
          <w:szCs w:val="20"/>
        </w:rPr>
        <w:t>Fuente:</w:t>
      </w:r>
      <w:r w:rsidRPr="00EA5A94">
        <w:rPr>
          <w:rFonts w:ascii="Book Antiqua" w:hAnsi="Book Antiqua"/>
          <w:sz w:val="20"/>
          <w:szCs w:val="20"/>
        </w:rPr>
        <w:t xml:space="preserve"> Elaboración propia con información del MS Project Online.</w:t>
      </w:r>
    </w:p>
    <w:p w14:paraId="3A562C31" w14:textId="77777777" w:rsidR="00F71780" w:rsidRDefault="00F71780" w:rsidP="00F71780">
      <w:pPr>
        <w:spacing w:after="0"/>
        <w:jc w:val="both"/>
        <w:rPr>
          <w:rFonts w:ascii="Book Antiqua" w:hAnsi="Book Antiqua"/>
        </w:rPr>
      </w:pPr>
    </w:p>
    <w:p w14:paraId="2F16F313" w14:textId="4B0BD431" w:rsidR="00F71780" w:rsidRDefault="005D3F64" w:rsidP="00F71780">
      <w:pPr>
        <w:spacing w:after="0"/>
        <w:jc w:val="both"/>
        <w:rPr>
          <w:rStyle w:val="eop"/>
          <w:rFonts w:ascii="Book Antiqua" w:hAnsi="Book Antiqua"/>
          <w:color w:val="000000"/>
          <w:sz w:val="24"/>
          <w:szCs w:val="24"/>
          <w:shd w:val="clear" w:color="auto" w:fill="FFFFFF"/>
        </w:rPr>
      </w:pPr>
      <w:r w:rsidRPr="005D3F64">
        <w:rPr>
          <w:rStyle w:val="normaltextrun"/>
          <w:rFonts w:ascii="Book Antiqua" w:hAnsi="Book Antiqua"/>
          <w:color w:val="000000"/>
          <w:sz w:val="24"/>
          <w:szCs w:val="24"/>
          <w:shd w:val="clear" w:color="auto" w:fill="FFFFFF"/>
        </w:rPr>
        <w:t>Es importante indicar que actualmente en el portafolio de proyectos se encuentran un total de 51 proyectos en estado “Pendiente de evaluación”; no obstante, solamente 19 se encuentran pendientes de realizar el proceso de evaluación de los resultados y beneficios obtenidos mediante la elaboración del formulario correspondiente “F11. Informe de evaluación de los beneficios” según señala la metodología institucional de administración de proyectos, para lo cual deberá trascurrir de 6 meses a un año posterior de concluida la fase de Ejecución. Los cuales se identifican seguidamente:</w:t>
      </w:r>
      <w:r w:rsidRPr="005D3F64">
        <w:rPr>
          <w:rStyle w:val="eop"/>
          <w:rFonts w:ascii="Book Antiqua" w:hAnsi="Book Antiqua"/>
          <w:color w:val="000000"/>
          <w:sz w:val="24"/>
          <w:szCs w:val="24"/>
          <w:shd w:val="clear" w:color="auto" w:fill="FFFFFF"/>
        </w:rPr>
        <w:t> </w:t>
      </w:r>
    </w:p>
    <w:p w14:paraId="473F3CB0" w14:textId="77777777" w:rsidR="005D3F64" w:rsidRDefault="005D3F64" w:rsidP="00F71780">
      <w:pPr>
        <w:spacing w:after="0"/>
        <w:jc w:val="both"/>
        <w:rPr>
          <w:rFonts w:ascii="Book Antiqua" w:hAnsi="Book Antiqua"/>
          <w:sz w:val="28"/>
          <w:szCs w:val="28"/>
        </w:rPr>
      </w:pPr>
    </w:p>
    <w:p w14:paraId="579FD89A" w14:textId="77777777" w:rsidR="00D21B86" w:rsidRDefault="00D21B86" w:rsidP="00F71780">
      <w:pPr>
        <w:spacing w:after="0"/>
        <w:jc w:val="both"/>
        <w:rPr>
          <w:rFonts w:ascii="Book Antiqua" w:hAnsi="Book Antiqua"/>
          <w:sz w:val="28"/>
          <w:szCs w:val="28"/>
        </w:rPr>
      </w:pPr>
    </w:p>
    <w:p w14:paraId="2972F89C" w14:textId="77777777" w:rsidR="00D21B86" w:rsidRPr="005D3F64" w:rsidRDefault="00D21B86" w:rsidP="00F71780">
      <w:pPr>
        <w:spacing w:after="0"/>
        <w:jc w:val="both"/>
        <w:rPr>
          <w:rFonts w:ascii="Book Antiqua" w:hAnsi="Book Antiqua"/>
          <w:sz w:val="28"/>
          <w:szCs w:val="28"/>
        </w:rPr>
      </w:pPr>
    </w:p>
    <w:p w14:paraId="1E77DE3F" w14:textId="5533ADFD" w:rsidR="00F71780" w:rsidRDefault="00F71780" w:rsidP="00F71780">
      <w:pPr>
        <w:pStyle w:val="Descripcin"/>
        <w:keepNext/>
        <w:spacing w:after="0"/>
        <w:jc w:val="center"/>
        <w:rPr>
          <w:rFonts w:ascii="Book Antiqua" w:hAnsi="Book Antiqua" w:cs="&amp;quot"/>
          <w:b/>
          <w:i w:val="0"/>
          <w:iCs w:val="0"/>
          <w:color w:val="auto"/>
          <w:sz w:val="24"/>
          <w:szCs w:val="24"/>
        </w:rPr>
      </w:pPr>
      <w:r w:rsidRPr="00A7495E">
        <w:rPr>
          <w:rFonts w:ascii="Book Antiqua" w:hAnsi="Book Antiqua" w:cs="&amp;quot"/>
          <w:b/>
          <w:i w:val="0"/>
          <w:iCs w:val="0"/>
          <w:color w:val="auto"/>
          <w:sz w:val="24"/>
          <w:szCs w:val="24"/>
        </w:rPr>
        <w:lastRenderedPageBreak/>
        <w:t xml:space="preserve"> </w:t>
      </w:r>
      <w:bookmarkStart w:id="100" w:name="_Toc131155951"/>
      <w:r w:rsidRPr="003C2EFD">
        <w:rPr>
          <w:rFonts w:ascii="Book Antiqua" w:hAnsi="Book Antiqua" w:cs="&amp;quot"/>
          <w:b/>
          <w:i w:val="0"/>
          <w:iCs w:val="0"/>
          <w:color w:val="auto"/>
          <w:sz w:val="24"/>
          <w:szCs w:val="24"/>
        </w:rPr>
        <w:t xml:space="preserve">Tabla </w:t>
      </w:r>
      <w:r w:rsidRPr="003C2EFD">
        <w:rPr>
          <w:rFonts w:ascii="Book Antiqua" w:hAnsi="Book Antiqua" w:cs="&amp;quot"/>
          <w:b/>
          <w:i w:val="0"/>
          <w:iCs w:val="0"/>
          <w:color w:val="auto"/>
          <w:sz w:val="24"/>
          <w:szCs w:val="24"/>
        </w:rPr>
        <w:fldChar w:fldCharType="begin"/>
      </w:r>
      <w:r w:rsidRPr="003C2EFD">
        <w:rPr>
          <w:rFonts w:ascii="Book Antiqua" w:hAnsi="Book Antiqua" w:cs="&amp;quot"/>
          <w:b/>
          <w:i w:val="0"/>
          <w:iCs w:val="0"/>
          <w:color w:val="auto"/>
          <w:sz w:val="24"/>
          <w:szCs w:val="24"/>
        </w:rPr>
        <w:instrText xml:space="preserve"> SEQ Tabla \* ARABIC </w:instrText>
      </w:r>
      <w:r w:rsidRPr="003C2EFD">
        <w:rPr>
          <w:rFonts w:ascii="Book Antiqua" w:hAnsi="Book Antiqua" w:cs="&amp;quot"/>
          <w:b/>
          <w:i w:val="0"/>
          <w:iCs w:val="0"/>
          <w:color w:val="auto"/>
          <w:sz w:val="24"/>
          <w:szCs w:val="24"/>
        </w:rPr>
        <w:fldChar w:fldCharType="separate"/>
      </w:r>
      <w:r w:rsidR="003C2EFD" w:rsidRPr="003C2EFD">
        <w:rPr>
          <w:rFonts w:ascii="Book Antiqua" w:hAnsi="Book Antiqua" w:cs="&amp;quot"/>
          <w:b/>
          <w:i w:val="0"/>
          <w:iCs w:val="0"/>
          <w:noProof/>
          <w:color w:val="auto"/>
          <w:sz w:val="24"/>
          <w:szCs w:val="24"/>
        </w:rPr>
        <w:t>28</w:t>
      </w:r>
      <w:r w:rsidRPr="003C2EFD">
        <w:rPr>
          <w:rFonts w:ascii="Book Antiqua" w:hAnsi="Book Antiqua" w:cs="&amp;quot"/>
          <w:b/>
          <w:i w:val="0"/>
          <w:iCs w:val="0"/>
          <w:color w:val="auto"/>
          <w:sz w:val="24"/>
          <w:szCs w:val="24"/>
        </w:rPr>
        <w:fldChar w:fldCharType="end"/>
      </w:r>
      <w:r w:rsidRPr="00A7495E">
        <w:rPr>
          <w:rFonts w:ascii="Book Antiqua" w:hAnsi="Book Antiqua" w:cs="&amp;quot"/>
          <w:b/>
          <w:i w:val="0"/>
          <w:iCs w:val="0"/>
          <w:color w:val="auto"/>
          <w:sz w:val="24"/>
          <w:szCs w:val="24"/>
        </w:rPr>
        <w:t xml:space="preserve"> Detalle de proyectos estratégicos pendientes de realizar el proceso de evaluación de resultados</w:t>
      </w:r>
      <w:bookmarkEnd w:id="100"/>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2"/>
        <w:gridCol w:w="2290"/>
        <w:gridCol w:w="1899"/>
        <w:gridCol w:w="1662"/>
        <w:gridCol w:w="1521"/>
      </w:tblGrid>
      <w:tr w:rsidR="005D3F64" w:rsidRPr="005D3F64" w14:paraId="72A524CE" w14:textId="77777777" w:rsidTr="005D3F64">
        <w:trPr>
          <w:trHeight w:val="255"/>
          <w:jc w:val="center"/>
        </w:trPr>
        <w:tc>
          <w:tcPr>
            <w:tcW w:w="1830"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3DD23AF5" w14:textId="77777777" w:rsidR="005D3F64" w:rsidRPr="005D3F64" w:rsidRDefault="005D3F64" w:rsidP="005D3F64">
            <w:pPr>
              <w:spacing w:after="0" w:line="240" w:lineRule="auto"/>
              <w:ind w:right="-75"/>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b/>
                <w:bCs/>
                <w:color w:val="FFFFFF"/>
                <w:sz w:val="18"/>
                <w:szCs w:val="18"/>
                <w:lang w:eastAsia="es-CR"/>
              </w:rPr>
              <w:t>Código</w:t>
            </w:r>
            <w:r w:rsidRPr="005D3F64">
              <w:rPr>
                <w:rFonts w:ascii="Book Antiqua" w:eastAsia="Times New Roman" w:hAnsi="Book Antiqua" w:cs="Segoe UI"/>
                <w:color w:val="FFFFFF"/>
                <w:sz w:val="18"/>
                <w:szCs w:val="18"/>
                <w:lang w:eastAsia="es-CR"/>
              </w:rPr>
              <w:t> </w:t>
            </w:r>
          </w:p>
        </w:tc>
        <w:tc>
          <w:tcPr>
            <w:tcW w:w="2685"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452C9F8C"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b/>
                <w:bCs/>
                <w:color w:val="FFFFFF"/>
                <w:sz w:val="18"/>
                <w:szCs w:val="18"/>
                <w:lang w:eastAsia="es-CR"/>
              </w:rPr>
              <w:t>Nombre del proyecto</w:t>
            </w:r>
            <w:r w:rsidRPr="005D3F64">
              <w:rPr>
                <w:rFonts w:ascii="Book Antiqua" w:eastAsia="Times New Roman" w:hAnsi="Book Antiqua" w:cs="Segoe UI"/>
                <w:color w:val="FFFFFF"/>
                <w:sz w:val="18"/>
                <w:szCs w:val="18"/>
                <w:lang w:eastAsia="es-CR"/>
              </w:rPr>
              <w:t> </w:t>
            </w:r>
          </w:p>
        </w:tc>
        <w:tc>
          <w:tcPr>
            <w:tcW w:w="2115"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5BF18FD4"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b/>
                <w:bCs/>
                <w:color w:val="FFFFFF"/>
                <w:sz w:val="18"/>
                <w:szCs w:val="18"/>
                <w:lang w:eastAsia="es-CR"/>
              </w:rPr>
              <w:t>Oficina Líder</w:t>
            </w:r>
            <w:r w:rsidRPr="005D3F64">
              <w:rPr>
                <w:rFonts w:ascii="Book Antiqua" w:eastAsia="Times New Roman" w:hAnsi="Book Antiqua" w:cs="Segoe UI"/>
                <w:color w:val="FFFFFF"/>
                <w:sz w:val="18"/>
                <w:szCs w:val="18"/>
                <w:lang w:eastAsia="es-CR"/>
              </w:rPr>
              <w:t> </w:t>
            </w:r>
          </w:p>
        </w:tc>
        <w:tc>
          <w:tcPr>
            <w:tcW w:w="1980"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5D27AD47"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b/>
                <w:bCs/>
                <w:color w:val="FFFFFF"/>
                <w:sz w:val="18"/>
                <w:szCs w:val="18"/>
                <w:lang w:eastAsia="es-CR"/>
              </w:rPr>
              <w:t>Líder del Proyecto</w:t>
            </w:r>
            <w:r w:rsidRPr="005D3F64">
              <w:rPr>
                <w:rFonts w:ascii="Book Antiqua" w:eastAsia="Times New Roman" w:hAnsi="Book Antiqua" w:cs="Segoe UI"/>
                <w:color w:val="FFFFFF"/>
                <w:sz w:val="18"/>
                <w:szCs w:val="18"/>
                <w:lang w:eastAsia="es-CR"/>
              </w:rPr>
              <w:t> </w:t>
            </w:r>
          </w:p>
        </w:tc>
        <w:tc>
          <w:tcPr>
            <w:tcW w:w="1800"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562F60E5"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b/>
                <w:bCs/>
                <w:color w:val="FFFFFF"/>
                <w:sz w:val="18"/>
                <w:szCs w:val="18"/>
                <w:lang w:eastAsia="es-CR"/>
              </w:rPr>
              <w:t>Fecha de elaboración del informe de cierre</w:t>
            </w:r>
            <w:r w:rsidRPr="005D3F64">
              <w:rPr>
                <w:rFonts w:ascii="Book Antiqua" w:eastAsia="Times New Roman" w:hAnsi="Book Antiqua" w:cs="Segoe UI"/>
                <w:color w:val="FFFFFF"/>
                <w:sz w:val="18"/>
                <w:szCs w:val="18"/>
                <w:lang w:eastAsia="es-CR"/>
              </w:rPr>
              <w:t> </w:t>
            </w:r>
          </w:p>
        </w:tc>
      </w:tr>
      <w:tr w:rsidR="005D3F64" w:rsidRPr="005D3F64" w14:paraId="03337FE7" w14:textId="77777777" w:rsidTr="005D3F64">
        <w:trPr>
          <w:trHeight w:val="660"/>
          <w:jc w:val="center"/>
        </w:trPr>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81D717"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0032-DP-P05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2568B1"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Implantación del Sistema de Seguimiento de Casos </w:t>
            </w: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A2E383F"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Jefatura Defensa Publica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A30C2F3"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Orlando Vargas Chacón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BB393A3"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30 de octubre del 2022 </w:t>
            </w:r>
          </w:p>
        </w:tc>
      </w:tr>
      <w:tr w:rsidR="005D3F64" w:rsidRPr="005D3F64" w14:paraId="592BF675" w14:textId="77777777" w:rsidTr="005D3F64">
        <w:trPr>
          <w:trHeight w:val="660"/>
          <w:jc w:val="center"/>
        </w:trPr>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BE706C"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0110-PLA-P20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EBBF38"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Actualización de fórmulas estadísticas y elaboración instructivos estadísticos por materias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13ABF8"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Subproceso Estadística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1B94720"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Marlen Vargas Benavides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BEA5E2F"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31 de octubre del 2022 </w:t>
            </w:r>
          </w:p>
        </w:tc>
      </w:tr>
      <w:tr w:rsidR="005D3F64" w:rsidRPr="005D3F64" w14:paraId="7AB898B0" w14:textId="77777777" w:rsidTr="005D3F64">
        <w:trPr>
          <w:trHeight w:val="660"/>
          <w:jc w:val="center"/>
        </w:trPr>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9AC7FD"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0117-DE-P08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F6F472"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Adquisición de Propiedades OIJ </w:t>
            </w: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F0CBAD0"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Departamento de Servicios Generales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667B213"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Héctor Maroto Cambronero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3276E1F"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24 de junio del 2022 </w:t>
            </w:r>
          </w:p>
        </w:tc>
      </w:tr>
      <w:tr w:rsidR="005D3F64" w:rsidRPr="005D3F64" w14:paraId="7B9EF884" w14:textId="77777777" w:rsidTr="005D3F64">
        <w:trPr>
          <w:trHeight w:val="660"/>
          <w:jc w:val="center"/>
        </w:trPr>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C69AB1"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0134-DGH-P06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292A6D"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Modernización del Proceso de Evaluación Psicológica (Puestos de Judicatura) </w:t>
            </w: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24D854B"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Sección de Administración de la Carrera Judicial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2FF6516"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Ulises Fallas Barrantes / Laura Marcela Gutiérrez Escobar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AD5EAD5"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30 de octubre de 2022 </w:t>
            </w:r>
          </w:p>
        </w:tc>
      </w:tr>
      <w:tr w:rsidR="005D3F64" w:rsidRPr="005D3F64" w14:paraId="0AA6FCA0" w14:textId="77777777" w:rsidTr="005D3F64">
        <w:trPr>
          <w:trHeight w:val="585"/>
          <w:jc w:val="center"/>
        </w:trPr>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B0EBFF"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1167-OIJ-P22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5A5BD8"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Sistema de Análisis de Crímenes Violentos </w:t>
            </w: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7824EE1"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Plataforma de Información Policial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D18C650"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Luis Antonio Mata Carpio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A7CA3DC"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1 de setiembre del 2022 </w:t>
            </w:r>
          </w:p>
        </w:tc>
      </w:tr>
      <w:tr w:rsidR="005D3F64" w:rsidRPr="005D3F64" w14:paraId="7B6EBA43" w14:textId="77777777" w:rsidTr="005D3F64">
        <w:trPr>
          <w:trHeight w:val="660"/>
          <w:jc w:val="center"/>
        </w:trPr>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364776"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1377-PJR-P03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6062B2"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Proyecto de Cooperación Fortalecimiento de Penal Juvenil y Justicia Restaurativa </w:t>
            </w: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0B6FE8F"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Programa Justicia Restaurativa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750A11F"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Jovanna Calderón Altamirano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B41EEB1"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31 agosto 2022 </w:t>
            </w:r>
          </w:p>
        </w:tc>
      </w:tr>
      <w:tr w:rsidR="005D3F64" w:rsidRPr="005D3F64" w14:paraId="6B71A70A" w14:textId="77777777" w:rsidTr="005D3F64">
        <w:trPr>
          <w:trHeight w:val="660"/>
          <w:jc w:val="center"/>
        </w:trPr>
        <w:tc>
          <w:tcPr>
            <w:tcW w:w="183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1ECA4DC"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0110-PLA-P09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7D63F6"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Modelo para la Administración del Portafolio de Proyectos Estratégicos </w:t>
            </w: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B70BE9E"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Subproceso Formulación de Presupuesto y Portafolio de Proyectos Institucionales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F4D7C9A"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Yesenia Salazar Guzmán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AB20B8C"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30 junio del 2022 </w:t>
            </w:r>
          </w:p>
        </w:tc>
      </w:tr>
      <w:tr w:rsidR="005D3F64" w:rsidRPr="005D3F64" w14:paraId="739ADDBB" w14:textId="77777777" w:rsidTr="005D3F64">
        <w:trPr>
          <w:trHeight w:val="660"/>
          <w:jc w:val="center"/>
        </w:trPr>
        <w:tc>
          <w:tcPr>
            <w:tcW w:w="183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22218C8"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0117-DE-P20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1D64BB"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Abordaje de los requerimientos emitidos por la Superintendencia de Pensiones al Fondo de Jubilaciones del Poder Judicial y Pensiones </w:t>
            </w: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FAE3CFF"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Departamento Financiero Contable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A66ABC6"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Oslean Mora Valdez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FD89A0E"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20 de julio del 2022 </w:t>
            </w:r>
          </w:p>
        </w:tc>
      </w:tr>
      <w:tr w:rsidR="005D3F64" w:rsidRPr="005D3F64" w14:paraId="008E934E" w14:textId="77777777" w:rsidTr="005D3F64">
        <w:trPr>
          <w:trHeight w:val="660"/>
          <w:jc w:val="center"/>
        </w:trPr>
        <w:tc>
          <w:tcPr>
            <w:tcW w:w="183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7393630"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0122-DTI-P12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E08E9B"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Modernización del Sistema de Gestión en Línea y la Aplicación Móvil </w:t>
            </w: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9CB8882"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Subproceso Sistemas Jurisdiccionales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0409F8C"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Manuel Alejandro Villalta Ruiz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A3579CD"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sz w:val="18"/>
                <w:szCs w:val="18"/>
                <w:lang w:eastAsia="es-CR"/>
              </w:rPr>
              <w:t>31 de mayo del 2022 </w:t>
            </w:r>
          </w:p>
        </w:tc>
      </w:tr>
      <w:tr w:rsidR="005D3F64" w:rsidRPr="005D3F64" w14:paraId="3B647F21" w14:textId="77777777" w:rsidTr="005D3F64">
        <w:trPr>
          <w:trHeight w:val="660"/>
          <w:jc w:val="center"/>
        </w:trPr>
        <w:tc>
          <w:tcPr>
            <w:tcW w:w="183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8B5D36D"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0914-OCI-P02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7CF05C"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Implementación del Sistema SEVRI y PAI, para el análisis de los riesgos estratégicos </w:t>
            </w: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E1DF73A"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Oficina de Control Interno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EA24503"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Juan Carlos Brenes Azofeifa / Miguel Mc Calla Vaz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23E4EDE"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30 de mayo de 2022 </w:t>
            </w:r>
          </w:p>
        </w:tc>
      </w:tr>
      <w:tr w:rsidR="005D3F64" w:rsidRPr="005D3F64" w14:paraId="7DBB8E62" w14:textId="77777777" w:rsidTr="005D3F64">
        <w:trPr>
          <w:trHeight w:val="660"/>
          <w:jc w:val="center"/>
        </w:trPr>
        <w:tc>
          <w:tcPr>
            <w:tcW w:w="183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96DDEB8"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0122-DTI-P17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06087F"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Implementación del Escritorio Virtual Despachos Penales </w:t>
            </w: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D80A6D6"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Subproceso Sistemas Jurisdiccionales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B8D2A26"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Fabiola Arancibia Hernández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196B571"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4 de noviembre del 2021 </w:t>
            </w:r>
          </w:p>
        </w:tc>
      </w:tr>
      <w:tr w:rsidR="005D3F64" w:rsidRPr="005D3F64" w14:paraId="0CC25764" w14:textId="77777777" w:rsidTr="005D3F64">
        <w:trPr>
          <w:trHeight w:val="660"/>
          <w:jc w:val="center"/>
        </w:trPr>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5239BE"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0134-DGH-P08</w:t>
            </w:r>
            <w:r w:rsidRPr="005D3F64">
              <w:rPr>
                <w:rFonts w:ascii="Book Antiqua" w:eastAsia="Times New Roman" w:hAnsi="Book Antiqua" w:cs="Segoe UI"/>
                <w:color w:val="000000"/>
                <w:sz w:val="14"/>
                <w:szCs w:val="14"/>
                <w:vertAlign w:val="superscript"/>
                <w:lang w:eastAsia="es-CR"/>
              </w:rPr>
              <w:t>2</w:t>
            </w:r>
            <w:r w:rsidRPr="005D3F64">
              <w:rPr>
                <w:rFonts w:ascii="Book Antiqua" w:eastAsia="Times New Roman" w:hAnsi="Book Antiqua" w:cs="Segoe UI"/>
                <w:color w:val="000000"/>
                <w:sz w:val="18"/>
                <w:szCs w:val="18"/>
                <w:lang w:eastAsia="es-CR"/>
              </w:rPr>
              <w:t>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7DF67B"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Variaciones en el Sistema de Pago, Reglamentos y Procedimientos producto de la Ley 9635 </w:t>
            </w: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B6598F5"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Sección de Administracion Salarial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3A9EBC3"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Liz Cedeño Yanes / Célimo Elizondo Aguilar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C65BF4"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Pendiente informe de cierre </w:t>
            </w:r>
          </w:p>
        </w:tc>
      </w:tr>
      <w:tr w:rsidR="005D3F64" w:rsidRPr="005D3F64" w14:paraId="3AD0B8DF" w14:textId="77777777" w:rsidTr="005D3F64">
        <w:trPr>
          <w:trHeight w:val="660"/>
          <w:jc w:val="center"/>
        </w:trPr>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9F5034"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lastRenderedPageBreak/>
              <w:t>0653-DP-P12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48931"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Implementación de los ODS y Cumplimiento de la Agenda 2030 </w:t>
            </w: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CA026BF"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Sección de Cooperación y Relaciones Internacionales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6FB304B"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Zahira Chavarria Garita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D78B551"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14 diciembre del 2022 </w:t>
            </w:r>
          </w:p>
        </w:tc>
      </w:tr>
      <w:tr w:rsidR="005D3F64" w:rsidRPr="005D3F64" w14:paraId="739721F7" w14:textId="77777777" w:rsidTr="005D3F64">
        <w:trPr>
          <w:trHeight w:val="660"/>
          <w:jc w:val="center"/>
        </w:trPr>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5111AF"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0655-CONAMAJ-P01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205C23"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Implementación de las Políticas de Justicia Abierta </w:t>
            </w: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57B8468"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Comisión Nacional para el Mejoramiento de la Administracion de Justicia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E934D85"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Jefferson Rodríguez Najera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411A296"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20/12/2022 </w:t>
            </w:r>
          </w:p>
        </w:tc>
      </w:tr>
      <w:tr w:rsidR="005D3F64" w:rsidRPr="005D3F64" w14:paraId="4BA59C6E" w14:textId="77777777" w:rsidTr="005D3F64">
        <w:trPr>
          <w:trHeight w:val="660"/>
          <w:jc w:val="center"/>
        </w:trPr>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FEF9E5"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0717-MP-P16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C56EBA"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Actualización de materiales didácticos y cursos de acuerdo con las reformas legales en materia penal, penal juvenil y procesal penal </w:t>
            </w: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035B9AD"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Unidad de Capacitación y Supervisión (Ministerio Publico)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820EF19"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Edgar Barquero Ramírez, Natalia Hidalgo Porras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2817656"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Diciembre 2022 </w:t>
            </w:r>
          </w:p>
        </w:tc>
      </w:tr>
      <w:tr w:rsidR="005D3F64" w:rsidRPr="005D3F64" w14:paraId="125EC014" w14:textId="77777777" w:rsidTr="005D3F64">
        <w:trPr>
          <w:trHeight w:val="660"/>
          <w:jc w:val="center"/>
        </w:trPr>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6F03F9"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1167-OIJ-P01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F84365"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Contratación de talleres externos </w:t>
            </w: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B3E4EA9"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Sección de Transportes del OIJ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05C827C"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Cristian Arce Ruiz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806A7C3"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Diciembre 2022 </w:t>
            </w:r>
          </w:p>
        </w:tc>
      </w:tr>
      <w:tr w:rsidR="005D3F64" w:rsidRPr="005D3F64" w14:paraId="072EF356" w14:textId="77777777" w:rsidTr="005D3F64">
        <w:trPr>
          <w:trHeight w:val="660"/>
          <w:jc w:val="center"/>
        </w:trPr>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FB89BE"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1167-OIJ-P03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E02CFD"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Modernización del Depósito de Objetos Decomisados </w:t>
            </w: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E2AE67D"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Oficina de Planes y Operaciones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ED9178F"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Ingrid Iong Ureña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969B419"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30 de diciembre 2022 </w:t>
            </w:r>
          </w:p>
        </w:tc>
      </w:tr>
      <w:tr w:rsidR="005D3F64" w:rsidRPr="005D3F64" w14:paraId="79256785" w14:textId="77777777" w:rsidTr="005D3F64">
        <w:trPr>
          <w:trHeight w:val="660"/>
          <w:jc w:val="center"/>
        </w:trPr>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39CBF6"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1377-PJR-P02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526C2A"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Programa de Justicia Restaurativa para el bienestar del personal judicial </w:t>
            </w: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00C7242"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Programa Justicia Restaurativa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8881023"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José Pablo Hernández González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6DFF777"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12 de enero 2023 </w:t>
            </w:r>
          </w:p>
        </w:tc>
      </w:tr>
      <w:tr w:rsidR="005D3F64" w:rsidRPr="005D3F64" w14:paraId="5DCE5288" w14:textId="77777777" w:rsidTr="005D3F64">
        <w:trPr>
          <w:trHeight w:val="660"/>
          <w:jc w:val="center"/>
        </w:trPr>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014A9C" w14:textId="13E7B89E"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1846-OC-P01</w:t>
            </w:r>
            <w:r w:rsidR="00E8321A" w:rsidRPr="00E24FCA">
              <w:rPr>
                <w:rStyle w:val="Refdenotaalpie"/>
                <w:rFonts w:ascii="Book Antiqua" w:eastAsia="Times New Roman" w:hAnsi="Book Antiqua" w:cs="Segoe UI"/>
                <w:color w:val="000000"/>
                <w:sz w:val="16"/>
                <w:szCs w:val="16"/>
                <w:lang w:eastAsia="es-CR"/>
              </w:rPr>
              <w:footnoteReference w:id="6"/>
            </w:r>
            <w:r w:rsidRPr="005D3F64">
              <w:rPr>
                <w:rFonts w:ascii="Book Antiqua" w:eastAsia="Times New Roman" w:hAnsi="Book Antiqua" w:cs="Segoe UI"/>
                <w:color w:val="000000"/>
                <w:sz w:val="18"/>
                <w:szCs w:val="18"/>
                <w:lang w:eastAsia="es-CR"/>
              </w:rPr>
              <w:t>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980EB9"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Reducción de las brechas de riesgo </w:t>
            </w: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379B70F"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Oficina de Cumplimiento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F708B00"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Randall Zuñiga Palacios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B913C98"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8"/>
                <w:szCs w:val="18"/>
                <w:lang w:eastAsia="es-CR"/>
              </w:rPr>
              <w:t>30 de mayo del 2023 </w:t>
            </w:r>
          </w:p>
        </w:tc>
      </w:tr>
      <w:tr w:rsidR="005D3F64" w:rsidRPr="005D3F64" w14:paraId="77B407E6" w14:textId="77777777" w:rsidTr="005D3F64">
        <w:trPr>
          <w:trHeight w:val="660"/>
          <w:jc w:val="center"/>
        </w:trPr>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4117E7"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6"/>
                <w:szCs w:val="16"/>
                <w:lang w:eastAsia="es-CR"/>
              </w:rPr>
              <w:t>0117-DE-P06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3ED35C"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6"/>
                <w:szCs w:val="16"/>
                <w:lang w:eastAsia="es-CR"/>
              </w:rPr>
              <w:t>Construcción Edificio Anexo E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3F2D1C"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6"/>
                <w:szCs w:val="16"/>
                <w:lang w:eastAsia="es-CR"/>
              </w:rPr>
              <w:t>0117 DIRECCION EJECUTIVA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B29052"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6"/>
                <w:szCs w:val="16"/>
                <w:lang w:eastAsia="es-CR"/>
              </w:rPr>
              <w:t>Hector Maroto Cambronero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F576B17"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6"/>
                <w:szCs w:val="16"/>
                <w:lang w:eastAsia="es-CR"/>
              </w:rPr>
              <w:t>Pendiente elaborar informe de cierre  </w:t>
            </w:r>
          </w:p>
        </w:tc>
      </w:tr>
      <w:tr w:rsidR="005D3F64" w:rsidRPr="005D3F64" w14:paraId="1BF12EC0" w14:textId="77777777" w:rsidTr="005D3F64">
        <w:trPr>
          <w:trHeight w:val="660"/>
          <w:jc w:val="center"/>
        </w:trPr>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A00BBF" w14:textId="3BA23AF9"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6"/>
                <w:szCs w:val="16"/>
                <w:lang w:eastAsia="es-CR"/>
              </w:rPr>
              <w:t>0117-DE-P23</w:t>
            </w:r>
            <w:r w:rsidR="00E8321A">
              <w:rPr>
                <w:rStyle w:val="Refdenotaalpie"/>
                <w:rFonts w:ascii="Book Antiqua" w:eastAsia="Times New Roman" w:hAnsi="Book Antiqua" w:cs="Segoe UI"/>
                <w:color w:val="000000"/>
                <w:sz w:val="16"/>
                <w:szCs w:val="16"/>
                <w:lang w:eastAsia="es-CR"/>
              </w:rPr>
              <w:footnoteReference w:id="7"/>
            </w:r>
            <w:r w:rsidRPr="005D3F64">
              <w:rPr>
                <w:rFonts w:ascii="Book Antiqua" w:eastAsia="Times New Roman" w:hAnsi="Book Antiqua" w:cs="Segoe UI"/>
                <w:color w:val="000000"/>
                <w:sz w:val="18"/>
                <w:szCs w:val="18"/>
                <w:lang w:eastAsia="es-CR"/>
              </w:rPr>
              <w:t>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EF8EB5"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6"/>
                <w:szCs w:val="16"/>
                <w:lang w:eastAsia="es-CR"/>
              </w:rPr>
              <w:t>Sistema de Detección de Incendios en el II Circ Jud San José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4273F2"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6"/>
                <w:szCs w:val="16"/>
                <w:lang w:eastAsia="es-CR"/>
              </w:rPr>
              <w:t>0176 OFICINA DE ADMINISTRACION II CIR. JUD. SAN JOSE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66DB9D"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6"/>
                <w:szCs w:val="16"/>
                <w:lang w:eastAsia="es-CR"/>
              </w:rPr>
              <w:t>Miguel Gutiérrez Fernández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C03E190"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6"/>
                <w:szCs w:val="16"/>
                <w:lang w:eastAsia="es-CR"/>
              </w:rPr>
              <w:t>17 de enero del 2023 </w:t>
            </w:r>
          </w:p>
        </w:tc>
      </w:tr>
      <w:tr w:rsidR="005D3F64" w:rsidRPr="005D3F64" w14:paraId="6C96F677" w14:textId="77777777" w:rsidTr="005D3F64">
        <w:trPr>
          <w:trHeight w:val="660"/>
          <w:jc w:val="center"/>
        </w:trPr>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9B42A3" w14:textId="59BD376D"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6"/>
                <w:szCs w:val="16"/>
                <w:lang w:eastAsia="es-CR"/>
              </w:rPr>
              <w:t>0117-DE-P24</w:t>
            </w:r>
            <w:r w:rsidR="00E8321A">
              <w:rPr>
                <w:rStyle w:val="Refdenotaalpie"/>
                <w:rFonts w:ascii="Book Antiqua" w:eastAsia="Times New Roman" w:hAnsi="Book Antiqua" w:cs="Segoe UI"/>
                <w:color w:val="000000"/>
                <w:sz w:val="16"/>
                <w:szCs w:val="16"/>
                <w:lang w:eastAsia="es-CR"/>
              </w:rPr>
              <w:footnoteReference w:id="8"/>
            </w:r>
            <w:r w:rsidRPr="005D3F64">
              <w:rPr>
                <w:rFonts w:ascii="Book Antiqua" w:eastAsia="Times New Roman" w:hAnsi="Book Antiqua" w:cs="Segoe UI"/>
                <w:color w:val="000000"/>
                <w:sz w:val="18"/>
                <w:szCs w:val="18"/>
                <w:lang w:eastAsia="es-CR"/>
              </w:rPr>
              <w:t>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58143E"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6"/>
                <w:szCs w:val="16"/>
                <w:lang w:eastAsia="es-CR"/>
              </w:rPr>
              <w:t>Reacondicionamiento Eléctrico Anexo A del II Circ Jud San José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0D9518"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6"/>
                <w:szCs w:val="16"/>
                <w:lang w:eastAsia="es-CR"/>
              </w:rPr>
              <w:t>0176 OFICINA DE ADMINISTRACION II CIR. JUD. SAN JOSE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1D9C40"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6"/>
                <w:szCs w:val="16"/>
                <w:lang w:eastAsia="es-CR"/>
              </w:rPr>
              <w:t>Miguel Gutiérrez Fernández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600179F"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6"/>
                <w:szCs w:val="16"/>
                <w:lang w:eastAsia="es-CR"/>
              </w:rPr>
              <w:t>14 de abril del 2023 </w:t>
            </w:r>
          </w:p>
        </w:tc>
      </w:tr>
      <w:tr w:rsidR="005D3F64" w:rsidRPr="005D3F64" w14:paraId="5740AA1C" w14:textId="77777777" w:rsidTr="005D3F64">
        <w:trPr>
          <w:trHeight w:val="660"/>
          <w:jc w:val="center"/>
        </w:trPr>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7A2CE9"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6"/>
                <w:szCs w:val="16"/>
                <w:lang w:eastAsia="es-CR"/>
              </w:rPr>
              <w:t>1167-OIJ-P50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19E63F"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6"/>
                <w:szCs w:val="16"/>
                <w:lang w:eastAsia="es-CR"/>
              </w:rPr>
              <w:t>Extensión de los alcances y beneficios de la pericia de Comparación biométrica de voces y fortalecimiento del área pericial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A2E59E"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6"/>
                <w:szCs w:val="16"/>
                <w:lang w:eastAsia="es-CR"/>
              </w:rPr>
              <w:t>083 DEPARTAMENTO DE LABORATORIO DE CIENCIAS FORENSES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4F9300"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6"/>
                <w:szCs w:val="16"/>
                <w:lang w:eastAsia="es-CR"/>
              </w:rPr>
              <w:t>Máster Carolina Rojas Alfaro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FC72E1B" w14:textId="77777777" w:rsidR="005D3F64" w:rsidRPr="005D3F64" w:rsidRDefault="005D3F64" w:rsidP="005D3F64">
            <w:pPr>
              <w:spacing w:after="0" w:line="240" w:lineRule="auto"/>
              <w:jc w:val="center"/>
              <w:textAlignment w:val="baseline"/>
              <w:rPr>
                <w:rFonts w:ascii="Segoe UI" w:eastAsia="Times New Roman" w:hAnsi="Segoe UI" w:cs="Segoe UI"/>
                <w:sz w:val="18"/>
                <w:szCs w:val="18"/>
                <w:lang w:eastAsia="es-CR"/>
              </w:rPr>
            </w:pPr>
            <w:r w:rsidRPr="005D3F64">
              <w:rPr>
                <w:rFonts w:ascii="Book Antiqua" w:eastAsia="Times New Roman" w:hAnsi="Book Antiqua" w:cs="Segoe UI"/>
                <w:color w:val="000000"/>
                <w:sz w:val="16"/>
                <w:szCs w:val="16"/>
                <w:lang w:eastAsia="es-CR"/>
              </w:rPr>
              <w:t>31 de marzo del 2023 </w:t>
            </w:r>
          </w:p>
        </w:tc>
      </w:tr>
    </w:tbl>
    <w:p w14:paraId="7605F0E9" w14:textId="77777777" w:rsidR="00F71780" w:rsidRPr="002B721A" w:rsidRDefault="00F71780" w:rsidP="00F71780">
      <w:pPr>
        <w:spacing w:after="0"/>
        <w:jc w:val="both"/>
        <w:rPr>
          <w:rFonts w:ascii="Book Antiqua" w:hAnsi="Book Antiqua"/>
          <w:sz w:val="20"/>
          <w:szCs w:val="20"/>
        </w:rPr>
      </w:pPr>
      <w:r w:rsidRPr="002B721A">
        <w:rPr>
          <w:rFonts w:ascii="Book Antiqua" w:hAnsi="Book Antiqua"/>
          <w:b/>
          <w:bCs/>
          <w:sz w:val="20"/>
          <w:szCs w:val="20"/>
        </w:rPr>
        <w:t>Fuente:</w:t>
      </w:r>
      <w:r w:rsidRPr="002B721A">
        <w:rPr>
          <w:rFonts w:ascii="Book Antiqua" w:hAnsi="Book Antiqua"/>
          <w:sz w:val="20"/>
          <w:szCs w:val="20"/>
        </w:rPr>
        <w:t xml:space="preserve"> </w:t>
      </w:r>
      <w:r>
        <w:rPr>
          <w:rFonts w:ascii="Book Antiqua" w:hAnsi="Book Antiqua"/>
          <w:sz w:val="20"/>
          <w:szCs w:val="20"/>
        </w:rPr>
        <w:t>E</w:t>
      </w:r>
      <w:r w:rsidRPr="002B721A">
        <w:rPr>
          <w:rFonts w:ascii="Book Antiqua" w:hAnsi="Book Antiqua"/>
          <w:sz w:val="20"/>
          <w:szCs w:val="20"/>
        </w:rPr>
        <w:t>laboración propia con información del MS Project Online.</w:t>
      </w:r>
    </w:p>
    <w:p w14:paraId="5CF818D3" w14:textId="77777777" w:rsidR="00F71780" w:rsidRDefault="00F71780" w:rsidP="00F71780">
      <w:pPr>
        <w:spacing w:after="0"/>
        <w:jc w:val="both"/>
        <w:rPr>
          <w:rFonts w:ascii="Book Antiqua" w:hAnsi="Book Antiqua"/>
          <w:sz w:val="24"/>
          <w:szCs w:val="24"/>
        </w:rPr>
      </w:pPr>
    </w:p>
    <w:p w14:paraId="34DD2BFF" w14:textId="77777777" w:rsidR="00F71780" w:rsidRDefault="00F71780" w:rsidP="00F71780">
      <w:pPr>
        <w:spacing w:after="0"/>
        <w:jc w:val="both"/>
        <w:rPr>
          <w:rFonts w:ascii="Book Antiqua" w:hAnsi="Book Antiqua"/>
          <w:sz w:val="24"/>
          <w:szCs w:val="24"/>
        </w:rPr>
      </w:pPr>
      <w:r>
        <w:rPr>
          <w:rFonts w:ascii="Book Antiqua" w:hAnsi="Book Antiqua"/>
          <w:sz w:val="24"/>
          <w:szCs w:val="24"/>
        </w:rPr>
        <w:t>Actualmente, el Subproceso de Evaluación se encuentran en el proceso de evaluación de los resultados de 14 proyectos los cuales se detallan a continuación:</w:t>
      </w:r>
    </w:p>
    <w:p w14:paraId="23EDAB35" w14:textId="77777777" w:rsidR="00F71780" w:rsidRDefault="00F71780" w:rsidP="00F71780">
      <w:pPr>
        <w:spacing w:after="0"/>
        <w:jc w:val="both"/>
        <w:rPr>
          <w:rFonts w:ascii="Book Antiqua" w:hAnsi="Book Antiqua"/>
          <w:sz w:val="24"/>
          <w:szCs w:val="24"/>
        </w:rPr>
      </w:pPr>
    </w:p>
    <w:p w14:paraId="6FCDD45C" w14:textId="47A4FFB5" w:rsidR="00F71780" w:rsidRPr="00A7495E" w:rsidRDefault="00F71780" w:rsidP="00F71780">
      <w:pPr>
        <w:pStyle w:val="Descripcin"/>
        <w:keepNext/>
        <w:spacing w:after="0"/>
        <w:jc w:val="center"/>
        <w:rPr>
          <w:rFonts w:ascii="Book Antiqua" w:hAnsi="Book Antiqua" w:cs="&amp;quot"/>
          <w:b/>
          <w:i w:val="0"/>
          <w:iCs w:val="0"/>
          <w:color w:val="auto"/>
          <w:sz w:val="24"/>
          <w:szCs w:val="24"/>
        </w:rPr>
      </w:pPr>
      <w:bookmarkStart w:id="101" w:name="_Toc131155952"/>
      <w:r w:rsidRPr="00A7495E">
        <w:rPr>
          <w:rFonts w:ascii="Book Antiqua" w:hAnsi="Book Antiqua" w:cs="&amp;quot"/>
          <w:b/>
          <w:i w:val="0"/>
          <w:iCs w:val="0"/>
          <w:color w:val="auto"/>
          <w:sz w:val="24"/>
          <w:szCs w:val="24"/>
        </w:rPr>
        <w:lastRenderedPageBreak/>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3C2EFD">
        <w:rPr>
          <w:rFonts w:ascii="Book Antiqua" w:hAnsi="Book Antiqua" w:cs="&amp;quot"/>
          <w:b/>
          <w:i w:val="0"/>
          <w:iCs w:val="0"/>
          <w:noProof/>
          <w:color w:val="auto"/>
          <w:sz w:val="24"/>
          <w:szCs w:val="24"/>
        </w:rPr>
        <w:t>29</w:t>
      </w:r>
      <w:r w:rsidRPr="00A7495E">
        <w:rPr>
          <w:rFonts w:ascii="Book Antiqua" w:hAnsi="Book Antiqua" w:cs="&amp;quot"/>
          <w:b/>
          <w:i w:val="0"/>
          <w:iCs w:val="0"/>
          <w:color w:val="auto"/>
          <w:sz w:val="24"/>
          <w:szCs w:val="24"/>
        </w:rPr>
        <w:fldChar w:fldCharType="end"/>
      </w:r>
      <w:r w:rsidRPr="00A7495E">
        <w:rPr>
          <w:rFonts w:ascii="Book Antiqua" w:hAnsi="Book Antiqua" w:cs="&amp;quot"/>
          <w:b/>
          <w:i w:val="0"/>
          <w:iCs w:val="0"/>
          <w:color w:val="auto"/>
          <w:sz w:val="24"/>
          <w:szCs w:val="24"/>
        </w:rPr>
        <w:t xml:space="preserve"> Detalle de proyectos estratégicos que se encuentran en el proceso de evaluación de resultados.</w:t>
      </w:r>
      <w:bookmarkEnd w:id="101"/>
    </w:p>
    <w:tbl>
      <w:tblPr>
        <w:tblStyle w:val="Tablaconcuadrcula1"/>
        <w:tblW w:w="9782" w:type="dxa"/>
        <w:tblInd w:w="-289" w:type="dxa"/>
        <w:tblLook w:val="04A0" w:firstRow="1" w:lastRow="0" w:firstColumn="1" w:lastColumn="0" w:noHBand="0" w:noVBand="1"/>
      </w:tblPr>
      <w:tblGrid>
        <w:gridCol w:w="1555"/>
        <w:gridCol w:w="2693"/>
        <w:gridCol w:w="2268"/>
        <w:gridCol w:w="3266"/>
      </w:tblGrid>
      <w:tr w:rsidR="007E6FC1" w:rsidRPr="008473DB" w14:paraId="475F825B" w14:textId="77777777" w:rsidTr="00301740">
        <w:trPr>
          <w:trHeight w:val="360"/>
          <w:tblHeader/>
        </w:trPr>
        <w:tc>
          <w:tcPr>
            <w:tcW w:w="1555" w:type="dxa"/>
            <w:shd w:val="clear" w:color="auto" w:fill="44546A" w:themeFill="text2"/>
            <w:vAlign w:val="center"/>
            <w:hideMark/>
          </w:tcPr>
          <w:p w14:paraId="4658D1E5" w14:textId="77777777" w:rsidR="00F71780" w:rsidRPr="008473DB" w:rsidRDefault="00F71780" w:rsidP="00F400D6">
            <w:pPr>
              <w:jc w:val="center"/>
              <w:rPr>
                <w:rFonts w:ascii="Book Antiqua" w:eastAsia="Times New Roman" w:hAnsi="Book Antiqua" w:cstheme="minorHAnsi"/>
                <w:b/>
                <w:color w:val="FFFFFF"/>
                <w:sz w:val="18"/>
                <w:szCs w:val="18"/>
                <w:lang w:eastAsia="es-CR"/>
              </w:rPr>
            </w:pPr>
            <w:r w:rsidRPr="008473DB">
              <w:rPr>
                <w:rFonts w:ascii="Book Antiqua" w:eastAsia="Times New Roman" w:hAnsi="Book Antiqua" w:cstheme="minorHAnsi"/>
                <w:b/>
                <w:color w:val="FFFFFF"/>
                <w:sz w:val="18"/>
                <w:szCs w:val="18"/>
                <w:lang w:eastAsia="es-CR"/>
              </w:rPr>
              <w:t>Código</w:t>
            </w:r>
          </w:p>
        </w:tc>
        <w:tc>
          <w:tcPr>
            <w:tcW w:w="2693" w:type="dxa"/>
            <w:shd w:val="clear" w:color="auto" w:fill="44546A" w:themeFill="text2"/>
            <w:vAlign w:val="center"/>
            <w:hideMark/>
          </w:tcPr>
          <w:p w14:paraId="58791D6D" w14:textId="77777777" w:rsidR="00F71780" w:rsidRPr="008473DB" w:rsidRDefault="00F71780" w:rsidP="00F400D6">
            <w:pPr>
              <w:jc w:val="center"/>
              <w:rPr>
                <w:rFonts w:ascii="Book Antiqua" w:eastAsia="Times New Roman" w:hAnsi="Book Antiqua" w:cstheme="minorHAnsi"/>
                <w:b/>
                <w:color w:val="FFFFFF"/>
                <w:sz w:val="18"/>
                <w:szCs w:val="18"/>
                <w:lang w:eastAsia="es-CR"/>
              </w:rPr>
            </w:pPr>
            <w:r w:rsidRPr="008473DB">
              <w:rPr>
                <w:rFonts w:ascii="Book Antiqua" w:eastAsia="Times New Roman" w:hAnsi="Book Antiqua" w:cstheme="minorHAnsi"/>
                <w:b/>
                <w:color w:val="FFFFFF"/>
                <w:sz w:val="18"/>
                <w:szCs w:val="18"/>
                <w:lang w:eastAsia="es-CR"/>
              </w:rPr>
              <w:t>Nombre del proyecto</w:t>
            </w:r>
          </w:p>
        </w:tc>
        <w:tc>
          <w:tcPr>
            <w:tcW w:w="2268" w:type="dxa"/>
            <w:shd w:val="clear" w:color="auto" w:fill="44546A" w:themeFill="text2"/>
            <w:vAlign w:val="center"/>
            <w:hideMark/>
          </w:tcPr>
          <w:p w14:paraId="396AB344" w14:textId="77777777" w:rsidR="00F71780" w:rsidRPr="008473DB" w:rsidRDefault="00F71780" w:rsidP="00F400D6">
            <w:pPr>
              <w:jc w:val="center"/>
              <w:rPr>
                <w:rFonts w:ascii="Book Antiqua" w:eastAsia="Times New Roman" w:hAnsi="Book Antiqua" w:cstheme="minorHAnsi"/>
                <w:b/>
                <w:color w:val="FFFFFF"/>
                <w:sz w:val="18"/>
                <w:szCs w:val="18"/>
                <w:lang w:eastAsia="es-CR"/>
              </w:rPr>
            </w:pPr>
            <w:r w:rsidRPr="008473DB">
              <w:rPr>
                <w:rFonts w:ascii="Book Antiqua" w:eastAsia="Times New Roman" w:hAnsi="Book Antiqua" w:cstheme="minorHAnsi"/>
                <w:b/>
                <w:color w:val="FFFFFF"/>
                <w:sz w:val="18"/>
                <w:szCs w:val="18"/>
                <w:lang w:eastAsia="es-CR"/>
              </w:rPr>
              <w:t>Oficina Líder</w:t>
            </w:r>
          </w:p>
        </w:tc>
        <w:tc>
          <w:tcPr>
            <w:tcW w:w="3266" w:type="dxa"/>
            <w:shd w:val="clear" w:color="auto" w:fill="44546A" w:themeFill="text2"/>
            <w:vAlign w:val="center"/>
            <w:hideMark/>
          </w:tcPr>
          <w:p w14:paraId="4D6C1B48" w14:textId="77777777" w:rsidR="00F71780" w:rsidRPr="008473DB" w:rsidRDefault="00F71780" w:rsidP="00F400D6">
            <w:pPr>
              <w:jc w:val="center"/>
              <w:rPr>
                <w:rFonts w:ascii="Book Antiqua" w:eastAsia="Times New Roman" w:hAnsi="Book Antiqua" w:cstheme="minorHAnsi"/>
                <w:b/>
                <w:color w:val="FFFFFF"/>
                <w:sz w:val="18"/>
                <w:szCs w:val="18"/>
                <w:lang w:eastAsia="es-CR"/>
              </w:rPr>
            </w:pPr>
            <w:r w:rsidRPr="008473DB">
              <w:rPr>
                <w:rFonts w:ascii="Book Antiqua" w:eastAsia="Times New Roman" w:hAnsi="Book Antiqua" w:cstheme="minorHAnsi"/>
                <w:b/>
                <w:color w:val="FFFFFF"/>
                <w:sz w:val="18"/>
                <w:szCs w:val="18"/>
                <w:lang w:eastAsia="es-CR"/>
              </w:rPr>
              <w:t>Líder del Proyecto</w:t>
            </w:r>
          </w:p>
        </w:tc>
      </w:tr>
      <w:tr w:rsidR="00F71780" w:rsidRPr="008473DB" w14:paraId="6B6522C4" w14:textId="77777777" w:rsidTr="00301740">
        <w:tc>
          <w:tcPr>
            <w:tcW w:w="1555" w:type="dxa"/>
            <w:vAlign w:val="center"/>
            <w:hideMark/>
          </w:tcPr>
          <w:p w14:paraId="3618B7CC" w14:textId="77777777" w:rsidR="00F71780" w:rsidRPr="008473DB" w:rsidRDefault="00F71780" w:rsidP="00F400D6">
            <w:pPr>
              <w:jc w:val="center"/>
              <w:rPr>
                <w:rFonts w:ascii="Book Antiqua" w:eastAsia="Times New Roman" w:hAnsi="Book Antiqua" w:cstheme="minorHAnsi"/>
                <w:bCs/>
                <w:sz w:val="18"/>
                <w:szCs w:val="18"/>
                <w:lang w:eastAsia="es-CR"/>
              </w:rPr>
            </w:pPr>
            <w:r w:rsidRPr="008473DB">
              <w:rPr>
                <w:rFonts w:ascii="Book Antiqua" w:eastAsia="Times New Roman" w:hAnsi="Book Antiqua" w:cstheme="minorHAnsi"/>
                <w:bCs/>
                <w:sz w:val="18"/>
                <w:szCs w:val="18"/>
                <w:lang w:eastAsia="es-CR"/>
              </w:rPr>
              <w:t>0104-AUD-P01</w:t>
            </w:r>
          </w:p>
        </w:tc>
        <w:tc>
          <w:tcPr>
            <w:tcW w:w="2693" w:type="dxa"/>
            <w:vAlign w:val="center"/>
            <w:hideMark/>
          </w:tcPr>
          <w:p w14:paraId="6D4FE5AC" w14:textId="77777777" w:rsidR="00F71780" w:rsidRPr="008473DB" w:rsidRDefault="00F71780" w:rsidP="00F400D6">
            <w:pPr>
              <w:jc w:val="center"/>
              <w:rPr>
                <w:rFonts w:ascii="Book Antiqua" w:eastAsia="Times New Roman" w:hAnsi="Book Antiqua" w:cstheme="minorHAnsi"/>
                <w:bCs/>
                <w:sz w:val="18"/>
                <w:szCs w:val="18"/>
                <w:lang w:eastAsia="es-CR"/>
              </w:rPr>
            </w:pPr>
            <w:r w:rsidRPr="008473DB">
              <w:rPr>
                <w:rFonts w:ascii="Book Antiqua" w:eastAsia="Times New Roman" w:hAnsi="Book Antiqua" w:cstheme="minorHAnsi"/>
                <w:bCs/>
                <w:sz w:val="18"/>
                <w:szCs w:val="18"/>
                <w:lang w:eastAsia="es-CR"/>
              </w:rPr>
              <w:t>Metodológico Team Mate</w:t>
            </w:r>
          </w:p>
        </w:tc>
        <w:tc>
          <w:tcPr>
            <w:tcW w:w="2268" w:type="dxa"/>
            <w:vAlign w:val="center"/>
            <w:hideMark/>
          </w:tcPr>
          <w:p w14:paraId="2D2AEC26" w14:textId="77777777" w:rsidR="00F71780" w:rsidRPr="008473DB" w:rsidRDefault="00F71780" w:rsidP="00F400D6">
            <w:pPr>
              <w:jc w:val="center"/>
              <w:rPr>
                <w:rFonts w:ascii="Book Antiqua" w:eastAsia="Times New Roman" w:hAnsi="Book Antiqua" w:cstheme="minorHAnsi"/>
                <w:bCs/>
                <w:sz w:val="18"/>
                <w:szCs w:val="18"/>
                <w:lang w:eastAsia="es-CR"/>
              </w:rPr>
            </w:pPr>
            <w:r w:rsidRPr="008473DB">
              <w:rPr>
                <w:rFonts w:ascii="Book Antiqua" w:eastAsia="Times New Roman" w:hAnsi="Book Antiqua" w:cstheme="minorHAnsi"/>
                <w:bCs/>
                <w:sz w:val="18"/>
                <w:szCs w:val="18"/>
                <w:lang w:eastAsia="es-CR"/>
              </w:rPr>
              <w:t>Auditoria</w:t>
            </w:r>
          </w:p>
        </w:tc>
        <w:tc>
          <w:tcPr>
            <w:tcW w:w="3266" w:type="dxa"/>
            <w:vAlign w:val="center"/>
            <w:hideMark/>
          </w:tcPr>
          <w:p w14:paraId="62B24099" w14:textId="77777777" w:rsidR="00F71780" w:rsidRPr="008473DB" w:rsidRDefault="00F71780" w:rsidP="00F400D6">
            <w:pPr>
              <w:jc w:val="center"/>
              <w:rPr>
                <w:rFonts w:ascii="Book Antiqua" w:eastAsia="Times New Roman" w:hAnsi="Book Antiqua" w:cstheme="minorHAnsi"/>
                <w:bCs/>
                <w:sz w:val="18"/>
                <w:szCs w:val="18"/>
                <w:lang w:eastAsia="es-CR"/>
              </w:rPr>
            </w:pPr>
            <w:r w:rsidRPr="008473DB">
              <w:rPr>
                <w:rFonts w:ascii="Book Antiqua" w:eastAsia="Times New Roman" w:hAnsi="Book Antiqua" w:cstheme="minorHAnsi"/>
                <w:bCs/>
                <w:sz w:val="18"/>
                <w:szCs w:val="18"/>
                <w:lang w:eastAsia="es-CR"/>
              </w:rPr>
              <w:t>Oswaldo Vásquez Madrigal / Sugeny Castillo Chaves</w:t>
            </w:r>
          </w:p>
        </w:tc>
      </w:tr>
      <w:tr w:rsidR="00F71780" w:rsidRPr="008473DB" w14:paraId="2FD8D90B" w14:textId="77777777" w:rsidTr="00301740">
        <w:tc>
          <w:tcPr>
            <w:tcW w:w="1555" w:type="dxa"/>
            <w:vAlign w:val="center"/>
            <w:hideMark/>
          </w:tcPr>
          <w:p w14:paraId="21F3BCB4"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0110-PLA-P10</w:t>
            </w:r>
          </w:p>
        </w:tc>
        <w:tc>
          <w:tcPr>
            <w:tcW w:w="2693" w:type="dxa"/>
            <w:vAlign w:val="center"/>
            <w:hideMark/>
          </w:tcPr>
          <w:p w14:paraId="1E9B16D7"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Modelo de formulación y evaluación de políticas institucionales</w:t>
            </w:r>
          </w:p>
        </w:tc>
        <w:tc>
          <w:tcPr>
            <w:tcW w:w="2268" w:type="dxa"/>
            <w:vAlign w:val="center"/>
            <w:hideMark/>
          </w:tcPr>
          <w:p w14:paraId="3EC7FA97"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Subproceso Planificación Estratégica</w:t>
            </w:r>
          </w:p>
        </w:tc>
        <w:tc>
          <w:tcPr>
            <w:tcW w:w="3266" w:type="dxa"/>
            <w:vAlign w:val="center"/>
            <w:hideMark/>
          </w:tcPr>
          <w:p w14:paraId="18E54D72"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Esteban Ramírez Arce</w:t>
            </w:r>
          </w:p>
        </w:tc>
      </w:tr>
      <w:tr w:rsidR="00F71780" w:rsidRPr="008473DB" w14:paraId="67D1A72C" w14:textId="77777777" w:rsidTr="00301740">
        <w:tc>
          <w:tcPr>
            <w:tcW w:w="1555" w:type="dxa"/>
            <w:vAlign w:val="center"/>
            <w:hideMark/>
          </w:tcPr>
          <w:p w14:paraId="2D0B518A"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0117-DE-P15</w:t>
            </w:r>
          </w:p>
        </w:tc>
        <w:tc>
          <w:tcPr>
            <w:tcW w:w="2693" w:type="dxa"/>
            <w:vAlign w:val="center"/>
            <w:hideMark/>
          </w:tcPr>
          <w:p w14:paraId="2643ED1B"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Adquisición de Propiedades MP</w:t>
            </w:r>
          </w:p>
        </w:tc>
        <w:tc>
          <w:tcPr>
            <w:tcW w:w="2268" w:type="dxa"/>
            <w:vAlign w:val="center"/>
            <w:hideMark/>
          </w:tcPr>
          <w:p w14:paraId="16EBF3B6"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Departamento de Servicios Generales</w:t>
            </w:r>
          </w:p>
        </w:tc>
        <w:tc>
          <w:tcPr>
            <w:tcW w:w="3266" w:type="dxa"/>
            <w:vAlign w:val="center"/>
            <w:hideMark/>
          </w:tcPr>
          <w:p w14:paraId="74F14ADB"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Héctor Maroto Cambronero</w:t>
            </w:r>
          </w:p>
        </w:tc>
      </w:tr>
      <w:tr w:rsidR="00F71780" w:rsidRPr="008473DB" w14:paraId="0C1E5767" w14:textId="77777777" w:rsidTr="00301740">
        <w:tc>
          <w:tcPr>
            <w:tcW w:w="1555" w:type="dxa"/>
            <w:vAlign w:val="center"/>
            <w:hideMark/>
          </w:tcPr>
          <w:p w14:paraId="71072750"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0122-DTI-P04</w:t>
            </w:r>
          </w:p>
        </w:tc>
        <w:tc>
          <w:tcPr>
            <w:tcW w:w="2693" w:type="dxa"/>
            <w:vAlign w:val="center"/>
            <w:hideMark/>
          </w:tcPr>
          <w:p w14:paraId="3A7C0A38"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Desarrollo del Plan de Continuidad de los Servicios Institucionales</w:t>
            </w:r>
          </w:p>
        </w:tc>
        <w:tc>
          <w:tcPr>
            <w:tcW w:w="2268" w:type="dxa"/>
            <w:vAlign w:val="center"/>
            <w:hideMark/>
          </w:tcPr>
          <w:p w14:paraId="43A0DE62"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Normas y estándares</w:t>
            </w:r>
          </w:p>
        </w:tc>
        <w:tc>
          <w:tcPr>
            <w:tcW w:w="3266" w:type="dxa"/>
            <w:vAlign w:val="center"/>
            <w:hideMark/>
          </w:tcPr>
          <w:p w14:paraId="0D803FDA"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Laura Quirós Quirós</w:t>
            </w:r>
          </w:p>
        </w:tc>
      </w:tr>
      <w:tr w:rsidR="00F71780" w:rsidRPr="008473DB" w14:paraId="23CE3447" w14:textId="77777777" w:rsidTr="00301740">
        <w:tc>
          <w:tcPr>
            <w:tcW w:w="1555" w:type="dxa"/>
            <w:vAlign w:val="center"/>
            <w:hideMark/>
          </w:tcPr>
          <w:p w14:paraId="030BCFA8"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0122-DTI-P07</w:t>
            </w:r>
          </w:p>
        </w:tc>
        <w:tc>
          <w:tcPr>
            <w:tcW w:w="2693" w:type="dxa"/>
            <w:vAlign w:val="center"/>
            <w:hideMark/>
          </w:tcPr>
          <w:p w14:paraId="772A0D36"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Actualización de los Sistemas de Cableado Estructurado de los Circuitos y Oficinas del país</w:t>
            </w:r>
          </w:p>
        </w:tc>
        <w:tc>
          <w:tcPr>
            <w:tcW w:w="2268" w:type="dxa"/>
            <w:vAlign w:val="center"/>
            <w:hideMark/>
          </w:tcPr>
          <w:p w14:paraId="2349BEC4"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Subproceso Telemática</w:t>
            </w:r>
          </w:p>
        </w:tc>
        <w:tc>
          <w:tcPr>
            <w:tcW w:w="3266" w:type="dxa"/>
            <w:vAlign w:val="center"/>
            <w:hideMark/>
          </w:tcPr>
          <w:p w14:paraId="5F283034"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Paola Alvarez Quesada</w:t>
            </w:r>
          </w:p>
        </w:tc>
      </w:tr>
      <w:tr w:rsidR="00F71780" w:rsidRPr="008473DB" w14:paraId="7CA481BC" w14:textId="77777777" w:rsidTr="00301740">
        <w:tc>
          <w:tcPr>
            <w:tcW w:w="1555" w:type="dxa"/>
            <w:vAlign w:val="center"/>
            <w:hideMark/>
          </w:tcPr>
          <w:p w14:paraId="38B84529"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0717-MP-P08</w:t>
            </w:r>
          </w:p>
        </w:tc>
        <w:tc>
          <w:tcPr>
            <w:tcW w:w="2693" w:type="dxa"/>
            <w:vAlign w:val="center"/>
            <w:hideMark/>
          </w:tcPr>
          <w:p w14:paraId="104206AC"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Fortalecimiento del Régimen de Consecuencias</w:t>
            </w:r>
          </w:p>
        </w:tc>
        <w:tc>
          <w:tcPr>
            <w:tcW w:w="2268" w:type="dxa"/>
            <w:vAlign w:val="center"/>
            <w:hideMark/>
          </w:tcPr>
          <w:p w14:paraId="5006A09E"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Fiscalía General</w:t>
            </w:r>
          </w:p>
        </w:tc>
        <w:tc>
          <w:tcPr>
            <w:tcW w:w="3266" w:type="dxa"/>
            <w:vAlign w:val="center"/>
            <w:hideMark/>
          </w:tcPr>
          <w:p w14:paraId="294CA6B7"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Jose Marcos Campos Valverde</w:t>
            </w:r>
          </w:p>
        </w:tc>
      </w:tr>
      <w:tr w:rsidR="00F71780" w:rsidRPr="008473DB" w14:paraId="23E94C87" w14:textId="77777777" w:rsidTr="00301740">
        <w:tc>
          <w:tcPr>
            <w:tcW w:w="1555" w:type="dxa"/>
            <w:vAlign w:val="center"/>
            <w:hideMark/>
          </w:tcPr>
          <w:p w14:paraId="4E11FF88"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0717-MP-P10</w:t>
            </w:r>
          </w:p>
        </w:tc>
        <w:tc>
          <w:tcPr>
            <w:tcW w:w="2693" w:type="dxa"/>
            <w:vAlign w:val="center"/>
            <w:hideMark/>
          </w:tcPr>
          <w:p w14:paraId="2384F686"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Creación de la Fiscalía Adjunta de Atención de Hechos de Violencia en contra de las Niñas, Niños y Personas Adolescentes</w:t>
            </w:r>
          </w:p>
        </w:tc>
        <w:tc>
          <w:tcPr>
            <w:tcW w:w="2268" w:type="dxa"/>
            <w:vAlign w:val="center"/>
            <w:hideMark/>
          </w:tcPr>
          <w:p w14:paraId="3EF23EA8"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Fiscalia General</w:t>
            </w:r>
          </w:p>
        </w:tc>
        <w:tc>
          <w:tcPr>
            <w:tcW w:w="3266" w:type="dxa"/>
            <w:vAlign w:val="center"/>
            <w:hideMark/>
          </w:tcPr>
          <w:p w14:paraId="6E5A93E9"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Hulda Chinchilla Rizo</w:t>
            </w:r>
          </w:p>
        </w:tc>
      </w:tr>
      <w:tr w:rsidR="00F71780" w:rsidRPr="008473DB" w14:paraId="1A999F8A" w14:textId="77777777" w:rsidTr="00301740">
        <w:tc>
          <w:tcPr>
            <w:tcW w:w="1555" w:type="dxa"/>
            <w:vAlign w:val="center"/>
            <w:hideMark/>
          </w:tcPr>
          <w:p w14:paraId="4829ACB0"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0717-MP-P11</w:t>
            </w:r>
          </w:p>
        </w:tc>
        <w:tc>
          <w:tcPr>
            <w:tcW w:w="2693" w:type="dxa"/>
            <w:vAlign w:val="center"/>
            <w:hideMark/>
          </w:tcPr>
          <w:p w14:paraId="01D2A705"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Creación de la Política de Persecución de Casos para personas en condición de discapacidad y población a adulto mayor</w:t>
            </w:r>
          </w:p>
        </w:tc>
        <w:tc>
          <w:tcPr>
            <w:tcW w:w="2268" w:type="dxa"/>
            <w:vAlign w:val="center"/>
            <w:hideMark/>
          </w:tcPr>
          <w:p w14:paraId="095E1E72"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Fiscalia General</w:t>
            </w:r>
          </w:p>
        </w:tc>
        <w:tc>
          <w:tcPr>
            <w:tcW w:w="3266" w:type="dxa"/>
            <w:vAlign w:val="center"/>
            <w:hideMark/>
          </w:tcPr>
          <w:p w14:paraId="7AC2B4A9"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Tatiana Chaves Lavagni</w:t>
            </w:r>
          </w:p>
        </w:tc>
      </w:tr>
      <w:tr w:rsidR="00F71780" w:rsidRPr="008473DB" w14:paraId="7CFBFA4A" w14:textId="77777777" w:rsidTr="00301740">
        <w:tc>
          <w:tcPr>
            <w:tcW w:w="1555" w:type="dxa"/>
            <w:vAlign w:val="center"/>
            <w:hideMark/>
          </w:tcPr>
          <w:p w14:paraId="128A27E9"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1167-OIJ-P07</w:t>
            </w:r>
          </w:p>
        </w:tc>
        <w:tc>
          <w:tcPr>
            <w:tcW w:w="2693" w:type="dxa"/>
            <w:vAlign w:val="center"/>
            <w:hideMark/>
          </w:tcPr>
          <w:p w14:paraId="5929C0A7"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Fortalecimiento del Sistema Expediente Criminal Único</w:t>
            </w:r>
          </w:p>
        </w:tc>
        <w:tc>
          <w:tcPr>
            <w:tcW w:w="2268" w:type="dxa"/>
            <w:vAlign w:val="center"/>
            <w:hideMark/>
          </w:tcPr>
          <w:p w14:paraId="31D0AA8C"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Unidad Tecnología Informática</w:t>
            </w:r>
          </w:p>
        </w:tc>
        <w:tc>
          <w:tcPr>
            <w:tcW w:w="3266" w:type="dxa"/>
            <w:vAlign w:val="center"/>
            <w:hideMark/>
          </w:tcPr>
          <w:p w14:paraId="2D2B9B92"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María Nazareth Vásquez Chavarría</w:t>
            </w:r>
          </w:p>
        </w:tc>
      </w:tr>
      <w:tr w:rsidR="00F71780" w:rsidRPr="008473DB" w14:paraId="35629A2C" w14:textId="77777777" w:rsidTr="00301740">
        <w:tc>
          <w:tcPr>
            <w:tcW w:w="1555" w:type="dxa"/>
            <w:vAlign w:val="center"/>
            <w:hideMark/>
          </w:tcPr>
          <w:p w14:paraId="69BDE94F"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1167-OIJ-P08</w:t>
            </w:r>
          </w:p>
        </w:tc>
        <w:tc>
          <w:tcPr>
            <w:tcW w:w="2693" w:type="dxa"/>
            <w:vAlign w:val="center"/>
            <w:hideMark/>
          </w:tcPr>
          <w:p w14:paraId="35AC626D"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Sistema de Control Vehicular</w:t>
            </w:r>
          </w:p>
        </w:tc>
        <w:tc>
          <w:tcPr>
            <w:tcW w:w="2268" w:type="dxa"/>
            <w:vAlign w:val="center"/>
            <w:hideMark/>
          </w:tcPr>
          <w:p w14:paraId="3148CA90"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Unidad Tecnología Informática</w:t>
            </w:r>
          </w:p>
        </w:tc>
        <w:tc>
          <w:tcPr>
            <w:tcW w:w="3266" w:type="dxa"/>
            <w:vAlign w:val="center"/>
            <w:hideMark/>
          </w:tcPr>
          <w:p w14:paraId="508FBD6B"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Alexander Carvajal Alfaro</w:t>
            </w:r>
          </w:p>
        </w:tc>
      </w:tr>
      <w:tr w:rsidR="00F71780" w:rsidRPr="008473DB" w14:paraId="6900454F" w14:textId="77777777" w:rsidTr="00301740">
        <w:tc>
          <w:tcPr>
            <w:tcW w:w="1555" w:type="dxa"/>
            <w:vAlign w:val="center"/>
            <w:hideMark/>
          </w:tcPr>
          <w:p w14:paraId="22C15DD5"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1167-OIJ-P09</w:t>
            </w:r>
          </w:p>
        </w:tc>
        <w:tc>
          <w:tcPr>
            <w:tcW w:w="2693" w:type="dxa"/>
            <w:vAlign w:val="center"/>
            <w:hideMark/>
          </w:tcPr>
          <w:p w14:paraId="6F3971AB"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Sistema Automotriz de Reparaciones (SARIM)</w:t>
            </w:r>
          </w:p>
        </w:tc>
        <w:tc>
          <w:tcPr>
            <w:tcW w:w="2268" w:type="dxa"/>
            <w:vAlign w:val="center"/>
            <w:hideMark/>
          </w:tcPr>
          <w:p w14:paraId="09CA9D4B"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Unidad Tecnología Informática</w:t>
            </w:r>
          </w:p>
        </w:tc>
        <w:tc>
          <w:tcPr>
            <w:tcW w:w="3266" w:type="dxa"/>
            <w:vAlign w:val="center"/>
            <w:hideMark/>
          </w:tcPr>
          <w:p w14:paraId="3D00F693"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Róger Martínez Ruiz</w:t>
            </w:r>
          </w:p>
        </w:tc>
      </w:tr>
      <w:tr w:rsidR="00F71780" w:rsidRPr="008473DB" w14:paraId="638734D3" w14:textId="77777777" w:rsidTr="00301740">
        <w:tc>
          <w:tcPr>
            <w:tcW w:w="1555" w:type="dxa"/>
            <w:vAlign w:val="center"/>
            <w:hideMark/>
          </w:tcPr>
          <w:p w14:paraId="4A6FD4B8"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1167-OIJ-P12</w:t>
            </w:r>
          </w:p>
        </w:tc>
        <w:tc>
          <w:tcPr>
            <w:tcW w:w="2693" w:type="dxa"/>
            <w:vAlign w:val="center"/>
            <w:hideMark/>
          </w:tcPr>
          <w:p w14:paraId="3F407BB3"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Aplicación Móvil del OIJ</w:t>
            </w:r>
          </w:p>
        </w:tc>
        <w:tc>
          <w:tcPr>
            <w:tcW w:w="2268" w:type="dxa"/>
            <w:vAlign w:val="center"/>
            <w:hideMark/>
          </w:tcPr>
          <w:p w14:paraId="27D6483D"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Unidad Tecnología Informática</w:t>
            </w:r>
          </w:p>
        </w:tc>
        <w:tc>
          <w:tcPr>
            <w:tcW w:w="3266" w:type="dxa"/>
            <w:vAlign w:val="center"/>
            <w:hideMark/>
          </w:tcPr>
          <w:p w14:paraId="629E0734"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Alexander Carvajal Alfaro</w:t>
            </w:r>
          </w:p>
        </w:tc>
      </w:tr>
      <w:tr w:rsidR="00F71780" w:rsidRPr="008473DB" w14:paraId="6FD43EC3" w14:textId="77777777" w:rsidTr="00301740">
        <w:tc>
          <w:tcPr>
            <w:tcW w:w="1555" w:type="dxa"/>
            <w:vAlign w:val="center"/>
            <w:hideMark/>
          </w:tcPr>
          <w:p w14:paraId="550261CF"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1167-OIJ-P13</w:t>
            </w:r>
          </w:p>
        </w:tc>
        <w:tc>
          <w:tcPr>
            <w:tcW w:w="2693" w:type="dxa"/>
            <w:vAlign w:val="center"/>
            <w:hideMark/>
          </w:tcPr>
          <w:p w14:paraId="576F3643"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Estructura para el Abordaje de Casos de Corrupción</w:t>
            </w:r>
          </w:p>
        </w:tc>
        <w:tc>
          <w:tcPr>
            <w:tcW w:w="2268" w:type="dxa"/>
            <w:vAlign w:val="center"/>
            <w:hideMark/>
          </w:tcPr>
          <w:p w14:paraId="6081900A"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Seccion de Anticorrupción Delitos Económicos</w:t>
            </w:r>
          </w:p>
        </w:tc>
        <w:tc>
          <w:tcPr>
            <w:tcW w:w="3266" w:type="dxa"/>
            <w:vAlign w:val="center"/>
            <w:hideMark/>
          </w:tcPr>
          <w:p w14:paraId="657FB875"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Armando Jiménez Vargas / Humberto Siles Vargas</w:t>
            </w:r>
          </w:p>
        </w:tc>
      </w:tr>
      <w:tr w:rsidR="00F71780" w:rsidRPr="008473DB" w14:paraId="725C5427" w14:textId="77777777" w:rsidTr="00301740">
        <w:tc>
          <w:tcPr>
            <w:tcW w:w="1555" w:type="dxa"/>
            <w:vAlign w:val="center"/>
            <w:hideMark/>
          </w:tcPr>
          <w:p w14:paraId="3C78AC03"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1377-PJR-P01</w:t>
            </w:r>
          </w:p>
        </w:tc>
        <w:tc>
          <w:tcPr>
            <w:tcW w:w="2693" w:type="dxa"/>
            <w:vAlign w:val="center"/>
            <w:hideMark/>
          </w:tcPr>
          <w:p w14:paraId="7C6BBB97"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Proyecto de Cooperación Corte-USA-NCSC sobre Justicia Juvenil Restaurativa</w:t>
            </w:r>
          </w:p>
        </w:tc>
        <w:tc>
          <w:tcPr>
            <w:tcW w:w="2268" w:type="dxa"/>
            <w:vAlign w:val="center"/>
            <w:hideMark/>
          </w:tcPr>
          <w:p w14:paraId="4C087B27"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Programa Justicia Restaurativa</w:t>
            </w:r>
          </w:p>
        </w:tc>
        <w:tc>
          <w:tcPr>
            <w:tcW w:w="3266" w:type="dxa"/>
            <w:vAlign w:val="center"/>
            <w:hideMark/>
          </w:tcPr>
          <w:p w14:paraId="7C696533" w14:textId="77777777" w:rsidR="00F71780" w:rsidRPr="008473DB" w:rsidRDefault="00F71780" w:rsidP="00F400D6">
            <w:pPr>
              <w:jc w:val="center"/>
              <w:rPr>
                <w:rFonts w:ascii="Book Antiqua" w:eastAsia="Times New Roman" w:hAnsi="Book Antiqua" w:cs="Segoe UI"/>
                <w:sz w:val="18"/>
                <w:szCs w:val="18"/>
                <w:lang w:eastAsia="es-CR"/>
              </w:rPr>
            </w:pPr>
            <w:r w:rsidRPr="008473DB">
              <w:rPr>
                <w:rFonts w:ascii="Book Antiqua" w:eastAsia="Times New Roman" w:hAnsi="Book Antiqua" w:cs="Segoe UI"/>
                <w:sz w:val="18"/>
                <w:szCs w:val="18"/>
                <w:lang w:eastAsia="es-CR"/>
              </w:rPr>
              <w:t>Jorge Mario Gonzáles Delgado</w:t>
            </w:r>
          </w:p>
        </w:tc>
      </w:tr>
    </w:tbl>
    <w:p w14:paraId="5B155B78" w14:textId="77777777" w:rsidR="00F71780" w:rsidRPr="002B721A" w:rsidRDefault="00F71780" w:rsidP="00F71780">
      <w:pPr>
        <w:spacing w:after="0"/>
        <w:jc w:val="both"/>
        <w:rPr>
          <w:rFonts w:ascii="Book Antiqua" w:hAnsi="Book Antiqua"/>
          <w:sz w:val="20"/>
          <w:szCs w:val="20"/>
        </w:rPr>
      </w:pPr>
      <w:r w:rsidRPr="002B721A">
        <w:rPr>
          <w:rFonts w:ascii="Book Antiqua" w:hAnsi="Book Antiqua"/>
          <w:b/>
          <w:bCs/>
          <w:sz w:val="20"/>
          <w:szCs w:val="20"/>
        </w:rPr>
        <w:t>Fuente:</w:t>
      </w:r>
      <w:r w:rsidRPr="002B721A">
        <w:rPr>
          <w:rFonts w:ascii="Book Antiqua" w:hAnsi="Book Antiqua"/>
          <w:sz w:val="20"/>
          <w:szCs w:val="20"/>
        </w:rPr>
        <w:t xml:space="preserve"> </w:t>
      </w:r>
      <w:r>
        <w:rPr>
          <w:rFonts w:ascii="Book Antiqua" w:hAnsi="Book Antiqua"/>
          <w:sz w:val="20"/>
          <w:szCs w:val="20"/>
        </w:rPr>
        <w:t>E</w:t>
      </w:r>
      <w:r w:rsidRPr="002B721A">
        <w:rPr>
          <w:rFonts w:ascii="Book Antiqua" w:hAnsi="Book Antiqua"/>
          <w:sz w:val="20"/>
          <w:szCs w:val="20"/>
        </w:rPr>
        <w:t>laboración propia con información del MS Project Online.</w:t>
      </w:r>
    </w:p>
    <w:p w14:paraId="5D62FBCF" w14:textId="77777777" w:rsidR="00F71780" w:rsidRDefault="00F71780" w:rsidP="00F71780">
      <w:pPr>
        <w:spacing w:after="0"/>
        <w:jc w:val="both"/>
        <w:rPr>
          <w:rFonts w:ascii="Book Antiqua" w:hAnsi="Book Antiqua"/>
          <w:sz w:val="24"/>
          <w:szCs w:val="24"/>
        </w:rPr>
      </w:pPr>
    </w:p>
    <w:p w14:paraId="39631FA6" w14:textId="77777777" w:rsidR="00F71780" w:rsidRDefault="00F71780" w:rsidP="00F71780">
      <w:pPr>
        <w:spacing w:after="0"/>
        <w:jc w:val="both"/>
        <w:rPr>
          <w:rFonts w:ascii="Book Antiqua" w:hAnsi="Book Antiqua"/>
          <w:sz w:val="24"/>
          <w:szCs w:val="24"/>
        </w:rPr>
      </w:pPr>
      <w:r>
        <w:rPr>
          <w:rFonts w:ascii="Book Antiqua" w:hAnsi="Book Antiqua"/>
          <w:sz w:val="24"/>
          <w:szCs w:val="24"/>
        </w:rPr>
        <w:t>Adicionalmente, se encuentra a la espera del acuerdo del Consejo Superior de 14 proyectos, los cuales ya cuentan con la evaluación de los beneficios; para poder modificar el estado de estos de “Pendiente de Evaluación” a “Terminado”.</w:t>
      </w:r>
    </w:p>
    <w:p w14:paraId="2AC1E8EA" w14:textId="77777777" w:rsidR="00F71780" w:rsidRDefault="00F71780" w:rsidP="00F71780">
      <w:pPr>
        <w:spacing w:after="0"/>
        <w:jc w:val="both"/>
        <w:rPr>
          <w:rFonts w:ascii="Book Antiqua" w:hAnsi="Book Antiqua"/>
          <w:sz w:val="24"/>
          <w:szCs w:val="24"/>
        </w:rPr>
      </w:pPr>
    </w:p>
    <w:p w14:paraId="6C112907" w14:textId="1B3D2389" w:rsidR="00F71780" w:rsidRPr="00A7495E" w:rsidRDefault="00F71780" w:rsidP="00F71780">
      <w:pPr>
        <w:pStyle w:val="Descripcin"/>
        <w:keepNext/>
        <w:spacing w:after="0"/>
        <w:jc w:val="center"/>
        <w:rPr>
          <w:rFonts w:ascii="Book Antiqua" w:hAnsi="Book Antiqua" w:cs="&amp;quot"/>
          <w:b/>
          <w:i w:val="0"/>
          <w:iCs w:val="0"/>
          <w:color w:val="auto"/>
          <w:sz w:val="24"/>
          <w:szCs w:val="24"/>
        </w:rPr>
      </w:pPr>
      <w:bookmarkStart w:id="102" w:name="_Toc131155953"/>
      <w:r w:rsidRPr="00A7495E">
        <w:rPr>
          <w:rFonts w:ascii="Book Antiqua" w:hAnsi="Book Antiqua" w:cs="&amp;quot"/>
          <w:b/>
          <w:i w:val="0"/>
          <w:iCs w:val="0"/>
          <w:color w:val="auto"/>
          <w:sz w:val="24"/>
          <w:szCs w:val="24"/>
        </w:rPr>
        <w:lastRenderedPageBreak/>
        <w:t xml:space="preserve">Tabla </w:t>
      </w:r>
      <w:r w:rsidRPr="00A7495E">
        <w:rPr>
          <w:rFonts w:ascii="Book Antiqua" w:hAnsi="Book Antiqua" w:cs="&amp;quot"/>
          <w:b/>
          <w:i w:val="0"/>
          <w:iCs w:val="0"/>
          <w:color w:val="auto"/>
          <w:sz w:val="24"/>
          <w:szCs w:val="24"/>
        </w:rPr>
        <w:fldChar w:fldCharType="begin"/>
      </w:r>
      <w:r w:rsidRPr="00A7495E">
        <w:rPr>
          <w:rFonts w:ascii="Book Antiqua" w:hAnsi="Book Antiqua" w:cs="&amp;quot"/>
          <w:b/>
          <w:i w:val="0"/>
          <w:iCs w:val="0"/>
          <w:color w:val="auto"/>
          <w:sz w:val="24"/>
          <w:szCs w:val="24"/>
        </w:rPr>
        <w:instrText xml:space="preserve"> SEQ Tabla \* ARABIC </w:instrText>
      </w:r>
      <w:r w:rsidRPr="00A7495E">
        <w:rPr>
          <w:rFonts w:ascii="Book Antiqua" w:hAnsi="Book Antiqua" w:cs="&amp;quot"/>
          <w:b/>
          <w:i w:val="0"/>
          <w:iCs w:val="0"/>
          <w:color w:val="auto"/>
          <w:sz w:val="24"/>
          <w:szCs w:val="24"/>
        </w:rPr>
        <w:fldChar w:fldCharType="separate"/>
      </w:r>
      <w:r w:rsidR="000A3123">
        <w:rPr>
          <w:rFonts w:ascii="Book Antiqua" w:hAnsi="Book Antiqua" w:cs="&amp;quot"/>
          <w:b/>
          <w:i w:val="0"/>
          <w:iCs w:val="0"/>
          <w:noProof/>
          <w:color w:val="auto"/>
          <w:sz w:val="24"/>
          <w:szCs w:val="24"/>
        </w:rPr>
        <w:t>30</w:t>
      </w:r>
      <w:r w:rsidRPr="00A7495E">
        <w:rPr>
          <w:rFonts w:ascii="Book Antiqua" w:hAnsi="Book Antiqua" w:cs="&amp;quot"/>
          <w:b/>
          <w:i w:val="0"/>
          <w:iCs w:val="0"/>
          <w:color w:val="auto"/>
          <w:sz w:val="24"/>
          <w:szCs w:val="24"/>
        </w:rPr>
        <w:fldChar w:fldCharType="end"/>
      </w:r>
      <w:r w:rsidRPr="00A7495E">
        <w:rPr>
          <w:rFonts w:ascii="Book Antiqua" w:hAnsi="Book Antiqua" w:cs="&amp;quot"/>
          <w:b/>
          <w:i w:val="0"/>
          <w:iCs w:val="0"/>
          <w:color w:val="auto"/>
          <w:sz w:val="24"/>
          <w:szCs w:val="24"/>
        </w:rPr>
        <w:t xml:space="preserve"> Detalle de proyectos estratégicos que ya cuentan con proceso de evaluación de resultados finalizado.</w:t>
      </w:r>
      <w:bookmarkEnd w:id="102"/>
    </w:p>
    <w:tbl>
      <w:tblPr>
        <w:tblStyle w:val="Tablaconcuadrcula1"/>
        <w:tblW w:w="9782" w:type="dxa"/>
        <w:tblInd w:w="-289" w:type="dxa"/>
        <w:tblLook w:val="04A0" w:firstRow="1" w:lastRow="0" w:firstColumn="1" w:lastColumn="0" w:noHBand="0" w:noVBand="1"/>
      </w:tblPr>
      <w:tblGrid>
        <w:gridCol w:w="1556"/>
        <w:gridCol w:w="3264"/>
        <w:gridCol w:w="2127"/>
        <w:gridCol w:w="2835"/>
      </w:tblGrid>
      <w:tr w:rsidR="007E6FC1" w:rsidRPr="00C005C0" w14:paraId="2A15775C" w14:textId="77777777" w:rsidTr="00EF4E17">
        <w:trPr>
          <w:trHeight w:val="360"/>
          <w:tblHeader/>
        </w:trPr>
        <w:tc>
          <w:tcPr>
            <w:tcW w:w="1556" w:type="dxa"/>
            <w:shd w:val="clear" w:color="auto" w:fill="44546A" w:themeFill="text2"/>
            <w:vAlign w:val="center"/>
            <w:hideMark/>
          </w:tcPr>
          <w:p w14:paraId="695FF172" w14:textId="77777777" w:rsidR="00F71780" w:rsidRPr="00C005C0" w:rsidRDefault="00F71780" w:rsidP="00F400D6">
            <w:pPr>
              <w:jc w:val="center"/>
              <w:rPr>
                <w:rFonts w:ascii="Book Antiqua" w:eastAsia="Times New Roman" w:hAnsi="Book Antiqua" w:cstheme="minorHAnsi"/>
                <w:b/>
                <w:color w:val="FFFFFF"/>
                <w:sz w:val="18"/>
                <w:szCs w:val="18"/>
                <w:lang w:eastAsia="es-CR"/>
              </w:rPr>
            </w:pPr>
            <w:r w:rsidRPr="00C005C0">
              <w:rPr>
                <w:rFonts w:ascii="Book Antiqua" w:eastAsia="Times New Roman" w:hAnsi="Book Antiqua" w:cstheme="minorHAnsi"/>
                <w:b/>
                <w:color w:val="FFFFFF"/>
                <w:sz w:val="18"/>
                <w:szCs w:val="18"/>
                <w:lang w:eastAsia="es-CR"/>
              </w:rPr>
              <w:t>Código</w:t>
            </w:r>
          </w:p>
        </w:tc>
        <w:tc>
          <w:tcPr>
            <w:tcW w:w="3264" w:type="dxa"/>
            <w:shd w:val="clear" w:color="auto" w:fill="44546A" w:themeFill="text2"/>
            <w:vAlign w:val="center"/>
            <w:hideMark/>
          </w:tcPr>
          <w:p w14:paraId="20BE7EA7" w14:textId="77777777" w:rsidR="00F71780" w:rsidRPr="00C005C0" w:rsidRDefault="00F71780" w:rsidP="00F400D6">
            <w:pPr>
              <w:jc w:val="center"/>
              <w:rPr>
                <w:rFonts w:ascii="Book Antiqua" w:eastAsia="Times New Roman" w:hAnsi="Book Antiqua" w:cstheme="minorHAnsi"/>
                <w:b/>
                <w:color w:val="FFFFFF"/>
                <w:sz w:val="18"/>
                <w:szCs w:val="18"/>
                <w:lang w:eastAsia="es-CR"/>
              </w:rPr>
            </w:pPr>
            <w:r w:rsidRPr="00C005C0">
              <w:rPr>
                <w:rFonts w:ascii="Book Antiqua" w:eastAsia="Times New Roman" w:hAnsi="Book Antiqua" w:cstheme="minorHAnsi"/>
                <w:b/>
                <w:color w:val="FFFFFF"/>
                <w:sz w:val="18"/>
                <w:szCs w:val="18"/>
                <w:lang w:eastAsia="es-CR"/>
              </w:rPr>
              <w:t>Nombre del proyecto</w:t>
            </w:r>
          </w:p>
        </w:tc>
        <w:tc>
          <w:tcPr>
            <w:tcW w:w="2127" w:type="dxa"/>
            <w:shd w:val="clear" w:color="auto" w:fill="44546A" w:themeFill="text2"/>
            <w:vAlign w:val="center"/>
            <w:hideMark/>
          </w:tcPr>
          <w:p w14:paraId="470D9726" w14:textId="77777777" w:rsidR="00F71780" w:rsidRPr="00C005C0" w:rsidRDefault="00F71780" w:rsidP="00F400D6">
            <w:pPr>
              <w:jc w:val="center"/>
              <w:rPr>
                <w:rFonts w:ascii="Book Antiqua" w:eastAsia="Times New Roman" w:hAnsi="Book Antiqua" w:cstheme="minorHAnsi"/>
                <w:b/>
                <w:color w:val="FFFFFF"/>
                <w:sz w:val="18"/>
                <w:szCs w:val="18"/>
                <w:lang w:eastAsia="es-CR"/>
              </w:rPr>
            </w:pPr>
            <w:r w:rsidRPr="00C005C0">
              <w:rPr>
                <w:rFonts w:ascii="Book Antiqua" w:eastAsia="Times New Roman" w:hAnsi="Book Antiqua" w:cstheme="minorHAnsi"/>
                <w:b/>
                <w:color w:val="FFFFFF"/>
                <w:sz w:val="18"/>
                <w:szCs w:val="18"/>
                <w:lang w:eastAsia="es-CR"/>
              </w:rPr>
              <w:t>Oficina Líder</w:t>
            </w:r>
          </w:p>
        </w:tc>
        <w:tc>
          <w:tcPr>
            <w:tcW w:w="2835" w:type="dxa"/>
            <w:shd w:val="clear" w:color="auto" w:fill="44546A" w:themeFill="text2"/>
            <w:vAlign w:val="center"/>
            <w:hideMark/>
          </w:tcPr>
          <w:p w14:paraId="6F6C5568" w14:textId="77777777" w:rsidR="00F71780" w:rsidRPr="00C005C0" w:rsidRDefault="00F71780" w:rsidP="00F400D6">
            <w:pPr>
              <w:jc w:val="center"/>
              <w:rPr>
                <w:rFonts w:ascii="Book Antiqua" w:eastAsia="Times New Roman" w:hAnsi="Book Antiqua" w:cstheme="minorHAnsi"/>
                <w:b/>
                <w:color w:val="FFFFFF"/>
                <w:sz w:val="18"/>
                <w:szCs w:val="18"/>
                <w:lang w:eastAsia="es-CR"/>
              </w:rPr>
            </w:pPr>
            <w:r w:rsidRPr="00C005C0">
              <w:rPr>
                <w:rFonts w:ascii="Book Antiqua" w:eastAsia="Times New Roman" w:hAnsi="Book Antiqua" w:cstheme="minorHAnsi"/>
                <w:b/>
                <w:color w:val="FFFFFF"/>
                <w:sz w:val="18"/>
                <w:szCs w:val="18"/>
                <w:lang w:eastAsia="es-CR"/>
              </w:rPr>
              <w:t>Líder del Proyecto</w:t>
            </w:r>
          </w:p>
        </w:tc>
      </w:tr>
      <w:tr w:rsidR="00F71780" w:rsidRPr="00C005C0" w14:paraId="5BE37AD5" w14:textId="77777777" w:rsidTr="00EF4E17">
        <w:trPr>
          <w:trHeight w:val="300"/>
        </w:trPr>
        <w:tc>
          <w:tcPr>
            <w:tcW w:w="1556" w:type="dxa"/>
            <w:noWrap/>
            <w:vAlign w:val="center"/>
            <w:hideMark/>
          </w:tcPr>
          <w:p w14:paraId="1490D293"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0032-DP-P06</w:t>
            </w:r>
          </w:p>
        </w:tc>
        <w:tc>
          <w:tcPr>
            <w:tcW w:w="3264" w:type="dxa"/>
            <w:noWrap/>
            <w:vAlign w:val="center"/>
            <w:hideMark/>
          </w:tcPr>
          <w:p w14:paraId="12EB1631"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Implementación Código Procesal Agraria (Defensa Pública)</w:t>
            </w:r>
          </w:p>
        </w:tc>
        <w:tc>
          <w:tcPr>
            <w:tcW w:w="2127" w:type="dxa"/>
            <w:vAlign w:val="center"/>
          </w:tcPr>
          <w:p w14:paraId="5FBEFF89"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Jefatura Defensa Publica</w:t>
            </w:r>
          </w:p>
        </w:tc>
        <w:tc>
          <w:tcPr>
            <w:tcW w:w="2835" w:type="dxa"/>
            <w:vAlign w:val="center"/>
          </w:tcPr>
          <w:p w14:paraId="3D5E0B47"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Erick Núñez Rodríguez</w:t>
            </w:r>
          </w:p>
        </w:tc>
      </w:tr>
      <w:tr w:rsidR="00F71780" w:rsidRPr="00C005C0" w14:paraId="0D03093B" w14:textId="77777777" w:rsidTr="00EF4E17">
        <w:trPr>
          <w:trHeight w:val="300"/>
        </w:trPr>
        <w:tc>
          <w:tcPr>
            <w:tcW w:w="1556" w:type="dxa"/>
            <w:noWrap/>
            <w:vAlign w:val="center"/>
            <w:hideMark/>
          </w:tcPr>
          <w:p w14:paraId="40EC27A1"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0110-PLA-P11</w:t>
            </w:r>
          </w:p>
        </w:tc>
        <w:tc>
          <w:tcPr>
            <w:tcW w:w="3264" w:type="dxa"/>
            <w:noWrap/>
            <w:vAlign w:val="center"/>
            <w:hideMark/>
          </w:tcPr>
          <w:p w14:paraId="3EB914B2"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Abordaje a la entrada en vigencia del Código Procesal Agrario (Dirección de Planificación)</w:t>
            </w:r>
          </w:p>
        </w:tc>
        <w:tc>
          <w:tcPr>
            <w:tcW w:w="2127" w:type="dxa"/>
            <w:vAlign w:val="center"/>
          </w:tcPr>
          <w:p w14:paraId="5D5BB5E5"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Subproceso Modernización Institucional</w:t>
            </w:r>
          </w:p>
        </w:tc>
        <w:tc>
          <w:tcPr>
            <w:tcW w:w="2835" w:type="dxa"/>
            <w:vAlign w:val="center"/>
          </w:tcPr>
          <w:p w14:paraId="225E0C1A"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Lucía Zeledón Quirós</w:t>
            </w:r>
          </w:p>
        </w:tc>
      </w:tr>
      <w:tr w:rsidR="00F71780" w:rsidRPr="00C005C0" w14:paraId="1D9ED723" w14:textId="77777777" w:rsidTr="00EF4E17">
        <w:trPr>
          <w:trHeight w:val="300"/>
        </w:trPr>
        <w:tc>
          <w:tcPr>
            <w:tcW w:w="1556" w:type="dxa"/>
            <w:noWrap/>
            <w:vAlign w:val="center"/>
            <w:hideMark/>
          </w:tcPr>
          <w:p w14:paraId="4885D05C"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0110-PLA-P15</w:t>
            </w:r>
          </w:p>
        </w:tc>
        <w:tc>
          <w:tcPr>
            <w:tcW w:w="3264" w:type="dxa"/>
            <w:noWrap/>
            <w:vAlign w:val="center"/>
            <w:hideMark/>
          </w:tcPr>
          <w:p w14:paraId="50972E8A"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Virtualización de servicios Jurisdiccionales Poder Judicial</w:t>
            </w:r>
          </w:p>
        </w:tc>
        <w:tc>
          <w:tcPr>
            <w:tcW w:w="2127" w:type="dxa"/>
            <w:vAlign w:val="center"/>
          </w:tcPr>
          <w:p w14:paraId="52E14B29"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Subproceso Evaluación</w:t>
            </w:r>
          </w:p>
        </w:tc>
        <w:tc>
          <w:tcPr>
            <w:tcW w:w="2835" w:type="dxa"/>
            <w:vAlign w:val="center"/>
          </w:tcPr>
          <w:p w14:paraId="280D345F"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Melissa Durán Gamboa</w:t>
            </w:r>
          </w:p>
        </w:tc>
      </w:tr>
      <w:tr w:rsidR="00F71780" w:rsidRPr="00C005C0" w14:paraId="0F176631" w14:textId="77777777" w:rsidTr="00EF4E17">
        <w:trPr>
          <w:trHeight w:val="300"/>
        </w:trPr>
        <w:tc>
          <w:tcPr>
            <w:tcW w:w="1556" w:type="dxa"/>
            <w:noWrap/>
            <w:vAlign w:val="center"/>
            <w:hideMark/>
          </w:tcPr>
          <w:p w14:paraId="71B01D26"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0117-DE-P02</w:t>
            </w:r>
          </w:p>
        </w:tc>
        <w:tc>
          <w:tcPr>
            <w:tcW w:w="3264" w:type="dxa"/>
            <w:noWrap/>
            <w:vAlign w:val="center"/>
            <w:hideMark/>
          </w:tcPr>
          <w:p w14:paraId="0C5B26EE"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Cargas Termohigronométricas Edificio I Circuito Judicial Alajuela</w:t>
            </w:r>
          </w:p>
        </w:tc>
        <w:tc>
          <w:tcPr>
            <w:tcW w:w="2127" w:type="dxa"/>
            <w:vAlign w:val="center"/>
          </w:tcPr>
          <w:p w14:paraId="1FF13023"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Administración Regional I Circuito Judicial Alajuela</w:t>
            </w:r>
          </w:p>
        </w:tc>
        <w:tc>
          <w:tcPr>
            <w:tcW w:w="2835" w:type="dxa"/>
            <w:vAlign w:val="center"/>
          </w:tcPr>
          <w:p w14:paraId="02D0609F"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María José Chaves Arguello</w:t>
            </w:r>
          </w:p>
        </w:tc>
      </w:tr>
      <w:tr w:rsidR="00F71780" w:rsidRPr="00C005C0" w14:paraId="2D39DA0A" w14:textId="77777777" w:rsidTr="00EF4E17">
        <w:trPr>
          <w:trHeight w:val="300"/>
        </w:trPr>
        <w:tc>
          <w:tcPr>
            <w:tcW w:w="1556" w:type="dxa"/>
            <w:noWrap/>
            <w:vAlign w:val="center"/>
            <w:hideMark/>
          </w:tcPr>
          <w:p w14:paraId="0FB822A6"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0117-DE-P04</w:t>
            </w:r>
          </w:p>
        </w:tc>
        <w:tc>
          <w:tcPr>
            <w:tcW w:w="3264" w:type="dxa"/>
            <w:noWrap/>
            <w:vAlign w:val="center"/>
            <w:hideMark/>
          </w:tcPr>
          <w:p w14:paraId="2615F14E"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Cambios en el SIGA-PJ por el IVA</w:t>
            </w:r>
          </w:p>
        </w:tc>
        <w:tc>
          <w:tcPr>
            <w:tcW w:w="2127" w:type="dxa"/>
            <w:vAlign w:val="center"/>
          </w:tcPr>
          <w:p w14:paraId="32D6FD40"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Departamento Financiero Contable</w:t>
            </w:r>
          </w:p>
        </w:tc>
        <w:tc>
          <w:tcPr>
            <w:tcW w:w="2835" w:type="dxa"/>
            <w:vAlign w:val="center"/>
          </w:tcPr>
          <w:p w14:paraId="7CBE57C3"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Ingrid Moya Aguilar</w:t>
            </w:r>
          </w:p>
        </w:tc>
      </w:tr>
      <w:tr w:rsidR="00F71780" w:rsidRPr="00C005C0" w14:paraId="44AFF6F1" w14:textId="77777777" w:rsidTr="00EF4E17">
        <w:trPr>
          <w:trHeight w:val="300"/>
        </w:trPr>
        <w:tc>
          <w:tcPr>
            <w:tcW w:w="1556" w:type="dxa"/>
            <w:noWrap/>
            <w:vAlign w:val="center"/>
            <w:hideMark/>
          </w:tcPr>
          <w:p w14:paraId="1F6E7166"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0122-DTI-P03</w:t>
            </w:r>
          </w:p>
        </w:tc>
        <w:tc>
          <w:tcPr>
            <w:tcW w:w="3264" w:type="dxa"/>
            <w:noWrap/>
            <w:vAlign w:val="center"/>
            <w:hideMark/>
          </w:tcPr>
          <w:p w14:paraId="6B011FA2"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Herramientas de inteligencia de información (Fortalecimiento del Data Administrativo)</w:t>
            </w:r>
          </w:p>
        </w:tc>
        <w:tc>
          <w:tcPr>
            <w:tcW w:w="2127" w:type="dxa"/>
            <w:vAlign w:val="center"/>
          </w:tcPr>
          <w:p w14:paraId="252771EE"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Unidad Inteligencia Información</w:t>
            </w:r>
          </w:p>
        </w:tc>
        <w:tc>
          <w:tcPr>
            <w:tcW w:w="2835" w:type="dxa"/>
            <w:vAlign w:val="center"/>
          </w:tcPr>
          <w:p w14:paraId="754A7679"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Carlos Morales Navarro</w:t>
            </w:r>
          </w:p>
        </w:tc>
      </w:tr>
      <w:tr w:rsidR="00F71780" w:rsidRPr="00C005C0" w14:paraId="70261178" w14:textId="77777777" w:rsidTr="00EF4E17">
        <w:trPr>
          <w:trHeight w:val="300"/>
        </w:trPr>
        <w:tc>
          <w:tcPr>
            <w:tcW w:w="1556" w:type="dxa"/>
            <w:noWrap/>
            <w:vAlign w:val="center"/>
            <w:hideMark/>
          </w:tcPr>
          <w:p w14:paraId="2DA1667A"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0122-DTI-P06</w:t>
            </w:r>
          </w:p>
        </w:tc>
        <w:tc>
          <w:tcPr>
            <w:tcW w:w="3264" w:type="dxa"/>
            <w:noWrap/>
            <w:vAlign w:val="center"/>
            <w:hideMark/>
          </w:tcPr>
          <w:p w14:paraId="23E51184"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Diseñar e implementar el Sistema de Gestión de la Seguridad de la Información (SGSI)</w:t>
            </w:r>
          </w:p>
        </w:tc>
        <w:tc>
          <w:tcPr>
            <w:tcW w:w="2127" w:type="dxa"/>
            <w:vAlign w:val="center"/>
          </w:tcPr>
          <w:p w14:paraId="25DDBB76"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Subproceso de Normas y Estándares</w:t>
            </w:r>
          </w:p>
        </w:tc>
        <w:tc>
          <w:tcPr>
            <w:tcW w:w="2835" w:type="dxa"/>
            <w:vAlign w:val="center"/>
          </w:tcPr>
          <w:p w14:paraId="466D74C9" w14:textId="769407C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Laura Quir</w:t>
            </w:r>
            <w:r>
              <w:rPr>
                <w:rFonts w:ascii="Book Antiqua" w:hAnsi="Book Antiqua" w:cs="Calibri"/>
                <w:color w:val="000000"/>
                <w:sz w:val="18"/>
                <w:szCs w:val="18"/>
              </w:rPr>
              <w:t>ó</w:t>
            </w:r>
            <w:r w:rsidRPr="00C005C0">
              <w:rPr>
                <w:rFonts w:ascii="Book Antiqua" w:hAnsi="Book Antiqua" w:cs="Calibri"/>
                <w:color w:val="000000"/>
                <w:sz w:val="18"/>
                <w:szCs w:val="18"/>
              </w:rPr>
              <w:t>s</w:t>
            </w:r>
          </w:p>
        </w:tc>
      </w:tr>
      <w:tr w:rsidR="00F71780" w:rsidRPr="00C005C0" w14:paraId="1F858D59" w14:textId="77777777" w:rsidTr="00EF4E17">
        <w:trPr>
          <w:trHeight w:val="300"/>
        </w:trPr>
        <w:tc>
          <w:tcPr>
            <w:tcW w:w="1556" w:type="dxa"/>
            <w:noWrap/>
            <w:vAlign w:val="center"/>
            <w:hideMark/>
          </w:tcPr>
          <w:p w14:paraId="7F79093F"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0122-DTI-P08</w:t>
            </w:r>
          </w:p>
        </w:tc>
        <w:tc>
          <w:tcPr>
            <w:tcW w:w="3264" w:type="dxa"/>
            <w:noWrap/>
            <w:vAlign w:val="center"/>
            <w:hideMark/>
          </w:tcPr>
          <w:p w14:paraId="6164C260"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Actualización de los equipos activos de las redes LAN</w:t>
            </w:r>
          </w:p>
        </w:tc>
        <w:tc>
          <w:tcPr>
            <w:tcW w:w="2127" w:type="dxa"/>
            <w:vAlign w:val="center"/>
          </w:tcPr>
          <w:p w14:paraId="7181CCE4"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Subproceso Telemática</w:t>
            </w:r>
          </w:p>
        </w:tc>
        <w:tc>
          <w:tcPr>
            <w:tcW w:w="2835" w:type="dxa"/>
            <w:vAlign w:val="center"/>
          </w:tcPr>
          <w:p w14:paraId="1B9E35E0"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Bertony Jiménez Campos</w:t>
            </w:r>
          </w:p>
        </w:tc>
      </w:tr>
      <w:tr w:rsidR="00F71780" w:rsidRPr="00C005C0" w14:paraId="36631A78" w14:textId="77777777" w:rsidTr="00EF4E17">
        <w:trPr>
          <w:trHeight w:val="300"/>
        </w:trPr>
        <w:tc>
          <w:tcPr>
            <w:tcW w:w="1556" w:type="dxa"/>
            <w:noWrap/>
            <w:vAlign w:val="center"/>
            <w:hideMark/>
          </w:tcPr>
          <w:p w14:paraId="618C40EF"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0122-DTI-P10</w:t>
            </w:r>
          </w:p>
        </w:tc>
        <w:tc>
          <w:tcPr>
            <w:tcW w:w="3264" w:type="dxa"/>
            <w:noWrap/>
            <w:vAlign w:val="center"/>
            <w:hideMark/>
          </w:tcPr>
          <w:p w14:paraId="5CA3F41A"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Migración y rediseño del sitio de Consulta del SCIJ</w:t>
            </w:r>
          </w:p>
        </w:tc>
        <w:tc>
          <w:tcPr>
            <w:tcW w:w="2127" w:type="dxa"/>
            <w:vAlign w:val="center"/>
          </w:tcPr>
          <w:p w14:paraId="18D87D23"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Subproceso Sistemas Administrativos</w:t>
            </w:r>
          </w:p>
        </w:tc>
        <w:tc>
          <w:tcPr>
            <w:tcW w:w="2835" w:type="dxa"/>
            <w:vAlign w:val="center"/>
          </w:tcPr>
          <w:p w14:paraId="44456C93"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Indira Calvo Cloud</w:t>
            </w:r>
          </w:p>
        </w:tc>
      </w:tr>
      <w:tr w:rsidR="00F71780" w:rsidRPr="00C005C0" w14:paraId="27F3E3DE" w14:textId="77777777" w:rsidTr="00EF4E17">
        <w:trPr>
          <w:trHeight w:val="300"/>
        </w:trPr>
        <w:tc>
          <w:tcPr>
            <w:tcW w:w="1556" w:type="dxa"/>
            <w:noWrap/>
            <w:vAlign w:val="center"/>
            <w:hideMark/>
          </w:tcPr>
          <w:p w14:paraId="12FB49FC"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0134-DGH-P01</w:t>
            </w:r>
          </w:p>
        </w:tc>
        <w:tc>
          <w:tcPr>
            <w:tcW w:w="3264" w:type="dxa"/>
            <w:noWrap/>
            <w:vAlign w:val="center"/>
            <w:hideMark/>
          </w:tcPr>
          <w:p w14:paraId="4D51FA99"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Proyecto sistema horas extra y sanciones disciplinarias</w:t>
            </w:r>
          </w:p>
        </w:tc>
        <w:tc>
          <w:tcPr>
            <w:tcW w:w="2127" w:type="dxa"/>
            <w:vAlign w:val="center"/>
          </w:tcPr>
          <w:p w14:paraId="5D07A64F"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Unidad de Investigación y Control de Calidad</w:t>
            </w:r>
          </w:p>
        </w:tc>
        <w:tc>
          <w:tcPr>
            <w:tcW w:w="2835" w:type="dxa"/>
            <w:vAlign w:val="center"/>
          </w:tcPr>
          <w:p w14:paraId="0983FFAA"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Juan Gabriel Mena Araya</w:t>
            </w:r>
          </w:p>
        </w:tc>
      </w:tr>
      <w:tr w:rsidR="00F71780" w:rsidRPr="00C005C0" w14:paraId="4470460A" w14:textId="77777777" w:rsidTr="00EF4E17">
        <w:trPr>
          <w:trHeight w:val="300"/>
        </w:trPr>
        <w:tc>
          <w:tcPr>
            <w:tcW w:w="1556" w:type="dxa"/>
            <w:noWrap/>
            <w:vAlign w:val="center"/>
            <w:hideMark/>
          </w:tcPr>
          <w:p w14:paraId="52797D96"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0717-MP-P07</w:t>
            </w:r>
          </w:p>
        </w:tc>
        <w:tc>
          <w:tcPr>
            <w:tcW w:w="3264" w:type="dxa"/>
            <w:noWrap/>
            <w:vAlign w:val="center"/>
            <w:hideMark/>
          </w:tcPr>
          <w:p w14:paraId="19D3B757"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Elaboración de los Ejes Estratégicos de Persecución Penal</w:t>
            </w:r>
          </w:p>
        </w:tc>
        <w:tc>
          <w:tcPr>
            <w:tcW w:w="2127" w:type="dxa"/>
            <w:vAlign w:val="center"/>
          </w:tcPr>
          <w:p w14:paraId="6A2D41E5"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Fiscalía General</w:t>
            </w:r>
          </w:p>
        </w:tc>
        <w:tc>
          <w:tcPr>
            <w:tcW w:w="2835" w:type="dxa"/>
            <w:vAlign w:val="center"/>
          </w:tcPr>
          <w:p w14:paraId="6545DE5B"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Hulda Chinchilla Rizo</w:t>
            </w:r>
          </w:p>
        </w:tc>
      </w:tr>
      <w:tr w:rsidR="00F71780" w:rsidRPr="00C005C0" w14:paraId="5479BF0E" w14:textId="77777777" w:rsidTr="00EF4E17">
        <w:trPr>
          <w:trHeight w:val="300"/>
        </w:trPr>
        <w:tc>
          <w:tcPr>
            <w:tcW w:w="1556" w:type="dxa"/>
            <w:noWrap/>
            <w:vAlign w:val="center"/>
            <w:hideMark/>
          </w:tcPr>
          <w:p w14:paraId="223BC693"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0718-OAPVT-P03</w:t>
            </w:r>
          </w:p>
        </w:tc>
        <w:tc>
          <w:tcPr>
            <w:tcW w:w="3264" w:type="dxa"/>
            <w:noWrap/>
            <w:vAlign w:val="center"/>
            <w:hideMark/>
          </w:tcPr>
          <w:p w14:paraId="6A3DC02E"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Sistematización de experiencias y propuestas de mejora a la metodología de trabajo de la OAPVD</w:t>
            </w:r>
          </w:p>
        </w:tc>
        <w:tc>
          <w:tcPr>
            <w:tcW w:w="2127" w:type="dxa"/>
            <w:vAlign w:val="center"/>
          </w:tcPr>
          <w:p w14:paraId="5E028930"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Oficina de Atención a la Victima de Delitos</w:t>
            </w:r>
          </w:p>
        </w:tc>
        <w:tc>
          <w:tcPr>
            <w:tcW w:w="2835" w:type="dxa"/>
            <w:vAlign w:val="center"/>
          </w:tcPr>
          <w:p w14:paraId="2255E688"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Alexa Gómez Herrera</w:t>
            </w:r>
          </w:p>
        </w:tc>
      </w:tr>
      <w:tr w:rsidR="00F71780" w:rsidRPr="00C005C0" w14:paraId="5363FD0D" w14:textId="77777777" w:rsidTr="00EF4E17">
        <w:trPr>
          <w:trHeight w:val="300"/>
        </w:trPr>
        <w:tc>
          <w:tcPr>
            <w:tcW w:w="1556" w:type="dxa"/>
            <w:noWrap/>
            <w:vAlign w:val="center"/>
            <w:hideMark/>
          </w:tcPr>
          <w:p w14:paraId="5DA35925"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1167-OIJ-P20</w:t>
            </w:r>
          </w:p>
        </w:tc>
        <w:tc>
          <w:tcPr>
            <w:tcW w:w="3264" w:type="dxa"/>
            <w:noWrap/>
            <w:vAlign w:val="center"/>
            <w:hideMark/>
          </w:tcPr>
          <w:p w14:paraId="5E9FD135"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Mejoramiento de la Calidad de los Servicios del Departamento de Ciencias Forenses</w:t>
            </w:r>
          </w:p>
        </w:tc>
        <w:tc>
          <w:tcPr>
            <w:tcW w:w="2127" w:type="dxa"/>
            <w:vAlign w:val="center"/>
          </w:tcPr>
          <w:p w14:paraId="3429C641"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Departamento de Laboratorio de Ciencias Forenses</w:t>
            </w:r>
          </w:p>
        </w:tc>
        <w:tc>
          <w:tcPr>
            <w:tcW w:w="2835" w:type="dxa"/>
            <w:vAlign w:val="center"/>
          </w:tcPr>
          <w:p w14:paraId="41A789F3"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Carolina Rojas Alfaro</w:t>
            </w:r>
          </w:p>
        </w:tc>
      </w:tr>
      <w:tr w:rsidR="00F71780" w:rsidRPr="00C005C0" w14:paraId="4FBE59FE" w14:textId="77777777" w:rsidTr="00EF4E17">
        <w:trPr>
          <w:trHeight w:val="300"/>
        </w:trPr>
        <w:tc>
          <w:tcPr>
            <w:tcW w:w="1556" w:type="dxa"/>
            <w:noWrap/>
            <w:vAlign w:val="center"/>
            <w:hideMark/>
          </w:tcPr>
          <w:p w14:paraId="3DEFCA64"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1777-PFJR-P01</w:t>
            </w:r>
          </w:p>
        </w:tc>
        <w:tc>
          <w:tcPr>
            <w:tcW w:w="3264" w:type="dxa"/>
            <w:noWrap/>
            <w:vAlign w:val="center"/>
            <w:hideMark/>
          </w:tcPr>
          <w:p w14:paraId="33344308" w14:textId="77777777" w:rsidR="00F71780" w:rsidRPr="00C005C0" w:rsidRDefault="00F71780" w:rsidP="00F400D6">
            <w:pPr>
              <w:jc w:val="center"/>
              <w:rPr>
                <w:rFonts w:ascii="Book Antiqua" w:eastAsia="Times New Roman" w:hAnsi="Book Antiqua" w:cs="Calibri"/>
                <w:color w:val="000000"/>
                <w:sz w:val="18"/>
                <w:szCs w:val="18"/>
                <w:lang w:eastAsia="es-CR"/>
              </w:rPr>
            </w:pPr>
            <w:r w:rsidRPr="00C005C0">
              <w:rPr>
                <w:rFonts w:ascii="Book Antiqua" w:eastAsia="Times New Roman" w:hAnsi="Book Antiqua" w:cs="Calibri"/>
                <w:color w:val="000000"/>
                <w:sz w:val="18"/>
                <w:szCs w:val="18"/>
                <w:lang w:eastAsia="es-CR"/>
              </w:rPr>
              <w:t>Proyecto Regional Fortalecimiento de la Justicia Restaurativa</w:t>
            </w:r>
          </w:p>
        </w:tc>
        <w:tc>
          <w:tcPr>
            <w:tcW w:w="2127" w:type="dxa"/>
            <w:vAlign w:val="center"/>
          </w:tcPr>
          <w:p w14:paraId="76FC688A"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Proyecto Fortalecimiento de la Justicia Restaurativa Corte–Europa</w:t>
            </w:r>
          </w:p>
        </w:tc>
        <w:tc>
          <w:tcPr>
            <w:tcW w:w="2835" w:type="dxa"/>
            <w:vAlign w:val="center"/>
          </w:tcPr>
          <w:p w14:paraId="4C435FC8" w14:textId="77777777" w:rsidR="00F71780" w:rsidRPr="00C005C0" w:rsidRDefault="00F71780" w:rsidP="00F400D6">
            <w:pPr>
              <w:jc w:val="center"/>
              <w:rPr>
                <w:rFonts w:ascii="Book Antiqua" w:eastAsia="Times New Roman" w:hAnsi="Book Antiqua" w:cs="Times New Roman"/>
                <w:sz w:val="18"/>
                <w:szCs w:val="18"/>
                <w:lang w:eastAsia="es-CR"/>
              </w:rPr>
            </w:pPr>
            <w:r w:rsidRPr="00C005C0">
              <w:rPr>
                <w:rFonts w:ascii="Book Antiqua" w:hAnsi="Book Antiqua" w:cs="Calibri"/>
                <w:color w:val="000000"/>
                <w:sz w:val="18"/>
                <w:szCs w:val="18"/>
              </w:rPr>
              <w:t>Jorge Mario González Delgado</w:t>
            </w:r>
          </w:p>
        </w:tc>
      </w:tr>
    </w:tbl>
    <w:p w14:paraId="548F330C" w14:textId="77777777" w:rsidR="00F71780" w:rsidRPr="002B721A" w:rsidRDefault="00F71780" w:rsidP="00F71780">
      <w:pPr>
        <w:spacing w:after="0"/>
        <w:jc w:val="both"/>
        <w:rPr>
          <w:rFonts w:ascii="Book Antiqua" w:hAnsi="Book Antiqua"/>
          <w:sz w:val="20"/>
          <w:szCs w:val="20"/>
        </w:rPr>
      </w:pPr>
      <w:r w:rsidRPr="002B721A">
        <w:rPr>
          <w:rFonts w:ascii="Book Antiqua" w:hAnsi="Book Antiqua"/>
          <w:b/>
          <w:bCs/>
          <w:sz w:val="20"/>
          <w:szCs w:val="20"/>
        </w:rPr>
        <w:t>Fuente:</w:t>
      </w:r>
      <w:r w:rsidRPr="002B721A">
        <w:rPr>
          <w:rFonts w:ascii="Book Antiqua" w:hAnsi="Book Antiqua"/>
          <w:sz w:val="20"/>
          <w:szCs w:val="20"/>
        </w:rPr>
        <w:t xml:space="preserve"> </w:t>
      </w:r>
      <w:r>
        <w:rPr>
          <w:rFonts w:ascii="Book Antiqua" w:hAnsi="Book Antiqua"/>
          <w:sz w:val="20"/>
          <w:szCs w:val="20"/>
        </w:rPr>
        <w:t>E</w:t>
      </w:r>
      <w:r w:rsidRPr="002B721A">
        <w:rPr>
          <w:rFonts w:ascii="Book Antiqua" w:hAnsi="Book Antiqua"/>
          <w:sz w:val="20"/>
          <w:szCs w:val="20"/>
        </w:rPr>
        <w:t>laboración propia con información del MS Project Online.</w:t>
      </w:r>
    </w:p>
    <w:p w14:paraId="14A64208" w14:textId="77777777" w:rsidR="00F71780" w:rsidRPr="00514F4B" w:rsidRDefault="00F71780" w:rsidP="00F71780">
      <w:pPr>
        <w:spacing w:after="0"/>
        <w:jc w:val="both"/>
        <w:rPr>
          <w:rFonts w:ascii="Book Antiqua" w:hAnsi="Book Antiqua"/>
          <w:sz w:val="24"/>
          <w:szCs w:val="24"/>
        </w:rPr>
      </w:pPr>
    </w:p>
    <w:p w14:paraId="2514DD42" w14:textId="070CD029" w:rsidR="003C2EFD" w:rsidRDefault="00F71780" w:rsidP="00B10D2E">
      <w:pPr>
        <w:spacing w:before="120" w:after="120"/>
        <w:jc w:val="both"/>
        <w:rPr>
          <w:rFonts w:ascii="Book Antiqua" w:hAnsi="Book Antiqua"/>
          <w:sz w:val="24"/>
          <w:szCs w:val="24"/>
        </w:rPr>
      </w:pPr>
      <w:r w:rsidRPr="00A63E0E">
        <w:rPr>
          <w:rFonts w:ascii="Book Antiqua" w:hAnsi="Book Antiqua"/>
          <w:sz w:val="24"/>
          <w:szCs w:val="24"/>
        </w:rPr>
        <w:t xml:space="preserve">Los proyectos de la tabla N° </w:t>
      </w:r>
      <w:r w:rsidR="00A63E0E" w:rsidRPr="00A63E0E">
        <w:rPr>
          <w:rFonts w:ascii="Book Antiqua" w:hAnsi="Book Antiqua"/>
          <w:sz w:val="24"/>
          <w:szCs w:val="24"/>
        </w:rPr>
        <w:t>28</w:t>
      </w:r>
      <w:r w:rsidRPr="00A63E0E">
        <w:rPr>
          <w:rFonts w:ascii="Book Antiqua" w:hAnsi="Book Antiqua"/>
          <w:sz w:val="24"/>
          <w:szCs w:val="24"/>
        </w:rPr>
        <w:t>,</w:t>
      </w:r>
      <w:r w:rsidRPr="005A3CB8">
        <w:rPr>
          <w:rFonts w:ascii="Book Antiqua" w:hAnsi="Book Antiqua"/>
          <w:sz w:val="24"/>
          <w:szCs w:val="24"/>
        </w:rPr>
        <w:t xml:space="preserve"> deberán</w:t>
      </w:r>
      <w:r>
        <w:rPr>
          <w:rFonts w:ascii="Book Antiqua" w:hAnsi="Book Antiqua"/>
          <w:sz w:val="24"/>
          <w:szCs w:val="24"/>
        </w:rPr>
        <w:t xml:space="preserve"> proceder con e</w:t>
      </w:r>
      <w:r w:rsidRPr="00514F4B">
        <w:rPr>
          <w:rFonts w:ascii="Book Antiqua" w:hAnsi="Book Antiqua"/>
          <w:sz w:val="24"/>
          <w:szCs w:val="24"/>
        </w:rPr>
        <w:t>st</w:t>
      </w:r>
      <w:r>
        <w:rPr>
          <w:rFonts w:ascii="Book Antiqua" w:hAnsi="Book Antiqua"/>
          <w:sz w:val="24"/>
          <w:szCs w:val="24"/>
        </w:rPr>
        <w:t>e proceso de</w:t>
      </w:r>
      <w:r w:rsidRPr="00514F4B">
        <w:rPr>
          <w:rFonts w:ascii="Book Antiqua" w:hAnsi="Book Antiqua"/>
          <w:sz w:val="24"/>
          <w:szCs w:val="24"/>
        </w:rPr>
        <w:t xml:space="preserve"> valoración </w:t>
      </w:r>
      <w:r>
        <w:rPr>
          <w:rFonts w:ascii="Book Antiqua" w:hAnsi="Book Antiqua"/>
          <w:sz w:val="24"/>
          <w:szCs w:val="24"/>
        </w:rPr>
        <w:t xml:space="preserve">en coordinación con </w:t>
      </w:r>
      <w:r w:rsidRPr="00514F4B">
        <w:rPr>
          <w:rFonts w:ascii="Book Antiqua" w:hAnsi="Book Antiqua"/>
          <w:sz w:val="24"/>
          <w:szCs w:val="24"/>
        </w:rPr>
        <w:t>la Unidad de Evaluación Estratégica del Subproceso de Evaluación</w:t>
      </w:r>
      <w:r>
        <w:rPr>
          <w:rFonts w:ascii="Book Antiqua" w:hAnsi="Book Antiqua"/>
          <w:sz w:val="24"/>
          <w:szCs w:val="24"/>
        </w:rPr>
        <w:t>, oficina adscrita a la</w:t>
      </w:r>
      <w:r w:rsidRPr="00514F4B">
        <w:rPr>
          <w:rFonts w:ascii="Book Antiqua" w:hAnsi="Book Antiqua"/>
          <w:sz w:val="24"/>
          <w:szCs w:val="24"/>
        </w:rPr>
        <w:t xml:space="preserve"> Dirección de Planificación</w:t>
      </w:r>
      <w:r>
        <w:rPr>
          <w:rFonts w:ascii="Book Antiqua" w:hAnsi="Book Antiqua"/>
          <w:sz w:val="24"/>
          <w:szCs w:val="24"/>
        </w:rPr>
        <w:t xml:space="preserve"> y la Unidad de Portafolio de Proyectos estratégicos, con el objetivo de que la Unidad de Evaluación</w:t>
      </w:r>
      <w:r w:rsidRPr="00514F4B">
        <w:rPr>
          <w:rFonts w:ascii="Book Antiqua" w:hAnsi="Book Antiqua"/>
          <w:sz w:val="24"/>
          <w:szCs w:val="24"/>
        </w:rPr>
        <w:t xml:space="preserve"> efectúe el seguimiento y </w:t>
      </w:r>
      <w:r w:rsidRPr="00514F4B">
        <w:rPr>
          <w:rFonts w:ascii="Book Antiqua" w:hAnsi="Book Antiqua"/>
          <w:sz w:val="24"/>
          <w:szCs w:val="24"/>
        </w:rPr>
        <w:lastRenderedPageBreak/>
        <w:t>análisis correspondiente</w:t>
      </w:r>
      <w:r>
        <w:rPr>
          <w:rFonts w:ascii="Book Antiqua" w:hAnsi="Book Antiqua"/>
          <w:sz w:val="24"/>
          <w:szCs w:val="24"/>
        </w:rPr>
        <w:t>, una vez concluido el periodo establecido en la metodología, y que los mismos cuenten con el informe de cierre aprobado por el patrocinador</w:t>
      </w:r>
      <w:r w:rsidR="003D2A23">
        <w:rPr>
          <w:rFonts w:ascii="Book Antiqua" w:hAnsi="Book Antiqua"/>
          <w:sz w:val="24"/>
          <w:szCs w:val="24"/>
        </w:rPr>
        <w:t>.</w:t>
      </w:r>
    </w:p>
    <w:p w14:paraId="119A6A52" w14:textId="77777777" w:rsidR="006C729E" w:rsidRDefault="006C729E" w:rsidP="00B10D2E">
      <w:pPr>
        <w:spacing w:before="120" w:after="120"/>
        <w:jc w:val="both"/>
        <w:rPr>
          <w:rFonts w:ascii="Book Antiqua" w:eastAsia="Wingdings" w:hAnsi="Book Antiqua"/>
          <w:sz w:val="24"/>
          <w:szCs w:val="24"/>
          <w:lang w:eastAsia="ko-KR"/>
        </w:rPr>
      </w:pPr>
    </w:p>
    <w:p w14:paraId="2A531128" w14:textId="77777777" w:rsidR="00555E82" w:rsidRPr="003C2EFD" w:rsidRDefault="00555E82" w:rsidP="00555E82">
      <w:pPr>
        <w:pStyle w:val="Ttulo1"/>
        <w:ind w:left="360" w:hanging="360"/>
        <w:jc w:val="center"/>
        <w:rPr>
          <w:rFonts w:ascii="Book Antiqua" w:eastAsia="Wingdings" w:hAnsi="Book Antiqua"/>
          <w:b/>
          <w:bCs/>
          <w:color w:val="auto"/>
          <w:sz w:val="24"/>
          <w:szCs w:val="24"/>
          <w:lang w:eastAsia="ko-KR"/>
        </w:rPr>
      </w:pPr>
      <w:bookmarkStart w:id="103" w:name="_Toc138770851"/>
      <w:r w:rsidRPr="003C2EFD">
        <w:rPr>
          <w:rFonts w:ascii="Book Antiqua" w:eastAsia="Wingdings" w:hAnsi="Book Antiqua"/>
          <w:b/>
          <w:color w:val="auto"/>
          <w:sz w:val="24"/>
          <w:szCs w:val="24"/>
          <w:lang w:eastAsia="ko-KR"/>
        </w:rPr>
        <w:t>CAPÍTULO 3)</w:t>
      </w:r>
      <w:r w:rsidRPr="003C2EFD">
        <w:rPr>
          <w:color w:val="auto"/>
        </w:rPr>
        <w:tab/>
      </w:r>
      <w:r w:rsidRPr="003C2EFD">
        <w:rPr>
          <w:rFonts w:ascii="Book Antiqua" w:eastAsia="Wingdings" w:hAnsi="Book Antiqua"/>
          <w:b/>
          <w:bCs/>
          <w:color w:val="auto"/>
          <w:sz w:val="24"/>
          <w:szCs w:val="24"/>
          <w:lang w:eastAsia="ko-KR"/>
        </w:rPr>
        <w:t xml:space="preserve">SEGUIMIENTO DE LAS </w:t>
      </w:r>
      <w:r w:rsidRPr="003C2EFD">
        <w:rPr>
          <w:rFonts w:ascii="Book Antiqua" w:eastAsia="Wingdings" w:hAnsi="Book Antiqua"/>
          <w:b/>
          <w:color w:val="auto"/>
          <w:sz w:val="24"/>
          <w:szCs w:val="24"/>
          <w:lang w:eastAsia="ko-KR"/>
        </w:rPr>
        <w:t>LABORES OPERATIVAS QUE CUENTAN CON PCGS Y APLICAN LA METODOLOGÍA DE ADMINISTRACIÓN DE PROYECTOS</w:t>
      </w:r>
      <w:bookmarkEnd w:id="103"/>
    </w:p>
    <w:p w14:paraId="4FC5FACE" w14:textId="77777777" w:rsidR="00555E82" w:rsidRDefault="00555E82" w:rsidP="00555E82">
      <w:pPr>
        <w:spacing w:after="0"/>
        <w:jc w:val="both"/>
        <w:rPr>
          <w:rFonts w:ascii="Book Antiqua" w:hAnsi="Book Antiqua"/>
        </w:rPr>
      </w:pPr>
    </w:p>
    <w:p w14:paraId="7933916A" w14:textId="2D6CFC2B" w:rsidR="00555E82" w:rsidRPr="00D60F80" w:rsidRDefault="00555E82" w:rsidP="00555E82">
      <w:pPr>
        <w:spacing w:after="0"/>
        <w:jc w:val="both"/>
        <w:rPr>
          <w:rFonts w:ascii="Book Antiqua" w:hAnsi="Book Antiqua"/>
          <w:sz w:val="24"/>
          <w:szCs w:val="24"/>
        </w:rPr>
      </w:pPr>
      <w:r w:rsidRPr="4EE36B8A">
        <w:rPr>
          <w:rFonts w:ascii="Book Antiqua" w:hAnsi="Book Antiqua"/>
          <w:sz w:val="24"/>
          <w:szCs w:val="24"/>
        </w:rPr>
        <w:t>De la misma forma en que se realizó el seguimiento durante el año 202</w:t>
      </w:r>
      <w:r>
        <w:rPr>
          <w:rFonts w:ascii="Book Antiqua" w:hAnsi="Book Antiqua"/>
          <w:sz w:val="24"/>
          <w:szCs w:val="24"/>
        </w:rPr>
        <w:t>2</w:t>
      </w:r>
      <w:r w:rsidRPr="4EE36B8A">
        <w:rPr>
          <w:rFonts w:ascii="Book Antiqua" w:hAnsi="Book Antiqua"/>
          <w:sz w:val="24"/>
          <w:szCs w:val="24"/>
        </w:rPr>
        <w:t xml:space="preserve"> plasmado en el informe 2</w:t>
      </w:r>
      <w:r>
        <w:rPr>
          <w:rFonts w:ascii="Book Antiqua" w:hAnsi="Book Antiqua"/>
          <w:sz w:val="24"/>
          <w:szCs w:val="24"/>
        </w:rPr>
        <w:t>7</w:t>
      </w:r>
      <w:r w:rsidRPr="4EE36B8A">
        <w:rPr>
          <w:rFonts w:ascii="Book Antiqua" w:hAnsi="Book Antiqua"/>
          <w:sz w:val="24"/>
          <w:szCs w:val="24"/>
        </w:rPr>
        <w:t>7-PLA-PP-202</w:t>
      </w:r>
      <w:r>
        <w:rPr>
          <w:rFonts w:ascii="Book Antiqua" w:hAnsi="Book Antiqua"/>
          <w:sz w:val="24"/>
          <w:szCs w:val="24"/>
        </w:rPr>
        <w:t>3</w:t>
      </w:r>
      <w:r w:rsidRPr="4EE36B8A">
        <w:rPr>
          <w:rFonts w:ascii="Book Antiqua" w:hAnsi="Book Antiqua"/>
          <w:sz w:val="24"/>
          <w:szCs w:val="24"/>
        </w:rPr>
        <w:t>, se establece en el siguiente apartado el detalle de los resultados obtenidos para cada una de las labores operativas incorporadas en el portafolio de proyectos, las cuales cuentan con permisos con goce de salario otorgados</w:t>
      </w:r>
      <w:r>
        <w:rPr>
          <w:rFonts w:ascii="Book Antiqua" w:hAnsi="Book Antiqua"/>
          <w:sz w:val="24"/>
          <w:szCs w:val="24"/>
        </w:rPr>
        <w:t xml:space="preserve">. En el siguiente </w:t>
      </w:r>
      <w:r w:rsidR="005B5B60">
        <w:rPr>
          <w:rFonts w:ascii="Book Antiqua" w:hAnsi="Book Antiqua"/>
          <w:sz w:val="24"/>
          <w:szCs w:val="24"/>
        </w:rPr>
        <w:t>enlace</w:t>
      </w:r>
      <w:r>
        <w:rPr>
          <w:rFonts w:ascii="Book Antiqua" w:hAnsi="Book Antiqua"/>
          <w:sz w:val="24"/>
          <w:szCs w:val="24"/>
        </w:rPr>
        <w:t xml:space="preserve"> se muestra el </w:t>
      </w:r>
      <w:hyperlink r:id="rId66" w:history="1">
        <w:r w:rsidRPr="00D44F5C">
          <w:rPr>
            <w:rStyle w:val="Hipervnculo"/>
            <w:rFonts w:ascii="Book Antiqua" w:hAnsi="Book Antiqua"/>
            <w:sz w:val="24"/>
            <w:szCs w:val="24"/>
          </w:rPr>
          <w:t>Detalle de proyectos operativos</w:t>
        </w:r>
      </w:hyperlink>
      <w:r>
        <w:rPr>
          <w:rFonts w:ascii="Book Antiqua" w:hAnsi="Book Antiqua"/>
          <w:sz w:val="24"/>
          <w:szCs w:val="24"/>
        </w:rPr>
        <w:t>.</w:t>
      </w:r>
    </w:p>
    <w:p w14:paraId="4A5E94E1" w14:textId="77777777" w:rsidR="00555E82" w:rsidRPr="00D60F80" w:rsidRDefault="00555E82" w:rsidP="00555E82">
      <w:pPr>
        <w:spacing w:after="0"/>
        <w:jc w:val="both"/>
        <w:rPr>
          <w:rFonts w:ascii="Book Antiqua" w:hAnsi="Book Antiqua"/>
          <w:sz w:val="24"/>
          <w:szCs w:val="24"/>
          <w:highlight w:val="yellow"/>
        </w:rPr>
      </w:pPr>
    </w:p>
    <w:p w14:paraId="298261DE" w14:textId="77777777" w:rsidR="00555E82" w:rsidRDefault="00555E82" w:rsidP="00555E82">
      <w:pPr>
        <w:spacing w:after="0"/>
        <w:jc w:val="both"/>
        <w:rPr>
          <w:rFonts w:ascii="Book Antiqua" w:hAnsi="Book Antiqua"/>
          <w:sz w:val="24"/>
          <w:szCs w:val="24"/>
        </w:rPr>
      </w:pPr>
      <w:r w:rsidRPr="3B6B075C">
        <w:rPr>
          <w:rFonts w:ascii="Book Antiqua" w:hAnsi="Book Antiqua"/>
          <w:sz w:val="24"/>
          <w:szCs w:val="24"/>
        </w:rPr>
        <w:t xml:space="preserve">Para este proceso de seguimiento se les comunicó a las oficinas mediante correo electrónico </w:t>
      </w:r>
      <w:r w:rsidRPr="56B2A2F6">
        <w:rPr>
          <w:rFonts w:ascii="Book Antiqua" w:hAnsi="Book Antiqua"/>
          <w:sz w:val="24"/>
          <w:szCs w:val="24"/>
        </w:rPr>
        <w:t xml:space="preserve">lo acordado por el </w:t>
      </w:r>
      <w:r w:rsidRPr="5BC9DC18">
        <w:rPr>
          <w:rFonts w:ascii="Book Antiqua" w:eastAsia="Book Antiqua" w:hAnsi="Book Antiqua" w:cs="Book Antiqua"/>
        </w:rPr>
        <w:t>Consejo Superior</w:t>
      </w:r>
      <w:r w:rsidRPr="5BC9DC18">
        <w:rPr>
          <w:rFonts w:ascii="Calibri" w:eastAsia="Calibri" w:hAnsi="Calibri" w:cs="Calibri"/>
        </w:rPr>
        <w:t xml:space="preserve"> </w:t>
      </w:r>
      <w:r w:rsidRPr="5BC9DC18">
        <w:rPr>
          <w:rFonts w:ascii="Book Antiqua" w:eastAsia="Book Antiqua" w:hAnsi="Book Antiqua" w:cs="Book Antiqua"/>
        </w:rPr>
        <w:t xml:space="preserve">en sesión </w:t>
      </w:r>
      <w:r>
        <w:rPr>
          <w:rFonts w:ascii="Book Antiqua" w:eastAsia="Book Antiqua" w:hAnsi="Book Antiqua" w:cs="Book Antiqua"/>
        </w:rPr>
        <w:t>35-2023</w:t>
      </w:r>
      <w:r w:rsidRPr="5BC9DC18">
        <w:rPr>
          <w:rFonts w:ascii="Book Antiqua" w:eastAsia="Book Antiqua" w:hAnsi="Book Antiqua" w:cs="Book Antiqua"/>
        </w:rPr>
        <w:t xml:space="preserve"> artículo XXX</w:t>
      </w:r>
      <w:r>
        <w:rPr>
          <w:rFonts w:ascii="Book Antiqua" w:eastAsia="Book Antiqua" w:hAnsi="Book Antiqua" w:cs="Book Antiqua"/>
        </w:rPr>
        <w:t>1X</w:t>
      </w:r>
      <w:r w:rsidRPr="5BC9DC18">
        <w:rPr>
          <w:rFonts w:ascii="Book Antiqua" w:eastAsia="Book Antiqua" w:hAnsi="Book Antiqua" w:cs="Book Antiqua"/>
        </w:rPr>
        <w:t>, en el cual conoció el oficio N° 2</w:t>
      </w:r>
      <w:r>
        <w:rPr>
          <w:rFonts w:ascii="Book Antiqua" w:eastAsia="Book Antiqua" w:hAnsi="Book Antiqua" w:cs="Book Antiqua"/>
        </w:rPr>
        <w:t>77</w:t>
      </w:r>
      <w:r w:rsidRPr="5BC9DC18">
        <w:rPr>
          <w:rFonts w:ascii="Book Antiqua" w:eastAsia="Book Antiqua" w:hAnsi="Book Antiqua" w:cs="Book Antiqua"/>
        </w:rPr>
        <w:t>-PLA-PP-202</w:t>
      </w:r>
      <w:r>
        <w:rPr>
          <w:rFonts w:ascii="Book Antiqua" w:eastAsia="Book Antiqua" w:hAnsi="Book Antiqua" w:cs="Book Antiqua"/>
        </w:rPr>
        <w:t>3</w:t>
      </w:r>
      <w:r w:rsidRPr="5BC9DC18">
        <w:rPr>
          <w:rFonts w:ascii="Book Antiqua" w:eastAsia="Book Antiqua" w:hAnsi="Book Antiqua" w:cs="Book Antiqua"/>
        </w:rPr>
        <w:t xml:space="preserve">, </w:t>
      </w:r>
      <w:r>
        <w:rPr>
          <w:rFonts w:ascii="Book Antiqua" w:hAnsi="Book Antiqua"/>
          <w:sz w:val="24"/>
          <w:szCs w:val="24"/>
        </w:rPr>
        <w:t>a</w:t>
      </w:r>
      <w:r w:rsidRPr="6BE829D6">
        <w:rPr>
          <w:rFonts w:ascii="Book Antiqua" w:hAnsi="Book Antiqua"/>
          <w:sz w:val="24"/>
          <w:szCs w:val="24"/>
        </w:rPr>
        <w:t>demás, se incluyó un recordatorio sobre el procedimiento para la elaboración del informe de avance</w:t>
      </w:r>
      <w:r>
        <w:rPr>
          <w:rFonts w:ascii="Book Antiqua" w:hAnsi="Book Antiqua"/>
          <w:sz w:val="24"/>
          <w:szCs w:val="24"/>
        </w:rPr>
        <w:t xml:space="preserve"> y presentación de indicadores: </w:t>
      </w:r>
    </w:p>
    <w:p w14:paraId="09F14B3B" w14:textId="77777777" w:rsidR="00555E82" w:rsidRDefault="00555E82" w:rsidP="00555E82">
      <w:pPr>
        <w:spacing w:after="0"/>
        <w:jc w:val="both"/>
        <w:rPr>
          <w:rFonts w:ascii="Book Antiqua" w:hAnsi="Book Antiqua"/>
        </w:rPr>
      </w:pPr>
    </w:p>
    <w:p w14:paraId="08DFD826" w14:textId="77777777" w:rsidR="00555E82" w:rsidRPr="00695FE2" w:rsidRDefault="00555E82" w:rsidP="00555E82">
      <w:pPr>
        <w:keepNext/>
        <w:keepLines/>
        <w:numPr>
          <w:ilvl w:val="0"/>
          <w:numId w:val="5"/>
        </w:numPr>
        <w:spacing w:before="40" w:after="0"/>
        <w:ind w:hanging="436"/>
        <w:jc w:val="both"/>
        <w:outlineLvl w:val="1"/>
        <w:rPr>
          <w:rFonts w:ascii="Book Antiqua" w:hAnsi="Book Antiqua"/>
          <w:sz w:val="24"/>
          <w:szCs w:val="24"/>
        </w:rPr>
      </w:pPr>
      <w:bookmarkStart w:id="104" w:name="_Toc131160588"/>
      <w:bookmarkStart w:id="105" w:name="_Toc138770852"/>
      <w:r w:rsidRPr="00695FE2">
        <w:rPr>
          <w:rFonts w:ascii="Book Antiqua" w:eastAsia="Wingdings" w:hAnsi="Book Antiqua" w:cstheme="majorBidi"/>
          <w:b/>
          <w:bCs/>
          <w:sz w:val="26"/>
          <w:szCs w:val="26"/>
          <w:lang w:eastAsia="ko-KR"/>
        </w:rPr>
        <w:t>Seguimiento y resultados de los indicadores correspondientes de enero a abril 2023</w:t>
      </w:r>
      <w:bookmarkEnd w:id="104"/>
      <w:bookmarkEnd w:id="105"/>
    </w:p>
    <w:p w14:paraId="6CFF6FE9" w14:textId="77777777" w:rsidR="007B6F76" w:rsidRDefault="007B6F76" w:rsidP="00555E82">
      <w:pPr>
        <w:spacing w:after="0"/>
        <w:jc w:val="both"/>
        <w:rPr>
          <w:rFonts w:ascii="Book Antiqua" w:hAnsi="Book Antiqua"/>
          <w:sz w:val="24"/>
          <w:szCs w:val="24"/>
        </w:rPr>
      </w:pPr>
    </w:p>
    <w:p w14:paraId="0FB4B10B" w14:textId="2245DB6C" w:rsidR="00555E82" w:rsidRPr="00257371" w:rsidRDefault="00555E82" w:rsidP="00555E82">
      <w:pPr>
        <w:spacing w:after="0"/>
        <w:jc w:val="both"/>
        <w:rPr>
          <w:rFonts w:ascii="Book Antiqua" w:hAnsi="Book Antiqua"/>
          <w:sz w:val="24"/>
          <w:szCs w:val="24"/>
        </w:rPr>
      </w:pPr>
      <w:r w:rsidRPr="00257371">
        <w:rPr>
          <w:rFonts w:ascii="Book Antiqua" w:hAnsi="Book Antiqua"/>
          <w:sz w:val="24"/>
          <w:szCs w:val="24"/>
        </w:rPr>
        <w:t>Como primer elemento, se considera el cumplimiento de los indicadores previamente definidos por cada una de las oficinas, en el informe 2</w:t>
      </w:r>
      <w:r>
        <w:rPr>
          <w:rFonts w:ascii="Book Antiqua" w:hAnsi="Book Antiqua"/>
          <w:sz w:val="24"/>
          <w:szCs w:val="24"/>
        </w:rPr>
        <w:t>7</w:t>
      </w:r>
      <w:r w:rsidRPr="00257371">
        <w:rPr>
          <w:rFonts w:ascii="Book Antiqua" w:hAnsi="Book Antiqua"/>
          <w:sz w:val="24"/>
          <w:szCs w:val="24"/>
        </w:rPr>
        <w:t>7-PLA-PP-202</w:t>
      </w:r>
      <w:r>
        <w:rPr>
          <w:rFonts w:ascii="Book Antiqua" w:hAnsi="Book Antiqua"/>
          <w:sz w:val="24"/>
          <w:szCs w:val="24"/>
        </w:rPr>
        <w:t xml:space="preserve">3. </w:t>
      </w:r>
    </w:p>
    <w:p w14:paraId="21F8BBAE" w14:textId="77777777" w:rsidR="00555E82" w:rsidRDefault="00555E82" w:rsidP="00555E82">
      <w:pPr>
        <w:spacing w:after="0"/>
        <w:jc w:val="both"/>
        <w:rPr>
          <w:rFonts w:ascii="Book Antiqua" w:hAnsi="Book Antiqua"/>
          <w:sz w:val="24"/>
          <w:szCs w:val="24"/>
        </w:rPr>
      </w:pPr>
    </w:p>
    <w:p w14:paraId="5E44BD07" w14:textId="7F9D41DD" w:rsidR="00555E82" w:rsidRPr="00257371" w:rsidRDefault="00555E82" w:rsidP="00555E82">
      <w:pPr>
        <w:spacing w:after="0"/>
        <w:jc w:val="both"/>
        <w:rPr>
          <w:rFonts w:ascii="Book Antiqua" w:hAnsi="Book Antiqua"/>
          <w:sz w:val="24"/>
          <w:szCs w:val="24"/>
        </w:rPr>
      </w:pPr>
      <w:r w:rsidRPr="00257371">
        <w:rPr>
          <w:rFonts w:ascii="Book Antiqua" w:hAnsi="Book Antiqua"/>
          <w:sz w:val="24"/>
          <w:szCs w:val="24"/>
        </w:rPr>
        <w:t>Así las cosas, se procedió a verificar la información contenida en cada uno de los informes de avance</w:t>
      </w:r>
      <w:r>
        <w:rPr>
          <w:rFonts w:ascii="Book Antiqua" w:hAnsi="Book Antiqua"/>
          <w:sz w:val="24"/>
          <w:szCs w:val="24"/>
        </w:rPr>
        <w:t>, específicamente en cuanto al detalle incluido en la matriz de indicadores</w:t>
      </w:r>
      <w:r w:rsidRPr="00BF6A5D">
        <w:rPr>
          <w:rFonts w:ascii="Book Antiqua" w:hAnsi="Book Antiqua"/>
          <w:sz w:val="24"/>
          <w:szCs w:val="24"/>
        </w:rPr>
        <w:t xml:space="preserve"> para los meses de enero a </w:t>
      </w:r>
      <w:r>
        <w:rPr>
          <w:rFonts w:ascii="Book Antiqua" w:hAnsi="Book Antiqua"/>
          <w:sz w:val="24"/>
          <w:szCs w:val="24"/>
        </w:rPr>
        <w:t xml:space="preserve">abril </w:t>
      </w:r>
      <w:r w:rsidRPr="00BF6A5D">
        <w:rPr>
          <w:rFonts w:ascii="Book Antiqua" w:hAnsi="Book Antiqua"/>
          <w:sz w:val="24"/>
          <w:szCs w:val="24"/>
        </w:rPr>
        <w:t>de 202</w:t>
      </w:r>
      <w:r>
        <w:rPr>
          <w:rFonts w:ascii="Book Antiqua" w:hAnsi="Book Antiqua"/>
          <w:sz w:val="24"/>
          <w:szCs w:val="24"/>
        </w:rPr>
        <w:t>3</w:t>
      </w:r>
      <w:r w:rsidRPr="00BF6A5D">
        <w:rPr>
          <w:rFonts w:ascii="Book Antiqua" w:hAnsi="Book Antiqua"/>
          <w:sz w:val="24"/>
          <w:szCs w:val="24"/>
        </w:rPr>
        <w:t xml:space="preserve">. </w:t>
      </w:r>
      <w:r w:rsidRPr="00257371">
        <w:rPr>
          <w:rFonts w:ascii="Book Antiqua" w:hAnsi="Book Antiqua"/>
          <w:sz w:val="24"/>
          <w:szCs w:val="24"/>
        </w:rPr>
        <w:t xml:space="preserve"> El detalle de los </w:t>
      </w:r>
      <w:r>
        <w:rPr>
          <w:rFonts w:ascii="Book Antiqua" w:hAnsi="Book Antiqua"/>
          <w:sz w:val="24"/>
          <w:szCs w:val="24"/>
        </w:rPr>
        <w:t xml:space="preserve">indicadores </w:t>
      </w:r>
      <w:r w:rsidRPr="00257371">
        <w:rPr>
          <w:rFonts w:ascii="Book Antiqua" w:hAnsi="Book Antiqua"/>
          <w:sz w:val="24"/>
          <w:szCs w:val="24"/>
        </w:rPr>
        <w:t xml:space="preserve">reportados por mes se muestra en </w:t>
      </w:r>
      <w:r w:rsidRPr="008509E3">
        <w:rPr>
          <w:rFonts w:ascii="Book Antiqua" w:hAnsi="Book Antiqua"/>
          <w:sz w:val="24"/>
          <w:szCs w:val="24"/>
        </w:rPr>
        <w:t>el</w:t>
      </w:r>
      <w:r>
        <w:rPr>
          <w:rFonts w:ascii="Book Antiqua" w:hAnsi="Book Antiqua"/>
          <w:sz w:val="24"/>
          <w:szCs w:val="24"/>
        </w:rPr>
        <w:t xml:space="preserve"> siguiente </w:t>
      </w:r>
      <w:r w:rsidR="005B5B60">
        <w:rPr>
          <w:rFonts w:ascii="Book Antiqua" w:hAnsi="Book Antiqua"/>
          <w:sz w:val="24"/>
          <w:szCs w:val="24"/>
        </w:rPr>
        <w:t>enlace</w:t>
      </w:r>
      <w:r>
        <w:rPr>
          <w:rFonts w:ascii="Book Antiqua" w:hAnsi="Book Antiqua"/>
          <w:sz w:val="24"/>
          <w:szCs w:val="24"/>
        </w:rPr>
        <w:t>:</w:t>
      </w:r>
      <w:r w:rsidRPr="003960BB">
        <w:t xml:space="preserve"> </w:t>
      </w:r>
      <w:hyperlink r:id="rId67" w:history="1">
        <w:r w:rsidRPr="00903AC5">
          <w:rPr>
            <w:rStyle w:val="Hipervnculo"/>
            <w:rFonts w:ascii="Book Antiqua" w:hAnsi="Book Antiqua"/>
            <w:sz w:val="24"/>
            <w:szCs w:val="24"/>
          </w:rPr>
          <w:t>Indicadores mensuales reportados por proyecto.</w:t>
        </w:r>
      </w:hyperlink>
      <w:r>
        <w:rPr>
          <w:rFonts w:ascii="Book Antiqua" w:hAnsi="Book Antiqua"/>
          <w:sz w:val="24"/>
          <w:szCs w:val="24"/>
        </w:rPr>
        <w:t xml:space="preserve"> </w:t>
      </w:r>
    </w:p>
    <w:p w14:paraId="7D2B05C5" w14:textId="77777777" w:rsidR="00555E82" w:rsidRPr="00257371" w:rsidRDefault="00555E82" w:rsidP="00555E82">
      <w:pPr>
        <w:spacing w:after="0"/>
        <w:jc w:val="both"/>
        <w:rPr>
          <w:rFonts w:ascii="Book Antiqua" w:hAnsi="Book Antiqua"/>
          <w:sz w:val="24"/>
          <w:szCs w:val="24"/>
        </w:rPr>
      </w:pPr>
    </w:p>
    <w:p w14:paraId="76895591" w14:textId="77777777" w:rsidR="00555E82" w:rsidRDefault="00555E82" w:rsidP="00555E82">
      <w:pPr>
        <w:spacing w:after="0"/>
        <w:jc w:val="both"/>
        <w:rPr>
          <w:rFonts w:ascii="Book Antiqua" w:eastAsia="Wingdings" w:hAnsi="Book Antiqua"/>
          <w:sz w:val="24"/>
          <w:szCs w:val="24"/>
          <w:lang w:eastAsia="ko-KR"/>
        </w:rPr>
      </w:pPr>
      <w:r w:rsidRPr="00257371">
        <w:rPr>
          <w:rFonts w:ascii="Book Antiqua" w:hAnsi="Book Antiqua"/>
          <w:sz w:val="24"/>
          <w:szCs w:val="24"/>
        </w:rPr>
        <w:t>De esta forma, una vez obtenidos los datos aportados por cada oficina, se procedió a determinar la línea base en función del promedio de los c</w:t>
      </w:r>
      <w:r>
        <w:rPr>
          <w:rFonts w:ascii="Book Antiqua" w:hAnsi="Book Antiqua"/>
          <w:sz w:val="24"/>
          <w:szCs w:val="24"/>
        </w:rPr>
        <w:t>uatro</w:t>
      </w:r>
      <w:r w:rsidRPr="00257371">
        <w:rPr>
          <w:rFonts w:ascii="Book Antiqua" w:hAnsi="Book Antiqua"/>
          <w:sz w:val="24"/>
          <w:szCs w:val="24"/>
        </w:rPr>
        <w:t xml:space="preserve"> primeros meses del 202</w:t>
      </w:r>
      <w:r>
        <w:rPr>
          <w:rFonts w:ascii="Book Antiqua" w:hAnsi="Book Antiqua"/>
          <w:sz w:val="24"/>
          <w:szCs w:val="24"/>
        </w:rPr>
        <w:t>3</w:t>
      </w:r>
      <w:r w:rsidRPr="00257371">
        <w:rPr>
          <w:rFonts w:ascii="Book Antiqua" w:hAnsi="Book Antiqua"/>
          <w:sz w:val="24"/>
          <w:szCs w:val="24"/>
        </w:rPr>
        <w:t xml:space="preserve"> (de enero a </w:t>
      </w:r>
      <w:r>
        <w:rPr>
          <w:rFonts w:ascii="Book Antiqua" w:hAnsi="Book Antiqua"/>
          <w:sz w:val="24"/>
          <w:szCs w:val="24"/>
        </w:rPr>
        <w:t>abril</w:t>
      </w:r>
      <w:r w:rsidRPr="00257371">
        <w:rPr>
          <w:rFonts w:ascii="Book Antiqua" w:hAnsi="Book Antiqua"/>
          <w:sz w:val="24"/>
          <w:szCs w:val="24"/>
        </w:rPr>
        <w:t xml:space="preserve">).  </w:t>
      </w:r>
      <w:r w:rsidRPr="00744D13">
        <w:rPr>
          <w:rFonts w:ascii="Book Antiqua" w:eastAsia="Wingdings" w:hAnsi="Book Antiqua"/>
          <w:sz w:val="24"/>
          <w:szCs w:val="24"/>
          <w:lang w:eastAsia="ko-KR"/>
        </w:rPr>
        <w:t>En el caso de aquellos proyectos</w:t>
      </w:r>
      <w:r>
        <w:rPr>
          <w:rFonts w:ascii="Book Antiqua" w:eastAsia="Wingdings" w:hAnsi="Book Antiqua"/>
          <w:sz w:val="24"/>
          <w:szCs w:val="24"/>
          <w:lang w:eastAsia="ko-KR"/>
        </w:rPr>
        <w:t xml:space="preserve"> operativos</w:t>
      </w:r>
      <w:r w:rsidRPr="00744D13">
        <w:rPr>
          <w:rFonts w:ascii="Book Antiqua" w:eastAsia="Wingdings" w:hAnsi="Book Antiqua"/>
          <w:sz w:val="24"/>
          <w:szCs w:val="24"/>
          <w:lang w:eastAsia="ko-KR"/>
        </w:rPr>
        <w:t xml:space="preserve"> en los cuales se definió más de un indicador, se calculó el promedio del rendimiento de los resultados de los indicadores</w:t>
      </w:r>
      <w:r>
        <w:rPr>
          <w:rFonts w:ascii="Book Antiqua" w:eastAsia="Wingdings" w:hAnsi="Book Antiqua"/>
          <w:sz w:val="24"/>
          <w:szCs w:val="24"/>
          <w:lang w:eastAsia="ko-KR"/>
        </w:rPr>
        <w:t xml:space="preserve"> en ese periodo</w:t>
      </w:r>
      <w:r w:rsidRPr="00744D13">
        <w:rPr>
          <w:rFonts w:ascii="Book Antiqua" w:eastAsia="Wingdings" w:hAnsi="Book Antiqua"/>
          <w:sz w:val="24"/>
          <w:szCs w:val="24"/>
          <w:lang w:eastAsia="ko-KR"/>
        </w:rPr>
        <w:t xml:space="preserve">. De esta forma, en la siguiente tabla se muestra el </w:t>
      </w:r>
      <w:r w:rsidRPr="00744D13">
        <w:rPr>
          <w:rFonts w:ascii="Book Antiqua" w:eastAsia="Wingdings" w:hAnsi="Book Antiqua"/>
          <w:sz w:val="24"/>
          <w:szCs w:val="24"/>
          <w:lang w:eastAsia="ko-KR"/>
        </w:rPr>
        <w:lastRenderedPageBreak/>
        <w:t>resumen de los resultados obtenidos en cuanto al cumplimiento de los indicadores se refiere para cada una de las labores de tipo operativo.</w:t>
      </w:r>
    </w:p>
    <w:p w14:paraId="0DA49763" w14:textId="77777777" w:rsidR="00555E82" w:rsidRDefault="00555E82" w:rsidP="00555E82">
      <w:pPr>
        <w:spacing w:after="0"/>
        <w:jc w:val="center"/>
        <w:rPr>
          <w:rFonts w:ascii="Book Antiqua" w:hAnsi="Book Antiqua"/>
          <w:b/>
          <w:bCs/>
          <w:sz w:val="24"/>
          <w:szCs w:val="24"/>
        </w:rPr>
      </w:pPr>
    </w:p>
    <w:p w14:paraId="7E50603E" w14:textId="3C57235A" w:rsidR="00555E82" w:rsidRDefault="007B6F76" w:rsidP="00555E82">
      <w:pPr>
        <w:spacing w:after="0"/>
        <w:jc w:val="center"/>
        <w:rPr>
          <w:rFonts w:ascii="Book Antiqua" w:hAnsi="Book Antiqua"/>
          <w:b/>
          <w:bCs/>
          <w:sz w:val="24"/>
          <w:szCs w:val="24"/>
        </w:rPr>
      </w:pPr>
      <w:r w:rsidRPr="00A7495E">
        <w:rPr>
          <w:rFonts w:ascii="Book Antiqua" w:hAnsi="Book Antiqua" w:cs="&amp;quot"/>
          <w:b/>
          <w:sz w:val="24"/>
          <w:szCs w:val="24"/>
        </w:rPr>
        <w:t xml:space="preserve">Tabla </w:t>
      </w:r>
      <w:r w:rsidRPr="00A7495E">
        <w:rPr>
          <w:rFonts w:ascii="Book Antiqua" w:hAnsi="Book Antiqua" w:cs="&amp;quot"/>
          <w:b/>
          <w:i/>
          <w:iCs/>
          <w:sz w:val="24"/>
          <w:szCs w:val="24"/>
        </w:rPr>
        <w:fldChar w:fldCharType="begin"/>
      </w:r>
      <w:r w:rsidRPr="00A7495E">
        <w:rPr>
          <w:rFonts w:ascii="Book Antiqua" w:hAnsi="Book Antiqua" w:cs="&amp;quot"/>
          <w:b/>
          <w:sz w:val="24"/>
          <w:szCs w:val="24"/>
        </w:rPr>
        <w:instrText xml:space="preserve"> SEQ Tabla \* ARABIC </w:instrText>
      </w:r>
      <w:r w:rsidRPr="00A7495E">
        <w:rPr>
          <w:rFonts w:ascii="Book Antiqua" w:hAnsi="Book Antiqua" w:cs="&amp;quot"/>
          <w:b/>
          <w:i/>
          <w:iCs/>
          <w:sz w:val="24"/>
          <w:szCs w:val="24"/>
        </w:rPr>
        <w:fldChar w:fldCharType="separate"/>
      </w:r>
      <w:r w:rsidR="004F1A94">
        <w:rPr>
          <w:rFonts w:ascii="Book Antiqua" w:hAnsi="Book Antiqua" w:cs="&amp;quot"/>
          <w:b/>
          <w:noProof/>
          <w:sz w:val="24"/>
          <w:szCs w:val="24"/>
        </w:rPr>
        <w:t>31</w:t>
      </w:r>
      <w:r w:rsidRPr="00A7495E">
        <w:rPr>
          <w:rFonts w:ascii="Book Antiqua" w:hAnsi="Book Antiqua" w:cs="&amp;quot"/>
          <w:b/>
          <w:i/>
          <w:iCs/>
          <w:sz w:val="24"/>
          <w:szCs w:val="24"/>
        </w:rPr>
        <w:fldChar w:fldCharType="end"/>
      </w:r>
      <w:r>
        <w:rPr>
          <w:rFonts w:ascii="Book Antiqua" w:hAnsi="Book Antiqua" w:cs="&amp;quot"/>
          <w:b/>
          <w:i/>
          <w:iCs/>
          <w:sz w:val="24"/>
          <w:szCs w:val="24"/>
        </w:rPr>
        <w:t xml:space="preserve"> </w:t>
      </w:r>
      <w:r w:rsidR="00555E82" w:rsidRPr="009F530C">
        <w:rPr>
          <w:rFonts w:ascii="Book Antiqua" w:eastAsia="Wingdings" w:hAnsi="Book Antiqua" w:cstheme="majorBidi"/>
          <w:b/>
          <w:bCs/>
          <w:sz w:val="26"/>
          <w:szCs w:val="26"/>
          <w:lang w:eastAsia="ko-KR"/>
        </w:rPr>
        <w:t>Resultados del rendimiento de los indicadores para el período de enero a abril del 2023.</w:t>
      </w:r>
    </w:p>
    <w:tbl>
      <w:tblPr>
        <w:tblW w:w="9188" w:type="dxa"/>
        <w:tblCellMar>
          <w:left w:w="70" w:type="dxa"/>
          <w:right w:w="70" w:type="dxa"/>
        </w:tblCellMar>
        <w:tblLook w:val="04A0" w:firstRow="1" w:lastRow="0" w:firstColumn="1" w:lastColumn="0" w:noHBand="0" w:noVBand="1"/>
      </w:tblPr>
      <w:tblGrid>
        <w:gridCol w:w="1980"/>
        <w:gridCol w:w="1741"/>
        <w:gridCol w:w="3434"/>
        <w:gridCol w:w="1877"/>
        <w:gridCol w:w="156"/>
      </w:tblGrid>
      <w:tr w:rsidR="00555E82" w:rsidRPr="003C0B0F" w14:paraId="32075D50" w14:textId="77777777" w:rsidTr="006C729E">
        <w:trPr>
          <w:gridAfter w:val="1"/>
          <w:wAfter w:w="156" w:type="dxa"/>
          <w:trHeight w:val="910"/>
          <w:tblHeader/>
        </w:trPr>
        <w:tc>
          <w:tcPr>
            <w:tcW w:w="1980"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6302ACDE" w14:textId="77777777" w:rsidR="00555E82" w:rsidRPr="003C0B0F" w:rsidRDefault="00555E82" w:rsidP="00F400D6">
            <w:pPr>
              <w:spacing w:after="0" w:line="240" w:lineRule="auto"/>
              <w:jc w:val="center"/>
              <w:rPr>
                <w:rFonts w:ascii="Book Antiqua" w:eastAsia="Times New Roman" w:hAnsi="Book Antiqua" w:cs="Calibri"/>
                <w:b/>
                <w:bCs/>
                <w:color w:val="305496"/>
                <w:sz w:val="18"/>
                <w:szCs w:val="18"/>
                <w:lang w:eastAsia="es-CR"/>
              </w:rPr>
            </w:pPr>
            <w:r w:rsidRPr="003C0B0F">
              <w:rPr>
                <w:rFonts w:ascii="Book Antiqua" w:eastAsia="Times New Roman" w:hAnsi="Book Antiqua" w:cs="Calibri"/>
                <w:b/>
                <w:bCs/>
                <w:color w:val="305496"/>
                <w:sz w:val="18"/>
                <w:szCs w:val="18"/>
                <w:lang w:eastAsia="es-CR"/>
              </w:rPr>
              <w:t>Oficina líder</w:t>
            </w:r>
          </w:p>
        </w:tc>
        <w:tc>
          <w:tcPr>
            <w:tcW w:w="1741" w:type="dxa"/>
            <w:tcBorders>
              <w:top w:val="single" w:sz="4" w:space="0" w:color="auto"/>
              <w:left w:val="nil"/>
              <w:bottom w:val="single" w:sz="4" w:space="0" w:color="auto"/>
              <w:right w:val="single" w:sz="4" w:space="0" w:color="auto"/>
            </w:tcBorders>
            <w:shd w:val="clear" w:color="000000" w:fill="D0CECE"/>
            <w:vAlign w:val="center"/>
            <w:hideMark/>
          </w:tcPr>
          <w:p w14:paraId="78AEAE44" w14:textId="77777777" w:rsidR="00555E82" w:rsidRPr="003C0B0F" w:rsidRDefault="00555E82" w:rsidP="00F400D6">
            <w:pPr>
              <w:spacing w:after="0" w:line="240" w:lineRule="auto"/>
              <w:jc w:val="center"/>
              <w:rPr>
                <w:rFonts w:ascii="Book Antiqua" w:eastAsia="Times New Roman" w:hAnsi="Book Antiqua" w:cs="Calibri"/>
                <w:b/>
                <w:bCs/>
                <w:color w:val="305496"/>
                <w:sz w:val="18"/>
                <w:szCs w:val="18"/>
                <w:lang w:eastAsia="es-CR"/>
              </w:rPr>
            </w:pPr>
            <w:r w:rsidRPr="003C0B0F">
              <w:rPr>
                <w:rFonts w:ascii="Book Antiqua" w:eastAsia="Times New Roman" w:hAnsi="Book Antiqua" w:cs="Calibri"/>
                <w:b/>
                <w:bCs/>
                <w:color w:val="305496"/>
                <w:sz w:val="18"/>
                <w:szCs w:val="18"/>
                <w:lang w:eastAsia="es-CR"/>
              </w:rPr>
              <w:t>Código</w:t>
            </w:r>
          </w:p>
        </w:tc>
        <w:tc>
          <w:tcPr>
            <w:tcW w:w="3434" w:type="dxa"/>
            <w:tcBorders>
              <w:top w:val="single" w:sz="4" w:space="0" w:color="auto"/>
              <w:left w:val="nil"/>
              <w:bottom w:val="single" w:sz="4" w:space="0" w:color="auto"/>
              <w:right w:val="single" w:sz="4" w:space="0" w:color="auto"/>
            </w:tcBorders>
            <w:shd w:val="clear" w:color="000000" w:fill="D0CECE"/>
            <w:vAlign w:val="center"/>
            <w:hideMark/>
          </w:tcPr>
          <w:p w14:paraId="60605CF0" w14:textId="77777777" w:rsidR="00555E82" w:rsidRPr="003C0B0F" w:rsidRDefault="00555E82" w:rsidP="00F400D6">
            <w:pPr>
              <w:spacing w:after="0" w:line="240" w:lineRule="auto"/>
              <w:jc w:val="center"/>
              <w:rPr>
                <w:rFonts w:ascii="Book Antiqua" w:eastAsia="Times New Roman" w:hAnsi="Book Antiqua" w:cs="Calibri"/>
                <w:b/>
                <w:bCs/>
                <w:color w:val="305496"/>
                <w:sz w:val="18"/>
                <w:szCs w:val="18"/>
                <w:lang w:eastAsia="es-CR"/>
              </w:rPr>
            </w:pPr>
            <w:r w:rsidRPr="003C0B0F">
              <w:rPr>
                <w:rFonts w:ascii="Book Antiqua" w:eastAsia="Times New Roman" w:hAnsi="Book Antiqua" w:cs="Calibri"/>
                <w:b/>
                <w:bCs/>
                <w:color w:val="305496"/>
                <w:sz w:val="18"/>
                <w:szCs w:val="18"/>
                <w:lang w:eastAsia="es-CR"/>
              </w:rPr>
              <w:t>Nombre del Proyecto</w:t>
            </w:r>
          </w:p>
        </w:tc>
        <w:tc>
          <w:tcPr>
            <w:tcW w:w="1877" w:type="dxa"/>
            <w:tcBorders>
              <w:top w:val="single" w:sz="4" w:space="0" w:color="auto"/>
              <w:left w:val="nil"/>
              <w:bottom w:val="single" w:sz="4" w:space="0" w:color="auto"/>
              <w:right w:val="single" w:sz="4" w:space="0" w:color="auto"/>
            </w:tcBorders>
            <w:shd w:val="clear" w:color="000000" w:fill="D0CECE"/>
            <w:vAlign w:val="center"/>
            <w:hideMark/>
          </w:tcPr>
          <w:p w14:paraId="6BDA554D" w14:textId="77777777" w:rsidR="00555E82" w:rsidRPr="00A723F2" w:rsidRDefault="00555E82" w:rsidP="00F400D6">
            <w:pPr>
              <w:spacing w:after="0" w:line="240" w:lineRule="auto"/>
              <w:jc w:val="center"/>
              <w:rPr>
                <w:rFonts w:ascii="Book Antiqua" w:eastAsia="Times New Roman" w:hAnsi="Book Antiqua" w:cs="Calibri"/>
                <w:b/>
                <w:bCs/>
                <w:color w:val="305496"/>
                <w:sz w:val="18"/>
                <w:szCs w:val="18"/>
                <w:lang w:eastAsia="es-CR"/>
              </w:rPr>
            </w:pPr>
            <w:r w:rsidRPr="00A723F2">
              <w:rPr>
                <w:rFonts w:ascii="Book Antiqua" w:eastAsia="Times New Roman" w:hAnsi="Book Antiqua" w:cs="Calibri"/>
                <w:b/>
                <w:bCs/>
                <w:color w:val="305496"/>
                <w:sz w:val="18"/>
                <w:szCs w:val="18"/>
                <w:lang w:eastAsia="es-CR"/>
              </w:rPr>
              <w:t xml:space="preserve">Rendimiento Global por Proyecto </w:t>
            </w:r>
          </w:p>
        </w:tc>
      </w:tr>
      <w:tr w:rsidR="00555E82" w:rsidRPr="003C0B0F" w14:paraId="21E08EB7" w14:textId="77777777" w:rsidTr="006C729E">
        <w:trPr>
          <w:gridAfter w:val="1"/>
          <w:wAfter w:w="156" w:type="dxa"/>
          <w:trHeight w:val="770"/>
        </w:trPr>
        <w:tc>
          <w:tcPr>
            <w:tcW w:w="19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F93A718"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Dirección Jurídica</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7E262D"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1331-DJ-P04</w:t>
            </w:r>
          </w:p>
        </w:tc>
        <w:tc>
          <w:tcPr>
            <w:tcW w:w="3434" w:type="dxa"/>
            <w:tcBorders>
              <w:top w:val="single" w:sz="4" w:space="0" w:color="auto"/>
              <w:left w:val="single" w:sz="4" w:space="0" w:color="auto"/>
              <w:bottom w:val="single" w:sz="4" w:space="0" w:color="auto"/>
              <w:right w:val="single" w:sz="4" w:space="0" w:color="auto"/>
            </w:tcBorders>
            <w:shd w:val="clear" w:color="000000" w:fill="FFFFFF"/>
            <w:hideMark/>
          </w:tcPr>
          <w:p w14:paraId="088B59C1"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Plan de trabajo para la mejora del trámite de recuperación patrimonial por responsabilidad civil</w:t>
            </w:r>
          </w:p>
        </w:tc>
        <w:tc>
          <w:tcPr>
            <w:tcW w:w="187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FEE693"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140%</w:t>
            </w:r>
          </w:p>
        </w:tc>
      </w:tr>
      <w:tr w:rsidR="00555E82" w:rsidRPr="003C0B0F" w14:paraId="2DBE3E1C" w14:textId="77777777" w:rsidTr="006C729E">
        <w:trPr>
          <w:gridAfter w:val="1"/>
          <w:wAfter w:w="156" w:type="dxa"/>
          <w:trHeight w:val="930"/>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3ECFB8E1"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F464A2"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1331-DJ-P03</w:t>
            </w:r>
          </w:p>
        </w:tc>
        <w:tc>
          <w:tcPr>
            <w:tcW w:w="3434" w:type="dxa"/>
            <w:tcBorders>
              <w:top w:val="single" w:sz="4" w:space="0" w:color="auto"/>
              <w:left w:val="single" w:sz="4" w:space="0" w:color="auto"/>
              <w:bottom w:val="single" w:sz="4" w:space="0" w:color="auto"/>
              <w:right w:val="single" w:sz="4" w:space="0" w:color="auto"/>
            </w:tcBorders>
            <w:shd w:val="clear" w:color="000000" w:fill="FFFFFF"/>
            <w:hideMark/>
          </w:tcPr>
          <w:p w14:paraId="57C56CF9"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Plan de trabajo para la atención de solicitudes de criterios, informes y estudios de los órganos superiores.</w:t>
            </w:r>
          </w:p>
        </w:tc>
        <w:tc>
          <w:tcPr>
            <w:tcW w:w="187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F2694B"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56%</w:t>
            </w:r>
          </w:p>
        </w:tc>
      </w:tr>
      <w:tr w:rsidR="00555E82" w:rsidRPr="003C0B0F" w14:paraId="7A56CBD8" w14:textId="77777777" w:rsidTr="006C729E">
        <w:trPr>
          <w:gridAfter w:val="1"/>
          <w:wAfter w:w="156" w:type="dxa"/>
          <w:trHeight w:val="570"/>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7661862B"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652333"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1331-DJ-P02</w:t>
            </w:r>
          </w:p>
        </w:tc>
        <w:tc>
          <w:tcPr>
            <w:tcW w:w="3434"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41040D81"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Plan de trabajo para la instrucción de los Procedimientos Administrativos Ordinarios</w:t>
            </w:r>
          </w:p>
        </w:tc>
        <w:tc>
          <w:tcPr>
            <w:tcW w:w="18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386ED9F"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186%</w:t>
            </w:r>
          </w:p>
        </w:tc>
      </w:tr>
      <w:tr w:rsidR="00555E82" w:rsidRPr="003C0B0F" w14:paraId="30A4684D" w14:textId="77777777" w:rsidTr="006C729E">
        <w:trPr>
          <w:trHeight w:val="259"/>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6ED70A90"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vMerge/>
            <w:tcBorders>
              <w:top w:val="single" w:sz="4" w:space="0" w:color="auto"/>
              <w:left w:val="single" w:sz="4" w:space="0" w:color="auto"/>
              <w:bottom w:val="single" w:sz="4" w:space="0" w:color="auto"/>
              <w:right w:val="single" w:sz="4" w:space="0" w:color="auto"/>
            </w:tcBorders>
            <w:vAlign w:val="center"/>
            <w:hideMark/>
          </w:tcPr>
          <w:p w14:paraId="4ABD2222"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p>
        </w:tc>
        <w:tc>
          <w:tcPr>
            <w:tcW w:w="3434" w:type="dxa"/>
            <w:vMerge/>
            <w:tcBorders>
              <w:top w:val="single" w:sz="4" w:space="0" w:color="auto"/>
              <w:left w:val="single" w:sz="4" w:space="0" w:color="auto"/>
              <w:bottom w:val="single" w:sz="4" w:space="0" w:color="auto"/>
              <w:right w:val="single" w:sz="4" w:space="0" w:color="auto"/>
            </w:tcBorders>
            <w:vAlign w:val="center"/>
            <w:hideMark/>
          </w:tcPr>
          <w:p w14:paraId="54D35AE0"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4B522C20" w14:textId="77777777" w:rsidR="00555E82" w:rsidRPr="00A723F2" w:rsidRDefault="00555E82" w:rsidP="00F400D6">
            <w:pPr>
              <w:spacing w:after="0" w:line="240" w:lineRule="auto"/>
              <w:rPr>
                <w:rFonts w:ascii="Book Antiqua" w:eastAsia="Times New Roman" w:hAnsi="Book Antiqua" w:cs="Calibri"/>
                <w:b/>
                <w:bCs/>
                <w:color w:val="000000" w:themeColor="text1"/>
                <w:sz w:val="20"/>
                <w:szCs w:val="20"/>
                <w:lang w:eastAsia="es-CR"/>
              </w:rPr>
            </w:pPr>
          </w:p>
        </w:tc>
        <w:tc>
          <w:tcPr>
            <w:tcW w:w="156" w:type="dxa"/>
            <w:tcBorders>
              <w:top w:val="nil"/>
              <w:left w:val="nil"/>
              <w:bottom w:val="nil"/>
              <w:right w:val="nil"/>
            </w:tcBorders>
            <w:shd w:val="clear" w:color="auto" w:fill="auto"/>
            <w:noWrap/>
            <w:vAlign w:val="bottom"/>
            <w:hideMark/>
          </w:tcPr>
          <w:p w14:paraId="2A739EEB" w14:textId="77777777" w:rsidR="00555E82" w:rsidRPr="003C0B0F" w:rsidRDefault="00555E82" w:rsidP="00F400D6">
            <w:pPr>
              <w:spacing w:after="0" w:line="240" w:lineRule="auto"/>
              <w:jc w:val="center"/>
              <w:rPr>
                <w:rFonts w:ascii="Book Antiqua" w:eastAsia="Times New Roman" w:hAnsi="Book Antiqua" w:cs="Calibri"/>
                <w:color w:val="000000"/>
                <w:sz w:val="20"/>
                <w:szCs w:val="20"/>
                <w:lang w:eastAsia="es-CR"/>
              </w:rPr>
            </w:pPr>
          </w:p>
        </w:tc>
      </w:tr>
      <w:tr w:rsidR="00555E82" w:rsidRPr="003C0B0F" w14:paraId="56AB2DDB" w14:textId="77777777" w:rsidTr="006C729E">
        <w:trPr>
          <w:trHeight w:val="1040"/>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2E421E07"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86B408"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1331-DJ-P01</w:t>
            </w:r>
          </w:p>
        </w:tc>
        <w:tc>
          <w:tcPr>
            <w:tcW w:w="3434" w:type="dxa"/>
            <w:tcBorders>
              <w:top w:val="single" w:sz="4" w:space="0" w:color="auto"/>
              <w:left w:val="single" w:sz="4" w:space="0" w:color="auto"/>
              <w:bottom w:val="single" w:sz="4" w:space="0" w:color="auto"/>
              <w:right w:val="single" w:sz="4" w:space="0" w:color="auto"/>
            </w:tcBorders>
            <w:shd w:val="clear" w:color="000000" w:fill="FFFFFF"/>
            <w:hideMark/>
          </w:tcPr>
          <w:p w14:paraId="7FB5674D"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Plan de trabajo para el análisis de proyectos de ley e Implementación de las normas legales e infra legales relativas al régimen de empleo público en el Poder Judicial</w:t>
            </w:r>
          </w:p>
        </w:tc>
        <w:tc>
          <w:tcPr>
            <w:tcW w:w="187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48F15A"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113%</w:t>
            </w:r>
          </w:p>
        </w:tc>
        <w:tc>
          <w:tcPr>
            <w:tcW w:w="156" w:type="dxa"/>
            <w:vAlign w:val="center"/>
            <w:hideMark/>
          </w:tcPr>
          <w:p w14:paraId="225FF79E"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6E122E4A" w14:textId="77777777" w:rsidTr="006C729E">
        <w:trPr>
          <w:trHeight w:val="450"/>
        </w:trPr>
        <w:tc>
          <w:tcPr>
            <w:tcW w:w="19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0B1303"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Centro de Apoyo Coordinación y Mejoramiento Función Jurisdiccional</w:t>
            </w:r>
          </w:p>
        </w:tc>
        <w:tc>
          <w:tcPr>
            <w:tcW w:w="17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E51582" w14:textId="77777777" w:rsidR="00555E82" w:rsidRPr="003C0B0F" w:rsidRDefault="00555E82" w:rsidP="00F400D6">
            <w:pPr>
              <w:spacing w:after="0" w:line="240" w:lineRule="auto"/>
              <w:jc w:val="center"/>
              <w:rPr>
                <w:rFonts w:ascii="Book Antiqua" w:eastAsia="Times New Roman" w:hAnsi="Book Antiqua" w:cs="Calibri"/>
                <w:sz w:val="18"/>
                <w:szCs w:val="18"/>
                <w:lang w:eastAsia="es-CR"/>
              </w:rPr>
            </w:pPr>
            <w:r w:rsidRPr="003C0B0F">
              <w:rPr>
                <w:rFonts w:ascii="Book Antiqua" w:eastAsia="Times New Roman" w:hAnsi="Book Antiqua" w:cs="Calibri"/>
                <w:sz w:val="18"/>
                <w:szCs w:val="18"/>
                <w:lang w:eastAsia="es-CR"/>
              </w:rPr>
              <w:t>1324-CACMFJ-P04</w:t>
            </w:r>
          </w:p>
        </w:tc>
        <w:tc>
          <w:tcPr>
            <w:tcW w:w="3434"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4676F7A4" w14:textId="77777777" w:rsidR="00555E82" w:rsidRPr="003C0B0F" w:rsidRDefault="00555E82" w:rsidP="00F400D6">
            <w:pPr>
              <w:spacing w:after="0" w:line="240" w:lineRule="auto"/>
              <w:rPr>
                <w:rFonts w:ascii="Book Antiqua" w:eastAsia="Times New Roman" w:hAnsi="Book Antiqua" w:cs="Calibri"/>
                <w:sz w:val="18"/>
                <w:szCs w:val="18"/>
                <w:lang w:eastAsia="es-CR"/>
              </w:rPr>
            </w:pPr>
            <w:r w:rsidRPr="003C0B0F">
              <w:rPr>
                <w:rFonts w:ascii="Book Antiqua" w:eastAsia="Times New Roman" w:hAnsi="Book Antiqua" w:cs="Calibri"/>
                <w:sz w:val="18"/>
                <w:szCs w:val="18"/>
                <w:lang w:eastAsia="es-CR"/>
              </w:rPr>
              <w:t>Planes de Descongestionamiento de materia Notarial</w:t>
            </w:r>
          </w:p>
        </w:tc>
        <w:tc>
          <w:tcPr>
            <w:tcW w:w="18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D0726C4"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72%</w:t>
            </w:r>
          </w:p>
        </w:tc>
        <w:tc>
          <w:tcPr>
            <w:tcW w:w="156" w:type="dxa"/>
            <w:vAlign w:val="center"/>
            <w:hideMark/>
          </w:tcPr>
          <w:p w14:paraId="76672563"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32E3D271" w14:textId="77777777" w:rsidTr="006C729E">
        <w:trPr>
          <w:trHeight w:val="19"/>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4A86B94E"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vMerge/>
            <w:tcBorders>
              <w:top w:val="single" w:sz="4" w:space="0" w:color="auto"/>
              <w:left w:val="single" w:sz="4" w:space="0" w:color="auto"/>
              <w:bottom w:val="single" w:sz="4" w:space="0" w:color="auto"/>
              <w:right w:val="single" w:sz="4" w:space="0" w:color="auto"/>
            </w:tcBorders>
            <w:vAlign w:val="center"/>
            <w:hideMark/>
          </w:tcPr>
          <w:p w14:paraId="2D7FB8E2" w14:textId="77777777" w:rsidR="00555E82" w:rsidRPr="003C0B0F" w:rsidRDefault="00555E82" w:rsidP="00F400D6">
            <w:pPr>
              <w:spacing w:after="0" w:line="240" w:lineRule="auto"/>
              <w:jc w:val="center"/>
              <w:rPr>
                <w:rFonts w:ascii="Book Antiqua" w:eastAsia="Times New Roman" w:hAnsi="Book Antiqua" w:cs="Calibri"/>
                <w:sz w:val="18"/>
                <w:szCs w:val="18"/>
                <w:lang w:eastAsia="es-CR"/>
              </w:rPr>
            </w:pPr>
          </w:p>
        </w:tc>
        <w:tc>
          <w:tcPr>
            <w:tcW w:w="3434" w:type="dxa"/>
            <w:vMerge/>
            <w:tcBorders>
              <w:top w:val="single" w:sz="4" w:space="0" w:color="auto"/>
              <w:left w:val="single" w:sz="4" w:space="0" w:color="auto"/>
              <w:bottom w:val="single" w:sz="4" w:space="0" w:color="auto"/>
              <w:right w:val="single" w:sz="4" w:space="0" w:color="auto"/>
            </w:tcBorders>
            <w:vAlign w:val="center"/>
            <w:hideMark/>
          </w:tcPr>
          <w:p w14:paraId="17E47DE3" w14:textId="77777777" w:rsidR="00555E82" w:rsidRPr="003C0B0F" w:rsidRDefault="00555E82" w:rsidP="00F400D6">
            <w:pPr>
              <w:spacing w:after="0" w:line="240" w:lineRule="auto"/>
              <w:rPr>
                <w:rFonts w:ascii="Book Antiqua" w:eastAsia="Times New Roman" w:hAnsi="Book Antiqua" w:cs="Calibri"/>
                <w:sz w:val="18"/>
                <w:szCs w:val="18"/>
                <w:lang w:eastAsia="es-CR"/>
              </w:rPr>
            </w:pP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33BE2164" w14:textId="77777777" w:rsidR="00555E82" w:rsidRPr="00A723F2" w:rsidRDefault="00555E82" w:rsidP="00F400D6">
            <w:pPr>
              <w:spacing w:after="0" w:line="240" w:lineRule="auto"/>
              <w:rPr>
                <w:rFonts w:ascii="Book Antiqua" w:eastAsia="Times New Roman" w:hAnsi="Book Antiqua" w:cs="Calibri"/>
                <w:b/>
                <w:bCs/>
                <w:color w:val="000000" w:themeColor="text1"/>
                <w:sz w:val="20"/>
                <w:szCs w:val="20"/>
                <w:lang w:eastAsia="es-CR"/>
              </w:rPr>
            </w:pPr>
          </w:p>
        </w:tc>
        <w:tc>
          <w:tcPr>
            <w:tcW w:w="156" w:type="dxa"/>
            <w:tcBorders>
              <w:top w:val="nil"/>
              <w:left w:val="nil"/>
              <w:bottom w:val="nil"/>
              <w:right w:val="nil"/>
            </w:tcBorders>
            <w:shd w:val="clear" w:color="auto" w:fill="auto"/>
            <w:noWrap/>
            <w:vAlign w:val="bottom"/>
            <w:hideMark/>
          </w:tcPr>
          <w:p w14:paraId="2013CE73" w14:textId="77777777" w:rsidR="00555E82" w:rsidRPr="003C0B0F" w:rsidRDefault="00555E82" w:rsidP="00F400D6">
            <w:pPr>
              <w:spacing w:after="0" w:line="240" w:lineRule="auto"/>
              <w:jc w:val="center"/>
              <w:rPr>
                <w:rFonts w:ascii="Book Antiqua" w:eastAsia="Times New Roman" w:hAnsi="Book Antiqua" w:cs="Calibri"/>
                <w:color w:val="FF0000"/>
                <w:sz w:val="20"/>
                <w:szCs w:val="20"/>
                <w:lang w:eastAsia="es-CR"/>
              </w:rPr>
            </w:pPr>
          </w:p>
        </w:tc>
      </w:tr>
      <w:tr w:rsidR="00555E82" w:rsidRPr="003C0B0F" w14:paraId="195F36C8" w14:textId="77777777" w:rsidTr="006C729E">
        <w:trPr>
          <w:trHeight w:val="359"/>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690D0986"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43336AB"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1324-CACMFJ-P03</w:t>
            </w:r>
          </w:p>
        </w:tc>
        <w:tc>
          <w:tcPr>
            <w:tcW w:w="3434"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2BC5018F"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Planes de Descongestionamiento de materia Laboral</w:t>
            </w:r>
          </w:p>
        </w:tc>
        <w:tc>
          <w:tcPr>
            <w:tcW w:w="18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D990B5"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103%</w:t>
            </w:r>
          </w:p>
        </w:tc>
        <w:tc>
          <w:tcPr>
            <w:tcW w:w="156" w:type="dxa"/>
            <w:vAlign w:val="center"/>
            <w:hideMark/>
          </w:tcPr>
          <w:p w14:paraId="18914DB7"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7B3B95EB" w14:textId="77777777" w:rsidTr="006C729E">
        <w:trPr>
          <w:trHeight w:val="349"/>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74C54D33"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vMerge/>
            <w:tcBorders>
              <w:top w:val="single" w:sz="4" w:space="0" w:color="auto"/>
              <w:left w:val="single" w:sz="4" w:space="0" w:color="auto"/>
              <w:bottom w:val="single" w:sz="4" w:space="0" w:color="auto"/>
              <w:right w:val="single" w:sz="4" w:space="0" w:color="auto"/>
            </w:tcBorders>
            <w:vAlign w:val="center"/>
            <w:hideMark/>
          </w:tcPr>
          <w:p w14:paraId="502FA6B8"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p>
        </w:tc>
        <w:tc>
          <w:tcPr>
            <w:tcW w:w="3434" w:type="dxa"/>
            <w:vMerge/>
            <w:tcBorders>
              <w:top w:val="single" w:sz="4" w:space="0" w:color="auto"/>
              <w:left w:val="single" w:sz="4" w:space="0" w:color="auto"/>
              <w:bottom w:val="single" w:sz="4" w:space="0" w:color="auto"/>
              <w:right w:val="single" w:sz="4" w:space="0" w:color="auto"/>
            </w:tcBorders>
            <w:vAlign w:val="center"/>
            <w:hideMark/>
          </w:tcPr>
          <w:p w14:paraId="4F1BD129"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877" w:type="dxa"/>
            <w:vMerge/>
            <w:tcBorders>
              <w:top w:val="single" w:sz="4" w:space="0" w:color="auto"/>
              <w:left w:val="single" w:sz="4" w:space="0" w:color="auto"/>
              <w:bottom w:val="single" w:sz="4" w:space="0" w:color="auto"/>
              <w:right w:val="single" w:sz="4" w:space="0" w:color="auto"/>
            </w:tcBorders>
            <w:vAlign w:val="center"/>
            <w:hideMark/>
          </w:tcPr>
          <w:p w14:paraId="7933F672" w14:textId="77777777" w:rsidR="00555E82" w:rsidRPr="00A723F2" w:rsidRDefault="00555E82" w:rsidP="00F400D6">
            <w:pPr>
              <w:spacing w:after="0" w:line="240" w:lineRule="auto"/>
              <w:rPr>
                <w:rFonts w:ascii="Book Antiqua" w:eastAsia="Times New Roman" w:hAnsi="Book Antiqua" w:cs="Calibri"/>
                <w:b/>
                <w:bCs/>
                <w:color w:val="000000" w:themeColor="text1"/>
                <w:sz w:val="20"/>
                <w:szCs w:val="20"/>
                <w:lang w:eastAsia="es-CR"/>
              </w:rPr>
            </w:pPr>
          </w:p>
        </w:tc>
        <w:tc>
          <w:tcPr>
            <w:tcW w:w="156" w:type="dxa"/>
            <w:tcBorders>
              <w:top w:val="nil"/>
              <w:left w:val="nil"/>
              <w:bottom w:val="nil"/>
              <w:right w:val="nil"/>
            </w:tcBorders>
            <w:shd w:val="clear" w:color="auto" w:fill="auto"/>
            <w:noWrap/>
            <w:vAlign w:val="bottom"/>
            <w:hideMark/>
          </w:tcPr>
          <w:p w14:paraId="59826A79" w14:textId="77777777" w:rsidR="00555E82" w:rsidRPr="003C0B0F" w:rsidRDefault="00555E82" w:rsidP="00F400D6">
            <w:pPr>
              <w:spacing w:after="0" w:line="240" w:lineRule="auto"/>
              <w:jc w:val="center"/>
              <w:rPr>
                <w:rFonts w:ascii="Book Antiqua" w:eastAsia="Times New Roman" w:hAnsi="Book Antiqua" w:cs="Calibri"/>
                <w:color w:val="000000"/>
                <w:sz w:val="20"/>
                <w:szCs w:val="20"/>
                <w:lang w:eastAsia="es-CR"/>
              </w:rPr>
            </w:pPr>
          </w:p>
        </w:tc>
      </w:tr>
      <w:tr w:rsidR="00555E82" w:rsidRPr="003C0B0F" w14:paraId="45EDC2E7" w14:textId="77777777" w:rsidTr="006C729E">
        <w:trPr>
          <w:trHeight w:val="810"/>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37F36324"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single" w:sz="4" w:space="0" w:color="auto"/>
              <w:left w:val="nil"/>
              <w:bottom w:val="single" w:sz="4" w:space="0" w:color="auto"/>
              <w:right w:val="single" w:sz="4" w:space="0" w:color="auto"/>
            </w:tcBorders>
            <w:shd w:val="clear" w:color="000000" w:fill="FFFFFF"/>
            <w:vAlign w:val="center"/>
            <w:hideMark/>
          </w:tcPr>
          <w:p w14:paraId="0F2F1ED8"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1324-CACMFJ-P02</w:t>
            </w:r>
          </w:p>
        </w:tc>
        <w:tc>
          <w:tcPr>
            <w:tcW w:w="3434" w:type="dxa"/>
            <w:tcBorders>
              <w:top w:val="single" w:sz="4" w:space="0" w:color="auto"/>
              <w:left w:val="nil"/>
              <w:bottom w:val="single" w:sz="4" w:space="0" w:color="auto"/>
              <w:right w:val="single" w:sz="4" w:space="0" w:color="auto"/>
            </w:tcBorders>
            <w:shd w:val="clear" w:color="000000" w:fill="FFFFFF"/>
            <w:hideMark/>
          </w:tcPr>
          <w:p w14:paraId="1DBEF1E1"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Planes de Descongestionamiento para la materia de Cobro Judicial</w:t>
            </w:r>
          </w:p>
        </w:tc>
        <w:tc>
          <w:tcPr>
            <w:tcW w:w="1877" w:type="dxa"/>
            <w:tcBorders>
              <w:top w:val="single" w:sz="4" w:space="0" w:color="auto"/>
              <w:left w:val="nil"/>
              <w:bottom w:val="single" w:sz="4" w:space="0" w:color="auto"/>
              <w:right w:val="single" w:sz="4" w:space="0" w:color="auto"/>
            </w:tcBorders>
            <w:shd w:val="clear" w:color="000000" w:fill="FFFFFF"/>
            <w:vAlign w:val="center"/>
            <w:hideMark/>
          </w:tcPr>
          <w:p w14:paraId="4151FB10"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94%</w:t>
            </w:r>
          </w:p>
        </w:tc>
        <w:tc>
          <w:tcPr>
            <w:tcW w:w="156" w:type="dxa"/>
            <w:vAlign w:val="center"/>
            <w:hideMark/>
          </w:tcPr>
          <w:p w14:paraId="011962BE"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34101ACA" w14:textId="77777777" w:rsidTr="006C729E">
        <w:trPr>
          <w:trHeight w:val="580"/>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4D5AF461"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single" w:sz="4" w:space="0" w:color="auto"/>
              <w:left w:val="nil"/>
              <w:bottom w:val="single" w:sz="4" w:space="0" w:color="auto"/>
              <w:right w:val="single" w:sz="4" w:space="0" w:color="auto"/>
            </w:tcBorders>
            <w:shd w:val="clear" w:color="000000" w:fill="FFFFFF"/>
            <w:vAlign w:val="center"/>
            <w:hideMark/>
          </w:tcPr>
          <w:p w14:paraId="355E1816"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1324-CACMFJ-P01</w:t>
            </w:r>
          </w:p>
        </w:tc>
        <w:tc>
          <w:tcPr>
            <w:tcW w:w="3434" w:type="dxa"/>
            <w:tcBorders>
              <w:top w:val="single" w:sz="4" w:space="0" w:color="auto"/>
              <w:left w:val="nil"/>
              <w:bottom w:val="single" w:sz="4" w:space="0" w:color="auto"/>
              <w:right w:val="single" w:sz="4" w:space="0" w:color="auto"/>
            </w:tcBorders>
            <w:shd w:val="clear" w:color="000000" w:fill="FFFFFF"/>
            <w:hideMark/>
          </w:tcPr>
          <w:p w14:paraId="75CEDE94"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Planes de Descongestionamiento para la materia Civil</w:t>
            </w:r>
          </w:p>
        </w:tc>
        <w:tc>
          <w:tcPr>
            <w:tcW w:w="1877" w:type="dxa"/>
            <w:tcBorders>
              <w:top w:val="single" w:sz="4" w:space="0" w:color="auto"/>
              <w:left w:val="nil"/>
              <w:bottom w:val="single" w:sz="4" w:space="0" w:color="auto"/>
              <w:right w:val="single" w:sz="4" w:space="0" w:color="auto"/>
            </w:tcBorders>
            <w:shd w:val="clear" w:color="000000" w:fill="FFFFFF"/>
            <w:vAlign w:val="center"/>
            <w:hideMark/>
          </w:tcPr>
          <w:p w14:paraId="1C3DC4C3"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134%</w:t>
            </w:r>
          </w:p>
        </w:tc>
        <w:tc>
          <w:tcPr>
            <w:tcW w:w="156" w:type="dxa"/>
            <w:vAlign w:val="center"/>
            <w:hideMark/>
          </w:tcPr>
          <w:p w14:paraId="08B21D06"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43541A6F" w14:textId="77777777" w:rsidTr="006C729E">
        <w:trPr>
          <w:trHeight w:val="749"/>
        </w:trPr>
        <w:tc>
          <w:tcPr>
            <w:tcW w:w="1980" w:type="dxa"/>
            <w:vMerge w:val="restart"/>
            <w:tcBorders>
              <w:top w:val="single" w:sz="4" w:space="0" w:color="auto"/>
              <w:left w:val="single" w:sz="4" w:space="0" w:color="auto"/>
              <w:right w:val="single" w:sz="4" w:space="0" w:color="auto"/>
            </w:tcBorders>
            <w:shd w:val="clear" w:color="000000" w:fill="FFFFFF"/>
            <w:vAlign w:val="center"/>
            <w:hideMark/>
          </w:tcPr>
          <w:p w14:paraId="68E08648"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Organismo de Investigación Judicial</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8C5C44"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1167-OIJ-P29</w:t>
            </w:r>
          </w:p>
        </w:tc>
        <w:tc>
          <w:tcPr>
            <w:tcW w:w="3434" w:type="dxa"/>
            <w:tcBorders>
              <w:top w:val="single" w:sz="4" w:space="0" w:color="auto"/>
              <w:left w:val="single" w:sz="4" w:space="0" w:color="auto"/>
              <w:bottom w:val="single" w:sz="4" w:space="0" w:color="auto"/>
              <w:right w:val="single" w:sz="4" w:space="0" w:color="auto"/>
            </w:tcBorders>
            <w:shd w:val="clear" w:color="000000" w:fill="FFFFFF"/>
            <w:hideMark/>
          </w:tcPr>
          <w:p w14:paraId="0BBC4398"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Plan de actualización de la base de datos del Archivo Criminal, sistemas ECU – AFIS</w:t>
            </w:r>
          </w:p>
        </w:tc>
        <w:tc>
          <w:tcPr>
            <w:tcW w:w="187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79DC1C"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103%</w:t>
            </w:r>
          </w:p>
        </w:tc>
        <w:tc>
          <w:tcPr>
            <w:tcW w:w="156" w:type="dxa"/>
            <w:tcBorders>
              <w:left w:val="single" w:sz="4" w:space="0" w:color="auto"/>
            </w:tcBorders>
            <w:vAlign w:val="center"/>
            <w:hideMark/>
          </w:tcPr>
          <w:p w14:paraId="6DFDF95B"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02E89B46" w14:textId="77777777" w:rsidTr="006C729E">
        <w:trPr>
          <w:trHeight w:val="780"/>
        </w:trPr>
        <w:tc>
          <w:tcPr>
            <w:tcW w:w="1980" w:type="dxa"/>
            <w:vMerge/>
            <w:tcBorders>
              <w:top w:val="single" w:sz="4" w:space="0" w:color="auto"/>
              <w:left w:val="single" w:sz="4" w:space="0" w:color="auto"/>
              <w:right w:val="single" w:sz="4" w:space="0" w:color="auto"/>
            </w:tcBorders>
            <w:vAlign w:val="center"/>
            <w:hideMark/>
          </w:tcPr>
          <w:p w14:paraId="0C86F044"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BC0F4F"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1167-OIJ-P30</w:t>
            </w:r>
          </w:p>
        </w:tc>
        <w:tc>
          <w:tcPr>
            <w:tcW w:w="3434" w:type="dxa"/>
            <w:tcBorders>
              <w:top w:val="single" w:sz="4" w:space="0" w:color="auto"/>
              <w:left w:val="single" w:sz="4" w:space="0" w:color="auto"/>
              <w:bottom w:val="single" w:sz="4" w:space="0" w:color="auto"/>
              <w:right w:val="single" w:sz="4" w:space="0" w:color="auto"/>
            </w:tcBorders>
            <w:shd w:val="clear" w:color="000000" w:fill="FFFFFF"/>
            <w:hideMark/>
          </w:tcPr>
          <w:p w14:paraId="5CA422CA"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Plan de trabajo para el traslado de Personas Fallecidas</w:t>
            </w:r>
          </w:p>
        </w:tc>
        <w:tc>
          <w:tcPr>
            <w:tcW w:w="187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D7781A"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181%</w:t>
            </w:r>
          </w:p>
        </w:tc>
        <w:tc>
          <w:tcPr>
            <w:tcW w:w="156" w:type="dxa"/>
            <w:tcBorders>
              <w:left w:val="single" w:sz="4" w:space="0" w:color="auto"/>
            </w:tcBorders>
            <w:vAlign w:val="center"/>
            <w:hideMark/>
          </w:tcPr>
          <w:p w14:paraId="28273352"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55B9D08E" w14:textId="77777777" w:rsidTr="006C729E">
        <w:trPr>
          <w:trHeight w:val="970"/>
        </w:trPr>
        <w:tc>
          <w:tcPr>
            <w:tcW w:w="1980" w:type="dxa"/>
            <w:vMerge/>
            <w:tcBorders>
              <w:top w:val="single" w:sz="4" w:space="0" w:color="auto"/>
              <w:left w:val="single" w:sz="4" w:space="0" w:color="auto"/>
              <w:bottom w:val="nil"/>
              <w:right w:val="single" w:sz="4" w:space="0" w:color="auto"/>
            </w:tcBorders>
            <w:vAlign w:val="center"/>
            <w:hideMark/>
          </w:tcPr>
          <w:p w14:paraId="30996EAC"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093796B4"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1167-OIJ-P16</w:t>
            </w:r>
          </w:p>
        </w:tc>
        <w:tc>
          <w:tcPr>
            <w:tcW w:w="3434" w:type="dxa"/>
            <w:tcBorders>
              <w:top w:val="single" w:sz="4" w:space="0" w:color="auto"/>
              <w:left w:val="nil"/>
              <w:bottom w:val="single" w:sz="4" w:space="0" w:color="auto"/>
              <w:right w:val="single" w:sz="4" w:space="0" w:color="auto"/>
            </w:tcBorders>
            <w:shd w:val="clear" w:color="000000" w:fill="FFFFFF"/>
            <w:hideMark/>
          </w:tcPr>
          <w:p w14:paraId="349D362E"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Implementación de nuevas metodologías y desarrollo del sistema de gestión de calidad, para el mejoramiento de los servicios forenses</w:t>
            </w:r>
          </w:p>
        </w:tc>
        <w:tc>
          <w:tcPr>
            <w:tcW w:w="1877" w:type="dxa"/>
            <w:tcBorders>
              <w:top w:val="single" w:sz="4" w:space="0" w:color="auto"/>
              <w:left w:val="nil"/>
              <w:bottom w:val="single" w:sz="4" w:space="0" w:color="auto"/>
              <w:right w:val="single" w:sz="4" w:space="0" w:color="auto"/>
            </w:tcBorders>
            <w:shd w:val="clear" w:color="000000" w:fill="FFFFFF"/>
            <w:vAlign w:val="center"/>
            <w:hideMark/>
          </w:tcPr>
          <w:p w14:paraId="0E3464CC"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105%</w:t>
            </w:r>
          </w:p>
        </w:tc>
        <w:tc>
          <w:tcPr>
            <w:tcW w:w="156" w:type="dxa"/>
            <w:vAlign w:val="center"/>
            <w:hideMark/>
          </w:tcPr>
          <w:p w14:paraId="0B0B90AC"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42FFAF03" w14:textId="77777777" w:rsidTr="006C729E">
        <w:trPr>
          <w:trHeight w:val="990"/>
        </w:trPr>
        <w:tc>
          <w:tcPr>
            <w:tcW w:w="1980" w:type="dxa"/>
            <w:vMerge/>
            <w:tcBorders>
              <w:top w:val="single" w:sz="4" w:space="0" w:color="auto"/>
              <w:left w:val="single" w:sz="4" w:space="0" w:color="auto"/>
              <w:bottom w:val="nil"/>
              <w:right w:val="single" w:sz="4" w:space="0" w:color="auto"/>
            </w:tcBorders>
            <w:vAlign w:val="center"/>
            <w:hideMark/>
          </w:tcPr>
          <w:p w14:paraId="5482A8A8"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nil"/>
              <w:left w:val="nil"/>
              <w:bottom w:val="single" w:sz="4" w:space="0" w:color="auto"/>
              <w:right w:val="single" w:sz="4" w:space="0" w:color="auto"/>
            </w:tcBorders>
            <w:shd w:val="clear" w:color="000000" w:fill="FFFFFF"/>
            <w:vAlign w:val="center"/>
            <w:hideMark/>
          </w:tcPr>
          <w:p w14:paraId="338D2367"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1167-OIJ-P28</w:t>
            </w:r>
          </w:p>
        </w:tc>
        <w:tc>
          <w:tcPr>
            <w:tcW w:w="3434" w:type="dxa"/>
            <w:tcBorders>
              <w:top w:val="nil"/>
              <w:left w:val="nil"/>
              <w:bottom w:val="single" w:sz="4" w:space="0" w:color="auto"/>
              <w:right w:val="single" w:sz="4" w:space="0" w:color="auto"/>
            </w:tcBorders>
            <w:shd w:val="clear" w:color="000000" w:fill="FFFFFF"/>
            <w:hideMark/>
          </w:tcPr>
          <w:p w14:paraId="4893EF40"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Mejoramiento de la eficiencia de la plataforma administrativa de las Sedes Regionales del Organismo de Investigación Judicial 2021</w:t>
            </w:r>
          </w:p>
        </w:tc>
        <w:tc>
          <w:tcPr>
            <w:tcW w:w="1877" w:type="dxa"/>
            <w:tcBorders>
              <w:top w:val="nil"/>
              <w:left w:val="nil"/>
              <w:bottom w:val="single" w:sz="4" w:space="0" w:color="auto"/>
              <w:right w:val="single" w:sz="4" w:space="0" w:color="auto"/>
            </w:tcBorders>
            <w:shd w:val="clear" w:color="000000" w:fill="FFFFFF"/>
            <w:vAlign w:val="center"/>
            <w:hideMark/>
          </w:tcPr>
          <w:p w14:paraId="6E4E3301"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112%</w:t>
            </w:r>
          </w:p>
        </w:tc>
        <w:tc>
          <w:tcPr>
            <w:tcW w:w="156" w:type="dxa"/>
            <w:vAlign w:val="center"/>
            <w:hideMark/>
          </w:tcPr>
          <w:p w14:paraId="49079583"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0F22D54C" w14:textId="77777777" w:rsidTr="006C729E">
        <w:trPr>
          <w:trHeight w:val="790"/>
        </w:trPr>
        <w:tc>
          <w:tcPr>
            <w:tcW w:w="1980" w:type="dxa"/>
            <w:vMerge/>
            <w:tcBorders>
              <w:top w:val="single" w:sz="4" w:space="0" w:color="auto"/>
              <w:left w:val="single" w:sz="4" w:space="0" w:color="auto"/>
              <w:bottom w:val="nil"/>
              <w:right w:val="single" w:sz="4" w:space="0" w:color="auto"/>
            </w:tcBorders>
            <w:vAlign w:val="center"/>
            <w:hideMark/>
          </w:tcPr>
          <w:p w14:paraId="65E9D98F"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nil"/>
              <w:left w:val="nil"/>
              <w:bottom w:val="single" w:sz="4" w:space="0" w:color="auto"/>
              <w:right w:val="single" w:sz="4" w:space="0" w:color="auto"/>
            </w:tcBorders>
            <w:shd w:val="clear" w:color="000000" w:fill="FFFFFF"/>
            <w:vAlign w:val="center"/>
            <w:hideMark/>
          </w:tcPr>
          <w:p w14:paraId="574C2A20"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1167-OIJ-P27</w:t>
            </w:r>
          </w:p>
        </w:tc>
        <w:tc>
          <w:tcPr>
            <w:tcW w:w="3434" w:type="dxa"/>
            <w:tcBorders>
              <w:top w:val="nil"/>
              <w:left w:val="nil"/>
              <w:bottom w:val="single" w:sz="4" w:space="0" w:color="auto"/>
              <w:right w:val="single" w:sz="4" w:space="0" w:color="auto"/>
            </w:tcBorders>
            <w:shd w:val="clear" w:color="000000" w:fill="FFFFFF"/>
            <w:hideMark/>
          </w:tcPr>
          <w:p w14:paraId="1FF8EC09"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Optimización de la Tramitología de los procesos de Gestión Humana</w:t>
            </w:r>
          </w:p>
        </w:tc>
        <w:tc>
          <w:tcPr>
            <w:tcW w:w="1877" w:type="dxa"/>
            <w:tcBorders>
              <w:top w:val="nil"/>
              <w:left w:val="nil"/>
              <w:bottom w:val="single" w:sz="4" w:space="0" w:color="auto"/>
              <w:right w:val="single" w:sz="4" w:space="0" w:color="auto"/>
            </w:tcBorders>
            <w:shd w:val="clear" w:color="000000" w:fill="FFFFFF"/>
            <w:vAlign w:val="center"/>
            <w:hideMark/>
          </w:tcPr>
          <w:p w14:paraId="2B83EA04"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157%</w:t>
            </w:r>
          </w:p>
        </w:tc>
        <w:tc>
          <w:tcPr>
            <w:tcW w:w="156" w:type="dxa"/>
            <w:vAlign w:val="center"/>
            <w:hideMark/>
          </w:tcPr>
          <w:p w14:paraId="7EB55FA2"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7238FDC3" w14:textId="77777777" w:rsidTr="006C729E">
        <w:trPr>
          <w:trHeight w:val="1320"/>
        </w:trPr>
        <w:tc>
          <w:tcPr>
            <w:tcW w:w="1980" w:type="dxa"/>
            <w:vMerge/>
            <w:tcBorders>
              <w:top w:val="single" w:sz="4" w:space="0" w:color="auto"/>
              <w:left w:val="single" w:sz="4" w:space="0" w:color="auto"/>
              <w:bottom w:val="nil"/>
              <w:right w:val="single" w:sz="4" w:space="0" w:color="auto"/>
            </w:tcBorders>
            <w:vAlign w:val="center"/>
            <w:hideMark/>
          </w:tcPr>
          <w:p w14:paraId="465D796F"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nil"/>
              <w:left w:val="nil"/>
              <w:bottom w:val="single" w:sz="4" w:space="0" w:color="auto"/>
              <w:right w:val="single" w:sz="4" w:space="0" w:color="auto"/>
            </w:tcBorders>
            <w:shd w:val="clear" w:color="000000" w:fill="FFFFFF"/>
            <w:vAlign w:val="center"/>
            <w:hideMark/>
          </w:tcPr>
          <w:p w14:paraId="0B087357"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1167-OIJ-P25</w:t>
            </w:r>
          </w:p>
        </w:tc>
        <w:tc>
          <w:tcPr>
            <w:tcW w:w="3434" w:type="dxa"/>
            <w:tcBorders>
              <w:top w:val="nil"/>
              <w:left w:val="nil"/>
              <w:bottom w:val="single" w:sz="4" w:space="0" w:color="auto"/>
              <w:right w:val="single" w:sz="4" w:space="0" w:color="auto"/>
            </w:tcBorders>
            <w:shd w:val="clear" w:color="000000" w:fill="FFFFFF"/>
            <w:hideMark/>
          </w:tcPr>
          <w:p w14:paraId="5E3D862D"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Plan para el abordaje de la problemática en la atención de aperturas de indicios digitales y tramitación de casos de la Sección Especializada Contra el Cibercrimen</w:t>
            </w:r>
          </w:p>
        </w:tc>
        <w:tc>
          <w:tcPr>
            <w:tcW w:w="1877" w:type="dxa"/>
            <w:tcBorders>
              <w:top w:val="nil"/>
              <w:left w:val="nil"/>
              <w:bottom w:val="single" w:sz="4" w:space="0" w:color="auto"/>
              <w:right w:val="single" w:sz="4" w:space="0" w:color="auto"/>
            </w:tcBorders>
            <w:shd w:val="clear" w:color="000000" w:fill="FFFFFF"/>
            <w:vAlign w:val="center"/>
            <w:hideMark/>
          </w:tcPr>
          <w:p w14:paraId="795167AD"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109%</w:t>
            </w:r>
          </w:p>
        </w:tc>
        <w:tc>
          <w:tcPr>
            <w:tcW w:w="156" w:type="dxa"/>
            <w:vAlign w:val="center"/>
            <w:hideMark/>
          </w:tcPr>
          <w:p w14:paraId="4303574D"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095A6866" w14:textId="77777777" w:rsidTr="006C729E">
        <w:trPr>
          <w:trHeight w:val="749"/>
        </w:trPr>
        <w:tc>
          <w:tcPr>
            <w:tcW w:w="1980" w:type="dxa"/>
            <w:vMerge/>
            <w:tcBorders>
              <w:top w:val="single" w:sz="4" w:space="0" w:color="auto"/>
              <w:left w:val="single" w:sz="4" w:space="0" w:color="auto"/>
              <w:bottom w:val="nil"/>
              <w:right w:val="single" w:sz="4" w:space="0" w:color="auto"/>
            </w:tcBorders>
            <w:vAlign w:val="center"/>
            <w:hideMark/>
          </w:tcPr>
          <w:p w14:paraId="0F6C050C"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nil"/>
              <w:left w:val="nil"/>
              <w:bottom w:val="single" w:sz="4" w:space="0" w:color="auto"/>
              <w:right w:val="single" w:sz="4" w:space="0" w:color="auto"/>
            </w:tcBorders>
            <w:shd w:val="clear" w:color="000000" w:fill="FFFFFF"/>
            <w:vAlign w:val="center"/>
            <w:hideMark/>
          </w:tcPr>
          <w:p w14:paraId="3E0A63B8"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1167-OIJ-P44</w:t>
            </w:r>
          </w:p>
        </w:tc>
        <w:tc>
          <w:tcPr>
            <w:tcW w:w="3434" w:type="dxa"/>
            <w:tcBorders>
              <w:top w:val="nil"/>
              <w:left w:val="nil"/>
              <w:bottom w:val="single" w:sz="4" w:space="0" w:color="auto"/>
              <w:right w:val="single" w:sz="4" w:space="0" w:color="auto"/>
            </w:tcBorders>
            <w:shd w:val="clear" w:color="000000" w:fill="FFFFFF"/>
            <w:hideMark/>
          </w:tcPr>
          <w:p w14:paraId="2FA052D3"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Enlace de planificación, coordinación logística y ejecución para las capacitaciones de OIJ</w:t>
            </w:r>
          </w:p>
        </w:tc>
        <w:tc>
          <w:tcPr>
            <w:tcW w:w="1877" w:type="dxa"/>
            <w:tcBorders>
              <w:top w:val="nil"/>
              <w:left w:val="nil"/>
              <w:bottom w:val="single" w:sz="4" w:space="0" w:color="auto"/>
              <w:right w:val="single" w:sz="4" w:space="0" w:color="auto"/>
            </w:tcBorders>
            <w:shd w:val="clear" w:color="000000" w:fill="FFFFFF"/>
            <w:vAlign w:val="center"/>
            <w:hideMark/>
          </w:tcPr>
          <w:p w14:paraId="34963F58"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191%</w:t>
            </w:r>
          </w:p>
        </w:tc>
        <w:tc>
          <w:tcPr>
            <w:tcW w:w="156" w:type="dxa"/>
            <w:vAlign w:val="center"/>
            <w:hideMark/>
          </w:tcPr>
          <w:p w14:paraId="0308F2E2"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509F5FD9" w14:textId="77777777" w:rsidTr="006C729E">
        <w:trPr>
          <w:trHeight w:val="1050"/>
        </w:trPr>
        <w:tc>
          <w:tcPr>
            <w:tcW w:w="1980" w:type="dxa"/>
            <w:vMerge/>
            <w:tcBorders>
              <w:top w:val="single" w:sz="4" w:space="0" w:color="auto"/>
              <w:left w:val="single" w:sz="4" w:space="0" w:color="auto"/>
              <w:bottom w:val="nil"/>
              <w:right w:val="single" w:sz="4" w:space="0" w:color="auto"/>
            </w:tcBorders>
            <w:vAlign w:val="center"/>
            <w:hideMark/>
          </w:tcPr>
          <w:p w14:paraId="6C63CF8B"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nil"/>
              <w:left w:val="nil"/>
              <w:bottom w:val="single" w:sz="4" w:space="0" w:color="auto"/>
              <w:right w:val="single" w:sz="4" w:space="0" w:color="auto"/>
            </w:tcBorders>
            <w:shd w:val="clear" w:color="000000" w:fill="FFFFFF"/>
            <w:vAlign w:val="center"/>
            <w:hideMark/>
          </w:tcPr>
          <w:p w14:paraId="4C1E0B0F"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1167-OIJ-P45</w:t>
            </w:r>
          </w:p>
        </w:tc>
        <w:tc>
          <w:tcPr>
            <w:tcW w:w="3434" w:type="dxa"/>
            <w:tcBorders>
              <w:top w:val="nil"/>
              <w:left w:val="nil"/>
              <w:bottom w:val="single" w:sz="4" w:space="0" w:color="auto"/>
              <w:right w:val="single" w:sz="4" w:space="0" w:color="auto"/>
            </w:tcBorders>
            <w:shd w:val="clear" w:color="000000" w:fill="FFFFFF"/>
            <w:hideMark/>
          </w:tcPr>
          <w:p w14:paraId="379B2E05"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Implementación, abordaje, evaluación y seguimiento del Sistema de Control Interno en las sedes que conforman el Organismo de Investigación Judicial</w:t>
            </w:r>
          </w:p>
        </w:tc>
        <w:tc>
          <w:tcPr>
            <w:tcW w:w="1877" w:type="dxa"/>
            <w:tcBorders>
              <w:top w:val="nil"/>
              <w:left w:val="nil"/>
              <w:bottom w:val="single" w:sz="4" w:space="0" w:color="auto"/>
              <w:right w:val="single" w:sz="4" w:space="0" w:color="auto"/>
            </w:tcBorders>
            <w:shd w:val="clear" w:color="000000" w:fill="FFFFFF"/>
            <w:vAlign w:val="center"/>
            <w:hideMark/>
          </w:tcPr>
          <w:p w14:paraId="57413B0D"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223%</w:t>
            </w:r>
          </w:p>
        </w:tc>
        <w:tc>
          <w:tcPr>
            <w:tcW w:w="156" w:type="dxa"/>
            <w:vAlign w:val="center"/>
            <w:hideMark/>
          </w:tcPr>
          <w:p w14:paraId="7C833544"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57BD487D" w14:textId="77777777" w:rsidTr="006C729E">
        <w:trPr>
          <w:trHeight w:val="820"/>
        </w:trPr>
        <w:tc>
          <w:tcPr>
            <w:tcW w:w="1980" w:type="dxa"/>
            <w:vMerge/>
            <w:tcBorders>
              <w:top w:val="single" w:sz="4" w:space="0" w:color="auto"/>
              <w:left w:val="single" w:sz="4" w:space="0" w:color="auto"/>
              <w:bottom w:val="nil"/>
              <w:right w:val="single" w:sz="4" w:space="0" w:color="auto"/>
            </w:tcBorders>
            <w:vAlign w:val="center"/>
            <w:hideMark/>
          </w:tcPr>
          <w:p w14:paraId="0D2CE246"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nil"/>
              <w:left w:val="nil"/>
              <w:bottom w:val="single" w:sz="4" w:space="0" w:color="auto"/>
              <w:right w:val="single" w:sz="4" w:space="0" w:color="auto"/>
            </w:tcBorders>
            <w:shd w:val="clear" w:color="000000" w:fill="FFFFFF"/>
            <w:vAlign w:val="center"/>
            <w:hideMark/>
          </w:tcPr>
          <w:p w14:paraId="0DF15420"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1167-OIJ-P46</w:t>
            </w:r>
          </w:p>
        </w:tc>
        <w:tc>
          <w:tcPr>
            <w:tcW w:w="3434" w:type="dxa"/>
            <w:tcBorders>
              <w:top w:val="nil"/>
              <w:left w:val="nil"/>
              <w:bottom w:val="single" w:sz="4" w:space="0" w:color="auto"/>
              <w:right w:val="single" w:sz="4" w:space="0" w:color="auto"/>
            </w:tcBorders>
            <w:shd w:val="clear" w:color="000000" w:fill="FFFFFF"/>
            <w:hideMark/>
          </w:tcPr>
          <w:p w14:paraId="7E35080B"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Gestión de calidad de los proyectos estratégicos y de los estudios de sedes policiales de OIJ</w:t>
            </w:r>
          </w:p>
        </w:tc>
        <w:tc>
          <w:tcPr>
            <w:tcW w:w="1877" w:type="dxa"/>
            <w:tcBorders>
              <w:top w:val="nil"/>
              <w:left w:val="nil"/>
              <w:bottom w:val="single" w:sz="4" w:space="0" w:color="auto"/>
              <w:right w:val="single" w:sz="4" w:space="0" w:color="auto"/>
            </w:tcBorders>
            <w:shd w:val="clear" w:color="000000" w:fill="FFFFFF"/>
            <w:vAlign w:val="center"/>
            <w:hideMark/>
          </w:tcPr>
          <w:p w14:paraId="53828595"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254%</w:t>
            </w:r>
          </w:p>
        </w:tc>
        <w:tc>
          <w:tcPr>
            <w:tcW w:w="156" w:type="dxa"/>
            <w:vAlign w:val="center"/>
            <w:hideMark/>
          </w:tcPr>
          <w:p w14:paraId="514B7B12"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4993780B" w14:textId="77777777" w:rsidTr="006C729E">
        <w:trPr>
          <w:trHeight w:val="960"/>
        </w:trPr>
        <w:tc>
          <w:tcPr>
            <w:tcW w:w="1980" w:type="dxa"/>
            <w:vMerge/>
            <w:tcBorders>
              <w:top w:val="single" w:sz="4" w:space="0" w:color="auto"/>
              <w:left w:val="single" w:sz="4" w:space="0" w:color="auto"/>
              <w:bottom w:val="nil"/>
              <w:right w:val="single" w:sz="4" w:space="0" w:color="auto"/>
            </w:tcBorders>
            <w:vAlign w:val="center"/>
            <w:hideMark/>
          </w:tcPr>
          <w:p w14:paraId="1392D348"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nil"/>
              <w:left w:val="nil"/>
              <w:bottom w:val="single" w:sz="4" w:space="0" w:color="auto"/>
              <w:right w:val="single" w:sz="4" w:space="0" w:color="auto"/>
            </w:tcBorders>
            <w:shd w:val="clear" w:color="000000" w:fill="FFFFFF"/>
            <w:vAlign w:val="center"/>
            <w:hideMark/>
          </w:tcPr>
          <w:p w14:paraId="02C02BE7"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1167-OIJ-P47</w:t>
            </w:r>
          </w:p>
        </w:tc>
        <w:tc>
          <w:tcPr>
            <w:tcW w:w="3434" w:type="dxa"/>
            <w:tcBorders>
              <w:top w:val="nil"/>
              <w:left w:val="nil"/>
              <w:bottom w:val="single" w:sz="4" w:space="0" w:color="auto"/>
              <w:right w:val="single" w:sz="4" w:space="0" w:color="auto"/>
            </w:tcBorders>
            <w:shd w:val="clear" w:color="000000" w:fill="FFFFFF"/>
            <w:hideMark/>
          </w:tcPr>
          <w:p w14:paraId="2160FFFB"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Desarrollo e Implementación de una estrategia de proyección institucional del Organismo de Investigación Judicial</w:t>
            </w:r>
          </w:p>
        </w:tc>
        <w:tc>
          <w:tcPr>
            <w:tcW w:w="1877" w:type="dxa"/>
            <w:tcBorders>
              <w:top w:val="nil"/>
              <w:left w:val="nil"/>
              <w:bottom w:val="single" w:sz="4" w:space="0" w:color="auto"/>
              <w:right w:val="single" w:sz="4" w:space="0" w:color="auto"/>
            </w:tcBorders>
            <w:shd w:val="clear" w:color="000000" w:fill="FFFFFF"/>
            <w:vAlign w:val="center"/>
            <w:hideMark/>
          </w:tcPr>
          <w:p w14:paraId="21490978"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119%</w:t>
            </w:r>
          </w:p>
        </w:tc>
        <w:tc>
          <w:tcPr>
            <w:tcW w:w="156" w:type="dxa"/>
            <w:vAlign w:val="center"/>
            <w:hideMark/>
          </w:tcPr>
          <w:p w14:paraId="09FCFD70"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4CA93045" w14:textId="77777777" w:rsidTr="006C729E">
        <w:trPr>
          <w:trHeight w:val="1000"/>
        </w:trPr>
        <w:tc>
          <w:tcPr>
            <w:tcW w:w="1980" w:type="dxa"/>
            <w:vMerge/>
            <w:tcBorders>
              <w:top w:val="single" w:sz="4" w:space="0" w:color="auto"/>
              <w:left w:val="single" w:sz="4" w:space="0" w:color="auto"/>
              <w:bottom w:val="nil"/>
              <w:right w:val="single" w:sz="4" w:space="0" w:color="auto"/>
            </w:tcBorders>
            <w:vAlign w:val="center"/>
            <w:hideMark/>
          </w:tcPr>
          <w:p w14:paraId="39712D57"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nil"/>
              <w:left w:val="nil"/>
              <w:bottom w:val="single" w:sz="4" w:space="0" w:color="auto"/>
              <w:right w:val="single" w:sz="4" w:space="0" w:color="auto"/>
            </w:tcBorders>
            <w:shd w:val="clear" w:color="000000" w:fill="FFFFFF"/>
            <w:vAlign w:val="center"/>
            <w:hideMark/>
          </w:tcPr>
          <w:p w14:paraId="45E5394C"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1167-OIJ-P48</w:t>
            </w:r>
          </w:p>
        </w:tc>
        <w:tc>
          <w:tcPr>
            <w:tcW w:w="3434" w:type="dxa"/>
            <w:tcBorders>
              <w:top w:val="nil"/>
              <w:left w:val="nil"/>
              <w:bottom w:val="single" w:sz="4" w:space="0" w:color="auto"/>
              <w:right w:val="single" w:sz="4" w:space="0" w:color="auto"/>
            </w:tcBorders>
            <w:shd w:val="clear" w:color="000000" w:fill="FFFFFF"/>
            <w:hideMark/>
          </w:tcPr>
          <w:p w14:paraId="05D3F885"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Fortalecimiento de las acciones operativas y administrativas en el Departamento de Investigaciones Criminales</w:t>
            </w:r>
          </w:p>
        </w:tc>
        <w:tc>
          <w:tcPr>
            <w:tcW w:w="1877" w:type="dxa"/>
            <w:tcBorders>
              <w:top w:val="nil"/>
              <w:left w:val="nil"/>
              <w:bottom w:val="single" w:sz="4" w:space="0" w:color="auto"/>
              <w:right w:val="single" w:sz="4" w:space="0" w:color="auto"/>
            </w:tcBorders>
            <w:shd w:val="clear" w:color="000000" w:fill="FFFFFF"/>
            <w:vAlign w:val="center"/>
            <w:hideMark/>
          </w:tcPr>
          <w:p w14:paraId="2FF1CCFA"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100%</w:t>
            </w:r>
          </w:p>
        </w:tc>
        <w:tc>
          <w:tcPr>
            <w:tcW w:w="156" w:type="dxa"/>
            <w:vAlign w:val="center"/>
            <w:hideMark/>
          </w:tcPr>
          <w:p w14:paraId="6A51514F"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134F9136" w14:textId="77777777" w:rsidTr="006C729E">
        <w:trPr>
          <w:trHeight w:val="760"/>
        </w:trPr>
        <w:tc>
          <w:tcPr>
            <w:tcW w:w="1980" w:type="dxa"/>
            <w:vMerge/>
            <w:tcBorders>
              <w:top w:val="single" w:sz="4" w:space="0" w:color="auto"/>
              <w:left w:val="single" w:sz="4" w:space="0" w:color="auto"/>
              <w:bottom w:val="nil"/>
              <w:right w:val="single" w:sz="4" w:space="0" w:color="auto"/>
            </w:tcBorders>
            <w:vAlign w:val="center"/>
            <w:hideMark/>
          </w:tcPr>
          <w:p w14:paraId="11ADA87A"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nil"/>
              <w:left w:val="nil"/>
              <w:bottom w:val="single" w:sz="4" w:space="0" w:color="auto"/>
              <w:right w:val="single" w:sz="4" w:space="0" w:color="auto"/>
            </w:tcBorders>
            <w:shd w:val="clear" w:color="000000" w:fill="FFFFFF"/>
            <w:vAlign w:val="center"/>
            <w:hideMark/>
          </w:tcPr>
          <w:p w14:paraId="4E2508E4"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1167-OIJ-P51</w:t>
            </w:r>
          </w:p>
        </w:tc>
        <w:tc>
          <w:tcPr>
            <w:tcW w:w="3434" w:type="dxa"/>
            <w:tcBorders>
              <w:top w:val="nil"/>
              <w:left w:val="nil"/>
              <w:bottom w:val="single" w:sz="4" w:space="0" w:color="auto"/>
              <w:right w:val="single" w:sz="4" w:space="0" w:color="auto"/>
            </w:tcBorders>
            <w:shd w:val="clear" w:color="000000" w:fill="FFFFFF"/>
            <w:hideMark/>
          </w:tcPr>
          <w:p w14:paraId="7DD2F1FC"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Georreferenciación de delitos, según denuncias a nivel nacional</w:t>
            </w:r>
          </w:p>
        </w:tc>
        <w:tc>
          <w:tcPr>
            <w:tcW w:w="1877" w:type="dxa"/>
            <w:tcBorders>
              <w:top w:val="nil"/>
              <w:left w:val="nil"/>
              <w:bottom w:val="single" w:sz="4" w:space="0" w:color="auto"/>
              <w:right w:val="single" w:sz="4" w:space="0" w:color="auto"/>
            </w:tcBorders>
            <w:shd w:val="clear" w:color="000000" w:fill="FFFFFF"/>
            <w:vAlign w:val="center"/>
            <w:hideMark/>
          </w:tcPr>
          <w:p w14:paraId="209A449D"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96%</w:t>
            </w:r>
          </w:p>
        </w:tc>
        <w:tc>
          <w:tcPr>
            <w:tcW w:w="156" w:type="dxa"/>
            <w:vAlign w:val="center"/>
            <w:hideMark/>
          </w:tcPr>
          <w:p w14:paraId="5946FC72"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5CD86F41" w14:textId="77777777" w:rsidTr="006C729E">
        <w:trPr>
          <w:trHeight w:val="890"/>
        </w:trPr>
        <w:tc>
          <w:tcPr>
            <w:tcW w:w="1980" w:type="dxa"/>
            <w:vMerge/>
            <w:tcBorders>
              <w:top w:val="single" w:sz="4" w:space="0" w:color="auto"/>
              <w:left w:val="single" w:sz="4" w:space="0" w:color="auto"/>
              <w:bottom w:val="nil"/>
              <w:right w:val="single" w:sz="4" w:space="0" w:color="auto"/>
            </w:tcBorders>
            <w:vAlign w:val="center"/>
            <w:hideMark/>
          </w:tcPr>
          <w:p w14:paraId="6E827864"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5181E0"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1167-OIJ-P53</w:t>
            </w:r>
          </w:p>
        </w:tc>
        <w:tc>
          <w:tcPr>
            <w:tcW w:w="3434" w:type="dxa"/>
            <w:tcBorders>
              <w:top w:val="single" w:sz="4" w:space="0" w:color="auto"/>
              <w:left w:val="single" w:sz="4" w:space="0" w:color="auto"/>
              <w:bottom w:val="single" w:sz="4" w:space="0" w:color="auto"/>
              <w:right w:val="single" w:sz="4" w:space="0" w:color="auto"/>
            </w:tcBorders>
            <w:shd w:val="clear" w:color="000000" w:fill="FFFFFF"/>
            <w:hideMark/>
          </w:tcPr>
          <w:p w14:paraId="37F0376E"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 xml:space="preserve">Implementación de la gestión de proyectos </w:t>
            </w:r>
            <w:r w:rsidRPr="00C55392">
              <w:rPr>
                <w:rFonts w:ascii="Book Antiqua" w:eastAsia="Times New Roman" w:hAnsi="Book Antiqua" w:cs="Calibri"/>
                <w:color w:val="000000"/>
                <w:sz w:val="18"/>
                <w:szCs w:val="18"/>
                <w:lang w:eastAsia="es-CR"/>
              </w:rPr>
              <w:t>operativos</w:t>
            </w:r>
            <w:r w:rsidRPr="003C0B0F">
              <w:rPr>
                <w:rFonts w:ascii="Book Antiqua" w:eastAsia="Times New Roman" w:hAnsi="Book Antiqua" w:cs="Calibri"/>
                <w:color w:val="000000"/>
                <w:sz w:val="18"/>
                <w:szCs w:val="18"/>
                <w:lang w:eastAsia="es-CR"/>
              </w:rPr>
              <w:t xml:space="preserve"> del Organismo de Investigación Judicial</w:t>
            </w:r>
          </w:p>
        </w:tc>
        <w:tc>
          <w:tcPr>
            <w:tcW w:w="187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8B54A0"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115%</w:t>
            </w:r>
          </w:p>
        </w:tc>
        <w:tc>
          <w:tcPr>
            <w:tcW w:w="156" w:type="dxa"/>
            <w:tcBorders>
              <w:left w:val="single" w:sz="4" w:space="0" w:color="auto"/>
            </w:tcBorders>
            <w:vAlign w:val="center"/>
            <w:hideMark/>
          </w:tcPr>
          <w:p w14:paraId="1D3A338D"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5234F572" w14:textId="77777777" w:rsidTr="006C729E">
        <w:trPr>
          <w:trHeight w:val="739"/>
        </w:trPr>
        <w:tc>
          <w:tcPr>
            <w:tcW w:w="1980" w:type="dxa"/>
            <w:vMerge/>
            <w:tcBorders>
              <w:top w:val="single" w:sz="4" w:space="0" w:color="auto"/>
              <w:left w:val="single" w:sz="4" w:space="0" w:color="auto"/>
              <w:bottom w:val="nil"/>
              <w:right w:val="single" w:sz="4" w:space="0" w:color="auto"/>
            </w:tcBorders>
            <w:vAlign w:val="center"/>
            <w:hideMark/>
          </w:tcPr>
          <w:p w14:paraId="7630F1F1"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single" w:sz="4" w:space="0" w:color="auto"/>
              <w:left w:val="nil"/>
              <w:bottom w:val="single" w:sz="4" w:space="0" w:color="auto"/>
              <w:right w:val="single" w:sz="4" w:space="0" w:color="auto"/>
            </w:tcBorders>
            <w:shd w:val="clear" w:color="000000" w:fill="FFFFFF"/>
            <w:vAlign w:val="center"/>
            <w:hideMark/>
          </w:tcPr>
          <w:p w14:paraId="4EBEA8E1"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1167-OIJ-P55</w:t>
            </w:r>
          </w:p>
        </w:tc>
        <w:tc>
          <w:tcPr>
            <w:tcW w:w="3434" w:type="dxa"/>
            <w:tcBorders>
              <w:top w:val="single" w:sz="4" w:space="0" w:color="auto"/>
              <w:left w:val="nil"/>
              <w:bottom w:val="single" w:sz="4" w:space="0" w:color="auto"/>
              <w:right w:val="single" w:sz="4" w:space="0" w:color="auto"/>
            </w:tcBorders>
            <w:shd w:val="clear" w:color="000000" w:fill="FFFFFF"/>
            <w:hideMark/>
          </w:tcPr>
          <w:p w14:paraId="0361A32C"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Plan de descongestionamiento de la Sección de Transportes de OIJ</w:t>
            </w:r>
          </w:p>
        </w:tc>
        <w:tc>
          <w:tcPr>
            <w:tcW w:w="1877" w:type="dxa"/>
            <w:tcBorders>
              <w:top w:val="single" w:sz="4" w:space="0" w:color="auto"/>
              <w:left w:val="nil"/>
              <w:bottom w:val="single" w:sz="4" w:space="0" w:color="auto"/>
              <w:right w:val="single" w:sz="4" w:space="0" w:color="auto"/>
            </w:tcBorders>
            <w:shd w:val="clear" w:color="000000" w:fill="FFFFFF"/>
            <w:vAlign w:val="center"/>
            <w:hideMark/>
          </w:tcPr>
          <w:p w14:paraId="53BD83E2"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184%</w:t>
            </w:r>
          </w:p>
        </w:tc>
        <w:tc>
          <w:tcPr>
            <w:tcW w:w="156" w:type="dxa"/>
            <w:vAlign w:val="center"/>
            <w:hideMark/>
          </w:tcPr>
          <w:p w14:paraId="28795815"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72386ECB" w14:textId="77777777" w:rsidTr="006C729E">
        <w:trPr>
          <w:trHeight w:val="1201"/>
        </w:trPr>
        <w:tc>
          <w:tcPr>
            <w:tcW w:w="1980" w:type="dxa"/>
            <w:vMerge/>
            <w:tcBorders>
              <w:top w:val="single" w:sz="4" w:space="0" w:color="auto"/>
              <w:left w:val="single" w:sz="4" w:space="0" w:color="auto"/>
              <w:bottom w:val="nil"/>
              <w:right w:val="single" w:sz="4" w:space="0" w:color="auto"/>
            </w:tcBorders>
            <w:vAlign w:val="center"/>
            <w:hideMark/>
          </w:tcPr>
          <w:p w14:paraId="54B8EBC2"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5539470B"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1167-OIJ-P57</w:t>
            </w:r>
          </w:p>
        </w:tc>
        <w:tc>
          <w:tcPr>
            <w:tcW w:w="3434" w:type="dxa"/>
            <w:tcBorders>
              <w:top w:val="single" w:sz="4" w:space="0" w:color="auto"/>
              <w:left w:val="nil"/>
              <w:bottom w:val="single" w:sz="4" w:space="0" w:color="auto"/>
              <w:right w:val="single" w:sz="4" w:space="0" w:color="auto"/>
            </w:tcBorders>
            <w:shd w:val="clear" w:color="000000" w:fill="FFFFFF"/>
            <w:hideMark/>
          </w:tcPr>
          <w:p w14:paraId="11675B79"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Mejoramiento del servicio y atenciones de la Unidad de Administración de Sistemas del OIJ y administración de Pagina Web OIJ para índices de Transparencia Institucional</w:t>
            </w:r>
          </w:p>
        </w:tc>
        <w:tc>
          <w:tcPr>
            <w:tcW w:w="1877" w:type="dxa"/>
            <w:tcBorders>
              <w:top w:val="single" w:sz="4" w:space="0" w:color="auto"/>
              <w:left w:val="nil"/>
              <w:bottom w:val="nil"/>
              <w:right w:val="single" w:sz="4" w:space="0" w:color="auto"/>
            </w:tcBorders>
            <w:shd w:val="clear" w:color="000000" w:fill="FFFFFF"/>
            <w:vAlign w:val="center"/>
            <w:hideMark/>
          </w:tcPr>
          <w:p w14:paraId="452CE8B4"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178%</w:t>
            </w:r>
          </w:p>
        </w:tc>
        <w:tc>
          <w:tcPr>
            <w:tcW w:w="156" w:type="dxa"/>
            <w:vAlign w:val="center"/>
            <w:hideMark/>
          </w:tcPr>
          <w:p w14:paraId="66E8209F"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22376848" w14:textId="77777777" w:rsidTr="006C729E">
        <w:trPr>
          <w:trHeight w:val="910"/>
        </w:trPr>
        <w:tc>
          <w:tcPr>
            <w:tcW w:w="1980" w:type="dxa"/>
            <w:vMerge/>
            <w:tcBorders>
              <w:top w:val="single" w:sz="4" w:space="0" w:color="auto"/>
              <w:left w:val="single" w:sz="4" w:space="0" w:color="auto"/>
              <w:bottom w:val="nil"/>
              <w:right w:val="single" w:sz="4" w:space="0" w:color="auto"/>
            </w:tcBorders>
            <w:vAlign w:val="center"/>
            <w:hideMark/>
          </w:tcPr>
          <w:p w14:paraId="79FF4553"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nil"/>
              <w:left w:val="nil"/>
              <w:bottom w:val="single" w:sz="4" w:space="0" w:color="auto"/>
              <w:right w:val="single" w:sz="4" w:space="0" w:color="auto"/>
            </w:tcBorders>
            <w:shd w:val="clear" w:color="000000" w:fill="FFFFFF"/>
            <w:vAlign w:val="center"/>
            <w:hideMark/>
          </w:tcPr>
          <w:p w14:paraId="51136A6D"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1167-OIJ-P58</w:t>
            </w:r>
          </w:p>
        </w:tc>
        <w:tc>
          <w:tcPr>
            <w:tcW w:w="3434" w:type="dxa"/>
            <w:tcBorders>
              <w:top w:val="nil"/>
              <w:left w:val="nil"/>
              <w:bottom w:val="single" w:sz="4" w:space="0" w:color="auto"/>
              <w:right w:val="single" w:sz="4" w:space="0" w:color="auto"/>
            </w:tcBorders>
            <w:shd w:val="clear" w:color="000000" w:fill="FFFFFF"/>
            <w:hideMark/>
          </w:tcPr>
          <w:p w14:paraId="70E6B960"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Descongestionamiento del rezago e indicios en la Sección de Fraudes</w:t>
            </w:r>
          </w:p>
        </w:tc>
        <w:tc>
          <w:tcPr>
            <w:tcW w:w="1877" w:type="dxa"/>
            <w:tcBorders>
              <w:top w:val="single" w:sz="4" w:space="0" w:color="auto"/>
              <w:left w:val="nil"/>
              <w:bottom w:val="single" w:sz="4" w:space="0" w:color="auto"/>
              <w:right w:val="single" w:sz="4" w:space="0" w:color="auto"/>
            </w:tcBorders>
            <w:shd w:val="clear" w:color="000000" w:fill="FFFFFF"/>
            <w:vAlign w:val="center"/>
            <w:hideMark/>
          </w:tcPr>
          <w:p w14:paraId="5E6299A6"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170%</w:t>
            </w:r>
          </w:p>
        </w:tc>
        <w:tc>
          <w:tcPr>
            <w:tcW w:w="156" w:type="dxa"/>
            <w:vAlign w:val="center"/>
            <w:hideMark/>
          </w:tcPr>
          <w:p w14:paraId="07AD663A"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44F022C2" w14:textId="77777777" w:rsidTr="006C729E">
        <w:trPr>
          <w:trHeight w:val="870"/>
        </w:trPr>
        <w:tc>
          <w:tcPr>
            <w:tcW w:w="1980" w:type="dxa"/>
            <w:vMerge/>
            <w:tcBorders>
              <w:top w:val="single" w:sz="4" w:space="0" w:color="auto"/>
              <w:left w:val="single" w:sz="4" w:space="0" w:color="auto"/>
              <w:bottom w:val="nil"/>
              <w:right w:val="single" w:sz="4" w:space="0" w:color="auto"/>
            </w:tcBorders>
            <w:vAlign w:val="center"/>
            <w:hideMark/>
          </w:tcPr>
          <w:p w14:paraId="42A86840"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nil"/>
              <w:left w:val="nil"/>
              <w:bottom w:val="single" w:sz="4" w:space="0" w:color="auto"/>
              <w:right w:val="single" w:sz="4" w:space="0" w:color="auto"/>
            </w:tcBorders>
            <w:shd w:val="clear" w:color="000000" w:fill="FFFFFF"/>
            <w:vAlign w:val="center"/>
            <w:hideMark/>
          </w:tcPr>
          <w:p w14:paraId="51B42DC6"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1167-OIJ-P59</w:t>
            </w:r>
          </w:p>
        </w:tc>
        <w:tc>
          <w:tcPr>
            <w:tcW w:w="3434" w:type="dxa"/>
            <w:tcBorders>
              <w:top w:val="nil"/>
              <w:left w:val="nil"/>
              <w:bottom w:val="single" w:sz="4" w:space="0" w:color="auto"/>
              <w:right w:val="single" w:sz="4" w:space="0" w:color="auto"/>
            </w:tcBorders>
            <w:shd w:val="clear" w:color="000000" w:fill="FFFFFF"/>
            <w:hideMark/>
          </w:tcPr>
          <w:p w14:paraId="084CEC8F"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Actualización y seguimiento de avisos en seguridad de la información UTI</w:t>
            </w:r>
          </w:p>
        </w:tc>
        <w:tc>
          <w:tcPr>
            <w:tcW w:w="1877" w:type="dxa"/>
            <w:tcBorders>
              <w:top w:val="nil"/>
              <w:left w:val="nil"/>
              <w:bottom w:val="single" w:sz="4" w:space="0" w:color="auto"/>
              <w:right w:val="single" w:sz="4" w:space="0" w:color="auto"/>
            </w:tcBorders>
            <w:shd w:val="clear" w:color="000000" w:fill="FFFFFF"/>
            <w:vAlign w:val="center"/>
            <w:hideMark/>
          </w:tcPr>
          <w:p w14:paraId="0A1BE572"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100%</w:t>
            </w:r>
          </w:p>
        </w:tc>
        <w:tc>
          <w:tcPr>
            <w:tcW w:w="156" w:type="dxa"/>
            <w:vAlign w:val="center"/>
            <w:hideMark/>
          </w:tcPr>
          <w:p w14:paraId="6B3E026E"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1764743C" w14:textId="77777777" w:rsidTr="006C729E">
        <w:trPr>
          <w:trHeight w:val="880"/>
        </w:trPr>
        <w:tc>
          <w:tcPr>
            <w:tcW w:w="1980" w:type="dxa"/>
            <w:vMerge/>
            <w:tcBorders>
              <w:top w:val="single" w:sz="4" w:space="0" w:color="auto"/>
              <w:left w:val="single" w:sz="4" w:space="0" w:color="auto"/>
              <w:bottom w:val="nil"/>
              <w:right w:val="single" w:sz="4" w:space="0" w:color="auto"/>
            </w:tcBorders>
            <w:vAlign w:val="center"/>
            <w:hideMark/>
          </w:tcPr>
          <w:p w14:paraId="4B723C6D"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nil"/>
              <w:left w:val="nil"/>
              <w:bottom w:val="single" w:sz="4" w:space="0" w:color="auto"/>
              <w:right w:val="single" w:sz="4" w:space="0" w:color="auto"/>
            </w:tcBorders>
            <w:shd w:val="clear" w:color="auto" w:fill="auto"/>
            <w:vAlign w:val="center"/>
            <w:hideMark/>
          </w:tcPr>
          <w:p w14:paraId="7884F42A"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1167-OIJ-P60</w:t>
            </w:r>
          </w:p>
        </w:tc>
        <w:tc>
          <w:tcPr>
            <w:tcW w:w="3434" w:type="dxa"/>
            <w:tcBorders>
              <w:top w:val="nil"/>
              <w:left w:val="nil"/>
              <w:bottom w:val="single" w:sz="4" w:space="0" w:color="auto"/>
              <w:right w:val="single" w:sz="4" w:space="0" w:color="auto"/>
            </w:tcBorders>
            <w:shd w:val="clear" w:color="000000" w:fill="FFFFFF"/>
            <w:hideMark/>
          </w:tcPr>
          <w:p w14:paraId="1F97F5E8"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Mejora de la operatividad en los procesos administrativos del Departamento de Ciencias Forenses</w:t>
            </w:r>
          </w:p>
        </w:tc>
        <w:tc>
          <w:tcPr>
            <w:tcW w:w="1877" w:type="dxa"/>
            <w:tcBorders>
              <w:top w:val="nil"/>
              <w:left w:val="nil"/>
              <w:bottom w:val="nil"/>
              <w:right w:val="single" w:sz="4" w:space="0" w:color="auto"/>
            </w:tcBorders>
            <w:shd w:val="clear" w:color="000000" w:fill="FFFFFF"/>
            <w:vAlign w:val="center"/>
            <w:hideMark/>
          </w:tcPr>
          <w:p w14:paraId="23C1887E"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86%</w:t>
            </w:r>
          </w:p>
        </w:tc>
        <w:tc>
          <w:tcPr>
            <w:tcW w:w="156" w:type="dxa"/>
            <w:vAlign w:val="center"/>
            <w:hideMark/>
          </w:tcPr>
          <w:p w14:paraId="529E20FD"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1E41E7FA" w14:textId="77777777" w:rsidTr="006C729E">
        <w:trPr>
          <w:trHeight w:val="749"/>
        </w:trPr>
        <w:tc>
          <w:tcPr>
            <w:tcW w:w="1980" w:type="dxa"/>
            <w:vMerge/>
            <w:tcBorders>
              <w:top w:val="single" w:sz="4" w:space="0" w:color="auto"/>
              <w:left w:val="single" w:sz="4" w:space="0" w:color="auto"/>
              <w:bottom w:val="nil"/>
              <w:right w:val="single" w:sz="4" w:space="0" w:color="auto"/>
            </w:tcBorders>
            <w:vAlign w:val="center"/>
            <w:hideMark/>
          </w:tcPr>
          <w:p w14:paraId="03CBF1F9"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nil"/>
              <w:left w:val="nil"/>
              <w:bottom w:val="single" w:sz="4" w:space="0" w:color="auto"/>
              <w:right w:val="single" w:sz="4" w:space="0" w:color="auto"/>
            </w:tcBorders>
            <w:shd w:val="clear" w:color="000000" w:fill="FFFFFF"/>
            <w:vAlign w:val="center"/>
            <w:hideMark/>
          </w:tcPr>
          <w:p w14:paraId="420E9E92"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1167-OIJ-P61</w:t>
            </w:r>
          </w:p>
        </w:tc>
        <w:tc>
          <w:tcPr>
            <w:tcW w:w="3434" w:type="dxa"/>
            <w:tcBorders>
              <w:top w:val="nil"/>
              <w:left w:val="nil"/>
              <w:bottom w:val="nil"/>
              <w:right w:val="single" w:sz="4" w:space="0" w:color="auto"/>
            </w:tcBorders>
            <w:shd w:val="clear" w:color="000000" w:fill="FFFFFF"/>
            <w:hideMark/>
          </w:tcPr>
          <w:p w14:paraId="45E61AF5"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Atención de reportes de mantenimiento a oficinas pertenecientes al OIJ</w:t>
            </w:r>
          </w:p>
        </w:tc>
        <w:tc>
          <w:tcPr>
            <w:tcW w:w="1877" w:type="dxa"/>
            <w:tcBorders>
              <w:top w:val="single" w:sz="4" w:space="0" w:color="auto"/>
              <w:left w:val="nil"/>
              <w:bottom w:val="nil"/>
              <w:right w:val="single" w:sz="4" w:space="0" w:color="auto"/>
            </w:tcBorders>
            <w:shd w:val="clear" w:color="000000" w:fill="FFFFFF"/>
            <w:vAlign w:val="center"/>
            <w:hideMark/>
          </w:tcPr>
          <w:p w14:paraId="27A513A1"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75%</w:t>
            </w:r>
          </w:p>
        </w:tc>
        <w:tc>
          <w:tcPr>
            <w:tcW w:w="156" w:type="dxa"/>
            <w:vAlign w:val="center"/>
            <w:hideMark/>
          </w:tcPr>
          <w:p w14:paraId="02EECD2D"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007B2744" w14:textId="77777777" w:rsidTr="006C729E">
        <w:trPr>
          <w:trHeight w:val="900"/>
        </w:trPr>
        <w:tc>
          <w:tcPr>
            <w:tcW w:w="1980" w:type="dxa"/>
            <w:vMerge/>
            <w:tcBorders>
              <w:top w:val="single" w:sz="4" w:space="0" w:color="auto"/>
              <w:left w:val="single" w:sz="4" w:space="0" w:color="auto"/>
              <w:bottom w:val="nil"/>
              <w:right w:val="single" w:sz="4" w:space="0" w:color="auto"/>
            </w:tcBorders>
            <w:vAlign w:val="center"/>
            <w:hideMark/>
          </w:tcPr>
          <w:p w14:paraId="616D373D"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nil"/>
              <w:left w:val="nil"/>
              <w:bottom w:val="single" w:sz="4" w:space="0" w:color="auto"/>
              <w:right w:val="single" w:sz="4" w:space="0" w:color="auto"/>
            </w:tcBorders>
            <w:shd w:val="clear" w:color="000000" w:fill="FFFFFF"/>
            <w:vAlign w:val="center"/>
            <w:hideMark/>
          </w:tcPr>
          <w:p w14:paraId="35ED12B3"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1167-OIJ-P36</w:t>
            </w:r>
          </w:p>
        </w:tc>
        <w:tc>
          <w:tcPr>
            <w:tcW w:w="3434" w:type="dxa"/>
            <w:tcBorders>
              <w:top w:val="single" w:sz="4" w:space="0" w:color="auto"/>
              <w:left w:val="nil"/>
              <w:bottom w:val="nil"/>
              <w:right w:val="single" w:sz="4" w:space="0" w:color="auto"/>
            </w:tcBorders>
            <w:shd w:val="clear" w:color="000000" w:fill="FFFFFF"/>
            <w:hideMark/>
          </w:tcPr>
          <w:p w14:paraId="62F33A50"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Proyecto de Ejecución Presupuestaria Eficiente vía SICOP</w:t>
            </w:r>
          </w:p>
        </w:tc>
        <w:tc>
          <w:tcPr>
            <w:tcW w:w="1877" w:type="dxa"/>
            <w:tcBorders>
              <w:top w:val="single" w:sz="4" w:space="0" w:color="auto"/>
              <w:left w:val="nil"/>
              <w:bottom w:val="nil"/>
              <w:right w:val="single" w:sz="4" w:space="0" w:color="auto"/>
            </w:tcBorders>
            <w:shd w:val="clear" w:color="000000" w:fill="FFFFFF"/>
            <w:vAlign w:val="center"/>
            <w:hideMark/>
          </w:tcPr>
          <w:p w14:paraId="2810EE60"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84%</w:t>
            </w:r>
          </w:p>
        </w:tc>
        <w:tc>
          <w:tcPr>
            <w:tcW w:w="156" w:type="dxa"/>
            <w:vAlign w:val="center"/>
            <w:hideMark/>
          </w:tcPr>
          <w:p w14:paraId="2C958E27"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3A67B8C2" w14:textId="77777777" w:rsidTr="006C729E">
        <w:trPr>
          <w:trHeight w:val="810"/>
        </w:trPr>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9E1EEB"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Ministerio Público</w:t>
            </w:r>
          </w:p>
        </w:tc>
        <w:tc>
          <w:tcPr>
            <w:tcW w:w="1741" w:type="dxa"/>
            <w:tcBorders>
              <w:top w:val="nil"/>
              <w:left w:val="nil"/>
              <w:bottom w:val="single" w:sz="4" w:space="0" w:color="auto"/>
              <w:right w:val="single" w:sz="4" w:space="0" w:color="auto"/>
            </w:tcBorders>
            <w:shd w:val="clear" w:color="auto" w:fill="auto"/>
            <w:vAlign w:val="center"/>
            <w:hideMark/>
          </w:tcPr>
          <w:p w14:paraId="4014CE3A"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0717-MP-P12</w:t>
            </w:r>
          </w:p>
        </w:tc>
        <w:tc>
          <w:tcPr>
            <w:tcW w:w="3434" w:type="dxa"/>
            <w:tcBorders>
              <w:top w:val="single" w:sz="4" w:space="0" w:color="auto"/>
              <w:left w:val="nil"/>
              <w:bottom w:val="single" w:sz="4" w:space="0" w:color="auto"/>
              <w:right w:val="single" w:sz="4" w:space="0" w:color="auto"/>
            </w:tcBorders>
            <w:shd w:val="clear" w:color="000000" w:fill="FFFFFF"/>
            <w:hideMark/>
          </w:tcPr>
          <w:p w14:paraId="79385687"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Programa de Reclutamiento y Selección para Fiscales del Ministerio Público</w:t>
            </w:r>
          </w:p>
        </w:tc>
        <w:tc>
          <w:tcPr>
            <w:tcW w:w="1877" w:type="dxa"/>
            <w:tcBorders>
              <w:top w:val="single" w:sz="4" w:space="0" w:color="auto"/>
              <w:left w:val="nil"/>
              <w:bottom w:val="single" w:sz="4" w:space="0" w:color="auto"/>
              <w:right w:val="single" w:sz="4" w:space="0" w:color="auto"/>
            </w:tcBorders>
            <w:shd w:val="clear" w:color="000000" w:fill="FFFFFF"/>
            <w:vAlign w:val="center"/>
            <w:hideMark/>
          </w:tcPr>
          <w:p w14:paraId="015C7E45"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174%</w:t>
            </w:r>
          </w:p>
        </w:tc>
        <w:tc>
          <w:tcPr>
            <w:tcW w:w="156" w:type="dxa"/>
            <w:vAlign w:val="center"/>
            <w:hideMark/>
          </w:tcPr>
          <w:p w14:paraId="5464CF0B"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52F4A808" w14:textId="77777777" w:rsidTr="006C729E">
        <w:trPr>
          <w:trHeight w:val="1320"/>
        </w:trPr>
        <w:tc>
          <w:tcPr>
            <w:tcW w:w="19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27AEAA"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 xml:space="preserve">Dirección de Gestión Humana </w:t>
            </w:r>
          </w:p>
        </w:tc>
        <w:tc>
          <w:tcPr>
            <w:tcW w:w="1741" w:type="dxa"/>
            <w:tcBorders>
              <w:top w:val="nil"/>
              <w:left w:val="nil"/>
              <w:bottom w:val="single" w:sz="4" w:space="0" w:color="auto"/>
              <w:right w:val="single" w:sz="4" w:space="0" w:color="auto"/>
            </w:tcBorders>
            <w:shd w:val="clear" w:color="auto" w:fill="auto"/>
            <w:vAlign w:val="center"/>
            <w:hideMark/>
          </w:tcPr>
          <w:p w14:paraId="65646E79"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0134-DGH-P09</w:t>
            </w:r>
          </w:p>
        </w:tc>
        <w:tc>
          <w:tcPr>
            <w:tcW w:w="3434" w:type="dxa"/>
            <w:tcBorders>
              <w:top w:val="nil"/>
              <w:left w:val="nil"/>
              <w:bottom w:val="single" w:sz="4" w:space="0" w:color="auto"/>
              <w:right w:val="single" w:sz="4" w:space="0" w:color="auto"/>
            </w:tcBorders>
            <w:shd w:val="clear" w:color="000000" w:fill="FFFFFF"/>
            <w:hideMark/>
          </w:tcPr>
          <w:p w14:paraId="58EEF312"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“Corrección del monto de jubilación de las personas beneficiarias con la Ley "Régimen General de Pensiones con Cargo al Presupuesto Nacional"</w:t>
            </w:r>
          </w:p>
        </w:tc>
        <w:tc>
          <w:tcPr>
            <w:tcW w:w="1877" w:type="dxa"/>
            <w:tcBorders>
              <w:top w:val="nil"/>
              <w:left w:val="nil"/>
              <w:bottom w:val="nil"/>
              <w:right w:val="single" w:sz="4" w:space="0" w:color="auto"/>
            </w:tcBorders>
            <w:shd w:val="clear" w:color="000000" w:fill="FFFFFF"/>
            <w:vAlign w:val="center"/>
            <w:hideMark/>
          </w:tcPr>
          <w:p w14:paraId="61EFCE95"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70%</w:t>
            </w:r>
          </w:p>
        </w:tc>
        <w:tc>
          <w:tcPr>
            <w:tcW w:w="156" w:type="dxa"/>
            <w:vAlign w:val="center"/>
            <w:hideMark/>
          </w:tcPr>
          <w:p w14:paraId="47D50A30"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04B8195F" w14:textId="77777777" w:rsidTr="006C729E">
        <w:trPr>
          <w:trHeight w:val="649"/>
        </w:trPr>
        <w:tc>
          <w:tcPr>
            <w:tcW w:w="1980" w:type="dxa"/>
            <w:vMerge/>
            <w:tcBorders>
              <w:top w:val="nil"/>
              <w:left w:val="single" w:sz="4" w:space="0" w:color="auto"/>
              <w:bottom w:val="single" w:sz="4" w:space="0" w:color="000000"/>
              <w:right w:val="single" w:sz="4" w:space="0" w:color="auto"/>
            </w:tcBorders>
            <w:vAlign w:val="center"/>
            <w:hideMark/>
          </w:tcPr>
          <w:p w14:paraId="0EDF1785"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nil"/>
              <w:left w:val="nil"/>
              <w:bottom w:val="single" w:sz="4" w:space="0" w:color="auto"/>
              <w:right w:val="single" w:sz="4" w:space="0" w:color="auto"/>
            </w:tcBorders>
            <w:shd w:val="clear" w:color="auto" w:fill="auto"/>
            <w:vAlign w:val="center"/>
            <w:hideMark/>
          </w:tcPr>
          <w:p w14:paraId="1F961047"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0134-DGH-P12</w:t>
            </w:r>
          </w:p>
        </w:tc>
        <w:tc>
          <w:tcPr>
            <w:tcW w:w="3434" w:type="dxa"/>
            <w:tcBorders>
              <w:top w:val="nil"/>
              <w:left w:val="nil"/>
              <w:bottom w:val="single" w:sz="4" w:space="0" w:color="auto"/>
              <w:right w:val="single" w:sz="4" w:space="0" w:color="auto"/>
            </w:tcBorders>
            <w:shd w:val="clear" w:color="000000" w:fill="FFFFFF"/>
            <w:hideMark/>
          </w:tcPr>
          <w:p w14:paraId="5AFB27CB"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Plan de trabajo para la gestión de nombramientos de puestos.</w:t>
            </w:r>
          </w:p>
        </w:tc>
        <w:tc>
          <w:tcPr>
            <w:tcW w:w="1877" w:type="dxa"/>
            <w:tcBorders>
              <w:top w:val="single" w:sz="4" w:space="0" w:color="auto"/>
              <w:left w:val="nil"/>
              <w:bottom w:val="single" w:sz="4" w:space="0" w:color="auto"/>
              <w:right w:val="single" w:sz="4" w:space="0" w:color="auto"/>
            </w:tcBorders>
            <w:shd w:val="clear" w:color="000000" w:fill="FFFFFF"/>
            <w:vAlign w:val="center"/>
            <w:hideMark/>
          </w:tcPr>
          <w:p w14:paraId="703272D5"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51%</w:t>
            </w:r>
          </w:p>
        </w:tc>
        <w:tc>
          <w:tcPr>
            <w:tcW w:w="156" w:type="dxa"/>
            <w:vAlign w:val="center"/>
            <w:hideMark/>
          </w:tcPr>
          <w:p w14:paraId="5A6C3848"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35CB10B2" w14:textId="77777777" w:rsidTr="006C729E">
        <w:trPr>
          <w:trHeight w:val="850"/>
        </w:trPr>
        <w:tc>
          <w:tcPr>
            <w:tcW w:w="1980" w:type="dxa"/>
            <w:vMerge/>
            <w:tcBorders>
              <w:top w:val="nil"/>
              <w:left w:val="single" w:sz="4" w:space="0" w:color="auto"/>
              <w:bottom w:val="single" w:sz="4" w:space="0" w:color="000000"/>
              <w:right w:val="single" w:sz="4" w:space="0" w:color="auto"/>
            </w:tcBorders>
            <w:vAlign w:val="center"/>
            <w:hideMark/>
          </w:tcPr>
          <w:p w14:paraId="25B2049D"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nil"/>
              <w:left w:val="nil"/>
              <w:bottom w:val="single" w:sz="4" w:space="0" w:color="auto"/>
              <w:right w:val="single" w:sz="4" w:space="0" w:color="auto"/>
            </w:tcBorders>
            <w:shd w:val="clear" w:color="auto" w:fill="auto"/>
            <w:vAlign w:val="center"/>
            <w:hideMark/>
          </w:tcPr>
          <w:p w14:paraId="3967D03B"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0134-DGH-P15</w:t>
            </w:r>
          </w:p>
        </w:tc>
        <w:tc>
          <w:tcPr>
            <w:tcW w:w="3434" w:type="dxa"/>
            <w:tcBorders>
              <w:top w:val="nil"/>
              <w:left w:val="nil"/>
              <w:bottom w:val="single" w:sz="4" w:space="0" w:color="auto"/>
              <w:right w:val="single" w:sz="4" w:space="0" w:color="auto"/>
            </w:tcBorders>
            <w:shd w:val="clear" w:color="000000" w:fill="FFFFFF"/>
            <w:hideMark/>
          </w:tcPr>
          <w:p w14:paraId="5EAC2F10"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Plan de reclutamiento y selección de personal para los diferentes cargos en todos los ámbitos del Poder Judicial</w:t>
            </w:r>
          </w:p>
        </w:tc>
        <w:tc>
          <w:tcPr>
            <w:tcW w:w="1877" w:type="dxa"/>
            <w:tcBorders>
              <w:top w:val="nil"/>
              <w:left w:val="nil"/>
              <w:bottom w:val="nil"/>
              <w:right w:val="single" w:sz="4" w:space="0" w:color="auto"/>
            </w:tcBorders>
            <w:shd w:val="clear" w:color="000000" w:fill="FFFFFF"/>
            <w:vAlign w:val="center"/>
            <w:hideMark/>
          </w:tcPr>
          <w:p w14:paraId="0E966B88"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218%</w:t>
            </w:r>
          </w:p>
        </w:tc>
        <w:tc>
          <w:tcPr>
            <w:tcW w:w="156" w:type="dxa"/>
            <w:vAlign w:val="center"/>
            <w:hideMark/>
          </w:tcPr>
          <w:p w14:paraId="3BA7F767"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5A67801C" w14:textId="77777777" w:rsidTr="006C729E">
        <w:trPr>
          <w:trHeight w:val="880"/>
        </w:trPr>
        <w:tc>
          <w:tcPr>
            <w:tcW w:w="1980" w:type="dxa"/>
            <w:vMerge/>
            <w:tcBorders>
              <w:top w:val="nil"/>
              <w:left w:val="single" w:sz="4" w:space="0" w:color="auto"/>
              <w:bottom w:val="single" w:sz="4" w:space="0" w:color="000000"/>
              <w:right w:val="single" w:sz="4" w:space="0" w:color="auto"/>
            </w:tcBorders>
            <w:vAlign w:val="center"/>
            <w:hideMark/>
          </w:tcPr>
          <w:p w14:paraId="4A4C542E"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nil"/>
              <w:left w:val="nil"/>
              <w:bottom w:val="single" w:sz="4" w:space="0" w:color="auto"/>
              <w:right w:val="single" w:sz="4" w:space="0" w:color="auto"/>
            </w:tcBorders>
            <w:shd w:val="clear" w:color="auto" w:fill="auto"/>
            <w:vAlign w:val="center"/>
            <w:hideMark/>
          </w:tcPr>
          <w:p w14:paraId="6D46488B"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0134-DGH-P11</w:t>
            </w:r>
          </w:p>
        </w:tc>
        <w:tc>
          <w:tcPr>
            <w:tcW w:w="3434" w:type="dxa"/>
            <w:tcBorders>
              <w:top w:val="nil"/>
              <w:left w:val="nil"/>
              <w:bottom w:val="single" w:sz="4" w:space="0" w:color="auto"/>
              <w:right w:val="single" w:sz="4" w:space="0" w:color="auto"/>
            </w:tcBorders>
            <w:shd w:val="clear" w:color="000000" w:fill="FFFFFF"/>
            <w:hideMark/>
          </w:tcPr>
          <w:p w14:paraId="3C59E28D"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Implementación de la metodología para la aplicación de las pruebas de conocimientos en los concursos para los puestos de la Judicatura</w:t>
            </w:r>
          </w:p>
        </w:tc>
        <w:tc>
          <w:tcPr>
            <w:tcW w:w="1877" w:type="dxa"/>
            <w:tcBorders>
              <w:top w:val="single" w:sz="4" w:space="0" w:color="auto"/>
              <w:left w:val="nil"/>
              <w:bottom w:val="single" w:sz="4" w:space="0" w:color="auto"/>
              <w:right w:val="single" w:sz="4" w:space="0" w:color="auto"/>
            </w:tcBorders>
            <w:shd w:val="clear" w:color="000000" w:fill="FFFFFF"/>
            <w:vAlign w:val="center"/>
            <w:hideMark/>
          </w:tcPr>
          <w:p w14:paraId="5F54FDFB"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171%</w:t>
            </w:r>
          </w:p>
        </w:tc>
        <w:tc>
          <w:tcPr>
            <w:tcW w:w="156" w:type="dxa"/>
            <w:vAlign w:val="center"/>
            <w:hideMark/>
          </w:tcPr>
          <w:p w14:paraId="5AA08051"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1F1E09C2" w14:textId="77777777" w:rsidTr="006C729E">
        <w:trPr>
          <w:trHeight w:val="1050"/>
        </w:trPr>
        <w:tc>
          <w:tcPr>
            <w:tcW w:w="1980" w:type="dxa"/>
            <w:vMerge/>
            <w:tcBorders>
              <w:top w:val="nil"/>
              <w:left w:val="single" w:sz="4" w:space="0" w:color="auto"/>
              <w:bottom w:val="single" w:sz="4" w:space="0" w:color="000000"/>
              <w:right w:val="single" w:sz="4" w:space="0" w:color="auto"/>
            </w:tcBorders>
            <w:vAlign w:val="center"/>
            <w:hideMark/>
          </w:tcPr>
          <w:p w14:paraId="4FAAA676"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nil"/>
              <w:left w:val="nil"/>
              <w:bottom w:val="single" w:sz="4" w:space="0" w:color="auto"/>
              <w:right w:val="single" w:sz="4" w:space="0" w:color="auto"/>
            </w:tcBorders>
            <w:shd w:val="clear" w:color="000000" w:fill="FFFFFF"/>
            <w:vAlign w:val="center"/>
            <w:hideMark/>
          </w:tcPr>
          <w:p w14:paraId="60C0D31C"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0134-DGH-P10</w:t>
            </w:r>
          </w:p>
        </w:tc>
        <w:tc>
          <w:tcPr>
            <w:tcW w:w="3434" w:type="dxa"/>
            <w:tcBorders>
              <w:top w:val="nil"/>
              <w:left w:val="nil"/>
              <w:bottom w:val="single" w:sz="4" w:space="0" w:color="auto"/>
              <w:right w:val="single" w:sz="4" w:space="0" w:color="auto"/>
            </w:tcBorders>
            <w:shd w:val="clear" w:color="000000" w:fill="FFFFFF"/>
            <w:hideMark/>
          </w:tcPr>
          <w:p w14:paraId="606FB5A2"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Control y Análisis de datos, para la formulación y ejecución presupuestaria, derivadas de la implementación de la Ley 9635</w:t>
            </w:r>
          </w:p>
        </w:tc>
        <w:tc>
          <w:tcPr>
            <w:tcW w:w="1877" w:type="dxa"/>
            <w:tcBorders>
              <w:top w:val="nil"/>
              <w:left w:val="nil"/>
              <w:bottom w:val="nil"/>
              <w:right w:val="single" w:sz="4" w:space="0" w:color="auto"/>
            </w:tcBorders>
            <w:shd w:val="clear" w:color="000000" w:fill="FFFFFF"/>
            <w:vAlign w:val="center"/>
            <w:hideMark/>
          </w:tcPr>
          <w:p w14:paraId="3897E73C"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126%</w:t>
            </w:r>
          </w:p>
        </w:tc>
        <w:tc>
          <w:tcPr>
            <w:tcW w:w="156" w:type="dxa"/>
            <w:vAlign w:val="center"/>
            <w:hideMark/>
          </w:tcPr>
          <w:p w14:paraId="368ECB67"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1E19B5F8" w14:textId="77777777" w:rsidTr="006C729E">
        <w:trPr>
          <w:trHeight w:val="990"/>
        </w:trPr>
        <w:tc>
          <w:tcPr>
            <w:tcW w:w="1980" w:type="dxa"/>
            <w:vMerge w:val="restart"/>
            <w:tcBorders>
              <w:top w:val="nil"/>
              <w:left w:val="single" w:sz="4" w:space="0" w:color="auto"/>
              <w:bottom w:val="nil"/>
              <w:right w:val="single" w:sz="4" w:space="0" w:color="auto"/>
            </w:tcBorders>
            <w:shd w:val="clear" w:color="000000" w:fill="FFFFFF"/>
            <w:vAlign w:val="center"/>
            <w:hideMark/>
          </w:tcPr>
          <w:p w14:paraId="5E691B0F"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Dirección de Tecnología de Información</w:t>
            </w:r>
          </w:p>
        </w:tc>
        <w:tc>
          <w:tcPr>
            <w:tcW w:w="1741" w:type="dxa"/>
            <w:tcBorders>
              <w:top w:val="nil"/>
              <w:left w:val="nil"/>
              <w:bottom w:val="single" w:sz="4" w:space="0" w:color="auto"/>
              <w:right w:val="single" w:sz="4" w:space="0" w:color="auto"/>
            </w:tcBorders>
            <w:shd w:val="clear" w:color="000000" w:fill="FFFFFF"/>
            <w:vAlign w:val="center"/>
            <w:hideMark/>
          </w:tcPr>
          <w:p w14:paraId="01400883"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0122-DTI</w:t>
            </w:r>
            <w:r>
              <w:rPr>
                <w:rFonts w:ascii="Book Antiqua" w:eastAsia="Times New Roman" w:hAnsi="Book Antiqua" w:cs="Calibri"/>
                <w:color w:val="000000"/>
                <w:sz w:val="18"/>
                <w:szCs w:val="18"/>
                <w:lang w:eastAsia="es-CR"/>
              </w:rPr>
              <w:t>C</w:t>
            </w:r>
            <w:r w:rsidRPr="003C0B0F">
              <w:rPr>
                <w:rFonts w:ascii="Book Antiqua" w:eastAsia="Times New Roman" w:hAnsi="Book Antiqua" w:cs="Calibri"/>
                <w:color w:val="000000"/>
                <w:sz w:val="18"/>
                <w:szCs w:val="18"/>
                <w:lang w:eastAsia="es-CR"/>
              </w:rPr>
              <w:t>-P18</w:t>
            </w:r>
          </w:p>
        </w:tc>
        <w:tc>
          <w:tcPr>
            <w:tcW w:w="3434" w:type="dxa"/>
            <w:tcBorders>
              <w:top w:val="nil"/>
              <w:left w:val="nil"/>
              <w:bottom w:val="single" w:sz="4" w:space="0" w:color="auto"/>
              <w:right w:val="single" w:sz="4" w:space="0" w:color="auto"/>
            </w:tcBorders>
            <w:shd w:val="clear" w:color="000000" w:fill="FFFFFF"/>
            <w:hideMark/>
          </w:tcPr>
          <w:p w14:paraId="109338F3"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Plan para la atención y gestión de los Servicios Tecnológicos del Poder Judicial</w:t>
            </w:r>
          </w:p>
        </w:tc>
        <w:tc>
          <w:tcPr>
            <w:tcW w:w="1877" w:type="dxa"/>
            <w:tcBorders>
              <w:top w:val="single" w:sz="4" w:space="0" w:color="auto"/>
              <w:left w:val="nil"/>
              <w:bottom w:val="nil"/>
              <w:right w:val="single" w:sz="4" w:space="0" w:color="auto"/>
            </w:tcBorders>
            <w:shd w:val="clear" w:color="000000" w:fill="FFFFFF"/>
            <w:vAlign w:val="center"/>
            <w:hideMark/>
          </w:tcPr>
          <w:p w14:paraId="7AFC6DF5"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106%</w:t>
            </w:r>
          </w:p>
        </w:tc>
        <w:tc>
          <w:tcPr>
            <w:tcW w:w="156" w:type="dxa"/>
            <w:vAlign w:val="center"/>
            <w:hideMark/>
          </w:tcPr>
          <w:p w14:paraId="411357BD"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32FABF79" w14:textId="77777777" w:rsidTr="006C729E">
        <w:trPr>
          <w:trHeight w:val="869"/>
        </w:trPr>
        <w:tc>
          <w:tcPr>
            <w:tcW w:w="1980" w:type="dxa"/>
            <w:vMerge/>
            <w:tcBorders>
              <w:top w:val="nil"/>
              <w:left w:val="single" w:sz="4" w:space="0" w:color="auto"/>
              <w:bottom w:val="nil"/>
              <w:right w:val="single" w:sz="4" w:space="0" w:color="auto"/>
            </w:tcBorders>
            <w:vAlign w:val="center"/>
            <w:hideMark/>
          </w:tcPr>
          <w:p w14:paraId="5B66A96F"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nil"/>
              <w:left w:val="nil"/>
              <w:bottom w:val="single" w:sz="4" w:space="0" w:color="auto"/>
              <w:right w:val="single" w:sz="4" w:space="0" w:color="auto"/>
            </w:tcBorders>
            <w:shd w:val="clear" w:color="000000" w:fill="FFFFFF"/>
            <w:vAlign w:val="center"/>
            <w:hideMark/>
          </w:tcPr>
          <w:p w14:paraId="0C7EE5F6"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0122-DTI-P20</w:t>
            </w:r>
          </w:p>
        </w:tc>
        <w:tc>
          <w:tcPr>
            <w:tcW w:w="3434" w:type="dxa"/>
            <w:tcBorders>
              <w:top w:val="nil"/>
              <w:left w:val="nil"/>
              <w:bottom w:val="single" w:sz="4" w:space="0" w:color="auto"/>
              <w:right w:val="single" w:sz="4" w:space="0" w:color="auto"/>
            </w:tcBorders>
            <w:shd w:val="clear" w:color="000000" w:fill="FFFFFF"/>
            <w:hideMark/>
          </w:tcPr>
          <w:p w14:paraId="7B48D1A6"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Atención de personas usuarias en el servicio de gestión en línea y audiencias virtuales</w:t>
            </w:r>
          </w:p>
        </w:tc>
        <w:tc>
          <w:tcPr>
            <w:tcW w:w="1877" w:type="dxa"/>
            <w:tcBorders>
              <w:top w:val="single" w:sz="4" w:space="0" w:color="auto"/>
              <w:left w:val="nil"/>
              <w:bottom w:val="nil"/>
              <w:right w:val="single" w:sz="4" w:space="0" w:color="auto"/>
            </w:tcBorders>
            <w:shd w:val="clear" w:color="000000" w:fill="FFFFFF"/>
            <w:vAlign w:val="center"/>
            <w:hideMark/>
          </w:tcPr>
          <w:p w14:paraId="339FD1DB"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167%</w:t>
            </w:r>
          </w:p>
        </w:tc>
        <w:tc>
          <w:tcPr>
            <w:tcW w:w="156" w:type="dxa"/>
            <w:vAlign w:val="center"/>
            <w:hideMark/>
          </w:tcPr>
          <w:p w14:paraId="15427E7A"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3B3E7061" w14:textId="77777777" w:rsidTr="006C729E">
        <w:trPr>
          <w:trHeight w:val="615"/>
        </w:trPr>
        <w:tc>
          <w:tcPr>
            <w:tcW w:w="198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89064CA"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Dirección Ejecutiva</w:t>
            </w:r>
          </w:p>
        </w:tc>
        <w:tc>
          <w:tcPr>
            <w:tcW w:w="1741" w:type="dxa"/>
            <w:tcBorders>
              <w:top w:val="nil"/>
              <w:left w:val="nil"/>
              <w:bottom w:val="single" w:sz="4" w:space="0" w:color="auto"/>
              <w:right w:val="single" w:sz="4" w:space="0" w:color="auto"/>
            </w:tcBorders>
            <w:shd w:val="clear" w:color="auto" w:fill="auto"/>
            <w:vAlign w:val="center"/>
            <w:hideMark/>
          </w:tcPr>
          <w:p w14:paraId="36777F70"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0117-DE-P19</w:t>
            </w:r>
          </w:p>
        </w:tc>
        <w:tc>
          <w:tcPr>
            <w:tcW w:w="3434" w:type="dxa"/>
            <w:tcBorders>
              <w:top w:val="nil"/>
              <w:left w:val="nil"/>
              <w:bottom w:val="single" w:sz="4" w:space="0" w:color="auto"/>
              <w:right w:val="single" w:sz="4" w:space="0" w:color="auto"/>
            </w:tcBorders>
            <w:shd w:val="clear" w:color="000000" w:fill="FFFFFF"/>
            <w:hideMark/>
          </w:tcPr>
          <w:p w14:paraId="2160AE4D"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Bienes Decomisados Departamento de Proveeduría</w:t>
            </w:r>
          </w:p>
        </w:tc>
        <w:tc>
          <w:tcPr>
            <w:tcW w:w="1877" w:type="dxa"/>
            <w:tcBorders>
              <w:top w:val="single" w:sz="4" w:space="0" w:color="auto"/>
              <w:left w:val="nil"/>
              <w:bottom w:val="nil"/>
              <w:right w:val="single" w:sz="4" w:space="0" w:color="auto"/>
            </w:tcBorders>
            <w:shd w:val="clear" w:color="000000" w:fill="FFFFFF"/>
            <w:vAlign w:val="center"/>
            <w:hideMark/>
          </w:tcPr>
          <w:p w14:paraId="150B85CF"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138%</w:t>
            </w:r>
          </w:p>
        </w:tc>
        <w:tc>
          <w:tcPr>
            <w:tcW w:w="156" w:type="dxa"/>
            <w:vAlign w:val="center"/>
            <w:hideMark/>
          </w:tcPr>
          <w:p w14:paraId="761914C3"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4556DA1B" w14:textId="77777777" w:rsidTr="006C729E">
        <w:trPr>
          <w:trHeight w:val="1020"/>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656A16AC"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nil"/>
              <w:left w:val="nil"/>
              <w:bottom w:val="single" w:sz="4" w:space="0" w:color="auto"/>
              <w:right w:val="single" w:sz="4" w:space="0" w:color="auto"/>
            </w:tcBorders>
            <w:shd w:val="clear" w:color="auto" w:fill="auto"/>
            <w:vAlign w:val="center"/>
            <w:hideMark/>
          </w:tcPr>
          <w:p w14:paraId="31F4B1BB"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0117-DE-P17</w:t>
            </w:r>
          </w:p>
        </w:tc>
        <w:tc>
          <w:tcPr>
            <w:tcW w:w="3434" w:type="dxa"/>
            <w:tcBorders>
              <w:top w:val="nil"/>
              <w:left w:val="nil"/>
              <w:bottom w:val="single" w:sz="4" w:space="0" w:color="auto"/>
              <w:right w:val="single" w:sz="4" w:space="0" w:color="auto"/>
            </w:tcBorders>
            <w:shd w:val="clear" w:color="000000" w:fill="FFFFFF"/>
            <w:hideMark/>
          </w:tcPr>
          <w:p w14:paraId="13532655"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Control, registro, conciliación y ajustes entre los movimientos contables y el Sistema Institucional del Control de Activos (SICA-PJ)</w:t>
            </w:r>
          </w:p>
        </w:tc>
        <w:tc>
          <w:tcPr>
            <w:tcW w:w="1877" w:type="dxa"/>
            <w:tcBorders>
              <w:top w:val="single" w:sz="4" w:space="0" w:color="auto"/>
              <w:left w:val="nil"/>
              <w:bottom w:val="single" w:sz="4" w:space="0" w:color="auto"/>
              <w:right w:val="single" w:sz="4" w:space="0" w:color="auto"/>
            </w:tcBorders>
            <w:shd w:val="clear" w:color="000000" w:fill="FFFFFF"/>
            <w:vAlign w:val="center"/>
            <w:hideMark/>
          </w:tcPr>
          <w:p w14:paraId="77F244B8"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164%</w:t>
            </w:r>
          </w:p>
        </w:tc>
        <w:tc>
          <w:tcPr>
            <w:tcW w:w="156" w:type="dxa"/>
            <w:vAlign w:val="center"/>
            <w:hideMark/>
          </w:tcPr>
          <w:p w14:paraId="24434FBD"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0690D0A1" w14:textId="77777777" w:rsidTr="006C729E">
        <w:trPr>
          <w:trHeight w:val="1050"/>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2FFA0C7C"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nil"/>
              <w:left w:val="nil"/>
              <w:bottom w:val="nil"/>
              <w:right w:val="single" w:sz="4" w:space="0" w:color="auto"/>
            </w:tcBorders>
            <w:shd w:val="clear" w:color="auto" w:fill="auto"/>
            <w:vAlign w:val="center"/>
            <w:hideMark/>
          </w:tcPr>
          <w:p w14:paraId="26BDC03F"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0117-DE-P18</w:t>
            </w:r>
          </w:p>
        </w:tc>
        <w:tc>
          <w:tcPr>
            <w:tcW w:w="3434" w:type="dxa"/>
            <w:tcBorders>
              <w:top w:val="nil"/>
              <w:left w:val="nil"/>
              <w:bottom w:val="nil"/>
              <w:right w:val="single" w:sz="4" w:space="0" w:color="auto"/>
            </w:tcBorders>
            <w:shd w:val="clear" w:color="auto" w:fill="auto"/>
            <w:hideMark/>
          </w:tcPr>
          <w:p w14:paraId="58850A80"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Sostenibilidad al proceso de Contratación Administrativa para la Ejecución Presupuestaria</w:t>
            </w:r>
          </w:p>
        </w:tc>
        <w:tc>
          <w:tcPr>
            <w:tcW w:w="1877" w:type="dxa"/>
            <w:tcBorders>
              <w:top w:val="nil"/>
              <w:left w:val="nil"/>
              <w:bottom w:val="single" w:sz="4" w:space="0" w:color="auto"/>
              <w:right w:val="single" w:sz="4" w:space="0" w:color="auto"/>
            </w:tcBorders>
            <w:shd w:val="clear" w:color="auto" w:fill="auto"/>
            <w:vAlign w:val="center"/>
            <w:hideMark/>
          </w:tcPr>
          <w:p w14:paraId="02F0B3A2"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57%</w:t>
            </w:r>
          </w:p>
        </w:tc>
        <w:tc>
          <w:tcPr>
            <w:tcW w:w="156" w:type="dxa"/>
            <w:vAlign w:val="center"/>
            <w:hideMark/>
          </w:tcPr>
          <w:p w14:paraId="67280D3D"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3E988438" w14:textId="77777777" w:rsidTr="006C729E">
        <w:trPr>
          <w:trHeight w:val="930"/>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7CA07771"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single" w:sz="4" w:space="0" w:color="auto"/>
              <w:left w:val="nil"/>
              <w:bottom w:val="single" w:sz="4" w:space="0" w:color="auto"/>
              <w:right w:val="single" w:sz="4" w:space="0" w:color="auto"/>
            </w:tcBorders>
            <w:shd w:val="clear" w:color="000000" w:fill="FFFFFF"/>
            <w:vAlign w:val="center"/>
            <w:hideMark/>
          </w:tcPr>
          <w:p w14:paraId="33132AC7"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0117-DE-P16</w:t>
            </w:r>
          </w:p>
        </w:tc>
        <w:tc>
          <w:tcPr>
            <w:tcW w:w="3434" w:type="dxa"/>
            <w:tcBorders>
              <w:top w:val="single" w:sz="4" w:space="0" w:color="auto"/>
              <w:left w:val="nil"/>
              <w:bottom w:val="single" w:sz="4" w:space="0" w:color="auto"/>
              <w:right w:val="single" w:sz="4" w:space="0" w:color="auto"/>
            </w:tcBorders>
            <w:shd w:val="clear" w:color="000000" w:fill="FFFFFF"/>
            <w:hideMark/>
          </w:tcPr>
          <w:p w14:paraId="015CF089"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Sostenibilidad del Sistema Integrado de Gestión Administrativa (SIGA-PJ)</w:t>
            </w:r>
          </w:p>
        </w:tc>
        <w:tc>
          <w:tcPr>
            <w:tcW w:w="1877" w:type="dxa"/>
            <w:tcBorders>
              <w:top w:val="nil"/>
              <w:left w:val="nil"/>
              <w:bottom w:val="single" w:sz="4" w:space="0" w:color="auto"/>
              <w:right w:val="single" w:sz="4" w:space="0" w:color="auto"/>
            </w:tcBorders>
            <w:shd w:val="clear" w:color="000000" w:fill="FFFFFF"/>
            <w:vAlign w:val="center"/>
            <w:hideMark/>
          </w:tcPr>
          <w:p w14:paraId="65845BE2"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124%</w:t>
            </w:r>
          </w:p>
        </w:tc>
        <w:tc>
          <w:tcPr>
            <w:tcW w:w="156" w:type="dxa"/>
            <w:vAlign w:val="center"/>
            <w:hideMark/>
          </w:tcPr>
          <w:p w14:paraId="21C5DC13"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7B0B4223" w14:textId="77777777" w:rsidTr="006C729E">
        <w:trPr>
          <w:trHeight w:val="735"/>
        </w:trPr>
        <w:tc>
          <w:tcPr>
            <w:tcW w:w="1980" w:type="dxa"/>
            <w:tcBorders>
              <w:top w:val="nil"/>
              <w:left w:val="single" w:sz="4" w:space="0" w:color="auto"/>
              <w:bottom w:val="single" w:sz="4" w:space="0" w:color="auto"/>
              <w:right w:val="single" w:sz="4" w:space="0" w:color="auto"/>
            </w:tcBorders>
            <w:shd w:val="clear" w:color="000000" w:fill="FFFFFF"/>
            <w:vAlign w:val="center"/>
            <w:hideMark/>
          </w:tcPr>
          <w:p w14:paraId="7C151E79" w14:textId="77777777" w:rsidR="00555E82" w:rsidRPr="003C0B0F" w:rsidRDefault="00555E82" w:rsidP="000A3123">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Inspección Judicial</w:t>
            </w:r>
          </w:p>
        </w:tc>
        <w:tc>
          <w:tcPr>
            <w:tcW w:w="1741" w:type="dxa"/>
            <w:tcBorders>
              <w:top w:val="nil"/>
              <w:left w:val="nil"/>
              <w:bottom w:val="single" w:sz="4" w:space="0" w:color="auto"/>
              <w:right w:val="single" w:sz="4" w:space="0" w:color="auto"/>
            </w:tcBorders>
            <w:shd w:val="clear" w:color="000000" w:fill="FFFFFF"/>
            <w:vAlign w:val="center"/>
            <w:hideMark/>
          </w:tcPr>
          <w:p w14:paraId="513F08C2"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0031-IJ-P01</w:t>
            </w:r>
          </w:p>
        </w:tc>
        <w:tc>
          <w:tcPr>
            <w:tcW w:w="3434" w:type="dxa"/>
            <w:tcBorders>
              <w:top w:val="nil"/>
              <w:left w:val="nil"/>
              <w:bottom w:val="single" w:sz="4" w:space="0" w:color="auto"/>
              <w:right w:val="single" w:sz="4" w:space="0" w:color="auto"/>
            </w:tcBorders>
            <w:shd w:val="clear" w:color="000000" w:fill="FFFFFF"/>
            <w:hideMark/>
          </w:tcPr>
          <w:p w14:paraId="7A3FDD9A"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Plan de descongestionamiento de Procesos del Tribunal de la Inspección Judicial.</w:t>
            </w:r>
          </w:p>
        </w:tc>
        <w:tc>
          <w:tcPr>
            <w:tcW w:w="1877" w:type="dxa"/>
            <w:tcBorders>
              <w:top w:val="nil"/>
              <w:left w:val="nil"/>
              <w:bottom w:val="single" w:sz="4" w:space="0" w:color="auto"/>
              <w:right w:val="single" w:sz="4" w:space="0" w:color="auto"/>
            </w:tcBorders>
            <w:shd w:val="clear" w:color="000000" w:fill="FFFFFF"/>
            <w:vAlign w:val="center"/>
            <w:hideMark/>
          </w:tcPr>
          <w:p w14:paraId="7F25690F"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118%</w:t>
            </w:r>
          </w:p>
        </w:tc>
        <w:tc>
          <w:tcPr>
            <w:tcW w:w="156" w:type="dxa"/>
            <w:vAlign w:val="center"/>
            <w:hideMark/>
          </w:tcPr>
          <w:p w14:paraId="593C5810"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2ACD479E" w14:textId="77777777" w:rsidTr="006C729E">
        <w:trPr>
          <w:trHeight w:val="970"/>
        </w:trPr>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F5413B" w14:textId="77777777" w:rsidR="00555E82" w:rsidRPr="003C0B0F" w:rsidRDefault="00555E82" w:rsidP="000A3123">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Sala Tercera</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472D6"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0006-ST-P01</w:t>
            </w:r>
          </w:p>
        </w:tc>
        <w:tc>
          <w:tcPr>
            <w:tcW w:w="3434" w:type="dxa"/>
            <w:tcBorders>
              <w:top w:val="single" w:sz="4" w:space="0" w:color="auto"/>
              <w:left w:val="single" w:sz="4" w:space="0" w:color="auto"/>
              <w:bottom w:val="single" w:sz="4" w:space="0" w:color="auto"/>
              <w:right w:val="single" w:sz="4" w:space="0" w:color="auto"/>
            </w:tcBorders>
            <w:shd w:val="clear" w:color="000000" w:fill="FFFFFF"/>
            <w:hideMark/>
          </w:tcPr>
          <w:p w14:paraId="01466612" w14:textId="3A5C58B5"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Plan de trabajo para la gestión de labores de la Vicepresidencia de la Corte</w:t>
            </w:r>
            <w:r w:rsidR="003C2EFD">
              <w:rPr>
                <w:rFonts w:ascii="Book Antiqua" w:eastAsia="Times New Roman" w:hAnsi="Book Antiqua" w:cs="Calibri"/>
                <w:color w:val="000000"/>
                <w:sz w:val="18"/>
                <w:szCs w:val="18"/>
                <w:lang w:eastAsia="es-CR"/>
              </w:rPr>
              <w:t xml:space="preserve">. Nota: </w:t>
            </w:r>
            <w:r w:rsidR="003C2EFD" w:rsidRPr="003C2EFD">
              <w:rPr>
                <w:rFonts w:ascii="Book Antiqua" w:eastAsia="Times New Roman" w:hAnsi="Book Antiqua" w:cs="Calibri"/>
                <w:i/>
                <w:iCs/>
                <w:color w:val="000000"/>
                <w:sz w:val="18"/>
                <w:szCs w:val="18"/>
                <w:lang w:eastAsia="es-CR"/>
              </w:rPr>
              <w:t>En cuanto al proyecto 0006-ST-P01 “Plan de trabajo para la gestión de labores de la Vicepresidencia de la Corte” es importante indicar que este proyecto laboró únicamente en el mes de enero del 2023, debido a que culminó con las tareas encomendadas, por lo tanto, se da por terminado y no se continua su seguimiento.</w:t>
            </w:r>
            <w:r w:rsidR="003C2EFD" w:rsidRPr="003C2EFD">
              <w:rPr>
                <w:rFonts w:ascii="Book Antiqua" w:eastAsia="Times New Roman" w:hAnsi="Book Antiqua" w:cs="Calibri"/>
                <w:color w:val="000000"/>
                <w:sz w:val="18"/>
                <w:szCs w:val="18"/>
                <w:lang w:eastAsia="es-CR"/>
              </w:rPr>
              <w:t xml:space="preserve"> </w:t>
            </w:r>
          </w:p>
        </w:tc>
        <w:tc>
          <w:tcPr>
            <w:tcW w:w="187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C66A5A"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100%</w:t>
            </w:r>
          </w:p>
        </w:tc>
        <w:tc>
          <w:tcPr>
            <w:tcW w:w="156" w:type="dxa"/>
            <w:tcBorders>
              <w:left w:val="single" w:sz="4" w:space="0" w:color="auto"/>
            </w:tcBorders>
            <w:vAlign w:val="center"/>
            <w:hideMark/>
          </w:tcPr>
          <w:p w14:paraId="4AEABFCF"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3AA3A7ED" w14:textId="77777777" w:rsidTr="006C729E">
        <w:trPr>
          <w:trHeight w:val="960"/>
        </w:trPr>
        <w:tc>
          <w:tcPr>
            <w:tcW w:w="1980" w:type="dxa"/>
            <w:tcBorders>
              <w:top w:val="single" w:sz="4" w:space="0" w:color="auto"/>
              <w:left w:val="single" w:sz="4" w:space="0" w:color="auto"/>
              <w:bottom w:val="single" w:sz="4" w:space="0" w:color="000000"/>
              <w:right w:val="single" w:sz="4" w:space="0" w:color="auto"/>
            </w:tcBorders>
            <w:shd w:val="clear" w:color="000000" w:fill="FFFFFF"/>
            <w:vAlign w:val="center"/>
            <w:hideMark/>
          </w:tcPr>
          <w:p w14:paraId="204143B4" w14:textId="77777777" w:rsidR="00555E82" w:rsidRPr="003C0B0F" w:rsidRDefault="00555E82" w:rsidP="00A5160A">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Sala Segunda</w:t>
            </w:r>
          </w:p>
        </w:tc>
        <w:tc>
          <w:tcPr>
            <w:tcW w:w="1741" w:type="dxa"/>
            <w:tcBorders>
              <w:top w:val="single" w:sz="4" w:space="0" w:color="auto"/>
              <w:left w:val="nil"/>
              <w:bottom w:val="single" w:sz="4" w:space="0" w:color="auto"/>
              <w:right w:val="single" w:sz="4" w:space="0" w:color="auto"/>
            </w:tcBorders>
            <w:shd w:val="clear" w:color="000000" w:fill="FFFFFF"/>
            <w:vAlign w:val="center"/>
            <w:hideMark/>
          </w:tcPr>
          <w:p w14:paraId="02CF18ED"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0005-SS-P01</w:t>
            </w:r>
          </w:p>
        </w:tc>
        <w:tc>
          <w:tcPr>
            <w:tcW w:w="3434" w:type="dxa"/>
            <w:tcBorders>
              <w:top w:val="single" w:sz="4" w:space="0" w:color="auto"/>
              <w:left w:val="nil"/>
              <w:bottom w:val="single" w:sz="4" w:space="0" w:color="auto"/>
              <w:right w:val="single" w:sz="4" w:space="0" w:color="auto"/>
            </w:tcBorders>
            <w:shd w:val="clear" w:color="000000" w:fill="FFFFFF"/>
            <w:hideMark/>
          </w:tcPr>
          <w:p w14:paraId="5DFBE8FA"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Plan de trabajo para la gestión de los procesos de Exequátur y Cartas Rogatorias</w:t>
            </w:r>
          </w:p>
        </w:tc>
        <w:tc>
          <w:tcPr>
            <w:tcW w:w="1877" w:type="dxa"/>
            <w:tcBorders>
              <w:top w:val="single" w:sz="4" w:space="0" w:color="auto"/>
              <w:left w:val="nil"/>
              <w:bottom w:val="single" w:sz="4" w:space="0" w:color="auto"/>
              <w:right w:val="single" w:sz="4" w:space="0" w:color="auto"/>
            </w:tcBorders>
            <w:shd w:val="clear" w:color="000000" w:fill="FFFFFF"/>
            <w:vAlign w:val="center"/>
            <w:hideMark/>
          </w:tcPr>
          <w:p w14:paraId="2425B776"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150%</w:t>
            </w:r>
          </w:p>
        </w:tc>
        <w:tc>
          <w:tcPr>
            <w:tcW w:w="156" w:type="dxa"/>
            <w:vAlign w:val="center"/>
            <w:hideMark/>
          </w:tcPr>
          <w:p w14:paraId="55FBDEEA"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0D30AD03" w14:textId="77777777" w:rsidTr="006C729E">
        <w:trPr>
          <w:trHeight w:val="1141"/>
        </w:trPr>
        <w:tc>
          <w:tcPr>
            <w:tcW w:w="1980" w:type="dxa"/>
            <w:tcBorders>
              <w:top w:val="single" w:sz="4" w:space="0" w:color="auto"/>
              <w:left w:val="single" w:sz="4" w:space="0" w:color="auto"/>
              <w:bottom w:val="single" w:sz="4" w:space="0" w:color="000000"/>
              <w:right w:val="single" w:sz="4" w:space="0" w:color="auto"/>
            </w:tcBorders>
            <w:shd w:val="clear" w:color="000000" w:fill="FFFFFF"/>
            <w:vAlign w:val="center"/>
            <w:hideMark/>
          </w:tcPr>
          <w:p w14:paraId="336DFEAC" w14:textId="1BEE0F90" w:rsidR="00555E82" w:rsidRPr="003C0B0F" w:rsidRDefault="00A5160A" w:rsidP="00A5160A">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lastRenderedPageBreak/>
              <w:t>Sala Segunda</w:t>
            </w:r>
          </w:p>
        </w:tc>
        <w:tc>
          <w:tcPr>
            <w:tcW w:w="1741" w:type="dxa"/>
            <w:tcBorders>
              <w:top w:val="single" w:sz="4" w:space="0" w:color="auto"/>
              <w:left w:val="nil"/>
              <w:bottom w:val="single" w:sz="4" w:space="0" w:color="auto"/>
              <w:right w:val="single" w:sz="4" w:space="0" w:color="auto"/>
            </w:tcBorders>
            <w:shd w:val="clear" w:color="000000" w:fill="FFFFFF"/>
            <w:vAlign w:val="center"/>
            <w:hideMark/>
          </w:tcPr>
          <w:p w14:paraId="1DCFE294"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0005-SS-P03</w:t>
            </w:r>
          </w:p>
        </w:tc>
        <w:tc>
          <w:tcPr>
            <w:tcW w:w="3434" w:type="dxa"/>
            <w:tcBorders>
              <w:top w:val="single" w:sz="4" w:space="0" w:color="auto"/>
              <w:left w:val="nil"/>
              <w:bottom w:val="single" w:sz="4" w:space="0" w:color="auto"/>
              <w:right w:val="single" w:sz="4" w:space="0" w:color="auto"/>
            </w:tcBorders>
            <w:shd w:val="clear" w:color="000000" w:fill="FFFFFF"/>
            <w:hideMark/>
          </w:tcPr>
          <w:p w14:paraId="4B34164A"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Atención de procesos en fase de admisibilidad de los recursos de casación, revisión, competencias y casaciones por inadmisión, en Sala Segunda</w:t>
            </w:r>
          </w:p>
        </w:tc>
        <w:tc>
          <w:tcPr>
            <w:tcW w:w="1877" w:type="dxa"/>
            <w:tcBorders>
              <w:top w:val="nil"/>
              <w:left w:val="nil"/>
              <w:bottom w:val="single" w:sz="4" w:space="0" w:color="auto"/>
              <w:right w:val="single" w:sz="4" w:space="0" w:color="auto"/>
            </w:tcBorders>
            <w:shd w:val="clear" w:color="000000" w:fill="FFFFFF"/>
            <w:vAlign w:val="center"/>
            <w:hideMark/>
          </w:tcPr>
          <w:p w14:paraId="2847FC83"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89%</w:t>
            </w:r>
          </w:p>
        </w:tc>
        <w:tc>
          <w:tcPr>
            <w:tcW w:w="156" w:type="dxa"/>
            <w:vAlign w:val="center"/>
            <w:hideMark/>
          </w:tcPr>
          <w:p w14:paraId="6CAEE915"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25306C8E" w14:textId="77777777" w:rsidTr="006C729E">
        <w:trPr>
          <w:trHeight w:val="1050"/>
        </w:trPr>
        <w:tc>
          <w:tcPr>
            <w:tcW w:w="1980" w:type="dxa"/>
            <w:tcBorders>
              <w:top w:val="nil"/>
              <w:left w:val="single" w:sz="4" w:space="0" w:color="auto"/>
              <w:bottom w:val="single" w:sz="4" w:space="0" w:color="auto"/>
              <w:right w:val="single" w:sz="4" w:space="0" w:color="auto"/>
            </w:tcBorders>
            <w:shd w:val="clear" w:color="000000" w:fill="FFFFFF"/>
            <w:vAlign w:val="center"/>
            <w:hideMark/>
          </w:tcPr>
          <w:p w14:paraId="1F6A129A" w14:textId="77777777" w:rsidR="00555E82" w:rsidRPr="003C0B0F" w:rsidRDefault="00555E82" w:rsidP="000A3123">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Sala Primera</w:t>
            </w:r>
          </w:p>
        </w:tc>
        <w:tc>
          <w:tcPr>
            <w:tcW w:w="1741" w:type="dxa"/>
            <w:tcBorders>
              <w:top w:val="nil"/>
              <w:left w:val="nil"/>
              <w:bottom w:val="single" w:sz="4" w:space="0" w:color="auto"/>
              <w:right w:val="single" w:sz="4" w:space="0" w:color="auto"/>
            </w:tcBorders>
            <w:shd w:val="clear" w:color="auto" w:fill="auto"/>
            <w:vAlign w:val="center"/>
            <w:hideMark/>
          </w:tcPr>
          <w:p w14:paraId="43584E80"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0004-SP-P02</w:t>
            </w:r>
          </w:p>
        </w:tc>
        <w:tc>
          <w:tcPr>
            <w:tcW w:w="3434" w:type="dxa"/>
            <w:tcBorders>
              <w:top w:val="nil"/>
              <w:left w:val="nil"/>
              <w:bottom w:val="single" w:sz="4" w:space="0" w:color="auto"/>
              <w:right w:val="single" w:sz="4" w:space="0" w:color="auto"/>
            </w:tcBorders>
            <w:shd w:val="clear" w:color="000000" w:fill="FFFFFF"/>
            <w:hideMark/>
          </w:tcPr>
          <w:p w14:paraId="2DC852F4"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Plan de trabajo para la reducción del circulante activo en mora en fase de consulta de competencia</w:t>
            </w:r>
          </w:p>
        </w:tc>
        <w:tc>
          <w:tcPr>
            <w:tcW w:w="1877" w:type="dxa"/>
            <w:tcBorders>
              <w:top w:val="nil"/>
              <w:left w:val="nil"/>
              <w:bottom w:val="single" w:sz="4" w:space="0" w:color="auto"/>
              <w:right w:val="single" w:sz="4" w:space="0" w:color="auto"/>
            </w:tcBorders>
            <w:shd w:val="clear" w:color="000000" w:fill="FFFFFF"/>
            <w:vAlign w:val="center"/>
            <w:hideMark/>
          </w:tcPr>
          <w:p w14:paraId="792314EF"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80%</w:t>
            </w:r>
          </w:p>
        </w:tc>
        <w:tc>
          <w:tcPr>
            <w:tcW w:w="156" w:type="dxa"/>
            <w:vAlign w:val="center"/>
            <w:hideMark/>
          </w:tcPr>
          <w:p w14:paraId="51E6FACD"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5F88650C" w14:textId="77777777" w:rsidTr="006C729E">
        <w:trPr>
          <w:trHeight w:val="1030"/>
        </w:trPr>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C15482" w14:textId="77777777" w:rsidR="00555E82" w:rsidRPr="000A3123" w:rsidRDefault="00555E82" w:rsidP="000A3123">
            <w:pPr>
              <w:spacing w:after="0" w:line="240" w:lineRule="auto"/>
              <w:jc w:val="center"/>
              <w:rPr>
                <w:rFonts w:ascii="Book Antiqua" w:eastAsia="Times New Roman" w:hAnsi="Book Antiqua" w:cs="Calibri"/>
                <w:color w:val="000000"/>
                <w:sz w:val="18"/>
                <w:szCs w:val="18"/>
                <w:lang w:eastAsia="es-CR"/>
              </w:rPr>
            </w:pPr>
            <w:r w:rsidRPr="000A3123">
              <w:rPr>
                <w:rFonts w:ascii="Book Antiqua" w:eastAsia="Times New Roman" w:hAnsi="Book Antiqua" w:cs="Calibri"/>
                <w:color w:val="000000"/>
                <w:sz w:val="18"/>
                <w:szCs w:val="18"/>
                <w:lang w:eastAsia="es-CR"/>
              </w:rPr>
              <w:t>Programa de Justicia Restaurativa</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3DFAA"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1377-PJR-P04</w:t>
            </w:r>
          </w:p>
        </w:tc>
        <w:tc>
          <w:tcPr>
            <w:tcW w:w="3434" w:type="dxa"/>
            <w:tcBorders>
              <w:top w:val="nil"/>
              <w:left w:val="single" w:sz="4" w:space="0" w:color="auto"/>
              <w:bottom w:val="single" w:sz="4" w:space="0" w:color="auto"/>
              <w:right w:val="single" w:sz="4" w:space="0" w:color="auto"/>
            </w:tcBorders>
            <w:shd w:val="clear" w:color="000000" w:fill="FFFFFF"/>
            <w:hideMark/>
          </w:tcPr>
          <w:p w14:paraId="37382778"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Proyecto de Apoyo Técnico para la Implementación de Justicia Restaurativa</w:t>
            </w:r>
          </w:p>
        </w:tc>
        <w:tc>
          <w:tcPr>
            <w:tcW w:w="1877" w:type="dxa"/>
            <w:tcBorders>
              <w:top w:val="nil"/>
              <w:left w:val="nil"/>
              <w:bottom w:val="single" w:sz="4" w:space="0" w:color="auto"/>
              <w:right w:val="single" w:sz="4" w:space="0" w:color="auto"/>
            </w:tcBorders>
            <w:shd w:val="clear" w:color="000000" w:fill="FFFFFF"/>
            <w:vAlign w:val="center"/>
            <w:hideMark/>
          </w:tcPr>
          <w:p w14:paraId="004EEE9B"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142%</w:t>
            </w:r>
          </w:p>
        </w:tc>
        <w:tc>
          <w:tcPr>
            <w:tcW w:w="156" w:type="dxa"/>
            <w:vAlign w:val="center"/>
            <w:hideMark/>
          </w:tcPr>
          <w:p w14:paraId="6F2452C6"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4E697F4B" w14:textId="77777777" w:rsidTr="006C729E">
        <w:trPr>
          <w:trHeight w:val="1030"/>
        </w:trPr>
        <w:tc>
          <w:tcPr>
            <w:tcW w:w="1980" w:type="dxa"/>
            <w:tcBorders>
              <w:top w:val="single" w:sz="4" w:space="0" w:color="auto"/>
              <w:left w:val="single" w:sz="4" w:space="0" w:color="auto"/>
              <w:bottom w:val="nil"/>
              <w:right w:val="single" w:sz="4" w:space="0" w:color="auto"/>
            </w:tcBorders>
            <w:shd w:val="clear" w:color="000000" w:fill="FFFFFF"/>
            <w:vAlign w:val="center"/>
            <w:hideMark/>
          </w:tcPr>
          <w:p w14:paraId="0E9973F9" w14:textId="77777777" w:rsidR="00555E82" w:rsidRPr="000A3123" w:rsidRDefault="00555E82" w:rsidP="000A3123">
            <w:pPr>
              <w:spacing w:after="0" w:line="240" w:lineRule="auto"/>
              <w:jc w:val="center"/>
              <w:rPr>
                <w:rFonts w:ascii="Book Antiqua" w:eastAsia="Times New Roman" w:hAnsi="Book Antiqua" w:cs="Calibri"/>
                <w:color w:val="000000"/>
                <w:sz w:val="18"/>
                <w:szCs w:val="18"/>
                <w:lang w:eastAsia="es-CR"/>
              </w:rPr>
            </w:pPr>
            <w:r w:rsidRPr="000A3123">
              <w:rPr>
                <w:rFonts w:ascii="Book Antiqua" w:eastAsia="Times New Roman" w:hAnsi="Book Antiqua" w:cs="Calibri"/>
                <w:color w:val="000000"/>
                <w:sz w:val="18"/>
                <w:szCs w:val="18"/>
                <w:lang w:eastAsia="es-CR"/>
              </w:rPr>
              <w:t>Escuela Judicial</w:t>
            </w:r>
          </w:p>
        </w:tc>
        <w:tc>
          <w:tcPr>
            <w:tcW w:w="1741" w:type="dxa"/>
            <w:tcBorders>
              <w:top w:val="single" w:sz="4" w:space="0" w:color="auto"/>
              <w:left w:val="nil"/>
              <w:bottom w:val="single" w:sz="4" w:space="0" w:color="auto"/>
              <w:right w:val="single" w:sz="4" w:space="0" w:color="auto"/>
            </w:tcBorders>
            <w:shd w:val="clear" w:color="000000" w:fill="FFFFFF"/>
            <w:vAlign w:val="center"/>
            <w:hideMark/>
          </w:tcPr>
          <w:p w14:paraId="3002DF8A"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0035-EJ-P03</w:t>
            </w:r>
          </w:p>
        </w:tc>
        <w:tc>
          <w:tcPr>
            <w:tcW w:w="3434" w:type="dxa"/>
            <w:tcBorders>
              <w:top w:val="nil"/>
              <w:left w:val="nil"/>
              <w:bottom w:val="single" w:sz="4" w:space="0" w:color="auto"/>
              <w:right w:val="single" w:sz="4" w:space="0" w:color="auto"/>
            </w:tcBorders>
            <w:shd w:val="clear" w:color="000000" w:fill="FFFFFF"/>
            <w:hideMark/>
          </w:tcPr>
          <w:p w14:paraId="794680EE"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Análisis y trámite de pago de reclamos de viáticos de Programas Básicos de Investigación criminal OIJ solicitados por Consejo Superior</w:t>
            </w:r>
          </w:p>
        </w:tc>
        <w:tc>
          <w:tcPr>
            <w:tcW w:w="1877" w:type="dxa"/>
            <w:tcBorders>
              <w:top w:val="nil"/>
              <w:left w:val="nil"/>
              <w:bottom w:val="single" w:sz="4" w:space="0" w:color="auto"/>
              <w:right w:val="single" w:sz="4" w:space="0" w:color="auto"/>
            </w:tcBorders>
            <w:shd w:val="clear" w:color="000000" w:fill="FFFFFF"/>
            <w:vAlign w:val="center"/>
            <w:hideMark/>
          </w:tcPr>
          <w:p w14:paraId="20CD1576"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150%</w:t>
            </w:r>
          </w:p>
        </w:tc>
        <w:tc>
          <w:tcPr>
            <w:tcW w:w="156" w:type="dxa"/>
            <w:vAlign w:val="center"/>
            <w:hideMark/>
          </w:tcPr>
          <w:p w14:paraId="76BD1207"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3846865E" w14:textId="77777777" w:rsidTr="006C729E">
        <w:trPr>
          <w:trHeight w:val="820"/>
        </w:trPr>
        <w:tc>
          <w:tcPr>
            <w:tcW w:w="1980" w:type="dxa"/>
            <w:tcBorders>
              <w:top w:val="single" w:sz="4" w:space="0" w:color="auto"/>
              <w:left w:val="single" w:sz="4" w:space="0" w:color="auto"/>
              <w:bottom w:val="nil"/>
              <w:right w:val="single" w:sz="4" w:space="0" w:color="auto"/>
            </w:tcBorders>
            <w:shd w:val="clear" w:color="000000" w:fill="FFFFFF"/>
            <w:vAlign w:val="center"/>
            <w:hideMark/>
          </w:tcPr>
          <w:p w14:paraId="404537B0" w14:textId="77777777" w:rsidR="00555E82" w:rsidRPr="000A3123" w:rsidRDefault="00555E82" w:rsidP="000A3123">
            <w:pPr>
              <w:spacing w:after="0" w:line="240" w:lineRule="auto"/>
              <w:jc w:val="center"/>
              <w:rPr>
                <w:rFonts w:ascii="Book Antiqua" w:eastAsia="Times New Roman" w:hAnsi="Book Antiqua" w:cs="Calibri"/>
                <w:sz w:val="18"/>
                <w:szCs w:val="18"/>
                <w:lang w:eastAsia="es-CR"/>
              </w:rPr>
            </w:pPr>
            <w:r w:rsidRPr="000A3123">
              <w:rPr>
                <w:rFonts w:ascii="Book Antiqua" w:eastAsia="Times New Roman" w:hAnsi="Book Antiqua" w:cs="Calibri"/>
                <w:sz w:val="18"/>
                <w:szCs w:val="18"/>
                <w:lang w:eastAsia="es-CR"/>
              </w:rPr>
              <w:t>Oficina Rectora de Justicia Restaurativa</w:t>
            </w:r>
          </w:p>
        </w:tc>
        <w:tc>
          <w:tcPr>
            <w:tcW w:w="1741" w:type="dxa"/>
            <w:tcBorders>
              <w:top w:val="nil"/>
              <w:left w:val="nil"/>
              <w:bottom w:val="single" w:sz="4" w:space="0" w:color="auto"/>
              <w:right w:val="single" w:sz="4" w:space="0" w:color="auto"/>
            </w:tcBorders>
            <w:shd w:val="clear" w:color="auto" w:fill="auto"/>
            <w:vAlign w:val="center"/>
            <w:hideMark/>
          </w:tcPr>
          <w:p w14:paraId="3A7633CE"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1377-PJR-P06</w:t>
            </w:r>
          </w:p>
        </w:tc>
        <w:tc>
          <w:tcPr>
            <w:tcW w:w="3434" w:type="dxa"/>
            <w:tcBorders>
              <w:top w:val="nil"/>
              <w:left w:val="nil"/>
              <w:bottom w:val="single" w:sz="4" w:space="0" w:color="auto"/>
              <w:right w:val="single" w:sz="4" w:space="0" w:color="auto"/>
            </w:tcBorders>
            <w:shd w:val="clear" w:color="000000" w:fill="FFFFFF"/>
            <w:hideMark/>
          </w:tcPr>
          <w:p w14:paraId="63AE29A5"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Proyecto Programa de Justicia Restaurativa para el Bienestar Integral del Personal Judicial</w:t>
            </w:r>
          </w:p>
        </w:tc>
        <w:tc>
          <w:tcPr>
            <w:tcW w:w="1877" w:type="dxa"/>
            <w:tcBorders>
              <w:top w:val="nil"/>
              <w:left w:val="nil"/>
              <w:bottom w:val="single" w:sz="4" w:space="0" w:color="auto"/>
              <w:right w:val="single" w:sz="4" w:space="0" w:color="auto"/>
            </w:tcBorders>
            <w:shd w:val="clear" w:color="000000" w:fill="FFFFFF"/>
            <w:vAlign w:val="center"/>
            <w:hideMark/>
          </w:tcPr>
          <w:p w14:paraId="2B80878B"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98%</w:t>
            </w:r>
          </w:p>
        </w:tc>
        <w:tc>
          <w:tcPr>
            <w:tcW w:w="156" w:type="dxa"/>
            <w:vAlign w:val="center"/>
            <w:hideMark/>
          </w:tcPr>
          <w:p w14:paraId="7CDCA8D9"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3590D631" w14:textId="77777777" w:rsidTr="006C729E">
        <w:trPr>
          <w:trHeight w:val="1080"/>
        </w:trPr>
        <w:tc>
          <w:tcPr>
            <w:tcW w:w="1980" w:type="dxa"/>
            <w:tcBorders>
              <w:top w:val="single" w:sz="4" w:space="0" w:color="auto"/>
              <w:left w:val="single" w:sz="4" w:space="0" w:color="auto"/>
              <w:bottom w:val="nil"/>
              <w:right w:val="single" w:sz="4" w:space="0" w:color="auto"/>
            </w:tcBorders>
            <w:shd w:val="clear" w:color="000000" w:fill="FFFFFF"/>
            <w:vAlign w:val="center"/>
            <w:hideMark/>
          </w:tcPr>
          <w:p w14:paraId="049D8F9B" w14:textId="77777777" w:rsidR="00555E82" w:rsidRPr="000A3123" w:rsidRDefault="00555E82" w:rsidP="000A3123">
            <w:pPr>
              <w:spacing w:after="0" w:line="240" w:lineRule="auto"/>
              <w:jc w:val="center"/>
              <w:rPr>
                <w:rFonts w:ascii="Book Antiqua" w:eastAsia="Times New Roman" w:hAnsi="Book Antiqua" w:cs="Calibri"/>
                <w:color w:val="000000"/>
                <w:sz w:val="18"/>
                <w:szCs w:val="18"/>
                <w:lang w:eastAsia="es-CR"/>
              </w:rPr>
            </w:pPr>
            <w:r w:rsidRPr="000A3123">
              <w:rPr>
                <w:rFonts w:ascii="Book Antiqua" w:eastAsia="Times New Roman" w:hAnsi="Book Antiqua" w:cs="Calibri"/>
                <w:color w:val="000000"/>
                <w:sz w:val="18"/>
                <w:szCs w:val="18"/>
                <w:lang w:eastAsia="es-CR"/>
              </w:rPr>
              <w:t>Comision Nacional de Mejoramiento de la Administración de Justicia</w:t>
            </w:r>
          </w:p>
        </w:tc>
        <w:tc>
          <w:tcPr>
            <w:tcW w:w="1741" w:type="dxa"/>
            <w:tcBorders>
              <w:top w:val="nil"/>
              <w:left w:val="nil"/>
              <w:bottom w:val="single" w:sz="4" w:space="0" w:color="auto"/>
              <w:right w:val="single" w:sz="4" w:space="0" w:color="auto"/>
            </w:tcBorders>
            <w:shd w:val="clear" w:color="000000" w:fill="FFFFFF"/>
            <w:vAlign w:val="center"/>
            <w:hideMark/>
          </w:tcPr>
          <w:p w14:paraId="2B9ADD6A"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0655-CONAMAJ-P03</w:t>
            </w:r>
          </w:p>
        </w:tc>
        <w:tc>
          <w:tcPr>
            <w:tcW w:w="3434" w:type="dxa"/>
            <w:tcBorders>
              <w:top w:val="nil"/>
              <w:left w:val="nil"/>
              <w:bottom w:val="single" w:sz="4" w:space="0" w:color="auto"/>
              <w:right w:val="single" w:sz="4" w:space="0" w:color="auto"/>
            </w:tcBorders>
            <w:shd w:val="clear" w:color="000000" w:fill="FFFFFF"/>
            <w:hideMark/>
          </w:tcPr>
          <w:p w14:paraId="6F2CF682"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 xml:space="preserve">Expansión del Servicio Nacional de Facilitadores </w:t>
            </w:r>
            <w:r>
              <w:rPr>
                <w:rFonts w:ascii="Book Antiqua" w:eastAsia="Times New Roman" w:hAnsi="Book Antiqua" w:cs="Calibri"/>
                <w:color w:val="000000"/>
                <w:sz w:val="18"/>
                <w:szCs w:val="18"/>
                <w:lang w:eastAsia="es-CR"/>
              </w:rPr>
              <w:t xml:space="preserve">y Facilitadoras </w:t>
            </w:r>
            <w:r w:rsidRPr="003C0B0F">
              <w:rPr>
                <w:rFonts w:ascii="Book Antiqua" w:eastAsia="Times New Roman" w:hAnsi="Book Antiqua" w:cs="Calibri"/>
                <w:color w:val="000000"/>
                <w:sz w:val="18"/>
                <w:szCs w:val="18"/>
                <w:lang w:eastAsia="es-CR"/>
              </w:rPr>
              <w:t>Judiciales incluyendo zonas interurbanas</w:t>
            </w:r>
          </w:p>
        </w:tc>
        <w:tc>
          <w:tcPr>
            <w:tcW w:w="1877" w:type="dxa"/>
            <w:tcBorders>
              <w:top w:val="nil"/>
              <w:left w:val="nil"/>
              <w:bottom w:val="single" w:sz="4" w:space="0" w:color="auto"/>
              <w:right w:val="single" w:sz="4" w:space="0" w:color="auto"/>
            </w:tcBorders>
            <w:shd w:val="clear" w:color="000000" w:fill="FFFFFF"/>
            <w:vAlign w:val="center"/>
            <w:hideMark/>
          </w:tcPr>
          <w:p w14:paraId="2AF9D29D"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100%</w:t>
            </w:r>
          </w:p>
        </w:tc>
        <w:tc>
          <w:tcPr>
            <w:tcW w:w="156" w:type="dxa"/>
            <w:vAlign w:val="center"/>
            <w:hideMark/>
          </w:tcPr>
          <w:p w14:paraId="4D118E67"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04D9A301" w14:textId="77777777" w:rsidTr="006C729E">
        <w:trPr>
          <w:trHeight w:val="960"/>
        </w:trPr>
        <w:tc>
          <w:tcPr>
            <w:tcW w:w="19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75E84D"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Centro de Apoyo Coordinación y Mejoramiento Función Jurisdiccional</w:t>
            </w:r>
          </w:p>
        </w:tc>
        <w:tc>
          <w:tcPr>
            <w:tcW w:w="1741" w:type="dxa"/>
            <w:tcBorders>
              <w:top w:val="nil"/>
              <w:left w:val="nil"/>
              <w:bottom w:val="single" w:sz="4" w:space="0" w:color="auto"/>
              <w:right w:val="single" w:sz="4" w:space="0" w:color="auto"/>
            </w:tcBorders>
            <w:shd w:val="clear" w:color="auto" w:fill="auto"/>
            <w:vAlign w:val="center"/>
            <w:hideMark/>
          </w:tcPr>
          <w:p w14:paraId="165D84ED"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1324-CACMFJ-P07</w:t>
            </w:r>
          </w:p>
        </w:tc>
        <w:tc>
          <w:tcPr>
            <w:tcW w:w="3434" w:type="dxa"/>
            <w:tcBorders>
              <w:top w:val="nil"/>
              <w:left w:val="nil"/>
              <w:bottom w:val="single" w:sz="4" w:space="0" w:color="auto"/>
              <w:right w:val="single" w:sz="4" w:space="0" w:color="auto"/>
            </w:tcBorders>
            <w:shd w:val="clear" w:color="auto" w:fill="auto"/>
            <w:hideMark/>
          </w:tcPr>
          <w:p w14:paraId="1CC13F5B"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Plan de Atención de los asuntos de ejecución de trámite del circulante del Área Ejecución del Tribunal Contencioso</w:t>
            </w:r>
          </w:p>
        </w:tc>
        <w:tc>
          <w:tcPr>
            <w:tcW w:w="1877" w:type="dxa"/>
            <w:tcBorders>
              <w:top w:val="nil"/>
              <w:left w:val="nil"/>
              <w:bottom w:val="single" w:sz="4" w:space="0" w:color="auto"/>
              <w:right w:val="single" w:sz="4" w:space="0" w:color="auto"/>
            </w:tcBorders>
            <w:shd w:val="clear" w:color="auto" w:fill="auto"/>
            <w:vAlign w:val="center"/>
            <w:hideMark/>
          </w:tcPr>
          <w:p w14:paraId="3CA855EF"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98%</w:t>
            </w:r>
          </w:p>
        </w:tc>
        <w:tc>
          <w:tcPr>
            <w:tcW w:w="156" w:type="dxa"/>
            <w:vAlign w:val="center"/>
            <w:hideMark/>
          </w:tcPr>
          <w:p w14:paraId="20F57D6E"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r w:rsidR="00555E82" w:rsidRPr="003C0B0F" w14:paraId="1BD22ADB" w14:textId="77777777" w:rsidTr="006C729E">
        <w:trPr>
          <w:trHeight w:val="900"/>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2C4F2020"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p>
        </w:tc>
        <w:tc>
          <w:tcPr>
            <w:tcW w:w="1741" w:type="dxa"/>
            <w:tcBorders>
              <w:top w:val="nil"/>
              <w:left w:val="nil"/>
              <w:bottom w:val="single" w:sz="4" w:space="0" w:color="auto"/>
              <w:right w:val="single" w:sz="4" w:space="0" w:color="auto"/>
            </w:tcBorders>
            <w:shd w:val="clear" w:color="auto" w:fill="auto"/>
            <w:vAlign w:val="center"/>
            <w:hideMark/>
          </w:tcPr>
          <w:p w14:paraId="72903F64" w14:textId="77777777" w:rsidR="00555E82" w:rsidRPr="003C0B0F" w:rsidRDefault="00555E82" w:rsidP="00F400D6">
            <w:pPr>
              <w:spacing w:after="0" w:line="240" w:lineRule="auto"/>
              <w:jc w:val="center"/>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1324-CACMFJ-P06</w:t>
            </w:r>
          </w:p>
        </w:tc>
        <w:tc>
          <w:tcPr>
            <w:tcW w:w="3434" w:type="dxa"/>
            <w:tcBorders>
              <w:top w:val="nil"/>
              <w:left w:val="nil"/>
              <w:bottom w:val="single" w:sz="4" w:space="0" w:color="auto"/>
              <w:right w:val="single" w:sz="4" w:space="0" w:color="auto"/>
            </w:tcBorders>
            <w:shd w:val="clear" w:color="auto" w:fill="auto"/>
            <w:hideMark/>
          </w:tcPr>
          <w:p w14:paraId="22DCE261" w14:textId="77777777" w:rsidR="00555E82" w:rsidRPr="003C0B0F" w:rsidRDefault="00555E82" w:rsidP="00F400D6">
            <w:pPr>
              <w:spacing w:after="0" w:line="240" w:lineRule="auto"/>
              <w:rPr>
                <w:rFonts w:ascii="Book Antiqua" w:eastAsia="Times New Roman" w:hAnsi="Book Antiqua" w:cs="Calibri"/>
                <w:color w:val="000000"/>
                <w:sz w:val="18"/>
                <w:szCs w:val="18"/>
                <w:lang w:eastAsia="es-CR"/>
              </w:rPr>
            </w:pPr>
            <w:r w:rsidRPr="003C0B0F">
              <w:rPr>
                <w:rFonts w:ascii="Book Antiqua" w:eastAsia="Times New Roman" w:hAnsi="Book Antiqua" w:cs="Calibri"/>
                <w:color w:val="000000"/>
                <w:sz w:val="18"/>
                <w:szCs w:val="18"/>
                <w:lang w:eastAsia="es-CR"/>
              </w:rPr>
              <w:t>Plan de Atención de los Procesos Expropiatorios en el Juzgado Contencioso Administrativo y Civil Hacienda</w:t>
            </w:r>
          </w:p>
        </w:tc>
        <w:tc>
          <w:tcPr>
            <w:tcW w:w="1877" w:type="dxa"/>
            <w:tcBorders>
              <w:top w:val="nil"/>
              <w:left w:val="single" w:sz="4" w:space="0" w:color="auto"/>
              <w:bottom w:val="single" w:sz="4" w:space="0" w:color="auto"/>
              <w:right w:val="single" w:sz="4" w:space="0" w:color="auto"/>
            </w:tcBorders>
            <w:shd w:val="clear" w:color="auto" w:fill="auto"/>
            <w:vAlign w:val="center"/>
            <w:hideMark/>
          </w:tcPr>
          <w:p w14:paraId="0EE5713E" w14:textId="77777777" w:rsidR="00555E82" w:rsidRPr="00A723F2" w:rsidRDefault="00555E82" w:rsidP="00F400D6">
            <w:pPr>
              <w:spacing w:after="0" w:line="240" w:lineRule="auto"/>
              <w:jc w:val="center"/>
              <w:rPr>
                <w:rFonts w:ascii="Book Antiqua" w:eastAsia="Times New Roman" w:hAnsi="Book Antiqua" w:cs="Calibri"/>
                <w:b/>
                <w:bCs/>
                <w:color w:val="000000" w:themeColor="text1"/>
                <w:sz w:val="20"/>
                <w:szCs w:val="20"/>
                <w:lang w:eastAsia="es-CR"/>
              </w:rPr>
            </w:pPr>
            <w:r w:rsidRPr="00A723F2">
              <w:rPr>
                <w:rFonts w:ascii="Book Antiqua" w:eastAsia="Times New Roman" w:hAnsi="Book Antiqua" w:cs="Calibri"/>
                <w:b/>
                <w:bCs/>
                <w:color w:val="000000" w:themeColor="text1"/>
                <w:sz w:val="20"/>
                <w:szCs w:val="20"/>
                <w:lang w:eastAsia="es-CR"/>
              </w:rPr>
              <w:t>58%</w:t>
            </w:r>
          </w:p>
        </w:tc>
        <w:tc>
          <w:tcPr>
            <w:tcW w:w="156" w:type="dxa"/>
            <w:vAlign w:val="center"/>
            <w:hideMark/>
          </w:tcPr>
          <w:p w14:paraId="13360E60" w14:textId="77777777" w:rsidR="00555E82" w:rsidRPr="003C0B0F" w:rsidRDefault="00555E82" w:rsidP="00F400D6">
            <w:pPr>
              <w:spacing w:after="0" w:line="240" w:lineRule="auto"/>
              <w:rPr>
                <w:rFonts w:ascii="Times New Roman" w:eastAsia="Times New Roman" w:hAnsi="Times New Roman" w:cs="Times New Roman"/>
                <w:sz w:val="20"/>
                <w:szCs w:val="20"/>
                <w:lang w:eastAsia="es-CR"/>
              </w:rPr>
            </w:pPr>
          </w:p>
        </w:tc>
      </w:tr>
    </w:tbl>
    <w:p w14:paraId="7645731C" w14:textId="77777777" w:rsidR="00555E82" w:rsidRDefault="00555E82" w:rsidP="00555E82">
      <w:pPr>
        <w:spacing w:after="120"/>
        <w:rPr>
          <w:rFonts w:ascii="Book Antiqua" w:eastAsia="Wingdings" w:hAnsi="Book Antiqua"/>
          <w:sz w:val="20"/>
          <w:szCs w:val="20"/>
          <w:lang w:eastAsia="ko-KR"/>
        </w:rPr>
      </w:pPr>
      <w:r w:rsidRPr="00BA1484">
        <w:rPr>
          <w:rFonts w:ascii="Book Antiqua" w:eastAsia="Wingdings" w:hAnsi="Book Antiqua"/>
          <w:b/>
          <w:bCs/>
          <w:sz w:val="20"/>
          <w:szCs w:val="20"/>
          <w:lang w:eastAsia="ko-KR"/>
        </w:rPr>
        <w:t>Fuente:</w:t>
      </w:r>
      <w:r w:rsidRPr="00BA1484">
        <w:rPr>
          <w:rFonts w:ascii="Book Antiqua" w:eastAsia="Wingdings" w:hAnsi="Book Antiqua"/>
          <w:sz w:val="20"/>
          <w:szCs w:val="20"/>
          <w:lang w:eastAsia="ko-KR"/>
        </w:rPr>
        <w:t xml:space="preserve"> Elaboración propia con información extraída de los informes de avance de cada uno de los proyectos operativos. </w:t>
      </w:r>
    </w:p>
    <w:p w14:paraId="615DF5A0" w14:textId="77777777" w:rsidR="00555E82" w:rsidRDefault="00555E82" w:rsidP="00555E82">
      <w:pPr>
        <w:spacing w:after="120"/>
        <w:rPr>
          <w:rFonts w:ascii="Book Antiqua" w:eastAsia="Wingdings" w:hAnsi="Book Antiqua"/>
          <w:sz w:val="20"/>
          <w:szCs w:val="20"/>
          <w:lang w:eastAsia="ko-KR"/>
        </w:rPr>
      </w:pPr>
    </w:p>
    <w:p w14:paraId="240CDE98" w14:textId="2806CC20" w:rsidR="00E75258" w:rsidRPr="00E75258" w:rsidRDefault="00E75258" w:rsidP="00E75258">
      <w:pPr>
        <w:pStyle w:val="Ttulo2"/>
        <w:rPr>
          <w:rFonts w:ascii="Book Antiqua" w:hAnsi="Book Antiqua"/>
          <w:b/>
          <w:bCs/>
          <w:color w:val="auto"/>
          <w:sz w:val="24"/>
          <w:szCs w:val="24"/>
          <w:lang w:eastAsia="ko-KR"/>
        </w:rPr>
      </w:pPr>
      <w:bookmarkStart w:id="106" w:name="_Toc138770853"/>
      <w:r w:rsidRPr="00E75258">
        <w:rPr>
          <w:rFonts w:ascii="Book Antiqua" w:hAnsi="Book Antiqua"/>
          <w:b/>
          <w:bCs/>
          <w:color w:val="auto"/>
          <w:sz w:val="24"/>
          <w:szCs w:val="24"/>
          <w:lang w:eastAsia="ko-KR"/>
        </w:rPr>
        <w:t>3.2 Seguimiento a labores operativas con rendimiento por debajo de 80%</w:t>
      </w:r>
      <w:bookmarkEnd w:id="106"/>
    </w:p>
    <w:p w14:paraId="3456CB25" w14:textId="77777777" w:rsidR="00E75258" w:rsidRPr="00E75258" w:rsidRDefault="00E75258" w:rsidP="00E75258">
      <w:pPr>
        <w:rPr>
          <w:lang w:eastAsia="ko-KR"/>
        </w:rPr>
      </w:pPr>
    </w:p>
    <w:p w14:paraId="6CA4F016" w14:textId="4304A3CE" w:rsidR="00555E82" w:rsidRDefault="00555E82" w:rsidP="00555E82">
      <w:pPr>
        <w:spacing w:after="120"/>
        <w:jc w:val="both"/>
        <w:rPr>
          <w:rFonts w:ascii="Book Antiqua" w:eastAsia="Wingdings" w:hAnsi="Book Antiqua"/>
          <w:sz w:val="24"/>
          <w:szCs w:val="24"/>
          <w:lang w:eastAsia="ko-KR"/>
        </w:rPr>
      </w:pPr>
      <w:r>
        <w:rPr>
          <w:rFonts w:ascii="Book Antiqua" w:eastAsia="Wingdings" w:hAnsi="Book Antiqua"/>
          <w:sz w:val="24"/>
          <w:szCs w:val="24"/>
          <w:lang w:eastAsia="ko-KR"/>
        </w:rPr>
        <w:t xml:space="preserve">Considerando los resultados obtenidos, se tiene que 7 proyectos obtuvieron un rendimiento </w:t>
      </w:r>
      <w:r w:rsidRPr="009B53C4">
        <w:rPr>
          <w:rFonts w:ascii="Book Antiqua" w:hAnsi="Book Antiqua"/>
          <w:sz w:val="24"/>
          <w:szCs w:val="24"/>
        </w:rPr>
        <w:t>por debajo del 8</w:t>
      </w:r>
      <w:r>
        <w:rPr>
          <w:rFonts w:ascii="Book Antiqua" w:hAnsi="Book Antiqua"/>
          <w:sz w:val="24"/>
          <w:szCs w:val="24"/>
        </w:rPr>
        <w:t>0</w:t>
      </w:r>
      <w:r w:rsidRPr="009B53C4">
        <w:rPr>
          <w:rFonts w:ascii="Book Antiqua" w:hAnsi="Book Antiqua"/>
          <w:sz w:val="24"/>
          <w:szCs w:val="24"/>
        </w:rPr>
        <w:t>%</w:t>
      </w:r>
      <w:r>
        <w:rPr>
          <w:rFonts w:ascii="Book Antiqua" w:hAnsi="Book Antiqua"/>
          <w:sz w:val="24"/>
          <w:szCs w:val="24"/>
        </w:rPr>
        <w:t>, de esta forma, a</w:t>
      </w:r>
      <w:r>
        <w:rPr>
          <w:rFonts w:ascii="Book Antiqua" w:eastAsia="Wingdings" w:hAnsi="Book Antiqua"/>
          <w:sz w:val="24"/>
          <w:szCs w:val="24"/>
          <w:lang w:eastAsia="ko-KR"/>
        </w:rPr>
        <w:t xml:space="preserve"> continuación, se muestran las justificaciones brindadas por las oficinas para cada uno de estos casos:  </w:t>
      </w:r>
    </w:p>
    <w:tbl>
      <w:tblPr>
        <w:tblW w:w="5000" w:type="pct"/>
        <w:jc w:val="center"/>
        <w:tblCellMar>
          <w:left w:w="0" w:type="dxa"/>
          <w:right w:w="0" w:type="dxa"/>
        </w:tblCellMar>
        <w:tblLook w:val="04A0" w:firstRow="1" w:lastRow="0" w:firstColumn="1" w:lastColumn="0" w:noHBand="0" w:noVBand="1"/>
      </w:tblPr>
      <w:tblGrid>
        <w:gridCol w:w="1542"/>
        <w:gridCol w:w="615"/>
        <w:gridCol w:w="1235"/>
        <w:gridCol w:w="900"/>
        <w:gridCol w:w="764"/>
        <w:gridCol w:w="3854"/>
      </w:tblGrid>
      <w:tr w:rsidR="003C2EFD" w:rsidRPr="003C2EFD" w14:paraId="6A089E1C" w14:textId="77777777" w:rsidTr="003C2EFD">
        <w:trPr>
          <w:trHeight w:val="781"/>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1231B08E" w14:textId="15670DB3" w:rsidR="003C2EFD" w:rsidRPr="003C2EFD" w:rsidRDefault="007B6F76" w:rsidP="003C2EFD">
            <w:pPr>
              <w:spacing w:after="0" w:line="240" w:lineRule="auto"/>
              <w:jc w:val="center"/>
              <w:rPr>
                <w:rFonts w:ascii="Book Antiqua" w:eastAsia="Calibri" w:hAnsi="Book Antiqua" w:cs="Calibri"/>
                <w:color w:val="FFFFFF" w:themeColor="background1"/>
                <w:sz w:val="12"/>
                <w:szCs w:val="12"/>
                <w:lang w:eastAsia="es-C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A7495E">
              <w:rPr>
                <w:rFonts w:ascii="Book Antiqua" w:hAnsi="Book Antiqua" w:cs="&amp;quot"/>
                <w:b/>
                <w:sz w:val="24"/>
                <w:szCs w:val="24"/>
              </w:rPr>
              <w:lastRenderedPageBreak/>
              <w:t xml:space="preserve">Tabla </w:t>
            </w:r>
            <w:r w:rsidRPr="00A7495E">
              <w:rPr>
                <w:rFonts w:ascii="Book Antiqua" w:hAnsi="Book Antiqua" w:cs="&amp;quot"/>
                <w:b/>
                <w:i/>
                <w:iCs/>
                <w:sz w:val="24"/>
                <w:szCs w:val="24"/>
              </w:rPr>
              <w:fldChar w:fldCharType="begin"/>
            </w:r>
            <w:r w:rsidRPr="00A7495E">
              <w:rPr>
                <w:rFonts w:ascii="Book Antiqua" w:hAnsi="Book Antiqua" w:cs="&amp;quot"/>
                <w:b/>
                <w:sz w:val="24"/>
                <w:szCs w:val="24"/>
              </w:rPr>
              <w:instrText xml:space="preserve"> SEQ Tabla \* ARABIC </w:instrText>
            </w:r>
            <w:r w:rsidRPr="00A7495E">
              <w:rPr>
                <w:rFonts w:ascii="Book Antiqua" w:hAnsi="Book Antiqua" w:cs="&amp;quot"/>
                <w:b/>
                <w:i/>
                <w:iCs/>
                <w:sz w:val="24"/>
                <w:szCs w:val="24"/>
              </w:rPr>
              <w:fldChar w:fldCharType="separate"/>
            </w:r>
            <w:r w:rsidR="000A3123">
              <w:rPr>
                <w:rFonts w:ascii="Book Antiqua" w:hAnsi="Book Antiqua" w:cs="&amp;quot"/>
                <w:b/>
                <w:noProof/>
                <w:sz w:val="24"/>
                <w:szCs w:val="24"/>
              </w:rPr>
              <w:t>32</w:t>
            </w:r>
            <w:r w:rsidRPr="00A7495E">
              <w:rPr>
                <w:rFonts w:ascii="Book Antiqua" w:hAnsi="Book Antiqua" w:cs="&amp;quot"/>
                <w:b/>
                <w:i/>
                <w:iCs/>
                <w:sz w:val="24"/>
                <w:szCs w:val="24"/>
              </w:rPr>
              <w:fldChar w:fldCharType="end"/>
            </w:r>
            <w:r>
              <w:rPr>
                <w:rFonts w:ascii="Book Antiqua" w:hAnsi="Book Antiqua" w:cs="&amp;quot"/>
                <w:b/>
                <w:i/>
                <w:iCs/>
                <w:sz w:val="24"/>
                <w:szCs w:val="24"/>
              </w:rPr>
              <w:t xml:space="preserve"> </w:t>
            </w:r>
            <w:r w:rsidR="00555E82" w:rsidRPr="00E75258">
              <w:rPr>
                <w:rFonts w:ascii="Book Antiqua" w:hAnsi="Book Antiqua"/>
                <w:b/>
                <w:bCs/>
                <w:sz w:val="24"/>
                <w:szCs w:val="24"/>
                <w:lang w:eastAsia="ko-KR"/>
              </w:rPr>
              <w:t xml:space="preserve"> Justificación de labores operativas con un rendimiento de cumplimiento general por debajo del 80%</w:t>
            </w:r>
            <w:r w:rsidR="003C2EFD" w:rsidRPr="003C2EFD">
              <w:rPr>
                <w:rFonts w:ascii="Book Antiqua" w:eastAsia="Calibri" w:hAnsi="Book Antiqua" w:cs="Calibri"/>
                <w:color w:val="FFFFFF" w:themeColor="background1"/>
                <w:sz w:val="12"/>
                <w:szCs w:val="12"/>
                <w:lang w:eastAsia="es-C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Oficina líder</w:t>
            </w:r>
          </w:p>
        </w:tc>
        <w:tc>
          <w:tcPr>
            <w:tcW w:w="326" w:type="pct"/>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174EF6E7" w14:textId="19157761" w:rsidR="003C2EFD" w:rsidRPr="003C2EFD" w:rsidRDefault="003C2EFD" w:rsidP="003C2EFD">
            <w:pPr>
              <w:spacing w:after="0" w:line="240" w:lineRule="auto"/>
              <w:jc w:val="center"/>
              <w:rPr>
                <w:rFonts w:ascii="Book Antiqua" w:eastAsia="Calibri" w:hAnsi="Book Antiqua" w:cs="Calibri"/>
                <w:color w:val="FFFFFF" w:themeColor="background1"/>
                <w:sz w:val="12"/>
                <w:szCs w:val="12"/>
                <w:lang w:eastAsia="es-C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3C2EFD">
              <w:rPr>
                <w:rFonts w:ascii="Book Antiqua" w:eastAsia="Calibri" w:hAnsi="Book Antiqua" w:cs="Calibri"/>
                <w:color w:val="FFFFFF" w:themeColor="background1"/>
                <w:sz w:val="12"/>
                <w:szCs w:val="12"/>
                <w:lang w:eastAsia="es-C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Código</w:t>
            </w:r>
          </w:p>
        </w:tc>
        <w:tc>
          <w:tcPr>
            <w:tcW w:w="652" w:type="pct"/>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4B62C20D" w14:textId="67918653" w:rsidR="003C2EFD" w:rsidRPr="003C2EFD" w:rsidRDefault="003C2EFD" w:rsidP="003C2EFD">
            <w:pPr>
              <w:spacing w:after="0" w:line="240" w:lineRule="auto"/>
              <w:jc w:val="center"/>
              <w:rPr>
                <w:rFonts w:ascii="Book Antiqua" w:eastAsia="Calibri" w:hAnsi="Book Antiqua" w:cs="Calibri"/>
                <w:color w:val="FFFFFF" w:themeColor="background1"/>
                <w:sz w:val="12"/>
                <w:szCs w:val="12"/>
                <w:lang w:eastAsia="es-C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3C2EFD">
              <w:rPr>
                <w:rFonts w:ascii="Book Antiqua" w:eastAsia="Calibri" w:hAnsi="Book Antiqua" w:cs="Calibri"/>
                <w:color w:val="FFFFFF" w:themeColor="background1"/>
                <w:sz w:val="12"/>
                <w:szCs w:val="12"/>
                <w:lang w:eastAsia="es-C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Nombre Proyecto</w:t>
            </w:r>
          </w:p>
        </w:tc>
        <w:tc>
          <w:tcPr>
            <w:tcW w:w="1000" w:type="pct"/>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26BB472A" w14:textId="54DAFFEF" w:rsidR="003C2EFD" w:rsidRPr="003C2EFD" w:rsidRDefault="003C2EFD" w:rsidP="003C2EFD">
            <w:pPr>
              <w:spacing w:after="0" w:line="240" w:lineRule="auto"/>
              <w:jc w:val="center"/>
              <w:rPr>
                <w:rFonts w:ascii="Book Antiqua" w:eastAsia="Calibri" w:hAnsi="Book Antiqua" w:cs="Calibri"/>
                <w:color w:val="FFFFFF" w:themeColor="background1"/>
                <w:sz w:val="12"/>
                <w:szCs w:val="12"/>
                <w:lang w:eastAsia="es-C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3C2EFD">
              <w:rPr>
                <w:rFonts w:ascii="Book Antiqua" w:eastAsia="Calibri" w:hAnsi="Book Antiqua" w:cs="Calibri"/>
                <w:color w:val="FFFFFF" w:themeColor="background1"/>
                <w:sz w:val="12"/>
                <w:szCs w:val="12"/>
                <w:lang w:eastAsia="es-C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Indicador</w:t>
            </w:r>
          </w:p>
        </w:tc>
        <w:tc>
          <w:tcPr>
            <w:tcW w:w="312" w:type="pct"/>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79A5D2F2" w14:textId="70994F3C" w:rsidR="003C2EFD" w:rsidRPr="003C2EFD" w:rsidRDefault="003C2EFD" w:rsidP="003C2EFD">
            <w:pPr>
              <w:spacing w:after="0" w:line="240" w:lineRule="auto"/>
              <w:jc w:val="center"/>
              <w:rPr>
                <w:rFonts w:ascii="Book Antiqua" w:eastAsia="Calibri" w:hAnsi="Book Antiqua" w:cs="Calibri"/>
                <w:color w:val="FFFFFF" w:themeColor="background1"/>
                <w:sz w:val="12"/>
                <w:szCs w:val="12"/>
                <w:lang w:eastAsia="es-C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3C2EFD">
              <w:rPr>
                <w:rFonts w:ascii="Book Antiqua" w:eastAsia="Calibri" w:hAnsi="Book Antiqua" w:cs="Calibri"/>
                <w:color w:val="FFFFFF" w:themeColor="background1"/>
                <w:sz w:val="12"/>
                <w:szCs w:val="12"/>
                <w:lang w:eastAsia="es-C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Rendimiento del Proyecto</w:t>
            </w:r>
          </w:p>
        </w:tc>
        <w:tc>
          <w:tcPr>
            <w:tcW w:w="2279" w:type="pct"/>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699A930F" w14:textId="4481A1B7" w:rsidR="003C2EFD" w:rsidRPr="003C2EFD" w:rsidRDefault="003C2EFD" w:rsidP="003C2EFD">
            <w:pPr>
              <w:spacing w:after="0" w:line="240" w:lineRule="auto"/>
              <w:jc w:val="center"/>
              <w:rPr>
                <w:rFonts w:ascii="Book Antiqua" w:eastAsia="Calibri" w:hAnsi="Book Antiqua" w:cs="Calibri"/>
                <w:color w:val="FFFFFF" w:themeColor="background1"/>
                <w:sz w:val="12"/>
                <w:szCs w:val="12"/>
                <w:lang w:eastAsia="es-C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3C2EFD">
              <w:rPr>
                <w:rFonts w:ascii="Book Antiqua" w:eastAsia="Calibri" w:hAnsi="Book Antiqua" w:cs="Calibri"/>
                <w:color w:val="FFFFFF" w:themeColor="background1"/>
                <w:sz w:val="12"/>
                <w:szCs w:val="12"/>
                <w:lang w:eastAsia="es-C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Justificación</w:t>
            </w:r>
          </w:p>
        </w:tc>
      </w:tr>
      <w:tr w:rsidR="003C2EFD" w:rsidRPr="003C2EFD" w14:paraId="64310146" w14:textId="77777777" w:rsidTr="003C2EFD">
        <w:trPr>
          <w:trHeight w:val="1330"/>
          <w:jc w:val="center"/>
        </w:trPr>
        <w:tc>
          <w:tcPr>
            <w:tcW w:w="431"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7A67515" w14:textId="77777777" w:rsidR="003C2EFD" w:rsidRPr="003C2EFD" w:rsidRDefault="003C2EFD" w:rsidP="003C2EFD">
            <w:pPr>
              <w:spacing w:after="0" w:line="240" w:lineRule="auto"/>
              <w:jc w:val="both"/>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Dirección Jurídica</w:t>
            </w:r>
          </w:p>
        </w:tc>
        <w:tc>
          <w:tcPr>
            <w:tcW w:w="32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7E68975" w14:textId="77777777" w:rsidR="003C2EFD" w:rsidRPr="003C2EFD" w:rsidRDefault="003C2EFD" w:rsidP="003C2EFD">
            <w:pPr>
              <w:spacing w:after="0" w:line="240" w:lineRule="auto"/>
              <w:jc w:val="both"/>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1331-DJ-P03</w:t>
            </w:r>
          </w:p>
        </w:tc>
        <w:tc>
          <w:tcPr>
            <w:tcW w:w="65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2343DBF" w14:textId="77777777" w:rsidR="003C2EFD" w:rsidRPr="003C2EFD" w:rsidRDefault="003C2EFD" w:rsidP="003C2EFD">
            <w:pPr>
              <w:spacing w:after="0" w:line="240" w:lineRule="auto"/>
              <w:jc w:val="both"/>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Plan de trabajo para la atención de solicitudes de criterios, informes y estudios de los órganos superiores.</w:t>
            </w:r>
          </w:p>
        </w:tc>
        <w:tc>
          <w:tcPr>
            <w:tcW w:w="100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931A620" w14:textId="77777777" w:rsidR="003C2EFD" w:rsidRPr="003C2EFD" w:rsidRDefault="003C2EFD" w:rsidP="003C2EFD">
            <w:pPr>
              <w:spacing w:after="0" w:line="240" w:lineRule="auto"/>
              <w:jc w:val="both"/>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Emisión de criterios, informes y estudios jurídicos resueltos, dependiendo del nivel de complejidad de los asuntos que son solicitados por los órganos superiores necesarios para la toma de decisiones.</w:t>
            </w:r>
          </w:p>
        </w:tc>
        <w:tc>
          <w:tcPr>
            <w:tcW w:w="31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0BED604" w14:textId="77777777" w:rsidR="003C2EFD" w:rsidRPr="003C2EFD" w:rsidRDefault="003C2EFD" w:rsidP="003C2EFD">
            <w:pPr>
              <w:spacing w:after="0" w:line="240" w:lineRule="auto"/>
              <w:jc w:val="center"/>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56%</w:t>
            </w:r>
          </w:p>
        </w:tc>
        <w:tc>
          <w:tcPr>
            <w:tcW w:w="2279"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42540BA" w14:textId="3C25B921" w:rsidR="003C2EFD" w:rsidRPr="003C2EFD" w:rsidRDefault="003C2EFD" w:rsidP="003C2EFD">
            <w:pPr>
              <w:spacing w:after="0" w:line="240" w:lineRule="auto"/>
              <w:jc w:val="both"/>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El porcentaje que se observa obedece a que los temas resueltos en el periodo revisten de gran complejidad y por ende de un mayor plazo para su ejecución. Por tras parte, es importante considerar que se inició labores a partir del 9 de enero del 2023; además, el responsable de la ejecución del proyecto estuvo de vacaciones del 18 al 3 de febrero del 2023.</w:t>
            </w:r>
          </w:p>
        </w:tc>
      </w:tr>
      <w:tr w:rsidR="003C2EFD" w:rsidRPr="003C2EFD" w14:paraId="1B5C4B12" w14:textId="77777777" w:rsidTr="003C2EFD">
        <w:trPr>
          <w:trHeight w:val="1187"/>
          <w:jc w:val="center"/>
        </w:trPr>
        <w:tc>
          <w:tcPr>
            <w:tcW w:w="431"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70AD53D" w14:textId="77777777" w:rsidR="003C2EFD" w:rsidRPr="003C2EFD" w:rsidRDefault="003C2EFD" w:rsidP="003C2EFD">
            <w:pPr>
              <w:spacing w:after="0" w:line="240" w:lineRule="auto"/>
              <w:jc w:val="both"/>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Centro de Apoyo Coordinación y Mejoramiento Función Jurisdiccional</w:t>
            </w:r>
          </w:p>
        </w:tc>
        <w:tc>
          <w:tcPr>
            <w:tcW w:w="32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5A353D7" w14:textId="77777777" w:rsidR="003C2EFD" w:rsidRPr="003C2EFD" w:rsidRDefault="003C2EFD" w:rsidP="003C2EFD">
            <w:pPr>
              <w:spacing w:after="0" w:line="240" w:lineRule="auto"/>
              <w:jc w:val="both"/>
              <w:rPr>
                <w:rFonts w:ascii="Book Antiqua" w:eastAsia="Calibri" w:hAnsi="Book Antiqua" w:cs="Calibri"/>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1324-CACMFJ-P04</w:t>
            </w:r>
          </w:p>
        </w:tc>
        <w:tc>
          <w:tcPr>
            <w:tcW w:w="65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65D407F0" w14:textId="77777777" w:rsidR="003C2EFD" w:rsidRPr="003C2EFD" w:rsidRDefault="003C2EFD" w:rsidP="003C2EFD">
            <w:pPr>
              <w:spacing w:after="0" w:line="240" w:lineRule="auto"/>
              <w:jc w:val="both"/>
              <w:rPr>
                <w:rFonts w:ascii="Book Antiqua" w:eastAsia="Calibri" w:hAnsi="Book Antiqua" w:cs="Calibri"/>
                <w:color w:val="000000"/>
                <w:sz w:val="12"/>
                <w:szCs w:val="12"/>
                <w:lang w:eastAsia="es-CR"/>
                <w14:ligatures w14:val="standardContextual"/>
              </w:rPr>
            </w:pPr>
          </w:p>
          <w:p w14:paraId="1241822B" w14:textId="77777777" w:rsidR="003C2EFD" w:rsidRPr="003C2EFD" w:rsidRDefault="003C2EFD" w:rsidP="003C2EFD">
            <w:pPr>
              <w:spacing w:after="0" w:line="240" w:lineRule="auto"/>
              <w:jc w:val="both"/>
              <w:rPr>
                <w:rFonts w:ascii="Book Antiqua" w:eastAsia="Calibri" w:hAnsi="Book Antiqua" w:cs="Calibri"/>
                <w:color w:val="000000"/>
                <w:sz w:val="12"/>
                <w:szCs w:val="12"/>
                <w:lang w:eastAsia="es-CR"/>
                <w14:ligatures w14:val="standardContextual"/>
              </w:rPr>
            </w:pPr>
          </w:p>
          <w:p w14:paraId="762B6863" w14:textId="77777777" w:rsidR="003C2EFD" w:rsidRPr="003C2EFD" w:rsidRDefault="003C2EFD" w:rsidP="003C2EFD">
            <w:pPr>
              <w:spacing w:after="0" w:line="240" w:lineRule="auto"/>
              <w:jc w:val="both"/>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Planes de Descongestionamiento de materia Notarial</w:t>
            </w:r>
          </w:p>
        </w:tc>
        <w:tc>
          <w:tcPr>
            <w:tcW w:w="100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A5083B7" w14:textId="77777777" w:rsidR="003C2EFD" w:rsidRPr="003C2EFD" w:rsidRDefault="003C2EFD" w:rsidP="003C2EFD">
            <w:pPr>
              <w:spacing w:after="0" w:line="240" w:lineRule="auto"/>
              <w:jc w:val="both"/>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Cantidad de Sentencias dictadas por Juez/Jueza</w:t>
            </w:r>
          </w:p>
        </w:tc>
        <w:tc>
          <w:tcPr>
            <w:tcW w:w="31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DD9F717" w14:textId="77777777" w:rsidR="003C2EFD" w:rsidRPr="003C2EFD" w:rsidRDefault="003C2EFD" w:rsidP="003C2EFD">
            <w:pPr>
              <w:spacing w:after="0" w:line="240" w:lineRule="auto"/>
              <w:jc w:val="center"/>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72%</w:t>
            </w:r>
          </w:p>
        </w:tc>
        <w:tc>
          <w:tcPr>
            <w:tcW w:w="2279"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tcPr>
          <w:p w14:paraId="2DE9380D" w14:textId="23830C70" w:rsidR="003C2EFD" w:rsidRPr="003C2EFD" w:rsidRDefault="003C2EFD" w:rsidP="003C2EFD">
            <w:pPr>
              <w:spacing w:after="0" w:line="240" w:lineRule="auto"/>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 xml:space="preserve">El atraso en este proyecto obedece principalmente al bajo rendimiento de una de las plazas de Juez 3, el cual no alcanzó las metas establecidas, tal como se muestra a continuación: </w:t>
            </w:r>
          </w:p>
          <w:p w14:paraId="67180697" w14:textId="77777777" w:rsidR="003C2EFD" w:rsidRPr="003C2EFD" w:rsidRDefault="003C2EFD" w:rsidP="003C2EFD">
            <w:pPr>
              <w:spacing w:after="0" w:line="240" w:lineRule="auto"/>
              <w:rPr>
                <w:rFonts w:ascii="Book Antiqua" w:eastAsia="Calibri" w:hAnsi="Book Antiqua" w:cs="Calibri"/>
                <w:color w:val="000000"/>
                <w:sz w:val="12"/>
                <w:szCs w:val="12"/>
                <w:lang w:eastAsia="es-CR"/>
                <w14:ligatures w14:val="standardContextual"/>
              </w:rPr>
            </w:pPr>
          </w:p>
          <w:tbl>
            <w:tblPr>
              <w:tblW w:w="3975" w:type="dxa"/>
              <w:tblCellMar>
                <w:left w:w="0" w:type="dxa"/>
                <w:right w:w="0" w:type="dxa"/>
              </w:tblCellMar>
              <w:tblLook w:val="04A0" w:firstRow="1" w:lastRow="0" w:firstColumn="1" w:lastColumn="0" w:noHBand="0" w:noVBand="1"/>
            </w:tblPr>
            <w:tblGrid>
              <w:gridCol w:w="1291"/>
              <w:gridCol w:w="561"/>
              <w:gridCol w:w="379"/>
              <w:gridCol w:w="461"/>
              <w:gridCol w:w="395"/>
              <w:gridCol w:w="354"/>
              <w:gridCol w:w="534"/>
            </w:tblGrid>
            <w:tr w:rsidR="003C2EFD" w:rsidRPr="003C2EFD" w14:paraId="3D005046" w14:textId="77777777">
              <w:trPr>
                <w:trHeight w:val="477"/>
              </w:trPr>
              <w:tc>
                <w:tcPr>
                  <w:tcW w:w="1482" w:type="dxa"/>
                  <w:tcBorders>
                    <w:top w:val="single" w:sz="8" w:space="0" w:color="auto"/>
                    <w:left w:val="single" w:sz="8" w:space="0" w:color="auto"/>
                    <w:bottom w:val="single" w:sz="8" w:space="0" w:color="auto"/>
                    <w:right w:val="single" w:sz="8" w:space="0" w:color="auto"/>
                  </w:tcBorders>
                  <w:shd w:val="clear" w:color="auto" w:fill="C6E0B4"/>
                  <w:tcMar>
                    <w:top w:w="0" w:type="dxa"/>
                    <w:left w:w="70" w:type="dxa"/>
                    <w:bottom w:w="0" w:type="dxa"/>
                    <w:right w:w="70" w:type="dxa"/>
                  </w:tcMar>
                  <w:vAlign w:val="center"/>
                  <w:hideMark/>
                </w:tcPr>
                <w:p w14:paraId="1FC1ADB8" w14:textId="77777777" w:rsidR="003C2EFD" w:rsidRPr="003C2EFD" w:rsidRDefault="003C2EFD" w:rsidP="003C2EFD">
                  <w:pPr>
                    <w:spacing w:after="0" w:line="240" w:lineRule="auto"/>
                    <w:jc w:val="center"/>
                    <w:rPr>
                      <w:rFonts w:ascii="Calibri" w:eastAsia="Calibri" w:hAnsi="Calibri" w:cs="Calibri"/>
                      <w:color w:val="000000"/>
                      <w:sz w:val="10"/>
                      <w:szCs w:val="10"/>
                      <w:lang w:eastAsia="es-CR"/>
                      <w14:ligatures w14:val="standardContextual"/>
                    </w:rPr>
                  </w:pPr>
                  <w:r w:rsidRPr="003C2EFD">
                    <w:rPr>
                      <w:rFonts w:ascii="Calibri" w:eastAsia="Calibri" w:hAnsi="Calibri" w:cs="Calibri"/>
                      <w:color w:val="000000"/>
                      <w:sz w:val="10"/>
                      <w:szCs w:val="10"/>
                      <w:lang w:eastAsia="es-CR"/>
                      <w14:ligatures w14:val="standardContextual"/>
                    </w:rPr>
                    <w:t xml:space="preserve">Indicador </w:t>
                  </w:r>
                </w:p>
              </w:tc>
              <w:tc>
                <w:tcPr>
                  <w:tcW w:w="463" w:type="dxa"/>
                  <w:tcBorders>
                    <w:top w:val="single" w:sz="8" w:space="0" w:color="auto"/>
                    <w:left w:val="nil"/>
                    <w:bottom w:val="single" w:sz="8" w:space="0" w:color="auto"/>
                    <w:right w:val="single" w:sz="8" w:space="0" w:color="auto"/>
                  </w:tcBorders>
                  <w:shd w:val="clear" w:color="auto" w:fill="C6E0B4"/>
                  <w:tcMar>
                    <w:top w:w="0" w:type="dxa"/>
                    <w:left w:w="70" w:type="dxa"/>
                    <w:bottom w:w="0" w:type="dxa"/>
                    <w:right w:w="70" w:type="dxa"/>
                  </w:tcMar>
                  <w:vAlign w:val="center"/>
                  <w:hideMark/>
                </w:tcPr>
                <w:p w14:paraId="64321DAB" w14:textId="77777777" w:rsidR="003C2EFD" w:rsidRPr="003C2EFD" w:rsidRDefault="003C2EFD" w:rsidP="003C2EFD">
                  <w:pPr>
                    <w:spacing w:after="0" w:line="240" w:lineRule="auto"/>
                    <w:jc w:val="center"/>
                    <w:rPr>
                      <w:rFonts w:ascii="Calibri" w:eastAsia="Calibri" w:hAnsi="Calibri" w:cs="Calibri"/>
                      <w:color w:val="000000"/>
                      <w:sz w:val="10"/>
                      <w:szCs w:val="10"/>
                      <w:lang w:eastAsia="es-CR"/>
                      <w14:ligatures w14:val="standardContextual"/>
                    </w:rPr>
                  </w:pPr>
                  <w:r w:rsidRPr="003C2EFD">
                    <w:rPr>
                      <w:rFonts w:ascii="Calibri" w:eastAsia="Calibri" w:hAnsi="Calibri" w:cs="Calibri"/>
                      <w:color w:val="000000"/>
                      <w:sz w:val="10"/>
                      <w:szCs w:val="10"/>
                      <w:lang w:eastAsia="es-CR"/>
                      <w14:ligatures w14:val="standardContextual"/>
                    </w:rPr>
                    <w:t>Valor Mensual propuesto</w:t>
                  </w:r>
                </w:p>
              </w:tc>
              <w:tc>
                <w:tcPr>
                  <w:tcW w:w="359" w:type="dxa"/>
                  <w:tcBorders>
                    <w:top w:val="single" w:sz="8" w:space="0" w:color="auto"/>
                    <w:left w:val="nil"/>
                    <w:bottom w:val="single" w:sz="8" w:space="0" w:color="auto"/>
                    <w:right w:val="single" w:sz="8" w:space="0" w:color="auto"/>
                  </w:tcBorders>
                  <w:shd w:val="clear" w:color="auto" w:fill="C6E0B4"/>
                  <w:tcMar>
                    <w:top w:w="0" w:type="dxa"/>
                    <w:left w:w="70" w:type="dxa"/>
                    <w:bottom w:w="0" w:type="dxa"/>
                    <w:right w:w="70" w:type="dxa"/>
                  </w:tcMar>
                  <w:vAlign w:val="center"/>
                  <w:hideMark/>
                </w:tcPr>
                <w:p w14:paraId="71A9214E" w14:textId="77777777" w:rsidR="003C2EFD" w:rsidRPr="003C2EFD" w:rsidRDefault="003C2EFD" w:rsidP="003C2EFD">
                  <w:pPr>
                    <w:spacing w:after="0" w:line="240" w:lineRule="auto"/>
                    <w:jc w:val="center"/>
                    <w:rPr>
                      <w:rFonts w:ascii="Calibri" w:eastAsia="Calibri" w:hAnsi="Calibri" w:cs="Calibri"/>
                      <w:color w:val="000000"/>
                      <w:sz w:val="10"/>
                      <w:szCs w:val="10"/>
                      <w:lang w:eastAsia="es-CR"/>
                      <w14:ligatures w14:val="standardContextual"/>
                    </w:rPr>
                  </w:pPr>
                  <w:r w:rsidRPr="003C2EFD">
                    <w:rPr>
                      <w:rFonts w:ascii="Calibri" w:eastAsia="Calibri" w:hAnsi="Calibri" w:cs="Calibri"/>
                      <w:color w:val="000000"/>
                      <w:sz w:val="10"/>
                      <w:szCs w:val="10"/>
                      <w:lang w:eastAsia="es-CR"/>
                      <w14:ligatures w14:val="standardContextual"/>
                    </w:rPr>
                    <w:t>Enero</w:t>
                  </w:r>
                </w:p>
              </w:tc>
              <w:tc>
                <w:tcPr>
                  <w:tcW w:w="456" w:type="dxa"/>
                  <w:tcBorders>
                    <w:top w:val="single" w:sz="8" w:space="0" w:color="auto"/>
                    <w:left w:val="nil"/>
                    <w:bottom w:val="single" w:sz="8" w:space="0" w:color="auto"/>
                    <w:right w:val="single" w:sz="8" w:space="0" w:color="auto"/>
                  </w:tcBorders>
                  <w:shd w:val="clear" w:color="auto" w:fill="C6E0B4"/>
                  <w:tcMar>
                    <w:top w:w="0" w:type="dxa"/>
                    <w:left w:w="70" w:type="dxa"/>
                    <w:bottom w:w="0" w:type="dxa"/>
                    <w:right w:w="70" w:type="dxa"/>
                  </w:tcMar>
                  <w:vAlign w:val="center"/>
                  <w:hideMark/>
                </w:tcPr>
                <w:p w14:paraId="006F94AB" w14:textId="77777777" w:rsidR="003C2EFD" w:rsidRPr="003C2EFD" w:rsidRDefault="003C2EFD" w:rsidP="003C2EFD">
                  <w:pPr>
                    <w:spacing w:after="0" w:line="240" w:lineRule="auto"/>
                    <w:jc w:val="center"/>
                    <w:rPr>
                      <w:rFonts w:ascii="Calibri" w:eastAsia="Calibri" w:hAnsi="Calibri" w:cs="Calibri"/>
                      <w:color w:val="000000"/>
                      <w:sz w:val="10"/>
                      <w:szCs w:val="10"/>
                      <w:lang w:eastAsia="es-CR"/>
                      <w14:ligatures w14:val="standardContextual"/>
                    </w:rPr>
                  </w:pPr>
                  <w:r w:rsidRPr="003C2EFD">
                    <w:rPr>
                      <w:rFonts w:ascii="Calibri" w:eastAsia="Calibri" w:hAnsi="Calibri" w:cs="Calibri"/>
                      <w:color w:val="000000"/>
                      <w:sz w:val="10"/>
                      <w:szCs w:val="10"/>
                      <w:lang w:eastAsia="es-CR"/>
                      <w14:ligatures w14:val="standardContextual"/>
                    </w:rPr>
                    <w:t xml:space="preserve">Febrero </w:t>
                  </w:r>
                </w:p>
              </w:tc>
              <w:tc>
                <w:tcPr>
                  <w:tcW w:w="378" w:type="dxa"/>
                  <w:tcBorders>
                    <w:top w:val="single" w:sz="8" w:space="0" w:color="auto"/>
                    <w:left w:val="nil"/>
                    <w:bottom w:val="single" w:sz="8" w:space="0" w:color="auto"/>
                    <w:right w:val="single" w:sz="8" w:space="0" w:color="auto"/>
                  </w:tcBorders>
                  <w:shd w:val="clear" w:color="auto" w:fill="C6E0B4"/>
                  <w:tcMar>
                    <w:top w:w="0" w:type="dxa"/>
                    <w:left w:w="70" w:type="dxa"/>
                    <w:bottom w:w="0" w:type="dxa"/>
                    <w:right w:w="70" w:type="dxa"/>
                  </w:tcMar>
                  <w:vAlign w:val="center"/>
                  <w:hideMark/>
                </w:tcPr>
                <w:p w14:paraId="53A703D1" w14:textId="77777777" w:rsidR="003C2EFD" w:rsidRPr="003C2EFD" w:rsidRDefault="003C2EFD" w:rsidP="003C2EFD">
                  <w:pPr>
                    <w:spacing w:after="0" w:line="240" w:lineRule="auto"/>
                    <w:jc w:val="center"/>
                    <w:rPr>
                      <w:rFonts w:ascii="Calibri" w:eastAsia="Calibri" w:hAnsi="Calibri" w:cs="Calibri"/>
                      <w:color w:val="000000"/>
                      <w:sz w:val="10"/>
                      <w:szCs w:val="10"/>
                      <w:lang w:eastAsia="es-CR"/>
                      <w14:ligatures w14:val="standardContextual"/>
                    </w:rPr>
                  </w:pPr>
                  <w:r w:rsidRPr="003C2EFD">
                    <w:rPr>
                      <w:rFonts w:ascii="Calibri" w:eastAsia="Calibri" w:hAnsi="Calibri" w:cs="Calibri"/>
                      <w:color w:val="000000"/>
                      <w:sz w:val="10"/>
                      <w:szCs w:val="10"/>
                      <w:lang w:eastAsia="es-CR"/>
                      <w14:ligatures w14:val="standardContextual"/>
                    </w:rPr>
                    <w:t xml:space="preserve">marzo </w:t>
                  </w:r>
                </w:p>
              </w:tc>
              <w:tc>
                <w:tcPr>
                  <w:tcW w:w="302" w:type="dxa"/>
                  <w:tcBorders>
                    <w:top w:val="single" w:sz="8" w:space="0" w:color="auto"/>
                    <w:left w:val="nil"/>
                    <w:bottom w:val="single" w:sz="8" w:space="0" w:color="auto"/>
                    <w:right w:val="single" w:sz="8" w:space="0" w:color="auto"/>
                  </w:tcBorders>
                  <w:shd w:val="clear" w:color="auto" w:fill="C6E0B4"/>
                  <w:tcMar>
                    <w:top w:w="0" w:type="dxa"/>
                    <w:left w:w="70" w:type="dxa"/>
                    <w:bottom w:w="0" w:type="dxa"/>
                    <w:right w:w="70" w:type="dxa"/>
                  </w:tcMar>
                  <w:vAlign w:val="center"/>
                  <w:hideMark/>
                </w:tcPr>
                <w:p w14:paraId="494A3C66" w14:textId="77777777" w:rsidR="003C2EFD" w:rsidRPr="003C2EFD" w:rsidRDefault="003C2EFD" w:rsidP="003C2EFD">
                  <w:pPr>
                    <w:spacing w:after="0" w:line="240" w:lineRule="auto"/>
                    <w:jc w:val="center"/>
                    <w:rPr>
                      <w:rFonts w:ascii="Calibri" w:eastAsia="Calibri" w:hAnsi="Calibri" w:cs="Calibri"/>
                      <w:color w:val="000000"/>
                      <w:sz w:val="10"/>
                      <w:szCs w:val="10"/>
                      <w:lang w:eastAsia="es-CR"/>
                      <w14:ligatures w14:val="standardContextual"/>
                    </w:rPr>
                  </w:pPr>
                  <w:r w:rsidRPr="003C2EFD">
                    <w:rPr>
                      <w:rFonts w:ascii="Calibri" w:eastAsia="Calibri" w:hAnsi="Calibri" w:cs="Calibri"/>
                      <w:color w:val="000000"/>
                      <w:sz w:val="10"/>
                      <w:szCs w:val="10"/>
                      <w:lang w:eastAsia="es-CR"/>
                      <w14:ligatures w14:val="standardContextual"/>
                    </w:rPr>
                    <w:t xml:space="preserve">Abril  </w:t>
                  </w:r>
                </w:p>
              </w:tc>
              <w:tc>
                <w:tcPr>
                  <w:tcW w:w="536" w:type="dxa"/>
                  <w:tcBorders>
                    <w:top w:val="single" w:sz="8" w:space="0" w:color="auto"/>
                    <w:left w:val="nil"/>
                    <w:bottom w:val="single" w:sz="8" w:space="0" w:color="auto"/>
                    <w:right w:val="single" w:sz="8" w:space="0" w:color="auto"/>
                  </w:tcBorders>
                  <w:shd w:val="clear" w:color="auto" w:fill="C6E0B4"/>
                  <w:tcMar>
                    <w:top w:w="0" w:type="dxa"/>
                    <w:left w:w="70" w:type="dxa"/>
                    <w:bottom w:w="0" w:type="dxa"/>
                    <w:right w:w="70" w:type="dxa"/>
                  </w:tcMar>
                  <w:vAlign w:val="center"/>
                  <w:hideMark/>
                </w:tcPr>
                <w:p w14:paraId="3FFBE155" w14:textId="77777777" w:rsidR="003C2EFD" w:rsidRPr="003C2EFD" w:rsidRDefault="003C2EFD" w:rsidP="003C2EFD">
                  <w:pPr>
                    <w:spacing w:after="0" w:line="240" w:lineRule="auto"/>
                    <w:jc w:val="center"/>
                    <w:rPr>
                      <w:rFonts w:ascii="Calibri" w:eastAsia="Calibri" w:hAnsi="Calibri" w:cs="Calibri"/>
                      <w:color w:val="000000"/>
                      <w:sz w:val="10"/>
                      <w:szCs w:val="10"/>
                      <w:lang w:eastAsia="es-CR"/>
                      <w14:ligatures w14:val="standardContextual"/>
                    </w:rPr>
                  </w:pPr>
                  <w:r w:rsidRPr="003C2EFD">
                    <w:rPr>
                      <w:rFonts w:ascii="Calibri" w:eastAsia="Calibri" w:hAnsi="Calibri" w:cs="Calibri"/>
                      <w:color w:val="000000"/>
                      <w:sz w:val="10"/>
                      <w:szCs w:val="10"/>
                      <w:lang w:eastAsia="es-CR"/>
                      <w14:ligatures w14:val="standardContextual"/>
                    </w:rPr>
                    <w:t xml:space="preserve">% Ejecución </w:t>
                  </w:r>
                </w:p>
              </w:tc>
            </w:tr>
            <w:tr w:rsidR="003C2EFD" w:rsidRPr="003C2EFD" w14:paraId="14296072" w14:textId="77777777">
              <w:trPr>
                <w:trHeight w:val="158"/>
              </w:trPr>
              <w:tc>
                <w:tcPr>
                  <w:tcW w:w="14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0145177" w14:textId="77777777" w:rsidR="003C2EFD" w:rsidRPr="003C2EFD" w:rsidRDefault="003C2EFD" w:rsidP="003C2EFD">
                  <w:pPr>
                    <w:spacing w:after="0" w:line="240" w:lineRule="auto"/>
                    <w:rPr>
                      <w:rFonts w:ascii="Book Antiqua" w:eastAsia="Calibri" w:hAnsi="Book Antiqua" w:cs="Calibri"/>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Cantidad de Sentencias dictadas por  Juez/Jueza</w:t>
                  </w:r>
                </w:p>
              </w:tc>
              <w:tc>
                <w:tcPr>
                  <w:tcW w:w="46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686195F" w14:textId="77777777" w:rsidR="003C2EFD" w:rsidRPr="003C2EFD" w:rsidRDefault="003C2EFD" w:rsidP="003C2EFD">
                  <w:pPr>
                    <w:spacing w:after="0" w:line="240" w:lineRule="auto"/>
                    <w:jc w:val="center"/>
                    <w:rPr>
                      <w:rFonts w:ascii="Book Antiqua" w:eastAsia="Calibri" w:hAnsi="Book Antiqua" w:cs="Calibri"/>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15</w:t>
                  </w:r>
                </w:p>
              </w:tc>
              <w:tc>
                <w:tcPr>
                  <w:tcW w:w="35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18834DE" w14:textId="77777777" w:rsidR="003C2EFD" w:rsidRPr="003C2EFD" w:rsidRDefault="003C2EFD" w:rsidP="003C2EFD">
                  <w:pPr>
                    <w:spacing w:after="0" w:line="240" w:lineRule="auto"/>
                    <w:jc w:val="center"/>
                    <w:rPr>
                      <w:rFonts w:ascii="Book Antiqua" w:eastAsia="Calibri" w:hAnsi="Book Antiqua" w:cs="Calibri"/>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3</w:t>
                  </w:r>
                </w:p>
              </w:tc>
              <w:tc>
                <w:tcPr>
                  <w:tcW w:w="45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160FCF1" w14:textId="77777777" w:rsidR="003C2EFD" w:rsidRPr="003C2EFD" w:rsidRDefault="003C2EFD" w:rsidP="003C2EFD">
                  <w:pPr>
                    <w:spacing w:after="0" w:line="240" w:lineRule="auto"/>
                    <w:jc w:val="center"/>
                    <w:rPr>
                      <w:rFonts w:ascii="Book Antiqua" w:eastAsia="Calibri" w:hAnsi="Book Antiqua" w:cs="Calibri"/>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4</w:t>
                  </w:r>
                </w:p>
              </w:tc>
              <w:tc>
                <w:tcPr>
                  <w:tcW w:w="37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0D490A7" w14:textId="77777777" w:rsidR="003C2EFD" w:rsidRPr="003C2EFD" w:rsidRDefault="003C2EFD" w:rsidP="003C2EFD">
                  <w:pPr>
                    <w:spacing w:after="0" w:line="240" w:lineRule="auto"/>
                    <w:jc w:val="center"/>
                    <w:rPr>
                      <w:rFonts w:ascii="Book Antiqua" w:eastAsia="Calibri" w:hAnsi="Book Antiqua" w:cs="Calibri"/>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2</w:t>
                  </w:r>
                </w:p>
              </w:tc>
              <w:tc>
                <w:tcPr>
                  <w:tcW w:w="30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5BE2E1B" w14:textId="77777777" w:rsidR="003C2EFD" w:rsidRPr="003C2EFD" w:rsidRDefault="003C2EFD" w:rsidP="003C2EFD">
                  <w:pPr>
                    <w:spacing w:after="0" w:line="240" w:lineRule="auto"/>
                    <w:jc w:val="center"/>
                    <w:rPr>
                      <w:rFonts w:ascii="Book Antiqua" w:eastAsia="Calibri" w:hAnsi="Book Antiqua" w:cs="Calibri"/>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8</w:t>
                  </w:r>
                </w:p>
              </w:tc>
              <w:tc>
                <w:tcPr>
                  <w:tcW w:w="536" w:type="dxa"/>
                  <w:tcBorders>
                    <w:top w:val="nil"/>
                    <w:left w:val="nil"/>
                    <w:bottom w:val="single" w:sz="8" w:space="0" w:color="auto"/>
                    <w:right w:val="single" w:sz="8" w:space="0" w:color="auto"/>
                  </w:tcBorders>
                  <w:shd w:val="clear" w:color="auto" w:fill="FFE699"/>
                  <w:tcMar>
                    <w:top w:w="0" w:type="dxa"/>
                    <w:left w:w="70" w:type="dxa"/>
                    <w:bottom w:w="0" w:type="dxa"/>
                    <w:right w:w="70" w:type="dxa"/>
                  </w:tcMar>
                  <w:vAlign w:val="center"/>
                  <w:hideMark/>
                </w:tcPr>
                <w:p w14:paraId="4BFBC109" w14:textId="77777777" w:rsidR="003C2EFD" w:rsidRPr="003C2EFD" w:rsidRDefault="003C2EFD" w:rsidP="003C2EFD">
                  <w:pPr>
                    <w:spacing w:after="0" w:line="240" w:lineRule="auto"/>
                    <w:jc w:val="center"/>
                    <w:rPr>
                      <w:rFonts w:ascii="Book Antiqua" w:eastAsia="Calibri" w:hAnsi="Book Antiqua" w:cs="Calibri"/>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28%</w:t>
                  </w:r>
                </w:p>
              </w:tc>
            </w:tr>
            <w:tr w:rsidR="003C2EFD" w:rsidRPr="003C2EFD" w14:paraId="7475761B" w14:textId="77777777">
              <w:trPr>
                <w:trHeight w:val="158"/>
              </w:trPr>
              <w:tc>
                <w:tcPr>
                  <w:tcW w:w="14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265B7A7" w14:textId="77777777" w:rsidR="003C2EFD" w:rsidRPr="003C2EFD" w:rsidRDefault="003C2EFD" w:rsidP="003C2EFD">
                  <w:pPr>
                    <w:spacing w:after="0" w:line="240" w:lineRule="auto"/>
                    <w:rPr>
                      <w:rFonts w:ascii="Book Antiqua" w:eastAsia="Calibri" w:hAnsi="Book Antiqua" w:cs="Calibri"/>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Cantidad de Sentencias dictadas por  Juez/Jueza</w:t>
                  </w:r>
                </w:p>
              </w:tc>
              <w:tc>
                <w:tcPr>
                  <w:tcW w:w="46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3434B05" w14:textId="77777777" w:rsidR="003C2EFD" w:rsidRPr="003C2EFD" w:rsidRDefault="003C2EFD" w:rsidP="003C2EFD">
                  <w:pPr>
                    <w:spacing w:after="0" w:line="240" w:lineRule="auto"/>
                    <w:jc w:val="center"/>
                    <w:rPr>
                      <w:rFonts w:ascii="Book Antiqua" w:eastAsia="Calibri" w:hAnsi="Book Antiqua" w:cs="Calibri"/>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15</w:t>
                  </w:r>
                </w:p>
              </w:tc>
              <w:tc>
                <w:tcPr>
                  <w:tcW w:w="35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7A1F85A" w14:textId="77777777" w:rsidR="003C2EFD" w:rsidRPr="003C2EFD" w:rsidRDefault="003C2EFD" w:rsidP="003C2EFD">
                  <w:pPr>
                    <w:spacing w:after="0" w:line="240" w:lineRule="auto"/>
                    <w:jc w:val="center"/>
                    <w:rPr>
                      <w:rFonts w:ascii="Book Antiqua" w:eastAsia="Calibri" w:hAnsi="Book Antiqua" w:cs="Calibri"/>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0</w:t>
                  </w:r>
                </w:p>
              </w:tc>
              <w:tc>
                <w:tcPr>
                  <w:tcW w:w="45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BC16000" w14:textId="77777777" w:rsidR="003C2EFD" w:rsidRPr="003C2EFD" w:rsidRDefault="003C2EFD" w:rsidP="003C2EFD">
                  <w:pPr>
                    <w:spacing w:after="0" w:line="240" w:lineRule="auto"/>
                    <w:jc w:val="center"/>
                    <w:rPr>
                      <w:rFonts w:ascii="Book Antiqua" w:eastAsia="Calibri" w:hAnsi="Book Antiqua" w:cs="Calibri"/>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15</w:t>
                  </w:r>
                </w:p>
              </w:tc>
              <w:tc>
                <w:tcPr>
                  <w:tcW w:w="37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48CA889" w14:textId="77777777" w:rsidR="003C2EFD" w:rsidRPr="003C2EFD" w:rsidRDefault="003C2EFD" w:rsidP="003C2EFD">
                  <w:pPr>
                    <w:spacing w:after="0" w:line="240" w:lineRule="auto"/>
                    <w:jc w:val="center"/>
                    <w:rPr>
                      <w:rFonts w:ascii="Book Antiqua" w:eastAsia="Calibri" w:hAnsi="Book Antiqua" w:cs="Calibri"/>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15</w:t>
                  </w:r>
                </w:p>
              </w:tc>
              <w:tc>
                <w:tcPr>
                  <w:tcW w:w="30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32A3CA6" w14:textId="77777777" w:rsidR="003C2EFD" w:rsidRPr="003C2EFD" w:rsidRDefault="003C2EFD" w:rsidP="003C2EFD">
                  <w:pPr>
                    <w:spacing w:after="0" w:line="240" w:lineRule="auto"/>
                    <w:jc w:val="center"/>
                    <w:rPr>
                      <w:rFonts w:ascii="Book Antiqua" w:eastAsia="Calibri" w:hAnsi="Book Antiqua" w:cs="Calibri"/>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12</w:t>
                  </w:r>
                </w:p>
              </w:tc>
              <w:tc>
                <w:tcPr>
                  <w:tcW w:w="53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665A4F1" w14:textId="76597458" w:rsidR="003C2EFD" w:rsidRPr="003C2EFD" w:rsidRDefault="003C2EFD" w:rsidP="003C2EFD">
                  <w:pPr>
                    <w:spacing w:after="0" w:line="240" w:lineRule="auto"/>
                    <w:jc w:val="center"/>
                    <w:rPr>
                      <w:rFonts w:ascii="Book Antiqua" w:eastAsia="Calibri" w:hAnsi="Book Antiqua" w:cs="Calibri"/>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70</w:t>
                  </w:r>
                  <w:r>
                    <w:rPr>
                      <w:rFonts w:ascii="Book Antiqua" w:eastAsia="Calibri" w:hAnsi="Book Antiqua" w:cs="Calibri"/>
                      <w:color w:val="000000"/>
                      <w:sz w:val="10"/>
                      <w:szCs w:val="10"/>
                      <w:lang w:eastAsia="es-CR"/>
                      <w14:ligatures w14:val="standardContextual"/>
                    </w:rPr>
                    <w:t>%</w:t>
                  </w:r>
                </w:p>
              </w:tc>
            </w:tr>
            <w:tr w:rsidR="003C2EFD" w:rsidRPr="003C2EFD" w14:paraId="5A72600A" w14:textId="77777777">
              <w:trPr>
                <w:trHeight w:val="158"/>
              </w:trPr>
              <w:tc>
                <w:tcPr>
                  <w:tcW w:w="14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940F1BA" w14:textId="77777777" w:rsidR="003C2EFD" w:rsidRPr="003C2EFD" w:rsidRDefault="003C2EFD" w:rsidP="003C2EFD">
                  <w:pPr>
                    <w:spacing w:after="0" w:line="240" w:lineRule="auto"/>
                    <w:rPr>
                      <w:rFonts w:ascii="Book Antiqua" w:eastAsia="Calibri" w:hAnsi="Book Antiqua" w:cs="Calibri"/>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Cantidad de Sentencias dictadas por  Juez/Jueza</w:t>
                  </w:r>
                </w:p>
              </w:tc>
              <w:tc>
                <w:tcPr>
                  <w:tcW w:w="46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B865998" w14:textId="77777777" w:rsidR="003C2EFD" w:rsidRPr="003C2EFD" w:rsidRDefault="003C2EFD" w:rsidP="003C2EFD">
                  <w:pPr>
                    <w:spacing w:after="0" w:line="240" w:lineRule="auto"/>
                    <w:jc w:val="center"/>
                    <w:rPr>
                      <w:rFonts w:ascii="Book Antiqua" w:eastAsia="Calibri" w:hAnsi="Book Antiqua" w:cs="Calibri"/>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15</w:t>
                  </w:r>
                </w:p>
              </w:tc>
              <w:tc>
                <w:tcPr>
                  <w:tcW w:w="35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C27DAB5" w14:textId="77777777" w:rsidR="003C2EFD" w:rsidRPr="003C2EFD" w:rsidRDefault="003C2EFD" w:rsidP="003C2EFD">
                  <w:pPr>
                    <w:spacing w:after="0" w:line="240" w:lineRule="auto"/>
                    <w:jc w:val="center"/>
                    <w:rPr>
                      <w:rFonts w:ascii="Book Antiqua" w:eastAsia="Calibri" w:hAnsi="Book Antiqua" w:cs="Calibri"/>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0</w:t>
                  </w:r>
                </w:p>
              </w:tc>
              <w:tc>
                <w:tcPr>
                  <w:tcW w:w="45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FFE3E52" w14:textId="77777777" w:rsidR="003C2EFD" w:rsidRPr="003C2EFD" w:rsidRDefault="003C2EFD" w:rsidP="003C2EFD">
                  <w:pPr>
                    <w:spacing w:after="0" w:line="240" w:lineRule="auto"/>
                    <w:jc w:val="center"/>
                    <w:rPr>
                      <w:rFonts w:ascii="Book Antiqua" w:eastAsia="Calibri" w:hAnsi="Book Antiqua" w:cs="Calibri"/>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5</w:t>
                  </w:r>
                </w:p>
              </w:tc>
              <w:tc>
                <w:tcPr>
                  <w:tcW w:w="37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7A9D78F" w14:textId="77777777" w:rsidR="003C2EFD" w:rsidRPr="003C2EFD" w:rsidRDefault="003C2EFD" w:rsidP="003C2EFD">
                  <w:pPr>
                    <w:spacing w:after="0" w:line="240" w:lineRule="auto"/>
                    <w:jc w:val="center"/>
                    <w:rPr>
                      <w:rFonts w:ascii="Book Antiqua" w:eastAsia="Calibri" w:hAnsi="Book Antiqua" w:cs="Calibri"/>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11</w:t>
                  </w:r>
                </w:p>
              </w:tc>
              <w:tc>
                <w:tcPr>
                  <w:tcW w:w="30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9BF67E3" w14:textId="77777777" w:rsidR="003C2EFD" w:rsidRPr="003C2EFD" w:rsidRDefault="003C2EFD" w:rsidP="003C2EFD">
                  <w:pPr>
                    <w:spacing w:after="0" w:line="240" w:lineRule="auto"/>
                    <w:jc w:val="center"/>
                    <w:rPr>
                      <w:rFonts w:ascii="Book Antiqua" w:eastAsia="Calibri" w:hAnsi="Book Antiqua" w:cs="Calibri"/>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12</w:t>
                  </w:r>
                </w:p>
              </w:tc>
              <w:tc>
                <w:tcPr>
                  <w:tcW w:w="53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F012843" w14:textId="60D13D64" w:rsidR="003C2EFD" w:rsidRPr="003C2EFD" w:rsidRDefault="003C2EFD" w:rsidP="003C2EFD">
                  <w:pPr>
                    <w:spacing w:after="0" w:line="240" w:lineRule="auto"/>
                    <w:jc w:val="center"/>
                    <w:rPr>
                      <w:rFonts w:ascii="Book Antiqua" w:eastAsia="Calibri" w:hAnsi="Book Antiqua" w:cs="Calibri"/>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47</w:t>
                  </w:r>
                  <w:r>
                    <w:rPr>
                      <w:rFonts w:ascii="Book Antiqua" w:eastAsia="Calibri" w:hAnsi="Book Antiqua" w:cs="Calibri"/>
                      <w:color w:val="000000"/>
                      <w:sz w:val="10"/>
                      <w:szCs w:val="10"/>
                      <w:lang w:eastAsia="es-CR"/>
                      <w14:ligatures w14:val="standardContextual"/>
                    </w:rPr>
                    <w:t>%</w:t>
                  </w:r>
                </w:p>
              </w:tc>
            </w:tr>
            <w:tr w:rsidR="003C2EFD" w:rsidRPr="003C2EFD" w14:paraId="66E27516" w14:textId="77777777">
              <w:trPr>
                <w:trHeight w:val="158"/>
              </w:trPr>
              <w:tc>
                <w:tcPr>
                  <w:tcW w:w="14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0DB4755" w14:textId="77777777" w:rsidR="003C2EFD" w:rsidRPr="003C2EFD" w:rsidRDefault="003C2EFD" w:rsidP="003C2EFD">
                  <w:pPr>
                    <w:spacing w:after="0" w:line="240" w:lineRule="auto"/>
                    <w:rPr>
                      <w:rFonts w:ascii="Book Antiqua" w:eastAsia="Calibri" w:hAnsi="Book Antiqua" w:cs="Calibri"/>
                      <w:color w:val="000000"/>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Cantidad de seguimientos de los informes de labores</w:t>
                  </w:r>
                </w:p>
              </w:tc>
              <w:tc>
                <w:tcPr>
                  <w:tcW w:w="46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74C70B5" w14:textId="77777777" w:rsidR="003C2EFD" w:rsidRPr="003C2EFD" w:rsidRDefault="003C2EFD" w:rsidP="003C2EFD">
                  <w:pPr>
                    <w:spacing w:after="0" w:line="240" w:lineRule="auto"/>
                    <w:jc w:val="center"/>
                    <w:rPr>
                      <w:rFonts w:ascii="Book Antiqua" w:eastAsia="Calibri" w:hAnsi="Book Antiqua" w:cs="Calibri"/>
                      <w:color w:val="000000"/>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8</w:t>
                  </w:r>
                </w:p>
              </w:tc>
              <w:tc>
                <w:tcPr>
                  <w:tcW w:w="35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A8C87BA" w14:textId="77777777" w:rsidR="003C2EFD" w:rsidRPr="003C2EFD" w:rsidRDefault="003C2EFD" w:rsidP="003C2EFD">
                  <w:pPr>
                    <w:spacing w:after="0" w:line="240" w:lineRule="auto"/>
                    <w:jc w:val="center"/>
                    <w:rPr>
                      <w:rFonts w:ascii="Book Antiqua" w:eastAsia="Calibri" w:hAnsi="Book Antiqua" w:cs="Calibri"/>
                      <w:color w:val="000000"/>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8</w:t>
                  </w:r>
                </w:p>
              </w:tc>
              <w:tc>
                <w:tcPr>
                  <w:tcW w:w="45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C3FB859" w14:textId="77777777" w:rsidR="003C2EFD" w:rsidRPr="003C2EFD" w:rsidRDefault="003C2EFD" w:rsidP="003C2EFD">
                  <w:pPr>
                    <w:spacing w:after="0" w:line="240" w:lineRule="auto"/>
                    <w:jc w:val="center"/>
                    <w:rPr>
                      <w:rFonts w:ascii="Book Antiqua" w:eastAsia="Calibri" w:hAnsi="Book Antiqua" w:cs="Calibri"/>
                      <w:color w:val="000000"/>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10</w:t>
                  </w:r>
                </w:p>
              </w:tc>
              <w:tc>
                <w:tcPr>
                  <w:tcW w:w="37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38FF6A3" w14:textId="77777777" w:rsidR="003C2EFD" w:rsidRPr="003C2EFD" w:rsidRDefault="003C2EFD" w:rsidP="003C2EFD">
                  <w:pPr>
                    <w:spacing w:after="0" w:line="240" w:lineRule="auto"/>
                    <w:jc w:val="center"/>
                    <w:rPr>
                      <w:rFonts w:ascii="Book Antiqua" w:eastAsia="Calibri" w:hAnsi="Book Antiqua" w:cs="Calibri"/>
                      <w:color w:val="000000"/>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12</w:t>
                  </w:r>
                </w:p>
              </w:tc>
              <w:tc>
                <w:tcPr>
                  <w:tcW w:w="30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4F5AFEA" w14:textId="77777777" w:rsidR="003C2EFD" w:rsidRPr="003C2EFD" w:rsidRDefault="003C2EFD" w:rsidP="003C2EFD">
                  <w:pPr>
                    <w:spacing w:after="0" w:line="240" w:lineRule="auto"/>
                    <w:jc w:val="center"/>
                    <w:rPr>
                      <w:rFonts w:ascii="Book Antiqua" w:eastAsia="Calibri" w:hAnsi="Book Antiqua" w:cs="Calibri"/>
                      <w:color w:val="000000"/>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8</w:t>
                  </w:r>
                </w:p>
              </w:tc>
              <w:tc>
                <w:tcPr>
                  <w:tcW w:w="53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06AA902" w14:textId="77777777" w:rsidR="003C2EFD" w:rsidRPr="003C2EFD" w:rsidRDefault="003C2EFD" w:rsidP="003C2EFD">
                  <w:pPr>
                    <w:spacing w:after="0" w:line="240" w:lineRule="auto"/>
                    <w:jc w:val="center"/>
                    <w:rPr>
                      <w:rFonts w:ascii="Book Antiqua" w:eastAsia="Calibri" w:hAnsi="Book Antiqua" w:cs="Calibri"/>
                      <w:sz w:val="10"/>
                      <w:szCs w:val="10"/>
                      <w:lang w:eastAsia="es-CR"/>
                      <w14:ligatures w14:val="standardContextual"/>
                    </w:rPr>
                  </w:pPr>
                  <w:r w:rsidRPr="003C2EFD">
                    <w:rPr>
                      <w:rFonts w:ascii="Book Antiqua" w:eastAsia="Calibri" w:hAnsi="Book Antiqua" w:cs="Calibri"/>
                      <w:color w:val="000000"/>
                      <w:sz w:val="10"/>
                      <w:szCs w:val="10"/>
                      <w:lang w:eastAsia="es-CR"/>
                      <w14:ligatures w14:val="standardContextual"/>
                    </w:rPr>
                    <w:t>119</w:t>
                  </w:r>
                </w:p>
              </w:tc>
            </w:tr>
          </w:tbl>
          <w:p w14:paraId="18B2B226" w14:textId="77777777" w:rsidR="003C2EFD" w:rsidRPr="003C2EFD" w:rsidRDefault="003C2EFD" w:rsidP="003C2EFD">
            <w:pPr>
              <w:spacing w:after="0" w:line="240" w:lineRule="auto"/>
              <w:rPr>
                <w:rFonts w:ascii="Book Antiqua" w:eastAsia="Calibri" w:hAnsi="Book Antiqua" w:cs="Calibri"/>
                <w:color w:val="000000"/>
                <w:sz w:val="12"/>
                <w:szCs w:val="12"/>
                <w:lang w:eastAsia="es-CR"/>
                <w14:ligatures w14:val="standardContextual"/>
              </w:rPr>
            </w:pPr>
          </w:p>
          <w:p w14:paraId="1A691786" w14:textId="77777777" w:rsidR="003C2EFD" w:rsidRPr="003C2EFD" w:rsidRDefault="003C2EFD" w:rsidP="003C2EFD">
            <w:pPr>
              <w:spacing w:after="0" w:line="240" w:lineRule="auto"/>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 xml:space="preserve">La oficina indica en el Informe de Avance que el incumplimiento obedece </w:t>
            </w:r>
          </w:p>
          <w:p w14:paraId="4CB8409A" w14:textId="0E3C040D" w:rsidR="003C2EFD" w:rsidRDefault="003C2EFD" w:rsidP="003C2EFD">
            <w:pPr>
              <w:spacing w:after="0" w:line="240" w:lineRule="auto"/>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 xml:space="preserve">Que los asuntos por resolver tienen una complejidad importante, por lo que es de esperar que no todos los meses se pueda cumplirse las metas establecidas. </w:t>
            </w:r>
          </w:p>
          <w:p w14:paraId="2F743121" w14:textId="77777777" w:rsidR="003C2EFD" w:rsidRPr="003C2EFD" w:rsidRDefault="003C2EFD" w:rsidP="003C2EFD">
            <w:pPr>
              <w:spacing w:after="0" w:line="240" w:lineRule="auto"/>
              <w:rPr>
                <w:rFonts w:ascii="Book Antiqua" w:eastAsia="Calibri" w:hAnsi="Book Antiqua" w:cs="Calibri"/>
                <w:color w:val="000000"/>
                <w:sz w:val="12"/>
                <w:szCs w:val="12"/>
                <w:lang w:eastAsia="es-CR"/>
                <w14:ligatures w14:val="standardContextual"/>
              </w:rPr>
            </w:pPr>
          </w:p>
          <w:p w14:paraId="53933461" w14:textId="562D150C" w:rsidR="003C2EFD" w:rsidRPr="003C2EFD" w:rsidRDefault="003C2EFD" w:rsidP="003C2EFD">
            <w:pPr>
              <w:spacing w:after="0" w:line="240" w:lineRule="auto"/>
              <w:rPr>
                <w:rFonts w:ascii="Book Antiqua" w:eastAsia="Calibri" w:hAnsi="Book Antiqua" w:cs="Calibri"/>
                <w:color w:val="000000"/>
                <w:sz w:val="12"/>
                <w:szCs w:val="12"/>
                <w:lang w:eastAsia="es-CR"/>
                <w14:ligatures w14:val="standardContextual"/>
              </w:rPr>
            </w:pPr>
            <w:r w:rsidRPr="00E531C1">
              <w:rPr>
                <w:rFonts w:ascii="Book Antiqua" w:eastAsia="Calibri" w:hAnsi="Book Antiqua" w:cs="Calibri"/>
                <w:color w:val="000000"/>
                <w:sz w:val="12"/>
                <w:szCs w:val="12"/>
                <w:lang w:eastAsia="es-CR"/>
                <w14:ligatures w14:val="standardContextual"/>
              </w:rPr>
              <w:t>Por lo anterior, se recomienda no prorrogar este permiso que presenta un porcentaje de rendimiento de 28%.</w:t>
            </w:r>
          </w:p>
          <w:p w14:paraId="514D3E4F" w14:textId="77777777" w:rsidR="003C2EFD" w:rsidRPr="003C2EFD" w:rsidRDefault="003C2EFD" w:rsidP="003C2EFD">
            <w:pPr>
              <w:spacing w:after="0" w:line="240" w:lineRule="auto"/>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  </w:t>
            </w:r>
          </w:p>
        </w:tc>
      </w:tr>
      <w:tr w:rsidR="003C2EFD" w:rsidRPr="003C2EFD" w14:paraId="431C51A9" w14:textId="77777777" w:rsidTr="003C2EFD">
        <w:trPr>
          <w:trHeight w:val="1069"/>
          <w:jc w:val="center"/>
        </w:trPr>
        <w:tc>
          <w:tcPr>
            <w:tcW w:w="431"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EB8BA5F" w14:textId="1A8D4088" w:rsidR="003C2EFD" w:rsidRPr="003C2EFD" w:rsidRDefault="003C2EFD" w:rsidP="003C2EFD">
            <w:pPr>
              <w:spacing w:after="0" w:line="240" w:lineRule="auto"/>
              <w:jc w:val="both"/>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Organismo de Investigación Judicial</w:t>
            </w:r>
          </w:p>
        </w:tc>
        <w:tc>
          <w:tcPr>
            <w:tcW w:w="32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FD29744" w14:textId="77777777" w:rsidR="003C2EFD" w:rsidRPr="003C2EFD" w:rsidRDefault="003C2EFD" w:rsidP="003C2EFD">
            <w:pPr>
              <w:spacing w:after="0" w:line="240" w:lineRule="auto"/>
              <w:jc w:val="both"/>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1167-OIJ-P61</w:t>
            </w:r>
          </w:p>
        </w:tc>
        <w:tc>
          <w:tcPr>
            <w:tcW w:w="652" w:type="pct"/>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5D01F3DA" w14:textId="77777777" w:rsidR="003C2EFD" w:rsidRPr="003C2EFD" w:rsidRDefault="003C2EFD" w:rsidP="003C2EFD">
            <w:pPr>
              <w:spacing w:after="0" w:line="240" w:lineRule="auto"/>
              <w:jc w:val="both"/>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Implementación de nuevas metodologías y desarrollo del sistema de gestión de calidad, para el mejoramiento de los servicios forenses</w:t>
            </w:r>
          </w:p>
        </w:tc>
        <w:tc>
          <w:tcPr>
            <w:tcW w:w="100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EF4DE78" w14:textId="37F16CB6" w:rsidR="003C2EFD" w:rsidRPr="003C2EFD" w:rsidRDefault="003C2EFD" w:rsidP="003C2EFD">
            <w:pPr>
              <w:spacing w:after="0" w:line="240" w:lineRule="auto"/>
              <w:jc w:val="both"/>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Cantidad de reportes realizados para el mantenimiento a las oficinas del OIJ (Carpintería, Eléctricos y Otros).</w:t>
            </w:r>
          </w:p>
        </w:tc>
        <w:tc>
          <w:tcPr>
            <w:tcW w:w="31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3076722" w14:textId="77777777" w:rsidR="003C2EFD" w:rsidRPr="003C2EFD" w:rsidRDefault="003C2EFD" w:rsidP="003C2EFD">
            <w:pPr>
              <w:spacing w:after="0" w:line="240" w:lineRule="auto"/>
              <w:jc w:val="center"/>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75%</w:t>
            </w:r>
          </w:p>
        </w:tc>
        <w:tc>
          <w:tcPr>
            <w:tcW w:w="2279"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E0C260B" w14:textId="43E44AA6" w:rsidR="003C2EFD" w:rsidRPr="003C2EFD" w:rsidRDefault="003C2EFD" w:rsidP="003C2EFD">
            <w:pPr>
              <w:spacing w:after="0" w:line="240" w:lineRule="auto"/>
              <w:jc w:val="center"/>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El atraso obedece al cambio en el proceso institucional de compras, el cual afectó directamente la adquisición de recursos materiales del área para cumplir con el indicador propuesto.</w:t>
            </w:r>
          </w:p>
        </w:tc>
      </w:tr>
      <w:tr w:rsidR="003C2EFD" w:rsidRPr="003C2EFD" w14:paraId="7C0AB658" w14:textId="77777777" w:rsidTr="003C2EFD">
        <w:trPr>
          <w:trHeight w:val="858"/>
          <w:jc w:val="center"/>
        </w:trPr>
        <w:tc>
          <w:tcPr>
            <w:tcW w:w="431"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0758CD3" w14:textId="2810958D" w:rsidR="003C2EFD" w:rsidRPr="003C2EFD" w:rsidRDefault="003C2EFD" w:rsidP="003C2EFD">
            <w:pPr>
              <w:spacing w:after="0" w:line="240" w:lineRule="auto"/>
              <w:jc w:val="both"/>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lastRenderedPageBreak/>
              <w:t>Dirección de Gestión Humana</w:t>
            </w:r>
          </w:p>
        </w:tc>
        <w:tc>
          <w:tcPr>
            <w:tcW w:w="326"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28A8389F" w14:textId="77777777" w:rsidR="003C2EFD" w:rsidRPr="003C2EFD" w:rsidRDefault="003C2EFD" w:rsidP="003C2EFD">
            <w:pPr>
              <w:spacing w:after="0" w:line="240" w:lineRule="auto"/>
              <w:jc w:val="both"/>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0134-DGH-P09</w:t>
            </w:r>
          </w:p>
        </w:tc>
        <w:tc>
          <w:tcPr>
            <w:tcW w:w="652" w:type="pct"/>
            <w:vMerge w:val="restart"/>
            <w:tcBorders>
              <w:top w:val="nil"/>
              <w:left w:val="nil"/>
              <w:bottom w:val="single" w:sz="8" w:space="0" w:color="auto"/>
              <w:right w:val="single" w:sz="8" w:space="0" w:color="auto"/>
            </w:tcBorders>
            <w:tcMar>
              <w:top w:w="0" w:type="dxa"/>
              <w:left w:w="70" w:type="dxa"/>
              <w:bottom w:w="0" w:type="dxa"/>
              <w:right w:w="70" w:type="dxa"/>
            </w:tcMar>
          </w:tcPr>
          <w:p w14:paraId="5890E78E" w14:textId="77777777" w:rsidR="003C2EFD" w:rsidRPr="003C2EFD" w:rsidRDefault="003C2EFD" w:rsidP="003C2EFD">
            <w:pPr>
              <w:spacing w:after="0" w:line="240" w:lineRule="auto"/>
              <w:jc w:val="both"/>
              <w:rPr>
                <w:rFonts w:ascii="Book Antiqua" w:eastAsia="Calibri" w:hAnsi="Book Antiqua" w:cs="Calibri"/>
                <w:color w:val="000000"/>
                <w:sz w:val="12"/>
                <w:szCs w:val="12"/>
                <w:lang w:eastAsia="es-CR"/>
                <w14:ligatures w14:val="standardContextual"/>
              </w:rPr>
            </w:pPr>
          </w:p>
          <w:p w14:paraId="4A100A7A" w14:textId="77777777" w:rsidR="003C2EFD" w:rsidRPr="003C2EFD" w:rsidRDefault="003C2EFD" w:rsidP="003C2EFD">
            <w:pPr>
              <w:spacing w:after="0" w:line="240" w:lineRule="auto"/>
              <w:jc w:val="both"/>
              <w:rPr>
                <w:rFonts w:ascii="Book Antiqua" w:eastAsia="Calibri" w:hAnsi="Book Antiqua" w:cs="Calibri"/>
                <w:color w:val="000000"/>
                <w:sz w:val="12"/>
                <w:szCs w:val="12"/>
                <w:lang w:eastAsia="es-CR"/>
                <w14:ligatures w14:val="standardContextual"/>
              </w:rPr>
            </w:pPr>
          </w:p>
          <w:p w14:paraId="646EC6A1" w14:textId="1F46147F" w:rsidR="003C2EFD" w:rsidRPr="003C2EFD" w:rsidRDefault="003C2EFD" w:rsidP="003C2EFD">
            <w:pPr>
              <w:spacing w:after="0" w:line="240" w:lineRule="auto"/>
              <w:jc w:val="both"/>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Corrección del monto de jubilación de las personas beneficiarias con la Ley "Régimen General de Pensiones con Cargo al Presupuesto Nacional”.</w:t>
            </w:r>
          </w:p>
        </w:tc>
        <w:tc>
          <w:tcPr>
            <w:tcW w:w="100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8C7064D" w14:textId="5E8D108B" w:rsidR="003C2EFD" w:rsidRPr="003C2EFD" w:rsidRDefault="003C2EFD" w:rsidP="003C2EFD">
            <w:pPr>
              <w:spacing w:after="0" w:line="240" w:lineRule="auto"/>
              <w:jc w:val="both"/>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Cantidad de expedientes revisados de cada una de las personas jubiladas entre el 1 de enero de 1997 y 31 de diciembre de 2015 con la finalidad de determinar la correcta Ley a aplicar, su adecuada fórmula matemática y clasificación pertinente a registraren el sistema .</w:t>
            </w:r>
          </w:p>
        </w:tc>
        <w:tc>
          <w:tcPr>
            <w:tcW w:w="312" w:type="pct"/>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6497C75" w14:textId="77777777" w:rsidR="003C2EFD" w:rsidRPr="003C2EFD" w:rsidRDefault="003C2EFD" w:rsidP="003C2EFD">
            <w:pPr>
              <w:spacing w:after="0" w:line="240" w:lineRule="auto"/>
              <w:jc w:val="center"/>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70%</w:t>
            </w:r>
          </w:p>
        </w:tc>
        <w:tc>
          <w:tcPr>
            <w:tcW w:w="2279" w:type="pct"/>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C386F17" w14:textId="64C09E7A" w:rsidR="003C2EFD" w:rsidRPr="003C2EFD" w:rsidRDefault="003C2EFD" w:rsidP="003C2EFD">
            <w:pPr>
              <w:spacing w:after="0" w:line="240" w:lineRule="auto"/>
              <w:jc w:val="both"/>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El Consejo Superior en sesión 110-2022, artículo LXIX, prorrogó hasta el 31/03/2023, para culminar la tarea encomendada, debido a que dada la antigüedad de los casos implicó mayor tiempo del estimado para establecer el monto correcto de jubilación, no obstante, para el 31 de marzo del año en curso se culminó satisfactoriamente.</w:t>
            </w:r>
          </w:p>
        </w:tc>
      </w:tr>
      <w:tr w:rsidR="003C2EFD" w:rsidRPr="003C2EFD" w14:paraId="51DA470F" w14:textId="77777777" w:rsidTr="003C2EFD">
        <w:trPr>
          <w:trHeight w:val="385"/>
          <w:jc w:val="center"/>
        </w:trPr>
        <w:tc>
          <w:tcPr>
            <w:tcW w:w="0" w:type="auto"/>
            <w:vMerge/>
            <w:tcBorders>
              <w:top w:val="nil"/>
              <w:left w:val="single" w:sz="8" w:space="0" w:color="auto"/>
              <w:bottom w:val="single" w:sz="8" w:space="0" w:color="auto"/>
              <w:right w:val="single" w:sz="8" w:space="0" w:color="auto"/>
            </w:tcBorders>
            <w:vAlign w:val="center"/>
            <w:hideMark/>
          </w:tcPr>
          <w:p w14:paraId="42024AE0" w14:textId="77777777" w:rsidR="003C2EFD" w:rsidRPr="003C2EFD" w:rsidRDefault="003C2EFD" w:rsidP="003C2EFD">
            <w:pPr>
              <w:spacing w:after="0" w:line="240" w:lineRule="auto"/>
              <w:rPr>
                <w:rFonts w:ascii="Book Antiqua" w:eastAsia="Calibri" w:hAnsi="Book Antiqua" w:cs="Calibri"/>
                <w:color w:val="000000"/>
                <w:sz w:val="12"/>
                <w:szCs w:val="12"/>
                <w:lang w:eastAsia="es-CR"/>
                <w14:ligatures w14:val="standardContextual"/>
              </w:rPr>
            </w:pPr>
          </w:p>
        </w:tc>
        <w:tc>
          <w:tcPr>
            <w:tcW w:w="0" w:type="auto"/>
            <w:vMerge/>
            <w:tcBorders>
              <w:top w:val="nil"/>
              <w:left w:val="nil"/>
              <w:bottom w:val="single" w:sz="8" w:space="0" w:color="auto"/>
              <w:right w:val="single" w:sz="8" w:space="0" w:color="auto"/>
            </w:tcBorders>
            <w:vAlign w:val="center"/>
            <w:hideMark/>
          </w:tcPr>
          <w:p w14:paraId="6CFF456B" w14:textId="77777777" w:rsidR="003C2EFD" w:rsidRPr="003C2EFD" w:rsidRDefault="003C2EFD" w:rsidP="003C2EFD">
            <w:pPr>
              <w:spacing w:after="0" w:line="240" w:lineRule="auto"/>
              <w:rPr>
                <w:rFonts w:ascii="Book Antiqua" w:eastAsia="Calibri" w:hAnsi="Book Antiqua" w:cs="Calibri"/>
                <w:color w:val="000000"/>
                <w:sz w:val="12"/>
                <w:szCs w:val="12"/>
                <w:lang w:eastAsia="es-CR"/>
                <w14:ligatures w14:val="standardContextual"/>
              </w:rPr>
            </w:pPr>
          </w:p>
        </w:tc>
        <w:tc>
          <w:tcPr>
            <w:tcW w:w="0" w:type="auto"/>
            <w:vMerge/>
            <w:tcBorders>
              <w:top w:val="nil"/>
              <w:left w:val="nil"/>
              <w:bottom w:val="single" w:sz="8" w:space="0" w:color="auto"/>
              <w:right w:val="single" w:sz="8" w:space="0" w:color="auto"/>
            </w:tcBorders>
            <w:vAlign w:val="center"/>
            <w:hideMark/>
          </w:tcPr>
          <w:p w14:paraId="1817161B" w14:textId="77777777" w:rsidR="003C2EFD" w:rsidRPr="003C2EFD" w:rsidRDefault="003C2EFD" w:rsidP="003C2EFD">
            <w:pPr>
              <w:spacing w:after="0" w:line="240" w:lineRule="auto"/>
              <w:rPr>
                <w:rFonts w:ascii="Book Antiqua" w:eastAsia="Calibri" w:hAnsi="Book Antiqua" w:cs="Calibri"/>
                <w:color w:val="000000"/>
                <w:sz w:val="12"/>
                <w:szCs w:val="12"/>
                <w:lang w:eastAsia="es-CR"/>
                <w14:ligatures w14:val="standardContextual"/>
              </w:rPr>
            </w:pPr>
          </w:p>
        </w:tc>
        <w:tc>
          <w:tcPr>
            <w:tcW w:w="100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8B7C394" w14:textId="77777777" w:rsidR="003C2EFD" w:rsidRPr="003C2EFD" w:rsidRDefault="003C2EFD" w:rsidP="003C2EFD">
            <w:pPr>
              <w:spacing w:after="0" w:line="240" w:lineRule="auto"/>
              <w:jc w:val="both"/>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Cantidad de casos comunicados a la Dirección Jurídica indicándose el monto correcto de beneficio y las sumas de más asociadas de cada uno de los beneficiarios jubilados entre el 1 de enero 1997 y el 31 de diciembre 2015 que se les aplicó erróneamente el Transitorio III de la Ley “Régimen General de Pensiones con Cargo al Presupuesto Nacional”.</w:t>
            </w:r>
          </w:p>
        </w:tc>
        <w:tc>
          <w:tcPr>
            <w:tcW w:w="0" w:type="auto"/>
            <w:vMerge/>
            <w:tcBorders>
              <w:top w:val="nil"/>
              <w:left w:val="nil"/>
              <w:bottom w:val="single" w:sz="8" w:space="0" w:color="auto"/>
              <w:right w:val="single" w:sz="8" w:space="0" w:color="auto"/>
            </w:tcBorders>
            <w:vAlign w:val="center"/>
            <w:hideMark/>
          </w:tcPr>
          <w:p w14:paraId="4CD6E054" w14:textId="77777777" w:rsidR="003C2EFD" w:rsidRPr="003C2EFD" w:rsidRDefault="003C2EFD" w:rsidP="003C2EFD">
            <w:pPr>
              <w:spacing w:after="0" w:line="240" w:lineRule="auto"/>
              <w:rPr>
                <w:rFonts w:ascii="Book Antiqua" w:eastAsia="Calibri" w:hAnsi="Book Antiqua" w:cs="Calibri"/>
                <w:color w:val="000000"/>
                <w:sz w:val="12"/>
                <w:szCs w:val="12"/>
                <w:lang w:eastAsia="es-CR"/>
                <w14:ligatures w14:val="standardContextual"/>
              </w:rPr>
            </w:pPr>
          </w:p>
        </w:tc>
        <w:tc>
          <w:tcPr>
            <w:tcW w:w="0" w:type="auto"/>
            <w:vMerge/>
            <w:tcBorders>
              <w:top w:val="nil"/>
              <w:left w:val="nil"/>
              <w:bottom w:val="single" w:sz="8" w:space="0" w:color="auto"/>
              <w:right w:val="single" w:sz="8" w:space="0" w:color="auto"/>
            </w:tcBorders>
            <w:vAlign w:val="center"/>
            <w:hideMark/>
          </w:tcPr>
          <w:p w14:paraId="6A68CF01" w14:textId="77777777" w:rsidR="003C2EFD" w:rsidRPr="003C2EFD" w:rsidRDefault="003C2EFD" w:rsidP="003C2EFD">
            <w:pPr>
              <w:spacing w:after="0" w:line="240" w:lineRule="auto"/>
              <w:rPr>
                <w:rFonts w:ascii="Book Antiqua" w:eastAsia="Calibri" w:hAnsi="Book Antiqua" w:cs="Calibri"/>
                <w:color w:val="000000"/>
                <w:sz w:val="12"/>
                <w:szCs w:val="12"/>
                <w:lang w:eastAsia="es-CR"/>
                <w14:ligatures w14:val="standardContextual"/>
              </w:rPr>
            </w:pPr>
          </w:p>
        </w:tc>
      </w:tr>
      <w:tr w:rsidR="003C2EFD" w:rsidRPr="003C2EFD" w14:paraId="041F2F42" w14:textId="77777777" w:rsidTr="003C2EFD">
        <w:trPr>
          <w:trHeight w:val="653"/>
          <w:jc w:val="center"/>
        </w:trPr>
        <w:tc>
          <w:tcPr>
            <w:tcW w:w="0" w:type="auto"/>
            <w:vMerge/>
            <w:tcBorders>
              <w:top w:val="nil"/>
              <w:left w:val="single" w:sz="8" w:space="0" w:color="auto"/>
              <w:bottom w:val="single" w:sz="8" w:space="0" w:color="auto"/>
              <w:right w:val="single" w:sz="8" w:space="0" w:color="auto"/>
            </w:tcBorders>
            <w:vAlign w:val="center"/>
            <w:hideMark/>
          </w:tcPr>
          <w:p w14:paraId="3DE4E14B" w14:textId="77777777" w:rsidR="003C2EFD" w:rsidRPr="003C2EFD" w:rsidRDefault="003C2EFD" w:rsidP="003C2EFD">
            <w:pPr>
              <w:spacing w:after="0" w:line="240" w:lineRule="auto"/>
              <w:rPr>
                <w:rFonts w:ascii="Book Antiqua" w:eastAsia="Calibri" w:hAnsi="Book Antiqua" w:cs="Calibri"/>
                <w:color w:val="000000"/>
                <w:sz w:val="12"/>
                <w:szCs w:val="12"/>
                <w:lang w:eastAsia="es-CR"/>
                <w14:ligatures w14:val="standardContextual"/>
              </w:rPr>
            </w:pPr>
          </w:p>
        </w:tc>
        <w:tc>
          <w:tcPr>
            <w:tcW w:w="32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0A3C1BB" w14:textId="77777777" w:rsidR="003C2EFD" w:rsidRPr="003C2EFD" w:rsidRDefault="003C2EFD" w:rsidP="003C2EFD">
            <w:pPr>
              <w:spacing w:after="0" w:line="240" w:lineRule="auto"/>
              <w:jc w:val="center"/>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0134-DGH-P12</w:t>
            </w:r>
          </w:p>
        </w:tc>
        <w:tc>
          <w:tcPr>
            <w:tcW w:w="652" w:type="pct"/>
            <w:tcBorders>
              <w:top w:val="nil"/>
              <w:left w:val="nil"/>
              <w:bottom w:val="single" w:sz="8" w:space="0" w:color="auto"/>
              <w:right w:val="single" w:sz="8" w:space="0" w:color="auto"/>
            </w:tcBorders>
            <w:tcMar>
              <w:top w:w="0" w:type="dxa"/>
              <w:left w:w="70" w:type="dxa"/>
              <w:bottom w:w="0" w:type="dxa"/>
              <w:right w:w="70" w:type="dxa"/>
            </w:tcMar>
            <w:vAlign w:val="center"/>
          </w:tcPr>
          <w:p w14:paraId="754BE159" w14:textId="77777777" w:rsidR="003C2EFD" w:rsidRPr="003C2EFD" w:rsidRDefault="003C2EFD" w:rsidP="003C2EFD">
            <w:pPr>
              <w:spacing w:after="0" w:line="240" w:lineRule="auto"/>
              <w:jc w:val="center"/>
              <w:rPr>
                <w:rFonts w:ascii="Book Antiqua" w:eastAsia="Calibri" w:hAnsi="Book Antiqua" w:cs="Calibri"/>
                <w:color w:val="000000"/>
                <w:sz w:val="12"/>
                <w:szCs w:val="12"/>
                <w:lang w:eastAsia="es-CR"/>
                <w14:ligatures w14:val="standardContextual"/>
              </w:rPr>
            </w:pPr>
          </w:p>
          <w:p w14:paraId="7B10F8EE" w14:textId="77777777" w:rsidR="003C2EFD" w:rsidRPr="003C2EFD" w:rsidRDefault="003C2EFD" w:rsidP="003C2EFD">
            <w:pPr>
              <w:spacing w:after="0" w:line="240" w:lineRule="auto"/>
              <w:jc w:val="center"/>
              <w:rPr>
                <w:rFonts w:ascii="Book Antiqua" w:eastAsia="Calibri" w:hAnsi="Book Antiqua" w:cs="Calibri"/>
                <w:color w:val="000000"/>
                <w:sz w:val="12"/>
                <w:szCs w:val="12"/>
                <w:lang w:eastAsia="es-CR"/>
                <w14:ligatures w14:val="standardContextual"/>
              </w:rPr>
            </w:pPr>
          </w:p>
          <w:p w14:paraId="552ACE5A" w14:textId="77777777" w:rsidR="003C2EFD" w:rsidRPr="003C2EFD" w:rsidRDefault="003C2EFD" w:rsidP="003C2EFD">
            <w:pPr>
              <w:spacing w:after="0" w:line="240" w:lineRule="auto"/>
              <w:jc w:val="center"/>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 xml:space="preserve">Plan de trabajo para la gestión de </w:t>
            </w:r>
            <w:r w:rsidRPr="003C2EFD">
              <w:rPr>
                <w:rFonts w:ascii="Book Antiqua" w:eastAsia="Calibri" w:hAnsi="Book Antiqua" w:cs="Calibri"/>
                <w:color w:val="000000"/>
                <w:sz w:val="12"/>
                <w:szCs w:val="12"/>
                <w:lang w:eastAsia="es-CR"/>
                <w14:ligatures w14:val="standardContextual"/>
              </w:rPr>
              <w:lastRenderedPageBreak/>
              <w:t>nombramientos de puestos.</w:t>
            </w:r>
          </w:p>
        </w:tc>
        <w:tc>
          <w:tcPr>
            <w:tcW w:w="100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3B3154" w14:textId="77777777" w:rsidR="003C2EFD" w:rsidRPr="003C2EFD" w:rsidRDefault="003C2EFD" w:rsidP="003C2EFD">
            <w:pPr>
              <w:spacing w:after="0" w:line="240" w:lineRule="auto"/>
              <w:jc w:val="center"/>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lastRenderedPageBreak/>
              <w:t>Cantidad de nombramientos realizados al mes</w:t>
            </w:r>
          </w:p>
        </w:tc>
        <w:tc>
          <w:tcPr>
            <w:tcW w:w="31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7E04D2B" w14:textId="77777777" w:rsidR="003C2EFD" w:rsidRPr="003C2EFD" w:rsidRDefault="003C2EFD" w:rsidP="003C2EFD">
            <w:pPr>
              <w:spacing w:after="0" w:line="240" w:lineRule="auto"/>
              <w:jc w:val="center"/>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51%</w:t>
            </w:r>
          </w:p>
        </w:tc>
        <w:tc>
          <w:tcPr>
            <w:tcW w:w="2279"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2FD2271" w14:textId="4C8CA36F" w:rsidR="003C2EFD" w:rsidRPr="003C2EFD" w:rsidRDefault="003C2EFD" w:rsidP="003C2EFD">
            <w:pPr>
              <w:spacing w:after="0" w:line="240" w:lineRule="auto"/>
              <w:jc w:val="center"/>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El atraso obedece principalmente a que con la entrada en vigor de le Ley Marco de Empleo Público se paralizó la ratificación de nombramientos en propiedad durante el mes de marzo y parte de abril, hasta tanto no se tuviese certeza de la afectación a los nuevos nombramientos.</w:t>
            </w:r>
          </w:p>
        </w:tc>
      </w:tr>
      <w:tr w:rsidR="003C2EFD" w:rsidRPr="003C2EFD" w14:paraId="235FBA4B" w14:textId="77777777" w:rsidTr="003C2EFD">
        <w:trPr>
          <w:trHeight w:val="1439"/>
          <w:jc w:val="center"/>
        </w:trPr>
        <w:tc>
          <w:tcPr>
            <w:tcW w:w="431"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B64A129" w14:textId="484712CC" w:rsidR="003C2EFD" w:rsidRPr="003C2EFD" w:rsidRDefault="003C2EFD" w:rsidP="003C2EFD">
            <w:pPr>
              <w:spacing w:after="0" w:line="240" w:lineRule="auto"/>
              <w:jc w:val="center"/>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Dirección Ejecutiva</w:t>
            </w:r>
          </w:p>
        </w:tc>
        <w:tc>
          <w:tcPr>
            <w:tcW w:w="32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E8785DA" w14:textId="77777777" w:rsidR="003C2EFD" w:rsidRPr="003C2EFD" w:rsidRDefault="003C2EFD" w:rsidP="003C2EFD">
            <w:pPr>
              <w:spacing w:after="0" w:line="240" w:lineRule="auto"/>
              <w:jc w:val="center"/>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0117-DE-P18</w:t>
            </w:r>
          </w:p>
        </w:tc>
        <w:tc>
          <w:tcPr>
            <w:tcW w:w="65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026BB82" w14:textId="77777777" w:rsidR="003C2EFD" w:rsidRPr="003C2EFD" w:rsidRDefault="003C2EFD" w:rsidP="003C2EFD">
            <w:pPr>
              <w:spacing w:after="0" w:line="240" w:lineRule="auto"/>
              <w:jc w:val="center"/>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Plan para la atención y gestión de los Servicios Tecnológicos del Poder Judicial</w:t>
            </w:r>
          </w:p>
        </w:tc>
        <w:tc>
          <w:tcPr>
            <w:tcW w:w="100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8F456B8" w14:textId="77777777" w:rsidR="003C2EFD" w:rsidRPr="003C2EFD" w:rsidRDefault="003C2EFD" w:rsidP="003C2EFD">
            <w:pPr>
              <w:spacing w:after="0" w:line="240" w:lineRule="auto"/>
              <w:jc w:val="center"/>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Sostenibilidad al proceso de Contratación Administrativa para la Ejecución Presupuestaria</w:t>
            </w:r>
          </w:p>
        </w:tc>
        <w:tc>
          <w:tcPr>
            <w:tcW w:w="31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0AFD1A5" w14:textId="77777777" w:rsidR="003C2EFD" w:rsidRPr="003C2EFD" w:rsidRDefault="003C2EFD" w:rsidP="003C2EFD">
            <w:pPr>
              <w:spacing w:after="0" w:line="240" w:lineRule="auto"/>
              <w:jc w:val="center"/>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57%</w:t>
            </w:r>
          </w:p>
        </w:tc>
        <w:tc>
          <w:tcPr>
            <w:tcW w:w="2279"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40A8A13" w14:textId="3E045BEB" w:rsidR="003C2EFD" w:rsidRPr="003C2EFD" w:rsidRDefault="003C2EFD" w:rsidP="003C2EFD">
            <w:pPr>
              <w:spacing w:after="0" w:line="240" w:lineRule="auto"/>
              <w:jc w:val="center"/>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 xml:space="preserve">El atraso que se presenta obedece a: </w:t>
            </w:r>
            <w:r w:rsidRPr="003C2EFD">
              <w:rPr>
                <w:rFonts w:ascii="Book Antiqua" w:eastAsia="Calibri" w:hAnsi="Book Antiqua" w:cs="Calibri"/>
                <w:color w:val="000000"/>
                <w:sz w:val="12"/>
                <w:szCs w:val="12"/>
                <w:lang w:eastAsia="es-CR"/>
                <w14:ligatures w14:val="standardContextual"/>
              </w:rPr>
              <w:br/>
              <w:t xml:space="preserve">1. Cambio en la metodología para realizar la contratación Pública a partir del 2023. </w:t>
            </w:r>
            <w:r w:rsidRPr="003C2EFD">
              <w:rPr>
                <w:rFonts w:ascii="Book Antiqua" w:eastAsia="Calibri" w:hAnsi="Book Antiqua" w:cs="Calibri"/>
                <w:color w:val="000000"/>
                <w:sz w:val="12"/>
                <w:szCs w:val="12"/>
                <w:lang w:eastAsia="es-CR"/>
                <w14:ligatures w14:val="standardContextual"/>
              </w:rPr>
              <w:br/>
              <w:t xml:space="preserve">2. Acoplamiento del Poder Judicial a la nueva normativa de Contratación </w:t>
            </w:r>
            <w:r w:rsidRPr="003C2EFD">
              <w:rPr>
                <w:rFonts w:ascii="Book Antiqua" w:eastAsia="Calibri" w:hAnsi="Book Antiqua" w:cs="Calibri"/>
                <w:color w:val="000000"/>
                <w:sz w:val="12"/>
                <w:szCs w:val="12"/>
                <w:lang w:eastAsia="es-CR"/>
                <w14:ligatures w14:val="standardContextual"/>
              </w:rPr>
              <w:br/>
              <w:t>3. Adaptación a los nuevos cambios de tramitología por parte de las oficinas, para cumplir con la nueva metodología.</w:t>
            </w:r>
            <w:r w:rsidRPr="003C2EFD">
              <w:rPr>
                <w:rFonts w:ascii="Book Antiqua" w:eastAsia="Calibri" w:hAnsi="Book Antiqua" w:cs="Calibri"/>
                <w:color w:val="000000"/>
                <w:sz w:val="12"/>
                <w:szCs w:val="12"/>
                <w:lang w:eastAsia="es-CR"/>
                <w14:ligatures w14:val="standardContextual"/>
              </w:rPr>
              <w:br/>
              <w:t>4.  Cantidad de devoluciones, debido a que la Proveeduría debe ajustarse a la nueva normativa (</w:t>
            </w:r>
            <w:r>
              <w:rPr>
                <w:rFonts w:ascii="Book Antiqua" w:eastAsia="Calibri" w:hAnsi="Book Antiqua" w:cs="Calibri"/>
                <w:color w:val="000000"/>
                <w:sz w:val="12"/>
                <w:szCs w:val="12"/>
                <w:lang w:eastAsia="es-CR"/>
                <w14:ligatures w14:val="standardContextual"/>
              </w:rPr>
              <w:t>SICOP</w:t>
            </w:r>
            <w:r w:rsidRPr="003C2EFD">
              <w:rPr>
                <w:rFonts w:ascii="Book Antiqua" w:eastAsia="Calibri" w:hAnsi="Book Antiqua" w:cs="Calibri"/>
                <w:color w:val="000000"/>
                <w:sz w:val="12"/>
                <w:szCs w:val="12"/>
                <w:lang w:eastAsia="es-CR"/>
                <w14:ligatures w14:val="standardContextual"/>
              </w:rPr>
              <w:t xml:space="preserve">). </w:t>
            </w:r>
            <w:r w:rsidRPr="003C2EFD">
              <w:rPr>
                <w:rFonts w:ascii="Book Antiqua" w:eastAsia="Calibri" w:hAnsi="Book Antiqua" w:cs="Calibri"/>
                <w:color w:val="000000"/>
                <w:sz w:val="12"/>
                <w:szCs w:val="12"/>
                <w:lang w:eastAsia="es-CR"/>
                <w14:ligatures w14:val="standardContextual"/>
              </w:rPr>
              <w:br/>
              <w:t>5. La poca disposición de los proveedores de brindar cotizaciones.</w:t>
            </w:r>
          </w:p>
        </w:tc>
      </w:tr>
      <w:tr w:rsidR="003C2EFD" w:rsidRPr="003C2EFD" w14:paraId="1FD5D123" w14:textId="77777777" w:rsidTr="003C2EFD">
        <w:trPr>
          <w:trHeight w:val="1296"/>
          <w:jc w:val="center"/>
        </w:trPr>
        <w:tc>
          <w:tcPr>
            <w:tcW w:w="431"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A7A9C59" w14:textId="77777777" w:rsidR="003C2EFD" w:rsidRPr="003C2EFD" w:rsidRDefault="003C2EFD" w:rsidP="003C2EFD">
            <w:pPr>
              <w:spacing w:after="0" w:line="240" w:lineRule="auto"/>
              <w:jc w:val="center"/>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Centro de Apoyo Coordinación y Mejoramiento Función Jurisdiccional</w:t>
            </w:r>
          </w:p>
        </w:tc>
        <w:tc>
          <w:tcPr>
            <w:tcW w:w="32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CCCD8A6" w14:textId="77777777" w:rsidR="003C2EFD" w:rsidRPr="003C2EFD" w:rsidRDefault="003C2EFD" w:rsidP="003C2EFD">
            <w:pPr>
              <w:spacing w:after="0" w:line="240" w:lineRule="auto"/>
              <w:jc w:val="center"/>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1324-CACMFJ-P06</w:t>
            </w:r>
          </w:p>
        </w:tc>
        <w:tc>
          <w:tcPr>
            <w:tcW w:w="65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9A03BBD" w14:textId="77777777" w:rsidR="003C2EFD" w:rsidRPr="003C2EFD" w:rsidRDefault="003C2EFD" w:rsidP="003C2EFD">
            <w:pPr>
              <w:spacing w:after="0" w:line="240" w:lineRule="auto"/>
              <w:jc w:val="center"/>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Plan de Atención de los Procesos Expropiatorios en el Juzgado Contencioso Administrativo y Civil Hacienda</w:t>
            </w:r>
          </w:p>
        </w:tc>
        <w:tc>
          <w:tcPr>
            <w:tcW w:w="100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3207690" w14:textId="60674A44" w:rsidR="003C2EFD" w:rsidRPr="003C2EFD" w:rsidRDefault="003C2EFD" w:rsidP="003C2EFD">
            <w:pPr>
              <w:spacing w:after="0" w:line="240" w:lineRule="auto"/>
              <w:jc w:val="center"/>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Cantidad de escritos tramitados y resoluciones dictadas.</w:t>
            </w:r>
          </w:p>
        </w:tc>
        <w:tc>
          <w:tcPr>
            <w:tcW w:w="31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F712EED" w14:textId="77777777" w:rsidR="003C2EFD" w:rsidRPr="003C2EFD" w:rsidRDefault="003C2EFD" w:rsidP="003C2EFD">
            <w:pPr>
              <w:spacing w:after="0" w:line="240" w:lineRule="auto"/>
              <w:jc w:val="center"/>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58%</w:t>
            </w:r>
          </w:p>
        </w:tc>
        <w:tc>
          <w:tcPr>
            <w:tcW w:w="2279"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4223847" w14:textId="7598F634" w:rsidR="003C2EFD" w:rsidRPr="003C2EFD" w:rsidRDefault="003C2EFD" w:rsidP="003C2EFD">
            <w:pPr>
              <w:spacing w:after="0" w:line="240" w:lineRule="auto"/>
              <w:jc w:val="center"/>
              <w:rPr>
                <w:rFonts w:ascii="Book Antiqua" w:eastAsia="Calibri" w:hAnsi="Book Antiqua" w:cs="Calibri"/>
                <w:color w:val="000000"/>
                <w:sz w:val="12"/>
                <w:szCs w:val="12"/>
                <w:lang w:eastAsia="es-CR"/>
                <w14:ligatures w14:val="standardContextual"/>
              </w:rPr>
            </w:pPr>
            <w:r w:rsidRPr="003C2EFD">
              <w:rPr>
                <w:rFonts w:ascii="Book Antiqua" w:eastAsia="Calibri" w:hAnsi="Book Antiqua" w:cs="Calibri"/>
                <w:color w:val="000000"/>
                <w:sz w:val="12"/>
                <w:szCs w:val="12"/>
                <w:lang w:eastAsia="es-CR"/>
                <w14:ligatures w14:val="standardContextual"/>
              </w:rPr>
              <w:t>El atraso obedece a que el proyecto dio inició a partir del 13 de febrero del 2023. Además el rendimiento se vio afectado por la curva de aprendizaje de la persona que lo tiene a cargo.</w:t>
            </w:r>
          </w:p>
        </w:tc>
      </w:tr>
    </w:tbl>
    <w:p w14:paraId="7DEDA5B7" w14:textId="77777777" w:rsidR="00555E82" w:rsidRDefault="00555E82" w:rsidP="00555E82">
      <w:pPr>
        <w:spacing w:after="120"/>
        <w:jc w:val="both"/>
        <w:rPr>
          <w:rFonts w:ascii="Book Antiqua" w:eastAsia="Wingdings" w:hAnsi="Book Antiqua"/>
          <w:sz w:val="24"/>
          <w:szCs w:val="24"/>
          <w:lang w:eastAsia="ko-KR"/>
        </w:rPr>
      </w:pPr>
      <w:r w:rsidRPr="00361D93">
        <w:rPr>
          <w:rFonts w:ascii="Book Antiqua" w:hAnsi="Book Antiqua"/>
          <w:b/>
          <w:sz w:val="20"/>
          <w:szCs w:val="20"/>
        </w:rPr>
        <w:t>Fuente</w:t>
      </w:r>
      <w:r w:rsidRPr="00361D93">
        <w:rPr>
          <w:rFonts w:ascii="Book Antiqua" w:hAnsi="Book Antiqua"/>
          <w:sz w:val="20"/>
          <w:szCs w:val="20"/>
        </w:rPr>
        <w:t>: Elaboración propia con información aportada en los informes de avance.</w:t>
      </w:r>
    </w:p>
    <w:p w14:paraId="669090F5" w14:textId="0A5A4519" w:rsidR="00555E82" w:rsidRDefault="00555E82" w:rsidP="00155AE5">
      <w:pPr>
        <w:pStyle w:val="Ttulo2"/>
        <w:numPr>
          <w:ilvl w:val="1"/>
          <w:numId w:val="16"/>
        </w:numPr>
        <w:rPr>
          <w:rFonts w:ascii="Book Antiqua" w:eastAsia="Wingdings" w:hAnsi="Book Antiqua"/>
          <w:b/>
          <w:color w:val="auto"/>
          <w:lang w:eastAsia="ko-KR"/>
        </w:rPr>
      </w:pPr>
      <w:bookmarkStart w:id="107" w:name="_Toc88487827"/>
      <w:bookmarkStart w:id="108" w:name="_Toc88487828"/>
      <w:bookmarkStart w:id="109" w:name="_Toc88487829"/>
      <w:bookmarkStart w:id="110" w:name="_Toc138770854"/>
      <w:bookmarkEnd w:id="107"/>
      <w:bookmarkEnd w:id="108"/>
      <w:bookmarkEnd w:id="109"/>
      <w:r w:rsidRPr="00257371">
        <w:rPr>
          <w:rFonts w:ascii="Book Antiqua" w:eastAsia="Wingdings" w:hAnsi="Book Antiqua"/>
          <w:b/>
          <w:color w:val="auto"/>
          <w:lang w:eastAsia="ko-KR"/>
        </w:rPr>
        <w:t>Avance de las labores operativas según cronograma</w:t>
      </w:r>
      <w:bookmarkEnd w:id="110"/>
      <w:r w:rsidRPr="00257371">
        <w:rPr>
          <w:rFonts w:ascii="Book Antiqua" w:eastAsia="Wingdings" w:hAnsi="Book Antiqua"/>
          <w:b/>
          <w:color w:val="auto"/>
          <w:lang w:eastAsia="ko-KR"/>
        </w:rPr>
        <w:t xml:space="preserve"> </w:t>
      </w:r>
    </w:p>
    <w:p w14:paraId="5315EF4E" w14:textId="77777777" w:rsidR="00555E82" w:rsidRDefault="00555E82" w:rsidP="00555E82">
      <w:pPr>
        <w:spacing w:before="120" w:after="200"/>
        <w:jc w:val="both"/>
        <w:rPr>
          <w:rFonts w:ascii="Book Antiqua" w:eastAsia="Wingdings" w:hAnsi="Book Antiqua"/>
          <w:sz w:val="24"/>
          <w:szCs w:val="24"/>
          <w:lang w:eastAsia="ko-KR"/>
        </w:rPr>
      </w:pPr>
      <w:r w:rsidRPr="005B0909">
        <w:rPr>
          <w:rFonts w:ascii="Book Antiqua" w:eastAsia="Wingdings" w:hAnsi="Book Antiqua"/>
          <w:sz w:val="24"/>
          <w:szCs w:val="24"/>
          <w:lang w:eastAsia="ko-KR"/>
        </w:rPr>
        <w:t>En cuanto al seguimiento de los cronogramas se compararon tanto los porcentajes de avance real versus el avance esperado y se clasificaron de la siguiente forma:</w:t>
      </w:r>
      <w:r>
        <w:rPr>
          <w:rFonts w:ascii="Book Antiqua" w:eastAsia="Wingdings" w:hAnsi="Book Antiqua"/>
          <w:sz w:val="24"/>
          <w:szCs w:val="24"/>
          <w:lang w:eastAsia="ko-KR"/>
        </w:rPr>
        <w:t xml:space="preserve"> </w:t>
      </w:r>
      <w:r w:rsidRPr="00BA1484">
        <w:rPr>
          <w:rFonts w:ascii="Book Antiqua" w:eastAsia="Wingdings" w:hAnsi="Book Antiqua"/>
          <w:sz w:val="24"/>
          <w:szCs w:val="24"/>
          <w:lang w:eastAsia="ko-KR"/>
        </w:rPr>
        <w:t xml:space="preserve"> </w:t>
      </w:r>
    </w:p>
    <w:p w14:paraId="0B8A572F" w14:textId="77777777" w:rsidR="00555E82" w:rsidRPr="00BA1484" w:rsidRDefault="00555E82" w:rsidP="00155AE5">
      <w:pPr>
        <w:pStyle w:val="Prrafodelista"/>
        <w:numPr>
          <w:ilvl w:val="0"/>
          <w:numId w:val="14"/>
        </w:numPr>
        <w:spacing w:after="0" w:line="240" w:lineRule="auto"/>
        <w:ind w:left="714" w:hanging="357"/>
        <w:contextualSpacing w:val="0"/>
        <w:jc w:val="both"/>
        <w:rPr>
          <w:rFonts w:ascii="Book Antiqua" w:hAnsi="Book Antiqua"/>
          <w:sz w:val="24"/>
          <w:szCs w:val="24"/>
        </w:rPr>
      </w:pPr>
      <w:r w:rsidRPr="00BA1484">
        <w:rPr>
          <w:rFonts w:ascii="Book Antiqua" w:hAnsi="Book Antiqua"/>
          <w:b/>
          <w:sz w:val="24"/>
          <w:szCs w:val="24"/>
        </w:rPr>
        <w:t>A tiempo:</w:t>
      </w:r>
      <w:r w:rsidRPr="00BA1484">
        <w:rPr>
          <w:rFonts w:ascii="Book Antiqua" w:hAnsi="Book Antiqua"/>
          <w:sz w:val="24"/>
          <w:szCs w:val="24"/>
        </w:rPr>
        <w:t xml:space="preserve"> se incluyen aquell</w:t>
      </w:r>
      <w:r>
        <w:rPr>
          <w:rFonts w:ascii="Book Antiqua" w:hAnsi="Book Antiqua"/>
          <w:sz w:val="24"/>
          <w:szCs w:val="24"/>
        </w:rPr>
        <w:t>a</w:t>
      </w:r>
      <w:r w:rsidRPr="00BA1484">
        <w:rPr>
          <w:rFonts w:ascii="Book Antiqua" w:hAnsi="Book Antiqua"/>
          <w:sz w:val="24"/>
          <w:szCs w:val="24"/>
        </w:rPr>
        <w:t xml:space="preserve">s </w:t>
      </w:r>
      <w:r>
        <w:rPr>
          <w:rFonts w:ascii="Book Antiqua" w:hAnsi="Book Antiqua"/>
          <w:sz w:val="24"/>
          <w:szCs w:val="24"/>
        </w:rPr>
        <w:t xml:space="preserve">labores operativas </w:t>
      </w:r>
      <w:r w:rsidRPr="00BA1484">
        <w:rPr>
          <w:rFonts w:ascii="Book Antiqua" w:hAnsi="Book Antiqua"/>
          <w:sz w:val="24"/>
          <w:szCs w:val="24"/>
        </w:rPr>
        <w:t xml:space="preserve">en los cuales su porcentaje de avance real es igual al porcentaje de avance esperado, también se incluyeron </w:t>
      </w:r>
      <w:r>
        <w:rPr>
          <w:rFonts w:ascii="Book Antiqua" w:hAnsi="Book Antiqua"/>
          <w:sz w:val="24"/>
          <w:szCs w:val="24"/>
        </w:rPr>
        <w:t>las iniciativas</w:t>
      </w:r>
      <w:r w:rsidRPr="00BA1484">
        <w:rPr>
          <w:rFonts w:ascii="Book Antiqua" w:hAnsi="Book Antiqua"/>
          <w:sz w:val="24"/>
          <w:szCs w:val="24"/>
        </w:rPr>
        <w:t xml:space="preserve"> con diferencias mínimas de 1% o 2% con relación al porcentaje esperado, lo cual no refleja un retraso significativo.</w:t>
      </w:r>
    </w:p>
    <w:p w14:paraId="553F635D" w14:textId="77777777" w:rsidR="00555E82" w:rsidRDefault="00555E82" w:rsidP="00555E82">
      <w:pPr>
        <w:pStyle w:val="Prrafodelista"/>
        <w:spacing w:after="0" w:line="240" w:lineRule="auto"/>
        <w:ind w:left="714"/>
        <w:contextualSpacing w:val="0"/>
        <w:jc w:val="both"/>
        <w:rPr>
          <w:rFonts w:ascii="Book Antiqua" w:hAnsi="Book Antiqua"/>
          <w:sz w:val="24"/>
          <w:szCs w:val="24"/>
        </w:rPr>
      </w:pPr>
    </w:p>
    <w:p w14:paraId="08EA2543" w14:textId="77777777" w:rsidR="00555E82" w:rsidRPr="00BA1484" w:rsidRDefault="00555E82" w:rsidP="00555E82">
      <w:pPr>
        <w:pStyle w:val="Prrafodelista"/>
        <w:spacing w:after="0" w:line="240" w:lineRule="auto"/>
        <w:ind w:left="714"/>
        <w:contextualSpacing w:val="0"/>
        <w:jc w:val="both"/>
        <w:rPr>
          <w:rFonts w:ascii="Book Antiqua" w:hAnsi="Book Antiqua"/>
          <w:sz w:val="24"/>
          <w:szCs w:val="24"/>
        </w:rPr>
      </w:pPr>
    </w:p>
    <w:p w14:paraId="19A42DEB" w14:textId="77777777" w:rsidR="00555E82" w:rsidRPr="00BA1484" w:rsidRDefault="00555E82" w:rsidP="00155AE5">
      <w:pPr>
        <w:pStyle w:val="Prrafodelista"/>
        <w:numPr>
          <w:ilvl w:val="0"/>
          <w:numId w:val="14"/>
        </w:numPr>
        <w:spacing w:after="0" w:line="240" w:lineRule="auto"/>
        <w:ind w:left="714" w:hanging="357"/>
        <w:contextualSpacing w:val="0"/>
        <w:jc w:val="both"/>
        <w:rPr>
          <w:rFonts w:ascii="Book Antiqua" w:hAnsi="Book Antiqua"/>
          <w:sz w:val="24"/>
          <w:szCs w:val="24"/>
        </w:rPr>
      </w:pPr>
      <w:r w:rsidRPr="00BA1484">
        <w:rPr>
          <w:rFonts w:ascii="Book Antiqua" w:hAnsi="Book Antiqua"/>
          <w:b/>
          <w:sz w:val="24"/>
          <w:szCs w:val="24"/>
        </w:rPr>
        <w:t>Adelantado:</w:t>
      </w:r>
      <w:r w:rsidRPr="00BA1484">
        <w:rPr>
          <w:rFonts w:ascii="Book Antiqua" w:hAnsi="Book Antiqua"/>
          <w:sz w:val="24"/>
          <w:szCs w:val="24"/>
        </w:rPr>
        <w:t xml:space="preserve"> sucede en los casos en que el porcentaje de avance real superó el porcentaje de avance esperado, lo cual indica que </w:t>
      </w:r>
      <w:r>
        <w:rPr>
          <w:rFonts w:ascii="Book Antiqua" w:hAnsi="Book Antiqua"/>
          <w:sz w:val="24"/>
          <w:szCs w:val="24"/>
        </w:rPr>
        <w:t xml:space="preserve">la labor operativa </w:t>
      </w:r>
      <w:r w:rsidRPr="00BA1484">
        <w:rPr>
          <w:rFonts w:ascii="Book Antiqua" w:hAnsi="Book Antiqua"/>
          <w:sz w:val="24"/>
          <w:szCs w:val="24"/>
        </w:rPr>
        <w:t>avanzó más de lo que se tenía programado durante el lapso que se consigna en el informe.</w:t>
      </w:r>
    </w:p>
    <w:p w14:paraId="4A825B26" w14:textId="77777777" w:rsidR="00555E82" w:rsidRPr="00BA1484" w:rsidRDefault="00555E82" w:rsidP="00555E82">
      <w:pPr>
        <w:spacing w:after="0" w:line="240" w:lineRule="auto"/>
        <w:jc w:val="both"/>
        <w:rPr>
          <w:rFonts w:ascii="Book Antiqua" w:hAnsi="Book Antiqua"/>
          <w:sz w:val="24"/>
          <w:szCs w:val="24"/>
        </w:rPr>
      </w:pPr>
    </w:p>
    <w:p w14:paraId="05EFA54A" w14:textId="77777777" w:rsidR="00555E82" w:rsidRPr="00BA1484" w:rsidRDefault="00555E82" w:rsidP="00155AE5">
      <w:pPr>
        <w:pStyle w:val="Prrafodelista"/>
        <w:numPr>
          <w:ilvl w:val="0"/>
          <w:numId w:val="14"/>
        </w:numPr>
        <w:spacing w:after="0" w:line="240" w:lineRule="auto"/>
        <w:ind w:left="714" w:hanging="357"/>
        <w:contextualSpacing w:val="0"/>
        <w:jc w:val="both"/>
        <w:rPr>
          <w:rFonts w:ascii="Book Antiqua" w:hAnsi="Book Antiqua"/>
          <w:sz w:val="24"/>
          <w:szCs w:val="24"/>
        </w:rPr>
      </w:pPr>
      <w:r w:rsidRPr="00BA1484">
        <w:rPr>
          <w:rFonts w:ascii="Book Antiqua" w:hAnsi="Book Antiqua"/>
          <w:b/>
          <w:sz w:val="24"/>
          <w:szCs w:val="24"/>
        </w:rPr>
        <w:lastRenderedPageBreak/>
        <w:t>Con retraso:</w:t>
      </w:r>
      <w:r w:rsidRPr="00BA1484">
        <w:rPr>
          <w:rFonts w:ascii="Book Antiqua" w:hAnsi="Book Antiqua"/>
          <w:sz w:val="24"/>
          <w:szCs w:val="24"/>
        </w:rPr>
        <w:t xml:space="preserve"> </w:t>
      </w:r>
      <w:r>
        <w:rPr>
          <w:rFonts w:ascii="Book Antiqua" w:hAnsi="Book Antiqua"/>
          <w:sz w:val="24"/>
          <w:szCs w:val="24"/>
        </w:rPr>
        <w:t>labores operativas</w:t>
      </w:r>
      <w:r w:rsidRPr="00BA1484">
        <w:rPr>
          <w:rFonts w:ascii="Book Antiqua" w:hAnsi="Book Antiqua"/>
          <w:sz w:val="24"/>
          <w:szCs w:val="24"/>
        </w:rPr>
        <w:t xml:space="preserve"> que en relación con la programación inicial presentan un porcentaje de avance inferior a un 2% del valor esperado, por ello se dice que están atrasados.</w:t>
      </w:r>
    </w:p>
    <w:p w14:paraId="55A4AB3F" w14:textId="77777777" w:rsidR="00555E82" w:rsidRDefault="00555E82" w:rsidP="00555E82">
      <w:pPr>
        <w:spacing w:after="0"/>
        <w:jc w:val="both"/>
        <w:rPr>
          <w:rFonts w:ascii="Book Antiqua" w:hAnsi="Book Antiqua"/>
        </w:rPr>
      </w:pPr>
    </w:p>
    <w:p w14:paraId="294A85E7" w14:textId="4338C9D3" w:rsidR="00555E82" w:rsidRDefault="00555E82" w:rsidP="00555E82">
      <w:pPr>
        <w:spacing w:after="0"/>
        <w:jc w:val="both"/>
        <w:rPr>
          <w:rFonts w:ascii="Book Antiqua" w:eastAsia="Wingdings" w:hAnsi="Book Antiqua"/>
          <w:color w:val="000000" w:themeColor="text1"/>
          <w:sz w:val="24"/>
          <w:szCs w:val="24"/>
          <w:lang w:eastAsia="ko-KR"/>
        </w:rPr>
      </w:pPr>
      <w:r w:rsidRPr="00257371">
        <w:rPr>
          <w:rFonts w:ascii="Book Antiqua" w:eastAsia="Wingdings" w:hAnsi="Book Antiqua"/>
          <w:sz w:val="24"/>
          <w:szCs w:val="24"/>
          <w:lang w:eastAsia="ko-KR"/>
        </w:rPr>
        <w:t>En lo que respecta al seguimiento del cronograma en labores operativas, se procedió a verificar el porcentaje de avance real versus el avance esperado, con el objetivo de catalogarlos según el resultado de la siguiente manera:</w:t>
      </w:r>
      <w:r w:rsidRPr="006A2043">
        <w:rPr>
          <w:rFonts w:ascii="Book Antiqua" w:eastAsia="Wingdings" w:hAnsi="Book Antiqua"/>
          <w:sz w:val="24"/>
          <w:szCs w:val="24"/>
          <w:lang w:eastAsia="ko-KR"/>
        </w:rPr>
        <w:t xml:space="preserve"> “Adelantado” “A tiempo” o “</w:t>
      </w:r>
      <w:r w:rsidRPr="00A75D29">
        <w:rPr>
          <w:rFonts w:ascii="Book Antiqua" w:eastAsia="Wingdings" w:hAnsi="Book Antiqua"/>
          <w:sz w:val="24"/>
          <w:szCs w:val="24"/>
          <w:lang w:eastAsia="ko-KR"/>
        </w:rPr>
        <w:t xml:space="preserve">Atrasado. </w:t>
      </w:r>
      <w:r w:rsidRPr="00A75D29">
        <w:rPr>
          <w:rFonts w:ascii="Book Antiqua" w:eastAsia="Wingdings" w:hAnsi="Book Antiqua"/>
          <w:color w:val="000000" w:themeColor="text1"/>
          <w:sz w:val="24"/>
          <w:szCs w:val="24"/>
          <w:lang w:eastAsia="ko-KR"/>
        </w:rPr>
        <w:t xml:space="preserve">De esta forma se obtuvo que, del total de las </w:t>
      </w:r>
      <w:r w:rsidR="00A75D29" w:rsidRPr="00A75D29">
        <w:rPr>
          <w:rFonts w:ascii="Book Antiqua" w:eastAsia="Wingdings" w:hAnsi="Book Antiqua"/>
          <w:color w:val="000000" w:themeColor="text1"/>
          <w:sz w:val="24"/>
          <w:szCs w:val="24"/>
          <w:lang w:eastAsia="ko-KR"/>
        </w:rPr>
        <w:t>51</w:t>
      </w:r>
      <w:r w:rsidRPr="00A75D29">
        <w:rPr>
          <w:rFonts w:ascii="Book Antiqua" w:eastAsia="Wingdings" w:hAnsi="Book Antiqua"/>
          <w:color w:val="000000" w:themeColor="text1"/>
          <w:sz w:val="24"/>
          <w:szCs w:val="24"/>
          <w:lang w:eastAsia="ko-KR"/>
        </w:rPr>
        <w:t xml:space="preserve"> labores operativas, 4</w:t>
      </w:r>
      <w:r w:rsidR="00A75D29" w:rsidRPr="00A75D29">
        <w:rPr>
          <w:rFonts w:ascii="Book Antiqua" w:eastAsia="Wingdings" w:hAnsi="Book Antiqua"/>
          <w:color w:val="000000" w:themeColor="text1"/>
          <w:sz w:val="24"/>
          <w:szCs w:val="24"/>
          <w:lang w:eastAsia="ko-KR"/>
        </w:rPr>
        <w:t>7</w:t>
      </w:r>
      <w:r w:rsidRPr="00A75D29">
        <w:rPr>
          <w:rFonts w:ascii="Book Antiqua" w:eastAsia="Wingdings" w:hAnsi="Book Antiqua"/>
          <w:color w:val="000000" w:themeColor="text1"/>
          <w:sz w:val="24"/>
          <w:szCs w:val="24"/>
          <w:lang w:eastAsia="ko-KR"/>
        </w:rPr>
        <w:t xml:space="preserve"> se encuentran a tiempo, 3 registraron atraso y 1 mostró un adelanto, conforme a lo proyectado. En el siguiente enlace se muestra el </w:t>
      </w:r>
      <w:hyperlink r:id="rId68" w:history="1">
        <w:r w:rsidRPr="00A75D29">
          <w:rPr>
            <w:rStyle w:val="Hipervnculo"/>
            <w:rFonts w:ascii="Book Antiqua" w:eastAsia="Wingdings" w:hAnsi="Book Antiqua"/>
            <w:sz w:val="24"/>
            <w:szCs w:val="24"/>
            <w:lang w:eastAsia="ko-KR"/>
          </w:rPr>
          <w:t>Cálculo de Rendimiento de los Indicadores por Proyecto</w:t>
        </w:r>
      </w:hyperlink>
      <w:r w:rsidRPr="00A75D29">
        <w:rPr>
          <w:rFonts w:ascii="Book Antiqua" w:eastAsia="Wingdings" w:hAnsi="Book Antiqua"/>
          <w:color w:val="000000" w:themeColor="text1"/>
          <w:sz w:val="24"/>
          <w:szCs w:val="24"/>
          <w:lang w:eastAsia="ko-KR"/>
        </w:rPr>
        <w:t>.</w:t>
      </w:r>
      <w:r>
        <w:rPr>
          <w:rFonts w:ascii="Book Antiqua" w:eastAsia="Wingdings" w:hAnsi="Book Antiqua"/>
          <w:color w:val="000000" w:themeColor="text1"/>
          <w:sz w:val="24"/>
          <w:szCs w:val="24"/>
          <w:lang w:eastAsia="ko-KR"/>
        </w:rPr>
        <w:t xml:space="preserve"> </w:t>
      </w:r>
    </w:p>
    <w:p w14:paraId="2AFFA59E" w14:textId="77777777" w:rsidR="00555E82" w:rsidRDefault="00555E82" w:rsidP="00555E82">
      <w:pPr>
        <w:spacing w:after="0"/>
        <w:jc w:val="both"/>
        <w:rPr>
          <w:rFonts w:ascii="Book Antiqua" w:eastAsia="Wingdings" w:hAnsi="Book Antiqua"/>
          <w:color w:val="000000" w:themeColor="text1"/>
          <w:sz w:val="24"/>
          <w:szCs w:val="24"/>
          <w:lang w:eastAsia="ko-KR"/>
        </w:rPr>
      </w:pPr>
    </w:p>
    <w:p w14:paraId="2C8168CE" w14:textId="77777777" w:rsidR="00555E82" w:rsidRDefault="00555E82" w:rsidP="00555E82">
      <w:pPr>
        <w:spacing w:after="0"/>
        <w:jc w:val="both"/>
        <w:rPr>
          <w:rFonts w:ascii="Book Antiqua" w:eastAsia="Wingdings" w:hAnsi="Book Antiqua"/>
          <w:color w:val="000000" w:themeColor="text1"/>
          <w:sz w:val="24"/>
          <w:szCs w:val="24"/>
          <w:lang w:eastAsia="ko-KR"/>
        </w:rPr>
      </w:pPr>
      <w:r w:rsidRPr="00257371">
        <w:rPr>
          <w:rFonts w:ascii="Book Antiqua" w:eastAsia="Wingdings" w:hAnsi="Book Antiqua"/>
          <w:color w:val="000000" w:themeColor="text1"/>
          <w:sz w:val="24"/>
          <w:szCs w:val="24"/>
          <w:lang w:eastAsia="ko-KR"/>
        </w:rPr>
        <w:t>Lo anterior, se puede observar en el siguiente gráfico:</w:t>
      </w:r>
    </w:p>
    <w:p w14:paraId="071AC84C" w14:textId="77777777" w:rsidR="00555E82" w:rsidRDefault="00555E82" w:rsidP="00555E82">
      <w:pPr>
        <w:spacing w:after="0"/>
        <w:jc w:val="both"/>
        <w:rPr>
          <w:rFonts w:ascii="Book Antiqua" w:hAnsi="Book Antiqua"/>
        </w:rPr>
      </w:pPr>
    </w:p>
    <w:p w14:paraId="161D955C" w14:textId="487E5B28" w:rsidR="00555E82" w:rsidRDefault="00413346" w:rsidP="00555E82">
      <w:pPr>
        <w:spacing w:after="0"/>
        <w:jc w:val="center"/>
        <w:rPr>
          <w:rFonts w:ascii="Book Antiqua" w:eastAsia="Wingdings" w:hAnsi="Book Antiqua"/>
          <w:b/>
          <w:bCs/>
          <w:sz w:val="24"/>
          <w:szCs w:val="24"/>
          <w:lang w:eastAsia="ko-KR"/>
        </w:rPr>
      </w:pPr>
      <w:r w:rsidRPr="000B4CD9">
        <w:rPr>
          <w:rFonts w:ascii="Book Antiqua" w:hAnsi="Book Antiqua"/>
          <w:b/>
          <w:bCs/>
          <w:sz w:val="24"/>
          <w:szCs w:val="24"/>
        </w:rPr>
        <w:t xml:space="preserve">Figura </w:t>
      </w:r>
      <w:r w:rsidRPr="000B4CD9">
        <w:rPr>
          <w:rFonts w:ascii="Book Antiqua" w:hAnsi="Book Antiqua"/>
          <w:b/>
          <w:bCs/>
          <w:i/>
          <w:iCs/>
          <w:sz w:val="24"/>
          <w:szCs w:val="24"/>
        </w:rPr>
        <w:fldChar w:fldCharType="begin"/>
      </w:r>
      <w:r w:rsidRPr="000B4CD9">
        <w:rPr>
          <w:rFonts w:ascii="Book Antiqua" w:hAnsi="Book Antiqua"/>
          <w:b/>
          <w:bCs/>
          <w:sz w:val="24"/>
          <w:szCs w:val="24"/>
        </w:rPr>
        <w:instrText xml:space="preserve"> SEQ Figura \* ARABIC </w:instrText>
      </w:r>
      <w:r w:rsidRPr="000B4CD9">
        <w:rPr>
          <w:rFonts w:ascii="Book Antiqua" w:hAnsi="Book Antiqua"/>
          <w:b/>
          <w:bCs/>
          <w:i/>
          <w:iCs/>
          <w:sz w:val="24"/>
          <w:szCs w:val="24"/>
        </w:rPr>
        <w:fldChar w:fldCharType="separate"/>
      </w:r>
      <w:r w:rsidR="00A75D29">
        <w:rPr>
          <w:rFonts w:ascii="Book Antiqua" w:hAnsi="Book Antiqua"/>
          <w:b/>
          <w:bCs/>
          <w:noProof/>
          <w:sz w:val="24"/>
          <w:szCs w:val="24"/>
        </w:rPr>
        <w:t>5</w:t>
      </w:r>
      <w:r w:rsidRPr="000B4CD9">
        <w:rPr>
          <w:rFonts w:ascii="Book Antiqua" w:hAnsi="Book Antiqua"/>
          <w:b/>
          <w:bCs/>
          <w:i/>
          <w:iCs/>
          <w:sz w:val="24"/>
          <w:szCs w:val="24"/>
        </w:rPr>
        <w:fldChar w:fldCharType="end"/>
      </w:r>
      <w:r w:rsidRPr="000B4CD9">
        <w:rPr>
          <w:rFonts w:ascii="Book Antiqua" w:hAnsi="Book Antiqua"/>
          <w:b/>
          <w:bCs/>
          <w:sz w:val="24"/>
          <w:szCs w:val="24"/>
        </w:rPr>
        <w:t xml:space="preserve"> </w:t>
      </w:r>
      <w:r w:rsidR="00555E82" w:rsidRPr="006225D2">
        <w:rPr>
          <w:rFonts w:ascii="Book Antiqua" w:eastAsia="Wingdings" w:hAnsi="Book Antiqua"/>
          <w:b/>
          <w:bCs/>
          <w:sz w:val="24"/>
          <w:szCs w:val="24"/>
          <w:lang w:eastAsia="ko-KR"/>
        </w:rPr>
        <w:t>Distribución</w:t>
      </w:r>
      <w:r w:rsidR="00555E82" w:rsidRPr="00AE3D1C">
        <w:rPr>
          <w:rFonts w:ascii="Book Antiqua" w:eastAsia="Wingdings" w:hAnsi="Book Antiqua"/>
          <w:b/>
          <w:bCs/>
          <w:sz w:val="24"/>
          <w:szCs w:val="24"/>
          <w:lang w:eastAsia="ko-KR"/>
        </w:rPr>
        <w:t xml:space="preserve"> de los proyectos operativos según avance reportado dentro de la plataforma MS Project Online</w:t>
      </w:r>
      <w:r w:rsidR="00E75258">
        <w:rPr>
          <w:rFonts w:ascii="Book Antiqua" w:eastAsia="Wingdings" w:hAnsi="Book Antiqua"/>
          <w:b/>
          <w:bCs/>
          <w:sz w:val="24"/>
          <w:szCs w:val="24"/>
          <w:lang w:eastAsia="ko-KR"/>
        </w:rPr>
        <w:t xml:space="preserve"> al 28 de abril del 2023</w:t>
      </w:r>
    </w:p>
    <w:p w14:paraId="07F7A4A5" w14:textId="77777777" w:rsidR="00555E82" w:rsidRDefault="00555E82" w:rsidP="00555E82">
      <w:pPr>
        <w:spacing w:after="0"/>
        <w:rPr>
          <w:rFonts w:ascii="Book Antiqua" w:eastAsia="Wingdings" w:hAnsi="Book Antiqua"/>
          <w:b/>
          <w:bCs/>
          <w:sz w:val="24"/>
          <w:szCs w:val="24"/>
          <w:lang w:eastAsia="ko-KR"/>
        </w:rPr>
      </w:pPr>
      <w:r>
        <w:rPr>
          <w:noProof/>
        </w:rPr>
        <w:drawing>
          <wp:inline distT="0" distB="0" distL="0" distR="0" wp14:anchorId="1110CF66" wp14:editId="4CF143E9">
            <wp:extent cx="5054600" cy="2571750"/>
            <wp:effectExtent l="0" t="0" r="12700" b="0"/>
            <wp:docPr id="1509457011" name="Gráfico 5">
              <a:extLst xmlns:a="http://schemas.openxmlformats.org/drawingml/2006/main">
                <a:ext uri="{FF2B5EF4-FFF2-40B4-BE49-F238E27FC236}">
                  <a16:creationId xmlns:a16="http://schemas.microsoft.com/office/drawing/2014/main" id="{81E646E7-4817-4D89-B1B5-B5095C88B9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2740696" w14:textId="77777777" w:rsidR="00555E82" w:rsidRPr="007F1F38" w:rsidRDefault="00555E82" w:rsidP="00555E82">
      <w:pPr>
        <w:spacing w:after="0"/>
        <w:jc w:val="center"/>
        <w:rPr>
          <w:rFonts w:ascii="Book Antiqua" w:hAnsi="Book Antiqua"/>
          <w:noProof/>
          <w:sz w:val="20"/>
          <w:szCs w:val="20"/>
        </w:rPr>
      </w:pPr>
      <w:r w:rsidRPr="007F1F38">
        <w:rPr>
          <w:rFonts w:ascii="Book Antiqua" w:hAnsi="Book Antiqua"/>
          <w:b/>
          <w:bCs/>
          <w:noProof/>
          <w:sz w:val="20"/>
          <w:szCs w:val="20"/>
        </w:rPr>
        <w:t>Fuente:</w:t>
      </w:r>
      <w:r w:rsidRPr="007F1F38">
        <w:rPr>
          <w:rFonts w:ascii="Book Antiqua" w:hAnsi="Book Antiqua"/>
          <w:noProof/>
          <w:sz w:val="20"/>
          <w:szCs w:val="20"/>
        </w:rPr>
        <w:t xml:space="preserve"> Elaboración propia con datos de los cronogramas  MS Project Online</w:t>
      </w:r>
    </w:p>
    <w:p w14:paraId="782D8E9E" w14:textId="77777777" w:rsidR="00555E82" w:rsidRDefault="00555E82" w:rsidP="00555E82">
      <w:pPr>
        <w:spacing w:after="0"/>
        <w:jc w:val="center"/>
        <w:rPr>
          <w:noProof/>
        </w:rPr>
      </w:pPr>
    </w:p>
    <w:p w14:paraId="06C53358" w14:textId="6F5FC3E3" w:rsidR="00555E82" w:rsidRDefault="00555E82" w:rsidP="00555E82">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t xml:space="preserve">Es importante destacar que los </w:t>
      </w:r>
      <w:r w:rsidR="00A75D29">
        <w:rPr>
          <w:rFonts w:ascii="Book Antiqua" w:eastAsia="Wingdings" w:hAnsi="Book Antiqua"/>
          <w:sz w:val="24"/>
          <w:szCs w:val="24"/>
          <w:lang w:eastAsia="ko-KR"/>
        </w:rPr>
        <w:t>51</w:t>
      </w:r>
      <w:r>
        <w:rPr>
          <w:rFonts w:ascii="Book Antiqua" w:eastAsia="Wingdings" w:hAnsi="Book Antiqua"/>
          <w:sz w:val="24"/>
          <w:szCs w:val="24"/>
          <w:lang w:eastAsia="ko-KR"/>
        </w:rPr>
        <w:t xml:space="preserve"> proyectos cuentan con los cronogramas actualizados a la fecha, según la labor operativa a su cargo y todos aportaron en tiempo el Informe de Avance en la fecha programada.  En el siguiente </w:t>
      </w:r>
      <w:r w:rsidR="005B5B60">
        <w:rPr>
          <w:rFonts w:ascii="Book Antiqua" w:eastAsia="Wingdings" w:hAnsi="Book Antiqua"/>
          <w:sz w:val="24"/>
          <w:szCs w:val="24"/>
          <w:lang w:eastAsia="ko-KR"/>
        </w:rPr>
        <w:t>enlace</w:t>
      </w:r>
      <w:r>
        <w:rPr>
          <w:rFonts w:ascii="Book Antiqua" w:eastAsia="Wingdings" w:hAnsi="Book Antiqua"/>
          <w:sz w:val="24"/>
          <w:szCs w:val="24"/>
          <w:lang w:eastAsia="ko-KR"/>
        </w:rPr>
        <w:t xml:space="preserve"> se muestra el detalle de los </w:t>
      </w:r>
      <w:hyperlink r:id="rId70" w:history="1">
        <w:r w:rsidRPr="005C1874">
          <w:rPr>
            <w:rStyle w:val="Hipervnculo"/>
            <w:rFonts w:ascii="Book Antiqua" w:eastAsia="Wingdings" w:hAnsi="Book Antiqua"/>
            <w:sz w:val="24"/>
            <w:szCs w:val="24"/>
            <w:lang w:eastAsia="ko-KR"/>
          </w:rPr>
          <w:t>Cronogramas elaborados de Proyectos Operativos</w:t>
        </w:r>
      </w:hyperlink>
      <w:r>
        <w:rPr>
          <w:rFonts w:ascii="Book Antiqua" w:eastAsia="Wingdings" w:hAnsi="Book Antiqua"/>
          <w:sz w:val="24"/>
          <w:szCs w:val="24"/>
          <w:lang w:eastAsia="ko-KR"/>
        </w:rPr>
        <w:t>.</w:t>
      </w:r>
    </w:p>
    <w:p w14:paraId="564F78D4" w14:textId="77777777" w:rsidR="00555E82" w:rsidRDefault="00555E82" w:rsidP="00555E82">
      <w:pPr>
        <w:spacing w:after="0"/>
        <w:jc w:val="both"/>
        <w:rPr>
          <w:rFonts w:ascii="Book Antiqua" w:eastAsia="Wingdings" w:hAnsi="Book Antiqua"/>
          <w:sz w:val="24"/>
          <w:szCs w:val="24"/>
          <w:lang w:eastAsia="ko-KR"/>
        </w:rPr>
      </w:pPr>
    </w:p>
    <w:p w14:paraId="41DB5041" w14:textId="151FE1B8" w:rsidR="00555E82" w:rsidRDefault="00555E82" w:rsidP="00555E82">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t xml:space="preserve">Este ejercicio implicó la revisión del cronograma y la inclusión de tareas y actividades, con el objetivo de hacer más precisa la valoración de los resultados de </w:t>
      </w:r>
      <w:r>
        <w:rPr>
          <w:rFonts w:ascii="Book Antiqua" w:eastAsia="Wingdings" w:hAnsi="Book Antiqua"/>
          <w:sz w:val="24"/>
          <w:szCs w:val="24"/>
          <w:lang w:eastAsia="ko-KR"/>
        </w:rPr>
        <w:lastRenderedPageBreak/>
        <w:t xml:space="preserve">las labores operativas con permisos con goce de salario otorgados mediante artículo </w:t>
      </w:r>
      <w:r w:rsidRPr="74805352">
        <w:rPr>
          <w:rFonts w:ascii="Book Antiqua" w:eastAsia="Wingdings" w:hAnsi="Book Antiqua"/>
          <w:sz w:val="24"/>
          <w:szCs w:val="24"/>
          <w:lang w:eastAsia="ko-KR"/>
        </w:rPr>
        <w:t>N</w:t>
      </w:r>
      <w:r>
        <w:rPr>
          <w:rFonts w:ascii="Book Antiqua" w:eastAsia="Wingdings" w:hAnsi="Book Antiqua"/>
          <w:sz w:val="24"/>
          <w:szCs w:val="24"/>
          <w:lang w:eastAsia="ko-KR"/>
        </w:rPr>
        <w:t xml:space="preserve">°44 de la Ley Orgánica del Poder Judicial y determinar un uso eficiente de los recursos que se están asignando. </w:t>
      </w:r>
      <w:r w:rsidRPr="00257371">
        <w:rPr>
          <w:rFonts w:ascii="Book Antiqua" w:eastAsia="Wingdings" w:hAnsi="Book Antiqua"/>
          <w:sz w:val="24"/>
          <w:szCs w:val="24"/>
          <w:lang w:eastAsia="ko-KR"/>
        </w:rPr>
        <w:t>El detalle de</w:t>
      </w:r>
      <w:r>
        <w:rPr>
          <w:rFonts w:ascii="Book Antiqua" w:eastAsia="Wingdings" w:hAnsi="Book Antiqua"/>
          <w:sz w:val="24"/>
          <w:szCs w:val="24"/>
          <w:lang w:eastAsia="ko-KR"/>
        </w:rPr>
        <w:t xml:space="preserve"> los informes de avance presentado por las oficinas con fecha de corte al 28 de abril se incluye en el siguiente </w:t>
      </w:r>
      <w:r w:rsidR="005B5B60">
        <w:rPr>
          <w:rFonts w:ascii="Book Antiqua" w:eastAsia="Wingdings" w:hAnsi="Book Antiqua"/>
          <w:sz w:val="24"/>
          <w:szCs w:val="24"/>
          <w:lang w:eastAsia="ko-KR"/>
        </w:rPr>
        <w:t>enlace</w:t>
      </w:r>
      <w:r>
        <w:rPr>
          <w:rFonts w:ascii="Book Antiqua" w:eastAsia="Wingdings" w:hAnsi="Book Antiqua"/>
          <w:sz w:val="24"/>
          <w:szCs w:val="24"/>
          <w:lang w:eastAsia="ko-KR"/>
        </w:rPr>
        <w:t xml:space="preserve">: </w:t>
      </w:r>
      <w:hyperlink r:id="rId71" w:history="1">
        <w:r w:rsidRPr="007B1F03">
          <w:rPr>
            <w:rStyle w:val="Hipervnculo"/>
            <w:rFonts w:ascii="Book Antiqua" w:eastAsia="Wingdings" w:hAnsi="Book Antiqua"/>
            <w:sz w:val="24"/>
            <w:szCs w:val="24"/>
            <w:lang w:eastAsia="ko-KR"/>
          </w:rPr>
          <w:t>Informes de Avance</w:t>
        </w:r>
      </w:hyperlink>
      <w:r>
        <w:rPr>
          <w:rFonts w:ascii="Book Antiqua" w:eastAsia="Wingdings" w:hAnsi="Book Antiqua"/>
          <w:sz w:val="24"/>
          <w:szCs w:val="24"/>
          <w:lang w:eastAsia="ko-KR"/>
        </w:rPr>
        <w:t>.</w:t>
      </w:r>
    </w:p>
    <w:p w14:paraId="15A2B564" w14:textId="77777777" w:rsidR="00555E82" w:rsidRDefault="00555E82" w:rsidP="00555E82">
      <w:pPr>
        <w:spacing w:after="0"/>
        <w:jc w:val="both"/>
        <w:rPr>
          <w:rFonts w:ascii="Book Antiqua" w:eastAsia="Wingdings" w:hAnsi="Book Antiqua"/>
          <w:sz w:val="24"/>
          <w:szCs w:val="24"/>
          <w:lang w:eastAsia="ko-KR"/>
        </w:rPr>
      </w:pPr>
    </w:p>
    <w:p w14:paraId="3ADF9A9E" w14:textId="73E0F453" w:rsidR="00555E82" w:rsidRDefault="00555E82" w:rsidP="00555E82">
      <w:pPr>
        <w:spacing w:after="0"/>
        <w:jc w:val="both"/>
        <w:rPr>
          <w:rFonts w:ascii="Book Antiqua" w:eastAsia="Wingdings" w:hAnsi="Book Antiqua"/>
          <w:sz w:val="24"/>
          <w:szCs w:val="24"/>
          <w:lang w:eastAsia="ko-KR"/>
        </w:rPr>
      </w:pPr>
      <w:r w:rsidRPr="0046283B">
        <w:rPr>
          <w:rFonts w:ascii="Book Antiqua" w:eastAsia="Wingdings" w:hAnsi="Book Antiqua"/>
          <w:sz w:val="24"/>
          <w:szCs w:val="24"/>
          <w:lang w:eastAsia="ko-KR"/>
        </w:rPr>
        <w:t xml:space="preserve">El detalle de los resultados de los cronogramas de las labores operativas se adjunta en el </w:t>
      </w:r>
      <w:r>
        <w:rPr>
          <w:rFonts w:ascii="Book Antiqua" w:eastAsia="Wingdings" w:hAnsi="Book Antiqua"/>
          <w:sz w:val="24"/>
          <w:szCs w:val="24"/>
          <w:lang w:eastAsia="ko-KR"/>
        </w:rPr>
        <w:t xml:space="preserve">siguiente </w:t>
      </w:r>
      <w:r w:rsidR="005B5B60">
        <w:rPr>
          <w:rFonts w:ascii="Book Antiqua" w:eastAsia="Wingdings" w:hAnsi="Book Antiqua"/>
          <w:sz w:val="24"/>
          <w:szCs w:val="24"/>
          <w:lang w:eastAsia="ko-KR"/>
        </w:rPr>
        <w:t>enlace</w:t>
      </w:r>
      <w:r>
        <w:rPr>
          <w:rFonts w:ascii="Book Antiqua" w:eastAsia="Wingdings" w:hAnsi="Book Antiqua"/>
          <w:sz w:val="24"/>
          <w:szCs w:val="24"/>
          <w:lang w:eastAsia="ko-KR"/>
        </w:rPr>
        <w:t xml:space="preserve">: </w:t>
      </w:r>
      <w:hyperlink r:id="rId72" w:history="1">
        <w:r w:rsidRPr="00413089">
          <w:rPr>
            <w:rStyle w:val="Hipervnculo"/>
            <w:rFonts w:ascii="Book Antiqua" w:eastAsia="Wingdings" w:hAnsi="Book Antiqua"/>
            <w:sz w:val="24"/>
            <w:szCs w:val="24"/>
            <w:lang w:eastAsia="ko-KR"/>
          </w:rPr>
          <w:t>Resultado de Seguimiento de los Cronogramas</w:t>
        </w:r>
      </w:hyperlink>
      <w:r>
        <w:rPr>
          <w:rFonts w:ascii="Book Antiqua" w:eastAsia="Wingdings" w:hAnsi="Book Antiqua"/>
          <w:sz w:val="24"/>
          <w:szCs w:val="24"/>
          <w:lang w:eastAsia="ko-KR"/>
        </w:rPr>
        <w:t xml:space="preserve">. </w:t>
      </w:r>
    </w:p>
    <w:p w14:paraId="14DB2B09" w14:textId="77777777" w:rsidR="00555E82" w:rsidRDefault="00555E82" w:rsidP="00555E82">
      <w:pPr>
        <w:spacing w:after="0" w:line="240" w:lineRule="auto"/>
        <w:jc w:val="center"/>
        <w:rPr>
          <w:rFonts w:ascii="Book Antiqua" w:eastAsia="Wingdings" w:hAnsi="Book Antiqua"/>
          <w:b/>
          <w:sz w:val="24"/>
          <w:szCs w:val="24"/>
          <w:lang w:eastAsia="ko-KR"/>
        </w:rPr>
      </w:pPr>
    </w:p>
    <w:p w14:paraId="370EC7FE" w14:textId="77777777" w:rsidR="00555E82" w:rsidRDefault="00555E82" w:rsidP="00FB1879">
      <w:pPr>
        <w:spacing w:after="0" w:line="240" w:lineRule="auto"/>
        <w:rPr>
          <w:rFonts w:ascii="Book Antiqua" w:eastAsia="Wingdings" w:hAnsi="Book Antiqua"/>
          <w:sz w:val="24"/>
          <w:szCs w:val="24"/>
          <w:lang w:eastAsia="ko-KR"/>
        </w:rPr>
      </w:pPr>
      <w:r>
        <w:rPr>
          <w:rFonts w:ascii="Book Antiqua" w:eastAsia="Wingdings" w:hAnsi="Book Antiqua"/>
          <w:sz w:val="24"/>
          <w:szCs w:val="24"/>
          <w:lang w:eastAsia="ko-KR"/>
        </w:rPr>
        <w:t>A continuación se detalla los proyectos operativos que presentaron atraso en las labores programadas en el cronograma y sus respectivas justificaciones.</w:t>
      </w:r>
    </w:p>
    <w:p w14:paraId="7CA588BD" w14:textId="77777777" w:rsidR="00555E82" w:rsidRDefault="00555E82" w:rsidP="00555E82">
      <w:pPr>
        <w:spacing w:after="0" w:line="240" w:lineRule="auto"/>
        <w:jc w:val="center"/>
        <w:rPr>
          <w:rFonts w:ascii="Book Antiqua" w:eastAsia="Wingdings" w:hAnsi="Book Antiqua"/>
          <w:b/>
          <w:sz w:val="24"/>
          <w:szCs w:val="24"/>
          <w:lang w:eastAsia="ko-KR"/>
        </w:rPr>
      </w:pPr>
    </w:p>
    <w:p w14:paraId="757BC08E" w14:textId="47F229F2" w:rsidR="00555E82" w:rsidRDefault="00413346" w:rsidP="00555E82">
      <w:pPr>
        <w:spacing w:after="0" w:line="240" w:lineRule="auto"/>
        <w:jc w:val="center"/>
        <w:rPr>
          <w:rFonts w:ascii="Book Antiqua" w:eastAsia="Wingdings" w:hAnsi="Book Antiqua"/>
          <w:b/>
          <w:bCs/>
          <w:sz w:val="24"/>
          <w:szCs w:val="24"/>
          <w:lang w:eastAsia="ko-KR"/>
        </w:rPr>
      </w:pPr>
      <w:r w:rsidRPr="00A7495E">
        <w:rPr>
          <w:rFonts w:ascii="Book Antiqua" w:hAnsi="Book Antiqua" w:cs="&amp;quot"/>
          <w:b/>
          <w:sz w:val="24"/>
          <w:szCs w:val="24"/>
        </w:rPr>
        <w:t xml:space="preserve">Tabla </w:t>
      </w:r>
      <w:r w:rsidRPr="00A7495E">
        <w:rPr>
          <w:rFonts w:ascii="Book Antiqua" w:hAnsi="Book Antiqua" w:cs="&amp;quot"/>
          <w:b/>
          <w:i/>
          <w:iCs/>
          <w:sz w:val="24"/>
          <w:szCs w:val="24"/>
        </w:rPr>
        <w:fldChar w:fldCharType="begin"/>
      </w:r>
      <w:r w:rsidRPr="00A7495E">
        <w:rPr>
          <w:rFonts w:ascii="Book Antiqua" w:hAnsi="Book Antiqua" w:cs="&amp;quot"/>
          <w:b/>
          <w:sz w:val="24"/>
          <w:szCs w:val="24"/>
        </w:rPr>
        <w:instrText xml:space="preserve"> SEQ Tabla \* ARABIC </w:instrText>
      </w:r>
      <w:r w:rsidRPr="00A7495E">
        <w:rPr>
          <w:rFonts w:ascii="Book Antiqua" w:hAnsi="Book Antiqua" w:cs="&amp;quot"/>
          <w:b/>
          <w:i/>
          <w:iCs/>
          <w:sz w:val="24"/>
          <w:szCs w:val="24"/>
        </w:rPr>
        <w:fldChar w:fldCharType="separate"/>
      </w:r>
      <w:r w:rsidR="000A3123">
        <w:rPr>
          <w:rFonts w:ascii="Book Antiqua" w:hAnsi="Book Antiqua" w:cs="&amp;quot"/>
          <w:b/>
          <w:noProof/>
          <w:sz w:val="24"/>
          <w:szCs w:val="24"/>
        </w:rPr>
        <w:t>33</w:t>
      </w:r>
      <w:r w:rsidRPr="00A7495E">
        <w:rPr>
          <w:rFonts w:ascii="Book Antiqua" w:hAnsi="Book Antiqua" w:cs="&amp;quot"/>
          <w:b/>
          <w:i/>
          <w:iCs/>
          <w:sz w:val="24"/>
          <w:szCs w:val="24"/>
        </w:rPr>
        <w:fldChar w:fldCharType="end"/>
      </w:r>
      <w:r>
        <w:rPr>
          <w:rFonts w:ascii="Book Antiqua" w:hAnsi="Book Antiqua" w:cs="&amp;quot"/>
          <w:b/>
          <w:i/>
          <w:iCs/>
          <w:sz w:val="24"/>
          <w:szCs w:val="24"/>
        </w:rPr>
        <w:t xml:space="preserve"> </w:t>
      </w:r>
      <w:r w:rsidRPr="00E75258">
        <w:rPr>
          <w:rFonts w:ascii="Book Antiqua" w:hAnsi="Book Antiqua"/>
          <w:b/>
          <w:bCs/>
          <w:sz w:val="24"/>
          <w:szCs w:val="24"/>
          <w:lang w:eastAsia="ko-KR"/>
        </w:rPr>
        <w:t xml:space="preserve"> </w:t>
      </w:r>
      <w:r w:rsidR="00555E82">
        <w:rPr>
          <w:rFonts w:ascii="Book Antiqua" w:eastAsia="Wingdings" w:hAnsi="Book Antiqua"/>
          <w:b/>
          <w:bCs/>
          <w:sz w:val="24"/>
          <w:szCs w:val="24"/>
          <w:lang w:eastAsia="ko-KR"/>
        </w:rPr>
        <w:t>Detalle de labores operativas que reportaron el cronograma con atraso</w:t>
      </w:r>
    </w:p>
    <w:p w14:paraId="14ACA317" w14:textId="77777777" w:rsidR="00555E82" w:rsidRDefault="00555E82" w:rsidP="00555E82">
      <w:pPr>
        <w:spacing w:after="0" w:line="240" w:lineRule="auto"/>
        <w:jc w:val="center"/>
        <w:rPr>
          <w:rFonts w:ascii="Book Antiqua" w:eastAsia="Wingdings" w:hAnsi="Book Antiqua"/>
          <w:b/>
          <w:sz w:val="24"/>
          <w:szCs w:val="24"/>
          <w:lang w:eastAsia="ko-KR"/>
        </w:rPr>
      </w:pPr>
      <w:r w:rsidRPr="00543ECE">
        <w:rPr>
          <w:noProof/>
        </w:rPr>
        <w:drawing>
          <wp:inline distT="0" distB="0" distL="0" distR="0" wp14:anchorId="5EC722E6" wp14:editId="1892C8EB">
            <wp:extent cx="5782669" cy="3789738"/>
            <wp:effectExtent l="0" t="0" r="8890" b="1270"/>
            <wp:docPr id="1101933790" name="Picture 110193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22230" cy="3815665"/>
                    </a:xfrm>
                    <a:prstGeom prst="rect">
                      <a:avLst/>
                    </a:prstGeom>
                    <a:noFill/>
                    <a:ln>
                      <a:noFill/>
                    </a:ln>
                  </pic:spPr>
                </pic:pic>
              </a:graphicData>
            </a:graphic>
          </wp:inline>
        </w:drawing>
      </w:r>
    </w:p>
    <w:p w14:paraId="3DF97243" w14:textId="77777777" w:rsidR="00555E82" w:rsidRDefault="00555E82" w:rsidP="00555E82">
      <w:pPr>
        <w:spacing w:after="120"/>
        <w:jc w:val="both"/>
        <w:rPr>
          <w:rFonts w:ascii="Book Antiqua" w:eastAsia="Wingdings" w:hAnsi="Book Antiqua"/>
          <w:sz w:val="20"/>
          <w:szCs w:val="20"/>
          <w:lang w:eastAsia="ko-KR"/>
        </w:rPr>
      </w:pPr>
      <w:bookmarkStart w:id="111" w:name="_Toc88052789"/>
      <w:bookmarkEnd w:id="111"/>
      <w:r w:rsidRPr="00BA1484">
        <w:rPr>
          <w:rFonts w:ascii="Book Antiqua" w:eastAsia="Wingdings" w:hAnsi="Book Antiqua"/>
          <w:b/>
          <w:bCs/>
          <w:sz w:val="20"/>
          <w:szCs w:val="20"/>
          <w:lang w:eastAsia="ko-KR"/>
        </w:rPr>
        <w:t>Fuente:</w:t>
      </w:r>
      <w:r w:rsidRPr="00BA1484">
        <w:rPr>
          <w:rFonts w:ascii="Book Antiqua" w:eastAsia="Wingdings" w:hAnsi="Book Antiqua"/>
          <w:sz w:val="20"/>
          <w:szCs w:val="20"/>
          <w:lang w:eastAsia="ko-KR"/>
        </w:rPr>
        <w:t xml:space="preserve"> Elaboración propia con información proporcionada por el MS Project Online</w:t>
      </w:r>
    </w:p>
    <w:p w14:paraId="25A14411" w14:textId="77777777" w:rsidR="00555E82" w:rsidRDefault="00555E82" w:rsidP="00555E82">
      <w:pPr>
        <w:spacing w:after="120"/>
        <w:jc w:val="both"/>
        <w:rPr>
          <w:rFonts w:ascii="Book Antiqua" w:eastAsia="Wingdings" w:hAnsi="Book Antiqua"/>
          <w:sz w:val="20"/>
          <w:szCs w:val="20"/>
          <w:lang w:eastAsia="ko-KR"/>
        </w:rPr>
      </w:pPr>
    </w:p>
    <w:p w14:paraId="36BCFDD8" w14:textId="77777777" w:rsidR="00555E82" w:rsidRPr="00DA7A2F" w:rsidRDefault="00555E82" w:rsidP="00EF4E17">
      <w:pPr>
        <w:pStyle w:val="Ttulo2"/>
        <w:numPr>
          <w:ilvl w:val="1"/>
          <w:numId w:val="15"/>
        </w:numPr>
        <w:spacing w:before="0"/>
        <w:ind w:left="709" w:hanging="568"/>
        <w:rPr>
          <w:rFonts w:ascii="Book Antiqua" w:eastAsia="Wingdings" w:hAnsi="Book Antiqua"/>
          <w:b/>
          <w:bCs/>
          <w:color w:val="auto"/>
          <w:lang w:eastAsia="ko-KR"/>
        </w:rPr>
      </w:pPr>
      <w:bookmarkStart w:id="112" w:name="_Toc138770855"/>
      <w:r w:rsidRPr="00B10D2E">
        <w:rPr>
          <w:rFonts w:ascii="Book Antiqua" w:eastAsia="Wingdings" w:hAnsi="Book Antiqua"/>
          <w:b/>
          <w:bCs/>
          <w:color w:val="auto"/>
          <w:lang w:eastAsia="ko-KR"/>
        </w:rPr>
        <w:t xml:space="preserve">Nuevas labores operativas </w:t>
      </w:r>
      <w:r>
        <w:rPr>
          <w:rFonts w:ascii="Book Antiqua" w:eastAsia="Wingdings" w:hAnsi="Book Antiqua"/>
          <w:b/>
          <w:bCs/>
          <w:color w:val="auto"/>
          <w:lang w:eastAsia="ko-KR"/>
        </w:rPr>
        <w:t xml:space="preserve">incorporadas en el portafolio </w:t>
      </w:r>
      <w:bookmarkStart w:id="113" w:name="_Toc96666525"/>
      <w:bookmarkStart w:id="114" w:name="_Toc131160590"/>
      <w:r w:rsidRPr="00DA7A2F">
        <w:rPr>
          <w:rFonts w:ascii="Book Antiqua" w:eastAsia="Wingdings" w:hAnsi="Book Antiqua"/>
          <w:b/>
          <w:bCs/>
          <w:color w:val="auto"/>
          <w:lang w:eastAsia="ko-KR"/>
        </w:rPr>
        <w:t>para el 2023 producto de la aprobación de permisos con goce de salario</w:t>
      </w:r>
      <w:bookmarkEnd w:id="112"/>
      <w:bookmarkEnd w:id="113"/>
      <w:bookmarkEnd w:id="114"/>
    </w:p>
    <w:p w14:paraId="1B5F37D1" w14:textId="77777777" w:rsidR="001E4F86" w:rsidRDefault="001E4F86" w:rsidP="001E4F86">
      <w:pPr>
        <w:spacing w:after="0"/>
        <w:jc w:val="both"/>
        <w:rPr>
          <w:rFonts w:ascii="Book Antiqua" w:eastAsia="Wingdings" w:hAnsi="Book Antiqua"/>
          <w:sz w:val="24"/>
          <w:szCs w:val="24"/>
          <w:lang w:eastAsia="ko-KR"/>
        </w:rPr>
      </w:pPr>
    </w:p>
    <w:p w14:paraId="0B630DC1" w14:textId="24C10165" w:rsidR="00555E82" w:rsidRDefault="00555E82" w:rsidP="00EF4E17">
      <w:pPr>
        <w:spacing w:after="0"/>
        <w:jc w:val="both"/>
        <w:rPr>
          <w:rFonts w:ascii="Book Antiqua" w:eastAsia="Wingdings" w:hAnsi="Book Antiqua"/>
          <w:sz w:val="24"/>
          <w:szCs w:val="24"/>
          <w:lang w:eastAsia="ko-KR"/>
        </w:rPr>
      </w:pPr>
      <w:r w:rsidRPr="00731CFF">
        <w:rPr>
          <w:rFonts w:ascii="Book Antiqua" w:eastAsia="Wingdings" w:hAnsi="Book Antiqua"/>
          <w:sz w:val="24"/>
          <w:szCs w:val="24"/>
          <w:lang w:eastAsia="ko-KR"/>
        </w:rPr>
        <w:lastRenderedPageBreak/>
        <w:t>P</w:t>
      </w:r>
      <w:r>
        <w:rPr>
          <w:rFonts w:ascii="Book Antiqua" w:eastAsia="Wingdings" w:hAnsi="Book Antiqua"/>
          <w:sz w:val="24"/>
          <w:szCs w:val="24"/>
          <w:lang w:eastAsia="ko-KR"/>
        </w:rPr>
        <w:t>or otro lado, en este apartado se detallan los nuevos proyectos operativos que iniciaron labores entre enero y abril del 2023, mismas que cuentan con permisos con goce de salario para su ejecución</w:t>
      </w:r>
      <w:r w:rsidR="00A00A9D">
        <w:rPr>
          <w:rFonts w:ascii="Book Antiqua" w:eastAsia="Wingdings" w:hAnsi="Book Antiqua"/>
          <w:sz w:val="24"/>
          <w:szCs w:val="24"/>
          <w:lang w:eastAsia="ko-KR"/>
        </w:rPr>
        <w:t xml:space="preserve"> y que son aprobados por el Consejo Superior y </w:t>
      </w:r>
      <w:r w:rsidR="007D5ECE">
        <w:rPr>
          <w:rFonts w:ascii="Book Antiqua" w:eastAsia="Wingdings" w:hAnsi="Book Antiqua"/>
          <w:sz w:val="24"/>
          <w:szCs w:val="24"/>
          <w:lang w:eastAsia="ko-KR"/>
        </w:rPr>
        <w:t>controlados por las jefaturas de las oficinas respectivas</w:t>
      </w:r>
      <w:r>
        <w:rPr>
          <w:rFonts w:ascii="Book Antiqua" w:eastAsia="Wingdings" w:hAnsi="Book Antiqua"/>
          <w:sz w:val="24"/>
          <w:szCs w:val="24"/>
          <w:lang w:eastAsia="ko-KR"/>
        </w:rPr>
        <w:t xml:space="preserve">.   </w:t>
      </w:r>
    </w:p>
    <w:p w14:paraId="246F7EA3" w14:textId="77777777" w:rsidR="001E4F86" w:rsidRDefault="001E4F86" w:rsidP="001E4F86">
      <w:pPr>
        <w:spacing w:after="0"/>
        <w:jc w:val="both"/>
        <w:rPr>
          <w:rFonts w:ascii="Book Antiqua" w:eastAsia="Wingdings" w:hAnsi="Book Antiqua"/>
          <w:sz w:val="24"/>
          <w:szCs w:val="24"/>
          <w:lang w:eastAsia="ko-KR"/>
        </w:rPr>
      </w:pPr>
    </w:p>
    <w:p w14:paraId="6D681170" w14:textId="77777777" w:rsidR="00555E82" w:rsidRDefault="00555E82" w:rsidP="001E4F86">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t>Al respecto, se detalla a continuación la documentación enviada y la pendiente por las oficinas encargadas de estas labores operativas:</w:t>
      </w:r>
    </w:p>
    <w:p w14:paraId="34FCEC8C" w14:textId="77777777" w:rsidR="00413346" w:rsidRDefault="00413346" w:rsidP="00555E82">
      <w:pPr>
        <w:spacing w:after="0"/>
        <w:jc w:val="both"/>
        <w:rPr>
          <w:rFonts w:ascii="Book Antiqua" w:eastAsia="Wingdings" w:hAnsi="Book Antiqua"/>
          <w:sz w:val="24"/>
          <w:szCs w:val="24"/>
          <w:lang w:eastAsia="ko-KR"/>
        </w:rPr>
      </w:pPr>
    </w:p>
    <w:p w14:paraId="71936B85" w14:textId="5400A1A4" w:rsidR="00555E82" w:rsidRDefault="00413346" w:rsidP="00555E82">
      <w:pPr>
        <w:spacing w:after="0"/>
        <w:jc w:val="center"/>
        <w:rPr>
          <w:rFonts w:ascii="Book Antiqua" w:eastAsia="Wingdings" w:hAnsi="Book Antiqua"/>
          <w:b/>
          <w:bCs/>
          <w:sz w:val="24"/>
          <w:szCs w:val="24"/>
          <w:lang w:eastAsia="ko-KR"/>
        </w:rPr>
      </w:pPr>
      <w:bookmarkStart w:id="115" w:name="_Toc131155956"/>
      <w:r w:rsidRPr="00A7495E">
        <w:rPr>
          <w:rFonts w:ascii="Book Antiqua" w:hAnsi="Book Antiqua" w:cs="&amp;quot"/>
          <w:b/>
          <w:sz w:val="24"/>
          <w:szCs w:val="24"/>
        </w:rPr>
        <w:t xml:space="preserve">Tabla </w:t>
      </w:r>
      <w:r w:rsidRPr="00A7495E">
        <w:rPr>
          <w:rFonts w:ascii="Book Antiqua" w:hAnsi="Book Antiqua" w:cs="&amp;quot"/>
          <w:b/>
          <w:i/>
          <w:iCs/>
          <w:sz w:val="24"/>
          <w:szCs w:val="24"/>
        </w:rPr>
        <w:fldChar w:fldCharType="begin"/>
      </w:r>
      <w:r w:rsidRPr="00A7495E">
        <w:rPr>
          <w:rFonts w:ascii="Book Antiqua" w:hAnsi="Book Antiqua" w:cs="&amp;quot"/>
          <w:b/>
          <w:sz w:val="24"/>
          <w:szCs w:val="24"/>
        </w:rPr>
        <w:instrText xml:space="preserve"> SEQ Tabla \* ARABIC </w:instrText>
      </w:r>
      <w:r w:rsidRPr="00A7495E">
        <w:rPr>
          <w:rFonts w:ascii="Book Antiqua" w:hAnsi="Book Antiqua" w:cs="&amp;quot"/>
          <w:b/>
          <w:i/>
          <w:iCs/>
          <w:sz w:val="24"/>
          <w:szCs w:val="24"/>
        </w:rPr>
        <w:fldChar w:fldCharType="separate"/>
      </w:r>
      <w:r w:rsidR="000A3123">
        <w:rPr>
          <w:rFonts w:ascii="Book Antiqua" w:hAnsi="Book Antiqua" w:cs="&amp;quot"/>
          <w:b/>
          <w:noProof/>
          <w:sz w:val="24"/>
          <w:szCs w:val="24"/>
        </w:rPr>
        <w:t>34</w:t>
      </w:r>
      <w:r w:rsidRPr="00A7495E">
        <w:rPr>
          <w:rFonts w:ascii="Book Antiqua" w:hAnsi="Book Antiqua" w:cs="&amp;quot"/>
          <w:b/>
          <w:i/>
          <w:iCs/>
          <w:sz w:val="24"/>
          <w:szCs w:val="24"/>
        </w:rPr>
        <w:fldChar w:fldCharType="end"/>
      </w:r>
      <w:r>
        <w:rPr>
          <w:rFonts w:ascii="Book Antiqua" w:hAnsi="Book Antiqua" w:cs="&amp;quot"/>
          <w:b/>
          <w:i/>
          <w:iCs/>
          <w:sz w:val="24"/>
          <w:szCs w:val="24"/>
        </w:rPr>
        <w:t xml:space="preserve"> </w:t>
      </w:r>
      <w:r w:rsidRPr="00E75258">
        <w:rPr>
          <w:rFonts w:ascii="Book Antiqua" w:hAnsi="Book Antiqua"/>
          <w:b/>
          <w:bCs/>
          <w:sz w:val="24"/>
          <w:szCs w:val="24"/>
          <w:lang w:eastAsia="ko-KR"/>
        </w:rPr>
        <w:t xml:space="preserve"> </w:t>
      </w:r>
      <w:r w:rsidR="00555E82" w:rsidRPr="00673DD8">
        <w:rPr>
          <w:rFonts w:ascii="Book Antiqua" w:eastAsia="Wingdings" w:hAnsi="Book Antiqua"/>
          <w:b/>
          <w:bCs/>
          <w:sz w:val="24"/>
          <w:szCs w:val="24"/>
          <w:lang w:eastAsia="ko-KR"/>
        </w:rPr>
        <w:t xml:space="preserve">Documentación enviada por las labores operativas nuevas que iniciaron </w:t>
      </w:r>
      <w:r w:rsidR="00555E82">
        <w:rPr>
          <w:rFonts w:ascii="Book Antiqua" w:eastAsia="Wingdings" w:hAnsi="Book Antiqua"/>
          <w:b/>
          <w:bCs/>
          <w:sz w:val="24"/>
          <w:szCs w:val="24"/>
          <w:lang w:eastAsia="ko-KR"/>
        </w:rPr>
        <w:t>en el</w:t>
      </w:r>
      <w:r w:rsidR="00555E82" w:rsidRPr="00673DD8">
        <w:rPr>
          <w:rFonts w:ascii="Book Antiqua" w:eastAsia="Wingdings" w:hAnsi="Book Antiqua"/>
          <w:b/>
          <w:bCs/>
          <w:sz w:val="24"/>
          <w:szCs w:val="24"/>
          <w:lang w:eastAsia="ko-KR"/>
        </w:rPr>
        <w:t xml:space="preserve"> 2023 producto de la aprobación de los permisos con goce de salario</w:t>
      </w:r>
      <w:bookmarkEnd w:id="115"/>
      <w:r w:rsidR="007D5ECE">
        <w:rPr>
          <w:rFonts w:ascii="Book Antiqua" w:eastAsia="Wingdings" w:hAnsi="Book Antiqua"/>
          <w:b/>
          <w:bCs/>
          <w:sz w:val="24"/>
          <w:szCs w:val="24"/>
          <w:lang w:eastAsia="ko-KR"/>
        </w:rPr>
        <w:t xml:space="preserve"> aprobados por el Consejo Superior</w:t>
      </w:r>
    </w:p>
    <w:tbl>
      <w:tblPr>
        <w:tblW w:w="9400" w:type="dxa"/>
        <w:tblCellMar>
          <w:left w:w="70" w:type="dxa"/>
          <w:right w:w="70" w:type="dxa"/>
        </w:tblCellMar>
        <w:tblLook w:val="04A0" w:firstRow="1" w:lastRow="0" w:firstColumn="1" w:lastColumn="0" w:noHBand="0" w:noVBand="1"/>
      </w:tblPr>
      <w:tblGrid>
        <w:gridCol w:w="1397"/>
        <w:gridCol w:w="1708"/>
        <w:gridCol w:w="1973"/>
        <w:gridCol w:w="1080"/>
        <w:gridCol w:w="1082"/>
        <w:gridCol w:w="1080"/>
        <w:gridCol w:w="1080"/>
      </w:tblGrid>
      <w:tr w:rsidR="004574AA" w:rsidRPr="004574AA" w14:paraId="4D5AF767" w14:textId="77777777" w:rsidTr="004574AA">
        <w:trPr>
          <w:trHeight w:val="750"/>
        </w:trPr>
        <w:tc>
          <w:tcPr>
            <w:tcW w:w="1397" w:type="dxa"/>
            <w:tcBorders>
              <w:top w:val="single" w:sz="8" w:space="0" w:color="auto"/>
              <w:left w:val="single" w:sz="8" w:space="0" w:color="auto"/>
              <w:bottom w:val="nil"/>
              <w:right w:val="single" w:sz="4" w:space="0" w:color="auto"/>
            </w:tcBorders>
            <w:shd w:val="clear" w:color="000000" w:fill="44546A"/>
            <w:vAlign w:val="center"/>
            <w:hideMark/>
          </w:tcPr>
          <w:p w14:paraId="6B695E52" w14:textId="77777777" w:rsidR="004574AA" w:rsidRPr="004574AA" w:rsidRDefault="004574AA" w:rsidP="004574AA">
            <w:pPr>
              <w:spacing w:after="0" w:line="240" w:lineRule="auto"/>
              <w:jc w:val="center"/>
              <w:rPr>
                <w:rFonts w:ascii="Book Antiqua" w:eastAsia="Times New Roman" w:hAnsi="Book Antiqua" w:cs="Calibri"/>
                <w:b/>
                <w:bCs/>
                <w:color w:val="FFFFFF"/>
                <w:sz w:val="16"/>
                <w:szCs w:val="16"/>
                <w:lang w:eastAsia="es-CR"/>
              </w:rPr>
            </w:pPr>
            <w:r w:rsidRPr="004574AA">
              <w:rPr>
                <w:rFonts w:ascii="Book Antiqua" w:eastAsia="Times New Roman" w:hAnsi="Book Antiqua" w:cs="Calibri"/>
                <w:b/>
                <w:bCs/>
                <w:color w:val="FFFFFF"/>
                <w:sz w:val="16"/>
                <w:szCs w:val="16"/>
                <w:lang w:eastAsia="es-CR"/>
              </w:rPr>
              <w:t>Código asignado</w:t>
            </w:r>
          </w:p>
        </w:tc>
        <w:tc>
          <w:tcPr>
            <w:tcW w:w="1708" w:type="dxa"/>
            <w:tcBorders>
              <w:top w:val="single" w:sz="8" w:space="0" w:color="auto"/>
              <w:left w:val="nil"/>
              <w:bottom w:val="nil"/>
              <w:right w:val="single" w:sz="4" w:space="0" w:color="auto"/>
            </w:tcBorders>
            <w:shd w:val="clear" w:color="000000" w:fill="44546A"/>
            <w:vAlign w:val="center"/>
            <w:hideMark/>
          </w:tcPr>
          <w:p w14:paraId="44544F06" w14:textId="77777777" w:rsidR="004574AA" w:rsidRPr="004574AA" w:rsidRDefault="004574AA" w:rsidP="004574AA">
            <w:pPr>
              <w:spacing w:after="0" w:line="240" w:lineRule="auto"/>
              <w:jc w:val="center"/>
              <w:rPr>
                <w:rFonts w:ascii="Book Antiqua" w:eastAsia="Times New Roman" w:hAnsi="Book Antiqua" w:cs="Calibri"/>
                <w:b/>
                <w:bCs/>
                <w:color w:val="FFFFFF"/>
                <w:sz w:val="16"/>
                <w:szCs w:val="16"/>
                <w:lang w:eastAsia="es-CR"/>
              </w:rPr>
            </w:pPr>
            <w:r w:rsidRPr="004574AA">
              <w:rPr>
                <w:rFonts w:ascii="Book Antiqua" w:eastAsia="Times New Roman" w:hAnsi="Book Antiqua" w:cs="Calibri"/>
                <w:b/>
                <w:bCs/>
                <w:color w:val="FFFFFF"/>
                <w:sz w:val="16"/>
                <w:szCs w:val="16"/>
                <w:lang w:eastAsia="es-CR"/>
              </w:rPr>
              <w:t>Oficina Líder</w:t>
            </w:r>
          </w:p>
        </w:tc>
        <w:tc>
          <w:tcPr>
            <w:tcW w:w="1973" w:type="dxa"/>
            <w:tcBorders>
              <w:top w:val="single" w:sz="8" w:space="0" w:color="auto"/>
              <w:left w:val="nil"/>
              <w:bottom w:val="nil"/>
              <w:right w:val="single" w:sz="4" w:space="0" w:color="auto"/>
            </w:tcBorders>
            <w:shd w:val="clear" w:color="000000" w:fill="44546A"/>
            <w:vAlign w:val="center"/>
            <w:hideMark/>
          </w:tcPr>
          <w:p w14:paraId="71686DEC" w14:textId="77777777" w:rsidR="004574AA" w:rsidRPr="004574AA" w:rsidRDefault="004574AA" w:rsidP="004574AA">
            <w:pPr>
              <w:spacing w:after="0" w:line="240" w:lineRule="auto"/>
              <w:jc w:val="center"/>
              <w:rPr>
                <w:rFonts w:ascii="Book Antiqua" w:eastAsia="Times New Roman" w:hAnsi="Book Antiqua" w:cs="Calibri"/>
                <w:b/>
                <w:bCs/>
                <w:color w:val="FFFFFF"/>
                <w:sz w:val="16"/>
                <w:szCs w:val="16"/>
                <w:lang w:eastAsia="es-CR"/>
              </w:rPr>
            </w:pPr>
            <w:r w:rsidRPr="004574AA">
              <w:rPr>
                <w:rFonts w:ascii="Book Antiqua" w:eastAsia="Times New Roman" w:hAnsi="Book Antiqua" w:cs="Calibri"/>
                <w:b/>
                <w:bCs/>
                <w:color w:val="FFFFFF"/>
                <w:sz w:val="16"/>
                <w:szCs w:val="16"/>
                <w:lang w:eastAsia="es-CR"/>
              </w:rPr>
              <w:t>Nombre de la Iniciativa</w:t>
            </w:r>
          </w:p>
        </w:tc>
        <w:tc>
          <w:tcPr>
            <w:tcW w:w="1080" w:type="dxa"/>
            <w:tcBorders>
              <w:top w:val="single" w:sz="8" w:space="0" w:color="auto"/>
              <w:left w:val="nil"/>
              <w:bottom w:val="nil"/>
              <w:right w:val="single" w:sz="4" w:space="0" w:color="auto"/>
            </w:tcBorders>
            <w:shd w:val="clear" w:color="000000" w:fill="44546A"/>
            <w:vAlign w:val="center"/>
            <w:hideMark/>
          </w:tcPr>
          <w:p w14:paraId="4E4DE148" w14:textId="77777777" w:rsidR="004574AA" w:rsidRPr="004574AA" w:rsidRDefault="004574AA" w:rsidP="004574AA">
            <w:pPr>
              <w:spacing w:after="0" w:line="240" w:lineRule="auto"/>
              <w:jc w:val="center"/>
              <w:rPr>
                <w:rFonts w:ascii="Book Antiqua" w:eastAsia="Times New Roman" w:hAnsi="Book Antiqua" w:cs="Calibri"/>
                <w:b/>
                <w:bCs/>
                <w:color w:val="FFFFFF"/>
                <w:sz w:val="16"/>
                <w:szCs w:val="16"/>
                <w:lang w:eastAsia="es-CR"/>
              </w:rPr>
            </w:pPr>
            <w:r w:rsidRPr="004574AA">
              <w:rPr>
                <w:rFonts w:ascii="Book Antiqua" w:eastAsia="Times New Roman" w:hAnsi="Book Antiqua" w:cs="Calibri"/>
                <w:b/>
                <w:bCs/>
                <w:color w:val="FFFFFF"/>
                <w:sz w:val="16"/>
                <w:szCs w:val="16"/>
                <w:lang w:eastAsia="es-CR"/>
              </w:rPr>
              <w:t>Estudio Factibilidad</w:t>
            </w:r>
          </w:p>
        </w:tc>
        <w:tc>
          <w:tcPr>
            <w:tcW w:w="1082" w:type="dxa"/>
            <w:tcBorders>
              <w:top w:val="single" w:sz="8" w:space="0" w:color="auto"/>
              <w:left w:val="nil"/>
              <w:bottom w:val="nil"/>
              <w:right w:val="single" w:sz="4" w:space="0" w:color="auto"/>
            </w:tcBorders>
            <w:shd w:val="clear" w:color="000000" w:fill="44546A"/>
            <w:vAlign w:val="center"/>
            <w:hideMark/>
          </w:tcPr>
          <w:p w14:paraId="1CC86C63" w14:textId="77777777" w:rsidR="004574AA" w:rsidRPr="004574AA" w:rsidRDefault="004574AA" w:rsidP="004574AA">
            <w:pPr>
              <w:spacing w:after="0" w:line="240" w:lineRule="auto"/>
              <w:jc w:val="center"/>
              <w:rPr>
                <w:rFonts w:ascii="Book Antiqua" w:eastAsia="Times New Roman" w:hAnsi="Book Antiqua" w:cs="Calibri"/>
                <w:b/>
                <w:bCs/>
                <w:color w:val="FFFFFF"/>
                <w:sz w:val="16"/>
                <w:szCs w:val="16"/>
                <w:lang w:eastAsia="es-CR"/>
              </w:rPr>
            </w:pPr>
            <w:r w:rsidRPr="004574AA">
              <w:rPr>
                <w:rFonts w:ascii="Book Antiqua" w:eastAsia="Times New Roman" w:hAnsi="Book Antiqua" w:cs="Calibri"/>
                <w:b/>
                <w:bCs/>
                <w:color w:val="FFFFFF"/>
                <w:sz w:val="16"/>
                <w:szCs w:val="16"/>
                <w:lang w:eastAsia="es-CR"/>
              </w:rPr>
              <w:t>Acta de Constitución</w:t>
            </w:r>
          </w:p>
        </w:tc>
        <w:tc>
          <w:tcPr>
            <w:tcW w:w="1080" w:type="dxa"/>
            <w:tcBorders>
              <w:top w:val="single" w:sz="8" w:space="0" w:color="auto"/>
              <w:left w:val="nil"/>
              <w:bottom w:val="nil"/>
              <w:right w:val="single" w:sz="4" w:space="0" w:color="auto"/>
            </w:tcBorders>
            <w:shd w:val="clear" w:color="000000" w:fill="44546A"/>
            <w:vAlign w:val="center"/>
            <w:hideMark/>
          </w:tcPr>
          <w:p w14:paraId="4FF2D4A6" w14:textId="77777777" w:rsidR="004574AA" w:rsidRPr="004574AA" w:rsidRDefault="004574AA" w:rsidP="004574AA">
            <w:pPr>
              <w:spacing w:after="0" w:line="240" w:lineRule="auto"/>
              <w:jc w:val="center"/>
              <w:rPr>
                <w:rFonts w:ascii="Book Antiqua" w:eastAsia="Times New Roman" w:hAnsi="Book Antiqua" w:cs="Calibri"/>
                <w:b/>
                <w:bCs/>
                <w:color w:val="FFFFFF"/>
                <w:sz w:val="16"/>
                <w:szCs w:val="16"/>
                <w:lang w:eastAsia="es-CR"/>
              </w:rPr>
            </w:pPr>
            <w:r w:rsidRPr="004574AA">
              <w:rPr>
                <w:rFonts w:ascii="Book Antiqua" w:eastAsia="Times New Roman" w:hAnsi="Book Antiqua" w:cs="Calibri"/>
                <w:b/>
                <w:bCs/>
                <w:color w:val="FFFFFF"/>
                <w:sz w:val="16"/>
                <w:szCs w:val="16"/>
                <w:lang w:eastAsia="es-CR"/>
              </w:rPr>
              <w:t>Plan de Gestión</w:t>
            </w:r>
          </w:p>
        </w:tc>
        <w:tc>
          <w:tcPr>
            <w:tcW w:w="1080" w:type="dxa"/>
            <w:tcBorders>
              <w:top w:val="single" w:sz="8" w:space="0" w:color="auto"/>
              <w:left w:val="nil"/>
              <w:bottom w:val="nil"/>
              <w:right w:val="single" w:sz="8" w:space="0" w:color="auto"/>
            </w:tcBorders>
            <w:shd w:val="clear" w:color="000000" w:fill="44546A"/>
            <w:vAlign w:val="center"/>
            <w:hideMark/>
          </w:tcPr>
          <w:p w14:paraId="31D4D778" w14:textId="77777777" w:rsidR="004574AA" w:rsidRPr="004574AA" w:rsidRDefault="004574AA" w:rsidP="004574AA">
            <w:pPr>
              <w:spacing w:after="0" w:line="240" w:lineRule="auto"/>
              <w:jc w:val="center"/>
              <w:rPr>
                <w:rFonts w:ascii="Book Antiqua" w:eastAsia="Times New Roman" w:hAnsi="Book Antiqua" w:cs="Calibri"/>
                <w:b/>
                <w:bCs/>
                <w:color w:val="FFFFFF"/>
                <w:sz w:val="16"/>
                <w:szCs w:val="16"/>
                <w:lang w:eastAsia="es-CR"/>
              </w:rPr>
            </w:pPr>
            <w:r w:rsidRPr="004574AA">
              <w:rPr>
                <w:rFonts w:ascii="Book Antiqua" w:eastAsia="Times New Roman" w:hAnsi="Book Antiqua" w:cs="Calibri"/>
                <w:b/>
                <w:bCs/>
                <w:color w:val="FFFFFF"/>
                <w:sz w:val="16"/>
                <w:szCs w:val="16"/>
                <w:lang w:eastAsia="es-CR"/>
              </w:rPr>
              <w:t>Cronograma</w:t>
            </w:r>
          </w:p>
        </w:tc>
      </w:tr>
      <w:tr w:rsidR="004574AA" w:rsidRPr="004574AA" w14:paraId="1EB68753" w14:textId="77777777" w:rsidTr="00A75D29">
        <w:trPr>
          <w:trHeight w:val="615"/>
        </w:trPr>
        <w:tc>
          <w:tcPr>
            <w:tcW w:w="139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5D1F7F8" w14:textId="77777777" w:rsidR="004574AA" w:rsidRPr="004574AA" w:rsidRDefault="004574AA" w:rsidP="004574AA">
            <w:pPr>
              <w:spacing w:after="0" w:line="240" w:lineRule="auto"/>
              <w:rPr>
                <w:rFonts w:ascii="Book Antiqua" w:eastAsia="Times New Roman" w:hAnsi="Book Antiqua" w:cs="Calibri"/>
                <w:color w:val="000000"/>
                <w:sz w:val="16"/>
                <w:szCs w:val="16"/>
                <w:lang w:eastAsia="es-CR"/>
              </w:rPr>
            </w:pPr>
            <w:r w:rsidRPr="004574AA">
              <w:rPr>
                <w:rFonts w:ascii="Book Antiqua" w:eastAsia="Times New Roman" w:hAnsi="Book Antiqua" w:cs="Calibri"/>
                <w:color w:val="000000"/>
                <w:sz w:val="16"/>
                <w:szCs w:val="16"/>
                <w:lang w:eastAsia="es-CR"/>
              </w:rPr>
              <w:t>1846-OC-P03</w:t>
            </w:r>
          </w:p>
        </w:tc>
        <w:tc>
          <w:tcPr>
            <w:tcW w:w="1708" w:type="dxa"/>
            <w:tcBorders>
              <w:top w:val="single" w:sz="8" w:space="0" w:color="auto"/>
              <w:left w:val="nil"/>
              <w:bottom w:val="single" w:sz="4" w:space="0" w:color="auto"/>
              <w:right w:val="single" w:sz="4" w:space="0" w:color="auto"/>
            </w:tcBorders>
            <w:shd w:val="clear" w:color="auto" w:fill="auto"/>
            <w:vAlign w:val="center"/>
            <w:hideMark/>
          </w:tcPr>
          <w:p w14:paraId="5322BEDB" w14:textId="77777777" w:rsidR="004574AA" w:rsidRPr="004574AA" w:rsidRDefault="004574AA" w:rsidP="00A75D29">
            <w:pPr>
              <w:spacing w:after="0" w:line="240" w:lineRule="auto"/>
              <w:jc w:val="center"/>
              <w:rPr>
                <w:rFonts w:ascii="Book Antiqua" w:eastAsia="Times New Roman" w:hAnsi="Book Antiqua" w:cs="Calibri"/>
                <w:color w:val="000000"/>
                <w:sz w:val="16"/>
                <w:szCs w:val="16"/>
                <w:lang w:eastAsia="es-CR"/>
              </w:rPr>
            </w:pPr>
            <w:r w:rsidRPr="004574AA">
              <w:rPr>
                <w:rFonts w:ascii="Book Antiqua" w:eastAsia="Times New Roman" w:hAnsi="Book Antiqua" w:cs="Calibri"/>
                <w:color w:val="000000"/>
                <w:sz w:val="16"/>
                <w:szCs w:val="16"/>
                <w:lang w:eastAsia="es-CR"/>
              </w:rPr>
              <w:t>Oficina de Cumplimiento</w:t>
            </w:r>
          </w:p>
        </w:tc>
        <w:tc>
          <w:tcPr>
            <w:tcW w:w="1973" w:type="dxa"/>
            <w:tcBorders>
              <w:top w:val="single" w:sz="8" w:space="0" w:color="auto"/>
              <w:left w:val="nil"/>
              <w:bottom w:val="single" w:sz="4" w:space="0" w:color="auto"/>
              <w:right w:val="single" w:sz="4" w:space="0" w:color="auto"/>
            </w:tcBorders>
            <w:shd w:val="clear" w:color="auto" w:fill="auto"/>
            <w:vAlign w:val="center"/>
            <w:hideMark/>
          </w:tcPr>
          <w:p w14:paraId="7700C89F" w14:textId="77777777" w:rsidR="004574AA" w:rsidRPr="004574AA" w:rsidRDefault="004574AA" w:rsidP="004574AA">
            <w:pPr>
              <w:spacing w:after="0" w:line="240" w:lineRule="auto"/>
              <w:jc w:val="center"/>
              <w:rPr>
                <w:rFonts w:ascii="Book Antiqua" w:eastAsia="Times New Roman" w:hAnsi="Book Antiqua" w:cs="Calibri"/>
                <w:color w:val="000000"/>
                <w:sz w:val="16"/>
                <w:szCs w:val="16"/>
                <w:lang w:eastAsia="es-CR"/>
              </w:rPr>
            </w:pPr>
            <w:r w:rsidRPr="004574AA">
              <w:rPr>
                <w:rFonts w:ascii="Book Antiqua" w:eastAsia="Times New Roman" w:hAnsi="Book Antiqua" w:cs="Calibri"/>
                <w:color w:val="000000"/>
                <w:sz w:val="16"/>
                <w:szCs w:val="16"/>
                <w:lang w:eastAsia="es-CR"/>
              </w:rPr>
              <w:t>Implementación y seguimiento de la Política de Integridad y Anticorrupción</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14:paraId="741D7FA2" w14:textId="77904C50" w:rsidR="004574AA" w:rsidRPr="004574AA" w:rsidRDefault="004574AA" w:rsidP="004574AA">
            <w:pPr>
              <w:spacing w:after="0" w:line="240" w:lineRule="auto"/>
              <w:jc w:val="center"/>
              <w:rPr>
                <w:rFonts w:ascii="Book Antiqua" w:eastAsia="Times New Roman" w:hAnsi="Book Antiqua" w:cs="Calibri"/>
                <w:color w:val="000000"/>
                <w:sz w:val="12"/>
                <w:szCs w:val="12"/>
                <w:lang w:eastAsia="es-CR"/>
              </w:rPr>
            </w:pPr>
            <w:r>
              <w:rPr>
                <w:rFonts w:ascii="Book Antiqua" w:eastAsia="Times New Roman" w:hAnsi="Book Antiqua" w:cs="Calibri"/>
                <w:noProof/>
                <w:color w:val="000000"/>
                <w:sz w:val="12"/>
                <w:szCs w:val="12"/>
                <w:lang w:eastAsia="es-CR"/>
              </w:rPr>
              <w:drawing>
                <wp:inline distT="0" distB="0" distL="0" distR="0" wp14:anchorId="4EC285D1" wp14:editId="4AA82B2D">
                  <wp:extent cx="413684" cy="413684"/>
                  <wp:effectExtent l="0" t="0" r="0" b="5715"/>
                  <wp:docPr id="1" name="Picture 1"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insignia1 con relleno sólido"/>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17452" cy="417452"/>
                          </a:xfrm>
                          <a:prstGeom prst="rect">
                            <a:avLst/>
                          </a:prstGeom>
                        </pic:spPr>
                      </pic:pic>
                    </a:graphicData>
                  </a:graphic>
                </wp:inline>
              </w:drawing>
            </w:r>
          </w:p>
        </w:tc>
        <w:tc>
          <w:tcPr>
            <w:tcW w:w="1082" w:type="dxa"/>
            <w:tcBorders>
              <w:top w:val="single" w:sz="8" w:space="0" w:color="auto"/>
              <w:left w:val="nil"/>
              <w:bottom w:val="single" w:sz="4" w:space="0" w:color="auto"/>
              <w:right w:val="single" w:sz="4" w:space="0" w:color="auto"/>
            </w:tcBorders>
            <w:shd w:val="clear" w:color="auto" w:fill="auto"/>
            <w:vAlign w:val="center"/>
            <w:hideMark/>
          </w:tcPr>
          <w:p w14:paraId="2AB65E11" w14:textId="75CC7F90" w:rsidR="004574AA" w:rsidRPr="004574AA" w:rsidRDefault="004574AA" w:rsidP="004574AA">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noProof/>
                <w:color w:val="000000"/>
                <w:sz w:val="12"/>
                <w:szCs w:val="12"/>
                <w:lang w:eastAsia="es-CR"/>
              </w:rPr>
              <w:drawing>
                <wp:inline distT="0" distB="0" distL="0" distR="0" wp14:anchorId="07AEFD32" wp14:editId="5F340D60">
                  <wp:extent cx="413684" cy="413684"/>
                  <wp:effectExtent l="0" t="0" r="0" b="5715"/>
                  <wp:docPr id="24" name="Picture 24"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insignia1 con relleno sólido"/>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17452" cy="417452"/>
                          </a:xfrm>
                          <a:prstGeom prst="rect">
                            <a:avLst/>
                          </a:prstGeom>
                        </pic:spPr>
                      </pic:pic>
                    </a:graphicData>
                  </a:graphic>
                </wp:inline>
              </w:drawing>
            </w:r>
          </w:p>
        </w:tc>
        <w:tc>
          <w:tcPr>
            <w:tcW w:w="1080" w:type="dxa"/>
            <w:tcBorders>
              <w:top w:val="single" w:sz="8" w:space="0" w:color="auto"/>
              <w:left w:val="nil"/>
              <w:bottom w:val="single" w:sz="4" w:space="0" w:color="auto"/>
              <w:right w:val="single" w:sz="4" w:space="0" w:color="auto"/>
            </w:tcBorders>
            <w:shd w:val="clear" w:color="auto" w:fill="auto"/>
            <w:vAlign w:val="center"/>
            <w:hideMark/>
          </w:tcPr>
          <w:p w14:paraId="31438187" w14:textId="4146A3BC" w:rsidR="004574AA" w:rsidRPr="004574AA" w:rsidRDefault="004574AA" w:rsidP="004574AA">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noProof/>
                <w:color w:val="000000"/>
                <w:sz w:val="12"/>
                <w:szCs w:val="12"/>
                <w:lang w:eastAsia="es-CR"/>
              </w:rPr>
              <w:drawing>
                <wp:inline distT="0" distB="0" distL="0" distR="0" wp14:anchorId="6FBA5B70" wp14:editId="5B52D604">
                  <wp:extent cx="413684" cy="413684"/>
                  <wp:effectExtent l="0" t="0" r="0" b="5715"/>
                  <wp:docPr id="25" name="Picture 25"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insignia1 con relleno sólido"/>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17452" cy="417452"/>
                          </a:xfrm>
                          <a:prstGeom prst="rect">
                            <a:avLst/>
                          </a:prstGeom>
                        </pic:spPr>
                      </pic:pic>
                    </a:graphicData>
                  </a:graphic>
                </wp:inline>
              </w:drawing>
            </w:r>
          </w:p>
        </w:tc>
        <w:tc>
          <w:tcPr>
            <w:tcW w:w="1080" w:type="dxa"/>
            <w:tcBorders>
              <w:top w:val="single" w:sz="8" w:space="0" w:color="auto"/>
              <w:left w:val="nil"/>
              <w:bottom w:val="single" w:sz="4" w:space="0" w:color="auto"/>
              <w:right w:val="single" w:sz="8" w:space="0" w:color="auto"/>
            </w:tcBorders>
            <w:shd w:val="clear" w:color="auto" w:fill="auto"/>
            <w:vAlign w:val="center"/>
            <w:hideMark/>
          </w:tcPr>
          <w:p w14:paraId="05CCD93C" w14:textId="4E0436D7" w:rsidR="004574AA" w:rsidRPr="004574AA" w:rsidRDefault="004574AA" w:rsidP="004574AA">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noProof/>
                <w:color w:val="000000"/>
                <w:sz w:val="12"/>
                <w:szCs w:val="12"/>
                <w:lang w:eastAsia="es-CR"/>
              </w:rPr>
              <w:drawing>
                <wp:inline distT="0" distB="0" distL="0" distR="0" wp14:anchorId="0B40276B" wp14:editId="3734F0F0">
                  <wp:extent cx="413684" cy="413684"/>
                  <wp:effectExtent l="0" t="0" r="0" b="5715"/>
                  <wp:docPr id="26" name="Picture 2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insignia1 con relleno sólido"/>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17452" cy="417452"/>
                          </a:xfrm>
                          <a:prstGeom prst="rect">
                            <a:avLst/>
                          </a:prstGeom>
                        </pic:spPr>
                      </pic:pic>
                    </a:graphicData>
                  </a:graphic>
                </wp:inline>
              </w:drawing>
            </w:r>
          </w:p>
        </w:tc>
      </w:tr>
      <w:tr w:rsidR="004574AA" w:rsidRPr="004574AA" w14:paraId="3D8AD79E" w14:textId="77777777" w:rsidTr="00A75D29">
        <w:trPr>
          <w:trHeight w:val="840"/>
        </w:trPr>
        <w:tc>
          <w:tcPr>
            <w:tcW w:w="1397" w:type="dxa"/>
            <w:tcBorders>
              <w:top w:val="nil"/>
              <w:left w:val="single" w:sz="8" w:space="0" w:color="auto"/>
              <w:bottom w:val="single" w:sz="4" w:space="0" w:color="auto"/>
              <w:right w:val="single" w:sz="4" w:space="0" w:color="auto"/>
            </w:tcBorders>
            <w:shd w:val="clear" w:color="auto" w:fill="auto"/>
            <w:vAlign w:val="center"/>
            <w:hideMark/>
          </w:tcPr>
          <w:p w14:paraId="5B723B4A" w14:textId="77777777" w:rsidR="004574AA" w:rsidRPr="004574AA" w:rsidRDefault="004574AA" w:rsidP="004574AA">
            <w:pPr>
              <w:spacing w:after="0" w:line="240" w:lineRule="auto"/>
              <w:rPr>
                <w:rFonts w:ascii="Book Antiqua" w:eastAsia="Times New Roman" w:hAnsi="Book Antiqua" w:cs="Calibri"/>
                <w:color w:val="000000"/>
                <w:sz w:val="16"/>
                <w:szCs w:val="16"/>
                <w:lang w:eastAsia="es-CR"/>
              </w:rPr>
            </w:pPr>
            <w:r w:rsidRPr="004574AA">
              <w:rPr>
                <w:rFonts w:ascii="Book Antiqua" w:eastAsia="Times New Roman" w:hAnsi="Book Antiqua" w:cs="Calibri"/>
                <w:color w:val="000000"/>
                <w:sz w:val="16"/>
                <w:szCs w:val="16"/>
                <w:lang w:eastAsia="es-CR"/>
              </w:rPr>
              <w:t>0655-CONAMAJ-P03</w:t>
            </w:r>
          </w:p>
        </w:tc>
        <w:tc>
          <w:tcPr>
            <w:tcW w:w="1708" w:type="dxa"/>
            <w:tcBorders>
              <w:top w:val="nil"/>
              <w:left w:val="nil"/>
              <w:bottom w:val="single" w:sz="4" w:space="0" w:color="auto"/>
              <w:right w:val="single" w:sz="4" w:space="0" w:color="auto"/>
            </w:tcBorders>
            <w:shd w:val="clear" w:color="auto" w:fill="auto"/>
            <w:vAlign w:val="center"/>
            <w:hideMark/>
          </w:tcPr>
          <w:p w14:paraId="4859724E" w14:textId="77777777" w:rsidR="004574AA" w:rsidRPr="004574AA" w:rsidRDefault="004574AA" w:rsidP="00A75D29">
            <w:pPr>
              <w:spacing w:after="0" w:line="240" w:lineRule="auto"/>
              <w:jc w:val="center"/>
              <w:rPr>
                <w:rFonts w:ascii="Book Antiqua" w:eastAsia="Times New Roman" w:hAnsi="Book Antiqua" w:cs="Calibri"/>
                <w:color w:val="000000"/>
                <w:sz w:val="16"/>
                <w:szCs w:val="16"/>
                <w:lang w:eastAsia="es-CR"/>
              </w:rPr>
            </w:pPr>
            <w:r w:rsidRPr="004574AA">
              <w:rPr>
                <w:rFonts w:ascii="Book Antiqua" w:eastAsia="Times New Roman" w:hAnsi="Book Antiqua" w:cs="Calibri"/>
                <w:color w:val="000000"/>
                <w:sz w:val="16"/>
                <w:szCs w:val="16"/>
                <w:lang w:eastAsia="es-CR"/>
              </w:rPr>
              <w:t>Comision Nacional de Mejoramiento de la Administración de Justicia</w:t>
            </w:r>
          </w:p>
        </w:tc>
        <w:tc>
          <w:tcPr>
            <w:tcW w:w="1973" w:type="dxa"/>
            <w:tcBorders>
              <w:top w:val="nil"/>
              <w:left w:val="nil"/>
              <w:bottom w:val="single" w:sz="4" w:space="0" w:color="auto"/>
              <w:right w:val="single" w:sz="4" w:space="0" w:color="auto"/>
            </w:tcBorders>
            <w:shd w:val="clear" w:color="auto" w:fill="auto"/>
            <w:vAlign w:val="center"/>
            <w:hideMark/>
          </w:tcPr>
          <w:p w14:paraId="2A82EDCF" w14:textId="77777777" w:rsidR="004574AA" w:rsidRPr="004574AA" w:rsidRDefault="004574AA" w:rsidP="004574AA">
            <w:pPr>
              <w:spacing w:after="0" w:line="240" w:lineRule="auto"/>
              <w:jc w:val="center"/>
              <w:rPr>
                <w:rFonts w:ascii="Book Antiqua" w:eastAsia="Times New Roman" w:hAnsi="Book Antiqua" w:cs="Calibri"/>
                <w:color w:val="000000"/>
                <w:sz w:val="16"/>
                <w:szCs w:val="16"/>
                <w:lang w:eastAsia="es-CR"/>
              </w:rPr>
            </w:pPr>
            <w:r w:rsidRPr="004574AA">
              <w:rPr>
                <w:rFonts w:ascii="Book Antiqua" w:eastAsia="Times New Roman" w:hAnsi="Book Antiqua" w:cs="Calibri"/>
                <w:color w:val="000000"/>
                <w:sz w:val="16"/>
                <w:szCs w:val="16"/>
                <w:lang w:eastAsia="es-CR"/>
              </w:rPr>
              <w:t>Expansión del Servicio Nacional de Facilitadores y Facilitadoras Judiciales incluyendo zonas interurbanas</w:t>
            </w:r>
          </w:p>
        </w:tc>
        <w:tc>
          <w:tcPr>
            <w:tcW w:w="1080" w:type="dxa"/>
            <w:tcBorders>
              <w:top w:val="nil"/>
              <w:left w:val="nil"/>
              <w:bottom w:val="single" w:sz="4" w:space="0" w:color="auto"/>
              <w:right w:val="single" w:sz="4" w:space="0" w:color="auto"/>
            </w:tcBorders>
            <w:shd w:val="clear" w:color="auto" w:fill="auto"/>
            <w:vAlign w:val="center"/>
            <w:hideMark/>
          </w:tcPr>
          <w:p w14:paraId="7BE9DF02" w14:textId="2977CD1F" w:rsidR="004574AA" w:rsidRPr="004574AA" w:rsidRDefault="004574AA" w:rsidP="004574AA">
            <w:pPr>
              <w:spacing w:after="0" w:line="240" w:lineRule="auto"/>
              <w:jc w:val="center"/>
              <w:rPr>
                <w:rFonts w:ascii="Book Antiqua" w:eastAsia="Times New Roman" w:hAnsi="Book Antiqua" w:cs="Calibri"/>
                <w:color w:val="000000"/>
                <w:sz w:val="16"/>
                <w:szCs w:val="16"/>
                <w:lang w:eastAsia="es-CR"/>
              </w:rPr>
            </w:pPr>
            <w:r w:rsidRPr="00DB6A64">
              <w:rPr>
                <w:rFonts w:ascii="Book Antiqua" w:eastAsia="Times New Roman" w:hAnsi="Book Antiqua" w:cs="Calibri"/>
                <w:noProof/>
                <w:color w:val="000000"/>
                <w:sz w:val="12"/>
                <w:szCs w:val="12"/>
                <w:lang w:eastAsia="es-CR"/>
              </w:rPr>
              <w:drawing>
                <wp:inline distT="0" distB="0" distL="0" distR="0" wp14:anchorId="7404F939" wp14:editId="7DD9ED2C">
                  <wp:extent cx="413684" cy="413684"/>
                  <wp:effectExtent l="0" t="0" r="0" b="5715"/>
                  <wp:docPr id="17" name="Picture 17"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insignia1 con relleno sólido"/>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17452" cy="417452"/>
                          </a:xfrm>
                          <a:prstGeom prst="rect">
                            <a:avLst/>
                          </a:prstGeom>
                        </pic:spPr>
                      </pic:pic>
                    </a:graphicData>
                  </a:graphic>
                </wp:inline>
              </w:drawing>
            </w:r>
          </w:p>
        </w:tc>
        <w:tc>
          <w:tcPr>
            <w:tcW w:w="1082" w:type="dxa"/>
            <w:tcBorders>
              <w:top w:val="nil"/>
              <w:left w:val="nil"/>
              <w:bottom w:val="single" w:sz="4" w:space="0" w:color="auto"/>
              <w:right w:val="single" w:sz="4" w:space="0" w:color="auto"/>
            </w:tcBorders>
            <w:shd w:val="clear" w:color="auto" w:fill="auto"/>
            <w:vAlign w:val="center"/>
            <w:hideMark/>
          </w:tcPr>
          <w:p w14:paraId="561D5480" w14:textId="0EF404A4" w:rsidR="004574AA" w:rsidRPr="004574AA" w:rsidRDefault="004574AA" w:rsidP="004574AA">
            <w:pPr>
              <w:spacing w:after="0" w:line="240" w:lineRule="auto"/>
              <w:jc w:val="center"/>
              <w:rPr>
                <w:rFonts w:ascii="Book Antiqua" w:eastAsia="Times New Roman" w:hAnsi="Book Antiqua" w:cs="Calibri"/>
                <w:color w:val="000000"/>
                <w:sz w:val="16"/>
                <w:szCs w:val="16"/>
                <w:lang w:eastAsia="es-CR"/>
              </w:rPr>
            </w:pPr>
            <w:r w:rsidRPr="00DB6A64">
              <w:rPr>
                <w:rFonts w:ascii="Book Antiqua" w:eastAsia="Times New Roman" w:hAnsi="Book Antiqua" w:cs="Calibri"/>
                <w:noProof/>
                <w:color w:val="000000"/>
                <w:sz w:val="12"/>
                <w:szCs w:val="12"/>
                <w:lang w:eastAsia="es-CR"/>
              </w:rPr>
              <w:drawing>
                <wp:inline distT="0" distB="0" distL="0" distR="0" wp14:anchorId="4262BDD4" wp14:editId="611934F9">
                  <wp:extent cx="413684" cy="413684"/>
                  <wp:effectExtent l="0" t="0" r="0" b="5715"/>
                  <wp:docPr id="18" name="Picture 18"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insignia1 con relleno sólido"/>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17452" cy="417452"/>
                          </a:xfrm>
                          <a:prstGeom prst="rect">
                            <a:avLst/>
                          </a:prstGeom>
                        </pic:spPr>
                      </pic:pic>
                    </a:graphicData>
                  </a:graphic>
                </wp:inline>
              </w:drawing>
            </w:r>
          </w:p>
        </w:tc>
        <w:tc>
          <w:tcPr>
            <w:tcW w:w="1080" w:type="dxa"/>
            <w:tcBorders>
              <w:top w:val="nil"/>
              <w:left w:val="nil"/>
              <w:bottom w:val="single" w:sz="4" w:space="0" w:color="auto"/>
              <w:right w:val="single" w:sz="4" w:space="0" w:color="auto"/>
            </w:tcBorders>
            <w:shd w:val="clear" w:color="auto" w:fill="auto"/>
            <w:vAlign w:val="center"/>
            <w:hideMark/>
          </w:tcPr>
          <w:p w14:paraId="3E3F873F" w14:textId="15531BB8" w:rsidR="004574AA" w:rsidRPr="004574AA" w:rsidRDefault="004574AA" w:rsidP="004574AA">
            <w:pPr>
              <w:spacing w:after="0" w:line="240" w:lineRule="auto"/>
              <w:jc w:val="center"/>
              <w:rPr>
                <w:rFonts w:ascii="Book Antiqua" w:eastAsia="Times New Roman" w:hAnsi="Book Antiqua" w:cs="Calibri"/>
                <w:color w:val="000000"/>
                <w:sz w:val="16"/>
                <w:szCs w:val="16"/>
                <w:lang w:eastAsia="es-CR"/>
              </w:rPr>
            </w:pPr>
            <w:r w:rsidRPr="00DB6A64">
              <w:rPr>
                <w:rFonts w:ascii="Book Antiqua" w:eastAsia="Times New Roman" w:hAnsi="Book Antiqua" w:cs="Calibri"/>
                <w:noProof/>
                <w:color w:val="000000"/>
                <w:sz w:val="12"/>
                <w:szCs w:val="12"/>
                <w:lang w:eastAsia="es-CR"/>
              </w:rPr>
              <w:drawing>
                <wp:inline distT="0" distB="0" distL="0" distR="0" wp14:anchorId="305B1B51" wp14:editId="3233B21E">
                  <wp:extent cx="413684" cy="413684"/>
                  <wp:effectExtent l="0" t="0" r="0" b="5715"/>
                  <wp:docPr id="9" name="Picture 9"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insignia1 con relleno sólido"/>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17452" cy="417452"/>
                          </a:xfrm>
                          <a:prstGeom prst="rect">
                            <a:avLst/>
                          </a:prstGeom>
                        </pic:spPr>
                      </pic:pic>
                    </a:graphicData>
                  </a:graphic>
                </wp:inline>
              </w:drawing>
            </w:r>
          </w:p>
        </w:tc>
        <w:tc>
          <w:tcPr>
            <w:tcW w:w="1080" w:type="dxa"/>
            <w:tcBorders>
              <w:top w:val="nil"/>
              <w:left w:val="nil"/>
              <w:bottom w:val="single" w:sz="4" w:space="0" w:color="auto"/>
              <w:right w:val="single" w:sz="8" w:space="0" w:color="auto"/>
            </w:tcBorders>
            <w:shd w:val="clear" w:color="auto" w:fill="auto"/>
            <w:vAlign w:val="center"/>
            <w:hideMark/>
          </w:tcPr>
          <w:p w14:paraId="26344013" w14:textId="62F1AAD9" w:rsidR="004574AA" w:rsidRPr="004574AA" w:rsidRDefault="004574AA" w:rsidP="004574AA">
            <w:pPr>
              <w:spacing w:after="0" w:line="240" w:lineRule="auto"/>
              <w:jc w:val="center"/>
              <w:rPr>
                <w:rFonts w:ascii="Book Antiqua" w:eastAsia="Times New Roman" w:hAnsi="Book Antiqua" w:cs="Calibri"/>
                <w:color w:val="000000"/>
                <w:sz w:val="16"/>
                <w:szCs w:val="16"/>
                <w:lang w:eastAsia="es-CR"/>
              </w:rPr>
            </w:pPr>
            <w:r w:rsidRPr="00DB6A64">
              <w:rPr>
                <w:rFonts w:ascii="Book Antiqua" w:eastAsia="Times New Roman" w:hAnsi="Book Antiqua" w:cs="Calibri"/>
                <w:noProof/>
                <w:color w:val="000000"/>
                <w:sz w:val="12"/>
                <w:szCs w:val="12"/>
                <w:lang w:eastAsia="es-CR"/>
              </w:rPr>
              <w:drawing>
                <wp:inline distT="0" distB="0" distL="0" distR="0" wp14:anchorId="6C343AD2" wp14:editId="2AC16B06">
                  <wp:extent cx="413684" cy="413684"/>
                  <wp:effectExtent l="0" t="0" r="0" b="5715"/>
                  <wp:docPr id="13" name="Picture 13"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insignia1 con relleno sólido"/>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17452" cy="417452"/>
                          </a:xfrm>
                          <a:prstGeom prst="rect">
                            <a:avLst/>
                          </a:prstGeom>
                        </pic:spPr>
                      </pic:pic>
                    </a:graphicData>
                  </a:graphic>
                </wp:inline>
              </w:drawing>
            </w:r>
          </w:p>
        </w:tc>
      </w:tr>
      <w:tr w:rsidR="004574AA" w:rsidRPr="004574AA" w14:paraId="51EECB1A" w14:textId="77777777" w:rsidTr="00A75D29">
        <w:trPr>
          <w:trHeight w:val="585"/>
        </w:trPr>
        <w:tc>
          <w:tcPr>
            <w:tcW w:w="1397" w:type="dxa"/>
            <w:tcBorders>
              <w:top w:val="nil"/>
              <w:left w:val="single" w:sz="8" w:space="0" w:color="auto"/>
              <w:bottom w:val="single" w:sz="4" w:space="0" w:color="auto"/>
              <w:right w:val="single" w:sz="4" w:space="0" w:color="auto"/>
            </w:tcBorders>
            <w:shd w:val="clear" w:color="auto" w:fill="auto"/>
            <w:vAlign w:val="center"/>
            <w:hideMark/>
          </w:tcPr>
          <w:p w14:paraId="127EA384" w14:textId="77777777" w:rsidR="004574AA" w:rsidRPr="004574AA" w:rsidRDefault="004574AA" w:rsidP="004574AA">
            <w:pPr>
              <w:spacing w:after="0" w:line="240" w:lineRule="auto"/>
              <w:rPr>
                <w:rFonts w:ascii="Book Antiqua" w:eastAsia="Times New Roman" w:hAnsi="Book Antiqua" w:cs="Calibri"/>
                <w:color w:val="000000"/>
                <w:sz w:val="16"/>
                <w:szCs w:val="16"/>
                <w:lang w:eastAsia="es-CR"/>
              </w:rPr>
            </w:pPr>
            <w:r w:rsidRPr="004574AA">
              <w:rPr>
                <w:rFonts w:ascii="Book Antiqua" w:eastAsia="Times New Roman" w:hAnsi="Book Antiqua" w:cs="Calibri"/>
                <w:color w:val="000000"/>
                <w:sz w:val="16"/>
                <w:szCs w:val="16"/>
                <w:lang w:eastAsia="es-CR"/>
              </w:rPr>
              <w:t>1377-PJR-P06</w:t>
            </w:r>
          </w:p>
        </w:tc>
        <w:tc>
          <w:tcPr>
            <w:tcW w:w="1708" w:type="dxa"/>
            <w:tcBorders>
              <w:top w:val="nil"/>
              <w:left w:val="nil"/>
              <w:bottom w:val="single" w:sz="4" w:space="0" w:color="auto"/>
              <w:right w:val="single" w:sz="4" w:space="0" w:color="auto"/>
            </w:tcBorders>
            <w:shd w:val="clear" w:color="auto" w:fill="auto"/>
            <w:vAlign w:val="center"/>
            <w:hideMark/>
          </w:tcPr>
          <w:p w14:paraId="1F53ADA3" w14:textId="77777777" w:rsidR="004574AA" w:rsidRPr="004574AA" w:rsidRDefault="004574AA" w:rsidP="00A75D29">
            <w:pPr>
              <w:spacing w:after="0" w:line="240" w:lineRule="auto"/>
              <w:jc w:val="center"/>
              <w:rPr>
                <w:rFonts w:ascii="Book Antiqua" w:eastAsia="Times New Roman" w:hAnsi="Book Antiqua" w:cs="Calibri"/>
                <w:color w:val="000000"/>
                <w:sz w:val="16"/>
                <w:szCs w:val="16"/>
                <w:lang w:eastAsia="es-CR"/>
              </w:rPr>
            </w:pPr>
            <w:r w:rsidRPr="004574AA">
              <w:rPr>
                <w:rFonts w:ascii="Book Antiqua" w:eastAsia="Times New Roman" w:hAnsi="Book Antiqua" w:cs="Calibri"/>
                <w:color w:val="000000"/>
                <w:sz w:val="16"/>
                <w:szCs w:val="16"/>
                <w:lang w:eastAsia="es-CR"/>
              </w:rPr>
              <w:t>Programa Justicia Restaurativa</w:t>
            </w:r>
          </w:p>
        </w:tc>
        <w:tc>
          <w:tcPr>
            <w:tcW w:w="1973" w:type="dxa"/>
            <w:tcBorders>
              <w:top w:val="nil"/>
              <w:left w:val="nil"/>
              <w:bottom w:val="single" w:sz="4" w:space="0" w:color="auto"/>
              <w:right w:val="single" w:sz="4" w:space="0" w:color="auto"/>
            </w:tcBorders>
            <w:shd w:val="clear" w:color="auto" w:fill="auto"/>
            <w:vAlign w:val="center"/>
            <w:hideMark/>
          </w:tcPr>
          <w:p w14:paraId="6838FFE8" w14:textId="77777777" w:rsidR="004574AA" w:rsidRPr="004574AA" w:rsidRDefault="004574AA" w:rsidP="004574AA">
            <w:pPr>
              <w:spacing w:after="0" w:line="240" w:lineRule="auto"/>
              <w:jc w:val="center"/>
              <w:rPr>
                <w:rFonts w:ascii="Book Antiqua" w:eastAsia="Times New Roman" w:hAnsi="Book Antiqua" w:cs="Calibri"/>
                <w:color w:val="000000"/>
                <w:sz w:val="16"/>
                <w:szCs w:val="16"/>
                <w:lang w:eastAsia="es-CR"/>
              </w:rPr>
            </w:pPr>
            <w:r w:rsidRPr="004574AA">
              <w:rPr>
                <w:rFonts w:ascii="Book Antiqua" w:eastAsia="Times New Roman" w:hAnsi="Book Antiqua" w:cs="Calibri"/>
                <w:color w:val="000000"/>
                <w:sz w:val="16"/>
                <w:szCs w:val="16"/>
                <w:lang w:eastAsia="es-CR"/>
              </w:rPr>
              <w:t>Programa de Justicia Restaurativa para el Bienestar Integral del Personal Judicial</w:t>
            </w:r>
          </w:p>
        </w:tc>
        <w:tc>
          <w:tcPr>
            <w:tcW w:w="1080" w:type="dxa"/>
            <w:tcBorders>
              <w:top w:val="nil"/>
              <w:left w:val="nil"/>
              <w:bottom w:val="single" w:sz="4" w:space="0" w:color="auto"/>
              <w:right w:val="single" w:sz="4" w:space="0" w:color="auto"/>
            </w:tcBorders>
            <w:shd w:val="clear" w:color="auto" w:fill="auto"/>
            <w:vAlign w:val="center"/>
            <w:hideMark/>
          </w:tcPr>
          <w:p w14:paraId="6DBE623C" w14:textId="6303F718" w:rsidR="004574AA" w:rsidRPr="004574AA" w:rsidRDefault="004574AA" w:rsidP="004574AA">
            <w:pPr>
              <w:spacing w:after="0" w:line="240" w:lineRule="auto"/>
              <w:jc w:val="center"/>
              <w:rPr>
                <w:rFonts w:ascii="Book Antiqua" w:eastAsia="Times New Roman" w:hAnsi="Book Antiqua" w:cs="Calibri"/>
                <w:color w:val="000000"/>
                <w:sz w:val="16"/>
                <w:szCs w:val="16"/>
                <w:lang w:eastAsia="es-CR"/>
              </w:rPr>
            </w:pPr>
            <w:r w:rsidRPr="00DB6A64">
              <w:rPr>
                <w:rFonts w:ascii="Book Antiqua" w:eastAsia="Times New Roman" w:hAnsi="Book Antiqua" w:cs="Calibri"/>
                <w:noProof/>
                <w:color w:val="000000"/>
                <w:sz w:val="12"/>
                <w:szCs w:val="12"/>
                <w:lang w:eastAsia="es-CR"/>
              </w:rPr>
              <w:drawing>
                <wp:inline distT="0" distB="0" distL="0" distR="0" wp14:anchorId="2A2B3A39" wp14:editId="576562C4">
                  <wp:extent cx="413684" cy="413684"/>
                  <wp:effectExtent l="0" t="0" r="0" b="5715"/>
                  <wp:docPr id="19" name="Picture 19"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insignia1 con relleno sólido"/>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17452" cy="417452"/>
                          </a:xfrm>
                          <a:prstGeom prst="rect">
                            <a:avLst/>
                          </a:prstGeom>
                        </pic:spPr>
                      </pic:pic>
                    </a:graphicData>
                  </a:graphic>
                </wp:inline>
              </w:drawing>
            </w:r>
          </w:p>
        </w:tc>
        <w:tc>
          <w:tcPr>
            <w:tcW w:w="1082" w:type="dxa"/>
            <w:tcBorders>
              <w:top w:val="nil"/>
              <w:left w:val="nil"/>
              <w:bottom w:val="single" w:sz="4" w:space="0" w:color="auto"/>
              <w:right w:val="single" w:sz="4" w:space="0" w:color="auto"/>
            </w:tcBorders>
            <w:shd w:val="clear" w:color="auto" w:fill="auto"/>
            <w:vAlign w:val="center"/>
            <w:hideMark/>
          </w:tcPr>
          <w:p w14:paraId="3BCB9AC6" w14:textId="12CF6A61" w:rsidR="004574AA" w:rsidRPr="004574AA" w:rsidRDefault="004574AA" w:rsidP="004574AA">
            <w:pPr>
              <w:spacing w:after="0" w:line="240" w:lineRule="auto"/>
              <w:jc w:val="center"/>
              <w:rPr>
                <w:rFonts w:ascii="Book Antiqua" w:eastAsia="Times New Roman" w:hAnsi="Book Antiqua" w:cs="Calibri"/>
                <w:color w:val="000000"/>
                <w:sz w:val="16"/>
                <w:szCs w:val="16"/>
                <w:lang w:eastAsia="es-CR"/>
              </w:rPr>
            </w:pPr>
            <w:r w:rsidRPr="00DB6A64">
              <w:rPr>
                <w:rFonts w:ascii="Book Antiqua" w:eastAsia="Times New Roman" w:hAnsi="Book Antiqua" w:cs="Calibri"/>
                <w:noProof/>
                <w:color w:val="000000"/>
                <w:sz w:val="12"/>
                <w:szCs w:val="12"/>
                <w:lang w:eastAsia="es-CR"/>
              </w:rPr>
              <w:drawing>
                <wp:inline distT="0" distB="0" distL="0" distR="0" wp14:anchorId="3A30C7C8" wp14:editId="7C6D1480">
                  <wp:extent cx="413684" cy="413684"/>
                  <wp:effectExtent l="0" t="0" r="0" b="5715"/>
                  <wp:docPr id="6" name="Picture 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insignia1 con relleno sólido"/>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17452" cy="417452"/>
                          </a:xfrm>
                          <a:prstGeom prst="rect">
                            <a:avLst/>
                          </a:prstGeom>
                        </pic:spPr>
                      </pic:pic>
                    </a:graphicData>
                  </a:graphic>
                </wp:inline>
              </w:drawing>
            </w:r>
          </w:p>
        </w:tc>
        <w:tc>
          <w:tcPr>
            <w:tcW w:w="1080" w:type="dxa"/>
            <w:tcBorders>
              <w:top w:val="nil"/>
              <w:left w:val="nil"/>
              <w:bottom w:val="single" w:sz="4" w:space="0" w:color="auto"/>
              <w:right w:val="single" w:sz="4" w:space="0" w:color="auto"/>
            </w:tcBorders>
            <w:shd w:val="clear" w:color="auto" w:fill="auto"/>
            <w:vAlign w:val="center"/>
            <w:hideMark/>
          </w:tcPr>
          <w:p w14:paraId="0CFD64E4" w14:textId="630BC66C" w:rsidR="004574AA" w:rsidRPr="004574AA" w:rsidRDefault="004574AA" w:rsidP="004574AA">
            <w:pPr>
              <w:spacing w:after="0" w:line="240" w:lineRule="auto"/>
              <w:jc w:val="center"/>
              <w:rPr>
                <w:rFonts w:ascii="Book Antiqua" w:eastAsia="Times New Roman" w:hAnsi="Book Antiqua" w:cs="Calibri"/>
                <w:color w:val="000000"/>
                <w:sz w:val="16"/>
                <w:szCs w:val="16"/>
                <w:lang w:eastAsia="es-CR"/>
              </w:rPr>
            </w:pPr>
            <w:r w:rsidRPr="00DB6A64">
              <w:rPr>
                <w:rFonts w:ascii="Book Antiqua" w:eastAsia="Times New Roman" w:hAnsi="Book Antiqua" w:cs="Calibri"/>
                <w:noProof/>
                <w:color w:val="000000"/>
                <w:sz w:val="12"/>
                <w:szCs w:val="12"/>
                <w:lang w:eastAsia="es-CR"/>
              </w:rPr>
              <w:drawing>
                <wp:inline distT="0" distB="0" distL="0" distR="0" wp14:anchorId="55C80229" wp14:editId="7507D26E">
                  <wp:extent cx="413684" cy="413684"/>
                  <wp:effectExtent l="0" t="0" r="0" b="5715"/>
                  <wp:docPr id="20" name="Picture 20"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insignia1 con relleno sólido"/>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17452" cy="417452"/>
                          </a:xfrm>
                          <a:prstGeom prst="rect">
                            <a:avLst/>
                          </a:prstGeom>
                        </pic:spPr>
                      </pic:pic>
                    </a:graphicData>
                  </a:graphic>
                </wp:inline>
              </w:drawing>
            </w:r>
          </w:p>
        </w:tc>
        <w:tc>
          <w:tcPr>
            <w:tcW w:w="1080" w:type="dxa"/>
            <w:tcBorders>
              <w:top w:val="nil"/>
              <w:left w:val="nil"/>
              <w:bottom w:val="single" w:sz="4" w:space="0" w:color="auto"/>
              <w:right w:val="single" w:sz="8" w:space="0" w:color="auto"/>
            </w:tcBorders>
            <w:shd w:val="clear" w:color="auto" w:fill="auto"/>
            <w:vAlign w:val="center"/>
            <w:hideMark/>
          </w:tcPr>
          <w:p w14:paraId="701432D3" w14:textId="29887599" w:rsidR="004574AA" w:rsidRPr="004574AA" w:rsidRDefault="004574AA" w:rsidP="004574AA">
            <w:pPr>
              <w:spacing w:after="0" w:line="240" w:lineRule="auto"/>
              <w:jc w:val="center"/>
              <w:rPr>
                <w:rFonts w:ascii="Book Antiqua" w:eastAsia="Times New Roman" w:hAnsi="Book Antiqua" w:cs="Calibri"/>
                <w:color w:val="000000"/>
                <w:sz w:val="16"/>
                <w:szCs w:val="16"/>
                <w:lang w:eastAsia="es-CR"/>
              </w:rPr>
            </w:pPr>
            <w:r w:rsidRPr="00DB6A64">
              <w:rPr>
                <w:rFonts w:ascii="Book Antiqua" w:eastAsia="Times New Roman" w:hAnsi="Book Antiqua" w:cs="Calibri"/>
                <w:noProof/>
                <w:color w:val="000000"/>
                <w:sz w:val="12"/>
                <w:szCs w:val="12"/>
                <w:lang w:eastAsia="es-CR"/>
              </w:rPr>
              <w:drawing>
                <wp:inline distT="0" distB="0" distL="0" distR="0" wp14:anchorId="731434C9" wp14:editId="693A0ACA">
                  <wp:extent cx="413684" cy="413684"/>
                  <wp:effectExtent l="0" t="0" r="0" b="5715"/>
                  <wp:docPr id="14" name="Picture 14"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insignia1 con relleno sólido"/>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17452" cy="417452"/>
                          </a:xfrm>
                          <a:prstGeom prst="rect">
                            <a:avLst/>
                          </a:prstGeom>
                        </pic:spPr>
                      </pic:pic>
                    </a:graphicData>
                  </a:graphic>
                </wp:inline>
              </w:drawing>
            </w:r>
          </w:p>
        </w:tc>
      </w:tr>
      <w:tr w:rsidR="004574AA" w:rsidRPr="004574AA" w14:paraId="6249A743" w14:textId="77777777" w:rsidTr="00A75D29">
        <w:trPr>
          <w:trHeight w:val="1050"/>
        </w:trPr>
        <w:tc>
          <w:tcPr>
            <w:tcW w:w="1397" w:type="dxa"/>
            <w:tcBorders>
              <w:top w:val="nil"/>
              <w:left w:val="single" w:sz="8" w:space="0" w:color="auto"/>
              <w:bottom w:val="single" w:sz="4" w:space="0" w:color="auto"/>
              <w:right w:val="single" w:sz="4" w:space="0" w:color="auto"/>
            </w:tcBorders>
            <w:shd w:val="clear" w:color="auto" w:fill="auto"/>
            <w:vAlign w:val="center"/>
            <w:hideMark/>
          </w:tcPr>
          <w:p w14:paraId="50F2876D" w14:textId="77777777" w:rsidR="004574AA" w:rsidRPr="004574AA" w:rsidRDefault="004574AA" w:rsidP="004574AA">
            <w:pPr>
              <w:spacing w:after="0" w:line="240" w:lineRule="auto"/>
              <w:jc w:val="center"/>
              <w:rPr>
                <w:rFonts w:ascii="Book Antiqua" w:eastAsia="Times New Roman" w:hAnsi="Book Antiqua" w:cs="Calibri"/>
                <w:color w:val="000000"/>
                <w:sz w:val="16"/>
                <w:szCs w:val="16"/>
                <w:lang w:eastAsia="es-CR"/>
              </w:rPr>
            </w:pPr>
            <w:r w:rsidRPr="004574AA">
              <w:rPr>
                <w:rFonts w:ascii="Book Antiqua" w:eastAsia="Times New Roman" w:hAnsi="Book Antiqua" w:cs="Calibri"/>
                <w:color w:val="000000"/>
                <w:sz w:val="16"/>
                <w:szCs w:val="16"/>
                <w:lang w:eastAsia="es-CR"/>
              </w:rPr>
              <w:t>1324-CACMFJ-P06</w:t>
            </w:r>
          </w:p>
        </w:tc>
        <w:tc>
          <w:tcPr>
            <w:tcW w:w="1708" w:type="dxa"/>
            <w:vMerge w:val="restart"/>
            <w:tcBorders>
              <w:top w:val="nil"/>
              <w:left w:val="single" w:sz="4" w:space="0" w:color="auto"/>
              <w:bottom w:val="single" w:sz="4" w:space="0" w:color="auto"/>
              <w:right w:val="single" w:sz="4" w:space="0" w:color="auto"/>
            </w:tcBorders>
            <w:shd w:val="clear" w:color="auto" w:fill="auto"/>
            <w:vAlign w:val="center"/>
            <w:hideMark/>
          </w:tcPr>
          <w:p w14:paraId="0342386B" w14:textId="77777777" w:rsidR="004574AA" w:rsidRPr="004574AA" w:rsidRDefault="004574AA" w:rsidP="00A75D29">
            <w:pPr>
              <w:spacing w:after="0" w:line="240" w:lineRule="auto"/>
              <w:jc w:val="center"/>
              <w:rPr>
                <w:rFonts w:ascii="Book Antiqua" w:eastAsia="Times New Roman" w:hAnsi="Book Antiqua" w:cs="Calibri"/>
                <w:color w:val="000000"/>
                <w:sz w:val="16"/>
                <w:szCs w:val="16"/>
                <w:lang w:eastAsia="es-CR"/>
              </w:rPr>
            </w:pPr>
            <w:r w:rsidRPr="004574AA">
              <w:rPr>
                <w:rFonts w:ascii="Book Antiqua" w:eastAsia="Times New Roman" w:hAnsi="Book Antiqua" w:cs="Calibri"/>
                <w:color w:val="000000"/>
                <w:sz w:val="16"/>
                <w:szCs w:val="16"/>
                <w:lang w:eastAsia="es-CR"/>
              </w:rPr>
              <w:t>Centro de Apoyo Coordinación y Mejoramiento Función Jurisdiccional</w:t>
            </w:r>
          </w:p>
        </w:tc>
        <w:tc>
          <w:tcPr>
            <w:tcW w:w="1973" w:type="dxa"/>
            <w:tcBorders>
              <w:top w:val="nil"/>
              <w:left w:val="nil"/>
              <w:bottom w:val="single" w:sz="4" w:space="0" w:color="auto"/>
              <w:right w:val="single" w:sz="4" w:space="0" w:color="auto"/>
            </w:tcBorders>
            <w:shd w:val="clear" w:color="auto" w:fill="auto"/>
            <w:vAlign w:val="center"/>
            <w:hideMark/>
          </w:tcPr>
          <w:p w14:paraId="1E7B0FDA" w14:textId="77777777" w:rsidR="004574AA" w:rsidRPr="004574AA" w:rsidRDefault="004574AA" w:rsidP="004574AA">
            <w:pPr>
              <w:spacing w:after="0" w:line="240" w:lineRule="auto"/>
              <w:jc w:val="center"/>
              <w:rPr>
                <w:rFonts w:ascii="Book Antiqua" w:eastAsia="Times New Roman" w:hAnsi="Book Antiqua" w:cs="Calibri"/>
                <w:color w:val="000000"/>
                <w:sz w:val="16"/>
                <w:szCs w:val="16"/>
                <w:lang w:eastAsia="es-CR"/>
              </w:rPr>
            </w:pPr>
            <w:r w:rsidRPr="004574AA">
              <w:rPr>
                <w:rFonts w:ascii="Book Antiqua" w:eastAsia="Times New Roman" w:hAnsi="Book Antiqua" w:cs="Calibri"/>
                <w:color w:val="000000"/>
                <w:sz w:val="16"/>
                <w:szCs w:val="16"/>
                <w:lang w:eastAsia="es-CR"/>
              </w:rPr>
              <w:t>Plan de Atención de los Procesos Expropiatorios en el Juzgado Contencioso Administrativo y Civil Hacienda</w:t>
            </w:r>
          </w:p>
        </w:tc>
        <w:tc>
          <w:tcPr>
            <w:tcW w:w="1080" w:type="dxa"/>
            <w:tcBorders>
              <w:top w:val="nil"/>
              <w:left w:val="nil"/>
              <w:bottom w:val="single" w:sz="4" w:space="0" w:color="auto"/>
              <w:right w:val="single" w:sz="4" w:space="0" w:color="auto"/>
            </w:tcBorders>
            <w:shd w:val="clear" w:color="auto" w:fill="auto"/>
            <w:vAlign w:val="center"/>
            <w:hideMark/>
          </w:tcPr>
          <w:p w14:paraId="721BF3C3" w14:textId="52DAC9A9" w:rsidR="004574AA" w:rsidRPr="004574AA" w:rsidRDefault="004574AA" w:rsidP="004574AA">
            <w:pPr>
              <w:spacing w:after="0" w:line="240" w:lineRule="auto"/>
              <w:jc w:val="center"/>
              <w:rPr>
                <w:rFonts w:ascii="Book Antiqua" w:eastAsia="Times New Roman" w:hAnsi="Book Antiqua" w:cs="Calibri"/>
                <w:color w:val="FF0000"/>
                <w:sz w:val="16"/>
                <w:szCs w:val="16"/>
                <w:lang w:eastAsia="es-CR"/>
              </w:rPr>
            </w:pPr>
            <w:r w:rsidRPr="00DB6A64">
              <w:rPr>
                <w:rFonts w:ascii="Book Antiqua" w:eastAsia="Times New Roman" w:hAnsi="Book Antiqua" w:cs="Calibri"/>
                <w:noProof/>
                <w:color w:val="000000"/>
                <w:sz w:val="12"/>
                <w:szCs w:val="12"/>
                <w:lang w:eastAsia="es-CR"/>
              </w:rPr>
              <w:drawing>
                <wp:inline distT="0" distB="0" distL="0" distR="0" wp14:anchorId="2E7736CE" wp14:editId="2E7E5195">
                  <wp:extent cx="413684" cy="413684"/>
                  <wp:effectExtent l="0" t="0" r="0" b="5715"/>
                  <wp:docPr id="3" name="Picture 3"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insignia1 con relleno sólido"/>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17452" cy="417452"/>
                          </a:xfrm>
                          <a:prstGeom prst="rect">
                            <a:avLst/>
                          </a:prstGeom>
                        </pic:spPr>
                      </pic:pic>
                    </a:graphicData>
                  </a:graphic>
                </wp:inline>
              </w:drawing>
            </w:r>
          </w:p>
        </w:tc>
        <w:tc>
          <w:tcPr>
            <w:tcW w:w="1082" w:type="dxa"/>
            <w:tcBorders>
              <w:top w:val="nil"/>
              <w:left w:val="nil"/>
              <w:bottom w:val="single" w:sz="4" w:space="0" w:color="auto"/>
              <w:right w:val="single" w:sz="4" w:space="0" w:color="auto"/>
            </w:tcBorders>
            <w:shd w:val="clear" w:color="auto" w:fill="auto"/>
            <w:vAlign w:val="center"/>
            <w:hideMark/>
          </w:tcPr>
          <w:p w14:paraId="35638151" w14:textId="6206D5DB" w:rsidR="004574AA" w:rsidRPr="004574AA" w:rsidRDefault="004574AA" w:rsidP="004574AA">
            <w:pPr>
              <w:spacing w:after="0" w:line="240" w:lineRule="auto"/>
              <w:jc w:val="center"/>
              <w:rPr>
                <w:rFonts w:ascii="Book Antiqua" w:eastAsia="Times New Roman" w:hAnsi="Book Antiqua" w:cs="Calibri"/>
                <w:color w:val="FF0000"/>
                <w:sz w:val="16"/>
                <w:szCs w:val="16"/>
                <w:lang w:eastAsia="es-CR"/>
              </w:rPr>
            </w:pPr>
            <w:r w:rsidRPr="00DB6A64">
              <w:rPr>
                <w:rFonts w:ascii="Book Antiqua" w:eastAsia="Times New Roman" w:hAnsi="Book Antiqua" w:cs="Calibri"/>
                <w:noProof/>
                <w:color w:val="000000"/>
                <w:sz w:val="12"/>
                <w:szCs w:val="12"/>
                <w:lang w:eastAsia="es-CR"/>
              </w:rPr>
              <w:drawing>
                <wp:inline distT="0" distB="0" distL="0" distR="0" wp14:anchorId="3B472E91" wp14:editId="34D23BC1">
                  <wp:extent cx="413684" cy="413684"/>
                  <wp:effectExtent l="0" t="0" r="0" b="5715"/>
                  <wp:docPr id="21" name="Picture 21"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insignia1 con relleno sólido"/>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17452" cy="417452"/>
                          </a:xfrm>
                          <a:prstGeom prst="rect">
                            <a:avLst/>
                          </a:prstGeom>
                        </pic:spPr>
                      </pic:pic>
                    </a:graphicData>
                  </a:graphic>
                </wp:inline>
              </w:drawing>
            </w:r>
          </w:p>
        </w:tc>
        <w:tc>
          <w:tcPr>
            <w:tcW w:w="1080" w:type="dxa"/>
            <w:tcBorders>
              <w:top w:val="nil"/>
              <w:left w:val="nil"/>
              <w:bottom w:val="single" w:sz="4" w:space="0" w:color="auto"/>
              <w:right w:val="single" w:sz="4" w:space="0" w:color="auto"/>
            </w:tcBorders>
            <w:shd w:val="clear" w:color="auto" w:fill="auto"/>
            <w:vAlign w:val="center"/>
            <w:hideMark/>
          </w:tcPr>
          <w:p w14:paraId="4564D578" w14:textId="2CE3450F" w:rsidR="004574AA" w:rsidRPr="004574AA" w:rsidRDefault="004574AA" w:rsidP="004574AA">
            <w:pPr>
              <w:spacing w:after="0" w:line="240" w:lineRule="auto"/>
              <w:jc w:val="center"/>
              <w:rPr>
                <w:rFonts w:ascii="Book Antiqua" w:eastAsia="Times New Roman" w:hAnsi="Book Antiqua" w:cs="Calibri"/>
                <w:color w:val="FF0000"/>
                <w:sz w:val="16"/>
                <w:szCs w:val="16"/>
                <w:lang w:eastAsia="es-CR"/>
              </w:rPr>
            </w:pPr>
            <w:r w:rsidRPr="00DB6A64">
              <w:rPr>
                <w:rFonts w:ascii="Book Antiqua" w:eastAsia="Times New Roman" w:hAnsi="Book Antiqua" w:cs="Calibri"/>
                <w:noProof/>
                <w:color w:val="000000"/>
                <w:sz w:val="12"/>
                <w:szCs w:val="12"/>
                <w:lang w:eastAsia="es-CR"/>
              </w:rPr>
              <w:drawing>
                <wp:inline distT="0" distB="0" distL="0" distR="0" wp14:anchorId="25DD0CB2" wp14:editId="2C3CBDA4">
                  <wp:extent cx="413684" cy="413684"/>
                  <wp:effectExtent l="0" t="0" r="0" b="5715"/>
                  <wp:docPr id="22" name="Picture 22"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insignia1 con relleno sólido"/>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17452" cy="417452"/>
                          </a:xfrm>
                          <a:prstGeom prst="rect">
                            <a:avLst/>
                          </a:prstGeom>
                        </pic:spPr>
                      </pic:pic>
                    </a:graphicData>
                  </a:graphic>
                </wp:inline>
              </w:drawing>
            </w:r>
          </w:p>
        </w:tc>
        <w:tc>
          <w:tcPr>
            <w:tcW w:w="1080" w:type="dxa"/>
            <w:tcBorders>
              <w:top w:val="nil"/>
              <w:left w:val="nil"/>
              <w:bottom w:val="single" w:sz="4" w:space="0" w:color="auto"/>
              <w:right w:val="single" w:sz="8" w:space="0" w:color="auto"/>
            </w:tcBorders>
            <w:shd w:val="clear" w:color="auto" w:fill="auto"/>
            <w:vAlign w:val="center"/>
            <w:hideMark/>
          </w:tcPr>
          <w:p w14:paraId="485E3CA7" w14:textId="4F10F096" w:rsidR="004574AA" w:rsidRPr="004574AA" w:rsidRDefault="004574AA" w:rsidP="004574AA">
            <w:pPr>
              <w:spacing w:after="0" w:line="240" w:lineRule="auto"/>
              <w:jc w:val="center"/>
              <w:rPr>
                <w:rFonts w:ascii="Book Antiqua" w:eastAsia="Times New Roman" w:hAnsi="Book Antiqua" w:cs="Calibri"/>
                <w:color w:val="FF0000"/>
                <w:sz w:val="16"/>
                <w:szCs w:val="16"/>
                <w:lang w:eastAsia="es-CR"/>
              </w:rPr>
            </w:pPr>
            <w:r w:rsidRPr="00DB6A64">
              <w:rPr>
                <w:rFonts w:ascii="Book Antiqua" w:eastAsia="Times New Roman" w:hAnsi="Book Antiqua" w:cs="Calibri"/>
                <w:noProof/>
                <w:color w:val="000000"/>
                <w:sz w:val="12"/>
                <w:szCs w:val="12"/>
                <w:lang w:eastAsia="es-CR"/>
              </w:rPr>
              <w:drawing>
                <wp:inline distT="0" distB="0" distL="0" distR="0" wp14:anchorId="57EA7857" wp14:editId="5917973E">
                  <wp:extent cx="413684" cy="413684"/>
                  <wp:effectExtent l="0" t="0" r="0" b="5715"/>
                  <wp:docPr id="15" name="Picture 15"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insignia1 con relleno sólido"/>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17452" cy="417452"/>
                          </a:xfrm>
                          <a:prstGeom prst="rect">
                            <a:avLst/>
                          </a:prstGeom>
                        </pic:spPr>
                      </pic:pic>
                    </a:graphicData>
                  </a:graphic>
                </wp:inline>
              </w:drawing>
            </w:r>
          </w:p>
        </w:tc>
      </w:tr>
      <w:tr w:rsidR="004574AA" w:rsidRPr="004574AA" w14:paraId="02FDAAF2" w14:textId="77777777" w:rsidTr="00A75D29">
        <w:trPr>
          <w:trHeight w:val="840"/>
        </w:trPr>
        <w:tc>
          <w:tcPr>
            <w:tcW w:w="1397" w:type="dxa"/>
            <w:tcBorders>
              <w:top w:val="nil"/>
              <w:left w:val="single" w:sz="8" w:space="0" w:color="auto"/>
              <w:bottom w:val="single" w:sz="4" w:space="0" w:color="auto"/>
              <w:right w:val="single" w:sz="4" w:space="0" w:color="auto"/>
            </w:tcBorders>
            <w:shd w:val="clear" w:color="auto" w:fill="auto"/>
            <w:vAlign w:val="center"/>
            <w:hideMark/>
          </w:tcPr>
          <w:p w14:paraId="3EA291F4" w14:textId="77777777" w:rsidR="004574AA" w:rsidRPr="004574AA" w:rsidRDefault="004574AA" w:rsidP="004574AA">
            <w:pPr>
              <w:spacing w:after="0" w:line="240" w:lineRule="auto"/>
              <w:jc w:val="center"/>
              <w:rPr>
                <w:rFonts w:ascii="Book Antiqua" w:eastAsia="Times New Roman" w:hAnsi="Book Antiqua" w:cs="Calibri"/>
                <w:color w:val="000000"/>
                <w:sz w:val="16"/>
                <w:szCs w:val="16"/>
                <w:lang w:eastAsia="es-CR"/>
              </w:rPr>
            </w:pPr>
            <w:r w:rsidRPr="004574AA">
              <w:rPr>
                <w:rFonts w:ascii="Book Antiqua" w:eastAsia="Times New Roman" w:hAnsi="Book Antiqua" w:cs="Calibri"/>
                <w:color w:val="000000"/>
                <w:sz w:val="16"/>
                <w:szCs w:val="16"/>
                <w:lang w:eastAsia="es-CR"/>
              </w:rPr>
              <w:t>1324-CACMFJ-P07</w:t>
            </w:r>
          </w:p>
        </w:tc>
        <w:tc>
          <w:tcPr>
            <w:tcW w:w="1708" w:type="dxa"/>
            <w:vMerge/>
            <w:tcBorders>
              <w:top w:val="nil"/>
              <w:left w:val="single" w:sz="4" w:space="0" w:color="auto"/>
              <w:bottom w:val="single" w:sz="4" w:space="0" w:color="auto"/>
              <w:right w:val="single" w:sz="4" w:space="0" w:color="auto"/>
            </w:tcBorders>
            <w:vAlign w:val="center"/>
            <w:hideMark/>
          </w:tcPr>
          <w:p w14:paraId="7DC60498" w14:textId="77777777" w:rsidR="004574AA" w:rsidRPr="004574AA" w:rsidRDefault="004574AA" w:rsidP="004574AA">
            <w:pPr>
              <w:spacing w:after="0" w:line="240" w:lineRule="auto"/>
              <w:jc w:val="center"/>
              <w:rPr>
                <w:rFonts w:ascii="Book Antiqua" w:eastAsia="Times New Roman" w:hAnsi="Book Antiqua" w:cs="Calibri"/>
                <w:color w:val="000000"/>
                <w:sz w:val="16"/>
                <w:szCs w:val="16"/>
                <w:lang w:eastAsia="es-CR"/>
              </w:rPr>
            </w:pPr>
          </w:p>
        </w:tc>
        <w:tc>
          <w:tcPr>
            <w:tcW w:w="1973" w:type="dxa"/>
            <w:tcBorders>
              <w:top w:val="nil"/>
              <w:left w:val="nil"/>
              <w:bottom w:val="single" w:sz="4" w:space="0" w:color="auto"/>
              <w:right w:val="single" w:sz="4" w:space="0" w:color="auto"/>
            </w:tcBorders>
            <w:shd w:val="clear" w:color="auto" w:fill="auto"/>
            <w:vAlign w:val="center"/>
            <w:hideMark/>
          </w:tcPr>
          <w:p w14:paraId="30AB3BF2" w14:textId="77777777" w:rsidR="004574AA" w:rsidRPr="004574AA" w:rsidRDefault="004574AA" w:rsidP="00A75D29">
            <w:pPr>
              <w:spacing w:after="0" w:line="240" w:lineRule="auto"/>
              <w:jc w:val="center"/>
              <w:rPr>
                <w:rFonts w:ascii="Book Antiqua" w:eastAsia="Times New Roman" w:hAnsi="Book Antiqua" w:cs="Calibri"/>
                <w:color w:val="000000"/>
                <w:sz w:val="16"/>
                <w:szCs w:val="16"/>
                <w:lang w:eastAsia="es-CR"/>
              </w:rPr>
            </w:pPr>
            <w:r w:rsidRPr="004574AA">
              <w:rPr>
                <w:rFonts w:ascii="Book Antiqua" w:eastAsia="Times New Roman" w:hAnsi="Book Antiqua" w:cs="Calibri"/>
                <w:color w:val="000000"/>
                <w:sz w:val="16"/>
                <w:szCs w:val="16"/>
                <w:lang w:eastAsia="es-CR"/>
              </w:rPr>
              <w:t>Plan de Área de Ejecución de Sentencias de Amparos de Legalidad del Tribunal Contencioso Administrativo</w:t>
            </w:r>
          </w:p>
        </w:tc>
        <w:tc>
          <w:tcPr>
            <w:tcW w:w="1080" w:type="dxa"/>
            <w:tcBorders>
              <w:top w:val="nil"/>
              <w:left w:val="nil"/>
              <w:bottom w:val="single" w:sz="4" w:space="0" w:color="auto"/>
              <w:right w:val="single" w:sz="4" w:space="0" w:color="auto"/>
            </w:tcBorders>
            <w:shd w:val="clear" w:color="auto" w:fill="auto"/>
            <w:vAlign w:val="center"/>
            <w:hideMark/>
          </w:tcPr>
          <w:p w14:paraId="34278F27" w14:textId="5E633324" w:rsidR="004574AA" w:rsidRPr="004574AA" w:rsidRDefault="004574AA" w:rsidP="004574AA">
            <w:pPr>
              <w:spacing w:after="0" w:line="240" w:lineRule="auto"/>
              <w:jc w:val="center"/>
              <w:rPr>
                <w:rFonts w:ascii="Book Antiqua" w:eastAsia="Times New Roman" w:hAnsi="Book Antiqua" w:cs="Calibri"/>
                <w:color w:val="FF0000"/>
                <w:sz w:val="16"/>
                <w:szCs w:val="16"/>
                <w:lang w:eastAsia="es-CR"/>
              </w:rPr>
            </w:pPr>
            <w:r w:rsidRPr="00DB6A64">
              <w:rPr>
                <w:rFonts w:ascii="Book Antiqua" w:eastAsia="Times New Roman" w:hAnsi="Book Antiqua" w:cs="Calibri"/>
                <w:noProof/>
                <w:color w:val="000000"/>
                <w:sz w:val="12"/>
                <w:szCs w:val="12"/>
                <w:lang w:eastAsia="es-CR"/>
              </w:rPr>
              <w:drawing>
                <wp:inline distT="0" distB="0" distL="0" distR="0" wp14:anchorId="1EADC731" wp14:editId="0BBF77D9">
                  <wp:extent cx="413684" cy="413684"/>
                  <wp:effectExtent l="0" t="0" r="0" b="5715"/>
                  <wp:docPr id="4" name="Picture 4"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insignia1 con relleno sólido"/>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17452" cy="417452"/>
                          </a:xfrm>
                          <a:prstGeom prst="rect">
                            <a:avLst/>
                          </a:prstGeom>
                        </pic:spPr>
                      </pic:pic>
                    </a:graphicData>
                  </a:graphic>
                </wp:inline>
              </w:drawing>
            </w:r>
          </w:p>
        </w:tc>
        <w:tc>
          <w:tcPr>
            <w:tcW w:w="1082" w:type="dxa"/>
            <w:tcBorders>
              <w:top w:val="nil"/>
              <w:left w:val="nil"/>
              <w:bottom w:val="single" w:sz="4" w:space="0" w:color="auto"/>
              <w:right w:val="single" w:sz="4" w:space="0" w:color="auto"/>
            </w:tcBorders>
            <w:shd w:val="clear" w:color="auto" w:fill="auto"/>
            <w:vAlign w:val="center"/>
            <w:hideMark/>
          </w:tcPr>
          <w:p w14:paraId="6CAB95A5" w14:textId="6041060D" w:rsidR="004574AA" w:rsidRPr="004574AA" w:rsidRDefault="004574AA" w:rsidP="004574AA">
            <w:pPr>
              <w:spacing w:after="0" w:line="240" w:lineRule="auto"/>
              <w:jc w:val="center"/>
              <w:rPr>
                <w:rFonts w:ascii="Book Antiqua" w:eastAsia="Times New Roman" w:hAnsi="Book Antiqua" w:cs="Calibri"/>
                <w:color w:val="FF0000"/>
                <w:sz w:val="16"/>
                <w:szCs w:val="16"/>
                <w:lang w:eastAsia="es-CR"/>
              </w:rPr>
            </w:pPr>
            <w:r w:rsidRPr="00DB6A64">
              <w:rPr>
                <w:rFonts w:ascii="Book Antiqua" w:eastAsia="Times New Roman" w:hAnsi="Book Antiqua" w:cs="Calibri"/>
                <w:noProof/>
                <w:color w:val="000000"/>
                <w:sz w:val="12"/>
                <w:szCs w:val="12"/>
                <w:lang w:eastAsia="es-CR"/>
              </w:rPr>
              <w:drawing>
                <wp:inline distT="0" distB="0" distL="0" distR="0" wp14:anchorId="3992183C" wp14:editId="34B89329">
                  <wp:extent cx="413684" cy="413684"/>
                  <wp:effectExtent l="0" t="0" r="0" b="5715"/>
                  <wp:docPr id="23" name="Picture 23"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insignia1 con relleno sólido"/>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17452" cy="417452"/>
                          </a:xfrm>
                          <a:prstGeom prst="rect">
                            <a:avLst/>
                          </a:prstGeom>
                        </pic:spPr>
                      </pic:pic>
                    </a:graphicData>
                  </a:graphic>
                </wp:inline>
              </w:drawing>
            </w:r>
          </w:p>
        </w:tc>
        <w:tc>
          <w:tcPr>
            <w:tcW w:w="1080" w:type="dxa"/>
            <w:tcBorders>
              <w:top w:val="nil"/>
              <w:left w:val="nil"/>
              <w:bottom w:val="single" w:sz="4" w:space="0" w:color="auto"/>
              <w:right w:val="single" w:sz="4" w:space="0" w:color="auto"/>
            </w:tcBorders>
            <w:shd w:val="clear" w:color="auto" w:fill="auto"/>
            <w:vAlign w:val="center"/>
            <w:hideMark/>
          </w:tcPr>
          <w:p w14:paraId="0D98C9EA" w14:textId="18C71EF5" w:rsidR="004574AA" w:rsidRPr="004574AA" w:rsidRDefault="004574AA" w:rsidP="004574AA">
            <w:pPr>
              <w:spacing w:after="0" w:line="240" w:lineRule="auto"/>
              <w:jc w:val="center"/>
              <w:rPr>
                <w:rFonts w:ascii="Book Antiqua" w:eastAsia="Times New Roman" w:hAnsi="Book Antiqua" w:cs="Calibri"/>
                <w:color w:val="FF0000"/>
                <w:sz w:val="16"/>
                <w:szCs w:val="16"/>
                <w:lang w:eastAsia="es-CR"/>
              </w:rPr>
            </w:pPr>
            <w:r w:rsidRPr="00DB6A64">
              <w:rPr>
                <w:rFonts w:ascii="Book Antiqua" w:eastAsia="Times New Roman" w:hAnsi="Book Antiqua" w:cs="Calibri"/>
                <w:noProof/>
                <w:color w:val="000000"/>
                <w:sz w:val="12"/>
                <w:szCs w:val="12"/>
                <w:lang w:eastAsia="es-CR"/>
              </w:rPr>
              <w:drawing>
                <wp:inline distT="0" distB="0" distL="0" distR="0" wp14:anchorId="29FB4C5C" wp14:editId="28AD3778">
                  <wp:extent cx="413684" cy="413684"/>
                  <wp:effectExtent l="0" t="0" r="0" b="5715"/>
                  <wp:docPr id="12" name="Picture 12"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insignia1 con relleno sólido"/>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17452" cy="417452"/>
                          </a:xfrm>
                          <a:prstGeom prst="rect">
                            <a:avLst/>
                          </a:prstGeom>
                        </pic:spPr>
                      </pic:pic>
                    </a:graphicData>
                  </a:graphic>
                </wp:inline>
              </w:drawing>
            </w:r>
          </w:p>
        </w:tc>
        <w:tc>
          <w:tcPr>
            <w:tcW w:w="1080" w:type="dxa"/>
            <w:tcBorders>
              <w:top w:val="nil"/>
              <w:left w:val="nil"/>
              <w:bottom w:val="single" w:sz="4" w:space="0" w:color="auto"/>
              <w:right w:val="single" w:sz="8" w:space="0" w:color="auto"/>
            </w:tcBorders>
            <w:shd w:val="clear" w:color="auto" w:fill="auto"/>
            <w:vAlign w:val="center"/>
            <w:hideMark/>
          </w:tcPr>
          <w:p w14:paraId="3986C9EF" w14:textId="438118D1" w:rsidR="004574AA" w:rsidRPr="004574AA" w:rsidRDefault="004574AA" w:rsidP="004574AA">
            <w:pPr>
              <w:spacing w:after="0" w:line="240" w:lineRule="auto"/>
              <w:jc w:val="center"/>
              <w:rPr>
                <w:rFonts w:ascii="Book Antiqua" w:eastAsia="Times New Roman" w:hAnsi="Book Antiqua" w:cs="Calibri"/>
                <w:color w:val="FF0000"/>
                <w:sz w:val="16"/>
                <w:szCs w:val="16"/>
                <w:lang w:eastAsia="es-CR"/>
              </w:rPr>
            </w:pPr>
            <w:r w:rsidRPr="00DB6A64">
              <w:rPr>
                <w:rFonts w:ascii="Book Antiqua" w:eastAsia="Times New Roman" w:hAnsi="Book Antiqua" w:cs="Calibri"/>
                <w:noProof/>
                <w:color w:val="000000"/>
                <w:sz w:val="12"/>
                <w:szCs w:val="12"/>
                <w:lang w:eastAsia="es-CR"/>
              </w:rPr>
              <w:drawing>
                <wp:inline distT="0" distB="0" distL="0" distR="0" wp14:anchorId="4AA1F00D" wp14:editId="418312AA">
                  <wp:extent cx="413684" cy="413684"/>
                  <wp:effectExtent l="0" t="0" r="0" b="5715"/>
                  <wp:docPr id="16" name="Picture 1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insignia1 con relleno sólido"/>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17452" cy="417452"/>
                          </a:xfrm>
                          <a:prstGeom prst="rect">
                            <a:avLst/>
                          </a:prstGeom>
                        </pic:spPr>
                      </pic:pic>
                    </a:graphicData>
                  </a:graphic>
                </wp:inline>
              </w:drawing>
            </w:r>
          </w:p>
        </w:tc>
      </w:tr>
    </w:tbl>
    <w:p w14:paraId="068DB966" w14:textId="77777777" w:rsidR="00555E82" w:rsidRPr="007F1F38" w:rsidRDefault="00555E82" w:rsidP="00555E82">
      <w:pPr>
        <w:spacing w:after="0"/>
        <w:rPr>
          <w:rFonts w:ascii="Book Antiqua" w:hAnsi="Book Antiqua"/>
          <w:noProof/>
          <w:sz w:val="20"/>
          <w:szCs w:val="20"/>
        </w:rPr>
      </w:pPr>
      <w:r w:rsidRPr="007F1F38">
        <w:rPr>
          <w:rFonts w:ascii="Book Antiqua" w:hAnsi="Book Antiqua"/>
          <w:b/>
          <w:bCs/>
          <w:noProof/>
          <w:sz w:val="20"/>
          <w:szCs w:val="20"/>
        </w:rPr>
        <w:t>Fuente:</w:t>
      </w:r>
      <w:r w:rsidRPr="007F1F38">
        <w:rPr>
          <w:rFonts w:ascii="Book Antiqua" w:hAnsi="Book Antiqua"/>
          <w:noProof/>
          <w:sz w:val="20"/>
          <w:szCs w:val="20"/>
        </w:rPr>
        <w:t xml:space="preserve"> Elaboración propia con datos de los cronogramas  MS Project Online</w:t>
      </w:r>
    </w:p>
    <w:p w14:paraId="060E3CB3" w14:textId="77777777" w:rsidR="00555E82" w:rsidRDefault="00555E82" w:rsidP="00555E82">
      <w:pPr>
        <w:spacing w:after="0"/>
        <w:jc w:val="both"/>
        <w:rPr>
          <w:rFonts w:ascii="Book Antiqua" w:eastAsia="Wingdings" w:hAnsi="Book Antiqua"/>
          <w:sz w:val="24"/>
          <w:szCs w:val="24"/>
          <w:lang w:eastAsia="ko-KR"/>
        </w:rPr>
      </w:pPr>
    </w:p>
    <w:p w14:paraId="6B3B4CCE" w14:textId="554DA58A" w:rsidR="00555E82" w:rsidRDefault="00555E82" w:rsidP="00155AE5">
      <w:pPr>
        <w:pStyle w:val="Ttulo2"/>
        <w:numPr>
          <w:ilvl w:val="1"/>
          <w:numId w:val="17"/>
        </w:numPr>
        <w:spacing w:before="120" w:after="120"/>
        <w:jc w:val="both"/>
        <w:rPr>
          <w:rFonts w:ascii="Book Antiqua" w:eastAsia="Wingdings" w:hAnsi="Book Antiqua"/>
          <w:b/>
          <w:color w:val="auto"/>
          <w:lang w:eastAsia="ko-KR"/>
        </w:rPr>
      </w:pPr>
      <w:bookmarkStart w:id="116" w:name="_Toc138770856"/>
      <w:r w:rsidRPr="006C22C2">
        <w:rPr>
          <w:rFonts w:ascii="Book Antiqua" w:eastAsia="Wingdings" w:hAnsi="Book Antiqua"/>
          <w:b/>
          <w:color w:val="auto"/>
          <w:lang w:eastAsia="ko-KR"/>
        </w:rPr>
        <w:t>Observaciones de la revisión de los Informes de Avance y de los cronogramas de labores operativas</w:t>
      </w:r>
      <w:bookmarkEnd w:id="116"/>
      <w:r w:rsidRPr="006C22C2">
        <w:rPr>
          <w:rFonts w:ascii="Book Antiqua" w:eastAsia="Wingdings" w:hAnsi="Book Antiqua"/>
          <w:b/>
          <w:color w:val="auto"/>
          <w:lang w:eastAsia="ko-KR"/>
        </w:rPr>
        <w:t xml:space="preserve"> </w:t>
      </w:r>
    </w:p>
    <w:p w14:paraId="57E11377" w14:textId="77777777" w:rsidR="000B705B" w:rsidRPr="00EF4E17" w:rsidRDefault="000B705B" w:rsidP="00EF4E17">
      <w:pPr>
        <w:spacing w:after="0"/>
        <w:rPr>
          <w:lang w:eastAsia="ko-KR"/>
        </w:rPr>
      </w:pPr>
    </w:p>
    <w:p w14:paraId="39567F1D" w14:textId="45717E07" w:rsidR="00A75D29" w:rsidRDefault="00A75D29" w:rsidP="00EF4E17">
      <w:pPr>
        <w:pStyle w:val="Prrafodelista"/>
        <w:numPr>
          <w:ilvl w:val="0"/>
          <w:numId w:val="28"/>
        </w:numPr>
        <w:spacing w:after="0" w:line="240" w:lineRule="auto"/>
        <w:ind w:left="0" w:firstLine="0"/>
        <w:jc w:val="both"/>
        <w:rPr>
          <w:rFonts w:ascii="Book Antiqua" w:eastAsia="Wingdings" w:hAnsi="Book Antiqua"/>
          <w:sz w:val="24"/>
          <w:szCs w:val="24"/>
          <w:lang w:eastAsia="ko-KR"/>
        </w:rPr>
      </w:pPr>
      <w:r w:rsidRPr="00EC398D">
        <w:rPr>
          <w:rFonts w:ascii="Book Antiqua" w:eastAsia="Wingdings" w:hAnsi="Book Antiqua"/>
          <w:sz w:val="24"/>
          <w:szCs w:val="24"/>
          <w:lang w:eastAsia="ko-KR"/>
        </w:rPr>
        <w:t xml:space="preserve">Es importante destacar que todas las labores operativas presentaron el informe de </w:t>
      </w:r>
      <w:r w:rsidR="000A3123">
        <w:rPr>
          <w:rFonts w:ascii="Book Antiqua" w:eastAsia="Wingdings" w:hAnsi="Book Antiqua"/>
          <w:sz w:val="24"/>
          <w:szCs w:val="24"/>
          <w:lang w:eastAsia="ko-KR"/>
        </w:rPr>
        <w:t>a</w:t>
      </w:r>
      <w:r w:rsidRPr="00EC398D">
        <w:rPr>
          <w:rFonts w:ascii="Book Antiqua" w:eastAsia="Wingdings" w:hAnsi="Book Antiqua"/>
          <w:sz w:val="24"/>
          <w:szCs w:val="24"/>
          <w:lang w:eastAsia="ko-KR"/>
        </w:rPr>
        <w:t xml:space="preserve">vance y </w:t>
      </w:r>
      <w:r w:rsidRPr="0086112A">
        <w:rPr>
          <w:rFonts w:ascii="Book Antiqua" w:eastAsia="Wingdings" w:hAnsi="Book Antiqua"/>
          <w:sz w:val="24"/>
          <w:szCs w:val="24"/>
          <w:lang w:eastAsia="ko-KR"/>
        </w:rPr>
        <w:t xml:space="preserve">el cronograma, sin embargo, los encargados de realizar el </w:t>
      </w:r>
      <w:r w:rsidR="000A3123">
        <w:rPr>
          <w:rFonts w:ascii="Book Antiqua" w:eastAsia="Wingdings" w:hAnsi="Book Antiqua"/>
          <w:sz w:val="24"/>
          <w:szCs w:val="24"/>
          <w:lang w:eastAsia="ko-KR"/>
        </w:rPr>
        <w:t>i</w:t>
      </w:r>
      <w:r w:rsidRPr="0086112A">
        <w:rPr>
          <w:rFonts w:ascii="Book Antiqua" w:eastAsia="Wingdings" w:hAnsi="Book Antiqua"/>
          <w:sz w:val="24"/>
          <w:szCs w:val="24"/>
          <w:lang w:eastAsia="ko-KR"/>
        </w:rPr>
        <w:t xml:space="preserve">nforme de </w:t>
      </w:r>
      <w:r w:rsidR="000A3123">
        <w:rPr>
          <w:rFonts w:ascii="Book Antiqua" w:eastAsia="Wingdings" w:hAnsi="Book Antiqua"/>
          <w:sz w:val="24"/>
          <w:szCs w:val="24"/>
          <w:lang w:eastAsia="ko-KR"/>
        </w:rPr>
        <w:lastRenderedPageBreak/>
        <w:t>a</w:t>
      </w:r>
      <w:r w:rsidRPr="0086112A">
        <w:rPr>
          <w:rFonts w:ascii="Book Antiqua" w:eastAsia="Wingdings" w:hAnsi="Book Antiqua"/>
          <w:sz w:val="24"/>
          <w:szCs w:val="24"/>
          <w:lang w:eastAsia="ko-KR"/>
        </w:rPr>
        <w:t>vance tienden a confundir el porcentaje de avance del cronograma general, con el porcentaje de avance del período que se está analizando o revisando, por lo que es importante aclarar que el cronograma proporciona el avance de forma general, por lo que se recomienda dividir el cronograma por años a ejecutar</w:t>
      </w:r>
      <w:r w:rsidR="000A3123">
        <w:rPr>
          <w:rFonts w:ascii="Book Antiqua" w:eastAsia="Wingdings" w:hAnsi="Book Antiqua"/>
          <w:sz w:val="24"/>
          <w:szCs w:val="24"/>
          <w:lang w:eastAsia="ko-KR"/>
        </w:rPr>
        <w:t xml:space="preserve"> y</w:t>
      </w:r>
      <w:r w:rsidRPr="0086112A">
        <w:rPr>
          <w:rFonts w:ascii="Book Antiqua" w:eastAsia="Wingdings" w:hAnsi="Book Antiqua"/>
          <w:sz w:val="24"/>
          <w:szCs w:val="24"/>
          <w:lang w:eastAsia="ko-KR"/>
        </w:rPr>
        <w:t xml:space="preserve"> segregar el cronograma por períodos facilita incorporar los años que el mismo va a estar en ejecución y realizar cierres parciales todos los años, donde el cronograma siempre va a proporcionar un porcentaje de avance global.</w:t>
      </w:r>
      <w:r w:rsidR="00C63186">
        <w:rPr>
          <w:rFonts w:ascii="Book Antiqua" w:eastAsia="Wingdings" w:hAnsi="Book Antiqua"/>
          <w:sz w:val="24"/>
          <w:szCs w:val="24"/>
          <w:lang w:eastAsia="ko-KR"/>
        </w:rPr>
        <w:t xml:space="preserve"> Esto partiendo de que la metodología aplicada es una adaptación para cumplir con las instrucciones del Consejo Superior.</w:t>
      </w:r>
    </w:p>
    <w:p w14:paraId="1C2ECF7D" w14:textId="77777777" w:rsidR="0086112A" w:rsidRPr="0086112A" w:rsidRDefault="0086112A" w:rsidP="00EF4E17">
      <w:pPr>
        <w:pStyle w:val="Prrafodelista"/>
        <w:spacing w:after="0" w:line="240" w:lineRule="auto"/>
        <w:ind w:left="0"/>
        <w:jc w:val="both"/>
        <w:rPr>
          <w:rFonts w:ascii="Book Antiqua" w:eastAsia="Wingdings" w:hAnsi="Book Antiqua"/>
          <w:sz w:val="24"/>
          <w:szCs w:val="24"/>
          <w:lang w:eastAsia="ko-KR"/>
        </w:rPr>
      </w:pPr>
    </w:p>
    <w:p w14:paraId="75FB65B3" w14:textId="4B0429B0" w:rsidR="00A75D29" w:rsidRDefault="0086112A" w:rsidP="00EF4E17">
      <w:pPr>
        <w:pStyle w:val="Prrafodelista"/>
        <w:numPr>
          <w:ilvl w:val="0"/>
          <w:numId w:val="28"/>
        </w:numPr>
        <w:spacing w:after="0" w:line="240" w:lineRule="auto"/>
        <w:ind w:left="0" w:firstLine="0"/>
        <w:jc w:val="both"/>
        <w:rPr>
          <w:rFonts w:ascii="Book Antiqua" w:eastAsia="Wingdings" w:hAnsi="Book Antiqua"/>
          <w:sz w:val="24"/>
          <w:szCs w:val="24"/>
          <w:lang w:eastAsia="ko-KR"/>
        </w:rPr>
      </w:pPr>
      <w:r>
        <w:rPr>
          <w:rFonts w:ascii="Book Antiqua" w:eastAsia="Wingdings" w:hAnsi="Book Antiqua"/>
          <w:sz w:val="24"/>
          <w:szCs w:val="24"/>
          <w:lang w:eastAsia="ko-KR"/>
        </w:rPr>
        <w:t>Se determina la importancia de que</w:t>
      </w:r>
      <w:r w:rsidR="00A75D29" w:rsidRPr="0086112A">
        <w:rPr>
          <w:rFonts w:ascii="Book Antiqua" w:eastAsia="Wingdings" w:hAnsi="Book Antiqua"/>
          <w:sz w:val="24"/>
          <w:szCs w:val="24"/>
          <w:lang w:eastAsia="ko-KR"/>
        </w:rPr>
        <w:t xml:space="preserve"> </w:t>
      </w:r>
      <w:r>
        <w:rPr>
          <w:rFonts w:ascii="Book Antiqua" w:eastAsia="Wingdings" w:hAnsi="Book Antiqua"/>
          <w:sz w:val="24"/>
          <w:szCs w:val="24"/>
          <w:lang w:eastAsia="ko-KR"/>
        </w:rPr>
        <w:t>las</w:t>
      </w:r>
      <w:r w:rsidR="00A75D29" w:rsidRPr="0086112A">
        <w:rPr>
          <w:rFonts w:ascii="Book Antiqua" w:eastAsia="Wingdings" w:hAnsi="Book Antiqua"/>
          <w:sz w:val="24"/>
          <w:szCs w:val="24"/>
          <w:lang w:eastAsia="ko-KR"/>
        </w:rPr>
        <w:t xml:space="preserve"> oficina</w:t>
      </w:r>
      <w:r>
        <w:rPr>
          <w:rFonts w:ascii="Book Antiqua" w:eastAsia="Wingdings" w:hAnsi="Book Antiqua"/>
          <w:sz w:val="24"/>
          <w:szCs w:val="24"/>
          <w:lang w:eastAsia="ko-KR"/>
        </w:rPr>
        <w:t>s</w:t>
      </w:r>
      <w:r w:rsidR="00A75D29" w:rsidRPr="0086112A">
        <w:rPr>
          <w:rFonts w:ascii="Book Antiqua" w:eastAsia="Wingdings" w:hAnsi="Book Antiqua"/>
          <w:sz w:val="24"/>
          <w:szCs w:val="24"/>
          <w:lang w:eastAsia="ko-KR"/>
        </w:rPr>
        <w:t xml:space="preserve"> líder</w:t>
      </w:r>
      <w:r>
        <w:rPr>
          <w:rFonts w:ascii="Book Antiqua" w:eastAsia="Wingdings" w:hAnsi="Book Antiqua"/>
          <w:sz w:val="24"/>
          <w:szCs w:val="24"/>
          <w:lang w:eastAsia="ko-KR"/>
        </w:rPr>
        <w:t>es deben de revisar</w:t>
      </w:r>
      <w:r w:rsidR="00A75D29" w:rsidRPr="0086112A">
        <w:rPr>
          <w:rFonts w:ascii="Book Antiqua" w:eastAsia="Wingdings" w:hAnsi="Book Antiqua"/>
          <w:sz w:val="24"/>
          <w:szCs w:val="24"/>
          <w:lang w:eastAsia="ko-KR"/>
        </w:rPr>
        <w:t xml:space="preserve"> que los </w:t>
      </w:r>
      <w:r>
        <w:rPr>
          <w:rFonts w:ascii="Book Antiqua" w:eastAsia="Wingdings" w:hAnsi="Book Antiqua"/>
          <w:sz w:val="24"/>
          <w:szCs w:val="24"/>
          <w:lang w:eastAsia="ko-KR"/>
        </w:rPr>
        <w:t>i</w:t>
      </w:r>
      <w:r w:rsidR="00A75D29" w:rsidRPr="0086112A">
        <w:rPr>
          <w:rFonts w:ascii="Book Antiqua" w:eastAsia="Wingdings" w:hAnsi="Book Antiqua"/>
          <w:sz w:val="24"/>
          <w:szCs w:val="24"/>
          <w:lang w:eastAsia="ko-KR"/>
        </w:rPr>
        <w:t xml:space="preserve">ndicadores </w:t>
      </w:r>
      <w:r>
        <w:rPr>
          <w:rFonts w:ascii="Book Antiqua" w:eastAsia="Wingdings" w:hAnsi="Book Antiqua"/>
          <w:sz w:val="24"/>
          <w:szCs w:val="24"/>
          <w:lang w:eastAsia="ko-KR"/>
        </w:rPr>
        <w:t xml:space="preserve"> logren</w:t>
      </w:r>
      <w:r w:rsidR="00A75D29" w:rsidRPr="0086112A">
        <w:rPr>
          <w:rFonts w:ascii="Book Antiqua" w:eastAsia="Wingdings" w:hAnsi="Book Antiqua"/>
          <w:sz w:val="24"/>
          <w:szCs w:val="24"/>
          <w:lang w:eastAsia="ko-KR"/>
        </w:rPr>
        <w:t xml:space="preserve"> medir </w:t>
      </w:r>
      <w:r>
        <w:rPr>
          <w:rFonts w:ascii="Book Antiqua" w:eastAsia="Wingdings" w:hAnsi="Book Antiqua"/>
          <w:sz w:val="24"/>
          <w:szCs w:val="24"/>
          <w:lang w:eastAsia="ko-KR"/>
        </w:rPr>
        <w:t>su</w:t>
      </w:r>
      <w:r w:rsidR="00A75D29" w:rsidRPr="0086112A">
        <w:rPr>
          <w:rFonts w:ascii="Book Antiqua" w:eastAsia="Wingdings" w:hAnsi="Book Antiqua"/>
          <w:sz w:val="24"/>
          <w:szCs w:val="24"/>
          <w:lang w:eastAsia="ko-KR"/>
        </w:rPr>
        <w:t xml:space="preserve"> avance </w:t>
      </w:r>
      <w:r>
        <w:rPr>
          <w:rFonts w:ascii="Book Antiqua" w:eastAsia="Wingdings" w:hAnsi="Book Antiqua"/>
          <w:sz w:val="24"/>
          <w:szCs w:val="24"/>
          <w:lang w:eastAsia="ko-KR"/>
        </w:rPr>
        <w:t xml:space="preserve">mediante </w:t>
      </w:r>
      <w:r w:rsidRPr="0086112A">
        <w:rPr>
          <w:rFonts w:ascii="Book Antiqua" w:eastAsia="Wingdings" w:hAnsi="Book Antiqua"/>
          <w:sz w:val="24"/>
          <w:szCs w:val="24"/>
          <w:lang w:eastAsia="ko-KR"/>
        </w:rPr>
        <w:t xml:space="preserve">la labor sustantiva de las tareas que realiza específicamente el </w:t>
      </w:r>
      <w:r>
        <w:rPr>
          <w:rFonts w:ascii="Book Antiqua" w:eastAsia="Wingdings" w:hAnsi="Book Antiqua"/>
          <w:sz w:val="24"/>
          <w:szCs w:val="24"/>
          <w:lang w:eastAsia="ko-KR"/>
        </w:rPr>
        <w:t>p</w:t>
      </w:r>
      <w:r w:rsidRPr="0086112A">
        <w:rPr>
          <w:rFonts w:ascii="Book Antiqua" w:eastAsia="Wingdings" w:hAnsi="Book Antiqua"/>
          <w:sz w:val="24"/>
          <w:szCs w:val="24"/>
          <w:lang w:eastAsia="ko-KR"/>
        </w:rPr>
        <w:t xml:space="preserve">ermiso con </w:t>
      </w:r>
      <w:r>
        <w:rPr>
          <w:rFonts w:ascii="Book Antiqua" w:eastAsia="Wingdings" w:hAnsi="Book Antiqua"/>
          <w:sz w:val="24"/>
          <w:szCs w:val="24"/>
          <w:lang w:eastAsia="ko-KR"/>
        </w:rPr>
        <w:t>g</w:t>
      </w:r>
      <w:r w:rsidRPr="0086112A">
        <w:rPr>
          <w:rFonts w:ascii="Book Antiqua" w:eastAsia="Wingdings" w:hAnsi="Book Antiqua"/>
          <w:sz w:val="24"/>
          <w:szCs w:val="24"/>
          <w:lang w:eastAsia="ko-KR"/>
        </w:rPr>
        <w:t xml:space="preserve">oce de </w:t>
      </w:r>
      <w:r>
        <w:rPr>
          <w:rFonts w:ascii="Book Antiqua" w:eastAsia="Wingdings" w:hAnsi="Book Antiqua"/>
          <w:sz w:val="24"/>
          <w:szCs w:val="24"/>
          <w:lang w:eastAsia="ko-KR"/>
        </w:rPr>
        <w:t>s</w:t>
      </w:r>
      <w:r w:rsidRPr="0086112A">
        <w:rPr>
          <w:rFonts w:ascii="Book Antiqua" w:eastAsia="Wingdings" w:hAnsi="Book Antiqua"/>
          <w:sz w:val="24"/>
          <w:szCs w:val="24"/>
          <w:lang w:eastAsia="ko-KR"/>
        </w:rPr>
        <w:t xml:space="preserve">alario </w:t>
      </w:r>
      <w:r w:rsidR="00A75D29" w:rsidRPr="0086112A">
        <w:rPr>
          <w:rFonts w:ascii="Book Antiqua" w:eastAsia="Wingdings" w:hAnsi="Book Antiqua"/>
          <w:sz w:val="24"/>
          <w:szCs w:val="24"/>
          <w:lang w:eastAsia="ko-KR"/>
        </w:rPr>
        <w:t xml:space="preserve">y </w:t>
      </w:r>
      <w:r>
        <w:rPr>
          <w:rFonts w:ascii="Book Antiqua" w:eastAsia="Wingdings" w:hAnsi="Book Antiqua"/>
          <w:sz w:val="24"/>
          <w:szCs w:val="24"/>
          <w:lang w:eastAsia="ko-KR"/>
        </w:rPr>
        <w:t xml:space="preserve">así verificar su </w:t>
      </w:r>
      <w:r w:rsidR="00A75D29" w:rsidRPr="0086112A">
        <w:rPr>
          <w:rFonts w:ascii="Book Antiqua" w:eastAsia="Wingdings" w:hAnsi="Book Antiqua"/>
          <w:sz w:val="24"/>
          <w:szCs w:val="24"/>
          <w:lang w:eastAsia="ko-KR"/>
        </w:rPr>
        <w:t>cumplimiento de</w:t>
      </w:r>
      <w:r>
        <w:rPr>
          <w:rFonts w:ascii="Book Antiqua" w:eastAsia="Wingdings" w:hAnsi="Book Antiqua"/>
          <w:sz w:val="24"/>
          <w:szCs w:val="24"/>
          <w:lang w:eastAsia="ko-KR"/>
        </w:rPr>
        <w:t xml:space="preserve"> </w:t>
      </w:r>
      <w:r w:rsidR="00A75D29" w:rsidRPr="0086112A">
        <w:rPr>
          <w:rFonts w:ascii="Book Antiqua" w:eastAsia="Wingdings" w:hAnsi="Book Antiqua"/>
          <w:sz w:val="24"/>
          <w:szCs w:val="24"/>
          <w:lang w:eastAsia="ko-KR"/>
        </w:rPr>
        <w:t>l</w:t>
      </w:r>
      <w:r>
        <w:rPr>
          <w:rFonts w:ascii="Book Antiqua" w:eastAsia="Wingdings" w:hAnsi="Book Antiqua"/>
          <w:sz w:val="24"/>
          <w:szCs w:val="24"/>
          <w:lang w:eastAsia="ko-KR"/>
        </w:rPr>
        <w:t>a</w:t>
      </w:r>
      <w:r w:rsidR="00A75D29" w:rsidRPr="0086112A">
        <w:rPr>
          <w:rFonts w:ascii="Book Antiqua" w:eastAsia="Wingdings" w:hAnsi="Book Antiqua"/>
          <w:sz w:val="24"/>
          <w:szCs w:val="24"/>
          <w:lang w:eastAsia="ko-KR"/>
        </w:rPr>
        <w:t xml:space="preserve"> </w:t>
      </w:r>
      <w:r>
        <w:rPr>
          <w:rFonts w:ascii="Book Antiqua" w:eastAsia="Wingdings" w:hAnsi="Book Antiqua"/>
          <w:sz w:val="24"/>
          <w:szCs w:val="24"/>
          <w:lang w:eastAsia="ko-KR"/>
        </w:rPr>
        <w:t>labor o</w:t>
      </w:r>
      <w:r w:rsidR="00A75D29" w:rsidRPr="0086112A">
        <w:rPr>
          <w:rFonts w:ascii="Book Antiqua" w:eastAsia="Wingdings" w:hAnsi="Book Antiqua"/>
          <w:sz w:val="24"/>
          <w:szCs w:val="24"/>
          <w:lang w:eastAsia="ko-KR"/>
        </w:rPr>
        <w:t>perativ</w:t>
      </w:r>
      <w:r>
        <w:rPr>
          <w:rFonts w:ascii="Book Antiqua" w:eastAsia="Wingdings" w:hAnsi="Book Antiqua"/>
          <w:sz w:val="24"/>
          <w:szCs w:val="24"/>
          <w:lang w:eastAsia="ko-KR"/>
        </w:rPr>
        <w:t>a.</w:t>
      </w:r>
      <w:r w:rsidR="00A75D29" w:rsidRPr="0086112A">
        <w:rPr>
          <w:rFonts w:ascii="Book Antiqua" w:eastAsia="Wingdings" w:hAnsi="Book Antiqua"/>
          <w:sz w:val="24"/>
          <w:szCs w:val="24"/>
          <w:lang w:eastAsia="ko-KR"/>
        </w:rPr>
        <w:t xml:space="preserve"> Lo anterior, por cuanto lo que se busca es dar la trazabilidad al recurso humano que se está proporcionando, para ejecutar las tareas encomendadas.</w:t>
      </w:r>
    </w:p>
    <w:p w14:paraId="0F2B645B" w14:textId="77777777" w:rsidR="0086112A" w:rsidRPr="0086112A" w:rsidRDefault="0086112A" w:rsidP="00EF4E17">
      <w:pPr>
        <w:pStyle w:val="Prrafodelista"/>
        <w:spacing w:after="0"/>
        <w:ind w:left="0"/>
        <w:rPr>
          <w:rFonts w:ascii="Book Antiqua" w:eastAsia="Wingdings" w:hAnsi="Book Antiqua"/>
          <w:sz w:val="24"/>
          <w:szCs w:val="24"/>
          <w:lang w:eastAsia="ko-KR"/>
        </w:rPr>
      </w:pPr>
    </w:p>
    <w:p w14:paraId="7CA9BE8F" w14:textId="46A948F3" w:rsidR="00A75D29" w:rsidRDefault="00EC398D" w:rsidP="00EF4E17">
      <w:pPr>
        <w:pStyle w:val="Prrafodelista"/>
        <w:numPr>
          <w:ilvl w:val="0"/>
          <w:numId w:val="28"/>
        </w:numPr>
        <w:spacing w:after="0" w:line="240" w:lineRule="auto"/>
        <w:ind w:left="0" w:firstLine="0"/>
        <w:jc w:val="both"/>
        <w:rPr>
          <w:rFonts w:ascii="Book Antiqua" w:eastAsia="Wingdings" w:hAnsi="Book Antiqua"/>
          <w:sz w:val="24"/>
          <w:szCs w:val="24"/>
          <w:lang w:eastAsia="ko-KR"/>
        </w:rPr>
      </w:pPr>
      <w:r w:rsidRPr="0086112A">
        <w:rPr>
          <w:rFonts w:ascii="Book Antiqua" w:eastAsia="Wingdings" w:hAnsi="Book Antiqua"/>
          <w:sz w:val="24"/>
          <w:szCs w:val="24"/>
          <w:lang w:eastAsia="ko-KR"/>
        </w:rPr>
        <w:t>Se determina que</w:t>
      </w:r>
      <w:r w:rsidR="00A75D29" w:rsidRPr="0086112A">
        <w:rPr>
          <w:rFonts w:ascii="Book Antiqua" w:eastAsia="Wingdings" w:hAnsi="Book Antiqua"/>
          <w:sz w:val="24"/>
          <w:szCs w:val="24"/>
          <w:lang w:eastAsia="ko-KR"/>
        </w:rPr>
        <w:t xml:space="preserve"> el Proyecto </w:t>
      </w:r>
      <w:bookmarkStart w:id="117" w:name="_Hlk138408151"/>
      <w:r w:rsidR="00A75D29" w:rsidRPr="0086112A">
        <w:rPr>
          <w:rFonts w:ascii="Book Antiqua" w:eastAsia="Wingdings" w:hAnsi="Book Antiqua"/>
          <w:sz w:val="24"/>
          <w:szCs w:val="24"/>
          <w:lang w:eastAsia="ko-KR"/>
        </w:rPr>
        <w:t>0655-COMANAJ-P03</w:t>
      </w:r>
      <w:bookmarkEnd w:id="117"/>
      <w:r w:rsidR="00A75D29" w:rsidRPr="0086112A">
        <w:rPr>
          <w:rFonts w:ascii="Book Antiqua" w:eastAsia="Wingdings" w:hAnsi="Book Antiqua"/>
          <w:sz w:val="24"/>
          <w:szCs w:val="24"/>
          <w:lang w:eastAsia="ko-KR"/>
        </w:rPr>
        <w:t>, denominado</w:t>
      </w:r>
      <w:r w:rsidR="00A75D29" w:rsidRPr="00A75D29">
        <w:rPr>
          <w:rFonts w:ascii="Book Antiqua" w:eastAsia="Wingdings" w:hAnsi="Book Antiqua"/>
          <w:sz w:val="24"/>
          <w:szCs w:val="24"/>
          <w:lang w:eastAsia="ko-KR"/>
        </w:rPr>
        <w:t xml:space="preserve"> “</w:t>
      </w:r>
      <w:r w:rsidR="00A75D29" w:rsidRPr="000E767F">
        <w:rPr>
          <w:rFonts w:ascii="Book Antiqua" w:eastAsia="Wingdings" w:hAnsi="Book Antiqua"/>
          <w:i/>
          <w:iCs/>
          <w:sz w:val="24"/>
          <w:szCs w:val="24"/>
          <w:lang w:eastAsia="ko-KR"/>
        </w:rPr>
        <w:t>Expansión del Servicio Nacional de Facilitadores y Facilitadoras Judiciales incluyendo zonas interurbanas</w:t>
      </w:r>
      <w:r w:rsidR="00A75D29" w:rsidRPr="00A75D29">
        <w:rPr>
          <w:rFonts w:ascii="Book Antiqua" w:eastAsia="Wingdings" w:hAnsi="Book Antiqua"/>
          <w:sz w:val="24"/>
          <w:szCs w:val="24"/>
          <w:lang w:eastAsia="ko-KR"/>
        </w:rPr>
        <w:t xml:space="preserve">” </w:t>
      </w:r>
      <w:r>
        <w:rPr>
          <w:rFonts w:ascii="Book Antiqua" w:eastAsia="Wingdings" w:hAnsi="Book Antiqua"/>
          <w:sz w:val="24"/>
          <w:szCs w:val="24"/>
          <w:lang w:eastAsia="ko-KR"/>
        </w:rPr>
        <w:t>no establece con claridad en el nombre la</w:t>
      </w:r>
      <w:r w:rsidR="00A75D29" w:rsidRPr="00A75D29">
        <w:rPr>
          <w:rFonts w:ascii="Book Antiqua" w:eastAsia="Wingdings" w:hAnsi="Book Antiqua"/>
          <w:sz w:val="24"/>
          <w:szCs w:val="24"/>
          <w:lang w:eastAsia="ko-KR"/>
        </w:rPr>
        <w:t xml:space="preserve"> </w:t>
      </w:r>
      <w:r w:rsidRPr="00A75D29">
        <w:rPr>
          <w:rFonts w:ascii="Book Antiqua" w:eastAsia="Wingdings" w:hAnsi="Book Antiqua"/>
          <w:sz w:val="24"/>
          <w:szCs w:val="24"/>
          <w:lang w:eastAsia="ko-KR"/>
        </w:rPr>
        <w:t>delimita</w:t>
      </w:r>
      <w:r>
        <w:rPr>
          <w:rFonts w:ascii="Book Antiqua" w:eastAsia="Wingdings" w:hAnsi="Book Antiqua"/>
          <w:sz w:val="24"/>
          <w:szCs w:val="24"/>
          <w:lang w:eastAsia="ko-KR"/>
        </w:rPr>
        <w:t>ción de</w:t>
      </w:r>
      <w:r w:rsidR="00A75D29" w:rsidRPr="00A75D29">
        <w:rPr>
          <w:rFonts w:ascii="Book Antiqua" w:eastAsia="Wingdings" w:hAnsi="Book Antiqua"/>
          <w:sz w:val="24"/>
          <w:szCs w:val="24"/>
          <w:lang w:eastAsia="ko-KR"/>
        </w:rPr>
        <w:t xml:space="preserve"> las zonas donde se va a extender el servicio</w:t>
      </w:r>
      <w:r w:rsidR="00C60F7A">
        <w:rPr>
          <w:rFonts w:ascii="Book Antiqua" w:eastAsia="Wingdings" w:hAnsi="Book Antiqua"/>
          <w:sz w:val="24"/>
          <w:szCs w:val="24"/>
          <w:lang w:eastAsia="ko-KR"/>
        </w:rPr>
        <w:t>,</w:t>
      </w:r>
      <w:r w:rsidR="00A75D29" w:rsidRPr="00A75D29">
        <w:rPr>
          <w:rFonts w:ascii="Book Antiqua" w:eastAsia="Wingdings" w:hAnsi="Book Antiqua"/>
          <w:sz w:val="24"/>
          <w:szCs w:val="24"/>
          <w:lang w:eastAsia="ko-KR"/>
        </w:rPr>
        <w:t xml:space="preserve"> </w:t>
      </w:r>
      <w:r>
        <w:rPr>
          <w:rFonts w:ascii="Book Antiqua" w:eastAsia="Wingdings" w:hAnsi="Book Antiqua"/>
          <w:sz w:val="24"/>
          <w:szCs w:val="24"/>
          <w:lang w:eastAsia="ko-KR"/>
        </w:rPr>
        <w:t xml:space="preserve">por lo que es necesario </w:t>
      </w:r>
      <w:r w:rsidR="00A75D29" w:rsidRPr="00A75D29">
        <w:rPr>
          <w:rFonts w:ascii="Book Antiqua" w:eastAsia="Wingdings" w:hAnsi="Book Antiqua"/>
          <w:sz w:val="24"/>
          <w:szCs w:val="24"/>
          <w:lang w:eastAsia="ko-KR"/>
        </w:rPr>
        <w:t>incorporarl</w:t>
      </w:r>
      <w:r>
        <w:rPr>
          <w:rFonts w:ascii="Book Antiqua" w:eastAsia="Wingdings" w:hAnsi="Book Antiqua"/>
          <w:sz w:val="24"/>
          <w:szCs w:val="24"/>
          <w:lang w:eastAsia="ko-KR"/>
        </w:rPr>
        <w:t>o</w:t>
      </w:r>
      <w:r w:rsidR="00A75D29" w:rsidRPr="00A75D29">
        <w:rPr>
          <w:rFonts w:ascii="Book Antiqua" w:eastAsia="Wingdings" w:hAnsi="Book Antiqua"/>
          <w:sz w:val="24"/>
          <w:szCs w:val="24"/>
          <w:lang w:eastAsia="ko-KR"/>
        </w:rPr>
        <w:t xml:space="preserve"> como parte del nombre del Proyecto</w:t>
      </w:r>
      <w:r w:rsidR="00064ED9">
        <w:rPr>
          <w:rFonts w:ascii="Book Antiqua" w:eastAsia="Wingdings" w:hAnsi="Book Antiqua"/>
          <w:sz w:val="24"/>
          <w:szCs w:val="24"/>
          <w:lang w:eastAsia="ko-KR"/>
        </w:rPr>
        <w:t xml:space="preserve"> para validar posteriormente sus resultados</w:t>
      </w:r>
      <w:r w:rsidR="00A75D29" w:rsidRPr="00A75D29">
        <w:rPr>
          <w:rFonts w:ascii="Book Antiqua" w:eastAsia="Wingdings" w:hAnsi="Book Antiqua"/>
          <w:sz w:val="24"/>
          <w:szCs w:val="24"/>
          <w:lang w:eastAsia="ko-KR"/>
        </w:rPr>
        <w:t>.</w:t>
      </w:r>
    </w:p>
    <w:p w14:paraId="6B395224" w14:textId="77777777" w:rsidR="00EC398D" w:rsidRDefault="00EC398D" w:rsidP="00EF4E17">
      <w:pPr>
        <w:pStyle w:val="Prrafodelista"/>
        <w:spacing w:after="0" w:line="240" w:lineRule="auto"/>
        <w:ind w:left="0"/>
        <w:jc w:val="both"/>
        <w:rPr>
          <w:rFonts w:ascii="Book Antiqua" w:eastAsia="Wingdings" w:hAnsi="Book Antiqua"/>
          <w:sz w:val="24"/>
          <w:szCs w:val="24"/>
          <w:lang w:eastAsia="ko-KR"/>
        </w:rPr>
      </w:pPr>
    </w:p>
    <w:p w14:paraId="7F59CDCB" w14:textId="79C01DA6" w:rsidR="00A75D29" w:rsidRDefault="00A75D29" w:rsidP="00EF4E17">
      <w:pPr>
        <w:pStyle w:val="Prrafodelista"/>
        <w:numPr>
          <w:ilvl w:val="0"/>
          <w:numId w:val="28"/>
        </w:numPr>
        <w:spacing w:after="0" w:line="240" w:lineRule="auto"/>
        <w:ind w:left="0" w:firstLine="0"/>
        <w:jc w:val="both"/>
        <w:rPr>
          <w:rFonts w:ascii="Book Antiqua" w:eastAsia="Wingdings" w:hAnsi="Book Antiqua"/>
          <w:sz w:val="24"/>
          <w:szCs w:val="24"/>
          <w:lang w:eastAsia="ko-KR"/>
        </w:rPr>
      </w:pPr>
      <w:r w:rsidRPr="00A75D29">
        <w:rPr>
          <w:rFonts w:ascii="Book Antiqua" w:eastAsia="Wingdings" w:hAnsi="Book Antiqua"/>
          <w:sz w:val="24"/>
          <w:szCs w:val="24"/>
          <w:lang w:eastAsia="ko-KR"/>
        </w:rPr>
        <w:t>El proyecto</w:t>
      </w:r>
      <w:r w:rsidR="000A3123">
        <w:rPr>
          <w:rFonts w:ascii="Book Antiqua" w:eastAsia="Wingdings" w:hAnsi="Book Antiqua"/>
          <w:sz w:val="24"/>
          <w:szCs w:val="24"/>
          <w:lang w:eastAsia="ko-KR"/>
        </w:rPr>
        <w:t xml:space="preserve"> operativo</w:t>
      </w:r>
      <w:r w:rsidRPr="00A75D29">
        <w:rPr>
          <w:rFonts w:ascii="Book Antiqua" w:eastAsia="Wingdings" w:hAnsi="Book Antiqua"/>
          <w:sz w:val="24"/>
          <w:szCs w:val="24"/>
          <w:lang w:eastAsia="ko-KR"/>
        </w:rPr>
        <w:t xml:space="preserve"> </w:t>
      </w:r>
      <w:bookmarkStart w:id="118" w:name="_Hlk138408163"/>
      <w:r w:rsidRPr="00A75D29">
        <w:rPr>
          <w:rFonts w:ascii="Book Antiqua" w:eastAsia="Wingdings" w:hAnsi="Book Antiqua"/>
          <w:sz w:val="24"/>
          <w:szCs w:val="24"/>
          <w:lang w:eastAsia="ko-KR"/>
        </w:rPr>
        <w:t xml:space="preserve">0035-EJ-P03 </w:t>
      </w:r>
      <w:bookmarkEnd w:id="118"/>
      <w:r w:rsidRPr="00A75D29">
        <w:rPr>
          <w:rFonts w:ascii="Book Antiqua" w:eastAsia="Wingdings" w:hAnsi="Book Antiqua"/>
          <w:sz w:val="24"/>
          <w:szCs w:val="24"/>
          <w:lang w:eastAsia="ko-KR"/>
        </w:rPr>
        <w:t>“</w:t>
      </w:r>
      <w:r w:rsidRPr="00EC398D">
        <w:rPr>
          <w:rFonts w:ascii="Book Antiqua" w:eastAsia="Wingdings" w:hAnsi="Book Antiqua"/>
          <w:i/>
          <w:iCs/>
          <w:sz w:val="24"/>
          <w:szCs w:val="24"/>
          <w:lang w:eastAsia="ko-KR"/>
        </w:rPr>
        <w:t>Análisis y trámite de pago de reclamos de viáticos de Programas Básicos de Investigación criminal OIJ solicitados por Consejo Superior</w:t>
      </w:r>
      <w:r w:rsidRPr="00A75D29">
        <w:rPr>
          <w:rFonts w:ascii="Book Antiqua" w:eastAsia="Wingdings" w:hAnsi="Book Antiqua"/>
          <w:sz w:val="24"/>
          <w:szCs w:val="24"/>
          <w:lang w:eastAsia="ko-KR"/>
        </w:rPr>
        <w:t xml:space="preserve">” se </w:t>
      </w:r>
      <w:r w:rsidR="00EC398D">
        <w:rPr>
          <w:rFonts w:ascii="Book Antiqua" w:eastAsia="Wingdings" w:hAnsi="Book Antiqua"/>
          <w:sz w:val="24"/>
          <w:szCs w:val="24"/>
          <w:lang w:eastAsia="ko-KR"/>
        </w:rPr>
        <w:t>determina que es necesario que</w:t>
      </w:r>
      <w:r w:rsidRPr="00A75D29">
        <w:rPr>
          <w:rFonts w:ascii="Book Antiqua" w:eastAsia="Wingdings" w:hAnsi="Book Antiqua"/>
          <w:sz w:val="24"/>
          <w:szCs w:val="24"/>
          <w:lang w:eastAsia="ko-KR"/>
        </w:rPr>
        <w:t xml:space="preserve"> la Escuela Judicial elabor</w:t>
      </w:r>
      <w:r w:rsidR="00EC398D">
        <w:rPr>
          <w:rFonts w:ascii="Book Antiqua" w:eastAsia="Wingdings" w:hAnsi="Book Antiqua"/>
          <w:sz w:val="24"/>
          <w:szCs w:val="24"/>
          <w:lang w:eastAsia="ko-KR"/>
        </w:rPr>
        <w:t>e</w:t>
      </w:r>
      <w:r w:rsidRPr="00A75D29">
        <w:rPr>
          <w:rFonts w:ascii="Book Antiqua" w:eastAsia="Wingdings" w:hAnsi="Book Antiqua"/>
          <w:sz w:val="24"/>
          <w:szCs w:val="24"/>
          <w:lang w:eastAsia="ko-KR"/>
        </w:rPr>
        <w:t xml:space="preserve"> una proyección que permita identificar la cantidad de posibles reclamos pendientes y una fecha de finalización de los casos que actualmente se encuentran en trámite. Lo anterior, para proyectar el plazo por el cual se requiere mantener los permisos vigentes para atender est</w:t>
      </w:r>
      <w:r w:rsidR="00EC398D">
        <w:rPr>
          <w:rFonts w:ascii="Book Antiqua" w:eastAsia="Wingdings" w:hAnsi="Book Antiqua"/>
          <w:sz w:val="24"/>
          <w:szCs w:val="24"/>
          <w:lang w:eastAsia="ko-KR"/>
        </w:rPr>
        <w:t xml:space="preserve">a labor operativa </w:t>
      </w:r>
      <w:r w:rsidRPr="00A75D29">
        <w:rPr>
          <w:rFonts w:ascii="Book Antiqua" w:eastAsia="Wingdings" w:hAnsi="Book Antiqua"/>
          <w:sz w:val="24"/>
          <w:szCs w:val="24"/>
          <w:lang w:eastAsia="ko-KR"/>
        </w:rPr>
        <w:t xml:space="preserve">y definir así, a partir de </w:t>
      </w:r>
      <w:r w:rsidR="0088575D" w:rsidRPr="00A75D29">
        <w:rPr>
          <w:rFonts w:ascii="Book Antiqua" w:eastAsia="Wingdings" w:hAnsi="Book Antiqua"/>
          <w:sz w:val="24"/>
          <w:szCs w:val="24"/>
          <w:lang w:eastAsia="ko-KR"/>
        </w:rPr>
        <w:t>cuándo</w:t>
      </w:r>
      <w:r w:rsidRPr="00A75D29">
        <w:rPr>
          <w:rFonts w:ascii="Book Antiqua" w:eastAsia="Wingdings" w:hAnsi="Book Antiqua"/>
          <w:sz w:val="24"/>
          <w:szCs w:val="24"/>
          <w:lang w:eastAsia="ko-KR"/>
        </w:rPr>
        <w:t xml:space="preserve"> la oficina puede asumir esta labor con el recurso humano ordinario asignado.</w:t>
      </w:r>
    </w:p>
    <w:p w14:paraId="15799385" w14:textId="77777777" w:rsidR="002D0172" w:rsidRPr="00EC398D" w:rsidRDefault="002D0172" w:rsidP="00EF4E17">
      <w:pPr>
        <w:pStyle w:val="Prrafodelista"/>
        <w:spacing w:after="0"/>
        <w:ind w:left="0"/>
        <w:rPr>
          <w:rFonts w:ascii="Book Antiqua" w:eastAsia="Wingdings" w:hAnsi="Book Antiqua"/>
          <w:sz w:val="24"/>
          <w:szCs w:val="24"/>
          <w:lang w:eastAsia="ko-KR"/>
        </w:rPr>
      </w:pPr>
    </w:p>
    <w:p w14:paraId="3338EEB1" w14:textId="5C09C154" w:rsidR="00A75D29" w:rsidRDefault="00A75D29" w:rsidP="00EF4E17">
      <w:pPr>
        <w:pStyle w:val="Prrafodelista"/>
        <w:numPr>
          <w:ilvl w:val="0"/>
          <w:numId w:val="28"/>
        </w:numPr>
        <w:spacing w:after="0" w:line="240" w:lineRule="auto"/>
        <w:ind w:left="0" w:firstLine="0"/>
        <w:jc w:val="both"/>
        <w:rPr>
          <w:rFonts w:ascii="Book Antiqua" w:eastAsia="Wingdings" w:hAnsi="Book Antiqua"/>
          <w:sz w:val="24"/>
          <w:szCs w:val="24"/>
          <w:lang w:eastAsia="ko-KR"/>
        </w:rPr>
      </w:pPr>
      <w:r w:rsidRPr="00A75D29">
        <w:rPr>
          <w:rFonts w:ascii="Book Antiqua" w:eastAsia="Wingdings" w:hAnsi="Book Antiqua"/>
          <w:sz w:val="24"/>
          <w:szCs w:val="24"/>
          <w:lang w:eastAsia="ko-KR"/>
        </w:rPr>
        <w:t xml:space="preserve">El proyecto </w:t>
      </w:r>
      <w:r w:rsidR="000A3123">
        <w:rPr>
          <w:rFonts w:ascii="Book Antiqua" w:eastAsia="Wingdings" w:hAnsi="Book Antiqua"/>
          <w:sz w:val="24"/>
          <w:szCs w:val="24"/>
          <w:lang w:eastAsia="ko-KR"/>
        </w:rPr>
        <w:t>operativo</w:t>
      </w:r>
      <w:r w:rsidR="000A3123" w:rsidRPr="00A75D29">
        <w:rPr>
          <w:rFonts w:ascii="Book Antiqua" w:eastAsia="Wingdings" w:hAnsi="Book Antiqua"/>
          <w:sz w:val="24"/>
          <w:szCs w:val="24"/>
          <w:lang w:eastAsia="ko-KR"/>
        </w:rPr>
        <w:t xml:space="preserve"> </w:t>
      </w:r>
      <w:r w:rsidRPr="00A75D29">
        <w:rPr>
          <w:rFonts w:ascii="Book Antiqua" w:eastAsia="Wingdings" w:hAnsi="Book Antiqua"/>
          <w:sz w:val="24"/>
          <w:szCs w:val="24"/>
          <w:lang w:eastAsia="ko-KR"/>
        </w:rPr>
        <w:t>0117-DE-P18 “</w:t>
      </w:r>
      <w:r w:rsidRPr="00A75D29">
        <w:rPr>
          <w:rFonts w:ascii="Book Antiqua" w:eastAsia="Wingdings" w:hAnsi="Book Antiqua"/>
          <w:i/>
          <w:iCs/>
          <w:sz w:val="24"/>
          <w:szCs w:val="24"/>
          <w:lang w:eastAsia="ko-KR"/>
        </w:rPr>
        <w:t>Plan de trabajo para la mejora del proceso de contratación administrativa</w:t>
      </w:r>
      <w:r w:rsidRPr="00A75D29">
        <w:rPr>
          <w:rFonts w:ascii="Book Antiqua" w:eastAsia="Wingdings" w:hAnsi="Book Antiqua"/>
          <w:sz w:val="24"/>
          <w:szCs w:val="24"/>
          <w:lang w:eastAsia="ko-KR"/>
        </w:rPr>
        <w:t xml:space="preserve">” </w:t>
      </w:r>
      <w:r w:rsidR="00EC398D">
        <w:rPr>
          <w:rFonts w:ascii="Book Antiqua" w:eastAsia="Wingdings" w:hAnsi="Book Antiqua"/>
          <w:sz w:val="24"/>
          <w:szCs w:val="24"/>
          <w:lang w:eastAsia="ko-KR"/>
        </w:rPr>
        <w:t xml:space="preserve">como hallazgo se tiene </w:t>
      </w:r>
      <w:r w:rsidR="0086112A">
        <w:rPr>
          <w:rFonts w:ascii="Book Antiqua" w:eastAsia="Wingdings" w:hAnsi="Book Antiqua"/>
          <w:sz w:val="24"/>
          <w:szCs w:val="24"/>
          <w:lang w:eastAsia="ko-KR"/>
        </w:rPr>
        <w:t>que los</w:t>
      </w:r>
      <w:r w:rsidR="00EC398D">
        <w:rPr>
          <w:rFonts w:ascii="Book Antiqua" w:eastAsia="Wingdings" w:hAnsi="Book Antiqua"/>
          <w:sz w:val="24"/>
          <w:szCs w:val="24"/>
          <w:lang w:eastAsia="ko-KR"/>
        </w:rPr>
        <w:t xml:space="preserve"> indicadores </w:t>
      </w:r>
      <w:r w:rsidR="0086112A">
        <w:rPr>
          <w:rFonts w:ascii="Book Antiqua" w:eastAsia="Wingdings" w:hAnsi="Book Antiqua"/>
          <w:sz w:val="24"/>
          <w:szCs w:val="24"/>
          <w:lang w:eastAsia="ko-KR"/>
        </w:rPr>
        <w:t>se m</w:t>
      </w:r>
      <w:r w:rsidR="000A3123">
        <w:rPr>
          <w:rFonts w:ascii="Book Antiqua" w:eastAsia="Wingdings" w:hAnsi="Book Antiqua"/>
          <w:sz w:val="24"/>
          <w:szCs w:val="24"/>
          <w:lang w:eastAsia="ko-KR"/>
        </w:rPr>
        <w:t>iden</w:t>
      </w:r>
      <w:r w:rsidR="00EC398D">
        <w:rPr>
          <w:rFonts w:ascii="Book Antiqua" w:eastAsia="Wingdings" w:hAnsi="Book Antiqua"/>
          <w:sz w:val="24"/>
          <w:szCs w:val="24"/>
          <w:lang w:eastAsia="ko-KR"/>
        </w:rPr>
        <w:t xml:space="preserve"> de manera anual, lo que afecta el rendimiento mensual, por lo que resulta conveniente que se</w:t>
      </w:r>
      <w:r w:rsidRPr="00A75D29">
        <w:rPr>
          <w:rFonts w:ascii="Book Antiqua" w:eastAsia="Wingdings" w:hAnsi="Book Antiqua"/>
          <w:sz w:val="24"/>
          <w:szCs w:val="24"/>
          <w:lang w:eastAsia="ko-KR"/>
        </w:rPr>
        <w:t xml:space="preserve"> elabor</w:t>
      </w:r>
      <w:r w:rsidR="00EC398D">
        <w:rPr>
          <w:rFonts w:ascii="Book Antiqua" w:eastAsia="Wingdings" w:hAnsi="Book Antiqua"/>
          <w:sz w:val="24"/>
          <w:szCs w:val="24"/>
          <w:lang w:eastAsia="ko-KR"/>
        </w:rPr>
        <w:t>en</w:t>
      </w:r>
      <w:r w:rsidRPr="00A75D29">
        <w:rPr>
          <w:rFonts w:ascii="Book Antiqua" w:eastAsia="Wingdings" w:hAnsi="Book Antiqua"/>
          <w:sz w:val="24"/>
          <w:szCs w:val="24"/>
          <w:lang w:eastAsia="ko-KR"/>
        </w:rPr>
        <w:t xml:space="preserve"> indicadores mensuales que representen la continuidad del proyecto y no dirigidos a resultados</w:t>
      </w:r>
      <w:r w:rsidR="00EC398D">
        <w:rPr>
          <w:rFonts w:ascii="Book Antiqua" w:eastAsia="Wingdings" w:hAnsi="Book Antiqua"/>
          <w:sz w:val="24"/>
          <w:szCs w:val="24"/>
          <w:lang w:eastAsia="ko-KR"/>
        </w:rPr>
        <w:t>, sino a producto</w:t>
      </w:r>
      <w:r w:rsidRPr="00A75D29">
        <w:rPr>
          <w:rFonts w:ascii="Book Antiqua" w:eastAsia="Wingdings" w:hAnsi="Book Antiqua"/>
          <w:sz w:val="24"/>
          <w:szCs w:val="24"/>
          <w:lang w:eastAsia="ko-KR"/>
        </w:rPr>
        <w:t xml:space="preserve">. Lo anterior, por cuanto lo que se busca es medir el rendimiento de las labores </w:t>
      </w:r>
      <w:r w:rsidR="00EC398D">
        <w:rPr>
          <w:rFonts w:ascii="Book Antiqua" w:eastAsia="Wingdings" w:hAnsi="Book Antiqua"/>
          <w:sz w:val="24"/>
          <w:szCs w:val="24"/>
          <w:lang w:eastAsia="ko-KR"/>
        </w:rPr>
        <w:t>que se ejecutan</w:t>
      </w:r>
      <w:r w:rsidRPr="00A75D29">
        <w:rPr>
          <w:rFonts w:ascii="Book Antiqua" w:eastAsia="Wingdings" w:hAnsi="Book Antiqua"/>
          <w:sz w:val="24"/>
          <w:szCs w:val="24"/>
          <w:lang w:eastAsia="ko-KR"/>
        </w:rPr>
        <w:t xml:space="preserve"> con los permisos con goce de salario, que con tanto esfuerzo se están proporcionando para atender estas necesidades.</w:t>
      </w:r>
    </w:p>
    <w:p w14:paraId="0AC72633" w14:textId="77777777" w:rsidR="000A3123" w:rsidRPr="00A75D29" w:rsidRDefault="000A3123" w:rsidP="00EF4E17">
      <w:pPr>
        <w:pStyle w:val="Prrafodelista"/>
        <w:spacing w:after="0" w:line="240" w:lineRule="auto"/>
        <w:ind w:left="0"/>
        <w:jc w:val="both"/>
        <w:rPr>
          <w:rFonts w:ascii="Book Antiqua" w:eastAsia="Wingdings" w:hAnsi="Book Antiqua"/>
          <w:sz w:val="24"/>
          <w:szCs w:val="24"/>
          <w:lang w:eastAsia="ko-KR"/>
        </w:rPr>
      </w:pPr>
    </w:p>
    <w:p w14:paraId="2A29BF37" w14:textId="71BAF05D" w:rsidR="00A75D29" w:rsidRDefault="00A75D29" w:rsidP="00EF4E17">
      <w:pPr>
        <w:pStyle w:val="Prrafodelista"/>
        <w:numPr>
          <w:ilvl w:val="0"/>
          <w:numId w:val="28"/>
        </w:numPr>
        <w:spacing w:after="0" w:line="240" w:lineRule="auto"/>
        <w:ind w:left="0" w:firstLine="0"/>
        <w:jc w:val="both"/>
        <w:rPr>
          <w:rFonts w:ascii="Book Antiqua" w:eastAsia="Wingdings" w:hAnsi="Book Antiqua"/>
          <w:sz w:val="24"/>
          <w:szCs w:val="24"/>
          <w:lang w:eastAsia="ko-KR"/>
        </w:rPr>
      </w:pPr>
      <w:r w:rsidRPr="00A75D29">
        <w:rPr>
          <w:rFonts w:ascii="Book Antiqua" w:eastAsia="Wingdings" w:hAnsi="Book Antiqua"/>
          <w:sz w:val="24"/>
          <w:szCs w:val="24"/>
          <w:lang w:eastAsia="ko-KR"/>
        </w:rPr>
        <w:t xml:space="preserve">En cuanto al </w:t>
      </w:r>
      <w:r w:rsidR="00EC398D">
        <w:rPr>
          <w:rFonts w:ascii="Book Antiqua" w:eastAsia="Wingdings" w:hAnsi="Book Antiqua"/>
          <w:sz w:val="24"/>
          <w:szCs w:val="24"/>
          <w:lang w:eastAsia="ko-KR"/>
        </w:rPr>
        <w:t>p</w:t>
      </w:r>
      <w:r w:rsidRPr="00A75D29">
        <w:rPr>
          <w:rFonts w:ascii="Book Antiqua" w:eastAsia="Wingdings" w:hAnsi="Book Antiqua"/>
          <w:sz w:val="24"/>
          <w:szCs w:val="24"/>
          <w:lang w:eastAsia="ko-KR"/>
        </w:rPr>
        <w:t xml:space="preserve">ermiso con </w:t>
      </w:r>
      <w:r w:rsidR="00EC398D">
        <w:rPr>
          <w:rFonts w:ascii="Book Antiqua" w:eastAsia="Wingdings" w:hAnsi="Book Antiqua"/>
          <w:sz w:val="24"/>
          <w:szCs w:val="24"/>
          <w:lang w:eastAsia="ko-KR"/>
        </w:rPr>
        <w:t>g</w:t>
      </w:r>
      <w:r w:rsidRPr="00A75D29">
        <w:rPr>
          <w:rFonts w:ascii="Book Antiqua" w:eastAsia="Wingdings" w:hAnsi="Book Antiqua"/>
          <w:sz w:val="24"/>
          <w:szCs w:val="24"/>
          <w:lang w:eastAsia="ko-KR"/>
        </w:rPr>
        <w:t xml:space="preserve">oce de </w:t>
      </w:r>
      <w:r w:rsidR="00EC398D">
        <w:rPr>
          <w:rFonts w:ascii="Book Antiqua" w:eastAsia="Wingdings" w:hAnsi="Book Antiqua"/>
          <w:sz w:val="24"/>
          <w:szCs w:val="24"/>
          <w:lang w:eastAsia="ko-KR"/>
        </w:rPr>
        <w:t>s</w:t>
      </w:r>
      <w:r w:rsidRPr="00A75D29">
        <w:rPr>
          <w:rFonts w:ascii="Book Antiqua" w:eastAsia="Wingdings" w:hAnsi="Book Antiqua"/>
          <w:sz w:val="24"/>
          <w:szCs w:val="24"/>
          <w:lang w:eastAsia="ko-KR"/>
        </w:rPr>
        <w:t xml:space="preserve">alario aprobado por la Junta Administradora del Fondo de Jubilaciones y Pensiones del Poder Judicial, de un Asistente Administrativo </w:t>
      </w:r>
      <w:r w:rsidR="009113F7">
        <w:rPr>
          <w:rFonts w:ascii="Book Antiqua" w:eastAsia="Wingdings" w:hAnsi="Book Antiqua"/>
          <w:sz w:val="24"/>
          <w:szCs w:val="24"/>
          <w:lang w:eastAsia="ko-KR"/>
        </w:rPr>
        <w:t xml:space="preserve">1 </w:t>
      </w:r>
      <w:r w:rsidRPr="00A75D29">
        <w:rPr>
          <w:rFonts w:ascii="Book Antiqua" w:eastAsia="Wingdings" w:hAnsi="Book Antiqua"/>
          <w:sz w:val="24"/>
          <w:szCs w:val="24"/>
          <w:lang w:eastAsia="ko-KR"/>
        </w:rPr>
        <w:t>para atender la Ventanilla de Atención al Público, ubicada temporalmente en la primera planta del Edificio del OIJ, es importe indicar que fue aprobado por esa estimable Junta Administradora en sesión N.°40-2022 del pasado 18 de octubre de 2022, artículo XVII, en la cual se dispuso lo siguiente:</w:t>
      </w:r>
    </w:p>
    <w:p w14:paraId="3FE9564D" w14:textId="77777777" w:rsidR="002D0172" w:rsidRPr="00EF4E17" w:rsidRDefault="002D0172" w:rsidP="00EF4E17">
      <w:pPr>
        <w:pStyle w:val="Prrafodelista"/>
        <w:spacing w:after="0"/>
        <w:ind w:left="0"/>
        <w:rPr>
          <w:rFonts w:ascii="Book Antiqua" w:eastAsia="Wingdings" w:hAnsi="Book Antiqua"/>
          <w:sz w:val="24"/>
          <w:szCs w:val="24"/>
          <w:lang w:eastAsia="ko-KR"/>
        </w:rPr>
      </w:pPr>
    </w:p>
    <w:p w14:paraId="1E995C53" w14:textId="66DCFC1B" w:rsidR="00A75D29" w:rsidRDefault="00A75D29" w:rsidP="00EF4E17">
      <w:pPr>
        <w:spacing w:after="0" w:line="240" w:lineRule="auto"/>
        <w:ind w:left="567" w:right="615"/>
        <w:jc w:val="both"/>
        <w:rPr>
          <w:rFonts w:ascii="Book Antiqua" w:eastAsia="Times New Roman" w:hAnsi="Book Antiqua" w:cs="Times New Roman"/>
          <w:i/>
          <w:iCs/>
          <w:color w:val="000000"/>
          <w:sz w:val="20"/>
          <w:szCs w:val="20"/>
          <w:lang w:eastAsia="es-CR"/>
        </w:rPr>
      </w:pPr>
      <w:r w:rsidRPr="00A75D29">
        <w:rPr>
          <w:rFonts w:ascii="Book Antiqua" w:eastAsia="Times New Roman" w:hAnsi="Book Antiqua" w:cs="Times New Roman"/>
          <w:i/>
          <w:iCs/>
          <w:color w:val="000000"/>
          <w:sz w:val="20"/>
          <w:szCs w:val="20"/>
          <w:lang w:eastAsia="es-CR"/>
        </w:rPr>
        <w:t>“[…] Se acuerda: Una vez conocido y discutido el tema como se ha indicado anteriormente, la Junta acuerda: 1.) Tomar nota de las manifestaciones del máster Oslean Mora Valdez, Director interino de la Dirección de la Junta Administradora del Fondo de Jubilaciones y Pensiones del Poder Judicial – JUNAFO. 2.) Autorizar a la Dirección de la JUNAFO para que coordine con la Dirección Ejecutiva, la posibilidad de que se otorgue una ventanilla física de atención en la zona del Primer Circuito Judicial de San José, así mismo, para que inicie negociaciones y que posteriormente presente a esta Junta, una propuesta sobre la posibilidad de alquiler o</w:t>
      </w:r>
      <w:r w:rsidR="00EC398D" w:rsidRPr="00EC398D">
        <w:rPr>
          <w:rFonts w:ascii="Book Antiqua" w:eastAsia="Times New Roman" w:hAnsi="Book Antiqua" w:cs="Times New Roman"/>
          <w:i/>
          <w:iCs/>
          <w:color w:val="000000"/>
          <w:sz w:val="20"/>
          <w:szCs w:val="20"/>
          <w:lang w:eastAsia="es-CR"/>
        </w:rPr>
        <w:t xml:space="preserve"> adquisición de un edificio para esta institución</w:t>
      </w:r>
      <w:r w:rsidR="00EC398D">
        <w:rPr>
          <w:rFonts w:ascii="Book Antiqua" w:eastAsia="Times New Roman" w:hAnsi="Book Antiqua" w:cs="Times New Roman"/>
          <w:i/>
          <w:iCs/>
          <w:color w:val="000000"/>
          <w:sz w:val="20"/>
          <w:szCs w:val="20"/>
          <w:lang w:eastAsia="es-CR"/>
        </w:rPr>
        <w:t>”</w:t>
      </w:r>
      <w:r w:rsidR="006C729E">
        <w:rPr>
          <w:rFonts w:ascii="Book Antiqua" w:eastAsia="Times New Roman" w:hAnsi="Book Antiqua" w:cs="Times New Roman"/>
          <w:i/>
          <w:iCs/>
          <w:color w:val="000000"/>
          <w:sz w:val="20"/>
          <w:szCs w:val="20"/>
          <w:lang w:eastAsia="es-CR"/>
        </w:rPr>
        <w:t>.</w:t>
      </w:r>
    </w:p>
    <w:p w14:paraId="23F98B64" w14:textId="77777777" w:rsidR="002D0172" w:rsidRDefault="002D0172" w:rsidP="00EF4E17">
      <w:pPr>
        <w:spacing w:after="0" w:line="240" w:lineRule="auto"/>
        <w:ind w:right="899"/>
        <w:jc w:val="both"/>
        <w:rPr>
          <w:rFonts w:ascii="Book Antiqua" w:eastAsia="Times New Roman" w:hAnsi="Book Antiqua" w:cs="Times New Roman"/>
          <w:i/>
          <w:iCs/>
          <w:color w:val="000000"/>
          <w:sz w:val="20"/>
          <w:szCs w:val="20"/>
          <w:lang w:eastAsia="es-CR"/>
        </w:rPr>
      </w:pPr>
    </w:p>
    <w:p w14:paraId="66880535" w14:textId="4A1B81A9" w:rsidR="00EC398D" w:rsidRDefault="00EC398D" w:rsidP="00EF4E17">
      <w:pPr>
        <w:pStyle w:val="Prrafodelista"/>
        <w:numPr>
          <w:ilvl w:val="0"/>
          <w:numId w:val="28"/>
        </w:numPr>
        <w:spacing w:after="0" w:line="240" w:lineRule="auto"/>
        <w:ind w:left="0" w:firstLine="0"/>
        <w:jc w:val="both"/>
        <w:rPr>
          <w:rFonts w:ascii="Book Antiqua" w:eastAsia="Wingdings" w:hAnsi="Book Antiqua"/>
          <w:sz w:val="24"/>
          <w:szCs w:val="24"/>
          <w:lang w:eastAsia="ko-KR"/>
        </w:rPr>
      </w:pPr>
      <w:r>
        <w:rPr>
          <w:rFonts w:ascii="Book Antiqua" w:eastAsia="Wingdings" w:hAnsi="Book Antiqua"/>
          <w:sz w:val="24"/>
          <w:szCs w:val="24"/>
          <w:lang w:eastAsia="ko-KR"/>
        </w:rPr>
        <w:t xml:space="preserve">La </w:t>
      </w:r>
      <w:r w:rsidRPr="00EC398D">
        <w:rPr>
          <w:rFonts w:ascii="Book Antiqua" w:eastAsia="Wingdings" w:hAnsi="Book Antiqua"/>
          <w:sz w:val="24"/>
          <w:szCs w:val="24"/>
          <w:lang w:eastAsia="ko-KR"/>
        </w:rPr>
        <w:t xml:space="preserve">JUNAFO aprobó la prórroga del permiso con goce de salario del puesto de Asistente Administrativo 1, plaza N° 15825, </w:t>
      </w:r>
      <w:r>
        <w:rPr>
          <w:rFonts w:ascii="Book Antiqua" w:eastAsia="Wingdings" w:hAnsi="Book Antiqua"/>
          <w:sz w:val="24"/>
          <w:szCs w:val="24"/>
          <w:lang w:eastAsia="ko-KR"/>
        </w:rPr>
        <w:t xml:space="preserve">relacionado a la labor operativa </w:t>
      </w:r>
      <w:r w:rsidRPr="00A75D29">
        <w:rPr>
          <w:rFonts w:ascii="Book Antiqua" w:eastAsia="Wingdings" w:hAnsi="Book Antiqua"/>
          <w:sz w:val="24"/>
          <w:szCs w:val="24"/>
          <w:lang w:eastAsia="ko-KR"/>
        </w:rPr>
        <w:t>Ventanilla de Atención al Público</w:t>
      </w:r>
      <w:r w:rsidRPr="00EC398D">
        <w:rPr>
          <w:rFonts w:ascii="Book Antiqua" w:eastAsia="Wingdings" w:hAnsi="Book Antiqua"/>
          <w:sz w:val="24"/>
          <w:szCs w:val="24"/>
          <w:lang w:eastAsia="ko-KR"/>
        </w:rPr>
        <w:t xml:space="preserve"> a partir del 01 de agosto de 2023 hasta el último día hábil establecido para el periodo 2023, según el acuerdo de la sesión N° 022-2023 celebrada el 30 de mayo de 2023, artículo IX</w:t>
      </w:r>
      <w:r>
        <w:rPr>
          <w:rFonts w:ascii="Book Antiqua" w:eastAsia="Wingdings" w:hAnsi="Book Antiqua"/>
          <w:sz w:val="24"/>
          <w:szCs w:val="24"/>
          <w:lang w:eastAsia="ko-KR"/>
        </w:rPr>
        <w:t>, por lo tanto, ese PCGS no se incluye dentro del análisis</w:t>
      </w:r>
      <w:r w:rsidR="009113F7">
        <w:rPr>
          <w:rFonts w:ascii="Book Antiqua" w:eastAsia="Wingdings" w:hAnsi="Book Antiqua"/>
          <w:sz w:val="24"/>
          <w:szCs w:val="24"/>
          <w:lang w:eastAsia="ko-KR"/>
        </w:rPr>
        <w:t xml:space="preserve"> de prórroga</w:t>
      </w:r>
      <w:r>
        <w:rPr>
          <w:rFonts w:ascii="Book Antiqua" w:eastAsia="Wingdings" w:hAnsi="Book Antiqua"/>
          <w:sz w:val="24"/>
          <w:szCs w:val="24"/>
          <w:lang w:eastAsia="ko-KR"/>
        </w:rPr>
        <w:t>, ni se realiza el seguimiento operativo.</w:t>
      </w:r>
    </w:p>
    <w:p w14:paraId="2BF7F111" w14:textId="77777777" w:rsidR="00EC398D" w:rsidRPr="00A75D29" w:rsidRDefault="00EC398D" w:rsidP="00EF4E17">
      <w:pPr>
        <w:pStyle w:val="Prrafodelista"/>
        <w:spacing w:after="0" w:line="240" w:lineRule="auto"/>
        <w:ind w:left="0"/>
        <w:jc w:val="both"/>
        <w:rPr>
          <w:rFonts w:ascii="Book Antiqua" w:eastAsia="Wingdings" w:hAnsi="Book Antiqua"/>
          <w:sz w:val="24"/>
          <w:szCs w:val="24"/>
          <w:lang w:eastAsia="ko-KR"/>
        </w:rPr>
      </w:pPr>
    </w:p>
    <w:p w14:paraId="7C77B098" w14:textId="77777777" w:rsidR="00A75D29" w:rsidRDefault="00A75D29" w:rsidP="002D0172">
      <w:pPr>
        <w:pStyle w:val="Prrafodelista"/>
        <w:numPr>
          <w:ilvl w:val="0"/>
          <w:numId w:val="28"/>
        </w:numPr>
        <w:spacing w:after="0" w:line="240" w:lineRule="auto"/>
        <w:ind w:left="0" w:firstLine="0"/>
        <w:jc w:val="both"/>
        <w:rPr>
          <w:rFonts w:ascii="Book Antiqua" w:eastAsia="Wingdings" w:hAnsi="Book Antiqua"/>
          <w:sz w:val="24"/>
          <w:szCs w:val="24"/>
          <w:lang w:eastAsia="ko-KR"/>
        </w:rPr>
      </w:pPr>
      <w:r w:rsidRPr="00A75D29">
        <w:rPr>
          <w:rFonts w:ascii="Book Antiqua" w:eastAsia="Wingdings" w:hAnsi="Book Antiqua"/>
          <w:sz w:val="24"/>
          <w:szCs w:val="24"/>
          <w:lang w:eastAsia="ko-KR"/>
        </w:rPr>
        <w:t xml:space="preserve">Por otra parte es importante indicar que, este recurso responde a una solicitud planteada y aprobada por la Junta Administradora, por lo que la Dirección de Planificación no solicitará su continuidad en este informe de seguimiento en lo relacionado al permiso con goce de salario y por ende no se le realizará seguimiento como proyecto operativo, considerando lo indicado por la </w:t>
      </w:r>
      <w:r w:rsidRPr="005B5B60">
        <w:rPr>
          <w:rFonts w:ascii="Book Antiqua" w:eastAsia="Wingdings" w:hAnsi="Book Antiqua"/>
          <w:sz w:val="24"/>
          <w:szCs w:val="24"/>
          <w:lang w:eastAsia="ko-KR"/>
        </w:rPr>
        <w:t>Procuraduría General de la República en el oficio N°. ADPb-7273-2020, donde la Superintendencia de Pensiones, emite criterio mediante el oficio SP-1399-2020 del 30 de octubre del 2020, resaltando que:</w:t>
      </w:r>
    </w:p>
    <w:p w14:paraId="60490620" w14:textId="77777777" w:rsidR="002D0172" w:rsidRPr="00A75D29" w:rsidRDefault="002D0172" w:rsidP="00EF4E17">
      <w:pPr>
        <w:pStyle w:val="Prrafodelista"/>
        <w:spacing w:after="0" w:line="240" w:lineRule="auto"/>
        <w:ind w:left="0"/>
        <w:jc w:val="both"/>
        <w:rPr>
          <w:rFonts w:ascii="Book Antiqua" w:eastAsia="Wingdings" w:hAnsi="Book Antiqua"/>
          <w:sz w:val="24"/>
          <w:szCs w:val="24"/>
          <w:lang w:eastAsia="ko-KR"/>
        </w:rPr>
      </w:pPr>
    </w:p>
    <w:p w14:paraId="16BEAC42" w14:textId="77777777" w:rsidR="00A75D29" w:rsidRDefault="00A75D29" w:rsidP="00EF4E17">
      <w:pPr>
        <w:spacing w:after="0" w:line="240" w:lineRule="auto"/>
        <w:ind w:left="567" w:right="757"/>
        <w:jc w:val="both"/>
        <w:rPr>
          <w:rFonts w:ascii="Book Antiqua" w:eastAsia="Times New Roman" w:hAnsi="Book Antiqua" w:cs="Times New Roman"/>
          <w:i/>
          <w:iCs/>
          <w:color w:val="000000"/>
          <w:sz w:val="20"/>
          <w:szCs w:val="20"/>
          <w:lang w:eastAsia="es-CR"/>
        </w:rPr>
      </w:pPr>
      <w:r w:rsidRPr="00A75D29">
        <w:rPr>
          <w:rFonts w:ascii="Book Antiqua" w:eastAsia="Times New Roman" w:hAnsi="Book Antiqua" w:cs="Times New Roman"/>
          <w:i/>
          <w:iCs/>
          <w:color w:val="000000"/>
          <w:sz w:val="20"/>
          <w:szCs w:val="20"/>
          <w:lang w:eastAsia="es-CR"/>
        </w:rPr>
        <w:t>“[…] comparte el criterio que acompaña el oficio N° 393-2020, en el sentido de que la naturaleza de la Junta Administradora del Fondo de Pensiones y Jubilaciones del Poder Judicial es la de un órgano desconcentrado máximo con personalidad jurídica instrumental, que goza de autonomía administrativa y técnica en la toma de decisiones en materia de jubilaciones y pensiones, tiene potestades disciplinarias y de dirección sobre su personal, dispone de su presupuesto y ostenta la representación legal del Fondo.</w:t>
      </w:r>
    </w:p>
    <w:p w14:paraId="08524A7C" w14:textId="77777777" w:rsidR="002D0172" w:rsidRPr="00A75D29" w:rsidRDefault="002D0172" w:rsidP="00EF4E17">
      <w:pPr>
        <w:spacing w:after="0" w:line="240" w:lineRule="auto"/>
        <w:ind w:right="757"/>
        <w:jc w:val="both"/>
        <w:rPr>
          <w:rFonts w:ascii="Book Antiqua" w:eastAsia="Times New Roman" w:hAnsi="Book Antiqua" w:cs="Times New Roman"/>
          <w:i/>
          <w:iCs/>
          <w:color w:val="000000"/>
          <w:sz w:val="20"/>
          <w:szCs w:val="20"/>
          <w:lang w:eastAsia="es-CR"/>
        </w:rPr>
      </w:pPr>
    </w:p>
    <w:p w14:paraId="29A9D0C7" w14:textId="27BE6DD6" w:rsidR="00D03DA3" w:rsidRDefault="009B1D01" w:rsidP="00EF4E17">
      <w:pPr>
        <w:pStyle w:val="Prrafodelista"/>
        <w:spacing w:after="0" w:line="240" w:lineRule="auto"/>
        <w:ind w:left="0"/>
        <w:jc w:val="both"/>
        <w:rPr>
          <w:rFonts w:ascii="Book Antiqua" w:eastAsia="Batang" w:hAnsi="Book Antiqua" w:cs="Times New Roman"/>
          <w:i/>
          <w:iCs/>
          <w:color w:val="000000"/>
          <w:shd w:val="clear" w:color="auto" w:fill="FFFFFF"/>
          <w:lang w:val="es-ES" w:eastAsia="ko-KR"/>
        </w:rPr>
      </w:pPr>
      <w:r>
        <w:rPr>
          <w:rFonts w:ascii="Book Antiqua" w:eastAsia="Wingdings" w:hAnsi="Book Antiqua"/>
          <w:sz w:val="24"/>
          <w:szCs w:val="24"/>
          <w:lang w:eastAsia="ko-KR"/>
        </w:rPr>
        <w:lastRenderedPageBreak/>
        <w:t>Al respecto, c</w:t>
      </w:r>
      <w:r w:rsidR="009113F7" w:rsidRPr="005B5B60">
        <w:rPr>
          <w:rFonts w:ascii="Book Antiqua" w:eastAsia="Wingdings" w:hAnsi="Book Antiqua"/>
          <w:sz w:val="24"/>
          <w:szCs w:val="24"/>
          <w:lang w:eastAsia="ko-KR"/>
        </w:rPr>
        <w:t>abe señalar un antecedente sobre este tema, mediante oficio 106-PLA-PP-2023</w:t>
      </w:r>
      <w:r w:rsidR="005D6B3F">
        <w:rPr>
          <w:rFonts w:ascii="Book Antiqua" w:eastAsia="Wingdings" w:hAnsi="Book Antiqua"/>
          <w:sz w:val="24"/>
          <w:szCs w:val="24"/>
          <w:lang w:eastAsia="ko-KR"/>
        </w:rPr>
        <w:t xml:space="preserve"> </w:t>
      </w:r>
      <w:r w:rsidR="00C504D1">
        <w:rPr>
          <w:rFonts w:ascii="Book Antiqua" w:eastAsia="Wingdings" w:hAnsi="Book Antiqua"/>
          <w:sz w:val="24"/>
          <w:szCs w:val="24"/>
          <w:lang w:eastAsia="ko-KR"/>
        </w:rPr>
        <w:t xml:space="preserve"> </w:t>
      </w:r>
      <w:r w:rsidR="005154A8">
        <w:rPr>
          <w:rFonts w:ascii="Book Antiqua" w:eastAsia="Wingdings" w:hAnsi="Book Antiqua"/>
          <w:sz w:val="24"/>
          <w:szCs w:val="24"/>
          <w:lang w:eastAsia="ko-KR"/>
        </w:rPr>
        <w:t xml:space="preserve">referido </w:t>
      </w:r>
      <w:r w:rsidR="009A098E">
        <w:rPr>
          <w:rFonts w:ascii="Book Antiqua" w:eastAsia="Wingdings" w:hAnsi="Book Antiqua"/>
          <w:sz w:val="24"/>
          <w:szCs w:val="24"/>
          <w:lang w:eastAsia="ko-KR"/>
        </w:rPr>
        <w:t>a solicitud de prórro</w:t>
      </w:r>
      <w:r w:rsidR="00CA14C4">
        <w:rPr>
          <w:rFonts w:ascii="Book Antiqua" w:eastAsia="Wingdings" w:hAnsi="Book Antiqua"/>
          <w:sz w:val="24"/>
          <w:szCs w:val="24"/>
          <w:lang w:eastAsia="ko-KR"/>
        </w:rPr>
        <w:t>g</w:t>
      </w:r>
      <w:r w:rsidR="009A098E">
        <w:rPr>
          <w:rFonts w:ascii="Book Antiqua" w:eastAsia="Wingdings" w:hAnsi="Book Antiqua"/>
          <w:sz w:val="24"/>
          <w:szCs w:val="24"/>
          <w:lang w:eastAsia="ko-KR"/>
        </w:rPr>
        <w:t xml:space="preserve">a </w:t>
      </w:r>
      <w:r w:rsidR="00CA14C4">
        <w:rPr>
          <w:rFonts w:ascii="Book Antiqua" w:eastAsia="Wingdings" w:hAnsi="Book Antiqua"/>
          <w:sz w:val="24"/>
          <w:szCs w:val="24"/>
          <w:lang w:eastAsia="ko-KR"/>
        </w:rPr>
        <w:t xml:space="preserve"> de la </w:t>
      </w:r>
      <w:r w:rsidR="00CA14C4" w:rsidRPr="00EF4E17">
        <w:rPr>
          <w:rFonts w:ascii="Book Antiqua" w:eastAsia="Wingdings" w:hAnsi="Book Antiqua"/>
          <w:sz w:val="24"/>
          <w:szCs w:val="24"/>
          <w:lang w:eastAsia="ko-KR"/>
        </w:rPr>
        <w:t xml:space="preserve"> plaza N° 382277 de Asesor jurídico </w:t>
      </w:r>
      <w:r w:rsidR="00BD237E" w:rsidRPr="00EF4E17">
        <w:rPr>
          <w:rFonts w:ascii="Book Antiqua" w:eastAsia="Wingdings" w:hAnsi="Book Antiqua"/>
          <w:sz w:val="24"/>
          <w:szCs w:val="24"/>
          <w:lang w:eastAsia="ko-KR"/>
        </w:rPr>
        <w:t xml:space="preserve">en el que </w:t>
      </w:r>
      <w:r w:rsidR="00D03DA3" w:rsidRPr="00EF4E17">
        <w:rPr>
          <w:rFonts w:ascii="Book Antiqua" w:eastAsia="Wingdings" w:hAnsi="Book Antiqua"/>
          <w:sz w:val="24"/>
          <w:szCs w:val="24"/>
          <w:lang w:eastAsia="ko-KR"/>
        </w:rPr>
        <w:t>el Consejo Superior solicita:</w:t>
      </w:r>
      <w:r w:rsidR="00D03DA3">
        <w:rPr>
          <w:rFonts w:ascii="Book Antiqua" w:eastAsia="Batang" w:hAnsi="Book Antiqua" w:cs="Times New Roman"/>
          <w:i/>
          <w:iCs/>
          <w:color w:val="000000"/>
          <w:shd w:val="clear" w:color="auto" w:fill="FFFFFF"/>
          <w:lang w:val="es-ES" w:eastAsia="ko-KR"/>
        </w:rPr>
        <w:t xml:space="preserve"> </w:t>
      </w:r>
    </w:p>
    <w:p w14:paraId="6AA4ECAF" w14:textId="77777777" w:rsidR="002D0172" w:rsidRDefault="002D0172" w:rsidP="00EF4E17">
      <w:pPr>
        <w:pStyle w:val="Prrafodelista"/>
        <w:spacing w:after="0" w:line="240" w:lineRule="auto"/>
        <w:ind w:left="0"/>
        <w:jc w:val="both"/>
        <w:rPr>
          <w:rFonts w:ascii="Book Antiqua" w:eastAsia="Batang" w:hAnsi="Book Antiqua" w:cs="Times New Roman"/>
          <w:i/>
          <w:iCs/>
          <w:color w:val="000000"/>
          <w:shd w:val="clear" w:color="auto" w:fill="FFFFFF"/>
          <w:lang w:val="es-ES" w:eastAsia="ko-KR"/>
        </w:rPr>
      </w:pPr>
    </w:p>
    <w:p w14:paraId="65117745" w14:textId="77777777" w:rsidR="00B438C5" w:rsidRDefault="00B438C5" w:rsidP="00EF4E17">
      <w:pPr>
        <w:widowControl w:val="0"/>
        <w:autoSpaceDE w:val="0"/>
        <w:autoSpaceDN w:val="0"/>
        <w:adjustRightInd w:val="0"/>
        <w:spacing w:after="0" w:line="240" w:lineRule="auto"/>
        <w:ind w:left="567" w:right="757"/>
        <w:jc w:val="both"/>
        <w:rPr>
          <w:rFonts w:ascii="Book Antiqua" w:eastAsia="Times New Roman" w:hAnsi="Book Antiqua" w:cs="Arial"/>
          <w:i/>
          <w:iCs/>
          <w:shd w:val="clear" w:color="auto" w:fill="FFFFFF"/>
          <w:lang w:eastAsia="es-ES"/>
        </w:rPr>
      </w:pPr>
      <w:r w:rsidRPr="00EF4E17">
        <w:rPr>
          <w:rFonts w:ascii="Book Antiqua" w:eastAsia="Times New Roman" w:hAnsi="Book Antiqua" w:cs="Arial"/>
          <w:iCs/>
          <w:shd w:val="clear" w:color="auto" w:fill="FFFFFF"/>
          <w:lang w:val="es-ES" w:eastAsia="es-ES"/>
        </w:rPr>
        <w:t>“</w:t>
      </w:r>
      <w:r w:rsidRPr="00EF4E17">
        <w:rPr>
          <w:rFonts w:ascii="Book Antiqua" w:eastAsia="Times New Roman" w:hAnsi="Book Antiqua" w:cs="Arial"/>
          <w:i/>
          <w:iCs/>
          <w:shd w:val="clear" w:color="auto" w:fill="FFFFFF"/>
          <w:lang w:eastAsia="es-ES"/>
        </w:rPr>
        <w:t>Trasladar la solicitud del máster Oslean Mora Valdez, Director interino de la Junta Administradora del Fondo de Jubilaciones y Pensiones del Poder Judicial, a la Dirección de Planificación para su estudio e informe.”.</w:t>
      </w:r>
    </w:p>
    <w:p w14:paraId="71C1126D" w14:textId="77777777" w:rsidR="002D0172" w:rsidRPr="00EF4E17" w:rsidRDefault="002D0172" w:rsidP="002D0172">
      <w:pPr>
        <w:widowControl w:val="0"/>
        <w:autoSpaceDE w:val="0"/>
        <w:autoSpaceDN w:val="0"/>
        <w:adjustRightInd w:val="0"/>
        <w:spacing w:after="0" w:line="240" w:lineRule="auto"/>
        <w:ind w:firstLine="284"/>
        <w:jc w:val="both"/>
        <w:rPr>
          <w:rFonts w:ascii="Book Antiqua" w:eastAsia="Times New Roman" w:hAnsi="Book Antiqua" w:cs="Arial"/>
          <w:i/>
          <w:iCs/>
          <w:shd w:val="clear" w:color="auto" w:fill="FFFFFF"/>
          <w:lang w:eastAsia="es-ES"/>
        </w:rPr>
      </w:pPr>
    </w:p>
    <w:p w14:paraId="0E1BB787" w14:textId="77777777" w:rsidR="003C1DBD" w:rsidRDefault="003C1DBD" w:rsidP="00EF4E17">
      <w:pPr>
        <w:pStyle w:val="Prrafodelista"/>
        <w:spacing w:after="0" w:line="240" w:lineRule="auto"/>
        <w:ind w:left="0"/>
        <w:jc w:val="both"/>
        <w:rPr>
          <w:rFonts w:ascii="Book Antiqua" w:eastAsia="Wingdings" w:hAnsi="Book Antiqua"/>
          <w:sz w:val="24"/>
          <w:szCs w:val="24"/>
          <w:lang w:eastAsia="ko-KR"/>
        </w:rPr>
      </w:pPr>
      <w:r>
        <w:rPr>
          <w:rFonts w:ascii="Book Antiqua" w:eastAsia="Wingdings" w:hAnsi="Book Antiqua"/>
          <w:sz w:val="24"/>
          <w:szCs w:val="24"/>
          <w:lang w:eastAsia="ko-KR"/>
        </w:rPr>
        <w:t>Parte de las conclusiones del informe anteriormente indicado son:</w:t>
      </w:r>
    </w:p>
    <w:p w14:paraId="6BF8C38F" w14:textId="765BA6D9" w:rsidR="00B169CA" w:rsidRDefault="002E61E3" w:rsidP="00EF4E17">
      <w:pPr>
        <w:pStyle w:val="Prrafodelista"/>
        <w:tabs>
          <w:tab w:val="left" w:pos="2267"/>
        </w:tabs>
        <w:spacing w:after="0" w:line="240" w:lineRule="auto"/>
        <w:ind w:left="0"/>
        <w:jc w:val="both"/>
        <w:rPr>
          <w:rFonts w:ascii="Book Antiqua" w:eastAsia="Wingdings" w:hAnsi="Book Antiqua"/>
          <w:sz w:val="24"/>
          <w:szCs w:val="24"/>
          <w:lang w:eastAsia="ko-KR"/>
        </w:rPr>
      </w:pPr>
      <w:r>
        <w:rPr>
          <w:rFonts w:ascii="Book Antiqua" w:eastAsia="Wingdings" w:hAnsi="Book Antiqua"/>
          <w:sz w:val="24"/>
          <w:szCs w:val="24"/>
          <w:lang w:eastAsia="ko-KR"/>
        </w:rPr>
        <w:tab/>
      </w:r>
    </w:p>
    <w:p w14:paraId="6C2F0626" w14:textId="77777777" w:rsidR="003C1DBD" w:rsidRPr="00EF4E17" w:rsidRDefault="003C1DBD" w:rsidP="00EF4E17">
      <w:pPr>
        <w:widowControl w:val="0"/>
        <w:autoSpaceDE w:val="0"/>
        <w:autoSpaceDN w:val="0"/>
        <w:adjustRightInd w:val="0"/>
        <w:spacing w:after="0" w:line="240" w:lineRule="auto"/>
        <w:ind w:left="567" w:right="757"/>
        <w:jc w:val="both"/>
        <w:rPr>
          <w:rFonts w:ascii="Book Antiqua" w:eastAsia="Times New Roman" w:hAnsi="Book Antiqua" w:cs="Arial"/>
          <w:i/>
          <w:shd w:val="clear" w:color="auto" w:fill="FFFFFF"/>
          <w:lang w:val="es-ES" w:eastAsia="es-ES"/>
        </w:rPr>
      </w:pPr>
      <w:r w:rsidRPr="00EF4E17">
        <w:rPr>
          <w:rFonts w:ascii="Book Antiqua" w:eastAsia="Times New Roman" w:hAnsi="Book Antiqua" w:cs="Arial"/>
          <w:i/>
          <w:shd w:val="clear" w:color="auto" w:fill="FFFFFF"/>
          <w:lang w:val="es-ES" w:eastAsia="es-ES"/>
        </w:rPr>
        <w:t>“6- En línea con lo anteriormente citado, se considera que en este tema no correspondería hacer estudio como en los casos en los que están asociados recursos públicos, ya que según se señala en los antecedentes, el presupuesto del Poder Judicial no se verá impactado con la solicitud planteada.</w:t>
      </w:r>
    </w:p>
    <w:p w14:paraId="630BDE48" w14:textId="77777777" w:rsidR="003C1DBD" w:rsidRPr="00EF4E17" w:rsidRDefault="003C1DBD" w:rsidP="00EF4E17">
      <w:pPr>
        <w:widowControl w:val="0"/>
        <w:autoSpaceDE w:val="0"/>
        <w:autoSpaceDN w:val="0"/>
        <w:adjustRightInd w:val="0"/>
        <w:spacing w:after="0" w:line="240" w:lineRule="auto"/>
        <w:ind w:left="567" w:right="757"/>
        <w:jc w:val="both"/>
        <w:rPr>
          <w:rFonts w:ascii="Book Antiqua" w:eastAsia="Times New Roman" w:hAnsi="Book Antiqua" w:cs="Arial"/>
          <w:i/>
          <w:shd w:val="clear" w:color="auto" w:fill="FFFFFF"/>
          <w:lang w:val="es-ES" w:eastAsia="es-ES"/>
        </w:rPr>
      </w:pPr>
    </w:p>
    <w:p w14:paraId="595B615F" w14:textId="77777777" w:rsidR="003C1DBD" w:rsidRPr="00EF4E17" w:rsidRDefault="003C1DBD" w:rsidP="00EF4E17">
      <w:pPr>
        <w:widowControl w:val="0"/>
        <w:autoSpaceDE w:val="0"/>
        <w:autoSpaceDN w:val="0"/>
        <w:adjustRightInd w:val="0"/>
        <w:spacing w:after="0" w:line="240" w:lineRule="auto"/>
        <w:ind w:left="567" w:right="757"/>
        <w:jc w:val="both"/>
        <w:rPr>
          <w:rFonts w:ascii="Book Antiqua" w:eastAsia="Times New Roman" w:hAnsi="Book Antiqua" w:cs="Arial"/>
          <w:i/>
          <w:shd w:val="clear" w:color="auto" w:fill="FFFFFF"/>
          <w:lang w:val="es-ES" w:eastAsia="es-ES"/>
        </w:rPr>
      </w:pPr>
      <w:r w:rsidRPr="00EF4E17">
        <w:rPr>
          <w:rFonts w:ascii="Book Antiqua" w:eastAsia="Times New Roman" w:hAnsi="Book Antiqua" w:cs="Arial"/>
          <w:i/>
          <w:shd w:val="clear" w:color="auto" w:fill="FFFFFF"/>
          <w:lang w:val="es-ES" w:eastAsia="es-ES"/>
        </w:rPr>
        <w:t xml:space="preserve">7- La dirección de Planificación al no tener participación de la definición de las estructuras de la JUNAFO solamente toma nota del planteamiento remitido al Consejo Superior. </w:t>
      </w:r>
    </w:p>
    <w:p w14:paraId="21B364F6" w14:textId="77777777" w:rsidR="003C1DBD" w:rsidRPr="00EF4E17" w:rsidRDefault="003C1DBD" w:rsidP="00EF4E17">
      <w:pPr>
        <w:widowControl w:val="0"/>
        <w:autoSpaceDE w:val="0"/>
        <w:autoSpaceDN w:val="0"/>
        <w:adjustRightInd w:val="0"/>
        <w:spacing w:after="0" w:line="240" w:lineRule="auto"/>
        <w:ind w:left="567" w:right="757"/>
        <w:jc w:val="both"/>
        <w:rPr>
          <w:rFonts w:ascii="Book Antiqua" w:eastAsia="Times New Roman" w:hAnsi="Book Antiqua" w:cs="Arial"/>
          <w:i/>
          <w:shd w:val="clear" w:color="auto" w:fill="FFFFFF"/>
          <w:lang w:val="es-ES" w:eastAsia="es-ES"/>
        </w:rPr>
      </w:pPr>
    </w:p>
    <w:p w14:paraId="7A34F6F9" w14:textId="77777777" w:rsidR="003C1DBD" w:rsidRPr="00EF4E17" w:rsidRDefault="003C1DBD" w:rsidP="00EF4E17">
      <w:pPr>
        <w:widowControl w:val="0"/>
        <w:autoSpaceDE w:val="0"/>
        <w:autoSpaceDN w:val="0"/>
        <w:adjustRightInd w:val="0"/>
        <w:spacing w:after="0" w:line="240" w:lineRule="auto"/>
        <w:ind w:left="567" w:right="757"/>
        <w:jc w:val="both"/>
        <w:rPr>
          <w:rFonts w:ascii="Book Antiqua" w:eastAsia="Times New Roman" w:hAnsi="Book Antiqua" w:cs="Arial"/>
          <w:i/>
          <w:shd w:val="clear" w:color="auto" w:fill="FFFFFF"/>
          <w:lang w:val="es-ES" w:eastAsia="es-ES"/>
        </w:rPr>
      </w:pPr>
      <w:r w:rsidRPr="00EF4E17">
        <w:rPr>
          <w:rFonts w:ascii="Book Antiqua" w:eastAsia="Times New Roman" w:hAnsi="Book Antiqua" w:cs="Arial"/>
          <w:i/>
          <w:shd w:val="clear" w:color="auto" w:fill="FFFFFF"/>
          <w:lang w:val="es-ES" w:eastAsia="es-ES"/>
        </w:rPr>
        <w:t xml:space="preserve">8- Las labores que señala la JUNAFO son ordinarias, por lo que según el ordenamiento jurídico a nuestro entender no correspondería a una labor especial, ni con una temporalidad definida, sin embargo, al ser un tema de legalidad no corresponde a esta dirección el análisis de fondo de este tema”. </w:t>
      </w:r>
    </w:p>
    <w:p w14:paraId="6C827416" w14:textId="77777777" w:rsidR="005154A8" w:rsidRDefault="005154A8" w:rsidP="00EF4E17">
      <w:pPr>
        <w:pStyle w:val="Prrafodelista"/>
        <w:spacing w:after="0" w:line="240" w:lineRule="auto"/>
        <w:ind w:left="0"/>
        <w:jc w:val="both"/>
        <w:rPr>
          <w:rFonts w:ascii="Book Antiqua" w:eastAsia="Wingdings" w:hAnsi="Book Antiqua"/>
          <w:sz w:val="24"/>
          <w:szCs w:val="24"/>
          <w:lang w:eastAsia="ko-KR"/>
        </w:rPr>
      </w:pPr>
    </w:p>
    <w:p w14:paraId="458A8226" w14:textId="4F887A51" w:rsidR="009113F7" w:rsidRDefault="00390D0D" w:rsidP="00EF4E17">
      <w:pPr>
        <w:pStyle w:val="Prrafodelista"/>
        <w:spacing w:before="100" w:beforeAutospacing="1" w:after="100" w:afterAutospacing="1" w:line="240" w:lineRule="auto"/>
        <w:ind w:left="0"/>
        <w:jc w:val="both"/>
        <w:rPr>
          <w:rFonts w:ascii="Book Antiqua" w:eastAsia="Wingdings" w:hAnsi="Book Antiqua"/>
          <w:sz w:val="24"/>
          <w:szCs w:val="24"/>
          <w:lang w:eastAsia="ko-KR"/>
        </w:rPr>
      </w:pPr>
      <w:r>
        <w:rPr>
          <w:rFonts w:ascii="Book Antiqua" w:eastAsia="Wingdings" w:hAnsi="Book Antiqua"/>
          <w:sz w:val="24"/>
          <w:szCs w:val="24"/>
          <w:lang w:eastAsia="ko-KR"/>
        </w:rPr>
        <w:t xml:space="preserve">Finalmente el </w:t>
      </w:r>
      <w:r w:rsidR="009113F7">
        <w:rPr>
          <w:rFonts w:ascii="Book Antiqua" w:eastAsia="Wingdings" w:hAnsi="Book Antiqua"/>
          <w:sz w:val="24"/>
          <w:szCs w:val="24"/>
          <w:lang w:eastAsia="ko-KR"/>
        </w:rPr>
        <w:t xml:space="preserve"> Consejo Superior en sesión N</w:t>
      </w:r>
      <w:r w:rsidR="009113F7" w:rsidRPr="009113F7">
        <w:rPr>
          <w:rFonts w:ascii="Book Antiqua" w:eastAsia="Wingdings" w:hAnsi="Book Antiqua"/>
          <w:sz w:val="24"/>
          <w:szCs w:val="24"/>
          <w:lang w:eastAsia="ko-KR"/>
        </w:rPr>
        <w:t xml:space="preserve">° 13-2023 celebrada el 16 de febrero de 2023, </w:t>
      </w:r>
      <w:r w:rsidR="009113F7">
        <w:rPr>
          <w:rFonts w:ascii="Book Antiqua" w:eastAsia="Wingdings" w:hAnsi="Book Antiqua"/>
          <w:sz w:val="24"/>
          <w:szCs w:val="24"/>
          <w:lang w:eastAsia="ko-KR"/>
        </w:rPr>
        <w:t xml:space="preserve">artículo </w:t>
      </w:r>
      <w:bookmarkStart w:id="119" w:name="_Toc127346837"/>
      <w:r w:rsidR="009113F7" w:rsidRPr="009113F7">
        <w:rPr>
          <w:rFonts w:ascii="Book Antiqua" w:eastAsia="Wingdings" w:hAnsi="Book Antiqua"/>
          <w:sz w:val="24"/>
          <w:szCs w:val="24"/>
          <w:lang w:eastAsia="ko-KR"/>
        </w:rPr>
        <w:t xml:space="preserve"> XLII</w:t>
      </w:r>
      <w:bookmarkEnd w:id="119"/>
      <w:r w:rsidR="009113F7">
        <w:rPr>
          <w:rFonts w:ascii="Book Antiqua" w:eastAsia="Wingdings" w:hAnsi="Book Antiqua"/>
          <w:sz w:val="24"/>
          <w:szCs w:val="24"/>
          <w:lang w:eastAsia="ko-KR"/>
        </w:rPr>
        <w:t>, se acordó:</w:t>
      </w:r>
    </w:p>
    <w:p w14:paraId="3C6E55E6" w14:textId="77777777" w:rsidR="009113F7" w:rsidRDefault="009113F7" w:rsidP="00EF4E17">
      <w:pPr>
        <w:pStyle w:val="Prrafodelista"/>
        <w:spacing w:after="0" w:line="240" w:lineRule="auto"/>
        <w:ind w:left="0"/>
        <w:jc w:val="both"/>
        <w:rPr>
          <w:rFonts w:ascii="Book Antiqua" w:eastAsia="Wingdings" w:hAnsi="Book Antiqua"/>
          <w:sz w:val="24"/>
          <w:szCs w:val="24"/>
          <w:lang w:eastAsia="ko-KR"/>
        </w:rPr>
      </w:pPr>
    </w:p>
    <w:p w14:paraId="1D833D65" w14:textId="4111C4F0" w:rsidR="009113F7" w:rsidRPr="00EF4E17" w:rsidRDefault="009113F7" w:rsidP="00EF4E17">
      <w:pPr>
        <w:pStyle w:val="Prrafodelista"/>
        <w:spacing w:after="0" w:line="240" w:lineRule="auto"/>
        <w:ind w:left="567" w:right="1041"/>
        <w:jc w:val="both"/>
        <w:rPr>
          <w:rFonts w:ascii="Book Antiqua" w:eastAsia="Wingdings" w:hAnsi="Book Antiqua"/>
          <w:i/>
          <w:iCs/>
          <w:lang w:eastAsia="ko-KR"/>
        </w:rPr>
      </w:pPr>
      <w:r w:rsidRPr="00EF4E17">
        <w:rPr>
          <w:rFonts w:ascii="Book Antiqua" w:eastAsia="Wingdings" w:hAnsi="Book Antiqua"/>
          <w:i/>
          <w:iCs/>
          <w:lang w:eastAsia="ko-KR"/>
        </w:rPr>
        <w:t>“1.) Tener por recibido el informe remitido mediante oficio N°106-PLA-PP-2023 del 08 de febrero de 2023, suscrito por licenciada Nacira Valverde Bermudez, Directora de Planificación. 2) Denegar la solicitud del máster Oslean Mora Valdez, Director interino de la citada Junta en oficio 441-DJA-2022 del 22 de diciembre del 2022, en razón de este Consejo Superior estima que se trata de una actividad ordinaria, que no se ajusta a los lineamientos contemplados en el artículo 44 de la Ley Orgánica del Poder Judicial.</w:t>
      </w:r>
    </w:p>
    <w:p w14:paraId="4ED70576" w14:textId="77777777" w:rsidR="009113F7" w:rsidRPr="00EF4E17" w:rsidRDefault="009113F7" w:rsidP="00EF4E17">
      <w:pPr>
        <w:pStyle w:val="Prrafodelista"/>
        <w:spacing w:after="0" w:line="240" w:lineRule="auto"/>
        <w:ind w:left="567" w:right="1041"/>
        <w:jc w:val="both"/>
        <w:rPr>
          <w:rFonts w:ascii="Book Antiqua" w:eastAsia="Wingdings" w:hAnsi="Book Antiqua"/>
          <w:i/>
          <w:iCs/>
          <w:lang w:eastAsia="ko-KR"/>
        </w:rPr>
      </w:pPr>
    </w:p>
    <w:p w14:paraId="29F95B6E" w14:textId="77777777" w:rsidR="009113F7" w:rsidRPr="00EF4E17" w:rsidRDefault="009113F7" w:rsidP="00EF4E17">
      <w:pPr>
        <w:pStyle w:val="Prrafodelista"/>
        <w:spacing w:before="100" w:beforeAutospacing="1" w:after="100" w:afterAutospacing="1" w:line="240" w:lineRule="auto"/>
        <w:ind w:left="567" w:right="1041"/>
        <w:jc w:val="both"/>
        <w:rPr>
          <w:rFonts w:ascii="Book Antiqua" w:eastAsia="Wingdings" w:hAnsi="Book Antiqua"/>
          <w:i/>
          <w:iCs/>
          <w:lang w:eastAsia="ko-KR"/>
        </w:rPr>
      </w:pPr>
      <w:r w:rsidRPr="00EF4E17">
        <w:rPr>
          <w:rFonts w:ascii="Book Antiqua" w:eastAsia="Wingdings" w:hAnsi="Book Antiqua"/>
          <w:i/>
          <w:iCs/>
          <w:lang w:eastAsia="ko-KR"/>
        </w:rPr>
        <w:t>La Junta Administradora del Fondo de Jubilaciones y Pensiones del Poder Judicial, tomará nota para lo de su cargo, de acuerdo a sus competencias.”</w:t>
      </w:r>
    </w:p>
    <w:p w14:paraId="4F9CEF09" w14:textId="4A402EC7" w:rsidR="009113F7" w:rsidRDefault="009113F7" w:rsidP="002D0172">
      <w:pPr>
        <w:pStyle w:val="Prrafodelista"/>
        <w:spacing w:after="0" w:line="240" w:lineRule="auto"/>
        <w:ind w:left="0"/>
        <w:jc w:val="both"/>
        <w:rPr>
          <w:rFonts w:ascii="Book Antiqua" w:eastAsia="Wingdings" w:hAnsi="Book Antiqua"/>
          <w:sz w:val="24"/>
          <w:szCs w:val="24"/>
          <w:lang w:eastAsia="ko-KR"/>
        </w:rPr>
      </w:pPr>
    </w:p>
    <w:p w14:paraId="1B4F69B4" w14:textId="77777777" w:rsidR="00EB32E8" w:rsidRPr="009113F7" w:rsidRDefault="00EB32E8" w:rsidP="00EF4E17">
      <w:pPr>
        <w:pStyle w:val="Prrafodelista"/>
        <w:spacing w:after="0" w:line="240" w:lineRule="auto"/>
        <w:ind w:left="0"/>
        <w:jc w:val="both"/>
        <w:rPr>
          <w:rFonts w:ascii="Book Antiqua" w:eastAsia="Wingdings" w:hAnsi="Book Antiqua"/>
          <w:sz w:val="24"/>
          <w:szCs w:val="24"/>
          <w:lang w:eastAsia="ko-KR"/>
        </w:rPr>
      </w:pPr>
    </w:p>
    <w:p w14:paraId="2BE32F54" w14:textId="1C4A02E5" w:rsidR="00A75D29" w:rsidRDefault="00A75D29" w:rsidP="00EF4E17">
      <w:pPr>
        <w:pStyle w:val="Prrafodelista"/>
        <w:numPr>
          <w:ilvl w:val="0"/>
          <w:numId w:val="28"/>
        </w:numPr>
        <w:spacing w:after="0" w:line="240" w:lineRule="auto"/>
        <w:ind w:left="0" w:firstLine="0"/>
        <w:jc w:val="both"/>
        <w:rPr>
          <w:rFonts w:ascii="Book Antiqua" w:eastAsia="Wingdings" w:hAnsi="Book Antiqua"/>
          <w:sz w:val="24"/>
          <w:szCs w:val="24"/>
          <w:lang w:eastAsia="ko-KR"/>
        </w:rPr>
      </w:pPr>
      <w:r w:rsidRPr="00A75D29">
        <w:rPr>
          <w:rFonts w:ascii="Book Antiqua" w:eastAsia="Wingdings" w:hAnsi="Book Antiqua"/>
          <w:sz w:val="24"/>
          <w:szCs w:val="24"/>
          <w:lang w:eastAsia="ko-KR"/>
        </w:rPr>
        <w:t xml:space="preserve">El Proyecto </w:t>
      </w:r>
      <w:r w:rsidR="000A3123">
        <w:rPr>
          <w:rFonts w:ascii="Book Antiqua" w:eastAsia="Wingdings" w:hAnsi="Book Antiqua"/>
          <w:sz w:val="24"/>
          <w:szCs w:val="24"/>
          <w:lang w:eastAsia="ko-KR"/>
        </w:rPr>
        <w:t xml:space="preserve">operativo </w:t>
      </w:r>
      <w:r w:rsidRPr="00A75D29">
        <w:rPr>
          <w:rFonts w:ascii="Book Antiqua" w:eastAsia="Wingdings" w:hAnsi="Book Antiqua"/>
          <w:sz w:val="24"/>
          <w:szCs w:val="24"/>
          <w:lang w:eastAsia="ko-KR"/>
        </w:rPr>
        <w:t>0031-IJ-P01 “</w:t>
      </w:r>
      <w:r w:rsidRPr="00A75D29">
        <w:rPr>
          <w:rFonts w:ascii="Book Antiqua" w:eastAsia="Wingdings" w:hAnsi="Book Antiqua"/>
          <w:i/>
          <w:iCs/>
          <w:sz w:val="24"/>
          <w:szCs w:val="24"/>
          <w:lang w:eastAsia="ko-KR"/>
        </w:rPr>
        <w:t>Plan de descongestionamiento de Procesos del Tribunal de la Inspección Judicial</w:t>
      </w:r>
      <w:r w:rsidRPr="00A75D29">
        <w:rPr>
          <w:rFonts w:ascii="Book Antiqua" w:eastAsia="Wingdings" w:hAnsi="Book Antiqua"/>
          <w:sz w:val="24"/>
          <w:szCs w:val="24"/>
          <w:lang w:eastAsia="ko-KR"/>
        </w:rPr>
        <w:t xml:space="preserve">” cuenta con un permiso con goce de salario asignado de Defensor Público; sin embargo, se </w:t>
      </w:r>
      <w:r w:rsidR="002B193F">
        <w:rPr>
          <w:rFonts w:ascii="Book Antiqua" w:eastAsia="Wingdings" w:hAnsi="Book Antiqua"/>
          <w:sz w:val="24"/>
          <w:szCs w:val="24"/>
          <w:lang w:eastAsia="ko-KR"/>
        </w:rPr>
        <w:t>determina que es necesario que la</w:t>
      </w:r>
      <w:r w:rsidRPr="00A75D29">
        <w:rPr>
          <w:rFonts w:ascii="Book Antiqua" w:eastAsia="Wingdings" w:hAnsi="Book Antiqua"/>
          <w:sz w:val="24"/>
          <w:szCs w:val="24"/>
          <w:lang w:eastAsia="ko-KR"/>
        </w:rPr>
        <w:t xml:space="preserve"> Defensa Pública </w:t>
      </w:r>
      <w:r w:rsidR="002B193F">
        <w:rPr>
          <w:rFonts w:ascii="Book Antiqua" w:eastAsia="Wingdings" w:hAnsi="Book Antiqua"/>
          <w:sz w:val="24"/>
          <w:szCs w:val="24"/>
          <w:lang w:eastAsia="ko-KR"/>
        </w:rPr>
        <w:t>analice y haga una</w:t>
      </w:r>
      <w:r w:rsidRPr="00A75D29">
        <w:rPr>
          <w:rFonts w:ascii="Book Antiqua" w:eastAsia="Wingdings" w:hAnsi="Book Antiqua"/>
          <w:sz w:val="24"/>
          <w:szCs w:val="24"/>
          <w:lang w:eastAsia="ko-KR"/>
        </w:rPr>
        <w:t xml:space="preserve"> revisión de cargas de trabajo </w:t>
      </w:r>
      <w:r w:rsidR="002B193F">
        <w:rPr>
          <w:rFonts w:ascii="Book Antiqua" w:eastAsia="Wingdings" w:hAnsi="Book Antiqua"/>
          <w:sz w:val="24"/>
          <w:szCs w:val="24"/>
          <w:lang w:eastAsia="ko-KR"/>
        </w:rPr>
        <w:t>con el</w:t>
      </w:r>
      <w:r w:rsidRPr="00A75D29">
        <w:rPr>
          <w:rFonts w:ascii="Book Antiqua" w:eastAsia="Wingdings" w:hAnsi="Book Antiqua"/>
          <w:sz w:val="24"/>
          <w:szCs w:val="24"/>
          <w:lang w:eastAsia="ko-KR"/>
        </w:rPr>
        <w:t xml:space="preserve"> fin de valorar la </w:t>
      </w:r>
      <w:r w:rsidRPr="00A75D29">
        <w:rPr>
          <w:rFonts w:ascii="Book Antiqua" w:eastAsia="Wingdings" w:hAnsi="Book Antiqua"/>
          <w:sz w:val="24"/>
          <w:szCs w:val="24"/>
          <w:lang w:eastAsia="ko-KR"/>
        </w:rPr>
        <w:lastRenderedPageBreak/>
        <w:t>eliminación de este permiso y que las labores que actualmente se atienden con este, sean asumidas por la Defensa Pública con los recursos ordinarios con que cuenta la estructura actualmente.</w:t>
      </w:r>
    </w:p>
    <w:p w14:paraId="22AA099F" w14:textId="77777777" w:rsidR="0086112A" w:rsidRPr="00A75D29" w:rsidRDefault="0086112A" w:rsidP="00EF4E17">
      <w:pPr>
        <w:pStyle w:val="Prrafodelista"/>
        <w:spacing w:after="0" w:line="240" w:lineRule="auto"/>
        <w:ind w:left="0"/>
        <w:jc w:val="both"/>
        <w:rPr>
          <w:rFonts w:ascii="Book Antiqua" w:eastAsia="Wingdings" w:hAnsi="Book Antiqua"/>
          <w:sz w:val="24"/>
          <w:szCs w:val="24"/>
          <w:lang w:eastAsia="ko-KR"/>
        </w:rPr>
      </w:pPr>
    </w:p>
    <w:p w14:paraId="459B6AB4" w14:textId="4084CA40" w:rsidR="00A75D29" w:rsidRDefault="00A75D29" w:rsidP="00EF4E17">
      <w:pPr>
        <w:pStyle w:val="Prrafodelista"/>
        <w:numPr>
          <w:ilvl w:val="0"/>
          <w:numId w:val="28"/>
        </w:numPr>
        <w:spacing w:after="0" w:line="240" w:lineRule="auto"/>
        <w:ind w:left="0" w:firstLine="0"/>
        <w:jc w:val="both"/>
        <w:rPr>
          <w:rFonts w:ascii="Book Antiqua" w:eastAsia="Wingdings" w:hAnsi="Book Antiqua"/>
          <w:sz w:val="24"/>
          <w:szCs w:val="24"/>
          <w:lang w:eastAsia="ko-KR"/>
        </w:rPr>
      </w:pPr>
      <w:r w:rsidRPr="00A75D29">
        <w:rPr>
          <w:rFonts w:ascii="Book Antiqua" w:eastAsia="Wingdings" w:hAnsi="Book Antiqua"/>
          <w:sz w:val="24"/>
          <w:szCs w:val="24"/>
          <w:lang w:eastAsia="ko-KR"/>
        </w:rPr>
        <w:t xml:space="preserve">En cuanto a los proyectos </w:t>
      </w:r>
      <w:r w:rsidR="000A3123">
        <w:rPr>
          <w:rFonts w:ascii="Book Antiqua" w:eastAsia="Wingdings" w:hAnsi="Book Antiqua"/>
          <w:sz w:val="24"/>
          <w:szCs w:val="24"/>
          <w:lang w:eastAsia="ko-KR"/>
        </w:rPr>
        <w:t xml:space="preserve">operativos </w:t>
      </w:r>
      <w:r w:rsidRPr="00A75D29">
        <w:rPr>
          <w:rFonts w:ascii="Book Antiqua" w:eastAsia="Wingdings" w:hAnsi="Book Antiqua"/>
          <w:sz w:val="24"/>
          <w:szCs w:val="24"/>
          <w:lang w:eastAsia="ko-KR"/>
        </w:rPr>
        <w:t>0134-DGH-P12 “</w:t>
      </w:r>
      <w:r w:rsidRPr="00A75D29">
        <w:rPr>
          <w:rFonts w:ascii="Book Antiqua" w:eastAsia="Wingdings" w:hAnsi="Book Antiqua"/>
          <w:i/>
          <w:iCs/>
          <w:sz w:val="24"/>
          <w:szCs w:val="24"/>
          <w:lang w:eastAsia="ko-KR"/>
        </w:rPr>
        <w:t>Plan de trabajo para la gestión de nombramientos de puestos</w:t>
      </w:r>
      <w:r w:rsidRPr="00A75D29">
        <w:rPr>
          <w:rFonts w:ascii="Book Antiqua" w:eastAsia="Wingdings" w:hAnsi="Book Antiqua"/>
          <w:sz w:val="24"/>
          <w:szCs w:val="24"/>
          <w:lang w:eastAsia="ko-KR"/>
        </w:rPr>
        <w:t>” y 0134-DGH-P15 “</w:t>
      </w:r>
      <w:r w:rsidRPr="00A75D29">
        <w:rPr>
          <w:rFonts w:ascii="Book Antiqua" w:eastAsia="Wingdings" w:hAnsi="Book Antiqua"/>
          <w:i/>
          <w:iCs/>
          <w:sz w:val="24"/>
          <w:szCs w:val="24"/>
          <w:lang w:eastAsia="ko-KR"/>
        </w:rPr>
        <w:t>Plan de reclutamiento y selección de personal para los diferentes cargos en todos los ámbitos del Poder Judicial</w:t>
      </w:r>
      <w:r w:rsidRPr="00A75D29">
        <w:rPr>
          <w:rFonts w:ascii="Book Antiqua" w:eastAsia="Wingdings" w:hAnsi="Book Antiqua"/>
          <w:sz w:val="24"/>
          <w:szCs w:val="24"/>
          <w:lang w:eastAsia="ko-KR"/>
        </w:rPr>
        <w:t xml:space="preserve">” se </w:t>
      </w:r>
      <w:r w:rsidR="002B193F">
        <w:rPr>
          <w:rFonts w:ascii="Book Antiqua" w:eastAsia="Wingdings" w:hAnsi="Book Antiqua"/>
          <w:sz w:val="24"/>
          <w:szCs w:val="24"/>
          <w:lang w:eastAsia="ko-KR"/>
        </w:rPr>
        <w:t xml:space="preserve">determinó que tienen actualmente </w:t>
      </w:r>
      <w:r w:rsidRPr="00A75D29">
        <w:rPr>
          <w:rFonts w:ascii="Book Antiqua" w:eastAsia="Wingdings" w:hAnsi="Book Antiqua"/>
          <w:sz w:val="24"/>
          <w:szCs w:val="24"/>
          <w:lang w:eastAsia="ko-KR"/>
        </w:rPr>
        <w:t xml:space="preserve">indicadores </w:t>
      </w:r>
      <w:r w:rsidR="002B193F">
        <w:rPr>
          <w:rFonts w:ascii="Book Antiqua" w:eastAsia="Wingdings" w:hAnsi="Book Antiqua"/>
          <w:sz w:val="24"/>
          <w:szCs w:val="24"/>
          <w:lang w:eastAsia="ko-KR"/>
        </w:rPr>
        <w:t>representados en función de resultados, por lo tanto, se requiere que</w:t>
      </w:r>
      <w:r w:rsidRPr="00A75D29">
        <w:rPr>
          <w:rFonts w:ascii="Book Antiqua" w:eastAsia="Wingdings" w:hAnsi="Book Antiqua"/>
          <w:sz w:val="24"/>
          <w:szCs w:val="24"/>
          <w:lang w:eastAsia="ko-KR"/>
        </w:rPr>
        <w:t xml:space="preserve"> respondan a los productos </w:t>
      </w:r>
      <w:r w:rsidR="002B193F">
        <w:rPr>
          <w:rFonts w:ascii="Book Antiqua" w:eastAsia="Wingdings" w:hAnsi="Book Antiqua"/>
          <w:sz w:val="24"/>
          <w:szCs w:val="24"/>
          <w:lang w:eastAsia="ko-KR"/>
        </w:rPr>
        <w:t xml:space="preserve">de </w:t>
      </w:r>
      <w:r w:rsidRPr="00A75D29">
        <w:rPr>
          <w:rFonts w:ascii="Book Antiqua" w:eastAsia="Wingdings" w:hAnsi="Book Antiqua"/>
          <w:sz w:val="24"/>
          <w:szCs w:val="24"/>
          <w:lang w:eastAsia="ko-KR"/>
        </w:rPr>
        <w:t>las labores mensuales que se ejecutan.</w:t>
      </w:r>
    </w:p>
    <w:p w14:paraId="342DE52B" w14:textId="77777777" w:rsidR="002B193F" w:rsidRPr="00A75D29" w:rsidRDefault="002B193F" w:rsidP="00EF4E17">
      <w:pPr>
        <w:pStyle w:val="Prrafodelista"/>
        <w:spacing w:after="0" w:line="240" w:lineRule="auto"/>
        <w:ind w:left="0"/>
        <w:jc w:val="both"/>
        <w:rPr>
          <w:rFonts w:ascii="Book Antiqua" w:eastAsia="Wingdings" w:hAnsi="Book Antiqua"/>
          <w:sz w:val="24"/>
          <w:szCs w:val="24"/>
          <w:lang w:eastAsia="ko-KR"/>
        </w:rPr>
      </w:pPr>
    </w:p>
    <w:p w14:paraId="76595647" w14:textId="414FC42E" w:rsidR="00A75D29" w:rsidRDefault="00A75D29" w:rsidP="00EF4E17">
      <w:pPr>
        <w:pStyle w:val="Prrafodelista"/>
        <w:numPr>
          <w:ilvl w:val="0"/>
          <w:numId w:val="28"/>
        </w:numPr>
        <w:spacing w:after="0" w:line="240" w:lineRule="auto"/>
        <w:ind w:left="0" w:firstLine="0"/>
        <w:jc w:val="both"/>
        <w:rPr>
          <w:rFonts w:ascii="Book Antiqua" w:eastAsia="Wingdings" w:hAnsi="Book Antiqua"/>
          <w:sz w:val="24"/>
          <w:szCs w:val="24"/>
          <w:lang w:eastAsia="ko-KR"/>
        </w:rPr>
      </w:pPr>
      <w:r w:rsidRPr="00A75D29">
        <w:rPr>
          <w:rFonts w:ascii="Book Antiqua" w:eastAsia="Wingdings" w:hAnsi="Book Antiqua"/>
          <w:sz w:val="24"/>
          <w:szCs w:val="24"/>
          <w:lang w:eastAsia="ko-KR"/>
        </w:rPr>
        <w:t xml:space="preserve">El proyecto </w:t>
      </w:r>
      <w:r w:rsidR="000A3123">
        <w:rPr>
          <w:rFonts w:ascii="Book Antiqua" w:eastAsia="Wingdings" w:hAnsi="Book Antiqua"/>
          <w:sz w:val="24"/>
          <w:szCs w:val="24"/>
          <w:lang w:eastAsia="ko-KR"/>
        </w:rPr>
        <w:t xml:space="preserve">operativo </w:t>
      </w:r>
      <w:r w:rsidRPr="00A75D29">
        <w:rPr>
          <w:rFonts w:ascii="Book Antiqua" w:eastAsia="Wingdings" w:hAnsi="Book Antiqua"/>
          <w:sz w:val="24"/>
          <w:szCs w:val="24"/>
          <w:lang w:eastAsia="ko-KR"/>
        </w:rPr>
        <w:t xml:space="preserve">0134-DGH-P09 </w:t>
      </w:r>
      <w:r w:rsidRPr="00A75D29">
        <w:rPr>
          <w:rFonts w:ascii="Book Antiqua" w:eastAsia="Wingdings" w:hAnsi="Book Antiqua"/>
          <w:i/>
          <w:iCs/>
          <w:sz w:val="24"/>
          <w:szCs w:val="24"/>
          <w:lang w:eastAsia="ko-KR"/>
        </w:rPr>
        <w:t>Corrección del monto de jubilación de las personas beneficiarias con la Ley "Régimen General de Pensiones con Cargo al Presupuesto Nacional</w:t>
      </w:r>
      <w:r w:rsidRPr="00A75D29">
        <w:rPr>
          <w:rFonts w:ascii="Book Antiqua" w:eastAsia="Wingdings" w:hAnsi="Book Antiqua"/>
          <w:sz w:val="24"/>
          <w:szCs w:val="24"/>
          <w:lang w:eastAsia="ko-KR"/>
        </w:rPr>
        <w:t>”, laboró hasta el 30 de marzo del 2023, en cumplimiento a lo acordado por el Consejo Superior en sesión 110-2022, artículo LXIX, donde el permiso con goce de salario se prorrogó hasta el 31/03/2023, para culminar la tarea encomendada, plazo en que se logró concluir satisfactoriamente la tarea.</w:t>
      </w:r>
    </w:p>
    <w:p w14:paraId="50ADA59C" w14:textId="77777777" w:rsidR="00A75D29" w:rsidRPr="00A75D29" w:rsidRDefault="00A75D29" w:rsidP="00EF4E17">
      <w:pPr>
        <w:pStyle w:val="Prrafodelista"/>
        <w:spacing w:before="100" w:beforeAutospacing="1" w:after="100" w:afterAutospacing="1" w:line="240" w:lineRule="auto"/>
        <w:ind w:left="0"/>
        <w:jc w:val="both"/>
        <w:rPr>
          <w:rFonts w:ascii="Book Antiqua" w:eastAsia="Wingdings" w:hAnsi="Book Antiqua"/>
          <w:sz w:val="24"/>
          <w:szCs w:val="24"/>
          <w:lang w:eastAsia="ko-KR"/>
        </w:rPr>
      </w:pPr>
    </w:p>
    <w:p w14:paraId="1617A3EB" w14:textId="2C25E4C4" w:rsidR="00A75D29" w:rsidRDefault="00A75D29" w:rsidP="00EF4E17">
      <w:pPr>
        <w:pStyle w:val="Prrafodelista"/>
        <w:numPr>
          <w:ilvl w:val="0"/>
          <w:numId w:val="28"/>
        </w:numPr>
        <w:spacing w:before="100" w:beforeAutospacing="1" w:after="100" w:afterAutospacing="1" w:line="240" w:lineRule="auto"/>
        <w:ind w:left="0" w:firstLine="0"/>
        <w:jc w:val="both"/>
        <w:rPr>
          <w:rFonts w:ascii="Book Antiqua" w:eastAsia="Wingdings" w:hAnsi="Book Antiqua"/>
          <w:sz w:val="24"/>
          <w:szCs w:val="24"/>
          <w:lang w:eastAsia="ko-KR"/>
        </w:rPr>
      </w:pPr>
      <w:r w:rsidRPr="00A75D29">
        <w:rPr>
          <w:rFonts w:ascii="Book Antiqua" w:eastAsia="Wingdings" w:hAnsi="Book Antiqua"/>
          <w:sz w:val="24"/>
          <w:szCs w:val="24"/>
          <w:lang w:eastAsia="ko-KR"/>
        </w:rPr>
        <w:t xml:space="preserve">En cuanto al proyecto </w:t>
      </w:r>
      <w:r w:rsidR="000A3123">
        <w:rPr>
          <w:rFonts w:ascii="Book Antiqua" w:eastAsia="Wingdings" w:hAnsi="Book Antiqua"/>
          <w:sz w:val="24"/>
          <w:szCs w:val="24"/>
          <w:lang w:eastAsia="ko-KR"/>
        </w:rPr>
        <w:t xml:space="preserve">operativo </w:t>
      </w:r>
      <w:r w:rsidRPr="00A75D29">
        <w:rPr>
          <w:rFonts w:ascii="Book Antiqua" w:eastAsia="Wingdings" w:hAnsi="Book Antiqua"/>
          <w:sz w:val="24"/>
          <w:szCs w:val="24"/>
          <w:lang w:eastAsia="ko-KR"/>
        </w:rPr>
        <w:t>0006-ST-P01 “</w:t>
      </w:r>
      <w:r w:rsidRPr="00A75D29">
        <w:rPr>
          <w:rFonts w:ascii="Book Antiqua" w:eastAsia="Wingdings" w:hAnsi="Book Antiqua"/>
          <w:i/>
          <w:iCs/>
          <w:sz w:val="24"/>
          <w:szCs w:val="24"/>
          <w:lang w:eastAsia="ko-KR"/>
        </w:rPr>
        <w:t>Plan de trabajo para la gestión de labores de la Vicepresidencia de la Corte</w:t>
      </w:r>
      <w:r w:rsidRPr="00A75D29">
        <w:rPr>
          <w:rFonts w:ascii="Book Antiqua" w:eastAsia="Wingdings" w:hAnsi="Book Antiqua"/>
          <w:sz w:val="24"/>
          <w:szCs w:val="24"/>
          <w:lang w:eastAsia="ko-KR"/>
        </w:rPr>
        <w:t>” es importante indicar que este proyecto laboró únicamente en el mes de enero del 2023, debido a que culminó con las tareas encomendadas, por lo tanto, se da por terminado y no se continua su seguimiento.</w:t>
      </w:r>
    </w:p>
    <w:p w14:paraId="23F823DF" w14:textId="77777777" w:rsidR="00A75D29" w:rsidRPr="00A75D29" w:rsidRDefault="00A75D29" w:rsidP="00EF4E17">
      <w:pPr>
        <w:pStyle w:val="Prrafodelista"/>
        <w:ind w:left="0"/>
        <w:rPr>
          <w:rFonts w:ascii="Book Antiqua" w:eastAsia="Wingdings" w:hAnsi="Book Antiqua"/>
          <w:sz w:val="24"/>
          <w:szCs w:val="24"/>
          <w:lang w:eastAsia="ko-KR"/>
        </w:rPr>
      </w:pPr>
    </w:p>
    <w:p w14:paraId="7BC3D1AA" w14:textId="44C5F4B1" w:rsidR="00A75D29" w:rsidRPr="002B193F" w:rsidRDefault="00A75D29" w:rsidP="00EF4E17">
      <w:pPr>
        <w:pStyle w:val="Prrafodelista"/>
        <w:numPr>
          <w:ilvl w:val="0"/>
          <w:numId w:val="28"/>
        </w:numPr>
        <w:spacing w:before="100" w:beforeAutospacing="1" w:after="100" w:afterAutospacing="1" w:line="240" w:lineRule="auto"/>
        <w:ind w:left="0" w:firstLine="0"/>
        <w:jc w:val="both"/>
        <w:rPr>
          <w:rFonts w:ascii="Book Antiqua" w:eastAsia="Wingdings" w:hAnsi="Book Antiqua"/>
          <w:sz w:val="24"/>
          <w:szCs w:val="24"/>
          <w:lang w:eastAsia="ko-KR"/>
        </w:rPr>
      </w:pPr>
      <w:r w:rsidRPr="00A75D29">
        <w:rPr>
          <w:rFonts w:ascii="Book Antiqua" w:eastAsia="Wingdings" w:hAnsi="Book Antiqua"/>
          <w:sz w:val="24"/>
          <w:szCs w:val="24"/>
          <w:lang w:eastAsia="ko-KR"/>
        </w:rPr>
        <w:t xml:space="preserve">En cuanto al proyecto </w:t>
      </w:r>
      <w:r w:rsidR="000A3123">
        <w:rPr>
          <w:rFonts w:ascii="Book Antiqua" w:eastAsia="Wingdings" w:hAnsi="Book Antiqua"/>
          <w:sz w:val="24"/>
          <w:szCs w:val="24"/>
          <w:lang w:eastAsia="ko-KR"/>
        </w:rPr>
        <w:t xml:space="preserve">operativo </w:t>
      </w:r>
      <w:r w:rsidRPr="00A75D29">
        <w:rPr>
          <w:rFonts w:ascii="Book Antiqua" w:eastAsia="Wingdings" w:hAnsi="Book Antiqua"/>
          <w:sz w:val="24"/>
          <w:szCs w:val="24"/>
          <w:lang w:eastAsia="ko-KR"/>
        </w:rPr>
        <w:t>1324-CACMFJ-P04 “</w:t>
      </w:r>
      <w:r w:rsidRPr="002B193F">
        <w:rPr>
          <w:rFonts w:ascii="Book Antiqua" w:eastAsia="Wingdings" w:hAnsi="Book Antiqua"/>
          <w:i/>
          <w:iCs/>
          <w:sz w:val="24"/>
          <w:szCs w:val="24"/>
          <w:lang w:eastAsia="ko-KR"/>
        </w:rPr>
        <w:t>Planes de Descongestionamiento de Materia Notarial</w:t>
      </w:r>
      <w:r w:rsidRPr="00A75D29">
        <w:rPr>
          <w:rFonts w:ascii="Book Antiqua" w:eastAsia="Wingdings" w:hAnsi="Book Antiqua"/>
          <w:sz w:val="24"/>
          <w:szCs w:val="24"/>
          <w:lang w:eastAsia="ko-KR"/>
        </w:rPr>
        <w:t xml:space="preserve">” cuyo rendimiento en el cuatrimestre pasado (Enero a Abril </w:t>
      </w:r>
      <w:r>
        <w:rPr>
          <w:rFonts w:ascii="Book Antiqua" w:eastAsia="Wingdings" w:hAnsi="Book Antiqua"/>
          <w:sz w:val="24"/>
          <w:szCs w:val="24"/>
          <w:lang w:eastAsia="ko-KR"/>
        </w:rPr>
        <w:t>2023</w:t>
      </w:r>
      <w:r w:rsidRPr="00A75D29">
        <w:rPr>
          <w:rFonts w:ascii="Book Antiqua" w:eastAsia="Wingdings" w:hAnsi="Book Antiqua"/>
          <w:sz w:val="24"/>
          <w:szCs w:val="24"/>
          <w:lang w:eastAsia="ko-KR"/>
        </w:rPr>
        <w:t xml:space="preserve">) </w:t>
      </w:r>
      <w:r w:rsidR="002B193F">
        <w:rPr>
          <w:rFonts w:ascii="Book Antiqua" w:eastAsia="Wingdings" w:hAnsi="Book Antiqua"/>
          <w:sz w:val="24"/>
          <w:szCs w:val="24"/>
          <w:lang w:eastAsia="ko-KR"/>
        </w:rPr>
        <w:t xml:space="preserve">se determinó que se </w:t>
      </w:r>
      <w:r w:rsidRPr="00A75D29">
        <w:rPr>
          <w:rFonts w:ascii="Book Antiqua" w:eastAsia="Wingdings" w:hAnsi="Book Antiqua"/>
          <w:sz w:val="24"/>
          <w:szCs w:val="24"/>
          <w:lang w:eastAsia="ko-KR"/>
        </w:rPr>
        <w:t>alcanz</w:t>
      </w:r>
      <w:r w:rsidR="002B193F">
        <w:rPr>
          <w:rFonts w:ascii="Book Antiqua" w:eastAsia="Wingdings" w:hAnsi="Book Antiqua"/>
          <w:sz w:val="24"/>
          <w:szCs w:val="24"/>
          <w:lang w:eastAsia="ko-KR"/>
        </w:rPr>
        <w:t>ó</w:t>
      </w:r>
      <w:r w:rsidRPr="00A75D29">
        <w:rPr>
          <w:rFonts w:ascii="Book Antiqua" w:eastAsia="Wingdings" w:hAnsi="Book Antiqua"/>
          <w:sz w:val="24"/>
          <w:szCs w:val="24"/>
          <w:lang w:eastAsia="ko-KR"/>
        </w:rPr>
        <w:t xml:space="preserve"> un avance del 28 % de la meta establecida</w:t>
      </w:r>
      <w:r w:rsidR="002B193F">
        <w:rPr>
          <w:rFonts w:ascii="Book Antiqua" w:eastAsia="Wingdings" w:hAnsi="Book Antiqua"/>
          <w:sz w:val="24"/>
          <w:szCs w:val="24"/>
          <w:lang w:eastAsia="ko-KR"/>
        </w:rPr>
        <w:t xml:space="preserve"> para un puesto en particular de Juez 3, por lo que</w:t>
      </w:r>
      <w:r w:rsidRPr="002B193F">
        <w:rPr>
          <w:rFonts w:ascii="Book Antiqua" w:eastAsia="Wingdings" w:hAnsi="Book Antiqua"/>
          <w:sz w:val="24"/>
          <w:szCs w:val="24"/>
          <w:lang w:eastAsia="ko-KR"/>
        </w:rPr>
        <w:t xml:space="preserve"> se recomienda no aprobar la continuidad de ese permiso.</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00"/>
        <w:gridCol w:w="1687"/>
        <w:gridCol w:w="603"/>
        <w:gridCol w:w="761"/>
        <w:gridCol w:w="658"/>
        <w:gridCol w:w="542"/>
        <w:gridCol w:w="1669"/>
      </w:tblGrid>
      <w:tr w:rsidR="00A75D29" w:rsidRPr="00A75D29" w14:paraId="7D146BE8" w14:textId="77777777" w:rsidTr="00A75D29">
        <w:trPr>
          <w:tblCellSpacing w:w="15" w:type="dxa"/>
        </w:trPr>
        <w:tc>
          <w:tcPr>
            <w:tcW w:w="0" w:type="auto"/>
            <w:shd w:val="clear" w:color="auto" w:fill="002060"/>
            <w:vAlign w:val="center"/>
            <w:hideMark/>
          </w:tcPr>
          <w:p w14:paraId="65714AC6" w14:textId="77777777" w:rsidR="00A75D29" w:rsidRPr="00A75D29" w:rsidRDefault="00A75D29" w:rsidP="00A75D29">
            <w:pPr>
              <w:spacing w:before="100" w:beforeAutospacing="1" w:after="240" w:line="240" w:lineRule="auto"/>
              <w:jc w:val="center"/>
              <w:rPr>
                <w:rFonts w:ascii="Book Antiqua" w:eastAsia="Times New Roman" w:hAnsi="Book Antiqua" w:cs="Times New Roman"/>
                <w:color w:val="FFFFFF" w:themeColor="background1"/>
                <w:sz w:val="20"/>
                <w:szCs w:val="20"/>
                <w:lang w:eastAsia="es-CR"/>
              </w:rPr>
            </w:pPr>
            <w:r w:rsidRPr="00A75D29">
              <w:rPr>
                <w:rFonts w:ascii="Book Antiqua" w:eastAsia="Times New Roman" w:hAnsi="Book Antiqua" w:cs="Times New Roman"/>
                <w:color w:val="FFFFFF" w:themeColor="background1"/>
                <w:sz w:val="20"/>
                <w:szCs w:val="20"/>
                <w:lang w:eastAsia="es-CR"/>
              </w:rPr>
              <w:t>Indicador</w:t>
            </w:r>
          </w:p>
        </w:tc>
        <w:tc>
          <w:tcPr>
            <w:tcW w:w="0" w:type="auto"/>
            <w:shd w:val="clear" w:color="auto" w:fill="002060"/>
            <w:vAlign w:val="center"/>
            <w:hideMark/>
          </w:tcPr>
          <w:p w14:paraId="464E7FBF" w14:textId="77777777" w:rsidR="00A75D29" w:rsidRPr="00A75D29" w:rsidRDefault="00A75D29" w:rsidP="00A75D29">
            <w:pPr>
              <w:spacing w:before="100" w:beforeAutospacing="1" w:after="240" w:line="240" w:lineRule="auto"/>
              <w:jc w:val="center"/>
              <w:rPr>
                <w:rFonts w:ascii="Book Antiqua" w:eastAsia="Times New Roman" w:hAnsi="Book Antiqua" w:cs="Times New Roman"/>
                <w:color w:val="FFFFFF" w:themeColor="background1"/>
                <w:sz w:val="20"/>
                <w:szCs w:val="20"/>
                <w:lang w:eastAsia="es-CR"/>
              </w:rPr>
            </w:pPr>
            <w:r w:rsidRPr="00A75D29">
              <w:rPr>
                <w:rFonts w:ascii="Book Antiqua" w:eastAsia="Times New Roman" w:hAnsi="Book Antiqua" w:cs="Times New Roman"/>
                <w:color w:val="FFFFFF" w:themeColor="background1"/>
                <w:sz w:val="20"/>
                <w:szCs w:val="20"/>
                <w:lang w:eastAsia="es-CR"/>
              </w:rPr>
              <w:t>Valor Mensual propuesto</w:t>
            </w:r>
          </w:p>
        </w:tc>
        <w:tc>
          <w:tcPr>
            <w:tcW w:w="0" w:type="auto"/>
            <w:shd w:val="clear" w:color="auto" w:fill="002060"/>
            <w:vAlign w:val="center"/>
            <w:hideMark/>
          </w:tcPr>
          <w:p w14:paraId="4C8798DB" w14:textId="77777777" w:rsidR="00A75D29" w:rsidRPr="00A75D29" w:rsidRDefault="00A75D29" w:rsidP="00A75D29">
            <w:pPr>
              <w:spacing w:before="100" w:beforeAutospacing="1" w:after="240" w:line="240" w:lineRule="auto"/>
              <w:jc w:val="center"/>
              <w:rPr>
                <w:rFonts w:ascii="Book Antiqua" w:eastAsia="Times New Roman" w:hAnsi="Book Antiqua" w:cs="Times New Roman"/>
                <w:color w:val="FFFFFF" w:themeColor="background1"/>
                <w:sz w:val="20"/>
                <w:szCs w:val="20"/>
                <w:lang w:eastAsia="es-CR"/>
              </w:rPr>
            </w:pPr>
            <w:r w:rsidRPr="00A75D29">
              <w:rPr>
                <w:rFonts w:ascii="Book Antiqua" w:eastAsia="Times New Roman" w:hAnsi="Book Antiqua" w:cs="Times New Roman"/>
                <w:color w:val="FFFFFF" w:themeColor="background1"/>
                <w:sz w:val="20"/>
                <w:szCs w:val="20"/>
                <w:lang w:eastAsia="es-CR"/>
              </w:rPr>
              <w:t>Enero</w:t>
            </w:r>
          </w:p>
        </w:tc>
        <w:tc>
          <w:tcPr>
            <w:tcW w:w="0" w:type="auto"/>
            <w:shd w:val="clear" w:color="auto" w:fill="002060"/>
            <w:vAlign w:val="center"/>
            <w:hideMark/>
          </w:tcPr>
          <w:p w14:paraId="08FFD491" w14:textId="77777777" w:rsidR="00A75D29" w:rsidRPr="00A75D29" w:rsidRDefault="00A75D29" w:rsidP="00A75D29">
            <w:pPr>
              <w:spacing w:before="100" w:beforeAutospacing="1" w:after="240" w:line="240" w:lineRule="auto"/>
              <w:jc w:val="center"/>
              <w:rPr>
                <w:rFonts w:ascii="Book Antiqua" w:eastAsia="Times New Roman" w:hAnsi="Book Antiqua" w:cs="Times New Roman"/>
                <w:color w:val="FFFFFF" w:themeColor="background1"/>
                <w:sz w:val="20"/>
                <w:szCs w:val="20"/>
                <w:lang w:eastAsia="es-CR"/>
              </w:rPr>
            </w:pPr>
            <w:r w:rsidRPr="00A75D29">
              <w:rPr>
                <w:rFonts w:ascii="Book Antiqua" w:eastAsia="Times New Roman" w:hAnsi="Book Antiqua" w:cs="Times New Roman"/>
                <w:color w:val="FFFFFF" w:themeColor="background1"/>
                <w:sz w:val="20"/>
                <w:szCs w:val="20"/>
                <w:lang w:eastAsia="es-CR"/>
              </w:rPr>
              <w:t>Febrero</w:t>
            </w:r>
          </w:p>
        </w:tc>
        <w:tc>
          <w:tcPr>
            <w:tcW w:w="0" w:type="auto"/>
            <w:shd w:val="clear" w:color="auto" w:fill="002060"/>
            <w:vAlign w:val="center"/>
            <w:hideMark/>
          </w:tcPr>
          <w:p w14:paraId="598A6B55" w14:textId="62715B45" w:rsidR="00A75D29" w:rsidRPr="00A75D29" w:rsidRDefault="00A75D29" w:rsidP="00A75D29">
            <w:pPr>
              <w:spacing w:before="100" w:beforeAutospacing="1" w:after="240" w:line="240" w:lineRule="auto"/>
              <w:jc w:val="center"/>
              <w:rPr>
                <w:rFonts w:ascii="Book Antiqua" w:eastAsia="Times New Roman" w:hAnsi="Book Antiqua" w:cs="Times New Roman"/>
                <w:color w:val="FFFFFF" w:themeColor="background1"/>
                <w:sz w:val="20"/>
                <w:szCs w:val="20"/>
                <w:lang w:eastAsia="es-CR"/>
              </w:rPr>
            </w:pPr>
            <w:r>
              <w:rPr>
                <w:rFonts w:ascii="Book Antiqua" w:eastAsia="Times New Roman" w:hAnsi="Book Antiqua" w:cs="Times New Roman"/>
                <w:color w:val="FFFFFF" w:themeColor="background1"/>
                <w:sz w:val="20"/>
                <w:szCs w:val="20"/>
                <w:lang w:eastAsia="es-CR"/>
              </w:rPr>
              <w:t>M</w:t>
            </w:r>
            <w:r w:rsidRPr="00A75D29">
              <w:rPr>
                <w:rFonts w:ascii="Book Antiqua" w:eastAsia="Times New Roman" w:hAnsi="Book Antiqua" w:cs="Times New Roman"/>
                <w:color w:val="FFFFFF" w:themeColor="background1"/>
                <w:sz w:val="20"/>
                <w:szCs w:val="20"/>
                <w:lang w:eastAsia="es-CR"/>
              </w:rPr>
              <w:t>arzo</w:t>
            </w:r>
          </w:p>
        </w:tc>
        <w:tc>
          <w:tcPr>
            <w:tcW w:w="0" w:type="auto"/>
            <w:shd w:val="clear" w:color="auto" w:fill="002060"/>
            <w:vAlign w:val="center"/>
            <w:hideMark/>
          </w:tcPr>
          <w:p w14:paraId="2E447F9C" w14:textId="77777777" w:rsidR="00A75D29" w:rsidRPr="00A75D29" w:rsidRDefault="00A75D29" w:rsidP="00A75D29">
            <w:pPr>
              <w:spacing w:before="100" w:beforeAutospacing="1" w:after="240" w:line="240" w:lineRule="auto"/>
              <w:jc w:val="center"/>
              <w:rPr>
                <w:rFonts w:ascii="Book Antiqua" w:eastAsia="Times New Roman" w:hAnsi="Book Antiqua" w:cs="Times New Roman"/>
                <w:color w:val="FFFFFF" w:themeColor="background1"/>
                <w:sz w:val="20"/>
                <w:szCs w:val="20"/>
                <w:lang w:eastAsia="es-CR"/>
              </w:rPr>
            </w:pPr>
            <w:r w:rsidRPr="00A75D29">
              <w:rPr>
                <w:rFonts w:ascii="Book Antiqua" w:eastAsia="Times New Roman" w:hAnsi="Book Antiqua" w:cs="Times New Roman"/>
                <w:color w:val="FFFFFF" w:themeColor="background1"/>
                <w:sz w:val="20"/>
                <w:szCs w:val="20"/>
                <w:lang w:eastAsia="es-CR"/>
              </w:rPr>
              <w:t>Abril</w:t>
            </w:r>
          </w:p>
        </w:tc>
        <w:tc>
          <w:tcPr>
            <w:tcW w:w="0" w:type="auto"/>
            <w:shd w:val="clear" w:color="auto" w:fill="002060"/>
            <w:vAlign w:val="center"/>
            <w:hideMark/>
          </w:tcPr>
          <w:p w14:paraId="14E05473" w14:textId="77777777" w:rsidR="00A75D29" w:rsidRPr="00A75D29" w:rsidRDefault="00A75D29" w:rsidP="00A75D29">
            <w:pPr>
              <w:spacing w:before="100" w:beforeAutospacing="1" w:after="240" w:line="240" w:lineRule="auto"/>
              <w:jc w:val="center"/>
              <w:rPr>
                <w:rFonts w:ascii="Book Antiqua" w:eastAsia="Times New Roman" w:hAnsi="Book Antiqua" w:cs="Times New Roman"/>
                <w:color w:val="FFFFFF" w:themeColor="background1"/>
                <w:sz w:val="20"/>
                <w:szCs w:val="20"/>
                <w:lang w:eastAsia="es-CR"/>
              </w:rPr>
            </w:pPr>
            <w:r w:rsidRPr="00A75D29">
              <w:rPr>
                <w:rFonts w:ascii="Book Antiqua" w:eastAsia="Times New Roman" w:hAnsi="Book Antiqua" w:cs="Times New Roman"/>
                <w:color w:val="FFFFFF" w:themeColor="background1"/>
                <w:sz w:val="20"/>
                <w:szCs w:val="20"/>
                <w:lang w:eastAsia="es-CR"/>
              </w:rPr>
              <w:t>% Ejecución acumulado</w:t>
            </w:r>
          </w:p>
        </w:tc>
      </w:tr>
      <w:tr w:rsidR="00A75D29" w:rsidRPr="00A75D29" w14:paraId="762F201D" w14:textId="77777777" w:rsidTr="00A75D29">
        <w:trPr>
          <w:tblCellSpacing w:w="15" w:type="dxa"/>
        </w:trPr>
        <w:tc>
          <w:tcPr>
            <w:tcW w:w="0" w:type="auto"/>
            <w:vAlign w:val="center"/>
            <w:hideMark/>
          </w:tcPr>
          <w:p w14:paraId="137CA2F6" w14:textId="77777777" w:rsidR="00A75D29" w:rsidRPr="00A75D29" w:rsidRDefault="00A75D29" w:rsidP="00A75D29">
            <w:pPr>
              <w:spacing w:before="100" w:beforeAutospacing="1" w:after="240" w:line="240" w:lineRule="auto"/>
              <w:jc w:val="center"/>
              <w:rPr>
                <w:rFonts w:ascii="Book Antiqua" w:eastAsia="Times New Roman" w:hAnsi="Book Antiqua" w:cs="Times New Roman"/>
                <w:sz w:val="20"/>
                <w:szCs w:val="20"/>
                <w:lang w:eastAsia="es-CR"/>
              </w:rPr>
            </w:pPr>
            <w:r w:rsidRPr="00A75D29">
              <w:rPr>
                <w:rFonts w:ascii="Book Antiqua" w:eastAsia="Times New Roman" w:hAnsi="Book Antiqua" w:cs="Times New Roman"/>
                <w:sz w:val="20"/>
                <w:szCs w:val="20"/>
                <w:lang w:eastAsia="es-CR"/>
              </w:rPr>
              <w:t>Cantidad de Sentencias dictadas por  Juez/Jueza</w:t>
            </w:r>
          </w:p>
        </w:tc>
        <w:tc>
          <w:tcPr>
            <w:tcW w:w="0" w:type="auto"/>
            <w:vAlign w:val="center"/>
            <w:hideMark/>
          </w:tcPr>
          <w:p w14:paraId="2F847EA0" w14:textId="77777777" w:rsidR="00A75D29" w:rsidRPr="00A75D29" w:rsidRDefault="00A75D29" w:rsidP="00A75D29">
            <w:pPr>
              <w:spacing w:before="100" w:beforeAutospacing="1" w:after="240" w:line="240" w:lineRule="auto"/>
              <w:jc w:val="center"/>
              <w:rPr>
                <w:rFonts w:ascii="Book Antiqua" w:eastAsia="Times New Roman" w:hAnsi="Book Antiqua" w:cs="Times New Roman"/>
                <w:sz w:val="20"/>
                <w:szCs w:val="20"/>
                <w:lang w:eastAsia="es-CR"/>
              </w:rPr>
            </w:pPr>
            <w:r w:rsidRPr="00A75D29">
              <w:rPr>
                <w:rFonts w:ascii="Book Antiqua" w:eastAsia="Times New Roman" w:hAnsi="Book Antiqua" w:cs="Times New Roman"/>
                <w:sz w:val="20"/>
                <w:szCs w:val="20"/>
                <w:lang w:eastAsia="es-CR"/>
              </w:rPr>
              <w:t>15</w:t>
            </w:r>
          </w:p>
        </w:tc>
        <w:tc>
          <w:tcPr>
            <w:tcW w:w="0" w:type="auto"/>
            <w:vAlign w:val="center"/>
            <w:hideMark/>
          </w:tcPr>
          <w:p w14:paraId="08FA9001" w14:textId="77777777" w:rsidR="00A75D29" w:rsidRPr="00A75D29" w:rsidRDefault="00A75D29" w:rsidP="00A75D29">
            <w:pPr>
              <w:spacing w:before="100" w:beforeAutospacing="1" w:after="240" w:line="240" w:lineRule="auto"/>
              <w:jc w:val="center"/>
              <w:rPr>
                <w:rFonts w:ascii="Book Antiqua" w:eastAsia="Times New Roman" w:hAnsi="Book Antiqua" w:cs="Times New Roman"/>
                <w:sz w:val="20"/>
                <w:szCs w:val="20"/>
                <w:lang w:eastAsia="es-CR"/>
              </w:rPr>
            </w:pPr>
            <w:r w:rsidRPr="00A75D29">
              <w:rPr>
                <w:rFonts w:ascii="Book Antiqua" w:eastAsia="Times New Roman" w:hAnsi="Book Antiqua" w:cs="Times New Roman"/>
                <w:sz w:val="20"/>
                <w:szCs w:val="20"/>
                <w:lang w:eastAsia="es-CR"/>
              </w:rPr>
              <w:t>3</w:t>
            </w:r>
          </w:p>
        </w:tc>
        <w:tc>
          <w:tcPr>
            <w:tcW w:w="0" w:type="auto"/>
            <w:vAlign w:val="center"/>
            <w:hideMark/>
          </w:tcPr>
          <w:p w14:paraId="0F731B9B" w14:textId="77777777" w:rsidR="00A75D29" w:rsidRPr="00A75D29" w:rsidRDefault="00A75D29" w:rsidP="00A75D29">
            <w:pPr>
              <w:spacing w:before="100" w:beforeAutospacing="1" w:after="240" w:line="240" w:lineRule="auto"/>
              <w:jc w:val="center"/>
              <w:rPr>
                <w:rFonts w:ascii="Book Antiqua" w:eastAsia="Times New Roman" w:hAnsi="Book Antiqua" w:cs="Times New Roman"/>
                <w:sz w:val="20"/>
                <w:szCs w:val="20"/>
                <w:lang w:eastAsia="es-CR"/>
              </w:rPr>
            </w:pPr>
            <w:r w:rsidRPr="00A75D29">
              <w:rPr>
                <w:rFonts w:ascii="Book Antiqua" w:eastAsia="Times New Roman" w:hAnsi="Book Antiqua" w:cs="Times New Roman"/>
                <w:sz w:val="20"/>
                <w:szCs w:val="20"/>
                <w:lang w:eastAsia="es-CR"/>
              </w:rPr>
              <w:t>4</w:t>
            </w:r>
          </w:p>
        </w:tc>
        <w:tc>
          <w:tcPr>
            <w:tcW w:w="0" w:type="auto"/>
            <w:vAlign w:val="center"/>
            <w:hideMark/>
          </w:tcPr>
          <w:p w14:paraId="4DF6C759" w14:textId="77777777" w:rsidR="00A75D29" w:rsidRPr="00A75D29" w:rsidRDefault="00A75D29" w:rsidP="00A75D29">
            <w:pPr>
              <w:spacing w:before="100" w:beforeAutospacing="1" w:after="240" w:line="240" w:lineRule="auto"/>
              <w:jc w:val="center"/>
              <w:rPr>
                <w:rFonts w:ascii="Book Antiqua" w:eastAsia="Times New Roman" w:hAnsi="Book Antiqua" w:cs="Times New Roman"/>
                <w:sz w:val="20"/>
                <w:szCs w:val="20"/>
                <w:lang w:eastAsia="es-CR"/>
              </w:rPr>
            </w:pPr>
            <w:r w:rsidRPr="00A75D29">
              <w:rPr>
                <w:rFonts w:ascii="Book Antiqua" w:eastAsia="Times New Roman" w:hAnsi="Book Antiqua" w:cs="Times New Roman"/>
                <w:sz w:val="20"/>
                <w:szCs w:val="20"/>
                <w:lang w:eastAsia="es-CR"/>
              </w:rPr>
              <w:t>2</w:t>
            </w:r>
          </w:p>
        </w:tc>
        <w:tc>
          <w:tcPr>
            <w:tcW w:w="0" w:type="auto"/>
            <w:vAlign w:val="center"/>
            <w:hideMark/>
          </w:tcPr>
          <w:p w14:paraId="0F4A8A76" w14:textId="77777777" w:rsidR="00A75D29" w:rsidRPr="00A75D29" w:rsidRDefault="00A75D29" w:rsidP="00A75D29">
            <w:pPr>
              <w:spacing w:before="100" w:beforeAutospacing="1" w:after="240" w:line="240" w:lineRule="auto"/>
              <w:jc w:val="center"/>
              <w:rPr>
                <w:rFonts w:ascii="Book Antiqua" w:eastAsia="Times New Roman" w:hAnsi="Book Antiqua" w:cs="Times New Roman"/>
                <w:sz w:val="20"/>
                <w:szCs w:val="20"/>
                <w:lang w:eastAsia="es-CR"/>
              </w:rPr>
            </w:pPr>
            <w:r w:rsidRPr="00A75D29">
              <w:rPr>
                <w:rFonts w:ascii="Book Antiqua" w:eastAsia="Times New Roman" w:hAnsi="Book Antiqua" w:cs="Times New Roman"/>
                <w:sz w:val="20"/>
                <w:szCs w:val="20"/>
                <w:lang w:eastAsia="es-CR"/>
              </w:rPr>
              <w:t>8</w:t>
            </w:r>
          </w:p>
        </w:tc>
        <w:tc>
          <w:tcPr>
            <w:tcW w:w="0" w:type="auto"/>
            <w:vAlign w:val="center"/>
            <w:hideMark/>
          </w:tcPr>
          <w:p w14:paraId="39AE7E46" w14:textId="77777777" w:rsidR="00A75D29" w:rsidRPr="00A75D29" w:rsidRDefault="00A75D29" w:rsidP="00A75D29">
            <w:pPr>
              <w:spacing w:before="100" w:beforeAutospacing="1" w:after="240" w:line="240" w:lineRule="auto"/>
              <w:jc w:val="center"/>
              <w:rPr>
                <w:rFonts w:ascii="Book Antiqua" w:eastAsia="Times New Roman" w:hAnsi="Book Antiqua" w:cs="Times New Roman"/>
                <w:sz w:val="20"/>
                <w:szCs w:val="20"/>
                <w:lang w:eastAsia="es-CR"/>
              </w:rPr>
            </w:pPr>
            <w:r w:rsidRPr="00A75D29">
              <w:rPr>
                <w:rFonts w:ascii="Book Antiqua" w:eastAsia="Times New Roman" w:hAnsi="Book Antiqua" w:cs="Times New Roman"/>
                <w:sz w:val="20"/>
                <w:szCs w:val="20"/>
                <w:lang w:eastAsia="es-CR"/>
              </w:rPr>
              <w:t>28%</w:t>
            </w:r>
          </w:p>
        </w:tc>
      </w:tr>
    </w:tbl>
    <w:p w14:paraId="7F444FF3" w14:textId="77777777" w:rsidR="00555E82" w:rsidRPr="004152CC" w:rsidRDefault="00555E82" w:rsidP="00555E82">
      <w:pPr>
        <w:jc w:val="both"/>
        <w:rPr>
          <w:rFonts w:ascii="Book Antiqua" w:hAnsi="Book Antiqua"/>
          <w:sz w:val="24"/>
          <w:szCs w:val="24"/>
          <w:highlight w:val="yellow"/>
        </w:rPr>
      </w:pPr>
    </w:p>
    <w:p w14:paraId="7EEDD517" w14:textId="6368F732" w:rsidR="00555E82" w:rsidRDefault="00555E82" w:rsidP="00155AE5">
      <w:pPr>
        <w:pStyle w:val="Prrafodelista"/>
        <w:keepNext/>
        <w:keepLines/>
        <w:numPr>
          <w:ilvl w:val="1"/>
          <w:numId w:val="17"/>
        </w:numPr>
        <w:spacing w:before="40" w:after="120"/>
        <w:outlineLvl w:val="1"/>
        <w:rPr>
          <w:rFonts w:ascii="Book Antiqua" w:eastAsia="Wingdings" w:hAnsi="Book Antiqua" w:cstheme="majorBidi"/>
          <w:b/>
          <w:bCs/>
          <w:sz w:val="26"/>
          <w:szCs w:val="26"/>
          <w:lang w:eastAsia="ko-KR"/>
        </w:rPr>
      </w:pPr>
      <w:bookmarkStart w:id="120" w:name="_Toc96666526"/>
      <w:bookmarkStart w:id="121" w:name="_Toc131160591"/>
      <w:bookmarkStart w:id="122" w:name="_Toc138770857"/>
      <w:r w:rsidRPr="005651B0">
        <w:rPr>
          <w:rFonts w:ascii="Book Antiqua" w:eastAsia="Wingdings" w:hAnsi="Book Antiqua" w:cstheme="majorBidi"/>
          <w:b/>
          <w:bCs/>
          <w:sz w:val="26"/>
          <w:szCs w:val="26"/>
          <w:lang w:eastAsia="ko-KR"/>
        </w:rPr>
        <w:lastRenderedPageBreak/>
        <w:t>Indicadores de cumplimiento propuestos para el 202</w:t>
      </w:r>
      <w:bookmarkEnd w:id="120"/>
      <w:r w:rsidRPr="005651B0">
        <w:rPr>
          <w:rFonts w:ascii="Book Antiqua" w:eastAsia="Wingdings" w:hAnsi="Book Antiqua" w:cstheme="majorBidi"/>
          <w:b/>
          <w:bCs/>
          <w:sz w:val="26"/>
          <w:szCs w:val="26"/>
          <w:lang w:eastAsia="ko-KR"/>
        </w:rPr>
        <w:t>3</w:t>
      </w:r>
      <w:bookmarkEnd w:id="121"/>
      <w:r w:rsidRPr="005651B0">
        <w:rPr>
          <w:rFonts w:ascii="Book Antiqua" w:eastAsia="Wingdings" w:hAnsi="Book Antiqua" w:cstheme="majorBidi"/>
          <w:b/>
          <w:bCs/>
          <w:sz w:val="26"/>
          <w:szCs w:val="26"/>
          <w:lang w:eastAsia="ko-KR"/>
        </w:rPr>
        <w:t xml:space="preserve"> (Indicadores que van a sufrir cambios)</w:t>
      </w:r>
      <w:bookmarkEnd w:id="122"/>
      <w:r w:rsidRPr="005651B0">
        <w:rPr>
          <w:rFonts w:ascii="Book Antiqua" w:eastAsia="Wingdings" w:hAnsi="Book Antiqua" w:cstheme="majorBidi"/>
          <w:b/>
          <w:bCs/>
          <w:sz w:val="26"/>
          <w:szCs w:val="26"/>
          <w:lang w:eastAsia="ko-KR"/>
        </w:rPr>
        <w:t xml:space="preserve"> </w:t>
      </w:r>
    </w:p>
    <w:p w14:paraId="688301F4" w14:textId="77777777" w:rsidR="00A75D29" w:rsidRPr="00A75D29" w:rsidRDefault="00A75D29" w:rsidP="00A75D29">
      <w:pPr>
        <w:jc w:val="both"/>
        <w:rPr>
          <w:rFonts w:ascii="Book Antiqua" w:eastAsia="Times New Roman" w:hAnsi="Book Antiqua" w:cs="Times New Roman"/>
          <w:sz w:val="24"/>
          <w:szCs w:val="24"/>
          <w:lang w:eastAsia="es-CR"/>
        </w:rPr>
      </w:pPr>
      <w:r w:rsidRPr="00A75D29">
        <w:rPr>
          <w:rFonts w:ascii="Book Antiqua" w:eastAsia="Times New Roman" w:hAnsi="Book Antiqua" w:cs="Times New Roman"/>
          <w:sz w:val="24"/>
          <w:szCs w:val="24"/>
          <w:lang w:eastAsia="es-CR"/>
        </w:rPr>
        <w:t>En el oficio N° 1211-PLA-PP-2022 de la Dirección de Planificación que conoció el Consejo Superior en sesión N° 110-2021 celebrada el 15 de diciembre del 2021, artículo LXIX, se cita dentro de las recomendaciones:</w:t>
      </w:r>
    </w:p>
    <w:p w14:paraId="04EEE6BB" w14:textId="77777777" w:rsidR="00A75D29" w:rsidRPr="00A75D29" w:rsidRDefault="00A75D29" w:rsidP="00A75D29">
      <w:pPr>
        <w:ind w:left="567" w:right="899"/>
        <w:jc w:val="both"/>
        <w:rPr>
          <w:rFonts w:ascii="Book Antiqua" w:eastAsia="Times New Roman" w:hAnsi="Book Antiqua" w:cs="Times New Roman"/>
          <w:i/>
          <w:iCs/>
          <w:sz w:val="24"/>
          <w:szCs w:val="24"/>
          <w:lang w:eastAsia="es-CR"/>
        </w:rPr>
      </w:pPr>
      <w:r w:rsidRPr="00A75D29">
        <w:rPr>
          <w:rFonts w:ascii="Book Antiqua" w:eastAsia="Times New Roman" w:hAnsi="Book Antiqua" w:cs="Times New Roman"/>
          <w:i/>
          <w:iCs/>
          <w:sz w:val="24"/>
          <w:szCs w:val="24"/>
          <w:lang w:eastAsia="es-CR"/>
        </w:rPr>
        <w:t>“24. Dado que las oficinas a cargo de los proyectos operativos son las que definen las metas mensuales, es necesario hacer una revisión detallada de la cuotas o parámetros a cumplir por los recursos otorgados para el próximo seguimiento, de manera que se pueda garantizar un uso eficiente de los recursos otorgados. Por lo anterior, a más tardar el 20 de enero del 2023, deberán comunicar a la Dirección de Planificación, la nueva meta esperada para cada indicador o si fuese el caso modificar el indicador con el que están siendo valorados, de tal manera que sea congruente con los resultados definidos en el 2023 y con la asignación de recurso”.</w:t>
      </w:r>
    </w:p>
    <w:p w14:paraId="5C16356D" w14:textId="77777777" w:rsidR="00A75D29" w:rsidRPr="00A75D29" w:rsidRDefault="00A75D29" w:rsidP="00A75D29">
      <w:pPr>
        <w:jc w:val="both"/>
        <w:rPr>
          <w:rFonts w:ascii="Book Antiqua" w:eastAsia="Times New Roman" w:hAnsi="Book Antiqua" w:cs="Times New Roman"/>
          <w:sz w:val="24"/>
          <w:szCs w:val="24"/>
          <w:lang w:eastAsia="es-CR"/>
        </w:rPr>
      </w:pPr>
      <w:r w:rsidRPr="00A75D29">
        <w:rPr>
          <w:rFonts w:ascii="Book Antiqua" w:eastAsia="Times New Roman" w:hAnsi="Book Antiqua" w:cs="Times New Roman"/>
          <w:sz w:val="24"/>
          <w:szCs w:val="24"/>
          <w:lang w:eastAsia="es-CR"/>
        </w:rPr>
        <w:t>Por lo anterior, se procedió a dar seguimiento al cumplimiento de esta recomendación relacionada con el ajuste y la actualización de los indicadores definidos.</w:t>
      </w:r>
    </w:p>
    <w:p w14:paraId="5B0C77DA" w14:textId="77777777" w:rsidR="00A75D29" w:rsidRPr="00A75D29" w:rsidRDefault="00A75D29" w:rsidP="00A75D29">
      <w:pPr>
        <w:jc w:val="both"/>
        <w:rPr>
          <w:rFonts w:ascii="Book Antiqua" w:eastAsia="Times New Roman" w:hAnsi="Book Antiqua" w:cs="Times New Roman"/>
          <w:sz w:val="24"/>
          <w:szCs w:val="24"/>
          <w:lang w:eastAsia="es-CR"/>
        </w:rPr>
      </w:pPr>
      <w:r w:rsidRPr="00A75D29">
        <w:rPr>
          <w:rFonts w:ascii="Book Antiqua" w:eastAsia="Times New Roman" w:hAnsi="Book Antiqua" w:cs="Times New Roman"/>
          <w:sz w:val="24"/>
          <w:szCs w:val="24"/>
          <w:lang w:eastAsia="es-CR"/>
        </w:rPr>
        <w:t>Es importante mencionar que, el detalle de indicadores para el periodo 2023 debe quedar consignado en el acta de constitución de cada labor operativa, específicamente en el apartado 3 de ese formulario, llamado 3. Objetivo del Proyecto.</w:t>
      </w:r>
    </w:p>
    <w:p w14:paraId="085EDD8F" w14:textId="2B92605E" w:rsidR="00006088" w:rsidRDefault="00A75D29" w:rsidP="00A75D29">
      <w:pPr>
        <w:jc w:val="both"/>
        <w:rPr>
          <w:rFonts w:ascii="Book Antiqua" w:eastAsia="Times New Roman" w:hAnsi="Book Antiqua" w:cs="Times New Roman"/>
          <w:sz w:val="24"/>
          <w:szCs w:val="24"/>
          <w:lang w:eastAsia="es-CR"/>
        </w:rPr>
      </w:pPr>
      <w:r w:rsidRPr="00A75D29">
        <w:rPr>
          <w:rFonts w:ascii="Book Antiqua" w:eastAsia="Times New Roman" w:hAnsi="Book Antiqua" w:cs="Times New Roman"/>
          <w:sz w:val="24"/>
          <w:szCs w:val="24"/>
          <w:lang w:eastAsia="es-CR"/>
        </w:rPr>
        <w:t>Como resultado de este seguimiento para determinar los indicadores a utilizar para el II Trimestre del 2023, se ajustaron un total de 14 indicadores mensuales se incluyeron 6 y se eliminaron 2, con sus respectivos valores esperados, así como la justificación del caso. Los indicadores que se ajustaron se detallan a continuación:</w:t>
      </w:r>
    </w:p>
    <w:p w14:paraId="2987C161" w14:textId="77777777" w:rsidR="00006088" w:rsidRDefault="00006088">
      <w:pPr>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br w:type="page"/>
      </w:r>
    </w:p>
    <w:p w14:paraId="467C59EB" w14:textId="77777777" w:rsidR="00A75D29" w:rsidRPr="00A75D29" w:rsidRDefault="00A75D29" w:rsidP="00A75D29">
      <w:pPr>
        <w:jc w:val="both"/>
        <w:rPr>
          <w:rFonts w:ascii="Book Antiqua" w:eastAsia="Times New Roman" w:hAnsi="Book Antiqua" w:cs="Times New Roman"/>
          <w:sz w:val="24"/>
          <w:szCs w:val="24"/>
          <w:lang w:eastAsia="es-CR"/>
        </w:rPr>
      </w:pPr>
    </w:p>
    <w:p w14:paraId="0326DD1F" w14:textId="2B13196A" w:rsidR="00555E82" w:rsidRDefault="00413346" w:rsidP="00555E82">
      <w:pPr>
        <w:spacing w:after="0"/>
        <w:jc w:val="center"/>
        <w:rPr>
          <w:rFonts w:ascii="Book Antiqua" w:eastAsia="Wingdings" w:hAnsi="Book Antiqua"/>
          <w:b/>
          <w:bCs/>
          <w:sz w:val="24"/>
          <w:szCs w:val="24"/>
          <w:lang w:eastAsia="ko-KR"/>
        </w:rPr>
      </w:pPr>
      <w:bookmarkStart w:id="123" w:name="_Hlk94691338"/>
      <w:bookmarkStart w:id="124" w:name="_Toc131155957"/>
      <w:r w:rsidRPr="00A7495E">
        <w:rPr>
          <w:rFonts w:ascii="Book Antiqua" w:hAnsi="Book Antiqua" w:cs="&amp;quot"/>
          <w:b/>
          <w:sz w:val="24"/>
          <w:szCs w:val="24"/>
        </w:rPr>
        <w:t xml:space="preserve">Tabla </w:t>
      </w:r>
      <w:r w:rsidRPr="00A7495E">
        <w:rPr>
          <w:rFonts w:ascii="Book Antiqua" w:hAnsi="Book Antiqua" w:cs="&amp;quot"/>
          <w:b/>
          <w:i/>
          <w:iCs/>
          <w:sz w:val="24"/>
          <w:szCs w:val="24"/>
        </w:rPr>
        <w:fldChar w:fldCharType="begin"/>
      </w:r>
      <w:r w:rsidRPr="00A7495E">
        <w:rPr>
          <w:rFonts w:ascii="Book Antiqua" w:hAnsi="Book Antiqua" w:cs="&amp;quot"/>
          <w:b/>
          <w:sz w:val="24"/>
          <w:szCs w:val="24"/>
        </w:rPr>
        <w:instrText xml:space="preserve"> SEQ Tabla \* ARABIC </w:instrText>
      </w:r>
      <w:r w:rsidRPr="00A7495E">
        <w:rPr>
          <w:rFonts w:ascii="Book Antiqua" w:hAnsi="Book Antiqua" w:cs="&amp;quot"/>
          <w:b/>
          <w:i/>
          <w:iCs/>
          <w:sz w:val="24"/>
          <w:szCs w:val="24"/>
        </w:rPr>
        <w:fldChar w:fldCharType="separate"/>
      </w:r>
      <w:r w:rsidR="000A3123">
        <w:rPr>
          <w:rFonts w:ascii="Book Antiqua" w:hAnsi="Book Antiqua" w:cs="&amp;quot"/>
          <w:b/>
          <w:noProof/>
          <w:sz w:val="24"/>
          <w:szCs w:val="24"/>
        </w:rPr>
        <w:t>35</w:t>
      </w:r>
      <w:r w:rsidRPr="00A7495E">
        <w:rPr>
          <w:rFonts w:ascii="Book Antiqua" w:hAnsi="Book Antiqua" w:cs="&amp;quot"/>
          <w:b/>
          <w:i/>
          <w:iCs/>
          <w:sz w:val="24"/>
          <w:szCs w:val="24"/>
        </w:rPr>
        <w:fldChar w:fldCharType="end"/>
      </w:r>
      <w:r>
        <w:rPr>
          <w:rFonts w:ascii="Book Antiqua" w:hAnsi="Book Antiqua" w:cs="&amp;quot"/>
          <w:b/>
          <w:i/>
          <w:iCs/>
          <w:sz w:val="24"/>
          <w:szCs w:val="24"/>
        </w:rPr>
        <w:t xml:space="preserve"> </w:t>
      </w:r>
      <w:r w:rsidRPr="00E75258">
        <w:rPr>
          <w:rFonts w:ascii="Book Antiqua" w:hAnsi="Book Antiqua"/>
          <w:b/>
          <w:bCs/>
          <w:sz w:val="24"/>
          <w:szCs w:val="24"/>
          <w:lang w:eastAsia="ko-KR"/>
        </w:rPr>
        <w:t xml:space="preserve"> </w:t>
      </w:r>
      <w:r w:rsidR="00555E82" w:rsidRPr="00855617">
        <w:rPr>
          <w:rFonts w:ascii="Book Antiqua" w:hAnsi="Book Antiqua" w:cs="&amp;quot"/>
          <w:b/>
          <w:sz w:val="24"/>
          <w:szCs w:val="24"/>
        </w:rPr>
        <w:t xml:space="preserve"> </w:t>
      </w:r>
      <w:r w:rsidR="00555E82" w:rsidRPr="00855617">
        <w:rPr>
          <w:rFonts w:ascii="Book Antiqua" w:eastAsia="Wingdings" w:hAnsi="Book Antiqua"/>
          <w:b/>
          <w:bCs/>
          <w:sz w:val="24"/>
          <w:szCs w:val="24"/>
          <w:lang w:eastAsia="ko-KR"/>
        </w:rPr>
        <w:t xml:space="preserve">Detalle de Indicadores y valores mensuales propuestos </w:t>
      </w:r>
      <w:r w:rsidR="000E767F">
        <w:rPr>
          <w:rFonts w:ascii="Book Antiqua" w:eastAsia="Wingdings" w:hAnsi="Book Antiqua"/>
          <w:b/>
          <w:bCs/>
          <w:sz w:val="24"/>
          <w:szCs w:val="24"/>
          <w:lang w:eastAsia="ko-KR"/>
        </w:rPr>
        <w:t xml:space="preserve">a partir de julio del </w:t>
      </w:r>
      <w:r w:rsidR="00555E82" w:rsidRPr="00855617">
        <w:rPr>
          <w:rFonts w:ascii="Book Antiqua" w:eastAsia="Wingdings" w:hAnsi="Book Antiqua"/>
          <w:b/>
          <w:bCs/>
          <w:sz w:val="24"/>
          <w:szCs w:val="24"/>
          <w:lang w:eastAsia="ko-KR"/>
        </w:rPr>
        <w:t>2023 establecidas por las oficinas responsables de labores operativas</w:t>
      </w:r>
      <w:bookmarkEnd w:id="123"/>
      <w:r w:rsidR="00555E82" w:rsidRPr="00855617">
        <w:rPr>
          <w:rFonts w:ascii="Book Antiqua" w:eastAsia="Wingdings" w:hAnsi="Book Antiqua"/>
          <w:b/>
          <w:bCs/>
          <w:sz w:val="24"/>
          <w:szCs w:val="24"/>
          <w:lang w:eastAsia="ko-KR"/>
        </w:rPr>
        <w:t>.</w:t>
      </w:r>
      <w:bookmarkEnd w:id="124"/>
    </w:p>
    <w:tbl>
      <w:tblPr>
        <w:tblW w:w="5875" w:type="pct"/>
        <w:jc w:val="center"/>
        <w:tblCellMar>
          <w:left w:w="0" w:type="dxa"/>
          <w:right w:w="0" w:type="dxa"/>
        </w:tblCellMar>
        <w:tblLook w:val="04A0" w:firstRow="1" w:lastRow="0" w:firstColumn="1" w:lastColumn="0" w:noHBand="0" w:noVBand="1"/>
      </w:tblPr>
      <w:tblGrid>
        <w:gridCol w:w="1130"/>
        <w:gridCol w:w="920"/>
        <w:gridCol w:w="1715"/>
        <w:gridCol w:w="2054"/>
        <w:gridCol w:w="817"/>
        <w:gridCol w:w="1108"/>
        <w:gridCol w:w="2709"/>
        <w:gridCol w:w="16"/>
      </w:tblGrid>
      <w:tr w:rsidR="000E767F" w:rsidRPr="000E767F" w14:paraId="28326720" w14:textId="77777777" w:rsidTr="000E767F">
        <w:trPr>
          <w:gridAfter w:val="1"/>
          <w:wAfter w:w="8" w:type="pct"/>
          <w:trHeight w:val="450"/>
          <w:tblHeader/>
          <w:jc w:val="center"/>
        </w:trPr>
        <w:tc>
          <w:tcPr>
            <w:tcW w:w="540" w:type="pct"/>
            <w:vMerge w:val="restart"/>
            <w:tcBorders>
              <w:top w:val="single" w:sz="8" w:space="0" w:color="auto"/>
              <w:left w:val="single" w:sz="8" w:space="0" w:color="auto"/>
              <w:bottom w:val="single" w:sz="8" w:space="0" w:color="auto"/>
              <w:right w:val="single" w:sz="8" w:space="0" w:color="auto"/>
            </w:tcBorders>
            <w:shd w:val="clear" w:color="auto" w:fill="44546A"/>
            <w:tcMar>
              <w:top w:w="15" w:type="dxa"/>
              <w:left w:w="70" w:type="dxa"/>
              <w:bottom w:w="15" w:type="dxa"/>
              <w:right w:w="70" w:type="dxa"/>
            </w:tcMar>
            <w:vAlign w:val="center"/>
            <w:hideMark/>
          </w:tcPr>
          <w:p w14:paraId="1F893D81" w14:textId="77777777" w:rsidR="000E767F" w:rsidRPr="000E767F" w:rsidRDefault="000E767F">
            <w:pPr>
              <w:jc w:val="center"/>
              <w:rPr>
                <w:rFonts w:ascii="Book Antiqua" w:hAnsi="Book Antiqua"/>
                <w:b/>
                <w:bCs/>
                <w:color w:val="FFFFFF"/>
                <w:sz w:val="14"/>
                <w:szCs w:val="14"/>
                <w:lang w:eastAsia="es-CR"/>
              </w:rPr>
            </w:pPr>
            <w:r w:rsidRPr="000E767F">
              <w:rPr>
                <w:rFonts w:ascii="Book Antiqua" w:hAnsi="Book Antiqua"/>
                <w:b/>
                <w:bCs/>
                <w:color w:val="FFFFFF"/>
                <w:sz w:val="14"/>
                <w:szCs w:val="14"/>
                <w:lang w:eastAsia="es-CR"/>
              </w:rPr>
              <w:t>Oficina líder</w:t>
            </w:r>
          </w:p>
        </w:tc>
        <w:tc>
          <w:tcPr>
            <w:tcW w:w="440" w:type="pct"/>
            <w:vMerge w:val="restart"/>
            <w:tcBorders>
              <w:top w:val="single" w:sz="8" w:space="0" w:color="auto"/>
              <w:left w:val="nil"/>
              <w:bottom w:val="single" w:sz="8" w:space="0" w:color="auto"/>
              <w:right w:val="single" w:sz="8" w:space="0" w:color="auto"/>
            </w:tcBorders>
            <w:shd w:val="clear" w:color="auto" w:fill="44546A"/>
            <w:tcMar>
              <w:top w:w="15" w:type="dxa"/>
              <w:left w:w="70" w:type="dxa"/>
              <w:bottom w:w="15" w:type="dxa"/>
              <w:right w:w="70" w:type="dxa"/>
            </w:tcMar>
            <w:vAlign w:val="center"/>
            <w:hideMark/>
          </w:tcPr>
          <w:p w14:paraId="6F093289" w14:textId="77777777" w:rsidR="000E767F" w:rsidRPr="000E767F" w:rsidRDefault="000E767F">
            <w:pPr>
              <w:jc w:val="center"/>
              <w:rPr>
                <w:rFonts w:ascii="Book Antiqua" w:hAnsi="Book Antiqua"/>
                <w:b/>
                <w:bCs/>
                <w:color w:val="FFFFFF"/>
                <w:sz w:val="14"/>
                <w:szCs w:val="14"/>
                <w:lang w:eastAsia="es-CR"/>
              </w:rPr>
            </w:pPr>
            <w:r w:rsidRPr="000E767F">
              <w:rPr>
                <w:rFonts w:ascii="Book Antiqua" w:hAnsi="Book Antiqua"/>
                <w:b/>
                <w:bCs/>
                <w:color w:val="FFFFFF"/>
                <w:sz w:val="14"/>
                <w:szCs w:val="14"/>
                <w:lang w:eastAsia="es-CR"/>
              </w:rPr>
              <w:t>Código proyecto</w:t>
            </w:r>
          </w:p>
        </w:tc>
        <w:tc>
          <w:tcPr>
            <w:tcW w:w="819" w:type="pct"/>
            <w:vMerge w:val="restart"/>
            <w:tcBorders>
              <w:top w:val="single" w:sz="8" w:space="0" w:color="auto"/>
              <w:left w:val="nil"/>
              <w:bottom w:val="single" w:sz="8" w:space="0" w:color="auto"/>
              <w:right w:val="single" w:sz="8" w:space="0" w:color="auto"/>
            </w:tcBorders>
            <w:shd w:val="clear" w:color="auto" w:fill="44546A"/>
            <w:tcMar>
              <w:top w:w="15" w:type="dxa"/>
              <w:left w:w="70" w:type="dxa"/>
              <w:bottom w:w="15" w:type="dxa"/>
              <w:right w:w="70" w:type="dxa"/>
            </w:tcMar>
            <w:vAlign w:val="center"/>
            <w:hideMark/>
          </w:tcPr>
          <w:p w14:paraId="4EE4A635" w14:textId="77777777" w:rsidR="000E767F" w:rsidRPr="000E767F" w:rsidRDefault="000E767F">
            <w:pPr>
              <w:jc w:val="center"/>
              <w:rPr>
                <w:rFonts w:ascii="Book Antiqua" w:hAnsi="Book Antiqua"/>
                <w:b/>
                <w:bCs/>
                <w:color w:val="FFFFFF"/>
                <w:sz w:val="14"/>
                <w:szCs w:val="14"/>
                <w:lang w:eastAsia="es-CR"/>
              </w:rPr>
            </w:pPr>
            <w:r w:rsidRPr="000E767F">
              <w:rPr>
                <w:rFonts w:ascii="Book Antiqua" w:hAnsi="Book Antiqua"/>
                <w:b/>
                <w:bCs/>
                <w:color w:val="FFFFFF"/>
                <w:sz w:val="14"/>
                <w:szCs w:val="14"/>
                <w:lang w:eastAsia="es-CR"/>
              </w:rPr>
              <w:t>Nombre del Proyecto</w:t>
            </w:r>
          </w:p>
        </w:tc>
        <w:tc>
          <w:tcPr>
            <w:tcW w:w="981" w:type="pct"/>
            <w:vMerge w:val="restart"/>
            <w:tcBorders>
              <w:top w:val="single" w:sz="8" w:space="0" w:color="auto"/>
              <w:left w:val="nil"/>
              <w:bottom w:val="single" w:sz="8" w:space="0" w:color="auto"/>
              <w:right w:val="single" w:sz="8" w:space="0" w:color="auto"/>
            </w:tcBorders>
            <w:shd w:val="clear" w:color="auto" w:fill="44546A"/>
            <w:tcMar>
              <w:top w:w="15" w:type="dxa"/>
              <w:left w:w="70" w:type="dxa"/>
              <w:bottom w:w="15" w:type="dxa"/>
              <w:right w:w="70" w:type="dxa"/>
            </w:tcMar>
            <w:vAlign w:val="center"/>
            <w:hideMark/>
          </w:tcPr>
          <w:p w14:paraId="34C92395" w14:textId="77777777" w:rsidR="000E767F" w:rsidRPr="000E767F" w:rsidRDefault="000E767F">
            <w:pPr>
              <w:jc w:val="center"/>
              <w:rPr>
                <w:rFonts w:ascii="Book Antiqua" w:hAnsi="Book Antiqua"/>
                <w:b/>
                <w:bCs/>
                <w:color w:val="FFFFFF"/>
                <w:sz w:val="14"/>
                <w:szCs w:val="14"/>
                <w:lang w:eastAsia="es-CR"/>
              </w:rPr>
            </w:pPr>
            <w:r w:rsidRPr="000E767F">
              <w:rPr>
                <w:rFonts w:ascii="Book Antiqua" w:hAnsi="Book Antiqua"/>
                <w:b/>
                <w:bCs/>
                <w:color w:val="FFFFFF"/>
                <w:sz w:val="14"/>
                <w:szCs w:val="14"/>
                <w:lang w:eastAsia="es-CR"/>
              </w:rPr>
              <w:t>Indicadores</w:t>
            </w:r>
          </w:p>
        </w:tc>
        <w:tc>
          <w:tcPr>
            <w:tcW w:w="390" w:type="pct"/>
            <w:vMerge w:val="restart"/>
            <w:tcBorders>
              <w:top w:val="single" w:sz="8" w:space="0" w:color="auto"/>
              <w:left w:val="nil"/>
              <w:bottom w:val="single" w:sz="8" w:space="0" w:color="auto"/>
              <w:right w:val="single" w:sz="8" w:space="0" w:color="auto"/>
            </w:tcBorders>
            <w:shd w:val="clear" w:color="auto" w:fill="44546A"/>
            <w:tcMar>
              <w:top w:w="15" w:type="dxa"/>
              <w:left w:w="70" w:type="dxa"/>
              <w:bottom w:w="15" w:type="dxa"/>
              <w:right w:w="70" w:type="dxa"/>
            </w:tcMar>
            <w:vAlign w:val="center"/>
            <w:hideMark/>
          </w:tcPr>
          <w:p w14:paraId="2366ED49" w14:textId="77777777" w:rsidR="000E767F" w:rsidRPr="000E767F" w:rsidRDefault="000E767F">
            <w:pPr>
              <w:jc w:val="center"/>
              <w:rPr>
                <w:rFonts w:ascii="Book Antiqua" w:hAnsi="Book Antiqua"/>
                <w:b/>
                <w:bCs/>
                <w:color w:val="FFFFFF"/>
                <w:sz w:val="14"/>
                <w:szCs w:val="14"/>
                <w:lang w:eastAsia="es-CR"/>
              </w:rPr>
            </w:pPr>
            <w:r w:rsidRPr="000E767F">
              <w:rPr>
                <w:rFonts w:ascii="Book Antiqua" w:hAnsi="Book Antiqua"/>
                <w:b/>
                <w:bCs/>
                <w:color w:val="FFFFFF"/>
                <w:sz w:val="14"/>
                <w:szCs w:val="14"/>
                <w:lang w:eastAsia="es-CR"/>
              </w:rPr>
              <w:t xml:space="preserve">Valor mensual actual </w:t>
            </w:r>
          </w:p>
        </w:tc>
        <w:tc>
          <w:tcPr>
            <w:tcW w:w="529" w:type="pct"/>
            <w:vMerge w:val="restart"/>
            <w:tcBorders>
              <w:top w:val="single" w:sz="8" w:space="0" w:color="auto"/>
              <w:left w:val="nil"/>
              <w:bottom w:val="single" w:sz="8" w:space="0" w:color="auto"/>
              <w:right w:val="single" w:sz="8" w:space="0" w:color="auto"/>
            </w:tcBorders>
            <w:shd w:val="clear" w:color="auto" w:fill="44546A"/>
            <w:tcMar>
              <w:top w:w="15" w:type="dxa"/>
              <w:left w:w="70" w:type="dxa"/>
              <w:bottom w:w="15" w:type="dxa"/>
              <w:right w:w="70" w:type="dxa"/>
            </w:tcMar>
            <w:vAlign w:val="center"/>
            <w:hideMark/>
          </w:tcPr>
          <w:p w14:paraId="3EA9E169" w14:textId="15976D26" w:rsidR="000E767F" w:rsidRPr="000E767F" w:rsidRDefault="000E767F">
            <w:pPr>
              <w:jc w:val="center"/>
              <w:rPr>
                <w:rFonts w:ascii="Book Antiqua" w:hAnsi="Book Antiqua"/>
                <w:b/>
                <w:bCs/>
                <w:color w:val="FFFFFF"/>
                <w:sz w:val="14"/>
                <w:szCs w:val="14"/>
                <w:lang w:eastAsia="es-CR"/>
              </w:rPr>
            </w:pPr>
            <w:r w:rsidRPr="000E767F">
              <w:rPr>
                <w:rFonts w:ascii="Book Antiqua" w:hAnsi="Book Antiqua"/>
                <w:b/>
                <w:bCs/>
                <w:color w:val="FFFFFF"/>
                <w:sz w:val="14"/>
                <w:szCs w:val="14"/>
                <w:lang w:eastAsia="es-CR"/>
              </w:rPr>
              <w:t>Valor mensual propuesto para julio en adelante</w:t>
            </w:r>
          </w:p>
        </w:tc>
        <w:tc>
          <w:tcPr>
            <w:tcW w:w="1294" w:type="pct"/>
            <w:vMerge w:val="restart"/>
            <w:tcBorders>
              <w:top w:val="single" w:sz="8" w:space="0" w:color="auto"/>
              <w:left w:val="nil"/>
              <w:bottom w:val="single" w:sz="8" w:space="0" w:color="auto"/>
              <w:right w:val="single" w:sz="8" w:space="0" w:color="auto"/>
            </w:tcBorders>
            <w:shd w:val="clear" w:color="auto" w:fill="44546A"/>
            <w:tcMar>
              <w:top w:w="15" w:type="dxa"/>
              <w:left w:w="70" w:type="dxa"/>
              <w:bottom w:w="15" w:type="dxa"/>
              <w:right w:w="70" w:type="dxa"/>
            </w:tcMar>
            <w:vAlign w:val="center"/>
            <w:hideMark/>
          </w:tcPr>
          <w:p w14:paraId="16395576" w14:textId="77777777" w:rsidR="000E767F" w:rsidRPr="000E767F" w:rsidRDefault="000E767F">
            <w:pPr>
              <w:jc w:val="center"/>
              <w:rPr>
                <w:rFonts w:ascii="Book Antiqua" w:hAnsi="Book Antiqua"/>
                <w:b/>
                <w:bCs/>
                <w:color w:val="FFFFFF"/>
                <w:sz w:val="14"/>
                <w:szCs w:val="14"/>
                <w:lang w:eastAsia="es-CR"/>
              </w:rPr>
            </w:pPr>
            <w:r w:rsidRPr="000E767F">
              <w:rPr>
                <w:rFonts w:ascii="Book Antiqua" w:hAnsi="Book Antiqua"/>
                <w:b/>
                <w:bCs/>
                <w:color w:val="FFFFFF"/>
                <w:sz w:val="14"/>
                <w:szCs w:val="14"/>
                <w:lang w:eastAsia="es-CR"/>
              </w:rPr>
              <w:t>Considera necesario realizar una modificación al valor propuesto o ajuste a un indicador existente o un nuevo indicador?</w:t>
            </w:r>
          </w:p>
        </w:tc>
      </w:tr>
      <w:tr w:rsidR="000E767F" w:rsidRPr="000E767F" w14:paraId="775F0388" w14:textId="77777777" w:rsidTr="000E767F">
        <w:trPr>
          <w:trHeight w:val="540"/>
          <w:jc w:val="center"/>
        </w:trPr>
        <w:tc>
          <w:tcPr>
            <w:tcW w:w="540" w:type="pct"/>
            <w:vMerge/>
            <w:tcBorders>
              <w:top w:val="single" w:sz="8" w:space="0" w:color="auto"/>
              <w:left w:val="single" w:sz="8" w:space="0" w:color="auto"/>
              <w:bottom w:val="single" w:sz="8" w:space="0" w:color="auto"/>
              <w:right w:val="single" w:sz="8" w:space="0" w:color="auto"/>
            </w:tcBorders>
            <w:vAlign w:val="center"/>
            <w:hideMark/>
          </w:tcPr>
          <w:p w14:paraId="30AB1137" w14:textId="77777777" w:rsidR="000E767F" w:rsidRPr="000E767F" w:rsidRDefault="000E767F">
            <w:pPr>
              <w:rPr>
                <w:rFonts w:ascii="Book Antiqua" w:hAnsi="Book Antiqua" w:cs="Calibri"/>
                <w:b/>
                <w:bCs/>
                <w:color w:val="FFFFFF"/>
                <w:sz w:val="14"/>
                <w:szCs w:val="14"/>
                <w:lang w:eastAsia="es-CR"/>
                <w14:ligatures w14:val="standardContextual"/>
              </w:rPr>
            </w:pPr>
          </w:p>
        </w:tc>
        <w:tc>
          <w:tcPr>
            <w:tcW w:w="440" w:type="pct"/>
            <w:vMerge/>
            <w:tcBorders>
              <w:top w:val="single" w:sz="8" w:space="0" w:color="auto"/>
              <w:left w:val="nil"/>
              <w:bottom w:val="single" w:sz="8" w:space="0" w:color="auto"/>
              <w:right w:val="single" w:sz="8" w:space="0" w:color="auto"/>
            </w:tcBorders>
            <w:vAlign w:val="center"/>
            <w:hideMark/>
          </w:tcPr>
          <w:p w14:paraId="2DC0359C" w14:textId="77777777" w:rsidR="000E767F" w:rsidRPr="000E767F" w:rsidRDefault="000E767F">
            <w:pPr>
              <w:rPr>
                <w:rFonts w:ascii="Book Antiqua" w:hAnsi="Book Antiqua" w:cs="Calibri"/>
                <w:b/>
                <w:bCs/>
                <w:color w:val="FFFFFF"/>
                <w:sz w:val="14"/>
                <w:szCs w:val="14"/>
                <w:lang w:eastAsia="es-CR"/>
                <w14:ligatures w14:val="standardContextual"/>
              </w:rPr>
            </w:pPr>
          </w:p>
        </w:tc>
        <w:tc>
          <w:tcPr>
            <w:tcW w:w="819" w:type="pct"/>
            <w:vMerge/>
            <w:tcBorders>
              <w:top w:val="single" w:sz="8" w:space="0" w:color="auto"/>
              <w:left w:val="nil"/>
              <w:bottom w:val="single" w:sz="8" w:space="0" w:color="auto"/>
              <w:right w:val="single" w:sz="8" w:space="0" w:color="auto"/>
            </w:tcBorders>
            <w:vAlign w:val="center"/>
            <w:hideMark/>
          </w:tcPr>
          <w:p w14:paraId="41D57837" w14:textId="77777777" w:rsidR="000E767F" w:rsidRPr="000E767F" w:rsidRDefault="000E767F">
            <w:pPr>
              <w:rPr>
                <w:rFonts w:ascii="Book Antiqua" w:hAnsi="Book Antiqua" w:cs="Calibri"/>
                <w:b/>
                <w:bCs/>
                <w:color w:val="FFFFFF"/>
                <w:sz w:val="14"/>
                <w:szCs w:val="14"/>
                <w:lang w:eastAsia="es-CR"/>
                <w14:ligatures w14:val="standardContextual"/>
              </w:rPr>
            </w:pPr>
          </w:p>
        </w:tc>
        <w:tc>
          <w:tcPr>
            <w:tcW w:w="981" w:type="pct"/>
            <w:vMerge/>
            <w:tcBorders>
              <w:top w:val="single" w:sz="8" w:space="0" w:color="auto"/>
              <w:left w:val="nil"/>
              <w:bottom w:val="single" w:sz="8" w:space="0" w:color="auto"/>
              <w:right w:val="single" w:sz="8" w:space="0" w:color="auto"/>
            </w:tcBorders>
            <w:vAlign w:val="center"/>
            <w:hideMark/>
          </w:tcPr>
          <w:p w14:paraId="3571A7F4" w14:textId="77777777" w:rsidR="000E767F" w:rsidRPr="000E767F" w:rsidRDefault="000E767F">
            <w:pPr>
              <w:rPr>
                <w:rFonts w:ascii="Book Antiqua" w:hAnsi="Book Antiqua" w:cs="Calibri"/>
                <w:b/>
                <w:bCs/>
                <w:color w:val="FFFFFF"/>
                <w:sz w:val="14"/>
                <w:szCs w:val="14"/>
                <w:lang w:eastAsia="es-CR"/>
                <w14:ligatures w14:val="standardContextual"/>
              </w:rPr>
            </w:pPr>
          </w:p>
        </w:tc>
        <w:tc>
          <w:tcPr>
            <w:tcW w:w="390" w:type="pct"/>
            <w:vMerge/>
            <w:tcBorders>
              <w:top w:val="single" w:sz="8" w:space="0" w:color="auto"/>
              <w:left w:val="nil"/>
              <w:bottom w:val="single" w:sz="8" w:space="0" w:color="auto"/>
              <w:right w:val="single" w:sz="8" w:space="0" w:color="auto"/>
            </w:tcBorders>
            <w:vAlign w:val="center"/>
            <w:hideMark/>
          </w:tcPr>
          <w:p w14:paraId="64450A8A" w14:textId="77777777" w:rsidR="000E767F" w:rsidRPr="000E767F" w:rsidRDefault="000E767F">
            <w:pPr>
              <w:rPr>
                <w:rFonts w:ascii="Book Antiqua" w:hAnsi="Book Antiqua" w:cs="Calibri"/>
                <w:b/>
                <w:bCs/>
                <w:color w:val="FFFFFF"/>
                <w:sz w:val="14"/>
                <w:szCs w:val="14"/>
                <w:lang w:eastAsia="es-CR"/>
                <w14:ligatures w14:val="standardContextual"/>
              </w:rPr>
            </w:pPr>
          </w:p>
        </w:tc>
        <w:tc>
          <w:tcPr>
            <w:tcW w:w="529" w:type="pct"/>
            <w:vMerge/>
            <w:tcBorders>
              <w:top w:val="single" w:sz="8" w:space="0" w:color="auto"/>
              <w:left w:val="nil"/>
              <w:bottom w:val="single" w:sz="8" w:space="0" w:color="auto"/>
              <w:right w:val="single" w:sz="8" w:space="0" w:color="auto"/>
            </w:tcBorders>
            <w:vAlign w:val="center"/>
            <w:hideMark/>
          </w:tcPr>
          <w:p w14:paraId="47B2343D" w14:textId="77777777" w:rsidR="000E767F" w:rsidRPr="000E767F" w:rsidRDefault="000E767F">
            <w:pPr>
              <w:rPr>
                <w:rFonts w:ascii="Book Antiqua" w:hAnsi="Book Antiqua" w:cs="Calibri"/>
                <w:b/>
                <w:bCs/>
                <w:color w:val="FFFFFF"/>
                <w:sz w:val="14"/>
                <w:szCs w:val="14"/>
                <w:lang w:eastAsia="es-CR"/>
                <w14:ligatures w14:val="standardContextual"/>
              </w:rPr>
            </w:pPr>
          </w:p>
        </w:tc>
        <w:tc>
          <w:tcPr>
            <w:tcW w:w="1294" w:type="pct"/>
            <w:vMerge/>
            <w:tcBorders>
              <w:top w:val="single" w:sz="8" w:space="0" w:color="auto"/>
              <w:left w:val="nil"/>
              <w:bottom w:val="single" w:sz="8" w:space="0" w:color="auto"/>
              <w:right w:val="single" w:sz="8" w:space="0" w:color="auto"/>
            </w:tcBorders>
            <w:vAlign w:val="center"/>
            <w:hideMark/>
          </w:tcPr>
          <w:p w14:paraId="1A8AD56A" w14:textId="77777777" w:rsidR="000E767F" w:rsidRPr="000E767F" w:rsidRDefault="000E767F">
            <w:pPr>
              <w:rPr>
                <w:rFonts w:ascii="Book Antiqua" w:hAnsi="Book Antiqua" w:cs="Calibri"/>
                <w:b/>
                <w:bCs/>
                <w:color w:val="FFFFFF"/>
                <w:sz w:val="14"/>
                <w:szCs w:val="14"/>
                <w:lang w:eastAsia="es-CR"/>
                <w14:ligatures w14:val="standardContextual"/>
              </w:rPr>
            </w:pPr>
          </w:p>
        </w:tc>
        <w:tc>
          <w:tcPr>
            <w:tcW w:w="8" w:type="pct"/>
            <w:vAlign w:val="center"/>
            <w:hideMark/>
          </w:tcPr>
          <w:p w14:paraId="7584813D" w14:textId="77777777" w:rsidR="000E767F" w:rsidRPr="000E767F" w:rsidRDefault="000E767F">
            <w:pPr>
              <w:rPr>
                <w:rFonts w:ascii="Book Antiqua" w:eastAsia="Times New Roman" w:hAnsi="Book Antiqua" w:cs="Times New Roman"/>
                <w:sz w:val="14"/>
                <w:szCs w:val="14"/>
                <w:lang w:eastAsia="es-CR"/>
              </w:rPr>
            </w:pPr>
          </w:p>
        </w:tc>
      </w:tr>
      <w:tr w:rsidR="000E767F" w:rsidRPr="000E767F" w14:paraId="544C1BF5" w14:textId="77777777" w:rsidTr="000E767F">
        <w:trPr>
          <w:trHeight w:val="1636"/>
          <w:jc w:val="center"/>
        </w:trPr>
        <w:tc>
          <w:tcPr>
            <w:tcW w:w="540" w:type="pct"/>
            <w:vMerge w:val="restart"/>
            <w:tcBorders>
              <w:top w:val="nil"/>
              <w:left w:val="single" w:sz="8" w:space="0" w:color="auto"/>
              <w:bottom w:val="single" w:sz="8" w:space="0" w:color="auto"/>
              <w:right w:val="single" w:sz="8" w:space="0" w:color="auto"/>
            </w:tcBorders>
            <w:shd w:val="clear" w:color="auto" w:fill="FFFFFF"/>
            <w:tcMar>
              <w:top w:w="15" w:type="dxa"/>
              <w:left w:w="70" w:type="dxa"/>
              <w:bottom w:w="15" w:type="dxa"/>
              <w:right w:w="70" w:type="dxa"/>
            </w:tcMar>
            <w:vAlign w:val="center"/>
            <w:hideMark/>
          </w:tcPr>
          <w:p w14:paraId="13177AB6" w14:textId="77777777" w:rsidR="000E767F" w:rsidRPr="000E767F" w:rsidRDefault="000E767F">
            <w:pPr>
              <w:jc w:val="center"/>
              <w:rPr>
                <w:rFonts w:ascii="Book Antiqua" w:hAnsi="Book Antiqua" w:cs="Calibri"/>
                <w:color w:val="000000"/>
                <w:sz w:val="14"/>
                <w:szCs w:val="14"/>
                <w:lang w:eastAsia="es-CR"/>
                <w14:ligatures w14:val="standardContextual"/>
              </w:rPr>
            </w:pPr>
            <w:r w:rsidRPr="000E767F">
              <w:rPr>
                <w:rFonts w:ascii="Book Antiqua" w:hAnsi="Book Antiqua"/>
                <w:color w:val="000000"/>
                <w:sz w:val="14"/>
                <w:szCs w:val="14"/>
                <w:lang w:eastAsia="es-CR"/>
              </w:rPr>
              <w:t>Organismo de Investigación Judicial</w:t>
            </w:r>
          </w:p>
        </w:tc>
        <w:tc>
          <w:tcPr>
            <w:tcW w:w="440"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06CB46CD"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1167-OIJ-P30</w:t>
            </w:r>
          </w:p>
        </w:tc>
        <w:tc>
          <w:tcPr>
            <w:tcW w:w="819"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3F67E02B"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Plan de trabajo para el traslado de Personas Fallecidas</w:t>
            </w:r>
          </w:p>
        </w:tc>
        <w:tc>
          <w:tcPr>
            <w:tcW w:w="981"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0F0FA638" w14:textId="77777777" w:rsidR="000E767F" w:rsidRPr="000E767F" w:rsidRDefault="000E767F">
            <w:pPr>
              <w:jc w:val="both"/>
              <w:rPr>
                <w:rFonts w:ascii="Book Antiqua" w:hAnsi="Book Antiqua"/>
                <w:color w:val="000000"/>
                <w:sz w:val="14"/>
                <w:szCs w:val="14"/>
                <w:lang w:eastAsia="es-CR"/>
              </w:rPr>
            </w:pPr>
            <w:r w:rsidRPr="000E767F">
              <w:rPr>
                <w:rFonts w:ascii="Book Antiqua" w:hAnsi="Book Antiqua"/>
                <w:color w:val="000000"/>
                <w:sz w:val="14"/>
                <w:szCs w:val="14"/>
                <w:lang w:eastAsia="es-CR"/>
              </w:rPr>
              <w:t>Gestiones Administrativas</w:t>
            </w:r>
          </w:p>
        </w:tc>
        <w:tc>
          <w:tcPr>
            <w:tcW w:w="390"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66686897"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500</w:t>
            </w:r>
          </w:p>
        </w:tc>
        <w:tc>
          <w:tcPr>
            <w:tcW w:w="529"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4E81562D"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850</w:t>
            </w:r>
          </w:p>
        </w:tc>
        <w:tc>
          <w:tcPr>
            <w:tcW w:w="1294" w:type="pct"/>
            <w:tcBorders>
              <w:top w:val="nil"/>
              <w:left w:val="nil"/>
              <w:bottom w:val="single" w:sz="8" w:space="0" w:color="auto"/>
              <w:right w:val="single" w:sz="8" w:space="0" w:color="auto"/>
            </w:tcBorders>
            <w:tcMar>
              <w:top w:w="15" w:type="dxa"/>
              <w:left w:w="70" w:type="dxa"/>
              <w:bottom w:w="15" w:type="dxa"/>
              <w:right w:w="70" w:type="dxa"/>
            </w:tcMar>
            <w:vAlign w:val="bottom"/>
            <w:hideMark/>
          </w:tcPr>
          <w:p w14:paraId="52D3D6B6" w14:textId="77777777" w:rsidR="000E767F" w:rsidRPr="000E767F" w:rsidRDefault="000E767F">
            <w:pPr>
              <w:jc w:val="both"/>
              <w:rPr>
                <w:rFonts w:ascii="Book Antiqua" w:hAnsi="Book Antiqua"/>
                <w:color w:val="000000"/>
                <w:sz w:val="14"/>
                <w:szCs w:val="14"/>
                <w:lang w:eastAsia="es-CR"/>
              </w:rPr>
            </w:pPr>
            <w:r w:rsidRPr="000E767F">
              <w:rPr>
                <w:rFonts w:ascii="Book Antiqua" w:hAnsi="Book Antiqua"/>
                <w:color w:val="000000"/>
                <w:sz w:val="14"/>
                <w:szCs w:val="14"/>
                <w:lang w:eastAsia="es-CR"/>
              </w:rPr>
              <w:t>Actualmente se tienen 500, se solicita aumentar a 850, debido a que todos los meses se supera en gran porcentaje el valor esperado, por lo que se planteará un cambio en el valor esperado, para que se ajuste a 850 gestiones administrativas al mes.</w:t>
            </w:r>
          </w:p>
        </w:tc>
        <w:tc>
          <w:tcPr>
            <w:tcW w:w="8" w:type="pct"/>
            <w:vAlign w:val="center"/>
            <w:hideMark/>
          </w:tcPr>
          <w:p w14:paraId="05060DCD" w14:textId="77777777" w:rsidR="000E767F" w:rsidRPr="000E767F" w:rsidRDefault="000E767F">
            <w:pPr>
              <w:rPr>
                <w:rFonts w:ascii="Book Antiqua" w:eastAsia="Times New Roman" w:hAnsi="Book Antiqua" w:cs="Times New Roman"/>
                <w:sz w:val="14"/>
                <w:szCs w:val="14"/>
                <w:lang w:eastAsia="es-CR"/>
              </w:rPr>
            </w:pPr>
          </w:p>
        </w:tc>
      </w:tr>
      <w:tr w:rsidR="000E767F" w:rsidRPr="000E767F" w14:paraId="7C2A42A3" w14:textId="77777777" w:rsidTr="00EF4E17">
        <w:trPr>
          <w:trHeight w:val="721"/>
          <w:jc w:val="center"/>
        </w:trPr>
        <w:tc>
          <w:tcPr>
            <w:tcW w:w="540" w:type="pct"/>
            <w:vMerge/>
            <w:tcBorders>
              <w:top w:val="nil"/>
              <w:left w:val="single" w:sz="8" w:space="0" w:color="auto"/>
              <w:bottom w:val="single" w:sz="8" w:space="0" w:color="auto"/>
              <w:right w:val="single" w:sz="8" w:space="0" w:color="auto"/>
            </w:tcBorders>
            <w:vAlign w:val="center"/>
            <w:hideMark/>
          </w:tcPr>
          <w:p w14:paraId="06D95F79" w14:textId="77777777" w:rsidR="000E767F" w:rsidRPr="000E767F" w:rsidRDefault="000E767F">
            <w:pPr>
              <w:rPr>
                <w:rFonts w:ascii="Book Antiqua" w:hAnsi="Book Antiqua" w:cs="Calibri"/>
                <w:color w:val="000000"/>
                <w:sz w:val="14"/>
                <w:szCs w:val="14"/>
                <w:lang w:eastAsia="es-CR"/>
                <w14:ligatures w14:val="standardContextual"/>
              </w:rPr>
            </w:pPr>
          </w:p>
        </w:tc>
        <w:tc>
          <w:tcPr>
            <w:tcW w:w="440" w:type="pct"/>
            <w:tcBorders>
              <w:top w:val="nil"/>
              <w:left w:val="nil"/>
              <w:bottom w:val="single" w:sz="8" w:space="0" w:color="auto"/>
              <w:right w:val="single" w:sz="8" w:space="0" w:color="auto"/>
            </w:tcBorders>
            <w:tcMar>
              <w:top w:w="15" w:type="dxa"/>
              <w:left w:w="70" w:type="dxa"/>
              <w:bottom w:w="15" w:type="dxa"/>
              <w:right w:w="70" w:type="dxa"/>
            </w:tcMar>
            <w:vAlign w:val="center"/>
            <w:hideMark/>
          </w:tcPr>
          <w:p w14:paraId="5C3053C9" w14:textId="77777777" w:rsidR="000E767F" w:rsidRPr="000E767F" w:rsidRDefault="000E767F">
            <w:pPr>
              <w:jc w:val="center"/>
              <w:rPr>
                <w:rFonts w:ascii="Book Antiqua" w:hAnsi="Book Antiqua" w:cs="Calibri"/>
                <w:b/>
                <w:bCs/>
                <w:color w:val="000000"/>
                <w:sz w:val="14"/>
                <w:szCs w:val="14"/>
                <w:lang w:eastAsia="es-CR"/>
                <w14:ligatures w14:val="standardContextual"/>
              </w:rPr>
            </w:pPr>
            <w:r w:rsidRPr="000E767F">
              <w:rPr>
                <w:rFonts w:ascii="Book Antiqua" w:hAnsi="Book Antiqua"/>
                <w:b/>
                <w:bCs/>
                <w:color w:val="000000"/>
                <w:sz w:val="14"/>
                <w:szCs w:val="14"/>
                <w:lang w:eastAsia="es-CR"/>
              </w:rPr>
              <w:t>1167-OIJ-P55</w:t>
            </w:r>
          </w:p>
        </w:tc>
        <w:tc>
          <w:tcPr>
            <w:tcW w:w="819"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450B3404"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Plan de descongestionamiento de la Sección de Transportes de OIJ</w:t>
            </w:r>
          </w:p>
        </w:tc>
        <w:tc>
          <w:tcPr>
            <w:tcW w:w="981"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59D749CE" w14:textId="77777777" w:rsidR="000E767F" w:rsidRPr="000E767F" w:rsidRDefault="000E767F">
            <w:pPr>
              <w:jc w:val="both"/>
              <w:rPr>
                <w:rFonts w:ascii="Book Antiqua" w:hAnsi="Book Antiqua"/>
                <w:color w:val="000000"/>
                <w:sz w:val="14"/>
                <w:szCs w:val="14"/>
                <w:lang w:eastAsia="es-CR"/>
              </w:rPr>
            </w:pPr>
            <w:r w:rsidRPr="000E767F">
              <w:rPr>
                <w:rFonts w:ascii="Book Antiqua" w:hAnsi="Book Antiqua"/>
                <w:color w:val="000000"/>
                <w:sz w:val="14"/>
                <w:szCs w:val="14"/>
                <w:lang w:eastAsia="es-CR"/>
              </w:rPr>
              <w:t>Cantidad de vehículos lavados</w:t>
            </w:r>
          </w:p>
        </w:tc>
        <w:tc>
          <w:tcPr>
            <w:tcW w:w="390"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33374133"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80</w:t>
            </w:r>
          </w:p>
        </w:tc>
        <w:tc>
          <w:tcPr>
            <w:tcW w:w="529" w:type="pct"/>
            <w:tcBorders>
              <w:top w:val="nil"/>
              <w:left w:val="nil"/>
              <w:bottom w:val="single" w:sz="8" w:space="0" w:color="auto"/>
              <w:right w:val="single" w:sz="8" w:space="0" w:color="auto"/>
            </w:tcBorders>
            <w:tcMar>
              <w:top w:w="15" w:type="dxa"/>
              <w:left w:w="70" w:type="dxa"/>
              <w:bottom w:w="15" w:type="dxa"/>
              <w:right w:w="70" w:type="dxa"/>
            </w:tcMar>
            <w:vAlign w:val="center"/>
            <w:hideMark/>
          </w:tcPr>
          <w:p w14:paraId="69CD0170"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200</w:t>
            </w:r>
          </w:p>
        </w:tc>
        <w:tc>
          <w:tcPr>
            <w:tcW w:w="1294" w:type="pct"/>
            <w:tcBorders>
              <w:top w:val="nil"/>
              <w:left w:val="nil"/>
              <w:bottom w:val="single" w:sz="8" w:space="0" w:color="auto"/>
              <w:right w:val="single" w:sz="8" w:space="0" w:color="auto"/>
            </w:tcBorders>
            <w:tcMar>
              <w:top w:w="15" w:type="dxa"/>
              <w:left w:w="70" w:type="dxa"/>
              <w:bottom w:w="15" w:type="dxa"/>
              <w:right w:w="70" w:type="dxa"/>
            </w:tcMar>
            <w:vAlign w:val="bottom"/>
            <w:hideMark/>
          </w:tcPr>
          <w:p w14:paraId="78BD2390" w14:textId="77777777" w:rsidR="000E767F" w:rsidRPr="000E767F" w:rsidRDefault="000E767F">
            <w:pPr>
              <w:jc w:val="both"/>
              <w:rPr>
                <w:rFonts w:ascii="Book Antiqua" w:hAnsi="Book Antiqua"/>
                <w:color w:val="000000"/>
                <w:sz w:val="14"/>
                <w:szCs w:val="14"/>
                <w:lang w:eastAsia="es-CR"/>
              </w:rPr>
            </w:pPr>
            <w:r w:rsidRPr="000E767F">
              <w:rPr>
                <w:rFonts w:ascii="Book Antiqua" w:hAnsi="Book Antiqua"/>
                <w:color w:val="000000"/>
                <w:sz w:val="14"/>
                <w:szCs w:val="14"/>
                <w:lang w:eastAsia="es-CR"/>
              </w:rPr>
              <w:t>Se solicita pasar de 80 a 200 vehículos lavados mensualmente, incluyendo lo realizado por ambos lavadores, ya que algunos vehículos deben lavarse en pareja.</w:t>
            </w:r>
          </w:p>
        </w:tc>
        <w:tc>
          <w:tcPr>
            <w:tcW w:w="8" w:type="pct"/>
            <w:vAlign w:val="center"/>
            <w:hideMark/>
          </w:tcPr>
          <w:p w14:paraId="25E5CE5B" w14:textId="77777777" w:rsidR="000E767F" w:rsidRPr="000E767F" w:rsidRDefault="000E767F">
            <w:pPr>
              <w:rPr>
                <w:rFonts w:ascii="Book Antiqua" w:eastAsia="Times New Roman" w:hAnsi="Book Antiqua" w:cs="Times New Roman"/>
                <w:sz w:val="14"/>
                <w:szCs w:val="14"/>
                <w:lang w:eastAsia="es-CR"/>
              </w:rPr>
            </w:pPr>
          </w:p>
        </w:tc>
      </w:tr>
      <w:tr w:rsidR="000E767F" w:rsidRPr="000E767F" w14:paraId="3D3A7DB7" w14:textId="77777777" w:rsidTr="000E767F">
        <w:trPr>
          <w:trHeight w:val="555"/>
          <w:jc w:val="center"/>
        </w:trPr>
        <w:tc>
          <w:tcPr>
            <w:tcW w:w="540" w:type="pct"/>
            <w:vMerge/>
            <w:tcBorders>
              <w:top w:val="nil"/>
              <w:left w:val="single" w:sz="8" w:space="0" w:color="auto"/>
              <w:bottom w:val="single" w:sz="8" w:space="0" w:color="auto"/>
              <w:right w:val="single" w:sz="8" w:space="0" w:color="auto"/>
            </w:tcBorders>
            <w:vAlign w:val="center"/>
            <w:hideMark/>
          </w:tcPr>
          <w:p w14:paraId="7C4B4F49" w14:textId="77777777" w:rsidR="000E767F" w:rsidRPr="000E767F" w:rsidRDefault="000E767F">
            <w:pPr>
              <w:rPr>
                <w:rFonts w:ascii="Book Antiqua" w:hAnsi="Book Antiqua" w:cs="Calibri"/>
                <w:color w:val="000000"/>
                <w:sz w:val="14"/>
                <w:szCs w:val="14"/>
                <w:lang w:eastAsia="es-CR"/>
                <w14:ligatures w14:val="standardContextual"/>
              </w:rPr>
            </w:pPr>
          </w:p>
        </w:tc>
        <w:tc>
          <w:tcPr>
            <w:tcW w:w="440" w:type="pct"/>
            <w:vMerge w:val="restart"/>
            <w:tcBorders>
              <w:top w:val="nil"/>
              <w:left w:val="nil"/>
              <w:bottom w:val="single" w:sz="8" w:space="0" w:color="auto"/>
              <w:right w:val="single" w:sz="8" w:space="0" w:color="auto"/>
            </w:tcBorders>
            <w:tcMar>
              <w:top w:w="15" w:type="dxa"/>
              <w:left w:w="70" w:type="dxa"/>
              <w:bottom w:w="15" w:type="dxa"/>
              <w:right w:w="70" w:type="dxa"/>
            </w:tcMar>
            <w:vAlign w:val="center"/>
            <w:hideMark/>
          </w:tcPr>
          <w:p w14:paraId="702DAF42" w14:textId="77777777" w:rsidR="000E767F" w:rsidRPr="000E767F" w:rsidRDefault="000E767F">
            <w:pPr>
              <w:jc w:val="center"/>
              <w:rPr>
                <w:rFonts w:ascii="Book Antiqua" w:hAnsi="Book Antiqua" w:cs="Calibri"/>
                <w:b/>
                <w:bCs/>
                <w:color w:val="000000"/>
                <w:sz w:val="14"/>
                <w:szCs w:val="14"/>
                <w:lang w:eastAsia="es-CR"/>
                <w14:ligatures w14:val="standardContextual"/>
              </w:rPr>
            </w:pPr>
            <w:r w:rsidRPr="000E767F">
              <w:rPr>
                <w:rFonts w:ascii="Book Antiqua" w:hAnsi="Book Antiqua"/>
                <w:b/>
                <w:bCs/>
                <w:color w:val="000000"/>
                <w:sz w:val="14"/>
                <w:szCs w:val="14"/>
                <w:lang w:eastAsia="es-CR"/>
              </w:rPr>
              <w:t>1167-OIJ-P27</w:t>
            </w:r>
          </w:p>
        </w:tc>
        <w:tc>
          <w:tcPr>
            <w:tcW w:w="819" w:type="pct"/>
            <w:vMerge w:val="restar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23A96E0A"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Optimización de la tramitología en los procesos de gestión humana</w:t>
            </w:r>
          </w:p>
        </w:tc>
        <w:tc>
          <w:tcPr>
            <w:tcW w:w="981"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35EF413D" w14:textId="77777777" w:rsidR="000E767F" w:rsidRPr="000E767F" w:rsidRDefault="000E767F">
            <w:pPr>
              <w:jc w:val="both"/>
              <w:rPr>
                <w:rFonts w:ascii="Book Antiqua" w:hAnsi="Book Antiqua"/>
                <w:color w:val="000000"/>
                <w:sz w:val="14"/>
                <w:szCs w:val="14"/>
                <w:lang w:eastAsia="es-CR"/>
              </w:rPr>
            </w:pPr>
            <w:r w:rsidRPr="000E767F">
              <w:rPr>
                <w:rFonts w:ascii="Book Antiqua" w:hAnsi="Book Antiqua"/>
                <w:color w:val="000000"/>
                <w:sz w:val="14"/>
                <w:szCs w:val="14"/>
                <w:lang w:eastAsia="es-CR"/>
              </w:rPr>
              <w:t>Cantidad de traslado y/o permutas tramitadas por la UPI</w:t>
            </w:r>
          </w:p>
        </w:tc>
        <w:tc>
          <w:tcPr>
            <w:tcW w:w="390"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36A67F34"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6</w:t>
            </w:r>
          </w:p>
        </w:tc>
        <w:tc>
          <w:tcPr>
            <w:tcW w:w="529" w:type="pct"/>
            <w:tcBorders>
              <w:top w:val="nil"/>
              <w:left w:val="nil"/>
              <w:bottom w:val="single" w:sz="8" w:space="0" w:color="auto"/>
              <w:right w:val="single" w:sz="8" w:space="0" w:color="auto"/>
            </w:tcBorders>
            <w:tcMar>
              <w:top w:w="15" w:type="dxa"/>
              <w:left w:w="70" w:type="dxa"/>
              <w:bottom w:w="15" w:type="dxa"/>
              <w:right w:w="70" w:type="dxa"/>
            </w:tcMar>
            <w:vAlign w:val="center"/>
            <w:hideMark/>
          </w:tcPr>
          <w:p w14:paraId="2C6AB0A7"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9</w:t>
            </w:r>
          </w:p>
        </w:tc>
        <w:tc>
          <w:tcPr>
            <w:tcW w:w="1294" w:type="pct"/>
            <w:vMerge w:val="restart"/>
            <w:tcBorders>
              <w:top w:val="nil"/>
              <w:left w:val="nil"/>
              <w:bottom w:val="single" w:sz="8" w:space="0" w:color="auto"/>
              <w:right w:val="single" w:sz="8" w:space="0" w:color="auto"/>
            </w:tcBorders>
            <w:tcMar>
              <w:top w:w="15" w:type="dxa"/>
              <w:left w:w="70" w:type="dxa"/>
              <w:bottom w:w="15" w:type="dxa"/>
              <w:right w:w="70" w:type="dxa"/>
            </w:tcMar>
            <w:vAlign w:val="center"/>
            <w:hideMark/>
          </w:tcPr>
          <w:p w14:paraId="1407CA71" w14:textId="77777777" w:rsidR="000E767F" w:rsidRPr="000E767F" w:rsidRDefault="000E767F">
            <w:pPr>
              <w:jc w:val="both"/>
              <w:rPr>
                <w:rFonts w:ascii="Book Antiqua" w:hAnsi="Book Antiqua"/>
                <w:color w:val="000000"/>
                <w:sz w:val="14"/>
                <w:szCs w:val="14"/>
                <w:lang w:eastAsia="es-CR"/>
              </w:rPr>
            </w:pPr>
            <w:r w:rsidRPr="000E767F">
              <w:rPr>
                <w:rFonts w:ascii="Book Antiqua" w:hAnsi="Book Antiqua"/>
                <w:color w:val="000000"/>
                <w:sz w:val="14"/>
                <w:szCs w:val="14"/>
                <w:lang w:eastAsia="es-CR"/>
              </w:rPr>
              <w:t>Con la implementación de la nueva ley de Contratación Pública se han visto atrasos importantes en la Ejecución lo que conlleva a hacer un replanteamiento de la medición de los indicadores de ahí que se requiera modificar dos de los indicadores fijados inicialmente.</w:t>
            </w:r>
          </w:p>
        </w:tc>
        <w:tc>
          <w:tcPr>
            <w:tcW w:w="8" w:type="pct"/>
            <w:vAlign w:val="center"/>
            <w:hideMark/>
          </w:tcPr>
          <w:p w14:paraId="0B9DBBCE" w14:textId="77777777" w:rsidR="000E767F" w:rsidRPr="000E767F" w:rsidRDefault="000E767F">
            <w:pPr>
              <w:rPr>
                <w:rFonts w:ascii="Book Antiqua" w:eastAsia="Times New Roman" w:hAnsi="Book Antiqua" w:cs="Times New Roman"/>
                <w:sz w:val="14"/>
                <w:szCs w:val="14"/>
                <w:lang w:eastAsia="es-CR"/>
              </w:rPr>
            </w:pPr>
          </w:p>
        </w:tc>
      </w:tr>
      <w:tr w:rsidR="000E767F" w:rsidRPr="000E767F" w14:paraId="68A6D742" w14:textId="77777777" w:rsidTr="000E767F">
        <w:trPr>
          <w:trHeight w:val="825"/>
          <w:jc w:val="center"/>
        </w:trPr>
        <w:tc>
          <w:tcPr>
            <w:tcW w:w="540" w:type="pct"/>
            <w:vMerge/>
            <w:tcBorders>
              <w:top w:val="nil"/>
              <w:left w:val="single" w:sz="8" w:space="0" w:color="auto"/>
              <w:bottom w:val="single" w:sz="8" w:space="0" w:color="auto"/>
              <w:right w:val="single" w:sz="8" w:space="0" w:color="auto"/>
            </w:tcBorders>
            <w:vAlign w:val="center"/>
            <w:hideMark/>
          </w:tcPr>
          <w:p w14:paraId="07F5B1F2" w14:textId="77777777" w:rsidR="000E767F" w:rsidRPr="000E767F" w:rsidRDefault="000E767F">
            <w:pPr>
              <w:rPr>
                <w:rFonts w:ascii="Book Antiqua" w:hAnsi="Book Antiqua" w:cs="Calibri"/>
                <w:color w:val="000000"/>
                <w:sz w:val="14"/>
                <w:szCs w:val="14"/>
                <w:lang w:eastAsia="es-CR"/>
                <w14:ligatures w14:val="standardContextual"/>
              </w:rPr>
            </w:pPr>
          </w:p>
        </w:tc>
        <w:tc>
          <w:tcPr>
            <w:tcW w:w="440" w:type="pct"/>
            <w:vMerge/>
            <w:tcBorders>
              <w:top w:val="nil"/>
              <w:left w:val="nil"/>
              <w:bottom w:val="single" w:sz="8" w:space="0" w:color="auto"/>
              <w:right w:val="single" w:sz="8" w:space="0" w:color="auto"/>
            </w:tcBorders>
            <w:vAlign w:val="center"/>
            <w:hideMark/>
          </w:tcPr>
          <w:p w14:paraId="77B849EE" w14:textId="77777777" w:rsidR="000E767F" w:rsidRPr="000E767F" w:rsidRDefault="000E767F">
            <w:pPr>
              <w:rPr>
                <w:rFonts w:ascii="Book Antiqua" w:hAnsi="Book Antiqua" w:cs="Calibri"/>
                <w:b/>
                <w:bCs/>
                <w:color w:val="000000"/>
                <w:sz w:val="14"/>
                <w:szCs w:val="14"/>
                <w:lang w:eastAsia="es-CR"/>
                <w14:ligatures w14:val="standardContextual"/>
              </w:rPr>
            </w:pPr>
          </w:p>
        </w:tc>
        <w:tc>
          <w:tcPr>
            <w:tcW w:w="819" w:type="pct"/>
            <w:vMerge/>
            <w:tcBorders>
              <w:top w:val="nil"/>
              <w:left w:val="nil"/>
              <w:bottom w:val="single" w:sz="8" w:space="0" w:color="auto"/>
              <w:right w:val="single" w:sz="8" w:space="0" w:color="auto"/>
            </w:tcBorders>
            <w:vAlign w:val="center"/>
            <w:hideMark/>
          </w:tcPr>
          <w:p w14:paraId="73F9386D" w14:textId="77777777" w:rsidR="000E767F" w:rsidRPr="000E767F" w:rsidRDefault="000E767F">
            <w:pPr>
              <w:rPr>
                <w:rFonts w:ascii="Book Antiqua" w:hAnsi="Book Antiqua" w:cs="Calibri"/>
                <w:color w:val="000000"/>
                <w:sz w:val="14"/>
                <w:szCs w:val="14"/>
                <w:lang w:eastAsia="es-CR"/>
                <w14:ligatures w14:val="standardContextual"/>
              </w:rPr>
            </w:pPr>
          </w:p>
        </w:tc>
        <w:tc>
          <w:tcPr>
            <w:tcW w:w="981"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3AF6AF4D" w14:textId="77777777" w:rsidR="000E767F" w:rsidRPr="000E767F" w:rsidRDefault="000E767F">
            <w:pPr>
              <w:jc w:val="both"/>
              <w:rPr>
                <w:rFonts w:ascii="Book Antiqua" w:hAnsi="Book Antiqua" w:cs="Calibri"/>
                <w:color w:val="000000"/>
                <w:sz w:val="14"/>
                <w:szCs w:val="14"/>
                <w:lang w:eastAsia="es-CR"/>
                <w14:ligatures w14:val="standardContextual"/>
              </w:rPr>
            </w:pPr>
            <w:r w:rsidRPr="000E767F">
              <w:rPr>
                <w:rFonts w:ascii="Book Antiqua" w:hAnsi="Book Antiqua"/>
                <w:color w:val="000000"/>
                <w:sz w:val="14"/>
                <w:szCs w:val="14"/>
                <w:lang w:eastAsia="es-CR"/>
              </w:rPr>
              <w:t>Cantidad de trámites de ceses y pago de pluses salariales de personal policial</w:t>
            </w:r>
          </w:p>
        </w:tc>
        <w:tc>
          <w:tcPr>
            <w:tcW w:w="390"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24AFE0A3"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20</w:t>
            </w:r>
          </w:p>
        </w:tc>
        <w:tc>
          <w:tcPr>
            <w:tcW w:w="529" w:type="pct"/>
            <w:tcBorders>
              <w:top w:val="nil"/>
              <w:left w:val="nil"/>
              <w:bottom w:val="single" w:sz="8" w:space="0" w:color="auto"/>
              <w:right w:val="single" w:sz="8" w:space="0" w:color="auto"/>
            </w:tcBorders>
            <w:tcMar>
              <w:top w:w="15" w:type="dxa"/>
              <w:left w:w="70" w:type="dxa"/>
              <w:bottom w:w="15" w:type="dxa"/>
              <w:right w:w="70" w:type="dxa"/>
            </w:tcMar>
            <w:vAlign w:val="center"/>
            <w:hideMark/>
          </w:tcPr>
          <w:p w14:paraId="0A498185"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35</w:t>
            </w:r>
          </w:p>
        </w:tc>
        <w:tc>
          <w:tcPr>
            <w:tcW w:w="1294" w:type="pct"/>
            <w:vMerge/>
            <w:tcBorders>
              <w:top w:val="nil"/>
              <w:left w:val="nil"/>
              <w:bottom w:val="single" w:sz="8" w:space="0" w:color="auto"/>
              <w:right w:val="single" w:sz="8" w:space="0" w:color="auto"/>
            </w:tcBorders>
            <w:vAlign w:val="center"/>
            <w:hideMark/>
          </w:tcPr>
          <w:p w14:paraId="40FA768D" w14:textId="77777777" w:rsidR="000E767F" w:rsidRPr="000E767F" w:rsidRDefault="000E767F">
            <w:pPr>
              <w:rPr>
                <w:rFonts w:ascii="Book Antiqua" w:hAnsi="Book Antiqua" w:cs="Calibri"/>
                <w:color w:val="000000"/>
                <w:sz w:val="14"/>
                <w:szCs w:val="14"/>
                <w:lang w:eastAsia="es-CR"/>
                <w14:ligatures w14:val="standardContextual"/>
              </w:rPr>
            </w:pPr>
          </w:p>
        </w:tc>
        <w:tc>
          <w:tcPr>
            <w:tcW w:w="8" w:type="pct"/>
            <w:vAlign w:val="center"/>
            <w:hideMark/>
          </w:tcPr>
          <w:p w14:paraId="78517949" w14:textId="77777777" w:rsidR="000E767F" w:rsidRPr="000E767F" w:rsidRDefault="000E767F">
            <w:pPr>
              <w:rPr>
                <w:rFonts w:ascii="Book Antiqua" w:eastAsia="Times New Roman" w:hAnsi="Book Antiqua" w:cs="Times New Roman"/>
                <w:sz w:val="14"/>
                <w:szCs w:val="14"/>
                <w:lang w:eastAsia="es-CR"/>
              </w:rPr>
            </w:pPr>
          </w:p>
        </w:tc>
      </w:tr>
      <w:tr w:rsidR="000E767F" w:rsidRPr="000E767F" w14:paraId="13FF9D7C" w14:textId="77777777" w:rsidTr="000E767F">
        <w:trPr>
          <w:trHeight w:val="1095"/>
          <w:jc w:val="center"/>
        </w:trPr>
        <w:tc>
          <w:tcPr>
            <w:tcW w:w="540" w:type="pct"/>
            <w:vMerge/>
            <w:tcBorders>
              <w:top w:val="nil"/>
              <w:left w:val="single" w:sz="8" w:space="0" w:color="auto"/>
              <w:bottom w:val="single" w:sz="8" w:space="0" w:color="auto"/>
              <w:right w:val="single" w:sz="8" w:space="0" w:color="auto"/>
            </w:tcBorders>
            <w:vAlign w:val="center"/>
            <w:hideMark/>
          </w:tcPr>
          <w:p w14:paraId="639CF4FD" w14:textId="77777777" w:rsidR="000E767F" w:rsidRPr="000E767F" w:rsidRDefault="000E767F">
            <w:pPr>
              <w:rPr>
                <w:rFonts w:ascii="Book Antiqua" w:hAnsi="Book Antiqua" w:cs="Calibri"/>
                <w:color w:val="000000"/>
                <w:sz w:val="14"/>
                <w:szCs w:val="14"/>
                <w:lang w:eastAsia="es-CR"/>
                <w14:ligatures w14:val="standardContextual"/>
              </w:rPr>
            </w:pPr>
          </w:p>
        </w:tc>
        <w:tc>
          <w:tcPr>
            <w:tcW w:w="440" w:type="pct"/>
            <w:vMerge/>
            <w:tcBorders>
              <w:top w:val="nil"/>
              <w:left w:val="nil"/>
              <w:bottom w:val="single" w:sz="8" w:space="0" w:color="auto"/>
              <w:right w:val="single" w:sz="8" w:space="0" w:color="auto"/>
            </w:tcBorders>
            <w:vAlign w:val="center"/>
            <w:hideMark/>
          </w:tcPr>
          <w:p w14:paraId="176F6AF9" w14:textId="77777777" w:rsidR="000E767F" w:rsidRPr="000E767F" w:rsidRDefault="000E767F">
            <w:pPr>
              <w:rPr>
                <w:rFonts w:ascii="Book Antiqua" w:hAnsi="Book Antiqua" w:cs="Calibri"/>
                <w:b/>
                <w:bCs/>
                <w:color w:val="000000"/>
                <w:sz w:val="14"/>
                <w:szCs w:val="14"/>
                <w:lang w:eastAsia="es-CR"/>
                <w14:ligatures w14:val="standardContextual"/>
              </w:rPr>
            </w:pPr>
          </w:p>
        </w:tc>
        <w:tc>
          <w:tcPr>
            <w:tcW w:w="819" w:type="pct"/>
            <w:vMerge/>
            <w:tcBorders>
              <w:top w:val="nil"/>
              <w:left w:val="nil"/>
              <w:bottom w:val="single" w:sz="8" w:space="0" w:color="auto"/>
              <w:right w:val="single" w:sz="8" w:space="0" w:color="auto"/>
            </w:tcBorders>
            <w:vAlign w:val="center"/>
            <w:hideMark/>
          </w:tcPr>
          <w:p w14:paraId="28679CDD" w14:textId="77777777" w:rsidR="000E767F" w:rsidRPr="000E767F" w:rsidRDefault="000E767F">
            <w:pPr>
              <w:rPr>
                <w:rFonts w:ascii="Book Antiqua" w:hAnsi="Book Antiqua" w:cs="Calibri"/>
                <w:color w:val="000000"/>
                <w:sz w:val="14"/>
                <w:szCs w:val="14"/>
                <w:lang w:eastAsia="es-CR"/>
                <w14:ligatures w14:val="standardContextual"/>
              </w:rPr>
            </w:pPr>
          </w:p>
        </w:tc>
        <w:tc>
          <w:tcPr>
            <w:tcW w:w="981"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29F98BED" w14:textId="77777777" w:rsidR="000E767F" w:rsidRPr="000E767F" w:rsidRDefault="000E767F">
            <w:pPr>
              <w:jc w:val="both"/>
              <w:rPr>
                <w:rFonts w:ascii="Book Antiqua" w:hAnsi="Book Antiqua" w:cs="Calibri"/>
                <w:color w:val="000000"/>
                <w:sz w:val="14"/>
                <w:szCs w:val="14"/>
                <w:lang w:eastAsia="es-CR"/>
                <w14:ligatures w14:val="standardContextual"/>
              </w:rPr>
            </w:pPr>
            <w:r w:rsidRPr="000E767F">
              <w:rPr>
                <w:rFonts w:ascii="Book Antiqua" w:hAnsi="Book Antiqua"/>
                <w:color w:val="000000"/>
                <w:sz w:val="14"/>
                <w:szCs w:val="14"/>
                <w:lang w:eastAsia="es-CR"/>
              </w:rPr>
              <w:t>Cantidad de días rebajados de vacaciones al personal policial por medio del proyecto de disminución de vacaciones</w:t>
            </w:r>
          </w:p>
        </w:tc>
        <w:tc>
          <w:tcPr>
            <w:tcW w:w="390"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6579BB11"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225</w:t>
            </w:r>
          </w:p>
        </w:tc>
        <w:tc>
          <w:tcPr>
            <w:tcW w:w="529" w:type="pct"/>
            <w:tcBorders>
              <w:top w:val="nil"/>
              <w:left w:val="nil"/>
              <w:bottom w:val="single" w:sz="8" w:space="0" w:color="auto"/>
              <w:right w:val="single" w:sz="8" w:space="0" w:color="auto"/>
            </w:tcBorders>
            <w:tcMar>
              <w:top w:w="15" w:type="dxa"/>
              <w:left w:w="70" w:type="dxa"/>
              <w:bottom w:w="15" w:type="dxa"/>
              <w:right w:w="70" w:type="dxa"/>
            </w:tcMar>
            <w:vAlign w:val="center"/>
            <w:hideMark/>
          </w:tcPr>
          <w:p w14:paraId="0A0A6F51"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320</w:t>
            </w:r>
          </w:p>
        </w:tc>
        <w:tc>
          <w:tcPr>
            <w:tcW w:w="1294" w:type="pct"/>
            <w:vMerge/>
            <w:tcBorders>
              <w:top w:val="nil"/>
              <w:left w:val="nil"/>
              <w:bottom w:val="single" w:sz="8" w:space="0" w:color="auto"/>
              <w:right w:val="single" w:sz="8" w:space="0" w:color="auto"/>
            </w:tcBorders>
            <w:vAlign w:val="center"/>
            <w:hideMark/>
          </w:tcPr>
          <w:p w14:paraId="4D5D3EBB" w14:textId="77777777" w:rsidR="000E767F" w:rsidRPr="000E767F" w:rsidRDefault="000E767F">
            <w:pPr>
              <w:rPr>
                <w:rFonts w:ascii="Book Antiqua" w:hAnsi="Book Antiqua" w:cs="Calibri"/>
                <w:color w:val="000000"/>
                <w:sz w:val="14"/>
                <w:szCs w:val="14"/>
                <w:lang w:eastAsia="es-CR"/>
                <w14:ligatures w14:val="standardContextual"/>
              </w:rPr>
            </w:pPr>
          </w:p>
        </w:tc>
        <w:tc>
          <w:tcPr>
            <w:tcW w:w="8" w:type="pct"/>
            <w:vAlign w:val="center"/>
            <w:hideMark/>
          </w:tcPr>
          <w:p w14:paraId="62B9FBD9" w14:textId="77777777" w:rsidR="000E767F" w:rsidRPr="000E767F" w:rsidRDefault="000E767F">
            <w:pPr>
              <w:rPr>
                <w:rFonts w:ascii="Book Antiqua" w:eastAsia="Times New Roman" w:hAnsi="Book Antiqua" w:cs="Times New Roman"/>
                <w:sz w:val="14"/>
                <w:szCs w:val="14"/>
                <w:lang w:eastAsia="es-CR"/>
              </w:rPr>
            </w:pPr>
          </w:p>
        </w:tc>
      </w:tr>
      <w:tr w:rsidR="000E767F" w:rsidRPr="000E767F" w14:paraId="162D8C7F" w14:textId="77777777" w:rsidTr="000E767F">
        <w:trPr>
          <w:trHeight w:val="825"/>
          <w:jc w:val="center"/>
        </w:trPr>
        <w:tc>
          <w:tcPr>
            <w:tcW w:w="540" w:type="pct"/>
            <w:vMerge/>
            <w:tcBorders>
              <w:top w:val="nil"/>
              <w:left w:val="single" w:sz="8" w:space="0" w:color="auto"/>
              <w:bottom w:val="single" w:sz="8" w:space="0" w:color="auto"/>
              <w:right w:val="single" w:sz="8" w:space="0" w:color="auto"/>
            </w:tcBorders>
            <w:vAlign w:val="center"/>
            <w:hideMark/>
          </w:tcPr>
          <w:p w14:paraId="504955DE" w14:textId="77777777" w:rsidR="000E767F" w:rsidRPr="000E767F" w:rsidRDefault="000E767F">
            <w:pPr>
              <w:rPr>
                <w:rFonts w:ascii="Book Antiqua" w:hAnsi="Book Antiqua" w:cs="Calibri"/>
                <w:color w:val="000000"/>
                <w:sz w:val="14"/>
                <w:szCs w:val="14"/>
                <w:lang w:eastAsia="es-CR"/>
                <w14:ligatures w14:val="standardContextual"/>
              </w:rPr>
            </w:pPr>
          </w:p>
        </w:tc>
        <w:tc>
          <w:tcPr>
            <w:tcW w:w="440" w:type="pct"/>
            <w:vMerge/>
            <w:tcBorders>
              <w:top w:val="nil"/>
              <w:left w:val="nil"/>
              <w:bottom w:val="single" w:sz="8" w:space="0" w:color="auto"/>
              <w:right w:val="single" w:sz="8" w:space="0" w:color="auto"/>
            </w:tcBorders>
            <w:vAlign w:val="center"/>
            <w:hideMark/>
          </w:tcPr>
          <w:p w14:paraId="28700BDA" w14:textId="77777777" w:rsidR="000E767F" w:rsidRPr="000E767F" w:rsidRDefault="000E767F">
            <w:pPr>
              <w:rPr>
                <w:rFonts w:ascii="Book Antiqua" w:hAnsi="Book Antiqua" w:cs="Calibri"/>
                <w:b/>
                <w:bCs/>
                <w:color w:val="000000"/>
                <w:sz w:val="14"/>
                <w:szCs w:val="14"/>
                <w:lang w:eastAsia="es-CR"/>
                <w14:ligatures w14:val="standardContextual"/>
              </w:rPr>
            </w:pPr>
          </w:p>
        </w:tc>
        <w:tc>
          <w:tcPr>
            <w:tcW w:w="819" w:type="pct"/>
            <w:vMerge/>
            <w:tcBorders>
              <w:top w:val="nil"/>
              <w:left w:val="nil"/>
              <w:bottom w:val="single" w:sz="8" w:space="0" w:color="auto"/>
              <w:right w:val="single" w:sz="8" w:space="0" w:color="auto"/>
            </w:tcBorders>
            <w:vAlign w:val="center"/>
            <w:hideMark/>
          </w:tcPr>
          <w:p w14:paraId="6D837ABE" w14:textId="77777777" w:rsidR="000E767F" w:rsidRPr="000E767F" w:rsidRDefault="000E767F">
            <w:pPr>
              <w:rPr>
                <w:rFonts w:ascii="Book Antiqua" w:hAnsi="Book Antiqua" w:cs="Calibri"/>
                <w:color w:val="000000"/>
                <w:sz w:val="14"/>
                <w:szCs w:val="14"/>
                <w:lang w:eastAsia="es-CR"/>
                <w14:ligatures w14:val="standardContextual"/>
              </w:rPr>
            </w:pPr>
          </w:p>
        </w:tc>
        <w:tc>
          <w:tcPr>
            <w:tcW w:w="981"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6808AEFA" w14:textId="77777777" w:rsidR="000E767F" w:rsidRPr="000E767F" w:rsidRDefault="000E767F">
            <w:pPr>
              <w:jc w:val="both"/>
              <w:rPr>
                <w:rFonts w:ascii="Book Antiqua" w:hAnsi="Book Antiqua" w:cs="Calibri"/>
                <w:color w:val="000000"/>
                <w:sz w:val="14"/>
                <w:szCs w:val="14"/>
                <w:lang w:eastAsia="es-CR"/>
                <w14:ligatures w14:val="standardContextual"/>
              </w:rPr>
            </w:pPr>
            <w:r w:rsidRPr="000E767F">
              <w:rPr>
                <w:rFonts w:ascii="Book Antiqua" w:hAnsi="Book Antiqua"/>
                <w:color w:val="000000"/>
                <w:sz w:val="14"/>
                <w:szCs w:val="14"/>
                <w:lang w:eastAsia="es-CR"/>
              </w:rPr>
              <w:t>Cantidad de personas incluidas para cursos de capacitación Escuela Judicial</w:t>
            </w:r>
          </w:p>
        </w:tc>
        <w:tc>
          <w:tcPr>
            <w:tcW w:w="390"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302D92A6"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100</w:t>
            </w:r>
          </w:p>
        </w:tc>
        <w:tc>
          <w:tcPr>
            <w:tcW w:w="529" w:type="pct"/>
            <w:tcBorders>
              <w:top w:val="nil"/>
              <w:left w:val="nil"/>
              <w:bottom w:val="single" w:sz="8" w:space="0" w:color="auto"/>
              <w:right w:val="single" w:sz="8" w:space="0" w:color="auto"/>
            </w:tcBorders>
            <w:tcMar>
              <w:top w:w="15" w:type="dxa"/>
              <w:left w:w="70" w:type="dxa"/>
              <w:bottom w:w="15" w:type="dxa"/>
              <w:right w:w="70" w:type="dxa"/>
            </w:tcMar>
            <w:vAlign w:val="center"/>
            <w:hideMark/>
          </w:tcPr>
          <w:p w14:paraId="5F5FBE5F"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200</w:t>
            </w:r>
          </w:p>
        </w:tc>
        <w:tc>
          <w:tcPr>
            <w:tcW w:w="1294" w:type="pct"/>
            <w:vMerge/>
            <w:tcBorders>
              <w:top w:val="nil"/>
              <w:left w:val="nil"/>
              <w:bottom w:val="single" w:sz="8" w:space="0" w:color="auto"/>
              <w:right w:val="single" w:sz="8" w:space="0" w:color="auto"/>
            </w:tcBorders>
            <w:vAlign w:val="center"/>
            <w:hideMark/>
          </w:tcPr>
          <w:p w14:paraId="77173B11" w14:textId="77777777" w:rsidR="000E767F" w:rsidRPr="000E767F" w:rsidRDefault="000E767F">
            <w:pPr>
              <w:rPr>
                <w:rFonts w:ascii="Book Antiqua" w:hAnsi="Book Antiqua" w:cs="Calibri"/>
                <w:color w:val="000000"/>
                <w:sz w:val="14"/>
                <w:szCs w:val="14"/>
                <w:lang w:eastAsia="es-CR"/>
                <w14:ligatures w14:val="standardContextual"/>
              </w:rPr>
            </w:pPr>
          </w:p>
        </w:tc>
        <w:tc>
          <w:tcPr>
            <w:tcW w:w="8" w:type="pct"/>
            <w:vAlign w:val="center"/>
            <w:hideMark/>
          </w:tcPr>
          <w:p w14:paraId="6CD3D8B5" w14:textId="77777777" w:rsidR="000E767F" w:rsidRPr="000E767F" w:rsidRDefault="000E767F">
            <w:pPr>
              <w:rPr>
                <w:rFonts w:ascii="Book Antiqua" w:eastAsia="Times New Roman" w:hAnsi="Book Antiqua" w:cs="Times New Roman"/>
                <w:sz w:val="14"/>
                <w:szCs w:val="14"/>
                <w:lang w:eastAsia="es-CR"/>
              </w:rPr>
            </w:pPr>
          </w:p>
        </w:tc>
      </w:tr>
      <w:tr w:rsidR="000E767F" w:rsidRPr="000E767F" w14:paraId="7C153476" w14:textId="77777777" w:rsidTr="000E767F">
        <w:trPr>
          <w:trHeight w:val="825"/>
          <w:jc w:val="center"/>
        </w:trPr>
        <w:tc>
          <w:tcPr>
            <w:tcW w:w="540" w:type="pct"/>
            <w:vMerge/>
            <w:tcBorders>
              <w:top w:val="nil"/>
              <w:left w:val="single" w:sz="8" w:space="0" w:color="auto"/>
              <w:bottom w:val="single" w:sz="8" w:space="0" w:color="auto"/>
              <w:right w:val="single" w:sz="8" w:space="0" w:color="auto"/>
            </w:tcBorders>
            <w:vAlign w:val="center"/>
            <w:hideMark/>
          </w:tcPr>
          <w:p w14:paraId="6C73979C" w14:textId="77777777" w:rsidR="000E767F" w:rsidRPr="000E767F" w:rsidRDefault="000E767F">
            <w:pPr>
              <w:rPr>
                <w:rFonts w:ascii="Book Antiqua" w:hAnsi="Book Antiqua" w:cs="Calibri"/>
                <w:color w:val="000000"/>
                <w:sz w:val="14"/>
                <w:szCs w:val="14"/>
                <w:lang w:eastAsia="es-CR"/>
                <w14:ligatures w14:val="standardContextual"/>
              </w:rPr>
            </w:pPr>
          </w:p>
        </w:tc>
        <w:tc>
          <w:tcPr>
            <w:tcW w:w="440" w:type="pct"/>
            <w:vMerge/>
            <w:tcBorders>
              <w:top w:val="nil"/>
              <w:left w:val="nil"/>
              <w:bottom w:val="single" w:sz="8" w:space="0" w:color="auto"/>
              <w:right w:val="single" w:sz="8" w:space="0" w:color="auto"/>
            </w:tcBorders>
            <w:vAlign w:val="center"/>
            <w:hideMark/>
          </w:tcPr>
          <w:p w14:paraId="298C33B5" w14:textId="77777777" w:rsidR="000E767F" w:rsidRPr="000E767F" w:rsidRDefault="000E767F">
            <w:pPr>
              <w:rPr>
                <w:rFonts w:ascii="Book Antiqua" w:hAnsi="Book Antiqua" w:cs="Calibri"/>
                <w:b/>
                <w:bCs/>
                <w:color w:val="000000"/>
                <w:sz w:val="14"/>
                <w:szCs w:val="14"/>
                <w:lang w:eastAsia="es-CR"/>
                <w14:ligatures w14:val="standardContextual"/>
              </w:rPr>
            </w:pPr>
          </w:p>
        </w:tc>
        <w:tc>
          <w:tcPr>
            <w:tcW w:w="819" w:type="pct"/>
            <w:vMerge/>
            <w:tcBorders>
              <w:top w:val="nil"/>
              <w:left w:val="nil"/>
              <w:bottom w:val="single" w:sz="8" w:space="0" w:color="auto"/>
              <w:right w:val="single" w:sz="8" w:space="0" w:color="auto"/>
            </w:tcBorders>
            <w:vAlign w:val="center"/>
            <w:hideMark/>
          </w:tcPr>
          <w:p w14:paraId="02A8804C" w14:textId="77777777" w:rsidR="000E767F" w:rsidRPr="000E767F" w:rsidRDefault="000E767F">
            <w:pPr>
              <w:rPr>
                <w:rFonts w:ascii="Book Antiqua" w:hAnsi="Book Antiqua" w:cs="Calibri"/>
                <w:color w:val="000000"/>
                <w:sz w:val="14"/>
                <w:szCs w:val="14"/>
                <w:lang w:eastAsia="es-CR"/>
                <w14:ligatures w14:val="standardContextual"/>
              </w:rPr>
            </w:pPr>
          </w:p>
        </w:tc>
        <w:tc>
          <w:tcPr>
            <w:tcW w:w="981"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154E9969" w14:textId="77777777" w:rsidR="000E767F" w:rsidRPr="000E767F" w:rsidRDefault="000E767F">
            <w:pPr>
              <w:jc w:val="both"/>
              <w:rPr>
                <w:rFonts w:ascii="Book Antiqua" w:hAnsi="Book Antiqua" w:cs="Calibri"/>
                <w:color w:val="000000"/>
                <w:sz w:val="14"/>
                <w:szCs w:val="14"/>
                <w:lang w:eastAsia="es-CR"/>
                <w14:ligatures w14:val="standardContextual"/>
              </w:rPr>
            </w:pPr>
            <w:r w:rsidRPr="000E767F">
              <w:rPr>
                <w:rFonts w:ascii="Book Antiqua" w:hAnsi="Book Antiqua"/>
                <w:color w:val="000000"/>
                <w:sz w:val="14"/>
                <w:szCs w:val="14"/>
                <w:lang w:eastAsia="es-CR"/>
              </w:rPr>
              <w:t>Cantidad de movimientos de oferentes en diferentes etapas del proceso de selección</w:t>
            </w:r>
          </w:p>
        </w:tc>
        <w:tc>
          <w:tcPr>
            <w:tcW w:w="390"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036014A9"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225</w:t>
            </w:r>
          </w:p>
        </w:tc>
        <w:tc>
          <w:tcPr>
            <w:tcW w:w="529" w:type="pct"/>
            <w:tcBorders>
              <w:top w:val="nil"/>
              <w:left w:val="nil"/>
              <w:bottom w:val="single" w:sz="8" w:space="0" w:color="auto"/>
              <w:right w:val="single" w:sz="8" w:space="0" w:color="auto"/>
            </w:tcBorders>
            <w:tcMar>
              <w:top w:w="15" w:type="dxa"/>
              <w:left w:w="70" w:type="dxa"/>
              <w:bottom w:w="15" w:type="dxa"/>
              <w:right w:w="70" w:type="dxa"/>
            </w:tcMar>
            <w:vAlign w:val="center"/>
            <w:hideMark/>
          </w:tcPr>
          <w:p w14:paraId="180554C3"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400</w:t>
            </w:r>
          </w:p>
        </w:tc>
        <w:tc>
          <w:tcPr>
            <w:tcW w:w="1294" w:type="pct"/>
            <w:vMerge/>
            <w:tcBorders>
              <w:top w:val="nil"/>
              <w:left w:val="nil"/>
              <w:bottom w:val="single" w:sz="8" w:space="0" w:color="auto"/>
              <w:right w:val="single" w:sz="8" w:space="0" w:color="auto"/>
            </w:tcBorders>
            <w:vAlign w:val="center"/>
            <w:hideMark/>
          </w:tcPr>
          <w:p w14:paraId="1F918D9D" w14:textId="77777777" w:rsidR="000E767F" w:rsidRPr="000E767F" w:rsidRDefault="000E767F">
            <w:pPr>
              <w:rPr>
                <w:rFonts w:ascii="Book Antiqua" w:hAnsi="Book Antiqua" w:cs="Calibri"/>
                <w:color w:val="000000"/>
                <w:sz w:val="14"/>
                <w:szCs w:val="14"/>
                <w:lang w:eastAsia="es-CR"/>
                <w14:ligatures w14:val="standardContextual"/>
              </w:rPr>
            </w:pPr>
          </w:p>
        </w:tc>
        <w:tc>
          <w:tcPr>
            <w:tcW w:w="8" w:type="pct"/>
            <w:vAlign w:val="center"/>
            <w:hideMark/>
          </w:tcPr>
          <w:p w14:paraId="4DEC44B8" w14:textId="77777777" w:rsidR="000E767F" w:rsidRPr="000E767F" w:rsidRDefault="000E767F">
            <w:pPr>
              <w:rPr>
                <w:rFonts w:ascii="Book Antiqua" w:eastAsia="Times New Roman" w:hAnsi="Book Antiqua" w:cs="Times New Roman"/>
                <w:sz w:val="14"/>
                <w:szCs w:val="14"/>
                <w:lang w:eastAsia="es-CR"/>
              </w:rPr>
            </w:pPr>
          </w:p>
        </w:tc>
      </w:tr>
      <w:tr w:rsidR="000E767F" w:rsidRPr="000E767F" w14:paraId="6DE964D4" w14:textId="77777777" w:rsidTr="000E767F">
        <w:trPr>
          <w:trHeight w:val="1095"/>
          <w:jc w:val="center"/>
        </w:trPr>
        <w:tc>
          <w:tcPr>
            <w:tcW w:w="540" w:type="pct"/>
            <w:vMerge/>
            <w:tcBorders>
              <w:top w:val="nil"/>
              <w:left w:val="single" w:sz="8" w:space="0" w:color="auto"/>
              <w:bottom w:val="single" w:sz="8" w:space="0" w:color="auto"/>
              <w:right w:val="single" w:sz="8" w:space="0" w:color="auto"/>
            </w:tcBorders>
            <w:vAlign w:val="center"/>
            <w:hideMark/>
          </w:tcPr>
          <w:p w14:paraId="548A891A" w14:textId="77777777" w:rsidR="000E767F" w:rsidRPr="000E767F" w:rsidRDefault="000E767F">
            <w:pPr>
              <w:rPr>
                <w:rFonts w:ascii="Book Antiqua" w:hAnsi="Book Antiqua" w:cs="Calibri"/>
                <w:color w:val="000000"/>
                <w:sz w:val="14"/>
                <w:szCs w:val="14"/>
                <w:lang w:eastAsia="es-CR"/>
                <w14:ligatures w14:val="standardContextual"/>
              </w:rPr>
            </w:pPr>
          </w:p>
        </w:tc>
        <w:tc>
          <w:tcPr>
            <w:tcW w:w="440" w:type="pct"/>
            <w:vMerge/>
            <w:tcBorders>
              <w:top w:val="nil"/>
              <w:left w:val="nil"/>
              <w:bottom w:val="single" w:sz="8" w:space="0" w:color="auto"/>
              <w:right w:val="single" w:sz="8" w:space="0" w:color="auto"/>
            </w:tcBorders>
            <w:vAlign w:val="center"/>
            <w:hideMark/>
          </w:tcPr>
          <w:p w14:paraId="61BA9C8F" w14:textId="77777777" w:rsidR="000E767F" w:rsidRPr="000E767F" w:rsidRDefault="000E767F">
            <w:pPr>
              <w:rPr>
                <w:rFonts w:ascii="Book Antiqua" w:hAnsi="Book Antiqua" w:cs="Calibri"/>
                <w:b/>
                <w:bCs/>
                <w:color w:val="000000"/>
                <w:sz w:val="14"/>
                <w:szCs w:val="14"/>
                <w:lang w:eastAsia="es-CR"/>
                <w14:ligatures w14:val="standardContextual"/>
              </w:rPr>
            </w:pPr>
          </w:p>
        </w:tc>
        <w:tc>
          <w:tcPr>
            <w:tcW w:w="819" w:type="pct"/>
            <w:vMerge/>
            <w:tcBorders>
              <w:top w:val="nil"/>
              <w:left w:val="nil"/>
              <w:bottom w:val="single" w:sz="8" w:space="0" w:color="auto"/>
              <w:right w:val="single" w:sz="8" w:space="0" w:color="auto"/>
            </w:tcBorders>
            <w:vAlign w:val="center"/>
            <w:hideMark/>
          </w:tcPr>
          <w:p w14:paraId="4F150C4A" w14:textId="77777777" w:rsidR="000E767F" w:rsidRPr="000E767F" w:rsidRDefault="000E767F">
            <w:pPr>
              <w:rPr>
                <w:rFonts w:ascii="Book Antiqua" w:hAnsi="Book Antiqua" w:cs="Calibri"/>
                <w:color w:val="000000"/>
                <w:sz w:val="14"/>
                <w:szCs w:val="14"/>
                <w:lang w:eastAsia="es-CR"/>
                <w14:ligatures w14:val="standardContextual"/>
              </w:rPr>
            </w:pPr>
          </w:p>
        </w:tc>
        <w:tc>
          <w:tcPr>
            <w:tcW w:w="981"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758553C3" w14:textId="77777777" w:rsidR="000E767F" w:rsidRPr="000E767F" w:rsidRDefault="000E767F">
            <w:pPr>
              <w:jc w:val="both"/>
              <w:rPr>
                <w:rFonts w:ascii="Book Antiqua" w:hAnsi="Book Antiqua" w:cs="Calibri"/>
                <w:color w:val="000000"/>
                <w:sz w:val="14"/>
                <w:szCs w:val="14"/>
                <w:lang w:eastAsia="es-CR"/>
                <w14:ligatures w14:val="standardContextual"/>
              </w:rPr>
            </w:pPr>
            <w:r w:rsidRPr="000E767F">
              <w:rPr>
                <w:rFonts w:ascii="Book Antiqua" w:hAnsi="Book Antiqua"/>
                <w:color w:val="000000"/>
                <w:sz w:val="14"/>
                <w:szCs w:val="14"/>
                <w:lang w:eastAsia="es-CR"/>
              </w:rPr>
              <w:t>Cantidad de carné emitidos por concepto de valoración bienal y carné de identificación personal OIJ</w:t>
            </w:r>
          </w:p>
        </w:tc>
        <w:tc>
          <w:tcPr>
            <w:tcW w:w="390"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16EB5ABA"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145</w:t>
            </w:r>
          </w:p>
        </w:tc>
        <w:tc>
          <w:tcPr>
            <w:tcW w:w="529" w:type="pct"/>
            <w:tcBorders>
              <w:top w:val="nil"/>
              <w:left w:val="nil"/>
              <w:bottom w:val="single" w:sz="8" w:space="0" w:color="auto"/>
              <w:right w:val="single" w:sz="8" w:space="0" w:color="auto"/>
            </w:tcBorders>
            <w:tcMar>
              <w:top w:w="15" w:type="dxa"/>
              <w:left w:w="70" w:type="dxa"/>
              <w:bottom w:w="15" w:type="dxa"/>
              <w:right w:w="70" w:type="dxa"/>
            </w:tcMar>
            <w:vAlign w:val="center"/>
            <w:hideMark/>
          </w:tcPr>
          <w:p w14:paraId="5E0440D9"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120</w:t>
            </w:r>
          </w:p>
        </w:tc>
        <w:tc>
          <w:tcPr>
            <w:tcW w:w="1294" w:type="pct"/>
            <w:vMerge/>
            <w:tcBorders>
              <w:top w:val="nil"/>
              <w:left w:val="nil"/>
              <w:bottom w:val="single" w:sz="8" w:space="0" w:color="auto"/>
              <w:right w:val="single" w:sz="8" w:space="0" w:color="auto"/>
            </w:tcBorders>
            <w:vAlign w:val="center"/>
            <w:hideMark/>
          </w:tcPr>
          <w:p w14:paraId="6438B646" w14:textId="77777777" w:rsidR="000E767F" w:rsidRPr="000E767F" w:rsidRDefault="000E767F">
            <w:pPr>
              <w:rPr>
                <w:rFonts w:ascii="Book Antiqua" w:hAnsi="Book Antiqua" w:cs="Calibri"/>
                <w:color w:val="000000"/>
                <w:sz w:val="14"/>
                <w:szCs w:val="14"/>
                <w:lang w:eastAsia="es-CR"/>
                <w14:ligatures w14:val="standardContextual"/>
              </w:rPr>
            </w:pPr>
          </w:p>
        </w:tc>
        <w:tc>
          <w:tcPr>
            <w:tcW w:w="8" w:type="pct"/>
            <w:vAlign w:val="center"/>
            <w:hideMark/>
          </w:tcPr>
          <w:p w14:paraId="4266697B" w14:textId="77777777" w:rsidR="000E767F" w:rsidRPr="000E767F" w:rsidRDefault="000E767F">
            <w:pPr>
              <w:rPr>
                <w:rFonts w:ascii="Book Antiqua" w:eastAsia="Times New Roman" w:hAnsi="Book Antiqua" w:cs="Times New Roman"/>
                <w:sz w:val="14"/>
                <w:szCs w:val="14"/>
                <w:lang w:eastAsia="es-CR"/>
              </w:rPr>
            </w:pPr>
          </w:p>
        </w:tc>
      </w:tr>
      <w:tr w:rsidR="000E767F" w:rsidRPr="000E767F" w14:paraId="435CDFAE" w14:textId="77777777" w:rsidTr="000E767F">
        <w:trPr>
          <w:trHeight w:val="555"/>
          <w:jc w:val="center"/>
        </w:trPr>
        <w:tc>
          <w:tcPr>
            <w:tcW w:w="540" w:type="pct"/>
            <w:vMerge/>
            <w:tcBorders>
              <w:top w:val="nil"/>
              <w:left w:val="single" w:sz="8" w:space="0" w:color="auto"/>
              <w:bottom w:val="single" w:sz="8" w:space="0" w:color="auto"/>
              <w:right w:val="single" w:sz="8" w:space="0" w:color="auto"/>
            </w:tcBorders>
            <w:vAlign w:val="center"/>
            <w:hideMark/>
          </w:tcPr>
          <w:p w14:paraId="2DCE0E5B" w14:textId="77777777" w:rsidR="000E767F" w:rsidRPr="000E767F" w:rsidRDefault="000E767F">
            <w:pPr>
              <w:rPr>
                <w:rFonts w:ascii="Book Antiqua" w:hAnsi="Book Antiqua" w:cs="Calibri"/>
                <w:color w:val="000000"/>
                <w:sz w:val="14"/>
                <w:szCs w:val="14"/>
                <w:lang w:eastAsia="es-CR"/>
                <w14:ligatures w14:val="standardContextual"/>
              </w:rPr>
            </w:pPr>
          </w:p>
        </w:tc>
        <w:tc>
          <w:tcPr>
            <w:tcW w:w="440" w:type="pct"/>
            <w:vMerge/>
            <w:tcBorders>
              <w:top w:val="nil"/>
              <w:left w:val="nil"/>
              <w:bottom w:val="single" w:sz="8" w:space="0" w:color="auto"/>
              <w:right w:val="single" w:sz="8" w:space="0" w:color="auto"/>
            </w:tcBorders>
            <w:vAlign w:val="center"/>
            <w:hideMark/>
          </w:tcPr>
          <w:p w14:paraId="55097DEB" w14:textId="77777777" w:rsidR="000E767F" w:rsidRPr="000E767F" w:rsidRDefault="000E767F">
            <w:pPr>
              <w:rPr>
                <w:rFonts w:ascii="Book Antiqua" w:hAnsi="Book Antiqua" w:cs="Calibri"/>
                <w:b/>
                <w:bCs/>
                <w:color w:val="000000"/>
                <w:sz w:val="14"/>
                <w:szCs w:val="14"/>
                <w:lang w:eastAsia="es-CR"/>
                <w14:ligatures w14:val="standardContextual"/>
              </w:rPr>
            </w:pPr>
          </w:p>
        </w:tc>
        <w:tc>
          <w:tcPr>
            <w:tcW w:w="819" w:type="pct"/>
            <w:vMerge/>
            <w:tcBorders>
              <w:top w:val="nil"/>
              <w:left w:val="nil"/>
              <w:bottom w:val="single" w:sz="8" w:space="0" w:color="auto"/>
              <w:right w:val="single" w:sz="8" w:space="0" w:color="auto"/>
            </w:tcBorders>
            <w:vAlign w:val="center"/>
            <w:hideMark/>
          </w:tcPr>
          <w:p w14:paraId="68307770" w14:textId="77777777" w:rsidR="000E767F" w:rsidRPr="000E767F" w:rsidRDefault="000E767F">
            <w:pPr>
              <w:rPr>
                <w:rFonts w:ascii="Book Antiqua" w:hAnsi="Book Antiqua" w:cs="Calibri"/>
                <w:color w:val="000000"/>
                <w:sz w:val="14"/>
                <w:szCs w:val="14"/>
                <w:lang w:eastAsia="es-CR"/>
                <w14:ligatures w14:val="standardContextual"/>
              </w:rPr>
            </w:pPr>
          </w:p>
        </w:tc>
        <w:tc>
          <w:tcPr>
            <w:tcW w:w="981"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2662E013" w14:textId="77777777" w:rsidR="000E767F" w:rsidRPr="000E767F" w:rsidRDefault="000E767F">
            <w:pPr>
              <w:jc w:val="both"/>
              <w:rPr>
                <w:rFonts w:ascii="Book Antiqua" w:hAnsi="Book Antiqua" w:cs="Calibri"/>
                <w:color w:val="000000"/>
                <w:sz w:val="14"/>
                <w:szCs w:val="14"/>
                <w:lang w:eastAsia="es-CR"/>
                <w14:ligatures w14:val="standardContextual"/>
              </w:rPr>
            </w:pPr>
            <w:r w:rsidRPr="000E767F">
              <w:rPr>
                <w:rFonts w:ascii="Book Antiqua" w:hAnsi="Book Antiqua"/>
                <w:color w:val="000000"/>
                <w:sz w:val="14"/>
                <w:szCs w:val="14"/>
                <w:lang w:eastAsia="es-CR"/>
              </w:rPr>
              <w:t>Cantidad Comunicaciones de desvinculación laboral</w:t>
            </w:r>
          </w:p>
        </w:tc>
        <w:tc>
          <w:tcPr>
            <w:tcW w:w="390"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3A3B1152"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25</w:t>
            </w:r>
          </w:p>
        </w:tc>
        <w:tc>
          <w:tcPr>
            <w:tcW w:w="529" w:type="pct"/>
            <w:tcBorders>
              <w:top w:val="nil"/>
              <w:left w:val="nil"/>
              <w:bottom w:val="single" w:sz="8" w:space="0" w:color="auto"/>
              <w:right w:val="single" w:sz="8" w:space="0" w:color="auto"/>
            </w:tcBorders>
            <w:tcMar>
              <w:top w:w="15" w:type="dxa"/>
              <w:left w:w="70" w:type="dxa"/>
              <w:bottom w:w="15" w:type="dxa"/>
              <w:right w:w="70" w:type="dxa"/>
            </w:tcMar>
            <w:vAlign w:val="center"/>
            <w:hideMark/>
          </w:tcPr>
          <w:p w14:paraId="07143728"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45</w:t>
            </w:r>
          </w:p>
        </w:tc>
        <w:tc>
          <w:tcPr>
            <w:tcW w:w="1294" w:type="pct"/>
            <w:vMerge/>
            <w:tcBorders>
              <w:top w:val="nil"/>
              <w:left w:val="nil"/>
              <w:bottom w:val="single" w:sz="8" w:space="0" w:color="auto"/>
              <w:right w:val="single" w:sz="8" w:space="0" w:color="auto"/>
            </w:tcBorders>
            <w:vAlign w:val="center"/>
            <w:hideMark/>
          </w:tcPr>
          <w:p w14:paraId="2D94AE22" w14:textId="77777777" w:rsidR="000E767F" w:rsidRPr="000E767F" w:rsidRDefault="000E767F">
            <w:pPr>
              <w:rPr>
                <w:rFonts w:ascii="Book Antiqua" w:hAnsi="Book Antiqua" w:cs="Calibri"/>
                <w:color w:val="000000"/>
                <w:sz w:val="14"/>
                <w:szCs w:val="14"/>
                <w:lang w:eastAsia="es-CR"/>
                <w14:ligatures w14:val="standardContextual"/>
              </w:rPr>
            </w:pPr>
          </w:p>
        </w:tc>
        <w:tc>
          <w:tcPr>
            <w:tcW w:w="8" w:type="pct"/>
            <w:vAlign w:val="center"/>
            <w:hideMark/>
          </w:tcPr>
          <w:p w14:paraId="77E911CD" w14:textId="77777777" w:rsidR="000E767F" w:rsidRPr="000E767F" w:rsidRDefault="000E767F">
            <w:pPr>
              <w:rPr>
                <w:rFonts w:ascii="Book Antiqua" w:eastAsia="Times New Roman" w:hAnsi="Book Antiqua" w:cs="Times New Roman"/>
                <w:sz w:val="14"/>
                <w:szCs w:val="14"/>
                <w:lang w:eastAsia="es-CR"/>
              </w:rPr>
            </w:pPr>
          </w:p>
        </w:tc>
      </w:tr>
      <w:tr w:rsidR="000E767F" w:rsidRPr="000E767F" w14:paraId="1948B1C8" w14:textId="77777777" w:rsidTr="000E767F">
        <w:trPr>
          <w:trHeight w:val="1095"/>
          <w:jc w:val="center"/>
        </w:trPr>
        <w:tc>
          <w:tcPr>
            <w:tcW w:w="540" w:type="pct"/>
            <w:vMerge/>
            <w:tcBorders>
              <w:top w:val="nil"/>
              <w:left w:val="single" w:sz="8" w:space="0" w:color="auto"/>
              <w:bottom w:val="single" w:sz="8" w:space="0" w:color="auto"/>
              <w:right w:val="single" w:sz="8" w:space="0" w:color="auto"/>
            </w:tcBorders>
            <w:vAlign w:val="center"/>
            <w:hideMark/>
          </w:tcPr>
          <w:p w14:paraId="5CFDF9F0" w14:textId="77777777" w:rsidR="000E767F" w:rsidRPr="000E767F" w:rsidRDefault="000E767F">
            <w:pPr>
              <w:rPr>
                <w:rFonts w:ascii="Book Antiqua" w:hAnsi="Book Antiqua" w:cs="Calibri"/>
                <w:color w:val="000000"/>
                <w:sz w:val="14"/>
                <w:szCs w:val="14"/>
                <w:lang w:eastAsia="es-CR"/>
                <w14:ligatures w14:val="standardContextual"/>
              </w:rPr>
            </w:pPr>
          </w:p>
        </w:tc>
        <w:tc>
          <w:tcPr>
            <w:tcW w:w="440" w:type="pct"/>
            <w:vMerge/>
            <w:tcBorders>
              <w:top w:val="nil"/>
              <w:left w:val="nil"/>
              <w:bottom w:val="single" w:sz="8" w:space="0" w:color="auto"/>
              <w:right w:val="single" w:sz="8" w:space="0" w:color="auto"/>
            </w:tcBorders>
            <w:vAlign w:val="center"/>
            <w:hideMark/>
          </w:tcPr>
          <w:p w14:paraId="166A6354" w14:textId="77777777" w:rsidR="000E767F" w:rsidRPr="000E767F" w:rsidRDefault="000E767F">
            <w:pPr>
              <w:rPr>
                <w:rFonts w:ascii="Book Antiqua" w:hAnsi="Book Antiqua" w:cs="Calibri"/>
                <w:b/>
                <w:bCs/>
                <w:color w:val="000000"/>
                <w:sz w:val="14"/>
                <w:szCs w:val="14"/>
                <w:lang w:eastAsia="es-CR"/>
                <w14:ligatures w14:val="standardContextual"/>
              </w:rPr>
            </w:pPr>
          </w:p>
        </w:tc>
        <w:tc>
          <w:tcPr>
            <w:tcW w:w="819" w:type="pct"/>
            <w:vMerge/>
            <w:tcBorders>
              <w:top w:val="nil"/>
              <w:left w:val="nil"/>
              <w:bottom w:val="single" w:sz="8" w:space="0" w:color="auto"/>
              <w:right w:val="single" w:sz="8" w:space="0" w:color="auto"/>
            </w:tcBorders>
            <w:vAlign w:val="center"/>
            <w:hideMark/>
          </w:tcPr>
          <w:p w14:paraId="0A7139A7" w14:textId="77777777" w:rsidR="000E767F" w:rsidRPr="000E767F" w:rsidRDefault="000E767F">
            <w:pPr>
              <w:rPr>
                <w:rFonts w:ascii="Book Antiqua" w:hAnsi="Book Antiqua" w:cs="Calibri"/>
                <w:color w:val="000000"/>
                <w:sz w:val="14"/>
                <w:szCs w:val="14"/>
                <w:lang w:eastAsia="es-CR"/>
                <w14:ligatures w14:val="standardContextual"/>
              </w:rPr>
            </w:pPr>
          </w:p>
        </w:tc>
        <w:tc>
          <w:tcPr>
            <w:tcW w:w="981"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34BD6E9F" w14:textId="77777777" w:rsidR="000E767F" w:rsidRPr="000E767F" w:rsidRDefault="000E767F">
            <w:pPr>
              <w:jc w:val="both"/>
              <w:rPr>
                <w:rFonts w:ascii="Book Antiqua" w:hAnsi="Book Antiqua" w:cs="Calibri"/>
                <w:color w:val="000000"/>
                <w:sz w:val="14"/>
                <w:szCs w:val="14"/>
                <w:lang w:eastAsia="es-CR"/>
                <w14:ligatures w14:val="standardContextual"/>
              </w:rPr>
            </w:pPr>
            <w:r w:rsidRPr="000E767F">
              <w:rPr>
                <w:rFonts w:ascii="Book Antiqua" w:hAnsi="Book Antiqua"/>
                <w:color w:val="000000"/>
                <w:sz w:val="14"/>
                <w:szCs w:val="14"/>
                <w:lang w:eastAsia="es-CR"/>
              </w:rPr>
              <w:t>Cantidad de notificaciones del proceso bienal y reclutamiento y selección para personal de primer ingreso en puestos policiales</w:t>
            </w:r>
          </w:p>
        </w:tc>
        <w:tc>
          <w:tcPr>
            <w:tcW w:w="390"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62499104"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200</w:t>
            </w:r>
          </w:p>
        </w:tc>
        <w:tc>
          <w:tcPr>
            <w:tcW w:w="529" w:type="pct"/>
            <w:tcBorders>
              <w:top w:val="nil"/>
              <w:left w:val="nil"/>
              <w:bottom w:val="single" w:sz="8" w:space="0" w:color="auto"/>
              <w:right w:val="single" w:sz="8" w:space="0" w:color="auto"/>
            </w:tcBorders>
            <w:tcMar>
              <w:top w:w="15" w:type="dxa"/>
              <w:left w:w="70" w:type="dxa"/>
              <w:bottom w:w="15" w:type="dxa"/>
              <w:right w:w="70" w:type="dxa"/>
            </w:tcMar>
            <w:vAlign w:val="center"/>
            <w:hideMark/>
          </w:tcPr>
          <w:p w14:paraId="3B4D3CB1"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240</w:t>
            </w:r>
          </w:p>
        </w:tc>
        <w:tc>
          <w:tcPr>
            <w:tcW w:w="1294" w:type="pct"/>
            <w:vMerge/>
            <w:tcBorders>
              <w:top w:val="nil"/>
              <w:left w:val="nil"/>
              <w:bottom w:val="single" w:sz="8" w:space="0" w:color="auto"/>
              <w:right w:val="single" w:sz="8" w:space="0" w:color="auto"/>
            </w:tcBorders>
            <w:vAlign w:val="center"/>
            <w:hideMark/>
          </w:tcPr>
          <w:p w14:paraId="1D1E1DE8" w14:textId="77777777" w:rsidR="000E767F" w:rsidRPr="000E767F" w:rsidRDefault="000E767F">
            <w:pPr>
              <w:rPr>
                <w:rFonts w:ascii="Book Antiqua" w:hAnsi="Book Antiqua" w:cs="Calibri"/>
                <w:color w:val="000000"/>
                <w:sz w:val="14"/>
                <w:szCs w:val="14"/>
                <w:lang w:eastAsia="es-CR"/>
                <w14:ligatures w14:val="standardContextual"/>
              </w:rPr>
            </w:pPr>
          </w:p>
        </w:tc>
        <w:tc>
          <w:tcPr>
            <w:tcW w:w="8" w:type="pct"/>
            <w:vAlign w:val="center"/>
            <w:hideMark/>
          </w:tcPr>
          <w:p w14:paraId="43B531EA" w14:textId="77777777" w:rsidR="000E767F" w:rsidRPr="000E767F" w:rsidRDefault="000E767F">
            <w:pPr>
              <w:rPr>
                <w:rFonts w:ascii="Book Antiqua" w:eastAsia="Times New Roman" w:hAnsi="Book Antiqua" w:cs="Times New Roman"/>
                <w:sz w:val="14"/>
                <w:szCs w:val="14"/>
                <w:lang w:eastAsia="es-CR"/>
              </w:rPr>
            </w:pPr>
          </w:p>
        </w:tc>
      </w:tr>
      <w:tr w:rsidR="000E767F" w:rsidRPr="000E767F" w14:paraId="22928458" w14:textId="77777777" w:rsidTr="000E767F">
        <w:trPr>
          <w:trHeight w:val="825"/>
          <w:jc w:val="center"/>
        </w:trPr>
        <w:tc>
          <w:tcPr>
            <w:tcW w:w="540" w:type="pct"/>
            <w:vMerge/>
            <w:tcBorders>
              <w:top w:val="nil"/>
              <w:left w:val="single" w:sz="8" w:space="0" w:color="auto"/>
              <w:bottom w:val="single" w:sz="8" w:space="0" w:color="auto"/>
              <w:right w:val="single" w:sz="8" w:space="0" w:color="auto"/>
            </w:tcBorders>
            <w:vAlign w:val="center"/>
            <w:hideMark/>
          </w:tcPr>
          <w:p w14:paraId="14D8FBFB" w14:textId="77777777" w:rsidR="000E767F" w:rsidRPr="000E767F" w:rsidRDefault="000E767F">
            <w:pPr>
              <w:rPr>
                <w:rFonts w:ascii="Book Antiqua" w:hAnsi="Book Antiqua" w:cs="Calibri"/>
                <w:color w:val="000000"/>
                <w:sz w:val="14"/>
                <w:szCs w:val="14"/>
                <w:lang w:eastAsia="es-CR"/>
                <w14:ligatures w14:val="standardContextual"/>
              </w:rPr>
            </w:pPr>
          </w:p>
        </w:tc>
        <w:tc>
          <w:tcPr>
            <w:tcW w:w="440" w:type="pct"/>
            <w:vMerge/>
            <w:tcBorders>
              <w:top w:val="nil"/>
              <w:left w:val="nil"/>
              <w:bottom w:val="single" w:sz="8" w:space="0" w:color="auto"/>
              <w:right w:val="single" w:sz="8" w:space="0" w:color="auto"/>
            </w:tcBorders>
            <w:vAlign w:val="center"/>
            <w:hideMark/>
          </w:tcPr>
          <w:p w14:paraId="63479A1B" w14:textId="77777777" w:rsidR="000E767F" w:rsidRPr="000E767F" w:rsidRDefault="000E767F">
            <w:pPr>
              <w:rPr>
                <w:rFonts w:ascii="Book Antiqua" w:hAnsi="Book Antiqua" w:cs="Calibri"/>
                <w:b/>
                <w:bCs/>
                <w:color w:val="000000"/>
                <w:sz w:val="14"/>
                <w:szCs w:val="14"/>
                <w:lang w:eastAsia="es-CR"/>
                <w14:ligatures w14:val="standardContextual"/>
              </w:rPr>
            </w:pPr>
          </w:p>
        </w:tc>
        <w:tc>
          <w:tcPr>
            <w:tcW w:w="819" w:type="pct"/>
            <w:vMerge/>
            <w:tcBorders>
              <w:top w:val="nil"/>
              <w:left w:val="nil"/>
              <w:bottom w:val="single" w:sz="8" w:space="0" w:color="auto"/>
              <w:right w:val="single" w:sz="8" w:space="0" w:color="auto"/>
            </w:tcBorders>
            <w:vAlign w:val="center"/>
            <w:hideMark/>
          </w:tcPr>
          <w:p w14:paraId="4CEFFA6A" w14:textId="77777777" w:rsidR="000E767F" w:rsidRPr="000E767F" w:rsidRDefault="000E767F">
            <w:pPr>
              <w:rPr>
                <w:rFonts w:ascii="Book Antiqua" w:hAnsi="Book Antiqua" w:cs="Calibri"/>
                <w:color w:val="000000"/>
                <w:sz w:val="14"/>
                <w:szCs w:val="14"/>
                <w:lang w:eastAsia="es-CR"/>
                <w14:ligatures w14:val="standardContextual"/>
              </w:rPr>
            </w:pPr>
          </w:p>
        </w:tc>
        <w:tc>
          <w:tcPr>
            <w:tcW w:w="981"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2D6690F9" w14:textId="77777777" w:rsidR="000E767F" w:rsidRPr="000E767F" w:rsidRDefault="000E767F">
            <w:pPr>
              <w:jc w:val="both"/>
              <w:rPr>
                <w:rFonts w:ascii="Book Antiqua" w:hAnsi="Book Antiqua" w:cs="Calibri"/>
                <w:color w:val="000000"/>
                <w:sz w:val="14"/>
                <w:szCs w:val="14"/>
                <w:lang w:eastAsia="es-CR"/>
                <w14:ligatures w14:val="standardContextual"/>
              </w:rPr>
            </w:pPr>
            <w:r w:rsidRPr="000E767F">
              <w:rPr>
                <w:rFonts w:ascii="Book Antiqua" w:hAnsi="Book Antiqua"/>
                <w:color w:val="000000"/>
                <w:sz w:val="14"/>
                <w:szCs w:val="14"/>
                <w:lang w:eastAsia="es-CR"/>
              </w:rPr>
              <w:t>Cantidad de inclusiones y actualizaciones de personal en el sistema Tiapo</w:t>
            </w:r>
          </w:p>
        </w:tc>
        <w:tc>
          <w:tcPr>
            <w:tcW w:w="390"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52D4597A"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300</w:t>
            </w:r>
          </w:p>
        </w:tc>
        <w:tc>
          <w:tcPr>
            <w:tcW w:w="529" w:type="pct"/>
            <w:tcBorders>
              <w:top w:val="nil"/>
              <w:left w:val="nil"/>
              <w:bottom w:val="single" w:sz="8" w:space="0" w:color="auto"/>
              <w:right w:val="single" w:sz="8" w:space="0" w:color="auto"/>
            </w:tcBorders>
            <w:tcMar>
              <w:top w:w="15" w:type="dxa"/>
              <w:left w:w="70" w:type="dxa"/>
              <w:bottom w:w="15" w:type="dxa"/>
              <w:right w:w="70" w:type="dxa"/>
            </w:tcMar>
            <w:vAlign w:val="center"/>
            <w:hideMark/>
          </w:tcPr>
          <w:p w14:paraId="37797FED"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330</w:t>
            </w:r>
          </w:p>
        </w:tc>
        <w:tc>
          <w:tcPr>
            <w:tcW w:w="1294" w:type="pct"/>
            <w:vMerge/>
            <w:tcBorders>
              <w:top w:val="nil"/>
              <w:left w:val="nil"/>
              <w:bottom w:val="single" w:sz="8" w:space="0" w:color="auto"/>
              <w:right w:val="single" w:sz="8" w:space="0" w:color="auto"/>
            </w:tcBorders>
            <w:vAlign w:val="center"/>
            <w:hideMark/>
          </w:tcPr>
          <w:p w14:paraId="4B2D826F" w14:textId="77777777" w:rsidR="000E767F" w:rsidRPr="000E767F" w:rsidRDefault="000E767F">
            <w:pPr>
              <w:rPr>
                <w:rFonts w:ascii="Book Antiqua" w:hAnsi="Book Antiqua" w:cs="Calibri"/>
                <w:color w:val="000000"/>
                <w:sz w:val="14"/>
                <w:szCs w:val="14"/>
                <w:lang w:eastAsia="es-CR"/>
                <w14:ligatures w14:val="standardContextual"/>
              </w:rPr>
            </w:pPr>
          </w:p>
        </w:tc>
        <w:tc>
          <w:tcPr>
            <w:tcW w:w="8" w:type="pct"/>
            <w:vAlign w:val="center"/>
            <w:hideMark/>
          </w:tcPr>
          <w:p w14:paraId="75503F1F" w14:textId="77777777" w:rsidR="000E767F" w:rsidRPr="000E767F" w:rsidRDefault="000E767F">
            <w:pPr>
              <w:rPr>
                <w:rFonts w:ascii="Book Antiqua" w:eastAsia="Times New Roman" w:hAnsi="Book Antiqua" w:cs="Times New Roman"/>
                <w:sz w:val="14"/>
                <w:szCs w:val="14"/>
                <w:lang w:eastAsia="es-CR"/>
              </w:rPr>
            </w:pPr>
          </w:p>
        </w:tc>
      </w:tr>
      <w:tr w:rsidR="000E767F" w:rsidRPr="000E767F" w14:paraId="4DE61962" w14:textId="77777777" w:rsidTr="000E767F">
        <w:trPr>
          <w:trHeight w:val="646"/>
          <w:jc w:val="center"/>
        </w:trPr>
        <w:tc>
          <w:tcPr>
            <w:tcW w:w="540" w:type="pct"/>
            <w:vMerge/>
            <w:tcBorders>
              <w:top w:val="nil"/>
              <w:left w:val="single" w:sz="8" w:space="0" w:color="auto"/>
              <w:bottom w:val="single" w:sz="8" w:space="0" w:color="auto"/>
              <w:right w:val="single" w:sz="8" w:space="0" w:color="auto"/>
            </w:tcBorders>
            <w:vAlign w:val="center"/>
            <w:hideMark/>
          </w:tcPr>
          <w:p w14:paraId="69EBF603" w14:textId="77777777" w:rsidR="000E767F" w:rsidRPr="000E767F" w:rsidRDefault="000E767F">
            <w:pPr>
              <w:rPr>
                <w:rFonts w:ascii="Book Antiqua" w:hAnsi="Book Antiqua" w:cs="Calibri"/>
                <w:color w:val="000000"/>
                <w:sz w:val="14"/>
                <w:szCs w:val="14"/>
                <w:lang w:eastAsia="es-CR"/>
                <w14:ligatures w14:val="standardContextual"/>
              </w:rPr>
            </w:pPr>
          </w:p>
        </w:tc>
        <w:tc>
          <w:tcPr>
            <w:tcW w:w="440" w:type="pct"/>
            <w:vMerge/>
            <w:tcBorders>
              <w:top w:val="nil"/>
              <w:left w:val="nil"/>
              <w:bottom w:val="single" w:sz="8" w:space="0" w:color="auto"/>
              <w:right w:val="single" w:sz="8" w:space="0" w:color="auto"/>
            </w:tcBorders>
            <w:vAlign w:val="center"/>
            <w:hideMark/>
          </w:tcPr>
          <w:p w14:paraId="1C49CD53" w14:textId="77777777" w:rsidR="000E767F" w:rsidRPr="000E767F" w:rsidRDefault="000E767F">
            <w:pPr>
              <w:rPr>
                <w:rFonts w:ascii="Book Antiqua" w:hAnsi="Book Antiqua" w:cs="Calibri"/>
                <w:b/>
                <w:bCs/>
                <w:color w:val="000000"/>
                <w:sz w:val="14"/>
                <w:szCs w:val="14"/>
                <w:lang w:eastAsia="es-CR"/>
                <w14:ligatures w14:val="standardContextual"/>
              </w:rPr>
            </w:pPr>
          </w:p>
        </w:tc>
        <w:tc>
          <w:tcPr>
            <w:tcW w:w="819" w:type="pct"/>
            <w:vMerge/>
            <w:tcBorders>
              <w:top w:val="nil"/>
              <w:left w:val="nil"/>
              <w:bottom w:val="single" w:sz="8" w:space="0" w:color="auto"/>
              <w:right w:val="single" w:sz="8" w:space="0" w:color="auto"/>
            </w:tcBorders>
            <w:vAlign w:val="center"/>
            <w:hideMark/>
          </w:tcPr>
          <w:p w14:paraId="5656A2C5" w14:textId="77777777" w:rsidR="000E767F" w:rsidRPr="000E767F" w:rsidRDefault="000E767F">
            <w:pPr>
              <w:rPr>
                <w:rFonts w:ascii="Book Antiqua" w:hAnsi="Book Antiqua" w:cs="Calibri"/>
                <w:color w:val="000000"/>
                <w:sz w:val="14"/>
                <w:szCs w:val="14"/>
                <w:lang w:eastAsia="es-CR"/>
                <w14:ligatures w14:val="standardContextual"/>
              </w:rPr>
            </w:pPr>
          </w:p>
        </w:tc>
        <w:tc>
          <w:tcPr>
            <w:tcW w:w="981"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54AF538E" w14:textId="77777777" w:rsidR="000E767F" w:rsidRPr="000E767F" w:rsidRDefault="000E767F">
            <w:pPr>
              <w:jc w:val="both"/>
              <w:rPr>
                <w:rFonts w:ascii="Book Antiqua" w:hAnsi="Book Antiqua" w:cs="Calibri"/>
                <w:color w:val="000000"/>
                <w:sz w:val="14"/>
                <w:szCs w:val="14"/>
                <w:lang w:eastAsia="es-CR"/>
                <w14:ligatures w14:val="standardContextual"/>
              </w:rPr>
            </w:pPr>
            <w:r w:rsidRPr="000E767F">
              <w:rPr>
                <w:rFonts w:ascii="Book Antiqua" w:hAnsi="Book Antiqua"/>
                <w:color w:val="000000"/>
                <w:sz w:val="14"/>
                <w:szCs w:val="14"/>
                <w:lang w:eastAsia="es-CR"/>
              </w:rPr>
              <w:t>Valoración del 100% del personal policial que solicita la valoración correspondiente a la idoneidad mental para la emisión de carne de portación de armas</w:t>
            </w:r>
          </w:p>
        </w:tc>
        <w:tc>
          <w:tcPr>
            <w:tcW w:w="390"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65254F51"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120</w:t>
            </w:r>
          </w:p>
        </w:tc>
        <w:tc>
          <w:tcPr>
            <w:tcW w:w="529" w:type="pct"/>
            <w:tcBorders>
              <w:top w:val="nil"/>
              <w:left w:val="nil"/>
              <w:bottom w:val="single" w:sz="8" w:space="0" w:color="auto"/>
              <w:right w:val="single" w:sz="8" w:space="0" w:color="auto"/>
            </w:tcBorders>
            <w:tcMar>
              <w:top w:w="15" w:type="dxa"/>
              <w:left w:w="70" w:type="dxa"/>
              <w:bottom w:w="15" w:type="dxa"/>
              <w:right w:w="70" w:type="dxa"/>
            </w:tcMar>
            <w:vAlign w:val="center"/>
            <w:hideMark/>
          </w:tcPr>
          <w:p w14:paraId="6360C35F"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100</w:t>
            </w:r>
          </w:p>
        </w:tc>
        <w:tc>
          <w:tcPr>
            <w:tcW w:w="1294" w:type="pct"/>
            <w:vMerge/>
            <w:tcBorders>
              <w:top w:val="nil"/>
              <w:left w:val="nil"/>
              <w:bottom w:val="single" w:sz="8" w:space="0" w:color="auto"/>
              <w:right w:val="single" w:sz="8" w:space="0" w:color="auto"/>
            </w:tcBorders>
            <w:vAlign w:val="center"/>
            <w:hideMark/>
          </w:tcPr>
          <w:p w14:paraId="1233F166" w14:textId="77777777" w:rsidR="000E767F" w:rsidRPr="000E767F" w:rsidRDefault="000E767F">
            <w:pPr>
              <w:rPr>
                <w:rFonts w:ascii="Book Antiqua" w:hAnsi="Book Antiqua" w:cs="Calibri"/>
                <w:color w:val="000000"/>
                <w:sz w:val="14"/>
                <w:szCs w:val="14"/>
                <w:lang w:eastAsia="es-CR"/>
                <w14:ligatures w14:val="standardContextual"/>
              </w:rPr>
            </w:pPr>
          </w:p>
        </w:tc>
        <w:tc>
          <w:tcPr>
            <w:tcW w:w="8" w:type="pct"/>
            <w:vAlign w:val="center"/>
            <w:hideMark/>
          </w:tcPr>
          <w:p w14:paraId="11D5B0A3" w14:textId="77777777" w:rsidR="000E767F" w:rsidRPr="000E767F" w:rsidRDefault="000E767F">
            <w:pPr>
              <w:rPr>
                <w:rFonts w:ascii="Book Antiqua" w:eastAsia="Times New Roman" w:hAnsi="Book Antiqua" w:cs="Times New Roman"/>
                <w:sz w:val="14"/>
                <w:szCs w:val="14"/>
                <w:lang w:eastAsia="es-CR"/>
              </w:rPr>
            </w:pPr>
          </w:p>
        </w:tc>
      </w:tr>
      <w:tr w:rsidR="000E767F" w:rsidRPr="000E767F" w14:paraId="65375B04" w14:textId="77777777" w:rsidTr="00EF4E17">
        <w:trPr>
          <w:trHeight w:val="1005"/>
          <w:jc w:val="center"/>
        </w:trPr>
        <w:tc>
          <w:tcPr>
            <w:tcW w:w="540" w:type="pct"/>
            <w:vMerge/>
            <w:tcBorders>
              <w:top w:val="nil"/>
              <w:left w:val="single" w:sz="8" w:space="0" w:color="auto"/>
              <w:bottom w:val="single" w:sz="8" w:space="0" w:color="auto"/>
              <w:right w:val="single" w:sz="8" w:space="0" w:color="auto"/>
            </w:tcBorders>
            <w:vAlign w:val="center"/>
            <w:hideMark/>
          </w:tcPr>
          <w:p w14:paraId="0F6898F9" w14:textId="77777777" w:rsidR="000E767F" w:rsidRPr="000E767F" w:rsidRDefault="000E767F">
            <w:pPr>
              <w:rPr>
                <w:rFonts w:ascii="Book Antiqua" w:hAnsi="Book Antiqua" w:cs="Calibri"/>
                <w:color w:val="000000"/>
                <w:sz w:val="14"/>
                <w:szCs w:val="14"/>
                <w:lang w:eastAsia="es-CR"/>
                <w14:ligatures w14:val="standardContextual"/>
              </w:rPr>
            </w:pPr>
          </w:p>
        </w:tc>
        <w:tc>
          <w:tcPr>
            <w:tcW w:w="440" w:type="pct"/>
            <w:vMerge/>
            <w:tcBorders>
              <w:top w:val="nil"/>
              <w:left w:val="nil"/>
              <w:bottom w:val="single" w:sz="8" w:space="0" w:color="auto"/>
              <w:right w:val="single" w:sz="8" w:space="0" w:color="auto"/>
            </w:tcBorders>
            <w:vAlign w:val="center"/>
            <w:hideMark/>
          </w:tcPr>
          <w:p w14:paraId="3AC1502A" w14:textId="77777777" w:rsidR="000E767F" w:rsidRPr="000E767F" w:rsidRDefault="000E767F">
            <w:pPr>
              <w:rPr>
                <w:rFonts w:ascii="Book Antiqua" w:hAnsi="Book Antiqua" w:cs="Calibri"/>
                <w:b/>
                <w:bCs/>
                <w:color w:val="000000"/>
                <w:sz w:val="14"/>
                <w:szCs w:val="14"/>
                <w:lang w:eastAsia="es-CR"/>
                <w14:ligatures w14:val="standardContextual"/>
              </w:rPr>
            </w:pPr>
          </w:p>
        </w:tc>
        <w:tc>
          <w:tcPr>
            <w:tcW w:w="819" w:type="pct"/>
            <w:vMerge/>
            <w:tcBorders>
              <w:top w:val="nil"/>
              <w:left w:val="nil"/>
              <w:bottom w:val="single" w:sz="8" w:space="0" w:color="auto"/>
              <w:right w:val="single" w:sz="8" w:space="0" w:color="auto"/>
            </w:tcBorders>
            <w:vAlign w:val="center"/>
            <w:hideMark/>
          </w:tcPr>
          <w:p w14:paraId="252D2E94" w14:textId="77777777" w:rsidR="000E767F" w:rsidRPr="000E767F" w:rsidRDefault="000E767F">
            <w:pPr>
              <w:rPr>
                <w:rFonts w:ascii="Book Antiqua" w:hAnsi="Book Antiqua" w:cs="Calibri"/>
                <w:color w:val="000000"/>
                <w:sz w:val="14"/>
                <w:szCs w:val="14"/>
                <w:lang w:eastAsia="es-CR"/>
                <w14:ligatures w14:val="standardContextual"/>
              </w:rPr>
            </w:pPr>
          </w:p>
        </w:tc>
        <w:tc>
          <w:tcPr>
            <w:tcW w:w="981"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5160BD01" w14:textId="77777777" w:rsidR="000E767F" w:rsidRPr="000E767F" w:rsidRDefault="000E767F">
            <w:pPr>
              <w:jc w:val="both"/>
              <w:rPr>
                <w:rFonts w:ascii="Book Antiqua" w:hAnsi="Book Antiqua" w:cs="Calibri"/>
                <w:color w:val="000000"/>
                <w:sz w:val="14"/>
                <w:szCs w:val="14"/>
                <w:lang w:eastAsia="es-CR"/>
                <w14:ligatures w14:val="standardContextual"/>
              </w:rPr>
            </w:pPr>
            <w:r w:rsidRPr="000E767F">
              <w:rPr>
                <w:rFonts w:ascii="Book Antiqua" w:hAnsi="Book Antiqua"/>
                <w:color w:val="000000"/>
                <w:sz w:val="14"/>
                <w:szCs w:val="14"/>
                <w:lang w:eastAsia="es-CR"/>
              </w:rPr>
              <w:t>Valoración del 100% de los oferentes de nuevo ingreso para puestos policiales que son convocados a entrevista psico laboral. Nuevo</w:t>
            </w:r>
          </w:p>
        </w:tc>
        <w:tc>
          <w:tcPr>
            <w:tcW w:w="390"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073FB605"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0</w:t>
            </w:r>
          </w:p>
        </w:tc>
        <w:tc>
          <w:tcPr>
            <w:tcW w:w="529" w:type="pct"/>
            <w:tcBorders>
              <w:top w:val="nil"/>
              <w:left w:val="nil"/>
              <w:bottom w:val="single" w:sz="8" w:space="0" w:color="auto"/>
              <w:right w:val="single" w:sz="8" w:space="0" w:color="auto"/>
            </w:tcBorders>
            <w:tcMar>
              <w:top w:w="15" w:type="dxa"/>
              <w:left w:w="70" w:type="dxa"/>
              <w:bottom w:w="15" w:type="dxa"/>
              <w:right w:w="70" w:type="dxa"/>
            </w:tcMar>
            <w:vAlign w:val="center"/>
            <w:hideMark/>
          </w:tcPr>
          <w:p w14:paraId="32368B73"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100</w:t>
            </w:r>
          </w:p>
        </w:tc>
        <w:tc>
          <w:tcPr>
            <w:tcW w:w="1294" w:type="pct"/>
            <w:vMerge/>
            <w:tcBorders>
              <w:top w:val="nil"/>
              <w:left w:val="nil"/>
              <w:bottom w:val="single" w:sz="8" w:space="0" w:color="auto"/>
              <w:right w:val="single" w:sz="8" w:space="0" w:color="auto"/>
            </w:tcBorders>
            <w:vAlign w:val="center"/>
            <w:hideMark/>
          </w:tcPr>
          <w:p w14:paraId="71908601" w14:textId="77777777" w:rsidR="000E767F" w:rsidRPr="000E767F" w:rsidRDefault="000E767F">
            <w:pPr>
              <w:rPr>
                <w:rFonts w:ascii="Book Antiqua" w:hAnsi="Book Antiqua" w:cs="Calibri"/>
                <w:color w:val="000000"/>
                <w:sz w:val="14"/>
                <w:szCs w:val="14"/>
                <w:lang w:eastAsia="es-CR"/>
                <w14:ligatures w14:val="standardContextual"/>
              </w:rPr>
            </w:pPr>
          </w:p>
        </w:tc>
        <w:tc>
          <w:tcPr>
            <w:tcW w:w="8" w:type="pct"/>
            <w:vAlign w:val="center"/>
            <w:hideMark/>
          </w:tcPr>
          <w:p w14:paraId="36513A53" w14:textId="77777777" w:rsidR="000E767F" w:rsidRPr="000E767F" w:rsidRDefault="000E767F">
            <w:pPr>
              <w:rPr>
                <w:rFonts w:ascii="Book Antiqua" w:eastAsia="Times New Roman" w:hAnsi="Book Antiqua" w:cs="Times New Roman"/>
                <w:sz w:val="14"/>
                <w:szCs w:val="14"/>
                <w:lang w:eastAsia="es-CR"/>
              </w:rPr>
            </w:pPr>
          </w:p>
        </w:tc>
      </w:tr>
      <w:tr w:rsidR="000E767F" w:rsidRPr="000E767F" w14:paraId="7F8A50E5" w14:textId="77777777" w:rsidTr="00EF4E17">
        <w:trPr>
          <w:trHeight w:val="440"/>
          <w:jc w:val="center"/>
        </w:trPr>
        <w:tc>
          <w:tcPr>
            <w:tcW w:w="540" w:type="pct"/>
            <w:vMerge/>
            <w:tcBorders>
              <w:top w:val="nil"/>
              <w:left w:val="single" w:sz="8" w:space="0" w:color="auto"/>
              <w:bottom w:val="single" w:sz="8" w:space="0" w:color="auto"/>
              <w:right w:val="single" w:sz="8" w:space="0" w:color="auto"/>
            </w:tcBorders>
            <w:vAlign w:val="center"/>
            <w:hideMark/>
          </w:tcPr>
          <w:p w14:paraId="17AB92A1" w14:textId="77777777" w:rsidR="000E767F" w:rsidRPr="000E767F" w:rsidRDefault="000E767F">
            <w:pPr>
              <w:rPr>
                <w:rFonts w:ascii="Book Antiqua" w:hAnsi="Book Antiqua" w:cs="Calibri"/>
                <w:color w:val="000000"/>
                <w:sz w:val="14"/>
                <w:szCs w:val="14"/>
                <w:lang w:eastAsia="es-CR"/>
                <w14:ligatures w14:val="standardContextual"/>
              </w:rPr>
            </w:pPr>
          </w:p>
        </w:tc>
        <w:tc>
          <w:tcPr>
            <w:tcW w:w="440" w:type="pct"/>
            <w:vMerge/>
            <w:tcBorders>
              <w:top w:val="nil"/>
              <w:left w:val="nil"/>
              <w:bottom w:val="single" w:sz="8" w:space="0" w:color="auto"/>
              <w:right w:val="single" w:sz="8" w:space="0" w:color="auto"/>
            </w:tcBorders>
            <w:vAlign w:val="center"/>
            <w:hideMark/>
          </w:tcPr>
          <w:p w14:paraId="2C24ECBA" w14:textId="77777777" w:rsidR="000E767F" w:rsidRPr="000E767F" w:rsidRDefault="000E767F">
            <w:pPr>
              <w:rPr>
                <w:rFonts w:ascii="Book Antiqua" w:hAnsi="Book Antiqua" w:cs="Calibri"/>
                <w:b/>
                <w:bCs/>
                <w:color w:val="000000"/>
                <w:sz w:val="14"/>
                <w:szCs w:val="14"/>
                <w:lang w:eastAsia="es-CR"/>
                <w14:ligatures w14:val="standardContextual"/>
              </w:rPr>
            </w:pPr>
          </w:p>
        </w:tc>
        <w:tc>
          <w:tcPr>
            <w:tcW w:w="819" w:type="pct"/>
            <w:vMerge/>
            <w:tcBorders>
              <w:top w:val="nil"/>
              <w:left w:val="nil"/>
              <w:bottom w:val="single" w:sz="8" w:space="0" w:color="auto"/>
              <w:right w:val="single" w:sz="8" w:space="0" w:color="auto"/>
            </w:tcBorders>
            <w:vAlign w:val="center"/>
            <w:hideMark/>
          </w:tcPr>
          <w:p w14:paraId="1F9A64ED" w14:textId="77777777" w:rsidR="000E767F" w:rsidRPr="000E767F" w:rsidRDefault="000E767F">
            <w:pPr>
              <w:rPr>
                <w:rFonts w:ascii="Book Antiqua" w:hAnsi="Book Antiqua" w:cs="Calibri"/>
                <w:color w:val="000000"/>
                <w:sz w:val="14"/>
                <w:szCs w:val="14"/>
                <w:lang w:eastAsia="es-CR"/>
                <w14:ligatures w14:val="standardContextual"/>
              </w:rPr>
            </w:pPr>
          </w:p>
        </w:tc>
        <w:tc>
          <w:tcPr>
            <w:tcW w:w="981"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011EAB46" w14:textId="77777777" w:rsidR="000E767F" w:rsidRPr="000E767F" w:rsidRDefault="000E767F">
            <w:pPr>
              <w:jc w:val="both"/>
              <w:rPr>
                <w:rFonts w:ascii="Book Antiqua" w:hAnsi="Book Antiqua" w:cs="Calibri"/>
                <w:color w:val="000000"/>
                <w:sz w:val="14"/>
                <w:szCs w:val="14"/>
                <w:lang w:eastAsia="es-CR"/>
                <w14:ligatures w14:val="standardContextual"/>
              </w:rPr>
            </w:pPr>
            <w:r w:rsidRPr="000E767F">
              <w:rPr>
                <w:rFonts w:ascii="Book Antiqua" w:hAnsi="Book Antiqua"/>
                <w:color w:val="000000"/>
                <w:sz w:val="14"/>
                <w:szCs w:val="14"/>
                <w:lang w:eastAsia="es-CR"/>
              </w:rPr>
              <w:t>Valorar el 100% de funcionarios citados para valoración por capítulo V del Manual para uso de armas de fuego. Nuevo</w:t>
            </w:r>
          </w:p>
        </w:tc>
        <w:tc>
          <w:tcPr>
            <w:tcW w:w="390"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109D415F"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0</w:t>
            </w:r>
          </w:p>
        </w:tc>
        <w:tc>
          <w:tcPr>
            <w:tcW w:w="529" w:type="pct"/>
            <w:tcBorders>
              <w:top w:val="nil"/>
              <w:left w:val="nil"/>
              <w:bottom w:val="single" w:sz="8" w:space="0" w:color="auto"/>
              <w:right w:val="single" w:sz="8" w:space="0" w:color="auto"/>
            </w:tcBorders>
            <w:tcMar>
              <w:top w:w="15" w:type="dxa"/>
              <w:left w:w="70" w:type="dxa"/>
              <w:bottom w:w="15" w:type="dxa"/>
              <w:right w:w="70" w:type="dxa"/>
            </w:tcMar>
            <w:vAlign w:val="center"/>
            <w:hideMark/>
          </w:tcPr>
          <w:p w14:paraId="7BE1A20A"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100</w:t>
            </w:r>
          </w:p>
        </w:tc>
        <w:tc>
          <w:tcPr>
            <w:tcW w:w="1294" w:type="pct"/>
            <w:vMerge/>
            <w:tcBorders>
              <w:top w:val="nil"/>
              <w:left w:val="nil"/>
              <w:bottom w:val="single" w:sz="8" w:space="0" w:color="auto"/>
              <w:right w:val="single" w:sz="8" w:space="0" w:color="auto"/>
            </w:tcBorders>
            <w:vAlign w:val="center"/>
            <w:hideMark/>
          </w:tcPr>
          <w:p w14:paraId="1A125EBF" w14:textId="77777777" w:rsidR="000E767F" w:rsidRPr="000E767F" w:rsidRDefault="000E767F">
            <w:pPr>
              <w:rPr>
                <w:rFonts w:ascii="Book Antiqua" w:hAnsi="Book Antiqua" w:cs="Calibri"/>
                <w:color w:val="000000"/>
                <w:sz w:val="14"/>
                <w:szCs w:val="14"/>
                <w:lang w:eastAsia="es-CR"/>
                <w14:ligatures w14:val="standardContextual"/>
              </w:rPr>
            </w:pPr>
          </w:p>
        </w:tc>
        <w:tc>
          <w:tcPr>
            <w:tcW w:w="8" w:type="pct"/>
            <w:vAlign w:val="center"/>
            <w:hideMark/>
          </w:tcPr>
          <w:p w14:paraId="46427B8B" w14:textId="77777777" w:rsidR="000E767F" w:rsidRPr="000E767F" w:rsidRDefault="000E767F">
            <w:pPr>
              <w:rPr>
                <w:rFonts w:ascii="Book Antiqua" w:eastAsia="Times New Roman" w:hAnsi="Book Antiqua" w:cs="Times New Roman"/>
                <w:sz w:val="14"/>
                <w:szCs w:val="14"/>
                <w:lang w:eastAsia="es-CR"/>
              </w:rPr>
            </w:pPr>
          </w:p>
        </w:tc>
      </w:tr>
      <w:tr w:rsidR="000E767F" w:rsidRPr="000E767F" w14:paraId="42E4EB2B" w14:textId="77777777" w:rsidTr="00EF4E17">
        <w:trPr>
          <w:trHeight w:val="584"/>
          <w:jc w:val="center"/>
        </w:trPr>
        <w:tc>
          <w:tcPr>
            <w:tcW w:w="540" w:type="pct"/>
            <w:vMerge/>
            <w:tcBorders>
              <w:top w:val="nil"/>
              <w:left w:val="single" w:sz="8" w:space="0" w:color="auto"/>
              <w:bottom w:val="single" w:sz="8" w:space="0" w:color="auto"/>
              <w:right w:val="single" w:sz="8" w:space="0" w:color="auto"/>
            </w:tcBorders>
            <w:vAlign w:val="center"/>
            <w:hideMark/>
          </w:tcPr>
          <w:p w14:paraId="784E5361" w14:textId="77777777" w:rsidR="000E767F" w:rsidRPr="000E767F" w:rsidRDefault="000E767F">
            <w:pPr>
              <w:rPr>
                <w:rFonts w:ascii="Book Antiqua" w:hAnsi="Book Antiqua" w:cs="Calibri"/>
                <w:color w:val="000000"/>
                <w:sz w:val="14"/>
                <w:szCs w:val="14"/>
                <w:lang w:eastAsia="es-CR"/>
                <w14:ligatures w14:val="standardContextual"/>
              </w:rPr>
            </w:pPr>
          </w:p>
        </w:tc>
        <w:tc>
          <w:tcPr>
            <w:tcW w:w="440" w:type="pct"/>
            <w:vMerge/>
            <w:tcBorders>
              <w:top w:val="nil"/>
              <w:left w:val="nil"/>
              <w:bottom w:val="single" w:sz="8" w:space="0" w:color="auto"/>
              <w:right w:val="single" w:sz="8" w:space="0" w:color="auto"/>
            </w:tcBorders>
            <w:vAlign w:val="center"/>
            <w:hideMark/>
          </w:tcPr>
          <w:p w14:paraId="6FE1A98B" w14:textId="77777777" w:rsidR="000E767F" w:rsidRPr="000E767F" w:rsidRDefault="000E767F">
            <w:pPr>
              <w:rPr>
                <w:rFonts w:ascii="Book Antiqua" w:hAnsi="Book Antiqua" w:cs="Calibri"/>
                <w:b/>
                <w:bCs/>
                <w:color w:val="000000"/>
                <w:sz w:val="14"/>
                <w:szCs w:val="14"/>
                <w:lang w:eastAsia="es-CR"/>
                <w14:ligatures w14:val="standardContextual"/>
              </w:rPr>
            </w:pPr>
          </w:p>
        </w:tc>
        <w:tc>
          <w:tcPr>
            <w:tcW w:w="819" w:type="pct"/>
            <w:vMerge/>
            <w:tcBorders>
              <w:top w:val="nil"/>
              <w:left w:val="nil"/>
              <w:bottom w:val="single" w:sz="8" w:space="0" w:color="auto"/>
              <w:right w:val="single" w:sz="8" w:space="0" w:color="auto"/>
            </w:tcBorders>
            <w:vAlign w:val="center"/>
            <w:hideMark/>
          </w:tcPr>
          <w:p w14:paraId="3F323CB2" w14:textId="77777777" w:rsidR="000E767F" w:rsidRPr="000E767F" w:rsidRDefault="000E767F">
            <w:pPr>
              <w:rPr>
                <w:rFonts w:ascii="Book Antiqua" w:hAnsi="Book Antiqua" w:cs="Calibri"/>
                <w:color w:val="000000"/>
                <w:sz w:val="14"/>
                <w:szCs w:val="14"/>
                <w:lang w:eastAsia="es-CR"/>
                <w14:ligatures w14:val="standardContextual"/>
              </w:rPr>
            </w:pPr>
          </w:p>
        </w:tc>
        <w:tc>
          <w:tcPr>
            <w:tcW w:w="981"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054F549B" w14:textId="77777777" w:rsidR="000E767F" w:rsidRPr="000E767F" w:rsidRDefault="000E767F">
            <w:pPr>
              <w:jc w:val="both"/>
              <w:rPr>
                <w:rFonts w:ascii="Book Antiqua" w:hAnsi="Book Antiqua" w:cs="Calibri"/>
                <w:color w:val="000000"/>
                <w:sz w:val="14"/>
                <w:szCs w:val="14"/>
                <w:lang w:eastAsia="es-CR"/>
                <w14:ligatures w14:val="standardContextual"/>
              </w:rPr>
            </w:pPr>
            <w:r w:rsidRPr="000E767F">
              <w:rPr>
                <w:rFonts w:ascii="Book Antiqua" w:hAnsi="Book Antiqua"/>
                <w:color w:val="000000"/>
                <w:sz w:val="14"/>
                <w:szCs w:val="14"/>
                <w:lang w:eastAsia="es-CR"/>
              </w:rPr>
              <w:t xml:space="preserve">Cantidad de pruebas toxicológicas aplicadas a oferente de primer ingreso para puestos policiales. </w:t>
            </w:r>
            <w:r w:rsidRPr="000E767F">
              <w:rPr>
                <w:rFonts w:ascii="Book Antiqua" w:hAnsi="Book Antiqua"/>
                <w:b/>
                <w:bCs/>
                <w:color w:val="000000"/>
                <w:sz w:val="14"/>
                <w:szCs w:val="14"/>
                <w:lang w:eastAsia="es-CR"/>
              </w:rPr>
              <w:t>Nuevo</w:t>
            </w:r>
          </w:p>
        </w:tc>
        <w:tc>
          <w:tcPr>
            <w:tcW w:w="390"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4F6D6CEA"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0</w:t>
            </w:r>
          </w:p>
        </w:tc>
        <w:tc>
          <w:tcPr>
            <w:tcW w:w="529" w:type="pct"/>
            <w:tcBorders>
              <w:top w:val="nil"/>
              <w:left w:val="nil"/>
              <w:bottom w:val="single" w:sz="8" w:space="0" w:color="auto"/>
              <w:right w:val="single" w:sz="8" w:space="0" w:color="auto"/>
            </w:tcBorders>
            <w:tcMar>
              <w:top w:w="15" w:type="dxa"/>
              <w:left w:w="70" w:type="dxa"/>
              <w:bottom w:w="15" w:type="dxa"/>
              <w:right w:w="70" w:type="dxa"/>
            </w:tcMar>
            <w:vAlign w:val="center"/>
            <w:hideMark/>
          </w:tcPr>
          <w:p w14:paraId="33F82619"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32</w:t>
            </w:r>
          </w:p>
        </w:tc>
        <w:tc>
          <w:tcPr>
            <w:tcW w:w="1294" w:type="pct"/>
            <w:vMerge/>
            <w:tcBorders>
              <w:top w:val="nil"/>
              <w:left w:val="nil"/>
              <w:bottom w:val="single" w:sz="8" w:space="0" w:color="auto"/>
              <w:right w:val="single" w:sz="8" w:space="0" w:color="auto"/>
            </w:tcBorders>
            <w:vAlign w:val="center"/>
            <w:hideMark/>
          </w:tcPr>
          <w:p w14:paraId="51DA65CC" w14:textId="77777777" w:rsidR="000E767F" w:rsidRPr="000E767F" w:rsidRDefault="000E767F">
            <w:pPr>
              <w:rPr>
                <w:rFonts w:ascii="Book Antiqua" w:hAnsi="Book Antiqua" w:cs="Calibri"/>
                <w:color w:val="000000"/>
                <w:sz w:val="14"/>
                <w:szCs w:val="14"/>
                <w:lang w:eastAsia="es-CR"/>
                <w14:ligatures w14:val="standardContextual"/>
              </w:rPr>
            </w:pPr>
          </w:p>
        </w:tc>
        <w:tc>
          <w:tcPr>
            <w:tcW w:w="8" w:type="pct"/>
            <w:vAlign w:val="center"/>
            <w:hideMark/>
          </w:tcPr>
          <w:p w14:paraId="483F63D0" w14:textId="77777777" w:rsidR="000E767F" w:rsidRPr="000E767F" w:rsidRDefault="000E767F">
            <w:pPr>
              <w:rPr>
                <w:rFonts w:ascii="Book Antiqua" w:eastAsia="Times New Roman" w:hAnsi="Book Antiqua" w:cs="Times New Roman"/>
                <w:sz w:val="14"/>
                <w:szCs w:val="14"/>
                <w:lang w:eastAsia="es-CR"/>
              </w:rPr>
            </w:pPr>
          </w:p>
        </w:tc>
      </w:tr>
      <w:tr w:rsidR="000E767F" w:rsidRPr="000E767F" w14:paraId="3690E194" w14:textId="77777777" w:rsidTr="000E767F">
        <w:trPr>
          <w:trHeight w:val="915"/>
          <w:jc w:val="center"/>
        </w:trPr>
        <w:tc>
          <w:tcPr>
            <w:tcW w:w="540" w:type="pct"/>
            <w:vMerge/>
            <w:tcBorders>
              <w:top w:val="nil"/>
              <w:left w:val="single" w:sz="8" w:space="0" w:color="auto"/>
              <w:bottom w:val="single" w:sz="8" w:space="0" w:color="auto"/>
              <w:right w:val="single" w:sz="8" w:space="0" w:color="auto"/>
            </w:tcBorders>
            <w:vAlign w:val="center"/>
            <w:hideMark/>
          </w:tcPr>
          <w:p w14:paraId="631EAAD5" w14:textId="77777777" w:rsidR="000E767F" w:rsidRPr="000E767F" w:rsidRDefault="000E767F">
            <w:pPr>
              <w:rPr>
                <w:rFonts w:ascii="Book Antiqua" w:hAnsi="Book Antiqua" w:cs="Calibri"/>
                <w:color w:val="000000"/>
                <w:sz w:val="14"/>
                <w:szCs w:val="14"/>
                <w:lang w:eastAsia="es-CR"/>
                <w14:ligatures w14:val="standardContextual"/>
              </w:rPr>
            </w:pPr>
          </w:p>
        </w:tc>
        <w:tc>
          <w:tcPr>
            <w:tcW w:w="440" w:type="pct"/>
            <w:vMerge w:val="restart"/>
            <w:tcBorders>
              <w:top w:val="nil"/>
              <w:left w:val="nil"/>
              <w:bottom w:val="single" w:sz="8" w:space="0" w:color="auto"/>
              <w:right w:val="single" w:sz="8" w:space="0" w:color="auto"/>
            </w:tcBorders>
            <w:tcMar>
              <w:top w:w="15" w:type="dxa"/>
              <w:left w:w="70" w:type="dxa"/>
              <w:bottom w:w="15" w:type="dxa"/>
              <w:right w:w="70" w:type="dxa"/>
            </w:tcMar>
            <w:vAlign w:val="center"/>
            <w:hideMark/>
          </w:tcPr>
          <w:p w14:paraId="2A8CA1E5" w14:textId="77777777" w:rsidR="000E767F" w:rsidRPr="000E767F" w:rsidRDefault="000E767F">
            <w:pPr>
              <w:jc w:val="center"/>
              <w:rPr>
                <w:rFonts w:ascii="Book Antiqua" w:hAnsi="Book Antiqua" w:cs="Calibri"/>
                <w:color w:val="000000"/>
                <w:sz w:val="14"/>
                <w:szCs w:val="14"/>
                <w:lang w:eastAsia="es-CR"/>
                <w14:ligatures w14:val="standardContextual"/>
              </w:rPr>
            </w:pPr>
            <w:r w:rsidRPr="000E767F">
              <w:rPr>
                <w:rFonts w:ascii="Book Antiqua" w:hAnsi="Book Antiqua"/>
                <w:color w:val="000000"/>
                <w:sz w:val="14"/>
                <w:szCs w:val="14"/>
                <w:lang w:eastAsia="es-CR"/>
              </w:rPr>
              <w:t>1167-OIJ-P36</w:t>
            </w:r>
          </w:p>
        </w:tc>
        <w:tc>
          <w:tcPr>
            <w:tcW w:w="819" w:type="pct"/>
            <w:vMerge w:val="restar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702B92F9"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Ejecución Presupuestaria Eficiente Vía SICOP</w:t>
            </w:r>
          </w:p>
        </w:tc>
        <w:tc>
          <w:tcPr>
            <w:tcW w:w="981"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52B250EB" w14:textId="77777777" w:rsidR="000E767F" w:rsidRPr="000E767F" w:rsidRDefault="000E767F">
            <w:pPr>
              <w:jc w:val="both"/>
              <w:rPr>
                <w:rFonts w:ascii="Book Antiqua" w:hAnsi="Book Antiqua"/>
                <w:color w:val="000000"/>
                <w:sz w:val="14"/>
                <w:szCs w:val="14"/>
                <w:lang w:eastAsia="es-CR"/>
              </w:rPr>
            </w:pPr>
            <w:r w:rsidRPr="000E767F">
              <w:rPr>
                <w:rFonts w:ascii="Book Antiqua" w:hAnsi="Book Antiqua"/>
                <w:color w:val="000000"/>
                <w:sz w:val="14"/>
                <w:szCs w:val="14"/>
                <w:lang w:eastAsia="es-CR"/>
              </w:rPr>
              <w:t>Cantidad de líneas de compra ejecutadas vía Sistema SIGA y SIGA 2.0</w:t>
            </w:r>
          </w:p>
        </w:tc>
        <w:tc>
          <w:tcPr>
            <w:tcW w:w="390"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1DD727F5" w14:textId="77777777" w:rsidR="000E767F" w:rsidRPr="000E767F" w:rsidRDefault="000E767F">
            <w:pPr>
              <w:rPr>
                <w:rFonts w:ascii="Book Antiqua" w:hAnsi="Book Antiqua"/>
                <w:color w:val="000000"/>
                <w:sz w:val="14"/>
                <w:szCs w:val="14"/>
                <w:lang w:eastAsia="es-CR"/>
              </w:rPr>
            </w:pPr>
          </w:p>
        </w:tc>
        <w:tc>
          <w:tcPr>
            <w:tcW w:w="529" w:type="pct"/>
            <w:tcBorders>
              <w:top w:val="nil"/>
              <w:left w:val="nil"/>
              <w:bottom w:val="single" w:sz="8" w:space="0" w:color="auto"/>
              <w:right w:val="single" w:sz="8" w:space="0" w:color="auto"/>
            </w:tcBorders>
            <w:tcMar>
              <w:top w:w="15" w:type="dxa"/>
              <w:left w:w="70" w:type="dxa"/>
              <w:bottom w:w="15" w:type="dxa"/>
              <w:right w:w="70" w:type="dxa"/>
            </w:tcMar>
            <w:vAlign w:val="center"/>
            <w:hideMark/>
          </w:tcPr>
          <w:p w14:paraId="62249AA6" w14:textId="77777777" w:rsidR="000E767F" w:rsidRPr="000E767F" w:rsidRDefault="000E767F">
            <w:pPr>
              <w:jc w:val="center"/>
              <w:rPr>
                <w:rFonts w:ascii="Book Antiqua" w:hAnsi="Book Antiqua" w:cs="Calibri"/>
                <w:color w:val="000000"/>
                <w:sz w:val="14"/>
                <w:szCs w:val="14"/>
                <w:lang w:eastAsia="es-CR"/>
                <w14:ligatures w14:val="standardContextual"/>
              </w:rPr>
            </w:pPr>
            <w:r w:rsidRPr="000E767F">
              <w:rPr>
                <w:rFonts w:ascii="Book Antiqua" w:hAnsi="Book Antiqua"/>
                <w:color w:val="000000"/>
                <w:sz w:val="14"/>
                <w:szCs w:val="14"/>
                <w:lang w:eastAsia="es-CR"/>
              </w:rPr>
              <w:t>0</w:t>
            </w:r>
          </w:p>
        </w:tc>
        <w:tc>
          <w:tcPr>
            <w:tcW w:w="1294" w:type="pct"/>
            <w:tcBorders>
              <w:top w:val="nil"/>
              <w:left w:val="nil"/>
              <w:bottom w:val="single" w:sz="8" w:space="0" w:color="auto"/>
              <w:right w:val="single" w:sz="8" w:space="0" w:color="auto"/>
            </w:tcBorders>
            <w:tcMar>
              <w:top w:w="15" w:type="dxa"/>
              <w:left w:w="70" w:type="dxa"/>
              <w:bottom w:w="15" w:type="dxa"/>
              <w:right w:w="70" w:type="dxa"/>
            </w:tcMar>
            <w:vAlign w:val="bottom"/>
            <w:hideMark/>
          </w:tcPr>
          <w:p w14:paraId="314DB86F" w14:textId="77777777" w:rsidR="000E767F" w:rsidRPr="000E767F" w:rsidRDefault="000E767F">
            <w:pPr>
              <w:jc w:val="both"/>
              <w:rPr>
                <w:rFonts w:ascii="Book Antiqua" w:hAnsi="Book Antiqua"/>
                <w:color w:val="000000"/>
                <w:sz w:val="14"/>
                <w:szCs w:val="14"/>
                <w:lang w:eastAsia="es-CR"/>
              </w:rPr>
            </w:pPr>
            <w:r w:rsidRPr="000E767F">
              <w:rPr>
                <w:rFonts w:ascii="Book Antiqua" w:hAnsi="Book Antiqua"/>
                <w:color w:val="000000"/>
                <w:sz w:val="14"/>
                <w:szCs w:val="14"/>
                <w:lang w:eastAsia="es-CR"/>
              </w:rPr>
              <w:t xml:space="preserve">Eliminar </w:t>
            </w:r>
          </w:p>
        </w:tc>
        <w:tc>
          <w:tcPr>
            <w:tcW w:w="8" w:type="pct"/>
            <w:vAlign w:val="center"/>
            <w:hideMark/>
          </w:tcPr>
          <w:p w14:paraId="319EDCFF" w14:textId="77777777" w:rsidR="000E767F" w:rsidRPr="000E767F" w:rsidRDefault="000E767F">
            <w:pPr>
              <w:rPr>
                <w:rFonts w:ascii="Book Antiqua" w:eastAsia="Times New Roman" w:hAnsi="Book Antiqua" w:cs="Times New Roman"/>
                <w:sz w:val="14"/>
                <w:szCs w:val="14"/>
                <w:lang w:eastAsia="es-CR"/>
              </w:rPr>
            </w:pPr>
          </w:p>
        </w:tc>
      </w:tr>
      <w:tr w:rsidR="000E767F" w:rsidRPr="000E767F" w14:paraId="1FF1070A" w14:textId="77777777" w:rsidTr="000E767F">
        <w:trPr>
          <w:trHeight w:val="615"/>
          <w:jc w:val="center"/>
        </w:trPr>
        <w:tc>
          <w:tcPr>
            <w:tcW w:w="540" w:type="pct"/>
            <w:vMerge/>
            <w:tcBorders>
              <w:top w:val="nil"/>
              <w:left w:val="single" w:sz="8" w:space="0" w:color="auto"/>
              <w:bottom w:val="single" w:sz="8" w:space="0" w:color="auto"/>
              <w:right w:val="single" w:sz="8" w:space="0" w:color="auto"/>
            </w:tcBorders>
            <w:vAlign w:val="center"/>
            <w:hideMark/>
          </w:tcPr>
          <w:p w14:paraId="6F2AB46B" w14:textId="77777777" w:rsidR="000E767F" w:rsidRPr="000E767F" w:rsidRDefault="000E767F">
            <w:pPr>
              <w:rPr>
                <w:rFonts w:ascii="Book Antiqua" w:hAnsi="Book Antiqua" w:cs="Calibri"/>
                <w:color w:val="000000"/>
                <w:sz w:val="14"/>
                <w:szCs w:val="14"/>
                <w:lang w:eastAsia="es-CR"/>
                <w14:ligatures w14:val="standardContextual"/>
              </w:rPr>
            </w:pPr>
          </w:p>
        </w:tc>
        <w:tc>
          <w:tcPr>
            <w:tcW w:w="440" w:type="pct"/>
            <w:vMerge/>
            <w:tcBorders>
              <w:top w:val="nil"/>
              <w:left w:val="nil"/>
              <w:bottom w:val="single" w:sz="8" w:space="0" w:color="auto"/>
              <w:right w:val="single" w:sz="8" w:space="0" w:color="auto"/>
            </w:tcBorders>
            <w:vAlign w:val="center"/>
            <w:hideMark/>
          </w:tcPr>
          <w:p w14:paraId="54585BEA" w14:textId="77777777" w:rsidR="000E767F" w:rsidRPr="000E767F" w:rsidRDefault="000E767F">
            <w:pPr>
              <w:rPr>
                <w:rFonts w:ascii="Book Antiqua" w:hAnsi="Book Antiqua" w:cs="Calibri"/>
                <w:color w:val="000000"/>
                <w:sz w:val="14"/>
                <w:szCs w:val="14"/>
                <w:lang w:eastAsia="es-CR"/>
                <w14:ligatures w14:val="standardContextual"/>
              </w:rPr>
            </w:pPr>
          </w:p>
        </w:tc>
        <w:tc>
          <w:tcPr>
            <w:tcW w:w="819" w:type="pct"/>
            <w:vMerge/>
            <w:tcBorders>
              <w:top w:val="nil"/>
              <w:left w:val="nil"/>
              <w:bottom w:val="single" w:sz="8" w:space="0" w:color="auto"/>
              <w:right w:val="single" w:sz="8" w:space="0" w:color="auto"/>
            </w:tcBorders>
            <w:vAlign w:val="center"/>
            <w:hideMark/>
          </w:tcPr>
          <w:p w14:paraId="5CCB0157" w14:textId="77777777" w:rsidR="000E767F" w:rsidRPr="000E767F" w:rsidRDefault="000E767F">
            <w:pPr>
              <w:rPr>
                <w:rFonts w:ascii="Book Antiqua" w:hAnsi="Book Antiqua" w:cs="Calibri"/>
                <w:color w:val="000000"/>
                <w:sz w:val="14"/>
                <w:szCs w:val="14"/>
                <w:lang w:eastAsia="es-CR"/>
                <w14:ligatures w14:val="standardContextual"/>
              </w:rPr>
            </w:pPr>
          </w:p>
        </w:tc>
        <w:tc>
          <w:tcPr>
            <w:tcW w:w="981"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72FF3E92" w14:textId="77777777" w:rsidR="000E767F" w:rsidRPr="000E767F" w:rsidRDefault="000E767F">
            <w:pPr>
              <w:jc w:val="both"/>
              <w:rPr>
                <w:rFonts w:ascii="Book Antiqua" w:hAnsi="Book Antiqua" w:cs="Calibri"/>
                <w:color w:val="000000"/>
                <w:sz w:val="14"/>
                <w:szCs w:val="14"/>
                <w:lang w:eastAsia="es-CR"/>
                <w14:ligatures w14:val="standardContextual"/>
              </w:rPr>
            </w:pPr>
            <w:r w:rsidRPr="000E767F">
              <w:rPr>
                <w:rFonts w:ascii="Book Antiqua" w:hAnsi="Book Antiqua"/>
                <w:color w:val="000000"/>
                <w:sz w:val="14"/>
                <w:szCs w:val="14"/>
                <w:lang w:eastAsia="es-CR"/>
              </w:rPr>
              <w:t>Cantidad de líneas de compra vía SICOP</w:t>
            </w:r>
          </w:p>
        </w:tc>
        <w:tc>
          <w:tcPr>
            <w:tcW w:w="390"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45104A52" w14:textId="77777777" w:rsidR="000E767F" w:rsidRPr="000E767F" w:rsidRDefault="000E767F">
            <w:pPr>
              <w:rPr>
                <w:rFonts w:ascii="Book Antiqua" w:hAnsi="Book Antiqua"/>
                <w:color w:val="000000"/>
                <w:sz w:val="14"/>
                <w:szCs w:val="14"/>
                <w:lang w:eastAsia="es-CR"/>
              </w:rPr>
            </w:pPr>
          </w:p>
        </w:tc>
        <w:tc>
          <w:tcPr>
            <w:tcW w:w="529" w:type="pct"/>
            <w:tcBorders>
              <w:top w:val="nil"/>
              <w:left w:val="nil"/>
              <w:bottom w:val="single" w:sz="8" w:space="0" w:color="auto"/>
              <w:right w:val="single" w:sz="8" w:space="0" w:color="auto"/>
            </w:tcBorders>
            <w:tcMar>
              <w:top w:w="15" w:type="dxa"/>
              <w:left w:w="70" w:type="dxa"/>
              <w:bottom w:w="15" w:type="dxa"/>
              <w:right w:w="70" w:type="dxa"/>
            </w:tcMar>
            <w:vAlign w:val="center"/>
            <w:hideMark/>
          </w:tcPr>
          <w:p w14:paraId="1CFFF931" w14:textId="77777777" w:rsidR="000E767F" w:rsidRPr="000E767F" w:rsidRDefault="000E767F">
            <w:pPr>
              <w:jc w:val="center"/>
              <w:rPr>
                <w:rFonts w:ascii="Book Antiqua" w:hAnsi="Book Antiqua" w:cs="Calibri"/>
                <w:color w:val="000000"/>
                <w:sz w:val="14"/>
                <w:szCs w:val="14"/>
                <w:lang w:eastAsia="es-CR"/>
                <w14:ligatures w14:val="standardContextual"/>
              </w:rPr>
            </w:pPr>
            <w:r w:rsidRPr="000E767F">
              <w:rPr>
                <w:rFonts w:ascii="Book Antiqua" w:hAnsi="Book Antiqua"/>
                <w:color w:val="000000"/>
                <w:sz w:val="14"/>
                <w:szCs w:val="14"/>
                <w:lang w:eastAsia="es-CR"/>
              </w:rPr>
              <w:t>0</w:t>
            </w:r>
          </w:p>
        </w:tc>
        <w:tc>
          <w:tcPr>
            <w:tcW w:w="1294" w:type="pct"/>
            <w:tcBorders>
              <w:top w:val="nil"/>
              <w:left w:val="nil"/>
              <w:bottom w:val="single" w:sz="8" w:space="0" w:color="auto"/>
              <w:right w:val="single" w:sz="8" w:space="0" w:color="auto"/>
            </w:tcBorders>
            <w:tcMar>
              <w:top w:w="15" w:type="dxa"/>
              <w:left w:w="70" w:type="dxa"/>
              <w:bottom w:w="15" w:type="dxa"/>
              <w:right w:w="70" w:type="dxa"/>
            </w:tcMar>
            <w:vAlign w:val="bottom"/>
            <w:hideMark/>
          </w:tcPr>
          <w:p w14:paraId="230798A1" w14:textId="77777777" w:rsidR="000E767F" w:rsidRPr="000E767F" w:rsidRDefault="000E767F">
            <w:pPr>
              <w:jc w:val="both"/>
              <w:rPr>
                <w:rFonts w:ascii="Book Antiqua" w:hAnsi="Book Antiqua"/>
                <w:color w:val="000000"/>
                <w:sz w:val="14"/>
                <w:szCs w:val="14"/>
                <w:lang w:eastAsia="es-CR"/>
              </w:rPr>
            </w:pPr>
            <w:r w:rsidRPr="000E767F">
              <w:rPr>
                <w:rFonts w:ascii="Book Antiqua" w:hAnsi="Book Antiqua"/>
                <w:color w:val="000000"/>
                <w:sz w:val="14"/>
                <w:szCs w:val="14"/>
                <w:lang w:eastAsia="es-CR"/>
              </w:rPr>
              <w:t xml:space="preserve">Eliminar </w:t>
            </w:r>
          </w:p>
        </w:tc>
        <w:tc>
          <w:tcPr>
            <w:tcW w:w="8" w:type="pct"/>
            <w:vAlign w:val="center"/>
            <w:hideMark/>
          </w:tcPr>
          <w:p w14:paraId="77CA1E15" w14:textId="77777777" w:rsidR="000E767F" w:rsidRPr="000E767F" w:rsidRDefault="000E767F">
            <w:pPr>
              <w:rPr>
                <w:rFonts w:ascii="Book Antiqua" w:eastAsia="Times New Roman" w:hAnsi="Book Antiqua" w:cs="Times New Roman"/>
                <w:sz w:val="14"/>
                <w:szCs w:val="14"/>
                <w:lang w:eastAsia="es-CR"/>
              </w:rPr>
            </w:pPr>
          </w:p>
        </w:tc>
      </w:tr>
      <w:tr w:rsidR="000E767F" w:rsidRPr="000E767F" w14:paraId="7B593A20" w14:textId="77777777" w:rsidTr="00EF4E17">
        <w:trPr>
          <w:trHeight w:val="591"/>
          <w:jc w:val="center"/>
        </w:trPr>
        <w:tc>
          <w:tcPr>
            <w:tcW w:w="540" w:type="pct"/>
            <w:vMerge/>
            <w:tcBorders>
              <w:top w:val="nil"/>
              <w:left w:val="single" w:sz="8" w:space="0" w:color="auto"/>
              <w:bottom w:val="single" w:sz="8" w:space="0" w:color="auto"/>
              <w:right w:val="single" w:sz="8" w:space="0" w:color="auto"/>
            </w:tcBorders>
            <w:vAlign w:val="center"/>
            <w:hideMark/>
          </w:tcPr>
          <w:p w14:paraId="7CA7C466" w14:textId="77777777" w:rsidR="000E767F" w:rsidRPr="000E767F" w:rsidRDefault="000E767F">
            <w:pPr>
              <w:rPr>
                <w:rFonts w:ascii="Book Antiqua" w:hAnsi="Book Antiqua" w:cs="Calibri"/>
                <w:color w:val="000000"/>
                <w:sz w:val="14"/>
                <w:szCs w:val="14"/>
                <w:lang w:eastAsia="es-CR"/>
                <w14:ligatures w14:val="standardContextual"/>
              </w:rPr>
            </w:pPr>
          </w:p>
        </w:tc>
        <w:tc>
          <w:tcPr>
            <w:tcW w:w="440" w:type="pct"/>
            <w:vMerge/>
            <w:tcBorders>
              <w:top w:val="nil"/>
              <w:left w:val="nil"/>
              <w:bottom w:val="single" w:sz="8" w:space="0" w:color="auto"/>
              <w:right w:val="single" w:sz="8" w:space="0" w:color="auto"/>
            </w:tcBorders>
            <w:vAlign w:val="center"/>
            <w:hideMark/>
          </w:tcPr>
          <w:p w14:paraId="4B267EFB" w14:textId="77777777" w:rsidR="000E767F" w:rsidRPr="000E767F" w:rsidRDefault="000E767F">
            <w:pPr>
              <w:rPr>
                <w:rFonts w:ascii="Book Antiqua" w:hAnsi="Book Antiqua" w:cs="Calibri"/>
                <w:color w:val="000000"/>
                <w:sz w:val="14"/>
                <w:szCs w:val="14"/>
                <w:lang w:eastAsia="es-CR"/>
                <w14:ligatures w14:val="standardContextual"/>
              </w:rPr>
            </w:pPr>
          </w:p>
        </w:tc>
        <w:tc>
          <w:tcPr>
            <w:tcW w:w="819" w:type="pct"/>
            <w:vMerge/>
            <w:tcBorders>
              <w:top w:val="nil"/>
              <w:left w:val="nil"/>
              <w:bottom w:val="single" w:sz="8" w:space="0" w:color="auto"/>
              <w:right w:val="single" w:sz="8" w:space="0" w:color="auto"/>
            </w:tcBorders>
            <w:vAlign w:val="center"/>
            <w:hideMark/>
          </w:tcPr>
          <w:p w14:paraId="1EE23BD3" w14:textId="77777777" w:rsidR="000E767F" w:rsidRPr="000E767F" w:rsidRDefault="000E767F">
            <w:pPr>
              <w:rPr>
                <w:rFonts w:ascii="Book Antiqua" w:hAnsi="Book Antiqua" w:cs="Calibri"/>
                <w:color w:val="000000"/>
                <w:sz w:val="14"/>
                <w:szCs w:val="14"/>
                <w:lang w:eastAsia="es-CR"/>
                <w14:ligatures w14:val="standardContextual"/>
              </w:rPr>
            </w:pPr>
          </w:p>
        </w:tc>
        <w:tc>
          <w:tcPr>
            <w:tcW w:w="981"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681DE2EB" w14:textId="77777777" w:rsidR="000E767F" w:rsidRPr="000E767F" w:rsidRDefault="000E767F">
            <w:pPr>
              <w:jc w:val="both"/>
              <w:rPr>
                <w:rFonts w:ascii="Book Antiqua" w:hAnsi="Book Antiqua" w:cs="Calibri"/>
                <w:color w:val="000000"/>
                <w:sz w:val="14"/>
                <w:szCs w:val="14"/>
                <w:lang w:eastAsia="es-CR"/>
                <w14:ligatures w14:val="standardContextual"/>
              </w:rPr>
            </w:pPr>
            <w:r w:rsidRPr="000E767F">
              <w:rPr>
                <w:rFonts w:ascii="Book Antiqua" w:hAnsi="Book Antiqua"/>
                <w:color w:val="000000"/>
                <w:sz w:val="14"/>
                <w:szCs w:val="14"/>
                <w:lang w:eastAsia="es-CR"/>
              </w:rPr>
              <w:t xml:space="preserve">Revisar el 100% de las ofertas recibidas en los procedimientos de compra. </w:t>
            </w:r>
            <w:r w:rsidRPr="000E767F">
              <w:rPr>
                <w:rFonts w:ascii="Book Antiqua" w:hAnsi="Book Antiqua"/>
                <w:b/>
                <w:bCs/>
                <w:color w:val="000000"/>
                <w:sz w:val="14"/>
                <w:szCs w:val="14"/>
                <w:lang w:eastAsia="es-CR"/>
              </w:rPr>
              <w:t>Nuevo</w:t>
            </w:r>
          </w:p>
        </w:tc>
        <w:tc>
          <w:tcPr>
            <w:tcW w:w="390"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5D974655"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0</w:t>
            </w:r>
          </w:p>
        </w:tc>
        <w:tc>
          <w:tcPr>
            <w:tcW w:w="529" w:type="pct"/>
            <w:tcBorders>
              <w:top w:val="nil"/>
              <w:left w:val="nil"/>
              <w:bottom w:val="single" w:sz="8" w:space="0" w:color="auto"/>
              <w:right w:val="single" w:sz="8" w:space="0" w:color="auto"/>
            </w:tcBorders>
            <w:tcMar>
              <w:top w:w="15" w:type="dxa"/>
              <w:left w:w="70" w:type="dxa"/>
              <w:bottom w:w="15" w:type="dxa"/>
              <w:right w:w="70" w:type="dxa"/>
            </w:tcMar>
            <w:vAlign w:val="center"/>
            <w:hideMark/>
          </w:tcPr>
          <w:p w14:paraId="0F72197A"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100</w:t>
            </w:r>
          </w:p>
        </w:tc>
        <w:tc>
          <w:tcPr>
            <w:tcW w:w="1294" w:type="pct"/>
            <w:tcBorders>
              <w:top w:val="nil"/>
              <w:left w:val="nil"/>
              <w:bottom w:val="single" w:sz="8" w:space="0" w:color="auto"/>
              <w:right w:val="single" w:sz="8" w:space="0" w:color="auto"/>
            </w:tcBorders>
            <w:tcMar>
              <w:top w:w="15" w:type="dxa"/>
              <w:left w:w="70" w:type="dxa"/>
              <w:bottom w:w="15" w:type="dxa"/>
              <w:right w:w="70" w:type="dxa"/>
            </w:tcMar>
            <w:vAlign w:val="bottom"/>
            <w:hideMark/>
          </w:tcPr>
          <w:p w14:paraId="274814B2" w14:textId="77777777" w:rsidR="000E767F" w:rsidRPr="000E767F" w:rsidRDefault="000E767F">
            <w:pPr>
              <w:rPr>
                <w:rFonts w:ascii="Book Antiqua" w:hAnsi="Book Antiqua"/>
                <w:color w:val="000000"/>
                <w:sz w:val="14"/>
                <w:szCs w:val="14"/>
                <w:lang w:eastAsia="es-CR"/>
              </w:rPr>
            </w:pPr>
            <w:r w:rsidRPr="000E767F">
              <w:rPr>
                <w:rFonts w:ascii="Book Antiqua" w:hAnsi="Book Antiqua"/>
                <w:color w:val="000000"/>
                <w:sz w:val="14"/>
                <w:szCs w:val="14"/>
                <w:lang w:eastAsia="es-CR"/>
              </w:rPr>
              <w:t>Se requiere incluir un indicador nuevo para la cantidad de ofertas analizadas</w:t>
            </w:r>
          </w:p>
        </w:tc>
        <w:tc>
          <w:tcPr>
            <w:tcW w:w="8" w:type="pct"/>
            <w:vAlign w:val="center"/>
            <w:hideMark/>
          </w:tcPr>
          <w:p w14:paraId="4C51DB5C" w14:textId="77777777" w:rsidR="000E767F" w:rsidRPr="000E767F" w:rsidRDefault="000E767F">
            <w:pPr>
              <w:rPr>
                <w:rFonts w:ascii="Book Antiqua" w:eastAsia="Times New Roman" w:hAnsi="Book Antiqua" w:cs="Times New Roman"/>
                <w:sz w:val="14"/>
                <w:szCs w:val="14"/>
                <w:lang w:eastAsia="es-CR"/>
              </w:rPr>
            </w:pPr>
          </w:p>
        </w:tc>
      </w:tr>
      <w:tr w:rsidR="000E767F" w:rsidRPr="000E767F" w14:paraId="0B74F8B5" w14:textId="77777777" w:rsidTr="00EF4E17">
        <w:trPr>
          <w:trHeight w:val="647"/>
          <w:jc w:val="center"/>
        </w:trPr>
        <w:tc>
          <w:tcPr>
            <w:tcW w:w="540" w:type="pct"/>
            <w:vMerge/>
            <w:tcBorders>
              <w:top w:val="nil"/>
              <w:left w:val="single" w:sz="8" w:space="0" w:color="auto"/>
              <w:bottom w:val="single" w:sz="8" w:space="0" w:color="auto"/>
              <w:right w:val="single" w:sz="8" w:space="0" w:color="auto"/>
            </w:tcBorders>
            <w:vAlign w:val="center"/>
            <w:hideMark/>
          </w:tcPr>
          <w:p w14:paraId="2917D86F" w14:textId="77777777" w:rsidR="000E767F" w:rsidRPr="000E767F" w:rsidRDefault="000E767F">
            <w:pPr>
              <w:rPr>
                <w:rFonts w:ascii="Book Antiqua" w:hAnsi="Book Antiqua" w:cs="Calibri"/>
                <w:color w:val="000000"/>
                <w:sz w:val="14"/>
                <w:szCs w:val="14"/>
                <w:lang w:eastAsia="es-CR"/>
                <w14:ligatures w14:val="standardContextual"/>
              </w:rPr>
            </w:pPr>
          </w:p>
        </w:tc>
        <w:tc>
          <w:tcPr>
            <w:tcW w:w="440" w:type="pct"/>
            <w:vMerge/>
            <w:tcBorders>
              <w:top w:val="nil"/>
              <w:left w:val="nil"/>
              <w:bottom w:val="single" w:sz="8" w:space="0" w:color="auto"/>
              <w:right w:val="single" w:sz="8" w:space="0" w:color="auto"/>
            </w:tcBorders>
            <w:vAlign w:val="center"/>
            <w:hideMark/>
          </w:tcPr>
          <w:p w14:paraId="12D6E914" w14:textId="77777777" w:rsidR="000E767F" w:rsidRPr="000E767F" w:rsidRDefault="000E767F">
            <w:pPr>
              <w:rPr>
                <w:rFonts w:ascii="Book Antiqua" w:hAnsi="Book Antiqua" w:cs="Calibri"/>
                <w:color w:val="000000"/>
                <w:sz w:val="14"/>
                <w:szCs w:val="14"/>
                <w:lang w:eastAsia="es-CR"/>
                <w14:ligatures w14:val="standardContextual"/>
              </w:rPr>
            </w:pPr>
          </w:p>
        </w:tc>
        <w:tc>
          <w:tcPr>
            <w:tcW w:w="819" w:type="pct"/>
            <w:vMerge/>
            <w:tcBorders>
              <w:top w:val="nil"/>
              <w:left w:val="nil"/>
              <w:bottom w:val="single" w:sz="8" w:space="0" w:color="auto"/>
              <w:right w:val="single" w:sz="8" w:space="0" w:color="auto"/>
            </w:tcBorders>
            <w:vAlign w:val="center"/>
            <w:hideMark/>
          </w:tcPr>
          <w:p w14:paraId="59B85412" w14:textId="77777777" w:rsidR="000E767F" w:rsidRPr="000E767F" w:rsidRDefault="000E767F">
            <w:pPr>
              <w:rPr>
                <w:rFonts w:ascii="Book Antiqua" w:hAnsi="Book Antiqua" w:cs="Calibri"/>
                <w:color w:val="000000"/>
                <w:sz w:val="14"/>
                <w:szCs w:val="14"/>
                <w:lang w:eastAsia="es-CR"/>
                <w14:ligatures w14:val="standardContextual"/>
              </w:rPr>
            </w:pPr>
          </w:p>
        </w:tc>
        <w:tc>
          <w:tcPr>
            <w:tcW w:w="981"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0F7E0C09" w14:textId="77777777" w:rsidR="000E767F" w:rsidRPr="000E767F" w:rsidRDefault="000E767F">
            <w:pPr>
              <w:jc w:val="both"/>
              <w:rPr>
                <w:rFonts w:ascii="Book Antiqua" w:hAnsi="Book Antiqua" w:cs="Calibri"/>
                <w:color w:val="000000"/>
                <w:sz w:val="14"/>
                <w:szCs w:val="14"/>
                <w:lang w:eastAsia="es-CR"/>
                <w14:ligatures w14:val="standardContextual"/>
              </w:rPr>
            </w:pPr>
            <w:r w:rsidRPr="000E767F">
              <w:rPr>
                <w:rFonts w:ascii="Book Antiqua" w:hAnsi="Book Antiqua"/>
                <w:color w:val="000000"/>
                <w:sz w:val="14"/>
                <w:szCs w:val="14"/>
                <w:lang w:eastAsia="es-CR"/>
              </w:rPr>
              <w:t xml:space="preserve">Tramitar el 100% de las líneas de compra recibidas para trámite vía SICOP. </w:t>
            </w:r>
            <w:r w:rsidRPr="000E767F">
              <w:rPr>
                <w:rFonts w:ascii="Book Antiqua" w:hAnsi="Book Antiqua"/>
                <w:b/>
                <w:bCs/>
                <w:color w:val="000000"/>
                <w:sz w:val="14"/>
                <w:szCs w:val="14"/>
                <w:lang w:eastAsia="es-CR"/>
              </w:rPr>
              <w:t xml:space="preserve">Nuevo </w:t>
            </w:r>
          </w:p>
        </w:tc>
        <w:tc>
          <w:tcPr>
            <w:tcW w:w="390"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71A07269"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0</w:t>
            </w:r>
          </w:p>
        </w:tc>
        <w:tc>
          <w:tcPr>
            <w:tcW w:w="529" w:type="pct"/>
            <w:tcBorders>
              <w:top w:val="nil"/>
              <w:left w:val="nil"/>
              <w:bottom w:val="single" w:sz="8" w:space="0" w:color="auto"/>
              <w:right w:val="single" w:sz="8" w:space="0" w:color="auto"/>
            </w:tcBorders>
            <w:tcMar>
              <w:top w:w="15" w:type="dxa"/>
              <w:left w:w="70" w:type="dxa"/>
              <w:bottom w:w="15" w:type="dxa"/>
              <w:right w:w="70" w:type="dxa"/>
            </w:tcMar>
            <w:vAlign w:val="center"/>
            <w:hideMark/>
          </w:tcPr>
          <w:p w14:paraId="33520860"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100%</w:t>
            </w:r>
          </w:p>
        </w:tc>
        <w:tc>
          <w:tcPr>
            <w:tcW w:w="1294" w:type="pct"/>
            <w:vMerge w:val="restart"/>
            <w:tcBorders>
              <w:top w:val="nil"/>
              <w:left w:val="nil"/>
              <w:bottom w:val="single" w:sz="8" w:space="0" w:color="auto"/>
              <w:right w:val="single" w:sz="8" w:space="0" w:color="auto"/>
            </w:tcBorders>
            <w:tcMar>
              <w:top w:w="15" w:type="dxa"/>
              <w:left w:w="70" w:type="dxa"/>
              <w:bottom w:w="15" w:type="dxa"/>
              <w:right w:w="70" w:type="dxa"/>
            </w:tcMar>
            <w:vAlign w:val="center"/>
            <w:hideMark/>
          </w:tcPr>
          <w:p w14:paraId="6D1829CF" w14:textId="77777777" w:rsidR="000E767F" w:rsidRPr="000E767F" w:rsidRDefault="000E767F">
            <w:pPr>
              <w:jc w:val="both"/>
              <w:rPr>
                <w:rFonts w:ascii="Book Antiqua" w:hAnsi="Book Antiqua"/>
                <w:color w:val="000000"/>
                <w:sz w:val="14"/>
                <w:szCs w:val="14"/>
                <w:lang w:eastAsia="es-CR"/>
              </w:rPr>
            </w:pPr>
            <w:r w:rsidRPr="000E767F">
              <w:rPr>
                <w:rFonts w:ascii="Book Antiqua" w:hAnsi="Book Antiqua"/>
                <w:color w:val="000000"/>
                <w:sz w:val="14"/>
                <w:szCs w:val="14"/>
                <w:lang w:eastAsia="es-CR"/>
              </w:rPr>
              <w:t xml:space="preserve">Se sustituyen los indicadores anteriores para trabajarlos porcentualmente. </w:t>
            </w:r>
          </w:p>
        </w:tc>
        <w:tc>
          <w:tcPr>
            <w:tcW w:w="8" w:type="pct"/>
            <w:vAlign w:val="center"/>
            <w:hideMark/>
          </w:tcPr>
          <w:p w14:paraId="13219C47" w14:textId="77777777" w:rsidR="000E767F" w:rsidRPr="000E767F" w:rsidRDefault="000E767F">
            <w:pPr>
              <w:rPr>
                <w:rFonts w:ascii="Book Antiqua" w:eastAsia="Times New Roman" w:hAnsi="Book Antiqua" w:cs="Times New Roman"/>
                <w:sz w:val="14"/>
                <w:szCs w:val="14"/>
                <w:lang w:eastAsia="es-CR"/>
              </w:rPr>
            </w:pPr>
          </w:p>
        </w:tc>
      </w:tr>
      <w:tr w:rsidR="000E767F" w:rsidRPr="000E767F" w14:paraId="550CF2A4" w14:textId="77777777" w:rsidTr="00EF4E17">
        <w:trPr>
          <w:trHeight w:val="587"/>
          <w:jc w:val="center"/>
        </w:trPr>
        <w:tc>
          <w:tcPr>
            <w:tcW w:w="540" w:type="pct"/>
            <w:vMerge/>
            <w:tcBorders>
              <w:top w:val="nil"/>
              <w:left w:val="single" w:sz="8" w:space="0" w:color="auto"/>
              <w:bottom w:val="single" w:sz="8" w:space="0" w:color="auto"/>
              <w:right w:val="single" w:sz="8" w:space="0" w:color="auto"/>
            </w:tcBorders>
            <w:vAlign w:val="center"/>
            <w:hideMark/>
          </w:tcPr>
          <w:p w14:paraId="2175F1FA" w14:textId="77777777" w:rsidR="000E767F" w:rsidRPr="000E767F" w:rsidRDefault="000E767F">
            <w:pPr>
              <w:rPr>
                <w:rFonts w:ascii="Book Antiqua" w:hAnsi="Book Antiqua" w:cs="Calibri"/>
                <w:color w:val="000000"/>
                <w:sz w:val="14"/>
                <w:szCs w:val="14"/>
                <w:lang w:eastAsia="es-CR"/>
                <w14:ligatures w14:val="standardContextual"/>
              </w:rPr>
            </w:pPr>
          </w:p>
        </w:tc>
        <w:tc>
          <w:tcPr>
            <w:tcW w:w="440" w:type="pct"/>
            <w:vMerge/>
            <w:tcBorders>
              <w:top w:val="nil"/>
              <w:left w:val="nil"/>
              <w:bottom w:val="single" w:sz="8" w:space="0" w:color="auto"/>
              <w:right w:val="single" w:sz="8" w:space="0" w:color="auto"/>
            </w:tcBorders>
            <w:vAlign w:val="center"/>
            <w:hideMark/>
          </w:tcPr>
          <w:p w14:paraId="44D0BC77" w14:textId="77777777" w:rsidR="000E767F" w:rsidRPr="000E767F" w:rsidRDefault="000E767F">
            <w:pPr>
              <w:rPr>
                <w:rFonts w:ascii="Book Antiqua" w:hAnsi="Book Antiqua" w:cs="Calibri"/>
                <w:color w:val="000000"/>
                <w:sz w:val="14"/>
                <w:szCs w:val="14"/>
                <w:lang w:eastAsia="es-CR"/>
                <w14:ligatures w14:val="standardContextual"/>
              </w:rPr>
            </w:pPr>
          </w:p>
        </w:tc>
        <w:tc>
          <w:tcPr>
            <w:tcW w:w="819" w:type="pct"/>
            <w:vMerge/>
            <w:tcBorders>
              <w:top w:val="nil"/>
              <w:left w:val="nil"/>
              <w:bottom w:val="single" w:sz="8" w:space="0" w:color="auto"/>
              <w:right w:val="single" w:sz="8" w:space="0" w:color="auto"/>
            </w:tcBorders>
            <w:vAlign w:val="center"/>
            <w:hideMark/>
          </w:tcPr>
          <w:p w14:paraId="16DB075C" w14:textId="77777777" w:rsidR="000E767F" w:rsidRPr="000E767F" w:rsidRDefault="000E767F">
            <w:pPr>
              <w:rPr>
                <w:rFonts w:ascii="Book Antiqua" w:hAnsi="Book Antiqua" w:cs="Calibri"/>
                <w:color w:val="000000"/>
                <w:sz w:val="14"/>
                <w:szCs w:val="14"/>
                <w:lang w:eastAsia="es-CR"/>
                <w14:ligatures w14:val="standardContextual"/>
              </w:rPr>
            </w:pPr>
          </w:p>
        </w:tc>
        <w:tc>
          <w:tcPr>
            <w:tcW w:w="981"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6BB61E00" w14:textId="77777777" w:rsidR="000E767F" w:rsidRPr="000E767F" w:rsidRDefault="000E767F">
            <w:pPr>
              <w:jc w:val="both"/>
              <w:rPr>
                <w:rFonts w:ascii="Book Antiqua" w:hAnsi="Book Antiqua" w:cs="Calibri"/>
                <w:color w:val="000000"/>
                <w:sz w:val="14"/>
                <w:szCs w:val="14"/>
                <w:lang w:eastAsia="es-CR"/>
                <w14:ligatures w14:val="standardContextual"/>
              </w:rPr>
            </w:pPr>
            <w:r w:rsidRPr="000E767F">
              <w:rPr>
                <w:rFonts w:ascii="Book Antiqua" w:hAnsi="Book Antiqua"/>
                <w:color w:val="000000"/>
                <w:sz w:val="14"/>
                <w:szCs w:val="14"/>
                <w:lang w:eastAsia="es-CR"/>
              </w:rPr>
              <w:t xml:space="preserve">Tramitar el 100% de las líneas de compra recibidas para tramitar vía SIGA Y SIGA 2.0. </w:t>
            </w:r>
            <w:r w:rsidRPr="000E767F">
              <w:rPr>
                <w:rFonts w:ascii="Book Antiqua" w:hAnsi="Book Antiqua"/>
                <w:b/>
                <w:bCs/>
                <w:color w:val="000000"/>
                <w:sz w:val="14"/>
                <w:szCs w:val="14"/>
                <w:lang w:eastAsia="es-CR"/>
              </w:rPr>
              <w:t>Nuevo</w:t>
            </w:r>
          </w:p>
        </w:tc>
        <w:tc>
          <w:tcPr>
            <w:tcW w:w="390"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44A9CE13"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0</w:t>
            </w:r>
          </w:p>
        </w:tc>
        <w:tc>
          <w:tcPr>
            <w:tcW w:w="529" w:type="pct"/>
            <w:tcBorders>
              <w:top w:val="nil"/>
              <w:left w:val="nil"/>
              <w:bottom w:val="single" w:sz="8" w:space="0" w:color="auto"/>
              <w:right w:val="single" w:sz="8" w:space="0" w:color="auto"/>
            </w:tcBorders>
            <w:tcMar>
              <w:top w:w="15" w:type="dxa"/>
              <w:left w:w="70" w:type="dxa"/>
              <w:bottom w:w="15" w:type="dxa"/>
              <w:right w:w="70" w:type="dxa"/>
            </w:tcMar>
            <w:vAlign w:val="center"/>
            <w:hideMark/>
          </w:tcPr>
          <w:p w14:paraId="41539448"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100%</w:t>
            </w:r>
          </w:p>
        </w:tc>
        <w:tc>
          <w:tcPr>
            <w:tcW w:w="1294" w:type="pct"/>
            <w:vMerge/>
            <w:tcBorders>
              <w:top w:val="nil"/>
              <w:left w:val="nil"/>
              <w:bottom w:val="single" w:sz="8" w:space="0" w:color="auto"/>
              <w:right w:val="single" w:sz="8" w:space="0" w:color="auto"/>
            </w:tcBorders>
            <w:vAlign w:val="center"/>
            <w:hideMark/>
          </w:tcPr>
          <w:p w14:paraId="3E6C5EC8" w14:textId="77777777" w:rsidR="000E767F" w:rsidRPr="000E767F" w:rsidRDefault="000E767F">
            <w:pPr>
              <w:rPr>
                <w:rFonts w:ascii="Book Antiqua" w:hAnsi="Book Antiqua" w:cs="Calibri"/>
                <w:color w:val="000000"/>
                <w:sz w:val="14"/>
                <w:szCs w:val="14"/>
                <w:lang w:eastAsia="es-CR"/>
                <w14:ligatures w14:val="standardContextual"/>
              </w:rPr>
            </w:pPr>
          </w:p>
        </w:tc>
        <w:tc>
          <w:tcPr>
            <w:tcW w:w="8" w:type="pct"/>
            <w:vAlign w:val="center"/>
            <w:hideMark/>
          </w:tcPr>
          <w:p w14:paraId="78259689" w14:textId="77777777" w:rsidR="000E767F" w:rsidRPr="000E767F" w:rsidRDefault="000E767F">
            <w:pPr>
              <w:rPr>
                <w:rFonts w:ascii="Book Antiqua" w:eastAsia="Times New Roman" w:hAnsi="Book Antiqua" w:cs="Times New Roman"/>
                <w:sz w:val="14"/>
                <w:szCs w:val="14"/>
                <w:lang w:eastAsia="es-CR"/>
              </w:rPr>
            </w:pPr>
          </w:p>
        </w:tc>
      </w:tr>
      <w:tr w:rsidR="000E767F" w:rsidRPr="000E767F" w14:paraId="070B2E4B" w14:textId="77777777" w:rsidTr="00EF4E17">
        <w:trPr>
          <w:trHeight w:val="438"/>
          <w:jc w:val="center"/>
        </w:trPr>
        <w:tc>
          <w:tcPr>
            <w:tcW w:w="540" w:type="pct"/>
            <w:tcBorders>
              <w:top w:val="nil"/>
              <w:left w:val="single" w:sz="8" w:space="0" w:color="auto"/>
              <w:bottom w:val="single" w:sz="8" w:space="0" w:color="auto"/>
              <w:right w:val="single" w:sz="8" w:space="0" w:color="auto"/>
            </w:tcBorders>
            <w:shd w:val="clear" w:color="auto" w:fill="FFFFFF"/>
            <w:tcMar>
              <w:top w:w="15" w:type="dxa"/>
              <w:left w:w="70" w:type="dxa"/>
              <w:bottom w:w="15" w:type="dxa"/>
              <w:right w:w="70" w:type="dxa"/>
            </w:tcMar>
            <w:vAlign w:val="center"/>
            <w:hideMark/>
          </w:tcPr>
          <w:p w14:paraId="6CC55491" w14:textId="77777777" w:rsidR="000E767F" w:rsidRPr="000E767F" w:rsidRDefault="000E767F">
            <w:pPr>
              <w:jc w:val="center"/>
              <w:rPr>
                <w:rFonts w:ascii="Book Antiqua" w:hAnsi="Book Antiqua" w:cs="Calibri"/>
                <w:color w:val="000000"/>
                <w:sz w:val="14"/>
                <w:szCs w:val="14"/>
                <w:lang w:eastAsia="es-CR"/>
                <w14:ligatures w14:val="standardContextual"/>
              </w:rPr>
            </w:pPr>
            <w:r w:rsidRPr="000E767F">
              <w:rPr>
                <w:rFonts w:ascii="Book Antiqua" w:hAnsi="Book Antiqua"/>
                <w:color w:val="000000"/>
                <w:sz w:val="14"/>
                <w:szCs w:val="14"/>
                <w:lang w:eastAsia="es-CR"/>
              </w:rPr>
              <w:lastRenderedPageBreak/>
              <w:t>Dirección Ejecutiva</w:t>
            </w:r>
          </w:p>
        </w:tc>
        <w:tc>
          <w:tcPr>
            <w:tcW w:w="440" w:type="pct"/>
            <w:tcBorders>
              <w:top w:val="nil"/>
              <w:left w:val="nil"/>
              <w:bottom w:val="single" w:sz="8" w:space="0" w:color="auto"/>
              <w:right w:val="single" w:sz="8" w:space="0" w:color="auto"/>
            </w:tcBorders>
            <w:tcMar>
              <w:top w:w="15" w:type="dxa"/>
              <w:left w:w="70" w:type="dxa"/>
              <w:bottom w:w="15" w:type="dxa"/>
              <w:right w:w="70" w:type="dxa"/>
            </w:tcMar>
            <w:vAlign w:val="center"/>
            <w:hideMark/>
          </w:tcPr>
          <w:p w14:paraId="694A3A75"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0035-EJ-P03</w:t>
            </w:r>
          </w:p>
        </w:tc>
        <w:tc>
          <w:tcPr>
            <w:tcW w:w="819"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5FB1770A"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Análisis y trámite de pago de reclamos de viáticos de Programas Básicos de Investigación criminal OIJ solicitados por Consejo Superior</w:t>
            </w:r>
          </w:p>
        </w:tc>
        <w:tc>
          <w:tcPr>
            <w:tcW w:w="981"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3630A0FC" w14:textId="77777777" w:rsidR="000E767F" w:rsidRPr="000E767F" w:rsidRDefault="000E767F">
            <w:pPr>
              <w:jc w:val="both"/>
              <w:rPr>
                <w:rFonts w:ascii="Book Antiqua" w:hAnsi="Book Antiqua"/>
                <w:color w:val="000000"/>
                <w:sz w:val="14"/>
                <w:szCs w:val="14"/>
                <w:lang w:eastAsia="es-CR"/>
              </w:rPr>
            </w:pPr>
            <w:r w:rsidRPr="000E767F">
              <w:rPr>
                <w:rFonts w:ascii="Book Antiqua" w:hAnsi="Book Antiqua"/>
                <w:color w:val="000000"/>
                <w:sz w:val="14"/>
                <w:szCs w:val="14"/>
                <w:lang w:eastAsia="es-CR"/>
              </w:rPr>
              <w:t>Cantidad de Estudios y análisis de reclamos previo a aprobación de Consejo Superior realizados</w:t>
            </w:r>
          </w:p>
        </w:tc>
        <w:tc>
          <w:tcPr>
            <w:tcW w:w="390"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029CC209"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25</w:t>
            </w:r>
          </w:p>
        </w:tc>
        <w:tc>
          <w:tcPr>
            <w:tcW w:w="529"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52CC889E"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50</w:t>
            </w:r>
          </w:p>
        </w:tc>
        <w:tc>
          <w:tcPr>
            <w:tcW w:w="1294" w:type="pct"/>
            <w:tcBorders>
              <w:top w:val="nil"/>
              <w:left w:val="nil"/>
              <w:bottom w:val="single" w:sz="8" w:space="0" w:color="auto"/>
              <w:right w:val="single" w:sz="8" w:space="0" w:color="auto"/>
            </w:tcBorders>
            <w:tcMar>
              <w:top w:w="15" w:type="dxa"/>
              <w:left w:w="70" w:type="dxa"/>
              <w:bottom w:w="15" w:type="dxa"/>
              <w:right w:w="70" w:type="dxa"/>
            </w:tcMar>
            <w:vAlign w:val="center"/>
            <w:hideMark/>
          </w:tcPr>
          <w:p w14:paraId="0BA1FBD5" w14:textId="77777777" w:rsidR="000E767F" w:rsidRPr="000E767F" w:rsidRDefault="000E767F">
            <w:pPr>
              <w:jc w:val="both"/>
              <w:rPr>
                <w:rFonts w:ascii="Book Antiqua" w:hAnsi="Book Antiqua"/>
                <w:color w:val="000000"/>
                <w:sz w:val="14"/>
                <w:szCs w:val="14"/>
                <w:lang w:eastAsia="es-CR"/>
              </w:rPr>
            </w:pPr>
            <w:r w:rsidRPr="000E767F">
              <w:rPr>
                <w:rFonts w:ascii="Book Antiqua" w:hAnsi="Book Antiqua"/>
                <w:color w:val="000000"/>
                <w:sz w:val="14"/>
                <w:szCs w:val="14"/>
                <w:lang w:eastAsia="es-CR"/>
              </w:rPr>
              <w:t>Se debe cambiar el indicar ya que se cuenta con 2 personas asistente administrativas y cada una realiza 25 notificaciones mensuales para un total mensual de 50 notificaciones.</w:t>
            </w:r>
          </w:p>
        </w:tc>
        <w:tc>
          <w:tcPr>
            <w:tcW w:w="8" w:type="pct"/>
            <w:vAlign w:val="center"/>
            <w:hideMark/>
          </w:tcPr>
          <w:p w14:paraId="16C462B3" w14:textId="77777777" w:rsidR="000E767F" w:rsidRPr="000E767F" w:rsidRDefault="000E767F">
            <w:pPr>
              <w:rPr>
                <w:rFonts w:ascii="Book Antiqua" w:eastAsia="Times New Roman" w:hAnsi="Book Antiqua" w:cs="Times New Roman"/>
                <w:sz w:val="14"/>
                <w:szCs w:val="14"/>
                <w:lang w:eastAsia="es-CR"/>
              </w:rPr>
            </w:pPr>
          </w:p>
        </w:tc>
      </w:tr>
      <w:tr w:rsidR="000E767F" w:rsidRPr="000E767F" w14:paraId="03DA5C15" w14:textId="77777777" w:rsidTr="00EF4E17">
        <w:trPr>
          <w:trHeight w:val="1714"/>
          <w:jc w:val="center"/>
        </w:trPr>
        <w:tc>
          <w:tcPr>
            <w:tcW w:w="540" w:type="pct"/>
            <w:tcBorders>
              <w:top w:val="nil"/>
              <w:left w:val="single" w:sz="8" w:space="0" w:color="auto"/>
              <w:bottom w:val="single" w:sz="8" w:space="0" w:color="auto"/>
              <w:right w:val="single" w:sz="8" w:space="0" w:color="auto"/>
            </w:tcBorders>
            <w:shd w:val="clear" w:color="auto" w:fill="FFFFFF"/>
            <w:tcMar>
              <w:top w:w="15" w:type="dxa"/>
              <w:left w:w="70" w:type="dxa"/>
              <w:bottom w:w="15" w:type="dxa"/>
              <w:right w:w="70" w:type="dxa"/>
            </w:tcMar>
            <w:vAlign w:val="center"/>
            <w:hideMark/>
          </w:tcPr>
          <w:p w14:paraId="52FBAEBD" w14:textId="77777777" w:rsidR="000E767F" w:rsidRPr="000E767F" w:rsidRDefault="000E767F">
            <w:pPr>
              <w:jc w:val="center"/>
              <w:rPr>
                <w:rFonts w:ascii="Book Antiqua" w:hAnsi="Book Antiqua" w:cs="Calibri"/>
                <w:color w:val="000000"/>
                <w:sz w:val="14"/>
                <w:szCs w:val="14"/>
                <w:lang w:eastAsia="es-CR"/>
                <w14:ligatures w14:val="standardContextual"/>
              </w:rPr>
            </w:pPr>
            <w:r w:rsidRPr="000E767F">
              <w:rPr>
                <w:rFonts w:ascii="Book Antiqua" w:hAnsi="Book Antiqua"/>
                <w:color w:val="000000"/>
                <w:sz w:val="14"/>
                <w:szCs w:val="14"/>
                <w:lang w:eastAsia="es-CR"/>
              </w:rPr>
              <w:t>Centro de Apoyo Coordinación y Mejoramiento Función Jurisdiccional</w:t>
            </w:r>
          </w:p>
        </w:tc>
        <w:tc>
          <w:tcPr>
            <w:tcW w:w="440" w:type="pct"/>
            <w:tcBorders>
              <w:top w:val="nil"/>
              <w:left w:val="nil"/>
              <w:bottom w:val="single" w:sz="8" w:space="0" w:color="auto"/>
              <w:right w:val="single" w:sz="8" w:space="0" w:color="auto"/>
            </w:tcBorders>
            <w:tcMar>
              <w:top w:w="15" w:type="dxa"/>
              <w:left w:w="70" w:type="dxa"/>
              <w:bottom w:w="15" w:type="dxa"/>
              <w:right w:w="70" w:type="dxa"/>
            </w:tcMar>
            <w:vAlign w:val="center"/>
            <w:hideMark/>
          </w:tcPr>
          <w:p w14:paraId="1C6B6B0B"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1324-CACMFJ-P06</w:t>
            </w:r>
          </w:p>
        </w:tc>
        <w:tc>
          <w:tcPr>
            <w:tcW w:w="819"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5FF64B6D"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Plan de Atención de los Procesos Expropiatorios en el Juzgado Contencioso Administrativo y Civil Hacienda</w:t>
            </w:r>
          </w:p>
        </w:tc>
        <w:tc>
          <w:tcPr>
            <w:tcW w:w="981"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06B88AEA" w14:textId="77777777" w:rsidR="000E767F" w:rsidRPr="000E767F" w:rsidRDefault="000E767F">
            <w:pPr>
              <w:jc w:val="both"/>
              <w:rPr>
                <w:rFonts w:ascii="Book Antiqua" w:hAnsi="Book Antiqua"/>
                <w:color w:val="000000"/>
                <w:sz w:val="14"/>
                <w:szCs w:val="14"/>
                <w:lang w:eastAsia="es-CR"/>
              </w:rPr>
            </w:pPr>
            <w:r w:rsidRPr="000E767F">
              <w:rPr>
                <w:rFonts w:ascii="Book Antiqua" w:hAnsi="Book Antiqua"/>
                <w:color w:val="000000"/>
                <w:sz w:val="14"/>
                <w:szCs w:val="14"/>
                <w:lang w:eastAsia="es-CR"/>
              </w:rPr>
              <w:t>Cantidad de escritos tramitados</w:t>
            </w:r>
          </w:p>
        </w:tc>
        <w:tc>
          <w:tcPr>
            <w:tcW w:w="390"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70B5DF36"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180</w:t>
            </w:r>
          </w:p>
        </w:tc>
        <w:tc>
          <w:tcPr>
            <w:tcW w:w="529" w:type="pct"/>
            <w:tcBorders>
              <w:top w:val="nil"/>
              <w:left w:val="nil"/>
              <w:bottom w:val="single" w:sz="8" w:space="0" w:color="auto"/>
              <w:right w:val="single" w:sz="8" w:space="0" w:color="auto"/>
            </w:tcBorders>
            <w:shd w:val="clear" w:color="auto" w:fill="FFFFFF"/>
            <w:tcMar>
              <w:top w:w="15" w:type="dxa"/>
              <w:left w:w="70" w:type="dxa"/>
              <w:bottom w:w="15" w:type="dxa"/>
              <w:right w:w="70" w:type="dxa"/>
            </w:tcMar>
            <w:vAlign w:val="center"/>
            <w:hideMark/>
          </w:tcPr>
          <w:p w14:paraId="0C412144" w14:textId="77777777" w:rsidR="000E767F" w:rsidRPr="000E767F" w:rsidRDefault="000E767F">
            <w:pPr>
              <w:jc w:val="center"/>
              <w:rPr>
                <w:rFonts w:ascii="Book Antiqua" w:hAnsi="Book Antiqua"/>
                <w:color w:val="000000"/>
                <w:sz w:val="14"/>
                <w:szCs w:val="14"/>
                <w:lang w:eastAsia="es-CR"/>
              </w:rPr>
            </w:pPr>
            <w:r w:rsidRPr="000E767F">
              <w:rPr>
                <w:rFonts w:ascii="Book Antiqua" w:hAnsi="Book Antiqua"/>
                <w:color w:val="000000"/>
                <w:sz w:val="14"/>
                <w:szCs w:val="14"/>
                <w:lang w:eastAsia="es-CR"/>
              </w:rPr>
              <w:t>100</w:t>
            </w:r>
          </w:p>
        </w:tc>
        <w:tc>
          <w:tcPr>
            <w:tcW w:w="1294" w:type="pct"/>
            <w:tcBorders>
              <w:top w:val="nil"/>
              <w:left w:val="nil"/>
              <w:bottom w:val="single" w:sz="8" w:space="0" w:color="auto"/>
              <w:right w:val="single" w:sz="8" w:space="0" w:color="auto"/>
            </w:tcBorders>
            <w:tcMar>
              <w:top w:w="15" w:type="dxa"/>
              <w:left w:w="70" w:type="dxa"/>
              <w:bottom w:w="15" w:type="dxa"/>
              <w:right w:w="70" w:type="dxa"/>
            </w:tcMar>
            <w:vAlign w:val="center"/>
            <w:hideMark/>
          </w:tcPr>
          <w:p w14:paraId="39A5F0EA" w14:textId="77777777" w:rsidR="000E767F" w:rsidRPr="000E767F" w:rsidRDefault="000E767F">
            <w:pPr>
              <w:jc w:val="both"/>
              <w:rPr>
                <w:rFonts w:ascii="Book Antiqua" w:hAnsi="Book Antiqua"/>
                <w:color w:val="000000"/>
                <w:sz w:val="14"/>
                <w:szCs w:val="14"/>
                <w:lang w:eastAsia="es-CR"/>
              </w:rPr>
            </w:pPr>
            <w:r w:rsidRPr="000E767F">
              <w:rPr>
                <w:rFonts w:ascii="Book Antiqua" w:hAnsi="Book Antiqua"/>
                <w:color w:val="000000"/>
                <w:sz w:val="14"/>
                <w:szCs w:val="14"/>
                <w:lang w:eastAsia="es-CR"/>
              </w:rPr>
              <w:t xml:space="preserve">Se hace necesario realizar el ajuste de 100 escritos tramitados por persona técnica judicial, debido a que la fase en que se encuentran los expedientes limita que se pueda cumplir con la cuota establecida mensualmente. </w:t>
            </w:r>
          </w:p>
        </w:tc>
        <w:tc>
          <w:tcPr>
            <w:tcW w:w="8" w:type="pct"/>
            <w:vAlign w:val="center"/>
            <w:hideMark/>
          </w:tcPr>
          <w:p w14:paraId="6D662D07" w14:textId="77777777" w:rsidR="000E767F" w:rsidRPr="000E767F" w:rsidRDefault="000E767F">
            <w:pPr>
              <w:rPr>
                <w:rFonts w:ascii="Book Antiqua" w:eastAsia="Times New Roman" w:hAnsi="Book Antiqua" w:cs="Times New Roman"/>
                <w:sz w:val="14"/>
                <w:szCs w:val="14"/>
                <w:lang w:eastAsia="es-CR"/>
              </w:rPr>
            </w:pPr>
          </w:p>
        </w:tc>
      </w:tr>
    </w:tbl>
    <w:p w14:paraId="58F1C709" w14:textId="7C254986" w:rsidR="002B193F" w:rsidRPr="007F1F38" w:rsidRDefault="002B193F" w:rsidP="002B193F">
      <w:pPr>
        <w:spacing w:after="0"/>
        <w:rPr>
          <w:rFonts w:ascii="Book Antiqua" w:hAnsi="Book Antiqua"/>
          <w:noProof/>
          <w:sz w:val="20"/>
          <w:szCs w:val="20"/>
        </w:rPr>
      </w:pPr>
      <w:r w:rsidRPr="007F1F38">
        <w:rPr>
          <w:rFonts w:ascii="Book Antiqua" w:hAnsi="Book Antiqua"/>
          <w:b/>
          <w:bCs/>
          <w:noProof/>
          <w:sz w:val="20"/>
          <w:szCs w:val="20"/>
        </w:rPr>
        <w:t>Fuente:</w:t>
      </w:r>
      <w:r w:rsidRPr="007F1F38">
        <w:rPr>
          <w:rFonts w:ascii="Book Antiqua" w:hAnsi="Book Antiqua"/>
          <w:noProof/>
          <w:sz w:val="20"/>
          <w:szCs w:val="20"/>
        </w:rPr>
        <w:t xml:space="preserve"> Elaboración propia con datos </w:t>
      </w:r>
      <w:r>
        <w:rPr>
          <w:rFonts w:ascii="Book Antiqua" w:hAnsi="Book Antiqua"/>
          <w:noProof/>
          <w:sz w:val="20"/>
          <w:szCs w:val="20"/>
        </w:rPr>
        <w:t>proporcionados por los lideres de labores operativas.</w:t>
      </w:r>
    </w:p>
    <w:p w14:paraId="5524FAD7" w14:textId="77777777" w:rsidR="00006088" w:rsidRDefault="00006088" w:rsidP="002B193F">
      <w:pPr>
        <w:jc w:val="both"/>
        <w:rPr>
          <w:rFonts w:ascii="Book Antiqua" w:eastAsia="Times New Roman" w:hAnsi="Book Antiqua" w:cs="Times New Roman"/>
          <w:sz w:val="24"/>
          <w:szCs w:val="24"/>
          <w:lang w:eastAsia="es-CR"/>
        </w:rPr>
      </w:pPr>
    </w:p>
    <w:p w14:paraId="295A7CAD" w14:textId="581267CD" w:rsidR="002B193F" w:rsidRPr="002B193F" w:rsidRDefault="002B193F" w:rsidP="002B193F">
      <w:pPr>
        <w:jc w:val="both"/>
        <w:rPr>
          <w:rFonts w:ascii="Book Antiqua" w:eastAsia="Wingdings" w:hAnsi="Book Antiqua"/>
          <w:sz w:val="24"/>
          <w:szCs w:val="24"/>
          <w:lang w:eastAsia="ko-KR"/>
        </w:rPr>
      </w:pPr>
      <w:r w:rsidRPr="002B193F">
        <w:rPr>
          <w:rFonts w:ascii="Book Antiqua" w:eastAsia="Times New Roman" w:hAnsi="Book Antiqua" w:cs="Times New Roman"/>
          <w:sz w:val="24"/>
          <w:szCs w:val="24"/>
          <w:lang w:eastAsia="es-CR"/>
        </w:rPr>
        <w:t>El proyecto 0134-DGH-P11 denominado “</w:t>
      </w:r>
      <w:r w:rsidRPr="00EF4E17">
        <w:rPr>
          <w:rFonts w:ascii="Book Antiqua" w:eastAsia="Times New Roman" w:hAnsi="Book Antiqua" w:cs="Times New Roman"/>
          <w:i/>
          <w:iCs/>
          <w:sz w:val="24"/>
          <w:szCs w:val="24"/>
          <w:lang w:eastAsia="es-CR"/>
        </w:rPr>
        <w:t>Implementación de la metodología para la aplicación de las pruebas de conocimientos en los concursos para los puestos de la Judicatura</w:t>
      </w:r>
      <w:r w:rsidRPr="002B193F">
        <w:rPr>
          <w:rFonts w:ascii="Book Antiqua" w:eastAsia="Times New Roman" w:hAnsi="Book Antiqua" w:cs="Times New Roman"/>
          <w:sz w:val="24"/>
          <w:szCs w:val="24"/>
          <w:lang w:eastAsia="es-CR"/>
        </w:rPr>
        <w:t>” presentó “Solicitud de Cambio” el pasado 28 de abril, para ampliar el plazo del cronograma por continuidad de la fase de ejecución del proyecto, al 21 de diciembre del 2023. En el siguiente enlace se agrega la</w:t>
      </w:r>
      <w:r w:rsidRPr="002B193F">
        <w:rPr>
          <w:sz w:val="24"/>
          <w:szCs w:val="24"/>
        </w:rPr>
        <w:t xml:space="preserve"> </w:t>
      </w:r>
      <w:hyperlink r:id="rId76" w:history="1">
        <w:r w:rsidRPr="002B193F">
          <w:rPr>
            <w:rStyle w:val="Hipervnculo"/>
            <w:rFonts w:ascii="Book Antiqua" w:hAnsi="Book Antiqua"/>
            <w:sz w:val="24"/>
            <w:szCs w:val="24"/>
          </w:rPr>
          <w:t>solicitud</w:t>
        </w:r>
      </w:hyperlink>
      <w:r w:rsidRPr="002B193F">
        <w:rPr>
          <w:rStyle w:val="Hipervnculo"/>
          <w:rFonts w:ascii="Book Antiqua" w:hAnsi="Book Antiqua"/>
          <w:sz w:val="24"/>
          <w:szCs w:val="24"/>
        </w:rPr>
        <w:t>.</w:t>
      </w:r>
    </w:p>
    <w:p w14:paraId="0F6DC3AB" w14:textId="77777777" w:rsidR="002B193F" w:rsidRPr="00A75D29" w:rsidRDefault="002B193F" w:rsidP="002B193F">
      <w:pPr>
        <w:jc w:val="both"/>
        <w:rPr>
          <w:rFonts w:ascii="Book Antiqua" w:eastAsia="Times New Roman" w:hAnsi="Book Antiqua" w:cs="Times New Roman"/>
          <w:sz w:val="24"/>
          <w:szCs w:val="24"/>
          <w:lang w:eastAsia="es-CR"/>
        </w:rPr>
      </w:pPr>
      <w:r w:rsidRPr="00A75D29">
        <w:rPr>
          <w:rFonts w:ascii="Book Antiqua" w:eastAsia="Times New Roman" w:hAnsi="Book Antiqua" w:cs="Times New Roman"/>
          <w:sz w:val="24"/>
          <w:szCs w:val="24"/>
          <w:lang w:eastAsia="es-CR"/>
        </w:rPr>
        <w:t>Lo anterior, obedece al cumplimiento de los mandatos constitucionales donde Corte Plena en la sesión No. 24-16 celebrada el 08 de agosto de 2016, artículo V modifica el artículo 30 del Reglamento de Carrera Judicial, en el cual actualiza la metodología de evaluación del examen para los cargos de juez y jueza, lo que implicó pasar de la aplicación de una prueba oral única, a dos, una prueba escrita y otra oral. Debido a ello la Sección Administrativa de la Carrera Judicial, trabaja constantemente en la coordinación, tramitación y elaboración de las pruebas, con el apoyo de una persona profesional 2 con especialidad en metodología.</w:t>
      </w:r>
    </w:p>
    <w:p w14:paraId="167CBF7F" w14:textId="3C6093F2" w:rsidR="008509E3" w:rsidRDefault="008509E3" w:rsidP="00B10D2E">
      <w:pPr>
        <w:spacing w:before="120" w:after="120"/>
        <w:jc w:val="both"/>
        <w:rPr>
          <w:rFonts w:ascii="Book Antiqua" w:eastAsia="Wingdings" w:hAnsi="Book Antiqua"/>
          <w:sz w:val="24"/>
          <w:szCs w:val="24"/>
          <w:lang w:eastAsia="ko-KR"/>
        </w:rPr>
      </w:pPr>
    </w:p>
    <w:p w14:paraId="6018802E" w14:textId="01F243BF" w:rsidR="00BE773E" w:rsidRDefault="00BE773E" w:rsidP="00B10D2E">
      <w:pPr>
        <w:spacing w:before="120" w:after="120"/>
        <w:jc w:val="both"/>
        <w:rPr>
          <w:rFonts w:ascii="Book Antiqua" w:eastAsia="Wingdings" w:hAnsi="Book Antiqua"/>
          <w:sz w:val="24"/>
          <w:szCs w:val="24"/>
          <w:lang w:eastAsia="ko-KR"/>
        </w:rPr>
      </w:pPr>
    </w:p>
    <w:p w14:paraId="461D9E40" w14:textId="5F7701DF" w:rsidR="00BE773E" w:rsidRDefault="00BE773E" w:rsidP="00B10D2E">
      <w:pPr>
        <w:spacing w:before="120" w:after="120"/>
        <w:jc w:val="both"/>
        <w:rPr>
          <w:rFonts w:ascii="Book Antiqua" w:eastAsia="Wingdings" w:hAnsi="Book Antiqua"/>
          <w:sz w:val="24"/>
          <w:szCs w:val="24"/>
          <w:lang w:eastAsia="ko-KR"/>
        </w:rPr>
      </w:pPr>
    </w:p>
    <w:p w14:paraId="738FB82D" w14:textId="3986C914" w:rsidR="00BE773E" w:rsidRDefault="00BE773E" w:rsidP="00B10D2E">
      <w:pPr>
        <w:spacing w:before="120" w:after="120"/>
        <w:jc w:val="both"/>
        <w:rPr>
          <w:rFonts w:ascii="Book Antiqua" w:eastAsia="Wingdings" w:hAnsi="Book Antiqua"/>
          <w:sz w:val="24"/>
          <w:szCs w:val="24"/>
          <w:lang w:eastAsia="ko-KR"/>
        </w:rPr>
      </w:pPr>
    </w:p>
    <w:p w14:paraId="02DCD6FE" w14:textId="3A1762B8" w:rsidR="00BE773E" w:rsidRDefault="00BE773E" w:rsidP="00B10D2E">
      <w:pPr>
        <w:spacing w:before="120" w:after="120"/>
        <w:jc w:val="both"/>
        <w:rPr>
          <w:rFonts w:ascii="Book Antiqua" w:eastAsia="Wingdings" w:hAnsi="Book Antiqua"/>
          <w:sz w:val="24"/>
          <w:szCs w:val="24"/>
          <w:lang w:eastAsia="ko-KR"/>
        </w:rPr>
      </w:pPr>
    </w:p>
    <w:p w14:paraId="2E32ED5C" w14:textId="195F839F" w:rsidR="00BE773E" w:rsidRDefault="00BE773E" w:rsidP="00B10D2E">
      <w:pPr>
        <w:spacing w:before="120" w:after="120"/>
        <w:jc w:val="both"/>
        <w:rPr>
          <w:rFonts w:ascii="Book Antiqua" w:eastAsia="Wingdings" w:hAnsi="Book Antiqua"/>
          <w:sz w:val="24"/>
          <w:szCs w:val="24"/>
          <w:lang w:eastAsia="ko-KR"/>
        </w:rPr>
      </w:pPr>
    </w:p>
    <w:p w14:paraId="0049376B" w14:textId="5EF2FBB1" w:rsidR="00BE773E" w:rsidRDefault="00BE773E" w:rsidP="00B10D2E">
      <w:pPr>
        <w:spacing w:before="120" w:after="120"/>
        <w:jc w:val="both"/>
        <w:rPr>
          <w:rFonts w:ascii="Book Antiqua" w:eastAsia="Wingdings" w:hAnsi="Book Antiqua"/>
          <w:sz w:val="24"/>
          <w:szCs w:val="24"/>
          <w:lang w:eastAsia="ko-KR"/>
        </w:rPr>
      </w:pPr>
    </w:p>
    <w:p w14:paraId="78A4C7C4" w14:textId="2C68704B" w:rsidR="00907F65" w:rsidRPr="007635B5" w:rsidRDefault="007025C8" w:rsidP="00D22230">
      <w:pPr>
        <w:pStyle w:val="Ttulo1"/>
        <w:jc w:val="center"/>
        <w:rPr>
          <w:rFonts w:ascii="Book Antiqua" w:hAnsi="Book Antiqua"/>
          <w:b/>
          <w:bCs/>
          <w:color w:val="auto"/>
          <w:sz w:val="24"/>
          <w:szCs w:val="24"/>
          <w:lang w:eastAsia="ko-KR"/>
        </w:rPr>
      </w:pPr>
      <w:bookmarkStart w:id="125" w:name="_Toc138770858"/>
      <w:r w:rsidRPr="007635B5">
        <w:rPr>
          <w:rFonts w:ascii="Book Antiqua" w:hAnsi="Book Antiqua"/>
          <w:b/>
          <w:bCs/>
          <w:color w:val="auto"/>
          <w:sz w:val="24"/>
          <w:szCs w:val="24"/>
          <w:lang w:eastAsia="ko-KR"/>
        </w:rPr>
        <w:t xml:space="preserve">CAPÍTULO 4) </w:t>
      </w:r>
      <w:r w:rsidR="006B7C78" w:rsidRPr="007635B5">
        <w:rPr>
          <w:rFonts w:ascii="Book Antiqua" w:hAnsi="Book Antiqua"/>
          <w:b/>
          <w:bCs/>
          <w:color w:val="auto"/>
          <w:sz w:val="24"/>
          <w:szCs w:val="24"/>
          <w:lang w:eastAsia="ko-KR"/>
        </w:rPr>
        <w:t xml:space="preserve">ANÁLISIS DE </w:t>
      </w:r>
      <w:r w:rsidR="006B1BD0" w:rsidRPr="007635B5">
        <w:rPr>
          <w:rFonts w:ascii="Book Antiqua" w:hAnsi="Book Antiqua"/>
          <w:b/>
          <w:bCs/>
          <w:color w:val="auto"/>
          <w:sz w:val="24"/>
          <w:szCs w:val="24"/>
          <w:lang w:eastAsia="ko-KR"/>
        </w:rPr>
        <w:t xml:space="preserve">LOS </w:t>
      </w:r>
      <w:r w:rsidR="006B7C78" w:rsidRPr="007635B5">
        <w:rPr>
          <w:rFonts w:ascii="Book Antiqua" w:hAnsi="Book Antiqua"/>
          <w:b/>
          <w:bCs/>
          <w:color w:val="auto"/>
          <w:sz w:val="24"/>
          <w:szCs w:val="24"/>
          <w:lang w:eastAsia="ko-KR"/>
        </w:rPr>
        <w:t xml:space="preserve">PERMISOS CON GOCE DE SALARIO PARA EL </w:t>
      </w:r>
      <w:r w:rsidR="00D3678A" w:rsidRPr="007635B5">
        <w:rPr>
          <w:rFonts w:ascii="Book Antiqua" w:hAnsi="Book Antiqua"/>
          <w:b/>
          <w:bCs/>
          <w:color w:val="auto"/>
          <w:sz w:val="24"/>
          <w:szCs w:val="24"/>
          <w:lang w:eastAsia="ko-KR"/>
        </w:rPr>
        <w:t xml:space="preserve">III TRIMESTRE </w:t>
      </w:r>
      <w:r w:rsidR="006B7C78" w:rsidRPr="007635B5">
        <w:rPr>
          <w:rFonts w:ascii="Book Antiqua" w:hAnsi="Book Antiqua"/>
          <w:b/>
          <w:bCs/>
          <w:color w:val="auto"/>
          <w:sz w:val="24"/>
          <w:szCs w:val="24"/>
          <w:lang w:eastAsia="ko-KR"/>
        </w:rPr>
        <w:t>202</w:t>
      </w:r>
      <w:r w:rsidR="004C0488" w:rsidRPr="007635B5">
        <w:rPr>
          <w:rFonts w:ascii="Book Antiqua" w:hAnsi="Book Antiqua"/>
          <w:b/>
          <w:bCs/>
          <w:color w:val="auto"/>
          <w:sz w:val="24"/>
          <w:szCs w:val="24"/>
          <w:lang w:eastAsia="ko-KR"/>
        </w:rPr>
        <w:t>3</w:t>
      </w:r>
      <w:bookmarkEnd w:id="125"/>
    </w:p>
    <w:p w14:paraId="0A1526D5" w14:textId="5871C369" w:rsidR="00164F12" w:rsidRDefault="00164F12" w:rsidP="00164F12">
      <w:pPr>
        <w:spacing w:after="0"/>
        <w:jc w:val="both"/>
        <w:rPr>
          <w:rFonts w:ascii="Book Antiqua" w:hAnsi="Book Antiqua"/>
        </w:rPr>
      </w:pPr>
    </w:p>
    <w:p w14:paraId="31B03940" w14:textId="0DAB5706" w:rsidR="00A00E2F" w:rsidRPr="00083E0D" w:rsidRDefault="00A00E2F" w:rsidP="009129F0">
      <w:pPr>
        <w:pStyle w:val="Ttulo2"/>
        <w:numPr>
          <w:ilvl w:val="0"/>
          <w:numId w:val="6"/>
        </w:numPr>
        <w:tabs>
          <w:tab w:val="left" w:pos="993"/>
        </w:tabs>
        <w:ind w:left="426" w:hanging="436"/>
        <w:rPr>
          <w:rFonts w:ascii="Book Antiqua" w:eastAsia="Wingdings" w:hAnsi="Book Antiqua"/>
          <w:b/>
          <w:bCs/>
          <w:color w:val="auto"/>
          <w:lang w:eastAsia="ko-KR"/>
        </w:rPr>
      </w:pPr>
      <w:bookmarkStart w:id="126" w:name="_Toc138770859"/>
      <w:r w:rsidRPr="00083E0D">
        <w:rPr>
          <w:rFonts w:ascii="Book Antiqua" w:eastAsia="Wingdings" w:hAnsi="Book Antiqua"/>
          <w:b/>
          <w:bCs/>
          <w:color w:val="auto"/>
          <w:lang w:eastAsia="ko-KR"/>
        </w:rPr>
        <w:t xml:space="preserve">Análisis del comportamiento de la Subpartida 00105 Suplencias en el </w:t>
      </w:r>
      <w:r>
        <w:rPr>
          <w:rFonts w:ascii="Book Antiqua" w:eastAsia="Wingdings" w:hAnsi="Book Antiqua"/>
          <w:b/>
          <w:bCs/>
          <w:color w:val="auto"/>
          <w:lang w:eastAsia="ko-KR"/>
        </w:rPr>
        <w:t>202</w:t>
      </w:r>
      <w:r w:rsidR="004C0488">
        <w:rPr>
          <w:rFonts w:ascii="Book Antiqua" w:eastAsia="Wingdings" w:hAnsi="Book Antiqua"/>
          <w:b/>
          <w:bCs/>
          <w:color w:val="auto"/>
          <w:lang w:eastAsia="ko-KR"/>
        </w:rPr>
        <w:t>3</w:t>
      </w:r>
      <w:bookmarkEnd w:id="126"/>
    </w:p>
    <w:p w14:paraId="50911395" w14:textId="77777777" w:rsidR="00A00E2F" w:rsidRDefault="00A00E2F" w:rsidP="00A00E2F">
      <w:pPr>
        <w:spacing w:after="0"/>
        <w:jc w:val="both"/>
        <w:rPr>
          <w:rFonts w:ascii="Book Antiqua" w:hAnsi="Book Antiqua"/>
        </w:rPr>
      </w:pPr>
    </w:p>
    <w:p w14:paraId="68A911F8" w14:textId="50E7ECE3" w:rsidR="00A00E2F" w:rsidRPr="007635B5" w:rsidRDefault="00A00E2F" w:rsidP="00F2616F">
      <w:pPr>
        <w:spacing w:after="0"/>
        <w:jc w:val="both"/>
        <w:rPr>
          <w:rFonts w:ascii="Book Antiqua" w:eastAsia="Wingdings" w:hAnsi="Book Antiqua"/>
          <w:sz w:val="24"/>
          <w:szCs w:val="24"/>
          <w:lang w:eastAsia="ko-KR"/>
        </w:rPr>
      </w:pPr>
      <w:r w:rsidRPr="007635B5">
        <w:rPr>
          <w:rFonts w:ascii="Book Antiqua" w:eastAsia="Wingdings" w:hAnsi="Book Antiqua"/>
          <w:sz w:val="24"/>
          <w:szCs w:val="24"/>
          <w:lang w:eastAsia="ko-KR"/>
        </w:rPr>
        <w:t>Con el objetivo de analizar el comportamiento de la subpartida de suplencias, así como las proyecciones de gasto que maneja la Dirección de Gestión Humana en coordinación con el Departamento de Financiero Contable, se procedió a solicitar la información por correo electrónico</w:t>
      </w:r>
      <w:r w:rsidR="00A54CB6" w:rsidRPr="007635B5">
        <w:rPr>
          <w:rFonts w:ascii="Book Antiqua" w:eastAsia="Wingdings" w:hAnsi="Book Antiqua"/>
          <w:sz w:val="24"/>
          <w:szCs w:val="24"/>
          <w:lang w:eastAsia="ko-KR"/>
        </w:rPr>
        <w:t>.</w:t>
      </w:r>
    </w:p>
    <w:p w14:paraId="03B94A90" w14:textId="77777777" w:rsidR="00F2616F" w:rsidRPr="007635B5" w:rsidRDefault="00F2616F" w:rsidP="00F2616F">
      <w:pPr>
        <w:spacing w:after="0"/>
        <w:jc w:val="both"/>
        <w:rPr>
          <w:rFonts w:ascii="Book Antiqua" w:eastAsia="Wingdings" w:hAnsi="Book Antiqua"/>
          <w:sz w:val="24"/>
          <w:szCs w:val="24"/>
          <w:lang w:eastAsia="ko-KR"/>
        </w:rPr>
      </w:pPr>
    </w:p>
    <w:p w14:paraId="392344F0" w14:textId="27E2F562" w:rsidR="00A00E2F" w:rsidRPr="007635B5" w:rsidRDefault="00A00E2F" w:rsidP="008C1909">
      <w:pPr>
        <w:shd w:val="clear" w:color="auto" w:fill="FFFFFF"/>
        <w:spacing w:after="0"/>
        <w:ind w:right="-93"/>
        <w:jc w:val="both"/>
        <w:rPr>
          <w:rFonts w:ascii="Book Antiqua" w:eastAsia="Wingdings" w:hAnsi="Book Antiqua"/>
          <w:sz w:val="24"/>
          <w:szCs w:val="24"/>
          <w:lang w:eastAsia="ko-KR"/>
        </w:rPr>
      </w:pPr>
      <w:r w:rsidRPr="007635B5">
        <w:rPr>
          <w:rFonts w:ascii="Book Antiqua" w:eastAsia="Wingdings" w:hAnsi="Book Antiqua"/>
          <w:sz w:val="24"/>
          <w:szCs w:val="24"/>
          <w:lang w:eastAsia="ko-KR"/>
        </w:rPr>
        <w:t xml:space="preserve">El </w:t>
      </w:r>
      <w:r w:rsidR="00A54CB6" w:rsidRPr="007635B5">
        <w:rPr>
          <w:rFonts w:ascii="Book Antiqua" w:eastAsia="Wingdings" w:hAnsi="Book Antiqua"/>
          <w:sz w:val="24"/>
          <w:szCs w:val="24"/>
          <w:lang w:eastAsia="ko-KR"/>
        </w:rPr>
        <w:t>19</w:t>
      </w:r>
      <w:r w:rsidRPr="007635B5">
        <w:rPr>
          <w:rFonts w:ascii="Book Antiqua" w:eastAsia="Wingdings" w:hAnsi="Book Antiqua"/>
          <w:sz w:val="24"/>
          <w:szCs w:val="24"/>
          <w:lang w:eastAsia="ko-KR"/>
        </w:rPr>
        <w:t xml:space="preserve"> de junio </w:t>
      </w:r>
      <w:r w:rsidR="008C1909" w:rsidRPr="007635B5">
        <w:rPr>
          <w:rFonts w:ascii="Book Antiqua" w:eastAsia="Wingdings" w:hAnsi="Book Antiqua"/>
          <w:sz w:val="24"/>
          <w:szCs w:val="24"/>
          <w:lang w:eastAsia="ko-KR"/>
        </w:rPr>
        <w:t xml:space="preserve">del año en curso, </w:t>
      </w:r>
      <w:r w:rsidRPr="007635B5">
        <w:rPr>
          <w:rFonts w:ascii="Book Antiqua" w:eastAsia="Wingdings" w:hAnsi="Book Antiqua"/>
          <w:sz w:val="24"/>
          <w:szCs w:val="24"/>
          <w:lang w:eastAsia="ko-KR"/>
        </w:rPr>
        <w:t xml:space="preserve">se tuvo la respuesta del Lic. </w:t>
      </w:r>
      <w:r w:rsidR="00A54CB6" w:rsidRPr="007635B5">
        <w:rPr>
          <w:rFonts w:ascii="Book Antiqua" w:eastAsia="Wingdings" w:hAnsi="Book Antiqua"/>
          <w:sz w:val="24"/>
          <w:szCs w:val="24"/>
          <w:lang w:eastAsia="ko-KR"/>
        </w:rPr>
        <w:t>Reyni Campos Acuña</w:t>
      </w:r>
      <w:r w:rsidRPr="007635B5">
        <w:rPr>
          <w:rFonts w:ascii="Book Antiqua" w:eastAsia="Wingdings" w:hAnsi="Book Antiqua"/>
          <w:sz w:val="24"/>
          <w:szCs w:val="24"/>
          <w:lang w:eastAsia="ko-KR"/>
        </w:rPr>
        <w:t xml:space="preserve">, </w:t>
      </w:r>
      <w:r w:rsidR="00A54CB6" w:rsidRPr="007635B5">
        <w:rPr>
          <w:rFonts w:ascii="Book Antiqua" w:eastAsia="Wingdings" w:hAnsi="Book Antiqua"/>
          <w:sz w:val="24"/>
          <w:szCs w:val="24"/>
          <w:lang w:eastAsia="ko-KR"/>
        </w:rPr>
        <w:t xml:space="preserve">Profesional </w:t>
      </w:r>
      <w:r w:rsidRPr="007635B5">
        <w:rPr>
          <w:rFonts w:ascii="Book Antiqua" w:eastAsia="Wingdings" w:hAnsi="Book Antiqua"/>
          <w:sz w:val="24"/>
          <w:szCs w:val="24"/>
          <w:lang w:eastAsia="ko-KR"/>
        </w:rPr>
        <w:t xml:space="preserve"> de la Unidad de Presupuesto y Estudios Especiales, para lo cual se indicó lo siguiente:</w:t>
      </w:r>
    </w:p>
    <w:p w14:paraId="3287ED94" w14:textId="77777777" w:rsidR="00F2616F" w:rsidRPr="007635B5" w:rsidRDefault="00F2616F" w:rsidP="00F2616F">
      <w:pPr>
        <w:shd w:val="clear" w:color="auto" w:fill="FFFFFF"/>
        <w:spacing w:after="0"/>
        <w:ind w:right="851"/>
        <w:jc w:val="both"/>
        <w:rPr>
          <w:rFonts w:ascii="Book Antiqua" w:eastAsia="Wingdings" w:hAnsi="Book Antiqua"/>
          <w:sz w:val="24"/>
          <w:szCs w:val="24"/>
          <w:lang w:eastAsia="ko-KR"/>
        </w:rPr>
      </w:pPr>
    </w:p>
    <w:p w14:paraId="257CB92D" w14:textId="0C7EE03F" w:rsidR="00D05693" w:rsidRPr="007635B5" w:rsidRDefault="00A00E2F" w:rsidP="00D05693">
      <w:pPr>
        <w:spacing w:after="0"/>
        <w:ind w:left="567" w:right="616"/>
        <w:jc w:val="both"/>
        <w:rPr>
          <w:rFonts w:ascii="Book Antiqua" w:hAnsi="Book Antiqua"/>
          <w:i/>
          <w:iCs/>
          <w:sz w:val="24"/>
          <w:szCs w:val="24"/>
        </w:rPr>
      </w:pPr>
      <w:r w:rsidRPr="007635B5">
        <w:rPr>
          <w:rFonts w:ascii="Book Antiqua" w:hAnsi="Book Antiqua"/>
          <w:i/>
          <w:iCs/>
          <w:sz w:val="24"/>
          <w:szCs w:val="24"/>
        </w:rPr>
        <w:t>“</w:t>
      </w:r>
      <w:r w:rsidR="00D05693" w:rsidRPr="007635B5">
        <w:rPr>
          <w:rFonts w:ascii="Book Antiqua" w:hAnsi="Book Antiqua"/>
          <w:i/>
          <w:iCs/>
          <w:sz w:val="24"/>
          <w:szCs w:val="24"/>
        </w:rPr>
        <w:t>…se procedió a realizar las estimaciones correspondientes a 624 permisos de los Proyectos Estratégicos, Operativos y Modelo Penal, cálculos comprendidos del 01 de julio al 30 de setiembre 2023, según la información y datos presentados por la Dirección de Planificación a la Dirección de Gestión Humana</w:t>
      </w:r>
      <w:r w:rsidR="00C95698" w:rsidRPr="007635B5">
        <w:rPr>
          <w:rFonts w:ascii="Book Antiqua" w:hAnsi="Book Antiqua"/>
          <w:i/>
          <w:iCs/>
          <w:sz w:val="24"/>
          <w:szCs w:val="24"/>
        </w:rPr>
        <w:t>”</w:t>
      </w:r>
    </w:p>
    <w:p w14:paraId="5705AF40" w14:textId="77777777" w:rsidR="00C95698" w:rsidRPr="007635B5" w:rsidRDefault="00C95698" w:rsidP="00D05693">
      <w:pPr>
        <w:spacing w:after="0"/>
        <w:ind w:left="567" w:right="616"/>
        <w:jc w:val="both"/>
        <w:rPr>
          <w:rFonts w:ascii="Book Antiqua" w:hAnsi="Book Antiqua"/>
          <w:i/>
          <w:iCs/>
          <w:sz w:val="24"/>
          <w:szCs w:val="24"/>
        </w:rPr>
      </w:pPr>
    </w:p>
    <w:p w14:paraId="0EF98E70" w14:textId="56569DCC" w:rsidR="00A00E2F" w:rsidRDefault="00A00E2F" w:rsidP="393C9E79">
      <w:pPr>
        <w:shd w:val="clear" w:color="auto" w:fill="FFFFFF" w:themeFill="background1"/>
        <w:spacing w:after="0"/>
        <w:ind w:right="851"/>
        <w:jc w:val="both"/>
        <w:rPr>
          <w:rFonts w:ascii="Book Antiqua" w:eastAsia="Wingdings" w:hAnsi="Book Antiqua"/>
          <w:sz w:val="24"/>
          <w:szCs w:val="24"/>
          <w:lang w:eastAsia="ko-KR"/>
        </w:rPr>
      </w:pPr>
      <w:r w:rsidRPr="007635B5">
        <w:rPr>
          <w:rFonts w:ascii="Book Antiqua" w:eastAsia="Wingdings" w:hAnsi="Book Antiqua"/>
          <w:sz w:val="24"/>
          <w:szCs w:val="24"/>
          <w:lang w:eastAsia="ko-KR"/>
        </w:rPr>
        <w:t>Con las variables anteriores</w:t>
      </w:r>
      <w:r w:rsidR="00C95698" w:rsidRPr="007635B5">
        <w:rPr>
          <w:rFonts w:ascii="Book Antiqua" w:eastAsia="Wingdings" w:hAnsi="Book Antiqua"/>
          <w:sz w:val="24"/>
          <w:szCs w:val="24"/>
          <w:lang w:eastAsia="ko-KR"/>
        </w:rPr>
        <w:t>, se presenta una tabla con el resumen de costos del total de los permisos por programa presupuestario</w:t>
      </w:r>
      <w:r w:rsidRPr="007635B5">
        <w:rPr>
          <w:rFonts w:ascii="Book Antiqua" w:eastAsia="Wingdings" w:hAnsi="Book Antiqua"/>
          <w:sz w:val="24"/>
          <w:szCs w:val="24"/>
          <w:lang w:eastAsia="ko-KR"/>
        </w:rPr>
        <w:t>,</w:t>
      </w:r>
      <w:r w:rsidR="00C95698" w:rsidRPr="007635B5">
        <w:rPr>
          <w:rFonts w:ascii="Book Antiqua" w:eastAsia="Wingdings" w:hAnsi="Book Antiqua"/>
          <w:sz w:val="24"/>
          <w:szCs w:val="24"/>
          <w:lang w:eastAsia="ko-KR"/>
        </w:rPr>
        <w:t xml:space="preserve"> el cual</w:t>
      </w:r>
      <w:r w:rsidRPr="007635B5">
        <w:rPr>
          <w:rFonts w:ascii="Book Antiqua" w:eastAsia="Wingdings" w:hAnsi="Book Antiqua"/>
          <w:sz w:val="24"/>
          <w:szCs w:val="24"/>
          <w:lang w:eastAsia="ko-KR"/>
        </w:rPr>
        <w:t xml:space="preserve"> es el siguiente:</w:t>
      </w:r>
    </w:p>
    <w:p w14:paraId="70D863F2" w14:textId="044CB10C" w:rsidR="0003360C" w:rsidRPr="007635B5" w:rsidRDefault="0003360C" w:rsidP="393C9E79">
      <w:pPr>
        <w:shd w:val="clear" w:color="auto" w:fill="FFFFFF" w:themeFill="background1"/>
        <w:spacing w:after="0"/>
        <w:ind w:right="851"/>
        <w:jc w:val="both"/>
        <w:rPr>
          <w:rFonts w:ascii="Book Antiqua" w:eastAsia="Wingdings" w:hAnsi="Book Antiqua"/>
          <w:sz w:val="24"/>
          <w:szCs w:val="24"/>
          <w:lang w:eastAsia="ko-KR"/>
        </w:rPr>
      </w:pPr>
    </w:p>
    <w:tbl>
      <w:tblPr>
        <w:tblW w:w="3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8"/>
        <w:gridCol w:w="1900"/>
      </w:tblGrid>
      <w:tr w:rsidR="00A00E2F" w:rsidRPr="003C1E63" w14:paraId="72097F28" w14:textId="77777777" w:rsidTr="003149D5">
        <w:trPr>
          <w:trHeight w:val="315"/>
          <w:jc w:val="center"/>
        </w:trPr>
        <w:tc>
          <w:tcPr>
            <w:tcW w:w="1208" w:type="dxa"/>
            <w:shd w:val="clear" w:color="auto" w:fill="F2F2F2" w:themeFill="background1" w:themeFillShade="F2"/>
            <w:noWrap/>
            <w:tcMar>
              <w:top w:w="0" w:type="dxa"/>
              <w:left w:w="70" w:type="dxa"/>
              <w:bottom w:w="0" w:type="dxa"/>
              <w:right w:w="70" w:type="dxa"/>
            </w:tcMar>
            <w:vAlign w:val="center"/>
            <w:hideMark/>
          </w:tcPr>
          <w:p w14:paraId="16DA2892" w14:textId="77777777" w:rsidR="00A00E2F" w:rsidRPr="003C1E63" w:rsidRDefault="00A00E2F" w:rsidP="00F2616F">
            <w:pPr>
              <w:spacing w:after="0"/>
              <w:jc w:val="center"/>
              <w:rPr>
                <w:rFonts w:ascii="Book Antiqua" w:hAnsi="Book Antiqua"/>
                <w:b/>
                <w:bCs/>
                <w:sz w:val="24"/>
                <w:szCs w:val="24"/>
                <w:lang w:eastAsia="es-CR"/>
              </w:rPr>
            </w:pPr>
            <w:r w:rsidRPr="003C1E63">
              <w:rPr>
                <w:rFonts w:ascii="Book Antiqua" w:hAnsi="Book Antiqua"/>
                <w:b/>
                <w:bCs/>
                <w:sz w:val="24"/>
                <w:szCs w:val="24"/>
                <w:lang w:eastAsia="es-CR"/>
              </w:rPr>
              <w:t>Programa</w:t>
            </w:r>
          </w:p>
        </w:tc>
        <w:tc>
          <w:tcPr>
            <w:tcW w:w="1900" w:type="dxa"/>
            <w:shd w:val="clear" w:color="auto" w:fill="F2F2F2" w:themeFill="background1" w:themeFillShade="F2"/>
            <w:noWrap/>
            <w:tcMar>
              <w:top w:w="0" w:type="dxa"/>
              <w:left w:w="70" w:type="dxa"/>
              <w:bottom w:w="0" w:type="dxa"/>
              <w:right w:w="70" w:type="dxa"/>
            </w:tcMar>
            <w:vAlign w:val="center"/>
            <w:hideMark/>
          </w:tcPr>
          <w:p w14:paraId="4A532043" w14:textId="206D9673" w:rsidR="00A00E2F" w:rsidRPr="003C1E63" w:rsidRDefault="003D3F00" w:rsidP="00F2616F">
            <w:pPr>
              <w:spacing w:after="0"/>
              <w:jc w:val="center"/>
              <w:rPr>
                <w:rFonts w:ascii="Book Antiqua" w:hAnsi="Book Antiqua"/>
                <w:b/>
                <w:bCs/>
                <w:sz w:val="24"/>
                <w:szCs w:val="24"/>
                <w:lang w:eastAsia="es-CR"/>
              </w:rPr>
            </w:pPr>
            <w:r>
              <w:rPr>
                <w:rFonts w:ascii="Book Antiqua" w:hAnsi="Book Antiqua"/>
                <w:b/>
                <w:bCs/>
                <w:sz w:val="24"/>
                <w:szCs w:val="24"/>
                <w:lang w:eastAsia="es-CR"/>
              </w:rPr>
              <w:t>C</w:t>
            </w:r>
            <w:r w:rsidRPr="003D3F00">
              <w:rPr>
                <w:rFonts w:ascii="Book Antiqua" w:hAnsi="Book Antiqua"/>
                <w:b/>
                <w:bCs/>
                <w:sz w:val="24"/>
                <w:szCs w:val="24"/>
                <w:lang w:eastAsia="es-CR"/>
              </w:rPr>
              <w:t>ostos del total de los permisos</w:t>
            </w:r>
          </w:p>
        </w:tc>
      </w:tr>
      <w:tr w:rsidR="00A00E2F" w:rsidRPr="003C1E63" w14:paraId="3C94A2DC" w14:textId="77777777" w:rsidTr="003149D5">
        <w:trPr>
          <w:trHeight w:val="315"/>
          <w:jc w:val="center"/>
        </w:trPr>
        <w:tc>
          <w:tcPr>
            <w:tcW w:w="1208" w:type="dxa"/>
            <w:shd w:val="clear" w:color="auto" w:fill="FFFFFF" w:themeFill="background1"/>
            <w:noWrap/>
            <w:tcMar>
              <w:top w:w="0" w:type="dxa"/>
              <w:left w:w="70" w:type="dxa"/>
              <w:bottom w:w="0" w:type="dxa"/>
              <w:right w:w="70" w:type="dxa"/>
            </w:tcMar>
            <w:vAlign w:val="center"/>
            <w:hideMark/>
          </w:tcPr>
          <w:p w14:paraId="7160130C" w14:textId="77777777" w:rsidR="00A00E2F" w:rsidRPr="003C1E63" w:rsidRDefault="00A00E2F" w:rsidP="00F2616F">
            <w:pPr>
              <w:spacing w:after="0"/>
              <w:jc w:val="center"/>
              <w:rPr>
                <w:rFonts w:ascii="Book Antiqua" w:hAnsi="Book Antiqua"/>
                <w:b/>
                <w:bCs/>
                <w:sz w:val="24"/>
                <w:szCs w:val="24"/>
                <w:lang w:eastAsia="es-CR"/>
              </w:rPr>
            </w:pPr>
            <w:r w:rsidRPr="003C1E63">
              <w:rPr>
                <w:rFonts w:ascii="Book Antiqua" w:hAnsi="Book Antiqua"/>
                <w:b/>
                <w:bCs/>
                <w:sz w:val="24"/>
                <w:szCs w:val="24"/>
                <w:lang w:eastAsia="es-CR"/>
              </w:rPr>
              <w:t>926</w:t>
            </w:r>
          </w:p>
        </w:tc>
        <w:tc>
          <w:tcPr>
            <w:tcW w:w="1900" w:type="dxa"/>
            <w:shd w:val="clear" w:color="auto" w:fill="FFFFFF" w:themeFill="background1"/>
            <w:noWrap/>
            <w:tcMar>
              <w:top w:w="0" w:type="dxa"/>
              <w:left w:w="70" w:type="dxa"/>
              <w:bottom w:w="0" w:type="dxa"/>
              <w:right w:w="70" w:type="dxa"/>
            </w:tcMar>
            <w:vAlign w:val="center"/>
            <w:hideMark/>
          </w:tcPr>
          <w:p w14:paraId="0DC79465" w14:textId="50AB295C" w:rsidR="00A00E2F" w:rsidRPr="003C1E63" w:rsidRDefault="003D3F00" w:rsidP="00F2616F">
            <w:pPr>
              <w:spacing w:after="0"/>
              <w:jc w:val="right"/>
              <w:rPr>
                <w:rFonts w:ascii="Book Antiqua" w:hAnsi="Book Antiqua"/>
                <w:sz w:val="24"/>
                <w:szCs w:val="24"/>
                <w:lang w:eastAsia="es-CR"/>
              </w:rPr>
            </w:pPr>
            <w:r>
              <w:rPr>
                <w:rFonts w:ascii="Book Antiqua" w:hAnsi="Book Antiqua"/>
                <w:sz w:val="24"/>
                <w:szCs w:val="24"/>
                <w:lang w:eastAsia="es-CR"/>
              </w:rPr>
              <w:t>1,196,651,634.05</w:t>
            </w:r>
          </w:p>
        </w:tc>
      </w:tr>
      <w:tr w:rsidR="00A00E2F" w:rsidRPr="003C1E63" w14:paraId="318B2DF6" w14:textId="77777777" w:rsidTr="003D3F00">
        <w:trPr>
          <w:trHeight w:val="315"/>
          <w:jc w:val="center"/>
        </w:trPr>
        <w:tc>
          <w:tcPr>
            <w:tcW w:w="1208" w:type="dxa"/>
            <w:shd w:val="clear" w:color="auto" w:fill="FFFFFF" w:themeFill="background1"/>
            <w:noWrap/>
            <w:tcMar>
              <w:top w:w="0" w:type="dxa"/>
              <w:left w:w="70" w:type="dxa"/>
              <w:bottom w:w="0" w:type="dxa"/>
              <w:right w:w="70" w:type="dxa"/>
            </w:tcMar>
            <w:vAlign w:val="center"/>
            <w:hideMark/>
          </w:tcPr>
          <w:p w14:paraId="2D38A64B" w14:textId="77777777" w:rsidR="00A00E2F" w:rsidRPr="003C1E63" w:rsidRDefault="00A00E2F" w:rsidP="00F2616F">
            <w:pPr>
              <w:spacing w:after="0"/>
              <w:jc w:val="center"/>
              <w:rPr>
                <w:rFonts w:ascii="Book Antiqua" w:hAnsi="Book Antiqua"/>
                <w:b/>
                <w:bCs/>
                <w:sz w:val="24"/>
                <w:szCs w:val="24"/>
                <w:lang w:eastAsia="es-CR"/>
              </w:rPr>
            </w:pPr>
            <w:r w:rsidRPr="003C1E63">
              <w:rPr>
                <w:rFonts w:ascii="Book Antiqua" w:hAnsi="Book Antiqua"/>
                <w:b/>
                <w:bCs/>
                <w:sz w:val="24"/>
                <w:szCs w:val="24"/>
                <w:lang w:eastAsia="es-CR"/>
              </w:rPr>
              <w:t>927</w:t>
            </w:r>
          </w:p>
        </w:tc>
        <w:tc>
          <w:tcPr>
            <w:tcW w:w="1900" w:type="dxa"/>
            <w:shd w:val="clear" w:color="auto" w:fill="FFFFFF" w:themeFill="background1"/>
            <w:noWrap/>
            <w:tcMar>
              <w:top w:w="0" w:type="dxa"/>
              <w:left w:w="70" w:type="dxa"/>
              <w:bottom w:w="0" w:type="dxa"/>
              <w:right w:w="70" w:type="dxa"/>
            </w:tcMar>
            <w:vAlign w:val="center"/>
          </w:tcPr>
          <w:p w14:paraId="715052F3" w14:textId="23C15C12" w:rsidR="00A00E2F" w:rsidRPr="003C1E63" w:rsidRDefault="003D3F00" w:rsidP="00F2616F">
            <w:pPr>
              <w:spacing w:after="0"/>
              <w:jc w:val="right"/>
              <w:rPr>
                <w:rFonts w:ascii="Book Antiqua" w:hAnsi="Book Antiqua"/>
                <w:sz w:val="24"/>
                <w:szCs w:val="24"/>
                <w:lang w:eastAsia="es-CR"/>
              </w:rPr>
            </w:pPr>
            <w:r>
              <w:rPr>
                <w:rFonts w:ascii="Book Antiqua" w:hAnsi="Book Antiqua"/>
                <w:sz w:val="24"/>
                <w:szCs w:val="24"/>
                <w:lang w:eastAsia="es-CR"/>
              </w:rPr>
              <w:t>1,510,962,082.51</w:t>
            </w:r>
          </w:p>
        </w:tc>
      </w:tr>
      <w:tr w:rsidR="00A00E2F" w:rsidRPr="003C1E63" w14:paraId="7557185C" w14:textId="77777777" w:rsidTr="003D3F00">
        <w:trPr>
          <w:trHeight w:val="315"/>
          <w:jc w:val="center"/>
        </w:trPr>
        <w:tc>
          <w:tcPr>
            <w:tcW w:w="1208" w:type="dxa"/>
            <w:shd w:val="clear" w:color="auto" w:fill="FFFFFF" w:themeFill="background1"/>
            <w:noWrap/>
            <w:tcMar>
              <w:top w:w="0" w:type="dxa"/>
              <w:left w:w="70" w:type="dxa"/>
              <w:bottom w:w="0" w:type="dxa"/>
              <w:right w:w="70" w:type="dxa"/>
            </w:tcMar>
            <w:vAlign w:val="center"/>
            <w:hideMark/>
          </w:tcPr>
          <w:p w14:paraId="436F0F9B" w14:textId="77777777" w:rsidR="00A00E2F" w:rsidRPr="003C1E63" w:rsidRDefault="00A00E2F" w:rsidP="00F2616F">
            <w:pPr>
              <w:spacing w:after="0"/>
              <w:jc w:val="center"/>
              <w:rPr>
                <w:rFonts w:ascii="Book Antiqua" w:hAnsi="Book Antiqua"/>
                <w:b/>
                <w:bCs/>
                <w:sz w:val="24"/>
                <w:szCs w:val="24"/>
                <w:lang w:eastAsia="es-CR"/>
              </w:rPr>
            </w:pPr>
            <w:r w:rsidRPr="003C1E63">
              <w:rPr>
                <w:rFonts w:ascii="Book Antiqua" w:hAnsi="Book Antiqua"/>
                <w:b/>
                <w:bCs/>
                <w:sz w:val="24"/>
                <w:szCs w:val="24"/>
                <w:lang w:eastAsia="es-CR"/>
              </w:rPr>
              <w:t>928</w:t>
            </w:r>
          </w:p>
        </w:tc>
        <w:tc>
          <w:tcPr>
            <w:tcW w:w="1900" w:type="dxa"/>
            <w:shd w:val="clear" w:color="auto" w:fill="FFFFFF" w:themeFill="background1"/>
            <w:noWrap/>
            <w:tcMar>
              <w:top w:w="0" w:type="dxa"/>
              <w:left w:w="70" w:type="dxa"/>
              <w:bottom w:w="0" w:type="dxa"/>
              <w:right w:w="70" w:type="dxa"/>
            </w:tcMar>
            <w:vAlign w:val="center"/>
          </w:tcPr>
          <w:p w14:paraId="16B693F7" w14:textId="50C79AC4" w:rsidR="00A00E2F" w:rsidRPr="003C1E63" w:rsidRDefault="00EF312F" w:rsidP="00F2616F">
            <w:pPr>
              <w:spacing w:after="0"/>
              <w:jc w:val="right"/>
              <w:rPr>
                <w:rFonts w:ascii="Book Antiqua" w:hAnsi="Book Antiqua"/>
                <w:sz w:val="24"/>
                <w:szCs w:val="24"/>
                <w:lang w:eastAsia="es-CR"/>
              </w:rPr>
            </w:pPr>
            <w:r>
              <w:rPr>
                <w:rFonts w:ascii="Book Antiqua" w:hAnsi="Book Antiqua"/>
                <w:sz w:val="24"/>
                <w:szCs w:val="24"/>
                <w:lang w:eastAsia="es-CR"/>
              </w:rPr>
              <w:t>1,251,156,661.03</w:t>
            </w:r>
          </w:p>
        </w:tc>
      </w:tr>
      <w:tr w:rsidR="00A00E2F" w:rsidRPr="003C1E63" w14:paraId="10E8CAD3" w14:textId="77777777" w:rsidTr="003D3F00">
        <w:trPr>
          <w:trHeight w:val="315"/>
          <w:jc w:val="center"/>
        </w:trPr>
        <w:tc>
          <w:tcPr>
            <w:tcW w:w="1208" w:type="dxa"/>
            <w:shd w:val="clear" w:color="auto" w:fill="FFFFFF" w:themeFill="background1"/>
            <w:noWrap/>
            <w:tcMar>
              <w:top w:w="0" w:type="dxa"/>
              <w:left w:w="70" w:type="dxa"/>
              <w:bottom w:w="0" w:type="dxa"/>
              <w:right w:w="70" w:type="dxa"/>
            </w:tcMar>
            <w:vAlign w:val="center"/>
            <w:hideMark/>
          </w:tcPr>
          <w:p w14:paraId="294E7304" w14:textId="77777777" w:rsidR="00A00E2F" w:rsidRPr="003C1E63" w:rsidRDefault="00A00E2F" w:rsidP="00F2616F">
            <w:pPr>
              <w:spacing w:after="0"/>
              <w:jc w:val="center"/>
              <w:rPr>
                <w:rFonts w:ascii="Book Antiqua" w:hAnsi="Book Antiqua"/>
                <w:b/>
                <w:bCs/>
                <w:sz w:val="24"/>
                <w:szCs w:val="24"/>
                <w:lang w:eastAsia="es-CR"/>
              </w:rPr>
            </w:pPr>
            <w:r w:rsidRPr="003C1E63">
              <w:rPr>
                <w:rFonts w:ascii="Book Antiqua" w:hAnsi="Book Antiqua"/>
                <w:b/>
                <w:bCs/>
                <w:sz w:val="24"/>
                <w:szCs w:val="24"/>
                <w:lang w:eastAsia="es-CR"/>
              </w:rPr>
              <w:t>929</w:t>
            </w:r>
          </w:p>
        </w:tc>
        <w:tc>
          <w:tcPr>
            <w:tcW w:w="1900" w:type="dxa"/>
            <w:shd w:val="clear" w:color="auto" w:fill="FFFFFF" w:themeFill="background1"/>
            <w:noWrap/>
            <w:tcMar>
              <w:top w:w="0" w:type="dxa"/>
              <w:left w:w="70" w:type="dxa"/>
              <w:bottom w:w="0" w:type="dxa"/>
              <w:right w:w="70" w:type="dxa"/>
            </w:tcMar>
            <w:vAlign w:val="center"/>
          </w:tcPr>
          <w:p w14:paraId="419F2204" w14:textId="0D65862D" w:rsidR="00A00E2F" w:rsidRPr="003C1E63" w:rsidRDefault="00EF312F" w:rsidP="00F2616F">
            <w:pPr>
              <w:spacing w:after="0"/>
              <w:jc w:val="right"/>
              <w:rPr>
                <w:rFonts w:ascii="Book Antiqua" w:hAnsi="Book Antiqua"/>
                <w:sz w:val="24"/>
                <w:szCs w:val="24"/>
                <w:lang w:eastAsia="es-CR"/>
              </w:rPr>
            </w:pPr>
            <w:r>
              <w:rPr>
                <w:rFonts w:ascii="Book Antiqua" w:hAnsi="Book Antiqua"/>
                <w:sz w:val="24"/>
                <w:szCs w:val="24"/>
                <w:lang w:eastAsia="es-CR"/>
              </w:rPr>
              <w:t>633,850,728.59</w:t>
            </w:r>
          </w:p>
        </w:tc>
      </w:tr>
      <w:tr w:rsidR="00A00E2F" w:rsidRPr="003C1E63" w14:paraId="57167F5F" w14:textId="77777777" w:rsidTr="003D3F00">
        <w:trPr>
          <w:trHeight w:val="315"/>
          <w:jc w:val="center"/>
        </w:trPr>
        <w:tc>
          <w:tcPr>
            <w:tcW w:w="1208" w:type="dxa"/>
            <w:shd w:val="clear" w:color="auto" w:fill="FFFFFF" w:themeFill="background1"/>
            <w:noWrap/>
            <w:tcMar>
              <w:top w:w="0" w:type="dxa"/>
              <w:left w:w="70" w:type="dxa"/>
              <w:bottom w:w="0" w:type="dxa"/>
              <w:right w:w="70" w:type="dxa"/>
            </w:tcMar>
            <w:vAlign w:val="center"/>
            <w:hideMark/>
          </w:tcPr>
          <w:p w14:paraId="4DB9AC2F" w14:textId="77777777" w:rsidR="00A00E2F" w:rsidRPr="003C1E63" w:rsidRDefault="00A00E2F" w:rsidP="00F2616F">
            <w:pPr>
              <w:spacing w:after="0"/>
              <w:jc w:val="center"/>
              <w:rPr>
                <w:rFonts w:ascii="Book Antiqua" w:hAnsi="Book Antiqua"/>
                <w:b/>
                <w:bCs/>
                <w:sz w:val="24"/>
                <w:szCs w:val="24"/>
                <w:lang w:eastAsia="es-CR"/>
              </w:rPr>
            </w:pPr>
            <w:r w:rsidRPr="003C1E63">
              <w:rPr>
                <w:rFonts w:ascii="Book Antiqua" w:hAnsi="Book Antiqua"/>
                <w:b/>
                <w:bCs/>
                <w:sz w:val="24"/>
                <w:szCs w:val="24"/>
                <w:lang w:eastAsia="es-CR"/>
              </w:rPr>
              <w:t>930</w:t>
            </w:r>
          </w:p>
        </w:tc>
        <w:tc>
          <w:tcPr>
            <w:tcW w:w="1900" w:type="dxa"/>
            <w:shd w:val="clear" w:color="auto" w:fill="FFFFFF" w:themeFill="background1"/>
            <w:noWrap/>
            <w:tcMar>
              <w:top w:w="0" w:type="dxa"/>
              <w:left w:w="70" w:type="dxa"/>
              <w:bottom w:w="0" w:type="dxa"/>
              <w:right w:w="70" w:type="dxa"/>
            </w:tcMar>
            <w:vAlign w:val="center"/>
          </w:tcPr>
          <w:p w14:paraId="670F755E" w14:textId="22213F1D" w:rsidR="00A00E2F" w:rsidRPr="003C1E63" w:rsidRDefault="00EF312F" w:rsidP="00F2616F">
            <w:pPr>
              <w:spacing w:after="0"/>
              <w:jc w:val="right"/>
              <w:rPr>
                <w:rFonts w:ascii="Book Antiqua" w:hAnsi="Book Antiqua"/>
                <w:sz w:val="24"/>
                <w:szCs w:val="24"/>
                <w:lang w:eastAsia="es-CR"/>
              </w:rPr>
            </w:pPr>
            <w:r>
              <w:rPr>
                <w:rFonts w:ascii="Book Antiqua" w:hAnsi="Book Antiqua"/>
                <w:sz w:val="24"/>
                <w:szCs w:val="24"/>
                <w:lang w:eastAsia="es-CR"/>
              </w:rPr>
              <w:t>263,272,852.67</w:t>
            </w:r>
          </w:p>
        </w:tc>
      </w:tr>
      <w:tr w:rsidR="00A00E2F" w:rsidRPr="003C1E63" w14:paraId="07A63F7A" w14:textId="77777777" w:rsidTr="003149D5">
        <w:trPr>
          <w:trHeight w:val="315"/>
          <w:jc w:val="center"/>
        </w:trPr>
        <w:tc>
          <w:tcPr>
            <w:tcW w:w="1208" w:type="dxa"/>
            <w:shd w:val="clear" w:color="auto" w:fill="FFFFFF" w:themeFill="background1"/>
            <w:noWrap/>
            <w:tcMar>
              <w:top w:w="0" w:type="dxa"/>
              <w:left w:w="70" w:type="dxa"/>
              <w:bottom w:w="0" w:type="dxa"/>
              <w:right w:w="70" w:type="dxa"/>
            </w:tcMar>
            <w:vAlign w:val="center"/>
            <w:hideMark/>
          </w:tcPr>
          <w:p w14:paraId="152152C1" w14:textId="77777777" w:rsidR="00A00E2F" w:rsidRPr="003C1E63" w:rsidRDefault="00A00E2F" w:rsidP="00F2616F">
            <w:pPr>
              <w:spacing w:after="0"/>
              <w:jc w:val="center"/>
              <w:rPr>
                <w:rFonts w:ascii="Book Antiqua" w:hAnsi="Book Antiqua"/>
                <w:b/>
                <w:bCs/>
                <w:sz w:val="24"/>
                <w:szCs w:val="24"/>
                <w:lang w:eastAsia="es-CR"/>
              </w:rPr>
            </w:pPr>
            <w:r w:rsidRPr="003C1E63">
              <w:rPr>
                <w:rFonts w:ascii="Book Antiqua" w:hAnsi="Book Antiqua"/>
                <w:b/>
                <w:bCs/>
                <w:sz w:val="24"/>
                <w:szCs w:val="24"/>
                <w:lang w:eastAsia="es-CR"/>
              </w:rPr>
              <w:t>950</w:t>
            </w:r>
          </w:p>
        </w:tc>
        <w:tc>
          <w:tcPr>
            <w:tcW w:w="1900" w:type="dxa"/>
            <w:shd w:val="clear" w:color="auto" w:fill="FFFFFF" w:themeFill="background1"/>
            <w:noWrap/>
            <w:tcMar>
              <w:top w:w="0" w:type="dxa"/>
              <w:left w:w="70" w:type="dxa"/>
              <w:bottom w:w="0" w:type="dxa"/>
              <w:right w:w="70" w:type="dxa"/>
            </w:tcMar>
            <w:vAlign w:val="center"/>
            <w:hideMark/>
          </w:tcPr>
          <w:p w14:paraId="3A707787" w14:textId="445C4634" w:rsidR="00A00E2F" w:rsidRPr="003C1E63" w:rsidRDefault="00EF312F" w:rsidP="00F2616F">
            <w:pPr>
              <w:spacing w:after="0"/>
              <w:jc w:val="right"/>
              <w:rPr>
                <w:rFonts w:ascii="Book Antiqua" w:hAnsi="Book Antiqua"/>
                <w:sz w:val="24"/>
                <w:szCs w:val="24"/>
                <w:lang w:eastAsia="es-CR"/>
              </w:rPr>
            </w:pPr>
            <w:r>
              <w:rPr>
                <w:rFonts w:ascii="Book Antiqua" w:hAnsi="Book Antiqua"/>
                <w:sz w:val="24"/>
                <w:szCs w:val="24"/>
                <w:lang w:eastAsia="es-CR"/>
              </w:rPr>
              <w:t>6,203,828</w:t>
            </w:r>
            <w:r w:rsidR="008C1909">
              <w:rPr>
                <w:rFonts w:ascii="Book Antiqua" w:hAnsi="Book Antiqua"/>
                <w:sz w:val="24"/>
                <w:szCs w:val="24"/>
                <w:lang w:eastAsia="es-CR"/>
              </w:rPr>
              <w:t>.74</w:t>
            </w:r>
          </w:p>
        </w:tc>
      </w:tr>
    </w:tbl>
    <w:p w14:paraId="567FDA4B" w14:textId="77777777" w:rsidR="00006088" w:rsidRDefault="00006088" w:rsidP="00A00E2F">
      <w:pPr>
        <w:spacing w:after="0"/>
        <w:jc w:val="both"/>
        <w:rPr>
          <w:rFonts w:ascii="Book Antiqua" w:hAnsi="Book Antiqua"/>
          <w:i/>
          <w:iCs/>
          <w:sz w:val="24"/>
          <w:szCs w:val="24"/>
        </w:rPr>
      </w:pPr>
    </w:p>
    <w:p w14:paraId="7CB689D5" w14:textId="77777777" w:rsidR="00006088" w:rsidRDefault="00006088" w:rsidP="00A00E2F">
      <w:pPr>
        <w:spacing w:after="0"/>
        <w:jc w:val="both"/>
        <w:rPr>
          <w:rFonts w:ascii="Book Antiqua" w:hAnsi="Book Antiqua"/>
          <w:i/>
          <w:iCs/>
          <w:sz w:val="24"/>
          <w:szCs w:val="24"/>
        </w:rPr>
      </w:pPr>
    </w:p>
    <w:p w14:paraId="542A1969" w14:textId="01E6577A" w:rsidR="004C0488" w:rsidRDefault="00BE773E" w:rsidP="00A00E2F">
      <w:pPr>
        <w:spacing w:after="0"/>
        <w:jc w:val="both"/>
        <w:rPr>
          <w:rFonts w:ascii="Book Antiqua" w:hAnsi="Book Antiqua"/>
          <w:sz w:val="24"/>
          <w:szCs w:val="24"/>
        </w:rPr>
      </w:pPr>
      <w:r>
        <w:rPr>
          <w:rFonts w:ascii="Book Antiqua" w:hAnsi="Book Antiqua"/>
          <w:i/>
          <w:iCs/>
          <w:sz w:val="24"/>
          <w:szCs w:val="24"/>
        </w:rPr>
        <w:tab/>
      </w:r>
    </w:p>
    <w:p w14:paraId="330CB489" w14:textId="49496D51" w:rsidR="00A00E2F" w:rsidRDefault="00A00E2F" w:rsidP="009129F0">
      <w:pPr>
        <w:pStyle w:val="Ttulo2"/>
        <w:numPr>
          <w:ilvl w:val="0"/>
          <w:numId w:val="6"/>
        </w:numPr>
        <w:ind w:hanging="578"/>
        <w:rPr>
          <w:rFonts w:ascii="Book Antiqua" w:eastAsia="Wingdings" w:hAnsi="Book Antiqua"/>
          <w:b/>
          <w:bCs/>
          <w:color w:val="auto"/>
          <w:lang w:eastAsia="ko-KR"/>
        </w:rPr>
      </w:pPr>
      <w:bookmarkStart w:id="127" w:name="_Toc138770860"/>
      <w:r w:rsidRPr="00083E0D">
        <w:rPr>
          <w:rFonts w:ascii="Book Antiqua" w:eastAsia="Wingdings" w:hAnsi="Book Antiqua"/>
          <w:b/>
          <w:bCs/>
          <w:color w:val="auto"/>
          <w:lang w:eastAsia="ko-KR"/>
        </w:rPr>
        <w:lastRenderedPageBreak/>
        <w:t>Permisos con goce de salario que no continúan</w:t>
      </w:r>
      <w:r>
        <w:rPr>
          <w:rFonts w:ascii="Book Antiqua" w:eastAsia="Wingdings" w:hAnsi="Book Antiqua"/>
          <w:b/>
          <w:bCs/>
          <w:color w:val="auto"/>
          <w:lang w:eastAsia="ko-KR"/>
        </w:rPr>
        <w:t xml:space="preserve"> el 202</w:t>
      </w:r>
      <w:r w:rsidR="004C0488">
        <w:rPr>
          <w:rFonts w:ascii="Book Antiqua" w:eastAsia="Wingdings" w:hAnsi="Book Antiqua"/>
          <w:b/>
          <w:bCs/>
          <w:color w:val="auto"/>
          <w:lang w:eastAsia="ko-KR"/>
        </w:rPr>
        <w:t>3</w:t>
      </w:r>
      <w:bookmarkEnd w:id="127"/>
    </w:p>
    <w:p w14:paraId="20F3A2C8" w14:textId="77777777" w:rsidR="00BE773E" w:rsidRPr="00EF4E17" w:rsidRDefault="00BE773E" w:rsidP="00EF4E17">
      <w:pPr>
        <w:rPr>
          <w:lang w:eastAsia="ko-KR"/>
        </w:rPr>
      </w:pPr>
    </w:p>
    <w:p w14:paraId="0976B01C" w14:textId="76CFF649" w:rsidR="00A00E2F" w:rsidRPr="00BA2173" w:rsidRDefault="00A00E2F" w:rsidP="00A00E2F">
      <w:pPr>
        <w:spacing w:after="0"/>
        <w:jc w:val="both"/>
        <w:rPr>
          <w:rFonts w:ascii="Book Antiqua" w:hAnsi="Book Antiqua"/>
          <w:sz w:val="24"/>
          <w:szCs w:val="24"/>
        </w:rPr>
      </w:pPr>
      <w:r w:rsidRPr="00BA2173">
        <w:rPr>
          <w:rFonts w:ascii="Book Antiqua" w:hAnsi="Book Antiqua"/>
          <w:sz w:val="24"/>
          <w:szCs w:val="24"/>
        </w:rPr>
        <w:t xml:space="preserve">Como parte de la revisión realizada por la Dirección de Planificación considerando tanto los cronogramas de proyecto, así como los acuerdos, plazos de aprobación de los permisos y complementado con un proceso de consulta hacia las oficinas se tiene que dentro de los permisos que habían venido funcionando los siguientes </w:t>
      </w:r>
      <w:r w:rsidR="00184664" w:rsidRPr="00BA2173">
        <w:rPr>
          <w:rFonts w:ascii="Book Antiqua" w:hAnsi="Book Antiqua"/>
          <w:sz w:val="24"/>
          <w:szCs w:val="24"/>
        </w:rPr>
        <w:t xml:space="preserve">permisos </w:t>
      </w:r>
      <w:r w:rsidRPr="00BA2173">
        <w:rPr>
          <w:rFonts w:ascii="Book Antiqua" w:hAnsi="Book Antiqua"/>
          <w:sz w:val="24"/>
          <w:szCs w:val="24"/>
        </w:rPr>
        <w:t>no se solicitan prorrogar</w:t>
      </w:r>
      <w:r w:rsidR="00814B1D" w:rsidRPr="00BA2173">
        <w:rPr>
          <w:rFonts w:ascii="Book Antiqua" w:hAnsi="Book Antiqua"/>
          <w:sz w:val="24"/>
          <w:szCs w:val="24"/>
        </w:rPr>
        <w:t>,</w:t>
      </w:r>
      <w:r w:rsidR="00B34E13" w:rsidRPr="00BA2173">
        <w:rPr>
          <w:rFonts w:ascii="Book Antiqua" w:hAnsi="Book Antiqua"/>
          <w:sz w:val="24"/>
          <w:szCs w:val="24"/>
        </w:rPr>
        <w:t xml:space="preserve"> </w:t>
      </w:r>
      <w:r w:rsidR="00441C38" w:rsidRPr="00BA2173">
        <w:rPr>
          <w:rFonts w:ascii="Book Antiqua" w:hAnsi="Book Antiqua"/>
          <w:sz w:val="24"/>
          <w:szCs w:val="24"/>
        </w:rPr>
        <w:t>específicamente el 1167-OIJ-P50 ya complet</w:t>
      </w:r>
      <w:r w:rsidR="00184664">
        <w:rPr>
          <w:rFonts w:ascii="Book Antiqua" w:hAnsi="Book Antiqua"/>
          <w:sz w:val="24"/>
          <w:szCs w:val="24"/>
        </w:rPr>
        <w:t>ó</w:t>
      </w:r>
      <w:r w:rsidR="00441C38" w:rsidRPr="00BA2173">
        <w:rPr>
          <w:rFonts w:ascii="Book Antiqua" w:hAnsi="Book Antiqua"/>
          <w:sz w:val="24"/>
          <w:szCs w:val="24"/>
        </w:rPr>
        <w:t xml:space="preserve"> la fase de cierre y en los restantes proyectos, se determinó que no sería necesaria su continuidad</w:t>
      </w:r>
      <w:r w:rsidRPr="00BA2173">
        <w:rPr>
          <w:rFonts w:ascii="Book Antiqua" w:hAnsi="Book Antiqua"/>
          <w:sz w:val="24"/>
          <w:szCs w:val="24"/>
        </w:rPr>
        <w:t>:</w:t>
      </w:r>
    </w:p>
    <w:p w14:paraId="13F803CF" w14:textId="77777777" w:rsidR="008509E3" w:rsidRDefault="008509E3" w:rsidP="00A00E2F">
      <w:pPr>
        <w:spacing w:after="0"/>
        <w:jc w:val="both"/>
        <w:rPr>
          <w:rFonts w:ascii="Book Antiqua" w:hAnsi="Book Antiqua"/>
        </w:rPr>
      </w:pPr>
    </w:p>
    <w:p w14:paraId="4E6D29BD" w14:textId="7E161203" w:rsidR="00A00E2F" w:rsidRPr="00413346" w:rsidRDefault="00722FE8" w:rsidP="00A00E2F">
      <w:pPr>
        <w:spacing w:after="0"/>
        <w:jc w:val="center"/>
        <w:rPr>
          <w:rFonts w:ascii="Book Antiqua" w:hAnsi="Book Antiqua"/>
          <w:b/>
          <w:bCs/>
          <w:sz w:val="24"/>
          <w:szCs w:val="24"/>
        </w:rPr>
      </w:pPr>
      <w:r w:rsidRPr="00413346">
        <w:rPr>
          <w:rFonts w:ascii="Book Antiqua" w:hAnsi="Book Antiqua" w:cs="&amp;quot"/>
          <w:b/>
          <w:sz w:val="24"/>
          <w:szCs w:val="24"/>
        </w:rPr>
        <w:t xml:space="preserve">Tabla </w:t>
      </w:r>
      <w:r w:rsidRPr="00413346">
        <w:rPr>
          <w:rFonts w:ascii="Book Antiqua" w:hAnsi="Book Antiqua" w:cs="&amp;quot"/>
          <w:b/>
          <w:i/>
          <w:iCs/>
          <w:sz w:val="24"/>
          <w:szCs w:val="24"/>
        </w:rPr>
        <w:fldChar w:fldCharType="begin"/>
      </w:r>
      <w:r w:rsidRPr="00413346">
        <w:rPr>
          <w:rFonts w:ascii="Book Antiqua" w:hAnsi="Book Antiqua" w:cs="&amp;quot"/>
          <w:b/>
          <w:sz w:val="24"/>
          <w:szCs w:val="24"/>
        </w:rPr>
        <w:instrText xml:space="preserve"> SEQ Tabla \* ARABIC </w:instrText>
      </w:r>
      <w:r w:rsidRPr="00413346">
        <w:rPr>
          <w:rFonts w:ascii="Book Antiqua" w:hAnsi="Book Antiqua" w:cs="&amp;quot"/>
          <w:b/>
          <w:i/>
          <w:iCs/>
          <w:sz w:val="24"/>
          <w:szCs w:val="24"/>
        </w:rPr>
        <w:fldChar w:fldCharType="separate"/>
      </w:r>
      <w:r w:rsidR="0003360C">
        <w:rPr>
          <w:rFonts w:ascii="Book Antiqua" w:hAnsi="Book Antiqua" w:cs="&amp;quot"/>
          <w:b/>
          <w:noProof/>
          <w:sz w:val="24"/>
          <w:szCs w:val="24"/>
        </w:rPr>
        <w:t>36</w:t>
      </w:r>
      <w:r w:rsidRPr="00413346">
        <w:rPr>
          <w:rFonts w:ascii="Book Antiqua" w:hAnsi="Book Antiqua" w:cs="&amp;quot"/>
          <w:b/>
          <w:i/>
          <w:iCs/>
          <w:sz w:val="24"/>
          <w:szCs w:val="24"/>
        </w:rPr>
        <w:fldChar w:fldCharType="end"/>
      </w:r>
      <w:r w:rsidR="00A00E2F" w:rsidRPr="00413346">
        <w:rPr>
          <w:rFonts w:ascii="Book Antiqua" w:hAnsi="Book Antiqua"/>
          <w:b/>
          <w:bCs/>
        </w:rPr>
        <w:t xml:space="preserve">. </w:t>
      </w:r>
      <w:r w:rsidR="00A00E2F" w:rsidRPr="00413346">
        <w:rPr>
          <w:rFonts w:ascii="Book Antiqua" w:hAnsi="Book Antiqua"/>
          <w:b/>
          <w:bCs/>
          <w:sz w:val="24"/>
          <w:szCs w:val="24"/>
        </w:rPr>
        <w:t xml:space="preserve">Permisos con goce de salarios asignados a proyectos que no continúan </w:t>
      </w:r>
    </w:p>
    <w:p w14:paraId="4CE70D74" w14:textId="1AF7EF34" w:rsidR="00A00E2F" w:rsidRDefault="00E15124" w:rsidP="00E15124">
      <w:pPr>
        <w:spacing w:after="0"/>
        <w:ind w:left="-426"/>
        <w:jc w:val="center"/>
        <w:rPr>
          <w:rFonts w:ascii="Book Antiqua" w:eastAsia="Wingdings" w:hAnsi="Book Antiqua"/>
          <w:b/>
          <w:bCs/>
          <w:sz w:val="20"/>
          <w:szCs w:val="20"/>
          <w:lang w:eastAsia="ko-KR"/>
        </w:rPr>
      </w:pPr>
      <w:r>
        <w:rPr>
          <w:rFonts w:ascii="Book Antiqua" w:eastAsia="Wingdings" w:hAnsi="Book Antiqua"/>
          <w:b/>
          <w:bCs/>
          <w:noProof/>
          <w:sz w:val="20"/>
          <w:szCs w:val="20"/>
          <w:lang w:eastAsia="ko-KR"/>
        </w:rPr>
        <w:drawing>
          <wp:inline distT="0" distB="0" distL="0" distR="0" wp14:anchorId="08B442FE" wp14:editId="336FDBEC">
            <wp:extent cx="6327645" cy="29254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337313" cy="2929915"/>
                    </a:xfrm>
                    <a:prstGeom prst="rect">
                      <a:avLst/>
                    </a:prstGeom>
                    <a:noFill/>
                  </pic:spPr>
                </pic:pic>
              </a:graphicData>
            </a:graphic>
          </wp:inline>
        </w:drawing>
      </w:r>
    </w:p>
    <w:p w14:paraId="2F49DE1A" w14:textId="77777777" w:rsidR="00A00E2F" w:rsidRPr="00BA1484" w:rsidRDefault="00A00E2F" w:rsidP="00BE773E">
      <w:pPr>
        <w:spacing w:after="0"/>
        <w:jc w:val="both"/>
        <w:rPr>
          <w:rFonts w:ascii="Book Antiqua" w:eastAsia="Wingdings" w:hAnsi="Book Antiqua"/>
          <w:sz w:val="20"/>
          <w:szCs w:val="20"/>
          <w:lang w:eastAsia="ko-KR"/>
        </w:rPr>
      </w:pPr>
      <w:r w:rsidRPr="00BA1484">
        <w:rPr>
          <w:rFonts w:ascii="Book Antiqua" w:eastAsia="Wingdings" w:hAnsi="Book Antiqua"/>
          <w:b/>
          <w:bCs/>
          <w:sz w:val="20"/>
          <w:szCs w:val="20"/>
          <w:lang w:eastAsia="ko-KR"/>
        </w:rPr>
        <w:t>Fuente:</w:t>
      </w:r>
      <w:r w:rsidRPr="00BA1484">
        <w:rPr>
          <w:rFonts w:ascii="Book Antiqua" w:eastAsia="Wingdings" w:hAnsi="Book Antiqua"/>
          <w:sz w:val="20"/>
          <w:szCs w:val="20"/>
          <w:lang w:eastAsia="ko-KR"/>
        </w:rPr>
        <w:t xml:space="preserve"> Portafolio de Proyectos y consultas realizadas a las oficinas líderes de proyectos con permisos con goce de salario</w:t>
      </w:r>
      <w:r>
        <w:rPr>
          <w:rFonts w:ascii="Book Antiqua" w:eastAsia="Wingdings" w:hAnsi="Book Antiqua"/>
          <w:sz w:val="20"/>
          <w:szCs w:val="20"/>
          <w:lang w:eastAsia="ko-KR"/>
        </w:rPr>
        <w:t>.</w:t>
      </w:r>
    </w:p>
    <w:p w14:paraId="53F9BC16" w14:textId="77777777" w:rsidR="00757D8F" w:rsidRDefault="00757D8F" w:rsidP="00BE773E">
      <w:pPr>
        <w:spacing w:after="0"/>
        <w:jc w:val="both"/>
        <w:rPr>
          <w:rFonts w:ascii="Book Antiqua" w:hAnsi="Book Antiqua"/>
        </w:rPr>
      </w:pPr>
    </w:p>
    <w:p w14:paraId="3F2CF167" w14:textId="4A33D7A5" w:rsidR="009C1862" w:rsidRDefault="009C1862" w:rsidP="00EF4E17">
      <w:pPr>
        <w:pStyle w:val="Ttulo2"/>
        <w:numPr>
          <w:ilvl w:val="0"/>
          <w:numId w:val="6"/>
        </w:numPr>
        <w:spacing w:before="0"/>
        <w:ind w:left="567" w:hanging="578"/>
        <w:rPr>
          <w:rFonts w:ascii="Book Antiqua" w:eastAsia="Wingdings" w:hAnsi="Book Antiqua"/>
          <w:sz w:val="24"/>
          <w:szCs w:val="24"/>
          <w:lang w:eastAsia="ko-KR"/>
        </w:rPr>
      </w:pPr>
      <w:bookmarkStart w:id="128" w:name="_Toc138770861"/>
      <w:r>
        <w:rPr>
          <w:rFonts w:ascii="Book Antiqua" w:eastAsia="Wingdings" w:hAnsi="Book Antiqua"/>
          <w:b/>
          <w:bCs/>
          <w:color w:val="auto"/>
          <w:lang w:eastAsia="ko-KR"/>
        </w:rPr>
        <w:t xml:space="preserve">Solicitud de modificación o cambios en los </w:t>
      </w:r>
      <w:r w:rsidRPr="009C1862">
        <w:rPr>
          <w:rFonts w:ascii="Book Antiqua" w:eastAsia="Wingdings" w:hAnsi="Book Antiqua"/>
          <w:b/>
          <w:bCs/>
          <w:color w:val="auto"/>
          <w:lang w:eastAsia="ko-KR"/>
        </w:rPr>
        <w:t>permisos con goce de salario para el III trimestre 2023</w:t>
      </w:r>
      <w:bookmarkEnd w:id="128"/>
    </w:p>
    <w:p w14:paraId="258F2C04" w14:textId="77777777" w:rsidR="00BE773E" w:rsidRDefault="00BE773E" w:rsidP="00EF4E17">
      <w:pPr>
        <w:spacing w:after="0"/>
        <w:jc w:val="both"/>
        <w:rPr>
          <w:rFonts w:ascii="Book Antiqua" w:hAnsi="Book Antiqua"/>
          <w:sz w:val="24"/>
          <w:szCs w:val="24"/>
          <w:lang w:val="es-ES"/>
        </w:rPr>
      </w:pPr>
    </w:p>
    <w:p w14:paraId="21509D0B" w14:textId="720C1ED9" w:rsidR="00697E8A" w:rsidRDefault="00697E8A" w:rsidP="00BE773E">
      <w:pPr>
        <w:spacing w:after="0"/>
        <w:jc w:val="both"/>
        <w:rPr>
          <w:rFonts w:ascii="Book Antiqua" w:hAnsi="Book Antiqua"/>
          <w:sz w:val="24"/>
          <w:szCs w:val="24"/>
          <w:lang w:val="es-ES"/>
        </w:rPr>
      </w:pPr>
      <w:r w:rsidRPr="00697E8A">
        <w:rPr>
          <w:rFonts w:ascii="Book Antiqua" w:hAnsi="Book Antiqua"/>
          <w:sz w:val="24"/>
          <w:szCs w:val="24"/>
          <w:lang w:val="es-ES"/>
        </w:rPr>
        <w:t>Se present</w:t>
      </w:r>
      <w:r>
        <w:rPr>
          <w:rFonts w:ascii="Book Antiqua" w:hAnsi="Book Antiqua"/>
          <w:sz w:val="24"/>
          <w:szCs w:val="24"/>
          <w:lang w:val="es-ES"/>
        </w:rPr>
        <w:t>a por medio de la siguiente tabla el detalle de permisos</w:t>
      </w:r>
      <w:r w:rsidR="007635B5">
        <w:rPr>
          <w:rFonts w:ascii="Book Antiqua" w:hAnsi="Book Antiqua"/>
          <w:sz w:val="24"/>
          <w:szCs w:val="24"/>
          <w:lang w:val="es-ES"/>
        </w:rPr>
        <w:t>:</w:t>
      </w:r>
    </w:p>
    <w:p w14:paraId="56086E41" w14:textId="4EEF8812" w:rsidR="00BE773E" w:rsidRDefault="00BE773E" w:rsidP="00BE773E">
      <w:pPr>
        <w:spacing w:after="0"/>
        <w:jc w:val="both"/>
        <w:rPr>
          <w:rFonts w:ascii="Book Antiqua" w:hAnsi="Book Antiqua"/>
          <w:sz w:val="24"/>
          <w:szCs w:val="24"/>
          <w:lang w:val="es-ES"/>
        </w:rPr>
      </w:pPr>
    </w:p>
    <w:p w14:paraId="5643EA30" w14:textId="2DB98CB3" w:rsidR="00BE773E" w:rsidRDefault="00BE773E" w:rsidP="00BE773E">
      <w:pPr>
        <w:spacing w:after="0"/>
        <w:jc w:val="both"/>
        <w:rPr>
          <w:rFonts w:ascii="Book Antiqua" w:hAnsi="Book Antiqua"/>
          <w:sz w:val="24"/>
          <w:szCs w:val="24"/>
          <w:lang w:val="es-ES"/>
        </w:rPr>
      </w:pPr>
    </w:p>
    <w:p w14:paraId="4257729D" w14:textId="42897DE8" w:rsidR="00BE773E" w:rsidRDefault="00BE773E" w:rsidP="00BE773E">
      <w:pPr>
        <w:spacing w:after="0"/>
        <w:jc w:val="both"/>
        <w:rPr>
          <w:rFonts w:ascii="Book Antiqua" w:hAnsi="Book Antiqua"/>
          <w:sz w:val="24"/>
          <w:szCs w:val="24"/>
          <w:lang w:val="es-ES"/>
        </w:rPr>
      </w:pPr>
    </w:p>
    <w:p w14:paraId="2FAFFFA1" w14:textId="4A7BABA8" w:rsidR="00BE773E" w:rsidRDefault="00BE773E" w:rsidP="00BE773E">
      <w:pPr>
        <w:spacing w:after="0"/>
        <w:jc w:val="both"/>
        <w:rPr>
          <w:rFonts w:ascii="Book Antiqua" w:hAnsi="Book Antiqua"/>
          <w:sz w:val="24"/>
          <w:szCs w:val="24"/>
          <w:lang w:val="es-ES"/>
        </w:rPr>
      </w:pPr>
    </w:p>
    <w:p w14:paraId="05752F17" w14:textId="39E3F883" w:rsidR="00BE773E" w:rsidRDefault="00BE773E" w:rsidP="00BE773E">
      <w:pPr>
        <w:spacing w:after="0"/>
        <w:jc w:val="both"/>
        <w:rPr>
          <w:rFonts w:ascii="Book Antiqua" w:hAnsi="Book Antiqua"/>
          <w:sz w:val="24"/>
          <w:szCs w:val="24"/>
          <w:lang w:val="es-ES"/>
        </w:rPr>
      </w:pPr>
    </w:p>
    <w:p w14:paraId="59C3ABC2" w14:textId="5A78BB0B" w:rsidR="00757D8F" w:rsidRPr="007D4578" w:rsidRDefault="00413346" w:rsidP="00BE773E">
      <w:pPr>
        <w:spacing w:after="0"/>
        <w:jc w:val="center"/>
        <w:rPr>
          <w:rFonts w:ascii="Book Antiqua" w:hAnsi="Book Antiqua"/>
          <w:b/>
          <w:bCs/>
        </w:rPr>
      </w:pPr>
      <w:r w:rsidRPr="00413346">
        <w:rPr>
          <w:rFonts w:ascii="Book Antiqua" w:hAnsi="Book Antiqua" w:cs="&amp;quot"/>
          <w:b/>
          <w:sz w:val="24"/>
          <w:szCs w:val="24"/>
        </w:rPr>
        <w:t xml:space="preserve">Tabla </w:t>
      </w:r>
      <w:r w:rsidRPr="00413346">
        <w:rPr>
          <w:rFonts w:ascii="Book Antiqua" w:hAnsi="Book Antiqua" w:cs="&amp;quot"/>
          <w:b/>
          <w:i/>
          <w:iCs/>
          <w:sz w:val="24"/>
          <w:szCs w:val="24"/>
        </w:rPr>
        <w:fldChar w:fldCharType="begin"/>
      </w:r>
      <w:r w:rsidRPr="00413346">
        <w:rPr>
          <w:rFonts w:ascii="Book Antiqua" w:hAnsi="Book Antiqua" w:cs="&amp;quot"/>
          <w:b/>
          <w:sz w:val="24"/>
          <w:szCs w:val="24"/>
        </w:rPr>
        <w:instrText xml:space="preserve"> SEQ Tabla \* ARABIC </w:instrText>
      </w:r>
      <w:r w:rsidRPr="00413346">
        <w:rPr>
          <w:rFonts w:ascii="Book Antiqua" w:hAnsi="Book Antiqua" w:cs="&amp;quot"/>
          <w:b/>
          <w:i/>
          <w:iCs/>
          <w:sz w:val="24"/>
          <w:szCs w:val="24"/>
        </w:rPr>
        <w:fldChar w:fldCharType="separate"/>
      </w:r>
      <w:r w:rsidR="00BE773E">
        <w:rPr>
          <w:rFonts w:ascii="Book Antiqua" w:hAnsi="Book Antiqua" w:cs="&amp;quot"/>
          <w:b/>
          <w:noProof/>
          <w:sz w:val="24"/>
          <w:szCs w:val="24"/>
        </w:rPr>
        <w:t>37</w:t>
      </w:r>
      <w:r w:rsidRPr="00413346">
        <w:rPr>
          <w:rFonts w:ascii="Book Antiqua" w:hAnsi="Book Antiqua" w:cs="&amp;quot"/>
          <w:b/>
          <w:i/>
          <w:iCs/>
          <w:sz w:val="24"/>
          <w:szCs w:val="24"/>
        </w:rPr>
        <w:fldChar w:fldCharType="end"/>
      </w:r>
      <w:r w:rsidR="00923BDB" w:rsidRPr="00A562C7">
        <w:rPr>
          <w:rFonts w:ascii="Book Antiqua" w:hAnsi="Book Antiqua" w:cs="&amp;quot"/>
          <w:b/>
          <w:sz w:val="24"/>
          <w:szCs w:val="24"/>
        </w:rPr>
        <w:t xml:space="preserve"> </w:t>
      </w:r>
      <w:r w:rsidR="00757D8F" w:rsidRPr="007D4578">
        <w:rPr>
          <w:rFonts w:ascii="Book Antiqua" w:hAnsi="Book Antiqua"/>
          <w:b/>
          <w:bCs/>
        </w:rPr>
        <w:t xml:space="preserve">Permisos con goce de salarios </w:t>
      </w:r>
      <w:r w:rsidR="00757D8F">
        <w:rPr>
          <w:rFonts w:ascii="Book Antiqua" w:hAnsi="Book Antiqua"/>
          <w:b/>
          <w:bCs/>
        </w:rPr>
        <w:t>con solicitud de modificación y vinculación a iniciativas de proyectos</w:t>
      </w:r>
      <w:r w:rsidR="00757D8F" w:rsidRPr="007D4578">
        <w:rPr>
          <w:rFonts w:ascii="Book Antiqua" w:hAnsi="Book Antiqua"/>
          <w:b/>
          <w:bCs/>
        </w:rPr>
        <w:t xml:space="preserve"> </w:t>
      </w:r>
    </w:p>
    <w:tbl>
      <w:tblPr>
        <w:tblW w:w="9918" w:type="dxa"/>
        <w:jc w:val="center"/>
        <w:tblCellMar>
          <w:left w:w="0" w:type="dxa"/>
          <w:right w:w="0" w:type="dxa"/>
        </w:tblCellMar>
        <w:tblLook w:val="0600" w:firstRow="0" w:lastRow="0" w:firstColumn="0" w:lastColumn="0" w:noHBand="1" w:noVBand="1"/>
      </w:tblPr>
      <w:tblGrid>
        <w:gridCol w:w="867"/>
        <w:gridCol w:w="1141"/>
        <w:gridCol w:w="1082"/>
        <w:gridCol w:w="1340"/>
        <w:gridCol w:w="1478"/>
        <w:gridCol w:w="880"/>
        <w:gridCol w:w="3130"/>
      </w:tblGrid>
      <w:tr w:rsidR="00F42247" w:rsidRPr="00F42247" w14:paraId="5CAA78FC" w14:textId="77777777" w:rsidTr="00F42247">
        <w:trPr>
          <w:trHeight w:val="760"/>
          <w:jc w:val="center"/>
        </w:trPr>
        <w:tc>
          <w:tcPr>
            <w:tcW w:w="867"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Mar>
              <w:top w:w="15" w:type="dxa"/>
              <w:left w:w="15" w:type="dxa"/>
              <w:bottom w:w="0" w:type="dxa"/>
              <w:right w:w="15" w:type="dxa"/>
            </w:tcMar>
            <w:vAlign w:val="center"/>
            <w:hideMark/>
          </w:tcPr>
          <w:p w14:paraId="10AC2EAE" w14:textId="77777777" w:rsidR="00757D8F" w:rsidRPr="00F94246" w:rsidRDefault="00757D8F" w:rsidP="00EF4E17">
            <w:pPr>
              <w:spacing w:after="0"/>
              <w:jc w:val="center"/>
              <w:rPr>
                <w:rFonts w:ascii="Book Antiqua" w:hAnsi="Book Antiqua"/>
                <w:sz w:val="16"/>
                <w:szCs w:val="16"/>
              </w:rPr>
            </w:pPr>
            <w:r w:rsidRPr="00F94246">
              <w:rPr>
                <w:rFonts w:ascii="Book Antiqua" w:hAnsi="Book Antiqua"/>
                <w:b/>
                <w:bCs/>
                <w:sz w:val="16"/>
                <w:szCs w:val="16"/>
              </w:rPr>
              <w:t>Código de Iniciativa</w:t>
            </w:r>
          </w:p>
        </w:tc>
        <w:tc>
          <w:tcPr>
            <w:tcW w:w="114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Mar>
              <w:top w:w="15" w:type="dxa"/>
              <w:left w:w="15" w:type="dxa"/>
              <w:bottom w:w="0" w:type="dxa"/>
              <w:right w:w="15" w:type="dxa"/>
            </w:tcMar>
            <w:vAlign w:val="center"/>
            <w:hideMark/>
          </w:tcPr>
          <w:p w14:paraId="38877E69" w14:textId="77777777" w:rsidR="00757D8F" w:rsidRPr="00F94246" w:rsidRDefault="00757D8F" w:rsidP="00EF4E17">
            <w:pPr>
              <w:spacing w:after="0"/>
              <w:jc w:val="center"/>
              <w:rPr>
                <w:rFonts w:ascii="Book Antiqua" w:hAnsi="Book Antiqua"/>
                <w:sz w:val="16"/>
                <w:szCs w:val="16"/>
              </w:rPr>
            </w:pPr>
            <w:r w:rsidRPr="00F94246">
              <w:rPr>
                <w:rFonts w:ascii="Book Antiqua" w:hAnsi="Book Antiqua"/>
                <w:b/>
                <w:bCs/>
                <w:sz w:val="16"/>
                <w:szCs w:val="16"/>
              </w:rPr>
              <w:t>Nombre de la Iniciativa</w:t>
            </w:r>
          </w:p>
        </w:tc>
        <w:tc>
          <w:tcPr>
            <w:tcW w:w="1082"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Mar>
              <w:top w:w="15" w:type="dxa"/>
              <w:left w:w="15" w:type="dxa"/>
              <w:bottom w:w="0" w:type="dxa"/>
              <w:right w:w="15" w:type="dxa"/>
            </w:tcMar>
            <w:vAlign w:val="center"/>
            <w:hideMark/>
          </w:tcPr>
          <w:p w14:paraId="41095AA3" w14:textId="77777777" w:rsidR="00757D8F" w:rsidRPr="00F94246" w:rsidRDefault="00757D8F" w:rsidP="00EF4E17">
            <w:pPr>
              <w:spacing w:after="0"/>
              <w:jc w:val="center"/>
              <w:rPr>
                <w:rFonts w:ascii="Book Antiqua" w:hAnsi="Book Antiqua"/>
                <w:sz w:val="16"/>
                <w:szCs w:val="16"/>
              </w:rPr>
            </w:pPr>
            <w:r w:rsidRPr="00F94246">
              <w:rPr>
                <w:rFonts w:ascii="Book Antiqua" w:hAnsi="Book Antiqua"/>
                <w:b/>
                <w:bCs/>
                <w:sz w:val="16"/>
                <w:szCs w:val="16"/>
              </w:rPr>
              <w:t>Categoría de PCGS</w:t>
            </w:r>
          </w:p>
        </w:tc>
        <w:tc>
          <w:tcPr>
            <w:tcW w:w="134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Mar>
              <w:top w:w="15" w:type="dxa"/>
              <w:left w:w="15" w:type="dxa"/>
              <w:bottom w:w="0" w:type="dxa"/>
              <w:right w:w="15" w:type="dxa"/>
            </w:tcMar>
            <w:vAlign w:val="center"/>
            <w:hideMark/>
          </w:tcPr>
          <w:p w14:paraId="1EE6E68D" w14:textId="77777777" w:rsidR="00757D8F" w:rsidRPr="00F94246" w:rsidRDefault="00757D8F" w:rsidP="00EF4E17">
            <w:pPr>
              <w:spacing w:after="0"/>
              <w:jc w:val="center"/>
              <w:rPr>
                <w:rFonts w:ascii="Book Antiqua" w:hAnsi="Book Antiqua"/>
                <w:sz w:val="16"/>
                <w:szCs w:val="16"/>
              </w:rPr>
            </w:pPr>
            <w:r w:rsidRPr="00F94246">
              <w:rPr>
                <w:rFonts w:ascii="Book Antiqua" w:hAnsi="Book Antiqua"/>
                <w:b/>
                <w:bCs/>
                <w:sz w:val="16"/>
                <w:szCs w:val="16"/>
                <w:lang w:val="es-ES"/>
              </w:rPr>
              <w:t>Programa Presupuestario</w:t>
            </w:r>
            <w:r w:rsidRPr="00F94246">
              <w:rPr>
                <w:rFonts w:ascii="Book Antiqua" w:hAnsi="Book Antiqua"/>
                <w:b/>
                <w:bCs/>
                <w:sz w:val="16"/>
                <w:szCs w:val="16"/>
                <w:lang w:val="es-ES"/>
              </w:rPr>
              <w:br/>
              <w:t>(Del que se toma el recurso)</w:t>
            </w:r>
          </w:p>
        </w:tc>
        <w:tc>
          <w:tcPr>
            <w:tcW w:w="1478"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Mar>
              <w:top w:w="15" w:type="dxa"/>
              <w:left w:w="15" w:type="dxa"/>
              <w:bottom w:w="0" w:type="dxa"/>
              <w:right w:w="15" w:type="dxa"/>
            </w:tcMar>
            <w:vAlign w:val="center"/>
            <w:hideMark/>
          </w:tcPr>
          <w:p w14:paraId="1B275FB4" w14:textId="77777777" w:rsidR="00757D8F" w:rsidRPr="00F94246" w:rsidRDefault="00757D8F" w:rsidP="00EF4E17">
            <w:pPr>
              <w:spacing w:after="0"/>
              <w:jc w:val="center"/>
              <w:rPr>
                <w:rFonts w:ascii="Book Antiqua" w:hAnsi="Book Antiqua"/>
                <w:sz w:val="16"/>
                <w:szCs w:val="16"/>
              </w:rPr>
            </w:pPr>
            <w:r w:rsidRPr="00F94246">
              <w:rPr>
                <w:rFonts w:ascii="Book Antiqua" w:hAnsi="Book Antiqua"/>
                <w:b/>
                <w:bCs/>
                <w:sz w:val="16"/>
                <w:szCs w:val="16"/>
              </w:rPr>
              <w:t>Tipo de Puesto</w:t>
            </w:r>
          </w:p>
        </w:tc>
        <w:tc>
          <w:tcPr>
            <w:tcW w:w="88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Mar>
              <w:top w:w="15" w:type="dxa"/>
              <w:left w:w="15" w:type="dxa"/>
              <w:bottom w:w="0" w:type="dxa"/>
              <w:right w:w="15" w:type="dxa"/>
            </w:tcMar>
            <w:vAlign w:val="center"/>
            <w:hideMark/>
          </w:tcPr>
          <w:p w14:paraId="508F43DF" w14:textId="77777777" w:rsidR="00757D8F" w:rsidRPr="00F94246" w:rsidRDefault="00757D8F" w:rsidP="00EF4E17">
            <w:pPr>
              <w:spacing w:after="0"/>
              <w:jc w:val="center"/>
              <w:rPr>
                <w:rFonts w:ascii="Book Antiqua" w:hAnsi="Book Antiqua"/>
                <w:sz w:val="16"/>
                <w:szCs w:val="16"/>
              </w:rPr>
            </w:pPr>
            <w:r w:rsidRPr="00F94246">
              <w:rPr>
                <w:rFonts w:ascii="Book Antiqua" w:hAnsi="Book Antiqua"/>
                <w:b/>
                <w:bCs/>
                <w:sz w:val="16"/>
                <w:szCs w:val="16"/>
              </w:rPr>
              <w:t>Números de Plazas</w:t>
            </w:r>
          </w:p>
        </w:tc>
        <w:tc>
          <w:tcPr>
            <w:tcW w:w="313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Mar>
              <w:top w:w="15" w:type="dxa"/>
              <w:left w:w="15" w:type="dxa"/>
              <w:bottom w:w="0" w:type="dxa"/>
              <w:right w:w="15" w:type="dxa"/>
            </w:tcMar>
            <w:vAlign w:val="center"/>
            <w:hideMark/>
          </w:tcPr>
          <w:p w14:paraId="232BA6CB" w14:textId="77777777" w:rsidR="00757D8F" w:rsidRPr="00F94246" w:rsidRDefault="00757D8F" w:rsidP="00EF4E17">
            <w:pPr>
              <w:spacing w:after="0"/>
              <w:jc w:val="center"/>
              <w:rPr>
                <w:rFonts w:ascii="Book Antiqua" w:hAnsi="Book Antiqua"/>
                <w:sz w:val="16"/>
                <w:szCs w:val="16"/>
              </w:rPr>
            </w:pPr>
            <w:r w:rsidRPr="00F94246">
              <w:rPr>
                <w:rFonts w:ascii="Book Antiqua" w:hAnsi="Book Antiqua"/>
                <w:b/>
                <w:bCs/>
                <w:sz w:val="16"/>
                <w:szCs w:val="16"/>
              </w:rPr>
              <w:t>Justificación del cambio</w:t>
            </w:r>
          </w:p>
        </w:tc>
      </w:tr>
      <w:tr w:rsidR="00A26CD1" w:rsidRPr="00F42247" w14:paraId="6C94D98F" w14:textId="77777777" w:rsidTr="00F42247">
        <w:trPr>
          <w:trHeight w:val="1497"/>
          <w:jc w:val="center"/>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358E8D" w14:textId="77777777" w:rsidR="00757D8F" w:rsidRPr="00F94246" w:rsidRDefault="00757D8F" w:rsidP="00923BDB">
            <w:pPr>
              <w:jc w:val="center"/>
              <w:rPr>
                <w:rFonts w:ascii="Book Antiqua" w:hAnsi="Book Antiqua"/>
                <w:sz w:val="16"/>
                <w:szCs w:val="16"/>
              </w:rPr>
            </w:pPr>
            <w:r w:rsidRPr="00F94246">
              <w:rPr>
                <w:rFonts w:ascii="Book Antiqua" w:hAnsi="Book Antiqua"/>
                <w:sz w:val="16"/>
                <w:szCs w:val="16"/>
              </w:rPr>
              <w:t>1324-CACMFJ-P07</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AAA5AB" w14:textId="77777777" w:rsidR="00757D8F" w:rsidRPr="00F94246" w:rsidRDefault="00757D8F" w:rsidP="00923BDB">
            <w:pPr>
              <w:jc w:val="center"/>
              <w:rPr>
                <w:rFonts w:ascii="Book Antiqua" w:hAnsi="Book Antiqua"/>
                <w:sz w:val="16"/>
                <w:szCs w:val="16"/>
              </w:rPr>
            </w:pPr>
            <w:r w:rsidRPr="00F94246">
              <w:rPr>
                <w:rFonts w:ascii="Book Antiqua" w:hAnsi="Book Antiqua"/>
                <w:sz w:val="16"/>
                <w:szCs w:val="16"/>
                <w:lang w:val="es-ES"/>
              </w:rPr>
              <w:t>Plan de Atención de los asuntos de ejecución de trámite del circulante del Área Ejecución del Tribunal Contencioso</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A277ED" w14:textId="77777777" w:rsidR="00757D8F" w:rsidRPr="00F94246" w:rsidRDefault="00757D8F" w:rsidP="00923BDB">
            <w:pPr>
              <w:jc w:val="center"/>
              <w:rPr>
                <w:rFonts w:ascii="Book Antiqua" w:hAnsi="Book Antiqua"/>
                <w:sz w:val="16"/>
                <w:szCs w:val="16"/>
              </w:rPr>
            </w:pPr>
            <w:r w:rsidRPr="00F94246">
              <w:rPr>
                <w:rFonts w:ascii="Book Antiqua" w:hAnsi="Book Antiqua"/>
                <w:sz w:val="16"/>
                <w:szCs w:val="16"/>
              </w:rPr>
              <w:t>Operativo</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DF7AAA" w14:textId="77777777" w:rsidR="00757D8F" w:rsidRPr="00F94246" w:rsidRDefault="00757D8F" w:rsidP="00923BDB">
            <w:pPr>
              <w:jc w:val="center"/>
              <w:rPr>
                <w:rFonts w:ascii="Book Antiqua" w:hAnsi="Book Antiqua"/>
                <w:sz w:val="16"/>
                <w:szCs w:val="16"/>
              </w:rPr>
            </w:pPr>
            <w:r w:rsidRPr="00F94246">
              <w:rPr>
                <w:rFonts w:ascii="Book Antiqua" w:hAnsi="Book Antiqua"/>
                <w:sz w:val="16"/>
                <w:szCs w:val="16"/>
              </w:rPr>
              <w:t>927 Servicio Jurisdiccional</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71B51B" w14:textId="23F9FDD0" w:rsidR="00757D8F" w:rsidRPr="00F94246" w:rsidRDefault="00BA2173" w:rsidP="00923BDB">
            <w:pPr>
              <w:jc w:val="center"/>
              <w:rPr>
                <w:rFonts w:ascii="Book Antiqua" w:hAnsi="Book Antiqua"/>
                <w:sz w:val="16"/>
                <w:szCs w:val="16"/>
              </w:rPr>
            </w:pPr>
            <w:r>
              <w:rPr>
                <w:rFonts w:ascii="Book Antiqua" w:hAnsi="Book Antiqua"/>
                <w:sz w:val="16"/>
                <w:szCs w:val="16"/>
                <w:lang w:val="es-ES"/>
              </w:rPr>
              <w:t>2</w:t>
            </w:r>
            <w:r w:rsidR="00757D8F" w:rsidRPr="00F94246">
              <w:rPr>
                <w:rFonts w:ascii="Book Antiqua" w:hAnsi="Book Antiqua"/>
                <w:sz w:val="16"/>
                <w:szCs w:val="16"/>
                <w:lang w:val="es-ES"/>
              </w:rPr>
              <w:t xml:space="preserve"> TECNICO JUDICIAL  3 y  </w:t>
            </w:r>
            <w:r w:rsidR="00757D8F" w:rsidRPr="00F94246">
              <w:rPr>
                <w:rFonts w:ascii="Book Antiqua" w:hAnsi="Book Antiqua"/>
                <w:sz w:val="16"/>
                <w:szCs w:val="16"/>
                <w:lang w:val="es-ES"/>
              </w:rPr>
              <w:br/>
              <w:t xml:space="preserve">  1  JUEZ 3</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3DB57B" w14:textId="2D7F395D" w:rsidR="00757D8F" w:rsidRPr="00F94246" w:rsidRDefault="00757D8F" w:rsidP="00923BDB">
            <w:pPr>
              <w:jc w:val="center"/>
              <w:rPr>
                <w:rFonts w:ascii="Book Antiqua" w:hAnsi="Book Antiqua"/>
                <w:sz w:val="16"/>
                <w:szCs w:val="16"/>
              </w:rPr>
            </w:pPr>
            <w:r w:rsidRPr="00F94246">
              <w:rPr>
                <w:rFonts w:ascii="Book Antiqua" w:hAnsi="Book Antiqua"/>
                <w:sz w:val="16"/>
                <w:szCs w:val="16"/>
              </w:rPr>
              <w:t>Pendiente</w:t>
            </w:r>
            <w:r w:rsidR="00FF2971">
              <w:rPr>
                <w:rFonts w:ascii="Book Antiqua" w:hAnsi="Book Antiqua"/>
                <w:sz w:val="16"/>
                <w:szCs w:val="16"/>
              </w:rPr>
              <w:t xml:space="preserve"> de definir</w:t>
            </w:r>
          </w:p>
        </w:tc>
        <w:tc>
          <w:tcPr>
            <w:tcW w:w="31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85022AD" w14:textId="77777777" w:rsidR="00874F7D" w:rsidRDefault="00757D8F" w:rsidP="00FF2971">
            <w:pPr>
              <w:jc w:val="both"/>
              <w:rPr>
                <w:rFonts w:ascii="Book Antiqua" w:hAnsi="Book Antiqua"/>
                <w:sz w:val="16"/>
                <w:szCs w:val="16"/>
                <w:lang w:val="es-ES"/>
              </w:rPr>
            </w:pPr>
            <w:r w:rsidRPr="00F94246">
              <w:rPr>
                <w:rFonts w:ascii="Book Antiqua" w:hAnsi="Book Antiqua"/>
                <w:sz w:val="16"/>
                <w:szCs w:val="16"/>
                <w:lang w:val="es-ES"/>
              </w:rPr>
              <w:t xml:space="preserve">Se propone  tomar las plazas de Técnico Judicial 2 destacadas en el proyecto 1324-CACMFJ-P06 y convertirlas en un Técnico Judicial 3. El personal técnico colaborará con el personal juzgador ya asignado y  trasladado con el trámite correspondiente a los asuntos asignados al juez/jueza como lo son escritos tramitados y notificaciones realizadas, entre otros. A su vez, se solicita que las 2 plazas de Técnico Judicial 2 que se habían asignado al 1324-CACMFJ-P07 se  transformen a Técnico Judicial 3. </w:t>
            </w:r>
          </w:p>
          <w:p w14:paraId="3A8D56F5" w14:textId="088F1C2B" w:rsidR="00FC23A7" w:rsidRDefault="00FC23A7" w:rsidP="00FF2971">
            <w:pPr>
              <w:jc w:val="both"/>
              <w:rPr>
                <w:rFonts w:ascii="Book Antiqua" w:hAnsi="Book Antiqua"/>
                <w:sz w:val="16"/>
                <w:szCs w:val="16"/>
                <w:lang w:val="es-ES"/>
              </w:rPr>
            </w:pPr>
            <w:r>
              <w:rPr>
                <w:rFonts w:ascii="Book Antiqua" w:hAnsi="Book Antiqua"/>
                <w:sz w:val="16"/>
                <w:szCs w:val="16"/>
                <w:lang w:val="es-ES"/>
              </w:rPr>
              <w:t xml:space="preserve">Se determina que debido a los límites de crecimiento, se considera 2 Técnicos Judiciales </w:t>
            </w:r>
            <w:r w:rsidR="006E2457">
              <w:rPr>
                <w:rFonts w:ascii="Book Antiqua" w:hAnsi="Book Antiqua"/>
                <w:sz w:val="16"/>
                <w:szCs w:val="16"/>
                <w:lang w:val="es-ES"/>
              </w:rPr>
              <w:t>para apoyar al plan de trabajo del Tribunal Contencioso.</w:t>
            </w:r>
          </w:p>
          <w:p w14:paraId="2E68265F" w14:textId="6219D0E4" w:rsidR="00757D8F" w:rsidRPr="00F94246" w:rsidRDefault="00757D8F" w:rsidP="00FF2971">
            <w:pPr>
              <w:jc w:val="both"/>
              <w:rPr>
                <w:rFonts w:ascii="Book Antiqua" w:hAnsi="Book Antiqua"/>
                <w:sz w:val="16"/>
                <w:szCs w:val="16"/>
              </w:rPr>
            </w:pPr>
            <w:r w:rsidRPr="00F94246">
              <w:rPr>
                <w:rFonts w:ascii="Book Antiqua" w:hAnsi="Book Antiqua"/>
                <w:sz w:val="16"/>
                <w:szCs w:val="16"/>
                <w:lang w:val="es-ES"/>
              </w:rPr>
              <w:t xml:space="preserve">Finalmente, el juez 3 destacada en el proyecto operativo 1324-CACMFJ-P06, se considera necesario trasladarlo al proyecto 1324-CACMFJ-P07. La solicitud del traslado se da con el fin de aprovechar al máximo el recurso juzgador, dado el bajo rendimiento que se tenía en el proyecto 1324-CACMFJ-P06. </w:t>
            </w:r>
          </w:p>
        </w:tc>
      </w:tr>
      <w:tr w:rsidR="00A26CD1" w:rsidRPr="00F42247" w14:paraId="638C8E98" w14:textId="77777777" w:rsidTr="00F42247">
        <w:trPr>
          <w:trHeight w:val="957"/>
          <w:jc w:val="center"/>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6B34FE" w14:textId="77777777" w:rsidR="00757D8F" w:rsidRPr="00F94246" w:rsidRDefault="00757D8F" w:rsidP="00923BDB">
            <w:pPr>
              <w:jc w:val="center"/>
              <w:rPr>
                <w:rFonts w:ascii="Book Antiqua" w:hAnsi="Book Antiqua"/>
                <w:sz w:val="16"/>
                <w:szCs w:val="16"/>
              </w:rPr>
            </w:pPr>
            <w:r w:rsidRPr="00F94246">
              <w:rPr>
                <w:rFonts w:ascii="Book Antiqua" w:hAnsi="Book Antiqua"/>
                <w:sz w:val="16"/>
                <w:szCs w:val="16"/>
              </w:rPr>
              <w:t>0110-PLA-P04</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DCB96F" w14:textId="77777777" w:rsidR="00757D8F" w:rsidRPr="00F94246" w:rsidRDefault="00757D8F" w:rsidP="00923BDB">
            <w:pPr>
              <w:jc w:val="center"/>
              <w:rPr>
                <w:rFonts w:ascii="Book Antiqua" w:hAnsi="Book Antiqua"/>
                <w:sz w:val="16"/>
                <w:szCs w:val="16"/>
              </w:rPr>
            </w:pPr>
            <w:r w:rsidRPr="00F94246">
              <w:rPr>
                <w:rFonts w:ascii="Book Antiqua" w:hAnsi="Book Antiqua"/>
                <w:sz w:val="16"/>
                <w:szCs w:val="16"/>
                <w:lang w:val="es-ES"/>
              </w:rPr>
              <w:t>Mejora del Proceso Penal (Ámbito Jurisdiccional)</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C2A3E6" w14:textId="77777777" w:rsidR="00757D8F" w:rsidRPr="00F94246" w:rsidRDefault="00757D8F" w:rsidP="00923BDB">
            <w:pPr>
              <w:jc w:val="center"/>
              <w:rPr>
                <w:rFonts w:ascii="Book Antiqua" w:hAnsi="Book Antiqua"/>
                <w:sz w:val="16"/>
                <w:szCs w:val="16"/>
              </w:rPr>
            </w:pPr>
            <w:r w:rsidRPr="00F94246">
              <w:rPr>
                <w:rFonts w:ascii="Book Antiqua" w:hAnsi="Book Antiqua"/>
                <w:sz w:val="16"/>
                <w:szCs w:val="16"/>
              </w:rPr>
              <w:t>Modelo Penal</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16A0D1" w14:textId="77777777" w:rsidR="00757D8F" w:rsidRPr="00F94246" w:rsidRDefault="00757D8F" w:rsidP="00923BDB">
            <w:pPr>
              <w:jc w:val="center"/>
              <w:rPr>
                <w:rFonts w:ascii="Book Antiqua" w:hAnsi="Book Antiqua"/>
                <w:sz w:val="16"/>
                <w:szCs w:val="16"/>
              </w:rPr>
            </w:pPr>
            <w:r w:rsidRPr="00F94246">
              <w:rPr>
                <w:rFonts w:ascii="Book Antiqua" w:hAnsi="Book Antiqua"/>
                <w:sz w:val="16"/>
                <w:szCs w:val="16"/>
              </w:rPr>
              <w:t>926 Direc. Admin. Órg. de Apoyo</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247235" w14:textId="2665E435" w:rsidR="00757D8F" w:rsidRPr="00F94246" w:rsidRDefault="00757D8F" w:rsidP="00923BDB">
            <w:pPr>
              <w:jc w:val="center"/>
              <w:rPr>
                <w:rFonts w:ascii="Book Antiqua" w:hAnsi="Book Antiqua"/>
                <w:sz w:val="16"/>
                <w:szCs w:val="16"/>
              </w:rPr>
            </w:pPr>
            <w:r w:rsidRPr="00F94246">
              <w:rPr>
                <w:rFonts w:ascii="Book Antiqua" w:hAnsi="Book Antiqua"/>
                <w:sz w:val="16"/>
                <w:szCs w:val="16"/>
              </w:rPr>
              <w:t>1  JEFE ADMINISTRATIVO 4</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3E0D87" w14:textId="77777777" w:rsidR="00757D8F" w:rsidRPr="00F94246" w:rsidRDefault="00757D8F" w:rsidP="00923BDB">
            <w:pPr>
              <w:jc w:val="center"/>
              <w:rPr>
                <w:rFonts w:ascii="Book Antiqua" w:hAnsi="Book Antiqua"/>
                <w:sz w:val="16"/>
                <w:szCs w:val="16"/>
              </w:rPr>
            </w:pPr>
            <w:r w:rsidRPr="00F94246">
              <w:rPr>
                <w:rFonts w:ascii="Book Antiqua" w:hAnsi="Book Antiqua"/>
                <w:sz w:val="16"/>
                <w:szCs w:val="16"/>
              </w:rPr>
              <w:t>107846</w:t>
            </w:r>
          </w:p>
        </w:tc>
        <w:tc>
          <w:tcPr>
            <w:tcW w:w="31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399EFAD" w14:textId="77777777" w:rsidR="00757D8F" w:rsidRPr="00F94246" w:rsidRDefault="00757D8F" w:rsidP="00FF2971">
            <w:pPr>
              <w:jc w:val="both"/>
              <w:rPr>
                <w:rFonts w:ascii="Book Antiqua" w:hAnsi="Book Antiqua"/>
                <w:sz w:val="16"/>
                <w:szCs w:val="16"/>
              </w:rPr>
            </w:pPr>
            <w:r w:rsidRPr="00F94246">
              <w:rPr>
                <w:rFonts w:ascii="Book Antiqua" w:hAnsi="Book Antiqua"/>
                <w:sz w:val="16"/>
                <w:szCs w:val="16"/>
                <w:lang w:val="es-ES"/>
              </w:rPr>
              <w:t>El permiso estaba adscrito al proyecto  0110-PLA-P31  Fortalecimiento y atención de carga de trabajo del Subproceso de Modernización Institucional para área no penal, se requiere adscribir este PCGS al proyecto 0110-PLA-P04 Mejora del Proceso Penal, lo anterior hasta se logré concretar la recalificación del puesto de profesional 2 según el acuerdo del CS en sesión 15-2023 del 23 de febrero del 2023, artículo XXXIV</w:t>
            </w:r>
          </w:p>
        </w:tc>
      </w:tr>
      <w:tr w:rsidR="00A26CD1" w:rsidRPr="00F42247" w14:paraId="539F1208" w14:textId="77777777" w:rsidTr="00F42247">
        <w:trPr>
          <w:trHeight w:val="1187"/>
          <w:jc w:val="center"/>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4759C0" w14:textId="77777777" w:rsidR="00757D8F" w:rsidRPr="00F94246" w:rsidRDefault="00757D8F" w:rsidP="00923BDB">
            <w:pPr>
              <w:jc w:val="center"/>
              <w:rPr>
                <w:rFonts w:ascii="Book Antiqua" w:hAnsi="Book Antiqua"/>
                <w:sz w:val="16"/>
                <w:szCs w:val="16"/>
              </w:rPr>
            </w:pPr>
            <w:r w:rsidRPr="00F94246">
              <w:rPr>
                <w:rFonts w:ascii="Book Antiqua" w:hAnsi="Book Antiqua"/>
                <w:sz w:val="16"/>
                <w:szCs w:val="16"/>
              </w:rPr>
              <w:t>0110-PLA-P38</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4AF03F" w14:textId="77777777" w:rsidR="00757D8F" w:rsidRPr="00F94246" w:rsidRDefault="00757D8F" w:rsidP="00923BDB">
            <w:pPr>
              <w:jc w:val="center"/>
              <w:rPr>
                <w:rFonts w:ascii="Book Antiqua" w:hAnsi="Book Antiqua"/>
                <w:sz w:val="16"/>
                <w:szCs w:val="16"/>
              </w:rPr>
            </w:pPr>
            <w:r w:rsidRPr="00F94246">
              <w:rPr>
                <w:rFonts w:ascii="Book Antiqua" w:hAnsi="Book Antiqua"/>
                <w:sz w:val="16"/>
                <w:szCs w:val="16"/>
                <w:lang w:val="es-ES"/>
              </w:rPr>
              <w:t>Proyecto de automatización e inteligencia en materia penal</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EF5E08" w14:textId="77777777" w:rsidR="00757D8F" w:rsidRPr="00F94246" w:rsidRDefault="00757D8F" w:rsidP="00923BDB">
            <w:pPr>
              <w:jc w:val="center"/>
              <w:rPr>
                <w:rFonts w:ascii="Book Antiqua" w:hAnsi="Book Antiqua"/>
                <w:sz w:val="16"/>
                <w:szCs w:val="16"/>
              </w:rPr>
            </w:pPr>
            <w:r w:rsidRPr="00F94246">
              <w:rPr>
                <w:rFonts w:ascii="Book Antiqua" w:hAnsi="Book Antiqua"/>
                <w:sz w:val="16"/>
                <w:szCs w:val="16"/>
              </w:rPr>
              <w:t>Estratégico</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F714C6" w14:textId="77777777" w:rsidR="00757D8F" w:rsidRPr="00F94246" w:rsidRDefault="00757D8F" w:rsidP="00923BDB">
            <w:pPr>
              <w:jc w:val="center"/>
              <w:rPr>
                <w:rFonts w:ascii="Book Antiqua" w:hAnsi="Book Antiqua"/>
                <w:sz w:val="16"/>
                <w:szCs w:val="16"/>
              </w:rPr>
            </w:pPr>
            <w:r w:rsidRPr="00F94246">
              <w:rPr>
                <w:rFonts w:ascii="Book Antiqua" w:hAnsi="Book Antiqua"/>
                <w:sz w:val="16"/>
                <w:szCs w:val="16"/>
              </w:rPr>
              <w:t>926 Direc. Admin. Órg. de Apoyo</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E4CECB" w14:textId="0295B316" w:rsidR="00757D8F" w:rsidRPr="00F94246" w:rsidRDefault="00757D8F" w:rsidP="00923BDB">
            <w:pPr>
              <w:jc w:val="center"/>
              <w:rPr>
                <w:rFonts w:ascii="Book Antiqua" w:hAnsi="Book Antiqua"/>
                <w:sz w:val="16"/>
                <w:szCs w:val="16"/>
              </w:rPr>
            </w:pPr>
            <w:r w:rsidRPr="00F94246">
              <w:rPr>
                <w:rFonts w:ascii="Book Antiqua" w:hAnsi="Book Antiqua"/>
                <w:sz w:val="16"/>
                <w:szCs w:val="16"/>
              </w:rPr>
              <w:t>1  PROFESIONAL 2</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DDF394" w14:textId="77777777" w:rsidR="00757D8F" w:rsidRPr="00F94246" w:rsidRDefault="00757D8F" w:rsidP="00923BDB">
            <w:pPr>
              <w:jc w:val="center"/>
              <w:rPr>
                <w:rFonts w:ascii="Book Antiqua" w:hAnsi="Book Antiqua"/>
                <w:sz w:val="16"/>
                <w:szCs w:val="16"/>
              </w:rPr>
            </w:pPr>
            <w:r w:rsidRPr="00F94246">
              <w:rPr>
                <w:rFonts w:ascii="Book Antiqua" w:hAnsi="Book Antiqua"/>
                <w:sz w:val="16"/>
                <w:szCs w:val="16"/>
              </w:rPr>
              <w:t>382052</w:t>
            </w:r>
          </w:p>
        </w:tc>
        <w:tc>
          <w:tcPr>
            <w:tcW w:w="31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AD6203A" w14:textId="353C5BB7" w:rsidR="00757D8F" w:rsidRPr="00F94246" w:rsidRDefault="00757D8F" w:rsidP="00FF2971">
            <w:pPr>
              <w:jc w:val="both"/>
              <w:rPr>
                <w:rFonts w:ascii="Book Antiqua" w:hAnsi="Book Antiqua"/>
                <w:sz w:val="16"/>
                <w:szCs w:val="16"/>
              </w:rPr>
            </w:pPr>
            <w:r w:rsidRPr="00F94246">
              <w:rPr>
                <w:rFonts w:ascii="Book Antiqua" w:hAnsi="Book Antiqua"/>
                <w:sz w:val="16"/>
                <w:szCs w:val="16"/>
                <w:lang w:val="es-ES"/>
              </w:rPr>
              <w:t xml:space="preserve">El PCGS viene </w:t>
            </w:r>
            <w:r w:rsidR="00FF2971">
              <w:rPr>
                <w:rFonts w:ascii="Book Antiqua" w:hAnsi="Book Antiqua"/>
                <w:sz w:val="16"/>
                <w:szCs w:val="16"/>
                <w:lang w:val="es-ES"/>
              </w:rPr>
              <w:t>asociado al</w:t>
            </w:r>
            <w:r w:rsidRPr="00F94246">
              <w:rPr>
                <w:rFonts w:ascii="Book Antiqua" w:hAnsi="Book Antiqua"/>
                <w:sz w:val="16"/>
                <w:szCs w:val="16"/>
                <w:lang w:val="es-ES"/>
              </w:rPr>
              <w:t xml:space="preserve"> proyecto 0110-PLA-P21 (Implementación de la Ley 9481 Creación de la Jurisdicción Especializada en Delincuencia Organizada en Costa </w:t>
            </w:r>
            <w:r w:rsidR="00FF2971" w:rsidRPr="00F94246">
              <w:rPr>
                <w:rFonts w:ascii="Book Antiqua" w:hAnsi="Book Antiqua"/>
                <w:sz w:val="16"/>
                <w:szCs w:val="16"/>
                <w:lang w:val="es-ES"/>
              </w:rPr>
              <w:t>Rica) que</w:t>
            </w:r>
            <w:r w:rsidRPr="00F94246">
              <w:rPr>
                <w:rFonts w:ascii="Book Antiqua" w:hAnsi="Book Antiqua"/>
                <w:sz w:val="16"/>
                <w:szCs w:val="16"/>
                <w:lang w:val="es-ES"/>
              </w:rPr>
              <w:t xml:space="preserve"> concluye</w:t>
            </w:r>
            <w:r w:rsidR="00FF2971">
              <w:rPr>
                <w:rFonts w:ascii="Book Antiqua" w:hAnsi="Book Antiqua"/>
                <w:sz w:val="16"/>
                <w:szCs w:val="16"/>
                <w:lang w:val="es-ES"/>
              </w:rPr>
              <w:t xml:space="preserve"> el</w:t>
            </w:r>
            <w:r w:rsidRPr="00F94246">
              <w:rPr>
                <w:rFonts w:ascii="Book Antiqua" w:hAnsi="Book Antiqua"/>
                <w:sz w:val="16"/>
                <w:szCs w:val="16"/>
                <w:lang w:val="es-ES"/>
              </w:rPr>
              <w:t xml:space="preserve"> 30 junio 2023, </w:t>
            </w:r>
            <w:r w:rsidR="00FF2971">
              <w:rPr>
                <w:rFonts w:ascii="Book Antiqua" w:hAnsi="Book Antiqua"/>
                <w:sz w:val="16"/>
                <w:szCs w:val="16"/>
                <w:lang w:val="es-ES"/>
              </w:rPr>
              <w:t xml:space="preserve">por lo que </w:t>
            </w:r>
            <w:r w:rsidRPr="00F94246">
              <w:rPr>
                <w:rFonts w:ascii="Book Antiqua" w:hAnsi="Book Antiqua"/>
                <w:sz w:val="16"/>
                <w:szCs w:val="16"/>
                <w:lang w:val="es-ES"/>
              </w:rPr>
              <w:t>se propone este nuevo proyecto.</w:t>
            </w:r>
            <w:r w:rsidRPr="00F94246">
              <w:rPr>
                <w:rFonts w:ascii="Book Antiqua" w:hAnsi="Book Antiqua"/>
                <w:sz w:val="16"/>
                <w:szCs w:val="16"/>
                <w:lang w:val="es-ES"/>
              </w:rPr>
              <w:br/>
              <w:t xml:space="preserve"> Se requiere incluir el permiso debido a la relevancia de iniciar con el proyecto de automatización en materia penal, tema que se iniciará en el mes de julio. La profesional </w:t>
            </w:r>
            <w:r w:rsidRPr="00F94246">
              <w:rPr>
                <w:rFonts w:ascii="Book Antiqua" w:hAnsi="Book Antiqua"/>
                <w:sz w:val="16"/>
                <w:szCs w:val="16"/>
                <w:lang w:val="es-ES"/>
              </w:rPr>
              <w:lastRenderedPageBreak/>
              <w:t>se tendrá que encargar de la generación del cronograma y el control del cumplimiento del mismo</w:t>
            </w:r>
            <w:r w:rsidR="00FF2971">
              <w:rPr>
                <w:rFonts w:ascii="Book Antiqua" w:hAnsi="Book Antiqua"/>
                <w:sz w:val="16"/>
                <w:szCs w:val="16"/>
                <w:lang w:val="es-ES"/>
              </w:rPr>
              <w:t>.</w:t>
            </w:r>
          </w:p>
        </w:tc>
      </w:tr>
      <w:tr w:rsidR="00B739B7" w:rsidRPr="00F42247" w14:paraId="69ADBBAA" w14:textId="77777777" w:rsidTr="00F400D6">
        <w:trPr>
          <w:trHeight w:val="1187"/>
          <w:jc w:val="center"/>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6710EE" w14:textId="616433F1" w:rsidR="00B739B7" w:rsidRPr="00F94246" w:rsidRDefault="00B739B7" w:rsidP="00923BDB">
            <w:pPr>
              <w:jc w:val="center"/>
              <w:rPr>
                <w:rFonts w:ascii="Book Antiqua" w:hAnsi="Book Antiqua"/>
                <w:sz w:val="16"/>
                <w:szCs w:val="16"/>
              </w:rPr>
            </w:pPr>
            <w:r w:rsidRPr="00F94246">
              <w:rPr>
                <w:rFonts w:ascii="Book Antiqua" w:hAnsi="Book Antiqua"/>
                <w:sz w:val="16"/>
                <w:szCs w:val="16"/>
              </w:rPr>
              <w:lastRenderedPageBreak/>
              <w:t>0032-DP-P10</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015833" w14:textId="5C2996D1" w:rsidR="00B739B7" w:rsidRPr="00F94246" w:rsidRDefault="00B739B7" w:rsidP="00923BDB">
            <w:pPr>
              <w:jc w:val="center"/>
              <w:rPr>
                <w:rFonts w:ascii="Book Antiqua" w:hAnsi="Book Antiqua"/>
                <w:sz w:val="16"/>
                <w:szCs w:val="16"/>
                <w:lang w:val="es-ES"/>
              </w:rPr>
            </w:pPr>
            <w:r w:rsidRPr="00F94246">
              <w:rPr>
                <w:rFonts w:ascii="Book Antiqua" w:hAnsi="Book Antiqua"/>
                <w:sz w:val="16"/>
                <w:szCs w:val="16"/>
                <w:lang w:val="es-ES"/>
              </w:rPr>
              <w:t>Proyecto operativo Plan de trabajo en la Administración de la Defensa Pública</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3A158EC" w14:textId="428BA9D7" w:rsidR="00B739B7" w:rsidRPr="00F94246" w:rsidRDefault="00B739B7" w:rsidP="00923BDB">
            <w:pPr>
              <w:jc w:val="center"/>
              <w:rPr>
                <w:rFonts w:ascii="Book Antiqua" w:hAnsi="Book Antiqua"/>
                <w:sz w:val="16"/>
                <w:szCs w:val="16"/>
              </w:rPr>
            </w:pPr>
            <w:r w:rsidRPr="00F94246">
              <w:rPr>
                <w:rFonts w:ascii="Book Antiqua" w:hAnsi="Book Antiqua"/>
                <w:sz w:val="16"/>
                <w:szCs w:val="16"/>
              </w:rPr>
              <w:t>Operativo</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DD18A5" w14:textId="02FF75C0" w:rsidR="00B739B7" w:rsidRPr="00F94246" w:rsidRDefault="00B739B7" w:rsidP="00923BDB">
            <w:pPr>
              <w:jc w:val="center"/>
              <w:rPr>
                <w:rFonts w:ascii="Book Antiqua" w:hAnsi="Book Antiqua"/>
                <w:sz w:val="16"/>
                <w:szCs w:val="16"/>
              </w:rPr>
            </w:pPr>
            <w:r w:rsidRPr="00F94246">
              <w:rPr>
                <w:rFonts w:ascii="Book Antiqua" w:hAnsi="Book Antiqua"/>
                <w:sz w:val="16"/>
                <w:szCs w:val="16"/>
              </w:rPr>
              <w:t>930 Defensa Pública</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54F5A8" w14:textId="4403FB87" w:rsidR="00B739B7" w:rsidRDefault="00B739B7" w:rsidP="00923BDB">
            <w:pPr>
              <w:jc w:val="center"/>
              <w:rPr>
                <w:rFonts w:ascii="Book Antiqua" w:hAnsi="Book Antiqua"/>
                <w:sz w:val="16"/>
                <w:szCs w:val="16"/>
                <w:lang w:val="es-ES"/>
              </w:rPr>
            </w:pPr>
            <w:r w:rsidRPr="00F94246">
              <w:rPr>
                <w:rFonts w:ascii="Book Antiqua" w:hAnsi="Book Antiqua"/>
                <w:sz w:val="16"/>
                <w:szCs w:val="16"/>
                <w:lang w:val="es-ES"/>
              </w:rPr>
              <w:t>2 PROFESIONAL 1</w:t>
            </w:r>
          </w:p>
          <w:p w14:paraId="700753A5" w14:textId="5F60FCA2" w:rsidR="00B739B7" w:rsidRPr="00F94246" w:rsidRDefault="00B739B7" w:rsidP="00923BDB">
            <w:pPr>
              <w:jc w:val="center"/>
              <w:rPr>
                <w:rFonts w:ascii="Book Antiqua" w:hAnsi="Book Antiqua"/>
                <w:sz w:val="16"/>
                <w:szCs w:val="16"/>
              </w:rPr>
            </w:pPr>
            <w:r w:rsidRPr="00F94246">
              <w:rPr>
                <w:rFonts w:ascii="Book Antiqua" w:hAnsi="Book Antiqua"/>
                <w:sz w:val="16"/>
                <w:szCs w:val="16"/>
                <w:lang w:val="es-ES"/>
              </w:rPr>
              <w:br/>
              <w:t>1  PROFESIONAL 2</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420DBBF" w14:textId="26C8B216" w:rsidR="00B739B7" w:rsidRPr="00F94246" w:rsidRDefault="00B739B7" w:rsidP="00923BDB">
            <w:pPr>
              <w:jc w:val="center"/>
              <w:rPr>
                <w:rFonts w:ascii="Book Antiqua" w:hAnsi="Book Antiqua"/>
                <w:sz w:val="16"/>
                <w:szCs w:val="16"/>
              </w:rPr>
            </w:pPr>
            <w:r w:rsidRPr="00F94246">
              <w:rPr>
                <w:rFonts w:ascii="Book Antiqua" w:hAnsi="Book Antiqua"/>
                <w:sz w:val="16"/>
                <w:szCs w:val="16"/>
              </w:rPr>
              <w:t>103815, 377479</w:t>
            </w:r>
            <w:r>
              <w:rPr>
                <w:rFonts w:ascii="Book Antiqua" w:hAnsi="Book Antiqua"/>
                <w:sz w:val="16"/>
                <w:szCs w:val="16"/>
              </w:rPr>
              <w:t xml:space="preserve">, </w:t>
            </w:r>
            <w:r w:rsidRPr="00F94246">
              <w:rPr>
                <w:rFonts w:ascii="Book Antiqua" w:hAnsi="Book Antiqua"/>
                <w:sz w:val="16"/>
                <w:szCs w:val="16"/>
              </w:rPr>
              <w:t xml:space="preserve"> 374140</w:t>
            </w:r>
          </w:p>
        </w:tc>
        <w:tc>
          <w:tcPr>
            <w:tcW w:w="31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9B2380" w14:textId="7C64CAA8" w:rsidR="00B739B7" w:rsidRPr="00F94246" w:rsidRDefault="00B739B7" w:rsidP="00B739B7">
            <w:pPr>
              <w:jc w:val="both"/>
              <w:rPr>
                <w:rFonts w:ascii="Book Antiqua" w:hAnsi="Book Antiqua"/>
                <w:sz w:val="16"/>
                <w:szCs w:val="16"/>
                <w:lang w:val="es-ES"/>
              </w:rPr>
            </w:pPr>
            <w:r w:rsidRPr="00F94246">
              <w:rPr>
                <w:rFonts w:ascii="Book Antiqua" w:hAnsi="Book Antiqua"/>
                <w:sz w:val="16"/>
                <w:szCs w:val="16"/>
                <w:lang w:val="es-ES"/>
              </w:rPr>
              <w:t>Se propone generar un nuevo proyecto operativo para canalizar la necesidad de mantener los PCGS que se vienen gestionando por medio de un proyecto estratégico "Estudio Administración Defensa Pública", generando un plan de trabajo para cada puesto con el que se atenderán las diferentes labores urgentes e impostergables para la correcta gestión en la Administración de la Defensa Pública. Se propone el cambio de los permisos existentes a un nuevo proyecto operativo en el que se pueda gestionar de manera adecuada el seguimiento a las metas y objetivos propuestos.</w:t>
            </w:r>
          </w:p>
        </w:tc>
      </w:tr>
    </w:tbl>
    <w:p w14:paraId="6A7BA72F" w14:textId="41C8348D" w:rsidR="00F93992" w:rsidRPr="00FF2971" w:rsidRDefault="00FF2971" w:rsidP="009C1862">
      <w:pPr>
        <w:rPr>
          <w:rFonts w:ascii="Book Antiqua" w:hAnsi="Book Antiqua"/>
          <w:sz w:val="16"/>
          <w:szCs w:val="16"/>
          <w:lang w:val="es-ES"/>
        </w:rPr>
      </w:pPr>
      <w:r w:rsidRPr="00FF2971">
        <w:rPr>
          <w:rFonts w:ascii="Book Antiqua" w:hAnsi="Book Antiqua"/>
          <w:sz w:val="16"/>
          <w:szCs w:val="16"/>
          <w:lang w:val="es-ES"/>
        </w:rPr>
        <w:t>Fuente:</w:t>
      </w:r>
      <w:r>
        <w:rPr>
          <w:rFonts w:ascii="Book Antiqua" w:hAnsi="Book Antiqua"/>
          <w:sz w:val="16"/>
          <w:szCs w:val="16"/>
          <w:lang w:val="es-ES"/>
        </w:rPr>
        <w:t xml:space="preserve"> Datos proporcionados por los líderes y responsables de proyectos operativos y estratégicos.</w:t>
      </w:r>
    </w:p>
    <w:p w14:paraId="10B45D82" w14:textId="29E7DD99" w:rsidR="00A00E2F" w:rsidRDefault="00A00E2F" w:rsidP="009129F0">
      <w:pPr>
        <w:pStyle w:val="Ttulo2"/>
        <w:numPr>
          <w:ilvl w:val="0"/>
          <w:numId w:val="6"/>
        </w:numPr>
        <w:ind w:left="567" w:hanging="578"/>
        <w:rPr>
          <w:rFonts w:ascii="Book Antiqua" w:eastAsia="Wingdings" w:hAnsi="Book Antiqua"/>
          <w:b/>
          <w:bCs/>
          <w:color w:val="auto"/>
          <w:lang w:eastAsia="ko-KR"/>
        </w:rPr>
      </w:pPr>
      <w:bookmarkStart w:id="129" w:name="_Toc138770862"/>
      <w:r>
        <w:rPr>
          <w:rFonts w:ascii="Book Antiqua" w:eastAsia="Wingdings" w:hAnsi="Book Antiqua"/>
          <w:b/>
          <w:bCs/>
          <w:color w:val="auto"/>
          <w:lang w:eastAsia="ko-KR"/>
        </w:rPr>
        <w:t>Nuevas solicitudes de permisos recibidas</w:t>
      </w:r>
      <w:bookmarkEnd w:id="129"/>
    </w:p>
    <w:p w14:paraId="72740C88" w14:textId="77777777" w:rsidR="00A00E2F" w:rsidRPr="00F96196" w:rsidRDefault="00A00E2F" w:rsidP="00A00E2F">
      <w:pPr>
        <w:shd w:val="clear" w:color="auto" w:fill="FFFFFF"/>
        <w:spacing w:after="0"/>
        <w:ind w:right="49"/>
        <w:jc w:val="both"/>
        <w:rPr>
          <w:rFonts w:ascii="Book Antiqua" w:eastAsia="Wingdings" w:hAnsi="Book Antiqua"/>
          <w:sz w:val="24"/>
          <w:szCs w:val="24"/>
          <w:lang w:eastAsia="ko-KR"/>
        </w:rPr>
      </w:pPr>
    </w:p>
    <w:p w14:paraId="6911A21C" w14:textId="4B62AE8D" w:rsidR="00A00E2F" w:rsidRPr="007635B5" w:rsidRDefault="00A00E2F" w:rsidP="00A00E2F">
      <w:pPr>
        <w:shd w:val="clear" w:color="auto" w:fill="FFFFFF"/>
        <w:spacing w:after="0"/>
        <w:ind w:right="49"/>
        <w:jc w:val="both"/>
        <w:rPr>
          <w:rFonts w:ascii="Book Antiqua" w:eastAsia="Wingdings" w:hAnsi="Book Antiqua"/>
          <w:sz w:val="24"/>
          <w:szCs w:val="24"/>
          <w:lang w:eastAsia="ko-KR"/>
        </w:rPr>
      </w:pPr>
      <w:r w:rsidRPr="007635B5">
        <w:rPr>
          <w:rFonts w:ascii="Book Antiqua" w:eastAsia="Wingdings" w:hAnsi="Book Antiqua"/>
          <w:sz w:val="24"/>
          <w:szCs w:val="24"/>
          <w:lang w:eastAsia="ko-KR"/>
        </w:rPr>
        <w:t xml:space="preserve">Como parte de la consulta realizada a las oficinas se recibieron nuevas solicitudes de permisos con goce de salario para ser incorporadas a partir del tercer trimestre, el detalle de las solicitudes recibidas se muestras a continuación agrupadas por programa </w:t>
      </w:r>
      <w:r w:rsidR="00A14C95" w:rsidRPr="007635B5">
        <w:rPr>
          <w:rFonts w:ascii="Book Antiqua" w:eastAsia="Wingdings" w:hAnsi="Book Antiqua"/>
          <w:sz w:val="24"/>
          <w:szCs w:val="24"/>
          <w:lang w:eastAsia="ko-KR"/>
        </w:rPr>
        <w:t>presupuestario</w:t>
      </w:r>
      <w:r w:rsidRPr="007635B5">
        <w:rPr>
          <w:rFonts w:ascii="Book Antiqua" w:eastAsia="Wingdings" w:hAnsi="Book Antiqua"/>
          <w:sz w:val="24"/>
          <w:szCs w:val="24"/>
          <w:lang w:eastAsia="ko-KR"/>
        </w:rPr>
        <w:t>:</w:t>
      </w:r>
    </w:p>
    <w:p w14:paraId="6484EACE" w14:textId="77777777" w:rsidR="00A00E2F" w:rsidRPr="007635B5" w:rsidRDefault="00A00E2F" w:rsidP="00BE773E">
      <w:pPr>
        <w:shd w:val="clear" w:color="auto" w:fill="FFFFFF"/>
        <w:spacing w:after="0"/>
        <w:ind w:right="49"/>
        <w:jc w:val="both"/>
        <w:rPr>
          <w:rFonts w:ascii="Book Antiqua" w:eastAsia="Wingdings" w:hAnsi="Book Antiqua"/>
          <w:sz w:val="24"/>
          <w:szCs w:val="24"/>
          <w:lang w:eastAsia="ko-KR"/>
        </w:rPr>
      </w:pPr>
    </w:p>
    <w:p w14:paraId="5A30CA7C" w14:textId="5B736D3D" w:rsidR="00A00E2F" w:rsidRPr="007635B5" w:rsidRDefault="00A00E2F" w:rsidP="00EF4E17">
      <w:pPr>
        <w:pStyle w:val="Ttulo3"/>
        <w:numPr>
          <w:ilvl w:val="2"/>
          <w:numId w:val="13"/>
        </w:numPr>
        <w:ind w:left="0" w:firstLine="0"/>
        <w:rPr>
          <w:rFonts w:ascii="Book Antiqua" w:hAnsi="Book Antiqua"/>
          <w:b/>
          <w:bCs/>
          <w:color w:val="auto"/>
          <w:lang w:eastAsia="ko-KR"/>
        </w:rPr>
      </w:pPr>
      <w:bookmarkStart w:id="130" w:name="_Toc138770863"/>
      <w:r w:rsidRPr="007635B5">
        <w:rPr>
          <w:rFonts w:ascii="Book Antiqua" w:hAnsi="Book Antiqua"/>
          <w:b/>
          <w:bCs/>
          <w:color w:val="auto"/>
          <w:lang w:eastAsia="ko-KR"/>
        </w:rPr>
        <w:t xml:space="preserve">Programa 926 </w:t>
      </w:r>
      <w:r w:rsidRPr="007635B5">
        <w:rPr>
          <w:rFonts w:ascii="Book Antiqua" w:hAnsi="Book Antiqua"/>
          <w:b/>
          <w:bCs/>
          <w:color w:val="auto"/>
          <w:lang w:eastAsia="es-CR"/>
        </w:rPr>
        <w:t>Dirección, administración y órganos de Apoyo</w:t>
      </w:r>
      <w:bookmarkEnd w:id="130"/>
    </w:p>
    <w:p w14:paraId="1CD4D53C" w14:textId="77777777" w:rsidR="00A00E2F" w:rsidRPr="007635B5" w:rsidRDefault="00A00E2F" w:rsidP="00BE773E">
      <w:pPr>
        <w:shd w:val="clear" w:color="auto" w:fill="FFFFFF"/>
        <w:spacing w:after="0"/>
        <w:ind w:right="49"/>
        <w:jc w:val="both"/>
        <w:rPr>
          <w:rFonts w:ascii="Book Antiqua" w:eastAsia="Wingdings" w:hAnsi="Book Antiqua"/>
          <w:sz w:val="24"/>
          <w:szCs w:val="24"/>
          <w:lang w:eastAsia="ko-KR"/>
        </w:rPr>
      </w:pPr>
    </w:p>
    <w:p w14:paraId="401660D0" w14:textId="1885B018" w:rsidR="00A00E2F" w:rsidRDefault="00A00E2F" w:rsidP="00BE773E">
      <w:pPr>
        <w:shd w:val="clear" w:color="auto" w:fill="FFFFFF"/>
        <w:spacing w:after="0"/>
        <w:ind w:right="49"/>
        <w:jc w:val="both"/>
        <w:rPr>
          <w:lang w:eastAsia="es-CR"/>
        </w:rPr>
      </w:pPr>
      <w:r w:rsidRPr="007635B5">
        <w:rPr>
          <w:rFonts w:ascii="Book Antiqua" w:eastAsia="Wingdings" w:hAnsi="Book Antiqua"/>
          <w:sz w:val="24"/>
          <w:szCs w:val="24"/>
          <w:lang w:eastAsia="ko-KR"/>
        </w:rPr>
        <w:t xml:space="preserve">Para el programa 926 </w:t>
      </w:r>
      <w:r w:rsidR="004C0488" w:rsidRPr="007635B5">
        <w:rPr>
          <w:rFonts w:ascii="Book Antiqua" w:eastAsia="Wingdings" w:hAnsi="Book Antiqua"/>
          <w:sz w:val="24"/>
          <w:szCs w:val="24"/>
          <w:lang w:eastAsia="ko-KR"/>
        </w:rPr>
        <w:t xml:space="preserve">no </w:t>
      </w:r>
      <w:r w:rsidRPr="007635B5">
        <w:rPr>
          <w:rFonts w:ascii="Book Antiqua" w:eastAsia="Wingdings" w:hAnsi="Book Antiqua"/>
          <w:sz w:val="24"/>
          <w:szCs w:val="24"/>
          <w:lang w:eastAsia="ko-KR"/>
        </w:rPr>
        <w:t xml:space="preserve">se </w:t>
      </w:r>
      <w:r w:rsidR="004C0488" w:rsidRPr="007635B5">
        <w:rPr>
          <w:rFonts w:ascii="Book Antiqua" w:eastAsia="Wingdings" w:hAnsi="Book Antiqua"/>
          <w:sz w:val="24"/>
          <w:szCs w:val="24"/>
          <w:lang w:eastAsia="ko-KR"/>
        </w:rPr>
        <w:t xml:space="preserve">recibieron </w:t>
      </w:r>
      <w:r w:rsidRPr="007635B5">
        <w:rPr>
          <w:rFonts w:ascii="Book Antiqua" w:eastAsia="Wingdings" w:hAnsi="Book Antiqua"/>
          <w:sz w:val="24"/>
          <w:szCs w:val="24"/>
          <w:lang w:eastAsia="ko-KR"/>
        </w:rPr>
        <w:t>solicitud</w:t>
      </w:r>
      <w:r w:rsidR="004C0488" w:rsidRPr="007635B5">
        <w:rPr>
          <w:rFonts w:ascii="Book Antiqua" w:eastAsia="Wingdings" w:hAnsi="Book Antiqua"/>
          <w:sz w:val="24"/>
          <w:szCs w:val="24"/>
          <w:lang w:eastAsia="ko-KR"/>
        </w:rPr>
        <w:t>es</w:t>
      </w:r>
      <w:r w:rsidRPr="007635B5">
        <w:rPr>
          <w:rFonts w:ascii="Book Antiqua" w:eastAsia="Wingdings" w:hAnsi="Book Antiqua"/>
          <w:sz w:val="24"/>
          <w:szCs w:val="24"/>
          <w:lang w:eastAsia="ko-KR"/>
        </w:rPr>
        <w:t xml:space="preserve"> de nuevo</w:t>
      </w:r>
      <w:r w:rsidR="004C0488" w:rsidRPr="007635B5">
        <w:rPr>
          <w:rFonts w:ascii="Book Antiqua" w:eastAsia="Wingdings" w:hAnsi="Book Antiqua"/>
          <w:sz w:val="24"/>
          <w:szCs w:val="24"/>
          <w:lang w:eastAsia="ko-KR"/>
        </w:rPr>
        <w:t>s</w:t>
      </w:r>
      <w:r w:rsidRPr="007635B5">
        <w:rPr>
          <w:rFonts w:ascii="Book Antiqua" w:eastAsia="Wingdings" w:hAnsi="Book Antiqua"/>
          <w:sz w:val="24"/>
          <w:szCs w:val="24"/>
          <w:lang w:eastAsia="ko-KR"/>
        </w:rPr>
        <w:t xml:space="preserve"> permiso</w:t>
      </w:r>
      <w:r w:rsidR="004C0488" w:rsidRPr="007635B5">
        <w:rPr>
          <w:rFonts w:ascii="Book Antiqua" w:eastAsia="Wingdings" w:hAnsi="Book Antiqua"/>
          <w:sz w:val="24"/>
          <w:szCs w:val="24"/>
          <w:lang w:eastAsia="ko-KR"/>
        </w:rPr>
        <w:t>s.</w:t>
      </w:r>
      <w:r w:rsidR="004C0488">
        <w:rPr>
          <w:lang w:eastAsia="es-CR"/>
        </w:rPr>
        <w:t xml:space="preserve"> </w:t>
      </w:r>
    </w:p>
    <w:p w14:paraId="2D286413" w14:textId="77777777" w:rsidR="0088575D" w:rsidRPr="0088575D" w:rsidRDefault="0088575D" w:rsidP="00BE773E">
      <w:pPr>
        <w:shd w:val="clear" w:color="auto" w:fill="FFFFFF"/>
        <w:spacing w:after="0"/>
        <w:ind w:right="49"/>
        <w:jc w:val="both"/>
        <w:rPr>
          <w:lang w:eastAsia="es-CR"/>
        </w:rPr>
      </w:pPr>
    </w:p>
    <w:p w14:paraId="358CD6B7" w14:textId="1D06804A" w:rsidR="00A00E2F" w:rsidRPr="004D6BA2" w:rsidRDefault="00A00E2F" w:rsidP="00EF4E17">
      <w:pPr>
        <w:pStyle w:val="Ttulo3"/>
        <w:numPr>
          <w:ilvl w:val="2"/>
          <w:numId w:val="13"/>
        </w:numPr>
        <w:ind w:left="0" w:firstLine="0"/>
        <w:rPr>
          <w:rFonts w:ascii="Book Antiqua" w:hAnsi="Book Antiqua"/>
          <w:b/>
          <w:bCs/>
          <w:color w:val="auto"/>
          <w:lang w:eastAsia="es-CR"/>
        </w:rPr>
      </w:pPr>
      <w:bookmarkStart w:id="131" w:name="_Toc138770864"/>
      <w:r w:rsidRPr="004D6BA2">
        <w:rPr>
          <w:rFonts w:ascii="Book Antiqua" w:hAnsi="Book Antiqua"/>
          <w:b/>
          <w:bCs/>
          <w:color w:val="auto"/>
          <w:lang w:eastAsia="ko-KR"/>
        </w:rPr>
        <w:t>Programa 92</w:t>
      </w:r>
      <w:r>
        <w:rPr>
          <w:rFonts w:ascii="Book Antiqua" w:hAnsi="Book Antiqua"/>
          <w:b/>
          <w:bCs/>
          <w:color w:val="auto"/>
          <w:lang w:eastAsia="ko-KR"/>
        </w:rPr>
        <w:t>7 Servicio Jurisdiccional</w:t>
      </w:r>
      <w:bookmarkEnd w:id="131"/>
    </w:p>
    <w:p w14:paraId="77160B6F" w14:textId="77777777" w:rsidR="00A00E2F" w:rsidRPr="004D6BA2" w:rsidRDefault="00A00E2F" w:rsidP="00BE773E">
      <w:pPr>
        <w:shd w:val="clear" w:color="auto" w:fill="FFFFFF"/>
        <w:spacing w:after="0"/>
        <w:ind w:right="49"/>
        <w:jc w:val="both"/>
        <w:rPr>
          <w:rFonts w:ascii="Book Antiqua" w:eastAsia="Wingdings" w:hAnsi="Book Antiqua"/>
          <w:sz w:val="24"/>
          <w:szCs w:val="24"/>
          <w:lang w:eastAsia="ko-KR"/>
        </w:rPr>
      </w:pPr>
    </w:p>
    <w:p w14:paraId="07DDB2F1" w14:textId="01BA289B" w:rsidR="005D11B9" w:rsidRDefault="02B1B953" w:rsidP="00BE773E">
      <w:pPr>
        <w:shd w:val="clear" w:color="auto" w:fill="FFFFFF" w:themeFill="background1"/>
        <w:spacing w:after="0"/>
        <w:ind w:right="49"/>
        <w:jc w:val="both"/>
        <w:rPr>
          <w:lang w:eastAsia="es-CR"/>
        </w:rPr>
      </w:pPr>
      <w:r w:rsidRPr="22DA3E41">
        <w:rPr>
          <w:rFonts w:ascii="Book Antiqua" w:eastAsia="Wingdings" w:hAnsi="Book Antiqua"/>
          <w:sz w:val="24"/>
          <w:szCs w:val="24"/>
          <w:lang w:eastAsia="ko-KR"/>
        </w:rPr>
        <w:t>Para el programa 927 se recibi</w:t>
      </w:r>
      <w:r w:rsidR="00453A29">
        <w:rPr>
          <w:rFonts w:ascii="Book Antiqua" w:eastAsia="Wingdings" w:hAnsi="Book Antiqua"/>
          <w:sz w:val="24"/>
          <w:szCs w:val="24"/>
          <w:lang w:eastAsia="ko-KR"/>
        </w:rPr>
        <w:t>ó una</w:t>
      </w:r>
      <w:r w:rsidRPr="22DA3E41">
        <w:rPr>
          <w:rFonts w:ascii="Book Antiqua" w:eastAsia="Wingdings" w:hAnsi="Book Antiqua"/>
          <w:sz w:val="24"/>
          <w:szCs w:val="24"/>
          <w:lang w:eastAsia="ko-KR"/>
        </w:rPr>
        <w:t xml:space="preserve"> solicitud de permiso</w:t>
      </w:r>
      <w:r w:rsidR="00453A29">
        <w:rPr>
          <w:rFonts w:ascii="Book Antiqua" w:eastAsia="Wingdings" w:hAnsi="Book Antiqua"/>
          <w:sz w:val="24"/>
          <w:szCs w:val="24"/>
          <w:lang w:eastAsia="ko-KR"/>
        </w:rPr>
        <w:t xml:space="preserve"> con goce de salario</w:t>
      </w:r>
      <w:r w:rsidR="002D7DDE">
        <w:rPr>
          <w:rFonts w:ascii="Book Antiqua" w:eastAsia="Wingdings" w:hAnsi="Book Antiqua"/>
          <w:sz w:val="24"/>
          <w:szCs w:val="24"/>
          <w:lang w:eastAsia="ko-KR"/>
        </w:rPr>
        <w:t xml:space="preserve"> del proyecto operativo </w:t>
      </w:r>
      <w:r w:rsidR="002D7DDE" w:rsidRPr="002D7DDE">
        <w:rPr>
          <w:rFonts w:ascii="Book Antiqua" w:eastAsia="Wingdings" w:hAnsi="Book Antiqua"/>
          <w:sz w:val="24"/>
          <w:szCs w:val="24"/>
          <w:lang w:eastAsia="ko-KR"/>
        </w:rPr>
        <w:t>Atención de procesos en fase de admisibilidad de los recursos de casación, revisión, competencias y casaciones por inadmisión, en Sala Segunda</w:t>
      </w:r>
      <w:r w:rsidRPr="22DA3E41">
        <w:rPr>
          <w:rFonts w:ascii="Book Antiqua" w:eastAsia="Wingdings" w:hAnsi="Book Antiqua"/>
          <w:sz w:val="24"/>
          <w:szCs w:val="24"/>
          <w:lang w:eastAsia="ko-KR"/>
        </w:rPr>
        <w:t>.</w:t>
      </w:r>
      <w:r w:rsidRPr="00E24FCA">
        <w:rPr>
          <w:rFonts w:ascii="Book Antiqua" w:eastAsia="Wingdings" w:hAnsi="Book Antiqua"/>
          <w:sz w:val="24"/>
          <w:szCs w:val="24"/>
          <w:lang w:eastAsia="ko-KR"/>
        </w:rPr>
        <w:t xml:space="preserve"> </w:t>
      </w:r>
      <w:r w:rsidR="00833096" w:rsidRPr="00E24FCA">
        <w:rPr>
          <w:rFonts w:ascii="Book Antiqua" w:eastAsia="Wingdings" w:hAnsi="Book Antiqua"/>
          <w:sz w:val="24"/>
          <w:szCs w:val="24"/>
          <w:lang w:eastAsia="ko-KR"/>
        </w:rPr>
        <w:t xml:space="preserve">En el apartado 4.7 se </w:t>
      </w:r>
      <w:r w:rsidR="00833096" w:rsidRPr="00833096">
        <w:rPr>
          <w:rFonts w:ascii="Book Antiqua" w:eastAsia="Wingdings" w:hAnsi="Book Antiqua"/>
          <w:sz w:val="24"/>
          <w:szCs w:val="24"/>
          <w:lang w:eastAsia="ko-KR"/>
        </w:rPr>
        <w:t>amplía</w:t>
      </w:r>
      <w:r w:rsidR="00833096" w:rsidRPr="00E24FCA">
        <w:rPr>
          <w:rFonts w:ascii="Book Antiqua" w:eastAsia="Wingdings" w:hAnsi="Book Antiqua"/>
          <w:sz w:val="24"/>
          <w:szCs w:val="24"/>
          <w:lang w:eastAsia="ko-KR"/>
        </w:rPr>
        <w:t xml:space="preserve"> </w:t>
      </w:r>
      <w:r w:rsidR="00DF304E">
        <w:rPr>
          <w:rFonts w:ascii="Book Antiqua" w:eastAsia="Wingdings" w:hAnsi="Book Antiqua"/>
          <w:sz w:val="24"/>
          <w:szCs w:val="24"/>
          <w:lang w:eastAsia="ko-KR"/>
        </w:rPr>
        <w:t xml:space="preserve">con mayor detalle y justificación </w:t>
      </w:r>
      <w:r w:rsidR="00833096" w:rsidRPr="00E24FCA">
        <w:rPr>
          <w:rFonts w:ascii="Book Antiqua" w:eastAsia="Wingdings" w:hAnsi="Book Antiqua"/>
          <w:sz w:val="24"/>
          <w:szCs w:val="24"/>
          <w:lang w:eastAsia="ko-KR"/>
        </w:rPr>
        <w:t>esta solicitud.</w:t>
      </w:r>
    </w:p>
    <w:p w14:paraId="00291A93" w14:textId="01D29829" w:rsidR="006B0764" w:rsidRDefault="006B0764" w:rsidP="00BE773E">
      <w:pPr>
        <w:shd w:val="clear" w:color="auto" w:fill="FFFFFF"/>
        <w:spacing w:after="0"/>
        <w:ind w:right="49"/>
        <w:jc w:val="both"/>
        <w:rPr>
          <w:rFonts w:ascii="Book Antiqua" w:eastAsia="Wingdings" w:hAnsi="Book Antiqua"/>
          <w:sz w:val="24"/>
          <w:szCs w:val="24"/>
          <w:lang w:val="es-ES" w:eastAsia="ko-KR"/>
        </w:rPr>
      </w:pPr>
    </w:p>
    <w:p w14:paraId="072416F8" w14:textId="3EA6739F" w:rsidR="00006088" w:rsidRDefault="00006088" w:rsidP="00BE773E">
      <w:pPr>
        <w:shd w:val="clear" w:color="auto" w:fill="FFFFFF"/>
        <w:spacing w:after="0"/>
        <w:ind w:right="49"/>
        <w:jc w:val="both"/>
        <w:rPr>
          <w:rFonts w:ascii="Book Antiqua" w:eastAsia="Wingdings" w:hAnsi="Book Antiqua"/>
          <w:sz w:val="24"/>
          <w:szCs w:val="24"/>
          <w:lang w:val="es-ES" w:eastAsia="ko-KR"/>
        </w:rPr>
      </w:pPr>
    </w:p>
    <w:p w14:paraId="12AE78EA" w14:textId="77777777" w:rsidR="00006088" w:rsidRPr="00C44239" w:rsidRDefault="00006088" w:rsidP="00BE773E">
      <w:pPr>
        <w:shd w:val="clear" w:color="auto" w:fill="FFFFFF"/>
        <w:spacing w:after="0"/>
        <w:ind w:right="49"/>
        <w:jc w:val="both"/>
        <w:rPr>
          <w:rFonts w:ascii="Book Antiqua" w:eastAsia="Wingdings" w:hAnsi="Book Antiqua"/>
          <w:sz w:val="24"/>
          <w:szCs w:val="24"/>
          <w:lang w:val="es-ES" w:eastAsia="ko-KR"/>
        </w:rPr>
      </w:pPr>
    </w:p>
    <w:p w14:paraId="568D1A98" w14:textId="77777777" w:rsidR="00A00E2F" w:rsidRPr="004D6BA2" w:rsidRDefault="00A00E2F" w:rsidP="00EF4E17">
      <w:pPr>
        <w:pStyle w:val="Ttulo3"/>
        <w:numPr>
          <w:ilvl w:val="2"/>
          <w:numId w:val="13"/>
        </w:numPr>
        <w:ind w:left="0" w:firstLine="0"/>
        <w:rPr>
          <w:rFonts w:ascii="Book Antiqua" w:hAnsi="Book Antiqua"/>
          <w:b/>
          <w:bCs/>
          <w:color w:val="auto"/>
          <w:lang w:eastAsia="es-CR"/>
        </w:rPr>
      </w:pPr>
      <w:bookmarkStart w:id="132" w:name="_Toc138770865"/>
      <w:r w:rsidRPr="004D6BA2">
        <w:rPr>
          <w:rFonts w:ascii="Book Antiqua" w:hAnsi="Book Antiqua"/>
          <w:b/>
          <w:bCs/>
          <w:color w:val="auto"/>
          <w:lang w:eastAsia="ko-KR"/>
        </w:rPr>
        <w:lastRenderedPageBreak/>
        <w:t>Programa 92</w:t>
      </w:r>
      <w:r>
        <w:rPr>
          <w:rFonts w:ascii="Book Antiqua" w:hAnsi="Book Antiqua"/>
          <w:b/>
          <w:bCs/>
          <w:color w:val="auto"/>
          <w:lang w:eastAsia="ko-KR"/>
        </w:rPr>
        <w:t>8 Organismo de Investigación Judicial</w:t>
      </w:r>
      <w:bookmarkEnd w:id="132"/>
    </w:p>
    <w:p w14:paraId="7E42105B" w14:textId="77777777" w:rsidR="00A00E2F" w:rsidRPr="00B5278A" w:rsidRDefault="00A00E2F" w:rsidP="00A00E2F">
      <w:pPr>
        <w:shd w:val="clear" w:color="auto" w:fill="FFFFFF"/>
        <w:spacing w:after="0"/>
        <w:ind w:right="49"/>
        <w:jc w:val="both"/>
        <w:rPr>
          <w:rFonts w:ascii="Book Antiqua" w:eastAsia="Wingdings" w:hAnsi="Book Antiqua"/>
          <w:sz w:val="24"/>
          <w:szCs w:val="24"/>
          <w:lang w:eastAsia="ko-KR"/>
        </w:rPr>
      </w:pPr>
    </w:p>
    <w:p w14:paraId="7292CF0F" w14:textId="6D3411B8" w:rsidR="00160A11" w:rsidRDefault="00A00E2F" w:rsidP="00A00E2F">
      <w:pPr>
        <w:shd w:val="clear" w:color="auto" w:fill="FFFFFF"/>
        <w:spacing w:after="0"/>
        <w:ind w:right="49"/>
        <w:jc w:val="both"/>
        <w:rPr>
          <w:rFonts w:ascii="Book Antiqua" w:eastAsia="Wingdings" w:hAnsi="Book Antiqua"/>
          <w:sz w:val="24"/>
          <w:szCs w:val="24"/>
          <w:lang w:eastAsia="ko-KR"/>
        </w:rPr>
      </w:pPr>
      <w:r w:rsidRPr="003E5FD6">
        <w:rPr>
          <w:rFonts w:ascii="Book Antiqua" w:eastAsia="Wingdings" w:hAnsi="Book Antiqua"/>
          <w:sz w:val="24"/>
          <w:szCs w:val="24"/>
          <w:lang w:eastAsia="ko-KR"/>
        </w:rPr>
        <w:t>En el caso del Organismo de Investigación Judicial, se recibi</w:t>
      </w:r>
      <w:r w:rsidR="00C44239" w:rsidRPr="003E5FD6">
        <w:rPr>
          <w:rFonts w:ascii="Book Antiqua" w:eastAsia="Wingdings" w:hAnsi="Book Antiqua"/>
          <w:sz w:val="24"/>
          <w:szCs w:val="24"/>
          <w:lang w:eastAsia="ko-KR"/>
        </w:rPr>
        <w:t>eron</w:t>
      </w:r>
      <w:r w:rsidRPr="003E5FD6">
        <w:rPr>
          <w:rFonts w:ascii="Book Antiqua" w:eastAsia="Wingdings" w:hAnsi="Book Antiqua"/>
          <w:sz w:val="24"/>
          <w:szCs w:val="24"/>
          <w:lang w:eastAsia="ko-KR"/>
        </w:rPr>
        <w:t xml:space="preserve"> </w:t>
      </w:r>
      <w:r w:rsidR="00BC7AD6" w:rsidRPr="003E5FD6">
        <w:rPr>
          <w:rFonts w:ascii="Book Antiqua" w:eastAsia="Wingdings" w:hAnsi="Book Antiqua"/>
          <w:sz w:val="24"/>
          <w:szCs w:val="24"/>
          <w:lang w:eastAsia="ko-KR"/>
        </w:rPr>
        <w:t>26</w:t>
      </w:r>
      <w:r w:rsidRPr="003E5FD6">
        <w:rPr>
          <w:rFonts w:ascii="Book Antiqua" w:eastAsia="Wingdings" w:hAnsi="Book Antiqua"/>
          <w:sz w:val="24"/>
          <w:szCs w:val="24"/>
          <w:lang w:eastAsia="ko-KR"/>
        </w:rPr>
        <w:t xml:space="preserve"> solicitud</w:t>
      </w:r>
      <w:r w:rsidR="00BC7AD6" w:rsidRPr="003E5FD6">
        <w:rPr>
          <w:rFonts w:ascii="Book Antiqua" w:eastAsia="Wingdings" w:hAnsi="Book Antiqua"/>
          <w:sz w:val="24"/>
          <w:szCs w:val="24"/>
          <w:lang w:eastAsia="ko-KR"/>
        </w:rPr>
        <w:t>es</w:t>
      </w:r>
      <w:r w:rsidRPr="003E5FD6">
        <w:rPr>
          <w:rFonts w:ascii="Book Antiqua" w:eastAsia="Wingdings" w:hAnsi="Book Antiqua"/>
          <w:sz w:val="24"/>
          <w:szCs w:val="24"/>
          <w:lang w:eastAsia="ko-KR"/>
        </w:rPr>
        <w:t xml:space="preserve"> de  nuevo</w:t>
      </w:r>
      <w:r w:rsidR="00BC7AD6" w:rsidRPr="003E5FD6">
        <w:rPr>
          <w:rFonts w:ascii="Book Antiqua" w:eastAsia="Wingdings" w:hAnsi="Book Antiqua"/>
          <w:sz w:val="24"/>
          <w:szCs w:val="24"/>
          <w:lang w:eastAsia="ko-KR"/>
        </w:rPr>
        <w:t>s</w:t>
      </w:r>
      <w:r w:rsidRPr="003E5FD6">
        <w:rPr>
          <w:rFonts w:ascii="Book Antiqua" w:eastAsia="Wingdings" w:hAnsi="Book Antiqua"/>
          <w:sz w:val="24"/>
          <w:szCs w:val="24"/>
          <w:lang w:eastAsia="ko-KR"/>
        </w:rPr>
        <w:t xml:space="preserve"> permiso</w:t>
      </w:r>
      <w:r w:rsidR="00BC7AD6" w:rsidRPr="003E5FD6">
        <w:rPr>
          <w:rFonts w:ascii="Book Antiqua" w:eastAsia="Wingdings" w:hAnsi="Book Antiqua"/>
          <w:sz w:val="24"/>
          <w:szCs w:val="24"/>
          <w:lang w:eastAsia="ko-KR"/>
        </w:rPr>
        <w:t>s</w:t>
      </w:r>
      <w:r w:rsidR="00160A11">
        <w:rPr>
          <w:rFonts w:ascii="Book Antiqua" w:eastAsia="Wingdings" w:hAnsi="Book Antiqua"/>
          <w:sz w:val="24"/>
          <w:szCs w:val="24"/>
          <w:lang w:eastAsia="ko-KR"/>
        </w:rPr>
        <w:t xml:space="preserve"> (de los cuales 13 permisos son para proyectos estratégicos y 13 para labores operativas).</w:t>
      </w:r>
    </w:p>
    <w:p w14:paraId="0198A6F3" w14:textId="77777777" w:rsidR="00413346" w:rsidRDefault="00413346" w:rsidP="00A00E2F">
      <w:pPr>
        <w:shd w:val="clear" w:color="auto" w:fill="FFFFFF"/>
        <w:spacing w:after="0"/>
        <w:ind w:right="49"/>
        <w:jc w:val="both"/>
        <w:rPr>
          <w:rFonts w:ascii="Book Antiqua" w:eastAsia="Wingdings" w:hAnsi="Book Antiqua"/>
          <w:sz w:val="24"/>
          <w:szCs w:val="24"/>
          <w:lang w:eastAsia="ko-KR"/>
        </w:rPr>
      </w:pPr>
    </w:p>
    <w:p w14:paraId="477A7CC7" w14:textId="429D8EB4" w:rsidR="00A00E2F" w:rsidRDefault="00160A11" w:rsidP="00A00E2F">
      <w:pPr>
        <w:shd w:val="clear" w:color="auto" w:fill="FFFFFF"/>
        <w:spacing w:after="0"/>
        <w:ind w:right="49"/>
        <w:jc w:val="both"/>
        <w:rPr>
          <w:rFonts w:ascii="Book Antiqua" w:eastAsia="Wingdings" w:hAnsi="Book Antiqua"/>
          <w:sz w:val="24"/>
          <w:szCs w:val="24"/>
          <w:lang w:eastAsia="ko-KR"/>
        </w:rPr>
      </w:pPr>
      <w:r>
        <w:rPr>
          <w:rFonts w:ascii="Book Antiqua" w:eastAsia="Wingdings" w:hAnsi="Book Antiqua"/>
          <w:sz w:val="24"/>
          <w:szCs w:val="24"/>
          <w:lang w:eastAsia="ko-KR"/>
        </w:rPr>
        <w:t>De seguido se detallan los permisos solicitados para proyectos estratégicos, y por su parte en el apartado 4.7 del presente informe, se detallan los permisos solicitados para labores operativas, para determinación</w:t>
      </w:r>
      <w:r w:rsidR="007635B5">
        <w:rPr>
          <w:rFonts w:ascii="Book Antiqua" w:eastAsia="Wingdings" w:hAnsi="Book Antiqua"/>
          <w:sz w:val="24"/>
          <w:szCs w:val="24"/>
          <w:lang w:eastAsia="ko-KR"/>
        </w:rPr>
        <w:t xml:space="preserve"> y revisión</w:t>
      </w:r>
      <w:r>
        <w:rPr>
          <w:rFonts w:ascii="Book Antiqua" w:eastAsia="Wingdings" w:hAnsi="Book Antiqua"/>
          <w:sz w:val="24"/>
          <w:szCs w:val="24"/>
          <w:lang w:eastAsia="ko-KR"/>
        </w:rPr>
        <w:t xml:space="preserve"> por parte del Consejo Superior. </w:t>
      </w:r>
    </w:p>
    <w:p w14:paraId="4111B2BD" w14:textId="77777777" w:rsidR="00A00E2F" w:rsidRDefault="00A00E2F" w:rsidP="00A00E2F">
      <w:pPr>
        <w:shd w:val="clear" w:color="auto" w:fill="FFFFFF"/>
        <w:spacing w:after="0"/>
        <w:ind w:right="49"/>
        <w:jc w:val="both"/>
        <w:rPr>
          <w:rFonts w:ascii="Book Antiqua" w:eastAsia="Wingdings" w:hAnsi="Book Antiqua"/>
          <w:sz w:val="24"/>
          <w:szCs w:val="24"/>
          <w:lang w:eastAsia="ko-KR"/>
        </w:rPr>
      </w:pPr>
    </w:p>
    <w:p w14:paraId="53409BAE" w14:textId="1DC11CD6" w:rsidR="00721694" w:rsidRPr="00413346" w:rsidRDefault="00413346" w:rsidP="00721694">
      <w:pPr>
        <w:spacing w:after="0"/>
        <w:jc w:val="center"/>
        <w:rPr>
          <w:rFonts w:ascii="Book Antiqua" w:eastAsia="Wingdings" w:hAnsi="Book Antiqua"/>
          <w:sz w:val="24"/>
          <w:szCs w:val="24"/>
          <w:lang w:eastAsia="ko-KR"/>
        </w:rPr>
      </w:pPr>
      <w:r w:rsidRPr="00413346">
        <w:rPr>
          <w:rFonts w:ascii="Book Antiqua" w:hAnsi="Book Antiqua" w:cs="&amp;quot"/>
          <w:b/>
          <w:sz w:val="24"/>
          <w:szCs w:val="24"/>
        </w:rPr>
        <w:t xml:space="preserve">Tabla </w:t>
      </w:r>
      <w:r w:rsidRPr="00413346">
        <w:rPr>
          <w:rFonts w:ascii="Book Antiqua" w:hAnsi="Book Antiqua" w:cs="&amp;quot"/>
          <w:b/>
          <w:i/>
          <w:iCs/>
          <w:sz w:val="24"/>
          <w:szCs w:val="24"/>
        </w:rPr>
        <w:fldChar w:fldCharType="begin"/>
      </w:r>
      <w:r w:rsidRPr="00413346">
        <w:rPr>
          <w:rFonts w:ascii="Book Antiqua" w:hAnsi="Book Antiqua" w:cs="&amp;quot"/>
          <w:b/>
          <w:sz w:val="24"/>
          <w:szCs w:val="24"/>
        </w:rPr>
        <w:instrText xml:space="preserve"> SEQ Tabla \* ARABIC </w:instrText>
      </w:r>
      <w:r w:rsidRPr="00413346">
        <w:rPr>
          <w:rFonts w:ascii="Book Antiqua" w:hAnsi="Book Antiqua" w:cs="&amp;quot"/>
          <w:b/>
          <w:i/>
          <w:iCs/>
          <w:sz w:val="24"/>
          <w:szCs w:val="24"/>
        </w:rPr>
        <w:fldChar w:fldCharType="separate"/>
      </w:r>
      <w:r w:rsidR="0057766D">
        <w:rPr>
          <w:rFonts w:ascii="Book Antiqua" w:hAnsi="Book Antiqua" w:cs="&amp;quot"/>
          <w:b/>
          <w:noProof/>
          <w:sz w:val="24"/>
          <w:szCs w:val="24"/>
        </w:rPr>
        <w:t>38</w:t>
      </w:r>
      <w:r w:rsidRPr="00413346">
        <w:rPr>
          <w:rFonts w:ascii="Book Antiqua" w:hAnsi="Book Antiqua" w:cs="&amp;quot"/>
          <w:b/>
          <w:i/>
          <w:iCs/>
          <w:sz w:val="24"/>
          <w:szCs w:val="24"/>
        </w:rPr>
        <w:fldChar w:fldCharType="end"/>
      </w:r>
      <w:r w:rsidR="003E5FD6" w:rsidRPr="00413346">
        <w:rPr>
          <w:rFonts w:ascii="Book Antiqua" w:hAnsi="Book Antiqua" w:cs="&amp;quot"/>
          <w:b/>
          <w:sz w:val="24"/>
          <w:szCs w:val="24"/>
        </w:rPr>
        <w:t xml:space="preserve">. </w:t>
      </w:r>
      <w:r w:rsidR="00721694" w:rsidRPr="00413346">
        <w:rPr>
          <w:rFonts w:ascii="Book Antiqua" w:hAnsi="Book Antiqua"/>
          <w:b/>
          <w:bCs/>
          <w:sz w:val="24"/>
          <w:szCs w:val="24"/>
        </w:rPr>
        <w:t xml:space="preserve">Permisos con goce de salario solicitados como nuevos para proyectos estratégicos del </w:t>
      </w:r>
      <w:r w:rsidR="00721694" w:rsidRPr="00413346">
        <w:rPr>
          <w:rFonts w:ascii="Book Antiqua" w:hAnsi="Book Antiqua"/>
          <w:b/>
          <w:bCs/>
          <w:sz w:val="24"/>
          <w:szCs w:val="24"/>
          <w:lang w:eastAsia="ko-KR"/>
        </w:rPr>
        <w:t>Organismo de Investigación Judicial</w:t>
      </w:r>
      <w:r w:rsidR="00721694" w:rsidRPr="00413346">
        <w:rPr>
          <w:rFonts w:ascii="Book Antiqua" w:hAnsi="Book Antiqua"/>
          <w:b/>
          <w:bCs/>
          <w:sz w:val="24"/>
          <w:szCs w:val="24"/>
        </w:rPr>
        <w:t xml:space="preserve"> para el III trimestre 2023</w:t>
      </w:r>
    </w:p>
    <w:tbl>
      <w:tblPr>
        <w:tblW w:w="10343" w:type="dxa"/>
        <w:jc w:val="center"/>
        <w:tblLayout w:type="fixed"/>
        <w:tblCellMar>
          <w:left w:w="70" w:type="dxa"/>
          <w:right w:w="70" w:type="dxa"/>
        </w:tblCellMar>
        <w:tblLook w:val="04A0" w:firstRow="1" w:lastRow="0" w:firstColumn="1" w:lastColumn="0" w:noHBand="0" w:noVBand="1"/>
      </w:tblPr>
      <w:tblGrid>
        <w:gridCol w:w="1129"/>
        <w:gridCol w:w="851"/>
        <w:gridCol w:w="1134"/>
        <w:gridCol w:w="850"/>
        <w:gridCol w:w="567"/>
        <w:gridCol w:w="993"/>
        <w:gridCol w:w="708"/>
        <w:gridCol w:w="4111"/>
      </w:tblGrid>
      <w:tr w:rsidR="00721694" w:rsidRPr="007635B5" w14:paraId="11F3DBB3" w14:textId="77777777" w:rsidTr="007635B5">
        <w:trPr>
          <w:trHeight w:val="909"/>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FF47BE1" w14:textId="77777777" w:rsidR="0064601F" w:rsidRPr="007635B5" w:rsidRDefault="0064601F" w:rsidP="00F400D6">
            <w:pPr>
              <w:spacing w:after="0" w:line="240" w:lineRule="auto"/>
              <w:jc w:val="center"/>
              <w:rPr>
                <w:rFonts w:ascii="Book Antiqua" w:eastAsia="Times New Roman" w:hAnsi="Book Antiqua" w:cs="Calibri"/>
                <w:b/>
                <w:color w:val="FFFFFF" w:themeColor="background1"/>
                <w:sz w:val="14"/>
                <w:szCs w:val="14"/>
                <w:lang w:eastAsia="es-CR"/>
              </w:rPr>
            </w:pPr>
            <w:r w:rsidRPr="007635B5">
              <w:rPr>
                <w:rFonts w:ascii="Book Antiqua" w:eastAsia="Times New Roman" w:hAnsi="Book Antiqua" w:cs="Calibri"/>
                <w:b/>
                <w:color w:val="FFFFFF" w:themeColor="background1"/>
                <w:sz w:val="14"/>
                <w:szCs w:val="14"/>
                <w:lang w:eastAsia="es-CR"/>
              </w:rPr>
              <w:t>Centro de Responsabilidad</w:t>
            </w:r>
            <w:r w:rsidRPr="007635B5">
              <w:rPr>
                <w:rFonts w:ascii="Book Antiqua" w:eastAsia="Times New Roman" w:hAnsi="Book Antiqua" w:cs="Calibri"/>
                <w:b/>
                <w:color w:val="FFFFFF" w:themeColor="background1"/>
                <w:sz w:val="14"/>
                <w:szCs w:val="14"/>
                <w:lang w:eastAsia="es-CR"/>
              </w:rPr>
              <w:br/>
              <w:t>(a la que se le asigna el recurso)</w:t>
            </w:r>
          </w:p>
        </w:tc>
        <w:tc>
          <w:tcPr>
            <w:tcW w:w="85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14132CB" w14:textId="77777777" w:rsidR="0064601F" w:rsidRPr="007635B5" w:rsidRDefault="0064601F" w:rsidP="00F400D6">
            <w:pPr>
              <w:spacing w:after="0" w:line="240" w:lineRule="auto"/>
              <w:jc w:val="center"/>
              <w:rPr>
                <w:rFonts w:ascii="Book Antiqua" w:eastAsia="Times New Roman" w:hAnsi="Book Antiqua" w:cs="Calibri"/>
                <w:b/>
                <w:color w:val="FFFFFF" w:themeColor="background1"/>
                <w:sz w:val="14"/>
                <w:szCs w:val="14"/>
                <w:lang w:eastAsia="es-CR"/>
              </w:rPr>
            </w:pPr>
            <w:r w:rsidRPr="007635B5">
              <w:rPr>
                <w:rFonts w:ascii="Book Antiqua" w:eastAsia="Times New Roman" w:hAnsi="Book Antiqua" w:cs="Calibri"/>
                <w:b/>
                <w:color w:val="FFFFFF" w:themeColor="background1"/>
                <w:sz w:val="14"/>
                <w:szCs w:val="14"/>
                <w:lang w:eastAsia="es-CR"/>
              </w:rPr>
              <w:t>Código</w:t>
            </w:r>
          </w:p>
        </w:tc>
        <w:tc>
          <w:tcPr>
            <w:tcW w:w="1134"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D46573C" w14:textId="77777777" w:rsidR="0064601F" w:rsidRPr="007635B5" w:rsidRDefault="0064601F" w:rsidP="00F400D6">
            <w:pPr>
              <w:spacing w:after="0" w:line="240" w:lineRule="auto"/>
              <w:jc w:val="center"/>
              <w:rPr>
                <w:rFonts w:ascii="Book Antiqua" w:eastAsia="Times New Roman" w:hAnsi="Book Antiqua" w:cs="Calibri"/>
                <w:b/>
                <w:color w:val="FFFFFF" w:themeColor="background1"/>
                <w:sz w:val="14"/>
                <w:szCs w:val="14"/>
                <w:lang w:eastAsia="es-CR"/>
              </w:rPr>
            </w:pPr>
            <w:r w:rsidRPr="007635B5">
              <w:rPr>
                <w:rFonts w:ascii="Book Antiqua" w:eastAsia="Times New Roman" w:hAnsi="Book Antiqua" w:cs="Calibri"/>
                <w:b/>
                <w:color w:val="FFFFFF" w:themeColor="background1"/>
                <w:sz w:val="14"/>
                <w:szCs w:val="14"/>
                <w:lang w:eastAsia="es-CR"/>
              </w:rPr>
              <w:t>Nombre de la Iniciativa</w:t>
            </w:r>
          </w:p>
        </w:tc>
        <w:tc>
          <w:tcPr>
            <w:tcW w:w="8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E8D6931" w14:textId="77777777" w:rsidR="0064601F" w:rsidRPr="007635B5" w:rsidRDefault="0064601F" w:rsidP="00F400D6">
            <w:pPr>
              <w:spacing w:after="0" w:line="240" w:lineRule="auto"/>
              <w:ind w:left="-42"/>
              <w:jc w:val="center"/>
              <w:rPr>
                <w:rFonts w:ascii="Book Antiqua" w:eastAsia="Times New Roman" w:hAnsi="Book Antiqua" w:cs="Calibri"/>
                <w:b/>
                <w:color w:val="FFFFFF" w:themeColor="background1"/>
                <w:sz w:val="14"/>
                <w:szCs w:val="14"/>
                <w:lang w:eastAsia="es-CR"/>
              </w:rPr>
            </w:pPr>
            <w:r w:rsidRPr="007635B5">
              <w:rPr>
                <w:rFonts w:ascii="Book Antiqua" w:eastAsia="Times New Roman" w:hAnsi="Book Antiqua" w:cs="Calibri"/>
                <w:b/>
                <w:color w:val="FFFFFF" w:themeColor="background1"/>
                <w:sz w:val="14"/>
                <w:szCs w:val="14"/>
                <w:lang w:eastAsia="es-CR"/>
              </w:rPr>
              <w:t>Categoría de PCGS</w:t>
            </w:r>
          </w:p>
        </w:tc>
        <w:tc>
          <w:tcPr>
            <w:tcW w:w="56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209792F" w14:textId="77777777" w:rsidR="0064601F" w:rsidRPr="007635B5" w:rsidRDefault="0064601F" w:rsidP="00F400D6">
            <w:pPr>
              <w:spacing w:after="0" w:line="240" w:lineRule="auto"/>
              <w:jc w:val="center"/>
              <w:rPr>
                <w:rFonts w:ascii="Book Antiqua" w:eastAsia="Times New Roman" w:hAnsi="Book Antiqua" w:cs="Calibri"/>
                <w:b/>
                <w:color w:val="FFFFFF" w:themeColor="background1"/>
                <w:sz w:val="14"/>
                <w:szCs w:val="14"/>
                <w:lang w:eastAsia="es-CR"/>
              </w:rPr>
            </w:pPr>
            <w:r w:rsidRPr="007635B5">
              <w:rPr>
                <w:rFonts w:ascii="Book Antiqua" w:eastAsia="Times New Roman" w:hAnsi="Book Antiqua" w:cs="Calibri"/>
                <w:b/>
                <w:color w:val="FFFFFF" w:themeColor="background1"/>
                <w:sz w:val="14"/>
                <w:szCs w:val="14"/>
                <w:lang w:eastAsia="es-CR"/>
              </w:rPr>
              <w:t>Q de PCGS</w:t>
            </w:r>
          </w:p>
        </w:tc>
        <w:tc>
          <w:tcPr>
            <w:tcW w:w="99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07AC7A2" w14:textId="77777777" w:rsidR="0064601F" w:rsidRPr="007635B5" w:rsidRDefault="0064601F" w:rsidP="00F400D6">
            <w:pPr>
              <w:spacing w:after="0" w:line="240" w:lineRule="auto"/>
              <w:jc w:val="center"/>
              <w:rPr>
                <w:rFonts w:ascii="Book Antiqua" w:eastAsia="Times New Roman" w:hAnsi="Book Antiqua" w:cs="Calibri"/>
                <w:b/>
                <w:color w:val="FFFFFF" w:themeColor="background1"/>
                <w:sz w:val="14"/>
                <w:szCs w:val="14"/>
                <w:lang w:eastAsia="es-CR"/>
              </w:rPr>
            </w:pPr>
            <w:r w:rsidRPr="007635B5">
              <w:rPr>
                <w:rFonts w:ascii="Book Antiqua" w:eastAsia="Times New Roman" w:hAnsi="Book Antiqua" w:cs="Calibri"/>
                <w:b/>
                <w:color w:val="FFFFFF" w:themeColor="background1"/>
                <w:sz w:val="14"/>
                <w:szCs w:val="14"/>
                <w:lang w:eastAsia="es-CR"/>
              </w:rPr>
              <w:t>Tipo de Puesto</w:t>
            </w:r>
          </w:p>
        </w:tc>
        <w:tc>
          <w:tcPr>
            <w:tcW w:w="70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149573C" w14:textId="77777777" w:rsidR="0064601F" w:rsidRPr="007635B5" w:rsidRDefault="0064601F" w:rsidP="00F400D6">
            <w:pPr>
              <w:spacing w:after="0" w:line="240" w:lineRule="auto"/>
              <w:ind w:left="-57" w:right="-86"/>
              <w:jc w:val="center"/>
              <w:rPr>
                <w:rFonts w:ascii="Book Antiqua" w:eastAsia="Times New Roman" w:hAnsi="Book Antiqua" w:cs="Calibri"/>
                <w:b/>
                <w:color w:val="FFFFFF" w:themeColor="background1"/>
                <w:sz w:val="14"/>
                <w:szCs w:val="14"/>
                <w:lang w:eastAsia="es-CR"/>
              </w:rPr>
            </w:pPr>
            <w:r w:rsidRPr="007635B5">
              <w:rPr>
                <w:rFonts w:ascii="Book Antiqua" w:eastAsia="Times New Roman" w:hAnsi="Book Antiqua" w:cs="Calibri"/>
                <w:b/>
                <w:color w:val="FFFFFF" w:themeColor="background1"/>
                <w:sz w:val="14"/>
                <w:szCs w:val="14"/>
                <w:lang w:eastAsia="es-CR"/>
              </w:rPr>
              <w:t>Número de Plaza</w:t>
            </w:r>
          </w:p>
        </w:tc>
        <w:tc>
          <w:tcPr>
            <w:tcW w:w="4111" w:type="dxa"/>
            <w:tcBorders>
              <w:top w:val="single" w:sz="4" w:space="0" w:color="auto"/>
              <w:left w:val="single" w:sz="4" w:space="0" w:color="auto"/>
              <w:bottom w:val="single" w:sz="4" w:space="0" w:color="auto"/>
              <w:right w:val="single" w:sz="4" w:space="0" w:color="auto"/>
            </w:tcBorders>
            <w:shd w:val="clear" w:color="auto" w:fill="002060"/>
            <w:vAlign w:val="center"/>
          </w:tcPr>
          <w:p w14:paraId="05A47A48" w14:textId="77777777" w:rsidR="0064601F" w:rsidRPr="007635B5" w:rsidRDefault="0064601F" w:rsidP="00F400D6">
            <w:pPr>
              <w:spacing w:after="0" w:line="240" w:lineRule="auto"/>
              <w:jc w:val="center"/>
              <w:rPr>
                <w:rFonts w:ascii="Book Antiqua" w:eastAsia="Times New Roman" w:hAnsi="Book Antiqua" w:cs="Calibri"/>
                <w:b/>
                <w:bCs/>
                <w:color w:val="FFFFFF" w:themeColor="background1"/>
                <w:sz w:val="14"/>
                <w:szCs w:val="14"/>
                <w:lang w:eastAsia="es-CR"/>
              </w:rPr>
            </w:pPr>
            <w:r w:rsidRPr="007635B5">
              <w:rPr>
                <w:rFonts w:ascii="Book Antiqua" w:eastAsia="Times New Roman" w:hAnsi="Book Antiqua" w:cs="Calibri"/>
                <w:b/>
                <w:bCs/>
                <w:color w:val="FFFFFF" w:themeColor="background1"/>
                <w:sz w:val="14"/>
                <w:szCs w:val="14"/>
                <w:lang w:eastAsia="es-CR"/>
              </w:rPr>
              <w:t>Observaciones</w:t>
            </w:r>
          </w:p>
        </w:tc>
      </w:tr>
      <w:tr w:rsidR="00721694" w:rsidRPr="007635B5" w14:paraId="5DD1234B" w14:textId="77777777" w:rsidTr="007635B5">
        <w:trPr>
          <w:trHeight w:val="552"/>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34016B3" w14:textId="77777777" w:rsidR="0064601F" w:rsidRPr="007635B5" w:rsidRDefault="0064601F" w:rsidP="00F400D6">
            <w:pPr>
              <w:spacing w:after="0" w:line="240" w:lineRule="auto"/>
              <w:jc w:val="center"/>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Organismo de Investigación Judicial</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CB3C577" w14:textId="77777777" w:rsidR="0064601F" w:rsidRPr="007635B5" w:rsidRDefault="0064601F" w:rsidP="00F400D6">
            <w:pPr>
              <w:spacing w:after="0" w:line="240" w:lineRule="auto"/>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1167-OIJ-P17</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7AB4A68" w14:textId="77777777" w:rsidR="0064601F" w:rsidRPr="007635B5" w:rsidRDefault="0064601F" w:rsidP="00F400D6">
            <w:pPr>
              <w:spacing w:after="0" w:line="240" w:lineRule="auto"/>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Acreditación ISO 17020 e ISO 17025 para la Sección de Inspecciones Oculares y Recolección de Indicios</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152725E" w14:textId="77777777" w:rsidR="0064601F" w:rsidRPr="007635B5" w:rsidRDefault="0064601F" w:rsidP="00F400D6">
            <w:pPr>
              <w:spacing w:after="0" w:line="240" w:lineRule="auto"/>
              <w:ind w:left="-42"/>
              <w:jc w:val="center"/>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Estratégico</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52FA39EB" w14:textId="77777777" w:rsidR="0064601F" w:rsidRPr="007635B5" w:rsidRDefault="0064601F" w:rsidP="00F400D6">
            <w:pPr>
              <w:spacing w:after="0" w:line="240" w:lineRule="auto"/>
              <w:jc w:val="center"/>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648CC7EF" w14:textId="77777777" w:rsidR="0064601F" w:rsidRPr="007635B5" w:rsidRDefault="0064601F" w:rsidP="00F400D6">
            <w:pPr>
              <w:spacing w:after="0" w:line="240" w:lineRule="auto"/>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JEFE DE INVESTIGACION 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07DEFFC8" w14:textId="77777777" w:rsidR="0064601F" w:rsidRPr="007635B5" w:rsidRDefault="0064601F" w:rsidP="00F400D6">
            <w:pPr>
              <w:spacing w:after="0" w:line="240" w:lineRule="auto"/>
              <w:ind w:left="-57"/>
              <w:jc w:val="center"/>
              <w:rPr>
                <w:rFonts w:ascii="Book Antiqua" w:eastAsia="Times New Roman" w:hAnsi="Book Antiqua" w:cs="Calibri"/>
                <w:sz w:val="14"/>
                <w:szCs w:val="14"/>
                <w:lang w:eastAsia="es-CR"/>
              </w:rPr>
            </w:pPr>
            <w:r w:rsidRPr="007635B5">
              <w:rPr>
                <w:rFonts w:ascii="Book Antiqua" w:eastAsia="Times New Roman" w:hAnsi="Book Antiqua" w:cs="Calibri"/>
                <w:sz w:val="14"/>
                <w:szCs w:val="14"/>
                <w:lang w:eastAsia="es-CR"/>
              </w:rPr>
              <w:t>54099</w:t>
            </w:r>
          </w:p>
        </w:tc>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14:paraId="11075AF9" w14:textId="77777777" w:rsidR="0064601F" w:rsidRPr="007635B5" w:rsidRDefault="0064601F" w:rsidP="00F400D6">
            <w:pPr>
              <w:spacing w:after="0" w:line="240" w:lineRule="auto"/>
              <w:jc w:val="both"/>
              <w:rPr>
                <w:rFonts w:ascii="Book Antiqua" w:eastAsia="Times New Roman" w:hAnsi="Book Antiqua" w:cs="Calibri"/>
                <w:sz w:val="14"/>
                <w:szCs w:val="14"/>
                <w:lang w:eastAsia="es-CR"/>
              </w:rPr>
            </w:pPr>
            <w:r w:rsidRPr="007635B5">
              <w:rPr>
                <w:rFonts w:ascii="Book Antiqua" w:eastAsia="Times New Roman" w:hAnsi="Book Antiqua" w:cs="Calibri"/>
                <w:sz w:val="14"/>
                <w:szCs w:val="14"/>
                <w:lang w:eastAsia="es-CR"/>
              </w:rPr>
              <w:t>Esta persona brindaría el apoyo al Gestor del sistema de calidad de SIORI, supervisando los controles establecidos y liderando la operación del Equipo de Gestión de Calidad en diferentes actividades como preparación y aplicación de Auditorías Internas, compra de Pruebas de Competencia para aplicar a todo el personal de la sección para un aproximado de 80 personas, Supervisiones de campo en las diferentes diligencias que realizan, entre otras.</w:t>
            </w:r>
          </w:p>
          <w:p w14:paraId="6239C897" w14:textId="77777777" w:rsidR="0064601F" w:rsidRPr="007635B5" w:rsidRDefault="0064601F" w:rsidP="00F400D6">
            <w:pPr>
              <w:spacing w:after="0" w:line="240" w:lineRule="auto"/>
              <w:jc w:val="both"/>
              <w:rPr>
                <w:rFonts w:ascii="Book Antiqua" w:eastAsia="Times New Roman" w:hAnsi="Book Antiqua" w:cs="Calibri"/>
                <w:sz w:val="14"/>
                <w:szCs w:val="14"/>
                <w:lang w:eastAsia="es-CR"/>
              </w:rPr>
            </w:pPr>
            <w:r w:rsidRPr="007635B5">
              <w:rPr>
                <w:rFonts w:ascii="Book Antiqua" w:eastAsia="Times New Roman" w:hAnsi="Book Antiqua" w:cs="Calibri"/>
                <w:sz w:val="14"/>
                <w:szCs w:val="14"/>
                <w:lang w:eastAsia="es-CR"/>
              </w:rPr>
              <w:t>Esta persona brindaría el apoyo al Gestor del sistema de calidad de SIORI, supervisando los controles establecidos y liderando la operación del Equipo de Gestión de Calidad en diferentes actividades como preparación y aplicación de Auditorías Internas, compra de Pruebas de Competencia para aplicar a todo el personal de la sección para un aproximado de 80 personas, Supervisiones de campo en las diferentes diligencias que realizan, entre otras</w:t>
            </w:r>
          </w:p>
        </w:tc>
      </w:tr>
      <w:tr w:rsidR="00721694" w:rsidRPr="007635B5" w14:paraId="5672C669" w14:textId="77777777" w:rsidTr="007635B5">
        <w:trPr>
          <w:trHeight w:val="552"/>
          <w:jc w:val="center"/>
        </w:trPr>
        <w:tc>
          <w:tcPr>
            <w:tcW w:w="112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3B43D74D" w14:textId="77777777" w:rsidR="0064601F" w:rsidRPr="007635B5" w:rsidRDefault="0064601F" w:rsidP="00F400D6">
            <w:pPr>
              <w:spacing w:after="0" w:line="240" w:lineRule="auto"/>
              <w:jc w:val="center"/>
              <w:rPr>
                <w:rFonts w:ascii="Book Antiqua" w:eastAsia="Times New Roman" w:hAnsi="Book Antiqua" w:cs="Calibri"/>
                <w:color w:val="000000"/>
                <w:sz w:val="14"/>
                <w:szCs w:val="14"/>
                <w:lang w:eastAsia="es-CR"/>
              </w:rPr>
            </w:pPr>
          </w:p>
        </w:tc>
        <w:tc>
          <w:tcPr>
            <w:tcW w:w="851"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34A783C2" w14:textId="77777777" w:rsidR="0064601F" w:rsidRPr="007635B5" w:rsidRDefault="0064601F" w:rsidP="00F400D6">
            <w:pPr>
              <w:spacing w:after="0" w:line="240" w:lineRule="auto"/>
              <w:rPr>
                <w:rFonts w:ascii="Book Antiqua" w:eastAsia="Times New Roman" w:hAnsi="Book Antiqua" w:cs="Calibri"/>
                <w:color w:val="000000"/>
                <w:sz w:val="14"/>
                <w:szCs w:val="14"/>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19767AB4" w14:textId="77777777" w:rsidR="0064601F" w:rsidRPr="007635B5" w:rsidRDefault="0064601F" w:rsidP="00F400D6">
            <w:pPr>
              <w:spacing w:after="0" w:line="240" w:lineRule="auto"/>
              <w:rPr>
                <w:rFonts w:ascii="Book Antiqua" w:eastAsia="Times New Roman" w:hAnsi="Book Antiqua" w:cs="Calibri"/>
                <w:color w:val="000000"/>
                <w:sz w:val="14"/>
                <w:szCs w:val="14"/>
                <w:lang w:eastAsia="es-CR"/>
              </w:rPr>
            </w:pPr>
          </w:p>
        </w:tc>
        <w:tc>
          <w:tcPr>
            <w:tcW w:w="85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14DFAF8" w14:textId="77777777" w:rsidR="0064601F" w:rsidRPr="007635B5" w:rsidRDefault="0064601F" w:rsidP="00F400D6">
            <w:pPr>
              <w:spacing w:after="0" w:line="240" w:lineRule="auto"/>
              <w:ind w:left="-42"/>
              <w:jc w:val="center"/>
              <w:rPr>
                <w:rFonts w:ascii="Book Antiqua" w:eastAsia="Times New Roman" w:hAnsi="Book Antiqua" w:cs="Calibri"/>
                <w:color w:val="000000"/>
                <w:sz w:val="14"/>
                <w:szCs w:val="14"/>
                <w:lang w:eastAsia="es-CR"/>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57A1E30B" w14:textId="77777777" w:rsidR="0064601F" w:rsidRPr="007635B5" w:rsidRDefault="0064601F" w:rsidP="00F400D6">
            <w:pPr>
              <w:spacing w:after="0" w:line="240" w:lineRule="auto"/>
              <w:jc w:val="center"/>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78900D03" w14:textId="77777777" w:rsidR="0064601F" w:rsidRPr="007635B5" w:rsidRDefault="0064601F" w:rsidP="00F400D6">
            <w:pPr>
              <w:spacing w:after="0" w:line="240" w:lineRule="auto"/>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JEFE DE INVESTIGACION 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49501B22" w14:textId="77777777" w:rsidR="0064601F" w:rsidRPr="007635B5" w:rsidRDefault="0064601F" w:rsidP="00F400D6">
            <w:pPr>
              <w:spacing w:after="0" w:line="240" w:lineRule="auto"/>
              <w:ind w:left="-57"/>
              <w:jc w:val="center"/>
              <w:rPr>
                <w:rFonts w:ascii="Book Antiqua" w:eastAsia="Times New Roman" w:hAnsi="Book Antiqua" w:cs="Calibri"/>
                <w:sz w:val="14"/>
                <w:szCs w:val="14"/>
                <w:lang w:eastAsia="es-CR"/>
              </w:rPr>
            </w:pPr>
            <w:r w:rsidRPr="007635B5">
              <w:rPr>
                <w:rFonts w:ascii="Book Antiqua" w:eastAsia="Times New Roman" w:hAnsi="Book Antiqua" w:cs="Calibri"/>
                <w:sz w:val="14"/>
                <w:szCs w:val="14"/>
                <w:lang w:eastAsia="es-CR"/>
              </w:rPr>
              <w:t>95416</w:t>
            </w:r>
          </w:p>
        </w:tc>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14:paraId="212DC8B0" w14:textId="77777777" w:rsidR="0064601F" w:rsidRPr="007635B5" w:rsidRDefault="0064601F" w:rsidP="00F400D6">
            <w:pPr>
              <w:spacing w:after="0" w:line="240" w:lineRule="auto"/>
              <w:jc w:val="both"/>
              <w:rPr>
                <w:rFonts w:ascii="Book Antiqua" w:eastAsia="Times New Roman" w:hAnsi="Book Antiqua" w:cs="Calibri"/>
                <w:sz w:val="14"/>
                <w:szCs w:val="14"/>
                <w:lang w:eastAsia="es-CR"/>
              </w:rPr>
            </w:pPr>
            <w:r w:rsidRPr="007635B5">
              <w:rPr>
                <w:rFonts w:ascii="Book Antiqua" w:eastAsia="Times New Roman" w:hAnsi="Book Antiqua" w:cs="Calibri"/>
                <w:sz w:val="14"/>
                <w:szCs w:val="14"/>
                <w:lang w:eastAsia="es-CR"/>
              </w:rPr>
              <w:t>Sería la persona responsable de dirigir todo el Sistema de Gestión de Calidad de SIORI, para lo que se debe dedicar a tiempo completo en recopilar información, supervisar personal y velar por obtener y mantener la acreditación del ente internacional ANAB.</w:t>
            </w:r>
          </w:p>
          <w:p w14:paraId="7478B98A" w14:textId="77777777" w:rsidR="0064601F" w:rsidRPr="007635B5" w:rsidRDefault="0064601F" w:rsidP="00F400D6">
            <w:pPr>
              <w:spacing w:after="0" w:line="240" w:lineRule="auto"/>
              <w:jc w:val="both"/>
              <w:rPr>
                <w:rFonts w:ascii="Book Antiqua" w:eastAsia="Times New Roman" w:hAnsi="Book Antiqua" w:cs="Calibri"/>
                <w:sz w:val="14"/>
                <w:szCs w:val="14"/>
                <w:lang w:eastAsia="es-CR"/>
              </w:rPr>
            </w:pPr>
            <w:r w:rsidRPr="007635B5">
              <w:rPr>
                <w:rFonts w:ascii="Book Antiqua" w:eastAsia="Times New Roman" w:hAnsi="Book Antiqua" w:cs="Calibri"/>
                <w:sz w:val="14"/>
                <w:szCs w:val="14"/>
                <w:lang w:eastAsia="es-CR"/>
              </w:rPr>
              <w:t>Esta persona brindaría el apoyo al Gestor del sistema de calidad de SIORI, supervisando los controles establecidos y liderando la operación del Equipo de Gestión de Calidad en diferentes actividades como preparación y aplicación de Auditorías Internas, compra de Pruebas de Competencia para aplicar a todo el personal de la sección para un aproximado de 80 personas, Supervisiones de campo en las diferentes diligencias que realizan, entre otras</w:t>
            </w:r>
          </w:p>
        </w:tc>
      </w:tr>
      <w:tr w:rsidR="00721694" w:rsidRPr="007635B5" w14:paraId="0A32B1A6" w14:textId="77777777" w:rsidTr="007635B5">
        <w:trPr>
          <w:trHeight w:val="552"/>
          <w:jc w:val="center"/>
        </w:trPr>
        <w:tc>
          <w:tcPr>
            <w:tcW w:w="112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C329DEA" w14:textId="77777777" w:rsidR="0064601F" w:rsidRPr="007635B5" w:rsidRDefault="0064601F" w:rsidP="00F400D6">
            <w:pPr>
              <w:spacing w:after="0" w:line="240" w:lineRule="auto"/>
              <w:jc w:val="center"/>
              <w:rPr>
                <w:rFonts w:ascii="Book Antiqua" w:eastAsia="Times New Roman" w:hAnsi="Book Antiqua" w:cs="Calibri"/>
                <w:color w:val="000000"/>
                <w:sz w:val="14"/>
                <w:szCs w:val="14"/>
                <w:lang w:eastAsia="es-CR"/>
              </w:rPr>
            </w:pP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CE0BF7A" w14:textId="77777777" w:rsidR="0064601F" w:rsidRPr="007635B5" w:rsidRDefault="0064601F" w:rsidP="00F400D6">
            <w:pPr>
              <w:spacing w:after="0" w:line="240" w:lineRule="auto"/>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1167-OIJ-P24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51E57E8" w14:textId="77777777" w:rsidR="0064601F" w:rsidRPr="007635B5" w:rsidRDefault="0064601F" w:rsidP="00F400D6">
            <w:pPr>
              <w:spacing w:after="0" w:line="240" w:lineRule="auto"/>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 xml:space="preserve">Sistema Único Policial Especializado en la Resolución de la Criminalidad común, Organizada y la </w:t>
            </w:r>
            <w:r w:rsidRPr="007635B5">
              <w:rPr>
                <w:rFonts w:ascii="Book Antiqua" w:eastAsia="Times New Roman" w:hAnsi="Book Antiqua" w:cs="Calibri"/>
                <w:color w:val="000000"/>
                <w:sz w:val="14"/>
                <w:szCs w:val="14"/>
                <w:lang w:eastAsia="es-CR"/>
              </w:rPr>
              <w:lastRenderedPageBreak/>
              <w:t>Prevención (SUPERCOP)</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81F15AF" w14:textId="77777777" w:rsidR="0064601F" w:rsidRPr="007635B5" w:rsidRDefault="0064601F" w:rsidP="00F400D6">
            <w:pPr>
              <w:spacing w:after="0" w:line="240" w:lineRule="auto"/>
              <w:ind w:left="-42"/>
              <w:jc w:val="center"/>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lastRenderedPageBreak/>
              <w:t>Estratégico</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7B8F891A" w14:textId="77777777" w:rsidR="0064601F" w:rsidRPr="007635B5" w:rsidRDefault="0064601F" w:rsidP="00F400D6">
            <w:pPr>
              <w:spacing w:after="0" w:line="240" w:lineRule="auto"/>
              <w:jc w:val="center"/>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4</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4C8BA2EE" w14:textId="77777777" w:rsidR="0064601F" w:rsidRPr="007635B5" w:rsidRDefault="0064601F" w:rsidP="00F400D6">
            <w:pPr>
              <w:spacing w:after="0" w:line="240" w:lineRule="auto"/>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PROFESIONAL EN INFORMÁTICA 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23F6614D" w14:textId="77777777" w:rsidR="0064601F" w:rsidRPr="007635B5" w:rsidRDefault="0064601F" w:rsidP="00F400D6">
            <w:pPr>
              <w:spacing w:after="0" w:line="240" w:lineRule="auto"/>
              <w:ind w:left="-57"/>
              <w:jc w:val="center"/>
              <w:rPr>
                <w:rFonts w:ascii="Book Antiqua" w:eastAsia="Times New Roman" w:hAnsi="Book Antiqua" w:cs="Calibri"/>
                <w:sz w:val="14"/>
                <w:szCs w:val="14"/>
                <w:lang w:eastAsia="es-CR"/>
              </w:rPr>
            </w:pPr>
            <w:r w:rsidRPr="007635B5">
              <w:rPr>
                <w:rFonts w:ascii="Book Antiqua" w:eastAsia="Times New Roman" w:hAnsi="Book Antiqua" w:cs="Calibri"/>
                <w:sz w:val="14"/>
                <w:szCs w:val="14"/>
                <w:lang w:eastAsia="es-CR"/>
              </w:rPr>
              <w:t>372002</w:t>
            </w:r>
          </w:p>
          <w:p w14:paraId="3DFF7C79" w14:textId="77777777" w:rsidR="0064601F" w:rsidRPr="007635B5" w:rsidRDefault="0064601F" w:rsidP="00F400D6">
            <w:pPr>
              <w:spacing w:after="0" w:line="240" w:lineRule="auto"/>
              <w:ind w:left="-57"/>
              <w:jc w:val="center"/>
              <w:rPr>
                <w:rFonts w:ascii="Book Antiqua" w:eastAsia="Times New Roman" w:hAnsi="Book Antiqua" w:cs="Calibri"/>
                <w:sz w:val="14"/>
                <w:szCs w:val="14"/>
                <w:lang w:eastAsia="es-CR"/>
              </w:rPr>
            </w:pPr>
            <w:r w:rsidRPr="007635B5">
              <w:rPr>
                <w:rFonts w:ascii="Book Antiqua" w:eastAsia="Times New Roman" w:hAnsi="Book Antiqua" w:cs="Calibri"/>
                <w:sz w:val="14"/>
                <w:szCs w:val="14"/>
                <w:lang w:eastAsia="es-CR"/>
              </w:rPr>
              <w:t>383679</w:t>
            </w:r>
          </w:p>
          <w:p w14:paraId="0D56FBF6" w14:textId="77777777" w:rsidR="0064601F" w:rsidRPr="007635B5" w:rsidRDefault="0064601F" w:rsidP="00F400D6">
            <w:pPr>
              <w:spacing w:after="0" w:line="240" w:lineRule="auto"/>
              <w:ind w:left="-57"/>
              <w:jc w:val="center"/>
              <w:rPr>
                <w:rFonts w:ascii="Book Antiqua" w:eastAsia="Times New Roman" w:hAnsi="Book Antiqua" w:cs="Calibri"/>
                <w:sz w:val="14"/>
                <w:szCs w:val="14"/>
                <w:lang w:eastAsia="es-CR"/>
              </w:rPr>
            </w:pPr>
            <w:r w:rsidRPr="007635B5">
              <w:rPr>
                <w:rFonts w:ascii="Book Antiqua" w:eastAsia="Times New Roman" w:hAnsi="Book Antiqua" w:cs="Calibri"/>
                <w:sz w:val="14"/>
                <w:szCs w:val="14"/>
                <w:lang w:eastAsia="es-CR"/>
              </w:rPr>
              <w:t>378547</w:t>
            </w:r>
          </w:p>
          <w:p w14:paraId="5D0CC337" w14:textId="77777777" w:rsidR="0064601F" w:rsidRPr="007635B5" w:rsidRDefault="0064601F" w:rsidP="00F400D6">
            <w:pPr>
              <w:spacing w:after="0" w:line="240" w:lineRule="auto"/>
              <w:ind w:left="-57"/>
              <w:jc w:val="center"/>
              <w:rPr>
                <w:rFonts w:ascii="Book Antiqua" w:eastAsia="Times New Roman" w:hAnsi="Book Antiqua" w:cs="Calibri"/>
                <w:sz w:val="14"/>
                <w:szCs w:val="14"/>
                <w:lang w:eastAsia="es-CR"/>
              </w:rPr>
            </w:pPr>
            <w:r w:rsidRPr="007635B5">
              <w:rPr>
                <w:rFonts w:ascii="Book Antiqua" w:eastAsia="Times New Roman" w:hAnsi="Book Antiqua" w:cs="Calibri"/>
                <w:sz w:val="14"/>
                <w:szCs w:val="14"/>
                <w:lang w:eastAsia="es-CR"/>
              </w:rPr>
              <w:t>374035</w:t>
            </w:r>
          </w:p>
        </w:tc>
        <w:tc>
          <w:tcPr>
            <w:tcW w:w="41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DA9ED52" w14:textId="77777777" w:rsidR="0064601F" w:rsidRPr="007635B5" w:rsidRDefault="0064601F" w:rsidP="00F400D6">
            <w:pPr>
              <w:spacing w:after="0" w:line="240" w:lineRule="auto"/>
              <w:jc w:val="both"/>
              <w:rPr>
                <w:rFonts w:ascii="Book Antiqua" w:eastAsia="Times New Roman" w:hAnsi="Book Antiqua" w:cs="Calibri"/>
                <w:sz w:val="14"/>
                <w:szCs w:val="14"/>
                <w:lang w:eastAsia="es-CR"/>
              </w:rPr>
            </w:pPr>
            <w:r w:rsidRPr="007635B5">
              <w:rPr>
                <w:rFonts w:ascii="Book Antiqua" w:eastAsia="Times New Roman" w:hAnsi="Book Antiqua" w:cs="Calibri"/>
                <w:sz w:val="14"/>
                <w:szCs w:val="14"/>
                <w:lang w:eastAsia="es-CR"/>
              </w:rPr>
              <w:t>Definición de requerimientos, Análisis y diseño de software, Desarrollo de software, Pruebas de software</w:t>
            </w:r>
          </w:p>
          <w:p w14:paraId="0B02428D" w14:textId="77777777" w:rsidR="0064601F" w:rsidRPr="007635B5" w:rsidRDefault="0064601F" w:rsidP="00F400D6">
            <w:pPr>
              <w:spacing w:after="0" w:line="240" w:lineRule="auto"/>
              <w:jc w:val="both"/>
              <w:rPr>
                <w:rFonts w:ascii="Book Antiqua" w:eastAsia="Times New Roman" w:hAnsi="Book Antiqua" w:cs="Calibri"/>
                <w:sz w:val="14"/>
                <w:szCs w:val="14"/>
                <w:lang w:eastAsia="es-CR"/>
              </w:rPr>
            </w:pPr>
            <w:r w:rsidRPr="007635B5">
              <w:rPr>
                <w:rFonts w:ascii="Book Antiqua" w:eastAsia="Times New Roman" w:hAnsi="Book Antiqua" w:cs="Calibri"/>
                <w:sz w:val="14"/>
                <w:szCs w:val="14"/>
                <w:lang w:eastAsia="es-CR"/>
              </w:rPr>
              <w:t>Implantación de software, Gestión de proyecto.</w:t>
            </w:r>
          </w:p>
          <w:p w14:paraId="70BFD3F1" w14:textId="6484F206" w:rsidR="0064601F" w:rsidRPr="007635B5" w:rsidRDefault="0064601F" w:rsidP="00F400D6">
            <w:pPr>
              <w:spacing w:after="0" w:line="240" w:lineRule="auto"/>
              <w:jc w:val="both"/>
              <w:rPr>
                <w:rFonts w:ascii="Book Antiqua" w:eastAsia="Times New Roman" w:hAnsi="Book Antiqua" w:cs="Calibri"/>
                <w:sz w:val="14"/>
                <w:szCs w:val="14"/>
                <w:lang w:eastAsia="es-CR"/>
              </w:rPr>
            </w:pPr>
            <w:r w:rsidRPr="007635B5">
              <w:rPr>
                <w:rFonts w:ascii="Book Antiqua" w:eastAsia="Times New Roman" w:hAnsi="Book Antiqua" w:cs="Calibri"/>
                <w:sz w:val="14"/>
                <w:szCs w:val="14"/>
                <w:lang w:eastAsia="es-CR"/>
              </w:rPr>
              <w:t xml:space="preserve">Desde la Dirección General de OIJ se ha evidenciado la necesidad de incluir herramientas modernas que automaticen procesos complejos para los usuarios, como por ejemplo el reconocimiento de fotografías para identificar delincuentes en Archivo Criminal, clasificación de denuncias según su modalidad delictiva, entre otros, es por ello que se considera la necesidad de investigar e </w:t>
            </w:r>
            <w:r w:rsidRPr="007635B5">
              <w:rPr>
                <w:rFonts w:ascii="Book Antiqua" w:eastAsia="Times New Roman" w:hAnsi="Book Antiqua" w:cs="Calibri"/>
                <w:sz w:val="14"/>
                <w:szCs w:val="14"/>
                <w:lang w:eastAsia="es-CR"/>
              </w:rPr>
              <w:lastRenderedPageBreak/>
              <w:t>incorporar en los sistemas técnicas de inteligencias artificial, machine learning y Deep Learning.</w:t>
            </w:r>
          </w:p>
        </w:tc>
      </w:tr>
      <w:tr w:rsidR="00721694" w:rsidRPr="007635B5" w14:paraId="13D551B0" w14:textId="77777777" w:rsidTr="007635B5">
        <w:trPr>
          <w:trHeight w:val="552"/>
          <w:jc w:val="center"/>
        </w:trPr>
        <w:tc>
          <w:tcPr>
            <w:tcW w:w="112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55D5F2C3" w14:textId="77777777" w:rsidR="0064601F" w:rsidRPr="007635B5" w:rsidRDefault="0064601F" w:rsidP="00F400D6">
            <w:pPr>
              <w:spacing w:after="0" w:line="240" w:lineRule="auto"/>
              <w:jc w:val="center"/>
              <w:rPr>
                <w:rFonts w:ascii="Book Antiqua" w:eastAsia="Times New Roman" w:hAnsi="Book Antiqua" w:cs="Calibri"/>
                <w:color w:val="000000"/>
                <w:sz w:val="14"/>
                <w:szCs w:val="14"/>
                <w:lang w:eastAsia="es-CR"/>
              </w:rPr>
            </w:pPr>
          </w:p>
        </w:tc>
        <w:tc>
          <w:tcPr>
            <w:tcW w:w="851"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BCF0B4B" w14:textId="77777777" w:rsidR="0064601F" w:rsidRPr="007635B5" w:rsidRDefault="0064601F" w:rsidP="00F400D6">
            <w:pPr>
              <w:spacing w:after="0" w:line="240" w:lineRule="auto"/>
              <w:rPr>
                <w:rFonts w:ascii="Book Antiqua" w:eastAsia="Times New Roman" w:hAnsi="Book Antiqua" w:cs="Calibri"/>
                <w:color w:val="000000"/>
                <w:sz w:val="14"/>
                <w:szCs w:val="14"/>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0F0F7AB" w14:textId="77777777" w:rsidR="0064601F" w:rsidRPr="007635B5" w:rsidRDefault="0064601F" w:rsidP="00F400D6">
            <w:pPr>
              <w:spacing w:after="0" w:line="240" w:lineRule="auto"/>
              <w:rPr>
                <w:rFonts w:ascii="Book Antiqua" w:eastAsia="Times New Roman" w:hAnsi="Book Antiqua" w:cs="Calibri"/>
                <w:color w:val="000000"/>
                <w:sz w:val="14"/>
                <w:szCs w:val="14"/>
                <w:lang w:eastAsia="es-CR"/>
              </w:rPr>
            </w:pPr>
          </w:p>
        </w:tc>
        <w:tc>
          <w:tcPr>
            <w:tcW w:w="85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575A102B" w14:textId="77777777" w:rsidR="0064601F" w:rsidRPr="007635B5" w:rsidRDefault="0064601F" w:rsidP="00F400D6">
            <w:pPr>
              <w:spacing w:after="0" w:line="240" w:lineRule="auto"/>
              <w:ind w:left="-42"/>
              <w:jc w:val="center"/>
              <w:rPr>
                <w:rFonts w:ascii="Book Antiqua" w:eastAsia="Times New Roman" w:hAnsi="Book Antiqua" w:cs="Calibri"/>
                <w:color w:val="000000"/>
                <w:sz w:val="14"/>
                <w:szCs w:val="14"/>
                <w:lang w:eastAsia="es-CR"/>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352B328A" w14:textId="77777777" w:rsidR="0064601F" w:rsidRPr="007635B5" w:rsidRDefault="0064601F" w:rsidP="00F400D6">
            <w:pPr>
              <w:spacing w:after="0" w:line="240" w:lineRule="auto"/>
              <w:jc w:val="center"/>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553EA7B5" w14:textId="77777777" w:rsidR="0064601F" w:rsidRPr="007635B5" w:rsidRDefault="0064601F" w:rsidP="00F400D6">
            <w:pPr>
              <w:spacing w:after="0" w:line="240" w:lineRule="auto"/>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PROFESIONAL EN INFORMÁTICA 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5FB4A0D8" w14:textId="77777777" w:rsidR="0064601F" w:rsidRPr="007635B5" w:rsidRDefault="0064601F" w:rsidP="00F400D6">
            <w:pPr>
              <w:spacing w:after="0" w:line="240" w:lineRule="auto"/>
              <w:ind w:left="-57"/>
              <w:jc w:val="center"/>
              <w:rPr>
                <w:rFonts w:ascii="Book Antiqua" w:eastAsia="Times New Roman" w:hAnsi="Book Antiqua" w:cs="Calibri"/>
                <w:sz w:val="14"/>
                <w:szCs w:val="14"/>
                <w:lang w:eastAsia="es-CR"/>
              </w:rPr>
            </w:pPr>
            <w:r w:rsidRPr="007635B5">
              <w:rPr>
                <w:rFonts w:ascii="Book Antiqua" w:eastAsia="Times New Roman" w:hAnsi="Book Antiqua" w:cs="Calibri"/>
                <w:sz w:val="14"/>
                <w:szCs w:val="14"/>
                <w:lang w:eastAsia="es-CR"/>
              </w:rPr>
              <w:t>383680</w:t>
            </w:r>
          </w:p>
        </w:tc>
        <w:tc>
          <w:tcPr>
            <w:tcW w:w="4111"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F8B735C" w14:textId="77777777" w:rsidR="0064601F" w:rsidRPr="007635B5" w:rsidRDefault="0064601F" w:rsidP="00F400D6">
            <w:pPr>
              <w:spacing w:after="0" w:line="240" w:lineRule="auto"/>
              <w:jc w:val="both"/>
              <w:rPr>
                <w:rFonts w:ascii="Book Antiqua" w:eastAsia="Times New Roman" w:hAnsi="Book Antiqua" w:cs="Calibri"/>
                <w:sz w:val="14"/>
                <w:szCs w:val="14"/>
                <w:lang w:eastAsia="es-CR"/>
              </w:rPr>
            </w:pPr>
          </w:p>
        </w:tc>
      </w:tr>
      <w:tr w:rsidR="00160A11" w:rsidRPr="007635B5" w14:paraId="68357F13" w14:textId="77777777" w:rsidTr="007635B5">
        <w:trPr>
          <w:trHeight w:val="1789"/>
          <w:jc w:val="center"/>
        </w:trPr>
        <w:tc>
          <w:tcPr>
            <w:tcW w:w="1129" w:type="dxa"/>
            <w:vMerge w:val="restart"/>
            <w:tcBorders>
              <w:top w:val="single" w:sz="4" w:space="0" w:color="auto"/>
              <w:left w:val="single" w:sz="4" w:space="0" w:color="auto"/>
              <w:right w:val="single" w:sz="4" w:space="0" w:color="auto"/>
            </w:tcBorders>
            <w:shd w:val="clear" w:color="000000" w:fill="FFFFFF"/>
            <w:vAlign w:val="center"/>
          </w:tcPr>
          <w:p w14:paraId="5A32790D" w14:textId="1D273675" w:rsidR="00160A11" w:rsidRPr="007635B5" w:rsidRDefault="00160A11" w:rsidP="00160A11">
            <w:pPr>
              <w:spacing w:after="0" w:line="240" w:lineRule="auto"/>
              <w:jc w:val="center"/>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Organismo de Investigación Judicial</w:t>
            </w:r>
          </w:p>
        </w:tc>
        <w:tc>
          <w:tcPr>
            <w:tcW w:w="851" w:type="dxa"/>
            <w:vMerge w:val="restart"/>
            <w:tcBorders>
              <w:top w:val="single" w:sz="4" w:space="0" w:color="auto"/>
              <w:left w:val="single" w:sz="4" w:space="0" w:color="auto"/>
              <w:right w:val="single" w:sz="4" w:space="0" w:color="auto"/>
            </w:tcBorders>
            <w:shd w:val="clear" w:color="000000" w:fill="FFFFFF"/>
            <w:vAlign w:val="center"/>
          </w:tcPr>
          <w:p w14:paraId="5D5AD14C" w14:textId="2744EEC5" w:rsidR="00160A11" w:rsidRPr="007635B5" w:rsidRDefault="00160A11" w:rsidP="00160A11">
            <w:pPr>
              <w:spacing w:after="0" w:line="240" w:lineRule="auto"/>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1167-OIJ-P49</w:t>
            </w:r>
          </w:p>
        </w:tc>
        <w:tc>
          <w:tcPr>
            <w:tcW w:w="1134" w:type="dxa"/>
            <w:vMerge w:val="restart"/>
            <w:tcBorders>
              <w:top w:val="single" w:sz="4" w:space="0" w:color="auto"/>
              <w:left w:val="single" w:sz="4" w:space="0" w:color="auto"/>
              <w:right w:val="single" w:sz="4" w:space="0" w:color="auto"/>
            </w:tcBorders>
            <w:shd w:val="clear" w:color="000000" w:fill="FFFFFF"/>
            <w:vAlign w:val="center"/>
          </w:tcPr>
          <w:p w14:paraId="001C27D5" w14:textId="1A88C812" w:rsidR="00160A11" w:rsidRPr="007635B5" w:rsidRDefault="00160A11" w:rsidP="00160A11">
            <w:pPr>
              <w:spacing w:after="0" w:line="240" w:lineRule="auto"/>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Disminución en el tiempo de respuesta de Pericias Financieras Contables en el Proceso Judicial: estudio especial para los casos conocidos como Cochinilla y Diamante</w:t>
            </w:r>
          </w:p>
        </w:tc>
        <w:tc>
          <w:tcPr>
            <w:tcW w:w="850" w:type="dxa"/>
            <w:tcBorders>
              <w:top w:val="single" w:sz="4" w:space="0" w:color="auto"/>
              <w:left w:val="single" w:sz="4" w:space="0" w:color="auto"/>
              <w:right w:val="single" w:sz="4" w:space="0" w:color="auto"/>
            </w:tcBorders>
            <w:shd w:val="clear" w:color="000000" w:fill="FFFFFF"/>
            <w:vAlign w:val="center"/>
          </w:tcPr>
          <w:p w14:paraId="5330B3FA" w14:textId="09D2A4A6" w:rsidR="00160A11" w:rsidRPr="007635B5" w:rsidRDefault="00160A11" w:rsidP="00160A11">
            <w:pPr>
              <w:spacing w:after="0" w:line="240" w:lineRule="auto"/>
              <w:ind w:left="-42"/>
              <w:jc w:val="center"/>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Estratégico</w:t>
            </w:r>
          </w:p>
        </w:tc>
        <w:tc>
          <w:tcPr>
            <w:tcW w:w="567" w:type="dxa"/>
            <w:tcBorders>
              <w:top w:val="single" w:sz="4" w:space="0" w:color="auto"/>
              <w:left w:val="single" w:sz="4" w:space="0" w:color="auto"/>
              <w:right w:val="single" w:sz="4" w:space="0" w:color="auto"/>
            </w:tcBorders>
            <w:shd w:val="clear" w:color="000000" w:fill="FFFFFF"/>
            <w:vAlign w:val="center"/>
          </w:tcPr>
          <w:p w14:paraId="0E754E00" w14:textId="51DB4AC4" w:rsidR="00160A11" w:rsidRPr="007635B5" w:rsidRDefault="00160A11" w:rsidP="00160A11">
            <w:pPr>
              <w:spacing w:after="0" w:line="240" w:lineRule="auto"/>
              <w:jc w:val="center"/>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1</w:t>
            </w:r>
          </w:p>
        </w:tc>
        <w:tc>
          <w:tcPr>
            <w:tcW w:w="993" w:type="dxa"/>
            <w:tcBorders>
              <w:top w:val="single" w:sz="4" w:space="0" w:color="auto"/>
              <w:left w:val="single" w:sz="4" w:space="0" w:color="auto"/>
              <w:right w:val="single" w:sz="4" w:space="0" w:color="auto"/>
            </w:tcBorders>
            <w:shd w:val="clear" w:color="000000" w:fill="FFFFFF"/>
            <w:vAlign w:val="center"/>
          </w:tcPr>
          <w:p w14:paraId="453DFF23" w14:textId="64D03304" w:rsidR="00160A11" w:rsidRPr="007635B5" w:rsidRDefault="00160A11" w:rsidP="00160A11">
            <w:pPr>
              <w:spacing w:after="0" w:line="240" w:lineRule="auto"/>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AUDITOR SUPERVISOR</w:t>
            </w:r>
          </w:p>
        </w:tc>
        <w:tc>
          <w:tcPr>
            <w:tcW w:w="708" w:type="dxa"/>
            <w:tcBorders>
              <w:top w:val="single" w:sz="4" w:space="0" w:color="auto"/>
              <w:left w:val="single" w:sz="4" w:space="0" w:color="auto"/>
              <w:right w:val="single" w:sz="4" w:space="0" w:color="auto"/>
            </w:tcBorders>
            <w:shd w:val="clear" w:color="000000" w:fill="FFFFFF"/>
            <w:vAlign w:val="center"/>
          </w:tcPr>
          <w:p w14:paraId="7671B0D6" w14:textId="5692DEF7" w:rsidR="00160A11" w:rsidRPr="007635B5" w:rsidRDefault="00160A11" w:rsidP="00160A11">
            <w:pPr>
              <w:spacing w:after="0" w:line="240" w:lineRule="auto"/>
              <w:ind w:left="-57"/>
              <w:jc w:val="center"/>
              <w:rPr>
                <w:rFonts w:ascii="Book Antiqua" w:eastAsia="Times New Roman" w:hAnsi="Book Antiqua" w:cs="Calibri"/>
                <w:sz w:val="14"/>
                <w:szCs w:val="14"/>
                <w:lang w:eastAsia="es-CR"/>
              </w:rPr>
            </w:pPr>
            <w:r w:rsidRPr="007635B5">
              <w:rPr>
                <w:rFonts w:ascii="Book Antiqua" w:eastAsia="Times New Roman" w:hAnsi="Book Antiqua" w:cs="Calibri"/>
                <w:color w:val="000000"/>
                <w:sz w:val="14"/>
                <w:szCs w:val="14"/>
                <w:lang w:eastAsia="es-CR"/>
              </w:rPr>
              <w:t>107798</w:t>
            </w:r>
          </w:p>
        </w:tc>
        <w:tc>
          <w:tcPr>
            <w:tcW w:w="4111" w:type="dxa"/>
            <w:tcBorders>
              <w:top w:val="single" w:sz="4" w:space="0" w:color="auto"/>
              <w:left w:val="single" w:sz="4" w:space="0" w:color="auto"/>
              <w:right w:val="single" w:sz="4" w:space="0" w:color="auto"/>
            </w:tcBorders>
            <w:shd w:val="clear" w:color="000000" w:fill="FFFFFF"/>
            <w:vAlign w:val="center"/>
          </w:tcPr>
          <w:p w14:paraId="26230594" w14:textId="77777777" w:rsidR="00160A11" w:rsidRPr="007635B5" w:rsidRDefault="00160A11" w:rsidP="00160A11">
            <w:pPr>
              <w:spacing w:after="0" w:line="240" w:lineRule="auto"/>
              <w:jc w:val="both"/>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Supervisión de las labores realizadas por los colaboradores. Revisión de cada una de las tareas asignadas al perito. Participación en diferentes reuniones programadas de rendición de cuentas.</w:t>
            </w:r>
          </w:p>
          <w:p w14:paraId="2899BA56" w14:textId="77777777" w:rsidR="00160A11" w:rsidRPr="007635B5" w:rsidRDefault="00160A11" w:rsidP="00160A11">
            <w:pPr>
              <w:spacing w:after="0" w:line="240" w:lineRule="auto"/>
              <w:jc w:val="both"/>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 xml:space="preserve">Control Administrativo del grupo de trabajo </w:t>
            </w:r>
          </w:p>
          <w:p w14:paraId="2C8E383B" w14:textId="77777777" w:rsidR="00160A11" w:rsidRPr="007635B5" w:rsidRDefault="00160A11" w:rsidP="00160A11">
            <w:pPr>
              <w:spacing w:after="0" w:line="240" w:lineRule="auto"/>
              <w:jc w:val="both"/>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Participación en diferentes reuniones programadas de rendición de cuentas.</w:t>
            </w:r>
          </w:p>
          <w:p w14:paraId="670FF1BE" w14:textId="77777777" w:rsidR="00160A11" w:rsidRPr="007635B5" w:rsidRDefault="00160A11" w:rsidP="00160A11">
            <w:pPr>
              <w:spacing w:after="0" w:line="240" w:lineRule="auto"/>
              <w:jc w:val="both"/>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Control Administrativo del grupo de trabajo.</w:t>
            </w:r>
          </w:p>
          <w:p w14:paraId="69B9FCB5" w14:textId="77777777" w:rsidR="00160A11" w:rsidRPr="007635B5" w:rsidRDefault="00160A11" w:rsidP="00160A11">
            <w:pPr>
              <w:spacing w:after="0" w:line="240" w:lineRule="auto"/>
              <w:jc w:val="both"/>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La Sección se verá afectada en su funcionamiento y atención  de casos ya que 10 peritos judiciales y 4 auditores supervisores asistirán de manera simultánea al "XCVII Programa de formación básica en investigación criminal.</w:t>
            </w:r>
          </w:p>
          <w:p w14:paraId="0299FAC1" w14:textId="1F20A12B" w:rsidR="00160A11" w:rsidRPr="007635B5" w:rsidRDefault="00160A11" w:rsidP="00160A11">
            <w:pPr>
              <w:spacing w:after="0" w:line="240" w:lineRule="auto"/>
              <w:jc w:val="both"/>
              <w:rPr>
                <w:rFonts w:ascii="Book Antiqua" w:eastAsia="Times New Roman" w:hAnsi="Book Antiqua" w:cs="Calibri"/>
                <w:sz w:val="14"/>
                <w:szCs w:val="14"/>
                <w:lang w:eastAsia="es-CR"/>
              </w:rPr>
            </w:pPr>
            <w:r w:rsidRPr="007635B5">
              <w:rPr>
                <w:rFonts w:ascii="Book Antiqua" w:eastAsia="Times New Roman" w:hAnsi="Book Antiqua" w:cs="Calibri"/>
                <w:color w:val="000000"/>
                <w:sz w:val="14"/>
                <w:szCs w:val="14"/>
                <w:lang w:eastAsia="es-CR"/>
              </w:rPr>
              <w:t>Beneficios de las plazas: Abordaje oportuno y apropiado de las pericias requeridas, de acuerdo con los plazos requeridos por la fiscalía; además, evitar un rezago considerable en las pericias que se deben atender.</w:t>
            </w:r>
          </w:p>
        </w:tc>
      </w:tr>
      <w:tr w:rsidR="00160A11" w:rsidRPr="007635B5" w14:paraId="3C4F723E" w14:textId="77777777" w:rsidTr="007635B5">
        <w:trPr>
          <w:trHeight w:val="552"/>
          <w:jc w:val="center"/>
        </w:trPr>
        <w:tc>
          <w:tcPr>
            <w:tcW w:w="1129" w:type="dxa"/>
            <w:vMerge/>
            <w:tcBorders>
              <w:left w:val="single" w:sz="4" w:space="0" w:color="auto"/>
              <w:bottom w:val="single" w:sz="4" w:space="0" w:color="auto"/>
              <w:right w:val="single" w:sz="4" w:space="0" w:color="auto"/>
            </w:tcBorders>
            <w:shd w:val="clear" w:color="000000" w:fill="FFFFFF"/>
            <w:vAlign w:val="center"/>
          </w:tcPr>
          <w:p w14:paraId="37BD9886" w14:textId="77777777" w:rsidR="00160A11" w:rsidRPr="007635B5" w:rsidRDefault="00160A11" w:rsidP="00160A11">
            <w:pPr>
              <w:spacing w:after="0" w:line="240" w:lineRule="auto"/>
              <w:jc w:val="center"/>
              <w:rPr>
                <w:rFonts w:ascii="Book Antiqua" w:eastAsia="Times New Roman" w:hAnsi="Book Antiqua" w:cs="Calibri"/>
                <w:color w:val="000000"/>
                <w:sz w:val="14"/>
                <w:szCs w:val="14"/>
                <w:lang w:eastAsia="es-CR"/>
              </w:rPr>
            </w:pPr>
          </w:p>
        </w:tc>
        <w:tc>
          <w:tcPr>
            <w:tcW w:w="851" w:type="dxa"/>
            <w:vMerge/>
            <w:tcBorders>
              <w:left w:val="single" w:sz="4" w:space="0" w:color="auto"/>
              <w:bottom w:val="single" w:sz="4" w:space="0" w:color="auto"/>
              <w:right w:val="single" w:sz="4" w:space="0" w:color="auto"/>
            </w:tcBorders>
            <w:shd w:val="clear" w:color="000000" w:fill="FFFFFF"/>
            <w:vAlign w:val="center"/>
          </w:tcPr>
          <w:p w14:paraId="7F911F8C" w14:textId="77777777" w:rsidR="00160A11" w:rsidRPr="007635B5" w:rsidRDefault="00160A11" w:rsidP="00160A11">
            <w:pPr>
              <w:spacing w:after="0" w:line="240" w:lineRule="auto"/>
              <w:rPr>
                <w:rFonts w:ascii="Book Antiqua" w:eastAsia="Times New Roman" w:hAnsi="Book Antiqua" w:cs="Calibri"/>
                <w:color w:val="000000"/>
                <w:sz w:val="14"/>
                <w:szCs w:val="14"/>
                <w:lang w:eastAsia="es-CR"/>
              </w:rPr>
            </w:pPr>
          </w:p>
        </w:tc>
        <w:tc>
          <w:tcPr>
            <w:tcW w:w="1134" w:type="dxa"/>
            <w:vMerge/>
            <w:tcBorders>
              <w:left w:val="single" w:sz="4" w:space="0" w:color="auto"/>
              <w:bottom w:val="single" w:sz="4" w:space="0" w:color="auto"/>
              <w:right w:val="single" w:sz="4" w:space="0" w:color="auto"/>
            </w:tcBorders>
            <w:shd w:val="clear" w:color="000000" w:fill="FFFFFF"/>
            <w:vAlign w:val="center"/>
          </w:tcPr>
          <w:p w14:paraId="7D743A03" w14:textId="77777777" w:rsidR="00160A11" w:rsidRPr="007635B5" w:rsidRDefault="00160A11" w:rsidP="00160A11">
            <w:pPr>
              <w:spacing w:after="0" w:line="240" w:lineRule="auto"/>
              <w:rPr>
                <w:rFonts w:ascii="Book Antiqua" w:eastAsia="Times New Roman" w:hAnsi="Book Antiqua" w:cs="Calibri"/>
                <w:color w:val="000000"/>
                <w:sz w:val="14"/>
                <w:szCs w:val="14"/>
                <w:lang w:eastAsia="es-CR"/>
              </w:rPr>
            </w:pP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EE2848A" w14:textId="77777777" w:rsidR="00160A11" w:rsidRPr="007635B5" w:rsidRDefault="00160A11" w:rsidP="00160A11">
            <w:pPr>
              <w:spacing w:after="0" w:line="240" w:lineRule="auto"/>
              <w:ind w:left="-42"/>
              <w:jc w:val="center"/>
              <w:rPr>
                <w:rFonts w:ascii="Book Antiqua" w:eastAsia="Times New Roman" w:hAnsi="Book Antiqua" w:cs="Calibri"/>
                <w:color w:val="000000"/>
                <w:sz w:val="14"/>
                <w:szCs w:val="14"/>
                <w:lang w:eastAsia="es-CR"/>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0303A14A" w14:textId="22421D49" w:rsidR="00160A11" w:rsidRPr="007635B5" w:rsidRDefault="00160A11" w:rsidP="00160A11">
            <w:pPr>
              <w:spacing w:after="0" w:line="240" w:lineRule="auto"/>
              <w:jc w:val="center"/>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3D4F50CD" w14:textId="5D6A4485" w:rsidR="00160A11" w:rsidRPr="007635B5" w:rsidRDefault="00160A11" w:rsidP="00160A11">
            <w:pPr>
              <w:spacing w:after="0" w:line="240" w:lineRule="auto"/>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PERITO JUDICIAL 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5B809C72" w14:textId="77777777" w:rsidR="00160A11" w:rsidRPr="007635B5" w:rsidRDefault="00160A11" w:rsidP="00160A11">
            <w:pPr>
              <w:spacing w:after="0" w:line="240" w:lineRule="auto"/>
              <w:jc w:val="center"/>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48389</w:t>
            </w:r>
          </w:p>
          <w:p w14:paraId="6FFE9EC6" w14:textId="77777777" w:rsidR="00160A11" w:rsidRPr="007635B5" w:rsidRDefault="00160A11" w:rsidP="00160A11">
            <w:pPr>
              <w:spacing w:after="0" w:line="240" w:lineRule="auto"/>
              <w:jc w:val="center"/>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60164</w:t>
            </w:r>
          </w:p>
          <w:p w14:paraId="161DF836" w14:textId="77777777" w:rsidR="00160A11" w:rsidRPr="007635B5" w:rsidRDefault="00160A11" w:rsidP="00160A11">
            <w:pPr>
              <w:spacing w:after="0" w:line="240" w:lineRule="auto"/>
              <w:jc w:val="center"/>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101005</w:t>
            </w:r>
          </w:p>
          <w:p w14:paraId="16C7E0D9" w14:textId="77777777" w:rsidR="00160A11" w:rsidRPr="007635B5" w:rsidRDefault="00160A11" w:rsidP="00160A11">
            <w:pPr>
              <w:spacing w:after="0" w:line="240" w:lineRule="auto"/>
              <w:jc w:val="center"/>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368014</w:t>
            </w:r>
          </w:p>
          <w:p w14:paraId="0D09A546" w14:textId="77777777" w:rsidR="00160A11" w:rsidRPr="007635B5" w:rsidRDefault="00160A11" w:rsidP="00160A11">
            <w:pPr>
              <w:spacing w:after="0" w:line="240" w:lineRule="auto"/>
              <w:jc w:val="center"/>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43244</w:t>
            </w:r>
          </w:p>
          <w:p w14:paraId="26DB95CE" w14:textId="77777777" w:rsidR="00160A11" w:rsidRPr="007635B5" w:rsidRDefault="00160A11" w:rsidP="00160A11">
            <w:pPr>
              <w:spacing w:after="0" w:line="240" w:lineRule="auto"/>
              <w:ind w:left="-57"/>
              <w:jc w:val="center"/>
              <w:rPr>
                <w:rFonts w:ascii="Book Antiqua" w:eastAsia="Times New Roman" w:hAnsi="Book Antiqua" w:cs="Calibri"/>
                <w:sz w:val="14"/>
                <w:szCs w:val="14"/>
                <w:lang w:eastAsia="es-CR"/>
              </w:rPr>
            </w:pPr>
          </w:p>
        </w:tc>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14:paraId="65FAD394" w14:textId="77777777" w:rsidR="00160A11" w:rsidRPr="007635B5" w:rsidRDefault="00160A11" w:rsidP="00160A11">
            <w:pPr>
              <w:spacing w:after="0" w:line="240" w:lineRule="auto"/>
              <w:jc w:val="both"/>
              <w:rPr>
                <w:rFonts w:ascii="Book Antiqua" w:eastAsia="Times New Roman" w:hAnsi="Book Antiqua" w:cs="Calibri"/>
                <w:color w:val="000000"/>
                <w:sz w:val="14"/>
                <w:szCs w:val="14"/>
                <w:lang w:eastAsia="es-CR"/>
              </w:rPr>
            </w:pPr>
            <w:r w:rsidRPr="007635B5">
              <w:rPr>
                <w:rFonts w:ascii="Book Antiqua" w:eastAsia="Times New Roman" w:hAnsi="Book Antiqua" w:cs="Calibri"/>
                <w:color w:val="000000"/>
                <w:sz w:val="14"/>
                <w:szCs w:val="14"/>
                <w:lang w:eastAsia="es-CR"/>
              </w:rPr>
              <w:t>Dar soporte a la operatividad de la Sección, de acuerdo con las tareas asignadas por el supervisor del grupo, para atender de manera oportuna las pericias requeridas por las autoridades judiciales.</w:t>
            </w:r>
          </w:p>
          <w:p w14:paraId="510EB556" w14:textId="6293D065" w:rsidR="00160A11" w:rsidRPr="007635B5" w:rsidRDefault="00160A11" w:rsidP="00160A11">
            <w:pPr>
              <w:spacing w:after="0" w:line="240" w:lineRule="auto"/>
              <w:jc w:val="both"/>
              <w:rPr>
                <w:rFonts w:ascii="Book Antiqua" w:eastAsia="Times New Roman" w:hAnsi="Book Antiqua" w:cs="Calibri"/>
                <w:sz w:val="14"/>
                <w:szCs w:val="14"/>
                <w:lang w:eastAsia="es-CR"/>
              </w:rPr>
            </w:pPr>
            <w:r w:rsidRPr="007635B5">
              <w:rPr>
                <w:rFonts w:ascii="Book Antiqua" w:eastAsia="Times New Roman" w:hAnsi="Book Antiqua" w:cs="Calibri"/>
                <w:color w:val="000000"/>
                <w:sz w:val="14"/>
                <w:szCs w:val="14"/>
                <w:lang w:eastAsia="es-CR"/>
              </w:rPr>
              <w:t>La Sección se verá afectada en su funcionamiento y atención  de casos ya que 10 peritos judiciales y 4 auditores supervisores asistirán de manera simultánea al "XCVII Programa de formación básica en investigación criminal.</w:t>
            </w:r>
          </w:p>
        </w:tc>
      </w:tr>
    </w:tbl>
    <w:p w14:paraId="003B2700" w14:textId="7B02F6EC" w:rsidR="00721694" w:rsidRPr="00FF2971" w:rsidRDefault="00721694" w:rsidP="00721694">
      <w:pPr>
        <w:rPr>
          <w:rFonts w:ascii="Book Antiqua" w:hAnsi="Book Antiqua"/>
          <w:sz w:val="16"/>
          <w:szCs w:val="16"/>
          <w:lang w:val="es-ES"/>
        </w:rPr>
      </w:pPr>
      <w:r w:rsidRPr="00FF2971">
        <w:rPr>
          <w:rFonts w:ascii="Book Antiqua" w:hAnsi="Book Antiqua"/>
          <w:sz w:val="16"/>
          <w:szCs w:val="16"/>
          <w:lang w:val="es-ES"/>
        </w:rPr>
        <w:t>Fuente:</w:t>
      </w:r>
      <w:r>
        <w:rPr>
          <w:rFonts w:ascii="Book Antiqua" w:hAnsi="Book Antiqua"/>
          <w:sz w:val="16"/>
          <w:szCs w:val="16"/>
          <w:lang w:val="es-ES"/>
        </w:rPr>
        <w:t xml:space="preserve"> Datos proporcionados por los líderes y responsables de proyectos estratégicos.</w:t>
      </w:r>
    </w:p>
    <w:p w14:paraId="6C17D2B8" w14:textId="63CA1FA4" w:rsidR="00A00E2F" w:rsidRDefault="00962940" w:rsidP="008509E3">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t xml:space="preserve"> </w:t>
      </w:r>
    </w:p>
    <w:p w14:paraId="3A688C17" w14:textId="17065273" w:rsidR="0058076F" w:rsidRPr="00257371" w:rsidRDefault="0058076F" w:rsidP="00155AE5">
      <w:pPr>
        <w:pStyle w:val="Ttulo3"/>
        <w:numPr>
          <w:ilvl w:val="2"/>
          <w:numId w:val="13"/>
        </w:numPr>
        <w:ind w:left="993"/>
        <w:rPr>
          <w:rFonts w:ascii="Book Antiqua" w:hAnsi="Book Antiqua"/>
          <w:b/>
          <w:lang w:eastAsia="ko-KR"/>
        </w:rPr>
      </w:pPr>
      <w:bookmarkStart w:id="133" w:name="_Toc138770866"/>
      <w:r w:rsidRPr="00257371">
        <w:rPr>
          <w:rFonts w:ascii="Book Antiqua" w:hAnsi="Book Antiqua"/>
          <w:b/>
          <w:color w:val="auto"/>
          <w:lang w:eastAsia="ko-KR"/>
        </w:rPr>
        <w:t>Programa 929</w:t>
      </w:r>
      <w:r w:rsidR="00413276" w:rsidRPr="00257371">
        <w:rPr>
          <w:rFonts w:ascii="Book Antiqua" w:hAnsi="Book Antiqua"/>
          <w:b/>
          <w:bCs/>
          <w:color w:val="auto"/>
          <w:lang w:eastAsia="ko-KR"/>
        </w:rPr>
        <w:t xml:space="preserve"> Ministerio Público</w:t>
      </w:r>
      <w:bookmarkEnd w:id="133"/>
    </w:p>
    <w:p w14:paraId="57641E3F" w14:textId="77777777" w:rsidR="0058076F" w:rsidRDefault="0058076F" w:rsidP="008509E3">
      <w:pPr>
        <w:spacing w:after="0"/>
        <w:jc w:val="both"/>
        <w:rPr>
          <w:rFonts w:ascii="Book Antiqua" w:eastAsia="Wingdings" w:hAnsi="Book Antiqua"/>
          <w:sz w:val="24"/>
          <w:szCs w:val="24"/>
          <w:lang w:eastAsia="ko-KR"/>
        </w:rPr>
      </w:pPr>
    </w:p>
    <w:p w14:paraId="464B7805" w14:textId="1CD49C69" w:rsidR="007852EC" w:rsidRPr="00EE5155" w:rsidRDefault="007852EC" w:rsidP="007852EC">
      <w:pPr>
        <w:shd w:val="clear" w:color="auto" w:fill="FFFFFF"/>
        <w:spacing w:after="0"/>
        <w:ind w:right="49"/>
        <w:jc w:val="both"/>
        <w:rPr>
          <w:rFonts w:ascii="Book Antiqua" w:eastAsia="Wingdings" w:hAnsi="Book Antiqua"/>
          <w:sz w:val="24"/>
          <w:szCs w:val="24"/>
          <w:lang w:eastAsia="ko-KR"/>
        </w:rPr>
      </w:pPr>
      <w:r>
        <w:rPr>
          <w:rFonts w:ascii="Book Antiqua" w:eastAsia="Wingdings" w:hAnsi="Book Antiqua"/>
          <w:sz w:val="24"/>
          <w:szCs w:val="24"/>
          <w:lang w:eastAsia="ko-KR"/>
        </w:rPr>
        <w:t xml:space="preserve">Para el </w:t>
      </w:r>
      <w:r w:rsidR="00DC48FA">
        <w:rPr>
          <w:rFonts w:ascii="Book Antiqua" w:eastAsia="Wingdings" w:hAnsi="Book Antiqua"/>
          <w:sz w:val="24"/>
          <w:szCs w:val="24"/>
          <w:lang w:eastAsia="ko-KR"/>
        </w:rPr>
        <w:t>Ministerio</w:t>
      </w:r>
      <w:r>
        <w:rPr>
          <w:rFonts w:ascii="Book Antiqua" w:eastAsia="Wingdings" w:hAnsi="Book Antiqua"/>
          <w:sz w:val="24"/>
          <w:szCs w:val="24"/>
          <w:lang w:eastAsia="ko-KR"/>
        </w:rPr>
        <w:t xml:space="preserve"> Público</w:t>
      </w:r>
      <w:r w:rsidRPr="00EE5155">
        <w:rPr>
          <w:rFonts w:ascii="Book Antiqua" w:eastAsia="Wingdings" w:hAnsi="Book Antiqua"/>
          <w:sz w:val="24"/>
          <w:szCs w:val="24"/>
          <w:lang w:eastAsia="ko-KR"/>
        </w:rPr>
        <w:t>,</w:t>
      </w:r>
      <w:r w:rsidR="008B2CE4" w:rsidRPr="00EE5155">
        <w:rPr>
          <w:rFonts w:ascii="Book Antiqua" w:eastAsia="Wingdings" w:hAnsi="Book Antiqua"/>
          <w:sz w:val="24"/>
          <w:szCs w:val="24"/>
          <w:lang w:eastAsia="ko-KR"/>
        </w:rPr>
        <w:t xml:space="preserve"> </w:t>
      </w:r>
      <w:r w:rsidR="008B2CE4">
        <w:rPr>
          <w:rFonts w:ascii="Book Antiqua" w:eastAsia="Wingdings" w:hAnsi="Book Antiqua"/>
          <w:sz w:val="24"/>
          <w:szCs w:val="24"/>
          <w:lang w:eastAsia="ko-KR"/>
        </w:rPr>
        <w:t xml:space="preserve">no </w:t>
      </w:r>
      <w:r w:rsidR="008B2CE4" w:rsidRPr="00EE5155">
        <w:rPr>
          <w:rFonts w:ascii="Book Antiqua" w:eastAsia="Wingdings" w:hAnsi="Book Antiqua"/>
          <w:sz w:val="24"/>
          <w:szCs w:val="24"/>
          <w:lang w:eastAsia="ko-KR"/>
        </w:rPr>
        <w:t>se recibi</w:t>
      </w:r>
      <w:r w:rsidR="008B2CE4">
        <w:rPr>
          <w:rFonts w:ascii="Book Antiqua" w:eastAsia="Wingdings" w:hAnsi="Book Antiqua"/>
          <w:sz w:val="24"/>
          <w:szCs w:val="24"/>
          <w:lang w:eastAsia="ko-KR"/>
        </w:rPr>
        <w:t>eron</w:t>
      </w:r>
      <w:r w:rsidR="008B2CE4" w:rsidRPr="00EE5155">
        <w:rPr>
          <w:rFonts w:ascii="Book Antiqua" w:eastAsia="Wingdings" w:hAnsi="Book Antiqua"/>
          <w:sz w:val="24"/>
          <w:szCs w:val="24"/>
          <w:lang w:eastAsia="ko-KR"/>
        </w:rPr>
        <w:t xml:space="preserve"> solicitud</w:t>
      </w:r>
      <w:r w:rsidR="008B2CE4">
        <w:rPr>
          <w:rFonts w:ascii="Book Antiqua" w:eastAsia="Wingdings" w:hAnsi="Book Antiqua"/>
          <w:sz w:val="24"/>
          <w:szCs w:val="24"/>
          <w:lang w:eastAsia="ko-KR"/>
        </w:rPr>
        <w:t>es</w:t>
      </w:r>
      <w:r w:rsidR="008B2CE4" w:rsidRPr="00EE5155">
        <w:rPr>
          <w:rFonts w:ascii="Book Antiqua" w:eastAsia="Wingdings" w:hAnsi="Book Antiqua"/>
          <w:sz w:val="24"/>
          <w:szCs w:val="24"/>
          <w:lang w:eastAsia="ko-KR"/>
        </w:rPr>
        <w:t xml:space="preserve"> de nuevo</w:t>
      </w:r>
      <w:r w:rsidR="008B2CE4">
        <w:rPr>
          <w:rFonts w:ascii="Book Antiqua" w:eastAsia="Wingdings" w:hAnsi="Book Antiqua"/>
          <w:sz w:val="24"/>
          <w:szCs w:val="24"/>
          <w:lang w:eastAsia="ko-KR"/>
        </w:rPr>
        <w:t>s</w:t>
      </w:r>
      <w:r w:rsidR="008B2CE4" w:rsidRPr="00EE5155">
        <w:rPr>
          <w:rFonts w:ascii="Book Antiqua" w:eastAsia="Wingdings" w:hAnsi="Book Antiqua"/>
          <w:sz w:val="24"/>
          <w:szCs w:val="24"/>
          <w:lang w:eastAsia="ko-KR"/>
        </w:rPr>
        <w:t xml:space="preserve"> permiso</w:t>
      </w:r>
      <w:r w:rsidR="008B2CE4">
        <w:rPr>
          <w:rFonts w:ascii="Book Antiqua" w:eastAsia="Wingdings" w:hAnsi="Book Antiqua"/>
          <w:sz w:val="24"/>
          <w:szCs w:val="24"/>
          <w:lang w:eastAsia="ko-KR"/>
        </w:rPr>
        <w:t>s.</w:t>
      </w:r>
    </w:p>
    <w:p w14:paraId="58483EEB" w14:textId="77777777" w:rsidR="007852EC" w:rsidRDefault="007852EC" w:rsidP="007852EC">
      <w:pPr>
        <w:spacing w:after="0"/>
        <w:jc w:val="both"/>
        <w:rPr>
          <w:rFonts w:ascii="Book Antiqua" w:hAnsi="Book Antiqua"/>
        </w:rPr>
      </w:pPr>
    </w:p>
    <w:p w14:paraId="68FBDCAB" w14:textId="77777777" w:rsidR="00A00E2F" w:rsidRDefault="00A00E2F" w:rsidP="00155AE5">
      <w:pPr>
        <w:pStyle w:val="Ttulo3"/>
        <w:numPr>
          <w:ilvl w:val="2"/>
          <w:numId w:val="13"/>
        </w:numPr>
        <w:ind w:left="993"/>
        <w:rPr>
          <w:rFonts w:ascii="Book Antiqua" w:hAnsi="Book Antiqua"/>
          <w:b/>
          <w:bCs/>
          <w:lang w:eastAsia="ko-KR"/>
        </w:rPr>
      </w:pPr>
      <w:bookmarkStart w:id="134" w:name="_Toc138770867"/>
      <w:r w:rsidRPr="004D6BA2">
        <w:rPr>
          <w:rFonts w:ascii="Book Antiqua" w:hAnsi="Book Antiqua"/>
          <w:b/>
          <w:bCs/>
          <w:color w:val="auto"/>
          <w:lang w:eastAsia="ko-KR"/>
        </w:rPr>
        <w:t>Programa 9</w:t>
      </w:r>
      <w:r>
        <w:rPr>
          <w:rFonts w:ascii="Book Antiqua" w:hAnsi="Book Antiqua"/>
          <w:b/>
          <w:bCs/>
          <w:color w:val="auto"/>
          <w:lang w:eastAsia="ko-KR"/>
        </w:rPr>
        <w:t>30 Defensa Pública</w:t>
      </w:r>
      <w:bookmarkEnd w:id="134"/>
    </w:p>
    <w:p w14:paraId="214D87D4" w14:textId="77777777" w:rsidR="00A00E2F" w:rsidRDefault="00A00E2F" w:rsidP="00A00E2F">
      <w:pPr>
        <w:shd w:val="clear" w:color="auto" w:fill="FFFFFF"/>
        <w:spacing w:after="0"/>
        <w:ind w:right="49"/>
        <w:jc w:val="both"/>
        <w:rPr>
          <w:rFonts w:ascii="Book Antiqua" w:eastAsia="Wingdings" w:hAnsi="Book Antiqua"/>
          <w:sz w:val="24"/>
          <w:szCs w:val="24"/>
          <w:lang w:eastAsia="ko-KR"/>
        </w:rPr>
      </w:pPr>
    </w:p>
    <w:p w14:paraId="478DCDFB" w14:textId="37A30126" w:rsidR="008B2CE4" w:rsidRDefault="00A00E2F" w:rsidP="008B2CE4">
      <w:pPr>
        <w:shd w:val="clear" w:color="auto" w:fill="FFFFFF"/>
        <w:spacing w:after="0"/>
        <w:ind w:right="49"/>
        <w:jc w:val="both"/>
        <w:rPr>
          <w:rFonts w:ascii="Book Antiqua" w:eastAsia="Wingdings" w:hAnsi="Book Antiqua"/>
          <w:sz w:val="24"/>
          <w:szCs w:val="24"/>
          <w:lang w:eastAsia="ko-KR"/>
        </w:rPr>
      </w:pPr>
      <w:r w:rsidRPr="00EE5155">
        <w:rPr>
          <w:rFonts w:ascii="Book Antiqua" w:eastAsia="Wingdings" w:hAnsi="Book Antiqua"/>
          <w:sz w:val="24"/>
          <w:szCs w:val="24"/>
          <w:lang w:eastAsia="ko-KR"/>
        </w:rPr>
        <w:t>En el caso de</w:t>
      </w:r>
      <w:r>
        <w:rPr>
          <w:rFonts w:ascii="Book Antiqua" w:eastAsia="Wingdings" w:hAnsi="Book Antiqua"/>
          <w:sz w:val="24"/>
          <w:szCs w:val="24"/>
          <w:lang w:eastAsia="ko-KR"/>
        </w:rPr>
        <w:t xml:space="preserve"> </w:t>
      </w:r>
      <w:r w:rsidRPr="00EE5155">
        <w:rPr>
          <w:rFonts w:ascii="Book Antiqua" w:eastAsia="Wingdings" w:hAnsi="Book Antiqua"/>
          <w:sz w:val="24"/>
          <w:szCs w:val="24"/>
          <w:lang w:eastAsia="ko-KR"/>
        </w:rPr>
        <w:t>l</w:t>
      </w:r>
      <w:r>
        <w:rPr>
          <w:rFonts w:ascii="Book Antiqua" w:eastAsia="Wingdings" w:hAnsi="Book Antiqua"/>
          <w:sz w:val="24"/>
          <w:szCs w:val="24"/>
          <w:lang w:eastAsia="ko-KR"/>
        </w:rPr>
        <w:t>a Defensa Pública</w:t>
      </w:r>
      <w:r w:rsidRPr="00EE5155">
        <w:rPr>
          <w:rFonts w:ascii="Book Antiqua" w:eastAsia="Wingdings" w:hAnsi="Book Antiqua"/>
          <w:sz w:val="24"/>
          <w:szCs w:val="24"/>
          <w:lang w:eastAsia="ko-KR"/>
        </w:rPr>
        <w:t xml:space="preserve">, </w:t>
      </w:r>
      <w:r w:rsidR="008B2CE4">
        <w:rPr>
          <w:rFonts w:ascii="Book Antiqua" w:eastAsia="Wingdings" w:hAnsi="Book Antiqua"/>
          <w:sz w:val="24"/>
          <w:szCs w:val="24"/>
          <w:lang w:eastAsia="ko-KR"/>
        </w:rPr>
        <w:t xml:space="preserve">no </w:t>
      </w:r>
      <w:r w:rsidRPr="00EE5155">
        <w:rPr>
          <w:rFonts w:ascii="Book Antiqua" w:eastAsia="Wingdings" w:hAnsi="Book Antiqua"/>
          <w:sz w:val="24"/>
          <w:szCs w:val="24"/>
          <w:lang w:eastAsia="ko-KR"/>
        </w:rPr>
        <w:t>se recibi</w:t>
      </w:r>
      <w:r w:rsidR="008B2CE4">
        <w:rPr>
          <w:rFonts w:ascii="Book Antiqua" w:eastAsia="Wingdings" w:hAnsi="Book Antiqua"/>
          <w:sz w:val="24"/>
          <w:szCs w:val="24"/>
          <w:lang w:eastAsia="ko-KR"/>
        </w:rPr>
        <w:t>eron</w:t>
      </w:r>
      <w:r w:rsidRPr="00EE5155">
        <w:rPr>
          <w:rFonts w:ascii="Book Antiqua" w:eastAsia="Wingdings" w:hAnsi="Book Antiqua"/>
          <w:sz w:val="24"/>
          <w:szCs w:val="24"/>
          <w:lang w:eastAsia="ko-KR"/>
        </w:rPr>
        <w:t xml:space="preserve"> solicitud</w:t>
      </w:r>
      <w:r w:rsidR="008B2CE4">
        <w:rPr>
          <w:rFonts w:ascii="Book Antiqua" w:eastAsia="Wingdings" w:hAnsi="Book Antiqua"/>
          <w:sz w:val="24"/>
          <w:szCs w:val="24"/>
          <w:lang w:eastAsia="ko-KR"/>
        </w:rPr>
        <w:t>es</w:t>
      </w:r>
      <w:r w:rsidRPr="00EE5155">
        <w:rPr>
          <w:rFonts w:ascii="Book Antiqua" w:eastAsia="Wingdings" w:hAnsi="Book Antiqua"/>
          <w:sz w:val="24"/>
          <w:szCs w:val="24"/>
          <w:lang w:eastAsia="ko-KR"/>
        </w:rPr>
        <w:t xml:space="preserve"> de nuevo</w:t>
      </w:r>
      <w:r w:rsidR="008B2CE4">
        <w:rPr>
          <w:rFonts w:ascii="Book Antiqua" w:eastAsia="Wingdings" w:hAnsi="Book Antiqua"/>
          <w:sz w:val="24"/>
          <w:szCs w:val="24"/>
          <w:lang w:eastAsia="ko-KR"/>
        </w:rPr>
        <w:t>s</w:t>
      </w:r>
      <w:r w:rsidRPr="00EE5155">
        <w:rPr>
          <w:rFonts w:ascii="Book Antiqua" w:eastAsia="Wingdings" w:hAnsi="Book Antiqua"/>
          <w:sz w:val="24"/>
          <w:szCs w:val="24"/>
          <w:lang w:eastAsia="ko-KR"/>
        </w:rPr>
        <w:t xml:space="preserve"> permiso</w:t>
      </w:r>
      <w:r w:rsidR="008B2CE4">
        <w:rPr>
          <w:rFonts w:ascii="Book Antiqua" w:eastAsia="Wingdings" w:hAnsi="Book Antiqua"/>
          <w:sz w:val="24"/>
          <w:szCs w:val="24"/>
          <w:lang w:eastAsia="ko-KR"/>
        </w:rPr>
        <w:t>s.</w:t>
      </w:r>
    </w:p>
    <w:p w14:paraId="70BBDAED" w14:textId="147C0A19" w:rsidR="00471873" w:rsidRDefault="00471873" w:rsidP="008B2CE4">
      <w:pPr>
        <w:shd w:val="clear" w:color="auto" w:fill="FFFFFF"/>
        <w:spacing w:after="0"/>
        <w:ind w:right="49"/>
        <w:jc w:val="both"/>
        <w:rPr>
          <w:rFonts w:ascii="Book Antiqua" w:hAnsi="Book Antiqua"/>
        </w:rPr>
      </w:pPr>
    </w:p>
    <w:p w14:paraId="3ADE257B" w14:textId="77777777" w:rsidR="00A00E2F" w:rsidRPr="00D93D80" w:rsidRDefault="00A00E2F" w:rsidP="00155AE5">
      <w:pPr>
        <w:pStyle w:val="Ttulo3"/>
        <w:numPr>
          <w:ilvl w:val="2"/>
          <w:numId w:val="13"/>
        </w:numPr>
        <w:ind w:left="993"/>
        <w:rPr>
          <w:rFonts w:ascii="Book Antiqua" w:hAnsi="Book Antiqua"/>
          <w:b/>
          <w:lang w:eastAsia="ko-KR"/>
        </w:rPr>
      </w:pPr>
      <w:bookmarkStart w:id="135" w:name="_Toc138770868"/>
      <w:r w:rsidRPr="00907087">
        <w:rPr>
          <w:rFonts w:ascii="Book Antiqua" w:hAnsi="Book Antiqua"/>
          <w:b/>
          <w:bCs/>
          <w:color w:val="auto"/>
          <w:lang w:eastAsia="ko-KR"/>
        </w:rPr>
        <w:t>Solicitudes nuevas para el Modelo Penal:</w:t>
      </w:r>
      <w:bookmarkEnd w:id="135"/>
    </w:p>
    <w:p w14:paraId="7750A357" w14:textId="7BF94CDF" w:rsidR="00A00E2F" w:rsidRPr="00D93D80" w:rsidRDefault="00A00E2F" w:rsidP="00A00E2F">
      <w:pPr>
        <w:spacing w:after="0"/>
        <w:jc w:val="both"/>
        <w:rPr>
          <w:rFonts w:ascii="Book Antiqua" w:hAnsi="Book Antiqua"/>
        </w:rPr>
      </w:pPr>
    </w:p>
    <w:p w14:paraId="7891C37D" w14:textId="079DB173" w:rsidR="008903C9" w:rsidRDefault="001173C0" w:rsidP="00E24FCA">
      <w:pPr>
        <w:shd w:val="clear" w:color="auto" w:fill="FFFFFF" w:themeFill="background1"/>
        <w:ind w:right="49"/>
        <w:jc w:val="both"/>
        <w:rPr>
          <w:rFonts w:ascii="Book Antiqua" w:eastAsia="Times New Roman" w:hAnsi="Book Antiqua" w:cs="Calibri"/>
          <w:bCs/>
          <w:sz w:val="16"/>
          <w:szCs w:val="16"/>
          <w:lang w:eastAsia="es-CR"/>
        </w:rPr>
      </w:pPr>
      <w:r w:rsidRPr="00D93D80">
        <w:rPr>
          <w:rFonts w:ascii="Book Antiqua" w:hAnsi="Book Antiqua"/>
        </w:rPr>
        <w:t xml:space="preserve">Existen </w:t>
      </w:r>
      <w:r w:rsidR="000C54B0" w:rsidRPr="00D93D80">
        <w:rPr>
          <w:rFonts w:ascii="Book Antiqua" w:hAnsi="Book Antiqua"/>
        </w:rPr>
        <w:t xml:space="preserve">una serie de </w:t>
      </w:r>
      <w:r w:rsidR="009846CE" w:rsidRPr="00D93D80">
        <w:rPr>
          <w:rFonts w:ascii="Book Antiqua" w:eastAsia="Wingdings" w:hAnsi="Book Antiqua"/>
          <w:sz w:val="24"/>
          <w:szCs w:val="24"/>
          <w:lang w:eastAsia="ko-KR"/>
        </w:rPr>
        <w:t xml:space="preserve"> permisos</w:t>
      </w:r>
      <w:r w:rsidR="00F351C0" w:rsidRPr="00D93D80">
        <w:rPr>
          <w:rFonts w:ascii="Book Antiqua" w:eastAsia="Wingdings" w:hAnsi="Book Antiqua"/>
          <w:sz w:val="24"/>
          <w:szCs w:val="24"/>
          <w:lang w:eastAsia="ko-KR"/>
        </w:rPr>
        <w:t xml:space="preserve"> que </w:t>
      </w:r>
      <w:r w:rsidR="009846CE" w:rsidRPr="00D93D80">
        <w:rPr>
          <w:rFonts w:ascii="Book Antiqua" w:eastAsia="Wingdings" w:hAnsi="Book Antiqua"/>
          <w:sz w:val="24"/>
          <w:szCs w:val="24"/>
          <w:lang w:eastAsia="ko-KR"/>
        </w:rPr>
        <w:t xml:space="preserve"> fueron </w:t>
      </w:r>
      <w:r w:rsidR="0094315C" w:rsidRPr="00D93D80">
        <w:rPr>
          <w:rFonts w:ascii="Book Antiqua" w:eastAsia="Wingdings" w:hAnsi="Book Antiqua"/>
          <w:sz w:val="24"/>
          <w:szCs w:val="24"/>
          <w:lang w:eastAsia="ko-KR"/>
        </w:rPr>
        <w:t>solicitados por los lideres de proyecto</w:t>
      </w:r>
      <w:r w:rsidR="00872A51" w:rsidRPr="00D93D80">
        <w:rPr>
          <w:rFonts w:ascii="Book Antiqua" w:eastAsia="Wingdings" w:hAnsi="Book Antiqua"/>
          <w:sz w:val="24"/>
          <w:szCs w:val="24"/>
          <w:lang w:eastAsia="ko-KR"/>
        </w:rPr>
        <w:t xml:space="preserve">, </w:t>
      </w:r>
      <w:r w:rsidR="0094315C" w:rsidRPr="00D93D80">
        <w:rPr>
          <w:rFonts w:ascii="Book Antiqua" w:eastAsia="Wingdings" w:hAnsi="Book Antiqua"/>
          <w:sz w:val="24"/>
          <w:szCs w:val="24"/>
          <w:lang w:eastAsia="ko-KR"/>
        </w:rPr>
        <w:t xml:space="preserve">sin </w:t>
      </w:r>
      <w:r w:rsidR="006A4EBF" w:rsidRPr="00D93D80">
        <w:rPr>
          <w:rFonts w:ascii="Book Antiqua" w:eastAsia="Wingdings" w:hAnsi="Book Antiqua"/>
          <w:sz w:val="24"/>
          <w:szCs w:val="24"/>
          <w:lang w:eastAsia="ko-KR"/>
        </w:rPr>
        <w:t xml:space="preserve">embargo, </w:t>
      </w:r>
      <w:r w:rsidR="008433E8" w:rsidRPr="00D93D80">
        <w:rPr>
          <w:rFonts w:ascii="Book Antiqua" w:eastAsia="Wingdings" w:hAnsi="Book Antiqua"/>
          <w:sz w:val="24"/>
          <w:szCs w:val="24"/>
          <w:lang w:eastAsia="ko-KR"/>
        </w:rPr>
        <w:t xml:space="preserve">estos serán detallados en un </w:t>
      </w:r>
      <w:r w:rsidR="006A4EBF" w:rsidRPr="00D93D80">
        <w:rPr>
          <w:rFonts w:ascii="Book Antiqua" w:eastAsia="Wingdings" w:hAnsi="Book Antiqua"/>
          <w:sz w:val="24"/>
          <w:szCs w:val="24"/>
          <w:lang w:eastAsia="ko-KR"/>
        </w:rPr>
        <w:t>informe</w:t>
      </w:r>
      <w:r w:rsidR="008433E8" w:rsidRPr="00D93D80">
        <w:rPr>
          <w:rFonts w:ascii="Book Antiqua" w:eastAsia="Wingdings" w:hAnsi="Book Antiqua"/>
          <w:sz w:val="24"/>
          <w:szCs w:val="24"/>
          <w:lang w:eastAsia="ko-KR"/>
        </w:rPr>
        <w:t xml:space="preserve"> </w:t>
      </w:r>
      <w:r w:rsidR="00A9431D" w:rsidRPr="00D93D80">
        <w:rPr>
          <w:rFonts w:ascii="Book Antiqua" w:eastAsia="Wingdings" w:hAnsi="Book Antiqua"/>
          <w:sz w:val="24"/>
          <w:szCs w:val="24"/>
          <w:lang w:eastAsia="ko-KR"/>
        </w:rPr>
        <w:t xml:space="preserve">adicional de solicitudes  de PCGS </w:t>
      </w:r>
      <w:r w:rsidR="006A4EBF" w:rsidRPr="00D93D80">
        <w:rPr>
          <w:rFonts w:ascii="Book Antiqua" w:eastAsia="Wingdings" w:hAnsi="Book Antiqua"/>
          <w:sz w:val="24"/>
          <w:szCs w:val="24"/>
          <w:lang w:eastAsia="ko-KR"/>
        </w:rPr>
        <w:t>elaborado por la Dirección de Planificación</w:t>
      </w:r>
      <w:r w:rsidR="00907087" w:rsidRPr="00D93D80">
        <w:rPr>
          <w:rFonts w:ascii="Book Antiqua" w:eastAsia="Wingdings" w:hAnsi="Book Antiqua"/>
          <w:sz w:val="24"/>
          <w:szCs w:val="24"/>
          <w:lang w:eastAsia="ko-KR"/>
        </w:rPr>
        <w:t xml:space="preserve">, que se remitirá </w:t>
      </w:r>
      <w:r w:rsidR="006A4EBF" w:rsidRPr="00D93D80">
        <w:rPr>
          <w:rFonts w:ascii="Book Antiqua" w:eastAsia="Wingdings" w:hAnsi="Book Antiqua"/>
          <w:sz w:val="24"/>
          <w:szCs w:val="24"/>
          <w:lang w:eastAsia="ko-KR"/>
        </w:rPr>
        <w:t xml:space="preserve"> posteriormente.</w:t>
      </w:r>
    </w:p>
    <w:p w14:paraId="67B97B68" w14:textId="29E69F98" w:rsidR="00A00E2F" w:rsidRDefault="00A00E2F" w:rsidP="00A00E2F">
      <w:pPr>
        <w:spacing w:after="0"/>
        <w:jc w:val="both"/>
        <w:rPr>
          <w:rFonts w:ascii="Book Antiqua" w:hAnsi="Book Antiqua"/>
          <w:b/>
          <w:bCs/>
          <w:lang w:val="es-ES"/>
        </w:rPr>
      </w:pPr>
    </w:p>
    <w:p w14:paraId="469DFD2B" w14:textId="29E69F98" w:rsidR="00C359C8" w:rsidRPr="00484064" w:rsidRDefault="00C359C8" w:rsidP="00A00E2F">
      <w:pPr>
        <w:spacing w:after="0"/>
        <w:jc w:val="both"/>
        <w:rPr>
          <w:rFonts w:ascii="Book Antiqua" w:hAnsi="Book Antiqua"/>
          <w:b/>
          <w:bCs/>
          <w:lang w:val="es-ES"/>
        </w:rPr>
      </w:pPr>
    </w:p>
    <w:p w14:paraId="0CB50144" w14:textId="77777777" w:rsidR="004D27FD" w:rsidRDefault="004D27FD" w:rsidP="00A00E2F">
      <w:pPr>
        <w:rPr>
          <w:lang w:eastAsia="ko-KR"/>
        </w:rPr>
      </w:pPr>
    </w:p>
    <w:p w14:paraId="7FE46EB3" w14:textId="6F5923FC" w:rsidR="00A00E2F" w:rsidRPr="003E5FD6" w:rsidRDefault="00A00E2F" w:rsidP="009129F0">
      <w:pPr>
        <w:pStyle w:val="Ttulo2"/>
        <w:numPr>
          <w:ilvl w:val="0"/>
          <w:numId w:val="6"/>
        </w:numPr>
        <w:ind w:left="567" w:hanging="578"/>
        <w:rPr>
          <w:rFonts w:ascii="Book Antiqua" w:eastAsia="Wingdings" w:hAnsi="Book Antiqua"/>
          <w:b/>
          <w:bCs/>
          <w:color w:val="auto"/>
          <w:lang w:eastAsia="ko-KR"/>
        </w:rPr>
      </w:pPr>
      <w:bookmarkStart w:id="136" w:name="_Toc138770869"/>
      <w:r w:rsidRPr="003E5FD6">
        <w:rPr>
          <w:rFonts w:ascii="Book Antiqua" w:eastAsia="Wingdings" w:hAnsi="Book Antiqua"/>
          <w:b/>
          <w:bCs/>
          <w:color w:val="auto"/>
          <w:lang w:eastAsia="ko-KR"/>
        </w:rPr>
        <w:lastRenderedPageBreak/>
        <w:t xml:space="preserve">Certificación de contenido </w:t>
      </w:r>
      <w:r w:rsidR="00524B16">
        <w:rPr>
          <w:rFonts w:ascii="Book Antiqua" w:eastAsia="Wingdings" w:hAnsi="Book Antiqua"/>
          <w:b/>
          <w:bCs/>
          <w:color w:val="auto"/>
          <w:lang w:eastAsia="ko-KR"/>
        </w:rPr>
        <w:t xml:space="preserve">presupuestario </w:t>
      </w:r>
      <w:r w:rsidRPr="003E5FD6">
        <w:rPr>
          <w:rFonts w:ascii="Book Antiqua" w:eastAsia="Wingdings" w:hAnsi="Book Antiqua"/>
          <w:b/>
          <w:bCs/>
          <w:color w:val="auto"/>
          <w:lang w:eastAsia="ko-KR"/>
        </w:rPr>
        <w:t>para las solicitudes de PCGS para el III Trimestre 202</w:t>
      </w:r>
      <w:r w:rsidR="004D27FD" w:rsidRPr="003E5FD6">
        <w:rPr>
          <w:rFonts w:ascii="Book Antiqua" w:eastAsia="Wingdings" w:hAnsi="Book Antiqua"/>
          <w:b/>
          <w:bCs/>
          <w:color w:val="auto"/>
          <w:lang w:eastAsia="ko-KR"/>
        </w:rPr>
        <w:t>3</w:t>
      </w:r>
      <w:bookmarkEnd w:id="136"/>
    </w:p>
    <w:p w14:paraId="78678515" w14:textId="77777777" w:rsidR="005B130E" w:rsidRPr="003E5FD6" w:rsidRDefault="005B130E" w:rsidP="00257371">
      <w:pPr>
        <w:spacing w:after="0"/>
        <w:rPr>
          <w:lang w:eastAsia="ko-KR"/>
        </w:rPr>
      </w:pPr>
    </w:p>
    <w:p w14:paraId="2A94E3D3" w14:textId="009B3059" w:rsidR="005B130E" w:rsidRPr="003E5FD6" w:rsidRDefault="00B64226" w:rsidP="005B130E">
      <w:pPr>
        <w:pStyle w:val="paragraph"/>
        <w:spacing w:before="0" w:beforeAutospacing="0" w:after="0" w:afterAutospacing="0"/>
        <w:jc w:val="both"/>
        <w:textAlignment w:val="baseline"/>
        <w:rPr>
          <w:rStyle w:val="eop"/>
          <w:rFonts w:ascii="Book Antiqua" w:eastAsiaTheme="majorEastAsia" w:hAnsi="Book Antiqua" w:cs="Segoe UI"/>
          <w:color w:val="000000"/>
        </w:rPr>
      </w:pPr>
      <w:r w:rsidRPr="003E5FD6">
        <w:rPr>
          <w:rStyle w:val="normaltextrun"/>
          <w:rFonts w:ascii="Book Antiqua" w:eastAsiaTheme="majorEastAsia" w:hAnsi="Book Antiqua" w:cs="Segoe UI"/>
          <w:color w:val="000000"/>
        </w:rPr>
        <w:t>Para o</w:t>
      </w:r>
      <w:r w:rsidR="00BC5F36" w:rsidRPr="003E5FD6">
        <w:rPr>
          <w:rStyle w:val="normaltextrun"/>
          <w:rFonts w:ascii="Book Antiqua" w:eastAsiaTheme="majorEastAsia" w:hAnsi="Book Antiqua" w:cs="Segoe UI"/>
          <w:color w:val="000000"/>
        </w:rPr>
        <w:t>btener las certificaciones de contenido, se</w:t>
      </w:r>
      <w:r w:rsidR="005B130E" w:rsidRPr="003E5FD6">
        <w:rPr>
          <w:rStyle w:val="normaltextrun"/>
          <w:rFonts w:ascii="Book Antiqua" w:eastAsiaTheme="majorEastAsia" w:hAnsi="Book Antiqua" w:cs="Segoe UI"/>
          <w:color w:val="000000"/>
        </w:rPr>
        <w:t xml:space="preserve"> solicitó a la Dirección de Gestión Humana realizar las respectivas estimaciones presupuestarias de las prórrogas de los permisos considerando los siguientes recursos:</w:t>
      </w:r>
      <w:r w:rsidR="005B130E" w:rsidRPr="003E5FD6">
        <w:rPr>
          <w:rStyle w:val="eop"/>
          <w:rFonts w:ascii="Book Antiqua" w:eastAsiaTheme="majorEastAsia" w:hAnsi="Book Antiqua" w:cs="Segoe UI"/>
          <w:color w:val="000000"/>
        </w:rPr>
        <w:t> </w:t>
      </w:r>
    </w:p>
    <w:p w14:paraId="13975581" w14:textId="77777777" w:rsidR="00786142" w:rsidRPr="00195BBB" w:rsidRDefault="00786142" w:rsidP="005B130E">
      <w:pPr>
        <w:pStyle w:val="paragraph"/>
        <w:spacing w:before="0" w:beforeAutospacing="0" w:after="0" w:afterAutospacing="0"/>
        <w:jc w:val="both"/>
        <w:textAlignment w:val="baseline"/>
        <w:rPr>
          <w:rFonts w:ascii="Segoe UI" w:hAnsi="Segoe UI" w:cs="Segoe UI"/>
          <w:sz w:val="18"/>
          <w:szCs w:val="18"/>
          <w:highlight w:val="yellow"/>
        </w:rPr>
      </w:pPr>
    </w:p>
    <w:p w14:paraId="2CF4D7AA" w14:textId="1049CEEA" w:rsidR="005B130E" w:rsidRPr="00EF1CFA" w:rsidRDefault="005B130E" w:rsidP="00155AE5">
      <w:pPr>
        <w:pStyle w:val="paragraph"/>
        <w:numPr>
          <w:ilvl w:val="0"/>
          <w:numId w:val="9"/>
        </w:numPr>
        <w:tabs>
          <w:tab w:val="left" w:pos="993"/>
        </w:tabs>
        <w:spacing w:before="0" w:beforeAutospacing="0" w:after="0" w:afterAutospacing="0"/>
        <w:ind w:left="567" w:right="333" w:firstLine="0"/>
        <w:jc w:val="both"/>
        <w:textAlignment w:val="baseline"/>
        <w:rPr>
          <w:rFonts w:ascii="Book Antiqua" w:hAnsi="Book Antiqua" w:cs="Segoe UI"/>
        </w:rPr>
      </w:pPr>
      <w:r w:rsidRPr="00EF1CFA">
        <w:rPr>
          <w:rStyle w:val="normaltextrun"/>
          <w:rFonts w:ascii="Book Antiqua" w:eastAsiaTheme="majorEastAsia" w:hAnsi="Book Antiqua" w:cs="Segoe UI"/>
          <w:color w:val="000000"/>
        </w:rPr>
        <w:t>Permisos con goce de salario que no son requeridos para su continuidad en el tercer trimestre 202</w:t>
      </w:r>
      <w:r w:rsidR="004D27FD" w:rsidRPr="00EF1CFA">
        <w:rPr>
          <w:rStyle w:val="normaltextrun"/>
          <w:rFonts w:ascii="Book Antiqua" w:eastAsiaTheme="majorEastAsia" w:hAnsi="Book Antiqua" w:cs="Segoe UI"/>
          <w:color w:val="000000"/>
        </w:rPr>
        <w:t>3</w:t>
      </w:r>
      <w:r w:rsidR="00BC5F36" w:rsidRPr="00EF1CFA">
        <w:rPr>
          <w:rStyle w:val="normaltextrun"/>
          <w:rFonts w:ascii="Book Antiqua" w:eastAsiaTheme="majorEastAsia" w:hAnsi="Book Antiqua" w:cs="Segoe UI"/>
          <w:color w:val="000000"/>
        </w:rPr>
        <w:t>, según el punto 4.2.</w:t>
      </w:r>
    </w:p>
    <w:p w14:paraId="73066CE5" w14:textId="334BE105" w:rsidR="00BC5F36" w:rsidRPr="00EF1CFA" w:rsidRDefault="005B130E" w:rsidP="00155AE5">
      <w:pPr>
        <w:pStyle w:val="paragraph"/>
        <w:numPr>
          <w:ilvl w:val="0"/>
          <w:numId w:val="10"/>
        </w:numPr>
        <w:tabs>
          <w:tab w:val="left" w:pos="993"/>
        </w:tabs>
        <w:spacing w:before="0" w:beforeAutospacing="0" w:after="0" w:afterAutospacing="0"/>
        <w:ind w:left="567" w:right="333" w:firstLine="0"/>
        <w:jc w:val="both"/>
        <w:textAlignment w:val="baseline"/>
        <w:rPr>
          <w:rStyle w:val="normaltextrun"/>
          <w:rFonts w:ascii="Book Antiqua" w:hAnsi="Book Antiqua" w:cs="Segoe UI"/>
        </w:rPr>
      </w:pPr>
      <w:r w:rsidRPr="00EF1CFA">
        <w:rPr>
          <w:rStyle w:val="normaltextrun"/>
          <w:rFonts w:ascii="Book Antiqua" w:eastAsiaTheme="majorEastAsia" w:hAnsi="Book Antiqua" w:cs="Segoe UI"/>
          <w:color w:val="000000"/>
        </w:rPr>
        <w:t xml:space="preserve">Nuevas solicitudes detalladas en </w:t>
      </w:r>
      <w:r w:rsidR="00BC5F36" w:rsidRPr="00EF1CFA">
        <w:rPr>
          <w:rStyle w:val="normaltextrun"/>
          <w:rFonts w:ascii="Book Antiqua" w:eastAsiaTheme="majorEastAsia" w:hAnsi="Book Antiqua" w:cs="Segoe UI"/>
          <w:color w:val="000000"/>
        </w:rPr>
        <w:t>el punto 4.3.</w:t>
      </w:r>
    </w:p>
    <w:p w14:paraId="207F1393" w14:textId="1456B45C" w:rsidR="005B130E" w:rsidRPr="00EF1CFA" w:rsidRDefault="005B130E" w:rsidP="00155AE5">
      <w:pPr>
        <w:pStyle w:val="paragraph"/>
        <w:numPr>
          <w:ilvl w:val="0"/>
          <w:numId w:val="10"/>
        </w:numPr>
        <w:tabs>
          <w:tab w:val="left" w:pos="993"/>
        </w:tabs>
        <w:spacing w:before="0" w:beforeAutospacing="0" w:after="0" w:afterAutospacing="0"/>
        <w:ind w:left="567" w:right="333" w:firstLine="0"/>
        <w:jc w:val="both"/>
        <w:textAlignment w:val="baseline"/>
        <w:rPr>
          <w:rFonts w:ascii="Book Antiqua" w:hAnsi="Book Antiqua" w:cs="Segoe UI"/>
        </w:rPr>
      </w:pPr>
      <w:r w:rsidRPr="00EF1CFA">
        <w:rPr>
          <w:rStyle w:val="normaltextrun"/>
          <w:rFonts w:ascii="Book Antiqua" w:eastAsiaTheme="majorEastAsia" w:hAnsi="Book Antiqua" w:cs="Segoe UI"/>
          <w:color w:val="000000"/>
        </w:rPr>
        <w:t xml:space="preserve">Detalle del total de permisos con goce de salario requeridos para el tercer trimestre </w:t>
      </w:r>
      <w:r w:rsidR="001D3038" w:rsidRPr="00EF1CFA">
        <w:rPr>
          <w:rStyle w:val="normaltextrun"/>
          <w:rFonts w:ascii="Book Antiqua" w:eastAsiaTheme="majorEastAsia" w:hAnsi="Book Antiqua" w:cs="Segoe UI"/>
          <w:color w:val="000000"/>
        </w:rPr>
        <w:t>202</w:t>
      </w:r>
      <w:r w:rsidR="00EF1CFA" w:rsidRPr="00EF1CFA">
        <w:rPr>
          <w:rStyle w:val="normaltextrun"/>
          <w:rFonts w:ascii="Book Antiqua" w:eastAsiaTheme="majorEastAsia" w:hAnsi="Book Antiqua" w:cs="Segoe UI"/>
          <w:color w:val="000000"/>
        </w:rPr>
        <w:t xml:space="preserve">3 </w:t>
      </w:r>
      <w:r w:rsidRPr="00EF1CFA">
        <w:rPr>
          <w:rStyle w:val="normaltextrun"/>
          <w:rFonts w:ascii="Book Antiqua" w:eastAsiaTheme="majorEastAsia" w:hAnsi="Book Antiqua" w:cs="Segoe UI"/>
          <w:color w:val="000000"/>
        </w:rPr>
        <w:t>(</w:t>
      </w:r>
      <w:r w:rsidR="00BC5F36" w:rsidRPr="00EF1CFA">
        <w:rPr>
          <w:rStyle w:val="normaltextrun"/>
          <w:rFonts w:ascii="Book Antiqua" w:eastAsiaTheme="majorEastAsia" w:hAnsi="Book Antiqua" w:cs="Segoe UI"/>
          <w:color w:val="000000"/>
        </w:rPr>
        <w:t>punto 4.6</w:t>
      </w:r>
      <w:r w:rsidRPr="00EF1CFA">
        <w:rPr>
          <w:rStyle w:val="normaltextrun"/>
          <w:rFonts w:ascii="Book Antiqua" w:eastAsiaTheme="majorEastAsia" w:hAnsi="Book Antiqua" w:cs="Segoe UI"/>
          <w:color w:val="000000"/>
        </w:rPr>
        <w:t>).</w:t>
      </w:r>
      <w:r w:rsidRPr="00EF1CFA">
        <w:rPr>
          <w:rStyle w:val="eop"/>
          <w:rFonts w:ascii="Book Antiqua" w:eastAsiaTheme="majorEastAsia" w:hAnsi="Book Antiqua" w:cs="Segoe UI"/>
          <w:color w:val="000000"/>
        </w:rPr>
        <w:t> </w:t>
      </w:r>
    </w:p>
    <w:p w14:paraId="2C248716" w14:textId="77777777" w:rsidR="00EF1CFA" w:rsidRDefault="00EF1CFA" w:rsidP="005B130E">
      <w:pPr>
        <w:pStyle w:val="paragraph"/>
        <w:spacing w:before="0" w:beforeAutospacing="0" w:after="0" w:afterAutospacing="0"/>
        <w:jc w:val="both"/>
        <w:textAlignment w:val="baseline"/>
        <w:rPr>
          <w:rStyle w:val="eop"/>
          <w:rFonts w:ascii="Book Antiqua" w:eastAsiaTheme="majorEastAsia" w:hAnsi="Book Antiqua" w:cs="Segoe UI"/>
          <w:highlight w:val="yellow"/>
        </w:rPr>
      </w:pPr>
    </w:p>
    <w:p w14:paraId="239BFF3A" w14:textId="5B887D80" w:rsidR="005B130E" w:rsidRDefault="00BC5F36" w:rsidP="005B130E">
      <w:pPr>
        <w:pStyle w:val="paragraph"/>
        <w:spacing w:before="0" w:beforeAutospacing="0" w:after="0" w:afterAutospacing="0"/>
        <w:jc w:val="both"/>
        <w:textAlignment w:val="baseline"/>
        <w:rPr>
          <w:rFonts w:ascii="Segoe UI" w:hAnsi="Segoe UI" w:cs="Segoe UI"/>
          <w:sz w:val="18"/>
          <w:szCs w:val="18"/>
        </w:rPr>
      </w:pPr>
      <w:r w:rsidRPr="00EF1CFA">
        <w:rPr>
          <w:rStyle w:val="normaltextrun"/>
          <w:rFonts w:ascii="Book Antiqua" w:eastAsiaTheme="majorEastAsia" w:hAnsi="Book Antiqua" w:cs="Segoe UI"/>
          <w:color w:val="000000"/>
        </w:rPr>
        <w:t xml:space="preserve">En </w:t>
      </w:r>
      <w:r w:rsidR="005B130E" w:rsidRPr="00EF1CFA">
        <w:rPr>
          <w:rStyle w:val="normaltextrun"/>
          <w:rFonts w:ascii="Book Antiqua" w:eastAsiaTheme="majorEastAsia" w:hAnsi="Book Antiqua" w:cs="Segoe UI"/>
          <w:color w:val="000000"/>
        </w:rPr>
        <w:t>la siguiente tabla se incluyen las respectivas certificaciones de contenido presupuestario considerando las variaciones entre los plazos de cada prórroga:</w:t>
      </w:r>
      <w:r w:rsidR="005B130E">
        <w:rPr>
          <w:rStyle w:val="normaltextrun"/>
          <w:rFonts w:ascii="Book Antiqua" w:eastAsiaTheme="majorEastAsia" w:hAnsi="Book Antiqua" w:cs="Segoe UI"/>
          <w:color w:val="000000"/>
        </w:rPr>
        <w:t> </w:t>
      </w:r>
      <w:r w:rsidR="005B130E">
        <w:rPr>
          <w:rStyle w:val="eop"/>
          <w:rFonts w:ascii="Book Antiqua" w:eastAsiaTheme="majorEastAsia" w:hAnsi="Book Antiqua" w:cs="Segoe UI"/>
          <w:color w:val="000000"/>
        </w:rPr>
        <w:t> </w:t>
      </w:r>
    </w:p>
    <w:p w14:paraId="02B839D2" w14:textId="77777777" w:rsidR="00F2616F" w:rsidRDefault="00F2616F" w:rsidP="00A00E2F">
      <w:pPr>
        <w:rPr>
          <w:lang w:eastAsia="ko-KR"/>
        </w:rPr>
      </w:pPr>
    </w:p>
    <w:p w14:paraId="0DA2FF59" w14:textId="5CD07111" w:rsidR="009A14B5" w:rsidRPr="009A14B5" w:rsidRDefault="00EF1CFA" w:rsidP="00BE773E">
      <w:pPr>
        <w:spacing w:after="0" w:line="240" w:lineRule="auto"/>
        <w:jc w:val="center"/>
        <w:textAlignment w:val="baseline"/>
        <w:rPr>
          <w:rFonts w:ascii="Segoe UI" w:eastAsia="Times New Roman" w:hAnsi="Segoe UI" w:cs="Segoe UI"/>
          <w:sz w:val="18"/>
          <w:szCs w:val="18"/>
          <w:lang w:eastAsia="es-CR"/>
        </w:rPr>
      </w:pPr>
      <w:r w:rsidRPr="00EF1CFA">
        <w:rPr>
          <w:rFonts w:ascii="Book Antiqua" w:hAnsi="Book Antiqua" w:cs="&amp;quot"/>
          <w:b/>
          <w:sz w:val="24"/>
          <w:szCs w:val="24"/>
        </w:rPr>
        <w:t xml:space="preserve"> </w:t>
      </w:r>
      <w:r w:rsidR="00413346" w:rsidRPr="00413346">
        <w:rPr>
          <w:rFonts w:ascii="Book Antiqua" w:hAnsi="Book Antiqua" w:cs="&amp;quot"/>
          <w:b/>
          <w:sz w:val="24"/>
          <w:szCs w:val="24"/>
        </w:rPr>
        <w:t xml:space="preserve">Tabla </w:t>
      </w:r>
      <w:r w:rsidR="00413346" w:rsidRPr="00413346">
        <w:rPr>
          <w:rFonts w:ascii="Book Antiqua" w:hAnsi="Book Antiqua" w:cs="&amp;quot"/>
          <w:b/>
          <w:i/>
          <w:iCs/>
          <w:sz w:val="24"/>
          <w:szCs w:val="24"/>
        </w:rPr>
        <w:fldChar w:fldCharType="begin"/>
      </w:r>
      <w:r w:rsidR="00413346" w:rsidRPr="00413346">
        <w:rPr>
          <w:rFonts w:ascii="Book Antiqua" w:hAnsi="Book Antiqua" w:cs="&amp;quot"/>
          <w:b/>
          <w:sz w:val="24"/>
          <w:szCs w:val="24"/>
        </w:rPr>
        <w:instrText xml:space="preserve"> SEQ Tabla \* ARABIC </w:instrText>
      </w:r>
      <w:r w:rsidR="00413346" w:rsidRPr="00413346">
        <w:rPr>
          <w:rFonts w:ascii="Book Antiqua" w:hAnsi="Book Antiqua" w:cs="&amp;quot"/>
          <w:b/>
          <w:i/>
          <w:iCs/>
          <w:sz w:val="24"/>
          <w:szCs w:val="24"/>
        </w:rPr>
        <w:fldChar w:fldCharType="separate"/>
      </w:r>
      <w:r w:rsidR="00BE773E">
        <w:rPr>
          <w:rFonts w:ascii="Book Antiqua" w:hAnsi="Book Antiqua" w:cs="&amp;quot"/>
          <w:b/>
          <w:noProof/>
          <w:sz w:val="24"/>
          <w:szCs w:val="24"/>
        </w:rPr>
        <w:t>39</w:t>
      </w:r>
      <w:r w:rsidR="00413346" w:rsidRPr="00413346">
        <w:rPr>
          <w:rFonts w:ascii="Book Antiqua" w:hAnsi="Book Antiqua" w:cs="&amp;quot"/>
          <w:b/>
          <w:i/>
          <w:iCs/>
          <w:sz w:val="24"/>
          <w:szCs w:val="24"/>
        </w:rPr>
        <w:fldChar w:fldCharType="end"/>
      </w:r>
      <w:r w:rsidR="00413346" w:rsidRPr="00413346">
        <w:rPr>
          <w:rFonts w:ascii="Book Antiqua" w:hAnsi="Book Antiqua" w:cs="&amp;quot"/>
          <w:b/>
          <w:sz w:val="24"/>
          <w:szCs w:val="24"/>
        </w:rPr>
        <w:t xml:space="preserve">. </w:t>
      </w:r>
      <w:r w:rsidR="009A14B5" w:rsidRPr="00EF1CFA">
        <w:rPr>
          <w:rFonts w:ascii="Book Antiqua" w:eastAsia="Times New Roman" w:hAnsi="Book Antiqua" w:cs="Segoe UI"/>
          <w:b/>
          <w:bCs/>
          <w:sz w:val="24"/>
          <w:szCs w:val="24"/>
          <w:lang w:eastAsia="es-CR"/>
        </w:rPr>
        <w:t xml:space="preserve">Certificado de contenido presupuestario para los permisos con goce de salario que continúan </w:t>
      </w:r>
      <w:r w:rsidR="000C3C6B" w:rsidRPr="00EF1CFA">
        <w:rPr>
          <w:rFonts w:ascii="Book Antiqua" w:eastAsia="Times New Roman" w:hAnsi="Book Antiqua" w:cs="Segoe UI"/>
          <w:b/>
          <w:bCs/>
          <w:sz w:val="24"/>
          <w:szCs w:val="24"/>
          <w:lang w:eastAsia="es-CR"/>
        </w:rPr>
        <w:t xml:space="preserve">y nuevos </w:t>
      </w:r>
      <w:r w:rsidR="009A14B5" w:rsidRPr="00EF1CFA">
        <w:rPr>
          <w:rFonts w:ascii="Book Antiqua" w:eastAsia="Times New Roman" w:hAnsi="Book Antiqua" w:cs="Segoe UI"/>
          <w:b/>
          <w:bCs/>
          <w:sz w:val="24"/>
          <w:szCs w:val="24"/>
          <w:lang w:eastAsia="es-CR"/>
        </w:rPr>
        <w:t xml:space="preserve">para el tercer trimestre </w:t>
      </w:r>
      <w:r w:rsidR="006B5FE1" w:rsidRPr="00EF1CFA">
        <w:rPr>
          <w:rFonts w:ascii="Book Antiqua" w:eastAsia="Times New Roman" w:hAnsi="Book Antiqua" w:cs="Segoe UI"/>
          <w:b/>
          <w:bCs/>
          <w:sz w:val="24"/>
          <w:szCs w:val="24"/>
          <w:lang w:eastAsia="es-CR"/>
        </w:rPr>
        <w:t>2023</w:t>
      </w:r>
    </w:p>
    <w:tbl>
      <w:tblPr>
        <w:tblW w:w="10167" w:type="dxa"/>
        <w:tblCellMar>
          <w:top w:w="15" w:type="dxa"/>
          <w:left w:w="70" w:type="dxa"/>
          <w:bottom w:w="15" w:type="dxa"/>
          <w:right w:w="70" w:type="dxa"/>
        </w:tblCellMar>
        <w:tblLook w:val="04A0" w:firstRow="1" w:lastRow="0" w:firstColumn="1" w:lastColumn="0" w:noHBand="0" w:noVBand="1"/>
      </w:tblPr>
      <w:tblGrid>
        <w:gridCol w:w="1236"/>
        <w:gridCol w:w="988"/>
        <w:gridCol w:w="649"/>
        <w:gridCol w:w="649"/>
        <w:gridCol w:w="533"/>
        <w:gridCol w:w="533"/>
        <w:gridCol w:w="533"/>
        <w:gridCol w:w="674"/>
        <w:gridCol w:w="674"/>
        <w:gridCol w:w="1944"/>
        <w:gridCol w:w="1754"/>
      </w:tblGrid>
      <w:tr w:rsidR="002A28DE" w:rsidRPr="00571AEB" w14:paraId="0A469E8A" w14:textId="77777777" w:rsidTr="00F400D6">
        <w:trPr>
          <w:trHeight w:val="20"/>
        </w:trPr>
        <w:tc>
          <w:tcPr>
            <w:tcW w:w="1236" w:type="dxa"/>
            <w:vMerge w:val="restart"/>
            <w:tcBorders>
              <w:top w:val="single" w:sz="4" w:space="0" w:color="000000"/>
              <w:left w:val="single" w:sz="4" w:space="0" w:color="000000"/>
              <w:bottom w:val="single" w:sz="4" w:space="0" w:color="000000"/>
              <w:right w:val="single" w:sz="4" w:space="0" w:color="000000"/>
            </w:tcBorders>
            <w:shd w:val="clear" w:color="000000" w:fill="44546A"/>
            <w:noWrap/>
            <w:vAlign w:val="center"/>
            <w:hideMark/>
          </w:tcPr>
          <w:p w14:paraId="41B71660" w14:textId="77777777" w:rsidR="002A28DE" w:rsidRPr="00257371" w:rsidRDefault="002A28DE" w:rsidP="00571AEB">
            <w:pPr>
              <w:spacing w:after="0" w:line="240" w:lineRule="auto"/>
              <w:jc w:val="center"/>
              <w:rPr>
                <w:rFonts w:ascii="Book Antiqua" w:eastAsia="Times New Roman" w:hAnsi="Book Antiqua" w:cs="Calibri"/>
                <w:b/>
                <w:bCs/>
                <w:color w:val="FFFFFF"/>
                <w:sz w:val="16"/>
                <w:szCs w:val="16"/>
                <w:lang w:eastAsia="es-CR"/>
              </w:rPr>
            </w:pPr>
            <w:r w:rsidRPr="00257371">
              <w:rPr>
                <w:rFonts w:ascii="Book Antiqua" w:eastAsia="Times New Roman" w:hAnsi="Book Antiqua" w:cs="Calibri"/>
                <w:b/>
                <w:bCs/>
                <w:color w:val="FFFFFF"/>
                <w:sz w:val="16"/>
                <w:szCs w:val="16"/>
                <w:lang w:eastAsia="es-CR"/>
              </w:rPr>
              <w:t xml:space="preserve">Certificación de Contenido Presupuestario </w:t>
            </w:r>
          </w:p>
        </w:tc>
        <w:tc>
          <w:tcPr>
            <w:tcW w:w="988" w:type="dxa"/>
            <w:vMerge w:val="restart"/>
            <w:tcBorders>
              <w:top w:val="single" w:sz="4" w:space="0" w:color="000000"/>
              <w:left w:val="single" w:sz="4" w:space="0" w:color="000000"/>
              <w:bottom w:val="single" w:sz="4" w:space="0" w:color="000000"/>
              <w:right w:val="single" w:sz="4" w:space="0" w:color="000000"/>
            </w:tcBorders>
            <w:shd w:val="clear" w:color="000000" w:fill="44546A"/>
            <w:vAlign w:val="center"/>
            <w:hideMark/>
          </w:tcPr>
          <w:p w14:paraId="27E24355" w14:textId="77777777" w:rsidR="002A28DE" w:rsidRPr="00257371" w:rsidRDefault="002A28DE" w:rsidP="00571AEB">
            <w:pPr>
              <w:spacing w:after="0" w:line="240" w:lineRule="auto"/>
              <w:jc w:val="center"/>
              <w:rPr>
                <w:rFonts w:ascii="Book Antiqua" w:eastAsia="Times New Roman" w:hAnsi="Book Antiqua" w:cs="Calibri"/>
                <w:b/>
                <w:bCs/>
                <w:color w:val="FFFFFF"/>
                <w:sz w:val="16"/>
                <w:szCs w:val="16"/>
                <w:lang w:eastAsia="es-CR"/>
              </w:rPr>
            </w:pPr>
            <w:r w:rsidRPr="00257371">
              <w:rPr>
                <w:rFonts w:ascii="Book Antiqua" w:eastAsia="Times New Roman" w:hAnsi="Book Antiqua" w:cs="Calibri"/>
                <w:b/>
                <w:bCs/>
                <w:color w:val="FFFFFF"/>
                <w:sz w:val="16"/>
                <w:szCs w:val="16"/>
                <w:lang w:eastAsia="es-CR"/>
              </w:rPr>
              <w:t>Plazo de la prórroga</w:t>
            </w:r>
            <w:r w:rsidRPr="00257371">
              <w:rPr>
                <w:rFonts w:ascii="Book Antiqua" w:eastAsia="Times New Roman" w:hAnsi="Book Antiqua" w:cs="Calibri"/>
                <w:color w:val="FFFFFF"/>
                <w:sz w:val="16"/>
                <w:szCs w:val="16"/>
                <w:lang w:eastAsia="es-CR"/>
              </w:rPr>
              <w:t> </w:t>
            </w:r>
          </w:p>
        </w:tc>
        <w:tc>
          <w:tcPr>
            <w:tcW w:w="4245" w:type="dxa"/>
            <w:gridSpan w:val="7"/>
            <w:tcBorders>
              <w:top w:val="single" w:sz="4" w:space="0" w:color="000000"/>
              <w:left w:val="single" w:sz="4" w:space="0" w:color="000000"/>
              <w:bottom w:val="single" w:sz="4" w:space="0" w:color="000000"/>
              <w:right w:val="single" w:sz="4" w:space="0" w:color="000000"/>
            </w:tcBorders>
            <w:shd w:val="clear" w:color="000000" w:fill="44546A"/>
          </w:tcPr>
          <w:p w14:paraId="2E3DE148" w14:textId="24BFC966" w:rsidR="002A28DE" w:rsidRPr="00257371" w:rsidRDefault="002A28DE" w:rsidP="00571AEB">
            <w:pPr>
              <w:spacing w:after="0" w:line="240" w:lineRule="auto"/>
              <w:jc w:val="center"/>
              <w:rPr>
                <w:rFonts w:ascii="Book Antiqua" w:eastAsia="Times New Roman" w:hAnsi="Book Antiqua" w:cs="Calibri"/>
                <w:b/>
                <w:bCs/>
                <w:color w:val="FFFFFF"/>
                <w:sz w:val="16"/>
                <w:szCs w:val="16"/>
                <w:lang w:eastAsia="es-CR"/>
              </w:rPr>
            </w:pPr>
            <w:r w:rsidRPr="00257371">
              <w:rPr>
                <w:rFonts w:ascii="Book Antiqua" w:eastAsia="Times New Roman" w:hAnsi="Book Antiqua" w:cs="Calibri"/>
                <w:b/>
                <w:bCs/>
                <w:color w:val="FFFFFF"/>
                <w:sz w:val="16"/>
                <w:szCs w:val="16"/>
                <w:lang w:eastAsia="es-CR"/>
              </w:rPr>
              <w:t>Cantidad</w:t>
            </w:r>
          </w:p>
        </w:tc>
        <w:tc>
          <w:tcPr>
            <w:tcW w:w="1944" w:type="dxa"/>
            <w:vMerge w:val="restart"/>
            <w:tcBorders>
              <w:top w:val="single" w:sz="4" w:space="0" w:color="000000"/>
              <w:left w:val="single" w:sz="4" w:space="0" w:color="000000"/>
              <w:right w:val="single" w:sz="4" w:space="0" w:color="000000"/>
            </w:tcBorders>
            <w:shd w:val="clear" w:color="000000" w:fill="44546A"/>
            <w:vAlign w:val="center"/>
            <w:hideMark/>
          </w:tcPr>
          <w:p w14:paraId="16F852FD" w14:textId="77777777" w:rsidR="002A28DE" w:rsidRPr="00257371" w:rsidRDefault="002A28DE" w:rsidP="00571AEB">
            <w:pPr>
              <w:spacing w:after="0" w:line="240" w:lineRule="auto"/>
              <w:jc w:val="center"/>
              <w:rPr>
                <w:rFonts w:ascii="Book Antiqua" w:eastAsia="Times New Roman" w:hAnsi="Book Antiqua" w:cs="Calibri"/>
                <w:b/>
                <w:bCs/>
                <w:color w:val="FFFFFF"/>
                <w:sz w:val="16"/>
                <w:szCs w:val="16"/>
                <w:lang w:eastAsia="es-CR"/>
              </w:rPr>
            </w:pPr>
            <w:r w:rsidRPr="00257371">
              <w:rPr>
                <w:rFonts w:ascii="Book Antiqua" w:eastAsia="Times New Roman" w:hAnsi="Book Antiqua" w:cs="Calibri"/>
                <w:b/>
                <w:bCs/>
                <w:color w:val="FFFFFF"/>
                <w:sz w:val="16"/>
                <w:szCs w:val="16"/>
                <w:lang w:eastAsia="es-CR"/>
              </w:rPr>
              <w:t>Descripción</w:t>
            </w:r>
          </w:p>
        </w:tc>
        <w:tc>
          <w:tcPr>
            <w:tcW w:w="1754" w:type="dxa"/>
            <w:vMerge w:val="restart"/>
            <w:tcBorders>
              <w:top w:val="single" w:sz="4" w:space="0" w:color="000000"/>
              <w:left w:val="single" w:sz="4" w:space="0" w:color="000000"/>
              <w:right w:val="single" w:sz="4" w:space="0" w:color="000000"/>
            </w:tcBorders>
            <w:shd w:val="clear" w:color="000000" w:fill="44546A"/>
            <w:vAlign w:val="center"/>
            <w:hideMark/>
          </w:tcPr>
          <w:p w14:paraId="4F94607E" w14:textId="77777777" w:rsidR="002A28DE" w:rsidRPr="00257371" w:rsidRDefault="002A28DE" w:rsidP="00571AEB">
            <w:pPr>
              <w:spacing w:after="0" w:line="240" w:lineRule="auto"/>
              <w:jc w:val="center"/>
              <w:rPr>
                <w:rFonts w:ascii="Book Antiqua" w:eastAsia="Times New Roman" w:hAnsi="Book Antiqua" w:cs="Calibri"/>
                <w:b/>
                <w:bCs/>
                <w:color w:val="FFFFFF"/>
                <w:sz w:val="16"/>
                <w:szCs w:val="16"/>
                <w:lang w:eastAsia="es-CR"/>
              </w:rPr>
            </w:pPr>
            <w:r w:rsidRPr="00257371">
              <w:rPr>
                <w:rFonts w:ascii="Book Antiqua" w:eastAsia="Times New Roman" w:hAnsi="Book Antiqua" w:cs="Calibri"/>
                <w:b/>
                <w:bCs/>
                <w:color w:val="FFFFFF"/>
                <w:sz w:val="16"/>
                <w:szCs w:val="16"/>
                <w:lang w:eastAsia="es-CR"/>
              </w:rPr>
              <w:t>Archivo</w:t>
            </w:r>
          </w:p>
        </w:tc>
      </w:tr>
      <w:tr w:rsidR="002A28DE" w:rsidRPr="00571AEB" w14:paraId="286C27FE" w14:textId="77777777" w:rsidTr="002A28DE">
        <w:trPr>
          <w:trHeight w:val="20"/>
        </w:trPr>
        <w:tc>
          <w:tcPr>
            <w:tcW w:w="1236" w:type="dxa"/>
            <w:vMerge/>
            <w:tcBorders>
              <w:top w:val="single" w:sz="4" w:space="0" w:color="000000"/>
              <w:left w:val="single" w:sz="4" w:space="0" w:color="000000"/>
              <w:bottom w:val="single" w:sz="4" w:space="0" w:color="auto"/>
              <w:right w:val="single" w:sz="4" w:space="0" w:color="000000"/>
            </w:tcBorders>
            <w:vAlign w:val="center"/>
            <w:hideMark/>
          </w:tcPr>
          <w:p w14:paraId="523CC2AA" w14:textId="77777777" w:rsidR="002A28DE" w:rsidRPr="00257371" w:rsidRDefault="002A28DE" w:rsidP="00571AEB">
            <w:pPr>
              <w:spacing w:after="0" w:line="240" w:lineRule="auto"/>
              <w:rPr>
                <w:rFonts w:ascii="Book Antiqua" w:eastAsia="Times New Roman" w:hAnsi="Book Antiqua" w:cs="Calibri"/>
                <w:b/>
                <w:bCs/>
                <w:color w:val="FFFFFF"/>
                <w:sz w:val="16"/>
                <w:szCs w:val="16"/>
                <w:lang w:eastAsia="es-CR"/>
              </w:rPr>
            </w:pPr>
          </w:p>
        </w:tc>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0004C5E2" w14:textId="77777777" w:rsidR="002A28DE" w:rsidRPr="00257371" w:rsidRDefault="002A28DE" w:rsidP="00571AEB">
            <w:pPr>
              <w:spacing w:after="0" w:line="240" w:lineRule="auto"/>
              <w:rPr>
                <w:rFonts w:ascii="Book Antiqua" w:eastAsia="Times New Roman" w:hAnsi="Book Antiqua" w:cs="Calibri"/>
                <w:b/>
                <w:bCs/>
                <w:color w:val="FFFFFF"/>
                <w:sz w:val="16"/>
                <w:szCs w:val="16"/>
                <w:lang w:eastAsia="es-CR"/>
              </w:rPr>
            </w:pPr>
          </w:p>
        </w:tc>
        <w:tc>
          <w:tcPr>
            <w:tcW w:w="649" w:type="dxa"/>
            <w:tcBorders>
              <w:top w:val="single" w:sz="4" w:space="0" w:color="000000"/>
              <w:left w:val="single" w:sz="4" w:space="0" w:color="000000"/>
              <w:bottom w:val="single" w:sz="4" w:space="0" w:color="auto"/>
              <w:right w:val="single" w:sz="4" w:space="0" w:color="000000"/>
            </w:tcBorders>
            <w:shd w:val="clear" w:color="000000" w:fill="D6DCE4"/>
            <w:vAlign w:val="center"/>
            <w:hideMark/>
          </w:tcPr>
          <w:p w14:paraId="52282593" w14:textId="11F367D3" w:rsidR="002A28DE" w:rsidRPr="00257371" w:rsidRDefault="002A28DE" w:rsidP="00571AEB">
            <w:pPr>
              <w:spacing w:after="0" w:line="240" w:lineRule="auto"/>
              <w:jc w:val="center"/>
              <w:rPr>
                <w:rFonts w:ascii="Book Antiqua" w:eastAsia="Times New Roman" w:hAnsi="Book Antiqua" w:cs="Calibri"/>
                <w:b/>
                <w:bCs/>
                <w:color w:val="000000"/>
                <w:sz w:val="16"/>
                <w:szCs w:val="16"/>
                <w:lang w:eastAsia="es-CR"/>
              </w:rPr>
            </w:pPr>
            <w:r w:rsidRPr="00257371">
              <w:rPr>
                <w:rFonts w:ascii="Book Antiqua" w:eastAsia="Times New Roman" w:hAnsi="Book Antiqua" w:cs="Calibri"/>
                <w:b/>
                <w:bCs/>
                <w:color w:val="000000"/>
                <w:sz w:val="16"/>
                <w:szCs w:val="16"/>
                <w:lang w:eastAsia="es-CR"/>
              </w:rPr>
              <w:t>92</w:t>
            </w:r>
            <w:r>
              <w:rPr>
                <w:rFonts w:ascii="Book Antiqua" w:eastAsia="Times New Roman" w:hAnsi="Book Antiqua" w:cs="Calibri"/>
                <w:b/>
                <w:bCs/>
                <w:color w:val="000000"/>
                <w:sz w:val="16"/>
                <w:szCs w:val="16"/>
                <w:lang w:eastAsia="es-CR"/>
              </w:rPr>
              <w:t>6</w:t>
            </w:r>
            <w:r w:rsidRPr="00257371">
              <w:rPr>
                <w:rFonts w:ascii="Book Antiqua" w:eastAsia="Times New Roman" w:hAnsi="Book Antiqua" w:cs="Calibri"/>
                <w:b/>
                <w:bCs/>
                <w:color w:val="000000"/>
                <w:sz w:val="16"/>
                <w:szCs w:val="16"/>
                <w:lang w:eastAsia="es-CR"/>
              </w:rPr>
              <w:t xml:space="preserve"> </w:t>
            </w:r>
          </w:p>
        </w:tc>
        <w:tc>
          <w:tcPr>
            <w:tcW w:w="649" w:type="dxa"/>
            <w:tcBorders>
              <w:top w:val="single" w:sz="4" w:space="0" w:color="000000"/>
              <w:left w:val="single" w:sz="4" w:space="0" w:color="000000"/>
              <w:bottom w:val="single" w:sz="4" w:space="0" w:color="auto"/>
              <w:right w:val="single" w:sz="4" w:space="0" w:color="000000"/>
            </w:tcBorders>
            <w:shd w:val="clear" w:color="000000" w:fill="D6DCE4"/>
            <w:vAlign w:val="center"/>
            <w:hideMark/>
          </w:tcPr>
          <w:p w14:paraId="69365443" w14:textId="69A108B1" w:rsidR="002A28DE" w:rsidRPr="00257371" w:rsidRDefault="002A28DE" w:rsidP="00571AEB">
            <w:pPr>
              <w:spacing w:after="0" w:line="240" w:lineRule="auto"/>
              <w:jc w:val="center"/>
              <w:rPr>
                <w:rFonts w:ascii="Book Antiqua" w:eastAsia="Times New Roman" w:hAnsi="Book Antiqua" w:cs="Calibri"/>
                <w:b/>
                <w:bCs/>
                <w:color w:val="000000"/>
                <w:sz w:val="16"/>
                <w:szCs w:val="16"/>
                <w:lang w:eastAsia="es-CR"/>
              </w:rPr>
            </w:pPr>
            <w:r w:rsidRPr="00257371">
              <w:rPr>
                <w:rFonts w:ascii="Book Antiqua" w:eastAsia="Times New Roman" w:hAnsi="Book Antiqua" w:cs="Calibri"/>
                <w:b/>
                <w:bCs/>
                <w:color w:val="000000"/>
                <w:sz w:val="16"/>
                <w:szCs w:val="16"/>
                <w:lang w:eastAsia="es-CR"/>
              </w:rPr>
              <w:t>9</w:t>
            </w:r>
            <w:r>
              <w:rPr>
                <w:rFonts w:ascii="Book Antiqua" w:eastAsia="Times New Roman" w:hAnsi="Book Antiqua" w:cs="Calibri"/>
                <w:b/>
                <w:bCs/>
                <w:color w:val="000000"/>
                <w:sz w:val="16"/>
                <w:szCs w:val="16"/>
                <w:lang w:eastAsia="es-CR"/>
              </w:rPr>
              <w:t>27</w:t>
            </w:r>
            <w:r w:rsidRPr="00257371">
              <w:rPr>
                <w:rFonts w:ascii="Book Antiqua" w:eastAsia="Times New Roman" w:hAnsi="Book Antiqua" w:cs="Calibri"/>
                <w:b/>
                <w:bCs/>
                <w:color w:val="000000"/>
                <w:sz w:val="16"/>
                <w:szCs w:val="16"/>
                <w:lang w:eastAsia="es-CR"/>
              </w:rPr>
              <w:t xml:space="preserve"> </w:t>
            </w:r>
          </w:p>
        </w:tc>
        <w:tc>
          <w:tcPr>
            <w:tcW w:w="533" w:type="dxa"/>
            <w:tcBorders>
              <w:top w:val="single" w:sz="4" w:space="0" w:color="000000"/>
              <w:left w:val="single" w:sz="4" w:space="0" w:color="000000"/>
              <w:bottom w:val="single" w:sz="4" w:space="0" w:color="auto"/>
              <w:right w:val="single" w:sz="4" w:space="0" w:color="000000"/>
            </w:tcBorders>
            <w:shd w:val="clear" w:color="000000" w:fill="D6DCE4"/>
            <w:vAlign w:val="center"/>
            <w:hideMark/>
          </w:tcPr>
          <w:p w14:paraId="644B9090" w14:textId="1B61B9F8" w:rsidR="002A28DE" w:rsidRPr="00257371" w:rsidRDefault="002A28DE" w:rsidP="00571AEB">
            <w:pPr>
              <w:spacing w:after="0" w:line="240" w:lineRule="auto"/>
              <w:jc w:val="center"/>
              <w:rPr>
                <w:rFonts w:ascii="Book Antiqua" w:eastAsia="Times New Roman" w:hAnsi="Book Antiqua" w:cs="Calibri"/>
                <w:b/>
                <w:bCs/>
                <w:color w:val="000000"/>
                <w:sz w:val="16"/>
                <w:szCs w:val="16"/>
                <w:lang w:eastAsia="es-CR"/>
              </w:rPr>
            </w:pPr>
            <w:r w:rsidRPr="00257371">
              <w:rPr>
                <w:rFonts w:ascii="Book Antiqua" w:eastAsia="Times New Roman" w:hAnsi="Book Antiqua" w:cs="Calibri"/>
                <w:b/>
                <w:bCs/>
                <w:color w:val="000000"/>
                <w:sz w:val="16"/>
                <w:szCs w:val="16"/>
                <w:lang w:eastAsia="es-CR"/>
              </w:rPr>
              <w:t>92</w:t>
            </w:r>
            <w:r>
              <w:rPr>
                <w:rFonts w:ascii="Book Antiqua" w:eastAsia="Times New Roman" w:hAnsi="Book Antiqua" w:cs="Calibri"/>
                <w:b/>
                <w:bCs/>
                <w:color w:val="000000"/>
                <w:sz w:val="16"/>
                <w:szCs w:val="16"/>
                <w:lang w:eastAsia="es-CR"/>
              </w:rPr>
              <w:t>8</w:t>
            </w:r>
            <w:r w:rsidRPr="00257371">
              <w:rPr>
                <w:rFonts w:ascii="Book Antiqua" w:eastAsia="Times New Roman" w:hAnsi="Book Antiqua" w:cs="Calibri"/>
                <w:b/>
                <w:bCs/>
                <w:color w:val="000000"/>
                <w:sz w:val="16"/>
                <w:szCs w:val="16"/>
                <w:lang w:eastAsia="es-CR"/>
              </w:rPr>
              <w:t xml:space="preserve"> </w:t>
            </w:r>
          </w:p>
        </w:tc>
        <w:tc>
          <w:tcPr>
            <w:tcW w:w="533" w:type="dxa"/>
            <w:tcBorders>
              <w:top w:val="single" w:sz="4" w:space="0" w:color="000000"/>
              <w:left w:val="single" w:sz="4" w:space="0" w:color="000000"/>
              <w:bottom w:val="single" w:sz="4" w:space="0" w:color="auto"/>
              <w:right w:val="single" w:sz="4" w:space="0" w:color="000000"/>
            </w:tcBorders>
            <w:shd w:val="clear" w:color="000000" w:fill="D6DCE4"/>
            <w:vAlign w:val="center"/>
            <w:hideMark/>
          </w:tcPr>
          <w:p w14:paraId="41F5D8AD" w14:textId="642E1C70" w:rsidR="002A28DE" w:rsidRPr="00257371" w:rsidRDefault="002A28DE" w:rsidP="00571AEB">
            <w:pPr>
              <w:spacing w:after="0" w:line="240" w:lineRule="auto"/>
              <w:jc w:val="center"/>
              <w:rPr>
                <w:rFonts w:ascii="Book Antiqua" w:eastAsia="Times New Roman" w:hAnsi="Book Antiqua" w:cs="Calibri"/>
                <w:b/>
                <w:bCs/>
                <w:color w:val="000000"/>
                <w:sz w:val="16"/>
                <w:szCs w:val="16"/>
                <w:lang w:eastAsia="es-CR"/>
              </w:rPr>
            </w:pPr>
            <w:r w:rsidRPr="00257371">
              <w:rPr>
                <w:rFonts w:ascii="Book Antiqua" w:eastAsia="Times New Roman" w:hAnsi="Book Antiqua" w:cs="Calibri"/>
                <w:b/>
                <w:bCs/>
                <w:color w:val="000000"/>
                <w:sz w:val="16"/>
                <w:szCs w:val="16"/>
                <w:lang w:eastAsia="es-CR"/>
              </w:rPr>
              <w:t xml:space="preserve">930 </w:t>
            </w:r>
          </w:p>
        </w:tc>
        <w:tc>
          <w:tcPr>
            <w:tcW w:w="533" w:type="dxa"/>
            <w:tcBorders>
              <w:top w:val="single" w:sz="4" w:space="0" w:color="000000"/>
              <w:left w:val="single" w:sz="4" w:space="0" w:color="000000"/>
              <w:bottom w:val="single" w:sz="4" w:space="0" w:color="auto"/>
              <w:right w:val="single" w:sz="4" w:space="0" w:color="000000"/>
            </w:tcBorders>
            <w:shd w:val="clear" w:color="000000" w:fill="D6DCE4"/>
            <w:vAlign w:val="center"/>
            <w:hideMark/>
          </w:tcPr>
          <w:p w14:paraId="0F864210" w14:textId="7F203283" w:rsidR="002A28DE" w:rsidRPr="00257371" w:rsidRDefault="002A28DE" w:rsidP="00571AEB">
            <w:pPr>
              <w:spacing w:after="0" w:line="240" w:lineRule="auto"/>
              <w:jc w:val="center"/>
              <w:rPr>
                <w:rFonts w:ascii="Book Antiqua" w:eastAsia="Times New Roman" w:hAnsi="Book Antiqua" w:cs="Calibri"/>
                <w:b/>
                <w:bCs/>
                <w:color w:val="000000"/>
                <w:sz w:val="16"/>
                <w:szCs w:val="16"/>
                <w:lang w:eastAsia="es-CR"/>
              </w:rPr>
            </w:pPr>
            <w:r>
              <w:rPr>
                <w:rFonts w:ascii="Book Antiqua" w:eastAsia="Times New Roman" w:hAnsi="Book Antiqua" w:cs="Calibri"/>
                <w:b/>
                <w:bCs/>
                <w:color w:val="000000"/>
                <w:sz w:val="16"/>
                <w:szCs w:val="16"/>
                <w:lang w:eastAsia="es-CR"/>
              </w:rPr>
              <w:t>950</w:t>
            </w:r>
            <w:r w:rsidRPr="00257371">
              <w:rPr>
                <w:rFonts w:ascii="Book Antiqua" w:eastAsia="Times New Roman" w:hAnsi="Book Antiqua" w:cs="Calibri"/>
                <w:b/>
                <w:bCs/>
                <w:color w:val="000000"/>
                <w:sz w:val="16"/>
                <w:szCs w:val="16"/>
                <w:lang w:eastAsia="es-CR"/>
              </w:rPr>
              <w:t xml:space="preserve">  </w:t>
            </w:r>
          </w:p>
        </w:tc>
        <w:tc>
          <w:tcPr>
            <w:tcW w:w="674" w:type="dxa"/>
            <w:tcBorders>
              <w:top w:val="single" w:sz="4" w:space="0" w:color="000000"/>
              <w:left w:val="single" w:sz="4" w:space="0" w:color="000000"/>
              <w:bottom w:val="single" w:sz="4" w:space="0" w:color="auto"/>
              <w:right w:val="single" w:sz="4" w:space="0" w:color="000000"/>
            </w:tcBorders>
            <w:shd w:val="clear" w:color="000000" w:fill="D6DCE4"/>
            <w:vAlign w:val="center"/>
          </w:tcPr>
          <w:p w14:paraId="6B013829" w14:textId="5635819F" w:rsidR="002A28DE" w:rsidRPr="00257371" w:rsidRDefault="002A28DE" w:rsidP="002A28DE">
            <w:pPr>
              <w:spacing w:after="0" w:line="240" w:lineRule="auto"/>
              <w:jc w:val="center"/>
              <w:rPr>
                <w:rFonts w:ascii="Book Antiqua" w:eastAsia="Times New Roman" w:hAnsi="Book Antiqua" w:cs="Calibri"/>
                <w:b/>
                <w:bCs/>
                <w:color w:val="000000"/>
                <w:sz w:val="16"/>
                <w:szCs w:val="16"/>
                <w:lang w:eastAsia="es-CR"/>
              </w:rPr>
            </w:pPr>
            <w:r>
              <w:rPr>
                <w:rFonts w:ascii="Book Antiqua" w:eastAsia="Times New Roman" w:hAnsi="Book Antiqua" w:cs="Calibri"/>
                <w:b/>
                <w:bCs/>
                <w:color w:val="000000"/>
                <w:sz w:val="16"/>
                <w:szCs w:val="16"/>
                <w:lang w:eastAsia="es-CR"/>
              </w:rPr>
              <w:t>951</w:t>
            </w:r>
          </w:p>
        </w:tc>
        <w:tc>
          <w:tcPr>
            <w:tcW w:w="674" w:type="dxa"/>
            <w:tcBorders>
              <w:top w:val="single" w:sz="4" w:space="0" w:color="000000"/>
              <w:left w:val="single" w:sz="4" w:space="0" w:color="000000"/>
              <w:bottom w:val="single" w:sz="4" w:space="0" w:color="auto"/>
              <w:right w:val="single" w:sz="4" w:space="0" w:color="000000"/>
            </w:tcBorders>
            <w:shd w:val="clear" w:color="000000" w:fill="D6DCE4"/>
            <w:vAlign w:val="center"/>
            <w:hideMark/>
          </w:tcPr>
          <w:p w14:paraId="2CA111CB" w14:textId="0163C174" w:rsidR="002A28DE" w:rsidRPr="00257371" w:rsidRDefault="002A28DE" w:rsidP="00571AEB">
            <w:pPr>
              <w:spacing w:after="0" w:line="240" w:lineRule="auto"/>
              <w:jc w:val="center"/>
              <w:rPr>
                <w:rFonts w:ascii="Book Antiqua" w:eastAsia="Times New Roman" w:hAnsi="Book Antiqua" w:cs="Calibri"/>
                <w:b/>
                <w:bCs/>
                <w:color w:val="000000"/>
                <w:sz w:val="16"/>
                <w:szCs w:val="16"/>
                <w:lang w:eastAsia="es-CR"/>
              </w:rPr>
            </w:pPr>
            <w:r w:rsidRPr="00257371">
              <w:rPr>
                <w:rFonts w:ascii="Book Antiqua" w:eastAsia="Times New Roman" w:hAnsi="Book Antiqua" w:cs="Calibri"/>
                <w:b/>
                <w:bCs/>
                <w:color w:val="000000"/>
                <w:sz w:val="16"/>
                <w:szCs w:val="16"/>
                <w:lang w:eastAsia="es-CR"/>
              </w:rPr>
              <w:t xml:space="preserve">Total </w:t>
            </w:r>
          </w:p>
        </w:tc>
        <w:tc>
          <w:tcPr>
            <w:tcW w:w="1944" w:type="dxa"/>
            <w:vMerge/>
            <w:tcBorders>
              <w:left w:val="single" w:sz="4" w:space="0" w:color="000000"/>
              <w:bottom w:val="single" w:sz="4" w:space="0" w:color="auto"/>
              <w:right w:val="single" w:sz="4" w:space="0" w:color="000000"/>
            </w:tcBorders>
            <w:vAlign w:val="center"/>
            <w:hideMark/>
          </w:tcPr>
          <w:p w14:paraId="3A345224" w14:textId="77777777" w:rsidR="002A28DE" w:rsidRPr="00257371" w:rsidRDefault="002A28DE" w:rsidP="00571AEB">
            <w:pPr>
              <w:spacing w:after="0" w:line="240" w:lineRule="auto"/>
              <w:rPr>
                <w:rFonts w:ascii="Book Antiqua" w:eastAsia="Times New Roman" w:hAnsi="Book Antiqua" w:cs="Calibri"/>
                <w:b/>
                <w:bCs/>
                <w:color w:val="FFFFFF"/>
                <w:sz w:val="16"/>
                <w:szCs w:val="16"/>
                <w:lang w:eastAsia="es-CR"/>
              </w:rPr>
            </w:pPr>
          </w:p>
        </w:tc>
        <w:tc>
          <w:tcPr>
            <w:tcW w:w="1754" w:type="dxa"/>
            <w:vMerge/>
            <w:tcBorders>
              <w:left w:val="single" w:sz="4" w:space="0" w:color="000000"/>
              <w:bottom w:val="single" w:sz="4" w:space="0" w:color="auto"/>
              <w:right w:val="single" w:sz="4" w:space="0" w:color="000000"/>
            </w:tcBorders>
            <w:vAlign w:val="center"/>
            <w:hideMark/>
          </w:tcPr>
          <w:p w14:paraId="04400E2B" w14:textId="77777777" w:rsidR="002A28DE" w:rsidRPr="00257371" w:rsidRDefault="002A28DE" w:rsidP="00571AEB">
            <w:pPr>
              <w:spacing w:after="0" w:line="240" w:lineRule="auto"/>
              <w:rPr>
                <w:rFonts w:ascii="Book Antiqua" w:eastAsia="Times New Roman" w:hAnsi="Book Antiqua" w:cs="Calibri"/>
                <w:b/>
                <w:bCs/>
                <w:color w:val="FFFFFF"/>
                <w:sz w:val="16"/>
                <w:szCs w:val="16"/>
                <w:lang w:eastAsia="es-CR"/>
              </w:rPr>
            </w:pPr>
          </w:p>
        </w:tc>
      </w:tr>
      <w:tr w:rsidR="002A28DE" w:rsidRPr="00571AEB" w14:paraId="2881C8EF" w14:textId="77777777" w:rsidTr="002A28DE">
        <w:trPr>
          <w:trHeight w:val="20"/>
        </w:trPr>
        <w:tc>
          <w:tcPr>
            <w:tcW w:w="12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44FAA2" w14:textId="77777777" w:rsidR="002A28DE" w:rsidRPr="002A28DE" w:rsidRDefault="002A28DE" w:rsidP="002A28DE">
            <w:pPr>
              <w:spacing w:after="0" w:line="240" w:lineRule="auto"/>
              <w:jc w:val="center"/>
              <w:rPr>
                <w:rFonts w:ascii="Book Antiqua" w:eastAsia="Times New Roman" w:hAnsi="Book Antiqua" w:cs="Calibri"/>
                <w:b/>
                <w:bCs/>
                <w:color w:val="000000"/>
                <w:sz w:val="16"/>
                <w:szCs w:val="16"/>
                <w:lang w:eastAsia="es-CR"/>
              </w:rPr>
            </w:pPr>
          </w:p>
          <w:p w14:paraId="1E29ECF8" w14:textId="49749E24" w:rsidR="002A28DE" w:rsidRDefault="002A28DE" w:rsidP="002A28DE">
            <w:pPr>
              <w:spacing w:after="0" w:line="240" w:lineRule="auto"/>
              <w:jc w:val="center"/>
              <w:rPr>
                <w:rFonts w:ascii="Book Antiqua" w:eastAsia="Times New Roman" w:hAnsi="Book Antiqua" w:cs="Calibri"/>
                <w:b/>
                <w:bCs/>
                <w:color w:val="000000"/>
                <w:sz w:val="16"/>
                <w:szCs w:val="16"/>
                <w:lang w:eastAsia="es-CR"/>
              </w:rPr>
            </w:pPr>
            <w:r w:rsidRPr="002A28DE">
              <w:rPr>
                <w:rFonts w:ascii="Book Antiqua" w:eastAsia="Times New Roman" w:hAnsi="Book Antiqua" w:cs="Calibri"/>
                <w:b/>
                <w:bCs/>
                <w:color w:val="000000"/>
                <w:sz w:val="16"/>
                <w:szCs w:val="16"/>
                <w:lang w:eastAsia="es-CR"/>
              </w:rPr>
              <w:t>0170-0128-PTO-2023</w:t>
            </w:r>
          </w:p>
          <w:p w14:paraId="19E39FD3" w14:textId="77777777" w:rsidR="002A28DE" w:rsidRPr="002A28DE" w:rsidRDefault="002A28DE" w:rsidP="002A28DE">
            <w:pPr>
              <w:spacing w:after="0" w:line="240" w:lineRule="auto"/>
              <w:jc w:val="center"/>
              <w:rPr>
                <w:rFonts w:ascii="Book Antiqua" w:eastAsia="Times New Roman" w:hAnsi="Book Antiqua" w:cs="Calibri"/>
                <w:b/>
                <w:bCs/>
                <w:color w:val="000000"/>
                <w:sz w:val="16"/>
                <w:szCs w:val="16"/>
                <w:lang w:eastAsia="es-CR"/>
              </w:rPr>
            </w:pPr>
          </w:p>
          <w:p w14:paraId="584700BB" w14:textId="1D4FEC53" w:rsidR="002A28DE" w:rsidRPr="002A28DE" w:rsidRDefault="002A28DE" w:rsidP="002A28DE">
            <w:pPr>
              <w:spacing w:after="0" w:line="240" w:lineRule="auto"/>
              <w:jc w:val="center"/>
              <w:rPr>
                <w:rFonts w:ascii="Book Antiqua" w:eastAsia="Times New Roman" w:hAnsi="Book Antiqua" w:cs="Calibri"/>
                <w:b/>
                <w:bCs/>
                <w:color w:val="000000"/>
                <w:sz w:val="16"/>
                <w:szCs w:val="16"/>
                <w:lang w:eastAsia="es-CR"/>
              </w:rPr>
            </w:pPr>
          </w:p>
        </w:tc>
        <w:tc>
          <w:tcPr>
            <w:tcW w:w="988" w:type="dxa"/>
            <w:tcBorders>
              <w:top w:val="single" w:sz="4" w:space="0" w:color="auto"/>
              <w:left w:val="single" w:sz="4" w:space="0" w:color="auto"/>
              <w:bottom w:val="single" w:sz="4" w:space="0" w:color="auto"/>
              <w:right w:val="single" w:sz="4" w:space="0" w:color="auto"/>
            </w:tcBorders>
            <w:vAlign w:val="center"/>
            <w:hideMark/>
          </w:tcPr>
          <w:p w14:paraId="36F3EE62" w14:textId="5D1B988B" w:rsidR="002A28DE" w:rsidRPr="002A28DE" w:rsidRDefault="002A28DE" w:rsidP="002A28DE">
            <w:pPr>
              <w:spacing w:after="0" w:line="240" w:lineRule="auto"/>
              <w:jc w:val="center"/>
              <w:rPr>
                <w:rFonts w:ascii="Book Antiqua" w:eastAsia="Times New Roman" w:hAnsi="Book Antiqua" w:cs="Calibri"/>
                <w:color w:val="000000"/>
                <w:sz w:val="16"/>
                <w:szCs w:val="16"/>
                <w:lang w:eastAsia="es-CR"/>
              </w:rPr>
            </w:pPr>
            <w:r w:rsidRPr="002A28DE">
              <w:rPr>
                <w:rFonts w:ascii="Book Antiqua" w:eastAsia="Times New Roman" w:hAnsi="Book Antiqua" w:cs="Calibri"/>
                <w:color w:val="000000"/>
                <w:sz w:val="16"/>
                <w:szCs w:val="16"/>
                <w:lang w:eastAsia="es-CR"/>
              </w:rPr>
              <w:t>01-07-23 al 30-09-23</w:t>
            </w:r>
          </w:p>
        </w:tc>
        <w:tc>
          <w:tcPr>
            <w:tcW w:w="649" w:type="dxa"/>
            <w:tcBorders>
              <w:top w:val="single" w:sz="4" w:space="0" w:color="auto"/>
              <w:left w:val="single" w:sz="4" w:space="0" w:color="auto"/>
              <w:bottom w:val="single" w:sz="4" w:space="0" w:color="auto"/>
              <w:right w:val="single" w:sz="4" w:space="0" w:color="auto"/>
            </w:tcBorders>
            <w:vAlign w:val="center"/>
          </w:tcPr>
          <w:p w14:paraId="470D0762" w14:textId="59637FE6" w:rsidR="002A28DE" w:rsidRPr="00257371" w:rsidRDefault="002A28DE" w:rsidP="002A28DE">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163</w:t>
            </w:r>
          </w:p>
        </w:tc>
        <w:tc>
          <w:tcPr>
            <w:tcW w:w="649" w:type="dxa"/>
            <w:tcBorders>
              <w:top w:val="single" w:sz="4" w:space="0" w:color="auto"/>
              <w:left w:val="single" w:sz="4" w:space="0" w:color="auto"/>
              <w:bottom w:val="single" w:sz="4" w:space="0" w:color="auto"/>
              <w:right w:val="single" w:sz="4" w:space="0" w:color="auto"/>
            </w:tcBorders>
            <w:vAlign w:val="center"/>
          </w:tcPr>
          <w:p w14:paraId="59E11603" w14:textId="019669ED" w:rsidR="002A28DE" w:rsidRPr="00257371" w:rsidRDefault="002A28DE" w:rsidP="002A28DE">
            <w:pPr>
              <w:spacing w:after="0" w:line="240" w:lineRule="auto"/>
              <w:jc w:val="center"/>
              <w:rPr>
                <w:rFonts w:ascii="Book Antiqua" w:eastAsia="Times New Roman" w:hAnsi="Book Antiqua" w:cs="Times New Roman"/>
                <w:sz w:val="16"/>
                <w:szCs w:val="16"/>
                <w:lang w:eastAsia="es-CR"/>
              </w:rPr>
            </w:pPr>
            <w:r>
              <w:rPr>
                <w:rFonts w:ascii="Book Antiqua" w:eastAsia="Times New Roman" w:hAnsi="Book Antiqua" w:cs="Times New Roman"/>
                <w:sz w:val="16"/>
                <w:szCs w:val="16"/>
                <w:lang w:eastAsia="es-CR"/>
              </w:rPr>
              <w:t>155</w:t>
            </w:r>
          </w:p>
        </w:tc>
        <w:tc>
          <w:tcPr>
            <w:tcW w:w="533" w:type="dxa"/>
            <w:tcBorders>
              <w:top w:val="single" w:sz="4" w:space="0" w:color="auto"/>
              <w:left w:val="single" w:sz="4" w:space="0" w:color="auto"/>
              <w:bottom w:val="single" w:sz="4" w:space="0" w:color="auto"/>
              <w:right w:val="single" w:sz="4" w:space="0" w:color="auto"/>
            </w:tcBorders>
            <w:vAlign w:val="center"/>
          </w:tcPr>
          <w:p w14:paraId="2B166202" w14:textId="2C89057E" w:rsidR="002A28DE" w:rsidRPr="00257371" w:rsidRDefault="002A28DE" w:rsidP="002A28DE">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220</w:t>
            </w:r>
          </w:p>
        </w:tc>
        <w:tc>
          <w:tcPr>
            <w:tcW w:w="533" w:type="dxa"/>
            <w:tcBorders>
              <w:top w:val="single" w:sz="4" w:space="0" w:color="auto"/>
              <w:left w:val="single" w:sz="4" w:space="0" w:color="auto"/>
              <w:bottom w:val="single" w:sz="4" w:space="0" w:color="auto"/>
              <w:right w:val="single" w:sz="4" w:space="0" w:color="auto"/>
            </w:tcBorders>
            <w:vAlign w:val="center"/>
          </w:tcPr>
          <w:p w14:paraId="14BAB64E" w14:textId="070C50B4" w:rsidR="002A28DE" w:rsidRPr="00257371" w:rsidRDefault="002A28DE" w:rsidP="002A28DE">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25</w:t>
            </w:r>
          </w:p>
        </w:tc>
        <w:tc>
          <w:tcPr>
            <w:tcW w:w="533" w:type="dxa"/>
            <w:tcBorders>
              <w:top w:val="single" w:sz="4" w:space="0" w:color="auto"/>
              <w:left w:val="single" w:sz="4" w:space="0" w:color="auto"/>
              <w:bottom w:val="single" w:sz="4" w:space="0" w:color="auto"/>
              <w:right w:val="single" w:sz="4" w:space="0" w:color="auto"/>
            </w:tcBorders>
            <w:vAlign w:val="center"/>
          </w:tcPr>
          <w:p w14:paraId="59F07E10" w14:textId="7E80AFC0" w:rsidR="002A28DE" w:rsidRPr="00257371" w:rsidRDefault="002A28DE" w:rsidP="002A28DE">
            <w:pPr>
              <w:spacing w:after="0" w:line="240" w:lineRule="auto"/>
              <w:jc w:val="center"/>
              <w:rPr>
                <w:rFonts w:ascii="Book Antiqua" w:eastAsia="Times New Roman" w:hAnsi="Book Antiqua" w:cs="Times New Roman"/>
                <w:sz w:val="16"/>
                <w:szCs w:val="16"/>
                <w:lang w:eastAsia="es-CR"/>
              </w:rPr>
            </w:pPr>
            <w:r>
              <w:rPr>
                <w:rFonts w:ascii="Book Antiqua" w:eastAsia="Times New Roman" w:hAnsi="Book Antiqua" w:cs="Times New Roman"/>
                <w:sz w:val="16"/>
                <w:szCs w:val="16"/>
                <w:lang w:eastAsia="es-CR"/>
              </w:rPr>
              <w:t>1</w:t>
            </w:r>
          </w:p>
        </w:tc>
        <w:tc>
          <w:tcPr>
            <w:tcW w:w="674" w:type="dxa"/>
            <w:tcBorders>
              <w:top w:val="single" w:sz="4" w:space="0" w:color="auto"/>
              <w:left w:val="single" w:sz="4" w:space="0" w:color="auto"/>
              <w:bottom w:val="single" w:sz="4" w:space="0" w:color="auto"/>
              <w:right w:val="single" w:sz="4" w:space="0" w:color="auto"/>
            </w:tcBorders>
            <w:vAlign w:val="center"/>
          </w:tcPr>
          <w:p w14:paraId="2B462829" w14:textId="5DBA952A" w:rsidR="002A28DE" w:rsidRPr="00257371" w:rsidRDefault="002A28DE" w:rsidP="002A28DE">
            <w:pPr>
              <w:spacing w:after="0" w:line="240" w:lineRule="auto"/>
              <w:jc w:val="center"/>
              <w:rPr>
                <w:rFonts w:ascii="Book Antiqua" w:eastAsia="Times New Roman" w:hAnsi="Book Antiqua" w:cs="Calibri"/>
                <w:b/>
                <w:bCs/>
                <w:color w:val="000000"/>
                <w:sz w:val="16"/>
                <w:szCs w:val="16"/>
                <w:lang w:eastAsia="es-CR"/>
              </w:rPr>
            </w:pPr>
            <w:r>
              <w:rPr>
                <w:rFonts w:ascii="Book Antiqua" w:eastAsia="Times New Roman" w:hAnsi="Book Antiqua" w:cs="Calibri"/>
                <w:b/>
                <w:bCs/>
                <w:color w:val="000000"/>
                <w:sz w:val="16"/>
                <w:szCs w:val="16"/>
                <w:lang w:eastAsia="es-CR"/>
              </w:rPr>
              <w:t>1</w:t>
            </w:r>
          </w:p>
        </w:tc>
        <w:tc>
          <w:tcPr>
            <w:tcW w:w="674" w:type="dxa"/>
            <w:tcBorders>
              <w:top w:val="single" w:sz="4" w:space="0" w:color="auto"/>
              <w:left w:val="single" w:sz="4" w:space="0" w:color="auto"/>
              <w:bottom w:val="single" w:sz="4" w:space="0" w:color="auto"/>
              <w:right w:val="single" w:sz="4" w:space="0" w:color="auto"/>
            </w:tcBorders>
            <w:vAlign w:val="center"/>
          </w:tcPr>
          <w:p w14:paraId="7A2120B3" w14:textId="2D106D33" w:rsidR="002A28DE" w:rsidRPr="00257371" w:rsidRDefault="002A28DE" w:rsidP="002A28DE">
            <w:pPr>
              <w:spacing w:after="0" w:line="240" w:lineRule="auto"/>
              <w:jc w:val="center"/>
              <w:rPr>
                <w:rFonts w:ascii="Book Antiqua" w:eastAsia="Times New Roman" w:hAnsi="Book Antiqua" w:cs="Calibri"/>
                <w:b/>
                <w:bCs/>
                <w:color w:val="000000"/>
                <w:sz w:val="16"/>
                <w:szCs w:val="16"/>
                <w:lang w:eastAsia="es-CR"/>
              </w:rPr>
            </w:pPr>
            <w:r>
              <w:rPr>
                <w:rFonts w:ascii="Book Antiqua" w:eastAsia="Times New Roman" w:hAnsi="Book Antiqua" w:cs="Calibri"/>
                <w:b/>
                <w:bCs/>
                <w:color w:val="000000"/>
                <w:sz w:val="16"/>
                <w:szCs w:val="16"/>
                <w:lang w:eastAsia="es-CR"/>
              </w:rPr>
              <w:t>624</w:t>
            </w:r>
          </w:p>
        </w:tc>
        <w:tc>
          <w:tcPr>
            <w:tcW w:w="1944" w:type="dxa"/>
            <w:tcBorders>
              <w:top w:val="single" w:sz="4" w:space="0" w:color="auto"/>
              <w:left w:val="single" w:sz="4" w:space="0" w:color="auto"/>
              <w:bottom w:val="single" w:sz="4" w:space="0" w:color="auto"/>
              <w:right w:val="single" w:sz="4" w:space="0" w:color="auto"/>
            </w:tcBorders>
            <w:vAlign w:val="center"/>
          </w:tcPr>
          <w:p w14:paraId="63F05AA7" w14:textId="6136A3AE" w:rsidR="002A28DE" w:rsidRPr="00257371" w:rsidRDefault="002A28DE" w:rsidP="002A28DE">
            <w:pPr>
              <w:spacing w:after="0" w:line="240" w:lineRule="auto"/>
              <w:jc w:val="both"/>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Se realizó la certificación por 624 permisos con goce de salario para el III trimestre 2023, en el apartado 4.6 se detalla los permisos que se recomienda en su continuidad y nuevos.</w:t>
            </w:r>
          </w:p>
        </w:tc>
        <w:tc>
          <w:tcPr>
            <w:tcW w:w="1754" w:type="dxa"/>
            <w:tcBorders>
              <w:top w:val="single" w:sz="4" w:space="0" w:color="auto"/>
              <w:left w:val="single" w:sz="4" w:space="0" w:color="auto"/>
              <w:bottom w:val="single" w:sz="4" w:space="0" w:color="auto"/>
              <w:right w:val="single" w:sz="4" w:space="0" w:color="auto"/>
            </w:tcBorders>
            <w:noWrap/>
            <w:vAlign w:val="center"/>
            <w:hideMark/>
          </w:tcPr>
          <w:p w14:paraId="16D29A9A" w14:textId="08CAFB33" w:rsidR="002A28DE" w:rsidRPr="00257371" w:rsidRDefault="00006088" w:rsidP="002A28DE">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object w:dxaOrig="1376" w:dyaOrig="899" w14:anchorId="4B90D26A">
                <v:shape id="_x0000_i1037" type="#_x0000_t75" style="width:69pt;height:45pt" o:ole="">
                  <v:imagedata r:id="rId78" o:title=""/>
                </v:shape>
                <o:OLEObject Type="Embed" ProgID="Acrobat.Document.DC" ShapeID="_x0000_i1037" DrawAspect="Icon" ObjectID="_1749386369" r:id="rId79"/>
              </w:object>
            </w:r>
          </w:p>
        </w:tc>
      </w:tr>
    </w:tbl>
    <w:p w14:paraId="3F53BCEE" w14:textId="741F3BDD" w:rsidR="002A28DE" w:rsidRDefault="002A28DE" w:rsidP="002A28DE">
      <w:pPr>
        <w:spacing w:after="0" w:line="240" w:lineRule="auto"/>
        <w:rPr>
          <w:rFonts w:ascii="Book Antiqua" w:eastAsia="Times New Roman" w:hAnsi="Book Antiqua" w:cs="Calibri"/>
          <w:b/>
          <w:bCs/>
          <w:color w:val="000000"/>
          <w:sz w:val="16"/>
          <w:szCs w:val="16"/>
          <w:lang w:eastAsia="es-CR"/>
        </w:rPr>
      </w:pPr>
      <w:r w:rsidRPr="002A28DE">
        <w:rPr>
          <w:rFonts w:ascii="Book Antiqua" w:hAnsi="Book Antiqua"/>
          <w:sz w:val="16"/>
          <w:szCs w:val="16"/>
        </w:rPr>
        <w:t>Fuente:</w:t>
      </w:r>
      <w:r>
        <w:rPr>
          <w:rFonts w:ascii="Book Antiqua" w:hAnsi="Book Antiqua"/>
          <w:sz w:val="16"/>
          <w:szCs w:val="16"/>
        </w:rPr>
        <w:t xml:space="preserve"> Certificación  </w:t>
      </w:r>
      <w:r w:rsidRPr="002A28DE">
        <w:rPr>
          <w:rFonts w:ascii="Book Antiqua" w:hAnsi="Book Antiqua"/>
          <w:sz w:val="16"/>
          <w:szCs w:val="16"/>
        </w:rPr>
        <w:t>0170-0128-PTO-2023</w:t>
      </w:r>
      <w:r>
        <w:rPr>
          <w:rFonts w:ascii="Book Antiqua" w:hAnsi="Book Antiqua"/>
          <w:sz w:val="16"/>
          <w:szCs w:val="16"/>
        </w:rPr>
        <w:t xml:space="preserve"> expedida el 22 de junio del 2023.</w:t>
      </w:r>
    </w:p>
    <w:p w14:paraId="481A70D7" w14:textId="0A83D3D3" w:rsidR="009D449E" w:rsidRPr="002A28DE" w:rsidRDefault="009D449E" w:rsidP="00A00E2F">
      <w:pPr>
        <w:spacing w:after="0"/>
        <w:jc w:val="both"/>
        <w:rPr>
          <w:rFonts w:ascii="Book Antiqua" w:hAnsi="Book Antiqua"/>
          <w:sz w:val="16"/>
          <w:szCs w:val="16"/>
        </w:rPr>
      </w:pPr>
    </w:p>
    <w:p w14:paraId="6CAFCBA8" w14:textId="77777777" w:rsidR="00AB19F1" w:rsidRPr="004316BC" w:rsidRDefault="00AB19F1" w:rsidP="00A00E2F">
      <w:pPr>
        <w:spacing w:after="0"/>
        <w:jc w:val="both"/>
        <w:rPr>
          <w:rFonts w:ascii="Book Antiqua" w:hAnsi="Book Antiqua"/>
        </w:rPr>
      </w:pPr>
    </w:p>
    <w:p w14:paraId="5EC66634" w14:textId="77777777" w:rsidR="00A00E2F" w:rsidRDefault="00A00E2F" w:rsidP="009129F0">
      <w:pPr>
        <w:pStyle w:val="Ttulo2"/>
        <w:numPr>
          <w:ilvl w:val="0"/>
          <w:numId w:val="6"/>
        </w:numPr>
        <w:ind w:left="567" w:hanging="578"/>
        <w:rPr>
          <w:rFonts w:ascii="Book Antiqua" w:eastAsia="Wingdings" w:hAnsi="Book Antiqua"/>
          <w:b/>
          <w:bCs/>
          <w:color w:val="auto"/>
          <w:lang w:eastAsia="ko-KR"/>
        </w:rPr>
      </w:pPr>
      <w:bookmarkStart w:id="137" w:name="_Toc138770870"/>
      <w:r>
        <w:rPr>
          <w:rFonts w:ascii="Book Antiqua" w:eastAsia="Wingdings" w:hAnsi="Book Antiqua"/>
          <w:b/>
          <w:bCs/>
          <w:color w:val="auto"/>
          <w:lang w:eastAsia="ko-KR"/>
        </w:rPr>
        <w:t>Detalle de permisos que solicitan ser aprobados para el tercer trimestre del año en curso:</w:t>
      </w:r>
      <w:bookmarkEnd w:id="137"/>
      <w:r>
        <w:rPr>
          <w:rFonts w:ascii="Book Antiqua" w:eastAsia="Wingdings" w:hAnsi="Book Antiqua"/>
          <w:b/>
          <w:bCs/>
          <w:color w:val="auto"/>
          <w:lang w:eastAsia="ko-KR"/>
        </w:rPr>
        <w:t xml:space="preserve"> </w:t>
      </w:r>
    </w:p>
    <w:p w14:paraId="0B1B841A" w14:textId="77777777" w:rsidR="00610979" w:rsidRPr="00257371" w:rsidRDefault="00610979" w:rsidP="00257371">
      <w:pPr>
        <w:spacing w:after="0"/>
        <w:rPr>
          <w:lang w:eastAsia="ko-KR"/>
        </w:rPr>
      </w:pPr>
    </w:p>
    <w:p w14:paraId="01F197A2" w14:textId="4A97D5A0" w:rsidR="00A00E2F" w:rsidRDefault="00A00E2F" w:rsidP="00A00E2F">
      <w:pPr>
        <w:spacing w:after="0"/>
        <w:jc w:val="both"/>
        <w:rPr>
          <w:rFonts w:ascii="Book Antiqua" w:hAnsi="Book Antiqua"/>
        </w:rPr>
      </w:pPr>
      <w:r w:rsidRPr="00A57819">
        <w:rPr>
          <w:rFonts w:ascii="Book Antiqua" w:hAnsi="Book Antiqua"/>
        </w:rPr>
        <w:t>A continuación, se enlistan los</w:t>
      </w:r>
      <w:r>
        <w:rPr>
          <w:rFonts w:ascii="Book Antiqua" w:hAnsi="Book Antiqua"/>
        </w:rPr>
        <w:t xml:space="preserve"> permisos con goce de salario que fueron otorgados du</w:t>
      </w:r>
      <w:r w:rsidR="00995193">
        <w:rPr>
          <w:rFonts w:ascii="Book Antiqua" w:hAnsi="Book Antiqua"/>
        </w:rPr>
        <w:t xml:space="preserve">rante 2023 </w:t>
      </w:r>
      <w:r w:rsidR="00936065">
        <w:rPr>
          <w:rFonts w:ascii="Book Antiqua" w:hAnsi="Book Antiqua"/>
        </w:rPr>
        <w:t xml:space="preserve">o anterior, </w:t>
      </w:r>
      <w:r>
        <w:rPr>
          <w:rFonts w:ascii="Book Antiqua" w:hAnsi="Book Antiqua"/>
        </w:rPr>
        <w:t xml:space="preserve">y solicitaron ser prorrogados para el </w:t>
      </w:r>
      <w:r w:rsidR="00995193">
        <w:rPr>
          <w:rFonts w:ascii="Book Antiqua" w:hAnsi="Book Antiqua"/>
        </w:rPr>
        <w:t>presente año</w:t>
      </w:r>
      <w:r>
        <w:rPr>
          <w:rFonts w:ascii="Book Antiqua" w:hAnsi="Book Antiqua"/>
        </w:rPr>
        <w:t>,</w:t>
      </w:r>
      <w:r w:rsidR="00936065">
        <w:rPr>
          <w:rFonts w:ascii="Book Antiqua" w:hAnsi="Book Antiqua"/>
        </w:rPr>
        <w:t xml:space="preserve"> correspondiente a III trimestre 2023,</w:t>
      </w:r>
      <w:r>
        <w:rPr>
          <w:rFonts w:ascii="Book Antiqua" w:hAnsi="Book Antiqua"/>
        </w:rPr>
        <w:t xml:space="preserve"> los cuales </w:t>
      </w:r>
      <w:r w:rsidR="000555CC">
        <w:rPr>
          <w:rFonts w:ascii="Book Antiqua" w:hAnsi="Book Antiqua"/>
        </w:rPr>
        <w:t xml:space="preserve">se </w:t>
      </w:r>
      <w:r w:rsidR="000555CC" w:rsidRPr="00A57819">
        <w:rPr>
          <w:rFonts w:ascii="Book Antiqua" w:hAnsi="Book Antiqua"/>
        </w:rPr>
        <w:t>encuentran</w:t>
      </w:r>
      <w:r w:rsidRPr="00A57819">
        <w:rPr>
          <w:rFonts w:ascii="Book Antiqua" w:hAnsi="Book Antiqua"/>
        </w:rPr>
        <w:t xml:space="preserve"> relacionadas con proyectos estratégicos </w:t>
      </w:r>
      <w:r w:rsidR="00F2616F" w:rsidRPr="00A57819">
        <w:rPr>
          <w:rFonts w:ascii="Book Antiqua" w:hAnsi="Book Antiqua"/>
        </w:rPr>
        <w:t>o labores</w:t>
      </w:r>
      <w:r w:rsidRPr="00A57819">
        <w:rPr>
          <w:rFonts w:ascii="Book Antiqua" w:hAnsi="Book Antiqua"/>
        </w:rPr>
        <w:t xml:space="preserve"> operativas de interés institucional.</w:t>
      </w:r>
      <w:r w:rsidR="00524B16">
        <w:rPr>
          <w:rFonts w:ascii="Book Antiqua" w:hAnsi="Book Antiqua"/>
        </w:rPr>
        <w:t xml:space="preserve"> Se toma en consideración los 13 permisos con goce de salario solicitados como nuevos por parte del Organismo de Investigación Judicial según el apartado 4.4.3.</w:t>
      </w:r>
    </w:p>
    <w:p w14:paraId="3DEB32B7" w14:textId="77777777" w:rsidR="00BE773E" w:rsidRDefault="00BE773E" w:rsidP="00A00E2F">
      <w:pPr>
        <w:spacing w:after="0"/>
        <w:jc w:val="both"/>
        <w:rPr>
          <w:rFonts w:ascii="Book Antiqua" w:hAnsi="Book Antiqua"/>
        </w:rPr>
      </w:pPr>
    </w:p>
    <w:p w14:paraId="5683EC48" w14:textId="77777777" w:rsidR="00413346" w:rsidRDefault="00413346" w:rsidP="00A00E2F">
      <w:pPr>
        <w:spacing w:after="0"/>
        <w:jc w:val="both"/>
        <w:rPr>
          <w:rFonts w:ascii="Book Antiqua" w:hAnsi="Book Antiqua"/>
        </w:rPr>
      </w:pPr>
    </w:p>
    <w:p w14:paraId="5AA542B6" w14:textId="4206937C" w:rsidR="00A00E2F" w:rsidRDefault="00413346" w:rsidP="00257371">
      <w:pPr>
        <w:jc w:val="center"/>
        <w:rPr>
          <w:rFonts w:ascii="Book Antiqua" w:hAnsi="Book Antiqua"/>
          <w:b/>
          <w:bCs/>
        </w:rPr>
      </w:pPr>
      <w:r w:rsidRPr="00413346">
        <w:rPr>
          <w:rFonts w:ascii="Book Antiqua" w:hAnsi="Book Antiqua" w:cs="&amp;quot"/>
          <w:b/>
          <w:sz w:val="24"/>
          <w:szCs w:val="24"/>
        </w:rPr>
        <w:lastRenderedPageBreak/>
        <w:t xml:space="preserve">Tabla </w:t>
      </w:r>
      <w:r w:rsidRPr="00413346">
        <w:rPr>
          <w:rFonts w:ascii="Book Antiqua" w:hAnsi="Book Antiqua" w:cs="&amp;quot"/>
          <w:b/>
          <w:i/>
          <w:iCs/>
          <w:sz w:val="24"/>
          <w:szCs w:val="24"/>
        </w:rPr>
        <w:fldChar w:fldCharType="begin"/>
      </w:r>
      <w:r w:rsidRPr="00413346">
        <w:rPr>
          <w:rFonts w:ascii="Book Antiqua" w:hAnsi="Book Antiqua" w:cs="&amp;quot"/>
          <w:b/>
          <w:sz w:val="24"/>
          <w:szCs w:val="24"/>
        </w:rPr>
        <w:instrText xml:space="preserve"> SEQ Tabla \* ARABIC </w:instrText>
      </w:r>
      <w:r w:rsidRPr="00413346">
        <w:rPr>
          <w:rFonts w:ascii="Book Antiqua" w:hAnsi="Book Antiqua" w:cs="&amp;quot"/>
          <w:b/>
          <w:i/>
          <w:iCs/>
          <w:sz w:val="24"/>
          <w:szCs w:val="24"/>
        </w:rPr>
        <w:fldChar w:fldCharType="separate"/>
      </w:r>
      <w:r w:rsidR="005A07DC">
        <w:rPr>
          <w:rFonts w:ascii="Book Antiqua" w:hAnsi="Book Antiqua" w:cs="&amp;quot"/>
          <w:b/>
          <w:noProof/>
          <w:sz w:val="24"/>
          <w:szCs w:val="24"/>
        </w:rPr>
        <w:t>40</w:t>
      </w:r>
      <w:r w:rsidRPr="00413346">
        <w:rPr>
          <w:rFonts w:ascii="Book Antiqua" w:hAnsi="Book Antiqua" w:cs="&amp;quot"/>
          <w:b/>
          <w:i/>
          <w:iCs/>
          <w:sz w:val="24"/>
          <w:szCs w:val="24"/>
        </w:rPr>
        <w:fldChar w:fldCharType="end"/>
      </w:r>
      <w:r w:rsidR="00995193" w:rsidRPr="00995193">
        <w:rPr>
          <w:rFonts w:ascii="Book Antiqua" w:hAnsi="Book Antiqua" w:cs="&amp;quot"/>
          <w:b/>
          <w:sz w:val="24"/>
          <w:szCs w:val="24"/>
        </w:rPr>
        <w:t xml:space="preserve"> </w:t>
      </w:r>
      <w:r w:rsidR="00A00E2F" w:rsidRPr="00995193">
        <w:rPr>
          <w:rFonts w:ascii="Book Antiqua" w:hAnsi="Book Antiqua"/>
          <w:b/>
          <w:bCs/>
        </w:rPr>
        <w:t>Detalle de PCGS a ser otorgados durante el III Trimestre del año 202</w:t>
      </w:r>
      <w:r w:rsidR="001D3038" w:rsidRPr="00995193">
        <w:rPr>
          <w:rFonts w:ascii="Book Antiqua" w:hAnsi="Book Antiqua"/>
          <w:b/>
          <w:bCs/>
        </w:rPr>
        <w:t>3</w:t>
      </w:r>
    </w:p>
    <w:tbl>
      <w:tblPr>
        <w:tblW w:w="9975" w:type="dxa"/>
        <w:tblInd w:w="-572" w:type="dxa"/>
        <w:tblCellMar>
          <w:left w:w="70" w:type="dxa"/>
          <w:right w:w="70" w:type="dxa"/>
        </w:tblCellMar>
        <w:tblLook w:val="04A0" w:firstRow="1" w:lastRow="0" w:firstColumn="1" w:lastColumn="0" w:noHBand="0" w:noVBand="1"/>
      </w:tblPr>
      <w:tblGrid>
        <w:gridCol w:w="1613"/>
        <w:gridCol w:w="1173"/>
        <w:gridCol w:w="1183"/>
        <w:gridCol w:w="2127"/>
        <w:gridCol w:w="1034"/>
        <w:gridCol w:w="505"/>
        <w:gridCol w:w="1579"/>
        <w:gridCol w:w="761"/>
      </w:tblGrid>
      <w:tr w:rsidR="00CE48BE" w:rsidRPr="00697B6D" w14:paraId="792314A9" w14:textId="77777777" w:rsidTr="00301740">
        <w:trPr>
          <w:trHeight w:val="290"/>
          <w:tblHeader/>
        </w:trPr>
        <w:tc>
          <w:tcPr>
            <w:tcW w:w="1613"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710DE72" w14:textId="77777777" w:rsidR="00936065" w:rsidRPr="00697B6D" w:rsidRDefault="00936065" w:rsidP="00F400D6">
            <w:pPr>
              <w:spacing w:after="0" w:line="240" w:lineRule="auto"/>
              <w:jc w:val="center"/>
              <w:rPr>
                <w:rFonts w:ascii="Book Antiqua" w:eastAsia="Times New Roman" w:hAnsi="Book Antiqua" w:cs="Calibri"/>
                <w:color w:val="FFFFFF" w:themeColor="background1"/>
                <w:sz w:val="14"/>
                <w:szCs w:val="14"/>
                <w:lang w:eastAsia="es-CR"/>
              </w:rPr>
            </w:pPr>
            <w:r w:rsidRPr="00697B6D">
              <w:rPr>
                <w:rFonts w:ascii="Book Antiqua" w:eastAsia="Times New Roman" w:hAnsi="Book Antiqua" w:cs="Calibri"/>
                <w:color w:val="FFFFFF" w:themeColor="background1"/>
                <w:sz w:val="14"/>
                <w:szCs w:val="14"/>
                <w:lang w:eastAsia="es-CR"/>
              </w:rPr>
              <w:t>Programa Presupuestario</w:t>
            </w:r>
            <w:r w:rsidRPr="00697B6D">
              <w:rPr>
                <w:rFonts w:ascii="Book Antiqua" w:eastAsia="Times New Roman" w:hAnsi="Book Antiqua" w:cs="Calibri"/>
                <w:color w:val="FFFFFF" w:themeColor="background1"/>
                <w:sz w:val="14"/>
                <w:szCs w:val="14"/>
                <w:lang w:eastAsia="es-CR"/>
              </w:rPr>
              <w:br/>
              <w:t>(Del que se toma el recurso)</w:t>
            </w:r>
          </w:p>
        </w:tc>
        <w:tc>
          <w:tcPr>
            <w:tcW w:w="1173" w:type="dxa"/>
            <w:tcBorders>
              <w:top w:val="single" w:sz="4" w:space="0" w:color="auto"/>
              <w:left w:val="nil"/>
              <w:bottom w:val="single" w:sz="4" w:space="0" w:color="auto"/>
              <w:right w:val="single" w:sz="4" w:space="0" w:color="auto"/>
            </w:tcBorders>
            <w:shd w:val="clear" w:color="auto" w:fill="002060"/>
            <w:noWrap/>
            <w:vAlign w:val="center"/>
            <w:hideMark/>
          </w:tcPr>
          <w:p w14:paraId="1D329D33" w14:textId="77777777" w:rsidR="00936065" w:rsidRPr="00697B6D" w:rsidRDefault="00936065" w:rsidP="00F400D6">
            <w:pPr>
              <w:spacing w:after="0" w:line="240" w:lineRule="auto"/>
              <w:jc w:val="center"/>
              <w:rPr>
                <w:rFonts w:ascii="Book Antiqua" w:eastAsia="Times New Roman" w:hAnsi="Book Antiqua" w:cs="Calibri"/>
                <w:color w:val="FFFFFF" w:themeColor="background1"/>
                <w:sz w:val="14"/>
                <w:szCs w:val="14"/>
                <w:lang w:eastAsia="es-CR"/>
              </w:rPr>
            </w:pPr>
            <w:r w:rsidRPr="00697B6D">
              <w:rPr>
                <w:rFonts w:ascii="Book Antiqua" w:eastAsia="Times New Roman" w:hAnsi="Book Antiqua" w:cs="Calibri"/>
                <w:color w:val="FFFFFF" w:themeColor="background1"/>
                <w:sz w:val="14"/>
                <w:szCs w:val="14"/>
                <w:lang w:eastAsia="es-CR"/>
              </w:rPr>
              <w:t>Centro de Responsabilidad</w:t>
            </w:r>
            <w:r w:rsidRPr="00697B6D">
              <w:rPr>
                <w:rFonts w:ascii="Book Antiqua" w:eastAsia="Times New Roman" w:hAnsi="Book Antiqua" w:cs="Calibri"/>
                <w:color w:val="FFFFFF" w:themeColor="background1"/>
                <w:sz w:val="14"/>
                <w:szCs w:val="14"/>
                <w:lang w:eastAsia="es-CR"/>
              </w:rPr>
              <w:br/>
              <w:t>(a la que se le asigna el recurso)</w:t>
            </w:r>
          </w:p>
        </w:tc>
        <w:tc>
          <w:tcPr>
            <w:tcW w:w="1183" w:type="dxa"/>
            <w:tcBorders>
              <w:top w:val="single" w:sz="4" w:space="0" w:color="auto"/>
              <w:left w:val="nil"/>
              <w:bottom w:val="single" w:sz="4" w:space="0" w:color="auto"/>
              <w:right w:val="single" w:sz="4" w:space="0" w:color="auto"/>
            </w:tcBorders>
            <w:shd w:val="clear" w:color="auto" w:fill="002060"/>
            <w:noWrap/>
            <w:vAlign w:val="center"/>
            <w:hideMark/>
          </w:tcPr>
          <w:p w14:paraId="39C56294" w14:textId="77777777" w:rsidR="00936065" w:rsidRPr="00697B6D" w:rsidRDefault="00936065" w:rsidP="00F400D6">
            <w:pPr>
              <w:spacing w:after="0" w:line="240" w:lineRule="auto"/>
              <w:jc w:val="center"/>
              <w:rPr>
                <w:rFonts w:ascii="Book Antiqua" w:eastAsia="Times New Roman" w:hAnsi="Book Antiqua" w:cs="Calibri"/>
                <w:color w:val="FFFFFF" w:themeColor="background1"/>
                <w:sz w:val="14"/>
                <w:szCs w:val="14"/>
                <w:lang w:eastAsia="es-CR"/>
              </w:rPr>
            </w:pPr>
            <w:r w:rsidRPr="00697B6D">
              <w:rPr>
                <w:rFonts w:ascii="Book Antiqua" w:eastAsia="Times New Roman" w:hAnsi="Book Antiqua" w:cs="Calibri"/>
                <w:color w:val="FFFFFF" w:themeColor="background1"/>
                <w:sz w:val="14"/>
                <w:szCs w:val="14"/>
                <w:lang w:eastAsia="es-CR"/>
              </w:rPr>
              <w:t>Código de Iniciativa</w:t>
            </w:r>
          </w:p>
        </w:tc>
        <w:tc>
          <w:tcPr>
            <w:tcW w:w="2127" w:type="dxa"/>
            <w:tcBorders>
              <w:top w:val="single" w:sz="4" w:space="0" w:color="auto"/>
              <w:left w:val="nil"/>
              <w:bottom w:val="single" w:sz="4" w:space="0" w:color="auto"/>
              <w:right w:val="single" w:sz="4" w:space="0" w:color="auto"/>
            </w:tcBorders>
            <w:shd w:val="clear" w:color="auto" w:fill="002060"/>
            <w:noWrap/>
            <w:vAlign w:val="center"/>
            <w:hideMark/>
          </w:tcPr>
          <w:p w14:paraId="64639251" w14:textId="77777777" w:rsidR="00936065" w:rsidRPr="00697B6D" w:rsidRDefault="00936065" w:rsidP="00F400D6">
            <w:pPr>
              <w:spacing w:after="0" w:line="240" w:lineRule="auto"/>
              <w:jc w:val="center"/>
              <w:rPr>
                <w:rFonts w:ascii="Book Antiqua" w:eastAsia="Times New Roman" w:hAnsi="Book Antiqua" w:cs="Calibri"/>
                <w:color w:val="FFFFFF" w:themeColor="background1"/>
                <w:sz w:val="14"/>
                <w:szCs w:val="14"/>
                <w:lang w:eastAsia="es-CR"/>
              </w:rPr>
            </w:pPr>
            <w:r w:rsidRPr="00697B6D">
              <w:rPr>
                <w:rFonts w:ascii="Book Antiqua" w:eastAsia="Times New Roman" w:hAnsi="Book Antiqua" w:cs="Calibri"/>
                <w:color w:val="FFFFFF" w:themeColor="background1"/>
                <w:sz w:val="14"/>
                <w:szCs w:val="14"/>
                <w:lang w:eastAsia="es-CR"/>
              </w:rPr>
              <w:t>Nombre de la Iniciativa</w:t>
            </w:r>
          </w:p>
        </w:tc>
        <w:tc>
          <w:tcPr>
            <w:tcW w:w="1034" w:type="dxa"/>
            <w:tcBorders>
              <w:top w:val="single" w:sz="4" w:space="0" w:color="auto"/>
              <w:left w:val="nil"/>
              <w:bottom w:val="single" w:sz="4" w:space="0" w:color="auto"/>
              <w:right w:val="single" w:sz="4" w:space="0" w:color="auto"/>
            </w:tcBorders>
            <w:shd w:val="clear" w:color="auto" w:fill="002060"/>
            <w:noWrap/>
            <w:vAlign w:val="center"/>
            <w:hideMark/>
          </w:tcPr>
          <w:p w14:paraId="5AF1235D" w14:textId="77777777" w:rsidR="00936065" w:rsidRPr="00697B6D" w:rsidRDefault="00936065" w:rsidP="00F400D6">
            <w:pPr>
              <w:spacing w:after="0" w:line="240" w:lineRule="auto"/>
              <w:jc w:val="center"/>
              <w:rPr>
                <w:rFonts w:ascii="Book Antiqua" w:eastAsia="Times New Roman" w:hAnsi="Book Antiqua" w:cs="Calibri"/>
                <w:color w:val="FFFFFF" w:themeColor="background1"/>
                <w:sz w:val="14"/>
                <w:szCs w:val="14"/>
                <w:lang w:eastAsia="es-CR"/>
              </w:rPr>
            </w:pPr>
            <w:r w:rsidRPr="00697B6D">
              <w:rPr>
                <w:rFonts w:ascii="Book Antiqua" w:eastAsia="Times New Roman" w:hAnsi="Book Antiqua" w:cs="Calibri"/>
                <w:color w:val="FFFFFF" w:themeColor="background1"/>
                <w:sz w:val="14"/>
                <w:szCs w:val="14"/>
                <w:lang w:eastAsia="es-CR"/>
              </w:rPr>
              <w:t>Categoría de PCGS</w:t>
            </w:r>
          </w:p>
        </w:tc>
        <w:tc>
          <w:tcPr>
            <w:tcW w:w="505" w:type="dxa"/>
            <w:tcBorders>
              <w:top w:val="single" w:sz="4" w:space="0" w:color="auto"/>
              <w:left w:val="nil"/>
              <w:bottom w:val="single" w:sz="4" w:space="0" w:color="auto"/>
              <w:right w:val="single" w:sz="4" w:space="0" w:color="auto"/>
            </w:tcBorders>
            <w:shd w:val="clear" w:color="auto" w:fill="002060"/>
            <w:noWrap/>
            <w:vAlign w:val="center"/>
            <w:hideMark/>
          </w:tcPr>
          <w:p w14:paraId="6FE67CE0" w14:textId="77777777" w:rsidR="00936065" w:rsidRPr="00697B6D" w:rsidRDefault="00936065" w:rsidP="00F400D6">
            <w:pPr>
              <w:spacing w:after="0" w:line="240" w:lineRule="auto"/>
              <w:jc w:val="center"/>
              <w:rPr>
                <w:rFonts w:ascii="Book Antiqua" w:eastAsia="Times New Roman" w:hAnsi="Book Antiqua" w:cs="Calibri"/>
                <w:color w:val="FFFFFF" w:themeColor="background1"/>
                <w:sz w:val="14"/>
                <w:szCs w:val="14"/>
                <w:lang w:eastAsia="es-CR"/>
              </w:rPr>
            </w:pPr>
            <w:r w:rsidRPr="00697B6D">
              <w:rPr>
                <w:rFonts w:ascii="Book Antiqua" w:eastAsia="Times New Roman" w:hAnsi="Book Antiqua" w:cs="Calibri"/>
                <w:color w:val="FFFFFF" w:themeColor="background1"/>
                <w:sz w:val="14"/>
                <w:szCs w:val="14"/>
                <w:lang w:eastAsia="es-CR"/>
              </w:rPr>
              <w:t>Q de PCGS</w:t>
            </w:r>
          </w:p>
        </w:tc>
        <w:tc>
          <w:tcPr>
            <w:tcW w:w="1579" w:type="dxa"/>
            <w:tcBorders>
              <w:top w:val="single" w:sz="4" w:space="0" w:color="auto"/>
              <w:left w:val="nil"/>
              <w:bottom w:val="single" w:sz="4" w:space="0" w:color="auto"/>
              <w:right w:val="single" w:sz="4" w:space="0" w:color="auto"/>
            </w:tcBorders>
            <w:shd w:val="clear" w:color="auto" w:fill="002060"/>
            <w:noWrap/>
            <w:vAlign w:val="center"/>
            <w:hideMark/>
          </w:tcPr>
          <w:p w14:paraId="78519243" w14:textId="77777777" w:rsidR="00936065" w:rsidRPr="00697B6D" w:rsidRDefault="00936065" w:rsidP="00F400D6">
            <w:pPr>
              <w:spacing w:after="0" w:line="240" w:lineRule="auto"/>
              <w:jc w:val="center"/>
              <w:rPr>
                <w:rFonts w:ascii="Book Antiqua" w:eastAsia="Times New Roman" w:hAnsi="Book Antiqua" w:cs="Calibri"/>
                <w:color w:val="FFFFFF" w:themeColor="background1"/>
                <w:sz w:val="14"/>
                <w:szCs w:val="14"/>
                <w:lang w:eastAsia="es-CR"/>
              </w:rPr>
            </w:pPr>
            <w:r w:rsidRPr="00697B6D">
              <w:rPr>
                <w:rFonts w:ascii="Book Antiqua" w:eastAsia="Times New Roman" w:hAnsi="Book Antiqua" w:cs="Calibri"/>
                <w:color w:val="FFFFFF" w:themeColor="background1"/>
                <w:sz w:val="14"/>
                <w:szCs w:val="14"/>
                <w:lang w:eastAsia="es-CR"/>
              </w:rPr>
              <w:t>Tipo de Puesto</w:t>
            </w:r>
          </w:p>
        </w:tc>
        <w:tc>
          <w:tcPr>
            <w:tcW w:w="761" w:type="dxa"/>
            <w:tcBorders>
              <w:top w:val="single" w:sz="4" w:space="0" w:color="auto"/>
              <w:left w:val="nil"/>
              <w:bottom w:val="single" w:sz="4" w:space="0" w:color="auto"/>
              <w:right w:val="single" w:sz="4" w:space="0" w:color="auto"/>
            </w:tcBorders>
            <w:shd w:val="clear" w:color="auto" w:fill="002060"/>
            <w:noWrap/>
            <w:vAlign w:val="center"/>
            <w:hideMark/>
          </w:tcPr>
          <w:p w14:paraId="6C64FBF7" w14:textId="77777777" w:rsidR="00936065" w:rsidRPr="00697B6D" w:rsidRDefault="00936065" w:rsidP="00F400D6">
            <w:pPr>
              <w:spacing w:after="0" w:line="240" w:lineRule="auto"/>
              <w:jc w:val="center"/>
              <w:rPr>
                <w:rFonts w:ascii="Book Antiqua" w:eastAsia="Times New Roman" w:hAnsi="Book Antiqua" w:cs="Calibri"/>
                <w:color w:val="FFFFFF" w:themeColor="background1"/>
                <w:sz w:val="14"/>
                <w:szCs w:val="14"/>
                <w:lang w:eastAsia="es-CR"/>
              </w:rPr>
            </w:pPr>
            <w:r w:rsidRPr="00697B6D">
              <w:rPr>
                <w:rFonts w:ascii="Book Antiqua" w:eastAsia="Times New Roman" w:hAnsi="Book Antiqua" w:cs="Calibri"/>
                <w:color w:val="FFFFFF" w:themeColor="background1"/>
                <w:sz w:val="14"/>
                <w:szCs w:val="14"/>
                <w:lang w:eastAsia="es-CR"/>
              </w:rPr>
              <w:t>Número de Plaza</w:t>
            </w:r>
          </w:p>
        </w:tc>
      </w:tr>
      <w:tr w:rsidR="007E6FC1" w:rsidRPr="00697B6D" w14:paraId="6ED097DB" w14:textId="77777777" w:rsidTr="00301740">
        <w:trPr>
          <w:trHeight w:val="290"/>
        </w:trPr>
        <w:tc>
          <w:tcPr>
            <w:tcW w:w="1613" w:type="dxa"/>
            <w:vMerge w:val="restart"/>
            <w:tcBorders>
              <w:top w:val="nil"/>
              <w:left w:val="single" w:sz="4" w:space="0" w:color="auto"/>
              <w:right w:val="single" w:sz="4" w:space="0" w:color="auto"/>
            </w:tcBorders>
            <w:shd w:val="clear" w:color="auto" w:fill="auto"/>
            <w:noWrap/>
            <w:vAlign w:val="center"/>
            <w:hideMark/>
          </w:tcPr>
          <w:p w14:paraId="51DC80D1"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926 Direc. Admin. Órg. de Apoyo</w:t>
            </w:r>
          </w:p>
          <w:p w14:paraId="1346C1A6"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73" w:type="dxa"/>
            <w:tcBorders>
              <w:top w:val="nil"/>
              <w:left w:val="nil"/>
              <w:bottom w:val="single" w:sz="4" w:space="0" w:color="auto"/>
              <w:right w:val="single" w:sz="4" w:space="0" w:color="auto"/>
            </w:tcBorders>
            <w:shd w:val="clear" w:color="auto" w:fill="auto"/>
            <w:noWrap/>
            <w:vAlign w:val="center"/>
            <w:hideMark/>
          </w:tcPr>
          <w:p w14:paraId="1C7FAA1D"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Centro de Conciliación del Poder Judicial</w:t>
            </w:r>
          </w:p>
        </w:tc>
        <w:tc>
          <w:tcPr>
            <w:tcW w:w="1183" w:type="dxa"/>
            <w:tcBorders>
              <w:top w:val="nil"/>
              <w:left w:val="nil"/>
              <w:bottom w:val="single" w:sz="4" w:space="0" w:color="auto"/>
              <w:right w:val="single" w:sz="4" w:space="0" w:color="auto"/>
            </w:tcBorders>
            <w:shd w:val="clear" w:color="auto" w:fill="auto"/>
            <w:noWrap/>
            <w:vAlign w:val="center"/>
            <w:hideMark/>
          </w:tcPr>
          <w:p w14:paraId="68ADE5D6"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0963-CC-P01</w:t>
            </w:r>
          </w:p>
        </w:tc>
        <w:tc>
          <w:tcPr>
            <w:tcW w:w="2127" w:type="dxa"/>
            <w:tcBorders>
              <w:top w:val="nil"/>
              <w:left w:val="nil"/>
              <w:bottom w:val="single" w:sz="4" w:space="0" w:color="auto"/>
              <w:right w:val="single" w:sz="4" w:space="0" w:color="auto"/>
            </w:tcBorders>
            <w:shd w:val="clear" w:color="auto" w:fill="auto"/>
            <w:noWrap/>
            <w:vAlign w:val="center"/>
            <w:hideMark/>
          </w:tcPr>
          <w:p w14:paraId="725731A2"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Política de tratamiento de métodos alternos de resolución de conflictos</w:t>
            </w:r>
          </w:p>
        </w:tc>
        <w:tc>
          <w:tcPr>
            <w:tcW w:w="1034" w:type="dxa"/>
            <w:tcBorders>
              <w:top w:val="nil"/>
              <w:left w:val="nil"/>
              <w:bottom w:val="single" w:sz="4" w:space="0" w:color="auto"/>
              <w:right w:val="single" w:sz="4" w:space="0" w:color="auto"/>
            </w:tcBorders>
            <w:shd w:val="clear" w:color="auto" w:fill="auto"/>
            <w:noWrap/>
            <w:vAlign w:val="center"/>
            <w:hideMark/>
          </w:tcPr>
          <w:p w14:paraId="16180D77"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33C93A37"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9CB1B5C"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0FE567ED"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377229</w:t>
            </w:r>
          </w:p>
        </w:tc>
      </w:tr>
      <w:tr w:rsidR="00BC00B3" w:rsidRPr="00697B6D" w14:paraId="242AF935" w14:textId="77777777" w:rsidTr="00301740">
        <w:trPr>
          <w:trHeight w:val="290"/>
        </w:trPr>
        <w:tc>
          <w:tcPr>
            <w:tcW w:w="1613" w:type="dxa"/>
            <w:vMerge/>
            <w:tcBorders>
              <w:left w:val="single" w:sz="4" w:space="0" w:color="auto"/>
              <w:right w:val="single" w:sz="4" w:space="0" w:color="auto"/>
            </w:tcBorders>
            <w:shd w:val="clear" w:color="auto" w:fill="auto"/>
            <w:noWrap/>
            <w:vAlign w:val="center"/>
            <w:hideMark/>
          </w:tcPr>
          <w:p w14:paraId="535EA591"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73" w:type="dxa"/>
            <w:tcBorders>
              <w:top w:val="nil"/>
              <w:left w:val="nil"/>
              <w:bottom w:val="single" w:sz="4" w:space="0" w:color="auto"/>
              <w:right w:val="single" w:sz="4" w:space="0" w:color="auto"/>
            </w:tcBorders>
            <w:shd w:val="clear" w:color="auto" w:fill="auto"/>
            <w:noWrap/>
            <w:vAlign w:val="center"/>
            <w:hideMark/>
          </w:tcPr>
          <w:p w14:paraId="71029300"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Comisión Nacional Mejoramiento de Justicia</w:t>
            </w:r>
          </w:p>
        </w:tc>
        <w:tc>
          <w:tcPr>
            <w:tcW w:w="1183" w:type="dxa"/>
            <w:tcBorders>
              <w:top w:val="nil"/>
              <w:left w:val="nil"/>
              <w:bottom w:val="single" w:sz="4" w:space="0" w:color="auto"/>
              <w:right w:val="single" w:sz="4" w:space="0" w:color="auto"/>
            </w:tcBorders>
            <w:shd w:val="clear" w:color="auto" w:fill="auto"/>
            <w:noWrap/>
            <w:vAlign w:val="center"/>
            <w:hideMark/>
          </w:tcPr>
          <w:p w14:paraId="0ACE535A"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0655-CONAMAJ-P03</w:t>
            </w:r>
          </w:p>
        </w:tc>
        <w:tc>
          <w:tcPr>
            <w:tcW w:w="2127" w:type="dxa"/>
            <w:tcBorders>
              <w:top w:val="nil"/>
              <w:left w:val="nil"/>
              <w:bottom w:val="single" w:sz="4" w:space="0" w:color="auto"/>
              <w:right w:val="single" w:sz="4" w:space="0" w:color="auto"/>
            </w:tcBorders>
            <w:shd w:val="clear" w:color="auto" w:fill="auto"/>
            <w:noWrap/>
            <w:vAlign w:val="center"/>
            <w:hideMark/>
          </w:tcPr>
          <w:p w14:paraId="286049FC"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Expansión del Servicio Nacional de Facilitadores y Facilitadoras Judiciales incluyendo zonas interurbanas</w:t>
            </w:r>
          </w:p>
        </w:tc>
        <w:tc>
          <w:tcPr>
            <w:tcW w:w="1034" w:type="dxa"/>
            <w:tcBorders>
              <w:top w:val="nil"/>
              <w:left w:val="nil"/>
              <w:bottom w:val="single" w:sz="4" w:space="0" w:color="auto"/>
              <w:right w:val="single" w:sz="4" w:space="0" w:color="auto"/>
            </w:tcBorders>
            <w:shd w:val="clear" w:color="auto" w:fill="auto"/>
            <w:noWrap/>
            <w:vAlign w:val="center"/>
            <w:hideMark/>
          </w:tcPr>
          <w:p w14:paraId="11031B6C"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3F3FADAA"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8F62BC7"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66FA1CAD"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367715</w:t>
            </w:r>
          </w:p>
        </w:tc>
      </w:tr>
      <w:tr w:rsidR="00BC00B3" w:rsidRPr="00697B6D" w14:paraId="7778EC3F" w14:textId="77777777" w:rsidTr="00301740">
        <w:trPr>
          <w:trHeight w:val="290"/>
        </w:trPr>
        <w:tc>
          <w:tcPr>
            <w:tcW w:w="1613" w:type="dxa"/>
            <w:vMerge/>
            <w:tcBorders>
              <w:left w:val="single" w:sz="4" w:space="0" w:color="auto"/>
              <w:right w:val="single" w:sz="4" w:space="0" w:color="auto"/>
            </w:tcBorders>
            <w:shd w:val="clear" w:color="auto" w:fill="auto"/>
            <w:noWrap/>
            <w:vAlign w:val="center"/>
            <w:hideMark/>
          </w:tcPr>
          <w:p w14:paraId="1FA7305C"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73" w:type="dxa"/>
            <w:tcBorders>
              <w:top w:val="nil"/>
              <w:left w:val="nil"/>
              <w:bottom w:val="single" w:sz="4" w:space="0" w:color="auto"/>
              <w:right w:val="single" w:sz="4" w:space="0" w:color="auto"/>
            </w:tcBorders>
            <w:shd w:val="clear" w:color="auto" w:fill="auto"/>
            <w:noWrap/>
            <w:vAlign w:val="center"/>
            <w:hideMark/>
          </w:tcPr>
          <w:p w14:paraId="6BF7058C"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Comisiones Institucionales</w:t>
            </w:r>
          </w:p>
        </w:tc>
        <w:tc>
          <w:tcPr>
            <w:tcW w:w="1183" w:type="dxa"/>
            <w:tcBorders>
              <w:top w:val="nil"/>
              <w:left w:val="nil"/>
              <w:bottom w:val="single" w:sz="4" w:space="0" w:color="auto"/>
              <w:right w:val="single" w:sz="4" w:space="0" w:color="auto"/>
            </w:tcBorders>
            <w:shd w:val="clear" w:color="auto" w:fill="auto"/>
            <w:noWrap/>
            <w:vAlign w:val="center"/>
            <w:hideMark/>
          </w:tcPr>
          <w:p w14:paraId="7E9CBAAD"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9993-CAJ-P01</w:t>
            </w:r>
          </w:p>
        </w:tc>
        <w:tc>
          <w:tcPr>
            <w:tcW w:w="2127" w:type="dxa"/>
            <w:tcBorders>
              <w:top w:val="nil"/>
              <w:left w:val="nil"/>
              <w:bottom w:val="single" w:sz="4" w:space="0" w:color="auto"/>
              <w:right w:val="single" w:sz="4" w:space="0" w:color="auto"/>
            </w:tcBorders>
            <w:shd w:val="clear" w:color="auto" w:fill="auto"/>
            <w:noWrap/>
            <w:vAlign w:val="center"/>
            <w:hideMark/>
          </w:tcPr>
          <w:p w14:paraId="5DB27190"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Política para el Acceso a la Justicia de los Pueblos Indígenas en el Poder Judicial</w:t>
            </w:r>
          </w:p>
        </w:tc>
        <w:tc>
          <w:tcPr>
            <w:tcW w:w="1034" w:type="dxa"/>
            <w:tcBorders>
              <w:top w:val="nil"/>
              <w:left w:val="nil"/>
              <w:bottom w:val="single" w:sz="4" w:space="0" w:color="auto"/>
              <w:right w:val="single" w:sz="4" w:space="0" w:color="auto"/>
            </w:tcBorders>
            <w:shd w:val="clear" w:color="auto" w:fill="auto"/>
            <w:noWrap/>
            <w:vAlign w:val="center"/>
            <w:hideMark/>
          </w:tcPr>
          <w:p w14:paraId="21BB7EC0"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30FA52A2"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E40E440"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ADMINISTRADOR REGIONAL 3 </w:t>
            </w:r>
          </w:p>
        </w:tc>
        <w:tc>
          <w:tcPr>
            <w:tcW w:w="761" w:type="dxa"/>
            <w:tcBorders>
              <w:top w:val="nil"/>
              <w:left w:val="nil"/>
              <w:bottom w:val="single" w:sz="4" w:space="0" w:color="auto"/>
              <w:right w:val="single" w:sz="4" w:space="0" w:color="auto"/>
            </w:tcBorders>
            <w:shd w:val="clear" w:color="auto" w:fill="auto"/>
            <w:noWrap/>
            <w:vAlign w:val="center"/>
            <w:hideMark/>
          </w:tcPr>
          <w:p w14:paraId="6A812518" w14:textId="4E7E17C4"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14902</w:t>
            </w:r>
            <w:r w:rsidR="00AC5381">
              <w:rPr>
                <w:rStyle w:val="Refdenotaalpie"/>
                <w:rFonts w:ascii="Book Antiqua" w:eastAsia="Times New Roman" w:hAnsi="Book Antiqua" w:cs="Calibri"/>
                <w:color w:val="000000"/>
                <w:sz w:val="14"/>
                <w:szCs w:val="14"/>
                <w:lang w:eastAsia="es-CR"/>
              </w:rPr>
              <w:footnoteReference w:id="9"/>
            </w:r>
          </w:p>
        </w:tc>
      </w:tr>
      <w:tr w:rsidR="00BC00B3" w:rsidRPr="00697B6D" w14:paraId="1C20D2E9" w14:textId="77777777" w:rsidTr="00301740">
        <w:trPr>
          <w:trHeight w:val="290"/>
        </w:trPr>
        <w:tc>
          <w:tcPr>
            <w:tcW w:w="1613" w:type="dxa"/>
            <w:vMerge/>
            <w:tcBorders>
              <w:left w:val="single" w:sz="4" w:space="0" w:color="auto"/>
              <w:right w:val="single" w:sz="4" w:space="0" w:color="auto"/>
            </w:tcBorders>
            <w:shd w:val="clear" w:color="auto" w:fill="auto"/>
            <w:noWrap/>
            <w:vAlign w:val="center"/>
            <w:hideMark/>
          </w:tcPr>
          <w:p w14:paraId="750C279E"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73" w:type="dxa"/>
            <w:tcBorders>
              <w:top w:val="nil"/>
              <w:left w:val="nil"/>
              <w:bottom w:val="single" w:sz="4" w:space="0" w:color="auto"/>
              <w:right w:val="single" w:sz="4" w:space="0" w:color="auto"/>
            </w:tcBorders>
            <w:shd w:val="clear" w:color="auto" w:fill="auto"/>
            <w:noWrap/>
            <w:vAlign w:val="center"/>
            <w:hideMark/>
          </w:tcPr>
          <w:p w14:paraId="6E58C69E"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Departamento de Prensa y Comunicación Organizacional</w:t>
            </w:r>
          </w:p>
        </w:tc>
        <w:tc>
          <w:tcPr>
            <w:tcW w:w="1183" w:type="dxa"/>
            <w:tcBorders>
              <w:top w:val="nil"/>
              <w:left w:val="nil"/>
              <w:bottom w:val="single" w:sz="4" w:space="0" w:color="auto"/>
              <w:right w:val="single" w:sz="4" w:space="0" w:color="auto"/>
            </w:tcBorders>
            <w:shd w:val="clear" w:color="auto" w:fill="auto"/>
            <w:noWrap/>
            <w:vAlign w:val="center"/>
            <w:hideMark/>
          </w:tcPr>
          <w:p w14:paraId="5EC87CBB"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0116-DPC-P01</w:t>
            </w:r>
          </w:p>
        </w:tc>
        <w:tc>
          <w:tcPr>
            <w:tcW w:w="2127" w:type="dxa"/>
            <w:tcBorders>
              <w:top w:val="nil"/>
              <w:left w:val="nil"/>
              <w:bottom w:val="single" w:sz="4" w:space="0" w:color="auto"/>
              <w:right w:val="single" w:sz="4" w:space="0" w:color="auto"/>
            </w:tcBorders>
            <w:shd w:val="clear" w:color="auto" w:fill="auto"/>
            <w:noWrap/>
            <w:vAlign w:val="center"/>
            <w:hideMark/>
          </w:tcPr>
          <w:p w14:paraId="4C65E9F9"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Política de Comunicación Integral</w:t>
            </w:r>
          </w:p>
        </w:tc>
        <w:tc>
          <w:tcPr>
            <w:tcW w:w="1034" w:type="dxa"/>
            <w:tcBorders>
              <w:top w:val="nil"/>
              <w:left w:val="nil"/>
              <w:bottom w:val="single" w:sz="4" w:space="0" w:color="auto"/>
              <w:right w:val="single" w:sz="4" w:space="0" w:color="auto"/>
            </w:tcBorders>
            <w:shd w:val="clear" w:color="auto" w:fill="auto"/>
            <w:noWrap/>
            <w:vAlign w:val="center"/>
            <w:hideMark/>
          </w:tcPr>
          <w:p w14:paraId="7CCDDFB4"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010BEBF7"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16801AD"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4E15245D"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103060</w:t>
            </w:r>
          </w:p>
        </w:tc>
      </w:tr>
      <w:tr w:rsidR="00BC00B3" w:rsidRPr="00697B6D" w14:paraId="43DA6AD2" w14:textId="77777777" w:rsidTr="00301740">
        <w:trPr>
          <w:trHeight w:val="290"/>
        </w:trPr>
        <w:tc>
          <w:tcPr>
            <w:tcW w:w="1613" w:type="dxa"/>
            <w:vMerge/>
            <w:tcBorders>
              <w:left w:val="single" w:sz="4" w:space="0" w:color="auto"/>
              <w:right w:val="single" w:sz="4" w:space="0" w:color="auto"/>
            </w:tcBorders>
            <w:shd w:val="clear" w:color="auto" w:fill="auto"/>
            <w:noWrap/>
            <w:vAlign w:val="center"/>
            <w:hideMark/>
          </w:tcPr>
          <w:p w14:paraId="3248074B"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73" w:type="dxa"/>
            <w:tcBorders>
              <w:top w:val="nil"/>
              <w:left w:val="nil"/>
              <w:bottom w:val="single" w:sz="4" w:space="0" w:color="auto"/>
              <w:right w:val="single" w:sz="4" w:space="0" w:color="auto"/>
            </w:tcBorders>
            <w:shd w:val="clear" w:color="auto" w:fill="auto"/>
            <w:noWrap/>
            <w:vAlign w:val="center"/>
            <w:hideMark/>
          </w:tcPr>
          <w:p w14:paraId="104C8923"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Despacho de Presidencia</w:t>
            </w:r>
          </w:p>
        </w:tc>
        <w:tc>
          <w:tcPr>
            <w:tcW w:w="1183" w:type="dxa"/>
            <w:tcBorders>
              <w:top w:val="nil"/>
              <w:left w:val="nil"/>
              <w:bottom w:val="single" w:sz="4" w:space="0" w:color="auto"/>
              <w:right w:val="single" w:sz="4" w:space="0" w:color="auto"/>
            </w:tcBorders>
            <w:shd w:val="clear" w:color="auto" w:fill="auto"/>
            <w:noWrap/>
            <w:vAlign w:val="center"/>
            <w:hideMark/>
          </w:tcPr>
          <w:p w14:paraId="6335C2BA" w14:textId="45E4FF3F"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0653-DP-P16 </w:t>
            </w:r>
          </w:p>
        </w:tc>
        <w:tc>
          <w:tcPr>
            <w:tcW w:w="2127" w:type="dxa"/>
            <w:tcBorders>
              <w:top w:val="nil"/>
              <w:left w:val="nil"/>
              <w:bottom w:val="single" w:sz="4" w:space="0" w:color="auto"/>
              <w:right w:val="single" w:sz="4" w:space="0" w:color="auto"/>
            </w:tcBorders>
            <w:shd w:val="clear" w:color="auto" w:fill="auto"/>
            <w:noWrap/>
            <w:vAlign w:val="center"/>
            <w:hideMark/>
          </w:tcPr>
          <w:p w14:paraId="207C508F"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Mejorar desafíos en el ámbito jurisdiccional establecidos en el cuarto Informe del Estado de la Justicia</w:t>
            </w:r>
          </w:p>
        </w:tc>
        <w:tc>
          <w:tcPr>
            <w:tcW w:w="1034" w:type="dxa"/>
            <w:tcBorders>
              <w:top w:val="nil"/>
              <w:left w:val="nil"/>
              <w:bottom w:val="single" w:sz="4" w:space="0" w:color="auto"/>
              <w:right w:val="single" w:sz="4" w:space="0" w:color="auto"/>
            </w:tcBorders>
            <w:shd w:val="clear" w:color="auto" w:fill="auto"/>
            <w:noWrap/>
            <w:vAlign w:val="center"/>
            <w:hideMark/>
          </w:tcPr>
          <w:p w14:paraId="5C2B4282"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02A356CA"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F452387"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DERECHO 3B </w:t>
            </w:r>
          </w:p>
        </w:tc>
        <w:tc>
          <w:tcPr>
            <w:tcW w:w="761" w:type="dxa"/>
            <w:tcBorders>
              <w:top w:val="nil"/>
              <w:left w:val="nil"/>
              <w:bottom w:val="single" w:sz="4" w:space="0" w:color="auto"/>
              <w:right w:val="single" w:sz="4" w:space="0" w:color="auto"/>
            </w:tcBorders>
            <w:shd w:val="clear" w:color="auto" w:fill="auto"/>
            <w:noWrap/>
            <w:vAlign w:val="center"/>
            <w:hideMark/>
          </w:tcPr>
          <w:p w14:paraId="2A70C8F7" w14:textId="61C57C6D"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56745</w:t>
            </w:r>
            <w:r w:rsidR="00AC5381">
              <w:rPr>
                <w:rStyle w:val="Refdenotaalpie"/>
                <w:rFonts w:ascii="Book Antiqua" w:eastAsia="Times New Roman" w:hAnsi="Book Antiqua" w:cs="Calibri"/>
                <w:color w:val="000000"/>
                <w:sz w:val="14"/>
                <w:szCs w:val="14"/>
                <w:lang w:eastAsia="es-CR"/>
              </w:rPr>
              <w:footnoteReference w:id="10"/>
            </w:r>
          </w:p>
        </w:tc>
      </w:tr>
      <w:tr w:rsidR="007E6FC1" w:rsidRPr="00697B6D" w14:paraId="7A64F71C" w14:textId="77777777" w:rsidTr="00301740">
        <w:trPr>
          <w:trHeight w:val="290"/>
        </w:trPr>
        <w:tc>
          <w:tcPr>
            <w:tcW w:w="1613" w:type="dxa"/>
            <w:vMerge/>
            <w:tcBorders>
              <w:left w:val="single" w:sz="4" w:space="0" w:color="auto"/>
              <w:right w:val="single" w:sz="4" w:space="0" w:color="auto"/>
            </w:tcBorders>
            <w:shd w:val="clear" w:color="auto" w:fill="auto"/>
            <w:noWrap/>
            <w:vAlign w:val="center"/>
            <w:hideMark/>
          </w:tcPr>
          <w:p w14:paraId="2D40D1E2"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val="restart"/>
            <w:tcBorders>
              <w:top w:val="nil"/>
              <w:left w:val="nil"/>
              <w:right w:val="single" w:sz="4" w:space="0" w:color="auto"/>
            </w:tcBorders>
            <w:shd w:val="clear" w:color="auto" w:fill="auto"/>
            <w:noWrap/>
            <w:vAlign w:val="center"/>
            <w:hideMark/>
          </w:tcPr>
          <w:p w14:paraId="2AC08B8B"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Dirección de Planificación</w:t>
            </w:r>
          </w:p>
        </w:tc>
        <w:tc>
          <w:tcPr>
            <w:tcW w:w="1183" w:type="dxa"/>
            <w:tcBorders>
              <w:top w:val="nil"/>
              <w:left w:val="nil"/>
              <w:bottom w:val="single" w:sz="4" w:space="0" w:color="auto"/>
              <w:right w:val="single" w:sz="4" w:space="0" w:color="auto"/>
            </w:tcBorders>
            <w:shd w:val="clear" w:color="auto" w:fill="auto"/>
            <w:noWrap/>
            <w:vAlign w:val="center"/>
            <w:hideMark/>
          </w:tcPr>
          <w:p w14:paraId="37B60F11"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0110-PLA-P01</w:t>
            </w:r>
          </w:p>
        </w:tc>
        <w:tc>
          <w:tcPr>
            <w:tcW w:w="2127" w:type="dxa"/>
            <w:tcBorders>
              <w:top w:val="nil"/>
              <w:left w:val="nil"/>
              <w:bottom w:val="single" w:sz="4" w:space="0" w:color="auto"/>
              <w:right w:val="single" w:sz="4" w:space="0" w:color="auto"/>
            </w:tcBorders>
            <w:shd w:val="clear" w:color="auto" w:fill="auto"/>
            <w:noWrap/>
            <w:vAlign w:val="center"/>
            <w:hideMark/>
          </w:tcPr>
          <w:p w14:paraId="5E6CC229"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Automatización de Indicadores de Gestión</w:t>
            </w:r>
          </w:p>
        </w:tc>
        <w:tc>
          <w:tcPr>
            <w:tcW w:w="1034" w:type="dxa"/>
            <w:vMerge w:val="restart"/>
            <w:tcBorders>
              <w:top w:val="nil"/>
              <w:left w:val="nil"/>
              <w:right w:val="single" w:sz="4" w:space="0" w:color="auto"/>
            </w:tcBorders>
            <w:shd w:val="clear" w:color="auto" w:fill="auto"/>
            <w:noWrap/>
            <w:vAlign w:val="center"/>
            <w:hideMark/>
          </w:tcPr>
          <w:p w14:paraId="0D618793"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719ABC5C"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8390AD5"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1F617F7F"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96485</w:t>
            </w:r>
          </w:p>
        </w:tc>
      </w:tr>
      <w:tr w:rsidR="00CE48BE" w:rsidRPr="00697B6D" w14:paraId="69DD1BB7" w14:textId="77777777" w:rsidTr="00301740">
        <w:trPr>
          <w:trHeight w:val="290"/>
        </w:trPr>
        <w:tc>
          <w:tcPr>
            <w:tcW w:w="1613" w:type="dxa"/>
            <w:vMerge/>
            <w:tcBorders>
              <w:left w:val="single" w:sz="4" w:space="0" w:color="auto"/>
              <w:right w:val="single" w:sz="4" w:space="0" w:color="auto"/>
            </w:tcBorders>
            <w:shd w:val="clear" w:color="auto" w:fill="auto"/>
            <w:noWrap/>
            <w:vAlign w:val="center"/>
            <w:hideMark/>
          </w:tcPr>
          <w:p w14:paraId="0E68F46C"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B758176"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15F48ED8"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0110-PLA-P04</w:t>
            </w:r>
          </w:p>
        </w:tc>
        <w:tc>
          <w:tcPr>
            <w:tcW w:w="2127" w:type="dxa"/>
            <w:vMerge w:val="restart"/>
            <w:tcBorders>
              <w:top w:val="nil"/>
              <w:left w:val="nil"/>
              <w:right w:val="single" w:sz="4" w:space="0" w:color="auto"/>
            </w:tcBorders>
            <w:shd w:val="clear" w:color="auto" w:fill="auto"/>
            <w:noWrap/>
            <w:vAlign w:val="center"/>
            <w:hideMark/>
          </w:tcPr>
          <w:p w14:paraId="6218BB6D"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Mejora del Proceso Penal (Ámbito Jurisdiccional)</w:t>
            </w:r>
          </w:p>
        </w:tc>
        <w:tc>
          <w:tcPr>
            <w:tcW w:w="1034" w:type="dxa"/>
            <w:vMerge/>
            <w:tcBorders>
              <w:left w:val="nil"/>
              <w:right w:val="single" w:sz="4" w:space="0" w:color="auto"/>
            </w:tcBorders>
            <w:shd w:val="clear" w:color="auto" w:fill="auto"/>
            <w:noWrap/>
            <w:vAlign w:val="center"/>
          </w:tcPr>
          <w:p w14:paraId="69DB1EF5"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163F9F75"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1D5080C"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COORDINADOR DE UNIDAD 3 </w:t>
            </w:r>
          </w:p>
        </w:tc>
        <w:tc>
          <w:tcPr>
            <w:tcW w:w="761" w:type="dxa"/>
            <w:tcBorders>
              <w:top w:val="nil"/>
              <w:left w:val="nil"/>
              <w:bottom w:val="single" w:sz="4" w:space="0" w:color="auto"/>
              <w:right w:val="single" w:sz="4" w:space="0" w:color="auto"/>
            </w:tcBorders>
            <w:shd w:val="clear" w:color="auto" w:fill="auto"/>
            <w:noWrap/>
            <w:vAlign w:val="center"/>
            <w:hideMark/>
          </w:tcPr>
          <w:p w14:paraId="04A28536"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365602</w:t>
            </w:r>
          </w:p>
        </w:tc>
      </w:tr>
      <w:tr w:rsidR="00CE48BE" w:rsidRPr="00697B6D" w14:paraId="5BE690EC" w14:textId="77777777" w:rsidTr="00301740">
        <w:trPr>
          <w:trHeight w:val="290"/>
        </w:trPr>
        <w:tc>
          <w:tcPr>
            <w:tcW w:w="1613" w:type="dxa"/>
            <w:vMerge/>
            <w:tcBorders>
              <w:left w:val="single" w:sz="4" w:space="0" w:color="auto"/>
              <w:right w:val="single" w:sz="4" w:space="0" w:color="auto"/>
            </w:tcBorders>
            <w:shd w:val="clear" w:color="auto" w:fill="auto"/>
            <w:noWrap/>
            <w:vAlign w:val="center"/>
            <w:hideMark/>
          </w:tcPr>
          <w:p w14:paraId="627D3709"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8B54243"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5CBBF70E"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3201B186"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06042891"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894EFB5"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4BCD2F6"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JEFE ADMINISTRATIVO 4 </w:t>
            </w:r>
          </w:p>
        </w:tc>
        <w:tc>
          <w:tcPr>
            <w:tcW w:w="761" w:type="dxa"/>
            <w:tcBorders>
              <w:top w:val="nil"/>
              <w:left w:val="nil"/>
              <w:bottom w:val="single" w:sz="4" w:space="0" w:color="auto"/>
              <w:right w:val="single" w:sz="4" w:space="0" w:color="auto"/>
            </w:tcBorders>
            <w:shd w:val="clear" w:color="auto" w:fill="auto"/>
            <w:noWrap/>
            <w:vAlign w:val="center"/>
            <w:hideMark/>
          </w:tcPr>
          <w:p w14:paraId="4AF609E6"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107846</w:t>
            </w:r>
          </w:p>
        </w:tc>
      </w:tr>
      <w:tr w:rsidR="00BC00B3" w:rsidRPr="00697B6D" w14:paraId="609C05EB" w14:textId="77777777" w:rsidTr="00301740">
        <w:trPr>
          <w:trHeight w:val="290"/>
        </w:trPr>
        <w:tc>
          <w:tcPr>
            <w:tcW w:w="1613" w:type="dxa"/>
            <w:vMerge/>
            <w:tcBorders>
              <w:left w:val="single" w:sz="4" w:space="0" w:color="auto"/>
              <w:right w:val="single" w:sz="4" w:space="0" w:color="auto"/>
            </w:tcBorders>
            <w:shd w:val="clear" w:color="auto" w:fill="auto"/>
            <w:noWrap/>
            <w:vAlign w:val="center"/>
            <w:hideMark/>
          </w:tcPr>
          <w:p w14:paraId="37529BCE"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7300127"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07A934C6"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0110-PLA-P07</w:t>
            </w:r>
          </w:p>
        </w:tc>
        <w:tc>
          <w:tcPr>
            <w:tcW w:w="2127" w:type="dxa"/>
            <w:tcBorders>
              <w:top w:val="nil"/>
              <w:left w:val="nil"/>
              <w:bottom w:val="single" w:sz="4" w:space="0" w:color="auto"/>
              <w:right w:val="single" w:sz="4" w:space="0" w:color="auto"/>
            </w:tcBorders>
            <w:shd w:val="clear" w:color="auto" w:fill="auto"/>
            <w:noWrap/>
            <w:vAlign w:val="center"/>
            <w:hideMark/>
          </w:tcPr>
          <w:p w14:paraId="015A504C"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Sistema de Gestión del Plan Estratégico Institucional</w:t>
            </w:r>
          </w:p>
        </w:tc>
        <w:tc>
          <w:tcPr>
            <w:tcW w:w="1034" w:type="dxa"/>
            <w:vMerge/>
            <w:tcBorders>
              <w:left w:val="nil"/>
              <w:right w:val="single" w:sz="4" w:space="0" w:color="auto"/>
            </w:tcBorders>
            <w:shd w:val="clear" w:color="auto" w:fill="auto"/>
            <w:noWrap/>
            <w:vAlign w:val="center"/>
          </w:tcPr>
          <w:p w14:paraId="00C72837"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35E66B9"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797BB03"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62EE0754"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382054</w:t>
            </w:r>
          </w:p>
        </w:tc>
      </w:tr>
      <w:tr w:rsidR="00BC00B3" w:rsidRPr="00697B6D" w14:paraId="4BBEB725" w14:textId="77777777" w:rsidTr="00301740">
        <w:trPr>
          <w:trHeight w:val="290"/>
        </w:trPr>
        <w:tc>
          <w:tcPr>
            <w:tcW w:w="1613" w:type="dxa"/>
            <w:vMerge/>
            <w:tcBorders>
              <w:left w:val="single" w:sz="4" w:space="0" w:color="auto"/>
              <w:right w:val="single" w:sz="4" w:space="0" w:color="auto"/>
            </w:tcBorders>
            <w:shd w:val="clear" w:color="auto" w:fill="auto"/>
            <w:noWrap/>
            <w:vAlign w:val="center"/>
            <w:hideMark/>
          </w:tcPr>
          <w:p w14:paraId="5C9BF17E"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58C68E8"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56A168F7"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0110-PLA-P14</w:t>
            </w:r>
          </w:p>
        </w:tc>
        <w:tc>
          <w:tcPr>
            <w:tcW w:w="2127" w:type="dxa"/>
            <w:tcBorders>
              <w:top w:val="nil"/>
              <w:left w:val="nil"/>
              <w:bottom w:val="single" w:sz="4" w:space="0" w:color="auto"/>
              <w:right w:val="single" w:sz="4" w:space="0" w:color="auto"/>
            </w:tcBorders>
            <w:shd w:val="clear" w:color="auto" w:fill="auto"/>
            <w:noWrap/>
            <w:vAlign w:val="center"/>
            <w:hideMark/>
          </w:tcPr>
          <w:p w14:paraId="0944C006"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Modelo de Gestión de Presupuestos Plurianuales</w:t>
            </w:r>
          </w:p>
        </w:tc>
        <w:tc>
          <w:tcPr>
            <w:tcW w:w="1034" w:type="dxa"/>
            <w:vMerge/>
            <w:tcBorders>
              <w:left w:val="nil"/>
              <w:right w:val="single" w:sz="4" w:space="0" w:color="auto"/>
            </w:tcBorders>
            <w:shd w:val="clear" w:color="auto" w:fill="auto"/>
            <w:noWrap/>
            <w:vAlign w:val="center"/>
          </w:tcPr>
          <w:p w14:paraId="2D87560F"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BFD59E9"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16F1F08"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1F063227"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108608</w:t>
            </w:r>
          </w:p>
        </w:tc>
      </w:tr>
      <w:tr w:rsidR="00BC00B3" w:rsidRPr="00697B6D" w14:paraId="78AC2E29" w14:textId="77777777" w:rsidTr="00301740">
        <w:trPr>
          <w:trHeight w:val="290"/>
        </w:trPr>
        <w:tc>
          <w:tcPr>
            <w:tcW w:w="1613" w:type="dxa"/>
            <w:vMerge/>
            <w:tcBorders>
              <w:left w:val="single" w:sz="4" w:space="0" w:color="auto"/>
              <w:right w:val="single" w:sz="4" w:space="0" w:color="auto"/>
            </w:tcBorders>
            <w:shd w:val="clear" w:color="auto" w:fill="auto"/>
            <w:noWrap/>
            <w:vAlign w:val="center"/>
            <w:hideMark/>
          </w:tcPr>
          <w:p w14:paraId="6E84D587"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9007E59"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22FC0229"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0110-PLA-P23</w:t>
            </w:r>
          </w:p>
        </w:tc>
        <w:tc>
          <w:tcPr>
            <w:tcW w:w="2127" w:type="dxa"/>
            <w:tcBorders>
              <w:top w:val="nil"/>
              <w:left w:val="nil"/>
              <w:bottom w:val="single" w:sz="4" w:space="0" w:color="auto"/>
              <w:right w:val="single" w:sz="4" w:space="0" w:color="auto"/>
            </w:tcBorders>
            <w:shd w:val="clear" w:color="auto" w:fill="auto"/>
            <w:noWrap/>
            <w:vAlign w:val="center"/>
            <w:hideMark/>
          </w:tcPr>
          <w:p w14:paraId="38EBB30A"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Automatización de procesos Jurisdiccionales</w:t>
            </w:r>
          </w:p>
        </w:tc>
        <w:tc>
          <w:tcPr>
            <w:tcW w:w="1034" w:type="dxa"/>
            <w:vMerge/>
            <w:tcBorders>
              <w:left w:val="nil"/>
              <w:right w:val="single" w:sz="4" w:space="0" w:color="auto"/>
            </w:tcBorders>
            <w:shd w:val="clear" w:color="auto" w:fill="auto"/>
            <w:noWrap/>
            <w:vAlign w:val="center"/>
          </w:tcPr>
          <w:p w14:paraId="45405FCC"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51A7F4CB"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366E7DD"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0DD9D424"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382053</w:t>
            </w:r>
          </w:p>
        </w:tc>
      </w:tr>
      <w:tr w:rsidR="00BC00B3" w:rsidRPr="00697B6D" w14:paraId="3F55A024" w14:textId="77777777" w:rsidTr="00301740">
        <w:trPr>
          <w:trHeight w:val="290"/>
        </w:trPr>
        <w:tc>
          <w:tcPr>
            <w:tcW w:w="1613" w:type="dxa"/>
            <w:vMerge/>
            <w:tcBorders>
              <w:left w:val="single" w:sz="4" w:space="0" w:color="auto"/>
              <w:right w:val="single" w:sz="4" w:space="0" w:color="auto"/>
            </w:tcBorders>
            <w:shd w:val="clear" w:color="auto" w:fill="auto"/>
            <w:noWrap/>
            <w:vAlign w:val="center"/>
            <w:hideMark/>
          </w:tcPr>
          <w:p w14:paraId="0073C6DF"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4A102BE"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5FF339E5"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0110-PLA-P25</w:t>
            </w:r>
          </w:p>
        </w:tc>
        <w:tc>
          <w:tcPr>
            <w:tcW w:w="2127" w:type="dxa"/>
            <w:tcBorders>
              <w:top w:val="nil"/>
              <w:left w:val="nil"/>
              <w:bottom w:val="single" w:sz="4" w:space="0" w:color="auto"/>
              <w:right w:val="single" w:sz="4" w:space="0" w:color="auto"/>
            </w:tcBorders>
            <w:shd w:val="clear" w:color="auto" w:fill="auto"/>
            <w:noWrap/>
            <w:vAlign w:val="center"/>
            <w:hideMark/>
          </w:tcPr>
          <w:p w14:paraId="1100E9C6"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Implementación de oficina Modelo en materia de Tránsito primera Instancia</w:t>
            </w:r>
          </w:p>
        </w:tc>
        <w:tc>
          <w:tcPr>
            <w:tcW w:w="1034" w:type="dxa"/>
            <w:vMerge/>
            <w:tcBorders>
              <w:left w:val="nil"/>
              <w:right w:val="single" w:sz="4" w:space="0" w:color="auto"/>
            </w:tcBorders>
            <w:shd w:val="clear" w:color="auto" w:fill="auto"/>
            <w:noWrap/>
            <w:vAlign w:val="center"/>
          </w:tcPr>
          <w:p w14:paraId="6B1513C3"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22A420F2"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D909632"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7EDEAB11"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372017</w:t>
            </w:r>
          </w:p>
        </w:tc>
      </w:tr>
      <w:tr w:rsidR="00BC00B3" w:rsidRPr="00697B6D" w14:paraId="5598F46E" w14:textId="77777777" w:rsidTr="00301740">
        <w:trPr>
          <w:trHeight w:val="290"/>
        </w:trPr>
        <w:tc>
          <w:tcPr>
            <w:tcW w:w="1613" w:type="dxa"/>
            <w:vMerge/>
            <w:tcBorders>
              <w:left w:val="single" w:sz="4" w:space="0" w:color="auto"/>
              <w:right w:val="single" w:sz="4" w:space="0" w:color="auto"/>
            </w:tcBorders>
            <w:shd w:val="clear" w:color="auto" w:fill="auto"/>
            <w:noWrap/>
            <w:vAlign w:val="center"/>
            <w:hideMark/>
          </w:tcPr>
          <w:p w14:paraId="52ED4D62"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4BE8D4D"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4D3FC7F8"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0110-PLA-P32</w:t>
            </w:r>
          </w:p>
        </w:tc>
        <w:tc>
          <w:tcPr>
            <w:tcW w:w="2127" w:type="dxa"/>
            <w:tcBorders>
              <w:top w:val="nil"/>
              <w:left w:val="nil"/>
              <w:bottom w:val="single" w:sz="4" w:space="0" w:color="auto"/>
              <w:right w:val="single" w:sz="4" w:space="0" w:color="auto"/>
            </w:tcBorders>
            <w:shd w:val="clear" w:color="auto" w:fill="auto"/>
            <w:noWrap/>
            <w:vAlign w:val="center"/>
            <w:hideMark/>
          </w:tcPr>
          <w:p w14:paraId="22E75ED2"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Implementación de oficina Modelo en el Juzgado y Tribunal Notarial</w:t>
            </w:r>
          </w:p>
        </w:tc>
        <w:tc>
          <w:tcPr>
            <w:tcW w:w="1034" w:type="dxa"/>
            <w:vMerge/>
            <w:tcBorders>
              <w:left w:val="nil"/>
              <w:right w:val="single" w:sz="4" w:space="0" w:color="auto"/>
            </w:tcBorders>
            <w:shd w:val="clear" w:color="auto" w:fill="auto"/>
            <w:noWrap/>
            <w:vAlign w:val="center"/>
          </w:tcPr>
          <w:p w14:paraId="212D5D15"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458AA58"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88BE941"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6A80430B"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35497</w:t>
            </w:r>
          </w:p>
        </w:tc>
      </w:tr>
      <w:tr w:rsidR="00BC00B3" w:rsidRPr="00697B6D" w14:paraId="45D177C1" w14:textId="77777777" w:rsidTr="00301740">
        <w:trPr>
          <w:trHeight w:val="290"/>
        </w:trPr>
        <w:tc>
          <w:tcPr>
            <w:tcW w:w="1613" w:type="dxa"/>
            <w:vMerge/>
            <w:tcBorders>
              <w:left w:val="single" w:sz="4" w:space="0" w:color="auto"/>
              <w:right w:val="single" w:sz="4" w:space="0" w:color="auto"/>
            </w:tcBorders>
            <w:shd w:val="clear" w:color="auto" w:fill="auto"/>
            <w:noWrap/>
            <w:vAlign w:val="center"/>
            <w:hideMark/>
          </w:tcPr>
          <w:p w14:paraId="67E60E54"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FC09BB5"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1B225DE0"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0110-PLA-P38</w:t>
            </w:r>
          </w:p>
        </w:tc>
        <w:tc>
          <w:tcPr>
            <w:tcW w:w="2127" w:type="dxa"/>
            <w:tcBorders>
              <w:top w:val="nil"/>
              <w:left w:val="nil"/>
              <w:bottom w:val="single" w:sz="4" w:space="0" w:color="auto"/>
              <w:right w:val="single" w:sz="4" w:space="0" w:color="auto"/>
            </w:tcBorders>
            <w:shd w:val="clear" w:color="auto" w:fill="auto"/>
            <w:noWrap/>
            <w:vAlign w:val="center"/>
            <w:hideMark/>
          </w:tcPr>
          <w:p w14:paraId="10781C3D"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Proyecto de automatización e inteligencia en materia penal</w:t>
            </w:r>
          </w:p>
        </w:tc>
        <w:tc>
          <w:tcPr>
            <w:tcW w:w="1034" w:type="dxa"/>
            <w:vMerge/>
            <w:tcBorders>
              <w:left w:val="nil"/>
              <w:right w:val="single" w:sz="4" w:space="0" w:color="auto"/>
            </w:tcBorders>
            <w:shd w:val="clear" w:color="auto" w:fill="auto"/>
            <w:noWrap/>
            <w:vAlign w:val="center"/>
          </w:tcPr>
          <w:p w14:paraId="6AE01D09"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2C6CA0C"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F41F7DE"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70CEBA64"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382052</w:t>
            </w:r>
          </w:p>
        </w:tc>
      </w:tr>
      <w:tr w:rsidR="00CE48BE" w:rsidRPr="00697B6D" w14:paraId="0343C25C" w14:textId="77777777" w:rsidTr="00AC5381">
        <w:trPr>
          <w:trHeight w:val="290"/>
        </w:trPr>
        <w:tc>
          <w:tcPr>
            <w:tcW w:w="1613" w:type="dxa"/>
            <w:vMerge/>
            <w:tcBorders>
              <w:left w:val="single" w:sz="4" w:space="0" w:color="auto"/>
              <w:right w:val="single" w:sz="4" w:space="0" w:color="auto"/>
            </w:tcBorders>
            <w:shd w:val="clear" w:color="auto" w:fill="auto"/>
            <w:noWrap/>
            <w:vAlign w:val="center"/>
            <w:hideMark/>
          </w:tcPr>
          <w:p w14:paraId="0FEBF079"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bottom w:val="single" w:sz="4" w:space="0" w:color="auto"/>
              <w:right w:val="single" w:sz="4" w:space="0" w:color="auto"/>
            </w:tcBorders>
            <w:shd w:val="clear" w:color="auto" w:fill="auto"/>
            <w:noWrap/>
            <w:vAlign w:val="center"/>
          </w:tcPr>
          <w:p w14:paraId="6974FEC3"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485E7082"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0653-DP-P14</w:t>
            </w:r>
          </w:p>
        </w:tc>
        <w:tc>
          <w:tcPr>
            <w:tcW w:w="2127" w:type="dxa"/>
            <w:tcBorders>
              <w:top w:val="nil"/>
              <w:left w:val="nil"/>
              <w:bottom w:val="single" w:sz="4" w:space="0" w:color="auto"/>
              <w:right w:val="single" w:sz="4" w:space="0" w:color="auto"/>
            </w:tcBorders>
            <w:shd w:val="clear" w:color="auto" w:fill="auto"/>
            <w:noWrap/>
            <w:vAlign w:val="center"/>
            <w:hideMark/>
          </w:tcPr>
          <w:p w14:paraId="6A0EF3C1"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Desarrollo e Implantación Sistema Observatorio Judicial</w:t>
            </w:r>
          </w:p>
        </w:tc>
        <w:tc>
          <w:tcPr>
            <w:tcW w:w="1034" w:type="dxa"/>
            <w:vMerge/>
            <w:tcBorders>
              <w:left w:val="nil"/>
              <w:bottom w:val="single" w:sz="4" w:space="0" w:color="auto"/>
              <w:right w:val="single" w:sz="4" w:space="0" w:color="auto"/>
            </w:tcBorders>
            <w:shd w:val="clear" w:color="auto" w:fill="auto"/>
            <w:noWrap/>
            <w:vAlign w:val="center"/>
          </w:tcPr>
          <w:p w14:paraId="5AAA2CB8"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4D82877A"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3943E18"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091EF258"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5932</w:t>
            </w:r>
          </w:p>
        </w:tc>
      </w:tr>
      <w:tr w:rsidR="00CE48BE" w:rsidRPr="00697B6D" w14:paraId="518918F8" w14:textId="77777777" w:rsidTr="00AC5381">
        <w:trPr>
          <w:trHeight w:val="290"/>
        </w:trPr>
        <w:tc>
          <w:tcPr>
            <w:tcW w:w="1613" w:type="dxa"/>
            <w:vMerge/>
            <w:tcBorders>
              <w:left w:val="single" w:sz="4" w:space="0" w:color="auto"/>
              <w:right w:val="single" w:sz="4" w:space="0" w:color="auto"/>
            </w:tcBorders>
            <w:shd w:val="clear" w:color="auto" w:fill="auto"/>
            <w:noWrap/>
            <w:vAlign w:val="center"/>
            <w:hideMark/>
          </w:tcPr>
          <w:p w14:paraId="5983F33A"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val="restart"/>
            <w:tcBorders>
              <w:top w:val="nil"/>
              <w:left w:val="nil"/>
              <w:right w:val="single" w:sz="4" w:space="0" w:color="auto"/>
            </w:tcBorders>
            <w:shd w:val="clear" w:color="auto" w:fill="auto"/>
            <w:noWrap/>
            <w:vAlign w:val="center"/>
            <w:hideMark/>
          </w:tcPr>
          <w:p w14:paraId="3616CD91"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Dirección de Tecnología de </w:t>
            </w:r>
            <w:r w:rsidRPr="00697B6D">
              <w:rPr>
                <w:rFonts w:ascii="Book Antiqua" w:eastAsia="Times New Roman" w:hAnsi="Book Antiqua" w:cs="Calibri"/>
                <w:color w:val="000000"/>
                <w:sz w:val="14"/>
                <w:szCs w:val="14"/>
                <w:lang w:eastAsia="es-CR"/>
              </w:rPr>
              <w:lastRenderedPageBreak/>
              <w:t>Información y Comunicaciones</w:t>
            </w:r>
          </w:p>
          <w:p w14:paraId="23D907D3"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580DDC74"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lastRenderedPageBreak/>
              <w:t>0034-CIJ-P02</w:t>
            </w:r>
          </w:p>
        </w:tc>
        <w:tc>
          <w:tcPr>
            <w:tcW w:w="2127" w:type="dxa"/>
            <w:tcBorders>
              <w:top w:val="nil"/>
              <w:left w:val="nil"/>
              <w:bottom w:val="single" w:sz="4" w:space="0" w:color="auto"/>
              <w:right w:val="single" w:sz="4" w:space="0" w:color="auto"/>
            </w:tcBorders>
            <w:shd w:val="clear" w:color="auto" w:fill="auto"/>
            <w:noWrap/>
            <w:vAlign w:val="center"/>
            <w:hideMark/>
          </w:tcPr>
          <w:p w14:paraId="26CF2DD3"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Herramienta para despersonalización de documentos judiciales</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751DCFC4"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13B8836C"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8968B65"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326E6E45"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96463</w:t>
            </w:r>
          </w:p>
        </w:tc>
      </w:tr>
      <w:tr w:rsidR="00BC00B3" w:rsidRPr="00697B6D" w14:paraId="6175839B" w14:textId="77777777" w:rsidTr="00AC5381">
        <w:trPr>
          <w:trHeight w:val="290"/>
        </w:trPr>
        <w:tc>
          <w:tcPr>
            <w:tcW w:w="1613" w:type="dxa"/>
            <w:vMerge/>
            <w:tcBorders>
              <w:left w:val="single" w:sz="4" w:space="0" w:color="auto"/>
              <w:right w:val="single" w:sz="4" w:space="0" w:color="auto"/>
            </w:tcBorders>
            <w:shd w:val="clear" w:color="auto" w:fill="auto"/>
            <w:noWrap/>
            <w:vAlign w:val="center"/>
            <w:hideMark/>
          </w:tcPr>
          <w:p w14:paraId="138FBC03"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hideMark/>
          </w:tcPr>
          <w:p w14:paraId="0C2C715F"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2005F86B"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0035-EJ-P01</w:t>
            </w:r>
          </w:p>
        </w:tc>
        <w:tc>
          <w:tcPr>
            <w:tcW w:w="2127" w:type="dxa"/>
            <w:tcBorders>
              <w:top w:val="nil"/>
              <w:left w:val="nil"/>
              <w:bottom w:val="single" w:sz="4" w:space="0" w:color="auto"/>
              <w:right w:val="single" w:sz="4" w:space="0" w:color="auto"/>
            </w:tcBorders>
            <w:shd w:val="clear" w:color="auto" w:fill="auto"/>
            <w:noWrap/>
            <w:vAlign w:val="center"/>
            <w:hideMark/>
          </w:tcPr>
          <w:p w14:paraId="2017EF79"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Sistema de Gestión de Capacitación</w:t>
            </w:r>
          </w:p>
        </w:tc>
        <w:tc>
          <w:tcPr>
            <w:tcW w:w="1034" w:type="dxa"/>
            <w:tcBorders>
              <w:top w:val="single" w:sz="4" w:space="0" w:color="auto"/>
              <w:left w:val="nil"/>
              <w:bottom w:val="single" w:sz="4" w:space="0" w:color="auto"/>
              <w:right w:val="single" w:sz="4" w:space="0" w:color="auto"/>
            </w:tcBorders>
            <w:shd w:val="clear" w:color="auto" w:fill="auto"/>
            <w:noWrap/>
            <w:vAlign w:val="center"/>
          </w:tcPr>
          <w:p w14:paraId="514ABD30" w14:textId="15EF2214" w:rsidR="00936065" w:rsidRPr="00697B6D" w:rsidRDefault="00AC5381"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3B48B82C"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FCE52BD"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594905EF"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382058</w:t>
            </w:r>
          </w:p>
        </w:tc>
      </w:tr>
      <w:tr w:rsidR="00BC00B3" w:rsidRPr="00697B6D" w14:paraId="3560CB53" w14:textId="77777777" w:rsidTr="00AC5381">
        <w:trPr>
          <w:trHeight w:val="290"/>
        </w:trPr>
        <w:tc>
          <w:tcPr>
            <w:tcW w:w="1613" w:type="dxa"/>
            <w:vMerge/>
            <w:tcBorders>
              <w:left w:val="single" w:sz="4" w:space="0" w:color="auto"/>
              <w:right w:val="single" w:sz="4" w:space="0" w:color="auto"/>
            </w:tcBorders>
            <w:shd w:val="clear" w:color="auto" w:fill="auto"/>
            <w:noWrap/>
            <w:vAlign w:val="center"/>
            <w:hideMark/>
          </w:tcPr>
          <w:p w14:paraId="7446ACB8"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hideMark/>
          </w:tcPr>
          <w:p w14:paraId="565CFFC2"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48CCAB7D"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0110-PLA-P01</w:t>
            </w:r>
          </w:p>
        </w:tc>
        <w:tc>
          <w:tcPr>
            <w:tcW w:w="2127" w:type="dxa"/>
            <w:tcBorders>
              <w:top w:val="nil"/>
              <w:left w:val="nil"/>
              <w:bottom w:val="single" w:sz="4" w:space="0" w:color="auto"/>
              <w:right w:val="single" w:sz="4" w:space="0" w:color="auto"/>
            </w:tcBorders>
            <w:shd w:val="clear" w:color="auto" w:fill="auto"/>
            <w:noWrap/>
            <w:vAlign w:val="center"/>
            <w:hideMark/>
          </w:tcPr>
          <w:p w14:paraId="6EDBB778"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Automatización de Indicadores de Gestión</w:t>
            </w:r>
          </w:p>
        </w:tc>
        <w:tc>
          <w:tcPr>
            <w:tcW w:w="1034" w:type="dxa"/>
            <w:tcBorders>
              <w:top w:val="single" w:sz="4" w:space="0" w:color="auto"/>
              <w:left w:val="nil"/>
              <w:bottom w:val="single" w:sz="4" w:space="0" w:color="auto"/>
              <w:right w:val="single" w:sz="4" w:space="0" w:color="auto"/>
            </w:tcBorders>
            <w:shd w:val="clear" w:color="auto" w:fill="auto"/>
            <w:noWrap/>
            <w:vAlign w:val="center"/>
          </w:tcPr>
          <w:p w14:paraId="7E1A675B" w14:textId="11FB0A46" w:rsidR="00936065" w:rsidRPr="00697B6D" w:rsidRDefault="00AC5381"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55FC1C7F"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3DE1984"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3A85AD94" w14:textId="77777777" w:rsidR="00936065" w:rsidRPr="00697B6D" w:rsidRDefault="00936065"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372540</w:t>
            </w:r>
          </w:p>
        </w:tc>
      </w:tr>
      <w:tr w:rsidR="00CE48BE" w:rsidRPr="00697B6D" w14:paraId="19DA316C" w14:textId="77777777" w:rsidTr="00AC5381">
        <w:trPr>
          <w:trHeight w:val="290"/>
        </w:trPr>
        <w:tc>
          <w:tcPr>
            <w:tcW w:w="1613" w:type="dxa"/>
            <w:vMerge/>
            <w:tcBorders>
              <w:left w:val="single" w:sz="4" w:space="0" w:color="auto"/>
              <w:right w:val="single" w:sz="4" w:space="0" w:color="auto"/>
            </w:tcBorders>
            <w:shd w:val="clear" w:color="auto" w:fill="auto"/>
            <w:noWrap/>
            <w:vAlign w:val="center"/>
            <w:hideMark/>
          </w:tcPr>
          <w:p w14:paraId="5D6510B5" w14:textId="77777777" w:rsidR="00AC5381" w:rsidRPr="00697B6D" w:rsidRDefault="00AC5381"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hideMark/>
          </w:tcPr>
          <w:p w14:paraId="093EDCA1" w14:textId="77777777" w:rsidR="00AC5381" w:rsidRPr="00697B6D" w:rsidRDefault="00AC5381"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4BA2BD0B" w14:textId="77777777" w:rsidR="00AC5381" w:rsidRPr="00697B6D" w:rsidRDefault="00AC5381"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0110-PLA-P04</w:t>
            </w:r>
          </w:p>
        </w:tc>
        <w:tc>
          <w:tcPr>
            <w:tcW w:w="2127" w:type="dxa"/>
            <w:vMerge w:val="restart"/>
            <w:tcBorders>
              <w:top w:val="nil"/>
              <w:left w:val="nil"/>
              <w:right w:val="single" w:sz="4" w:space="0" w:color="auto"/>
            </w:tcBorders>
            <w:shd w:val="clear" w:color="auto" w:fill="auto"/>
            <w:noWrap/>
            <w:vAlign w:val="center"/>
            <w:hideMark/>
          </w:tcPr>
          <w:p w14:paraId="3D3B1D72" w14:textId="77777777" w:rsidR="00AC5381" w:rsidRPr="00697B6D" w:rsidRDefault="00AC5381"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Mejora del Proceso Penal (Ámbito Jurisdiccional)</w:t>
            </w:r>
          </w:p>
        </w:tc>
        <w:tc>
          <w:tcPr>
            <w:tcW w:w="1034" w:type="dxa"/>
            <w:vMerge w:val="restart"/>
            <w:tcBorders>
              <w:top w:val="single" w:sz="4" w:space="0" w:color="auto"/>
              <w:left w:val="nil"/>
              <w:bottom w:val="single" w:sz="4" w:space="0" w:color="auto"/>
              <w:right w:val="single" w:sz="4" w:space="0" w:color="auto"/>
            </w:tcBorders>
            <w:shd w:val="clear" w:color="auto" w:fill="auto"/>
            <w:noWrap/>
            <w:vAlign w:val="center"/>
          </w:tcPr>
          <w:p w14:paraId="1FE57F13" w14:textId="53B57BA8" w:rsidR="00AC5381" w:rsidRPr="00697B6D" w:rsidRDefault="00AC5381"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4248BB84" w14:textId="77777777" w:rsidR="00AC5381" w:rsidRPr="00697B6D" w:rsidRDefault="00AC5381"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B4E98F5" w14:textId="77777777" w:rsidR="00AC5381" w:rsidRPr="00697B6D" w:rsidRDefault="00AC5381"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114EDF53" w14:textId="77777777" w:rsidR="00AC5381" w:rsidRPr="00697B6D" w:rsidRDefault="00AC5381"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57191</w:t>
            </w:r>
          </w:p>
        </w:tc>
      </w:tr>
      <w:tr w:rsidR="007E6FC1" w:rsidRPr="00697B6D" w14:paraId="72B14C33" w14:textId="77777777" w:rsidTr="00AC5381">
        <w:trPr>
          <w:trHeight w:val="290"/>
        </w:trPr>
        <w:tc>
          <w:tcPr>
            <w:tcW w:w="1613" w:type="dxa"/>
            <w:vMerge/>
            <w:tcBorders>
              <w:left w:val="single" w:sz="4" w:space="0" w:color="auto"/>
              <w:right w:val="single" w:sz="4" w:space="0" w:color="auto"/>
            </w:tcBorders>
            <w:shd w:val="clear" w:color="auto" w:fill="auto"/>
            <w:noWrap/>
            <w:vAlign w:val="center"/>
            <w:hideMark/>
          </w:tcPr>
          <w:p w14:paraId="62A6AD89" w14:textId="77777777" w:rsidR="00AC5381" w:rsidRPr="00697B6D" w:rsidRDefault="00AC5381"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hideMark/>
          </w:tcPr>
          <w:p w14:paraId="2F5C4E8A" w14:textId="77777777" w:rsidR="00AC5381" w:rsidRPr="00697B6D" w:rsidRDefault="00AC5381"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33DE1F2" w14:textId="062C58C7" w:rsidR="00AC5381" w:rsidRPr="00697B6D" w:rsidRDefault="00AC5381"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7811C446" w14:textId="08D59E73" w:rsidR="00AC5381" w:rsidRPr="00697B6D" w:rsidRDefault="00AC5381"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5CA39695" w14:textId="4E9901E9" w:rsidR="00AC5381" w:rsidRPr="00697B6D" w:rsidRDefault="00AC5381"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AD4CB4B" w14:textId="77777777" w:rsidR="00AC5381" w:rsidRPr="00697B6D" w:rsidRDefault="00AC5381"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087A4B6" w14:textId="77777777" w:rsidR="00AC5381" w:rsidRPr="00697B6D" w:rsidRDefault="00AC5381"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0EC690E5" w14:textId="77777777" w:rsidR="00AC5381" w:rsidRPr="00697B6D" w:rsidRDefault="00AC5381"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367681</w:t>
            </w:r>
          </w:p>
        </w:tc>
      </w:tr>
      <w:tr w:rsidR="00CE48BE" w:rsidRPr="00697B6D" w14:paraId="2D3E76BE" w14:textId="77777777" w:rsidTr="001340AD">
        <w:trPr>
          <w:trHeight w:val="290"/>
        </w:trPr>
        <w:tc>
          <w:tcPr>
            <w:tcW w:w="1613" w:type="dxa"/>
            <w:vMerge/>
            <w:tcBorders>
              <w:left w:val="single" w:sz="4" w:space="0" w:color="auto"/>
              <w:bottom w:val="single" w:sz="4" w:space="0" w:color="auto"/>
              <w:right w:val="single" w:sz="4" w:space="0" w:color="auto"/>
            </w:tcBorders>
            <w:shd w:val="clear" w:color="auto" w:fill="auto"/>
            <w:noWrap/>
            <w:vAlign w:val="center"/>
            <w:hideMark/>
          </w:tcPr>
          <w:p w14:paraId="16C52469" w14:textId="77777777" w:rsidR="00AC5381" w:rsidRPr="00697B6D" w:rsidRDefault="00AC5381"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bottom w:val="single" w:sz="4" w:space="0" w:color="auto"/>
              <w:right w:val="single" w:sz="4" w:space="0" w:color="auto"/>
            </w:tcBorders>
            <w:shd w:val="clear" w:color="auto" w:fill="auto"/>
            <w:noWrap/>
            <w:vAlign w:val="center"/>
            <w:hideMark/>
          </w:tcPr>
          <w:p w14:paraId="24128891" w14:textId="77777777" w:rsidR="00AC5381" w:rsidRPr="00697B6D" w:rsidRDefault="00AC5381"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760DF3E5" w14:textId="0900EAC6" w:rsidR="00AC5381" w:rsidRPr="00697B6D" w:rsidRDefault="00AC5381"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10529480" w14:textId="6E568A34" w:rsidR="00AC5381" w:rsidRPr="00697B6D" w:rsidRDefault="00AC5381"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4B17B32A" w14:textId="77777777" w:rsidR="00AC5381" w:rsidRPr="00697B6D" w:rsidRDefault="00AC5381"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74122BB" w14:textId="77777777" w:rsidR="00AC5381" w:rsidRPr="00697B6D" w:rsidRDefault="00AC5381"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8DE3CEB" w14:textId="77777777" w:rsidR="00AC5381" w:rsidRPr="00697B6D" w:rsidRDefault="00AC5381"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10D3ED2C" w14:textId="77777777" w:rsidR="00AC5381" w:rsidRPr="00697B6D" w:rsidRDefault="00AC5381"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379494</w:t>
            </w:r>
          </w:p>
        </w:tc>
      </w:tr>
      <w:tr w:rsidR="00CE48BE" w:rsidRPr="00697B6D" w14:paraId="74ED2DA9" w14:textId="77777777" w:rsidTr="00301740">
        <w:trPr>
          <w:trHeight w:val="290"/>
        </w:trPr>
        <w:tc>
          <w:tcPr>
            <w:tcW w:w="1613" w:type="dxa"/>
            <w:vMerge w:val="restart"/>
            <w:tcBorders>
              <w:top w:val="single" w:sz="4" w:space="0" w:color="auto"/>
              <w:left w:val="single" w:sz="4" w:space="0" w:color="auto"/>
              <w:right w:val="single" w:sz="4" w:space="0" w:color="auto"/>
            </w:tcBorders>
            <w:shd w:val="clear" w:color="auto" w:fill="auto"/>
            <w:noWrap/>
            <w:vAlign w:val="center"/>
          </w:tcPr>
          <w:p w14:paraId="717725B5"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926 Direc. Admin. Órg. de Apoyo</w:t>
            </w:r>
          </w:p>
          <w:p w14:paraId="505E34FC" w14:textId="280F29C5"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val="restart"/>
            <w:tcBorders>
              <w:top w:val="single" w:sz="4" w:space="0" w:color="auto"/>
              <w:left w:val="nil"/>
              <w:right w:val="single" w:sz="4" w:space="0" w:color="auto"/>
            </w:tcBorders>
            <w:shd w:val="clear" w:color="auto" w:fill="auto"/>
            <w:noWrap/>
            <w:vAlign w:val="center"/>
          </w:tcPr>
          <w:p w14:paraId="3A8FC01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Dirección de Tecnología de Información y Comunicaciones</w:t>
            </w:r>
          </w:p>
          <w:p w14:paraId="492378D8" w14:textId="69784308"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14:paraId="70DFD36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0110-PLA-P04</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55BD131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Mejora del Proceso Penal (Ámbito Jurisdiccional)</w:t>
            </w:r>
          </w:p>
        </w:tc>
        <w:tc>
          <w:tcPr>
            <w:tcW w:w="1034" w:type="dxa"/>
            <w:tcBorders>
              <w:top w:val="single" w:sz="4" w:space="0" w:color="auto"/>
              <w:left w:val="nil"/>
              <w:bottom w:val="single" w:sz="4" w:space="0" w:color="auto"/>
              <w:right w:val="single" w:sz="4" w:space="0" w:color="auto"/>
            </w:tcBorders>
            <w:shd w:val="clear" w:color="auto" w:fill="auto"/>
            <w:noWrap/>
            <w:vAlign w:val="center"/>
          </w:tcPr>
          <w:p w14:paraId="5191637E" w14:textId="3CF81AB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1A2BD54"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B46103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3 </w:t>
            </w:r>
          </w:p>
        </w:tc>
        <w:tc>
          <w:tcPr>
            <w:tcW w:w="761" w:type="dxa"/>
            <w:tcBorders>
              <w:top w:val="nil"/>
              <w:left w:val="nil"/>
              <w:bottom w:val="single" w:sz="4" w:space="0" w:color="auto"/>
              <w:right w:val="single" w:sz="4" w:space="0" w:color="auto"/>
            </w:tcBorders>
            <w:shd w:val="clear" w:color="auto" w:fill="auto"/>
            <w:noWrap/>
            <w:vAlign w:val="center"/>
            <w:hideMark/>
          </w:tcPr>
          <w:p w14:paraId="79E8D98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367682</w:t>
            </w:r>
          </w:p>
        </w:tc>
      </w:tr>
      <w:tr w:rsidR="007E6FC1" w:rsidRPr="00697B6D" w14:paraId="5EA4B7E2"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9FD99B7" w14:textId="3C65363F"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0FEDBEC" w14:textId="799B13E2"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14:paraId="6C47A96D"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0110-PLA-P07</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143B996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Sistema de Gestión del Plan Estratégico Institucional</w:t>
            </w:r>
          </w:p>
        </w:tc>
        <w:tc>
          <w:tcPr>
            <w:tcW w:w="1034" w:type="dxa"/>
            <w:tcBorders>
              <w:top w:val="single" w:sz="4" w:space="0" w:color="auto"/>
              <w:left w:val="nil"/>
              <w:bottom w:val="single" w:sz="4" w:space="0" w:color="auto"/>
              <w:right w:val="single" w:sz="4" w:space="0" w:color="auto"/>
            </w:tcBorders>
            <w:shd w:val="clear" w:color="auto" w:fill="auto"/>
            <w:noWrap/>
            <w:vAlign w:val="center"/>
          </w:tcPr>
          <w:p w14:paraId="4D7815E6" w14:textId="417B9461"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12ECF57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2791B91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1C7564B2"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367667</w:t>
            </w:r>
          </w:p>
        </w:tc>
      </w:tr>
      <w:tr w:rsidR="007E6FC1" w:rsidRPr="00697B6D" w14:paraId="0B5AAA7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02F5448" w14:textId="7B1A3282"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2C13FAC" w14:textId="034416CA"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14:paraId="2AB48A85"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0110-PLA-P14</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6B32CC6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Modelo de Gestión de Presupuestos Plurianuales</w:t>
            </w:r>
          </w:p>
        </w:tc>
        <w:tc>
          <w:tcPr>
            <w:tcW w:w="1034" w:type="dxa"/>
            <w:tcBorders>
              <w:top w:val="single" w:sz="4" w:space="0" w:color="auto"/>
              <w:left w:val="nil"/>
              <w:bottom w:val="single" w:sz="4" w:space="0" w:color="auto"/>
              <w:right w:val="single" w:sz="4" w:space="0" w:color="auto"/>
            </w:tcBorders>
            <w:shd w:val="clear" w:color="auto" w:fill="auto"/>
            <w:noWrap/>
            <w:vAlign w:val="center"/>
          </w:tcPr>
          <w:p w14:paraId="16D8A58C" w14:textId="1525B14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1053B7C4"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76BD8DC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60F3FDC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367672</w:t>
            </w:r>
          </w:p>
        </w:tc>
      </w:tr>
      <w:tr w:rsidR="007E6FC1" w:rsidRPr="00697B6D" w14:paraId="393EB54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04A2013" w14:textId="7D64864C"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6BD3D04" w14:textId="692175CB"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44DA7A3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0110-PLA-P23</w:t>
            </w:r>
          </w:p>
        </w:tc>
        <w:tc>
          <w:tcPr>
            <w:tcW w:w="2127"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C8ED5C4"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Automatización de procesos Jurisdiccionales</w:t>
            </w:r>
          </w:p>
        </w:tc>
        <w:tc>
          <w:tcPr>
            <w:tcW w:w="1034" w:type="dxa"/>
            <w:vMerge w:val="restart"/>
            <w:tcBorders>
              <w:top w:val="single" w:sz="4" w:space="0" w:color="auto"/>
              <w:left w:val="nil"/>
              <w:bottom w:val="single" w:sz="4" w:space="0" w:color="auto"/>
              <w:right w:val="single" w:sz="4" w:space="0" w:color="auto"/>
            </w:tcBorders>
            <w:shd w:val="clear" w:color="auto" w:fill="auto"/>
            <w:noWrap/>
            <w:vAlign w:val="center"/>
          </w:tcPr>
          <w:p w14:paraId="5EAB6E82" w14:textId="620EBF9E"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71BB54CE"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3AB14C0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3EBED002"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372004</w:t>
            </w:r>
          </w:p>
        </w:tc>
      </w:tr>
      <w:tr w:rsidR="007E6FC1" w:rsidRPr="00697B6D" w14:paraId="2FAC2B3C"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5BDCC8C" w14:textId="0CB1B984"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D5CE994" w14:textId="45B0B8C4"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0079C0FD" w14:textId="2BF02DBD"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6D9936D2"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29D90B67"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069744A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7431E3D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38FF27F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379493</w:t>
            </w:r>
          </w:p>
        </w:tc>
      </w:tr>
      <w:tr w:rsidR="007E6FC1" w:rsidRPr="00697B6D" w14:paraId="354A5FA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B0358BC" w14:textId="3AF14873"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A70307D" w14:textId="3270765D"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4D00FF8E"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0117-DE-P14</w:t>
            </w:r>
          </w:p>
        </w:tc>
        <w:tc>
          <w:tcPr>
            <w:tcW w:w="2127"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3A58C3C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Implementación del Sistema de Compras Públicas</w:t>
            </w:r>
          </w:p>
        </w:tc>
        <w:tc>
          <w:tcPr>
            <w:tcW w:w="1034"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7A5A7C6E"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7C64867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378667E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1 </w:t>
            </w:r>
          </w:p>
        </w:tc>
        <w:tc>
          <w:tcPr>
            <w:tcW w:w="761" w:type="dxa"/>
            <w:tcBorders>
              <w:top w:val="nil"/>
              <w:left w:val="nil"/>
              <w:bottom w:val="single" w:sz="4" w:space="0" w:color="auto"/>
              <w:right w:val="single" w:sz="4" w:space="0" w:color="auto"/>
            </w:tcBorders>
            <w:shd w:val="clear" w:color="auto" w:fill="auto"/>
            <w:noWrap/>
            <w:vAlign w:val="center"/>
            <w:hideMark/>
          </w:tcPr>
          <w:p w14:paraId="3A4CF47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57198</w:t>
            </w:r>
          </w:p>
        </w:tc>
      </w:tr>
      <w:tr w:rsidR="007E6FC1" w:rsidRPr="00697B6D" w14:paraId="6434165F"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1436F65" w14:textId="2175F67D"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315293F" w14:textId="6C06D11C"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2DDC082B"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6D32140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hideMark/>
          </w:tcPr>
          <w:p w14:paraId="35372DCB"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20E48D8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7B154FA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7B9D7F9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57194</w:t>
            </w:r>
          </w:p>
        </w:tc>
      </w:tr>
      <w:tr w:rsidR="007E6FC1" w:rsidRPr="00697B6D" w14:paraId="275A47A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D4B30F9" w14:textId="63CD6FE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8A2A0F8" w14:textId="60EC3752"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6205FBC5"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0117-DE-P18</w:t>
            </w:r>
          </w:p>
        </w:tc>
        <w:tc>
          <w:tcPr>
            <w:tcW w:w="2127"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1A989ED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 de trabajo para la mejora del proceso de contratación administrativa</w:t>
            </w:r>
          </w:p>
        </w:tc>
        <w:tc>
          <w:tcPr>
            <w:tcW w:w="1034"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6C11812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7693BA95"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C69E00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24C4A77E"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102164</w:t>
            </w:r>
          </w:p>
        </w:tc>
      </w:tr>
      <w:tr w:rsidR="007E6FC1" w:rsidRPr="00697B6D" w14:paraId="0C15C6FF"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D7C3C1E" w14:textId="093D5B71"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21B324D" w14:textId="5E55EE51"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586580EC"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490FCC7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hideMark/>
          </w:tcPr>
          <w:p w14:paraId="7E244FFD"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21D9DC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553B120B"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56300AA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102166</w:t>
            </w:r>
          </w:p>
        </w:tc>
      </w:tr>
      <w:tr w:rsidR="007E6FC1" w:rsidRPr="00697B6D" w14:paraId="4FF248A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A7FD0B2" w14:textId="5100D413"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4760F02" w14:textId="65D7F153"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14:paraId="502AB17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0117-DE-P29</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10E7181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Sistema de Inventario y Materiales de la Proveeduría</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0C941FD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2996741E"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0BF163C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468DFB6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367677</w:t>
            </w:r>
          </w:p>
        </w:tc>
      </w:tr>
      <w:tr w:rsidR="007E6FC1" w:rsidRPr="00697B6D" w14:paraId="4B0C0B04"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CDAFFC6" w14:textId="13FEAB62"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8930A20" w14:textId="43978DA2"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5BF83422"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0122-DTI-P01</w:t>
            </w:r>
          </w:p>
        </w:tc>
        <w:tc>
          <w:tcPr>
            <w:tcW w:w="2127"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5BF4D344"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Nueva versión del Sistema de Gestión de despachos judiciales</w:t>
            </w:r>
          </w:p>
        </w:tc>
        <w:tc>
          <w:tcPr>
            <w:tcW w:w="1034"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5A59CC84"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4207C49C"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3F0E7AA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1 </w:t>
            </w:r>
          </w:p>
        </w:tc>
        <w:tc>
          <w:tcPr>
            <w:tcW w:w="761" w:type="dxa"/>
            <w:tcBorders>
              <w:top w:val="nil"/>
              <w:left w:val="nil"/>
              <w:bottom w:val="single" w:sz="4" w:space="0" w:color="auto"/>
              <w:right w:val="single" w:sz="4" w:space="0" w:color="auto"/>
            </w:tcBorders>
            <w:shd w:val="clear" w:color="auto" w:fill="auto"/>
            <w:noWrap/>
            <w:vAlign w:val="center"/>
            <w:hideMark/>
          </w:tcPr>
          <w:p w14:paraId="2984145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377462</w:t>
            </w:r>
          </w:p>
        </w:tc>
      </w:tr>
      <w:tr w:rsidR="007E6FC1" w:rsidRPr="00697B6D" w14:paraId="15284AAF"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80F7D02" w14:textId="182C19F2"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53B866C" w14:textId="6EB89F76"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07A0CF2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3F36DC1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36A518B2"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76B1380E"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07C077A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1 </w:t>
            </w:r>
          </w:p>
        </w:tc>
        <w:tc>
          <w:tcPr>
            <w:tcW w:w="761" w:type="dxa"/>
            <w:tcBorders>
              <w:top w:val="nil"/>
              <w:left w:val="nil"/>
              <w:bottom w:val="single" w:sz="4" w:space="0" w:color="auto"/>
              <w:right w:val="single" w:sz="4" w:space="0" w:color="auto"/>
            </w:tcBorders>
            <w:shd w:val="clear" w:color="auto" w:fill="auto"/>
            <w:noWrap/>
            <w:vAlign w:val="center"/>
            <w:hideMark/>
          </w:tcPr>
          <w:p w14:paraId="7DBB4A8F"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378507</w:t>
            </w:r>
          </w:p>
        </w:tc>
      </w:tr>
      <w:tr w:rsidR="007E6FC1" w:rsidRPr="00697B6D" w14:paraId="0F7365E2"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5C5E36E" w14:textId="5A8DDA9B"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3B2D438" w14:textId="476E66BA"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0E84395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0198A60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582567AD"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2E07469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82C05FD"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7BEEB3C4"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96461</w:t>
            </w:r>
          </w:p>
        </w:tc>
      </w:tr>
      <w:tr w:rsidR="007E6FC1" w:rsidRPr="00697B6D" w14:paraId="7C4751E8"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918565B" w14:textId="2D85E93E"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5B5D74C" w14:textId="0EA05EC2"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7C114A35"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3E58DE0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724A4EF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27C3475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0993F1A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0BA962FE"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350025</w:t>
            </w:r>
          </w:p>
        </w:tc>
      </w:tr>
      <w:tr w:rsidR="007E6FC1" w:rsidRPr="00697B6D" w14:paraId="3238E850"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71E34DB" w14:textId="7A359442"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CDE8DE6" w14:textId="4BAA7E08"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40F6905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4E0B2C25"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hideMark/>
          </w:tcPr>
          <w:p w14:paraId="1DA9748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08E8979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5E0C644E"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1C70E61F"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100790</w:t>
            </w:r>
          </w:p>
        </w:tc>
      </w:tr>
      <w:tr w:rsidR="007E6FC1" w:rsidRPr="00697B6D" w14:paraId="7E1A4D25"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C350F9E" w14:textId="5FA59A8C"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AA4EFF9" w14:textId="6F9547D9"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1496F98D"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0122-DTI-P11</w:t>
            </w:r>
          </w:p>
        </w:tc>
        <w:tc>
          <w:tcPr>
            <w:tcW w:w="2127"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7EF064BE"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Rediseño y Migración de Telefonía IP</w:t>
            </w:r>
          </w:p>
        </w:tc>
        <w:tc>
          <w:tcPr>
            <w:tcW w:w="1034"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6755DB0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63BFE405"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539B7D2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1 </w:t>
            </w:r>
          </w:p>
        </w:tc>
        <w:tc>
          <w:tcPr>
            <w:tcW w:w="761" w:type="dxa"/>
            <w:tcBorders>
              <w:top w:val="nil"/>
              <w:left w:val="nil"/>
              <w:bottom w:val="single" w:sz="4" w:space="0" w:color="auto"/>
              <w:right w:val="single" w:sz="4" w:space="0" w:color="auto"/>
            </w:tcBorders>
            <w:shd w:val="clear" w:color="auto" w:fill="auto"/>
            <w:noWrap/>
            <w:vAlign w:val="center"/>
            <w:hideMark/>
          </w:tcPr>
          <w:p w14:paraId="0F1D9CF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109758</w:t>
            </w:r>
          </w:p>
        </w:tc>
      </w:tr>
      <w:tr w:rsidR="007E6FC1" w:rsidRPr="00697B6D" w14:paraId="7842D24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20E79DA" w14:textId="4BFA3201"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0659250" w14:textId="6EF79AE2"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23AAD30B"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6B6F078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1D80277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877229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D773905"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11D3752C"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54356</w:t>
            </w:r>
          </w:p>
        </w:tc>
      </w:tr>
      <w:tr w:rsidR="007E6FC1" w:rsidRPr="00697B6D" w14:paraId="6B503E9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68AD274" w14:textId="5036B296"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6B876FF" w14:textId="26072F3F"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6DB9D9B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0DE253D2"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3EB6490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721C4BAF"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429076F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3B313F25"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83933</w:t>
            </w:r>
          </w:p>
        </w:tc>
      </w:tr>
      <w:tr w:rsidR="007E6FC1" w:rsidRPr="00697B6D" w14:paraId="44E7449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07EF484" w14:textId="5EBA6E66"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1771996" w14:textId="1C3DD9C9"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711D5AB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0122-DTI-P14</w:t>
            </w:r>
          </w:p>
        </w:tc>
        <w:tc>
          <w:tcPr>
            <w:tcW w:w="2127"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E2E384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Migración del Sistema Integrado de Ejecución Presupuestario (SIGA-PJ)</w:t>
            </w:r>
          </w:p>
        </w:tc>
        <w:tc>
          <w:tcPr>
            <w:tcW w:w="1034"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1E319532"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6F3568BE"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F00291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74358975"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352563</w:t>
            </w:r>
          </w:p>
        </w:tc>
      </w:tr>
      <w:tr w:rsidR="007E6FC1" w:rsidRPr="00697B6D" w14:paraId="1657320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73E3A46" w14:textId="5AE7CE51"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94E9A33" w14:textId="70E5AD0B"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477E594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55343FA7"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hideMark/>
          </w:tcPr>
          <w:p w14:paraId="507AC65B"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11185EFD"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F00BFC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0ACA84D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369740</w:t>
            </w:r>
          </w:p>
        </w:tc>
      </w:tr>
      <w:tr w:rsidR="007E6FC1" w:rsidRPr="00697B6D" w14:paraId="1FF8DCA8"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A261A8B" w14:textId="7046EA40"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2D51998" w14:textId="5C4154D2"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14:paraId="1443A08E"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0122-DTI-P15</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0173343E"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Diseño e implementación de la automatización robótica de procesos</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3BA7DB0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318A97B4"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2CEA9282"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3E034EF5"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365562</w:t>
            </w:r>
          </w:p>
        </w:tc>
      </w:tr>
      <w:tr w:rsidR="007E6FC1" w:rsidRPr="00697B6D" w14:paraId="2C3AAB9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935CFBB" w14:textId="668FA148"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06F0357" w14:textId="0855AE21"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DDFE23F"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0122-DTI-P16</w:t>
            </w:r>
          </w:p>
        </w:tc>
        <w:tc>
          <w:tcPr>
            <w:tcW w:w="2127"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60F742DB"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Implantación del Nuevo Sistema de Gestión</w:t>
            </w:r>
          </w:p>
        </w:tc>
        <w:tc>
          <w:tcPr>
            <w:tcW w:w="1034"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8CCBFB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31E2FE5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C43E795"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1 </w:t>
            </w:r>
          </w:p>
        </w:tc>
        <w:tc>
          <w:tcPr>
            <w:tcW w:w="761" w:type="dxa"/>
            <w:tcBorders>
              <w:top w:val="nil"/>
              <w:left w:val="nil"/>
              <w:bottom w:val="single" w:sz="4" w:space="0" w:color="auto"/>
              <w:right w:val="single" w:sz="4" w:space="0" w:color="auto"/>
            </w:tcBorders>
            <w:shd w:val="clear" w:color="auto" w:fill="auto"/>
            <w:noWrap/>
            <w:vAlign w:val="center"/>
            <w:hideMark/>
          </w:tcPr>
          <w:p w14:paraId="04181DC4"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47339</w:t>
            </w:r>
          </w:p>
        </w:tc>
      </w:tr>
      <w:tr w:rsidR="007E6FC1" w:rsidRPr="00697B6D" w14:paraId="762AFD7F"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1D49877" w14:textId="16D917BB"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3E9EF50" w14:textId="50A1A406"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308EA0FC"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6AC2C3F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4CE5454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129EBCFC"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EC4D86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1 </w:t>
            </w:r>
          </w:p>
        </w:tc>
        <w:tc>
          <w:tcPr>
            <w:tcW w:w="761" w:type="dxa"/>
            <w:tcBorders>
              <w:top w:val="nil"/>
              <w:left w:val="nil"/>
              <w:bottom w:val="single" w:sz="4" w:space="0" w:color="auto"/>
              <w:right w:val="single" w:sz="4" w:space="0" w:color="auto"/>
            </w:tcBorders>
            <w:shd w:val="clear" w:color="auto" w:fill="auto"/>
            <w:noWrap/>
            <w:vAlign w:val="center"/>
            <w:hideMark/>
          </w:tcPr>
          <w:p w14:paraId="10ADC9FF"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95442</w:t>
            </w:r>
          </w:p>
        </w:tc>
      </w:tr>
      <w:tr w:rsidR="007E6FC1" w:rsidRPr="00697B6D" w14:paraId="7D8BC4F5"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A4BE460" w14:textId="6C5F51BD"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C851ECC" w14:textId="3E98E73B"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19FB75D7"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5EE48B2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00BB2D0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27BB924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1E6953D"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1 </w:t>
            </w:r>
          </w:p>
        </w:tc>
        <w:tc>
          <w:tcPr>
            <w:tcW w:w="761" w:type="dxa"/>
            <w:tcBorders>
              <w:top w:val="nil"/>
              <w:left w:val="nil"/>
              <w:bottom w:val="single" w:sz="4" w:space="0" w:color="auto"/>
              <w:right w:val="single" w:sz="4" w:space="0" w:color="auto"/>
            </w:tcBorders>
            <w:shd w:val="clear" w:color="auto" w:fill="auto"/>
            <w:noWrap/>
            <w:vAlign w:val="center"/>
            <w:hideMark/>
          </w:tcPr>
          <w:p w14:paraId="65F83164"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365587</w:t>
            </w:r>
          </w:p>
        </w:tc>
      </w:tr>
      <w:tr w:rsidR="007E6FC1" w:rsidRPr="00697B6D" w14:paraId="3E37EA4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60FDFF7" w14:textId="66E687BC"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A0FF566" w14:textId="6660EA3C"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31462ED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6C7F86FB"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736A30B5"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4BDB94C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41E6737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1 </w:t>
            </w:r>
          </w:p>
        </w:tc>
        <w:tc>
          <w:tcPr>
            <w:tcW w:w="761" w:type="dxa"/>
            <w:tcBorders>
              <w:top w:val="nil"/>
              <w:left w:val="nil"/>
              <w:bottom w:val="single" w:sz="4" w:space="0" w:color="auto"/>
              <w:right w:val="single" w:sz="4" w:space="0" w:color="auto"/>
            </w:tcBorders>
            <w:shd w:val="clear" w:color="auto" w:fill="auto"/>
            <w:noWrap/>
            <w:vAlign w:val="center"/>
            <w:hideMark/>
          </w:tcPr>
          <w:p w14:paraId="40E8CE1C"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377463</w:t>
            </w:r>
          </w:p>
        </w:tc>
      </w:tr>
      <w:tr w:rsidR="007E6FC1" w:rsidRPr="00697B6D" w14:paraId="18D86218"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222908A" w14:textId="45E39BAA"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30FB835" w14:textId="178AE575"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0D1A73F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4ADFA9BC"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017F6FCE"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10F0DF52"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03B40A1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EN NORMALIZACIÓN DE FORMATOS JURÍDICOS</w:t>
            </w:r>
          </w:p>
        </w:tc>
        <w:tc>
          <w:tcPr>
            <w:tcW w:w="761" w:type="dxa"/>
            <w:tcBorders>
              <w:top w:val="nil"/>
              <w:left w:val="nil"/>
              <w:bottom w:val="single" w:sz="4" w:space="0" w:color="auto"/>
              <w:right w:val="single" w:sz="4" w:space="0" w:color="auto"/>
            </w:tcBorders>
            <w:shd w:val="clear" w:color="auto" w:fill="auto"/>
            <w:noWrap/>
            <w:vAlign w:val="center"/>
            <w:hideMark/>
          </w:tcPr>
          <w:p w14:paraId="2CF39CF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84135</w:t>
            </w:r>
          </w:p>
        </w:tc>
      </w:tr>
      <w:tr w:rsidR="007E6FC1" w:rsidRPr="00697B6D" w14:paraId="239EA4C0"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037E5B5" w14:textId="368A81BA"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B742EAD" w14:textId="3FD58BC6"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732F83CD"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00E05154"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389CAEC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6DE8CE2B"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73A4BCC"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327A947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100789</w:t>
            </w:r>
          </w:p>
        </w:tc>
      </w:tr>
      <w:tr w:rsidR="00BC00B3" w:rsidRPr="00697B6D" w14:paraId="4653C3D0"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8231578" w14:textId="07E2E94D"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4FB6D85" w14:textId="430FD3B6"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0CA54164"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3ACA440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right w:val="single" w:sz="4" w:space="0" w:color="auto"/>
            </w:tcBorders>
            <w:shd w:val="clear" w:color="auto" w:fill="auto"/>
            <w:noWrap/>
            <w:vAlign w:val="center"/>
          </w:tcPr>
          <w:p w14:paraId="7CA0FBA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46E28B6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7C0B03E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4DA176B4"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100791</w:t>
            </w:r>
          </w:p>
        </w:tc>
      </w:tr>
      <w:tr w:rsidR="00CE48BE" w:rsidRPr="00697B6D" w14:paraId="29F91517" w14:textId="77777777" w:rsidTr="001340AD">
        <w:trPr>
          <w:trHeight w:val="290"/>
        </w:trPr>
        <w:tc>
          <w:tcPr>
            <w:tcW w:w="1613" w:type="dxa"/>
            <w:vMerge/>
            <w:tcBorders>
              <w:left w:val="single" w:sz="4" w:space="0" w:color="auto"/>
              <w:bottom w:val="single" w:sz="4" w:space="0" w:color="auto"/>
              <w:right w:val="single" w:sz="4" w:space="0" w:color="auto"/>
            </w:tcBorders>
            <w:shd w:val="clear" w:color="auto" w:fill="auto"/>
            <w:noWrap/>
            <w:vAlign w:val="center"/>
          </w:tcPr>
          <w:p w14:paraId="168BD609" w14:textId="0631D0EE"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bottom w:val="single" w:sz="4" w:space="0" w:color="auto"/>
              <w:right w:val="single" w:sz="4" w:space="0" w:color="auto"/>
            </w:tcBorders>
            <w:shd w:val="clear" w:color="auto" w:fill="auto"/>
            <w:noWrap/>
            <w:vAlign w:val="center"/>
          </w:tcPr>
          <w:p w14:paraId="0D9ED816" w14:textId="098E4CC4"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21D47C0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6FA7606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03292D6D"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5DC06D7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A3430EB"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7F458B2C"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100800</w:t>
            </w:r>
          </w:p>
        </w:tc>
      </w:tr>
      <w:tr w:rsidR="007E6FC1" w:rsidRPr="00697B6D" w14:paraId="51E5AF99" w14:textId="77777777" w:rsidTr="001340AD">
        <w:trPr>
          <w:trHeight w:val="290"/>
        </w:trPr>
        <w:tc>
          <w:tcPr>
            <w:tcW w:w="161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3AAE1CE" w14:textId="048E966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top w:val="single" w:sz="4" w:space="0" w:color="auto"/>
              <w:left w:val="nil"/>
              <w:bottom w:val="single" w:sz="4" w:space="0" w:color="auto"/>
              <w:right w:val="single" w:sz="4" w:space="0" w:color="auto"/>
            </w:tcBorders>
            <w:shd w:val="clear" w:color="auto" w:fill="auto"/>
            <w:noWrap/>
            <w:vAlign w:val="center"/>
          </w:tcPr>
          <w:p w14:paraId="5DA57C7E" w14:textId="2A652FB9"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30A5D3C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64B94EC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340F326F"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460E8A84"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36E4BAA7"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7FD9643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377459</w:t>
            </w:r>
          </w:p>
        </w:tc>
      </w:tr>
      <w:tr w:rsidR="007E6FC1" w:rsidRPr="00697B6D" w14:paraId="6EEBA617" w14:textId="77777777" w:rsidTr="001340AD">
        <w:trPr>
          <w:trHeight w:val="290"/>
        </w:trPr>
        <w:tc>
          <w:tcPr>
            <w:tcW w:w="161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38E6DE6" w14:textId="084202BE"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top w:val="single" w:sz="4" w:space="0" w:color="auto"/>
              <w:left w:val="nil"/>
              <w:bottom w:val="single" w:sz="4" w:space="0" w:color="auto"/>
              <w:right w:val="single" w:sz="4" w:space="0" w:color="auto"/>
            </w:tcBorders>
            <w:shd w:val="clear" w:color="auto" w:fill="auto"/>
            <w:noWrap/>
            <w:vAlign w:val="center"/>
          </w:tcPr>
          <w:p w14:paraId="3A1B1148" w14:textId="7F73625C"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3B72D365"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3F24942C"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7955249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2698F1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36A273B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1 </w:t>
            </w:r>
          </w:p>
        </w:tc>
        <w:tc>
          <w:tcPr>
            <w:tcW w:w="761" w:type="dxa"/>
            <w:tcBorders>
              <w:top w:val="nil"/>
              <w:left w:val="nil"/>
              <w:bottom w:val="single" w:sz="4" w:space="0" w:color="auto"/>
              <w:right w:val="single" w:sz="4" w:space="0" w:color="auto"/>
            </w:tcBorders>
            <w:shd w:val="clear" w:color="auto" w:fill="auto"/>
            <w:noWrap/>
            <w:vAlign w:val="center"/>
            <w:hideMark/>
          </w:tcPr>
          <w:p w14:paraId="113D1217"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96542</w:t>
            </w:r>
          </w:p>
        </w:tc>
      </w:tr>
      <w:tr w:rsidR="007E6FC1" w:rsidRPr="00697B6D" w14:paraId="2B53CE50" w14:textId="77777777" w:rsidTr="001340AD">
        <w:trPr>
          <w:trHeight w:val="290"/>
        </w:trPr>
        <w:tc>
          <w:tcPr>
            <w:tcW w:w="161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14FA0DD" w14:textId="10095C7A"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top w:val="single" w:sz="4" w:space="0" w:color="auto"/>
              <w:left w:val="nil"/>
              <w:bottom w:val="single" w:sz="4" w:space="0" w:color="auto"/>
              <w:right w:val="single" w:sz="4" w:space="0" w:color="auto"/>
            </w:tcBorders>
            <w:shd w:val="clear" w:color="auto" w:fill="auto"/>
            <w:noWrap/>
            <w:vAlign w:val="center"/>
          </w:tcPr>
          <w:p w14:paraId="46DB1653" w14:textId="231FE5FB"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5DF4586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01F030A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76862F5B"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14D3AFF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8129BE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1CF2D7F7"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367679</w:t>
            </w:r>
          </w:p>
        </w:tc>
      </w:tr>
      <w:tr w:rsidR="007E6FC1" w:rsidRPr="00697B6D" w14:paraId="4769A74E" w14:textId="77777777" w:rsidTr="001340AD">
        <w:trPr>
          <w:trHeight w:val="290"/>
        </w:trPr>
        <w:tc>
          <w:tcPr>
            <w:tcW w:w="161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91E93A7" w14:textId="1CAB064F"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top w:val="single" w:sz="4" w:space="0" w:color="auto"/>
              <w:left w:val="nil"/>
              <w:bottom w:val="single" w:sz="4" w:space="0" w:color="auto"/>
              <w:right w:val="single" w:sz="4" w:space="0" w:color="auto"/>
            </w:tcBorders>
            <w:shd w:val="clear" w:color="auto" w:fill="auto"/>
            <w:noWrap/>
            <w:vAlign w:val="center"/>
          </w:tcPr>
          <w:p w14:paraId="3513372C" w14:textId="3EFDDCEF"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3D387418"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39CA7FC8"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2894E4F0"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731F9763"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1DFFA6C1"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0122-DTI-P18</w:t>
            </w:r>
          </w:p>
          <w:p w14:paraId="73AD0244"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4F3CE7D5"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6E96BD67"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60FE545E"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17F78D8A"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0EFDB67C"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364E743C"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7ACDFCAE"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4B63AC13"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49CD4153"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624FE09F"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2D691AF0"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343B4799"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61368D53"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04D893B4"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03A71F1C"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3D6129EC"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539217C7"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26A70D5A"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71B80A49"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3C6F957F" w14:textId="2C31C3F6"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1FC6F019"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2DF5A315"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437E38B7"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5C52A762"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 para la atención y gestión de los Servicios Tecnológicos del Poder Judicial</w:t>
            </w:r>
          </w:p>
          <w:p w14:paraId="69EC51CF"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2A0B7207"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14224BBD"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02C0594C"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282E5E9A"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15EFF0F3"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30FB4AD5"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33729BD4"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4ED0F4AC"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41475076"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67E6A0DF"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15B67B55"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14A62A13"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45A8C53D"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76A380AF"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798CBD5F"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2749D2D5" w14:textId="77777777" w:rsidR="001340AD" w:rsidRDefault="001340AD" w:rsidP="00F400D6">
            <w:pPr>
              <w:spacing w:after="0" w:line="240" w:lineRule="auto"/>
              <w:jc w:val="center"/>
              <w:rPr>
                <w:rFonts w:ascii="Book Antiqua" w:eastAsia="Times New Roman" w:hAnsi="Book Antiqua" w:cs="Calibri"/>
                <w:color w:val="000000"/>
                <w:sz w:val="14"/>
                <w:szCs w:val="14"/>
                <w:lang w:eastAsia="es-CR"/>
              </w:rPr>
            </w:pPr>
          </w:p>
          <w:p w14:paraId="70B4C506" w14:textId="3750CE3F"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613DC6BC"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p w14:paraId="61F766D2" w14:textId="6D499383"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6B30790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3D9EF8B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1 </w:t>
            </w:r>
          </w:p>
        </w:tc>
        <w:tc>
          <w:tcPr>
            <w:tcW w:w="761" w:type="dxa"/>
            <w:tcBorders>
              <w:top w:val="nil"/>
              <w:left w:val="nil"/>
              <w:bottom w:val="single" w:sz="4" w:space="0" w:color="auto"/>
              <w:right w:val="single" w:sz="4" w:space="0" w:color="auto"/>
            </w:tcBorders>
            <w:shd w:val="clear" w:color="auto" w:fill="auto"/>
            <w:noWrap/>
            <w:vAlign w:val="center"/>
            <w:hideMark/>
          </w:tcPr>
          <w:p w14:paraId="16B8B7A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111516</w:t>
            </w:r>
          </w:p>
        </w:tc>
      </w:tr>
      <w:tr w:rsidR="007E6FC1" w:rsidRPr="00697B6D" w14:paraId="55903FF0" w14:textId="77777777" w:rsidTr="001340AD">
        <w:trPr>
          <w:trHeight w:val="290"/>
        </w:trPr>
        <w:tc>
          <w:tcPr>
            <w:tcW w:w="161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B4432ED" w14:textId="5AE3866F"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top w:val="single" w:sz="4" w:space="0" w:color="auto"/>
              <w:left w:val="nil"/>
              <w:bottom w:val="single" w:sz="4" w:space="0" w:color="auto"/>
              <w:right w:val="single" w:sz="4" w:space="0" w:color="auto"/>
            </w:tcBorders>
            <w:shd w:val="clear" w:color="auto" w:fill="auto"/>
            <w:noWrap/>
            <w:vAlign w:val="center"/>
          </w:tcPr>
          <w:p w14:paraId="426294E6" w14:textId="614B01CA"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5AF71D7C"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55330765"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21AF965E" w14:textId="5E6E4745"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6828647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70A3450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1 </w:t>
            </w:r>
          </w:p>
        </w:tc>
        <w:tc>
          <w:tcPr>
            <w:tcW w:w="761" w:type="dxa"/>
            <w:tcBorders>
              <w:top w:val="nil"/>
              <w:left w:val="nil"/>
              <w:bottom w:val="single" w:sz="4" w:space="0" w:color="auto"/>
              <w:right w:val="single" w:sz="4" w:space="0" w:color="auto"/>
            </w:tcBorders>
            <w:shd w:val="clear" w:color="auto" w:fill="auto"/>
            <w:noWrap/>
            <w:vAlign w:val="center"/>
            <w:hideMark/>
          </w:tcPr>
          <w:p w14:paraId="429B296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352595</w:t>
            </w:r>
          </w:p>
        </w:tc>
      </w:tr>
      <w:tr w:rsidR="007E6FC1" w:rsidRPr="00697B6D" w14:paraId="7FF29B18" w14:textId="77777777" w:rsidTr="001340AD">
        <w:trPr>
          <w:trHeight w:val="290"/>
        </w:trPr>
        <w:tc>
          <w:tcPr>
            <w:tcW w:w="161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9F1CD21" w14:textId="58F7BA45"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top w:val="single" w:sz="4" w:space="0" w:color="auto"/>
              <w:left w:val="nil"/>
              <w:bottom w:val="single" w:sz="4" w:space="0" w:color="auto"/>
              <w:right w:val="single" w:sz="4" w:space="0" w:color="auto"/>
            </w:tcBorders>
            <w:shd w:val="clear" w:color="auto" w:fill="auto"/>
            <w:noWrap/>
            <w:vAlign w:val="center"/>
          </w:tcPr>
          <w:p w14:paraId="6C5736E3" w14:textId="2137AB0D"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68E1A2BD"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332D2BA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66F0EE06" w14:textId="2F32D82A"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43E85125"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427DC0AC"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6D55643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57193</w:t>
            </w:r>
          </w:p>
        </w:tc>
      </w:tr>
      <w:tr w:rsidR="007E6FC1" w:rsidRPr="00697B6D" w14:paraId="2FCC940D" w14:textId="77777777" w:rsidTr="001340AD">
        <w:trPr>
          <w:trHeight w:val="290"/>
        </w:trPr>
        <w:tc>
          <w:tcPr>
            <w:tcW w:w="161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934F782" w14:textId="0E2254D6"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top w:val="single" w:sz="4" w:space="0" w:color="auto"/>
              <w:left w:val="nil"/>
              <w:bottom w:val="single" w:sz="4" w:space="0" w:color="auto"/>
              <w:right w:val="single" w:sz="4" w:space="0" w:color="auto"/>
            </w:tcBorders>
            <w:shd w:val="clear" w:color="auto" w:fill="auto"/>
            <w:noWrap/>
            <w:vAlign w:val="center"/>
          </w:tcPr>
          <w:p w14:paraId="2007FF95" w14:textId="5534424D"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6DE4CA4C"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7D31B74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7750E765" w14:textId="0C7BB739"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75CA0E57"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3951B2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6A3FE1F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92931</w:t>
            </w:r>
          </w:p>
        </w:tc>
      </w:tr>
      <w:tr w:rsidR="007E6FC1" w:rsidRPr="00697B6D" w14:paraId="2350FD0A" w14:textId="77777777" w:rsidTr="001340AD">
        <w:trPr>
          <w:trHeight w:val="290"/>
        </w:trPr>
        <w:tc>
          <w:tcPr>
            <w:tcW w:w="161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6588FF6" w14:textId="529B3A71"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top w:val="single" w:sz="4" w:space="0" w:color="auto"/>
              <w:left w:val="nil"/>
              <w:bottom w:val="single" w:sz="4" w:space="0" w:color="auto"/>
              <w:right w:val="single" w:sz="4" w:space="0" w:color="auto"/>
            </w:tcBorders>
            <w:shd w:val="clear" w:color="auto" w:fill="auto"/>
            <w:noWrap/>
            <w:vAlign w:val="center"/>
          </w:tcPr>
          <w:p w14:paraId="1E97B705" w14:textId="429E90A4"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3D550ED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03260CCB"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65C5894E" w14:textId="29E1CE26"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6631731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2183C14"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46C58A2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100806</w:t>
            </w:r>
          </w:p>
        </w:tc>
      </w:tr>
      <w:tr w:rsidR="007E6FC1" w:rsidRPr="00697B6D" w14:paraId="34425992" w14:textId="77777777" w:rsidTr="001340AD">
        <w:trPr>
          <w:trHeight w:val="290"/>
        </w:trPr>
        <w:tc>
          <w:tcPr>
            <w:tcW w:w="161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508356E" w14:textId="372F6C0D"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top w:val="single" w:sz="4" w:space="0" w:color="auto"/>
              <w:left w:val="nil"/>
              <w:bottom w:val="single" w:sz="4" w:space="0" w:color="auto"/>
              <w:right w:val="single" w:sz="4" w:space="0" w:color="auto"/>
            </w:tcBorders>
            <w:shd w:val="clear" w:color="auto" w:fill="auto"/>
            <w:noWrap/>
            <w:vAlign w:val="center"/>
          </w:tcPr>
          <w:p w14:paraId="56F6C421" w14:textId="32BFD402"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53CF19E7"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4B218CAF"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hideMark/>
          </w:tcPr>
          <w:p w14:paraId="611EE047" w14:textId="2E9D96C4"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788EE14D"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C663B3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18F96FC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102161</w:t>
            </w:r>
          </w:p>
        </w:tc>
      </w:tr>
      <w:tr w:rsidR="007E6FC1" w:rsidRPr="00697B6D" w14:paraId="551B2A3F" w14:textId="77777777" w:rsidTr="001340AD">
        <w:trPr>
          <w:trHeight w:val="290"/>
        </w:trPr>
        <w:tc>
          <w:tcPr>
            <w:tcW w:w="161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07310ED"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top w:val="single" w:sz="4" w:space="0" w:color="auto"/>
              <w:left w:val="nil"/>
              <w:bottom w:val="single" w:sz="4" w:space="0" w:color="auto"/>
              <w:right w:val="single" w:sz="4" w:space="0" w:color="auto"/>
            </w:tcBorders>
            <w:shd w:val="clear" w:color="auto" w:fill="auto"/>
            <w:noWrap/>
            <w:vAlign w:val="center"/>
          </w:tcPr>
          <w:p w14:paraId="095D3A9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589DEC0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3D73B5D5"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1B13938F"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9108CFF"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AFDE76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29A25EC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365550</w:t>
            </w:r>
          </w:p>
        </w:tc>
      </w:tr>
      <w:tr w:rsidR="00CE48BE" w:rsidRPr="00697B6D" w14:paraId="15A46E70" w14:textId="77777777" w:rsidTr="00301740">
        <w:trPr>
          <w:trHeight w:val="290"/>
        </w:trPr>
        <w:tc>
          <w:tcPr>
            <w:tcW w:w="1613" w:type="dxa"/>
            <w:vMerge w:val="restart"/>
            <w:tcBorders>
              <w:top w:val="single" w:sz="4" w:space="0" w:color="auto"/>
              <w:left w:val="single" w:sz="4" w:space="0" w:color="auto"/>
              <w:right w:val="single" w:sz="4" w:space="0" w:color="auto"/>
            </w:tcBorders>
            <w:shd w:val="clear" w:color="auto" w:fill="auto"/>
            <w:noWrap/>
            <w:vAlign w:val="center"/>
          </w:tcPr>
          <w:p w14:paraId="0E309BF1" w14:textId="68C22755"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926 Direc. Admin. Órg. de Apoyo</w:t>
            </w:r>
          </w:p>
        </w:tc>
        <w:tc>
          <w:tcPr>
            <w:tcW w:w="1173" w:type="dxa"/>
            <w:vMerge w:val="restart"/>
            <w:tcBorders>
              <w:top w:val="single" w:sz="4" w:space="0" w:color="auto"/>
              <w:left w:val="nil"/>
              <w:right w:val="single" w:sz="4" w:space="0" w:color="auto"/>
            </w:tcBorders>
            <w:shd w:val="clear" w:color="auto" w:fill="auto"/>
            <w:noWrap/>
            <w:vAlign w:val="center"/>
          </w:tcPr>
          <w:p w14:paraId="79DB12FC" w14:textId="25E3B3B1" w:rsidR="001340AD" w:rsidRPr="00697B6D" w:rsidRDefault="001340AD" w:rsidP="001340AD">
            <w:pPr>
              <w:spacing w:after="0" w:line="240" w:lineRule="auto"/>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Dirección de Tecnología de Información y Comunicaciones</w:t>
            </w: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647454B7"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5DE2E465"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6460D074"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7129E334"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EFE45C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2BC73E0E"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365554</w:t>
            </w:r>
          </w:p>
        </w:tc>
      </w:tr>
      <w:tr w:rsidR="007E6FC1" w:rsidRPr="00697B6D" w14:paraId="623BAFB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02D7FE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C8F8F4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3A77E3D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246C9B87"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75975D8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4AEB51C4"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40ACAAB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3B1CFDA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365565</w:t>
            </w:r>
          </w:p>
        </w:tc>
      </w:tr>
      <w:tr w:rsidR="007E6FC1" w:rsidRPr="00697B6D" w14:paraId="31B0259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6D17E6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DEA738E"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365FF56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1A55B8E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65A3128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3C0B20CF"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1F67587"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370764BB"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43550</w:t>
            </w:r>
          </w:p>
        </w:tc>
      </w:tr>
      <w:tr w:rsidR="007E6FC1" w:rsidRPr="00697B6D" w14:paraId="47E5C51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D9FBD0B"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424340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7BEBB824"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1D043C9C"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4695E624"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7FAAD92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5858AFF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5D635CA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57197</w:t>
            </w:r>
          </w:p>
        </w:tc>
      </w:tr>
      <w:tr w:rsidR="007E6FC1" w:rsidRPr="00697B6D" w14:paraId="079C9117"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4C7B297"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C1B2885"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08EE2BBE"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3410DF0E"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0649FD6C"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F8BC9D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0CAFA0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55E6858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57212</w:t>
            </w:r>
          </w:p>
        </w:tc>
      </w:tr>
      <w:tr w:rsidR="007E6FC1" w:rsidRPr="00697B6D" w14:paraId="0545686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C76D01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518ABD7"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6E85092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00BD2A4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740B010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6532C487"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7AA5EC2"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0E02320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83934</w:t>
            </w:r>
          </w:p>
        </w:tc>
      </w:tr>
      <w:tr w:rsidR="007E6FC1" w:rsidRPr="00697B6D" w14:paraId="1FCFC2BC"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2C2B33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26264F5"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63C7B6E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7FC0F36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2847237E"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4C29678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B7555D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0F6B3B54"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103184</w:t>
            </w:r>
          </w:p>
        </w:tc>
      </w:tr>
      <w:tr w:rsidR="007E6FC1" w:rsidRPr="00697B6D" w14:paraId="6E0BD85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06E692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6C41817"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4BDD02EC"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78C5F18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5CCFF62D"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3123FB4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4C6BD85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6056692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103619</w:t>
            </w:r>
          </w:p>
        </w:tc>
      </w:tr>
      <w:tr w:rsidR="007E6FC1" w:rsidRPr="00697B6D" w14:paraId="2A60096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776D0F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43BE52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08D2FD4F"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214C8802"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100A7312"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7BED31CF"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559CBBD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78DF522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352568</w:t>
            </w:r>
          </w:p>
        </w:tc>
      </w:tr>
      <w:tr w:rsidR="007E6FC1" w:rsidRPr="00697B6D" w14:paraId="4CB958A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155568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1E4ABDF"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3CA23A0B"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36997C0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39382D0D"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3B25260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B30163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1ED0D64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363390</w:t>
            </w:r>
          </w:p>
        </w:tc>
      </w:tr>
      <w:tr w:rsidR="007E6FC1" w:rsidRPr="00697B6D" w14:paraId="30B4BEC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D89F57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09B0CC2"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4745343C"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44F1BFC2"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095646C7"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4DE5F6D7"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0A3B78F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269B5912"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365549</w:t>
            </w:r>
          </w:p>
        </w:tc>
      </w:tr>
      <w:tr w:rsidR="007E6FC1" w:rsidRPr="00697B6D" w14:paraId="7D22CCC4"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10713A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78A058D"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7503ACD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2909A96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72B5191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2890F33B"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5BCFF0C7"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5354F40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365574</w:t>
            </w:r>
          </w:p>
        </w:tc>
      </w:tr>
      <w:tr w:rsidR="007E6FC1" w:rsidRPr="00697B6D" w14:paraId="7297838E"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B1670B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6EE08F2"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54DA132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4D1E17A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167D98D7"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6B5D34A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71BA3F5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111BCD16"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365577</w:t>
            </w:r>
          </w:p>
        </w:tc>
      </w:tr>
      <w:tr w:rsidR="007E6FC1" w:rsidRPr="00697B6D" w14:paraId="103B615F"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99ED22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CEFF31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3C4C73B2"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5BFF470F"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6B55EAA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A181190"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86695C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428C0227"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365581</w:t>
            </w:r>
          </w:p>
        </w:tc>
      </w:tr>
      <w:tr w:rsidR="007E6FC1" w:rsidRPr="00697B6D" w14:paraId="16F395E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1132CC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7A917F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5D096AD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4D54D3EF"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4A534E24"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78E99E8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3572BC7D"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0DB5EA8B"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365584</w:t>
            </w:r>
          </w:p>
        </w:tc>
      </w:tr>
      <w:tr w:rsidR="007E6FC1" w:rsidRPr="00697B6D" w14:paraId="477F78E8"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9C9F292"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36B7AFE"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7D5A45B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0B30E5BB"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6DE9FA97"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443F73E2"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514D76D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23D5433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365588</w:t>
            </w:r>
          </w:p>
        </w:tc>
      </w:tr>
      <w:tr w:rsidR="007E6FC1" w:rsidRPr="00697B6D" w14:paraId="1796B67A"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04E286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1710C9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78FD3C3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25FC3B7D"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5882E9B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314D4AB4"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7D37B5D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5D476912"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377458</w:t>
            </w:r>
          </w:p>
        </w:tc>
      </w:tr>
      <w:tr w:rsidR="007E6FC1" w:rsidRPr="00697B6D" w14:paraId="7351D970"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BE31F1F"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32D8F9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25EAC84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3B125AFB"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4A392D7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0E91353A"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73B39822"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4BE034AE"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377461</w:t>
            </w:r>
          </w:p>
        </w:tc>
      </w:tr>
      <w:tr w:rsidR="00CE48BE" w:rsidRPr="00697B6D" w14:paraId="01C8EF1F" w14:textId="77777777" w:rsidTr="00301740">
        <w:trPr>
          <w:trHeight w:val="290"/>
        </w:trPr>
        <w:tc>
          <w:tcPr>
            <w:tcW w:w="1613" w:type="dxa"/>
            <w:vMerge/>
            <w:tcBorders>
              <w:left w:val="single" w:sz="4" w:space="0" w:color="auto"/>
              <w:bottom w:val="single" w:sz="4" w:space="0" w:color="auto"/>
              <w:right w:val="single" w:sz="4" w:space="0" w:color="auto"/>
            </w:tcBorders>
            <w:shd w:val="clear" w:color="auto" w:fill="auto"/>
            <w:noWrap/>
            <w:vAlign w:val="center"/>
          </w:tcPr>
          <w:p w14:paraId="260FA2E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bottom w:val="single" w:sz="4" w:space="0" w:color="auto"/>
              <w:right w:val="single" w:sz="4" w:space="0" w:color="auto"/>
            </w:tcBorders>
            <w:shd w:val="clear" w:color="auto" w:fill="auto"/>
            <w:noWrap/>
            <w:vAlign w:val="center"/>
          </w:tcPr>
          <w:p w14:paraId="40E99CFC"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14:paraId="5D384F4E"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0122-DTI-P20</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5447426B"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Atención de personas usuarias en el servicio de gestión en línea y audiencias virtuales</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4CCBEFF7"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46C1C28D"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25183AD"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5C353F44"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57200</w:t>
            </w:r>
          </w:p>
        </w:tc>
      </w:tr>
      <w:tr w:rsidR="00CE48BE" w:rsidRPr="00697B6D" w14:paraId="410D02BC" w14:textId="77777777" w:rsidTr="00301740">
        <w:trPr>
          <w:trHeight w:val="290"/>
        </w:trPr>
        <w:tc>
          <w:tcPr>
            <w:tcW w:w="1613" w:type="dxa"/>
            <w:vMerge w:val="restart"/>
            <w:tcBorders>
              <w:top w:val="single" w:sz="4" w:space="0" w:color="auto"/>
              <w:left w:val="single" w:sz="4" w:space="0" w:color="auto"/>
              <w:right w:val="single" w:sz="4" w:space="0" w:color="auto"/>
            </w:tcBorders>
            <w:shd w:val="clear" w:color="auto" w:fill="auto"/>
            <w:noWrap/>
            <w:vAlign w:val="center"/>
          </w:tcPr>
          <w:p w14:paraId="148A1C74" w14:textId="3095221C"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926 Direc. Admin. Órg. de Apoyo</w:t>
            </w:r>
          </w:p>
        </w:tc>
        <w:tc>
          <w:tcPr>
            <w:tcW w:w="1173" w:type="dxa"/>
            <w:vMerge w:val="restart"/>
            <w:tcBorders>
              <w:top w:val="single" w:sz="4" w:space="0" w:color="auto"/>
              <w:left w:val="nil"/>
              <w:right w:val="single" w:sz="4" w:space="0" w:color="auto"/>
            </w:tcBorders>
            <w:shd w:val="clear" w:color="auto" w:fill="auto"/>
            <w:noWrap/>
            <w:vAlign w:val="center"/>
          </w:tcPr>
          <w:p w14:paraId="11725DB8" w14:textId="33A222EA"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Dirección de Tecnología de Información y Comunicaciones</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14:paraId="6B822293"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0134-DGH-P03</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7A754D3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Sistema de Formulación y Ejecución Presupuestaria para Remuneraciones</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01206C3C"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3E4FC42"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2AE4E3E"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43FC4C6E"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95443</w:t>
            </w:r>
          </w:p>
        </w:tc>
      </w:tr>
      <w:tr w:rsidR="007E6FC1" w:rsidRPr="00697B6D" w14:paraId="2B9BA138"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B2EB9EB" w14:textId="693BB88F"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A9F3B1F" w14:textId="159667EF"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09ABEA6F"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0134-DGH-P17</w:t>
            </w:r>
          </w:p>
        </w:tc>
        <w:tc>
          <w:tcPr>
            <w:tcW w:w="2127" w:type="dxa"/>
            <w:vMerge w:val="restart"/>
            <w:tcBorders>
              <w:top w:val="nil"/>
              <w:left w:val="nil"/>
              <w:right w:val="single" w:sz="4" w:space="0" w:color="auto"/>
            </w:tcBorders>
            <w:shd w:val="clear" w:color="auto" w:fill="auto"/>
            <w:noWrap/>
            <w:vAlign w:val="center"/>
            <w:hideMark/>
          </w:tcPr>
          <w:p w14:paraId="234D5375"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Proyecto Ley N°10159 Marco de Empleo Público</w:t>
            </w:r>
          </w:p>
        </w:tc>
        <w:tc>
          <w:tcPr>
            <w:tcW w:w="1034" w:type="dxa"/>
            <w:vMerge w:val="restart"/>
            <w:tcBorders>
              <w:top w:val="nil"/>
              <w:left w:val="nil"/>
              <w:right w:val="single" w:sz="4" w:space="0" w:color="auto"/>
            </w:tcBorders>
            <w:shd w:val="clear" w:color="auto" w:fill="auto"/>
            <w:noWrap/>
            <w:vAlign w:val="center"/>
            <w:hideMark/>
          </w:tcPr>
          <w:p w14:paraId="68876CA5"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2E5FD82C"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DF4EED8"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1 </w:t>
            </w:r>
          </w:p>
        </w:tc>
        <w:tc>
          <w:tcPr>
            <w:tcW w:w="761" w:type="dxa"/>
            <w:tcBorders>
              <w:top w:val="nil"/>
              <w:left w:val="nil"/>
              <w:bottom w:val="single" w:sz="4" w:space="0" w:color="auto"/>
              <w:right w:val="single" w:sz="4" w:space="0" w:color="auto"/>
            </w:tcBorders>
            <w:shd w:val="clear" w:color="auto" w:fill="auto"/>
            <w:noWrap/>
            <w:vAlign w:val="center"/>
            <w:hideMark/>
          </w:tcPr>
          <w:p w14:paraId="287BACA9"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43540</w:t>
            </w:r>
          </w:p>
        </w:tc>
      </w:tr>
      <w:tr w:rsidR="007E6FC1" w:rsidRPr="00697B6D" w14:paraId="7A9D704E"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C84A24F" w14:textId="64376C3C"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75376AE" w14:textId="677E0DE5"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37FCE414"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7BC69832"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0CC9BA91"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206FEA7"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1642C6D"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0B0930AF" w14:textId="77777777" w:rsidR="001340AD" w:rsidRPr="00697B6D" w:rsidRDefault="001340AD" w:rsidP="00F400D6">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367665</w:t>
            </w:r>
          </w:p>
        </w:tc>
      </w:tr>
      <w:tr w:rsidR="007E6FC1" w:rsidRPr="00697B6D" w14:paraId="14727D69"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4EA4C29" w14:textId="7F05FDBD"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B78830F" w14:textId="1FD72D3E"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494898D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011C210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2F2C213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4B026D9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732BA1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301AEFE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367669</w:t>
            </w:r>
          </w:p>
        </w:tc>
      </w:tr>
      <w:tr w:rsidR="007E6FC1" w:rsidRPr="00697B6D" w14:paraId="13BE81CE"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741EEB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770174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723A0A7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37B01A8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79F64F6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9523D7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30D376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0D1257C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369741</w:t>
            </w:r>
          </w:p>
        </w:tc>
      </w:tr>
      <w:tr w:rsidR="007E6FC1" w:rsidRPr="00697B6D" w14:paraId="737FA885"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E866FC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67A60F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2FE67E0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387DC96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4CA36B3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455538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87167F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3 </w:t>
            </w:r>
          </w:p>
        </w:tc>
        <w:tc>
          <w:tcPr>
            <w:tcW w:w="761" w:type="dxa"/>
            <w:tcBorders>
              <w:top w:val="nil"/>
              <w:left w:val="nil"/>
              <w:bottom w:val="single" w:sz="4" w:space="0" w:color="auto"/>
              <w:right w:val="single" w:sz="4" w:space="0" w:color="auto"/>
            </w:tcBorders>
            <w:shd w:val="clear" w:color="auto" w:fill="auto"/>
            <w:noWrap/>
            <w:vAlign w:val="center"/>
            <w:hideMark/>
          </w:tcPr>
          <w:p w14:paraId="41AF0C8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107849</w:t>
            </w:r>
          </w:p>
        </w:tc>
      </w:tr>
      <w:tr w:rsidR="00BC00B3" w:rsidRPr="00697B6D" w14:paraId="0C7D1D8B" w14:textId="77777777" w:rsidTr="00301740">
        <w:trPr>
          <w:trHeight w:val="290"/>
        </w:trPr>
        <w:tc>
          <w:tcPr>
            <w:tcW w:w="1613" w:type="dxa"/>
            <w:vMerge/>
            <w:tcBorders>
              <w:left w:val="single" w:sz="4" w:space="0" w:color="auto"/>
              <w:bottom w:val="single" w:sz="4" w:space="0" w:color="auto"/>
              <w:right w:val="single" w:sz="4" w:space="0" w:color="auto"/>
            </w:tcBorders>
            <w:shd w:val="clear" w:color="auto" w:fill="auto"/>
            <w:noWrap/>
            <w:vAlign w:val="center"/>
          </w:tcPr>
          <w:p w14:paraId="0370F99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bottom w:val="single" w:sz="4" w:space="0" w:color="auto"/>
              <w:right w:val="single" w:sz="4" w:space="0" w:color="auto"/>
            </w:tcBorders>
            <w:shd w:val="clear" w:color="auto" w:fill="auto"/>
            <w:noWrap/>
            <w:vAlign w:val="center"/>
          </w:tcPr>
          <w:p w14:paraId="2023F8B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1F0841D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0653-DP-P14</w:t>
            </w:r>
          </w:p>
        </w:tc>
        <w:tc>
          <w:tcPr>
            <w:tcW w:w="2127" w:type="dxa"/>
            <w:tcBorders>
              <w:top w:val="nil"/>
              <w:left w:val="nil"/>
              <w:bottom w:val="single" w:sz="4" w:space="0" w:color="auto"/>
              <w:right w:val="single" w:sz="4" w:space="0" w:color="auto"/>
            </w:tcBorders>
            <w:shd w:val="clear" w:color="auto" w:fill="auto"/>
            <w:noWrap/>
            <w:vAlign w:val="center"/>
            <w:hideMark/>
          </w:tcPr>
          <w:p w14:paraId="1AD1CC8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Desarrollo e Implantación Sistema Observatorio Judicial</w:t>
            </w:r>
          </w:p>
        </w:tc>
        <w:tc>
          <w:tcPr>
            <w:tcW w:w="1034" w:type="dxa"/>
            <w:tcBorders>
              <w:top w:val="nil"/>
              <w:left w:val="nil"/>
              <w:bottom w:val="single" w:sz="4" w:space="0" w:color="auto"/>
              <w:right w:val="single" w:sz="4" w:space="0" w:color="auto"/>
            </w:tcBorders>
            <w:shd w:val="clear" w:color="auto" w:fill="auto"/>
            <w:noWrap/>
            <w:vAlign w:val="center"/>
            <w:hideMark/>
          </w:tcPr>
          <w:p w14:paraId="7D9F926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6DC0914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F92F1A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134D031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92733</w:t>
            </w:r>
          </w:p>
        </w:tc>
      </w:tr>
      <w:tr w:rsidR="007E6FC1" w:rsidRPr="00697B6D" w14:paraId="4C0236A3" w14:textId="77777777" w:rsidTr="00301740">
        <w:trPr>
          <w:trHeight w:val="290"/>
        </w:trPr>
        <w:tc>
          <w:tcPr>
            <w:tcW w:w="1613" w:type="dxa"/>
            <w:vMerge w:val="restart"/>
            <w:tcBorders>
              <w:top w:val="nil"/>
              <w:left w:val="single" w:sz="4" w:space="0" w:color="auto"/>
              <w:right w:val="single" w:sz="4" w:space="0" w:color="auto"/>
            </w:tcBorders>
            <w:shd w:val="clear" w:color="auto" w:fill="auto"/>
            <w:noWrap/>
            <w:vAlign w:val="center"/>
          </w:tcPr>
          <w:p w14:paraId="36E3253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926 Direc. Admin. Órg. de Apoyo</w:t>
            </w:r>
          </w:p>
        </w:tc>
        <w:tc>
          <w:tcPr>
            <w:tcW w:w="1173" w:type="dxa"/>
            <w:vMerge w:val="restart"/>
            <w:tcBorders>
              <w:top w:val="nil"/>
              <w:left w:val="nil"/>
              <w:right w:val="single" w:sz="4" w:space="0" w:color="auto"/>
            </w:tcBorders>
            <w:shd w:val="clear" w:color="auto" w:fill="auto"/>
            <w:noWrap/>
            <w:vAlign w:val="center"/>
          </w:tcPr>
          <w:p w14:paraId="43170F3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Dirección Ejecutiva</w:t>
            </w:r>
          </w:p>
        </w:tc>
        <w:tc>
          <w:tcPr>
            <w:tcW w:w="1183" w:type="dxa"/>
            <w:vMerge w:val="restart"/>
            <w:tcBorders>
              <w:top w:val="nil"/>
              <w:left w:val="nil"/>
              <w:right w:val="single" w:sz="4" w:space="0" w:color="auto"/>
            </w:tcBorders>
            <w:shd w:val="clear" w:color="auto" w:fill="auto"/>
            <w:noWrap/>
            <w:vAlign w:val="center"/>
            <w:hideMark/>
          </w:tcPr>
          <w:p w14:paraId="66AF63D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0117-DE-P14</w:t>
            </w:r>
          </w:p>
        </w:tc>
        <w:tc>
          <w:tcPr>
            <w:tcW w:w="2127" w:type="dxa"/>
            <w:vMerge w:val="restart"/>
            <w:tcBorders>
              <w:top w:val="nil"/>
              <w:left w:val="nil"/>
              <w:right w:val="single" w:sz="4" w:space="0" w:color="auto"/>
            </w:tcBorders>
            <w:shd w:val="clear" w:color="auto" w:fill="auto"/>
            <w:noWrap/>
            <w:vAlign w:val="center"/>
            <w:hideMark/>
          </w:tcPr>
          <w:p w14:paraId="7196AF3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Implementación del Sistema de Compras Públicas</w:t>
            </w:r>
          </w:p>
        </w:tc>
        <w:tc>
          <w:tcPr>
            <w:tcW w:w="1034" w:type="dxa"/>
            <w:vMerge w:val="restart"/>
            <w:tcBorders>
              <w:top w:val="nil"/>
              <w:left w:val="nil"/>
              <w:right w:val="single" w:sz="4" w:space="0" w:color="auto"/>
            </w:tcBorders>
            <w:shd w:val="clear" w:color="auto" w:fill="auto"/>
            <w:noWrap/>
            <w:vAlign w:val="center"/>
            <w:hideMark/>
          </w:tcPr>
          <w:p w14:paraId="3CCC7E9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0C22185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30C8A2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COORDINADOR DE UNIDAD 3 </w:t>
            </w:r>
          </w:p>
        </w:tc>
        <w:tc>
          <w:tcPr>
            <w:tcW w:w="761" w:type="dxa"/>
            <w:tcBorders>
              <w:top w:val="nil"/>
              <w:left w:val="nil"/>
              <w:bottom w:val="single" w:sz="4" w:space="0" w:color="auto"/>
              <w:right w:val="single" w:sz="4" w:space="0" w:color="auto"/>
            </w:tcBorders>
            <w:shd w:val="clear" w:color="auto" w:fill="auto"/>
            <w:noWrap/>
            <w:vAlign w:val="center"/>
            <w:hideMark/>
          </w:tcPr>
          <w:p w14:paraId="631C33F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46817</w:t>
            </w:r>
          </w:p>
        </w:tc>
      </w:tr>
      <w:tr w:rsidR="007E6FC1" w:rsidRPr="00697B6D" w14:paraId="1B75808A"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BF6F5F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C47BE8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765362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0DB72B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0DCC128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8EF5BD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1A2698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1 </w:t>
            </w:r>
          </w:p>
        </w:tc>
        <w:tc>
          <w:tcPr>
            <w:tcW w:w="761" w:type="dxa"/>
            <w:tcBorders>
              <w:top w:val="nil"/>
              <w:left w:val="nil"/>
              <w:bottom w:val="single" w:sz="4" w:space="0" w:color="auto"/>
              <w:right w:val="single" w:sz="4" w:space="0" w:color="auto"/>
            </w:tcBorders>
            <w:shd w:val="clear" w:color="auto" w:fill="auto"/>
            <w:noWrap/>
            <w:vAlign w:val="center"/>
            <w:hideMark/>
          </w:tcPr>
          <w:p w14:paraId="0EB6F22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24361</w:t>
            </w:r>
          </w:p>
        </w:tc>
      </w:tr>
      <w:tr w:rsidR="007E6FC1" w:rsidRPr="00697B6D" w14:paraId="3998AB0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5D0FFF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DF81AF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722F621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1ED265C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0896FB9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233E1B6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0AE38E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56CAB54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108614</w:t>
            </w:r>
          </w:p>
        </w:tc>
      </w:tr>
      <w:tr w:rsidR="007E6FC1" w:rsidRPr="00697B6D" w14:paraId="26F91F09"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0E5DD4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D67777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055ED55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0117-DE-P16</w:t>
            </w:r>
          </w:p>
        </w:tc>
        <w:tc>
          <w:tcPr>
            <w:tcW w:w="2127" w:type="dxa"/>
            <w:tcBorders>
              <w:top w:val="nil"/>
              <w:left w:val="nil"/>
              <w:bottom w:val="single" w:sz="4" w:space="0" w:color="auto"/>
              <w:right w:val="single" w:sz="4" w:space="0" w:color="auto"/>
            </w:tcBorders>
            <w:shd w:val="clear" w:color="auto" w:fill="auto"/>
            <w:noWrap/>
            <w:vAlign w:val="center"/>
            <w:hideMark/>
          </w:tcPr>
          <w:p w14:paraId="222A4A3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Sostenibilidad del Sistema Integrado de Gestión Administrativa (SIGA-PJ)</w:t>
            </w:r>
          </w:p>
        </w:tc>
        <w:tc>
          <w:tcPr>
            <w:tcW w:w="1034" w:type="dxa"/>
            <w:tcBorders>
              <w:top w:val="nil"/>
              <w:left w:val="nil"/>
              <w:bottom w:val="single" w:sz="4" w:space="0" w:color="auto"/>
              <w:right w:val="single" w:sz="4" w:space="0" w:color="auto"/>
            </w:tcBorders>
            <w:shd w:val="clear" w:color="auto" w:fill="auto"/>
            <w:noWrap/>
            <w:vAlign w:val="center"/>
            <w:hideMark/>
          </w:tcPr>
          <w:p w14:paraId="4B6CCB0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27B5E99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8CE3C9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6AF7295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108615</w:t>
            </w:r>
          </w:p>
        </w:tc>
      </w:tr>
      <w:tr w:rsidR="007E6FC1" w:rsidRPr="00697B6D" w14:paraId="55F6A0E7"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E2853A4" w14:textId="4EA477C8"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C1D9D56" w14:textId="768B0750"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0729AF2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0117-DE-P17</w:t>
            </w:r>
          </w:p>
        </w:tc>
        <w:tc>
          <w:tcPr>
            <w:tcW w:w="2127" w:type="dxa"/>
            <w:tcBorders>
              <w:top w:val="nil"/>
              <w:left w:val="nil"/>
              <w:bottom w:val="single" w:sz="4" w:space="0" w:color="auto"/>
              <w:right w:val="single" w:sz="4" w:space="0" w:color="auto"/>
            </w:tcBorders>
            <w:shd w:val="clear" w:color="auto" w:fill="auto"/>
            <w:noWrap/>
            <w:vAlign w:val="center"/>
            <w:hideMark/>
          </w:tcPr>
          <w:p w14:paraId="65314CD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Control, registro, conciliación y ajustes entre los movimientos contables y el Sistema Institucional del Control de Activos (SICA-PJ)</w:t>
            </w:r>
          </w:p>
        </w:tc>
        <w:tc>
          <w:tcPr>
            <w:tcW w:w="1034" w:type="dxa"/>
            <w:tcBorders>
              <w:top w:val="nil"/>
              <w:left w:val="nil"/>
              <w:bottom w:val="single" w:sz="4" w:space="0" w:color="auto"/>
              <w:right w:val="single" w:sz="4" w:space="0" w:color="auto"/>
            </w:tcBorders>
            <w:shd w:val="clear" w:color="auto" w:fill="auto"/>
            <w:noWrap/>
            <w:vAlign w:val="center"/>
            <w:hideMark/>
          </w:tcPr>
          <w:p w14:paraId="2F5F01D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6AD5A3F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10009E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1 </w:t>
            </w:r>
          </w:p>
        </w:tc>
        <w:tc>
          <w:tcPr>
            <w:tcW w:w="761" w:type="dxa"/>
            <w:tcBorders>
              <w:top w:val="nil"/>
              <w:left w:val="nil"/>
              <w:bottom w:val="single" w:sz="4" w:space="0" w:color="auto"/>
              <w:right w:val="single" w:sz="4" w:space="0" w:color="auto"/>
            </w:tcBorders>
            <w:shd w:val="clear" w:color="auto" w:fill="auto"/>
            <w:noWrap/>
            <w:vAlign w:val="center"/>
            <w:hideMark/>
          </w:tcPr>
          <w:p w14:paraId="1989C92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43608</w:t>
            </w:r>
          </w:p>
        </w:tc>
      </w:tr>
      <w:tr w:rsidR="007E6FC1" w:rsidRPr="00697B6D" w14:paraId="4431D885"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1879F8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B00B1B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64ADF2F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0117-DE-P18</w:t>
            </w:r>
          </w:p>
        </w:tc>
        <w:tc>
          <w:tcPr>
            <w:tcW w:w="2127" w:type="dxa"/>
            <w:vMerge w:val="restart"/>
            <w:tcBorders>
              <w:top w:val="nil"/>
              <w:left w:val="nil"/>
              <w:right w:val="single" w:sz="4" w:space="0" w:color="auto"/>
            </w:tcBorders>
            <w:shd w:val="clear" w:color="auto" w:fill="auto"/>
            <w:noWrap/>
            <w:vAlign w:val="center"/>
            <w:hideMark/>
          </w:tcPr>
          <w:p w14:paraId="004F174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 de trabajo para la mejora del proceso de contratación administrativa</w:t>
            </w:r>
          </w:p>
        </w:tc>
        <w:tc>
          <w:tcPr>
            <w:tcW w:w="1034" w:type="dxa"/>
            <w:vMerge w:val="restart"/>
            <w:tcBorders>
              <w:top w:val="nil"/>
              <w:left w:val="nil"/>
              <w:right w:val="single" w:sz="4" w:space="0" w:color="auto"/>
            </w:tcBorders>
            <w:shd w:val="clear" w:color="auto" w:fill="auto"/>
            <w:noWrap/>
            <w:vAlign w:val="center"/>
            <w:hideMark/>
          </w:tcPr>
          <w:p w14:paraId="753D741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519C242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E2497A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1 </w:t>
            </w:r>
          </w:p>
        </w:tc>
        <w:tc>
          <w:tcPr>
            <w:tcW w:w="761" w:type="dxa"/>
            <w:tcBorders>
              <w:top w:val="nil"/>
              <w:left w:val="nil"/>
              <w:bottom w:val="single" w:sz="4" w:space="0" w:color="auto"/>
              <w:right w:val="single" w:sz="4" w:space="0" w:color="auto"/>
            </w:tcBorders>
            <w:shd w:val="clear" w:color="auto" w:fill="auto"/>
            <w:noWrap/>
            <w:vAlign w:val="center"/>
            <w:hideMark/>
          </w:tcPr>
          <w:p w14:paraId="0CDAE28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44027</w:t>
            </w:r>
          </w:p>
        </w:tc>
      </w:tr>
      <w:tr w:rsidR="007E6FC1" w:rsidRPr="00697B6D" w14:paraId="53A794BA"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74C40F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365AEC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7EEF011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32092E9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254E087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DA879E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35877B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1 </w:t>
            </w:r>
          </w:p>
        </w:tc>
        <w:tc>
          <w:tcPr>
            <w:tcW w:w="761" w:type="dxa"/>
            <w:tcBorders>
              <w:top w:val="nil"/>
              <w:left w:val="nil"/>
              <w:bottom w:val="single" w:sz="4" w:space="0" w:color="auto"/>
              <w:right w:val="single" w:sz="4" w:space="0" w:color="auto"/>
            </w:tcBorders>
            <w:shd w:val="clear" w:color="auto" w:fill="auto"/>
            <w:noWrap/>
            <w:vAlign w:val="center"/>
            <w:hideMark/>
          </w:tcPr>
          <w:p w14:paraId="73F6870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72803</w:t>
            </w:r>
          </w:p>
        </w:tc>
      </w:tr>
      <w:tr w:rsidR="007E6FC1" w:rsidRPr="00697B6D" w14:paraId="54C083B8"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F01746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5DC065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74EBE66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18F41E5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83BFC2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044CE7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AB084F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1 </w:t>
            </w:r>
          </w:p>
        </w:tc>
        <w:tc>
          <w:tcPr>
            <w:tcW w:w="761" w:type="dxa"/>
            <w:tcBorders>
              <w:top w:val="nil"/>
              <w:left w:val="nil"/>
              <w:bottom w:val="single" w:sz="4" w:space="0" w:color="auto"/>
              <w:right w:val="single" w:sz="4" w:space="0" w:color="auto"/>
            </w:tcBorders>
            <w:shd w:val="clear" w:color="auto" w:fill="auto"/>
            <w:noWrap/>
            <w:vAlign w:val="center"/>
            <w:hideMark/>
          </w:tcPr>
          <w:p w14:paraId="70E9CF3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363382</w:t>
            </w:r>
          </w:p>
        </w:tc>
      </w:tr>
      <w:tr w:rsidR="007E6FC1" w:rsidRPr="00697B6D" w14:paraId="3A7674A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88A0FF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3938D0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2E967A7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DE6270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17385D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27E35F1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8C35C6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59BCC8F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6397</w:t>
            </w:r>
          </w:p>
        </w:tc>
      </w:tr>
      <w:tr w:rsidR="007E6FC1" w:rsidRPr="00697B6D" w14:paraId="591C79A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D6560F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544BB3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18CF19B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C19D75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6682E3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45C160C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6AB5F2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176D59D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96484</w:t>
            </w:r>
          </w:p>
        </w:tc>
      </w:tr>
      <w:tr w:rsidR="007E6FC1" w:rsidRPr="00697B6D" w14:paraId="27747D95"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474C34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E73738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2E24A10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4E420AA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6A0116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55C8304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BF0CC6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5FDFCAD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111271</w:t>
            </w:r>
          </w:p>
        </w:tc>
      </w:tr>
      <w:tr w:rsidR="007E6FC1" w:rsidRPr="00697B6D" w14:paraId="732B66C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B0285C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AD4376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6A5D74A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1E50300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054EAFA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6B5FF0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F05631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0CB7685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377465</w:t>
            </w:r>
          </w:p>
        </w:tc>
      </w:tr>
      <w:tr w:rsidR="007E6FC1" w:rsidRPr="00697B6D" w14:paraId="59BDE9B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31242C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E986A3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482E9F7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0117-DE-P19</w:t>
            </w:r>
          </w:p>
        </w:tc>
        <w:tc>
          <w:tcPr>
            <w:tcW w:w="2127" w:type="dxa"/>
            <w:tcBorders>
              <w:top w:val="nil"/>
              <w:left w:val="nil"/>
              <w:bottom w:val="single" w:sz="4" w:space="0" w:color="auto"/>
              <w:right w:val="single" w:sz="4" w:space="0" w:color="auto"/>
            </w:tcBorders>
            <w:shd w:val="clear" w:color="auto" w:fill="auto"/>
            <w:noWrap/>
            <w:vAlign w:val="center"/>
            <w:hideMark/>
          </w:tcPr>
          <w:p w14:paraId="3FA92F0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Manejo de bienes en comiso</w:t>
            </w:r>
          </w:p>
        </w:tc>
        <w:tc>
          <w:tcPr>
            <w:tcW w:w="1034" w:type="dxa"/>
            <w:tcBorders>
              <w:top w:val="nil"/>
              <w:left w:val="nil"/>
              <w:bottom w:val="single" w:sz="4" w:space="0" w:color="auto"/>
              <w:right w:val="single" w:sz="4" w:space="0" w:color="auto"/>
            </w:tcBorders>
            <w:shd w:val="clear" w:color="auto" w:fill="auto"/>
            <w:noWrap/>
            <w:vAlign w:val="center"/>
            <w:hideMark/>
          </w:tcPr>
          <w:p w14:paraId="587E680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046A974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839A55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1</w:t>
            </w:r>
          </w:p>
        </w:tc>
        <w:tc>
          <w:tcPr>
            <w:tcW w:w="761" w:type="dxa"/>
            <w:tcBorders>
              <w:top w:val="nil"/>
              <w:left w:val="nil"/>
              <w:bottom w:val="single" w:sz="4" w:space="0" w:color="auto"/>
              <w:right w:val="single" w:sz="4" w:space="0" w:color="auto"/>
            </w:tcBorders>
            <w:shd w:val="clear" w:color="auto" w:fill="auto"/>
            <w:noWrap/>
            <w:vAlign w:val="center"/>
            <w:hideMark/>
          </w:tcPr>
          <w:p w14:paraId="2688660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352561</w:t>
            </w:r>
          </w:p>
        </w:tc>
      </w:tr>
      <w:tr w:rsidR="007E6FC1" w:rsidRPr="00697B6D" w14:paraId="66B810EA"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5BBD18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162A6F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70AB8FD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0117-DE-P30</w:t>
            </w:r>
          </w:p>
        </w:tc>
        <w:tc>
          <w:tcPr>
            <w:tcW w:w="2127" w:type="dxa"/>
            <w:vMerge w:val="restart"/>
            <w:tcBorders>
              <w:top w:val="nil"/>
              <w:left w:val="nil"/>
              <w:right w:val="single" w:sz="4" w:space="0" w:color="auto"/>
            </w:tcBorders>
            <w:shd w:val="clear" w:color="auto" w:fill="auto"/>
            <w:noWrap/>
            <w:vAlign w:val="center"/>
            <w:hideMark/>
          </w:tcPr>
          <w:p w14:paraId="00BB1E8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Análisis para Implementación de la versión NICSP 2018 e informe de la CGR</w:t>
            </w:r>
          </w:p>
        </w:tc>
        <w:tc>
          <w:tcPr>
            <w:tcW w:w="1034" w:type="dxa"/>
            <w:vMerge w:val="restart"/>
            <w:tcBorders>
              <w:top w:val="nil"/>
              <w:left w:val="nil"/>
              <w:right w:val="single" w:sz="4" w:space="0" w:color="auto"/>
            </w:tcBorders>
            <w:shd w:val="clear" w:color="auto" w:fill="auto"/>
            <w:noWrap/>
            <w:vAlign w:val="center"/>
            <w:hideMark/>
          </w:tcPr>
          <w:p w14:paraId="258EE3A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75C069D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1AA33B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COORDINADOR DE UNIDAD 3 </w:t>
            </w:r>
          </w:p>
        </w:tc>
        <w:tc>
          <w:tcPr>
            <w:tcW w:w="761" w:type="dxa"/>
            <w:tcBorders>
              <w:top w:val="nil"/>
              <w:left w:val="nil"/>
              <w:bottom w:val="single" w:sz="4" w:space="0" w:color="auto"/>
              <w:right w:val="single" w:sz="4" w:space="0" w:color="auto"/>
            </w:tcBorders>
            <w:shd w:val="clear" w:color="auto" w:fill="auto"/>
            <w:noWrap/>
            <w:vAlign w:val="center"/>
            <w:hideMark/>
          </w:tcPr>
          <w:p w14:paraId="298ECF6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6633</w:t>
            </w:r>
          </w:p>
        </w:tc>
      </w:tr>
      <w:tr w:rsidR="007E6FC1" w:rsidRPr="00697B6D" w14:paraId="6943E01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E6DC11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3947DC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42A9CB2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06E46AA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hideMark/>
          </w:tcPr>
          <w:p w14:paraId="03DCFC7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4FCEFD2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2D1E44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592E88D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382051</w:t>
            </w:r>
          </w:p>
        </w:tc>
      </w:tr>
      <w:tr w:rsidR="007E6FC1" w:rsidRPr="00697B6D" w14:paraId="402CC3D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BF9B41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57EC45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4B3F7D0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0117-DE-P31</w:t>
            </w:r>
          </w:p>
        </w:tc>
        <w:tc>
          <w:tcPr>
            <w:tcW w:w="2127" w:type="dxa"/>
            <w:vMerge w:val="restart"/>
            <w:tcBorders>
              <w:top w:val="nil"/>
              <w:left w:val="nil"/>
              <w:right w:val="single" w:sz="4" w:space="0" w:color="auto"/>
            </w:tcBorders>
            <w:shd w:val="clear" w:color="auto" w:fill="auto"/>
            <w:noWrap/>
            <w:vAlign w:val="center"/>
            <w:hideMark/>
          </w:tcPr>
          <w:p w14:paraId="5DAD12B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Implementación de acciones de mejora, modificación y adaptación institucional a la nueva Ley N°9986,“Ley General de Contratación Pública”</w:t>
            </w:r>
          </w:p>
        </w:tc>
        <w:tc>
          <w:tcPr>
            <w:tcW w:w="1034" w:type="dxa"/>
            <w:vMerge w:val="restart"/>
            <w:tcBorders>
              <w:top w:val="nil"/>
              <w:left w:val="nil"/>
              <w:right w:val="single" w:sz="4" w:space="0" w:color="auto"/>
            </w:tcBorders>
            <w:shd w:val="clear" w:color="auto" w:fill="auto"/>
            <w:noWrap/>
            <w:vAlign w:val="center"/>
            <w:hideMark/>
          </w:tcPr>
          <w:p w14:paraId="53B4031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3BE893C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47A192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COORDINADOR DE UNIDAD 3 </w:t>
            </w:r>
          </w:p>
        </w:tc>
        <w:tc>
          <w:tcPr>
            <w:tcW w:w="761" w:type="dxa"/>
            <w:tcBorders>
              <w:top w:val="nil"/>
              <w:left w:val="nil"/>
              <w:bottom w:val="single" w:sz="4" w:space="0" w:color="auto"/>
              <w:right w:val="single" w:sz="4" w:space="0" w:color="auto"/>
            </w:tcBorders>
            <w:shd w:val="clear" w:color="auto" w:fill="auto"/>
            <w:noWrap/>
            <w:vAlign w:val="center"/>
            <w:hideMark/>
          </w:tcPr>
          <w:p w14:paraId="3B22C6A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367712</w:t>
            </w:r>
          </w:p>
        </w:tc>
      </w:tr>
      <w:tr w:rsidR="007E6FC1" w:rsidRPr="00697B6D" w14:paraId="6306EC75"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0613B7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D33E8F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4B7D8BF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2A70931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hideMark/>
          </w:tcPr>
          <w:p w14:paraId="3BC706C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5D5C206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25462B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6A5BE90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377466</w:t>
            </w:r>
          </w:p>
        </w:tc>
      </w:tr>
      <w:tr w:rsidR="007E6FC1" w:rsidRPr="00697B6D" w14:paraId="0C9ABA17"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BAA329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B6304B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50B9067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0117-DE-P49</w:t>
            </w:r>
          </w:p>
        </w:tc>
        <w:tc>
          <w:tcPr>
            <w:tcW w:w="2127" w:type="dxa"/>
            <w:vMerge w:val="restart"/>
            <w:tcBorders>
              <w:top w:val="nil"/>
              <w:left w:val="nil"/>
              <w:right w:val="single" w:sz="4" w:space="0" w:color="auto"/>
            </w:tcBorders>
            <w:shd w:val="clear" w:color="auto" w:fill="auto"/>
            <w:noWrap/>
            <w:vAlign w:val="center"/>
            <w:hideMark/>
          </w:tcPr>
          <w:p w14:paraId="65392A2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Proceso de Gestión de Continuidad del Servicio</w:t>
            </w:r>
          </w:p>
        </w:tc>
        <w:tc>
          <w:tcPr>
            <w:tcW w:w="1034" w:type="dxa"/>
            <w:vMerge w:val="restart"/>
            <w:tcBorders>
              <w:top w:val="nil"/>
              <w:left w:val="nil"/>
              <w:right w:val="single" w:sz="4" w:space="0" w:color="auto"/>
            </w:tcBorders>
            <w:shd w:val="clear" w:color="auto" w:fill="auto"/>
            <w:noWrap/>
            <w:vAlign w:val="center"/>
            <w:hideMark/>
          </w:tcPr>
          <w:p w14:paraId="5D12820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2A13A71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EFE78B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JEFE ADMINISTRATIVO 4 </w:t>
            </w:r>
          </w:p>
        </w:tc>
        <w:tc>
          <w:tcPr>
            <w:tcW w:w="761" w:type="dxa"/>
            <w:tcBorders>
              <w:top w:val="nil"/>
              <w:left w:val="nil"/>
              <w:bottom w:val="single" w:sz="4" w:space="0" w:color="auto"/>
              <w:right w:val="single" w:sz="4" w:space="0" w:color="auto"/>
            </w:tcBorders>
            <w:shd w:val="clear" w:color="auto" w:fill="auto"/>
            <w:noWrap/>
            <w:vAlign w:val="center"/>
            <w:hideMark/>
          </w:tcPr>
          <w:p w14:paraId="136B0B3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111523</w:t>
            </w:r>
          </w:p>
        </w:tc>
      </w:tr>
      <w:tr w:rsidR="007E6FC1" w:rsidRPr="00697B6D" w14:paraId="654E790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6E1CE2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FAED18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30A8678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4798972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hideMark/>
          </w:tcPr>
          <w:p w14:paraId="43ECCA8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E23735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10BBA1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19EE480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33977</w:t>
            </w:r>
          </w:p>
        </w:tc>
      </w:tr>
      <w:tr w:rsidR="00BC00B3" w:rsidRPr="00697B6D" w14:paraId="0A41230A" w14:textId="77777777" w:rsidTr="003C245A">
        <w:trPr>
          <w:trHeight w:val="290"/>
        </w:trPr>
        <w:tc>
          <w:tcPr>
            <w:tcW w:w="1613" w:type="dxa"/>
            <w:vMerge/>
            <w:tcBorders>
              <w:left w:val="single" w:sz="4" w:space="0" w:color="auto"/>
              <w:bottom w:val="single" w:sz="4" w:space="0" w:color="auto"/>
              <w:right w:val="single" w:sz="4" w:space="0" w:color="auto"/>
            </w:tcBorders>
            <w:shd w:val="clear" w:color="auto" w:fill="auto"/>
            <w:noWrap/>
            <w:vAlign w:val="center"/>
          </w:tcPr>
          <w:p w14:paraId="0E84FF3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bottom w:val="single" w:sz="4" w:space="0" w:color="auto"/>
              <w:right w:val="single" w:sz="4" w:space="0" w:color="auto"/>
            </w:tcBorders>
            <w:shd w:val="clear" w:color="auto" w:fill="auto"/>
            <w:noWrap/>
            <w:vAlign w:val="center"/>
          </w:tcPr>
          <w:p w14:paraId="1F40CC3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13E7E40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0122-DTI-P14</w:t>
            </w:r>
          </w:p>
        </w:tc>
        <w:tc>
          <w:tcPr>
            <w:tcW w:w="2127" w:type="dxa"/>
            <w:tcBorders>
              <w:top w:val="nil"/>
              <w:left w:val="nil"/>
              <w:bottom w:val="single" w:sz="4" w:space="0" w:color="auto"/>
              <w:right w:val="single" w:sz="4" w:space="0" w:color="auto"/>
            </w:tcBorders>
            <w:shd w:val="clear" w:color="auto" w:fill="auto"/>
            <w:noWrap/>
            <w:vAlign w:val="center"/>
            <w:hideMark/>
          </w:tcPr>
          <w:p w14:paraId="23BABF7E"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1D5DB720" w14:textId="4FE1C7CC" w:rsidR="001340A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Migración del Sistema Integrado de Ejecución Presupuestario (SIGA-PJ)</w:t>
            </w:r>
          </w:p>
          <w:p w14:paraId="5299363C"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4224A0C9" w14:textId="5AC28153"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tcBorders>
              <w:top w:val="nil"/>
              <w:left w:val="nil"/>
              <w:bottom w:val="single" w:sz="4" w:space="0" w:color="auto"/>
              <w:right w:val="single" w:sz="4" w:space="0" w:color="auto"/>
            </w:tcBorders>
            <w:shd w:val="clear" w:color="auto" w:fill="auto"/>
            <w:noWrap/>
            <w:vAlign w:val="center"/>
            <w:hideMark/>
          </w:tcPr>
          <w:p w14:paraId="1239259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35642B9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EE9CF0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1 </w:t>
            </w:r>
          </w:p>
        </w:tc>
        <w:tc>
          <w:tcPr>
            <w:tcW w:w="761" w:type="dxa"/>
            <w:tcBorders>
              <w:top w:val="nil"/>
              <w:left w:val="nil"/>
              <w:bottom w:val="single" w:sz="4" w:space="0" w:color="auto"/>
              <w:right w:val="single" w:sz="4" w:space="0" w:color="auto"/>
            </w:tcBorders>
            <w:shd w:val="clear" w:color="auto" w:fill="auto"/>
            <w:noWrap/>
            <w:vAlign w:val="center"/>
            <w:hideMark/>
          </w:tcPr>
          <w:p w14:paraId="4AB7DA5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359174</w:t>
            </w:r>
          </w:p>
        </w:tc>
      </w:tr>
      <w:tr w:rsidR="007E6FC1" w:rsidRPr="00697B6D" w14:paraId="5F511D06" w14:textId="77777777" w:rsidTr="003C245A">
        <w:trPr>
          <w:trHeight w:val="290"/>
        </w:trPr>
        <w:tc>
          <w:tcPr>
            <w:tcW w:w="16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9F6C5"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4DACCFFD"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79B3F074"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071C804A"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6B724AF5"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1AB27C10"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4C4E2A62"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6DBCD0C2"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7FA19689"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751913E8"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5E1D9B26" w14:textId="10FBE2E9"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2A3CCAA1" w14:textId="79364EFD" w:rsidR="003C245A" w:rsidRDefault="003C245A" w:rsidP="001340AD">
            <w:pPr>
              <w:spacing w:after="0" w:line="240" w:lineRule="auto"/>
              <w:jc w:val="center"/>
              <w:rPr>
                <w:rFonts w:ascii="Book Antiqua" w:eastAsia="Times New Roman" w:hAnsi="Book Antiqua" w:cs="Calibri"/>
                <w:color w:val="000000"/>
                <w:sz w:val="14"/>
                <w:szCs w:val="14"/>
                <w:lang w:eastAsia="es-CR"/>
              </w:rPr>
            </w:pPr>
          </w:p>
          <w:p w14:paraId="33812B35" w14:textId="7D636E49" w:rsidR="003C245A" w:rsidRDefault="003C245A" w:rsidP="001340AD">
            <w:pPr>
              <w:spacing w:after="0" w:line="240" w:lineRule="auto"/>
              <w:jc w:val="center"/>
              <w:rPr>
                <w:rFonts w:ascii="Book Antiqua" w:eastAsia="Times New Roman" w:hAnsi="Book Antiqua" w:cs="Calibri"/>
                <w:color w:val="000000"/>
                <w:sz w:val="14"/>
                <w:szCs w:val="14"/>
                <w:lang w:eastAsia="es-CR"/>
              </w:rPr>
            </w:pPr>
          </w:p>
          <w:p w14:paraId="6A8AE525" w14:textId="6D85BBBE" w:rsidR="003C245A" w:rsidRDefault="003C245A" w:rsidP="001340AD">
            <w:pPr>
              <w:spacing w:after="0" w:line="240" w:lineRule="auto"/>
              <w:jc w:val="center"/>
              <w:rPr>
                <w:rFonts w:ascii="Book Antiqua" w:eastAsia="Times New Roman" w:hAnsi="Book Antiqua" w:cs="Calibri"/>
                <w:color w:val="000000"/>
                <w:sz w:val="14"/>
                <w:szCs w:val="14"/>
                <w:lang w:eastAsia="es-CR"/>
              </w:rPr>
            </w:pPr>
          </w:p>
          <w:p w14:paraId="3E80592A" w14:textId="5CE984E3" w:rsidR="003C245A" w:rsidRDefault="003C245A" w:rsidP="001340AD">
            <w:pPr>
              <w:spacing w:after="0" w:line="240" w:lineRule="auto"/>
              <w:jc w:val="center"/>
              <w:rPr>
                <w:rFonts w:ascii="Book Antiqua" w:eastAsia="Times New Roman" w:hAnsi="Book Antiqua" w:cs="Calibri"/>
                <w:color w:val="000000"/>
                <w:sz w:val="14"/>
                <w:szCs w:val="14"/>
                <w:lang w:eastAsia="es-CR"/>
              </w:rPr>
            </w:pPr>
          </w:p>
          <w:p w14:paraId="059BD023" w14:textId="458C6FC2" w:rsidR="003C245A" w:rsidRDefault="003C245A" w:rsidP="001340AD">
            <w:pPr>
              <w:spacing w:after="0" w:line="240" w:lineRule="auto"/>
              <w:jc w:val="center"/>
              <w:rPr>
                <w:rFonts w:ascii="Book Antiqua" w:eastAsia="Times New Roman" w:hAnsi="Book Antiqua" w:cs="Calibri"/>
                <w:color w:val="000000"/>
                <w:sz w:val="14"/>
                <w:szCs w:val="14"/>
                <w:lang w:eastAsia="es-CR"/>
              </w:rPr>
            </w:pPr>
          </w:p>
          <w:p w14:paraId="37A8434A" w14:textId="77777777" w:rsidR="003C245A" w:rsidRDefault="003C245A" w:rsidP="001340AD">
            <w:pPr>
              <w:spacing w:after="0" w:line="240" w:lineRule="auto"/>
              <w:jc w:val="center"/>
              <w:rPr>
                <w:rFonts w:ascii="Book Antiqua" w:eastAsia="Times New Roman" w:hAnsi="Book Antiqua" w:cs="Calibri"/>
                <w:color w:val="000000"/>
                <w:sz w:val="14"/>
                <w:szCs w:val="14"/>
                <w:lang w:eastAsia="es-CR"/>
              </w:rPr>
            </w:pPr>
          </w:p>
          <w:p w14:paraId="30D5E1FD"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184B70F1"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213892B6"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12611CB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926 Direc. Admin. Órg. de Apoyo</w:t>
            </w:r>
          </w:p>
          <w:p w14:paraId="3296A491"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58342897"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6406017E"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55743A67"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66F17661"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585755D5"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2984AA1E"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617EFD4A"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5FC7E928"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1348853E"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602C499A"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1E108DFC"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7C23CBBE"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044C3801"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7B0D3B20"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45A246BE"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7D80B445"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4D90C5AF"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45FCA5E9"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0875C599"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292A2BEA"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51E385BA"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208E029E"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03073D45"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47C639B0"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1A9FE291"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02C3A60D"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26C5FE3E"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14B748E0"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56737445"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26404C11"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0BB2E938"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69A9AFEE"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2DCF2C35"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7FDFB28F"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43D218D3"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6E0F40AC" w14:textId="39213E91"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10782"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25F9FE57"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029F099B"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2A40230D"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798D75D9"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42EF0BA7"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679EEF64"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5752B47B"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1AE2B4C4"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063D9421" w14:textId="4D2A313E"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66AFFCAD" w14:textId="087D5AEF" w:rsidR="003C245A" w:rsidRDefault="003C245A" w:rsidP="001340AD">
            <w:pPr>
              <w:spacing w:after="0" w:line="240" w:lineRule="auto"/>
              <w:jc w:val="center"/>
              <w:rPr>
                <w:rFonts w:ascii="Book Antiqua" w:eastAsia="Times New Roman" w:hAnsi="Book Antiqua" w:cs="Calibri"/>
                <w:color w:val="000000"/>
                <w:sz w:val="14"/>
                <w:szCs w:val="14"/>
                <w:lang w:eastAsia="es-CR"/>
              </w:rPr>
            </w:pPr>
          </w:p>
          <w:p w14:paraId="4C162D62" w14:textId="09D7E90A" w:rsidR="003C245A" w:rsidRDefault="003C245A" w:rsidP="001340AD">
            <w:pPr>
              <w:spacing w:after="0" w:line="240" w:lineRule="auto"/>
              <w:jc w:val="center"/>
              <w:rPr>
                <w:rFonts w:ascii="Book Antiqua" w:eastAsia="Times New Roman" w:hAnsi="Book Antiqua" w:cs="Calibri"/>
                <w:color w:val="000000"/>
                <w:sz w:val="14"/>
                <w:szCs w:val="14"/>
                <w:lang w:eastAsia="es-CR"/>
              </w:rPr>
            </w:pPr>
          </w:p>
          <w:p w14:paraId="3B13CF58" w14:textId="02062AFB" w:rsidR="003C245A" w:rsidRDefault="003C245A" w:rsidP="001340AD">
            <w:pPr>
              <w:spacing w:after="0" w:line="240" w:lineRule="auto"/>
              <w:jc w:val="center"/>
              <w:rPr>
                <w:rFonts w:ascii="Book Antiqua" w:eastAsia="Times New Roman" w:hAnsi="Book Antiqua" w:cs="Calibri"/>
                <w:color w:val="000000"/>
                <w:sz w:val="14"/>
                <w:szCs w:val="14"/>
                <w:lang w:eastAsia="es-CR"/>
              </w:rPr>
            </w:pPr>
          </w:p>
          <w:p w14:paraId="41AB81A7" w14:textId="77777777" w:rsidR="003C245A" w:rsidRDefault="003C245A" w:rsidP="001340AD">
            <w:pPr>
              <w:spacing w:after="0" w:line="240" w:lineRule="auto"/>
              <w:jc w:val="center"/>
              <w:rPr>
                <w:rFonts w:ascii="Book Antiqua" w:eastAsia="Times New Roman" w:hAnsi="Book Antiqua" w:cs="Calibri"/>
                <w:color w:val="000000"/>
                <w:sz w:val="14"/>
                <w:szCs w:val="14"/>
                <w:lang w:eastAsia="es-CR"/>
              </w:rPr>
            </w:pPr>
          </w:p>
          <w:p w14:paraId="03687010"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589FC085"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03A99CB1"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1CECD4C5"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44AB5252" w14:textId="77777777" w:rsidR="001340AD" w:rsidRDefault="001340AD" w:rsidP="007635B5">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Dirección Gestión Humana</w:t>
            </w:r>
          </w:p>
          <w:p w14:paraId="7B81FBF0"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44AB1275"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71EFFE79"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1F025E59"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38EA2F82"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0B2D6A64"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685741D6"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7685A1D4"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7F9E4237"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755F3016"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5FC4C2C9"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1A719088"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11C28062"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6DC3F44F"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11806A32"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0676BE6F"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147459A1"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4E9F3CE5"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4DEFFB00"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0A7D18BA"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7C2A565B"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7F3FE980"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51EDCADC"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2A8C4166"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61B5B9F9"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13AC7015"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59549B50"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1DD7230F"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6168A581"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06A22267"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150E8969"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69BA3943"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2833C16B"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648FE5EF"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7F74E746"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42D96662" w14:textId="4B6A2561"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9A47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lastRenderedPageBreak/>
              <w:t>0134-DGH-P02</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7C53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Implementación de un Sistema de Evaluación del Desempeño por Competencias, para las personas trabajadoras del Poder Judicial</w:t>
            </w:r>
          </w:p>
        </w:tc>
        <w:tc>
          <w:tcPr>
            <w:tcW w:w="10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5DA9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7E9EFC1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439CB2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28339E6A" w14:textId="215A5CDC"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371998</w:t>
            </w:r>
            <w:r w:rsidRPr="001340AD">
              <w:rPr>
                <w:rStyle w:val="Refdenotaalpie"/>
                <w:rFonts w:ascii="Book Antiqua" w:eastAsia="Times New Roman" w:hAnsi="Book Antiqua" w:cs="Calibri"/>
                <w:color w:val="000000"/>
                <w:sz w:val="14"/>
                <w:szCs w:val="14"/>
                <w:lang w:eastAsia="es-CR"/>
              </w:rPr>
              <w:footnoteReference w:id="11"/>
            </w:r>
          </w:p>
        </w:tc>
      </w:tr>
      <w:tr w:rsidR="007E6FC1" w:rsidRPr="00697B6D" w14:paraId="00BE3C62" w14:textId="77777777" w:rsidTr="003C245A">
        <w:trPr>
          <w:trHeight w:val="290"/>
        </w:trPr>
        <w:tc>
          <w:tcPr>
            <w:tcW w:w="161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5D36B3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AC3DB8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6C930F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F676D2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DD38F0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082367F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158802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4B39BAC0" w14:textId="6585EA48"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371999</w:t>
            </w:r>
            <w:r w:rsidRPr="001340AD">
              <w:rPr>
                <w:rStyle w:val="Refdenotaalpie"/>
                <w:rFonts w:ascii="Book Antiqua" w:eastAsia="Times New Roman" w:hAnsi="Book Antiqua" w:cs="Calibri"/>
                <w:color w:val="000000"/>
                <w:sz w:val="14"/>
                <w:szCs w:val="14"/>
                <w:lang w:eastAsia="es-CR"/>
              </w:rPr>
              <w:footnoteReference w:id="12"/>
            </w:r>
          </w:p>
        </w:tc>
      </w:tr>
      <w:tr w:rsidR="007E6FC1" w:rsidRPr="00697B6D" w14:paraId="3E8C4E1F" w14:textId="77777777" w:rsidTr="003C245A">
        <w:trPr>
          <w:trHeight w:val="290"/>
        </w:trPr>
        <w:tc>
          <w:tcPr>
            <w:tcW w:w="161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D1F2CE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00A87B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F04544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420ED3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E39729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1CEE886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5F417C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004051BC" w14:textId="358100EA"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352552</w:t>
            </w:r>
            <w:r w:rsidRPr="001340AD">
              <w:rPr>
                <w:rStyle w:val="Refdenotaalpie"/>
                <w:rFonts w:ascii="Book Antiqua" w:eastAsia="Times New Roman" w:hAnsi="Book Antiqua" w:cs="Calibri"/>
                <w:color w:val="000000"/>
                <w:sz w:val="14"/>
                <w:szCs w:val="14"/>
                <w:lang w:eastAsia="es-CR"/>
              </w:rPr>
              <w:footnoteReference w:id="13"/>
            </w:r>
          </w:p>
        </w:tc>
      </w:tr>
      <w:tr w:rsidR="007E6FC1" w:rsidRPr="00697B6D" w14:paraId="65DDB033" w14:textId="77777777" w:rsidTr="003C245A">
        <w:trPr>
          <w:trHeight w:val="290"/>
        </w:trPr>
        <w:tc>
          <w:tcPr>
            <w:tcW w:w="161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79DD74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D5882C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79CF64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BA1362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2A70B5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6D6C24D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8CEF49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2</w:t>
            </w:r>
          </w:p>
        </w:tc>
        <w:tc>
          <w:tcPr>
            <w:tcW w:w="761" w:type="dxa"/>
            <w:tcBorders>
              <w:top w:val="nil"/>
              <w:left w:val="nil"/>
              <w:bottom w:val="single" w:sz="4" w:space="0" w:color="auto"/>
              <w:right w:val="single" w:sz="4" w:space="0" w:color="auto"/>
            </w:tcBorders>
            <w:shd w:val="clear" w:color="auto" w:fill="auto"/>
            <w:noWrap/>
            <w:vAlign w:val="center"/>
            <w:hideMark/>
          </w:tcPr>
          <w:p w14:paraId="668A61F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6382</w:t>
            </w:r>
          </w:p>
        </w:tc>
      </w:tr>
      <w:tr w:rsidR="007E6FC1" w:rsidRPr="00697B6D" w14:paraId="36EA9C07" w14:textId="77777777" w:rsidTr="003C245A">
        <w:trPr>
          <w:trHeight w:val="290"/>
        </w:trPr>
        <w:tc>
          <w:tcPr>
            <w:tcW w:w="161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4BD827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5423B2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8E4756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F77C9D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187923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79009ED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7DAA91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2</w:t>
            </w:r>
          </w:p>
        </w:tc>
        <w:tc>
          <w:tcPr>
            <w:tcW w:w="761" w:type="dxa"/>
            <w:tcBorders>
              <w:top w:val="nil"/>
              <w:left w:val="nil"/>
              <w:bottom w:val="single" w:sz="4" w:space="0" w:color="auto"/>
              <w:right w:val="single" w:sz="4" w:space="0" w:color="auto"/>
            </w:tcBorders>
            <w:shd w:val="clear" w:color="auto" w:fill="auto"/>
            <w:noWrap/>
            <w:vAlign w:val="center"/>
            <w:hideMark/>
          </w:tcPr>
          <w:p w14:paraId="0A95FBD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352554</w:t>
            </w:r>
          </w:p>
        </w:tc>
      </w:tr>
      <w:tr w:rsidR="007E6FC1" w:rsidRPr="00697B6D" w14:paraId="42B1B876" w14:textId="77777777" w:rsidTr="003C245A">
        <w:trPr>
          <w:trHeight w:val="290"/>
        </w:trPr>
        <w:tc>
          <w:tcPr>
            <w:tcW w:w="161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170923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6A6CB8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B020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0134-DGH-P03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A071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Sistema de Formulación y Ejecución Presupuestaria para Remuneraciones</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F8FF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0DE2EBE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581738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6239139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370962</w:t>
            </w:r>
          </w:p>
        </w:tc>
      </w:tr>
      <w:tr w:rsidR="007E6FC1" w:rsidRPr="00697B6D" w14:paraId="3ECD5D3A" w14:textId="77777777" w:rsidTr="003C245A">
        <w:trPr>
          <w:trHeight w:val="290"/>
        </w:trPr>
        <w:tc>
          <w:tcPr>
            <w:tcW w:w="161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6FE659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88BA90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FFEE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0134-DGH-P07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1E45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Política Integral de Bienestar y Salud Laboral</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0C47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27DD70F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544903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625DAD4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359206</w:t>
            </w:r>
          </w:p>
        </w:tc>
      </w:tr>
      <w:tr w:rsidR="007E6FC1" w:rsidRPr="00697B6D" w14:paraId="5BD61BB0" w14:textId="77777777" w:rsidTr="003C245A">
        <w:trPr>
          <w:trHeight w:val="290"/>
        </w:trPr>
        <w:tc>
          <w:tcPr>
            <w:tcW w:w="161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77E4B2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315927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00E9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0134-DGH-P10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D3F6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Control y Análisis de datos, para la formulación y ejecución presupuestaria, derivadas de la implementación de la Ley 9635</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720C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0D902BA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EE7B7E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1 </w:t>
            </w:r>
          </w:p>
        </w:tc>
        <w:tc>
          <w:tcPr>
            <w:tcW w:w="761" w:type="dxa"/>
            <w:tcBorders>
              <w:top w:val="nil"/>
              <w:left w:val="nil"/>
              <w:bottom w:val="single" w:sz="4" w:space="0" w:color="auto"/>
              <w:right w:val="single" w:sz="4" w:space="0" w:color="auto"/>
            </w:tcBorders>
            <w:shd w:val="clear" w:color="auto" w:fill="auto"/>
            <w:noWrap/>
            <w:vAlign w:val="center"/>
            <w:hideMark/>
          </w:tcPr>
          <w:p w14:paraId="4A87EE8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352558</w:t>
            </w:r>
          </w:p>
        </w:tc>
      </w:tr>
      <w:tr w:rsidR="007E6FC1" w:rsidRPr="00697B6D" w14:paraId="01408129" w14:textId="77777777" w:rsidTr="003C245A">
        <w:trPr>
          <w:trHeight w:val="290"/>
        </w:trPr>
        <w:tc>
          <w:tcPr>
            <w:tcW w:w="161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FF111B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E409C9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3951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0134-DGH-P11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C279D"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Implementación de la metodología para la aplicación de las pruebas de conocimientos en los concursos para los puestos de la Judicatura</w:t>
            </w:r>
          </w:p>
          <w:p w14:paraId="07C8A71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E534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1B8CA5C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DC1845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GESTOR DE CAPACITACIÓN 2</w:t>
            </w:r>
          </w:p>
        </w:tc>
        <w:tc>
          <w:tcPr>
            <w:tcW w:w="761" w:type="dxa"/>
            <w:tcBorders>
              <w:top w:val="nil"/>
              <w:left w:val="nil"/>
              <w:bottom w:val="single" w:sz="4" w:space="0" w:color="auto"/>
              <w:right w:val="single" w:sz="4" w:space="0" w:color="auto"/>
            </w:tcBorders>
            <w:shd w:val="clear" w:color="auto" w:fill="auto"/>
            <w:noWrap/>
            <w:vAlign w:val="center"/>
            <w:hideMark/>
          </w:tcPr>
          <w:p w14:paraId="03FFA3E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365589</w:t>
            </w:r>
          </w:p>
        </w:tc>
      </w:tr>
      <w:tr w:rsidR="007E6FC1" w:rsidRPr="00697B6D" w14:paraId="099D2B1F" w14:textId="77777777" w:rsidTr="003C245A">
        <w:trPr>
          <w:trHeight w:val="290"/>
        </w:trPr>
        <w:tc>
          <w:tcPr>
            <w:tcW w:w="161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2A7AF0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5F17A2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8FA4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0134-DGH-P12</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5995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 de trabajo para la gestión de nombramientos de puestos en la Dirección de Gestión Humana</w:t>
            </w:r>
          </w:p>
        </w:tc>
        <w:tc>
          <w:tcPr>
            <w:tcW w:w="10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9963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31B4D1D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0E2E36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1B398B2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103607</w:t>
            </w:r>
          </w:p>
        </w:tc>
      </w:tr>
      <w:tr w:rsidR="007E6FC1" w:rsidRPr="00697B6D" w14:paraId="2BE95B8E" w14:textId="77777777" w:rsidTr="003C245A">
        <w:trPr>
          <w:trHeight w:val="290"/>
        </w:trPr>
        <w:tc>
          <w:tcPr>
            <w:tcW w:w="161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D8C073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FFD74A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97003C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94EBBF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C8DF38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1CC48B7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B270CC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2</w:t>
            </w:r>
          </w:p>
        </w:tc>
        <w:tc>
          <w:tcPr>
            <w:tcW w:w="761" w:type="dxa"/>
            <w:tcBorders>
              <w:top w:val="nil"/>
              <w:left w:val="nil"/>
              <w:bottom w:val="single" w:sz="4" w:space="0" w:color="auto"/>
              <w:right w:val="single" w:sz="4" w:space="0" w:color="auto"/>
            </w:tcBorders>
            <w:shd w:val="clear" w:color="auto" w:fill="auto"/>
            <w:noWrap/>
            <w:vAlign w:val="center"/>
            <w:hideMark/>
          </w:tcPr>
          <w:p w14:paraId="6422F3A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6556</w:t>
            </w:r>
          </w:p>
        </w:tc>
      </w:tr>
      <w:tr w:rsidR="007E6FC1" w:rsidRPr="00697B6D" w14:paraId="25EAA916" w14:textId="77777777" w:rsidTr="003C245A">
        <w:trPr>
          <w:trHeight w:val="290"/>
        </w:trPr>
        <w:tc>
          <w:tcPr>
            <w:tcW w:w="161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A17E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4A19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756C93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771E36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72E990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21B15F8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CA9E06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2</w:t>
            </w:r>
          </w:p>
        </w:tc>
        <w:tc>
          <w:tcPr>
            <w:tcW w:w="761" w:type="dxa"/>
            <w:tcBorders>
              <w:top w:val="nil"/>
              <w:left w:val="nil"/>
              <w:bottom w:val="single" w:sz="4" w:space="0" w:color="auto"/>
              <w:right w:val="single" w:sz="4" w:space="0" w:color="auto"/>
            </w:tcBorders>
            <w:shd w:val="clear" w:color="auto" w:fill="auto"/>
            <w:noWrap/>
            <w:vAlign w:val="center"/>
            <w:hideMark/>
          </w:tcPr>
          <w:p w14:paraId="0C11E77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378526</w:t>
            </w:r>
          </w:p>
        </w:tc>
      </w:tr>
      <w:tr w:rsidR="007E6FC1" w:rsidRPr="00697B6D" w14:paraId="7460940C" w14:textId="77777777" w:rsidTr="003C245A">
        <w:trPr>
          <w:trHeight w:val="290"/>
        </w:trPr>
        <w:tc>
          <w:tcPr>
            <w:tcW w:w="161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665827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F49ED8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A7B5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0134-DGH-P13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B432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Diseño, planeamiento, ejecución y evaluación de actividades de formación del Eje Calidad de Vida y del Eje Entrenamiento o Capacitación</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B002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7EA1239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6DE5E4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GESTOR DE CAPACITACIÓN 2</w:t>
            </w:r>
          </w:p>
        </w:tc>
        <w:tc>
          <w:tcPr>
            <w:tcW w:w="761" w:type="dxa"/>
            <w:tcBorders>
              <w:top w:val="nil"/>
              <w:left w:val="nil"/>
              <w:bottom w:val="single" w:sz="4" w:space="0" w:color="auto"/>
              <w:right w:val="single" w:sz="4" w:space="0" w:color="auto"/>
            </w:tcBorders>
            <w:shd w:val="clear" w:color="auto" w:fill="auto"/>
            <w:noWrap/>
            <w:vAlign w:val="center"/>
            <w:hideMark/>
          </w:tcPr>
          <w:p w14:paraId="1BD2785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107844</w:t>
            </w:r>
          </w:p>
        </w:tc>
      </w:tr>
      <w:tr w:rsidR="007E6FC1" w:rsidRPr="00697B6D" w14:paraId="54E938AD" w14:textId="77777777" w:rsidTr="003C245A">
        <w:trPr>
          <w:trHeight w:val="290"/>
        </w:trPr>
        <w:tc>
          <w:tcPr>
            <w:tcW w:w="161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81C91C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B10B3F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5DC1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0134-DGH-P15</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7FB8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 de reclutamiento y selección de personal para los diferentes cargos en todos los ámbitos del Poder Judicial</w:t>
            </w:r>
          </w:p>
        </w:tc>
        <w:tc>
          <w:tcPr>
            <w:tcW w:w="10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A0A5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C903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30946BB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48F4082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372539</w:t>
            </w:r>
          </w:p>
        </w:tc>
      </w:tr>
      <w:tr w:rsidR="00CE48BE" w:rsidRPr="00697B6D" w14:paraId="74E72A17" w14:textId="77777777" w:rsidTr="003C245A">
        <w:trPr>
          <w:trHeight w:val="290"/>
        </w:trPr>
        <w:tc>
          <w:tcPr>
            <w:tcW w:w="1613" w:type="dxa"/>
            <w:vMerge/>
            <w:tcBorders>
              <w:top w:val="single" w:sz="4" w:space="0" w:color="auto"/>
              <w:left w:val="single" w:sz="4" w:space="0" w:color="auto"/>
              <w:right w:val="single" w:sz="4" w:space="0" w:color="auto"/>
            </w:tcBorders>
            <w:shd w:val="clear" w:color="auto" w:fill="auto"/>
            <w:noWrap/>
            <w:vAlign w:val="center"/>
          </w:tcPr>
          <w:p w14:paraId="1230186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top w:val="single" w:sz="4" w:space="0" w:color="auto"/>
              <w:left w:val="nil"/>
              <w:right w:val="single" w:sz="4" w:space="0" w:color="auto"/>
            </w:tcBorders>
            <w:shd w:val="clear" w:color="auto" w:fill="auto"/>
            <w:noWrap/>
            <w:vAlign w:val="center"/>
          </w:tcPr>
          <w:p w14:paraId="5A24A27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4A79D63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3F1D040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572F816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483A9C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5A15FA7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1836444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378519</w:t>
            </w:r>
          </w:p>
        </w:tc>
      </w:tr>
      <w:tr w:rsidR="007E6FC1" w:rsidRPr="00697B6D" w14:paraId="6EA6B315" w14:textId="77777777" w:rsidTr="003C245A">
        <w:trPr>
          <w:trHeight w:val="290"/>
        </w:trPr>
        <w:tc>
          <w:tcPr>
            <w:tcW w:w="1613" w:type="dxa"/>
            <w:vMerge/>
            <w:tcBorders>
              <w:left w:val="single" w:sz="4" w:space="0" w:color="auto"/>
              <w:right w:val="single" w:sz="4" w:space="0" w:color="auto"/>
            </w:tcBorders>
            <w:shd w:val="clear" w:color="auto" w:fill="auto"/>
            <w:noWrap/>
            <w:vAlign w:val="center"/>
          </w:tcPr>
          <w:p w14:paraId="6346B8A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B27BCA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2E7D63E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1B6D895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543A262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5D62FF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4FBA88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157CC53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378520</w:t>
            </w:r>
          </w:p>
        </w:tc>
      </w:tr>
      <w:tr w:rsidR="007E6FC1" w:rsidRPr="00697B6D" w14:paraId="4C9264A3" w14:textId="77777777" w:rsidTr="003C245A">
        <w:trPr>
          <w:trHeight w:val="290"/>
        </w:trPr>
        <w:tc>
          <w:tcPr>
            <w:tcW w:w="1613" w:type="dxa"/>
            <w:vMerge/>
            <w:tcBorders>
              <w:left w:val="single" w:sz="4" w:space="0" w:color="auto"/>
              <w:right w:val="single" w:sz="4" w:space="0" w:color="auto"/>
            </w:tcBorders>
            <w:shd w:val="clear" w:color="auto" w:fill="auto"/>
            <w:noWrap/>
            <w:vAlign w:val="center"/>
          </w:tcPr>
          <w:p w14:paraId="0C31203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3AECED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7442635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31EA4B9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046295E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51CB12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48C50BE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4A662B2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378521</w:t>
            </w:r>
          </w:p>
        </w:tc>
      </w:tr>
      <w:tr w:rsidR="007E6FC1" w:rsidRPr="00697B6D" w14:paraId="53325749" w14:textId="77777777" w:rsidTr="003C245A">
        <w:trPr>
          <w:trHeight w:val="290"/>
        </w:trPr>
        <w:tc>
          <w:tcPr>
            <w:tcW w:w="1613" w:type="dxa"/>
            <w:vMerge/>
            <w:tcBorders>
              <w:left w:val="single" w:sz="4" w:space="0" w:color="auto"/>
              <w:right w:val="single" w:sz="4" w:space="0" w:color="auto"/>
            </w:tcBorders>
            <w:shd w:val="clear" w:color="auto" w:fill="auto"/>
            <w:noWrap/>
            <w:vAlign w:val="center"/>
          </w:tcPr>
          <w:p w14:paraId="272BA98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11300C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611275C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1C3CAA0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5E52E55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2D3539E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DFB6A6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612E95B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383481</w:t>
            </w:r>
          </w:p>
        </w:tc>
      </w:tr>
      <w:tr w:rsidR="007E6FC1" w:rsidRPr="00697B6D" w14:paraId="5FA2F3DE" w14:textId="77777777" w:rsidTr="003C245A">
        <w:trPr>
          <w:trHeight w:val="290"/>
        </w:trPr>
        <w:tc>
          <w:tcPr>
            <w:tcW w:w="1613" w:type="dxa"/>
            <w:vMerge/>
            <w:tcBorders>
              <w:left w:val="single" w:sz="4" w:space="0" w:color="auto"/>
              <w:right w:val="single" w:sz="4" w:space="0" w:color="auto"/>
            </w:tcBorders>
            <w:shd w:val="clear" w:color="auto" w:fill="auto"/>
            <w:noWrap/>
            <w:vAlign w:val="center"/>
          </w:tcPr>
          <w:p w14:paraId="4D4B622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000B1A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15AC44D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0CD89DA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6D25E5F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61F31E3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46DA67A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43C7B62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383901</w:t>
            </w:r>
          </w:p>
        </w:tc>
      </w:tr>
      <w:tr w:rsidR="00CE48BE" w:rsidRPr="00697B6D" w14:paraId="7FA968E5" w14:textId="77777777" w:rsidTr="003C245A">
        <w:trPr>
          <w:trHeight w:val="290"/>
        </w:trPr>
        <w:tc>
          <w:tcPr>
            <w:tcW w:w="1613" w:type="dxa"/>
            <w:vMerge w:val="restart"/>
            <w:tcBorders>
              <w:left w:val="single" w:sz="4" w:space="0" w:color="auto"/>
              <w:right w:val="single" w:sz="4" w:space="0" w:color="auto"/>
            </w:tcBorders>
            <w:shd w:val="clear" w:color="auto" w:fill="auto"/>
            <w:noWrap/>
            <w:vAlign w:val="center"/>
          </w:tcPr>
          <w:p w14:paraId="6E0D5458" w14:textId="77777777" w:rsidR="003C245A" w:rsidRDefault="003C245A" w:rsidP="003C245A">
            <w:pPr>
              <w:spacing w:after="0" w:line="240" w:lineRule="auto"/>
              <w:jc w:val="center"/>
              <w:rPr>
                <w:rFonts w:ascii="Book Antiqua" w:eastAsia="Times New Roman" w:hAnsi="Book Antiqua" w:cs="Calibri"/>
                <w:color w:val="000000"/>
                <w:sz w:val="14"/>
                <w:szCs w:val="14"/>
                <w:lang w:eastAsia="es-CR"/>
              </w:rPr>
            </w:pPr>
          </w:p>
          <w:p w14:paraId="419694B7" w14:textId="77777777" w:rsidR="003C245A" w:rsidRDefault="003C245A" w:rsidP="003C245A">
            <w:pPr>
              <w:spacing w:after="0" w:line="240" w:lineRule="auto"/>
              <w:jc w:val="center"/>
              <w:rPr>
                <w:rFonts w:ascii="Book Antiqua" w:eastAsia="Times New Roman" w:hAnsi="Book Antiqua" w:cs="Calibri"/>
                <w:color w:val="000000"/>
                <w:sz w:val="14"/>
                <w:szCs w:val="14"/>
                <w:lang w:eastAsia="es-CR"/>
              </w:rPr>
            </w:pPr>
          </w:p>
          <w:p w14:paraId="09719F68" w14:textId="77777777" w:rsidR="003C245A" w:rsidRDefault="003C245A" w:rsidP="003C245A">
            <w:pPr>
              <w:spacing w:after="0" w:line="240" w:lineRule="auto"/>
              <w:jc w:val="center"/>
              <w:rPr>
                <w:rFonts w:ascii="Book Antiqua" w:eastAsia="Times New Roman" w:hAnsi="Book Antiqua" w:cs="Calibri"/>
                <w:color w:val="000000"/>
                <w:sz w:val="14"/>
                <w:szCs w:val="14"/>
                <w:lang w:eastAsia="es-CR"/>
              </w:rPr>
            </w:pPr>
          </w:p>
          <w:p w14:paraId="127ECC2A" w14:textId="77777777" w:rsidR="003C245A" w:rsidRDefault="003C245A" w:rsidP="003C245A">
            <w:pPr>
              <w:spacing w:after="0" w:line="240" w:lineRule="auto"/>
              <w:jc w:val="center"/>
              <w:rPr>
                <w:rFonts w:ascii="Book Antiqua" w:eastAsia="Times New Roman" w:hAnsi="Book Antiqua" w:cs="Calibri"/>
                <w:color w:val="000000"/>
                <w:sz w:val="14"/>
                <w:szCs w:val="14"/>
                <w:lang w:eastAsia="es-CR"/>
              </w:rPr>
            </w:pPr>
          </w:p>
          <w:p w14:paraId="13DC2031" w14:textId="66FCFCE5"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926 Direc. Admin. Órg. de Apoyo</w:t>
            </w:r>
          </w:p>
          <w:p w14:paraId="09726A5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val="restart"/>
            <w:tcBorders>
              <w:left w:val="nil"/>
              <w:right w:val="single" w:sz="4" w:space="0" w:color="auto"/>
            </w:tcBorders>
            <w:shd w:val="clear" w:color="auto" w:fill="auto"/>
            <w:noWrap/>
            <w:vAlign w:val="center"/>
          </w:tcPr>
          <w:p w14:paraId="62563667" w14:textId="77777777" w:rsidR="003C245A" w:rsidRDefault="003C245A" w:rsidP="003C245A">
            <w:pPr>
              <w:spacing w:after="0" w:line="240" w:lineRule="auto"/>
              <w:rPr>
                <w:rFonts w:ascii="Book Antiqua" w:eastAsia="Times New Roman" w:hAnsi="Book Antiqua" w:cs="Calibri"/>
                <w:color w:val="000000"/>
                <w:sz w:val="14"/>
                <w:szCs w:val="14"/>
                <w:lang w:eastAsia="es-CR"/>
              </w:rPr>
            </w:pPr>
          </w:p>
          <w:p w14:paraId="4E03922A" w14:textId="77777777" w:rsidR="003C245A" w:rsidRDefault="003C245A" w:rsidP="003C245A">
            <w:pPr>
              <w:spacing w:after="0" w:line="240" w:lineRule="auto"/>
              <w:rPr>
                <w:rFonts w:ascii="Book Antiqua" w:eastAsia="Times New Roman" w:hAnsi="Book Antiqua" w:cs="Calibri"/>
                <w:color w:val="000000"/>
                <w:sz w:val="14"/>
                <w:szCs w:val="14"/>
                <w:lang w:eastAsia="es-CR"/>
              </w:rPr>
            </w:pPr>
          </w:p>
          <w:p w14:paraId="19DB669A" w14:textId="77777777" w:rsidR="003C245A" w:rsidRDefault="003C245A" w:rsidP="003C245A">
            <w:pPr>
              <w:spacing w:after="0" w:line="240" w:lineRule="auto"/>
              <w:rPr>
                <w:rFonts w:ascii="Book Antiqua" w:eastAsia="Times New Roman" w:hAnsi="Book Antiqua" w:cs="Calibri"/>
                <w:color w:val="000000"/>
                <w:sz w:val="14"/>
                <w:szCs w:val="14"/>
                <w:lang w:eastAsia="es-CR"/>
              </w:rPr>
            </w:pPr>
          </w:p>
          <w:p w14:paraId="18FBCF53" w14:textId="7A0B2D72" w:rsidR="003C245A" w:rsidRDefault="003C245A" w:rsidP="003C245A">
            <w:pPr>
              <w:spacing w:after="0" w:line="240" w:lineRule="auto"/>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Dirección Gestión Humana</w:t>
            </w:r>
          </w:p>
          <w:p w14:paraId="056715A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right w:val="single" w:sz="4" w:space="0" w:color="auto"/>
            </w:tcBorders>
            <w:shd w:val="clear" w:color="auto" w:fill="auto"/>
            <w:noWrap/>
            <w:vAlign w:val="center"/>
          </w:tcPr>
          <w:p w14:paraId="5EB767E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right w:val="single" w:sz="4" w:space="0" w:color="auto"/>
            </w:tcBorders>
            <w:shd w:val="clear" w:color="auto" w:fill="auto"/>
            <w:noWrap/>
            <w:vAlign w:val="center"/>
          </w:tcPr>
          <w:p w14:paraId="3D1A3C3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right w:val="single" w:sz="4" w:space="0" w:color="auto"/>
            </w:tcBorders>
            <w:shd w:val="clear" w:color="auto" w:fill="auto"/>
            <w:noWrap/>
            <w:vAlign w:val="center"/>
          </w:tcPr>
          <w:p w14:paraId="328523B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38B8B2A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20AA4B7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2</w:t>
            </w:r>
          </w:p>
        </w:tc>
        <w:tc>
          <w:tcPr>
            <w:tcW w:w="761" w:type="dxa"/>
            <w:tcBorders>
              <w:top w:val="nil"/>
              <w:left w:val="nil"/>
              <w:bottom w:val="single" w:sz="4" w:space="0" w:color="auto"/>
              <w:right w:val="single" w:sz="4" w:space="0" w:color="auto"/>
            </w:tcBorders>
            <w:shd w:val="clear" w:color="auto" w:fill="auto"/>
            <w:noWrap/>
            <w:vAlign w:val="center"/>
            <w:hideMark/>
          </w:tcPr>
          <w:p w14:paraId="401EFBA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15387</w:t>
            </w:r>
          </w:p>
        </w:tc>
      </w:tr>
      <w:tr w:rsidR="007E6FC1" w:rsidRPr="00697B6D" w14:paraId="0951A73E"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12A059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4262B9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2762BAE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11A956F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2878E3F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40CD7B9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60AAD3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2</w:t>
            </w:r>
          </w:p>
        </w:tc>
        <w:tc>
          <w:tcPr>
            <w:tcW w:w="761" w:type="dxa"/>
            <w:tcBorders>
              <w:top w:val="nil"/>
              <w:left w:val="nil"/>
              <w:bottom w:val="single" w:sz="4" w:space="0" w:color="auto"/>
              <w:right w:val="single" w:sz="4" w:space="0" w:color="auto"/>
            </w:tcBorders>
            <w:shd w:val="clear" w:color="auto" w:fill="auto"/>
            <w:noWrap/>
            <w:vAlign w:val="center"/>
            <w:hideMark/>
          </w:tcPr>
          <w:p w14:paraId="02A4DA2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43603</w:t>
            </w:r>
          </w:p>
        </w:tc>
      </w:tr>
      <w:tr w:rsidR="007E6FC1" w:rsidRPr="00697B6D" w14:paraId="356DE424"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C89BB4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AE2AE1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153E478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114A855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72EB4EF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4842836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AB7B62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2</w:t>
            </w:r>
          </w:p>
        </w:tc>
        <w:tc>
          <w:tcPr>
            <w:tcW w:w="761" w:type="dxa"/>
            <w:tcBorders>
              <w:top w:val="nil"/>
              <w:left w:val="nil"/>
              <w:bottom w:val="single" w:sz="4" w:space="0" w:color="auto"/>
              <w:right w:val="single" w:sz="4" w:space="0" w:color="auto"/>
            </w:tcBorders>
            <w:shd w:val="clear" w:color="auto" w:fill="auto"/>
            <w:noWrap/>
            <w:vAlign w:val="center"/>
            <w:hideMark/>
          </w:tcPr>
          <w:p w14:paraId="34D39E5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48482</w:t>
            </w:r>
          </w:p>
        </w:tc>
      </w:tr>
      <w:tr w:rsidR="007E6FC1" w:rsidRPr="00697B6D" w14:paraId="708F4AA7"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3D61AE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7D4253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0A428B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34B9B7E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3D0520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9E80F0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6965DE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2</w:t>
            </w:r>
          </w:p>
        </w:tc>
        <w:tc>
          <w:tcPr>
            <w:tcW w:w="761" w:type="dxa"/>
            <w:tcBorders>
              <w:top w:val="nil"/>
              <w:left w:val="nil"/>
              <w:bottom w:val="single" w:sz="4" w:space="0" w:color="auto"/>
              <w:right w:val="single" w:sz="4" w:space="0" w:color="auto"/>
            </w:tcBorders>
            <w:shd w:val="clear" w:color="auto" w:fill="auto"/>
            <w:noWrap/>
            <w:vAlign w:val="center"/>
            <w:hideMark/>
          </w:tcPr>
          <w:p w14:paraId="619D749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99670</w:t>
            </w:r>
          </w:p>
        </w:tc>
      </w:tr>
      <w:tr w:rsidR="007E6FC1" w:rsidRPr="00697B6D" w14:paraId="7BEDAF78"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42FDB8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B05DBC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2ACD464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200EA5C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CF9B64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42D2A17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5899D8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2</w:t>
            </w:r>
          </w:p>
        </w:tc>
        <w:tc>
          <w:tcPr>
            <w:tcW w:w="761" w:type="dxa"/>
            <w:tcBorders>
              <w:top w:val="nil"/>
              <w:left w:val="nil"/>
              <w:bottom w:val="single" w:sz="4" w:space="0" w:color="auto"/>
              <w:right w:val="single" w:sz="4" w:space="0" w:color="auto"/>
            </w:tcBorders>
            <w:shd w:val="clear" w:color="auto" w:fill="auto"/>
            <w:noWrap/>
            <w:vAlign w:val="center"/>
            <w:hideMark/>
          </w:tcPr>
          <w:p w14:paraId="2B6C7C6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103063</w:t>
            </w:r>
          </w:p>
        </w:tc>
      </w:tr>
      <w:tr w:rsidR="007E6FC1" w:rsidRPr="00697B6D" w14:paraId="24D32C25"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8717AF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4863C3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CC069C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4CA633A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1F17A6D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969646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B3D570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2</w:t>
            </w:r>
          </w:p>
        </w:tc>
        <w:tc>
          <w:tcPr>
            <w:tcW w:w="761" w:type="dxa"/>
            <w:tcBorders>
              <w:top w:val="nil"/>
              <w:left w:val="nil"/>
              <w:bottom w:val="single" w:sz="4" w:space="0" w:color="auto"/>
              <w:right w:val="single" w:sz="4" w:space="0" w:color="auto"/>
            </w:tcBorders>
            <w:shd w:val="clear" w:color="auto" w:fill="auto"/>
            <w:noWrap/>
            <w:vAlign w:val="center"/>
            <w:hideMark/>
          </w:tcPr>
          <w:p w14:paraId="4B4157D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103064</w:t>
            </w:r>
          </w:p>
        </w:tc>
      </w:tr>
      <w:tr w:rsidR="007E6FC1" w:rsidRPr="00697B6D" w14:paraId="1528517C"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4514FE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E72F6D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2B741FC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20F3B2F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402584D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A67425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669E47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2</w:t>
            </w:r>
          </w:p>
        </w:tc>
        <w:tc>
          <w:tcPr>
            <w:tcW w:w="761" w:type="dxa"/>
            <w:tcBorders>
              <w:top w:val="nil"/>
              <w:left w:val="nil"/>
              <w:bottom w:val="single" w:sz="4" w:space="0" w:color="auto"/>
              <w:right w:val="single" w:sz="4" w:space="0" w:color="auto"/>
            </w:tcBorders>
            <w:shd w:val="clear" w:color="auto" w:fill="auto"/>
            <w:noWrap/>
            <w:vAlign w:val="center"/>
            <w:hideMark/>
          </w:tcPr>
          <w:p w14:paraId="076DAA3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111269</w:t>
            </w:r>
          </w:p>
        </w:tc>
      </w:tr>
      <w:tr w:rsidR="007E6FC1" w:rsidRPr="00697B6D" w14:paraId="599BD35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6CAB06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8DF302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5546E08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1B20296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3BE2360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03EA46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E3697D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2</w:t>
            </w:r>
          </w:p>
        </w:tc>
        <w:tc>
          <w:tcPr>
            <w:tcW w:w="761" w:type="dxa"/>
            <w:tcBorders>
              <w:top w:val="nil"/>
              <w:left w:val="nil"/>
              <w:bottom w:val="single" w:sz="4" w:space="0" w:color="auto"/>
              <w:right w:val="single" w:sz="4" w:space="0" w:color="auto"/>
            </w:tcBorders>
            <w:shd w:val="clear" w:color="auto" w:fill="auto"/>
            <w:noWrap/>
            <w:vAlign w:val="center"/>
            <w:hideMark/>
          </w:tcPr>
          <w:p w14:paraId="7F6B7CB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350016</w:t>
            </w:r>
          </w:p>
        </w:tc>
      </w:tr>
      <w:tr w:rsidR="007E6FC1" w:rsidRPr="00697B6D" w14:paraId="25709FC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A06A0A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B4E9C9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11D9DF8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6E60874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0832446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B75D65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2AC9BA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2</w:t>
            </w:r>
          </w:p>
        </w:tc>
        <w:tc>
          <w:tcPr>
            <w:tcW w:w="761" w:type="dxa"/>
            <w:tcBorders>
              <w:top w:val="nil"/>
              <w:left w:val="nil"/>
              <w:bottom w:val="single" w:sz="4" w:space="0" w:color="auto"/>
              <w:right w:val="single" w:sz="4" w:space="0" w:color="auto"/>
            </w:tcBorders>
            <w:shd w:val="clear" w:color="auto" w:fill="auto"/>
            <w:noWrap/>
            <w:vAlign w:val="center"/>
            <w:hideMark/>
          </w:tcPr>
          <w:p w14:paraId="72DD0E0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378524</w:t>
            </w:r>
          </w:p>
        </w:tc>
      </w:tr>
      <w:tr w:rsidR="007E6FC1" w:rsidRPr="00697B6D" w14:paraId="5D1B49B4"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CAF533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D18335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447703E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0134-DGH-P16</w:t>
            </w:r>
          </w:p>
        </w:tc>
        <w:tc>
          <w:tcPr>
            <w:tcW w:w="2127" w:type="dxa"/>
            <w:tcBorders>
              <w:top w:val="nil"/>
              <w:left w:val="nil"/>
              <w:bottom w:val="single" w:sz="4" w:space="0" w:color="auto"/>
              <w:right w:val="single" w:sz="4" w:space="0" w:color="auto"/>
            </w:tcBorders>
            <w:shd w:val="clear" w:color="auto" w:fill="auto"/>
            <w:noWrap/>
            <w:vAlign w:val="center"/>
            <w:hideMark/>
          </w:tcPr>
          <w:p w14:paraId="24DD603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Política de Teletrabajo</w:t>
            </w:r>
          </w:p>
        </w:tc>
        <w:tc>
          <w:tcPr>
            <w:tcW w:w="1034" w:type="dxa"/>
            <w:tcBorders>
              <w:top w:val="nil"/>
              <w:left w:val="nil"/>
              <w:bottom w:val="single" w:sz="4" w:space="0" w:color="auto"/>
              <w:right w:val="single" w:sz="4" w:space="0" w:color="auto"/>
            </w:tcBorders>
            <w:shd w:val="clear" w:color="auto" w:fill="auto"/>
            <w:noWrap/>
            <w:vAlign w:val="center"/>
            <w:hideMark/>
          </w:tcPr>
          <w:p w14:paraId="5BC16A7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261DFF1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7D0077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32BB78E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20126</w:t>
            </w:r>
          </w:p>
        </w:tc>
      </w:tr>
      <w:tr w:rsidR="007E6FC1" w:rsidRPr="00697B6D" w14:paraId="309AA687"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AE7794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D24481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13EDCC0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0134-DGH-P17</w:t>
            </w:r>
          </w:p>
        </w:tc>
        <w:tc>
          <w:tcPr>
            <w:tcW w:w="2127" w:type="dxa"/>
            <w:vMerge w:val="restart"/>
            <w:tcBorders>
              <w:top w:val="nil"/>
              <w:left w:val="nil"/>
              <w:right w:val="single" w:sz="4" w:space="0" w:color="auto"/>
            </w:tcBorders>
            <w:shd w:val="clear" w:color="auto" w:fill="auto"/>
            <w:noWrap/>
            <w:vAlign w:val="center"/>
            <w:hideMark/>
          </w:tcPr>
          <w:p w14:paraId="24BA160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Proyecto Ley N°10159 Marco de Empleo Público</w:t>
            </w:r>
          </w:p>
        </w:tc>
        <w:tc>
          <w:tcPr>
            <w:tcW w:w="1034" w:type="dxa"/>
            <w:vMerge w:val="restart"/>
            <w:tcBorders>
              <w:top w:val="nil"/>
              <w:left w:val="nil"/>
              <w:right w:val="single" w:sz="4" w:space="0" w:color="auto"/>
            </w:tcBorders>
            <w:shd w:val="clear" w:color="auto" w:fill="auto"/>
            <w:noWrap/>
            <w:vAlign w:val="center"/>
            <w:hideMark/>
          </w:tcPr>
          <w:p w14:paraId="11EC7F7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38E3899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C21717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COORDINADOR DE UNIDAD 1 </w:t>
            </w:r>
          </w:p>
        </w:tc>
        <w:tc>
          <w:tcPr>
            <w:tcW w:w="761" w:type="dxa"/>
            <w:tcBorders>
              <w:top w:val="nil"/>
              <w:left w:val="nil"/>
              <w:bottom w:val="single" w:sz="4" w:space="0" w:color="auto"/>
              <w:right w:val="single" w:sz="4" w:space="0" w:color="auto"/>
            </w:tcBorders>
            <w:shd w:val="clear" w:color="auto" w:fill="auto"/>
            <w:noWrap/>
            <w:vAlign w:val="center"/>
            <w:hideMark/>
          </w:tcPr>
          <w:p w14:paraId="7A0BC53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5909</w:t>
            </w:r>
          </w:p>
        </w:tc>
      </w:tr>
      <w:tr w:rsidR="007E6FC1" w:rsidRPr="00697B6D" w14:paraId="65E4D72F"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7F35C2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E22956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5FCAD02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02A087C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3853FF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9F4F2A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50DD96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COORDINADOR DE UNIDAD 3 </w:t>
            </w:r>
          </w:p>
        </w:tc>
        <w:tc>
          <w:tcPr>
            <w:tcW w:w="761" w:type="dxa"/>
            <w:tcBorders>
              <w:top w:val="nil"/>
              <w:left w:val="nil"/>
              <w:bottom w:val="single" w:sz="4" w:space="0" w:color="auto"/>
              <w:right w:val="single" w:sz="4" w:space="0" w:color="auto"/>
            </w:tcBorders>
            <w:shd w:val="clear" w:color="auto" w:fill="auto"/>
            <w:noWrap/>
            <w:vAlign w:val="center"/>
            <w:hideMark/>
          </w:tcPr>
          <w:p w14:paraId="4F5AB52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48479</w:t>
            </w:r>
          </w:p>
        </w:tc>
      </w:tr>
      <w:tr w:rsidR="007E6FC1" w:rsidRPr="00697B6D" w14:paraId="7E78944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720187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5585B4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69B1E9B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6960CDA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41BF53C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3FD71F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D0958C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COORDINADOR DE UNIDAD 3 </w:t>
            </w:r>
          </w:p>
        </w:tc>
        <w:tc>
          <w:tcPr>
            <w:tcW w:w="761" w:type="dxa"/>
            <w:tcBorders>
              <w:top w:val="nil"/>
              <w:left w:val="nil"/>
              <w:bottom w:val="single" w:sz="4" w:space="0" w:color="auto"/>
              <w:right w:val="single" w:sz="4" w:space="0" w:color="auto"/>
            </w:tcBorders>
            <w:shd w:val="clear" w:color="auto" w:fill="auto"/>
            <w:noWrap/>
            <w:vAlign w:val="center"/>
            <w:hideMark/>
          </w:tcPr>
          <w:p w14:paraId="3A9EF06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48478</w:t>
            </w:r>
          </w:p>
        </w:tc>
      </w:tr>
      <w:tr w:rsidR="007E6FC1" w:rsidRPr="00697B6D" w14:paraId="6D6B375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2DD35D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B6869F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5FB67E0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770E979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05DA075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1857A6B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5A275D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1 </w:t>
            </w:r>
          </w:p>
        </w:tc>
        <w:tc>
          <w:tcPr>
            <w:tcW w:w="761" w:type="dxa"/>
            <w:tcBorders>
              <w:top w:val="nil"/>
              <w:left w:val="nil"/>
              <w:bottom w:val="single" w:sz="4" w:space="0" w:color="auto"/>
              <w:right w:val="single" w:sz="4" w:space="0" w:color="auto"/>
            </w:tcBorders>
            <w:shd w:val="clear" w:color="auto" w:fill="auto"/>
            <w:noWrap/>
            <w:vAlign w:val="center"/>
            <w:hideMark/>
          </w:tcPr>
          <w:p w14:paraId="7490ADD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99671</w:t>
            </w:r>
          </w:p>
        </w:tc>
      </w:tr>
      <w:tr w:rsidR="007E6FC1" w:rsidRPr="00697B6D" w14:paraId="6E5B7C7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53659F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12671C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4AE8EF8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653B273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295CB39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462615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D3C933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07E81AD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43592</w:t>
            </w:r>
          </w:p>
        </w:tc>
      </w:tr>
      <w:tr w:rsidR="007E6FC1" w:rsidRPr="00697B6D" w14:paraId="3B8E83C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6C35F9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037D74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94AEFC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1ADD5A1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38D70CE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2D17229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B96831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08302F2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96455</w:t>
            </w:r>
          </w:p>
        </w:tc>
      </w:tr>
      <w:tr w:rsidR="007E6FC1" w:rsidRPr="00697B6D" w14:paraId="334F6C4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562262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15DD31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77748E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0633DCC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0EAA432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4DF2AD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07B390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4246DB1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372001</w:t>
            </w:r>
          </w:p>
        </w:tc>
      </w:tr>
      <w:tr w:rsidR="007E6FC1" w:rsidRPr="00697B6D" w14:paraId="08A2E8E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8FA9E3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19562F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2B01E77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031A466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220BCCC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9BB2B8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C81F75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2</w:t>
            </w:r>
          </w:p>
        </w:tc>
        <w:tc>
          <w:tcPr>
            <w:tcW w:w="761" w:type="dxa"/>
            <w:tcBorders>
              <w:top w:val="nil"/>
              <w:left w:val="nil"/>
              <w:bottom w:val="single" w:sz="4" w:space="0" w:color="auto"/>
              <w:right w:val="single" w:sz="4" w:space="0" w:color="auto"/>
            </w:tcBorders>
            <w:shd w:val="clear" w:color="auto" w:fill="auto"/>
            <w:noWrap/>
            <w:vAlign w:val="center"/>
            <w:hideMark/>
          </w:tcPr>
          <w:p w14:paraId="00F9C26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44526</w:t>
            </w:r>
          </w:p>
        </w:tc>
      </w:tr>
      <w:tr w:rsidR="00BC00B3" w:rsidRPr="00697B6D" w14:paraId="087FA96E" w14:textId="77777777" w:rsidTr="00301740">
        <w:trPr>
          <w:trHeight w:val="290"/>
        </w:trPr>
        <w:tc>
          <w:tcPr>
            <w:tcW w:w="1613" w:type="dxa"/>
            <w:vMerge/>
            <w:tcBorders>
              <w:left w:val="single" w:sz="4" w:space="0" w:color="auto"/>
              <w:bottom w:val="single" w:sz="4" w:space="0" w:color="auto"/>
              <w:right w:val="single" w:sz="4" w:space="0" w:color="auto"/>
            </w:tcBorders>
            <w:shd w:val="clear" w:color="auto" w:fill="auto"/>
            <w:noWrap/>
            <w:vAlign w:val="center"/>
          </w:tcPr>
          <w:p w14:paraId="6CCE458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bottom w:val="single" w:sz="4" w:space="0" w:color="auto"/>
              <w:right w:val="single" w:sz="4" w:space="0" w:color="auto"/>
            </w:tcBorders>
            <w:shd w:val="clear" w:color="auto" w:fill="auto"/>
            <w:noWrap/>
            <w:vAlign w:val="center"/>
          </w:tcPr>
          <w:p w14:paraId="404D4BC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7061E94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773F925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5CDE51D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57F6D2D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3044AB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46B4286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350014</w:t>
            </w:r>
          </w:p>
        </w:tc>
      </w:tr>
      <w:tr w:rsidR="007E6FC1" w:rsidRPr="00697B6D" w14:paraId="62CD95C6" w14:textId="77777777" w:rsidTr="00301740">
        <w:trPr>
          <w:trHeight w:val="290"/>
        </w:trPr>
        <w:tc>
          <w:tcPr>
            <w:tcW w:w="1613" w:type="dxa"/>
            <w:vMerge w:val="restart"/>
            <w:tcBorders>
              <w:top w:val="nil"/>
              <w:left w:val="single" w:sz="4" w:space="0" w:color="auto"/>
              <w:right w:val="single" w:sz="4" w:space="0" w:color="auto"/>
            </w:tcBorders>
            <w:shd w:val="clear" w:color="auto" w:fill="auto"/>
            <w:noWrap/>
            <w:vAlign w:val="center"/>
            <w:hideMark/>
          </w:tcPr>
          <w:p w14:paraId="41BC2830"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6A5E954C"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499278F9"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1337C5AC"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926 Direc. Admin. Órg. de Apoyo</w:t>
            </w:r>
          </w:p>
          <w:p w14:paraId="5DA70976"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18B85939"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7343A4F0"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051B851A"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0BCDD7F1"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72E1F371"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61452D69" w14:textId="5395497E"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val="restart"/>
            <w:tcBorders>
              <w:top w:val="nil"/>
              <w:left w:val="nil"/>
              <w:right w:val="single" w:sz="4" w:space="0" w:color="auto"/>
            </w:tcBorders>
            <w:shd w:val="clear" w:color="auto" w:fill="auto"/>
            <w:noWrap/>
            <w:vAlign w:val="center"/>
            <w:hideMark/>
          </w:tcPr>
          <w:p w14:paraId="78438EBF"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52C81C90"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Dirección Jurídica</w:t>
            </w:r>
          </w:p>
          <w:p w14:paraId="61FC9ECC"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075DE425"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38061B3C"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5D4FA4B0" w14:textId="21313BF8"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536DD04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0117-DE-P18</w:t>
            </w:r>
          </w:p>
        </w:tc>
        <w:tc>
          <w:tcPr>
            <w:tcW w:w="2127" w:type="dxa"/>
            <w:vMerge w:val="restart"/>
            <w:tcBorders>
              <w:top w:val="nil"/>
              <w:left w:val="nil"/>
              <w:right w:val="single" w:sz="4" w:space="0" w:color="auto"/>
            </w:tcBorders>
            <w:shd w:val="clear" w:color="auto" w:fill="auto"/>
            <w:noWrap/>
            <w:vAlign w:val="center"/>
            <w:hideMark/>
          </w:tcPr>
          <w:p w14:paraId="36DAF8B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 de trabajo para la mejora del proceso de contratación administrativa</w:t>
            </w:r>
          </w:p>
        </w:tc>
        <w:tc>
          <w:tcPr>
            <w:tcW w:w="1034" w:type="dxa"/>
            <w:vMerge w:val="restart"/>
            <w:tcBorders>
              <w:top w:val="nil"/>
              <w:left w:val="nil"/>
              <w:right w:val="single" w:sz="4" w:space="0" w:color="auto"/>
            </w:tcBorders>
            <w:shd w:val="clear" w:color="auto" w:fill="auto"/>
            <w:noWrap/>
            <w:vAlign w:val="center"/>
            <w:hideMark/>
          </w:tcPr>
          <w:p w14:paraId="0983AF8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1BF10F2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9E0225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ASESOR JURIDICO 1</w:t>
            </w:r>
          </w:p>
        </w:tc>
        <w:tc>
          <w:tcPr>
            <w:tcW w:w="761" w:type="dxa"/>
            <w:tcBorders>
              <w:top w:val="nil"/>
              <w:left w:val="nil"/>
              <w:bottom w:val="single" w:sz="4" w:space="0" w:color="auto"/>
              <w:right w:val="single" w:sz="4" w:space="0" w:color="auto"/>
            </w:tcBorders>
            <w:shd w:val="clear" w:color="auto" w:fill="auto"/>
            <w:noWrap/>
            <w:vAlign w:val="center"/>
            <w:hideMark/>
          </w:tcPr>
          <w:p w14:paraId="76923A2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15721</w:t>
            </w:r>
          </w:p>
        </w:tc>
      </w:tr>
      <w:tr w:rsidR="007E6FC1" w:rsidRPr="00697B6D" w14:paraId="3C8833EC"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3F7C25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2E775A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1499265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25FB01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hideMark/>
          </w:tcPr>
          <w:p w14:paraId="3BF2505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5A0032F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4AF9A5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ASESOR JURIDICO 1</w:t>
            </w:r>
          </w:p>
        </w:tc>
        <w:tc>
          <w:tcPr>
            <w:tcW w:w="761" w:type="dxa"/>
            <w:tcBorders>
              <w:top w:val="nil"/>
              <w:left w:val="nil"/>
              <w:bottom w:val="single" w:sz="4" w:space="0" w:color="auto"/>
              <w:right w:val="single" w:sz="4" w:space="0" w:color="auto"/>
            </w:tcBorders>
            <w:shd w:val="clear" w:color="auto" w:fill="auto"/>
            <w:noWrap/>
            <w:vAlign w:val="center"/>
            <w:hideMark/>
          </w:tcPr>
          <w:p w14:paraId="6FC03A4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111264</w:t>
            </w:r>
          </w:p>
        </w:tc>
      </w:tr>
      <w:tr w:rsidR="007E6FC1" w:rsidRPr="00697B6D" w14:paraId="6EFDE6AC"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03CA9E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24E82C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58FB8B7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4522548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110D7D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E3634E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098E9F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ASESOR JURIDICO 1</w:t>
            </w:r>
          </w:p>
        </w:tc>
        <w:tc>
          <w:tcPr>
            <w:tcW w:w="761" w:type="dxa"/>
            <w:tcBorders>
              <w:top w:val="nil"/>
              <w:left w:val="nil"/>
              <w:bottom w:val="single" w:sz="4" w:space="0" w:color="auto"/>
              <w:right w:val="single" w:sz="4" w:space="0" w:color="auto"/>
            </w:tcBorders>
            <w:shd w:val="clear" w:color="auto" w:fill="auto"/>
            <w:noWrap/>
            <w:vAlign w:val="center"/>
            <w:hideMark/>
          </w:tcPr>
          <w:p w14:paraId="1554BDB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92729</w:t>
            </w:r>
          </w:p>
        </w:tc>
      </w:tr>
      <w:tr w:rsidR="007E6FC1" w:rsidRPr="00697B6D" w14:paraId="0E94844E"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D87373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75F089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43D92BC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7D71172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769142C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DBB947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03AD69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ASESOR JURIDICO 1</w:t>
            </w:r>
          </w:p>
        </w:tc>
        <w:tc>
          <w:tcPr>
            <w:tcW w:w="761" w:type="dxa"/>
            <w:tcBorders>
              <w:top w:val="nil"/>
              <w:left w:val="nil"/>
              <w:bottom w:val="single" w:sz="4" w:space="0" w:color="auto"/>
              <w:right w:val="single" w:sz="4" w:space="0" w:color="auto"/>
            </w:tcBorders>
            <w:shd w:val="clear" w:color="auto" w:fill="auto"/>
            <w:noWrap/>
            <w:vAlign w:val="center"/>
            <w:hideMark/>
          </w:tcPr>
          <w:p w14:paraId="4C48593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43548</w:t>
            </w:r>
          </w:p>
        </w:tc>
      </w:tr>
      <w:tr w:rsidR="007E6FC1" w:rsidRPr="00697B6D" w14:paraId="54DB2CA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2A4639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78CE3E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6311001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0117-DE-P31</w:t>
            </w:r>
          </w:p>
        </w:tc>
        <w:tc>
          <w:tcPr>
            <w:tcW w:w="2127" w:type="dxa"/>
            <w:tcBorders>
              <w:top w:val="nil"/>
              <w:left w:val="nil"/>
              <w:bottom w:val="single" w:sz="4" w:space="0" w:color="auto"/>
              <w:right w:val="single" w:sz="4" w:space="0" w:color="auto"/>
            </w:tcBorders>
            <w:shd w:val="clear" w:color="auto" w:fill="auto"/>
            <w:noWrap/>
            <w:vAlign w:val="center"/>
            <w:hideMark/>
          </w:tcPr>
          <w:p w14:paraId="1E3D825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Implementación de acciones de mejora, modificación y adaptación institucional a la nueva Ley N°9986,“Ley General de Contratación Pública”</w:t>
            </w:r>
          </w:p>
        </w:tc>
        <w:tc>
          <w:tcPr>
            <w:tcW w:w="1034" w:type="dxa"/>
            <w:tcBorders>
              <w:top w:val="nil"/>
              <w:left w:val="nil"/>
              <w:bottom w:val="single" w:sz="4" w:space="0" w:color="auto"/>
              <w:right w:val="single" w:sz="4" w:space="0" w:color="auto"/>
            </w:tcBorders>
            <w:shd w:val="clear" w:color="auto" w:fill="auto"/>
            <w:noWrap/>
            <w:vAlign w:val="center"/>
            <w:hideMark/>
          </w:tcPr>
          <w:p w14:paraId="38BF2E5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1961591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6A34B2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ASESOR JURIDICO 1</w:t>
            </w:r>
          </w:p>
        </w:tc>
        <w:tc>
          <w:tcPr>
            <w:tcW w:w="761" w:type="dxa"/>
            <w:tcBorders>
              <w:top w:val="nil"/>
              <w:left w:val="nil"/>
              <w:bottom w:val="single" w:sz="4" w:space="0" w:color="auto"/>
              <w:right w:val="single" w:sz="4" w:space="0" w:color="auto"/>
            </w:tcBorders>
            <w:shd w:val="clear" w:color="auto" w:fill="auto"/>
            <w:noWrap/>
            <w:vAlign w:val="center"/>
            <w:hideMark/>
          </w:tcPr>
          <w:p w14:paraId="0187E14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383899</w:t>
            </w:r>
          </w:p>
        </w:tc>
      </w:tr>
      <w:tr w:rsidR="007E6FC1" w:rsidRPr="00697B6D" w14:paraId="0B8F6697"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74CC8C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7C0466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0658ABE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0134-DGH-P17</w:t>
            </w:r>
          </w:p>
        </w:tc>
        <w:tc>
          <w:tcPr>
            <w:tcW w:w="2127" w:type="dxa"/>
            <w:tcBorders>
              <w:top w:val="nil"/>
              <w:left w:val="nil"/>
              <w:bottom w:val="single" w:sz="4" w:space="0" w:color="auto"/>
              <w:right w:val="single" w:sz="4" w:space="0" w:color="auto"/>
            </w:tcBorders>
            <w:shd w:val="clear" w:color="auto" w:fill="auto"/>
            <w:noWrap/>
            <w:vAlign w:val="center"/>
            <w:hideMark/>
          </w:tcPr>
          <w:p w14:paraId="12C7FE1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Proyecto Ley N°10159 Marco de Empleo Público</w:t>
            </w:r>
          </w:p>
        </w:tc>
        <w:tc>
          <w:tcPr>
            <w:tcW w:w="1034" w:type="dxa"/>
            <w:tcBorders>
              <w:top w:val="nil"/>
              <w:left w:val="nil"/>
              <w:bottom w:val="single" w:sz="4" w:space="0" w:color="auto"/>
              <w:right w:val="single" w:sz="4" w:space="0" w:color="auto"/>
            </w:tcBorders>
            <w:shd w:val="clear" w:color="auto" w:fill="auto"/>
            <w:noWrap/>
            <w:vAlign w:val="center"/>
            <w:hideMark/>
          </w:tcPr>
          <w:p w14:paraId="1D6B4FC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38E18C6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FD4C50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ASESOR JURIDICO 1</w:t>
            </w:r>
          </w:p>
        </w:tc>
        <w:tc>
          <w:tcPr>
            <w:tcW w:w="761" w:type="dxa"/>
            <w:tcBorders>
              <w:top w:val="nil"/>
              <w:left w:val="nil"/>
              <w:bottom w:val="single" w:sz="4" w:space="0" w:color="auto"/>
              <w:right w:val="single" w:sz="4" w:space="0" w:color="auto"/>
            </w:tcBorders>
            <w:shd w:val="clear" w:color="auto" w:fill="auto"/>
            <w:noWrap/>
            <w:vAlign w:val="center"/>
            <w:hideMark/>
          </w:tcPr>
          <w:p w14:paraId="609692E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86291</w:t>
            </w:r>
          </w:p>
        </w:tc>
      </w:tr>
      <w:tr w:rsidR="007E6FC1" w:rsidRPr="00697B6D" w14:paraId="4EB6344E"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75F763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445E64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48A01FA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1331-DJ-P01</w:t>
            </w:r>
          </w:p>
        </w:tc>
        <w:tc>
          <w:tcPr>
            <w:tcW w:w="2127" w:type="dxa"/>
            <w:tcBorders>
              <w:top w:val="nil"/>
              <w:left w:val="nil"/>
              <w:bottom w:val="single" w:sz="4" w:space="0" w:color="auto"/>
              <w:right w:val="single" w:sz="4" w:space="0" w:color="auto"/>
            </w:tcBorders>
            <w:shd w:val="clear" w:color="auto" w:fill="auto"/>
            <w:noWrap/>
            <w:vAlign w:val="center"/>
            <w:hideMark/>
          </w:tcPr>
          <w:p w14:paraId="41EA94F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Plan de trabajo para el análisis de proyectos de ley e </w:t>
            </w:r>
            <w:r w:rsidRPr="00697B6D">
              <w:rPr>
                <w:rFonts w:ascii="Book Antiqua" w:eastAsia="Times New Roman" w:hAnsi="Book Antiqua" w:cs="Calibri"/>
                <w:color w:val="000000"/>
                <w:sz w:val="14"/>
                <w:szCs w:val="14"/>
                <w:lang w:eastAsia="es-CR"/>
              </w:rPr>
              <w:lastRenderedPageBreak/>
              <w:t>Implementación de las normas relativas al régimen de empleo público en el Poder Judicial</w:t>
            </w:r>
          </w:p>
        </w:tc>
        <w:tc>
          <w:tcPr>
            <w:tcW w:w="1034" w:type="dxa"/>
            <w:tcBorders>
              <w:top w:val="nil"/>
              <w:left w:val="nil"/>
              <w:bottom w:val="single" w:sz="4" w:space="0" w:color="auto"/>
              <w:right w:val="single" w:sz="4" w:space="0" w:color="auto"/>
            </w:tcBorders>
            <w:shd w:val="clear" w:color="auto" w:fill="auto"/>
            <w:noWrap/>
            <w:vAlign w:val="center"/>
            <w:hideMark/>
          </w:tcPr>
          <w:p w14:paraId="5F62B9E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lastRenderedPageBreak/>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6981ABE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EAC9B7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DERECHO 3B </w:t>
            </w:r>
          </w:p>
        </w:tc>
        <w:tc>
          <w:tcPr>
            <w:tcW w:w="761" w:type="dxa"/>
            <w:tcBorders>
              <w:top w:val="nil"/>
              <w:left w:val="nil"/>
              <w:bottom w:val="single" w:sz="4" w:space="0" w:color="auto"/>
              <w:right w:val="single" w:sz="4" w:space="0" w:color="auto"/>
            </w:tcBorders>
            <w:shd w:val="clear" w:color="auto" w:fill="auto"/>
            <w:noWrap/>
            <w:vAlign w:val="center"/>
            <w:hideMark/>
          </w:tcPr>
          <w:p w14:paraId="2ED57A0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46836</w:t>
            </w:r>
          </w:p>
        </w:tc>
      </w:tr>
      <w:tr w:rsidR="007E6FC1" w:rsidRPr="00697B6D" w14:paraId="3D9BA66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F017A2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6B8715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5CE075B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1331-DJ-P02</w:t>
            </w:r>
          </w:p>
        </w:tc>
        <w:tc>
          <w:tcPr>
            <w:tcW w:w="2127" w:type="dxa"/>
            <w:vMerge w:val="restart"/>
            <w:tcBorders>
              <w:top w:val="nil"/>
              <w:left w:val="nil"/>
              <w:right w:val="single" w:sz="4" w:space="0" w:color="auto"/>
            </w:tcBorders>
            <w:shd w:val="clear" w:color="auto" w:fill="auto"/>
            <w:noWrap/>
            <w:vAlign w:val="center"/>
            <w:hideMark/>
          </w:tcPr>
          <w:p w14:paraId="2A10AAE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 de trabajo para la instrucción de los Procedimientos Administrativos Ordinarios</w:t>
            </w:r>
          </w:p>
        </w:tc>
        <w:tc>
          <w:tcPr>
            <w:tcW w:w="1034" w:type="dxa"/>
            <w:vMerge w:val="restart"/>
            <w:tcBorders>
              <w:top w:val="nil"/>
              <w:left w:val="nil"/>
              <w:right w:val="single" w:sz="4" w:space="0" w:color="auto"/>
            </w:tcBorders>
            <w:shd w:val="clear" w:color="auto" w:fill="auto"/>
            <w:noWrap/>
            <w:vAlign w:val="center"/>
            <w:hideMark/>
          </w:tcPr>
          <w:p w14:paraId="5C79F77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4E17D1B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2D4735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ASESOR JURIDICO 1</w:t>
            </w:r>
          </w:p>
        </w:tc>
        <w:tc>
          <w:tcPr>
            <w:tcW w:w="761" w:type="dxa"/>
            <w:tcBorders>
              <w:top w:val="nil"/>
              <w:left w:val="nil"/>
              <w:bottom w:val="single" w:sz="4" w:space="0" w:color="auto"/>
              <w:right w:val="single" w:sz="4" w:space="0" w:color="auto"/>
            </w:tcBorders>
            <w:shd w:val="clear" w:color="auto" w:fill="auto"/>
            <w:noWrap/>
            <w:vAlign w:val="center"/>
            <w:hideMark/>
          </w:tcPr>
          <w:p w14:paraId="2B5A2DC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38473</w:t>
            </w:r>
          </w:p>
        </w:tc>
      </w:tr>
      <w:tr w:rsidR="007E6FC1" w:rsidRPr="00697B6D" w14:paraId="02B6FBD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74ABBB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9104B9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7130160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5CCACDC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hideMark/>
          </w:tcPr>
          <w:p w14:paraId="6B45629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5FE370F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371FD1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JURÍDICO</w:t>
            </w:r>
          </w:p>
        </w:tc>
        <w:tc>
          <w:tcPr>
            <w:tcW w:w="761" w:type="dxa"/>
            <w:tcBorders>
              <w:top w:val="nil"/>
              <w:left w:val="nil"/>
              <w:bottom w:val="single" w:sz="4" w:space="0" w:color="auto"/>
              <w:right w:val="single" w:sz="4" w:space="0" w:color="auto"/>
            </w:tcBorders>
            <w:shd w:val="clear" w:color="auto" w:fill="auto"/>
            <w:noWrap/>
            <w:vAlign w:val="center"/>
            <w:hideMark/>
          </w:tcPr>
          <w:p w14:paraId="37062B4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84139</w:t>
            </w:r>
          </w:p>
        </w:tc>
      </w:tr>
      <w:tr w:rsidR="00BC00B3" w:rsidRPr="00697B6D" w14:paraId="3A53349E" w14:textId="77777777" w:rsidTr="00301740">
        <w:trPr>
          <w:trHeight w:val="290"/>
        </w:trPr>
        <w:tc>
          <w:tcPr>
            <w:tcW w:w="1613" w:type="dxa"/>
            <w:vMerge/>
            <w:tcBorders>
              <w:left w:val="single" w:sz="4" w:space="0" w:color="auto"/>
              <w:bottom w:val="single" w:sz="4" w:space="0" w:color="auto"/>
              <w:right w:val="single" w:sz="4" w:space="0" w:color="auto"/>
            </w:tcBorders>
            <w:shd w:val="clear" w:color="auto" w:fill="auto"/>
            <w:noWrap/>
            <w:vAlign w:val="center"/>
          </w:tcPr>
          <w:p w14:paraId="40E73D2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bottom w:val="single" w:sz="4" w:space="0" w:color="auto"/>
              <w:right w:val="single" w:sz="4" w:space="0" w:color="auto"/>
            </w:tcBorders>
            <w:shd w:val="clear" w:color="auto" w:fill="auto"/>
            <w:noWrap/>
            <w:vAlign w:val="center"/>
          </w:tcPr>
          <w:p w14:paraId="022275F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7F1438F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1331-DJ-P04</w:t>
            </w:r>
          </w:p>
        </w:tc>
        <w:tc>
          <w:tcPr>
            <w:tcW w:w="2127" w:type="dxa"/>
            <w:tcBorders>
              <w:top w:val="nil"/>
              <w:left w:val="nil"/>
              <w:bottom w:val="single" w:sz="4" w:space="0" w:color="auto"/>
              <w:right w:val="single" w:sz="4" w:space="0" w:color="auto"/>
            </w:tcBorders>
            <w:shd w:val="clear" w:color="auto" w:fill="auto"/>
            <w:noWrap/>
            <w:vAlign w:val="center"/>
            <w:hideMark/>
          </w:tcPr>
          <w:p w14:paraId="45D9D9A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 de trabajo para la mejora del trámite de recuperación patrimonial por responsabilidad civil</w:t>
            </w:r>
          </w:p>
        </w:tc>
        <w:tc>
          <w:tcPr>
            <w:tcW w:w="1034" w:type="dxa"/>
            <w:tcBorders>
              <w:top w:val="nil"/>
              <w:left w:val="nil"/>
              <w:bottom w:val="single" w:sz="4" w:space="0" w:color="auto"/>
              <w:right w:val="single" w:sz="4" w:space="0" w:color="auto"/>
            </w:tcBorders>
            <w:shd w:val="clear" w:color="auto" w:fill="auto"/>
            <w:noWrap/>
            <w:vAlign w:val="center"/>
            <w:hideMark/>
          </w:tcPr>
          <w:p w14:paraId="517F097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119B36D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A9354F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ASESOR JURIDICO 1</w:t>
            </w:r>
          </w:p>
        </w:tc>
        <w:tc>
          <w:tcPr>
            <w:tcW w:w="761" w:type="dxa"/>
            <w:tcBorders>
              <w:top w:val="nil"/>
              <w:left w:val="nil"/>
              <w:bottom w:val="single" w:sz="4" w:space="0" w:color="auto"/>
              <w:right w:val="single" w:sz="4" w:space="0" w:color="auto"/>
            </w:tcBorders>
            <w:shd w:val="clear" w:color="auto" w:fill="auto"/>
            <w:noWrap/>
            <w:vAlign w:val="center"/>
            <w:hideMark/>
          </w:tcPr>
          <w:p w14:paraId="5130059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84137</w:t>
            </w:r>
          </w:p>
        </w:tc>
      </w:tr>
      <w:tr w:rsidR="007E6FC1" w:rsidRPr="00697B6D" w14:paraId="5F90371A" w14:textId="77777777" w:rsidTr="00301740">
        <w:trPr>
          <w:trHeight w:val="290"/>
        </w:trPr>
        <w:tc>
          <w:tcPr>
            <w:tcW w:w="1613" w:type="dxa"/>
            <w:vMerge w:val="restart"/>
            <w:tcBorders>
              <w:top w:val="nil"/>
              <w:left w:val="single" w:sz="4" w:space="0" w:color="auto"/>
              <w:right w:val="single" w:sz="4" w:space="0" w:color="auto"/>
            </w:tcBorders>
            <w:shd w:val="clear" w:color="auto" w:fill="auto"/>
            <w:noWrap/>
            <w:vAlign w:val="center"/>
            <w:hideMark/>
          </w:tcPr>
          <w:p w14:paraId="2516652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926 Direc. Admin. Órg. de Apoyo</w:t>
            </w:r>
          </w:p>
          <w:p w14:paraId="6733FF4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val="restart"/>
            <w:tcBorders>
              <w:top w:val="nil"/>
              <w:left w:val="nil"/>
              <w:right w:val="single" w:sz="4" w:space="0" w:color="auto"/>
            </w:tcBorders>
            <w:shd w:val="clear" w:color="auto" w:fill="auto"/>
            <w:noWrap/>
            <w:vAlign w:val="center"/>
            <w:hideMark/>
          </w:tcPr>
          <w:p w14:paraId="50D647A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Escuela Judicial</w:t>
            </w:r>
          </w:p>
        </w:tc>
        <w:tc>
          <w:tcPr>
            <w:tcW w:w="1183" w:type="dxa"/>
            <w:vMerge w:val="restart"/>
            <w:tcBorders>
              <w:top w:val="nil"/>
              <w:left w:val="nil"/>
              <w:right w:val="single" w:sz="4" w:space="0" w:color="auto"/>
            </w:tcBorders>
            <w:shd w:val="clear" w:color="auto" w:fill="auto"/>
            <w:noWrap/>
            <w:vAlign w:val="center"/>
            <w:hideMark/>
          </w:tcPr>
          <w:p w14:paraId="47869B5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0035-EJ-P02</w:t>
            </w:r>
          </w:p>
        </w:tc>
        <w:tc>
          <w:tcPr>
            <w:tcW w:w="2127" w:type="dxa"/>
            <w:vMerge w:val="restart"/>
            <w:tcBorders>
              <w:top w:val="nil"/>
              <w:left w:val="nil"/>
              <w:right w:val="single" w:sz="4" w:space="0" w:color="auto"/>
            </w:tcBorders>
            <w:shd w:val="clear" w:color="auto" w:fill="auto"/>
            <w:noWrap/>
            <w:vAlign w:val="center"/>
            <w:hideMark/>
          </w:tcPr>
          <w:p w14:paraId="1203419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Paquetes de instrucción y disminución del personal pendiente por capacitar de la población del OIJ, para el año 2022</w:t>
            </w:r>
          </w:p>
        </w:tc>
        <w:tc>
          <w:tcPr>
            <w:tcW w:w="1034" w:type="dxa"/>
            <w:vMerge w:val="restart"/>
            <w:tcBorders>
              <w:top w:val="nil"/>
              <w:left w:val="nil"/>
              <w:right w:val="single" w:sz="4" w:space="0" w:color="auto"/>
            </w:tcBorders>
            <w:shd w:val="clear" w:color="auto" w:fill="auto"/>
            <w:noWrap/>
            <w:vAlign w:val="center"/>
            <w:hideMark/>
          </w:tcPr>
          <w:p w14:paraId="21F8DD0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634544B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36915A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ASISTENTE  ADMINISTRATIVO 3 </w:t>
            </w:r>
          </w:p>
        </w:tc>
        <w:tc>
          <w:tcPr>
            <w:tcW w:w="761" w:type="dxa"/>
            <w:tcBorders>
              <w:top w:val="nil"/>
              <w:left w:val="nil"/>
              <w:bottom w:val="single" w:sz="4" w:space="0" w:color="auto"/>
              <w:right w:val="single" w:sz="4" w:space="0" w:color="auto"/>
            </w:tcBorders>
            <w:shd w:val="clear" w:color="auto" w:fill="auto"/>
            <w:noWrap/>
            <w:vAlign w:val="center"/>
            <w:hideMark/>
          </w:tcPr>
          <w:p w14:paraId="216FF82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102156</w:t>
            </w:r>
          </w:p>
        </w:tc>
      </w:tr>
      <w:tr w:rsidR="007E6FC1" w:rsidRPr="00697B6D" w14:paraId="4E689425"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A9EC41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7D5E33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637BE4D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2307F19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02CBF8A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60E435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C39DD9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GESTOR DE CAPACITACIÓN 2</w:t>
            </w:r>
          </w:p>
        </w:tc>
        <w:tc>
          <w:tcPr>
            <w:tcW w:w="761" w:type="dxa"/>
            <w:tcBorders>
              <w:top w:val="nil"/>
              <w:left w:val="nil"/>
              <w:bottom w:val="single" w:sz="4" w:space="0" w:color="auto"/>
              <w:right w:val="single" w:sz="4" w:space="0" w:color="auto"/>
            </w:tcBorders>
            <w:shd w:val="clear" w:color="auto" w:fill="auto"/>
            <w:noWrap/>
            <w:vAlign w:val="center"/>
            <w:hideMark/>
          </w:tcPr>
          <w:p w14:paraId="62F7905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35327</w:t>
            </w:r>
          </w:p>
        </w:tc>
      </w:tr>
      <w:tr w:rsidR="007E6FC1" w:rsidRPr="00697B6D" w14:paraId="5012089E"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D08410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0B3B7D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69A03DB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436D9A4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EC4AA7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9CBE60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E43813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GESTOR DE CAPACITACIÓN 2</w:t>
            </w:r>
          </w:p>
        </w:tc>
        <w:tc>
          <w:tcPr>
            <w:tcW w:w="761" w:type="dxa"/>
            <w:tcBorders>
              <w:top w:val="nil"/>
              <w:left w:val="nil"/>
              <w:bottom w:val="single" w:sz="4" w:space="0" w:color="auto"/>
              <w:right w:val="single" w:sz="4" w:space="0" w:color="auto"/>
            </w:tcBorders>
            <w:shd w:val="clear" w:color="auto" w:fill="auto"/>
            <w:noWrap/>
            <w:vAlign w:val="center"/>
            <w:hideMark/>
          </w:tcPr>
          <w:p w14:paraId="5EC1E8E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92431</w:t>
            </w:r>
          </w:p>
        </w:tc>
      </w:tr>
      <w:tr w:rsidR="007E6FC1" w:rsidRPr="00697B6D" w14:paraId="4058A8E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EE16F8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980C85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2C91945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67F4509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22C507F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BCFC81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D3C75D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nil"/>
              <w:left w:val="nil"/>
              <w:bottom w:val="single" w:sz="4" w:space="0" w:color="auto"/>
              <w:right w:val="single" w:sz="4" w:space="0" w:color="auto"/>
            </w:tcBorders>
            <w:shd w:val="clear" w:color="auto" w:fill="auto"/>
            <w:noWrap/>
            <w:vAlign w:val="center"/>
            <w:hideMark/>
          </w:tcPr>
          <w:p w14:paraId="4380D42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96459</w:t>
            </w:r>
          </w:p>
        </w:tc>
      </w:tr>
      <w:tr w:rsidR="007E6FC1" w:rsidRPr="00697B6D" w14:paraId="0421F1C5"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455592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948EFF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7E2B0B0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0035-EJ-P03</w:t>
            </w:r>
          </w:p>
        </w:tc>
        <w:tc>
          <w:tcPr>
            <w:tcW w:w="2127" w:type="dxa"/>
            <w:vMerge w:val="restart"/>
            <w:tcBorders>
              <w:top w:val="nil"/>
              <w:left w:val="nil"/>
              <w:right w:val="single" w:sz="4" w:space="0" w:color="auto"/>
            </w:tcBorders>
            <w:shd w:val="clear" w:color="auto" w:fill="auto"/>
            <w:noWrap/>
            <w:vAlign w:val="center"/>
            <w:hideMark/>
          </w:tcPr>
          <w:p w14:paraId="545226C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Análisis y trámite de pago de reclamos de viáticos de Programas Básicos de Investigación criminal OIJ solicitados por Consejo Superior</w:t>
            </w:r>
          </w:p>
        </w:tc>
        <w:tc>
          <w:tcPr>
            <w:tcW w:w="1034" w:type="dxa"/>
            <w:vMerge w:val="restart"/>
            <w:tcBorders>
              <w:top w:val="nil"/>
              <w:left w:val="nil"/>
              <w:right w:val="single" w:sz="4" w:space="0" w:color="auto"/>
            </w:tcBorders>
            <w:shd w:val="clear" w:color="auto" w:fill="auto"/>
            <w:noWrap/>
            <w:vAlign w:val="center"/>
            <w:hideMark/>
          </w:tcPr>
          <w:p w14:paraId="6EA5FB5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70A896D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EAFACB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ASISTENTE  ADMINISTRATIVO 3 </w:t>
            </w:r>
          </w:p>
        </w:tc>
        <w:tc>
          <w:tcPr>
            <w:tcW w:w="761" w:type="dxa"/>
            <w:tcBorders>
              <w:top w:val="nil"/>
              <w:left w:val="nil"/>
              <w:bottom w:val="single" w:sz="4" w:space="0" w:color="auto"/>
              <w:right w:val="single" w:sz="4" w:space="0" w:color="auto"/>
            </w:tcBorders>
            <w:shd w:val="clear" w:color="auto" w:fill="auto"/>
            <w:noWrap/>
            <w:vAlign w:val="center"/>
            <w:hideMark/>
          </w:tcPr>
          <w:p w14:paraId="0481D70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60178</w:t>
            </w:r>
          </w:p>
        </w:tc>
      </w:tr>
      <w:tr w:rsidR="007E6FC1" w:rsidRPr="00697B6D" w14:paraId="235EAA0A"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544D31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C628F2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4C1B237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482D351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095ACCE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B72DAE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044EA3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ASISTENTE  ADMINISTRATIVO 3 </w:t>
            </w:r>
          </w:p>
        </w:tc>
        <w:tc>
          <w:tcPr>
            <w:tcW w:w="761" w:type="dxa"/>
            <w:tcBorders>
              <w:top w:val="nil"/>
              <w:left w:val="nil"/>
              <w:bottom w:val="single" w:sz="4" w:space="0" w:color="auto"/>
              <w:right w:val="single" w:sz="4" w:space="0" w:color="auto"/>
            </w:tcBorders>
            <w:shd w:val="clear" w:color="auto" w:fill="auto"/>
            <w:noWrap/>
            <w:vAlign w:val="center"/>
            <w:hideMark/>
          </w:tcPr>
          <w:p w14:paraId="6ED95A0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108574</w:t>
            </w:r>
          </w:p>
        </w:tc>
      </w:tr>
      <w:tr w:rsidR="007E6FC1" w:rsidRPr="00697B6D" w14:paraId="3B1E8E8F"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1AE030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bottom w:val="single" w:sz="4" w:space="0" w:color="auto"/>
              <w:right w:val="single" w:sz="4" w:space="0" w:color="auto"/>
            </w:tcBorders>
            <w:shd w:val="clear" w:color="auto" w:fill="auto"/>
            <w:noWrap/>
            <w:vAlign w:val="center"/>
          </w:tcPr>
          <w:p w14:paraId="0BB7ACC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206C9B8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019741D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22C6458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2B6597B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379D1A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ASISTENTE  ADMINISTRATIVO 3 </w:t>
            </w:r>
          </w:p>
        </w:tc>
        <w:tc>
          <w:tcPr>
            <w:tcW w:w="761" w:type="dxa"/>
            <w:tcBorders>
              <w:top w:val="nil"/>
              <w:left w:val="nil"/>
              <w:bottom w:val="single" w:sz="4" w:space="0" w:color="auto"/>
              <w:right w:val="single" w:sz="4" w:space="0" w:color="auto"/>
            </w:tcBorders>
            <w:shd w:val="clear" w:color="auto" w:fill="auto"/>
            <w:noWrap/>
            <w:vAlign w:val="center"/>
            <w:hideMark/>
          </w:tcPr>
          <w:p w14:paraId="236D81F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111242</w:t>
            </w:r>
          </w:p>
        </w:tc>
      </w:tr>
      <w:tr w:rsidR="00BC00B3" w:rsidRPr="00697B6D" w14:paraId="7D5EFE6B" w14:textId="77777777" w:rsidTr="00301740">
        <w:trPr>
          <w:trHeight w:val="290"/>
        </w:trPr>
        <w:tc>
          <w:tcPr>
            <w:tcW w:w="1613" w:type="dxa"/>
            <w:vMerge/>
            <w:tcBorders>
              <w:left w:val="single" w:sz="4" w:space="0" w:color="auto"/>
              <w:right w:val="single" w:sz="4" w:space="0" w:color="auto"/>
            </w:tcBorders>
            <w:shd w:val="clear" w:color="auto" w:fill="auto"/>
            <w:noWrap/>
            <w:vAlign w:val="center"/>
            <w:hideMark/>
          </w:tcPr>
          <w:p w14:paraId="1E4FCA8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tcBorders>
              <w:top w:val="nil"/>
              <w:left w:val="nil"/>
              <w:bottom w:val="single" w:sz="4" w:space="0" w:color="auto"/>
              <w:right w:val="single" w:sz="4" w:space="0" w:color="auto"/>
            </w:tcBorders>
            <w:shd w:val="clear" w:color="auto" w:fill="auto"/>
            <w:noWrap/>
            <w:vAlign w:val="center"/>
            <w:hideMark/>
          </w:tcPr>
          <w:p w14:paraId="7619A14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Inspección Judicial</w:t>
            </w:r>
          </w:p>
        </w:tc>
        <w:tc>
          <w:tcPr>
            <w:tcW w:w="1183" w:type="dxa"/>
            <w:tcBorders>
              <w:top w:val="nil"/>
              <w:left w:val="nil"/>
              <w:bottom w:val="single" w:sz="4" w:space="0" w:color="auto"/>
              <w:right w:val="single" w:sz="4" w:space="0" w:color="auto"/>
            </w:tcBorders>
            <w:shd w:val="clear" w:color="auto" w:fill="auto"/>
            <w:noWrap/>
            <w:vAlign w:val="center"/>
            <w:hideMark/>
          </w:tcPr>
          <w:p w14:paraId="504D849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0031-IJ-P01</w:t>
            </w:r>
          </w:p>
        </w:tc>
        <w:tc>
          <w:tcPr>
            <w:tcW w:w="2127" w:type="dxa"/>
            <w:tcBorders>
              <w:top w:val="nil"/>
              <w:left w:val="nil"/>
              <w:bottom w:val="single" w:sz="4" w:space="0" w:color="auto"/>
              <w:right w:val="single" w:sz="4" w:space="0" w:color="auto"/>
            </w:tcBorders>
            <w:shd w:val="clear" w:color="auto" w:fill="auto"/>
            <w:noWrap/>
            <w:vAlign w:val="center"/>
            <w:hideMark/>
          </w:tcPr>
          <w:p w14:paraId="48E3DC6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 de descongestionamiento de Procesos del Tribunal de la Inspección Judicial</w:t>
            </w:r>
          </w:p>
        </w:tc>
        <w:tc>
          <w:tcPr>
            <w:tcW w:w="1034" w:type="dxa"/>
            <w:tcBorders>
              <w:top w:val="nil"/>
              <w:left w:val="nil"/>
              <w:bottom w:val="single" w:sz="4" w:space="0" w:color="auto"/>
              <w:right w:val="single" w:sz="4" w:space="0" w:color="auto"/>
            </w:tcBorders>
            <w:shd w:val="clear" w:color="auto" w:fill="auto"/>
            <w:noWrap/>
            <w:vAlign w:val="center"/>
            <w:hideMark/>
          </w:tcPr>
          <w:p w14:paraId="688C70C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6ECF760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7F0E94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JUDICIAL 3</w:t>
            </w:r>
          </w:p>
        </w:tc>
        <w:tc>
          <w:tcPr>
            <w:tcW w:w="761" w:type="dxa"/>
            <w:tcBorders>
              <w:top w:val="nil"/>
              <w:left w:val="nil"/>
              <w:bottom w:val="single" w:sz="4" w:space="0" w:color="auto"/>
              <w:right w:val="single" w:sz="4" w:space="0" w:color="auto"/>
            </w:tcBorders>
            <w:shd w:val="clear" w:color="auto" w:fill="auto"/>
            <w:noWrap/>
            <w:vAlign w:val="center"/>
            <w:hideMark/>
          </w:tcPr>
          <w:p w14:paraId="60321BB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43045</w:t>
            </w:r>
          </w:p>
        </w:tc>
      </w:tr>
      <w:tr w:rsidR="009872F5" w:rsidRPr="00697B6D" w14:paraId="7ADEF5A3" w14:textId="77777777" w:rsidTr="00301740">
        <w:trPr>
          <w:trHeight w:val="290"/>
        </w:trPr>
        <w:tc>
          <w:tcPr>
            <w:tcW w:w="1613" w:type="dxa"/>
            <w:vMerge/>
            <w:tcBorders>
              <w:left w:val="single" w:sz="4" w:space="0" w:color="auto"/>
              <w:bottom w:val="single" w:sz="4" w:space="0" w:color="auto"/>
              <w:right w:val="single" w:sz="4" w:space="0" w:color="auto"/>
            </w:tcBorders>
            <w:shd w:val="clear" w:color="auto" w:fill="auto"/>
            <w:noWrap/>
            <w:vAlign w:val="center"/>
            <w:hideMark/>
          </w:tcPr>
          <w:p w14:paraId="40534A2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tcBorders>
              <w:top w:val="nil"/>
              <w:left w:val="nil"/>
              <w:bottom w:val="single" w:sz="4" w:space="0" w:color="auto"/>
              <w:right w:val="single" w:sz="4" w:space="0" w:color="auto"/>
            </w:tcBorders>
            <w:shd w:val="clear" w:color="auto" w:fill="auto"/>
            <w:noWrap/>
            <w:vAlign w:val="center"/>
            <w:hideMark/>
          </w:tcPr>
          <w:p w14:paraId="564FA62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Programa Justicia Restaurativa</w:t>
            </w:r>
          </w:p>
        </w:tc>
        <w:tc>
          <w:tcPr>
            <w:tcW w:w="1183" w:type="dxa"/>
            <w:tcBorders>
              <w:top w:val="nil"/>
              <w:left w:val="nil"/>
              <w:bottom w:val="single" w:sz="4" w:space="0" w:color="auto"/>
              <w:right w:val="single" w:sz="4" w:space="0" w:color="auto"/>
            </w:tcBorders>
            <w:shd w:val="clear" w:color="auto" w:fill="auto"/>
            <w:noWrap/>
            <w:vAlign w:val="center"/>
            <w:hideMark/>
          </w:tcPr>
          <w:p w14:paraId="48A73CE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1377-PJR-P06</w:t>
            </w:r>
          </w:p>
        </w:tc>
        <w:tc>
          <w:tcPr>
            <w:tcW w:w="2127" w:type="dxa"/>
            <w:tcBorders>
              <w:top w:val="nil"/>
              <w:left w:val="nil"/>
              <w:bottom w:val="single" w:sz="4" w:space="0" w:color="auto"/>
              <w:right w:val="single" w:sz="4" w:space="0" w:color="auto"/>
            </w:tcBorders>
            <w:shd w:val="clear" w:color="auto" w:fill="auto"/>
            <w:noWrap/>
            <w:vAlign w:val="center"/>
            <w:hideMark/>
          </w:tcPr>
          <w:p w14:paraId="52D75B7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Programa de Justicia Restaurativa para el bienestar del personal judicial</w:t>
            </w:r>
          </w:p>
        </w:tc>
        <w:tc>
          <w:tcPr>
            <w:tcW w:w="1034" w:type="dxa"/>
            <w:tcBorders>
              <w:top w:val="nil"/>
              <w:left w:val="nil"/>
              <w:bottom w:val="single" w:sz="4" w:space="0" w:color="auto"/>
              <w:right w:val="single" w:sz="4" w:space="0" w:color="auto"/>
            </w:tcBorders>
            <w:shd w:val="clear" w:color="auto" w:fill="auto"/>
            <w:noWrap/>
            <w:vAlign w:val="center"/>
            <w:hideMark/>
          </w:tcPr>
          <w:p w14:paraId="2ADD4C0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06BBB52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A20E9D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0BB6B23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377230</w:t>
            </w:r>
          </w:p>
        </w:tc>
      </w:tr>
      <w:tr w:rsidR="007E6FC1" w:rsidRPr="00697B6D" w14:paraId="1462C9A6" w14:textId="77777777" w:rsidTr="00301740">
        <w:trPr>
          <w:trHeight w:val="290"/>
        </w:trPr>
        <w:tc>
          <w:tcPr>
            <w:tcW w:w="1613" w:type="dxa"/>
            <w:vMerge w:val="restart"/>
            <w:tcBorders>
              <w:top w:val="nil"/>
              <w:left w:val="single" w:sz="4" w:space="0" w:color="auto"/>
              <w:right w:val="single" w:sz="4" w:space="0" w:color="auto"/>
            </w:tcBorders>
            <w:shd w:val="clear" w:color="auto" w:fill="auto"/>
            <w:noWrap/>
            <w:vAlign w:val="center"/>
            <w:hideMark/>
          </w:tcPr>
          <w:p w14:paraId="5682675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927 Servicio Jurisdiccional</w:t>
            </w:r>
          </w:p>
        </w:tc>
        <w:tc>
          <w:tcPr>
            <w:tcW w:w="1173" w:type="dxa"/>
            <w:vMerge w:val="restart"/>
            <w:tcBorders>
              <w:top w:val="nil"/>
              <w:left w:val="nil"/>
              <w:right w:val="single" w:sz="4" w:space="0" w:color="auto"/>
            </w:tcBorders>
            <w:shd w:val="clear" w:color="auto" w:fill="auto"/>
            <w:noWrap/>
            <w:vAlign w:val="center"/>
            <w:hideMark/>
          </w:tcPr>
          <w:p w14:paraId="63C49CC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Centro de Apoyo, Coordinación y Mejoramiento Función Jurisd</w:t>
            </w:r>
          </w:p>
        </w:tc>
        <w:tc>
          <w:tcPr>
            <w:tcW w:w="1183" w:type="dxa"/>
            <w:vMerge w:val="restart"/>
            <w:tcBorders>
              <w:top w:val="nil"/>
              <w:left w:val="nil"/>
              <w:right w:val="single" w:sz="4" w:space="0" w:color="auto"/>
            </w:tcBorders>
            <w:shd w:val="clear" w:color="auto" w:fill="auto"/>
            <w:noWrap/>
            <w:vAlign w:val="center"/>
            <w:hideMark/>
          </w:tcPr>
          <w:p w14:paraId="08BF3C0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1324-CACMFJ-P01</w:t>
            </w:r>
          </w:p>
        </w:tc>
        <w:tc>
          <w:tcPr>
            <w:tcW w:w="2127" w:type="dxa"/>
            <w:vMerge w:val="restart"/>
            <w:tcBorders>
              <w:top w:val="nil"/>
              <w:left w:val="nil"/>
              <w:right w:val="single" w:sz="4" w:space="0" w:color="auto"/>
            </w:tcBorders>
            <w:shd w:val="clear" w:color="auto" w:fill="auto"/>
            <w:noWrap/>
            <w:vAlign w:val="center"/>
            <w:hideMark/>
          </w:tcPr>
          <w:p w14:paraId="2B6EF28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Planes de Descongestionamiento de materia Civil</w:t>
            </w:r>
          </w:p>
        </w:tc>
        <w:tc>
          <w:tcPr>
            <w:tcW w:w="1034" w:type="dxa"/>
            <w:vMerge w:val="restart"/>
            <w:tcBorders>
              <w:top w:val="nil"/>
              <w:left w:val="nil"/>
              <w:right w:val="single" w:sz="4" w:space="0" w:color="auto"/>
            </w:tcBorders>
            <w:shd w:val="clear" w:color="auto" w:fill="auto"/>
            <w:noWrap/>
            <w:vAlign w:val="center"/>
            <w:hideMark/>
          </w:tcPr>
          <w:p w14:paraId="5A5ABC9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6601083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0A5751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7689829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100868</w:t>
            </w:r>
          </w:p>
        </w:tc>
      </w:tr>
      <w:tr w:rsidR="007E6FC1" w:rsidRPr="00697B6D" w14:paraId="51F8AEB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CDE982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281035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5A6ADAC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057F5F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983A6E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2AA698C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440C2B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537BDDC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379546</w:t>
            </w:r>
          </w:p>
        </w:tc>
      </w:tr>
      <w:tr w:rsidR="007E6FC1" w:rsidRPr="00697B6D" w14:paraId="576F8BB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C540AA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F2AB1B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33F19B8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6E7FA7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1C803CB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EA6D72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198F1B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JUDICIAL 2</w:t>
            </w:r>
          </w:p>
        </w:tc>
        <w:tc>
          <w:tcPr>
            <w:tcW w:w="761" w:type="dxa"/>
            <w:tcBorders>
              <w:top w:val="nil"/>
              <w:left w:val="nil"/>
              <w:bottom w:val="single" w:sz="4" w:space="0" w:color="auto"/>
              <w:right w:val="single" w:sz="4" w:space="0" w:color="auto"/>
            </w:tcBorders>
            <w:shd w:val="clear" w:color="auto" w:fill="auto"/>
            <w:noWrap/>
            <w:vAlign w:val="center"/>
            <w:hideMark/>
          </w:tcPr>
          <w:p w14:paraId="437E181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103100</w:t>
            </w:r>
          </w:p>
        </w:tc>
      </w:tr>
      <w:tr w:rsidR="007E6FC1" w:rsidRPr="00697B6D" w14:paraId="19D0796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D50B9E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CF8065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62181F8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27E7BC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95F2CD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34788F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A5D942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JUDICIAL 2</w:t>
            </w:r>
          </w:p>
        </w:tc>
        <w:tc>
          <w:tcPr>
            <w:tcW w:w="761" w:type="dxa"/>
            <w:tcBorders>
              <w:top w:val="nil"/>
              <w:left w:val="nil"/>
              <w:bottom w:val="single" w:sz="4" w:space="0" w:color="auto"/>
              <w:right w:val="single" w:sz="4" w:space="0" w:color="auto"/>
            </w:tcBorders>
            <w:shd w:val="clear" w:color="auto" w:fill="auto"/>
            <w:noWrap/>
            <w:vAlign w:val="center"/>
            <w:hideMark/>
          </w:tcPr>
          <w:p w14:paraId="5308F5F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350124</w:t>
            </w:r>
          </w:p>
        </w:tc>
      </w:tr>
      <w:tr w:rsidR="007E6FC1" w:rsidRPr="00697B6D" w14:paraId="3C45D70E"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DCEC74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0C0AF1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6B0AB2C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1479E59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236AD08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53CE23E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645425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4A0EFE7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43852</w:t>
            </w:r>
          </w:p>
        </w:tc>
      </w:tr>
      <w:tr w:rsidR="007E6FC1" w:rsidRPr="00697B6D" w14:paraId="5A13A84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E57FF2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0E4C83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13E2F88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1324-CACMFJ-P02</w:t>
            </w:r>
          </w:p>
        </w:tc>
        <w:tc>
          <w:tcPr>
            <w:tcW w:w="2127" w:type="dxa"/>
            <w:vMerge w:val="restart"/>
            <w:tcBorders>
              <w:top w:val="nil"/>
              <w:left w:val="nil"/>
              <w:right w:val="single" w:sz="4" w:space="0" w:color="auto"/>
            </w:tcBorders>
            <w:shd w:val="clear" w:color="auto" w:fill="auto"/>
            <w:noWrap/>
            <w:vAlign w:val="center"/>
            <w:hideMark/>
          </w:tcPr>
          <w:p w14:paraId="0563F14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Planes de Descongestionamiento para la materia de Cobro Judicial</w:t>
            </w:r>
          </w:p>
        </w:tc>
        <w:tc>
          <w:tcPr>
            <w:tcW w:w="1034" w:type="dxa"/>
            <w:vMerge w:val="restart"/>
            <w:tcBorders>
              <w:top w:val="nil"/>
              <w:left w:val="nil"/>
              <w:right w:val="single" w:sz="4" w:space="0" w:color="auto"/>
            </w:tcBorders>
            <w:shd w:val="clear" w:color="auto" w:fill="auto"/>
            <w:noWrap/>
            <w:vAlign w:val="center"/>
            <w:hideMark/>
          </w:tcPr>
          <w:p w14:paraId="662C4C7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4C7F68D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EE615F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COORDINADOR JUDICIAL 1</w:t>
            </w:r>
          </w:p>
        </w:tc>
        <w:tc>
          <w:tcPr>
            <w:tcW w:w="761" w:type="dxa"/>
            <w:tcBorders>
              <w:top w:val="nil"/>
              <w:left w:val="nil"/>
              <w:bottom w:val="single" w:sz="4" w:space="0" w:color="auto"/>
              <w:right w:val="single" w:sz="4" w:space="0" w:color="auto"/>
            </w:tcBorders>
            <w:shd w:val="clear" w:color="auto" w:fill="auto"/>
            <w:noWrap/>
            <w:vAlign w:val="center"/>
            <w:hideMark/>
          </w:tcPr>
          <w:p w14:paraId="6BE562F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363520</w:t>
            </w:r>
          </w:p>
        </w:tc>
      </w:tr>
      <w:tr w:rsidR="007E6FC1" w:rsidRPr="00697B6D" w14:paraId="5082A40E"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F2C7FE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933399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2D349DE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699CD0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55A7A6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5B168F7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B8BB8F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2 </w:t>
            </w:r>
          </w:p>
        </w:tc>
        <w:tc>
          <w:tcPr>
            <w:tcW w:w="761" w:type="dxa"/>
            <w:tcBorders>
              <w:top w:val="nil"/>
              <w:left w:val="nil"/>
              <w:bottom w:val="single" w:sz="4" w:space="0" w:color="auto"/>
              <w:right w:val="single" w:sz="4" w:space="0" w:color="auto"/>
            </w:tcBorders>
            <w:shd w:val="clear" w:color="auto" w:fill="auto"/>
            <w:noWrap/>
            <w:vAlign w:val="center"/>
            <w:hideMark/>
          </w:tcPr>
          <w:p w14:paraId="0A433CD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365708</w:t>
            </w:r>
          </w:p>
        </w:tc>
      </w:tr>
      <w:tr w:rsidR="007E6FC1" w:rsidRPr="00697B6D" w14:paraId="5AE9DD3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EDC88A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D7320C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34BDF97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77173AE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13B2AA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5E0ED6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100C8B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2 </w:t>
            </w:r>
          </w:p>
        </w:tc>
        <w:tc>
          <w:tcPr>
            <w:tcW w:w="761" w:type="dxa"/>
            <w:tcBorders>
              <w:top w:val="nil"/>
              <w:left w:val="nil"/>
              <w:bottom w:val="single" w:sz="4" w:space="0" w:color="auto"/>
              <w:right w:val="single" w:sz="4" w:space="0" w:color="auto"/>
            </w:tcBorders>
            <w:shd w:val="clear" w:color="auto" w:fill="auto"/>
            <w:noWrap/>
            <w:vAlign w:val="center"/>
            <w:hideMark/>
          </w:tcPr>
          <w:p w14:paraId="161FBED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382302</w:t>
            </w:r>
          </w:p>
        </w:tc>
      </w:tr>
      <w:tr w:rsidR="007E6FC1" w:rsidRPr="00697B6D" w14:paraId="27F26607"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8D9079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9045A3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5704975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662F9FE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4C1647F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DD2DF6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DD0B5F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2 </w:t>
            </w:r>
          </w:p>
        </w:tc>
        <w:tc>
          <w:tcPr>
            <w:tcW w:w="761" w:type="dxa"/>
            <w:tcBorders>
              <w:top w:val="nil"/>
              <w:left w:val="nil"/>
              <w:bottom w:val="single" w:sz="4" w:space="0" w:color="auto"/>
              <w:right w:val="single" w:sz="4" w:space="0" w:color="auto"/>
            </w:tcBorders>
            <w:shd w:val="clear" w:color="auto" w:fill="auto"/>
            <w:noWrap/>
            <w:vAlign w:val="center"/>
            <w:hideMark/>
          </w:tcPr>
          <w:p w14:paraId="7AE1151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96570</w:t>
            </w:r>
          </w:p>
        </w:tc>
      </w:tr>
      <w:tr w:rsidR="007E6FC1" w:rsidRPr="00697B6D" w14:paraId="693F85E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940D23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6CD603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6FF229A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3835B50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7F6FA07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86AFE6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BAE3F8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JUDICIAL 1</w:t>
            </w:r>
          </w:p>
        </w:tc>
        <w:tc>
          <w:tcPr>
            <w:tcW w:w="761" w:type="dxa"/>
            <w:tcBorders>
              <w:top w:val="nil"/>
              <w:left w:val="nil"/>
              <w:bottom w:val="single" w:sz="4" w:space="0" w:color="auto"/>
              <w:right w:val="single" w:sz="4" w:space="0" w:color="auto"/>
            </w:tcBorders>
            <w:shd w:val="clear" w:color="auto" w:fill="auto"/>
            <w:noWrap/>
            <w:vAlign w:val="center"/>
            <w:hideMark/>
          </w:tcPr>
          <w:p w14:paraId="26C8325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15630</w:t>
            </w:r>
          </w:p>
        </w:tc>
      </w:tr>
      <w:tr w:rsidR="007E6FC1" w:rsidRPr="00697B6D" w14:paraId="4196AD5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500AA0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588012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DA1D00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13B6444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26555C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149920F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19283D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JUDICIAL 1</w:t>
            </w:r>
          </w:p>
        </w:tc>
        <w:tc>
          <w:tcPr>
            <w:tcW w:w="761" w:type="dxa"/>
            <w:tcBorders>
              <w:top w:val="nil"/>
              <w:left w:val="nil"/>
              <w:bottom w:val="single" w:sz="4" w:space="0" w:color="auto"/>
              <w:right w:val="single" w:sz="4" w:space="0" w:color="auto"/>
            </w:tcBorders>
            <w:shd w:val="clear" w:color="auto" w:fill="auto"/>
            <w:noWrap/>
            <w:vAlign w:val="center"/>
            <w:hideMark/>
          </w:tcPr>
          <w:p w14:paraId="7CD990D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382306</w:t>
            </w:r>
          </w:p>
        </w:tc>
      </w:tr>
      <w:tr w:rsidR="007E6FC1" w:rsidRPr="00697B6D" w14:paraId="0729B6E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C84108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17C1BC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1141CB3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241D48A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127A28C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37BD35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066AB4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JUDICIAL 1</w:t>
            </w:r>
          </w:p>
        </w:tc>
        <w:tc>
          <w:tcPr>
            <w:tcW w:w="761" w:type="dxa"/>
            <w:tcBorders>
              <w:top w:val="nil"/>
              <w:left w:val="nil"/>
              <w:bottom w:val="single" w:sz="4" w:space="0" w:color="auto"/>
              <w:right w:val="single" w:sz="4" w:space="0" w:color="auto"/>
            </w:tcBorders>
            <w:shd w:val="clear" w:color="auto" w:fill="auto"/>
            <w:noWrap/>
            <w:vAlign w:val="center"/>
            <w:hideMark/>
          </w:tcPr>
          <w:p w14:paraId="2DC55A6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382309</w:t>
            </w:r>
          </w:p>
        </w:tc>
      </w:tr>
      <w:tr w:rsidR="007E6FC1" w:rsidRPr="00697B6D" w14:paraId="3FF9CCA0"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65B5A9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9AF516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35D2FAF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79F2BD0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704BAE6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226FA4F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018DDC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JUDICIAL 1</w:t>
            </w:r>
          </w:p>
        </w:tc>
        <w:tc>
          <w:tcPr>
            <w:tcW w:w="761" w:type="dxa"/>
            <w:tcBorders>
              <w:top w:val="nil"/>
              <w:left w:val="nil"/>
              <w:bottom w:val="single" w:sz="4" w:space="0" w:color="auto"/>
              <w:right w:val="single" w:sz="4" w:space="0" w:color="auto"/>
            </w:tcBorders>
            <w:shd w:val="clear" w:color="auto" w:fill="auto"/>
            <w:noWrap/>
            <w:vAlign w:val="center"/>
            <w:hideMark/>
          </w:tcPr>
          <w:p w14:paraId="450084F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379615</w:t>
            </w:r>
          </w:p>
        </w:tc>
      </w:tr>
      <w:tr w:rsidR="007E6FC1" w:rsidRPr="00697B6D" w14:paraId="39FA107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D2BE83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87995B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7B71B62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4657E6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4AF5B6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651A54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53D829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JUDICIAL 1</w:t>
            </w:r>
          </w:p>
        </w:tc>
        <w:tc>
          <w:tcPr>
            <w:tcW w:w="761" w:type="dxa"/>
            <w:tcBorders>
              <w:top w:val="nil"/>
              <w:left w:val="nil"/>
              <w:bottom w:val="single" w:sz="4" w:space="0" w:color="auto"/>
              <w:right w:val="single" w:sz="4" w:space="0" w:color="auto"/>
            </w:tcBorders>
            <w:shd w:val="clear" w:color="auto" w:fill="auto"/>
            <w:noWrap/>
            <w:vAlign w:val="center"/>
            <w:hideMark/>
          </w:tcPr>
          <w:p w14:paraId="03C865E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44867</w:t>
            </w:r>
          </w:p>
        </w:tc>
      </w:tr>
      <w:tr w:rsidR="007E6FC1" w:rsidRPr="00697B6D" w14:paraId="2DBF78B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957160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CF5C29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6B3815B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61A50F8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14517AF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14E8510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F78F22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JUDICIAL 1</w:t>
            </w:r>
          </w:p>
        </w:tc>
        <w:tc>
          <w:tcPr>
            <w:tcW w:w="761" w:type="dxa"/>
            <w:tcBorders>
              <w:top w:val="nil"/>
              <w:left w:val="nil"/>
              <w:bottom w:val="single" w:sz="4" w:space="0" w:color="auto"/>
              <w:right w:val="single" w:sz="4" w:space="0" w:color="auto"/>
            </w:tcBorders>
            <w:shd w:val="clear" w:color="auto" w:fill="auto"/>
            <w:noWrap/>
            <w:vAlign w:val="center"/>
            <w:hideMark/>
          </w:tcPr>
          <w:p w14:paraId="4DED902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379626</w:t>
            </w:r>
          </w:p>
        </w:tc>
      </w:tr>
      <w:tr w:rsidR="007E6FC1" w:rsidRPr="00697B6D" w14:paraId="6100827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587C55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4A9D2B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6206E22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1324-CACMFJ-P03</w:t>
            </w:r>
          </w:p>
        </w:tc>
        <w:tc>
          <w:tcPr>
            <w:tcW w:w="2127" w:type="dxa"/>
            <w:vMerge w:val="restart"/>
            <w:tcBorders>
              <w:top w:val="nil"/>
              <w:left w:val="nil"/>
              <w:right w:val="single" w:sz="4" w:space="0" w:color="auto"/>
            </w:tcBorders>
            <w:shd w:val="clear" w:color="auto" w:fill="auto"/>
            <w:noWrap/>
            <w:vAlign w:val="center"/>
            <w:hideMark/>
          </w:tcPr>
          <w:p w14:paraId="3D1F845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Planes de Descongestionamiento de materia Laboral</w:t>
            </w:r>
          </w:p>
        </w:tc>
        <w:tc>
          <w:tcPr>
            <w:tcW w:w="1034" w:type="dxa"/>
            <w:vMerge w:val="restart"/>
            <w:tcBorders>
              <w:top w:val="nil"/>
              <w:left w:val="nil"/>
              <w:right w:val="single" w:sz="4" w:space="0" w:color="auto"/>
            </w:tcBorders>
            <w:shd w:val="clear" w:color="auto" w:fill="auto"/>
            <w:noWrap/>
            <w:vAlign w:val="center"/>
            <w:hideMark/>
          </w:tcPr>
          <w:p w14:paraId="7D247C4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7BBFBF7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6217A8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4D661A0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44213</w:t>
            </w:r>
          </w:p>
        </w:tc>
      </w:tr>
      <w:tr w:rsidR="007E6FC1" w:rsidRPr="00697B6D" w14:paraId="5B1C7A47"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B99CA7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5FA5DF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70F412C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E80C5F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0D3769C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21E1B0F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A4FAE8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0DE6677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379512</w:t>
            </w:r>
          </w:p>
        </w:tc>
      </w:tr>
      <w:tr w:rsidR="007E6FC1" w:rsidRPr="00697B6D" w14:paraId="5E1A120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E8BD02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4BD6A9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71B0126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0ABDEB0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32EF4D6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217A4A8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B8A078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SUPERNUMERARIO</w:t>
            </w:r>
          </w:p>
        </w:tc>
        <w:tc>
          <w:tcPr>
            <w:tcW w:w="761" w:type="dxa"/>
            <w:tcBorders>
              <w:top w:val="nil"/>
              <w:left w:val="nil"/>
              <w:bottom w:val="single" w:sz="4" w:space="0" w:color="auto"/>
              <w:right w:val="single" w:sz="4" w:space="0" w:color="auto"/>
            </w:tcBorders>
            <w:shd w:val="clear" w:color="auto" w:fill="auto"/>
            <w:noWrap/>
            <w:vAlign w:val="center"/>
            <w:hideMark/>
          </w:tcPr>
          <w:p w14:paraId="294F311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350174</w:t>
            </w:r>
          </w:p>
        </w:tc>
      </w:tr>
      <w:tr w:rsidR="007E6FC1" w:rsidRPr="00697B6D" w14:paraId="53DE9657"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9332B0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B068F2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35AD817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5C4C669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7A0920D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4B3EFFA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AE362A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104C22C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378756</w:t>
            </w:r>
          </w:p>
        </w:tc>
      </w:tr>
      <w:tr w:rsidR="007E6FC1" w:rsidRPr="00697B6D" w14:paraId="1788F9E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D3A58F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27452B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23957BB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1324-CACMFJ-P04</w:t>
            </w:r>
          </w:p>
        </w:tc>
        <w:tc>
          <w:tcPr>
            <w:tcW w:w="2127" w:type="dxa"/>
            <w:vMerge w:val="restart"/>
            <w:tcBorders>
              <w:top w:val="nil"/>
              <w:left w:val="nil"/>
              <w:right w:val="single" w:sz="4" w:space="0" w:color="auto"/>
            </w:tcBorders>
            <w:shd w:val="clear" w:color="auto" w:fill="auto"/>
            <w:noWrap/>
            <w:vAlign w:val="center"/>
            <w:hideMark/>
          </w:tcPr>
          <w:p w14:paraId="60203287" w14:textId="77777777" w:rsidR="003C245A" w:rsidRDefault="003C245A" w:rsidP="001340AD">
            <w:pPr>
              <w:spacing w:after="0" w:line="240" w:lineRule="auto"/>
              <w:jc w:val="center"/>
              <w:rPr>
                <w:rFonts w:ascii="Book Antiqua" w:eastAsia="Times New Roman" w:hAnsi="Book Antiqua" w:cs="Calibri"/>
                <w:color w:val="000000"/>
                <w:sz w:val="14"/>
                <w:szCs w:val="14"/>
                <w:lang w:eastAsia="es-CR"/>
              </w:rPr>
            </w:pPr>
          </w:p>
          <w:p w14:paraId="38B8CBEA" w14:textId="313883AC" w:rsidR="001340A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Planes de Descongestionamiento para la materia Notarial</w:t>
            </w:r>
          </w:p>
          <w:p w14:paraId="2473AA13"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04505B1F" w14:textId="77777777" w:rsidR="001340AD" w:rsidRDefault="001340AD" w:rsidP="001340AD">
            <w:pPr>
              <w:spacing w:after="0" w:line="240" w:lineRule="auto"/>
              <w:jc w:val="center"/>
              <w:rPr>
                <w:rFonts w:ascii="Book Antiqua" w:eastAsia="Times New Roman" w:hAnsi="Book Antiqua" w:cs="Calibri"/>
                <w:color w:val="000000"/>
                <w:sz w:val="14"/>
                <w:szCs w:val="14"/>
                <w:lang w:eastAsia="es-CR"/>
              </w:rPr>
            </w:pPr>
          </w:p>
          <w:p w14:paraId="19C45AE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val="restart"/>
            <w:tcBorders>
              <w:top w:val="nil"/>
              <w:left w:val="nil"/>
              <w:right w:val="single" w:sz="4" w:space="0" w:color="auto"/>
            </w:tcBorders>
            <w:shd w:val="clear" w:color="auto" w:fill="auto"/>
            <w:noWrap/>
            <w:vAlign w:val="center"/>
            <w:hideMark/>
          </w:tcPr>
          <w:p w14:paraId="1CE1057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7F9ACDF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0DC579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501A2EF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47565</w:t>
            </w:r>
          </w:p>
        </w:tc>
      </w:tr>
      <w:tr w:rsidR="007E6FC1" w:rsidRPr="00697B6D" w14:paraId="1C1CE488"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CE8A90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4AA3B2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11AC228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13B498D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1257374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6EFB4B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4F3E2B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3B4D35F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111235</w:t>
            </w:r>
          </w:p>
        </w:tc>
      </w:tr>
      <w:tr w:rsidR="007E6FC1" w:rsidRPr="00697B6D" w14:paraId="72CB095E"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B78030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6192AA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6E859C2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1324-CACMFJ-P07</w:t>
            </w:r>
          </w:p>
        </w:tc>
        <w:tc>
          <w:tcPr>
            <w:tcW w:w="2127" w:type="dxa"/>
            <w:vMerge w:val="restart"/>
            <w:tcBorders>
              <w:top w:val="nil"/>
              <w:left w:val="nil"/>
              <w:right w:val="single" w:sz="4" w:space="0" w:color="auto"/>
            </w:tcBorders>
            <w:shd w:val="clear" w:color="auto" w:fill="auto"/>
            <w:noWrap/>
            <w:vAlign w:val="center"/>
            <w:hideMark/>
          </w:tcPr>
          <w:p w14:paraId="16C4AEC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 de Atención de los asuntos de ejecución de trámite del circulante del Área Ejecución del Tribunal Contencioso</w:t>
            </w:r>
          </w:p>
        </w:tc>
        <w:tc>
          <w:tcPr>
            <w:tcW w:w="1034" w:type="dxa"/>
            <w:vMerge w:val="restart"/>
            <w:tcBorders>
              <w:top w:val="nil"/>
              <w:left w:val="nil"/>
              <w:right w:val="single" w:sz="4" w:space="0" w:color="auto"/>
            </w:tcBorders>
            <w:shd w:val="clear" w:color="auto" w:fill="auto"/>
            <w:noWrap/>
            <w:vAlign w:val="center"/>
            <w:hideMark/>
          </w:tcPr>
          <w:p w14:paraId="1271F91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396C9C7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6BAC61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164F145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43778</w:t>
            </w:r>
          </w:p>
        </w:tc>
      </w:tr>
      <w:tr w:rsidR="007E6FC1" w:rsidRPr="00697B6D" w14:paraId="3D321257" w14:textId="77777777" w:rsidTr="003C245A">
        <w:trPr>
          <w:trHeight w:val="290"/>
        </w:trPr>
        <w:tc>
          <w:tcPr>
            <w:tcW w:w="1613" w:type="dxa"/>
            <w:vMerge/>
            <w:tcBorders>
              <w:left w:val="single" w:sz="4" w:space="0" w:color="auto"/>
              <w:bottom w:val="single" w:sz="4" w:space="0" w:color="auto"/>
              <w:right w:val="single" w:sz="4" w:space="0" w:color="auto"/>
            </w:tcBorders>
            <w:shd w:val="clear" w:color="auto" w:fill="auto"/>
            <w:noWrap/>
            <w:vAlign w:val="center"/>
          </w:tcPr>
          <w:p w14:paraId="72333FD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bottom w:val="single" w:sz="4" w:space="0" w:color="auto"/>
              <w:right w:val="single" w:sz="4" w:space="0" w:color="auto"/>
            </w:tcBorders>
            <w:shd w:val="clear" w:color="auto" w:fill="auto"/>
            <w:noWrap/>
            <w:vAlign w:val="center"/>
          </w:tcPr>
          <w:p w14:paraId="33256CD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3DCCEAB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795639C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7BF4C2A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7DC04F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EB652A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JUDICIAL 3</w:t>
            </w:r>
          </w:p>
        </w:tc>
        <w:tc>
          <w:tcPr>
            <w:tcW w:w="761" w:type="dxa"/>
            <w:tcBorders>
              <w:top w:val="nil"/>
              <w:left w:val="nil"/>
              <w:bottom w:val="single" w:sz="4" w:space="0" w:color="auto"/>
              <w:right w:val="single" w:sz="4" w:space="0" w:color="auto"/>
            </w:tcBorders>
            <w:shd w:val="clear" w:color="auto" w:fill="auto"/>
            <w:noWrap/>
            <w:vAlign w:val="center"/>
            <w:hideMark/>
          </w:tcPr>
          <w:p w14:paraId="438E17C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Pendiente</w:t>
            </w:r>
          </w:p>
        </w:tc>
      </w:tr>
      <w:tr w:rsidR="007E6FC1" w:rsidRPr="00697B6D" w14:paraId="78388B1C" w14:textId="77777777" w:rsidTr="00301740">
        <w:trPr>
          <w:trHeight w:val="290"/>
        </w:trPr>
        <w:tc>
          <w:tcPr>
            <w:tcW w:w="1613" w:type="dxa"/>
            <w:vMerge w:val="restart"/>
            <w:tcBorders>
              <w:top w:val="single" w:sz="4" w:space="0" w:color="auto"/>
              <w:left w:val="single" w:sz="4" w:space="0" w:color="auto"/>
              <w:right w:val="single" w:sz="4" w:space="0" w:color="auto"/>
            </w:tcBorders>
            <w:shd w:val="clear" w:color="auto" w:fill="auto"/>
            <w:noWrap/>
            <w:vAlign w:val="center"/>
          </w:tcPr>
          <w:p w14:paraId="44F67B88"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927 Servicio Jurisdiccional</w:t>
            </w:r>
          </w:p>
        </w:tc>
        <w:tc>
          <w:tcPr>
            <w:tcW w:w="1173" w:type="dxa"/>
            <w:vMerge w:val="restart"/>
            <w:tcBorders>
              <w:top w:val="nil"/>
              <w:left w:val="nil"/>
              <w:right w:val="single" w:sz="4" w:space="0" w:color="auto"/>
            </w:tcBorders>
            <w:shd w:val="clear" w:color="auto" w:fill="auto"/>
            <w:noWrap/>
            <w:vAlign w:val="center"/>
          </w:tcPr>
          <w:p w14:paraId="3EEDE7C6"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Centro de Apoyo, Coordinación y Mejoramiento Función Jurisd</w:t>
            </w:r>
          </w:p>
        </w:tc>
        <w:tc>
          <w:tcPr>
            <w:tcW w:w="1183" w:type="dxa"/>
            <w:vMerge/>
            <w:tcBorders>
              <w:left w:val="nil"/>
              <w:right w:val="single" w:sz="4" w:space="0" w:color="auto"/>
            </w:tcBorders>
            <w:shd w:val="clear" w:color="auto" w:fill="auto"/>
            <w:noWrap/>
            <w:vAlign w:val="center"/>
          </w:tcPr>
          <w:p w14:paraId="47E168D3"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2D7F54F3"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08EAB025"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2E7421F5"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847756B"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JUDICIAL 3</w:t>
            </w:r>
          </w:p>
        </w:tc>
        <w:tc>
          <w:tcPr>
            <w:tcW w:w="761" w:type="dxa"/>
            <w:tcBorders>
              <w:top w:val="nil"/>
              <w:left w:val="nil"/>
              <w:bottom w:val="single" w:sz="4" w:space="0" w:color="auto"/>
              <w:right w:val="single" w:sz="4" w:space="0" w:color="auto"/>
            </w:tcBorders>
            <w:shd w:val="clear" w:color="auto" w:fill="auto"/>
            <w:noWrap/>
            <w:vAlign w:val="center"/>
            <w:hideMark/>
          </w:tcPr>
          <w:p w14:paraId="2870534D"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Pendiente</w:t>
            </w:r>
          </w:p>
        </w:tc>
      </w:tr>
      <w:tr w:rsidR="007E6FC1" w:rsidRPr="00697B6D" w14:paraId="7E5D6422"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C3D9EB8"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2FEC1E6"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12617238"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3F6783C5"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0136E39A"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1C645EA"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E74F9FA"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08A6B43E"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54357</w:t>
            </w:r>
          </w:p>
        </w:tc>
      </w:tr>
      <w:tr w:rsidR="007E6FC1" w:rsidRPr="00697B6D" w14:paraId="7876F59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FD757FC"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35748DE"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26936330"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7F50E98C"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5E1C9A24"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A5241B4"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0AF5C14"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326C1BE5"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100972</w:t>
            </w:r>
          </w:p>
        </w:tc>
      </w:tr>
      <w:tr w:rsidR="007E6FC1" w:rsidRPr="00697B6D" w14:paraId="386AB775"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6B93E36"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B945DAF"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55DAC1AA"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1374-CF-P01</w:t>
            </w:r>
          </w:p>
        </w:tc>
        <w:tc>
          <w:tcPr>
            <w:tcW w:w="2127" w:type="dxa"/>
            <w:vMerge w:val="restart"/>
            <w:tcBorders>
              <w:top w:val="nil"/>
              <w:left w:val="nil"/>
              <w:right w:val="single" w:sz="4" w:space="0" w:color="auto"/>
            </w:tcBorders>
            <w:shd w:val="clear" w:color="auto" w:fill="auto"/>
            <w:noWrap/>
            <w:vAlign w:val="center"/>
            <w:hideMark/>
          </w:tcPr>
          <w:p w14:paraId="44446E59"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Implementación del Código Procesal de Familia</w:t>
            </w:r>
          </w:p>
        </w:tc>
        <w:tc>
          <w:tcPr>
            <w:tcW w:w="1034" w:type="dxa"/>
            <w:vMerge w:val="restart"/>
            <w:tcBorders>
              <w:top w:val="nil"/>
              <w:left w:val="nil"/>
              <w:right w:val="single" w:sz="4" w:space="0" w:color="auto"/>
            </w:tcBorders>
            <w:shd w:val="clear" w:color="auto" w:fill="auto"/>
            <w:noWrap/>
            <w:vAlign w:val="center"/>
            <w:hideMark/>
          </w:tcPr>
          <w:p w14:paraId="104A3323"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09988149"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AA49082"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1 </w:t>
            </w:r>
          </w:p>
        </w:tc>
        <w:tc>
          <w:tcPr>
            <w:tcW w:w="761" w:type="dxa"/>
            <w:tcBorders>
              <w:top w:val="nil"/>
              <w:left w:val="nil"/>
              <w:bottom w:val="single" w:sz="4" w:space="0" w:color="auto"/>
              <w:right w:val="single" w:sz="4" w:space="0" w:color="auto"/>
            </w:tcBorders>
            <w:shd w:val="clear" w:color="auto" w:fill="auto"/>
            <w:noWrap/>
            <w:vAlign w:val="center"/>
            <w:hideMark/>
          </w:tcPr>
          <w:p w14:paraId="56488D89"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44330</w:t>
            </w:r>
          </w:p>
        </w:tc>
      </w:tr>
      <w:tr w:rsidR="007E6FC1" w:rsidRPr="00697B6D" w14:paraId="4CA624E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10CD28D"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3F65D44"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6D64BEDC"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4CFAF0DD"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1F71A56"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FBA3D19"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6C6921D"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1 </w:t>
            </w:r>
          </w:p>
        </w:tc>
        <w:tc>
          <w:tcPr>
            <w:tcW w:w="761" w:type="dxa"/>
            <w:tcBorders>
              <w:top w:val="nil"/>
              <w:left w:val="nil"/>
              <w:bottom w:val="single" w:sz="4" w:space="0" w:color="auto"/>
              <w:right w:val="single" w:sz="4" w:space="0" w:color="auto"/>
            </w:tcBorders>
            <w:shd w:val="clear" w:color="auto" w:fill="auto"/>
            <w:noWrap/>
            <w:vAlign w:val="center"/>
            <w:hideMark/>
          </w:tcPr>
          <w:p w14:paraId="3AE05EEB"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112358</w:t>
            </w:r>
          </w:p>
        </w:tc>
      </w:tr>
      <w:tr w:rsidR="007E6FC1" w:rsidRPr="00697B6D" w14:paraId="6C62760A"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CE383D9"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F45D6F3"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15540E2F"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4B0D5BF"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1F04F4D4"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1C3126D5"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4AB8D9A"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1 </w:t>
            </w:r>
          </w:p>
        </w:tc>
        <w:tc>
          <w:tcPr>
            <w:tcW w:w="761" w:type="dxa"/>
            <w:tcBorders>
              <w:top w:val="nil"/>
              <w:left w:val="nil"/>
              <w:bottom w:val="single" w:sz="4" w:space="0" w:color="auto"/>
              <w:right w:val="single" w:sz="4" w:space="0" w:color="auto"/>
            </w:tcBorders>
            <w:shd w:val="clear" w:color="auto" w:fill="auto"/>
            <w:noWrap/>
            <w:vAlign w:val="center"/>
            <w:hideMark/>
          </w:tcPr>
          <w:p w14:paraId="646406B7"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367916</w:t>
            </w:r>
          </w:p>
        </w:tc>
      </w:tr>
      <w:tr w:rsidR="007E6FC1" w:rsidRPr="00697B6D" w14:paraId="1216DCA7"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8575C7D"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A83EED1"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626DA5BC"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237C0706"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8262FF8"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1C0B1F2D"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1B7D244"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1 </w:t>
            </w:r>
          </w:p>
        </w:tc>
        <w:tc>
          <w:tcPr>
            <w:tcW w:w="761" w:type="dxa"/>
            <w:tcBorders>
              <w:top w:val="nil"/>
              <w:left w:val="nil"/>
              <w:bottom w:val="single" w:sz="4" w:space="0" w:color="auto"/>
              <w:right w:val="single" w:sz="4" w:space="0" w:color="auto"/>
            </w:tcBorders>
            <w:shd w:val="clear" w:color="auto" w:fill="auto"/>
            <w:noWrap/>
            <w:vAlign w:val="center"/>
            <w:hideMark/>
          </w:tcPr>
          <w:p w14:paraId="340A8180"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372550</w:t>
            </w:r>
          </w:p>
        </w:tc>
      </w:tr>
      <w:tr w:rsidR="007E6FC1" w:rsidRPr="00697B6D" w14:paraId="16DC511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21B9B48"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820DDDE"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2FEC56C8"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18C9F4ED"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16C5D967"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F320BD3"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DFC7B76"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5A194797"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43877</w:t>
            </w:r>
          </w:p>
        </w:tc>
      </w:tr>
      <w:tr w:rsidR="007E6FC1" w:rsidRPr="00697B6D" w14:paraId="51B58BD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D1F7BAE"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BD88F03"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1DF346E6"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18F3B31C"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82AEC92"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1C28E1C"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FD27F52"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696B3AA4"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48520</w:t>
            </w:r>
          </w:p>
        </w:tc>
      </w:tr>
      <w:tr w:rsidR="007E6FC1" w:rsidRPr="00697B6D" w14:paraId="74C4AAD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CC32813"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5E540BD"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66F15259"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2F1094E"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03FEE189"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41F0355"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4CFC76C"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02223129"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96497</w:t>
            </w:r>
          </w:p>
        </w:tc>
      </w:tr>
      <w:tr w:rsidR="007E6FC1" w:rsidRPr="00697B6D" w14:paraId="0736AEE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7DAD5BF"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146D07C"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74B9058D"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7916F0A0"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001A1474"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38F5008"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BFDE4A1"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4638AC4C"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57058</w:t>
            </w:r>
          </w:p>
        </w:tc>
      </w:tr>
      <w:tr w:rsidR="007E6FC1" w:rsidRPr="00697B6D" w14:paraId="09FD69C0"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7E164A8"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CDF6176"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20AAE34E"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6DEEF7E"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41968B8A"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47741402"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B3079A0"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1DB6D45B"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57060</w:t>
            </w:r>
          </w:p>
        </w:tc>
      </w:tr>
      <w:tr w:rsidR="007E6FC1" w:rsidRPr="00697B6D" w14:paraId="37830614"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9CE9130"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4A4BF3E"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1F49A171"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66C31F73"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69A6FD8"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4DC18EFB"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5970109"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5D0F858B"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60190</w:t>
            </w:r>
          </w:p>
        </w:tc>
      </w:tr>
      <w:tr w:rsidR="007E6FC1" w:rsidRPr="00697B6D" w14:paraId="4B2DB432"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88D0C47"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61CBF8F"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67ED9A87"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214E151F"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4B8D0533"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C0D658B"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8FD748B"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1E6CB378"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85732</w:t>
            </w:r>
          </w:p>
        </w:tc>
      </w:tr>
      <w:tr w:rsidR="007E6FC1" w:rsidRPr="00697B6D" w14:paraId="6959F394"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366C572"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8B173BE"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1AB204E3"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3A72292B"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48A23302"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118BAC25"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657C7CE"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609904CC"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96525</w:t>
            </w:r>
          </w:p>
        </w:tc>
      </w:tr>
      <w:tr w:rsidR="007E6FC1" w:rsidRPr="00697B6D" w14:paraId="6640F220"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AE25D11"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9192906"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75478878"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44B53C3"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8D93688"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00DDF50"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F3CED15"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3F60238F"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96563</w:t>
            </w:r>
          </w:p>
        </w:tc>
      </w:tr>
      <w:tr w:rsidR="007E6FC1" w:rsidRPr="00697B6D" w14:paraId="0B36B11E"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49592E9"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931D3F4"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679D1347"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0FF96A41"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E6E02D2"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D6F2FDF"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D8C41F8"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08CBBDA2"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96619</w:t>
            </w:r>
          </w:p>
        </w:tc>
      </w:tr>
      <w:tr w:rsidR="007E6FC1" w:rsidRPr="00697B6D" w14:paraId="1CF58C9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C358764"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C97E9B6"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2AEDB18D"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7BC13E2B"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3F7AF08E"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A6B5804"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31C88E4"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68BC5AD5"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57089</w:t>
            </w:r>
          </w:p>
        </w:tc>
      </w:tr>
      <w:tr w:rsidR="007E6FC1" w:rsidRPr="00697B6D" w14:paraId="7DDD6E82"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31EAC29"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ABF62AF"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3B39997C"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2BC1EF95"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4A10F02F"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6DB18BD"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E50C016"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1AE5D307"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350155</w:t>
            </w:r>
          </w:p>
        </w:tc>
      </w:tr>
      <w:tr w:rsidR="007E6FC1" w:rsidRPr="00697B6D" w14:paraId="7E5C933E"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2E56F8F"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6F57E05"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32F03AB8"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45096176"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13ECC3B0"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D1BE5EA"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2503DF1"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4B650ACF"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19699</w:t>
            </w:r>
          </w:p>
        </w:tc>
      </w:tr>
      <w:tr w:rsidR="007E6FC1" w:rsidRPr="00697B6D" w14:paraId="2F880B02"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089AEE1"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D06C33A"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77C91F1"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0F7866B"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42EC95BB"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938FF21"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AA04072"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20D53CBE"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367887</w:t>
            </w:r>
          </w:p>
        </w:tc>
      </w:tr>
      <w:tr w:rsidR="007E6FC1" w:rsidRPr="00697B6D" w14:paraId="2F6F771F"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11B183B"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77D545E"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7E1A782E"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8817B57"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7A65918B"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258D72A4"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E73BBD8"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78FA2522"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47439</w:t>
            </w:r>
          </w:p>
        </w:tc>
      </w:tr>
      <w:tr w:rsidR="007E6FC1" w:rsidRPr="00697B6D" w14:paraId="660137D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239BE25"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C408222"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31CD3363"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2839190F"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318321DA"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EB67407"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88DDD21"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SUPERNUMERARIO </w:t>
            </w:r>
          </w:p>
        </w:tc>
        <w:tc>
          <w:tcPr>
            <w:tcW w:w="761" w:type="dxa"/>
            <w:tcBorders>
              <w:top w:val="nil"/>
              <w:left w:val="nil"/>
              <w:bottom w:val="single" w:sz="4" w:space="0" w:color="auto"/>
              <w:right w:val="single" w:sz="4" w:space="0" w:color="auto"/>
            </w:tcBorders>
            <w:shd w:val="clear" w:color="auto" w:fill="auto"/>
            <w:noWrap/>
            <w:vAlign w:val="center"/>
            <w:hideMark/>
          </w:tcPr>
          <w:p w14:paraId="4568F163"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367914</w:t>
            </w:r>
          </w:p>
        </w:tc>
      </w:tr>
      <w:tr w:rsidR="007E6FC1" w:rsidRPr="00697B6D" w14:paraId="4DF39A5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7C8C50B"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C3C13D5"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37D1AE3E"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02164E87"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2CCF47E4"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2705CE2C"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4C33E62"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SUPERNUMERARIO </w:t>
            </w:r>
          </w:p>
        </w:tc>
        <w:tc>
          <w:tcPr>
            <w:tcW w:w="761" w:type="dxa"/>
            <w:tcBorders>
              <w:top w:val="nil"/>
              <w:left w:val="nil"/>
              <w:bottom w:val="single" w:sz="4" w:space="0" w:color="auto"/>
              <w:right w:val="single" w:sz="4" w:space="0" w:color="auto"/>
            </w:tcBorders>
            <w:shd w:val="clear" w:color="auto" w:fill="auto"/>
            <w:noWrap/>
            <w:vAlign w:val="center"/>
            <w:hideMark/>
          </w:tcPr>
          <w:p w14:paraId="713D0B9E"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377268</w:t>
            </w:r>
          </w:p>
        </w:tc>
      </w:tr>
      <w:tr w:rsidR="007E6FC1" w:rsidRPr="00697B6D" w14:paraId="7F910DAA"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5740140"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E60B657"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7F3FE305"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0F53897"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A88E9C5"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217D2081"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854CAF4"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JUDICIAL 2</w:t>
            </w:r>
          </w:p>
        </w:tc>
        <w:tc>
          <w:tcPr>
            <w:tcW w:w="761" w:type="dxa"/>
            <w:tcBorders>
              <w:top w:val="nil"/>
              <w:left w:val="nil"/>
              <w:bottom w:val="single" w:sz="4" w:space="0" w:color="auto"/>
              <w:right w:val="single" w:sz="4" w:space="0" w:color="auto"/>
            </w:tcBorders>
            <w:shd w:val="clear" w:color="auto" w:fill="auto"/>
            <w:noWrap/>
            <w:vAlign w:val="center"/>
            <w:hideMark/>
          </w:tcPr>
          <w:p w14:paraId="47FAE787"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372021</w:t>
            </w:r>
          </w:p>
        </w:tc>
      </w:tr>
      <w:tr w:rsidR="007E6FC1" w:rsidRPr="00697B6D" w14:paraId="2E8041BF"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AC63AF9"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1D16B5A"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7A103023"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5A13A3C0"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3E7DF276"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0CB806C"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A0A63C3"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JUDICIAL 3</w:t>
            </w:r>
          </w:p>
        </w:tc>
        <w:tc>
          <w:tcPr>
            <w:tcW w:w="761" w:type="dxa"/>
            <w:tcBorders>
              <w:top w:val="nil"/>
              <w:left w:val="nil"/>
              <w:bottom w:val="single" w:sz="4" w:space="0" w:color="auto"/>
              <w:right w:val="single" w:sz="4" w:space="0" w:color="auto"/>
            </w:tcBorders>
            <w:shd w:val="clear" w:color="auto" w:fill="auto"/>
            <w:noWrap/>
            <w:vAlign w:val="center"/>
            <w:hideMark/>
          </w:tcPr>
          <w:p w14:paraId="1BA1EFFB"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365702</w:t>
            </w:r>
          </w:p>
        </w:tc>
      </w:tr>
      <w:tr w:rsidR="007E6FC1" w:rsidRPr="00697B6D" w14:paraId="38E5259F"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966F825"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E4A64AA"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1704BF51"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4000-CA-P01</w:t>
            </w:r>
          </w:p>
        </w:tc>
        <w:tc>
          <w:tcPr>
            <w:tcW w:w="2127" w:type="dxa"/>
            <w:vMerge w:val="restart"/>
            <w:tcBorders>
              <w:top w:val="nil"/>
              <w:left w:val="nil"/>
              <w:right w:val="single" w:sz="4" w:space="0" w:color="auto"/>
            </w:tcBorders>
            <w:shd w:val="clear" w:color="auto" w:fill="auto"/>
            <w:noWrap/>
            <w:vAlign w:val="center"/>
            <w:hideMark/>
          </w:tcPr>
          <w:p w14:paraId="2C2C3149"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Implementación del Código Procesal Agrario (Comisión Agraria)</w:t>
            </w:r>
          </w:p>
        </w:tc>
        <w:tc>
          <w:tcPr>
            <w:tcW w:w="1034" w:type="dxa"/>
            <w:vMerge w:val="restart"/>
            <w:tcBorders>
              <w:top w:val="nil"/>
              <w:left w:val="nil"/>
              <w:right w:val="single" w:sz="4" w:space="0" w:color="auto"/>
            </w:tcBorders>
            <w:shd w:val="clear" w:color="auto" w:fill="auto"/>
            <w:noWrap/>
            <w:vAlign w:val="center"/>
            <w:hideMark/>
          </w:tcPr>
          <w:p w14:paraId="366B9377"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5804FCD1"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263CDCB"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59DAC5DA"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369942</w:t>
            </w:r>
          </w:p>
        </w:tc>
      </w:tr>
      <w:tr w:rsidR="007E6FC1" w:rsidRPr="00697B6D" w14:paraId="17C891F5"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9E10E0B"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bottom w:val="single" w:sz="4" w:space="0" w:color="auto"/>
              <w:right w:val="single" w:sz="4" w:space="0" w:color="auto"/>
            </w:tcBorders>
            <w:shd w:val="clear" w:color="auto" w:fill="auto"/>
            <w:noWrap/>
            <w:vAlign w:val="center"/>
          </w:tcPr>
          <w:p w14:paraId="59E48832"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2F49DBF4"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3F87E7CC"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5BD453E0"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BA29F40"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8C44327"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0C50EE09"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102204</w:t>
            </w:r>
          </w:p>
        </w:tc>
      </w:tr>
      <w:tr w:rsidR="00BC00B3" w:rsidRPr="00697B6D" w14:paraId="7C67B87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49430CF" w14:textId="3920A8BB"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tcBorders>
              <w:top w:val="nil"/>
              <w:left w:val="nil"/>
              <w:bottom w:val="single" w:sz="4" w:space="0" w:color="auto"/>
              <w:right w:val="single" w:sz="4" w:space="0" w:color="auto"/>
            </w:tcBorders>
            <w:shd w:val="clear" w:color="auto" w:fill="auto"/>
            <w:noWrap/>
            <w:vAlign w:val="center"/>
            <w:hideMark/>
          </w:tcPr>
          <w:p w14:paraId="44212FA5"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Comisiones Institucionales</w:t>
            </w:r>
          </w:p>
        </w:tc>
        <w:tc>
          <w:tcPr>
            <w:tcW w:w="1183" w:type="dxa"/>
            <w:tcBorders>
              <w:top w:val="nil"/>
              <w:left w:val="nil"/>
              <w:bottom w:val="single" w:sz="4" w:space="0" w:color="auto"/>
              <w:right w:val="single" w:sz="4" w:space="0" w:color="auto"/>
            </w:tcBorders>
            <w:shd w:val="clear" w:color="auto" w:fill="auto"/>
            <w:noWrap/>
            <w:vAlign w:val="center"/>
            <w:hideMark/>
          </w:tcPr>
          <w:p w14:paraId="482D9A7E"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1371-CGAI-P01</w:t>
            </w:r>
          </w:p>
        </w:tc>
        <w:tc>
          <w:tcPr>
            <w:tcW w:w="2127" w:type="dxa"/>
            <w:tcBorders>
              <w:top w:val="nil"/>
              <w:left w:val="nil"/>
              <w:bottom w:val="single" w:sz="4" w:space="0" w:color="auto"/>
              <w:right w:val="single" w:sz="4" w:space="0" w:color="auto"/>
            </w:tcBorders>
            <w:shd w:val="clear" w:color="auto" w:fill="auto"/>
            <w:noWrap/>
            <w:vAlign w:val="center"/>
            <w:hideMark/>
          </w:tcPr>
          <w:p w14:paraId="188CAD8A"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Política Ambiental Institucional</w:t>
            </w:r>
          </w:p>
        </w:tc>
        <w:tc>
          <w:tcPr>
            <w:tcW w:w="1034" w:type="dxa"/>
            <w:tcBorders>
              <w:top w:val="nil"/>
              <w:left w:val="nil"/>
              <w:bottom w:val="single" w:sz="4" w:space="0" w:color="auto"/>
              <w:right w:val="single" w:sz="4" w:space="0" w:color="auto"/>
            </w:tcBorders>
            <w:shd w:val="clear" w:color="auto" w:fill="auto"/>
            <w:noWrap/>
            <w:vAlign w:val="center"/>
            <w:hideMark/>
          </w:tcPr>
          <w:p w14:paraId="67EA51D6"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23525C41"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9A9F777"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4 </w:t>
            </w:r>
          </w:p>
        </w:tc>
        <w:tc>
          <w:tcPr>
            <w:tcW w:w="761" w:type="dxa"/>
            <w:tcBorders>
              <w:top w:val="nil"/>
              <w:left w:val="nil"/>
              <w:bottom w:val="single" w:sz="4" w:space="0" w:color="auto"/>
              <w:right w:val="single" w:sz="4" w:space="0" w:color="auto"/>
            </w:tcBorders>
            <w:shd w:val="clear" w:color="auto" w:fill="auto"/>
            <w:noWrap/>
            <w:vAlign w:val="center"/>
            <w:hideMark/>
          </w:tcPr>
          <w:p w14:paraId="78875F80"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102139</w:t>
            </w:r>
          </w:p>
        </w:tc>
      </w:tr>
      <w:tr w:rsidR="00BC00B3" w:rsidRPr="00697B6D" w14:paraId="7AB16F12"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21BCC80"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val="restart"/>
            <w:tcBorders>
              <w:top w:val="nil"/>
              <w:left w:val="nil"/>
              <w:right w:val="single" w:sz="4" w:space="0" w:color="auto"/>
            </w:tcBorders>
            <w:shd w:val="clear" w:color="auto" w:fill="auto"/>
            <w:noWrap/>
            <w:vAlign w:val="center"/>
            <w:hideMark/>
          </w:tcPr>
          <w:p w14:paraId="6F81114E"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Dirección de Tecnología de Información y Comunicaciones</w:t>
            </w:r>
          </w:p>
        </w:tc>
        <w:tc>
          <w:tcPr>
            <w:tcW w:w="1183" w:type="dxa"/>
            <w:vMerge w:val="restart"/>
            <w:tcBorders>
              <w:top w:val="nil"/>
              <w:left w:val="nil"/>
              <w:right w:val="single" w:sz="4" w:space="0" w:color="auto"/>
            </w:tcBorders>
            <w:shd w:val="clear" w:color="auto" w:fill="auto"/>
            <w:noWrap/>
            <w:vAlign w:val="center"/>
            <w:hideMark/>
          </w:tcPr>
          <w:p w14:paraId="4581D020"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0122-DTI-P16</w:t>
            </w:r>
          </w:p>
        </w:tc>
        <w:tc>
          <w:tcPr>
            <w:tcW w:w="2127" w:type="dxa"/>
            <w:vMerge w:val="restart"/>
            <w:tcBorders>
              <w:top w:val="nil"/>
              <w:left w:val="nil"/>
              <w:right w:val="single" w:sz="4" w:space="0" w:color="auto"/>
            </w:tcBorders>
            <w:shd w:val="clear" w:color="auto" w:fill="auto"/>
            <w:noWrap/>
            <w:vAlign w:val="center"/>
            <w:hideMark/>
          </w:tcPr>
          <w:p w14:paraId="201A3FF5"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Implantación del Nuevo Sistema de Gestión</w:t>
            </w:r>
          </w:p>
        </w:tc>
        <w:tc>
          <w:tcPr>
            <w:tcW w:w="1034" w:type="dxa"/>
            <w:vMerge w:val="restart"/>
            <w:tcBorders>
              <w:top w:val="nil"/>
              <w:left w:val="nil"/>
              <w:right w:val="single" w:sz="4" w:space="0" w:color="auto"/>
            </w:tcBorders>
            <w:shd w:val="clear" w:color="auto" w:fill="auto"/>
            <w:noWrap/>
            <w:vAlign w:val="center"/>
            <w:hideMark/>
          </w:tcPr>
          <w:p w14:paraId="2A1455CC"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692C4B00"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3461B4F"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JUDICIAL 1</w:t>
            </w:r>
          </w:p>
        </w:tc>
        <w:tc>
          <w:tcPr>
            <w:tcW w:w="761" w:type="dxa"/>
            <w:tcBorders>
              <w:top w:val="nil"/>
              <w:left w:val="nil"/>
              <w:bottom w:val="single" w:sz="4" w:space="0" w:color="auto"/>
              <w:right w:val="single" w:sz="4" w:space="0" w:color="auto"/>
            </w:tcBorders>
            <w:shd w:val="clear" w:color="auto" w:fill="auto"/>
            <w:noWrap/>
            <w:vAlign w:val="center"/>
            <w:hideMark/>
          </w:tcPr>
          <w:p w14:paraId="13929D83"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44552</w:t>
            </w:r>
          </w:p>
        </w:tc>
      </w:tr>
      <w:tr w:rsidR="007E6FC1" w:rsidRPr="00697B6D" w14:paraId="5E0457D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3FF067F"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9A8DA7A"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DD257D6"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980543A"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2B2C2AB6"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586F4256"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F50BC40"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JUDICIAL 2</w:t>
            </w:r>
          </w:p>
        </w:tc>
        <w:tc>
          <w:tcPr>
            <w:tcW w:w="761" w:type="dxa"/>
            <w:tcBorders>
              <w:top w:val="nil"/>
              <w:left w:val="nil"/>
              <w:bottom w:val="single" w:sz="4" w:space="0" w:color="auto"/>
              <w:right w:val="single" w:sz="4" w:space="0" w:color="auto"/>
            </w:tcBorders>
            <w:shd w:val="clear" w:color="auto" w:fill="auto"/>
            <w:noWrap/>
            <w:vAlign w:val="center"/>
            <w:hideMark/>
          </w:tcPr>
          <w:p w14:paraId="1752C961"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108626</w:t>
            </w:r>
          </w:p>
        </w:tc>
      </w:tr>
      <w:tr w:rsidR="007E6FC1" w:rsidRPr="00697B6D" w14:paraId="199B9698"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7A9D500"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95D464D"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0A5EE7FE"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75F6C407"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16CB28B2"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AE4FABA"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D735EAE"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JUDICIAL 1</w:t>
            </w:r>
          </w:p>
        </w:tc>
        <w:tc>
          <w:tcPr>
            <w:tcW w:w="761" w:type="dxa"/>
            <w:tcBorders>
              <w:top w:val="nil"/>
              <w:left w:val="nil"/>
              <w:bottom w:val="single" w:sz="4" w:space="0" w:color="auto"/>
              <w:right w:val="single" w:sz="4" w:space="0" w:color="auto"/>
            </w:tcBorders>
            <w:shd w:val="clear" w:color="auto" w:fill="auto"/>
            <w:noWrap/>
            <w:vAlign w:val="center"/>
            <w:hideMark/>
          </w:tcPr>
          <w:p w14:paraId="1E03FA07"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369881</w:t>
            </w:r>
          </w:p>
        </w:tc>
      </w:tr>
      <w:tr w:rsidR="007E6FC1" w:rsidRPr="00697B6D" w14:paraId="6CB7A4F9"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0ECF39B"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bottom w:val="single" w:sz="4" w:space="0" w:color="auto"/>
              <w:right w:val="single" w:sz="4" w:space="0" w:color="auto"/>
            </w:tcBorders>
            <w:shd w:val="clear" w:color="auto" w:fill="auto"/>
            <w:noWrap/>
            <w:vAlign w:val="center"/>
            <w:hideMark/>
          </w:tcPr>
          <w:p w14:paraId="1D4A1F22"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3F991A11"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0122-DTI-P18</w:t>
            </w:r>
          </w:p>
        </w:tc>
        <w:tc>
          <w:tcPr>
            <w:tcW w:w="2127" w:type="dxa"/>
            <w:tcBorders>
              <w:top w:val="nil"/>
              <w:left w:val="nil"/>
              <w:bottom w:val="single" w:sz="4" w:space="0" w:color="auto"/>
              <w:right w:val="single" w:sz="4" w:space="0" w:color="auto"/>
            </w:tcBorders>
            <w:shd w:val="clear" w:color="auto" w:fill="auto"/>
            <w:noWrap/>
            <w:vAlign w:val="center"/>
            <w:hideMark/>
          </w:tcPr>
          <w:p w14:paraId="6F89E4CA"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 para la atención y gestión de los Servicios Tecnológicos del Poder Judicial</w:t>
            </w:r>
          </w:p>
        </w:tc>
        <w:tc>
          <w:tcPr>
            <w:tcW w:w="1034" w:type="dxa"/>
            <w:tcBorders>
              <w:top w:val="nil"/>
              <w:left w:val="nil"/>
              <w:bottom w:val="single" w:sz="4" w:space="0" w:color="auto"/>
              <w:right w:val="single" w:sz="4" w:space="0" w:color="auto"/>
            </w:tcBorders>
            <w:shd w:val="clear" w:color="auto" w:fill="auto"/>
            <w:noWrap/>
            <w:vAlign w:val="center"/>
            <w:hideMark/>
          </w:tcPr>
          <w:p w14:paraId="181AFD0A"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5E6A3296"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B23890C"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SUPERNUMERARIO</w:t>
            </w:r>
          </w:p>
        </w:tc>
        <w:tc>
          <w:tcPr>
            <w:tcW w:w="761" w:type="dxa"/>
            <w:tcBorders>
              <w:top w:val="nil"/>
              <w:left w:val="nil"/>
              <w:bottom w:val="single" w:sz="4" w:space="0" w:color="auto"/>
              <w:right w:val="single" w:sz="4" w:space="0" w:color="auto"/>
            </w:tcBorders>
            <w:shd w:val="clear" w:color="auto" w:fill="auto"/>
            <w:noWrap/>
            <w:vAlign w:val="center"/>
            <w:hideMark/>
          </w:tcPr>
          <w:p w14:paraId="0D4D6210"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103719</w:t>
            </w:r>
          </w:p>
        </w:tc>
      </w:tr>
      <w:tr w:rsidR="00BC00B3" w:rsidRPr="00697B6D" w14:paraId="0604EDEF"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C40E841"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tcBorders>
              <w:top w:val="nil"/>
              <w:left w:val="nil"/>
              <w:bottom w:val="single" w:sz="4" w:space="0" w:color="auto"/>
              <w:right w:val="single" w:sz="4" w:space="0" w:color="auto"/>
            </w:tcBorders>
            <w:shd w:val="clear" w:color="auto" w:fill="auto"/>
            <w:noWrap/>
            <w:vAlign w:val="center"/>
            <w:hideMark/>
          </w:tcPr>
          <w:p w14:paraId="411AF2EF"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Dirección Ejecutiva</w:t>
            </w:r>
          </w:p>
        </w:tc>
        <w:tc>
          <w:tcPr>
            <w:tcW w:w="1183" w:type="dxa"/>
            <w:tcBorders>
              <w:top w:val="nil"/>
              <w:left w:val="nil"/>
              <w:bottom w:val="single" w:sz="4" w:space="0" w:color="auto"/>
              <w:right w:val="single" w:sz="4" w:space="0" w:color="auto"/>
            </w:tcBorders>
            <w:shd w:val="clear" w:color="auto" w:fill="auto"/>
            <w:noWrap/>
            <w:vAlign w:val="center"/>
            <w:hideMark/>
          </w:tcPr>
          <w:p w14:paraId="41E69530"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0117-DE-P30</w:t>
            </w:r>
          </w:p>
        </w:tc>
        <w:tc>
          <w:tcPr>
            <w:tcW w:w="2127" w:type="dxa"/>
            <w:tcBorders>
              <w:top w:val="nil"/>
              <w:left w:val="nil"/>
              <w:bottom w:val="single" w:sz="4" w:space="0" w:color="auto"/>
              <w:right w:val="single" w:sz="4" w:space="0" w:color="auto"/>
            </w:tcBorders>
            <w:shd w:val="clear" w:color="auto" w:fill="auto"/>
            <w:noWrap/>
            <w:vAlign w:val="center"/>
            <w:hideMark/>
          </w:tcPr>
          <w:p w14:paraId="45F62E86"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Análisis para Implementación de la versión NICSP 2018 e informe de la CGR</w:t>
            </w:r>
          </w:p>
        </w:tc>
        <w:tc>
          <w:tcPr>
            <w:tcW w:w="1034" w:type="dxa"/>
            <w:tcBorders>
              <w:top w:val="nil"/>
              <w:left w:val="nil"/>
              <w:bottom w:val="single" w:sz="4" w:space="0" w:color="auto"/>
              <w:right w:val="single" w:sz="4" w:space="0" w:color="auto"/>
            </w:tcBorders>
            <w:shd w:val="clear" w:color="auto" w:fill="auto"/>
            <w:noWrap/>
            <w:vAlign w:val="center"/>
            <w:hideMark/>
          </w:tcPr>
          <w:p w14:paraId="1063AD97"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5B072457"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C09F712"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655842BB"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382141</w:t>
            </w:r>
          </w:p>
        </w:tc>
      </w:tr>
      <w:tr w:rsidR="009872F5" w:rsidRPr="00697B6D" w14:paraId="73C4F61C" w14:textId="77777777" w:rsidTr="00301740">
        <w:trPr>
          <w:trHeight w:val="290"/>
        </w:trPr>
        <w:tc>
          <w:tcPr>
            <w:tcW w:w="1613" w:type="dxa"/>
            <w:vMerge/>
            <w:tcBorders>
              <w:left w:val="single" w:sz="4" w:space="0" w:color="auto"/>
              <w:bottom w:val="single" w:sz="4" w:space="0" w:color="auto"/>
              <w:right w:val="single" w:sz="4" w:space="0" w:color="auto"/>
            </w:tcBorders>
            <w:shd w:val="clear" w:color="auto" w:fill="auto"/>
            <w:noWrap/>
            <w:vAlign w:val="center"/>
          </w:tcPr>
          <w:p w14:paraId="06288FD1"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p>
        </w:tc>
        <w:tc>
          <w:tcPr>
            <w:tcW w:w="1173" w:type="dxa"/>
            <w:tcBorders>
              <w:top w:val="nil"/>
              <w:left w:val="nil"/>
              <w:bottom w:val="single" w:sz="4" w:space="0" w:color="auto"/>
              <w:right w:val="single" w:sz="4" w:space="0" w:color="auto"/>
            </w:tcBorders>
            <w:shd w:val="clear" w:color="auto" w:fill="auto"/>
            <w:noWrap/>
            <w:vAlign w:val="center"/>
            <w:hideMark/>
          </w:tcPr>
          <w:p w14:paraId="5D21FBEC"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Dirección Jurídica</w:t>
            </w:r>
          </w:p>
        </w:tc>
        <w:tc>
          <w:tcPr>
            <w:tcW w:w="1183" w:type="dxa"/>
            <w:tcBorders>
              <w:top w:val="nil"/>
              <w:left w:val="nil"/>
              <w:bottom w:val="single" w:sz="4" w:space="0" w:color="auto"/>
              <w:right w:val="single" w:sz="4" w:space="0" w:color="auto"/>
            </w:tcBorders>
            <w:shd w:val="clear" w:color="auto" w:fill="auto"/>
            <w:noWrap/>
            <w:vAlign w:val="center"/>
            <w:hideMark/>
          </w:tcPr>
          <w:p w14:paraId="7BCA7302"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1331-DJ-P03</w:t>
            </w:r>
          </w:p>
        </w:tc>
        <w:tc>
          <w:tcPr>
            <w:tcW w:w="2127" w:type="dxa"/>
            <w:tcBorders>
              <w:top w:val="nil"/>
              <w:left w:val="nil"/>
              <w:bottom w:val="single" w:sz="4" w:space="0" w:color="auto"/>
              <w:right w:val="single" w:sz="4" w:space="0" w:color="auto"/>
            </w:tcBorders>
            <w:shd w:val="clear" w:color="auto" w:fill="auto"/>
            <w:noWrap/>
            <w:vAlign w:val="center"/>
            <w:hideMark/>
          </w:tcPr>
          <w:p w14:paraId="20AB119C"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 de trabajo para la atención de solicitudes de criterios, informes y estudios de los órganos superiores</w:t>
            </w:r>
          </w:p>
        </w:tc>
        <w:tc>
          <w:tcPr>
            <w:tcW w:w="1034" w:type="dxa"/>
            <w:tcBorders>
              <w:top w:val="nil"/>
              <w:left w:val="nil"/>
              <w:bottom w:val="single" w:sz="4" w:space="0" w:color="auto"/>
              <w:right w:val="single" w:sz="4" w:space="0" w:color="auto"/>
            </w:tcBorders>
            <w:shd w:val="clear" w:color="auto" w:fill="auto"/>
            <w:noWrap/>
            <w:vAlign w:val="center"/>
            <w:hideMark/>
          </w:tcPr>
          <w:p w14:paraId="5DCF4724"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73E91621"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002D8F6"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184A41A4" w14:textId="77777777" w:rsidR="003C245A" w:rsidRPr="00697B6D" w:rsidRDefault="003C24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43763</w:t>
            </w:r>
          </w:p>
        </w:tc>
      </w:tr>
      <w:tr w:rsidR="007E6FC1" w:rsidRPr="00697B6D" w14:paraId="1EC4EAC1" w14:textId="77777777" w:rsidTr="00301740">
        <w:trPr>
          <w:trHeight w:val="290"/>
        </w:trPr>
        <w:tc>
          <w:tcPr>
            <w:tcW w:w="1613" w:type="dxa"/>
            <w:vMerge w:val="restart"/>
            <w:tcBorders>
              <w:top w:val="nil"/>
              <w:left w:val="single" w:sz="4" w:space="0" w:color="auto"/>
              <w:right w:val="single" w:sz="4" w:space="0" w:color="auto"/>
            </w:tcBorders>
            <w:shd w:val="clear" w:color="auto" w:fill="auto"/>
            <w:noWrap/>
            <w:vAlign w:val="center"/>
            <w:hideMark/>
          </w:tcPr>
          <w:p w14:paraId="66227F9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927 Servicio Jurisdiccional</w:t>
            </w:r>
          </w:p>
        </w:tc>
        <w:tc>
          <w:tcPr>
            <w:tcW w:w="1173" w:type="dxa"/>
            <w:tcBorders>
              <w:top w:val="nil"/>
              <w:left w:val="nil"/>
              <w:bottom w:val="single" w:sz="4" w:space="0" w:color="auto"/>
              <w:right w:val="single" w:sz="4" w:space="0" w:color="auto"/>
            </w:tcBorders>
            <w:shd w:val="clear" w:color="auto" w:fill="auto"/>
            <w:noWrap/>
            <w:vAlign w:val="center"/>
            <w:hideMark/>
          </w:tcPr>
          <w:p w14:paraId="5485A19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Oficina de Cumplimiento</w:t>
            </w:r>
          </w:p>
        </w:tc>
        <w:tc>
          <w:tcPr>
            <w:tcW w:w="1183" w:type="dxa"/>
            <w:tcBorders>
              <w:top w:val="nil"/>
              <w:left w:val="nil"/>
              <w:bottom w:val="single" w:sz="4" w:space="0" w:color="auto"/>
              <w:right w:val="single" w:sz="4" w:space="0" w:color="auto"/>
            </w:tcBorders>
            <w:shd w:val="clear" w:color="auto" w:fill="auto"/>
            <w:noWrap/>
            <w:vAlign w:val="center"/>
            <w:hideMark/>
          </w:tcPr>
          <w:p w14:paraId="2595009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1846-OC-P03</w:t>
            </w:r>
          </w:p>
        </w:tc>
        <w:tc>
          <w:tcPr>
            <w:tcW w:w="2127" w:type="dxa"/>
            <w:tcBorders>
              <w:top w:val="nil"/>
              <w:left w:val="nil"/>
              <w:bottom w:val="single" w:sz="4" w:space="0" w:color="auto"/>
              <w:right w:val="single" w:sz="4" w:space="0" w:color="auto"/>
            </w:tcBorders>
            <w:shd w:val="clear" w:color="auto" w:fill="auto"/>
            <w:noWrap/>
            <w:vAlign w:val="center"/>
            <w:hideMark/>
          </w:tcPr>
          <w:p w14:paraId="604549F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Implementación y seguimiento de la Política de Integridad y Anticorrupción</w:t>
            </w:r>
          </w:p>
        </w:tc>
        <w:tc>
          <w:tcPr>
            <w:tcW w:w="1034" w:type="dxa"/>
            <w:tcBorders>
              <w:top w:val="nil"/>
              <w:left w:val="nil"/>
              <w:bottom w:val="single" w:sz="4" w:space="0" w:color="auto"/>
              <w:right w:val="single" w:sz="4" w:space="0" w:color="auto"/>
            </w:tcBorders>
            <w:shd w:val="clear" w:color="auto" w:fill="auto"/>
            <w:noWrap/>
            <w:vAlign w:val="center"/>
            <w:hideMark/>
          </w:tcPr>
          <w:p w14:paraId="5D32AA9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7BC86A3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29F41E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DERECHO 3B </w:t>
            </w:r>
          </w:p>
        </w:tc>
        <w:tc>
          <w:tcPr>
            <w:tcW w:w="761" w:type="dxa"/>
            <w:tcBorders>
              <w:top w:val="nil"/>
              <w:left w:val="nil"/>
              <w:bottom w:val="single" w:sz="4" w:space="0" w:color="auto"/>
              <w:right w:val="single" w:sz="4" w:space="0" w:color="auto"/>
            </w:tcBorders>
            <w:shd w:val="clear" w:color="auto" w:fill="auto"/>
            <w:noWrap/>
            <w:vAlign w:val="center"/>
            <w:hideMark/>
          </w:tcPr>
          <w:p w14:paraId="42B116C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382140</w:t>
            </w:r>
          </w:p>
        </w:tc>
      </w:tr>
      <w:tr w:rsidR="00BC00B3" w:rsidRPr="00697B6D" w14:paraId="3A895D8F"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36EA2A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val="restart"/>
            <w:tcBorders>
              <w:top w:val="nil"/>
              <w:left w:val="nil"/>
              <w:right w:val="single" w:sz="4" w:space="0" w:color="auto"/>
            </w:tcBorders>
            <w:shd w:val="clear" w:color="auto" w:fill="auto"/>
            <w:noWrap/>
            <w:vAlign w:val="center"/>
            <w:hideMark/>
          </w:tcPr>
          <w:p w14:paraId="46622DB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Programa Justicia Restaurativa</w:t>
            </w:r>
          </w:p>
        </w:tc>
        <w:tc>
          <w:tcPr>
            <w:tcW w:w="1183" w:type="dxa"/>
            <w:vMerge w:val="restart"/>
            <w:tcBorders>
              <w:top w:val="nil"/>
              <w:left w:val="nil"/>
              <w:right w:val="single" w:sz="4" w:space="0" w:color="auto"/>
            </w:tcBorders>
            <w:shd w:val="clear" w:color="auto" w:fill="auto"/>
            <w:noWrap/>
            <w:vAlign w:val="center"/>
            <w:hideMark/>
          </w:tcPr>
          <w:p w14:paraId="3F80B1E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1377-PJR-P04</w:t>
            </w:r>
          </w:p>
        </w:tc>
        <w:tc>
          <w:tcPr>
            <w:tcW w:w="2127" w:type="dxa"/>
            <w:vMerge w:val="restart"/>
            <w:tcBorders>
              <w:top w:val="nil"/>
              <w:left w:val="nil"/>
              <w:right w:val="single" w:sz="4" w:space="0" w:color="auto"/>
            </w:tcBorders>
            <w:shd w:val="clear" w:color="auto" w:fill="auto"/>
            <w:noWrap/>
            <w:vAlign w:val="center"/>
            <w:hideMark/>
          </w:tcPr>
          <w:p w14:paraId="4735BE6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Proyecto de Apoyo Técnico para la Implementación de Justicia Restaurativa</w:t>
            </w:r>
          </w:p>
        </w:tc>
        <w:tc>
          <w:tcPr>
            <w:tcW w:w="1034" w:type="dxa"/>
            <w:vMerge w:val="restart"/>
            <w:tcBorders>
              <w:top w:val="nil"/>
              <w:left w:val="nil"/>
              <w:right w:val="single" w:sz="4" w:space="0" w:color="auto"/>
            </w:tcBorders>
            <w:shd w:val="clear" w:color="auto" w:fill="auto"/>
            <w:noWrap/>
            <w:vAlign w:val="center"/>
            <w:hideMark/>
          </w:tcPr>
          <w:p w14:paraId="73D5C32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6AAC1A7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781022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JUDICIAL 2</w:t>
            </w:r>
          </w:p>
        </w:tc>
        <w:tc>
          <w:tcPr>
            <w:tcW w:w="761" w:type="dxa"/>
            <w:tcBorders>
              <w:top w:val="nil"/>
              <w:left w:val="nil"/>
              <w:bottom w:val="single" w:sz="4" w:space="0" w:color="auto"/>
              <w:right w:val="single" w:sz="4" w:space="0" w:color="auto"/>
            </w:tcBorders>
            <w:shd w:val="clear" w:color="auto" w:fill="auto"/>
            <w:noWrap/>
            <w:vAlign w:val="center"/>
            <w:hideMark/>
          </w:tcPr>
          <w:p w14:paraId="5B3C7CB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369900</w:t>
            </w:r>
          </w:p>
        </w:tc>
      </w:tr>
      <w:tr w:rsidR="007E6FC1" w:rsidRPr="00697B6D" w14:paraId="57DC060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2D7121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FDCC4D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6378E59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300DB2F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189896E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0E1496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DCA8E9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JUDICIAL 3</w:t>
            </w:r>
          </w:p>
        </w:tc>
        <w:tc>
          <w:tcPr>
            <w:tcW w:w="761" w:type="dxa"/>
            <w:tcBorders>
              <w:top w:val="nil"/>
              <w:left w:val="nil"/>
              <w:bottom w:val="single" w:sz="4" w:space="0" w:color="auto"/>
              <w:right w:val="single" w:sz="4" w:space="0" w:color="auto"/>
            </w:tcBorders>
            <w:shd w:val="clear" w:color="auto" w:fill="auto"/>
            <w:noWrap/>
            <w:vAlign w:val="center"/>
            <w:hideMark/>
          </w:tcPr>
          <w:p w14:paraId="6ECD5FA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367599</w:t>
            </w:r>
          </w:p>
        </w:tc>
      </w:tr>
      <w:tr w:rsidR="007E6FC1" w:rsidRPr="00697B6D" w14:paraId="05CF7080"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EE00B6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421D4C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00ED44F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297A992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5F536C6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1E737A7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F2DCF6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SUPERNUMERARIO</w:t>
            </w:r>
          </w:p>
        </w:tc>
        <w:tc>
          <w:tcPr>
            <w:tcW w:w="761" w:type="dxa"/>
            <w:tcBorders>
              <w:top w:val="nil"/>
              <w:left w:val="nil"/>
              <w:bottom w:val="single" w:sz="4" w:space="0" w:color="auto"/>
              <w:right w:val="single" w:sz="4" w:space="0" w:color="auto"/>
            </w:tcBorders>
            <w:shd w:val="clear" w:color="auto" w:fill="auto"/>
            <w:noWrap/>
            <w:vAlign w:val="center"/>
            <w:hideMark/>
          </w:tcPr>
          <w:p w14:paraId="2B7A16F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60173</w:t>
            </w:r>
          </w:p>
        </w:tc>
      </w:tr>
      <w:tr w:rsidR="007E6FC1" w:rsidRPr="00697B6D" w14:paraId="367713E2"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21B9A8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803A6B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3F20E3B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1377-PJR-P06</w:t>
            </w:r>
          </w:p>
        </w:tc>
        <w:tc>
          <w:tcPr>
            <w:tcW w:w="2127" w:type="dxa"/>
            <w:vMerge w:val="restart"/>
            <w:tcBorders>
              <w:top w:val="nil"/>
              <w:left w:val="nil"/>
              <w:right w:val="single" w:sz="4" w:space="0" w:color="auto"/>
            </w:tcBorders>
            <w:shd w:val="clear" w:color="auto" w:fill="auto"/>
            <w:noWrap/>
            <w:vAlign w:val="center"/>
            <w:hideMark/>
          </w:tcPr>
          <w:p w14:paraId="6BCC339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Programa de Justicia Restaurativa para el bienestar del personal judicial</w:t>
            </w:r>
          </w:p>
        </w:tc>
        <w:tc>
          <w:tcPr>
            <w:tcW w:w="1034" w:type="dxa"/>
            <w:vMerge w:val="restart"/>
            <w:tcBorders>
              <w:top w:val="nil"/>
              <w:left w:val="nil"/>
              <w:right w:val="single" w:sz="4" w:space="0" w:color="auto"/>
            </w:tcBorders>
            <w:shd w:val="clear" w:color="auto" w:fill="auto"/>
            <w:noWrap/>
            <w:vAlign w:val="center"/>
            <w:hideMark/>
          </w:tcPr>
          <w:p w14:paraId="13E4722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3DFC793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9C3298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JUEZ 3 </w:t>
            </w:r>
          </w:p>
        </w:tc>
        <w:tc>
          <w:tcPr>
            <w:tcW w:w="761" w:type="dxa"/>
            <w:tcBorders>
              <w:top w:val="nil"/>
              <w:left w:val="nil"/>
              <w:bottom w:val="single" w:sz="4" w:space="0" w:color="auto"/>
              <w:right w:val="single" w:sz="4" w:space="0" w:color="auto"/>
            </w:tcBorders>
            <w:shd w:val="clear" w:color="auto" w:fill="auto"/>
            <w:noWrap/>
            <w:vAlign w:val="center"/>
            <w:hideMark/>
          </w:tcPr>
          <w:p w14:paraId="6F1C946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57006</w:t>
            </w:r>
          </w:p>
        </w:tc>
      </w:tr>
      <w:tr w:rsidR="007E6FC1" w:rsidRPr="00697B6D" w14:paraId="63DF5FFF"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142895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09C7A7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4E13249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4F6F63E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7F58BE2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A84D11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455317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7356CC0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24375</w:t>
            </w:r>
          </w:p>
        </w:tc>
      </w:tr>
      <w:tr w:rsidR="007E6FC1" w:rsidRPr="00697B6D" w14:paraId="16C230B0"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B729FE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bottom w:val="single" w:sz="4" w:space="0" w:color="auto"/>
              <w:right w:val="single" w:sz="4" w:space="0" w:color="auto"/>
            </w:tcBorders>
            <w:shd w:val="clear" w:color="auto" w:fill="auto"/>
            <w:noWrap/>
            <w:vAlign w:val="center"/>
          </w:tcPr>
          <w:p w14:paraId="476DAB86"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555A138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1377-PJR-P07</w:t>
            </w:r>
          </w:p>
        </w:tc>
        <w:tc>
          <w:tcPr>
            <w:tcW w:w="2127" w:type="dxa"/>
            <w:tcBorders>
              <w:top w:val="nil"/>
              <w:left w:val="nil"/>
              <w:bottom w:val="single" w:sz="4" w:space="0" w:color="auto"/>
              <w:right w:val="single" w:sz="4" w:space="0" w:color="auto"/>
            </w:tcBorders>
            <w:shd w:val="clear" w:color="auto" w:fill="auto"/>
            <w:noWrap/>
            <w:vAlign w:val="center"/>
            <w:hideMark/>
          </w:tcPr>
          <w:p w14:paraId="7BAB6EA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Coordinación de Justicia Restaurativa en fase ejecución y de acciones interinstitucionales e internacionales</w:t>
            </w:r>
          </w:p>
        </w:tc>
        <w:tc>
          <w:tcPr>
            <w:tcW w:w="1034" w:type="dxa"/>
            <w:tcBorders>
              <w:top w:val="nil"/>
              <w:left w:val="nil"/>
              <w:bottom w:val="single" w:sz="4" w:space="0" w:color="auto"/>
              <w:right w:val="single" w:sz="4" w:space="0" w:color="auto"/>
            </w:tcBorders>
            <w:shd w:val="clear" w:color="auto" w:fill="auto"/>
            <w:noWrap/>
            <w:vAlign w:val="center"/>
            <w:hideMark/>
          </w:tcPr>
          <w:p w14:paraId="7AC0728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43F7777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7B008C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PROFESIONAL EN DERECHO 3B</w:t>
            </w:r>
          </w:p>
        </w:tc>
        <w:tc>
          <w:tcPr>
            <w:tcW w:w="761" w:type="dxa"/>
            <w:tcBorders>
              <w:top w:val="nil"/>
              <w:left w:val="nil"/>
              <w:bottom w:val="single" w:sz="4" w:space="0" w:color="auto"/>
              <w:right w:val="single" w:sz="4" w:space="0" w:color="auto"/>
            </w:tcBorders>
            <w:shd w:val="clear" w:color="auto" w:fill="auto"/>
            <w:noWrap/>
            <w:vAlign w:val="center"/>
            <w:hideMark/>
          </w:tcPr>
          <w:p w14:paraId="074C576A"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377373</w:t>
            </w:r>
          </w:p>
        </w:tc>
      </w:tr>
      <w:tr w:rsidR="00BC00B3" w:rsidRPr="00697B6D" w14:paraId="0303653C"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2D285B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val="restart"/>
            <w:tcBorders>
              <w:top w:val="nil"/>
              <w:left w:val="nil"/>
              <w:right w:val="single" w:sz="4" w:space="0" w:color="auto"/>
            </w:tcBorders>
            <w:shd w:val="clear" w:color="auto" w:fill="auto"/>
            <w:noWrap/>
            <w:vAlign w:val="center"/>
            <w:hideMark/>
          </w:tcPr>
          <w:p w14:paraId="5161672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Sala Primera</w:t>
            </w:r>
          </w:p>
        </w:tc>
        <w:tc>
          <w:tcPr>
            <w:tcW w:w="1183" w:type="dxa"/>
            <w:vMerge w:val="restart"/>
            <w:tcBorders>
              <w:top w:val="nil"/>
              <w:left w:val="nil"/>
              <w:right w:val="single" w:sz="4" w:space="0" w:color="auto"/>
            </w:tcBorders>
            <w:shd w:val="clear" w:color="auto" w:fill="auto"/>
            <w:noWrap/>
            <w:vAlign w:val="center"/>
            <w:hideMark/>
          </w:tcPr>
          <w:p w14:paraId="20BFCFB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0004-SP-P02</w:t>
            </w:r>
          </w:p>
        </w:tc>
        <w:tc>
          <w:tcPr>
            <w:tcW w:w="2127" w:type="dxa"/>
            <w:vMerge w:val="restart"/>
            <w:tcBorders>
              <w:top w:val="nil"/>
              <w:left w:val="nil"/>
              <w:right w:val="single" w:sz="4" w:space="0" w:color="auto"/>
            </w:tcBorders>
            <w:shd w:val="clear" w:color="auto" w:fill="auto"/>
            <w:noWrap/>
            <w:vAlign w:val="center"/>
            <w:hideMark/>
          </w:tcPr>
          <w:p w14:paraId="799052F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 de trabajo para la reducción del circulante activo en mora en fase de consulta de competencia</w:t>
            </w:r>
          </w:p>
        </w:tc>
        <w:tc>
          <w:tcPr>
            <w:tcW w:w="1034" w:type="dxa"/>
            <w:vMerge w:val="restart"/>
            <w:tcBorders>
              <w:top w:val="nil"/>
              <w:left w:val="nil"/>
              <w:right w:val="single" w:sz="4" w:space="0" w:color="auto"/>
            </w:tcBorders>
            <w:shd w:val="clear" w:color="auto" w:fill="auto"/>
            <w:noWrap/>
            <w:vAlign w:val="center"/>
            <w:hideMark/>
          </w:tcPr>
          <w:p w14:paraId="30CB52A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032F906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2C3022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DERECHO 3B </w:t>
            </w:r>
          </w:p>
        </w:tc>
        <w:tc>
          <w:tcPr>
            <w:tcW w:w="761" w:type="dxa"/>
            <w:tcBorders>
              <w:top w:val="nil"/>
              <w:left w:val="nil"/>
              <w:bottom w:val="single" w:sz="4" w:space="0" w:color="auto"/>
              <w:right w:val="single" w:sz="4" w:space="0" w:color="auto"/>
            </w:tcBorders>
            <w:shd w:val="clear" w:color="auto" w:fill="auto"/>
            <w:noWrap/>
            <w:vAlign w:val="center"/>
            <w:hideMark/>
          </w:tcPr>
          <w:p w14:paraId="1E356F8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102120</w:t>
            </w:r>
          </w:p>
        </w:tc>
      </w:tr>
      <w:tr w:rsidR="007E6FC1" w:rsidRPr="00697B6D" w14:paraId="09327455"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44F593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31E18C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14A86E1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1C9366B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DD8E4A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4C7E66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3DDF4A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DERECHO 3B </w:t>
            </w:r>
          </w:p>
        </w:tc>
        <w:tc>
          <w:tcPr>
            <w:tcW w:w="761" w:type="dxa"/>
            <w:tcBorders>
              <w:top w:val="nil"/>
              <w:left w:val="nil"/>
              <w:bottom w:val="single" w:sz="4" w:space="0" w:color="auto"/>
              <w:right w:val="single" w:sz="4" w:space="0" w:color="auto"/>
            </w:tcBorders>
            <w:shd w:val="clear" w:color="auto" w:fill="auto"/>
            <w:noWrap/>
            <w:vAlign w:val="center"/>
            <w:hideMark/>
          </w:tcPr>
          <w:p w14:paraId="550057B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379596</w:t>
            </w:r>
          </w:p>
        </w:tc>
      </w:tr>
      <w:tr w:rsidR="007E6FC1" w:rsidRPr="00697B6D" w14:paraId="04E9E6A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FA59AB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bottom w:val="single" w:sz="4" w:space="0" w:color="auto"/>
              <w:right w:val="single" w:sz="4" w:space="0" w:color="auto"/>
            </w:tcBorders>
            <w:shd w:val="clear" w:color="auto" w:fill="auto"/>
            <w:noWrap/>
            <w:vAlign w:val="center"/>
          </w:tcPr>
          <w:p w14:paraId="3F2D8DB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51A3601B"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03AABA7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47C0F63F"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50B3A88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75419A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DERECHO 3B </w:t>
            </w:r>
          </w:p>
        </w:tc>
        <w:tc>
          <w:tcPr>
            <w:tcW w:w="761" w:type="dxa"/>
            <w:tcBorders>
              <w:top w:val="nil"/>
              <w:left w:val="nil"/>
              <w:bottom w:val="single" w:sz="4" w:space="0" w:color="auto"/>
              <w:right w:val="single" w:sz="4" w:space="0" w:color="auto"/>
            </w:tcBorders>
            <w:shd w:val="clear" w:color="auto" w:fill="auto"/>
            <w:noWrap/>
            <w:vAlign w:val="center"/>
            <w:hideMark/>
          </w:tcPr>
          <w:p w14:paraId="10681B3E"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379600</w:t>
            </w:r>
          </w:p>
        </w:tc>
      </w:tr>
      <w:tr w:rsidR="00BC00B3" w:rsidRPr="00697B6D" w14:paraId="63436FA2"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C415E7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tcBorders>
              <w:top w:val="nil"/>
              <w:left w:val="nil"/>
              <w:bottom w:val="single" w:sz="4" w:space="0" w:color="auto"/>
              <w:right w:val="single" w:sz="4" w:space="0" w:color="auto"/>
            </w:tcBorders>
            <w:shd w:val="clear" w:color="auto" w:fill="auto"/>
            <w:noWrap/>
            <w:vAlign w:val="center"/>
            <w:hideMark/>
          </w:tcPr>
          <w:p w14:paraId="12D0F87C"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Sala Segunda</w:t>
            </w:r>
          </w:p>
        </w:tc>
        <w:tc>
          <w:tcPr>
            <w:tcW w:w="1183" w:type="dxa"/>
            <w:tcBorders>
              <w:top w:val="nil"/>
              <w:left w:val="nil"/>
              <w:bottom w:val="single" w:sz="4" w:space="0" w:color="auto"/>
              <w:right w:val="single" w:sz="4" w:space="0" w:color="auto"/>
            </w:tcBorders>
            <w:shd w:val="clear" w:color="auto" w:fill="auto"/>
            <w:noWrap/>
            <w:vAlign w:val="center"/>
            <w:hideMark/>
          </w:tcPr>
          <w:p w14:paraId="75D961F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0005-SS-P01</w:t>
            </w:r>
          </w:p>
        </w:tc>
        <w:tc>
          <w:tcPr>
            <w:tcW w:w="2127" w:type="dxa"/>
            <w:tcBorders>
              <w:top w:val="nil"/>
              <w:left w:val="nil"/>
              <w:bottom w:val="single" w:sz="4" w:space="0" w:color="auto"/>
              <w:right w:val="single" w:sz="4" w:space="0" w:color="auto"/>
            </w:tcBorders>
            <w:shd w:val="clear" w:color="auto" w:fill="auto"/>
            <w:noWrap/>
            <w:vAlign w:val="center"/>
            <w:hideMark/>
          </w:tcPr>
          <w:p w14:paraId="2F8F63E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 de trabajo para la gestión de los procesos de Exequátur y Cartas Rogatorias</w:t>
            </w:r>
          </w:p>
        </w:tc>
        <w:tc>
          <w:tcPr>
            <w:tcW w:w="1034" w:type="dxa"/>
            <w:tcBorders>
              <w:top w:val="nil"/>
              <w:left w:val="nil"/>
              <w:bottom w:val="single" w:sz="4" w:space="0" w:color="auto"/>
              <w:right w:val="single" w:sz="4" w:space="0" w:color="auto"/>
            </w:tcBorders>
            <w:shd w:val="clear" w:color="auto" w:fill="auto"/>
            <w:noWrap/>
            <w:vAlign w:val="center"/>
            <w:hideMark/>
          </w:tcPr>
          <w:p w14:paraId="2AF8201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0BF3A1F2"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C986C0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JUDICIAL 3</w:t>
            </w:r>
          </w:p>
        </w:tc>
        <w:tc>
          <w:tcPr>
            <w:tcW w:w="761" w:type="dxa"/>
            <w:tcBorders>
              <w:top w:val="nil"/>
              <w:left w:val="nil"/>
              <w:bottom w:val="single" w:sz="4" w:space="0" w:color="auto"/>
              <w:right w:val="single" w:sz="4" w:space="0" w:color="auto"/>
            </w:tcBorders>
            <w:shd w:val="clear" w:color="auto" w:fill="auto"/>
            <w:noWrap/>
            <w:vAlign w:val="center"/>
            <w:hideMark/>
          </w:tcPr>
          <w:p w14:paraId="1E74007D"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350104</w:t>
            </w:r>
          </w:p>
        </w:tc>
      </w:tr>
      <w:tr w:rsidR="009872F5" w:rsidRPr="00697B6D" w14:paraId="0F7EFE04" w14:textId="77777777" w:rsidTr="00301740">
        <w:trPr>
          <w:trHeight w:val="290"/>
        </w:trPr>
        <w:tc>
          <w:tcPr>
            <w:tcW w:w="1613" w:type="dxa"/>
            <w:vMerge/>
            <w:tcBorders>
              <w:left w:val="single" w:sz="4" w:space="0" w:color="auto"/>
              <w:bottom w:val="single" w:sz="4" w:space="0" w:color="auto"/>
              <w:right w:val="single" w:sz="4" w:space="0" w:color="auto"/>
            </w:tcBorders>
            <w:shd w:val="clear" w:color="auto" w:fill="auto"/>
            <w:noWrap/>
            <w:vAlign w:val="center"/>
          </w:tcPr>
          <w:p w14:paraId="2D1E8AD8"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p>
        </w:tc>
        <w:tc>
          <w:tcPr>
            <w:tcW w:w="1173" w:type="dxa"/>
            <w:tcBorders>
              <w:top w:val="nil"/>
              <w:left w:val="nil"/>
              <w:bottom w:val="single" w:sz="4" w:space="0" w:color="auto"/>
              <w:right w:val="single" w:sz="4" w:space="0" w:color="auto"/>
            </w:tcBorders>
            <w:shd w:val="clear" w:color="auto" w:fill="auto"/>
            <w:noWrap/>
            <w:vAlign w:val="center"/>
            <w:hideMark/>
          </w:tcPr>
          <w:p w14:paraId="07C15704"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Sala Segunda</w:t>
            </w:r>
          </w:p>
        </w:tc>
        <w:tc>
          <w:tcPr>
            <w:tcW w:w="1183" w:type="dxa"/>
            <w:tcBorders>
              <w:top w:val="nil"/>
              <w:left w:val="nil"/>
              <w:bottom w:val="single" w:sz="4" w:space="0" w:color="auto"/>
              <w:right w:val="single" w:sz="4" w:space="0" w:color="auto"/>
            </w:tcBorders>
            <w:shd w:val="clear" w:color="auto" w:fill="auto"/>
            <w:noWrap/>
            <w:vAlign w:val="center"/>
            <w:hideMark/>
          </w:tcPr>
          <w:p w14:paraId="1F33E010"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0005-SS-P03</w:t>
            </w:r>
          </w:p>
        </w:tc>
        <w:tc>
          <w:tcPr>
            <w:tcW w:w="2127" w:type="dxa"/>
            <w:tcBorders>
              <w:top w:val="nil"/>
              <w:left w:val="nil"/>
              <w:bottom w:val="single" w:sz="4" w:space="0" w:color="auto"/>
              <w:right w:val="single" w:sz="4" w:space="0" w:color="auto"/>
            </w:tcBorders>
            <w:shd w:val="clear" w:color="auto" w:fill="auto"/>
            <w:noWrap/>
            <w:vAlign w:val="center"/>
            <w:hideMark/>
          </w:tcPr>
          <w:p w14:paraId="242794B7"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Atención de procesos en fase de admisibilidad de los recursos de casación, revisión, competencias y casaciones por inadmisión, en Sala Segunda.</w:t>
            </w:r>
          </w:p>
        </w:tc>
        <w:tc>
          <w:tcPr>
            <w:tcW w:w="1034" w:type="dxa"/>
            <w:tcBorders>
              <w:top w:val="nil"/>
              <w:left w:val="nil"/>
              <w:bottom w:val="single" w:sz="4" w:space="0" w:color="auto"/>
              <w:right w:val="single" w:sz="4" w:space="0" w:color="auto"/>
            </w:tcBorders>
            <w:shd w:val="clear" w:color="auto" w:fill="auto"/>
            <w:noWrap/>
            <w:vAlign w:val="center"/>
            <w:hideMark/>
          </w:tcPr>
          <w:p w14:paraId="1D80EE39"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763FCDF5"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8CD1443"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DERECHO 3B </w:t>
            </w:r>
          </w:p>
        </w:tc>
        <w:tc>
          <w:tcPr>
            <w:tcW w:w="761" w:type="dxa"/>
            <w:tcBorders>
              <w:top w:val="nil"/>
              <w:left w:val="nil"/>
              <w:bottom w:val="single" w:sz="4" w:space="0" w:color="auto"/>
              <w:right w:val="single" w:sz="4" w:space="0" w:color="auto"/>
            </w:tcBorders>
            <w:shd w:val="clear" w:color="auto" w:fill="auto"/>
            <w:noWrap/>
            <w:vAlign w:val="center"/>
            <w:hideMark/>
          </w:tcPr>
          <w:p w14:paraId="3E8F0351" w14:textId="77777777" w:rsidR="001340AD" w:rsidRPr="00697B6D" w:rsidRDefault="001340AD"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100821</w:t>
            </w:r>
          </w:p>
        </w:tc>
      </w:tr>
      <w:tr w:rsidR="007E6FC1" w:rsidRPr="00697B6D" w14:paraId="5C610F6B" w14:textId="77777777" w:rsidTr="00301740">
        <w:trPr>
          <w:trHeight w:val="290"/>
        </w:trPr>
        <w:tc>
          <w:tcPr>
            <w:tcW w:w="1613" w:type="dxa"/>
            <w:vMerge w:val="restart"/>
            <w:tcBorders>
              <w:top w:val="nil"/>
              <w:left w:val="single" w:sz="4" w:space="0" w:color="auto"/>
              <w:right w:val="single" w:sz="4" w:space="0" w:color="auto"/>
            </w:tcBorders>
            <w:shd w:val="clear" w:color="auto" w:fill="auto"/>
            <w:noWrap/>
            <w:vAlign w:val="center"/>
            <w:hideMark/>
          </w:tcPr>
          <w:p w14:paraId="258F0464" w14:textId="77777777" w:rsidR="00DC155A" w:rsidRDefault="00DC155A" w:rsidP="001340AD">
            <w:pPr>
              <w:spacing w:after="0" w:line="240" w:lineRule="auto"/>
              <w:jc w:val="center"/>
              <w:rPr>
                <w:rFonts w:ascii="Book Antiqua" w:eastAsia="Times New Roman" w:hAnsi="Book Antiqua" w:cs="Calibri"/>
                <w:color w:val="000000"/>
                <w:sz w:val="14"/>
                <w:szCs w:val="14"/>
                <w:lang w:eastAsia="es-CR"/>
              </w:rPr>
            </w:pPr>
          </w:p>
          <w:p w14:paraId="115EC127" w14:textId="77777777" w:rsidR="00DC155A" w:rsidRDefault="00DC155A" w:rsidP="001340AD">
            <w:pPr>
              <w:spacing w:after="0" w:line="240" w:lineRule="auto"/>
              <w:jc w:val="center"/>
              <w:rPr>
                <w:rFonts w:ascii="Book Antiqua" w:eastAsia="Times New Roman" w:hAnsi="Book Antiqua" w:cs="Calibri"/>
                <w:color w:val="000000"/>
                <w:sz w:val="14"/>
                <w:szCs w:val="14"/>
                <w:lang w:eastAsia="es-CR"/>
              </w:rPr>
            </w:pPr>
          </w:p>
          <w:p w14:paraId="15E38CCA" w14:textId="08F746AB"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928 Organismo de Investigación Judicial</w:t>
            </w:r>
          </w:p>
        </w:tc>
        <w:tc>
          <w:tcPr>
            <w:tcW w:w="1173" w:type="dxa"/>
            <w:tcBorders>
              <w:top w:val="nil"/>
              <w:left w:val="nil"/>
              <w:bottom w:val="single" w:sz="4" w:space="0" w:color="auto"/>
              <w:right w:val="single" w:sz="4" w:space="0" w:color="auto"/>
            </w:tcBorders>
            <w:shd w:val="clear" w:color="auto" w:fill="auto"/>
            <w:noWrap/>
            <w:vAlign w:val="center"/>
            <w:hideMark/>
          </w:tcPr>
          <w:p w14:paraId="559CD0BD"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Dirección Ejecutiva</w:t>
            </w:r>
          </w:p>
        </w:tc>
        <w:tc>
          <w:tcPr>
            <w:tcW w:w="1183" w:type="dxa"/>
            <w:tcBorders>
              <w:top w:val="nil"/>
              <w:left w:val="nil"/>
              <w:bottom w:val="single" w:sz="4" w:space="0" w:color="auto"/>
              <w:right w:val="single" w:sz="4" w:space="0" w:color="auto"/>
            </w:tcBorders>
            <w:shd w:val="clear" w:color="auto" w:fill="auto"/>
            <w:noWrap/>
            <w:vAlign w:val="center"/>
            <w:hideMark/>
          </w:tcPr>
          <w:p w14:paraId="7C00B4B4"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0117-DE-P18</w:t>
            </w:r>
          </w:p>
        </w:tc>
        <w:tc>
          <w:tcPr>
            <w:tcW w:w="2127" w:type="dxa"/>
            <w:tcBorders>
              <w:top w:val="nil"/>
              <w:left w:val="nil"/>
              <w:bottom w:val="single" w:sz="4" w:space="0" w:color="auto"/>
              <w:right w:val="single" w:sz="4" w:space="0" w:color="auto"/>
            </w:tcBorders>
            <w:shd w:val="clear" w:color="auto" w:fill="auto"/>
            <w:noWrap/>
            <w:vAlign w:val="center"/>
            <w:hideMark/>
          </w:tcPr>
          <w:p w14:paraId="4221599F"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 de trabajo para la mejora del proceso de contratación administrativa</w:t>
            </w:r>
          </w:p>
        </w:tc>
        <w:tc>
          <w:tcPr>
            <w:tcW w:w="1034" w:type="dxa"/>
            <w:tcBorders>
              <w:top w:val="nil"/>
              <w:left w:val="nil"/>
              <w:bottom w:val="single" w:sz="4" w:space="0" w:color="auto"/>
              <w:right w:val="single" w:sz="4" w:space="0" w:color="auto"/>
            </w:tcBorders>
            <w:shd w:val="clear" w:color="auto" w:fill="auto"/>
            <w:noWrap/>
            <w:vAlign w:val="center"/>
            <w:hideMark/>
          </w:tcPr>
          <w:p w14:paraId="147808E6"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5BFA14C1"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3FB089B"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7085E9A3"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372181</w:t>
            </w:r>
          </w:p>
        </w:tc>
      </w:tr>
      <w:tr w:rsidR="00BC00B3" w:rsidRPr="00697B6D" w14:paraId="5854ADA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29969CB"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val="restart"/>
            <w:tcBorders>
              <w:top w:val="nil"/>
              <w:left w:val="nil"/>
              <w:right w:val="single" w:sz="4" w:space="0" w:color="auto"/>
            </w:tcBorders>
            <w:shd w:val="clear" w:color="auto" w:fill="auto"/>
            <w:noWrap/>
            <w:vAlign w:val="center"/>
            <w:hideMark/>
          </w:tcPr>
          <w:p w14:paraId="227C5622"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Organismo de Investigación Judicial</w:t>
            </w:r>
          </w:p>
        </w:tc>
        <w:tc>
          <w:tcPr>
            <w:tcW w:w="1183" w:type="dxa"/>
            <w:vMerge w:val="restart"/>
            <w:tcBorders>
              <w:top w:val="nil"/>
              <w:left w:val="nil"/>
              <w:right w:val="single" w:sz="4" w:space="0" w:color="auto"/>
            </w:tcBorders>
            <w:shd w:val="clear" w:color="auto" w:fill="auto"/>
            <w:noWrap/>
            <w:vAlign w:val="center"/>
            <w:hideMark/>
          </w:tcPr>
          <w:p w14:paraId="17011179"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1167-OIJ-P06</w:t>
            </w:r>
          </w:p>
        </w:tc>
        <w:tc>
          <w:tcPr>
            <w:tcW w:w="2127" w:type="dxa"/>
            <w:vMerge w:val="restart"/>
            <w:tcBorders>
              <w:top w:val="nil"/>
              <w:left w:val="nil"/>
              <w:right w:val="single" w:sz="4" w:space="0" w:color="auto"/>
            </w:tcBorders>
            <w:shd w:val="clear" w:color="auto" w:fill="auto"/>
            <w:noWrap/>
            <w:vAlign w:val="center"/>
            <w:hideMark/>
          </w:tcPr>
          <w:p w14:paraId="1F080E80"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Consolidación de equipo multidisciplinario en criminalística</w:t>
            </w:r>
          </w:p>
        </w:tc>
        <w:tc>
          <w:tcPr>
            <w:tcW w:w="1034" w:type="dxa"/>
            <w:vMerge w:val="restart"/>
            <w:tcBorders>
              <w:top w:val="nil"/>
              <w:left w:val="nil"/>
              <w:right w:val="single" w:sz="4" w:space="0" w:color="auto"/>
            </w:tcBorders>
            <w:shd w:val="clear" w:color="auto" w:fill="auto"/>
            <w:noWrap/>
            <w:vAlign w:val="center"/>
            <w:hideMark/>
          </w:tcPr>
          <w:p w14:paraId="1320F92D"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7304016C"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BB77069"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GUÍA CANINO </w:t>
            </w:r>
          </w:p>
        </w:tc>
        <w:tc>
          <w:tcPr>
            <w:tcW w:w="761" w:type="dxa"/>
            <w:tcBorders>
              <w:top w:val="nil"/>
              <w:left w:val="nil"/>
              <w:bottom w:val="single" w:sz="4" w:space="0" w:color="auto"/>
              <w:right w:val="single" w:sz="4" w:space="0" w:color="auto"/>
            </w:tcBorders>
            <w:shd w:val="clear" w:color="auto" w:fill="auto"/>
            <w:noWrap/>
            <w:vAlign w:val="center"/>
            <w:hideMark/>
          </w:tcPr>
          <w:p w14:paraId="476066CD"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34369</w:t>
            </w:r>
          </w:p>
        </w:tc>
      </w:tr>
      <w:tr w:rsidR="007E6FC1" w:rsidRPr="00697B6D" w14:paraId="5FC68EA4"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39697B7"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3471C3A"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5A12A141"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17C11FB2"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6E9BB6A"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2FC7C3DA"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DB13CB7"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GUÍA CANINO </w:t>
            </w:r>
          </w:p>
        </w:tc>
        <w:tc>
          <w:tcPr>
            <w:tcW w:w="761" w:type="dxa"/>
            <w:tcBorders>
              <w:top w:val="nil"/>
              <w:left w:val="nil"/>
              <w:bottom w:val="single" w:sz="4" w:space="0" w:color="auto"/>
              <w:right w:val="single" w:sz="4" w:space="0" w:color="auto"/>
            </w:tcBorders>
            <w:shd w:val="clear" w:color="auto" w:fill="auto"/>
            <w:noWrap/>
            <w:vAlign w:val="center"/>
            <w:hideMark/>
          </w:tcPr>
          <w:p w14:paraId="33730D00"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34354</w:t>
            </w:r>
          </w:p>
        </w:tc>
      </w:tr>
      <w:tr w:rsidR="007E6FC1" w:rsidRPr="00697B6D" w14:paraId="3EF25EED" w14:textId="77777777" w:rsidTr="00301740">
        <w:trPr>
          <w:trHeight w:val="290"/>
        </w:trPr>
        <w:tc>
          <w:tcPr>
            <w:tcW w:w="1613" w:type="dxa"/>
            <w:tcBorders>
              <w:left w:val="single" w:sz="4" w:space="0" w:color="auto"/>
              <w:right w:val="single" w:sz="4" w:space="0" w:color="auto"/>
            </w:tcBorders>
            <w:shd w:val="clear" w:color="auto" w:fill="auto"/>
            <w:noWrap/>
            <w:vAlign w:val="center"/>
          </w:tcPr>
          <w:p w14:paraId="5F5B1B05"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52868CE"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3A498672"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31B79490"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ACB2749"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EAF0698"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B9CBE6C"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6</w:t>
            </w:r>
          </w:p>
        </w:tc>
        <w:tc>
          <w:tcPr>
            <w:tcW w:w="761" w:type="dxa"/>
            <w:tcBorders>
              <w:top w:val="nil"/>
              <w:left w:val="nil"/>
              <w:bottom w:val="single" w:sz="4" w:space="0" w:color="auto"/>
              <w:right w:val="single" w:sz="4" w:space="0" w:color="auto"/>
            </w:tcBorders>
            <w:shd w:val="clear" w:color="auto" w:fill="auto"/>
            <w:noWrap/>
            <w:vAlign w:val="center"/>
            <w:hideMark/>
          </w:tcPr>
          <w:p w14:paraId="774220D4"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54314</w:t>
            </w:r>
          </w:p>
        </w:tc>
      </w:tr>
      <w:tr w:rsidR="007E6FC1" w:rsidRPr="00697B6D" w14:paraId="5C624F31" w14:textId="77777777" w:rsidTr="00301740">
        <w:trPr>
          <w:trHeight w:val="290"/>
        </w:trPr>
        <w:tc>
          <w:tcPr>
            <w:tcW w:w="1613" w:type="dxa"/>
            <w:tcBorders>
              <w:left w:val="single" w:sz="4" w:space="0" w:color="auto"/>
              <w:right w:val="single" w:sz="4" w:space="0" w:color="auto"/>
            </w:tcBorders>
            <w:shd w:val="clear" w:color="auto" w:fill="auto"/>
            <w:noWrap/>
            <w:vAlign w:val="center"/>
          </w:tcPr>
          <w:p w14:paraId="733071F3"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4907EE6"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56610EB3"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647DDE5D"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4BC880DB"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604410D"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C40745A"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6</w:t>
            </w:r>
          </w:p>
        </w:tc>
        <w:tc>
          <w:tcPr>
            <w:tcW w:w="761" w:type="dxa"/>
            <w:tcBorders>
              <w:top w:val="nil"/>
              <w:left w:val="nil"/>
              <w:bottom w:val="single" w:sz="4" w:space="0" w:color="auto"/>
              <w:right w:val="single" w:sz="4" w:space="0" w:color="auto"/>
            </w:tcBorders>
            <w:shd w:val="clear" w:color="auto" w:fill="auto"/>
            <w:noWrap/>
            <w:vAlign w:val="center"/>
            <w:hideMark/>
          </w:tcPr>
          <w:p w14:paraId="5FBC785C"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351882</w:t>
            </w:r>
          </w:p>
        </w:tc>
      </w:tr>
      <w:tr w:rsidR="007E6FC1" w:rsidRPr="00697B6D" w14:paraId="599508A9" w14:textId="77777777" w:rsidTr="00301740">
        <w:trPr>
          <w:trHeight w:val="290"/>
        </w:trPr>
        <w:tc>
          <w:tcPr>
            <w:tcW w:w="1613" w:type="dxa"/>
            <w:tcBorders>
              <w:left w:val="single" w:sz="4" w:space="0" w:color="auto"/>
              <w:right w:val="single" w:sz="4" w:space="0" w:color="auto"/>
            </w:tcBorders>
            <w:shd w:val="clear" w:color="auto" w:fill="auto"/>
            <w:noWrap/>
            <w:vAlign w:val="center"/>
          </w:tcPr>
          <w:p w14:paraId="4284E89C"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FDC9264"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4BE911D8"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1167-OIJ-P11</w:t>
            </w:r>
          </w:p>
        </w:tc>
        <w:tc>
          <w:tcPr>
            <w:tcW w:w="2127" w:type="dxa"/>
            <w:vMerge w:val="restart"/>
            <w:tcBorders>
              <w:top w:val="nil"/>
              <w:left w:val="nil"/>
              <w:right w:val="single" w:sz="4" w:space="0" w:color="auto"/>
            </w:tcBorders>
            <w:shd w:val="clear" w:color="auto" w:fill="auto"/>
            <w:noWrap/>
            <w:vAlign w:val="center"/>
            <w:hideMark/>
          </w:tcPr>
          <w:p w14:paraId="475E6DB3"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Logística y Ejecución de Cooperación Internacional</w:t>
            </w:r>
          </w:p>
        </w:tc>
        <w:tc>
          <w:tcPr>
            <w:tcW w:w="1034" w:type="dxa"/>
            <w:vMerge w:val="restart"/>
            <w:tcBorders>
              <w:top w:val="nil"/>
              <w:left w:val="nil"/>
              <w:right w:val="single" w:sz="4" w:space="0" w:color="auto"/>
            </w:tcBorders>
            <w:shd w:val="clear" w:color="auto" w:fill="auto"/>
            <w:noWrap/>
            <w:vAlign w:val="center"/>
            <w:hideMark/>
          </w:tcPr>
          <w:p w14:paraId="0CA34AE4"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6F7CBEA7"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FAB04DB"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1 </w:t>
            </w:r>
          </w:p>
        </w:tc>
        <w:tc>
          <w:tcPr>
            <w:tcW w:w="761" w:type="dxa"/>
            <w:tcBorders>
              <w:top w:val="nil"/>
              <w:left w:val="nil"/>
              <w:bottom w:val="single" w:sz="4" w:space="0" w:color="auto"/>
              <w:right w:val="single" w:sz="4" w:space="0" w:color="auto"/>
            </w:tcBorders>
            <w:shd w:val="clear" w:color="auto" w:fill="auto"/>
            <w:noWrap/>
            <w:vAlign w:val="center"/>
            <w:hideMark/>
          </w:tcPr>
          <w:p w14:paraId="7EE60685"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369998</w:t>
            </w:r>
          </w:p>
        </w:tc>
      </w:tr>
      <w:tr w:rsidR="007E6FC1" w:rsidRPr="00697B6D" w14:paraId="09F25DE1" w14:textId="77777777" w:rsidTr="00301740">
        <w:trPr>
          <w:trHeight w:val="290"/>
        </w:trPr>
        <w:tc>
          <w:tcPr>
            <w:tcW w:w="1613" w:type="dxa"/>
            <w:vMerge w:val="restart"/>
            <w:tcBorders>
              <w:left w:val="single" w:sz="4" w:space="0" w:color="auto"/>
              <w:right w:val="single" w:sz="4" w:space="0" w:color="auto"/>
            </w:tcBorders>
            <w:shd w:val="clear" w:color="auto" w:fill="auto"/>
            <w:noWrap/>
            <w:vAlign w:val="center"/>
          </w:tcPr>
          <w:p w14:paraId="457A2E69"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B534503"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448B803F"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36C3C9FA"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1028548A"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63FE801"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CB45F35"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SUPERVISOR DE SERVICIO O.I.J.</w:t>
            </w:r>
          </w:p>
        </w:tc>
        <w:tc>
          <w:tcPr>
            <w:tcW w:w="761" w:type="dxa"/>
            <w:tcBorders>
              <w:top w:val="nil"/>
              <w:left w:val="nil"/>
              <w:bottom w:val="single" w:sz="4" w:space="0" w:color="auto"/>
              <w:right w:val="single" w:sz="4" w:space="0" w:color="auto"/>
            </w:tcBorders>
            <w:shd w:val="clear" w:color="auto" w:fill="auto"/>
            <w:noWrap/>
            <w:vAlign w:val="center"/>
            <w:hideMark/>
          </w:tcPr>
          <w:p w14:paraId="7EB53D01"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15673</w:t>
            </w:r>
          </w:p>
        </w:tc>
      </w:tr>
      <w:tr w:rsidR="007E6FC1" w:rsidRPr="00697B6D" w14:paraId="5B369979"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20846CC"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290D395"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0911BBF2"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1167-OIJ-P16</w:t>
            </w:r>
          </w:p>
        </w:tc>
        <w:tc>
          <w:tcPr>
            <w:tcW w:w="2127" w:type="dxa"/>
            <w:tcBorders>
              <w:top w:val="nil"/>
              <w:left w:val="nil"/>
              <w:bottom w:val="single" w:sz="4" w:space="0" w:color="auto"/>
              <w:right w:val="single" w:sz="4" w:space="0" w:color="auto"/>
            </w:tcBorders>
            <w:shd w:val="clear" w:color="auto" w:fill="auto"/>
            <w:noWrap/>
            <w:vAlign w:val="center"/>
            <w:hideMark/>
          </w:tcPr>
          <w:p w14:paraId="0863EAF7"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Implementación de nuevas metodologías y desarrollo del sistema de gestión de calidad, </w:t>
            </w:r>
            <w:r w:rsidRPr="00697B6D">
              <w:rPr>
                <w:rFonts w:ascii="Book Antiqua" w:eastAsia="Times New Roman" w:hAnsi="Book Antiqua" w:cs="Calibri"/>
                <w:color w:val="000000"/>
                <w:sz w:val="14"/>
                <w:szCs w:val="14"/>
                <w:lang w:eastAsia="es-CR"/>
              </w:rPr>
              <w:lastRenderedPageBreak/>
              <w:t>para el mejoramiento de los servicios forenses</w:t>
            </w:r>
          </w:p>
        </w:tc>
        <w:tc>
          <w:tcPr>
            <w:tcW w:w="1034" w:type="dxa"/>
            <w:tcBorders>
              <w:top w:val="nil"/>
              <w:left w:val="nil"/>
              <w:bottom w:val="single" w:sz="4" w:space="0" w:color="auto"/>
              <w:right w:val="single" w:sz="4" w:space="0" w:color="auto"/>
            </w:tcBorders>
            <w:shd w:val="clear" w:color="auto" w:fill="auto"/>
            <w:noWrap/>
            <w:vAlign w:val="center"/>
            <w:hideMark/>
          </w:tcPr>
          <w:p w14:paraId="7C39CB1A"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lastRenderedPageBreak/>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50319D08"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A622722"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PERITO JUDICIAL 2B </w:t>
            </w:r>
          </w:p>
        </w:tc>
        <w:tc>
          <w:tcPr>
            <w:tcW w:w="761" w:type="dxa"/>
            <w:tcBorders>
              <w:top w:val="nil"/>
              <w:left w:val="nil"/>
              <w:bottom w:val="single" w:sz="4" w:space="0" w:color="auto"/>
              <w:right w:val="single" w:sz="4" w:space="0" w:color="auto"/>
            </w:tcBorders>
            <w:shd w:val="clear" w:color="auto" w:fill="auto"/>
            <w:noWrap/>
            <w:vAlign w:val="center"/>
            <w:hideMark/>
          </w:tcPr>
          <w:p w14:paraId="4283F40E"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113640</w:t>
            </w:r>
          </w:p>
        </w:tc>
      </w:tr>
      <w:tr w:rsidR="007E6FC1" w:rsidRPr="00697B6D" w14:paraId="5782E690"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8AA8F5F"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24B163E"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35A0FD20"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1167-OIJ-P17</w:t>
            </w:r>
          </w:p>
        </w:tc>
        <w:tc>
          <w:tcPr>
            <w:tcW w:w="2127" w:type="dxa"/>
            <w:vMerge w:val="restart"/>
            <w:tcBorders>
              <w:top w:val="nil"/>
              <w:left w:val="nil"/>
              <w:right w:val="single" w:sz="4" w:space="0" w:color="auto"/>
            </w:tcBorders>
            <w:shd w:val="clear" w:color="auto" w:fill="auto"/>
            <w:noWrap/>
            <w:vAlign w:val="center"/>
            <w:hideMark/>
          </w:tcPr>
          <w:p w14:paraId="7C1B7BBB"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Acreditación ISO 17020 e ISO 17025 para la Sección de Inspecciones Oculares y Recolección de Indicios </w:t>
            </w:r>
          </w:p>
        </w:tc>
        <w:tc>
          <w:tcPr>
            <w:tcW w:w="1034" w:type="dxa"/>
            <w:vMerge w:val="restart"/>
            <w:tcBorders>
              <w:top w:val="nil"/>
              <w:left w:val="nil"/>
              <w:right w:val="single" w:sz="4" w:space="0" w:color="auto"/>
            </w:tcBorders>
            <w:shd w:val="clear" w:color="auto" w:fill="auto"/>
            <w:noWrap/>
            <w:vAlign w:val="center"/>
            <w:hideMark/>
          </w:tcPr>
          <w:p w14:paraId="45669D3C"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0CAADAA5"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192A93C"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JEFE DE INVESTIGACION 2</w:t>
            </w:r>
          </w:p>
        </w:tc>
        <w:tc>
          <w:tcPr>
            <w:tcW w:w="761" w:type="dxa"/>
            <w:tcBorders>
              <w:top w:val="nil"/>
              <w:left w:val="nil"/>
              <w:bottom w:val="single" w:sz="4" w:space="0" w:color="auto"/>
              <w:right w:val="single" w:sz="4" w:space="0" w:color="auto"/>
            </w:tcBorders>
            <w:shd w:val="clear" w:color="auto" w:fill="auto"/>
            <w:noWrap/>
            <w:vAlign w:val="center"/>
            <w:hideMark/>
          </w:tcPr>
          <w:p w14:paraId="42732C9A"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95416</w:t>
            </w:r>
          </w:p>
        </w:tc>
      </w:tr>
      <w:tr w:rsidR="007E6FC1" w:rsidRPr="00697B6D" w14:paraId="41517B61" w14:textId="77777777" w:rsidTr="00301740">
        <w:trPr>
          <w:trHeight w:val="290"/>
        </w:trPr>
        <w:tc>
          <w:tcPr>
            <w:tcW w:w="1613" w:type="dxa"/>
            <w:tcBorders>
              <w:left w:val="single" w:sz="4" w:space="0" w:color="auto"/>
              <w:right w:val="single" w:sz="4" w:space="0" w:color="auto"/>
            </w:tcBorders>
            <w:shd w:val="clear" w:color="auto" w:fill="auto"/>
            <w:noWrap/>
            <w:vAlign w:val="center"/>
          </w:tcPr>
          <w:p w14:paraId="53D3FB40"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65AB765"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613A5BCE"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16E0DDEE"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4BAEC31C"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A7FE63D"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7B05633"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JEFE DE INVESTIGACION 1</w:t>
            </w:r>
          </w:p>
        </w:tc>
        <w:tc>
          <w:tcPr>
            <w:tcW w:w="761" w:type="dxa"/>
            <w:tcBorders>
              <w:top w:val="nil"/>
              <w:left w:val="nil"/>
              <w:bottom w:val="single" w:sz="4" w:space="0" w:color="auto"/>
              <w:right w:val="single" w:sz="4" w:space="0" w:color="auto"/>
            </w:tcBorders>
            <w:shd w:val="clear" w:color="auto" w:fill="auto"/>
            <w:noWrap/>
            <w:vAlign w:val="center"/>
            <w:hideMark/>
          </w:tcPr>
          <w:p w14:paraId="72E7CA86"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54099</w:t>
            </w:r>
          </w:p>
        </w:tc>
      </w:tr>
      <w:tr w:rsidR="00BC00B3" w:rsidRPr="00697B6D" w14:paraId="7EBBE3A8" w14:textId="77777777" w:rsidTr="00DC155A">
        <w:trPr>
          <w:trHeight w:val="290"/>
        </w:trPr>
        <w:tc>
          <w:tcPr>
            <w:tcW w:w="1613" w:type="dxa"/>
            <w:tcBorders>
              <w:left w:val="single" w:sz="4" w:space="0" w:color="auto"/>
              <w:bottom w:val="single" w:sz="4" w:space="0" w:color="auto"/>
              <w:right w:val="single" w:sz="4" w:space="0" w:color="auto"/>
            </w:tcBorders>
            <w:shd w:val="clear" w:color="auto" w:fill="auto"/>
            <w:noWrap/>
            <w:vAlign w:val="center"/>
          </w:tcPr>
          <w:p w14:paraId="6DF70616"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bottom w:val="single" w:sz="4" w:space="0" w:color="auto"/>
              <w:right w:val="single" w:sz="4" w:space="0" w:color="auto"/>
            </w:tcBorders>
            <w:shd w:val="clear" w:color="auto" w:fill="auto"/>
            <w:noWrap/>
            <w:vAlign w:val="center"/>
          </w:tcPr>
          <w:p w14:paraId="38B16FA1"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0A145439"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1167-OIJ-P23</w:t>
            </w:r>
          </w:p>
        </w:tc>
        <w:tc>
          <w:tcPr>
            <w:tcW w:w="2127" w:type="dxa"/>
            <w:tcBorders>
              <w:top w:val="nil"/>
              <w:left w:val="nil"/>
              <w:bottom w:val="single" w:sz="4" w:space="0" w:color="auto"/>
              <w:right w:val="single" w:sz="4" w:space="0" w:color="auto"/>
            </w:tcBorders>
            <w:shd w:val="clear" w:color="auto" w:fill="auto"/>
            <w:noWrap/>
            <w:vAlign w:val="center"/>
            <w:hideMark/>
          </w:tcPr>
          <w:p w14:paraId="48EFD54A"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Implementar y validar dos metodologías de análisis de material vegetal sospechoso para distinguir entre cáñamo y marihuana</w:t>
            </w:r>
          </w:p>
        </w:tc>
        <w:tc>
          <w:tcPr>
            <w:tcW w:w="1034" w:type="dxa"/>
            <w:tcBorders>
              <w:top w:val="nil"/>
              <w:left w:val="nil"/>
              <w:bottom w:val="single" w:sz="4" w:space="0" w:color="auto"/>
              <w:right w:val="single" w:sz="4" w:space="0" w:color="auto"/>
            </w:tcBorders>
            <w:shd w:val="clear" w:color="auto" w:fill="auto"/>
            <w:noWrap/>
            <w:vAlign w:val="center"/>
            <w:hideMark/>
          </w:tcPr>
          <w:p w14:paraId="33D655C5"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40A530E5"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C51A23A"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6</w:t>
            </w:r>
          </w:p>
        </w:tc>
        <w:tc>
          <w:tcPr>
            <w:tcW w:w="761" w:type="dxa"/>
            <w:tcBorders>
              <w:top w:val="nil"/>
              <w:left w:val="nil"/>
              <w:bottom w:val="single" w:sz="4" w:space="0" w:color="auto"/>
              <w:right w:val="single" w:sz="4" w:space="0" w:color="auto"/>
            </w:tcBorders>
            <w:shd w:val="clear" w:color="auto" w:fill="auto"/>
            <w:noWrap/>
            <w:vAlign w:val="center"/>
            <w:hideMark/>
          </w:tcPr>
          <w:p w14:paraId="02C9472B"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55643</w:t>
            </w:r>
          </w:p>
        </w:tc>
      </w:tr>
      <w:tr w:rsidR="007E6FC1" w:rsidRPr="00697B6D" w14:paraId="2999DE48" w14:textId="77777777" w:rsidTr="00301740">
        <w:trPr>
          <w:trHeight w:val="290"/>
        </w:trPr>
        <w:tc>
          <w:tcPr>
            <w:tcW w:w="1613" w:type="dxa"/>
            <w:vMerge w:val="restart"/>
            <w:tcBorders>
              <w:top w:val="single" w:sz="4" w:space="0" w:color="auto"/>
              <w:left w:val="single" w:sz="4" w:space="0" w:color="auto"/>
              <w:right w:val="single" w:sz="4" w:space="0" w:color="auto"/>
            </w:tcBorders>
            <w:shd w:val="clear" w:color="auto" w:fill="auto"/>
            <w:noWrap/>
            <w:vAlign w:val="center"/>
          </w:tcPr>
          <w:p w14:paraId="6A0AB553" w14:textId="77777777" w:rsidR="00DC155A" w:rsidRPr="00697B6D" w:rsidRDefault="00DC155A" w:rsidP="00DC15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928 Organismo de Investigación Judicial</w:t>
            </w:r>
          </w:p>
          <w:p w14:paraId="12AD9464" w14:textId="77777777" w:rsidR="00DC155A" w:rsidRDefault="00DC155A" w:rsidP="00DC155A">
            <w:pPr>
              <w:spacing w:after="0" w:line="240" w:lineRule="auto"/>
              <w:jc w:val="center"/>
              <w:rPr>
                <w:rFonts w:ascii="Book Antiqua" w:eastAsia="Times New Roman" w:hAnsi="Book Antiqua" w:cs="Calibri"/>
                <w:color w:val="000000"/>
                <w:sz w:val="14"/>
                <w:szCs w:val="14"/>
                <w:lang w:eastAsia="es-CR"/>
              </w:rPr>
            </w:pPr>
          </w:p>
          <w:p w14:paraId="0919963A" w14:textId="4C55CD30" w:rsidR="00DC155A" w:rsidRPr="00697B6D" w:rsidRDefault="00DC155A" w:rsidP="00DC155A">
            <w:pPr>
              <w:spacing w:after="0" w:line="240" w:lineRule="auto"/>
              <w:jc w:val="center"/>
              <w:rPr>
                <w:rFonts w:ascii="Book Antiqua" w:eastAsia="Times New Roman" w:hAnsi="Book Antiqua" w:cs="Calibri"/>
                <w:color w:val="000000"/>
                <w:sz w:val="14"/>
                <w:szCs w:val="14"/>
                <w:lang w:eastAsia="es-CR"/>
              </w:rPr>
            </w:pPr>
          </w:p>
        </w:tc>
        <w:tc>
          <w:tcPr>
            <w:tcW w:w="1173" w:type="dxa"/>
            <w:vMerge w:val="restart"/>
            <w:tcBorders>
              <w:top w:val="single" w:sz="4" w:space="0" w:color="auto"/>
              <w:left w:val="nil"/>
              <w:right w:val="single" w:sz="4" w:space="0" w:color="auto"/>
            </w:tcBorders>
            <w:shd w:val="clear" w:color="auto" w:fill="auto"/>
            <w:noWrap/>
            <w:vAlign w:val="center"/>
          </w:tcPr>
          <w:p w14:paraId="35A4F2BB" w14:textId="1BE0A612" w:rsidR="00DC155A" w:rsidRPr="00697B6D" w:rsidRDefault="00DC155A" w:rsidP="00DC15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Organismo de Investigación Judicial</w:t>
            </w:r>
          </w:p>
        </w:tc>
        <w:tc>
          <w:tcPr>
            <w:tcW w:w="118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1400CA9A"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1167-OIJ-P24</w:t>
            </w:r>
          </w:p>
        </w:tc>
        <w:tc>
          <w:tcPr>
            <w:tcW w:w="2127"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7D69212D"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Sistema Único Policial Especializado en la Resolución de la Criminalidad común, Organizada y la Prevención (SUPERCOP)</w:t>
            </w:r>
          </w:p>
        </w:tc>
        <w:tc>
          <w:tcPr>
            <w:tcW w:w="1034"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452AB422"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124D4EB3"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3AD0F468"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1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7D3D0947"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102163</w:t>
            </w:r>
          </w:p>
        </w:tc>
      </w:tr>
      <w:tr w:rsidR="00BC00B3" w:rsidRPr="00697B6D" w14:paraId="620A4934"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EF142CE" w14:textId="77777777" w:rsidR="00DC155A" w:rsidRPr="00697B6D" w:rsidRDefault="00DC155A" w:rsidP="00DC15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89C99B9" w14:textId="3D8200A7" w:rsidR="00DC155A" w:rsidRPr="00697B6D" w:rsidRDefault="00DC155A" w:rsidP="00DC15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0AC23397"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5741D21D"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13268D76"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490DA30F"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2B356352"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1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3A3017B5"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103732</w:t>
            </w:r>
          </w:p>
        </w:tc>
      </w:tr>
      <w:tr w:rsidR="00BC00B3" w:rsidRPr="00697B6D" w14:paraId="0FDB7712"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FA7308C"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BFE50D7" w14:textId="1D69D40D"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367003C0"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024CA6B5"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51A42BF2"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2236B39E"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27957091"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1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2B0C3F0C"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374034</w:t>
            </w:r>
          </w:p>
        </w:tc>
      </w:tr>
      <w:tr w:rsidR="00BC00B3" w:rsidRPr="00697B6D" w14:paraId="3831BC7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1739A7E"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AFAD360" w14:textId="02350F90"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038BF09B"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2A9A1EFC"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75A3779F"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1B30F2F2"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3FE4DBD8"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49D2D492"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56909</w:t>
            </w:r>
          </w:p>
        </w:tc>
      </w:tr>
      <w:tr w:rsidR="00BC00B3" w:rsidRPr="00697B6D" w14:paraId="676707EC"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4E14C09"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22EB782" w14:textId="6E462B4F"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1542BF96"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3CBC8A4D"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28127747"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6776A752"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4DFDEE66"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21AF9154"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96403</w:t>
            </w:r>
          </w:p>
        </w:tc>
      </w:tr>
      <w:tr w:rsidR="00BC00B3" w:rsidRPr="00697B6D" w14:paraId="30F0B57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6A7E2B7"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1B17B98"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30DF4C76"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01852755"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6C42A0E6"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3237A29"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3125DC6"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42A43777"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363879</w:t>
            </w:r>
          </w:p>
        </w:tc>
      </w:tr>
      <w:tr w:rsidR="00BC00B3" w:rsidRPr="00697B6D" w14:paraId="216377B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D6E328E"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7963E64"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49E43CC6"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53FC457B"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10025973"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452E5B7B"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E785B32"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0A4F5B05"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363880</w:t>
            </w:r>
          </w:p>
        </w:tc>
      </w:tr>
      <w:tr w:rsidR="00BC00B3" w:rsidRPr="00697B6D" w14:paraId="1DE11F2C"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FF4FB26"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453E62D"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51B23279"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3C473BFA"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13D4AE81"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613745AE"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2079149B"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60184377"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378544</w:t>
            </w:r>
          </w:p>
        </w:tc>
      </w:tr>
      <w:tr w:rsidR="00BC00B3" w:rsidRPr="00697B6D" w14:paraId="1F826E9A"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075A6E3"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C902C62"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62035DE0"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36355602"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37315954"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7B3CB3BE"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2C8841F"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41817C18"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378548</w:t>
            </w:r>
          </w:p>
        </w:tc>
      </w:tr>
      <w:tr w:rsidR="00BC00B3" w:rsidRPr="00697B6D" w14:paraId="687EE76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9D9C12A"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1D46370"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2BF7B135"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5855F8D9"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75387851"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126CB350"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F27CF83"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6550D16B"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363882</w:t>
            </w:r>
          </w:p>
        </w:tc>
      </w:tr>
      <w:tr w:rsidR="00BC00B3" w:rsidRPr="00697B6D" w14:paraId="6C46A0A9"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77FA1EC"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673B639"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40227A3B"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05B7F4E4"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7D3A7EEE"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482461D4"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36C9D51D"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78017DDE"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378545</w:t>
            </w:r>
          </w:p>
        </w:tc>
      </w:tr>
      <w:tr w:rsidR="00BC00B3" w:rsidRPr="00697B6D" w14:paraId="2469B787"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C8E6CB3"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EED123A"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57E11702"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713C7CB1"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388891C1"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6A4C71E7"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1BA8E20"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3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3CEB27FC"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363885</w:t>
            </w:r>
          </w:p>
        </w:tc>
      </w:tr>
      <w:tr w:rsidR="00BC00B3" w:rsidRPr="00697B6D" w14:paraId="32151DEC"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6B28CBD"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ACDE835"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1851FFEA"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1CD37280"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76DC5EB4"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7F2A2728"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0F2D2ED5"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3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536A5A40"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378546</w:t>
            </w:r>
          </w:p>
        </w:tc>
      </w:tr>
      <w:tr w:rsidR="00BC00B3" w:rsidRPr="00697B6D" w14:paraId="6113849F"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F29A3F3"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B838A7A"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7064450E"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51BA2904"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6DC44CE7"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1EC71A94"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57535F87"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3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3484ADFD" w14:textId="77777777" w:rsidR="00DC155A" w:rsidRPr="00697B6D" w:rsidRDefault="00DC155A" w:rsidP="001340AD">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383681</w:t>
            </w:r>
          </w:p>
        </w:tc>
      </w:tr>
      <w:tr w:rsidR="00BC00B3" w:rsidRPr="00697B6D" w14:paraId="2B8CAD58"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4D3AD11"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7A32ED6"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1A486A10"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6719A2A1"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5D80EAE1"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35BFA543"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433C7EB" w14:textId="1D10C8E0"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3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21894E47"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383680</w:t>
            </w:r>
          </w:p>
        </w:tc>
      </w:tr>
      <w:tr w:rsidR="00BC00B3" w:rsidRPr="00697B6D" w14:paraId="27A8F6C0"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EE2E19C"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0F5F2F0"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2675D627"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11A55E7A"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10262CAA"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238C2E08"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53CEAC31" w14:textId="63C88F8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3AB0B1FC"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372002</w:t>
            </w:r>
          </w:p>
        </w:tc>
      </w:tr>
      <w:tr w:rsidR="00BC00B3" w:rsidRPr="00697B6D" w14:paraId="196055E5"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80EF44D"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0BEEB91"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075FD8FE"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03144E69"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3D10C638"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47913567"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28BA7FD8" w14:textId="7E88E8FB"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15C749A1"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383679</w:t>
            </w:r>
          </w:p>
        </w:tc>
      </w:tr>
      <w:tr w:rsidR="00BC00B3" w:rsidRPr="00697B6D" w14:paraId="62ACC810"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FCBF2B5"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E2ACC4A"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7AEC181C"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4E65D34C"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3367DE75"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32CDEBCC"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20DBBAEA" w14:textId="0273913C"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289E79A0"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378547</w:t>
            </w:r>
          </w:p>
        </w:tc>
      </w:tr>
      <w:tr w:rsidR="00BC00B3" w:rsidRPr="00697B6D" w14:paraId="205E8794"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983FEF5"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7D8BB1E"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508F5DFE"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2715A8ED"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04FE42CD"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29555684"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49E4C797" w14:textId="160BABFF"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68C9CA30"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374035</w:t>
            </w:r>
          </w:p>
        </w:tc>
      </w:tr>
      <w:tr w:rsidR="00BC00B3" w:rsidRPr="00697B6D" w14:paraId="2DC63337" w14:textId="77777777" w:rsidTr="00301740">
        <w:trPr>
          <w:trHeight w:val="290"/>
        </w:trPr>
        <w:tc>
          <w:tcPr>
            <w:tcW w:w="1613" w:type="dxa"/>
            <w:vMerge/>
            <w:tcBorders>
              <w:left w:val="single" w:sz="4" w:space="0" w:color="auto"/>
              <w:right w:val="single" w:sz="4" w:space="0" w:color="auto"/>
            </w:tcBorders>
            <w:shd w:val="clear" w:color="auto" w:fill="auto"/>
            <w:noWrap/>
            <w:vAlign w:val="center"/>
            <w:hideMark/>
          </w:tcPr>
          <w:p w14:paraId="65840112"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429F43F"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288BCD29"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1167-OIJ-P25</w:t>
            </w:r>
          </w:p>
        </w:tc>
        <w:tc>
          <w:tcPr>
            <w:tcW w:w="2127"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164A612F"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 para el abordaje de la problemática en la atención de aperturas de indicios digitales y tramitación de casos de la Sección Especializada Contra el Cibercrimen</w:t>
            </w:r>
          </w:p>
        </w:tc>
        <w:tc>
          <w:tcPr>
            <w:tcW w:w="1034"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3E7EFFE5"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292BDA65"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266253E"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73AF791D"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368024</w:t>
            </w:r>
          </w:p>
        </w:tc>
      </w:tr>
      <w:tr w:rsidR="00BC00B3" w:rsidRPr="00697B6D" w14:paraId="12F3A67B" w14:textId="77777777" w:rsidTr="00301740">
        <w:trPr>
          <w:trHeight w:val="290"/>
        </w:trPr>
        <w:tc>
          <w:tcPr>
            <w:tcW w:w="1613" w:type="dxa"/>
            <w:vMerge/>
            <w:tcBorders>
              <w:left w:val="single" w:sz="4" w:space="0" w:color="auto"/>
              <w:right w:val="single" w:sz="4" w:space="0" w:color="auto"/>
            </w:tcBorders>
            <w:shd w:val="clear" w:color="auto" w:fill="auto"/>
            <w:noWrap/>
            <w:vAlign w:val="center"/>
            <w:hideMark/>
          </w:tcPr>
          <w:p w14:paraId="27A78B31"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19391D8"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754EEA66"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6F835093"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1BB70B9E"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8457BBF"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7CA935EF"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02871314"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33615</w:t>
            </w:r>
          </w:p>
        </w:tc>
      </w:tr>
      <w:tr w:rsidR="00BC00B3" w:rsidRPr="00697B6D" w14:paraId="1DC55EAA" w14:textId="77777777" w:rsidTr="00301740">
        <w:trPr>
          <w:trHeight w:val="290"/>
        </w:trPr>
        <w:tc>
          <w:tcPr>
            <w:tcW w:w="1613" w:type="dxa"/>
            <w:vMerge/>
            <w:tcBorders>
              <w:left w:val="single" w:sz="4" w:space="0" w:color="auto"/>
              <w:right w:val="single" w:sz="4" w:space="0" w:color="auto"/>
            </w:tcBorders>
            <w:shd w:val="clear" w:color="auto" w:fill="auto"/>
            <w:noWrap/>
            <w:vAlign w:val="center"/>
            <w:hideMark/>
          </w:tcPr>
          <w:p w14:paraId="284689B7"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51DF178"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58C56714"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281045FB"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13596E40"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68E74C56"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0C687D33"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1F97CDF8"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33659</w:t>
            </w:r>
          </w:p>
        </w:tc>
      </w:tr>
      <w:tr w:rsidR="00BC00B3" w:rsidRPr="00697B6D" w14:paraId="31F92DB7"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7CD62BF"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D51FBB2"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2D31D25A"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6B5F95BE"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4D008C10"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290A2D56"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067A08D3"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12B12C32"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84099</w:t>
            </w:r>
          </w:p>
        </w:tc>
      </w:tr>
      <w:tr w:rsidR="00BC00B3" w:rsidRPr="00697B6D" w14:paraId="60CACA3A"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F5B9E1F"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8CDE088"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4D2B9001"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1B4064F6"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106DE8BE"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63867D6A"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398634C8"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6CA3BE5C"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368018</w:t>
            </w:r>
          </w:p>
        </w:tc>
      </w:tr>
      <w:tr w:rsidR="00BC00B3" w:rsidRPr="00697B6D" w14:paraId="22DAF93E" w14:textId="77777777" w:rsidTr="00301740">
        <w:trPr>
          <w:trHeight w:val="290"/>
        </w:trPr>
        <w:tc>
          <w:tcPr>
            <w:tcW w:w="1613" w:type="dxa"/>
            <w:vMerge/>
            <w:tcBorders>
              <w:left w:val="single" w:sz="4" w:space="0" w:color="auto"/>
              <w:right w:val="single" w:sz="4" w:space="0" w:color="auto"/>
            </w:tcBorders>
            <w:shd w:val="clear" w:color="auto" w:fill="auto"/>
            <w:noWrap/>
            <w:vAlign w:val="center"/>
            <w:hideMark/>
          </w:tcPr>
          <w:p w14:paraId="5EBD082F"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4EFC93F"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4E082504"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2980EDF6"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5235B23C"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710386A7"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2F51B339"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6C55639A"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92550</w:t>
            </w:r>
          </w:p>
        </w:tc>
      </w:tr>
      <w:tr w:rsidR="00BC00B3" w:rsidRPr="00697B6D" w14:paraId="149F709C"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5988163"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6A87FD8"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093D42E3"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0E3BA189"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20B0B88C"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36A49A0B"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3B660E6"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66B04DA4"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103752</w:t>
            </w:r>
          </w:p>
        </w:tc>
      </w:tr>
      <w:tr w:rsidR="00BC00B3" w:rsidRPr="00697B6D" w14:paraId="020156F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3AFD6F4"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BD63704"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74096F43"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28FE633D"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4231E56A"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0F3AED93"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2B8E09D"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698DDA6C"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350246</w:t>
            </w:r>
          </w:p>
        </w:tc>
      </w:tr>
      <w:tr w:rsidR="007E6FC1" w:rsidRPr="00697B6D" w14:paraId="0D04A258" w14:textId="77777777" w:rsidTr="00301740">
        <w:trPr>
          <w:trHeight w:val="290"/>
        </w:trPr>
        <w:tc>
          <w:tcPr>
            <w:tcW w:w="1613" w:type="dxa"/>
            <w:vMerge/>
            <w:tcBorders>
              <w:left w:val="single" w:sz="4" w:space="0" w:color="auto"/>
              <w:bottom w:val="single" w:sz="4" w:space="0" w:color="auto"/>
              <w:right w:val="single" w:sz="4" w:space="0" w:color="auto"/>
            </w:tcBorders>
            <w:shd w:val="clear" w:color="auto" w:fill="auto"/>
            <w:noWrap/>
            <w:vAlign w:val="center"/>
          </w:tcPr>
          <w:p w14:paraId="08716978"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bottom w:val="single" w:sz="4" w:space="0" w:color="auto"/>
              <w:right w:val="single" w:sz="4" w:space="0" w:color="auto"/>
            </w:tcBorders>
            <w:shd w:val="clear" w:color="auto" w:fill="auto"/>
            <w:noWrap/>
            <w:vAlign w:val="center"/>
          </w:tcPr>
          <w:p w14:paraId="01E7D520"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35E7DD65"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1B253FCB"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7F0D18FF"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3484EF11"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AD41F89"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66CACC18" w14:textId="77777777" w:rsidR="00DC155A" w:rsidRPr="00697B6D" w:rsidRDefault="00DC15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350247</w:t>
            </w:r>
          </w:p>
        </w:tc>
      </w:tr>
      <w:tr w:rsidR="007E6FC1" w:rsidRPr="00697B6D" w14:paraId="21A5566B" w14:textId="77777777" w:rsidTr="00301740">
        <w:trPr>
          <w:trHeight w:val="290"/>
        </w:trPr>
        <w:tc>
          <w:tcPr>
            <w:tcW w:w="1613" w:type="dxa"/>
            <w:vMerge w:val="restart"/>
            <w:tcBorders>
              <w:top w:val="single" w:sz="4" w:space="0" w:color="auto"/>
              <w:left w:val="single" w:sz="4" w:space="0" w:color="auto"/>
              <w:right w:val="single" w:sz="4" w:space="0" w:color="auto"/>
            </w:tcBorders>
            <w:shd w:val="clear" w:color="auto" w:fill="auto"/>
            <w:noWrap/>
            <w:vAlign w:val="center"/>
          </w:tcPr>
          <w:p w14:paraId="4BD5C21D"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15AABE00"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0CC4BC8D"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05ABBF03"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24F03FC3"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14ADCF03"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62B25784"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63EFD295"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658C9947"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216ED8AE"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79CFB8B2"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24DDD580"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5896B495"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4C09F256"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5E94A670"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38A7E086"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6321B270"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6261BF96"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23EBD2B8"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71DA0E3B"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00DFEB1B"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423A43AB"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2BA10E3C"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50BB93D4"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23E40868"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2B6F913F"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689E6F58"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41969D1C"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4A033EDA"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7EAA3552" w14:textId="77777777" w:rsidR="009E72C7" w:rsidRDefault="009E72C7" w:rsidP="003C245A">
            <w:pPr>
              <w:spacing w:after="0" w:line="240" w:lineRule="auto"/>
              <w:jc w:val="center"/>
              <w:rPr>
                <w:rFonts w:ascii="Book Antiqua" w:eastAsia="Times New Roman" w:hAnsi="Book Antiqua" w:cs="Calibri"/>
                <w:color w:val="000000"/>
                <w:sz w:val="14"/>
                <w:szCs w:val="14"/>
                <w:lang w:eastAsia="es-CR"/>
              </w:rPr>
            </w:pPr>
          </w:p>
          <w:p w14:paraId="05D4B37C" w14:textId="798F0470"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928 Organismo de Investigación Judicial</w:t>
            </w:r>
          </w:p>
        </w:tc>
        <w:tc>
          <w:tcPr>
            <w:tcW w:w="1173" w:type="dxa"/>
            <w:vMerge w:val="restart"/>
            <w:tcBorders>
              <w:top w:val="single" w:sz="4" w:space="0" w:color="auto"/>
              <w:left w:val="nil"/>
              <w:right w:val="single" w:sz="4" w:space="0" w:color="auto"/>
            </w:tcBorders>
            <w:shd w:val="clear" w:color="auto" w:fill="auto"/>
            <w:noWrap/>
            <w:vAlign w:val="center"/>
          </w:tcPr>
          <w:p w14:paraId="4BF64149" w14:textId="7B2905B1"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Organismo de Investigación Judicial</w:t>
            </w: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413371E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6DA653D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20EBF2B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16CA4D2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9FE139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5341E2C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351924</w:t>
            </w:r>
          </w:p>
        </w:tc>
      </w:tr>
      <w:tr w:rsidR="00BC00B3" w:rsidRPr="00697B6D" w14:paraId="5F825A70"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EF0F8D9" w14:textId="48F20C41"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D877C97" w14:textId="5746CEC6"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31C38BF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35DC634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62D9ACF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3CDDB4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B61C7D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113CAB3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351925</w:t>
            </w:r>
          </w:p>
        </w:tc>
      </w:tr>
      <w:tr w:rsidR="00BC00B3" w:rsidRPr="00697B6D" w14:paraId="5B2FDD67"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6D470A0" w14:textId="652890F6"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EF18038" w14:textId="44C5C553"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51D0B2D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4E6AD64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73AB1D4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068F5BE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44C5736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65E9F38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368016</w:t>
            </w:r>
          </w:p>
        </w:tc>
      </w:tr>
      <w:tr w:rsidR="00BC00B3" w:rsidRPr="00697B6D" w14:paraId="3220471C"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64D9913" w14:textId="53CFE70F"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9F653E0" w14:textId="623828A2"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79FCC0B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707B295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3FEDD33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21CD7C8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32F888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3194BCE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368022</w:t>
            </w:r>
          </w:p>
        </w:tc>
      </w:tr>
      <w:tr w:rsidR="00BC00B3" w:rsidRPr="00697B6D" w14:paraId="7CD027AA"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B54B871" w14:textId="39AEEDA3"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C349487" w14:textId="068FCD38"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2832D1D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40A8F3E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2CA2CE9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7CDC94F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354B388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3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21C4251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55512</w:t>
            </w:r>
          </w:p>
        </w:tc>
      </w:tr>
      <w:tr w:rsidR="00BC00B3" w:rsidRPr="00697B6D" w14:paraId="0773986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88EA110" w14:textId="69AB1959"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2C5C9D6" w14:textId="6584F920"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28DD0D9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435EC3E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258E464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E2B68C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425EDF8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EN INFORMATICA 3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4CB2EE7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382181</w:t>
            </w:r>
          </w:p>
        </w:tc>
      </w:tr>
      <w:tr w:rsidR="00BC00B3" w:rsidRPr="00697B6D" w14:paraId="29013DFE"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8A9CE2D" w14:textId="075B604C"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55787BD" w14:textId="3AF2E774"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29FF2D0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1167-OIJ-P27</w:t>
            </w:r>
          </w:p>
        </w:tc>
        <w:tc>
          <w:tcPr>
            <w:tcW w:w="2127"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3D6E8D4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Optimización de la tramitología en los procesos de gestión humana</w:t>
            </w:r>
          </w:p>
        </w:tc>
        <w:tc>
          <w:tcPr>
            <w:tcW w:w="1034"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552EB7A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7C4974B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290F568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4C77BFA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377278</w:t>
            </w:r>
          </w:p>
        </w:tc>
      </w:tr>
      <w:tr w:rsidR="00BC00B3" w:rsidRPr="00697B6D" w14:paraId="18ADA474"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FB41390" w14:textId="32C2515C"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A5F506F" w14:textId="1AF8AF8C"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259D72F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2451246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57EDA09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236844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07DF70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4B79BF5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383639</w:t>
            </w:r>
          </w:p>
        </w:tc>
      </w:tr>
      <w:tr w:rsidR="00BC00B3" w:rsidRPr="00697B6D" w14:paraId="1D2B8E8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88AACB0" w14:textId="347BC24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B0FBEC4" w14:textId="448E203F"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0616557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21D8D40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1649D8D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2A0FBB7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3896BF0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0A2A8B3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383640</w:t>
            </w:r>
          </w:p>
        </w:tc>
      </w:tr>
      <w:tr w:rsidR="00BC00B3" w:rsidRPr="00697B6D" w14:paraId="1C2C0072"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B06B651" w14:textId="12CFCDB6"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B8D17E5" w14:textId="5CDF6128"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2EDA773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0E1B8C3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51DDCAC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44BA119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3142602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1</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5A702AE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54044</w:t>
            </w:r>
          </w:p>
        </w:tc>
      </w:tr>
      <w:tr w:rsidR="00BC00B3" w:rsidRPr="00697B6D" w14:paraId="0A2D1158"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F19E549" w14:textId="799E6095"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F7E137B" w14:textId="28EE1D0A"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22BE607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7C8704E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62D3E5B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761F6DC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2EC320C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1</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0ECDD9E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103198</w:t>
            </w:r>
          </w:p>
        </w:tc>
      </w:tr>
      <w:tr w:rsidR="00BC00B3" w:rsidRPr="00697B6D" w14:paraId="07C99A68"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DFF06B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BB107E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1188DA9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4A36E37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36C13BC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2E1FECB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9C8AF4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6</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42F9E4C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350222</w:t>
            </w:r>
          </w:p>
        </w:tc>
      </w:tr>
      <w:tr w:rsidR="00BC00B3" w:rsidRPr="00697B6D" w14:paraId="64BAE346" w14:textId="77777777" w:rsidTr="00301740">
        <w:trPr>
          <w:trHeight w:val="290"/>
        </w:trPr>
        <w:tc>
          <w:tcPr>
            <w:tcW w:w="1613" w:type="dxa"/>
            <w:vMerge/>
            <w:tcBorders>
              <w:left w:val="single" w:sz="4" w:space="0" w:color="auto"/>
              <w:right w:val="single" w:sz="4" w:space="0" w:color="auto"/>
            </w:tcBorders>
            <w:shd w:val="clear" w:color="auto" w:fill="auto"/>
            <w:noWrap/>
            <w:vAlign w:val="center"/>
            <w:hideMark/>
          </w:tcPr>
          <w:p w14:paraId="5C35368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hideMark/>
          </w:tcPr>
          <w:p w14:paraId="007A0CC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6549BE9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1167-OIJ-P28</w:t>
            </w:r>
          </w:p>
        </w:tc>
        <w:tc>
          <w:tcPr>
            <w:tcW w:w="2127"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5921371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Mejoramiento de la eficiencia de la plataforma administrativa de las Sedes Regionales del Organismo de Investigación Judicial 2021</w:t>
            </w:r>
          </w:p>
        </w:tc>
        <w:tc>
          <w:tcPr>
            <w:tcW w:w="1034"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6A4C48C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0B919E3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C6F713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ASISTENTE  ADMINISTRATIVO 1</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0A57C8B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24128</w:t>
            </w:r>
          </w:p>
        </w:tc>
      </w:tr>
      <w:tr w:rsidR="00BC00B3" w:rsidRPr="00697B6D" w14:paraId="50074870"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0ADDE6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93902E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7B32609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56B1666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6EB2C24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AD317F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F4B75B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ASISTENTE  ADMINISTRATIVO 1</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3CEFA12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47207</w:t>
            </w:r>
          </w:p>
        </w:tc>
      </w:tr>
      <w:tr w:rsidR="00BC00B3" w:rsidRPr="00697B6D" w14:paraId="491F59AA"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272CBA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8FB8CC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7554703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43625B4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2F54968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B1F637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5E372BA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ASISTENTE  ADMINISTRATIVO 1</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0591E58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48365</w:t>
            </w:r>
          </w:p>
        </w:tc>
      </w:tr>
      <w:tr w:rsidR="00BC00B3" w:rsidRPr="00697B6D" w14:paraId="2AC2818A"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2BF9EA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C35787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4A5ADE8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1B1863A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11B29E8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0C78A41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0B3BFAA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ASISTENTE  ADMINISTRATIVO 1</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170B623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95423</w:t>
            </w:r>
          </w:p>
        </w:tc>
      </w:tr>
      <w:tr w:rsidR="00BC00B3" w:rsidRPr="00697B6D" w14:paraId="01AE6DD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2F0442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6736EC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256D7D4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746B9AA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5F18E9A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9C8CEE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07B79F2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ASISTENTE  ADMINISTRATIVO 1</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2A61B6C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108598</w:t>
            </w:r>
          </w:p>
        </w:tc>
      </w:tr>
      <w:tr w:rsidR="00BC00B3" w:rsidRPr="00697B6D" w14:paraId="3A7BB8D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BB9117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5DF26A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7CDB604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070AB00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400F199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1E54852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2B85DD5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ASISTENTE  ADMINISTRATIVO 1</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49897C8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112379</w:t>
            </w:r>
          </w:p>
        </w:tc>
      </w:tr>
      <w:tr w:rsidR="00BC00B3" w:rsidRPr="00697B6D" w14:paraId="54D23E87"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76EC98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035129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7F16CB3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287F358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3335649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225FF76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56A3E7E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6903E0C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15653</w:t>
            </w:r>
          </w:p>
        </w:tc>
      </w:tr>
      <w:tr w:rsidR="00BC00B3" w:rsidRPr="00697B6D" w14:paraId="3D5DB8C0"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0B5A8E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41D299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1DD15BE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03BE67E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3AA6013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0D892FB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2F9253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0B14F09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20019</w:t>
            </w:r>
          </w:p>
        </w:tc>
      </w:tr>
      <w:tr w:rsidR="00BC00B3" w:rsidRPr="00697B6D" w14:paraId="19B6F13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F8581E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FD65BA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6D88025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15CEC58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387CCB0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268660A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0C35CF1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07566D9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24126</w:t>
            </w:r>
          </w:p>
        </w:tc>
      </w:tr>
      <w:tr w:rsidR="00BC00B3" w:rsidRPr="00697B6D" w14:paraId="416737FA"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A5120D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56527E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04B990C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5DF5034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1B8BAFD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8E54D9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FDE006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32C16C5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43221</w:t>
            </w:r>
          </w:p>
        </w:tc>
      </w:tr>
      <w:tr w:rsidR="00BC00B3" w:rsidRPr="00697B6D" w14:paraId="7F9BD359"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FDB45E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A150E0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64C7DFF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62E89E4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110D4B4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460CFCA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7B45EFD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450F863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48360</w:t>
            </w:r>
          </w:p>
        </w:tc>
      </w:tr>
      <w:tr w:rsidR="00BC00B3" w:rsidRPr="00697B6D" w14:paraId="76E471E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807FD7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59362B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023F184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4993BAD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4374339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BEBCBA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7FF1589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68E0107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48361</w:t>
            </w:r>
          </w:p>
        </w:tc>
      </w:tr>
      <w:tr w:rsidR="00BC00B3" w:rsidRPr="00697B6D" w14:paraId="220CAE29"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4F1BDF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911CF6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7B4E630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09390D3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6CBD719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3ABC846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D31351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13CFB2D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54080</w:t>
            </w:r>
          </w:p>
        </w:tc>
      </w:tr>
      <w:tr w:rsidR="00BC00B3" w:rsidRPr="00697B6D" w14:paraId="097172C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B821C6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987AC0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54DE520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6FFD515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6427954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D95E69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5ABCBC2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158AD09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54085</w:t>
            </w:r>
          </w:p>
        </w:tc>
      </w:tr>
      <w:tr w:rsidR="00BC00B3" w:rsidRPr="00697B6D" w14:paraId="5DCAF0D7"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04CCCB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D55E6C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6382AAB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26DC33A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68B578B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14E4B41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24DC8A6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3BB65AE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89018</w:t>
            </w:r>
          </w:p>
        </w:tc>
      </w:tr>
      <w:tr w:rsidR="00BC00B3" w:rsidRPr="00697B6D" w14:paraId="7DBB239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D86518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4F297B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59B2072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1DC8BF8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3967800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2A7169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6F1A390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5C09C44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95401</w:t>
            </w:r>
          </w:p>
        </w:tc>
      </w:tr>
      <w:tr w:rsidR="00BC00B3" w:rsidRPr="00697B6D" w14:paraId="6C8B246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F505AB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8B55E8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00F8031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459A421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49E779C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037966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7F92598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2C81043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95435</w:t>
            </w:r>
          </w:p>
        </w:tc>
      </w:tr>
      <w:tr w:rsidR="00BC00B3" w:rsidRPr="00697B6D" w14:paraId="6257CDE2"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100FB6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DBA8DC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48DE6EA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1846CDB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6F4E93E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348E295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4CD4CFA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1B2E82A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102095</w:t>
            </w:r>
          </w:p>
        </w:tc>
      </w:tr>
      <w:tr w:rsidR="007E6FC1" w:rsidRPr="00697B6D" w14:paraId="25360A2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D82494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tcBorders>
              <w:left w:val="nil"/>
              <w:bottom w:val="single" w:sz="4" w:space="0" w:color="auto"/>
              <w:right w:val="single" w:sz="4" w:space="0" w:color="auto"/>
            </w:tcBorders>
            <w:shd w:val="clear" w:color="auto" w:fill="auto"/>
            <w:noWrap/>
            <w:vAlign w:val="center"/>
          </w:tcPr>
          <w:p w14:paraId="6A42953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1762559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32794A3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7220A55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697530B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4FDA920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0F21F80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107821</w:t>
            </w:r>
          </w:p>
        </w:tc>
      </w:tr>
      <w:tr w:rsidR="00CE48BE" w:rsidRPr="00697B6D" w14:paraId="0923EB76" w14:textId="77777777" w:rsidTr="00301740">
        <w:trPr>
          <w:trHeight w:val="290"/>
        </w:trPr>
        <w:tc>
          <w:tcPr>
            <w:tcW w:w="1613" w:type="dxa"/>
            <w:tcBorders>
              <w:left w:val="single" w:sz="4" w:space="0" w:color="auto"/>
              <w:bottom w:val="single" w:sz="4" w:space="0" w:color="auto"/>
              <w:right w:val="single" w:sz="4" w:space="0" w:color="auto"/>
            </w:tcBorders>
            <w:shd w:val="clear" w:color="auto" w:fill="auto"/>
            <w:noWrap/>
            <w:vAlign w:val="center"/>
          </w:tcPr>
          <w:p w14:paraId="2531391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val="restart"/>
            <w:tcBorders>
              <w:top w:val="single" w:sz="4" w:space="0" w:color="auto"/>
              <w:left w:val="nil"/>
              <w:right w:val="single" w:sz="4" w:space="0" w:color="auto"/>
            </w:tcBorders>
            <w:shd w:val="clear" w:color="auto" w:fill="auto"/>
            <w:noWrap/>
            <w:vAlign w:val="center"/>
          </w:tcPr>
          <w:p w14:paraId="6C66F70C" w14:textId="1F1D69FE"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Organismo de Investigación Judicial</w:t>
            </w: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4520783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09B02BA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4687411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4DD8FBA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83A150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0745503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108592</w:t>
            </w:r>
          </w:p>
        </w:tc>
      </w:tr>
      <w:tr w:rsidR="00BC00B3" w:rsidRPr="00697B6D" w14:paraId="4AE9802E" w14:textId="77777777" w:rsidTr="00301740">
        <w:trPr>
          <w:trHeight w:val="290"/>
        </w:trPr>
        <w:tc>
          <w:tcPr>
            <w:tcW w:w="1613" w:type="dxa"/>
            <w:vMerge w:val="restart"/>
            <w:tcBorders>
              <w:top w:val="single" w:sz="4" w:space="0" w:color="auto"/>
              <w:left w:val="single" w:sz="4" w:space="0" w:color="auto"/>
              <w:right w:val="single" w:sz="4" w:space="0" w:color="auto"/>
            </w:tcBorders>
            <w:shd w:val="clear" w:color="auto" w:fill="auto"/>
            <w:noWrap/>
            <w:vAlign w:val="center"/>
          </w:tcPr>
          <w:p w14:paraId="420CC34B" w14:textId="377BB40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928 Organismo de Investigación Judicial</w:t>
            </w:r>
          </w:p>
        </w:tc>
        <w:tc>
          <w:tcPr>
            <w:tcW w:w="1173" w:type="dxa"/>
            <w:vMerge/>
            <w:tcBorders>
              <w:left w:val="nil"/>
              <w:right w:val="single" w:sz="4" w:space="0" w:color="auto"/>
            </w:tcBorders>
            <w:shd w:val="clear" w:color="auto" w:fill="auto"/>
            <w:noWrap/>
            <w:vAlign w:val="center"/>
          </w:tcPr>
          <w:p w14:paraId="7EACDB46" w14:textId="2B8D60C8"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4865142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68C1E7A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71E14F0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6BA0C8E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2493E2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1EE178F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109835</w:t>
            </w:r>
          </w:p>
        </w:tc>
      </w:tr>
      <w:tr w:rsidR="00BC00B3" w:rsidRPr="00697B6D" w14:paraId="71C3648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AE73B40" w14:textId="253C400E"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3D8FE96" w14:textId="40CF1651"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06AB8F8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7EAE932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0A50EA5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D3B8A2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502F3BD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3F17090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350255</w:t>
            </w:r>
          </w:p>
        </w:tc>
      </w:tr>
      <w:tr w:rsidR="00BC00B3" w:rsidRPr="00697B6D" w14:paraId="2E9C219F"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FF3A3D1" w14:textId="5F725702"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0E08BF9" w14:textId="41224F7C"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7166C3D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0E732C9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7381E2C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8E61BA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0EBEA47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42B82CD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350257</w:t>
            </w:r>
          </w:p>
        </w:tc>
      </w:tr>
      <w:tr w:rsidR="00BC00B3" w:rsidRPr="00697B6D" w14:paraId="57FEA065"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6C2A67B" w14:textId="214C44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4798EBA" w14:textId="6E0893C6"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266571C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1CCBA57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4B97472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05909DB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7FF88C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412F8B4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350265</w:t>
            </w:r>
          </w:p>
        </w:tc>
      </w:tr>
      <w:tr w:rsidR="00BC00B3" w:rsidRPr="00697B6D" w14:paraId="042C826C"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E5C23B9" w14:textId="702D2AED"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FD352AB" w14:textId="18565E2B"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3917112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44FA1DB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4A53152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705F55E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470605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362D554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352754</w:t>
            </w:r>
          </w:p>
        </w:tc>
      </w:tr>
      <w:tr w:rsidR="00BC00B3" w:rsidRPr="00697B6D" w14:paraId="1887408C"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A941A9D" w14:textId="71CA108E"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ECDC769" w14:textId="352695FB"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1767E0D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0729357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52F56AF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2C14E01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37E6B1B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283BC87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359341</w:t>
            </w:r>
          </w:p>
        </w:tc>
      </w:tr>
      <w:tr w:rsidR="00BC00B3" w:rsidRPr="00697B6D" w14:paraId="76AAC1F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7C40C3C" w14:textId="532FB246"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7161750" w14:textId="2ED992BE"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058936C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7C07142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369E292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6C9D0A7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5FA66C0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0E8A9CB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359360</w:t>
            </w:r>
          </w:p>
        </w:tc>
      </w:tr>
      <w:tr w:rsidR="00BC00B3" w:rsidRPr="00697B6D" w14:paraId="0163AC5F"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FE0F8E1" w14:textId="345E7AEC"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4B88DDB" w14:textId="3AE7BB2C"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7726D44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27AAEA8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62F4408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4F5CE5D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39EB598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14D66EC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368008</w:t>
            </w:r>
          </w:p>
        </w:tc>
      </w:tr>
      <w:tr w:rsidR="00BC00B3" w:rsidRPr="00697B6D" w14:paraId="2DBDC9D7"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7D86C36" w14:textId="3239EDBE"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4BC3A31" w14:textId="0675F7A3"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741168A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5AE8BC7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2D91F29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313BBB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3715D5F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5BBE472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371332</w:t>
            </w:r>
          </w:p>
        </w:tc>
      </w:tr>
      <w:tr w:rsidR="00BC00B3" w:rsidRPr="00697B6D" w14:paraId="33D6462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4F508EE" w14:textId="6CFC794C"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7648BC6" w14:textId="65581A20"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5752E15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219B286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586A164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78E50B8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05F8890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2AAC6CC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382112</w:t>
            </w:r>
          </w:p>
        </w:tc>
      </w:tr>
      <w:tr w:rsidR="00BC00B3" w:rsidRPr="00697B6D" w14:paraId="374888D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E4EAFB8" w14:textId="0F04510C"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BB80659" w14:textId="1E1DE950"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bottom w:val="single" w:sz="4" w:space="0" w:color="auto"/>
              <w:right w:val="single" w:sz="4" w:space="0" w:color="auto"/>
            </w:tcBorders>
            <w:shd w:val="clear" w:color="auto" w:fill="auto"/>
            <w:noWrap/>
            <w:vAlign w:val="center"/>
          </w:tcPr>
          <w:p w14:paraId="0DD882B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bottom w:val="single" w:sz="4" w:space="0" w:color="auto"/>
              <w:right w:val="single" w:sz="4" w:space="0" w:color="auto"/>
            </w:tcBorders>
            <w:shd w:val="clear" w:color="auto" w:fill="auto"/>
            <w:noWrap/>
            <w:vAlign w:val="center"/>
          </w:tcPr>
          <w:p w14:paraId="461C509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bottom w:val="single" w:sz="4" w:space="0" w:color="auto"/>
              <w:right w:val="single" w:sz="4" w:space="0" w:color="auto"/>
            </w:tcBorders>
            <w:shd w:val="clear" w:color="auto" w:fill="auto"/>
            <w:noWrap/>
            <w:vAlign w:val="center"/>
          </w:tcPr>
          <w:p w14:paraId="474DB3E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0AFCBF4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D43C0E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4B4BD57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382117</w:t>
            </w:r>
          </w:p>
        </w:tc>
      </w:tr>
      <w:tr w:rsidR="00BC00B3" w:rsidRPr="00697B6D" w14:paraId="4416CA9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4B5DDA4" w14:textId="5D0B0CA5"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004D85D" w14:textId="475A0C01"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single" w:sz="4" w:space="0" w:color="auto"/>
              <w:left w:val="nil"/>
              <w:bottom w:val="single" w:sz="4" w:space="0" w:color="auto"/>
              <w:right w:val="single" w:sz="4" w:space="0" w:color="auto"/>
            </w:tcBorders>
            <w:shd w:val="clear" w:color="auto" w:fill="auto"/>
            <w:noWrap/>
            <w:vAlign w:val="center"/>
          </w:tcPr>
          <w:p w14:paraId="54ED1DF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1167-OIJ-P28</w:t>
            </w:r>
          </w:p>
        </w:tc>
        <w:tc>
          <w:tcPr>
            <w:tcW w:w="2127" w:type="dxa"/>
            <w:vMerge w:val="restart"/>
            <w:tcBorders>
              <w:top w:val="single" w:sz="4" w:space="0" w:color="auto"/>
              <w:left w:val="nil"/>
              <w:bottom w:val="single" w:sz="4" w:space="0" w:color="auto"/>
              <w:right w:val="single" w:sz="4" w:space="0" w:color="auto"/>
            </w:tcBorders>
            <w:shd w:val="clear" w:color="auto" w:fill="auto"/>
            <w:noWrap/>
            <w:vAlign w:val="center"/>
          </w:tcPr>
          <w:p w14:paraId="27A3265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Mejoramiento de la eficiencia de la plataforma administrativa de las Sedes Regionales del Organismo de Investigación Judicial 2021</w:t>
            </w:r>
          </w:p>
        </w:tc>
        <w:tc>
          <w:tcPr>
            <w:tcW w:w="1034" w:type="dxa"/>
            <w:vMerge w:val="restart"/>
            <w:tcBorders>
              <w:top w:val="single" w:sz="4" w:space="0" w:color="auto"/>
              <w:left w:val="nil"/>
              <w:bottom w:val="single" w:sz="4" w:space="0" w:color="auto"/>
              <w:right w:val="single" w:sz="4" w:space="0" w:color="auto"/>
            </w:tcBorders>
            <w:shd w:val="clear" w:color="auto" w:fill="auto"/>
            <w:noWrap/>
            <w:vAlign w:val="center"/>
          </w:tcPr>
          <w:p w14:paraId="39035D6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51232B4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4D40547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DE SERVICIOS GENERALES 2</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37F4C42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48345</w:t>
            </w:r>
          </w:p>
        </w:tc>
      </w:tr>
      <w:tr w:rsidR="007E6FC1" w:rsidRPr="00697B6D" w14:paraId="22D1125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967C1D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C839ED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top w:val="single" w:sz="4" w:space="0" w:color="auto"/>
              <w:left w:val="nil"/>
              <w:right w:val="single" w:sz="4" w:space="0" w:color="auto"/>
            </w:tcBorders>
            <w:shd w:val="clear" w:color="auto" w:fill="auto"/>
            <w:noWrap/>
            <w:vAlign w:val="center"/>
          </w:tcPr>
          <w:p w14:paraId="4072244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top w:val="single" w:sz="4" w:space="0" w:color="auto"/>
              <w:left w:val="nil"/>
              <w:right w:val="single" w:sz="4" w:space="0" w:color="auto"/>
            </w:tcBorders>
            <w:shd w:val="clear" w:color="auto" w:fill="auto"/>
            <w:noWrap/>
            <w:vAlign w:val="center"/>
          </w:tcPr>
          <w:p w14:paraId="75E6A72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top w:val="single" w:sz="4" w:space="0" w:color="auto"/>
              <w:left w:val="nil"/>
              <w:right w:val="single" w:sz="4" w:space="0" w:color="auto"/>
            </w:tcBorders>
            <w:shd w:val="clear" w:color="auto" w:fill="auto"/>
            <w:noWrap/>
            <w:vAlign w:val="center"/>
          </w:tcPr>
          <w:p w14:paraId="2CA6C06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14:paraId="143035C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88B6DD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DE SERVICIOS GENERALES 2</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38013EC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99656</w:t>
            </w:r>
          </w:p>
        </w:tc>
      </w:tr>
      <w:tr w:rsidR="007E6FC1" w:rsidRPr="00697B6D" w14:paraId="4AA4113A"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9B924C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EC43D8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29796B7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321B8A2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58F7AD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4C687C4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F75428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DE SERVICIOS GENERALES 2</w:t>
            </w:r>
          </w:p>
        </w:tc>
        <w:tc>
          <w:tcPr>
            <w:tcW w:w="761" w:type="dxa"/>
            <w:tcBorders>
              <w:top w:val="nil"/>
              <w:left w:val="nil"/>
              <w:bottom w:val="single" w:sz="4" w:space="0" w:color="auto"/>
              <w:right w:val="single" w:sz="4" w:space="0" w:color="auto"/>
            </w:tcBorders>
            <w:shd w:val="clear" w:color="auto" w:fill="auto"/>
            <w:noWrap/>
            <w:vAlign w:val="center"/>
            <w:hideMark/>
          </w:tcPr>
          <w:p w14:paraId="30871E5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112380</w:t>
            </w:r>
          </w:p>
        </w:tc>
      </w:tr>
      <w:tr w:rsidR="007E6FC1" w:rsidRPr="00697B6D" w14:paraId="36416827"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335B03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DB524A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794B5D1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B3E964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0B178BF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2162483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27967F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2</w:t>
            </w:r>
          </w:p>
        </w:tc>
        <w:tc>
          <w:tcPr>
            <w:tcW w:w="761" w:type="dxa"/>
            <w:tcBorders>
              <w:top w:val="nil"/>
              <w:left w:val="nil"/>
              <w:bottom w:val="single" w:sz="4" w:space="0" w:color="auto"/>
              <w:right w:val="single" w:sz="4" w:space="0" w:color="auto"/>
            </w:tcBorders>
            <w:shd w:val="clear" w:color="auto" w:fill="auto"/>
            <w:noWrap/>
            <w:vAlign w:val="center"/>
            <w:hideMark/>
          </w:tcPr>
          <w:p w14:paraId="1696E7A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6422</w:t>
            </w:r>
          </w:p>
        </w:tc>
      </w:tr>
      <w:tr w:rsidR="007E6FC1" w:rsidRPr="00697B6D" w14:paraId="52ACC4C2"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645776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201D4E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B52584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7111368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3C66466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AA83B2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2F14D0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2</w:t>
            </w:r>
          </w:p>
        </w:tc>
        <w:tc>
          <w:tcPr>
            <w:tcW w:w="761" w:type="dxa"/>
            <w:tcBorders>
              <w:top w:val="nil"/>
              <w:left w:val="nil"/>
              <w:bottom w:val="single" w:sz="4" w:space="0" w:color="auto"/>
              <w:right w:val="single" w:sz="4" w:space="0" w:color="auto"/>
            </w:tcBorders>
            <w:shd w:val="clear" w:color="auto" w:fill="auto"/>
            <w:noWrap/>
            <w:vAlign w:val="center"/>
            <w:hideMark/>
          </w:tcPr>
          <w:p w14:paraId="5E25294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6495</w:t>
            </w:r>
          </w:p>
        </w:tc>
      </w:tr>
      <w:tr w:rsidR="007E6FC1" w:rsidRPr="00697B6D" w14:paraId="25C49FF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905230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51D107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270C9D8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2A046C7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06C2911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145C49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C9505B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2</w:t>
            </w:r>
          </w:p>
        </w:tc>
        <w:tc>
          <w:tcPr>
            <w:tcW w:w="761" w:type="dxa"/>
            <w:tcBorders>
              <w:top w:val="nil"/>
              <w:left w:val="nil"/>
              <w:bottom w:val="single" w:sz="4" w:space="0" w:color="auto"/>
              <w:right w:val="single" w:sz="4" w:space="0" w:color="auto"/>
            </w:tcBorders>
            <w:shd w:val="clear" w:color="auto" w:fill="auto"/>
            <w:noWrap/>
            <w:vAlign w:val="center"/>
            <w:hideMark/>
          </w:tcPr>
          <w:p w14:paraId="1C09245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6496</w:t>
            </w:r>
          </w:p>
        </w:tc>
      </w:tr>
      <w:tr w:rsidR="007E6FC1" w:rsidRPr="00697B6D" w14:paraId="4EE72EF8"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3395F3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B07437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70B4B8D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602454A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CD0028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2FCCA1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6E0681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2</w:t>
            </w:r>
          </w:p>
        </w:tc>
        <w:tc>
          <w:tcPr>
            <w:tcW w:w="761" w:type="dxa"/>
            <w:tcBorders>
              <w:top w:val="nil"/>
              <w:left w:val="nil"/>
              <w:bottom w:val="single" w:sz="4" w:space="0" w:color="auto"/>
              <w:right w:val="single" w:sz="4" w:space="0" w:color="auto"/>
            </w:tcBorders>
            <w:shd w:val="clear" w:color="auto" w:fill="auto"/>
            <w:noWrap/>
            <w:vAlign w:val="center"/>
            <w:hideMark/>
          </w:tcPr>
          <w:p w14:paraId="5A06B8A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20046</w:t>
            </w:r>
          </w:p>
        </w:tc>
      </w:tr>
      <w:tr w:rsidR="007E6FC1" w:rsidRPr="00697B6D" w14:paraId="67D767C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601B87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B0D5A1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2A45B6B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4F7F513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25B707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8F5612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89C5D7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2</w:t>
            </w:r>
          </w:p>
        </w:tc>
        <w:tc>
          <w:tcPr>
            <w:tcW w:w="761" w:type="dxa"/>
            <w:tcBorders>
              <w:top w:val="nil"/>
              <w:left w:val="nil"/>
              <w:bottom w:val="single" w:sz="4" w:space="0" w:color="auto"/>
              <w:right w:val="single" w:sz="4" w:space="0" w:color="auto"/>
            </w:tcBorders>
            <w:shd w:val="clear" w:color="auto" w:fill="auto"/>
            <w:noWrap/>
            <w:vAlign w:val="center"/>
            <w:hideMark/>
          </w:tcPr>
          <w:p w14:paraId="11BBAC8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47168</w:t>
            </w:r>
          </w:p>
        </w:tc>
      </w:tr>
      <w:tr w:rsidR="007E6FC1" w:rsidRPr="00697B6D" w14:paraId="3E2EDDE0"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DB50CD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5BB76B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73C7258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39F8537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06A79DF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764692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2237F4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2</w:t>
            </w:r>
          </w:p>
        </w:tc>
        <w:tc>
          <w:tcPr>
            <w:tcW w:w="761" w:type="dxa"/>
            <w:tcBorders>
              <w:top w:val="nil"/>
              <w:left w:val="nil"/>
              <w:bottom w:val="single" w:sz="4" w:space="0" w:color="auto"/>
              <w:right w:val="single" w:sz="4" w:space="0" w:color="auto"/>
            </w:tcBorders>
            <w:shd w:val="clear" w:color="auto" w:fill="auto"/>
            <w:noWrap/>
            <w:vAlign w:val="center"/>
            <w:hideMark/>
          </w:tcPr>
          <w:p w14:paraId="76D756E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47170</w:t>
            </w:r>
          </w:p>
        </w:tc>
      </w:tr>
      <w:tr w:rsidR="007E6FC1" w:rsidRPr="00697B6D" w14:paraId="0D7D592A"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702A62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BAC0BF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253E39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674FD28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7C4D673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407E248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24BACF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2</w:t>
            </w:r>
          </w:p>
        </w:tc>
        <w:tc>
          <w:tcPr>
            <w:tcW w:w="761" w:type="dxa"/>
            <w:tcBorders>
              <w:top w:val="nil"/>
              <w:left w:val="nil"/>
              <w:bottom w:val="single" w:sz="4" w:space="0" w:color="auto"/>
              <w:right w:val="single" w:sz="4" w:space="0" w:color="auto"/>
            </w:tcBorders>
            <w:shd w:val="clear" w:color="auto" w:fill="auto"/>
            <w:noWrap/>
            <w:vAlign w:val="center"/>
            <w:hideMark/>
          </w:tcPr>
          <w:p w14:paraId="6C36CDA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47173</w:t>
            </w:r>
          </w:p>
        </w:tc>
      </w:tr>
      <w:tr w:rsidR="007E6FC1" w:rsidRPr="00697B6D" w14:paraId="7C54B11E"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CD268B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F0800C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111E8E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271F770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7D26DE8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5732C35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17D5D0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2</w:t>
            </w:r>
          </w:p>
        </w:tc>
        <w:tc>
          <w:tcPr>
            <w:tcW w:w="761" w:type="dxa"/>
            <w:tcBorders>
              <w:top w:val="nil"/>
              <w:left w:val="nil"/>
              <w:bottom w:val="single" w:sz="4" w:space="0" w:color="auto"/>
              <w:right w:val="single" w:sz="4" w:space="0" w:color="auto"/>
            </w:tcBorders>
            <w:shd w:val="clear" w:color="auto" w:fill="auto"/>
            <w:noWrap/>
            <w:vAlign w:val="center"/>
            <w:hideMark/>
          </w:tcPr>
          <w:p w14:paraId="5167207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47174</w:t>
            </w:r>
          </w:p>
        </w:tc>
      </w:tr>
      <w:tr w:rsidR="007E6FC1" w:rsidRPr="00697B6D" w14:paraId="1036402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81BC7D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CCDFAA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45152B4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829805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4B2D124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1B23CA2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70ED3C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2</w:t>
            </w:r>
          </w:p>
        </w:tc>
        <w:tc>
          <w:tcPr>
            <w:tcW w:w="761" w:type="dxa"/>
            <w:tcBorders>
              <w:top w:val="nil"/>
              <w:left w:val="nil"/>
              <w:bottom w:val="single" w:sz="4" w:space="0" w:color="auto"/>
              <w:right w:val="single" w:sz="4" w:space="0" w:color="auto"/>
            </w:tcBorders>
            <w:shd w:val="clear" w:color="auto" w:fill="auto"/>
            <w:noWrap/>
            <w:vAlign w:val="center"/>
            <w:hideMark/>
          </w:tcPr>
          <w:p w14:paraId="1EDFF13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47176</w:t>
            </w:r>
          </w:p>
        </w:tc>
      </w:tr>
      <w:tr w:rsidR="007E6FC1" w:rsidRPr="00697B6D" w14:paraId="4590249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C47B1D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57F771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7608F80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120581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0DF8C7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B1CC0F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922C63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2</w:t>
            </w:r>
          </w:p>
        </w:tc>
        <w:tc>
          <w:tcPr>
            <w:tcW w:w="761" w:type="dxa"/>
            <w:tcBorders>
              <w:top w:val="nil"/>
              <w:left w:val="nil"/>
              <w:bottom w:val="single" w:sz="4" w:space="0" w:color="auto"/>
              <w:right w:val="single" w:sz="4" w:space="0" w:color="auto"/>
            </w:tcBorders>
            <w:shd w:val="clear" w:color="auto" w:fill="auto"/>
            <w:noWrap/>
            <w:vAlign w:val="center"/>
            <w:hideMark/>
          </w:tcPr>
          <w:p w14:paraId="661B6F7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47177</w:t>
            </w:r>
          </w:p>
        </w:tc>
      </w:tr>
      <w:tr w:rsidR="007E6FC1" w:rsidRPr="00697B6D" w14:paraId="5FBF3EA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5D9629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FA8269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30DDC36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469F128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F95938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849E33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59E4C7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2</w:t>
            </w:r>
          </w:p>
        </w:tc>
        <w:tc>
          <w:tcPr>
            <w:tcW w:w="761" w:type="dxa"/>
            <w:tcBorders>
              <w:top w:val="nil"/>
              <w:left w:val="nil"/>
              <w:bottom w:val="single" w:sz="4" w:space="0" w:color="auto"/>
              <w:right w:val="single" w:sz="4" w:space="0" w:color="auto"/>
            </w:tcBorders>
            <w:shd w:val="clear" w:color="auto" w:fill="auto"/>
            <w:noWrap/>
            <w:vAlign w:val="center"/>
            <w:hideMark/>
          </w:tcPr>
          <w:p w14:paraId="74E7128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47178</w:t>
            </w:r>
          </w:p>
        </w:tc>
      </w:tr>
      <w:tr w:rsidR="007E6FC1" w:rsidRPr="00697B6D" w14:paraId="269DE467"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6D2822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4D6E51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131F403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30EEE21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765102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5B28B88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43BD42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2</w:t>
            </w:r>
          </w:p>
        </w:tc>
        <w:tc>
          <w:tcPr>
            <w:tcW w:w="761" w:type="dxa"/>
            <w:tcBorders>
              <w:top w:val="nil"/>
              <w:left w:val="nil"/>
              <w:bottom w:val="single" w:sz="4" w:space="0" w:color="auto"/>
              <w:right w:val="single" w:sz="4" w:space="0" w:color="auto"/>
            </w:tcBorders>
            <w:shd w:val="clear" w:color="auto" w:fill="auto"/>
            <w:noWrap/>
            <w:vAlign w:val="center"/>
            <w:hideMark/>
          </w:tcPr>
          <w:p w14:paraId="4646D67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47179</w:t>
            </w:r>
          </w:p>
        </w:tc>
      </w:tr>
      <w:tr w:rsidR="007E6FC1" w:rsidRPr="00697B6D" w14:paraId="1B716352"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250091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37A017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1A95FB1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06CF175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1BF715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86B354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3E79A2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2</w:t>
            </w:r>
          </w:p>
        </w:tc>
        <w:tc>
          <w:tcPr>
            <w:tcW w:w="761" w:type="dxa"/>
            <w:tcBorders>
              <w:top w:val="nil"/>
              <w:left w:val="nil"/>
              <w:bottom w:val="single" w:sz="4" w:space="0" w:color="auto"/>
              <w:right w:val="single" w:sz="4" w:space="0" w:color="auto"/>
            </w:tcBorders>
            <w:shd w:val="clear" w:color="auto" w:fill="auto"/>
            <w:noWrap/>
            <w:vAlign w:val="center"/>
            <w:hideMark/>
          </w:tcPr>
          <w:p w14:paraId="67113D8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47180</w:t>
            </w:r>
          </w:p>
        </w:tc>
      </w:tr>
      <w:tr w:rsidR="007E6FC1" w:rsidRPr="00697B6D" w14:paraId="365CB520"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7FBF20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tcBorders>
              <w:left w:val="nil"/>
              <w:right w:val="single" w:sz="4" w:space="0" w:color="auto"/>
            </w:tcBorders>
            <w:shd w:val="clear" w:color="auto" w:fill="auto"/>
            <w:noWrap/>
            <w:vAlign w:val="center"/>
          </w:tcPr>
          <w:p w14:paraId="47806A4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2479218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608BAD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27F4D92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73B30C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4CA9E4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2</w:t>
            </w:r>
          </w:p>
        </w:tc>
        <w:tc>
          <w:tcPr>
            <w:tcW w:w="761" w:type="dxa"/>
            <w:tcBorders>
              <w:top w:val="nil"/>
              <w:left w:val="nil"/>
              <w:bottom w:val="single" w:sz="4" w:space="0" w:color="auto"/>
              <w:right w:val="single" w:sz="4" w:space="0" w:color="auto"/>
            </w:tcBorders>
            <w:shd w:val="clear" w:color="auto" w:fill="auto"/>
            <w:noWrap/>
            <w:vAlign w:val="center"/>
            <w:hideMark/>
          </w:tcPr>
          <w:p w14:paraId="5C25EF5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47181</w:t>
            </w:r>
          </w:p>
        </w:tc>
      </w:tr>
      <w:tr w:rsidR="007E6FC1" w:rsidRPr="00697B6D" w14:paraId="56F7FE42"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D9D6D8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tcBorders>
              <w:left w:val="nil"/>
              <w:right w:val="single" w:sz="4" w:space="0" w:color="auto"/>
            </w:tcBorders>
            <w:shd w:val="clear" w:color="auto" w:fill="auto"/>
            <w:noWrap/>
            <w:vAlign w:val="center"/>
          </w:tcPr>
          <w:p w14:paraId="3B7EE8B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EB3BD0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2067A6F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437DEB8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50C1C66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4E4486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2</w:t>
            </w:r>
          </w:p>
        </w:tc>
        <w:tc>
          <w:tcPr>
            <w:tcW w:w="761" w:type="dxa"/>
            <w:tcBorders>
              <w:top w:val="nil"/>
              <w:left w:val="nil"/>
              <w:bottom w:val="single" w:sz="4" w:space="0" w:color="auto"/>
              <w:right w:val="single" w:sz="4" w:space="0" w:color="auto"/>
            </w:tcBorders>
            <w:shd w:val="clear" w:color="auto" w:fill="auto"/>
            <w:noWrap/>
            <w:vAlign w:val="center"/>
            <w:hideMark/>
          </w:tcPr>
          <w:p w14:paraId="34B9CCF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47182</w:t>
            </w:r>
          </w:p>
        </w:tc>
      </w:tr>
      <w:tr w:rsidR="007E6FC1" w:rsidRPr="00697B6D" w14:paraId="67922AB7" w14:textId="77777777" w:rsidTr="00301740">
        <w:trPr>
          <w:trHeight w:val="290"/>
        </w:trPr>
        <w:tc>
          <w:tcPr>
            <w:tcW w:w="1613" w:type="dxa"/>
            <w:vMerge w:val="restart"/>
            <w:tcBorders>
              <w:left w:val="single" w:sz="4" w:space="0" w:color="auto"/>
              <w:right w:val="single" w:sz="4" w:space="0" w:color="auto"/>
            </w:tcBorders>
            <w:shd w:val="clear" w:color="auto" w:fill="auto"/>
            <w:noWrap/>
            <w:vAlign w:val="center"/>
          </w:tcPr>
          <w:p w14:paraId="02E21979" w14:textId="168B0630"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928 Organismo de Investigación Judicial</w:t>
            </w:r>
          </w:p>
        </w:tc>
        <w:tc>
          <w:tcPr>
            <w:tcW w:w="1173" w:type="dxa"/>
            <w:vMerge w:val="restart"/>
            <w:tcBorders>
              <w:left w:val="nil"/>
              <w:right w:val="single" w:sz="4" w:space="0" w:color="auto"/>
            </w:tcBorders>
            <w:shd w:val="clear" w:color="auto" w:fill="auto"/>
            <w:noWrap/>
            <w:vAlign w:val="center"/>
          </w:tcPr>
          <w:p w14:paraId="36F7F539" w14:textId="7912D160"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Organismo de Investigación Judicial</w:t>
            </w:r>
          </w:p>
        </w:tc>
        <w:tc>
          <w:tcPr>
            <w:tcW w:w="1183" w:type="dxa"/>
            <w:vMerge/>
            <w:tcBorders>
              <w:left w:val="nil"/>
              <w:right w:val="single" w:sz="4" w:space="0" w:color="auto"/>
            </w:tcBorders>
            <w:shd w:val="clear" w:color="auto" w:fill="auto"/>
            <w:noWrap/>
            <w:vAlign w:val="center"/>
          </w:tcPr>
          <w:p w14:paraId="6187636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21FC384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4081D4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26577DE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585528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2</w:t>
            </w:r>
          </w:p>
        </w:tc>
        <w:tc>
          <w:tcPr>
            <w:tcW w:w="761" w:type="dxa"/>
            <w:tcBorders>
              <w:top w:val="nil"/>
              <w:left w:val="nil"/>
              <w:bottom w:val="single" w:sz="4" w:space="0" w:color="auto"/>
              <w:right w:val="single" w:sz="4" w:space="0" w:color="auto"/>
            </w:tcBorders>
            <w:shd w:val="clear" w:color="auto" w:fill="auto"/>
            <w:noWrap/>
            <w:vAlign w:val="center"/>
            <w:hideMark/>
          </w:tcPr>
          <w:p w14:paraId="66BC799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111251</w:t>
            </w:r>
          </w:p>
        </w:tc>
      </w:tr>
      <w:tr w:rsidR="007E6FC1" w:rsidRPr="00697B6D" w14:paraId="4544C54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D7D8E89" w14:textId="65B6D2D6"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4D218BB" w14:textId="2422FCE0"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B0B744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177D5E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7D55D52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0DF625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4CD1C9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2</w:t>
            </w:r>
          </w:p>
        </w:tc>
        <w:tc>
          <w:tcPr>
            <w:tcW w:w="761" w:type="dxa"/>
            <w:tcBorders>
              <w:top w:val="nil"/>
              <w:left w:val="nil"/>
              <w:bottom w:val="single" w:sz="4" w:space="0" w:color="auto"/>
              <w:right w:val="single" w:sz="4" w:space="0" w:color="auto"/>
            </w:tcBorders>
            <w:shd w:val="clear" w:color="auto" w:fill="auto"/>
            <w:noWrap/>
            <w:vAlign w:val="center"/>
            <w:hideMark/>
          </w:tcPr>
          <w:p w14:paraId="7BCEBD6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111252</w:t>
            </w:r>
          </w:p>
        </w:tc>
      </w:tr>
      <w:tr w:rsidR="007E6FC1" w:rsidRPr="00697B6D" w14:paraId="43A147F7"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A51ED51" w14:textId="121EF3F0"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40A2E2B" w14:textId="7EC3EACF"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599F74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7EAFEF2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3E758F6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F0AD76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DF66FB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2</w:t>
            </w:r>
          </w:p>
        </w:tc>
        <w:tc>
          <w:tcPr>
            <w:tcW w:w="761" w:type="dxa"/>
            <w:tcBorders>
              <w:top w:val="nil"/>
              <w:left w:val="nil"/>
              <w:bottom w:val="single" w:sz="4" w:space="0" w:color="auto"/>
              <w:right w:val="single" w:sz="4" w:space="0" w:color="auto"/>
            </w:tcBorders>
            <w:shd w:val="clear" w:color="auto" w:fill="auto"/>
            <w:noWrap/>
            <w:vAlign w:val="center"/>
            <w:hideMark/>
          </w:tcPr>
          <w:p w14:paraId="1228D5D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112366</w:t>
            </w:r>
          </w:p>
        </w:tc>
      </w:tr>
      <w:tr w:rsidR="007E6FC1" w:rsidRPr="00697B6D" w14:paraId="3993F06F"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D52AFEA" w14:textId="6D44B163"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8336E0A" w14:textId="7A5566CC"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38113AC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08094A5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67751E0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130ED90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BA7ADA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2</w:t>
            </w:r>
          </w:p>
        </w:tc>
        <w:tc>
          <w:tcPr>
            <w:tcW w:w="761" w:type="dxa"/>
            <w:tcBorders>
              <w:top w:val="nil"/>
              <w:left w:val="nil"/>
              <w:bottom w:val="single" w:sz="4" w:space="0" w:color="auto"/>
              <w:right w:val="single" w:sz="4" w:space="0" w:color="auto"/>
            </w:tcBorders>
            <w:shd w:val="clear" w:color="auto" w:fill="auto"/>
            <w:noWrap/>
            <w:vAlign w:val="center"/>
            <w:hideMark/>
          </w:tcPr>
          <w:p w14:paraId="2ABD41D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350263</w:t>
            </w:r>
          </w:p>
        </w:tc>
      </w:tr>
      <w:tr w:rsidR="007E6FC1" w:rsidRPr="00697B6D" w14:paraId="7E7D4880"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B7B9A8D" w14:textId="67C5315B"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FE51752" w14:textId="31CA7515"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22BC879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1167-OIJ-P29</w:t>
            </w:r>
          </w:p>
        </w:tc>
        <w:tc>
          <w:tcPr>
            <w:tcW w:w="2127" w:type="dxa"/>
            <w:vMerge w:val="restart"/>
            <w:tcBorders>
              <w:top w:val="nil"/>
              <w:left w:val="nil"/>
              <w:right w:val="single" w:sz="4" w:space="0" w:color="auto"/>
            </w:tcBorders>
            <w:shd w:val="clear" w:color="auto" w:fill="auto"/>
            <w:noWrap/>
            <w:vAlign w:val="center"/>
            <w:hideMark/>
          </w:tcPr>
          <w:p w14:paraId="35ABA8A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 de actualización de la base de datos del Archivo Criminal sistemas ECU – AFIS</w:t>
            </w:r>
          </w:p>
        </w:tc>
        <w:tc>
          <w:tcPr>
            <w:tcW w:w="1034" w:type="dxa"/>
            <w:vMerge w:val="restart"/>
            <w:tcBorders>
              <w:top w:val="nil"/>
              <w:left w:val="nil"/>
              <w:right w:val="single" w:sz="4" w:space="0" w:color="auto"/>
            </w:tcBorders>
            <w:shd w:val="clear" w:color="auto" w:fill="auto"/>
            <w:noWrap/>
            <w:vAlign w:val="center"/>
            <w:hideMark/>
          </w:tcPr>
          <w:p w14:paraId="1571792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3D42151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B2F6B6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PERITO JUDICIAL 1 </w:t>
            </w:r>
          </w:p>
        </w:tc>
        <w:tc>
          <w:tcPr>
            <w:tcW w:w="761" w:type="dxa"/>
            <w:tcBorders>
              <w:top w:val="nil"/>
              <w:left w:val="nil"/>
              <w:bottom w:val="single" w:sz="4" w:space="0" w:color="auto"/>
              <w:right w:val="single" w:sz="4" w:space="0" w:color="auto"/>
            </w:tcBorders>
            <w:shd w:val="clear" w:color="auto" w:fill="auto"/>
            <w:noWrap/>
            <w:vAlign w:val="center"/>
            <w:hideMark/>
          </w:tcPr>
          <w:p w14:paraId="5538C8D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54054</w:t>
            </w:r>
          </w:p>
        </w:tc>
      </w:tr>
      <w:tr w:rsidR="007E6FC1" w:rsidRPr="00697B6D" w14:paraId="492EF1F5"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7534E63" w14:textId="3E0EC364"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1F2F76B" w14:textId="22403910"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210A9A5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2ECFC69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740321B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730670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6ED6EC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PERITO JUDICIAL 1 </w:t>
            </w:r>
          </w:p>
        </w:tc>
        <w:tc>
          <w:tcPr>
            <w:tcW w:w="761" w:type="dxa"/>
            <w:tcBorders>
              <w:top w:val="nil"/>
              <w:left w:val="nil"/>
              <w:bottom w:val="single" w:sz="4" w:space="0" w:color="auto"/>
              <w:right w:val="single" w:sz="4" w:space="0" w:color="auto"/>
            </w:tcBorders>
            <w:shd w:val="clear" w:color="auto" w:fill="auto"/>
            <w:noWrap/>
            <w:vAlign w:val="center"/>
            <w:hideMark/>
          </w:tcPr>
          <w:p w14:paraId="6DBEBB9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371459</w:t>
            </w:r>
          </w:p>
        </w:tc>
      </w:tr>
      <w:tr w:rsidR="007E6FC1" w:rsidRPr="00697B6D" w14:paraId="458326AF"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9053213" w14:textId="2D66EC2B"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75ED639" w14:textId="219B7455"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1C4D21F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61C279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1126B9A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15ADC6B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6AD1C0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1</w:t>
            </w:r>
          </w:p>
        </w:tc>
        <w:tc>
          <w:tcPr>
            <w:tcW w:w="761" w:type="dxa"/>
            <w:tcBorders>
              <w:top w:val="nil"/>
              <w:left w:val="nil"/>
              <w:bottom w:val="single" w:sz="4" w:space="0" w:color="auto"/>
              <w:right w:val="single" w:sz="4" w:space="0" w:color="auto"/>
            </w:tcBorders>
            <w:shd w:val="clear" w:color="auto" w:fill="auto"/>
            <w:noWrap/>
            <w:vAlign w:val="center"/>
            <w:hideMark/>
          </w:tcPr>
          <w:p w14:paraId="7A19A95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43180</w:t>
            </w:r>
          </w:p>
        </w:tc>
      </w:tr>
      <w:tr w:rsidR="007E6FC1" w:rsidRPr="00697B6D" w14:paraId="5B155434"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36FCF94" w14:textId="66478B8D"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37B4FF7" w14:textId="6BEBE321"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2CB7592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10E2E26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B14C26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1673486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FAD86D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1</w:t>
            </w:r>
          </w:p>
        </w:tc>
        <w:tc>
          <w:tcPr>
            <w:tcW w:w="761" w:type="dxa"/>
            <w:tcBorders>
              <w:top w:val="nil"/>
              <w:left w:val="nil"/>
              <w:bottom w:val="single" w:sz="4" w:space="0" w:color="auto"/>
              <w:right w:val="single" w:sz="4" w:space="0" w:color="auto"/>
            </w:tcBorders>
            <w:shd w:val="clear" w:color="auto" w:fill="auto"/>
            <w:noWrap/>
            <w:vAlign w:val="center"/>
            <w:hideMark/>
          </w:tcPr>
          <w:p w14:paraId="1F1A9D6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43185</w:t>
            </w:r>
          </w:p>
        </w:tc>
      </w:tr>
      <w:tr w:rsidR="007E6FC1" w:rsidRPr="00697B6D" w14:paraId="53F9EE9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C4C3C49" w14:textId="6FBA4AF1"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3B19DD9" w14:textId="23F3DA6C"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0018C2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66AE45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DC61F6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14B0165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256434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1</w:t>
            </w:r>
          </w:p>
        </w:tc>
        <w:tc>
          <w:tcPr>
            <w:tcW w:w="761" w:type="dxa"/>
            <w:tcBorders>
              <w:top w:val="nil"/>
              <w:left w:val="nil"/>
              <w:bottom w:val="single" w:sz="4" w:space="0" w:color="auto"/>
              <w:right w:val="single" w:sz="4" w:space="0" w:color="auto"/>
            </w:tcBorders>
            <w:shd w:val="clear" w:color="auto" w:fill="auto"/>
            <w:noWrap/>
            <w:vAlign w:val="center"/>
            <w:hideMark/>
          </w:tcPr>
          <w:p w14:paraId="0260BB3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43186</w:t>
            </w:r>
          </w:p>
        </w:tc>
      </w:tr>
      <w:tr w:rsidR="007E6FC1" w:rsidRPr="00697B6D" w14:paraId="0AF076BA"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642DBA5" w14:textId="7E8A4E5E"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DF109AE" w14:textId="6698FC25"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630D2FA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0BE9F28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290A359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7B6575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9427A8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1</w:t>
            </w:r>
          </w:p>
        </w:tc>
        <w:tc>
          <w:tcPr>
            <w:tcW w:w="761" w:type="dxa"/>
            <w:tcBorders>
              <w:top w:val="nil"/>
              <w:left w:val="nil"/>
              <w:bottom w:val="single" w:sz="4" w:space="0" w:color="auto"/>
              <w:right w:val="single" w:sz="4" w:space="0" w:color="auto"/>
            </w:tcBorders>
            <w:shd w:val="clear" w:color="auto" w:fill="auto"/>
            <w:noWrap/>
            <w:vAlign w:val="center"/>
            <w:hideMark/>
          </w:tcPr>
          <w:p w14:paraId="06627A0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43204</w:t>
            </w:r>
          </w:p>
        </w:tc>
      </w:tr>
      <w:tr w:rsidR="007E6FC1" w:rsidRPr="00697B6D" w14:paraId="2D76C652"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6076DAD" w14:textId="6EE82A9B"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60750DA" w14:textId="792206F5"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1B58E3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2D1DB7B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81D91E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5172C15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A6F83C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1</w:t>
            </w:r>
          </w:p>
        </w:tc>
        <w:tc>
          <w:tcPr>
            <w:tcW w:w="761" w:type="dxa"/>
            <w:tcBorders>
              <w:top w:val="nil"/>
              <w:left w:val="nil"/>
              <w:bottom w:val="single" w:sz="4" w:space="0" w:color="auto"/>
              <w:right w:val="single" w:sz="4" w:space="0" w:color="auto"/>
            </w:tcBorders>
            <w:shd w:val="clear" w:color="auto" w:fill="auto"/>
            <w:noWrap/>
            <w:vAlign w:val="center"/>
            <w:hideMark/>
          </w:tcPr>
          <w:p w14:paraId="631EBE4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95365</w:t>
            </w:r>
          </w:p>
        </w:tc>
      </w:tr>
      <w:tr w:rsidR="007E6FC1" w:rsidRPr="00697B6D" w14:paraId="5CBFA9E4"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0A2FC6C" w14:textId="603D67CE"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7BAA3C2" w14:textId="4AE2104D"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5E29323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6D78B25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4A5F64B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48A78C8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EC7254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1</w:t>
            </w:r>
          </w:p>
        </w:tc>
        <w:tc>
          <w:tcPr>
            <w:tcW w:w="761" w:type="dxa"/>
            <w:tcBorders>
              <w:top w:val="nil"/>
              <w:left w:val="nil"/>
              <w:bottom w:val="single" w:sz="4" w:space="0" w:color="auto"/>
              <w:right w:val="single" w:sz="4" w:space="0" w:color="auto"/>
            </w:tcBorders>
            <w:shd w:val="clear" w:color="auto" w:fill="auto"/>
            <w:noWrap/>
            <w:vAlign w:val="center"/>
            <w:hideMark/>
          </w:tcPr>
          <w:p w14:paraId="18ED256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351915</w:t>
            </w:r>
          </w:p>
        </w:tc>
      </w:tr>
      <w:tr w:rsidR="007E6FC1" w:rsidRPr="00697B6D" w14:paraId="212E12CA"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FE57DC0" w14:textId="66AA44B0"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215F422" w14:textId="0085F39A"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7F439DD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600ADA4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1B64D73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6A0673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2A5735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1</w:t>
            </w:r>
          </w:p>
        </w:tc>
        <w:tc>
          <w:tcPr>
            <w:tcW w:w="761" w:type="dxa"/>
            <w:tcBorders>
              <w:top w:val="nil"/>
              <w:left w:val="nil"/>
              <w:bottom w:val="single" w:sz="4" w:space="0" w:color="auto"/>
              <w:right w:val="single" w:sz="4" w:space="0" w:color="auto"/>
            </w:tcBorders>
            <w:shd w:val="clear" w:color="auto" w:fill="auto"/>
            <w:noWrap/>
            <w:vAlign w:val="center"/>
            <w:hideMark/>
          </w:tcPr>
          <w:p w14:paraId="3046A4D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367608</w:t>
            </w:r>
          </w:p>
        </w:tc>
      </w:tr>
      <w:tr w:rsidR="007E6FC1" w:rsidRPr="00697B6D" w14:paraId="6E231649"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F938494" w14:textId="3DEE155A"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952209E" w14:textId="52D540C8"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3EBA3B2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1167-OIJ-P30</w:t>
            </w:r>
          </w:p>
        </w:tc>
        <w:tc>
          <w:tcPr>
            <w:tcW w:w="2127" w:type="dxa"/>
            <w:tcBorders>
              <w:top w:val="nil"/>
              <w:left w:val="nil"/>
              <w:bottom w:val="single" w:sz="4" w:space="0" w:color="auto"/>
              <w:right w:val="single" w:sz="4" w:space="0" w:color="auto"/>
            </w:tcBorders>
            <w:shd w:val="clear" w:color="auto" w:fill="auto"/>
            <w:noWrap/>
            <w:vAlign w:val="center"/>
            <w:hideMark/>
          </w:tcPr>
          <w:p w14:paraId="097CBE6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 de trabajo para el traslado de Personas Fallecidas</w:t>
            </w:r>
          </w:p>
        </w:tc>
        <w:tc>
          <w:tcPr>
            <w:tcW w:w="1034" w:type="dxa"/>
            <w:tcBorders>
              <w:top w:val="nil"/>
              <w:left w:val="nil"/>
              <w:bottom w:val="single" w:sz="4" w:space="0" w:color="auto"/>
              <w:right w:val="single" w:sz="4" w:space="0" w:color="auto"/>
            </w:tcBorders>
            <w:shd w:val="clear" w:color="auto" w:fill="auto"/>
            <w:noWrap/>
            <w:vAlign w:val="center"/>
            <w:hideMark/>
          </w:tcPr>
          <w:p w14:paraId="11A26BB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1F09FDB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D57AAA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DE SERVICIOS GENERALES 4</w:t>
            </w:r>
          </w:p>
        </w:tc>
        <w:tc>
          <w:tcPr>
            <w:tcW w:w="761" w:type="dxa"/>
            <w:tcBorders>
              <w:top w:val="nil"/>
              <w:left w:val="nil"/>
              <w:bottom w:val="single" w:sz="4" w:space="0" w:color="auto"/>
              <w:right w:val="single" w:sz="4" w:space="0" w:color="auto"/>
            </w:tcBorders>
            <w:shd w:val="clear" w:color="auto" w:fill="auto"/>
            <w:noWrap/>
            <w:vAlign w:val="center"/>
            <w:hideMark/>
          </w:tcPr>
          <w:p w14:paraId="073A999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92437</w:t>
            </w:r>
          </w:p>
        </w:tc>
      </w:tr>
      <w:tr w:rsidR="007E6FC1" w:rsidRPr="00697B6D" w14:paraId="44625259" w14:textId="77777777" w:rsidTr="00301740">
        <w:trPr>
          <w:trHeight w:val="290"/>
        </w:trPr>
        <w:tc>
          <w:tcPr>
            <w:tcW w:w="1613" w:type="dxa"/>
            <w:vMerge/>
            <w:tcBorders>
              <w:left w:val="single" w:sz="4" w:space="0" w:color="auto"/>
              <w:right w:val="single" w:sz="4" w:space="0" w:color="auto"/>
            </w:tcBorders>
            <w:shd w:val="clear" w:color="auto" w:fill="auto"/>
            <w:noWrap/>
            <w:vAlign w:val="center"/>
            <w:hideMark/>
          </w:tcPr>
          <w:p w14:paraId="531AE5F4" w14:textId="4C132FBD"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hideMark/>
          </w:tcPr>
          <w:p w14:paraId="49F4B029" w14:textId="74939533"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4B16EBA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1167-OIJ-P36</w:t>
            </w:r>
          </w:p>
        </w:tc>
        <w:tc>
          <w:tcPr>
            <w:tcW w:w="2127" w:type="dxa"/>
            <w:vMerge w:val="restart"/>
            <w:tcBorders>
              <w:top w:val="nil"/>
              <w:left w:val="nil"/>
              <w:right w:val="single" w:sz="4" w:space="0" w:color="auto"/>
            </w:tcBorders>
            <w:shd w:val="clear" w:color="auto" w:fill="auto"/>
            <w:noWrap/>
            <w:vAlign w:val="center"/>
            <w:hideMark/>
          </w:tcPr>
          <w:p w14:paraId="495B994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Proyecto de Ejecución Presupuestaria Eficiente vía SICOP</w:t>
            </w:r>
          </w:p>
        </w:tc>
        <w:tc>
          <w:tcPr>
            <w:tcW w:w="1034" w:type="dxa"/>
            <w:vMerge w:val="restart"/>
            <w:tcBorders>
              <w:top w:val="nil"/>
              <w:left w:val="nil"/>
              <w:right w:val="single" w:sz="4" w:space="0" w:color="auto"/>
            </w:tcBorders>
            <w:shd w:val="clear" w:color="auto" w:fill="auto"/>
            <w:noWrap/>
            <w:vAlign w:val="center"/>
            <w:hideMark/>
          </w:tcPr>
          <w:p w14:paraId="5A13D4F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45DDECF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DD85C0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205051E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351913</w:t>
            </w:r>
          </w:p>
        </w:tc>
      </w:tr>
      <w:tr w:rsidR="007E6FC1" w:rsidRPr="00697B6D" w14:paraId="1CA8E87E"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AFDF4D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BA724D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663D172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0AF401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E39856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2FC0516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FFEEBA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71A3315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372179</w:t>
            </w:r>
          </w:p>
        </w:tc>
      </w:tr>
      <w:tr w:rsidR="007E6FC1" w:rsidRPr="00697B6D" w14:paraId="48A2C8A7"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6EBF66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559867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06887F6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3D8BD20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38063BC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23103B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D68279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6FC3E12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372180</w:t>
            </w:r>
          </w:p>
        </w:tc>
      </w:tr>
      <w:tr w:rsidR="007E6FC1" w:rsidRPr="00697B6D" w14:paraId="11FE8C0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7F87CD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2D9491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64D52E0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1167-OIJ-P42</w:t>
            </w:r>
          </w:p>
        </w:tc>
        <w:tc>
          <w:tcPr>
            <w:tcW w:w="2127" w:type="dxa"/>
            <w:vMerge w:val="restart"/>
            <w:tcBorders>
              <w:top w:val="nil"/>
              <w:left w:val="nil"/>
              <w:right w:val="single" w:sz="4" w:space="0" w:color="auto"/>
            </w:tcBorders>
            <w:shd w:val="clear" w:color="auto" w:fill="auto"/>
            <w:noWrap/>
            <w:vAlign w:val="center"/>
            <w:hideMark/>
          </w:tcPr>
          <w:p w14:paraId="6152968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Estandarización de los procedimientos para el tratamiento de personas detenidas en las Secciones y Unidades de Cárceles</w:t>
            </w:r>
          </w:p>
        </w:tc>
        <w:tc>
          <w:tcPr>
            <w:tcW w:w="1034" w:type="dxa"/>
            <w:vMerge w:val="restart"/>
            <w:tcBorders>
              <w:top w:val="nil"/>
              <w:left w:val="nil"/>
              <w:right w:val="single" w:sz="4" w:space="0" w:color="auto"/>
            </w:tcBorders>
            <w:shd w:val="clear" w:color="auto" w:fill="auto"/>
            <w:noWrap/>
            <w:vAlign w:val="center"/>
            <w:hideMark/>
          </w:tcPr>
          <w:p w14:paraId="3864E84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122F804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357E14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CUSTODIO DE DETENIDOS</w:t>
            </w:r>
          </w:p>
        </w:tc>
        <w:tc>
          <w:tcPr>
            <w:tcW w:w="761" w:type="dxa"/>
            <w:tcBorders>
              <w:top w:val="nil"/>
              <w:left w:val="nil"/>
              <w:bottom w:val="single" w:sz="4" w:space="0" w:color="auto"/>
              <w:right w:val="single" w:sz="4" w:space="0" w:color="auto"/>
            </w:tcBorders>
            <w:shd w:val="clear" w:color="auto" w:fill="auto"/>
            <w:noWrap/>
            <w:vAlign w:val="center"/>
            <w:hideMark/>
          </w:tcPr>
          <w:p w14:paraId="1D6A4C5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103203</w:t>
            </w:r>
          </w:p>
        </w:tc>
      </w:tr>
      <w:tr w:rsidR="007E6FC1" w:rsidRPr="00697B6D" w14:paraId="0463363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D4DCE4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CEEE09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532BE60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5624E2E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6021868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132648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5482C9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CUSTODIO DE DETENIDOS</w:t>
            </w:r>
          </w:p>
        </w:tc>
        <w:tc>
          <w:tcPr>
            <w:tcW w:w="761" w:type="dxa"/>
            <w:tcBorders>
              <w:top w:val="nil"/>
              <w:left w:val="nil"/>
              <w:bottom w:val="single" w:sz="4" w:space="0" w:color="auto"/>
              <w:right w:val="single" w:sz="4" w:space="0" w:color="auto"/>
            </w:tcBorders>
            <w:shd w:val="clear" w:color="auto" w:fill="auto"/>
            <w:noWrap/>
            <w:vAlign w:val="center"/>
            <w:hideMark/>
          </w:tcPr>
          <w:p w14:paraId="3CE3A5F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371427</w:t>
            </w:r>
          </w:p>
        </w:tc>
      </w:tr>
      <w:tr w:rsidR="007E6FC1" w:rsidRPr="00697B6D" w14:paraId="72E5C915"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D2437D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17E4A9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0500012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1167-OIJ-P43</w:t>
            </w:r>
          </w:p>
        </w:tc>
        <w:tc>
          <w:tcPr>
            <w:tcW w:w="2127" w:type="dxa"/>
            <w:tcBorders>
              <w:top w:val="nil"/>
              <w:left w:val="nil"/>
              <w:bottom w:val="single" w:sz="4" w:space="0" w:color="auto"/>
              <w:right w:val="single" w:sz="4" w:space="0" w:color="auto"/>
            </w:tcBorders>
            <w:shd w:val="clear" w:color="auto" w:fill="auto"/>
            <w:noWrap/>
            <w:vAlign w:val="center"/>
            <w:hideMark/>
          </w:tcPr>
          <w:p w14:paraId="6C38485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Implementación de técnicas para mejorar el ambiente laboral y desarrollo de prácticas policiales. </w:t>
            </w:r>
          </w:p>
        </w:tc>
        <w:tc>
          <w:tcPr>
            <w:tcW w:w="1034" w:type="dxa"/>
            <w:tcBorders>
              <w:top w:val="nil"/>
              <w:left w:val="nil"/>
              <w:bottom w:val="single" w:sz="4" w:space="0" w:color="auto"/>
              <w:right w:val="single" w:sz="4" w:space="0" w:color="auto"/>
            </w:tcBorders>
            <w:shd w:val="clear" w:color="auto" w:fill="auto"/>
            <w:noWrap/>
            <w:vAlign w:val="center"/>
            <w:hideMark/>
          </w:tcPr>
          <w:p w14:paraId="463D483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3809435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66A6CF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ADMINISTRATIVO  1</w:t>
            </w:r>
          </w:p>
        </w:tc>
        <w:tc>
          <w:tcPr>
            <w:tcW w:w="761" w:type="dxa"/>
            <w:tcBorders>
              <w:top w:val="nil"/>
              <w:left w:val="nil"/>
              <w:bottom w:val="single" w:sz="4" w:space="0" w:color="auto"/>
              <w:right w:val="single" w:sz="4" w:space="0" w:color="auto"/>
            </w:tcBorders>
            <w:shd w:val="clear" w:color="auto" w:fill="auto"/>
            <w:noWrap/>
            <w:vAlign w:val="center"/>
            <w:hideMark/>
          </w:tcPr>
          <w:p w14:paraId="4BE3880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43172</w:t>
            </w:r>
          </w:p>
        </w:tc>
      </w:tr>
      <w:tr w:rsidR="007E6FC1" w:rsidRPr="00697B6D" w14:paraId="1689460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4601D5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652966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4960DAB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1167-OIJ-P44</w:t>
            </w:r>
          </w:p>
        </w:tc>
        <w:tc>
          <w:tcPr>
            <w:tcW w:w="2127" w:type="dxa"/>
            <w:tcBorders>
              <w:top w:val="nil"/>
              <w:left w:val="nil"/>
              <w:bottom w:val="single" w:sz="4" w:space="0" w:color="auto"/>
              <w:right w:val="single" w:sz="4" w:space="0" w:color="auto"/>
            </w:tcBorders>
            <w:shd w:val="clear" w:color="auto" w:fill="auto"/>
            <w:noWrap/>
            <w:vAlign w:val="center"/>
            <w:hideMark/>
          </w:tcPr>
          <w:p w14:paraId="23B45F0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Enlace de planificación, coordinación logística y ejecución para las capacitaciones de OIJ.</w:t>
            </w:r>
          </w:p>
        </w:tc>
        <w:tc>
          <w:tcPr>
            <w:tcW w:w="1034" w:type="dxa"/>
            <w:tcBorders>
              <w:top w:val="nil"/>
              <w:left w:val="nil"/>
              <w:bottom w:val="single" w:sz="4" w:space="0" w:color="auto"/>
              <w:right w:val="single" w:sz="4" w:space="0" w:color="auto"/>
            </w:tcBorders>
            <w:shd w:val="clear" w:color="auto" w:fill="auto"/>
            <w:noWrap/>
            <w:vAlign w:val="center"/>
            <w:hideMark/>
          </w:tcPr>
          <w:p w14:paraId="59AE454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0DA4249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D1D458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ASESOR OPERATIVO </w:t>
            </w:r>
          </w:p>
        </w:tc>
        <w:tc>
          <w:tcPr>
            <w:tcW w:w="761" w:type="dxa"/>
            <w:tcBorders>
              <w:top w:val="nil"/>
              <w:left w:val="nil"/>
              <w:bottom w:val="single" w:sz="4" w:space="0" w:color="auto"/>
              <w:right w:val="single" w:sz="4" w:space="0" w:color="auto"/>
            </w:tcBorders>
            <w:shd w:val="clear" w:color="auto" w:fill="auto"/>
            <w:noWrap/>
            <w:vAlign w:val="center"/>
            <w:hideMark/>
          </w:tcPr>
          <w:p w14:paraId="1700D8C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56886</w:t>
            </w:r>
          </w:p>
        </w:tc>
      </w:tr>
      <w:tr w:rsidR="007E6FC1" w:rsidRPr="00697B6D" w14:paraId="13DD79E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B4F439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ADFFC2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1DD91BE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1167-OIJ-P45</w:t>
            </w:r>
          </w:p>
        </w:tc>
        <w:tc>
          <w:tcPr>
            <w:tcW w:w="2127" w:type="dxa"/>
            <w:tcBorders>
              <w:top w:val="nil"/>
              <w:left w:val="nil"/>
              <w:bottom w:val="single" w:sz="4" w:space="0" w:color="auto"/>
              <w:right w:val="single" w:sz="4" w:space="0" w:color="auto"/>
            </w:tcBorders>
            <w:shd w:val="clear" w:color="auto" w:fill="auto"/>
            <w:noWrap/>
            <w:vAlign w:val="center"/>
            <w:hideMark/>
          </w:tcPr>
          <w:p w14:paraId="2D10BF3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Implementación, abordaje, evaluación y seguimiento del Sistema de Control Interno en las sedes que conforman el Organismo de Investigación Judicial</w:t>
            </w:r>
          </w:p>
        </w:tc>
        <w:tc>
          <w:tcPr>
            <w:tcW w:w="1034" w:type="dxa"/>
            <w:tcBorders>
              <w:top w:val="nil"/>
              <w:left w:val="nil"/>
              <w:bottom w:val="single" w:sz="4" w:space="0" w:color="auto"/>
              <w:right w:val="single" w:sz="4" w:space="0" w:color="auto"/>
            </w:tcBorders>
            <w:shd w:val="clear" w:color="auto" w:fill="auto"/>
            <w:noWrap/>
            <w:vAlign w:val="center"/>
            <w:hideMark/>
          </w:tcPr>
          <w:p w14:paraId="7685823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7AE0756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003F38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SUPERVISOR DE SERVICIO O.I.J.</w:t>
            </w:r>
          </w:p>
        </w:tc>
        <w:tc>
          <w:tcPr>
            <w:tcW w:w="761" w:type="dxa"/>
            <w:tcBorders>
              <w:top w:val="nil"/>
              <w:left w:val="nil"/>
              <w:bottom w:val="single" w:sz="4" w:space="0" w:color="auto"/>
              <w:right w:val="single" w:sz="4" w:space="0" w:color="auto"/>
            </w:tcBorders>
            <w:shd w:val="clear" w:color="auto" w:fill="auto"/>
            <w:noWrap/>
            <w:vAlign w:val="center"/>
            <w:hideMark/>
          </w:tcPr>
          <w:p w14:paraId="02A1CA6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35342</w:t>
            </w:r>
          </w:p>
        </w:tc>
      </w:tr>
      <w:tr w:rsidR="007E6FC1" w:rsidRPr="00697B6D" w14:paraId="3217592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29B43A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97F444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7269F1E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1167-OIJ-P46</w:t>
            </w:r>
          </w:p>
        </w:tc>
        <w:tc>
          <w:tcPr>
            <w:tcW w:w="2127" w:type="dxa"/>
            <w:tcBorders>
              <w:top w:val="nil"/>
              <w:left w:val="nil"/>
              <w:bottom w:val="single" w:sz="4" w:space="0" w:color="auto"/>
              <w:right w:val="single" w:sz="4" w:space="0" w:color="auto"/>
            </w:tcBorders>
            <w:shd w:val="clear" w:color="auto" w:fill="auto"/>
            <w:noWrap/>
            <w:vAlign w:val="center"/>
            <w:hideMark/>
          </w:tcPr>
          <w:p w14:paraId="65726D5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Gestión de calidad de los proyectos estratégicos y de los estudios de sedes policiales de OIJ</w:t>
            </w:r>
          </w:p>
        </w:tc>
        <w:tc>
          <w:tcPr>
            <w:tcW w:w="1034" w:type="dxa"/>
            <w:tcBorders>
              <w:top w:val="nil"/>
              <w:left w:val="nil"/>
              <w:bottom w:val="single" w:sz="4" w:space="0" w:color="auto"/>
              <w:right w:val="single" w:sz="4" w:space="0" w:color="auto"/>
            </w:tcBorders>
            <w:shd w:val="clear" w:color="auto" w:fill="auto"/>
            <w:noWrap/>
            <w:vAlign w:val="center"/>
            <w:hideMark/>
          </w:tcPr>
          <w:p w14:paraId="71DA23A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5897D26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370A87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23FCBE2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56902</w:t>
            </w:r>
          </w:p>
        </w:tc>
      </w:tr>
      <w:tr w:rsidR="007E6FC1" w:rsidRPr="00697B6D" w14:paraId="3F912BC8"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4C3DA2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893D6D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4AA6C2F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1167-OIJ-P47</w:t>
            </w:r>
          </w:p>
        </w:tc>
        <w:tc>
          <w:tcPr>
            <w:tcW w:w="2127" w:type="dxa"/>
            <w:vMerge w:val="restart"/>
            <w:tcBorders>
              <w:top w:val="nil"/>
              <w:left w:val="nil"/>
              <w:right w:val="single" w:sz="4" w:space="0" w:color="auto"/>
            </w:tcBorders>
            <w:shd w:val="clear" w:color="auto" w:fill="auto"/>
            <w:noWrap/>
            <w:vAlign w:val="center"/>
            <w:hideMark/>
          </w:tcPr>
          <w:p w14:paraId="7A91452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Desarrollo e Implementación de una estrategia de proyección institucional del Organismo de Investigación Judicial</w:t>
            </w:r>
          </w:p>
        </w:tc>
        <w:tc>
          <w:tcPr>
            <w:tcW w:w="1034" w:type="dxa"/>
            <w:vMerge w:val="restart"/>
            <w:tcBorders>
              <w:top w:val="nil"/>
              <w:left w:val="nil"/>
              <w:right w:val="single" w:sz="4" w:space="0" w:color="auto"/>
            </w:tcBorders>
            <w:shd w:val="clear" w:color="auto" w:fill="auto"/>
            <w:noWrap/>
            <w:vAlign w:val="center"/>
            <w:hideMark/>
          </w:tcPr>
          <w:p w14:paraId="3217E74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5A115CE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725BAE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2D80C1A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22877</w:t>
            </w:r>
          </w:p>
        </w:tc>
      </w:tr>
      <w:tr w:rsidR="007E6FC1" w:rsidRPr="00697B6D" w14:paraId="484C8D2A" w14:textId="77777777" w:rsidTr="00301740">
        <w:trPr>
          <w:trHeight w:val="290"/>
        </w:trPr>
        <w:tc>
          <w:tcPr>
            <w:tcW w:w="1613" w:type="dxa"/>
            <w:tcBorders>
              <w:left w:val="single" w:sz="4" w:space="0" w:color="auto"/>
              <w:right w:val="single" w:sz="4" w:space="0" w:color="auto"/>
            </w:tcBorders>
            <w:shd w:val="clear" w:color="auto" w:fill="auto"/>
            <w:noWrap/>
            <w:vAlign w:val="center"/>
          </w:tcPr>
          <w:p w14:paraId="3F497FE2" w14:textId="77777777"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p>
        </w:tc>
        <w:tc>
          <w:tcPr>
            <w:tcW w:w="1173" w:type="dxa"/>
            <w:tcBorders>
              <w:left w:val="nil"/>
              <w:right w:val="single" w:sz="4" w:space="0" w:color="auto"/>
            </w:tcBorders>
            <w:shd w:val="clear" w:color="auto" w:fill="auto"/>
            <w:noWrap/>
            <w:vAlign w:val="center"/>
          </w:tcPr>
          <w:p w14:paraId="01BBCDFB" w14:textId="77777777"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1CD9D799" w14:textId="77777777"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6C30D203" w14:textId="77777777"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27F5AE3C" w14:textId="77777777"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1729F211" w14:textId="77777777"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F38277B" w14:textId="77777777"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684F6117" w14:textId="77777777"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368009</w:t>
            </w:r>
          </w:p>
        </w:tc>
      </w:tr>
      <w:tr w:rsidR="007E6FC1" w:rsidRPr="00697B6D" w14:paraId="22A72B12" w14:textId="77777777" w:rsidTr="00301740">
        <w:trPr>
          <w:trHeight w:val="290"/>
        </w:trPr>
        <w:tc>
          <w:tcPr>
            <w:tcW w:w="1613" w:type="dxa"/>
            <w:tcBorders>
              <w:left w:val="single" w:sz="4" w:space="0" w:color="auto"/>
              <w:right w:val="single" w:sz="4" w:space="0" w:color="auto"/>
            </w:tcBorders>
            <w:shd w:val="clear" w:color="auto" w:fill="auto"/>
            <w:noWrap/>
            <w:vAlign w:val="center"/>
          </w:tcPr>
          <w:p w14:paraId="3BD06DFB" w14:textId="77777777"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p>
        </w:tc>
        <w:tc>
          <w:tcPr>
            <w:tcW w:w="1173" w:type="dxa"/>
            <w:tcBorders>
              <w:left w:val="nil"/>
              <w:right w:val="single" w:sz="4" w:space="0" w:color="auto"/>
            </w:tcBorders>
            <w:shd w:val="clear" w:color="auto" w:fill="auto"/>
            <w:noWrap/>
            <w:vAlign w:val="center"/>
          </w:tcPr>
          <w:p w14:paraId="46181B56" w14:textId="77777777"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25DD9453" w14:textId="77777777"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40900513" w14:textId="77777777"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701F8A55" w14:textId="77777777"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50AD652" w14:textId="77777777"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BCCA996" w14:textId="77777777"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6</w:t>
            </w:r>
          </w:p>
        </w:tc>
        <w:tc>
          <w:tcPr>
            <w:tcW w:w="761" w:type="dxa"/>
            <w:tcBorders>
              <w:top w:val="nil"/>
              <w:left w:val="nil"/>
              <w:bottom w:val="single" w:sz="4" w:space="0" w:color="auto"/>
              <w:right w:val="single" w:sz="4" w:space="0" w:color="auto"/>
            </w:tcBorders>
            <w:shd w:val="clear" w:color="auto" w:fill="auto"/>
            <w:noWrap/>
            <w:vAlign w:val="center"/>
            <w:hideMark/>
          </w:tcPr>
          <w:p w14:paraId="45928FE5" w14:textId="77777777"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378549</w:t>
            </w:r>
          </w:p>
        </w:tc>
      </w:tr>
      <w:tr w:rsidR="007E6FC1" w:rsidRPr="00697B6D" w14:paraId="6CF31001" w14:textId="77777777" w:rsidTr="00301740">
        <w:trPr>
          <w:trHeight w:val="290"/>
        </w:trPr>
        <w:tc>
          <w:tcPr>
            <w:tcW w:w="1613" w:type="dxa"/>
            <w:tcBorders>
              <w:left w:val="single" w:sz="4" w:space="0" w:color="auto"/>
              <w:right w:val="single" w:sz="4" w:space="0" w:color="auto"/>
            </w:tcBorders>
            <w:shd w:val="clear" w:color="auto" w:fill="auto"/>
            <w:noWrap/>
            <w:vAlign w:val="center"/>
          </w:tcPr>
          <w:p w14:paraId="022C1414" w14:textId="77777777"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p>
        </w:tc>
        <w:tc>
          <w:tcPr>
            <w:tcW w:w="1173" w:type="dxa"/>
            <w:tcBorders>
              <w:left w:val="nil"/>
              <w:right w:val="single" w:sz="4" w:space="0" w:color="auto"/>
            </w:tcBorders>
            <w:shd w:val="clear" w:color="auto" w:fill="auto"/>
            <w:noWrap/>
            <w:vAlign w:val="center"/>
          </w:tcPr>
          <w:p w14:paraId="700B0221" w14:textId="77777777"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715D950A" w14:textId="77777777"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1167-OIJ-P48</w:t>
            </w:r>
          </w:p>
        </w:tc>
        <w:tc>
          <w:tcPr>
            <w:tcW w:w="2127" w:type="dxa"/>
            <w:vMerge w:val="restart"/>
            <w:tcBorders>
              <w:top w:val="nil"/>
              <w:left w:val="nil"/>
              <w:right w:val="single" w:sz="4" w:space="0" w:color="auto"/>
            </w:tcBorders>
            <w:shd w:val="clear" w:color="auto" w:fill="auto"/>
            <w:noWrap/>
            <w:vAlign w:val="center"/>
            <w:hideMark/>
          </w:tcPr>
          <w:p w14:paraId="2E2B8483" w14:textId="77777777"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Fortalecimiento de las acciones operativas y administrativas en el Departamento de Investigaciones Criminales.</w:t>
            </w:r>
          </w:p>
        </w:tc>
        <w:tc>
          <w:tcPr>
            <w:tcW w:w="1034" w:type="dxa"/>
            <w:vMerge w:val="restart"/>
            <w:tcBorders>
              <w:top w:val="nil"/>
              <w:left w:val="nil"/>
              <w:right w:val="single" w:sz="4" w:space="0" w:color="auto"/>
            </w:tcBorders>
            <w:shd w:val="clear" w:color="auto" w:fill="auto"/>
            <w:noWrap/>
            <w:vAlign w:val="center"/>
            <w:hideMark/>
          </w:tcPr>
          <w:p w14:paraId="56877460" w14:textId="77777777"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25885819" w14:textId="77777777"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AA88D06" w14:textId="77777777"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ASESOR OPERATIVO </w:t>
            </w:r>
          </w:p>
        </w:tc>
        <w:tc>
          <w:tcPr>
            <w:tcW w:w="761" w:type="dxa"/>
            <w:tcBorders>
              <w:top w:val="nil"/>
              <w:left w:val="nil"/>
              <w:bottom w:val="single" w:sz="4" w:space="0" w:color="auto"/>
              <w:right w:val="single" w:sz="4" w:space="0" w:color="auto"/>
            </w:tcBorders>
            <w:shd w:val="clear" w:color="auto" w:fill="auto"/>
            <w:noWrap/>
            <w:vAlign w:val="center"/>
            <w:hideMark/>
          </w:tcPr>
          <w:p w14:paraId="2F370622" w14:textId="77777777" w:rsidR="003C245A" w:rsidRPr="00697B6D" w:rsidRDefault="003C245A"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56887</w:t>
            </w:r>
          </w:p>
        </w:tc>
      </w:tr>
      <w:tr w:rsidR="007E6FC1" w:rsidRPr="00697B6D" w14:paraId="0718CF48" w14:textId="77777777" w:rsidTr="00301740">
        <w:trPr>
          <w:trHeight w:val="290"/>
        </w:trPr>
        <w:tc>
          <w:tcPr>
            <w:tcW w:w="1613" w:type="dxa"/>
            <w:vMerge w:val="restart"/>
            <w:tcBorders>
              <w:left w:val="single" w:sz="4" w:space="0" w:color="auto"/>
              <w:right w:val="single" w:sz="4" w:space="0" w:color="auto"/>
            </w:tcBorders>
            <w:shd w:val="clear" w:color="auto" w:fill="auto"/>
            <w:noWrap/>
            <w:vAlign w:val="center"/>
          </w:tcPr>
          <w:p w14:paraId="43B9E568" w14:textId="6FDC6CE1"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928 Organismo de Investigación Judicial</w:t>
            </w:r>
          </w:p>
        </w:tc>
        <w:tc>
          <w:tcPr>
            <w:tcW w:w="1173" w:type="dxa"/>
            <w:vMerge w:val="restart"/>
            <w:tcBorders>
              <w:left w:val="nil"/>
              <w:right w:val="single" w:sz="4" w:space="0" w:color="auto"/>
            </w:tcBorders>
            <w:shd w:val="clear" w:color="auto" w:fill="auto"/>
            <w:noWrap/>
            <w:vAlign w:val="center"/>
          </w:tcPr>
          <w:p w14:paraId="4DA2A81D" w14:textId="043E790D"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Organismo de Investigación Judicial</w:t>
            </w:r>
          </w:p>
        </w:tc>
        <w:tc>
          <w:tcPr>
            <w:tcW w:w="1183" w:type="dxa"/>
            <w:vMerge/>
            <w:tcBorders>
              <w:left w:val="nil"/>
              <w:bottom w:val="single" w:sz="4" w:space="0" w:color="auto"/>
              <w:right w:val="single" w:sz="4" w:space="0" w:color="auto"/>
            </w:tcBorders>
            <w:shd w:val="clear" w:color="auto" w:fill="auto"/>
            <w:noWrap/>
            <w:vAlign w:val="center"/>
          </w:tcPr>
          <w:p w14:paraId="7418388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603C69C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08B2EB1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52F06A4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C29F8B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1 </w:t>
            </w:r>
          </w:p>
        </w:tc>
        <w:tc>
          <w:tcPr>
            <w:tcW w:w="761" w:type="dxa"/>
            <w:tcBorders>
              <w:top w:val="nil"/>
              <w:left w:val="nil"/>
              <w:bottom w:val="single" w:sz="4" w:space="0" w:color="auto"/>
              <w:right w:val="single" w:sz="4" w:space="0" w:color="auto"/>
            </w:tcBorders>
            <w:shd w:val="clear" w:color="auto" w:fill="auto"/>
            <w:noWrap/>
            <w:vAlign w:val="center"/>
            <w:hideMark/>
          </w:tcPr>
          <w:p w14:paraId="2138476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55501</w:t>
            </w:r>
          </w:p>
        </w:tc>
      </w:tr>
      <w:tr w:rsidR="007E6FC1" w:rsidRPr="00697B6D" w14:paraId="52470B87"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DD4B6D9" w14:textId="5B436BCF"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4779DCA" w14:textId="576A6C71"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3BED2AF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1167-OIJ-P49</w:t>
            </w:r>
          </w:p>
        </w:tc>
        <w:tc>
          <w:tcPr>
            <w:tcW w:w="2127" w:type="dxa"/>
            <w:vMerge w:val="restart"/>
            <w:tcBorders>
              <w:top w:val="nil"/>
              <w:left w:val="nil"/>
              <w:right w:val="single" w:sz="4" w:space="0" w:color="auto"/>
            </w:tcBorders>
            <w:shd w:val="clear" w:color="auto" w:fill="auto"/>
            <w:noWrap/>
            <w:vAlign w:val="center"/>
            <w:hideMark/>
          </w:tcPr>
          <w:p w14:paraId="14973F9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Disminución en el tiempo de respuesta de Pericias Financieras Contables en el Proceso Judicial: estudio especial para los casos conocidos como Cochinilla y Diamante</w:t>
            </w:r>
          </w:p>
        </w:tc>
        <w:tc>
          <w:tcPr>
            <w:tcW w:w="1034" w:type="dxa"/>
            <w:vMerge w:val="restart"/>
            <w:tcBorders>
              <w:top w:val="nil"/>
              <w:left w:val="nil"/>
              <w:right w:val="single" w:sz="4" w:space="0" w:color="auto"/>
            </w:tcBorders>
            <w:shd w:val="clear" w:color="auto" w:fill="auto"/>
            <w:noWrap/>
            <w:vAlign w:val="center"/>
            <w:hideMark/>
          </w:tcPr>
          <w:p w14:paraId="096F849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163E243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90034E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nil"/>
              <w:left w:val="nil"/>
              <w:bottom w:val="single" w:sz="4" w:space="0" w:color="auto"/>
              <w:right w:val="single" w:sz="4" w:space="0" w:color="auto"/>
            </w:tcBorders>
            <w:shd w:val="clear" w:color="auto" w:fill="auto"/>
            <w:noWrap/>
            <w:vAlign w:val="center"/>
            <w:hideMark/>
          </w:tcPr>
          <w:p w14:paraId="47F9B95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107800</w:t>
            </w:r>
          </w:p>
        </w:tc>
      </w:tr>
      <w:tr w:rsidR="007E6FC1" w:rsidRPr="00697B6D" w14:paraId="35C24E18"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A920F3D" w14:textId="492A0A8D"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05F5ECB" w14:textId="4364F090"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5C45E1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95AC27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09E24F5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4A0A210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1A20FB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PERITO JUDICIAL 2 </w:t>
            </w:r>
          </w:p>
        </w:tc>
        <w:tc>
          <w:tcPr>
            <w:tcW w:w="761" w:type="dxa"/>
            <w:tcBorders>
              <w:top w:val="nil"/>
              <w:left w:val="nil"/>
              <w:bottom w:val="single" w:sz="4" w:space="0" w:color="auto"/>
              <w:right w:val="single" w:sz="4" w:space="0" w:color="auto"/>
            </w:tcBorders>
            <w:shd w:val="clear" w:color="auto" w:fill="auto"/>
            <w:noWrap/>
            <w:vAlign w:val="center"/>
            <w:hideMark/>
          </w:tcPr>
          <w:p w14:paraId="4142ABB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48386</w:t>
            </w:r>
          </w:p>
        </w:tc>
      </w:tr>
      <w:tr w:rsidR="007E6FC1" w:rsidRPr="00697B6D" w14:paraId="17943969"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A3AC003" w14:textId="7FBFB014"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AE5365D" w14:textId="3C2EC772"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663709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2FE4274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EC3AC6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13B8DA0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5923C9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PERITO JUDICIAL 2 </w:t>
            </w:r>
          </w:p>
        </w:tc>
        <w:tc>
          <w:tcPr>
            <w:tcW w:w="761" w:type="dxa"/>
            <w:tcBorders>
              <w:top w:val="nil"/>
              <w:left w:val="nil"/>
              <w:bottom w:val="single" w:sz="4" w:space="0" w:color="auto"/>
              <w:right w:val="single" w:sz="4" w:space="0" w:color="auto"/>
            </w:tcBorders>
            <w:shd w:val="clear" w:color="auto" w:fill="auto"/>
            <w:noWrap/>
            <w:vAlign w:val="center"/>
            <w:hideMark/>
          </w:tcPr>
          <w:p w14:paraId="462BC0E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43245</w:t>
            </w:r>
          </w:p>
        </w:tc>
      </w:tr>
      <w:tr w:rsidR="007E6FC1" w:rsidRPr="00697B6D" w14:paraId="36F3283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C6B1C4E" w14:textId="10FAEB49"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429A7CA" w14:textId="6A2E7C3B"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6D16C6D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1DD7643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B2BCB9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A2F7D7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AECE48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PERITO JUDICIAL 2 </w:t>
            </w:r>
          </w:p>
        </w:tc>
        <w:tc>
          <w:tcPr>
            <w:tcW w:w="761" w:type="dxa"/>
            <w:tcBorders>
              <w:top w:val="nil"/>
              <w:left w:val="nil"/>
              <w:bottom w:val="single" w:sz="4" w:space="0" w:color="auto"/>
              <w:right w:val="single" w:sz="4" w:space="0" w:color="auto"/>
            </w:tcBorders>
            <w:shd w:val="clear" w:color="auto" w:fill="auto"/>
            <w:noWrap/>
            <w:vAlign w:val="center"/>
            <w:hideMark/>
          </w:tcPr>
          <w:p w14:paraId="4D07953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382148</w:t>
            </w:r>
          </w:p>
        </w:tc>
      </w:tr>
      <w:tr w:rsidR="007E6FC1" w:rsidRPr="00697B6D" w14:paraId="4014F9AC"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95B3873" w14:textId="25D950EE"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B916587" w14:textId="4CCEFB76"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3F0A60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421E97B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2AAFF9C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C0E82D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3BE3E6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PERITO JUDICIAL 2 </w:t>
            </w:r>
          </w:p>
        </w:tc>
        <w:tc>
          <w:tcPr>
            <w:tcW w:w="761" w:type="dxa"/>
            <w:tcBorders>
              <w:top w:val="nil"/>
              <w:left w:val="nil"/>
              <w:bottom w:val="single" w:sz="4" w:space="0" w:color="auto"/>
              <w:right w:val="single" w:sz="4" w:space="0" w:color="auto"/>
            </w:tcBorders>
            <w:shd w:val="clear" w:color="auto" w:fill="auto"/>
            <w:noWrap/>
            <w:vAlign w:val="center"/>
            <w:hideMark/>
          </w:tcPr>
          <w:p w14:paraId="046C0BF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60163</w:t>
            </w:r>
          </w:p>
        </w:tc>
      </w:tr>
      <w:tr w:rsidR="007E6FC1" w:rsidRPr="00697B6D" w14:paraId="1FF1B56A"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FBB129F" w14:textId="416F9896"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6C6677B" w14:textId="1D30B79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447CAE2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7E30F6A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3773A6F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AD8DEB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CE4166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PERITO JUDICIAL 2 </w:t>
            </w:r>
          </w:p>
        </w:tc>
        <w:tc>
          <w:tcPr>
            <w:tcW w:w="761" w:type="dxa"/>
            <w:tcBorders>
              <w:top w:val="nil"/>
              <w:left w:val="nil"/>
              <w:bottom w:val="single" w:sz="4" w:space="0" w:color="auto"/>
              <w:right w:val="single" w:sz="4" w:space="0" w:color="auto"/>
            </w:tcBorders>
            <w:shd w:val="clear" w:color="auto" w:fill="auto"/>
            <w:noWrap/>
            <w:vAlign w:val="center"/>
            <w:hideMark/>
          </w:tcPr>
          <w:p w14:paraId="753C28A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382150</w:t>
            </w:r>
          </w:p>
        </w:tc>
      </w:tr>
      <w:tr w:rsidR="007E6FC1" w:rsidRPr="00697B6D" w14:paraId="61606C4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6C97675" w14:textId="4755BC24"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9D21CE7" w14:textId="1F76DA34"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1CAB9ED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7EF863A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1A150D6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4B0511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B23679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PERITO JUDICIAL 2 </w:t>
            </w:r>
          </w:p>
        </w:tc>
        <w:tc>
          <w:tcPr>
            <w:tcW w:w="761" w:type="dxa"/>
            <w:tcBorders>
              <w:top w:val="nil"/>
              <w:left w:val="nil"/>
              <w:bottom w:val="single" w:sz="4" w:space="0" w:color="auto"/>
              <w:right w:val="single" w:sz="4" w:space="0" w:color="auto"/>
            </w:tcBorders>
            <w:shd w:val="clear" w:color="auto" w:fill="auto"/>
            <w:noWrap/>
            <w:vAlign w:val="center"/>
            <w:hideMark/>
          </w:tcPr>
          <w:p w14:paraId="484A31A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382151</w:t>
            </w:r>
          </w:p>
        </w:tc>
      </w:tr>
      <w:tr w:rsidR="007E6FC1" w:rsidRPr="00697B6D" w14:paraId="30E8CFA0"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B269CA2" w14:textId="1417A02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353DF93" w14:textId="40B519CF"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63B4D36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2B1E2D4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3FBC762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C0DA33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23A4D4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PERITO JUDICIAL 2 </w:t>
            </w:r>
          </w:p>
        </w:tc>
        <w:tc>
          <w:tcPr>
            <w:tcW w:w="761" w:type="dxa"/>
            <w:tcBorders>
              <w:top w:val="nil"/>
              <w:left w:val="nil"/>
              <w:bottom w:val="single" w:sz="4" w:space="0" w:color="auto"/>
              <w:right w:val="single" w:sz="4" w:space="0" w:color="auto"/>
            </w:tcBorders>
            <w:shd w:val="clear" w:color="auto" w:fill="auto"/>
            <w:noWrap/>
            <w:vAlign w:val="center"/>
            <w:hideMark/>
          </w:tcPr>
          <w:p w14:paraId="41B3FC7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382152</w:t>
            </w:r>
          </w:p>
        </w:tc>
      </w:tr>
      <w:tr w:rsidR="007E6FC1" w:rsidRPr="00697B6D" w14:paraId="02363AE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E71ECA9" w14:textId="12D13543"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39110CC" w14:textId="69DAB4E6"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F3E304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FCE3F1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06587EB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C025FB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21EC78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PERITO JUDICIAL 2 </w:t>
            </w:r>
          </w:p>
        </w:tc>
        <w:tc>
          <w:tcPr>
            <w:tcW w:w="761" w:type="dxa"/>
            <w:tcBorders>
              <w:top w:val="nil"/>
              <w:left w:val="nil"/>
              <w:bottom w:val="single" w:sz="4" w:space="0" w:color="auto"/>
              <w:right w:val="single" w:sz="4" w:space="0" w:color="auto"/>
            </w:tcBorders>
            <w:shd w:val="clear" w:color="auto" w:fill="auto"/>
            <w:noWrap/>
            <w:vAlign w:val="center"/>
            <w:hideMark/>
          </w:tcPr>
          <w:p w14:paraId="01D9239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103213</w:t>
            </w:r>
          </w:p>
        </w:tc>
      </w:tr>
      <w:tr w:rsidR="007E6FC1" w:rsidRPr="00697B6D" w14:paraId="3B1F865C"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57DB556" w14:textId="1FB87986"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2A28EC8" w14:textId="4B7AE5D1"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614C929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1A1193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2C50B20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2EC9F9E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585D4F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PERITO JUDICIAL 2 </w:t>
            </w:r>
          </w:p>
        </w:tc>
        <w:tc>
          <w:tcPr>
            <w:tcW w:w="761" w:type="dxa"/>
            <w:tcBorders>
              <w:top w:val="nil"/>
              <w:left w:val="nil"/>
              <w:bottom w:val="single" w:sz="4" w:space="0" w:color="auto"/>
              <w:right w:val="single" w:sz="4" w:space="0" w:color="auto"/>
            </w:tcBorders>
            <w:shd w:val="clear" w:color="auto" w:fill="auto"/>
            <w:noWrap/>
            <w:vAlign w:val="center"/>
            <w:hideMark/>
          </w:tcPr>
          <w:p w14:paraId="4A47AF5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382155</w:t>
            </w:r>
          </w:p>
        </w:tc>
      </w:tr>
      <w:tr w:rsidR="007E6FC1" w:rsidRPr="00697B6D" w14:paraId="380DA1D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3724FC3" w14:textId="7084C5AB"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36ACB9A" w14:textId="3D253C39"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3118BA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327E5D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3CA9C80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586B40E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5A5DD0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PERITO JUDICIAL 2 </w:t>
            </w:r>
          </w:p>
        </w:tc>
        <w:tc>
          <w:tcPr>
            <w:tcW w:w="761" w:type="dxa"/>
            <w:tcBorders>
              <w:top w:val="nil"/>
              <w:left w:val="nil"/>
              <w:bottom w:val="single" w:sz="4" w:space="0" w:color="auto"/>
              <w:right w:val="single" w:sz="4" w:space="0" w:color="auto"/>
            </w:tcBorders>
            <w:shd w:val="clear" w:color="auto" w:fill="auto"/>
            <w:noWrap/>
            <w:vAlign w:val="center"/>
            <w:hideMark/>
          </w:tcPr>
          <w:p w14:paraId="671BFED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103214</w:t>
            </w:r>
          </w:p>
        </w:tc>
      </w:tr>
      <w:tr w:rsidR="007E6FC1" w:rsidRPr="00697B6D" w14:paraId="6D1C533F"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E071729" w14:textId="7C1FDA72"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1108078" w14:textId="6784C895"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211D701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0162A70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40AEB4F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96190D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EFE925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PERITO JUDICIAL 2 </w:t>
            </w:r>
          </w:p>
        </w:tc>
        <w:tc>
          <w:tcPr>
            <w:tcW w:w="761" w:type="dxa"/>
            <w:tcBorders>
              <w:top w:val="nil"/>
              <w:left w:val="nil"/>
              <w:bottom w:val="single" w:sz="4" w:space="0" w:color="auto"/>
              <w:right w:val="single" w:sz="4" w:space="0" w:color="auto"/>
            </w:tcBorders>
            <w:shd w:val="clear" w:color="auto" w:fill="auto"/>
            <w:noWrap/>
            <w:vAlign w:val="center"/>
            <w:hideMark/>
          </w:tcPr>
          <w:p w14:paraId="07413F0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48389</w:t>
            </w:r>
          </w:p>
        </w:tc>
      </w:tr>
      <w:tr w:rsidR="007E6FC1" w:rsidRPr="00697B6D" w14:paraId="54879D39"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2B29850" w14:textId="18493C08"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88A1BCA" w14:textId="6D9900BC"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7558EF6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6FE5D04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E754B0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54CC2DC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804E3C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PERITO JUDICIAL 2 </w:t>
            </w:r>
          </w:p>
        </w:tc>
        <w:tc>
          <w:tcPr>
            <w:tcW w:w="761" w:type="dxa"/>
            <w:tcBorders>
              <w:top w:val="nil"/>
              <w:left w:val="nil"/>
              <w:bottom w:val="single" w:sz="4" w:space="0" w:color="auto"/>
              <w:right w:val="single" w:sz="4" w:space="0" w:color="auto"/>
            </w:tcBorders>
            <w:shd w:val="clear" w:color="auto" w:fill="auto"/>
            <w:noWrap/>
            <w:vAlign w:val="center"/>
            <w:hideMark/>
          </w:tcPr>
          <w:p w14:paraId="2EA3949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60164</w:t>
            </w:r>
          </w:p>
        </w:tc>
      </w:tr>
      <w:tr w:rsidR="007E6FC1" w:rsidRPr="00697B6D" w14:paraId="4DEEBD42"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1A77B08" w14:textId="0C1F08CA"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127CE41" w14:textId="720DC743"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2F20604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0819E39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43C543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976DB2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FC3457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PERITO JUDICIAL 2 </w:t>
            </w:r>
          </w:p>
        </w:tc>
        <w:tc>
          <w:tcPr>
            <w:tcW w:w="761" w:type="dxa"/>
            <w:tcBorders>
              <w:top w:val="nil"/>
              <w:left w:val="nil"/>
              <w:bottom w:val="single" w:sz="4" w:space="0" w:color="auto"/>
              <w:right w:val="single" w:sz="4" w:space="0" w:color="auto"/>
            </w:tcBorders>
            <w:shd w:val="clear" w:color="auto" w:fill="auto"/>
            <w:noWrap/>
            <w:vAlign w:val="center"/>
            <w:hideMark/>
          </w:tcPr>
          <w:p w14:paraId="614C79E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101005</w:t>
            </w:r>
          </w:p>
        </w:tc>
      </w:tr>
      <w:tr w:rsidR="007E6FC1" w:rsidRPr="00697B6D" w14:paraId="41A64914"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ADF7B58" w14:textId="66BDEAB9"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A8BCE29" w14:textId="517CF38C"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7070EA0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36CE5D3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25DBD99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E36FC9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E8560C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PERITO JUDICIAL 2 </w:t>
            </w:r>
          </w:p>
        </w:tc>
        <w:tc>
          <w:tcPr>
            <w:tcW w:w="761" w:type="dxa"/>
            <w:tcBorders>
              <w:top w:val="nil"/>
              <w:left w:val="nil"/>
              <w:bottom w:val="single" w:sz="4" w:space="0" w:color="auto"/>
              <w:right w:val="single" w:sz="4" w:space="0" w:color="auto"/>
            </w:tcBorders>
            <w:shd w:val="clear" w:color="auto" w:fill="auto"/>
            <w:noWrap/>
            <w:vAlign w:val="center"/>
            <w:hideMark/>
          </w:tcPr>
          <w:p w14:paraId="7DDDD0F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368014</w:t>
            </w:r>
          </w:p>
        </w:tc>
      </w:tr>
      <w:tr w:rsidR="007E6FC1" w:rsidRPr="00697B6D" w14:paraId="3B17696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34E6AB2" w14:textId="6C085944"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25FEDC2" w14:textId="0C1F2F04"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530DCB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3E8FCC3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2D9955B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E7AD04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89542D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PERITO JUDICIAL 2 </w:t>
            </w:r>
          </w:p>
        </w:tc>
        <w:tc>
          <w:tcPr>
            <w:tcW w:w="761" w:type="dxa"/>
            <w:tcBorders>
              <w:top w:val="nil"/>
              <w:left w:val="nil"/>
              <w:bottom w:val="single" w:sz="4" w:space="0" w:color="auto"/>
              <w:right w:val="single" w:sz="4" w:space="0" w:color="auto"/>
            </w:tcBorders>
            <w:shd w:val="clear" w:color="auto" w:fill="auto"/>
            <w:noWrap/>
            <w:vAlign w:val="center"/>
            <w:hideMark/>
          </w:tcPr>
          <w:p w14:paraId="1131B5C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43244</w:t>
            </w:r>
          </w:p>
        </w:tc>
      </w:tr>
      <w:tr w:rsidR="007E6FC1" w:rsidRPr="00697B6D" w14:paraId="7AA94865"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C32C97E" w14:textId="64C1EDA6"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368A80A" w14:textId="55CB1A81"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3103432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6533050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7153E42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A64C8D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779D91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AUDITOR SUPERVISOR</w:t>
            </w:r>
          </w:p>
        </w:tc>
        <w:tc>
          <w:tcPr>
            <w:tcW w:w="761" w:type="dxa"/>
            <w:tcBorders>
              <w:top w:val="nil"/>
              <w:left w:val="nil"/>
              <w:bottom w:val="single" w:sz="4" w:space="0" w:color="auto"/>
              <w:right w:val="single" w:sz="4" w:space="0" w:color="auto"/>
            </w:tcBorders>
            <w:shd w:val="clear" w:color="auto" w:fill="auto"/>
            <w:noWrap/>
            <w:vAlign w:val="center"/>
            <w:hideMark/>
          </w:tcPr>
          <w:p w14:paraId="288B14C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107798</w:t>
            </w:r>
          </w:p>
        </w:tc>
      </w:tr>
      <w:tr w:rsidR="007E6FC1" w:rsidRPr="00697B6D" w14:paraId="1E01A9BF" w14:textId="77777777" w:rsidTr="00301740">
        <w:trPr>
          <w:trHeight w:val="290"/>
        </w:trPr>
        <w:tc>
          <w:tcPr>
            <w:tcW w:w="1613" w:type="dxa"/>
            <w:vMerge/>
            <w:tcBorders>
              <w:left w:val="single" w:sz="4" w:space="0" w:color="auto"/>
              <w:right w:val="single" w:sz="4" w:space="0" w:color="auto"/>
            </w:tcBorders>
            <w:shd w:val="clear" w:color="auto" w:fill="auto"/>
            <w:noWrap/>
            <w:vAlign w:val="center"/>
            <w:hideMark/>
          </w:tcPr>
          <w:p w14:paraId="4B4B41AD" w14:textId="469BF550"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hideMark/>
          </w:tcPr>
          <w:p w14:paraId="212374C6" w14:textId="29B3B839"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68438B1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1167-OIJ-P51</w:t>
            </w:r>
          </w:p>
        </w:tc>
        <w:tc>
          <w:tcPr>
            <w:tcW w:w="2127" w:type="dxa"/>
            <w:vMerge w:val="restart"/>
            <w:tcBorders>
              <w:top w:val="nil"/>
              <w:left w:val="nil"/>
              <w:right w:val="single" w:sz="4" w:space="0" w:color="auto"/>
            </w:tcBorders>
            <w:shd w:val="clear" w:color="auto" w:fill="auto"/>
            <w:noWrap/>
            <w:vAlign w:val="center"/>
            <w:hideMark/>
          </w:tcPr>
          <w:p w14:paraId="023D112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Georeferenciación de delitos, según denuncias a nivel nacional</w:t>
            </w:r>
          </w:p>
        </w:tc>
        <w:tc>
          <w:tcPr>
            <w:tcW w:w="1034" w:type="dxa"/>
            <w:vMerge w:val="restart"/>
            <w:tcBorders>
              <w:top w:val="nil"/>
              <w:left w:val="nil"/>
              <w:right w:val="single" w:sz="4" w:space="0" w:color="auto"/>
            </w:tcBorders>
            <w:shd w:val="clear" w:color="auto" w:fill="auto"/>
            <w:noWrap/>
            <w:vAlign w:val="center"/>
            <w:hideMark/>
          </w:tcPr>
          <w:p w14:paraId="7BC71C4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2094518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5082C9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nil"/>
              <w:left w:val="nil"/>
              <w:bottom w:val="single" w:sz="4" w:space="0" w:color="auto"/>
              <w:right w:val="single" w:sz="4" w:space="0" w:color="auto"/>
            </w:tcBorders>
            <w:shd w:val="clear" w:color="auto" w:fill="auto"/>
            <w:noWrap/>
            <w:vAlign w:val="center"/>
            <w:hideMark/>
          </w:tcPr>
          <w:p w14:paraId="55A45FF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363877</w:t>
            </w:r>
          </w:p>
        </w:tc>
      </w:tr>
      <w:tr w:rsidR="007E6FC1" w:rsidRPr="00697B6D" w14:paraId="140DA41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0D9CE4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ECAE44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48A4BFB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735B278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0B08E07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E979DC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98CBAC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nil"/>
              <w:left w:val="nil"/>
              <w:bottom w:val="single" w:sz="4" w:space="0" w:color="auto"/>
              <w:right w:val="single" w:sz="4" w:space="0" w:color="auto"/>
            </w:tcBorders>
            <w:shd w:val="clear" w:color="auto" w:fill="auto"/>
            <w:noWrap/>
            <w:vAlign w:val="center"/>
            <w:hideMark/>
          </w:tcPr>
          <w:p w14:paraId="36E5417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43215</w:t>
            </w:r>
          </w:p>
        </w:tc>
      </w:tr>
      <w:tr w:rsidR="007E6FC1" w:rsidRPr="00697B6D" w14:paraId="7CB4171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A5DA84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60C968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4BF7E63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004729F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4521B0B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8860B7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973B7E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nil"/>
              <w:left w:val="nil"/>
              <w:bottom w:val="single" w:sz="4" w:space="0" w:color="auto"/>
              <w:right w:val="single" w:sz="4" w:space="0" w:color="auto"/>
            </w:tcBorders>
            <w:shd w:val="clear" w:color="auto" w:fill="auto"/>
            <w:noWrap/>
            <w:vAlign w:val="center"/>
            <w:hideMark/>
          </w:tcPr>
          <w:p w14:paraId="37636F5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43162</w:t>
            </w:r>
          </w:p>
        </w:tc>
      </w:tr>
      <w:tr w:rsidR="007E6FC1" w:rsidRPr="00697B6D" w14:paraId="786BF35C"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3E6415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3668A9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1FDF9BB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1167-OIJ-P52</w:t>
            </w:r>
          </w:p>
        </w:tc>
        <w:tc>
          <w:tcPr>
            <w:tcW w:w="2127" w:type="dxa"/>
            <w:tcBorders>
              <w:top w:val="nil"/>
              <w:left w:val="nil"/>
              <w:bottom w:val="single" w:sz="4" w:space="0" w:color="auto"/>
              <w:right w:val="single" w:sz="4" w:space="0" w:color="auto"/>
            </w:tcBorders>
            <w:shd w:val="clear" w:color="auto" w:fill="auto"/>
            <w:noWrap/>
            <w:vAlign w:val="center"/>
            <w:hideMark/>
          </w:tcPr>
          <w:p w14:paraId="6065CC0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Implementación de la gestión de la contaminación cognitiva en el trabajo de casos forenses</w:t>
            </w:r>
          </w:p>
        </w:tc>
        <w:tc>
          <w:tcPr>
            <w:tcW w:w="1034" w:type="dxa"/>
            <w:tcBorders>
              <w:top w:val="nil"/>
              <w:left w:val="nil"/>
              <w:bottom w:val="single" w:sz="4" w:space="0" w:color="auto"/>
              <w:right w:val="single" w:sz="4" w:space="0" w:color="auto"/>
            </w:tcBorders>
            <w:shd w:val="clear" w:color="auto" w:fill="auto"/>
            <w:noWrap/>
            <w:vAlign w:val="center"/>
            <w:hideMark/>
          </w:tcPr>
          <w:p w14:paraId="3C509E0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7BCC487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703EA3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PERITO JUDICIAL 2 </w:t>
            </w:r>
          </w:p>
        </w:tc>
        <w:tc>
          <w:tcPr>
            <w:tcW w:w="761" w:type="dxa"/>
            <w:tcBorders>
              <w:top w:val="nil"/>
              <w:left w:val="nil"/>
              <w:bottom w:val="single" w:sz="4" w:space="0" w:color="auto"/>
              <w:right w:val="single" w:sz="4" w:space="0" w:color="auto"/>
            </w:tcBorders>
            <w:shd w:val="clear" w:color="auto" w:fill="auto"/>
            <w:noWrap/>
            <w:vAlign w:val="center"/>
            <w:hideMark/>
          </w:tcPr>
          <w:p w14:paraId="1C3D582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84131</w:t>
            </w:r>
          </w:p>
        </w:tc>
      </w:tr>
      <w:tr w:rsidR="007E6FC1" w:rsidRPr="00697B6D" w14:paraId="1C6ECA69"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06401C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7A5757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2198B40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1167-OIJ-P53</w:t>
            </w:r>
          </w:p>
        </w:tc>
        <w:tc>
          <w:tcPr>
            <w:tcW w:w="2127" w:type="dxa"/>
            <w:tcBorders>
              <w:top w:val="nil"/>
              <w:left w:val="nil"/>
              <w:bottom w:val="single" w:sz="4" w:space="0" w:color="auto"/>
              <w:right w:val="single" w:sz="4" w:space="0" w:color="auto"/>
            </w:tcBorders>
            <w:shd w:val="clear" w:color="auto" w:fill="auto"/>
            <w:noWrap/>
            <w:vAlign w:val="center"/>
            <w:hideMark/>
          </w:tcPr>
          <w:p w14:paraId="7A3EF07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Implementación de la gestión de proyectos operativos del Organismo de Investigación Judicial.</w:t>
            </w:r>
          </w:p>
        </w:tc>
        <w:tc>
          <w:tcPr>
            <w:tcW w:w="1034" w:type="dxa"/>
            <w:tcBorders>
              <w:top w:val="nil"/>
              <w:left w:val="nil"/>
              <w:bottom w:val="single" w:sz="4" w:space="0" w:color="auto"/>
              <w:right w:val="single" w:sz="4" w:space="0" w:color="auto"/>
            </w:tcBorders>
            <w:shd w:val="clear" w:color="auto" w:fill="auto"/>
            <w:noWrap/>
            <w:vAlign w:val="center"/>
            <w:hideMark/>
          </w:tcPr>
          <w:p w14:paraId="5B9BFE7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0A7DF12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C9A0BF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5CC8BFB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55500</w:t>
            </w:r>
          </w:p>
        </w:tc>
      </w:tr>
      <w:tr w:rsidR="007E6FC1" w:rsidRPr="00697B6D" w14:paraId="2BE5775F"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157E13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367778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33618EF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1167-OIJ-P55</w:t>
            </w:r>
          </w:p>
        </w:tc>
        <w:tc>
          <w:tcPr>
            <w:tcW w:w="2127" w:type="dxa"/>
            <w:vMerge w:val="restart"/>
            <w:tcBorders>
              <w:top w:val="nil"/>
              <w:left w:val="nil"/>
              <w:right w:val="single" w:sz="4" w:space="0" w:color="auto"/>
            </w:tcBorders>
            <w:shd w:val="clear" w:color="auto" w:fill="auto"/>
            <w:noWrap/>
            <w:vAlign w:val="center"/>
            <w:hideMark/>
          </w:tcPr>
          <w:p w14:paraId="40B6B5E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 de descongestionamiento de la Sección de Transportes de OIJ</w:t>
            </w:r>
          </w:p>
        </w:tc>
        <w:tc>
          <w:tcPr>
            <w:tcW w:w="1034" w:type="dxa"/>
            <w:vMerge w:val="restart"/>
            <w:tcBorders>
              <w:top w:val="nil"/>
              <w:left w:val="nil"/>
              <w:right w:val="single" w:sz="4" w:space="0" w:color="auto"/>
            </w:tcBorders>
            <w:shd w:val="clear" w:color="auto" w:fill="auto"/>
            <w:noWrap/>
            <w:vAlign w:val="center"/>
            <w:hideMark/>
          </w:tcPr>
          <w:p w14:paraId="3C6C674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25C225B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42ED0E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ASISTENTE  ADMINISTRATIVO 1</w:t>
            </w:r>
          </w:p>
        </w:tc>
        <w:tc>
          <w:tcPr>
            <w:tcW w:w="761" w:type="dxa"/>
            <w:tcBorders>
              <w:top w:val="nil"/>
              <w:left w:val="nil"/>
              <w:bottom w:val="single" w:sz="4" w:space="0" w:color="auto"/>
              <w:right w:val="single" w:sz="4" w:space="0" w:color="auto"/>
            </w:tcBorders>
            <w:shd w:val="clear" w:color="auto" w:fill="auto"/>
            <w:noWrap/>
            <w:vAlign w:val="center"/>
            <w:hideMark/>
          </w:tcPr>
          <w:p w14:paraId="3310F07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43477</w:t>
            </w:r>
          </w:p>
        </w:tc>
      </w:tr>
      <w:tr w:rsidR="007E6FC1" w:rsidRPr="00697B6D" w14:paraId="22CB7E80"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D213A3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EC2835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27350E5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397353B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185EFA2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EAF9B3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1E32A5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DE SERVICIOS GENERALES 1</w:t>
            </w:r>
          </w:p>
        </w:tc>
        <w:tc>
          <w:tcPr>
            <w:tcW w:w="761" w:type="dxa"/>
            <w:tcBorders>
              <w:top w:val="nil"/>
              <w:left w:val="nil"/>
              <w:bottom w:val="single" w:sz="4" w:space="0" w:color="auto"/>
              <w:right w:val="single" w:sz="4" w:space="0" w:color="auto"/>
            </w:tcBorders>
            <w:shd w:val="clear" w:color="auto" w:fill="auto"/>
            <w:noWrap/>
            <w:vAlign w:val="center"/>
            <w:hideMark/>
          </w:tcPr>
          <w:p w14:paraId="02DAE68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60171</w:t>
            </w:r>
          </w:p>
        </w:tc>
      </w:tr>
      <w:tr w:rsidR="007E6FC1" w:rsidRPr="00697B6D" w14:paraId="2F65B7C2"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3C0C5B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56DF22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25EF483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67B31AF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D1F12A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C1C94F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F8AEBC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4</w:t>
            </w:r>
          </w:p>
        </w:tc>
        <w:tc>
          <w:tcPr>
            <w:tcW w:w="761" w:type="dxa"/>
            <w:tcBorders>
              <w:top w:val="nil"/>
              <w:left w:val="nil"/>
              <w:bottom w:val="single" w:sz="4" w:space="0" w:color="auto"/>
              <w:right w:val="single" w:sz="4" w:space="0" w:color="auto"/>
            </w:tcBorders>
            <w:shd w:val="clear" w:color="auto" w:fill="auto"/>
            <w:noWrap/>
            <w:vAlign w:val="center"/>
            <w:hideMark/>
          </w:tcPr>
          <w:p w14:paraId="4F84A97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43531</w:t>
            </w:r>
          </w:p>
        </w:tc>
      </w:tr>
      <w:tr w:rsidR="007E6FC1" w:rsidRPr="00697B6D" w14:paraId="21005BD9"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C47678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A5BFFB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66DB63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39F458A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DFA2ED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1E32FE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3B2072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4</w:t>
            </w:r>
          </w:p>
        </w:tc>
        <w:tc>
          <w:tcPr>
            <w:tcW w:w="761" w:type="dxa"/>
            <w:tcBorders>
              <w:top w:val="nil"/>
              <w:left w:val="nil"/>
              <w:bottom w:val="single" w:sz="4" w:space="0" w:color="auto"/>
              <w:right w:val="single" w:sz="4" w:space="0" w:color="auto"/>
            </w:tcBorders>
            <w:shd w:val="clear" w:color="auto" w:fill="auto"/>
            <w:noWrap/>
            <w:vAlign w:val="center"/>
            <w:hideMark/>
          </w:tcPr>
          <w:p w14:paraId="0FC8AF7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43532</w:t>
            </w:r>
          </w:p>
        </w:tc>
      </w:tr>
      <w:tr w:rsidR="007E6FC1" w:rsidRPr="00697B6D" w14:paraId="081A0B1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5D051B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3DC016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6A2E5BB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0F80E45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EC43F7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29C4512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B69846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4</w:t>
            </w:r>
          </w:p>
        </w:tc>
        <w:tc>
          <w:tcPr>
            <w:tcW w:w="761" w:type="dxa"/>
            <w:tcBorders>
              <w:top w:val="nil"/>
              <w:left w:val="nil"/>
              <w:bottom w:val="single" w:sz="4" w:space="0" w:color="auto"/>
              <w:right w:val="single" w:sz="4" w:space="0" w:color="auto"/>
            </w:tcBorders>
            <w:shd w:val="clear" w:color="auto" w:fill="auto"/>
            <w:noWrap/>
            <w:vAlign w:val="center"/>
            <w:hideMark/>
          </w:tcPr>
          <w:p w14:paraId="4A0A4C3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96410</w:t>
            </w:r>
          </w:p>
        </w:tc>
      </w:tr>
      <w:tr w:rsidR="007E6FC1" w:rsidRPr="00697B6D" w14:paraId="65E813AA"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A27F43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9D044F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65F3461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40D4082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214A151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218DBE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EB98CC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4</w:t>
            </w:r>
          </w:p>
        </w:tc>
        <w:tc>
          <w:tcPr>
            <w:tcW w:w="761" w:type="dxa"/>
            <w:tcBorders>
              <w:top w:val="nil"/>
              <w:left w:val="nil"/>
              <w:bottom w:val="single" w:sz="4" w:space="0" w:color="auto"/>
              <w:right w:val="single" w:sz="4" w:space="0" w:color="auto"/>
            </w:tcBorders>
            <w:shd w:val="clear" w:color="auto" w:fill="auto"/>
            <w:noWrap/>
            <w:vAlign w:val="center"/>
            <w:hideMark/>
          </w:tcPr>
          <w:p w14:paraId="2F5B8AC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369994</w:t>
            </w:r>
          </w:p>
        </w:tc>
      </w:tr>
      <w:tr w:rsidR="007E6FC1" w:rsidRPr="00697B6D" w14:paraId="166D6476" w14:textId="77777777" w:rsidTr="00301740">
        <w:trPr>
          <w:trHeight w:val="290"/>
        </w:trPr>
        <w:tc>
          <w:tcPr>
            <w:tcW w:w="1613" w:type="dxa"/>
            <w:tcBorders>
              <w:left w:val="single" w:sz="4" w:space="0" w:color="auto"/>
              <w:right w:val="single" w:sz="4" w:space="0" w:color="auto"/>
            </w:tcBorders>
            <w:shd w:val="clear" w:color="auto" w:fill="auto"/>
            <w:noWrap/>
            <w:vAlign w:val="center"/>
          </w:tcPr>
          <w:p w14:paraId="1347480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0A25A1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5F678E6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22CFFCE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20254BA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51D458E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A636CD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nil"/>
              <w:left w:val="nil"/>
              <w:bottom w:val="single" w:sz="4" w:space="0" w:color="auto"/>
              <w:right w:val="single" w:sz="4" w:space="0" w:color="auto"/>
            </w:tcBorders>
            <w:shd w:val="clear" w:color="auto" w:fill="auto"/>
            <w:noWrap/>
            <w:vAlign w:val="center"/>
            <w:hideMark/>
          </w:tcPr>
          <w:p w14:paraId="33531C3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372178</w:t>
            </w:r>
          </w:p>
        </w:tc>
      </w:tr>
      <w:tr w:rsidR="007E6FC1" w:rsidRPr="00697B6D" w14:paraId="4BF8C9D0" w14:textId="77777777" w:rsidTr="00301740">
        <w:trPr>
          <w:trHeight w:val="290"/>
        </w:trPr>
        <w:tc>
          <w:tcPr>
            <w:tcW w:w="1613" w:type="dxa"/>
            <w:vMerge w:val="restart"/>
            <w:tcBorders>
              <w:left w:val="single" w:sz="4" w:space="0" w:color="auto"/>
              <w:right w:val="single" w:sz="4" w:space="0" w:color="auto"/>
            </w:tcBorders>
            <w:shd w:val="clear" w:color="auto" w:fill="auto"/>
            <w:noWrap/>
            <w:vAlign w:val="center"/>
          </w:tcPr>
          <w:p w14:paraId="7DB3C27A" w14:textId="02642776"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928 Organismo de Investigación Judicial</w:t>
            </w:r>
          </w:p>
        </w:tc>
        <w:tc>
          <w:tcPr>
            <w:tcW w:w="1173" w:type="dxa"/>
            <w:vMerge w:val="restart"/>
            <w:tcBorders>
              <w:left w:val="nil"/>
              <w:right w:val="single" w:sz="4" w:space="0" w:color="auto"/>
            </w:tcBorders>
            <w:shd w:val="clear" w:color="auto" w:fill="auto"/>
            <w:noWrap/>
            <w:vAlign w:val="center"/>
          </w:tcPr>
          <w:p w14:paraId="7438CAB0" w14:textId="6984E5A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Organismo de Investigación Judicial</w:t>
            </w:r>
          </w:p>
        </w:tc>
        <w:tc>
          <w:tcPr>
            <w:tcW w:w="1183" w:type="dxa"/>
            <w:vMerge/>
            <w:tcBorders>
              <w:left w:val="nil"/>
              <w:bottom w:val="single" w:sz="4" w:space="0" w:color="auto"/>
              <w:right w:val="single" w:sz="4" w:space="0" w:color="auto"/>
            </w:tcBorders>
            <w:shd w:val="clear" w:color="auto" w:fill="auto"/>
            <w:noWrap/>
            <w:vAlign w:val="center"/>
          </w:tcPr>
          <w:p w14:paraId="41C4B24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31F74C3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7734BE3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D71253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8AD402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DE SERVICIOS GENERALES 4</w:t>
            </w:r>
          </w:p>
        </w:tc>
        <w:tc>
          <w:tcPr>
            <w:tcW w:w="761" w:type="dxa"/>
            <w:tcBorders>
              <w:top w:val="nil"/>
              <w:left w:val="nil"/>
              <w:bottom w:val="single" w:sz="4" w:space="0" w:color="auto"/>
              <w:right w:val="single" w:sz="4" w:space="0" w:color="auto"/>
            </w:tcBorders>
            <w:shd w:val="clear" w:color="auto" w:fill="auto"/>
            <w:noWrap/>
            <w:vAlign w:val="center"/>
            <w:hideMark/>
          </w:tcPr>
          <w:p w14:paraId="69826F6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372176</w:t>
            </w:r>
          </w:p>
        </w:tc>
      </w:tr>
      <w:tr w:rsidR="007E6FC1" w:rsidRPr="00697B6D" w14:paraId="27A571F4"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2631305" w14:textId="4E460745"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DDD7438" w14:textId="62ECAAE9"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43C0542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1167-OIJ-P56</w:t>
            </w:r>
          </w:p>
        </w:tc>
        <w:tc>
          <w:tcPr>
            <w:tcW w:w="2127" w:type="dxa"/>
            <w:vMerge w:val="restart"/>
            <w:tcBorders>
              <w:top w:val="nil"/>
              <w:left w:val="nil"/>
              <w:right w:val="single" w:sz="4" w:space="0" w:color="auto"/>
            </w:tcBorders>
            <w:shd w:val="clear" w:color="auto" w:fill="auto"/>
            <w:noWrap/>
            <w:vAlign w:val="center"/>
            <w:hideMark/>
          </w:tcPr>
          <w:p w14:paraId="4469EEE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Procedimientos para la funcionalidad de Oficina Especializada contra el Crimen Organizado</w:t>
            </w:r>
          </w:p>
        </w:tc>
        <w:tc>
          <w:tcPr>
            <w:tcW w:w="1034" w:type="dxa"/>
            <w:vMerge w:val="restart"/>
            <w:tcBorders>
              <w:top w:val="nil"/>
              <w:left w:val="nil"/>
              <w:right w:val="single" w:sz="4" w:space="0" w:color="auto"/>
            </w:tcBorders>
            <w:shd w:val="clear" w:color="auto" w:fill="auto"/>
            <w:noWrap/>
            <w:vAlign w:val="center"/>
            <w:hideMark/>
          </w:tcPr>
          <w:p w14:paraId="2EFFFD3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2DA2489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5C80E1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ASESOR OPERATIVO </w:t>
            </w:r>
          </w:p>
        </w:tc>
        <w:tc>
          <w:tcPr>
            <w:tcW w:w="761" w:type="dxa"/>
            <w:tcBorders>
              <w:top w:val="nil"/>
              <w:left w:val="nil"/>
              <w:bottom w:val="single" w:sz="4" w:space="0" w:color="auto"/>
              <w:right w:val="single" w:sz="4" w:space="0" w:color="auto"/>
            </w:tcBorders>
            <w:shd w:val="clear" w:color="auto" w:fill="auto"/>
            <w:noWrap/>
            <w:vAlign w:val="center"/>
            <w:hideMark/>
          </w:tcPr>
          <w:p w14:paraId="26D07F0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379711</w:t>
            </w:r>
          </w:p>
        </w:tc>
      </w:tr>
      <w:tr w:rsidR="007E6FC1" w:rsidRPr="00697B6D" w14:paraId="4C43DCB9"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1116BA5" w14:textId="52FA4EF1"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45B4FC9" w14:textId="0027069B"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1E10D0B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062428F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34446AD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FC29AA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7B40AD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JEFE DE PLANES Y OPERACIONES DEL OIJ </w:t>
            </w:r>
          </w:p>
        </w:tc>
        <w:tc>
          <w:tcPr>
            <w:tcW w:w="761" w:type="dxa"/>
            <w:tcBorders>
              <w:top w:val="nil"/>
              <w:left w:val="nil"/>
              <w:bottom w:val="single" w:sz="4" w:space="0" w:color="auto"/>
              <w:right w:val="single" w:sz="4" w:space="0" w:color="auto"/>
            </w:tcBorders>
            <w:shd w:val="clear" w:color="auto" w:fill="auto"/>
            <w:noWrap/>
            <w:vAlign w:val="center"/>
            <w:hideMark/>
          </w:tcPr>
          <w:p w14:paraId="411135A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47054</w:t>
            </w:r>
          </w:p>
        </w:tc>
      </w:tr>
      <w:tr w:rsidR="007E6FC1" w:rsidRPr="00697B6D" w14:paraId="53CF7C3E"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277809E" w14:textId="7E31751F"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D8E1E51" w14:textId="663ECA8F"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702DD8F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29EAAB1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2AB2865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1DD7C00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8EE5D8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SUBJEFE DE PLANES Y OPERACIONES DEL OIJ</w:t>
            </w:r>
          </w:p>
        </w:tc>
        <w:tc>
          <w:tcPr>
            <w:tcW w:w="761" w:type="dxa"/>
            <w:tcBorders>
              <w:top w:val="nil"/>
              <w:left w:val="nil"/>
              <w:bottom w:val="single" w:sz="4" w:space="0" w:color="auto"/>
              <w:right w:val="single" w:sz="4" w:space="0" w:color="auto"/>
            </w:tcBorders>
            <w:shd w:val="clear" w:color="auto" w:fill="auto"/>
            <w:noWrap/>
            <w:vAlign w:val="center"/>
            <w:hideMark/>
          </w:tcPr>
          <w:p w14:paraId="6B87CCF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363866</w:t>
            </w:r>
          </w:p>
        </w:tc>
      </w:tr>
      <w:tr w:rsidR="007E6FC1" w:rsidRPr="00697B6D" w14:paraId="48E0C3E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9DE463E" w14:textId="5ED16DCE"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F398BB2" w14:textId="409DC6E4"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1DB0F6F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1167-OIJ-P57</w:t>
            </w:r>
          </w:p>
        </w:tc>
        <w:tc>
          <w:tcPr>
            <w:tcW w:w="2127" w:type="dxa"/>
            <w:tcBorders>
              <w:top w:val="nil"/>
              <w:left w:val="nil"/>
              <w:bottom w:val="single" w:sz="4" w:space="0" w:color="auto"/>
              <w:right w:val="single" w:sz="4" w:space="0" w:color="auto"/>
            </w:tcBorders>
            <w:shd w:val="clear" w:color="auto" w:fill="auto"/>
            <w:noWrap/>
            <w:vAlign w:val="center"/>
            <w:hideMark/>
          </w:tcPr>
          <w:p w14:paraId="28FF50A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Mejoramiento del servicio y atenciones de la Unidad de Administración de Sistemas del OIJ y administración de Pagina Web OIJ para índices de Transparencia Institucional.</w:t>
            </w:r>
          </w:p>
        </w:tc>
        <w:tc>
          <w:tcPr>
            <w:tcW w:w="1034" w:type="dxa"/>
            <w:tcBorders>
              <w:top w:val="nil"/>
              <w:left w:val="nil"/>
              <w:bottom w:val="single" w:sz="4" w:space="0" w:color="auto"/>
              <w:right w:val="single" w:sz="4" w:space="0" w:color="auto"/>
            </w:tcBorders>
            <w:shd w:val="clear" w:color="auto" w:fill="auto"/>
            <w:noWrap/>
            <w:vAlign w:val="center"/>
            <w:hideMark/>
          </w:tcPr>
          <w:p w14:paraId="65C4DD5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4C6D57C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9CD7E6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ASISTENTE  ADMINISTRATIVO 3 </w:t>
            </w:r>
          </w:p>
        </w:tc>
        <w:tc>
          <w:tcPr>
            <w:tcW w:w="761" w:type="dxa"/>
            <w:tcBorders>
              <w:top w:val="nil"/>
              <w:left w:val="nil"/>
              <w:bottom w:val="single" w:sz="4" w:space="0" w:color="auto"/>
              <w:right w:val="single" w:sz="4" w:space="0" w:color="auto"/>
            </w:tcBorders>
            <w:shd w:val="clear" w:color="auto" w:fill="auto"/>
            <w:noWrap/>
            <w:vAlign w:val="center"/>
            <w:hideMark/>
          </w:tcPr>
          <w:p w14:paraId="7B78159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363876</w:t>
            </w:r>
          </w:p>
        </w:tc>
      </w:tr>
      <w:tr w:rsidR="007E6FC1" w:rsidRPr="00697B6D" w14:paraId="68E2D38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1C764FA" w14:textId="589A93FB"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979CDA6" w14:textId="7AD39555"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20D3127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1167-OIJ-P58</w:t>
            </w:r>
          </w:p>
        </w:tc>
        <w:tc>
          <w:tcPr>
            <w:tcW w:w="2127" w:type="dxa"/>
            <w:vMerge w:val="restart"/>
            <w:tcBorders>
              <w:top w:val="nil"/>
              <w:left w:val="nil"/>
              <w:right w:val="single" w:sz="4" w:space="0" w:color="auto"/>
            </w:tcBorders>
            <w:shd w:val="clear" w:color="auto" w:fill="auto"/>
            <w:noWrap/>
            <w:vAlign w:val="center"/>
            <w:hideMark/>
          </w:tcPr>
          <w:p w14:paraId="5C789C7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 de descongestionamiento del rezago e indicios en la Sección de Fraudes</w:t>
            </w:r>
          </w:p>
        </w:tc>
        <w:tc>
          <w:tcPr>
            <w:tcW w:w="1034" w:type="dxa"/>
            <w:vMerge w:val="restart"/>
            <w:tcBorders>
              <w:top w:val="nil"/>
              <w:left w:val="nil"/>
              <w:right w:val="single" w:sz="4" w:space="0" w:color="auto"/>
            </w:tcBorders>
            <w:shd w:val="clear" w:color="auto" w:fill="auto"/>
            <w:noWrap/>
            <w:vAlign w:val="center"/>
            <w:hideMark/>
          </w:tcPr>
          <w:p w14:paraId="1A18AD9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3FC88AE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B86260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ANALISTA EN CRIMINOLOGIA </w:t>
            </w:r>
          </w:p>
        </w:tc>
        <w:tc>
          <w:tcPr>
            <w:tcW w:w="761" w:type="dxa"/>
            <w:tcBorders>
              <w:top w:val="nil"/>
              <w:left w:val="nil"/>
              <w:bottom w:val="single" w:sz="4" w:space="0" w:color="auto"/>
              <w:right w:val="single" w:sz="4" w:space="0" w:color="auto"/>
            </w:tcBorders>
            <w:shd w:val="clear" w:color="auto" w:fill="auto"/>
            <w:noWrap/>
            <w:vAlign w:val="center"/>
            <w:hideMark/>
          </w:tcPr>
          <w:p w14:paraId="346D870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382146</w:t>
            </w:r>
          </w:p>
        </w:tc>
      </w:tr>
      <w:tr w:rsidR="007E6FC1" w:rsidRPr="00697B6D" w14:paraId="03B1FFEF"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0D947F7" w14:textId="717DB4E3"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AAAC6D8" w14:textId="4CC6FCC1"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549B067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A53CD5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BF9285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08E8CF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7C2D25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nil"/>
              <w:left w:val="nil"/>
              <w:bottom w:val="single" w:sz="4" w:space="0" w:color="auto"/>
              <w:right w:val="single" w:sz="4" w:space="0" w:color="auto"/>
            </w:tcBorders>
            <w:shd w:val="clear" w:color="auto" w:fill="auto"/>
            <w:noWrap/>
            <w:vAlign w:val="center"/>
            <w:hideMark/>
          </w:tcPr>
          <w:p w14:paraId="080D5CE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22826</w:t>
            </w:r>
          </w:p>
        </w:tc>
      </w:tr>
      <w:tr w:rsidR="007E6FC1" w:rsidRPr="00697B6D" w14:paraId="1978AD9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EB42A85" w14:textId="1773B372"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0D02115" w14:textId="56A9DFE6"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B920AA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7CAEA0D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25C8C6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4384206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EDC752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JEFE DE INVESTIGACION 1</w:t>
            </w:r>
          </w:p>
        </w:tc>
        <w:tc>
          <w:tcPr>
            <w:tcW w:w="761" w:type="dxa"/>
            <w:tcBorders>
              <w:top w:val="nil"/>
              <w:left w:val="nil"/>
              <w:bottom w:val="single" w:sz="4" w:space="0" w:color="auto"/>
              <w:right w:val="single" w:sz="4" w:space="0" w:color="auto"/>
            </w:tcBorders>
            <w:shd w:val="clear" w:color="auto" w:fill="auto"/>
            <w:noWrap/>
            <w:vAlign w:val="center"/>
            <w:hideMark/>
          </w:tcPr>
          <w:p w14:paraId="2A87093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6583</w:t>
            </w:r>
          </w:p>
        </w:tc>
      </w:tr>
      <w:tr w:rsidR="007E6FC1" w:rsidRPr="00697B6D" w14:paraId="4552EF0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5A74474" w14:textId="49D83A8A"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CF9F97F" w14:textId="5B95989C"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5CE5516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6471D00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7D47CD4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469A0F7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F50A5A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JEFE DE INVESTIGACION 1</w:t>
            </w:r>
          </w:p>
        </w:tc>
        <w:tc>
          <w:tcPr>
            <w:tcW w:w="761" w:type="dxa"/>
            <w:tcBorders>
              <w:top w:val="nil"/>
              <w:left w:val="nil"/>
              <w:bottom w:val="single" w:sz="4" w:space="0" w:color="auto"/>
              <w:right w:val="single" w:sz="4" w:space="0" w:color="auto"/>
            </w:tcBorders>
            <w:shd w:val="clear" w:color="auto" w:fill="auto"/>
            <w:noWrap/>
            <w:vAlign w:val="center"/>
            <w:hideMark/>
          </w:tcPr>
          <w:p w14:paraId="73EF7B1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102068</w:t>
            </w:r>
          </w:p>
        </w:tc>
      </w:tr>
      <w:tr w:rsidR="007E6FC1" w:rsidRPr="00697B6D" w14:paraId="54F62764"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9A81A16" w14:textId="5D4A3204"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0FD8938" w14:textId="1FC62D51"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7986114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1167-OIJ-P58</w:t>
            </w:r>
          </w:p>
        </w:tc>
        <w:tc>
          <w:tcPr>
            <w:tcW w:w="2127" w:type="dxa"/>
            <w:tcBorders>
              <w:top w:val="nil"/>
              <w:left w:val="nil"/>
              <w:bottom w:val="single" w:sz="4" w:space="0" w:color="auto"/>
              <w:right w:val="single" w:sz="4" w:space="0" w:color="auto"/>
            </w:tcBorders>
            <w:shd w:val="clear" w:color="auto" w:fill="auto"/>
            <w:noWrap/>
            <w:vAlign w:val="center"/>
            <w:hideMark/>
          </w:tcPr>
          <w:p w14:paraId="27515B6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 de descongestionamiento del rezago e indicios en la Sección de Fraudes</w:t>
            </w:r>
          </w:p>
        </w:tc>
        <w:tc>
          <w:tcPr>
            <w:tcW w:w="1034" w:type="dxa"/>
            <w:tcBorders>
              <w:top w:val="nil"/>
              <w:left w:val="nil"/>
              <w:bottom w:val="single" w:sz="4" w:space="0" w:color="auto"/>
              <w:right w:val="single" w:sz="4" w:space="0" w:color="auto"/>
            </w:tcBorders>
            <w:shd w:val="clear" w:color="auto" w:fill="auto"/>
            <w:noWrap/>
            <w:vAlign w:val="center"/>
            <w:hideMark/>
          </w:tcPr>
          <w:p w14:paraId="772D835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2815A96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20FCE5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JEFE DE INVESTIGACION 1</w:t>
            </w:r>
          </w:p>
        </w:tc>
        <w:tc>
          <w:tcPr>
            <w:tcW w:w="761" w:type="dxa"/>
            <w:tcBorders>
              <w:top w:val="nil"/>
              <w:left w:val="nil"/>
              <w:bottom w:val="single" w:sz="4" w:space="0" w:color="auto"/>
              <w:right w:val="single" w:sz="4" w:space="0" w:color="auto"/>
            </w:tcBorders>
            <w:shd w:val="clear" w:color="auto" w:fill="auto"/>
            <w:noWrap/>
            <w:vAlign w:val="center"/>
            <w:hideMark/>
          </w:tcPr>
          <w:p w14:paraId="136CEE1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368010</w:t>
            </w:r>
          </w:p>
        </w:tc>
      </w:tr>
      <w:tr w:rsidR="007E6FC1" w:rsidRPr="00697B6D" w14:paraId="3C58E52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2521507" w14:textId="3993B265"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1FD5E06" w14:textId="434FFC90"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100CD3A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1167-OIJ-P59</w:t>
            </w:r>
          </w:p>
        </w:tc>
        <w:tc>
          <w:tcPr>
            <w:tcW w:w="2127" w:type="dxa"/>
            <w:vMerge w:val="restart"/>
            <w:tcBorders>
              <w:top w:val="nil"/>
              <w:left w:val="nil"/>
              <w:right w:val="single" w:sz="4" w:space="0" w:color="auto"/>
            </w:tcBorders>
            <w:shd w:val="clear" w:color="auto" w:fill="auto"/>
            <w:noWrap/>
            <w:vAlign w:val="center"/>
            <w:hideMark/>
          </w:tcPr>
          <w:p w14:paraId="5720F62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Actualización y seguimiento de avisos en seguridad de la información UTI</w:t>
            </w:r>
          </w:p>
        </w:tc>
        <w:tc>
          <w:tcPr>
            <w:tcW w:w="1034" w:type="dxa"/>
            <w:vMerge w:val="restart"/>
            <w:tcBorders>
              <w:top w:val="nil"/>
              <w:left w:val="nil"/>
              <w:right w:val="single" w:sz="4" w:space="0" w:color="auto"/>
            </w:tcBorders>
            <w:shd w:val="clear" w:color="auto" w:fill="auto"/>
            <w:noWrap/>
            <w:vAlign w:val="center"/>
            <w:hideMark/>
          </w:tcPr>
          <w:p w14:paraId="2690F8E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22A8DC7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31E2CA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77A2D1D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352721</w:t>
            </w:r>
          </w:p>
        </w:tc>
      </w:tr>
      <w:tr w:rsidR="007E6FC1" w:rsidRPr="00697B6D" w14:paraId="71DAA318"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95C8826" w14:textId="3903E14A"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DDFF85E" w14:textId="5CD77D55"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447EA7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5FAB98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0EACA29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FE69BA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CEE27D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777C2D1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352722</w:t>
            </w:r>
          </w:p>
        </w:tc>
      </w:tr>
      <w:tr w:rsidR="007E6FC1" w:rsidRPr="00697B6D" w14:paraId="3858324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BAFC488" w14:textId="450F3F7C"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1137623" w14:textId="1F96A15A"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72A809B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338A562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5D17DC8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773F00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5CBECD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6B4B06F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352723</w:t>
            </w:r>
          </w:p>
        </w:tc>
      </w:tr>
      <w:tr w:rsidR="007E6FC1" w:rsidRPr="00697B6D" w14:paraId="72D9A394"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A8D1513" w14:textId="0CB1004F"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16E407D" w14:textId="4D726D6D"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7DACB2E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1167-OIJ-P60</w:t>
            </w:r>
          </w:p>
        </w:tc>
        <w:tc>
          <w:tcPr>
            <w:tcW w:w="2127" w:type="dxa"/>
            <w:vMerge w:val="restart"/>
            <w:tcBorders>
              <w:top w:val="nil"/>
              <w:left w:val="nil"/>
              <w:right w:val="single" w:sz="4" w:space="0" w:color="auto"/>
            </w:tcBorders>
            <w:shd w:val="clear" w:color="auto" w:fill="auto"/>
            <w:noWrap/>
            <w:vAlign w:val="center"/>
            <w:hideMark/>
          </w:tcPr>
          <w:p w14:paraId="6559452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Mejora de la operatividad en los procesos administrativos del Departamento de Ciencias Forenses </w:t>
            </w:r>
          </w:p>
        </w:tc>
        <w:tc>
          <w:tcPr>
            <w:tcW w:w="1034" w:type="dxa"/>
            <w:vMerge w:val="restart"/>
            <w:tcBorders>
              <w:top w:val="nil"/>
              <w:left w:val="nil"/>
              <w:right w:val="single" w:sz="4" w:space="0" w:color="auto"/>
            </w:tcBorders>
            <w:shd w:val="clear" w:color="auto" w:fill="auto"/>
            <w:noWrap/>
            <w:vAlign w:val="center"/>
            <w:hideMark/>
          </w:tcPr>
          <w:p w14:paraId="2CBED5B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301A951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6D58C1D" w14:textId="7E369AB5"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ASISTENTE  ADMINISTRATIVO 3</w:t>
            </w:r>
          </w:p>
        </w:tc>
        <w:tc>
          <w:tcPr>
            <w:tcW w:w="761" w:type="dxa"/>
            <w:tcBorders>
              <w:top w:val="nil"/>
              <w:left w:val="nil"/>
              <w:bottom w:val="single" w:sz="4" w:space="0" w:color="auto"/>
              <w:right w:val="single" w:sz="4" w:space="0" w:color="auto"/>
            </w:tcBorders>
            <w:shd w:val="clear" w:color="auto" w:fill="auto"/>
            <w:noWrap/>
            <w:vAlign w:val="center"/>
            <w:hideMark/>
          </w:tcPr>
          <w:p w14:paraId="496CED5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20088</w:t>
            </w:r>
          </w:p>
        </w:tc>
      </w:tr>
      <w:tr w:rsidR="007E6FC1" w:rsidRPr="00697B6D" w14:paraId="208EFC8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2654C78" w14:textId="1E79AC3A"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3335A0F" w14:textId="305C810A"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412A95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AF7822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hideMark/>
          </w:tcPr>
          <w:p w14:paraId="64486B8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4951183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719F1F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ASISTENTE DE RECEPCION DE INDICIOS</w:t>
            </w:r>
          </w:p>
        </w:tc>
        <w:tc>
          <w:tcPr>
            <w:tcW w:w="761" w:type="dxa"/>
            <w:tcBorders>
              <w:top w:val="nil"/>
              <w:left w:val="nil"/>
              <w:bottom w:val="single" w:sz="4" w:space="0" w:color="auto"/>
              <w:right w:val="single" w:sz="4" w:space="0" w:color="auto"/>
            </w:tcBorders>
            <w:shd w:val="clear" w:color="auto" w:fill="auto"/>
            <w:noWrap/>
            <w:vAlign w:val="center"/>
            <w:hideMark/>
          </w:tcPr>
          <w:p w14:paraId="49641BE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43472</w:t>
            </w:r>
          </w:p>
        </w:tc>
      </w:tr>
      <w:tr w:rsidR="007E6FC1" w:rsidRPr="00697B6D" w14:paraId="2410864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879B250" w14:textId="41B7411E"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FBA6B8C" w14:textId="419A286F"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DBCB47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1B636A6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4FF5EE5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28C4B82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DD8728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nil"/>
              <w:left w:val="nil"/>
              <w:bottom w:val="single" w:sz="4" w:space="0" w:color="auto"/>
              <w:right w:val="single" w:sz="4" w:space="0" w:color="auto"/>
            </w:tcBorders>
            <w:shd w:val="clear" w:color="auto" w:fill="auto"/>
            <w:noWrap/>
            <w:vAlign w:val="center"/>
            <w:hideMark/>
          </w:tcPr>
          <w:p w14:paraId="13AE62C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84132</w:t>
            </w:r>
          </w:p>
        </w:tc>
      </w:tr>
      <w:tr w:rsidR="007E6FC1" w:rsidRPr="00697B6D" w14:paraId="099E7A3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8FBE95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332C9F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2E7B57D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4CE5625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16F9926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F7205C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454A25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nil"/>
              <w:left w:val="nil"/>
              <w:bottom w:val="single" w:sz="4" w:space="0" w:color="auto"/>
              <w:right w:val="single" w:sz="4" w:space="0" w:color="auto"/>
            </w:tcBorders>
            <w:shd w:val="clear" w:color="auto" w:fill="auto"/>
            <w:noWrap/>
            <w:vAlign w:val="center"/>
            <w:hideMark/>
          </w:tcPr>
          <w:p w14:paraId="4DE5F2B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96445</w:t>
            </w:r>
          </w:p>
        </w:tc>
      </w:tr>
      <w:tr w:rsidR="007E6FC1" w:rsidRPr="00697B6D" w14:paraId="04F36E1A"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FC3F20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B2943D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391CA9F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1BB1ED5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13EAA5F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2BEE485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F59968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AUXILIAR  ADMINISTRATIVO</w:t>
            </w:r>
          </w:p>
        </w:tc>
        <w:tc>
          <w:tcPr>
            <w:tcW w:w="761" w:type="dxa"/>
            <w:tcBorders>
              <w:top w:val="nil"/>
              <w:left w:val="nil"/>
              <w:bottom w:val="single" w:sz="4" w:space="0" w:color="auto"/>
              <w:right w:val="single" w:sz="4" w:space="0" w:color="auto"/>
            </w:tcBorders>
            <w:shd w:val="clear" w:color="auto" w:fill="auto"/>
            <w:noWrap/>
            <w:vAlign w:val="center"/>
            <w:hideMark/>
          </w:tcPr>
          <w:p w14:paraId="5AF1AFD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352741</w:t>
            </w:r>
          </w:p>
        </w:tc>
      </w:tr>
      <w:tr w:rsidR="007E6FC1" w:rsidRPr="00697B6D" w14:paraId="686EE2D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9D3884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31EF0E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250D2FE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1167-OIJ-P61</w:t>
            </w:r>
          </w:p>
        </w:tc>
        <w:tc>
          <w:tcPr>
            <w:tcW w:w="2127" w:type="dxa"/>
            <w:vMerge w:val="restart"/>
            <w:tcBorders>
              <w:top w:val="nil"/>
              <w:left w:val="nil"/>
              <w:right w:val="single" w:sz="4" w:space="0" w:color="auto"/>
            </w:tcBorders>
            <w:shd w:val="clear" w:color="auto" w:fill="auto"/>
            <w:noWrap/>
            <w:vAlign w:val="center"/>
            <w:hideMark/>
          </w:tcPr>
          <w:p w14:paraId="05F3842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Atención de reportes de mantenimiento a oficinas pertenecientes al OIJ</w:t>
            </w:r>
          </w:p>
        </w:tc>
        <w:tc>
          <w:tcPr>
            <w:tcW w:w="1034" w:type="dxa"/>
            <w:tcBorders>
              <w:top w:val="nil"/>
              <w:left w:val="nil"/>
              <w:bottom w:val="single" w:sz="4" w:space="0" w:color="auto"/>
              <w:right w:val="single" w:sz="4" w:space="0" w:color="auto"/>
            </w:tcBorders>
            <w:shd w:val="clear" w:color="auto" w:fill="auto"/>
            <w:noWrap/>
            <w:vAlign w:val="center"/>
            <w:hideMark/>
          </w:tcPr>
          <w:p w14:paraId="6A22118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380752D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C00EF8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1AF29C9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43672</w:t>
            </w:r>
          </w:p>
        </w:tc>
      </w:tr>
      <w:tr w:rsidR="00BC00B3" w:rsidRPr="00697B6D" w14:paraId="0642A573" w14:textId="77777777" w:rsidTr="00301740">
        <w:trPr>
          <w:trHeight w:val="290"/>
        </w:trPr>
        <w:tc>
          <w:tcPr>
            <w:tcW w:w="1613" w:type="dxa"/>
            <w:vMerge/>
            <w:tcBorders>
              <w:left w:val="single" w:sz="4" w:space="0" w:color="auto"/>
              <w:bottom w:val="single" w:sz="4" w:space="0" w:color="auto"/>
              <w:right w:val="single" w:sz="4" w:space="0" w:color="auto"/>
            </w:tcBorders>
            <w:shd w:val="clear" w:color="auto" w:fill="auto"/>
            <w:noWrap/>
            <w:vAlign w:val="center"/>
            <w:hideMark/>
          </w:tcPr>
          <w:p w14:paraId="0101279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bottom w:val="single" w:sz="4" w:space="0" w:color="auto"/>
              <w:right w:val="single" w:sz="4" w:space="0" w:color="auto"/>
            </w:tcBorders>
            <w:shd w:val="clear" w:color="auto" w:fill="auto"/>
            <w:noWrap/>
            <w:vAlign w:val="center"/>
            <w:hideMark/>
          </w:tcPr>
          <w:p w14:paraId="2458FC1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04CBBA3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16B4071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tcBorders>
              <w:top w:val="nil"/>
              <w:left w:val="nil"/>
              <w:bottom w:val="single" w:sz="4" w:space="0" w:color="auto"/>
              <w:right w:val="single" w:sz="4" w:space="0" w:color="auto"/>
            </w:tcBorders>
            <w:shd w:val="clear" w:color="auto" w:fill="auto"/>
            <w:noWrap/>
            <w:vAlign w:val="center"/>
            <w:hideMark/>
          </w:tcPr>
          <w:p w14:paraId="137FFE0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3040B1B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CED810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ESPECIALIZADO 5</w:t>
            </w:r>
          </w:p>
        </w:tc>
        <w:tc>
          <w:tcPr>
            <w:tcW w:w="761" w:type="dxa"/>
            <w:tcBorders>
              <w:top w:val="nil"/>
              <w:left w:val="nil"/>
              <w:bottom w:val="single" w:sz="4" w:space="0" w:color="auto"/>
              <w:right w:val="single" w:sz="4" w:space="0" w:color="auto"/>
            </w:tcBorders>
            <w:shd w:val="clear" w:color="auto" w:fill="auto"/>
            <w:noWrap/>
            <w:vAlign w:val="center"/>
            <w:hideMark/>
          </w:tcPr>
          <w:p w14:paraId="7E7C6BD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378540</w:t>
            </w:r>
          </w:p>
        </w:tc>
      </w:tr>
      <w:tr w:rsidR="007E6FC1" w:rsidRPr="00697B6D" w14:paraId="7BE63B41" w14:textId="77777777" w:rsidTr="00301740">
        <w:trPr>
          <w:trHeight w:val="290"/>
        </w:trPr>
        <w:tc>
          <w:tcPr>
            <w:tcW w:w="1613" w:type="dxa"/>
            <w:vMerge w:val="restart"/>
            <w:tcBorders>
              <w:top w:val="nil"/>
              <w:left w:val="single" w:sz="4" w:space="0" w:color="auto"/>
              <w:right w:val="single" w:sz="4" w:space="0" w:color="auto"/>
            </w:tcBorders>
            <w:shd w:val="clear" w:color="auto" w:fill="auto"/>
            <w:noWrap/>
            <w:vAlign w:val="center"/>
            <w:hideMark/>
          </w:tcPr>
          <w:p w14:paraId="45D1EE0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929 Ministerio Público</w:t>
            </w:r>
          </w:p>
          <w:p w14:paraId="21A5D77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val="restart"/>
            <w:tcBorders>
              <w:top w:val="nil"/>
              <w:left w:val="nil"/>
              <w:right w:val="single" w:sz="4" w:space="0" w:color="auto"/>
            </w:tcBorders>
            <w:shd w:val="clear" w:color="auto" w:fill="auto"/>
            <w:noWrap/>
            <w:vAlign w:val="center"/>
            <w:hideMark/>
          </w:tcPr>
          <w:p w14:paraId="7248B8C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Ministerio Público</w:t>
            </w:r>
          </w:p>
        </w:tc>
        <w:tc>
          <w:tcPr>
            <w:tcW w:w="1183" w:type="dxa"/>
            <w:vMerge w:val="restart"/>
            <w:tcBorders>
              <w:top w:val="nil"/>
              <w:left w:val="nil"/>
              <w:right w:val="single" w:sz="4" w:space="0" w:color="auto"/>
            </w:tcBorders>
            <w:shd w:val="clear" w:color="auto" w:fill="auto"/>
            <w:noWrap/>
            <w:vAlign w:val="center"/>
            <w:hideMark/>
          </w:tcPr>
          <w:p w14:paraId="6AE60A2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0717-MP-P02</w:t>
            </w:r>
          </w:p>
        </w:tc>
        <w:tc>
          <w:tcPr>
            <w:tcW w:w="2127" w:type="dxa"/>
            <w:vMerge w:val="restart"/>
            <w:tcBorders>
              <w:top w:val="nil"/>
              <w:left w:val="nil"/>
              <w:right w:val="single" w:sz="4" w:space="0" w:color="auto"/>
            </w:tcBorders>
            <w:shd w:val="clear" w:color="auto" w:fill="auto"/>
            <w:noWrap/>
            <w:vAlign w:val="center"/>
            <w:hideMark/>
          </w:tcPr>
          <w:p w14:paraId="162156A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Modelo de abordaje de casos penales de crimen organizado</w:t>
            </w:r>
          </w:p>
        </w:tc>
        <w:tc>
          <w:tcPr>
            <w:tcW w:w="1034" w:type="dxa"/>
            <w:vMerge w:val="restart"/>
            <w:tcBorders>
              <w:top w:val="nil"/>
              <w:left w:val="nil"/>
              <w:right w:val="single" w:sz="4" w:space="0" w:color="auto"/>
            </w:tcBorders>
            <w:shd w:val="clear" w:color="auto" w:fill="auto"/>
            <w:noWrap/>
            <w:vAlign w:val="center"/>
            <w:hideMark/>
          </w:tcPr>
          <w:p w14:paraId="1806640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4838BAE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366557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COORDINADOR DE UNIDAD 3</w:t>
            </w:r>
          </w:p>
        </w:tc>
        <w:tc>
          <w:tcPr>
            <w:tcW w:w="761" w:type="dxa"/>
            <w:tcBorders>
              <w:top w:val="nil"/>
              <w:left w:val="nil"/>
              <w:bottom w:val="single" w:sz="4" w:space="0" w:color="auto"/>
              <w:right w:val="single" w:sz="4" w:space="0" w:color="auto"/>
            </w:tcBorders>
            <w:shd w:val="clear" w:color="auto" w:fill="auto"/>
            <w:noWrap/>
            <w:vAlign w:val="center"/>
            <w:hideMark/>
          </w:tcPr>
          <w:p w14:paraId="47EA204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35358</w:t>
            </w:r>
          </w:p>
        </w:tc>
      </w:tr>
      <w:tr w:rsidR="007E6FC1" w:rsidRPr="00697B6D" w14:paraId="531C1AE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A7C348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9F8326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61B3647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3A217C5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31AC43B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8AF889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1180E6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FISCAL  </w:t>
            </w:r>
          </w:p>
        </w:tc>
        <w:tc>
          <w:tcPr>
            <w:tcW w:w="761" w:type="dxa"/>
            <w:tcBorders>
              <w:top w:val="nil"/>
              <w:left w:val="nil"/>
              <w:bottom w:val="single" w:sz="4" w:space="0" w:color="auto"/>
              <w:right w:val="single" w:sz="4" w:space="0" w:color="auto"/>
            </w:tcBorders>
            <w:shd w:val="clear" w:color="auto" w:fill="auto"/>
            <w:noWrap/>
            <w:vAlign w:val="center"/>
            <w:hideMark/>
          </w:tcPr>
          <w:p w14:paraId="52EC6CF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43142</w:t>
            </w:r>
          </w:p>
        </w:tc>
      </w:tr>
      <w:tr w:rsidR="007E6FC1" w:rsidRPr="00697B6D" w14:paraId="2E1A1D5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8405F4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894782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52D1EA6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0717-MP-P05</w:t>
            </w:r>
          </w:p>
        </w:tc>
        <w:tc>
          <w:tcPr>
            <w:tcW w:w="2127" w:type="dxa"/>
            <w:tcBorders>
              <w:top w:val="nil"/>
              <w:left w:val="nil"/>
              <w:bottom w:val="single" w:sz="4" w:space="0" w:color="auto"/>
              <w:right w:val="single" w:sz="4" w:space="0" w:color="auto"/>
            </w:tcBorders>
            <w:shd w:val="clear" w:color="auto" w:fill="auto"/>
            <w:noWrap/>
            <w:vAlign w:val="center"/>
            <w:hideMark/>
          </w:tcPr>
          <w:p w14:paraId="5A1A256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Estrategia de Capacitación del Ministerio Público</w:t>
            </w:r>
          </w:p>
        </w:tc>
        <w:tc>
          <w:tcPr>
            <w:tcW w:w="1034" w:type="dxa"/>
            <w:tcBorders>
              <w:top w:val="nil"/>
              <w:left w:val="nil"/>
              <w:bottom w:val="single" w:sz="4" w:space="0" w:color="auto"/>
              <w:right w:val="single" w:sz="4" w:space="0" w:color="auto"/>
            </w:tcBorders>
            <w:shd w:val="clear" w:color="auto" w:fill="auto"/>
            <w:noWrap/>
            <w:vAlign w:val="center"/>
            <w:hideMark/>
          </w:tcPr>
          <w:p w14:paraId="381A55F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65607AE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1580D7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GESTOR DE CAPACITACIÓN 2</w:t>
            </w:r>
          </w:p>
        </w:tc>
        <w:tc>
          <w:tcPr>
            <w:tcW w:w="761" w:type="dxa"/>
            <w:tcBorders>
              <w:top w:val="nil"/>
              <w:left w:val="nil"/>
              <w:bottom w:val="single" w:sz="4" w:space="0" w:color="auto"/>
              <w:right w:val="single" w:sz="4" w:space="0" w:color="auto"/>
            </w:tcBorders>
            <w:shd w:val="clear" w:color="auto" w:fill="auto"/>
            <w:noWrap/>
            <w:vAlign w:val="center"/>
            <w:hideMark/>
          </w:tcPr>
          <w:p w14:paraId="6A0A743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350279</w:t>
            </w:r>
          </w:p>
        </w:tc>
      </w:tr>
      <w:tr w:rsidR="007E6FC1" w:rsidRPr="00697B6D" w14:paraId="133A8F6C"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AE4F3B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C6599A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60C4790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0717-MP</w:t>
            </w:r>
            <w:r>
              <w:rPr>
                <w:rFonts w:ascii="Book Antiqua" w:eastAsia="Times New Roman" w:hAnsi="Book Antiqua" w:cs="Calibri"/>
                <w:color w:val="000000"/>
                <w:sz w:val="14"/>
                <w:szCs w:val="14"/>
                <w:lang w:eastAsia="es-CR"/>
              </w:rPr>
              <w:t>-</w:t>
            </w:r>
            <w:r w:rsidRPr="00697B6D">
              <w:rPr>
                <w:rFonts w:ascii="Book Antiqua" w:eastAsia="Times New Roman" w:hAnsi="Book Antiqua" w:cs="Calibri"/>
                <w:color w:val="000000"/>
                <w:sz w:val="14"/>
                <w:szCs w:val="14"/>
                <w:lang w:eastAsia="es-CR"/>
              </w:rPr>
              <w:t>P09</w:t>
            </w:r>
          </w:p>
        </w:tc>
        <w:tc>
          <w:tcPr>
            <w:tcW w:w="2127" w:type="dxa"/>
            <w:vMerge w:val="restart"/>
            <w:tcBorders>
              <w:top w:val="nil"/>
              <w:left w:val="nil"/>
              <w:right w:val="single" w:sz="4" w:space="0" w:color="auto"/>
            </w:tcBorders>
            <w:shd w:val="clear" w:color="auto" w:fill="auto"/>
            <w:noWrap/>
            <w:vAlign w:val="center"/>
            <w:hideMark/>
          </w:tcPr>
          <w:p w14:paraId="6C63E7F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Rezago y Archivos Fiscales</w:t>
            </w:r>
          </w:p>
        </w:tc>
        <w:tc>
          <w:tcPr>
            <w:tcW w:w="1034" w:type="dxa"/>
            <w:vMerge w:val="restart"/>
            <w:tcBorders>
              <w:top w:val="nil"/>
              <w:left w:val="nil"/>
              <w:right w:val="single" w:sz="4" w:space="0" w:color="auto"/>
            </w:tcBorders>
            <w:shd w:val="clear" w:color="auto" w:fill="auto"/>
            <w:noWrap/>
            <w:vAlign w:val="center"/>
            <w:hideMark/>
          </w:tcPr>
          <w:p w14:paraId="4FC6FA8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1F86A49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B657653"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COORDINADOR JUDICIAL 2</w:t>
            </w:r>
          </w:p>
        </w:tc>
        <w:tc>
          <w:tcPr>
            <w:tcW w:w="761" w:type="dxa"/>
            <w:tcBorders>
              <w:top w:val="nil"/>
              <w:left w:val="nil"/>
              <w:bottom w:val="single" w:sz="4" w:space="0" w:color="auto"/>
              <w:right w:val="single" w:sz="4" w:space="0" w:color="auto"/>
            </w:tcBorders>
            <w:shd w:val="clear" w:color="auto" w:fill="auto"/>
            <w:noWrap/>
            <w:vAlign w:val="center"/>
            <w:hideMark/>
          </w:tcPr>
          <w:p w14:paraId="4E79017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95478</w:t>
            </w:r>
          </w:p>
        </w:tc>
      </w:tr>
      <w:tr w:rsidR="007E6FC1" w:rsidRPr="00697B6D" w14:paraId="290216DC"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89CDD8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4EA6B5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7024BB6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4C362D3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57280A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24BEA4C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0C3D71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COORDINADOR OFICINA DE APOYO JURISDICCIONAL </w:t>
            </w:r>
          </w:p>
        </w:tc>
        <w:tc>
          <w:tcPr>
            <w:tcW w:w="761" w:type="dxa"/>
            <w:tcBorders>
              <w:top w:val="nil"/>
              <w:left w:val="nil"/>
              <w:bottom w:val="single" w:sz="4" w:space="0" w:color="auto"/>
              <w:right w:val="single" w:sz="4" w:space="0" w:color="auto"/>
            </w:tcBorders>
            <w:shd w:val="clear" w:color="auto" w:fill="auto"/>
            <w:noWrap/>
            <w:vAlign w:val="center"/>
            <w:hideMark/>
          </w:tcPr>
          <w:p w14:paraId="341F1F5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34434</w:t>
            </w:r>
          </w:p>
        </w:tc>
      </w:tr>
      <w:tr w:rsidR="007E6FC1" w:rsidRPr="00697B6D" w14:paraId="36CEA775"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033CFF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EBEDD1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2B35E1A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4D1E9304"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28FAE80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CA3494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F3E02C0"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FISCAL AUXILIAR  </w:t>
            </w:r>
          </w:p>
        </w:tc>
        <w:tc>
          <w:tcPr>
            <w:tcW w:w="761" w:type="dxa"/>
            <w:tcBorders>
              <w:top w:val="nil"/>
              <w:left w:val="nil"/>
              <w:bottom w:val="single" w:sz="4" w:space="0" w:color="auto"/>
              <w:right w:val="single" w:sz="4" w:space="0" w:color="auto"/>
            </w:tcBorders>
            <w:shd w:val="clear" w:color="auto" w:fill="auto"/>
            <w:noWrap/>
            <w:vAlign w:val="center"/>
            <w:hideMark/>
          </w:tcPr>
          <w:p w14:paraId="68FC6C2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24897</w:t>
            </w:r>
          </w:p>
        </w:tc>
      </w:tr>
      <w:tr w:rsidR="007E6FC1" w:rsidRPr="00697B6D" w14:paraId="1ED64709" w14:textId="77777777" w:rsidTr="00301740">
        <w:trPr>
          <w:trHeight w:val="290"/>
        </w:trPr>
        <w:tc>
          <w:tcPr>
            <w:tcW w:w="1613" w:type="dxa"/>
            <w:vMerge w:val="restart"/>
            <w:tcBorders>
              <w:left w:val="single" w:sz="4" w:space="0" w:color="auto"/>
              <w:right w:val="single" w:sz="4" w:space="0" w:color="auto"/>
            </w:tcBorders>
            <w:shd w:val="clear" w:color="auto" w:fill="auto"/>
            <w:noWrap/>
            <w:vAlign w:val="center"/>
          </w:tcPr>
          <w:p w14:paraId="30FAF451" w14:textId="5224CCB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929 Ministerio Público</w:t>
            </w:r>
          </w:p>
        </w:tc>
        <w:tc>
          <w:tcPr>
            <w:tcW w:w="1173" w:type="dxa"/>
            <w:vMerge w:val="restart"/>
            <w:tcBorders>
              <w:left w:val="nil"/>
              <w:right w:val="single" w:sz="4" w:space="0" w:color="auto"/>
            </w:tcBorders>
            <w:shd w:val="clear" w:color="auto" w:fill="auto"/>
            <w:noWrap/>
            <w:vAlign w:val="center"/>
          </w:tcPr>
          <w:p w14:paraId="267BA5D6" w14:textId="2EAA12DA"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Ministerio Público</w:t>
            </w:r>
          </w:p>
        </w:tc>
        <w:tc>
          <w:tcPr>
            <w:tcW w:w="1183" w:type="dxa"/>
            <w:vMerge w:val="restart"/>
            <w:tcBorders>
              <w:left w:val="nil"/>
              <w:right w:val="single" w:sz="4" w:space="0" w:color="auto"/>
            </w:tcBorders>
            <w:shd w:val="clear" w:color="auto" w:fill="auto"/>
            <w:noWrap/>
            <w:vAlign w:val="center"/>
          </w:tcPr>
          <w:p w14:paraId="7095D77C" w14:textId="38495E7F"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0717-MP</w:t>
            </w:r>
            <w:r>
              <w:rPr>
                <w:rFonts w:ascii="Book Antiqua" w:eastAsia="Times New Roman" w:hAnsi="Book Antiqua" w:cs="Calibri"/>
                <w:color w:val="000000"/>
                <w:sz w:val="14"/>
                <w:szCs w:val="14"/>
                <w:lang w:eastAsia="es-CR"/>
              </w:rPr>
              <w:t>-</w:t>
            </w:r>
            <w:r w:rsidRPr="00697B6D">
              <w:rPr>
                <w:rFonts w:ascii="Book Antiqua" w:eastAsia="Times New Roman" w:hAnsi="Book Antiqua" w:cs="Calibri"/>
                <w:color w:val="000000"/>
                <w:sz w:val="14"/>
                <w:szCs w:val="14"/>
                <w:lang w:eastAsia="es-CR"/>
              </w:rPr>
              <w:t>P09</w:t>
            </w:r>
          </w:p>
        </w:tc>
        <w:tc>
          <w:tcPr>
            <w:tcW w:w="2127" w:type="dxa"/>
            <w:vMerge w:val="restart"/>
            <w:tcBorders>
              <w:left w:val="nil"/>
              <w:right w:val="single" w:sz="4" w:space="0" w:color="auto"/>
            </w:tcBorders>
            <w:shd w:val="clear" w:color="auto" w:fill="auto"/>
            <w:noWrap/>
            <w:vAlign w:val="center"/>
          </w:tcPr>
          <w:p w14:paraId="3F789A98" w14:textId="72404C9C"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Rezago y Archivos Fiscales</w:t>
            </w:r>
          </w:p>
        </w:tc>
        <w:tc>
          <w:tcPr>
            <w:tcW w:w="1034" w:type="dxa"/>
            <w:vMerge w:val="restart"/>
            <w:tcBorders>
              <w:left w:val="nil"/>
              <w:right w:val="single" w:sz="4" w:space="0" w:color="auto"/>
            </w:tcBorders>
            <w:shd w:val="clear" w:color="auto" w:fill="auto"/>
            <w:noWrap/>
            <w:vAlign w:val="center"/>
          </w:tcPr>
          <w:p w14:paraId="10CF9E73" w14:textId="14D7A47E"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07FE647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560F60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FISCAL AUXILIAR</w:t>
            </w:r>
          </w:p>
        </w:tc>
        <w:tc>
          <w:tcPr>
            <w:tcW w:w="761" w:type="dxa"/>
            <w:tcBorders>
              <w:top w:val="nil"/>
              <w:left w:val="nil"/>
              <w:bottom w:val="single" w:sz="4" w:space="0" w:color="auto"/>
              <w:right w:val="single" w:sz="4" w:space="0" w:color="auto"/>
            </w:tcBorders>
            <w:shd w:val="clear" w:color="auto" w:fill="auto"/>
            <w:noWrap/>
            <w:vAlign w:val="center"/>
            <w:hideMark/>
          </w:tcPr>
          <w:p w14:paraId="33CB71B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34094</w:t>
            </w:r>
          </w:p>
        </w:tc>
      </w:tr>
      <w:tr w:rsidR="007E6FC1" w:rsidRPr="00697B6D" w14:paraId="5974B5BF"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D6FD7AC" w14:textId="209338AF"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66B1AC30" w14:textId="4CC043A5"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49278AF3" w14:textId="353B34BD"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0D0A5A22" w14:textId="23C762E2"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1307343" w14:textId="7FB8A2BD"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1AC2B1E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A3089B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FISCAL AUXILIAR</w:t>
            </w:r>
          </w:p>
        </w:tc>
        <w:tc>
          <w:tcPr>
            <w:tcW w:w="761" w:type="dxa"/>
            <w:tcBorders>
              <w:top w:val="nil"/>
              <w:left w:val="nil"/>
              <w:bottom w:val="single" w:sz="4" w:space="0" w:color="auto"/>
              <w:right w:val="single" w:sz="4" w:space="0" w:color="auto"/>
            </w:tcBorders>
            <w:shd w:val="clear" w:color="auto" w:fill="auto"/>
            <w:noWrap/>
            <w:vAlign w:val="center"/>
            <w:hideMark/>
          </w:tcPr>
          <w:p w14:paraId="7321242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34561</w:t>
            </w:r>
          </w:p>
        </w:tc>
      </w:tr>
      <w:tr w:rsidR="007E6FC1" w:rsidRPr="00697B6D" w14:paraId="6C299399"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D6D489C" w14:textId="2041083F"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4877BEA" w14:textId="0D202F72"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2CA98192" w14:textId="0277C252"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7DDC9567" w14:textId="00C6DD6D"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125C88AE" w14:textId="3663AFFF"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2F4433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FC3842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FISCAL AUXILIAR </w:t>
            </w:r>
          </w:p>
        </w:tc>
        <w:tc>
          <w:tcPr>
            <w:tcW w:w="761" w:type="dxa"/>
            <w:tcBorders>
              <w:top w:val="nil"/>
              <w:left w:val="nil"/>
              <w:bottom w:val="single" w:sz="4" w:space="0" w:color="auto"/>
              <w:right w:val="single" w:sz="4" w:space="0" w:color="auto"/>
            </w:tcBorders>
            <w:shd w:val="clear" w:color="auto" w:fill="auto"/>
            <w:noWrap/>
            <w:vAlign w:val="center"/>
            <w:hideMark/>
          </w:tcPr>
          <w:p w14:paraId="3AB27B1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44411</w:t>
            </w:r>
          </w:p>
        </w:tc>
      </w:tr>
      <w:tr w:rsidR="007E6FC1" w:rsidRPr="00697B6D" w14:paraId="0E4B4B14"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21037CA" w14:textId="4B89EF5F"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33906BE" w14:textId="2D6E0963"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DC47002" w14:textId="67788D93"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4409AD0E" w14:textId="3F81BEC9"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4240D1FF" w14:textId="7C42C4A3"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4BC4EA4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C5D241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FISCAL AUXILIAR</w:t>
            </w:r>
          </w:p>
        </w:tc>
        <w:tc>
          <w:tcPr>
            <w:tcW w:w="761" w:type="dxa"/>
            <w:tcBorders>
              <w:top w:val="nil"/>
              <w:left w:val="nil"/>
              <w:bottom w:val="single" w:sz="4" w:space="0" w:color="auto"/>
              <w:right w:val="single" w:sz="4" w:space="0" w:color="auto"/>
            </w:tcBorders>
            <w:shd w:val="clear" w:color="auto" w:fill="auto"/>
            <w:noWrap/>
            <w:vAlign w:val="center"/>
            <w:hideMark/>
          </w:tcPr>
          <w:p w14:paraId="7C3EBFA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55478</w:t>
            </w:r>
          </w:p>
        </w:tc>
      </w:tr>
      <w:tr w:rsidR="007E6FC1" w:rsidRPr="00697B6D" w14:paraId="7C2F3615"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98BF6D5" w14:textId="531E520E"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9894EE8" w14:textId="5895F844"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73A4C1C4" w14:textId="4BBEC41C"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12AA71D8" w14:textId="5C491A6B"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2FDE25D7" w14:textId="6B68BF2A"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85E6FA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9EF90D2"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FISCAL AUXILIAR </w:t>
            </w:r>
          </w:p>
        </w:tc>
        <w:tc>
          <w:tcPr>
            <w:tcW w:w="761" w:type="dxa"/>
            <w:tcBorders>
              <w:top w:val="nil"/>
              <w:left w:val="nil"/>
              <w:bottom w:val="single" w:sz="4" w:space="0" w:color="auto"/>
              <w:right w:val="single" w:sz="4" w:space="0" w:color="auto"/>
            </w:tcBorders>
            <w:shd w:val="clear" w:color="auto" w:fill="auto"/>
            <w:noWrap/>
            <w:vAlign w:val="center"/>
            <w:hideMark/>
          </w:tcPr>
          <w:p w14:paraId="5693B90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55484</w:t>
            </w:r>
          </w:p>
        </w:tc>
      </w:tr>
      <w:tr w:rsidR="007E6FC1" w:rsidRPr="00697B6D" w14:paraId="1A89142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A3AC854" w14:textId="1FA5918D"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C240C5D" w14:textId="5556B8BF"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DFB416D" w14:textId="38A47EF3"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7B09ACF7" w14:textId="1ED4A42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3D3D6CAD" w14:textId="2FA7F2AD"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87F06E1"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C37E45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FISCAL AUXILIAR</w:t>
            </w:r>
          </w:p>
        </w:tc>
        <w:tc>
          <w:tcPr>
            <w:tcW w:w="761" w:type="dxa"/>
            <w:tcBorders>
              <w:top w:val="nil"/>
              <w:left w:val="nil"/>
              <w:bottom w:val="single" w:sz="4" w:space="0" w:color="auto"/>
              <w:right w:val="single" w:sz="4" w:space="0" w:color="auto"/>
            </w:tcBorders>
            <w:shd w:val="clear" w:color="auto" w:fill="auto"/>
            <w:noWrap/>
            <w:vAlign w:val="center"/>
            <w:hideMark/>
          </w:tcPr>
          <w:p w14:paraId="4740C31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96533</w:t>
            </w:r>
          </w:p>
        </w:tc>
      </w:tr>
      <w:tr w:rsidR="007E6FC1" w:rsidRPr="00697B6D" w14:paraId="7658F8B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7D640D5" w14:textId="22088F58"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181F51D" w14:textId="5F78226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41A502D2" w14:textId="32D66B93"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726A0F59" w14:textId="74F23B84"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9DBBA19" w14:textId="280035C1"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2D7F392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4C098D7"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FISCAL AUXILIAR </w:t>
            </w:r>
          </w:p>
        </w:tc>
        <w:tc>
          <w:tcPr>
            <w:tcW w:w="761" w:type="dxa"/>
            <w:tcBorders>
              <w:top w:val="nil"/>
              <w:left w:val="nil"/>
              <w:bottom w:val="single" w:sz="4" w:space="0" w:color="auto"/>
              <w:right w:val="single" w:sz="4" w:space="0" w:color="auto"/>
            </w:tcBorders>
            <w:shd w:val="clear" w:color="auto" w:fill="auto"/>
            <w:noWrap/>
            <w:vAlign w:val="center"/>
            <w:hideMark/>
          </w:tcPr>
          <w:p w14:paraId="6BB4136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352016</w:t>
            </w:r>
          </w:p>
        </w:tc>
      </w:tr>
      <w:tr w:rsidR="007E6FC1" w:rsidRPr="00697B6D" w14:paraId="644BB32C"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E4B25A1" w14:textId="19447D0B"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3EF6988" w14:textId="52BD0614"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2B04A4C" w14:textId="130D1AF9"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401EE874" w14:textId="20088E38"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7CC86F60" w14:textId="3148DF33"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065A06D"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5C83476"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TÉCNICO JUDICIAL 2 </w:t>
            </w:r>
          </w:p>
        </w:tc>
        <w:tc>
          <w:tcPr>
            <w:tcW w:w="761" w:type="dxa"/>
            <w:tcBorders>
              <w:top w:val="nil"/>
              <w:left w:val="nil"/>
              <w:bottom w:val="single" w:sz="4" w:space="0" w:color="auto"/>
              <w:right w:val="single" w:sz="4" w:space="0" w:color="auto"/>
            </w:tcBorders>
            <w:shd w:val="clear" w:color="auto" w:fill="auto"/>
            <w:noWrap/>
            <w:vAlign w:val="center"/>
            <w:hideMark/>
          </w:tcPr>
          <w:p w14:paraId="2C917BE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96502</w:t>
            </w:r>
          </w:p>
        </w:tc>
      </w:tr>
      <w:tr w:rsidR="007E6FC1" w:rsidRPr="00697B6D" w14:paraId="20EEAE37"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7257FCB" w14:textId="43ABB2E0"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4A45C4D" w14:textId="6D51C7EC"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3075A960" w14:textId="26D54861"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2CEF9294" w14:textId="49F70F0F"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7DD71546" w14:textId="16197E5D"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F5812A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0D0134B"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JUDICIAL 2</w:t>
            </w:r>
          </w:p>
        </w:tc>
        <w:tc>
          <w:tcPr>
            <w:tcW w:w="761" w:type="dxa"/>
            <w:tcBorders>
              <w:top w:val="nil"/>
              <w:left w:val="nil"/>
              <w:bottom w:val="single" w:sz="4" w:space="0" w:color="auto"/>
              <w:right w:val="single" w:sz="4" w:space="0" w:color="auto"/>
            </w:tcBorders>
            <w:shd w:val="clear" w:color="auto" w:fill="auto"/>
            <w:noWrap/>
            <w:vAlign w:val="center"/>
            <w:hideMark/>
          </w:tcPr>
          <w:p w14:paraId="3980E56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55457</w:t>
            </w:r>
          </w:p>
        </w:tc>
      </w:tr>
      <w:tr w:rsidR="007E6FC1" w:rsidRPr="00697B6D" w14:paraId="5D4803E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F9E341E" w14:textId="6951CF15"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3424F51" w14:textId="0705D24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51E9D055" w14:textId="6659E6B4"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11EA3B1A" w14:textId="6F34DBAA"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1EA0F56" w14:textId="482E8523"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B5B4D9A"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8BCF459"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JUDICIAL 2</w:t>
            </w:r>
          </w:p>
        </w:tc>
        <w:tc>
          <w:tcPr>
            <w:tcW w:w="761" w:type="dxa"/>
            <w:tcBorders>
              <w:top w:val="nil"/>
              <w:left w:val="nil"/>
              <w:bottom w:val="single" w:sz="4" w:space="0" w:color="auto"/>
              <w:right w:val="single" w:sz="4" w:space="0" w:color="auto"/>
            </w:tcBorders>
            <w:shd w:val="clear" w:color="auto" w:fill="auto"/>
            <w:noWrap/>
            <w:vAlign w:val="center"/>
            <w:hideMark/>
          </w:tcPr>
          <w:p w14:paraId="73F6C748"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352056</w:t>
            </w:r>
          </w:p>
        </w:tc>
      </w:tr>
      <w:tr w:rsidR="007E6FC1" w:rsidRPr="00697B6D" w14:paraId="00A0136D"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ECA7A61" w14:textId="28BC2950"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8C59D54" w14:textId="15748911"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40315AEF" w14:textId="4D46BA6B"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407A5E3D" w14:textId="6A9C824B"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317E14B7" w14:textId="078142B5"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4CED800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E566F2E"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TÉCNICO JUDICIAL 2 </w:t>
            </w:r>
          </w:p>
        </w:tc>
        <w:tc>
          <w:tcPr>
            <w:tcW w:w="761" w:type="dxa"/>
            <w:tcBorders>
              <w:top w:val="nil"/>
              <w:left w:val="nil"/>
              <w:bottom w:val="single" w:sz="4" w:space="0" w:color="auto"/>
              <w:right w:val="single" w:sz="4" w:space="0" w:color="auto"/>
            </w:tcBorders>
            <w:shd w:val="clear" w:color="auto" w:fill="auto"/>
            <w:noWrap/>
            <w:vAlign w:val="center"/>
            <w:hideMark/>
          </w:tcPr>
          <w:p w14:paraId="64F4063C"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352053</w:t>
            </w:r>
          </w:p>
        </w:tc>
      </w:tr>
      <w:tr w:rsidR="007E6FC1" w:rsidRPr="00697B6D" w14:paraId="0CEA416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815F818" w14:textId="53F64EAF"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DDB6CBD" w14:textId="1F0C7B7D"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5E76099" w14:textId="3745A4B1"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187185D2" w14:textId="5F55BE3B"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62775E8" w14:textId="0B2D2B3F"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42E338B5"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2035DC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TÉCNICO JUDICIAL 2 </w:t>
            </w:r>
          </w:p>
        </w:tc>
        <w:tc>
          <w:tcPr>
            <w:tcW w:w="761" w:type="dxa"/>
            <w:tcBorders>
              <w:top w:val="nil"/>
              <w:left w:val="nil"/>
              <w:bottom w:val="single" w:sz="4" w:space="0" w:color="auto"/>
              <w:right w:val="single" w:sz="4" w:space="0" w:color="auto"/>
            </w:tcBorders>
            <w:shd w:val="clear" w:color="auto" w:fill="auto"/>
            <w:noWrap/>
            <w:vAlign w:val="center"/>
            <w:hideMark/>
          </w:tcPr>
          <w:p w14:paraId="763290CF" w14:textId="77777777" w:rsidR="009E72C7" w:rsidRPr="00697B6D" w:rsidRDefault="009E72C7" w:rsidP="003C245A">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103781</w:t>
            </w:r>
          </w:p>
        </w:tc>
      </w:tr>
      <w:tr w:rsidR="007E6FC1" w:rsidRPr="00697B6D" w14:paraId="60ADED08"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1DBA49F" w14:textId="39FC7F9F"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24734F0" w14:textId="510F3598"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70C6B878" w14:textId="36D1D2BA"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129FD945" w14:textId="2AAFDA85"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195EE158" w14:textId="74AECA32"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7F7A610"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2AA9D63"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JUDICIAL 2</w:t>
            </w:r>
          </w:p>
        </w:tc>
        <w:tc>
          <w:tcPr>
            <w:tcW w:w="761" w:type="dxa"/>
            <w:tcBorders>
              <w:top w:val="nil"/>
              <w:left w:val="nil"/>
              <w:bottom w:val="single" w:sz="4" w:space="0" w:color="auto"/>
              <w:right w:val="single" w:sz="4" w:space="0" w:color="auto"/>
            </w:tcBorders>
            <w:shd w:val="clear" w:color="auto" w:fill="auto"/>
            <w:noWrap/>
            <w:vAlign w:val="center"/>
            <w:hideMark/>
          </w:tcPr>
          <w:p w14:paraId="0664B62F"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350283</w:t>
            </w:r>
          </w:p>
        </w:tc>
      </w:tr>
      <w:tr w:rsidR="007E6FC1" w:rsidRPr="00697B6D" w14:paraId="25EFE002"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0B6B4272" w14:textId="47CE70BB"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CE0D087" w14:textId="289DBDFC"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47AC9EF6"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445B2DFD"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79002EF4"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17164400"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C3B6321"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TÉCNICO JUDICIAL 2 </w:t>
            </w:r>
          </w:p>
        </w:tc>
        <w:tc>
          <w:tcPr>
            <w:tcW w:w="761" w:type="dxa"/>
            <w:tcBorders>
              <w:top w:val="nil"/>
              <w:left w:val="nil"/>
              <w:bottom w:val="single" w:sz="4" w:space="0" w:color="auto"/>
              <w:right w:val="single" w:sz="4" w:space="0" w:color="auto"/>
            </w:tcBorders>
            <w:shd w:val="clear" w:color="auto" w:fill="auto"/>
            <w:noWrap/>
            <w:vAlign w:val="center"/>
            <w:hideMark/>
          </w:tcPr>
          <w:p w14:paraId="1D56CC7F"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112432</w:t>
            </w:r>
          </w:p>
        </w:tc>
      </w:tr>
      <w:tr w:rsidR="007E6FC1" w:rsidRPr="00697B6D" w14:paraId="394959F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E716538"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F4513E5"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78193073"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79649A12"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23778CC4"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C600828"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B25AEE9"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JUDICIAL 2</w:t>
            </w:r>
          </w:p>
        </w:tc>
        <w:tc>
          <w:tcPr>
            <w:tcW w:w="761" w:type="dxa"/>
            <w:tcBorders>
              <w:top w:val="nil"/>
              <w:left w:val="nil"/>
              <w:bottom w:val="single" w:sz="4" w:space="0" w:color="auto"/>
              <w:right w:val="single" w:sz="4" w:space="0" w:color="auto"/>
            </w:tcBorders>
            <w:shd w:val="clear" w:color="auto" w:fill="auto"/>
            <w:noWrap/>
            <w:vAlign w:val="center"/>
            <w:hideMark/>
          </w:tcPr>
          <w:p w14:paraId="7FB40C50"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371524</w:t>
            </w:r>
          </w:p>
        </w:tc>
      </w:tr>
      <w:tr w:rsidR="007E6FC1" w:rsidRPr="00697B6D" w14:paraId="63957B28"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E0C3636"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45889048"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2313EBC1"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4E481D89"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3FA1E31E"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4092C147"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90D904A"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JUDICIAL 2</w:t>
            </w:r>
          </w:p>
        </w:tc>
        <w:tc>
          <w:tcPr>
            <w:tcW w:w="761" w:type="dxa"/>
            <w:tcBorders>
              <w:top w:val="nil"/>
              <w:left w:val="nil"/>
              <w:bottom w:val="single" w:sz="4" w:space="0" w:color="auto"/>
              <w:right w:val="single" w:sz="4" w:space="0" w:color="auto"/>
            </w:tcBorders>
            <w:shd w:val="clear" w:color="auto" w:fill="auto"/>
            <w:noWrap/>
            <w:vAlign w:val="center"/>
            <w:hideMark/>
          </w:tcPr>
          <w:p w14:paraId="78655C5E"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112436</w:t>
            </w:r>
          </w:p>
        </w:tc>
      </w:tr>
      <w:tr w:rsidR="007E6FC1" w:rsidRPr="00697B6D" w14:paraId="2440B1C6"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8A294DB"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03581E8"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6FC56DEE"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04173CB3"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0A804E9C"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7547742"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E700ED7"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TÉCNICO JUDICIAL 2 </w:t>
            </w:r>
          </w:p>
        </w:tc>
        <w:tc>
          <w:tcPr>
            <w:tcW w:w="761" w:type="dxa"/>
            <w:tcBorders>
              <w:top w:val="nil"/>
              <w:left w:val="nil"/>
              <w:bottom w:val="single" w:sz="4" w:space="0" w:color="auto"/>
              <w:right w:val="single" w:sz="4" w:space="0" w:color="auto"/>
            </w:tcBorders>
            <w:shd w:val="clear" w:color="auto" w:fill="auto"/>
            <w:noWrap/>
            <w:vAlign w:val="center"/>
            <w:hideMark/>
          </w:tcPr>
          <w:p w14:paraId="2BF655A7"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44396</w:t>
            </w:r>
          </w:p>
        </w:tc>
      </w:tr>
      <w:tr w:rsidR="007E6FC1" w:rsidRPr="00697B6D" w14:paraId="4E70050F"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0F0C50E"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0FC498E8"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42AC890"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785CEC57"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1FE3B002"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CE3ED80"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F1B5138"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FISCAL AUXILIAR</w:t>
            </w:r>
          </w:p>
        </w:tc>
        <w:tc>
          <w:tcPr>
            <w:tcW w:w="761" w:type="dxa"/>
            <w:tcBorders>
              <w:top w:val="nil"/>
              <w:left w:val="nil"/>
              <w:bottom w:val="single" w:sz="4" w:space="0" w:color="auto"/>
              <w:right w:val="single" w:sz="4" w:space="0" w:color="auto"/>
            </w:tcBorders>
            <w:shd w:val="clear" w:color="auto" w:fill="auto"/>
            <w:noWrap/>
            <w:vAlign w:val="center"/>
            <w:hideMark/>
          </w:tcPr>
          <w:p w14:paraId="6607A5C9"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366126</w:t>
            </w:r>
          </w:p>
        </w:tc>
      </w:tr>
      <w:tr w:rsidR="007E6FC1" w:rsidRPr="00697B6D" w14:paraId="33BD15D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A7EDFA6"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056BCEC"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A9A6681"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605B2240"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233DE4B7"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187C16CD"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B837389"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FISCAL AUXILIAR</w:t>
            </w:r>
          </w:p>
        </w:tc>
        <w:tc>
          <w:tcPr>
            <w:tcW w:w="761" w:type="dxa"/>
            <w:tcBorders>
              <w:top w:val="nil"/>
              <w:left w:val="nil"/>
              <w:bottom w:val="single" w:sz="4" w:space="0" w:color="auto"/>
              <w:right w:val="single" w:sz="4" w:space="0" w:color="auto"/>
            </w:tcBorders>
            <w:shd w:val="clear" w:color="auto" w:fill="auto"/>
            <w:noWrap/>
            <w:vAlign w:val="center"/>
            <w:hideMark/>
          </w:tcPr>
          <w:p w14:paraId="2CF45066"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100929</w:t>
            </w:r>
          </w:p>
        </w:tc>
      </w:tr>
      <w:tr w:rsidR="007E6FC1" w:rsidRPr="00697B6D" w14:paraId="0AA84119"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7FAFF0A"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3171618"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57B79379"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38A1736E"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24D62113"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45BF8EC6"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0D51699"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FISCAL AUXILIAR</w:t>
            </w:r>
          </w:p>
        </w:tc>
        <w:tc>
          <w:tcPr>
            <w:tcW w:w="761" w:type="dxa"/>
            <w:tcBorders>
              <w:top w:val="nil"/>
              <w:left w:val="nil"/>
              <w:bottom w:val="single" w:sz="4" w:space="0" w:color="auto"/>
              <w:right w:val="single" w:sz="4" w:space="0" w:color="auto"/>
            </w:tcBorders>
            <w:shd w:val="clear" w:color="auto" w:fill="auto"/>
            <w:noWrap/>
            <w:vAlign w:val="center"/>
            <w:hideMark/>
          </w:tcPr>
          <w:p w14:paraId="69D0CF29"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24891</w:t>
            </w:r>
          </w:p>
        </w:tc>
      </w:tr>
      <w:tr w:rsidR="007E6FC1" w:rsidRPr="00697B6D" w14:paraId="016CBE27"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3D61074"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6423111"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64614DFD"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03F9C3A6"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1FD35787"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9D18D92"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730BE01"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FISCAL AUXILIAR </w:t>
            </w:r>
          </w:p>
        </w:tc>
        <w:tc>
          <w:tcPr>
            <w:tcW w:w="761" w:type="dxa"/>
            <w:tcBorders>
              <w:top w:val="nil"/>
              <w:left w:val="nil"/>
              <w:bottom w:val="single" w:sz="4" w:space="0" w:color="auto"/>
              <w:right w:val="single" w:sz="4" w:space="0" w:color="auto"/>
            </w:tcBorders>
            <w:shd w:val="clear" w:color="auto" w:fill="auto"/>
            <w:noWrap/>
            <w:vAlign w:val="center"/>
            <w:hideMark/>
          </w:tcPr>
          <w:p w14:paraId="33F60D65"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93743</w:t>
            </w:r>
          </w:p>
        </w:tc>
      </w:tr>
      <w:tr w:rsidR="007E6FC1" w:rsidRPr="00697B6D" w14:paraId="51F76A6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3C78535"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84E0E15"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457F1A0A"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3816C661"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5CC53B6C"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15858351"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E0B6F2D"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FISCAL AUXILIAR </w:t>
            </w:r>
          </w:p>
        </w:tc>
        <w:tc>
          <w:tcPr>
            <w:tcW w:w="761" w:type="dxa"/>
            <w:tcBorders>
              <w:top w:val="nil"/>
              <w:left w:val="nil"/>
              <w:bottom w:val="single" w:sz="4" w:space="0" w:color="auto"/>
              <w:right w:val="single" w:sz="4" w:space="0" w:color="auto"/>
            </w:tcBorders>
            <w:shd w:val="clear" w:color="auto" w:fill="auto"/>
            <w:noWrap/>
            <w:vAlign w:val="center"/>
            <w:hideMark/>
          </w:tcPr>
          <w:p w14:paraId="57B4E664"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366093</w:t>
            </w:r>
          </w:p>
        </w:tc>
      </w:tr>
      <w:tr w:rsidR="007E6FC1" w:rsidRPr="00697B6D" w14:paraId="38C01122"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BB92C90"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9EF4690"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5B72C945"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5DA0366E"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6654F60C"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4700D43"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9B9BA8D"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FISCAL AUXILIAR </w:t>
            </w:r>
          </w:p>
        </w:tc>
        <w:tc>
          <w:tcPr>
            <w:tcW w:w="761" w:type="dxa"/>
            <w:tcBorders>
              <w:top w:val="nil"/>
              <w:left w:val="nil"/>
              <w:bottom w:val="single" w:sz="4" w:space="0" w:color="auto"/>
              <w:right w:val="single" w:sz="4" w:space="0" w:color="auto"/>
            </w:tcBorders>
            <w:shd w:val="clear" w:color="auto" w:fill="auto"/>
            <w:noWrap/>
            <w:vAlign w:val="center"/>
            <w:hideMark/>
          </w:tcPr>
          <w:p w14:paraId="25368CB0"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352021</w:t>
            </w:r>
          </w:p>
        </w:tc>
      </w:tr>
      <w:tr w:rsidR="007E6FC1" w:rsidRPr="00697B6D" w14:paraId="5C0970BC"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B5E0CFC"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224EBE7"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7D7AB3E9"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6754FE48"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42AC0E1C"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5DA62EF9"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B64E863"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FISCAL AUXILIAR</w:t>
            </w:r>
          </w:p>
        </w:tc>
        <w:tc>
          <w:tcPr>
            <w:tcW w:w="761" w:type="dxa"/>
            <w:tcBorders>
              <w:top w:val="nil"/>
              <w:left w:val="nil"/>
              <w:bottom w:val="single" w:sz="4" w:space="0" w:color="auto"/>
              <w:right w:val="single" w:sz="4" w:space="0" w:color="auto"/>
            </w:tcBorders>
            <w:shd w:val="clear" w:color="auto" w:fill="auto"/>
            <w:noWrap/>
            <w:vAlign w:val="center"/>
            <w:hideMark/>
          </w:tcPr>
          <w:p w14:paraId="79340750"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34227</w:t>
            </w:r>
          </w:p>
        </w:tc>
      </w:tr>
      <w:tr w:rsidR="007E6FC1" w:rsidRPr="00697B6D" w14:paraId="23A0052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136D30E"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F4BBC77"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778A0F26"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0674108E"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2DABD2DB"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3C4E909"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42CD111"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FISCAL AUXILIAR </w:t>
            </w:r>
          </w:p>
        </w:tc>
        <w:tc>
          <w:tcPr>
            <w:tcW w:w="761" w:type="dxa"/>
            <w:tcBorders>
              <w:top w:val="nil"/>
              <w:left w:val="nil"/>
              <w:bottom w:val="single" w:sz="4" w:space="0" w:color="auto"/>
              <w:right w:val="single" w:sz="4" w:space="0" w:color="auto"/>
            </w:tcBorders>
            <w:shd w:val="clear" w:color="auto" w:fill="auto"/>
            <w:noWrap/>
            <w:vAlign w:val="center"/>
            <w:hideMark/>
          </w:tcPr>
          <w:p w14:paraId="665D4800"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110384</w:t>
            </w:r>
          </w:p>
        </w:tc>
      </w:tr>
      <w:tr w:rsidR="007E6FC1" w:rsidRPr="00697B6D" w14:paraId="129B0794"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4CF1E116"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654ECDE"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331005B9"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08B85477"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228D0CEF"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1835ED0A"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7D365A8"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FISCAL AUXILIAR </w:t>
            </w:r>
          </w:p>
        </w:tc>
        <w:tc>
          <w:tcPr>
            <w:tcW w:w="761" w:type="dxa"/>
            <w:tcBorders>
              <w:top w:val="nil"/>
              <w:left w:val="nil"/>
              <w:bottom w:val="single" w:sz="4" w:space="0" w:color="auto"/>
              <w:right w:val="single" w:sz="4" w:space="0" w:color="auto"/>
            </w:tcBorders>
            <w:shd w:val="clear" w:color="auto" w:fill="auto"/>
            <w:noWrap/>
            <w:vAlign w:val="center"/>
            <w:hideMark/>
          </w:tcPr>
          <w:p w14:paraId="33EFD3BF"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100924</w:t>
            </w:r>
          </w:p>
        </w:tc>
      </w:tr>
      <w:tr w:rsidR="007E6FC1" w:rsidRPr="00697B6D" w14:paraId="108AD2DD" w14:textId="77777777" w:rsidTr="00301740">
        <w:trPr>
          <w:trHeight w:val="290"/>
        </w:trPr>
        <w:tc>
          <w:tcPr>
            <w:tcW w:w="1613" w:type="dxa"/>
            <w:vMerge/>
            <w:tcBorders>
              <w:left w:val="single" w:sz="4" w:space="0" w:color="auto"/>
              <w:right w:val="single" w:sz="4" w:space="0" w:color="auto"/>
            </w:tcBorders>
            <w:shd w:val="clear" w:color="auto" w:fill="auto"/>
            <w:noWrap/>
            <w:vAlign w:val="center"/>
            <w:hideMark/>
          </w:tcPr>
          <w:p w14:paraId="607E6D4A"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hideMark/>
          </w:tcPr>
          <w:p w14:paraId="6D339662"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6F1D1A05"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4A7C2BB9"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18A6466E"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DE8A4DB"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109368F"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FISCAL AUXILIAR</w:t>
            </w:r>
          </w:p>
        </w:tc>
        <w:tc>
          <w:tcPr>
            <w:tcW w:w="761" w:type="dxa"/>
            <w:tcBorders>
              <w:top w:val="nil"/>
              <w:left w:val="nil"/>
              <w:bottom w:val="single" w:sz="4" w:space="0" w:color="auto"/>
              <w:right w:val="single" w:sz="4" w:space="0" w:color="auto"/>
            </w:tcBorders>
            <w:shd w:val="clear" w:color="auto" w:fill="auto"/>
            <w:noWrap/>
            <w:vAlign w:val="center"/>
            <w:hideMark/>
          </w:tcPr>
          <w:p w14:paraId="797ECCFC"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19893</w:t>
            </w:r>
          </w:p>
        </w:tc>
      </w:tr>
      <w:tr w:rsidR="007E6FC1" w:rsidRPr="00697B6D" w14:paraId="2D1D5C5C"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8C830BE"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302B54C"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tcBorders>
              <w:top w:val="nil"/>
              <w:left w:val="nil"/>
              <w:bottom w:val="single" w:sz="4" w:space="0" w:color="auto"/>
              <w:right w:val="single" w:sz="4" w:space="0" w:color="auto"/>
            </w:tcBorders>
            <w:shd w:val="clear" w:color="auto" w:fill="auto"/>
            <w:noWrap/>
            <w:vAlign w:val="center"/>
            <w:hideMark/>
          </w:tcPr>
          <w:p w14:paraId="49F2215D"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0717-MP-P12</w:t>
            </w:r>
          </w:p>
        </w:tc>
        <w:tc>
          <w:tcPr>
            <w:tcW w:w="2127" w:type="dxa"/>
            <w:tcBorders>
              <w:top w:val="nil"/>
              <w:left w:val="nil"/>
              <w:bottom w:val="single" w:sz="4" w:space="0" w:color="auto"/>
              <w:right w:val="single" w:sz="4" w:space="0" w:color="auto"/>
            </w:tcBorders>
            <w:shd w:val="clear" w:color="auto" w:fill="auto"/>
            <w:noWrap/>
            <w:vAlign w:val="center"/>
            <w:hideMark/>
          </w:tcPr>
          <w:p w14:paraId="68F6D742"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Fortalecer el Proceso de Reclutamiento y Selección para Fiscales del Ministerio Público</w:t>
            </w:r>
          </w:p>
        </w:tc>
        <w:tc>
          <w:tcPr>
            <w:tcW w:w="1034" w:type="dxa"/>
            <w:tcBorders>
              <w:top w:val="nil"/>
              <w:left w:val="nil"/>
              <w:bottom w:val="single" w:sz="4" w:space="0" w:color="auto"/>
              <w:right w:val="single" w:sz="4" w:space="0" w:color="auto"/>
            </w:tcBorders>
            <w:shd w:val="clear" w:color="auto" w:fill="auto"/>
            <w:noWrap/>
            <w:vAlign w:val="center"/>
            <w:hideMark/>
          </w:tcPr>
          <w:p w14:paraId="60ACDD16"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62AA7439"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039A9BD"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FISCAL</w:t>
            </w:r>
          </w:p>
        </w:tc>
        <w:tc>
          <w:tcPr>
            <w:tcW w:w="761" w:type="dxa"/>
            <w:tcBorders>
              <w:top w:val="nil"/>
              <w:left w:val="nil"/>
              <w:bottom w:val="single" w:sz="4" w:space="0" w:color="auto"/>
              <w:right w:val="single" w:sz="4" w:space="0" w:color="auto"/>
            </w:tcBorders>
            <w:shd w:val="clear" w:color="auto" w:fill="auto"/>
            <w:noWrap/>
            <w:vAlign w:val="center"/>
            <w:hideMark/>
          </w:tcPr>
          <w:p w14:paraId="7F319B3C"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24266</w:t>
            </w:r>
          </w:p>
        </w:tc>
      </w:tr>
      <w:tr w:rsidR="007E6FC1" w:rsidRPr="00697B6D" w14:paraId="3DB75ECA"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A6D1029"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511CD76"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3703F62B"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0717-MP-P12</w:t>
            </w:r>
          </w:p>
        </w:tc>
        <w:tc>
          <w:tcPr>
            <w:tcW w:w="2127" w:type="dxa"/>
            <w:vMerge w:val="restart"/>
            <w:tcBorders>
              <w:top w:val="nil"/>
              <w:left w:val="nil"/>
              <w:right w:val="single" w:sz="4" w:space="0" w:color="auto"/>
            </w:tcBorders>
            <w:shd w:val="clear" w:color="auto" w:fill="auto"/>
            <w:noWrap/>
            <w:vAlign w:val="center"/>
            <w:hideMark/>
          </w:tcPr>
          <w:p w14:paraId="2E07A258"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Fortalecer el Proceso de Reclutamiento y Selección para Fiscales del Ministerio Público</w:t>
            </w:r>
          </w:p>
        </w:tc>
        <w:tc>
          <w:tcPr>
            <w:tcW w:w="1034" w:type="dxa"/>
            <w:vMerge w:val="restart"/>
            <w:tcBorders>
              <w:top w:val="nil"/>
              <w:left w:val="nil"/>
              <w:right w:val="single" w:sz="4" w:space="0" w:color="auto"/>
            </w:tcBorders>
            <w:shd w:val="clear" w:color="auto" w:fill="auto"/>
            <w:noWrap/>
            <w:vAlign w:val="center"/>
            <w:hideMark/>
          </w:tcPr>
          <w:p w14:paraId="75EBD1D2"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72DD6CE8"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33A7F7CB"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FISCAL</w:t>
            </w:r>
          </w:p>
        </w:tc>
        <w:tc>
          <w:tcPr>
            <w:tcW w:w="761" w:type="dxa"/>
            <w:tcBorders>
              <w:top w:val="nil"/>
              <w:left w:val="nil"/>
              <w:bottom w:val="single" w:sz="4" w:space="0" w:color="auto"/>
              <w:right w:val="single" w:sz="4" w:space="0" w:color="auto"/>
            </w:tcBorders>
            <w:shd w:val="clear" w:color="auto" w:fill="auto"/>
            <w:noWrap/>
            <w:vAlign w:val="center"/>
            <w:hideMark/>
          </w:tcPr>
          <w:p w14:paraId="4DD9F5CC"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106871</w:t>
            </w:r>
          </w:p>
        </w:tc>
      </w:tr>
      <w:tr w:rsidR="00BC00B3" w:rsidRPr="00697B6D" w14:paraId="418315A9" w14:textId="77777777" w:rsidTr="00301740">
        <w:trPr>
          <w:trHeight w:val="290"/>
        </w:trPr>
        <w:tc>
          <w:tcPr>
            <w:tcW w:w="1613" w:type="dxa"/>
            <w:vMerge/>
            <w:tcBorders>
              <w:left w:val="single" w:sz="4" w:space="0" w:color="auto"/>
              <w:bottom w:val="single" w:sz="4" w:space="0" w:color="auto"/>
              <w:right w:val="single" w:sz="4" w:space="0" w:color="auto"/>
            </w:tcBorders>
            <w:shd w:val="clear" w:color="auto" w:fill="auto"/>
            <w:noWrap/>
            <w:vAlign w:val="center"/>
          </w:tcPr>
          <w:p w14:paraId="3EBC3064"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tcBorders>
              <w:left w:val="nil"/>
              <w:bottom w:val="single" w:sz="4" w:space="0" w:color="auto"/>
              <w:right w:val="single" w:sz="4" w:space="0" w:color="auto"/>
            </w:tcBorders>
            <w:shd w:val="clear" w:color="auto" w:fill="auto"/>
            <w:noWrap/>
            <w:vAlign w:val="center"/>
          </w:tcPr>
          <w:p w14:paraId="54995155"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18D1FE07"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4B0B0558"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00D8E0A8"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1B2F3EC9"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E886FDF"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FISCAL AUXILIAR</w:t>
            </w:r>
          </w:p>
        </w:tc>
        <w:tc>
          <w:tcPr>
            <w:tcW w:w="761" w:type="dxa"/>
            <w:tcBorders>
              <w:top w:val="nil"/>
              <w:left w:val="nil"/>
              <w:bottom w:val="single" w:sz="4" w:space="0" w:color="auto"/>
              <w:right w:val="single" w:sz="4" w:space="0" w:color="auto"/>
            </w:tcBorders>
            <w:shd w:val="clear" w:color="auto" w:fill="auto"/>
            <w:noWrap/>
            <w:vAlign w:val="center"/>
            <w:hideMark/>
          </w:tcPr>
          <w:p w14:paraId="5338B4F6"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24846</w:t>
            </w:r>
          </w:p>
        </w:tc>
      </w:tr>
      <w:tr w:rsidR="007E6FC1" w:rsidRPr="00697B6D" w14:paraId="0FB521F4" w14:textId="77777777" w:rsidTr="00301740">
        <w:trPr>
          <w:trHeight w:val="290"/>
        </w:trPr>
        <w:tc>
          <w:tcPr>
            <w:tcW w:w="1613" w:type="dxa"/>
            <w:vMerge w:val="restart"/>
            <w:tcBorders>
              <w:top w:val="nil"/>
              <w:left w:val="single" w:sz="4" w:space="0" w:color="auto"/>
              <w:right w:val="single" w:sz="4" w:space="0" w:color="auto"/>
            </w:tcBorders>
            <w:shd w:val="clear" w:color="auto" w:fill="auto"/>
            <w:noWrap/>
            <w:vAlign w:val="center"/>
            <w:hideMark/>
          </w:tcPr>
          <w:p w14:paraId="5CE2DB7F"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930 Defensa Pública</w:t>
            </w:r>
          </w:p>
        </w:tc>
        <w:tc>
          <w:tcPr>
            <w:tcW w:w="1173" w:type="dxa"/>
            <w:vMerge w:val="restart"/>
            <w:tcBorders>
              <w:top w:val="nil"/>
              <w:left w:val="nil"/>
              <w:right w:val="single" w:sz="4" w:space="0" w:color="auto"/>
            </w:tcBorders>
            <w:shd w:val="clear" w:color="auto" w:fill="auto"/>
            <w:noWrap/>
            <w:vAlign w:val="center"/>
            <w:hideMark/>
          </w:tcPr>
          <w:p w14:paraId="060B6E95"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Defensa Pública </w:t>
            </w:r>
          </w:p>
        </w:tc>
        <w:tc>
          <w:tcPr>
            <w:tcW w:w="1183" w:type="dxa"/>
            <w:vMerge w:val="restart"/>
            <w:tcBorders>
              <w:top w:val="nil"/>
              <w:left w:val="nil"/>
              <w:right w:val="single" w:sz="4" w:space="0" w:color="auto"/>
            </w:tcBorders>
            <w:shd w:val="clear" w:color="auto" w:fill="auto"/>
            <w:noWrap/>
            <w:vAlign w:val="center"/>
            <w:hideMark/>
          </w:tcPr>
          <w:p w14:paraId="7F9DFCA1"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0032-DP-P01</w:t>
            </w:r>
          </w:p>
        </w:tc>
        <w:tc>
          <w:tcPr>
            <w:tcW w:w="2127" w:type="dxa"/>
            <w:vMerge w:val="restart"/>
            <w:tcBorders>
              <w:top w:val="nil"/>
              <w:left w:val="nil"/>
              <w:right w:val="single" w:sz="4" w:space="0" w:color="auto"/>
            </w:tcBorders>
            <w:shd w:val="clear" w:color="auto" w:fill="auto"/>
            <w:noWrap/>
            <w:vAlign w:val="center"/>
            <w:hideMark/>
          </w:tcPr>
          <w:p w14:paraId="6AF196A9"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Estrategia de Comunicación y Proyección de la Defensa Pública</w:t>
            </w:r>
          </w:p>
        </w:tc>
        <w:tc>
          <w:tcPr>
            <w:tcW w:w="1034" w:type="dxa"/>
            <w:vMerge w:val="restart"/>
            <w:tcBorders>
              <w:top w:val="nil"/>
              <w:left w:val="nil"/>
              <w:right w:val="single" w:sz="4" w:space="0" w:color="auto"/>
            </w:tcBorders>
            <w:shd w:val="clear" w:color="auto" w:fill="auto"/>
            <w:noWrap/>
            <w:vAlign w:val="center"/>
            <w:hideMark/>
          </w:tcPr>
          <w:p w14:paraId="512DBA12"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624814EF"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02581136"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DEFENSOR PÚBLICO </w:t>
            </w:r>
          </w:p>
        </w:tc>
        <w:tc>
          <w:tcPr>
            <w:tcW w:w="761" w:type="dxa"/>
            <w:tcBorders>
              <w:top w:val="nil"/>
              <w:left w:val="nil"/>
              <w:bottom w:val="single" w:sz="4" w:space="0" w:color="auto"/>
              <w:right w:val="single" w:sz="4" w:space="0" w:color="auto"/>
            </w:tcBorders>
            <w:shd w:val="clear" w:color="auto" w:fill="auto"/>
            <w:noWrap/>
            <w:vAlign w:val="center"/>
            <w:hideMark/>
          </w:tcPr>
          <w:p w14:paraId="0798E5D0"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352121</w:t>
            </w:r>
          </w:p>
        </w:tc>
      </w:tr>
      <w:tr w:rsidR="007E6FC1" w:rsidRPr="00697B6D" w14:paraId="4186507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2E43964"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87A7EEA"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0E63C771"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24E6EFA0"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4A83A218"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36EE4BCF"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EDF1CE9"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GESTOR DE CAPACITACIÓN 3</w:t>
            </w:r>
          </w:p>
        </w:tc>
        <w:tc>
          <w:tcPr>
            <w:tcW w:w="761" w:type="dxa"/>
            <w:tcBorders>
              <w:top w:val="nil"/>
              <w:left w:val="nil"/>
              <w:bottom w:val="single" w:sz="4" w:space="0" w:color="auto"/>
              <w:right w:val="single" w:sz="4" w:space="0" w:color="auto"/>
            </w:tcBorders>
            <w:shd w:val="clear" w:color="auto" w:fill="auto"/>
            <w:noWrap/>
            <w:vAlign w:val="center"/>
            <w:hideMark/>
          </w:tcPr>
          <w:p w14:paraId="00651940"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19980</w:t>
            </w:r>
          </w:p>
        </w:tc>
      </w:tr>
      <w:tr w:rsidR="007E6FC1" w:rsidRPr="00697B6D" w14:paraId="00AA42C1"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58C8CEA0"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2AABB49B"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183C680A"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0032-DP-P04</w:t>
            </w:r>
          </w:p>
        </w:tc>
        <w:tc>
          <w:tcPr>
            <w:tcW w:w="2127" w:type="dxa"/>
            <w:vMerge w:val="restart"/>
            <w:tcBorders>
              <w:top w:val="nil"/>
              <w:left w:val="nil"/>
              <w:right w:val="single" w:sz="4" w:space="0" w:color="auto"/>
            </w:tcBorders>
            <w:shd w:val="clear" w:color="auto" w:fill="auto"/>
            <w:noWrap/>
            <w:vAlign w:val="center"/>
            <w:hideMark/>
          </w:tcPr>
          <w:p w14:paraId="60701748"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Actualización de los estados procesales</w:t>
            </w:r>
          </w:p>
        </w:tc>
        <w:tc>
          <w:tcPr>
            <w:tcW w:w="1034" w:type="dxa"/>
            <w:vMerge w:val="restart"/>
            <w:tcBorders>
              <w:top w:val="nil"/>
              <w:left w:val="nil"/>
              <w:right w:val="single" w:sz="4" w:space="0" w:color="auto"/>
            </w:tcBorders>
            <w:shd w:val="clear" w:color="auto" w:fill="auto"/>
            <w:noWrap/>
            <w:vAlign w:val="center"/>
            <w:hideMark/>
          </w:tcPr>
          <w:p w14:paraId="473A0238"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Estratégico</w:t>
            </w:r>
          </w:p>
        </w:tc>
        <w:tc>
          <w:tcPr>
            <w:tcW w:w="505" w:type="dxa"/>
            <w:tcBorders>
              <w:top w:val="nil"/>
              <w:left w:val="nil"/>
              <w:bottom w:val="single" w:sz="4" w:space="0" w:color="auto"/>
              <w:right w:val="single" w:sz="4" w:space="0" w:color="auto"/>
            </w:tcBorders>
            <w:shd w:val="clear" w:color="auto" w:fill="auto"/>
            <w:noWrap/>
            <w:vAlign w:val="center"/>
            <w:hideMark/>
          </w:tcPr>
          <w:p w14:paraId="1773E8C0"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54B4CF63"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JURÍDICO</w:t>
            </w:r>
          </w:p>
        </w:tc>
        <w:tc>
          <w:tcPr>
            <w:tcW w:w="761" w:type="dxa"/>
            <w:tcBorders>
              <w:top w:val="nil"/>
              <w:left w:val="nil"/>
              <w:bottom w:val="single" w:sz="4" w:space="0" w:color="auto"/>
              <w:right w:val="single" w:sz="4" w:space="0" w:color="auto"/>
            </w:tcBorders>
            <w:shd w:val="clear" w:color="auto" w:fill="auto"/>
            <w:noWrap/>
            <w:vAlign w:val="center"/>
            <w:hideMark/>
          </w:tcPr>
          <w:p w14:paraId="3784E74D"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24836</w:t>
            </w:r>
          </w:p>
        </w:tc>
      </w:tr>
      <w:tr w:rsidR="007E6FC1" w:rsidRPr="00697B6D" w14:paraId="705E17A8"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1ECF880F"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1AA365CB"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0984E086"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49A62040"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053015DA"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20C2F8DB"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2D1A6EC"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JURÍDICO</w:t>
            </w:r>
          </w:p>
        </w:tc>
        <w:tc>
          <w:tcPr>
            <w:tcW w:w="761" w:type="dxa"/>
            <w:tcBorders>
              <w:top w:val="nil"/>
              <w:left w:val="nil"/>
              <w:bottom w:val="single" w:sz="4" w:space="0" w:color="auto"/>
              <w:right w:val="single" w:sz="4" w:space="0" w:color="auto"/>
            </w:tcBorders>
            <w:shd w:val="clear" w:color="auto" w:fill="auto"/>
            <w:noWrap/>
            <w:vAlign w:val="center"/>
            <w:hideMark/>
          </w:tcPr>
          <w:p w14:paraId="6FFDA2DE"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92413</w:t>
            </w:r>
          </w:p>
        </w:tc>
      </w:tr>
      <w:tr w:rsidR="007E6FC1" w:rsidRPr="00697B6D" w14:paraId="710F4003"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64BE6F5B"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8C2E27A"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67775C27"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69172B7E"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38EC6D1F"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1230AC3"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1860C624"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JURÍDICO</w:t>
            </w:r>
          </w:p>
        </w:tc>
        <w:tc>
          <w:tcPr>
            <w:tcW w:w="761" w:type="dxa"/>
            <w:tcBorders>
              <w:top w:val="nil"/>
              <w:left w:val="nil"/>
              <w:bottom w:val="single" w:sz="4" w:space="0" w:color="auto"/>
              <w:right w:val="single" w:sz="4" w:space="0" w:color="auto"/>
            </w:tcBorders>
            <w:shd w:val="clear" w:color="auto" w:fill="auto"/>
            <w:noWrap/>
            <w:vAlign w:val="center"/>
            <w:hideMark/>
          </w:tcPr>
          <w:p w14:paraId="539E0AC0"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102152</w:t>
            </w:r>
          </w:p>
        </w:tc>
      </w:tr>
      <w:tr w:rsidR="007E6FC1" w:rsidRPr="00697B6D" w14:paraId="685F8A72"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7117B23E"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351DD7CE"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54ECC73C"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1AA43AFD"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2977CEDC"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74478451"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6AC12AE"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TÉCNICO JURÍDICO</w:t>
            </w:r>
          </w:p>
        </w:tc>
        <w:tc>
          <w:tcPr>
            <w:tcW w:w="761" w:type="dxa"/>
            <w:tcBorders>
              <w:top w:val="nil"/>
              <w:left w:val="nil"/>
              <w:bottom w:val="single" w:sz="4" w:space="0" w:color="auto"/>
              <w:right w:val="single" w:sz="4" w:space="0" w:color="auto"/>
            </w:tcBorders>
            <w:shd w:val="clear" w:color="auto" w:fill="auto"/>
            <w:noWrap/>
            <w:vAlign w:val="center"/>
            <w:hideMark/>
          </w:tcPr>
          <w:p w14:paraId="425595C5"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367660</w:t>
            </w:r>
          </w:p>
        </w:tc>
      </w:tr>
      <w:tr w:rsidR="007E6FC1" w:rsidRPr="00697B6D" w14:paraId="1F26867B"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344F1620"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591093E1"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val="restart"/>
            <w:tcBorders>
              <w:top w:val="nil"/>
              <w:left w:val="nil"/>
              <w:right w:val="single" w:sz="4" w:space="0" w:color="auto"/>
            </w:tcBorders>
            <w:shd w:val="clear" w:color="auto" w:fill="auto"/>
            <w:noWrap/>
            <w:vAlign w:val="center"/>
            <w:hideMark/>
          </w:tcPr>
          <w:p w14:paraId="6C05F8CD"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0032-DP-P10</w:t>
            </w:r>
          </w:p>
        </w:tc>
        <w:tc>
          <w:tcPr>
            <w:tcW w:w="2127" w:type="dxa"/>
            <w:vMerge w:val="restart"/>
            <w:tcBorders>
              <w:top w:val="nil"/>
              <w:left w:val="nil"/>
              <w:right w:val="single" w:sz="4" w:space="0" w:color="auto"/>
            </w:tcBorders>
            <w:shd w:val="clear" w:color="auto" w:fill="auto"/>
            <w:noWrap/>
            <w:vAlign w:val="center"/>
            <w:hideMark/>
          </w:tcPr>
          <w:p w14:paraId="3C26B70D"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 de trabajo en la Administración de la Defensa Pública</w:t>
            </w:r>
          </w:p>
        </w:tc>
        <w:tc>
          <w:tcPr>
            <w:tcW w:w="1034" w:type="dxa"/>
            <w:vMerge w:val="restart"/>
            <w:tcBorders>
              <w:top w:val="nil"/>
              <w:left w:val="nil"/>
              <w:right w:val="single" w:sz="4" w:space="0" w:color="auto"/>
            </w:tcBorders>
            <w:shd w:val="clear" w:color="auto" w:fill="auto"/>
            <w:noWrap/>
            <w:vAlign w:val="center"/>
            <w:hideMark/>
          </w:tcPr>
          <w:p w14:paraId="34493AD3"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786286F7"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6E0BB85"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1 </w:t>
            </w:r>
          </w:p>
        </w:tc>
        <w:tc>
          <w:tcPr>
            <w:tcW w:w="761" w:type="dxa"/>
            <w:tcBorders>
              <w:top w:val="nil"/>
              <w:left w:val="nil"/>
              <w:bottom w:val="single" w:sz="4" w:space="0" w:color="auto"/>
              <w:right w:val="single" w:sz="4" w:space="0" w:color="auto"/>
            </w:tcBorders>
            <w:shd w:val="clear" w:color="auto" w:fill="auto"/>
            <w:noWrap/>
            <w:vAlign w:val="center"/>
            <w:hideMark/>
          </w:tcPr>
          <w:p w14:paraId="2686DF05"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103815</w:t>
            </w:r>
          </w:p>
        </w:tc>
      </w:tr>
      <w:tr w:rsidR="007E6FC1" w:rsidRPr="00697B6D" w14:paraId="6A568FE0" w14:textId="77777777" w:rsidTr="00301740">
        <w:trPr>
          <w:trHeight w:val="290"/>
        </w:trPr>
        <w:tc>
          <w:tcPr>
            <w:tcW w:w="1613" w:type="dxa"/>
            <w:vMerge/>
            <w:tcBorders>
              <w:left w:val="single" w:sz="4" w:space="0" w:color="auto"/>
              <w:right w:val="single" w:sz="4" w:space="0" w:color="auto"/>
            </w:tcBorders>
            <w:shd w:val="clear" w:color="auto" w:fill="auto"/>
            <w:noWrap/>
            <w:vAlign w:val="center"/>
          </w:tcPr>
          <w:p w14:paraId="2401D0FC"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right w:val="single" w:sz="4" w:space="0" w:color="auto"/>
            </w:tcBorders>
            <w:shd w:val="clear" w:color="auto" w:fill="auto"/>
            <w:noWrap/>
            <w:vAlign w:val="center"/>
          </w:tcPr>
          <w:p w14:paraId="74BB2524"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right w:val="single" w:sz="4" w:space="0" w:color="auto"/>
            </w:tcBorders>
            <w:shd w:val="clear" w:color="auto" w:fill="auto"/>
            <w:noWrap/>
            <w:vAlign w:val="center"/>
          </w:tcPr>
          <w:p w14:paraId="4A8CCEDD"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right w:val="single" w:sz="4" w:space="0" w:color="auto"/>
            </w:tcBorders>
            <w:shd w:val="clear" w:color="auto" w:fill="auto"/>
            <w:noWrap/>
            <w:vAlign w:val="center"/>
          </w:tcPr>
          <w:p w14:paraId="16E8C6A2"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right w:val="single" w:sz="4" w:space="0" w:color="auto"/>
            </w:tcBorders>
            <w:shd w:val="clear" w:color="auto" w:fill="auto"/>
            <w:noWrap/>
            <w:vAlign w:val="center"/>
          </w:tcPr>
          <w:p w14:paraId="7B19003A"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092AA6F0"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4452EE06"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1 </w:t>
            </w:r>
          </w:p>
        </w:tc>
        <w:tc>
          <w:tcPr>
            <w:tcW w:w="761" w:type="dxa"/>
            <w:tcBorders>
              <w:top w:val="nil"/>
              <w:left w:val="nil"/>
              <w:bottom w:val="single" w:sz="4" w:space="0" w:color="auto"/>
              <w:right w:val="single" w:sz="4" w:space="0" w:color="auto"/>
            </w:tcBorders>
            <w:shd w:val="clear" w:color="auto" w:fill="auto"/>
            <w:noWrap/>
            <w:vAlign w:val="center"/>
            <w:hideMark/>
          </w:tcPr>
          <w:p w14:paraId="3C8235CB"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377479</w:t>
            </w:r>
          </w:p>
        </w:tc>
      </w:tr>
      <w:tr w:rsidR="00BC00B3" w:rsidRPr="00697B6D" w14:paraId="65F970B4" w14:textId="77777777" w:rsidTr="00301740">
        <w:trPr>
          <w:trHeight w:val="290"/>
        </w:trPr>
        <w:tc>
          <w:tcPr>
            <w:tcW w:w="1613" w:type="dxa"/>
            <w:vMerge/>
            <w:tcBorders>
              <w:left w:val="single" w:sz="4" w:space="0" w:color="auto"/>
              <w:bottom w:val="single" w:sz="4" w:space="0" w:color="auto"/>
              <w:right w:val="single" w:sz="4" w:space="0" w:color="auto"/>
            </w:tcBorders>
            <w:shd w:val="clear" w:color="auto" w:fill="auto"/>
            <w:noWrap/>
            <w:vAlign w:val="center"/>
          </w:tcPr>
          <w:p w14:paraId="15DA6A21"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73" w:type="dxa"/>
            <w:vMerge/>
            <w:tcBorders>
              <w:left w:val="nil"/>
              <w:bottom w:val="single" w:sz="4" w:space="0" w:color="auto"/>
              <w:right w:val="single" w:sz="4" w:space="0" w:color="auto"/>
            </w:tcBorders>
            <w:shd w:val="clear" w:color="auto" w:fill="auto"/>
            <w:noWrap/>
            <w:vAlign w:val="center"/>
          </w:tcPr>
          <w:p w14:paraId="77264116"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183" w:type="dxa"/>
            <w:vMerge/>
            <w:tcBorders>
              <w:left w:val="nil"/>
              <w:bottom w:val="single" w:sz="4" w:space="0" w:color="auto"/>
              <w:right w:val="single" w:sz="4" w:space="0" w:color="auto"/>
            </w:tcBorders>
            <w:shd w:val="clear" w:color="auto" w:fill="auto"/>
            <w:noWrap/>
            <w:vAlign w:val="center"/>
          </w:tcPr>
          <w:p w14:paraId="119BE5AD"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2127" w:type="dxa"/>
            <w:vMerge/>
            <w:tcBorders>
              <w:left w:val="nil"/>
              <w:bottom w:val="single" w:sz="4" w:space="0" w:color="auto"/>
              <w:right w:val="single" w:sz="4" w:space="0" w:color="auto"/>
            </w:tcBorders>
            <w:shd w:val="clear" w:color="auto" w:fill="auto"/>
            <w:noWrap/>
            <w:vAlign w:val="center"/>
          </w:tcPr>
          <w:p w14:paraId="24C6DAEB"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1034" w:type="dxa"/>
            <w:vMerge/>
            <w:tcBorders>
              <w:left w:val="nil"/>
              <w:bottom w:val="single" w:sz="4" w:space="0" w:color="auto"/>
              <w:right w:val="single" w:sz="4" w:space="0" w:color="auto"/>
            </w:tcBorders>
            <w:shd w:val="clear" w:color="auto" w:fill="auto"/>
            <w:noWrap/>
            <w:vAlign w:val="center"/>
          </w:tcPr>
          <w:p w14:paraId="7BC91E44"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p>
        </w:tc>
        <w:tc>
          <w:tcPr>
            <w:tcW w:w="505" w:type="dxa"/>
            <w:tcBorders>
              <w:top w:val="nil"/>
              <w:left w:val="nil"/>
              <w:bottom w:val="single" w:sz="4" w:space="0" w:color="auto"/>
              <w:right w:val="single" w:sz="4" w:space="0" w:color="auto"/>
            </w:tcBorders>
            <w:shd w:val="clear" w:color="auto" w:fill="auto"/>
            <w:noWrap/>
            <w:vAlign w:val="center"/>
            <w:hideMark/>
          </w:tcPr>
          <w:p w14:paraId="6D9B200B"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7329443F"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2 </w:t>
            </w:r>
          </w:p>
        </w:tc>
        <w:tc>
          <w:tcPr>
            <w:tcW w:w="761" w:type="dxa"/>
            <w:tcBorders>
              <w:top w:val="nil"/>
              <w:left w:val="nil"/>
              <w:bottom w:val="single" w:sz="4" w:space="0" w:color="auto"/>
              <w:right w:val="single" w:sz="4" w:space="0" w:color="auto"/>
            </w:tcBorders>
            <w:shd w:val="clear" w:color="auto" w:fill="auto"/>
            <w:noWrap/>
            <w:vAlign w:val="center"/>
            <w:hideMark/>
          </w:tcPr>
          <w:p w14:paraId="112C27A4"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374140</w:t>
            </w:r>
          </w:p>
        </w:tc>
      </w:tr>
      <w:tr w:rsidR="00BC00B3" w:rsidRPr="00697B6D" w14:paraId="0C8F5ED9" w14:textId="77777777" w:rsidTr="00301740">
        <w:trPr>
          <w:trHeight w:val="290"/>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2D659716"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930 Defensa Pública</w:t>
            </w:r>
          </w:p>
        </w:tc>
        <w:tc>
          <w:tcPr>
            <w:tcW w:w="1173" w:type="dxa"/>
            <w:tcBorders>
              <w:top w:val="nil"/>
              <w:left w:val="nil"/>
              <w:bottom w:val="single" w:sz="4" w:space="0" w:color="auto"/>
              <w:right w:val="single" w:sz="4" w:space="0" w:color="auto"/>
            </w:tcBorders>
            <w:shd w:val="clear" w:color="auto" w:fill="auto"/>
            <w:noWrap/>
            <w:vAlign w:val="center"/>
            <w:hideMark/>
          </w:tcPr>
          <w:p w14:paraId="2D61FDD6"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Inspección Judicial</w:t>
            </w:r>
          </w:p>
        </w:tc>
        <w:tc>
          <w:tcPr>
            <w:tcW w:w="1183" w:type="dxa"/>
            <w:tcBorders>
              <w:top w:val="nil"/>
              <w:left w:val="nil"/>
              <w:bottom w:val="single" w:sz="4" w:space="0" w:color="auto"/>
              <w:right w:val="single" w:sz="4" w:space="0" w:color="auto"/>
            </w:tcBorders>
            <w:shd w:val="clear" w:color="auto" w:fill="auto"/>
            <w:noWrap/>
            <w:vAlign w:val="center"/>
            <w:hideMark/>
          </w:tcPr>
          <w:p w14:paraId="2353C23A"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0031-IJ-P01</w:t>
            </w:r>
          </w:p>
        </w:tc>
        <w:tc>
          <w:tcPr>
            <w:tcW w:w="2127" w:type="dxa"/>
            <w:tcBorders>
              <w:top w:val="nil"/>
              <w:left w:val="nil"/>
              <w:bottom w:val="single" w:sz="4" w:space="0" w:color="auto"/>
              <w:right w:val="single" w:sz="4" w:space="0" w:color="auto"/>
            </w:tcBorders>
            <w:shd w:val="clear" w:color="auto" w:fill="auto"/>
            <w:noWrap/>
            <w:vAlign w:val="center"/>
            <w:hideMark/>
          </w:tcPr>
          <w:p w14:paraId="5F4EE97C"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Plan de descongestionamiento de Procesos del Tribunal de la Inspección Judicial</w:t>
            </w:r>
          </w:p>
        </w:tc>
        <w:tc>
          <w:tcPr>
            <w:tcW w:w="1034" w:type="dxa"/>
            <w:tcBorders>
              <w:top w:val="nil"/>
              <w:left w:val="nil"/>
              <w:bottom w:val="single" w:sz="4" w:space="0" w:color="auto"/>
              <w:right w:val="single" w:sz="4" w:space="0" w:color="auto"/>
            </w:tcBorders>
            <w:shd w:val="clear" w:color="auto" w:fill="auto"/>
            <w:noWrap/>
            <w:vAlign w:val="center"/>
            <w:hideMark/>
          </w:tcPr>
          <w:p w14:paraId="71601FA6"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0FAB08D6"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2F7EB204"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DEFENSOR PÚBLICO </w:t>
            </w:r>
          </w:p>
        </w:tc>
        <w:tc>
          <w:tcPr>
            <w:tcW w:w="761" w:type="dxa"/>
            <w:tcBorders>
              <w:top w:val="nil"/>
              <w:left w:val="nil"/>
              <w:bottom w:val="single" w:sz="4" w:space="0" w:color="auto"/>
              <w:right w:val="single" w:sz="4" w:space="0" w:color="auto"/>
            </w:tcBorders>
            <w:shd w:val="clear" w:color="auto" w:fill="auto"/>
            <w:noWrap/>
            <w:vAlign w:val="center"/>
            <w:hideMark/>
          </w:tcPr>
          <w:p w14:paraId="2A8006BE"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103246</w:t>
            </w:r>
          </w:p>
        </w:tc>
      </w:tr>
      <w:tr w:rsidR="00BC00B3" w:rsidRPr="00697B6D" w14:paraId="4C3A98E7" w14:textId="77777777" w:rsidTr="00301740">
        <w:trPr>
          <w:trHeight w:val="290"/>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73366AAB"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950 Ser. Atención y Prot. Víct. y Test.</w:t>
            </w:r>
          </w:p>
        </w:tc>
        <w:tc>
          <w:tcPr>
            <w:tcW w:w="1173" w:type="dxa"/>
            <w:tcBorders>
              <w:top w:val="nil"/>
              <w:left w:val="nil"/>
              <w:bottom w:val="single" w:sz="4" w:space="0" w:color="auto"/>
              <w:right w:val="single" w:sz="4" w:space="0" w:color="auto"/>
            </w:tcBorders>
            <w:shd w:val="clear" w:color="auto" w:fill="auto"/>
            <w:noWrap/>
            <w:vAlign w:val="center"/>
            <w:hideMark/>
          </w:tcPr>
          <w:p w14:paraId="09A71909"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Servicio de Atención y Protección de Víctimas y Testigos</w:t>
            </w:r>
          </w:p>
        </w:tc>
        <w:tc>
          <w:tcPr>
            <w:tcW w:w="1183" w:type="dxa"/>
            <w:tcBorders>
              <w:top w:val="nil"/>
              <w:left w:val="nil"/>
              <w:bottom w:val="single" w:sz="4" w:space="0" w:color="auto"/>
              <w:right w:val="single" w:sz="4" w:space="0" w:color="auto"/>
            </w:tcBorders>
            <w:shd w:val="clear" w:color="auto" w:fill="auto"/>
            <w:noWrap/>
            <w:vAlign w:val="center"/>
            <w:hideMark/>
          </w:tcPr>
          <w:p w14:paraId="6A782BEF"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0718-OAPVT-P06</w:t>
            </w:r>
          </w:p>
        </w:tc>
        <w:tc>
          <w:tcPr>
            <w:tcW w:w="2127" w:type="dxa"/>
            <w:tcBorders>
              <w:top w:val="nil"/>
              <w:left w:val="nil"/>
              <w:bottom w:val="single" w:sz="4" w:space="0" w:color="auto"/>
              <w:right w:val="single" w:sz="4" w:space="0" w:color="auto"/>
            </w:tcBorders>
            <w:shd w:val="clear" w:color="auto" w:fill="auto"/>
            <w:noWrap/>
            <w:vAlign w:val="center"/>
            <w:hideMark/>
          </w:tcPr>
          <w:p w14:paraId="1F3A5C79"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Proyecto de Eficiencia en la Ejecución de Compras y trámites Administrativos de la OAPVD, derivados de la Ley 9986</w:t>
            </w:r>
          </w:p>
        </w:tc>
        <w:tc>
          <w:tcPr>
            <w:tcW w:w="1034" w:type="dxa"/>
            <w:tcBorders>
              <w:top w:val="nil"/>
              <w:left w:val="nil"/>
              <w:bottom w:val="single" w:sz="4" w:space="0" w:color="auto"/>
              <w:right w:val="single" w:sz="4" w:space="0" w:color="auto"/>
            </w:tcBorders>
            <w:shd w:val="clear" w:color="auto" w:fill="auto"/>
            <w:noWrap/>
            <w:vAlign w:val="center"/>
            <w:hideMark/>
          </w:tcPr>
          <w:p w14:paraId="1CFA4FF9"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Operativo</w:t>
            </w:r>
          </w:p>
        </w:tc>
        <w:tc>
          <w:tcPr>
            <w:tcW w:w="505" w:type="dxa"/>
            <w:tcBorders>
              <w:top w:val="nil"/>
              <w:left w:val="nil"/>
              <w:bottom w:val="single" w:sz="4" w:space="0" w:color="auto"/>
              <w:right w:val="single" w:sz="4" w:space="0" w:color="auto"/>
            </w:tcBorders>
            <w:shd w:val="clear" w:color="auto" w:fill="auto"/>
            <w:noWrap/>
            <w:vAlign w:val="center"/>
            <w:hideMark/>
          </w:tcPr>
          <w:p w14:paraId="49DAB7E8"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1</w:t>
            </w:r>
          </w:p>
        </w:tc>
        <w:tc>
          <w:tcPr>
            <w:tcW w:w="1579" w:type="dxa"/>
            <w:tcBorders>
              <w:top w:val="nil"/>
              <w:left w:val="nil"/>
              <w:bottom w:val="single" w:sz="4" w:space="0" w:color="auto"/>
              <w:right w:val="single" w:sz="4" w:space="0" w:color="auto"/>
            </w:tcBorders>
            <w:shd w:val="clear" w:color="auto" w:fill="auto"/>
            <w:noWrap/>
            <w:vAlign w:val="center"/>
            <w:hideMark/>
          </w:tcPr>
          <w:p w14:paraId="66CE1ED0"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 xml:space="preserve">PROFESIONAL 1 </w:t>
            </w:r>
          </w:p>
        </w:tc>
        <w:tc>
          <w:tcPr>
            <w:tcW w:w="761" w:type="dxa"/>
            <w:tcBorders>
              <w:top w:val="nil"/>
              <w:left w:val="nil"/>
              <w:bottom w:val="single" w:sz="4" w:space="0" w:color="auto"/>
              <w:right w:val="single" w:sz="4" w:space="0" w:color="auto"/>
            </w:tcBorders>
            <w:shd w:val="clear" w:color="auto" w:fill="auto"/>
            <w:noWrap/>
            <w:vAlign w:val="center"/>
            <w:hideMark/>
          </w:tcPr>
          <w:p w14:paraId="0C81021C" w14:textId="77777777" w:rsidR="009E72C7" w:rsidRPr="00697B6D" w:rsidRDefault="009E72C7" w:rsidP="009E72C7">
            <w:pPr>
              <w:spacing w:after="0" w:line="240" w:lineRule="auto"/>
              <w:jc w:val="center"/>
              <w:rPr>
                <w:rFonts w:ascii="Book Antiqua" w:eastAsia="Times New Roman" w:hAnsi="Book Antiqua" w:cs="Calibri"/>
                <w:color w:val="000000"/>
                <w:sz w:val="14"/>
                <w:szCs w:val="14"/>
                <w:lang w:eastAsia="es-CR"/>
              </w:rPr>
            </w:pPr>
            <w:r w:rsidRPr="00697B6D">
              <w:rPr>
                <w:rFonts w:ascii="Book Antiqua" w:eastAsia="Times New Roman" w:hAnsi="Book Antiqua" w:cs="Calibri"/>
                <w:color w:val="000000"/>
                <w:sz w:val="14"/>
                <w:szCs w:val="14"/>
                <w:lang w:eastAsia="es-CR"/>
              </w:rPr>
              <w:t>360026</w:t>
            </w:r>
          </w:p>
        </w:tc>
      </w:tr>
    </w:tbl>
    <w:p w14:paraId="1783A63E" w14:textId="7E0D699B" w:rsidR="00697B6D" w:rsidRDefault="00936065" w:rsidP="00697B6D">
      <w:pPr>
        <w:ind w:left="-142" w:firstLine="142"/>
        <w:jc w:val="center"/>
      </w:pPr>
      <w:r w:rsidRPr="00FF2971">
        <w:rPr>
          <w:rFonts w:ascii="Book Antiqua" w:hAnsi="Book Antiqua"/>
          <w:sz w:val="16"/>
          <w:szCs w:val="16"/>
          <w:lang w:val="es-ES"/>
        </w:rPr>
        <w:t>Fuente:</w:t>
      </w:r>
      <w:r>
        <w:rPr>
          <w:rFonts w:ascii="Book Antiqua" w:hAnsi="Book Antiqua"/>
          <w:sz w:val="16"/>
          <w:szCs w:val="16"/>
          <w:lang w:val="es-ES"/>
        </w:rPr>
        <w:t xml:space="preserve"> Datos proporcionados por los líderes y responsables de proyectos estratégicos y labores operativas.</w:t>
      </w:r>
    </w:p>
    <w:p w14:paraId="4A0E2013" w14:textId="77777777" w:rsidR="00BE773E" w:rsidRDefault="00BE773E" w:rsidP="00257371">
      <w:pPr>
        <w:jc w:val="center"/>
        <w:rPr>
          <w:rFonts w:ascii="Book Antiqua" w:hAnsi="Book Antiqua"/>
          <w:b/>
          <w:bCs/>
        </w:rPr>
      </w:pPr>
    </w:p>
    <w:tbl>
      <w:tblPr>
        <w:tblW w:w="9560" w:type="dxa"/>
        <w:jc w:val="center"/>
        <w:tblCellMar>
          <w:left w:w="70" w:type="dxa"/>
          <w:right w:w="70" w:type="dxa"/>
        </w:tblCellMar>
        <w:tblLook w:val="04A0" w:firstRow="1" w:lastRow="0" w:firstColumn="1" w:lastColumn="0" w:noHBand="0" w:noVBand="1"/>
      </w:tblPr>
      <w:tblGrid>
        <w:gridCol w:w="1841"/>
        <w:gridCol w:w="1704"/>
        <w:gridCol w:w="1684"/>
        <w:gridCol w:w="1015"/>
        <w:gridCol w:w="2056"/>
        <w:gridCol w:w="1260"/>
      </w:tblGrid>
      <w:tr w:rsidR="00CF290F" w:rsidRPr="00CF290F" w14:paraId="7B245167" w14:textId="77777777" w:rsidTr="00413346">
        <w:trPr>
          <w:trHeight w:val="710"/>
          <w:tblHeader/>
          <w:jc w:val="center"/>
        </w:trPr>
        <w:tc>
          <w:tcPr>
            <w:tcW w:w="184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1357643" w14:textId="4DC1F0E3" w:rsidR="00CF290F" w:rsidRPr="00CF290F" w:rsidRDefault="00413346" w:rsidP="00CF290F">
            <w:pPr>
              <w:spacing w:after="0" w:line="240" w:lineRule="auto"/>
              <w:jc w:val="center"/>
              <w:rPr>
                <w:rFonts w:ascii="Book Antiqua" w:eastAsia="Times New Roman" w:hAnsi="Book Antiqua" w:cs="Calibri Light"/>
                <w:b/>
                <w:bCs/>
                <w:color w:val="FFFFFF" w:themeColor="background1"/>
                <w:sz w:val="16"/>
                <w:szCs w:val="16"/>
                <w:lang w:eastAsia="es-CR"/>
              </w:rPr>
            </w:pPr>
            <w:r w:rsidRPr="00413346">
              <w:rPr>
                <w:rFonts w:ascii="Book Antiqua" w:hAnsi="Book Antiqua" w:cs="&amp;quot"/>
                <w:b/>
                <w:sz w:val="24"/>
                <w:szCs w:val="24"/>
              </w:rPr>
              <w:t xml:space="preserve">Tabla </w:t>
            </w:r>
            <w:r w:rsidRPr="00413346">
              <w:rPr>
                <w:rFonts w:ascii="Book Antiqua" w:hAnsi="Book Antiqua" w:cs="&amp;quot"/>
                <w:b/>
                <w:i/>
                <w:iCs/>
                <w:sz w:val="24"/>
                <w:szCs w:val="24"/>
              </w:rPr>
              <w:fldChar w:fldCharType="begin"/>
            </w:r>
            <w:r w:rsidRPr="00413346">
              <w:rPr>
                <w:rFonts w:ascii="Book Antiqua" w:hAnsi="Book Antiqua" w:cs="&amp;quot"/>
                <w:b/>
                <w:sz w:val="24"/>
                <w:szCs w:val="24"/>
              </w:rPr>
              <w:instrText xml:space="preserve"> SEQ Tabla \* ARABIC </w:instrText>
            </w:r>
            <w:r w:rsidRPr="00413346">
              <w:rPr>
                <w:rFonts w:ascii="Book Antiqua" w:hAnsi="Book Antiqua" w:cs="&amp;quot"/>
                <w:b/>
                <w:i/>
                <w:iCs/>
                <w:sz w:val="24"/>
                <w:szCs w:val="24"/>
              </w:rPr>
              <w:fldChar w:fldCharType="separate"/>
            </w:r>
            <w:r w:rsidR="005A07DC">
              <w:rPr>
                <w:rFonts w:ascii="Book Antiqua" w:hAnsi="Book Antiqua" w:cs="&amp;quot"/>
                <w:b/>
                <w:noProof/>
                <w:sz w:val="24"/>
                <w:szCs w:val="24"/>
              </w:rPr>
              <w:t>41</w:t>
            </w:r>
            <w:r w:rsidRPr="00413346">
              <w:rPr>
                <w:rFonts w:ascii="Book Antiqua" w:hAnsi="Book Antiqua" w:cs="&amp;quot"/>
                <w:b/>
                <w:i/>
                <w:iCs/>
                <w:sz w:val="24"/>
                <w:szCs w:val="24"/>
              </w:rPr>
              <w:fldChar w:fldCharType="end"/>
            </w:r>
            <w:r w:rsidR="00053EEA" w:rsidRPr="00413346">
              <w:rPr>
                <w:rFonts w:ascii="Book Antiqua" w:hAnsi="Book Antiqua" w:cs="&amp;quot"/>
                <w:b/>
                <w:sz w:val="24"/>
                <w:szCs w:val="24"/>
              </w:rPr>
              <w:t xml:space="preserve"> </w:t>
            </w:r>
            <w:r w:rsidR="00ED248B" w:rsidRPr="00413346">
              <w:rPr>
                <w:rFonts w:ascii="Book Antiqua" w:hAnsi="Book Antiqua"/>
                <w:b/>
                <w:bCs/>
              </w:rPr>
              <w:t>Detalle de PCGS a ser otorgados para el Modelo Penal durante el III Trimestre del año 202</w:t>
            </w:r>
            <w:r w:rsidR="00053EEA" w:rsidRPr="00413346">
              <w:rPr>
                <w:rFonts w:ascii="Book Antiqua" w:hAnsi="Book Antiqua"/>
                <w:b/>
                <w:bCs/>
              </w:rPr>
              <w:t>3</w:t>
            </w:r>
            <w:bookmarkStart w:id="138" w:name="_Hlk138341088"/>
            <w:r w:rsidR="00CF290F" w:rsidRPr="00CF290F">
              <w:rPr>
                <w:rFonts w:ascii="Book Antiqua" w:eastAsia="Times New Roman" w:hAnsi="Book Antiqua" w:cs="Calibri Light"/>
                <w:b/>
                <w:bCs/>
                <w:color w:val="FFFFFF" w:themeColor="background1"/>
                <w:sz w:val="16"/>
                <w:szCs w:val="16"/>
                <w:lang w:eastAsia="es-CR"/>
              </w:rPr>
              <w:t>Programa Presupuestario</w:t>
            </w:r>
            <w:r w:rsidR="00CF290F" w:rsidRPr="00CF290F">
              <w:rPr>
                <w:rFonts w:ascii="Book Antiqua" w:eastAsia="Times New Roman" w:hAnsi="Book Antiqua" w:cs="Calibri Light"/>
                <w:b/>
                <w:bCs/>
                <w:color w:val="FFFFFF" w:themeColor="background1"/>
                <w:sz w:val="16"/>
                <w:szCs w:val="16"/>
                <w:lang w:eastAsia="es-CR"/>
              </w:rPr>
              <w:br/>
              <w:t>(Del que se toma el recurso)</w:t>
            </w:r>
          </w:p>
        </w:tc>
        <w:tc>
          <w:tcPr>
            <w:tcW w:w="1704" w:type="dxa"/>
            <w:tcBorders>
              <w:top w:val="single" w:sz="4" w:space="0" w:color="auto"/>
              <w:left w:val="nil"/>
              <w:bottom w:val="single" w:sz="4" w:space="0" w:color="auto"/>
              <w:right w:val="single" w:sz="4" w:space="0" w:color="auto"/>
            </w:tcBorders>
            <w:shd w:val="clear" w:color="auto" w:fill="002060"/>
            <w:vAlign w:val="center"/>
            <w:hideMark/>
          </w:tcPr>
          <w:p w14:paraId="4B069E4A" w14:textId="77777777" w:rsidR="00CF290F" w:rsidRPr="00CF290F" w:rsidRDefault="00CF290F" w:rsidP="00CF290F">
            <w:pPr>
              <w:spacing w:after="0" w:line="240" w:lineRule="auto"/>
              <w:jc w:val="center"/>
              <w:rPr>
                <w:rFonts w:ascii="Book Antiqua" w:eastAsia="Times New Roman" w:hAnsi="Book Antiqua" w:cs="Calibri Light"/>
                <w:b/>
                <w:bCs/>
                <w:color w:val="FFFFFF" w:themeColor="background1"/>
                <w:sz w:val="16"/>
                <w:szCs w:val="16"/>
                <w:lang w:eastAsia="es-CR"/>
              </w:rPr>
            </w:pPr>
            <w:r w:rsidRPr="00CF290F">
              <w:rPr>
                <w:rFonts w:ascii="Book Antiqua" w:eastAsia="Times New Roman" w:hAnsi="Book Antiqua" w:cs="Calibri Light"/>
                <w:b/>
                <w:bCs/>
                <w:color w:val="FFFFFF" w:themeColor="background1"/>
                <w:sz w:val="16"/>
                <w:szCs w:val="16"/>
                <w:lang w:eastAsia="es-CR"/>
              </w:rPr>
              <w:t>Centro de Responsabilidad</w:t>
            </w:r>
            <w:r w:rsidRPr="00CF290F">
              <w:rPr>
                <w:rFonts w:ascii="Book Antiqua" w:eastAsia="Times New Roman" w:hAnsi="Book Antiqua" w:cs="Calibri Light"/>
                <w:b/>
                <w:bCs/>
                <w:color w:val="FFFFFF" w:themeColor="background1"/>
                <w:sz w:val="16"/>
                <w:szCs w:val="16"/>
                <w:lang w:eastAsia="es-CR"/>
              </w:rPr>
              <w:br/>
              <w:t>(a la que se le asigna el recurso)</w:t>
            </w:r>
          </w:p>
        </w:tc>
        <w:tc>
          <w:tcPr>
            <w:tcW w:w="1684" w:type="dxa"/>
            <w:tcBorders>
              <w:top w:val="single" w:sz="4" w:space="0" w:color="auto"/>
              <w:left w:val="nil"/>
              <w:bottom w:val="single" w:sz="4" w:space="0" w:color="auto"/>
              <w:right w:val="single" w:sz="4" w:space="0" w:color="auto"/>
            </w:tcBorders>
            <w:shd w:val="clear" w:color="auto" w:fill="002060"/>
            <w:vAlign w:val="center"/>
            <w:hideMark/>
          </w:tcPr>
          <w:p w14:paraId="57F34E54" w14:textId="77777777" w:rsidR="00CF290F" w:rsidRPr="00CF290F" w:rsidRDefault="00CF290F" w:rsidP="00CF290F">
            <w:pPr>
              <w:spacing w:after="0" w:line="240" w:lineRule="auto"/>
              <w:jc w:val="center"/>
              <w:rPr>
                <w:rFonts w:ascii="Book Antiqua" w:eastAsia="Times New Roman" w:hAnsi="Book Antiqua" w:cs="Calibri Light"/>
                <w:b/>
                <w:bCs/>
                <w:color w:val="FFFFFF" w:themeColor="background1"/>
                <w:sz w:val="16"/>
                <w:szCs w:val="16"/>
                <w:lang w:eastAsia="es-CR"/>
              </w:rPr>
            </w:pPr>
            <w:r w:rsidRPr="00CF290F">
              <w:rPr>
                <w:rFonts w:ascii="Book Antiqua" w:eastAsia="Times New Roman" w:hAnsi="Book Antiqua" w:cs="Calibri Light"/>
                <w:b/>
                <w:bCs/>
                <w:color w:val="FFFFFF" w:themeColor="background1"/>
                <w:sz w:val="16"/>
                <w:szCs w:val="16"/>
                <w:lang w:eastAsia="es-CR"/>
              </w:rPr>
              <w:t>Oficina</w:t>
            </w:r>
            <w:r w:rsidRPr="00CF290F">
              <w:rPr>
                <w:rFonts w:ascii="Book Antiqua" w:eastAsia="Times New Roman" w:hAnsi="Book Antiqua" w:cs="Calibri Light"/>
                <w:b/>
                <w:bCs/>
                <w:color w:val="FFFFFF" w:themeColor="background1"/>
                <w:sz w:val="16"/>
                <w:szCs w:val="16"/>
                <w:lang w:eastAsia="es-CR"/>
              </w:rPr>
              <w:br/>
              <w:t>(a la que se le asigna el recurso)</w:t>
            </w:r>
          </w:p>
        </w:tc>
        <w:tc>
          <w:tcPr>
            <w:tcW w:w="1015" w:type="dxa"/>
            <w:tcBorders>
              <w:top w:val="single" w:sz="4" w:space="0" w:color="auto"/>
              <w:left w:val="nil"/>
              <w:bottom w:val="single" w:sz="4" w:space="0" w:color="auto"/>
              <w:right w:val="single" w:sz="4" w:space="0" w:color="auto"/>
            </w:tcBorders>
            <w:shd w:val="clear" w:color="auto" w:fill="002060"/>
            <w:vAlign w:val="center"/>
            <w:hideMark/>
          </w:tcPr>
          <w:p w14:paraId="2C10D75D" w14:textId="77777777" w:rsidR="00CF290F" w:rsidRPr="00CF290F" w:rsidRDefault="00CF290F" w:rsidP="00CF290F">
            <w:pPr>
              <w:spacing w:after="0" w:line="240" w:lineRule="auto"/>
              <w:jc w:val="center"/>
              <w:rPr>
                <w:rFonts w:ascii="Book Antiqua" w:eastAsia="Times New Roman" w:hAnsi="Book Antiqua" w:cs="Calibri Light"/>
                <w:b/>
                <w:bCs/>
                <w:color w:val="FFFFFF" w:themeColor="background1"/>
                <w:sz w:val="16"/>
                <w:szCs w:val="16"/>
                <w:lang w:eastAsia="es-CR"/>
              </w:rPr>
            </w:pPr>
            <w:r w:rsidRPr="00CF290F">
              <w:rPr>
                <w:rFonts w:ascii="Book Antiqua" w:eastAsia="Times New Roman" w:hAnsi="Book Antiqua" w:cs="Calibri Light"/>
                <w:b/>
                <w:bCs/>
                <w:color w:val="FFFFFF" w:themeColor="background1"/>
                <w:sz w:val="16"/>
                <w:szCs w:val="16"/>
                <w:lang w:eastAsia="es-CR"/>
              </w:rPr>
              <w:t>Cantidad de PCGS</w:t>
            </w:r>
          </w:p>
        </w:tc>
        <w:tc>
          <w:tcPr>
            <w:tcW w:w="2056" w:type="dxa"/>
            <w:tcBorders>
              <w:top w:val="single" w:sz="4" w:space="0" w:color="auto"/>
              <w:left w:val="nil"/>
              <w:bottom w:val="single" w:sz="4" w:space="0" w:color="auto"/>
              <w:right w:val="single" w:sz="4" w:space="0" w:color="auto"/>
            </w:tcBorders>
            <w:shd w:val="clear" w:color="auto" w:fill="002060"/>
            <w:vAlign w:val="center"/>
            <w:hideMark/>
          </w:tcPr>
          <w:p w14:paraId="1D22E560" w14:textId="77777777" w:rsidR="00CF290F" w:rsidRPr="00CF290F" w:rsidRDefault="00CF290F" w:rsidP="00CF290F">
            <w:pPr>
              <w:spacing w:after="0" w:line="240" w:lineRule="auto"/>
              <w:jc w:val="center"/>
              <w:rPr>
                <w:rFonts w:ascii="Book Antiqua" w:eastAsia="Times New Roman" w:hAnsi="Book Antiqua" w:cs="Calibri Light"/>
                <w:b/>
                <w:bCs/>
                <w:color w:val="FFFFFF" w:themeColor="background1"/>
                <w:sz w:val="16"/>
                <w:szCs w:val="16"/>
                <w:lang w:eastAsia="es-CR"/>
              </w:rPr>
            </w:pPr>
            <w:r w:rsidRPr="00CF290F">
              <w:rPr>
                <w:rFonts w:ascii="Book Antiqua" w:eastAsia="Times New Roman" w:hAnsi="Book Antiqua" w:cs="Calibri Light"/>
                <w:b/>
                <w:bCs/>
                <w:color w:val="FFFFFF" w:themeColor="background1"/>
                <w:sz w:val="16"/>
                <w:szCs w:val="16"/>
                <w:lang w:eastAsia="es-CR"/>
              </w:rPr>
              <w:t>Tipo de Puesto</w:t>
            </w:r>
          </w:p>
        </w:tc>
        <w:tc>
          <w:tcPr>
            <w:tcW w:w="1260" w:type="dxa"/>
            <w:tcBorders>
              <w:top w:val="single" w:sz="4" w:space="0" w:color="auto"/>
              <w:left w:val="nil"/>
              <w:bottom w:val="single" w:sz="4" w:space="0" w:color="auto"/>
              <w:right w:val="single" w:sz="4" w:space="0" w:color="auto"/>
            </w:tcBorders>
            <w:shd w:val="clear" w:color="auto" w:fill="002060"/>
            <w:vAlign w:val="center"/>
            <w:hideMark/>
          </w:tcPr>
          <w:p w14:paraId="5EC65E81" w14:textId="77777777" w:rsidR="00CF290F" w:rsidRPr="00CF290F" w:rsidRDefault="00CF290F" w:rsidP="00CF290F">
            <w:pPr>
              <w:spacing w:after="0" w:line="240" w:lineRule="auto"/>
              <w:jc w:val="center"/>
              <w:rPr>
                <w:rFonts w:ascii="Book Antiqua" w:eastAsia="Times New Roman" w:hAnsi="Book Antiqua" w:cs="Calibri Light"/>
                <w:b/>
                <w:bCs/>
                <w:color w:val="FFFFFF" w:themeColor="background1"/>
                <w:sz w:val="16"/>
                <w:szCs w:val="16"/>
                <w:lang w:eastAsia="es-CR"/>
              </w:rPr>
            </w:pPr>
            <w:r w:rsidRPr="00CF290F">
              <w:rPr>
                <w:rFonts w:ascii="Book Antiqua" w:eastAsia="Times New Roman" w:hAnsi="Book Antiqua" w:cs="Calibri Light"/>
                <w:b/>
                <w:bCs/>
                <w:color w:val="FFFFFF" w:themeColor="background1"/>
                <w:sz w:val="16"/>
                <w:szCs w:val="16"/>
                <w:lang w:eastAsia="es-CR"/>
              </w:rPr>
              <w:t>Número de Plaza</w:t>
            </w:r>
          </w:p>
        </w:tc>
      </w:tr>
      <w:tr w:rsidR="00CF290F" w:rsidRPr="00CF290F" w14:paraId="0229795F" w14:textId="77777777" w:rsidTr="00413346">
        <w:trPr>
          <w:trHeight w:val="240"/>
          <w:jc w:val="center"/>
        </w:trPr>
        <w:tc>
          <w:tcPr>
            <w:tcW w:w="184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53D4C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927 Servicio Jurisdiccional</w:t>
            </w:r>
          </w:p>
        </w:tc>
        <w:tc>
          <w:tcPr>
            <w:tcW w:w="1704" w:type="dxa"/>
            <w:tcBorders>
              <w:top w:val="nil"/>
              <w:left w:val="nil"/>
              <w:bottom w:val="single" w:sz="4" w:space="0" w:color="auto"/>
              <w:right w:val="single" w:sz="4" w:space="0" w:color="auto"/>
            </w:tcBorders>
            <w:shd w:val="clear" w:color="000000" w:fill="FFFFFF"/>
            <w:vAlign w:val="center"/>
            <w:hideMark/>
          </w:tcPr>
          <w:p w14:paraId="1A15BF2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Administración de Puntarenas (Tribunal Penal)</w:t>
            </w:r>
          </w:p>
        </w:tc>
        <w:tc>
          <w:tcPr>
            <w:tcW w:w="1684" w:type="dxa"/>
            <w:tcBorders>
              <w:top w:val="nil"/>
              <w:left w:val="nil"/>
              <w:bottom w:val="single" w:sz="4" w:space="0" w:color="auto"/>
              <w:right w:val="single" w:sz="4" w:space="0" w:color="auto"/>
            </w:tcBorders>
            <w:shd w:val="clear" w:color="000000" w:fill="FFFFFF"/>
            <w:vAlign w:val="center"/>
            <w:hideMark/>
          </w:tcPr>
          <w:p w14:paraId="4F5379E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0588 TRIBUNAL DE PUNTARENAS</w:t>
            </w:r>
          </w:p>
        </w:tc>
        <w:tc>
          <w:tcPr>
            <w:tcW w:w="1015" w:type="dxa"/>
            <w:tcBorders>
              <w:top w:val="nil"/>
              <w:left w:val="nil"/>
              <w:bottom w:val="single" w:sz="4" w:space="0" w:color="auto"/>
              <w:right w:val="single" w:sz="4" w:space="0" w:color="auto"/>
            </w:tcBorders>
            <w:shd w:val="clear" w:color="auto" w:fill="auto"/>
            <w:vAlign w:val="center"/>
            <w:hideMark/>
          </w:tcPr>
          <w:p w14:paraId="5079B13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678FB02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000000" w:fill="FFFFFF"/>
            <w:hideMark/>
          </w:tcPr>
          <w:p w14:paraId="0E6635C5"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18CA799A"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0C21EAD6"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val="restart"/>
            <w:tcBorders>
              <w:top w:val="nil"/>
              <w:left w:val="single" w:sz="4" w:space="0" w:color="auto"/>
              <w:bottom w:val="single" w:sz="4" w:space="0" w:color="000000"/>
              <w:right w:val="single" w:sz="4" w:space="0" w:color="auto"/>
            </w:tcBorders>
            <w:shd w:val="clear" w:color="auto" w:fill="auto"/>
            <w:vAlign w:val="center"/>
            <w:hideMark/>
          </w:tcPr>
          <w:p w14:paraId="0C3AC58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Administración de Quepos (Tribunal Penal)</w:t>
            </w:r>
          </w:p>
        </w:tc>
        <w:tc>
          <w:tcPr>
            <w:tcW w:w="1684" w:type="dxa"/>
            <w:vMerge w:val="restart"/>
            <w:tcBorders>
              <w:top w:val="nil"/>
              <w:left w:val="single" w:sz="4" w:space="0" w:color="auto"/>
              <w:bottom w:val="single" w:sz="4" w:space="0" w:color="000000"/>
              <w:right w:val="single" w:sz="4" w:space="0" w:color="auto"/>
            </w:tcBorders>
            <w:shd w:val="clear" w:color="auto" w:fill="auto"/>
            <w:vAlign w:val="center"/>
            <w:hideMark/>
          </w:tcPr>
          <w:p w14:paraId="45B77AFC"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0588 TRIBUNAL DE PUNTARENAS, SEDE QUEPOS</w:t>
            </w:r>
          </w:p>
        </w:tc>
        <w:tc>
          <w:tcPr>
            <w:tcW w:w="1015" w:type="dxa"/>
            <w:tcBorders>
              <w:top w:val="nil"/>
              <w:left w:val="nil"/>
              <w:bottom w:val="single" w:sz="4" w:space="0" w:color="auto"/>
              <w:right w:val="single" w:sz="4" w:space="0" w:color="auto"/>
            </w:tcBorders>
            <w:shd w:val="clear" w:color="auto" w:fill="auto"/>
            <w:vAlign w:val="center"/>
            <w:hideMark/>
          </w:tcPr>
          <w:p w14:paraId="2AF5E8AC"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36EBDA3D"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JUEZ 4 </w:t>
            </w:r>
          </w:p>
        </w:tc>
        <w:tc>
          <w:tcPr>
            <w:tcW w:w="1260" w:type="dxa"/>
            <w:tcBorders>
              <w:top w:val="nil"/>
              <w:left w:val="nil"/>
              <w:bottom w:val="single" w:sz="4" w:space="0" w:color="auto"/>
              <w:right w:val="single" w:sz="4" w:space="0" w:color="auto"/>
            </w:tcBorders>
            <w:shd w:val="clear" w:color="auto" w:fill="auto"/>
            <w:hideMark/>
          </w:tcPr>
          <w:p w14:paraId="1120222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773F844E"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2AA7B71A"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7F283616"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44AFDB6F"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29820B7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7CFE9B6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JUEZ 4 </w:t>
            </w:r>
          </w:p>
        </w:tc>
        <w:tc>
          <w:tcPr>
            <w:tcW w:w="1260" w:type="dxa"/>
            <w:tcBorders>
              <w:top w:val="nil"/>
              <w:left w:val="nil"/>
              <w:bottom w:val="single" w:sz="4" w:space="0" w:color="auto"/>
              <w:right w:val="single" w:sz="4" w:space="0" w:color="auto"/>
            </w:tcBorders>
            <w:shd w:val="clear" w:color="auto" w:fill="auto"/>
            <w:hideMark/>
          </w:tcPr>
          <w:p w14:paraId="4E9CFA6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625FCE02"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5AC38F55"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1B5E9868"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1709902C"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64EC98E9" w14:textId="47CE535A" w:rsidR="00CF290F" w:rsidRPr="00CF290F" w:rsidRDefault="00794751" w:rsidP="00CF290F">
            <w:pPr>
              <w:spacing w:after="0" w:line="240" w:lineRule="auto"/>
              <w:jc w:val="center"/>
              <w:rPr>
                <w:rFonts w:ascii="Book Antiqua" w:eastAsia="Times New Roman" w:hAnsi="Book Antiqua" w:cs="Calibri Light"/>
                <w:color w:val="000000"/>
                <w:sz w:val="16"/>
                <w:szCs w:val="16"/>
                <w:lang w:eastAsia="es-CR"/>
              </w:rPr>
            </w:pPr>
            <w:r>
              <w:rPr>
                <w:rFonts w:ascii="Book Antiqua" w:eastAsia="Times New Roman" w:hAnsi="Book Antiqua" w:cs="Calibri Light"/>
                <w:color w:val="000000"/>
                <w:sz w:val="16"/>
                <w:szCs w:val="16"/>
                <w:lang w:eastAsia="es-CR"/>
              </w:rPr>
              <w:t>2</w:t>
            </w:r>
          </w:p>
        </w:tc>
        <w:tc>
          <w:tcPr>
            <w:tcW w:w="2056" w:type="dxa"/>
            <w:tcBorders>
              <w:top w:val="nil"/>
              <w:left w:val="nil"/>
              <w:bottom w:val="single" w:sz="4" w:space="0" w:color="auto"/>
              <w:right w:val="single" w:sz="4" w:space="0" w:color="auto"/>
            </w:tcBorders>
            <w:shd w:val="clear" w:color="000000" w:fill="FFFFFF"/>
            <w:vAlign w:val="center"/>
            <w:hideMark/>
          </w:tcPr>
          <w:p w14:paraId="63B313E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auto" w:fill="auto"/>
            <w:hideMark/>
          </w:tcPr>
          <w:p w14:paraId="6810AA3D"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4C7E3E07"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106F197E"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31A66E"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Administración de Santa Cruz (Tribunal Penal)</w:t>
            </w:r>
          </w:p>
        </w:tc>
        <w:tc>
          <w:tcPr>
            <w:tcW w:w="16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CA9185"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0578 TRIBUNAL DEL II CIRCUITO JUDICIAL DE GUANACASTE, SEDE SANTA CRUZ</w:t>
            </w:r>
          </w:p>
        </w:tc>
        <w:tc>
          <w:tcPr>
            <w:tcW w:w="1015" w:type="dxa"/>
            <w:tcBorders>
              <w:top w:val="nil"/>
              <w:left w:val="nil"/>
              <w:bottom w:val="single" w:sz="4" w:space="0" w:color="auto"/>
              <w:right w:val="single" w:sz="4" w:space="0" w:color="auto"/>
            </w:tcBorders>
            <w:shd w:val="clear" w:color="auto" w:fill="auto"/>
            <w:vAlign w:val="center"/>
            <w:hideMark/>
          </w:tcPr>
          <w:p w14:paraId="4E3D60B3"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23B39483"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JUEZ 4 </w:t>
            </w:r>
          </w:p>
        </w:tc>
        <w:tc>
          <w:tcPr>
            <w:tcW w:w="1260" w:type="dxa"/>
            <w:tcBorders>
              <w:top w:val="nil"/>
              <w:left w:val="nil"/>
              <w:bottom w:val="single" w:sz="4" w:space="0" w:color="auto"/>
              <w:right w:val="single" w:sz="4" w:space="0" w:color="auto"/>
            </w:tcBorders>
            <w:shd w:val="clear" w:color="000000" w:fill="FFFFFF"/>
            <w:hideMark/>
          </w:tcPr>
          <w:p w14:paraId="3B55252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96561</w:t>
            </w:r>
          </w:p>
        </w:tc>
      </w:tr>
      <w:tr w:rsidR="00CF290F" w:rsidRPr="00CF290F" w14:paraId="627C61FF"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221E609F"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026D7195"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3BAB0EFC"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2C6AB9A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15623AC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JUEZ 4 </w:t>
            </w:r>
          </w:p>
        </w:tc>
        <w:tc>
          <w:tcPr>
            <w:tcW w:w="1260" w:type="dxa"/>
            <w:tcBorders>
              <w:top w:val="nil"/>
              <w:left w:val="nil"/>
              <w:bottom w:val="single" w:sz="4" w:space="0" w:color="auto"/>
              <w:right w:val="single" w:sz="4" w:space="0" w:color="auto"/>
            </w:tcBorders>
            <w:shd w:val="clear" w:color="000000" w:fill="FFFFFF"/>
            <w:hideMark/>
          </w:tcPr>
          <w:p w14:paraId="7475B3B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34274</w:t>
            </w:r>
          </w:p>
        </w:tc>
      </w:tr>
      <w:tr w:rsidR="00CF290F" w:rsidRPr="00CF290F" w14:paraId="7CFA020F"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58C870D7"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1C9DD5F4"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6E25B00E"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36DFEEB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47D4BB7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000000" w:fill="FFFFFF"/>
            <w:hideMark/>
          </w:tcPr>
          <w:p w14:paraId="4728A2C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96562</w:t>
            </w:r>
          </w:p>
        </w:tc>
      </w:tr>
      <w:tr w:rsidR="00CF290F" w:rsidRPr="00CF290F" w14:paraId="1513EB03"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1E2E021F"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66141EB9"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2CEB99A4"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6571FAC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60AE61BC"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000000" w:fill="FFFFFF"/>
            <w:hideMark/>
          </w:tcPr>
          <w:p w14:paraId="1CE8410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44845</w:t>
            </w:r>
          </w:p>
        </w:tc>
      </w:tr>
      <w:tr w:rsidR="00CF290F" w:rsidRPr="00CF290F" w14:paraId="0210B34E"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382B856B"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78AA1D9A"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000000" w:fill="FFFFFF"/>
            <w:vAlign w:val="center"/>
            <w:hideMark/>
          </w:tcPr>
          <w:p w14:paraId="313EA4F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1213 TRIBUNAL DE APELACION DE </w:t>
            </w:r>
            <w:r w:rsidRPr="00CF290F">
              <w:rPr>
                <w:rFonts w:ascii="Book Antiqua" w:eastAsia="Times New Roman" w:hAnsi="Book Antiqua" w:cs="Calibri Light"/>
                <w:color w:val="000000"/>
                <w:sz w:val="16"/>
                <w:szCs w:val="16"/>
                <w:lang w:eastAsia="es-CR"/>
              </w:rPr>
              <w:lastRenderedPageBreak/>
              <w:t>SENTENCIA PENAL DE GUANACASTE</w:t>
            </w:r>
          </w:p>
        </w:tc>
        <w:tc>
          <w:tcPr>
            <w:tcW w:w="1015" w:type="dxa"/>
            <w:tcBorders>
              <w:top w:val="nil"/>
              <w:left w:val="nil"/>
              <w:bottom w:val="single" w:sz="4" w:space="0" w:color="auto"/>
              <w:right w:val="single" w:sz="4" w:space="0" w:color="auto"/>
            </w:tcBorders>
            <w:shd w:val="clear" w:color="auto" w:fill="auto"/>
            <w:vAlign w:val="center"/>
            <w:hideMark/>
          </w:tcPr>
          <w:p w14:paraId="4B4A7F1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lastRenderedPageBreak/>
              <w:t>1</w:t>
            </w:r>
          </w:p>
        </w:tc>
        <w:tc>
          <w:tcPr>
            <w:tcW w:w="2056" w:type="dxa"/>
            <w:tcBorders>
              <w:top w:val="nil"/>
              <w:left w:val="nil"/>
              <w:bottom w:val="single" w:sz="4" w:space="0" w:color="auto"/>
              <w:right w:val="single" w:sz="4" w:space="0" w:color="auto"/>
            </w:tcBorders>
            <w:shd w:val="clear" w:color="000000" w:fill="FFFFFF"/>
            <w:vAlign w:val="center"/>
            <w:hideMark/>
          </w:tcPr>
          <w:p w14:paraId="03FAE23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000000" w:fill="FFFFFF"/>
            <w:hideMark/>
          </w:tcPr>
          <w:p w14:paraId="4AC4FC5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352665</w:t>
            </w:r>
          </w:p>
        </w:tc>
      </w:tr>
      <w:tr w:rsidR="00CF290F" w:rsidRPr="00CF290F" w14:paraId="15E3A421"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55BB5ED2"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03193E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Administración de Sarapiquí (Tribunal Penal)</w:t>
            </w:r>
          </w:p>
        </w:tc>
        <w:tc>
          <w:tcPr>
            <w:tcW w:w="16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904E2A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0912 TRIBUNAL DE HEREDIA, SEDE SARAPIQUI</w:t>
            </w:r>
          </w:p>
        </w:tc>
        <w:tc>
          <w:tcPr>
            <w:tcW w:w="1015" w:type="dxa"/>
            <w:tcBorders>
              <w:top w:val="nil"/>
              <w:left w:val="nil"/>
              <w:bottom w:val="single" w:sz="4" w:space="0" w:color="auto"/>
              <w:right w:val="single" w:sz="4" w:space="0" w:color="auto"/>
            </w:tcBorders>
            <w:shd w:val="clear" w:color="auto" w:fill="auto"/>
            <w:vAlign w:val="center"/>
            <w:hideMark/>
          </w:tcPr>
          <w:p w14:paraId="2B792985"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623A93E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JUEZ 4 </w:t>
            </w:r>
          </w:p>
        </w:tc>
        <w:tc>
          <w:tcPr>
            <w:tcW w:w="1260" w:type="dxa"/>
            <w:tcBorders>
              <w:top w:val="nil"/>
              <w:left w:val="nil"/>
              <w:bottom w:val="single" w:sz="4" w:space="0" w:color="auto"/>
              <w:right w:val="single" w:sz="4" w:space="0" w:color="auto"/>
            </w:tcBorders>
            <w:shd w:val="clear" w:color="000000" w:fill="FFFFFF"/>
            <w:hideMark/>
          </w:tcPr>
          <w:p w14:paraId="7C48F4C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103147</w:t>
            </w:r>
          </w:p>
        </w:tc>
      </w:tr>
      <w:tr w:rsidR="00CF290F" w:rsidRPr="00CF290F" w14:paraId="7DF474FE"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591C490C"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2D2B4101"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6F698F90"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3FB57D1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308D169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000000" w:fill="FFFFFF"/>
            <w:hideMark/>
          </w:tcPr>
          <w:p w14:paraId="2FA8E8B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103691</w:t>
            </w:r>
          </w:p>
        </w:tc>
      </w:tr>
      <w:tr w:rsidR="00CF290F" w:rsidRPr="00CF290F" w14:paraId="5DD17887"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26391D2D"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78210636"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25F82EAB"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3D232313"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0805584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SUPERNUMERARIO</w:t>
            </w:r>
          </w:p>
        </w:tc>
        <w:tc>
          <w:tcPr>
            <w:tcW w:w="1260" w:type="dxa"/>
            <w:tcBorders>
              <w:top w:val="nil"/>
              <w:left w:val="nil"/>
              <w:bottom w:val="single" w:sz="4" w:space="0" w:color="auto"/>
              <w:right w:val="single" w:sz="4" w:space="0" w:color="auto"/>
            </w:tcBorders>
            <w:shd w:val="clear" w:color="000000" w:fill="FFFFFF"/>
            <w:hideMark/>
          </w:tcPr>
          <w:p w14:paraId="5018ADD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352709</w:t>
            </w:r>
          </w:p>
        </w:tc>
      </w:tr>
      <w:tr w:rsidR="00CF290F" w:rsidRPr="00CF290F" w14:paraId="5428ABAD"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4809BD11"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38A70FD7"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7C177CB3"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2C17D7D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29BF18E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JUEZ 4 </w:t>
            </w:r>
          </w:p>
        </w:tc>
        <w:tc>
          <w:tcPr>
            <w:tcW w:w="1260" w:type="dxa"/>
            <w:tcBorders>
              <w:top w:val="nil"/>
              <w:left w:val="nil"/>
              <w:bottom w:val="single" w:sz="4" w:space="0" w:color="auto"/>
              <w:right w:val="single" w:sz="4" w:space="0" w:color="auto"/>
            </w:tcBorders>
            <w:shd w:val="clear" w:color="auto" w:fill="auto"/>
            <w:hideMark/>
          </w:tcPr>
          <w:p w14:paraId="232B6E0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31180FD6"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374F0156"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6CF312E3"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442875B7"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5F38D30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2203D24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auto" w:fill="auto"/>
            <w:hideMark/>
          </w:tcPr>
          <w:p w14:paraId="07A71D3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205618E4"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03244436"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21597953"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0090375B"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37A84C2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4E7DCFC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auto" w:fill="auto"/>
            <w:hideMark/>
          </w:tcPr>
          <w:p w14:paraId="4B97F9C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577E15A7"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2205B540"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0072A9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Administración de Turrialba (Tribunal Penal)</w:t>
            </w:r>
          </w:p>
        </w:tc>
        <w:tc>
          <w:tcPr>
            <w:tcW w:w="16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DF9FAF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0563 TRIBUNAL DE CARTAGO, SEDE TURRIALBA</w:t>
            </w:r>
          </w:p>
        </w:tc>
        <w:tc>
          <w:tcPr>
            <w:tcW w:w="1015" w:type="dxa"/>
            <w:tcBorders>
              <w:top w:val="nil"/>
              <w:left w:val="nil"/>
              <w:bottom w:val="single" w:sz="4" w:space="0" w:color="auto"/>
              <w:right w:val="single" w:sz="4" w:space="0" w:color="auto"/>
            </w:tcBorders>
            <w:shd w:val="clear" w:color="auto" w:fill="auto"/>
            <w:vAlign w:val="center"/>
            <w:hideMark/>
          </w:tcPr>
          <w:p w14:paraId="3A1D7EDE"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1898D9C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JUEZ 4 </w:t>
            </w:r>
          </w:p>
        </w:tc>
        <w:tc>
          <w:tcPr>
            <w:tcW w:w="1260" w:type="dxa"/>
            <w:tcBorders>
              <w:top w:val="nil"/>
              <w:left w:val="nil"/>
              <w:bottom w:val="single" w:sz="4" w:space="0" w:color="auto"/>
              <w:right w:val="single" w:sz="4" w:space="0" w:color="auto"/>
            </w:tcBorders>
            <w:shd w:val="clear" w:color="000000" w:fill="FFFFFF"/>
            <w:hideMark/>
          </w:tcPr>
          <w:p w14:paraId="3AE7539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111540</w:t>
            </w:r>
          </w:p>
        </w:tc>
      </w:tr>
      <w:tr w:rsidR="00CF290F" w:rsidRPr="00CF290F" w14:paraId="74C7E5B9"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1B118D0C"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0B5CD5FC"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0389E91C"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5CC0925D"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62BBE6A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000000" w:fill="FFFFFF"/>
            <w:hideMark/>
          </w:tcPr>
          <w:p w14:paraId="5D8C91F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113630</w:t>
            </w:r>
          </w:p>
        </w:tc>
      </w:tr>
      <w:tr w:rsidR="00CF290F" w:rsidRPr="00CF290F" w14:paraId="7FF4DC94"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33C4F13B"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25672433"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00E4821C"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59602DE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59CD1C6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000000" w:fill="FFFFFF"/>
            <w:hideMark/>
          </w:tcPr>
          <w:p w14:paraId="2CC796E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44672</w:t>
            </w:r>
          </w:p>
        </w:tc>
      </w:tr>
      <w:tr w:rsidR="00CF290F" w:rsidRPr="00CF290F" w14:paraId="76B99B56"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6FBF1099"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tcBorders>
              <w:top w:val="nil"/>
              <w:left w:val="nil"/>
              <w:bottom w:val="single" w:sz="4" w:space="0" w:color="auto"/>
              <w:right w:val="single" w:sz="4" w:space="0" w:color="auto"/>
            </w:tcBorders>
            <w:shd w:val="clear" w:color="000000" w:fill="FFFFFF"/>
            <w:vAlign w:val="center"/>
            <w:hideMark/>
          </w:tcPr>
          <w:p w14:paraId="0FECC11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Circuito Judicial Puntarenas</w:t>
            </w:r>
          </w:p>
        </w:tc>
        <w:tc>
          <w:tcPr>
            <w:tcW w:w="1684" w:type="dxa"/>
            <w:tcBorders>
              <w:top w:val="nil"/>
              <w:left w:val="nil"/>
              <w:bottom w:val="single" w:sz="4" w:space="0" w:color="auto"/>
              <w:right w:val="single" w:sz="4" w:space="0" w:color="auto"/>
            </w:tcBorders>
            <w:shd w:val="clear" w:color="000000" w:fill="FFFFFF"/>
            <w:vAlign w:val="center"/>
            <w:hideMark/>
          </w:tcPr>
          <w:p w14:paraId="08B8141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0796 JUZGADO PENAL DE GARABITO</w:t>
            </w:r>
          </w:p>
        </w:tc>
        <w:tc>
          <w:tcPr>
            <w:tcW w:w="1015" w:type="dxa"/>
            <w:tcBorders>
              <w:top w:val="nil"/>
              <w:left w:val="nil"/>
              <w:bottom w:val="single" w:sz="4" w:space="0" w:color="auto"/>
              <w:right w:val="single" w:sz="4" w:space="0" w:color="auto"/>
            </w:tcBorders>
            <w:shd w:val="clear" w:color="auto" w:fill="auto"/>
            <w:vAlign w:val="center"/>
            <w:hideMark/>
          </w:tcPr>
          <w:p w14:paraId="18E707C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72212B5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2</w:t>
            </w:r>
          </w:p>
        </w:tc>
        <w:tc>
          <w:tcPr>
            <w:tcW w:w="1260" w:type="dxa"/>
            <w:tcBorders>
              <w:top w:val="nil"/>
              <w:left w:val="nil"/>
              <w:bottom w:val="single" w:sz="4" w:space="0" w:color="auto"/>
              <w:right w:val="single" w:sz="4" w:space="0" w:color="auto"/>
            </w:tcBorders>
            <w:shd w:val="clear" w:color="000000" w:fill="FFFFFF"/>
            <w:hideMark/>
          </w:tcPr>
          <w:p w14:paraId="7D88733B"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96595</w:t>
            </w:r>
          </w:p>
        </w:tc>
      </w:tr>
      <w:tr w:rsidR="00CF290F" w:rsidRPr="00CF290F" w14:paraId="16B111FC" w14:textId="77777777" w:rsidTr="00413346">
        <w:trPr>
          <w:trHeight w:val="260"/>
          <w:jc w:val="center"/>
        </w:trPr>
        <w:tc>
          <w:tcPr>
            <w:tcW w:w="1841" w:type="dxa"/>
            <w:vMerge/>
            <w:tcBorders>
              <w:top w:val="nil"/>
              <w:left w:val="single" w:sz="4" w:space="0" w:color="auto"/>
              <w:bottom w:val="single" w:sz="4" w:space="0" w:color="000000"/>
              <w:right w:val="single" w:sz="4" w:space="0" w:color="auto"/>
            </w:tcBorders>
            <w:vAlign w:val="center"/>
            <w:hideMark/>
          </w:tcPr>
          <w:p w14:paraId="49892AA7"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tcBorders>
              <w:top w:val="nil"/>
              <w:left w:val="nil"/>
              <w:bottom w:val="single" w:sz="4" w:space="0" w:color="auto"/>
              <w:right w:val="single" w:sz="4" w:space="0" w:color="auto"/>
            </w:tcBorders>
            <w:shd w:val="clear" w:color="000000" w:fill="FFFFFF"/>
            <w:vAlign w:val="center"/>
            <w:hideMark/>
          </w:tcPr>
          <w:p w14:paraId="2E361E9D"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c>
          <w:tcPr>
            <w:tcW w:w="1684" w:type="dxa"/>
            <w:tcBorders>
              <w:top w:val="nil"/>
              <w:left w:val="nil"/>
              <w:bottom w:val="single" w:sz="4" w:space="0" w:color="auto"/>
              <w:right w:val="single" w:sz="4" w:space="0" w:color="auto"/>
            </w:tcBorders>
            <w:shd w:val="clear" w:color="000000" w:fill="FFFFFF"/>
            <w:vAlign w:val="center"/>
            <w:hideMark/>
          </w:tcPr>
          <w:p w14:paraId="6D412D9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c>
          <w:tcPr>
            <w:tcW w:w="1015" w:type="dxa"/>
            <w:tcBorders>
              <w:top w:val="nil"/>
              <w:left w:val="nil"/>
              <w:bottom w:val="single" w:sz="4" w:space="0" w:color="auto"/>
              <w:right w:val="single" w:sz="4" w:space="0" w:color="auto"/>
            </w:tcBorders>
            <w:shd w:val="clear" w:color="000000" w:fill="FFFFFF"/>
            <w:vAlign w:val="center"/>
            <w:hideMark/>
          </w:tcPr>
          <w:p w14:paraId="78801CA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65D72DAB"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JUEZ 1 </w:t>
            </w:r>
          </w:p>
        </w:tc>
        <w:tc>
          <w:tcPr>
            <w:tcW w:w="1260" w:type="dxa"/>
            <w:tcBorders>
              <w:top w:val="nil"/>
              <w:left w:val="nil"/>
              <w:bottom w:val="single" w:sz="4" w:space="0" w:color="auto"/>
              <w:right w:val="single" w:sz="4" w:space="0" w:color="auto"/>
            </w:tcBorders>
            <w:shd w:val="clear" w:color="000000" w:fill="FFFFFF"/>
            <w:hideMark/>
          </w:tcPr>
          <w:p w14:paraId="0AFFE99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120B183C" w14:textId="77777777" w:rsidTr="00413346">
        <w:trPr>
          <w:trHeight w:val="460"/>
          <w:jc w:val="center"/>
        </w:trPr>
        <w:tc>
          <w:tcPr>
            <w:tcW w:w="1841" w:type="dxa"/>
            <w:vMerge/>
            <w:tcBorders>
              <w:top w:val="nil"/>
              <w:left w:val="single" w:sz="4" w:space="0" w:color="auto"/>
              <w:bottom w:val="single" w:sz="4" w:space="0" w:color="000000"/>
              <w:right w:val="single" w:sz="4" w:space="0" w:color="auto"/>
            </w:tcBorders>
            <w:vAlign w:val="center"/>
            <w:hideMark/>
          </w:tcPr>
          <w:p w14:paraId="220BB901"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tcBorders>
              <w:top w:val="nil"/>
              <w:left w:val="nil"/>
              <w:bottom w:val="single" w:sz="4" w:space="0" w:color="auto"/>
              <w:right w:val="single" w:sz="4" w:space="0" w:color="auto"/>
            </w:tcBorders>
            <w:shd w:val="clear" w:color="000000" w:fill="FFFFFF"/>
            <w:vAlign w:val="center"/>
            <w:hideMark/>
          </w:tcPr>
          <w:p w14:paraId="36C527A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c>
          <w:tcPr>
            <w:tcW w:w="1684" w:type="dxa"/>
            <w:tcBorders>
              <w:top w:val="nil"/>
              <w:left w:val="nil"/>
              <w:bottom w:val="single" w:sz="4" w:space="0" w:color="auto"/>
              <w:right w:val="single" w:sz="4" w:space="0" w:color="auto"/>
            </w:tcBorders>
            <w:shd w:val="clear" w:color="000000" w:fill="FFFFFF"/>
            <w:vAlign w:val="center"/>
            <w:hideMark/>
          </w:tcPr>
          <w:p w14:paraId="448E94F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c>
          <w:tcPr>
            <w:tcW w:w="1015" w:type="dxa"/>
            <w:tcBorders>
              <w:top w:val="nil"/>
              <w:left w:val="nil"/>
              <w:bottom w:val="single" w:sz="4" w:space="0" w:color="auto"/>
              <w:right w:val="single" w:sz="4" w:space="0" w:color="auto"/>
            </w:tcBorders>
            <w:shd w:val="clear" w:color="auto" w:fill="auto"/>
            <w:vAlign w:val="center"/>
            <w:hideMark/>
          </w:tcPr>
          <w:p w14:paraId="2CF5D87E"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6E7F30E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000000" w:fill="FFFFFF"/>
            <w:hideMark/>
          </w:tcPr>
          <w:p w14:paraId="2084645D"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169B18D0" w14:textId="77777777" w:rsidTr="00413346">
        <w:trPr>
          <w:trHeight w:val="460"/>
          <w:jc w:val="center"/>
        </w:trPr>
        <w:tc>
          <w:tcPr>
            <w:tcW w:w="1841" w:type="dxa"/>
            <w:vMerge/>
            <w:tcBorders>
              <w:top w:val="nil"/>
              <w:left w:val="single" w:sz="4" w:space="0" w:color="auto"/>
              <w:bottom w:val="single" w:sz="4" w:space="0" w:color="000000"/>
              <w:right w:val="single" w:sz="4" w:space="0" w:color="auto"/>
            </w:tcBorders>
            <w:vAlign w:val="center"/>
            <w:hideMark/>
          </w:tcPr>
          <w:p w14:paraId="4EAD5E1C"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val="restart"/>
            <w:tcBorders>
              <w:top w:val="nil"/>
              <w:left w:val="single" w:sz="4" w:space="0" w:color="auto"/>
              <w:bottom w:val="nil"/>
              <w:right w:val="single" w:sz="4" w:space="0" w:color="auto"/>
            </w:tcBorders>
            <w:shd w:val="clear" w:color="000000" w:fill="FFFFFF"/>
            <w:vAlign w:val="center"/>
            <w:hideMark/>
          </w:tcPr>
          <w:p w14:paraId="6C00275E"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  (Delitos Sexuales)</w:t>
            </w:r>
          </w:p>
        </w:tc>
        <w:tc>
          <w:tcPr>
            <w:tcW w:w="1684" w:type="dxa"/>
            <w:vMerge w:val="restart"/>
            <w:tcBorders>
              <w:top w:val="nil"/>
              <w:left w:val="single" w:sz="4" w:space="0" w:color="auto"/>
              <w:bottom w:val="nil"/>
              <w:right w:val="single" w:sz="4" w:space="0" w:color="auto"/>
            </w:tcBorders>
            <w:shd w:val="clear" w:color="000000" w:fill="FFFFFF"/>
            <w:vAlign w:val="center"/>
            <w:hideMark/>
          </w:tcPr>
          <w:p w14:paraId="5CF3412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TRIBUNAL PENAL (Delitos Sexuales)</w:t>
            </w:r>
          </w:p>
        </w:tc>
        <w:tc>
          <w:tcPr>
            <w:tcW w:w="1015" w:type="dxa"/>
            <w:tcBorders>
              <w:top w:val="nil"/>
              <w:left w:val="nil"/>
              <w:bottom w:val="nil"/>
              <w:right w:val="single" w:sz="4" w:space="0" w:color="auto"/>
            </w:tcBorders>
            <w:shd w:val="clear" w:color="auto" w:fill="auto"/>
            <w:vAlign w:val="center"/>
            <w:hideMark/>
          </w:tcPr>
          <w:p w14:paraId="7B164BC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4</w:t>
            </w:r>
          </w:p>
        </w:tc>
        <w:tc>
          <w:tcPr>
            <w:tcW w:w="2056" w:type="dxa"/>
            <w:tcBorders>
              <w:top w:val="nil"/>
              <w:left w:val="nil"/>
              <w:bottom w:val="single" w:sz="4" w:space="0" w:color="auto"/>
              <w:right w:val="single" w:sz="4" w:space="0" w:color="auto"/>
            </w:tcBorders>
            <w:shd w:val="clear" w:color="auto" w:fill="auto"/>
            <w:vAlign w:val="center"/>
            <w:hideMark/>
          </w:tcPr>
          <w:p w14:paraId="216510DE"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JUEZ 1 </w:t>
            </w:r>
          </w:p>
        </w:tc>
        <w:tc>
          <w:tcPr>
            <w:tcW w:w="1260" w:type="dxa"/>
            <w:tcBorders>
              <w:top w:val="nil"/>
              <w:left w:val="nil"/>
              <w:bottom w:val="single" w:sz="4" w:space="0" w:color="auto"/>
              <w:right w:val="single" w:sz="4" w:space="0" w:color="auto"/>
            </w:tcBorders>
            <w:shd w:val="clear" w:color="000000" w:fill="FFFFFF"/>
            <w:hideMark/>
          </w:tcPr>
          <w:p w14:paraId="3D44E1E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2F1C6B01" w14:textId="77777777" w:rsidTr="00413346">
        <w:trPr>
          <w:trHeight w:val="460"/>
          <w:jc w:val="center"/>
        </w:trPr>
        <w:tc>
          <w:tcPr>
            <w:tcW w:w="1841" w:type="dxa"/>
            <w:vMerge/>
            <w:tcBorders>
              <w:top w:val="nil"/>
              <w:left w:val="single" w:sz="4" w:space="0" w:color="auto"/>
              <w:bottom w:val="single" w:sz="4" w:space="0" w:color="000000"/>
              <w:right w:val="single" w:sz="4" w:space="0" w:color="auto"/>
            </w:tcBorders>
            <w:vAlign w:val="center"/>
            <w:hideMark/>
          </w:tcPr>
          <w:p w14:paraId="57139863"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nil"/>
              <w:right w:val="single" w:sz="4" w:space="0" w:color="auto"/>
            </w:tcBorders>
            <w:vAlign w:val="center"/>
            <w:hideMark/>
          </w:tcPr>
          <w:p w14:paraId="25C9E9FB"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nil"/>
              <w:right w:val="single" w:sz="4" w:space="0" w:color="auto"/>
            </w:tcBorders>
            <w:vAlign w:val="center"/>
            <w:hideMark/>
          </w:tcPr>
          <w:p w14:paraId="4E21F7C2"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single" w:sz="4" w:space="0" w:color="auto"/>
              <w:left w:val="nil"/>
              <w:bottom w:val="nil"/>
              <w:right w:val="single" w:sz="4" w:space="0" w:color="auto"/>
            </w:tcBorders>
            <w:shd w:val="clear" w:color="auto" w:fill="auto"/>
            <w:vAlign w:val="center"/>
            <w:hideMark/>
          </w:tcPr>
          <w:p w14:paraId="082AA273"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12</w:t>
            </w:r>
          </w:p>
        </w:tc>
        <w:tc>
          <w:tcPr>
            <w:tcW w:w="2056" w:type="dxa"/>
            <w:tcBorders>
              <w:top w:val="nil"/>
              <w:left w:val="nil"/>
              <w:bottom w:val="single" w:sz="4" w:space="0" w:color="auto"/>
              <w:right w:val="single" w:sz="4" w:space="0" w:color="auto"/>
            </w:tcBorders>
            <w:shd w:val="clear" w:color="auto" w:fill="auto"/>
            <w:vAlign w:val="center"/>
            <w:hideMark/>
          </w:tcPr>
          <w:p w14:paraId="66A6C88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JUEZ 4 </w:t>
            </w:r>
          </w:p>
        </w:tc>
        <w:tc>
          <w:tcPr>
            <w:tcW w:w="1260" w:type="dxa"/>
            <w:tcBorders>
              <w:top w:val="nil"/>
              <w:left w:val="nil"/>
              <w:bottom w:val="single" w:sz="4" w:space="0" w:color="auto"/>
              <w:right w:val="single" w:sz="4" w:space="0" w:color="auto"/>
            </w:tcBorders>
            <w:shd w:val="clear" w:color="000000" w:fill="FFFFFF"/>
            <w:hideMark/>
          </w:tcPr>
          <w:p w14:paraId="2766D595"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04A30C08" w14:textId="77777777" w:rsidTr="00413346">
        <w:trPr>
          <w:trHeight w:val="460"/>
          <w:jc w:val="center"/>
        </w:trPr>
        <w:tc>
          <w:tcPr>
            <w:tcW w:w="1841" w:type="dxa"/>
            <w:vMerge/>
            <w:tcBorders>
              <w:top w:val="nil"/>
              <w:left w:val="single" w:sz="4" w:space="0" w:color="auto"/>
              <w:bottom w:val="single" w:sz="4" w:space="0" w:color="000000"/>
              <w:right w:val="single" w:sz="4" w:space="0" w:color="auto"/>
            </w:tcBorders>
            <w:vAlign w:val="center"/>
            <w:hideMark/>
          </w:tcPr>
          <w:p w14:paraId="7041CFD7"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nil"/>
              <w:right w:val="single" w:sz="4" w:space="0" w:color="auto"/>
            </w:tcBorders>
            <w:vAlign w:val="center"/>
            <w:hideMark/>
          </w:tcPr>
          <w:p w14:paraId="27CF5A13"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nil"/>
              <w:right w:val="single" w:sz="4" w:space="0" w:color="auto"/>
            </w:tcBorders>
            <w:vAlign w:val="center"/>
            <w:hideMark/>
          </w:tcPr>
          <w:p w14:paraId="58BF6531"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single" w:sz="4" w:space="0" w:color="auto"/>
              <w:left w:val="nil"/>
              <w:bottom w:val="nil"/>
              <w:right w:val="single" w:sz="4" w:space="0" w:color="auto"/>
            </w:tcBorders>
            <w:shd w:val="clear" w:color="auto" w:fill="auto"/>
            <w:vAlign w:val="center"/>
            <w:hideMark/>
          </w:tcPr>
          <w:p w14:paraId="4199DDEB"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8</w:t>
            </w:r>
          </w:p>
        </w:tc>
        <w:tc>
          <w:tcPr>
            <w:tcW w:w="2056" w:type="dxa"/>
            <w:tcBorders>
              <w:top w:val="nil"/>
              <w:left w:val="nil"/>
              <w:bottom w:val="single" w:sz="4" w:space="0" w:color="auto"/>
              <w:right w:val="single" w:sz="4" w:space="0" w:color="auto"/>
            </w:tcBorders>
            <w:shd w:val="clear" w:color="000000" w:fill="FFFFFF"/>
            <w:vAlign w:val="center"/>
            <w:hideMark/>
          </w:tcPr>
          <w:p w14:paraId="46E3676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000000" w:fill="FFFFFF"/>
            <w:hideMark/>
          </w:tcPr>
          <w:p w14:paraId="1D02848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088D2C4A" w14:textId="77777777" w:rsidTr="00334B79">
        <w:trPr>
          <w:trHeight w:val="460"/>
          <w:jc w:val="center"/>
        </w:trPr>
        <w:tc>
          <w:tcPr>
            <w:tcW w:w="1841" w:type="dxa"/>
            <w:vMerge/>
            <w:tcBorders>
              <w:top w:val="nil"/>
              <w:left w:val="single" w:sz="4" w:space="0" w:color="auto"/>
              <w:bottom w:val="single" w:sz="4" w:space="0" w:color="000000"/>
              <w:right w:val="single" w:sz="4" w:space="0" w:color="auto"/>
            </w:tcBorders>
            <w:vAlign w:val="center"/>
            <w:hideMark/>
          </w:tcPr>
          <w:p w14:paraId="7E115257"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tcBorders>
              <w:top w:val="single" w:sz="4" w:space="0" w:color="auto"/>
              <w:left w:val="single" w:sz="4" w:space="0" w:color="auto"/>
              <w:bottom w:val="single" w:sz="4" w:space="0" w:color="000000"/>
              <w:right w:val="single" w:sz="4" w:space="0" w:color="auto"/>
            </w:tcBorders>
            <w:shd w:val="clear" w:color="000000" w:fill="FFFFFF"/>
            <w:vAlign w:val="center"/>
            <w:hideMark/>
          </w:tcPr>
          <w:p w14:paraId="7990BFB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Primer Circuito Judicial Alajuela (Tribunal Penal)</w:t>
            </w:r>
          </w:p>
        </w:tc>
        <w:tc>
          <w:tcPr>
            <w:tcW w:w="1684" w:type="dxa"/>
            <w:tcBorders>
              <w:top w:val="single" w:sz="4" w:space="0" w:color="auto"/>
              <w:left w:val="single" w:sz="4" w:space="0" w:color="auto"/>
              <w:bottom w:val="single" w:sz="4" w:space="0" w:color="000000"/>
              <w:right w:val="single" w:sz="4" w:space="0" w:color="auto"/>
            </w:tcBorders>
            <w:shd w:val="clear" w:color="000000" w:fill="FFFFFF"/>
            <w:vAlign w:val="center"/>
            <w:hideMark/>
          </w:tcPr>
          <w:p w14:paraId="4118209B"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0285 TRIBUNAL DEL I CIRCUITO JUDICIAL DE ALAJUELA</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14:paraId="55A7B2A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1D7D6A1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JUEZ 4 </w:t>
            </w:r>
          </w:p>
        </w:tc>
        <w:tc>
          <w:tcPr>
            <w:tcW w:w="1260" w:type="dxa"/>
            <w:tcBorders>
              <w:top w:val="nil"/>
              <w:left w:val="nil"/>
              <w:bottom w:val="single" w:sz="4" w:space="0" w:color="auto"/>
              <w:right w:val="single" w:sz="4" w:space="0" w:color="auto"/>
            </w:tcBorders>
            <w:shd w:val="clear" w:color="000000" w:fill="FFFFFF"/>
            <w:vAlign w:val="center"/>
            <w:hideMark/>
          </w:tcPr>
          <w:p w14:paraId="6F5AC6E5"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372024</w:t>
            </w:r>
          </w:p>
        </w:tc>
      </w:tr>
      <w:tr w:rsidR="00CF290F" w:rsidRPr="00CF290F" w14:paraId="53F88568"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4289D523"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CC27B3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Primer Circuito Judicial Guanacaste (Tribunal Penal)</w:t>
            </w:r>
          </w:p>
        </w:tc>
        <w:tc>
          <w:tcPr>
            <w:tcW w:w="1684" w:type="dxa"/>
            <w:tcBorders>
              <w:top w:val="nil"/>
              <w:left w:val="nil"/>
              <w:bottom w:val="single" w:sz="4" w:space="0" w:color="auto"/>
              <w:right w:val="single" w:sz="4" w:space="0" w:color="auto"/>
            </w:tcBorders>
            <w:shd w:val="clear" w:color="000000" w:fill="FFFFFF"/>
            <w:vAlign w:val="center"/>
            <w:hideMark/>
          </w:tcPr>
          <w:p w14:paraId="0BFD4B6B"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0384 TRIBUNAL I CIRCUITO JUDICIAL GUANACASTE</w:t>
            </w:r>
          </w:p>
        </w:tc>
        <w:tc>
          <w:tcPr>
            <w:tcW w:w="1015" w:type="dxa"/>
            <w:tcBorders>
              <w:top w:val="nil"/>
              <w:left w:val="nil"/>
              <w:bottom w:val="single" w:sz="4" w:space="0" w:color="auto"/>
              <w:right w:val="single" w:sz="4" w:space="0" w:color="auto"/>
            </w:tcBorders>
            <w:shd w:val="clear" w:color="auto" w:fill="auto"/>
            <w:vAlign w:val="center"/>
            <w:hideMark/>
          </w:tcPr>
          <w:p w14:paraId="0F42ECF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15896FD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JUEZ 4 </w:t>
            </w:r>
          </w:p>
        </w:tc>
        <w:tc>
          <w:tcPr>
            <w:tcW w:w="1260" w:type="dxa"/>
            <w:tcBorders>
              <w:top w:val="nil"/>
              <w:left w:val="nil"/>
              <w:bottom w:val="single" w:sz="4" w:space="0" w:color="auto"/>
              <w:right w:val="single" w:sz="4" w:space="0" w:color="auto"/>
            </w:tcBorders>
            <w:shd w:val="clear" w:color="000000" w:fill="FFFFFF"/>
            <w:hideMark/>
          </w:tcPr>
          <w:p w14:paraId="54942FB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378736</w:t>
            </w:r>
          </w:p>
        </w:tc>
      </w:tr>
      <w:tr w:rsidR="00CF290F" w:rsidRPr="00CF290F" w14:paraId="2243433F"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0022CA84"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51BFD45D"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742C64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0576 TRIBUNAL I CIRCUITO JUDICIAL GUANACASTE, SEDE CAÑAS</w:t>
            </w:r>
          </w:p>
        </w:tc>
        <w:tc>
          <w:tcPr>
            <w:tcW w:w="1015" w:type="dxa"/>
            <w:tcBorders>
              <w:top w:val="nil"/>
              <w:left w:val="nil"/>
              <w:bottom w:val="single" w:sz="4" w:space="0" w:color="auto"/>
              <w:right w:val="single" w:sz="4" w:space="0" w:color="auto"/>
            </w:tcBorders>
            <w:shd w:val="clear" w:color="auto" w:fill="auto"/>
            <w:vAlign w:val="center"/>
            <w:hideMark/>
          </w:tcPr>
          <w:p w14:paraId="67BD9FDB"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70AA7D6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JUEZ 4 </w:t>
            </w:r>
          </w:p>
        </w:tc>
        <w:tc>
          <w:tcPr>
            <w:tcW w:w="1260" w:type="dxa"/>
            <w:tcBorders>
              <w:top w:val="nil"/>
              <w:left w:val="nil"/>
              <w:bottom w:val="single" w:sz="4" w:space="0" w:color="auto"/>
              <w:right w:val="single" w:sz="4" w:space="0" w:color="auto"/>
            </w:tcBorders>
            <w:shd w:val="clear" w:color="000000" w:fill="FFFFFF"/>
            <w:hideMark/>
          </w:tcPr>
          <w:p w14:paraId="5798F6DC"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367596</w:t>
            </w:r>
          </w:p>
        </w:tc>
      </w:tr>
      <w:tr w:rsidR="00CF290F" w:rsidRPr="00CF290F" w14:paraId="3DA1A53A"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09777BE4"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47D88F8D"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5A07F720"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7EA07DD5"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6E08543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JUEZ 4 </w:t>
            </w:r>
          </w:p>
        </w:tc>
        <w:tc>
          <w:tcPr>
            <w:tcW w:w="1260" w:type="dxa"/>
            <w:tcBorders>
              <w:top w:val="nil"/>
              <w:left w:val="nil"/>
              <w:bottom w:val="single" w:sz="4" w:space="0" w:color="auto"/>
              <w:right w:val="single" w:sz="4" w:space="0" w:color="auto"/>
            </w:tcBorders>
            <w:shd w:val="clear" w:color="000000" w:fill="FFFFFF"/>
            <w:hideMark/>
          </w:tcPr>
          <w:p w14:paraId="50934A9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60205</w:t>
            </w:r>
          </w:p>
        </w:tc>
      </w:tr>
      <w:tr w:rsidR="00CF290F" w:rsidRPr="00CF290F" w14:paraId="6BFABB24"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7D4C6D25"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780424CA"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52045F6E"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0CCDD72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4FC3C4FD"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000000" w:fill="FFFFFF"/>
            <w:hideMark/>
          </w:tcPr>
          <w:p w14:paraId="2469053D"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44821</w:t>
            </w:r>
          </w:p>
        </w:tc>
      </w:tr>
      <w:tr w:rsidR="00CF290F" w:rsidRPr="00CF290F" w14:paraId="30906AB1"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0CEA46F2"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12B076ED"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16CF20BE"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2327C6C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4802A60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000000" w:fill="FFFFFF"/>
            <w:hideMark/>
          </w:tcPr>
          <w:p w14:paraId="28A72DA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44798</w:t>
            </w:r>
          </w:p>
        </w:tc>
      </w:tr>
      <w:tr w:rsidR="00CF290F" w:rsidRPr="00CF290F" w14:paraId="57D81ED0"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2F59D328"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val="restart"/>
            <w:tcBorders>
              <w:top w:val="nil"/>
              <w:left w:val="single" w:sz="4" w:space="0" w:color="auto"/>
              <w:bottom w:val="single" w:sz="4" w:space="0" w:color="000000"/>
              <w:right w:val="single" w:sz="4" w:space="0" w:color="auto"/>
            </w:tcBorders>
            <w:shd w:val="clear" w:color="auto" w:fill="auto"/>
            <w:vAlign w:val="center"/>
            <w:hideMark/>
          </w:tcPr>
          <w:p w14:paraId="24066A9E"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Primer Circuito Judicial Heredia</w:t>
            </w:r>
          </w:p>
        </w:tc>
        <w:tc>
          <w:tcPr>
            <w:tcW w:w="1684" w:type="dxa"/>
            <w:vMerge w:val="restart"/>
            <w:tcBorders>
              <w:top w:val="nil"/>
              <w:left w:val="single" w:sz="4" w:space="0" w:color="auto"/>
              <w:bottom w:val="single" w:sz="4" w:space="0" w:color="000000"/>
              <w:right w:val="single" w:sz="4" w:space="0" w:color="auto"/>
            </w:tcBorders>
            <w:shd w:val="clear" w:color="auto" w:fill="auto"/>
            <w:vAlign w:val="center"/>
            <w:hideMark/>
          </w:tcPr>
          <w:p w14:paraId="2534F50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361- Tribunal Penal de Heredia</w:t>
            </w:r>
          </w:p>
        </w:tc>
        <w:tc>
          <w:tcPr>
            <w:tcW w:w="1015" w:type="dxa"/>
            <w:tcBorders>
              <w:top w:val="nil"/>
              <w:left w:val="nil"/>
              <w:bottom w:val="single" w:sz="4" w:space="0" w:color="auto"/>
              <w:right w:val="single" w:sz="4" w:space="0" w:color="auto"/>
            </w:tcBorders>
            <w:shd w:val="clear" w:color="auto" w:fill="auto"/>
            <w:vAlign w:val="center"/>
            <w:hideMark/>
          </w:tcPr>
          <w:p w14:paraId="7BA81DB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7B8A284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JUEZ 4 </w:t>
            </w:r>
          </w:p>
        </w:tc>
        <w:tc>
          <w:tcPr>
            <w:tcW w:w="1260" w:type="dxa"/>
            <w:tcBorders>
              <w:top w:val="nil"/>
              <w:left w:val="nil"/>
              <w:bottom w:val="single" w:sz="4" w:space="0" w:color="auto"/>
              <w:right w:val="single" w:sz="4" w:space="0" w:color="auto"/>
            </w:tcBorders>
            <w:shd w:val="clear" w:color="auto" w:fill="auto"/>
            <w:hideMark/>
          </w:tcPr>
          <w:p w14:paraId="7E387B1E"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180FA97A"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19230794"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6FE66F76"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764EF2A2"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4DBF18ED"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372C217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auto" w:fill="auto"/>
            <w:hideMark/>
          </w:tcPr>
          <w:p w14:paraId="330D15F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33348C14"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2BE56884"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1AE75677"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37ECC3C9"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111FC47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0AC1104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auto" w:fill="auto"/>
            <w:hideMark/>
          </w:tcPr>
          <w:p w14:paraId="2B994D3B"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71A4B575"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01EEA539"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4539E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Primer Circuito Judicial Zona </w:t>
            </w:r>
            <w:r w:rsidRPr="00CF290F">
              <w:rPr>
                <w:rFonts w:ascii="Book Antiqua" w:eastAsia="Times New Roman" w:hAnsi="Book Antiqua" w:cs="Calibri Light"/>
                <w:color w:val="000000"/>
                <w:sz w:val="16"/>
                <w:szCs w:val="16"/>
                <w:lang w:eastAsia="es-CR"/>
              </w:rPr>
              <w:lastRenderedPageBreak/>
              <w:t>Atlántica (Tribunal Penal)</w:t>
            </w:r>
          </w:p>
        </w:tc>
        <w:tc>
          <w:tcPr>
            <w:tcW w:w="16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CAFD4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lastRenderedPageBreak/>
              <w:t xml:space="preserve">0459 TRIBUNAL DEL I CIRCUITO </w:t>
            </w:r>
            <w:r w:rsidRPr="00CF290F">
              <w:rPr>
                <w:rFonts w:ascii="Book Antiqua" w:eastAsia="Times New Roman" w:hAnsi="Book Antiqua" w:cs="Calibri Light"/>
                <w:color w:val="000000"/>
                <w:sz w:val="16"/>
                <w:szCs w:val="16"/>
                <w:lang w:eastAsia="es-CR"/>
              </w:rPr>
              <w:lastRenderedPageBreak/>
              <w:t>JUDICIAL DE LA ZONA ATLANTICA</w:t>
            </w:r>
          </w:p>
        </w:tc>
        <w:tc>
          <w:tcPr>
            <w:tcW w:w="1015" w:type="dxa"/>
            <w:tcBorders>
              <w:top w:val="nil"/>
              <w:left w:val="nil"/>
              <w:bottom w:val="single" w:sz="4" w:space="0" w:color="auto"/>
              <w:right w:val="single" w:sz="4" w:space="0" w:color="auto"/>
            </w:tcBorders>
            <w:shd w:val="clear" w:color="auto" w:fill="auto"/>
            <w:vAlign w:val="center"/>
            <w:hideMark/>
          </w:tcPr>
          <w:p w14:paraId="2B628925"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lastRenderedPageBreak/>
              <w:t>1</w:t>
            </w:r>
          </w:p>
        </w:tc>
        <w:tc>
          <w:tcPr>
            <w:tcW w:w="2056" w:type="dxa"/>
            <w:tcBorders>
              <w:top w:val="nil"/>
              <w:left w:val="nil"/>
              <w:bottom w:val="single" w:sz="4" w:space="0" w:color="auto"/>
              <w:right w:val="single" w:sz="4" w:space="0" w:color="auto"/>
            </w:tcBorders>
            <w:shd w:val="clear" w:color="000000" w:fill="FFFFFF"/>
            <w:vAlign w:val="center"/>
            <w:hideMark/>
          </w:tcPr>
          <w:p w14:paraId="7E3424C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COORDINADOR JUDICIAL 3</w:t>
            </w:r>
          </w:p>
        </w:tc>
        <w:tc>
          <w:tcPr>
            <w:tcW w:w="1260" w:type="dxa"/>
            <w:tcBorders>
              <w:top w:val="nil"/>
              <w:left w:val="nil"/>
              <w:bottom w:val="single" w:sz="4" w:space="0" w:color="auto"/>
              <w:right w:val="single" w:sz="4" w:space="0" w:color="auto"/>
            </w:tcBorders>
            <w:shd w:val="clear" w:color="000000" w:fill="FFFFFF"/>
            <w:hideMark/>
          </w:tcPr>
          <w:p w14:paraId="31750745"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45103</w:t>
            </w:r>
          </w:p>
        </w:tc>
      </w:tr>
      <w:tr w:rsidR="00CF290F" w:rsidRPr="00CF290F" w14:paraId="672C180C"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56D25013"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5D56CB6E"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65C735B1"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2663B55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5A31D0D5"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JUEZ 1 </w:t>
            </w:r>
          </w:p>
        </w:tc>
        <w:tc>
          <w:tcPr>
            <w:tcW w:w="1260" w:type="dxa"/>
            <w:tcBorders>
              <w:top w:val="nil"/>
              <w:left w:val="nil"/>
              <w:bottom w:val="single" w:sz="4" w:space="0" w:color="auto"/>
              <w:right w:val="single" w:sz="4" w:space="0" w:color="auto"/>
            </w:tcBorders>
            <w:shd w:val="clear" w:color="000000" w:fill="FFFFFF"/>
            <w:hideMark/>
          </w:tcPr>
          <w:p w14:paraId="4425549E"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45102</w:t>
            </w:r>
          </w:p>
        </w:tc>
      </w:tr>
      <w:tr w:rsidR="00CF290F" w:rsidRPr="00CF290F" w14:paraId="6EFD6E42"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21A37EB8"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18412413"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1611AE78"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3F5EE29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3627D97B"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JUEZ 4 </w:t>
            </w:r>
          </w:p>
        </w:tc>
        <w:tc>
          <w:tcPr>
            <w:tcW w:w="1260" w:type="dxa"/>
            <w:tcBorders>
              <w:top w:val="nil"/>
              <w:left w:val="nil"/>
              <w:bottom w:val="single" w:sz="4" w:space="0" w:color="auto"/>
              <w:right w:val="single" w:sz="4" w:space="0" w:color="auto"/>
            </w:tcBorders>
            <w:shd w:val="clear" w:color="auto" w:fill="auto"/>
            <w:hideMark/>
          </w:tcPr>
          <w:p w14:paraId="31CF0B9E"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4026AB97"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0B7BCD38"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277C9EE8"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72E901A5"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6FF10F33"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0DE105E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auto" w:fill="auto"/>
            <w:hideMark/>
          </w:tcPr>
          <w:p w14:paraId="0CAC117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516BBFC9"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2691A3E3"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3C4901C0"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57D4E4C3"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1D58E7A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76BBD133"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auto" w:fill="auto"/>
            <w:hideMark/>
          </w:tcPr>
          <w:p w14:paraId="1E55821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361BF135"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2DA9544B"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41385A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Primer Circuito Judicial Zona Sur (Tribunal Penal)</w:t>
            </w:r>
          </w:p>
        </w:tc>
        <w:tc>
          <w:tcPr>
            <w:tcW w:w="1684" w:type="dxa"/>
            <w:tcBorders>
              <w:top w:val="nil"/>
              <w:left w:val="nil"/>
              <w:bottom w:val="single" w:sz="4" w:space="0" w:color="auto"/>
              <w:right w:val="single" w:sz="4" w:space="0" w:color="auto"/>
            </w:tcBorders>
            <w:shd w:val="clear" w:color="000000" w:fill="FFFFFF"/>
            <w:vAlign w:val="center"/>
            <w:hideMark/>
          </w:tcPr>
          <w:p w14:paraId="0BFB51A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0982 JUZGADO PENAL DE BUENOS AIRES</w:t>
            </w:r>
          </w:p>
        </w:tc>
        <w:tc>
          <w:tcPr>
            <w:tcW w:w="1015" w:type="dxa"/>
            <w:tcBorders>
              <w:top w:val="nil"/>
              <w:left w:val="nil"/>
              <w:bottom w:val="single" w:sz="4" w:space="0" w:color="auto"/>
              <w:right w:val="single" w:sz="4" w:space="0" w:color="auto"/>
            </w:tcBorders>
            <w:shd w:val="clear" w:color="auto" w:fill="auto"/>
            <w:vAlign w:val="center"/>
            <w:hideMark/>
          </w:tcPr>
          <w:p w14:paraId="4378426B"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7798D90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2</w:t>
            </w:r>
          </w:p>
        </w:tc>
        <w:tc>
          <w:tcPr>
            <w:tcW w:w="1260" w:type="dxa"/>
            <w:tcBorders>
              <w:top w:val="nil"/>
              <w:left w:val="nil"/>
              <w:bottom w:val="single" w:sz="4" w:space="0" w:color="auto"/>
              <w:right w:val="single" w:sz="4" w:space="0" w:color="auto"/>
            </w:tcBorders>
            <w:shd w:val="clear" w:color="000000" w:fill="FFFFFF"/>
            <w:hideMark/>
          </w:tcPr>
          <w:p w14:paraId="3DCB2A2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350130</w:t>
            </w:r>
          </w:p>
        </w:tc>
      </w:tr>
      <w:tr w:rsidR="00CF290F" w:rsidRPr="00CF290F" w14:paraId="55B65393"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69014116"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702AEA17"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val="restart"/>
            <w:tcBorders>
              <w:top w:val="nil"/>
              <w:left w:val="single" w:sz="4" w:space="0" w:color="auto"/>
              <w:bottom w:val="single" w:sz="4" w:space="0" w:color="000000"/>
              <w:right w:val="single" w:sz="4" w:space="0" w:color="auto"/>
            </w:tcBorders>
            <w:shd w:val="clear" w:color="auto" w:fill="auto"/>
            <w:vAlign w:val="center"/>
            <w:hideMark/>
          </w:tcPr>
          <w:p w14:paraId="3963734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30- Tribunal Penal de Zona Sur</w:t>
            </w:r>
          </w:p>
        </w:tc>
        <w:tc>
          <w:tcPr>
            <w:tcW w:w="1015" w:type="dxa"/>
            <w:tcBorders>
              <w:top w:val="nil"/>
              <w:left w:val="nil"/>
              <w:bottom w:val="single" w:sz="4" w:space="0" w:color="auto"/>
              <w:right w:val="single" w:sz="4" w:space="0" w:color="auto"/>
            </w:tcBorders>
            <w:shd w:val="clear" w:color="auto" w:fill="auto"/>
            <w:vAlign w:val="center"/>
            <w:hideMark/>
          </w:tcPr>
          <w:p w14:paraId="374A85F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41025BC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JUEZ 4 </w:t>
            </w:r>
          </w:p>
        </w:tc>
        <w:tc>
          <w:tcPr>
            <w:tcW w:w="1260" w:type="dxa"/>
            <w:tcBorders>
              <w:top w:val="nil"/>
              <w:left w:val="nil"/>
              <w:bottom w:val="single" w:sz="4" w:space="0" w:color="auto"/>
              <w:right w:val="single" w:sz="4" w:space="0" w:color="auto"/>
            </w:tcBorders>
            <w:shd w:val="clear" w:color="auto" w:fill="auto"/>
            <w:hideMark/>
          </w:tcPr>
          <w:p w14:paraId="1286BABB"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21A2B4D8"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4EB11EB8"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7BF45D65"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68AFE2C0"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3E9AD1B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546C3DE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auto" w:fill="auto"/>
            <w:hideMark/>
          </w:tcPr>
          <w:p w14:paraId="578EF03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5CCE02F3"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7A0078CA"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7F26D1AB"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0F4689BB"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201E811C"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4D4BCF2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auto" w:fill="auto"/>
            <w:hideMark/>
          </w:tcPr>
          <w:p w14:paraId="7057366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1BB63312"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66540AB4"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tcBorders>
              <w:top w:val="nil"/>
              <w:left w:val="nil"/>
              <w:bottom w:val="single" w:sz="4" w:space="0" w:color="auto"/>
              <w:right w:val="single" w:sz="4" w:space="0" w:color="auto"/>
            </w:tcBorders>
            <w:shd w:val="clear" w:color="000000" w:fill="FFFFFF"/>
            <w:vAlign w:val="center"/>
            <w:hideMark/>
          </w:tcPr>
          <w:p w14:paraId="412B80D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Sala Tercera</w:t>
            </w:r>
          </w:p>
        </w:tc>
        <w:tc>
          <w:tcPr>
            <w:tcW w:w="1684" w:type="dxa"/>
            <w:tcBorders>
              <w:top w:val="nil"/>
              <w:left w:val="nil"/>
              <w:bottom w:val="single" w:sz="4" w:space="0" w:color="auto"/>
              <w:right w:val="single" w:sz="4" w:space="0" w:color="auto"/>
            </w:tcBorders>
            <w:shd w:val="clear" w:color="000000" w:fill="FFFFFF"/>
            <w:vAlign w:val="center"/>
            <w:hideMark/>
          </w:tcPr>
          <w:p w14:paraId="3CFAB60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0006 SALA TERCERA</w:t>
            </w:r>
          </w:p>
        </w:tc>
        <w:tc>
          <w:tcPr>
            <w:tcW w:w="1015" w:type="dxa"/>
            <w:tcBorders>
              <w:top w:val="nil"/>
              <w:left w:val="nil"/>
              <w:bottom w:val="single" w:sz="4" w:space="0" w:color="auto"/>
              <w:right w:val="single" w:sz="4" w:space="0" w:color="auto"/>
            </w:tcBorders>
            <w:shd w:val="clear" w:color="auto" w:fill="auto"/>
            <w:vAlign w:val="center"/>
            <w:hideMark/>
          </w:tcPr>
          <w:p w14:paraId="7927443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72722D2E"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PROFESIONAL EN DERECHO 3B </w:t>
            </w:r>
          </w:p>
        </w:tc>
        <w:tc>
          <w:tcPr>
            <w:tcW w:w="1260" w:type="dxa"/>
            <w:tcBorders>
              <w:top w:val="nil"/>
              <w:left w:val="nil"/>
              <w:bottom w:val="single" w:sz="4" w:space="0" w:color="auto"/>
              <w:right w:val="single" w:sz="4" w:space="0" w:color="auto"/>
            </w:tcBorders>
            <w:shd w:val="clear" w:color="000000" w:fill="FFFFFF"/>
            <w:hideMark/>
          </w:tcPr>
          <w:p w14:paraId="213C2723"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359259</w:t>
            </w:r>
          </w:p>
        </w:tc>
      </w:tr>
      <w:tr w:rsidR="00CF290F" w:rsidRPr="00CF290F" w14:paraId="6249AEB6"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37D20CB6"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03E6D6C"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Segundo Circuito Judicial Alajuela (Tribunal Penal)</w:t>
            </w:r>
          </w:p>
        </w:tc>
        <w:tc>
          <w:tcPr>
            <w:tcW w:w="1684" w:type="dxa"/>
            <w:vMerge w:val="restart"/>
            <w:tcBorders>
              <w:top w:val="nil"/>
              <w:left w:val="single" w:sz="4" w:space="0" w:color="auto"/>
              <w:bottom w:val="single" w:sz="4" w:space="0" w:color="000000"/>
              <w:right w:val="single" w:sz="4" w:space="0" w:color="auto"/>
            </w:tcBorders>
            <w:shd w:val="clear" w:color="auto" w:fill="auto"/>
            <w:vAlign w:val="center"/>
            <w:hideMark/>
          </w:tcPr>
          <w:p w14:paraId="45F890C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288- Tribunal Penal de San Carlos</w:t>
            </w:r>
          </w:p>
        </w:tc>
        <w:tc>
          <w:tcPr>
            <w:tcW w:w="1015" w:type="dxa"/>
            <w:tcBorders>
              <w:top w:val="nil"/>
              <w:left w:val="nil"/>
              <w:bottom w:val="single" w:sz="4" w:space="0" w:color="auto"/>
              <w:right w:val="single" w:sz="4" w:space="0" w:color="auto"/>
            </w:tcBorders>
            <w:shd w:val="clear" w:color="auto" w:fill="auto"/>
            <w:vAlign w:val="center"/>
            <w:hideMark/>
          </w:tcPr>
          <w:p w14:paraId="6BD6827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1F57480D"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JUEZ 4 </w:t>
            </w:r>
          </w:p>
        </w:tc>
        <w:tc>
          <w:tcPr>
            <w:tcW w:w="1260" w:type="dxa"/>
            <w:tcBorders>
              <w:top w:val="nil"/>
              <w:left w:val="nil"/>
              <w:bottom w:val="single" w:sz="4" w:space="0" w:color="auto"/>
              <w:right w:val="single" w:sz="4" w:space="0" w:color="auto"/>
            </w:tcBorders>
            <w:shd w:val="clear" w:color="auto" w:fill="auto"/>
            <w:hideMark/>
          </w:tcPr>
          <w:p w14:paraId="7273DF4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247E8496"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3FC06923"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538E4891"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1482CF40"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7955854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60E76D2E"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auto" w:fill="auto"/>
            <w:hideMark/>
          </w:tcPr>
          <w:p w14:paraId="29545CF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731A6D8A"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24B12BB6"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3BE6A7F4"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1AC61662"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3C555FCE"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32493023"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auto" w:fill="auto"/>
            <w:hideMark/>
          </w:tcPr>
          <w:p w14:paraId="3CC8817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0D11B4D4" w14:textId="77777777" w:rsidTr="00301740">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57E94EC0"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val="restart"/>
            <w:tcBorders>
              <w:top w:val="nil"/>
              <w:left w:val="nil"/>
              <w:right w:val="single" w:sz="4" w:space="0" w:color="auto"/>
            </w:tcBorders>
            <w:shd w:val="clear" w:color="000000" w:fill="FFFFFF"/>
            <w:vAlign w:val="center"/>
            <w:hideMark/>
          </w:tcPr>
          <w:p w14:paraId="2C7F1343"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Segundo Circuito Judicial de San José</w:t>
            </w:r>
          </w:p>
        </w:tc>
        <w:tc>
          <w:tcPr>
            <w:tcW w:w="1684" w:type="dxa"/>
            <w:vMerge w:val="restart"/>
            <w:tcBorders>
              <w:top w:val="nil"/>
              <w:left w:val="nil"/>
              <w:right w:val="single" w:sz="4" w:space="0" w:color="auto"/>
            </w:tcBorders>
            <w:shd w:val="clear" w:color="000000" w:fill="FFFFFF"/>
            <w:vAlign w:val="center"/>
            <w:hideMark/>
          </w:tcPr>
          <w:p w14:paraId="2212C05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0951 TRIBUNAL PENAL II CIRCUITO JUDICIAL DE SAN JOSE</w:t>
            </w:r>
          </w:p>
        </w:tc>
        <w:tc>
          <w:tcPr>
            <w:tcW w:w="1015" w:type="dxa"/>
            <w:tcBorders>
              <w:top w:val="nil"/>
              <w:left w:val="nil"/>
              <w:bottom w:val="single" w:sz="4" w:space="0" w:color="auto"/>
              <w:right w:val="single" w:sz="4" w:space="0" w:color="auto"/>
            </w:tcBorders>
            <w:shd w:val="clear" w:color="auto" w:fill="auto"/>
            <w:vAlign w:val="center"/>
            <w:hideMark/>
          </w:tcPr>
          <w:p w14:paraId="4468A823"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7E070FD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JUEZ 1 </w:t>
            </w:r>
          </w:p>
        </w:tc>
        <w:tc>
          <w:tcPr>
            <w:tcW w:w="1260" w:type="dxa"/>
            <w:tcBorders>
              <w:top w:val="nil"/>
              <w:left w:val="nil"/>
              <w:bottom w:val="single" w:sz="4" w:space="0" w:color="auto"/>
              <w:right w:val="single" w:sz="4" w:space="0" w:color="auto"/>
            </w:tcBorders>
            <w:shd w:val="clear" w:color="000000" w:fill="FFFFFF"/>
            <w:hideMark/>
          </w:tcPr>
          <w:p w14:paraId="6FF7B61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23140</w:t>
            </w:r>
          </w:p>
        </w:tc>
      </w:tr>
      <w:tr w:rsidR="00334B79" w:rsidRPr="00CF290F" w14:paraId="4B4A8ACB" w14:textId="77777777" w:rsidTr="00301740">
        <w:trPr>
          <w:trHeight w:val="240"/>
          <w:jc w:val="center"/>
        </w:trPr>
        <w:tc>
          <w:tcPr>
            <w:tcW w:w="1841" w:type="dxa"/>
            <w:vMerge/>
            <w:tcBorders>
              <w:top w:val="nil"/>
              <w:left w:val="single" w:sz="4" w:space="0" w:color="auto"/>
              <w:bottom w:val="single" w:sz="4" w:space="0" w:color="000000"/>
              <w:right w:val="single" w:sz="4" w:space="0" w:color="auto"/>
            </w:tcBorders>
            <w:vAlign w:val="center"/>
          </w:tcPr>
          <w:p w14:paraId="254BBD6D" w14:textId="77777777" w:rsidR="00334B79" w:rsidRPr="00CF290F" w:rsidRDefault="00334B79" w:rsidP="00334B79">
            <w:pPr>
              <w:spacing w:after="0" w:line="240" w:lineRule="auto"/>
              <w:rPr>
                <w:rFonts w:ascii="Book Antiqua" w:eastAsia="Times New Roman" w:hAnsi="Book Antiqua" w:cs="Calibri Light"/>
                <w:color w:val="000000"/>
                <w:sz w:val="16"/>
                <w:szCs w:val="16"/>
                <w:lang w:eastAsia="es-CR"/>
              </w:rPr>
            </w:pPr>
          </w:p>
        </w:tc>
        <w:tc>
          <w:tcPr>
            <w:tcW w:w="1704" w:type="dxa"/>
            <w:vMerge/>
            <w:tcBorders>
              <w:left w:val="nil"/>
              <w:right w:val="single" w:sz="4" w:space="0" w:color="auto"/>
            </w:tcBorders>
            <w:shd w:val="clear" w:color="000000" w:fill="FFFFFF"/>
            <w:vAlign w:val="center"/>
          </w:tcPr>
          <w:p w14:paraId="65AEC840" w14:textId="77777777" w:rsidR="00334B79" w:rsidRPr="00CF290F" w:rsidRDefault="00334B79" w:rsidP="00334B79">
            <w:pPr>
              <w:spacing w:after="0" w:line="240" w:lineRule="auto"/>
              <w:jc w:val="center"/>
              <w:rPr>
                <w:rFonts w:ascii="Book Antiqua" w:eastAsia="Times New Roman" w:hAnsi="Book Antiqua" w:cs="Calibri Light"/>
                <w:color w:val="000000"/>
                <w:sz w:val="16"/>
                <w:szCs w:val="16"/>
                <w:lang w:eastAsia="es-CR"/>
              </w:rPr>
            </w:pPr>
          </w:p>
        </w:tc>
        <w:tc>
          <w:tcPr>
            <w:tcW w:w="1684" w:type="dxa"/>
            <w:vMerge/>
            <w:tcBorders>
              <w:left w:val="nil"/>
              <w:right w:val="single" w:sz="4" w:space="0" w:color="auto"/>
            </w:tcBorders>
            <w:shd w:val="clear" w:color="000000" w:fill="FFFFFF"/>
            <w:vAlign w:val="center"/>
          </w:tcPr>
          <w:p w14:paraId="7D452E4A" w14:textId="77777777" w:rsidR="00334B79" w:rsidRPr="00CF290F" w:rsidRDefault="00334B79" w:rsidP="00334B79">
            <w:pPr>
              <w:spacing w:after="0" w:line="240" w:lineRule="auto"/>
              <w:jc w:val="center"/>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tcPr>
          <w:p w14:paraId="620DD46D" w14:textId="2581AE35" w:rsidR="00334B79" w:rsidRPr="00CF290F" w:rsidRDefault="00334B79" w:rsidP="00334B79">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tcPr>
          <w:p w14:paraId="479B4A11" w14:textId="7B04F64D" w:rsidR="00334B79" w:rsidRPr="00CF290F" w:rsidRDefault="00334B79" w:rsidP="00334B79">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JUEZ 1 </w:t>
            </w:r>
          </w:p>
        </w:tc>
        <w:tc>
          <w:tcPr>
            <w:tcW w:w="1260" w:type="dxa"/>
            <w:tcBorders>
              <w:top w:val="nil"/>
              <w:left w:val="nil"/>
              <w:bottom w:val="single" w:sz="4" w:space="0" w:color="auto"/>
              <w:right w:val="single" w:sz="4" w:space="0" w:color="auto"/>
            </w:tcBorders>
            <w:shd w:val="clear" w:color="000000" w:fill="FFFFFF"/>
          </w:tcPr>
          <w:p w14:paraId="2B753A4E" w14:textId="137BC2C7" w:rsidR="00334B79" w:rsidRPr="00CF290F" w:rsidRDefault="00334B79" w:rsidP="00334B79">
            <w:pPr>
              <w:spacing w:after="0" w:line="240" w:lineRule="auto"/>
              <w:jc w:val="center"/>
              <w:rPr>
                <w:rFonts w:ascii="Book Antiqua" w:eastAsia="Times New Roman" w:hAnsi="Book Antiqua" w:cs="Calibri Light"/>
                <w:color w:val="000000"/>
                <w:sz w:val="16"/>
                <w:szCs w:val="16"/>
                <w:lang w:eastAsia="es-CR"/>
              </w:rPr>
            </w:pPr>
            <w:r>
              <w:rPr>
                <w:rFonts w:ascii="Book Antiqua" w:eastAsia="Times New Roman" w:hAnsi="Book Antiqua" w:cs="Calibri Light"/>
                <w:color w:val="000000"/>
                <w:sz w:val="16"/>
                <w:szCs w:val="16"/>
                <w:lang w:eastAsia="es-CR"/>
              </w:rPr>
              <w:t>Pendiente</w:t>
            </w:r>
          </w:p>
        </w:tc>
      </w:tr>
      <w:tr w:rsidR="00334B79" w:rsidRPr="00CF290F" w14:paraId="690F8D59" w14:textId="77777777" w:rsidTr="00301740">
        <w:trPr>
          <w:trHeight w:val="240"/>
          <w:jc w:val="center"/>
        </w:trPr>
        <w:tc>
          <w:tcPr>
            <w:tcW w:w="1841" w:type="dxa"/>
            <w:vMerge/>
            <w:tcBorders>
              <w:top w:val="nil"/>
              <w:left w:val="single" w:sz="4" w:space="0" w:color="auto"/>
              <w:bottom w:val="single" w:sz="4" w:space="0" w:color="000000"/>
              <w:right w:val="single" w:sz="4" w:space="0" w:color="auto"/>
            </w:tcBorders>
            <w:vAlign w:val="center"/>
          </w:tcPr>
          <w:p w14:paraId="37AA74A1" w14:textId="77777777" w:rsidR="00334B79" w:rsidRPr="00CF290F" w:rsidRDefault="00334B79" w:rsidP="00334B79">
            <w:pPr>
              <w:spacing w:after="0" w:line="240" w:lineRule="auto"/>
              <w:rPr>
                <w:rFonts w:ascii="Book Antiqua" w:eastAsia="Times New Roman" w:hAnsi="Book Antiqua" w:cs="Calibri Light"/>
                <w:color w:val="000000"/>
                <w:sz w:val="16"/>
                <w:szCs w:val="16"/>
                <w:lang w:eastAsia="es-CR"/>
              </w:rPr>
            </w:pPr>
          </w:p>
        </w:tc>
        <w:tc>
          <w:tcPr>
            <w:tcW w:w="1704" w:type="dxa"/>
            <w:vMerge/>
            <w:tcBorders>
              <w:left w:val="nil"/>
              <w:bottom w:val="single" w:sz="4" w:space="0" w:color="auto"/>
              <w:right w:val="single" w:sz="4" w:space="0" w:color="auto"/>
            </w:tcBorders>
            <w:shd w:val="clear" w:color="000000" w:fill="FFFFFF"/>
            <w:vAlign w:val="center"/>
          </w:tcPr>
          <w:p w14:paraId="21491843" w14:textId="77777777" w:rsidR="00334B79" w:rsidRPr="00CF290F" w:rsidRDefault="00334B79" w:rsidP="00334B79">
            <w:pPr>
              <w:spacing w:after="0" w:line="240" w:lineRule="auto"/>
              <w:jc w:val="center"/>
              <w:rPr>
                <w:rFonts w:ascii="Book Antiqua" w:eastAsia="Times New Roman" w:hAnsi="Book Antiqua" w:cs="Calibri Light"/>
                <w:color w:val="000000"/>
                <w:sz w:val="16"/>
                <w:szCs w:val="16"/>
                <w:lang w:eastAsia="es-CR"/>
              </w:rPr>
            </w:pPr>
          </w:p>
        </w:tc>
        <w:tc>
          <w:tcPr>
            <w:tcW w:w="1684" w:type="dxa"/>
            <w:vMerge/>
            <w:tcBorders>
              <w:left w:val="nil"/>
              <w:bottom w:val="single" w:sz="4" w:space="0" w:color="auto"/>
              <w:right w:val="single" w:sz="4" w:space="0" w:color="auto"/>
            </w:tcBorders>
            <w:shd w:val="clear" w:color="000000" w:fill="FFFFFF"/>
            <w:vAlign w:val="center"/>
          </w:tcPr>
          <w:p w14:paraId="0C3478AB" w14:textId="77777777" w:rsidR="00334B79" w:rsidRPr="00CF290F" w:rsidRDefault="00334B79" w:rsidP="00334B79">
            <w:pPr>
              <w:spacing w:after="0" w:line="240" w:lineRule="auto"/>
              <w:jc w:val="center"/>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tcPr>
          <w:p w14:paraId="5405DFAF" w14:textId="6F70BCD4" w:rsidR="00334B79" w:rsidRPr="00CF290F" w:rsidRDefault="00334B79" w:rsidP="00334B79">
            <w:pPr>
              <w:spacing w:after="0" w:line="240" w:lineRule="auto"/>
              <w:jc w:val="center"/>
              <w:rPr>
                <w:rFonts w:ascii="Book Antiqua" w:eastAsia="Times New Roman" w:hAnsi="Book Antiqua" w:cs="Calibri Light"/>
                <w:color w:val="000000"/>
                <w:sz w:val="16"/>
                <w:szCs w:val="16"/>
                <w:lang w:eastAsia="es-CR"/>
              </w:rPr>
            </w:pPr>
            <w:r>
              <w:rPr>
                <w:rFonts w:ascii="Book Antiqua" w:eastAsia="Times New Roman" w:hAnsi="Book Antiqua" w:cs="Calibri Light"/>
                <w:color w:val="000000"/>
                <w:sz w:val="16"/>
                <w:szCs w:val="16"/>
                <w:lang w:eastAsia="es-CR"/>
              </w:rPr>
              <w:t>2</w:t>
            </w:r>
          </w:p>
        </w:tc>
        <w:tc>
          <w:tcPr>
            <w:tcW w:w="2056" w:type="dxa"/>
            <w:tcBorders>
              <w:top w:val="nil"/>
              <w:left w:val="nil"/>
              <w:bottom w:val="single" w:sz="4" w:space="0" w:color="auto"/>
              <w:right w:val="single" w:sz="4" w:space="0" w:color="auto"/>
            </w:tcBorders>
            <w:shd w:val="clear" w:color="000000" w:fill="FFFFFF"/>
            <w:vAlign w:val="center"/>
          </w:tcPr>
          <w:p w14:paraId="006312D2" w14:textId="7093C16F" w:rsidR="00334B79" w:rsidRPr="00CF290F" w:rsidRDefault="00334B79" w:rsidP="00334B79">
            <w:pPr>
              <w:spacing w:after="0" w:line="240" w:lineRule="auto"/>
              <w:jc w:val="center"/>
              <w:rPr>
                <w:rFonts w:ascii="Book Antiqua" w:eastAsia="Times New Roman" w:hAnsi="Book Antiqua" w:cs="Calibri Light"/>
                <w:color w:val="000000"/>
                <w:sz w:val="16"/>
                <w:szCs w:val="16"/>
                <w:lang w:eastAsia="es-CR"/>
              </w:rPr>
            </w:pPr>
            <w:r w:rsidRPr="00334B79">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000000" w:fill="FFFFFF"/>
          </w:tcPr>
          <w:p w14:paraId="73D5B862" w14:textId="5174D333" w:rsidR="00334B79" w:rsidRPr="00CF290F" w:rsidRDefault="00334B79" w:rsidP="00334B79">
            <w:pPr>
              <w:spacing w:after="0" w:line="240" w:lineRule="auto"/>
              <w:jc w:val="center"/>
              <w:rPr>
                <w:rFonts w:ascii="Book Antiqua" w:eastAsia="Times New Roman" w:hAnsi="Book Antiqua" w:cs="Calibri Light"/>
                <w:color w:val="000000"/>
                <w:sz w:val="16"/>
                <w:szCs w:val="16"/>
                <w:lang w:eastAsia="es-CR"/>
              </w:rPr>
            </w:pPr>
            <w:r>
              <w:rPr>
                <w:rFonts w:ascii="Book Antiqua" w:eastAsia="Times New Roman" w:hAnsi="Book Antiqua" w:cs="Calibri Light"/>
                <w:color w:val="000000"/>
                <w:sz w:val="16"/>
                <w:szCs w:val="16"/>
                <w:lang w:eastAsia="es-CR"/>
              </w:rPr>
              <w:t>Pendiente</w:t>
            </w:r>
          </w:p>
        </w:tc>
      </w:tr>
      <w:tr w:rsidR="00CF290F" w:rsidRPr="00CF290F" w14:paraId="787687CF"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7B52D119"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tcBorders>
              <w:top w:val="nil"/>
              <w:left w:val="nil"/>
              <w:bottom w:val="single" w:sz="4" w:space="0" w:color="auto"/>
              <w:right w:val="single" w:sz="4" w:space="0" w:color="auto"/>
            </w:tcBorders>
            <w:shd w:val="clear" w:color="000000" w:fill="FFFFFF"/>
            <w:vAlign w:val="center"/>
            <w:hideMark/>
          </w:tcPr>
          <w:p w14:paraId="332CB31B"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Segundo Circuito Judicial Guanacaste</w:t>
            </w:r>
          </w:p>
        </w:tc>
        <w:tc>
          <w:tcPr>
            <w:tcW w:w="1684" w:type="dxa"/>
            <w:tcBorders>
              <w:top w:val="nil"/>
              <w:left w:val="nil"/>
              <w:bottom w:val="single" w:sz="4" w:space="0" w:color="auto"/>
              <w:right w:val="single" w:sz="4" w:space="0" w:color="auto"/>
            </w:tcBorders>
            <w:shd w:val="clear" w:color="000000" w:fill="FFFFFF"/>
            <w:vAlign w:val="center"/>
            <w:hideMark/>
          </w:tcPr>
          <w:p w14:paraId="54DFD29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0577 TRIBUNAL DEL II CIRCUITO JUDICIAL DE GUANACASTE</w:t>
            </w:r>
          </w:p>
        </w:tc>
        <w:tc>
          <w:tcPr>
            <w:tcW w:w="1015" w:type="dxa"/>
            <w:tcBorders>
              <w:top w:val="nil"/>
              <w:left w:val="nil"/>
              <w:bottom w:val="single" w:sz="4" w:space="0" w:color="auto"/>
              <w:right w:val="single" w:sz="4" w:space="0" w:color="auto"/>
            </w:tcBorders>
            <w:shd w:val="clear" w:color="auto" w:fill="auto"/>
            <w:vAlign w:val="center"/>
            <w:hideMark/>
          </w:tcPr>
          <w:p w14:paraId="299E1AFC"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317DF743"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000000" w:fill="FFFFFF"/>
            <w:hideMark/>
          </w:tcPr>
          <w:p w14:paraId="4883844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365691</w:t>
            </w:r>
          </w:p>
        </w:tc>
      </w:tr>
      <w:tr w:rsidR="00CF290F" w:rsidRPr="00CF290F" w14:paraId="51C09F4A"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29B462AE"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val="restart"/>
            <w:tcBorders>
              <w:top w:val="nil"/>
              <w:left w:val="single" w:sz="4" w:space="0" w:color="auto"/>
              <w:bottom w:val="single" w:sz="4" w:space="0" w:color="000000"/>
              <w:right w:val="single" w:sz="4" w:space="0" w:color="auto"/>
            </w:tcBorders>
            <w:vAlign w:val="center"/>
            <w:hideMark/>
          </w:tcPr>
          <w:p w14:paraId="083A87A7"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872CE5C"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0602 TRIBUNAL DEL II CIRCUITO JUDICIAL DE LA ZONA ATLANTICA, SEDE SIQUIRRES</w:t>
            </w:r>
          </w:p>
        </w:tc>
        <w:tc>
          <w:tcPr>
            <w:tcW w:w="1015" w:type="dxa"/>
            <w:tcBorders>
              <w:top w:val="nil"/>
              <w:left w:val="nil"/>
              <w:bottom w:val="single" w:sz="4" w:space="0" w:color="auto"/>
              <w:right w:val="single" w:sz="4" w:space="0" w:color="auto"/>
            </w:tcBorders>
            <w:shd w:val="clear" w:color="auto" w:fill="auto"/>
            <w:vAlign w:val="center"/>
            <w:hideMark/>
          </w:tcPr>
          <w:p w14:paraId="77637E3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3EED887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JUEZ 4 </w:t>
            </w:r>
          </w:p>
        </w:tc>
        <w:tc>
          <w:tcPr>
            <w:tcW w:w="1260" w:type="dxa"/>
            <w:tcBorders>
              <w:top w:val="nil"/>
              <w:left w:val="nil"/>
              <w:bottom w:val="single" w:sz="4" w:space="0" w:color="auto"/>
              <w:right w:val="single" w:sz="4" w:space="0" w:color="auto"/>
            </w:tcBorders>
            <w:shd w:val="clear" w:color="000000" w:fill="FFFFFF"/>
            <w:hideMark/>
          </w:tcPr>
          <w:p w14:paraId="3999864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34284</w:t>
            </w:r>
          </w:p>
        </w:tc>
      </w:tr>
      <w:tr w:rsidR="00CF290F" w:rsidRPr="00CF290F" w14:paraId="408F92B9"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65ABC9C0"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0A67ABDC"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4638D9FC"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0E0F61D5"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7F28CE3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000000" w:fill="FFFFFF"/>
            <w:hideMark/>
          </w:tcPr>
          <w:p w14:paraId="5B7C09C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111299</w:t>
            </w:r>
          </w:p>
        </w:tc>
      </w:tr>
      <w:tr w:rsidR="00CF290F" w:rsidRPr="00CF290F" w14:paraId="23015816"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5EFC99F9"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1BABCC56"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28CAC1C8"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0578D48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077DDB5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000000" w:fill="FFFFFF"/>
            <w:hideMark/>
          </w:tcPr>
          <w:p w14:paraId="025571F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112443</w:t>
            </w:r>
          </w:p>
        </w:tc>
      </w:tr>
      <w:tr w:rsidR="00CF290F" w:rsidRPr="00CF290F" w14:paraId="156824FF"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059D118D"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75B6F243"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val="restart"/>
            <w:tcBorders>
              <w:top w:val="nil"/>
              <w:left w:val="single" w:sz="4" w:space="0" w:color="auto"/>
              <w:bottom w:val="single" w:sz="4" w:space="0" w:color="000000"/>
              <w:right w:val="single" w:sz="4" w:space="0" w:color="auto"/>
            </w:tcBorders>
            <w:shd w:val="clear" w:color="auto" w:fill="auto"/>
            <w:vAlign w:val="center"/>
            <w:hideMark/>
          </w:tcPr>
          <w:p w14:paraId="0678DC5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601- Tribunal Penal de Pococí</w:t>
            </w:r>
          </w:p>
        </w:tc>
        <w:tc>
          <w:tcPr>
            <w:tcW w:w="1015" w:type="dxa"/>
            <w:tcBorders>
              <w:top w:val="nil"/>
              <w:left w:val="nil"/>
              <w:bottom w:val="single" w:sz="4" w:space="0" w:color="auto"/>
              <w:right w:val="single" w:sz="4" w:space="0" w:color="auto"/>
            </w:tcBorders>
            <w:shd w:val="clear" w:color="auto" w:fill="auto"/>
            <w:vAlign w:val="center"/>
            <w:hideMark/>
          </w:tcPr>
          <w:p w14:paraId="65A9D3F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3F34925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JUEZ 4 </w:t>
            </w:r>
          </w:p>
        </w:tc>
        <w:tc>
          <w:tcPr>
            <w:tcW w:w="1260" w:type="dxa"/>
            <w:tcBorders>
              <w:top w:val="nil"/>
              <w:left w:val="nil"/>
              <w:bottom w:val="single" w:sz="4" w:space="0" w:color="auto"/>
              <w:right w:val="single" w:sz="4" w:space="0" w:color="auto"/>
            </w:tcBorders>
            <w:shd w:val="clear" w:color="auto" w:fill="auto"/>
            <w:hideMark/>
          </w:tcPr>
          <w:p w14:paraId="5EDE68D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18EB72F7"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576002E8"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195C67EF"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090BF3A6"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2A8EE725"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474646FD"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auto" w:fill="auto"/>
            <w:hideMark/>
          </w:tcPr>
          <w:p w14:paraId="6E1E3BDD"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08D3FD0A"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1BA633F1"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52235F98"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32172927"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3D929C5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3C84103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auto" w:fill="auto"/>
            <w:hideMark/>
          </w:tcPr>
          <w:p w14:paraId="316EF5A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27CE39FC"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479F2087"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val="restart"/>
            <w:tcBorders>
              <w:top w:val="nil"/>
              <w:left w:val="single" w:sz="4" w:space="0" w:color="auto"/>
              <w:bottom w:val="single" w:sz="4" w:space="0" w:color="000000"/>
              <w:right w:val="single" w:sz="4" w:space="0" w:color="auto"/>
            </w:tcBorders>
            <w:shd w:val="clear" w:color="auto" w:fill="auto"/>
            <w:vAlign w:val="center"/>
            <w:hideMark/>
          </w:tcPr>
          <w:p w14:paraId="3EAFC83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Tercer Circuito Judicial San José</w:t>
            </w:r>
          </w:p>
        </w:tc>
        <w:tc>
          <w:tcPr>
            <w:tcW w:w="1684" w:type="dxa"/>
            <w:vMerge w:val="restart"/>
            <w:tcBorders>
              <w:top w:val="nil"/>
              <w:left w:val="single" w:sz="4" w:space="0" w:color="auto"/>
              <w:bottom w:val="single" w:sz="4" w:space="0" w:color="000000"/>
              <w:right w:val="single" w:sz="4" w:space="0" w:color="auto"/>
            </w:tcBorders>
            <w:shd w:val="clear" w:color="auto" w:fill="auto"/>
            <w:vAlign w:val="center"/>
            <w:hideMark/>
          </w:tcPr>
          <w:p w14:paraId="78A0B26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523- Tribunal Penal de Pavas</w:t>
            </w:r>
          </w:p>
        </w:tc>
        <w:tc>
          <w:tcPr>
            <w:tcW w:w="1015" w:type="dxa"/>
            <w:tcBorders>
              <w:top w:val="nil"/>
              <w:left w:val="nil"/>
              <w:bottom w:val="single" w:sz="4" w:space="0" w:color="auto"/>
              <w:right w:val="single" w:sz="4" w:space="0" w:color="auto"/>
            </w:tcBorders>
            <w:shd w:val="clear" w:color="auto" w:fill="auto"/>
            <w:vAlign w:val="center"/>
            <w:hideMark/>
          </w:tcPr>
          <w:p w14:paraId="47E9241C"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561B286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JUEZ 4 </w:t>
            </w:r>
          </w:p>
        </w:tc>
        <w:tc>
          <w:tcPr>
            <w:tcW w:w="1260" w:type="dxa"/>
            <w:tcBorders>
              <w:top w:val="nil"/>
              <w:left w:val="nil"/>
              <w:bottom w:val="single" w:sz="4" w:space="0" w:color="auto"/>
              <w:right w:val="single" w:sz="4" w:space="0" w:color="auto"/>
            </w:tcBorders>
            <w:shd w:val="clear" w:color="auto" w:fill="auto"/>
            <w:hideMark/>
          </w:tcPr>
          <w:p w14:paraId="6AE9D64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0CFDFF0C"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2D934A72"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069BBF59"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20087B32"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006AFA0B"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2307396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auto" w:fill="auto"/>
            <w:hideMark/>
          </w:tcPr>
          <w:p w14:paraId="67323A93"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018486F6"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072E1EDE"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0F62E446"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5FDBF8B1"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14E07F0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037642DB"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3</w:t>
            </w:r>
          </w:p>
        </w:tc>
        <w:tc>
          <w:tcPr>
            <w:tcW w:w="1260" w:type="dxa"/>
            <w:tcBorders>
              <w:top w:val="nil"/>
              <w:left w:val="nil"/>
              <w:bottom w:val="single" w:sz="4" w:space="0" w:color="auto"/>
              <w:right w:val="single" w:sz="4" w:space="0" w:color="auto"/>
            </w:tcBorders>
            <w:shd w:val="clear" w:color="auto" w:fill="auto"/>
            <w:hideMark/>
          </w:tcPr>
          <w:p w14:paraId="6AEF831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0AF9DB85" w14:textId="77777777" w:rsidTr="00413346">
        <w:trPr>
          <w:trHeight w:val="240"/>
          <w:jc w:val="center"/>
        </w:trPr>
        <w:tc>
          <w:tcPr>
            <w:tcW w:w="184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43A460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928 Organismo de Investigación Judicial</w:t>
            </w:r>
          </w:p>
        </w:tc>
        <w:tc>
          <w:tcPr>
            <w:tcW w:w="170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9DA9B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Organismo de Investigación Judicial</w:t>
            </w:r>
          </w:p>
        </w:tc>
        <w:tc>
          <w:tcPr>
            <w:tcW w:w="16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D851D6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0059 DELEGACION REGIONAL DE HEREDIA</w:t>
            </w:r>
          </w:p>
        </w:tc>
        <w:tc>
          <w:tcPr>
            <w:tcW w:w="1015" w:type="dxa"/>
            <w:tcBorders>
              <w:top w:val="nil"/>
              <w:left w:val="nil"/>
              <w:bottom w:val="single" w:sz="4" w:space="0" w:color="auto"/>
              <w:right w:val="single" w:sz="4" w:space="0" w:color="auto"/>
            </w:tcBorders>
            <w:shd w:val="clear" w:color="auto" w:fill="auto"/>
            <w:vAlign w:val="center"/>
            <w:hideMark/>
          </w:tcPr>
          <w:p w14:paraId="26C7158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3E9091D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hideMark/>
          </w:tcPr>
          <w:p w14:paraId="4B36A8E3"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359413</w:t>
            </w:r>
          </w:p>
        </w:tc>
      </w:tr>
      <w:tr w:rsidR="00CF290F" w:rsidRPr="00CF290F" w14:paraId="4AB0DEE1"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2E6722A2"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45A865DC"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68588DEC"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2849913E"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2955D0B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hideMark/>
          </w:tcPr>
          <w:p w14:paraId="5C33CF9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352750</w:t>
            </w:r>
          </w:p>
        </w:tc>
      </w:tr>
      <w:tr w:rsidR="00CF290F" w:rsidRPr="00CF290F" w14:paraId="559E256A"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7E632897"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3D19144E"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62CBA1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0062 DELEGACION REGIONAL DE CIUDAD NEILLY</w:t>
            </w:r>
          </w:p>
        </w:tc>
        <w:tc>
          <w:tcPr>
            <w:tcW w:w="1015" w:type="dxa"/>
            <w:tcBorders>
              <w:top w:val="nil"/>
              <w:left w:val="nil"/>
              <w:bottom w:val="single" w:sz="4" w:space="0" w:color="auto"/>
              <w:right w:val="single" w:sz="4" w:space="0" w:color="auto"/>
            </w:tcBorders>
            <w:shd w:val="clear" w:color="auto" w:fill="auto"/>
            <w:vAlign w:val="center"/>
            <w:hideMark/>
          </w:tcPr>
          <w:p w14:paraId="7CEC08AD"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0615CC83"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hideMark/>
          </w:tcPr>
          <w:p w14:paraId="0D53743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367985</w:t>
            </w:r>
          </w:p>
        </w:tc>
      </w:tr>
      <w:tr w:rsidR="00CF290F" w:rsidRPr="00CF290F" w14:paraId="1411EBA1"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2F0E3FA1"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50ABE173"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6CF4CA12"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05F917D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40136965"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hideMark/>
          </w:tcPr>
          <w:p w14:paraId="43BF119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369982</w:t>
            </w:r>
          </w:p>
        </w:tc>
      </w:tr>
      <w:tr w:rsidR="00CF290F" w:rsidRPr="00CF290F" w14:paraId="28866818"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0E892DF2"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3FB46811"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093523"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0067 SUBDELEGACION REGIONAL TURRIALBA</w:t>
            </w:r>
          </w:p>
        </w:tc>
        <w:tc>
          <w:tcPr>
            <w:tcW w:w="1015" w:type="dxa"/>
            <w:tcBorders>
              <w:top w:val="nil"/>
              <w:left w:val="nil"/>
              <w:bottom w:val="single" w:sz="4" w:space="0" w:color="auto"/>
              <w:right w:val="single" w:sz="4" w:space="0" w:color="auto"/>
            </w:tcBorders>
            <w:shd w:val="clear" w:color="auto" w:fill="auto"/>
            <w:vAlign w:val="center"/>
            <w:hideMark/>
          </w:tcPr>
          <w:p w14:paraId="074834D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781FEDA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hideMark/>
          </w:tcPr>
          <w:p w14:paraId="7BEC04F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359407</w:t>
            </w:r>
          </w:p>
        </w:tc>
      </w:tr>
      <w:tr w:rsidR="00CF290F" w:rsidRPr="00CF290F" w14:paraId="727DE025"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475432C4"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042C5F13"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35481586"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296E834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0FB0281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hideMark/>
          </w:tcPr>
          <w:p w14:paraId="73FE011E"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359409</w:t>
            </w:r>
          </w:p>
        </w:tc>
      </w:tr>
      <w:tr w:rsidR="00CF290F" w:rsidRPr="00CF290F" w14:paraId="64F8BE72"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620CDC35"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2268C555"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8670CD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0070 SUBDELEGACION REGIONAL SIQUIRRES</w:t>
            </w:r>
          </w:p>
        </w:tc>
        <w:tc>
          <w:tcPr>
            <w:tcW w:w="1015" w:type="dxa"/>
            <w:tcBorders>
              <w:top w:val="nil"/>
              <w:left w:val="nil"/>
              <w:bottom w:val="single" w:sz="4" w:space="0" w:color="auto"/>
              <w:right w:val="single" w:sz="4" w:space="0" w:color="auto"/>
            </w:tcBorders>
            <w:shd w:val="clear" w:color="auto" w:fill="auto"/>
            <w:vAlign w:val="center"/>
            <w:hideMark/>
          </w:tcPr>
          <w:p w14:paraId="14639DF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4CAF159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hideMark/>
          </w:tcPr>
          <w:p w14:paraId="73DC496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367978</w:t>
            </w:r>
          </w:p>
        </w:tc>
      </w:tr>
      <w:tr w:rsidR="00CF290F" w:rsidRPr="00CF290F" w14:paraId="3F13F00C"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35AF06F0"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16A9F1C4"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10ACB81C"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4D1FBDB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55BE3AD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hideMark/>
          </w:tcPr>
          <w:p w14:paraId="7DE46C1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372131</w:t>
            </w:r>
          </w:p>
        </w:tc>
      </w:tr>
      <w:tr w:rsidR="00CF290F" w:rsidRPr="00CF290F" w14:paraId="0684BF16"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7AECC4A9"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68419276"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69C978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0073 SUBDELEGACION REGIONAL CAÑAS</w:t>
            </w:r>
          </w:p>
        </w:tc>
        <w:tc>
          <w:tcPr>
            <w:tcW w:w="1015" w:type="dxa"/>
            <w:tcBorders>
              <w:top w:val="nil"/>
              <w:left w:val="nil"/>
              <w:bottom w:val="single" w:sz="4" w:space="0" w:color="auto"/>
              <w:right w:val="single" w:sz="4" w:space="0" w:color="auto"/>
            </w:tcBorders>
            <w:shd w:val="clear" w:color="auto" w:fill="auto"/>
            <w:vAlign w:val="center"/>
            <w:hideMark/>
          </w:tcPr>
          <w:p w14:paraId="306CF32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5EB8D6FD"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hideMark/>
          </w:tcPr>
          <w:p w14:paraId="741C8E1C"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367980</w:t>
            </w:r>
          </w:p>
        </w:tc>
      </w:tr>
      <w:tr w:rsidR="00CF290F" w:rsidRPr="00CF290F" w14:paraId="0F738B40"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2DA36CA9"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718C55AD"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2FBFB639"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68BE839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6FCB44B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hideMark/>
          </w:tcPr>
          <w:p w14:paraId="64183343"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372134</w:t>
            </w:r>
          </w:p>
        </w:tc>
      </w:tr>
      <w:tr w:rsidR="00CF290F" w:rsidRPr="00CF290F" w14:paraId="2FB04545"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5EB1DE08"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689FB331"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1AA5A4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0076 SUBDELEGACION REGIONAL DE SARAPIQUI</w:t>
            </w:r>
          </w:p>
        </w:tc>
        <w:tc>
          <w:tcPr>
            <w:tcW w:w="1015" w:type="dxa"/>
            <w:tcBorders>
              <w:top w:val="nil"/>
              <w:left w:val="nil"/>
              <w:bottom w:val="single" w:sz="4" w:space="0" w:color="auto"/>
              <w:right w:val="single" w:sz="4" w:space="0" w:color="auto"/>
            </w:tcBorders>
            <w:shd w:val="clear" w:color="auto" w:fill="auto"/>
            <w:vAlign w:val="center"/>
            <w:hideMark/>
          </w:tcPr>
          <w:p w14:paraId="0F56633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0027D28D"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hideMark/>
          </w:tcPr>
          <w:p w14:paraId="12C521D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363829</w:t>
            </w:r>
          </w:p>
        </w:tc>
      </w:tr>
      <w:tr w:rsidR="00CF290F" w:rsidRPr="00CF290F" w14:paraId="6FDFED41"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185E3C32"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723804D5"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6A1E41D5"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25D07C4B"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4A3D2303"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hideMark/>
          </w:tcPr>
          <w:p w14:paraId="2674F4CC"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363827</w:t>
            </w:r>
          </w:p>
        </w:tc>
      </w:tr>
      <w:tr w:rsidR="00CF290F" w:rsidRPr="00CF290F" w14:paraId="1E6AD438"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7C9DCAD3"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4C7AF65D"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000000" w:fill="FFFFFF"/>
            <w:vAlign w:val="center"/>
            <w:hideMark/>
          </w:tcPr>
          <w:p w14:paraId="244A356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0706 UNIDAD REGIONAL LOS CHILES</w:t>
            </w:r>
          </w:p>
        </w:tc>
        <w:tc>
          <w:tcPr>
            <w:tcW w:w="1015" w:type="dxa"/>
            <w:tcBorders>
              <w:top w:val="nil"/>
              <w:left w:val="nil"/>
              <w:bottom w:val="single" w:sz="4" w:space="0" w:color="auto"/>
              <w:right w:val="single" w:sz="4" w:space="0" w:color="auto"/>
            </w:tcBorders>
            <w:shd w:val="clear" w:color="auto" w:fill="auto"/>
            <w:vAlign w:val="center"/>
            <w:hideMark/>
          </w:tcPr>
          <w:p w14:paraId="4DEFDF00" w14:textId="13108FB9" w:rsidR="00CF290F" w:rsidRPr="00CF290F" w:rsidRDefault="00484064" w:rsidP="00CF290F">
            <w:pPr>
              <w:spacing w:after="0" w:line="240" w:lineRule="auto"/>
              <w:jc w:val="center"/>
              <w:rPr>
                <w:rFonts w:ascii="Book Antiqua" w:eastAsia="Times New Roman" w:hAnsi="Book Antiqua" w:cs="Calibri Light"/>
                <w:color w:val="000000"/>
                <w:sz w:val="16"/>
                <w:szCs w:val="16"/>
                <w:lang w:eastAsia="es-CR"/>
              </w:rPr>
            </w:pPr>
            <w:r>
              <w:rPr>
                <w:rFonts w:ascii="Book Antiqua" w:eastAsia="Times New Roman" w:hAnsi="Book Antiqua" w:cs="Calibri Light"/>
                <w:color w:val="000000"/>
                <w:sz w:val="16"/>
                <w:szCs w:val="16"/>
                <w:lang w:eastAsia="es-CR"/>
              </w:rPr>
              <w:t>2</w:t>
            </w:r>
          </w:p>
        </w:tc>
        <w:tc>
          <w:tcPr>
            <w:tcW w:w="2056" w:type="dxa"/>
            <w:tcBorders>
              <w:top w:val="nil"/>
              <w:left w:val="nil"/>
              <w:bottom w:val="single" w:sz="4" w:space="0" w:color="auto"/>
              <w:right w:val="single" w:sz="4" w:space="0" w:color="auto"/>
            </w:tcBorders>
            <w:shd w:val="clear" w:color="000000" w:fill="FFFFFF"/>
            <w:vAlign w:val="center"/>
            <w:hideMark/>
          </w:tcPr>
          <w:p w14:paraId="064AE56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hideMark/>
          </w:tcPr>
          <w:p w14:paraId="03CF13FA" w14:textId="77777777" w:rsid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359382</w:t>
            </w:r>
          </w:p>
          <w:p w14:paraId="024EA70A" w14:textId="3A3E0B9A" w:rsidR="00484064" w:rsidRPr="00CF290F" w:rsidRDefault="00484064" w:rsidP="00CF290F">
            <w:pPr>
              <w:spacing w:after="0" w:line="240" w:lineRule="auto"/>
              <w:jc w:val="center"/>
              <w:rPr>
                <w:rFonts w:ascii="Book Antiqua" w:eastAsia="Times New Roman" w:hAnsi="Book Antiqua" w:cs="Calibri Light"/>
                <w:color w:val="000000"/>
                <w:sz w:val="16"/>
                <w:szCs w:val="16"/>
                <w:lang w:eastAsia="es-CR"/>
              </w:rPr>
            </w:pPr>
            <w:r w:rsidRPr="001479D1">
              <w:rPr>
                <w:rFonts w:ascii="Book Antiqua" w:eastAsia="Times New Roman" w:hAnsi="Book Antiqua" w:cs="Calibri Light"/>
                <w:color w:val="000000"/>
                <w:sz w:val="16"/>
                <w:szCs w:val="16"/>
                <w:lang w:eastAsia="es-CR"/>
              </w:rPr>
              <w:t>359383</w:t>
            </w:r>
          </w:p>
        </w:tc>
      </w:tr>
      <w:tr w:rsidR="00CF290F" w:rsidRPr="00CF290F" w14:paraId="7BCC1C21" w14:textId="77777777" w:rsidTr="00484064">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035C3AEC"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044D1A4C"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CF68FAE"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0800 SUBDELEGACION REGIONAL DE SANTA CRUZ</w:t>
            </w:r>
          </w:p>
        </w:tc>
        <w:tc>
          <w:tcPr>
            <w:tcW w:w="1015" w:type="dxa"/>
            <w:tcBorders>
              <w:top w:val="nil"/>
              <w:left w:val="nil"/>
              <w:bottom w:val="single" w:sz="4" w:space="0" w:color="auto"/>
              <w:right w:val="single" w:sz="4" w:space="0" w:color="auto"/>
            </w:tcBorders>
            <w:shd w:val="clear" w:color="auto" w:fill="auto"/>
            <w:vAlign w:val="center"/>
            <w:hideMark/>
          </w:tcPr>
          <w:p w14:paraId="39F2D74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3439D38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vAlign w:val="center"/>
            <w:hideMark/>
          </w:tcPr>
          <w:p w14:paraId="2974AAE0" w14:textId="77777777" w:rsidR="00CF290F" w:rsidRPr="00CF290F" w:rsidRDefault="00CF290F" w:rsidP="00484064">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96439</w:t>
            </w:r>
          </w:p>
        </w:tc>
      </w:tr>
      <w:tr w:rsidR="00CF290F" w:rsidRPr="00CF290F" w14:paraId="24FA5F44" w14:textId="77777777" w:rsidTr="00484064">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60600623"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5ED85922"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2CE06730"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37E35D4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287D3EA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vAlign w:val="center"/>
            <w:hideMark/>
          </w:tcPr>
          <w:p w14:paraId="67D9AE23" w14:textId="77777777" w:rsidR="00CF290F" w:rsidRPr="00CF290F" w:rsidRDefault="00CF290F" w:rsidP="00484064">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369990</w:t>
            </w:r>
          </w:p>
        </w:tc>
      </w:tr>
      <w:tr w:rsidR="00CF290F" w:rsidRPr="00CF290F" w14:paraId="473A1658" w14:textId="77777777" w:rsidTr="00484064">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1C0828A6"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000C1E08"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000000" w:fill="FFFFFF"/>
            <w:vAlign w:val="center"/>
            <w:hideMark/>
          </w:tcPr>
          <w:p w14:paraId="6BE8D57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0990 UNIDAD REGIONAL BUENOS AIRES</w:t>
            </w:r>
          </w:p>
        </w:tc>
        <w:tc>
          <w:tcPr>
            <w:tcW w:w="1015" w:type="dxa"/>
            <w:tcBorders>
              <w:top w:val="nil"/>
              <w:left w:val="nil"/>
              <w:bottom w:val="single" w:sz="4" w:space="0" w:color="auto"/>
              <w:right w:val="single" w:sz="4" w:space="0" w:color="auto"/>
            </w:tcBorders>
            <w:shd w:val="clear" w:color="auto" w:fill="auto"/>
            <w:vAlign w:val="center"/>
            <w:hideMark/>
          </w:tcPr>
          <w:p w14:paraId="5E516DA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74E77A4C"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vAlign w:val="center"/>
            <w:hideMark/>
          </w:tcPr>
          <w:p w14:paraId="6F4BBA61" w14:textId="77777777" w:rsidR="00CF290F" w:rsidRPr="00CF290F" w:rsidRDefault="00CF290F" w:rsidP="00484064">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372137</w:t>
            </w:r>
          </w:p>
        </w:tc>
      </w:tr>
      <w:tr w:rsidR="00CF290F" w:rsidRPr="00CF290F" w14:paraId="7C971E0E" w14:textId="77777777" w:rsidTr="00484064">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1A781898"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0C5444E8"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000000" w:fill="FFFFFF"/>
            <w:vAlign w:val="center"/>
            <w:hideMark/>
          </w:tcPr>
          <w:p w14:paraId="17E428EA" w14:textId="701C4DD9" w:rsidR="00CF290F" w:rsidRPr="00CF290F" w:rsidRDefault="00484064" w:rsidP="00CF290F">
            <w:pPr>
              <w:spacing w:after="0" w:line="240" w:lineRule="auto"/>
              <w:jc w:val="center"/>
              <w:rPr>
                <w:rFonts w:ascii="Book Antiqua" w:eastAsia="Times New Roman" w:hAnsi="Book Antiqua" w:cs="Calibri Light"/>
                <w:color w:val="000000"/>
                <w:sz w:val="16"/>
                <w:szCs w:val="16"/>
                <w:lang w:eastAsia="es-CR"/>
              </w:rPr>
            </w:pPr>
            <w:r w:rsidRPr="001479D1">
              <w:rPr>
                <w:rFonts w:ascii="Book Antiqua" w:eastAsia="Times New Roman" w:hAnsi="Book Antiqua" w:cs="Calibri Light"/>
                <w:color w:val="000000"/>
                <w:sz w:val="16"/>
                <w:szCs w:val="16"/>
                <w:lang w:eastAsia="es-CR"/>
              </w:rPr>
              <w:t>1104 UNIDAD REGIONAL DE ATENAS</w:t>
            </w:r>
          </w:p>
        </w:tc>
        <w:tc>
          <w:tcPr>
            <w:tcW w:w="1015" w:type="dxa"/>
            <w:tcBorders>
              <w:top w:val="nil"/>
              <w:left w:val="nil"/>
              <w:bottom w:val="single" w:sz="4" w:space="0" w:color="auto"/>
              <w:right w:val="single" w:sz="4" w:space="0" w:color="auto"/>
            </w:tcBorders>
            <w:shd w:val="clear" w:color="auto" w:fill="auto"/>
            <w:vAlign w:val="center"/>
            <w:hideMark/>
          </w:tcPr>
          <w:p w14:paraId="27024811" w14:textId="7825C28D" w:rsidR="00CF290F" w:rsidRPr="00CF290F" w:rsidRDefault="00484064" w:rsidP="00CF290F">
            <w:pPr>
              <w:spacing w:after="0" w:line="240" w:lineRule="auto"/>
              <w:jc w:val="center"/>
              <w:rPr>
                <w:rFonts w:ascii="Book Antiqua" w:eastAsia="Times New Roman" w:hAnsi="Book Antiqua" w:cs="Calibri Light"/>
                <w:color w:val="000000"/>
                <w:sz w:val="16"/>
                <w:szCs w:val="16"/>
                <w:lang w:eastAsia="es-CR"/>
              </w:rPr>
            </w:pPr>
            <w:r>
              <w:rPr>
                <w:rFonts w:ascii="Book Antiqua" w:eastAsia="Times New Roman" w:hAnsi="Book Antiqua" w:cs="Calibri Light"/>
                <w:color w:val="000000"/>
                <w:sz w:val="16"/>
                <w:szCs w:val="16"/>
                <w:lang w:eastAsia="es-CR"/>
              </w:rPr>
              <w:t>2</w:t>
            </w:r>
          </w:p>
        </w:tc>
        <w:tc>
          <w:tcPr>
            <w:tcW w:w="2056" w:type="dxa"/>
            <w:tcBorders>
              <w:top w:val="nil"/>
              <w:left w:val="nil"/>
              <w:bottom w:val="single" w:sz="4" w:space="0" w:color="auto"/>
              <w:right w:val="single" w:sz="4" w:space="0" w:color="auto"/>
            </w:tcBorders>
            <w:shd w:val="clear" w:color="000000" w:fill="FFFFFF"/>
            <w:vAlign w:val="center"/>
            <w:hideMark/>
          </w:tcPr>
          <w:p w14:paraId="1D936A5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vAlign w:val="center"/>
            <w:hideMark/>
          </w:tcPr>
          <w:p w14:paraId="5D909388" w14:textId="559D988E" w:rsidR="00484064" w:rsidRPr="001479D1" w:rsidRDefault="00484064" w:rsidP="00484064">
            <w:pPr>
              <w:spacing w:after="0" w:line="240" w:lineRule="auto"/>
              <w:jc w:val="center"/>
              <w:rPr>
                <w:rFonts w:ascii="Book Antiqua" w:eastAsia="Times New Roman" w:hAnsi="Book Antiqua" w:cs="Calibri Light"/>
                <w:color w:val="000000"/>
                <w:sz w:val="16"/>
                <w:szCs w:val="16"/>
                <w:lang w:eastAsia="es-CR"/>
              </w:rPr>
            </w:pPr>
            <w:r w:rsidRPr="001479D1">
              <w:rPr>
                <w:rFonts w:ascii="Book Antiqua" w:eastAsia="Times New Roman" w:hAnsi="Book Antiqua" w:cs="Calibri Light"/>
                <w:color w:val="000000"/>
                <w:sz w:val="16"/>
                <w:szCs w:val="16"/>
                <w:lang w:eastAsia="es-CR"/>
              </w:rPr>
              <w:t>84109</w:t>
            </w:r>
          </w:p>
          <w:p w14:paraId="3B63BEAF" w14:textId="0E78BE92" w:rsidR="00CF290F" w:rsidRPr="00CF290F" w:rsidRDefault="00484064" w:rsidP="00484064">
            <w:pPr>
              <w:spacing w:after="0" w:line="240" w:lineRule="auto"/>
              <w:jc w:val="center"/>
              <w:rPr>
                <w:rFonts w:ascii="Book Antiqua" w:eastAsia="Times New Roman" w:hAnsi="Book Antiqua" w:cs="Calibri Light"/>
                <w:color w:val="000000"/>
                <w:sz w:val="16"/>
                <w:szCs w:val="16"/>
                <w:lang w:eastAsia="es-CR"/>
              </w:rPr>
            </w:pPr>
            <w:r w:rsidRPr="001479D1">
              <w:rPr>
                <w:rFonts w:ascii="Book Antiqua" w:eastAsia="Times New Roman" w:hAnsi="Book Antiqua" w:cs="Calibri Light"/>
                <w:color w:val="000000"/>
                <w:sz w:val="16"/>
                <w:szCs w:val="16"/>
                <w:lang w:eastAsia="es-CR"/>
              </w:rPr>
              <w:t>364046</w:t>
            </w:r>
          </w:p>
        </w:tc>
      </w:tr>
      <w:tr w:rsidR="00CF290F" w:rsidRPr="00CF290F" w14:paraId="16917ABE"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4C690129"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735E6852"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D4F73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1167 ADMINISTRACION DEL ORGANISMO DE INVESTIGACION JUDICIAL</w:t>
            </w:r>
          </w:p>
        </w:tc>
        <w:tc>
          <w:tcPr>
            <w:tcW w:w="1015" w:type="dxa"/>
            <w:tcBorders>
              <w:top w:val="nil"/>
              <w:left w:val="nil"/>
              <w:bottom w:val="single" w:sz="4" w:space="0" w:color="auto"/>
              <w:right w:val="single" w:sz="4" w:space="0" w:color="auto"/>
            </w:tcBorders>
            <w:shd w:val="clear" w:color="auto" w:fill="auto"/>
            <w:vAlign w:val="center"/>
            <w:hideMark/>
          </w:tcPr>
          <w:p w14:paraId="101DDD45"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64BE481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hideMark/>
          </w:tcPr>
          <w:p w14:paraId="72E000F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84109</w:t>
            </w:r>
          </w:p>
        </w:tc>
      </w:tr>
      <w:tr w:rsidR="00CF290F" w:rsidRPr="00CF290F" w14:paraId="248372D0"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661E864A"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3C12B8B9"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35456401"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421A493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0576939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hideMark/>
          </w:tcPr>
          <w:p w14:paraId="31083FC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364046</w:t>
            </w:r>
          </w:p>
        </w:tc>
      </w:tr>
      <w:tr w:rsidR="00CF290F" w:rsidRPr="00CF290F" w14:paraId="1FC11444"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61D84DE8"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4231ADE6"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06E92A9F"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3A14D5F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4C61A4D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hideMark/>
          </w:tcPr>
          <w:p w14:paraId="58FDE82E"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097FD6E7"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4D33293A"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3EC17C93"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1FD4D976"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43A7575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05CE656C"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hideMark/>
          </w:tcPr>
          <w:p w14:paraId="5A15984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7CACBB4A"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0864201B"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04306A87"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507371CB"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77E14DC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19721E7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hideMark/>
          </w:tcPr>
          <w:p w14:paraId="4A06A9CB"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58CC5A78"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099A1154"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76977856"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2BF07D9E"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440FF25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32D0A23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hideMark/>
          </w:tcPr>
          <w:p w14:paraId="08EBCAB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710F56E5"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32B789D5"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462F7ADC"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26891287"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73989F4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4122752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hideMark/>
          </w:tcPr>
          <w:p w14:paraId="61F437D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34A1B8A3"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748591F0"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433CA30B"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0847A468"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3F7AE13B"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681F57CB"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hideMark/>
          </w:tcPr>
          <w:p w14:paraId="1577EBE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3777BEB7"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3B351623"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7E9F1D25"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single" w:sz="4" w:space="0" w:color="auto"/>
              <w:bottom w:val="single" w:sz="4" w:space="0" w:color="000000"/>
              <w:right w:val="single" w:sz="4" w:space="0" w:color="auto"/>
            </w:tcBorders>
            <w:shd w:val="clear" w:color="000000" w:fill="FFFFFF"/>
            <w:vAlign w:val="center"/>
            <w:hideMark/>
          </w:tcPr>
          <w:p w14:paraId="392E0BE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DELEGACION REGIONAL DE CARTAGO</w:t>
            </w:r>
          </w:p>
        </w:tc>
        <w:tc>
          <w:tcPr>
            <w:tcW w:w="1015" w:type="dxa"/>
            <w:tcBorders>
              <w:top w:val="nil"/>
              <w:left w:val="nil"/>
              <w:bottom w:val="single" w:sz="4" w:space="0" w:color="auto"/>
              <w:right w:val="single" w:sz="4" w:space="0" w:color="auto"/>
            </w:tcBorders>
            <w:shd w:val="clear" w:color="auto" w:fill="auto"/>
            <w:vAlign w:val="center"/>
            <w:hideMark/>
          </w:tcPr>
          <w:p w14:paraId="368A7EE5"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7A32EDF5"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hideMark/>
          </w:tcPr>
          <w:p w14:paraId="35D37556" w14:textId="77777777" w:rsidR="00484064" w:rsidRDefault="00484064" w:rsidP="00CF290F">
            <w:pPr>
              <w:spacing w:after="0" w:line="240" w:lineRule="auto"/>
              <w:jc w:val="center"/>
              <w:rPr>
                <w:rFonts w:ascii="Book Antiqua" w:eastAsia="Times New Roman" w:hAnsi="Book Antiqua" w:cs="Calibri Light"/>
                <w:color w:val="000000"/>
                <w:sz w:val="16"/>
                <w:szCs w:val="16"/>
                <w:lang w:eastAsia="es-CR"/>
              </w:rPr>
            </w:pPr>
          </w:p>
          <w:p w14:paraId="0EDFB6E2" w14:textId="41B7736A"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359404</w:t>
            </w:r>
          </w:p>
        </w:tc>
      </w:tr>
      <w:tr w:rsidR="00CF290F" w:rsidRPr="00CF290F" w14:paraId="2AFE3AED"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7C3663A9"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4D9A47F9"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C805C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SUBDELEGACION REGIONAL NICOYA</w:t>
            </w:r>
          </w:p>
        </w:tc>
        <w:tc>
          <w:tcPr>
            <w:tcW w:w="1015" w:type="dxa"/>
            <w:tcBorders>
              <w:top w:val="nil"/>
              <w:left w:val="nil"/>
              <w:bottom w:val="single" w:sz="4" w:space="0" w:color="auto"/>
              <w:right w:val="single" w:sz="4" w:space="0" w:color="auto"/>
            </w:tcBorders>
            <w:shd w:val="clear" w:color="auto" w:fill="auto"/>
            <w:vAlign w:val="center"/>
            <w:hideMark/>
          </w:tcPr>
          <w:p w14:paraId="3E9299D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1924417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hideMark/>
          </w:tcPr>
          <w:p w14:paraId="1EF152B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367977</w:t>
            </w:r>
          </w:p>
        </w:tc>
      </w:tr>
      <w:tr w:rsidR="00CF290F" w:rsidRPr="00CF290F" w14:paraId="5A22F224" w14:textId="77777777" w:rsidTr="00413346">
        <w:trPr>
          <w:trHeight w:val="240"/>
          <w:jc w:val="center"/>
        </w:trPr>
        <w:tc>
          <w:tcPr>
            <w:tcW w:w="1841" w:type="dxa"/>
            <w:vMerge/>
            <w:tcBorders>
              <w:top w:val="nil"/>
              <w:left w:val="single" w:sz="4" w:space="0" w:color="auto"/>
              <w:bottom w:val="single" w:sz="4" w:space="0" w:color="000000"/>
              <w:right w:val="single" w:sz="4" w:space="0" w:color="auto"/>
            </w:tcBorders>
            <w:vAlign w:val="center"/>
            <w:hideMark/>
          </w:tcPr>
          <w:p w14:paraId="76275BC7"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single" w:sz="4" w:space="0" w:color="000000"/>
              <w:right w:val="single" w:sz="4" w:space="0" w:color="auto"/>
            </w:tcBorders>
            <w:vAlign w:val="center"/>
            <w:hideMark/>
          </w:tcPr>
          <w:p w14:paraId="5EF8DEA5"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0C825BCD"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0008849E"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61D45D4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CUSTODIO DE DETENIDOS</w:t>
            </w:r>
          </w:p>
        </w:tc>
        <w:tc>
          <w:tcPr>
            <w:tcW w:w="1260" w:type="dxa"/>
            <w:tcBorders>
              <w:top w:val="nil"/>
              <w:left w:val="nil"/>
              <w:bottom w:val="single" w:sz="4" w:space="0" w:color="auto"/>
              <w:right w:val="single" w:sz="4" w:space="0" w:color="auto"/>
            </w:tcBorders>
            <w:shd w:val="clear" w:color="000000" w:fill="FFFFFF"/>
            <w:hideMark/>
          </w:tcPr>
          <w:p w14:paraId="2B0AD89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367976</w:t>
            </w:r>
          </w:p>
        </w:tc>
      </w:tr>
      <w:tr w:rsidR="00CF290F" w:rsidRPr="00CF290F" w14:paraId="2E659532" w14:textId="77777777" w:rsidTr="00413346">
        <w:trPr>
          <w:trHeight w:val="240"/>
          <w:jc w:val="center"/>
        </w:trPr>
        <w:tc>
          <w:tcPr>
            <w:tcW w:w="1841" w:type="dxa"/>
            <w:vMerge w:val="restart"/>
            <w:tcBorders>
              <w:top w:val="nil"/>
              <w:left w:val="single" w:sz="4" w:space="0" w:color="auto"/>
              <w:bottom w:val="nil"/>
              <w:right w:val="single" w:sz="4" w:space="0" w:color="auto"/>
            </w:tcBorders>
            <w:shd w:val="clear" w:color="000000" w:fill="FFFFFF"/>
            <w:vAlign w:val="center"/>
            <w:hideMark/>
          </w:tcPr>
          <w:p w14:paraId="09B0232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929 Ministerio Público</w:t>
            </w:r>
          </w:p>
        </w:tc>
        <w:tc>
          <w:tcPr>
            <w:tcW w:w="1704" w:type="dxa"/>
            <w:vMerge w:val="restart"/>
            <w:tcBorders>
              <w:top w:val="nil"/>
              <w:left w:val="single" w:sz="4" w:space="0" w:color="auto"/>
              <w:bottom w:val="nil"/>
              <w:right w:val="single" w:sz="4" w:space="0" w:color="auto"/>
            </w:tcBorders>
            <w:shd w:val="clear" w:color="000000" w:fill="FFFFFF"/>
            <w:vAlign w:val="center"/>
            <w:hideMark/>
          </w:tcPr>
          <w:p w14:paraId="45413B0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Ministerio Público</w:t>
            </w:r>
          </w:p>
        </w:tc>
        <w:tc>
          <w:tcPr>
            <w:tcW w:w="16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28152CD"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0277 FISCALIA DE HATILLO</w:t>
            </w:r>
          </w:p>
        </w:tc>
        <w:tc>
          <w:tcPr>
            <w:tcW w:w="1015" w:type="dxa"/>
            <w:tcBorders>
              <w:top w:val="nil"/>
              <w:left w:val="nil"/>
              <w:bottom w:val="single" w:sz="4" w:space="0" w:color="auto"/>
              <w:right w:val="single" w:sz="4" w:space="0" w:color="auto"/>
            </w:tcBorders>
            <w:shd w:val="clear" w:color="auto" w:fill="auto"/>
            <w:vAlign w:val="center"/>
            <w:hideMark/>
          </w:tcPr>
          <w:p w14:paraId="66528093"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061B7C3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FISCAL AUXILIAR </w:t>
            </w:r>
          </w:p>
        </w:tc>
        <w:tc>
          <w:tcPr>
            <w:tcW w:w="1260" w:type="dxa"/>
            <w:tcBorders>
              <w:top w:val="nil"/>
              <w:left w:val="nil"/>
              <w:bottom w:val="single" w:sz="4" w:space="0" w:color="auto"/>
              <w:right w:val="single" w:sz="4" w:space="0" w:color="auto"/>
            </w:tcBorders>
            <w:shd w:val="clear" w:color="000000" w:fill="FFFFFF"/>
            <w:hideMark/>
          </w:tcPr>
          <w:p w14:paraId="67792AA3"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366116</w:t>
            </w:r>
          </w:p>
        </w:tc>
      </w:tr>
      <w:tr w:rsidR="00CF290F" w:rsidRPr="00CF290F" w14:paraId="427B2B19" w14:textId="77777777" w:rsidTr="00413346">
        <w:trPr>
          <w:trHeight w:val="240"/>
          <w:jc w:val="center"/>
        </w:trPr>
        <w:tc>
          <w:tcPr>
            <w:tcW w:w="1841" w:type="dxa"/>
            <w:vMerge/>
            <w:tcBorders>
              <w:top w:val="nil"/>
              <w:left w:val="single" w:sz="4" w:space="0" w:color="auto"/>
              <w:bottom w:val="nil"/>
              <w:right w:val="single" w:sz="4" w:space="0" w:color="auto"/>
            </w:tcBorders>
            <w:vAlign w:val="center"/>
            <w:hideMark/>
          </w:tcPr>
          <w:p w14:paraId="0A195AD0"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nil"/>
              <w:right w:val="single" w:sz="4" w:space="0" w:color="auto"/>
            </w:tcBorders>
            <w:vAlign w:val="center"/>
            <w:hideMark/>
          </w:tcPr>
          <w:p w14:paraId="09BD8128"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tcBorders>
              <w:top w:val="nil"/>
              <w:left w:val="single" w:sz="4" w:space="0" w:color="auto"/>
              <w:bottom w:val="single" w:sz="4" w:space="0" w:color="000000"/>
              <w:right w:val="single" w:sz="4" w:space="0" w:color="auto"/>
            </w:tcBorders>
            <w:vAlign w:val="center"/>
            <w:hideMark/>
          </w:tcPr>
          <w:p w14:paraId="461099B9"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hideMark/>
          </w:tcPr>
          <w:p w14:paraId="05E61EE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683C75C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2</w:t>
            </w:r>
          </w:p>
        </w:tc>
        <w:tc>
          <w:tcPr>
            <w:tcW w:w="1260" w:type="dxa"/>
            <w:tcBorders>
              <w:top w:val="nil"/>
              <w:left w:val="nil"/>
              <w:bottom w:val="single" w:sz="4" w:space="0" w:color="auto"/>
              <w:right w:val="single" w:sz="4" w:space="0" w:color="auto"/>
            </w:tcBorders>
            <w:shd w:val="clear" w:color="000000" w:fill="FFFFFF"/>
            <w:hideMark/>
          </w:tcPr>
          <w:p w14:paraId="728063A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96473</w:t>
            </w:r>
          </w:p>
        </w:tc>
      </w:tr>
      <w:tr w:rsidR="00CF290F" w:rsidRPr="00CF290F" w14:paraId="62DE3151" w14:textId="77777777" w:rsidTr="00413346">
        <w:trPr>
          <w:trHeight w:val="240"/>
          <w:jc w:val="center"/>
        </w:trPr>
        <w:tc>
          <w:tcPr>
            <w:tcW w:w="1841" w:type="dxa"/>
            <w:vMerge/>
            <w:tcBorders>
              <w:top w:val="nil"/>
              <w:left w:val="single" w:sz="4" w:space="0" w:color="auto"/>
              <w:bottom w:val="nil"/>
              <w:right w:val="single" w:sz="4" w:space="0" w:color="auto"/>
            </w:tcBorders>
            <w:vAlign w:val="center"/>
            <w:hideMark/>
          </w:tcPr>
          <w:p w14:paraId="0A3131A1"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nil"/>
              <w:right w:val="single" w:sz="4" w:space="0" w:color="auto"/>
            </w:tcBorders>
            <w:vAlign w:val="center"/>
            <w:hideMark/>
          </w:tcPr>
          <w:p w14:paraId="1C49B546"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000000" w:fill="FFFFFF"/>
            <w:vAlign w:val="center"/>
            <w:hideMark/>
          </w:tcPr>
          <w:p w14:paraId="52BBF25B"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0359 FISCALIA DE TURRIALBA</w:t>
            </w:r>
          </w:p>
        </w:tc>
        <w:tc>
          <w:tcPr>
            <w:tcW w:w="1015" w:type="dxa"/>
            <w:tcBorders>
              <w:top w:val="nil"/>
              <w:left w:val="nil"/>
              <w:bottom w:val="single" w:sz="4" w:space="0" w:color="auto"/>
              <w:right w:val="single" w:sz="4" w:space="0" w:color="auto"/>
            </w:tcBorders>
            <w:shd w:val="clear" w:color="auto" w:fill="auto"/>
            <w:vAlign w:val="center"/>
            <w:hideMark/>
          </w:tcPr>
          <w:p w14:paraId="0F4D622E"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26BC3F6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FISCAL AUXILIAR </w:t>
            </w:r>
          </w:p>
        </w:tc>
        <w:tc>
          <w:tcPr>
            <w:tcW w:w="1260" w:type="dxa"/>
            <w:tcBorders>
              <w:top w:val="nil"/>
              <w:left w:val="nil"/>
              <w:bottom w:val="single" w:sz="4" w:space="0" w:color="auto"/>
              <w:right w:val="single" w:sz="4" w:space="0" w:color="auto"/>
            </w:tcBorders>
            <w:shd w:val="clear" w:color="000000" w:fill="FFFFFF"/>
            <w:hideMark/>
          </w:tcPr>
          <w:p w14:paraId="1ED8165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24653</w:t>
            </w:r>
          </w:p>
        </w:tc>
      </w:tr>
      <w:tr w:rsidR="00CF290F" w:rsidRPr="00CF290F" w14:paraId="734FA518" w14:textId="77777777" w:rsidTr="00413346">
        <w:trPr>
          <w:trHeight w:val="240"/>
          <w:jc w:val="center"/>
        </w:trPr>
        <w:tc>
          <w:tcPr>
            <w:tcW w:w="1841" w:type="dxa"/>
            <w:vMerge/>
            <w:tcBorders>
              <w:top w:val="nil"/>
              <w:left w:val="single" w:sz="4" w:space="0" w:color="auto"/>
              <w:bottom w:val="nil"/>
              <w:right w:val="single" w:sz="4" w:space="0" w:color="auto"/>
            </w:tcBorders>
            <w:vAlign w:val="center"/>
            <w:hideMark/>
          </w:tcPr>
          <w:p w14:paraId="0116DA3B"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nil"/>
              <w:right w:val="single" w:sz="4" w:space="0" w:color="auto"/>
            </w:tcBorders>
            <w:vAlign w:val="center"/>
            <w:hideMark/>
          </w:tcPr>
          <w:p w14:paraId="64BEA8D4"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000000" w:fill="FFFFFF"/>
            <w:vAlign w:val="center"/>
            <w:hideMark/>
          </w:tcPr>
          <w:p w14:paraId="015FAAFB"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0412 FISCALIA DE SANTA CRUZ</w:t>
            </w:r>
          </w:p>
        </w:tc>
        <w:tc>
          <w:tcPr>
            <w:tcW w:w="1015" w:type="dxa"/>
            <w:tcBorders>
              <w:top w:val="nil"/>
              <w:left w:val="nil"/>
              <w:bottom w:val="single" w:sz="4" w:space="0" w:color="auto"/>
              <w:right w:val="single" w:sz="4" w:space="0" w:color="auto"/>
            </w:tcBorders>
            <w:shd w:val="clear" w:color="auto" w:fill="auto"/>
            <w:vAlign w:val="center"/>
            <w:hideMark/>
          </w:tcPr>
          <w:p w14:paraId="4E2F1595"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7F5BCA05"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FISCAL AUXILIAR </w:t>
            </w:r>
          </w:p>
        </w:tc>
        <w:tc>
          <w:tcPr>
            <w:tcW w:w="1260" w:type="dxa"/>
            <w:tcBorders>
              <w:top w:val="nil"/>
              <w:left w:val="nil"/>
              <w:bottom w:val="single" w:sz="4" w:space="0" w:color="auto"/>
              <w:right w:val="single" w:sz="4" w:space="0" w:color="auto"/>
            </w:tcBorders>
            <w:shd w:val="clear" w:color="000000" w:fill="FFFFFF"/>
            <w:hideMark/>
          </w:tcPr>
          <w:p w14:paraId="7F6225C3"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352020</w:t>
            </w:r>
          </w:p>
        </w:tc>
      </w:tr>
      <w:tr w:rsidR="00CF290F" w:rsidRPr="00CF290F" w14:paraId="16E2F372" w14:textId="77777777" w:rsidTr="00413346">
        <w:trPr>
          <w:trHeight w:val="240"/>
          <w:jc w:val="center"/>
        </w:trPr>
        <w:tc>
          <w:tcPr>
            <w:tcW w:w="1841" w:type="dxa"/>
            <w:vMerge/>
            <w:tcBorders>
              <w:top w:val="nil"/>
              <w:left w:val="single" w:sz="4" w:space="0" w:color="auto"/>
              <w:bottom w:val="nil"/>
              <w:right w:val="single" w:sz="4" w:space="0" w:color="auto"/>
            </w:tcBorders>
            <w:vAlign w:val="center"/>
            <w:hideMark/>
          </w:tcPr>
          <w:p w14:paraId="517D8247"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nil"/>
              <w:right w:val="single" w:sz="4" w:space="0" w:color="auto"/>
            </w:tcBorders>
            <w:vAlign w:val="center"/>
            <w:hideMark/>
          </w:tcPr>
          <w:p w14:paraId="56FBC1AC"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000000" w:fill="FFFFFF"/>
            <w:vAlign w:val="center"/>
            <w:hideMark/>
          </w:tcPr>
          <w:p w14:paraId="1341C23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0413 FISCALIA DE CAÑAS</w:t>
            </w:r>
          </w:p>
        </w:tc>
        <w:tc>
          <w:tcPr>
            <w:tcW w:w="1015" w:type="dxa"/>
            <w:tcBorders>
              <w:top w:val="nil"/>
              <w:left w:val="nil"/>
              <w:bottom w:val="single" w:sz="4" w:space="0" w:color="auto"/>
              <w:right w:val="single" w:sz="4" w:space="0" w:color="auto"/>
            </w:tcBorders>
            <w:shd w:val="clear" w:color="auto" w:fill="auto"/>
            <w:vAlign w:val="center"/>
            <w:hideMark/>
          </w:tcPr>
          <w:p w14:paraId="5CC3C26B"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5D065CE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FISCAL AUXILIAR </w:t>
            </w:r>
          </w:p>
        </w:tc>
        <w:tc>
          <w:tcPr>
            <w:tcW w:w="1260" w:type="dxa"/>
            <w:tcBorders>
              <w:top w:val="nil"/>
              <w:left w:val="nil"/>
              <w:bottom w:val="single" w:sz="4" w:space="0" w:color="auto"/>
              <w:right w:val="single" w:sz="4" w:space="0" w:color="auto"/>
            </w:tcBorders>
            <w:shd w:val="clear" w:color="000000" w:fill="FFFFFF"/>
            <w:hideMark/>
          </w:tcPr>
          <w:p w14:paraId="5828236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100933</w:t>
            </w:r>
          </w:p>
        </w:tc>
      </w:tr>
      <w:tr w:rsidR="00CF290F" w:rsidRPr="00CF290F" w14:paraId="572B0EF8" w14:textId="77777777" w:rsidTr="00301740">
        <w:trPr>
          <w:trHeight w:val="240"/>
          <w:jc w:val="center"/>
        </w:trPr>
        <w:tc>
          <w:tcPr>
            <w:tcW w:w="1841" w:type="dxa"/>
            <w:vMerge/>
            <w:tcBorders>
              <w:top w:val="nil"/>
              <w:left w:val="single" w:sz="4" w:space="0" w:color="auto"/>
              <w:bottom w:val="nil"/>
              <w:right w:val="single" w:sz="4" w:space="0" w:color="auto"/>
            </w:tcBorders>
            <w:vAlign w:val="center"/>
            <w:hideMark/>
          </w:tcPr>
          <w:p w14:paraId="1BA22BC4"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nil"/>
              <w:right w:val="single" w:sz="4" w:space="0" w:color="auto"/>
            </w:tcBorders>
            <w:vAlign w:val="center"/>
            <w:hideMark/>
          </w:tcPr>
          <w:p w14:paraId="3775BF64"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val="restart"/>
            <w:tcBorders>
              <w:top w:val="nil"/>
              <w:left w:val="nil"/>
              <w:right w:val="single" w:sz="4" w:space="0" w:color="auto"/>
            </w:tcBorders>
            <w:shd w:val="clear" w:color="000000" w:fill="FFFFFF"/>
            <w:vAlign w:val="center"/>
            <w:hideMark/>
          </w:tcPr>
          <w:p w14:paraId="3B3C3A3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0457 FISCALIA DE QUEPOS</w:t>
            </w:r>
          </w:p>
        </w:tc>
        <w:tc>
          <w:tcPr>
            <w:tcW w:w="1015" w:type="dxa"/>
            <w:tcBorders>
              <w:top w:val="nil"/>
              <w:left w:val="nil"/>
              <w:bottom w:val="single" w:sz="4" w:space="0" w:color="auto"/>
              <w:right w:val="single" w:sz="4" w:space="0" w:color="auto"/>
            </w:tcBorders>
            <w:shd w:val="clear" w:color="auto" w:fill="auto"/>
            <w:vAlign w:val="center"/>
            <w:hideMark/>
          </w:tcPr>
          <w:p w14:paraId="1092367C"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5440F91B" w14:textId="354B4290"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FISCAL AUXILIAR</w:t>
            </w:r>
          </w:p>
        </w:tc>
        <w:tc>
          <w:tcPr>
            <w:tcW w:w="1260" w:type="dxa"/>
            <w:tcBorders>
              <w:top w:val="nil"/>
              <w:left w:val="nil"/>
              <w:bottom w:val="single" w:sz="4" w:space="0" w:color="auto"/>
              <w:right w:val="single" w:sz="4" w:space="0" w:color="auto"/>
            </w:tcBorders>
            <w:shd w:val="clear" w:color="000000" w:fill="FFFFFF"/>
            <w:hideMark/>
          </w:tcPr>
          <w:p w14:paraId="5BA1544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370042</w:t>
            </w:r>
          </w:p>
        </w:tc>
      </w:tr>
      <w:tr w:rsidR="00334B79" w:rsidRPr="00CF290F" w14:paraId="0507C29A" w14:textId="77777777" w:rsidTr="00301740">
        <w:trPr>
          <w:trHeight w:val="240"/>
          <w:jc w:val="center"/>
        </w:trPr>
        <w:tc>
          <w:tcPr>
            <w:tcW w:w="1841" w:type="dxa"/>
            <w:vMerge/>
            <w:tcBorders>
              <w:top w:val="nil"/>
              <w:left w:val="single" w:sz="4" w:space="0" w:color="auto"/>
              <w:bottom w:val="nil"/>
              <w:right w:val="single" w:sz="4" w:space="0" w:color="auto"/>
            </w:tcBorders>
            <w:vAlign w:val="center"/>
          </w:tcPr>
          <w:p w14:paraId="60C046F0" w14:textId="77777777" w:rsidR="00334B79" w:rsidRPr="00CF290F" w:rsidRDefault="00334B79" w:rsidP="00334B79">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nil"/>
              <w:right w:val="single" w:sz="4" w:space="0" w:color="auto"/>
            </w:tcBorders>
            <w:vAlign w:val="center"/>
          </w:tcPr>
          <w:p w14:paraId="4B6E6145" w14:textId="77777777" w:rsidR="00334B79" w:rsidRPr="00CF290F" w:rsidRDefault="00334B79" w:rsidP="00334B79">
            <w:pPr>
              <w:spacing w:after="0" w:line="240" w:lineRule="auto"/>
              <w:rPr>
                <w:rFonts w:ascii="Book Antiqua" w:eastAsia="Times New Roman" w:hAnsi="Book Antiqua" w:cs="Calibri Light"/>
                <w:color w:val="000000"/>
                <w:sz w:val="16"/>
                <w:szCs w:val="16"/>
                <w:lang w:eastAsia="es-CR"/>
              </w:rPr>
            </w:pPr>
          </w:p>
        </w:tc>
        <w:tc>
          <w:tcPr>
            <w:tcW w:w="1684" w:type="dxa"/>
            <w:vMerge/>
            <w:tcBorders>
              <w:left w:val="nil"/>
              <w:bottom w:val="single" w:sz="4" w:space="0" w:color="auto"/>
              <w:right w:val="single" w:sz="4" w:space="0" w:color="auto"/>
            </w:tcBorders>
            <w:shd w:val="clear" w:color="000000" w:fill="FFFFFF"/>
            <w:vAlign w:val="center"/>
          </w:tcPr>
          <w:p w14:paraId="6496661C" w14:textId="77777777" w:rsidR="00334B79" w:rsidRPr="00CF290F" w:rsidRDefault="00334B79" w:rsidP="00334B79">
            <w:pPr>
              <w:spacing w:after="0" w:line="240" w:lineRule="auto"/>
              <w:jc w:val="center"/>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tcPr>
          <w:p w14:paraId="78D83C66" w14:textId="06E790EA" w:rsidR="00334B79" w:rsidRPr="00CF290F" w:rsidRDefault="00334B79" w:rsidP="00334B79">
            <w:pPr>
              <w:spacing w:after="0" w:line="240" w:lineRule="auto"/>
              <w:jc w:val="center"/>
              <w:rPr>
                <w:rFonts w:ascii="Book Antiqua" w:eastAsia="Times New Roman" w:hAnsi="Book Antiqua" w:cs="Calibri Light"/>
                <w:color w:val="000000"/>
                <w:sz w:val="16"/>
                <w:szCs w:val="16"/>
                <w:lang w:eastAsia="es-CR"/>
              </w:rPr>
            </w:pPr>
            <w:r>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tcPr>
          <w:p w14:paraId="1A921B67" w14:textId="2345551F" w:rsidR="00334B79" w:rsidRPr="00CF290F" w:rsidRDefault="00334B79" w:rsidP="00334B79">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FISCAL AUXILIAR</w:t>
            </w:r>
          </w:p>
        </w:tc>
        <w:tc>
          <w:tcPr>
            <w:tcW w:w="1260" w:type="dxa"/>
            <w:tcBorders>
              <w:top w:val="nil"/>
              <w:left w:val="nil"/>
              <w:bottom w:val="single" w:sz="4" w:space="0" w:color="auto"/>
              <w:right w:val="single" w:sz="4" w:space="0" w:color="auto"/>
            </w:tcBorders>
            <w:shd w:val="clear" w:color="000000" w:fill="FFFFFF"/>
          </w:tcPr>
          <w:p w14:paraId="72320C1E" w14:textId="5D71709F" w:rsidR="00334B79" w:rsidRPr="00CF290F" w:rsidRDefault="00334B79" w:rsidP="00334B79">
            <w:pPr>
              <w:spacing w:after="0" w:line="240" w:lineRule="auto"/>
              <w:jc w:val="center"/>
              <w:rPr>
                <w:rFonts w:ascii="Book Antiqua" w:eastAsia="Times New Roman" w:hAnsi="Book Antiqua" w:cs="Calibri Light"/>
                <w:color w:val="000000"/>
                <w:sz w:val="16"/>
                <w:szCs w:val="16"/>
                <w:lang w:eastAsia="es-CR"/>
              </w:rPr>
            </w:pPr>
            <w:r>
              <w:rPr>
                <w:rFonts w:ascii="Book Antiqua" w:eastAsia="Times New Roman" w:hAnsi="Book Antiqua" w:cs="Calibri Light"/>
                <w:color w:val="000000"/>
                <w:sz w:val="16"/>
                <w:szCs w:val="16"/>
                <w:lang w:eastAsia="es-CR"/>
              </w:rPr>
              <w:t>Pendiente</w:t>
            </w:r>
          </w:p>
        </w:tc>
      </w:tr>
      <w:tr w:rsidR="00CF290F" w:rsidRPr="00CF290F" w14:paraId="39DE8A02" w14:textId="77777777" w:rsidTr="00413346">
        <w:trPr>
          <w:trHeight w:val="240"/>
          <w:jc w:val="center"/>
        </w:trPr>
        <w:tc>
          <w:tcPr>
            <w:tcW w:w="1841" w:type="dxa"/>
            <w:vMerge/>
            <w:tcBorders>
              <w:top w:val="nil"/>
              <w:left w:val="single" w:sz="4" w:space="0" w:color="auto"/>
              <w:bottom w:val="nil"/>
              <w:right w:val="single" w:sz="4" w:space="0" w:color="auto"/>
            </w:tcBorders>
            <w:vAlign w:val="center"/>
            <w:hideMark/>
          </w:tcPr>
          <w:p w14:paraId="29EA1E81"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nil"/>
              <w:right w:val="single" w:sz="4" w:space="0" w:color="auto"/>
            </w:tcBorders>
            <w:vAlign w:val="center"/>
            <w:hideMark/>
          </w:tcPr>
          <w:p w14:paraId="15A10F9C"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000000" w:fill="FFFFFF"/>
            <w:vAlign w:val="center"/>
            <w:hideMark/>
          </w:tcPr>
          <w:p w14:paraId="5EE097DB"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0486 FISCALIA DE SIQUIRRES</w:t>
            </w:r>
          </w:p>
        </w:tc>
        <w:tc>
          <w:tcPr>
            <w:tcW w:w="1015" w:type="dxa"/>
            <w:tcBorders>
              <w:top w:val="nil"/>
              <w:left w:val="nil"/>
              <w:bottom w:val="single" w:sz="4" w:space="0" w:color="auto"/>
              <w:right w:val="single" w:sz="4" w:space="0" w:color="auto"/>
            </w:tcBorders>
            <w:shd w:val="clear" w:color="auto" w:fill="auto"/>
            <w:vAlign w:val="center"/>
            <w:hideMark/>
          </w:tcPr>
          <w:p w14:paraId="692E91A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3A95F55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FISCAL AUXILIAR </w:t>
            </w:r>
          </w:p>
        </w:tc>
        <w:tc>
          <w:tcPr>
            <w:tcW w:w="1260" w:type="dxa"/>
            <w:tcBorders>
              <w:top w:val="nil"/>
              <w:left w:val="nil"/>
              <w:bottom w:val="single" w:sz="4" w:space="0" w:color="auto"/>
              <w:right w:val="single" w:sz="4" w:space="0" w:color="auto"/>
            </w:tcBorders>
            <w:shd w:val="clear" w:color="000000" w:fill="FFFFFF"/>
            <w:hideMark/>
          </w:tcPr>
          <w:p w14:paraId="25F16C9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375915</w:t>
            </w:r>
          </w:p>
        </w:tc>
      </w:tr>
      <w:tr w:rsidR="00CF290F" w:rsidRPr="00CF290F" w14:paraId="357E3760" w14:textId="77777777" w:rsidTr="00413346">
        <w:trPr>
          <w:trHeight w:val="240"/>
          <w:jc w:val="center"/>
        </w:trPr>
        <w:tc>
          <w:tcPr>
            <w:tcW w:w="1841" w:type="dxa"/>
            <w:vMerge/>
            <w:tcBorders>
              <w:top w:val="nil"/>
              <w:left w:val="single" w:sz="4" w:space="0" w:color="auto"/>
              <w:bottom w:val="nil"/>
              <w:right w:val="single" w:sz="4" w:space="0" w:color="auto"/>
            </w:tcBorders>
            <w:vAlign w:val="center"/>
            <w:hideMark/>
          </w:tcPr>
          <w:p w14:paraId="29614353"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nil"/>
              <w:right w:val="single" w:sz="4" w:space="0" w:color="auto"/>
            </w:tcBorders>
            <w:vAlign w:val="center"/>
            <w:hideMark/>
          </w:tcPr>
          <w:p w14:paraId="13607D67"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000000" w:fill="FFFFFF"/>
            <w:vAlign w:val="center"/>
            <w:hideMark/>
          </w:tcPr>
          <w:p w14:paraId="77B79F5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0573 FISCALIA DE SARAPIQUI</w:t>
            </w:r>
          </w:p>
        </w:tc>
        <w:tc>
          <w:tcPr>
            <w:tcW w:w="1015" w:type="dxa"/>
            <w:tcBorders>
              <w:top w:val="nil"/>
              <w:left w:val="nil"/>
              <w:bottom w:val="single" w:sz="4" w:space="0" w:color="auto"/>
              <w:right w:val="single" w:sz="4" w:space="0" w:color="auto"/>
            </w:tcBorders>
            <w:shd w:val="clear" w:color="auto" w:fill="auto"/>
            <w:vAlign w:val="center"/>
            <w:hideMark/>
          </w:tcPr>
          <w:p w14:paraId="5A6A003D"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2F98006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FISCAL AUXILIAR </w:t>
            </w:r>
          </w:p>
        </w:tc>
        <w:tc>
          <w:tcPr>
            <w:tcW w:w="1260" w:type="dxa"/>
            <w:tcBorders>
              <w:top w:val="nil"/>
              <w:left w:val="nil"/>
              <w:bottom w:val="single" w:sz="4" w:space="0" w:color="auto"/>
              <w:right w:val="single" w:sz="4" w:space="0" w:color="auto"/>
            </w:tcBorders>
            <w:shd w:val="clear" w:color="000000" w:fill="FFFFFF"/>
            <w:hideMark/>
          </w:tcPr>
          <w:p w14:paraId="7554138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34338</w:t>
            </w:r>
          </w:p>
        </w:tc>
      </w:tr>
      <w:tr w:rsidR="00CF290F" w:rsidRPr="00CF290F" w14:paraId="0AB3AA0C" w14:textId="77777777" w:rsidTr="00413346">
        <w:trPr>
          <w:trHeight w:val="240"/>
          <w:jc w:val="center"/>
        </w:trPr>
        <w:tc>
          <w:tcPr>
            <w:tcW w:w="1841" w:type="dxa"/>
            <w:vMerge/>
            <w:tcBorders>
              <w:top w:val="nil"/>
              <w:left w:val="single" w:sz="4" w:space="0" w:color="auto"/>
              <w:bottom w:val="nil"/>
              <w:right w:val="single" w:sz="4" w:space="0" w:color="auto"/>
            </w:tcBorders>
            <w:vAlign w:val="center"/>
            <w:hideMark/>
          </w:tcPr>
          <w:p w14:paraId="461F382A"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nil"/>
              <w:right w:val="single" w:sz="4" w:space="0" w:color="auto"/>
            </w:tcBorders>
            <w:vAlign w:val="center"/>
            <w:hideMark/>
          </w:tcPr>
          <w:p w14:paraId="36BA7861"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000000" w:fill="FFFFFF"/>
            <w:vAlign w:val="center"/>
            <w:hideMark/>
          </w:tcPr>
          <w:p w14:paraId="2AA8E1E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0597 FISCALIA DE BRIBRI</w:t>
            </w:r>
          </w:p>
        </w:tc>
        <w:tc>
          <w:tcPr>
            <w:tcW w:w="1015" w:type="dxa"/>
            <w:tcBorders>
              <w:top w:val="nil"/>
              <w:left w:val="nil"/>
              <w:bottom w:val="single" w:sz="4" w:space="0" w:color="auto"/>
              <w:right w:val="single" w:sz="4" w:space="0" w:color="auto"/>
            </w:tcBorders>
            <w:shd w:val="clear" w:color="auto" w:fill="auto"/>
            <w:vAlign w:val="center"/>
            <w:hideMark/>
          </w:tcPr>
          <w:p w14:paraId="2BEF2B6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1160785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FISCAL AUXILIAR </w:t>
            </w:r>
          </w:p>
        </w:tc>
        <w:tc>
          <w:tcPr>
            <w:tcW w:w="1260" w:type="dxa"/>
            <w:tcBorders>
              <w:top w:val="nil"/>
              <w:left w:val="nil"/>
              <w:bottom w:val="single" w:sz="4" w:space="0" w:color="auto"/>
              <w:right w:val="single" w:sz="4" w:space="0" w:color="auto"/>
            </w:tcBorders>
            <w:shd w:val="clear" w:color="000000" w:fill="FFFFFF"/>
            <w:hideMark/>
          </w:tcPr>
          <w:p w14:paraId="3CF47EDD"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368032</w:t>
            </w:r>
          </w:p>
        </w:tc>
      </w:tr>
      <w:tr w:rsidR="00CF290F" w:rsidRPr="00CF290F" w14:paraId="4DF19EA3" w14:textId="77777777" w:rsidTr="00413346">
        <w:trPr>
          <w:trHeight w:val="240"/>
          <w:jc w:val="center"/>
        </w:trPr>
        <w:tc>
          <w:tcPr>
            <w:tcW w:w="1841" w:type="dxa"/>
            <w:vMerge/>
            <w:tcBorders>
              <w:top w:val="nil"/>
              <w:left w:val="single" w:sz="4" w:space="0" w:color="auto"/>
              <w:bottom w:val="nil"/>
              <w:right w:val="single" w:sz="4" w:space="0" w:color="auto"/>
            </w:tcBorders>
            <w:vAlign w:val="center"/>
            <w:hideMark/>
          </w:tcPr>
          <w:p w14:paraId="298F45F5"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nil"/>
              <w:right w:val="single" w:sz="4" w:space="0" w:color="auto"/>
            </w:tcBorders>
            <w:vAlign w:val="center"/>
            <w:hideMark/>
          </w:tcPr>
          <w:p w14:paraId="787B994C"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000000" w:fill="FFFFFF"/>
            <w:vAlign w:val="center"/>
            <w:hideMark/>
          </w:tcPr>
          <w:p w14:paraId="38B4FBE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1092 FISCALIA DE TRAMITE DE FLAGRANCIAS II CIRCUITO JUDICIAL SAN JOSE</w:t>
            </w:r>
          </w:p>
        </w:tc>
        <w:tc>
          <w:tcPr>
            <w:tcW w:w="1015" w:type="dxa"/>
            <w:tcBorders>
              <w:top w:val="nil"/>
              <w:left w:val="nil"/>
              <w:bottom w:val="single" w:sz="4" w:space="0" w:color="auto"/>
              <w:right w:val="single" w:sz="4" w:space="0" w:color="auto"/>
            </w:tcBorders>
            <w:shd w:val="clear" w:color="auto" w:fill="auto"/>
            <w:vAlign w:val="center"/>
            <w:hideMark/>
          </w:tcPr>
          <w:p w14:paraId="122FEFE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54146DB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2</w:t>
            </w:r>
          </w:p>
        </w:tc>
        <w:tc>
          <w:tcPr>
            <w:tcW w:w="1260" w:type="dxa"/>
            <w:tcBorders>
              <w:top w:val="nil"/>
              <w:left w:val="nil"/>
              <w:bottom w:val="single" w:sz="4" w:space="0" w:color="auto"/>
              <w:right w:val="single" w:sz="4" w:space="0" w:color="auto"/>
            </w:tcBorders>
            <w:shd w:val="clear" w:color="000000" w:fill="FFFFFF"/>
            <w:hideMark/>
          </w:tcPr>
          <w:p w14:paraId="2EC16FF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367631</w:t>
            </w:r>
          </w:p>
        </w:tc>
      </w:tr>
      <w:tr w:rsidR="00CF290F" w:rsidRPr="00CF290F" w14:paraId="13F5CFA1" w14:textId="77777777" w:rsidTr="00413346">
        <w:trPr>
          <w:trHeight w:val="240"/>
          <w:jc w:val="center"/>
        </w:trPr>
        <w:tc>
          <w:tcPr>
            <w:tcW w:w="1841" w:type="dxa"/>
            <w:vMerge/>
            <w:tcBorders>
              <w:top w:val="nil"/>
              <w:left w:val="single" w:sz="4" w:space="0" w:color="auto"/>
              <w:bottom w:val="nil"/>
              <w:right w:val="single" w:sz="4" w:space="0" w:color="auto"/>
            </w:tcBorders>
            <w:vAlign w:val="center"/>
            <w:hideMark/>
          </w:tcPr>
          <w:p w14:paraId="495FC4BB"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nil"/>
              <w:right w:val="single" w:sz="4" w:space="0" w:color="auto"/>
            </w:tcBorders>
            <w:vAlign w:val="center"/>
            <w:hideMark/>
          </w:tcPr>
          <w:p w14:paraId="7A0B1AE3"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000000" w:fill="FFFFFF"/>
            <w:vAlign w:val="center"/>
            <w:hideMark/>
          </w:tcPr>
          <w:p w14:paraId="1713785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1137 FISCALIA DE PUERTO JIMENEZ</w:t>
            </w:r>
          </w:p>
        </w:tc>
        <w:tc>
          <w:tcPr>
            <w:tcW w:w="1015" w:type="dxa"/>
            <w:tcBorders>
              <w:top w:val="nil"/>
              <w:left w:val="nil"/>
              <w:bottom w:val="single" w:sz="4" w:space="0" w:color="auto"/>
              <w:right w:val="single" w:sz="4" w:space="0" w:color="auto"/>
            </w:tcBorders>
            <w:shd w:val="clear" w:color="auto" w:fill="auto"/>
            <w:vAlign w:val="center"/>
            <w:hideMark/>
          </w:tcPr>
          <w:p w14:paraId="60FB8D05"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2D5DF19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TÉCNICO JUDICIAL 2</w:t>
            </w:r>
          </w:p>
        </w:tc>
        <w:tc>
          <w:tcPr>
            <w:tcW w:w="1260" w:type="dxa"/>
            <w:tcBorders>
              <w:top w:val="nil"/>
              <w:left w:val="nil"/>
              <w:bottom w:val="single" w:sz="4" w:space="0" w:color="auto"/>
              <w:right w:val="single" w:sz="4" w:space="0" w:color="auto"/>
            </w:tcBorders>
            <w:shd w:val="clear" w:color="000000" w:fill="FFFFFF"/>
            <w:hideMark/>
          </w:tcPr>
          <w:p w14:paraId="080A734C"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103799</w:t>
            </w:r>
          </w:p>
        </w:tc>
      </w:tr>
      <w:tr w:rsidR="00CF290F" w:rsidRPr="00CF290F" w14:paraId="56D2D10D" w14:textId="77777777" w:rsidTr="00413346">
        <w:trPr>
          <w:trHeight w:val="240"/>
          <w:jc w:val="center"/>
        </w:trPr>
        <w:tc>
          <w:tcPr>
            <w:tcW w:w="1841" w:type="dxa"/>
            <w:vMerge/>
            <w:tcBorders>
              <w:top w:val="nil"/>
              <w:left w:val="single" w:sz="4" w:space="0" w:color="auto"/>
              <w:bottom w:val="nil"/>
              <w:right w:val="single" w:sz="4" w:space="0" w:color="auto"/>
            </w:tcBorders>
            <w:vAlign w:val="center"/>
            <w:hideMark/>
          </w:tcPr>
          <w:p w14:paraId="582AFC9F"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nil"/>
              <w:right w:val="single" w:sz="4" w:space="0" w:color="auto"/>
            </w:tcBorders>
            <w:vAlign w:val="center"/>
            <w:hideMark/>
          </w:tcPr>
          <w:p w14:paraId="042A5541"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auto" w:fill="auto"/>
            <w:vAlign w:val="center"/>
            <w:hideMark/>
          </w:tcPr>
          <w:p w14:paraId="67154AE5"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219- Fiscalía Adjunta de Pérez Zeledón</w:t>
            </w:r>
          </w:p>
        </w:tc>
        <w:tc>
          <w:tcPr>
            <w:tcW w:w="1015" w:type="dxa"/>
            <w:tcBorders>
              <w:top w:val="nil"/>
              <w:left w:val="nil"/>
              <w:bottom w:val="single" w:sz="4" w:space="0" w:color="auto"/>
              <w:right w:val="single" w:sz="4" w:space="0" w:color="auto"/>
            </w:tcBorders>
            <w:shd w:val="clear" w:color="auto" w:fill="auto"/>
            <w:vAlign w:val="center"/>
            <w:hideMark/>
          </w:tcPr>
          <w:p w14:paraId="36E71A7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5AEE466D"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Fiscal Auxiliar</w:t>
            </w:r>
          </w:p>
        </w:tc>
        <w:tc>
          <w:tcPr>
            <w:tcW w:w="1260" w:type="dxa"/>
            <w:tcBorders>
              <w:top w:val="nil"/>
              <w:left w:val="nil"/>
              <w:bottom w:val="single" w:sz="4" w:space="0" w:color="auto"/>
              <w:right w:val="single" w:sz="4" w:space="0" w:color="auto"/>
            </w:tcBorders>
            <w:shd w:val="clear" w:color="auto" w:fill="auto"/>
            <w:hideMark/>
          </w:tcPr>
          <w:p w14:paraId="0210BA9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3F9C8747" w14:textId="77777777" w:rsidTr="00413346">
        <w:trPr>
          <w:trHeight w:val="240"/>
          <w:jc w:val="center"/>
        </w:trPr>
        <w:tc>
          <w:tcPr>
            <w:tcW w:w="1841" w:type="dxa"/>
            <w:vMerge/>
            <w:tcBorders>
              <w:top w:val="nil"/>
              <w:left w:val="single" w:sz="4" w:space="0" w:color="auto"/>
              <w:bottom w:val="nil"/>
              <w:right w:val="single" w:sz="4" w:space="0" w:color="auto"/>
            </w:tcBorders>
            <w:vAlign w:val="center"/>
            <w:hideMark/>
          </w:tcPr>
          <w:p w14:paraId="70AAC147"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nil"/>
              <w:right w:val="single" w:sz="4" w:space="0" w:color="auto"/>
            </w:tcBorders>
            <w:vAlign w:val="center"/>
            <w:hideMark/>
          </w:tcPr>
          <w:p w14:paraId="61C5C4AA"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auto" w:fill="auto"/>
            <w:vAlign w:val="center"/>
            <w:hideMark/>
          </w:tcPr>
          <w:p w14:paraId="7B16A1F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283- Fiscalía Adjunta de Pavas</w:t>
            </w:r>
          </w:p>
        </w:tc>
        <w:tc>
          <w:tcPr>
            <w:tcW w:w="1015" w:type="dxa"/>
            <w:tcBorders>
              <w:top w:val="nil"/>
              <w:left w:val="nil"/>
              <w:bottom w:val="single" w:sz="4" w:space="0" w:color="auto"/>
              <w:right w:val="single" w:sz="4" w:space="0" w:color="auto"/>
            </w:tcBorders>
            <w:shd w:val="clear" w:color="auto" w:fill="auto"/>
            <w:vAlign w:val="center"/>
            <w:hideMark/>
          </w:tcPr>
          <w:p w14:paraId="2E509CBC"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659992A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Fiscal Auxiliar</w:t>
            </w:r>
          </w:p>
        </w:tc>
        <w:tc>
          <w:tcPr>
            <w:tcW w:w="1260" w:type="dxa"/>
            <w:tcBorders>
              <w:top w:val="nil"/>
              <w:left w:val="nil"/>
              <w:bottom w:val="single" w:sz="4" w:space="0" w:color="auto"/>
              <w:right w:val="single" w:sz="4" w:space="0" w:color="auto"/>
            </w:tcBorders>
            <w:shd w:val="clear" w:color="auto" w:fill="auto"/>
            <w:hideMark/>
          </w:tcPr>
          <w:p w14:paraId="4F9C70B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1DC35E4A" w14:textId="77777777" w:rsidTr="00413346">
        <w:trPr>
          <w:trHeight w:val="240"/>
          <w:jc w:val="center"/>
        </w:trPr>
        <w:tc>
          <w:tcPr>
            <w:tcW w:w="1841" w:type="dxa"/>
            <w:vMerge/>
            <w:tcBorders>
              <w:top w:val="nil"/>
              <w:left w:val="single" w:sz="4" w:space="0" w:color="auto"/>
              <w:bottom w:val="nil"/>
              <w:right w:val="single" w:sz="4" w:space="0" w:color="auto"/>
            </w:tcBorders>
            <w:vAlign w:val="center"/>
            <w:hideMark/>
          </w:tcPr>
          <w:p w14:paraId="2393DAD1"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nil"/>
              <w:right w:val="single" w:sz="4" w:space="0" w:color="auto"/>
            </w:tcBorders>
            <w:vAlign w:val="center"/>
            <w:hideMark/>
          </w:tcPr>
          <w:p w14:paraId="7A3E5140"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auto" w:fill="auto"/>
            <w:vAlign w:val="center"/>
            <w:hideMark/>
          </w:tcPr>
          <w:p w14:paraId="43BFEF7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306- Fiscalía Adjunta de San Carlos</w:t>
            </w:r>
          </w:p>
        </w:tc>
        <w:tc>
          <w:tcPr>
            <w:tcW w:w="1015" w:type="dxa"/>
            <w:tcBorders>
              <w:top w:val="nil"/>
              <w:left w:val="nil"/>
              <w:bottom w:val="single" w:sz="4" w:space="0" w:color="auto"/>
              <w:right w:val="single" w:sz="4" w:space="0" w:color="auto"/>
            </w:tcBorders>
            <w:shd w:val="clear" w:color="auto" w:fill="auto"/>
            <w:vAlign w:val="center"/>
            <w:hideMark/>
          </w:tcPr>
          <w:p w14:paraId="3552CC1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446CBE7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Fiscal Auxiliar</w:t>
            </w:r>
          </w:p>
        </w:tc>
        <w:tc>
          <w:tcPr>
            <w:tcW w:w="1260" w:type="dxa"/>
            <w:tcBorders>
              <w:top w:val="nil"/>
              <w:left w:val="nil"/>
              <w:bottom w:val="single" w:sz="4" w:space="0" w:color="auto"/>
              <w:right w:val="single" w:sz="4" w:space="0" w:color="auto"/>
            </w:tcBorders>
            <w:shd w:val="clear" w:color="auto" w:fill="auto"/>
            <w:hideMark/>
          </w:tcPr>
          <w:p w14:paraId="1AD2A2FC"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7D0EEB06" w14:textId="77777777" w:rsidTr="00413346">
        <w:trPr>
          <w:trHeight w:val="240"/>
          <w:jc w:val="center"/>
        </w:trPr>
        <w:tc>
          <w:tcPr>
            <w:tcW w:w="1841" w:type="dxa"/>
            <w:vMerge/>
            <w:tcBorders>
              <w:top w:val="nil"/>
              <w:left w:val="single" w:sz="4" w:space="0" w:color="auto"/>
              <w:bottom w:val="nil"/>
              <w:right w:val="single" w:sz="4" w:space="0" w:color="auto"/>
            </w:tcBorders>
            <w:vAlign w:val="center"/>
            <w:hideMark/>
          </w:tcPr>
          <w:p w14:paraId="6B04EDF5"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nil"/>
              <w:right w:val="single" w:sz="4" w:space="0" w:color="auto"/>
            </w:tcBorders>
            <w:vAlign w:val="center"/>
            <w:hideMark/>
          </w:tcPr>
          <w:p w14:paraId="3729CF3C"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auto" w:fill="auto"/>
            <w:vAlign w:val="center"/>
            <w:hideMark/>
          </w:tcPr>
          <w:p w14:paraId="59FFF4C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369- Fiscalía Adjunta de Heredia</w:t>
            </w:r>
          </w:p>
        </w:tc>
        <w:tc>
          <w:tcPr>
            <w:tcW w:w="1015" w:type="dxa"/>
            <w:tcBorders>
              <w:top w:val="nil"/>
              <w:left w:val="nil"/>
              <w:bottom w:val="single" w:sz="4" w:space="0" w:color="auto"/>
              <w:right w:val="single" w:sz="4" w:space="0" w:color="auto"/>
            </w:tcBorders>
            <w:shd w:val="clear" w:color="auto" w:fill="auto"/>
            <w:vAlign w:val="center"/>
            <w:hideMark/>
          </w:tcPr>
          <w:p w14:paraId="4B5D86A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5E0375C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Fiscal Auxiliar</w:t>
            </w:r>
          </w:p>
        </w:tc>
        <w:tc>
          <w:tcPr>
            <w:tcW w:w="1260" w:type="dxa"/>
            <w:tcBorders>
              <w:top w:val="nil"/>
              <w:left w:val="nil"/>
              <w:bottom w:val="single" w:sz="4" w:space="0" w:color="auto"/>
              <w:right w:val="single" w:sz="4" w:space="0" w:color="auto"/>
            </w:tcBorders>
            <w:shd w:val="clear" w:color="auto" w:fill="auto"/>
            <w:hideMark/>
          </w:tcPr>
          <w:p w14:paraId="45CA4D93"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7D050B14" w14:textId="77777777" w:rsidTr="00413346">
        <w:trPr>
          <w:trHeight w:val="240"/>
          <w:jc w:val="center"/>
        </w:trPr>
        <w:tc>
          <w:tcPr>
            <w:tcW w:w="1841" w:type="dxa"/>
            <w:vMerge/>
            <w:tcBorders>
              <w:top w:val="nil"/>
              <w:left w:val="single" w:sz="4" w:space="0" w:color="auto"/>
              <w:bottom w:val="nil"/>
              <w:right w:val="single" w:sz="4" w:space="0" w:color="auto"/>
            </w:tcBorders>
            <w:vAlign w:val="center"/>
            <w:hideMark/>
          </w:tcPr>
          <w:p w14:paraId="405B313A"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nil"/>
              <w:right w:val="single" w:sz="4" w:space="0" w:color="auto"/>
            </w:tcBorders>
            <w:vAlign w:val="center"/>
            <w:hideMark/>
          </w:tcPr>
          <w:p w14:paraId="057C5537"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auto" w:fill="auto"/>
            <w:vAlign w:val="center"/>
            <w:hideMark/>
          </w:tcPr>
          <w:p w14:paraId="0DDDDBF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472- Fiscalía Adjunta de Limón</w:t>
            </w:r>
          </w:p>
        </w:tc>
        <w:tc>
          <w:tcPr>
            <w:tcW w:w="1015" w:type="dxa"/>
            <w:tcBorders>
              <w:top w:val="nil"/>
              <w:left w:val="nil"/>
              <w:bottom w:val="single" w:sz="4" w:space="0" w:color="auto"/>
              <w:right w:val="single" w:sz="4" w:space="0" w:color="auto"/>
            </w:tcBorders>
            <w:shd w:val="clear" w:color="auto" w:fill="auto"/>
            <w:vAlign w:val="center"/>
            <w:hideMark/>
          </w:tcPr>
          <w:p w14:paraId="134CB3C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0098B3DB"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Fiscal Auxiliar</w:t>
            </w:r>
          </w:p>
        </w:tc>
        <w:tc>
          <w:tcPr>
            <w:tcW w:w="1260" w:type="dxa"/>
            <w:tcBorders>
              <w:top w:val="nil"/>
              <w:left w:val="nil"/>
              <w:bottom w:val="single" w:sz="4" w:space="0" w:color="auto"/>
              <w:right w:val="single" w:sz="4" w:space="0" w:color="auto"/>
            </w:tcBorders>
            <w:shd w:val="clear" w:color="auto" w:fill="auto"/>
            <w:hideMark/>
          </w:tcPr>
          <w:p w14:paraId="7D3889A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606EF923" w14:textId="77777777" w:rsidTr="00413346">
        <w:trPr>
          <w:trHeight w:val="240"/>
          <w:jc w:val="center"/>
        </w:trPr>
        <w:tc>
          <w:tcPr>
            <w:tcW w:w="1841" w:type="dxa"/>
            <w:vMerge/>
            <w:tcBorders>
              <w:top w:val="nil"/>
              <w:left w:val="single" w:sz="4" w:space="0" w:color="auto"/>
              <w:bottom w:val="nil"/>
              <w:right w:val="single" w:sz="4" w:space="0" w:color="auto"/>
            </w:tcBorders>
            <w:vAlign w:val="center"/>
            <w:hideMark/>
          </w:tcPr>
          <w:p w14:paraId="4586F3FA"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nil"/>
              <w:right w:val="single" w:sz="4" w:space="0" w:color="auto"/>
            </w:tcBorders>
            <w:vAlign w:val="center"/>
            <w:hideMark/>
          </w:tcPr>
          <w:p w14:paraId="654AA572"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auto" w:fill="auto"/>
            <w:vAlign w:val="center"/>
            <w:hideMark/>
          </w:tcPr>
          <w:p w14:paraId="7BB9E84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485- Fiscalía Adjunta de Pococí</w:t>
            </w:r>
          </w:p>
        </w:tc>
        <w:tc>
          <w:tcPr>
            <w:tcW w:w="1015" w:type="dxa"/>
            <w:tcBorders>
              <w:top w:val="nil"/>
              <w:left w:val="nil"/>
              <w:bottom w:val="single" w:sz="4" w:space="0" w:color="auto"/>
              <w:right w:val="single" w:sz="4" w:space="0" w:color="auto"/>
            </w:tcBorders>
            <w:shd w:val="clear" w:color="auto" w:fill="auto"/>
            <w:vAlign w:val="center"/>
            <w:hideMark/>
          </w:tcPr>
          <w:p w14:paraId="26108173"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6242DF4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Fiscal Auxiliar</w:t>
            </w:r>
          </w:p>
        </w:tc>
        <w:tc>
          <w:tcPr>
            <w:tcW w:w="1260" w:type="dxa"/>
            <w:tcBorders>
              <w:top w:val="nil"/>
              <w:left w:val="nil"/>
              <w:bottom w:val="single" w:sz="4" w:space="0" w:color="auto"/>
              <w:right w:val="single" w:sz="4" w:space="0" w:color="auto"/>
            </w:tcBorders>
            <w:shd w:val="clear" w:color="auto" w:fill="auto"/>
            <w:hideMark/>
          </w:tcPr>
          <w:p w14:paraId="3A7CCA7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56A2892B" w14:textId="77777777" w:rsidTr="00413346">
        <w:trPr>
          <w:trHeight w:val="240"/>
          <w:jc w:val="center"/>
        </w:trPr>
        <w:tc>
          <w:tcPr>
            <w:tcW w:w="1841" w:type="dxa"/>
            <w:vMerge/>
            <w:tcBorders>
              <w:top w:val="nil"/>
              <w:left w:val="single" w:sz="4" w:space="0" w:color="auto"/>
              <w:bottom w:val="nil"/>
              <w:right w:val="single" w:sz="4" w:space="0" w:color="auto"/>
            </w:tcBorders>
            <w:vAlign w:val="center"/>
            <w:hideMark/>
          </w:tcPr>
          <w:p w14:paraId="1C589460"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nil"/>
              <w:right w:val="single" w:sz="4" w:space="0" w:color="auto"/>
            </w:tcBorders>
            <w:vAlign w:val="center"/>
            <w:hideMark/>
          </w:tcPr>
          <w:p w14:paraId="0D40E67E"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auto" w:fill="auto"/>
            <w:vAlign w:val="center"/>
            <w:hideMark/>
          </w:tcPr>
          <w:p w14:paraId="0DD72B6B"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573- Fiscalía Adjunta de Sarapiquí</w:t>
            </w:r>
          </w:p>
        </w:tc>
        <w:tc>
          <w:tcPr>
            <w:tcW w:w="1015" w:type="dxa"/>
            <w:tcBorders>
              <w:top w:val="nil"/>
              <w:left w:val="nil"/>
              <w:bottom w:val="single" w:sz="4" w:space="0" w:color="auto"/>
              <w:right w:val="single" w:sz="4" w:space="0" w:color="auto"/>
            </w:tcBorders>
            <w:shd w:val="clear" w:color="auto" w:fill="auto"/>
            <w:vAlign w:val="center"/>
            <w:hideMark/>
          </w:tcPr>
          <w:p w14:paraId="12A971D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0980903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Fiscal Auxiliar</w:t>
            </w:r>
          </w:p>
        </w:tc>
        <w:tc>
          <w:tcPr>
            <w:tcW w:w="1260" w:type="dxa"/>
            <w:tcBorders>
              <w:top w:val="nil"/>
              <w:left w:val="nil"/>
              <w:bottom w:val="single" w:sz="4" w:space="0" w:color="auto"/>
              <w:right w:val="single" w:sz="4" w:space="0" w:color="auto"/>
            </w:tcBorders>
            <w:shd w:val="clear" w:color="auto" w:fill="auto"/>
            <w:hideMark/>
          </w:tcPr>
          <w:p w14:paraId="242911F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11D38B30" w14:textId="77777777" w:rsidTr="00413346">
        <w:trPr>
          <w:trHeight w:val="240"/>
          <w:jc w:val="center"/>
        </w:trPr>
        <w:tc>
          <w:tcPr>
            <w:tcW w:w="1841" w:type="dxa"/>
            <w:vMerge/>
            <w:tcBorders>
              <w:top w:val="nil"/>
              <w:left w:val="single" w:sz="4" w:space="0" w:color="auto"/>
              <w:bottom w:val="nil"/>
              <w:right w:val="single" w:sz="4" w:space="0" w:color="auto"/>
            </w:tcBorders>
            <w:vAlign w:val="center"/>
            <w:hideMark/>
          </w:tcPr>
          <w:p w14:paraId="3475140F"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nil"/>
              <w:left w:val="single" w:sz="4" w:space="0" w:color="auto"/>
              <w:bottom w:val="nil"/>
              <w:right w:val="single" w:sz="4" w:space="0" w:color="auto"/>
            </w:tcBorders>
            <w:vAlign w:val="center"/>
            <w:hideMark/>
          </w:tcPr>
          <w:p w14:paraId="0A8F4A56"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nil"/>
              <w:right w:val="single" w:sz="4" w:space="0" w:color="auto"/>
            </w:tcBorders>
            <w:shd w:val="clear" w:color="000000" w:fill="FFFFFF"/>
            <w:vAlign w:val="center"/>
            <w:hideMark/>
          </w:tcPr>
          <w:p w14:paraId="3623724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FISCALIA (delitos Sexuales)</w:t>
            </w:r>
          </w:p>
        </w:tc>
        <w:tc>
          <w:tcPr>
            <w:tcW w:w="1015" w:type="dxa"/>
            <w:tcBorders>
              <w:top w:val="nil"/>
              <w:left w:val="nil"/>
              <w:bottom w:val="nil"/>
              <w:right w:val="single" w:sz="4" w:space="0" w:color="auto"/>
            </w:tcBorders>
            <w:shd w:val="clear" w:color="auto" w:fill="auto"/>
            <w:vAlign w:val="center"/>
            <w:hideMark/>
          </w:tcPr>
          <w:p w14:paraId="08E3C7A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4</w:t>
            </w:r>
          </w:p>
        </w:tc>
        <w:tc>
          <w:tcPr>
            <w:tcW w:w="2056" w:type="dxa"/>
            <w:tcBorders>
              <w:top w:val="nil"/>
              <w:left w:val="nil"/>
              <w:bottom w:val="nil"/>
              <w:right w:val="single" w:sz="4" w:space="0" w:color="auto"/>
            </w:tcBorders>
            <w:shd w:val="clear" w:color="auto" w:fill="auto"/>
            <w:vAlign w:val="center"/>
            <w:hideMark/>
          </w:tcPr>
          <w:p w14:paraId="256E9AB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FISCAL AUXILIAR </w:t>
            </w:r>
          </w:p>
        </w:tc>
        <w:tc>
          <w:tcPr>
            <w:tcW w:w="1260" w:type="dxa"/>
            <w:tcBorders>
              <w:top w:val="nil"/>
              <w:left w:val="nil"/>
              <w:bottom w:val="single" w:sz="4" w:space="0" w:color="auto"/>
              <w:right w:val="single" w:sz="4" w:space="0" w:color="auto"/>
            </w:tcBorders>
            <w:shd w:val="clear" w:color="000000" w:fill="FFFFFF"/>
            <w:hideMark/>
          </w:tcPr>
          <w:p w14:paraId="1F3365C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512A53E6" w14:textId="77777777" w:rsidTr="00413346">
        <w:trPr>
          <w:trHeight w:val="240"/>
          <w:jc w:val="center"/>
        </w:trPr>
        <w:tc>
          <w:tcPr>
            <w:tcW w:w="184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B8F5D6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930 Defensa Pública</w:t>
            </w:r>
          </w:p>
        </w:tc>
        <w:tc>
          <w:tcPr>
            <w:tcW w:w="170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5FEC4EE"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Defensa Pública </w:t>
            </w:r>
          </w:p>
        </w:tc>
        <w:tc>
          <w:tcPr>
            <w:tcW w:w="1684" w:type="dxa"/>
            <w:tcBorders>
              <w:top w:val="single" w:sz="4" w:space="0" w:color="auto"/>
              <w:left w:val="nil"/>
              <w:bottom w:val="single" w:sz="4" w:space="0" w:color="auto"/>
              <w:right w:val="single" w:sz="4" w:space="0" w:color="auto"/>
            </w:tcBorders>
            <w:shd w:val="clear" w:color="000000" w:fill="FFFFFF"/>
            <w:vAlign w:val="center"/>
            <w:hideMark/>
          </w:tcPr>
          <w:p w14:paraId="59D5C53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0355 DEFENSA PUBLICA TURRIALBA</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14:paraId="78FA9D6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14:paraId="41753F8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DEFENSOR PÚBLICO </w:t>
            </w:r>
          </w:p>
        </w:tc>
        <w:tc>
          <w:tcPr>
            <w:tcW w:w="1260" w:type="dxa"/>
            <w:tcBorders>
              <w:top w:val="nil"/>
              <w:left w:val="nil"/>
              <w:bottom w:val="single" w:sz="4" w:space="0" w:color="auto"/>
              <w:right w:val="single" w:sz="4" w:space="0" w:color="auto"/>
            </w:tcBorders>
            <w:shd w:val="clear" w:color="000000" w:fill="FFFFFF"/>
            <w:hideMark/>
          </w:tcPr>
          <w:p w14:paraId="4A12E00E"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368075</w:t>
            </w:r>
          </w:p>
        </w:tc>
      </w:tr>
      <w:tr w:rsidR="00CF290F" w:rsidRPr="00CF290F" w14:paraId="4D4BE5D9" w14:textId="77777777" w:rsidTr="00413346">
        <w:trPr>
          <w:trHeight w:val="240"/>
          <w:jc w:val="center"/>
        </w:trPr>
        <w:tc>
          <w:tcPr>
            <w:tcW w:w="1841" w:type="dxa"/>
            <w:vMerge/>
            <w:tcBorders>
              <w:top w:val="single" w:sz="4" w:space="0" w:color="auto"/>
              <w:left w:val="single" w:sz="4" w:space="0" w:color="auto"/>
              <w:bottom w:val="single" w:sz="4" w:space="0" w:color="000000"/>
              <w:right w:val="single" w:sz="4" w:space="0" w:color="auto"/>
            </w:tcBorders>
            <w:vAlign w:val="center"/>
            <w:hideMark/>
          </w:tcPr>
          <w:p w14:paraId="5FE17E16"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single" w:sz="4" w:space="0" w:color="auto"/>
              <w:left w:val="single" w:sz="4" w:space="0" w:color="auto"/>
              <w:bottom w:val="single" w:sz="4" w:space="0" w:color="000000"/>
              <w:right w:val="single" w:sz="4" w:space="0" w:color="auto"/>
            </w:tcBorders>
            <w:vAlign w:val="center"/>
            <w:hideMark/>
          </w:tcPr>
          <w:p w14:paraId="68AF0288"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000000" w:fill="FFFFFF"/>
            <w:vAlign w:val="center"/>
            <w:hideMark/>
          </w:tcPr>
          <w:p w14:paraId="1D0114DE"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0379 DEFENSA PUBLICA SARAPIQUI</w:t>
            </w:r>
          </w:p>
        </w:tc>
        <w:tc>
          <w:tcPr>
            <w:tcW w:w="1015" w:type="dxa"/>
            <w:tcBorders>
              <w:top w:val="nil"/>
              <w:left w:val="nil"/>
              <w:bottom w:val="single" w:sz="4" w:space="0" w:color="auto"/>
              <w:right w:val="single" w:sz="4" w:space="0" w:color="auto"/>
            </w:tcBorders>
            <w:shd w:val="clear" w:color="auto" w:fill="auto"/>
            <w:vAlign w:val="center"/>
            <w:hideMark/>
          </w:tcPr>
          <w:p w14:paraId="4D8A4CFC"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4DB82C33"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DEFENSOR PÚBLICO </w:t>
            </w:r>
          </w:p>
        </w:tc>
        <w:tc>
          <w:tcPr>
            <w:tcW w:w="1260" w:type="dxa"/>
            <w:tcBorders>
              <w:top w:val="nil"/>
              <w:left w:val="nil"/>
              <w:bottom w:val="single" w:sz="4" w:space="0" w:color="auto"/>
              <w:right w:val="single" w:sz="4" w:space="0" w:color="auto"/>
            </w:tcBorders>
            <w:shd w:val="clear" w:color="000000" w:fill="FFFFFF"/>
            <w:hideMark/>
          </w:tcPr>
          <w:p w14:paraId="2D84736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86285</w:t>
            </w:r>
          </w:p>
        </w:tc>
      </w:tr>
      <w:tr w:rsidR="00CF290F" w:rsidRPr="00CF290F" w14:paraId="4BB739A5" w14:textId="77777777" w:rsidTr="00413346">
        <w:trPr>
          <w:trHeight w:val="240"/>
          <w:jc w:val="center"/>
        </w:trPr>
        <w:tc>
          <w:tcPr>
            <w:tcW w:w="1841" w:type="dxa"/>
            <w:vMerge/>
            <w:tcBorders>
              <w:top w:val="single" w:sz="4" w:space="0" w:color="auto"/>
              <w:left w:val="single" w:sz="4" w:space="0" w:color="auto"/>
              <w:bottom w:val="single" w:sz="4" w:space="0" w:color="000000"/>
              <w:right w:val="single" w:sz="4" w:space="0" w:color="auto"/>
            </w:tcBorders>
            <w:vAlign w:val="center"/>
            <w:hideMark/>
          </w:tcPr>
          <w:p w14:paraId="73BD8ED8"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single" w:sz="4" w:space="0" w:color="auto"/>
              <w:left w:val="single" w:sz="4" w:space="0" w:color="auto"/>
              <w:bottom w:val="single" w:sz="4" w:space="0" w:color="000000"/>
              <w:right w:val="single" w:sz="4" w:space="0" w:color="auto"/>
            </w:tcBorders>
            <w:vAlign w:val="center"/>
            <w:hideMark/>
          </w:tcPr>
          <w:p w14:paraId="4A1DEC94"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000000" w:fill="FFFFFF"/>
            <w:vAlign w:val="center"/>
            <w:hideMark/>
          </w:tcPr>
          <w:p w14:paraId="7909CA3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0409 DEFENSA PUBLICA CAÑAS</w:t>
            </w:r>
          </w:p>
        </w:tc>
        <w:tc>
          <w:tcPr>
            <w:tcW w:w="1015" w:type="dxa"/>
            <w:tcBorders>
              <w:top w:val="nil"/>
              <w:left w:val="nil"/>
              <w:bottom w:val="single" w:sz="4" w:space="0" w:color="auto"/>
              <w:right w:val="single" w:sz="4" w:space="0" w:color="auto"/>
            </w:tcBorders>
            <w:shd w:val="clear" w:color="auto" w:fill="auto"/>
            <w:vAlign w:val="center"/>
            <w:hideMark/>
          </w:tcPr>
          <w:p w14:paraId="079ED79B"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73C1F71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DEFENSOR PÚBLICO </w:t>
            </w:r>
          </w:p>
        </w:tc>
        <w:tc>
          <w:tcPr>
            <w:tcW w:w="1260" w:type="dxa"/>
            <w:tcBorders>
              <w:top w:val="nil"/>
              <w:left w:val="nil"/>
              <w:bottom w:val="single" w:sz="4" w:space="0" w:color="auto"/>
              <w:right w:val="single" w:sz="4" w:space="0" w:color="auto"/>
            </w:tcBorders>
            <w:shd w:val="clear" w:color="000000" w:fill="FFFFFF"/>
            <w:hideMark/>
          </w:tcPr>
          <w:p w14:paraId="7331773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101056</w:t>
            </w:r>
          </w:p>
        </w:tc>
      </w:tr>
      <w:tr w:rsidR="00CF290F" w:rsidRPr="00CF290F" w14:paraId="240D707F" w14:textId="77777777" w:rsidTr="00301740">
        <w:trPr>
          <w:trHeight w:val="240"/>
          <w:jc w:val="center"/>
        </w:trPr>
        <w:tc>
          <w:tcPr>
            <w:tcW w:w="1841" w:type="dxa"/>
            <w:vMerge/>
            <w:tcBorders>
              <w:top w:val="single" w:sz="4" w:space="0" w:color="auto"/>
              <w:left w:val="single" w:sz="4" w:space="0" w:color="auto"/>
              <w:bottom w:val="single" w:sz="4" w:space="0" w:color="000000"/>
              <w:right w:val="single" w:sz="4" w:space="0" w:color="auto"/>
            </w:tcBorders>
            <w:vAlign w:val="center"/>
            <w:hideMark/>
          </w:tcPr>
          <w:p w14:paraId="4F2B3F7D"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single" w:sz="4" w:space="0" w:color="auto"/>
              <w:left w:val="single" w:sz="4" w:space="0" w:color="auto"/>
              <w:bottom w:val="single" w:sz="4" w:space="0" w:color="000000"/>
              <w:right w:val="single" w:sz="4" w:space="0" w:color="auto"/>
            </w:tcBorders>
            <w:vAlign w:val="center"/>
            <w:hideMark/>
          </w:tcPr>
          <w:p w14:paraId="492F825D"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vMerge w:val="restart"/>
            <w:tcBorders>
              <w:top w:val="nil"/>
              <w:left w:val="nil"/>
              <w:right w:val="single" w:sz="4" w:space="0" w:color="auto"/>
            </w:tcBorders>
            <w:shd w:val="clear" w:color="000000" w:fill="FFFFFF"/>
            <w:vAlign w:val="center"/>
            <w:hideMark/>
          </w:tcPr>
          <w:p w14:paraId="3EA90F7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0451 DEFENSA PUBLICA QUEPOS</w:t>
            </w:r>
          </w:p>
        </w:tc>
        <w:tc>
          <w:tcPr>
            <w:tcW w:w="1015" w:type="dxa"/>
            <w:tcBorders>
              <w:top w:val="nil"/>
              <w:left w:val="nil"/>
              <w:bottom w:val="single" w:sz="4" w:space="0" w:color="auto"/>
              <w:right w:val="single" w:sz="4" w:space="0" w:color="auto"/>
            </w:tcBorders>
            <w:shd w:val="clear" w:color="auto" w:fill="auto"/>
            <w:vAlign w:val="center"/>
            <w:hideMark/>
          </w:tcPr>
          <w:p w14:paraId="76C30E5C"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340AE03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DEFENSOR PÚBLICO </w:t>
            </w:r>
          </w:p>
        </w:tc>
        <w:tc>
          <w:tcPr>
            <w:tcW w:w="1260" w:type="dxa"/>
            <w:tcBorders>
              <w:top w:val="nil"/>
              <w:left w:val="nil"/>
              <w:bottom w:val="single" w:sz="4" w:space="0" w:color="auto"/>
              <w:right w:val="single" w:sz="4" w:space="0" w:color="auto"/>
            </w:tcBorders>
            <w:shd w:val="clear" w:color="000000" w:fill="FFFFFF"/>
            <w:hideMark/>
          </w:tcPr>
          <w:p w14:paraId="2048CDD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352099</w:t>
            </w:r>
          </w:p>
        </w:tc>
      </w:tr>
      <w:tr w:rsidR="00334B79" w:rsidRPr="00CF290F" w14:paraId="28C43D87" w14:textId="77777777" w:rsidTr="00301740">
        <w:trPr>
          <w:trHeight w:val="240"/>
          <w:jc w:val="center"/>
        </w:trPr>
        <w:tc>
          <w:tcPr>
            <w:tcW w:w="1841" w:type="dxa"/>
            <w:vMerge/>
            <w:tcBorders>
              <w:top w:val="single" w:sz="4" w:space="0" w:color="auto"/>
              <w:left w:val="single" w:sz="4" w:space="0" w:color="auto"/>
              <w:bottom w:val="single" w:sz="4" w:space="0" w:color="000000"/>
              <w:right w:val="single" w:sz="4" w:space="0" w:color="auto"/>
            </w:tcBorders>
            <w:vAlign w:val="center"/>
          </w:tcPr>
          <w:p w14:paraId="384B8136" w14:textId="77777777" w:rsidR="00334B79" w:rsidRPr="00CF290F" w:rsidRDefault="00334B79" w:rsidP="00334B79">
            <w:pPr>
              <w:spacing w:after="0" w:line="240" w:lineRule="auto"/>
              <w:rPr>
                <w:rFonts w:ascii="Book Antiqua" w:eastAsia="Times New Roman" w:hAnsi="Book Antiqua" w:cs="Calibri Light"/>
                <w:color w:val="000000"/>
                <w:sz w:val="16"/>
                <w:szCs w:val="16"/>
                <w:lang w:eastAsia="es-CR"/>
              </w:rPr>
            </w:pPr>
          </w:p>
        </w:tc>
        <w:tc>
          <w:tcPr>
            <w:tcW w:w="1704" w:type="dxa"/>
            <w:vMerge/>
            <w:tcBorders>
              <w:top w:val="single" w:sz="4" w:space="0" w:color="auto"/>
              <w:left w:val="single" w:sz="4" w:space="0" w:color="auto"/>
              <w:bottom w:val="single" w:sz="4" w:space="0" w:color="000000"/>
              <w:right w:val="single" w:sz="4" w:space="0" w:color="auto"/>
            </w:tcBorders>
            <w:vAlign w:val="center"/>
          </w:tcPr>
          <w:p w14:paraId="43A8CFF4" w14:textId="77777777" w:rsidR="00334B79" w:rsidRPr="00CF290F" w:rsidRDefault="00334B79" w:rsidP="00334B79">
            <w:pPr>
              <w:spacing w:after="0" w:line="240" w:lineRule="auto"/>
              <w:rPr>
                <w:rFonts w:ascii="Book Antiqua" w:eastAsia="Times New Roman" w:hAnsi="Book Antiqua" w:cs="Calibri Light"/>
                <w:color w:val="000000"/>
                <w:sz w:val="16"/>
                <w:szCs w:val="16"/>
                <w:lang w:eastAsia="es-CR"/>
              </w:rPr>
            </w:pPr>
          </w:p>
        </w:tc>
        <w:tc>
          <w:tcPr>
            <w:tcW w:w="1684" w:type="dxa"/>
            <w:vMerge/>
            <w:tcBorders>
              <w:left w:val="nil"/>
              <w:bottom w:val="single" w:sz="4" w:space="0" w:color="auto"/>
              <w:right w:val="single" w:sz="4" w:space="0" w:color="auto"/>
            </w:tcBorders>
            <w:shd w:val="clear" w:color="000000" w:fill="FFFFFF"/>
            <w:vAlign w:val="center"/>
          </w:tcPr>
          <w:p w14:paraId="3E3EAD97" w14:textId="77777777" w:rsidR="00334B79" w:rsidRPr="00CF290F" w:rsidRDefault="00334B79" w:rsidP="00334B79">
            <w:pPr>
              <w:spacing w:after="0" w:line="240" w:lineRule="auto"/>
              <w:jc w:val="center"/>
              <w:rPr>
                <w:rFonts w:ascii="Book Antiqua" w:eastAsia="Times New Roman" w:hAnsi="Book Antiqua" w:cs="Calibri Light"/>
                <w:color w:val="000000"/>
                <w:sz w:val="16"/>
                <w:szCs w:val="16"/>
                <w:lang w:eastAsia="es-CR"/>
              </w:rPr>
            </w:pPr>
          </w:p>
        </w:tc>
        <w:tc>
          <w:tcPr>
            <w:tcW w:w="1015" w:type="dxa"/>
            <w:tcBorders>
              <w:top w:val="nil"/>
              <w:left w:val="nil"/>
              <w:bottom w:val="single" w:sz="4" w:space="0" w:color="auto"/>
              <w:right w:val="single" w:sz="4" w:space="0" w:color="auto"/>
            </w:tcBorders>
            <w:shd w:val="clear" w:color="auto" w:fill="auto"/>
            <w:vAlign w:val="center"/>
          </w:tcPr>
          <w:p w14:paraId="05964D8E" w14:textId="40C8DDB0" w:rsidR="00334B79" w:rsidRPr="00CF290F" w:rsidRDefault="00334B79" w:rsidP="00334B79">
            <w:pPr>
              <w:spacing w:after="0" w:line="240" w:lineRule="auto"/>
              <w:jc w:val="center"/>
              <w:rPr>
                <w:rFonts w:ascii="Book Antiqua" w:eastAsia="Times New Roman" w:hAnsi="Book Antiqua" w:cs="Calibri Light"/>
                <w:color w:val="000000"/>
                <w:sz w:val="16"/>
                <w:szCs w:val="16"/>
                <w:lang w:eastAsia="es-CR"/>
              </w:rPr>
            </w:pPr>
            <w:r>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tcPr>
          <w:p w14:paraId="7229EFF0" w14:textId="67321F18" w:rsidR="00334B79" w:rsidRPr="00CF290F" w:rsidRDefault="00334B79" w:rsidP="00334B79">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DEFENSOR PÚBLICO</w:t>
            </w:r>
          </w:p>
        </w:tc>
        <w:tc>
          <w:tcPr>
            <w:tcW w:w="1260" w:type="dxa"/>
            <w:tcBorders>
              <w:top w:val="nil"/>
              <w:left w:val="nil"/>
              <w:bottom w:val="single" w:sz="4" w:space="0" w:color="auto"/>
              <w:right w:val="single" w:sz="4" w:space="0" w:color="auto"/>
            </w:tcBorders>
            <w:shd w:val="clear" w:color="000000" w:fill="FFFFFF"/>
          </w:tcPr>
          <w:p w14:paraId="4DE6C299" w14:textId="054DD452" w:rsidR="00334B79" w:rsidRPr="00CF290F" w:rsidRDefault="00334B79" w:rsidP="00334B79">
            <w:pPr>
              <w:spacing w:after="0" w:line="240" w:lineRule="auto"/>
              <w:jc w:val="center"/>
              <w:rPr>
                <w:rFonts w:ascii="Book Antiqua" w:eastAsia="Times New Roman" w:hAnsi="Book Antiqua" w:cs="Calibri Light"/>
                <w:color w:val="000000"/>
                <w:sz w:val="16"/>
                <w:szCs w:val="16"/>
                <w:lang w:eastAsia="es-CR"/>
              </w:rPr>
            </w:pPr>
            <w:r>
              <w:rPr>
                <w:rFonts w:ascii="Book Antiqua" w:eastAsia="Times New Roman" w:hAnsi="Book Antiqua" w:cs="Calibri Light"/>
                <w:color w:val="000000"/>
                <w:sz w:val="16"/>
                <w:szCs w:val="16"/>
                <w:lang w:eastAsia="es-CR"/>
              </w:rPr>
              <w:t>Pendiente</w:t>
            </w:r>
          </w:p>
        </w:tc>
      </w:tr>
      <w:tr w:rsidR="00CF290F" w:rsidRPr="00CF290F" w14:paraId="28E2897F" w14:textId="77777777" w:rsidTr="00413346">
        <w:trPr>
          <w:trHeight w:val="240"/>
          <w:jc w:val="center"/>
        </w:trPr>
        <w:tc>
          <w:tcPr>
            <w:tcW w:w="1841" w:type="dxa"/>
            <w:vMerge/>
            <w:tcBorders>
              <w:top w:val="single" w:sz="4" w:space="0" w:color="auto"/>
              <w:left w:val="single" w:sz="4" w:space="0" w:color="auto"/>
              <w:bottom w:val="single" w:sz="4" w:space="0" w:color="000000"/>
              <w:right w:val="single" w:sz="4" w:space="0" w:color="auto"/>
            </w:tcBorders>
            <w:vAlign w:val="center"/>
            <w:hideMark/>
          </w:tcPr>
          <w:p w14:paraId="32A1853D"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single" w:sz="4" w:space="0" w:color="auto"/>
              <w:left w:val="single" w:sz="4" w:space="0" w:color="auto"/>
              <w:bottom w:val="single" w:sz="4" w:space="0" w:color="000000"/>
              <w:right w:val="single" w:sz="4" w:space="0" w:color="auto"/>
            </w:tcBorders>
            <w:vAlign w:val="center"/>
            <w:hideMark/>
          </w:tcPr>
          <w:p w14:paraId="79814B79"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000000" w:fill="FFFFFF"/>
            <w:vAlign w:val="center"/>
            <w:hideMark/>
          </w:tcPr>
          <w:p w14:paraId="70396AB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0482 DEFENSA PUBLICA SIQUIRRES</w:t>
            </w:r>
          </w:p>
        </w:tc>
        <w:tc>
          <w:tcPr>
            <w:tcW w:w="1015" w:type="dxa"/>
            <w:tcBorders>
              <w:top w:val="nil"/>
              <w:left w:val="nil"/>
              <w:bottom w:val="single" w:sz="4" w:space="0" w:color="auto"/>
              <w:right w:val="single" w:sz="4" w:space="0" w:color="auto"/>
            </w:tcBorders>
            <w:shd w:val="clear" w:color="auto" w:fill="auto"/>
            <w:vAlign w:val="center"/>
            <w:hideMark/>
          </w:tcPr>
          <w:p w14:paraId="65C12316"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3D6BED0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DEFENSOR PÚBLICO </w:t>
            </w:r>
          </w:p>
        </w:tc>
        <w:tc>
          <w:tcPr>
            <w:tcW w:w="1260" w:type="dxa"/>
            <w:tcBorders>
              <w:top w:val="nil"/>
              <w:left w:val="nil"/>
              <w:bottom w:val="single" w:sz="4" w:space="0" w:color="auto"/>
              <w:right w:val="single" w:sz="4" w:space="0" w:color="auto"/>
            </w:tcBorders>
            <w:shd w:val="clear" w:color="000000" w:fill="FFFFFF"/>
            <w:hideMark/>
          </w:tcPr>
          <w:p w14:paraId="70708D1D"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352115</w:t>
            </w:r>
          </w:p>
        </w:tc>
      </w:tr>
      <w:tr w:rsidR="00CF290F" w:rsidRPr="00CF290F" w14:paraId="7D57E785" w14:textId="77777777" w:rsidTr="00413346">
        <w:trPr>
          <w:trHeight w:val="240"/>
          <w:jc w:val="center"/>
        </w:trPr>
        <w:tc>
          <w:tcPr>
            <w:tcW w:w="1841" w:type="dxa"/>
            <w:vMerge/>
            <w:tcBorders>
              <w:top w:val="single" w:sz="4" w:space="0" w:color="auto"/>
              <w:left w:val="single" w:sz="4" w:space="0" w:color="auto"/>
              <w:bottom w:val="single" w:sz="4" w:space="0" w:color="000000"/>
              <w:right w:val="single" w:sz="4" w:space="0" w:color="auto"/>
            </w:tcBorders>
            <w:vAlign w:val="center"/>
            <w:hideMark/>
          </w:tcPr>
          <w:p w14:paraId="15C19FA3"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single" w:sz="4" w:space="0" w:color="auto"/>
              <w:left w:val="single" w:sz="4" w:space="0" w:color="auto"/>
              <w:bottom w:val="single" w:sz="4" w:space="0" w:color="000000"/>
              <w:right w:val="single" w:sz="4" w:space="0" w:color="auto"/>
            </w:tcBorders>
            <w:vAlign w:val="center"/>
            <w:hideMark/>
          </w:tcPr>
          <w:p w14:paraId="4015E32B"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000000" w:fill="FFFFFF"/>
            <w:vAlign w:val="center"/>
            <w:hideMark/>
          </w:tcPr>
          <w:p w14:paraId="22B8AFE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0599 DEFENSA PUBLICA BRIBRI</w:t>
            </w:r>
          </w:p>
        </w:tc>
        <w:tc>
          <w:tcPr>
            <w:tcW w:w="1015" w:type="dxa"/>
            <w:tcBorders>
              <w:top w:val="nil"/>
              <w:left w:val="nil"/>
              <w:bottom w:val="single" w:sz="4" w:space="0" w:color="auto"/>
              <w:right w:val="single" w:sz="4" w:space="0" w:color="auto"/>
            </w:tcBorders>
            <w:shd w:val="clear" w:color="auto" w:fill="auto"/>
            <w:vAlign w:val="center"/>
            <w:hideMark/>
          </w:tcPr>
          <w:p w14:paraId="22401A9D"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1049C4A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DEFENSOR PÚBLICO </w:t>
            </w:r>
          </w:p>
        </w:tc>
        <w:tc>
          <w:tcPr>
            <w:tcW w:w="1260" w:type="dxa"/>
            <w:tcBorders>
              <w:top w:val="nil"/>
              <w:left w:val="nil"/>
              <w:bottom w:val="single" w:sz="4" w:space="0" w:color="auto"/>
              <w:right w:val="single" w:sz="4" w:space="0" w:color="auto"/>
            </w:tcBorders>
            <w:shd w:val="clear" w:color="000000" w:fill="FFFFFF"/>
            <w:hideMark/>
          </w:tcPr>
          <w:p w14:paraId="7909859E"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366198</w:t>
            </w:r>
          </w:p>
        </w:tc>
      </w:tr>
      <w:tr w:rsidR="00CF290F" w:rsidRPr="00CF290F" w14:paraId="548F9B10" w14:textId="77777777" w:rsidTr="00413346">
        <w:trPr>
          <w:trHeight w:val="240"/>
          <w:jc w:val="center"/>
        </w:trPr>
        <w:tc>
          <w:tcPr>
            <w:tcW w:w="1841" w:type="dxa"/>
            <w:vMerge/>
            <w:tcBorders>
              <w:top w:val="single" w:sz="4" w:space="0" w:color="auto"/>
              <w:left w:val="single" w:sz="4" w:space="0" w:color="auto"/>
              <w:bottom w:val="single" w:sz="4" w:space="0" w:color="000000"/>
              <w:right w:val="single" w:sz="4" w:space="0" w:color="auto"/>
            </w:tcBorders>
            <w:vAlign w:val="center"/>
            <w:hideMark/>
          </w:tcPr>
          <w:p w14:paraId="3059D387"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single" w:sz="4" w:space="0" w:color="auto"/>
              <w:left w:val="single" w:sz="4" w:space="0" w:color="auto"/>
              <w:bottom w:val="single" w:sz="4" w:space="0" w:color="000000"/>
              <w:right w:val="single" w:sz="4" w:space="0" w:color="auto"/>
            </w:tcBorders>
            <w:vAlign w:val="center"/>
            <w:hideMark/>
          </w:tcPr>
          <w:p w14:paraId="01149F6A"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auto" w:fill="auto"/>
            <w:vAlign w:val="center"/>
            <w:hideMark/>
          </w:tcPr>
          <w:p w14:paraId="0F344FEC"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263- Defensa Pública de Zona Sur</w:t>
            </w:r>
          </w:p>
        </w:tc>
        <w:tc>
          <w:tcPr>
            <w:tcW w:w="1015" w:type="dxa"/>
            <w:tcBorders>
              <w:top w:val="nil"/>
              <w:left w:val="nil"/>
              <w:bottom w:val="single" w:sz="4" w:space="0" w:color="auto"/>
              <w:right w:val="single" w:sz="4" w:space="0" w:color="auto"/>
            </w:tcBorders>
            <w:shd w:val="clear" w:color="auto" w:fill="auto"/>
            <w:vAlign w:val="center"/>
            <w:hideMark/>
          </w:tcPr>
          <w:p w14:paraId="64EABCDE"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1C5C757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DEFENSOR PÚBLICO </w:t>
            </w:r>
          </w:p>
        </w:tc>
        <w:tc>
          <w:tcPr>
            <w:tcW w:w="1260" w:type="dxa"/>
            <w:tcBorders>
              <w:top w:val="nil"/>
              <w:left w:val="nil"/>
              <w:bottom w:val="single" w:sz="4" w:space="0" w:color="auto"/>
              <w:right w:val="single" w:sz="4" w:space="0" w:color="auto"/>
            </w:tcBorders>
            <w:shd w:val="clear" w:color="auto" w:fill="auto"/>
            <w:hideMark/>
          </w:tcPr>
          <w:p w14:paraId="22132C1A"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65B19C88" w14:textId="77777777" w:rsidTr="00413346">
        <w:trPr>
          <w:trHeight w:val="240"/>
          <w:jc w:val="center"/>
        </w:trPr>
        <w:tc>
          <w:tcPr>
            <w:tcW w:w="1841" w:type="dxa"/>
            <w:vMerge/>
            <w:tcBorders>
              <w:top w:val="single" w:sz="4" w:space="0" w:color="auto"/>
              <w:left w:val="single" w:sz="4" w:space="0" w:color="auto"/>
              <w:bottom w:val="single" w:sz="4" w:space="0" w:color="000000"/>
              <w:right w:val="single" w:sz="4" w:space="0" w:color="auto"/>
            </w:tcBorders>
            <w:vAlign w:val="center"/>
            <w:hideMark/>
          </w:tcPr>
          <w:p w14:paraId="243CA8CE"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single" w:sz="4" w:space="0" w:color="auto"/>
              <w:left w:val="single" w:sz="4" w:space="0" w:color="auto"/>
              <w:bottom w:val="single" w:sz="4" w:space="0" w:color="000000"/>
              <w:right w:val="single" w:sz="4" w:space="0" w:color="auto"/>
            </w:tcBorders>
            <w:vAlign w:val="center"/>
            <w:hideMark/>
          </w:tcPr>
          <w:p w14:paraId="4624A134"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auto" w:fill="auto"/>
            <w:vAlign w:val="center"/>
            <w:hideMark/>
          </w:tcPr>
          <w:p w14:paraId="064934D7"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268- Defensa Pública de Pavas</w:t>
            </w:r>
          </w:p>
        </w:tc>
        <w:tc>
          <w:tcPr>
            <w:tcW w:w="1015" w:type="dxa"/>
            <w:tcBorders>
              <w:top w:val="nil"/>
              <w:left w:val="nil"/>
              <w:bottom w:val="single" w:sz="4" w:space="0" w:color="auto"/>
              <w:right w:val="single" w:sz="4" w:space="0" w:color="auto"/>
            </w:tcBorders>
            <w:shd w:val="clear" w:color="auto" w:fill="auto"/>
            <w:vAlign w:val="center"/>
            <w:hideMark/>
          </w:tcPr>
          <w:p w14:paraId="417CD3A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6CCF91D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DEFENSOR PÚBLICO </w:t>
            </w:r>
          </w:p>
        </w:tc>
        <w:tc>
          <w:tcPr>
            <w:tcW w:w="1260" w:type="dxa"/>
            <w:tcBorders>
              <w:top w:val="nil"/>
              <w:left w:val="nil"/>
              <w:bottom w:val="single" w:sz="4" w:space="0" w:color="auto"/>
              <w:right w:val="single" w:sz="4" w:space="0" w:color="auto"/>
            </w:tcBorders>
            <w:shd w:val="clear" w:color="auto" w:fill="auto"/>
            <w:hideMark/>
          </w:tcPr>
          <w:p w14:paraId="7219DFF5"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4E1DAEDB" w14:textId="77777777" w:rsidTr="00413346">
        <w:trPr>
          <w:trHeight w:val="240"/>
          <w:jc w:val="center"/>
        </w:trPr>
        <w:tc>
          <w:tcPr>
            <w:tcW w:w="1841" w:type="dxa"/>
            <w:vMerge/>
            <w:tcBorders>
              <w:top w:val="single" w:sz="4" w:space="0" w:color="auto"/>
              <w:left w:val="single" w:sz="4" w:space="0" w:color="auto"/>
              <w:bottom w:val="single" w:sz="4" w:space="0" w:color="000000"/>
              <w:right w:val="single" w:sz="4" w:space="0" w:color="auto"/>
            </w:tcBorders>
            <w:vAlign w:val="center"/>
            <w:hideMark/>
          </w:tcPr>
          <w:p w14:paraId="1AB6CCBE"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single" w:sz="4" w:space="0" w:color="auto"/>
              <w:left w:val="single" w:sz="4" w:space="0" w:color="auto"/>
              <w:bottom w:val="single" w:sz="4" w:space="0" w:color="000000"/>
              <w:right w:val="single" w:sz="4" w:space="0" w:color="auto"/>
            </w:tcBorders>
            <w:vAlign w:val="center"/>
            <w:hideMark/>
          </w:tcPr>
          <w:p w14:paraId="71D95217"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auto" w:fill="auto"/>
            <w:vAlign w:val="center"/>
            <w:hideMark/>
          </w:tcPr>
          <w:p w14:paraId="392F260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328- Defensa Pública de San Carlos</w:t>
            </w:r>
          </w:p>
        </w:tc>
        <w:tc>
          <w:tcPr>
            <w:tcW w:w="1015" w:type="dxa"/>
            <w:tcBorders>
              <w:top w:val="nil"/>
              <w:left w:val="nil"/>
              <w:bottom w:val="single" w:sz="4" w:space="0" w:color="auto"/>
              <w:right w:val="single" w:sz="4" w:space="0" w:color="auto"/>
            </w:tcBorders>
            <w:shd w:val="clear" w:color="auto" w:fill="auto"/>
            <w:vAlign w:val="center"/>
            <w:hideMark/>
          </w:tcPr>
          <w:p w14:paraId="60D1D2B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6C8CEACD"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DEFENSOR PÚBLICO </w:t>
            </w:r>
          </w:p>
        </w:tc>
        <w:tc>
          <w:tcPr>
            <w:tcW w:w="1260" w:type="dxa"/>
            <w:tcBorders>
              <w:top w:val="nil"/>
              <w:left w:val="nil"/>
              <w:bottom w:val="single" w:sz="4" w:space="0" w:color="auto"/>
              <w:right w:val="single" w:sz="4" w:space="0" w:color="auto"/>
            </w:tcBorders>
            <w:shd w:val="clear" w:color="auto" w:fill="auto"/>
            <w:hideMark/>
          </w:tcPr>
          <w:p w14:paraId="7518A924"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27065765" w14:textId="77777777" w:rsidTr="00413346">
        <w:trPr>
          <w:trHeight w:val="240"/>
          <w:jc w:val="center"/>
        </w:trPr>
        <w:tc>
          <w:tcPr>
            <w:tcW w:w="1841" w:type="dxa"/>
            <w:vMerge/>
            <w:tcBorders>
              <w:top w:val="single" w:sz="4" w:space="0" w:color="auto"/>
              <w:left w:val="single" w:sz="4" w:space="0" w:color="auto"/>
              <w:bottom w:val="single" w:sz="4" w:space="0" w:color="000000"/>
              <w:right w:val="single" w:sz="4" w:space="0" w:color="auto"/>
            </w:tcBorders>
            <w:vAlign w:val="center"/>
            <w:hideMark/>
          </w:tcPr>
          <w:p w14:paraId="63C9ED3C"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single" w:sz="4" w:space="0" w:color="auto"/>
              <w:left w:val="single" w:sz="4" w:space="0" w:color="auto"/>
              <w:bottom w:val="single" w:sz="4" w:space="0" w:color="000000"/>
              <w:right w:val="single" w:sz="4" w:space="0" w:color="auto"/>
            </w:tcBorders>
            <w:vAlign w:val="center"/>
            <w:hideMark/>
          </w:tcPr>
          <w:p w14:paraId="549F034B"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auto" w:fill="auto"/>
            <w:vAlign w:val="center"/>
            <w:hideMark/>
          </w:tcPr>
          <w:p w14:paraId="734E2EA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378- Defensa Pública de Heredia</w:t>
            </w:r>
          </w:p>
        </w:tc>
        <w:tc>
          <w:tcPr>
            <w:tcW w:w="1015" w:type="dxa"/>
            <w:tcBorders>
              <w:top w:val="nil"/>
              <w:left w:val="nil"/>
              <w:bottom w:val="single" w:sz="4" w:space="0" w:color="auto"/>
              <w:right w:val="single" w:sz="4" w:space="0" w:color="auto"/>
            </w:tcBorders>
            <w:shd w:val="clear" w:color="auto" w:fill="auto"/>
            <w:vAlign w:val="center"/>
            <w:hideMark/>
          </w:tcPr>
          <w:p w14:paraId="1961D2A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58DA496C"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DEFENSOR PÚBLICO </w:t>
            </w:r>
          </w:p>
        </w:tc>
        <w:tc>
          <w:tcPr>
            <w:tcW w:w="1260" w:type="dxa"/>
            <w:tcBorders>
              <w:top w:val="nil"/>
              <w:left w:val="nil"/>
              <w:bottom w:val="single" w:sz="4" w:space="0" w:color="auto"/>
              <w:right w:val="single" w:sz="4" w:space="0" w:color="auto"/>
            </w:tcBorders>
            <w:shd w:val="clear" w:color="auto" w:fill="auto"/>
            <w:hideMark/>
          </w:tcPr>
          <w:p w14:paraId="493F9365"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1241E206" w14:textId="77777777" w:rsidTr="00413346">
        <w:trPr>
          <w:trHeight w:val="240"/>
          <w:jc w:val="center"/>
        </w:trPr>
        <w:tc>
          <w:tcPr>
            <w:tcW w:w="1841" w:type="dxa"/>
            <w:vMerge/>
            <w:tcBorders>
              <w:top w:val="single" w:sz="4" w:space="0" w:color="auto"/>
              <w:left w:val="single" w:sz="4" w:space="0" w:color="auto"/>
              <w:bottom w:val="single" w:sz="4" w:space="0" w:color="000000"/>
              <w:right w:val="single" w:sz="4" w:space="0" w:color="auto"/>
            </w:tcBorders>
            <w:vAlign w:val="center"/>
            <w:hideMark/>
          </w:tcPr>
          <w:p w14:paraId="39537F08"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single" w:sz="4" w:space="0" w:color="auto"/>
              <w:left w:val="single" w:sz="4" w:space="0" w:color="auto"/>
              <w:bottom w:val="single" w:sz="4" w:space="0" w:color="000000"/>
              <w:right w:val="single" w:sz="4" w:space="0" w:color="auto"/>
            </w:tcBorders>
            <w:vAlign w:val="center"/>
            <w:hideMark/>
          </w:tcPr>
          <w:p w14:paraId="533D185E"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auto" w:fill="auto"/>
            <w:vAlign w:val="center"/>
            <w:hideMark/>
          </w:tcPr>
          <w:p w14:paraId="69DCAC6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379- Defensa Pública de Sarapiquí</w:t>
            </w:r>
          </w:p>
        </w:tc>
        <w:tc>
          <w:tcPr>
            <w:tcW w:w="1015" w:type="dxa"/>
            <w:tcBorders>
              <w:top w:val="nil"/>
              <w:left w:val="nil"/>
              <w:bottom w:val="single" w:sz="4" w:space="0" w:color="auto"/>
              <w:right w:val="single" w:sz="4" w:space="0" w:color="auto"/>
            </w:tcBorders>
            <w:shd w:val="clear" w:color="auto" w:fill="auto"/>
            <w:vAlign w:val="center"/>
            <w:hideMark/>
          </w:tcPr>
          <w:p w14:paraId="51CEFEF3"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0D17A31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DEFENSOR PÚBLICO </w:t>
            </w:r>
          </w:p>
        </w:tc>
        <w:tc>
          <w:tcPr>
            <w:tcW w:w="1260" w:type="dxa"/>
            <w:tcBorders>
              <w:top w:val="nil"/>
              <w:left w:val="nil"/>
              <w:bottom w:val="single" w:sz="4" w:space="0" w:color="auto"/>
              <w:right w:val="single" w:sz="4" w:space="0" w:color="auto"/>
            </w:tcBorders>
            <w:shd w:val="clear" w:color="auto" w:fill="auto"/>
            <w:hideMark/>
          </w:tcPr>
          <w:p w14:paraId="5ED7A78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41DE636B" w14:textId="77777777" w:rsidTr="00413346">
        <w:trPr>
          <w:trHeight w:val="240"/>
          <w:jc w:val="center"/>
        </w:trPr>
        <w:tc>
          <w:tcPr>
            <w:tcW w:w="1841" w:type="dxa"/>
            <w:vMerge/>
            <w:tcBorders>
              <w:top w:val="single" w:sz="4" w:space="0" w:color="auto"/>
              <w:left w:val="single" w:sz="4" w:space="0" w:color="auto"/>
              <w:bottom w:val="single" w:sz="4" w:space="0" w:color="000000"/>
              <w:right w:val="single" w:sz="4" w:space="0" w:color="auto"/>
            </w:tcBorders>
            <w:vAlign w:val="center"/>
            <w:hideMark/>
          </w:tcPr>
          <w:p w14:paraId="0488B1B6"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single" w:sz="4" w:space="0" w:color="auto"/>
              <w:left w:val="single" w:sz="4" w:space="0" w:color="auto"/>
              <w:bottom w:val="single" w:sz="4" w:space="0" w:color="000000"/>
              <w:right w:val="single" w:sz="4" w:space="0" w:color="auto"/>
            </w:tcBorders>
            <w:vAlign w:val="center"/>
            <w:hideMark/>
          </w:tcPr>
          <w:p w14:paraId="0B164912"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auto" w:fill="auto"/>
            <w:vAlign w:val="center"/>
            <w:hideMark/>
          </w:tcPr>
          <w:p w14:paraId="70FDE29F"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480- Defensa Pública de Limón</w:t>
            </w:r>
          </w:p>
        </w:tc>
        <w:tc>
          <w:tcPr>
            <w:tcW w:w="1015" w:type="dxa"/>
            <w:tcBorders>
              <w:top w:val="nil"/>
              <w:left w:val="nil"/>
              <w:bottom w:val="single" w:sz="4" w:space="0" w:color="auto"/>
              <w:right w:val="single" w:sz="4" w:space="0" w:color="auto"/>
            </w:tcBorders>
            <w:shd w:val="clear" w:color="auto" w:fill="auto"/>
            <w:vAlign w:val="center"/>
            <w:hideMark/>
          </w:tcPr>
          <w:p w14:paraId="56EBD89C"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30E1B36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DEFENSOR PÚBLICO </w:t>
            </w:r>
          </w:p>
        </w:tc>
        <w:tc>
          <w:tcPr>
            <w:tcW w:w="1260" w:type="dxa"/>
            <w:tcBorders>
              <w:top w:val="nil"/>
              <w:left w:val="nil"/>
              <w:bottom w:val="single" w:sz="4" w:space="0" w:color="auto"/>
              <w:right w:val="single" w:sz="4" w:space="0" w:color="auto"/>
            </w:tcBorders>
            <w:shd w:val="clear" w:color="auto" w:fill="auto"/>
            <w:hideMark/>
          </w:tcPr>
          <w:p w14:paraId="5DAC9BB5"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5D94259E" w14:textId="77777777" w:rsidTr="00413346">
        <w:trPr>
          <w:trHeight w:val="240"/>
          <w:jc w:val="center"/>
        </w:trPr>
        <w:tc>
          <w:tcPr>
            <w:tcW w:w="1841" w:type="dxa"/>
            <w:vMerge/>
            <w:tcBorders>
              <w:top w:val="single" w:sz="4" w:space="0" w:color="auto"/>
              <w:left w:val="single" w:sz="4" w:space="0" w:color="auto"/>
              <w:bottom w:val="single" w:sz="4" w:space="0" w:color="000000"/>
              <w:right w:val="single" w:sz="4" w:space="0" w:color="auto"/>
            </w:tcBorders>
            <w:vAlign w:val="center"/>
            <w:hideMark/>
          </w:tcPr>
          <w:p w14:paraId="0B98D298"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single" w:sz="4" w:space="0" w:color="auto"/>
              <w:left w:val="single" w:sz="4" w:space="0" w:color="auto"/>
              <w:bottom w:val="single" w:sz="4" w:space="0" w:color="000000"/>
              <w:right w:val="single" w:sz="4" w:space="0" w:color="auto"/>
            </w:tcBorders>
            <w:vAlign w:val="center"/>
            <w:hideMark/>
          </w:tcPr>
          <w:p w14:paraId="00D3D914"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auto" w:fill="auto"/>
            <w:vAlign w:val="center"/>
            <w:hideMark/>
          </w:tcPr>
          <w:p w14:paraId="5A3B8F28"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481- Defensa Pública de Pococí</w:t>
            </w:r>
          </w:p>
        </w:tc>
        <w:tc>
          <w:tcPr>
            <w:tcW w:w="1015" w:type="dxa"/>
            <w:tcBorders>
              <w:top w:val="nil"/>
              <w:left w:val="nil"/>
              <w:bottom w:val="single" w:sz="4" w:space="0" w:color="auto"/>
              <w:right w:val="single" w:sz="4" w:space="0" w:color="auto"/>
            </w:tcBorders>
            <w:shd w:val="clear" w:color="auto" w:fill="auto"/>
            <w:vAlign w:val="center"/>
            <w:hideMark/>
          </w:tcPr>
          <w:p w14:paraId="39EFE8E5"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auto" w:fill="auto"/>
            <w:vAlign w:val="center"/>
            <w:hideMark/>
          </w:tcPr>
          <w:p w14:paraId="43C665B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DEFENSOR PÚBLICO </w:t>
            </w:r>
          </w:p>
        </w:tc>
        <w:tc>
          <w:tcPr>
            <w:tcW w:w="1260" w:type="dxa"/>
            <w:tcBorders>
              <w:top w:val="nil"/>
              <w:left w:val="nil"/>
              <w:bottom w:val="single" w:sz="4" w:space="0" w:color="auto"/>
              <w:right w:val="single" w:sz="4" w:space="0" w:color="auto"/>
            </w:tcBorders>
            <w:shd w:val="clear" w:color="auto" w:fill="auto"/>
            <w:hideMark/>
          </w:tcPr>
          <w:p w14:paraId="2D38229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r w:rsidR="00CF290F" w:rsidRPr="00CF290F" w14:paraId="2AD512F6" w14:textId="77777777" w:rsidTr="00413346">
        <w:trPr>
          <w:trHeight w:val="240"/>
          <w:jc w:val="center"/>
        </w:trPr>
        <w:tc>
          <w:tcPr>
            <w:tcW w:w="1841" w:type="dxa"/>
            <w:vMerge/>
            <w:tcBorders>
              <w:top w:val="single" w:sz="4" w:space="0" w:color="auto"/>
              <w:left w:val="single" w:sz="4" w:space="0" w:color="auto"/>
              <w:bottom w:val="single" w:sz="4" w:space="0" w:color="000000"/>
              <w:right w:val="single" w:sz="4" w:space="0" w:color="auto"/>
            </w:tcBorders>
            <w:vAlign w:val="center"/>
            <w:hideMark/>
          </w:tcPr>
          <w:p w14:paraId="1773F6AB"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704" w:type="dxa"/>
            <w:vMerge/>
            <w:tcBorders>
              <w:top w:val="single" w:sz="4" w:space="0" w:color="auto"/>
              <w:left w:val="single" w:sz="4" w:space="0" w:color="auto"/>
              <w:bottom w:val="single" w:sz="4" w:space="0" w:color="000000"/>
              <w:right w:val="single" w:sz="4" w:space="0" w:color="auto"/>
            </w:tcBorders>
            <w:vAlign w:val="center"/>
            <w:hideMark/>
          </w:tcPr>
          <w:p w14:paraId="56CAB08C" w14:textId="77777777" w:rsidR="00CF290F" w:rsidRPr="00CF290F" w:rsidRDefault="00CF290F" w:rsidP="00CF290F">
            <w:pPr>
              <w:spacing w:after="0" w:line="240" w:lineRule="auto"/>
              <w:rPr>
                <w:rFonts w:ascii="Book Antiqua" w:eastAsia="Times New Roman" w:hAnsi="Book Antiqua" w:cs="Calibri Light"/>
                <w:color w:val="000000"/>
                <w:sz w:val="16"/>
                <w:szCs w:val="16"/>
                <w:lang w:eastAsia="es-CR"/>
              </w:rPr>
            </w:pPr>
          </w:p>
        </w:tc>
        <w:tc>
          <w:tcPr>
            <w:tcW w:w="1684" w:type="dxa"/>
            <w:tcBorders>
              <w:top w:val="nil"/>
              <w:left w:val="nil"/>
              <w:bottom w:val="single" w:sz="4" w:space="0" w:color="auto"/>
              <w:right w:val="single" w:sz="4" w:space="0" w:color="auto"/>
            </w:tcBorders>
            <w:shd w:val="clear" w:color="000000" w:fill="FFFFFF"/>
            <w:vAlign w:val="center"/>
            <w:hideMark/>
          </w:tcPr>
          <w:p w14:paraId="38E3CE11"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DEFENSA PUBLICA (delitos sexuales)</w:t>
            </w:r>
          </w:p>
        </w:tc>
        <w:tc>
          <w:tcPr>
            <w:tcW w:w="1015" w:type="dxa"/>
            <w:tcBorders>
              <w:top w:val="nil"/>
              <w:left w:val="nil"/>
              <w:bottom w:val="single" w:sz="4" w:space="0" w:color="auto"/>
              <w:right w:val="single" w:sz="4" w:space="0" w:color="auto"/>
            </w:tcBorders>
            <w:shd w:val="clear" w:color="000000" w:fill="FFFFFF"/>
            <w:vAlign w:val="center"/>
            <w:hideMark/>
          </w:tcPr>
          <w:p w14:paraId="16652889"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1</w:t>
            </w:r>
          </w:p>
        </w:tc>
        <w:tc>
          <w:tcPr>
            <w:tcW w:w="2056" w:type="dxa"/>
            <w:tcBorders>
              <w:top w:val="nil"/>
              <w:left w:val="nil"/>
              <w:bottom w:val="single" w:sz="4" w:space="0" w:color="auto"/>
              <w:right w:val="single" w:sz="4" w:space="0" w:color="auto"/>
            </w:tcBorders>
            <w:shd w:val="clear" w:color="000000" w:fill="FFFFFF"/>
            <w:vAlign w:val="center"/>
            <w:hideMark/>
          </w:tcPr>
          <w:p w14:paraId="41D0D8C0"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 xml:space="preserve">DEFENSOR PÚBLICO </w:t>
            </w:r>
          </w:p>
        </w:tc>
        <w:tc>
          <w:tcPr>
            <w:tcW w:w="1260" w:type="dxa"/>
            <w:tcBorders>
              <w:top w:val="nil"/>
              <w:left w:val="nil"/>
              <w:bottom w:val="single" w:sz="4" w:space="0" w:color="auto"/>
              <w:right w:val="single" w:sz="4" w:space="0" w:color="auto"/>
            </w:tcBorders>
            <w:shd w:val="clear" w:color="000000" w:fill="FFFFFF"/>
            <w:hideMark/>
          </w:tcPr>
          <w:p w14:paraId="04181472" w14:textId="77777777" w:rsidR="00CF290F" w:rsidRPr="00CF290F" w:rsidRDefault="00CF290F" w:rsidP="00CF290F">
            <w:pPr>
              <w:spacing w:after="0" w:line="240" w:lineRule="auto"/>
              <w:jc w:val="center"/>
              <w:rPr>
                <w:rFonts w:ascii="Book Antiqua" w:eastAsia="Times New Roman" w:hAnsi="Book Antiqua" w:cs="Calibri Light"/>
                <w:color w:val="000000"/>
                <w:sz w:val="16"/>
                <w:szCs w:val="16"/>
                <w:lang w:eastAsia="es-CR"/>
              </w:rPr>
            </w:pPr>
            <w:r w:rsidRPr="00CF290F">
              <w:rPr>
                <w:rFonts w:ascii="Book Antiqua" w:eastAsia="Times New Roman" w:hAnsi="Book Antiqua" w:cs="Calibri Light"/>
                <w:color w:val="000000"/>
                <w:sz w:val="16"/>
                <w:szCs w:val="16"/>
                <w:lang w:eastAsia="es-CR"/>
              </w:rPr>
              <w:t>Pendiente</w:t>
            </w:r>
          </w:p>
        </w:tc>
      </w:tr>
    </w:tbl>
    <w:bookmarkEnd w:id="138"/>
    <w:p w14:paraId="6C4F445B" w14:textId="2108DDE4" w:rsidR="00320D34" w:rsidRPr="00FF2971" w:rsidRDefault="00320D34" w:rsidP="00320D34">
      <w:pPr>
        <w:rPr>
          <w:rFonts w:ascii="Book Antiqua" w:hAnsi="Book Antiqua"/>
          <w:sz w:val="16"/>
          <w:szCs w:val="16"/>
          <w:lang w:val="es-ES"/>
        </w:rPr>
      </w:pPr>
      <w:r w:rsidRPr="00FF2971">
        <w:rPr>
          <w:rFonts w:ascii="Book Antiqua" w:hAnsi="Book Antiqua"/>
          <w:sz w:val="16"/>
          <w:szCs w:val="16"/>
          <w:lang w:val="es-ES"/>
        </w:rPr>
        <w:t>Fuente:</w:t>
      </w:r>
      <w:r>
        <w:rPr>
          <w:rFonts w:ascii="Book Antiqua" w:hAnsi="Book Antiqua"/>
          <w:sz w:val="16"/>
          <w:szCs w:val="16"/>
          <w:lang w:val="es-ES"/>
        </w:rPr>
        <w:t xml:space="preserve"> Datos proporcionados por los líderes y responsables de proyecto Modelo Penal.</w:t>
      </w:r>
    </w:p>
    <w:p w14:paraId="113518BB" w14:textId="37FE3851" w:rsidR="00B11631" w:rsidRDefault="00B11631" w:rsidP="00A00E2F">
      <w:pPr>
        <w:spacing w:after="0"/>
        <w:jc w:val="both"/>
        <w:rPr>
          <w:rFonts w:ascii="Book Antiqua" w:hAnsi="Book Antiqua"/>
          <w:highlight w:val="yellow"/>
          <w:lang w:val="es-ES"/>
        </w:rPr>
      </w:pPr>
    </w:p>
    <w:p w14:paraId="39091BE3" w14:textId="2D7F9BD9" w:rsidR="007819AE" w:rsidRPr="007819AE" w:rsidRDefault="007819AE" w:rsidP="007819AE">
      <w:pPr>
        <w:spacing w:after="0"/>
        <w:jc w:val="both"/>
        <w:rPr>
          <w:rFonts w:ascii="Book Antiqua" w:hAnsi="Book Antiqua"/>
          <w:highlight w:val="yellow"/>
          <w:lang w:val="es-ES"/>
        </w:rPr>
      </w:pPr>
    </w:p>
    <w:p w14:paraId="138A9925" w14:textId="6E137D1C" w:rsidR="00334B79" w:rsidRDefault="00334B79" w:rsidP="00A00E2F">
      <w:pPr>
        <w:spacing w:after="0"/>
        <w:jc w:val="both"/>
        <w:rPr>
          <w:rFonts w:ascii="Book Antiqua" w:hAnsi="Book Antiqua"/>
          <w:highlight w:val="yellow"/>
          <w:lang w:val="es-ES"/>
        </w:rPr>
      </w:pPr>
    </w:p>
    <w:p w14:paraId="7CB3941A" w14:textId="1045B03F" w:rsidR="00006088" w:rsidRDefault="00006088" w:rsidP="00A00E2F">
      <w:pPr>
        <w:spacing w:after="0"/>
        <w:jc w:val="both"/>
        <w:rPr>
          <w:rFonts w:ascii="Book Antiqua" w:hAnsi="Book Antiqua"/>
          <w:highlight w:val="yellow"/>
          <w:lang w:val="es-ES"/>
        </w:rPr>
      </w:pPr>
    </w:p>
    <w:p w14:paraId="5C870BAB" w14:textId="77777777" w:rsidR="00006088" w:rsidRDefault="00006088" w:rsidP="00A00E2F">
      <w:pPr>
        <w:spacing w:after="0"/>
        <w:jc w:val="both"/>
        <w:rPr>
          <w:rFonts w:ascii="Book Antiqua" w:hAnsi="Book Antiqua"/>
          <w:highlight w:val="yellow"/>
          <w:lang w:val="es-ES"/>
        </w:rPr>
      </w:pPr>
    </w:p>
    <w:p w14:paraId="2EC34C93" w14:textId="5B7FA8A9" w:rsidR="00320D34" w:rsidRPr="00320D34" w:rsidRDefault="00320D34" w:rsidP="00320D34">
      <w:pPr>
        <w:pStyle w:val="Ttulo2"/>
        <w:rPr>
          <w:rFonts w:ascii="Book Antiqua" w:hAnsi="Book Antiqua"/>
          <w:b/>
          <w:bCs/>
          <w:color w:val="auto"/>
          <w:sz w:val="24"/>
          <w:szCs w:val="24"/>
          <w:lang w:val="es-ES"/>
        </w:rPr>
      </w:pPr>
      <w:bookmarkStart w:id="139" w:name="_Toc138770871"/>
      <w:r w:rsidRPr="00320D34">
        <w:rPr>
          <w:rFonts w:ascii="Book Antiqua" w:hAnsi="Book Antiqua"/>
          <w:b/>
          <w:bCs/>
          <w:color w:val="auto"/>
          <w:sz w:val="24"/>
          <w:szCs w:val="24"/>
          <w:lang w:val="es-ES"/>
        </w:rPr>
        <w:lastRenderedPageBreak/>
        <w:t xml:space="preserve">4.7 </w:t>
      </w:r>
      <w:r>
        <w:rPr>
          <w:rFonts w:ascii="Book Antiqua" w:hAnsi="Book Antiqua"/>
          <w:b/>
          <w:bCs/>
          <w:color w:val="auto"/>
          <w:sz w:val="24"/>
          <w:szCs w:val="24"/>
          <w:lang w:val="es-ES"/>
        </w:rPr>
        <w:t>D</w:t>
      </w:r>
      <w:r w:rsidRPr="00320D34">
        <w:rPr>
          <w:rFonts w:ascii="Book Antiqua" w:hAnsi="Book Antiqua"/>
          <w:b/>
          <w:bCs/>
          <w:color w:val="auto"/>
          <w:sz w:val="24"/>
          <w:szCs w:val="24"/>
          <w:lang w:val="es-ES"/>
        </w:rPr>
        <w:t xml:space="preserve">etalle de solicitudes de </w:t>
      </w:r>
      <w:r>
        <w:rPr>
          <w:rFonts w:ascii="Book Antiqua" w:hAnsi="Book Antiqua"/>
          <w:b/>
          <w:bCs/>
          <w:color w:val="auto"/>
          <w:sz w:val="24"/>
          <w:szCs w:val="24"/>
          <w:lang w:val="es-ES"/>
        </w:rPr>
        <w:t>oficinas con ejecución de</w:t>
      </w:r>
      <w:r w:rsidRPr="00320D34">
        <w:rPr>
          <w:rFonts w:ascii="Book Antiqua" w:hAnsi="Book Antiqua"/>
          <w:b/>
          <w:bCs/>
          <w:color w:val="auto"/>
          <w:sz w:val="24"/>
          <w:szCs w:val="24"/>
          <w:lang w:val="es-ES"/>
        </w:rPr>
        <w:t xml:space="preserve"> labores operativas que solicitan nuevos permisos</w:t>
      </w:r>
      <w:r>
        <w:rPr>
          <w:rFonts w:ascii="Book Antiqua" w:hAnsi="Book Antiqua"/>
          <w:b/>
          <w:bCs/>
          <w:color w:val="auto"/>
          <w:sz w:val="24"/>
          <w:szCs w:val="24"/>
          <w:lang w:val="es-ES"/>
        </w:rPr>
        <w:t xml:space="preserve"> con goce de salario</w:t>
      </w:r>
      <w:r w:rsidRPr="00320D34">
        <w:rPr>
          <w:rFonts w:ascii="Book Antiqua" w:hAnsi="Book Antiqua"/>
          <w:b/>
          <w:bCs/>
          <w:color w:val="auto"/>
          <w:sz w:val="24"/>
          <w:szCs w:val="24"/>
          <w:lang w:val="es-ES"/>
        </w:rPr>
        <w:t xml:space="preserve"> para el III trimestre 2023</w:t>
      </w:r>
      <w:bookmarkEnd w:id="139"/>
    </w:p>
    <w:p w14:paraId="36C0B550" w14:textId="77777777" w:rsidR="00CF290F" w:rsidRDefault="00CF290F" w:rsidP="00A00E2F">
      <w:pPr>
        <w:spacing w:after="0"/>
        <w:jc w:val="both"/>
        <w:rPr>
          <w:rFonts w:ascii="Book Antiqua" w:hAnsi="Book Antiqua"/>
          <w:highlight w:val="green"/>
        </w:rPr>
      </w:pPr>
    </w:p>
    <w:p w14:paraId="67421C9C" w14:textId="2BD8B4DA" w:rsidR="00BF38C2" w:rsidRDefault="00CF290F" w:rsidP="00A00E2F">
      <w:pPr>
        <w:spacing w:after="0"/>
        <w:jc w:val="both"/>
        <w:rPr>
          <w:rFonts w:ascii="Book Antiqua" w:hAnsi="Book Antiqua"/>
          <w:sz w:val="24"/>
          <w:szCs w:val="24"/>
        </w:rPr>
      </w:pPr>
      <w:r w:rsidRPr="00160A11">
        <w:rPr>
          <w:rFonts w:ascii="Book Antiqua" w:hAnsi="Book Antiqua"/>
          <w:sz w:val="24"/>
          <w:szCs w:val="24"/>
        </w:rPr>
        <w:t xml:space="preserve">La siguiente lista de labores operativas </w:t>
      </w:r>
      <w:r w:rsidR="00BF38C2">
        <w:rPr>
          <w:rFonts w:ascii="Book Antiqua" w:hAnsi="Book Antiqua"/>
          <w:sz w:val="24"/>
          <w:szCs w:val="24"/>
        </w:rPr>
        <w:t xml:space="preserve">corresponde a lideres que </w:t>
      </w:r>
      <w:r w:rsidRPr="00160A11">
        <w:rPr>
          <w:rFonts w:ascii="Book Antiqua" w:hAnsi="Book Antiqua"/>
          <w:sz w:val="24"/>
          <w:szCs w:val="24"/>
        </w:rPr>
        <w:t xml:space="preserve">están solicitando permisos con goce de salario para </w:t>
      </w:r>
      <w:r w:rsidR="00BF38C2">
        <w:rPr>
          <w:rFonts w:ascii="Book Antiqua" w:hAnsi="Book Antiqua"/>
          <w:sz w:val="24"/>
          <w:szCs w:val="24"/>
        </w:rPr>
        <w:t xml:space="preserve">el desarrollo de </w:t>
      </w:r>
      <w:r w:rsidRPr="00160A11">
        <w:rPr>
          <w:rFonts w:ascii="Book Antiqua" w:hAnsi="Book Antiqua"/>
          <w:sz w:val="24"/>
          <w:szCs w:val="24"/>
        </w:rPr>
        <w:t xml:space="preserve">labores operativas en ejecución, </w:t>
      </w:r>
      <w:r w:rsidR="00320D34" w:rsidRPr="00160A11">
        <w:rPr>
          <w:rFonts w:ascii="Book Antiqua" w:hAnsi="Book Antiqua"/>
          <w:sz w:val="24"/>
          <w:szCs w:val="24"/>
        </w:rPr>
        <w:t xml:space="preserve">para el III trimestre 2023, </w:t>
      </w:r>
      <w:r w:rsidRPr="00160A11">
        <w:rPr>
          <w:rFonts w:ascii="Book Antiqua" w:hAnsi="Book Antiqua"/>
          <w:sz w:val="24"/>
          <w:szCs w:val="24"/>
        </w:rPr>
        <w:t xml:space="preserve">sin embargo, </w:t>
      </w:r>
      <w:r w:rsidR="5B70B0E5" w:rsidRPr="005D5185">
        <w:rPr>
          <w:rFonts w:ascii="Book Antiqua" w:hAnsi="Book Antiqua"/>
          <w:sz w:val="24"/>
          <w:szCs w:val="24"/>
        </w:rPr>
        <w:t>cabe aclarar q</w:t>
      </w:r>
      <w:r w:rsidR="5B70B0E5" w:rsidRPr="00E24FCA">
        <w:rPr>
          <w:rFonts w:ascii="Book Antiqua" w:hAnsi="Book Antiqua"/>
          <w:sz w:val="24"/>
          <w:szCs w:val="24"/>
        </w:rPr>
        <w:t>ue la Dirección de Planificación se enfoca en permisos con goce de salario asociados a proyectos estratégicos,</w:t>
      </w:r>
      <w:r w:rsidRPr="005D5185">
        <w:rPr>
          <w:rFonts w:ascii="Book Antiqua" w:hAnsi="Book Antiqua"/>
          <w:sz w:val="24"/>
          <w:szCs w:val="24"/>
        </w:rPr>
        <w:t xml:space="preserve"> </w:t>
      </w:r>
      <w:r w:rsidR="2DB39CFB" w:rsidRPr="005D5185">
        <w:rPr>
          <w:rFonts w:ascii="Book Antiqua" w:hAnsi="Book Antiqua"/>
          <w:sz w:val="24"/>
          <w:szCs w:val="24"/>
        </w:rPr>
        <w:t xml:space="preserve">por </w:t>
      </w:r>
      <w:r w:rsidR="00BE773E" w:rsidRPr="005D5185">
        <w:rPr>
          <w:rFonts w:ascii="Book Antiqua" w:hAnsi="Book Antiqua"/>
          <w:sz w:val="24"/>
          <w:szCs w:val="24"/>
        </w:rPr>
        <w:t xml:space="preserve">lo </w:t>
      </w:r>
      <w:r w:rsidR="00BE773E" w:rsidRPr="00D93D80">
        <w:rPr>
          <w:rFonts w:ascii="Book Antiqua" w:hAnsi="Book Antiqua"/>
          <w:sz w:val="24"/>
          <w:szCs w:val="24"/>
        </w:rPr>
        <w:t>que se</w:t>
      </w:r>
      <w:r w:rsidR="2C40F4FF" w:rsidRPr="00E24FCA">
        <w:rPr>
          <w:rFonts w:ascii="Book Antiqua" w:hAnsi="Book Antiqua"/>
          <w:sz w:val="24"/>
          <w:szCs w:val="24"/>
        </w:rPr>
        <w:t xml:space="preserve"> determina será el </w:t>
      </w:r>
      <w:r w:rsidRPr="005D5185">
        <w:rPr>
          <w:rFonts w:ascii="Book Antiqua" w:hAnsi="Book Antiqua"/>
          <w:sz w:val="24"/>
          <w:szCs w:val="24"/>
        </w:rPr>
        <w:t xml:space="preserve">Consejo Superior </w:t>
      </w:r>
      <w:r w:rsidR="32E8B161" w:rsidRPr="00E24FCA">
        <w:rPr>
          <w:rFonts w:ascii="Book Antiqua" w:hAnsi="Book Antiqua"/>
          <w:sz w:val="24"/>
          <w:szCs w:val="24"/>
        </w:rPr>
        <w:t xml:space="preserve">quien determine </w:t>
      </w:r>
      <w:r w:rsidRPr="005D5185">
        <w:rPr>
          <w:rFonts w:ascii="Book Antiqua" w:hAnsi="Book Antiqua"/>
          <w:sz w:val="24"/>
          <w:szCs w:val="24"/>
        </w:rPr>
        <w:t>su aprobación</w:t>
      </w:r>
      <w:r w:rsidR="4FABE861" w:rsidRPr="00E24FCA">
        <w:rPr>
          <w:rFonts w:ascii="Book Antiqua" w:hAnsi="Book Antiqua"/>
          <w:sz w:val="24"/>
          <w:szCs w:val="24"/>
        </w:rPr>
        <w:t>.</w:t>
      </w:r>
      <w:r w:rsidRPr="005D5185">
        <w:rPr>
          <w:rFonts w:ascii="Book Antiqua" w:hAnsi="Book Antiqua"/>
          <w:sz w:val="24"/>
          <w:szCs w:val="24"/>
        </w:rPr>
        <w:t xml:space="preserve"> </w:t>
      </w:r>
    </w:p>
    <w:p w14:paraId="2205ACE3" w14:textId="77777777" w:rsidR="00BF38C2" w:rsidRDefault="00BF38C2" w:rsidP="00A00E2F">
      <w:pPr>
        <w:spacing w:after="0"/>
        <w:jc w:val="both"/>
        <w:rPr>
          <w:rFonts w:ascii="Book Antiqua" w:hAnsi="Book Antiqua"/>
          <w:sz w:val="24"/>
          <w:szCs w:val="24"/>
        </w:rPr>
      </w:pPr>
    </w:p>
    <w:p w14:paraId="1065CEDA" w14:textId="28F09B8E" w:rsidR="00CF290F" w:rsidRPr="00160A11" w:rsidRDefault="00320D34" w:rsidP="00A00E2F">
      <w:pPr>
        <w:spacing w:after="0"/>
        <w:jc w:val="both"/>
        <w:rPr>
          <w:rFonts w:ascii="Book Antiqua" w:hAnsi="Book Antiqua"/>
          <w:sz w:val="24"/>
          <w:szCs w:val="24"/>
        </w:rPr>
      </w:pPr>
      <w:r w:rsidRPr="00160A11">
        <w:rPr>
          <w:rFonts w:ascii="Book Antiqua" w:hAnsi="Book Antiqua"/>
          <w:sz w:val="24"/>
          <w:szCs w:val="24"/>
        </w:rPr>
        <w:t xml:space="preserve">Se adjunta la siguiente tabla con el detalle de </w:t>
      </w:r>
      <w:r w:rsidR="005F625E">
        <w:rPr>
          <w:rFonts w:ascii="Book Antiqua" w:hAnsi="Book Antiqua"/>
          <w:sz w:val="24"/>
          <w:szCs w:val="24"/>
        </w:rPr>
        <w:t>1</w:t>
      </w:r>
      <w:r w:rsidR="000243B4">
        <w:rPr>
          <w:rFonts w:ascii="Book Antiqua" w:hAnsi="Book Antiqua"/>
          <w:sz w:val="24"/>
          <w:szCs w:val="24"/>
        </w:rPr>
        <w:t>4</w:t>
      </w:r>
      <w:r w:rsidR="005F625E">
        <w:rPr>
          <w:rFonts w:ascii="Book Antiqua" w:hAnsi="Book Antiqua"/>
          <w:sz w:val="24"/>
          <w:szCs w:val="24"/>
        </w:rPr>
        <w:t xml:space="preserve"> </w:t>
      </w:r>
      <w:r w:rsidRPr="00160A11">
        <w:rPr>
          <w:rFonts w:ascii="Book Antiqua" w:hAnsi="Book Antiqua"/>
          <w:sz w:val="24"/>
          <w:szCs w:val="24"/>
        </w:rPr>
        <w:t xml:space="preserve">permisos </w:t>
      </w:r>
      <w:r w:rsidR="005F625E">
        <w:rPr>
          <w:rFonts w:ascii="Book Antiqua" w:hAnsi="Book Antiqua"/>
          <w:sz w:val="24"/>
          <w:szCs w:val="24"/>
        </w:rPr>
        <w:t xml:space="preserve">con goce de salario, </w:t>
      </w:r>
      <w:r w:rsidRPr="00160A11">
        <w:rPr>
          <w:rFonts w:ascii="Book Antiqua" w:hAnsi="Book Antiqua"/>
          <w:sz w:val="24"/>
          <w:szCs w:val="24"/>
        </w:rPr>
        <w:t xml:space="preserve">así como las tareas que desarrollaría el PCGS en caso de otorgarse, </w:t>
      </w:r>
      <w:r w:rsidRPr="00541E5C">
        <w:rPr>
          <w:rFonts w:ascii="Book Antiqua" w:hAnsi="Book Antiqua"/>
          <w:sz w:val="24"/>
          <w:szCs w:val="24"/>
        </w:rPr>
        <w:t>Justificación del requerimiento del PCGS</w:t>
      </w:r>
      <w:r w:rsidRPr="00160A11">
        <w:rPr>
          <w:rFonts w:ascii="Book Antiqua" w:hAnsi="Book Antiqua"/>
          <w:sz w:val="24"/>
          <w:szCs w:val="24"/>
        </w:rPr>
        <w:t xml:space="preserve"> y el d</w:t>
      </w:r>
      <w:r w:rsidRPr="00541E5C">
        <w:rPr>
          <w:rFonts w:ascii="Book Antiqua" w:hAnsi="Book Antiqua"/>
          <w:sz w:val="24"/>
          <w:szCs w:val="24"/>
        </w:rPr>
        <w:t xml:space="preserve">etalle los beneficios que se </w:t>
      </w:r>
      <w:r w:rsidRPr="00160A11">
        <w:rPr>
          <w:rFonts w:ascii="Book Antiqua" w:hAnsi="Book Antiqua"/>
          <w:sz w:val="24"/>
          <w:szCs w:val="24"/>
        </w:rPr>
        <w:t>obtendrían</w:t>
      </w:r>
      <w:r w:rsidRPr="00541E5C">
        <w:rPr>
          <w:rFonts w:ascii="Book Antiqua" w:hAnsi="Book Antiqua"/>
          <w:sz w:val="24"/>
          <w:szCs w:val="24"/>
        </w:rPr>
        <w:t xml:space="preserve"> de la posible asignación de </w:t>
      </w:r>
      <w:r w:rsidRPr="00160A11">
        <w:rPr>
          <w:rFonts w:ascii="Book Antiqua" w:hAnsi="Book Antiqua"/>
          <w:sz w:val="24"/>
          <w:szCs w:val="24"/>
        </w:rPr>
        <w:t>los</w:t>
      </w:r>
      <w:r w:rsidRPr="00541E5C">
        <w:rPr>
          <w:rFonts w:ascii="Book Antiqua" w:hAnsi="Book Antiqua"/>
          <w:sz w:val="24"/>
          <w:szCs w:val="24"/>
        </w:rPr>
        <w:t xml:space="preserve"> PCGS</w:t>
      </w:r>
      <w:r w:rsidRPr="00160A11">
        <w:rPr>
          <w:rFonts w:ascii="Book Antiqua" w:hAnsi="Book Antiqua"/>
          <w:sz w:val="24"/>
          <w:szCs w:val="24"/>
        </w:rPr>
        <w:t>.</w:t>
      </w:r>
    </w:p>
    <w:p w14:paraId="132FB4B4" w14:textId="77777777" w:rsidR="002A28DE" w:rsidRPr="00160A11" w:rsidRDefault="002A28DE" w:rsidP="00A00E2F">
      <w:pPr>
        <w:spacing w:after="0"/>
        <w:jc w:val="both"/>
        <w:rPr>
          <w:rFonts w:ascii="Book Antiqua" w:hAnsi="Book Antiqua"/>
          <w:sz w:val="24"/>
          <w:szCs w:val="24"/>
        </w:rPr>
      </w:pPr>
    </w:p>
    <w:p w14:paraId="55630A99" w14:textId="16966536" w:rsidR="002A28DE" w:rsidRPr="00160A11" w:rsidRDefault="002A28DE" w:rsidP="00A00E2F">
      <w:pPr>
        <w:spacing w:after="0"/>
        <w:jc w:val="both"/>
        <w:rPr>
          <w:rFonts w:ascii="Book Antiqua" w:hAnsi="Book Antiqua"/>
          <w:sz w:val="24"/>
          <w:szCs w:val="24"/>
        </w:rPr>
      </w:pPr>
      <w:r w:rsidRPr="00160A11">
        <w:rPr>
          <w:rFonts w:ascii="Book Antiqua" w:hAnsi="Book Antiqua"/>
          <w:sz w:val="24"/>
          <w:szCs w:val="24"/>
        </w:rPr>
        <w:t>Cabe aclarar que estos permisos fueron considerados dentro de la certificación de contenido presupuestario del apartado 4.5. por lo tanto, si exist</w:t>
      </w:r>
      <w:r w:rsidR="00160A11">
        <w:rPr>
          <w:rFonts w:ascii="Book Antiqua" w:hAnsi="Book Antiqua"/>
          <w:sz w:val="24"/>
          <w:szCs w:val="24"/>
        </w:rPr>
        <w:t>e</w:t>
      </w:r>
      <w:r w:rsidRPr="00160A11">
        <w:rPr>
          <w:rFonts w:ascii="Book Antiqua" w:hAnsi="Book Antiqua"/>
          <w:sz w:val="24"/>
          <w:szCs w:val="24"/>
        </w:rPr>
        <w:t xml:space="preserve"> contenido para su ejecución, en caso de que así lo considere </w:t>
      </w:r>
      <w:r w:rsidR="00160A11">
        <w:rPr>
          <w:rFonts w:ascii="Book Antiqua" w:hAnsi="Book Antiqua"/>
          <w:sz w:val="24"/>
          <w:szCs w:val="24"/>
        </w:rPr>
        <w:t xml:space="preserve">aprobar </w:t>
      </w:r>
      <w:r w:rsidRPr="00160A11">
        <w:rPr>
          <w:rFonts w:ascii="Book Antiqua" w:hAnsi="Book Antiqua"/>
          <w:sz w:val="24"/>
          <w:szCs w:val="24"/>
        </w:rPr>
        <w:t>el Consejo Superior.</w:t>
      </w:r>
    </w:p>
    <w:p w14:paraId="346E6890" w14:textId="0AAE19AF" w:rsidR="00CF290F" w:rsidRDefault="00CF290F" w:rsidP="00A00E2F">
      <w:pPr>
        <w:spacing w:after="0"/>
        <w:jc w:val="both"/>
        <w:rPr>
          <w:rFonts w:ascii="Book Antiqua" w:hAnsi="Book Antiqua"/>
          <w:highlight w:val="green"/>
        </w:rPr>
      </w:pPr>
    </w:p>
    <w:p w14:paraId="69BB5E38" w14:textId="75287C53" w:rsidR="00CF290F" w:rsidRDefault="00CF290F" w:rsidP="00A00E2F">
      <w:pPr>
        <w:spacing w:after="0"/>
        <w:jc w:val="both"/>
        <w:rPr>
          <w:rFonts w:ascii="Book Antiqua" w:hAnsi="Book Antiqua"/>
          <w:highlight w:val="yellow"/>
        </w:rPr>
      </w:pPr>
    </w:p>
    <w:p w14:paraId="2F03CAAC" w14:textId="77777777" w:rsidR="00541E5C" w:rsidRDefault="00541E5C">
      <w:pPr>
        <w:rPr>
          <w:rFonts w:ascii="Book Antiqua" w:hAnsi="Book Antiqua"/>
          <w:b/>
          <w:bCs/>
        </w:rPr>
        <w:sectPr w:rsidR="00541E5C" w:rsidSect="002E6EFE">
          <w:pgSz w:w="12240" w:h="15840"/>
          <w:pgMar w:top="1417" w:right="1750" w:bottom="1560" w:left="1560" w:header="708" w:footer="708" w:gutter="0"/>
          <w:cols w:space="708"/>
          <w:docGrid w:linePitch="360"/>
        </w:sectPr>
      </w:pPr>
      <w:r>
        <w:rPr>
          <w:rFonts w:ascii="Book Antiqua" w:hAnsi="Book Antiqua"/>
          <w:b/>
          <w:bCs/>
        </w:rPr>
        <w:br w:type="page"/>
      </w:r>
    </w:p>
    <w:p w14:paraId="7A3ED21D" w14:textId="53785172" w:rsidR="00541E5C" w:rsidRDefault="00541E5C" w:rsidP="00EF4E17">
      <w:pPr>
        <w:spacing w:after="0"/>
        <w:rPr>
          <w:rFonts w:ascii="Book Antiqua" w:hAnsi="Book Antiqua"/>
          <w:b/>
          <w:bCs/>
        </w:rPr>
      </w:pPr>
    </w:p>
    <w:p w14:paraId="7FF0BC54" w14:textId="318C4DE2" w:rsidR="00541E5C" w:rsidRPr="00413346" w:rsidRDefault="00413346" w:rsidP="00EF4E17">
      <w:pPr>
        <w:spacing w:after="0"/>
        <w:jc w:val="center"/>
        <w:rPr>
          <w:rFonts w:ascii="Book Antiqua" w:hAnsi="Book Antiqua"/>
          <w:b/>
          <w:bCs/>
          <w:sz w:val="24"/>
          <w:szCs w:val="24"/>
        </w:rPr>
      </w:pPr>
      <w:r w:rsidRPr="00413346">
        <w:rPr>
          <w:rFonts w:ascii="Book Antiqua" w:hAnsi="Book Antiqua" w:cs="&amp;quot"/>
          <w:b/>
          <w:sz w:val="24"/>
          <w:szCs w:val="24"/>
        </w:rPr>
        <w:t xml:space="preserve">Tabla </w:t>
      </w:r>
      <w:r w:rsidRPr="00413346">
        <w:rPr>
          <w:rFonts w:ascii="Book Antiqua" w:hAnsi="Book Antiqua" w:cs="&amp;quot"/>
          <w:b/>
          <w:i/>
          <w:iCs/>
          <w:sz w:val="24"/>
          <w:szCs w:val="24"/>
        </w:rPr>
        <w:fldChar w:fldCharType="begin"/>
      </w:r>
      <w:r w:rsidRPr="00413346">
        <w:rPr>
          <w:rFonts w:ascii="Book Antiqua" w:hAnsi="Book Antiqua" w:cs="&amp;quot"/>
          <w:b/>
          <w:sz w:val="24"/>
          <w:szCs w:val="24"/>
        </w:rPr>
        <w:instrText xml:space="preserve"> SEQ Tabla \* ARABIC </w:instrText>
      </w:r>
      <w:r w:rsidRPr="00413346">
        <w:rPr>
          <w:rFonts w:ascii="Book Antiqua" w:hAnsi="Book Antiqua" w:cs="&amp;quot"/>
          <w:b/>
          <w:i/>
          <w:iCs/>
          <w:sz w:val="24"/>
          <w:szCs w:val="24"/>
        </w:rPr>
        <w:fldChar w:fldCharType="separate"/>
      </w:r>
      <w:r w:rsidR="0057766D">
        <w:rPr>
          <w:rFonts w:ascii="Book Antiqua" w:hAnsi="Book Antiqua" w:cs="&amp;quot"/>
          <w:b/>
          <w:noProof/>
          <w:sz w:val="24"/>
          <w:szCs w:val="24"/>
        </w:rPr>
        <w:t>42</w:t>
      </w:r>
      <w:r w:rsidRPr="00413346">
        <w:rPr>
          <w:rFonts w:ascii="Book Antiqua" w:hAnsi="Book Antiqua" w:cs="&amp;quot"/>
          <w:b/>
          <w:i/>
          <w:iCs/>
          <w:sz w:val="24"/>
          <w:szCs w:val="24"/>
        </w:rPr>
        <w:fldChar w:fldCharType="end"/>
      </w:r>
      <w:r w:rsidRPr="00413346">
        <w:rPr>
          <w:rFonts w:ascii="Book Antiqua" w:hAnsi="Book Antiqua" w:cs="&amp;quot"/>
          <w:b/>
          <w:i/>
          <w:iCs/>
          <w:sz w:val="24"/>
          <w:szCs w:val="24"/>
        </w:rPr>
        <w:t xml:space="preserve"> </w:t>
      </w:r>
      <w:r w:rsidR="00541E5C" w:rsidRPr="00413346">
        <w:rPr>
          <w:rFonts w:ascii="Book Antiqua" w:hAnsi="Book Antiqua"/>
          <w:b/>
          <w:bCs/>
          <w:sz w:val="24"/>
          <w:szCs w:val="24"/>
        </w:rPr>
        <w:t xml:space="preserve">Detalle de 14 PCGS solicitados como nuevos, asociados a labores operativas ya existentes </w:t>
      </w:r>
    </w:p>
    <w:p w14:paraId="69D8BB7A" w14:textId="339EE810" w:rsidR="00541E5C" w:rsidRPr="00413346" w:rsidRDefault="00541E5C" w:rsidP="00EF4E17">
      <w:pPr>
        <w:spacing w:after="0"/>
        <w:jc w:val="center"/>
        <w:rPr>
          <w:rFonts w:ascii="Book Antiqua" w:hAnsi="Book Antiqua"/>
          <w:b/>
          <w:bCs/>
          <w:sz w:val="24"/>
          <w:szCs w:val="24"/>
        </w:rPr>
      </w:pPr>
      <w:r w:rsidRPr="00413346">
        <w:rPr>
          <w:rFonts w:ascii="Book Antiqua" w:hAnsi="Book Antiqua"/>
          <w:b/>
          <w:bCs/>
          <w:sz w:val="24"/>
          <w:szCs w:val="24"/>
        </w:rPr>
        <w:t>para el III Trimestre del a</w:t>
      </w:r>
      <w:r w:rsidR="00BE773E">
        <w:rPr>
          <w:rFonts w:ascii="Book Antiqua" w:hAnsi="Book Antiqua"/>
          <w:b/>
          <w:bCs/>
          <w:sz w:val="24"/>
          <w:szCs w:val="24"/>
        </w:rPr>
        <w:t>ñ</w:t>
      </w:r>
      <w:r w:rsidRPr="00413346">
        <w:rPr>
          <w:rFonts w:ascii="Book Antiqua" w:hAnsi="Book Antiqua"/>
          <w:b/>
          <w:bCs/>
          <w:sz w:val="24"/>
          <w:szCs w:val="24"/>
        </w:rPr>
        <w:t>o 2023</w:t>
      </w:r>
    </w:p>
    <w:tbl>
      <w:tblPr>
        <w:tblW w:w="14229" w:type="dxa"/>
        <w:tblInd w:w="-714" w:type="dxa"/>
        <w:tblCellMar>
          <w:left w:w="70" w:type="dxa"/>
          <w:right w:w="70" w:type="dxa"/>
        </w:tblCellMar>
        <w:tblLook w:val="04A0" w:firstRow="1" w:lastRow="0" w:firstColumn="1" w:lastColumn="0" w:noHBand="0" w:noVBand="1"/>
      </w:tblPr>
      <w:tblGrid>
        <w:gridCol w:w="6"/>
        <w:gridCol w:w="829"/>
        <w:gridCol w:w="1425"/>
        <w:gridCol w:w="1234"/>
        <w:gridCol w:w="1376"/>
        <w:gridCol w:w="1025"/>
        <w:gridCol w:w="816"/>
        <w:gridCol w:w="1588"/>
        <w:gridCol w:w="850"/>
        <w:gridCol w:w="1419"/>
        <w:gridCol w:w="1709"/>
        <w:gridCol w:w="1757"/>
        <w:gridCol w:w="6"/>
        <w:gridCol w:w="189"/>
      </w:tblGrid>
      <w:tr w:rsidR="00BE773E" w:rsidRPr="00541E5C" w14:paraId="5B57B671" w14:textId="77777777" w:rsidTr="00BE773E">
        <w:trPr>
          <w:gridAfter w:val="2"/>
          <w:wAfter w:w="195" w:type="dxa"/>
          <w:trHeight w:val="520"/>
          <w:tblHeader/>
        </w:trPr>
        <w:tc>
          <w:tcPr>
            <w:tcW w:w="835"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F98E1F9" w14:textId="77777777" w:rsidR="00541E5C" w:rsidRPr="00541E5C" w:rsidRDefault="00541E5C" w:rsidP="00541E5C">
            <w:pPr>
              <w:spacing w:after="0" w:line="240" w:lineRule="auto"/>
              <w:jc w:val="center"/>
              <w:rPr>
                <w:rFonts w:ascii="Book Antiqua" w:eastAsia="Times New Roman" w:hAnsi="Book Antiqua" w:cs="Calibri Light"/>
                <w:b/>
                <w:bCs/>
                <w:sz w:val="16"/>
                <w:szCs w:val="16"/>
                <w:lang w:eastAsia="es-CR"/>
              </w:rPr>
            </w:pPr>
            <w:r w:rsidRPr="00541E5C">
              <w:rPr>
                <w:rFonts w:ascii="Book Antiqua" w:eastAsia="Times New Roman" w:hAnsi="Book Antiqua" w:cs="Calibri Light"/>
                <w:b/>
                <w:bCs/>
                <w:sz w:val="16"/>
                <w:szCs w:val="16"/>
                <w:lang w:eastAsia="es-CR"/>
              </w:rPr>
              <w:t>Código de Iniciativa</w:t>
            </w:r>
          </w:p>
        </w:tc>
        <w:tc>
          <w:tcPr>
            <w:tcW w:w="1425" w:type="dxa"/>
            <w:tcBorders>
              <w:top w:val="single" w:sz="4" w:space="0" w:color="auto"/>
              <w:left w:val="nil"/>
              <w:bottom w:val="single" w:sz="4" w:space="0" w:color="auto"/>
              <w:right w:val="single" w:sz="4" w:space="0" w:color="auto"/>
            </w:tcBorders>
            <w:shd w:val="clear" w:color="auto" w:fill="002060"/>
            <w:vAlign w:val="center"/>
            <w:hideMark/>
          </w:tcPr>
          <w:p w14:paraId="7721CCEB" w14:textId="77777777" w:rsidR="00541E5C" w:rsidRPr="00541E5C" w:rsidRDefault="00541E5C" w:rsidP="00541E5C">
            <w:pPr>
              <w:spacing w:after="0" w:line="240" w:lineRule="auto"/>
              <w:jc w:val="center"/>
              <w:rPr>
                <w:rFonts w:ascii="Book Antiqua" w:eastAsia="Times New Roman" w:hAnsi="Book Antiqua" w:cs="Calibri Light"/>
                <w:b/>
                <w:bCs/>
                <w:sz w:val="16"/>
                <w:szCs w:val="16"/>
                <w:lang w:eastAsia="es-CR"/>
              </w:rPr>
            </w:pPr>
            <w:r w:rsidRPr="00541E5C">
              <w:rPr>
                <w:rFonts w:ascii="Book Antiqua" w:eastAsia="Times New Roman" w:hAnsi="Book Antiqua" w:cs="Calibri Light"/>
                <w:b/>
                <w:bCs/>
                <w:sz w:val="16"/>
                <w:szCs w:val="16"/>
                <w:lang w:eastAsia="es-CR"/>
              </w:rPr>
              <w:t>Nombre de la Iniciativa</w:t>
            </w:r>
          </w:p>
        </w:tc>
        <w:tc>
          <w:tcPr>
            <w:tcW w:w="1234" w:type="dxa"/>
            <w:tcBorders>
              <w:top w:val="single" w:sz="4" w:space="0" w:color="auto"/>
              <w:left w:val="nil"/>
              <w:bottom w:val="single" w:sz="4" w:space="0" w:color="auto"/>
              <w:right w:val="single" w:sz="4" w:space="0" w:color="auto"/>
            </w:tcBorders>
            <w:shd w:val="clear" w:color="auto" w:fill="002060"/>
            <w:vAlign w:val="center"/>
            <w:hideMark/>
          </w:tcPr>
          <w:p w14:paraId="66BF4DCD" w14:textId="77777777" w:rsidR="00541E5C" w:rsidRPr="00541E5C" w:rsidRDefault="00541E5C" w:rsidP="00541E5C">
            <w:pPr>
              <w:spacing w:after="0" w:line="240" w:lineRule="auto"/>
              <w:jc w:val="center"/>
              <w:rPr>
                <w:rFonts w:ascii="Book Antiqua" w:eastAsia="Times New Roman" w:hAnsi="Book Antiqua" w:cs="Calibri Light"/>
                <w:b/>
                <w:bCs/>
                <w:sz w:val="16"/>
                <w:szCs w:val="16"/>
                <w:lang w:eastAsia="es-CR"/>
              </w:rPr>
            </w:pPr>
            <w:r w:rsidRPr="00541E5C">
              <w:rPr>
                <w:rFonts w:ascii="Book Antiqua" w:eastAsia="Times New Roman" w:hAnsi="Book Antiqua" w:cs="Calibri Light"/>
                <w:b/>
                <w:bCs/>
                <w:sz w:val="16"/>
                <w:szCs w:val="16"/>
                <w:lang w:eastAsia="es-CR"/>
              </w:rPr>
              <w:t>Programa Presupuestario</w:t>
            </w:r>
            <w:r w:rsidRPr="00541E5C">
              <w:rPr>
                <w:rFonts w:ascii="Book Antiqua" w:eastAsia="Times New Roman" w:hAnsi="Book Antiqua" w:cs="Calibri Light"/>
                <w:b/>
                <w:bCs/>
                <w:sz w:val="16"/>
                <w:szCs w:val="16"/>
                <w:lang w:eastAsia="es-CR"/>
              </w:rPr>
              <w:br/>
              <w:t>(Del que se toma el recurso)</w:t>
            </w:r>
          </w:p>
        </w:tc>
        <w:tc>
          <w:tcPr>
            <w:tcW w:w="1376" w:type="dxa"/>
            <w:tcBorders>
              <w:top w:val="single" w:sz="4" w:space="0" w:color="auto"/>
              <w:left w:val="nil"/>
              <w:bottom w:val="single" w:sz="4" w:space="0" w:color="auto"/>
              <w:right w:val="single" w:sz="4" w:space="0" w:color="auto"/>
            </w:tcBorders>
            <w:shd w:val="clear" w:color="auto" w:fill="002060"/>
            <w:vAlign w:val="center"/>
            <w:hideMark/>
          </w:tcPr>
          <w:p w14:paraId="5418AA2E" w14:textId="77777777" w:rsidR="00541E5C" w:rsidRPr="00541E5C" w:rsidRDefault="00541E5C" w:rsidP="00541E5C">
            <w:pPr>
              <w:spacing w:after="0" w:line="240" w:lineRule="auto"/>
              <w:jc w:val="center"/>
              <w:rPr>
                <w:rFonts w:ascii="Book Antiqua" w:eastAsia="Times New Roman" w:hAnsi="Book Antiqua" w:cs="Calibri Light"/>
                <w:b/>
                <w:bCs/>
                <w:sz w:val="16"/>
                <w:szCs w:val="16"/>
                <w:lang w:eastAsia="es-CR"/>
              </w:rPr>
            </w:pPr>
            <w:r w:rsidRPr="00541E5C">
              <w:rPr>
                <w:rFonts w:ascii="Book Antiqua" w:eastAsia="Times New Roman" w:hAnsi="Book Antiqua" w:cs="Calibri Light"/>
                <w:b/>
                <w:bCs/>
                <w:sz w:val="16"/>
                <w:szCs w:val="16"/>
                <w:lang w:eastAsia="es-CR"/>
              </w:rPr>
              <w:t>Centro de Responsabilidad</w:t>
            </w:r>
            <w:r w:rsidRPr="00541E5C">
              <w:rPr>
                <w:rFonts w:ascii="Book Antiqua" w:eastAsia="Times New Roman" w:hAnsi="Book Antiqua" w:cs="Calibri Light"/>
                <w:b/>
                <w:bCs/>
                <w:sz w:val="16"/>
                <w:szCs w:val="16"/>
                <w:lang w:eastAsia="es-CR"/>
              </w:rPr>
              <w:br/>
              <w:t>(a la que se le asigna el recurso)</w:t>
            </w:r>
          </w:p>
        </w:tc>
        <w:tc>
          <w:tcPr>
            <w:tcW w:w="1025" w:type="dxa"/>
            <w:tcBorders>
              <w:top w:val="single" w:sz="4" w:space="0" w:color="auto"/>
              <w:left w:val="nil"/>
              <w:bottom w:val="single" w:sz="4" w:space="0" w:color="auto"/>
              <w:right w:val="single" w:sz="4" w:space="0" w:color="auto"/>
            </w:tcBorders>
            <w:shd w:val="clear" w:color="auto" w:fill="002060"/>
            <w:vAlign w:val="center"/>
            <w:hideMark/>
          </w:tcPr>
          <w:p w14:paraId="51459874" w14:textId="77777777" w:rsidR="00541E5C" w:rsidRPr="00541E5C" w:rsidRDefault="00541E5C" w:rsidP="00541E5C">
            <w:pPr>
              <w:spacing w:after="0" w:line="240" w:lineRule="auto"/>
              <w:jc w:val="center"/>
              <w:rPr>
                <w:rFonts w:ascii="Book Antiqua" w:eastAsia="Times New Roman" w:hAnsi="Book Antiqua" w:cs="Calibri Light"/>
                <w:b/>
                <w:bCs/>
                <w:sz w:val="16"/>
                <w:szCs w:val="16"/>
                <w:lang w:eastAsia="es-CR"/>
              </w:rPr>
            </w:pPr>
            <w:r w:rsidRPr="00541E5C">
              <w:rPr>
                <w:rFonts w:ascii="Book Antiqua" w:eastAsia="Times New Roman" w:hAnsi="Book Antiqua" w:cs="Calibri Light"/>
                <w:b/>
                <w:bCs/>
                <w:sz w:val="16"/>
                <w:szCs w:val="16"/>
                <w:lang w:eastAsia="es-CR"/>
              </w:rPr>
              <w:t>Oficina</w:t>
            </w:r>
            <w:r w:rsidRPr="00541E5C">
              <w:rPr>
                <w:rFonts w:ascii="Book Antiqua" w:eastAsia="Times New Roman" w:hAnsi="Book Antiqua" w:cs="Calibri Light"/>
                <w:b/>
                <w:bCs/>
                <w:sz w:val="16"/>
                <w:szCs w:val="16"/>
                <w:lang w:eastAsia="es-CR"/>
              </w:rPr>
              <w:br/>
              <w:t>(a la que se le asigna el recurso)</w:t>
            </w:r>
          </w:p>
        </w:tc>
        <w:tc>
          <w:tcPr>
            <w:tcW w:w="816" w:type="dxa"/>
            <w:tcBorders>
              <w:top w:val="single" w:sz="4" w:space="0" w:color="auto"/>
              <w:left w:val="nil"/>
              <w:bottom w:val="single" w:sz="4" w:space="0" w:color="auto"/>
              <w:right w:val="single" w:sz="4" w:space="0" w:color="auto"/>
            </w:tcBorders>
            <w:shd w:val="clear" w:color="auto" w:fill="002060"/>
            <w:vAlign w:val="center"/>
            <w:hideMark/>
          </w:tcPr>
          <w:p w14:paraId="75F669A3" w14:textId="72CCC4AB" w:rsidR="00541E5C" w:rsidRPr="00541E5C" w:rsidRDefault="00320D34" w:rsidP="00541E5C">
            <w:pPr>
              <w:spacing w:after="0" w:line="240" w:lineRule="auto"/>
              <w:jc w:val="center"/>
              <w:rPr>
                <w:rFonts w:ascii="Book Antiqua" w:eastAsia="Times New Roman" w:hAnsi="Book Antiqua" w:cs="Calibri Light"/>
                <w:b/>
                <w:bCs/>
                <w:sz w:val="16"/>
                <w:szCs w:val="16"/>
                <w:lang w:eastAsia="es-CR"/>
              </w:rPr>
            </w:pPr>
            <w:r>
              <w:rPr>
                <w:rFonts w:ascii="Book Antiqua" w:eastAsia="Times New Roman" w:hAnsi="Book Antiqua" w:cs="Calibri Light"/>
                <w:b/>
                <w:bCs/>
                <w:sz w:val="16"/>
                <w:szCs w:val="16"/>
                <w:lang w:eastAsia="es-CR"/>
              </w:rPr>
              <w:t>Cantidad</w:t>
            </w:r>
            <w:r w:rsidR="00541E5C" w:rsidRPr="00541E5C">
              <w:rPr>
                <w:rFonts w:ascii="Book Antiqua" w:eastAsia="Times New Roman" w:hAnsi="Book Antiqua" w:cs="Calibri Light"/>
                <w:b/>
                <w:bCs/>
                <w:sz w:val="16"/>
                <w:szCs w:val="16"/>
                <w:lang w:eastAsia="es-CR"/>
              </w:rPr>
              <w:t xml:space="preserve"> de PCGS</w:t>
            </w:r>
          </w:p>
        </w:tc>
        <w:tc>
          <w:tcPr>
            <w:tcW w:w="1588" w:type="dxa"/>
            <w:tcBorders>
              <w:top w:val="single" w:sz="4" w:space="0" w:color="auto"/>
              <w:left w:val="nil"/>
              <w:bottom w:val="single" w:sz="4" w:space="0" w:color="auto"/>
              <w:right w:val="single" w:sz="4" w:space="0" w:color="auto"/>
            </w:tcBorders>
            <w:shd w:val="clear" w:color="auto" w:fill="002060"/>
            <w:vAlign w:val="center"/>
            <w:hideMark/>
          </w:tcPr>
          <w:p w14:paraId="093F87B5" w14:textId="77777777" w:rsidR="00541E5C" w:rsidRPr="00541E5C" w:rsidRDefault="00541E5C" w:rsidP="00541E5C">
            <w:pPr>
              <w:spacing w:after="0" w:line="240" w:lineRule="auto"/>
              <w:jc w:val="center"/>
              <w:rPr>
                <w:rFonts w:ascii="Book Antiqua" w:eastAsia="Times New Roman" w:hAnsi="Book Antiqua" w:cs="Calibri Light"/>
                <w:b/>
                <w:bCs/>
                <w:sz w:val="16"/>
                <w:szCs w:val="16"/>
                <w:lang w:eastAsia="es-CR"/>
              </w:rPr>
            </w:pPr>
            <w:r w:rsidRPr="00541E5C">
              <w:rPr>
                <w:rFonts w:ascii="Book Antiqua" w:eastAsia="Times New Roman" w:hAnsi="Book Antiqua" w:cs="Calibri Light"/>
                <w:b/>
                <w:bCs/>
                <w:sz w:val="16"/>
                <w:szCs w:val="16"/>
                <w:lang w:eastAsia="es-CR"/>
              </w:rPr>
              <w:t>Tipo de Puesto</w:t>
            </w:r>
          </w:p>
        </w:tc>
        <w:tc>
          <w:tcPr>
            <w:tcW w:w="850" w:type="dxa"/>
            <w:tcBorders>
              <w:top w:val="single" w:sz="4" w:space="0" w:color="auto"/>
              <w:left w:val="nil"/>
              <w:bottom w:val="single" w:sz="4" w:space="0" w:color="auto"/>
              <w:right w:val="single" w:sz="4" w:space="0" w:color="auto"/>
            </w:tcBorders>
            <w:shd w:val="clear" w:color="auto" w:fill="002060"/>
            <w:vAlign w:val="center"/>
            <w:hideMark/>
          </w:tcPr>
          <w:p w14:paraId="6545D709" w14:textId="77777777" w:rsidR="00541E5C" w:rsidRPr="00541E5C" w:rsidRDefault="00541E5C" w:rsidP="00541E5C">
            <w:pPr>
              <w:spacing w:after="0" w:line="240" w:lineRule="auto"/>
              <w:jc w:val="center"/>
              <w:rPr>
                <w:rFonts w:ascii="Book Antiqua" w:eastAsia="Times New Roman" w:hAnsi="Book Antiqua" w:cs="Calibri Light"/>
                <w:b/>
                <w:bCs/>
                <w:sz w:val="16"/>
                <w:szCs w:val="16"/>
                <w:lang w:eastAsia="es-CR"/>
              </w:rPr>
            </w:pPr>
            <w:r w:rsidRPr="00541E5C">
              <w:rPr>
                <w:rFonts w:ascii="Book Antiqua" w:eastAsia="Times New Roman" w:hAnsi="Book Antiqua" w:cs="Calibri Light"/>
                <w:b/>
                <w:bCs/>
                <w:sz w:val="16"/>
                <w:szCs w:val="16"/>
                <w:lang w:eastAsia="es-CR"/>
              </w:rPr>
              <w:t>Número de Plaza</w:t>
            </w:r>
          </w:p>
        </w:tc>
        <w:tc>
          <w:tcPr>
            <w:tcW w:w="1419" w:type="dxa"/>
            <w:tcBorders>
              <w:top w:val="single" w:sz="4" w:space="0" w:color="auto"/>
              <w:left w:val="nil"/>
              <w:bottom w:val="single" w:sz="4" w:space="0" w:color="auto"/>
              <w:right w:val="single" w:sz="4" w:space="0" w:color="auto"/>
            </w:tcBorders>
            <w:shd w:val="clear" w:color="auto" w:fill="002060"/>
            <w:vAlign w:val="center"/>
            <w:hideMark/>
          </w:tcPr>
          <w:p w14:paraId="43575B85" w14:textId="77777777" w:rsidR="00541E5C" w:rsidRPr="00541E5C" w:rsidRDefault="00541E5C" w:rsidP="00541E5C">
            <w:pPr>
              <w:spacing w:after="0" w:line="240" w:lineRule="auto"/>
              <w:jc w:val="center"/>
              <w:rPr>
                <w:rFonts w:ascii="Book Antiqua" w:eastAsia="Times New Roman" w:hAnsi="Book Antiqua" w:cs="Calibri Light"/>
                <w:b/>
                <w:bCs/>
                <w:sz w:val="16"/>
                <w:szCs w:val="16"/>
                <w:lang w:eastAsia="es-CR"/>
              </w:rPr>
            </w:pPr>
            <w:r w:rsidRPr="00541E5C">
              <w:rPr>
                <w:rFonts w:ascii="Book Antiqua" w:eastAsia="Times New Roman" w:hAnsi="Book Antiqua" w:cs="Calibri Light"/>
                <w:b/>
                <w:bCs/>
                <w:sz w:val="16"/>
                <w:szCs w:val="16"/>
                <w:lang w:eastAsia="es-CR"/>
              </w:rPr>
              <w:t>Detalle de las tareas que desarrollarían en caso de asignar el PCGS</w:t>
            </w:r>
          </w:p>
        </w:tc>
        <w:tc>
          <w:tcPr>
            <w:tcW w:w="1709" w:type="dxa"/>
            <w:tcBorders>
              <w:top w:val="single" w:sz="4" w:space="0" w:color="auto"/>
              <w:left w:val="nil"/>
              <w:bottom w:val="single" w:sz="4" w:space="0" w:color="auto"/>
              <w:right w:val="single" w:sz="4" w:space="0" w:color="auto"/>
            </w:tcBorders>
            <w:shd w:val="clear" w:color="auto" w:fill="002060"/>
            <w:vAlign w:val="center"/>
            <w:hideMark/>
          </w:tcPr>
          <w:p w14:paraId="095EE2B3" w14:textId="77777777" w:rsidR="00541E5C" w:rsidRPr="00541E5C" w:rsidRDefault="00541E5C" w:rsidP="00541E5C">
            <w:pPr>
              <w:spacing w:after="0" w:line="240" w:lineRule="auto"/>
              <w:jc w:val="center"/>
              <w:rPr>
                <w:rFonts w:ascii="Book Antiqua" w:eastAsia="Times New Roman" w:hAnsi="Book Antiqua" w:cs="Calibri Light"/>
                <w:b/>
                <w:bCs/>
                <w:sz w:val="16"/>
                <w:szCs w:val="16"/>
                <w:lang w:eastAsia="es-CR"/>
              </w:rPr>
            </w:pPr>
            <w:r w:rsidRPr="00541E5C">
              <w:rPr>
                <w:rFonts w:ascii="Book Antiqua" w:eastAsia="Times New Roman" w:hAnsi="Book Antiqua" w:cs="Calibri Light"/>
                <w:b/>
                <w:bCs/>
                <w:sz w:val="16"/>
                <w:szCs w:val="16"/>
                <w:lang w:eastAsia="es-CR"/>
              </w:rPr>
              <w:t>Justificación del requerimiento del PCGS / Indicar observaciones o cambios</w:t>
            </w:r>
          </w:p>
        </w:tc>
        <w:tc>
          <w:tcPr>
            <w:tcW w:w="1757" w:type="dxa"/>
            <w:tcBorders>
              <w:top w:val="single" w:sz="4" w:space="0" w:color="auto"/>
              <w:left w:val="nil"/>
              <w:bottom w:val="single" w:sz="4" w:space="0" w:color="auto"/>
              <w:right w:val="single" w:sz="4" w:space="0" w:color="auto"/>
            </w:tcBorders>
            <w:shd w:val="clear" w:color="auto" w:fill="002060"/>
            <w:vAlign w:val="center"/>
            <w:hideMark/>
          </w:tcPr>
          <w:p w14:paraId="182B974A" w14:textId="77777777" w:rsidR="00541E5C" w:rsidRPr="00541E5C" w:rsidRDefault="00541E5C" w:rsidP="00541E5C">
            <w:pPr>
              <w:spacing w:after="0" w:line="240" w:lineRule="auto"/>
              <w:jc w:val="center"/>
              <w:rPr>
                <w:rFonts w:ascii="Book Antiqua" w:eastAsia="Times New Roman" w:hAnsi="Book Antiqua" w:cs="Calibri Light"/>
                <w:b/>
                <w:bCs/>
                <w:sz w:val="16"/>
                <w:szCs w:val="16"/>
                <w:lang w:eastAsia="es-CR"/>
              </w:rPr>
            </w:pPr>
            <w:r w:rsidRPr="00541E5C">
              <w:rPr>
                <w:rFonts w:ascii="Book Antiqua" w:eastAsia="Times New Roman" w:hAnsi="Book Antiqua" w:cs="Calibri Light"/>
                <w:b/>
                <w:bCs/>
                <w:sz w:val="16"/>
                <w:szCs w:val="16"/>
                <w:lang w:eastAsia="es-CR"/>
              </w:rPr>
              <w:t>Detalle los beneficios que se obtienen de la posible asignación de este PCGS:</w:t>
            </w:r>
          </w:p>
        </w:tc>
      </w:tr>
      <w:tr w:rsidR="00437361" w:rsidRPr="00541E5C" w14:paraId="1CB3F799" w14:textId="77777777" w:rsidTr="00EF4E17">
        <w:trPr>
          <w:gridBefore w:val="1"/>
          <w:gridAfter w:val="1"/>
          <w:wBefore w:w="6" w:type="dxa"/>
          <w:wAfter w:w="189" w:type="dxa"/>
          <w:trHeight w:val="520"/>
        </w:trPr>
        <w:tc>
          <w:tcPr>
            <w:tcW w:w="829" w:type="dxa"/>
            <w:tcBorders>
              <w:top w:val="nil"/>
              <w:left w:val="single" w:sz="4" w:space="0" w:color="auto"/>
              <w:bottom w:val="single" w:sz="4" w:space="0" w:color="000000" w:themeColor="text1"/>
              <w:right w:val="single" w:sz="4" w:space="0" w:color="auto"/>
            </w:tcBorders>
            <w:shd w:val="clear" w:color="auto" w:fill="auto"/>
            <w:vAlign w:val="center"/>
          </w:tcPr>
          <w:p w14:paraId="0A2E1906" w14:textId="58ECD4B3" w:rsidR="00082741" w:rsidRPr="00541E5C" w:rsidRDefault="00D72952" w:rsidP="00541E5C">
            <w:pPr>
              <w:spacing w:after="0" w:line="240" w:lineRule="auto"/>
              <w:jc w:val="center"/>
              <w:rPr>
                <w:rFonts w:ascii="Book Antiqua" w:eastAsia="Times New Roman" w:hAnsi="Book Antiqua" w:cs="Calibri Light"/>
                <w:color w:val="000000"/>
                <w:sz w:val="16"/>
                <w:szCs w:val="16"/>
                <w:lang w:eastAsia="es-CR"/>
              </w:rPr>
            </w:pPr>
            <w:r w:rsidRPr="00D72952">
              <w:rPr>
                <w:rFonts w:ascii="Book Antiqua" w:eastAsia="Times New Roman" w:hAnsi="Book Antiqua" w:cs="Calibri Light"/>
                <w:color w:val="000000"/>
                <w:sz w:val="16"/>
                <w:szCs w:val="16"/>
                <w:lang w:eastAsia="es-CR"/>
              </w:rPr>
              <w:t>0005-SS-P03</w:t>
            </w:r>
          </w:p>
        </w:tc>
        <w:tc>
          <w:tcPr>
            <w:tcW w:w="1425" w:type="dxa"/>
            <w:tcBorders>
              <w:top w:val="nil"/>
              <w:left w:val="single" w:sz="4" w:space="0" w:color="auto"/>
              <w:bottom w:val="single" w:sz="4" w:space="0" w:color="000000" w:themeColor="text1"/>
              <w:right w:val="single" w:sz="4" w:space="0" w:color="auto"/>
            </w:tcBorders>
            <w:shd w:val="clear" w:color="auto" w:fill="auto"/>
            <w:vAlign w:val="center"/>
          </w:tcPr>
          <w:p w14:paraId="2582B70D" w14:textId="158EFDFD" w:rsidR="00082741" w:rsidRPr="00541E5C" w:rsidRDefault="00411B8C" w:rsidP="00541E5C">
            <w:pPr>
              <w:spacing w:after="0" w:line="240" w:lineRule="auto"/>
              <w:jc w:val="center"/>
              <w:rPr>
                <w:rFonts w:ascii="Book Antiqua" w:eastAsia="Times New Roman" w:hAnsi="Book Antiqua" w:cs="Calibri Light"/>
                <w:color w:val="000000"/>
                <w:sz w:val="16"/>
                <w:szCs w:val="16"/>
                <w:lang w:eastAsia="es-CR"/>
              </w:rPr>
            </w:pPr>
            <w:r w:rsidRPr="00411B8C">
              <w:rPr>
                <w:rFonts w:ascii="Book Antiqua" w:eastAsia="Times New Roman" w:hAnsi="Book Antiqua" w:cs="Calibri Light"/>
                <w:color w:val="000000"/>
                <w:sz w:val="16"/>
                <w:szCs w:val="16"/>
                <w:lang w:eastAsia="es-CR"/>
              </w:rPr>
              <w:t>Atención de procesos en fase de admisibilidad de los recursos de casación, revisión, competencias y casaciones por inadmisión, en Sala Segunda.</w:t>
            </w:r>
          </w:p>
        </w:tc>
        <w:tc>
          <w:tcPr>
            <w:tcW w:w="1234" w:type="dxa"/>
            <w:tcBorders>
              <w:top w:val="nil"/>
              <w:left w:val="single" w:sz="4" w:space="0" w:color="auto"/>
              <w:bottom w:val="single" w:sz="4" w:space="0" w:color="000000" w:themeColor="text1"/>
              <w:right w:val="single" w:sz="4" w:space="0" w:color="auto"/>
            </w:tcBorders>
            <w:shd w:val="clear" w:color="auto" w:fill="auto"/>
            <w:vAlign w:val="center"/>
          </w:tcPr>
          <w:p w14:paraId="22B52639" w14:textId="4376BA23" w:rsidR="00082741" w:rsidRPr="00541E5C" w:rsidRDefault="00D72952" w:rsidP="00541E5C">
            <w:pPr>
              <w:spacing w:after="0" w:line="240" w:lineRule="auto"/>
              <w:jc w:val="center"/>
              <w:rPr>
                <w:rFonts w:ascii="Book Antiqua" w:eastAsia="Times New Roman" w:hAnsi="Book Antiqua" w:cs="Calibri Light"/>
                <w:color w:val="000000"/>
                <w:sz w:val="16"/>
                <w:szCs w:val="16"/>
                <w:lang w:eastAsia="es-CR"/>
              </w:rPr>
            </w:pPr>
            <w:r w:rsidRPr="00D72952">
              <w:rPr>
                <w:rFonts w:ascii="Book Antiqua" w:eastAsia="Times New Roman" w:hAnsi="Book Antiqua" w:cs="Calibri Light"/>
                <w:color w:val="000000"/>
                <w:sz w:val="16"/>
                <w:szCs w:val="16"/>
                <w:lang w:eastAsia="es-CR"/>
              </w:rPr>
              <w:t>927 Servicio Jurisdiccional</w:t>
            </w:r>
          </w:p>
        </w:tc>
        <w:tc>
          <w:tcPr>
            <w:tcW w:w="1376" w:type="dxa"/>
            <w:tcBorders>
              <w:top w:val="nil"/>
              <w:left w:val="single" w:sz="4" w:space="0" w:color="auto"/>
              <w:bottom w:val="single" w:sz="4" w:space="0" w:color="000000" w:themeColor="text1"/>
              <w:right w:val="single" w:sz="4" w:space="0" w:color="auto"/>
            </w:tcBorders>
            <w:shd w:val="clear" w:color="auto" w:fill="auto"/>
            <w:vAlign w:val="center"/>
          </w:tcPr>
          <w:p w14:paraId="1A880A89" w14:textId="2A43B391" w:rsidR="00082741" w:rsidRPr="00541E5C" w:rsidRDefault="00D72952" w:rsidP="00541E5C">
            <w:pPr>
              <w:spacing w:after="0" w:line="240" w:lineRule="auto"/>
              <w:jc w:val="center"/>
              <w:rPr>
                <w:rFonts w:ascii="Book Antiqua" w:eastAsia="Times New Roman" w:hAnsi="Book Antiqua" w:cs="Calibri Light"/>
                <w:color w:val="000000"/>
                <w:sz w:val="16"/>
                <w:szCs w:val="16"/>
                <w:lang w:eastAsia="es-CR"/>
              </w:rPr>
            </w:pPr>
            <w:r w:rsidRPr="00D72952">
              <w:rPr>
                <w:rFonts w:ascii="Book Antiqua" w:eastAsia="Times New Roman" w:hAnsi="Book Antiqua" w:cs="Calibri Light"/>
                <w:color w:val="000000"/>
                <w:sz w:val="16"/>
                <w:szCs w:val="16"/>
                <w:lang w:eastAsia="es-CR"/>
              </w:rPr>
              <w:t>Sala Segunda</w:t>
            </w:r>
          </w:p>
        </w:tc>
        <w:tc>
          <w:tcPr>
            <w:tcW w:w="1025" w:type="dxa"/>
            <w:tcBorders>
              <w:top w:val="nil"/>
              <w:left w:val="single" w:sz="4" w:space="0" w:color="auto"/>
              <w:bottom w:val="single" w:sz="4" w:space="0" w:color="000000" w:themeColor="text1"/>
              <w:right w:val="single" w:sz="4" w:space="0" w:color="auto"/>
            </w:tcBorders>
            <w:shd w:val="clear" w:color="auto" w:fill="auto"/>
            <w:vAlign w:val="center"/>
          </w:tcPr>
          <w:p w14:paraId="7008FB97" w14:textId="6400BF20" w:rsidR="00082741" w:rsidRPr="00541E5C" w:rsidRDefault="00D72952" w:rsidP="00541E5C">
            <w:pPr>
              <w:spacing w:after="0" w:line="240" w:lineRule="auto"/>
              <w:jc w:val="center"/>
              <w:rPr>
                <w:rFonts w:ascii="Book Antiqua" w:eastAsia="Times New Roman" w:hAnsi="Book Antiqua" w:cs="Calibri Light"/>
                <w:color w:val="000000"/>
                <w:sz w:val="16"/>
                <w:szCs w:val="16"/>
                <w:lang w:eastAsia="es-CR"/>
              </w:rPr>
            </w:pPr>
            <w:r w:rsidRPr="00D72952">
              <w:rPr>
                <w:rFonts w:ascii="Book Antiqua" w:eastAsia="Times New Roman" w:hAnsi="Book Antiqua" w:cs="Calibri Light"/>
                <w:color w:val="000000"/>
                <w:sz w:val="16"/>
                <w:szCs w:val="16"/>
                <w:lang w:eastAsia="es-CR"/>
              </w:rPr>
              <w:t>Sala Segunda</w:t>
            </w:r>
          </w:p>
        </w:tc>
        <w:tc>
          <w:tcPr>
            <w:tcW w:w="816" w:type="dxa"/>
            <w:tcBorders>
              <w:top w:val="nil"/>
              <w:left w:val="single" w:sz="4" w:space="0" w:color="auto"/>
              <w:bottom w:val="single" w:sz="4" w:space="0" w:color="000000" w:themeColor="text1"/>
              <w:right w:val="single" w:sz="4" w:space="0" w:color="auto"/>
            </w:tcBorders>
            <w:shd w:val="clear" w:color="auto" w:fill="auto"/>
            <w:vAlign w:val="center"/>
          </w:tcPr>
          <w:p w14:paraId="23A8B72F" w14:textId="4F255108" w:rsidR="00082741" w:rsidRPr="00541E5C" w:rsidRDefault="00D72952" w:rsidP="00541E5C">
            <w:pPr>
              <w:spacing w:after="0" w:line="240" w:lineRule="auto"/>
              <w:jc w:val="center"/>
              <w:rPr>
                <w:rFonts w:ascii="Book Antiqua" w:eastAsia="Times New Roman" w:hAnsi="Book Antiqua" w:cs="Calibri Light"/>
                <w:color w:val="000000"/>
                <w:sz w:val="16"/>
                <w:szCs w:val="16"/>
                <w:lang w:eastAsia="es-CR"/>
              </w:rPr>
            </w:pPr>
            <w:r>
              <w:rPr>
                <w:rFonts w:ascii="Book Antiqua" w:eastAsia="Times New Roman" w:hAnsi="Book Antiqua" w:cs="Calibri Light"/>
                <w:color w:val="000000"/>
                <w:sz w:val="16"/>
                <w:szCs w:val="16"/>
                <w:lang w:eastAsia="es-CR"/>
              </w:rPr>
              <w:t>1</w:t>
            </w:r>
          </w:p>
        </w:tc>
        <w:tc>
          <w:tcPr>
            <w:tcW w:w="1588" w:type="dxa"/>
            <w:tcBorders>
              <w:top w:val="nil"/>
              <w:left w:val="single" w:sz="4" w:space="0" w:color="auto"/>
              <w:bottom w:val="single" w:sz="4" w:space="0" w:color="000000" w:themeColor="text1"/>
              <w:right w:val="single" w:sz="4" w:space="0" w:color="auto"/>
            </w:tcBorders>
            <w:shd w:val="clear" w:color="auto" w:fill="auto"/>
            <w:vAlign w:val="center"/>
          </w:tcPr>
          <w:p w14:paraId="1A884C23" w14:textId="745A9B0A" w:rsidR="00082741" w:rsidRPr="00541E5C" w:rsidRDefault="00345896" w:rsidP="00541E5C">
            <w:pPr>
              <w:spacing w:after="0" w:line="240" w:lineRule="auto"/>
              <w:jc w:val="center"/>
              <w:rPr>
                <w:rFonts w:ascii="Book Antiqua" w:eastAsia="Times New Roman" w:hAnsi="Book Antiqua" w:cs="Calibri Light"/>
                <w:color w:val="000000"/>
                <w:sz w:val="16"/>
                <w:szCs w:val="16"/>
                <w:lang w:eastAsia="es-CR"/>
              </w:rPr>
            </w:pPr>
            <w:r w:rsidRPr="00345896">
              <w:rPr>
                <w:rFonts w:ascii="Book Antiqua" w:eastAsia="Times New Roman" w:hAnsi="Book Antiqua" w:cs="Calibri Light"/>
                <w:color w:val="000000"/>
                <w:sz w:val="16"/>
                <w:szCs w:val="16"/>
                <w:lang w:eastAsia="es-CR"/>
              </w:rPr>
              <w:t>PROFESIONAL EN DERECHO 3B</w:t>
            </w:r>
          </w:p>
        </w:tc>
        <w:tc>
          <w:tcPr>
            <w:tcW w:w="850" w:type="dxa"/>
            <w:tcBorders>
              <w:top w:val="nil"/>
              <w:left w:val="single" w:sz="4" w:space="0" w:color="auto"/>
              <w:bottom w:val="single" w:sz="4" w:space="0" w:color="000000" w:themeColor="text1"/>
              <w:right w:val="single" w:sz="4" w:space="0" w:color="auto"/>
            </w:tcBorders>
            <w:shd w:val="clear" w:color="auto" w:fill="auto"/>
            <w:vAlign w:val="center"/>
          </w:tcPr>
          <w:p w14:paraId="79DD87D2" w14:textId="58E18293" w:rsidR="00082741" w:rsidRPr="00541E5C" w:rsidRDefault="00345896" w:rsidP="00541E5C">
            <w:pPr>
              <w:spacing w:after="0" w:line="240" w:lineRule="auto"/>
              <w:jc w:val="center"/>
              <w:rPr>
                <w:rFonts w:ascii="Book Antiqua" w:eastAsia="Times New Roman" w:hAnsi="Book Antiqua" w:cs="Calibri Light"/>
                <w:color w:val="000000"/>
                <w:sz w:val="16"/>
                <w:szCs w:val="16"/>
                <w:lang w:eastAsia="es-CR"/>
              </w:rPr>
            </w:pPr>
            <w:r>
              <w:rPr>
                <w:rFonts w:ascii="Book Antiqua" w:eastAsia="Times New Roman" w:hAnsi="Book Antiqua" w:cs="Calibri Light"/>
                <w:color w:val="000000"/>
                <w:sz w:val="16"/>
                <w:szCs w:val="16"/>
                <w:lang w:eastAsia="es-CR"/>
              </w:rPr>
              <w:t>Pendiente</w:t>
            </w:r>
          </w:p>
        </w:tc>
        <w:tc>
          <w:tcPr>
            <w:tcW w:w="1419" w:type="dxa"/>
            <w:tcBorders>
              <w:top w:val="nil"/>
              <w:left w:val="single" w:sz="4" w:space="0" w:color="auto"/>
              <w:bottom w:val="single" w:sz="4" w:space="0" w:color="000000" w:themeColor="text1"/>
              <w:right w:val="single" w:sz="4" w:space="0" w:color="auto"/>
            </w:tcBorders>
            <w:shd w:val="clear" w:color="auto" w:fill="auto"/>
            <w:vAlign w:val="center"/>
          </w:tcPr>
          <w:p w14:paraId="0B662D71" w14:textId="77777777" w:rsidR="00345896" w:rsidRPr="00345896" w:rsidRDefault="00345896" w:rsidP="00E24FCA">
            <w:pPr>
              <w:spacing w:after="0" w:line="240" w:lineRule="auto"/>
              <w:jc w:val="both"/>
              <w:rPr>
                <w:rFonts w:ascii="Book Antiqua" w:eastAsia="Times New Roman" w:hAnsi="Book Antiqua" w:cs="Calibri Light"/>
                <w:color w:val="000000"/>
                <w:sz w:val="16"/>
                <w:szCs w:val="16"/>
                <w:lang w:eastAsia="es-CR"/>
              </w:rPr>
            </w:pPr>
            <w:r w:rsidRPr="3B33F2DD">
              <w:rPr>
                <w:rFonts w:ascii="Book Antiqua" w:eastAsia="Times New Roman" w:hAnsi="Book Antiqua" w:cs="Calibri Light"/>
                <w:color w:val="000000" w:themeColor="text1"/>
                <w:sz w:val="16"/>
                <w:szCs w:val="16"/>
                <w:lang w:eastAsia="es-CR"/>
              </w:rPr>
              <w:t>El Profesional en Derecho 3B, se encargará del estudio y redacción de al menos 21 proyectos mensuales, de resoluciones que traten sobre:</w:t>
            </w:r>
          </w:p>
          <w:p w14:paraId="69EA11EE" w14:textId="77777777" w:rsidR="00345896" w:rsidRPr="00345896" w:rsidRDefault="00345896" w:rsidP="00E24FCA">
            <w:pPr>
              <w:spacing w:after="0" w:line="240" w:lineRule="auto"/>
              <w:jc w:val="both"/>
              <w:rPr>
                <w:rFonts w:ascii="Book Antiqua" w:eastAsia="Times New Roman" w:hAnsi="Book Antiqua" w:cs="Calibri Light"/>
                <w:color w:val="000000"/>
                <w:sz w:val="16"/>
                <w:szCs w:val="16"/>
                <w:lang w:eastAsia="es-CR"/>
              </w:rPr>
            </w:pPr>
            <w:r w:rsidRPr="3B33F2DD">
              <w:rPr>
                <w:rFonts w:ascii="Book Antiqua" w:eastAsia="Times New Roman" w:hAnsi="Book Antiqua" w:cs="Calibri Light"/>
                <w:color w:val="000000" w:themeColor="text1"/>
                <w:sz w:val="16"/>
                <w:szCs w:val="16"/>
                <w:lang w:eastAsia="es-CR"/>
              </w:rPr>
              <w:t>1. Admisibilidad de los recursos de casación civiles (admisibilidad y rechazos de plano).</w:t>
            </w:r>
          </w:p>
          <w:p w14:paraId="53BEB50C" w14:textId="77777777" w:rsidR="00345896" w:rsidRPr="00345896" w:rsidRDefault="00345896" w:rsidP="00E24FCA">
            <w:pPr>
              <w:spacing w:after="0" w:line="240" w:lineRule="auto"/>
              <w:jc w:val="both"/>
              <w:rPr>
                <w:rFonts w:ascii="Book Antiqua" w:eastAsia="Times New Roman" w:hAnsi="Book Antiqua" w:cs="Calibri Light"/>
                <w:color w:val="000000"/>
                <w:sz w:val="16"/>
                <w:szCs w:val="16"/>
                <w:lang w:eastAsia="es-CR"/>
              </w:rPr>
            </w:pPr>
            <w:r w:rsidRPr="3B33F2DD">
              <w:rPr>
                <w:rFonts w:ascii="Book Antiqua" w:eastAsia="Times New Roman" w:hAnsi="Book Antiqua" w:cs="Calibri Light"/>
                <w:color w:val="000000" w:themeColor="text1"/>
                <w:sz w:val="16"/>
                <w:szCs w:val="16"/>
                <w:lang w:eastAsia="es-CR"/>
              </w:rPr>
              <w:t>2. Estudio y redacción de proyecto de admisibilidad de los recursos de revisión (admisibilidad y rechazos de plano).</w:t>
            </w:r>
          </w:p>
          <w:p w14:paraId="5634622D" w14:textId="77777777" w:rsidR="00345896" w:rsidRPr="00345896" w:rsidRDefault="00345896" w:rsidP="00E24FCA">
            <w:pPr>
              <w:spacing w:after="0" w:line="240" w:lineRule="auto"/>
              <w:jc w:val="both"/>
              <w:rPr>
                <w:rFonts w:ascii="Book Antiqua" w:eastAsia="Times New Roman" w:hAnsi="Book Antiqua" w:cs="Calibri Light"/>
                <w:color w:val="000000"/>
                <w:sz w:val="16"/>
                <w:szCs w:val="16"/>
                <w:lang w:eastAsia="es-CR"/>
              </w:rPr>
            </w:pPr>
            <w:r w:rsidRPr="3B33F2DD">
              <w:rPr>
                <w:rFonts w:ascii="Book Antiqua" w:eastAsia="Times New Roman" w:hAnsi="Book Antiqua" w:cs="Calibri Light"/>
                <w:color w:val="000000" w:themeColor="text1"/>
                <w:sz w:val="16"/>
                <w:szCs w:val="16"/>
                <w:lang w:eastAsia="es-CR"/>
              </w:rPr>
              <w:t>3. Estudio y redacción de resoluciones competencias y conflictos de competencia.</w:t>
            </w:r>
          </w:p>
          <w:p w14:paraId="42B06A77" w14:textId="32A749DD" w:rsidR="00082741" w:rsidRPr="00541E5C" w:rsidRDefault="00345896" w:rsidP="00E24FCA">
            <w:pPr>
              <w:spacing w:after="0" w:line="240" w:lineRule="auto"/>
              <w:jc w:val="both"/>
              <w:rPr>
                <w:rFonts w:ascii="Book Antiqua" w:eastAsia="Times New Roman" w:hAnsi="Book Antiqua" w:cs="Calibri Light"/>
                <w:color w:val="000000"/>
                <w:sz w:val="16"/>
                <w:szCs w:val="16"/>
                <w:lang w:eastAsia="es-CR"/>
              </w:rPr>
            </w:pPr>
            <w:r w:rsidRPr="3B33F2DD">
              <w:rPr>
                <w:rFonts w:ascii="Book Antiqua" w:eastAsia="Times New Roman" w:hAnsi="Book Antiqua" w:cs="Calibri Light"/>
                <w:color w:val="000000" w:themeColor="text1"/>
                <w:sz w:val="16"/>
                <w:szCs w:val="16"/>
                <w:lang w:eastAsia="es-CR"/>
              </w:rPr>
              <w:t xml:space="preserve">4. Estudio y redacción de </w:t>
            </w:r>
            <w:r w:rsidRPr="3B33F2DD">
              <w:rPr>
                <w:rFonts w:ascii="Book Antiqua" w:eastAsia="Times New Roman" w:hAnsi="Book Antiqua" w:cs="Calibri Light"/>
                <w:color w:val="000000" w:themeColor="text1"/>
                <w:sz w:val="16"/>
                <w:szCs w:val="16"/>
                <w:lang w:eastAsia="es-CR"/>
              </w:rPr>
              <w:lastRenderedPageBreak/>
              <w:t>resoluciones de casaciones por inadmisión.</w:t>
            </w:r>
          </w:p>
        </w:tc>
        <w:tc>
          <w:tcPr>
            <w:tcW w:w="1709" w:type="dxa"/>
            <w:tcBorders>
              <w:top w:val="nil"/>
              <w:left w:val="single" w:sz="4" w:space="0" w:color="auto"/>
              <w:bottom w:val="single" w:sz="4" w:space="0" w:color="000000" w:themeColor="text1"/>
              <w:right w:val="single" w:sz="4" w:space="0" w:color="auto"/>
            </w:tcBorders>
            <w:shd w:val="clear" w:color="auto" w:fill="auto"/>
            <w:vAlign w:val="center"/>
          </w:tcPr>
          <w:p w14:paraId="04F135B8" w14:textId="5655244F" w:rsidR="00082741" w:rsidRPr="00541E5C" w:rsidRDefault="00DE3A90" w:rsidP="00413346">
            <w:pPr>
              <w:spacing w:after="0" w:line="240" w:lineRule="auto"/>
              <w:jc w:val="both"/>
              <w:rPr>
                <w:rFonts w:ascii="Book Antiqua" w:eastAsia="Times New Roman" w:hAnsi="Book Antiqua" w:cs="Calibri Light"/>
                <w:color w:val="000000"/>
                <w:sz w:val="16"/>
                <w:szCs w:val="16"/>
                <w:lang w:eastAsia="es-CR"/>
              </w:rPr>
            </w:pPr>
            <w:r w:rsidRPr="00DE3A90">
              <w:rPr>
                <w:rFonts w:ascii="Book Antiqua" w:eastAsia="Times New Roman" w:hAnsi="Book Antiqua" w:cs="Calibri Light"/>
                <w:color w:val="000000"/>
                <w:sz w:val="16"/>
                <w:szCs w:val="16"/>
                <w:lang w:eastAsia="es-CR"/>
              </w:rPr>
              <w:lastRenderedPageBreak/>
              <w:t>El incremento en el ingreso de recurso de casación civiles, recursos de revisión en virtud de nueva causal introducida por el Código Procesal Civil, competencias, recursos de casación por inadmisión, exequátur y cartas rogatorias, generado por todas las reformas procesales, ha provocado un incremento en el tiempo de resolución de esos tipos de procesos; pues la carga de trabajo de todos esos recen sobre un solo funcionario (Secretario de Sala), quien además dentro de sus funciones se encuentra la administración y coordinación del despacho (función jurisdiccional y administrativa).</w:t>
            </w:r>
          </w:p>
        </w:tc>
        <w:tc>
          <w:tcPr>
            <w:tcW w:w="1763" w:type="dxa"/>
            <w:gridSpan w:val="2"/>
            <w:tcBorders>
              <w:top w:val="nil"/>
              <w:left w:val="single" w:sz="4" w:space="0" w:color="auto"/>
              <w:bottom w:val="single" w:sz="4" w:space="0" w:color="000000" w:themeColor="text1"/>
              <w:right w:val="single" w:sz="4" w:space="0" w:color="auto"/>
            </w:tcBorders>
            <w:shd w:val="clear" w:color="auto" w:fill="auto"/>
            <w:vAlign w:val="center"/>
          </w:tcPr>
          <w:p w14:paraId="45439E30" w14:textId="77777777" w:rsidR="007E6FC1" w:rsidRPr="007E6FC1" w:rsidRDefault="007E6FC1" w:rsidP="007E6FC1">
            <w:pPr>
              <w:spacing w:after="0" w:line="240" w:lineRule="auto"/>
              <w:jc w:val="both"/>
              <w:rPr>
                <w:rFonts w:ascii="Book Antiqua" w:eastAsia="Times New Roman" w:hAnsi="Book Antiqua" w:cs="Calibri Light"/>
                <w:color w:val="000000"/>
                <w:sz w:val="16"/>
                <w:szCs w:val="16"/>
                <w:lang w:eastAsia="es-CR"/>
              </w:rPr>
            </w:pPr>
            <w:r w:rsidRPr="007E6FC1">
              <w:rPr>
                <w:rFonts w:ascii="Book Antiqua" w:eastAsia="Times New Roman" w:hAnsi="Book Antiqua" w:cs="Calibri Light"/>
                <w:color w:val="000000"/>
                <w:sz w:val="16"/>
                <w:szCs w:val="16"/>
                <w:lang w:eastAsia="es-CR"/>
              </w:rPr>
              <w:t>Los beneficios que se obtienen son:</w:t>
            </w:r>
          </w:p>
          <w:p w14:paraId="4E186A15" w14:textId="77777777" w:rsidR="007E6FC1" w:rsidRPr="007E6FC1" w:rsidRDefault="007E6FC1" w:rsidP="007E6FC1">
            <w:pPr>
              <w:spacing w:after="0" w:line="240" w:lineRule="auto"/>
              <w:jc w:val="both"/>
              <w:rPr>
                <w:rFonts w:ascii="Book Antiqua" w:eastAsia="Times New Roman" w:hAnsi="Book Antiqua" w:cs="Calibri Light"/>
                <w:color w:val="000000"/>
                <w:sz w:val="16"/>
                <w:szCs w:val="16"/>
                <w:lang w:eastAsia="es-CR"/>
              </w:rPr>
            </w:pPr>
            <w:r w:rsidRPr="007E6FC1">
              <w:rPr>
                <w:rFonts w:ascii="Book Antiqua" w:eastAsia="Times New Roman" w:hAnsi="Book Antiqua" w:cs="Calibri Light"/>
                <w:color w:val="000000"/>
                <w:sz w:val="16"/>
                <w:szCs w:val="16"/>
                <w:lang w:eastAsia="es-CR"/>
              </w:rPr>
              <w:t>1. Incremento en la cantidad de asuntos terminados.</w:t>
            </w:r>
          </w:p>
          <w:p w14:paraId="19AA8EE2" w14:textId="77777777" w:rsidR="007E6FC1" w:rsidRPr="007E6FC1" w:rsidRDefault="007E6FC1" w:rsidP="007E6FC1">
            <w:pPr>
              <w:spacing w:after="0" w:line="240" w:lineRule="auto"/>
              <w:jc w:val="both"/>
              <w:rPr>
                <w:rFonts w:ascii="Book Antiqua" w:eastAsia="Times New Roman" w:hAnsi="Book Antiqua" w:cs="Calibri Light"/>
                <w:color w:val="000000"/>
                <w:sz w:val="16"/>
                <w:szCs w:val="16"/>
                <w:lang w:eastAsia="es-CR"/>
              </w:rPr>
            </w:pPr>
            <w:r w:rsidRPr="007E6FC1">
              <w:rPr>
                <w:rFonts w:ascii="Book Antiqua" w:eastAsia="Times New Roman" w:hAnsi="Book Antiqua" w:cs="Calibri Light"/>
                <w:color w:val="000000"/>
                <w:sz w:val="16"/>
                <w:szCs w:val="16"/>
                <w:lang w:eastAsia="es-CR"/>
              </w:rPr>
              <w:t>2. Reducción del tiempo de respuesta o resolución de los asuntos.</w:t>
            </w:r>
          </w:p>
          <w:p w14:paraId="3F38331E" w14:textId="77777777" w:rsidR="007E6FC1" w:rsidRPr="007E6FC1" w:rsidRDefault="007E6FC1" w:rsidP="007E6FC1">
            <w:pPr>
              <w:spacing w:after="0" w:line="240" w:lineRule="auto"/>
              <w:jc w:val="both"/>
              <w:rPr>
                <w:rFonts w:ascii="Book Antiqua" w:eastAsia="Times New Roman" w:hAnsi="Book Antiqua" w:cs="Calibri Light"/>
                <w:color w:val="000000"/>
                <w:sz w:val="16"/>
                <w:szCs w:val="16"/>
                <w:lang w:eastAsia="es-CR"/>
              </w:rPr>
            </w:pPr>
            <w:r w:rsidRPr="007E6FC1">
              <w:rPr>
                <w:rFonts w:ascii="Book Antiqua" w:eastAsia="Times New Roman" w:hAnsi="Book Antiqua" w:cs="Calibri Light"/>
                <w:color w:val="000000"/>
                <w:sz w:val="16"/>
                <w:szCs w:val="16"/>
                <w:lang w:eastAsia="es-CR"/>
              </w:rPr>
              <w:t>3. Maximización del recurso humano.</w:t>
            </w:r>
          </w:p>
          <w:p w14:paraId="34A68932" w14:textId="6A0DD685" w:rsidR="00082741" w:rsidRPr="00541E5C" w:rsidRDefault="007E6FC1" w:rsidP="007E6FC1">
            <w:pPr>
              <w:spacing w:after="0" w:line="240" w:lineRule="auto"/>
              <w:jc w:val="both"/>
              <w:rPr>
                <w:rFonts w:ascii="Book Antiqua" w:eastAsia="Times New Roman" w:hAnsi="Book Antiqua" w:cs="Calibri Light"/>
                <w:color w:val="000000"/>
                <w:sz w:val="16"/>
                <w:szCs w:val="16"/>
                <w:lang w:eastAsia="es-CR"/>
              </w:rPr>
            </w:pPr>
            <w:r w:rsidRPr="007E6FC1">
              <w:rPr>
                <w:rFonts w:ascii="Book Antiqua" w:eastAsia="Times New Roman" w:hAnsi="Book Antiqua" w:cs="Calibri Light"/>
                <w:color w:val="000000"/>
                <w:sz w:val="16"/>
                <w:szCs w:val="16"/>
                <w:lang w:eastAsia="es-CR"/>
              </w:rPr>
              <w:t>4. Atención prioritaria de los asuntos de admisibilidad de recursos de casación civil, recursos de revisión, competencias y casaciones por inadmisión.</w:t>
            </w:r>
          </w:p>
        </w:tc>
      </w:tr>
      <w:tr w:rsidR="0086493B" w:rsidRPr="00541E5C" w14:paraId="591D6120" w14:textId="77777777" w:rsidTr="00EF4E17">
        <w:trPr>
          <w:gridAfter w:val="2"/>
          <w:wAfter w:w="195" w:type="dxa"/>
          <w:trHeight w:val="520"/>
        </w:trPr>
        <w:tc>
          <w:tcPr>
            <w:tcW w:w="83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36B6D"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1167-OIJ-P28</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4D2E5B"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Mejoramiento de la eficiencia de la plataforma administrativa de las Sedes Regionales del Organismo de Investigación Judicial 2021</w:t>
            </w:r>
          </w:p>
        </w:tc>
        <w:tc>
          <w:tcPr>
            <w:tcW w:w="12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F83958"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928 Organismo de Investigación Judicial</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BCA82E"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Organismo de Investigación Judicial</w:t>
            </w:r>
          </w:p>
        </w:tc>
        <w:tc>
          <w:tcPr>
            <w:tcW w:w="10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8CC3ED"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Oficina de Planes y Operaciones</w:t>
            </w:r>
          </w:p>
        </w:tc>
        <w:tc>
          <w:tcPr>
            <w:tcW w:w="8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45456C"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5</w:t>
            </w:r>
          </w:p>
        </w:tc>
        <w:tc>
          <w:tcPr>
            <w:tcW w:w="15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851068"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TÉCNICO ESPECIALIZADO 2</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D34D41"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112367</w:t>
            </w:r>
            <w:r w:rsidRPr="00541E5C">
              <w:rPr>
                <w:rFonts w:ascii="Book Antiqua" w:eastAsia="Times New Roman" w:hAnsi="Book Antiqua" w:cs="Calibri Light"/>
                <w:color w:val="000000"/>
                <w:sz w:val="16"/>
                <w:szCs w:val="16"/>
                <w:lang w:eastAsia="es-CR"/>
              </w:rPr>
              <w:br/>
              <w:t>47169</w:t>
            </w:r>
            <w:r w:rsidRPr="00541E5C">
              <w:rPr>
                <w:rFonts w:ascii="Book Antiqua" w:eastAsia="Times New Roman" w:hAnsi="Book Antiqua" w:cs="Calibri Light"/>
                <w:color w:val="000000"/>
                <w:sz w:val="16"/>
                <w:szCs w:val="16"/>
                <w:lang w:eastAsia="es-CR"/>
              </w:rPr>
              <w:br/>
              <w:t>47170</w:t>
            </w:r>
            <w:r w:rsidRPr="00541E5C">
              <w:rPr>
                <w:rFonts w:ascii="Book Antiqua" w:eastAsia="Times New Roman" w:hAnsi="Book Antiqua" w:cs="Calibri Light"/>
                <w:color w:val="000000"/>
                <w:sz w:val="16"/>
                <w:szCs w:val="16"/>
                <w:lang w:eastAsia="es-CR"/>
              </w:rPr>
              <w:br/>
              <w:t>112365</w:t>
            </w:r>
            <w:r w:rsidRPr="00541E5C">
              <w:rPr>
                <w:rFonts w:ascii="Book Antiqua" w:eastAsia="Times New Roman" w:hAnsi="Book Antiqua" w:cs="Calibri Light"/>
                <w:color w:val="000000"/>
                <w:sz w:val="16"/>
                <w:szCs w:val="16"/>
                <w:lang w:eastAsia="es-CR"/>
              </w:rPr>
              <w:br/>
              <w:t>359553</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47B0E7"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Cantidad de actividades administrativas registradas de las sedes administrativas total de 65.000 meta mensual.</w:t>
            </w:r>
          </w:p>
        </w:tc>
        <w:tc>
          <w:tcPr>
            <w:tcW w:w="1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5A2BD1" w14:textId="77777777" w:rsidR="00541E5C" w:rsidRPr="00541E5C" w:rsidRDefault="00541E5C" w:rsidP="00413346">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 xml:space="preserve">Las cargas laborales en las sedes del Organismo de Investigación Judicial tanto en lo administrativo como en lo investigativo están relacionadas, pues ambas son codependientes entre sí. De las oficinas involucradas en este proyecto se logra observar que: no logran confeccionar el informe final durante el tiempo recomendable, tampoco actualizar libros informáticos de control, lo que aumenta el rezago, y repercute de forma negativa en la toma de decisiones oportuna, así como en el servicio brindado a las distintas oficinas y personas usuarias. Este accionar afecta la imagen y la confianza en la institución, incumpliendo con el principio de justicia </w:t>
            </w:r>
            <w:r w:rsidRPr="00541E5C">
              <w:rPr>
                <w:rFonts w:ascii="Book Antiqua" w:eastAsia="Times New Roman" w:hAnsi="Book Antiqua" w:cs="Calibri Light"/>
                <w:color w:val="000000"/>
                <w:sz w:val="16"/>
                <w:szCs w:val="16"/>
                <w:lang w:eastAsia="es-CR"/>
              </w:rPr>
              <w:lastRenderedPageBreak/>
              <w:t xml:space="preserve">pronta y cumplida. </w:t>
            </w:r>
            <w:r w:rsidRPr="00541E5C">
              <w:rPr>
                <w:rFonts w:ascii="Book Antiqua" w:eastAsia="Times New Roman" w:hAnsi="Book Antiqua" w:cs="Calibri Light"/>
                <w:color w:val="000000"/>
                <w:sz w:val="16"/>
                <w:szCs w:val="16"/>
                <w:lang w:eastAsia="es-CR"/>
              </w:rPr>
              <w:br/>
              <w:t>El propósito está orientado en incorporar un puesto administrativo y de técnico especializado adicional, con el fin de agilizar los controles administrativos y brindar más espacio a la investigación de las denuncias o casos, mejorando así el servicio a la comunidad</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4FB69C" w14:textId="2301948C" w:rsidR="00541E5C" w:rsidRPr="00541E5C" w:rsidRDefault="00541E5C" w:rsidP="00413346">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lastRenderedPageBreak/>
              <w:t xml:space="preserve">Aumento del tiempo disponible de investigación </w:t>
            </w:r>
            <w:r w:rsidRPr="00541E5C">
              <w:rPr>
                <w:rFonts w:ascii="Book Antiqua" w:eastAsia="Times New Roman" w:hAnsi="Book Antiqua" w:cs="Calibri Light"/>
                <w:color w:val="000000"/>
                <w:sz w:val="16"/>
                <w:szCs w:val="16"/>
                <w:lang w:eastAsia="es-CR"/>
              </w:rPr>
              <w:br/>
              <w:t xml:space="preserve">• Se logra contabilizar la cantidad de tareas atendidas </w:t>
            </w:r>
            <w:r w:rsidRPr="00541E5C">
              <w:rPr>
                <w:rFonts w:ascii="Book Antiqua" w:eastAsia="Times New Roman" w:hAnsi="Book Antiqua" w:cs="Calibri Light"/>
                <w:color w:val="000000"/>
                <w:sz w:val="16"/>
                <w:szCs w:val="16"/>
                <w:lang w:eastAsia="es-CR"/>
              </w:rPr>
              <w:br/>
              <w:t xml:space="preserve">• Se cuenta con personal para la atención de asuntos administrativos </w:t>
            </w:r>
            <w:r w:rsidRPr="00541E5C">
              <w:rPr>
                <w:rFonts w:ascii="Book Antiqua" w:eastAsia="Times New Roman" w:hAnsi="Book Antiqua" w:cs="Calibri Light"/>
                <w:color w:val="000000"/>
                <w:sz w:val="16"/>
                <w:szCs w:val="16"/>
                <w:lang w:eastAsia="es-CR"/>
              </w:rPr>
              <w:br/>
              <w:t xml:space="preserve">• Se cuenta con tiempos estándar de diversas tareas administrativas información gerencial actualizada </w:t>
            </w:r>
            <w:r w:rsidRPr="00541E5C">
              <w:rPr>
                <w:rFonts w:ascii="Book Antiqua" w:eastAsia="Times New Roman" w:hAnsi="Book Antiqua" w:cs="Calibri Light"/>
                <w:color w:val="000000"/>
                <w:sz w:val="16"/>
                <w:szCs w:val="16"/>
                <w:lang w:eastAsia="es-CR"/>
              </w:rPr>
              <w:br/>
              <w:t>• Transparencia, Rendición de Cuentas y Evaluación del Desempeño con datos al día, sin atrasos.</w:t>
            </w:r>
          </w:p>
        </w:tc>
      </w:tr>
      <w:tr w:rsidR="00345896" w:rsidRPr="00541E5C" w14:paraId="286A5E3D" w14:textId="77777777" w:rsidTr="00EF4E17">
        <w:trPr>
          <w:trHeight w:val="520"/>
        </w:trPr>
        <w:tc>
          <w:tcPr>
            <w:tcW w:w="835" w:type="dxa"/>
            <w:gridSpan w:val="2"/>
            <w:vMerge/>
            <w:tcBorders>
              <w:top w:val="single" w:sz="4" w:space="0" w:color="auto"/>
              <w:left w:val="single" w:sz="4" w:space="0" w:color="auto"/>
              <w:bottom w:val="single" w:sz="4" w:space="0" w:color="auto"/>
              <w:right w:val="single" w:sz="4" w:space="0" w:color="auto"/>
            </w:tcBorders>
            <w:vAlign w:val="center"/>
            <w:hideMark/>
          </w:tcPr>
          <w:p w14:paraId="5723FC63"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1A965428"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p>
        </w:tc>
        <w:tc>
          <w:tcPr>
            <w:tcW w:w="1234" w:type="dxa"/>
            <w:vMerge/>
            <w:tcBorders>
              <w:top w:val="single" w:sz="4" w:space="0" w:color="auto"/>
              <w:left w:val="single" w:sz="4" w:space="0" w:color="auto"/>
              <w:bottom w:val="single" w:sz="4" w:space="0" w:color="auto"/>
              <w:right w:val="single" w:sz="4" w:space="0" w:color="auto"/>
            </w:tcBorders>
            <w:vAlign w:val="center"/>
            <w:hideMark/>
          </w:tcPr>
          <w:p w14:paraId="1427557B"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44070615"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14:paraId="5C812885"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p>
        </w:tc>
        <w:tc>
          <w:tcPr>
            <w:tcW w:w="816" w:type="dxa"/>
            <w:vMerge/>
            <w:tcBorders>
              <w:top w:val="single" w:sz="4" w:space="0" w:color="auto"/>
              <w:left w:val="single" w:sz="4" w:space="0" w:color="auto"/>
              <w:bottom w:val="single" w:sz="4" w:space="0" w:color="auto"/>
              <w:right w:val="single" w:sz="4" w:space="0" w:color="auto"/>
            </w:tcBorders>
            <w:vAlign w:val="center"/>
            <w:hideMark/>
          </w:tcPr>
          <w:p w14:paraId="61FC6ECD"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p>
        </w:tc>
        <w:tc>
          <w:tcPr>
            <w:tcW w:w="1588" w:type="dxa"/>
            <w:vMerge/>
            <w:tcBorders>
              <w:top w:val="single" w:sz="4" w:space="0" w:color="auto"/>
              <w:left w:val="single" w:sz="4" w:space="0" w:color="auto"/>
              <w:bottom w:val="single" w:sz="4" w:space="0" w:color="auto"/>
              <w:right w:val="single" w:sz="4" w:space="0" w:color="auto"/>
            </w:tcBorders>
            <w:vAlign w:val="center"/>
            <w:hideMark/>
          </w:tcPr>
          <w:p w14:paraId="2C338B4F"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0743190"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149E2F51"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1389ED47"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14:paraId="2D606EC6"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p>
        </w:tc>
        <w:tc>
          <w:tcPr>
            <w:tcW w:w="195" w:type="dxa"/>
            <w:gridSpan w:val="2"/>
            <w:tcBorders>
              <w:top w:val="nil"/>
              <w:left w:val="single" w:sz="4" w:space="0" w:color="auto"/>
              <w:bottom w:val="nil"/>
              <w:right w:val="nil"/>
            </w:tcBorders>
            <w:shd w:val="clear" w:color="auto" w:fill="auto"/>
            <w:noWrap/>
            <w:vAlign w:val="center"/>
            <w:hideMark/>
          </w:tcPr>
          <w:p w14:paraId="67865B53"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p>
        </w:tc>
      </w:tr>
      <w:tr w:rsidR="00EF4E17" w:rsidRPr="00541E5C" w14:paraId="4F2E371A" w14:textId="77777777" w:rsidTr="00EF4E17">
        <w:trPr>
          <w:trHeight w:val="520"/>
        </w:trPr>
        <w:tc>
          <w:tcPr>
            <w:tcW w:w="835" w:type="dxa"/>
            <w:gridSpan w:val="2"/>
            <w:vMerge/>
            <w:tcBorders>
              <w:top w:val="single" w:sz="4" w:space="0" w:color="auto"/>
              <w:left w:val="single" w:sz="4" w:space="0" w:color="auto"/>
              <w:bottom w:val="single" w:sz="4" w:space="0" w:color="auto"/>
              <w:right w:val="single" w:sz="4" w:space="0" w:color="auto"/>
            </w:tcBorders>
            <w:vAlign w:val="center"/>
            <w:hideMark/>
          </w:tcPr>
          <w:p w14:paraId="13AE10E5"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17CAE6A7"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p>
        </w:tc>
        <w:tc>
          <w:tcPr>
            <w:tcW w:w="1234" w:type="dxa"/>
            <w:vMerge/>
            <w:tcBorders>
              <w:top w:val="single" w:sz="4" w:space="0" w:color="auto"/>
              <w:left w:val="single" w:sz="4" w:space="0" w:color="auto"/>
              <w:bottom w:val="single" w:sz="4" w:space="0" w:color="auto"/>
              <w:right w:val="single" w:sz="4" w:space="0" w:color="auto"/>
            </w:tcBorders>
            <w:vAlign w:val="center"/>
            <w:hideMark/>
          </w:tcPr>
          <w:p w14:paraId="5DFF56C1"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27B00BE6"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14:paraId="27C52B9B"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p>
        </w:tc>
        <w:tc>
          <w:tcPr>
            <w:tcW w:w="816" w:type="dxa"/>
            <w:vMerge/>
            <w:tcBorders>
              <w:top w:val="single" w:sz="4" w:space="0" w:color="auto"/>
              <w:left w:val="single" w:sz="4" w:space="0" w:color="auto"/>
              <w:bottom w:val="single" w:sz="4" w:space="0" w:color="auto"/>
              <w:right w:val="single" w:sz="4" w:space="0" w:color="auto"/>
            </w:tcBorders>
            <w:vAlign w:val="center"/>
            <w:hideMark/>
          </w:tcPr>
          <w:p w14:paraId="5226A3DD"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p>
        </w:tc>
        <w:tc>
          <w:tcPr>
            <w:tcW w:w="1588" w:type="dxa"/>
            <w:vMerge/>
            <w:tcBorders>
              <w:top w:val="single" w:sz="4" w:space="0" w:color="auto"/>
              <w:left w:val="single" w:sz="4" w:space="0" w:color="auto"/>
              <w:bottom w:val="single" w:sz="4" w:space="0" w:color="auto"/>
              <w:right w:val="single" w:sz="4" w:space="0" w:color="auto"/>
            </w:tcBorders>
            <w:vAlign w:val="center"/>
            <w:hideMark/>
          </w:tcPr>
          <w:p w14:paraId="2F6924DC"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FB7E203"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7C6681FA"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03953B73"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14:paraId="0F166659" w14:textId="77777777" w:rsidR="00541E5C" w:rsidRPr="00541E5C" w:rsidRDefault="00541E5C" w:rsidP="00541E5C">
            <w:pPr>
              <w:spacing w:after="0" w:line="240" w:lineRule="auto"/>
              <w:jc w:val="center"/>
              <w:rPr>
                <w:rFonts w:ascii="Book Antiqua" w:eastAsia="Times New Roman" w:hAnsi="Book Antiqua" w:cs="Calibri Light"/>
                <w:color w:val="000000"/>
                <w:sz w:val="16"/>
                <w:szCs w:val="16"/>
                <w:lang w:eastAsia="es-CR"/>
              </w:rPr>
            </w:pPr>
          </w:p>
        </w:tc>
        <w:tc>
          <w:tcPr>
            <w:tcW w:w="195" w:type="dxa"/>
            <w:gridSpan w:val="2"/>
            <w:tcBorders>
              <w:top w:val="nil"/>
              <w:left w:val="single" w:sz="4" w:space="0" w:color="auto"/>
              <w:bottom w:val="nil"/>
              <w:right w:val="nil"/>
            </w:tcBorders>
            <w:shd w:val="clear" w:color="auto" w:fill="auto"/>
            <w:noWrap/>
            <w:vAlign w:val="center"/>
            <w:hideMark/>
          </w:tcPr>
          <w:p w14:paraId="69612751" w14:textId="77777777" w:rsidR="00541E5C" w:rsidRPr="00541E5C" w:rsidRDefault="00541E5C" w:rsidP="00541E5C">
            <w:pPr>
              <w:spacing w:after="0" w:line="240" w:lineRule="auto"/>
              <w:jc w:val="center"/>
              <w:rPr>
                <w:rFonts w:ascii="Book Antiqua" w:eastAsia="Times New Roman" w:hAnsi="Book Antiqua" w:cs="Times New Roman"/>
                <w:sz w:val="16"/>
                <w:szCs w:val="16"/>
                <w:lang w:eastAsia="es-CR"/>
              </w:rPr>
            </w:pPr>
          </w:p>
        </w:tc>
      </w:tr>
      <w:tr w:rsidR="0086493B" w:rsidRPr="00541E5C" w14:paraId="73BE16FB" w14:textId="77777777" w:rsidTr="00EF4E17">
        <w:trPr>
          <w:trHeight w:val="520"/>
        </w:trPr>
        <w:tc>
          <w:tcPr>
            <w:tcW w:w="835" w:type="dxa"/>
            <w:gridSpan w:val="2"/>
            <w:tcBorders>
              <w:top w:val="single" w:sz="4" w:space="0" w:color="auto"/>
              <w:left w:val="single" w:sz="4" w:space="0" w:color="auto"/>
              <w:bottom w:val="nil"/>
              <w:right w:val="single" w:sz="4" w:space="0" w:color="auto"/>
            </w:tcBorders>
            <w:shd w:val="clear" w:color="auto" w:fill="auto"/>
            <w:vAlign w:val="center"/>
            <w:hideMark/>
          </w:tcPr>
          <w:p w14:paraId="3B04B0C5"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1167-OIJ-P28</w:t>
            </w:r>
          </w:p>
        </w:tc>
        <w:tc>
          <w:tcPr>
            <w:tcW w:w="1425" w:type="dxa"/>
            <w:tcBorders>
              <w:top w:val="single" w:sz="4" w:space="0" w:color="auto"/>
              <w:left w:val="nil"/>
              <w:bottom w:val="nil"/>
              <w:right w:val="single" w:sz="4" w:space="0" w:color="auto"/>
            </w:tcBorders>
            <w:shd w:val="clear" w:color="auto" w:fill="auto"/>
            <w:vAlign w:val="center"/>
            <w:hideMark/>
          </w:tcPr>
          <w:p w14:paraId="3DFE449E"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Mejoramiento de la eficiencia de la plataforma administrativa de las Sedes Regionales del Organismo de Investigación Judicial 2021</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5E9B2D13"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928 Organismo de Investigación Judicial</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14:paraId="021D1D47"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Organismo de Investigación Judicial</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14:paraId="31F8EB6F"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Oficina de Planes y Operaciones</w:t>
            </w:r>
          </w:p>
        </w:tc>
        <w:tc>
          <w:tcPr>
            <w:tcW w:w="816" w:type="dxa"/>
            <w:tcBorders>
              <w:top w:val="single" w:sz="4" w:space="0" w:color="auto"/>
              <w:left w:val="nil"/>
              <w:bottom w:val="single" w:sz="4" w:space="0" w:color="auto"/>
              <w:right w:val="single" w:sz="4" w:space="0" w:color="auto"/>
            </w:tcBorders>
            <w:shd w:val="clear" w:color="auto" w:fill="auto"/>
            <w:vAlign w:val="center"/>
            <w:hideMark/>
          </w:tcPr>
          <w:p w14:paraId="356CD579"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1</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2B464CC3"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AUXILIAR ADMINISTRATIVO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FBAB75"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99652</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14:paraId="4BED8072"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Cantidad de actividades administrativas registradas de las sedes administrativas total de 65.000 meta mensual.</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14:paraId="71656031"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 xml:space="preserve">Las cargas laborales en las sedes del Organismo de Investigación Judicial tanto en lo administrativo como en lo investigativo están relacionadas, pues ambas son codependientes entre sí. De las oficinas involucradas en este proyecto se logra observar que: no logran confeccionar el informe final durante el tiempo recomendable, tampoco actualizar libros informáticos de control, lo que aumenta el rezago, y </w:t>
            </w:r>
            <w:r w:rsidRPr="00541E5C">
              <w:rPr>
                <w:rFonts w:ascii="Book Antiqua" w:eastAsia="Times New Roman" w:hAnsi="Book Antiqua" w:cs="Calibri Light"/>
                <w:color w:val="000000"/>
                <w:sz w:val="16"/>
                <w:szCs w:val="16"/>
                <w:lang w:eastAsia="es-CR"/>
              </w:rPr>
              <w:lastRenderedPageBreak/>
              <w:t xml:space="preserve">repercute de forma negativa en la toma de decisiones oportuna, así como en el servicio brindado a las distintas oficinas y personas usuarias. Este accionar afecta la imagen y la confianza en la institución, incumpliendo con el principio de justicia pronta y cumplida. </w:t>
            </w:r>
            <w:r w:rsidRPr="00541E5C">
              <w:rPr>
                <w:rFonts w:ascii="Book Antiqua" w:eastAsia="Times New Roman" w:hAnsi="Book Antiqua" w:cs="Calibri Light"/>
                <w:color w:val="000000"/>
                <w:sz w:val="16"/>
                <w:szCs w:val="16"/>
                <w:lang w:eastAsia="es-CR"/>
              </w:rPr>
              <w:br/>
              <w:t>El propósito está orientado en incorporar un puesto administrativo y de técnico especializado adicional, con el fin de agilizar los controles administrativos y brindar más espacio a la investigación de las denuncias o casos, mejorando así el servicio a la comunidad</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14:paraId="59281C47" w14:textId="0EAC80CD"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lastRenderedPageBreak/>
              <w:t xml:space="preserve">Aumento del tiempo disponible de investigación </w:t>
            </w:r>
            <w:r w:rsidRPr="00541E5C">
              <w:rPr>
                <w:rFonts w:ascii="Book Antiqua" w:eastAsia="Times New Roman" w:hAnsi="Book Antiqua" w:cs="Calibri Light"/>
                <w:color w:val="000000"/>
                <w:sz w:val="16"/>
                <w:szCs w:val="16"/>
                <w:lang w:eastAsia="es-CR"/>
              </w:rPr>
              <w:br/>
              <w:t xml:space="preserve">• Se logra contabilizar la cantidad de tareas atendidas </w:t>
            </w:r>
            <w:r w:rsidRPr="00541E5C">
              <w:rPr>
                <w:rFonts w:ascii="Book Antiqua" w:eastAsia="Times New Roman" w:hAnsi="Book Antiqua" w:cs="Calibri Light"/>
                <w:color w:val="000000"/>
                <w:sz w:val="16"/>
                <w:szCs w:val="16"/>
                <w:lang w:eastAsia="es-CR"/>
              </w:rPr>
              <w:br/>
              <w:t xml:space="preserve">• Se cuenta con personal para la atención de asuntos administrativos </w:t>
            </w:r>
            <w:r w:rsidRPr="00541E5C">
              <w:rPr>
                <w:rFonts w:ascii="Book Antiqua" w:eastAsia="Times New Roman" w:hAnsi="Book Antiqua" w:cs="Calibri Light"/>
                <w:color w:val="000000"/>
                <w:sz w:val="16"/>
                <w:szCs w:val="16"/>
                <w:lang w:eastAsia="es-CR"/>
              </w:rPr>
              <w:br/>
              <w:t xml:space="preserve">• Se cuenta con tiempos estándar de diversas tareas administrativas información gerencial actualizada </w:t>
            </w:r>
            <w:r w:rsidRPr="00541E5C">
              <w:rPr>
                <w:rFonts w:ascii="Book Antiqua" w:eastAsia="Times New Roman" w:hAnsi="Book Antiqua" w:cs="Calibri Light"/>
                <w:color w:val="000000"/>
                <w:sz w:val="16"/>
                <w:szCs w:val="16"/>
                <w:lang w:eastAsia="es-CR"/>
              </w:rPr>
              <w:br/>
              <w:t>• Transparencia, Rendición de Cuentas y Evaluación del Desempeño con datos al día, sin atrasos.</w:t>
            </w:r>
          </w:p>
        </w:tc>
        <w:tc>
          <w:tcPr>
            <w:tcW w:w="195" w:type="dxa"/>
            <w:gridSpan w:val="2"/>
            <w:vAlign w:val="center"/>
            <w:hideMark/>
          </w:tcPr>
          <w:p w14:paraId="72D1BFF5" w14:textId="77777777" w:rsidR="00541E5C" w:rsidRPr="00541E5C" w:rsidRDefault="00541E5C" w:rsidP="00541E5C">
            <w:pPr>
              <w:spacing w:after="0" w:line="240" w:lineRule="auto"/>
              <w:jc w:val="center"/>
              <w:rPr>
                <w:rFonts w:ascii="Book Antiqua" w:eastAsia="Times New Roman" w:hAnsi="Book Antiqua" w:cs="Times New Roman"/>
                <w:sz w:val="16"/>
                <w:szCs w:val="16"/>
                <w:lang w:eastAsia="es-CR"/>
              </w:rPr>
            </w:pPr>
          </w:p>
        </w:tc>
      </w:tr>
      <w:tr w:rsidR="0086493B" w:rsidRPr="00541E5C" w14:paraId="0774020B" w14:textId="77777777" w:rsidTr="00EF4E17">
        <w:trPr>
          <w:trHeight w:val="520"/>
        </w:trPr>
        <w:tc>
          <w:tcPr>
            <w:tcW w:w="835" w:type="dxa"/>
            <w:gridSpan w:val="2"/>
            <w:tcBorders>
              <w:top w:val="single" w:sz="4" w:space="0" w:color="auto"/>
              <w:left w:val="single" w:sz="4" w:space="0" w:color="auto"/>
              <w:bottom w:val="nil"/>
              <w:right w:val="single" w:sz="4" w:space="0" w:color="auto"/>
            </w:tcBorders>
            <w:shd w:val="clear" w:color="auto" w:fill="auto"/>
            <w:vAlign w:val="center"/>
            <w:hideMark/>
          </w:tcPr>
          <w:p w14:paraId="5E849A7C"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1167-OIJ-P28</w:t>
            </w:r>
          </w:p>
        </w:tc>
        <w:tc>
          <w:tcPr>
            <w:tcW w:w="1425" w:type="dxa"/>
            <w:tcBorders>
              <w:top w:val="single" w:sz="4" w:space="0" w:color="auto"/>
              <w:left w:val="nil"/>
              <w:bottom w:val="nil"/>
              <w:right w:val="single" w:sz="4" w:space="0" w:color="auto"/>
            </w:tcBorders>
            <w:shd w:val="clear" w:color="auto" w:fill="auto"/>
            <w:vAlign w:val="center"/>
            <w:hideMark/>
          </w:tcPr>
          <w:p w14:paraId="20277844"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Mejoramiento de la eficiencia de la plataforma administrativa de las Sedes Regionales del Organismo de Investigación Judicial 2021</w:t>
            </w:r>
          </w:p>
        </w:tc>
        <w:tc>
          <w:tcPr>
            <w:tcW w:w="1234" w:type="dxa"/>
            <w:tcBorders>
              <w:top w:val="single" w:sz="4" w:space="0" w:color="auto"/>
              <w:left w:val="nil"/>
              <w:bottom w:val="nil"/>
              <w:right w:val="single" w:sz="4" w:space="0" w:color="auto"/>
            </w:tcBorders>
            <w:shd w:val="clear" w:color="auto" w:fill="auto"/>
            <w:vAlign w:val="center"/>
            <w:hideMark/>
          </w:tcPr>
          <w:p w14:paraId="253D8DCA"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928 Organismo de Investigación Judicial</w:t>
            </w:r>
          </w:p>
        </w:tc>
        <w:tc>
          <w:tcPr>
            <w:tcW w:w="1376" w:type="dxa"/>
            <w:tcBorders>
              <w:top w:val="single" w:sz="4" w:space="0" w:color="auto"/>
              <w:left w:val="nil"/>
              <w:bottom w:val="nil"/>
              <w:right w:val="single" w:sz="4" w:space="0" w:color="auto"/>
            </w:tcBorders>
            <w:shd w:val="clear" w:color="auto" w:fill="auto"/>
            <w:vAlign w:val="center"/>
            <w:hideMark/>
          </w:tcPr>
          <w:p w14:paraId="457543FE"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Organismo de Investigación Judicial</w:t>
            </w:r>
          </w:p>
        </w:tc>
        <w:tc>
          <w:tcPr>
            <w:tcW w:w="1025" w:type="dxa"/>
            <w:tcBorders>
              <w:top w:val="single" w:sz="4" w:space="0" w:color="auto"/>
              <w:left w:val="nil"/>
              <w:bottom w:val="nil"/>
              <w:right w:val="single" w:sz="4" w:space="0" w:color="auto"/>
            </w:tcBorders>
            <w:shd w:val="clear" w:color="auto" w:fill="auto"/>
            <w:vAlign w:val="center"/>
            <w:hideMark/>
          </w:tcPr>
          <w:p w14:paraId="3EBE374C"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Oficina de Planes y Operaciones</w:t>
            </w:r>
          </w:p>
        </w:tc>
        <w:tc>
          <w:tcPr>
            <w:tcW w:w="816" w:type="dxa"/>
            <w:tcBorders>
              <w:top w:val="single" w:sz="4" w:space="0" w:color="auto"/>
              <w:left w:val="nil"/>
              <w:bottom w:val="single" w:sz="4" w:space="0" w:color="auto"/>
              <w:right w:val="single" w:sz="4" w:space="0" w:color="auto"/>
            </w:tcBorders>
            <w:shd w:val="clear" w:color="auto" w:fill="auto"/>
            <w:vAlign w:val="center"/>
            <w:hideMark/>
          </w:tcPr>
          <w:p w14:paraId="225C3827"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1</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46E2E5F7"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ASISTENTE ADMINISTRATIVO 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99D1E9C"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6358</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14:paraId="6BABED08"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Cantidad de actividades administrativas registradas de las sedes administrativas total de 65.000 meta mensual.</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14:paraId="3DB14C1C"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 xml:space="preserve">Las cargas laborales en las sedes del Organismo de Investigación Judicial tanto en lo administrativo como en lo investigativo están relacionadas, pues ambas son codependientes entre </w:t>
            </w:r>
            <w:r w:rsidRPr="00541E5C">
              <w:rPr>
                <w:rFonts w:ascii="Book Antiqua" w:eastAsia="Times New Roman" w:hAnsi="Book Antiqua" w:cs="Calibri Light"/>
                <w:color w:val="000000"/>
                <w:sz w:val="16"/>
                <w:szCs w:val="16"/>
                <w:lang w:eastAsia="es-CR"/>
              </w:rPr>
              <w:lastRenderedPageBreak/>
              <w:t xml:space="preserve">sí. De las oficinas involucradas en este proyecto se logra observar que: no logran confeccionar el informe final durante el tiempo recomendable, tampoco actualizar libros informáticos de control, lo que aumenta el rezago, y repercute de forma negativa en la toma de decisiones oportuna, así como en el servicio brindado a las distintas oficinas y personas usuarias. Este accionar afecta la imagen y la confianza en la institución, incumpliendo con el principio de justicia pronta y cumplida. </w:t>
            </w:r>
            <w:r w:rsidRPr="00541E5C">
              <w:rPr>
                <w:rFonts w:ascii="Book Antiqua" w:eastAsia="Times New Roman" w:hAnsi="Book Antiqua" w:cs="Calibri Light"/>
                <w:color w:val="000000"/>
                <w:sz w:val="16"/>
                <w:szCs w:val="16"/>
                <w:lang w:eastAsia="es-CR"/>
              </w:rPr>
              <w:br/>
              <w:t xml:space="preserve">El propósito está orientado en incorporar un puesto administrativo y de técnico especializado adicional, con el fin de agilizar los controles administrativos y brindar más espacio a la investigación de las denuncias o casos, mejorando así el </w:t>
            </w:r>
            <w:r w:rsidRPr="00541E5C">
              <w:rPr>
                <w:rFonts w:ascii="Book Antiqua" w:eastAsia="Times New Roman" w:hAnsi="Book Antiqua" w:cs="Calibri Light"/>
                <w:color w:val="000000"/>
                <w:sz w:val="16"/>
                <w:szCs w:val="16"/>
                <w:lang w:eastAsia="es-CR"/>
              </w:rPr>
              <w:lastRenderedPageBreak/>
              <w:t>servicio a la comunidad</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14:paraId="55C19FEB" w14:textId="0AD5E5F5"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lastRenderedPageBreak/>
              <w:t xml:space="preserve">Aumento del tiempo disponible de investigación </w:t>
            </w:r>
            <w:r w:rsidRPr="00541E5C">
              <w:rPr>
                <w:rFonts w:ascii="Book Antiqua" w:eastAsia="Times New Roman" w:hAnsi="Book Antiqua" w:cs="Calibri Light"/>
                <w:color w:val="000000"/>
                <w:sz w:val="16"/>
                <w:szCs w:val="16"/>
                <w:lang w:eastAsia="es-CR"/>
              </w:rPr>
              <w:br/>
              <w:t xml:space="preserve">• Se logra contabilizar la cantidad de tareas atendidas </w:t>
            </w:r>
            <w:r w:rsidRPr="00541E5C">
              <w:rPr>
                <w:rFonts w:ascii="Book Antiqua" w:eastAsia="Times New Roman" w:hAnsi="Book Antiqua" w:cs="Calibri Light"/>
                <w:color w:val="000000"/>
                <w:sz w:val="16"/>
                <w:szCs w:val="16"/>
                <w:lang w:eastAsia="es-CR"/>
              </w:rPr>
              <w:br/>
              <w:t xml:space="preserve">• Se cuenta con personal para la atención de asuntos administrativos </w:t>
            </w:r>
            <w:r w:rsidRPr="00541E5C">
              <w:rPr>
                <w:rFonts w:ascii="Book Antiqua" w:eastAsia="Times New Roman" w:hAnsi="Book Antiqua" w:cs="Calibri Light"/>
                <w:color w:val="000000"/>
                <w:sz w:val="16"/>
                <w:szCs w:val="16"/>
                <w:lang w:eastAsia="es-CR"/>
              </w:rPr>
              <w:br/>
            </w:r>
            <w:r w:rsidRPr="00541E5C">
              <w:rPr>
                <w:rFonts w:ascii="Book Antiqua" w:eastAsia="Times New Roman" w:hAnsi="Book Antiqua" w:cs="Calibri Light"/>
                <w:color w:val="000000"/>
                <w:sz w:val="16"/>
                <w:szCs w:val="16"/>
                <w:lang w:eastAsia="es-CR"/>
              </w:rPr>
              <w:lastRenderedPageBreak/>
              <w:t xml:space="preserve">• Se cuenta con tiempos estándar de diversas tareas administrativas información gerencial actualizada </w:t>
            </w:r>
            <w:r w:rsidRPr="00541E5C">
              <w:rPr>
                <w:rFonts w:ascii="Book Antiqua" w:eastAsia="Times New Roman" w:hAnsi="Book Antiqua" w:cs="Calibri Light"/>
                <w:color w:val="000000"/>
                <w:sz w:val="16"/>
                <w:szCs w:val="16"/>
                <w:lang w:eastAsia="es-CR"/>
              </w:rPr>
              <w:br/>
              <w:t>• Transparencia, Rendición de Cuentas y Evaluación del Desempeño con datos al día, sin atrasos.</w:t>
            </w:r>
          </w:p>
        </w:tc>
        <w:tc>
          <w:tcPr>
            <w:tcW w:w="195" w:type="dxa"/>
            <w:gridSpan w:val="2"/>
            <w:vAlign w:val="center"/>
            <w:hideMark/>
          </w:tcPr>
          <w:p w14:paraId="0020DABC" w14:textId="77777777" w:rsidR="00541E5C" w:rsidRPr="00541E5C" w:rsidRDefault="00541E5C" w:rsidP="00541E5C">
            <w:pPr>
              <w:spacing w:after="0" w:line="240" w:lineRule="auto"/>
              <w:jc w:val="center"/>
              <w:rPr>
                <w:rFonts w:ascii="Book Antiqua" w:eastAsia="Times New Roman" w:hAnsi="Book Antiqua" w:cs="Times New Roman"/>
                <w:sz w:val="16"/>
                <w:szCs w:val="16"/>
                <w:lang w:eastAsia="es-CR"/>
              </w:rPr>
            </w:pPr>
          </w:p>
        </w:tc>
      </w:tr>
      <w:tr w:rsidR="0086493B" w:rsidRPr="00541E5C" w14:paraId="7FA18877" w14:textId="77777777" w:rsidTr="00EF4E17">
        <w:trPr>
          <w:trHeight w:val="520"/>
        </w:trPr>
        <w:tc>
          <w:tcPr>
            <w:tcW w:w="835" w:type="dxa"/>
            <w:gridSpan w:val="2"/>
            <w:tcBorders>
              <w:top w:val="single" w:sz="4" w:space="0" w:color="auto"/>
              <w:left w:val="single" w:sz="4" w:space="0" w:color="auto"/>
              <w:bottom w:val="nil"/>
              <w:right w:val="single" w:sz="4" w:space="0" w:color="auto"/>
            </w:tcBorders>
            <w:shd w:val="clear" w:color="auto" w:fill="auto"/>
            <w:vAlign w:val="center"/>
            <w:hideMark/>
          </w:tcPr>
          <w:p w14:paraId="087F05C4"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lastRenderedPageBreak/>
              <w:t>1167-OIJ-P28</w:t>
            </w:r>
          </w:p>
        </w:tc>
        <w:tc>
          <w:tcPr>
            <w:tcW w:w="1425" w:type="dxa"/>
            <w:tcBorders>
              <w:top w:val="single" w:sz="4" w:space="0" w:color="auto"/>
              <w:left w:val="nil"/>
              <w:bottom w:val="nil"/>
              <w:right w:val="single" w:sz="4" w:space="0" w:color="auto"/>
            </w:tcBorders>
            <w:shd w:val="clear" w:color="auto" w:fill="auto"/>
            <w:vAlign w:val="center"/>
            <w:hideMark/>
          </w:tcPr>
          <w:p w14:paraId="0C0CE0AD"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Mejoramiento de la eficiencia de la plataforma administrativa de las Sedes Regionales del Organismo de Investigación Judicial 2021</w:t>
            </w:r>
          </w:p>
        </w:tc>
        <w:tc>
          <w:tcPr>
            <w:tcW w:w="1234" w:type="dxa"/>
            <w:tcBorders>
              <w:top w:val="single" w:sz="4" w:space="0" w:color="auto"/>
              <w:left w:val="nil"/>
              <w:bottom w:val="nil"/>
              <w:right w:val="single" w:sz="4" w:space="0" w:color="auto"/>
            </w:tcBorders>
            <w:shd w:val="clear" w:color="auto" w:fill="auto"/>
            <w:vAlign w:val="center"/>
            <w:hideMark/>
          </w:tcPr>
          <w:p w14:paraId="65140512"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928 Organismo de Investigación Judicial</w:t>
            </w:r>
          </w:p>
        </w:tc>
        <w:tc>
          <w:tcPr>
            <w:tcW w:w="1376" w:type="dxa"/>
            <w:tcBorders>
              <w:top w:val="single" w:sz="4" w:space="0" w:color="auto"/>
              <w:left w:val="nil"/>
              <w:bottom w:val="nil"/>
              <w:right w:val="single" w:sz="4" w:space="0" w:color="auto"/>
            </w:tcBorders>
            <w:shd w:val="clear" w:color="auto" w:fill="auto"/>
            <w:vAlign w:val="center"/>
            <w:hideMark/>
          </w:tcPr>
          <w:p w14:paraId="4C136DA1"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Organismo de Investigación Judicial</w:t>
            </w:r>
          </w:p>
        </w:tc>
        <w:tc>
          <w:tcPr>
            <w:tcW w:w="1025" w:type="dxa"/>
            <w:tcBorders>
              <w:top w:val="single" w:sz="4" w:space="0" w:color="auto"/>
              <w:left w:val="nil"/>
              <w:bottom w:val="nil"/>
              <w:right w:val="single" w:sz="4" w:space="0" w:color="auto"/>
            </w:tcBorders>
            <w:shd w:val="clear" w:color="auto" w:fill="auto"/>
            <w:vAlign w:val="center"/>
            <w:hideMark/>
          </w:tcPr>
          <w:p w14:paraId="20618BD6"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Oficina de Planes y Operaciones</w:t>
            </w:r>
          </w:p>
        </w:tc>
        <w:tc>
          <w:tcPr>
            <w:tcW w:w="816" w:type="dxa"/>
            <w:tcBorders>
              <w:top w:val="nil"/>
              <w:left w:val="nil"/>
              <w:bottom w:val="single" w:sz="4" w:space="0" w:color="auto"/>
              <w:right w:val="single" w:sz="4" w:space="0" w:color="auto"/>
            </w:tcBorders>
            <w:shd w:val="clear" w:color="auto" w:fill="auto"/>
            <w:vAlign w:val="center"/>
            <w:hideMark/>
          </w:tcPr>
          <w:p w14:paraId="593E5C1E"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1</w:t>
            </w:r>
          </w:p>
        </w:tc>
        <w:tc>
          <w:tcPr>
            <w:tcW w:w="1588" w:type="dxa"/>
            <w:tcBorders>
              <w:top w:val="nil"/>
              <w:left w:val="nil"/>
              <w:bottom w:val="single" w:sz="4" w:space="0" w:color="auto"/>
              <w:right w:val="single" w:sz="4" w:space="0" w:color="auto"/>
            </w:tcBorders>
            <w:shd w:val="clear" w:color="auto" w:fill="auto"/>
            <w:vAlign w:val="center"/>
            <w:hideMark/>
          </w:tcPr>
          <w:p w14:paraId="4860E0C3"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AUXILIAR DE SERVICIOS GENERALES 2</w:t>
            </w:r>
          </w:p>
        </w:tc>
        <w:tc>
          <w:tcPr>
            <w:tcW w:w="850" w:type="dxa"/>
            <w:tcBorders>
              <w:top w:val="nil"/>
              <w:left w:val="nil"/>
              <w:bottom w:val="single" w:sz="4" w:space="0" w:color="auto"/>
              <w:right w:val="single" w:sz="4" w:space="0" w:color="auto"/>
            </w:tcBorders>
            <w:shd w:val="clear" w:color="auto" w:fill="auto"/>
            <w:vAlign w:val="center"/>
            <w:hideMark/>
          </w:tcPr>
          <w:p w14:paraId="479B67F7"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6489</w:t>
            </w:r>
          </w:p>
        </w:tc>
        <w:tc>
          <w:tcPr>
            <w:tcW w:w="1419" w:type="dxa"/>
            <w:tcBorders>
              <w:top w:val="nil"/>
              <w:left w:val="nil"/>
              <w:bottom w:val="single" w:sz="4" w:space="0" w:color="auto"/>
              <w:right w:val="single" w:sz="4" w:space="0" w:color="auto"/>
            </w:tcBorders>
            <w:shd w:val="clear" w:color="auto" w:fill="auto"/>
            <w:vAlign w:val="center"/>
            <w:hideMark/>
          </w:tcPr>
          <w:p w14:paraId="2FF04161"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Cantidad de actividades administrativas registradas de las sedes administrativas total de 65.000 meta mensual.</w:t>
            </w:r>
          </w:p>
        </w:tc>
        <w:tc>
          <w:tcPr>
            <w:tcW w:w="1709" w:type="dxa"/>
            <w:tcBorders>
              <w:top w:val="nil"/>
              <w:left w:val="nil"/>
              <w:bottom w:val="single" w:sz="4" w:space="0" w:color="auto"/>
              <w:right w:val="single" w:sz="4" w:space="0" w:color="auto"/>
            </w:tcBorders>
            <w:shd w:val="clear" w:color="auto" w:fill="auto"/>
            <w:vAlign w:val="center"/>
            <w:hideMark/>
          </w:tcPr>
          <w:p w14:paraId="2F08E721"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 xml:space="preserve">Las cargas laborales en las sedes del Organismo de Investigación Judicial tanto en lo administrativo como en lo investigativo están relacionadas, pues ambas son codependientes entre sí. De las oficinas involucradas en este proyecto se logra observar que: no logran confeccionar el informe final durante el tiempo recomendable, tampoco actualizar libros informáticos de control, lo que aumenta el rezago, y repercute de forma negativa en la toma de decisiones oportuna, así como en el servicio brindado a las distintas oficinas y personas usuarias. Este accionar afecta la imagen y la confianza en la institución, incumpliendo con el principio de justicia pronta y cumplida. </w:t>
            </w:r>
            <w:r w:rsidRPr="00541E5C">
              <w:rPr>
                <w:rFonts w:ascii="Book Antiqua" w:eastAsia="Times New Roman" w:hAnsi="Book Antiqua" w:cs="Calibri Light"/>
                <w:color w:val="000000"/>
                <w:sz w:val="16"/>
                <w:szCs w:val="16"/>
                <w:lang w:eastAsia="es-CR"/>
              </w:rPr>
              <w:br/>
            </w:r>
            <w:r w:rsidRPr="00541E5C">
              <w:rPr>
                <w:rFonts w:ascii="Book Antiqua" w:eastAsia="Times New Roman" w:hAnsi="Book Antiqua" w:cs="Calibri Light"/>
                <w:color w:val="000000"/>
                <w:sz w:val="16"/>
                <w:szCs w:val="16"/>
                <w:lang w:eastAsia="es-CR"/>
              </w:rPr>
              <w:lastRenderedPageBreak/>
              <w:t>El propósito está orientado en incorporar un puesto administrativo y de técnico especializado adicional, con el fin de agilizar los controles administrativos y brindar más espacio a la investigación de las denuncias o casos, mejorando así el servicio a la comunidad</w:t>
            </w:r>
          </w:p>
        </w:tc>
        <w:tc>
          <w:tcPr>
            <w:tcW w:w="1757" w:type="dxa"/>
            <w:tcBorders>
              <w:top w:val="nil"/>
              <w:left w:val="nil"/>
              <w:bottom w:val="single" w:sz="4" w:space="0" w:color="auto"/>
              <w:right w:val="single" w:sz="4" w:space="0" w:color="auto"/>
            </w:tcBorders>
            <w:shd w:val="clear" w:color="auto" w:fill="auto"/>
            <w:vAlign w:val="center"/>
            <w:hideMark/>
          </w:tcPr>
          <w:p w14:paraId="03979C02" w14:textId="4AE3A54B"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lastRenderedPageBreak/>
              <w:t xml:space="preserve">Aumento del tiempo disponible de investigación </w:t>
            </w:r>
            <w:r w:rsidRPr="00541E5C">
              <w:rPr>
                <w:rFonts w:ascii="Book Antiqua" w:eastAsia="Times New Roman" w:hAnsi="Book Antiqua" w:cs="Calibri Light"/>
                <w:color w:val="000000"/>
                <w:sz w:val="16"/>
                <w:szCs w:val="16"/>
                <w:lang w:eastAsia="es-CR"/>
              </w:rPr>
              <w:br/>
              <w:t xml:space="preserve">• Se logra contabilizar la cantidad de tareas atendidas </w:t>
            </w:r>
            <w:r w:rsidRPr="00541E5C">
              <w:rPr>
                <w:rFonts w:ascii="Book Antiqua" w:eastAsia="Times New Roman" w:hAnsi="Book Antiqua" w:cs="Calibri Light"/>
                <w:color w:val="000000"/>
                <w:sz w:val="16"/>
                <w:szCs w:val="16"/>
                <w:lang w:eastAsia="es-CR"/>
              </w:rPr>
              <w:br/>
              <w:t xml:space="preserve">• Se cuenta con personal para la atención de asuntos administrativos </w:t>
            </w:r>
            <w:r w:rsidRPr="00541E5C">
              <w:rPr>
                <w:rFonts w:ascii="Book Antiqua" w:eastAsia="Times New Roman" w:hAnsi="Book Antiqua" w:cs="Calibri Light"/>
                <w:color w:val="000000"/>
                <w:sz w:val="16"/>
                <w:szCs w:val="16"/>
                <w:lang w:eastAsia="es-CR"/>
              </w:rPr>
              <w:br/>
              <w:t xml:space="preserve">• Se cuenta con tiempos estándar de diversas tareas administrativas información gerencial actualizada </w:t>
            </w:r>
            <w:r w:rsidRPr="00541E5C">
              <w:rPr>
                <w:rFonts w:ascii="Book Antiqua" w:eastAsia="Times New Roman" w:hAnsi="Book Antiqua" w:cs="Calibri Light"/>
                <w:color w:val="000000"/>
                <w:sz w:val="16"/>
                <w:szCs w:val="16"/>
                <w:lang w:eastAsia="es-CR"/>
              </w:rPr>
              <w:br/>
              <w:t>• Transparencia, Rendición de Cuentas y Evaluación del Desempeño con datos al día, sin atrasos.</w:t>
            </w:r>
          </w:p>
        </w:tc>
        <w:tc>
          <w:tcPr>
            <w:tcW w:w="195" w:type="dxa"/>
            <w:gridSpan w:val="2"/>
            <w:vAlign w:val="center"/>
            <w:hideMark/>
          </w:tcPr>
          <w:p w14:paraId="6A48A2FC" w14:textId="77777777" w:rsidR="00541E5C" w:rsidRPr="00541E5C" w:rsidRDefault="00541E5C" w:rsidP="00541E5C">
            <w:pPr>
              <w:spacing w:after="0" w:line="240" w:lineRule="auto"/>
              <w:jc w:val="center"/>
              <w:rPr>
                <w:rFonts w:ascii="Book Antiqua" w:eastAsia="Times New Roman" w:hAnsi="Book Antiqua" w:cs="Times New Roman"/>
                <w:sz w:val="16"/>
                <w:szCs w:val="16"/>
                <w:lang w:eastAsia="es-CR"/>
              </w:rPr>
            </w:pPr>
          </w:p>
        </w:tc>
      </w:tr>
      <w:tr w:rsidR="00345896" w:rsidRPr="00541E5C" w14:paraId="35086FB3" w14:textId="77777777" w:rsidTr="00EF4E17">
        <w:trPr>
          <w:trHeight w:val="520"/>
        </w:trPr>
        <w:tc>
          <w:tcPr>
            <w:tcW w:w="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FD4526"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1167-OIJ-P59</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14:paraId="7952AFD2"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Actualización y seguimiento de avisos en seguridad de la información UTI</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74301694"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928 Organismo de Investigación Judicial</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14:paraId="73DF1F61"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Organismo de Investigación Judicial</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14:paraId="51C3B091" w14:textId="1731F498"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 xml:space="preserve">Unidad </w:t>
            </w:r>
            <w:r w:rsidR="00320D34">
              <w:rPr>
                <w:rFonts w:ascii="Book Antiqua" w:eastAsia="Times New Roman" w:hAnsi="Book Antiqua" w:cs="Calibri Light"/>
                <w:color w:val="000000"/>
                <w:sz w:val="16"/>
                <w:szCs w:val="16"/>
                <w:lang w:eastAsia="es-CR"/>
              </w:rPr>
              <w:t>T</w:t>
            </w:r>
            <w:r w:rsidR="00320D34" w:rsidRPr="00541E5C">
              <w:rPr>
                <w:rFonts w:ascii="Book Antiqua" w:eastAsia="Times New Roman" w:hAnsi="Book Antiqua" w:cs="Calibri Light"/>
                <w:color w:val="000000"/>
                <w:sz w:val="16"/>
                <w:szCs w:val="16"/>
                <w:lang w:eastAsia="es-CR"/>
              </w:rPr>
              <w:t>ecnológica</w:t>
            </w:r>
            <w:r w:rsidRPr="00541E5C">
              <w:rPr>
                <w:rFonts w:ascii="Book Antiqua" w:eastAsia="Times New Roman" w:hAnsi="Book Antiqua" w:cs="Calibri Light"/>
                <w:color w:val="000000"/>
                <w:sz w:val="16"/>
                <w:szCs w:val="16"/>
                <w:lang w:eastAsia="es-CR"/>
              </w:rPr>
              <w:t xml:space="preserve"> </w:t>
            </w:r>
            <w:r w:rsidR="00320D34" w:rsidRPr="00541E5C">
              <w:rPr>
                <w:rFonts w:ascii="Book Antiqua" w:eastAsia="Times New Roman" w:hAnsi="Book Antiqua" w:cs="Calibri Light"/>
                <w:color w:val="000000"/>
                <w:sz w:val="16"/>
                <w:szCs w:val="16"/>
                <w:lang w:eastAsia="es-CR"/>
              </w:rPr>
              <w:t>Informática</w:t>
            </w:r>
          </w:p>
        </w:tc>
        <w:tc>
          <w:tcPr>
            <w:tcW w:w="816" w:type="dxa"/>
            <w:tcBorders>
              <w:top w:val="nil"/>
              <w:left w:val="nil"/>
              <w:bottom w:val="single" w:sz="4" w:space="0" w:color="auto"/>
              <w:right w:val="single" w:sz="4" w:space="0" w:color="auto"/>
            </w:tcBorders>
            <w:shd w:val="clear" w:color="auto" w:fill="auto"/>
            <w:vAlign w:val="center"/>
            <w:hideMark/>
          </w:tcPr>
          <w:p w14:paraId="5B598CE8"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1</w:t>
            </w:r>
          </w:p>
        </w:tc>
        <w:tc>
          <w:tcPr>
            <w:tcW w:w="1588" w:type="dxa"/>
            <w:tcBorders>
              <w:top w:val="nil"/>
              <w:left w:val="nil"/>
              <w:bottom w:val="single" w:sz="4" w:space="0" w:color="auto"/>
              <w:right w:val="single" w:sz="4" w:space="0" w:color="auto"/>
            </w:tcBorders>
            <w:shd w:val="clear" w:color="auto" w:fill="auto"/>
            <w:vAlign w:val="center"/>
            <w:hideMark/>
          </w:tcPr>
          <w:p w14:paraId="157F7F25"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PROFESIONAL 1</w:t>
            </w:r>
          </w:p>
        </w:tc>
        <w:tc>
          <w:tcPr>
            <w:tcW w:w="850" w:type="dxa"/>
            <w:tcBorders>
              <w:top w:val="nil"/>
              <w:left w:val="nil"/>
              <w:bottom w:val="single" w:sz="4" w:space="0" w:color="auto"/>
              <w:right w:val="single" w:sz="4" w:space="0" w:color="auto"/>
            </w:tcBorders>
            <w:shd w:val="clear" w:color="auto" w:fill="auto"/>
            <w:vAlign w:val="center"/>
            <w:hideMark/>
          </w:tcPr>
          <w:p w14:paraId="573D6045"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24243</w:t>
            </w:r>
          </w:p>
        </w:tc>
        <w:tc>
          <w:tcPr>
            <w:tcW w:w="1419" w:type="dxa"/>
            <w:tcBorders>
              <w:top w:val="nil"/>
              <w:left w:val="nil"/>
              <w:bottom w:val="single" w:sz="4" w:space="0" w:color="auto"/>
              <w:right w:val="single" w:sz="4" w:space="0" w:color="auto"/>
            </w:tcBorders>
            <w:shd w:val="clear" w:color="auto" w:fill="auto"/>
            <w:vAlign w:val="center"/>
            <w:hideMark/>
          </w:tcPr>
          <w:p w14:paraId="68A308E3"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Aplicación de actualizaciones de seguridad por medio de la herramienta System Center con los accesos brindados a infraestructura UTI.</w:t>
            </w:r>
            <w:r w:rsidRPr="00541E5C">
              <w:rPr>
                <w:rFonts w:ascii="Book Antiqua" w:eastAsia="Times New Roman" w:hAnsi="Book Antiqua" w:cs="Calibri Light"/>
                <w:color w:val="000000"/>
                <w:sz w:val="16"/>
                <w:szCs w:val="16"/>
                <w:lang w:eastAsia="es-CR"/>
              </w:rPr>
              <w:br/>
              <w:t>Actualización de versiones anteriores de Windows server 2012 a las más actualizadas.</w:t>
            </w:r>
            <w:r w:rsidRPr="00541E5C">
              <w:rPr>
                <w:rFonts w:ascii="Book Antiqua" w:eastAsia="Times New Roman" w:hAnsi="Book Antiqua" w:cs="Calibri Light"/>
                <w:color w:val="000000"/>
                <w:sz w:val="16"/>
                <w:szCs w:val="16"/>
                <w:lang w:eastAsia="es-CR"/>
              </w:rPr>
              <w:br/>
              <w:t>Actualización de programas que posean los servidores para mitigar vulnerabilidades.</w:t>
            </w:r>
            <w:r w:rsidRPr="00541E5C">
              <w:rPr>
                <w:rFonts w:ascii="Book Antiqua" w:eastAsia="Times New Roman" w:hAnsi="Book Antiqua" w:cs="Calibri Light"/>
                <w:color w:val="000000"/>
                <w:sz w:val="16"/>
                <w:szCs w:val="16"/>
                <w:lang w:eastAsia="es-CR"/>
              </w:rPr>
              <w:br/>
              <w:t xml:space="preserve">Actualización de </w:t>
            </w:r>
            <w:r w:rsidRPr="00541E5C">
              <w:rPr>
                <w:rFonts w:ascii="Book Antiqua" w:eastAsia="Times New Roman" w:hAnsi="Book Antiqua" w:cs="Calibri Light"/>
                <w:color w:val="000000"/>
                <w:sz w:val="16"/>
                <w:szCs w:val="16"/>
                <w:lang w:eastAsia="es-CR"/>
              </w:rPr>
              <w:lastRenderedPageBreak/>
              <w:t>componentes de los equipos como firmware o herramientas.</w:t>
            </w:r>
            <w:r w:rsidRPr="00541E5C">
              <w:rPr>
                <w:rFonts w:ascii="Book Antiqua" w:eastAsia="Times New Roman" w:hAnsi="Book Antiqua" w:cs="Calibri Light"/>
                <w:color w:val="000000"/>
                <w:sz w:val="16"/>
                <w:szCs w:val="16"/>
                <w:lang w:eastAsia="es-CR"/>
              </w:rPr>
              <w:br/>
              <w:t>Atención de informes de seguridad que emita nuestro ente rector en materia TI sobre los equipos.</w:t>
            </w:r>
            <w:r w:rsidRPr="00541E5C">
              <w:rPr>
                <w:rFonts w:ascii="Book Antiqua" w:eastAsia="Times New Roman" w:hAnsi="Book Antiqua" w:cs="Calibri Light"/>
                <w:color w:val="000000"/>
                <w:sz w:val="16"/>
                <w:szCs w:val="16"/>
                <w:lang w:eastAsia="es-CR"/>
              </w:rPr>
              <w:br/>
              <w:t>Mitigar las vulnerabilidades críticas detectadas por la herramienta institucional Tenable.</w:t>
            </w:r>
          </w:p>
        </w:tc>
        <w:tc>
          <w:tcPr>
            <w:tcW w:w="1709" w:type="dxa"/>
            <w:tcBorders>
              <w:top w:val="nil"/>
              <w:left w:val="nil"/>
              <w:bottom w:val="single" w:sz="4" w:space="0" w:color="auto"/>
              <w:right w:val="single" w:sz="4" w:space="0" w:color="auto"/>
            </w:tcBorders>
            <w:shd w:val="clear" w:color="auto" w:fill="auto"/>
            <w:vAlign w:val="center"/>
            <w:hideMark/>
          </w:tcPr>
          <w:p w14:paraId="5198D3CA"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lastRenderedPageBreak/>
              <w:t xml:space="preserve">"Durante el año 2022, muchas entidades gubernamentales sufrieron ataques cibernéticos de grupos cibercriminales como CONTI a los sistemas, computadoras y microcomputadoras de estas, los cuales tuvieron un impacto critico en el servicio que brinda cada una de estas instituciones. Dichos ataques produjeron que la Dirección de Tecnología de la Información y Comunicación (DTIC) analizará el reforzamiento y </w:t>
            </w:r>
            <w:r w:rsidRPr="00541E5C">
              <w:rPr>
                <w:rFonts w:ascii="Book Antiqua" w:eastAsia="Times New Roman" w:hAnsi="Book Antiqua" w:cs="Calibri Light"/>
                <w:color w:val="000000"/>
                <w:sz w:val="16"/>
                <w:szCs w:val="16"/>
                <w:lang w:eastAsia="es-CR"/>
              </w:rPr>
              <w:lastRenderedPageBreak/>
              <w:t xml:space="preserve">blindaje de la plataforma tecnológica del Poder Judicial, lo que implica que todos los días se descubren nuevas vulnerabilidades de seguridad y con ellas los avisos de seguridad. Estos avisos son generados por la Unidad de Seguridad Informática de la DTIC (USI). Dado lo anterior, a estos avisos de seguridad se les debe dar seguimiento y aplicar las correcciones necesarias en cada uno de los equipos de la plataforma tecnológica del OIJ de San José. Estos seguimientos y acciones correctivas se deben realizar de forma minuciosa y con sumo cuidado, por el riesgo que representa. Adicionalmente, toda labor debe estar alineada a la circular 21-CDTI-2022: </w:t>
            </w:r>
            <w:r w:rsidRPr="00541E5C">
              <w:rPr>
                <w:rFonts w:ascii="Book Antiqua" w:eastAsia="Times New Roman" w:hAnsi="Book Antiqua" w:cs="Calibri Light"/>
                <w:color w:val="000000"/>
                <w:sz w:val="16"/>
                <w:szCs w:val="16"/>
                <w:lang w:eastAsia="es-CR"/>
              </w:rPr>
              <w:lastRenderedPageBreak/>
              <w:t>Seguimiento de los avisos de seguridad que realiza la USI.</w:t>
            </w:r>
            <w:r w:rsidRPr="00541E5C">
              <w:rPr>
                <w:rFonts w:ascii="Book Antiqua" w:eastAsia="Times New Roman" w:hAnsi="Book Antiqua" w:cs="Calibri Light"/>
                <w:color w:val="000000"/>
                <w:sz w:val="16"/>
                <w:szCs w:val="16"/>
                <w:lang w:eastAsia="es-CR"/>
              </w:rPr>
              <w:br/>
              <w:t xml:space="preserve">El presente proyecto busca mejorar la capacidad de respuesta ante los requerimientos de la DTIC y además acatar la declaratoria de emergencia nacional: “Declara estado de emergencia nacional en todo el sector público del Estado costarricense, debido a los cibercrímenes que han afectado la estructura de los sistemas de información N.º 43542-MP-MICITT”. Aunado a lo anterior, garantizar el seguimiento y aplicación de las acciones correctivas de seguridad, necesarias en cada uno de los equipos de la plataforma tecnológica del OIJ de San José y sus sistemas especializados, con el fin de minimizar el riesgo de un </w:t>
            </w:r>
            <w:r w:rsidRPr="00541E5C">
              <w:rPr>
                <w:rFonts w:ascii="Book Antiqua" w:eastAsia="Times New Roman" w:hAnsi="Book Antiqua" w:cs="Calibri Light"/>
                <w:color w:val="000000"/>
                <w:sz w:val="16"/>
                <w:szCs w:val="16"/>
                <w:lang w:eastAsia="es-CR"/>
              </w:rPr>
              <w:lastRenderedPageBreak/>
              <w:t>ciberataque y las consecuencias que se deduzcan de estos."</w:t>
            </w:r>
          </w:p>
        </w:tc>
        <w:tc>
          <w:tcPr>
            <w:tcW w:w="1757" w:type="dxa"/>
            <w:tcBorders>
              <w:top w:val="nil"/>
              <w:left w:val="nil"/>
              <w:bottom w:val="single" w:sz="4" w:space="0" w:color="auto"/>
              <w:right w:val="single" w:sz="4" w:space="0" w:color="auto"/>
            </w:tcBorders>
            <w:shd w:val="clear" w:color="auto" w:fill="auto"/>
            <w:vAlign w:val="center"/>
            <w:hideMark/>
          </w:tcPr>
          <w:p w14:paraId="6F01D8BA" w14:textId="1A491E6B"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lastRenderedPageBreak/>
              <w:t>Disminución en la probabilidad de que se presenten vulneraciones de ciberseguridad de la plataforma tecnológica del OIJ San José y sus sistemas especializados.</w:t>
            </w:r>
          </w:p>
        </w:tc>
        <w:tc>
          <w:tcPr>
            <w:tcW w:w="195" w:type="dxa"/>
            <w:gridSpan w:val="2"/>
            <w:vAlign w:val="center"/>
            <w:hideMark/>
          </w:tcPr>
          <w:p w14:paraId="34E44A70" w14:textId="77777777" w:rsidR="00541E5C" w:rsidRPr="00541E5C" w:rsidRDefault="00541E5C" w:rsidP="00541E5C">
            <w:pPr>
              <w:spacing w:after="0" w:line="240" w:lineRule="auto"/>
              <w:jc w:val="center"/>
              <w:rPr>
                <w:rFonts w:ascii="Book Antiqua" w:eastAsia="Times New Roman" w:hAnsi="Book Antiqua" w:cs="Times New Roman"/>
                <w:sz w:val="16"/>
                <w:szCs w:val="16"/>
                <w:lang w:eastAsia="es-CR"/>
              </w:rPr>
            </w:pPr>
          </w:p>
        </w:tc>
      </w:tr>
      <w:tr w:rsidR="00345896" w:rsidRPr="00541E5C" w14:paraId="711025B8" w14:textId="77777777" w:rsidTr="00EF4E17">
        <w:trPr>
          <w:trHeight w:val="520"/>
        </w:trPr>
        <w:tc>
          <w:tcPr>
            <w:tcW w:w="835" w:type="dxa"/>
            <w:gridSpan w:val="2"/>
            <w:tcBorders>
              <w:top w:val="nil"/>
              <w:left w:val="single" w:sz="4" w:space="0" w:color="auto"/>
              <w:bottom w:val="single" w:sz="4" w:space="0" w:color="auto"/>
              <w:right w:val="single" w:sz="4" w:space="0" w:color="auto"/>
            </w:tcBorders>
            <w:shd w:val="clear" w:color="auto" w:fill="auto"/>
            <w:vAlign w:val="center"/>
            <w:hideMark/>
          </w:tcPr>
          <w:p w14:paraId="1FB1E4AB"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lastRenderedPageBreak/>
              <w:t>1167-OIJ-P44</w:t>
            </w:r>
          </w:p>
        </w:tc>
        <w:tc>
          <w:tcPr>
            <w:tcW w:w="1425" w:type="dxa"/>
            <w:tcBorders>
              <w:top w:val="nil"/>
              <w:left w:val="nil"/>
              <w:bottom w:val="single" w:sz="4" w:space="0" w:color="auto"/>
              <w:right w:val="single" w:sz="4" w:space="0" w:color="auto"/>
            </w:tcBorders>
            <w:shd w:val="clear" w:color="auto" w:fill="auto"/>
            <w:vAlign w:val="center"/>
            <w:hideMark/>
          </w:tcPr>
          <w:p w14:paraId="069E4845"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Enlace de planificación, coordinación logística y ejecución para las capacitaciones de OIJ.</w:t>
            </w:r>
          </w:p>
        </w:tc>
        <w:tc>
          <w:tcPr>
            <w:tcW w:w="1234" w:type="dxa"/>
            <w:tcBorders>
              <w:top w:val="nil"/>
              <w:left w:val="nil"/>
              <w:bottom w:val="single" w:sz="4" w:space="0" w:color="auto"/>
              <w:right w:val="single" w:sz="4" w:space="0" w:color="auto"/>
            </w:tcBorders>
            <w:shd w:val="clear" w:color="auto" w:fill="auto"/>
            <w:vAlign w:val="center"/>
            <w:hideMark/>
          </w:tcPr>
          <w:p w14:paraId="014731DF"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928 Organismo de Investigación Judicial</w:t>
            </w:r>
          </w:p>
        </w:tc>
        <w:tc>
          <w:tcPr>
            <w:tcW w:w="1376" w:type="dxa"/>
            <w:tcBorders>
              <w:top w:val="nil"/>
              <w:left w:val="nil"/>
              <w:bottom w:val="single" w:sz="4" w:space="0" w:color="auto"/>
              <w:right w:val="single" w:sz="4" w:space="0" w:color="auto"/>
            </w:tcBorders>
            <w:shd w:val="clear" w:color="auto" w:fill="auto"/>
            <w:vAlign w:val="center"/>
            <w:hideMark/>
          </w:tcPr>
          <w:p w14:paraId="2350F155" w14:textId="02209F21"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Organismo de Investigación Judicial</w:t>
            </w:r>
          </w:p>
        </w:tc>
        <w:tc>
          <w:tcPr>
            <w:tcW w:w="1025" w:type="dxa"/>
            <w:tcBorders>
              <w:top w:val="nil"/>
              <w:left w:val="nil"/>
              <w:bottom w:val="single" w:sz="4" w:space="0" w:color="auto"/>
              <w:right w:val="single" w:sz="4" w:space="0" w:color="auto"/>
            </w:tcBorders>
            <w:shd w:val="clear" w:color="auto" w:fill="auto"/>
            <w:vAlign w:val="center"/>
            <w:hideMark/>
          </w:tcPr>
          <w:p w14:paraId="734721FE"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Dirección General del OIJ</w:t>
            </w:r>
          </w:p>
        </w:tc>
        <w:tc>
          <w:tcPr>
            <w:tcW w:w="816" w:type="dxa"/>
            <w:tcBorders>
              <w:top w:val="nil"/>
              <w:left w:val="nil"/>
              <w:bottom w:val="single" w:sz="4" w:space="0" w:color="auto"/>
              <w:right w:val="single" w:sz="4" w:space="0" w:color="auto"/>
            </w:tcBorders>
            <w:shd w:val="clear" w:color="auto" w:fill="auto"/>
            <w:vAlign w:val="center"/>
            <w:hideMark/>
          </w:tcPr>
          <w:p w14:paraId="0AF009FF"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1</w:t>
            </w:r>
          </w:p>
        </w:tc>
        <w:tc>
          <w:tcPr>
            <w:tcW w:w="1588" w:type="dxa"/>
            <w:tcBorders>
              <w:top w:val="nil"/>
              <w:left w:val="nil"/>
              <w:bottom w:val="single" w:sz="4" w:space="0" w:color="auto"/>
              <w:right w:val="single" w:sz="4" w:space="0" w:color="auto"/>
            </w:tcBorders>
            <w:shd w:val="clear" w:color="auto" w:fill="auto"/>
            <w:vAlign w:val="center"/>
            <w:hideMark/>
          </w:tcPr>
          <w:p w14:paraId="35BC291F"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AUXILIAR DE SERVICIOS GENERALES 2</w:t>
            </w:r>
          </w:p>
        </w:tc>
        <w:tc>
          <w:tcPr>
            <w:tcW w:w="850" w:type="dxa"/>
            <w:tcBorders>
              <w:top w:val="nil"/>
              <w:left w:val="nil"/>
              <w:bottom w:val="single" w:sz="4" w:space="0" w:color="auto"/>
              <w:right w:val="single" w:sz="4" w:space="0" w:color="auto"/>
            </w:tcBorders>
            <w:shd w:val="clear" w:color="auto" w:fill="auto"/>
            <w:vAlign w:val="center"/>
            <w:hideMark/>
          </w:tcPr>
          <w:p w14:paraId="0E82478E"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364029</w:t>
            </w:r>
          </w:p>
        </w:tc>
        <w:tc>
          <w:tcPr>
            <w:tcW w:w="1419" w:type="dxa"/>
            <w:tcBorders>
              <w:top w:val="nil"/>
              <w:left w:val="nil"/>
              <w:bottom w:val="single" w:sz="4" w:space="0" w:color="auto"/>
              <w:right w:val="single" w:sz="4" w:space="0" w:color="auto"/>
            </w:tcBorders>
            <w:shd w:val="clear" w:color="auto" w:fill="auto"/>
            <w:vAlign w:val="center"/>
            <w:hideMark/>
          </w:tcPr>
          <w:p w14:paraId="36FFDC64" w14:textId="557F7286"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 Contratos (revisar constancias, formularios, documentos adjuntos, generar boletas y contratos, revisión, remisión y recepción de estos)</w:t>
            </w:r>
            <w:r w:rsidRPr="00541E5C">
              <w:rPr>
                <w:rFonts w:ascii="Book Antiqua" w:eastAsia="Times New Roman" w:hAnsi="Book Antiqua" w:cs="Calibri Light"/>
                <w:color w:val="000000"/>
                <w:sz w:val="16"/>
                <w:szCs w:val="16"/>
                <w:lang w:eastAsia="es-CR"/>
              </w:rPr>
              <w:br/>
              <w:t>• Ejecución del programa básico, antes, durante y después.</w:t>
            </w:r>
            <w:r w:rsidRPr="00541E5C">
              <w:rPr>
                <w:rFonts w:ascii="Book Antiqua" w:eastAsia="Times New Roman" w:hAnsi="Book Antiqua" w:cs="Calibri Light"/>
                <w:color w:val="000000"/>
                <w:sz w:val="16"/>
                <w:szCs w:val="16"/>
                <w:lang w:eastAsia="es-CR"/>
              </w:rPr>
              <w:br/>
              <w:t>• Antes: Lista de asistencia y participantes, atención de reuniones programadas y gestión informática.</w:t>
            </w:r>
            <w:r w:rsidRPr="00541E5C">
              <w:rPr>
                <w:rFonts w:ascii="Book Antiqua" w:eastAsia="Times New Roman" w:hAnsi="Book Antiqua" w:cs="Calibri Light"/>
                <w:color w:val="000000"/>
                <w:sz w:val="16"/>
                <w:szCs w:val="16"/>
                <w:lang w:eastAsia="es-CR"/>
              </w:rPr>
              <w:br/>
              <w:t xml:space="preserve">• Durante: Edición de horarios y fechas en la plataforma, </w:t>
            </w:r>
            <w:r w:rsidR="005B5B60">
              <w:rPr>
                <w:rFonts w:ascii="Book Antiqua" w:eastAsia="Times New Roman" w:hAnsi="Book Antiqua" w:cs="Calibri Light"/>
                <w:color w:val="000000"/>
                <w:sz w:val="16"/>
                <w:szCs w:val="16"/>
                <w:lang w:eastAsia="es-CR"/>
              </w:rPr>
              <w:t>enlace</w:t>
            </w:r>
            <w:r w:rsidRPr="00541E5C">
              <w:rPr>
                <w:rFonts w:ascii="Book Antiqua" w:eastAsia="Times New Roman" w:hAnsi="Book Antiqua" w:cs="Calibri Light"/>
                <w:color w:val="000000"/>
                <w:sz w:val="16"/>
                <w:szCs w:val="16"/>
                <w:lang w:eastAsia="es-CR"/>
              </w:rPr>
              <w:t xml:space="preserve">s a las reuniones (fechas y horarios, exámenes, tareas y apertura de lecciones), atención a </w:t>
            </w:r>
            <w:r w:rsidRPr="00541E5C">
              <w:rPr>
                <w:rFonts w:ascii="Book Antiqua" w:eastAsia="Times New Roman" w:hAnsi="Book Antiqua" w:cs="Calibri Light"/>
                <w:color w:val="000000"/>
                <w:sz w:val="16"/>
                <w:szCs w:val="16"/>
                <w:lang w:eastAsia="es-CR"/>
              </w:rPr>
              <w:lastRenderedPageBreak/>
              <w:t xml:space="preserve">personas facilitadoras y personas participantes. </w:t>
            </w:r>
            <w:r w:rsidRPr="00541E5C">
              <w:rPr>
                <w:rFonts w:ascii="Book Antiqua" w:eastAsia="Times New Roman" w:hAnsi="Book Antiqua" w:cs="Calibri Light"/>
                <w:color w:val="000000"/>
                <w:sz w:val="16"/>
                <w:szCs w:val="16"/>
                <w:lang w:eastAsia="es-CR"/>
              </w:rPr>
              <w:br/>
              <w:t>• Después: Montar el expediente digital, acta de notas, acta de horas y cierre administrativo</w:t>
            </w:r>
          </w:p>
        </w:tc>
        <w:tc>
          <w:tcPr>
            <w:tcW w:w="1709" w:type="dxa"/>
            <w:tcBorders>
              <w:top w:val="nil"/>
              <w:left w:val="nil"/>
              <w:bottom w:val="single" w:sz="4" w:space="0" w:color="auto"/>
              <w:right w:val="single" w:sz="4" w:space="0" w:color="auto"/>
            </w:tcBorders>
            <w:shd w:val="clear" w:color="auto" w:fill="auto"/>
            <w:vAlign w:val="center"/>
            <w:hideMark/>
          </w:tcPr>
          <w:p w14:paraId="10B6BEF3"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lastRenderedPageBreak/>
              <w:t>No se cuenta con el personal suficiente para realizar esas labores en el plazo requerido.</w:t>
            </w:r>
          </w:p>
        </w:tc>
        <w:tc>
          <w:tcPr>
            <w:tcW w:w="1757" w:type="dxa"/>
            <w:tcBorders>
              <w:top w:val="nil"/>
              <w:left w:val="nil"/>
              <w:bottom w:val="single" w:sz="4" w:space="0" w:color="auto"/>
              <w:right w:val="single" w:sz="4" w:space="0" w:color="auto"/>
            </w:tcBorders>
            <w:shd w:val="clear" w:color="auto" w:fill="auto"/>
            <w:vAlign w:val="center"/>
            <w:hideMark/>
          </w:tcPr>
          <w:p w14:paraId="4DC822DA"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Capacitar a 2300 personas en el año 2023.</w:t>
            </w:r>
          </w:p>
        </w:tc>
        <w:tc>
          <w:tcPr>
            <w:tcW w:w="195" w:type="dxa"/>
            <w:gridSpan w:val="2"/>
            <w:vAlign w:val="center"/>
            <w:hideMark/>
          </w:tcPr>
          <w:p w14:paraId="11EDF657" w14:textId="77777777" w:rsidR="00541E5C" w:rsidRPr="00541E5C" w:rsidRDefault="00541E5C" w:rsidP="00541E5C">
            <w:pPr>
              <w:spacing w:after="0" w:line="240" w:lineRule="auto"/>
              <w:jc w:val="center"/>
              <w:rPr>
                <w:rFonts w:ascii="Book Antiqua" w:eastAsia="Times New Roman" w:hAnsi="Book Antiqua" w:cs="Times New Roman"/>
                <w:sz w:val="16"/>
                <w:szCs w:val="16"/>
                <w:lang w:eastAsia="es-CR"/>
              </w:rPr>
            </w:pPr>
          </w:p>
        </w:tc>
      </w:tr>
      <w:tr w:rsidR="00345896" w:rsidRPr="00541E5C" w14:paraId="1C6F981B" w14:textId="77777777" w:rsidTr="00EF4E17">
        <w:trPr>
          <w:trHeight w:val="930"/>
        </w:trPr>
        <w:tc>
          <w:tcPr>
            <w:tcW w:w="835" w:type="dxa"/>
            <w:gridSpan w:val="2"/>
            <w:tcBorders>
              <w:top w:val="nil"/>
              <w:left w:val="single" w:sz="4" w:space="0" w:color="auto"/>
              <w:bottom w:val="single" w:sz="4" w:space="0" w:color="auto"/>
              <w:right w:val="single" w:sz="4" w:space="0" w:color="auto"/>
            </w:tcBorders>
            <w:shd w:val="clear" w:color="auto" w:fill="auto"/>
            <w:vAlign w:val="center"/>
            <w:hideMark/>
          </w:tcPr>
          <w:p w14:paraId="1383F3F1"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1167-OIJ-P51</w:t>
            </w:r>
          </w:p>
        </w:tc>
        <w:tc>
          <w:tcPr>
            <w:tcW w:w="1425" w:type="dxa"/>
            <w:tcBorders>
              <w:top w:val="nil"/>
              <w:left w:val="nil"/>
              <w:bottom w:val="single" w:sz="4" w:space="0" w:color="auto"/>
              <w:right w:val="single" w:sz="4" w:space="0" w:color="auto"/>
            </w:tcBorders>
            <w:shd w:val="clear" w:color="auto" w:fill="auto"/>
            <w:vAlign w:val="center"/>
            <w:hideMark/>
          </w:tcPr>
          <w:p w14:paraId="48320DD6"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Georeferenciación de delitos, según denuncias a nivel nacional</w:t>
            </w:r>
          </w:p>
        </w:tc>
        <w:tc>
          <w:tcPr>
            <w:tcW w:w="1234" w:type="dxa"/>
            <w:tcBorders>
              <w:top w:val="nil"/>
              <w:left w:val="nil"/>
              <w:bottom w:val="single" w:sz="4" w:space="0" w:color="auto"/>
              <w:right w:val="single" w:sz="4" w:space="0" w:color="auto"/>
            </w:tcBorders>
            <w:shd w:val="clear" w:color="auto" w:fill="auto"/>
            <w:vAlign w:val="center"/>
            <w:hideMark/>
          </w:tcPr>
          <w:p w14:paraId="4349A7CE"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928 Organismo de Investigación Judicial</w:t>
            </w:r>
          </w:p>
        </w:tc>
        <w:tc>
          <w:tcPr>
            <w:tcW w:w="1376" w:type="dxa"/>
            <w:tcBorders>
              <w:top w:val="nil"/>
              <w:left w:val="nil"/>
              <w:bottom w:val="single" w:sz="4" w:space="0" w:color="auto"/>
              <w:right w:val="single" w:sz="4" w:space="0" w:color="auto"/>
            </w:tcBorders>
            <w:shd w:val="clear" w:color="auto" w:fill="auto"/>
            <w:vAlign w:val="center"/>
            <w:hideMark/>
          </w:tcPr>
          <w:p w14:paraId="7BB7543D" w14:textId="38856791"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Organismo de Investigación Judicial</w:t>
            </w:r>
          </w:p>
        </w:tc>
        <w:tc>
          <w:tcPr>
            <w:tcW w:w="1025" w:type="dxa"/>
            <w:tcBorders>
              <w:top w:val="nil"/>
              <w:left w:val="nil"/>
              <w:bottom w:val="single" w:sz="4" w:space="0" w:color="auto"/>
              <w:right w:val="single" w:sz="4" w:space="0" w:color="auto"/>
            </w:tcBorders>
            <w:shd w:val="clear" w:color="auto" w:fill="auto"/>
            <w:vAlign w:val="center"/>
            <w:hideMark/>
          </w:tcPr>
          <w:p w14:paraId="43279029"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UNIDAD DE ANALISIS CRIMINAL</w:t>
            </w:r>
          </w:p>
        </w:tc>
        <w:tc>
          <w:tcPr>
            <w:tcW w:w="816" w:type="dxa"/>
            <w:tcBorders>
              <w:top w:val="nil"/>
              <w:left w:val="nil"/>
              <w:bottom w:val="single" w:sz="4" w:space="0" w:color="auto"/>
              <w:right w:val="single" w:sz="4" w:space="0" w:color="auto"/>
            </w:tcBorders>
            <w:shd w:val="clear" w:color="auto" w:fill="auto"/>
            <w:vAlign w:val="center"/>
            <w:hideMark/>
          </w:tcPr>
          <w:p w14:paraId="5FD2533A"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3</w:t>
            </w:r>
          </w:p>
        </w:tc>
        <w:tc>
          <w:tcPr>
            <w:tcW w:w="1588" w:type="dxa"/>
            <w:tcBorders>
              <w:top w:val="nil"/>
              <w:left w:val="nil"/>
              <w:bottom w:val="single" w:sz="4" w:space="0" w:color="auto"/>
              <w:right w:val="single" w:sz="4" w:space="0" w:color="auto"/>
            </w:tcBorders>
            <w:shd w:val="clear" w:color="auto" w:fill="auto"/>
            <w:vAlign w:val="center"/>
            <w:hideMark/>
          </w:tcPr>
          <w:p w14:paraId="22CFCC36"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AUXILIAR ADMINISTRATIVO</w:t>
            </w:r>
          </w:p>
        </w:tc>
        <w:tc>
          <w:tcPr>
            <w:tcW w:w="850" w:type="dxa"/>
            <w:tcBorders>
              <w:top w:val="nil"/>
              <w:left w:val="nil"/>
              <w:bottom w:val="single" w:sz="4" w:space="0" w:color="auto"/>
              <w:right w:val="single" w:sz="4" w:space="0" w:color="auto"/>
            </w:tcBorders>
            <w:shd w:val="clear" w:color="auto" w:fill="auto"/>
            <w:vAlign w:val="center"/>
            <w:hideMark/>
          </w:tcPr>
          <w:p w14:paraId="18D9FBED"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352757</w:t>
            </w:r>
            <w:r w:rsidRPr="00541E5C">
              <w:rPr>
                <w:rFonts w:ascii="Book Antiqua" w:eastAsia="Times New Roman" w:hAnsi="Book Antiqua" w:cs="Calibri Light"/>
                <w:color w:val="000000"/>
                <w:sz w:val="16"/>
                <w:szCs w:val="16"/>
                <w:lang w:eastAsia="es-CR"/>
              </w:rPr>
              <w:br/>
              <w:t>371333</w:t>
            </w:r>
            <w:r w:rsidRPr="00541E5C">
              <w:rPr>
                <w:rFonts w:ascii="Book Antiqua" w:eastAsia="Times New Roman" w:hAnsi="Book Antiqua" w:cs="Calibri Light"/>
                <w:color w:val="000000"/>
                <w:sz w:val="16"/>
                <w:szCs w:val="16"/>
                <w:lang w:eastAsia="es-CR"/>
              </w:rPr>
              <w:br/>
              <w:t>351935</w:t>
            </w:r>
          </w:p>
        </w:tc>
        <w:tc>
          <w:tcPr>
            <w:tcW w:w="1419" w:type="dxa"/>
            <w:tcBorders>
              <w:top w:val="nil"/>
              <w:left w:val="nil"/>
              <w:bottom w:val="single" w:sz="4" w:space="0" w:color="auto"/>
              <w:right w:val="single" w:sz="4" w:space="0" w:color="auto"/>
            </w:tcBorders>
            <w:shd w:val="clear" w:color="auto" w:fill="auto"/>
            <w:vAlign w:val="center"/>
            <w:hideMark/>
          </w:tcPr>
          <w:p w14:paraId="7DA2716F"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Revisión y depuración de denuncias que ingresan al OIJ. Inclusión de datos al IBASE</w:t>
            </w:r>
          </w:p>
        </w:tc>
        <w:tc>
          <w:tcPr>
            <w:tcW w:w="1709" w:type="dxa"/>
            <w:tcBorders>
              <w:top w:val="nil"/>
              <w:left w:val="nil"/>
              <w:bottom w:val="single" w:sz="4" w:space="0" w:color="auto"/>
              <w:right w:val="single" w:sz="4" w:space="0" w:color="auto"/>
            </w:tcBorders>
            <w:shd w:val="clear" w:color="auto" w:fill="auto"/>
            <w:vAlign w:val="center"/>
            <w:hideMark/>
          </w:tcPr>
          <w:p w14:paraId="5BE6B452" w14:textId="77777777"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El personal que actualmente realiza estas funciones, son analistas criminales, los cuales tendrían mayor disponibilidad para la confección de informes de análisis</w:t>
            </w:r>
          </w:p>
        </w:tc>
        <w:tc>
          <w:tcPr>
            <w:tcW w:w="1757" w:type="dxa"/>
            <w:tcBorders>
              <w:top w:val="nil"/>
              <w:left w:val="nil"/>
              <w:bottom w:val="single" w:sz="4" w:space="0" w:color="auto"/>
              <w:right w:val="single" w:sz="4" w:space="0" w:color="auto"/>
            </w:tcBorders>
            <w:shd w:val="clear" w:color="auto" w:fill="auto"/>
            <w:vAlign w:val="center"/>
            <w:hideMark/>
          </w:tcPr>
          <w:p w14:paraId="3CA09783" w14:textId="70E2F074" w:rsidR="00541E5C" w:rsidRPr="00541E5C" w:rsidRDefault="00541E5C" w:rsidP="00320D34">
            <w:pPr>
              <w:spacing w:after="0" w:line="240" w:lineRule="auto"/>
              <w:jc w:val="both"/>
              <w:rPr>
                <w:rFonts w:ascii="Book Antiqua" w:eastAsia="Times New Roman" w:hAnsi="Book Antiqua" w:cs="Calibri Light"/>
                <w:color w:val="000000"/>
                <w:sz w:val="16"/>
                <w:szCs w:val="16"/>
                <w:lang w:eastAsia="es-CR"/>
              </w:rPr>
            </w:pPr>
            <w:r w:rsidRPr="00541E5C">
              <w:rPr>
                <w:rFonts w:ascii="Book Antiqua" w:eastAsia="Times New Roman" w:hAnsi="Book Antiqua" w:cs="Calibri Light"/>
                <w:color w:val="000000"/>
                <w:sz w:val="16"/>
                <w:szCs w:val="16"/>
                <w:lang w:eastAsia="es-CR"/>
              </w:rPr>
              <w:t>Reducción de las denuncias sin depurar, teniendo como pendientes un máximo de 4 días hábiles, aumento del tiempo destinado para realizar análisis criminal por parte de los analistas criminales e Incluir las entidades vinculadas a las investigaciones criminales en la base de datos de IBASE.</w:t>
            </w:r>
          </w:p>
        </w:tc>
        <w:tc>
          <w:tcPr>
            <w:tcW w:w="195" w:type="dxa"/>
            <w:gridSpan w:val="2"/>
            <w:vAlign w:val="center"/>
            <w:hideMark/>
          </w:tcPr>
          <w:p w14:paraId="77E161BD" w14:textId="77777777" w:rsidR="00541E5C" w:rsidRPr="00541E5C" w:rsidRDefault="00541E5C" w:rsidP="00541E5C">
            <w:pPr>
              <w:spacing w:after="0" w:line="240" w:lineRule="auto"/>
              <w:jc w:val="center"/>
              <w:rPr>
                <w:rFonts w:ascii="Book Antiqua" w:eastAsia="Times New Roman" w:hAnsi="Book Antiqua" w:cs="Times New Roman"/>
                <w:sz w:val="16"/>
                <w:szCs w:val="16"/>
                <w:lang w:eastAsia="es-CR"/>
              </w:rPr>
            </w:pPr>
          </w:p>
        </w:tc>
      </w:tr>
    </w:tbl>
    <w:p w14:paraId="6C353BC2" w14:textId="0B9A575A" w:rsidR="00320D34" w:rsidRPr="00FF2971" w:rsidRDefault="00320D34" w:rsidP="00320D34">
      <w:pPr>
        <w:rPr>
          <w:rFonts w:ascii="Book Antiqua" w:hAnsi="Book Antiqua"/>
          <w:sz w:val="16"/>
          <w:szCs w:val="16"/>
          <w:lang w:val="es-ES"/>
        </w:rPr>
      </w:pPr>
      <w:r w:rsidRPr="00FF2971">
        <w:rPr>
          <w:rFonts w:ascii="Book Antiqua" w:hAnsi="Book Antiqua"/>
          <w:sz w:val="16"/>
          <w:szCs w:val="16"/>
          <w:lang w:val="es-ES"/>
        </w:rPr>
        <w:t>Fuente:</w:t>
      </w:r>
      <w:r>
        <w:rPr>
          <w:rFonts w:ascii="Book Antiqua" w:hAnsi="Book Antiqua"/>
          <w:sz w:val="16"/>
          <w:szCs w:val="16"/>
          <w:lang w:val="es-ES"/>
        </w:rPr>
        <w:t xml:space="preserve"> Datos proporcionados por los líderes y responsables de proyectos operativos.</w:t>
      </w:r>
    </w:p>
    <w:p w14:paraId="60C0B6EC" w14:textId="5C367232" w:rsidR="00CF290F" w:rsidRPr="00320D34" w:rsidRDefault="00CF290F" w:rsidP="00A00E2F">
      <w:pPr>
        <w:spacing w:after="0"/>
        <w:jc w:val="both"/>
        <w:rPr>
          <w:rFonts w:ascii="Book Antiqua" w:hAnsi="Book Antiqua"/>
          <w:highlight w:val="yellow"/>
          <w:lang w:val="es-ES"/>
        </w:rPr>
      </w:pPr>
    </w:p>
    <w:p w14:paraId="2FC7C8AC" w14:textId="07BC782B" w:rsidR="00CF290F" w:rsidRDefault="00CF290F" w:rsidP="00A00E2F">
      <w:pPr>
        <w:spacing w:after="0"/>
        <w:jc w:val="both"/>
        <w:rPr>
          <w:rFonts w:ascii="Book Antiqua" w:hAnsi="Book Antiqua"/>
          <w:highlight w:val="yellow"/>
        </w:rPr>
      </w:pPr>
    </w:p>
    <w:p w14:paraId="738D640A" w14:textId="77777777" w:rsidR="00320D34" w:rsidRDefault="00320D34" w:rsidP="00A00E2F">
      <w:pPr>
        <w:spacing w:after="0"/>
        <w:jc w:val="both"/>
        <w:rPr>
          <w:rFonts w:ascii="Book Antiqua" w:hAnsi="Book Antiqua"/>
          <w:highlight w:val="yellow"/>
        </w:rPr>
        <w:sectPr w:rsidR="00320D34" w:rsidSect="00541E5C">
          <w:pgSz w:w="15840" w:h="12240" w:orient="landscape"/>
          <w:pgMar w:top="1701" w:right="1417" w:bottom="1701" w:left="1560" w:header="708" w:footer="708" w:gutter="0"/>
          <w:cols w:space="708"/>
          <w:docGrid w:linePitch="360"/>
        </w:sectPr>
      </w:pPr>
    </w:p>
    <w:p w14:paraId="04CCFB30" w14:textId="66BC7A9D" w:rsidR="00A00E2F" w:rsidRPr="00FD779F" w:rsidRDefault="00A00E2F" w:rsidP="00A00E2F">
      <w:pPr>
        <w:spacing w:after="0"/>
        <w:jc w:val="both"/>
        <w:rPr>
          <w:rFonts w:ascii="Book Antiqua" w:hAnsi="Book Antiqua"/>
          <w:sz w:val="24"/>
          <w:szCs w:val="24"/>
        </w:rPr>
      </w:pPr>
      <w:r w:rsidRPr="00FD779F">
        <w:rPr>
          <w:rFonts w:ascii="Book Antiqua" w:hAnsi="Book Antiqua"/>
          <w:sz w:val="24"/>
          <w:szCs w:val="24"/>
        </w:rPr>
        <w:lastRenderedPageBreak/>
        <w:t xml:space="preserve">La información del detalle de permisos con goce de salario fue construida </w:t>
      </w:r>
      <w:r w:rsidR="00CF290F" w:rsidRPr="00FD779F">
        <w:rPr>
          <w:rFonts w:ascii="Book Antiqua" w:hAnsi="Book Antiqua"/>
          <w:sz w:val="24"/>
          <w:szCs w:val="24"/>
        </w:rPr>
        <w:t>con</w:t>
      </w:r>
      <w:r w:rsidRPr="00FD779F">
        <w:rPr>
          <w:rFonts w:ascii="Book Antiqua" w:hAnsi="Book Antiqua"/>
          <w:sz w:val="24"/>
          <w:szCs w:val="24"/>
        </w:rPr>
        <w:t xml:space="preserve"> base  </w:t>
      </w:r>
      <w:r w:rsidR="00CF290F" w:rsidRPr="00FD779F">
        <w:rPr>
          <w:rFonts w:ascii="Book Antiqua" w:hAnsi="Book Antiqua"/>
          <w:sz w:val="24"/>
          <w:szCs w:val="24"/>
        </w:rPr>
        <w:t xml:space="preserve">en las </w:t>
      </w:r>
      <w:r w:rsidRPr="00FD779F">
        <w:rPr>
          <w:rFonts w:ascii="Book Antiqua" w:hAnsi="Book Antiqua"/>
          <w:sz w:val="24"/>
          <w:szCs w:val="24"/>
        </w:rPr>
        <w:t xml:space="preserve">consultas realizadas a las oficinas líderes de proyectos y responsables de labores operativas con este tipo de recurso asignado. La solicitud de información fue </w:t>
      </w:r>
      <w:r w:rsidR="00804271" w:rsidRPr="00FD779F">
        <w:rPr>
          <w:rFonts w:ascii="Book Antiqua" w:hAnsi="Book Antiqua"/>
          <w:sz w:val="24"/>
          <w:szCs w:val="24"/>
        </w:rPr>
        <w:t>solicitada</w:t>
      </w:r>
      <w:r w:rsidRPr="00FD779F">
        <w:rPr>
          <w:rFonts w:ascii="Book Antiqua" w:hAnsi="Book Antiqua"/>
          <w:sz w:val="24"/>
          <w:szCs w:val="24"/>
        </w:rPr>
        <w:t xml:space="preserve"> por </w:t>
      </w:r>
      <w:r w:rsidR="0034653D" w:rsidRPr="00FD779F">
        <w:rPr>
          <w:rFonts w:ascii="Book Antiqua" w:hAnsi="Book Antiqua"/>
          <w:sz w:val="24"/>
          <w:szCs w:val="24"/>
        </w:rPr>
        <w:t xml:space="preserve">la </w:t>
      </w:r>
      <w:r w:rsidR="00804271" w:rsidRPr="00FD779F">
        <w:rPr>
          <w:rFonts w:ascii="Book Antiqua" w:hAnsi="Book Antiqua"/>
          <w:sz w:val="24"/>
          <w:szCs w:val="24"/>
        </w:rPr>
        <w:t>Licda. Melissa Mesén Trejos</w:t>
      </w:r>
      <w:r w:rsidR="0034653D" w:rsidRPr="00FD779F">
        <w:rPr>
          <w:rFonts w:ascii="Book Antiqua" w:hAnsi="Book Antiqua"/>
          <w:sz w:val="24"/>
          <w:szCs w:val="24"/>
        </w:rPr>
        <w:t xml:space="preserve">, Coordinadora </w:t>
      </w:r>
      <w:r w:rsidR="00BE773E">
        <w:rPr>
          <w:rFonts w:ascii="Book Antiqua" w:hAnsi="Book Antiqua"/>
          <w:sz w:val="24"/>
          <w:szCs w:val="24"/>
        </w:rPr>
        <w:t xml:space="preserve">de Unidad </w:t>
      </w:r>
      <w:r w:rsidR="0034653D" w:rsidRPr="00FD779F">
        <w:rPr>
          <w:rFonts w:ascii="Book Antiqua" w:hAnsi="Book Antiqua"/>
          <w:sz w:val="24"/>
          <w:szCs w:val="24"/>
        </w:rPr>
        <w:t>3</w:t>
      </w:r>
      <w:r w:rsidRPr="00FD779F">
        <w:rPr>
          <w:rFonts w:ascii="Book Antiqua" w:hAnsi="Book Antiqua"/>
          <w:sz w:val="24"/>
          <w:szCs w:val="24"/>
        </w:rPr>
        <w:t xml:space="preserve"> de la Dirección de Planificación, vía correo electrónico enviados a las diferentes oficinas </w:t>
      </w:r>
      <w:r w:rsidR="00842085" w:rsidRPr="00FD779F">
        <w:rPr>
          <w:rFonts w:ascii="Book Antiqua" w:hAnsi="Book Antiqua"/>
          <w:sz w:val="24"/>
          <w:szCs w:val="24"/>
        </w:rPr>
        <w:t>del 15 al 23</w:t>
      </w:r>
      <w:r w:rsidRPr="00FD779F">
        <w:rPr>
          <w:rFonts w:ascii="Book Antiqua" w:hAnsi="Book Antiqua"/>
          <w:sz w:val="24"/>
          <w:szCs w:val="24"/>
        </w:rPr>
        <w:t xml:space="preserve"> de </w:t>
      </w:r>
      <w:r w:rsidR="00CB5C48" w:rsidRPr="00FD779F">
        <w:rPr>
          <w:rFonts w:ascii="Book Antiqua" w:hAnsi="Book Antiqua"/>
          <w:sz w:val="24"/>
          <w:szCs w:val="24"/>
        </w:rPr>
        <w:t>mayo</w:t>
      </w:r>
      <w:r w:rsidRPr="00FD779F">
        <w:rPr>
          <w:rFonts w:ascii="Book Antiqua" w:hAnsi="Book Antiqua"/>
          <w:sz w:val="24"/>
          <w:szCs w:val="24"/>
        </w:rPr>
        <w:t xml:space="preserve"> anterior. </w:t>
      </w:r>
    </w:p>
    <w:p w14:paraId="2BFB3863" w14:textId="77777777" w:rsidR="00F41675" w:rsidRDefault="00F41675" w:rsidP="00A00E2F">
      <w:pPr>
        <w:spacing w:after="0"/>
        <w:jc w:val="both"/>
        <w:rPr>
          <w:rFonts w:ascii="Book Antiqua" w:hAnsi="Book Antiqua"/>
        </w:rPr>
      </w:pPr>
    </w:p>
    <w:p w14:paraId="6EAF084A" w14:textId="602EB7A2" w:rsidR="00FD779F" w:rsidRPr="00320D34" w:rsidRDefault="00FD779F" w:rsidP="00FD779F">
      <w:pPr>
        <w:pStyle w:val="Ttulo2"/>
        <w:rPr>
          <w:rFonts w:ascii="Book Antiqua" w:hAnsi="Book Antiqua"/>
          <w:b/>
          <w:bCs/>
          <w:color w:val="auto"/>
          <w:sz w:val="24"/>
          <w:szCs w:val="24"/>
          <w:lang w:val="es-ES"/>
        </w:rPr>
      </w:pPr>
      <w:bookmarkStart w:id="140" w:name="_Toc138770872"/>
      <w:r w:rsidRPr="00320D34">
        <w:rPr>
          <w:rFonts w:ascii="Book Antiqua" w:hAnsi="Book Antiqua"/>
          <w:b/>
          <w:bCs/>
          <w:color w:val="auto"/>
          <w:sz w:val="24"/>
          <w:szCs w:val="24"/>
          <w:lang w:val="es-ES"/>
        </w:rPr>
        <w:t>4.</w:t>
      </w:r>
      <w:r>
        <w:rPr>
          <w:rFonts w:ascii="Book Antiqua" w:hAnsi="Book Antiqua"/>
          <w:b/>
          <w:bCs/>
          <w:color w:val="auto"/>
          <w:sz w:val="24"/>
          <w:szCs w:val="24"/>
          <w:lang w:val="es-ES"/>
        </w:rPr>
        <w:t>8</w:t>
      </w:r>
      <w:r w:rsidRPr="00320D34">
        <w:rPr>
          <w:rFonts w:ascii="Book Antiqua" w:hAnsi="Book Antiqua"/>
          <w:b/>
          <w:bCs/>
          <w:color w:val="auto"/>
          <w:sz w:val="24"/>
          <w:szCs w:val="24"/>
          <w:lang w:val="es-ES"/>
        </w:rPr>
        <w:t xml:space="preserve"> </w:t>
      </w:r>
      <w:r>
        <w:rPr>
          <w:rFonts w:ascii="Book Antiqua" w:hAnsi="Book Antiqua"/>
          <w:b/>
          <w:bCs/>
          <w:color w:val="auto"/>
          <w:sz w:val="24"/>
          <w:szCs w:val="24"/>
          <w:lang w:val="es-ES"/>
        </w:rPr>
        <w:t xml:space="preserve">Solicitud de la Dirección de Gestión Humana de ajustar fecha de </w:t>
      </w:r>
      <w:r w:rsidRPr="00FD779F">
        <w:rPr>
          <w:rFonts w:ascii="Book Antiqua" w:hAnsi="Book Antiqua"/>
          <w:b/>
          <w:bCs/>
          <w:color w:val="auto"/>
          <w:sz w:val="24"/>
          <w:szCs w:val="24"/>
          <w:lang w:val="es-ES"/>
        </w:rPr>
        <w:t>Informe de avance para prórroga</w:t>
      </w:r>
      <w:r w:rsidRPr="00320D34">
        <w:rPr>
          <w:rFonts w:ascii="Book Antiqua" w:hAnsi="Book Antiqua"/>
          <w:b/>
          <w:bCs/>
          <w:color w:val="auto"/>
          <w:sz w:val="24"/>
          <w:szCs w:val="24"/>
          <w:lang w:val="es-ES"/>
        </w:rPr>
        <w:t xml:space="preserve"> </w:t>
      </w:r>
      <w:r>
        <w:rPr>
          <w:rFonts w:ascii="Book Antiqua" w:hAnsi="Book Antiqua"/>
          <w:b/>
          <w:bCs/>
          <w:color w:val="auto"/>
          <w:sz w:val="24"/>
          <w:szCs w:val="24"/>
          <w:lang w:val="es-ES"/>
        </w:rPr>
        <w:t>de</w:t>
      </w:r>
      <w:r w:rsidRPr="00320D34">
        <w:rPr>
          <w:rFonts w:ascii="Book Antiqua" w:hAnsi="Book Antiqua"/>
          <w:b/>
          <w:bCs/>
          <w:color w:val="auto"/>
          <w:sz w:val="24"/>
          <w:szCs w:val="24"/>
          <w:lang w:val="es-ES"/>
        </w:rPr>
        <w:t xml:space="preserve"> permisos</w:t>
      </w:r>
      <w:r>
        <w:rPr>
          <w:rFonts w:ascii="Book Antiqua" w:hAnsi="Book Antiqua"/>
          <w:b/>
          <w:bCs/>
          <w:color w:val="auto"/>
          <w:sz w:val="24"/>
          <w:szCs w:val="24"/>
          <w:lang w:val="es-ES"/>
        </w:rPr>
        <w:t xml:space="preserve"> con goce de salario</w:t>
      </w:r>
      <w:r w:rsidRPr="00320D34">
        <w:rPr>
          <w:rFonts w:ascii="Book Antiqua" w:hAnsi="Book Antiqua"/>
          <w:b/>
          <w:bCs/>
          <w:color w:val="auto"/>
          <w:sz w:val="24"/>
          <w:szCs w:val="24"/>
          <w:lang w:val="es-ES"/>
        </w:rPr>
        <w:t xml:space="preserve"> para el </w:t>
      </w:r>
      <w:r>
        <w:rPr>
          <w:rFonts w:ascii="Book Antiqua" w:hAnsi="Book Antiqua"/>
          <w:b/>
          <w:bCs/>
          <w:color w:val="auto"/>
          <w:sz w:val="24"/>
          <w:szCs w:val="24"/>
          <w:lang w:val="es-ES"/>
        </w:rPr>
        <w:t>IV</w:t>
      </w:r>
      <w:r w:rsidRPr="00320D34">
        <w:rPr>
          <w:rFonts w:ascii="Book Antiqua" w:hAnsi="Book Antiqua"/>
          <w:b/>
          <w:bCs/>
          <w:color w:val="auto"/>
          <w:sz w:val="24"/>
          <w:szCs w:val="24"/>
          <w:lang w:val="es-ES"/>
        </w:rPr>
        <w:t xml:space="preserve"> trimestre 2023</w:t>
      </w:r>
      <w:bookmarkEnd w:id="140"/>
    </w:p>
    <w:p w14:paraId="56EB6E7A" w14:textId="77777777" w:rsidR="00804271" w:rsidRPr="00FD779F" w:rsidRDefault="00804271" w:rsidP="00A00E2F">
      <w:pPr>
        <w:spacing w:after="0"/>
        <w:jc w:val="both"/>
        <w:rPr>
          <w:rFonts w:ascii="Book Antiqua" w:hAnsi="Book Antiqua"/>
          <w:lang w:val="es-ES"/>
        </w:rPr>
      </w:pPr>
    </w:p>
    <w:p w14:paraId="37D2EE20" w14:textId="396C175D" w:rsidR="00F41675" w:rsidRDefault="00FD779F" w:rsidP="00A00E2F">
      <w:pPr>
        <w:spacing w:after="0"/>
        <w:jc w:val="both"/>
        <w:rPr>
          <w:rFonts w:ascii="Book Antiqua" w:hAnsi="Book Antiqua"/>
          <w:sz w:val="24"/>
          <w:szCs w:val="24"/>
        </w:rPr>
      </w:pPr>
      <w:r w:rsidRPr="00FD779F">
        <w:rPr>
          <w:rFonts w:ascii="Book Antiqua" w:hAnsi="Book Antiqua"/>
          <w:sz w:val="24"/>
          <w:szCs w:val="24"/>
        </w:rPr>
        <w:t>Por medio de oficio PJ-DGH-0202-2023 del 10 de mayo del 2023, la Dirección de Gestión Humana sugiere a la Dirección de Planificación el ajuste de cambio de fecha de PCGS que se aprobar</w:t>
      </w:r>
      <w:r>
        <w:rPr>
          <w:rFonts w:ascii="Book Antiqua" w:hAnsi="Book Antiqua"/>
          <w:sz w:val="24"/>
          <w:szCs w:val="24"/>
        </w:rPr>
        <w:t>á</w:t>
      </w:r>
      <w:r w:rsidRPr="00FD779F">
        <w:rPr>
          <w:rFonts w:ascii="Book Antiqua" w:hAnsi="Book Antiqua"/>
          <w:sz w:val="24"/>
          <w:szCs w:val="24"/>
        </w:rPr>
        <w:t>n para el IV trimestre 2023</w:t>
      </w:r>
      <w:r>
        <w:rPr>
          <w:rFonts w:ascii="Book Antiqua" w:hAnsi="Book Antiqua"/>
          <w:sz w:val="24"/>
          <w:szCs w:val="24"/>
        </w:rPr>
        <w:t xml:space="preserve"> (se adjunta enlace al </w:t>
      </w:r>
      <w:hyperlink r:id="rId80" w:history="1">
        <w:r w:rsidRPr="00FD779F">
          <w:rPr>
            <w:rStyle w:val="Hipervnculo"/>
            <w:rFonts w:ascii="Book Antiqua" w:hAnsi="Book Antiqua"/>
            <w:sz w:val="24"/>
            <w:szCs w:val="24"/>
          </w:rPr>
          <w:t>oficio</w:t>
        </w:r>
      </w:hyperlink>
      <w:r>
        <w:rPr>
          <w:rFonts w:ascii="Book Antiqua" w:hAnsi="Book Antiqua"/>
          <w:sz w:val="24"/>
          <w:szCs w:val="24"/>
        </w:rPr>
        <w:t>).</w:t>
      </w:r>
    </w:p>
    <w:p w14:paraId="6987F6EF" w14:textId="77777777" w:rsidR="00FD779F" w:rsidRPr="00FD779F" w:rsidRDefault="00FD779F" w:rsidP="00A00E2F">
      <w:pPr>
        <w:spacing w:after="0"/>
        <w:jc w:val="both"/>
        <w:rPr>
          <w:rFonts w:ascii="Book Antiqua" w:hAnsi="Book Antiqua"/>
          <w:sz w:val="24"/>
          <w:szCs w:val="24"/>
        </w:rPr>
      </w:pPr>
    </w:p>
    <w:p w14:paraId="7A57576C" w14:textId="77606615" w:rsidR="00FD779F" w:rsidRPr="00FD779F" w:rsidRDefault="00FD779F" w:rsidP="00FD779F">
      <w:pPr>
        <w:spacing w:after="0"/>
        <w:jc w:val="both"/>
        <w:rPr>
          <w:rFonts w:ascii="Book Antiqua" w:hAnsi="Book Antiqua"/>
          <w:sz w:val="24"/>
          <w:szCs w:val="24"/>
        </w:rPr>
      </w:pPr>
      <w:r w:rsidRPr="00FD779F">
        <w:rPr>
          <w:rFonts w:ascii="Book Antiqua" w:hAnsi="Book Antiqua"/>
          <w:sz w:val="24"/>
          <w:szCs w:val="24"/>
        </w:rPr>
        <w:t xml:space="preserve">En </w:t>
      </w:r>
      <w:r>
        <w:rPr>
          <w:rFonts w:ascii="Book Antiqua" w:hAnsi="Book Antiqua"/>
          <w:sz w:val="24"/>
          <w:szCs w:val="24"/>
        </w:rPr>
        <w:t>el</w:t>
      </w:r>
      <w:r w:rsidRPr="00FD779F">
        <w:rPr>
          <w:rFonts w:ascii="Book Antiqua" w:hAnsi="Book Antiqua"/>
          <w:sz w:val="24"/>
          <w:szCs w:val="24"/>
        </w:rPr>
        <w:t xml:space="preserve"> siguiente </w:t>
      </w:r>
      <w:r>
        <w:rPr>
          <w:rFonts w:ascii="Book Antiqua" w:hAnsi="Book Antiqua"/>
          <w:sz w:val="24"/>
          <w:szCs w:val="24"/>
        </w:rPr>
        <w:t>recuadro</w:t>
      </w:r>
      <w:r w:rsidRPr="00FD779F">
        <w:rPr>
          <w:rFonts w:ascii="Book Antiqua" w:hAnsi="Book Antiqua"/>
          <w:sz w:val="24"/>
          <w:szCs w:val="24"/>
        </w:rPr>
        <w:t>, se presentan las fechas propuestas por la Dirección de Gestión Humana y las</w:t>
      </w:r>
      <w:r>
        <w:rPr>
          <w:rFonts w:ascii="Book Antiqua" w:hAnsi="Book Antiqua"/>
          <w:sz w:val="24"/>
          <w:szCs w:val="24"/>
        </w:rPr>
        <w:t xml:space="preserve"> </w:t>
      </w:r>
      <w:r w:rsidRPr="00FD779F">
        <w:rPr>
          <w:rFonts w:ascii="Book Antiqua" w:hAnsi="Book Antiqua"/>
          <w:sz w:val="24"/>
          <w:szCs w:val="24"/>
        </w:rPr>
        <w:t>fechas en las que el Consejo Superior debe</w:t>
      </w:r>
      <w:r>
        <w:rPr>
          <w:rFonts w:ascii="Book Antiqua" w:hAnsi="Book Antiqua"/>
          <w:sz w:val="24"/>
          <w:szCs w:val="24"/>
        </w:rPr>
        <w:t>rá</w:t>
      </w:r>
      <w:r w:rsidRPr="00FD779F">
        <w:rPr>
          <w:rFonts w:ascii="Book Antiqua" w:hAnsi="Book Antiqua"/>
          <w:sz w:val="24"/>
          <w:szCs w:val="24"/>
        </w:rPr>
        <w:t xml:space="preserve"> conocer el informe de prórroga</w:t>
      </w:r>
      <w:r>
        <w:rPr>
          <w:rFonts w:ascii="Book Antiqua" w:hAnsi="Book Antiqua"/>
          <w:sz w:val="24"/>
          <w:szCs w:val="24"/>
        </w:rPr>
        <w:t xml:space="preserve"> del IV trimestre 2023:</w:t>
      </w:r>
    </w:p>
    <w:p w14:paraId="3E1DE9D0" w14:textId="36ED1700" w:rsidR="00FD779F" w:rsidRDefault="00FD779F" w:rsidP="00A00E2F">
      <w:pPr>
        <w:spacing w:after="0"/>
        <w:jc w:val="both"/>
        <w:rPr>
          <w:rFonts w:ascii="Book Antiqua" w:hAnsi="Book Antiqua"/>
        </w:rPr>
      </w:pPr>
    </w:p>
    <w:p w14:paraId="409838CF" w14:textId="7FD450EA" w:rsidR="00FD779F" w:rsidRDefault="00FD779F" w:rsidP="00A00E2F">
      <w:pPr>
        <w:spacing w:after="0"/>
        <w:jc w:val="both"/>
        <w:rPr>
          <w:rFonts w:ascii="Book Antiqua" w:hAnsi="Book Antiqua"/>
        </w:rPr>
      </w:pPr>
      <w:r w:rsidRPr="00FD779F">
        <w:rPr>
          <w:rFonts w:ascii="Book Antiqua" w:hAnsi="Book Antiqua"/>
          <w:noProof/>
        </w:rPr>
        <w:drawing>
          <wp:inline distT="0" distB="0" distL="0" distR="0" wp14:anchorId="0A1B19D4" wp14:editId="433F30BD">
            <wp:extent cx="5612130" cy="700405"/>
            <wp:effectExtent l="0" t="0" r="7620" b="4445"/>
            <wp:docPr id="27" name="Picture 27"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Tabla&#10;&#10;Descripción generada automáticamente con confianza baja"/>
                    <pic:cNvPicPr/>
                  </pic:nvPicPr>
                  <pic:blipFill>
                    <a:blip r:embed="rId81"/>
                    <a:stretch>
                      <a:fillRect/>
                    </a:stretch>
                  </pic:blipFill>
                  <pic:spPr>
                    <a:xfrm>
                      <a:off x="0" y="0"/>
                      <a:ext cx="5612130" cy="700405"/>
                    </a:xfrm>
                    <a:prstGeom prst="rect">
                      <a:avLst/>
                    </a:prstGeom>
                  </pic:spPr>
                </pic:pic>
              </a:graphicData>
            </a:graphic>
          </wp:inline>
        </w:drawing>
      </w:r>
    </w:p>
    <w:p w14:paraId="0F312991" w14:textId="77777777" w:rsidR="00FD779F" w:rsidRDefault="00FD779F" w:rsidP="00A00E2F">
      <w:pPr>
        <w:spacing w:after="0"/>
        <w:jc w:val="both"/>
        <w:rPr>
          <w:rFonts w:ascii="Book Antiqua" w:hAnsi="Book Antiqua"/>
        </w:rPr>
      </w:pPr>
    </w:p>
    <w:p w14:paraId="579D2ACE" w14:textId="3D2347AD" w:rsidR="00B44A46" w:rsidRDefault="00C46173" w:rsidP="00B44A46">
      <w:pPr>
        <w:spacing w:after="0"/>
        <w:jc w:val="both"/>
        <w:rPr>
          <w:rFonts w:ascii="Book Antiqua" w:hAnsi="Book Antiqua"/>
        </w:rPr>
      </w:pPr>
      <w:r w:rsidRPr="00B44A46">
        <w:rPr>
          <w:rFonts w:ascii="Book Antiqua" w:hAnsi="Book Antiqua"/>
        </w:rPr>
        <w:t>Sobre es</w:t>
      </w:r>
      <w:r w:rsidR="00252A94" w:rsidRPr="00B44A46">
        <w:rPr>
          <w:rFonts w:ascii="Book Antiqua" w:hAnsi="Book Antiqua"/>
        </w:rPr>
        <w:t>te aspecto se considera lo siguiente:</w:t>
      </w:r>
      <w:r w:rsidR="00B44A46" w:rsidRPr="00E24FCA">
        <w:rPr>
          <w:rFonts w:ascii="Book Antiqua" w:hAnsi="Book Antiqua"/>
        </w:rPr>
        <w:t xml:space="preserve"> tiene b</w:t>
      </w:r>
      <w:r w:rsidR="4CB1AFE2" w:rsidRPr="00B44A46">
        <w:rPr>
          <w:rFonts w:ascii="Book Antiqua" w:hAnsi="Book Antiqua"/>
        </w:rPr>
        <w:t xml:space="preserve">eneficios </w:t>
      </w:r>
      <w:r w:rsidR="00B44A46" w:rsidRPr="00B44A46">
        <w:rPr>
          <w:rFonts w:ascii="Book Antiqua" w:hAnsi="Book Antiqua"/>
        </w:rPr>
        <w:t>el adelantar la fecha como p</w:t>
      </w:r>
      <w:r w:rsidR="00B44A46" w:rsidRPr="00E24FCA">
        <w:rPr>
          <w:rFonts w:ascii="Book Antiqua" w:hAnsi="Book Antiqua"/>
        </w:rPr>
        <w:t>agos continuos a los funcionarios que sustituyen en los PCGS otorgados bajo el amparo del artículo 44 de la LOPJ, asignados a Proyectos Institucionales, además se apoya las aprobaciones en ocupar la sustitución en los permisos, ya que no habría atrasos en el pago de salarios y se mejora el control de las proyecciones del comportamiento del gasto por programa presupuestario y cada una de las subpartidas, al pagar los salarios en sus debidas quincenas.</w:t>
      </w:r>
    </w:p>
    <w:p w14:paraId="0D817B96" w14:textId="77777777" w:rsidR="00BE773E" w:rsidRPr="00E24FCA" w:rsidRDefault="00BE773E" w:rsidP="00B44A46">
      <w:pPr>
        <w:spacing w:after="0"/>
        <w:jc w:val="both"/>
        <w:rPr>
          <w:rFonts w:ascii="Book Antiqua" w:hAnsi="Book Antiqua"/>
        </w:rPr>
      </w:pPr>
    </w:p>
    <w:p w14:paraId="576A5633" w14:textId="5091EFDF" w:rsidR="00B44A46" w:rsidRPr="00E24FCA" w:rsidRDefault="00B44A46" w:rsidP="00B44A46">
      <w:pPr>
        <w:spacing w:after="0"/>
        <w:jc w:val="both"/>
        <w:rPr>
          <w:rFonts w:ascii="Book Antiqua" w:hAnsi="Book Antiqua"/>
        </w:rPr>
      </w:pPr>
      <w:r w:rsidRPr="00E24FCA">
        <w:rPr>
          <w:rFonts w:ascii="Book Antiqua" w:hAnsi="Book Antiqua"/>
        </w:rPr>
        <w:t>A su vez, proyectos que son analizados mediante planes de trabajo</w:t>
      </w:r>
      <w:r>
        <w:rPr>
          <w:rFonts w:ascii="Book Antiqua" w:hAnsi="Book Antiqua"/>
        </w:rPr>
        <w:t xml:space="preserve"> y asignación de oficinas según los resultados obtenidos, tendrán que determinar previamente </w:t>
      </w:r>
      <w:r w:rsidR="009704B4">
        <w:rPr>
          <w:rFonts w:ascii="Book Antiqua" w:hAnsi="Book Antiqua"/>
        </w:rPr>
        <w:t>la ubicación del recurso o informar al Consejo Superior donde se asignara el recurso, una vez se cuente con los resultados de los planes.</w:t>
      </w:r>
    </w:p>
    <w:p w14:paraId="4F6F8D48" w14:textId="01D547A2" w:rsidR="00B44A46" w:rsidRDefault="00B44A46" w:rsidP="00B44A46">
      <w:pPr>
        <w:spacing w:after="0"/>
        <w:jc w:val="both"/>
        <w:rPr>
          <w:rFonts w:ascii="Book Antiqua" w:hAnsi="Book Antiqua"/>
          <w:highlight w:val="yellow"/>
        </w:rPr>
      </w:pPr>
    </w:p>
    <w:p w14:paraId="0164D59B" w14:textId="01D547A2" w:rsidR="00B44A46" w:rsidRDefault="00B44A46" w:rsidP="00B44A46">
      <w:pPr>
        <w:spacing w:after="0"/>
        <w:jc w:val="both"/>
        <w:rPr>
          <w:rFonts w:ascii="Book Antiqua" w:hAnsi="Book Antiqua"/>
          <w:highlight w:val="yellow"/>
        </w:rPr>
      </w:pPr>
    </w:p>
    <w:p w14:paraId="01818EC2" w14:textId="01D547A2" w:rsidR="00B44A46" w:rsidRDefault="00B44A46" w:rsidP="00B44A46">
      <w:pPr>
        <w:spacing w:after="0"/>
        <w:jc w:val="both"/>
        <w:rPr>
          <w:rFonts w:ascii="Book Antiqua" w:hAnsi="Book Antiqua"/>
          <w:highlight w:val="yellow"/>
        </w:rPr>
      </w:pPr>
    </w:p>
    <w:p w14:paraId="04661EB1" w14:textId="01D547A2" w:rsidR="00B44A46" w:rsidRDefault="00B44A46" w:rsidP="00B44A46">
      <w:pPr>
        <w:spacing w:after="0"/>
        <w:jc w:val="both"/>
        <w:rPr>
          <w:rFonts w:ascii="Book Antiqua" w:hAnsi="Book Antiqua"/>
          <w:highlight w:val="yellow"/>
        </w:rPr>
      </w:pPr>
    </w:p>
    <w:p w14:paraId="65B10F8F" w14:textId="53117C59" w:rsidR="00F41675" w:rsidRPr="00EF4E17" w:rsidRDefault="00F41675" w:rsidP="00EF4E17">
      <w:pPr>
        <w:pStyle w:val="Ttulo1"/>
        <w:spacing w:before="0"/>
        <w:ind w:left="360" w:hanging="360"/>
        <w:jc w:val="center"/>
        <w:rPr>
          <w:rFonts w:ascii="Book Antiqua" w:eastAsia="Wingdings" w:hAnsi="Book Antiqua"/>
          <w:b/>
          <w:bCs/>
          <w:color w:val="auto"/>
          <w:sz w:val="24"/>
          <w:szCs w:val="24"/>
          <w:lang w:eastAsia="ko-KR"/>
        </w:rPr>
      </w:pPr>
      <w:bookmarkStart w:id="141" w:name="_Toc138770873"/>
      <w:r w:rsidRPr="00EF4E17">
        <w:rPr>
          <w:rFonts w:ascii="Book Antiqua" w:eastAsia="Wingdings" w:hAnsi="Book Antiqua"/>
          <w:b/>
          <w:bCs/>
          <w:color w:val="auto"/>
          <w:sz w:val="24"/>
          <w:szCs w:val="24"/>
          <w:lang w:eastAsia="ko-KR"/>
        </w:rPr>
        <w:lastRenderedPageBreak/>
        <w:t xml:space="preserve">CAPÍTULO 5) </w:t>
      </w:r>
      <w:r w:rsidR="00842085" w:rsidRPr="00EF4E17">
        <w:rPr>
          <w:rFonts w:ascii="Book Antiqua" w:eastAsia="Wingdings" w:hAnsi="Book Antiqua"/>
          <w:b/>
          <w:bCs/>
          <w:color w:val="auto"/>
          <w:sz w:val="24"/>
          <w:szCs w:val="24"/>
          <w:lang w:eastAsia="ko-KR"/>
        </w:rPr>
        <w:t xml:space="preserve"> PRIORIZACIÓN DE PROYECTOS ESTRAT</w:t>
      </w:r>
      <w:r w:rsidR="00AB556E" w:rsidRPr="00EF4E17">
        <w:rPr>
          <w:rFonts w:ascii="Book Antiqua" w:eastAsia="Wingdings" w:hAnsi="Book Antiqua"/>
          <w:b/>
          <w:bCs/>
          <w:color w:val="auto"/>
          <w:sz w:val="24"/>
          <w:szCs w:val="24"/>
          <w:lang w:eastAsia="ko-KR"/>
        </w:rPr>
        <w:t>É</w:t>
      </w:r>
      <w:r w:rsidR="00842085" w:rsidRPr="00EF4E17">
        <w:rPr>
          <w:rFonts w:ascii="Book Antiqua" w:eastAsia="Wingdings" w:hAnsi="Book Antiqua"/>
          <w:b/>
          <w:bCs/>
          <w:color w:val="auto"/>
          <w:sz w:val="24"/>
          <w:szCs w:val="24"/>
          <w:lang w:eastAsia="ko-KR"/>
        </w:rPr>
        <w:t>GICOS</w:t>
      </w:r>
      <w:bookmarkEnd w:id="141"/>
      <w:r w:rsidR="00804271" w:rsidRPr="00EF4E17">
        <w:rPr>
          <w:rFonts w:ascii="Book Antiqua" w:eastAsia="Wingdings" w:hAnsi="Book Antiqua"/>
          <w:b/>
          <w:bCs/>
          <w:color w:val="auto"/>
          <w:sz w:val="24"/>
          <w:szCs w:val="24"/>
          <w:lang w:eastAsia="ko-KR"/>
        </w:rPr>
        <w:t xml:space="preserve"> </w:t>
      </w:r>
    </w:p>
    <w:p w14:paraId="6BDEEB0D" w14:textId="77777777" w:rsidR="007E7465" w:rsidRPr="004D61F7" w:rsidRDefault="007E7465" w:rsidP="00EF4E17">
      <w:pPr>
        <w:spacing w:after="0"/>
        <w:rPr>
          <w:lang w:eastAsia="ko-KR"/>
        </w:rPr>
      </w:pPr>
    </w:p>
    <w:p w14:paraId="446F2836" w14:textId="1F4AEE3B" w:rsidR="005F3D50" w:rsidRPr="004D61F7" w:rsidRDefault="002B0533" w:rsidP="00EF4E17">
      <w:pPr>
        <w:pStyle w:val="Ttulo2"/>
        <w:spacing w:before="0"/>
        <w:rPr>
          <w:rFonts w:ascii="Book Antiqua" w:eastAsia="Wingdings" w:hAnsi="Book Antiqua"/>
          <w:b/>
          <w:bCs/>
          <w:color w:val="auto"/>
          <w:lang w:eastAsia="ko-KR"/>
        </w:rPr>
      </w:pPr>
      <w:bookmarkStart w:id="142" w:name="_Toc138770874"/>
      <w:r w:rsidRPr="004D61F7">
        <w:rPr>
          <w:rFonts w:ascii="Book Antiqua" w:eastAsia="Wingdings" w:hAnsi="Book Antiqua"/>
          <w:b/>
          <w:bCs/>
          <w:color w:val="auto"/>
          <w:lang w:eastAsia="ko-KR"/>
        </w:rPr>
        <w:t>Antecedentes</w:t>
      </w:r>
      <w:r w:rsidR="005F3D50" w:rsidRPr="004D61F7">
        <w:rPr>
          <w:rFonts w:ascii="Book Antiqua" w:eastAsia="Wingdings" w:hAnsi="Book Antiqua"/>
          <w:b/>
          <w:bCs/>
          <w:color w:val="auto"/>
          <w:lang w:eastAsia="ko-KR"/>
        </w:rPr>
        <w:t xml:space="preserve"> </w:t>
      </w:r>
      <w:r w:rsidRPr="004D61F7">
        <w:rPr>
          <w:rFonts w:ascii="Book Antiqua" w:eastAsia="Wingdings" w:hAnsi="Book Antiqua"/>
          <w:b/>
          <w:bCs/>
          <w:color w:val="auto"/>
          <w:lang w:eastAsia="ko-KR"/>
        </w:rPr>
        <w:t>sobre la priorización de proyectos</w:t>
      </w:r>
      <w:r w:rsidR="005F3D50" w:rsidRPr="004D61F7">
        <w:rPr>
          <w:rFonts w:ascii="Book Antiqua" w:eastAsia="Wingdings" w:hAnsi="Book Antiqua"/>
          <w:b/>
          <w:bCs/>
          <w:color w:val="auto"/>
          <w:lang w:eastAsia="ko-KR"/>
        </w:rPr>
        <w:t xml:space="preserve"> </w:t>
      </w:r>
      <w:r w:rsidR="00180A80" w:rsidRPr="004D61F7">
        <w:rPr>
          <w:rFonts w:ascii="Book Antiqua" w:eastAsia="Wingdings" w:hAnsi="Book Antiqua"/>
          <w:b/>
          <w:bCs/>
          <w:color w:val="auto"/>
          <w:lang w:eastAsia="ko-KR"/>
        </w:rPr>
        <w:t xml:space="preserve">según metodología de </w:t>
      </w:r>
      <w:r w:rsidR="007B76DF" w:rsidRPr="004D61F7">
        <w:rPr>
          <w:rFonts w:ascii="Book Antiqua" w:eastAsia="Wingdings" w:hAnsi="Book Antiqua"/>
          <w:b/>
          <w:bCs/>
          <w:color w:val="auto"/>
          <w:lang w:eastAsia="ko-KR"/>
        </w:rPr>
        <w:t xml:space="preserve">Administración de </w:t>
      </w:r>
      <w:r w:rsidR="00180A80" w:rsidRPr="004D61F7">
        <w:rPr>
          <w:rFonts w:ascii="Book Antiqua" w:eastAsia="Wingdings" w:hAnsi="Book Antiqua"/>
          <w:b/>
          <w:bCs/>
          <w:color w:val="auto"/>
          <w:lang w:eastAsia="ko-KR"/>
        </w:rPr>
        <w:t>Porta</w:t>
      </w:r>
      <w:r w:rsidR="007B76DF" w:rsidRPr="004D61F7">
        <w:rPr>
          <w:rFonts w:ascii="Book Antiqua" w:eastAsia="Wingdings" w:hAnsi="Book Antiqua"/>
          <w:b/>
          <w:bCs/>
          <w:color w:val="auto"/>
          <w:lang w:eastAsia="ko-KR"/>
        </w:rPr>
        <w:t>folio de Proyectos Estratégicos</w:t>
      </w:r>
      <w:bookmarkEnd w:id="142"/>
    </w:p>
    <w:p w14:paraId="155D75A7" w14:textId="77777777" w:rsidR="00BE773E" w:rsidRDefault="00BE773E" w:rsidP="00EF4E17">
      <w:pPr>
        <w:spacing w:after="0"/>
        <w:jc w:val="both"/>
        <w:rPr>
          <w:rFonts w:ascii="Book Antiqua" w:eastAsia="Wingdings" w:hAnsi="Book Antiqua"/>
          <w:sz w:val="24"/>
          <w:szCs w:val="24"/>
          <w:lang w:eastAsia="ko-KR"/>
        </w:rPr>
      </w:pPr>
    </w:p>
    <w:p w14:paraId="78A6CC2A" w14:textId="6526C66F" w:rsidR="005D44A8" w:rsidRDefault="00F960AD" w:rsidP="00BE773E">
      <w:pPr>
        <w:spacing w:after="0"/>
        <w:jc w:val="both"/>
        <w:rPr>
          <w:rFonts w:ascii="Book Antiqua" w:eastAsia="Wingdings" w:hAnsi="Book Antiqua"/>
          <w:sz w:val="24"/>
          <w:szCs w:val="24"/>
          <w:lang w:eastAsia="ko-KR"/>
        </w:rPr>
      </w:pPr>
      <w:r w:rsidRPr="00F960AD">
        <w:rPr>
          <w:rFonts w:ascii="Book Antiqua" w:eastAsia="Wingdings" w:hAnsi="Book Antiqua"/>
          <w:sz w:val="24"/>
          <w:szCs w:val="24"/>
          <w:lang w:eastAsia="ko-KR"/>
        </w:rPr>
        <w:t>La Corte Plena en sesión No. 12-2023, celebrada el 20 de marzo de 2023, artículo XXIV, aprobó la propuesta de la Dirección de Planificación sobre la Metodología para la Administración de</w:t>
      </w:r>
      <w:r>
        <w:rPr>
          <w:rFonts w:ascii="Book Antiqua" w:eastAsia="Wingdings" w:hAnsi="Book Antiqua"/>
          <w:sz w:val="24"/>
          <w:szCs w:val="24"/>
          <w:lang w:eastAsia="ko-KR"/>
        </w:rPr>
        <w:t xml:space="preserve"> Portafolio de</w:t>
      </w:r>
      <w:r w:rsidRPr="00F960AD">
        <w:rPr>
          <w:rFonts w:ascii="Book Antiqua" w:eastAsia="Wingdings" w:hAnsi="Book Antiqua"/>
          <w:sz w:val="24"/>
          <w:szCs w:val="24"/>
          <w:lang w:eastAsia="ko-KR"/>
        </w:rPr>
        <w:t xml:space="preserve"> Proyectos Estratégicos del Poder Judicial </w:t>
      </w:r>
      <w:r w:rsidR="000A6794">
        <w:rPr>
          <w:rFonts w:ascii="Book Antiqua" w:eastAsia="Wingdings" w:hAnsi="Book Antiqua"/>
          <w:sz w:val="24"/>
          <w:szCs w:val="24"/>
          <w:lang w:eastAsia="ko-KR"/>
        </w:rPr>
        <w:t xml:space="preserve">la cual </w:t>
      </w:r>
      <w:r w:rsidR="005D44A8">
        <w:rPr>
          <w:rFonts w:ascii="Book Antiqua" w:eastAsia="Wingdings" w:hAnsi="Book Antiqua"/>
          <w:sz w:val="24"/>
          <w:szCs w:val="24"/>
          <w:lang w:eastAsia="ko-KR"/>
        </w:rPr>
        <w:t xml:space="preserve">determina </w:t>
      </w:r>
      <w:r w:rsidR="005D44A8" w:rsidRPr="005D44A8">
        <w:rPr>
          <w:rFonts w:ascii="Book Antiqua" w:eastAsia="Wingdings" w:hAnsi="Book Antiqua"/>
          <w:sz w:val="24"/>
          <w:szCs w:val="24"/>
          <w:lang w:eastAsia="ko-KR"/>
        </w:rPr>
        <w:t xml:space="preserve">la gestión de la cartera de proyectos estratégicos y </w:t>
      </w:r>
      <w:r w:rsidR="005D44A8">
        <w:rPr>
          <w:rFonts w:ascii="Book Antiqua" w:eastAsia="Wingdings" w:hAnsi="Book Antiqua"/>
          <w:sz w:val="24"/>
          <w:szCs w:val="24"/>
          <w:lang w:eastAsia="ko-KR"/>
        </w:rPr>
        <w:t>por medio de la cual, se</w:t>
      </w:r>
      <w:r w:rsidR="005D44A8" w:rsidRPr="005D44A8">
        <w:rPr>
          <w:rFonts w:ascii="Book Antiqua" w:eastAsia="Wingdings" w:hAnsi="Book Antiqua"/>
          <w:sz w:val="24"/>
          <w:szCs w:val="24"/>
          <w:lang w:eastAsia="ko-KR"/>
        </w:rPr>
        <w:t xml:space="preserve"> desarroll</w:t>
      </w:r>
      <w:r w:rsidR="005D44A8">
        <w:rPr>
          <w:rFonts w:ascii="Book Antiqua" w:eastAsia="Wingdings" w:hAnsi="Book Antiqua"/>
          <w:sz w:val="24"/>
          <w:szCs w:val="24"/>
          <w:lang w:eastAsia="ko-KR"/>
        </w:rPr>
        <w:t>a</w:t>
      </w:r>
      <w:r w:rsidR="005D44A8" w:rsidRPr="005D44A8">
        <w:rPr>
          <w:rFonts w:ascii="Book Antiqua" w:eastAsia="Wingdings" w:hAnsi="Book Antiqua"/>
          <w:sz w:val="24"/>
          <w:szCs w:val="24"/>
          <w:lang w:eastAsia="ko-KR"/>
        </w:rPr>
        <w:t xml:space="preserve"> un método de priorización que permita facilitar la toma de decisiones, definiendo cuales de estos proyectos permiten maximizan el alcance de los objetivos.</w:t>
      </w:r>
    </w:p>
    <w:p w14:paraId="1B977149" w14:textId="77777777" w:rsidR="00BE773E" w:rsidRDefault="00BE773E" w:rsidP="00EF4E17">
      <w:pPr>
        <w:spacing w:after="0"/>
        <w:jc w:val="both"/>
        <w:rPr>
          <w:rFonts w:ascii="Book Antiqua" w:eastAsia="Wingdings" w:hAnsi="Book Antiqua"/>
          <w:sz w:val="24"/>
          <w:szCs w:val="24"/>
          <w:lang w:eastAsia="ko-KR"/>
        </w:rPr>
      </w:pPr>
    </w:p>
    <w:p w14:paraId="13D1BAC3" w14:textId="1805A734" w:rsidR="007A35A3" w:rsidRDefault="007A35A3" w:rsidP="005D44A8">
      <w:pPr>
        <w:jc w:val="both"/>
        <w:rPr>
          <w:rFonts w:ascii="Book Antiqua" w:eastAsia="Wingdings" w:hAnsi="Book Antiqua"/>
          <w:sz w:val="24"/>
          <w:szCs w:val="24"/>
          <w:lang w:eastAsia="ko-KR"/>
        </w:rPr>
      </w:pPr>
      <w:r w:rsidRPr="00000B79">
        <w:rPr>
          <w:rFonts w:ascii="Book Antiqua" w:eastAsia="Wingdings" w:hAnsi="Book Antiqua"/>
          <w:sz w:val="24"/>
          <w:szCs w:val="24"/>
          <w:lang w:eastAsia="ko-KR"/>
        </w:rPr>
        <w:t>El proceso de conformación y administración de un portafolio de proyectos se compone de diferentes fases, las cuales poseen entradas y salidas de productos concretos.</w:t>
      </w:r>
      <w:r w:rsidR="00000B79">
        <w:rPr>
          <w:rFonts w:ascii="Book Antiqua" w:eastAsia="Wingdings" w:hAnsi="Book Antiqua"/>
          <w:sz w:val="24"/>
          <w:szCs w:val="24"/>
          <w:lang w:eastAsia="ko-KR"/>
        </w:rPr>
        <w:t xml:space="preserve"> La fase que se encuentra actualmente en aplicación es la 3 de Selección, que permite tener un ordenamiento de los proyectos de mayor a menor prioridad.</w:t>
      </w:r>
    </w:p>
    <w:p w14:paraId="2BEC45FE" w14:textId="6BC07CA3" w:rsidR="007B6F76" w:rsidRPr="000A3123" w:rsidRDefault="00BE773E" w:rsidP="000A3123">
      <w:pPr>
        <w:jc w:val="center"/>
        <w:rPr>
          <w:rFonts w:ascii="Book Antiqua" w:hAnsi="Book Antiqua"/>
          <w:b/>
          <w:bCs/>
          <w:sz w:val="24"/>
          <w:szCs w:val="24"/>
        </w:rPr>
      </w:pPr>
      <w:r w:rsidRPr="00413346">
        <w:rPr>
          <w:rFonts w:ascii="Book Antiqua" w:hAnsi="Book Antiqua" w:cs="&amp;quot"/>
          <w:b/>
          <w:sz w:val="24"/>
          <w:szCs w:val="24"/>
        </w:rPr>
        <w:t xml:space="preserve">Tabla </w:t>
      </w:r>
      <w:r w:rsidRPr="00413346">
        <w:rPr>
          <w:rFonts w:ascii="Book Antiqua" w:hAnsi="Book Antiqua" w:cs="&amp;quot"/>
          <w:b/>
          <w:i/>
          <w:iCs/>
          <w:sz w:val="24"/>
          <w:szCs w:val="24"/>
        </w:rPr>
        <w:fldChar w:fldCharType="begin"/>
      </w:r>
      <w:r w:rsidRPr="00413346">
        <w:rPr>
          <w:rFonts w:ascii="Book Antiqua" w:hAnsi="Book Antiqua" w:cs="&amp;quot"/>
          <w:b/>
          <w:sz w:val="24"/>
          <w:szCs w:val="24"/>
        </w:rPr>
        <w:instrText xml:space="preserve"> SEQ Tabla \* ARABIC </w:instrText>
      </w:r>
      <w:r w:rsidRPr="00413346">
        <w:rPr>
          <w:rFonts w:ascii="Book Antiqua" w:hAnsi="Book Antiqua" w:cs="&amp;quot"/>
          <w:b/>
          <w:i/>
          <w:iCs/>
          <w:sz w:val="24"/>
          <w:szCs w:val="24"/>
        </w:rPr>
        <w:fldChar w:fldCharType="separate"/>
      </w:r>
      <w:r>
        <w:rPr>
          <w:rFonts w:ascii="Book Antiqua" w:hAnsi="Book Antiqua" w:cs="&amp;quot"/>
          <w:b/>
          <w:noProof/>
          <w:sz w:val="24"/>
          <w:szCs w:val="24"/>
        </w:rPr>
        <w:t>43</w:t>
      </w:r>
      <w:r w:rsidRPr="00413346">
        <w:rPr>
          <w:rFonts w:ascii="Book Antiqua" w:hAnsi="Book Antiqua" w:cs="&amp;quot"/>
          <w:b/>
          <w:i/>
          <w:iCs/>
          <w:sz w:val="24"/>
          <w:szCs w:val="24"/>
        </w:rPr>
        <w:fldChar w:fldCharType="end"/>
      </w:r>
      <w:r w:rsidRPr="00413346">
        <w:rPr>
          <w:rFonts w:ascii="Book Antiqua" w:hAnsi="Book Antiqua" w:cs="&amp;quot"/>
          <w:b/>
          <w:i/>
          <w:iCs/>
          <w:sz w:val="24"/>
          <w:szCs w:val="24"/>
        </w:rPr>
        <w:t xml:space="preserve"> </w:t>
      </w:r>
      <w:r w:rsidR="000A3123" w:rsidRPr="00413346">
        <w:rPr>
          <w:rFonts w:ascii="Book Antiqua" w:hAnsi="Book Antiqua"/>
          <w:b/>
          <w:bCs/>
          <w:sz w:val="24"/>
          <w:szCs w:val="24"/>
        </w:rPr>
        <w:t>Detalle</w:t>
      </w:r>
      <w:r w:rsidR="000A3123">
        <w:rPr>
          <w:rFonts w:ascii="Book Antiqua" w:hAnsi="Book Antiqua"/>
          <w:b/>
          <w:bCs/>
          <w:sz w:val="24"/>
          <w:szCs w:val="24"/>
        </w:rPr>
        <w:t xml:space="preserve"> de la Fase III de la </w:t>
      </w:r>
      <w:r w:rsidR="000A3123" w:rsidRPr="000A3123">
        <w:rPr>
          <w:rFonts w:ascii="Book Antiqua" w:hAnsi="Book Antiqua"/>
          <w:b/>
          <w:bCs/>
          <w:sz w:val="24"/>
          <w:szCs w:val="24"/>
        </w:rPr>
        <w:t>Metodología para la Administración de Portafolio de Proyectos Estratégicos del Poder Judicial</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1"/>
        <w:gridCol w:w="4866"/>
        <w:gridCol w:w="3376"/>
      </w:tblGrid>
      <w:tr w:rsidR="00000B79" w:rsidRPr="004D61F7" w14:paraId="4B8B66A0" w14:textId="77777777" w:rsidTr="004D61F7">
        <w:trPr>
          <w:trHeight w:val="231"/>
          <w:jc w:val="center"/>
        </w:trPr>
        <w:tc>
          <w:tcPr>
            <w:tcW w:w="1361" w:type="dxa"/>
            <w:shd w:val="clear" w:color="auto" w:fill="D9D9D9" w:themeFill="background1" w:themeFillShade="D9"/>
            <w:tcMar>
              <w:top w:w="0" w:type="dxa"/>
              <w:left w:w="108" w:type="dxa"/>
              <w:bottom w:w="0" w:type="dxa"/>
              <w:right w:w="108" w:type="dxa"/>
            </w:tcMar>
            <w:vAlign w:val="center"/>
          </w:tcPr>
          <w:p w14:paraId="1B5FAAA3" w14:textId="3168C3D1" w:rsidR="00000B79" w:rsidRPr="004D61F7" w:rsidRDefault="00000B79" w:rsidP="004D61F7">
            <w:pPr>
              <w:jc w:val="center"/>
              <w:rPr>
                <w:rFonts w:ascii="Book Antiqua" w:hAnsi="Book Antiqua" w:cs="Times New Roman"/>
                <w:b/>
                <w:bCs/>
                <w:sz w:val="20"/>
                <w:szCs w:val="20"/>
              </w:rPr>
            </w:pPr>
            <w:r w:rsidRPr="004D61F7">
              <w:rPr>
                <w:rFonts w:ascii="Book Antiqua" w:hAnsi="Book Antiqua" w:cs="Times New Roman"/>
                <w:b/>
                <w:bCs/>
                <w:sz w:val="20"/>
                <w:szCs w:val="20"/>
              </w:rPr>
              <w:t>FASE</w:t>
            </w:r>
          </w:p>
        </w:tc>
        <w:tc>
          <w:tcPr>
            <w:tcW w:w="4866" w:type="dxa"/>
            <w:shd w:val="clear" w:color="auto" w:fill="D9D9D9" w:themeFill="background1" w:themeFillShade="D9"/>
            <w:tcMar>
              <w:top w:w="0" w:type="dxa"/>
              <w:left w:w="108" w:type="dxa"/>
              <w:bottom w:w="0" w:type="dxa"/>
              <w:right w:w="108" w:type="dxa"/>
            </w:tcMar>
            <w:vAlign w:val="center"/>
          </w:tcPr>
          <w:p w14:paraId="402202DF" w14:textId="1A969C56" w:rsidR="00000B79" w:rsidRPr="004D61F7" w:rsidRDefault="00000B79" w:rsidP="004D61F7">
            <w:pPr>
              <w:spacing w:before="120" w:after="0" w:line="240" w:lineRule="auto"/>
              <w:jc w:val="center"/>
              <w:rPr>
                <w:rFonts w:ascii="Book Antiqua" w:hAnsi="Book Antiqua" w:cs="Times New Roman"/>
                <w:b/>
                <w:bCs/>
                <w:sz w:val="20"/>
                <w:szCs w:val="20"/>
              </w:rPr>
            </w:pPr>
            <w:r w:rsidRPr="004D61F7">
              <w:rPr>
                <w:rFonts w:ascii="Book Antiqua" w:hAnsi="Book Antiqua" w:cs="Times New Roman"/>
                <w:b/>
                <w:bCs/>
                <w:sz w:val="20"/>
                <w:szCs w:val="20"/>
              </w:rPr>
              <w:t>Descripción</w:t>
            </w:r>
          </w:p>
        </w:tc>
        <w:tc>
          <w:tcPr>
            <w:tcW w:w="3376" w:type="dxa"/>
            <w:shd w:val="clear" w:color="auto" w:fill="D9D9D9" w:themeFill="background1" w:themeFillShade="D9"/>
            <w:tcMar>
              <w:top w:w="0" w:type="dxa"/>
              <w:left w:w="108" w:type="dxa"/>
              <w:bottom w:w="0" w:type="dxa"/>
              <w:right w:w="108" w:type="dxa"/>
            </w:tcMar>
            <w:vAlign w:val="center"/>
          </w:tcPr>
          <w:p w14:paraId="73D4F36C" w14:textId="45E850F6" w:rsidR="00000B79" w:rsidRPr="004D61F7" w:rsidRDefault="00000B79" w:rsidP="004D61F7">
            <w:pPr>
              <w:spacing w:before="120" w:after="0" w:line="240" w:lineRule="auto"/>
              <w:ind w:left="367"/>
              <w:jc w:val="center"/>
              <w:rPr>
                <w:rFonts w:ascii="Book Antiqua" w:hAnsi="Book Antiqua" w:cs="Times New Roman"/>
                <w:b/>
                <w:bCs/>
                <w:sz w:val="20"/>
                <w:szCs w:val="20"/>
              </w:rPr>
            </w:pPr>
            <w:r w:rsidRPr="004D61F7">
              <w:rPr>
                <w:rFonts w:ascii="Book Antiqua" w:hAnsi="Book Antiqua" w:cs="Times New Roman"/>
                <w:b/>
                <w:bCs/>
                <w:sz w:val="20"/>
                <w:szCs w:val="20"/>
              </w:rPr>
              <w:t>Productos</w:t>
            </w:r>
          </w:p>
        </w:tc>
      </w:tr>
      <w:tr w:rsidR="007A35A3" w:rsidRPr="004D61F7" w14:paraId="1A17BE9C" w14:textId="77777777" w:rsidTr="004D61F7">
        <w:trPr>
          <w:trHeight w:val="428"/>
          <w:jc w:val="center"/>
        </w:trPr>
        <w:tc>
          <w:tcPr>
            <w:tcW w:w="1361" w:type="dxa"/>
            <w:tcMar>
              <w:top w:w="0" w:type="dxa"/>
              <w:left w:w="108" w:type="dxa"/>
              <w:bottom w:w="0" w:type="dxa"/>
              <w:right w:w="108" w:type="dxa"/>
            </w:tcMar>
            <w:vAlign w:val="center"/>
            <w:hideMark/>
          </w:tcPr>
          <w:p w14:paraId="731CF8C4" w14:textId="77777777" w:rsidR="007A35A3" w:rsidRPr="004D61F7" w:rsidRDefault="007A35A3">
            <w:pPr>
              <w:rPr>
                <w:rFonts w:ascii="Book Antiqua" w:hAnsi="Book Antiqua" w:cs="Times New Roman"/>
                <w:b/>
                <w:bCs/>
                <w:sz w:val="20"/>
                <w:szCs w:val="20"/>
              </w:rPr>
            </w:pPr>
            <w:r w:rsidRPr="004D61F7">
              <w:rPr>
                <w:rFonts w:ascii="Book Antiqua" w:hAnsi="Book Antiqua" w:cs="Times New Roman"/>
                <w:b/>
                <w:bCs/>
                <w:sz w:val="20"/>
                <w:szCs w:val="20"/>
              </w:rPr>
              <w:t>FASE III: Selección</w:t>
            </w:r>
          </w:p>
        </w:tc>
        <w:tc>
          <w:tcPr>
            <w:tcW w:w="4866" w:type="dxa"/>
            <w:tcMar>
              <w:top w:w="0" w:type="dxa"/>
              <w:left w:w="108" w:type="dxa"/>
              <w:bottom w:w="0" w:type="dxa"/>
              <w:right w:w="108" w:type="dxa"/>
            </w:tcMar>
            <w:vAlign w:val="center"/>
            <w:hideMark/>
          </w:tcPr>
          <w:p w14:paraId="3980759C" w14:textId="77777777" w:rsidR="007A35A3" w:rsidRPr="004D61F7" w:rsidRDefault="007A35A3" w:rsidP="00155AE5">
            <w:pPr>
              <w:numPr>
                <w:ilvl w:val="0"/>
                <w:numId w:val="11"/>
              </w:numPr>
              <w:spacing w:before="120" w:after="0" w:line="240" w:lineRule="auto"/>
              <w:ind w:left="367"/>
              <w:jc w:val="both"/>
              <w:rPr>
                <w:rFonts w:ascii="Book Antiqua" w:hAnsi="Book Antiqua" w:cs="Times New Roman"/>
                <w:sz w:val="20"/>
                <w:szCs w:val="20"/>
              </w:rPr>
            </w:pPr>
            <w:r w:rsidRPr="004D61F7">
              <w:rPr>
                <w:rFonts w:ascii="Book Antiqua" w:hAnsi="Book Antiqua" w:cs="Times New Roman"/>
                <w:sz w:val="20"/>
                <w:szCs w:val="20"/>
              </w:rPr>
              <w:t>Asigna el valor de priorización de cada uno de los proyectos, utilizando los criterios de priorización definidos.</w:t>
            </w:r>
          </w:p>
          <w:p w14:paraId="102CA5A3" w14:textId="77777777" w:rsidR="007A35A3" w:rsidRPr="004D61F7" w:rsidRDefault="007A35A3" w:rsidP="00155AE5">
            <w:pPr>
              <w:numPr>
                <w:ilvl w:val="0"/>
                <w:numId w:val="11"/>
              </w:numPr>
              <w:spacing w:before="120" w:after="0" w:line="240" w:lineRule="auto"/>
              <w:ind w:left="367"/>
              <w:jc w:val="both"/>
              <w:rPr>
                <w:rFonts w:ascii="Book Antiqua" w:hAnsi="Book Antiqua" w:cs="Times New Roman"/>
                <w:sz w:val="20"/>
                <w:szCs w:val="20"/>
              </w:rPr>
            </w:pPr>
            <w:r w:rsidRPr="004D61F7">
              <w:rPr>
                <w:rFonts w:ascii="Book Antiqua" w:hAnsi="Book Antiqua" w:cs="Times New Roman"/>
                <w:sz w:val="20"/>
                <w:szCs w:val="20"/>
              </w:rPr>
              <w:t xml:space="preserve">Ordena los proyectos según el valor de priorización. </w:t>
            </w:r>
          </w:p>
          <w:p w14:paraId="1BDB0807" w14:textId="77777777" w:rsidR="007A35A3" w:rsidRPr="004D61F7" w:rsidRDefault="007A35A3" w:rsidP="00155AE5">
            <w:pPr>
              <w:numPr>
                <w:ilvl w:val="0"/>
                <w:numId w:val="11"/>
              </w:numPr>
              <w:spacing w:before="120" w:after="0" w:line="240" w:lineRule="auto"/>
              <w:ind w:left="367"/>
              <w:jc w:val="both"/>
              <w:rPr>
                <w:rFonts w:ascii="Book Antiqua" w:hAnsi="Book Antiqua" w:cs="Times New Roman"/>
                <w:sz w:val="20"/>
                <w:szCs w:val="20"/>
              </w:rPr>
            </w:pPr>
            <w:r w:rsidRPr="004D61F7">
              <w:rPr>
                <w:rFonts w:ascii="Book Antiqua" w:hAnsi="Book Antiqua" w:cs="Times New Roman"/>
                <w:sz w:val="20"/>
                <w:szCs w:val="20"/>
              </w:rPr>
              <w:t xml:space="preserve">Selecciona el portafolio óptimo de proyectos según los beneficios, los costos, los alcances, las limitaciones y los riesgos asociados. </w:t>
            </w:r>
          </w:p>
          <w:p w14:paraId="3CCFB5A8" w14:textId="77777777" w:rsidR="007A35A3" w:rsidRPr="004D61F7" w:rsidRDefault="007A35A3" w:rsidP="00155AE5">
            <w:pPr>
              <w:numPr>
                <w:ilvl w:val="0"/>
                <w:numId w:val="11"/>
              </w:numPr>
              <w:spacing w:before="120" w:after="0" w:line="240" w:lineRule="auto"/>
              <w:ind w:left="367"/>
              <w:jc w:val="both"/>
              <w:rPr>
                <w:rFonts w:ascii="Book Antiqua" w:hAnsi="Book Antiqua" w:cs="Times New Roman"/>
                <w:sz w:val="20"/>
                <w:szCs w:val="20"/>
              </w:rPr>
            </w:pPr>
            <w:r w:rsidRPr="004D61F7">
              <w:rPr>
                <w:rFonts w:ascii="Book Antiqua" w:hAnsi="Book Antiqua" w:cs="Times New Roman"/>
                <w:sz w:val="20"/>
                <w:szCs w:val="20"/>
              </w:rPr>
              <w:t>Obtiene la aprobación del portafolio que ofrece el beneficio óptimo.</w:t>
            </w:r>
          </w:p>
        </w:tc>
        <w:tc>
          <w:tcPr>
            <w:tcW w:w="3376" w:type="dxa"/>
            <w:tcMar>
              <w:top w:w="0" w:type="dxa"/>
              <w:left w:w="108" w:type="dxa"/>
              <w:bottom w:w="0" w:type="dxa"/>
              <w:right w:w="108" w:type="dxa"/>
            </w:tcMar>
            <w:vAlign w:val="center"/>
            <w:hideMark/>
          </w:tcPr>
          <w:p w14:paraId="0778C1F4" w14:textId="77777777" w:rsidR="007A35A3" w:rsidRPr="004D61F7" w:rsidRDefault="007A35A3" w:rsidP="00155AE5">
            <w:pPr>
              <w:numPr>
                <w:ilvl w:val="0"/>
                <w:numId w:val="11"/>
              </w:numPr>
              <w:spacing w:before="120" w:after="0" w:line="240" w:lineRule="auto"/>
              <w:ind w:left="367"/>
              <w:jc w:val="both"/>
              <w:rPr>
                <w:rFonts w:ascii="Book Antiqua" w:hAnsi="Book Antiqua" w:cs="Times New Roman"/>
                <w:sz w:val="20"/>
                <w:szCs w:val="20"/>
              </w:rPr>
            </w:pPr>
            <w:r w:rsidRPr="004D61F7">
              <w:rPr>
                <w:rFonts w:ascii="Book Antiqua" w:hAnsi="Book Antiqua" w:cs="Times New Roman"/>
                <w:sz w:val="20"/>
                <w:szCs w:val="20"/>
              </w:rPr>
              <w:t>Ordenamiento de los proyectos de mayor a menor prioridad.</w:t>
            </w:r>
          </w:p>
          <w:p w14:paraId="3EB571E7" w14:textId="77777777" w:rsidR="007A35A3" w:rsidRPr="004D61F7" w:rsidRDefault="007A35A3" w:rsidP="00155AE5">
            <w:pPr>
              <w:numPr>
                <w:ilvl w:val="0"/>
                <w:numId w:val="11"/>
              </w:numPr>
              <w:spacing w:before="120" w:after="0" w:line="240" w:lineRule="auto"/>
              <w:ind w:left="367"/>
              <w:jc w:val="both"/>
              <w:rPr>
                <w:rFonts w:ascii="Book Antiqua" w:hAnsi="Book Antiqua" w:cs="Times New Roman"/>
                <w:sz w:val="20"/>
                <w:szCs w:val="20"/>
              </w:rPr>
            </w:pPr>
            <w:r w:rsidRPr="004D61F7">
              <w:rPr>
                <w:rFonts w:ascii="Book Antiqua" w:hAnsi="Book Antiqua" w:cs="Times New Roman"/>
                <w:sz w:val="20"/>
                <w:szCs w:val="20"/>
              </w:rPr>
              <w:t xml:space="preserve">Cronograma general de la implementación de los proyectos. (Mapa de ruta). </w:t>
            </w:r>
          </w:p>
          <w:p w14:paraId="51DF709A" w14:textId="77777777" w:rsidR="007A35A3" w:rsidRPr="004D61F7" w:rsidRDefault="007A35A3" w:rsidP="00155AE5">
            <w:pPr>
              <w:numPr>
                <w:ilvl w:val="0"/>
                <w:numId w:val="11"/>
              </w:numPr>
              <w:spacing w:before="120" w:after="0" w:line="240" w:lineRule="auto"/>
              <w:ind w:left="367"/>
              <w:jc w:val="both"/>
              <w:rPr>
                <w:rFonts w:ascii="Book Antiqua" w:hAnsi="Book Antiqua" w:cs="Times New Roman"/>
                <w:sz w:val="20"/>
                <w:szCs w:val="20"/>
              </w:rPr>
            </w:pPr>
            <w:r w:rsidRPr="004D61F7">
              <w:rPr>
                <w:rFonts w:ascii="Book Antiqua" w:hAnsi="Book Antiqua" w:cs="Times New Roman"/>
                <w:sz w:val="20"/>
                <w:szCs w:val="20"/>
              </w:rPr>
              <w:t>Presupuestos plurianuales de inversión.</w:t>
            </w:r>
          </w:p>
          <w:p w14:paraId="03EF9AF1" w14:textId="77777777" w:rsidR="007A35A3" w:rsidRPr="004D61F7" w:rsidRDefault="007A35A3" w:rsidP="00155AE5">
            <w:pPr>
              <w:numPr>
                <w:ilvl w:val="0"/>
                <w:numId w:val="11"/>
              </w:numPr>
              <w:spacing w:before="120" w:after="0" w:line="240" w:lineRule="auto"/>
              <w:ind w:left="367"/>
              <w:jc w:val="both"/>
              <w:rPr>
                <w:rFonts w:ascii="Book Antiqua" w:hAnsi="Book Antiqua" w:cs="Times New Roman"/>
                <w:sz w:val="20"/>
                <w:szCs w:val="20"/>
              </w:rPr>
            </w:pPr>
            <w:r w:rsidRPr="004D61F7">
              <w:rPr>
                <w:rFonts w:ascii="Book Antiqua" w:hAnsi="Book Antiqua" w:cs="Times New Roman"/>
                <w:sz w:val="20"/>
                <w:szCs w:val="20"/>
              </w:rPr>
              <w:t xml:space="preserve">Aprobación de la implementación del portafolio de proyectos priorizados. </w:t>
            </w:r>
          </w:p>
        </w:tc>
      </w:tr>
    </w:tbl>
    <w:p w14:paraId="6751B8DE" w14:textId="6EA00757" w:rsidR="007A35A3" w:rsidRPr="00000B79" w:rsidRDefault="00000B79" w:rsidP="005D44A8">
      <w:pPr>
        <w:jc w:val="both"/>
        <w:rPr>
          <w:rFonts w:ascii="Book Antiqua" w:eastAsia="Wingdings" w:hAnsi="Book Antiqua"/>
          <w:sz w:val="18"/>
          <w:szCs w:val="18"/>
          <w:lang w:eastAsia="ko-KR"/>
        </w:rPr>
      </w:pPr>
      <w:r w:rsidRPr="00000B79">
        <w:rPr>
          <w:rFonts w:ascii="Book Antiqua" w:eastAsia="Wingdings" w:hAnsi="Book Antiqua"/>
          <w:sz w:val="18"/>
          <w:szCs w:val="18"/>
          <w:lang w:eastAsia="ko-KR"/>
        </w:rPr>
        <w:t>Fuente: Metodología para la Administración de Portafolio de Proyectos Estratégicos del Poder Judicial</w:t>
      </w:r>
    </w:p>
    <w:p w14:paraId="4580DA8C" w14:textId="4BF1C8E4" w:rsidR="00000B79" w:rsidRDefault="00482023" w:rsidP="00B4129A">
      <w:pPr>
        <w:jc w:val="both"/>
        <w:rPr>
          <w:rFonts w:ascii="Book Antiqua" w:eastAsia="Wingdings" w:hAnsi="Book Antiqua"/>
          <w:sz w:val="24"/>
          <w:szCs w:val="24"/>
          <w:lang w:eastAsia="ko-KR"/>
        </w:rPr>
      </w:pPr>
      <w:r>
        <w:rPr>
          <w:rFonts w:ascii="Book Antiqua" w:eastAsia="Wingdings" w:hAnsi="Book Antiqua"/>
          <w:sz w:val="24"/>
          <w:szCs w:val="24"/>
          <w:lang w:eastAsia="ko-KR"/>
        </w:rPr>
        <w:t xml:space="preserve">Como parte de los antecedentes de la metodología, se tiene que en </w:t>
      </w:r>
      <w:r w:rsidR="002D78E0">
        <w:rPr>
          <w:rFonts w:ascii="Book Antiqua" w:eastAsia="Wingdings" w:hAnsi="Book Antiqua"/>
          <w:sz w:val="24"/>
          <w:szCs w:val="24"/>
          <w:lang w:eastAsia="ko-KR"/>
        </w:rPr>
        <w:t>los</w:t>
      </w:r>
      <w:r>
        <w:rPr>
          <w:rFonts w:ascii="Book Antiqua" w:eastAsia="Wingdings" w:hAnsi="Book Antiqua"/>
          <w:sz w:val="24"/>
          <w:szCs w:val="24"/>
          <w:lang w:eastAsia="ko-KR"/>
        </w:rPr>
        <w:t xml:space="preserve"> mes</w:t>
      </w:r>
      <w:r w:rsidR="002D78E0">
        <w:rPr>
          <w:rFonts w:ascii="Book Antiqua" w:eastAsia="Wingdings" w:hAnsi="Book Antiqua"/>
          <w:sz w:val="24"/>
          <w:szCs w:val="24"/>
          <w:lang w:eastAsia="ko-KR"/>
        </w:rPr>
        <w:t>es</w:t>
      </w:r>
      <w:r>
        <w:rPr>
          <w:rFonts w:ascii="Book Antiqua" w:eastAsia="Wingdings" w:hAnsi="Book Antiqua"/>
          <w:sz w:val="24"/>
          <w:szCs w:val="24"/>
          <w:lang w:eastAsia="ko-KR"/>
        </w:rPr>
        <w:t xml:space="preserve"> de</w:t>
      </w:r>
      <w:r w:rsidR="002D78E0">
        <w:rPr>
          <w:rFonts w:ascii="Book Antiqua" w:eastAsia="Wingdings" w:hAnsi="Book Antiqua"/>
          <w:sz w:val="24"/>
          <w:szCs w:val="24"/>
          <w:lang w:eastAsia="ko-KR"/>
        </w:rPr>
        <w:t xml:space="preserve"> otubre y noviembre del 2022 se les realizó la consulta a todos los líderes de proyectos sobre cual seria los 5 criterios de priorización de los proyectos que lideran los cuales son, según la metodología:</w:t>
      </w:r>
    </w:p>
    <w:p w14:paraId="66345A3E" w14:textId="527A5BE5" w:rsidR="002D78E0" w:rsidRDefault="000A3123" w:rsidP="000A3123">
      <w:pPr>
        <w:jc w:val="center"/>
        <w:rPr>
          <w:rFonts w:ascii="Book Antiqua" w:eastAsia="Wingdings" w:hAnsi="Book Antiqua"/>
          <w:sz w:val="24"/>
          <w:szCs w:val="24"/>
          <w:lang w:eastAsia="ko-KR"/>
        </w:rPr>
      </w:pPr>
      <w:r w:rsidRPr="000A3123">
        <w:rPr>
          <w:rFonts w:ascii="Book Antiqua" w:hAnsi="Book Antiqua"/>
          <w:b/>
          <w:bCs/>
          <w:sz w:val="24"/>
          <w:szCs w:val="24"/>
        </w:rPr>
        <w:lastRenderedPageBreak/>
        <w:t xml:space="preserve">Tabla </w:t>
      </w:r>
      <w:r w:rsidRPr="000A3123">
        <w:rPr>
          <w:rFonts w:ascii="Book Antiqua" w:hAnsi="Book Antiqua"/>
          <w:b/>
          <w:bCs/>
          <w:sz w:val="24"/>
          <w:szCs w:val="24"/>
        </w:rPr>
        <w:fldChar w:fldCharType="begin"/>
      </w:r>
      <w:r w:rsidRPr="000A3123">
        <w:rPr>
          <w:rFonts w:ascii="Book Antiqua" w:hAnsi="Book Antiqua"/>
          <w:b/>
          <w:bCs/>
          <w:sz w:val="24"/>
          <w:szCs w:val="24"/>
        </w:rPr>
        <w:instrText xml:space="preserve"> SEQ Tabla \* ARABIC </w:instrText>
      </w:r>
      <w:r w:rsidRPr="000A3123">
        <w:rPr>
          <w:rFonts w:ascii="Book Antiqua" w:hAnsi="Book Antiqua"/>
          <w:b/>
          <w:bCs/>
          <w:sz w:val="24"/>
          <w:szCs w:val="24"/>
        </w:rPr>
        <w:fldChar w:fldCharType="separate"/>
      </w:r>
      <w:r w:rsidR="00BE773E">
        <w:rPr>
          <w:rFonts w:ascii="Book Antiqua" w:hAnsi="Book Antiqua"/>
          <w:b/>
          <w:bCs/>
          <w:noProof/>
          <w:sz w:val="24"/>
          <w:szCs w:val="24"/>
        </w:rPr>
        <w:t>44</w:t>
      </w:r>
      <w:r w:rsidRPr="000A3123">
        <w:rPr>
          <w:rFonts w:ascii="Book Antiqua" w:hAnsi="Book Antiqua"/>
          <w:b/>
          <w:bCs/>
          <w:sz w:val="24"/>
          <w:szCs w:val="24"/>
        </w:rPr>
        <w:fldChar w:fldCharType="end"/>
      </w:r>
      <w:r w:rsidRPr="000A3123">
        <w:rPr>
          <w:rFonts w:ascii="Book Antiqua" w:hAnsi="Book Antiqua"/>
          <w:b/>
          <w:bCs/>
          <w:sz w:val="24"/>
          <w:szCs w:val="24"/>
        </w:rPr>
        <w:t xml:space="preserve"> </w:t>
      </w:r>
      <w:r w:rsidRPr="00413346">
        <w:rPr>
          <w:rFonts w:ascii="Book Antiqua" w:hAnsi="Book Antiqua"/>
          <w:b/>
          <w:bCs/>
          <w:sz w:val="24"/>
          <w:szCs w:val="24"/>
        </w:rPr>
        <w:t>Detalle</w:t>
      </w:r>
      <w:r w:rsidRPr="000A3123">
        <w:rPr>
          <w:rFonts w:ascii="Book Antiqua" w:hAnsi="Book Antiqua"/>
          <w:b/>
          <w:bCs/>
          <w:sz w:val="24"/>
          <w:szCs w:val="24"/>
        </w:rPr>
        <w:t xml:space="preserve"> </w:t>
      </w:r>
      <w:r>
        <w:rPr>
          <w:rFonts w:ascii="Book Antiqua" w:hAnsi="Book Antiqua"/>
          <w:b/>
          <w:bCs/>
          <w:sz w:val="24"/>
          <w:szCs w:val="24"/>
        </w:rPr>
        <w:t xml:space="preserve">de los criterios, definición y peso porcentual establecidos en la </w:t>
      </w:r>
      <w:r w:rsidRPr="000A3123">
        <w:rPr>
          <w:rFonts w:ascii="Book Antiqua" w:hAnsi="Book Antiqua"/>
          <w:b/>
          <w:bCs/>
          <w:sz w:val="24"/>
          <w:szCs w:val="24"/>
        </w:rPr>
        <w:t>Metodología para la Administración de Portafolio de Proyectos Estratégicos del Poder Judicial</w:t>
      </w:r>
    </w:p>
    <w:tbl>
      <w:tblPr>
        <w:tblW w:w="8830" w:type="dxa"/>
        <w:jc w:val="center"/>
        <w:tblCellMar>
          <w:left w:w="0" w:type="dxa"/>
          <w:right w:w="0" w:type="dxa"/>
        </w:tblCellMar>
        <w:tblLook w:val="04A0" w:firstRow="1" w:lastRow="0" w:firstColumn="1" w:lastColumn="0" w:noHBand="0" w:noVBand="1"/>
      </w:tblPr>
      <w:tblGrid>
        <w:gridCol w:w="1685"/>
        <w:gridCol w:w="5681"/>
        <w:gridCol w:w="1464"/>
      </w:tblGrid>
      <w:tr w:rsidR="004B7F92" w:rsidRPr="004B7F92" w14:paraId="57967EC2" w14:textId="77777777" w:rsidTr="004B7F92">
        <w:trPr>
          <w:trHeight w:val="386"/>
          <w:jc w:val="center"/>
        </w:trPr>
        <w:tc>
          <w:tcPr>
            <w:tcW w:w="1685"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4F5C7D72" w14:textId="77777777" w:rsidR="004B7F92" w:rsidRPr="004B7F92" w:rsidRDefault="004B7F92">
            <w:pPr>
              <w:jc w:val="center"/>
              <w:rPr>
                <w:rFonts w:ascii="Book Antiqua" w:hAnsi="Book Antiqua" w:cs="Times New Roman"/>
                <w:b/>
                <w:bCs/>
                <w:color w:val="1F4E79"/>
                <w:sz w:val="20"/>
                <w:szCs w:val="20"/>
              </w:rPr>
            </w:pPr>
            <w:r w:rsidRPr="004B7F92">
              <w:rPr>
                <w:rFonts w:ascii="Book Antiqua" w:hAnsi="Book Antiqua" w:cs="Times New Roman"/>
                <w:b/>
                <w:bCs/>
                <w:color w:val="1F4E79"/>
                <w:sz w:val="20"/>
                <w:szCs w:val="20"/>
              </w:rPr>
              <w:t>Criterio</w:t>
            </w:r>
          </w:p>
        </w:tc>
        <w:tc>
          <w:tcPr>
            <w:tcW w:w="5681"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A4564B1" w14:textId="77777777" w:rsidR="004B7F92" w:rsidRPr="004B7F92" w:rsidRDefault="004B7F92">
            <w:pPr>
              <w:jc w:val="center"/>
              <w:rPr>
                <w:rFonts w:ascii="Book Antiqua" w:hAnsi="Book Antiqua" w:cs="Times New Roman"/>
                <w:b/>
                <w:bCs/>
                <w:color w:val="1F4E79"/>
                <w:sz w:val="20"/>
                <w:szCs w:val="20"/>
              </w:rPr>
            </w:pPr>
            <w:r w:rsidRPr="004B7F92">
              <w:rPr>
                <w:rFonts w:ascii="Book Antiqua" w:hAnsi="Book Antiqua" w:cs="Times New Roman"/>
                <w:b/>
                <w:bCs/>
                <w:color w:val="1F4E79"/>
                <w:sz w:val="20"/>
                <w:szCs w:val="20"/>
              </w:rPr>
              <w:t>Definición</w:t>
            </w:r>
          </w:p>
        </w:tc>
        <w:tc>
          <w:tcPr>
            <w:tcW w:w="1464"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4334B1D1" w14:textId="77777777" w:rsidR="004B7F92" w:rsidRPr="004B7F92" w:rsidRDefault="004B7F92">
            <w:pPr>
              <w:jc w:val="center"/>
              <w:rPr>
                <w:rFonts w:ascii="Book Antiqua" w:hAnsi="Book Antiqua" w:cs="Times New Roman"/>
                <w:b/>
                <w:bCs/>
                <w:color w:val="1F4E79"/>
                <w:sz w:val="20"/>
                <w:szCs w:val="20"/>
              </w:rPr>
            </w:pPr>
            <w:r w:rsidRPr="004B7F92">
              <w:rPr>
                <w:rFonts w:ascii="Book Antiqua" w:hAnsi="Book Antiqua" w:cs="Times New Roman"/>
                <w:b/>
                <w:bCs/>
                <w:color w:val="1F4E79"/>
                <w:sz w:val="20"/>
                <w:szCs w:val="20"/>
              </w:rPr>
              <w:t>Peso Porcentual</w:t>
            </w:r>
          </w:p>
        </w:tc>
      </w:tr>
      <w:tr w:rsidR="004B7F92" w:rsidRPr="004B7F92" w14:paraId="1987103C" w14:textId="77777777" w:rsidTr="004B7F92">
        <w:trPr>
          <w:trHeight w:val="20"/>
          <w:jc w:val="center"/>
        </w:trPr>
        <w:tc>
          <w:tcPr>
            <w:tcW w:w="1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89BE87" w14:textId="77777777" w:rsidR="004B7F92" w:rsidRPr="004B7F92" w:rsidRDefault="004B7F92">
            <w:pPr>
              <w:rPr>
                <w:rFonts w:ascii="Book Antiqua" w:hAnsi="Book Antiqua" w:cs="Times New Roman"/>
                <w:sz w:val="20"/>
                <w:szCs w:val="20"/>
              </w:rPr>
            </w:pPr>
            <w:r w:rsidRPr="004B7F92">
              <w:rPr>
                <w:rFonts w:ascii="Book Antiqua" w:hAnsi="Book Antiqua" w:cs="Times New Roman"/>
                <w:sz w:val="20"/>
                <w:szCs w:val="20"/>
              </w:rPr>
              <w:t>Alineamiento estratégico</w:t>
            </w:r>
          </w:p>
        </w:tc>
        <w:tc>
          <w:tcPr>
            <w:tcW w:w="5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5F2A05" w14:textId="77777777" w:rsidR="004B7F92" w:rsidRPr="004B7F92" w:rsidRDefault="004B7F92">
            <w:pPr>
              <w:jc w:val="both"/>
              <w:rPr>
                <w:rFonts w:ascii="Book Antiqua" w:hAnsi="Book Antiqua" w:cs="Times New Roman"/>
                <w:sz w:val="20"/>
                <w:szCs w:val="20"/>
              </w:rPr>
            </w:pPr>
            <w:r w:rsidRPr="004B7F92">
              <w:rPr>
                <w:rFonts w:ascii="Book Antiqua" w:hAnsi="Book Antiqua" w:cs="Times New Roman"/>
                <w:sz w:val="20"/>
                <w:szCs w:val="20"/>
              </w:rPr>
              <w:t>Las iniciativas o proyectos que se ejecutan en la institución deben estar alineados con la estrategia, cada proyecto debe responder a la materialización de alguna meta estratégica y su importancia deberá estar en función de las prioridades institucionales.</w:t>
            </w:r>
          </w:p>
        </w:tc>
        <w:tc>
          <w:tcPr>
            <w:tcW w:w="14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DBC7A6" w14:textId="77777777" w:rsidR="004B7F92" w:rsidRPr="004B7F92" w:rsidRDefault="004B7F92">
            <w:pPr>
              <w:jc w:val="center"/>
              <w:rPr>
                <w:rFonts w:ascii="Book Antiqua" w:hAnsi="Book Antiqua" w:cs="Times New Roman"/>
                <w:sz w:val="20"/>
                <w:szCs w:val="20"/>
              </w:rPr>
            </w:pPr>
            <w:r w:rsidRPr="004B7F92">
              <w:rPr>
                <w:rFonts w:ascii="Book Antiqua" w:hAnsi="Book Antiqua" w:cs="Times New Roman"/>
                <w:sz w:val="20"/>
                <w:szCs w:val="20"/>
              </w:rPr>
              <w:t>30%</w:t>
            </w:r>
          </w:p>
        </w:tc>
      </w:tr>
      <w:tr w:rsidR="004B7F92" w:rsidRPr="004B7F92" w14:paraId="54ADFC4D" w14:textId="77777777" w:rsidTr="004B7F92">
        <w:trPr>
          <w:trHeight w:val="20"/>
          <w:jc w:val="center"/>
        </w:trPr>
        <w:tc>
          <w:tcPr>
            <w:tcW w:w="1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869AF8" w14:textId="77777777" w:rsidR="004B7F92" w:rsidRPr="004B7F92" w:rsidRDefault="004B7F92">
            <w:pPr>
              <w:rPr>
                <w:rFonts w:ascii="Book Antiqua" w:hAnsi="Book Antiqua" w:cs="Times New Roman"/>
                <w:sz w:val="20"/>
                <w:szCs w:val="20"/>
              </w:rPr>
            </w:pPr>
            <w:r w:rsidRPr="004B7F92">
              <w:rPr>
                <w:rFonts w:ascii="Book Antiqua" w:hAnsi="Book Antiqua" w:cs="Times New Roman"/>
                <w:sz w:val="20"/>
                <w:szCs w:val="20"/>
              </w:rPr>
              <w:t>Retorno Social de la Inversión (SROI)</w:t>
            </w:r>
          </w:p>
        </w:tc>
        <w:tc>
          <w:tcPr>
            <w:tcW w:w="5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F41FBE" w14:textId="77777777" w:rsidR="004B7F92" w:rsidRPr="004B7F92" w:rsidRDefault="004B7F92">
            <w:pPr>
              <w:spacing w:before="120" w:after="120"/>
              <w:jc w:val="both"/>
              <w:rPr>
                <w:rFonts w:ascii="Book Antiqua" w:hAnsi="Book Antiqua" w:cs="Times New Roman"/>
                <w:sz w:val="20"/>
                <w:szCs w:val="20"/>
              </w:rPr>
            </w:pPr>
            <w:r w:rsidRPr="004B7F92">
              <w:rPr>
                <w:rFonts w:ascii="Book Antiqua" w:hAnsi="Book Antiqua" w:cs="Times New Roman"/>
                <w:sz w:val="20"/>
                <w:szCs w:val="20"/>
              </w:rPr>
              <w:t>Según lo establece la Metodología de Administración de Proyectos, este indicador se obtiene durante la fase de formulación del proyecto, al momento de la elaboración del estudio de factibilidad y se calcula de la siguiente forma:</w:t>
            </w:r>
          </w:p>
          <w:p w14:paraId="33729B69" w14:textId="77777777" w:rsidR="004B7F92" w:rsidRPr="004B7F92" w:rsidRDefault="004B7F92">
            <w:pPr>
              <w:spacing w:before="120" w:after="120" w:line="252" w:lineRule="auto"/>
              <w:jc w:val="both"/>
              <w:rPr>
                <w:rFonts w:ascii="Book Antiqua" w:hAnsi="Book Antiqua" w:cs="Times New Roman"/>
                <w:sz w:val="20"/>
                <w:szCs w:val="20"/>
              </w:rPr>
            </w:pPr>
            <m:oMathPara>
              <m:oMath>
                <m:r>
                  <w:rPr>
                    <w:rFonts w:ascii="Cambria Math" w:hAnsi="Cambria Math"/>
                    <w:sz w:val="20"/>
                    <w:szCs w:val="20"/>
                  </w:rPr>
                  <m:t xml:space="preserve">SROI= </m:t>
                </m:r>
                <m:f>
                  <m:fPr>
                    <m:ctrlPr>
                      <w:rPr>
                        <w:rFonts w:ascii="Cambria Math" w:hAnsi="Cambria Math" w:cs="Calibri"/>
                        <w:i/>
                        <w:iCs/>
                        <w:sz w:val="20"/>
                        <w:szCs w:val="20"/>
                      </w:rPr>
                    </m:ctrlPr>
                  </m:fPr>
                  <m:num>
                    <m:r>
                      <w:rPr>
                        <w:rFonts w:ascii="Cambria Math" w:hAnsi="Cambria Math"/>
                        <w:sz w:val="20"/>
                        <w:szCs w:val="20"/>
                      </w:rPr>
                      <m:t>Beneficios totales</m:t>
                    </m:r>
                  </m:num>
                  <m:den>
                    <m:r>
                      <w:rPr>
                        <w:rFonts w:ascii="Cambria Math" w:hAnsi="Cambria Math"/>
                        <w:sz w:val="20"/>
                        <w:szCs w:val="20"/>
                      </w:rPr>
                      <m:t xml:space="preserve">Costo total de inversión </m:t>
                    </m:r>
                  </m:den>
                </m:f>
              </m:oMath>
            </m:oMathPara>
          </w:p>
        </w:tc>
        <w:tc>
          <w:tcPr>
            <w:tcW w:w="14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C0C763" w14:textId="77777777" w:rsidR="004B7F92" w:rsidRPr="004B7F92" w:rsidRDefault="004B7F92">
            <w:pPr>
              <w:jc w:val="center"/>
              <w:rPr>
                <w:rFonts w:ascii="Book Antiqua" w:hAnsi="Book Antiqua" w:cs="Times New Roman"/>
                <w:sz w:val="20"/>
                <w:szCs w:val="20"/>
              </w:rPr>
            </w:pPr>
            <w:r w:rsidRPr="004B7F92">
              <w:rPr>
                <w:rFonts w:ascii="Book Antiqua" w:hAnsi="Book Antiqua" w:cs="Times New Roman"/>
                <w:sz w:val="20"/>
                <w:szCs w:val="20"/>
              </w:rPr>
              <w:t>25%</w:t>
            </w:r>
          </w:p>
        </w:tc>
      </w:tr>
      <w:tr w:rsidR="004B7F92" w:rsidRPr="004B7F92" w14:paraId="5797C642" w14:textId="77777777" w:rsidTr="004B7F92">
        <w:trPr>
          <w:trHeight w:val="20"/>
          <w:jc w:val="center"/>
        </w:trPr>
        <w:tc>
          <w:tcPr>
            <w:tcW w:w="1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B4FFEC" w14:textId="77777777" w:rsidR="004B7F92" w:rsidRPr="004B7F92" w:rsidRDefault="004B7F92">
            <w:pPr>
              <w:rPr>
                <w:rFonts w:ascii="Book Antiqua" w:hAnsi="Book Antiqua" w:cs="Times New Roman"/>
                <w:sz w:val="20"/>
                <w:szCs w:val="20"/>
              </w:rPr>
            </w:pPr>
            <w:r w:rsidRPr="004B7F92">
              <w:rPr>
                <w:rFonts w:ascii="Book Antiqua" w:hAnsi="Book Antiqua" w:cs="Times New Roman"/>
                <w:sz w:val="20"/>
                <w:szCs w:val="20"/>
              </w:rPr>
              <w:t>Regulatorio / mandatorio</w:t>
            </w:r>
          </w:p>
        </w:tc>
        <w:tc>
          <w:tcPr>
            <w:tcW w:w="5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CAD46F" w14:textId="77777777" w:rsidR="004B7F92" w:rsidRPr="004B7F92" w:rsidRDefault="004B7F92">
            <w:pPr>
              <w:jc w:val="both"/>
              <w:rPr>
                <w:rFonts w:ascii="Book Antiqua" w:hAnsi="Book Antiqua" w:cs="Times New Roman"/>
                <w:sz w:val="20"/>
                <w:szCs w:val="20"/>
              </w:rPr>
            </w:pPr>
            <w:r w:rsidRPr="004B7F92">
              <w:rPr>
                <w:rFonts w:ascii="Book Antiqua" w:hAnsi="Book Antiqua" w:cs="Times New Roman"/>
                <w:sz w:val="20"/>
                <w:szCs w:val="20"/>
              </w:rPr>
              <w:t xml:space="preserve">El proyecto es necesario para cumplir con una obligación o necesidad, es decir, responde a cumplir con un marco legal o reglamentario, de cumplimiento legal. </w:t>
            </w:r>
          </w:p>
        </w:tc>
        <w:tc>
          <w:tcPr>
            <w:tcW w:w="14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4455AF" w14:textId="77777777" w:rsidR="004B7F92" w:rsidRPr="004B7F92" w:rsidRDefault="004B7F92">
            <w:pPr>
              <w:jc w:val="center"/>
              <w:rPr>
                <w:rFonts w:ascii="Book Antiqua" w:hAnsi="Book Antiqua" w:cs="Times New Roman"/>
                <w:sz w:val="20"/>
                <w:szCs w:val="20"/>
              </w:rPr>
            </w:pPr>
            <w:r w:rsidRPr="004B7F92">
              <w:rPr>
                <w:rFonts w:ascii="Book Antiqua" w:hAnsi="Book Antiqua" w:cs="Times New Roman"/>
                <w:sz w:val="20"/>
                <w:szCs w:val="20"/>
              </w:rPr>
              <w:t>20%</w:t>
            </w:r>
          </w:p>
        </w:tc>
      </w:tr>
      <w:tr w:rsidR="004B7F92" w:rsidRPr="004B7F92" w14:paraId="05F623CF" w14:textId="77777777" w:rsidTr="004B7F92">
        <w:trPr>
          <w:trHeight w:val="783"/>
          <w:jc w:val="center"/>
        </w:trPr>
        <w:tc>
          <w:tcPr>
            <w:tcW w:w="1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9DA7D7" w14:textId="77777777" w:rsidR="004B7F92" w:rsidRPr="004B7F92" w:rsidRDefault="004B7F92">
            <w:pPr>
              <w:rPr>
                <w:rFonts w:ascii="Book Antiqua" w:hAnsi="Book Antiqua" w:cs="Times New Roman"/>
                <w:sz w:val="20"/>
                <w:szCs w:val="20"/>
              </w:rPr>
            </w:pPr>
            <w:r w:rsidRPr="004B7F92">
              <w:rPr>
                <w:rFonts w:ascii="Book Antiqua" w:hAnsi="Book Antiqua" w:cs="Times New Roman"/>
                <w:sz w:val="20"/>
                <w:szCs w:val="20"/>
              </w:rPr>
              <w:t>Riesgos de la no ejecución</w:t>
            </w:r>
          </w:p>
        </w:tc>
        <w:tc>
          <w:tcPr>
            <w:tcW w:w="5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CE973" w14:textId="77777777" w:rsidR="004B7F92" w:rsidRPr="004B7F92" w:rsidRDefault="004B7F92">
            <w:pPr>
              <w:jc w:val="both"/>
              <w:rPr>
                <w:rFonts w:ascii="Book Antiqua" w:hAnsi="Book Antiqua" w:cs="Times New Roman"/>
                <w:sz w:val="20"/>
                <w:szCs w:val="20"/>
              </w:rPr>
            </w:pPr>
            <w:r w:rsidRPr="004B7F92">
              <w:rPr>
                <w:rFonts w:ascii="Book Antiqua" w:hAnsi="Book Antiqua" w:cs="Times New Roman"/>
                <w:sz w:val="20"/>
                <w:szCs w:val="20"/>
              </w:rPr>
              <w:t>Considera las implicaciones negativas que tendría la institución o el país en caso de que el proyecto no se llevará a cabo.</w:t>
            </w:r>
          </w:p>
        </w:tc>
        <w:tc>
          <w:tcPr>
            <w:tcW w:w="14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D4D4D7" w14:textId="77777777" w:rsidR="004B7F92" w:rsidRPr="004B7F92" w:rsidRDefault="004B7F92">
            <w:pPr>
              <w:jc w:val="center"/>
              <w:rPr>
                <w:rFonts w:ascii="Book Antiqua" w:hAnsi="Book Antiqua" w:cs="Times New Roman"/>
                <w:sz w:val="20"/>
                <w:szCs w:val="20"/>
              </w:rPr>
            </w:pPr>
            <w:r w:rsidRPr="004B7F92">
              <w:rPr>
                <w:rFonts w:ascii="Book Antiqua" w:hAnsi="Book Antiqua" w:cs="Times New Roman"/>
                <w:sz w:val="20"/>
                <w:szCs w:val="20"/>
              </w:rPr>
              <w:t>15%</w:t>
            </w:r>
          </w:p>
        </w:tc>
      </w:tr>
      <w:tr w:rsidR="004B7F92" w:rsidRPr="004B7F92" w14:paraId="51AF1358" w14:textId="77777777" w:rsidTr="004B7F92">
        <w:trPr>
          <w:trHeight w:val="1717"/>
          <w:jc w:val="center"/>
        </w:trPr>
        <w:tc>
          <w:tcPr>
            <w:tcW w:w="1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C87EA9" w14:textId="77777777" w:rsidR="004B7F92" w:rsidRPr="004B7F92" w:rsidRDefault="004B7F92">
            <w:pPr>
              <w:rPr>
                <w:rFonts w:ascii="Book Antiqua" w:hAnsi="Book Antiqua" w:cs="Times New Roman"/>
                <w:sz w:val="20"/>
                <w:szCs w:val="20"/>
              </w:rPr>
            </w:pPr>
            <w:r w:rsidRPr="004B7F92">
              <w:rPr>
                <w:rFonts w:ascii="Book Antiqua" w:hAnsi="Book Antiqua" w:cs="Times New Roman"/>
                <w:sz w:val="20"/>
                <w:szCs w:val="20"/>
              </w:rPr>
              <w:t>Beneficio social intangible</w:t>
            </w:r>
          </w:p>
        </w:tc>
        <w:tc>
          <w:tcPr>
            <w:tcW w:w="5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AFF7A7" w14:textId="77777777" w:rsidR="004B7F92" w:rsidRPr="004B7F92" w:rsidRDefault="004B7F92">
            <w:pPr>
              <w:jc w:val="both"/>
              <w:rPr>
                <w:rFonts w:ascii="Book Antiqua" w:hAnsi="Book Antiqua" w:cs="Times New Roman"/>
                <w:sz w:val="20"/>
                <w:szCs w:val="20"/>
              </w:rPr>
            </w:pPr>
            <w:r w:rsidRPr="004B7F92">
              <w:rPr>
                <w:rFonts w:ascii="Book Antiqua" w:hAnsi="Book Antiqua" w:cs="Times New Roman"/>
                <w:sz w:val="20"/>
                <w:szCs w:val="20"/>
              </w:rPr>
              <w:t xml:space="preserve">Los beneficios intangibles no son cuantificables económicamente, es decir, no son traducibles en unidades monetarias, es un beneficio más de carácter subjetivo, que como lo indica el nombre no es palpable.  Algunos ejemplos son: </w:t>
            </w:r>
          </w:p>
          <w:p w14:paraId="05BCAED8" w14:textId="77777777" w:rsidR="004B7F92" w:rsidRPr="004B7F92" w:rsidRDefault="004B7F92">
            <w:pPr>
              <w:pStyle w:val="Prrafodelista"/>
              <w:spacing w:after="0" w:line="240" w:lineRule="auto"/>
              <w:ind w:left="328"/>
              <w:jc w:val="both"/>
              <w:rPr>
                <w:rFonts w:ascii="Book Antiqua" w:hAnsi="Book Antiqua" w:cs="Times New Roman"/>
                <w:sz w:val="20"/>
                <w:szCs w:val="20"/>
              </w:rPr>
            </w:pPr>
          </w:p>
          <w:p w14:paraId="328C3A9C" w14:textId="77777777" w:rsidR="004B7F92" w:rsidRPr="004B7F92" w:rsidRDefault="004B7F92" w:rsidP="00155AE5">
            <w:pPr>
              <w:pStyle w:val="Prrafodelista"/>
              <w:numPr>
                <w:ilvl w:val="0"/>
                <w:numId w:val="12"/>
              </w:numPr>
              <w:spacing w:after="0" w:line="240" w:lineRule="auto"/>
              <w:ind w:left="328"/>
              <w:jc w:val="both"/>
              <w:rPr>
                <w:rFonts w:ascii="Book Antiqua" w:hAnsi="Book Antiqua"/>
                <w:sz w:val="20"/>
                <w:szCs w:val="20"/>
              </w:rPr>
            </w:pPr>
            <w:r w:rsidRPr="004B7F92">
              <w:rPr>
                <w:rFonts w:ascii="Book Antiqua" w:hAnsi="Book Antiqua"/>
                <w:sz w:val="20"/>
                <w:szCs w:val="20"/>
              </w:rPr>
              <w:t>Mejora de la calidad de vida de una persona.</w:t>
            </w:r>
          </w:p>
        </w:tc>
        <w:tc>
          <w:tcPr>
            <w:tcW w:w="14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1379B" w14:textId="77777777" w:rsidR="004B7F92" w:rsidRPr="004B7F92" w:rsidRDefault="004B7F92">
            <w:pPr>
              <w:jc w:val="center"/>
              <w:rPr>
                <w:rFonts w:ascii="Book Antiqua" w:hAnsi="Book Antiqua" w:cs="Times New Roman"/>
                <w:sz w:val="20"/>
                <w:szCs w:val="20"/>
              </w:rPr>
            </w:pPr>
            <w:r w:rsidRPr="004B7F92">
              <w:rPr>
                <w:rFonts w:ascii="Book Antiqua" w:hAnsi="Book Antiqua" w:cs="Times New Roman"/>
                <w:sz w:val="20"/>
                <w:szCs w:val="20"/>
              </w:rPr>
              <w:t>10%</w:t>
            </w:r>
          </w:p>
        </w:tc>
      </w:tr>
      <w:tr w:rsidR="004B7F92" w:rsidRPr="004B7F92" w14:paraId="3A471363" w14:textId="77777777" w:rsidTr="004B7F92">
        <w:trPr>
          <w:trHeight w:val="417"/>
          <w:jc w:val="center"/>
        </w:trPr>
        <w:tc>
          <w:tcPr>
            <w:tcW w:w="1685" w:type="dxa"/>
            <w:tcBorders>
              <w:top w:val="nil"/>
              <w:left w:val="nil"/>
              <w:bottom w:val="nil"/>
              <w:right w:val="single" w:sz="8" w:space="0" w:color="auto"/>
            </w:tcBorders>
            <w:tcMar>
              <w:top w:w="0" w:type="dxa"/>
              <w:left w:w="108" w:type="dxa"/>
              <w:bottom w:w="0" w:type="dxa"/>
              <w:right w:w="108" w:type="dxa"/>
            </w:tcMar>
            <w:vAlign w:val="center"/>
          </w:tcPr>
          <w:p w14:paraId="4485EF3C" w14:textId="77777777" w:rsidR="004B7F92" w:rsidRPr="004B7F92" w:rsidRDefault="004B7F92">
            <w:pPr>
              <w:spacing w:line="252" w:lineRule="auto"/>
              <w:rPr>
                <w:rFonts w:ascii="Book Antiqua" w:hAnsi="Book Antiqua" w:cs="Times New Roman"/>
                <w:sz w:val="20"/>
                <w:szCs w:val="20"/>
              </w:rPr>
            </w:pPr>
          </w:p>
        </w:tc>
        <w:tc>
          <w:tcPr>
            <w:tcW w:w="5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37A996" w14:textId="77777777" w:rsidR="004B7F92" w:rsidRPr="004B7F92" w:rsidRDefault="004B7F92">
            <w:pPr>
              <w:jc w:val="center"/>
              <w:rPr>
                <w:rFonts w:ascii="Book Antiqua" w:hAnsi="Book Antiqua" w:cs="Times New Roman"/>
                <w:b/>
                <w:bCs/>
                <w:sz w:val="20"/>
                <w:szCs w:val="20"/>
              </w:rPr>
            </w:pPr>
            <w:r w:rsidRPr="004B7F92">
              <w:rPr>
                <w:rFonts w:ascii="Book Antiqua" w:hAnsi="Book Antiqua" w:cs="Times New Roman"/>
                <w:b/>
                <w:bCs/>
                <w:sz w:val="20"/>
                <w:szCs w:val="20"/>
              </w:rPr>
              <w:t>TOTAL</w:t>
            </w:r>
          </w:p>
        </w:tc>
        <w:tc>
          <w:tcPr>
            <w:tcW w:w="14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71C2B3" w14:textId="77777777" w:rsidR="004B7F92" w:rsidRPr="004B7F92" w:rsidRDefault="004B7F92">
            <w:pPr>
              <w:jc w:val="center"/>
              <w:rPr>
                <w:rFonts w:ascii="Book Antiqua" w:hAnsi="Book Antiqua" w:cs="Times New Roman"/>
                <w:b/>
                <w:bCs/>
                <w:sz w:val="20"/>
                <w:szCs w:val="20"/>
              </w:rPr>
            </w:pPr>
            <w:r w:rsidRPr="004B7F92">
              <w:rPr>
                <w:rFonts w:ascii="Book Antiqua" w:hAnsi="Book Antiqua" w:cs="Times New Roman"/>
                <w:b/>
                <w:bCs/>
                <w:sz w:val="20"/>
                <w:szCs w:val="20"/>
              </w:rPr>
              <w:t>100%</w:t>
            </w:r>
          </w:p>
        </w:tc>
      </w:tr>
    </w:tbl>
    <w:p w14:paraId="26DDCC24" w14:textId="77777777" w:rsidR="004B7F92" w:rsidRPr="00000B79" w:rsidRDefault="004B7F92" w:rsidP="004B7F92">
      <w:pPr>
        <w:jc w:val="both"/>
        <w:rPr>
          <w:rFonts w:ascii="Book Antiqua" w:eastAsia="Wingdings" w:hAnsi="Book Antiqua"/>
          <w:sz w:val="18"/>
          <w:szCs w:val="18"/>
          <w:lang w:eastAsia="ko-KR"/>
        </w:rPr>
      </w:pPr>
      <w:r w:rsidRPr="00000B79">
        <w:rPr>
          <w:rFonts w:ascii="Book Antiqua" w:eastAsia="Wingdings" w:hAnsi="Book Antiqua"/>
          <w:sz w:val="18"/>
          <w:szCs w:val="18"/>
          <w:lang w:eastAsia="ko-KR"/>
        </w:rPr>
        <w:t>Fuente: Metodología para la Administración de Portafolio de Proyectos Estratégicos del Poder Judicial</w:t>
      </w:r>
    </w:p>
    <w:p w14:paraId="4C432352" w14:textId="77777777" w:rsidR="002D78E0" w:rsidRDefault="002D78E0" w:rsidP="00B4129A">
      <w:pPr>
        <w:jc w:val="both"/>
        <w:rPr>
          <w:rFonts w:ascii="Book Antiqua" w:eastAsia="Wingdings" w:hAnsi="Book Antiqua"/>
          <w:sz w:val="24"/>
          <w:szCs w:val="24"/>
          <w:lang w:eastAsia="ko-KR"/>
        </w:rPr>
      </w:pPr>
    </w:p>
    <w:p w14:paraId="22F3E560" w14:textId="09A2308D" w:rsidR="004B7F92" w:rsidRPr="00F960AD" w:rsidRDefault="0064018F" w:rsidP="00B4129A">
      <w:pPr>
        <w:jc w:val="both"/>
        <w:rPr>
          <w:rFonts w:ascii="Book Antiqua" w:eastAsia="Wingdings" w:hAnsi="Book Antiqua"/>
          <w:sz w:val="24"/>
          <w:szCs w:val="24"/>
          <w:lang w:eastAsia="ko-KR"/>
        </w:rPr>
      </w:pPr>
      <w:r>
        <w:rPr>
          <w:rFonts w:ascii="Book Antiqua" w:eastAsia="Wingdings" w:hAnsi="Book Antiqua"/>
          <w:sz w:val="24"/>
          <w:szCs w:val="24"/>
          <w:lang w:eastAsia="ko-KR"/>
        </w:rPr>
        <w:t xml:space="preserve">En relación a estos </w:t>
      </w:r>
      <w:r w:rsidR="004B7F92">
        <w:rPr>
          <w:rFonts w:ascii="Book Antiqua" w:eastAsia="Wingdings" w:hAnsi="Book Antiqua"/>
          <w:sz w:val="24"/>
          <w:szCs w:val="24"/>
          <w:lang w:eastAsia="ko-KR"/>
        </w:rPr>
        <w:t xml:space="preserve"> criterios</w:t>
      </w:r>
      <w:r>
        <w:rPr>
          <w:rFonts w:ascii="Book Antiqua" w:eastAsia="Wingdings" w:hAnsi="Book Antiqua"/>
          <w:sz w:val="24"/>
          <w:szCs w:val="24"/>
          <w:lang w:eastAsia="ko-KR"/>
        </w:rPr>
        <w:t xml:space="preserve"> se realizó un</w:t>
      </w:r>
      <w:r w:rsidR="00D90714">
        <w:rPr>
          <w:rFonts w:ascii="Book Antiqua" w:eastAsia="Wingdings" w:hAnsi="Book Antiqua"/>
          <w:sz w:val="24"/>
          <w:szCs w:val="24"/>
          <w:lang w:eastAsia="ko-KR"/>
        </w:rPr>
        <w:t xml:space="preserve"> </w:t>
      </w:r>
      <w:r>
        <w:rPr>
          <w:rFonts w:ascii="Book Antiqua" w:eastAsia="Wingdings" w:hAnsi="Book Antiqua"/>
          <w:sz w:val="24"/>
          <w:szCs w:val="24"/>
          <w:lang w:eastAsia="ko-KR"/>
        </w:rPr>
        <w:t xml:space="preserve">primer ejercicio de revisión </w:t>
      </w:r>
      <w:r w:rsidR="000567E8">
        <w:rPr>
          <w:rFonts w:ascii="Book Antiqua" w:eastAsia="Wingdings" w:hAnsi="Book Antiqua"/>
          <w:sz w:val="24"/>
          <w:szCs w:val="24"/>
          <w:lang w:eastAsia="ko-KR"/>
        </w:rPr>
        <w:t>por parte de la Unidad de Proyectos</w:t>
      </w:r>
      <w:r w:rsidR="002F45FB">
        <w:rPr>
          <w:rFonts w:ascii="Book Antiqua" w:eastAsia="Wingdings" w:hAnsi="Book Antiqua"/>
          <w:sz w:val="24"/>
          <w:szCs w:val="24"/>
          <w:lang w:eastAsia="ko-KR"/>
        </w:rPr>
        <w:t xml:space="preserve">, los </w:t>
      </w:r>
      <w:r w:rsidR="009A3EB0">
        <w:rPr>
          <w:rFonts w:ascii="Book Antiqua" w:eastAsia="Wingdings" w:hAnsi="Book Antiqua"/>
          <w:sz w:val="24"/>
          <w:szCs w:val="24"/>
          <w:lang w:eastAsia="ko-KR"/>
        </w:rPr>
        <w:t>puntajes</w:t>
      </w:r>
      <w:r w:rsidR="002D3547">
        <w:rPr>
          <w:rFonts w:ascii="Book Antiqua" w:eastAsia="Wingdings" w:hAnsi="Book Antiqua"/>
          <w:sz w:val="24"/>
          <w:szCs w:val="24"/>
          <w:lang w:eastAsia="ko-KR"/>
        </w:rPr>
        <w:t xml:space="preserve"> preliminares fu</w:t>
      </w:r>
      <w:r w:rsidR="00775AA4">
        <w:rPr>
          <w:rFonts w:ascii="Book Antiqua" w:eastAsia="Wingdings" w:hAnsi="Book Antiqua"/>
          <w:sz w:val="24"/>
          <w:szCs w:val="24"/>
          <w:lang w:eastAsia="ko-KR"/>
        </w:rPr>
        <w:t>eron puestos en</w:t>
      </w:r>
      <w:r w:rsidR="004D17DE">
        <w:rPr>
          <w:rFonts w:ascii="Book Antiqua" w:eastAsia="Wingdings" w:hAnsi="Book Antiqua"/>
          <w:sz w:val="24"/>
          <w:szCs w:val="24"/>
          <w:lang w:eastAsia="ko-KR"/>
        </w:rPr>
        <w:t xml:space="preserve"> conocimiento </w:t>
      </w:r>
      <w:r w:rsidR="00DB19B2">
        <w:rPr>
          <w:rFonts w:ascii="Book Antiqua" w:eastAsia="Wingdings" w:hAnsi="Book Antiqua"/>
          <w:sz w:val="24"/>
          <w:szCs w:val="24"/>
          <w:lang w:eastAsia="ko-KR"/>
        </w:rPr>
        <w:t>de los l</w:t>
      </w:r>
      <w:r w:rsidR="006E0788">
        <w:rPr>
          <w:rFonts w:ascii="Book Antiqua" w:eastAsia="Wingdings" w:hAnsi="Book Antiqua"/>
          <w:sz w:val="24"/>
          <w:szCs w:val="24"/>
          <w:lang w:eastAsia="ko-KR"/>
        </w:rPr>
        <w:t>í</w:t>
      </w:r>
      <w:r w:rsidR="00DB19B2">
        <w:rPr>
          <w:rFonts w:ascii="Book Antiqua" w:eastAsia="Wingdings" w:hAnsi="Book Antiqua"/>
          <w:sz w:val="24"/>
          <w:szCs w:val="24"/>
          <w:lang w:eastAsia="ko-KR"/>
        </w:rPr>
        <w:t xml:space="preserve">deres de cada proyecto </w:t>
      </w:r>
      <w:r w:rsidR="00C871AF">
        <w:rPr>
          <w:rFonts w:ascii="Book Antiqua" w:eastAsia="Wingdings" w:hAnsi="Book Antiqua"/>
          <w:sz w:val="24"/>
          <w:szCs w:val="24"/>
          <w:lang w:eastAsia="ko-KR"/>
        </w:rPr>
        <w:t>como</w:t>
      </w:r>
      <w:r w:rsidR="004745E1">
        <w:rPr>
          <w:rFonts w:ascii="Book Antiqua" w:eastAsia="Wingdings" w:hAnsi="Book Antiqua"/>
          <w:sz w:val="24"/>
          <w:szCs w:val="24"/>
          <w:lang w:eastAsia="ko-KR"/>
        </w:rPr>
        <w:t xml:space="preserve"> devolución de </w:t>
      </w:r>
      <w:r w:rsidR="000704B8">
        <w:rPr>
          <w:rFonts w:ascii="Book Antiqua" w:eastAsia="Wingdings" w:hAnsi="Book Antiqua"/>
          <w:sz w:val="24"/>
          <w:szCs w:val="24"/>
          <w:lang w:eastAsia="ko-KR"/>
        </w:rPr>
        <w:t xml:space="preserve">observaciones </w:t>
      </w:r>
      <w:r w:rsidR="004B7F92">
        <w:rPr>
          <w:rFonts w:ascii="Book Antiqua" w:eastAsia="Wingdings" w:hAnsi="Book Antiqua"/>
          <w:sz w:val="24"/>
          <w:szCs w:val="24"/>
          <w:lang w:eastAsia="ko-KR"/>
        </w:rPr>
        <w:t xml:space="preserve">, mediante los oficios </w:t>
      </w:r>
      <w:r w:rsidR="00883878">
        <w:rPr>
          <w:rFonts w:ascii="Book Antiqua" w:eastAsia="Wingdings" w:hAnsi="Book Antiqua"/>
          <w:sz w:val="24"/>
          <w:szCs w:val="24"/>
          <w:lang w:eastAsia="ko-KR"/>
        </w:rPr>
        <w:lastRenderedPageBreak/>
        <w:t xml:space="preserve">consignados en el siguiente </w:t>
      </w:r>
      <w:r w:rsidR="005B5B60">
        <w:rPr>
          <w:rFonts w:ascii="Book Antiqua" w:eastAsia="Wingdings" w:hAnsi="Book Antiqua"/>
          <w:sz w:val="24"/>
          <w:szCs w:val="24"/>
          <w:lang w:eastAsia="ko-KR"/>
        </w:rPr>
        <w:t>enlace</w:t>
      </w:r>
      <w:r w:rsidR="009F224C">
        <w:rPr>
          <w:rFonts w:ascii="Book Antiqua" w:eastAsia="Wingdings" w:hAnsi="Book Antiqua"/>
          <w:sz w:val="24"/>
          <w:szCs w:val="24"/>
          <w:lang w:eastAsia="ko-KR"/>
        </w:rPr>
        <w:t>, los cuales fueron enviados en l</w:t>
      </w:r>
      <w:r w:rsidR="00DE3AA8">
        <w:rPr>
          <w:rFonts w:ascii="Book Antiqua" w:eastAsia="Wingdings" w:hAnsi="Book Antiqua"/>
          <w:sz w:val="24"/>
          <w:szCs w:val="24"/>
          <w:lang w:eastAsia="ko-KR"/>
        </w:rPr>
        <w:t>os primeros días de junio del 2023</w:t>
      </w:r>
      <w:r w:rsidR="00883878">
        <w:rPr>
          <w:rFonts w:ascii="Book Antiqua" w:eastAsia="Wingdings" w:hAnsi="Book Antiqua"/>
          <w:sz w:val="24"/>
          <w:szCs w:val="24"/>
          <w:lang w:eastAsia="ko-KR"/>
        </w:rPr>
        <w:t xml:space="preserve">: </w:t>
      </w:r>
      <w:hyperlink r:id="rId82" w:history="1">
        <w:r w:rsidR="00883878" w:rsidRPr="00445960">
          <w:rPr>
            <w:rStyle w:val="Hipervnculo"/>
            <w:rFonts w:ascii="Book Antiqua" w:eastAsia="Wingdings" w:hAnsi="Book Antiqua"/>
            <w:sz w:val="24"/>
            <w:szCs w:val="24"/>
            <w:lang w:eastAsia="ko-KR"/>
          </w:rPr>
          <w:t xml:space="preserve">oficios de validación de </w:t>
        </w:r>
        <w:r w:rsidR="00060A4B" w:rsidRPr="00445960">
          <w:rPr>
            <w:rStyle w:val="Hipervnculo"/>
            <w:rFonts w:ascii="Book Antiqua" w:eastAsia="Wingdings" w:hAnsi="Book Antiqua"/>
            <w:sz w:val="24"/>
            <w:szCs w:val="24"/>
            <w:lang w:eastAsia="ko-KR"/>
          </w:rPr>
          <w:t xml:space="preserve">priorización </w:t>
        </w:r>
        <w:r w:rsidR="00883878" w:rsidRPr="00445960">
          <w:rPr>
            <w:rStyle w:val="Hipervnculo"/>
            <w:rFonts w:ascii="Book Antiqua" w:eastAsia="Wingdings" w:hAnsi="Book Antiqua"/>
            <w:sz w:val="24"/>
            <w:szCs w:val="24"/>
            <w:lang w:eastAsia="ko-KR"/>
          </w:rPr>
          <w:t>remitidos a Programas</w:t>
        </w:r>
      </w:hyperlink>
      <w:r w:rsidR="00060A4B">
        <w:rPr>
          <w:rFonts w:ascii="Book Antiqua" w:eastAsia="Wingdings" w:hAnsi="Book Antiqua"/>
          <w:sz w:val="24"/>
          <w:szCs w:val="24"/>
          <w:lang w:eastAsia="ko-KR"/>
        </w:rPr>
        <w:t>.</w:t>
      </w:r>
    </w:p>
    <w:p w14:paraId="4DD8DD67" w14:textId="6426DD83" w:rsidR="00E27E50" w:rsidRDefault="00E27E50" w:rsidP="00B4129A">
      <w:pPr>
        <w:jc w:val="both"/>
        <w:rPr>
          <w:rFonts w:ascii="Book Antiqua" w:eastAsia="Wingdings" w:hAnsi="Book Antiqua"/>
          <w:sz w:val="24"/>
          <w:szCs w:val="24"/>
          <w:lang w:eastAsia="ko-KR"/>
        </w:rPr>
      </w:pPr>
      <w:r>
        <w:rPr>
          <w:rFonts w:ascii="Book Antiqua" w:eastAsia="Wingdings" w:hAnsi="Book Antiqua"/>
          <w:sz w:val="24"/>
          <w:szCs w:val="24"/>
          <w:lang w:eastAsia="ko-KR"/>
        </w:rPr>
        <w:t>Se está en proce</w:t>
      </w:r>
      <w:r w:rsidR="000704B8">
        <w:rPr>
          <w:rFonts w:ascii="Book Antiqua" w:eastAsia="Wingdings" w:hAnsi="Book Antiqua"/>
          <w:sz w:val="24"/>
          <w:szCs w:val="24"/>
          <w:lang w:eastAsia="ko-KR"/>
        </w:rPr>
        <w:t xml:space="preserve">so de abarcar la totalidad de proyectos y realizar el análisis </w:t>
      </w:r>
      <w:r w:rsidR="00886B53">
        <w:rPr>
          <w:rFonts w:ascii="Book Antiqua" w:eastAsia="Wingdings" w:hAnsi="Book Antiqua"/>
          <w:sz w:val="24"/>
          <w:szCs w:val="24"/>
          <w:lang w:eastAsia="ko-KR"/>
        </w:rPr>
        <w:t xml:space="preserve">interno de cada uno, confrontarlos con los criterios establecidos y </w:t>
      </w:r>
      <w:r w:rsidR="00B54DE1">
        <w:rPr>
          <w:rFonts w:ascii="Book Antiqua" w:eastAsia="Wingdings" w:hAnsi="Book Antiqua"/>
          <w:sz w:val="24"/>
          <w:szCs w:val="24"/>
          <w:lang w:eastAsia="ko-KR"/>
        </w:rPr>
        <w:t>determinar qu</w:t>
      </w:r>
      <w:r w:rsidR="00C34E82">
        <w:rPr>
          <w:rFonts w:ascii="Book Antiqua" w:eastAsia="Wingdings" w:hAnsi="Book Antiqua"/>
          <w:sz w:val="24"/>
          <w:szCs w:val="24"/>
          <w:lang w:eastAsia="ko-KR"/>
        </w:rPr>
        <w:t>é</w:t>
      </w:r>
      <w:r w:rsidR="00B54DE1">
        <w:rPr>
          <w:rFonts w:ascii="Book Antiqua" w:eastAsia="Wingdings" w:hAnsi="Book Antiqua"/>
          <w:sz w:val="24"/>
          <w:szCs w:val="24"/>
          <w:lang w:eastAsia="ko-KR"/>
        </w:rPr>
        <w:t xml:space="preserve"> otros elementos</w:t>
      </w:r>
      <w:r w:rsidR="007C764B">
        <w:rPr>
          <w:rFonts w:ascii="Book Antiqua" w:eastAsia="Wingdings" w:hAnsi="Book Antiqua"/>
          <w:sz w:val="24"/>
          <w:szCs w:val="24"/>
          <w:lang w:eastAsia="ko-KR"/>
        </w:rPr>
        <w:t xml:space="preserve"> pueden contribuir de manera objetiva a darle </w:t>
      </w:r>
      <w:r w:rsidR="00B54DE1">
        <w:rPr>
          <w:rFonts w:ascii="Book Antiqua" w:eastAsia="Wingdings" w:hAnsi="Book Antiqua"/>
          <w:sz w:val="24"/>
          <w:szCs w:val="24"/>
          <w:lang w:eastAsia="ko-KR"/>
        </w:rPr>
        <w:t xml:space="preserve">soporte </w:t>
      </w:r>
      <w:r w:rsidR="00293883">
        <w:rPr>
          <w:rFonts w:ascii="Book Antiqua" w:eastAsia="Wingdings" w:hAnsi="Book Antiqua"/>
          <w:sz w:val="24"/>
          <w:szCs w:val="24"/>
          <w:lang w:eastAsia="ko-KR"/>
        </w:rPr>
        <w:t xml:space="preserve">al </w:t>
      </w:r>
      <w:r w:rsidR="007C764B">
        <w:rPr>
          <w:rFonts w:ascii="Book Antiqua" w:eastAsia="Wingdings" w:hAnsi="Book Antiqua"/>
          <w:sz w:val="24"/>
          <w:szCs w:val="24"/>
          <w:lang w:eastAsia="ko-KR"/>
        </w:rPr>
        <w:t>ejercicio.</w:t>
      </w:r>
    </w:p>
    <w:p w14:paraId="721FBFEC" w14:textId="77777777" w:rsidR="007E7465" w:rsidRPr="00E24FCA" w:rsidRDefault="007E7465" w:rsidP="00E24FCA">
      <w:pPr>
        <w:jc w:val="both"/>
        <w:rPr>
          <w:rFonts w:ascii="Book Antiqua" w:eastAsia="Wingdings" w:hAnsi="Book Antiqua"/>
          <w:sz w:val="24"/>
          <w:szCs w:val="24"/>
          <w:lang w:eastAsia="ko-KR"/>
        </w:rPr>
      </w:pPr>
    </w:p>
    <w:p w14:paraId="470A3A70" w14:textId="3B244293" w:rsidR="007B5966" w:rsidRPr="00E24FCA" w:rsidRDefault="001972DA" w:rsidP="00E24FCA">
      <w:pPr>
        <w:jc w:val="both"/>
        <w:rPr>
          <w:rFonts w:ascii="Book Antiqua" w:eastAsia="Wingdings" w:hAnsi="Book Antiqua"/>
          <w:sz w:val="24"/>
          <w:szCs w:val="24"/>
          <w:lang w:eastAsia="ko-KR"/>
        </w:rPr>
      </w:pPr>
      <w:r w:rsidRPr="00E24FCA">
        <w:rPr>
          <w:rFonts w:ascii="Book Antiqua" w:eastAsia="Wingdings" w:hAnsi="Book Antiqua"/>
          <w:sz w:val="24"/>
          <w:szCs w:val="24"/>
          <w:lang w:eastAsia="ko-KR"/>
        </w:rPr>
        <w:t xml:space="preserve">Esta labor de </w:t>
      </w:r>
      <w:r w:rsidR="00EA5B8B" w:rsidRPr="00E24FCA">
        <w:rPr>
          <w:rFonts w:ascii="Book Antiqua" w:eastAsia="Wingdings" w:hAnsi="Book Antiqua"/>
          <w:sz w:val="24"/>
          <w:szCs w:val="24"/>
          <w:lang w:eastAsia="ko-KR"/>
        </w:rPr>
        <w:t>revisión de los criterios obtenidos se realizará posteriormente</w:t>
      </w:r>
      <w:r w:rsidRPr="00E24FCA">
        <w:rPr>
          <w:rFonts w:ascii="Book Antiqua" w:eastAsia="Wingdings" w:hAnsi="Book Antiqua"/>
          <w:sz w:val="24"/>
          <w:szCs w:val="24"/>
          <w:lang w:eastAsia="ko-KR"/>
        </w:rPr>
        <w:t xml:space="preserve"> por parte </w:t>
      </w:r>
      <w:r w:rsidR="00EA5B8B" w:rsidRPr="00E24FCA">
        <w:rPr>
          <w:rFonts w:ascii="Book Antiqua" w:eastAsia="Wingdings" w:hAnsi="Book Antiqua"/>
          <w:sz w:val="24"/>
          <w:szCs w:val="24"/>
          <w:lang w:eastAsia="ko-KR"/>
        </w:rPr>
        <w:t>de la Dirección de Planificación para tener un producto integral que presentar al Comité de Planeación Estratégica y al ente superior</w:t>
      </w:r>
      <w:r w:rsidR="008B269E">
        <w:rPr>
          <w:rFonts w:ascii="Book Antiqua" w:eastAsia="Wingdings" w:hAnsi="Book Antiqua"/>
          <w:sz w:val="24"/>
          <w:szCs w:val="24"/>
          <w:lang w:eastAsia="ko-KR"/>
        </w:rPr>
        <w:t>, en aten</w:t>
      </w:r>
      <w:r w:rsidR="00842B94">
        <w:rPr>
          <w:rFonts w:ascii="Book Antiqua" w:eastAsia="Wingdings" w:hAnsi="Book Antiqua"/>
          <w:sz w:val="24"/>
          <w:szCs w:val="24"/>
          <w:lang w:eastAsia="ko-KR"/>
        </w:rPr>
        <w:t xml:space="preserve">ción </w:t>
      </w:r>
      <w:r w:rsidR="000827C3">
        <w:rPr>
          <w:rFonts w:ascii="Book Antiqua" w:eastAsia="Wingdings" w:hAnsi="Book Antiqua"/>
          <w:sz w:val="24"/>
          <w:szCs w:val="24"/>
          <w:lang w:eastAsia="ko-KR"/>
        </w:rPr>
        <w:t xml:space="preserve">al </w:t>
      </w:r>
      <w:r w:rsidR="007B5966" w:rsidRPr="00E24FCA">
        <w:rPr>
          <w:rFonts w:ascii="Book Antiqua" w:eastAsia="Wingdings" w:hAnsi="Book Antiqua"/>
          <w:sz w:val="24"/>
          <w:szCs w:val="24"/>
          <w:lang w:eastAsia="ko-KR"/>
        </w:rPr>
        <w:t xml:space="preserve"> acuerdo</w:t>
      </w:r>
      <w:r w:rsidR="0049328D" w:rsidRPr="007B5966">
        <w:rPr>
          <w:rFonts w:ascii="Book Antiqua" w:eastAsia="Wingdings" w:hAnsi="Book Antiqua"/>
          <w:sz w:val="24"/>
          <w:szCs w:val="24"/>
          <w:lang w:eastAsia="ko-KR"/>
        </w:rPr>
        <w:t xml:space="preserve"> de Consejo Superior</w:t>
      </w:r>
      <w:r w:rsidR="007B5966" w:rsidRPr="00E24FCA">
        <w:rPr>
          <w:rFonts w:ascii="Book Antiqua" w:eastAsia="Wingdings" w:hAnsi="Book Antiqua"/>
          <w:sz w:val="24"/>
          <w:szCs w:val="24"/>
          <w:lang w:eastAsia="ko-KR"/>
        </w:rPr>
        <w:t xml:space="preserve">, sesión N° 25-2023 celebrada el 28 de marzo del 2023, </w:t>
      </w:r>
      <w:bookmarkStart w:id="143" w:name="_Toc130477040"/>
      <w:r w:rsidR="007B5966" w:rsidRPr="00E24FCA">
        <w:rPr>
          <w:rFonts w:ascii="Book Antiqua" w:eastAsia="Wingdings" w:hAnsi="Book Antiqua"/>
          <w:sz w:val="24"/>
          <w:szCs w:val="24"/>
          <w:lang w:eastAsia="ko-KR"/>
        </w:rPr>
        <w:t>art</w:t>
      </w:r>
      <w:r w:rsidR="00BC00B3">
        <w:rPr>
          <w:rFonts w:ascii="Book Antiqua" w:eastAsia="Wingdings" w:hAnsi="Book Antiqua"/>
          <w:sz w:val="24"/>
          <w:szCs w:val="24"/>
          <w:lang w:eastAsia="ko-KR"/>
        </w:rPr>
        <w:t>í</w:t>
      </w:r>
      <w:r w:rsidR="007B5966" w:rsidRPr="00E24FCA">
        <w:rPr>
          <w:rFonts w:ascii="Book Antiqua" w:eastAsia="Wingdings" w:hAnsi="Book Antiqua"/>
          <w:sz w:val="24"/>
          <w:szCs w:val="24"/>
          <w:lang w:eastAsia="ko-KR"/>
        </w:rPr>
        <w:t>culo XXX</w:t>
      </w:r>
      <w:bookmarkEnd w:id="143"/>
      <w:r w:rsidR="00BC00B3">
        <w:rPr>
          <w:rFonts w:ascii="Book Antiqua" w:eastAsia="Wingdings" w:hAnsi="Book Antiqua"/>
          <w:sz w:val="24"/>
          <w:szCs w:val="24"/>
          <w:lang w:eastAsia="ko-KR"/>
        </w:rPr>
        <w:t>:</w:t>
      </w:r>
    </w:p>
    <w:p w14:paraId="5D9C96E2" w14:textId="6BD8E6BE" w:rsidR="005B5B60" w:rsidRPr="00E24FCA" w:rsidRDefault="00BC00B3" w:rsidP="00E24FCA">
      <w:pPr>
        <w:ind w:left="426" w:right="758"/>
        <w:jc w:val="both"/>
        <w:rPr>
          <w:rFonts w:ascii="Book Antiqua" w:eastAsia="Wingdings" w:hAnsi="Book Antiqua"/>
          <w:i/>
          <w:sz w:val="24"/>
          <w:szCs w:val="24"/>
          <w:lang w:eastAsia="ko-KR"/>
        </w:rPr>
      </w:pPr>
      <w:r w:rsidRPr="00E24FCA">
        <w:rPr>
          <w:rFonts w:ascii="Book Antiqua" w:eastAsia="Wingdings" w:hAnsi="Book Antiqua"/>
          <w:i/>
          <w:sz w:val="24"/>
          <w:szCs w:val="24"/>
          <w:lang w:eastAsia="ko-KR"/>
        </w:rPr>
        <w:t>11</w:t>
      </w:r>
      <w:r w:rsidR="005B5B60" w:rsidRPr="00E24FCA">
        <w:rPr>
          <w:rFonts w:ascii="Book Antiqua" w:eastAsia="Wingdings" w:hAnsi="Book Antiqua"/>
          <w:i/>
          <w:sz w:val="24"/>
          <w:szCs w:val="24"/>
          <w:lang w:eastAsia="ko-KR"/>
        </w:rPr>
        <w:t>.) Deberá la Dirección de Planificación dentro del plazo de un mes, contado a partir del otorgamiento de los permisos citados, remitir un informe a conocimiento de este Consejo Superior sobre el estado de estos, tomando en consideración el acuerdo que emita la Corte Plena, respecto a la priorización para este tipo de proyectos</w:t>
      </w:r>
      <w:r w:rsidR="00BE773E">
        <w:rPr>
          <w:rFonts w:ascii="Book Antiqua" w:eastAsia="Wingdings" w:hAnsi="Book Antiqua"/>
          <w:i/>
          <w:sz w:val="24"/>
          <w:szCs w:val="24"/>
          <w:lang w:eastAsia="ko-KR"/>
        </w:rPr>
        <w:t>.</w:t>
      </w:r>
    </w:p>
    <w:p w14:paraId="6D46A7D6" w14:textId="41B70BC0" w:rsidR="00D07523" w:rsidRPr="00E24FCA" w:rsidRDefault="0049328D" w:rsidP="00E24FCA">
      <w:pPr>
        <w:jc w:val="both"/>
        <w:rPr>
          <w:rFonts w:ascii="Book Antiqua" w:eastAsia="Wingdings" w:hAnsi="Book Antiqua"/>
          <w:sz w:val="24"/>
          <w:szCs w:val="24"/>
          <w:lang w:eastAsia="ko-KR"/>
        </w:rPr>
      </w:pPr>
      <w:r w:rsidRPr="00E24FCA">
        <w:rPr>
          <w:rFonts w:ascii="Book Antiqua" w:eastAsia="Wingdings" w:hAnsi="Book Antiqua"/>
          <w:sz w:val="24"/>
          <w:szCs w:val="24"/>
          <w:lang w:eastAsia="ko-KR"/>
        </w:rPr>
        <w:t xml:space="preserve">Por lo tanto, el ejercicio </w:t>
      </w:r>
      <w:r w:rsidR="00F562B8" w:rsidRPr="00E24FCA">
        <w:rPr>
          <w:rFonts w:ascii="Book Antiqua" w:eastAsia="Wingdings" w:hAnsi="Book Antiqua"/>
          <w:sz w:val="24"/>
          <w:szCs w:val="24"/>
          <w:lang w:eastAsia="ko-KR"/>
        </w:rPr>
        <w:t xml:space="preserve">de priorización </w:t>
      </w:r>
      <w:r w:rsidR="00BC00B3" w:rsidRPr="00E24FCA">
        <w:rPr>
          <w:rFonts w:ascii="Book Antiqua" w:eastAsia="Wingdings" w:hAnsi="Book Antiqua"/>
          <w:sz w:val="24"/>
          <w:szCs w:val="24"/>
          <w:lang w:eastAsia="ko-KR"/>
        </w:rPr>
        <w:t xml:space="preserve">se está ejecutando y para proporcionar un resultado </w:t>
      </w:r>
      <w:r w:rsidR="00BF0F2B" w:rsidRPr="00E24FCA">
        <w:rPr>
          <w:rFonts w:ascii="Book Antiqua" w:eastAsia="Wingdings" w:hAnsi="Book Antiqua"/>
          <w:sz w:val="24"/>
          <w:szCs w:val="24"/>
          <w:lang w:eastAsia="ko-KR"/>
        </w:rPr>
        <w:t>ó</w:t>
      </w:r>
      <w:r w:rsidR="00BC00B3" w:rsidRPr="00E24FCA">
        <w:rPr>
          <w:rFonts w:ascii="Book Antiqua" w:eastAsia="Wingdings" w:hAnsi="Book Antiqua"/>
          <w:sz w:val="24"/>
          <w:szCs w:val="24"/>
          <w:lang w:eastAsia="ko-KR"/>
        </w:rPr>
        <w:t>ptimo y acorde, se requiere de</w:t>
      </w:r>
      <w:r w:rsidR="00F562B8" w:rsidRPr="00E24FCA">
        <w:rPr>
          <w:rFonts w:ascii="Book Antiqua" w:eastAsia="Wingdings" w:hAnsi="Book Antiqua"/>
          <w:sz w:val="24"/>
          <w:szCs w:val="24"/>
          <w:lang w:eastAsia="ko-KR"/>
        </w:rPr>
        <w:t xml:space="preserve"> mayor tiempo de </w:t>
      </w:r>
      <w:r w:rsidR="00BC00B3" w:rsidRPr="00E24FCA">
        <w:rPr>
          <w:rFonts w:ascii="Book Antiqua" w:eastAsia="Wingdings" w:hAnsi="Book Antiqua"/>
          <w:sz w:val="24"/>
          <w:szCs w:val="24"/>
          <w:lang w:eastAsia="ko-KR"/>
        </w:rPr>
        <w:t xml:space="preserve">análisis. </w:t>
      </w:r>
    </w:p>
    <w:p w14:paraId="0F3D9A23" w14:textId="446A4746" w:rsidR="00BE773E" w:rsidRDefault="00BE773E" w:rsidP="00804271">
      <w:pPr>
        <w:rPr>
          <w:lang w:eastAsia="ko-KR"/>
        </w:rPr>
      </w:pPr>
    </w:p>
    <w:p w14:paraId="3C3D1F7F" w14:textId="53E41115" w:rsidR="00BE773E" w:rsidRDefault="00BE773E" w:rsidP="00804271">
      <w:pPr>
        <w:rPr>
          <w:lang w:eastAsia="ko-KR"/>
        </w:rPr>
      </w:pPr>
    </w:p>
    <w:p w14:paraId="6F703D66" w14:textId="0F132322" w:rsidR="00BE773E" w:rsidRDefault="00BE773E" w:rsidP="00804271">
      <w:pPr>
        <w:rPr>
          <w:lang w:eastAsia="ko-KR"/>
        </w:rPr>
      </w:pPr>
    </w:p>
    <w:p w14:paraId="6C3787D8" w14:textId="62DB22A0" w:rsidR="00BE773E" w:rsidRDefault="00BE773E" w:rsidP="00804271">
      <w:pPr>
        <w:rPr>
          <w:lang w:eastAsia="ko-KR"/>
        </w:rPr>
      </w:pPr>
    </w:p>
    <w:p w14:paraId="0BCC4D10" w14:textId="73DB0901" w:rsidR="00BE773E" w:rsidRDefault="00BE773E" w:rsidP="00804271">
      <w:pPr>
        <w:rPr>
          <w:lang w:eastAsia="ko-KR"/>
        </w:rPr>
      </w:pPr>
    </w:p>
    <w:p w14:paraId="34F55217" w14:textId="42FFEEE4" w:rsidR="00BE773E" w:rsidRDefault="00BE773E" w:rsidP="00804271">
      <w:pPr>
        <w:rPr>
          <w:lang w:eastAsia="ko-KR"/>
        </w:rPr>
      </w:pPr>
    </w:p>
    <w:p w14:paraId="6F7C7F76" w14:textId="41A0901F" w:rsidR="00BE773E" w:rsidRDefault="00BE773E" w:rsidP="00804271">
      <w:pPr>
        <w:rPr>
          <w:lang w:eastAsia="ko-KR"/>
        </w:rPr>
      </w:pPr>
    </w:p>
    <w:p w14:paraId="47C5DC70" w14:textId="6DC5BDF9" w:rsidR="00BE773E" w:rsidRDefault="00BE773E" w:rsidP="00804271">
      <w:pPr>
        <w:rPr>
          <w:lang w:eastAsia="ko-KR"/>
        </w:rPr>
      </w:pPr>
    </w:p>
    <w:p w14:paraId="5615D95D" w14:textId="31E4B170" w:rsidR="00BE773E" w:rsidRDefault="00BE773E" w:rsidP="00804271">
      <w:pPr>
        <w:rPr>
          <w:lang w:eastAsia="ko-KR"/>
        </w:rPr>
      </w:pPr>
    </w:p>
    <w:p w14:paraId="2D77DDFF" w14:textId="3DBB5A96" w:rsidR="00BE773E" w:rsidRDefault="00BE773E" w:rsidP="00804271">
      <w:pPr>
        <w:rPr>
          <w:lang w:eastAsia="ko-KR"/>
        </w:rPr>
      </w:pPr>
    </w:p>
    <w:p w14:paraId="05E99681" w14:textId="03A8FEB2" w:rsidR="00BE773E" w:rsidRDefault="00BE773E" w:rsidP="00804271">
      <w:pPr>
        <w:rPr>
          <w:lang w:eastAsia="ko-KR"/>
        </w:rPr>
      </w:pPr>
    </w:p>
    <w:p w14:paraId="053F9835" w14:textId="77777777" w:rsidR="00BE773E" w:rsidRDefault="00BE773E" w:rsidP="00804271">
      <w:pPr>
        <w:rPr>
          <w:lang w:eastAsia="ko-KR"/>
        </w:rPr>
      </w:pPr>
    </w:p>
    <w:p w14:paraId="511D6620" w14:textId="77777777" w:rsidR="00D32C56" w:rsidRPr="000A3123" w:rsidRDefault="00D32C56" w:rsidP="00216D70">
      <w:pPr>
        <w:spacing w:after="0"/>
        <w:jc w:val="both"/>
        <w:rPr>
          <w:rFonts w:ascii="Book Antiqua" w:eastAsia="Times New Roman" w:hAnsi="Book Antiqua" w:cs="Arial"/>
          <w:vanish/>
          <w:sz w:val="24"/>
          <w:szCs w:val="24"/>
          <w:shd w:val="clear" w:color="auto" w:fill="FFFFFF"/>
          <w:lang w:val="es-ES" w:eastAsia="es-ES"/>
        </w:rPr>
      </w:pPr>
    </w:p>
    <w:p w14:paraId="4A1FFEB3" w14:textId="2D790B88" w:rsidR="00164F12" w:rsidRDefault="00164F12" w:rsidP="00164F12">
      <w:pPr>
        <w:spacing w:after="0"/>
        <w:jc w:val="both"/>
        <w:rPr>
          <w:rFonts w:ascii="Book Antiqua" w:hAnsi="Book Antiqua"/>
        </w:rPr>
      </w:pPr>
    </w:p>
    <w:p w14:paraId="17BC30E2" w14:textId="75151DF4" w:rsidR="00BE773E" w:rsidRPr="00EF4E17" w:rsidRDefault="00BE773E" w:rsidP="00EF4E17">
      <w:pPr>
        <w:pStyle w:val="Ttulo1"/>
        <w:rPr>
          <w:rFonts w:ascii="Book Antiqua" w:hAnsi="Book Antiqua"/>
          <w:b/>
          <w:bCs/>
          <w:color w:val="auto"/>
          <w:sz w:val="22"/>
          <w:szCs w:val="22"/>
        </w:rPr>
      </w:pPr>
      <w:bookmarkStart w:id="144" w:name="_Toc138770875"/>
      <w:r w:rsidRPr="00EF4E17">
        <w:rPr>
          <w:rFonts w:ascii="Book Antiqua" w:hAnsi="Book Antiqua"/>
          <w:b/>
          <w:bCs/>
          <w:color w:val="auto"/>
          <w:sz w:val="22"/>
          <w:szCs w:val="22"/>
        </w:rPr>
        <w:t>VI. CONCLUSIONES</w:t>
      </w:r>
      <w:bookmarkEnd w:id="144"/>
    </w:p>
    <w:p w14:paraId="462B14E6" w14:textId="77777777" w:rsidR="00BE773E" w:rsidRDefault="00BE773E" w:rsidP="00164F12">
      <w:pPr>
        <w:spacing w:after="0"/>
        <w:jc w:val="both"/>
        <w:rPr>
          <w:rFonts w:ascii="Book Antiqua" w:hAnsi="Book Antiqua"/>
        </w:rPr>
      </w:pPr>
    </w:p>
    <w:p w14:paraId="43CD9AC6" w14:textId="00238B1D" w:rsidR="005F6D13" w:rsidRPr="00083E0D" w:rsidRDefault="005F6D13" w:rsidP="00155AE5">
      <w:pPr>
        <w:pStyle w:val="Ttulo2"/>
        <w:numPr>
          <w:ilvl w:val="1"/>
          <w:numId w:val="19"/>
        </w:numPr>
        <w:rPr>
          <w:rFonts w:ascii="Book Antiqua" w:eastAsia="Wingdings" w:hAnsi="Book Antiqua"/>
          <w:b/>
          <w:bCs/>
          <w:color w:val="auto"/>
          <w:lang w:eastAsia="ko-KR"/>
        </w:rPr>
      </w:pPr>
      <w:bookmarkStart w:id="145" w:name="_Toc138770876"/>
      <w:r w:rsidRPr="00083E0D">
        <w:rPr>
          <w:rFonts w:ascii="Book Antiqua" w:eastAsia="Wingdings" w:hAnsi="Book Antiqua"/>
          <w:b/>
          <w:bCs/>
          <w:color w:val="auto"/>
          <w:lang w:eastAsia="ko-KR"/>
        </w:rPr>
        <w:t>Con</w:t>
      </w:r>
      <w:r w:rsidR="00295F40" w:rsidRPr="00083E0D">
        <w:rPr>
          <w:rFonts w:ascii="Book Antiqua" w:eastAsia="Wingdings" w:hAnsi="Book Antiqua"/>
          <w:b/>
          <w:bCs/>
          <w:color w:val="auto"/>
          <w:lang w:eastAsia="ko-KR"/>
        </w:rPr>
        <w:t xml:space="preserve">clusiones </w:t>
      </w:r>
      <w:r w:rsidR="00990478" w:rsidRPr="00083E0D">
        <w:rPr>
          <w:rFonts w:ascii="Book Antiqua" w:eastAsia="Wingdings" w:hAnsi="Book Antiqua"/>
          <w:b/>
          <w:bCs/>
          <w:color w:val="auto"/>
          <w:lang w:eastAsia="ko-KR"/>
        </w:rPr>
        <w:t xml:space="preserve">relacionadas con el capítulo </w:t>
      </w:r>
      <w:r w:rsidR="00197FE3" w:rsidRPr="00083E0D">
        <w:rPr>
          <w:rFonts w:ascii="Book Antiqua" w:eastAsia="Wingdings" w:hAnsi="Book Antiqua"/>
          <w:b/>
          <w:bCs/>
          <w:color w:val="auto"/>
          <w:lang w:eastAsia="ko-KR"/>
        </w:rPr>
        <w:t>1</w:t>
      </w:r>
      <w:bookmarkEnd w:id="145"/>
    </w:p>
    <w:p w14:paraId="7DE37E90" w14:textId="77777777" w:rsidR="006B4889" w:rsidRDefault="006B4889" w:rsidP="005F625E">
      <w:pPr>
        <w:spacing w:after="0"/>
        <w:jc w:val="both"/>
        <w:rPr>
          <w:rStyle w:val="normaltextrun"/>
          <w:rFonts w:ascii="Book Antiqua" w:hAnsi="Book Antiqua"/>
          <w:color w:val="000000"/>
          <w:shd w:val="clear" w:color="auto" w:fill="FFFFFF"/>
        </w:rPr>
      </w:pPr>
    </w:p>
    <w:p w14:paraId="23E5568C" w14:textId="4D9F9352" w:rsidR="005F625E" w:rsidRPr="00BE773E" w:rsidRDefault="006B4889" w:rsidP="005F625E">
      <w:pPr>
        <w:spacing w:after="0"/>
        <w:jc w:val="both"/>
        <w:rPr>
          <w:rStyle w:val="eop"/>
          <w:rFonts w:ascii="Book Antiqua" w:hAnsi="Book Antiqua"/>
          <w:color w:val="000000"/>
          <w:sz w:val="24"/>
          <w:szCs w:val="24"/>
          <w:shd w:val="clear" w:color="auto" w:fill="FFFFFF"/>
        </w:rPr>
      </w:pPr>
      <w:r w:rsidRPr="00BE773E">
        <w:rPr>
          <w:rStyle w:val="normaltextrun"/>
          <w:rFonts w:ascii="Book Antiqua" w:hAnsi="Book Antiqua"/>
          <w:color w:val="000000"/>
          <w:sz w:val="24"/>
          <w:szCs w:val="24"/>
          <w:shd w:val="clear" w:color="auto" w:fill="FFFFFF"/>
        </w:rPr>
        <w:t>Del seguimiento de las recomendaciones emitidas por la Dirección de Planificación producto del primer seguimiento del 2023 se concluye:</w:t>
      </w:r>
      <w:r w:rsidRPr="00BE773E">
        <w:rPr>
          <w:rStyle w:val="eop"/>
          <w:rFonts w:ascii="Book Antiqua" w:hAnsi="Book Antiqua"/>
          <w:color w:val="000000"/>
          <w:sz w:val="24"/>
          <w:szCs w:val="24"/>
          <w:shd w:val="clear" w:color="auto" w:fill="FFFFFF"/>
        </w:rPr>
        <w:t> </w:t>
      </w:r>
    </w:p>
    <w:p w14:paraId="408BC8B5" w14:textId="77777777" w:rsidR="006B4889" w:rsidRPr="00BE773E" w:rsidRDefault="006B4889" w:rsidP="005F625E">
      <w:pPr>
        <w:spacing w:after="0"/>
        <w:jc w:val="both"/>
        <w:rPr>
          <w:rFonts w:ascii="Book Antiqua" w:hAnsi="Book Antiqua"/>
          <w:sz w:val="24"/>
          <w:szCs w:val="24"/>
        </w:rPr>
      </w:pPr>
    </w:p>
    <w:p w14:paraId="4018FD38" w14:textId="502A5D30" w:rsidR="005F625E" w:rsidRPr="0091565E" w:rsidRDefault="009A2226" w:rsidP="00EF4E17">
      <w:pPr>
        <w:pStyle w:val="Prrafodelista"/>
        <w:numPr>
          <w:ilvl w:val="2"/>
          <w:numId w:val="73"/>
        </w:numPr>
        <w:tabs>
          <w:tab w:val="left" w:pos="709"/>
          <w:tab w:val="left" w:pos="851"/>
        </w:tabs>
        <w:spacing w:before="120" w:after="120"/>
        <w:ind w:left="284" w:firstLine="0"/>
        <w:jc w:val="both"/>
        <w:rPr>
          <w:rStyle w:val="eop"/>
          <w:rFonts w:ascii="Book Antiqua" w:hAnsi="Book Antiqua"/>
          <w:color w:val="000000"/>
          <w:sz w:val="24"/>
          <w:szCs w:val="24"/>
          <w:shd w:val="clear" w:color="auto" w:fill="FFFFFF"/>
        </w:rPr>
      </w:pPr>
      <w:r w:rsidRPr="00EF4E17">
        <w:rPr>
          <w:rStyle w:val="normaltextrun"/>
          <w:rFonts w:ascii="Book Antiqua" w:hAnsi="Book Antiqua"/>
          <w:color w:val="000000"/>
          <w:sz w:val="24"/>
          <w:szCs w:val="24"/>
          <w:shd w:val="clear" w:color="auto" w:fill="FFFFFF"/>
        </w:rPr>
        <w:t xml:space="preserve">Después del seguimiento realizado a las recomendaciones se concluye que los proyectos, aún presentan recomendaciones pendientes de atender, para las cuales tiene plazo al </w:t>
      </w:r>
      <w:r w:rsidRPr="00EF4E17">
        <w:rPr>
          <w:rStyle w:val="normaltextrun"/>
          <w:rFonts w:ascii="Book Antiqua" w:hAnsi="Book Antiqua"/>
          <w:b/>
          <w:bCs/>
          <w:color w:val="000000"/>
          <w:sz w:val="24"/>
          <w:szCs w:val="24"/>
          <w:shd w:val="clear" w:color="auto" w:fill="FFFFFF"/>
        </w:rPr>
        <w:t>11 de agosto del 2023</w:t>
      </w:r>
      <w:r w:rsidRPr="00EF4E17">
        <w:rPr>
          <w:rStyle w:val="normaltextrun"/>
          <w:rFonts w:ascii="Book Antiqua" w:hAnsi="Book Antiqua"/>
          <w:color w:val="000000"/>
          <w:sz w:val="24"/>
          <w:szCs w:val="24"/>
          <w:shd w:val="clear" w:color="auto" w:fill="FFFFFF"/>
        </w:rPr>
        <w:t xml:space="preserve"> para cargar en el sitio de proyecto la atención de las recomendaciones que se exponen a continuación:</w:t>
      </w:r>
      <w:r w:rsidRPr="00EF4E17">
        <w:rPr>
          <w:rStyle w:val="eop"/>
          <w:rFonts w:ascii="Book Antiqua" w:hAnsi="Book Antiqua"/>
          <w:color w:val="000000"/>
          <w:sz w:val="24"/>
          <w:szCs w:val="24"/>
          <w:shd w:val="clear" w:color="auto" w:fill="FFFFFF"/>
        </w:rPr>
        <w:t> </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1681"/>
        <w:gridCol w:w="775"/>
        <w:gridCol w:w="1804"/>
        <w:gridCol w:w="802"/>
        <w:gridCol w:w="3302"/>
      </w:tblGrid>
      <w:tr w:rsidR="0091565E" w:rsidRPr="0091565E" w14:paraId="62F522EC" w14:textId="77777777" w:rsidTr="00EF4E17">
        <w:trPr>
          <w:trHeight w:val="825"/>
          <w:tblHeader/>
        </w:trPr>
        <w:tc>
          <w:tcPr>
            <w:tcW w:w="0" w:type="auto"/>
            <w:shd w:val="clear" w:color="000000" w:fill="44546A"/>
            <w:vAlign w:val="center"/>
            <w:hideMark/>
          </w:tcPr>
          <w:p w14:paraId="63C0488E" w14:textId="77777777" w:rsidR="0091565E" w:rsidRPr="0091565E" w:rsidRDefault="0091565E" w:rsidP="0091565E">
            <w:pPr>
              <w:spacing w:after="0" w:line="240" w:lineRule="auto"/>
              <w:jc w:val="center"/>
              <w:rPr>
                <w:rFonts w:ascii="Book Antiqua" w:eastAsia="Times New Roman" w:hAnsi="Book Antiqua" w:cs="Calibri"/>
                <w:b/>
                <w:bCs/>
                <w:color w:val="FFFFFF"/>
                <w:sz w:val="14"/>
                <w:szCs w:val="14"/>
                <w:lang w:eastAsia="es-CR"/>
              </w:rPr>
            </w:pPr>
            <w:r w:rsidRPr="0091565E">
              <w:rPr>
                <w:rFonts w:ascii="Book Antiqua" w:eastAsia="Times New Roman" w:hAnsi="Book Antiqua" w:cs="Calibri"/>
                <w:b/>
                <w:bCs/>
                <w:color w:val="FFFFFF"/>
                <w:sz w:val="14"/>
                <w:szCs w:val="14"/>
                <w:lang w:eastAsia="es-CR"/>
              </w:rPr>
              <w:t>Centro de responsabilidad</w:t>
            </w:r>
          </w:p>
        </w:tc>
        <w:tc>
          <w:tcPr>
            <w:tcW w:w="0" w:type="auto"/>
            <w:shd w:val="clear" w:color="000000" w:fill="44546A"/>
            <w:vAlign w:val="center"/>
            <w:hideMark/>
          </w:tcPr>
          <w:p w14:paraId="62AC5A22" w14:textId="77777777" w:rsidR="0091565E" w:rsidRPr="0091565E" w:rsidRDefault="0091565E" w:rsidP="0091565E">
            <w:pPr>
              <w:spacing w:after="0" w:line="240" w:lineRule="auto"/>
              <w:jc w:val="center"/>
              <w:rPr>
                <w:rFonts w:ascii="Book Antiqua" w:eastAsia="Times New Roman" w:hAnsi="Book Antiqua" w:cs="Calibri"/>
                <w:b/>
                <w:bCs/>
                <w:color w:val="FFFFFF"/>
                <w:sz w:val="14"/>
                <w:szCs w:val="14"/>
                <w:lang w:eastAsia="es-CR"/>
              </w:rPr>
            </w:pPr>
            <w:r w:rsidRPr="0091565E">
              <w:rPr>
                <w:rFonts w:ascii="Book Antiqua" w:eastAsia="Times New Roman" w:hAnsi="Book Antiqua" w:cs="Calibri"/>
                <w:b/>
                <w:bCs/>
                <w:color w:val="FFFFFF"/>
                <w:sz w:val="14"/>
                <w:szCs w:val="14"/>
                <w:lang w:eastAsia="es-CR"/>
              </w:rPr>
              <w:t>Oficina Líder</w:t>
            </w:r>
          </w:p>
        </w:tc>
        <w:tc>
          <w:tcPr>
            <w:tcW w:w="0" w:type="auto"/>
            <w:shd w:val="clear" w:color="000000" w:fill="44546A"/>
            <w:vAlign w:val="center"/>
            <w:hideMark/>
          </w:tcPr>
          <w:p w14:paraId="090AAF6F" w14:textId="77777777" w:rsidR="0091565E" w:rsidRPr="0091565E" w:rsidRDefault="0091565E" w:rsidP="0091565E">
            <w:pPr>
              <w:spacing w:after="0" w:line="240" w:lineRule="auto"/>
              <w:jc w:val="center"/>
              <w:rPr>
                <w:rFonts w:ascii="Book Antiqua" w:eastAsia="Times New Roman" w:hAnsi="Book Antiqua" w:cs="Calibri"/>
                <w:b/>
                <w:bCs/>
                <w:color w:val="FFFFFF"/>
                <w:sz w:val="14"/>
                <w:szCs w:val="14"/>
                <w:lang w:eastAsia="es-CR"/>
              </w:rPr>
            </w:pPr>
            <w:r w:rsidRPr="0091565E">
              <w:rPr>
                <w:rFonts w:ascii="Book Antiqua" w:eastAsia="Times New Roman" w:hAnsi="Book Antiqua" w:cs="Calibri"/>
                <w:b/>
                <w:bCs/>
                <w:color w:val="FFFFFF"/>
                <w:sz w:val="14"/>
                <w:szCs w:val="14"/>
                <w:lang w:eastAsia="es-CR"/>
              </w:rPr>
              <w:t>Código</w:t>
            </w:r>
          </w:p>
        </w:tc>
        <w:tc>
          <w:tcPr>
            <w:tcW w:w="0" w:type="auto"/>
            <w:shd w:val="clear" w:color="000000" w:fill="44546A"/>
            <w:vAlign w:val="center"/>
            <w:hideMark/>
          </w:tcPr>
          <w:p w14:paraId="79F8EA12" w14:textId="77777777" w:rsidR="0091565E" w:rsidRPr="0091565E" w:rsidRDefault="0091565E" w:rsidP="0091565E">
            <w:pPr>
              <w:spacing w:after="0" w:line="240" w:lineRule="auto"/>
              <w:jc w:val="center"/>
              <w:rPr>
                <w:rFonts w:ascii="Book Antiqua" w:eastAsia="Times New Roman" w:hAnsi="Book Antiqua" w:cs="Calibri"/>
                <w:b/>
                <w:bCs/>
                <w:color w:val="FFFFFF"/>
                <w:sz w:val="14"/>
                <w:szCs w:val="14"/>
                <w:lang w:eastAsia="es-CR"/>
              </w:rPr>
            </w:pPr>
            <w:r w:rsidRPr="0091565E">
              <w:rPr>
                <w:rFonts w:ascii="Book Antiqua" w:eastAsia="Times New Roman" w:hAnsi="Book Antiqua" w:cs="Calibri"/>
                <w:b/>
                <w:bCs/>
                <w:color w:val="FFFFFF"/>
                <w:sz w:val="14"/>
                <w:szCs w:val="14"/>
                <w:lang w:eastAsia="es-CR"/>
              </w:rPr>
              <w:t>Nombre</w:t>
            </w:r>
          </w:p>
        </w:tc>
        <w:tc>
          <w:tcPr>
            <w:tcW w:w="0" w:type="auto"/>
            <w:shd w:val="clear" w:color="000000" w:fill="44546A"/>
            <w:vAlign w:val="center"/>
            <w:hideMark/>
          </w:tcPr>
          <w:p w14:paraId="5D38AFF2" w14:textId="77777777" w:rsidR="0091565E" w:rsidRPr="0091565E" w:rsidRDefault="0091565E" w:rsidP="0091565E">
            <w:pPr>
              <w:spacing w:after="0" w:line="240" w:lineRule="auto"/>
              <w:jc w:val="center"/>
              <w:rPr>
                <w:rFonts w:ascii="Book Antiqua" w:eastAsia="Times New Roman" w:hAnsi="Book Antiqua" w:cs="Calibri"/>
                <w:b/>
                <w:bCs/>
                <w:color w:val="FFFFFF"/>
                <w:sz w:val="14"/>
                <w:szCs w:val="14"/>
                <w:lang w:eastAsia="es-CR"/>
              </w:rPr>
            </w:pPr>
            <w:r w:rsidRPr="0091565E">
              <w:rPr>
                <w:rFonts w:ascii="Book Antiqua" w:eastAsia="Times New Roman" w:hAnsi="Book Antiqua" w:cs="Calibri"/>
                <w:b/>
                <w:bCs/>
                <w:color w:val="FFFFFF"/>
                <w:sz w:val="14"/>
                <w:szCs w:val="14"/>
                <w:lang w:eastAsia="es-CR"/>
              </w:rPr>
              <w:t>Parte pendiente</w:t>
            </w:r>
          </w:p>
        </w:tc>
        <w:tc>
          <w:tcPr>
            <w:tcW w:w="3302" w:type="dxa"/>
            <w:shd w:val="clear" w:color="000000" w:fill="44546A"/>
            <w:vAlign w:val="center"/>
            <w:hideMark/>
          </w:tcPr>
          <w:p w14:paraId="62C2B70C" w14:textId="77777777" w:rsidR="0091565E" w:rsidRPr="0091565E" w:rsidRDefault="0091565E" w:rsidP="0091565E">
            <w:pPr>
              <w:spacing w:after="0" w:line="240" w:lineRule="auto"/>
              <w:jc w:val="center"/>
              <w:rPr>
                <w:rFonts w:ascii="Book Antiqua" w:eastAsia="Times New Roman" w:hAnsi="Book Antiqua" w:cs="Calibri"/>
                <w:b/>
                <w:bCs/>
                <w:color w:val="FFFFFF"/>
                <w:sz w:val="14"/>
                <w:szCs w:val="14"/>
                <w:lang w:eastAsia="es-CR"/>
              </w:rPr>
            </w:pPr>
            <w:r w:rsidRPr="0091565E">
              <w:rPr>
                <w:rFonts w:ascii="Book Antiqua" w:eastAsia="Times New Roman" w:hAnsi="Book Antiqua" w:cs="Calibri"/>
                <w:b/>
                <w:bCs/>
                <w:color w:val="FFFFFF"/>
                <w:sz w:val="14"/>
                <w:szCs w:val="14"/>
                <w:lang w:eastAsia="es-CR"/>
              </w:rPr>
              <w:t>Detalle</w:t>
            </w:r>
          </w:p>
        </w:tc>
      </w:tr>
      <w:tr w:rsidR="0091565E" w:rsidRPr="0091565E" w14:paraId="20332CD3" w14:textId="77777777" w:rsidTr="00EF4E17">
        <w:trPr>
          <w:trHeight w:val="530"/>
        </w:trPr>
        <w:tc>
          <w:tcPr>
            <w:tcW w:w="0" w:type="auto"/>
            <w:shd w:val="clear" w:color="000000" w:fill="FFFFFF"/>
            <w:vAlign w:val="center"/>
            <w:hideMark/>
          </w:tcPr>
          <w:p w14:paraId="71499039"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Administración Ciudad Judicial San Joaquín de Flores</w:t>
            </w:r>
          </w:p>
        </w:tc>
        <w:tc>
          <w:tcPr>
            <w:tcW w:w="0" w:type="auto"/>
            <w:shd w:val="clear" w:color="000000" w:fill="FFFFFF"/>
            <w:vAlign w:val="center"/>
            <w:hideMark/>
          </w:tcPr>
          <w:p w14:paraId="2E2EC867"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0667 Administración Ciudad Judicial San Joaquín de Flores</w:t>
            </w:r>
          </w:p>
        </w:tc>
        <w:tc>
          <w:tcPr>
            <w:tcW w:w="0" w:type="auto"/>
            <w:shd w:val="clear" w:color="000000" w:fill="FFFFFF"/>
            <w:vAlign w:val="center"/>
            <w:hideMark/>
          </w:tcPr>
          <w:p w14:paraId="53CAEE42"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0117-DE-P73</w:t>
            </w:r>
          </w:p>
        </w:tc>
        <w:tc>
          <w:tcPr>
            <w:tcW w:w="0" w:type="auto"/>
            <w:shd w:val="clear" w:color="000000" w:fill="FFFFFF"/>
            <w:vAlign w:val="center"/>
            <w:hideMark/>
          </w:tcPr>
          <w:p w14:paraId="2B2347D3"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Sistema de control de incendios para el edificio de Patología Forense</w:t>
            </w:r>
          </w:p>
        </w:tc>
        <w:tc>
          <w:tcPr>
            <w:tcW w:w="0" w:type="auto"/>
            <w:shd w:val="clear" w:color="000000" w:fill="FFFFFF"/>
            <w:vAlign w:val="center"/>
            <w:hideMark/>
          </w:tcPr>
          <w:p w14:paraId="03872812"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w:t>
            </w:r>
          </w:p>
        </w:tc>
        <w:tc>
          <w:tcPr>
            <w:tcW w:w="3302" w:type="dxa"/>
            <w:shd w:val="clear" w:color="000000" w:fill="FFFFFF"/>
            <w:vAlign w:val="center"/>
            <w:hideMark/>
          </w:tcPr>
          <w:p w14:paraId="7318F9C7"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Al verificar los documentos se encuentra: Estudio de Factibilidad en el apartado de Planteamiento inicial del proyecto: Falta indicar las 3 alternativas para solucionar el problema que se planteó (Según el manual para la elaboración del estudio de factibilidad que establece la metodología de Administración de proyectos establece lo siguiente: "La persona líder de proyecto debe identificar al menos tres posibles alternativas que permitan subsanar las causas detalladas en el apartado de la identificación del problema o necesidad e indicar el motivo de la selección realizada y describir brevemente en qué consiste la opción elegida.". Descripción de los beneficios: En este punto se pueden incluir varios beneficios, sin embargo, deben ser puntuales. Además, deben ser medibles como lo indica el manual que dice: (...)</w:t>
            </w:r>
            <w:r w:rsidRPr="0091565E">
              <w:rPr>
                <w:rFonts w:ascii="Times New Roman" w:eastAsia="Times New Roman" w:hAnsi="Times New Roman" w:cs="Times New Roman"/>
                <w:color w:val="000000"/>
                <w:sz w:val="14"/>
                <w:szCs w:val="14"/>
                <w:lang w:eastAsia="es-CR"/>
              </w:rPr>
              <w:t> </w:t>
            </w:r>
            <w:r w:rsidRPr="0091565E">
              <w:rPr>
                <w:rFonts w:ascii="Book Antiqua" w:eastAsia="Times New Roman" w:hAnsi="Book Antiqua" w:cs="Calibri"/>
                <w:color w:val="000000"/>
                <w:sz w:val="14"/>
                <w:szCs w:val="14"/>
                <w:lang w:eastAsia="es-CR"/>
              </w:rPr>
              <w:t xml:space="preserve"> Estos deben caracterizarse por ser cuantitativos y medibles, con el fin de que, al realizar la Fase de Cierre del proyecto, se pueda evaluar los beneficios resultantes de la ejecución del proyecto." . En el Plazo proyectado para obtener el resultado</w:t>
            </w:r>
            <w:r w:rsidRPr="0091565E">
              <w:rPr>
                <w:rFonts w:ascii="Times New Roman" w:eastAsia="Times New Roman" w:hAnsi="Times New Roman" w:cs="Times New Roman"/>
                <w:color w:val="000000"/>
                <w:sz w:val="14"/>
                <w:szCs w:val="14"/>
                <w:lang w:eastAsia="es-CR"/>
              </w:rPr>
              <w:t> </w:t>
            </w:r>
            <w:r w:rsidRPr="0091565E">
              <w:rPr>
                <w:rFonts w:ascii="Book Antiqua" w:eastAsia="Times New Roman" w:hAnsi="Book Antiqua" w:cs="Calibri"/>
                <w:color w:val="000000"/>
                <w:sz w:val="14"/>
                <w:szCs w:val="14"/>
                <w:lang w:eastAsia="es-CR"/>
              </w:rPr>
              <w:t xml:space="preserve"> se debe indicar de 6 meses a 1 año después de finalizado el proyecto. Tiempo estimado: Se debe establecer el tiempo en meses o años, indicando fecha de inicio y fecha de fin. Estudio de factibilidad anexo: Falta indicar el Código. Plan de gestión:  pendiente elaborar formulario. Acta de constitución: El formulario en el cual se elabora la misma no corresponde al formulario de la metodología institucional vigente, se debe realizar en este para poder revisar.</w:t>
            </w:r>
          </w:p>
        </w:tc>
      </w:tr>
      <w:tr w:rsidR="0091565E" w:rsidRPr="0091565E" w14:paraId="0449D38F" w14:textId="77777777" w:rsidTr="00EF4E17">
        <w:trPr>
          <w:trHeight w:val="955"/>
        </w:trPr>
        <w:tc>
          <w:tcPr>
            <w:tcW w:w="0" w:type="auto"/>
            <w:shd w:val="clear" w:color="000000" w:fill="FFFFFF"/>
            <w:vAlign w:val="center"/>
            <w:hideMark/>
          </w:tcPr>
          <w:p w14:paraId="664B52EC"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Comisiones Institucionales</w:t>
            </w:r>
          </w:p>
        </w:tc>
        <w:tc>
          <w:tcPr>
            <w:tcW w:w="0" w:type="auto"/>
            <w:shd w:val="clear" w:color="000000" w:fill="FFFFFF"/>
            <w:vAlign w:val="center"/>
            <w:hideMark/>
          </w:tcPr>
          <w:p w14:paraId="72B91161"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4000 COMISION DE LA JURISDICCION AGRARIO Y AGROAMBIENTAL</w:t>
            </w:r>
          </w:p>
        </w:tc>
        <w:tc>
          <w:tcPr>
            <w:tcW w:w="0" w:type="auto"/>
            <w:shd w:val="clear" w:color="000000" w:fill="FFFFFF"/>
            <w:vAlign w:val="center"/>
            <w:hideMark/>
          </w:tcPr>
          <w:p w14:paraId="40DCBAC9"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4000-CA-P01</w:t>
            </w:r>
          </w:p>
        </w:tc>
        <w:tc>
          <w:tcPr>
            <w:tcW w:w="0" w:type="auto"/>
            <w:shd w:val="clear" w:color="000000" w:fill="FFFFFF"/>
            <w:vAlign w:val="center"/>
            <w:hideMark/>
          </w:tcPr>
          <w:p w14:paraId="6EF6974B"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Implementación del Código Procesal Agrario (Comisión Agraria)</w:t>
            </w:r>
          </w:p>
        </w:tc>
        <w:tc>
          <w:tcPr>
            <w:tcW w:w="0" w:type="auto"/>
            <w:shd w:val="clear" w:color="000000" w:fill="FFFFFF"/>
            <w:vAlign w:val="center"/>
            <w:hideMark/>
          </w:tcPr>
          <w:p w14:paraId="05171621"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1.6</w:t>
            </w:r>
          </w:p>
        </w:tc>
        <w:tc>
          <w:tcPr>
            <w:tcW w:w="3302" w:type="dxa"/>
            <w:shd w:val="clear" w:color="000000" w:fill="FFFFFF"/>
            <w:vAlign w:val="center"/>
            <w:hideMark/>
          </w:tcPr>
          <w:p w14:paraId="61B8A975"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Pendiente corrección de diagrama de la EDT y desglose de la EDT para que coincida con cronograma en plan de gestión. Además pendiente actualizar acta de constitución, plan de gestión y estudio de factibilidad producto de la solicitud de cambio</w:t>
            </w:r>
          </w:p>
        </w:tc>
      </w:tr>
      <w:tr w:rsidR="0091565E" w:rsidRPr="0091565E" w14:paraId="077CCA18" w14:textId="77777777" w:rsidTr="00EF4E17">
        <w:trPr>
          <w:trHeight w:val="3082"/>
        </w:trPr>
        <w:tc>
          <w:tcPr>
            <w:tcW w:w="0" w:type="auto"/>
            <w:vMerge w:val="restart"/>
            <w:shd w:val="clear" w:color="000000" w:fill="FFFFFF"/>
            <w:vAlign w:val="center"/>
            <w:hideMark/>
          </w:tcPr>
          <w:p w14:paraId="1F45D790"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lastRenderedPageBreak/>
              <w:t>Despacho de la Presidencia</w:t>
            </w:r>
          </w:p>
        </w:tc>
        <w:tc>
          <w:tcPr>
            <w:tcW w:w="0" w:type="auto"/>
            <w:vMerge w:val="restart"/>
            <w:shd w:val="clear" w:color="000000" w:fill="FFFFFF"/>
            <w:vAlign w:val="center"/>
            <w:hideMark/>
          </w:tcPr>
          <w:p w14:paraId="556B7525"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0653 DESPACHO DE LA PRESIDENCIA</w:t>
            </w:r>
          </w:p>
        </w:tc>
        <w:tc>
          <w:tcPr>
            <w:tcW w:w="0" w:type="auto"/>
            <w:vMerge w:val="restart"/>
            <w:shd w:val="clear" w:color="000000" w:fill="FFFFFF"/>
            <w:vAlign w:val="center"/>
            <w:hideMark/>
          </w:tcPr>
          <w:p w14:paraId="1679F15F" w14:textId="77777777" w:rsidR="0091565E" w:rsidRPr="0091565E" w:rsidRDefault="0091565E" w:rsidP="0091565E">
            <w:pPr>
              <w:spacing w:after="0" w:line="240" w:lineRule="auto"/>
              <w:jc w:val="center"/>
              <w:rPr>
                <w:rFonts w:ascii="Book Antiqua" w:eastAsia="Times New Roman" w:hAnsi="Book Antiqua" w:cs="Calibri"/>
                <w:color w:val="444444"/>
                <w:sz w:val="14"/>
                <w:szCs w:val="14"/>
                <w:lang w:eastAsia="es-CR"/>
              </w:rPr>
            </w:pPr>
            <w:r w:rsidRPr="0091565E">
              <w:rPr>
                <w:rFonts w:ascii="Book Antiqua" w:eastAsia="Times New Roman" w:hAnsi="Book Antiqua" w:cs="Calibri"/>
                <w:color w:val="444444"/>
                <w:sz w:val="14"/>
                <w:szCs w:val="14"/>
                <w:lang w:eastAsia="es-CR"/>
              </w:rPr>
              <w:t>0653-DP-P14</w:t>
            </w:r>
          </w:p>
        </w:tc>
        <w:tc>
          <w:tcPr>
            <w:tcW w:w="0" w:type="auto"/>
            <w:vMerge w:val="restart"/>
            <w:shd w:val="clear" w:color="000000" w:fill="FFFFFF"/>
            <w:vAlign w:val="center"/>
            <w:hideMark/>
          </w:tcPr>
          <w:p w14:paraId="5F2D96B0" w14:textId="77777777" w:rsidR="0091565E" w:rsidRPr="0091565E" w:rsidRDefault="0091565E" w:rsidP="0091565E">
            <w:pPr>
              <w:spacing w:after="0" w:line="240" w:lineRule="auto"/>
              <w:jc w:val="center"/>
              <w:rPr>
                <w:rFonts w:ascii="Book Antiqua" w:eastAsia="Times New Roman" w:hAnsi="Book Antiqua" w:cs="Calibri"/>
                <w:color w:val="444444"/>
                <w:sz w:val="14"/>
                <w:szCs w:val="14"/>
                <w:lang w:eastAsia="es-CR"/>
              </w:rPr>
            </w:pPr>
            <w:r w:rsidRPr="0091565E">
              <w:rPr>
                <w:rFonts w:ascii="Book Antiqua" w:eastAsia="Times New Roman" w:hAnsi="Book Antiqua" w:cs="Calibri"/>
                <w:color w:val="444444"/>
                <w:sz w:val="14"/>
                <w:szCs w:val="14"/>
                <w:lang w:eastAsia="es-CR"/>
              </w:rPr>
              <w:t>Desarrollo e Implantación Sistema Observatorio Judicial</w:t>
            </w:r>
          </w:p>
        </w:tc>
        <w:tc>
          <w:tcPr>
            <w:tcW w:w="0" w:type="auto"/>
            <w:shd w:val="clear" w:color="000000" w:fill="FFFFFF"/>
            <w:vAlign w:val="center"/>
            <w:hideMark/>
          </w:tcPr>
          <w:p w14:paraId="72FABB38"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1.10</w:t>
            </w:r>
          </w:p>
        </w:tc>
        <w:tc>
          <w:tcPr>
            <w:tcW w:w="3302" w:type="dxa"/>
            <w:shd w:val="clear" w:color="000000" w:fill="FFFFFF"/>
            <w:vAlign w:val="center"/>
            <w:hideMark/>
          </w:tcPr>
          <w:p w14:paraId="17ED5905"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Producto de la solicitud de cambio pendiente: Estudio de factibilidad (formulario de DTI, se debe elaborar en formulario de metodología institucional vigente) se debe actualizar los costos, porque no están todos los permisos brindados. Plan de dirección del proyecto (formulario de DTI, se debe elaborar en formulario de metodología institucional vigente): revisar la estructura de desglose del proyecto, porque no coincide con el cronograma. Acta de constitución: fecha de finalización de be coincidir con cronograma; el cronograma general es un  cronograma de alto nivel; Recursos del proyecto: este debe contemplar todos los costos en los cuales ha incurrido el proyecto o incurrirá el proyecto tanto en recurso humano como gasto variable; en equipo del proyecto se deben indicar todos los roles, nombres y puestos del proyecto. (Se debe trasladar la información a la versión 2 de la metodología institucional)</w:t>
            </w:r>
          </w:p>
        </w:tc>
      </w:tr>
      <w:tr w:rsidR="0091565E" w:rsidRPr="0091565E" w14:paraId="2AF3F6B7" w14:textId="77777777" w:rsidTr="00EF4E17">
        <w:trPr>
          <w:trHeight w:val="523"/>
        </w:trPr>
        <w:tc>
          <w:tcPr>
            <w:tcW w:w="0" w:type="auto"/>
            <w:vMerge/>
            <w:vAlign w:val="center"/>
            <w:hideMark/>
          </w:tcPr>
          <w:p w14:paraId="5961B3D0"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ign w:val="center"/>
            <w:hideMark/>
          </w:tcPr>
          <w:p w14:paraId="143C1C24"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ign w:val="center"/>
            <w:hideMark/>
          </w:tcPr>
          <w:p w14:paraId="611041EE" w14:textId="77777777" w:rsidR="0091565E" w:rsidRPr="0091565E" w:rsidRDefault="0091565E" w:rsidP="0091565E">
            <w:pPr>
              <w:spacing w:after="0" w:line="240" w:lineRule="auto"/>
              <w:jc w:val="center"/>
              <w:rPr>
                <w:rFonts w:ascii="Book Antiqua" w:eastAsia="Times New Roman" w:hAnsi="Book Antiqua" w:cs="Calibri"/>
                <w:color w:val="444444"/>
                <w:sz w:val="14"/>
                <w:szCs w:val="14"/>
                <w:lang w:eastAsia="es-CR"/>
              </w:rPr>
            </w:pPr>
          </w:p>
        </w:tc>
        <w:tc>
          <w:tcPr>
            <w:tcW w:w="0" w:type="auto"/>
            <w:vMerge/>
            <w:vAlign w:val="center"/>
            <w:hideMark/>
          </w:tcPr>
          <w:p w14:paraId="47BE31C9" w14:textId="77777777" w:rsidR="0091565E" w:rsidRPr="0091565E" w:rsidRDefault="0091565E" w:rsidP="0091565E">
            <w:pPr>
              <w:spacing w:after="0" w:line="240" w:lineRule="auto"/>
              <w:jc w:val="center"/>
              <w:rPr>
                <w:rFonts w:ascii="Book Antiqua" w:eastAsia="Times New Roman" w:hAnsi="Book Antiqua" w:cs="Calibri"/>
                <w:color w:val="444444"/>
                <w:sz w:val="14"/>
                <w:szCs w:val="14"/>
                <w:lang w:eastAsia="es-CR"/>
              </w:rPr>
            </w:pPr>
          </w:p>
        </w:tc>
        <w:tc>
          <w:tcPr>
            <w:tcW w:w="0" w:type="auto"/>
            <w:shd w:val="clear" w:color="000000" w:fill="FFFFFF"/>
            <w:vAlign w:val="center"/>
            <w:hideMark/>
          </w:tcPr>
          <w:p w14:paraId="6688BC31"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1.10</w:t>
            </w:r>
          </w:p>
        </w:tc>
        <w:tc>
          <w:tcPr>
            <w:tcW w:w="3302" w:type="dxa"/>
            <w:shd w:val="clear" w:color="000000" w:fill="FFFFFF"/>
            <w:vAlign w:val="center"/>
            <w:hideMark/>
          </w:tcPr>
          <w:p w14:paraId="26A88B47"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No se corrigió el informe de avance de diciembre, ni se justifica los motivos por los cuales no se corrige el informe.</w:t>
            </w:r>
          </w:p>
        </w:tc>
      </w:tr>
      <w:tr w:rsidR="0091565E" w:rsidRPr="0091565E" w14:paraId="51553682" w14:textId="77777777" w:rsidTr="00EF4E17">
        <w:trPr>
          <w:trHeight w:val="418"/>
        </w:trPr>
        <w:tc>
          <w:tcPr>
            <w:tcW w:w="0" w:type="auto"/>
            <w:vMerge/>
            <w:vAlign w:val="center"/>
            <w:hideMark/>
          </w:tcPr>
          <w:p w14:paraId="6C4C8EBD"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ign w:val="center"/>
            <w:hideMark/>
          </w:tcPr>
          <w:p w14:paraId="500CD4B5"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shd w:val="clear" w:color="000000" w:fill="FFFFFF"/>
            <w:vAlign w:val="center"/>
            <w:hideMark/>
          </w:tcPr>
          <w:p w14:paraId="1748FAE6"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P10-PRI-PC</w:t>
            </w:r>
          </w:p>
        </w:tc>
        <w:tc>
          <w:tcPr>
            <w:tcW w:w="0" w:type="auto"/>
            <w:shd w:val="clear" w:color="000000" w:fill="FFFFFF"/>
            <w:vAlign w:val="center"/>
            <w:hideMark/>
          </w:tcPr>
          <w:p w14:paraId="65CE068B"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Reglamento de Carrera de la Defensa Publica</w:t>
            </w:r>
          </w:p>
        </w:tc>
        <w:tc>
          <w:tcPr>
            <w:tcW w:w="0" w:type="auto"/>
            <w:shd w:val="clear" w:color="000000" w:fill="FFFFFF"/>
            <w:vAlign w:val="center"/>
            <w:hideMark/>
          </w:tcPr>
          <w:p w14:paraId="2BDDFD28"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1.10</w:t>
            </w:r>
          </w:p>
        </w:tc>
        <w:tc>
          <w:tcPr>
            <w:tcW w:w="3302" w:type="dxa"/>
            <w:shd w:val="clear" w:color="000000" w:fill="FFFFFF"/>
            <w:vAlign w:val="center"/>
            <w:hideMark/>
          </w:tcPr>
          <w:p w14:paraId="7E45A844"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Pendiente de elaborar el III informe de seguimiento del 2022.</w:t>
            </w:r>
          </w:p>
        </w:tc>
      </w:tr>
      <w:tr w:rsidR="0091565E" w:rsidRPr="0091565E" w14:paraId="079C930E" w14:textId="77777777" w:rsidTr="00EF4E17">
        <w:trPr>
          <w:trHeight w:val="436"/>
        </w:trPr>
        <w:tc>
          <w:tcPr>
            <w:tcW w:w="0" w:type="auto"/>
            <w:vMerge/>
            <w:vAlign w:val="center"/>
            <w:hideMark/>
          </w:tcPr>
          <w:p w14:paraId="4D18F22A"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restart"/>
            <w:shd w:val="clear" w:color="000000" w:fill="FFFFFF"/>
            <w:vAlign w:val="center"/>
            <w:hideMark/>
          </w:tcPr>
          <w:p w14:paraId="510F2666"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1049 SECCION DE COOPERACION Y RELACIONES INTERNACIONALES</w:t>
            </w:r>
          </w:p>
        </w:tc>
        <w:tc>
          <w:tcPr>
            <w:tcW w:w="0" w:type="auto"/>
            <w:vMerge w:val="restart"/>
            <w:shd w:val="clear" w:color="000000" w:fill="FFFFFF"/>
            <w:vAlign w:val="center"/>
            <w:hideMark/>
          </w:tcPr>
          <w:p w14:paraId="4D40FB88"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0653-DP-P12</w:t>
            </w:r>
          </w:p>
        </w:tc>
        <w:tc>
          <w:tcPr>
            <w:tcW w:w="0" w:type="auto"/>
            <w:vMerge w:val="restart"/>
            <w:shd w:val="clear" w:color="000000" w:fill="FFFFFF"/>
            <w:vAlign w:val="center"/>
            <w:hideMark/>
          </w:tcPr>
          <w:p w14:paraId="50FE8080"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Implementación de los ODS y Cumplimiento de la Agenda 2030</w:t>
            </w:r>
          </w:p>
        </w:tc>
        <w:tc>
          <w:tcPr>
            <w:tcW w:w="0" w:type="auto"/>
            <w:shd w:val="clear" w:color="000000" w:fill="FFFFFF"/>
            <w:vAlign w:val="center"/>
            <w:hideMark/>
          </w:tcPr>
          <w:p w14:paraId="4E947E26"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1.10</w:t>
            </w:r>
          </w:p>
        </w:tc>
        <w:tc>
          <w:tcPr>
            <w:tcW w:w="3302" w:type="dxa"/>
            <w:shd w:val="clear" w:color="000000" w:fill="FFFFFF"/>
            <w:vAlign w:val="center"/>
            <w:hideMark/>
          </w:tcPr>
          <w:p w14:paraId="31B854DE"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Pendiente de actualizar documento producto de la solicitud de cambio de setiembre 2022: Acta de constitución fecha de fin no concuerda con cronograma; cronograma de alto nivel falta incluirlo. Estudio de factibilidad: en Análisis de costo-beneficio se debe verificar costo de inversión y cálculo del SROI, porque no coincide con datos superiores. Plan de gestión: No viene cronograma adjunto final.</w:t>
            </w:r>
          </w:p>
        </w:tc>
      </w:tr>
      <w:tr w:rsidR="0091565E" w:rsidRPr="0091565E" w14:paraId="1B175865" w14:textId="77777777" w:rsidTr="00EF4E17">
        <w:trPr>
          <w:trHeight w:val="743"/>
        </w:trPr>
        <w:tc>
          <w:tcPr>
            <w:tcW w:w="0" w:type="auto"/>
            <w:vMerge/>
            <w:vAlign w:val="center"/>
            <w:hideMark/>
          </w:tcPr>
          <w:p w14:paraId="1CC241BA"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ign w:val="center"/>
            <w:hideMark/>
          </w:tcPr>
          <w:p w14:paraId="6360348A"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ign w:val="center"/>
            <w:hideMark/>
          </w:tcPr>
          <w:p w14:paraId="7CCC8645"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ign w:val="center"/>
            <w:hideMark/>
          </w:tcPr>
          <w:p w14:paraId="4D47F3BC"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shd w:val="clear" w:color="000000" w:fill="FFFFFF"/>
            <w:vAlign w:val="center"/>
            <w:hideMark/>
          </w:tcPr>
          <w:p w14:paraId="5C5E5813"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1.10</w:t>
            </w:r>
          </w:p>
        </w:tc>
        <w:tc>
          <w:tcPr>
            <w:tcW w:w="3302" w:type="dxa"/>
            <w:shd w:val="clear" w:color="000000" w:fill="FFFFFF"/>
            <w:vAlign w:val="center"/>
            <w:hideMark/>
          </w:tcPr>
          <w:p w14:paraId="2A65B682"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Pendiente aprobación del informe de cierre por parte del patrocinador (Según correo enviado en enero 2023 a líder del proyecto, se había solicitado que por no encontrarse patrocinador actualmente en el Poder Judicial, remitir el mismo al Consejo Superior)</w:t>
            </w:r>
          </w:p>
        </w:tc>
      </w:tr>
      <w:tr w:rsidR="0091565E" w:rsidRPr="0091565E" w14:paraId="2F1823EC" w14:textId="77777777" w:rsidTr="00EF4E17">
        <w:trPr>
          <w:trHeight w:val="5349"/>
        </w:trPr>
        <w:tc>
          <w:tcPr>
            <w:tcW w:w="0" w:type="auto"/>
            <w:vMerge/>
            <w:vAlign w:val="center"/>
            <w:hideMark/>
          </w:tcPr>
          <w:p w14:paraId="69A6D2E3"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restart"/>
            <w:shd w:val="clear" w:color="000000" w:fill="FFFFFF"/>
            <w:vAlign w:val="center"/>
            <w:hideMark/>
          </w:tcPr>
          <w:p w14:paraId="3FF53125"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1324 Centro de Apoyo, Coordinación y Mejoramiento de la Función Jurisdiccional</w:t>
            </w:r>
          </w:p>
        </w:tc>
        <w:tc>
          <w:tcPr>
            <w:tcW w:w="0" w:type="auto"/>
            <w:shd w:val="clear" w:color="000000" w:fill="FFFFFF"/>
            <w:vAlign w:val="center"/>
            <w:hideMark/>
          </w:tcPr>
          <w:p w14:paraId="3C6B3ABF"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1324-CACMFJ-P06</w:t>
            </w:r>
          </w:p>
        </w:tc>
        <w:tc>
          <w:tcPr>
            <w:tcW w:w="0" w:type="auto"/>
            <w:shd w:val="clear" w:color="000000" w:fill="FFFFFF"/>
            <w:vAlign w:val="center"/>
            <w:hideMark/>
          </w:tcPr>
          <w:p w14:paraId="78B99736"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Plan de Atención de los Procesos Expropiatorios en el Juzgado Contencioso Administrativo y Civil Hacienda</w:t>
            </w:r>
          </w:p>
        </w:tc>
        <w:tc>
          <w:tcPr>
            <w:tcW w:w="0" w:type="auto"/>
            <w:shd w:val="clear" w:color="000000" w:fill="FFFFFF"/>
            <w:vAlign w:val="center"/>
            <w:hideMark/>
          </w:tcPr>
          <w:p w14:paraId="02EAED0E"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1.10</w:t>
            </w:r>
          </w:p>
        </w:tc>
        <w:tc>
          <w:tcPr>
            <w:tcW w:w="3302" w:type="dxa"/>
            <w:shd w:val="clear" w:color="000000" w:fill="FFFFFF"/>
            <w:vAlign w:val="center"/>
            <w:hideMark/>
          </w:tcPr>
          <w:p w14:paraId="0994DE13"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En estudio de factibilidad corregir: Planteamiento inicial del proyecto: Falta indicar las 3 alternativas para solucionar el problema que se planteó. Costos de inversión: En este apartado se debe contemplar los recursos ordinarios del proyecto y con permisos con goce requerido para la ejecución del proyecto. Revisar que este por todo el periodo del proyecto y la cantidad de personas que intervienen. Costos de Operación: En este apartado no se debe contemplar los recursos ordinarios ni permisos con goce de la ejecución del proyecto; sino los costos que genere el proyecto una vez terminado. Fuente de financiamiento: Se debe indicar a si es con recurso ordinario o como se pagará. Análisis Costo -Beneficio del Proyecto: El costo de inversión debe coincidir una vez actualizado si aplica. Acta de constitución: Código del Proyecto: El  Código esta incorrecto es el 0655-CONAMAJ-P06. Descripción del proyecto: Se debe ampliar, considerar lo que se estableció en el estudio de factibilidad o plan de gestión. Objetivo del Proyecto: Falta indicar los indicadores del proyecto para evaluar los permisos con goce. Recursos del proyecto: Este apartado debe coincidir con los montos indicados en el estudio de factibilidad en el apartado de costo de inversión. Equipo de trabajo del proyecto: En este apartado se debe indicar el equipo de trabajo, y mencionar el  rol de cada uno. Aprobación:</w:t>
            </w:r>
            <w:r w:rsidRPr="0091565E">
              <w:rPr>
                <w:rFonts w:ascii="Times New Roman" w:eastAsia="Times New Roman" w:hAnsi="Times New Roman" w:cs="Times New Roman"/>
                <w:color w:val="000000"/>
                <w:sz w:val="14"/>
                <w:szCs w:val="14"/>
                <w:lang w:eastAsia="es-CR"/>
              </w:rPr>
              <w:t> </w:t>
            </w:r>
            <w:r w:rsidRPr="0091565E">
              <w:rPr>
                <w:rFonts w:ascii="Book Antiqua" w:eastAsia="Times New Roman" w:hAnsi="Book Antiqua" w:cs="Calibri"/>
                <w:color w:val="000000"/>
                <w:sz w:val="14"/>
                <w:szCs w:val="14"/>
                <w:lang w:eastAsia="es-CR"/>
              </w:rPr>
              <w:t>Falta aprobación del documento. Plan de gestión: Beneficios y resultados esperados: Recuperando datos. Espere unos segundos e intente cortar o copiar de nuevo. Detalle de los entregables del proyecto: Falta realizar el diagrama de la EDT, se puede ver un ejemplo en el manual de elaboración del plan de gestión; El detalle de los entregables debe coincidir el cronograma y solamente debe indicarse el 3 nivel. Detalle del presupuesto del proyecto: Recuperando datos. Espere unos segundos e intente cortar o copiar de nuevo. Administración de la comunicación: Falta completar este dato.</w:t>
            </w:r>
          </w:p>
        </w:tc>
      </w:tr>
      <w:tr w:rsidR="0091565E" w:rsidRPr="0091565E" w14:paraId="2FA97E2C" w14:textId="77777777" w:rsidTr="00EF4E17">
        <w:trPr>
          <w:trHeight w:val="8192"/>
        </w:trPr>
        <w:tc>
          <w:tcPr>
            <w:tcW w:w="0" w:type="auto"/>
            <w:vMerge/>
            <w:vAlign w:val="center"/>
            <w:hideMark/>
          </w:tcPr>
          <w:p w14:paraId="4C26D4DD"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ign w:val="center"/>
            <w:hideMark/>
          </w:tcPr>
          <w:p w14:paraId="08C0FF76"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shd w:val="clear" w:color="000000" w:fill="FFFFFF"/>
            <w:vAlign w:val="center"/>
            <w:hideMark/>
          </w:tcPr>
          <w:p w14:paraId="6F151380"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1324-CACMFJ-P07</w:t>
            </w:r>
          </w:p>
        </w:tc>
        <w:tc>
          <w:tcPr>
            <w:tcW w:w="0" w:type="auto"/>
            <w:shd w:val="clear" w:color="000000" w:fill="FFFFFF"/>
            <w:vAlign w:val="center"/>
            <w:hideMark/>
          </w:tcPr>
          <w:p w14:paraId="169A1A33"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Proyecto operativo en el Área de Ejecución de Sentencias de Amparos de Legalidad del Tribunal Contencioso Administrativo</w:t>
            </w:r>
          </w:p>
        </w:tc>
        <w:tc>
          <w:tcPr>
            <w:tcW w:w="0" w:type="auto"/>
            <w:shd w:val="clear" w:color="000000" w:fill="FFFFFF"/>
            <w:vAlign w:val="center"/>
            <w:hideMark/>
          </w:tcPr>
          <w:p w14:paraId="30EBE461"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1.10</w:t>
            </w:r>
          </w:p>
        </w:tc>
        <w:tc>
          <w:tcPr>
            <w:tcW w:w="3302" w:type="dxa"/>
            <w:shd w:val="clear" w:color="000000" w:fill="FFFFFF"/>
            <w:vAlign w:val="center"/>
            <w:hideMark/>
          </w:tcPr>
          <w:p w14:paraId="64A52C83"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En estudio de factibilidad corregir: Planteamiento inicial del proyecto: Falta indicar las 3 alternativas para solucionar el problema que se planteó. Costos de inversión: En este apartado se debe contemplar los recursos ordinarios del proyecto y con permisos con goce requerido para la ejecución del proyecto. Revisar que este por todo el periodo del proyecto y la cantidad de personas que intervienen. Costos de Operación: En este apartado no se debe contemplar los recursos ordinarios ni permisos con goce de la ejecución del proyecto; sino los costos que genere el proyecto una vez terminado. Fuente de financiamiento: Se debe indicar a si es con recurso ordinario o como se pagará. Análisis Costo -Beneficio del Proyecto: El costo de inversión debe coincidir una vez actualizado si aplica. Acta de constitución: Código del Proyecto: El  Código esta incorrecto es el 0655-CONAMAJ-P06. Descripción del proyecto: Se debe ampliar, considerar lo que se estableció en el estudio de factibilidad. Objetivo del Proyecto: Falta indicar los indicadores del proyecto para evaluar los permisos con goce. Recursos del proyecto: Este apartado debe coincidir con los montos indicados en el estudio de factibilidad en el apartado de costo de inversión. Equipo de trabajo del proyecto: En este apartado se debe indicar el equipo de trabajo, y mencionar el  rol de cada uno. Aprobación:</w:t>
            </w:r>
            <w:r w:rsidRPr="0091565E">
              <w:rPr>
                <w:rFonts w:ascii="Times New Roman" w:eastAsia="Times New Roman" w:hAnsi="Times New Roman" w:cs="Times New Roman"/>
                <w:color w:val="000000"/>
                <w:sz w:val="14"/>
                <w:szCs w:val="14"/>
                <w:lang w:eastAsia="es-CR"/>
              </w:rPr>
              <w:t> </w:t>
            </w:r>
            <w:r w:rsidRPr="0091565E">
              <w:rPr>
                <w:rFonts w:ascii="Book Antiqua" w:eastAsia="Times New Roman" w:hAnsi="Book Antiqua" w:cs="Calibri"/>
                <w:color w:val="000000"/>
                <w:sz w:val="14"/>
                <w:szCs w:val="14"/>
                <w:lang w:eastAsia="es-CR"/>
              </w:rPr>
              <w:t>Falta aprobación del documento. Plan de gestión: Descripción del proyecto: Se debe ampliar, considerar lo que se estableció en el estudio de factibilidad. Objetivo del Proyecto: Falta indicar los indicadores del proyecto para evaluar los permisos con goce. Alcance del proyecto: Debe ser concreto, e indica cual es el alcance del proyecto. Beneficios y resultados esperados: Los beneficios indicados en este apartado debe ser iguales a los del estudio de factibilidad. Detalle de los entregables del proyecto: Falta realizar el diagrama de la EDT, se puede ver un ejemplo en el manual de elaboración del plan de gestión. Detalle del presupuesto del proyecto: Se debe incluir en el apartado de costos del proyecto, los costos relacionados con el presupuesto ordinario de la partida 1 a la 7; y en el subtítulo 6.2 y 6.3 indicar los recursos humanos según sea el caso. Además esto debe coincidir con el estudio de factibilidad y acta de constitución.</w:t>
            </w:r>
          </w:p>
        </w:tc>
      </w:tr>
      <w:tr w:rsidR="0091565E" w:rsidRPr="0091565E" w14:paraId="4734CD83" w14:textId="77777777" w:rsidTr="00EF4E17">
        <w:trPr>
          <w:trHeight w:val="711"/>
        </w:trPr>
        <w:tc>
          <w:tcPr>
            <w:tcW w:w="0" w:type="auto"/>
            <w:vMerge w:val="restart"/>
            <w:shd w:val="clear" w:color="000000" w:fill="FFFFFF"/>
            <w:vAlign w:val="center"/>
            <w:hideMark/>
          </w:tcPr>
          <w:p w14:paraId="145A3CFF"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lastRenderedPageBreak/>
              <w:t>Dirección de Tecnología de Información</w:t>
            </w:r>
          </w:p>
        </w:tc>
        <w:tc>
          <w:tcPr>
            <w:tcW w:w="0" w:type="auto"/>
            <w:shd w:val="clear" w:color="000000" w:fill="FFFFFF"/>
            <w:vAlign w:val="center"/>
            <w:hideMark/>
          </w:tcPr>
          <w:p w14:paraId="64E2C266"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0685 SUBPROCESO TELEMATICA</w:t>
            </w:r>
          </w:p>
        </w:tc>
        <w:tc>
          <w:tcPr>
            <w:tcW w:w="0" w:type="auto"/>
            <w:shd w:val="clear" w:color="000000" w:fill="FFFFFF"/>
            <w:vAlign w:val="center"/>
            <w:hideMark/>
          </w:tcPr>
          <w:p w14:paraId="6A48B2FF"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0122-DTI-P11</w:t>
            </w:r>
          </w:p>
        </w:tc>
        <w:tc>
          <w:tcPr>
            <w:tcW w:w="0" w:type="auto"/>
            <w:shd w:val="clear" w:color="000000" w:fill="FFFFFF"/>
            <w:vAlign w:val="center"/>
            <w:hideMark/>
          </w:tcPr>
          <w:p w14:paraId="0207C8B7"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Rediseño y Migración de Telefonía IP</w:t>
            </w:r>
          </w:p>
        </w:tc>
        <w:tc>
          <w:tcPr>
            <w:tcW w:w="0" w:type="auto"/>
            <w:shd w:val="clear" w:color="000000" w:fill="FFFFFF"/>
            <w:vAlign w:val="center"/>
            <w:hideMark/>
          </w:tcPr>
          <w:p w14:paraId="7FABD36B"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1.11</w:t>
            </w:r>
          </w:p>
        </w:tc>
        <w:tc>
          <w:tcPr>
            <w:tcW w:w="3302" w:type="dxa"/>
            <w:shd w:val="clear" w:color="000000" w:fill="FFFFFF"/>
            <w:vAlign w:val="center"/>
            <w:hideMark/>
          </w:tcPr>
          <w:p w14:paraId="7DDA9FE3"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No se corrigió el informe de avance de diciembre presentaba incorrecto el porcentaje real y esperado, ni se justifica los motivos por los cuales no se corrige el informe.</w:t>
            </w:r>
          </w:p>
        </w:tc>
      </w:tr>
      <w:tr w:rsidR="0091565E" w:rsidRPr="0091565E" w14:paraId="69CA975E" w14:textId="77777777" w:rsidTr="00EF4E17">
        <w:trPr>
          <w:trHeight w:val="436"/>
        </w:trPr>
        <w:tc>
          <w:tcPr>
            <w:tcW w:w="0" w:type="auto"/>
            <w:vMerge/>
            <w:vAlign w:val="center"/>
            <w:hideMark/>
          </w:tcPr>
          <w:p w14:paraId="4FBCF2C8"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shd w:val="clear" w:color="000000" w:fill="FFFFFF"/>
            <w:vAlign w:val="center"/>
            <w:hideMark/>
          </w:tcPr>
          <w:p w14:paraId="1EBAB47B"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1841 SUBPROCESO SISTEMAS JURISDICCIONALES</w:t>
            </w:r>
          </w:p>
        </w:tc>
        <w:tc>
          <w:tcPr>
            <w:tcW w:w="0" w:type="auto"/>
            <w:shd w:val="clear" w:color="000000" w:fill="FFFFFF"/>
            <w:vAlign w:val="center"/>
            <w:hideMark/>
          </w:tcPr>
          <w:p w14:paraId="7BAA93A5"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0122-DTI-P12</w:t>
            </w:r>
          </w:p>
        </w:tc>
        <w:tc>
          <w:tcPr>
            <w:tcW w:w="0" w:type="auto"/>
            <w:shd w:val="clear" w:color="000000" w:fill="FFFFFF"/>
            <w:vAlign w:val="center"/>
            <w:hideMark/>
          </w:tcPr>
          <w:p w14:paraId="59EF0D49"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Modernización del Sistema de Gestión en Línea y la Aplicación Móvil</w:t>
            </w:r>
          </w:p>
        </w:tc>
        <w:tc>
          <w:tcPr>
            <w:tcW w:w="0" w:type="auto"/>
            <w:shd w:val="clear" w:color="000000" w:fill="FFFFFF"/>
            <w:vAlign w:val="center"/>
            <w:hideMark/>
          </w:tcPr>
          <w:p w14:paraId="42DD9C89"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1.11</w:t>
            </w:r>
          </w:p>
        </w:tc>
        <w:tc>
          <w:tcPr>
            <w:tcW w:w="3302" w:type="dxa"/>
            <w:shd w:val="clear" w:color="000000" w:fill="FFFFFF"/>
            <w:vAlign w:val="center"/>
            <w:hideMark/>
          </w:tcPr>
          <w:p w14:paraId="4ACB06A4"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Pendiente elaborar informe de cierre en formulario de la metodología institucional de proyectos el mismo tiene que ser aprobado por el patrocinador del proyecto.</w:t>
            </w:r>
          </w:p>
        </w:tc>
      </w:tr>
      <w:tr w:rsidR="0091565E" w:rsidRPr="0091565E" w14:paraId="10B67857" w14:textId="77777777" w:rsidTr="00EF4E17">
        <w:trPr>
          <w:trHeight w:val="153"/>
        </w:trPr>
        <w:tc>
          <w:tcPr>
            <w:tcW w:w="0" w:type="auto"/>
            <w:vMerge/>
            <w:vAlign w:val="center"/>
            <w:hideMark/>
          </w:tcPr>
          <w:p w14:paraId="1C1DF087"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shd w:val="clear" w:color="000000" w:fill="FFFFFF"/>
            <w:vAlign w:val="center"/>
            <w:hideMark/>
          </w:tcPr>
          <w:p w14:paraId="43A13CCA"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0686 SUBPROCESO GESTION DEL SERVICIO</w:t>
            </w:r>
          </w:p>
        </w:tc>
        <w:tc>
          <w:tcPr>
            <w:tcW w:w="0" w:type="auto"/>
            <w:shd w:val="clear" w:color="000000" w:fill="FFFFFF"/>
            <w:vAlign w:val="center"/>
            <w:hideMark/>
          </w:tcPr>
          <w:p w14:paraId="1BA5F1BE"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0122-DTI-P16</w:t>
            </w:r>
          </w:p>
        </w:tc>
        <w:tc>
          <w:tcPr>
            <w:tcW w:w="0" w:type="auto"/>
            <w:shd w:val="clear" w:color="000000" w:fill="FFFFFF"/>
            <w:vAlign w:val="center"/>
            <w:hideMark/>
          </w:tcPr>
          <w:p w14:paraId="4837D021"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Implantación del Nuevo Sistema de Gestión</w:t>
            </w:r>
          </w:p>
        </w:tc>
        <w:tc>
          <w:tcPr>
            <w:tcW w:w="0" w:type="auto"/>
            <w:shd w:val="clear" w:color="000000" w:fill="FFFFFF"/>
            <w:vAlign w:val="center"/>
            <w:hideMark/>
          </w:tcPr>
          <w:p w14:paraId="20384E1E"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1.11</w:t>
            </w:r>
          </w:p>
        </w:tc>
        <w:tc>
          <w:tcPr>
            <w:tcW w:w="3302" w:type="dxa"/>
            <w:shd w:val="clear" w:color="000000" w:fill="FFFFFF"/>
            <w:vAlign w:val="center"/>
            <w:hideMark/>
          </w:tcPr>
          <w:p w14:paraId="2B199D5B"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No se corrigió el informe de avance de diciembre presentaba incorrecto el porcentaje real y esperado, ni se justifica los motivos por los cuales no se corrige el informe.</w:t>
            </w:r>
          </w:p>
        </w:tc>
      </w:tr>
      <w:tr w:rsidR="0091565E" w:rsidRPr="0091565E" w14:paraId="4325E031" w14:textId="77777777" w:rsidTr="00EF4E17">
        <w:trPr>
          <w:trHeight w:val="4122"/>
        </w:trPr>
        <w:tc>
          <w:tcPr>
            <w:tcW w:w="0" w:type="auto"/>
            <w:vMerge w:val="restart"/>
            <w:shd w:val="clear" w:color="000000" w:fill="FFFFFF"/>
            <w:vAlign w:val="center"/>
            <w:hideMark/>
          </w:tcPr>
          <w:p w14:paraId="433351A2"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lastRenderedPageBreak/>
              <w:t>Dirección Ejecutiva</w:t>
            </w:r>
          </w:p>
        </w:tc>
        <w:tc>
          <w:tcPr>
            <w:tcW w:w="0" w:type="auto"/>
            <w:shd w:val="clear" w:color="000000" w:fill="FFFFFF"/>
            <w:vAlign w:val="center"/>
            <w:hideMark/>
          </w:tcPr>
          <w:p w14:paraId="22CF9E40"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0117 DIRECCION EJECUTIVA</w:t>
            </w:r>
          </w:p>
        </w:tc>
        <w:tc>
          <w:tcPr>
            <w:tcW w:w="0" w:type="auto"/>
            <w:shd w:val="clear" w:color="000000" w:fill="FFFFFF"/>
            <w:vAlign w:val="center"/>
            <w:hideMark/>
          </w:tcPr>
          <w:p w14:paraId="11F6D465"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0117-DE-P22</w:t>
            </w:r>
          </w:p>
        </w:tc>
        <w:tc>
          <w:tcPr>
            <w:tcW w:w="0" w:type="auto"/>
            <w:shd w:val="clear" w:color="000000" w:fill="FFFFFF"/>
            <w:vAlign w:val="center"/>
            <w:hideMark/>
          </w:tcPr>
          <w:p w14:paraId="453EE3AF"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Publicación electrónica del Boletín Judicial, a través del Departamento de Artes Gráficas</w:t>
            </w:r>
          </w:p>
        </w:tc>
        <w:tc>
          <w:tcPr>
            <w:tcW w:w="0" w:type="auto"/>
            <w:shd w:val="clear" w:color="000000" w:fill="FFFFFF"/>
            <w:vAlign w:val="center"/>
            <w:hideMark/>
          </w:tcPr>
          <w:p w14:paraId="18B184DF"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1.12</w:t>
            </w:r>
          </w:p>
        </w:tc>
        <w:tc>
          <w:tcPr>
            <w:tcW w:w="3302" w:type="dxa"/>
            <w:shd w:val="clear" w:color="000000" w:fill="FFFFFF"/>
            <w:vAlign w:val="center"/>
            <w:hideMark/>
          </w:tcPr>
          <w:p w14:paraId="6D431FBF"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Pendiente actualizar cronograma producto de las solicitudes 1-11-22, 6-12-22, 18-1-23, esto debido a que no se encuentra dichas tareas actualizadas; además en el plan de gestión: la fecha de finalización se debe colocar por lo menos el mes; revisar apartado de datos generales y el de roles y responsabilidades, porque Administrador y líder del proyecto no concuerdan; en diagrama de la EDT falta indicar la codificación a los entregables; el cronograma considerando que solamente se anexa el PDF, se debe incluir en la carpeta del plan de gestión, porque no permite abrirlo, o anexar el Word del documento también; la administración de riesgo igual en caso de solamente anexar el PDF se debe incluir en la carpeta o incluir el Word; administración de adquisiciones considerando que se deben gestionar la compra de algunos artículos se debe completar la misma. Estudio de factibilidad: en planteamiento inicial del proyecto se debe incluir las 3 alternativas de solución valoradas para solucionar el problema o la situación y porque se seleccionó la que se aplica actualmente; tiempo estimado mejor colocar meses y años de inicio y fin. Acta de constitución: cronograma de alto nivel debe ser un cronograma donde se muestre los principales entregables indicando el año o mes de su entrega según planificación; verificar apartado de datos generales y equipo de trabajo porque no coincide líder y administrador del proyecto.</w:t>
            </w:r>
          </w:p>
        </w:tc>
      </w:tr>
      <w:tr w:rsidR="0091565E" w:rsidRPr="0091565E" w14:paraId="20977F69" w14:textId="77777777" w:rsidTr="00EF4E17">
        <w:trPr>
          <w:trHeight w:val="724"/>
        </w:trPr>
        <w:tc>
          <w:tcPr>
            <w:tcW w:w="0" w:type="auto"/>
            <w:vMerge/>
            <w:vAlign w:val="center"/>
            <w:hideMark/>
          </w:tcPr>
          <w:p w14:paraId="1F1690BE"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restart"/>
            <w:shd w:val="clear" w:color="000000" w:fill="FFFFFF"/>
            <w:vAlign w:val="center"/>
            <w:hideMark/>
          </w:tcPr>
          <w:p w14:paraId="3FBB93CD"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0140 DEPARTAMENTO DE PROVEEDURIA</w:t>
            </w:r>
          </w:p>
        </w:tc>
        <w:tc>
          <w:tcPr>
            <w:tcW w:w="0" w:type="auto"/>
            <w:vMerge w:val="restart"/>
            <w:shd w:val="clear" w:color="000000" w:fill="FFFFFF"/>
            <w:vAlign w:val="center"/>
            <w:hideMark/>
          </w:tcPr>
          <w:p w14:paraId="1A2203F4"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0117-DE-P29</w:t>
            </w:r>
          </w:p>
        </w:tc>
        <w:tc>
          <w:tcPr>
            <w:tcW w:w="0" w:type="auto"/>
            <w:vMerge w:val="restart"/>
            <w:shd w:val="clear" w:color="000000" w:fill="FFFFFF"/>
            <w:vAlign w:val="center"/>
            <w:hideMark/>
          </w:tcPr>
          <w:p w14:paraId="25FE715F"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Sistema de Inventario y Materiales de la Proveeduría</w:t>
            </w:r>
          </w:p>
        </w:tc>
        <w:tc>
          <w:tcPr>
            <w:tcW w:w="0" w:type="auto"/>
            <w:shd w:val="clear" w:color="000000" w:fill="FFFFFF"/>
            <w:vAlign w:val="center"/>
            <w:hideMark/>
          </w:tcPr>
          <w:p w14:paraId="2D501929"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1.12</w:t>
            </w:r>
          </w:p>
        </w:tc>
        <w:tc>
          <w:tcPr>
            <w:tcW w:w="3302" w:type="dxa"/>
            <w:shd w:val="clear" w:color="000000" w:fill="FFFFFF"/>
            <w:vAlign w:val="center"/>
            <w:hideMark/>
          </w:tcPr>
          <w:p w14:paraId="74E216F4"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No se corrigió el informe de avance de diciembre presentaba incorrecto el porcentaje real, ni se justifica los motivos por los cuales no se corrige el informe.</w:t>
            </w:r>
          </w:p>
        </w:tc>
      </w:tr>
      <w:tr w:rsidR="0091565E" w:rsidRPr="0091565E" w14:paraId="63EE06FD" w14:textId="77777777" w:rsidTr="00EF4E17">
        <w:trPr>
          <w:trHeight w:val="1130"/>
        </w:trPr>
        <w:tc>
          <w:tcPr>
            <w:tcW w:w="0" w:type="auto"/>
            <w:vMerge/>
            <w:vAlign w:val="center"/>
            <w:hideMark/>
          </w:tcPr>
          <w:p w14:paraId="6EFFA0DB"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ign w:val="center"/>
            <w:hideMark/>
          </w:tcPr>
          <w:p w14:paraId="5FCAD6DC"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ign w:val="center"/>
            <w:hideMark/>
          </w:tcPr>
          <w:p w14:paraId="03A1A5F2"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ign w:val="center"/>
            <w:hideMark/>
          </w:tcPr>
          <w:p w14:paraId="6B67D73B"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shd w:val="clear" w:color="000000" w:fill="FFFFFF"/>
            <w:vAlign w:val="center"/>
            <w:hideMark/>
          </w:tcPr>
          <w:p w14:paraId="09B8D39F"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1.12</w:t>
            </w:r>
          </w:p>
        </w:tc>
        <w:tc>
          <w:tcPr>
            <w:tcW w:w="3302" w:type="dxa"/>
            <w:shd w:val="clear" w:color="000000" w:fill="FFFFFF"/>
            <w:vAlign w:val="center"/>
            <w:hideMark/>
          </w:tcPr>
          <w:p w14:paraId="129B1E81"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Pendiente: Plan de gestión: actualizar fecha de finalización, objetivo se menciona 20 meses, pero se extendió el cronograma; administración de riesgo no abre; Detalle del presupuesto del proyecto falta incluir los recursos humanos por todo el periodo del proyecto; el cronograma inserto esta desactualizado (La versión de mayo corresponde a formato de metodología de DTI y no la institucional). Acta de constitución: pendiente indicar Código; fecha de finalización incorrecta; cronograma de alto nivel no se indica los años de los entregables o el tiempo para cada uno; recurso del proyecto no coincide con plan de gestión; Equipo de trabajo del proyecto se debe indicar el rol de cada uno. Estudio de factibilidad costos de operación se debe indicar no aplica.</w:t>
            </w:r>
          </w:p>
        </w:tc>
      </w:tr>
      <w:tr w:rsidR="0091565E" w:rsidRPr="0091565E" w14:paraId="0AA6CF3F" w14:textId="77777777" w:rsidTr="00EF4E17">
        <w:trPr>
          <w:trHeight w:val="295"/>
        </w:trPr>
        <w:tc>
          <w:tcPr>
            <w:tcW w:w="0" w:type="auto"/>
            <w:vMerge/>
            <w:vAlign w:val="center"/>
            <w:hideMark/>
          </w:tcPr>
          <w:p w14:paraId="3D8F06BB"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shd w:val="clear" w:color="000000" w:fill="FFFFFF"/>
            <w:vAlign w:val="center"/>
            <w:hideMark/>
          </w:tcPr>
          <w:p w14:paraId="33020036"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0176 OFICINA DE ADMINISTRACION II CIR. JUD. SAN JOSE</w:t>
            </w:r>
          </w:p>
        </w:tc>
        <w:tc>
          <w:tcPr>
            <w:tcW w:w="0" w:type="auto"/>
            <w:shd w:val="clear" w:color="000000" w:fill="FFFFFF"/>
            <w:vAlign w:val="center"/>
            <w:hideMark/>
          </w:tcPr>
          <w:p w14:paraId="6ECEEE02"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0117-DE-P23</w:t>
            </w:r>
          </w:p>
        </w:tc>
        <w:tc>
          <w:tcPr>
            <w:tcW w:w="0" w:type="auto"/>
            <w:shd w:val="clear" w:color="000000" w:fill="FFFFFF"/>
            <w:vAlign w:val="center"/>
            <w:hideMark/>
          </w:tcPr>
          <w:p w14:paraId="138DAD21"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Sistema de Detección de Incendios en el II Circ Jud San José</w:t>
            </w:r>
          </w:p>
        </w:tc>
        <w:tc>
          <w:tcPr>
            <w:tcW w:w="0" w:type="auto"/>
            <w:shd w:val="clear" w:color="000000" w:fill="FFFFFF"/>
            <w:vAlign w:val="center"/>
            <w:hideMark/>
          </w:tcPr>
          <w:p w14:paraId="3D377BC4"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1.12</w:t>
            </w:r>
          </w:p>
        </w:tc>
        <w:tc>
          <w:tcPr>
            <w:tcW w:w="3302" w:type="dxa"/>
            <w:shd w:val="clear" w:color="000000" w:fill="FFFFFF"/>
            <w:vAlign w:val="center"/>
            <w:hideMark/>
          </w:tcPr>
          <w:p w14:paraId="1493F190"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 xml:space="preserve">Pendiente producto de la solicitud de cambio del 29/6/2022, 29/12/2022 lo siguiente: En el plan de gestión: revisar que la EDT y el cronograma coincidan en su totalidad específicamente el diagrama de la EDT y se debe quitar el entregable 4.2 del cuadro de desglose de entregables, falto completar la administración de adquisiciones esto debido a que se debió hacer una contratación para cubrir los costos del proyecto. Acta de constitución se debe actualizar: fecha de fin, cronograma de alto nivel debe mostrar los entregables principales e indicar año o mes. Estudio de factibilidad pendiente:  tiempo estimado indicar fecha de inicio </w:t>
            </w:r>
            <w:r w:rsidRPr="0091565E">
              <w:rPr>
                <w:rFonts w:ascii="Book Antiqua" w:eastAsia="Times New Roman" w:hAnsi="Book Antiqua" w:cs="Calibri"/>
                <w:color w:val="000000"/>
                <w:sz w:val="14"/>
                <w:szCs w:val="14"/>
                <w:lang w:eastAsia="es-CR"/>
              </w:rPr>
              <w:lastRenderedPageBreak/>
              <w:t>y fin; Planteamiento inicial del proyecto debe venir 3 alternativas de solución y el motivo por el cual se seleccionó la alternativa que se ejecutó y Descripción de la necesidad oportunidad de mejora o problema, falta incluir lo mencionado en solicitud de cambio del 29-6, y excluir lo del 29-12.</w:t>
            </w:r>
          </w:p>
        </w:tc>
      </w:tr>
      <w:tr w:rsidR="0091565E" w:rsidRPr="0091565E" w14:paraId="41C1FBAB" w14:textId="77777777" w:rsidTr="00EF4E17">
        <w:trPr>
          <w:trHeight w:val="60"/>
        </w:trPr>
        <w:tc>
          <w:tcPr>
            <w:tcW w:w="0" w:type="auto"/>
            <w:vMerge/>
            <w:vAlign w:val="center"/>
            <w:hideMark/>
          </w:tcPr>
          <w:p w14:paraId="3C6964A0"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shd w:val="clear" w:color="000000" w:fill="FFFFFF"/>
            <w:vAlign w:val="center"/>
            <w:hideMark/>
          </w:tcPr>
          <w:p w14:paraId="32462591"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0176 OFICINA DE ADMINISTRACION II CIR. JUD. SAN JOSE</w:t>
            </w:r>
          </w:p>
        </w:tc>
        <w:tc>
          <w:tcPr>
            <w:tcW w:w="0" w:type="auto"/>
            <w:shd w:val="clear" w:color="000000" w:fill="FFFFFF"/>
            <w:vAlign w:val="center"/>
            <w:hideMark/>
          </w:tcPr>
          <w:p w14:paraId="481C048A"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0117-DE-P24</w:t>
            </w:r>
          </w:p>
        </w:tc>
        <w:tc>
          <w:tcPr>
            <w:tcW w:w="0" w:type="auto"/>
            <w:shd w:val="clear" w:color="000000" w:fill="FFFFFF"/>
            <w:vAlign w:val="center"/>
            <w:hideMark/>
          </w:tcPr>
          <w:p w14:paraId="75E70C4E"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Reacondicionamiento Eléctrico Anexo A del II Circ Jud San José</w:t>
            </w:r>
          </w:p>
        </w:tc>
        <w:tc>
          <w:tcPr>
            <w:tcW w:w="0" w:type="auto"/>
            <w:shd w:val="clear" w:color="000000" w:fill="FFFFFF"/>
            <w:vAlign w:val="center"/>
            <w:hideMark/>
          </w:tcPr>
          <w:p w14:paraId="3BCFF4F0"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1.12</w:t>
            </w:r>
          </w:p>
        </w:tc>
        <w:tc>
          <w:tcPr>
            <w:tcW w:w="3302" w:type="dxa"/>
            <w:shd w:val="clear" w:color="000000" w:fill="FFFFFF"/>
            <w:vAlign w:val="center"/>
            <w:hideMark/>
          </w:tcPr>
          <w:p w14:paraId="33F4648B"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Pendiente actualizar acta de constitución y plan de gestión producto de la solicitud de cambio del 18/4/22, 29/12/2022, 27/5/22, 7/4/22 lo siguiente: En el plan de gestión:  revisar que la EDT y el cronograma coincidan en su totalidad específicamente el diagrama de la EDT. En Estudio de factibilidad pendiente: Planteamiento inicial del proyecto debe venir 3 alternativas de solución y el motivo por el cual se seleccionó la alternativa que se ejecutó; tiempo estimado indicar fecha de inicio y fin.</w:t>
            </w:r>
          </w:p>
        </w:tc>
      </w:tr>
      <w:tr w:rsidR="0091565E" w:rsidRPr="0091565E" w14:paraId="7846F999" w14:textId="77777777" w:rsidTr="00EF4E17">
        <w:trPr>
          <w:trHeight w:val="837"/>
        </w:trPr>
        <w:tc>
          <w:tcPr>
            <w:tcW w:w="0" w:type="auto"/>
            <w:vMerge w:val="restart"/>
            <w:shd w:val="clear" w:color="000000" w:fill="FFFFFF"/>
            <w:vAlign w:val="center"/>
            <w:hideMark/>
          </w:tcPr>
          <w:p w14:paraId="49E09A6C"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Dirección Gestión Humana</w:t>
            </w:r>
          </w:p>
        </w:tc>
        <w:tc>
          <w:tcPr>
            <w:tcW w:w="0" w:type="auto"/>
            <w:shd w:val="clear" w:color="000000" w:fill="FFFFFF"/>
            <w:vAlign w:val="center"/>
            <w:hideMark/>
          </w:tcPr>
          <w:p w14:paraId="48911021"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0819 SECCION DE ADMINISTRACION SALARIAL</w:t>
            </w:r>
          </w:p>
        </w:tc>
        <w:tc>
          <w:tcPr>
            <w:tcW w:w="0" w:type="auto"/>
            <w:shd w:val="clear" w:color="000000" w:fill="FFFFFF"/>
            <w:vAlign w:val="center"/>
            <w:hideMark/>
          </w:tcPr>
          <w:p w14:paraId="0024953D"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0134-DGH-P08</w:t>
            </w:r>
          </w:p>
        </w:tc>
        <w:tc>
          <w:tcPr>
            <w:tcW w:w="0" w:type="auto"/>
            <w:shd w:val="clear" w:color="000000" w:fill="FFFFFF"/>
            <w:vAlign w:val="center"/>
            <w:hideMark/>
          </w:tcPr>
          <w:p w14:paraId="167DF112"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Variaciones en el Sistema de Pago, Reglamentos y Procedimientos producto de la Ley 9635</w:t>
            </w:r>
          </w:p>
        </w:tc>
        <w:tc>
          <w:tcPr>
            <w:tcW w:w="0" w:type="auto"/>
            <w:shd w:val="clear" w:color="000000" w:fill="FFFFFF"/>
            <w:vAlign w:val="center"/>
            <w:hideMark/>
          </w:tcPr>
          <w:p w14:paraId="789603F2"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1.13</w:t>
            </w:r>
          </w:p>
        </w:tc>
        <w:tc>
          <w:tcPr>
            <w:tcW w:w="3302" w:type="dxa"/>
            <w:shd w:val="clear" w:color="000000" w:fill="FFFFFF"/>
            <w:vAlign w:val="center"/>
            <w:hideMark/>
          </w:tcPr>
          <w:p w14:paraId="2E226344"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Aun no se ha elaborado Informe de cierre</w:t>
            </w:r>
          </w:p>
        </w:tc>
      </w:tr>
      <w:tr w:rsidR="0091565E" w:rsidRPr="0091565E" w14:paraId="153F98F6" w14:textId="77777777" w:rsidTr="00EF4E17">
        <w:trPr>
          <w:trHeight w:val="4109"/>
        </w:trPr>
        <w:tc>
          <w:tcPr>
            <w:tcW w:w="0" w:type="auto"/>
            <w:vMerge/>
            <w:vAlign w:val="center"/>
            <w:hideMark/>
          </w:tcPr>
          <w:p w14:paraId="55E250E0"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restart"/>
            <w:shd w:val="clear" w:color="000000" w:fill="FFFFFF"/>
            <w:vAlign w:val="center"/>
            <w:hideMark/>
          </w:tcPr>
          <w:p w14:paraId="66458999"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1064 DESARROLLO HUMANO</w:t>
            </w:r>
          </w:p>
        </w:tc>
        <w:tc>
          <w:tcPr>
            <w:tcW w:w="0" w:type="auto"/>
            <w:shd w:val="clear" w:color="000000" w:fill="FFFFFF"/>
            <w:vAlign w:val="center"/>
            <w:hideMark/>
          </w:tcPr>
          <w:p w14:paraId="14BCA5D3"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0134-DGH-P07</w:t>
            </w:r>
          </w:p>
        </w:tc>
        <w:tc>
          <w:tcPr>
            <w:tcW w:w="0" w:type="auto"/>
            <w:shd w:val="clear" w:color="000000" w:fill="FFFFFF"/>
            <w:vAlign w:val="center"/>
            <w:hideMark/>
          </w:tcPr>
          <w:p w14:paraId="24325111"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Política Integral de Bienestar y Salud Laboral</w:t>
            </w:r>
          </w:p>
        </w:tc>
        <w:tc>
          <w:tcPr>
            <w:tcW w:w="0" w:type="auto"/>
            <w:shd w:val="clear" w:color="000000" w:fill="FFFFFF"/>
            <w:vAlign w:val="center"/>
            <w:hideMark/>
          </w:tcPr>
          <w:p w14:paraId="395CC29B"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1.13</w:t>
            </w:r>
          </w:p>
        </w:tc>
        <w:tc>
          <w:tcPr>
            <w:tcW w:w="3302" w:type="dxa"/>
            <w:shd w:val="clear" w:color="000000" w:fill="FFFFFF"/>
            <w:vAlign w:val="center"/>
            <w:hideMark/>
          </w:tcPr>
          <w:p w14:paraId="36A28E73"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Pendiente actualizar acta de constitución y plan de gestión producto de la solicitud de cambio del 7/12/2022, 18-1-23, 29-9-22 y 31-10-22 pendiente actualizar: Acta de constitución: actualizar líder del proyecto y verificar los otros roles; falta indicar tema estratégico; el cronograma de alto nivel falta actualizarlo; equipo del proyecto se debe indicar el rol, nombre de cada integrante que conforma el proyecto iniciando en el patrocinador. Estudio de factibilidad se debe indicar en el apartado de planteamiento inicial del proyecto se debe indicar 3 alternativas de solución y porque se seleccionó la misma; tiempo estimado por lo menos colocar mes y año de inicio y fin; fuente de financiamiento indicar como se financia el proyecto tanto con recurso humano como con costos (mencionar partidas presupuestarias). Plan de gestión: revisar datos generales porque no coincide líder ni administrador del proyecto; los beneficios esperados debe coincidir con el estudio de factibilidad; en roles y responsabilidades falta actualizar líder del proyecto; se debe eliminar del cuadro y diagrama de la EDT el punto 4.2 esto debido a que el mismo no se encuentra en el cronograma; cronograma pendiente de actualizarlo con las solicitudes de cambio; en administración de presupuesto se debe revisar los costos porque el recurso humano se menciona en el apartado inferior.</w:t>
            </w:r>
          </w:p>
        </w:tc>
      </w:tr>
      <w:tr w:rsidR="0091565E" w:rsidRPr="0091565E" w14:paraId="58DFD183" w14:textId="77777777" w:rsidTr="00EF4E17">
        <w:trPr>
          <w:trHeight w:val="326"/>
        </w:trPr>
        <w:tc>
          <w:tcPr>
            <w:tcW w:w="0" w:type="auto"/>
            <w:vMerge/>
            <w:vAlign w:val="center"/>
            <w:hideMark/>
          </w:tcPr>
          <w:p w14:paraId="43DBDE46"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ign w:val="center"/>
            <w:hideMark/>
          </w:tcPr>
          <w:p w14:paraId="64EAF327"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shd w:val="clear" w:color="000000" w:fill="FFFFFF"/>
            <w:vAlign w:val="center"/>
            <w:hideMark/>
          </w:tcPr>
          <w:p w14:paraId="247F0333"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0134-DGH-P16</w:t>
            </w:r>
          </w:p>
        </w:tc>
        <w:tc>
          <w:tcPr>
            <w:tcW w:w="0" w:type="auto"/>
            <w:shd w:val="clear" w:color="000000" w:fill="FFFFFF"/>
            <w:vAlign w:val="center"/>
            <w:hideMark/>
          </w:tcPr>
          <w:p w14:paraId="37AA81D0"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Política de Teletrabajo</w:t>
            </w:r>
          </w:p>
        </w:tc>
        <w:tc>
          <w:tcPr>
            <w:tcW w:w="0" w:type="auto"/>
            <w:shd w:val="clear" w:color="000000" w:fill="FFFFFF"/>
            <w:vAlign w:val="center"/>
            <w:hideMark/>
          </w:tcPr>
          <w:p w14:paraId="2342CA94"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1.13</w:t>
            </w:r>
          </w:p>
        </w:tc>
        <w:tc>
          <w:tcPr>
            <w:tcW w:w="3302" w:type="dxa"/>
            <w:shd w:val="clear" w:color="000000" w:fill="FFFFFF"/>
            <w:vAlign w:val="center"/>
            <w:hideMark/>
          </w:tcPr>
          <w:p w14:paraId="54624437"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No se corrigió el informe de avance de diciembre presentaba incorrecto el porcentaje esperado, ni se justifica los motivos por los cuales no se corrige el informe.</w:t>
            </w:r>
          </w:p>
        </w:tc>
      </w:tr>
      <w:tr w:rsidR="0091565E" w:rsidRPr="0091565E" w14:paraId="07D909CB" w14:textId="77777777" w:rsidTr="00EF4E17">
        <w:trPr>
          <w:trHeight w:val="436"/>
        </w:trPr>
        <w:tc>
          <w:tcPr>
            <w:tcW w:w="0" w:type="auto"/>
            <w:shd w:val="clear" w:color="000000" w:fill="FFFFFF"/>
            <w:vAlign w:val="center"/>
            <w:hideMark/>
          </w:tcPr>
          <w:p w14:paraId="1D757F22"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Escuela Judicial</w:t>
            </w:r>
          </w:p>
        </w:tc>
        <w:tc>
          <w:tcPr>
            <w:tcW w:w="0" w:type="auto"/>
            <w:shd w:val="clear" w:color="000000" w:fill="FFFFFF"/>
            <w:vAlign w:val="center"/>
            <w:hideMark/>
          </w:tcPr>
          <w:p w14:paraId="3F9B0E73"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0035 ESCUELA JUDICIAL</w:t>
            </w:r>
          </w:p>
        </w:tc>
        <w:tc>
          <w:tcPr>
            <w:tcW w:w="0" w:type="auto"/>
            <w:shd w:val="clear" w:color="000000" w:fill="FFFFFF"/>
            <w:vAlign w:val="center"/>
            <w:hideMark/>
          </w:tcPr>
          <w:p w14:paraId="3A86161D"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0035-EJ-P01</w:t>
            </w:r>
          </w:p>
        </w:tc>
        <w:tc>
          <w:tcPr>
            <w:tcW w:w="0" w:type="auto"/>
            <w:shd w:val="clear" w:color="000000" w:fill="FFFFFF"/>
            <w:vAlign w:val="center"/>
            <w:hideMark/>
          </w:tcPr>
          <w:p w14:paraId="450B2330"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Sistema de Gestión de Capacitación</w:t>
            </w:r>
          </w:p>
        </w:tc>
        <w:tc>
          <w:tcPr>
            <w:tcW w:w="0" w:type="auto"/>
            <w:shd w:val="clear" w:color="000000" w:fill="FFFFFF"/>
            <w:vAlign w:val="center"/>
            <w:hideMark/>
          </w:tcPr>
          <w:p w14:paraId="5751BB4F"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1.14</w:t>
            </w:r>
          </w:p>
        </w:tc>
        <w:tc>
          <w:tcPr>
            <w:tcW w:w="3302" w:type="dxa"/>
            <w:shd w:val="clear" w:color="000000" w:fill="FFFFFF"/>
            <w:vAlign w:val="center"/>
            <w:hideMark/>
          </w:tcPr>
          <w:p w14:paraId="758B9B7D"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No se corrigió el informe de avance de diciembre presentaba incorrecto el porcentaje esperado, ni se justifica los motivos por los cuales no se corrige el informe.</w:t>
            </w:r>
          </w:p>
        </w:tc>
      </w:tr>
      <w:tr w:rsidR="0091565E" w:rsidRPr="0091565E" w14:paraId="36246169" w14:textId="77777777" w:rsidTr="00EF4E17">
        <w:trPr>
          <w:trHeight w:val="862"/>
        </w:trPr>
        <w:tc>
          <w:tcPr>
            <w:tcW w:w="0" w:type="auto"/>
            <w:shd w:val="clear" w:color="000000" w:fill="FFFFFF"/>
            <w:vAlign w:val="center"/>
            <w:hideMark/>
          </w:tcPr>
          <w:p w14:paraId="2C595C22"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lastRenderedPageBreak/>
              <w:t>Inspección Judicial</w:t>
            </w:r>
          </w:p>
        </w:tc>
        <w:tc>
          <w:tcPr>
            <w:tcW w:w="0" w:type="auto"/>
            <w:shd w:val="clear" w:color="000000" w:fill="FFFFFF"/>
            <w:vAlign w:val="center"/>
            <w:hideMark/>
          </w:tcPr>
          <w:p w14:paraId="7B303E58"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0031 Inspección Judicial</w:t>
            </w:r>
          </w:p>
        </w:tc>
        <w:tc>
          <w:tcPr>
            <w:tcW w:w="0" w:type="auto"/>
            <w:shd w:val="clear" w:color="000000" w:fill="FFFFFF"/>
            <w:vAlign w:val="center"/>
            <w:hideMark/>
          </w:tcPr>
          <w:p w14:paraId="04D4A671"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0031-IJ-P02</w:t>
            </w:r>
          </w:p>
        </w:tc>
        <w:tc>
          <w:tcPr>
            <w:tcW w:w="0" w:type="auto"/>
            <w:shd w:val="clear" w:color="000000" w:fill="FFFFFF"/>
            <w:vAlign w:val="center"/>
            <w:hideMark/>
          </w:tcPr>
          <w:p w14:paraId="6D01E2E3"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Plan de trabajo para el apoyo a las visitas a los despachos jurisdiccionales y descongestionamiento de causas complejas</w:t>
            </w:r>
          </w:p>
        </w:tc>
        <w:tc>
          <w:tcPr>
            <w:tcW w:w="0" w:type="auto"/>
            <w:shd w:val="clear" w:color="000000" w:fill="FFFFFF"/>
            <w:vAlign w:val="center"/>
            <w:hideMark/>
          </w:tcPr>
          <w:p w14:paraId="7C6A1440"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1.15</w:t>
            </w:r>
          </w:p>
        </w:tc>
        <w:tc>
          <w:tcPr>
            <w:tcW w:w="3302" w:type="dxa"/>
            <w:shd w:val="clear" w:color="000000" w:fill="FFFFFF"/>
            <w:vAlign w:val="center"/>
            <w:hideMark/>
          </w:tcPr>
          <w:p w14:paraId="0C97C9C6"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Pendiente aprobación por parte del patrocinador de proyecto</w:t>
            </w:r>
          </w:p>
        </w:tc>
      </w:tr>
      <w:tr w:rsidR="0091565E" w:rsidRPr="0091565E" w14:paraId="15BEC6C7" w14:textId="77777777" w:rsidTr="00EF4E17">
        <w:trPr>
          <w:trHeight w:val="578"/>
        </w:trPr>
        <w:tc>
          <w:tcPr>
            <w:tcW w:w="0" w:type="auto"/>
            <w:shd w:val="clear" w:color="000000" w:fill="FFFFFF"/>
            <w:vAlign w:val="center"/>
            <w:hideMark/>
          </w:tcPr>
          <w:p w14:paraId="2CB9C0A1"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Oficina de Control Interno</w:t>
            </w:r>
          </w:p>
        </w:tc>
        <w:tc>
          <w:tcPr>
            <w:tcW w:w="0" w:type="auto"/>
            <w:shd w:val="clear" w:color="000000" w:fill="FFFFFF"/>
            <w:vAlign w:val="center"/>
            <w:hideMark/>
          </w:tcPr>
          <w:p w14:paraId="6D1F9EE7" w14:textId="77777777" w:rsidR="0091565E" w:rsidRPr="0091565E" w:rsidRDefault="0091565E" w:rsidP="0091565E">
            <w:pPr>
              <w:spacing w:after="0" w:line="240" w:lineRule="auto"/>
              <w:jc w:val="center"/>
              <w:rPr>
                <w:rFonts w:ascii="Book Antiqua" w:eastAsia="Times New Roman" w:hAnsi="Book Antiqua" w:cs="Times New Roman"/>
                <w:color w:val="000000"/>
                <w:sz w:val="14"/>
                <w:szCs w:val="14"/>
                <w:lang w:eastAsia="es-CR"/>
              </w:rPr>
            </w:pPr>
            <w:r w:rsidRPr="0091565E">
              <w:rPr>
                <w:rFonts w:ascii="Times New Roman" w:eastAsia="Times New Roman" w:hAnsi="Times New Roman" w:cs="Times New Roman"/>
                <w:color w:val="000000"/>
                <w:sz w:val="14"/>
                <w:szCs w:val="14"/>
                <w:lang w:eastAsia="es-CR"/>
              </w:rPr>
              <w:t>​</w:t>
            </w:r>
            <w:r w:rsidRPr="0091565E">
              <w:rPr>
                <w:rFonts w:ascii="Book Antiqua" w:eastAsia="Times New Roman" w:hAnsi="Book Antiqua" w:cs="Times New Roman"/>
                <w:color w:val="000000"/>
                <w:sz w:val="14"/>
                <w:szCs w:val="14"/>
                <w:lang w:eastAsia="es-CR"/>
              </w:rPr>
              <w:t>0914 OFICINA DE CONTROL INTERNO</w:t>
            </w:r>
          </w:p>
        </w:tc>
        <w:tc>
          <w:tcPr>
            <w:tcW w:w="0" w:type="auto"/>
            <w:shd w:val="clear" w:color="000000" w:fill="FFFFFF"/>
            <w:vAlign w:val="center"/>
            <w:hideMark/>
          </w:tcPr>
          <w:p w14:paraId="711FE985"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0914-OCI-P02</w:t>
            </w:r>
          </w:p>
        </w:tc>
        <w:tc>
          <w:tcPr>
            <w:tcW w:w="0" w:type="auto"/>
            <w:shd w:val="clear" w:color="000000" w:fill="FFFFFF"/>
            <w:vAlign w:val="center"/>
            <w:hideMark/>
          </w:tcPr>
          <w:p w14:paraId="704E78D7"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Implementación del Sistema SEVRI y PAI, para el análisis de los riesgos estratégicos</w:t>
            </w:r>
          </w:p>
        </w:tc>
        <w:tc>
          <w:tcPr>
            <w:tcW w:w="0" w:type="auto"/>
            <w:shd w:val="clear" w:color="000000" w:fill="FFFFFF"/>
            <w:vAlign w:val="center"/>
            <w:hideMark/>
          </w:tcPr>
          <w:p w14:paraId="0D7ED51B"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1.18</w:t>
            </w:r>
          </w:p>
        </w:tc>
        <w:tc>
          <w:tcPr>
            <w:tcW w:w="3302" w:type="dxa"/>
            <w:shd w:val="clear" w:color="000000" w:fill="FFFFFF"/>
            <w:vAlign w:val="center"/>
            <w:hideMark/>
          </w:tcPr>
          <w:p w14:paraId="55C2302B"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Pendiente aprobación del informe de cierre por parte del patrocinador</w:t>
            </w:r>
          </w:p>
        </w:tc>
      </w:tr>
      <w:tr w:rsidR="0091565E" w:rsidRPr="0091565E" w14:paraId="68FA47AD" w14:textId="77777777" w:rsidTr="00EF4E17">
        <w:trPr>
          <w:trHeight w:val="60"/>
        </w:trPr>
        <w:tc>
          <w:tcPr>
            <w:tcW w:w="0" w:type="auto"/>
            <w:shd w:val="clear" w:color="000000" w:fill="FFFFFF"/>
            <w:vAlign w:val="center"/>
            <w:hideMark/>
          </w:tcPr>
          <w:p w14:paraId="52DC7C03"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Oficina de Cumplimiento</w:t>
            </w:r>
          </w:p>
        </w:tc>
        <w:tc>
          <w:tcPr>
            <w:tcW w:w="0" w:type="auto"/>
            <w:shd w:val="clear" w:color="000000" w:fill="FFFFFF"/>
            <w:vAlign w:val="center"/>
            <w:hideMark/>
          </w:tcPr>
          <w:p w14:paraId="6F8E5003"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1846 OFICINA DE CUMPLIMIENTO</w:t>
            </w:r>
          </w:p>
        </w:tc>
        <w:tc>
          <w:tcPr>
            <w:tcW w:w="0" w:type="auto"/>
            <w:shd w:val="clear" w:color="000000" w:fill="FFFFFF"/>
            <w:vAlign w:val="center"/>
            <w:hideMark/>
          </w:tcPr>
          <w:p w14:paraId="41A06386"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1846-OC-P01</w:t>
            </w:r>
          </w:p>
        </w:tc>
        <w:tc>
          <w:tcPr>
            <w:tcW w:w="0" w:type="auto"/>
            <w:shd w:val="clear" w:color="000000" w:fill="FFFFFF"/>
            <w:vAlign w:val="center"/>
            <w:hideMark/>
          </w:tcPr>
          <w:p w14:paraId="4116DCD4"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Reducción de las brechas de riesgo</w:t>
            </w:r>
          </w:p>
        </w:tc>
        <w:tc>
          <w:tcPr>
            <w:tcW w:w="0" w:type="auto"/>
            <w:shd w:val="clear" w:color="000000" w:fill="FFFFFF"/>
            <w:vAlign w:val="center"/>
            <w:hideMark/>
          </w:tcPr>
          <w:p w14:paraId="25227FFE"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1.19</w:t>
            </w:r>
          </w:p>
        </w:tc>
        <w:tc>
          <w:tcPr>
            <w:tcW w:w="3302" w:type="dxa"/>
            <w:shd w:val="clear" w:color="000000" w:fill="FFFFFF"/>
            <w:vAlign w:val="center"/>
            <w:hideMark/>
          </w:tcPr>
          <w:p w14:paraId="3794F7FC"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Pendiente aprobación del informe de cierre por parte del patrocinador</w:t>
            </w:r>
          </w:p>
        </w:tc>
      </w:tr>
      <w:tr w:rsidR="0091565E" w:rsidRPr="0091565E" w14:paraId="619858AC" w14:textId="77777777" w:rsidTr="00EF4E17">
        <w:trPr>
          <w:trHeight w:val="294"/>
        </w:trPr>
        <w:tc>
          <w:tcPr>
            <w:tcW w:w="0" w:type="auto"/>
            <w:vMerge w:val="restart"/>
            <w:shd w:val="clear" w:color="000000" w:fill="FFFFFF"/>
            <w:vAlign w:val="center"/>
            <w:hideMark/>
          </w:tcPr>
          <w:p w14:paraId="649C9C79"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Organismo de Investigación Judicial</w:t>
            </w:r>
          </w:p>
        </w:tc>
        <w:tc>
          <w:tcPr>
            <w:tcW w:w="0" w:type="auto"/>
            <w:vMerge w:val="restart"/>
            <w:shd w:val="clear" w:color="000000" w:fill="FFFFFF"/>
            <w:vAlign w:val="center"/>
            <w:hideMark/>
          </w:tcPr>
          <w:p w14:paraId="672BCBFC"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0083 DEPARTAMENTO DE LABORATORIO DE CIENCIAS FORENSES</w:t>
            </w:r>
          </w:p>
        </w:tc>
        <w:tc>
          <w:tcPr>
            <w:tcW w:w="0" w:type="auto"/>
            <w:shd w:val="clear" w:color="000000" w:fill="FFFFFF"/>
            <w:vAlign w:val="center"/>
            <w:hideMark/>
          </w:tcPr>
          <w:p w14:paraId="163D7052"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1167-OIJ-P52</w:t>
            </w:r>
          </w:p>
        </w:tc>
        <w:tc>
          <w:tcPr>
            <w:tcW w:w="0" w:type="auto"/>
            <w:shd w:val="clear" w:color="000000" w:fill="FFFFFF"/>
            <w:vAlign w:val="center"/>
            <w:hideMark/>
          </w:tcPr>
          <w:p w14:paraId="4E0AB13C"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Implementación de la gestión de la contaminación cognitiva en el trabajo de casos forenses</w:t>
            </w:r>
          </w:p>
        </w:tc>
        <w:tc>
          <w:tcPr>
            <w:tcW w:w="0" w:type="auto"/>
            <w:shd w:val="clear" w:color="000000" w:fill="FFFFFF"/>
            <w:vAlign w:val="center"/>
            <w:hideMark/>
          </w:tcPr>
          <w:p w14:paraId="0B3E3486"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1.20</w:t>
            </w:r>
          </w:p>
        </w:tc>
        <w:tc>
          <w:tcPr>
            <w:tcW w:w="3302" w:type="dxa"/>
            <w:shd w:val="clear" w:color="000000" w:fill="FFFFFF"/>
            <w:vAlign w:val="center"/>
            <w:hideMark/>
          </w:tcPr>
          <w:p w14:paraId="6C71B778" w14:textId="77777777" w:rsidR="0091565E" w:rsidRPr="0091565E" w:rsidRDefault="0091565E" w:rsidP="00EF4E17">
            <w:pPr>
              <w:spacing w:after="0" w:line="240" w:lineRule="auto"/>
              <w:jc w:val="both"/>
              <w:rPr>
                <w:rFonts w:ascii="Book Antiqua" w:eastAsia="Times New Roman" w:hAnsi="Book Antiqua" w:cs="Calibri"/>
                <w:b/>
                <w:bCs/>
                <w:color w:val="000000"/>
                <w:sz w:val="14"/>
                <w:szCs w:val="14"/>
                <w:lang w:eastAsia="es-CR"/>
              </w:rPr>
            </w:pPr>
            <w:r w:rsidRPr="0091565E">
              <w:rPr>
                <w:rFonts w:ascii="Book Antiqua" w:eastAsia="Times New Roman" w:hAnsi="Book Antiqua" w:cs="Calibri"/>
                <w:b/>
                <w:bCs/>
                <w:color w:val="000000"/>
                <w:sz w:val="14"/>
                <w:szCs w:val="14"/>
                <w:lang w:eastAsia="es-CR"/>
              </w:rPr>
              <w:t>No se corrigió el informe de avance de diciembre presentaba incorrecto el porcentaje esperado, ni se justifica los motivos por los cuales no se corrige el informe.</w:t>
            </w:r>
          </w:p>
        </w:tc>
      </w:tr>
      <w:tr w:rsidR="0091565E" w:rsidRPr="0091565E" w14:paraId="19DE656A" w14:textId="77777777" w:rsidTr="00EF4E17">
        <w:trPr>
          <w:trHeight w:val="782"/>
        </w:trPr>
        <w:tc>
          <w:tcPr>
            <w:tcW w:w="0" w:type="auto"/>
            <w:vMerge/>
            <w:vAlign w:val="center"/>
            <w:hideMark/>
          </w:tcPr>
          <w:p w14:paraId="2C8EB5D9"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ign w:val="center"/>
            <w:hideMark/>
          </w:tcPr>
          <w:p w14:paraId="79E306DE"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shd w:val="clear" w:color="000000" w:fill="FFFFFF"/>
            <w:vAlign w:val="center"/>
            <w:hideMark/>
          </w:tcPr>
          <w:p w14:paraId="158B65F7"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1167-OIJ-P50</w:t>
            </w:r>
          </w:p>
        </w:tc>
        <w:tc>
          <w:tcPr>
            <w:tcW w:w="0" w:type="auto"/>
            <w:shd w:val="clear" w:color="000000" w:fill="FFFFFF"/>
            <w:vAlign w:val="center"/>
            <w:hideMark/>
          </w:tcPr>
          <w:p w14:paraId="1FD37D30"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Extensión de los alcances y beneficios de la pericia de Comparación biométrica de voces y fortalecimiento del área pericial</w:t>
            </w:r>
          </w:p>
        </w:tc>
        <w:tc>
          <w:tcPr>
            <w:tcW w:w="0" w:type="auto"/>
            <w:shd w:val="clear" w:color="000000" w:fill="FFFFFF"/>
            <w:vAlign w:val="center"/>
            <w:hideMark/>
          </w:tcPr>
          <w:p w14:paraId="0F7666B8"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1.20</w:t>
            </w:r>
          </w:p>
        </w:tc>
        <w:tc>
          <w:tcPr>
            <w:tcW w:w="3302" w:type="dxa"/>
            <w:shd w:val="clear" w:color="000000" w:fill="FFFFFF"/>
            <w:vAlign w:val="center"/>
            <w:hideMark/>
          </w:tcPr>
          <w:p w14:paraId="4C4F50DF" w14:textId="77777777" w:rsidR="0091565E" w:rsidRPr="0091565E" w:rsidRDefault="0091565E" w:rsidP="00EF4E17">
            <w:pPr>
              <w:spacing w:after="0" w:line="240" w:lineRule="auto"/>
              <w:jc w:val="both"/>
              <w:rPr>
                <w:rFonts w:ascii="Book Antiqua" w:eastAsia="Times New Roman" w:hAnsi="Book Antiqua" w:cs="Calibri"/>
                <w:b/>
                <w:bCs/>
                <w:color w:val="000000"/>
                <w:sz w:val="14"/>
                <w:szCs w:val="14"/>
                <w:lang w:eastAsia="es-CR"/>
              </w:rPr>
            </w:pPr>
            <w:r w:rsidRPr="0091565E">
              <w:rPr>
                <w:rFonts w:ascii="Book Antiqua" w:eastAsia="Times New Roman" w:hAnsi="Book Antiqua" w:cs="Calibri"/>
                <w:b/>
                <w:bCs/>
                <w:color w:val="000000"/>
                <w:sz w:val="14"/>
                <w:szCs w:val="14"/>
                <w:lang w:eastAsia="es-CR"/>
              </w:rPr>
              <w:t>No se corrigió el informe de avance de diciembre presentaba incorrecto el porcentaje esperado, ni se justifica los motivos por los cuales no se corrige el informe.</w:t>
            </w:r>
          </w:p>
        </w:tc>
      </w:tr>
      <w:tr w:rsidR="0091565E" w:rsidRPr="0091565E" w14:paraId="38E4B14C" w14:textId="77777777" w:rsidTr="00EF4E17">
        <w:trPr>
          <w:trHeight w:val="60"/>
        </w:trPr>
        <w:tc>
          <w:tcPr>
            <w:tcW w:w="0" w:type="auto"/>
            <w:vMerge/>
            <w:vAlign w:val="center"/>
            <w:hideMark/>
          </w:tcPr>
          <w:p w14:paraId="03E5444A"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ign w:val="center"/>
            <w:hideMark/>
          </w:tcPr>
          <w:p w14:paraId="0D7987E1"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shd w:val="clear" w:color="000000" w:fill="FFFFFF"/>
            <w:vAlign w:val="center"/>
            <w:hideMark/>
          </w:tcPr>
          <w:p w14:paraId="0A5E70AC"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1167-OIJ-P33</w:t>
            </w:r>
          </w:p>
        </w:tc>
        <w:tc>
          <w:tcPr>
            <w:tcW w:w="0" w:type="auto"/>
            <w:shd w:val="clear" w:color="000000" w:fill="FFFFFF"/>
            <w:vAlign w:val="center"/>
            <w:hideMark/>
          </w:tcPr>
          <w:p w14:paraId="64153738"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Construcción de bodega en el Departamento de Ciencias Forenses</w:t>
            </w:r>
          </w:p>
        </w:tc>
        <w:tc>
          <w:tcPr>
            <w:tcW w:w="0" w:type="auto"/>
            <w:shd w:val="clear" w:color="000000" w:fill="FFFFFF"/>
            <w:vAlign w:val="center"/>
            <w:hideMark/>
          </w:tcPr>
          <w:p w14:paraId="1CF45D27"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1.20</w:t>
            </w:r>
          </w:p>
        </w:tc>
        <w:tc>
          <w:tcPr>
            <w:tcW w:w="3302" w:type="dxa"/>
            <w:shd w:val="clear" w:color="000000" w:fill="FFFFFF"/>
            <w:vAlign w:val="center"/>
            <w:hideMark/>
          </w:tcPr>
          <w:p w14:paraId="65A653AB"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Se debe corregir Acta de constitución: Cronograma de alto nivel Se debe elaborar un cronograma que permita visualizar los entregables principales solamente por año o mes según sea el caso. Recursos del proyecto: Este apartado debe coincidir con los montos indicados en el estudio de factibilidad en el apartado de costo de inversión. Equipo de trabajo del proyecto: En este apartado falta indicar el administrador del proyecto. Plan de gestión: Detalle del presupuesto del proyecto En el cuadro se debe corregir el primer punto porque dice 3.3 y no 3.1 y se debe corregir el diagrama con la EDT, porque no empieza en 3.1 el primer entregable. Detalle del presupuesto del proyecto: Este apartado debe coincidir con los montos indicados en el estudio de factibilidad en el apartado de costo de inversión.</w:t>
            </w:r>
          </w:p>
        </w:tc>
      </w:tr>
      <w:tr w:rsidR="0091565E" w:rsidRPr="0091565E" w14:paraId="5EB68CE5" w14:textId="77777777" w:rsidTr="00EF4E17">
        <w:trPr>
          <w:trHeight w:val="436"/>
        </w:trPr>
        <w:tc>
          <w:tcPr>
            <w:tcW w:w="0" w:type="auto"/>
            <w:vMerge/>
            <w:vAlign w:val="center"/>
            <w:hideMark/>
          </w:tcPr>
          <w:p w14:paraId="387272D9"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ign w:val="center"/>
            <w:hideMark/>
          </w:tcPr>
          <w:p w14:paraId="19ACB831"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shd w:val="clear" w:color="000000" w:fill="FFFFFF"/>
            <w:vAlign w:val="center"/>
            <w:hideMark/>
          </w:tcPr>
          <w:p w14:paraId="1222DC9C"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1167-OIJ-P34</w:t>
            </w:r>
          </w:p>
        </w:tc>
        <w:tc>
          <w:tcPr>
            <w:tcW w:w="0" w:type="auto"/>
            <w:shd w:val="clear" w:color="000000" w:fill="FFFFFF"/>
            <w:vAlign w:val="center"/>
            <w:hideMark/>
          </w:tcPr>
          <w:p w14:paraId="5E7617F9"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Sustitución del sistema de detección y supresión de incendios del edificio del Departamento de Ciencias Forenses</w:t>
            </w:r>
          </w:p>
        </w:tc>
        <w:tc>
          <w:tcPr>
            <w:tcW w:w="0" w:type="auto"/>
            <w:shd w:val="clear" w:color="000000" w:fill="FFFFFF"/>
            <w:vAlign w:val="center"/>
            <w:hideMark/>
          </w:tcPr>
          <w:p w14:paraId="73829A59"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1.20</w:t>
            </w:r>
          </w:p>
        </w:tc>
        <w:tc>
          <w:tcPr>
            <w:tcW w:w="3302" w:type="dxa"/>
            <w:shd w:val="clear" w:color="000000" w:fill="FFFFFF"/>
            <w:vAlign w:val="center"/>
            <w:hideMark/>
          </w:tcPr>
          <w:p w14:paraId="746841F0"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No se encuentran subidos en el sitio ni el estudio de factibilidad, ni el Plan de gestión ni acta de constitución.</w:t>
            </w:r>
          </w:p>
        </w:tc>
      </w:tr>
      <w:tr w:rsidR="0091565E" w:rsidRPr="0091565E" w14:paraId="55AD4953" w14:textId="77777777" w:rsidTr="00EF4E17">
        <w:trPr>
          <w:trHeight w:val="436"/>
        </w:trPr>
        <w:tc>
          <w:tcPr>
            <w:tcW w:w="0" w:type="auto"/>
            <w:vMerge/>
            <w:vAlign w:val="center"/>
            <w:hideMark/>
          </w:tcPr>
          <w:p w14:paraId="1C481F03"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shd w:val="clear" w:color="000000" w:fill="FFFFFF"/>
            <w:vAlign w:val="center"/>
            <w:hideMark/>
          </w:tcPr>
          <w:p w14:paraId="15DA6632"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0657 OFICINA DE PLANES Y OPERACIONES</w:t>
            </w:r>
          </w:p>
        </w:tc>
        <w:tc>
          <w:tcPr>
            <w:tcW w:w="0" w:type="auto"/>
            <w:shd w:val="clear" w:color="000000" w:fill="FFFFFF"/>
            <w:vAlign w:val="center"/>
            <w:hideMark/>
          </w:tcPr>
          <w:p w14:paraId="768F572A"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1167-OIJ-P15</w:t>
            </w:r>
          </w:p>
        </w:tc>
        <w:tc>
          <w:tcPr>
            <w:tcW w:w="0" w:type="auto"/>
            <w:shd w:val="clear" w:color="000000" w:fill="FFFFFF"/>
            <w:vAlign w:val="center"/>
            <w:hideMark/>
          </w:tcPr>
          <w:p w14:paraId="740FDFA4"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Adquisición e instalación del Incinerador</w:t>
            </w:r>
          </w:p>
        </w:tc>
        <w:tc>
          <w:tcPr>
            <w:tcW w:w="0" w:type="auto"/>
            <w:shd w:val="clear" w:color="000000" w:fill="FFFFFF"/>
            <w:vAlign w:val="center"/>
            <w:hideMark/>
          </w:tcPr>
          <w:p w14:paraId="20037A4F"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1.20</w:t>
            </w:r>
          </w:p>
        </w:tc>
        <w:tc>
          <w:tcPr>
            <w:tcW w:w="3302" w:type="dxa"/>
            <w:shd w:val="clear" w:color="000000" w:fill="FFFFFF"/>
            <w:vAlign w:val="center"/>
            <w:hideMark/>
          </w:tcPr>
          <w:p w14:paraId="4077F98C"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No se corrigió el informe de avance de diciembre presentaba incorrecto el porcentaje esperado, ni se justifica los motivos por los cuales no se corrige el informe.</w:t>
            </w:r>
          </w:p>
        </w:tc>
      </w:tr>
      <w:tr w:rsidR="0091565E" w:rsidRPr="0091565E" w14:paraId="44A40042" w14:textId="77777777" w:rsidTr="00EF4E17">
        <w:trPr>
          <w:trHeight w:val="153"/>
        </w:trPr>
        <w:tc>
          <w:tcPr>
            <w:tcW w:w="0" w:type="auto"/>
            <w:vMerge/>
            <w:vAlign w:val="center"/>
            <w:hideMark/>
          </w:tcPr>
          <w:p w14:paraId="73E2CA58"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shd w:val="clear" w:color="000000" w:fill="FFFFFF"/>
            <w:vAlign w:val="center"/>
            <w:hideMark/>
          </w:tcPr>
          <w:p w14:paraId="5E797FF6"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1132 PLATAFORMA DE INFORMACION POLICIAL</w:t>
            </w:r>
          </w:p>
        </w:tc>
        <w:tc>
          <w:tcPr>
            <w:tcW w:w="0" w:type="auto"/>
            <w:shd w:val="clear" w:color="000000" w:fill="FFFFFF"/>
            <w:vAlign w:val="center"/>
            <w:hideMark/>
          </w:tcPr>
          <w:p w14:paraId="762EF314"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1167-OIJ-P22</w:t>
            </w:r>
          </w:p>
        </w:tc>
        <w:tc>
          <w:tcPr>
            <w:tcW w:w="0" w:type="auto"/>
            <w:shd w:val="clear" w:color="000000" w:fill="FFFFFF"/>
            <w:vAlign w:val="center"/>
            <w:hideMark/>
          </w:tcPr>
          <w:p w14:paraId="023049FE"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Sistema de Análisis de Crímenes Violentos</w:t>
            </w:r>
          </w:p>
        </w:tc>
        <w:tc>
          <w:tcPr>
            <w:tcW w:w="0" w:type="auto"/>
            <w:shd w:val="clear" w:color="000000" w:fill="FFFFFF"/>
            <w:vAlign w:val="center"/>
            <w:hideMark/>
          </w:tcPr>
          <w:p w14:paraId="11935557"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1.20</w:t>
            </w:r>
          </w:p>
        </w:tc>
        <w:tc>
          <w:tcPr>
            <w:tcW w:w="3302" w:type="dxa"/>
            <w:shd w:val="clear" w:color="000000" w:fill="FFFFFF"/>
            <w:vAlign w:val="center"/>
            <w:hideMark/>
          </w:tcPr>
          <w:p w14:paraId="5C3DA9B2"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Pendiente aprobación del informe de cierre por parte del patrocinador</w:t>
            </w:r>
          </w:p>
        </w:tc>
      </w:tr>
      <w:tr w:rsidR="0091565E" w:rsidRPr="0091565E" w14:paraId="328569D7" w14:textId="77777777" w:rsidTr="00EF4E17">
        <w:trPr>
          <w:trHeight w:val="295"/>
        </w:trPr>
        <w:tc>
          <w:tcPr>
            <w:tcW w:w="0" w:type="auto"/>
            <w:shd w:val="clear" w:color="000000" w:fill="FFFFFF"/>
            <w:vAlign w:val="center"/>
            <w:hideMark/>
          </w:tcPr>
          <w:p w14:paraId="62AAC1B6"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Primer Circuito Judicial Zona Sur</w:t>
            </w:r>
          </w:p>
        </w:tc>
        <w:tc>
          <w:tcPr>
            <w:tcW w:w="0" w:type="auto"/>
            <w:shd w:val="clear" w:color="000000" w:fill="FFFFFF"/>
            <w:vAlign w:val="center"/>
            <w:hideMark/>
          </w:tcPr>
          <w:p w14:paraId="4BD645DF"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0284 ADMINISTRACIÓN REGIONAL DE PEREZ ZELEDON</w:t>
            </w:r>
          </w:p>
        </w:tc>
        <w:tc>
          <w:tcPr>
            <w:tcW w:w="0" w:type="auto"/>
            <w:shd w:val="clear" w:color="000000" w:fill="FFFFFF"/>
            <w:vAlign w:val="center"/>
            <w:hideMark/>
          </w:tcPr>
          <w:p w14:paraId="76436548"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0117-DE-P76</w:t>
            </w:r>
          </w:p>
        </w:tc>
        <w:tc>
          <w:tcPr>
            <w:tcW w:w="0" w:type="auto"/>
            <w:shd w:val="clear" w:color="000000" w:fill="FFFFFF"/>
            <w:vAlign w:val="center"/>
            <w:hideMark/>
          </w:tcPr>
          <w:p w14:paraId="1291833B"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Sustitución completa del sistema Hídrico y tuberías del edificio de los tribunales de justicia de Pérez Zeledón</w:t>
            </w:r>
          </w:p>
        </w:tc>
        <w:tc>
          <w:tcPr>
            <w:tcW w:w="0" w:type="auto"/>
            <w:shd w:val="clear" w:color="000000" w:fill="FFFFFF"/>
            <w:vAlign w:val="center"/>
            <w:hideMark/>
          </w:tcPr>
          <w:p w14:paraId="73641C83"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1.22</w:t>
            </w:r>
          </w:p>
        </w:tc>
        <w:tc>
          <w:tcPr>
            <w:tcW w:w="3302" w:type="dxa"/>
            <w:shd w:val="clear" w:color="000000" w:fill="FFFFFF"/>
            <w:vAlign w:val="center"/>
            <w:hideMark/>
          </w:tcPr>
          <w:p w14:paraId="62A6C2A0"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Pendiente de presentar Estudio de factibilidad, Plan de Gestión y acta de constitución.</w:t>
            </w:r>
          </w:p>
        </w:tc>
      </w:tr>
      <w:tr w:rsidR="0091565E" w:rsidRPr="0091565E" w14:paraId="3F361323" w14:textId="77777777" w:rsidTr="00EF4E17">
        <w:trPr>
          <w:trHeight w:val="330"/>
        </w:trPr>
        <w:tc>
          <w:tcPr>
            <w:tcW w:w="0" w:type="auto"/>
            <w:vMerge w:val="restart"/>
            <w:shd w:val="clear" w:color="000000" w:fill="FFFFFF"/>
            <w:vAlign w:val="center"/>
            <w:hideMark/>
          </w:tcPr>
          <w:p w14:paraId="433A1E4B"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Primer Circuito Judicial Zona Sur</w:t>
            </w:r>
          </w:p>
        </w:tc>
        <w:tc>
          <w:tcPr>
            <w:tcW w:w="0" w:type="auto"/>
            <w:vMerge w:val="restart"/>
            <w:shd w:val="clear" w:color="000000" w:fill="FFFFFF"/>
            <w:vAlign w:val="center"/>
            <w:hideMark/>
          </w:tcPr>
          <w:p w14:paraId="27A8FE23"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0284 ADMINISTRACION REGIONAL I CIRCUITO JUDICIAL ZONA SUR</w:t>
            </w:r>
          </w:p>
        </w:tc>
        <w:tc>
          <w:tcPr>
            <w:tcW w:w="0" w:type="auto"/>
            <w:vMerge w:val="restart"/>
            <w:shd w:val="clear" w:color="000000" w:fill="FFFFFF"/>
            <w:vAlign w:val="center"/>
            <w:hideMark/>
          </w:tcPr>
          <w:p w14:paraId="192A44DB"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0117-DE-P75</w:t>
            </w:r>
          </w:p>
        </w:tc>
        <w:tc>
          <w:tcPr>
            <w:tcW w:w="0" w:type="auto"/>
            <w:vMerge w:val="restart"/>
            <w:shd w:val="clear" w:color="000000" w:fill="FFFFFF"/>
            <w:vAlign w:val="center"/>
            <w:hideMark/>
          </w:tcPr>
          <w:p w14:paraId="05A04B9F"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II Etapa Salida de emergencia del Edificio de Tribunales de Justicia de Pérez Zeledón</w:t>
            </w:r>
          </w:p>
        </w:tc>
        <w:tc>
          <w:tcPr>
            <w:tcW w:w="0" w:type="auto"/>
            <w:vMerge w:val="restart"/>
            <w:shd w:val="clear" w:color="000000" w:fill="FFFFFF"/>
            <w:vAlign w:val="center"/>
            <w:hideMark/>
          </w:tcPr>
          <w:p w14:paraId="7181BFDE"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1.22</w:t>
            </w:r>
          </w:p>
        </w:tc>
        <w:tc>
          <w:tcPr>
            <w:tcW w:w="3302" w:type="dxa"/>
            <w:shd w:val="clear" w:color="000000" w:fill="FFFFFF"/>
            <w:vAlign w:val="center"/>
            <w:hideMark/>
          </w:tcPr>
          <w:p w14:paraId="19AA8ED4"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Pendiente de presentar Estudio de factibilidad, Plan de Gestión y acta de constitución.</w:t>
            </w:r>
          </w:p>
        </w:tc>
      </w:tr>
      <w:tr w:rsidR="0091565E" w:rsidRPr="0091565E" w14:paraId="40ED6AD0" w14:textId="77777777" w:rsidTr="00EF4E17">
        <w:trPr>
          <w:trHeight w:val="250"/>
        </w:trPr>
        <w:tc>
          <w:tcPr>
            <w:tcW w:w="0" w:type="auto"/>
            <w:vMerge/>
            <w:vAlign w:val="center"/>
            <w:hideMark/>
          </w:tcPr>
          <w:p w14:paraId="1889016E"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ign w:val="center"/>
            <w:hideMark/>
          </w:tcPr>
          <w:p w14:paraId="5B089906"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ign w:val="center"/>
            <w:hideMark/>
          </w:tcPr>
          <w:p w14:paraId="73E360A1"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ign w:val="center"/>
            <w:hideMark/>
          </w:tcPr>
          <w:p w14:paraId="74FEFE71"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ign w:val="center"/>
            <w:hideMark/>
          </w:tcPr>
          <w:p w14:paraId="75741BED"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3302" w:type="dxa"/>
            <w:shd w:val="clear" w:color="000000" w:fill="FFFFFF"/>
            <w:vAlign w:val="center"/>
            <w:hideMark/>
          </w:tcPr>
          <w:p w14:paraId="02603C14"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Pendiente de presentar Estudio de factibilidad, Plan de Gestión y acta de constitución (se subieron los documentos de manera extemporánea, los cuales están pendientes de revisar por parte de la Unidad de Proyectos).</w:t>
            </w:r>
          </w:p>
        </w:tc>
      </w:tr>
      <w:tr w:rsidR="0091565E" w:rsidRPr="0091565E" w14:paraId="26227277" w14:textId="77777777" w:rsidTr="00EF4E17">
        <w:trPr>
          <w:trHeight w:val="362"/>
        </w:trPr>
        <w:tc>
          <w:tcPr>
            <w:tcW w:w="0" w:type="auto"/>
            <w:vMerge w:val="restart"/>
            <w:shd w:val="clear" w:color="000000" w:fill="FFFFFF"/>
            <w:vAlign w:val="center"/>
            <w:hideMark/>
          </w:tcPr>
          <w:p w14:paraId="6F277319"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lastRenderedPageBreak/>
              <w:t>Programa Justicia Restaurativa</w:t>
            </w:r>
          </w:p>
        </w:tc>
        <w:tc>
          <w:tcPr>
            <w:tcW w:w="0" w:type="auto"/>
            <w:vMerge w:val="restart"/>
            <w:shd w:val="clear" w:color="000000" w:fill="FFFFFF"/>
            <w:vAlign w:val="center"/>
            <w:hideMark/>
          </w:tcPr>
          <w:p w14:paraId="57776624"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1377 PROGRAMA JUSTICIA RESTAURATIVA</w:t>
            </w:r>
          </w:p>
        </w:tc>
        <w:tc>
          <w:tcPr>
            <w:tcW w:w="0" w:type="auto"/>
            <w:shd w:val="clear" w:color="000000" w:fill="FFFFFF"/>
            <w:vAlign w:val="center"/>
            <w:hideMark/>
          </w:tcPr>
          <w:p w14:paraId="1A9647D3"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1377-PJR-P02</w:t>
            </w:r>
          </w:p>
        </w:tc>
        <w:tc>
          <w:tcPr>
            <w:tcW w:w="0" w:type="auto"/>
            <w:shd w:val="clear" w:color="000000" w:fill="FFFFFF"/>
            <w:vAlign w:val="center"/>
            <w:hideMark/>
          </w:tcPr>
          <w:p w14:paraId="124E2DD7"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Programa de Justicia Restaurativa para el bienestar del personal judicial</w:t>
            </w:r>
          </w:p>
        </w:tc>
        <w:tc>
          <w:tcPr>
            <w:tcW w:w="0" w:type="auto"/>
            <w:shd w:val="clear" w:color="000000" w:fill="FFFFFF"/>
            <w:vAlign w:val="center"/>
            <w:hideMark/>
          </w:tcPr>
          <w:p w14:paraId="5C414FD2"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1.23</w:t>
            </w:r>
          </w:p>
        </w:tc>
        <w:tc>
          <w:tcPr>
            <w:tcW w:w="3302" w:type="dxa"/>
            <w:shd w:val="clear" w:color="000000" w:fill="FFFFFF"/>
            <w:vAlign w:val="center"/>
            <w:hideMark/>
          </w:tcPr>
          <w:p w14:paraId="50A00667"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Pendiente aprobación del informe de cierre por parte del patrocinador</w:t>
            </w:r>
          </w:p>
        </w:tc>
      </w:tr>
      <w:tr w:rsidR="0091565E" w:rsidRPr="0091565E" w14:paraId="0CA618BF" w14:textId="77777777" w:rsidTr="00EF4E17">
        <w:trPr>
          <w:trHeight w:val="358"/>
        </w:trPr>
        <w:tc>
          <w:tcPr>
            <w:tcW w:w="0" w:type="auto"/>
            <w:vMerge/>
            <w:vAlign w:val="center"/>
            <w:hideMark/>
          </w:tcPr>
          <w:p w14:paraId="128DF8EE"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ign w:val="center"/>
            <w:hideMark/>
          </w:tcPr>
          <w:p w14:paraId="6B9370B0"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shd w:val="clear" w:color="000000" w:fill="FFFFFF"/>
            <w:vAlign w:val="center"/>
            <w:hideMark/>
          </w:tcPr>
          <w:p w14:paraId="125712EA"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1377-PJR-P03</w:t>
            </w:r>
          </w:p>
        </w:tc>
        <w:tc>
          <w:tcPr>
            <w:tcW w:w="0" w:type="auto"/>
            <w:shd w:val="clear" w:color="000000" w:fill="FFFFFF"/>
            <w:vAlign w:val="center"/>
            <w:hideMark/>
          </w:tcPr>
          <w:p w14:paraId="317D61F7"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Proyecto de Cooperación Fortalecimiento de Penal Juvenil y Justicia Restaurativa</w:t>
            </w:r>
          </w:p>
        </w:tc>
        <w:tc>
          <w:tcPr>
            <w:tcW w:w="0" w:type="auto"/>
            <w:shd w:val="clear" w:color="000000" w:fill="FFFFFF"/>
            <w:vAlign w:val="center"/>
            <w:hideMark/>
          </w:tcPr>
          <w:p w14:paraId="32241B18"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1.23</w:t>
            </w:r>
          </w:p>
        </w:tc>
        <w:tc>
          <w:tcPr>
            <w:tcW w:w="3302" w:type="dxa"/>
            <w:shd w:val="clear" w:color="000000" w:fill="FFFFFF"/>
            <w:vAlign w:val="center"/>
            <w:hideMark/>
          </w:tcPr>
          <w:p w14:paraId="2E3043CF"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Pendiente aprobación del informe de cierre por parte del patrocinador</w:t>
            </w:r>
          </w:p>
        </w:tc>
      </w:tr>
      <w:tr w:rsidR="0091565E" w:rsidRPr="0091565E" w14:paraId="284E954B" w14:textId="77777777" w:rsidTr="00EF4E17">
        <w:trPr>
          <w:trHeight w:val="510"/>
        </w:trPr>
        <w:tc>
          <w:tcPr>
            <w:tcW w:w="0" w:type="auto"/>
            <w:vMerge/>
            <w:vAlign w:val="center"/>
            <w:hideMark/>
          </w:tcPr>
          <w:p w14:paraId="5B1001DF"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ign w:val="center"/>
            <w:hideMark/>
          </w:tcPr>
          <w:p w14:paraId="1024A17B"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restart"/>
            <w:shd w:val="clear" w:color="000000" w:fill="FFFFFF"/>
            <w:vAlign w:val="center"/>
            <w:hideMark/>
          </w:tcPr>
          <w:p w14:paraId="68539A83"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1377-PJR-P06</w:t>
            </w:r>
          </w:p>
        </w:tc>
        <w:tc>
          <w:tcPr>
            <w:tcW w:w="0" w:type="auto"/>
            <w:vMerge w:val="restart"/>
            <w:shd w:val="clear" w:color="000000" w:fill="FFFFFF"/>
            <w:vAlign w:val="center"/>
            <w:hideMark/>
          </w:tcPr>
          <w:p w14:paraId="6A5B8195"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Programa de Justicia Restaurativa para el Bienestar Integral del Personal Judicial</w:t>
            </w:r>
          </w:p>
        </w:tc>
        <w:tc>
          <w:tcPr>
            <w:tcW w:w="0" w:type="auto"/>
            <w:vMerge w:val="restart"/>
            <w:shd w:val="clear" w:color="000000" w:fill="FFFFFF"/>
            <w:vAlign w:val="center"/>
            <w:hideMark/>
          </w:tcPr>
          <w:p w14:paraId="538723D8"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1.23</w:t>
            </w:r>
          </w:p>
        </w:tc>
        <w:tc>
          <w:tcPr>
            <w:tcW w:w="3302" w:type="dxa"/>
            <w:shd w:val="clear" w:color="000000" w:fill="FFFFFF"/>
            <w:vAlign w:val="center"/>
            <w:hideMark/>
          </w:tcPr>
          <w:p w14:paraId="0276F2D5"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Pendiente de subir Estudio de factibilidad en el sitio de proyecto.</w:t>
            </w:r>
          </w:p>
        </w:tc>
      </w:tr>
      <w:tr w:rsidR="0091565E" w:rsidRPr="0091565E" w14:paraId="63E959E2" w14:textId="77777777" w:rsidTr="00EF4E17">
        <w:trPr>
          <w:trHeight w:val="661"/>
        </w:trPr>
        <w:tc>
          <w:tcPr>
            <w:tcW w:w="0" w:type="auto"/>
            <w:vMerge/>
            <w:vAlign w:val="center"/>
            <w:hideMark/>
          </w:tcPr>
          <w:p w14:paraId="69C235C3"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ign w:val="center"/>
            <w:hideMark/>
          </w:tcPr>
          <w:p w14:paraId="5A9570AD"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vAlign w:val="center"/>
            <w:hideMark/>
          </w:tcPr>
          <w:p w14:paraId="321079D6"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shd w:val="clear" w:color="000000" w:fill="FFFFFF"/>
            <w:vAlign w:val="center"/>
            <w:hideMark/>
          </w:tcPr>
          <w:p w14:paraId="3D1ECA2E"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0" w:type="auto"/>
            <w:vMerge/>
            <w:shd w:val="clear" w:color="000000" w:fill="FFFFFF"/>
            <w:vAlign w:val="center"/>
            <w:hideMark/>
          </w:tcPr>
          <w:p w14:paraId="613F0C78"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p>
        </w:tc>
        <w:tc>
          <w:tcPr>
            <w:tcW w:w="3302" w:type="dxa"/>
            <w:shd w:val="clear" w:color="000000" w:fill="FFFFFF"/>
            <w:vAlign w:val="center"/>
            <w:hideMark/>
          </w:tcPr>
          <w:p w14:paraId="4ACE358E"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Se subió el documento de manera extemporánea, el cual está pendiente de revisar por parte de la Unidad de Proyectos).</w:t>
            </w:r>
          </w:p>
        </w:tc>
      </w:tr>
      <w:tr w:rsidR="0091565E" w:rsidRPr="0091565E" w14:paraId="4FF9E21D" w14:textId="77777777" w:rsidTr="00EF4E17">
        <w:trPr>
          <w:trHeight w:val="153"/>
        </w:trPr>
        <w:tc>
          <w:tcPr>
            <w:tcW w:w="0" w:type="auto"/>
            <w:shd w:val="clear" w:color="000000" w:fill="FFFFFF"/>
            <w:vAlign w:val="center"/>
            <w:hideMark/>
          </w:tcPr>
          <w:p w14:paraId="0A2A1004"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Segundo Circuito Judicial Zona Sur</w:t>
            </w:r>
          </w:p>
        </w:tc>
        <w:tc>
          <w:tcPr>
            <w:tcW w:w="0" w:type="auto"/>
            <w:shd w:val="clear" w:color="000000" w:fill="FFFFFF"/>
            <w:vAlign w:val="center"/>
            <w:hideMark/>
          </w:tcPr>
          <w:p w14:paraId="0AB525ED"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0149 Departamento de Servicios Generales</w:t>
            </w:r>
          </w:p>
        </w:tc>
        <w:tc>
          <w:tcPr>
            <w:tcW w:w="0" w:type="auto"/>
            <w:shd w:val="clear" w:color="000000" w:fill="FFFFFF"/>
            <w:vAlign w:val="center"/>
            <w:hideMark/>
          </w:tcPr>
          <w:p w14:paraId="627C989D"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0117-DE-P70</w:t>
            </w:r>
          </w:p>
        </w:tc>
        <w:tc>
          <w:tcPr>
            <w:tcW w:w="0" w:type="auto"/>
            <w:shd w:val="clear" w:color="000000" w:fill="FFFFFF"/>
            <w:vAlign w:val="center"/>
            <w:hideMark/>
          </w:tcPr>
          <w:p w14:paraId="60F79C9E"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Construcción de planta de tratamiento para el Edificio de Tribunales de Corredores</w:t>
            </w:r>
          </w:p>
        </w:tc>
        <w:tc>
          <w:tcPr>
            <w:tcW w:w="0" w:type="auto"/>
            <w:shd w:val="clear" w:color="000000" w:fill="FFFFFF"/>
            <w:vAlign w:val="center"/>
            <w:hideMark/>
          </w:tcPr>
          <w:p w14:paraId="16405495" w14:textId="77777777" w:rsidR="0091565E" w:rsidRPr="0091565E" w:rsidRDefault="0091565E" w:rsidP="0091565E">
            <w:pPr>
              <w:spacing w:after="0" w:line="240" w:lineRule="auto"/>
              <w:jc w:val="center"/>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1.25</w:t>
            </w:r>
          </w:p>
        </w:tc>
        <w:tc>
          <w:tcPr>
            <w:tcW w:w="3302" w:type="dxa"/>
            <w:shd w:val="clear" w:color="000000" w:fill="FFFFFF"/>
            <w:vAlign w:val="center"/>
            <w:hideMark/>
          </w:tcPr>
          <w:p w14:paraId="3CF9A348" w14:textId="77777777" w:rsidR="0091565E" w:rsidRPr="0091565E" w:rsidRDefault="0091565E" w:rsidP="00EF4E17">
            <w:pPr>
              <w:spacing w:after="0" w:line="240" w:lineRule="auto"/>
              <w:jc w:val="both"/>
              <w:rPr>
                <w:rFonts w:ascii="Book Antiqua" w:eastAsia="Times New Roman" w:hAnsi="Book Antiqua" w:cs="Calibri"/>
                <w:color w:val="000000"/>
                <w:sz w:val="14"/>
                <w:szCs w:val="14"/>
                <w:lang w:eastAsia="es-CR"/>
              </w:rPr>
            </w:pPr>
            <w:r w:rsidRPr="0091565E">
              <w:rPr>
                <w:rFonts w:ascii="Book Antiqua" w:eastAsia="Times New Roman" w:hAnsi="Book Antiqua" w:cs="Calibri"/>
                <w:color w:val="000000"/>
                <w:sz w:val="14"/>
                <w:szCs w:val="14"/>
                <w:lang w:eastAsia="es-CR"/>
              </w:rPr>
              <w:t>Pendiente atender correcciones enviadas el 17/3/23 sobre Estudio de factibilidad, acta de constitución, Plan de Gestión.</w:t>
            </w:r>
          </w:p>
        </w:tc>
      </w:tr>
    </w:tbl>
    <w:p w14:paraId="28C0683D" w14:textId="77777777" w:rsidR="003411FA" w:rsidRPr="008F427A" w:rsidRDefault="003411FA" w:rsidP="00EF4E17">
      <w:pPr>
        <w:spacing w:after="0" w:line="240" w:lineRule="auto"/>
        <w:ind w:left="705"/>
        <w:jc w:val="both"/>
        <w:textAlignment w:val="baseline"/>
        <w:rPr>
          <w:rFonts w:ascii="Book Antiqua" w:hAnsi="Book Antiqua"/>
          <w:sz w:val="24"/>
          <w:szCs w:val="24"/>
        </w:rPr>
      </w:pPr>
    </w:p>
    <w:p w14:paraId="16F08B8F" w14:textId="4CBFA323" w:rsidR="00197FE3" w:rsidRDefault="00197FE3" w:rsidP="00155AE5">
      <w:pPr>
        <w:pStyle w:val="Ttulo2"/>
        <w:numPr>
          <w:ilvl w:val="1"/>
          <w:numId w:val="19"/>
        </w:numPr>
        <w:rPr>
          <w:rFonts w:ascii="Book Antiqua" w:eastAsia="Wingdings" w:hAnsi="Book Antiqua"/>
          <w:b/>
          <w:bCs/>
          <w:color w:val="auto"/>
          <w:lang w:eastAsia="ko-KR"/>
        </w:rPr>
      </w:pPr>
      <w:bookmarkStart w:id="146" w:name="_Toc138770877"/>
      <w:r w:rsidRPr="00083E0D">
        <w:rPr>
          <w:rFonts w:ascii="Book Antiqua" w:eastAsia="Wingdings" w:hAnsi="Book Antiqua"/>
          <w:b/>
          <w:bCs/>
          <w:color w:val="auto"/>
          <w:lang w:eastAsia="ko-KR"/>
        </w:rPr>
        <w:t>Conclusiones relacionadas con el capítulo 2</w:t>
      </w:r>
      <w:bookmarkEnd w:id="146"/>
    </w:p>
    <w:p w14:paraId="3F53AAB8" w14:textId="77777777" w:rsidR="00C44484" w:rsidRDefault="00C44484" w:rsidP="00EF4E17">
      <w:pPr>
        <w:spacing w:after="0"/>
        <w:rPr>
          <w:lang w:eastAsia="ko-KR"/>
        </w:rPr>
      </w:pPr>
    </w:p>
    <w:p w14:paraId="577606D8" w14:textId="45611312" w:rsidR="004A7085" w:rsidRDefault="004A7085" w:rsidP="003411FA">
      <w:pPr>
        <w:pStyle w:val="paragraph"/>
        <w:spacing w:before="0" w:beforeAutospacing="0" w:after="0" w:afterAutospacing="0"/>
        <w:jc w:val="both"/>
        <w:textAlignment w:val="baseline"/>
        <w:rPr>
          <w:rFonts w:ascii="Segoe UI" w:hAnsi="Segoe UI" w:cs="Segoe UI"/>
          <w:sz w:val="18"/>
          <w:szCs w:val="18"/>
        </w:rPr>
      </w:pPr>
      <w:r>
        <w:rPr>
          <w:rStyle w:val="normaltextrun"/>
          <w:rFonts w:ascii="Book Antiqua" w:eastAsiaTheme="majorEastAsia" w:hAnsi="Book Antiqua" w:cs="Segoe UI"/>
        </w:rPr>
        <w:t xml:space="preserve">Del </w:t>
      </w:r>
      <w:r w:rsidR="00A92D71">
        <w:rPr>
          <w:rStyle w:val="normaltextrun"/>
          <w:rFonts w:ascii="Book Antiqua" w:eastAsiaTheme="majorEastAsia" w:hAnsi="Book Antiqua" w:cs="Segoe UI"/>
        </w:rPr>
        <w:t>primer</w:t>
      </w:r>
      <w:r>
        <w:rPr>
          <w:rStyle w:val="normaltextrun"/>
          <w:rFonts w:ascii="Book Antiqua" w:eastAsiaTheme="majorEastAsia" w:hAnsi="Book Antiqua" w:cs="Segoe UI"/>
        </w:rPr>
        <w:t xml:space="preserve"> seguimiento del estado del portafolio de proyectos estratégicos del Poder Judicial se concluye:</w:t>
      </w:r>
      <w:r>
        <w:rPr>
          <w:rStyle w:val="eop"/>
          <w:rFonts w:ascii="Book Antiqua" w:eastAsiaTheme="majorEastAsia" w:hAnsi="Book Antiqua" w:cs="Segoe UI"/>
        </w:rPr>
        <w:t> </w:t>
      </w:r>
    </w:p>
    <w:p w14:paraId="65F18241" w14:textId="77777777" w:rsidR="004A7085" w:rsidRDefault="004A7085" w:rsidP="003411FA">
      <w:pPr>
        <w:pStyle w:val="paragraph"/>
        <w:spacing w:before="0" w:beforeAutospacing="0" w:after="0" w:afterAutospacing="0"/>
        <w:jc w:val="both"/>
        <w:textAlignment w:val="baseline"/>
        <w:rPr>
          <w:rFonts w:ascii="Segoe UI" w:hAnsi="Segoe UI" w:cs="Segoe UI"/>
          <w:sz w:val="18"/>
          <w:szCs w:val="18"/>
        </w:rPr>
      </w:pPr>
      <w:r>
        <w:rPr>
          <w:rStyle w:val="eop"/>
          <w:rFonts w:ascii="Book Antiqua" w:eastAsiaTheme="majorEastAsia" w:hAnsi="Book Antiqua" w:cs="Segoe UI"/>
        </w:rPr>
        <w:t> </w:t>
      </w:r>
    </w:p>
    <w:p w14:paraId="7D1EE621" w14:textId="6700CD7D" w:rsidR="004A7085" w:rsidRDefault="004A7085" w:rsidP="003411FA">
      <w:pPr>
        <w:pStyle w:val="paragraph"/>
        <w:numPr>
          <w:ilvl w:val="2"/>
          <w:numId w:val="19"/>
        </w:numPr>
        <w:spacing w:before="0" w:beforeAutospacing="0" w:after="0" w:afterAutospacing="0"/>
        <w:ind w:left="0" w:firstLine="0"/>
        <w:jc w:val="both"/>
        <w:textAlignment w:val="baseline"/>
        <w:rPr>
          <w:rFonts w:ascii="Book Antiqua" w:hAnsi="Book Antiqua" w:cs="Segoe UI"/>
        </w:rPr>
      </w:pPr>
      <w:r>
        <w:rPr>
          <w:rStyle w:val="normaltextrun"/>
          <w:rFonts w:ascii="Book Antiqua" w:eastAsiaTheme="majorEastAsia" w:hAnsi="Book Antiqua" w:cs="Segoe UI"/>
        </w:rPr>
        <w:t>En lo que respecta al estado de los proyectos, se tiene que el 44% de los proyectos se encuentran en ejecución, lo que representa un total de 85 proyectos estratégicos.  Con la finalidad de presentar la distribución de los estos por programa presupuestaria, a continuación, se muestra la siguiente tabla:</w:t>
      </w:r>
      <w:r>
        <w:rPr>
          <w:rStyle w:val="eop"/>
          <w:rFonts w:ascii="Book Antiqua" w:eastAsiaTheme="majorEastAsia" w:hAnsi="Book Antiqua" w:cs="Segoe UI"/>
        </w:rPr>
        <w:t> </w:t>
      </w:r>
    </w:p>
    <w:p w14:paraId="4DE9FB7A" w14:textId="77777777" w:rsidR="00C44484" w:rsidRDefault="00C44484" w:rsidP="003411FA">
      <w:pPr>
        <w:pStyle w:val="Prrafodelista"/>
        <w:spacing w:after="0"/>
        <w:ind w:left="0"/>
        <w:contextualSpacing w:val="0"/>
        <w:jc w:val="both"/>
        <w:rPr>
          <w:rFonts w:ascii="Book Antiqua" w:hAnsi="Book Antiqua"/>
          <w:sz w:val="24"/>
          <w:szCs w:val="24"/>
        </w:rPr>
      </w:pPr>
    </w:p>
    <w:tbl>
      <w:tblPr>
        <w:tblStyle w:val="Tablaconcuadrcula"/>
        <w:tblW w:w="7792" w:type="dxa"/>
        <w:jc w:val="center"/>
        <w:tblLook w:val="04A0" w:firstRow="1" w:lastRow="0" w:firstColumn="1" w:lastColumn="0" w:noHBand="0" w:noVBand="1"/>
      </w:tblPr>
      <w:tblGrid>
        <w:gridCol w:w="5524"/>
        <w:gridCol w:w="2268"/>
      </w:tblGrid>
      <w:tr w:rsidR="004A7085" w:rsidRPr="004A7085" w14:paraId="5CB443F8" w14:textId="77777777" w:rsidTr="00EF4E17">
        <w:trPr>
          <w:trHeight w:val="270"/>
          <w:jc w:val="center"/>
        </w:trPr>
        <w:tc>
          <w:tcPr>
            <w:tcW w:w="5524" w:type="dxa"/>
            <w:shd w:val="clear" w:color="auto" w:fill="002060"/>
            <w:hideMark/>
          </w:tcPr>
          <w:p w14:paraId="7369D1AB" w14:textId="77777777" w:rsidR="004A7085" w:rsidRPr="004A7085" w:rsidRDefault="004A7085" w:rsidP="004A7085">
            <w:pPr>
              <w:jc w:val="center"/>
              <w:textAlignment w:val="baseline"/>
              <w:rPr>
                <w:rFonts w:ascii="Book Antiqua" w:eastAsia="Times New Roman" w:hAnsi="Book Antiqua" w:cs="Segoe UI"/>
                <w:b/>
                <w:bCs/>
                <w:color w:val="FFFFFF"/>
                <w:sz w:val="20"/>
                <w:szCs w:val="20"/>
                <w:lang w:eastAsia="es-CR"/>
              </w:rPr>
            </w:pPr>
            <w:r w:rsidRPr="004A7085">
              <w:rPr>
                <w:rFonts w:ascii="Book Antiqua" w:eastAsia="Times New Roman" w:hAnsi="Book Antiqua" w:cs="Segoe UI"/>
                <w:b/>
                <w:bCs/>
                <w:color w:val="FFFFFF"/>
                <w:sz w:val="20"/>
                <w:szCs w:val="20"/>
                <w:lang w:eastAsia="es-CR"/>
              </w:rPr>
              <w:t>Programa presupuestario </w:t>
            </w:r>
          </w:p>
        </w:tc>
        <w:tc>
          <w:tcPr>
            <w:tcW w:w="2268" w:type="dxa"/>
            <w:shd w:val="clear" w:color="auto" w:fill="002060"/>
            <w:hideMark/>
          </w:tcPr>
          <w:p w14:paraId="3D9D7592" w14:textId="77777777" w:rsidR="004A7085" w:rsidRPr="004A7085" w:rsidRDefault="004A7085" w:rsidP="004A7085">
            <w:pPr>
              <w:jc w:val="center"/>
              <w:textAlignment w:val="baseline"/>
              <w:rPr>
                <w:rFonts w:ascii="Book Antiqua" w:eastAsia="Times New Roman" w:hAnsi="Book Antiqua" w:cs="Segoe UI"/>
                <w:b/>
                <w:bCs/>
                <w:color w:val="FFFFFF"/>
                <w:sz w:val="20"/>
                <w:szCs w:val="20"/>
                <w:lang w:eastAsia="es-CR"/>
              </w:rPr>
            </w:pPr>
            <w:r w:rsidRPr="004A7085">
              <w:rPr>
                <w:rFonts w:ascii="Book Antiqua" w:eastAsia="Times New Roman" w:hAnsi="Book Antiqua" w:cs="Segoe UI"/>
                <w:b/>
                <w:bCs/>
                <w:color w:val="FFFFFF"/>
                <w:sz w:val="20"/>
                <w:szCs w:val="20"/>
                <w:lang w:eastAsia="es-CR"/>
              </w:rPr>
              <w:t>Total de proyectos "En progreso" </w:t>
            </w:r>
          </w:p>
        </w:tc>
      </w:tr>
      <w:tr w:rsidR="004A7085" w:rsidRPr="004A7085" w14:paraId="3F1F04E5" w14:textId="77777777" w:rsidTr="00EF4E17">
        <w:trPr>
          <w:trHeight w:val="270"/>
          <w:jc w:val="center"/>
        </w:trPr>
        <w:tc>
          <w:tcPr>
            <w:tcW w:w="5524" w:type="dxa"/>
            <w:hideMark/>
          </w:tcPr>
          <w:p w14:paraId="0AA06A72" w14:textId="77777777" w:rsidR="004A7085" w:rsidRPr="004A7085" w:rsidRDefault="004A7085" w:rsidP="004A7085">
            <w:pPr>
              <w:textAlignment w:val="baseline"/>
              <w:rPr>
                <w:rFonts w:ascii="Book Antiqua" w:eastAsia="Times New Roman" w:hAnsi="Book Antiqua" w:cs="Segoe UI"/>
                <w:b/>
                <w:bCs/>
                <w:sz w:val="20"/>
                <w:szCs w:val="20"/>
                <w:lang w:eastAsia="es-CR"/>
              </w:rPr>
            </w:pPr>
            <w:r w:rsidRPr="004A7085">
              <w:rPr>
                <w:rFonts w:ascii="Book Antiqua" w:eastAsia="Times New Roman" w:hAnsi="Book Antiqua" w:cs="Calibri"/>
                <w:b/>
                <w:bCs/>
                <w:color w:val="000000"/>
                <w:sz w:val="20"/>
                <w:szCs w:val="20"/>
                <w:lang w:eastAsia="es-CR"/>
              </w:rPr>
              <w:t>926 Dirección Administración y Otros Órganos de Apoyo </w:t>
            </w:r>
          </w:p>
        </w:tc>
        <w:tc>
          <w:tcPr>
            <w:tcW w:w="2268" w:type="dxa"/>
            <w:hideMark/>
          </w:tcPr>
          <w:p w14:paraId="472059BA" w14:textId="77777777" w:rsidR="004A7085" w:rsidRPr="004A7085" w:rsidRDefault="004A7085" w:rsidP="004A7085">
            <w:pPr>
              <w:jc w:val="center"/>
              <w:textAlignment w:val="baseline"/>
              <w:rPr>
                <w:rFonts w:ascii="Book Antiqua" w:eastAsia="Times New Roman" w:hAnsi="Book Antiqua" w:cs="Segoe UI"/>
                <w:sz w:val="20"/>
                <w:szCs w:val="20"/>
                <w:lang w:eastAsia="es-CR"/>
              </w:rPr>
            </w:pPr>
            <w:r w:rsidRPr="004A7085">
              <w:rPr>
                <w:rFonts w:ascii="Book Antiqua" w:eastAsia="Times New Roman" w:hAnsi="Book Antiqua" w:cs="Calibri"/>
                <w:color w:val="000000"/>
                <w:sz w:val="20"/>
                <w:szCs w:val="20"/>
                <w:lang w:eastAsia="es-CR"/>
              </w:rPr>
              <w:t>53 </w:t>
            </w:r>
          </w:p>
        </w:tc>
      </w:tr>
      <w:tr w:rsidR="004A7085" w:rsidRPr="004A7085" w14:paraId="7EB9C1E5" w14:textId="77777777" w:rsidTr="00EF4E17">
        <w:trPr>
          <w:trHeight w:val="270"/>
          <w:jc w:val="center"/>
        </w:trPr>
        <w:tc>
          <w:tcPr>
            <w:tcW w:w="5524" w:type="dxa"/>
            <w:hideMark/>
          </w:tcPr>
          <w:p w14:paraId="240B943E" w14:textId="77777777" w:rsidR="004A7085" w:rsidRPr="004A7085" w:rsidRDefault="004A7085" w:rsidP="004A7085">
            <w:pPr>
              <w:textAlignment w:val="baseline"/>
              <w:rPr>
                <w:rFonts w:ascii="Book Antiqua" w:eastAsia="Times New Roman" w:hAnsi="Book Antiqua" w:cs="Segoe UI"/>
                <w:b/>
                <w:bCs/>
                <w:sz w:val="20"/>
                <w:szCs w:val="20"/>
                <w:lang w:eastAsia="es-CR"/>
              </w:rPr>
            </w:pPr>
            <w:r w:rsidRPr="004A7085">
              <w:rPr>
                <w:rFonts w:ascii="Book Antiqua" w:eastAsia="Times New Roman" w:hAnsi="Book Antiqua" w:cs="Calibri"/>
                <w:b/>
                <w:bCs/>
                <w:color w:val="000000"/>
                <w:sz w:val="20"/>
                <w:szCs w:val="20"/>
                <w:lang w:eastAsia="es-CR"/>
              </w:rPr>
              <w:t>928 Organismo de Investigación Judicial </w:t>
            </w:r>
          </w:p>
        </w:tc>
        <w:tc>
          <w:tcPr>
            <w:tcW w:w="2268" w:type="dxa"/>
            <w:hideMark/>
          </w:tcPr>
          <w:p w14:paraId="6B42DA33" w14:textId="77777777" w:rsidR="004A7085" w:rsidRPr="004A7085" w:rsidRDefault="004A7085" w:rsidP="004A7085">
            <w:pPr>
              <w:jc w:val="center"/>
              <w:textAlignment w:val="baseline"/>
              <w:rPr>
                <w:rFonts w:ascii="Book Antiqua" w:eastAsia="Times New Roman" w:hAnsi="Book Antiqua" w:cs="Segoe UI"/>
                <w:sz w:val="20"/>
                <w:szCs w:val="20"/>
                <w:lang w:eastAsia="es-CR"/>
              </w:rPr>
            </w:pPr>
            <w:r w:rsidRPr="004A7085">
              <w:rPr>
                <w:rFonts w:ascii="Book Antiqua" w:eastAsia="Times New Roman" w:hAnsi="Book Antiqua" w:cs="Calibri"/>
                <w:color w:val="000000"/>
                <w:sz w:val="20"/>
                <w:szCs w:val="20"/>
                <w:lang w:eastAsia="es-CR"/>
              </w:rPr>
              <w:t>14 </w:t>
            </w:r>
          </w:p>
        </w:tc>
      </w:tr>
      <w:tr w:rsidR="004A7085" w:rsidRPr="004A7085" w14:paraId="191BB6A6" w14:textId="77777777" w:rsidTr="00EF4E17">
        <w:trPr>
          <w:trHeight w:val="270"/>
          <w:jc w:val="center"/>
        </w:trPr>
        <w:tc>
          <w:tcPr>
            <w:tcW w:w="5524" w:type="dxa"/>
            <w:hideMark/>
          </w:tcPr>
          <w:p w14:paraId="375079A2" w14:textId="77777777" w:rsidR="004A7085" w:rsidRPr="004A7085" w:rsidRDefault="004A7085" w:rsidP="004A7085">
            <w:pPr>
              <w:textAlignment w:val="baseline"/>
              <w:rPr>
                <w:rFonts w:ascii="Book Antiqua" w:eastAsia="Times New Roman" w:hAnsi="Book Antiqua" w:cs="Segoe UI"/>
                <w:b/>
                <w:bCs/>
                <w:sz w:val="20"/>
                <w:szCs w:val="20"/>
                <w:lang w:eastAsia="es-CR"/>
              </w:rPr>
            </w:pPr>
            <w:r w:rsidRPr="004A7085">
              <w:rPr>
                <w:rFonts w:ascii="Book Antiqua" w:eastAsia="Times New Roman" w:hAnsi="Book Antiqua" w:cs="Calibri"/>
                <w:b/>
                <w:bCs/>
                <w:color w:val="000000"/>
                <w:sz w:val="20"/>
                <w:szCs w:val="20"/>
                <w:lang w:eastAsia="es-CR"/>
              </w:rPr>
              <w:t>929 Ministerio Público </w:t>
            </w:r>
          </w:p>
        </w:tc>
        <w:tc>
          <w:tcPr>
            <w:tcW w:w="2268" w:type="dxa"/>
            <w:hideMark/>
          </w:tcPr>
          <w:p w14:paraId="2557170B" w14:textId="77777777" w:rsidR="004A7085" w:rsidRPr="004A7085" w:rsidRDefault="004A7085" w:rsidP="004A7085">
            <w:pPr>
              <w:jc w:val="center"/>
              <w:textAlignment w:val="baseline"/>
              <w:rPr>
                <w:rFonts w:ascii="Book Antiqua" w:eastAsia="Times New Roman" w:hAnsi="Book Antiqua" w:cs="Segoe UI"/>
                <w:sz w:val="20"/>
                <w:szCs w:val="20"/>
                <w:lang w:eastAsia="es-CR"/>
              </w:rPr>
            </w:pPr>
            <w:r w:rsidRPr="004A7085">
              <w:rPr>
                <w:rFonts w:ascii="Book Antiqua" w:eastAsia="Times New Roman" w:hAnsi="Book Antiqua" w:cs="Calibri"/>
                <w:color w:val="000000"/>
                <w:sz w:val="20"/>
                <w:szCs w:val="20"/>
                <w:lang w:eastAsia="es-CR"/>
              </w:rPr>
              <w:t>7 </w:t>
            </w:r>
          </w:p>
        </w:tc>
      </w:tr>
      <w:tr w:rsidR="004A7085" w:rsidRPr="004A7085" w14:paraId="44165FD8" w14:textId="77777777" w:rsidTr="00EF4E17">
        <w:trPr>
          <w:trHeight w:val="270"/>
          <w:jc w:val="center"/>
        </w:trPr>
        <w:tc>
          <w:tcPr>
            <w:tcW w:w="5524" w:type="dxa"/>
            <w:hideMark/>
          </w:tcPr>
          <w:p w14:paraId="573AB3E1" w14:textId="77777777" w:rsidR="004A7085" w:rsidRPr="004A7085" w:rsidRDefault="004A7085" w:rsidP="004A7085">
            <w:pPr>
              <w:textAlignment w:val="baseline"/>
              <w:rPr>
                <w:rFonts w:ascii="Book Antiqua" w:eastAsia="Times New Roman" w:hAnsi="Book Antiqua" w:cs="Segoe UI"/>
                <w:b/>
                <w:bCs/>
                <w:sz w:val="20"/>
                <w:szCs w:val="20"/>
                <w:lang w:eastAsia="es-CR"/>
              </w:rPr>
            </w:pPr>
            <w:r w:rsidRPr="004A7085">
              <w:rPr>
                <w:rFonts w:ascii="Book Antiqua" w:eastAsia="Times New Roman" w:hAnsi="Book Antiqua" w:cs="Calibri"/>
                <w:b/>
                <w:bCs/>
                <w:color w:val="000000"/>
                <w:sz w:val="20"/>
                <w:szCs w:val="20"/>
                <w:lang w:eastAsia="es-CR"/>
              </w:rPr>
              <w:t>930 Defensa Pública </w:t>
            </w:r>
          </w:p>
        </w:tc>
        <w:tc>
          <w:tcPr>
            <w:tcW w:w="2268" w:type="dxa"/>
            <w:hideMark/>
          </w:tcPr>
          <w:p w14:paraId="021393B6" w14:textId="77777777" w:rsidR="004A7085" w:rsidRPr="004A7085" w:rsidRDefault="004A7085" w:rsidP="004A7085">
            <w:pPr>
              <w:jc w:val="center"/>
              <w:textAlignment w:val="baseline"/>
              <w:rPr>
                <w:rFonts w:ascii="Book Antiqua" w:eastAsia="Times New Roman" w:hAnsi="Book Antiqua" w:cs="Segoe UI"/>
                <w:sz w:val="20"/>
                <w:szCs w:val="20"/>
                <w:lang w:eastAsia="es-CR"/>
              </w:rPr>
            </w:pPr>
            <w:r w:rsidRPr="004A7085">
              <w:rPr>
                <w:rFonts w:ascii="Book Antiqua" w:eastAsia="Times New Roman" w:hAnsi="Book Antiqua" w:cs="Calibri"/>
                <w:color w:val="000000"/>
                <w:sz w:val="20"/>
                <w:szCs w:val="20"/>
                <w:lang w:eastAsia="es-CR"/>
              </w:rPr>
              <w:t>5 </w:t>
            </w:r>
          </w:p>
        </w:tc>
      </w:tr>
      <w:tr w:rsidR="004A7085" w:rsidRPr="004A7085" w14:paraId="45D334D7" w14:textId="77777777" w:rsidTr="00EF4E17">
        <w:trPr>
          <w:trHeight w:val="270"/>
          <w:jc w:val="center"/>
        </w:trPr>
        <w:tc>
          <w:tcPr>
            <w:tcW w:w="5524" w:type="dxa"/>
            <w:hideMark/>
          </w:tcPr>
          <w:p w14:paraId="2967BA30" w14:textId="77777777" w:rsidR="004A7085" w:rsidRPr="004A7085" w:rsidRDefault="004A7085" w:rsidP="004A7085">
            <w:pPr>
              <w:textAlignment w:val="baseline"/>
              <w:rPr>
                <w:rFonts w:ascii="Book Antiqua" w:eastAsia="Times New Roman" w:hAnsi="Book Antiqua" w:cs="Segoe UI"/>
                <w:b/>
                <w:bCs/>
                <w:sz w:val="20"/>
                <w:szCs w:val="20"/>
                <w:lang w:eastAsia="es-CR"/>
              </w:rPr>
            </w:pPr>
            <w:r w:rsidRPr="004A7085">
              <w:rPr>
                <w:rFonts w:ascii="Book Antiqua" w:eastAsia="Times New Roman" w:hAnsi="Book Antiqua" w:cs="Calibri"/>
                <w:b/>
                <w:bCs/>
                <w:color w:val="000000"/>
                <w:sz w:val="20"/>
                <w:szCs w:val="20"/>
                <w:lang w:eastAsia="es-CR"/>
              </w:rPr>
              <w:t>927 Servicio Jurisdiccional </w:t>
            </w:r>
          </w:p>
        </w:tc>
        <w:tc>
          <w:tcPr>
            <w:tcW w:w="2268" w:type="dxa"/>
            <w:hideMark/>
          </w:tcPr>
          <w:p w14:paraId="0B5E9051" w14:textId="77777777" w:rsidR="004A7085" w:rsidRPr="004A7085" w:rsidRDefault="004A7085" w:rsidP="004A7085">
            <w:pPr>
              <w:jc w:val="center"/>
              <w:textAlignment w:val="baseline"/>
              <w:rPr>
                <w:rFonts w:ascii="Book Antiqua" w:eastAsia="Times New Roman" w:hAnsi="Book Antiqua" w:cs="Segoe UI"/>
                <w:sz w:val="20"/>
                <w:szCs w:val="20"/>
                <w:lang w:eastAsia="es-CR"/>
              </w:rPr>
            </w:pPr>
            <w:r w:rsidRPr="004A7085">
              <w:rPr>
                <w:rFonts w:ascii="Book Antiqua" w:eastAsia="Times New Roman" w:hAnsi="Book Antiqua" w:cs="Calibri"/>
                <w:color w:val="000000"/>
                <w:sz w:val="20"/>
                <w:szCs w:val="20"/>
                <w:lang w:eastAsia="es-CR"/>
              </w:rPr>
              <w:t>4 </w:t>
            </w:r>
          </w:p>
        </w:tc>
      </w:tr>
      <w:tr w:rsidR="004A7085" w:rsidRPr="004A7085" w14:paraId="7388BBD3" w14:textId="77777777" w:rsidTr="00EF4E17">
        <w:trPr>
          <w:trHeight w:val="270"/>
          <w:jc w:val="center"/>
        </w:trPr>
        <w:tc>
          <w:tcPr>
            <w:tcW w:w="5524" w:type="dxa"/>
            <w:hideMark/>
          </w:tcPr>
          <w:p w14:paraId="529EE589" w14:textId="77777777" w:rsidR="004A7085" w:rsidRPr="004A7085" w:rsidRDefault="004A7085" w:rsidP="004A7085">
            <w:pPr>
              <w:textAlignment w:val="baseline"/>
              <w:rPr>
                <w:rFonts w:ascii="Book Antiqua" w:eastAsia="Times New Roman" w:hAnsi="Book Antiqua" w:cs="Segoe UI"/>
                <w:b/>
                <w:bCs/>
                <w:sz w:val="20"/>
                <w:szCs w:val="20"/>
                <w:lang w:eastAsia="es-CR"/>
              </w:rPr>
            </w:pPr>
            <w:r w:rsidRPr="004A7085">
              <w:rPr>
                <w:rFonts w:ascii="Book Antiqua" w:eastAsia="Times New Roman" w:hAnsi="Book Antiqua" w:cs="Calibri"/>
                <w:b/>
                <w:bCs/>
                <w:color w:val="000000"/>
                <w:sz w:val="20"/>
                <w:szCs w:val="20"/>
                <w:lang w:eastAsia="es-CR"/>
              </w:rPr>
              <w:t>950 Servicio de Atención y Protección de Víctimas y Testigos </w:t>
            </w:r>
          </w:p>
        </w:tc>
        <w:tc>
          <w:tcPr>
            <w:tcW w:w="2268" w:type="dxa"/>
            <w:hideMark/>
          </w:tcPr>
          <w:p w14:paraId="34D892E9" w14:textId="77777777" w:rsidR="004A7085" w:rsidRPr="004A7085" w:rsidRDefault="004A7085" w:rsidP="004A7085">
            <w:pPr>
              <w:jc w:val="center"/>
              <w:textAlignment w:val="baseline"/>
              <w:rPr>
                <w:rFonts w:ascii="Book Antiqua" w:eastAsia="Times New Roman" w:hAnsi="Book Antiqua" w:cs="Segoe UI"/>
                <w:sz w:val="20"/>
                <w:szCs w:val="20"/>
                <w:lang w:eastAsia="es-CR"/>
              </w:rPr>
            </w:pPr>
            <w:r w:rsidRPr="004A7085">
              <w:rPr>
                <w:rFonts w:ascii="Book Antiqua" w:eastAsia="Times New Roman" w:hAnsi="Book Antiqua" w:cs="Calibri"/>
                <w:color w:val="000000"/>
                <w:sz w:val="20"/>
                <w:szCs w:val="20"/>
                <w:lang w:eastAsia="es-CR"/>
              </w:rPr>
              <w:t>2 </w:t>
            </w:r>
          </w:p>
        </w:tc>
      </w:tr>
      <w:tr w:rsidR="004A7085" w:rsidRPr="004A7085" w14:paraId="44270167" w14:textId="77777777" w:rsidTr="00EF4E17">
        <w:trPr>
          <w:trHeight w:val="270"/>
          <w:jc w:val="center"/>
        </w:trPr>
        <w:tc>
          <w:tcPr>
            <w:tcW w:w="5524" w:type="dxa"/>
            <w:shd w:val="clear" w:color="auto" w:fill="002060"/>
            <w:hideMark/>
          </w:tcPr>
          <w:p w14:paraId="5F9A7CEB" w14:textId="77777777" w:rsidR="004A7085" w:rsidRPr="004A7085" w:rsidRDefault="004A7085" w:rsidP="004A7085">
            <w:pPr>
              <w:jc w:val="center"/>
              <w:textAlignment w:val="baseline"/>
              <w:rPr>
                <w:rFonts w:ascii="Book Antiqua" w:eastAsia="Times New Roman" w:hAnsi="Book Antiqua" w:cs="Segoe UI"/>
                <w:b/>
                <w:bCs/>
                <w:sz w:val="20"/>
                <w:szCs w:val="20"/>
                <w:lang w:eastAsia="es-CR"/>
              </w:rPr>
            </w:pPr>
            <w:r w:rsidRPr="004A7085">
              <w:rPr>
                <w:rFonts w:ascii="Book Antiqua" w:eastAsia="Times New Roman" w:hAnsi="Book Antiqua" w:cs="Calibri"/>
                <w:color w:val="FFFFFF"/>
                <w:sz w:val="20"/>
                <w:szCs w:val="20"/>
                <w:lang w:eastAsia="es-CR"/>
              </w:rPr>
              <w:t>Total general</w:t>
            </w:r>
            <w:r w:rsidRPr="004A7085">
              <w:rPr>
                <w:rFonts w:ascii="Book Antiqua" w:eastAsia="Times New Roman" w:hAnsi="Book Antiqua" w:cs="Calibri"/>
                <w:b/>
                <w:bCs/>
                <w:color w:val="FFFFFF"/>
                <w:sz w:val="20"/>
                <w:szCs w:val="20"/>
                <w:lang w:eastAsia="es-CR"/>
              </w:rPr>
              <w:t> </w:t>
            </w:r>
          </w:p>
        </w:tc>
        <w:tc>
          <w:tcPr>
            <w:tcW w:w="2268" w:type="dxa"/>
            <w:shd w:val="clear" w:color="auto" w:fill="002060"/>
            <w:hideMark/>
          </w:tcPr>
          <w:p w14:paraId="44B73988" w14:textId="77777777" w:rsidR="004A7085" w:rsidRPr="004A7085" w:rsidRDefault="004A7085" w:rsidP="004A7085">
            <w:pPr>
              <w:jc w:val="center"/>
              <w:textAlignment w:val="baseline"/>
              <w:rPr>
                <w:rFonts w:ascii="Book Antiqua" w:eastAsia="Times New Roman" w:hAnsi="Book Antiqua" w:cs="Segoe UI"/>
                <w:sz w:val="20"/>
                <w:szCs w:val="20"/>
                <w:lang w:eastAsia="es-CR"/>
              </w:rPr>
            </w:pPr>
            <w:r w:rsidRPr="004A7085">
              <w:rPr>
                <w:rFonts w:ascii="Book Antiqua" w:eastAsia="Times New Roman" w:hAnsi="Book Antiqua" w:cs="Calibri"/>
                <w:b/>
                <w:bCs/>
                <w:color w:val="FFFFFF"/>
                <w:sz w:val="20"/>
                <w:szCs w:val="20"/>
                <w:lang w:eastAsia="es-CR"/>
              </w:rPr>
              <w:t>85</w:t>
            </w:r>
            <w:r w:rsidRPr="004A7085">
              <w:rPr>
                <w:rFonts w:ascii="Book Antiqua" w:eastAsia="Times New Roman" w:hAnsi="Book Antiqua" w:cs="Calibri"/>
                <w:color w:val="FFFFFF"/>
                <w:sz w:val="20"/>
                <w:szCs w:val="20"/>
                <w:lang w:eastAsia="es-CR"/>
              </w:rPr>
              <w:t> </w:t>
            </w:r>
          </w:p>
        </w:tc>
      </w:tr>
    </w:tbl>
    <w:p w14:paraId="130BED32" w14:textId="77777777" w:rsidR="00653B88" w:rsidRDefault="00653B88" w:rsidP="003411FA">
      <w:pPr>
        <w:pStyle w:val="paragraph"/>
        <w:spacing w:before="0" w:beforeAutospacing="0" w:after="0" w:afterAutospacing="0"/>
        <w:ind w:left="142" w:firstLine="142"/>
        <w:jc w:val="both"/>
        <w:textAlignment w:val="baseline"/>
        <w:rPr>
          <w:rFonts w:ascii="Book Antiqua" w:hAnsi="Book Antiqua"/>
        </w:rPr>
      </w:pPr>
      <w:r>
        <w:rPr>
          <w:rStyle w:val="eop"/>
          <w:rFonts w:ascii="Book Antiqua" w:eastAsiaTheme="majorEastAsia" w:hAnsi="Book Antiqua"/>
        </w:rPr>
        <w:t> </w:t>
      </w:r>
    </w:p>
    <w:p w14:paraId="4B9764B7" w14:textId="53D79B48" w:rsidR="00653B88" w:rsidRDefault="00653B88" w:rsidP="00EF4E17">
      <w:pPr>
        <w:pStyle w:val="paragraph"/>
        <w:numPr>
          <w:ilvl w:val="2"/>
          <w:numId w:val="19"/>
        </w:numPr>
        <w:spacing w:before="0" w:beforeAutospacing="0" w:after="0" w:afterAutospacing="0"/>
        <w:ind w:left="0" w:firstLine="0"/>
        <w:jc w:val="both"/>
        <w:textAlignment w:val="baseline"/>
        <w:rPr>
          <w:rFonts w:ascii="Book Antiqua" w:hAnsi="Book Antiqua"/>
        </w:rPr>
      </w:pPr>
      <w:r>
        <w:rPr>
          <w:rStyle w:val="normaltextrun"/>
          <w:rFonts w:ascii="Book Antiqua" w:hAnsi="Book Antiqua"/>
        </w:rPr>
        <w:t>Las diferencias entre el corte de diciembre 2022 a abril 2023 se deben a:</w:t>
      </w:r>
      <w:r>
        <w:rPr>
          <w:rStyle w:val="eop"/>
          <w:rFonts w:ascii="Book Antiqua" w:eastAsiaTheme="majorEastAsia" w:hAnsi="Book Antiqua"/>
        </w:rPr>
        <w:t> </w:t>
      </w:r>
    </w:p>
    <w:p w14:paraId="09FFA5C0" w14:textId="77777777" w:rsidR="00653B88" w:rsidRDefault="00653B88" w:rsidP="003411FA">
      <w:pPr>
        <w:pStyle w:val="paragraph"/>
        <w:numPr>
          <w:ilvl w:val="0"/>
          <w:numId w:val="23"/>
        </w:numPr>
        <w:spacing w:before="0" w:beforeAutospacing="0" w:after="0" w:afterAutospacing="0"/>
        <w:ind w:left="142" w:firstLine="142"/>
        <w:jc w:val="both"/>
        <w:textAlignment w:val="baseline"/>
        <w:rPr>
          <w:rFonts w:ascii="Book Antiqua" w:hAnsi="Book Antiqua"/>
        </w:rPr>
      </w:pPr>
      <w:r>
        <w:rPr>
          <w:rStyle w:val="normaltextrun"/>
          <w:rFonts w:ascii="Book Antiqua" w:hAnsi="Book Antiqua"/>
        </w:rPr>
        <w:t>Se incorporó una iniciativa en estado “Cancelado”. </w:t>
      </w:r>
      <w:r>
        <w:rPr>
          <w:rStyle w:val="eop"/>
          <w:rFonts w:ascii="Book Antiqua" w:eastAsiaTheme="majorEastAsia" w:hAnsi="Book Antiqua"/>
        </w:rPr>
        <w:t> </w:t>
      </w:r>
    </w:p>
    <w:p w14:paraId="2F8669B4" w14:textId="77777777" w:rsidR="00653B88" w:rsidRDefault="00653B88" w:rsidP="003411FA">
      <w:pPr>
        <w:pStyle w:val="paragraph"/>
        <w:numPr>
          <w:ilvl w:val="0"/>
          <w:numId w:val="23"/>
        </w:numPr>
        <w:spacing w:before="0" w:beforeAutospacing="0" w:after="0" w:afterAutospacing="0"/>
        <w:ind w:left="142" w:firstLine="142"/>
        <w:jc w:val="both"/>
        <w:textAlignment w:val="baseline"/>
        <w:rPr>
          <w:rFonts w:ascii="Book Antiqua" w:hAnsi="Book Antiqua"/>
        </w:rPr>
      </w:pPr>
      <w:r>
        <w:rPr>
          <w:rStyle w:val="normaltextrun"/>
          <w:rFonts w:ascii="Book Antiqua" w:hAnsi="Book Antiqua"/>
        </w:rPr>
        <w:t>Se incorporó un proyecto en estado “Aprobado no iniciado” a “Cancelado”</w:t>
      </w:r>
      <w:r>
        <w:rPr>
          <w:rStyle w:val="eop"/>
          <w:rFonts w:ascii="Book Antiqua" w:eastAsiaTheme="majorEastAsia" w:hAnsi="Book Antiqua"/>
        </w:rPr>
        <w:t> </w:t>
      </w:r>
    </w:p>
    <w:p w14:paraId="5291E5A6" w14:textId="77777777" w:rsidR="00653B88" w:rsidRDefault="00653B88" w:rsidP="003411FA">
      <w:pPr>
        <w:pStyle w:val="paragraph"/>
        <w:numPr>
          <w:ilvl w:val="0"/>
          <w:numId w:val="23"/>
        </w:numPr>
        <w:spacing w:before="0" w:beforeAutospacing="0" w:after="0" w:afterAutospacing="0"/>
        <w:ind w:left="142" w:firstLine="142"/>
        <w:jc w:val="both"/>
        <w:textAlignment w:val="baseline"/>
        <w:rPr>
          <w:rFonts w:ascii="Book Antiqua" w:hAnsi="Book Antiqua"/>
        </w:rPr>
      </w:pPr>
      <w:r>
        <w:rPr>
          <w:rStyle w:val="normaltextrun"/>
          <w:rFonts w:ascii="Book Antiqua" w:hAnsi="Book Antiqua"/>
        </w:rPr>
        <w:lastRenderedPageBreak/>
        <w:t>Existen 4 Proyectos que finalizaron la fase de ejecución y se encuentran “Pendientes Evaluación de Beneficios”.</w:t>
      </w:r>
      <w:r>
        <w:rPr>
          <w:rStyle w:val="eop"/>
          <w:rFonts w:ascii="Book Antiqua" w:eastAsiaTheme="majorEastAsia" w:hAnsi="Book Antiqua"/>
        </w:rPr>
        <w:t> </w:t>
      </w:r>
    </w:p>
    <w:p w14:paraId="4223E12E" w14:textId="77777777" w:rsidR="00653B88" w:rsidRDefault="00653B88" w:rsidP="003411FA">
      <w:pPr>
        <w:pStyle w:val="paragraph"/>
        <w:numPr>
          <w:ilvl w:val="0"/>
          <w:numId w:val="24"/>
        </w:numPr>
        <w:spacing w:before="0" w:beforeAutospacing="0" w:after="0" w:afterAutospacing="0"/>
        <w:ind w:left="142" w:firstLine="142"/>
        <w:jc w:val="both"/>
        <w:textAlignment w:val="baseline"/>
        <w:rPr>
          <w:rFonts w:ascii="Book Antiqua" w:hAnsi="Book Antiqua"/>
        </w:rPr>
      </w:pPr>
      <w:r>
        <w:rPr>
          <w:rStyle w:val="normaltextrun"/>
          <w:rFonts w:ascii="Book Antiqua" w:hAnsi="Book Antiqua"/>
        </w:rPr>
        <w:t>Siete proyectos fueron suspendidos y uno nuevamente se vuelve a suspender.</w:t>
      </w:r>
      <w:r>
        <w:rPr>
          <w:rStyle w:val="eop"/>
          <w:rFonts w:ascii="Book Antiqua" w:eastAsiaTheme="majorEastAsia" w:hAnsi="Book Antiqua"/>
        </w:rPr>
        <w:t> </w:t>
      </w:r>
    </w:p>
    <w:p w14:paraId="75826D50" w14:textId="77777777" w:rsidR="00653B88" w:rsidRDefault="00653B88" w:rsidP="003411FA">
      <w:pPr>
        <w:pStyle w:val="paragraph"/>
        <w:numPr>
          <w:ilvl w:val="0"/>
          <w:numId w:val="24"/>
        </w:numPr>
        <w:spacing w:before="0" w:beforeAutospacing="0" w:after="0" w:afterAutospacing="0"/>
        <w:ind w:left="142" w:firstLine="142"/>
        <w:jc w:val="both"/>
        <w:textAlignment w:val="baseline"/>
        <w:rPr>
          <w:rFonts w:ascii="Book Antiqua" w:hAnsi="Book Antiqua"/>
        </w:rPr>
      </w:pPr>
      <w:r>
        <w:rPr>
          <w:rStyle w:val="normaltextrun"/>
          <w:rFonts w:ascii="Book Antiqua" w:hAnsi="Book Antiqua"/>
        </w:rPr>
        <w:t>Existen 6 proyectos que ingresaron en fases de progreso.</w:t>
      </w:r>
      <w:r>
        <w:rPr>
          <w:rStyle w:val="eop"/>
          <w:rFonts w:ascii="Book Antiqua" w:eastAsiaTheme="majorEastAsia" w:hAnsi="Book Antiqua"/>
        </w:rPr>
        <w:t> </w:t>
      </w:r>
    </w:p>
    <w:p w14:paraId="27A87A78" w14:textId="77777777" w:rsidR="00653B88" w:rsidRDefault="00653B88" w:rsidP="003411FA">
      <w:pPr>
        <w:pStyle w:val="paragraph"/>
        <w:numPr>
          <w:ilvl w:val="0"/>
          <w:numId w:val="24"/>
        </w:numPr>
        <w:spacing w:before="0" w:beforeAutospacing="0" w:after="0" w:afterAutospacing="0"/>
        <w:ind w:left="142" w:firstLine="142"/>
        <w:jc w:val="both"/>
        <w:textAlignment w:val="baseline"/>
        <w:rPr>
          <w:rFonts w:ascii="Book Antiqua" w:hAnsi="Book Antiqua"/>
        </w:rPr>
      </w:pPr>
      <w:r>
        <w:rPr>
          <w:rStyle w:val="normaltextrun"/>
          <w:rFonts w:ascii="Book Antiqua" w:hAnsi="Book Antiqua"/>
        </w:rPr>
        <w:t>Tres iniciativas de proyectos ingresan para ser evaluadas en el portafolio.</w:t>
      </w:r>
      <w:r>
        <w:rPr>
          <w:rStyle w:val="eop"/>
          <w:rFonts w:ascii="Book Antiqua" w:eastAsiaTheme="majorEastAsia" w:hAnsi="Book Antiqua"/>
        </w:rPr>
        <w:t> </w:t>
      </w:r>
    </w:p>
    <w:p w14:paraId="056F105C" w14:textId="77777777" w:rsidR="00653B88" w:rsidRDefault="00653B88" w:rsidP="003411FA">
      <w:pPr>
        <w:pStyle w:val="paragraph"/>
        <w:spacing w:before="0" w:beforeAutospacing="0" w:after="0" w:afterAutospacing="0"/>
        <w:ind w:left="142" w:firstLine="142"/>
        <w:jc w:val="both"/>
        <w:textAlignment w:val="baseline"/>
        <w:rPr>
          <w:rFonts w:ascii="Book Antiqua" w:hAnsi="Book Antiqua"/>
        </w:rPr>
      </w:pPr>
      <w:r>
        <w:rPr>
          <w:rStyle w:val="eop"/>
          <w:rFonts w:ascii="Book Antiqua" w:eastAsiaTheme="majorEastAsia" w:hAnsi="Book Antiqua"/>
        </w:rPr>
        <w:t> </w:t>
      </w:r>
    </w:p>
    <w:p w14:paraId="10D346D5" w14:textId="43284AB3" w:rsidR="00653B88" w:rsidRPr="00281336" w:rsidRDefault="00653B88" w:rsidP="00EF4E17">
      <w:pPr>
        <w:pStyle w:val="paragraph"/>
        <w:numPr>
          <w:ilvl w:val="2"/>
          <w:numId w:val="19"/>
        </w:numPr>
        <w:spacing w:before="0" w:beforeAutospacing="0" w:after="0" w:afterAutospacing="0"/>
        <w:ind w:left="0" w:firstLine="0"/>
        <w:jc w:val="both"/>
        <w:textAlignment w:val="baseline"/>
        <w:rPr>
          <w:rStyle w:val="eop"/>
          <w:rFonts w:ascii="Book Antiqua" w:hAnsi="Book Antiqua"/>
        </w:rPr>
      </w:pPr>
      <w:r>
        <w:rPr>
          <w:rStyle w:val="normaltextrun"/>
          <w:rFonts w:ascii="Book Antiqua" w:hAnsi="Book Antiqua"/>
        </w:rPr>
        <w:t>De los 85 proyectos que presentaron avance se logró recopilar que 73 proyectos se encuentran avanzando según lo programado, 7 reportan porcentajes de avance mayores a los esperados y 5 presentan retraso según lo programado. De este último grupo, es importante destacar que los siguientes proyectos además de presentar retraso significativo, los mismos cuentan con permisos con goce otorgados. El detalle se muestra a continuación:</w:t>
      </w:r>
      <w:r>
        <w:rPr>
          <w:rStyle w:val="eop"/>
          <w:rFonts w:ascii="Book Antiqua" w:eastAsiaTheme="majorEastAsia" w:hAnsi="Book Antiqua"/>
        </w:rPr>
        <w:t> </w:t>
      </w:r>
    </w:p>
    <w:p w14:paraId="30F0AB22" w14:textId="77777777" w:rsidR="00281336" w:rsidRDefault="00281336" w:rsidP="00281336">
      <w:pPr>
        <w:pStyle w:val="paragraph"/>
        <w:spacing w:before="0" w:beforeAutospacing="0" w:after="0" w:afterAutospacing="0"/>
        <w:ind w:left="1440"/>
        <w:jc w:val="both"/>
        <w:textAlignment w:val="baseline"/>
        <w:rPr>
          <w:rStyle w:val="eop"/>
          <w:rFonts w:ascii="Book Antiqua" w:eastAsiaTheme="majorEastAsia" w:hAnsi="Book Antiqua"/>
        </w:rPr>
      </w:pPr>
    </w:p>
    <w:tbl>
      <w:tblPr>
        <w:tblW w:w="9782" w:type="dxa"/>
        <w:tblInd w:w="-5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4"/>
        <w:gridCol w:w="1286"/>
        <w:gridCol w:w="892"/>
        <w:gridCol w:w="892"/>
        <w:gridCol w:w="2817"/>
        <w:gridCol w:w="1101"/>
        <w:gridCol w:w="599"/>
        <w:gridCol w:w="1551"/>
      </w:tblGrid>
      <w:tr w:rsidR="00281336" w:rsidRPr="00281336" w14:paraId="5574EC7F" w14:textId="77777777" w:rsidTr="00EF4E17">
        <w:trPr>
          <w:trHeight w:val="765"/>
          <w:tblHeader/>
        </w:trPr>
        <w:tc>
          <w:tcPr>
            <w:tcW w:w="644"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51938B29" w14:textId="77777777" w:rsidR="00281336" w:rsidRPr="00281336" w:rsidRDefault="00281336" w:rsidP="00281336">
            <w:pPr>
              <w:spacing w:after="0" w:line="240" w:lineRule="auto"/>
              <w:jc w:val="center"/>
              <w:textAlignment w:val="baseline"/>
              <w:rPr>
                <w:rFonts w:ascii="Segoe UI" w:eastAsia="Times New Roman" w:hAnsi="Segoe UI" w:cs="Segoe UI"/>
                <w:sz w:val="18"/>
                <w:szCs w:val="18"/>
                <w:lang w:eastAsia="es-CR"/>
              </w:rPr>
            </w:pPr>
            <w:r w:rsidRPr="00281336">
              <w:rPr>
                <w:rFonts w:ascii="Book Antiqua" w:eastAsia="Times New Roman" w:hAnsi="Book Antiqua" w:cs="Segoe UI"/>
                <w:b/>
                <w:bCs/>
                <w:color w:val="FFFFFF"/>
                <w:sz w:val="14"/>
                <w:szCs w:val="14"/>
                <w:lang w:eastAsia="es-CR"/>
              </w:rPr>
              <w:t>Código</w:t>
            </w:r>
            <w:r w:rsidRPr="00281336">
              <w:rPr>
                <w:rFonts w:ascii="Book Antiqua" w:eastAsia="Times New Roman" w:hAnsi="Book Antiqua" w:cs="Segoe UI"/>
                <w:color w:val="FFFFFF"/>
                <w:sz w:val="14"/>
                <w:szCs w:val="14"/>
                <w:lang w:eastAsia="es-CR"/>
              </w:rPr>
              <w:t> </w:t>
            </w:r>
          </w:p>
        </w:tc>
        <w:tc>
          <w:tcPr>
            <w:tcW w:w="1286"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244E89F3" w14:textId="77777777" w:rsidR="00281336" w:rsidRPr="00281336" w:rsidRDefault="00281336" w:rsidP="00281336">
            <w:pPr>
              <w:spacing w:after="0" w:line="240" w:lineRule="auto"/>
              <w:jc w:val="center"/>
              <w:textAlignment w:val="baseline"/>
              <w:rPr>
                <w:rFonts w:ascii="Segoe UI" w:eastAsia="Times New Roman" w:hAnsi="Segoe UI" w:cs="Segoe UI"/>
                <w:sz w:val="18"/>
                <w:szCs w:val="18"/>
                <w:lang w:eastAsia="es-CR"/>
              </w:rPr>
            </w:pPr>
            <w:r w:rsidRPr="00281336">
              <w:rPr>
                <w:rFonts w:ascii="Book Antiqua" w:eastAsia="Times New Roman" w:hAnsi="Book Antiqua" w:cs="Segoe UI"/>
                <w:b/>
                <w:bCs/>
                <w:color w:val="FFFFFF"/>
                <w:sz w:val="14"/>
                <w:szCs w:val="14"/>
                <w:lang w:eastAsia="es-CR"/>
              </w:rPr>
              <w:t>Nombre del proyecto</w:t>
            </w:r>
            <w:r w:rsidRPr="00281336">
              <w:rPr>
                <w:rFonts w:ascii="Book Antiqua" w:eastAsia="Times New Roman" w:hAnsi="Book Antiqua" w:cs="Segoe UI"/>
                <w:color w:val="FFFFFF"/>
                <w:sz w:val="14"/>
                <w:szCs w:val="14"/>
                <w:lang w:eastAsia="es-CR"/>
              </w:rPr>
              <w:t> </w:t>
            </w:r>
          </w:p>
        </w:tc>
        <w:tc>
          <w:tcPr>
            <w:tcW w:w="892"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740EF1E3" w14:textId="77777777" w:rsidR="00281336" w:rsidRPr="00281336" w:rsidRDefault="00281336" w:rsidP="00281336">
            <w:pPr>
              <w:spacing w:after="0" w:line="240" w:lineRule="auto"/>
              <w:jc w:val="center"/>
              <w:textAlignment w:val="baseline"/>
              <w:rPr>
                <w:rFonts w:ascii="Segoe UI" w:eastAsia="Times New Roman" w:hAnsi="Segoe UI" w:cs="Segoe UI"/>
                <w:sz w:val="18"/>
                <w:szCs w:val="18"/>
                <w:lang w:eastAsia="es-CR"/>
              </w:rPr>
            </w:pPr>
            <w:r w:rsidRPr="00281336">
              <w:rPr>
                <w:rFonts w:ascii="Book Antiqua" w:eastAsia="Times New Roman" w:hAnsi="Book Antiqua" w:cs="Segoe UI"/>
                <w:b/>
                <w:bCs/>
                <w:color w:val="FFFFFF"/>
                <w:sz w:val="14"/>
                <w:szCs w:val="14"/>
                <w:lang w:eastAsia="es-CR"/>
              </w:rPr>
              <w:t>Porcentaje Actual al 28/04/23</w:t>
            </w:r>
            <w:r w:rsidRPr="00281336">
              <w:rPr>
                <w:rFonts w:ascii="Book Antiqua" w:eastAsia="Times New Roman" w:hAnsi="Book Antiqua" w:cs="Segoe UI"/>
                <w:color w:val="FFFFFF"/>
                <w:sz w:val="14"/>
                <w:szCs w:val="14"/>
                <w:lang w:eastAsia="es-CR"/>
              </w:rPr>
              <w:t> </w:t>
            </w:r>
          </w:p>
        </w:tc>
        <w:tc>
          <w:tcPr>
            <w:tcW w:w="892"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7C627DA8" w14:textId="77777777" w:rsidR="00281336" w:rsidRPr="00281336" w:rsidRDefault="00281336" w:rsidP="00281336">
            <w:pPr>
              <w:spacing w:after="0" w:line="240" w:lineRule="auto"/>
              <w:jc w:val="center"/>
              <w:textAlignment w:val="baseline"/>
              <w:rPr>
                <w:rFonts w:ascii="Segoe UI" w:eastAsia="Times New Roman" w:hAnsi="Segoe UI" w:cs="Segoe UI"/>
                <w:sz w:val="18"/>
                <w:szCs w:val="18"/>
                <w:lang w:eastAsia="es-CR"/>
              </w:rPr>
            </w:pPr>
            <w:r w:rsidRPr="00281336">
              <w:rPr>
                <w:rFonts w:ascii="Book Antiqua" w:eastAsia="Times New Roman" w:hAnsi="Book Antiqua" w:cs="Segoe UI"/>
                <w:b/>
                <w:bCs/>
                <w:color w:val="FFFFFF"/>
                <w:sz w:val="14"/>
                <w:szCs w:val="14"/>
                <w:lang w:eastAsia="es-CR"/>
              </w:rPr>
              <w:t>Porcentaje Esperado al 28/04/23</w:t>
            </w:r>
            <w:r w:rsidRPr="00281336">
              <w:rPr>
                <w:rFonts w:ascii="Book Antiqua" w:eastAsia="Times New Roman" w:hAnsi="Book Antiqua" w:cs="Segoe UI"/>
                <w:color w:val="FFFFFF"/>
                <w:sz w:val="14"/>
                <w:szCs w:val="14"/>
                <w:lang w:eastAsia="es-CR"/>
              </w:rPr>
              <w:t> </w:t>
            </w:r>
          </w:p>
        </w:tc>
        <w:tc>
          <w:tcPr>
            <w:tcW w:w="2817"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697BA152" w14:textId="77777777" w:rsidR="00281336" w:rsidRPr="00281336" w:rsidRDefault="00281336" w:rsidP="00281336">
            <w:pPr>
              <w:spacing w:after="0" w:line="240" w:lineRule="auto"/>
              <w:jc w:val="center"/>
              <w:textAlignment w:val="baseline"/>
              <w:rPr>
                <w:rFonts w:ascii="Segoe UI" w:eastAsia="Times New Roman" w:hAnsi="Segoe UI" w:cs="Segoe UI"/>
                <w:sz w:val="18"/>
                <w:szCs w:val="18"/>
                <w:lang w:eastAsia="es-CR"/>
              </w:rPr>
            </w:pPr>
            <w:r w:rsidRPr="00281336">
              <w:rPr>
                <w:rFonts w:ascii="Book Antiqua" w:eastAsia="Times New Roman" w:hAnsi="Book Antiqua" w:cs="Segoe UI"/>
                <w:b/>
                <w:bCs/>
                <w:color w:val="FFFFFF"/>
                <w:sz w:val="14"/>
                <w:szCs w:val="14"/>
                <w:lang w:eastAsia="es-CR"/>
              </w:rPr>
              <w:t>Justificación</w:t>
            </w:r>
            <w:r w:rsidRPr="00281336">
              <w:rPr>
                <w:rFonts w:ascii="Book Antiqua" w:eastAsia="Times New Roman" w:hAnsi="Book Antiqua" w:cs="Segoe UI"/>
                <w:color w:val="FFFFFF"/>
                <w:sz w:val="14"/>
                <w:szCs w:val="14"/>
                <w:lang w:eastAsia="es-CR"/>
              </w:rPr>
              <w:t> </w:t>
            </w:r>
          </w:p>
        </w:tc>
        <w:tc>
          <w:tcPr>
            <w:tcW w:w="1101"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46E8BA67" w14:textId="77777777" w:rsidR="00281336" w:rsidRPr="00281336" w:rsidRDefault="00281336" w:rsidP="00281336">
            <w:pPr>
              <w:spacing w:after="0" w:line="240" w:lineRule="auto"/>
              <w:jc w:val="center"/>
              <w:textAlignment w:val="baseline"/>
              <w:rPr>
                <w:rFonts w:ascii="Segoe UI" w:eastAsia="Times New Roman" w:hAnsi="Segoe UI" w:cs="Segoe UI"/>
                <w:sz w:val="18"/>
                <w:szCs w:val="18"/>
                <w:lang w:eastAsia="es-CR"/>
              </w:rPr>
            </w:pPr>
            <w:r w:rsidRPr="00281336">
              <w:rPr>
                <w:rFonts w:ascii="Book Antiqua" w:eastAsia="Times New Roman" w:hAnsi="Book Antiqua" w:cs="Segoe UI"/>
                <w:b/>
                <w:bCs/>
                <w:color w:val="FFFFFF"/>
                <w:sz w:val="14"/>
                <w:szCs w:val="14"/>
                <w:lang w:eastAsia="es-CR"/>
              </w:rPr>
              <w:t>Tipo de afectación</w:t>
            </w:r>
            <w:r w:rsidRPr="00281336">
              <w:rPr>
                <w:rFonts w:ascii="Book Antiqua" w:eastAsia="Times New Roman" w:hAnsi="Book Antiqua" w:cs="Segoe UI"/>
                <w:color w:val="FFFFFF"/>
                <w:sz w:val="14"/>
                <w:szCs w:val="14"/>
                <w:lang w:eastAsia="es-CR"/>
              </w:rPr>
              <w:t> </w:t>
            </w:r>
          </w:p>
        </w:tc>
        <w:tc>
          <w:tcPr>
            <w:tcW w:w="599"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6943E5AB" w14:textId="77777777" w:rsidR="00281336" w:rsidRPr="00281336" w:rsidRDefault="00281336" w:rsidP="00281336">
            <w:pPr>
              <w:spacing w:after="0" w:line="240" w:lineRule="auto"/>
              <w:jc w:val="center"/>
              <w:textAlignment w:val="baseline"/>
              <w:rPr>
                <w:rFonts w:ascii="Segoe UI" w:eastAsia="Times New Roman" w:hAnsi="Segoe UI" w:cs="Segoe UI"/>
                <w:sz w:val="18"/>
                <w:szCs w:val="18"/>
                <w:lang w:eastAsia="es-CR"/>
              </w:rPr>
            </w:pPr>
            <w:r w:rsidRPr="00281336">
              <w:rPr>
                <w:rFonts w:ascii="Book Antiqua" w:eastAsia="Times New Roman" w:hAnsi="Book Antiqua" w:cs="Segoe UI"/>
                <w:b/>
                <w:bCs/>
                <w:color w:val="FFFFFF"/>
                <w:sz w:val="14"/>
                <w:szCs w:val="14"/>
                <w:lang w:eastAsia="es-CR"/>
              </w:rPr>
              <w:t>¿Tiene PCGS?</w:t>
            </w:r>
            <w:r w:rsidRPr="00281336">
              <w:rPr>
                <w:rFonts w:ascii="Book Antiqua" w:eastAsia="Times New Roman" w:hAnsi="Book Antiqua" w:cs="Segoe UI"/>
                <w:color w:val="FFFFFF"/>
                <w:sz w:val="14"/>
                <w:szCs w:val="14"/>
                <w:lang w:eastAsia="es-CR"/>
              </w:rPr>
              <w:t> </w:t>
            </w:r>
          </w:p>
        </w:tc>
        <w:tc>
          <w:tcPr>
            <w:tcW w:w="1551"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6CCED2AB" w14:textId="77777777" w:rsidR="00281336" w:rsidRPr="00281336" w:rsidRDefault="00281336" w:rsidP="00281336">
            <w:pPr>
              <w:spacing w:after="0" w:line="240" w:lineRule="auto"/>
              <w:jc w:val="center"/>
              <w:textAlignment w:val="baseline"/>
              <w:rPr>
                <w:rFonts w:ascii="Segoe UI" w:eastAsia="Times New Roman" w:hAnsi="Segoe UI" w:cs="Segoe UI"/>
                <w:sz w:val="18"/>
                <w:szCs w:val="18"/>
                <w:lang w:eastAsia="es-CR"/>
              </w:rPr>
            </w:pPr>
            <w:r w:rsidRPr="00281336">
              <w:rPr>
                <w:rFonts w:ascii="Book Antiqua" w:eastAsia="Times New Roman" w:hAnsi="Book Antiqua" w:cs="Segoe UI"/>
                <w:b/>
                <w:bCs/>
                <w:color w:val="FFFFFF"/>
                <w:sz w:val="14"/>
                <w:szCs w:val="14"/>
                <w:lang w:eastAsia="es-CR"/>
              </w:rPr>
              <w:t>Solicitud de cambio</w:t>
            </w:r>
            <w:r w:rsidRPr="00281336">
              <w:rPr>
                <w:rFonts w:ascii="Book Antiqua" w:eastAsia="Times New Roman" w:hAnsi="Book Antiqua" w:cs="Segoe UI"/>
                <w:color w:val="FFFFFF"/>
                <w:sz w:val="14"/>
                <w:szCs w:val="14"/>
                <w:lang w:eastAsia="es-CR"/>
              </w:rPr>
              <w:t> </w:t>
            </w:r>
          </w:p>
        </w:tc>
      </w:tr>
      <w:tr w:rsidR="00281336" w:rsidRPr="00281336" w14:paraId="1AAC4398" w14:textId="77777777" w:rsidTr="00EF4E17">
        <w:trPr>
          <w:trHeight w:val="952"/>
        </w:trPr>
        <w:tc>
          <w:tcPr>
            <w:tcW w:w="6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A1A014" w14:textId="77777777" w:rsidR="00281336" w:rsidRPr="00281336" w:rsidRDefault="00281336" w:rsidP="00281336">
            <w:pPr>
              <w:spacing w:after="0" w:line="240" w:lineRule="auto"/>
              <w:jc w:val="center"/>
              <w:textAlignment w:val="baseline"/>
              <w:rPr>
                <w:rFonts w:ascii="Segoe UI" w:eastAsia="Times New Roman" w:hAnsi="Segoe UI" w:cs="Segoe UI"/>
                <w:sz w:val="18"/>
                <w:szCs w:val="18"/>
                <w:lang w:eastAsia="es-CR"/>
              </w:rPr>
            </w:pPr>
            <w:r w:rsidRPr="00281336">
              <w:rPr>
                <w:rFonts w:ascii="Book Antiqua" w:eastAsia="Times New Roman" w:hAnsi="Book Antiqua" w:cs="Segoe UI"/>
                <w:color w:val="000000"/>
                <w:sz w:val="14"/>
                <w:szCs w:val="14"/>
                <w:lang w:eastAsia="es-CR"/>
              </w:rPr>
              <w:t>0116-DPC-P01 </w:t>
            </w:r>
          </w:p>
        </w:tc>
        <w:tc>
          <w:tcPr>
            <w:tcW w:w="12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86CDDF" w14:textId="77777777" w:rsidR="00281336" w:rsidRPr="00281336" w:rsidRDefault="00281336" w:rsidP="00281336">
            <w:pPr>
              <w:spacing w:after="0" w:line="240" w:lineRule="auto"/>
              <w:jc w:val="center"/>
              <w:textAlignment w:val="baseline"/>
              <w:rPr>
                <w:rFonts w:ascii="Segoe UI" w:eastAsia="Times New Roman" w:hAnsi="Segoe UI" w:cs="Segoe UI"/>
                <w:sz w:val="18"/>
                <w:szCs w:val="18"/>
                <w:lang w:eastAsia="es-CR"/>
              </w:rPr>
            </w:pPr>
            <w:r w:rsidRPr="00281336">
              <w:rPr>
                <w:rFonts w:ascii="Book Antiqua" w:eastAsia="Times New Roman" w:hAnsi="Book Antiqua" w:cs="Segoe UI"/>
                <w:color w:val="000000"/>
                <w:sz w:val="14"/>
                <w:szCs w:val="14"/>
                <w:lang w:eastAsia="es-CR"/>
              </w:rPr>
              <w:t>Política de Comunicación Integral </w:t>
            </w:r>
          </w:p>
        </w:tc>
        <w:tc>
          <w:tcPr>
            <w:tcW w:w="89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E94BD1A" w14:textId="77777777" w:rsidR="00281336" w:rsidRPr="00281336" w:rsidRDefault="00281336" w:rsidP="00281336">
            <w:pPr>
              <w:spacing w:after="0" w:line="240" w:lineRule="auto"/>
              <w:jc w:val="center"/>
              <w:textAlignment w:val="baseline"/>
              <w:rPr>
                <w:rFonts w:ascii="Segoe UI" w:eastAsia="Times New Roman" w:hAnsi="Segoe UI" w:cs="Segoe UI"/>
                <w:sz w:val="18"/>
                <w:szCs w:val="18"/>
                <w:lang w:eastAsia="es-CR"/>
              </w:rPr>
            </w:pPr>
            <w:r w:rsidRPr="00281336">
              <w:rPr>
                <w:rFonts w:ascii="Book Antiqua" w:eastAsia="Times New Roman" w:hAnsi="Book Antiqua" w:cs="Segoe UI"/>
                <w:color w:val="000000"/>
                <w:sz w:val="14"/>
                <w:szCs w:val="14"/>
                <w:lang w:eastAsia="es-CR"/>
              </w:rPr>
              <w:t>68 % </w:t>
            </w:r>
          </w:p>
        </w:tc>
        <w:tc>
          <w:tcPr>
            <w:tcW w:w="89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B2772A9" w14:textId="77777777" w:rsidR="00281336" w:rsidRPr="00281336" w:rsidRDefault="00281336" w:rsidP="00281336">
            <w:pPr>
              <w:spacing w:after="0" w:line="240" w:lineRule="auto"/>
              <w:jc w:val="center"/>
              <w:textAlignment w:val="baseline"/>
              <w:rPr>
                <w:rFonts w:ascii="Segoe UI" w:eastAsia="Times New Roman" w:hAnsi="Segoe UI" w:cs="Segoe UI"/>
                <w:sz w:val="18"/>
                <w:szCs w:val="18"/>
                <w:lang w:eastAsia="es-CR"/>
              </w:rPr>
            </w:pPr>
            <w:r w:rsidRPr="00281336">
              <w:rPr>
                <w:rFonts w:ascii="Book Antiqua" w:eastAsia="Times New Roman" w:hAnsi="Book Antiqua" w:cs="Segoe UI"/>
                <w:color w:val="000000"/>
                <w:sz w:val="14"/>
                <w:szCs w:val="14"/>
                <w:lang w:eastAsia="es-CR"/>
              </w:rPr>
              <w:t>72 % </w:t>
            </w:r>
          </w:p>
        </w:tc>
        <w:tc>
          <w:tcPr>
            <w:tcW w:w="28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66A83E" w14:textId="77777777" w:rsidR="00281336" w:rsidRPr="00281336" w:rsidRDefault="00281336" w:rsidP="003411FA">
            <w:pPr>
              <w:spacing w:after="0" w:line="240" w:lineRule="auto"/>
              <w:jc w:val="both"/>
              <w:textAlignment w:val="baseline"/>
              <w:rPr>
                <w:rFonts w:ascii="Segoe UI" w:eastAsia="Times New Roman" w:hAnsi="Segoe UI" w:cs="Segoe UI"/>
                <w:sz w:val="18"/>
                <w:szCs w:val="18"/>
                <w:lang w:eastAsia="es-CR"/>
              </w:rPr>
            </w:pPr>
            <w:r w:rsidRPr="00281336">
              <w:rPr>
                <w:rFonts w:ascii="Book Antiqua" w:eastAsia="Times New Roman" w:hAnsi="Book Antiqua" w:cs="Segoe UI"/>
                <w:color w:val="000000"/>
                <w:sz w:val="14"/>
                <w:szCs w:val="14"/>
                <w:lang w:eastAsia="es-CR"/>
              </w:rPr>
              <w:t>Incorporación del asesor de la Presidencia; Reuniones con jerarquías institucionales; Sesiones de trabajo con Directores de los Órganos Auxiliares del Poder Judicial; Talleres de validación de la Política con actores estratégicos del proyecto </w:t>
            </w:r>
          </w:p>
        </w:tc>
        <w:tc>
          <w:tcPr>
            <w:tcW w:w="11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512D42" w14:textId="77777777" w:rsidR="00281336" w:rsidRPr="00281336" w:rsidRDefault="00281336" w:rsidP="003411FA">
            <w:pPr>
              <w:spacing w:after="0" w:line="240" w:lineRule="auto"/>
              <w:jc w:val="both"/>
              <w:textAlignment w:val="baseline"/>
              <w:rPr>
                <w:rFonts w:ascii="Segoe UI" w:eastAsia="Times New Roman" w:hAnsi="Segoe UI" w:cs="Segoe UI"/>
                <w:sz w:val="18"/>
                <w:szCs w:val="18"/>
                <w:lang w:eastAsia="es-CR"/>
              </w:rPr>
            </w:pPr>
            <w:r w:rsidRPr="00281336">
              <w:rPr>
                <w:rFonts w:ascii="Book Antiqua" w:eastAsia="Times New Roman" w:hAnsi="Book Antiqua" w:cs="Segoe UI"/>
                <w:color w:val="000000"/>
                <w:sz w:val="14"/>
                <w:szCs w:val="14"/>
                <w:lang w:eastAsia="es-CR"/>
              </w:rPr>
              <w:t>Dependencia de otro órgano </w:t>
            </w:r>
          </w:p>
        </w:tc>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9423BE7" w14:textId="77777777" w:rsidR="00281336" w:rsidRPr="00281336" w:rsidRDefault="00281336" w:rsidP="003411FA">
            <w:pPr>
              <w:spacing w:after="0" w:line="240" w:lineRule="auto"/>
              <w:jc w:val="both"/>
              <w:textAlignment w:val="baseline"/>
              <w:rPr>
                <w:rFonts w:ascii="Segoe UI" w:eastAsia="Times New Roman" w:hAnsi="Segoe UI" w:cs="Segoe UI"/>
                <w:sz w:val="18"/>
                <w:szCs w:val="18"/>
                <w:lang w:eastAsia="es-CR"/>
              </w:rPr>
            </w:pPr>
            <w:r w:rsidRPr="00281336">
              <w:rPr>
                <w:rFonts w:ascii="Book Antiqua" w:eastAsia="Times New Roman" w:hAnsi="Book Antiqua" w:cs="Segoe UI"/>
                <w:color w:val="000000"/>
                <w:sz w:val="14"/>
                <w:szCs w:val="14"/>
                <w:lang w:eastAsia="es-CR"/>
              </w:rPr>
              <w:t>Si </w:t>
            </w:r>
          </w:p>
        </w:tc>
        <w:tc>
          <w:tcPr>
            <w:tcW w:w="155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D0101BC" w14:textId="77777777" w:rsidR="00281336" w:rsidRPr="00281336" w:rsidRDefault="00281336" w:rsidP="003411FA">
            <w:pPr>
              <w:spacing w:after="0" w:line="240" w:lineRule="auto"/>
              <w:jc w:val="both"/>
              <w:textAlignment w:val="baseline"/>
              <w:rPr>
                <w:rFonts w:ascii="Segoe UI" w:eastAsia="Times New Roman" w:hAnsi="Segoe UI" w:cs="Segoe UI"/>
                <w:sz w:val="18"/>
                <w:szCs w:val="18"/>
                <w:lang w:eastAsia="es-CR"/>
              </w:rPr>
            </w:pPr>
            <w:r w:rsidRPr="00281336">
              <w:rPr>
                <w:rFonts w:ascii="Book Antiqua" w:eastAsia="Times New Roman" w:hAnsi="Book Antiqua" w:cs="Segoe UI"/>
                <w:color w:val="000000"/>
                <w:sz w:val="14"/>
                <w:szCs w:val="14"/>
                <w:lang w:eastAsia="es-CR"/>
              </w:rPr>
              <w:t>Se elabora solicitud de cambio y se modifica cronograma, ya no presenta retraso, pero no se modifica informe de avance por lo cual se debe indicar. </w:t>
            </w:r>
          </w:p>
        </w:tc>
      </w:tr>
      <w:tr w:rsidR="00281336" w:rsidRPr="00281336" w14:paraId="0BB2EF5C" w14:textId="77777777" w:rsidTr="00EF4E17">
        <w:trPr>
          <w:trHeight w:val="1834"/>
        </w:trPr>
        <w:tc>
          <w:tcPr>
            <w:tcW w:w="6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A9DDD5" w14:textId="77777777" w:rsidR="00281336" w:rsidRPr="00281336" w:rsidRDefault="00281336" w:rsidP="00281336">
            <w:pPr>
              <w:spacing w:after="0" w:line="240" w:lineRule="auto"/>
              <w:jc w:val="center"/>
              <w:textAlignment w:val="baseline"/>
              <w:rPr>
                <w:rFonts w:ascii="Segoe UI" w:eastAsia="Times New Roman" w:hAnsi="Segoe UI" w:cs="Segoe UI"/>
                <w:sz w:val="18"/>
                <w:szCs w:val="18"/>
                <w:lang w:eastAsia="es-CR"/>
              </w:rPr>
            </w:pPr>
            <w:r w:rsidRPr="00281336">
              <w:rPr>
                <w:rFonts w:ascii="Book Antiqua" w:eastAsia="Times New Roman" w:hAnsi="Book Antiqua" w:cs="Segoe UI"/>
                <w:color w:val="000000"/>
                <w:sz w:val="14"/>
                <w:szCs w:val="14"/>
                <w:lang w:eastAsia="es-CR"/>
              </w:rPr>
              <w:t>0117-DE-P29 </w:t>
            </w:r>
          </w:p>
        </w:tc>
        <w:tc>
          <w:tcPr>
            <w:tcW w:w="12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B01662" w14:textId="77777777" w:rsidR="00281336" w:rsidRPr="00281336" w:rsidRDefault="00281336" w:rsidP="00281336">
            <w:pPr>
              <w:spacing w:after="0" w:line="240" w:lineRule="auto"/>
              <w:jc w:val="center"/>
              <w:textAlignment w:val="baseline"/>
              <w:rPr>
                <w:rFonts w:ascii="Segoe UI" w:eastAsia="Times New Roman" w:hAnsi="Segoe UI" w:cs="Segoe UI"/>
                <w:sz w:val="18"/>
                <w:szCs w:val="18"/>
                <w:lang w:eastAsia="es-CR"/>
              </w:rPr>
            </w:pPr>
            <w:r w:rsidRPr="00281336">
              <w:rPr>
                <w:rFonts w:ascii="Book Antiqua" w:eastAsia="Times New Roman" w:hAnsi="Book Antiqua" w:cs="Segoe UI"/>
                <w:color w:val="000000"/>
                <w:sz w:val="14"/>
                <w:szCs w:val="14"/>
                <w:lang w:eastAsia="es-CR"/>
              </w:rPr>
              <w:t>Sistema de Inventario y Materiales de la Proveeduría </w:t>
            </w:r>
          </w:p>
        </w:tc>
        <w:tc>
          <w:tcPr>
            <w:tcW w:w="89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6579DEB" w14:textId="77777777" w:rsidR="00281336" w:rsidRPr="00281336" w:rsidRDefault="00281336" w:rsidP="00281336">
            <w:pPr>
              <w:spacing w:after="0" w:line="240" w:lineRule="auto"/>
              <w:jc w:val="center"/>
              <w:textAlignment w:val="baseline"/>
              <w:rPr>
                <w:rFonts w:ascii="Segoe UI" w:eastAsia="Times New Roman" w:hAnsi="Segoe UI" w:cs="Segoe UI"/>
                <w:sz w:val="18"/>
                <w:szCs w:val="18"/>
                <w:lang w:eastAsia="es-CR"/>
              </w:rPr>
            </w:pPr>
            <w:r w:rsidRPr="00281336">
              <w:rPr>
                <w:rFonts w:ascii="Book Antiqua" w:eastAsia="Times New Roman" w:hAnsi="Book Antiqua" w:cs="Segoe UI"/>
                <w:color w:val="000000"/>
                <w:sz w:val="14"/>
                <w:szCs w:val="14"/>
                <w:lang w:eastAsia="es-CR"/>
              </w:rPr>
              <w:t>38 % </w:t>
            </w:r>
          </w:p>
        </w:tc>
        <w:tc>
          <w:tcPr>
            <w:tcW w:w="89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A5224ED" w14:textId="77777777" w:rsidR="00281336" w:rsidRPr="00281336" w:rsidRDefault="00281336" w:rsidP="00281336">
            <w:pPr>
              <w:spacing w:after="0" w:line="240" w:lineRule="auto"/>
              <w:jc w:val="center"/>
              <w:textAlignment w:val="baseline"/>
              <w:rPr>
                <w:rFonts w:ascii="Segoe UI" w:eastAsia="Times New Roman" w:hAnsi="Segoe UI" w:cs="Segoe UI"/>
                <w:sz w:val="18"/>
                <w:szCs w:val="18"/>
                <w:lang w:eastAsia="es-CR"/>
              </w:rPr>
            </w:pPr>
            <w:r w:rsidRPr="00281336">
              <w:rPr>
                <w:rFonts w:ascii="Book Antiqua" w:eastAsia="Times New Roman" w:hAnsi="Book Antiqua" w:cs="Segoe UI"/>
                <w:color w:val="000000"/>
                <w:sz w:val="14"/>
                <w:szCs w:val="14"/>
                <w:lang w:eastAsia="es-CR"/>
              </w:rPr>
              <w:t>77 % </w:t>
            </w:r>
          </w:p>
        </w:tc>
        <w:tc>
          <w:tcPr>
            <w:tcW w:w="28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5F68F2" w14:textId="77777777" w:rsidR="00281336" w:rsidRPr="00281336" w:rsidRDefault="00281336" w:rsidP="003411FA">
            <w:pPr>
              <w:spacing w:after="0" w:line="240" w:lineRule="auto"/>
              <w:jc w:val="both"/>
              <w:textAlignment w:val="baseline"/>
              <w:rPr>
                <w:rFonts w:ascii="Segoe UI" w:eastAsia="Times New Roman" w:hAnsi="Segoe UI" w:cs="Segoe UI"/>
                <w:sz w:val="18"/>
                <w:szCs w:val="18"/>
                <w:lang w:eastAsia="es-CR"/>
              </w:rPr>
            </w:pPr>
            <w:r w:rsidRPr="00281336">
              <w:rPr>
                <w:rFonts w:ascii="Book Antiqua" w:eastAsia="Times New Roman" w:hAnsi="Book Antiqua" w:cs="Segoe UI"/>
                <w:color w:val="000000"/>
                <w:sz w:val="14"/>
                <w:szCs w:val="14"/>
                <w:lang w:eastAsia="es-CR"/>
              </w:rPr>
              <w:t>El atraso de 9% se debe a las pruebas de usuario pendiente del sprint #13 más su correspondiente pago, las pruebas de usuario de los sprint que se han desarrollo con recurso interno (sprint 14 al 20). La velocidad del desarrollo no es la esperada según lo que se ha indicado en otros informes, ya que no se cuenta con la cantidad de historias de usuario suficientes para su desarrollo. • Tiempo invertido por personal de DTIC 1.346,10 horas. </w:t>
            </w:r>
          </w:p>
        </w:tc>
        <w:tc>
          <w:tcPr>
            <w:tcW w:w="11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49E561" w14:textId="77777777" w:rsidR="00281336" w:rsidRPr="00281336" w:rsidRDefault="00281336" w:rsidP="003411FA">
            <w:pPr>
              <w:spacing w:after="0" w:line="240" w:lineRule="auto"/>
              <w:jc w:val="both"/>
              <w:textAlignment w:val="baseline"/>
              <w:rPr>
                <w:rFonts w:ascii="Segoe UI" w:eastAsia="Times New Roman" w:hAnsi="Segoe UI" w:cs="Segoe UI"/>
                <w:sz w:val="18"/>
                <w:szCs w:val="18"/>
                <w:lang w:eastAsia="es-CR"/>
              </w:rPr>
            </w:pPr>
            <w:r w:rsidRPr="00281336">
              <w:rPr>
                <w:rFonts w:ascii="Book Antiqua" w:eastAsia="Times New Roman" w:hAnsi="Book Antiqua" w:cs="Segoe UI"/>
                <w:color w:val="000000"/>
                <w:sz w:val="14"/>
                <w:szCs w:val="14"/>
                <w:lang w:eastAsia="es-CR"/>
              </w:rPr>
              <w:t>Reprogramación de actividades </w:t>
            </w:r>
          </w:p>
        </w:tc>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4F18F6E" w14:textId="77777777" w:rsidR="00281336" w:rsidRPr="00281336" w:rsidRDefault="00281336" w:rsidP="003411FA">
            <w:pPr>
              <w:spacing w:after="0" w:line="240" w:lineRule="auto"/>
              <w:jc w:val="both"/>
              <w:textAlignment w:val="baseline"/>
              <w:rPr>
                <w:rFonts w:ascii="Segoe UI" w:eastAsia="Times New Roman" w:hAnsi="Segoe UI" w:cs="Segoe UI"/>
                <w:sz w:val="18"/>
                <w:szCs w:val="18"/>
                <w:lang w:eastAsia="es-CR"/>
              </w:rPr>
            </w:pPr>
            <w:r w:rsidRPr="00281336">
              <w:rPr>
                <w:rFonts w:ascii="Book Antiqua" w:eastAsia="Times New Roman" w:hAnsi="Book Antiqua" w:cs="Segoe UI"/>
                <w:color w:val="000000"/>
                <w:sz w:val="14"/>
                <w:szCs w:val="14"/>
                <w:lang w:eastAsia="es-CR"/>
              </w:rPr>
              <w:t>Si </w:t>
            </w:r>
          </w:p>
        </w:tc>
        <w:tc>
          <w:tcPr>
            <w:tcW w:w="155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2185CF4" w14:textId="77777777" w:rsidR="00281336" w:rsidRPr="00281336" w:rsidRDefault="00281336" w:rsidP="003411FA">
            <w:pPr>
              <w:spacing w:after="0" w:line="240" w:lineRule="auto"/>
              <w:jc w:val="both"/>
              <w:textAlignment w:val="baseline"/>
              <w:rPr>
                <w:rFonts w:ascii="Segoe UI" w:eastAsia="Times New Roman" w:hAnsi="Segoe UI" w:cs="Segoe UI"/>
                <w:sz w:val="18"/>
                <w:szCs w:val="18"/>
                <w:lang w:eastAsia="es-CR"/>
              </w:rPr>
            </w:pPr>
            <w:r w:rsidRPr="00281336">
              <w:rPr>
                <w:rFonts w:ascii="Book Antiqua" w:eastAsia="Times New Roman" w:hAnsi="Book Antiqua" w:cs="Segoe UI"/>
                <w:color w:val="000000"/>
                <w:sz w:val="14"/>
                <w:szCs w:val="14"/>
                <w:lang w:eastAsia="es-CR"/>
              </w:rPr>
              <w:t>Se elabora solicitud de cambio; pero no se modifica cronograma, por lo cual se continua con retraso a espera de reunión para ver modificación de cronograma. </w:t>
            </w:r>
          </w:p>
        </w:tc>
      </w:tr>
      <w:tr w:rsidR="00281336" w:rsidRPr="00281336" w14:paraId="79A6AE75" w14:textId="77777777" w:rsidTr="00EF4E17">
        <w:trPr>
          <w:trHeight w:val="1455"/>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A95536B" w14:textId="77777777" w:rsidR="00281336" w:rsidRPr="00281336" w:rsidRDefault="00281336" w:rsidP="00281336">
            <w:pPr>
              <w:spacing w:after="0" w:line="240" w:lineRule="auto"/>
              <w:jc w:val="center"/>
              <w:textAlignment w:val="baseline"/>
              <w:rPr>
                <w:rFonts w:ascii="Segoe UI" w:eastAsia="Times New Roman" w:hAnsi="Segoe UI" w:cs="Segoe UI"/>
                <w:sz w:val="18"/>
                <w:szCs w:val="18"/>
                <w:lang w:eastAsia="es-CR"/>
              </w:rPr>
            </w:pPr>
            <w:r w:rsidRPr="00281336">
              <w:rPr>
                <w:rFonts w:ascii="Book Antiqua" w:eastAsia="Times New Roman" w:hAnsi="Book Antiqua" w:cs="Segoe UI"/>
                <w:color w:val="000000"/>
                <w:sz w:val="14"/>
                <w:szCs w:val="14"/>
                <w:lang w:eastAsia="es-CR"/>
              </w:rPr>
              <w:t>0117-DE-P31 </w:t>
            </w:r>
          </w:p>
        </w:tc>
        <w:tc>
          <w:tcPr>
            <w:tcW w:w="128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DAE1625" w14:textId="77777777" w:rsidR="00281336" w:rsidRPr="00281336" w:rsidRDefault="00281336" w:rsidP="00281336">
            <w:pPr>
              <w:spacing w:after="0" w:line="240" w:lineRule="auto"/>
              <w:jc w:val="center"/>
              <w:textAlignment w:val="baseline"/>
              <w:rPr>
                <w:rFonts w:ascii="Segoe UI" w:eastAsia="Times New Roman" w:hAnsi="Segoe UI" w:cs="Segoe UI"/>
                <w:sz w:val="18"/>
                <w:szCs w:val="18"/>
                <w:lang w:eastAsia="es-CR"/>
              </w:rPr>
            </w:pPr>
            <w:r w:rsidRPr="00281336">
              <w:rPr>
                <w:rFonts w:ascii="Book Antiqua" w:eastAsia="Times New Roman" w:hAnsi="Book Antiqua" w:cs="Segoe UI"/>
                <w:color w:val="000000"/>
                <w:sz w:val="14"/>
                <w:szCs w:val="14"/>
                <w:lang w:eastAsia="es-CR"/>
              </w:rPr>
              <w:t>Implementación de acciones de mejora, modificación y adaptación institucional a la nueva Ley N°9986,“Ley General de Contratación Pública” </w:t>
            </w:r>
          </w:p>
        </w:tc>
        <w:tc>
          <w:tcPr>
            <w:tcW w:w="89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A948753" w14:textId="77777777" w:rsidR="00281336" w:rsidRPr="00281336" w:rsidRDefault="00281336" w:rsidP="00281336">
            <w:pPr>
              <w:spacing w:after="0" w:line="240" w:lineRule="auto"/>
              <w:jc w:val="center"/>
              <w:textAlignment w:val="baseline"/>
              <w:rPr>
                <w:rFonts w:ascii="Segoe UI" w:eastAsia="Times New Roman" w:hAnsi="Segoe UI" w:cs="Segoe UI"/>
                <w:sz w:val="18"/>
                <w:szCs w:val="18"/>
                <w:lang w:eastAsia="es-CR"/>
              </w:rPr>
            </w:pPr>
            <w:r w:rsidRPr="00281336">
              <w:rPr>
                <w:rFonts w:ascii="Book Antiqua" w:eastAsia="Times New Roman" w:hAnsi="Book Antiqua" w:cs="Segoe UI"/>
                <w:color w:val="000000"/>
                <w:sz w:val="14"/>
                <w:szCs w:val="14"/>
                <w:lang w:eastAsia="es-CR"/>
              </w:rPr>
              <w:t>59 % </w:t>
            </w:r>
          </w:p>
        </w:tc>
        <w:tc>
          <w:tcPr>
            <w:tcW w:w="89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F18349F" w14:textId="77777777" w:rsidR="00281336" w:rsidRPr="00281336" w:rsidRDefault="00281336" w:rsidP="00281336">
            <w:pPr>
              <w:spacing w:after="0" w:line="240" w:lineRule="auto"/>
              <w:jc w:val="center"/>
              <w:textAlignment w:val="baseline"/>
              <w:rPr>
                <w:rFonts w:ascii="Segoe UI" w:eastAsia="Times New Roman" w:hAnsi="Segoe UI" w:cs="Segoe UI"/>
                <w:sz w:val="18"/>
                <w:szCs w:val="18"/>
                <w:lang w:eastAsia="es-CR"/>
              </w:rPr>
            </w:pPr>
            <w:r w:rsidRPr="00281336">
              <w:rPr>
                <w:rFonts w:ascii="Book Antiqua" w:eastAsia="Times New Roman" w:hAnsi="Book Antiqua" w:cs="Segoe UI"/>
                <w:color w:val="000000"/>
                <w:sz w:val="14"/>
                <w:szCs w:val="14"/>
                <w:lang w:eastAsia="es-CR"/>
              </w:rPr>
              <w:t>67 % </w:t>
            </w:r>
          </w:p>
        </w:tc>
        <w:tc>
          <w:tcPr>
            <w:tcW w:w="28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A79DD0" w14:textId="77777777" w:rsidR="00281336" w:rsidRPr="00281336" w:rsidRDefault="00281336" w:rsidP="003411FA">
            <w:pPr>
              <w:spacing w:after="0" w:line="240" w:lineRule="auto"/>
              <w:jc w:val="both"/>
              <w:textAlignment w:val="baseline"/>
              <w:rPr>
                <w:rFonts w:ascii="Segoe UI" w:eastAsia="Times New Roman" w:hAnsi="Segoe UI" w:cs="Segoe UI"/>
                <w:sz w:val="18"/>
                <w:szCs w:val="18"/>
                <w:lang w:eastAsia="es-CR"/>
              </w:rPr>
            </w:pPr>
            <w:r w:rsidRPr="00281336">
              <w:rPr>
                <w:rFonts w:ascii="Book Antiqua" w:eastAsia="Times New Roman" w:hAnsi="Book Antiqua" w:cs="Segoe UI"/>
                <w:color w:val="000000"/>
                <w:sz w:val="14"/>
                <w:szCs w:val="14"/>
                <w:lang w:eastAsia="es-CR"/>
              </w:rPr>
              <w:t xml:space="preserve">Los cambios que ha sufrido el plan de trabajo se deben al atraso en la emisión del Reglamento a la Ley por parte del Ministerio de Hacienda, y del estudio de cargas y puestos de trabajo del Departamento de Proveeduría y Dirección Jurídica, ante los cambios que trae la nueva Ley General de Contratación Pública, que está desarrollando la Dirección de Planificación. (Riesgo identificado en el SEVRI del Proyecto).En referencia a la publicación de las cápsulas informativas, se sufrió un atraso con el Departamento de Prensa y Artes Gráficas con los últimos 4 artes ya que por parte de Prensa se solicitaron ajustes en diferentes momentos, sin embargo, las cápsulas ya están siendo publicadas. Adicionalmente, era necesario contar con la publicación de las guías con los nuevos procedimientos, para poder iniciar con la confección de las cápsulas y transmitir la información debidamente analizada y </w:t>
            </w:r>
            <w:r w:rsidRPr="00281336">
              <w:rPr>
                <w:rFonts w:ascii="Book Antiqua" w:eastAsia="Times New Roman" w:hAnsi="Book Antiqua" w:cs="Segoe UI"/>
                <w:color w:val="000000"/>
                <w:sz w:val="14"/>
                <w:szCs w:val="14"/>
                <w:lang w:eastAsia="es-CR"/>
              </w:rPr>
              <w:lastRenderedPageBreak/>
              <w:t>operativizada, por lo que en los próximos días se estarán abordando otros temas para conocimiento de la población judicial. En el caso de los procedimientos del entregable 3.18, estos presentaron atraso en las revisiones y ajustes en las guías, debido a que, por cambios internos del personal del Subproceso de Verificación y Ejecución Contractual y vacaciones de la jefatura, estos no han podido ser atendidos. Sin embargo, se espera retomarlos la próxima semana, con la reincorporación de la jefatura de dicho Subproceso. </w:t>
            </w:r>
          </w:p>
        </w:tc>
        <w:tc>
          <w:tcPr>
            <w:tcW w:w="11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5E1D8A" w14:textId="77777777" w:rsidR="00281336" w:rsidRPr="00281336" w:rsidRDefault="00281336" w:rsidP="003411FA">
            <w:pPr>
              <w:spacing w:after="0" w:line="240" w:lineRule="auto"/>
              <w:jc w:val="both"/>
              <w:textAlignment w:val="baseline"/>
              <w:rPr>
                <w:rFonts w:ascii="Segoe UI" w:eastAsia="Times New Roman" w:hAnsi="Segoe UI" w:cs="Segoe UI"/>
                <w:sz w:val="18"/>
                <w:szCs w:val="18"/>
                <w:lang w:eastAsia="es-CR"/>
              </w:rPr>
            </w:pPr>
            <w:r w:rsidRPr="00281336">
              <w:rPr>
                <w:rFonts w:ascii="Book Antiqua" w:eastAsia="Times New Roman" w:hAnsi="Book Antiqua" w:cs="Segoe UI"/>
                <w:color w:val="000000"/>
                <w:sz w:val="14"/>
                <w:szCs w:val="14"/>
                <w:lang w:eastAsia="es-CR"/>
              </w:rPr>
              <w:lastRenderedPageBreak/>
              <w:t>Dependencia de otro órgano </w:t>
            </w:r>
          </w:p>
        </w:tc>
        <w:tc>
          <w:tcPr>
            <w:tcW w:w="59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89FFD0A" w14:textId="77777777" w:rsidR="00281336" w:rsidRPr="00281336" w:rsidRDefault="00281336" w:rsidP="003411FA">
            <w:pPr>
              <w:spacing w:after="0" w:line="240" w:lineRule="auto"/>
              <w:jc w:val="both"/>
              <w:textAlignment w:val="baseline"/>
              <w:rPr>
                <w:rFonts w:ascii="Segoe UI" w:eastAsia="Times New Roman" w:hAnsi="Segoe UI" w:cs="Segoe UI"/>
                <w:sz w:val="18"/>
                <w:szCs w:val="18"/>
                <w:lang w:eastAsia="es-CR"/>
              </w:rPr>
            </w:pPr>
            <w:r w:rsidRPr="00281336">
              <w:rPr>
                <w:rFonts w:ascii="Book Antiqua" w:eastAsia="Times New Roman" w:hAnsi="Book Antiqua" w:cs="Segoe UI"/>
                <w:color w:val="000000"/>
                <w:sz w:val="14"/>
                <w:szCs w:val="14"/>
                <w:lang w:eastAsia="es-CR"/>
              </w:rPr>
              <w:t>Si </w:t>
            </w:r>
          </w:p>
        </w:tc>
        <w:tc>
          <w:tcPr>
            <w:tcW w:w="155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CBB5488" w14:textId="77777777" w:rsidR="00281336" w:rsidRPr="00281336" w:rsidRDefault="00281336" w:rsidP="003411FA">
            <w:pPr>
              <w:spacing w:after="0" w:line="240" w:lineRule="auto"/>
              <w:jc w:val="both"/>
              <w:textAlignment w:val="baseline"/>
              <w:rPr>
                <w:rFonts w:ascii="Segoe UI" w:eastAsia="Times New Roman" w:hAnsi="Segoe UI" w:cs="Segoe UI"/>
                <w:sz w:val="18"/>
                <w:szCs w:val="18"/>
                <w:lang w:eastAsia="es-CR"/>
              </w:rPr>
            </w:pPr>
            <w:r w:rsidRPr="00281336">
              <w:rPr>
                <w:rFonts w:ascii="Book Antiqua" w:eastAsia="Times New Roman" w:hAnsi="Book Antiqua" w:cs="Segoe UI"/>
                <w:color w:val="000000"/>
                <w:sz w:val="14"/>
                <w:szCs w:val="14"/>
                <w:lang w:eastAsia="es-CR"/>
              </w:rPr>
              <w:t>Se elabora solicitud de cambio y se modifica cronograma, ya no presenta retraso, pero no se modifica informe de avance por lo cual se debe indicar. </w:t>
            </w:r>
          </w:p>
        </w:tc>
      </w:tr>
    </w:tbl>
    <w:p w14:paraId="4B0AD2DA" w14:textId="52C19F3C" w:rsidR="00281336" w:rsidRDefault="00281336" w:rsidP="00281336">
      <w:pPr>
        <w:pStyle w:val="paragraph"/>
        <w:spacing w:before="0" w:beforeAutospacing="0" w:after="0" w:afterAutospacing="0"/>
        <w:ind w:left="1440"/>
        <w:jc w:val="both"/>
        <w:textAlignment w:val="baseline"/>
        <w:rPr>
          <w:rFonts w:ascii="Book Antiqua" w:hAnsi="Book Antiqua"/>
        </w:rPr>
      </w:pPr>
    </w:p>
    <w:p w14:paraId="4B0C6D98" w14:textId="74318944" w:rsidR="008833C6" w:rsidRPr="008833C6" w:rsidRDefault="00CA439E" w:rsidP="00EF4E17">
      <w:pPr>
        <w:pStyle w:val="paragraph"/>
        <w:numPr>
          <w:ilvl w:val="2"/>
          <w:numId w:val="19"/>
        </w:numPr>
        <w:spacing w:before="0" w:beforeAutospacing="0" w:after="0" w:afterAutospacing="0"/>
        <w:ind w:left="142" w:firstLine="142"/>
        <w:jc w:val="both"/>
        <w:textAlignment w:val="baseline"/>
        <w:rPr>
          <w:rFonts w:ascii="Calibri" w:hAnsi="Calibri" w:cs="Calibri"/>
          <w:color w:val="000000"/>
        </w:rPr>
      </w:pPr>
      <w:r>
        <w:rPr>
          <w:rStyle w:val="normaltextrun"/>
          <w:rFonts w:ascii="Book Antiqua" w:eastAsiaTheme="majorEastAsia" w:hAnsi="Book Antiqua" w:cs="Segoe UI"/>
          <w:lang w:eastAsia="en-US"/>
        </w:rPr>
        <w:t>Se presentan</w:t>
      </w:r>
      <w:r w:rsidR="008833C6" w:rsidRPr="008833C6">
        <w:rPr>
          <w:rStyle w:val="normaltextrun"/>
          <w:rFonts w:ascii="Book Antiqua" w:eastAsiaTheme="majorEastAsia" w:hAnsi="Book Antiqua" w:cs="Segoe UI"/>
          <w:lang w:eastAsia="en-US"/>
        </w:rPr>
        <w:t xml:space="preserve"> 3 proyectos</w:t>
      </w:r>
      <w:r w:rsidR="008833C6" w:rsidRPr="008833C6">
        <w:rPr>
          <w:rStyle w:val="normaltextrun"/>
          <w:rFonts w:ascii="Book Antiqua" w:eastAsiaTheme="majorEastAsia" w:hAnsi="Book Antiqua" w:cs="Segoe UI"/>
        </w:rPr>
        <w:t xml:space="preserve"> que lidera el Despacho de la Presidencia</w:t>
      </w:r>
      <w:r w:rsidR="008833C6" w:rsidRPr="008833C6">
        <w:rPr>
          <w:rStyle w:val="normaltextrun"/>
          <w:rFonts w:ascii="Book Antiqua" w:eastAsiaTheme="majorEastAsia" w:hAnsi="Book Antiqua" w:cs="Segoe UI"/>
          <w:lang w:eastAsia="en-US"/>
        </w:rPr>
        <w:t xml:space="preserve">: </w:t>
      </w:r>
      <w:r w:rsidR="008833C6" w:rsidRPr="00EF4E17">
        <w:rPr>
          <w:rStyle w:val="normaltextrun"/>
          <w:rFonts w:ascii="Book Antiqua" w:eastAsiaTheme="majorEastAsia" w:hAnsi="Book Antiqua" w:cs="Segoe UI"/>
          <w:b/>
          <w:bCs/>
          <w:i/>
          <w:iCs/>
        </w:rPr>
        <w:t>“Mejorar desafíos en el ámbito jurisdiccional establecidos en el cuarto Informe del Estado de la Justicia”, “Mejorar desafíos establecidos en el Informe del Estado de la Justicia en el ámbito de la gobernanza política” y “Mejorar desafíos establecidos en el Informe del Estado de la Justicia en el ámbito de la gestión administrativa</w:t>
      </w:r>
      <w:r w:rsidR="008833C6" w:rsidRPr="008833C6">
        <w:rPr>
          <w:rStyle w:val="normaltextrun"/>
          <w:rFonts w:ascii="Book Antiqua" w:eastAsiaTheme="majorEastAsia" w:hAnsi="Book Antiqua" w:cs="Segoe UI"/>
          <w:b/>
          <w:bCs/>
        </w:rPr>
        <w:t>”</w:t>
      </w:r>
      <w:r w:rsidR="008833C6" w:rsidRPr="008833C6">
        <w:rPr>
          <w:rStyle w:val="normaltextrun"/>
          <w:rFonts w:ascii="Book Antiqua" w:eastAsiaTheme="majorEastAsia" w:hAnsi="Book Antiqua" w:cs="Segoe UI"/>
        </w:rPr>
        <w:t> </w:t>
      </w:r>
      <w:r>
        <w:rPr>
          <w:rStyle w:val="normaltextrun"/>
          <w:rFonts w:ascii="Book Antiqua" w:eastAsiaTheme="majorEastAsia" w:hAnsi="Book Antiqua" w:cs="Segoe UI"/>
        </w:rPr>
        <w:t xml:space="preserve">los cuales </w:t>
      </w:r>
      <w:r w:rsidR="008833C6" w:rsidRPr="008833C6">
        <w:rPr>
          <w:rStyle w:val="normaltextrun"/>
          <w:rFonts w:ascii="Book Antiqua" w:eastAsiaTheme="majorEastAsia" w:hAnsi="Book Antiqua" w:cs="Segoe UI"/>
        </w:rPr>
        <w:t xml:space="preserve">presentan incorrectos ambos porcentajes del informe de avance, </w:t>
      </w:r>
      <w:r>
        <w:rPr>
          <w:rStyle w:val="normaltextrun"/>
          <w:rFonts w:ascii="Book Antiqua" w:eastAsiaTheme="majorEastAsia" w:hAnsi="Book Antiqua" w:cs="Segoe UI"/>
        </w:rPr>
        <w:t xml:space="preserve">lo cual </w:t>
      </w:r>
      <w:r w:rsidR="008833C6" w:rsidRPr="008833C6">
        <w:rPr>
          <w:rStyle w:val="normaltextrun"/>
          <w:rFonts w:ascii="Book Antiqua" w:eastAsiaTheme="majorEastAsia" w:hAnsi="Book Antiqua" w:cs="Segoe UI"/>
        </w:rPr>
        <w:t>se debe principalmente a que al revisar el cronograma en el sitio de proyecto, no se cuenta con este actualizado en el repositorio,</w:t>
      </w:r>
      <w:r w:rsidR="008833C6" w:rsidRPr="008833C6">
        <w:rPr>
          <w:rStyle w:val="normaltextrun"/>
          <w:rFonts w:ascii="Book Antiqua" w:eastAsiaTheme="majorEastAsia" w:hAnsi="Book Antiqua" w:cs="Segoe UI"/>
          <w:lang w:eastAsia="en-US"/>
        </w:rPr>
        <w:t xml:space="preserve"> por lo tanto, no se conoce el avance real de las tareas y actividades. </w:t>
      </w:r>
      <w:r w:rsidR="008833C6" w:rsidRPr="00EF4E17">
        <w:rPr>
          <w:rStyle w:val="normaltextrun"/>
          <w:rFonts w:ascii="Book Antiqua" w:eastAsiaTheme="majorEastAsia" w:hAnsi="Book Antiqua" w:cs="Segoe UI"/>
          <w:u w:val="single"/>
          <w:lang w:eastAsia="en-US"/>
        </w:rPr>
        <w:t>Estos proyectos tienen</w:t>
      </w:r>
      <w:r w:rsidR="008833C6" w:rsidRPr="00EF4E17">
        <w:rPr>
          <w:rStyle w:val="normaltextrun"/>
          <w:rFonts w:ascii="Book Antiqua" w:eastAsiaTheme="majorEastAsia" w:hAnsi="Book Antiqua" w:cs="Segoe UI"/>
          <w:u w:val="single"/>
        </w:rPr>
        <w:t xml:space="preserve"> un</w:t>
      </w:r>
      <w:r w:rsidR="008833C6" w:rsidRPr="00EF4E17">
        <w:rPr>
          <w:rStyle w:val="normaltextrun"/>
          <w:rFonts w:ascii="Book Antiqua" w:eastAsiaTheme="majorEastAsia" w:hAnsi="Book Antiqua" w:cs="Segoe UI"/>
          <w:u w:val="single"/>
          <w:lang w:eastAsia="en-US"/>
        </w:rPr>
        <w:t xml:space="preserve"> permiso con goce de salario asociado</w:t>
      </w:r>
      <w:r w:rsidR="008833C6" w:rsidRPr="00EF4E17">
        <w:rPr>
          <w:rStyle w:val="normaltextrun"/>
          <w:rFonts w:ascii="Book Antiqua" w:eastAsiaTheme="majorEastAsia" w:hAnsi="Book Antiqua" w:cs="Segoe UI"/>
          <w:u w:val="single"/>
        </w:rPr>
        <w:t>,</w:t>
      </w:r>
      <w:r w:rsidR="008833C6" w:rsidRPr="00EF4E17">
        <w:rPr>
          <w:rStyle w:val="normaltextrun"/>
          <w:rFonts w:ascii="Book Antiqua" w:eastAsiaTheme="majorEastAsia" w:hAnsi="Book Antiqua" w:cs="Segoe UI"/>
          <w:u w:val="single"/>
          <w:lang w:eastAsia="en-US"/>
        </w:rPr>
        <w:t xml:space="preserve"> por lo que este permiso quedar</w:t>
      </w:r>
      <w:r w:rsidR="002F32B6" w:rsidRPr="00EF4E17">
        <w:rPr>
          <w:rStyle w:val="normaltextrun"/>
          <w:rFonts w:ascii="Book Antiqua" w:eastAsiaTheme="majorEastAsia" w:hAnsi="Book Antiqua" w:cs="Segoe UI"/>
          <w:u w:val="single"/>
          <w:lang w:eastAsia="en-US"/>
        </w:rPr>
        <w:t>á</w:t>
      </w:r>
      <w:r w:rsidR="008833C6" w:rsidRPr="00EF4E17">
        <w:rPr>
          <w:rStyle w:val="normaltextrun"/>
          <w:rFonts w:ascii="Book Antiqua" w:eastAsiaTheme="majorEastAsia" w:hAnsi="Book Antiqua" w:cs="Segoe UI"/>
          <w:u w:val="single"/>
          <w:lang w:eastAsia="en-US"/>
        </w:rPr>
        <w:t xml:space="preserve"> condicionado en su continuidad </w:t>
      </w:r>
      <w:r w:rsidR="008833C6" w:rsidRPr="00EF4E17">
        <w:rPr>
          <w:rStyle w:val="normaltextrun"/>
          <w:rFonts w:ascii="Book Antiqua" w:eastAsiaTheme="majorEastAsia" w:hAnsi="Book Antiqua" w:cs="Segoe UI"/>
          <w:u w:val="single"/>
        </w:rPr>
        <w:t>hasta que se actualice el proyecto debidamente en lo relacionado al cronograma y documentación.</w:t>
      </w:r>
    </w:p>
    <w:p w14:paraId="44C6CEB4" w14:textId="77777777" w:rsidR="008833C6" w:rsidRPr="00EF4E17" w:rsidRDefault="008833C6" w:rsidP="00EF4E17">
      <w:pPr>
        <w:pStyle w:val="paragraph"/>
        <w:spacing w:before="0" w:beforeAutospacing="0" w:after="0" w:afterAutospacing="0"/>
        <w:ind w:left="142" w:firstLine="142"/>
        <w:jc w:val="both"/>
        <w:textAlignment w:val="baseline"/>
        <w:rPr>
          <w:rStyle w:val="normaltextrun"/>
          <w:rFonts w:ascii="Book Antiqua" w:hAnsi="Book Antiqua" w:cs="Segoe UI"/>
        </w:rPr>
      </w:pPr>
    </w:p>
    <w:p w14:paraId="1E010B3F" w14:textId="767D6CE0" w:rsidR="001F0ECE" w:rsidRDefault="001F0ECE" w:rsidP="00EF4E17">
      <w:pPr>
        <w:pStyle w:val="paragraph"/>
        <w:numPr>
          <w:ilvl w:val="2"/>
          <w:numId w:val="19"/>
        </w:numPr>
        <w:spacing w:before="0" w:beforeAutospacing="0" w:after="0" w:afterAutospacing="0"/>
        <w:ind w:left="142" w:firstLine="142"/>
        <w:jc w:val="both"/>
        <w:textAlignment w:val="baseline"/>
        <w:rPr>
          <w:rFonts w:ascii="Book Antiqua" w:hAnsi="Book Antiqua" w:cs="Segoe UI"/>
        </w:rPr>
      </w:pPr>
      <w:r>
        <w:rPr>
          <w:rStyle w:val="normaltextrun"/>
          <w:rFonts w:ascii="Book Antiqua" w:eastAsiaTheme="majorEastAsia" w:hAnsi="Book Antiqua" w:cs="Segoe UI"/>
        </w:rPr>
        <w:t>Es importante destacar que los siguientes proyectos producto de las solicitudes de cambio aprobadas, incrementan en más de 1 año sus cronogramas, y poseen permisos con goce de salario, por lo cual se recomienda evaluar el impacto de los cambios y determinar las acciones o medidas a tomar de manera que los incrementos no sean tan significativos. El detalle se muestra a continuación:</w:t>
      </w:r>
      <w:r>
        <w:rPr>
          <w:rStyle w:val="eop"/>
          <w:rFonts w:ascii="Book Antiqua" w:hAnsi="Book Antiqua" w:cs="Segoe UI"/>
        </w:rPr>
        <w:t> </w:t>
      </w:r>
    </w:p>
    <w:p w14:paraId="29192A42" w14:textId="77777777" w:rsidR="001F0ECE" w:rsidRDefault="001F0ECE" w:rsidP="001F0ECE">
      <w:pPr>
        <w:pStyle w:val="paragraph"/>
        <w:spacing w:before="0" w:beforeAutospacing="0" w:after="0" w:afterAutospacing="0"/>
        <w:ind w:left="705"/>
        <w:jc w:val="both"/>
        <w:textAlignment w:val="baseline"/>
        <w:rPr>
          <w:rFonts w:ascii="Segoe UI" w:hAnsi="Segoe UI" w:cs="Segoe UI"/>
          <w:sz w:val="18"/>
          <w:szCs w:val="18"/>
        </w:rPr>
      </w:pPr>
      <w:r>
        <w:rPr>
          <w:rStyle w:val="eop"/>
          <w:rFonts w:ascii="Book Antiqua" w:hAnsi="Book Antiqua" w:cs="Segoe UI"/>
        </w:rPr>
        <w:t> </w:t>
      </w:r>
    </w:p>
    <w:tbl>
      <w:tblPr>
        <w:tblW w:w="10323" w:type="dxa"/>
        <w:tblInd w:w="-58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17"/>
        <w:gridCol w:w="602"/>
        <w:gridCol w:w="1027"/>
        <w:gridCol w:w="851"/>
        <w:gridCol w:w="851"/>
        <w:gridCol w:w="749"/>
        <w:gridCol w:w="695"/>
        <w:gridCol w:w="662"/>
        <w:gridCol w:w="2330"/>
        <w:gridCol w:w="1239"/>
      </w:tblGrid>
      <w:tr w:rsidR="001F0ECE" w:rsidRPr="001F0ECE" w14:paraId="311F7692" w14:textId="77777777" w:rsidTr="00EF4E17">
        <w:trPr>
          <w:trHeight w:val="870"/>
          <w:tblHeader/>
        </w:trPr>
        <w:tc>
          <w:tcPr>
            <w:tcW w:w="1317" w:type="dxa"/>
            <w:tcBorders>
              <w:top w:val="single" w:sz="6" w:space="0" w:color="auto"/>
              <w:left w:val="single" w:sz="6" w:space="0" w:color="auto"/>
              <w:bottom w:val="nil"/>
              <w:right w:val="single" w:sz="6" w:space="0" w:color="auto"/>
            </w:tcBorders>
            <w:shd w:val="clear" w:color="auto" w:fill="44546A"/>
            <w:vAlign w:val="center"/>
            <w:hideMark/>
          </w:tcPr>
          <w:p w14:paraId="6DA3D98F"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b/>
                <w:bCs/>
                <w:color w:val="FFFFFF"/>
                <w:sz w:val="14"/>
                <w:szCs w:val="14"/>
                <w:lang w:eastAsia="es-CR"/>
              </w:rPr>
              <w:lastRenderedPageBreak/>
              <w:t>Oficina Líder</w:t>
            </w:r>
            <w:r w:rsidRPr="001F0ECE">
              <w:rPr>
                <w:rFonts w:ascii="Book Antiqua" w:eastAsia="Times New Roman" w:hAnsi="Book Antiqua" w:cs="Segoe UI"/>
                <w:color w:val="FFFFFF"/>
                <w:sz w:val="14"/>
                <w:szCs w:val="14"/>
                <w:lang w:eastAsia="es-CR"/>
              </w:rPr>
              <w:t> </w:t>
            </w:r>
          </w:p>
        </w:tc>
        <w:tc>
          <w:tcPr>
            <w:tcW w:w="602" w:type="dxa"/>
            <w:tcBorders>
              <w:top w:val="single" w:sz="6" w:space="0" w:color="auto"/>
              <w:left w:val="nil"/>
              <w:bottom w:val="nil"/>
              <w:right w:val="single" w:sz="6" w:space="0" w:color="auto"/>
            </w:tcBorders>
            <w:shd w:val="clear" w:color="auto" w:fill="44546A"/>
            <w:vAlign w:val="center"/>
            <w:hideMark/>
          </w:tcPr>
          <w:p w14:paraId="41DE2F85"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b/>
                <w:bCs/>
                <w:color w:val="FFFFFF"/>
                <w:sz w:val="14"/>
                <w:szCs w:val="14"/>
                <w:lang w:eastAsia="es-CR"/>
              </w:rPr>
              <w:t>Código</w:t>
            </w:r>
            <w:r w:rsidRPr="001F0ECE">
              <w:rPr>
                <w:rFonts w:ascii="Book Antiqua" w:eastAsia="Times New Roman" w:hAnsi="Book Antiqua" w:cs="Segoe UI"/>
                <w:color w:val="FFFFFF"/>
                <w:sz w:val="14"/>
                <w:szCs w:val="14"/>
                <w:lang w:eastAsia="es-CR"/>
              </w:rPr>
              <w:t> </w:t>
            </w:r>
          </w:p>
        </w:tc>
        <w:tc>
          <w:tcPr>
            <w:tcW w:w="1027" w:type="dxa"/>
            <w:tcBorders>
              <w:top w:val="single" w:sz="6" w:space="0" w:color="auto"/>
              <w:left w:val="nil"/>
              <w:bottom w:val="nil"/>
              <w:right w:val="single" w:sz="6" w:space="0" w:color="auto"/>
            </w:tcBorders>
            <w:shd w:val="clear" w:color="auto" w:fill="44546A"/>
            <w:vAlign w:val="center"/>
            <w:hideMark/>
          </w:tcPr>
          <w:p w14:paraId="03D1E2CD"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b/>
                <w:bCs/>
                <w:color w:val="FFFFFF"/>
                <w:sz w:val="14"/>
                <w:szCs w:val="14"/>
                <w:lang w:eastAsia="es-CR"/>
              </w:rPr>
              <w:t>Nombre del proyecto</w:t>
            </w:r>
            <w:r w:rsidRPr="001F0ECE">
              <w:rPr>
                <w:rFonts w:ascii="Book Antiqua" w:eastAsia="Times New Roman" w:hAnsi="Book Antiqua" w:cs="Segoe UI"/>
                <w:color w:val="FFFFFF"/>
                <w:sz w:val="14"/>
                <w:szCs w:val="14"/>
                <w:lang w:eastAsia="es-CR"/>
              </w:rPr>
              <w:t> </w:t>
            </w:r>
          </w:p>
        </w:tc>
        <w:tc>
          <w:tcPr>
            <w:tcW w:w="851" w:type="dxa"/>
            <w:tcBorders>
              <w:top w:val="single" w:sz="6" w:space="0" w:color="auto"/>
              <w:left w:val="single" w:sz="6" w:space="0" w:color="auto"/>
              <w:bottom w:val="nil"/>
              <w:right w:val="single" w:sz="6" w:space="0" w:color="auto"/>
            </w:tcBorders>
            <w:shd w:val="clear" w:color="auto" w:fill="44546A"/>
            <w:vAlign w:val="center"/>
            <w:hideMark/>
          </w:tcPr>
          <w:p w14:paraId="25F69204"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b/>
                <w:bCs/>
                <w:color w:val="FFFFFF"/>
                <w:sz w:val="14"/>
                <w:szCs w:val="14"/>
                <w:lang w:eastAsia="es-CR"/>
              </w:rPr>
              <w:t>Fecha de Finalización reportada al 31-12-2022</w:t>
            </w:r>
            <w:r w:rsidRPr="001F0ECE">
              <w:rPr>
                <w:rFonts w:ascii="Book Antiqua" w:eastAsia="Times New Roman" w:hAnsi="Book Antiqua" w:cs="Segoe UI"/>
                <w:color w:val="FFFFFF"/>
                <w:sz w:val="14"/>
                <w:szCs w:val="14"/>
                <w:lang w:eastAsia="es-CR"/>
              </w:rPr>
              <w:t> </w:t>
            </w:r>
          </w:p>
        </w:tc>
        <w:tc>
          <w:tcPr>
            <w:tcW w:w="851" w:type="dxa"/>
            <w:tcBorders>
              <w:top w:val="single" w:sz="6" w:space="0" w:color="auto"/>
              <w:left w:val="nil"/>
              <w:bottom w:val="nil"/>
              <w:right w:val="single" w:sz="6" w:space="0" w:color="auto"/>
            </w:tcBorders>
            <w:shd w:val="clear" w:color="auto" w:fill="44546A"/>
            <w:vAlign w:val="center"/>
            <w:hideMark/>
          </w:tcPr>
          <w:p w14:paraId="7F4C5820"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b/>
                <w:bCs/>
                <w:color w:val="FFFFFF"/>
                <w:sz w:val="14"/>
                <w:szCs w:val="14"/>
                <w:lang w:eastAsia="es-CR"/>
              </w:rPr>
              <w:t>Fecha de Finalización Nueva (Al 28-4-23)</w:t>
            </w:r>
            <w:r w:rsidRPr="001F0ECE">
              <w:rPr>
                <w:rFonts w:ascii="Book Antiqua" w:eastAsia="Times New Roman" w:hAnsi="Book Antiqua" w:cs="Segoe UI"/>
                <w:color w:val="FFFFFF"/>
                <w:sz w:val="14"/>
                <w:szCs w:val="14"/>
                <w:lang w:eastAsia="es-CR"/>
              </w:rPr>
              <w:t> </w:t>
            </w:r>
          </w:p>
        </w:tc>
        <w:tc>
          <w:tcPr>
            <w:tcW w:w="749" w:type="dxa"/>
            <w:tcBorders>
              <w:top w:val="single" w:sz="6" w:space="0" w:color="auto"/>
              <w:left w:val="nil"/>
              <w:bottom w:val="nil"/>
              <w:right w:val="single" w:sz="6" w:space="0" w:color="auto"/>
            </w:tcBorders>
            <w:shd w:val="clear" w:color="auto" w:fill="44546A"/>
            <w:vAlign w:val="center"/>
            <w:hideMark/>
          </w:tcPr>
          <w:p w14:paraId="2EDDB811"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b/>
                <w:bCs/>
                <w:color w:val="FFFFFF"/>
                <w:sz w:val="14"/>
                <w:szCs w:val="14"/>
                <w:lang w:eastAsia="es-CR"/>
              </w:rPr>
              <w:t>Incremento / meses</w:t>
            </w:r>
            <w:r w:rsidRPr="001F0ECE">
              <w:rPr>
                <w:rFonts w:ascii="Book Antiqua" w:eastAsia="Times New Roman" w:hAnsi="Book Antiqua" w:cs="Segoe UI"/>
                <w:color w:val="FFFFFF"/>
                <w:sz w:val="14"/>
                <w:szCs w:val="14"/>
                <w:lang w:eastAsia="es-CR"/>
              </w:rPr>
              <w:t> </w:t>
            </w:r>
          </w:p>
        </w:tc>
        <w:tc>
          <w:tcPr>
            <w:tcW w:w="695" w:type="dxa"/>
            <w:tcBorders>
              <w:top w:val="single" w:sz="6" w:space="0" w:color="auto"/>
              <w:left w:val="nil"/>
              <w:bottom w:val="nil"/>
              <w:right w:val="single" w:sz="6" w:space="0" w:color="auto"/>
            </w:tcBorders>
            <w:shd w:val="clear" w:color="auto" w:fill="44546A"/>
            <w:vAlign w:val="center"/>
            <w:hideMark/>
          </w:tcPr>
          <w:p w14:paraId="0AEB2225"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b/>
                <w:bCs/>
                <w:color w:val="FFFFFF"/>
                <w:sz w:val="14"/>
                <w:szCs w:val="14"/>
                <w:lang w:eastAsia="es-CR"/>
              </w:rPr>
              <w:t>¿Tienen permisos con goce de salario asignado?</w:t>
            </w:r>
            <w:r w:rsidRPr="001F0ECE">
              <w:rPr>
                <w:rFonts w:ascii="Book Antiqua" w:eastAsia="Times New Roman" w:hAnsi="Book Antiqua" w:cs="Segoe UI"/>
                <w:color w:val="FFFFFF"/>
                <w:sz w:val="14"/>
                <w:szCs w:val="14"/>
                <w:lang w:eastAsia="es-CR"/>
              </w:rPr>
              <w:t> </w:t>
            </w:r>
          </w:p>
        </w:tc>
        <w:tc>
          <w:tcPr>
            <w:tcW w:w="662" w:type="dxa"/>
            <w:tcBorders>
              <w:top w:val="nil"/>
              <w:left w:val="nil"/>
              <w:bottom w:val="nil"/>
              <w:right w:val="nil"/>
            </w:tcBorders>
            <w:shd w:val="clear" w:color="auto" w:fill="44546A"/>
            <w:vAlign w:val="center"/>
            <w:hideMark/>
          </w:tcPr>
          <w:p w14:paraId="7989A13B"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b/>
                <w:bCs/>
                <w:color w:val="FFFFFF"/>
                <w:sz w:val="14"/>
                <w:szCs w:val="14"/>
                <w:lang w:eastAsia="es-CR"/>
              </w:rPr>
              <w:t>Cantidad de permisos </w:t>
            </w:r>
            <w:r w:rsidRPr="001F0ECE">
              <w:rPr>
                <w:rFonts w:ascii="Book Antiqua" w:eastAsia="Times New Roman" w:hAnsi="Book Antiqua" w:cs="Segoe UI"/>
                <w:color w:val="FFFFFF"/>
                <w:sz w:val="14"/>
                <w:szCs w:val="14"/>
                <w:lang w:eastAsia="es-CR"/>
              </w:rPr>
              <w:t> </w:t>
            </w:r>
          </w:p>
        </w:tc>
        <w:tc>
          <w:tcPr>
            <w:tcW w:w="2330" w:type="dxa"/>
            <w:tcBorders>
              <w:top w:val="single" w:sz="6" w:space="0" w:color="auto"/>
              <w:left w:val="nil"/>
              <w:bottom w:val="nil"/>
              <w:right w:val="single" w:sz="6" w:space="0" w:color="auto"/>
            </w:tcBorders>
            <w:shd w:val="clear" w:color="auto" w:fill="44546A"/>
            <w:vAlign w:val="center"/>
            <w:hideMark/>
          </w:tcPr>
          <w:p w14:paraId="2FFB52B0" w14:textId="04461270"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b/>
                <w:bCs/>
                <w:color w:val="FFFFFF"/>
                <w:sz w:val="14"/>
                <w:szCs w:val="14"/>
                <w:lang w:eastAsia="es-CR"/>
              </w:rPr>
              <w:t>Justificación del incremento</w:t>
            </w:r>
          </w:p>
        </w:tc>
        <w:tc>
          <w:tcPr>
            <w:tcW w:w="1239" w:type="dxa"/>
            <w:tcBorders>
              <w:top w:val="single" w:sz="6" w:space="0" w:color="auto"/>
              <w:left w:val="nil"/>
              <w:bottom w:val="nil"/>
              <w:right w:val="single" w:sz="6" w:space="0" w:color="auto"/>
            </w:tcBorders>
            <w:shd w:val="clear" w:color="auto" w:fill="44546A"/>
            <w:vAlign w:val="center"/>
            <w:hideMark/>
          </w:tcPr>
          <w:p w14:paraId="57A00653" w14:textId="77777777" w:rsidR="001F0ECE" w:rsidRPr="001F0ECE" w:rsidRDefault="001F0ECE" w:rsidP="001F0ECE">
            <w:pPr>
              <w:spacing w:after="0" w:line="240" w:lineRule="auto"/>
              <w:jc w:val="both"/>
              <w:textAlignment w:val="baseline"/>
              <w:rPr>
                <w:rFonts w:ascii="Segoe UI" w:eastAsia="Times New Roman" w:hAnsi="Segoe UI" w:cs="Segoe UI"/>
                <w:sz w:val="18"/>
                <w:szCs w:val="18"/>
                <w:lang w:eastAsia="es-CR"/>
              </w:rPr>
            </w:pPr>
            <w:r w:rsidRPr="001F0ECE">
              <w:rPr>
                <w:rFonts w:ascii="Book Antiqua" w:eastAsia="Times New Roman" w:hAnsi="Book Antiqua" w:cs="Segoe UI"/>
                <w:b/>
                <w:bCs/>
                <w:color w:val="FFFFFF"/>
                <w:sz w:val="14"/>
                <w:szCs w:val="14"/>
                <w:lang w:eastAsia="es-CR"/>
              </w:rPr>
              <w:t>Recomendación</w:t>
            </w:r>
            <w:r w:rsidRPr="001F0ECE">
              <w:rPr>
                <w:rFonts w:ascii="Book Antiqua" w:eastAsia="Times New Roman" w:hAnsi="Book Antiqua" w:cs="Segoe UI"/>
                <w:color w:val="FFFFFF"/>
                <w:sz w:val="14"/>
                <w:szCs w:val="14"/>
                <w:lang w:eastAsia="es-CR"/>
              </w:rPr>
              <w:t> </w:t>
            </w:r>
          </w:p>
        </w:tc>
      </w:tr>
      <w:tr w:rsidR="001F0ECE" w:rsidRPr="001F0ECE" w14:paraId="7BBDC91C" w14:textId="77777777" w:rsidTr="00EF4E17">
        <w:trPr>
          <w:trHeight w:val="4028"/>
        </w:trPr>
        <w:tc>
          <w:tcPr>
            <w:tcW w:w="1317" w:type="dxa"/>
            <w:tcBorders>
              <w:top w:val="nil"/>
              <w:left w:val="single" w:sz="6" w:space="0" w:color="auto"/>
              <w:bottom w:val="single" w:sz="6" w:space="0" w:color="auto"/>
              <w:right w:val="single" w:sz="6" w:space="0" w:color="auto"/>
            </w:tcBorders>
            <w:shd w:val="clear" w:color="auto" w:fill="D9E1F2"/>
            <w:vAlign w:val="center"/>
            <w:hideMark/>
          </w:tcPr>
          <w:p w14:paraId="1F147F68"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SUBPROCESO MODERNIZACION INSTITUCIONAL </w:t>
            </w:r>
          </w:p>
        </w:tc>
        <w:tc>
          <w:tcPr>
            <w:tcW w:w="602" w:type="dxa"/>
            <w:tcBorders>
              <w:top w:val="nil"/>
              <w:left w:val="nil"/>
              <w:bottom w:val="single" w:sz="6" w:space="0" w:color="auto"/>
              <w:right w:val="single" w:sz="6" w:space="0" w:color="auto"/>
            </w:tcBorders>
            <w:shd w:val="clear" w:color="auto" w:fill="D9E1F2"/>
            <w:vAlign w:val="center"/>
            <w:hideMark/>
          </w:tcPr>
          <w:p w14:paraId="70686D61"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0110-PLA-P32 </w:t>
            </w:r>
          </w:p>
        </w:tc>
        <w:tc>
          <w:tcPr>
            <w:tcW w:w="1027" w:type="dxa"/>
            <w:tcBorders>
              <w:top w:val="nil"/>
              <w:left w:val="nil"/>
              <w:bottom w:val="single" w:sz="6" w:space="0" w:color="auto"/>
              <w:right w:val="single" w:sz="6" w:space="0" w:color="auto"/>
            </w:tcBorders>
            <w:shd w:val="clear" w:color="auto" w:fill="D9E1F2"/>
            <w:vAlign w:val="center"/>
            <w:hideMark/>
          </w:tcPr>
          <w:p w14:paraId="71390FB5"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Implementación de oficina Modelo en el Juzgado y Tribunal Notarial </w:t>
            </w:r>
          </w:p>
        </w:tc>
        <w:tc>
          <w:tcPr>
            <w:tcW w:w="851" w:type="dxa"/>
            <w:tcBorders>
              <w:top w:val="nil"/>
              <w:left w:val="nil"/>
              <w:bottom w:val="single" w:sz="6" w:space="0" w:color="auto"/>
              <w:right w:val="single" w:sz="6" w:space="0" w:color="auto"/>
            </w:tcBorders>
            <w:shd w:val="clear" w:color="auto" w:fill="D9E1F2"/>
            <w:vAlign w:val="center"/>
            <w:hideMark/>
          </w:tcPr>
          <w:p w14:paraId="351C7B21"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09/01/2023 </w:t>
            </w:r>
          </w:p>
        </w:tc>
        <w:tc>
          <w:tcPr>
            <w:tcW w:w="851" w:type="dxa"/>
            <w:tcBorders>
              <w:top w:val="nil"/>
              <w:left w:val="nil"/>
              <w:bottom w:val="single" w:sz="6" w:space="0" w:color="auto"/>
              <w:right w:val="single" w:sz="6" w:space="0" w:color="auto"/>
            </w:tcBorders>
            <w:shd w:val="clear" w:color="auto" w:fill="D9E1F2"/>
            <w:vAlign w:val="center"/>
            <w:hideMark/>
          </w:tcPr>
          <w:p w14:paraId="20AC7BE1"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10/06/2024 </w:t>
            </w:r>
          </w:p>
        </w:tc>
        <w:tc>
          <w:tcPr>
            <w:tcW w:w="749" w:type="dxa"/>
            <w:tcBorders>
              <w:top w:val="nil"/>
              <w:left w:val="nil"/>
              <w:bottom w:val="single" w:sz="6" w:space="0" w:color="auto"/>
              <w:right w:val="single" w:sz="6" w:space="0" w:color="auto"/>
            </w:tcBorders>
            <w:shd w:val="clear" w:color="auto" w:fill="D9E1F2"/>
            <w:vAlign w:val="center"/>
            <w:hideMark/>
          </w:tcPr>
          <w:p w14:paraId="141926E1"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18 </w:t>
            </w:r>
          </w:p>
        </w:tc>
        <w:tc>
          <w:tcPr>
            <w:tcW w:w="695" w:type="dxa"/>
            <w:tcBorders>
              <w:top w:val="nil"/>
              <w:left w:val="nil"/>
              <w:bottom w:val="single" w:sz="6" w:space="0" w:color="auto"/>
              <w:right w:val="single" w:sz="6" w:space="0" w:color="auto"/>
            </w:tcBorders>
            <w:shd w:val="clear" w:color="auto" w:fill="D9E1F2"/>
            <w:vAlign w:val="center"/>
            <w:hideMark/>
          </w:tcPr>
          <w:p w14:paraId="23F54BCC"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Si </w:t>
            </w:r>
          </w:p>
        </w:tc>
        <w:tc>
          <w:tcPr>
            <w:tcW w:w="662" w:type="dxa"/>
            <w:tcBorders>
              <w:top w:val="nil"/>
              <w:left w:val="nil"/>
              <w:bottom w:val="single" w:sz="6" w:space="0" w:color="auto"/>
              <w:right w:val="single" w:sz="6" w:space="0" w:color="auto"/>
            </w:tcBorders>
            <w:shd w:val="clear" w:color="auto" w:fill="D9E1F2"/>
            <w:vAlign w:val="center"/>
            <w:hideMark/>
          </w:tcPr>
          <w:p w14:paraId="1469A495"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1 </w:t>
            </w:r>
          </w:p>
        </w:tc>
        <w:tc>
          <w:tcPr>
            <w:tcW w:w="2330" w:type="dxa"/>
            <w:tcBorders>
              <w:top w:val="nil"/>
              <w:left w:val="nil"/>
              <w:bottom w:val="single" w:sz="6" w:space="0" w:color="auto"/>
              <w:right w:val="single" w:sz="6" w:space="0" w:color="auto"/>
            </w:tcBorders>
            <w:shd w:val="clear" w:color="auto" w:fill="D9E1F2"/>
            <w:vAlign w:val="center"/>
            <w:hideMark/>
          </w:tcPr>
          <w:p w14:paraId="33DBA8F1" w14:textId="091D4898" w:rsidR="001F0ECE" w:rsidRPr="001F0ECE" w:rsidRDefault="001F0ECE" w:rsidP="001F0ECE">
            <w:pPr>
              <w:spacing w:after="0" w:line="240" w:lineRule="auto"/>
              <w:jc w:val="both"/>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La justificación de cambio recae en la necesidad de modificar las fechas de ejecución de la EDT que se detallan en el punto 1 debido a que se ha presentado un atraso para él envió a consulta del preliminar 387- PLA-ES-MI(NPL)-2023, además de que el informe definitivo debe ser enviado por el Subproceso de Estadística para aprobación del Consejo, actualmente se encuentran en periodo de atención de observaciones al informe en consulta. La ejecución del inventario no se considera oportuno ni viable realizar sin contar con la nueva fórmula estadística ya que implicaría tener que hacer un nuevo inventario para actualizar lo que </w:t>
            </w:r>
            <w:r w:rsidRPr="001F0ECE">
              <w:rPr>
                <w:rFonts w:ascii="Book Antiqua" w:eastAsia="Times New Roman" w:hAnsi="Book Antiqua" w:cs="Segoe UI"/>
                <w:color w:val="000000"/>
                <w:sz w:val="14"/>
                <w:szCs w:val="14"/>
                <w:lang w:eastAsia="es-CR"/>
              </w:rPr>
              <w:br/>
              <w:t>corresponda de acuerdo con los cambios en la formula. Al inicio del proyecto se estimó que la nueva fórmula estadística se encontraría lista para dar inicio con el inventario en las fechas programadas inicialmente, no obstante, no fue así por lo cual se requiere realizar una solicitud de cambio en el cronograma del proyecto. </w:t>
            </w:r>
          </w:p>
        </w:tc>
        <w:tc>
          <w:tcPr>
            <w:tcW w:w="1239" w:type="dxa"/>
            <w:tcBorders>
              <w:top w:val="nil"/>
              <w:left w:val="nil"/>
              <w:bottom w:val="single" w:sz="6" w:space="0" w:color="auto"/>
              <w:right w:val="single" w:sz="6" w:space="0" w:color="auto"/>
            </w:tcBorders>
            <w:shd w:val="clear" w:color="auto" w:fill="D9E1F2"/>
            <w:vAlign w:val="center"/>
            <w:hideMark/>
          </w:tcPr>
          <w:p w14:paraId="0CED03F7" w14:textId="77777777" w:rsidR="001F0ECE" w:rsidRPr="001F0ECE" w:rsidRDefault="001F0ECE" w:rsidP="001F0ECE">
            <w:pPr>
              <w:spacing w:after="0" w:line="240" w:lineRule="auto"/>
              <w:jc w:val="both"/>
              <w:textAlignment w:val="baseline"/>
              <w:rPr>
                <w:rFonts w:ascii="Segoe UI" w:eastAsia="Times New Roman" w:hAnsi="Segoe UI" w:cs="Segoe UI"/>
                <w:sz w:val="18"/>
                <w:szCs w:val="18"/>
                <w:lang w:eastAsia="es-CR"/>
              </w:rPr>
            </w:pPr>
            <w:r w:rsidRPr="001F0ECE">
              <w:rPr>
                <w:rFonts w:ascii="Times New Roman" w:eastAsia="Times New Roman" w:hAnsi="Times New Roman" w:cs="Times New Roman"/>
                <w:color w:val="000000"/>
                <w:sz w:val="14"/>
                <w:szCs w:val="14"/>
                <w:lang w:eastAsia="es-CR"/>
              </w:rPr>
              <w:t> </w:t>
            </w:r>
            <w:r w:rsidRPr="001F0ECE">
              <w:rPr>
                <w:rFonts w:ascii="Book Antiqua" w:eastAsia="Times New Roman" w:hAnsi="Book Antiqua" w:cs="Segoe UI"/>
                <w:color w:val="000000"/>
                <w:sz w:val="14"/>
                <w:szCs w:val="14"/>
                <w:lang w:eastAsia="es-CR"/>
              </w:rPr>
              <w:t> </w:t>
            </w:r>
          </w:p>
        </w:tc>
      </w:tr>
      <w:tr w:rsidR="001F0ECE" w:rsidRPr="001F0ECE" w14:paraId="370B3F63" w14:textId="77777777" w:rsidTr="00EF4E17">
        <w:trPr>
          <w:trHeight w:val="611"/>
        </w:trPr>
        <w:tc>
          <w:tcPr>
            <w:tcW w:w="1317" w:type="dxa"/>
            <w:tcBorders>
              <w:top w:val="nil"/>
              <w:left w:val="single" w:sz="6" w:space="0" w:color="auto"/>
              <w:bottom w:val="single" w:sz="6" w:space="0" w:color="auto"/>
              <w:right w:val="single" w:sz="6" w:space="0" w:color="auto"/>
            </w:tcBorders>
            <w:shd w:val="clear" w:color="auto" w:fill="D9E1F2"/>
            <w:vAlign w:val="center"/>
            <w:hideMark/>
          </w:tcPr>
          <w:p w14:paraId="3AD921B8"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0083 DEPARTAMENTO DE LABORATORIO DE CIENCIAS FORENSES </w:t>
            </w:r>
          </w:p>
        </w:tc>
        <w:tc>
          <w:tcPr>
            <w:tcW w:w="602" w:type="dxa"/>
            <w:tcBorders>
              <w:top w:val="nil"/>
              <w:left w:val="nil"/>
              <w:bottom w:val="single" w:sz="6" w:space="0" w:color="auto"/>
              <w:right w:val="single" w:sz="6" w:space="0" w:color="auto"/>
            </w:tcBorders>
            <w:shd w:val="clear" w:color="auto" w:fill="D9E1F2"/>
            <w:vAlign w:val="center"/>
            <w:hideMark/>
          </w:tcPr>
          <w:p w14:paraId="36EF7513"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1167-OIJ-P52 </w:t>
            </w:r>
          </w:p>
        </w:tc>
        <w:tc>
          <w:tcPr>
            <w:tcW w:w="1027" w:type="dxa"/>
            <w:tcBorders>
              <w:top w:val="nil"/>
              <w:left w:val="nil"/>
              <w:bottom w:val="single" w:sz="6" w:space="0" w:color="auto"/>
              <w:right w:val="single" w:sz="6" w:space="0" w:color="auto"/>
            </w:tcBorders>
            <w:shd w:val="clear" w:color="auto" w:fill="D9E1F2"/>
            <w:vAlign w:val="center"/>
            <w:hideMark/>
          </w:tcPr>
          <w:p w14:paraId="1B6B1C97"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Implementación de la gestión de la contaminación cognitiva en el trabajo de casos forenses </w:t>
            </w:r>
          </w:p>
        </w:tc>
        <w:tc>
          <w:tcPr>
            <w:tcW w:w="851" w:type="dxa"/>
            <w:tcBorders>
              <w:top w:val="nil"/>
              <w:left w:val="nil"/>
              <w:bottom w:val="single" w:sz="6" w:space="0" w:color="auto"/>
              <w:right w:val="single" w:sz="6" w:space="0" w:color="auto"/>
            </w:tcBorders>
            <w:shd w:val="clear" w:color="auto" w:fill="D9E1F2"/>
            <w:vAlign w:val="center"/>
            <w:hideMark/>
          </w:tcPr>
          <w:p w14:paraId="773499A7"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24/07/2023 </w:t>
            </w:r>
          </w:p>
        </w:tc>
        <w:tc>
          <w:tcPr>
            <w:tcW w:w="851" w:type="dxa"/>
            <w:tcBorders>
              <w:top w:val="nil"/>
              <w:left w:val="nil"/>
              <w:bottom w:val="single" w:sz="6" w:space="0" w:color="auto"/>
              <w:right w:val="single" w:sz="6" w:space="0" w:color="auto"/>
            </w:tcBorders>
            <w:shd w:val="clear" w:color="auto" w:fill="D9E1F2"/>
            <w:vAlign w:val="center"/>
            <w:hideMark/>
          </w:tcPr>
          <w:p w14:paraId="37F7A2D7"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30/08/2024 </w:t>
            </w:r>
          </w:p>
        </w:tc>
        <w:tc>
          <w:tcPr>
            <w:tcW w:w="749" w:type="dxa"/>
            <w:tcBorders>
              <w:top w:val="nil"/>
              <w:left w:val="nil"/>
              <w:bottom w:val="single" w:sz="6" w:space="0" w:color="auto"/>
              <w:right w:val="single" w:sz="6" w:space="0" w:color="auto"/>
            </w:tcBorders>
            <w:shd w:val="clear" w:color="auto" w:fill="D9E1F2"/>
            <w:vAlign w:val="center"/>
            <w:hideMark/>
          </w:tcPr>
          <w:p w14:paraId="322EDFA8"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14 </w:t>
            </w:r>
          </w:p>
        </w:tc>
        <w:tc>
          <w:tcPr>
            <w:tcW w:w="695" w:type="dxa"/>
            <w:tcBorders>
              <w:top w:val="nil"/>
              <w:left w:val="nil"/>
              <w:bottom w:val="single" w:sz="6" w:space="0" w:color="auto"/>
              <w:right w:val="single" w:sz="6" w:space="0" w:color="auto"/>
            </w:tcBorders>
            <w:shd w:val="clear" w:color="auto" w:fill="D9E1F2"/>
            <w:vAlign w:val="center"/>
            <w:hideMark/>
          </w:tcPr>
          <w:p w14:paraId="4B4709CC"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Si </w:t>
            </w:r>
          </w:p>
        </w:tc>
        <w:tc>
          <w:tcPr>
            <w:tcW w:w="662" w:type="dxa"/>
            <w:tcBorders>
              <w:top w:val="nil"/>
              <w:left w:val="nil"/>
              <w:bottom w:val="single" w:sz="6" w:space="0" w:color="auto"/>
              <w:right w:val="single" w:sz="6" w:space="0" w:color="auto"/>
            </w:tcBorders>
            <w:shd w:val="clear" w:color="auto" w:fill="D9E1F2"/>
            <w:vAlign w:val="center"/>
            <w:hideMark/>
          </w:tcPr>
          <w:p w14:paraId="7F4FA1CF"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1 </w:t>
            </w:r>
          </w:p>
        </w:tc>
        <w:tc>
          <w:tcPr>
            <w:tcW w:w="2330" w:type="dxa"/>
            <w:tcBorders>
              <w:top w:val="nil"/>
              <w:left w:val="nil"/>
              <w:bottom w:val="single" w:sz="6" w:space="0" w:color="auto"/>
              <w:right w:val="single" w:sz="6" w:space="0" w:color="auto"/>
            </w:tcBorders>
            <w:shd w:val="clear" w:color="auto" w:fill="D9E1F2"/>
            <w:vAlign w:val="center"/>
            <w:hideMark/>
          </w:tcPr>
          <w:p w14:paraId="2CFF8613" w14:textId="77777777" w:rsidR="001F0ECE" w:rsidRPr="001F0ECE" w:rsidRDefault="001F0ECE" w:rsidP="001F0ECE">
            <w:pPr>
              <w:spacing w:after="0" w:line="240" w:lineRule="auto"/>
              <w:jc w:val="both"/>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Se instaura un cambio en los siguientes aspectos del proyecto: nombre, objetivo, alcance, beneficios y </w:t>
            </w:r>
            <w:r w:rsidRPr="001F0ECE">
              <w:rPr>
                <w:rFonts w:ascii="Book Antiqua" w:eastAsia="Times New Roman" w:hAnsi="Book Antiqua" w:cs="Segoe UI"/>
                <w:color w:val="000000"/>
                <w:sz w:val="14"/>
                <w:szCs w:val="14"/>
                <w:lang w:eastAsia="es-CR"/>
              </w:rPr>
              <w:br/>
              <w:t>resultados esperados, detalle de los entregables, costos y cronograma. </w:t>
            </w:r>
            <w:r w:rsidRPr="001F0ECE">
              <w:rPr>
                <w:rFonts w:ascii="Book Antiqua" w:eastAsia="Times New Roman" w:hAnsi="Book Antiqua" w:cs="Segoe UI"/>
                <w:color w:val="000000"/>
                <w:sz w:val="14"/>
                <w:szCs w:val="14"/>
                <w:lang w:eastAsia="es-CR"/>
              </w:rPr>
              <w:br/>
              <w:t>Lo anterior dado que durante la ejecución de este proyecto se detectan dos necesidades que deben ser abordadas: el recopilar las necesidades para un sistema automatizado para abordar el sesgo y los procesos que deben ser atendidos en la unidad de gestión de proyectos, las cuales ambas entrarían a formar parte de </w:t>
            </w:r>
            <w:r w:rsidRPr="001F0ECE">
              <w:rPr>
                <w:rFonts w:ascii="Book Antiqua" w:eastAsia="Times New Roman" w:hAnsi="Book Antiqua" w:cs="Segoe UI"/>
                <w:color w:val="000000"/>
                <w:sz w:val="14"/>
                <w:szCs w:val="14"/>
                <w:lang w:eastAsia="es-CR"/>
              </w:rPr>
              <w:br/>
              <w:t>los entregables del proyecto. Esto implica mover la fecha de fin del proyecto del 30/06/23 al 30/08/24. Como primer propósito de esta solicitud de cambio está abordar de una manera más integral y propiciando la automatización de las mejoras, la manera en que la información sesgada puede afectar la cognición humana </w:t>
            </w:r>
            <w:r w:rsidRPr="001F0ECE">
              <w:rPr>
                <w:rFonts w:ascii="Book Antiqua" w:eastAsia="Times New Roman" w:hAnsi="Book Antiqua" w:cs="Segoe UI"/>
                <w:color w:val="000000"/>
                <w:sz w:val="14"/>
                <w:szCs w:val="14"/>
                <w:lang w:eastAsia="es-CR"/>
              </w:rPr>
              <w:br/>
              <w:t>y la toma de decisiones y así reducir el sesgo y aumentar la repetibilidad y la transparencia de las decisiones de los analistas forenses. Como segundo propósito de esta solicitud de cambio está la mejorar de la atención de las labores de planificación, ejecución, control y seguimiento y cierre de proyectos que lleva el DCF. </w:t>
            </w:r>
          </w:p>
        </w:tc>
        <w:tc>
          <w:tcPr>
            <w:tcW w:w="1239" w:type="dxa"/>
            <w:tcBorders>
              <w:top w:val="nil"/>
              <w:left w:val="nil"/>
              <w:bottom w:val="single" w:sz="6" w:space="0" w:color="auto"/>
              <w:right w:val="single" w:sz="6" w:space="0" w:color="auto"/>
            </w:tcBorders>
            <w:shd w:val="clear" w:color="auto" w:fill="D9E1F2"/>
            <w:vAlign w:val="center"/>
            <w:hideMark/>
          </w:tcPr>
          <w:p w14:paraId="61C754C0"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Times New Roman" w:eastAsia="Times New Roman" w:hAnsi="Times New Roman" w:cs="Times New Roman"/>
                <w:color w:val="000000"/>
                <w:sz w:val="14"/>
                <w:szCs w:val="14"/>
                <w:lang w:eastAsia="es-CR"/>
              </w:rPr>
              <w:t> </w:t>
            </w:r>
            <w:r w:rsidRPr="001F0ECE">
              <w:rPr>
                <w:rFonts w:ascii="Book Antiqua" w:eastAsia="Times New Roman" w:hAnsi="Book Antiqua" w:cs="Segoe UI"/>
                <w:color w:val="000000"/>
                <w:sz w:val="14"/>
                <w:szCs w:val="14"/>
                <w:lang w:eastAsia="es-CR"/>
              </w:rPr>
              <w:t> </w:t>
            </w:r>
          </w:p>
        </w:tc>
      </w:tr>
      <w:tr w:rsidR="001F0ECE" w:rsidRPr="001F0ECE" w14:paraId="139955E2" w14:textId="77777777" w:rsidTr="00EF4E17">
        <w:trPr>
          <w:trHeight w:val="625"/>
        </w:trPr>
        <w:tc>
          <w:tcPr>
            <w:tcW w:w="1317" w:type="dxa"/>
            <w:tcBorders>
              <w:top w:val="nil"/>
              <w:left w:val="single" w:sz="6" w:space="0" w:color="auto"/>
              <w:bottom w:val="single" w:sz="6" w:space="0" w:color="auto"/>
              <w:right w:val="single" w:sz="6" w:space="0" w:color="auto"/>
            </w:tcBorders>
            <w:shd w:val="clear" w:color="auto" w:fill="D9E1F2"/>
            <w:vAlign w:val="center"/>
            <w:hideMark/>
          </w:tcPr>
          <w:p w14:paraId="458B998C"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lastRenderedPageBreak/>
              <w:t>1064 DESARROLLO HUMANO </w:t>
            </w:r>
          </w:p>
        </w:tc>
        <w:tc>
          <w:tcPr>
            <w:tcW w:w="602" w:type="dxa"/>
            <w:tcBorders>
              <w:top w:val="nil"/>
              <w:left w:val="nil"/>
              <w:bottom w:val="single" w:sz="6" w:space="0" w:color="auto"/>
              <w:right w:val="single" w:sz="6" w:space="0" w:color="auto"/>
            </w:tcBorders>
            <w:shd w:val="clear" w:color="auto" w:fill="D9E1F2"/>
            <w:vAlign w:val="center"/>
            <w:hideMark/>
          </w:tcPr>
          <w:p w14:paraId="178E6EDF"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0134-DGH-P16 </w:t>
            </w:r>
          </w:p>
        </w:tc>
        <w:tc>
          <w:tcPr>
            <w:tcW w:w="1027" w:type="dxa"/>
            <w:tcBorders>
              <w:top w:val="nil"/>
              <w:left w:val="nil"/>
              <w:bottom w:val="single" w:sz="6" w:space="0" w:color="auto"/>
              <w:right w:val="single" w:sz="6" w:space="0" w:color="auto"/>
            </w:tcBorders>
            <w:shd w:val="clear" w:color="auto" w:fill="D9E1F2"/>
            <w:vAlign w:val="center"/>
            <w:hideMark/>
          </w:tcPr>
          <w:p w14:paraId="4E4020C6"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Política de Teletrabajo </w:t>
            </w:r>
          </w:p>
        </w:tc>
        <w:tc>
          <w:tcPr>
            <w:tcW w:w="851" w:type="dxa"/>
            <w:tcBorders>
              <w:top w:val="nil"/>
              <w:left w:val="nil"/>
              <w:bottom w:val="single" w:sz="6" w:space="0" w:color="auto"/>
              <w:right w:val="single" w:sz="6" w:space="0" w:color="auto"/>
            </w:tcBorders>
            <w:shd w:val="clear" w:color="auto" w:fill="D9E1F2"/>
            <w:vAlign w:val="center"/>
            <w:hideMark/>
          </w:tcPr>
          <w:p w14:paraId="0D363BE0"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28/12/2023 </w:t>
            </w:r>
          </w:p>
        </w:tc>
        <w:tc>
          <w:tcPr>
            <w:tcW w:w="851" w:type="dxa"/>
            <w:tcBorders>
              <w:top w:val="nil"/>
              <w:left w:val="nil"/>
              <w:bottom w:val="single" w:sz="6" w:space="0" w:color="auto"/>
              <w:right w:val="single" w:sz="6" w:space="0" w:color="auto"/>
            </w:tcBorders>
            <w:shd w:val="clear" w:color="auto" w:fill="D9E1F2"/>
            <w:vAlign w:val="center"/>
            <w:hideMark/>
          </w:tcPr>
          <w:p w14:paraId="74A3C216"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31/12/2024 </w:t>
            </w:r>
          </w:p>
        </w:tc>
        <w:tc>
          <w:tcPr>
            <w:tcW w:w="749" w:type="dxa"/>
            <w:tcBorders>
              <w:top w:val="nil"/>
              <w:left w:val="nil"/>
              <w:bottom w:val="single" w:sz="6" w:space="0" w:color="auto"/>
              <w:right w:val="single" w:sz="6" w:space="0" w:color="auto"/>
            </w:tcBorders>
            <w:shd w:val="clear" w:color="auto" w:fill="D9E1F2"/>
            <w:vAlign w:val="center"/>
            <w:hideMark/>
          </w:tcPr>
          <w:p w14:paraId="4959AB4C"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13 </w:t>
            </w:r>
          </w:p>
        </w:tc>
        <w:tc>
          <w:tcPr>
            <w:tcW w:w="695" w:type="dxa"/>
            <w:tcBorders>
              <w:top w:val="nil"/>
              <w:left w:val="nil"/>
              <w:bottom w:val="single" w:sz="6" w:space="0" w:color="auto"/>
              <w:right w:val="single" w:sz="6" w:space="0" w:color="auto"/>
            </w:tcBorders>
            <w:shd w:val="clear" w:color="auto" w:fill="D9E1F2"/>
            <w:vAlign w:val="center"/>
            <w:hideMark/>
          </w:tcPr>
          <w:p w14:paraId="100D4C44"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Si </w:t>
            </w:r>
          </w:p>
        </w:tc>
        <w:tc>
          <w:tcPr>
            <w:tcW w:w="662" w:type="dxa"/>
            <w:tcBorders>
              <w:top w:val="nil"/>
              <w:left w:val="nil"/>
              <w:bottom w:val="single" w:sz="6" w:space="0" w:color="auto"/>
              <w:right w:val="single" w:sz="6" w:space="0" w:color="auto"/>
            </w:tcBorders>
            <w:shd w:val="clear" w:color="auto" w:fill="D9E1F2"/>
            <w:vAlign w:val="center"/>
            <w:hideMark/>
          </w:tcPr>
          <w:p w14:paraId="69339562" w14:textId="77777777" w:rsidR="001F0ECE" w:rsidRPr="001F0ECE" w:rsidRDefault="001F0ECE" w:rsidP="001F0ECE">
            <w:pPr>
              <w:spacing w:after="0" w:line="240" w:lineRule="auto"/>
              <w:jc w:val="center"/>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1 </w:t>
            </w:r>
          </w:p>
        </w:tc>
        <w:tc>
          <w:tcPr>
            <w:tcW w:w="2330" w:type="dxa"/>
            <w:tcBorders>
              <w:top w:val="nil"/>
              <w:left w:val="nil"/>
              <w:bottom w:val="single" w:sz="6" w:space="0" w:color="auto"/>
              <w:right w:val="single" w:sz="6" w:space="0" w:color="auto"/>
            </w:tcBorders>
            <w:shd w:val="clear" w:color="auto" w:fill="D9E1F2"/>
            <w:vAlign w:val="center"/>
            <w:hideMark/>
          </w:tcPr>
          <w:p w14:paraId="7AF6B1C8" w14:textId="77777777" w:rsidR="001F0ECE" w:rsidRPr="001F0ECE" w:rsidRDefault="001F0ECE" w:rsidP="001F0ECE">
            <w:pPr>
              <w:spacing w:after="0" w:line="240" w:lineRule="auto"/>
              <w:jc w:val="both"/>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Entregable 3.2: Elaboración de la propuesta de la política. Se requiere el ajuste de las fechas de ese entregable, dado que la Dirección de Planificación tuvo un atraso en la revisión de la estructura de la política y el plan de acción, se les envió el 17 de noviembre de 2022 y lo respondieron hasta el 24 de marzo de 2023, el documento en este momento se encuentra en revisiones de las observaciones y esto debe ser revisado de nuevo por la Dirección de Planificación para obtener el visto bueno final de las Comisiones.  </w:t>
            </w:r>
          </w:p>
        </w:tc>
        <w:tc>
          <w:tcPr>
            <w:tcW w:w="1239" w:type="dxa"/>
            <w:tcBorders>
              <w:top w:val="nil"/>
              <w:left w:val="nil"/>
              <w:bottom w:val="single" w:sz="6" w:space="0" w:color="auto"/>
              <w:right w:val="single" w:sz="6" w:space="0" w:color="auto"/>
            </w:tcBorders>
            <w:shd w:val="clear" w:color="auto" w:fill="D9E1F2"/>
            <w:vAlign w:val="center"/>
            <w:hideMark/>
          </w:tcPr>
          <w:p w14:paraId="650F360C" w14:textId="77777777" w:rsidR="001F0ECE" w:rsidRPr="001F0ECE" w:rsidRDefault="001F0ECE" w:rsidP="001F0ECE">
            <w:pPr>
              <w:spacing w:after="0" w:line="240" w:lineRule="auto"/>
              <w:jc w:val="both"/>
              <w:textAlignment w:val="baseline"/>
              <w:rPr>
                <w:rFonts w:ascii="Segoe UI" w:eastAsia="Times New Roman" w:hAnsi="Segoe UI" w:cs="Segoe UI"/>
                <w:sz w:val="18"/>
                <w:szCs w:val="18"/>
                <w:lang w:eastAsia="es-CR"/>
              </w:rPr>
            </w:pPr>
            <w:r w:rsidRPr="001F0ECE">
              <w:rPr>
                <w:rFonts w:ascii="Book Antiqua" w:eastAsia="Times New Roman" w:hAnsi="Book Antiqua" w:cs="Segoe UI"/>
                <w:color w:val="000000"/>
                <w:sz w:val="14"/>
                <w:szCs w:val="14"/>
                <w:lang w:eastAsia="es-CR"/>
              </w:rPr>
              <w:t>En sesión de trabajo del 15 de junio se determinó que el cronograma incluía entregables que no corresponde al alcance del mismo, y esto implicaría una disminución en la fecha de finalización del proyecto. </w:t>
            </w:r>
          </w:p>
        </w:tc>
      </w:tr>
    </w:tbl>
    <w:p w14:paraId="07E20093" w14:textId="77777777" w:rsidR="00653B88" w:rsidRDefault="00653B88" w:rsidP="00C44484">
      <w:pPr>
        <w:pStyle w:val="Prrafodelista"/>
        <w:spacing w:after="0"/>
        <w:ind w:left="709"/>
        <w:contextualSpacing w:val="0"/>
        <w:jc w:val="both"/>
        <w:rPr>
          <w:rFonts w:ascii="Book Antiqua" w:hAnsi="Book Antiqua"/>
          <w:sz w:val="24"/>
          <w:szCs w:val="24"/>
        </w:rPr>
      </w:pPr>
    </w:p>
    <w:p w14:paraId="74CE0481" w14:textId="44E336B6" w:rsidR="00512E0A" w:rsidRDefault="00512E0A" w:rsidP="00133DFE">
      <w:pPr>
        <w:pStyle w:val="Prrafodelista"/>
        <w:numPr>
          <w:ilvl w:val="2"/>
          <w:numId w:val="19"/>
        </w:numPr>
        <w:spacing w:after="0" w:line="240" w:lineRule="auto"/>
        <w:jc w:val="both"/>
        <w:textAlignment w:val="baseline"/>
        <w:rPr>
          <w:rFonts w:ascii="Book Antiqua" w:eastAsia="Times New Roman" w:hAnsi="Book Antiqua" w:cs="Segoe UI"/>
          <w:sz w:val="24"/>
          <w:szCs w:val="24"/>
          <w:lang w:eastAsia="es-CR"/>
        </w:rPr>
      </w:pPr>
      <w:r w:rsidRPr="00133DFE">
        <w:rPr>
          <w:rFonts w:ascii="Book Antiqua" w:eastAsia="Times New Roman" w:hAnsi="Book Antiqua" w:cs="Segoe UI"/>
          <w:sz w:val="24"/>
          <w:szCs w:val="24"/>
          <w:lang w:eastAsia="es-CR"/>
        </w:rPr>
        <w:t>Después del seguimiento realizado a los proyectos estratégicos, se concluye que los siguientes proyectos, deben atender algunas recomendaciones, para lo cual tiene plazo al</w:t>
      </w:r>
      <w:r w:rsidRPr="00133DFE">
        <w:rPr>
          <w:rFonts w:ascii="Book Antiqua" w:eastAsia="Times New Roman" w:hAnsi="Book Antiqua" w:cs="Segoe UI"/>
          <w:b/>
          <w:bCs/>
          <w:sz w:val="24"/>
          <w:szCs w:val="24"/>
          <w:lang w:eastAsia="es-CR"/>
        </w:rPr>
        <w:t xml:space="preserve"> 11 de agosto del 2023 </w:t>
      </w:r>
      <w:r w:rsidRPr="00133DFE">
        <w:rPr>
          <w:rFonts w:ascii="Book Antiqua" w:eastAsia="Times New Roman" w:hAnsi="Book Antiqua" w:cs="Segoe UI"/>
          <w:sz w:val="24"/>
          <w:szCs w:val="24"/>
          <w:lang w:eastAsia="es-CR"/>
        </w:rPr>
        <w:t>para cargar en el sitio de proyecto la atención de las recomendaciones que se exponen a continuación: </w:t>
      </w:r>
    </w:p>
    <w:p w14:paraId="5D24004E" w14:textId="77777777" w:rsidR="00133DFE" w:rsidRPr="00133DFE" w:rsidRDefault="00133DFE" w:rsidP="00133DFE">
      <w:pPr>
        <w:pStyle w:val="Prrafodelista"/>
        <w:spacing w:after="0" w:line="240" w:lineRule="auto"/>
        <w:ind w:left="1440"/>
        <w:jc w:val="both"/>
        <w:textAlignment w:val="baseline"/>
        <w:rPr>
          <w:rFonts w:ascii="Book Antiqua" w:eastAsia="Times New Roman" w:hAnsi="Book Antiqua" w:cs="Segoe UI"/>
          <w:sz w:val="24"/>
          <w:szCs w:val="24"/>
          <w:lang w:eastAsia="es-CR"/>
        </w:rPr>
      </w:pPr>
    </w:p>
    <w:tbl>
      <w:tblPr>
        <w:tblW w:w="10068" w:type="dxa"/>
        <w:tblInd w:w="-57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11"/>
        <w:gridCol w:w="2053"/>
        <w:gridCol w:w="891"/>
        <w:gridCol w:w="1615"/>
        <w:gridCol w:w="779"/>
        <w:gridCol w:w="3319"/>
      </w:tblGrid>
      <w:tr w:rsidR="00512E0A" w:rsidRPr="00512E0A" w14:paraId="1CBCCA96" w14:textId="77777777" w:rsidTr="00EF4E17">
        <w:trPr>
          <w:trHeight w:val="300"/>
          <w:tblHeader/>
        </w:trPr>
        <w:tc>
          <w:tcPr>
            <w:tcW w:w="1411"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1E8FB057"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b/>
                <w:bCs/>
                <w:color w:val="FFFFFF"/>
                <w:sz w:val="16"/>
                <w:szCs w:val="16"/>
                <w:lang w:eastAsia="es-CR"/>
              </w:rPr>
              <w:t>Centro de responsabilidad</w:t>
            </w:r>
            <w:r w:rsidRPr="00512E0A">
              <w:rPr>
                <w:rFonts w:ascii="Book Antiqua" w:eastAsia="Times New Roman" w:hAnsi="Book Antiqua" w:cs="Times New Roman"/>
                <w:color w:val="FFFFFF"/>
                <w:sz w:val="16"/>
                <w:szCs w:val="16"/>
                <w:lang w:eastAsia="es-CR"/>
              </w:rPr>
              <w:t> </w:t>
            </w:r>
          </w:p>
        </w:tc>
        <w:tc>
          <w:tcPr>
            <w:tcW w:w="2053"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096CCD9B"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b/>
                <w:bCs/>
                <w:color w:val="FFFFFF"/>
                <w:sz w:val="16"/>
                <w:szCs w:val="16"/>
                <w:lang w:eastAsia="es-CR"/>
              </w:rPr>
              <w:t>Oficina Líder</w:t>
            </w:r>
            <w:r w:rsidRPr="00512E0A">
              <w:rPr>
                <w:rFonts w:ascii="Book Antiqua" w:eastAsia="Times New Roman" w:hAnsi="Book Antiqua" w:cs="Times New Roman"/>
                <w:color w:val="FFFFFF"/>
                <w:sz w:val="16"/>
                <w:szCs w:val="16"/>
                <w:lang w:eastAsia="es-CR"/>
              </w:rPr>
              <w:t> </w:t>
            </w:r>
          </w:p>
        </w:tc>
        <w:tc>
          <w:tcPr>
            <w:tcW w:w="891"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2E18582D"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b/>
                <w:bCs/>
                <w:color w:val="FFFFFF"/>
                <w:sz w:val="16"/>
                <w:szCs w:val="16"/>
                <w:lang w:eastAsia="es-CR"/>
              </w:rPr>
              <w:t>Código</w:t>
            </w:r>
            <w:r w:rsidRPr="00512E0A">
              <w:rPr>
                <w:rFonts w:ascii="Book Antiqua" w:eastAsia="Times New Roman" w:hAnsi="Book Antiqua" w:cs="Times New Roman"/>
                <w:color w:val="FFFFFF"/>
                <w:sz w:val="16"/>
                <w:szCs w:val="16"/>
                <w:lang w:eastAsia="es-CR"/>
              </w:rPr>
              <w:t> </w:t>
            </w:r>
          </w:p>
        </w:tc>
        <w:tc>
          <w:tcPr>
            <w:tcW w:w="1615"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76FB77E8"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b/>
                <w:bCs/>
                <w:color w:val="FFFFFF"/>
                <w:sz w:val="16"/>
                <w:szCs w:val="16"/>
                <w:lang w:eastAsia="es-CR"/>
              </w:rPr>
              <w:t>Nombre</w:t>
            </w:r>
            <w:r w:rsidRPr="00512E0A">
              <w:rPr>
                <w:rFonts w:ascii="Book Antiqua" w:eastAsia="Times New Roman" w:hAnsi="Book Antiqua" w:cs="Times New Roman"/>
                <w:color w:val="FFFFFF"/>
                <w:sz w:val="16"/>
                <w:szCs w:val="16"/>
                <w:lang w:eastAsia="es-CR"/>
              </w:rPr>
              <w:t> </w:t>
            </w:r>
          </w:p>
        </w:tc>
        <w:tc>
          <w:tcPr>
            <w:tcW w:w="779"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2833FD03"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b/>
                <w:bCs/>
                <w:color w:val="FFFFFF"/>
                <w:sz w:val="16"/>
                <w:szCs w:val="16"/>
                <w:lang w:eastAsia="es-CR"/>
              </w:rPr>
              <w:t>Apartado</w:t>
            </w:r>
            <w:r w:rsidRPr="00512E0A">
              <w:rPr>
                <w:rFonts w:ascii="Book Antiqua" w:eastAsia="Times New Roman" w:hAnsi="Book Antiqua" w:cs="Times New Roman"/>
                <w:color w:val="FFFFFF"/>
                <w:sz w:val="16"/>
                <w:szCs w:val="16"/>
                <w:lang w:eastAsia="es-CR"/>
              </w:rPr>
              <w:t> </w:t>
            </w:r>
          </w:p>
        </w:tc>
        <w:tc>
          <w:tcPr>
            <w:tcW w:w="3319"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6D7E2E22"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b/>
                <w:bCs/>
                <w:color w:val="FFFFFF"/>
                <w:sz w:val="16"/>
                <w:szCs w:val="16"/>
                <w:lang w:eastAsia="es-CR"/>
              </w:rPr>
              <w:t>Detalle</w:t>
            </w:r>
            <w:r w:rsidRPr="00512E0A">
              <w:rPr>
                <w:rFonts w:ascii="Book Antiqua" w:eastAsia="Times New Roman" w:hAnsi="Book Antiqua" w:cs="Times New Roman"/>
                <w:color w:val="FFFFFF"/>
                <w:sz w:val="16"/>
                <w:szCs w:val="16"/>
                <w:lang w:eastAsia="es-CR"/>
              </w:rPr>
              <w:t> </w:t>
            </w:r>
          </w:p>
        </w:tc>
      </w:tr>
      <w:tr w:rsidR="00512E0A" w:rsidRPr="00512E0A" w14:paraId="6A15A470" w14:textId="77777777" w:rsidTr="00EF4E17">
        <w:trPr>
          <w:trHeight w:val="285"/>
        </w:trPr>
        <w:tc>
          <w:tcPr>
            <w:tcW w:w="141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1B49644"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Centro de Información Jurisprudencial </w:t>
            </w:r>
          </w:p>
        </w:tc>
        <w:tc>
          <w:tcPr>
            <w:tcW w:w="205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7F563E7"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0034 CENTRO ELECTRONICO DE INFORMACION JURISPRUDENCIAL </w:t>
            </w:r>
          </w:p>
        </w:tc>
        <w:tc>
          <w:tcPr>
            <w:tcW w:w="8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C066D68"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0034-CIJ-P01 </w:t>
            </w:r>
          </w:p>
        </w:tc>
        <w:tc>
          <w:tcPr>
            <w:tcW w:w="1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DA01C7B"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Fortalecimiento del acceso a la información judicial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2714B2A"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F5D51BD" w14:textId="21DD8D7D"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 xml:space="preserve">Se debe eliminar el entregable de Informe de evaluación de beneficios, porque este ocurre de 6 meses a un año </w:t>
            </w:r>
            <w:r w:rsidR="00133DFE" w:rsidRPr="00512E0A">
              <w:rPr>
                <w:rFonts w:ascii="Book Antiqua" w:eastAsia="Times New Roman" w:hAnsi="Book Antiqua" w:cs="Times New Roman"/>
                <w:color w:val="000000"/>
                <w:sz w:val="16"/>
                <w:szCs w:val="16"/>
                <w:lang w:eastAsia="es-CR"/>
              </w:rPr>
              <w:t>después</w:t>
            </w:r>
            <w:r w:rsidRPr="00512E0A">
              <w:rPr>
                <w:rFonts w:ascii="Book Antiqua" w:eastAsia="Times New Roman" w:hAnsi="Book Antiqua" w:cs="Times New Roman"/>
                <w:color w:val="000000"/>
                <w:sz w:val="16"/>
                <w:szCs w:val="16"/>
                <w:lang w:eastAsia="es-CR"/>
              </w:rPr>
              <w:t xml:space="preserve"> de concluido el proyecto </w:t>
            </w:r>
          </w:p>
        </w:tc>
      </w:tr>
      <w:tr w:rsidR="00512E0A" w:rsidRPr="00512E0A" w14:paraId="5A6C0E4A" w14:textId="77777777" w:rsidTr="00EF4E17">
        <w:trPr>
          <w:trHeight w:val="300"/>
        </w:trPr>
        <w:tc>
          <w:tcPr>
            <w:tcW w:w="141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5B52425D"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Comisiones Institucionales </w:t>
            </w:r>
          </w:p>
        </w:tc>
        <w:tc>
          <w:tcPr>
            <w:tcW w:w="205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DC8D647"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1374 COMISION DE LA JURISDICCION DE FAMILIA, NIÑEZ Y ADOLESCENCIA </w:t>
            </w:r>
          </w:p>
        </w:tc>
        <w:tc>
          <w:tcPr>
            <w:tcW w:w="8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D16299"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1374-CF-P01 </w:t>
            </w:r>
          </w:p>
        </w:tc>
        <w:tc>
          <w:tcPr>
            <w:tcW w:w="1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7C0445A"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Implementación del Código Procesal de Familia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60AF016"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CA94918" w14:textId="77777777"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Producto de la solicitud de cambio del pendiente 28-4-23:  </w:t>
            </w:r>
          </w:p>
          <w:p w14:paraId="4565F409" w14:textId="39A74919"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b/>
                <w:bCs/>
                <w:color w:val="000000"/>
                <w:sz w:val="16"/>
                <w:szCs w:val="16"/>
                <w:lang w:eastAsia="es-CR"/>
              </w:rPr>
              <w:t xml:space="preserve">Acta de constitución: </w:t>
            </w:r>
            <w:r w:rsidRPr="00512E0A">
              <w:rPr>
                <w:rFonts w:ascii="Book Antiqua" w:eastAsia="Times New Roman" w:hAnsi="Book Antiqua" w:cs="Times New Roman"/>
                <w:color w:val="000000"/>
                <w:sz w:val="16"/>
                <w:szCs w:val="16"/>
                <w:lang w:eastAsia="es-CR"/>
              </w:rPr>
              <w:t xml:space="preserve">el cronograma es de alto nivel solamente debe incluir los entregables con años o meses de entrega; en recursos del proyecto verificar que este coincidas con los costos del apartado anterior y con el estudio de factibilidad, y plan de gestión, porque en el cuadro se encuentra recurso humano y en el apartado inferior </w:t>
            </w:r>
            <w:r w:rsidR="00133DFE" w:rsidRPr="00512E0A">
              <w:rPr>
                <w:rFonts w:ascii="Book Antiqua" w:eastAsia="Times New Roman" w:hAnsi="Book Antiqua" w:cs="Times New Roman"/>
                <w:color w:val="000000"/>
                <w:sz w:val="16"/>
                <w:szCs w:val="16"/>
                <w:lang w:eastAsia="es-CR"/>
              </w:rPr>
              <w:t>también</w:t>
            </w:r>
            <w:r w:rsidRPr="00512E0A">
              <w:rPr>
                <w:rFonts w:ascii="Book Antiqua" w:eastAsia="Times New Roman" w:hAnsi="Book Antiqua" w:cs="Times New Roman"/>
                <w:color w:val="000000"/>
                <w:sz w:val="16"/>
                <w:szCs w:val="16"/>
                <w:lang w:eastAsia="es-CR"/>
              </w:rPr>
              <w:t>.  </w:t>
            </w:r>
          </w:p>
          <w:p w14:paraId="734FE0B2" w14:textId="1F44A39A"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b/>
                <w:bCs/>
                <w:color w:val="000000"/>
                <w:sz w:val="16"/>
                <w:szCs w:val="16"/>
                <w:lang w:eastAsia="es-CR"/>
              </w:rPr>
              <w:t>Estudio de factibilidad: </w:t>
            </w:r>
            <w:r w:rsidRPr="00512E0A">
              <w:rPr>
                <w:rFonts w:ascii="Book Antiqua" w:eastAsia="Times New Roman" w:hAnsi="Book Antiqua" w:cs="Times New Roman"/>
                <w:color w:val="000000"/>
                <w:sz w:val="16"/>
                <w:szCs w:val="16"/>
                <w:lang w:eastAsia="es-CR"/>
              </w:rPr>
              <w:t xml:space="preserve"> verificar el costo de inversión el mismo debe coincidir con el acta de constitución, y plan de gestión revisar el monto total; en </w:t>
            </w:r>
            <w:r w:rsidR="00133DFE" w:rsidRPr="00512E0A">
              <w:rPr>
                <w:rFonts w:ascii="Book Antiqua" w:eastAsia="Times New Roman" w:hAnsi="Book Antiqua" w:cs="Times New Roman"/>
                <w:color w:val="000000"/>
                <w:sz w:val="16"/>
                <w:szCs w:val="16"/>
                <w:lang w:eastAsia="es-CR"/>
              </w:rPr>
              <w:t>análisis</w:t>
            </w:r>
            <w:r w:rsidRPr="00512E0A">
              <w:rPr>
                <w:rFonts w:ascii="Book Antiqua" w:eastAsia="Times New Roman" w:hAnsi="Book Antiqua" w:cs="Times New Roman"/>
                <w:color w:val="000000"/>
                <w:sz w:val="16"/>
                <w:szCs w:val="16"/>
                <w:lang w:eastAsia="es-CR"/>
              </w:rPr>
              <w:t xml:space="preserve"> de costo-beneficio se debe verificar el costo de inversión porque no coincide con el apartado superior; revisar el costo de operación porque el mismo se indica costos que son durante la ejecución del proyecto y no una vez concluido. </w:t>
            </w:r>
          </w:p>
        </w:tc>
      </w:tr>
      <w:tr w:rsidR="00512E0A" w:rsidRPr="00512E0A" w14:paraId="2F5AC234" w14:textId="77777777" w:rsidTr="00EF4E1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E6D1002"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2053"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390C28D8"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4000 COMISION DE LA JURISDICCION AGRARIO Y AGROAMBIENTAL </w:t>
            </w:r>
          </w:p>
        </w:tc>
        <w:tc>
          <w:tcPr>
            <w:tcW w:w="89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2287B3B9"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4000-CA-P01 </w:t>
            </w:r>
          </w:p>
        </w:tc>
        <w:tc>
          <w:tcPr>
            <w:tcW w:w="161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4B067E19"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Implementación del Código Procesal Agrario (Comisión Agraria)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3206045"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1A1315" w14:textId="77777777"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Pendiente aprobación de informe de avance </w:t>
            </w:r>
          </w:p>
        </w:tc>
      </w:tr>
      <w:tr w:rsidR="00512E0A" w:rsidRPr="00512E0A" w14:paraId="53E12E77"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7D919DC"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EC1E602"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FA1D9CF"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F2D9013"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1FCF362"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011BF35" w14:textId="77777777"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Pendiente aprobación de solicitud de cambio por parte del Director/ Administrador del proyecto </w:t>
            </w:r>
          </w:p>
        </w:tc>
      </w:tr>
      <w:tr w:rsidR="00512E0A" w:rsidRPr="00512E0A" w14:paraId="13254D6C"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0C07FC0"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3F1872B"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3DB7316"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4DAD8C0"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ABA1BB6"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0C5E66B" w14:textId="77777777"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En la solicitud de cambio se menciona un cambio en los roles; pero en este no se visualiza el cambio de líder, ni el administrador; además es importante que en estos roles si se coloque el nombre de la persona encargada del mismo. </w:t>
            </w:r>
          </w:p>
        </w:tc>
      </w:tr>
      <w:tr w:rsidR="00512E0A" w:rsidRPr="00512E0A" w14:paraId="60F36F8D"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917E4B4"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4AD9745"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2910FA7"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2124E7D"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359DC90"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96F6146" w14:textId="1A57D9C1"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 xml:space="preserve">Producto de la solicitud de cambio del pendiente 15-5-23: Estudio de factibilidad: en apartado de Planteamiento inicial del proyecto: en este apartado se deben indicar 3 alternativas de solución del problema o la mejora y porque se selecciona la misma; costo de inversión se debe verificar y debe coincidir con plan de gestión y acta de constitución; el costo de operación corresponde a los costos una vez finalizados en proyecto; el tiempo estimado se debe revisar no coincide con cronograma; </w:t>
            </w:r>
            <w:r w:rsidR="00133DFE" w:rsidRPr="00512E0A">
              <w:rPr>
                <w:rFonts w:ascii="Book Antiqua" w:eastAsia="Times New Roman" w:hAnsi="Book Antiqua" w:cs="Times New Roman"/>
                <w:color w:val="000000"/>
                <w:sz w:val="16"/>
                <w:szCs w:val="16"/>
                <w:lang w:eastAsia="es-CR"/>
              </w:rPr>
              <w:t>análisis</w:t>
            </w:r>
            <w:r w:rsidRPr="00512E0A">
              <w:rPr>
                <w:rFonts w:ascii="Book Antiqua" w:eastAsia="Times New Roman" w:hAnsi="Book Antiqua" w:cs="Times New Roman"/>
                <w:color w:val="000000"/>
                <w:sz w:val="16"/>
                <w:szCs w:val="16"/>
                <w:lang w:eastAsia="es-CR"/>
              </w:rPr>
              <w:t xml:space="preserve"> costo-beneficio se debe verificar si se var</w:t>
            </w:r>
            <w:r w:rsidR="00C3384A">
              <w:rPr>
                <w:rFonts w:ascii="Book Antiqua" w:eastAsia="Times New Roman" w:hAnsi="Book Antiqua" w:cs="Times New Roman"/>
                <w:color w:val="000000"/>
                <w:sz w:val="16"/>
                <w:szCs w:val="16"/>
                <w:lang w:eastAsia="es-CR"/>
              </w:rPr>
              <w:t>ía</w:t>
            </w:r>
            <w:r w:rsidRPr="00512E0A">
              <w:rPr>
                <w:rFonts w:ascii="Book Antiqua" w:eastAsia="Times New Roman" w:hAnsi="Book Antiqua" w:cs="Times New Roman"/>
                <w:color w:val="000000"/>
                <w:sz w:val="16"/>
                <w:szCs w:val="16"/>
                <w:lang w:eastAsia="es-CR"/>
              </w:rPr>
              <w:t xml:space="preserve"> el costo de inversión. Acta de constitución: (Se requiere que se realice en el formulario de la metodología 2)  fecha de finalización no coincide con cronograma; costo se debe coincidir con plan de gestión y estudio de factibilidad; el tiempo </w:t>
            </w:r>
            <w:r w:rsidR="00133DFE" w:rsidRPr="00512E0A">
              <w:rPr>
                <w:rFonts w:ascii="Book Antiqua" w:eastAsia="Times New Roman" w:hAnsi="Book Antiqua" w:cs="Times New Roman"/>
                <w:color w:val="000000"/>
                <w:sz w:val="16"/>
                <w:szCs w:val="16"/>
                <w:lang w:eastAsia="es-CR"/>
              </w:rPr>
              <w:t>también</w:t>
            </w:r>
            <w:r w:rsidRPr="00512E0A">
              <w:rPr>
                <w:rFonts w:ascii="Book Antiqua" w:eastAsia="Times New Roman" w:hAnsi="Book Antiqua" w:cs="Times New Roman"/>
                <w:color w:val="000000"/>
                <w:sz w:val="16"/>
                <w:szCs w:val="16"/>
                <w:lang w:eastAsia="es-CR"/>
              </w:rPr>
              <w:t xml:space="preserve"> lo deben de verificar; cronograma general es importante que se inserte un cronograma de alto nivel como se menciona en el formulario de la metodología 2; recursos del proyecto deben coincidir con plan de gestión y estudio de factibilidad. Plan de gestión: el organigrama debe coincidir con las modificaciones solicitadas; roles y responsabilidades se debe actualizar; detalle de los entregables el diagrama y el cuadro se debe actualizar para coincidir con cronograma; cronograma se debe insertar en PDF y descargado del Project; el presupuesto debe coincidir con acta de constitución y estudio de factibilidad</w:t>
            </w:r>
            <w:r w:rsidR="00C3384A">
              <w:rPr>
                <w:rFonts w:ascii="Book Antiqua" w:eastAsia="Times New Roman" w:hAnsi="Book Antiqua" w:cs="Times New Roman"/>
                <w:color w:val="000000"/>
                <w:sz w:val="16"/>
                <w:szCs w:val="16"/>
                <w:lang w:eastAsia="es-CR"/>
              </w:rPr>
              <w:t>.</w:t>
            </w:r>
          </w:p>
        </w:tc>
      </w:tr>
      <w:tr w:rsidR="00512E0A" w:rsidRPr="00512E0A" w14:paraId="02CC7D1E"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60B6C1B"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2053"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2F3F39A0"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9993 COMISION DE ACCESO A LA JUSTICIA </w:t>
            </w:r>
          </w:p>
        </w:tc>
        <w:tc>
          <w:tcPr>
            <w:tcW w:w="89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279285AB"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9993-CAJ-P01 </w:t>
            </w:r>
          </w:p>
        </w:tc>
        <w:tc>
          <w:tcPr>
            <w:tcW w:w="161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3B1EC318"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Política para el Acceso a la Justicia de los Pueblos Indígenas en el Poder Judicial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62F3E9F"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2.1 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D821780" w14:textId="77777777"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Pendiente aprobación de informe de avance </w:t>
            </w:r>
          </w:p>
        </w:tc>
      </w:tr>
      <w:tr w:rsidR="00512E0A" w:rsidRPr="00512E0A" w14:paraId="16D0B81A"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9E8A5DC"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D2FF171"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34E6B05"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26C791B"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66ED5EE"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2.1 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511CC21" w14:textId="77777777"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En informe de avance en apartado de Lista y estado de productos entregables  se debe indicar el cuadro del formato original. </w:t>
            </w:r>
          </w:p>
        </w:tc>
      </w:tr>
      <w:tr w:rsidR="00512E0A" w:rsidRPr="00512E0A" w14:paraId="489C55C8"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0337411"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0F899FA"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89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4C37D194"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9993-CAJ-P02 </w:t>
            </w:r>
          </w:p>
        </w:tc>
        <w:tc>
          <w:tcPr>
            <w:tcW w:w="161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146FF8BB"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Actualización de la Política para el Acceso a la Justicia y Equiparación de Oportunidades de Personas en situación de discapacidad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6A5C8DF"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2.1 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117C98F" w14:textId="77777777"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Pendiente aprobación de informe de avance </w:t>
            </w:r>
          </w:p>
        </w:tc>
      </w:tr>
      <w:tr w:rsidR="00512E0A" w:rsidRPr="00512E0A" w14:paraId="78CDDEBF" w14:textId="77777777" w:rsidTr="00EF4E17">
        <w:trPr>
          <w:trHeight w:val="720"/>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093A389"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AF59C5B"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B7C23E1"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47939E4"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9AEC0C9"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2.1 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026BA82" w14:textId="77777777"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En informe de avance en apartado de Aspectos relevantes del proyecto pendiente incluir el mismo. </w:t>
            </w:r>
          </w:p>
        </w:tc>
      </w:tr>
      <w:tr w:rsidR="00512E0A" w:rsidRPr="00512E0A" w14:paraId="4B3CA93E" w14:textId="77777777" w:rsidTr="00EF4E17">
        <w:trPr>
          <w:trHeight w:val="720"/>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CE73735"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D3D9C6F"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FA7204B"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98ED283"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72EA954"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2.2 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422EF22" w14:textId="77777777"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Se debe elaborar solicitud de cambio para modificar cronograma  para justificar retraso. </w:t>
            </w:r>
          </w:p>
        </w:tc>
      </w:tr>
      <w:tr w:rsidR="00512E0A" w:rsidRPr="00512E0A" w14:paraId="5A6F851B" w14:textId="77777777" w:rsidTr="00EF4E17">
        <w:trPr>
          <w:trHeight w:val="285"/>
        </w:trPr>
        <w:tc>
          <w:tcPr>
            <w:tcW w:w="141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71358AB5"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Despacho de la Presidencia </w:t>
            </w:r>
          </w:p>
        </w:tc>
        <w:tc>
          <w:tcPr>
            <w:tcW w:w="2053"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2E174421"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0653 DESPACHO DE LA PRESIDENCIA </w:t>
            </w:r>
          </w:p>
        </w:tc>
        <w:tc>
          <w:tcPr>
            <w:tcW w:w="8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D9D81ED"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0653-DP-P02 </w:t>
            </w:r>
          </w:p>
        </w:tc>
        <w:tc>
          <w:tcPr>
            <w:tcW w:w="1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E8E3611"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Régimen Disciplinario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0BD0345"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2.1 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E33206C" w14:textId="77777777"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Pendiente aprobación de informe de avance </w:t>
            </w:r>
          </w:p>
        </w:tc>
      </w:tr>
      <w:tr w:rsidR="00512E0A" w:rsidRPr="00512E0A" w14:paraId="0C21EA65"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3524DA8"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779C847"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89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6604FFA5"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0653-DP-P14 </w:t>
            </w:r>
          </w:p>
        </w:tc>
        <w:tc>
          <w:tcPr>
            <w:tcW w:w="161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68D04215"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Desarrollo e Implantación Sistema Observatorio Judicial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8418CA"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2.1 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EB7CC36" w14:textId="77777777"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Los porcentajes presentados en el informe de avance no coincide con el cronograma que se tiene, se debe modificar el mismo. </w:t>
            </w:r>
          </w:p>
        </w:tc>
      </w:tr>
      <w:tr w:rsidR="00512E0A" w:rsidRPr="00512E0A" w14:paraId="19C002BC"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C29CFB4"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B11E9E8"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94747FE"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EA1A586"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A58061C"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2.1 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DEF2089" w14:textId="77777777"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Pendiente aprobación de informe de avance </w:t>
            </w:r>
          </w:p>
        </w:tc>
      </w:tr>
      <w:tr w:rsidR="00512E0A" w:rsidRPr="00512E0A" w14:paraId="671D74EB"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635AD67"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44A30B9"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D3BD6B1"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BA80197"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751EE06"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D2532E0" w14:textId="596AE063"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Producto de la solicitud de cambio pendiente: Estudio de factibilidad</w:t>
            </w:r>
            <w:r w:rsidR="00C3384A">
              <w:rPr>
                <w:rFonts w:ascii="Book Antiqua" w:eastAsia="Times New Roman" w:hAnsi="Book Antiqua" w:cs="Times New Roman"/>
                <w:color w:val="000000"/>
                <w:sz w:val="16"/>
                <w:szCs w:val="16"/>
                <w:lang w:eastAsia="es-CR"/>
              </w:rPr>
              <w:t xml:space="preserve"> </w:t>
            </w:r>
            <w:r w:rsidRPr="00512E0A">
              <w:rPr>
                <w:rFonts w:ascii="Book Antiqua" w:eastAsia="Times New Roman" w:hAnsi="Book Antiqua" w:cs="Times New Roman"/>
                <w:color w:val="000000"/>
                <w:sz w:val="16"/>
                <w:szCs w:val="16"/>
                <w:lang w:eastAsia="es-CR"/>
              </w:rPr>
              <w:t xml:space="preserve">(formulario de DTI, se debe elaborar en formulario de metodología institucional vigente) se debe actualizar los costos, porque no </w:t>
            </w:r>
            <w:r w:rsidR="00133DFE" w:rsidRPr="00512E0A">
              <w:rPr>
                <w:rFonts w:ascii="Book Antiqua" w:eastAsia="Times New Roman" w:hAnsi="Book Antiqua" w:cs="Times New Roman"/>
                <w:color w:val="000000"/>
                <w:sz w:val="16"/>
                <w:szCs w:val="16"/>
                <w:lang w:eastAsia="es-CR"/>
              </w:rPr>
              <w:t>están</w:t>
            </w:r>
            <w:r w:rsidRPr="00512E0A">
              <w:rPr>
                <w:rFonts w:ascii="Book Antiqua" w:eastAsia="Times New Roman" w:hAnsi="Book Antiqua" w:cs="Times New Roman"/>
                <w:color w:val="000000"/>
                <w:sz w:val="16"/>
                <w:szCs w:val="16"/>
                <w:lang w:eastAsia="es-CR"/>
              </w:rPr>
              <w:t xml:space="preserve"> todos los permisos brindados. Plan de dirección del proyecto (formulario de DTI, se debe elaborar en formulario de metodología institucional vigente): revisar la estructura de desglose del proyecto, porque no coincide con el cronograma. Acta de constitución: fecha de finalización de be coincidir con cronograma; el cronogram</w:t>
            </w:r>
            <w:r w:rsidR="00133DFE">
              <w:rPr>
                <w:rFonts w:ascii="Book Antiqua" w:eastAsia="Times New Roman" w:hAnsi="Book Antiqua" w:cs="Times New Roman"/>
                <w:color w:val="000000"/>
                <w:sz w:val="16"/>
                <w:szCs w:val="16"/>
                <w:lang w:eastAsia="es-CR"/>
              </w:rPr>
              <w:t>a</w:t>
            </w:r>
            <w:r w:rsidRPr="00512E0A">
              <w:rPr>
                <w:rFonts w:ascii="Book Antiqua" w:eastAsia="Times New Roman" w:hAnsi="Book Antiqua" w:cs="Times New Roman"/>
                <w:color w:val="000000"/>
                <w:sz w:val="16"/>
                <w:szCs w:val="16"/>
                <w:lang w:eastAsia="es-CR"/>
              </w:rPr>
              <w:t xml:space="preserve"> general es un  cronograma de alto nivel; Recursos del proyecto: este debe contemplar todos los costos en los cuales ha incurrido el proyecto o incurrirá el proyecto tanto en recurso humano como gasto variable; en equipo del proyecto se deben indicar todos los roles, nombres y puestos del proyecto. (Se debe trasladar la información a la versión 2 de la metodología institucional)</w:t>
            </w:r>
            <w:r w:rsidR="00C3384A">
              <w:rPr>
                <w:rFonts w:ascii="Book Antiqua" w:eastAsia="Times New Roman" w:hAnsi="Book Antiqua" w:cs="Times New Roman"/>
                <w:color w:val="000000"/>
                <w:sz w:val="16"/>
                <w:szCs w:val="16"/>
                <w:lang w:eastAsia="es-CR"/>
              </w:rPr>
              <w:t>.</w:t>
            </w:r>
          </w:p>
        </w:tc>
      </w:tr>
      <w:tr w:rsidR="00512E0A" w:rsidRPr="00512E0A" w14:paraId="6556A473"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01B4864"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1B5092E"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92E166E"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81F694D"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817AC2D"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F352844" w14:textId="77777777"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Pendiente aprobación de solicitud de cambio 28-4-23 </w:t>
            </w:r>
          </w:p>
        </w:tc>
      </w:tr>
      <w:tr w:rsidR="00512E0A" w:rsidRPr="00512E0A" w14:paraId="738F08BC"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7EFB169"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175D69F"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89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30B7648F"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0653-DP-P16 </w:t>
            </w:r>
          </w:p>
        </w:tc>
        <w:tc>
          <w:tcPr>
            <w:tcW w:w="161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069990C7"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Mejorar desafíos en el ámbito jurisdiccional establecidos en el cuarto Informe del Estado de la Justicia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C53D911"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2.1 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7BB328C" w14:textId="77777777"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Pendiente aprobación de informe de avance </w:t>
            </w:r>
          </w:p>
        </w:tc>
      </w:tr>
      <w:tr w:rsidR="00512E0A" w:rsidRPr="00512E0A" w14:paraId="43F8D2C9"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14F195E"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28D1BC4"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A6F0844"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09CFF47"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1FA3A2F"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2.1 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796EC6D" w14:textId="77777777"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Porcentaje esperado y actual diferentes al calculado en el Project muestra un 0% y no un 10%. De hecho que no existe cronograma. </w:t>
            </w:r>
          </w:p>
        </w:tc>
      </w:tr>
      <w:tr w:rsidR="00512E0A" w:rsidRPr="00512E0A" w14:paraId="6EDDD1E4"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BBB43E8"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A2901C9"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89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32364214"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0653-DP-P17 </w:t>
            </w:r>
          </w:p>
        </w:tc>
        <w:tc>
          <w:tcPr>
            <w:tcW w:w="161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6691CCBC"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Mejorar desafíos establecidos en el Informe del Estado de la Justicia en el ámbito de la gobernanza política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2682F7A"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2.1 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1F2135D" w14:textId="77777777"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Pendiente aprobación de informe de avance </w:t>
            </w:r>
          </w:p>
        </w:tc>
      </w:tr>
      <w:tr w:rsidR="00512E0A" w:rsidRPr="00512E0A" w14:paraId="5D19A6B7"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ECA1961"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A3C7A53"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D2DA50F"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B22014D"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2989A14"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2.1 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35BA019" w14:textId="77777777"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Porcentaje esperado y actual diferentes al calculado en el Project muestra un 0% y no un 10%. De hecho que no existe cronograma. </w:t>
            </w:r>
          </w:p>
        </w:tc>
      </w:tr>
      <w:tr w:rsidR="00512E0A" w:rsidRPr="00512E0A" w14:paraId="091E77E0"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C1D9DD6"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73CEF09"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89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57AB135F"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0653-DP-P18 </w:t>
            </w:r>
          </w:p>
        </w:tc>
        <w:tc>
          <w:tcPr>
            <w:tcW w:w="161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5912FAF4"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Mejorar desafíos establecidos en el Informe del Estado de la Justicia en el ámbito de la gestión administrativa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8323B81"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2.1 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A21AE09" w14:textId="77777777"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Pendiente aprobación de informe de avance </w:t>
            </w:r>
          </w:p>
        </w:tc>
      </w:tr>
      <w:tr w:rsidR="00512E0A" w:rsidRPr="00512E0A" w14:paraId="5630314B"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0E96F5D"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6623C52"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1B0E13E"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9BDDDFE"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3FA2447"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2.1 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E4E8AD0" w14:textId="77777777"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Porcentaje esperado y actual diferentes al calculado en el Project muestra un 0% y no un 10%. De hecho que no existe cronograma. </w:t>
            </w:r>
          </w:p>
        </w:tc>
      </w:tr>
      <w:tr w:rsidR="00512E0A" w:rsidRPr="00512E0A" w14:paraId="29B61BDC"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1DFDB19"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3E5012F"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8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36B3D45"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P10-PRI-PC </w:t>
            </w:r>
          </w:p>
        </w:tc>
        <w:tc>
          <w:tcPr>
            <w:tcW w:w="1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41A47B3"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Reglamento de Carrera de la Defensa Publica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F3D6A61"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2.1 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226E89A" w14:textId="4CD45FA1"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Pendiente aprobación de informe de avance</w:t>
            </w:r>
            <w:r w:rsidR="00C3384A">
              <w:rPr>
                <w:rFonts w:ascii="Book Antiqua" w:eastAsia="Times New Roman" w:hAnsi="Book Antiqua" w:cs="Times New Roman"/>
                <w:color w:val="000000"/>
                <w:sz w:val="16"/>
                <w:szCs w:val="16"/>
                <w:lang w:eastAsia="es-CR"/>
              </w:rPr>
              <w:t>.</w:t>
            </w:r>
          </w:p>
        </w:tc>
      </w:tr>
      <w:tr w:rsidR="00512E0A" w:rsidRPr="00512E0A" w14:paraId="756E22ED" w14:textId="77777777" w:rsidTr="00EF4E17">
        <w:trPr>
          <w:trHeight w:val="285"/>
        </w:trPr>
        <w:tc>
          <w:tcPr>
            <w:tcW w:w="141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4A579E71"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Dirección de Tecnología de Información </w:t>
            </w:r>
          </w:p>
        </w:tc>
        <w:tc>
          <w:tcPr>
            <w:tcW w:w="2053"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1E662587"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0123 SUBPROCESO SISTEMAS ADMINISTRATIVOS </w:t>
            </w:r>
          </w:p>
        </w:tc>
        <w:tc>
          <w:tcPr>
            <w:tcW w:w="89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4FBA62AA"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0122-DTI-P02 </w:t>
            </w:r>
          </w:p>
        </w:tc>
        <w:tc>
          <w:tcPr>
            <w:tcW w:w="161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3C67FD8F"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Incorporación de la jurisprudencia oral en el Nexus-PJ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C771CB4"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09529B8" w14:textId="77777777"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Pendiente aprobación de solicitud de cambio 30-1-23; 8-3-23; y 31-3-23. </w:t>
            </w:r>
          </w:p>
        </w:tc>
      </w:tr>
      <w:tr w:rsidR="00512E0A" w:rsidRPr="00512E0A" w14:paraId="7D00A155"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D3EC8F3"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CAFD20B"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019B993"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5F1247B"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F1141A0"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2.1 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40F60C8" w14:textId="0A657457"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Pendiente aprobación de informe de avance</w:t>
            </w:r>
            <w:r w:rsidR="00C3384A">
              <w:rPr>
                <w:rFonts w:ascii="Book Antiqua" w:eastAsia="Times New Roman" w:hAnsi="Book Antiqua" w:cs="Times New Roman"/>
                <w:color w:val="000000"/>
                <w:sz w:val="16"/>
                <w:szCs w:val="16"/>
                <w:lang w:eastAsia="es-CR"/>
              </w:rPr>
              <w:t>.</w:t>
            </w:r>
            <w:r w:rsidRPr="00512E0A">
              <w:rPr>
                <w:rFonts w:ascii="Book Antiqua" w:eastAsia="Times New Roman" w:hAnsi="Book Antiqua" w:cs="Times New Roman"/>
                <w:color w:val="000000"/>
                <w:sz w:val="16"/>
                <w:szCs w:val="16"/>
                <w:lang w:eastAsia="es-CR"/>
              </w:rPr>
              <w:t> </w:t>
            </w:r>
          </w:p>
        </w:tc>
      </w:tr>
      <w:tr w:rsidR="00512E0A" w:rsidRPr="00512E0A" w14:paraId="4A6872B8"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C3A416D"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205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1ECBCB5"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0685 SUBPROCESO TELEMATICA </w:t>
            </w:r>
          </w:p>
        </w:tc>
        <w:tc>
          <w:tcPr>
            <w:tcW w:w="8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2101184"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0122-DTI-P11 </w:t>
            </w:r>
          </w:p>
        </w:tc>
        <w:tc>
          <w:tcPr>
            <w:tcW w:w="1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D7CE3C6"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Rediseño y Migración de Telefonía IP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B3B0635"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26A1304" w14:textId="32B71450"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Producto de la solicitud de cambio del 21-4-23, 25-4-23 pendiente: Acta de constitución: (se debe trasladar la información al formulario de la metodología 2; porque se encuentra en metodología 1) recursos del proyecto debe coincidir los costos con el plan de gestió</w:t>
            </w:r>
            <w:r w:rsidR="00133DFE">
              <w:rPr>
                <w:rFonts w:ascii="Book Antiqua" w:eastAsia="Times New Roman" w:hAnsi="Book Antiqua" w:cs="Times New Roman"/>
                <w:color w:val="000000"/>
                <w:sz w:val="16"/>
                <w:szCs w:val="16"/>
                <w:lang w:eastAsia="es-CR"/>
              </w:rPr>
              <w:t>n</w:t>
            </w:r>
            <w:r w:rsidRPr="00512E0A">
              <w:rPr>
                <w:rFonts w:ascii="Book Antiqua" w:eastAsia="Times New Roman" w:hAnsi="Book Antiqua" w:cs="Times New Roman"/>
                <w:color w:val="000000"/>
                <w:sz w:val="16"/>
                <w:szCs w:val="16"/>
                <w:lang w:eastAsia="es-CR"/>
              </w:rPr>
              <w:t xml:space="preserve"> y estudio de factibilidad el formulario adjunto no </w:t>
            </w:r>
            <w:r w:rsidR="00133DFE" w:rsidRPr="00512E0A">
              <w:rPr>
                <w:rFonts w:ascii="Book Antiqua" w:eastAsia="Times New Roman" w:hAnsi="Book Antiqua" w:cs="Times New Roman"/>
                <w:color w:val="000000"/>
                <w:sz w:val="16"/>
                <w:szCs w:val="16"/>
                <w:lang w:eastAsia="es-CR"/>
              </w:rPr>
              <w:t>permitía</w:t>
            </w:r>
            <w:r w:rsidRPr="00512E0A">
              <w:rPr>
                <w:rFonts w:ascii="Book Antiqua" w:eastAsia="Times New Roman" w:hAnsi="Book Antiqua" w:cs="Times New Roman"/>
                <w:color w:val="000000"/>
                <w:sz w:val="16"/>
                <w:szCs w:val="16"/>
                <w:lang w:eastAsia="es-CR"/>
              </w:rPr>
              <w:t xml:space="preserve"> ver dicha información por favor verificar. Plan de gestión: detalle del presupuesto revisar que coincida con acta de </w:t>
            </w:r>
            <w:r w:rsidRPr="00512E0A">
              <w:rPr>
                <w:rFonts w:ascii="Book Antiqua" w:eastAsia="Times New Roman" w:hAnsi="Book Antiqua" w:cs="Times New Roman"/>
                <w:color w:val="000000"/>
                <w:sz w:val="16"/>
                <w:szCs w:val="16"/>
                <w:lang w:eastAsia="es-CR"/>
              </w:rPr>
              <w:lastRenderedPageBreak/>
              <w:t>constitución y estudio de factibilidad, ver apartado de recurso humano ordinario y adicional porque creo que esta repetido en costo del proyecto y en este apartado. </w:t>
            </w:r>
          </w:p>
        </w:tc>
      </w:tr>
      <w:tr w:rsidR="00512E0A" w:rsidRPr="00512E0A" w14:paraId="55195961"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405D6C2"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2053"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0F0CA91F"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1845 UNIDAD INTELIGENCIA INFORMACION </w:t>
            </w:r>
          </w:p>
        </w:tc>
        <w:tc>
          <w:tcPr>
            <w:tcW w:w="89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73C0B92A"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0122-DTI-P15 </w:t>
            </w:r>
          </w:p>
        </w:tc>
        <w:tc>
          <w:tcPr>
            <w:tcW w:w="161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438C7539"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Diseño e implementación de la automatización robótica de procesos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E79D402"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2C75BCC" w14:textId="072E6AA9"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 xml:space="preserve">Producto de la solicitud de cambio del 8-2-23 y 22-5-23 pendiente: Plan de gestión: actualizar desglose de entregables, además falta incluir </w:t>
            </w:r>
            <w:r w:rsidR="00133DFE" w:rsidRPr="00512E0A">
              <w:rPr>
                <w:rFonts w:ascii="Book Antiqua" w:eastAsia="Times New Roman" w:hAnsi="Book Antiqua" w:cs="Times New Roman"/>
                <w:color w:val="000000"/>
                <w:sz w:val="16"/>
                <w:szCs w:val="16"/>
                <w:lang w:eastAsia="es-CR"/>
              </w:rPr>
              <w:t>Código</w:t>
            </w:r>
            <w:r w:rsidRPr="00512E0A">
              <w:rPr>
                <w:rFonts w:ascii="Book Antiqua" w:eastAsia="Times New Roman" w:hAnsi="Book Antiqua" w:cs="Times New Roman"/>
                <w:color w:val="000000"/>
                <w:sz w:val="16"/>
                <w:szCs w:val="16"/>
                <w:lang w:eastAsia="es-CR"/>
              </w:rPr>
              <w:t xml:space="preserve"> de EDT; Falta diagrama de la EDT; el cronograma debe insertarse en PDF descargado desde el Project; organigrama del </w:t>
            </w:r>
            <w:r w:rsidR="00133DFE" w:rsidRPr="00512E0A">
              <w:rPr>
                <w:rFonts w:ascii="Book Antiqua" w:eastAsia="Times New Roman" w:hAnsi="Book Antiqua" w:cs="Times New Roman"/>
                <w:color w:val="000000"/>
                <w:sz w:val="16"/>
                <w:szCs w:val="16"/>
                <w:lang w:eastAsia="es-CR"/>
              </w:rPr>
              <w:t>proyecto</w:t>
            </w:r>
            <w:r w:rsidRPr="00512E0A">
              <w:rPr>
                <w:rFonts w:ascii="Book Antiqua" w:eastAsia="Times New Roman" w:hAnsi="Book Antiqua" w:cs="Times New Roman"/>
                <w:color w:val="000000"/>
                <w:sz w:val="16"/>
                <w:szCs w:val="16"/>
                <w:lang w:eastAsia="es-CR"/>
              </w:rPr>
              <w:t xml:space="preserve"> debe ser un organigrama que muestre la </w:t>
            </w:r>
            <w:r w:rsidR="00133DFE" w:rsidRPr="00512E0A">
              <w:rPr>
                <w:rFonts w:ascii="Book Antiqua" w:eastAsia="Times New Roman" w:hAnsi="Book Antiqua" w:cs="Times New Roman"/>
                <w:color w:val="000000"/>
                <w:sz w:val="16"/>
                <w:szCs w:val="16"/>
                <w:lang w:eastAsia="es-CR"/>
              </w:rPr>
              <w:t>jerarquía</w:t>
            </w:r>
            <w:r w:rsidRPr="00512E0A">
              <w:rPr>
                <w:rFonts w:ascii="Book Antiqua" w:eastAsia="Times New Roman" w:hAnsi="Book Antiqua" w:cs="Times New Roman"/>
                <w:color w:val="000000"/>
                <w:sz w:val="16"/>
                <w:szCs w:val="16"/>
                <w:lang w:eastAsia="es-CR"/>
              </w:rPr>
              <w:t xml:space="preserve"> del proyecto por rol y participantes del mismo;</w:t>
            </w:r>
            <w:r w:rsidR="00133DFE">
              <w:rPr>
                <w:rFonts w:ascii="Book Antiqua" w:eastAsia="Times New Roman" w:hAnsi="Book Antiqua" w:cs="Times New Roman"/>
                <w:color w:val="000000"/>
                <w:sz w:val="16"/>
                <w:szCs w:val="16"/>
                <w:lang w:eastAsia="es-CR"/>
              </w:rPr>
              <w:t xml:space="preserve"> </w:t>
            </w:r>
            <w:r w:rsidRPr="00512E0A">
              <w:rPr>
                <w:rFonts w:ascii="Book Antiqua" w:eastAsia="Times New Roman" w:hAnsi="Book Antiqua" w:cs="Times New Roman"/>
                <w:color w:val="000000"/>
                <w:sz w:val="16"/>
                <w:szCs w:val="16"/>
                <w:lang w:eastAsia="es-CR"/>
              </w:rPr>
              <w:t xml:space="preserve">beneficios esperados debe coincidir con estudio de factibilidad. Acta de constitución: Falta </w:t>
            </w:r>
            <w:r w:rsidR="00133DFE" w:rsidRPr="00512E0A">
              <w:rPr>
                <w:rFonts w:ascii="Book Antiqua" w:eastAsia="Times New Roman" w:hAnsi="Book Antiqua" w:cs="Times New Roman"/>
                <w:color w:val="000000"/>
                <w:sz w:val="16"/>
                <w:szCs w:val="16"/>
                <w:lang w:eastAsia="es-CR"/>
              </w:rPr>
              <w:t>Código</w:t>
            </w:r>
            <w:r w:rsidRPr="00512E0A">
              <w:rPr>
                <w:rFonts w:ascii="Book Antiqua" w:eastAsia="Times New Roman" w:hAnsi="Book Antiqua" w:cs="Times New Roman"/>
                <w:color w:val="000000"/>
                <w:sz w:val="16"/>
                <w:szCs w:val="16"/>
                <w:lang w:eastAsia="es-CR"/>
              </w:rPr>
              <w:t xml:space="preserve"> del proyecto (Se debe trasladar la información al formulario vigente actualmente, </w:t>
            </w:r>
            <w:r w:rsidR="00133DFE" w:rsidRPr="00512E0A">
              <w:rPr>
                <w:rFonts w:ascii="Book Antiqua" w:eastAsia="Times New Roman" w:hAnsi="Book Antiqua" w:cs="Times New Roman"/>
                <w:color w:val="000000"/>
                <w:sz w:val="16"/>
                <w:szCs w:val="16"/>
                <w:lang w:eastAsia="es-CR"/>
              </w:rPr>
              <w:t>según</w:t>
            </w:r>
            <w:r w:rsidRPr="00512E0A">
              <w:rPr>
                <w:rFonts w:ascii="Book Antiqua" w:eastAsia="Times New Roman" w:hAnsi="Book Antiqua" w:cs="Times New Roman"/>
                <w:color w:val="000000"/>
                <w:sz w:val="16"/>
                <w:szCs w:val="16"/>
                <w:lang w:eastAsia="es-CR"/>
              </w:rPr>
              <w:t xml:space="preserve"> la </w:t>
            </w:r>
            <w:r w:rsidR="00133DFE" w:rsidRPr="00512E0A">
              <w:rPr>
                <w:rFonts w:ascii="Book Antiqua" w:eastAsia="Times New Roman" w:hAnsi="Book Antiqua" w:cs="Times New Roman"/>
                <w:color w:val="000000"/>
                <w:sz w:val="16"/>
                <w:szCs w:val="16"/>
                <w:lang w:eastAsia="es-CR"/>
              </w:rPr>
              <w:t>versión</w:t>
            </w:r>
            <w:r w:rsidRPr="00512E0A">
              <w:rPr>
                <w:rFonts w:ascii="Book Antiqua" w:eastAsia="Times New Roman" w:hAnsi="Book Antiqua" w:cs="Times New Roman"/>
                <w:color w:val="000000"/>
                <w:sz w:val="16"/>
                <w:szCs w:val="16"/>
                <w:lang w:eastAsia="es-CR"/>
              </w:rPr>
              <w:t xml:space="preserve"> 2 de la metodología de proyectos institucional). Estudio de factibilidad: en apartado de Planteamiento inicial del proyecto: en este apartado se deben indicar 3 alternativas de solución del problema o la mejora y porque se selecciona la misma; cuantificación de los beneficios se debe indicar un monto; costo de operación corresponde a los costos una vez concluido el proyecto no durante la ejecución del mismo. </w:t>
            </w:r>
          </w:p>
        </w:tc>
      </w:tr>
      <w:tr w:rsidR="00512E0A" w:rsidRPr="00512E0A" w14:paraId="3B09A2DD"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886C7E3"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5AF2DA6"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C771F81"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1008EC6"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D7225E2"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2.1 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F2434C7" w14:textId="4DB4D937"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Pendiente aprobación de informe de avance</w:t>
            </w:r>
            <w:r w:rsidR="009C5FEA">
              <w:rPr>
                <w:rFonts w:ascii="Book Antiqua" w:eastAsia="Times New Roman" w:hAnsi="Book Antiqua" w:cs="Times New Roman"/>
                <w:color w:val="000000"/>
                <w:sz w:val="16"/>
                <w:szCs w:val="16"/>
                <w:lang w:eastAsia="es-CR"/>
              </w:rPr>
              <w:t>.</w:t>
            </w:r>
            <w:r w:rsidRPr="00512E0A">
              <w:rPr>
                <w:rFonts w:ascii="Book Antiqua" w:eastAsia="Times New Roman" w:hAnsi="Book Antiqua" w:cs="Times New Roman"/>
                <w:color w:val="000000"/>
                <w:sz w:val="16"/>
                <w:szCs w:val="16"/>
                <w:lang w:eastAsia="es-CR"/>
              </w:rPr>
              <w:t> </w:t>
            </w:r>
          </w:p>
        </w:tc>
      </w:tr>
      <w:tr w:rsidR="00512E0A" w:rsidRPr="00512E0A" w14:paraId="7C233456"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BB9D9B0"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3E13A3D"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283EF09"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A75DA93"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64F1CFB"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2.1 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417B262" w14:textId="2DFDF716"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 xml:space="preserve">Pendiente elaborar informa de avance en formulario de metodología </w:t>
            </w:r>
            <w:r w:rsidR="00133DFE" w:rsidRPr="00512E0A">
              <w:rPr>
                <w:rFonts w:ascii="Book Antiqua" w:eastAsia="Times New Roman" w:hAnsi="Book Antiqua" w:cs="Times New Roman"/>
                <w:color w:val="000000"/>
                <w:sz w:val="16"/>
                <w:szCs w:val="16"/>
                <w:lang w:eastAsia="es-CR"/>
              </w:rPr>
              <w:t>institucional</w:t>
            </w:r>
            <w:r w:rsidR="009C5FEA">
              <w:rPr>
                <w:rFonts w:ascii="Book Antiqua" w:eastAsia="Times New Roman" w:hAnsi="Book Antiqua" w:cs="Times New Roman"/>
                <w:color w:val="000000"/>
                <w:sz w:val="16"/>
                <w:szCs w:val="16"/>
                <w:lang w:eastAsia="es-CR"/>
              </w:rPr>
              <w:t>.</w:t>
            </w:r>
            <w:r w:rsidRPr="00512E0A">
              <w:rPr>
                <w:rFonts w:ascii="Book Antiqua" w:eastAsia="Times New Roman" w:hAnsi="Book Antiqua" w:cs="Times New Roman"/>
                <w:color w:val="000000"/>
                <w:sz w:val="16"/>
                <w:szCs w:val="16"/>
                <w:lang w:eastAsia="es-CR"/>
              </w:rPr>
              <w:t> </w:t>
            </w:r>
          </w:p>
        </w:tc>
      </w:tr>
      <w:tr w:rsidR="00512E0A" w:rsidRPr="00512E0A" w14:paraId="535CBCEF"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D9BC62B"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205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C0E5470"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0686 SUBPROCESO GESTION DEL SERVICIO </w:t>
            </w:r>
          </w:p>
        </w:tc>
        <w:tc>
          <w:tcPr>
            <w:tcW w:w="8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CA070F"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0122-DTI-P16 </w:t>
            </w:r>
          </w:p>
        </w:tc>
        <w:tc>
          <w:tcPr>
            <w:tcW w:w="1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D7D9109"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Implantación del Nuevo Sistema de Gestión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531BDCB"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2.1 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04ADF14" w14:textId="02FCD43F"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Pendiente aprobación de informe de avance</w:t>
            </w:r>
            <w:r w:rsidR="009C5FEA">
              <w:rPr>
                <w:rFonts w:ascii="Book Antiqua" w:eastAsia="Times New Roman" w:hAnsi="Book Antiqua" w:cs="Times New Roman"/>
                <w:color w:val="000000"/>
                <w:sz w:val="16"/>
                <w:szCs w:val="16"/>
                <w:lang w:eastAsia="es-CR"/>
              </w:rPr>
              <w:t>.</w:t>
            </w:r>
            <w:r w:rsidRPr="00512E0A">
              <w:rPr>
                <w:rFonts w:ascii="Book Antiqua" w:eastAsia="Times New Roman" w:hAnsi="Book Antiqua" w:cs="Times New Roman"/>
                <w:color w:val="000000"/>
                <w:sz w:val="16"/>
                <w:szCs w:val="16"/>
                <w:lang w:eastAsia="es-CR"/>
              </w:rPr>
              <w:t> </w:t>
            </w:r>
          </w:p>
        </w:tc>
      </w:tr>
      <w:tr w:rsidR="00512E0A" w:rsidRPr="00512E0A" w14:paraId="0C33BEA6"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7C8FF49"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205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4F648F1"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0123 SUBPROCESO SISTEMAS ADMINISTRATIVOS </w:t>
            </w:r>
          </w:p>
        </w:tc>
        <w:tc>
          <w:tcPr>
            <w:tcW w:w="8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75932F2"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0122-DTI-P14 </w:t>
            </w:r>
          </w:p>
        </w:tc>
        <w:tc>
          <w:tcPr>
            <w:tcW w:w="1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4044F40"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Migración del Sistema Integrado de Ejecución Presupuestario (SIGA-PJ)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460FBDB"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2.1 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7AABD7A" w14:textId="386732C7"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Pendiente aprobación de informe de avance</w:t>
            </w:r>
            <w:r w:rsidR="009C5FEA">
              <w:rPr>
                <w:rFonts w:ascii="Book Antiqua" w:eastAsia="Times New Roman" w:hAnsi="Book Antiqua" w:cs="Times New Roman"/>
                <w:color w:val="000000"/>
                <w:sz w:val="16"/>
                <w:szCs w:val="16"/>
                <w:lang w:eastAsia="es-CR"/>
              </w:rPr>
              <w:t>.</w:t>
            </w:r>
            <w:r w:rsidRPr="00512E0A">
              <w:rPr>
                <w:rFonts w:ascii="Book Antiqua" w:eastAsia="Times New Roman" w:hAnsi="Book Antiqua" w:cs="Times New Roman"/>
                <w:color w:val="000000"/>
                <w:sz w:val="16"/>
                <w:szCs w:val="16"/>
                <w:lang w:eastAsia="es-CR"/>
              </w:rPr>
              <w:t> </w:t>
            </w:r>
          </w:p>
        </w:tc>
      </w:tr>
      <w:tr w:rsidR="00512E0A" w:rsidRPr="00512E0A" w14:paraId="042A908F" w14:textId="77777777" w:rsidTr="00EF4E17">
        <w:trPr>
          <w:trHeight w:val="285"/>
        </w:trPr>
        <w:tc>
          <w:tcPr>
            <w:tcW w:w="141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3825AB2A"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Dirección Ejecutiva </w:t>
            </w:r>
          </w:p>
        </w:tc>
        <w:tc>
          <w:tcPr>
            <w:tcW w:w="205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244154"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0147 DEPARTAMENTO DE SEGURIDAD </w:t>
            </w:r>
          </w:p>
        </w:tc>
        <w:tc>
          <w:tcPr>
            <w:tcW w:w="8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1EAE98A"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0117-DE-P01 </w:t>
            </w:r>
          </w:p>
        </w:tc>
        <w:tc>
          <w:tcPr>
            <w:tcW w:w="1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C0E2B8C"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Sistema Control de Accesos y Asistencia Electrónica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6A98095"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FB6D587" w14:textId="447312E3"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 xml:space="preserve">Producto de la solicitud de cambio del 5-5-23 pendiente: Plan de gestión: corregir cuadro de EDT el mismo debe indicar las diferentes fases y entregables; </w:t>
            </w:r>
            <w:r w:rsidR="00133DFE" w:rsidRPr="00512E0A">
              <w:rPr>
                <w:rFonts w:ascii="Book Antiqua" w:eastAsia="Times New Roman" w:hAnsi="Book Antiqua" w:cs="Times New Roman"/>
                <w:color w:val="000000"/>
                <w:sz w:val="16"/>
                <w:szCs w:val="16"/>
                <w:lang w:eastAsia="es-CR"/>
              </w:rPr>
              <w:t>además</w:t>
            </w:r>
            <w:r w:rsidRPr="00512E0A">
              <w:rPr>
                <w:rFonts w:ascii="Book Antiqua" w:eastAsia="Times New Roman" w:hAnsi="Book Antiqua" w:cs="Times New Roman"/>
                <w:color w:val="000000"/>
                <w:sz w:val="16"/>
                <w:szCs w:val="16"/>
                <w:lang w:eastAsia="es-CR"/>
              </w:rPr>
              <w:t xml:space="preserve"> se debe corregir el cronograma para que </w:t>
            </w:r>
            <w:r w:rsidR="00133DFE" w:rsidRPr="00512E0A">
              <w:rPr>
                <w:rFonts w:ascii="Book Antiqua" w:eastAsia="Times New Roman" w:hAnsi="Book Antiqua" w:cs="Times New Roman"/>
                <w:color w:val="000000"/>
                <w:sz w:val="16"/>
                <w:szCs w:val="16"/>
                <w:lang w:eastAsia="es-CR"/>
              </w:rPr>
              <w:t>también</w:t>
            </w:r>
            <w:r w:rsidRPr="00512E0A">
              <w:rPr>
                <w:rFonts w:ascii="Book Antiqua" w:eastAsia="Times New Roman" w:hAnsi="Book Antiqua" w:cs="Times New Roman"/>
                <w:color w:val="000000"/>
                <w:sz w:val="16"/>
                <w:szCs w:val="16"/>
                <w:lang w:eastAsia="es-CR"/>
              </w:rPr>
              <w:t xml:space="preserve"> </w:t>
            </w:r>
            <w:r w:rsidR="00133DFE" w:rsidRPr="00512E0A">
              <w:rPr>
                <w:rFonts w:ascii="Book Antiqua" w:eastAsia="Times New Roman" w:hAnsi="Book Antiqua" w:cs="Times New Roman"/>
                <w:color w:val="000000"/>
                <w:sz w:val="16"/>
                <w:szCs w:val="16"/>
                <w:lang w:eastAsia="es-CR"/>
              </w:rPr>
              <w:t>indica</w:t>
            </w:r>
            <w:r w:rsidR="00133DFE">
              <w:rPr>
                <w:rFonts w:ascii="Book Antiqua" w:eastAsia="Times New Roman" w:hAnsi="Book Antiqua" w:cs="Times New Roman"/>
                <w:color w:val="000000"/>
                <w:sz w:val="16"/>
                <w:szCs w:val="16"/>
                <w:lang w:eastAsia="es-CR"/>
              </w:rPr>
              <w:t xml:space="preserve"> </w:t>
            </w:r>
            <w:r w:rsidRPr="00512E0A">
              <w:rPr>
                <w:rFonts w:ascii="Book Antiqua" w:eastAsia="Times New Roman" w:hAnsi="Book Antiqua" w:cs="Times New Roman"/>
                <w:color w:val="000000"/>
                <w:sz w:val="16"/>
                <w:szCs w:val="16"/>
                <w:lang w:eastAsia="es-CR"/>
              </w:rPr>
              <w:t>que las fases de formulación, planificación, ejecución y cierre; en el diagrama de la EDT falta indicar correctamente la codificación. </w:t>
            </w:r>
          </w:p>
        </w:tc>
      </w:tr>
      <w:tr w:rsidR="00512E0A" w:rsidRPr="00512E0A" w14:paraId="5739E6F0"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FF882BB"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205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BBC3666"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0140 DEPARTAMENTO DE PROVEEDURIA </w:t>
            </w:r>
          </w:p>
        </w:tc>
        <w:tc>
          <w:tcPr>
            <w:tcW w:w="8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E7FA145"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0117-DE-P14 </w:t>
            </w:r>
          </w:p>
        </w:tc>
        <w:tc>
          <w:tcPr>
            <w:tcW w:w="1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15AD971"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Implementación del Sistema de Compras Públicas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55483D2"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2.1 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651B282" w14:textId="6A13D77B"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Producto de la solicitud de cambio del 4-5-23 pendiente:</w:t>
            </w:r>
            <w:r w:rsidR="00133DFE">
              <w:rPr>
                <w:rFonts w:ascii="Book Antiqua" w:eastAsia="Times New Roman" w:hAnsi="Book Antiqua" w:cs="Times New Roman"/>
                <w:color w:val="000000"/>
                <w:sz w:val="16"/>
                <w:szCs w:val="16"/>
                <w:lang w:eastAsia="es-CR"/>
              </w:rPr>
              <w:t xml:space="preserve"> </w:t>
            </w:r>
            <w:r w:rsidRPr="00512E0A">
              <w:rPr>
                <w:rFonts w:ascii="Book Antiqua" w:eastAsia="Times New Roman" w:hAnsi="Book Antiqua" w:cs="Times New Roman"/>
                <w:color w:val="000000"/>
                <w:sz w:val="16"/>
                <w:szCs w:val="16"/>
                <w:lang w:eastAsia="es-CR"/>
              </w:rPr>
              <w:t xml:space="preserve">Plan de gestión: el diagrama de la EDT le falta la fase de cierre,  igualmente en el cuadro de  detalle de los entregables falta el 4.1. Acta de constitución: cronograma de alto nivel se debe incluir de la fase de ejecución los años en el cual se pretende  finalizar con cada entregable; recursos del proyecto en este se debe indicar los montos tal como se mencionan en el plan de gestión en el apartado de </w:t>
            </w:r>
            <w:r w:rsidRPr="00512E0A">
              <w:rPr>
                <w:rFonts w:ascii="Book Antiqua" w:eastAsia="Times New Roman" w:hAnsi="Book Antiqua" w:cs="Times New Roman"/>
                <w:color w:val="000000"/>
                <w:sz w:val="16"/>
                <w:szCs w:val="16"/>
                <w:lang w:eastAsia="es-CR"/>
              </w:rPr>
              <w:lastRenderedPageBreak/>
              <w:t xml:space="preserve">presupuesto; Factores </w:t>
            </w:r>
            <w:r w:rsidR="00133DFE" w:rsidRPr="00512E0A">
              <w:rPr>
                <w:rFonts w:ascii="Book Antiqua" w:eastAsia="Times New Roman" w:hAnsi="Book Antiqua" w:cs="Times New Roman"/>
                <w:color w:val="000000"/>
                <w:sz w:val="16"/>
                <w:szCs w:val="16"/>
                <w:lang w:eastAsia="es-CR"/>
              </w:rPr>
              <w:t>críticos</w:t>
            </w:r>
            <w:r w:rsidRPr="00512E0A">
              <w:rPr>
                <w:rFonts w:ascii="Book Antiqua" w:eastAsia="Times New Roman" w:hAnsi="Book Antiqua" w:cs="Times New Roman"/>
                <w:color w:val="000000"/>
                <w:sz w:val="16"/>
                <w:szCs w:val="16"/>
                <w:lang w:eastAsia="es-CR"/>
              </w:rPr>
              <w:t xml:space="preserve"> de </w:t>
            </w:r>
            <w:r w:rsidR="00133DFE" w:rsidRPr="00512E0A">
              <w:rPr>
                <w:rFonts w:ascii="Book Antiqua" w:eastAsia="Times New Roman" w:hAnsi="Book Antiqua" w:cs="Times New Roman"/>
                <w:color w:val="000000"/>
                <w:sz w:val="16"/>
                <w:szCs w:val="16"/>
                <w:lang w:eastAsia="es-CR"/>
              </w:rPr>
              <w:t>éxito</w:t>
            </w:r>
            <w:r w:rsidRPr="00512E0A">
              <w:rPr>
                <w:rFonts w:ascii="Book Antiqua" w:eastAsia="Times New Roman" w:hAnsi="Book Antiqua" w:cs="Times New Roman"/>
                <w:color w:val="000000"/>
                <w:sz w:val="16"/>
                <w:szCs w:val="16"/>
                <w:lang w:eastAsia="es-CR"/>
              </w:rPr>
              <w:t xml:space="preserve">, se debe indicar lo mismo que se menciona en el plan de gestión en el </w:t>
            </w:r>
            <w:r w:rsidR="00133DFE" w:rsidRPr="00512E0A">
              <w:rPr>
                <w:rFonts w:ascii="Book Antiqua" w:eastAsia="Times New Roman" w:hAnsi="Book Antiqua" w:cs="Times New Roman"/>
                <w:color w:val="000000"/>
                <w:sz w:val="16"/>
                <w:szCs w:val="16"/>
                <w:lang w:eastAsia="es-CR"/>
              </w:rPr>
              <w:t>apartado</w:t>
            </w:r>
            <w:r w:rsidRPr="00512E0A">
              <w:rPr>
                <w:rFonts w:ascii="Book Antiqua" w:eastAsia="Times New Roman" w:hAnsi="Book Antiqua" w:cs="Times New Roman"/>
                <w:color w:val="000000"/>
                <w:sz w:val="16"/>
                <w:szCs w:val="16"/>
                <w:lang w:eastAsia="es-CR"/>
              </w:rPr>
              <w:t xml:space="preserve"> de alcance dentro del cuadro; equipo del proyecto debe establecerse los roles y nombre de las personas que conforman todo el proyecto desde el patrocinador hasta el equipo de proyecto. </w:t>
            </w:r>
          </w:p>
        </w:tc>
      </w:tr>
      <w:tr w:rsidR="00512E0A" w:rsidRPr="00512E0A" w14:paraId="3F30D790"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35D6A7D"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205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1CB2D6E"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0147 DEPARTAMENTO DE SEGURIDAD </w:t>
            </w:r>
          </w:p>
        </w:tc>
        <w:tc>
          <w:tcPr>
            <w:tcW w:w="8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A9A9DA4"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0117-DE-P21 </w:t>
            </w:r>
          </w:p>
        </w:tc>
        <w:tc>
          <w:tcPr>
            <w:tcW w:w="1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89E7DC2"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Sistema de Voceo y Comunicación Institucional para la Corte Suprema de Justicia y la de Plaza de la Justicia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34B6BDE"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2.1 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F760F2C" w14:textId="77777777" w:rsidR="00512E0A" w:rsidRPr="00512E0A" w:rsidRDefault="00512E0A" w:rsidP="00133DFE">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Porcentaje de avance real esta diferentes al mostrado en el Project muestra un 59% y no un 44%. </w:t>
            </w:r>
          </w:p>
        </w:tc>
      </w:tr>
      <w:tr w:rsidR="003411FA" w:rsidRPr="00512E0A" w14:paraId="4AC6541B"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FCA7B37" w14:textId="77777777" w:rsidR="003411FA" w:rsidRPr="00512E0A" w:rsidRDefault="003411FA" w:rsidP="00512E0A">
            <w:pPr>
              <w:spacing w:after="0" w:line="240" w:lineRule="auto"/>
              <w:rPr>
                <w:rFonts w:ascii="Times New Roman" w:eastAsia="Times New Roman" w:hAnsi="Times New Roman" w:cs="Times New Roman"/>
                <w:sz w:val="24"/>
                <w:szCs w:val="24"/>
                <w:lang w:eastAsia="es-CR"/>
              </w:rPr>
            </w:pPr>
          </w:p>
        </w:tc>
        <w:tc>
          <w:tcPr>
            <w:tcW w:w="2053" w:type="dxa"/>
            <w:vMerge w:val="restart"/>
            <w:tcBorders>
              <w:top w:val="single" w:sz="6" w:space="0" w:color="auto"/>
              <w:left w:val="single" w:sz="6" w:space="0" w:color="auto"/>
              <w:right w:val="single" w:sz="6" w:space="0" w:color="auto"/>
            </w:tcBorders>
            <w:shd w:val="clear" w:color="auto" w:fill="FFFFFF"/>
            <w:vAlign w:val="center"/>
            <w:hideMark/>
          </w:tcPr>
          <w:p w14:paraId="0D86AF5E"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0140 DEPARTAMENTO DE PROVEEDURIA </w:t>
            </w:r>
          </w:p>
          <w:p w14:paraId="03026A6A"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 </w:t>
            </w:r>
          </w:p>
          <w:p w14:paraId="0EB92001"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 </w:t>
            </w:r>
          </w:p>
          <w:p w14:paraId="25E5C6E5" w14:textId="6F0D8261"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 </w:t>
            </w:r>
          </w:p>
        </w:tc>
        <w:tc>
          <w:tcPr>
            <w:tcW w:w="89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7B0C17D4"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0117-DE-P29 </w:t>
            </w:r>
          </w:p>
        </w:tc>
        <w:tc>
          <w:tcPr>
            <w:tcW w:w="161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19FB1BA6"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Sistema de Inventario y Materiales de la Proveeduría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1607E0E"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2.1 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DD0B540" w14:textId="6094FDD9" w:rsidR="003411FA" w:rsidRPr="00512E0A" w:rsidRDefault="003411FA" w:rsidP="00E0627C">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Porcentaje esperado diferentes al calculado en el Project muestra un 77% y no un 76%. Igualmente el porcentaje actual, no coincide con el cronograma del Project el cual está en 38%. </w:t>
            </w:r>
          </w:p>
        </w:tc>
      </w:tr>
      <w:tr w:rsidR="003411FA" w:rsidRPr="00512E0A" w14:paraId="7908CD88"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5957364" w14:textId="77777777" w:rsidR="003411FA" w:rsidRPr="00512E0A" w:rsidRDefault="003411FA" w:rsidP="00512E0A">
            <w:pPr>
              <w:spacing w:after="0" w:line="240" w:lineRule="auto"/>
              <w:rPr>
                <w:rFonts w:ascii="Times New Roman" w:eastAsia="Times New Roman" w:hAnsi="Times New Roman" w:cs="Times New Roman"/>
                <w:sz w:val="24"/>
                <w:szCs w:val="24"/>
                <w:lang w:eastAsia="es-CR"/>
              </w:rPr>
            </w:pPr>
          </w:p>
        </w:tc>
        <w:tc>
          <w:tcPr>
            <w:tcW w:w="2053" w:type="dxa"/>
            <w:vMerge/>
            <w:tcBorders>
              <w:left w:val="single" w:sz="6" w:space="0" w:color="auto"/>
              <w:right w:val="single" w:sz="6" w:space="0" w:color="auto"/>
            </w:tcBorders>
            <w:shd w:val="clear" w:color="auto" w:fill="FFFFFF"/>
            <w:vAlign w:val="center"/>
            <w:hideMark/>
          </w:tcPr>
          <w:p w14:paraId="4178862A" w14:textId="47DFA741"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7BFD3FF" w14:textId="77777777" w:rsidR="003411FA" w:rsidRPr="00512E0A" w:rsidRDefault="003411F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534B634" w14:textId="77777777" w:rsidR="003411FA" w:rsidRPr="00512E0A" w:rsidRDefault="003411FA" w:rsidP="00512E0A">
            <w:pPr>
              <w:spacing w:after="0" w:line="240" w:lineRule="auto"/>
              <w:rPr>
                <w:rFonts w:ascii="Times New Roman" w:eastAsia="Times New Roman" w:hAnsi="Times New Roman" w:cs="Times New Roman"/>
                <w:sz w:val="24"/>
                <w:szCs w:val="24"/>
                <w:lang w:eastAsia="es-CR"/>
              </w:rPr>
            </w:pP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23EB730"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B06A585" w14:textId="163E7CB4" w:rsidR="003411FA" w:rsidRPr="00512E0A" w:rsidRDefault="003411FA" w:rsidP="00E0627C">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Pendiente aprobación de solicitud de cambio</w:t>
            </w:r>
            <w:r>
              <w:rPr>
                <w:rFonts w:ascii="Book Antiqua" w:eastAsia="Times New Roman" w:hAnsi="Book Antiqua" w:cs="Times New Roman"/>
                <w:color w:val="000000"/>
                <w:sz w:val="16"/>
                <w:szCs w:val="16"/>
                <w:lang w:eastAsia="es-CR"/>
              </w:rPr>
              <w:t>.</w:t>
            </w:r>
            <w:r w:rsidRPr="00512E0A">
              <w:rPr>
                <w:rFonts w:ascii="Book Antiqua" w:eastAsia="Times New Roman" w:hAnsi="Book Antiqua" w:cs="Times New Roman"/>
                <w:color w:val="000000"/>
                <w:sz w:val="16"/>
                <w:szCs w:val="16"/>
                <w:lang w:eastAsia="es-CR"/>
              </w:rPr>
              <w:t> </w:t>
            </w:r>
          </w:p>
        </w:tc>
      </w:tr>
      <w:tr w:rsidR="003411FA" w:rsidRPr="00512E0A" w14:paraId="6733DDB8" w14:textId="77777777" w:rsidTr="00EF4E17">
        <w:trPr>
          <w:trHeight w:val="1920"/>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1C1E21A" w14:textId="77777777" w:rsidR="003411FA" w:rsidRPr="00512E0A" w:rsidRDefault="003411FA" w:rsidP="00512E0A">
            <w:pPr>
              <w:spacing w:after="0" w:line="240" w:lineRule="auto"/>
              <w:rPr>
                <w:rFonts w:ascii="Times New Roman" w:eastAsia="Times New Roman" w:hAnsi="Times New Roman" w:cs="Times New Roman"/>
                <w:sz w:val="24"/>
                <w:szCs w:val="24"/>
                <w:lang w:eastAsia="es-CR"/>
              </w:rPr>
            </w:pPr>
          </w:p>
        </w:tc>
        <w:tc>
          <w:tcPr>
            <w:tcW w:w="2053" w:type="dxa"/>
            <w:vMerge/>
            <w:tcBorders>
              <w:left w:val="single" w:sz="6" w:space="0" w:color="auto"/>
              <w:right w:val="single" w:sz="6" w:space="0" w:color="auto"/>
            </w:tcBorders>
            <w:shd w:val="clear" w:color="auto" w:fill="FFFFFF"/>
            <w:vAlign w:val="center"/>
            <w:hideMark/>
          </w:tcPr>
          <w:p w14:paraId="660BD77C" w14:textId="4491A20A"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F569A4B" w14:textId="77777777" w:rsidR="003411FA" w:rsidRPr="00512E0A" w:rsidRDefault="003411F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86A1ED0" w14:textId="77777777" w:rsidR="003411FA" w:rsidRPr="00512E0A" w:rsidRDefault="003411FA" w:rsidP="00512E0A">
            <w:pPr>
              <w:spacing w:after="0" w:line="240" w:lineRule="auto"/>
              <w:rPr>
                <w:rFonts w:ascii="Times New Roman" w:eastAsia="Times New Roman" w:hAnsi="Times New Roman" w:cs="Times New Roman"/>
                <w:sz w:val="24"/>
                <w:szCs w:val="24"/>
                <w:lang w:eastAsia="es-CR"/>
              </w:rPr>
            </w:pP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A2CFD3C"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AFBC150" w14:textId="77777777" w:rsidR="003411FA" w:rsidRPr="00512E0A" w:rsidRDefault="003411FA" w:rsidP="00E0627C">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Pendiente actualizar cronograma producto de la solicitud de cambio del 7-3-23. </w:t>
            </w:r>
          </w:p>
        </w:tc>
      </w:tr>
      <w:tr w:rsidR="003411FA" w:rsidRPr="00512E0A" w14:paraId="701DF101"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BCDDCDF" w14:textId="77777777" w:rsidR="003411FA" w:rsidRPr="00512E0A" w:rsidRDefault="003411FA" w:rsidP="00512E0A">
            <w:pPr>
              <w:spacing w:after="0" w:line="240" w:lineRule="auto"/>
              <w:rPr>
                <w:rFonts w:ascii="Times New Roman" w:eastAsia="Times New Roman" w:hAnsi="Times New Roman" w:cs="Times New Roman"/>
                <w:sz w:val="24"/>
                <w:szCs w:val="24"/>
                <w:lang w:eastAsia="es-CR"/>
              </w:rPr>
            </w:pPr>
          </w:p>
        </w:tc>
        <w:tc>
          <w:tcPr>
            <w:tcW w:w="2053" w:type="dxa"/>
            <w:vMerge/>
            <w:tcBorders>
              <w:left w:val="single" w:sz="6" w:space="0" w:color="auto"/>
              <w:bottom w:val="single" w:sz="6" w:space="0" w:color="auto"/>
              <w:right w:val="single" w:sz="6" w:space="0" w:color="auto"/>
            </w:tcBorders>
            <w:shd w:val="clear" w:color="auto" w:fill="FFFFFF"/>
            <w:vAlign w:val="center"/>
            <w:hideMark/>
          </w:tcPr>
          <w:p w14:paraId="339F289C" w14:textId="687FADE4"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BE5BB17" w14:textId="77777777" w:rsidR="003411FA" w:rsidRPr="00512E0A" w:rsidRDefault="003411F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7475A11" w14:textId="77777777" w:rsidR="003411FA" w:rsidRPr="00512E0A" w:rsidRDefault="003411FA" w:rsidP="00512E0A">
            <w:pPr>
              <w:spacing w:after="0" w:line="240" w:lineRule="auto"/>
              <w:rPr>
                <w:rFonts w:ascii="Times New Roman" w:eastAsia="Times New Roman" w:hAnsi="Times New Roman" w:cs="Times New Roman"/>
                <w:sz w:val="24"/>
                <w:szCs w:val="24"/>
                <w:lang w:eastAsia="es-CR"/>
              </w:rPr>
            </w:pP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75709A1"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1193BF4" w14:textId="042D9B20" w:rsidR="003411FA" w:rsidRPr="00512E0A" w:rsidRDefault="003411FA" w:rsidP="00E0627C">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 xml:space="preserve">Producto de la solicitud de cambio del 7-3-23 pendiente: </w:t>
            </w:r>
            <w:r w:rsidRPr="00512E0A">
              <w:rPr>
                <w:rFonts w:ascii="Book Antiqua" w:eastAsia="Times New Roman" w:hAnsi="Book Antiqua" w:cs="Times New Roman"/>
                <w:b/>
                <w:bCs/>
                <w:color w:val="000000"/>
                <w:sz w:val="16"/>
                <w:szCs w:val="16"/>
                <w:lang w:eastAsia="es-CR"/>
              </w:rPr>
              <w:t>Plan de gestión</w:t>
            </w:r>
            <w:r w:rsidRPr="00512E0A">
              <w:rPr>
                <w:rFonts w:ascii="Book Antiqua" w:eastAsia="Times New Roman" w:hAnsi="Book Antiqua" w:cs="Times New Roman"/>
                <w:color w:val="000000"/>
                <w:sz w:val="16"/>
                <w:szCs w:val="16"/>
                <w:lang w:eastAsia="es-CR"/>
              </w:rPr>
              <w:t>: actualizar fecha de finalización, objetivo se menciona 20 meses, pero se extendió el cronograma; administración de riesgo no abre;</w:t>
            </w:r>
            <w:r>
              <w:rPr>
                <w:rFonts w:ascii="Book Antiqua" w:eastAsia="Times New Roman" w:hAnsi="Book Antiqua" w:cs="Times New Roman"/>
                <w:color w:val="000000"/>
                <w:sz w:val="16"/>
                <w:szCs w:val="16"/>
                <w:lang w:eastAsia="es-CR"/>
              </w:rPr>
              <w:t xml:space="preserve"> </w:t>
            </w:r>
            <w:r w:rsidRPr="00512E0A">
              <w:rPr>
                <w:rFonts w:ascii="Book Antiqua" w:eastAsia="Times New Roman" w:hAnsi="Book Antiqua" w:cs="Times New Roman"/>
                <w:color w:val="000000"/>
                <w:sz w:val="16"/>
                <w:szCs w:val="16"/>
                <w:lang w:eastAsia="es-CR"/>
              </w:rPr>
              <w:t xml:space="preserve">Detalle del presupuesto del proyecto falta incluir los recursos humanos por todo el periodo del proyecto; el cronograma inserto esta desactualizado (La versión de mayo corresponde a formato de metodología de DTI y no la institucional). </w:t>
            </w:r>
            <w:r w:rsidRPr="00512E0A">
              <w:rPr>
                <w:rFonts w:ascii="Book Antiqua" w:eastAsia="Times New Roman" w:hAnsi="Book Antiqua" w:cs="Times New Roman"/>
                <w:b/>
                <w:bCs/>
                <w:color w:val="000000"/>
                <w:sz w:val="16"/>
                <w:szCs w:val="16"/>
                <w:lang w:eastAsia="es-CR"/>
              </w:rPr>
              <w:t>Acta de constitución:</w:t>
            </w:r>
            <w:r w:rsidRPr="00512E0A">
              <w:rPr>
                <w:rFonts w:ascii="Book Antiqua" w:eastAsia="Times New Roman" w:hAnsi="Book Antiqua" w:cs="Times New Roman"/>
                <w:color w:val="000000"/>
                <w:sz w:val="16"/>
                <w:szCs w:val="16"/>
                <w:lang w:eastAsia="es-CR"/>
              </w:rPr>
              <w:t xml:space="preserve"> pendiente indicar Código; fecha de finalización incorrecta; ; cronograma de alto nivel no se indica los años de los entregables o el tiempo para cada uno; recurso del proyecto no coincide con plan de gestión; Equipo de trabajo del proyecto se debe indicar el rol de cada uno. </w:t>
            </w:r>
            <w:r w:rsidRPr="00512E0A">
              <w:rPr>
                <w:rFonts w:ascii="Book Antiqua" w:eastAsia="Times New Roman" w:hAnsi="Book Antiqua" w:cs="Times New Roman"/>
                <w:b/>
                <w:bCs/>
                <w:color w:val="000000"/>
                <w:sz w:val="16"/>
                <w:szCs w:val="16"/>
                <w:lang w:eastAsia="es-CR"/>
              </w:rPr>
              <w:t>Estudio de factibilidad</w:t>
            </w:r>
            <w:r w:rsidRPr="00512E0A">
              <w:rPr>
                <w:rFonts w:ascii="Book Antiqua" w:eastAsia="Times New Roman" w:hAnsi="Book Antiqua" w:cs="Times New Roman"/>
                <w:color w:val="000000"/>
                <w:sz w:val="16"/>
                <w:szCs w:val="16"/>
                <w:lang w:eastAsia="es-CR"/>
              </w:rPr>
              <w:t xml:space="preserve"> costos de operación se debe indicar no aplica. </w:t>
            </w:r>
          </w:p>
        </w:tc>
      </w:tr>
      <w:tr w:rsidR="00512E0A" w:rsidRPr="00512E0A" w14:paraId="07B5167D"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7B3ACD2"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2053"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52F9DF10"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0117 DIRECCION EJECUTIVA </w:t>
            </w:r>
          </w:p>
        </w:tc>
        <w:tc>
          <w:tcPr>
            <w:tcW w:w="8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6EF3C6E"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0117-DE-P49 </w:t>
            </w:r>
          </w:p>
        </w:tc>
        <w:tc>
          <w:tcPr>
            <w:tcW w:w="1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2EE3D13"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Proyecto del Subproceso de Gestión de Continuidad del Servicio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8A9D811"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6D30009" w14:textId="77777777" w:rsidR="00512E0A" w:rsidRPr="00512E0A" w:rsidRDefault="00512E0A" w:rsidP="00E0627C">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Realizar un ajuste a nivel de cronograma una vez que se tenga la recalificación de las plazas que serían en el 2023, por lo tanto, el proyecto no concluiría en el 2024, para pasar a ser una labor operativa. </w:t>
            </w:r>
          </w:p>
        </w:tc>
      </w:tr>
      <w:tr w:rsidR="00512E0A" w:rsidRPr="00512E0A" w14:paraId="6F2F0876"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92C7C3F"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AA757A0"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8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0D96DB2"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0117-DE-P06 </w:t>
            </w:r>
          </w:p>
        </w:tc>
        <w:tc>
          <w:tcPr>
            <w:tcW w:w="1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051ED9B"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Construcción Edificio Anexo E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214FFAA"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2.4 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AA10AFA" w14:textId="7642B1E5" w:rsidR="00512E0A" w:rsidRPr="00512E0A" w:rsidRDefault="00512E0A" w:rsidP="00E0627C">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Pendiente elaborar informe de cierre</w:t>
            </w:r>
            <w:r w:rsidR="009C5FEA">
              <w:rPr>
                <w:rFonts w:ascii="Book Antiqua" w:eastAsia="Times New Roman" w:hAnsi="Book Antiqua" w:cs="Times New Roman"/>
                <w:color w:val="000000"/>
                <w:sz w:val="16"/>
                <w:szCs w:val="16"/>
                <w:lang w:eastAsia="es-CR"/>
              </w:rPr>
              <w:t>.</w:t>
            </w:r>
            <w:r w:rsidRPr="00512E0A">
              <w:rPr>
                <w:rFonts w:ascii="Book Antiqua" w:eastAsia="Times New Roman" w:hAnsi="Book Antiqua" w:cs="Times New Roman"/>
                <w:color w:val="000000"/>
                <w:sz w:val="16"/>
                <w:szCs w:val="16"/>
                <w:lang w:eastAsia="es-CR"/>
              </w:rPr>
              <w:t> </w:t>
            </w:r>
          </w:p>
        </w:tc>
      </w:tr>
      <w:tr w:rsidR="003411FA" w:rsidRPr="00512E0A" w14:paraId="00513760" w14:textId="77777777" w:rsidTr="00EF4E17">
        <w:trPr>
          <w:trHeight w:val="1620"/>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A64896E" w14:textId="77777777" w:rsidR="003411FA" w:rsidRPr="00512E0A" w:rsidRDefault="003411FA" w:rsidP="00512E0A">
            <w:pPr>
              <w:spacing w:after="0" w:line="240" w:lineRule="auto"/>
              <w:rPr>
                <w:rFonts w:ascii="Times New Roman" w:eastAsia="Times New Roman" w:hAnsi="Times New Roman" w:cs="Times New Roman"/>
                <w:sz w:val="24"/>
                <w:szCs w:val="24"/>
                <w:lang w:eastAsia="es-CR"/>
              </w:rPr>
            </w:pPr>
          </w:p>
        </w:tc>
        <w:tc>
          <w:tcPr>
            <w:tcW w:w="2053" w:type="dxa"/>
            <w:vMerge w:val="restart"/>
            <w:tcBorders>
              <w:top w:val="single" w:sz="6" w:space="0" w:color="auto"/>
              <w:left w:val="single" w:sz="6" w:space="0" w:color="auto"/>
              <w:right w:val="single" w:sz="6" w:space="0" w:color="auto"/>
            </w:tcBorders>
            <w:shd w:val="clear" w:color="auto" w:fill="FFFFFF"/>
            <w:vAlign w:val="center"/>
            <w:hideMark/>
          </w:tcPr>
          <w:p w14:paraId="5D78CA64"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0176 OFICINA DE ADMINISTRACION II CIR. JUD. SAN JOSE </w:t>
            </w:r>
          </w:p>
          <w:p w14:paraId="7DF936D2" w14:textId="7DF950E4"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 </w:t>
            </w:r>
          </w:p>
        </w:tc>
        <w:tc>
          <w:tcPr>
            <w:tcW w:w="8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CB90BDA"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0117-DE-P23 </w:t>
            </w:r>
          </w:p>
        </w:tc>
        <w:tc>
          <w:tcPr>
            <w:tcW w:w="1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20883E2"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Sistema de Detección de Incendios en el II Circ Jud San José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BB85F33"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2.4 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B290929" w14:textId="77AF9A58" w:rsidR="003411FA" w:rsidRPr="00512E0A" w:rsidRDefault="003411FA" w:rsidP="00E0627C">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Pendiente aprobación del patrocinador del informe de cierre</w:t>
            </w:r>
            <w:r>
              <w:rPr>
                <w:rFonts w:ascii="Book Antiqua" w:eastAsia="Times New Roman" w:hAnsi="Book Antiqua" w:cs="Times New Roman"/>
                <w:color w:val="000000"/>
                <w:sz w:val="16"/>
                <w:szCs w:val="16"/>
                <w:lang w:eastAsia="es-CR"/>
              </w:rPr>
              <w:t>.</w:t>
            </w:r>
            <w:r w:rsidRPr="00512E0A">
              <w:rPr>
                <w:rFonts w:ascii="Book Antiqua" w:eastAsia="Times New Roman" w:hAnsi="Book Antiqua" w:cs="Times New Roman"/>
                <w:color w:val="000000"/>
                <w:sz w:val="16"/>
                <w:szCs w:val="16"/>
                <w:lang w:eastAsia="es-CR"/>
              </w:rPr>
              <w:t> </w:t>
            </w:r>
          </w:p>
        </w:tc>
      </w:tr>
      <w:tr w:rsidR="003411FA" w:rsidRPr="00512E0A" w14:paraId="0608D25E" w14:textId="77777777" w:rsidTr="00EF4E1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6C60A4F" w14:textId="77777777" w:rsidR="003411FA" w:rsidRPr="00512E0A" w:rsidRDefault="003411FA" w:rsidP="00512E0A">
            <w:pPr>
              <w:spacing w:after="0" w:line="240" w:lineRule="auto"/>
              <w:rPr>
                <w:rFonts w:ascii="Times New Roman" w:eastAsia="Times New Roman" w:hAnsi="Times New Roman" w:cs="Times New Roman"/>
                <w:sz w:val="24"/>
                <w:szCs w:val="24"/>
                <w:lang w:eastAsia="es-CR"/>
              </w:rPr>
            </w:pPr>
          </w:p>
        </w:tc>
        <w:tc>
          <w:tcPr>
            <w:tcW w:w="2053" w:type="dxa"/>
            <w:vMerge/>
            <w:tcBorders>
              <w:left w:val="single" w:sz="6" w:space="0" w:color="auto"/>
              <w:bottom w:val="single" w:sz="6" w:space="0" w:color="auto"/>
              <w:right w:val="single" w:sz="6" w:space="0" w:color="auto"/>
            </w:tcBorders>
            <w:shd w:val="clear" w:color="auto" w:fill="FFFFFF"/>
            <w:vAlign w:val="center"/>
            <w:hideMark/>
          </w:tcPr>
          <w:p w14:paraId="36864787" w14:textId="59F489DD"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p>
        </w:tc>
        <w:tc>
          <w:tcPr>
            <w:tcW w:w="8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872CB33"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0117-DE-P24 </w:t>
            </w:r>
          </w:p>
        </w:tc>
        <w:tc>
          <w:tcPr>
            <w:tcW w:w="1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6EA5678"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Reacondicionamiento Eléctrico Anexo A del II Circ Jud San José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704057F"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2.4 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053B30D" w14:textId="26C1216C" w:rsidR="003411FA" w:rsidRPr="00512E0A" w:rsidRDefault="003411FA" w:rsidP="00E0627C">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Pendiente aprobación del patrocinador del informe de cierre</w:t>
            </w:r>
            <w:r>
              <w:rPr>
                <w:rFonts w:ascii="Book Antiqua" w:eastAsia="Times New Roman" w:hAnsi="Book Antiqua" w:cs="Times New Roman"/>
                <w:color w:val="000000"/>
                <w:sz w:val="16"/>
                <w:szCs w:val="16"/>
                <w:lang w:eastAsia="es-CR"/>
              </w:rPr>
              <w:t>.</w:t>
            </w:r>
            <w:r w:rsidRPr="00512E0A">
              <w:rPr>
                <w:rFonts w:ascii="Book Antiqua" w:eastAsia="Times New Roman" w:hAnsi="Book Antiqua" w:cs="Times New Roman"/>
                <w:color w:val="000000"/>
                <w:sz w:val="16"/>
                <w:szCs w:val="16"/>
                <w:lang w:eastAsia="es-CR"/>
              </w:rPr>
              <w:t> </w:t>
            </w:r>
          </w:p>
        </w:tc>
      </w:tr>
      <w:tr w:rsidR="003411FA" w:rsidRPr="00512E0A" w14:paraId="38F82973" w14:textId="77777777" w:rsidTr="00EF4E17">
        <w:trPr>
          <w:trHeight w:val="285"/>
        </w:trPr>
        <w:tc>
          <w:tcPr>
            <w:tcW w:w="1411" w:type="dxa"/>
            <w:vMerge w:val="restart"/>
            <w:tcBorders>
              <w:top w:val="single" w:sz="6" w:space="0" w:color="auto"/>
              <w:left w:val="single" w:sz="6" w:space="0" w:color="auto"/>
              <w:right w:val="single" w:sz="6" w:space="0" w:color="auto"/>
            </w:tcBorders>
            <w:shd w:val="clear" w:color="auto" w:fill="FFFFFF"/>
            <w:vAlign w:val="center"/>
            <w:hideMark/>
          </w:tcPr>
          <w:p w14:paraId="7221CF4F"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Dirección Gestión Humana </w:t>
            </w:r>
          </w:p>
          <w:p w14:paraId="1B7B0F0E" w14:textId="161B0F73"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 </w:t>
            </w:r>
          </w:p>
        </w:tc>
        <w:tc>
          <w:tcPr>
            <w:tcW w:w="2053"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5AFD5AAF"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1832 SUBPROCESO DE GESTION DEL DESEMPEÑO </w:t>
            </w:r>
          </w:p>
        </w:tc>
        <w:tc>
          <w:tcPr>
            <w:tcW w:w="89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448CDA2B"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0134-DGH-P02 </w:t>
            </w:r>
          </w:p>
        </w:tc>
        <w:tc>
          <w:tcPr>
            <w:tcW w:w="161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6A9A815B"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Sistema de Evaluación del Desempeño por Competencias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46162D0"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718AED6" w14:textId="57F6A0AB" w:rsidR="003411FA" w:rsidRPr="00512E0A" w:rsidRDefault="003411FA" w:rsidP="00E0627C">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Producto de la solicitud de cambio del 10-3-23 pendiente: Acta de constitución: Se debe trasladar los datos de este formulario al formulario de la metodología 2 la cual es la vigente. Plan de gestión: en el apartado de roles y responsabilidades, la columna de Responsabilidades generales en el proyecto debe mencionarse de manera general las responsabilidades, no tan detallado; en el Detalle de los entregables del proyecto revisar la codificación recordar que el nivel 1 es el nombre del proyecto, nivel 2 fases, y nivel 3 entregables, por lo anterior las fases que se mencionan 1,2,3,4 el Código correcto sería 3.1, 3.2...; en el cuadro debe indicarse solo el nivel 3. </w:t>
            </w:r>
          </w:p>
        </w:tc>
      </w:tr>
      <w:tr w:rsidR="003411FA" w:rsidRPr="00512E0A" w14:paraId="0CE226C3" w14:textId="77777777" w:rsidTr="00EF4E17">
        <w:trPr>
          <w:trHeight w:val="285"/>
        </w:trPr>
        <w:tc>
          <w:tcPr>
            <w:tcW w:w="1411" w:type="dxa"/>
            <w:vMerge/>
            <w:tcBorders>
              <w:left w:val="single" w:sz="6" w:space="0" w:color="auto"/>
              <w:bottom w:val="single" w:sz="6" w:space="0" w:color="auto"/>
              <w:right w:val="single" w:sz="6" w:space="0" w:color="auto"/>
            </w:tcBorders>
            <w:shd w:val="clear" w:color="auto" w:fill="FFFFFF"/>
            <w:vAlign w:val="center"/>
            <w:hideMark/>
          </w:tcPr>
          <w:p w14:paraId="235AF539" w14:textId="6EDD4872"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37E5A61" w14:textId="77777777" w:rsidR="003411FA" w:rsidRPr="00512E0A" w:rsidRDefault="003411F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15E30CD" w14:textId="77777777" w:rsidR="003411FA" w:rsidRPr="00512E0A" w:rsidRDefault="003411F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583022A" w14:textId="77777777" w:rsidR="003411FA" w:rsidRPr="00512E0A" w:rsidRDefault="003411FA" w:rsidP="00512E0A">
            <w:pPr>
              <w:spacing w:after="0" w:line="240" w:lineRule="auto"/>
              <w:rPr>
                <w:rFonts w:ascii="Times New Roman" w:eastAsia="Times New Roman" w:hAnsi="Times New Roman" w:cs="Times New Roman"/>
                <w:sz w:val="24"/>
                <w:szCs w:val="24"/>
                <w:lang w:eastAsia="es-CR"/>
              </w:rPr>
            </w:pP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DF6C8FF"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F8999E7" w14:textId="4A696E1E" w:rsidR="003411FA" w:rsidRPr="00512E0A" w:rsidRDefault="003411FA" w:rsidP="00E0627C">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Se recomienda valorar concluir el proyecto, si el mismo ya cumplió con el alcance (entregable principal que es la confección del sistema); y crear uno operativo para la sostenibilidad y mejoras del sistema. </w:t>
            </w:r>
          </w:p>
        </w:tc>
      </w:tr>
      <w:tr w:rsidR="00512E0A" w:rsidRPr="00512E0A" w14:paraId="51D3FBF2" w14:textId="77777777" w:rsidTr="00EF4E17">
        <w:trPr>
          <w:trHeight w:val="285"/>
        </w:trPr>
        <w:tc>
          <w:tcPr>
            <w:tcW w:w="141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AF5B36C"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 </w:t>
            </w:r>
          </w:p>
        </w:tc>
        <w:tc>
          <w:tcPr>
            <w:tcW w:w="205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EF112FF"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0999 UNIDAD DE PRESUPUESTO Y ESTUDIOS ESPECIALES </w:t>
            </w:r>
          </w:p>
        </w:tc>
        <w:tc>
          <w:tcPr>
            <w:tcW w:w="8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1729588"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0134-DGH-P03 </w:t>
            </w:r>
          </w:p>
        </w:tc>
        <w:tc>
          <w:tcPr>
            <w:tcW w:w="1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3DF5487"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Sistema de Formulación y Ejecución Presupuestaria para Remuneraciones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9BA9BE0"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6FAE29A" w14:textId="65C99A62" w:rsidR="00512E0A" w:rsidRPr="00512E0A" w:rsidRDefault="00512E0A" w:rsidP="00E0627C">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 xml:space="preserve">Producto de la solicitud de cambio del 28-4-23 pendiente: Acta de constitución: en el apartado de Equipo de trabajo del proyecto se debe indicar rol y nombre de la persona. Estudio de factibilidad: en el apartado de Planteamiento inicial del proyecto se debe mencionar tres alternativas de </w:t>
            </w:r>
            <w:r w:rsidR="00E0627C" w:rsidRPr="00512E0A">
              <w:rPr>
                <w:rFonts w:ascii="Book Antiqua" w:eastAsia="Times New Roman" w:hAnsi="Book Antiqua" w:cs="Times New Roman"/>
                <w:color w:val="000000"/>
                <w:sz w:val="16"/>
                <w:szCs w:val="16"/>
                <w:lang w:eastAsia="es-CR"/>
              </w:rPr>
              <w:t>solución</w:t>
            </w:r>
            <w:r w:rsidRPr="00512E0A">
              <w:rPr>
                <w:rFonts w:ascii="Book Antiqua" w:eastAsia="Times New Roman" w:hAnsi="Book Antiqua" w:cs="Times New Roman"/>
                <w:color w:val="000000"/>
                <w:sz w:val="16"/>
                <w:szCs w:val="16"/>
                <w:lang w:eastAsia="es-CR"/>
              </w:rPr>
              <w:t xml:space="preserve"> del problema, entre la cual se debe indicar la alternativa seleccionada. Plan de gestión: el alcance </w:t>
            </w:r>
            <w:r w:rsidR="009C5FEA" w:rsidRPr="00512E0A">
              <w:rPr>
                <w:rFonts w:ascii="Book Antiqua" w:eastAsia="Times New Roman" w:hAnsi="Book Antiqua" w:cs="Times New Roman"/>
                <w:color w:val="000000"/>
                <w:sz w:val="16"/>
                <w:szCs w:val="16"/>
                <w:lang w:eastAsia="es-CR"/>
              </w:rPr>
              <w:t>está</w:t>
            </w:r>
            <w:r w:rsidRPr="00512E0A">
              <w:rPr>
                <w:rFonts w:ascii="Book Antiqua" w:eastAsia="Times New Roman" w:hAnsi="Book Antiqua" w:cs="Times New Roman"/>
                <w:color w:val="000000"/>
                <w:sz w:val="16"/>
                <w:szCs w:val="16"/>
                <w:lang w:eastAsia="es-CR"/>
              </w:rPr>
              <w:t xml:space="preserve"> muy extenso, el mismo debe ser más concreto; el cronograma inserto no permite abrir por favor revisar el mismo. </w:t>
            </w:r>
          </w:p>
        </w:tc>
      </w:tr>
      <w:tr w:rsidR="003411FA" w:rsidRPr="00512E0A" w14:paraId="408F1E1E" w14:textId="77777777" w:rsidTr="00EF4E17">
        <w:trPr>
          <w:trHeight w:val="285"/>
        </w:trPr>
        <w:tc>
          <w:tcPr>
            <w:tcW w:w="1411" w:type="dxa"/>
            <w:vMerge w:val="restart"/>
            <w:tcBorders>
              <w:top w:val="single" w:sz="6" w:space="0" w:color="auto"/>
              <w:left w:val="single" w:sz="6" w:space="0" w:color="auto"/>
              <w:right w:val="single" w:sz="6" w:space="0" w:color="auto"/>
            </w:tcBorders>
            <w:shd w:val="clear" w:color="auto" w:fill="FFFFFF"/>
            <w:vAlign w:val="center"/>
            <w:hideMark/>
          </w:tcPr>
          <w:p w14:paraId="32AFE491"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 </w:t>
            </w:r>
          </w:p>
          <w:p w14:paraId="20E05988"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 </w:t>
            </w:r>
          </w:p>
          <w:p w14:paraId="59D77B7D"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 </w:t>
            </w:r>
          </w:p>
          <w:p w14:paraId="3AA95662" w14:textId="77777777" w:rsidR="003411FA" w:rsidRPr="00512E0A" w:rsidRDefault="003411FA" w:rsidP="003411F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 Dirección Gestión Humana </w:t>
            </w:r>
          </w:p>
          <w:p w14:paraId="4C755020" w14:textId="0D63BDA1"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 </w:t>
            </w:r>
          </w:p>
        </w:tc>
        <w:tc>
          <w:tcPr>
            <w:tcW w:w="205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B8FB3F7"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0136 SECCION DE RECLUTAMIENTO Y SELECCION </w:t>
            </w:r>
          </w:p>
        </w:tc>
        <w:tc>
          <w:tcPr>
            <w:tcW w:w="8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2F7EA7D"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0134-DGH-P04 </w:t>
            </w:r>
          </w:p>
        </w:tc>
        <w:tc>
          <w:tcPr>
            <w:tcW w:w="1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BEB9C7E"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Estandarización del proceso de reclutamiento y selección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8DF7ADE"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0798279" w14:textId="77777777" w:rsidR="003411FA" w:rsidRPr="00512E0A" w:rsidRDefault="003411FA" w:rsidP="00E0627C">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Producto de la solicitud de cambio del 15-5-23 pendiente: Acta de constitución el cronograma de alto nivel debe ser un cronograma o una planificación de los principales entregables con los años de entrega o meses algo muy general. </w:t>
            </w:r>
          </w:p>
        </w:tc>
      </w:tr>
      <w:tr w:rsidR="003411FA" w:rsidRPr="00512E0A" w14:paraId="41F01771" w14:textId="77777777" w:rsidTr="00EF4E17">
        <w:trPr>
          <w:trHeight w:val="285"/>
        </w:trPr>
        <w:tc>
          <w:tcPr>
            <w:tcW w:w="1411" w:type="dxa"/>
            <w:vMerge/>
            <w:tcBorders>
              <w:left w:val="single" w:sz="6" w:space="0" w:color="auto"/>
              <w:right w:val="single" w:sz="6" w:space="0" w:color="auto"/>
            </w:tcBorders>
            <w:shd w:val="clear" w:color="auto" w:fill="FFFFFF"/>
            <w:vAlign w:val="center"/>
            <w:hideMark/>
          </w:tcPr>
          <w:p w14:paraId="4D834DA6" w14:textId="639DBE4B"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p>
        </w:tc>
        <w:tc>
          <w:tcPr>
            <w:tcW w:w="2053"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4146B099"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1064 DESARROLLO HUMANO </w:t>
            </w:r>
          </w:p>
        </w:tc>
        <w:tc>
          <w:tcPr>
            <w:tcW w:w="8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FF1A882"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0134-DGH-P07 </w:t>
            </w:r>
          </w:p>
        </w:tc>
        <w:tc>
          <w:tcPr>
            <w:tcW w:w="1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4DA75A5"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Política Integral de Bienestar y Salud Laboral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BDFFC6E"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2.1 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AE3D85B" w14:textId="77777777" w:rsidR="003411FA" w:rsidRPr="00512E0A" w:rsidRDefault="003411FA" w:rsidP="00E0627C">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Porcentaje actual diferentes  en el Project muestra un 74% y no un 76%. </w:t>
            </w:r>
          </w:p>
        </w:tc>
      </w:tr>
      <w:tr w:rsidR="003411FA" w:rsidRPr="00512E0A" w14:paraId="436CA3D3" w14:textId="77777777" w:rsidTr="00EF4E17">
        <w:trPr>
          <w:trHeight w:val="285"/>
        </w:trPr>
        <w:tc>
          <w:tcPr>
            <w:tcW w:w="1411" w:type="dxa"/>
            <w:vMerge/>
            <w:tcBorders>
              <w:left w:val="single" w:sz="6" w:space="0" w:color="auto"/>
              <w:right w:val="single" w:sz="6" w:space="0" w:color="auto"/>
            </w:tcBorders>
            <w:shd w:val="clear" w:color="auto" w:fill="FFFFFF"/>
            <w:vAlign w:val="center"/>
            <w:hideMark/>
          </w:tcPr>
          <w:p w14:paraId="32C0119C" w14:textId="4C213B72"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D70530F" w14:textId="77777777" w:rsidR="003411FA" w:rsidRPr="00512E0A" w:rsidRDefault="003411FA" w:rsidP="00512E0A">
            <w:pPr>
              <w:spacing w:after="0" w:line="240" w:lineRule="auto"/>
              <w:rPr>
                <w:rFonts w:ascii="Times New Roman" w:eastAsia="Times New Roman" w:hAnsi="Times New Roman" w:cs="Times New Roman"/>
                <w:sz w:val="24"/>
                <w:szCs w:val="24"/>
                <w:lang w:eastAsia="es-CR"/>
              </w:rPr>
            </w:pPr>
          </w:p>
        </w:tc>
        <w:tc>
          <w:tcPr>
            <w:tcW w:w="89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292F2192"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0134-DGH-P16 </w:t>
            </w:r>
          </w:p>
        </w:tc>
        <w:tc>
          <w:tcPr>
            <w:tcW w:w="161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10279D95"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Política de Teletrabajo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AD511CD"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2.1 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B18D9E9" w14:textId="77777777" w:rsidR="003411FA" w:rsidRPr="00512E0A" w:rsidRDefault="003411FA" w:rsidP="00E0627C">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Porcentaje esperado diferentes al calculado en el Project muestra un 48% y no un 47%. </w:t>
            </w:r>
          </w:p>
        </w:tc>
      </w:tr>
      <w:tr w:rsidR="003411FA" w:rsidRPr="00512E0A" w14:paraId="75A93FF7" w14:textId="77777777" w:rsidTr="00EF4E17">
        <w:trPr>
          <w:trHeight w:val="285"/>
        </w:trPr>
        <w:tc>
          <w:tcPr>
            <w:tcW w:w="1411" w:type="dxa"/>
            <w:vMerge/>
            <w:tcBorders>
              <w:left w:val="single" w:sz="6" w:space="0" w:color="auto"/>
              <w:right w:val="single" w:sz="6" w:space="0" w:color="auto"/>
            </w:tcBorders>
            <w:shd w:val="clear" w:color="auto" w:fill="FFFFFF"/>
            <w:vAlign w:val="center"/>
            <w:hideMark/>
          </w:tcPr>
          <w:p w14:paraId="39D5A9DF" w14:textId="763A91B0"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4E2B025" w14:textId="77777777" w:rsidR="003411FA" w:rsidRPr="00512E0A" w:rsidRDefault="003411F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78C5702" w14:textId="77777777" w:rsidR="003411FA" w:rsidRPr="00512E0A" w:rsidRDefault="003411F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DF299DA" w14:textId="77777777" w:rsidR="003411FA" w:rsidRPr="00512E0A" w:rsidRDefault="003411FA" w:rsidP="00512E0A">
            <w:pPr>
              <w:spacing w:after="0" w:line="240" w:lineRule="auto"/>
              <w:rPr>
                <w:rFonts w:ascii="Times New Roman" w:eastAsia="Times New Roman" w:hAnsi="Times New Roman" w:cs="Times New Roman"/>
                <w:sz w:val="24"/>
                <w:szCs w:val="24"/>
                <w:lang w:eastAsia="es-CR"/>
              </w:rPr>
            </w:pP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F052DE4"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4BE5AAB" w14:textId="28951293" w:rsidR="003411FA" w:rsidRPr="00512E0A" w:rsidRDefault="003411FA" w:rsidP="00E0627C">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Se debe corregir cronograma debido a que se identifica entregable que no corresponde al alcance del mismo. </w:t>
            </w:r>
          </w:p>
        </w:tc>
      </w:tr>
      <w:tr w:rsidR="003411FA" w:rsidRPr="00512E0A" w14:paraId="307B6371" w14:textId="77777777" w:rsidTr="00EF4E17">
        <w:trPr>
          <w:trHeight w:val="285"/>
        </w:trPr>
        <w:tc>
          <w:tcPr>
            <w:tcW w:w="1411" w:type="dxa"/>
            <w:vMerge/>
            <w:tcBorders>
              <w:left w:val="single" w:sz="6" w:space="0" w:color="auto"/>
              <w:bottom w:val="single" w:sz="6" w:space="0" w:color="auto"/>
              <w:right w:val="single" w:sz="6" w:space="0" w:color="auto"/>
            </w:tcBorders>
            <w:shd w:val="clear" w:color="auto" w:fill="FFFFFF"/>
            <w:vAlign w:val="center"/>
            <w:hideMark/>
          </w:tcPr>
          <w:p w14:paraId="7907CB82" w14:textId="0033DBC1"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B171FE8" w14:textId="77777777" w:rsidR="003411FA" w:rsidRPr="00512E0A" w:rsidRDefault="003411F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12FCD7E" w14:textId="77777777" w:rsidR="003411FA" w:rsidRPr="00512E0A" w:rsidRDefault="003411F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1EB15D2" w14:textId="77777777" w:rsidR="003411FA" w:rsidRPr="00512E0A" w:rsidRDefault="003411FA" w:rsidP="00512E0A">
            <w:pPr>
              <w:spacing w:after="0" w:line="240" w:lineRule="auto"/>
              <w:rPr>
                <w:rFonts w:ascii="Times New Roman" w:eastAsia="Times New Roman" w:hAnsi="Times New Roman" w:cs="Times New Roman"/>
                <w:sz w:val="24"/>
                <w:szCs w:val="24"/>
                <w:lang w:eastAsia="es-CR"/>
              </w:rPr>
            </w:pP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2B0D1DC" w14:textId="77777777" w:rsidR="003411FA" w:rsidRPr="00512E0A" w:rsidRDefault="003411F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46FCF95" w14:textId="0615DED5" w:rsidR="003411FA" w:rsidRPr="00512E0A" w:rsidRDefault="003411FA" w:rsidP="00E0627C">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 xml:space="preserve">Producto de la solicitud de cambio del 18-4-23 pendiente: </w:t>
            </w:r>
            <w:r w:rsidRPr="00512E0A">
              <w:rPr>
                <w:rFonts w:ascii="Book Antiqua" w:eastAsia="Times New Roman" w:hAnsi="Book Antiqua" w:cs="Times New Roman"/>
                <w:b/>
                <w:bCs/>
                <w:color w:val="000000"/>
                <w:sz w:val="16"/>
                <w:szCs w:val="16"/>
                <w:lang w:eastAsia="es-CR"/>
              </w:rPr>
              <w:t>Acta de Constitución:</w:t>
            </w:r>
            <w:r w:rsidRPr="00512E0A">
              <w:rPr>
                <w:rFonts w:ascii="Book Antiqua" w:eastAsia="Times New Roman" w:hAnsi="Book Antiqua" w:cs="Times New Roman"/>
                <w:color w:val="000000"/>
                <w:sz w:val="16"/>
                <w:szCs w:val="16"/>
                <w:lang w:eastAsia="es-CR"/>
              </w:rPr>
              <w:t xml:space="preserve">  el cronograma de alto nivel debe mostrar los entregables generales preferiblemente con años o mes y no fechas específicas, además se recomienda hacerlo de manera general por entregable, sin fechas establecidas sino años o mese; equipo del proyecto debe establecerse los roles y nombre de las personas que conforman todo el proyecto desde el patrocinador hasta el equipo de proyecto. </w:t>
            </w:r>
            <w:r w:rsidRPr="00512E0A">
              <w:rPr>
                <w:rFonts w:ascii="Book Antiqua" w:eastAsia="Times New Roman" w:hAnsi="Book Antiqua" w:cs="Times New Roman"/>
                <w:b/>
                <w:bCs/>
                <w:color w:val="000000"/>
                <w:sz w:val="16"/>
                <w:szCs w:val="16"/>
                <w:lang w:eastAsia="es-CR"/>
              </w:rPr>
              <w:t xml:space="preserve">Estudio de factibilidad: </w:t>
            </w:r>
            <w:r w:rsidRPr="00512E0A">
              <w:rPr>
                <w:rFonts w:ascii="Book Antiqua" w:eastAsia="Times New Roman" w:hAnsi="Book Antiqua" w:cs="Times New Roman"/>
                <w:color w:val="000000"/>
                <w:sz w:val="16"/>
                <w:szCs w:val="16"/>
                <w:lang w:eastAsia="es-CR"/>
              </w:rPr>
              <w:t xml:space="preserve">el planteamiento del proyecto se debe indicar 3 alternativas para solucionar el problema; dentro de los costos de operación se mencionan costos relacionados con la implementación sin embargo esta fase se está considerando dentro del proyecto, por lo cual no se podría contemplar como costo de operación sino como costo de inversión; revisar y actualizar SROI con los costos de inversión actualizados. </w:t>
            </w:r>
            <w:r w:rsidRPr="00512E0A">
              <w:rPr>
                <w:rFonts w:ascii="Book Antiqua" w:eastAsia="Times New Roman" w:hAnsi="Book Antiqua" w:cs="Times New Roman"/>
                <w:b/>
                <w:bCs/>
                <w:color w:val="000000"/>
                <w:sz w:val="16"/>
                <w:szCs w:val="16"/>
                <w:lang w:eastAsia="es-CR"/>
              </w:rPr>
              <w:t>Plan de gestión:</w:t>
            </w:r>
            <w:r w:rsidRPr="00512E0A">
              <w:rPr>
                <w:rFonts w:ascii="Book Antiqua" w:eastAsia="Times New Roman" w:hAnsi="Book Antiqua" w:cs="Times New Roman"/>
                <w:color w:val="000000"/>
                <w:sz w:val="16"/>
                <w:szCs w:val="16"/>
                <w:lang w:eastAsia="es-CR"/>
              </w:rPr>
              <w:t>  en el apartado de detalle de entregables: el diagrama de la EDT debe mostrar solamente 4 fases que son las que están establecidas en la metodología, por lo cual se solicita corregir la EDT y el cronograma; además verificar que estén todos los entregables igual que el cronograma, en este cuadro solamente se debe mostrar los entregables ( 3 nivel de la EDT); cronograma del proyecto debe estar en PDF y descargado desde Project el actualizado; los costos variables corresponden a recursos del presupuesto como computadora, silla, licencias, y la parte del recurso humano va en la parte inferior del apartado, además se debe verificar que se encuentre actualizados estos costos a todo el periodo; la administración de riesgo no aparece se debe incorporar. </w:t>
            </w:r>
          </w:p>
        </w:tc>
      </w:tr>
      <w:tr w:rsidR="00512E0A" w:rsidRPr="00512E0A" w14:paraId="145185D6" w14:textId="77777777" w:rsidTr="00EF4E17">
        <w:trPr>
          <w:trHeight w:val="285"/>
        </w:trPr>
        <w:tc>
          <w:tcPr>
            <w:tcW w:w="141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67A59FB8"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Ministerio Público </w:t>
            </w:r>
          </w:p>
        </w:tc>
        <w:tc>
          <w:tcPr>
            <w:tcW w:w="2053"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57ED4975"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0033 FISCALIA GENERAL </w:t>
            </w:r>
          </w:p>
        </w:tc>
        <w:tc>
          <w:tcPr>
            <w:tcW w:w="89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4527F1C2"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0717-MP-P03 </w:t>
            </w:r>
          </w:p>
        </w:tc>
        <w:tc>
          <w:tcPr>
            <w:tcW w:w="161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28727AAB"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Modelo de abordaje en casos penales con poblaciones vulnerables y vulnerabilizadas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AD8A7C5"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4A90C80" w14:textId="77777777" w:rsidR="00512E0A" w:rsidRPr="00512E0A" w:rsidRDefault="00512E0A" w:rsidP="00E534BF">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Pendiente aprobación de solicitud de cambio 23-2-23 </w:t>
            </w:r>
          </w:p>
        </w:tc>
      </w:tr>
      <w:tr w:rsidR="00512E0A" w:rsidRPr="00512E0A" w14:paraId="46E902AE" w14:textId="77777777" w:rsidTr="00EF4E17">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688159F"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DB2350C"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8AA07B8"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DF6E925"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45B1F56"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6CDF97D" w14:textId="10D314CC" w:rsidR="00512E0A" w:rsidRPr="00512E0A" w:rsidRDefault="00512E0A" w:rsidP="00E534BF">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 xml:space="preserve">Producto de la solicitud de cambio del 23-2-23 pendiente:  </w:t>
            </w:r>
            <w:r w:rsidRPr="00512E0A">
              <w:rPr>
                <w:rFonts w:ascii="Book Antiqua" w:eastAsia="Times New Roman" w:hAnsi="Book Antiqua" w:cs="Times New Roman"/>
                <w:b/>
                <w:bCs/>
                <w:color w:val="000000"/>
                <w:sz w:val="16"/>
                <w:szCs w:val="16"/>
                <w:lang w:eastAsia="es-CR"/>
              </w:rPr>
              <w:t>Plan de Gestión:</w:t>
            </w:r>
            <w:r w:rsidRPr="00512E0A">
              <w:rPr>
                <w:rFonts w:ascii="Book Antiqua" w:eastAsia="Times New Roman" w:hAnsi="Book Antiqua" w:cs="Times New Roman"/>
                <w:color w:val="000000"/>
                <w:sz w:val="16"/>
                <w:szCs w:val="16"/>
                <w:lang w:eastAsia="es-CR"/>
              </w:rPr>
              <w:t xml:space="preserve"> cronograma se debe insertar en PDF descargado desde el Project; revisar aspectos de presupuesto porque no coincide con acta de constitución y estudio de factibilidad. </w:t>
            </w:r>
            <w:r w:rsidRPr="00512E0A">
              <w:rPr>
                <w:rFonts w:ascii="Book Antiqua" w:eastAsia="Times New Roman" w:hAnsi="Book Antiqua" w:cs="Times New Roman"/>
                <w:b/>
                <w:bCs/>
                <w:color w:val="000000"/>
                <w:sz w:val="16"/>
                <w:szCs w:val="16"/>
                <w:lang w:eastAsia="es-CR"/>
              </w:rPr>
              <w:t>Estudio de factibilidad: </w:t>
            </w:r>
            <w:r w:rsidRPr="00512E0A">
              <w:rPr>
                <w:rFonts w:ascii="Book Antiqua" w:eastAsia="Times New Roman" w:hAnsi="Book Antiqua" w:cs="Times New Roman"/>
                <w:color w:val="000000"/>
                <w:sz w:val="16"/>
                <w:szCs w:val="16"/>
                <w:lang w:eastAsia="es-CR"/>
              </w:rPr>
              <w:t xml:space="preserve"> costos de operación son los costos en los cuales se incurre una vez concluidos los proyectos, no durante su ejecución; análisis de costos-beneficio</w:t>
            </w:r>
            <w:r w:rsidR="00E534BF">
              <w:rPr>
                <w:rFonts w:ascii="Book Antiqua" w:eastAsia="Times New Roman" w:hAnsi="Book Antiqua" w:cs="Times New Roman"/>
                <w:color w:val="000000"/>
                <w:sz w:val="16"/>
                <w:szCs w:val="16"/>
                <w:lang w:eastAsia="es-CR"/>
              </w:rPr>
              <w:t xml:space="preserve"> </w:t>
            </w:r>
            <w:r w:rsidRPr="00512E0A">
              <w:rPr>
                <w:rFonts w:ascii="Book Antiqua" w:eastAsia="Times New Roman" w:hAnsi="Book Antiqua" w:cs="Times New Roman"/>
                <w:color w:val="000000"/>
                <w:sz w:val="16"/>
                <w:szCs w:val="16"/>
                <w:lang w:eastAsia="es-CR"/>
              </w:rPr>
              <w:t xml:space="preserve">(SROI) revisar datos del apartado los costos se debe dividir beneficios entre costos. </w:t>
            </w:r>
            <w:r w:rsidRPr="00512E0A">
              <w:rPr>
                <w:rFonts w:ascii="Book Antiqua" w:eastAsia="Times New Roman" w:hAnsi="Book Antiqua" w:cs="Times New Roman"/>
                <w:b/>
                <w:bCs/>
                <w:color w:val="000000"/>
                <w:sz w:val="16"/>
                <w:szCs w:val="16"/>
                <w:lang w:eastAsia="es-CR"/>
              </w:rPr>
              <w:t>Acta de constitución:</w:t>
            </w:r>
            <w:r w:rsidRPr="00512E0A">
              <w:rPr>
                <w:rFonts w:ascii="Book Antiqua" w:eastAsia="Times New Roman" w:hAnsi="Book Antiqua" w:cs="Times New Roman"/>
                <w:color w:val="000000"/>
                <w:sz w:val="16"/>
                <w:szCs w:val="16"/>
                <w:lang w:eastAsia="es-CR"/>
              </w:rPr>
              <w:t xml:space="preserve">  revisar recursos del proyecto, este debe coincidir con plan de gestión y estudio de factibilidad; la lista de interesados no corresponde al equipo del proyecto, sino a las personas que están interesadas en el </w:t>
            </w:r>
            <w:r w:rsidRPr="00512E0A">
              <w:rPr>
                <w:rFonts w:ascii="Book Antiqua" w:eastAsia="Times New Roman" w:hAnsi="Book Antiqua" w:cs="Times New Roman"/>
                <w:color w:val="000000"/>
                <w:sz w:val="16"/>
                <w:szCs w:val="16"/>
                <w:lang w:eastAsia="es-CR"/>
              </w:rPr>
              <w:lastRenderedPageBreak/>
              <w:t>proyecto o se van a beneficiar de este; en equipo del proyecto se debe incluir todos los roles desde el patrocinador hasta el equipo de proyecto. </w:t>
            </w:r>
          </w:p>
        </w:tc>
      </w:tr>
      <w:tr w:rsidR="00512E0A" w:rsidRPr="00512E0A" w14:paraId="499B4584" w14:textId="77777777" w:rsidTr="00EF4E17">
        <w:trPr>
          <w:trHeight w:val="300"/>
        </w:trPr>
        <w:tc>
          <w:tcPr>
            <w:tcW w:w="141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7418B7FB"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lastRenderedPageBreak/>
              <w:t>Organismo de Investigación Judicial </w:t>
            </w:r>
          </w:p>
        </w:tc>
        <w:tc>
          <w:tcPr>
            <w:tcW w:w="205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357122A"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0078 DEPARTAMENTO DE MEDICINA LEGAL </w:t>
            </w:r>
          </w:p>
        </w:tc>
        <w:tc>
          <w:tcPr>
            <w:tcW w:w="8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E60CA5E"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1167-OIJ-P02 </w:t>
            </w:r>
          </w:p>
        </w:tc>
        <w:tc>
          <w:tcPr>
            <w:tcW w:w="1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24074C2"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Reacondicionamiento de la Morgue Judicial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DCBECA6"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34282A9" w14:textId="77777777" w:rsidR="00512E0A" w:rsidRPr="00512E0A" w:rsidRDefault="00512E0A" w:rsidP="00512E0A">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Producto de la solicitud de cambio del pendiente 28-4-23: Estudio de factibilidad: el costo de inversión se debe revisar porque no coincida con el plan de gestión  verificar aspectos del recurso humano. Acta de constitución: los recursos del proyecto deben coincidir con el plan de gestión verificar aspectos del recurso humano. Plan de gestión: en el apartado de presupuesto se debe revisar porque en costos se incluyen recurso humano y posteriormente  se incluye de nuevo el recurso humano en punto 6.2 y por lo tanto no coincide los costos con el acta de constitución ni el estudio de factibilidad. </w:t>
            </w:r>
          </w:p>
        </w:tc>
      </w:tr>
      <w:tr w:rsidR="00512E0A" w:rsidRPr="00512E0A" w14:paraId="20FD31EF" w14:textId="77777777" w:rsidTr="00EF4E1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4C6B4AA"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205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60DC430"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0657 OFICINA DE PLANES Y OPERACIONES </w:t>
            </w:r>
          </w:p>
        </w:tc>
        <w:tc>
          <w:tcPr>
            <w:tcW w:w="8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92C2487"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1167-OIJ-P15 </w:t>
            </w:r>
          </w:p>
        </w:tc>
        <w:tc>
          <w:tcPr>
            <w:tcW w:w="1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D8226A2"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Adquisición e instalación del Incinerador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510FBA7"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793179A" w14:textId="3EEEFB83" w:rsidR="00512E0A" w:rsidRPr="00512E0A" w:rsidRDefault="00512E0A" w:rsidP="00512E0A">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Producto de la solicitud de cambio del pendiente 14-2-23: Plan de gestión:  el diagrama de la EDT no se muestra completo; a nivel del desglose de la EDT se debe incluir solamente los entregables no los paquetes de trabajo; además faltan la fase de formulación porque debe aparecer las 4 fases de la metodología, esto se debe corregir en cronograma, diagrama de EDT, y cuadro de desglose de la EDT; el cronograma debe incluirse en PDF, o anexarse en la carpeta para que muestre completo. </w:t>
            </w:r>
          </w:p>
        </w:tc>
      </w:tr>
      <w:tr w:rsidR="00512E0A" w:rsidRPr="00512E0A" w14:paraId="60002759" w14:textId="77777777" w:rsidTr="00EF4E1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C716023"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205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481EF0A"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0047 DEPARTAMENTO DE INVESTIGACIONES CRIMINALES </w:t>
            </w:r>
          </w:p>
        </w:tc>
        <w:tc>
          <w:tcPr>
            <w:tcW w:w="8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7BC21AE"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1167-OIJ-P17 </w:t>
            </w:r>
          </w:p>
        </w:tc>
        <w:tc>
          <w:tcPr>
            <w:tcW w:w="1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7650240"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Acreditación ISO 17020 e ISO 17025 SIORI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9143CA0"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86684C5" w14:textId="07F9D248" w:rsidR="00512E0A" w:rsidRPr="00512E0A" w:rsidRDefault="00512E0A" w:rsidP="00512E0A">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Producto de la solicitud de cambio del pendiente 18-4-23: </w:t>
            </w:r>
            <w:r w:rsidRPr="00512E0A">
              <w:rPr>
                <w:rFonts w:ascii="Book Antiqua" w:eastAsia="Times New Roman" w:hAnsi="Book Antiqua" w:cs="Times New Roman"/>
                <w:b/>
                <w:bCs/>
                <w:color w:val="000000"/>
                <w:sz w:val="16"/>
                <w:szCs w:val="16"/>
                <w:lang w:eastAsia="es-CR"/>
              </w:rPr>
              <w:t xml:space="preserve"> Estudio de factibilidad:</w:t>
            </w:r>
            <w:r w:rsidRPr="00512E0A">
              <w:rPr>
                <w:rFonts w:ascii="Book Antiqua" w:eastAsia="Times New Roman" w:hAnsi="Book Antiqua" w:cs="Times New Roman"/>
                <w:color w:val="000000"/>
                <w:sz w:val="16"/>
                <w:szCs w:val="16"/>
                <w:lang w:eastAsia="es-CR"/>
              </w:rPr>
              <w:t xml:space="preserve"> el costo de inversión no coincide con acta de constitución y plan de gestión, el costo de operación corresponde al costo que se incurre una vez concluido el proyecto no durante su ejecución, verificar el SROI porque se </w:t>
            </w:r>
            <w:r w:rsidR="00654984" w:rsidRPr="00512E0A">
              <w:rPr>
                <w:rFonts w:ascii="Book Antiqua" w:eastAsia="Times New Roman" w:hAnsi="Book Antiqua" w:cs="Times New Roman"/>
                <w:color w:val="000000"/>
                <w:sz w:val="16"/>
                <w:szCs w:val="16"/>
                <w:lang w:eastAsia="es-CR"/>
              </w:rPr>
              <w:t>está</w:t>
            </w:r>
            <w:r w:rsidRPr="00512E0A">
              <w:rPr>
                <w:rFonts w:ascii="Book Antiqua" w:eastAsia="Times New Roman" w:hAnsi="Book Antiqua" w:cs="Times New Roman"/>
                <w:color w:val="000000"/>
                <w:sz w:val="16"/>
                <w:szCs w:val="16"/>
                <w:lang w:eastAsia="es-CR"/>
              </w:rPr>
              <w:t xml:space="preserve"> contemplando costos de inversión y de operación y solamente es costo de inversión.</w:t>
            </w:r>
            <w:r>
              <w:rPr>
                <w:rFonts w:ascii="Book Antiqua" w:eastAsia="Times New Roman" w:hAnsi="Book Antiqua" w:cs="Times New Roman"/>
                <w:color w:val="000000"/>
                <w:sz w:val="16"/>
                <w:szCs w:val="16"/>
                <w:lang w:eastAsia="es-CR"/>
              </w:rPr>
              <w:t xml:space="preserve"> </w:t>
            </w:r>
            <w:r w:rsidRPr="00512E0A">
              <w:rPr>
                <w:rFonts w:ascii="Book Antiqua" w:eastAsia="Times New Roman" w:hAnsi="Book Antiqua" w:cs="Times New Roman"/>
                <w:b/>
                <w:bCs/>
                <w:color w:val="000000"/>
                <w:sz w:val="16"/>
                <w:szCs w:val="16"/>
                <w:lang w:eastAsia="es-CR"/>
              </w:rPr>
              <w:t>Plan de gestión: </w:t>
            </w:r>
            <w:r w:rsidRPr="00512E0A">
              <w:rPr>
                <w:rFonts w:ascii="Book Antiqua" w:eastAsia="Times New Roman" w:hAnsi="Book Antiqua" w:cs="Times New Roman"/>
                <w:color w:val="000000"/>
                <w:sz w:val="16"/>
                <w:szCs w:val="16"/>
                <w:lang w:eastAsia="es-CR"/>
              </w:rPr>
              <w:t xml:space="preserve"> el diagrama de la EDT no se encuentra; el cronograma debe incluirse en PDF, o anexarse en la carpeta para que muestre completo; el apartado de presupuesto del proyecto contiene datos que no coinciden con acta de constitución y estudio de factibilidad. </w:t>
            </w:r>
          </w:p>
        </w:tc>
      </w:tr>
      <w:tr w:rsidR="00512E0A" w:rsidRPr="00512E0A" w14:paraId="470DA5AD" w14:textId="77777777" w:rsidTr="00EF4E1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0F25A80" w14:textId="77777777" w:rsidR="00512E0A" w:rsidRPr="00512E0A" w:rsidRDefault="00512E0A" w:rsidP="00512E0A">
            <w:pPr>
              <w:spacing w:after="0" w:line="240" w:lineRule="auto"/>
              <w:rPr>
                <w:rFonts w:ascii="Times New Roman" w:eastAsia="Times New Roman" w:hAnsi="Times New Roman" w:cs="Times New Roman"/>
                <w:sz w:val="24"/>
                <w:szCs w:val="24"/>
                <w:lang w:eastAsia="es-CR"/>
              </w:rPr>
            </w:pPr>
          </w:p>
        </w:tc>
        <w:tc>
          <w:tcPr>
            <w:tcW w:w="205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C8699D1"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0083 DEPARTAMENTO DE LABORATORIO DE CIENCIAS FORENSES </w:t>
            </w:r>
          </w:p>
        </w:tc>
        <w:tc>
          <w:tcPr>
            <w:tcW w:w="8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2C7E569"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1167-OIJ-P23 </w:t>
            </w:r>
          </w:p>
        </w:tc>
        <w:tc>
          <w:tcPr>
            <w:tcW w:w="1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9B89D2C" w14:textId="77777777" w:rsidR="00512E0A" w:rsidRPr="00512E0A" w:rsidRDefault="00512E0A" w:rsidP="00512E0A">
            <w:pPr>
              <w:spacing w:after="0" w:line="240" w:lineRule="auto"/>
              <w:jc w:val="center"/>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Implementar y validar dos metodologías de análisis de material vegetal sospechoso para distinguir entre cáñamo y marihuana </w:t>
            </w:r>
          </w:p>
        </w:tc>
        <w:tc>
          <w:tcPr>
            <w:tcW w:w="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A728B62" w14:textId="77777777" w:rsidR="00512E0A" w:rsidRPr="00512E0A" w:rsidRDefault="00512E0A" w:rsidP="00512E0A">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2.3 </w:t>
            </w:r>
          </w:p>
        </w:tc>
        <w:tc>
          <w:tcPr>
            <w:tcW w:w="33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75A1CBF" w14:textId="0DDF4C7B" w:rsidR="00512E0A" w:rsidRPr="00512E0A" w:rsidRDefault="00512E0A" w:rsidP="00512E0A">
            <w:pPr>
              <w:spacing w:after="0" w:line="240" w:lineRule="auto"/>
              <w:jc w:val="both"/>
              <w:textAlignment w:val="baseline"/>
              <w:rPr>
                <w:rFonts w:ascii="Times New Roman" w:eastAsia="Times New Roman" w:hAnsi="Times New Roman" w:cs="Times New Roman"/>
                <w:sz w:val="24"/>
                <w:szCs w:val="24"/>
                <w:lang w:eastAsia="es-CR"/>
              </w:rPr>
            </w:pPr>
            <w:r w:rsidRPr="00512E0A">
              <w:rPr>
                <w:rFonts w:ascii="Book Antiqua" w:eastAsia="Times New Roman" w:hAnsi="Book Antiqua" w:cs="Times New Roman"/>
                <w:color w:val="000000"/>
                <w:sz w:val="16"/>
                <w:szCs w:val="16"/>
                <w:lang w:eastAsia="es-CR"/>
              </w:rPr>
              <w:t>Producto de la solicitud de cambio del pendiente 27-2-23 y 28-4-23: Plan de gestión: fecha de finalización no concuerda con cronograma; el diagrama de la EDT debe contener todas las fase</w:t>
            </w:r>
            <w:r w:rsidR="00654984">
              <w:rPr>
                <w:rFonts w:ascii="Book Antiqua" w:eastAsia="Times New Roman" w:hAnsi="Book Antiqua" w:cs="Times New Roman"/>
                <w:color w:val="000000"/>
                <w:sz w:val="16"/>
                <w:szCs w:val="16"/>
                <w:lang w:eastAsia="es-CR"/>
              </w:rPr>
              <w:t>s</w:t>
            </w:r>
            <w:r w:rsidRPr="00512E0A">
              <w:rPr>
                <w:rFonts w:ascii="Book Antiqua" w:eastAsia="Times New Roman" w:hAnsi="Book Antiqua" w:cs="Times New Roman"/>
                <w:color w:val="000000"/>
                <w:sz w:val="16"/>
                <w:szCs w:val="16"/>
                <w:lang w:eastAsia="es-CR"/>
              </w:rPr>
              <w:t xml:space="preserve"> y los entregables de estas; el cronograma  esta desactualizado además se debe incluirse en PDF, o anexarse en la carpeta para que muestre complet</w:t>
            </w:r>
            <w:r>
              <w:rPr>
                <w:rFonts w:ascii="Book Antiqua" w:eastAsia="Times New Roman" w:hAnsi="Book Antiqua" w:cs="Times New Roman"/>
                <w:color w:val="000000"/>
                <w:sz w:val="16"/>
                <w:szCs w:val="16"/>
                <w:lang w:eastAsia="es-CR"/>
              </w:rPr>
              <w:t xml:space="preserve">o. </w:t>
            </w:r>
            <w:r w:rsidRPr="00512E0A">
              <w:rPr>
                <w:rFonts w:ascii="Book Antiqua" w:eastAsia="Times New Roman" w:hAnsi="Book Antiqua" w:cs="Times New Roman"/>
                <w:color w:val="000000"/>
                <w:sz w:val="16"/>
                <w:szCs w:val="16"/>
                <w:lang w:eastAsia="es-CR"/>
              </w:rPr>
              <w:t>Estudio de factibilidad: tiempo estimado no concuerda con cronograma.  Acta de constitución:  fecha de finalización no concuerda con cronograma </w:t>
            </w:r>
          </w:p>
        </w:tc>
      </w:tr>
    </w:tbl>
    <w:p w14:paraId="7199B2F7" w14:textId="77777777" w:rsidR="00512E0A" w:rsidRPr="00512E0A" w:rsidRDefault="00512E0A" w:rsidP="00512E0A">
      <w:pPr>
        <w:spacing w:after="0" w:line="240" w:lineRule="auto"/>
        <w:jc w:val="both"/>
        <w:textAlignment w:val="baseline"/>
        <w:rPr>
          <w:rFonts w:ascii="Segoe UI" w:eastAsia="Times New Roman" w:hAnsi="Segoe UI" w:cs="Segoe UI"/>
          <w:sz w:val="18"/>
          <w:szCs w:val="18"/>
          <w:lang w:eastAsia="es-CR"/>
        </w:rPr>
      </w:pPr>
      <w:r w:rsidRPr="00512E0A">
        <w:rPr>
          <w:rFonts w:ascii="Book Antiqua" w:eastAsia="Times New Roman" w:hAnsi="Book Antiqua" w:cs="Segoe UI"/>
          <w:sz w:val="24"/>
          <w:szCs w:val="24"/>
          <w:lang w:eastAsia="es-CR"/>
        </w:rPr>
        <w:t> </w:t>
      </w:r>
    </w:p>
    <w:p w14:paraId="2526A6CC" w14:textId="1C6A809A" w:rsidR="00197FE3" w:rsidRPr="00083E0D" w:rsidRDefault="00197FE3" w:rsidP="00155AE5">
      <w:pPr>
        <w:pStyle w:val="Ttulo2"/>
        <w:numPr>
          <w:ilvl w:val="1"/>
          <w:numId w:val="19"/>
        </w:numPr>
        <w:rPr>
          <w:rFonts w:ascii="Book Antiqua" w:eastAsia="Wingdings" w:hAnsi="Book Antiqua"/>
          <w:b/>
          <w:bCs/>
          <w:color w:val="auto"/>
          <w:lang w:eastAsia="ko-KR"/>
        </w:rPr>
      </w:pPr>
      <w:bookmarkStart w:id="147" w:name="_Toc138770878"/>
      <w:r w:rsidRPr="5C2193A0">
        <w:rPr>
          <w:rFonts w:ascii="Book Antiqua" w:eastAsia="Wingdings" w:hAnsi="Book Antiqua"/>
          <w:b/>
          <w:bCs/>
          <w:color w:val="auto"/>
          <w:lang w:eastAsia="ko-KR"/>
        </w:rPr>
        <w:lastRenderedPageBreak/>
        <w:t>Conclusiones relacionadas con el capítulo 3</w:t>
      </w:r>
      <w:bookmarkEnd w:id="147"/>
    </w:p>
    <w:p w14:paraId="5AA580D5" w14:textId="623F2D8F" w:rsidR="00197FE3" w:rsidRDefault="00197FE3" w:rsidP="00197FE3">
      <w:pPr>
        <w:spacing w:after="0"/>
        <w:jc w:val="both"/>
        <w:rPr>
          <w:rFonts w:ascii="Book Antiqua" w:hAnsi="Book Antiqua"/>
        </w:rPr>
      </w:pPr>
    </w:p>
    <w:p w14:paraId="7ABEE31F" w14:textId="7784B2D7" w:rsidR="0004078D" w:rsidRPr="0086112A" w:rsidRDefault="0004078D" w:rsidP="0004078D">
      <w:pPr>
        <w:spacing w:after="0"/>
        <w:jc w:val="both"/>
        <w:rPr>
          <w:rFonts w:ascii="Book Antiqua" w:hAnsi="Book Antiqua"/>
          <w:sz w:val="24"/>
          <w:szCs w:val="24"/>
        </w:rPr>
      </w:pPr>
      <w:r w:rsidRPr="0086112A">
        <w:rPr>
          <w:rFonts w:ascii="Book Antiqua" w:hAnsi="Book Antiqua"/>
          <w:sz w:val="24"/>
          <w:szCs w:val="24"/>
        </w:rPr>
        <w:t>En cuanto al seguimiento realizado a las labores operativas, como principales conclusiones se tienen:</w:t>
      </w:r>
    </w:p>
    <w:p w14:paraId="2807F96E" w14:textId="77777777" w:rsidR="002B193F" w:rsidRPr="002B193F" w:rsidRDefault="002B193F" w:rsidP="002B193F">
      <w:pPr>
        <w:spacing w:after="0"/>
        <w:jc w:val="both"/>
        <w:rPr>
          <w:rFonts w:ascii="Book Antiqua" w:hAnsi="Book Antiqua"/>
          <w:sz w:val="24"/>
          <w:szCs w:val="24"/>
        </w:rPr>
      </w:pPr>
    </w:p>
    <w:p w14:paraId="157192C0" w14:textId="491B1B3C" w:rsidR="002B193F" w:rsidRPr="0086112A" w:rsidRDefault="002B193F" w:rsidP="002B193F">
      <w:pPr>
        <w:pStyle w:val="Prrafodelista"/>
        <w:numPr>
          <w:ilvl w:val="2"/>
          <w:numId w:val="19"/>
        </w:numPr>
        <w:spacing w:after="0"/>
        <w:ind w:left="426" w:firstLine="0"/>
        <w:jc w:val="both"/>
        <w:rPr>
          <w:rFonts w:ascii="Book Antiqua" w:hAnsi="Book Antiqua"/>
          <w:sz w:val="24"/>
          <w:szCs w:val="24"/>
        </w:rPr>
      </w:pPr>
      <w:r w:rsidRPr="0086112A">
        <w:rPr>
          <w:rFonts w:ascii="Book Antiqua" w:hAnsi="Book Antiqua"/>
          <w:sz w:val="24"/>
          <w:szCs w:val="24"/>
        </w:rPr>
        <w:t>La Unidad Estratégica de Portafolio de Proyectos Institucional remitió vía correo electrónico el oficio 1840-PLA-PP-TR-2023 el pasado 24 de mayo a todas las oficinas responsables de labores operativas, el detalle de indicaciones que debían seguir para rendir el primer informe de avance 2023.</w:t>
      </w:r>
    </w:p>
    <w:p w14:paraId="2FF0B493" w14:textId="77777777" w:rsidR="002B193F" w:rsidRPr="0086112A" w:rsidRDefault="002B193F" w:rsidP="002B193F">
      <w:pPr>
        <w:pStyle w:val="Prrafodelista"/>
        <w:spacing w:after="0"/>
        <w:ind w:left="426"/>
        <w:jc w:val="both"/>
        <w:rPr>
          <w:rFonts w:ascii="Book Antiqua" w:hAnsi="Book Antiqua"/>
          <w:sz w:val="24"/>
          <w:szCs w:val="24"/>
        </w:rPr>
      </w:pPr>
    </w:p>
    <w:p w14:paraId="41177F1B" w14:textId="75840AB1" w:rsidR="002B193F" w:rsidRPr="0086112A" w:rsidRDefault="002B193F" w:rsidP="002B193F">
      <w:pPr>
        <w:pStyle w:val="Prrafodelista"/>
        <w:numPr>
          <w:ilvl w:val="2"/>
          <w:numId w:val="19"/>
        </w:numPr>
        <w:spacing w:after="0"/>
        <w:ind w:left="426" w:firstLine="0"/>
        <w:jc w:val="both"/>
        <w:rPr>
          <w:rFonts w:ascii="Book Antiqua" w:hAnsi="Book Antiqua"/>
          <w:sz w:val="24"/>
          <w:szCs w:val="24"/>
        </w:rPr>
      </w:pPr>
      <w:r w:rsidRPr="002B193F">
        <w:rPr>
          <w:rFonts w:ascii="Book Antiqua" w:hAnsi="Book Antiqua"/>
          <w:sz w:val="24"/>
          <w:szCs w:val="24"/>
        </w:rPr>
        <w:t xml:space="preserve">Destacar que todas las labores operativas presentaron el informe de </w:t>
      </w:r>
      <w:r w:rsidRPr="0086112A">
        <w:rPr>
          <w:rFonts w:ascii="Book Antiqua" w:hAnsi="Book Antiqua"/>
          <w:sz w:val="24"/>
          <w:szCs w:val="24"/>
        </w:rPr>
        <w:t>a</w:t>
      </w:r>
      <w:r w:rsidRPr="002B193F">
        <w:rPr>
          <w:rFonts w:ascii="Book Antiqua" w:hAnsi="Book Antiqua"/>
          <w:sz w:val="24"/>
          <w:szCs w:val="24"/>
        </w:rPr>
        <w:t xml:space="preserve">vance y el cronograma, sin embargo, los encargados de realizar el </w:t>
      </w:r>
      <w:r w:rsidRPr="0086112A">
        <w:rPr>
          <w:rFonts w:ascii="Book Antiqua" w:hAnsi="Book Antiqua"/>
          <w:sz w:val="24"/>
          <w:szCs w:val="24"/>
        </w:rPr>
        <w:t>i</w:t>
      </w:r>
      <w:r w:rsidRPr="002B193F">
        <w:rPr>
          <w:rFonts w:ascii="Book Antiqua" w:hAnsi="Book Antiqua"/>
          <w:sz w:val="24"/>
          <w:szCs w:val="24"/>
        </w:rPr>
        <w:t xml:space="preserve">nforme de </w:t>
      </w:r>
      <w:r w:rsidRPr="0086112A">
        <w:rPr>
          <w:rFonts w:ascii="Book Antiqua" w:hAnsi="Book Antiqua"/>
          <w:sz w:val="24"/>
          <w:szCs w:val="24"/>
        </w:rPr>
        <w:t>av</w:t>
      </w:r>
      <w:r w:rsidRPr="002B193F">
        <w:rPr>
          <w:rFonts w:ascii="Book Antiqua" w:hAnsi="Book Antiqua"/>
          <w:sz w:val="24"/>
          <w:szCs w:val="24"/>
        </w:rPr>
        <w:t>ance tienden a confundir el porcentaje de avance del cronograma general, con el porcentaje de avance del período que se está analizando o revisando, por lo que es importante aclarar que el cronograma proporciona el avance de forma general, por lo que se recomienda dividir el cronograma por años a ejecutar.</w:t>
      </w:r>
    </w:p>
    <w:p w14:paraId="5A6406DB" w14:textId="77777777" w:rsidR="002B193F" w:rsidRPr="002B193F" w:rsidRDefault="002B193F" w:rsidP="002B193F">
      <w:pPr>
        <w:pStyle w:val="Prrafodelista"/>
        <w:spacing w:after="0"/>
        <w:ind w:left="426"/>
        <w:jc w:val="both"/>
        <w:rPr>
          <w:rFonts w:ascii="Book Antiqua" w:hAnsi="Book Antiqua"/>
          <w:sz w:val="24"/>
          <w:szCs w:val="24"/>
        </w:rPr>
      </w:pPr>
    </w:p>
    <w:p w14:paraId="72A04E33" w14:textId="136C2E97" w:rsidR="002B193F" w:rsidRDefault="002B193F" w:rsidP="002B193F">
      <w:pPr>
        <w:pStyle w:val="Prrafodelista"/>
        <w:numPr>
          <w:ilvl w:val="2"/>
          <w:numId w:val="19"/>
        </w:numPr>
        <w:spacing w:after="0"/>
        <w:ind w:left="426" w:firstLine="130"/>
        <w:jc w:val="both"/>
        <w:rPr>
          <w:rFonts w:ascii="Book Antiqua" w:hAnsi="Book Antiqua"/>
          <w:sz w:val="24"/>
          <w:szCs w:val="24"/>
        </w:rPr>
      </w:pPr>
      <w:r w:rsidRPr="002B193F">
        <w:rPr>
          <w:rFonts w:ascii="Book Antiqua" w:hAnsi="Book Antiqua"/>
          <w:sz w:val="24"/>
          <w:szCs w:val="24"/>
        </w:rPr>
        <w:t>Se revisaron los datos reportados para los meses de enero a abril del 2023, de cada uno de los indicadores de las labores operativas. Además se solicitó valorar si con los indicadores propuestos se logra identificar las labores operativas y en algunos casos solicitaron actualizar los indicadores anteriormente propuestos. En el apartado 3.</w:t>
      </w:r>
      <w:r w:rsidRPr="0086112A">
        <w:rPr>
          <w:rFonts w:ascii="Book Antiqua" w:hAnsi="Book Antiqua"/>
          <w:sz w:val="24"/>
          <w:szCs w:val="24"/>
        </w:rPr>
        <w:t xml:space="preserve">6 </w:t>
      </w:r>
      <w:r w:rsidRPr="002B193F">
        <w:rPr>
          <w:rFonts w:ascii="Book Antiqua" w:hAnsi="Book Antiqua"/>
          <w:sz w:val="24"/>
          <w:szCs w:val="24"/>
        </w:rPr>
        <w:t>se incluye tabla.</w:t>
      </w:r>
    </w:p>
    <w:p w14:paraId="384409A8" w14:textId="77777777" w:rsidR="0091565E" w:rsidRPr="0086112A" w:rsidRDefault="0091565E" w:rsidP="00EF4E17">
      <w:pPr>
        <w:pStyle w:val="Prrafodelista"/>
        <w:spacing w:after="0"/>
        <w:ind w:left="556"/>
        <w:jc w:val="both"/>
        <w:rPr>
          <w:rFonts w:ascii="Book Antiqua" w:hAnsi="Book Antiqua"/>
          <w:sz w:val="24"/>
          <w:szCs w:val="24"/>
        </w:rPr>
      </w:pPr>
    </w:p>
    <w:p w14:paraId="0CAD1C2F" w14:textId="163565A5" w:rsidR="002B193F" w:rsidRDefault="002B193F" w:rsidP="002B193F">
      <w:pPr>
        <w:pStyle w:val="Prrafodelista"/>
        <w:numPr>
          <w:ilvl w:val="2"/>
          <w:numId w:val="19"/>
        </w:numPr>
        <w:spacing w:after="0"/>
        <w:ind w:left="426" w:firstLine="130"/>
        <w:jc w:val="both"/>
        <w:rPr>
          <w:rFonts w:ascii="Book Antiqua" w:hAnsi="Book Antiqua"/>
          <w:sz w:val="24"/>
          <w:szCs w:val="24"/>
        </w:rPr>
      </w:pPr>
      <w:r w:rsidRPr="0086112A">
        <w:rPr>
          <w:rFonts w:ascii="Book Antiqua" w:hAnsi="Book Antiqua"/>
          <w:sz w:val="24"/>
          <w:szCs w:val="24"/>
        </w:rPr>
        <w:t xml:space="preserve"> Al revisar el rendimiento global del periodo de los indicadores se determinó que 91% de las labores operativas obtuvieron un porcentaje mayor al 80%.</w:t>
      </w:r>
    </w:p>
    <w:p w14:paraId="19891F05" w14:textId="77777777" w:rsidR="0086112A" w:rsidRPr="0086112A" w:rsidRDefault="0086112A" w:rsidP="0086112A">
      <w:pPr>
        <w:pStyle w:val="Prrafodelista"/>
        <w:spacing w:after="0"/>
        <w:ind w:left="556"/>
        <w:jc w:val="both"/>
        <w:rPr>
          <w:rFonts w:ascii="Book Antiqua" w:hAnsi="Book Antiqua"/>
          <w:sz w:val="24"/>
          <w:szCs w:val="24"/>
        </w:rPr>
      </w:pPr>
    </w:p>
    <w:p w14:paraId="78413F24" w14:textId="7A203AF1" w:rsidR="002B193F" w:rsidRPr="0086112A" w:rsidRDefault="002B193F" w:rsidP="002B193F">
      <w:pPr>
        <w:pStyle w:val="Prrafodelista"/>
        <w:numPr>
          <w:ilvl w:val="2"/>
          <w:numId w:val="19"/>
        </w:numPr>
        <w:spacing w:after="0"/>
        <w:ind w:left="426" w:firstLine="130"/>
        <w:jc w:val="both"/>
        <w:rPr>
          <w:rFonts w:ascii="Book Antiqua" w:hAnsi="Book Antiqua"/>
          <w:sz w:val="24"/>
          <w:szCs w:val="24"/>
        </w:rPr>
      </w:pPr>
      <w:r w:rsidRPr="0086112A">
        <w:rPr>
          <w:rFonts w:ascii="Book Antiqua" w:hAnsi="Book Antiqua"/>
          <w:sz w:val="24"/>
          <w:szCs w:val="24"/>
        </w:rPr>
        <w:t>En cuanto al seguimiento de los cronogramas de las labores operativas se realizó la revisión y seguimiento, donde se obtuvo que del total de las 51 labores operativas, 47 se encuentran a tiempo, 3 reportan un avance menor al esperado y 1 un adelanto. Un aspecto importante es que los proyectos que presentan un retraso igualmente obtuvieron un rendimiento por debajo del 80%.</w:t>
      </w:r>
    </w:p>
    <w:p w14:paraId="30E9AD5E" w14:textId="0FACC385" w:rsidR="002B193F" w:rsidRPr="0086112A" w:rsidRDefault="002B193F" w:rsidP="002B193F">
      <w:pPr>
        <w:pStyle w:val="Prrafodelista"/>
        <w:numPr>
          <w:ilvl w:val="2"/>
          <w:numId w:val="19"/>
        </w:numPr>
        <w:spacing w:after="0"/>
        <w:ind w:left="426" w:firstLine="130"/>
        <w:jc w:val="both"/>
        <w:rPr>
          <w:rFonts w:ascii="Book Antiqua" w:hAnsi="Book Antiqua"/>
          <w:sz w:val="24"/>
          <w:szCs w:val="24"/>
        </w:rPr>
      </w:pPr>
      <w:r w:rsidRPr="0086112A">
        <w:rPr>
          <w:rFonts w:ascii="Book Antiqua" w:hAnsi="Book Antiqua"/>
          <w:sz w:val="24"/>
          <w:szCs w:val="24"/>
        </w:rPr>
        <w:t>De enero a abril del 2023, se incorporaron al portafolio institucional un total de 5 labores operativas producto de la asignación permisos con goce de salario nuevos, por lo que estas se incorporarán dentro del seguimiento realizado por la Unidad de Portafolio mediante la metodología institucional de administración de proyectos.</w:t>
      </w:r>
    </w:p>
    <w:p w14:paraId="38FEB065" w14:textId="1D86057D" w:rsidR="002B193F" w:rsidRPr="0086112A" w:rsidRDefault="002B193F" w:rsidP="002B193F">
      <w:pPr>
        <w:pStyle w:val="Prrafodelista"/>
        <w:numPr>
          <w:ilvl w:val="2"/>
          <w:numId w:val="19"/>
        </w:numPr>
        <w:spacing w:after="0"/>
        <w:ind w:left="426" w:firstLine="130"/>
        <w:jc w:val="both"/>
        <w:rPr>
          <w:rFonts w:ascii="Book Antiqua" w:hAnsi="Book Antiqua"/>
          <w:sz w:val="24"/>
          <w:szCs w:val="24"/>
        </w:rPr>
      </w:pPr>
      <w:r w:rsidRPr="0086112A">
        <w:rPr>
          <w:rFonts w:ascii="Book Antiqua" w:hAnsi="Book Antiqua"/>
          <w:sz w:val="24"/>
          <w:szCs w:val="24"/>
        </w:rPr>
        <w:lastRenderedPageBreak/>
        <w:t>En cuanto al Permiso con Goce de Salario aprobado por la Junta Administradora del Fondo de Jubilaciones y Pensiones del Poder Judicial, de un Asistente Administrativo para atender la Ventanilla de Atención al Público, ubicada temporalmente en la primera planta del Edificio del OIJ, es importe indicar que fue aprobado por esa estimable Junta Administradora en sesión N.°40-2022 del pasado 18 de octubre de 2022, artículo XVII, en la cual se dispuso lo siguiente:</w:t>
      </w:r>
    </w:p>
    <w:p w14:paraId="1DC1DD06" w14:textId="3D1FB4BE" w:rsidR="002B193F" w:rsidRDefault="002B193F" w:rsidP="00EF4E17">
      <w:pPr>
        <w:pStyle w:val="Prrafodelista"/>
        <w:spacing w:after="0"/>
        <w:ind w:left="1440" w:right="758"/>
        <w:jc w:val="both"/>
        <w:rPr>
          <w:rFonts w:ascii="Book Antiqua" w:eastAsia="Times New Roman" w:hAnsi="Book Antiqua" w:cs="Times New Roman"/>
          <w:i/>
          <w:iCs/>
          <w:color w:val="000000"/>
          <w:sz w:val="20"/>
          <w:szCs w:val="20"/>
          <w:lang w:eastAsia="es-CR"/>
        </w:rPr>
      </w:pPr>
      <w:r w:rsidRPr="002B193F">
        <w:rPr>
          <w:rFonts w:ascii="Book Antiqua" w:eastAsia="Times New Roman" w:hAnsi="Book Antiqua" w:cs="Times New Roman"/>
          <w:i/>
          <w:iCs/>
          <w:color w:val="000000"/>
          <w:sz w:val="20"/>
          <w:szCs w:val="20"/>
          <w:lang w:eastAsia="es-CR"/>
        </w:rPr>
        <w:t xml:space="preserve">“[…] Se acuerda: Una vez conocido y discutido el tema como se ha indicado anteriormente, la Junta acuerda: 1.) Tomar nota de las manifestaciones del máster Oslean Mora Valdez, Director interino de la Dirección de la Junta Administradora del Fondo de Jubilaciones y Pensiones del Poder Judicial – JUNAFO. 2.) Autorizar a la Dirección de la JUNAFO para que coordine con la Dirección Ejecutiva, la posibilidad de que se otorgue una ventanilla física de atención en la zona del Primer Circuito Judicial de San José, así mismo, para que inicie negociaciones y que posteriormente presente a esta Junta, una propuesta sobre la posibilidad de alquiler </w:t>
      </w:r>
      <w:r w:rsidR="0086112A" w:rsidRPr="00A75D29">
        <w:rPr>
          <w:rFonts w:ascii="Book Antiqua" w:eastAsia="Times New Roman" w:hAnsi="Book Antiqua" w:cs="Times New Roman"/>
          <w:i/>
          <w:iCs/>
          <w:color w:val="000000"/>
          <w:sz w:val="20"/>
          <w:szCs w:val="20"/>
          <w:lang w:eastAsia="es-CR"/>
        </w:rPr>
        <w:t>o</w:t>
      </w:r>
      <w:r w:rsidR="0086112A" w:rsidRPr="00EC398D">
        <w:rPr>
          <w:rFonts w:ascii="Book Antiqua" w:eastAsia="Times New Roman" w:hAnsi="Book Antiqua" w:cs="Times New Roman"/>
          <w:i/>
          <w:iCs/>
          <w:color w:val="000000"/>
          <w:sz w:val="20"/>
          <w:szCs w:val="20"/>
          <w:lang w:eastAsia="es-CR"/>
        </w:rPr>
        <w:t xml:space="preserve"> adquisición de un edificio para esta institución</w:t>
      </w:r>
      <w:r w:rsidR="0086112A">
        <w:rPr>
          <w:rFonts w:ascii="Book Antiqua" w:eastAsia="Times New Roman" w:hAnsi="Book Antiqua" w:cs="Times New Roman"/>
          <w:i/>
          <w:iCs/>
          <w:color w:val="000000"/>
          <w:sz w:val="20"/>
          <w:szCs w:val="20"/>
          <w:lang w:eastAsia="es-CR"/>
        </w:rPr>
        <w:t>”</w:t>
      </w:r>
    </w:p>
    <w:p w14:paraId="0465BC09" w14:textId="77777777" w:rsidR="0086112A" w:rsidRPr="00EF4E17" w:rsidRDefault="0086112A" w:rsidP="002B193F">
      <w:pPr>
        <w:pStyle w:val="Prrafodelista"/>
        <w:spacing w:after="0"/>
        <w:ind w:left="1440"/>
        <w:jc w:val="both"/>
        <w:rPr>
          <w:rFonts w:ascii="Book Antiqua" w:eastAsia="Times New Roman" w:hAnsi="Book Antiqua" w:cs="Times New Roman"/>
          <w:i/>
          <w:iCs/>
          <w:color w:val="000000"/>
          <w:sz w:val="24"/>
          <w:szCs w:val="24"/>
          <w:lang w:eastAsia="es-CR"/>
        </w:rPr>
      </w:pPr>
    </w:p>
    <w:p w14:paraId="3148E9DA" w14:textId="3C77BF82" w:rsidR="002B193F" w:rsidRPr="0086112A" w:rsidRDefault="002B193F" w:rsidP="0086112A">
      <w:pPr>
        <w:pStyle w:val="Prrafodelista"/>
        <w:numPr>
          <w:ilvl w:val="2"/>
          <w:numId w:val="19"/>
        </w:numPr>
        <w:spacing w:after="0"/>
        <w:ind w:left="567" w:firstLine="0"/>
        <w:jc w:val="both"/>
        <w:rPr>
          <w:rFonts w:ascii="Book Antiqua" w:hAnsi="Book Antiqua"/>
          <w:sz w:val="24"/>
          <w:szCs w:val="24"/>
        </w:rPr>
      </w:pPr>
      <w:r w:rsidRPr="002B193F">
        <w:rPr>
          <w:rFonts w:ascii="Book Antiqua" w:hAnsi="Book Antiqua"/>
          <w:sz w:val="24"/>
          <w:szCs w:val="24"/>
        </w:rPr>
        <w:t>Por otra parte es importante indicar que, este recurso responde a una solicitud planteada y aprobada por la Junta Administradora, por lo que la Dirección de Planificación no solicitará su continuidad en este informe de seguimiento en lo relacionado al permiso con goce de salario y por ende no se le realizará seguimiento como proyecto operativo, considerando lo indicado por la Procuraduría General de la República en el oficio N°. ADPb-7273-2020, donde la Superintendencia de Pensiones, emite criterio mediante el oficio SP-1399-2020 del 30 de octubre del 2020, resaltando que:</w:t>
      </w:r>
    </w:p>
    <w:p w14:paraId="55400C49" w14:textId="1C80E7FE" w:rsidR="002B193F" w:rsidRDefault="002B193F" w:rsidP="00EF4E17">
      <w:pPr>
        <w:pStyle w:val="Prrafodelista"/>
        <w:spacing w:after="0"/>
        <w:ind w:left="1418" w:right="900"/>
        <w:jc w:val="both"/>
        <w:rPr>
          <w:rFonts w:ascii="Book Antiqua" w:eastAsia="Times New Roman" w:hAnsi="Book Antiqua" w:cs="Times New Roman"/>
          <w:i/>
          <w:iCs/>
          <w:color w:val="000000"/>
          <w:sz w:val="20"/>
          <w:szCs w:val="20"/>
          <w:lang w:eastAsia="es-CR"/>
        </w:rPr>
      </w:pPr>
      <w:r w:rsidRPr="002B193F">
        <w:rPr>
          <w:rFonts w:ascii="Book Antiqua" w:eastAsia="Times New Roman" w:hAnsi="Book Antiqua" w:cs="Times New Roman"/>
          <w:i/>
          <w:iCs/>
          <w:color w:val="000000"/>
          <w:sz w:val="20"/>
          <w:szCs w:val="20"/>
          <w:lang w:eastAsia="es-CR"/>
        </w:rPr>
        <w:t>“[…] comparte el criterio que acompaña el oficio N° 393-2020, en el sentido de que la naturaleza de la Junta Administradora del Fondo de Pensiones y Jubilaciones del Poder Judicial es la de un órgano desconcentrado máximo con personalidad jurídica instrumental, que goza de autonomía administrativa y técnica en la toma de decisiones en materia de jubilaciones y pensiones, tiene potestades disciplinarias y de dirección sobre su personal, dispone de su presupuesto y ostenta la representación legal del Fondo.</w:t>
      </w:r>
    </w:p>
    <w:p w14:paraId="1850ADED" w14:textId="77777777" w:rsidR="0086112A" w:rsidRPr="002B193F" w:rsidRDefault="0086112A" w:rsidP="002B193F">
      <w:pPr>
        <w:pStyle w:val="Prrafodelista"/>
        <w:spacing w:after="0"/>
        <w:ind w:left="1843" w:right="900"/>
        <w:jc w:val="both"/>
        <w:rPr>
          <w:rFonts w:ascii="Book Antiqua" w:hAnsi="Book Antiqua"/>
          <w:i/>
          <w:iCs/>
          <w:sz w:val="24"/>
          <w:szCs w:val="24"/>
          <w:highlight w:val="yellow"/>
        </w:rPr>
      </w:pPr>
    </w:p>
    <w:p w14:paraId="15244049" w14:textId="60B58300" w:rsidR="002B193F" w:rsidRDefault="002B193F" w:rsidP="0086112A">
      <w:pPr>
        <w:pStyle w:val="Prrafodelista"/>
        <w:numPr>
          <w:ilvl w:val="2"/>
          <w:numId w:val="19"/>
        </w:numPr>
        <w:spacing w:after="0"/>
        <w:ind w:left="426" w:firstLine="0"/>
        <w:jc w:val="both"/>
        <w:rPr>
          <w:rFonts w:ascii="Book Antiqua" w:hAnsi="Book Antiqua"/>
          <w:sz w:val="24"/>
          <w:szCs w:val="24"/>
        </w:rPr>
      </w:pPr>
      <w:r w:rsidRPr="002B193F">
        <w:rPr>
          <w:rFonts w:ascii="Book Antiqua" w:hAnsi="Book Antiqua"/>
          <w:sz w:val="24"/>
          <w:szCs w:val="24"/>
        </w:rPr>
        <w:t>El proyecto 0134-DGH-P09 “</w:t>
      </w:r>
      <w:r w:rsidRPr="002B193F">
        <w:rPr>
          <w:rFonts w:ascii="Book Antiqua" w:hAnsi="Book Antiqua"/>
          <w:i/>
          <w:iCs/>
          <w:sz w:val="24"/>
          <w:szCs w:val="24"/>
        </w:rPr>
        <w:t>Corrección del monto de jubilación de las personas beneficiarias con la Ley "Régimen General de Pensiones con Cargo al Presupuesto Nacional</w:t>
      </w:r>
      <w:r w:rsidRPr="002B193F">
        <w:rPr>
          <w:rFonts w:ascii="Book Antiqua" w:hAnsi="Book Antiqua"/>
          <w:sz w:val="24"/>
          <w:szCs w:val="24"/>
        </w:rPr>
        <w:t>”, laboró hasta el 30 de marzo del 2023, en cumplimiento a lo acordado por el Consejo Superior en sesión 110-2022, artículo LXIX, donde el permiso con goce de salario se prorrogó hasta el 31/03/2023, para culminar la tarea encomendada, plazo en que se logró concluir satisfactoriamente la tarea.</w:t>
      </w:r>
    </w:p>
    <w:p w14:paraId="2E6F8F30" w14:textId="77777777" w:rsidR="0086112A" w:rsidRPr="002B193F" w:rsidRDefault="0086112A" w:rsidP="0086112A">
      <w:pPr>
        <w:pStyle w:val="Prrafodelista"/>
        <w:spacing w:after="0"/>
        <w:ind w:left="426"/>
        <w:jc w:val="both"/>
        <w:rPr>
          <w:rFonts w:ascii="Book Antiqua" w:hAnsi="Book Antiqua"/>
          <w:sz w:val="24"/>
          <w:szCs w:val="24"/>
        </w:rPr>
      </w:pPr>
    </w:p>
    <w:p w14:paraId="2AC2FC59" w14:textId="045DC5FB" w:rsidR="002B193F" w:rsidRPr="002B193F" w:rsidRDefault="002B193F" w:rsidP="0086112A">
      <w:pPr>
        <w:pStyle w:val="Prrafodelista"/>
        <w:numPr>
          <w:ilvl w:val="2"/>
          <w:numId w:val="19"/>
        </w:numPr>
        <w:spacing w:after="0"/>
        <w:ind w:left="426" w:firstLine="0"/>
        <w:jc w:val="both"/>
        <w:rPr>
          <w:rFonts w:ascii="Book Antiqua" w:hAnsi="Book Antiqua"/>
          <w:sz w:val="24"/>
          <w:szCs w:val="24"/>
        </w:rPr>
      </w:pPr>
      <w:r w:rsidRPr="002B193F">
        <w:rPr>
          <w:rFonts w:ascii="Book Antiqua" w:hAnsi="Book Antiqua"/>
          <w:sz w:val="24"/>
          <w:szCs w:val="24"/>
        </w:rPr>
        <w:lastRenderedPageBreak/>
        <w:t>En cuanto al proyecto 0006-ST-P01 “</w:t>
      </w:r>
      <w:r w:rsidRPr="002B193F">
        <w:rPr>
          <w:rFonts w:ascii="Book Antiqua" w:hAnsi="Book Antiqua"/>
          <w:i/>
          <w:iCs/>
          <w:sz w:val="24"/>
          <w:szCs w:val="24"/>
        </w:rPr>
        <w:t>Plan de trabajo para la gestión de labores de la Vicepresidencia de la Corte</w:t>
      </w:r>
      <w:r w:rsidRPr="002B193F">
        <w:rPr>
          <w:rFonts w:ascii="Book Antiqua" w:hAnsi="Book Antiqua"/>
          <w:sz w:val="24"/>
          <w:szCs w:val="24"/>
        </w:rPr>
        <w:t>” es importante indicar que este proyecto laboró únicamente en el mes de enero del 2023, debido a que culminó con las tareas encomendadas, por lo tanto, se da por terminado y no se continua su seguimiento.</w:t>
      </w:r>
    </w:p>
    <w:p w14:paraId="45C8F5CA" w14:textId="77777777" w:rsidR="00A42F45" w:rsidRDefault="00A42F45" w:rsidP="00257371">
      <w:pPr>
        <w:pStyle w:val="Prrafodelista"/>
        <w:spacing w:after="0"/>
        <w:ind w:left="709"/>
        <w:jc w:val="both"/>
        <w:rPr>
          <w:rFonts w:ascii="Book Antiqua" w:eastAsia="Wingdings" w:hAnsi="Book Antiqua"/>
          <w:sz w:val="24"/>
          <w:szCs w:val="24"/>
          <w:lang w:eastAsia="ko-KR"/>
        </w:rPr>
      </w:pPr>
    </w:p>
    <w:p w14:paraId="56D99C47" w14:textId="6EB7CF85" w:rsidR="00197FE3" w:rsidRPr="00083E0D" w:rsidRDefault="00197FE3" w:rsidP="00155AE5">
      <w:pPr>
        <w:pStyle w:val="Ttulo2"/>
        <w:numPr>
          <w:ilvl w:val="1"/>
          <w:numId w:val="19"/>
        </w:numPr>
        <w:rPr>
          <w:rFonts w:ascii="Book Antiqua" w:eastAsia="Wingdings" w:hAnsi="Book Antiqua"/>
          <w:b/>
          <w:bCs/>
          <w:color w:val="auto"/>
          <w:lang w:eastAsia="ko-KR"/>
        </w:rPr>
      </w:pPr>
      <w:bookmarkStart w:id="148" w:name="_Toc138770879"/>
      <w:r w:rsidRPr="5C2193A0">
        <w:rPr>
          <w:rFonts w:ascii="Book Antiqua" w:eastAsia="Wingdings" w:hAnsi="Book Antiqua"/>
          <w:b/>
          <w:bCs/>
          <w:color w:val="auto"/>
          <w:lang w:eastAsia="ko-KR"/>
        </w:rPr>
        <w:t>Conclusiones relacionadas con el capítulo 4</w:t>
      </w:r>
      <w:bookmarkEnd w:id="148"/>
    </w:p>
    <w:p w14:paraId="2DBBB7BB" w14:textId="6EDA7627" w:rsidR="00164F12" w:rsidRDefault="00164F12" w:rsidP="00164F12">
      <w:pPr>
        <w:spacing w:after="0"/>
        <w:jc w:val="both"/>
        <w:rPr>
          <w:rFonts w:ascii="Book Antiqua" w:hAnsi="Book Antiqua"/>
        </w:rPr>
      </w:pPr>
    </w:p>
    <w:p w14:paraId="31145E3E" w14:textId="58ABCFA1" w:rsidR="007B1CB1" w:rsidRPr="000A3123" w:rsidRDefault="00BF0278" w:rsidP="00EE08CD">
      <w:r w:rsidRPr="00EE08CD">
        <w:rPr>
          <w:rFonts w:ascii="Book Antiqua" w:hAnsi="Book Antiqua"/>
          <w:sz w:val="24"/>
          <w:szCs w:val="24"/>
        </w:rPr>
        <w:t xml:space="preserve">Respecto </w:t>
      </w:r>
      <w:r w:rsidR="00AA474F" w:rsidRPr="00EE08CD">
        <w:rPr>
          <w:rFonts w:ascii="Book Antiqua" w:hAnsi="Book Antiqua"/>
          <w:sz w:val="24"/>
          <w:szCs w:val="24"/>
        </w:rPr>
        <w:t xml:space="preserve">al capítulo relacionado con </w:t>
      </w:r>
      <w:r w:rsidR="002736A8" w:rsidRPr="00EE08CD">
        <w:rPr>
          <w:rFonts w:ascii="Book Antiqua" w:hAnsi="Book Antiqua"/>
          <w:sz w:val="24"/>
          <w:szCs w:val="24"/>
        </w:rPr>
        <w:t>el análisis</w:t>
      </w:r>
      <w:r w:rsidR="00E03463" w:rsidRPr="00EE08CD">
        <w:rPr>
          <w:rFonts w:ascii="Book Antiqua" w:hAnsi="Book Antiqua"/>
          <w:sz w:val="24"/>
          <w:szCs w:val="24"/>
        </w:rPr>
        <w:t xml:space="preserve"> de permisos con goce de salarios </w:t>
      </w:r>
      <w:r w:rsidR="00625464" w:rsidRPr="00EE08CD">
        <w:rPr>
          <w:rFonts w:ascii="Book Antiqua" w:hAnsi="Book Antiqua"/>
          <w:sz w:val="24"/>
          <w:szCs w:val="24"/>
        </w:rPr>
        <w:t xml:space="preserve">requeridos para el periodo </w:t>
      </w:r>
      <w:r w:rsidR="005F625E">
        <w:rPr>
          <w:rFonts w:ascii="Book Antiqua" w:hAnsi="Book Antiqua"/>
          <w:sz w:val="24"/>
          <w:szCs w:val="24"/>
        </w:rPr>
        <w:t xml:space="preserve">de III trimestre </w:t>
      </w:r>
      <w:r w:rsidR="00625464" w:rsidRPr="00EE08CD">
        <w:rPr>
          <w:rFonts w:ascii="Book Antiqua" w:hAnsi="Book Antiqua"/>
          <w:sz w:val="24"/>
          <w:szCs w:val="24"/>
        </w:rPr>
        <w:t>202</w:t>
      </w:r>
      <w:r w:rsidR="005F625E">
        <w:rPr>
          <w:rFonts w:ascii="Book Antiqua" w:hAnsi="Book Antiqua"/>
          <w:sz w:val="24"/>
          <w:szCs w:val="24"/>
        </w:rPr>
        <w:t>3</w:t>
      </w:r>
      <w:r w:rsidR="002C7ADA" w:rsidRPr="00EE08CD">
        <w:rPr>
          <w:rFonts w:ascii="Book Antiqua" w:hAnsi="Book Antiqua"/>
          <w:sz w:val="24"/>
          <w:szCs w:val="24"/>
        </w:rPr>
        <w:t xml:space="preserve">, se tienen las siguientes </w:t>
      </w:r>
      <w:r w:rsidR="002C7ADA" w:rsidRPr="000A3123">
        <w:rPr>
          <w:rFonts w:ascii="Book Antiqua" w:hAnsi="Book Antiqua"/>
          <w:sz w:val="24"/>
          <w:szCs w:val="24"/>
        </w:rPr>
        <w:t>conclusiones:</w:t>
      </w:r>
    </w:p>
    <w:p w14:paraId="0DC055D3" w14:textId="34FA25AF" w:rsidR="00B35376" w:rsidRPr="000A3123" w:rsidRDefault="00B35376" w:rsidP="00155AE5">
      <w:pPr>
        <w:pStyle w:val="Prrafodelista"/>
        <w:numPr>
          <w:ilvl w:val="2"/>
          <w:numId w:val="19"/>
        </w:numPr>
        <w:spacing w:after="0"/>
        <w:ind w:left="142" w:firstLine="284"/>
        <w:jc w:val="both"/>
        <w:rPr>
          <w:rFonts w:ascii="Book Antiqua" w:hAnsi="Book Antiqua"/>
          <w:sz w:val="24"/>
          <w:szCs w:val="24"/>
          <w:lang w:eastAsia="ko-KR"/>
        </w:rPr>
      </w:pPr>
      <w:r w:rsidRPr="000A3123">
        <w:rPr>
          <w:rFonts w:ascii="Book Antiqua" w:hAnsi="Book Antiqua"/>
          <w:sz w:val="24"/>
          <w:szCs w:val="24"/>
          <w:lang w:eastAsia="ko-KR"/>
        </w:rPr>
        <w:t>Según lo señalado por la Dirección de Gestión Humana, el presupuesto disponible, así como la últim</w:t>
      </w:r>
      <w:r w:rsidR="005F625E" w:rsidRPr="000A3123">
        <w:rPr>
          <w:rFonts w:ascii="Book Antiqua" w:hAnsi="Book Antiqua"/>
          <w:sz w:val="24"/>
          <w:szCs w:val="24"/>
          <w:lang w:eastAsia="ko-KR"/>
        </w:rPr>
        <w:t>a</w:t>
      </w:r>
      <w:r w:rsidRPr="000A3123">
        <w:rPr>
          <w:rFonts w:ascii="Book Antiqua" w:hAnsi="Book Antiqua"/>
          <w:sz w:val="24"/>
          <w:szCs w:val="24"/>
          <w:lang w:eastAsia="ko-KR"/>
        </w:rPr>
        <w:t xml:space="preserve"> modificaci</w:t>
      </w:r>
      <w:r w:rsidR="005F625E" w:rsidRPr="000A3123">
        <w:rPr>
          <w:rFonts w:ascii="Book Antiqua" w:hAnsi="Book Antiqua"/>
          <w:sz w:val="24"/>
          <w:szCs w:val="24"/>
          <w:lang w:eastAsia="ko-KR"/>
        </w:rPr>
        <w:t>ón</w:t>
      </w:r>
      <w:r w:rsidRPr="000A3123">
        <w:rPr>
          <w:rFonts w:ascii="Book Antiqua" w:hAnsi="Book Antiqua"/>
          <w:sz w:val="24"/>
          <w:szCs w:val="24"/>
          <w:lang w:eastAsia="ko-KR"/>
        </w:rPr>
        <w:t xml:space="preserve"> externa; permite cubrir los costos de remuneraciones para los permisos con goce de salario otorgados mediante el artículo </w:t>
      </w:r>
      <w:r w:rsidR="005F625E" w:rsidRPr="000A3123">
        <w:rPr>
          <w:rFonts w:ascii="Book Antiqua" w:hAnsi="Book Antiqua"/>
          <w:sz w:val="24"/>
          <w:szCs w:val="24"/>
          <w:lang w:eastAsia="ko-KR"/>
        </w:rPr>
        <w:t>N</w:t>
      </w:r>
      <w:r w:rsidRPr="000A3123">
        <w:rPr>
          <w:rFonts w:ascii="Book Antiqua" w:hAnsi="Book Antiqua"/>
          <w:sz w:val="24"/>
          <w:szCs w:val="24"/>
          <w:lang w:eastAsia="ko-KR"/>
        </w:rPr>
        <w:t>°44 de la Ley Orgánica del Poder Judicial para el período correspondiente al tercer trimestre, considerando tanto los proyectos estratégicos y operativos.</w:t>
      </w:r>
    </w:p>
    <w:p w14:paraId="26A926EB" w14:textId="4FE00874" w:rsidR="00B35376" w:rsidRPr="00257371" w:rsidRDefault="00B35376" w:rsidP="009F15D7">
      <w:pPr>
        <w:pStyle w:val="Prrafodelista"/>
        <w:spacing w:before="240" w:after="240"/>
        <w:ind w:left="142" w:firstLine="284"/>
        <w:jc w:val="both"/>
        <w:rPr>
          <w:rFonts w:ascii="Book Antiqua" w:eastAsia="Wingdings" w:hAnsi="Book Antiqua"/>
          <w:sz w:val="24"/>
          <w:szCs w:val="24"/>
          <w:lang w:eastAsia="ko-KR"/>
        </w:rPr>
      </w:pPr>
    </w:p>
    <w:p w14:paraId="4246BFBE" w14:textId="4E0452BE" w:rsidR="00B35376" w:rsidRPr="000A3123" w:rsidRDefault="00B35376" w:rsidP="00155AE5">
      <w:pPr>
        <w:pStyle w:val="Prrafodelista"/>
        <w:numPr>
          <w:ilvl w:val="2"/>
          <w:numId w:val="19"/>
        </w:numPr>
        <w:spacing w:before="240" w:after="240"/>
        <w:ind w:left="142" w:firstLine="284"/>
        <w:jc w:val="both"/>
        <w:rPr>
          <w:rFonts w:ascii="Book Antiqua" w:eastAsia="Wingdings" w:hAnsi="Book Antiqua"/>
          <w:sz w:val="24"/>
          <w:szCs w:val="24"/>
          <w:lang w:eastAsia="ko-KR"/>
        </w:rPr>
      </w:pPr>
      <w:r w:rsidRPr="000A3123">
        <w:rPr>
          <w:rFonts w:ascii="Book Antiqua" w:eastAsia="Wingdings" w:hAnsi="Book Antiqua"/>
          <w:sz w:val="24"/>
          <w:szCs w:val="24"/>
          <w:lang w:eastAsia="ko-KR"/>
        </w:rPr>
        <w:t>Existe</w:t>
      </w:r>
      <w:r w:rsidR="005F625E" w:rsidRPr="000A3123">
        <w:rPr>
          <w:rFonts w:ascii="Book Antiqua" w:eastAsia="Wingdings" w:hAnsi="Book Antiqua"/>
          <w:sz w:val="24"/>
          <w:szCs w:val="24"/>
          <w:lang w:eastAsia="ko-KR"/>
        </w:rPr>
        <w:t>n</w:t>
      </w:r>
      <w:r w:rsidRPr="000A3123">
        <w:rPr>
          <w:rFonts w:ascii="Book Antiqua" w:eastAsia="Wingdings" w:hAnsi="Book Antiqua"/>
          <w:sz w:val="24"/>
          <w:szCs w:val="24"/>
          <w:lang w:eastAsia="ko-KR"/>
        </w:rPr>
        <w:t xml:space="preserve"> </w:t>
      </w:r>
      <w:r w:rsidR="000A3123" w:rsidRPr="000A3123">
        <w:rPr>
          <w:rFonts w:ascii="Book Antiqua" w:eastAsia="Wingdings" w:hAnsi="Book Antiqua"/>
          <w:sz w:val="24"/>
          <w:szCs w:val="24"/>
          <w:lang w:eastAsia="ko-KR"/>
        </w:rPr>
        <w:t>5</w:t>
      </w:r>
      <w:r w:rsidRPr="000A3123">
        <w:rPr>
          <w:rFonts w:ascii="Book Antiqua" w:eastAsia="Wingdings" w:hAnsi="Book Antiqua"/>
          <w:sz w:val="24"/>
          <w:szCs w:val="24"/>
          <w:lang w:eastAsia="ko-KR"/>
        </w:rPr>
        <w:t xml:space="preserve"> permiso</w:t>
      </w:r>
      <w:r w:rsidR="005F625E" w:rsidRPr="000A3123">
        <w:rPr>
          <w:rFonts w:ascii="Book Antiqua" w:eastAsia="Wingdings" w:hAnsi="Book Antiqua"/>
          <w:sz w:val="24"/>
          <w:szCs w:val="24"/>
          <w:lang w:eastAsia="ko-KR"/>
        </w:rPr>
        <w:t>s</w:t>
      </w:r>
      <w:r w:rsidRPr="000A3123">
        <w:rPr>
          <w:rFonts w:ascii="Book Antiqua" w:eastAsia="Wingdings" w:hAnsi="Book Antiqua"/>
          <w:sz w:val="24"/>
          <w:szCs w:val="24"/>
          <w:lang w:eastAsia="ko-KR"/>
        </w:rPr>
        <w:t xml:space="preserve"> con goce salarial que no continuaría</w:t>
      </w:r>
      <w:r w:rsidR="005F625E" w:rsidRPr="000A3123">
        <w:rPr>
          <w:rFonts w:ascii="Book Antiqua" w:eastAsia="Wingdings" w:hAnsi="Book Antiqua"/>
          <w:sz w:val="24"/>
          <w:szCs w:val="24"/>
          <w:lang w:eastAsia="ko-KR"/>
        </w:rPr>
        <w:t>n</w:t>
      </w:r>
      <w:r w:rsidRPr="000A3123">
        <w:rPr>
          <w:rFonts w:ascii="Book Antiqua" w:eastAsia="Wingdings" w:hAnsi="Book Antiqua"/>
          <w:sz w:val="24"/>
          <w:szCs w:val="24"/>
          <w:lang w:eastAsia="ko-KR"/>
        </w:rPr>
        <w:t xml:space="preserve"> para el tercer trimestre del 202</w:t>
      </w:r>
      <w:r w:rsidR="005F625E" w:rsidRPr="000A3123">
        <w:rPr>
          <w:rFonts w:ascii="Book Antiqua" w:eastAsia="Wingdings" w:hAnsi="Book Antiqua"/>
          <w:sz w:val="24"/>
          <w:szCs w:val="24"/>
          <w:lang w:eastAsia="ko-KR"/>
        </w:rPr>
        <w:t>3</w:t>
      </w:r>
      <w:r w:rsidRPr="000A3123">
        <w:rPr>
          <w:rFonts w:ascii="Book Antiqua" w:eastAsia="Wingdings" w:hAnsi="Book Antiqua"/>
          <w:sz w:val="24"/>
          <w:szCs w:val="24"/>
          <w:lang w:eastAsia="ko-KR"/>
        </w:rPr>
        <w:t>,</w:t>
      </w:r>
      <w:r w:rsidR="005F625E" w:rsidRPr="000A3123">
        <w:rPr>
          <w:rFonts w:ascii="Book Antiqua" w:eastAsia="Wingdings" w:hAnsi="Book Antiqua"/>
          <w:sz w:val="24"/>
          <w:szCs w:val="24"/>
          <w:lang w:eastAsia="ko-KR"/>
        </w:rPr>
        <w:t xml:space="preserve"> en el caso del OIJ </w:t>
      </w:r>
      <w:r w:rsidR="000A3123" w:rsidRPr="000A3123">
        <w:rPr>
          <w:rFonts w:ascii="Book Antiqua" w:eastAsia="Wingdings" w:hAnsi="Book Antiqua"/>
          <w:sz w:val="24"/>
          <w:szCs w:val="24"/>
          <w:lang w:eastAsia="ko-KR"/>
        </w:rPr>
        <w:t xml:space="preserve">es del proyecto 1167-OIJ-P50 y no </w:t>
      </w:r>
      <w:r w:rsidR="50C24A22" w:rsidRPr="22DA3E41">
        <w:rPr>
          <w:rFonts w:ascii="Book Antiqua" w:eastAsia="Wingdings" w:hAnsi="Book Antiqua"/>
          <w:sz w:val="24"/>
          <w:szCs w:val="24"/>
          <w:lang w:eastAsia="ko-KR"/>
        </w:rPr>
        <w:t>continúa</w:t>
      </w:r>
      <w:r w:rsidR="000A3123" w:rsidRPr="000A3123">
        <w:rPr>
          <w:rFonts w:ascii="Book Antiqua" w:eastAsia="Wingdings" w:hAnsi="Book Antiqua"/>
          <w:sz w:val="24"/>
          <w:szCs w:val="24"/>
          <w:lang w:eastAsia="ko-KR"/>
        </w:rPr>
        <w:t xml:space="preserve"> debido a q</w:t>
      </w:r>
      <w:r w:rsidR="005F625E" w:rsidRPr="000A3123">
        <w:rPr>
          <w:rFonts w:ascii="Book Antiqua" w:eastAsia="Wingdings" w:hAnsi="Book Antiqua"/>
          <w:sz w:val="24"/>
          <w:szCs w:val="24"/>
          <w:lang w:eastAsia="ko-KR"/>
        </w:rPr>
        <w:t xml:space="preserve">ue finalizó, los restantes </w:t>
      </w:r>
      <w:r w:rsidR="000A3123" w:rsidRPr="000A3123">
        <w:rPr>
          <w:rFonts w:ascii="Book Antiqua" w:eastAsia="Wingdings" w:hAnsi="Book Antiqua"/>
          <w:sz w:val="24"/>
          <w:szCs w:val="24"/>
          <w:lang w:eastAsia="ko-KR"/>
        </w:rPr>
        <w:t xml:space="preserve">permisos, </w:t>
      </w:r>
      <w:r w:rsidR="005F625E" w:rsidRPr="000A3123">
        <w:rPr>
          <w:rFonts w:ascii="Book Antiqua" w:eastAsia="Wingdings" w:hAnsi="Book Antiqua"/>
          <w:sz w:val="24"/>
          <w:szCs w:val="24"/>
          <w:lang w:eastAsia="ko-KR"/>
        </w:rPr>
        <w:t>porque no se considera necesario su continuación en el proyecto</w:t>
      </w:r>
      <w:r w:rsidRPr="000A3123">
        <w:rPr>
          <w:rFonts w:ascii="Book Antiqua" w:eastAsia="Wingdings" w:hAnsi="Book Antiqua"/>
          <w:sz w:val="24"/>
          <w:szCs w:val="24"/>
          <w:lang w:eastAsia="ko-KR"/>
        </w:rPr>
        <w:t>.</w:t>
      </w:r>
    </w:p>
    <w:p w14:paraId="17F8AA6A" w14:textId="77777777" w:rsidR="009F15D7" w:rsidRPr="000A3123" w:rsidRDefault="009F15D7" w:rsidP="009F15D7">
      <w:pPr>
        <w:pStyle w:val="Prrafodelista"/>
        <w:ind w:left="142" w:firstLine="284"/>
        <w:rPr>
          <w:rFonts w:ascii="Book Antiqua" w:eastAsia="Wingdings" w:hAnsi="Book Antiqua"/>
          <w:sz w:val="24"/>
          <w:szCs w:val="24"/>
          <w:lang w:eastAsia="ko-KR"/>
        </w:rPr>
      </w:pPr>
    </w:p>
    <w:p w14:paraId="04E31DBE" w14:textId="1BB38FF0" w:rsidR="009F15D7" w:rsidRPr="000A3123" w:rsidRDefault="009F15D7" w:rsidP="00155AE5">
      <w:pPr>
        <w:pStyle w:val="Prrafodelista"/>
        <w:numPr>
          <w:ilvl w:val="2"/>
          <w:numId w:val="19"/>
        </w:numPr>
        <w:spacing w:before="240" w:after="240"/>
        <w:ind w:left="142" w:firstLine="284"/>
        <w:jc w:val="both"/>
        <w:rPr>
          <w:rFonts w:ascii="Book Antiqua" w:eastAsia="Wingdings" w:hAnsi="Book Antiqua"/>
          <w:sz w:val="24"/>
          <w:szCs w:val="24"/>
          <w:lang w:eastAsia="ko-KR"/>
        </w:rPr>
      </w:pPr>
      <w:r w:rsidRPr="000A3123">
        <w:rPr>
          <w:rFonts w:ascii="Book Antiqua" w:eastAsia="Wingdings" w:hAnsi="Book Antiqua"/>
          <w:sz w:val="24"/>
          <w:szCs w:val="24"/>
          <w:lang w:eastAsia="ko-KR"/>
        </w:rPr>
        <w:t xml:space="preserve">Se presenta la continuidad de </w:t>
      </w:r>
      <w:r w:rsidR="000A3123" w:rsidRPr="000A3123">
        <w:rPr>
          <w:rFonts w:ascii="Book Antiqua" w:eastAsia="Wingdings" w:hAnsi="Book Antiqua"/>
          <w:sz w:val="24"/>
          <w:szCs w:val="24"/>
          <w:lang w:eastAsia="ko-KR"/>
        </w:rPr>
        <w:t>457</w:t>
      </w:r>
      <w:r w:rsidRPr="000A3123">
        <w:rPr>
          <w:rFonts w:ascii="Book Antiqua" w:eastAsia="Wingdings" w:hAnsi="Book Antiqua"/>
          <w:sz w:val="24"/>
          <w:szCs w:val="24"/>
          <w:lang w:eastAsia="ko-KR"/>
        </w:rPr>
        <w:t xml:space="preserve"> permisos con goce de salario que se considera necesario su </w:t>
      </w:r>
      <w:r w:rsidR="000A3123" w:rsidRPr="000A3123">
        <w:rPr>
          <w:rFonts w:ascii="Book Antiqua" w:eastAsia="Wingdings" w:hAnsi="Book Antiqua"/>
          <w:sz w:val="24"/>
          <w:szCs w:val="24"/>
          <w:lang w:eastAsia="ko-KR"/>
        </w:rPr>
        <w:t>prórroga</w:t>
      </w:r>
      <w:r w:rsidRPr="000A3123">
        <w:rPr>
          <w:rFonts w:ascii="Book Antiqua" w:eastAsia="Wingdings" w:hAnsi="Book Antiqua"/>
          <w:sz w:val="24"/>
          <w:szCs w:val="24"/>
          <w:lang w:eastAsia="ko-KR"/>
        </w:rPr>
        <w:t xml:space="preserve"> para el tercer trimestre, en la atención de los objetivos de</w:t>
      </w:r>
      <w:r w:rsidR="000A3123" w:rsidRPr="000A3123">
        <w:rPr>
          <w:rFonts w:ascii="Book Antiqua" w:eastAsia="Wingdings" w:hAnsi="Book Antiqua"/>
          <w:sz w:val="24"/>
          <w:szCs w:val="24"/>
          <w:lang w:eastAsia="ko-KR"/>
        </w:rPr>
        <w:t xml:space="preserve"> </w:t>
      </w:r>
      <w:r w:rsidRPr="000A3123">
        <w:rPr>
          <w:rFonts w:ascii="Book Antiqua" w:eastAsia="Wingdings" w:hAnsi="Book Antiqua"/>
          <w:sz w:val="24"/>
          <w:szCs w:val="24"/>
          <w:lang w:eastAsia="ko-KR"/>
        </w:rPr>
        <w:t>los proyectos y labores operativas.</w:t>
      </w:r>
    </w:p>
    <w:p w14:paraId="2F36A29B" w14:textId="77777777" w:rsidR="00B35376" w:rsidRPr="00257371" w:rsidRDefault="00B35376" w:rsidP="009F15D7">
      <w:pPr>
        <w:pStyle w:val="Prrafodelista"/>
        <w:spacing w:before="240" w:after="240"/>
        <w:ind w:left="142" w:firstLine="284"/>
        <w:jc w:val="both"/>
        <w:rPr>
          <w:rFonts w:ascii="Book Antiqua" w:eastAsia="Wingdings" w:hAnsi="Book Antiqua"/>
          <w:sz w:val="24"/>
          <w:szCs w:val="24"/>
          <w:lang w:eastAsia="ko-KR"/>
        </w:rPr>
      </w:pPr>
      <w:r w:rsidRPr="00257371">
        <w:rPr>
          <w:rFonts w:ascii="Book Antiqua" w:eastAsia="Wingdings" w:hAnsi="Book Antiqua"/>
          <w:sz w:val="24"/>
          <w:szCs w:val="24"/>
          <w:lang w:eastAsia="ko-KR"/>
        </w:rPr>
        <w:t xml:space="preserve"> </w:t>
      </w:r>
    </w:p>
    <w:p w14:paraId="77116B8D" w14:textId="2931493B" w:rsidR="00BC00B3" w:rsidRDefault="005F625E" w:rsidP="006A657A">
      <w:pPr>
        <w:pStyle w:val="Prrafodelista"/>
        <w:numPr>
          <w:ilvl w:val="2"/>
          <w:numId w:val="19"/>
        </w:numPr>
        <w:spacing w:before="240" w:after="240"/>
        <w:ind w:left="142" w:firstLine="284"/>
        <w:jc w:val="both"/>
        <w:rPr>
          <w:rFonts w:ascii="Book Antiqua" w:eastAsia="Wingdings" w:hAnsi="Book Antiqua"/>
          <w:sz w:val="24"/>
          <w:szCs w:val="24"/>
          <w:lang w:eastAsia="ko-KR"/>
        </w:rPr>
      </w:pPr>
      <w:r w:rsidRPr="000A3123">
        <w:rPr>
          <w:rFonts w:ascii="Book Antiqua" w:eastAsia="Wingdings" w:hAnsi="Book Antiqua"/>
          <w:sz w:val="24"/>
          <w:szCs w:val="24"/>
          <w:lang w:eastAsia="ko-KR"/>
        </w:rPr>
        <w:t>S</w:t>
      </w:r>
      <w:r w:rsidR="00B35376" w:rsidRPr="000A3123">
        <w:rPr>
          <w:rFonts w:ascii="Book Antiqua" w:eastAsia="Wingdings" w:hAnsi="Book Antiqua"/>
          <w:sz w:val="24"/>
          <w:szCs w:val="24"/>
          <w:lang w:eastAsia="ko-KR"/>
        </w:rPr>
        <w:t>e recibieron</w:t>
      </w:r>
      <w:r w:rsidR="009F15D7" w:rsidRPr="000A3123">
        <w:rPr>
          <w:rFonts w:ascii="Book Antiqua" w:eastAsia="Wingdings" w:hAnsi="Book Antiqua"/>
          <w:sz w:val="24"/>
          <w:szCs w:val="24"/>
          <w:lang w:eastAsia="ko-KR"/>
        </w:rPr>
        <w:t xml:space="preserve"> </w:t>
      </w:r>
      <w:r w:rsidR="00B35376" w:rsidRPr="000A3123">
        <w:rPr>
          <w:rFonts w:ascii="Book Antiqua" w:eastAsia="Wingdings" w:hAnsi="Book Antiqua"/>
          <w:sz w:val="24"/>
          <w:szCs w:val="24"/>
          <w:lang w:eastAsia="ko-KR"/>
        </w:rPr>
        <w:t xml:space="preserve">un total de </w:t>
      </w:r>
      <w:r w:rsidR="006A657A">
        <w:rPr>
          <w:rFonts w:ascii="Book Antiqua" w:eastAsia="Wingdings" w:hAnsi="Book Antiqua"/>
          <w:sz w:val="24"/>
          <w:szCs w:val="24"/>
          <w:lang w:eastAsia="ko-KR"/>
        </w:rPr>
        <w:t>27</w:t>
      </w:r>
      <w:r w:rsidR="006A657A" w:rsidRPr="000A3123">
        <w:rPr>
          <w:rFonts w:ascii="Book Antiqua" w:eastAsia="Wingdings" w:hAnsi="Book Antiqua"/>
          <w:sz w:val="24"/>
          <w:szCs w:val="24"/>
          <w:lang w:eastAsia="ko-KR"/>
        </w:rPr>
        <w:t xml:space="preserve"> </w:t>
      </w:r>
      <w:r w:rsidR="009F15D7" w:rsidRPr="000A3123">
        <w:rPr>
          <w:rFonts w:ascii="Book Antiqua" w:eastAsia="Wingdings" w:hAnsi="Book Antiqua"/>
          <w:sz w:val="24"/>
          <w:szCs w:val="24"/>
          <w:lang w:eastAsia="ko-KR"/>
        </w:rPr>
        <w:t xml:space="preserve">nuevos </w:t>
      </w:r>
      <w:r w:rsidR="00B35376" w:rsidRPr="000A3123">
        <w:rPr>
          <w:rFonts w:ascii="Book Antiqua" w:eastAsia="Wingdings" w:hAnsi="Book Antiqua"/>
          <w:sz w:val="24"/>
          <w:szCs w:val="24"/>
          <w:lang w:eastAsia="ko-KR"/>
        </w:rPr>
        <w:t>permisos con goce de salario</w:t>
      </w:r>
      <w:r w:rsidRPr="000A3123">
        <w:rPr>
          <w:rFonts w:ascii="Book Antiqua" w:eastAsia="Wingdings" w:hAnsi="Book Antiqua"/>
          <w:sz w:val="24"/>
          <w:szCs w:val="24"/>
          <w:lang w:eastAsia="ko-KR"/>
        </w:rPr>
        <w:t xml:space="preserve"> (</w:t>
      </w:r>
      <w:r w:rsidR="000A3123">
        <w:rPr>
          <w:rFonts w:ascii="Book Antiqua" w:eastAsia="Wingdings" w:hAnsi="Book Antiqua"/>
          <w:sz w:val="24"/>
          <w:szCs w:val="24"/>
          <w:lang w:eastAsia="ko-KR"/>
        </w:rPr>
        <w:t xml:space="preserve">para </w:t>
      </w:r>
      <w:r w:rsidRPr="000A3123">
        <w:rPr>
          <w:rFonts w:ascii="Book Antiqua" w:eastAsia="Wingdings" w:hAnsi="Book Antiqua"/>
          <w:sz w:val="24"/>
          <w:szCs w:val="24"/>
          <w:lang w:eastAsia="ko-KR"/>
        </w:rPr>
        <w:t xml:space="preserve">Modelo Penal </w:t>
      </w:r>
      <w:r w:rsidR="000A3123">
        <w:rPr>
          <w:rFonts w:ascii="Book Antiqua" w:eastAsia="Wingdings" w:hAnsi="Book Antiqua"/>
          <w:sz w:val="24"/>
          <w:szCs w:val="24"/>
          <w:lang w:eastAsia="ko-KR"/>
        </w:rPr>
        <w:t>se est</w:t>
      </w:r>
      <w:r w:rsidR="006A657A">
        <w:rPr>
          <w:rFonts w:ascii="Book Antiqua" w:eastAsia="Wingdings" w:hAnsi="Book Antiqua"/>
          <w:sz w:val="24"/>
          <w:szCs w:val="24"/>
          <w:lang w:eastAsia="ko-KR"/>
        </w:rPr>
        <w:t xml:space="preserve">ará haciendo la gestión por medio de otro informe </w:t>
      </w:r>
      <w:r w:rsidRPr="000A3123">
        <w:rPr>
          <w:rFonts w:ascii="Book Antiqua" w:eastAsia="Wingdings" w:hAnsi="Book Antiqua"/>
          <w:sz w:val="24"/>
          <w:szCs w:val="24"/>
          <w:lang w:eastAsia="ko-KR"/>
        </w:rPr>
        <w:t xml:space="preserve">y </w:t>
      </w:r>
      <w:r w:rsidR="000A3123">
        <w:rPr>
          <w:rFonts w:ascii="Book Antiqua" w:eastAsia="Wingdings" w:hAnsi="Book Antiqua"/>
          <w:sz w:val="24"/>
          <w:szCs w:val="24"/>
          <w:lang w:eastAsia="ko-KR"/>
        </w:rPr>
        <w:t xml:space="preserve">el </w:t>
      </w:r>
      <w:r w:rsidRPr="000A3123">
        <w:rPr>
          <w:rFonts w:ascii="Book Antiqua" w:eastAsia="Wingdings" w:hAnsi="Book Antiqua"/>
          <w:sz w:val="24"/>
          <w:szCs w:val="24"/>
          <w:lang w:eastAsia="ko-KR"/>
        </w:rPr>
        <w:t xml:space="preserve">Organismo de Investigación Judicial solicita 26 PCGS </w:t>
      </w:r>
      <w:r w:rsidRPr="006A657A">
        <w:rPr>
          <w:rFonts w:ascii="Book Antiqua" w:eastAsia="Wingdings" w:hAnsi="Book Antiqua"/>
          <w:sz w:val="24"/>
          <w:szCs w:val="24"/>
          <w:lang w:eastAsia="ko-KR"/>
        </w:rPr>
        <w:t>y Sala Segunda solicita un permiso)</w:t>
      </w:r>
      <w:r w:rsidR="00B35376" w:rsidRPr="006A657A">
        <w:rPr>
          <w:rFonts w:ascii="Book Antiqua" w:eastAsia="Wingdings" w:hAnsi="Book Antiqua"/>
          <w:sz w:val="24"/>
          <w:szCs w:val="24"/>
          <w:lang w:eastAsia="ko-KR"/>
        </w:rPr>
        <w:t>.</w:t>
      </w:r>
      <w:r w:rsidR="00B35376" w:rsidRPr="000A3123">
        <w:rPr>
          <w:rFonts w:ascii="Book Antiqua" w:eastAsia="Wingdings" w:hAnsi="Book Antiqua"/>
          <w:sz w:val="24"/>
          <w:szCs w:val="24"/>
          <w:lang w:eastAsia="ko-KR"/>
        </w:rPr>
        <w:t xml:space="preserve"> Para lo cual, según lo señalado por la Dirección de Gestión Humana, se cuenta con contenido presupuestario para </w:t>
      </w:r>
      <w:r w:rsidRPr="000A3123">
        <w:rPr>
          <w:rFonts w:ascii="Book Antiqua" w:eastAsia="Wingdings" w:hAnsi="Book Antiqua"/>
          <w:sz w:val="24"/>
          <w:szCs w:val="24"/>
          <w:lang w:eastAsia="ko-KR"/>
        </w:rPr>
        <w:t>estos</w:t>
      </w:r>
      <w:r w:rsidR="00B35376" w:rsidRPr="000A3123">
        <w:rPr>
          <w:rFonts w:ascii="Book Antiqua" w:eastAsia="Wingdings" w:hAnsi="Book Antiqua"/>
          <w:sz w:val="24"/>
          <w:szCs w:val="24"/>
          <w:lang w:eastAsia="ko-KR"/>
        </w:rPr>
        <w:t xml:space="preserve"> permisos. </w:t>
      </w:r>
    </w:p>
    <w:p w14:paraId="5D179C30" w14:textId="40161C25" w:rsidR="006A657A" w:rsidRPr="000A3123" w:rsidRDefault="006A657A" w:rsidP="00E24FCA">
      <w:pPr>
        <w:pStyle w:val="Prrafodelista"/>
        <w:spacing w:before="240" w:after="240"/>
        <w:ind w:left="1080"/>
        <w:jc w:val="both"/>
        <w:rPr>
          <w:rFonts w:ascii="Book Antiqua" w:eastAsia="Wingdings" w:hAnsi="Book Antiqua"/>
          <w:sz w:val="24"/>
          <w:szCs w:val="24"/>
          <w:lang w:eastAsia="ko-KR"/>
        </w:rPr>
      </w:pPr>
    </w:p>
    <w:p w14:paraId="1840327F" w14:textId="37149E88" w:rsidR="00B35376" w:rsidRPr="006A657A" w:rsidRDefault="005F625E" w:rsidP="006A657A">
      <w:pPr>
        <w:pStyle w:val="Prrafodelista"/>
        <w:numPr>
          <w:ilvl w:val="2"/>
          <w:numId w:val="19"/>
        </w:numPr>
        <w:spacing w:before="240" w:after="240"/>
        <w:ind w:left="142" w:firstLine="284"/>
        <w:jc w:val="both"/>
        <w:rPr>
          <w:rFonts w:ascii="Book Antiqua" w:eastAsia="Wingdings" w:hAnsi="Book Antiqua"/>
          <w:sz w:val="24"/>
          <w:szCs w:val="24"/>
          <w:lang w:eastAsia="ko-KR"/>
        </w:rPr>
      </w:pPr>
      <w:r w:rsidRPr="00E24FCA">
        <w:rPr>
          <w:rFonts w:ascii="Book Antiqua" w:eastAsia="Wingdings" w:hAnsi="Book Antiqua"/>
          <w:sz w:val="24"/>
          <w:szCs w:val="24"/>
          <w:lang w:eastAsia="ko-KR"/>
        </w:rPr>
        <w:t xml:space="preserve">Del </w:t>
      </w:r>
      <w:r w:rsidR="009F15D7" w:rsidRPr="00E24FCA">
        <w:rPr>
          <w:rFonts w:ascii="Book Antiqua" w:eastAsia="Wingdings" w:hAnsi="Book Antiqua"/>
          <w:sz w:val="24"/>
          <w:szCs w:val="24"/>
          <w:lang w:eastAsia="ko-KR"/>
        </w:rPr>
        <w:t>punto</w:t>
      </w:r>
      <w:r w:rsidRPr="00E24FCA">
        <w:rPr>
          <w:rFonts w:ascii="Book Antiqua" w:eastAsia="Wingdings" w:hAnsi="Book Antiqua"/>
          <w:sz w:val="24"/>
          <w:szCs w:val="24"/>
          <w:lang w:eastAsia="ko-KR"/>
        </w:rPr>
        <w:t xml:space="preserve"> anterior, 14 permisos </w:t>
      </w:r>
      <w:r w:rsidR="009F15D7" w:rsidRPr="00E24FCA">
        <w:rPr>
          <w:rFonts w:ascii="Book Antiqua" w:eastAsia="Wingdings" w:hAnsi="Book Antiqua"/>
          <w:sz w:val="24"/>
          <w:szCs w:val="24"/>
          <w:lang w:eastAsia="ko-KR"/>
        </w:rPr>
        <w:t>con goce de salario que se solicitan c</w:t>
      </w:r>
      <w:r w:rsidR="009F15D7" w:rsidRPr="006A657A">
        <w:rPr>
          <w:rFonts w:ascii="Book Antiqua" w:eastAsia="Wingdings" w:hAnsi="Book Antiqua"/>
          <w:sz w:val="24"/>
          <w:szCs w:val="24"/>
          <w:lang w:eastAsia="ko-KR"/>
        </w:rPr>
        <w:t>omo nuevos</w:t>
      </w:r>
      <w:r w:rsidR="009F15D7" w:rsidRPr="00E24FCA">
        <w:rPr>
          <w:rFonts w:ascii="Book Antiqua" w:eastAsia="Wingdings" w:hAnsi="Book Antiqua"/>
          <w:sz w:val="24"/>
          <w:szCs w:val="24"/>
          <w:lang w:eastAsia="ko-KR"/>
        </w:rPr>
        <w:t>, corresponden a labores operativas,</w:t>
      </w:r>
      <w:r w:rsidR="006A657A" w:rsidRPr="00E24FCA">
        <w:rPr>
          <w:rFonts w:ascii="Book Antiqua" w:eastAsia="Wingdings" w:hAnsi="Book Antiqua"/>
          <w:sz w:val="24"/>
          <w:szCs w:val="24"/>
          <w:lang w:eastAsia="ko-KR"/>
        </w:rPr>
        <w:t xml:space="preserve"> permisos con goce de salario para el desarrollo de labores operativas en ejecución, para el III trimestre 2023, sin </w:t>
      </w:r>
      <w:r w:rsidR="006A657A" w:rsidRPr="00E24FCA">
        <w:rPr>
          <w:rFonts w:ascii="Book Antiqua" w:eastAsia="Wingdings" w:hAnsi="Book Antiqua"/>
          <w:sz w:val="24"/>
          <w:szCs w:val="24"/>
          <w:lang w:eastAsia="ko-KR"/>
        </w:rPr>
        <w:lastRenderedPageBreak/>
        <w:t xml:space="preserve">embargo, cabe aclarar que la Dirección de Planificación se enfoca en permisos con goce de salario asociados a proyectos estratégicos, por lo </w:t>
      </w:r>
      <w:r w:rsidR="00572012">
        <w:rPr>
          <w:rFonts w:ascii="Book Antiqua" w:eastAsia="Wingdings" w:hAnsi="Book Antiqua"/>
          <w:sz w:val="24"/>
          <w:szCs w:val="24"/>
          <w:lang w:eastAsia="ko-KR"/>
        </w:rPr>
        <w:t xml:space="preserve">que </w:t>
      </w:r>
      <w:r w:rsidR="006A657A" w:rsidRPr="00E24FCA">
        <w:rPr>
          <w:rFonts w:ascii="Book Antiqua" w:eastAsia="Wingdings" w:hAnsi="Book Antiqua"/>
          <w:sz w:val="24"/>
          <w:szCs w:val="24"/>
          <w:lang w:eastAsia="ko-KR"/>
        </w:rPr>
        <w:t xml:space="preserve">se </w:t>
      </w:r>
      <w:r w:rsidR="00376CC7">
        <w:rPr>
          <w:rFonts w:ascii="Book Antiqua" w:eastAsia="Wingdings" w:hAnsi="Book Antiqua"/>
          <w:sz w:val="24"/>
          <w:szCs w:val="24"/>
          <w:lang w:eastAsia="ko-KR"/>
        </w:rPr>
        <w:t>estima</w:t>
      </w:r>
      <w:r w:rsidR="00A53DD7">
        <w:rPr>
          <w:rFonts w:ascii="Book Antiqua" w:eastAsia="Wingdings" w:hAnsi="Book Antiqua"/>
          <w:sz w:val="24"/>
          <w:szCs w:val="24"/>
          <w:lang w:eastAsia="ko-KR"/>
        </w:rPr>
        <w:t xml:space="preserve"> </w:t>
      </w:r>
      <w:r w:rsidR="006A657A" w:rsidRPr="00E24FCA">
        <w:rPr>
          <w:rFonts w:ascii="Book Antiqua" w:eastAsia="Wingdings" w:hAnsi="Book Antiqua"/>
          <w:sz w:val="24"/>
          <w:szCs w:val="24"/>
          <w:lang w:eastAsia="ko-KR"/>
        </w:rPr>
        <w:t>será el Consejo Superior</w:t>
      </w:r>
      <w:r w:rsidR="001D3977">
        <w:rPr>
          <w:rFonts w:ascii="Book Antiqua" w:eastAsia="Wingdings" w:hAnsi="Book Antiqua"/>
          <w:sz w:val="24"/>
          <w:szCs w:val="24"/>
          <w:lang w:eastAsia="ko-KR"/>
        </w:rPr>
        <w:t>,</w:t>
      </w:r>
      <w:r w:rsidR="006A657A" w:rsidRPr="00E24FCA">
        <w:rPr>
          <w:rFonts w:ascii="Book Antiqua" w:eastAsia="Wingdings" w:hAnsi="Book Antiqua"/>
          <w:sz w:val="24"/>
          <w:szCs w:val="24"/>
          <w:lang w:eastAsia="ko-KR"/>
        </w:rPr>
        <w:t xml:space="preserve"> quien determine su aprobación</w:t>
      </w:r>
      <w:r w:rsidRPr="00E24FCA">
        <w:rPr>
          <w:rFonts w:ascii="Book Antiqua" w:eastAsia="Wingdings" w:hAnsi="Book Antiqua"/>
          <w:sz w:val="24"/>
          <w:szCs w:val="24"/>
          <w:lang w:eastAsia="ko-KR"/>
        </w:rPr>
        <w:t>.</w:t>
      </w:r>
    </w:p>
    <w:p w14:paraId="69D27D4A" w14:textId="7122CF48" w:rsidR="00B35376" w:rsidRPr="00257371" w:rsidRDefault="00B35376" w:rsidP="009F15D7">
      <w:pPr>
        <w:pStyle w:val="Prrafodelista"/>
        <w:spacing w:before="240" w:after="240"/>
        <w:ind w:left="142" w:firstLine="284"/>
        <w:jc w:val="both"/>
        <w:rPr>
          <w:rFonts w:ascii="Book Antiqua" w:eastAsia="Wingdings" w:hAnsi="Book Antiqua"/>
          <w:sz w:val="24"/>
          <w:szCs w:val="24"/>
          <w:lang w:eastAsia="ko-KR"/>
        </w:rPr>
      </w:pPr>
    </w:p>
    <w:p w14:paraId="1C0EBAD4" w14:textId="7DAF0C30" w:rsidR="009129F0" w:rsidRPr="000A3123" w:rsidRDefault="00B35376" w:rsidP="00155AE5">
      <w:pPr>
        <w:pStyle w:val="Prrafodelista"/>
        <w:numPr>
          <w:ilvl w:val="2"/>
          <w:numId w:val="19"/>
        </w:numPr>
        <w:spacing w:before="240" w:after="240"/>
        <w:ind w:left="142" w:firstLine="284"/>
        <w:jc w:val="both"/>
        <w:rPr>
          <w:rFonts w:ascii="Book Antiqua" w:eastAsia="Wingdings" w:hAnsi="Book Antiqua"/>
          <w:sz w:val="24"/>
          <w:szCs w:val="24"/>
          <w:lang w:eastAsia="ko-KR"/>
        </w:rPr>
      </w:pPr>
      <w:r w:rsidRPr="000A3123">
        <w:rPr>
          <w:rFonts w:ascii="Book Antiqua" w:eastAsia="Wingdings" w:hAnsi="Book Antiqua"/>
          <w:sz w:val="24"/>
          <w:szCs w:val="24"/>
          <w:lang w:eastAsia="ko-KR"/>
        </w:rPr>
        <w:t>El Departamento de Financiero Contable en coordinación con la Dirección de Gestión Humana, a solicitud de la Dirección de Planificación, emitió los certificados de contenido presupuestario requeridos para el total de permisos con goce de salario que se financian con los recursos de la subpartida de suplencias, y modificación externa</w:t>
      </w:r>
      <w:r w:rsidR="000A3123">
        <w:rPr>
          <w:rFonts w:ascii="Book Antiqua" w:eastAsia="Wingdings" w:hAnsi="Book Antiqua"/>
          <w:sz w:val="24"/>
          <w:szCs w:val="24"/>
          <w:lang w:eastAsia="ko-KR"/>
        </w:rPr>
        <w:t>, la certificación está contenida en el apartado 4.5 del presente informe</w:t>
      </w:r>
      <w:r w:rsidRPr="000A3123">
        <w:rPr>
          <w:rFonts w:ascii="Book Antiqua" w:eastAsia="Wingdings" w:hAnsi="Book Antiqua"/>
          <w:sz w:val="24"/>
          <w:szCs w:val="24"/>
          <w:lang w:eastAsia="ko-KR"/>
        </w:rPr>
        <w:t>.</w:t>
      </w:r>
    </w:p>
    <w:p w14:paraId="5BFA48A7" w14:textId="77777777" w:rsidR="009129F0" w:rsidRPr="009129F0" w:rsidRDefault="009129F0" w:rsidP="009129F0">
      <w:pPr>
        <w:pStyle w:val="Prrafodelista"/>
        <w:rPr>
          <w:rFonts w:ascii="Book Antiqua" w:eastAsia="Wingdings" w:hAnsi="Book Antiqua"/>
          <w:sz w:val="24"/>
          <w:szCs w:val="24"/>
          <w:lang w:eastAsia="ko-KR"/>
        </w:rPr>
      </w:pPr>
    </w:p>
    <w:p w14:paraId="20839203" w14:textId="39CA2FD4" w:rsidR="009129F0" w:rsidRDefault="009129F0" w:rsidP="00155AE5">
      <w:pPr>
        <w:pStyle w:val="Ttulo2"/>
        <w:numPr>
          <w:ilvl w:val="1"/>
          <w:numId w:val="19"/>
        </w:numPr>
        <w:rPr>
          <w:rFonts w:ascii="Book Antiqua" w:eastAsia="Wingdings" w:hAnsi="Book Antiqua"/>
          <w:b/>
          <w:bCs/>
          <w:color w:val="auto"/>
          <w:lang w:eastAsia="ko-KR"/>
        </w:rPr>
      </w:pPr>
      <w:r>
        <w:rPr>
          <w:rFonts w:ascii="Book Antiqua" w:eastAsia="Wingdings" w:hAnsi="Book Antiqua"/>
          <w:sz w:val="24"/>
          <w:szCs w:val="24"/>
          <w:lang w:eastAsia="ko-KR"/>
        </w:rPr>
        <w:t xml:space="preserve"> </w:t>
      </w:r>
      <w:bookmarkStart w:id="149" w:name="_Toc138770880"/>
      <w:r w:rsidRPr="00F71AC3">
        <w:rPr>
          <w:rFonts w:ascii="Book Antiqua" w:eastAsia="Wingdings" w:hAnsi="Book Antiqua"/>
          <w:b/>
          <w:bCs/>
          <w:color w:val="auto"/>
          <w:lang w:eastAsia="ko-KR"/>
        </w:rPr>
        <w:t>Conclusiones relacionadas con el capítulo 5</w:t>
      </w:r>
      <w:bookmarkEnd w:id="149"/>
    </w:p>
    <w:p w14:paraId="1C99BBBF" w14:textId="77777777" w:rsidR="0091565E" w:rsidRPr="00EF4E17" w:rsidRDefault="0091565E" w:rsidP="00EF4E17">
      <w:pPr>
        <w:spacing w:after="0"/>
        <w:rPr>
          <w:lang w:eastAsia="ko-KR"/>
        </w:rPr>
      </w:pPr>
    </w:p>
    <w:p w14:paraId="1DACAA62" w14:textId="4BF0A5D4" w:rsidR="00BC00B3" w:rsidRDefault="00BC00B3" w:rsidP="008A1D31">
      <w:pPr>
        <w:pStyle w:val="Prrafodelista"/>
        <w:numPr>
          <w:ilvl w:val="2"/>
          <w:numId w:val="19"/>
        </w:numPr>
        <w:spacing w:before="240" w:after="240"/>
        <w:ind w:left="142" w:firstLine="284"/>
        <w:jc w:val="both"/>
        <w:rPr>
          <w:rFonts w:ascii="Book Antiqua" w:eastAsia="Wingdings" w:hAnsi="Book Antiqua"/>
          <w:sz w:val="24"/>
          <w:szCs w:val="24"/>
          <w:lang w:eastAsia="ko-KR"/>
        </w:rPr>
      </w:pPr>
      <w:r>
        <w:rPr>
          <w:rFonts w:ascii="Book Antiqua" w:eastAsia="Wingdings" w:hAnsi="Book Antiqua"/>
          <w:sz w:val="24"/>
          <w:szCs w:val="24"/>
          <w:lang w:eastAsia="ko-KR"/>
        </w:rPr>
        <w:t>En atención al acuerdo de</w:t>
      </w:r>
      <w:r w:rsidRPr="00F960AD">
        <w:rPr>
          <w:rFonts w:ascii="Book Antiqua" w:eastAsia="Wingdings" w:hAnsi="Book Antiqua"/>
          <w:sz w:val="24"/>
          <w:szCs w:val="24"/>
          <w:lang w:eastAsia="ko-KR"/>
        </w:rPr>
        <w:t xml:space="preserve"> Corte Plena en sesión No. 12-2023, celebrada el 20 de marzo de 2023, artículo XXIV, </w:t>
      </w:r>
      <w:r>
        <w:rPr>
          <w:rFonts w:ascii="Book Antiqua" w:eastAsia="Wingdings" w:hAnsi="Book Antiqua"/>
          <w:sz w:val="24"/>
          <w:szCs w:val="24"/>
          <w:lang w:eastAsia="ko-KR"/>
        </w:rPr>
        <w:t xml:space="preserve">en el que se </w:t>
      </w:r>
      <w:r w:rsidRPr="00F960AD">
        <w:rPr>
          <w:rFonts w:ascii="Book Antiqua" w:eastAsia="Wingdings" w:hAnsi="Book Antiqua"/>
          <w:sz w:val="24"/>
          <w:szCs w:val="24"/>
          <w:lang w:eastAsia="ko-KR"/>
        </w:rPr>
        <w:t>aprobó la propuesta de la Dirección de Planificación sobre la Metodología para la Administración de</w:t>
      </w:r>
      <w:r>
        <w:rPr>
          <w:rFonts w:ascii="Book Antiqua" w:eastAsia="Wingdings" w:hAnsi="Book Antiqua"/>
          <w:sz w:val="24"/>
          <w:szCs w:val="24"/>
          <w:lang w:eastAsia="ko-KR"/>
        </w:rPr>
        <w:t xml:space="preserve"> Portafolio de</w:t>
      </w:r>
      <w:r w:rsidRPr="00F960AD">
        <w:rPr>
          <w:rFonts w:ascii="Book Antiqua" w:eastAsia="Wingdings" w:hAnsi="Book Antiqua"/>
          <w:sz w:val="24"/>
          <w:szCs w:val="24"/>
          <w:lang w:eastAsia="ko-KR"/>
        </w:rPr>
        <w:t xml:space="preserve"> Proyectos Estratégicos del Poder Judicial </w:t>
      </w:r>
      <w:r>
        <w:rPr>
          <w:rFonts w:ascii="Book Antiqua" w:eastAsia="Wingdings" w:hAnsi="Book Antiqua"/>
          <w:sz w:val="24"/>
          <w:szCs w:val="24"/>
          <w:lang w:eastAsia="ko-KR"/>
        </w:rPr>
        <w:t xml:space="preserve">la cual determina </w:t>
      </w:r>
      <w:r w:rsidRPr="005D44A8">
        <w:rPr>
          <w:rFonts w:ascii="Book Antiqua" w:eastAsia="Wingdings" w:hAnsi="Book Antiqua"/>
          <w:sz w:val="24"/>
          <w:szCs w:val="24"/>
          <w:lang w:eastAsia="ko-KR"/>
        </w:rPr>
        <w:t xml:space="preserve">la gestión de la cartera de proyectos estratégicos y </w:t>
      </w:r>
      <w:r>
        <w:rPr>
          <w:rFonts w:ascii="Book Antiqua" w:eastAsia="Wingdings" w:hAnsi="Book Antiqua"/>
          <w:sz w:val="24"/>
          <w:szCs w:val="24"/>
          <w:lang w:eastAsia="ko-KR"/>
        </w:rPr>
        <w:t>por medio de la cual, se</w:t>
      </w:r>
      <w:r w:rsidRPr="005D44A8">
        <w:rPr>
          <w:rFonts w:ascii="Book Antiqua" w:eastAsia="Wingdings" w:hAnsi="Book Antiqua"/>
          <w:sz w:val="24"/>
          <w:szCs w:val="24"/>
          <w:lang w:eastAsia="ko-KR"/>
        </w:rPr>
        <w:t xml:space="preserve"> desarroll</w:t>
      </w:r>
      <w:r>
        <w:rPr>
          <w:rFonts w:ascii="Book Antiqua" w:eastAsia="Wingdings" w:hAnsi="Book Antiqua"/>
          <w:sz w:val="24"/>
          <w:szCs w:val="24"/>
          <w:lang w:eastAsia="ko-KR"/>
        </w:rPr>
        <w:t>a</w:t>
      </w:r>
      <w:r w:rsidRPr="005D44A8">
        <w:rPr>
          <w:rFonts w:ascii="Book Antiqua" w:eastAsia="Wingdings" w:hAnsi="Book Antiqua"/>
          <w:sz w:val="24"/>
          <w:szCs w:val="24"/>
          <w:lang w:eastAsia="ko-KR"/>
        </w:rPr>
        <w:t xml:space="preserve"> un método de priorización que permita facilitar la toma de decisiones, definiendo </w:t>
      </w:r>
      <w:r w:rsidR="008A1D31">
        <w:rPr>
          <w:rFonts w:ascii="Book Antiqua" w:eastAsia="Wingdings" w:hAnsi="Book Antiqua"/>
          <w:sz w:val="24"/>
          <w:szCs w:val="24"/>
          <w:lang w:eastAsia="ko-KR"/>
        </w:rPr>
        <w:t>c</w:t>
      </w:r>
      <w:r w:rsidRPr="005D44A8">
        <w:rPr>
          <w:rFonts w:ascii="Book Antiqua" w:eastAsia="Wingdings" w:hAnsi="Book Antiqua"/>
          <w:sz w:val="24"/>
          <w:szCs w:val="24"/>
          <w:lang w:eastAsia="ko-KR"/>
        </w:rPr>
        <w:t>uales de estos proyectos permiten maximizan el alcance de los objetivos.</w:t>
      </w:r>
      <w:r>
        <w:rPr>
          <w:rFonts w:ascii="Book Antiqua" w:eastAsia="Wingdings" w:hAnsi="Book Antiqua"/>
          <w:sz w:val="24"/>
          <w:szCs w:val="24"/>
          <w:lang w:eastAsia="ko-KR"/>
        </w:rPr>
        <w:t xml:space="preserve"> </w:t>
      </w:r>
    </w:p>
    <w:p w14:paraId="050E5628" w14:textId="77777777" w:rsidR="008A1D31" w:rsidRDefault="008A1D31" w:rsidP="00EF4E17">
      <w:pPr>
        <w:pStyle w:val="Prrafodelista"/>
        <w:spacing w:before="240" w:after="240"/>
        <w:ind w:left="426"/>
        <w:jc w:val="both"/>
        <w:rPr>
          <w:rFonts w:ascii="Book Antiqua" w:eastAsia="Wingdings" w:hAnsi="Book Antiqua"/>
          <w:sz w:val="24"/>
          <w:szCs w:val="24"/>
          <w:lang w:eastAsia="ko-KR"/>
        </w:rPr>
      </w:pPr>
    </w:p>
    <w:p w14:paraId="77D21F90" w14:textId="7D49455C" w:rsidR="00BC00B3" w:rsidRDefault="00BC00B3" w:rsidP="008A1D31">
      <w:pPr>
        <w:pStyle w:val="Prrafodelista"/>
        <w:numPr>
          <w:ilvl w:val="2"/>
          <w:numId w:val="19"/>
        </w:numPr>
        <w:spacing w:before="240" w:after="240"/>
        <w:ind w:left="142" w:firstLine="284"/>
        <w:jc w:val="both"/>
        <w:rPr>
          <w:rFonts w:ascii="Book Antiqua" w:eastAsia="Wingdings" w:hAnsi="Book Antiqua"/>
          <w:sz w:val="24"/>
          <w:szCs w:val="24"/>
          <w:lang w:eastAsia="ko-KR"/>
        </w:rPr>
      </w:pPr>
      <w:r>
        <w:rPr>
          <w:rFonts w:ascii="Book Antiqua" w:eastAsia="Wingdings" w:hAnsi="Book Antiqua"/>
          <w:sz w:val="24"/>
          <w:szCs w:val="24"/>
          <w:lang w:eastAsia="ko-KR"/>
        </w:rPr>
        <w:t xml:space="preserve">En relación a estos  criterios se realizó un primer ejercicio de revisión por parte de la Unidad de Proyectos, los </w:t>
      </w:r>
      <w:r w:rsidR="000A2775">
        <w:rPr>
          <w:rFonts w:ascii="Book Antiqua" w:eastAsia="Wingdings" w:hAnsi="Book Antiqua"/>
          <w:sz w:val="24"/>
          <w:szCs w:val="24"/>
          <w:lang w:eastAsia="ko-KR"/>
        </w:rPr>
        <w:t>puntajes preliminares</w:t>
      </w:r>
      <w:r>
        <w:rPr>
          <w:rFonts w:ascii="Book Antiqua" w:eastAsia="Wingdings" w:hAnsi="Book Antiqua"/>
          <w:sz w:val="24"/>
          <w:szCs w:val="24"/>
          <w:lang w:eastAsia="ko-KR"/>
        </w:rPr>
        <w:t xml:space="preserve"> fueron puestos en conocimiento de los lideres de cada proyecto como devolución de observaciones , mediante los oficios consignados en el siguiente enlace, los cuales fueron enviados en los primeros días de junio del 2023: </w:t>
      </w:r>
      <w:hyperlink r:id="rId83" w:history="1">
        <w:r w:rsidRPr="00EF4E17">
          <w:t>oficios de validación de priorización remitidos a Programas</w:t>
        </w:r>
      </w:hyperlink>
      <w:r>
        <w:rPr>
          <w:rFonts w:ascii="Book Antiqua" w:eastAsia="Wingdings" w:hAnsi="Book Antiqua"/>
          <w:sz w:val="24"/>
          <w:szCs w:val="24"/>
          <w:lang w:eastAsia="ko-KR"/>
        </w:rPr>
        <w:t>. Se está en proceso de abarcar la totalidad de proyectos y realizar el análisis interno de cada uno, confrontarlos con los criterios establecidos y determinar que otros elementos pueden contribuir de manera objetiva a darle</w:t>
      </w:r>
      <w:r w:rsidR="008A1D31">
        <w:rPr>
          <w:rFonts w:ascii="Book Antiqua" w:eastAsia="Wingdings" w:hAnsi="Book Antiqua"/>
          <w:sz w:val="24"/>
          <w:szCs w:val="24"/>
          <w:lang w:eastAsia="ko-KR"/>
        </w:rPr>
        <w:t xml:space="preserve"> </w:t>
      </w:r>
      <w:r>
        <w:rPr>
          <w:rFonts w:ascii="Book Antiqua" w:eastAsia="Wingdings" w:hAnsi="Book Antiqua"/>
          <w:sz w:val="24"/>
          <w:szCs w:val="24"/>
          <w:lang w:eastAsia="ko-KR"/>
        </w:rPr>
        <w:t>soporte al ejercicio.</w:t>
      </w:r>
    </w:p>
    <w:p w14:paraId="339FA0B2" w14:textId="4081EC82" w:rsidR="008A1D31" w:rsidRDefault="008A1D31" w:rsidP="008A1D31">
      <w:pPr>
        <w:pStyle w:val="Prrafodelista"/>
        <w:spacing w:before="240" w:after="240"/>
        <w:ind w:left="426"/>
        <w:jc w:val="both"/>
        <w:rPr>
          <w:rFonts w:ascii="Book Antiqua" w:eastAsia="Wingdings" w:hAnsi="Book Antiqua"/>
          <w:sz w:val="24"/>
          <w:szCs w:val="24"/>
          <w:lang w:eastAsia="ko-KR"/>
        </w:rPr>
      </w:pPr>
    </w:p>
    <w:p w14:paraId="535B1795" w14:textId="73FCA01D" w:rsidR="008A1D31" w:rsidRDefault="008A1D31" w:rsidP="008A1D31">
      <w:pPr>
        <w:pStyle w:val="Prrafodelista"/>
        <w:spacing w:before="240" w:after="240"/>
        <w:ind w:left="426"/>
        <w:jc w:val="both"/>
        <w:rPr>
          <w:rFonts w:ascii="Book Antiqua" w:eastAsia="Wingdings" w:hAnsi="Book Antiqua"/>
          <w:sz w:val="24"/>
          <w:szCs w:val="24"/>
          <w:lang w:eastAsia="ko-KR"/>
        </w:rPr>
      </w:pPr>
    </w:p>
    <w:p w14:paraId="3D977418" w14:textId="4AE6114C" w:rsidR="008A1D31" w:rsidRDefault="008A1D31" w:rsidP="008A1D31">
      <w:pPr>
        <w:pStyle w:val="Prrafodelista"/>
        <w:spacing w:before="240" w:after="240"/>
        <w:ind w:left="426"/>
        <w:jc w:val="both"/>
        <w:rPr>
          <w:rFonts w:ascii="Book Antiqua" w:eastAsia="Wingdings" w:hAnsi="Book Antiqua"/>
          <w:sz w:val="24"/>
          <w:szCs w:val="24"/>
          <w:lang w:eastAsia="ko-KR"/>
        </w:rPr>
      </w:pPr>
    </w:p>
    <w:p w14:paraId="77326D25" w14:textId="246F4176" w:rsidR="008A1D31" w:rsidRDefault="008A1D31" w:rsidP="008A1D31">
      <w:pPr>
        <w:pStyle w:val="Prrafodelista"/>
        <w:spacing w:before="240" w:after="240"/>
        <w:ind w:left="426"/>
        <w:jc w:val="both"/>
        <w:rPr>
          <w:rFonts w:ascii="Book Antiqua" w:eastAsia="Wingdings" w:hAnsi="Book Antiqua"/>
          <w:sz w:val="24"/>
          <w:szCs w:val="24"/>
          <w:lang w:eastAsia="ko-KR"/>
        </w:rPr>
      </w:pPr>
    </w:p>
    <w:p w14:paraId="5B2F0D34" w14:textId="1237E023" w:rsidR="008A1D31" w:rsidRDefault="008A1D31" w:rsidP="008A1D31">
      <w:pPr>
        <w:pStyle w:val="Prrafodelista"/>
        <w:spacing w:before="240" w:after="240"/>
        <w:ind w:left="426"/>
        <w:jc w:val="both"/>
        <w:rPr>
          <w:rFonts w:ascii="Book Antiqua" w:eastAsia="Wingdings" w:hAnsi="Book Antiqua"/>
          <w:sz w:val="24"/>
          <w:szCs w:val="24"/>
          <w:lang w:eastAsia="ko-KR"/>
        </w:rPr>
      </w:pPr>
    </w:p>
    <w:p w14:paraId="049E6214" w14:textId="77777777" w:rsidR="008A1D31" w:rsidRDefault="008A1D31" w:rsidP="00EF4E17">
      <w:pPr>
        <w:pStyle w:val="Prrafodelista"/>
        <w:spacing w:before="240" w:after="240"/>
        <w:ind w:left="426"/>
        <w:jc w:val="both"/>
        <w:rPr>
          <w:rFonts w:ascii="Book Antiqua" w:eastAsia="Wingdings" w:hAnsi="Book Antiqua"/>
          <w:sz w:val="24"/>
          <w:szCs w:val="24"/>
          <w:lang w:eastAsia="ko-KR"/>
        </w:rPr>
      </w:pPr>
    </w:p>
    <w:p w14:paraId="5FCC0335" w14:textId="7EF6C99D" w:rsidR="00BC00B3" w:rsidRPr="008D7D1D" w:rsidRDefault="00BC00B3" w:rsidP="00EF4E17">
      <w:pPr>
        <w:pStyle w:val="Prrafodelista"/>
        <w:numPr>
          <w:ilvl w:val="2"/>
          <w:numId w:val="19"/>
        </w:numPr>
        <w:spacing w:before="240" w:after="240"/>
        <w:ind w:left="142" w:firstLine="284"/>
        <w:jc w:val="both"/>
        <w:rPr>
          <w:rFonts w:ascii="Book Antiqua" w:eastAsia="Wingdings" w:hAnsi="Book Antiqua"/>
          <w:sz w:val="24"/>
          <w:szCs w:val="24"/>
          <w:lang w:eastAsia="ko-KR"/>
        </w:rPr>
      </w:pPr>
      <w:r w:rsidRPr="008D7D1D">
        <w:rPr>
          <w:rFonts w:ascii="Book Antiqua" w:eastAsia="Wingdings" w:hAnsi="Book Antiqua"/>
          <w:sz w:val="24"/>
          <w:szCs w:val="24"/>
          <w:lang w:eastAsia="ko-KR"/>
        </w:rPr>
        <w:lastRenderedPageBreak/>
        <w:t>Esta labor de revisión de los criterios obtenidos se realizará posteriormente por parte de la Dirección de Planificación para tener un producto integral que presentar al Comité de Planeación Estratégica y al ente superior.</w:t>
      </w:r>
      <w:r>
        <w:rPr>
          <w:rFonts w:ascii="Book Antiqua" w:eastAsia="Wingdings" w:hAnsi="Book Antiqua"/>
          <w:sz w:val="24"/>
          <w:szCs w:val="24"/>
          <w:lang w:eastAsia="ko-KR"/>
        </w:rPr>
        <w:t xml:space="preserve"> S</w:t>
      </w:r>
      <w:r w:rsidRPr="008D7D1D">
        <w:rPr>
          <w:rFonts w:ascii="Book Antiqua" w:eastAsia="Wingdings" w:hAnsi="Book Antiqua"/>
          <w:sz w:val="24"/>
          <w:szCs w:val="24"/>
          <w:lang w:eastAsia="ko-KR"/>
        </w:rPr>
        <w:t>e tiene el acuerdo</w:t>
      </w:r>
      <w:r w:rsidRPr="007B5966">
        <w:rPr>
          <w:rFonts w:ascii="Book Antiqua" w:eastAsia="Wingdings" w:hAnsi="Book Antiqua"/>
          <w:sz w:val="24"/>
          <w:szCs w:val="24"/>
          <w:lang w:eastAsia="ko-KR"/>
        </w:rPr>
        <w:t xml:space="preserve"> de Consejo Superior</w:t>
      </w:r>
      <w:r w:rsidRPr="008D7D1D">
        <w:rPr>
          <w:rFonts w:ascii="Book Antiqua" w:eastAsia="Wingdings" w:hAnsi="Book Antiqua"/>
          <w:sz w:val="24"/>
          <w:szCs w:val="24"/>
          <w:lang w:eastAsia="ko-KR"/>
        </w:rPr>
        <w:t>, sesión N° 25-2023 celebrada el 28 de marzo del 2023, art</w:t>
      </w:r>
      <w:r>
        <w:rPr>
          <w:rFonts w:ascii="Book Antiqua" w:eastAsia="Wingdings" w:hAnsi="Book Antiqua"/>
          <w:sz w:val="24"/>
          <w:szCs w:val="24"/>
          <w:lang w:eastAsia="ko-KR"/>
        </w:rPr>
        <w:t>í</w:t>
      </w:r>
      <w:r w:rsidRPr="008D7D1D">
        <w:rPr>
          <w:rFonts w:ascii="Book Antiqua" w:eastAsia="Wingdings" w:hAnsi="Book Antiqua"/>
          <w:sz w:val="24"/>
          <w:szCs w:val="24"/>
          <w:lang w:eastAsia="ko-KR"/>
        </w:rPr>
        <w:t>culo XXX</w:t>
      </w:r>
      <w:r>
        <w:rPr>
          <w:rFonts w:ascii="Book Antiqua" w:eastAsia="Wingdings" w:hAnsi="Book Antiqua"/>
          <w:sz w:val="24"/>
          <w:szCs w:val="24"/>
          <w:lang w:eastAsia="ko-KR"/>
        </w:rPr>
        <w:t>:</w:t>
      </w:r>
    </w:p>
    <w:p w14:paraId="1C7B697E" w14:textId="6947325A" w:rsidR="00BC00B3" w:rsidRDefault="00BC00B3" w:rsidP="008A1D31">
      <w:pPr>
        <w:spacing w:after="0"/>
        <w:ind w:left="426" w:right="758"/>
        <w:jc w:val="both"/>
        <w:rPr>
          <w:rFonts w:ascii="Book Antiqua" w:eastAsia="Wingdings" w:hAnsi="Book Antiqua"/>
          <w:i/>
          <w:sz w:val="24"/>
          <w:szCs w:val="24"/>
          <w:lang w:eastAsia="ko-KR"/>
        </w:rPr>
      </w:pPr>
      <w:r w:rsidRPr="008D7D1D">
        <w:rPr>
          <w:rFonts w:ascii="Book Antiqua" w:eastAsia="Wingdings" w:hAnsi="Book Antiqua"/>
          <w:i/>
          <w:sz w:val="24"/>
          <w:szCs w:val="24"/>
          <w:lang w:eastAsia="ko-KR"/>
        </w:rPr>
        <w:t>11.) Deberá la Dirección de Planificación dentro del plazo de un mes, contado a partir del otorgamiento de los permisos citados, remitir un informe a conocimiento de este Consejo Superior sobre el estado de estos, tomando en consideración el acuerdo que emita la Corte Plena, respecto a la priorización para este tipo de proyectos</w:t>
      </w:r>
      <w:r>
        <w:rPr>
          <w:rFonts w:ascii="Book Antiqua" w:eastAsia="Wingdings" w:hAnsi="Book Antiqua"/>
          <w:i/>
          <w:sz w:val="24"/>
          <w:szCs w:val="24"/>
          <w:lang w:eastAsia="ko-KR"/>
        </w:rPr>
        <w:t>.</w:t>
      </w:r>
    </w:p>
    <w:p w14:paraId="6B639703" w14:textId="77777777" w:rsidR="008A1D31" w:rsidRPr="008D7D1D" w:rsidRDefault="008A1D31" w:rsidP="00EF4E17">
      <w:pPr>
        <w:spacing w:after="0"/>
        <w:ind w:left="426" w:right="758"/>
        <w:jc w:val="both"/>
        <w:rPr>
          <w:rFonts w:ascii="Book Antiqua" w:eastAsia="Wingdings" w:hAnsi="Book Antiqua"/>
          <w:i/>
          <w:sz w:val="24"/>
          <w:szCs w:val="24"/>
          <w:lang w:eastAsia="ko-KR"/>
        </w:rPr>
      </w:pPr>
    </w:p>
    <w:p w14:paraId="79CC903E" w14:textId="5CA17B27" w:rsidR="00BC00B3" w:rsidRPr="00E24FCA" w:rsidRDefault="00BC00B3" w:rsidP="00BC00B3">
      <w:pPr>
        <w:jc w:val="both"/>
        <w:rPr>
          <w:rFonts w:ascii="Book Antiqua" w:eastAsia="Wingdings" w:hAnsi="Book Antiqua"/>
          <w:sz w:val="24"/>
          <w:szCs w:val="24"/>
          <w:lang w:eastAsia="ko-KR"/>
        </w:rPr>
      </w:pPr>
      <w:r w:rsidRPr="00E24FCA">
        <w:rPr>
          <w:rFonts w:ascii="Book Antiqua" w:eastAsia="Wingdings" w:hAnsi="Book Antiqua"/>
          <w:sz w:val="24"/>
          <w:szCs w:val="24"/>
          <w:lang w:eastAsia="ko-KR"/>
        </w:rPr>
        <w:t xml:space="preserve">Por lo tanto, el ejercicio de priorización se está ejecutando y para proporcionar un resultado </w:t>
      </w:r>
      <w:r w:rsidR="008A1D31">
        <w:rPr>
          <w:rFonts w:ascii="Book Antiqua" w:eastAsia="Wingdings" w:hAnsi="Book Antiqua"/>
          <w:sz w:val="24"/>
          <w:szCs w:val="24"/>
          <w:lang w:eastAsia="ko-KR"/>
        </w:rPr>
        <w:t>ó</w:t>
      </w:r>
      <w:r w:rsidRPr="00E24FCA">
        <w:rPr>
          <w:rFonts w:ascii="Book Antiqua" w:eastAsia="Wingdings" w:hAnsi="Book Antiqua"/>
          <w:sz w:val="24"/>
          <w:szCs w:val="24"/>
          <w:lang w:eastAsia="ko-KR"/>
        </w:rPr>
        <w:t xml:space="preserve">ptimo y acorde, se requiere de mayor tiempo de análisis. </w:t>
      </w:r>
    </w:p>
    <w:p w14:paraId="0B7DB294" w14:textId="62920C23" w:rsidR="000A3123" w:rsidRDefault="000A3123" w:rsidP="007F4E05">
      <w:pPr>
        <w:pStyle w:val="Prrafodelista"/>
        <w:spacing w:before="240" w:after="240"/>
        <w:ind w:left="1080"/>
        <w:jc w:val="both"/>
        <w:rPr>
          <w:rFonts w:ascii="Book Antiqua" w:eastAsia="Wingdings" w:hAnsi="Book Antiqua"/>
          <w:sz w:val="24"/>
          <w:szCs w:val="24"/>
          <w:lang w:eastAsia="ko-KR"/>
        </w:rPr>
      </w:pPr>
    </w:p>
    <w:p w14:paraId="17E8826B" w14:textId="42E35C02" w:rsidR="008A1D31" w:rsidRDefault="008A1D31" w:rsidP="007F4E05">
      <w:pPr>
        <w:pStyle w:val="Prrafodelista"/>
        <w:spacing w:before="240" w:after="240"/>
        <w:ind w:left="1080"/>
        <w:jc w:val="both"/>
        <w:rPr>
          <w:rFonts w:ascii="Book Antiqua" w:eastAsia="Wingdings" w:hAnsi="Book Antiqua"/>
          <w:sz w:val="24"/>
          <w:szCs w:val="24"/>
          <w:lang w:eastAsia="ko-KR"/>
        </w:rPr>
      </w:pPr>
    </w:p>
    <w:p w14:paraId="274D9D48" w14:textId="35D13641" w:rsidR="008A1D31" w:rsidRDefault="008A1D31" w:rsidP="007F4E05">
      <w:pPr>
        <w:pStyle w:val="Prrafodelista"/>
        <w:spacing w:before="240" w:after="240"/>
        <w:ind w:left="1080"/>
        <w:jc w:val="both"/>
        <w:rPr>
          <w:rFonts w:ascii="Book Antiqua" w:eastAsia="Wingdings" w:hAnsi="Book Antiqua"/>
          <w:sz w:val="24"/>
          <w:szCs w:val="24"/>
          <w:lang w:eastAsia="ko-KR"/>
        </w:rPr>
      </w:pPr>
    </w:p>
    <w:p w14:paraId="361B1E9A" w14:textId="67689B1D" w:rsidR="008A1D31" w:rsidRDefault="008A1D31" w:rsidP="007F4E05">
      <w:pPr>
        <w:pStyle w:val="Prrafodelista"/>
        <w:spacing w:before="240" w:after="240"/>
        <w:ind w:left="1080"/>
        <w:jc w:val="both"/>
        <w:rPr>
          <w:rFonts w:ascii="Book Antiqua" w:eastAsia="Wingdings" w:hAnsi="Book Antiqua"/>
          <w:sz w:val="24"/>
          <w:szCs w:val="24"/>
          <w:lang w:eastAsia="ko-KR"/>
        </w:rPr>
      </w:pPr>
    </w:p>
    <w:p w14:paraId="33138D4A" w14:textId="76EE35C9" w:rsidR="008A1D31" w:rsidRDefault="008A1D31" w:rsidP="007F4E05">
      <w:pPr>
        <w:pStyle w:val="Prrafodelista"/>
        <w:spacing w:before="240" w:after="240"/>
        <w:ind w:left="1080"/>
        <w:jc w:val="both"/>
        <w:rPr>
          <w:rFonts w:ascii="Book Antiqua" w:eastAsia="Wingdings" w:hAnsi="Book Antiqua"/>
          <w:sz w:val="24"/>
          <w:szCs w:val="24"/>
          <w:lang w:eastAsia="ko-KR"/>
        </w:rPr>
      </w:pPr>
    </w:p>
    <w:p w14:paraId="2B924E17" w14:textId="77777777" w:rsidR="008A1D31" w:rsidRDefault="008A1D31" w:rsidP="007F4E05">
      <w:pPr>
        <w:pStyle w:val="Prrafodelista"/>
        <w:spacing w:before="240" w:after="240"/>
        <w:ind w:left="1080"/>
        <w:jc w:val="both"/>
        <w:rPr>
          <w:rFonts w:ascii="Book Antiqua" w:eastAsia="Wingdings" w:hAnsi="Book Antiqua"/>
          <w:sz w:val="24"/>
          <w:szCs w:val="24"/>
          <w:lang w:eastAsia="ko-KR"/>
        </w:rPr>
      </w:pPr>
    </w:p>
    <w:p w14:paraId="07C77DA1" w14:textId="77777777" w:rsidR="007F4E05" w:rsidRPr="009129F0" w:rsidRDefault="007F4E05" w:rsidP="007F4E05">
      <w:pPr>
        <w:pStyle w:val="Prrafodelista"/>
        <w:spacing w:before="240" w:after="240"/>
        <w:ind w:left="1080"/>
        <w:jc w:val="both"/>
        <w:rPr>
          <w:rFonts w:ascii="Book Antiqua" w:eastAsia="Wingdings" w:hAnsi="Book Antiqua"/>
          <w:sz w:val="24"/>
          <w:szCs w:val="24"/>
          <w:lang w:eastAsia="ko-KR"/>
        </w:rPr>
      </w:pPr>
    </w:p>
    <w:p w14:paraId="24D920CA" w14:textId="7A9D5DBD" w:rsidR="00632702" w:rsidRDefault="00632702" w:rsidP="00632702">
      <w:pPr>
        <w:pStyle w:val="Prrafodelista"/>
        <w:rPr>
          <w:rFonts w:ascii="Book Antiqua" w:eastAsia="Wingdings" w:hAnsi="Book Antiqua"/>
          <w:sz w:val="24"/>
          <w:szCs w:val="24"/>
          <w:lang w:eastAsia="ko-KR"/>
        </w:rPr>
      </w:pPr>
    </w:p>
    <w:p w14:paraId="022217E5" w14:textId="61BF8270" w:rsidR="008A1D31" w:rsidRDefault="008A1D31" w:rsidP="00632702">
      <w:pPr>
        <w:pStyle w:val="Prrafodelista"/>
        <w:rPr>
          <w:rFonts w:ascii="Book Antiqua" w:eastAsia="Wingdings" w:hAnsi="Book Antiqua"/>
          <w:sz w:val="24"/>
          <w:szCs w:val="24"/>
          <w:lang w:eastAsia="ko-KR"/>
        </w:rPr>
      </w:pPr>
    </w:p>
    <w:p w14:paraId="0AFBEB37" w14:textId="42939C8F" w:rsidR="008A1D31" w:rsidRDefault="008A1D31" w:rsidP="00632702">
      <w:pPr>
        <w:pStyle w:val="Prrafodelista"/>
        <w:rPr>
          <w:rFonts w:ascii="Book Antiqua" w:eastAsia="Wingdings" w:hAnsi="Book Antiqua"/>
          <w:sz w:val="24"/>
          <w:szCs w:val="24"/>
          <w:lang w:eastAsia="ko-KR"/>
        </w:rPr>
      </w:pPr>
    </w:p>
    <w:p w14:paraId="33E9E135" w14:textId="6AD9FC0A" w:rsidR="008A1D31" w:rsidRDefault="008A1D31" w:rsidP="00632702">
      <w:pPr>
        <w:pStyle w:val="Prrafodelista"/>
        <w:rPr>
          <w:rFonts w:ascii="Book Antiqua" w:eastAsia="Wingdings" w:hAnsi="Book Antiqua"/>
          <w:sz w:val="24"/>
          <w:szCs w:val="24"/>
          <w:lang w:eastAsia="ko-KR"/>
        </w:rPr>
      </w:pPr>
    </w:p>
    <w:p w14:paraId="47A6ECAA" w14:textId="6503FE5F" w:rsidR="008A1D31" w:rsidRDefault="008A1D31" w:rsidP="00632702">
      <w:pPr>
        <w:pStyle w:val="Prrafodelista"/>
        <w:rPr>
          <w:rFonts w:ascii="Book Antiqua" w:eastAsia="Wingdings" w:hAnsi="Book Antiqua"/>
          <w:sz w:val="24"/>
          <w:szCs w:val="24"/>
          <w:lang w:eastAsia="ko-KR"/>
        </w:rPr>
      </w:pPr>
    </w:p>
    <w:p w14:paraId="65426291" w14:textId="1162A70E" w:rsidR="008A1D31" w:rsidRDefault="008A1D31" w:rsidP="00632702">
      <w:pPr>
        <w:pStyle w:val="Prrafodelista"/>
        <w:rPr>
          <w:rFonts w:ascii="Book Antiqua" w:eastAsia="Wingdings" w:hAnsi="Book Antiqua"/>
          <w:sz w:val="24"/>
          <w:szCs w:val="24"/>
          <w:lang w:eastAsia="ko-KR"/>
        </w:rPr>
      </w:pPr>
    </w:p>
    <w:p w14:paraId="10AF7EE8" w14:textId="0716F1DA" w:rsidR="008A1D31" w:rsidRDefault="008A1D31" w:rsidP="00632702">
      <w:pPr>
        <w:pStyle w:val="Prrafodelista"/>
        <w:rPr>
          <w:rFonts w:ascii="Book Antiqua" w:eastAsia="Wingdings" w:hAnsi="Book Antiqua"/>
          <w:sz w:val="24"/>
          <w:szCs w:val="24"/>
          <w:lang w:eastAsia="ko-KR"/>
        </w:rPr>
      </w:pPr>
    </w:p>
    <w:p w14:paraId="1648F3B1" w14:textId="408E9896" w:rsidR="008A1D31" w:rsidRDefault="008A1D31" w:rsidP="00632702">
      <w:pPr>
        <w:pStyle w:val="Prrafodelista"/>
        <w:rPr>
          <w:rFonts w:ascii="Book Antiqua" w:eastAsia="Wingdings" w:hAnsi="Book Antiqua"/>
          <w:sz w:val="24"/>
          <w:szCs w:val="24"/>
          <w:lang w:eastAsia="ko-KR"/>
        </w:rPr>
      </w:pPr>
    </w:p>
    <w:p w14:paraId="3980849D" w14:textId="2278EB86" w:rsidR="008A1D31" w:rsidRDefault="008A1D31" w:rsidP="00632702">
      <w:pPr>
        <w:pStyle w:val="Prrafodelista"/>
        <w:rPr>
          <w:rFonts w:ascii="Book Antiqua" w:eastAsia="Wingdings" w:hAnsi="Book Antiqua"/>
          <w:sz w:val="24"/>
          <w:szCs w:val="24"/>
          <w:lang w:eastAsia="ko-KR"/>
        </w:rPr>
      </w:pPr>
    </w:p>
    <w:p w14:paraId="13F03CBD" w14:textId="718C3A77" w:rsidR="008A1D31" w:rsidRDefault="008A1D31" w:rsidP="00632702">
      <w:pPr>
        <w:pStyle w:val="Prrafodelista"/>
        <w:rPr>
          <w:rFonts w:ascii="Book Antiqua" w:eastAsia="Wingdings" w:hAnsi="Book Antiqua"/>
          <w:sz w:val="24"/>
          <w:szCs w:val="24"/>
          <w:lang w:eastAsia="ko-KR"/>
        </w:rPr>
      </w:pPr>
    </w:p>
    <w:p w14:paraId="2BABD7D9" w14:textId="103DE5C8" w:rsidR="008A1D31" w:rsidRDefault="008A1D31" w:rsidP="00632702">
      <w:pPr>
        <w:pStyle w:val="Prrafodelista"/>
        <w:rPr>
          <w:rFonts w:ascii="Book Antiqua" w:eastAsia="Wingdings" w:hAnsi="Book Antiqua"/>
          <w:sz w:val="24"/>
          <w:szCs w:val="24"/>
          <w:lang w:eastAsia="ko-KR"/>
        </w:rPr>
      </w:pPr>
    </w:p>
    <w:p w14:paraId="31A4E4B3" w14:textId="0BE34D39" w:rsidR="008A1D31" w:rsidRDefault="008A1D31" w:rsidP="00632702">
      <w:pPr>
        <w:pStyle w:val="Prrafodelista"/>
        <w:rPr>
          <w:rFonts w:ascii="Book Antiqua" w:eastAsia="Wingdings" w:hAnsi="Book Antiqua"/>
          <w:sz w:val="24"/>
          <w:szCs w:val="24"/>
          <w:lang w:eastAsia="ko-KR"/>
        </w:rPr>
      </w:pPr>
    </w:p>
    <w:p w14:paraId="2A1632FD" w14:textId="1FAD9CBE" w:rsidR="008A1D31" w:rsidRDefault="008A1D31" w:rsidP="00632702">
      <w:pPr>
        <w:pStyle w:val="Prrafodelista"/>
        <w:rPr>
          <w:rFonts w:ascii="Book Antiqua" w:eastAsia="Wingdings" w:hAnsi="Book Antiqua"/>
          <w:sz w:val="24"/>
          <w:szCs w:val="24"/>
          <w:lang w:eastAsia="ko-KR"/>
        </w:rPr>
      </w:pPr>
    </w:p>
    <w:p w14:paraId="6262F2B9" w14:textId="77777777" w:rsidR="008A1D31" w:rsidRPr="00632702" w:rsidRDefault="008A1D31" w:rsidP="00632702">
      <w:pPr>
        <w:pStyle w:val="Prrafodelista"/>
        <w:rPr>
          <w:rFonts w:ascii="Book Antiqua" w:eastAsia="Wingdings" w:hAnsi="Book Antiqua"/>
          <w:sz w:val="24"/>
          <w:szCs w:val="24"/>
          <w:lang w:eastAsia="ko-KR"/>
        </w:rPr>
      </w:pPr>
    </w:p>
    <w:p w14:paraId="0E56B53D" w14:textId="148B20FF" w:rsidR="00164F12" w:rsidRDefault="00376274" w:rsidP="00110B25">
      <w:pPr>
        <w:pStyle w:val="Ttulo1"/>
        <w:spacing w:before="0" w:line="240" w:lineRule="auto"/>
        <w:ind w:left="360" w:hanging="360"/>
        <w:jc w:val="both"/>
        <w:rPr>
          <w:rFonts w:ascii="Book Antiqua" w:eastAsia="Wingdings" w:hAnsi="Book Antiqua"/>
          <w:b/>
          <w:bCs/>
          <w:sz w:val="24"/>
          <w:szCs w:val="24"/>
          <w:lang w:eastAsia="ko-KR"/>
        </w:rPr>
      </w:pPr>
      <w:bookmarkStart w:id="150" w:name="_Toc138770881"/>
      <w:r w:rsidRPr="009F15D7">
        <w:rPr>
          <w:rFonts w:ascii="Book Antiqua" w:eastAsia="Wingdings" w:hAnsi="Book Antiqua"/>
          <w:b/>
          <w:bCs/>
          <w:color w:val="auto"/>
          <w:sz w:val="24"/>
          <w:szCs w:val="24"/>
          <w:lang w:eastAsia="ko-KR"/>
        </w:rPr>
        <w:lastRenderedPageBreak/>
        <w:t>V</w:t>
      </w:r>
      <w:r w:rsidR="009F15D7" w:rsidRPr="009F15D7">
        <w:rPr>
          <w:rFonts w:ascii="Book Antiqua" w:eastAsia="Wingdings" w:hAnsi="Book Antiqua"/>
          <w:b/>
          <w:bCs/>
          <w:color w:val="auto"/>
          <w:sz w:val="24"/>
          <w:szCs w:val="24"/>
          <w:lang w:eastAsia="ko-KR"/>
        </w:rPr>
        <w:t>I</w:t>
      </w:r>
      <w:r w:rsidRPr="009F15D7">
        <w:rPr>
          <w:rFonts w:ascii="Book Antiqua" w:eastAsia="Wingdings" w:hAnsi="Book Antiqua"/>
          <w:b/>
          <w:bCs/>
          <w:color w:val="auto"/>
          <w:sz w:val="24"/>
          <w:szCs w:val="24"/>
          <w:lang w:eastAsia="ko-KR"/>
        </w:rPr>
        <w:t xml:space="preserve">I. </w:t>
      </w:r>
      <w:r w:rsidR="00164F12" w:rsidRPr="009F15D7">
        <w:rPr>
          <w:rFonts w:ascii="Book Antiqua" w:eastAsia="Wingdings" w:hAnsi="Book Antiqua"/>
          <w:b/>
          <w:bCs/>
          <w:color w:val="auto"/>
          <w:sz w:val="24"/>
          <w:szCs w:val="24"/>
          <w:lang w:eastAsia="ko-KR"/>
        </w:rPr>
        <w:t>RECOMENDACIONES</w:t>
      </w:r>
      <w:r w:rsidR="00B908FA" w:rsidRPr="009F15D7">
        <w:rPr>
          <w:rFonts w:ascii="Book Antiqua" w:eastAsia="Wingdings" w:hAnsi="Book Antiqua"/>
          <w:b/>
          <w:bCs/>
          <w:color w:val="auto"/>
          <w:sz w:val="24"/>
          <w:szCs w:val="24"/>
          <w:lang w:eastAsia="ko-KR"/>
        </w:rPr>
        <w:t xml:space="preserve"> GENERALES</w:t>
      </w:r>
      <w:bookmarkEnd w:id="150"/>
    </w:p>
    <w:p w14:paraId="2CB0CC9B" w14:textId="614EA56D" w:rsidR="00C05384" w:rsidRDefault="00C05384" w:rsidP="00110B25">
      <w:pPr>
        <w:spacing w:after="0" w:line="240" w:lineRule="auto"/>
        <w:jc w:val="both"/>
        <w:rPr>
          <w:rFonts w:ascii="Book Antiqua" w:hAnsi="Book Antiqua"/>
          <w:lang w:eastAsia="ko-KR"/>
        </w:rPr>
      </w:pPr>
    </w:p>
    <w:p w14:paraId="7F54A2BF" w14:textId="43014423" w:rsidR="00AF3340" w:rsidRDefault="00AF3340" w:rsidP="009F15D7">
      <w:pPr>
        <w:pStyle w:val="Ttulo2"/>
        <w:rPr>
          <w:rFonts w:ascii="Book Antiqua" w:hAnsi="Book Antiqua"/>
          <w:b/>
          <w:bCs/>
          <w:color w:val="auto"/>
          <w:sz w:val="24"/>
          <w:szCs w:val="24"/>
          <w:lang w:eastAsia="ko-KR"/>
        </w:rPr>
      </w:pPr>
      <w:bookmarkStart w:id="151" w:name="_Toc138770882"/>
      <w:r w:rsidRPr="009F15D7">
        <w:rPr>
          <w:rFonts w:ascii="Book Antiqua" w:hAnsi="Book Antiqua"/>
          <w:b/>
          <w:bCs/>
          <w:color w:val="auto"/>
          <w:sz w:val="24"/>
          <w:szCs w:val="24"/>
          <w:lang w:eastAsia="ko-KR"/>
        </w:rPr>
        <w:t>Al Consejo Superior</w:t>
      </w:r>
      <w:bookmarkEnd w:id="151"/>
    </w:p>
    <w:p w14:paraId="5DE5D3D0" w14:textId="77777777" w:rsidR="00EE2D4D" w:rsidRPr="00EF4E17" w:rsidRDefault="00EE2D4D" w:rsidP="00EF4E17">
      <w:pPr>
        <w:spacing w:after="0"/>
        <w:rPr>
          <w:lang w:eastAsia="ko-KR"/>
        </w:rPr>
      </w:pPr>
    </w:p>
    <w:p w14:paraId="64AD28A5" w14:textId="77777777" w:rsidR="00074C30" w:rsidRDefault="009F15D7" w:rsidP="009D31DD">
      <w:pPr>
        <w:pStyle w:val="Prrafodelista"/>
        <w:numPr>
          <w:ilvl w:val="1"/>
          <w:numId w:val="20"/>
        </w:numPr>
        <w:spacing w:after="0" w:line="240" w:lineRule="auto"/>
        <w:ind w:left="142" w:firstLine="0"/>
        <w:jc w:val="both"/>
        <w:rPr>
          <w:rFonts w:ascii="Book Antiqua" w:hAnsi="Book Antiqua"/>
          <w:sz w:val="24"/>
          <w:szCs w:val="24"/>
        </w:rPr>
      </w:pPr>
      <w:r w:rsidRPr="00B13997">
        <w:rPr>
          <w:rFonts w:ascii="Book Antiqua" w:hAnsi="Book Antiqua"/>
          <w:sz w:val="24"/>
          <w:szCs w:val="24"/>
        </w:rPr>
        <w:t>Tener por rendido los resultados del primer seguimiento 2023 realizado al portafolio institucional de proyectos estratégicos, realizado por la Dirección de Planificación</w:t>
      </w:r>
      <w:r w:rsidR="008E4B3E" w:rsidRPr="00B13997">
        <w:rPr>
          <w:rFonts w:ascii="Book Antiqua" w:hAnsi="Book Antiqua"/>
          <w:sz w:val="24"/>
          <w:szCs w:val="24"/>
        </w:rPr>
        <w:t xml:space="preserve"> con corte </w:t>
      </w:r>
      <w:r w:rsidR="00067800" w:rsidRPr="00B13997">
        <w:rPr>
          <w:rFonts w:ascii="Book Antiqua" w:hAnsi="Book Antiqua"/>
          <w:sz w:val="24"/>
          <w:szCs w:val="24"/>
        </w:rPr>
        <w:t xml:space="preserve">al 28 de abril de 2023. </w:t>
      </w:r>
    </w:p>
    <w:p w14:paraId="6965A933" w14:textId="77777777" w:rsidR="00B53205" w:rsidRPr="00EF4E17" w:rsidRDefault="00B53205" w:rsidP="00EF4E17">
      <w:pPr>
        <w:pStyle w:val="Prrafodelista"/>
        <w:rPr>
          <w:rFonts w:ascii="Book Antiqua" w:hAnsi="Book Antiqua"/>
          <w:sz w:val="24"/>
          <w:szCs w:val="24"/>
        </w:rPr>
      </w:pPr>
    </w:p>
    <w:p w14:paraId="3F4D1932" w14:textId="40B98298" w:rsidR="00ED248B" w:rsidRPr="00FD779F" w:rsidRDefault="004E2945" w:rsidP="00155AE5">
      <w:pPr>
        <w:pStyle w:val="Prrafodelista"/>
        <w:numPr>
          <w:ilvl w:val="1"/>
          <w:numId w:val="20"/>
        </w:numPr>
        <w:ind w:left="142" w:firstLine="0"/>
        <w:jc w:val="both"/>
        <w:rPr>
          <w:rFonts w:ascii="Book Antiqua" w:hAnsi="Book Antiqua"/>
          <w:sz w:val="24"/>
          <w:szCs w:val="24"/>
        </w:rPr>
      </w:pPr>
      <w:r>
        <w:rPr>
          <w:rFonts w:ascii="Book Antiqua" w:hAnsi="Book Antiqua"/>
          <w:sz w:val="24"/>
          <w:szCs w:val="24"/>
        </w:rPr>
        <w:t>Valorar la aprobación</w:t>
      </w:r>
      <w:r w:rsidR="000B2601" w:rsidRPr="00FD779F">
        <w:rPr>
          <w:rFonts w:ascii="Book Antiqua" w:hAnsi="Book Antiqua"/>
          <w:sz w:val="24"/>
          <w:szCs w:val="24"/>
        </w:rPr>
        <w:t xml:space="preserve"> </w:t>
      </w:r>
      <w:r>
        <w:rPr>
          <w:rFonts w:ascii="Book Antiqua" w:hAnsi="Book Antiqua"/>
          <w:sz w:val="24"/>
          <w:szCs w:val="24"/>
        </w:rPr>
        <w:t xml:space="preserve">de los permisos </w:t>
      </w:r>
      <w:r w:rsidR="006C5F2A">
        <w:rPr>
          <w:rFonts w:ascii="Book Antiqua" w:hAnsi="Book Antiqua"/>
          <w:sz w:val="24"/>
          <w:szCs w:val="24"/>
        </w:rPr>
        <w:t xml:space="preserve">con goce de salario asociados a proyectos estratégicos y </w:t>
      </w:r>
      <w:r>
        <w:rPr>
          <w:rFonts w:ascii="Book Antiqua" w:hAnsi="Book Antiqua"/>
          <w:sz w:val="24"/>
          <w:szCs w:val="24"/>
        </w:rPr>
        <w:t>otorgados por el Cons</w:t>
      </w:r>
      <w:r w:rsidR="00F9316A">
        <w:rPr>
          <w:rFonts w:ascii="Book Antiqua" w:hAnsi="Book Antiqua"/>
          <w:sz w:val="24"/>
          <w:szCs w:val="24"/>
        </w:rPr>
        <w:t>e</w:t>
      </w:r>
      <w:r>
        <w:rPr>
          <w:rFonts w:ascii="Book Antiqua" w:hAnsi="Book Antiqua"/>
          <w:sz w:val="24"/>
          <w:szCs w:val="24"/>
        </w:rPr>
        <w:t>jo Sup</w:t>
      </w:r>
      <w:r w:rsidR="008A1D31">
        <w:rPr>
          <w:rFonts w:ascii="Book Antiqua" w:hAnsi="Book Antiqua"/>
          <w:sz w:val="24"/>
          <w:szCs w:val="24"/>
        </w:rPr>
        <w:t>e</w:t>
      </w:r>
      <w:r>
        <w:rPr>
          <w:rFonts w:ascii="Book Antiqua" w:hAnsi="Book Antiqua"/>
          <w:sz w:val="24"/>
          <w:szCs w:val="24"/>
        </w:rPr>
        <w:t xml:space="preserve">rior con fundamento en las solicitudes </w:t>
      </w:r>
      <w:r w:rsidR="000358E6">
        <w:rPr>
          <w:rFonts w:ascii="Book Antiqua" w:hAnsi="Book Antiqua"/>
          <w:sz w:val="24"/>
          <w:szCs w:val="24"/>
        </w:rPr>
        <w:t>de las jefaturas de oficina, sustentado</w:t>
      </w:r>
      <w:r w:rsidR="006C5F2A">
        <w:rPr>
          <w:rFonts w:ascii="Book Antiqua" w:hAnsi="Book Antiqua"/>
          <w:sz w:val="24"/>
          <w:szCs w:val="24"/>
        </w:rPr>
        <w:t>s</w:t>
      </w:r>
      <w:r w:rsidR="000358E6">
        <w:rPr>
          <w:rFonts w:ascii="Book Antiqua" w:hAnsi="Book Antiqua"/>
          <w:sz w:val="24"/>
          <w:szCs w:val="24"/>
        </w:rPr>
        <w:t xml:space="preserve"> </w:t>
      </w:r>
      <w:r w:rsidR="005A07DC">
        <w:rPr>
          <w:rFonts w:ascii="Book Antiqua" w:hAnsi="Book Antiqua"/>
          <w:sz w:val="24"/>
          <w:szCs w:val="24"/>
        </w:rPr>
        <w:t>en</w:t>
      </w:r>
      <w:r w:rsidR="000358E6">
        <w:rPr>
          <w:rFonts w:ascii="Book Antiqua" w:hAnsi="Book Antiqua"/>
          <w:sz w:val="24"/>
          <w:szCs w:val="24"/>
        </w:rPr>
        <w:t xml:space="preserve"> </w:t>
      </w:r>
      <w:r w:rsidR="00314DE7">
        <w:rPr>
          <w:rFonts w:ascii="Book Antiqua" w:hAnsi="Book Antiqua"/>
          <w:sz w:val="24"/>
          <w:szCs w:val="24"/>
        </w:rPr>
        <w:t xml:space="preserve">el </w:t>
      </w:r>
      <w:r w:rsidR="005A07DC">
        <w:rPr>
          <w:rFonts w:ascii="Book Antiqua" w:hAnsi="Book Antiqua"/>
          <w:sz w:val="24"/>
          <w:szCs w:val="24"/>
        </w:rPr>
        <w:t>artículo</w:t>
      </w:r>
      <w:r w:rsidR="00D4051E">
        <w:rPr>
          <w:rFonts w:ascii="Book Antiqua" w:hAnsi="Book Antiqua"/>
          <w:sz w:val="24"/>
          <w:szCs w:val="24"/>
        </w:rPr>
        <w:t xml:space="preserve"> 44 de la LOP</w:t>
      </w:r>
      <w:r w:rsidR="00D91CDC">
        <w:rPr>
          <w:rFonts w:ascii="Book Antiqua" w:hAnsi="Book Antiqua"/>
          <w:sz w:val="24"/>
          <w:szCs w:val="24"/>
        </w:rPr>
        <w:t>J</w:t>
      </w:r>
      <w:r w:rsidR="006C5F2A">
        <w:rPr>
          <w:rFonts w:ascii="Book Antiqua" w:hAnsi="Book Antiqua"/>
          <w:sz w:val="24"/>
          <w:szCs w:val="24"/>
        </w:rPr>
        <w:t xml:space="preserve">, </w:t>
      </w:r>
      <w:r w:rsidR="005A07DC">
        <w:rPr>
          <w:rFonts w:ascii="Book Antiqua" w:hAnsi="Book Antiqua"/>
          <w:sz w:val="24"/>
          <w:szCs w:val="24"/>
        </w:rPr>
        <w:t xml:space="preserve"> así como las</w:t>
      </w:r>
      <w:r w:rsidR="000B2601" w:rsidRPr="00FD779F">
        <w:rPr>
          <w:rFonts w:ascii="Book Antiqua" w:hAnsi="Book Antiqua"/>
          <w:sz w:val="24"/>
          <w:szCs w:val="24"/>
        </w:rPr>
        <w:t xml:space="preserve"> labores operativas </w:t>
      </w:r>
      <w:r w:rsidR="0049101A">
        <w:rPr>
          <w:rFonts w:ascii="Book Antiqua" w:hAnsi="Book Antiqua"/>
          <w:sz w:val="24"/>
          <w:szCs w:val="24"/>
        </w:rPr>
        <w:t xml:space="preserve">que continúan, </w:t>
      </w:r>
      <w:r w:rsidR="000B2601" w:rsidRPr="00FD779F">
        <w:rPr>
          <w:rFonts w:ascii="Book Antiqua" w:hAnsi="Book Antiqua"/>
          <w:sz w:val="24"/>
          <w:szCs w:val="24"/>
        </w:rPr>
        <w:t xml:space="preserve">según lo detallado en </w:t>
      </w:r>
      <w:r w:rsidR="00FD779F" w:rsidRPr="00FD779F">
        <w:rPr>
          <w:rFonts w:ascii="Book Antiqua" w:hAnsi="Book Antiqua"/>
          <w:sz w:val="24"/>
          <w:szCs w:val="24"/>
        </w:rPr>
        <w:t xml:space="preserve">el apartado 4.6, </w:t>
      </w:r>
      <w:r w:rsidR="000B2601" w:rsidRPr="00FD779F">
        <w:rPr>
          <w:rFonts w:ascii="Book Antiqua" w:hAnsi="Book Antiqua"/>
          <w:sz w:val="24"/>
          <w:szCs w:val="24"/>
        </w:rPr>
        <w:t xml:space="preserve"> </w:t>
      </w:r>
      <w:r w:rsidR="000B2601" w:rsidRPr="00E24FCA">
        <w:rPr>
          <w:rFonts w:ascii="Book Antiqua" w:hAnsi="Book Antiqua"/>
          <w:sz w:val="24"/>
          <w:szCs w:val="24"/>
        </w:rPr>
        <w:t xml:space="preserve">Tabla </w:t>
      </w:r>
      <w:r w:rsidR="007E4ADD" w:rsidRPr="00E24FCA">
        <w:rPr>
          <w:rFonts w:ascii="Book Antiqua" w:hAnsi="Book Antiqua"/>
          <w:sz w:val="24"/>
          <w:szCs w:val="24"/>
        </w:rPr>
        <w:t xml:space="preserve">40 </w:t>
      </w:r>
      <w:r w:rsidR="000979CE" w:rsidRPr="00E24FCA">
        <w:rPr>
          <w:rFonts w:ascii="Book Antiqua" w:hAnsi="Book Antiqua"/>
          <w:sz w:val="24"/>
          <w:szCs w:val="24"/>
        </w:rPr>
        <w:t xml:space="preserve">y  Tabla </w:t>
      </w:r>
      <w:r w:rsidR="007E4ADD" w:rsidRPr="007E4ADD">
        <w:rPr>
          <w:rFonts w:ascii="Book Antiqua" w:hAnsi="Book Antiqua"/>
          <w:sz w:val="24"/>
          <w:szCs w:val="24"/>
        </w:rPr>
        <w:t>41</w:t>
      </w:r>
      <w:r w:rsidR="007E4ADD" w:rsidRPr="00FD779F">
        <w:rPr>
          <w:rFonts w:ascii="Book Antiqua" w:hAnsi="Book Antiqua"/>
          <w:sz w:val="24"/>
          <w:szCs w:val="24"/>
        </w:rPr>
        <w:t xml:space="preserve"> </w:t>
      </w:r>
      <w:r w:rsidR="000B2601" w:rsidRPr="00FD779F">
        <w:rPr>
          <w:rFonts w:ascii="Book Antiqua" w:hAnsi="Book Antiqua"/>
          <w:sz w:val="24"/>
          <w:szCs w:val="24"/>
        </w:rPr>
        <w:t>para el período comprendido del 1 de julio hasta el 30 de septiembre del 202</w:t>
      </w:r>
      <w:r w:rsidR="00FD779F" w:rsidRPr="00FD779F">
        <w:rPr>
          <w:rFonts w:ascii="Book Antiqua" w:hAnsi="Book Antiqua"/>
          <w:sz w:val="24"/>
          <w:szCs w:val="24"/>
        </w:rPr>
        <w:t>3</w:t>
      </w:r>
      <w:r w:rsidR="001D7CF5" w:rsidRPr="00FD779F">
        <w:rPr>
          <w:rFonts w:ascii="Book Antiqua" w:hAnsi="Book Antiqua"/>
          <w:sz w:val="24"/>
          <w:szCs w:val="24"/>
        </w:rPr>
        <w:t xml:space="preserve">. </w:t>
      </w:r>
      <w:r w:rsidR="000B2601" w:rsidRPr="00FD779F">
        <w:rPr>
          <w:rFonts w:ascii="Book Antiqua" w:hAnsi="Book Antiqua"/>
          <w:sz w:val="24"/>
          <w:szCs w:val="24"/>
        </w:rPr>
        <w:t>Para ello</w:t>
      </w:r>
      <w:r w:rsidR="00FD779F">
        <w:rPr>
          <w:rFonts w:ascii="Book Antiqua" w:hAnsi="Book Antiqua"/>
          <w:sz w:val="24"/>
          <w:szCs w:val="24"/>
        </w:rPr>
        <w:t>,</w:t>
      </w:r>
      <w:r w:rsidR="000B2601" w:rsidRPr="00FD779F">
        <w:rPr>
          <w:rFonts w:ascii="Book Antiqua" w:hAnsi="Book Antiqua"/>
          <w:sz w:val="24"/>
          <w:szCs w:val="24"/>
        </w:rPr>
        <w:t xml:space="preserve"> se debe considerar la certificaci</w:t>
      </w:r>
      <w:r w:rsidR="00FD779F" w:rsidRPr="00FD779F">
        <w:rPr>
          <w:rFonts w:ascii="Book Antiqua" w:hAnsi="Book Antiqua"/>
          <w:sz w:val="24"/>
          <w:szCs w:val="24"/>
        </w:rPr>
        <w:t>ón</w:t>
      </w:r>
      <w:r w:rsidR="000B2601" w:rsidRPr="00FD779F">
        <w:rPr>
          <w:rFonts w:ascii="Book Antiqua" w:hAnsi="Book Antiqua"/>
          <w:sz w:val="24"/>
          <w:szCs w:val="24"/>
        </w:rPr>
        <w:t xml:space="preserve"> de contenido presupuestario incluida en </w:t>
      </w:r>
      <w:r w:rsidR="007F4E05">
        <w:rPr>
          <w:rFonts w:ascii="Book Antiqua" w:hAnsi="Book Antiqua"/>
          <w:sz w:val="24"/>
          <w:szCs w:val="24"/>
        </w:rPr>
        <w:t>el</w:t>
      </w:r>
      <w:r w:rsidR="000B2601" w:rsidRPr="00FD779F">
        <w:rPr>
          <w:rFonts w:ascii="Book Antiqua" w:hAnsi="Book Antiqua"/>
          <w:sz w:val="24"/>
          <w:szCs w:val="24"/>
        </w:rPr>
        <w:t xml:space="preserve"> </w:t>
      </w:r>
      <w:r w:rsidR="00FD779F" w:rsidRPr="00FD779F">
        <w:rPr>
          <w:rFonts w:ascii="Book Antiqua" w:hAnsi="Book Antiqua"/>
          <w:sz w:val="24"/>
          <w:szCs w:val="24"/>
        </w:rPr>
        <w:t>apartado 4.5</w:t>
      </w:r>
      <w:r w:rsidR="001D7CF5" w:rsidRPr="00FD779F">
        <w:rPr>
          <w:rFonts w:ascii="Book Antiqua" w:hAnsi="Book Antiqua"/>
          <w:sz w:val="24"/>
          <w:szCs w:val="24"/>
        </w:rPr>
        <w:t xml:space="preserve"> </w:t>
      </w:r>
      <w:r w:rsidR="000B2601" w:rsidRPr="00FD779F">
        <w:rPr>
          <w:rFonts w:ascii="Book Antiqua" w:hAnsi="Book Antiqua"/>
          <w:sz w:val="24"/>
          <w:szCs w:val="24"/>
        </w:rPr>
        <w:t>y los respectivos plazos de prórroga en los cuales se realizaron las estimaciones para cubrir la necesidad de los permisos. </w:t>
      </w:r>
    </w:p>
    <w:p w14:paraId="78CEF039" w14:textId="77777777" w:rsidR="00FD779F" w:rsidRPr="00FD779F" w:rsidRDefault="00FD779F" w:rsidP="00FD779F">
      <w:pPr>
        <w:pStyle w:val="Prrafodelista"/>
        <w:ind w:left="142"/>
        <w:jc w:val="both"/>
        <w:rPr>
          <w:rFonts w:ascii="Book Antiqua" w:hAnsi="Book Antiqua"/>
          <w:sz w:val="24"/>
          <w:szCs w:val="24"/>
        </w:rPr>
      </w:pPr>
    </w:p>
    <w:p w14:paraId="73A66880" w14:textId="2D3A9A44" w:rsidR="00FD779F" w:rsidRPr="00D93D80" w:rsidRDefault="00FD779F" w:rsidP="00130042">
      <w:pPr>
        <w:pStyle w:val="Prrafodelista"/>
        <w:numPr>
          <w:ilvl w:val="1"/>
          <w:numId w:val="20"/>
        </w:numPr>
        <w:spacing w:after="0"/>
        <w:ind w:left="142" w:firstLine="0"/>
        <w:jc w:val="both"/>
        <w:rPr>
          <w:rFonts w:ascii="Book Antiqua" w:hAnsi="Book Antiqua"/>
          <w:sz w:val="24"/>
          <w:szCs w:val="24"/>
        </w:rPr>
      </w:pPr>
      <w:r w:rsidRPr="00BA3ECE">
        <w:rPr>
          <w:rFonts w:ascii="Book Antiqua" w:hAnsi="Book Antiqua"/>
          <w:sz w:val="24"/>
          <w:szCs w:val="24"/>
        </w:rPr>
        <w:t>Valorar otorgar los permisos detallad</w:t>
      </w:r>
      <w:r w:rsidRPr="00D93D80">
        <w:rPr>
          <w:rFonts w:ascii="Book Antiqua" w:hAnsi="Book Antiqua"/>
          <w:sz w:val="24"/>
          <w:szCs w:val="24"/>
        </w:rPr>
        <w:t>os en el apartado 4.7 en el cual se incluye el detalle de solicitudes de oficinas que tienen en ejecución de labores operativas y las cuales solicitan nuevos permisos con goce de salario para el III trimestre 2023</w:t>
      </w:r>
      <w:r w:rsidR="00825C78" w:rsidRPr="00D93D80">
        <w:rPr>
          <w:rFonts w:ascii="Book Antiqua" w:hAnsi="Book Antiqua"/>
          <w:sz w:val="24"/>
          <w:szCs w:val="24"/>
        </w:rPr>
        <w:t xml:space="preserve">, </w:t>
      </w:r>
      <w:r w:rsidR="00825C78" w:rsidRPr="00E24FCA">
        <w:rPr>
          <w:rFonts w:ascii="Book Antiqua" w:hAnsi="Book Antiqua"/>
          <w:sz w:val="24"/>
          <w:szCs w:val="24"/>
        </w:rPr>
        <w:t>cabe aclarar que la Dirección de Planificación se enfoca en permisos con goce de salario asociados a proyectos estratégicos,</w:t>
      </w:r>
      <w:r w:rsidR="00825C78" w:rsidRPr="00BA3ECE">
        <w:rPr>
          <w:rFonts w:ascii="Book Antiqua" w:hAnsi="Book Antiqua"/>
          <w:sz w:val="24"/>
          <w:szCs w:val="24"/>
        </w:rPr>
        <w:t xml:space="preserve"> por lo </w:t>
      </w:r>
      <w:r w:rsidR="00130042" w:rsidRPr="00E24FCA">
        <w:rPr>
          <w:rFonts w:ascii="Book Antiqua" w:hAnsi="Book Antiqua"/>
          <w:sz w:val="24"/>
          <w:szCs w:val="24"/>
        </w:rPr>
        <w:t xml:space="preserve">que </w:t>
      </w:r>
      <w:r w:rsidR="00825C78" w:rsidRPr="00E24FCA">
        <w:rPr>
          <w:rFonts w:ascii="Book Antiqua" w:hAnsi="Book Antiqua"/>
          <w:sz w:val="24"/>
          <w:szCs w:val="24"/>
        </w:rPr>
        <w:t xml:space="preserve">se </w:t>
      </w:r>
      <w:r w:rsidR="00BA3ECE" w:rsidRPr="00E24FCA">
        <w:rPr>
          <w:rFonts w:ascii="Book Antiqua" w:hAnsi="Book Antiqua"/>
          <w:sz w:val="24"/>
          <w:szCs w:val="24"/>
        </w:rPr>
        <w:t>estima</w:t>
      </w:r>
      <w:r w:rsidR="00825C78" w:rsidRPr="00E24FCA">
        <w:rPr>
          <w:rFonts w:ascii="Book Antiqua" w:hAnsi="Book Antiqua"/>
          <w:sz w:val="24"/>
          <w:szCs w:val="24"/>
        </w:rPr>
        <w:t xml:space="preserve"> </w:t>
      </w:r>
      <w:r w:rsidR="00473A53" w:rsidRPr="00E24FCA">
        <w:rPr>
          <w:rFonts w:ascii="Book Antiqua" w:hAnsi="Book Antiqua"/>
          <w:sz w:val="24"/>
          <w:szCs w:val="24"/>
        </w:rPr>
        <w:t xml:space="preserve">que </w:t>
      </w:r>
      <w:r w:rsidR="00825C78" w:rsidRPr="00E24FCA">
        <w:rPr>
          <w:rFonts w:ascii="Book Antiqua" w:hAnsi="Book Antiqua"/>
          <w:sz w:val="24"/>
          <w:szCs w:val="24"/>
        </w:rPr>
        <w:t xml:space="preserve">será el Consejo Superior quien determine su aprobación. </w:t>
      </w:r>
      <w:r w:rsidRPr="00D93D80">
        <w:rPr>
          <w:rFonts w:ascii="Book Antiqua" w:hAnsi="Book Antiqua"/>
          <w:sz w:val="24"/>
          <w:szCs w:val="24"/>
        </w:rPr>
        <w:t xml:space="preserve"> </w:t>
      </w:r>
      <w:r w:rsidR="00130042" w:rsidRPr="00D93D80">
        <w:rPr>
          <w:rFonts w:ascii="Book Antiqua" w:hAnsi="Book Antiqua"/>
          <w:sz w:val="24"/>
          <w:szCs w:val="24"/>
        </w:rPr>
        <w:t>Se destaca que</w:t>
      </w:r>
      <w:r w:rsidRPr="00D93D80">
        <w:rPr>
          <w:rFonts w:ascii="Book Antiqua" w:hAnsi="Book Antiqua"/>
          <w:sz w:val="24"/>
          <w:szCs w:val="24"/>
        </w:rPr>
        <w:t xml:space="preserve"> estos permisos fueron considerados dentro de la certificación de contenido presupuestario del apartado 4.5. por lo tanto, si existe contenido para su ejecución, en caso de que así lo considere aprobar el Consejo Superior.</w:t>
      </w:r>
    </w:p>
    <w:p w14:paraId="6807D90A" w14:textId="77777777" w:rsidR="00FD779F" w:rsidRPr="00FD779F" w:rsidRDefault="00FD779F" w:rsidP="00FD779F">
      <w:pPr>
        <w:pStyle w:val="Prrafodelista"/>
        <w:rPr>
          <w:rFonts w:ascii="Book Antiqua" w:hAnsi="Book Antiqua"/>
          <w:sz w:val="24"/>
          <w:szCs w:val="24"/>
        </w:rPr>
      </w:pPr>
    </w:p>
    <w:p w14:paraId="53C5D84D" w14:textId="161D2974" w:rsidR="00FD779F" w:rsidRDefault="00FD779F" w:rsidP="00155AE5">
      <w:pPr>
        <w:pStyle w:val="Prrafodelista"/>
        <w:numPr>
          <w:ilvl w:val="1"/>
          <w:numId w:val="20"/>
        </w:numPr>
        <w:spacing w:after="0"/>
        <w:ind w:left="142" w:firstLine="0"/>
        <w:jc w:val="both"/>
        <w:rPr>
          <w:rFonts w:ascii="Book Antiqua" w:hAnsi="Book Antiqua"/>
          <w:sz w:val="24"/>
          <w:szCs w:val="24"/>
        </w:rPr>
      </w:pPr>
      <w:r>
        <w:rPr>
          <w:rFonts w:ascii="Book Antiqua" w:hAnsi="Book Antiqua"/>
          <w:sz w:val="24"/>
          <w:szCs w:val="24"/>
        </w:rPr>
        <w:t>Aprobar el cambio propuesto por la Dirección de Gestión Humana según oficio PJ-DGH-0202-2023, para que las pr</w:t>
      </w:r>
      <w:r w:rsidR="00BD6172">
        <w:rPr>
          <w:rFonts w:ascii="Book Antiqua" w:hAnsi="Book Antiqua"/>
          <w:sz w:val="24"/>
          <w:szCs w:val="24"/>
        </w:rPr>
        <w:t>ó</w:t>
      </w:r>
      <w:r>
        <w:rPr>
          <w:rFonts w:ascii="Book Antiqua" w:hAnsi="Book Antiqua"/>
          <w:sz w:val="24"/>
          <w:szCs w:val="24"/>
        </w:rPr>
        <w:t>rrogas de PCGS del IV trimestre 2023 sean conocidas en las siguientes fechas:</w:t>
      </w:r>
    </w:p>
    <w:p w14:paraId="72C338C9" w14:textId="311474A6" w:rsidR="00FD779F" w:rsidRDefault="00FD779F" w:rsidP="00FD779F">
      <w:pPr>
        <w:pStyle w:val="Prrafodelista"/>
        <w:rPr>
          <w:rFonts w:ascii="Book Antiqua" w:hAnsi="Book Antiqua"/>
          <w:sz w:val="24"/>
          <w:szCs w:val="24"/>
        </w:rPr>
      </w:pPr>
    </w:p>
    <w:p w14:paraId="78CBC2DE" w14:textId="1BB83042" w:rsidR="007F4E05" w:rsidRDefault="007F4E05" w:rsidP="00FD779F">
      <w:pPr>
        <w:pStyle w:val="Prrafodelista"/>
        <w:rPr>
          <w:rFonts w:ascii="Book Antiqua" w:hAnsi="Book Antiqua"/>
          <w:sz w:val="24"/>
          <w:szCs w:val="24"/>
        </w:rPr>
      </w:pPr>
    </w:p>
    <w:p w14:paraId="04202760" w14:textId="77777777" w:rsidR="007F4E05" w:rsidRPr="00FD779F" w:rsidRDefault="007F4E05" w:rsidP="00FD779F">
      <w:pPr>
        <w:pStyle w:val="Prrafodelista"/>
        <w:rPr>
          <w:rFonts w:ascii="Book Antiqua" w:hAnsi="Book Antiqua"/>
          <w:sz w:val="24"/>
          <w:szCs w:val="24"/>
        </w:rPr>
      </w:pPr>
    </w:p>
    <w:tbl>
      <w:tblPr>
        <w:tblW w:w="10765" w:type="dxa"/>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26"/>
        <w:gridCol w:w="1560"/>
        <w:gridCol w:w="1417"/>
        <w:gridCol w:w="1418"/>
        <w:gridCol w:w="1701"/>
        <w:gridCol w:w="3543"/>
      </w:tblGrid>
      <w:tr w:rsidR="00BD6172" w:rsidRPr="008F2C56" w14:paraId="545F1108" w14:textId="77777777" w:rsidTr="00F400D6">
        <w:trPr>
          <w:trHeight w:val="612"/>
          <w:tblHeader/>
          <w:jc w:val="center"/>
        </w:trPr>
        <w:tc>
          <w:tcPr>
            <w:tcW w:w="1126" w:type="dxa"/>
            <w:tcBorders>
              <w:bottom w:val="single" w:sz="6" w:space="0" w:color="auto"/>
              <w:right w:val="single" w:sz="6" w:space="0" w:color="auto"/>
            </w:tcBorders>
            <w:shd w:val="clear" w:color="auto" w:fill="F2F2F2"/>
            <w:tcMar>
              <w:top w:w="0" w:type="dxa"/>
              <w:left w:w="101" w:type="dxa"/>
              <w:bottom w:w="0" w:type="dxa"/>
              <w:right w:w="101" w:type="dxa"/>
            </w:tcMar>
            <w:vAlign w:val="center"/>
            <w:hideMark/>
          </w:tcPr>
          <w:p w14:paraId="37BACD8D" w14:textId="77777777" w:rsidR="00BD6172" w:rsidRPr="008F2C56" w:rsidRDefault="00BD6172" w:rsidP="00F400D6">
            <w:pPr>
              <w:spacing w:after="0" w:line="240" w:lineRule="auto"/>
              <w:jc w:val="center"/>
              <w:rPr>
                <w:rFonts w:ascii="Book Antiqua" w:eastAsia="Times New Roman" w:hAnsi="Book Antiqua" w:cs="Arial"/>
                <w:b/>
                <w:sz w:val="20"/>
                <w:szCs w:val="20"/>
                <w:lang w:eastAsia="es-CR"/>
              </w:rPr>
            </w:pPr>
            <w:r w:rsidRPr="008F2C56">
              <w:rPr>
                <w:rFonts w:ascii="Book Antiqua" w:eastAsia="Times New Roman" w:hAnsi="Book Antiqua" w:cs="Arial"/>
                <w:b/>
                <w:sz w:val="20"/>
                <w:szCs w:val="20"/>
                <w:lang w:eastAsia="es-CR"/>
              </w:rPr>
              <w:lastRenderedPageBreak/>
              <w:t>Período</w:t>
            </w:r>
          </w:p>
        </w:tc>
        <w:tc>
          <w:tcPr>
            <w:tcW w:w="1560" w:type="dxa"/>
            <w:tcBorders>
              <w:left w:val="single" w:sz="6" w:space="0" w:color="auto"/>
              <w:bottom w:val="single" w:sz="6" w:space="0" w:color="auto"/>
              <w:right w:val="single" w:sz="6" w:space="0" w:color="auto"/>
            </w:tcBorders>
            <w:shd w:val="clear" w:color="auto" w:fill="F2F2F2"/>
            <w:tcMar>
              <w:top w:w="0" w:type="dxa"/>
              <w:left w:w="101" w:type="dxa"/>
              <w:bottom w:w="0" w:type="dxa"/>
              <w:right w:w="101" w:type="dxa"/>
            </w:tcMar>
            <w:vAlign w:val="center"/>
            <w:hideMark/>
          </w:tcPr>
          <w:p w14:paraId="146C6647" w14:textId="77777777" w:rsidR="00BD6172" w:rsidRPr="008F2C56" w:rsidRDefault="00BD6172" w:rsidP="00F400D6">
            <w:pPr>
              <w:spacing w:after="0" w:line="240" w:lineRule="auto"/>
              <w:jc w:val="center"/>
              <w:rPr>
                <w:rFonts w:ascii="Book Antiqua" w:eastAsia="Times New Roman" w:hAnsi="Book Antiqua" w:cs="Arial"/>
                <w:b/>
                <w:sz w:val="20"/>
                <w:szCs w:val="20"/>
                <w:lang w:eastAsia="es-CR"/>
              </w:rPr>
            </w:pPr>
            <w:r w:rsidRPr="008F2C56">
              <w:rPr>
                <w:rFonts w:ascii="Book Antiqua" w:eastAsia="Times New Roman" w:hAnsi="Book Antiqua" w:cs="Arial"/>
                <w:b/>
                <w:sz w:val="20"/>
                <w:szCs w:val="20"/>
                <w:lang w:eastAsia="es-CR"/>
              </w:rPr>
              <w:t>Oficina responsable de gestionar la prórroga</w:t>
            </w:r>
          </w:p>
        </w:tc>
        <w:tc>
          <w:tcPr>
            <w:tcW w:w="1417" w:type="dxa"/>
            <w:tcBorders>
              <w:left w:val="single" w:sz="6" w:space="0" w:color="auto"/>
              <w:bottom w:val="single" w:sz="6" w:space="0" w:color="auto"/>
              <w:right w:val="single" w:sz="6" w:space="0" w:color="auto"/>
            </w:tcBorders>
            <w:shd w:val="clear" w:color="auto" w:fill="F2F2F2"/>
          </w:tcPr>
          <w:p w14:paraId="1D9C7348" w14:textId="0F7445A2" w:rsidR="00BD6172" w:rsidRPr="008F2C56" w:rsidRDefault="00BD6172" w:rsidP="00F400D6">
            <w:pPr>
              <w:spacing w:after="0" w:line="240" w:lineRule="auto"/>
              <w:jc w:val="center"/>
              <w:rPr>
                <w:rFonts w:ascii="Book Antiqua" w:eastAsia="Times New Roman" w:hAnsi="Book Antiqua" w:cs="Arial"/>
                <w:b/>
                <w:sz w:val="20"/>
                <w:szCs w:val="20"/>
                <w:lang w:eastAsia="es-CR"/>
              </w:rPr>
            </w:pPr>
            <w:r w:rsidRPr="008F2C56">
              <w:rPr>
                <w:rFonts w:ascii="Book Antiqua" w:eastAsia="Times New Roman" w:hAnsi="Book Antiqua" w:cs="Arial"/>
                <w:b/>
                <w:sz w:val="20"/>
                <w:szCs w:val="20"/>
                <w:lang w:eastAsia="es-CR"/>
              </w:rPr>
              <w:t>Plazo máximo de recepción de PCGS para la pr</w:t>
            </w:r>
            <w:r>
              <w:rPr>
                <w:rFonts w:ascii="Book Antiqua" w:eastAsia="Times New Roman" w:hAnsi="Book Antiqua" w:cs="Arial"/>
                <w:b/>
                <w:sz w:val="20"/>
                <w:szCs w:val="20"/>
                <w:lang w:eastAsia="es-CR"/>
              </w:rPr>
              <w:t>ó</w:t>
            </w:r>
            <w:r w:rsidRPr="008F2C56">
              <w:rPr>
                <w:rFonts w:ascii="Book Antiqua" w:eastAsia="Times New Roman" w:hAnsi="Book Antiqua" w:cs="Arial"/>
                <w:b/>
                <w:sz w:val="20"/>
                <w:szCs w:val="20"/>
                <w:lang w:eastAsia="es-CR"/>
              </w:rPr>
              <w:t>rroga</w:t>
            </w:r>
          </w:p>
        </w:tc>
        <w:tc>
          <w:tcPr>
            <w:tcW w:w="1418" w:type="dxa"/>
            <w:tcBorders>
              <w:left w:val="single" w:sz="6" w:space="0" w:color="auto"/>
              <w:bottom w:val="single" w:sz="6" w:space="0" w:color="auto"/>
              <w:right w:val="single" w:sz="6" w:space="0" w:color="auto"/>
            </w:tcBorders>
            <w:shd w:val="clear" w:color="auto" w:fill="F2F2F2"/>
            <w:vAlign w:val="center"/>
          </w:tcPr>
          <w:p w14:paraId="15FF618F" w14:textId="77777777" w:rsidR="00BD6172" w:rsidRPr="008F2C56" w:rsidRDefault="00BD6172" w:rsidP="00F400D6">
            <w:pPr>
              <w:spacing w:after="0" w:line="240" w:lineRule="auto"/>
              <w:jc w:val="center"/>
              <w:rPr>
                <w:rFonts w:ascii="Book Antiqua" w:eastAsia="Times New Roman" w:hAnsi="Book Antiqua" w:cs="Arial"/>
                <w:b/>
                <w:sz w:val="20"/>
                <w:szCs w:val="20"/>
                <w:lang w:eastAsia="es-CR"/>
              </w:rPr>
            </w:pPr>
            <w:r w:rsidRPr="008F2C56">
              <w:rPr>
                <w:rFonts w:ascii="Book Antiqua" w:eastAsia="Times New Roman" w:hAnsi="Book Antiqua" w:cs="Arial"/>
                <w:b/>
                <w:sz w:val="20"/>
                <w:szCs w:val="20"/>
                <w:lang w:eastAsia="es-CR"/>
              </w:rPr>
              <w:t>Informe de avance para prórroga</w:t>
            </w:r>
          </w:p>
        </w:tc>
        <w:tc>
          <w:tcPr>
            <w:tcW w:w="1701" w:type="dxa"/>
            <w:tcBorders>
              <w:left w:val="single" w:sz="6" w:space="0" w:color="auto"/>
              <w:bottom w:val="single" w:sz="6" w:space="0" w:color="auto"/>
              <w:right w:val="single" w:sz="6" w:space="0" w:color="auto"/>
            </w:tcBorders>
            <w:shd w:val="clear" w:color="auto" w:fill="F2F2F2"/>
            <w:vAlign w:val="center"/>
          </w:tcPr>
          <w:p w14:paraId="014E5A9C" w14:textId="77777777" w:rsidR="00BD6172" w:rsidRPr="008F2C56" w:rsidRDefault="00BD6172" w:rsidP="00F400D6">
            <w:pPr>
              <w:spacing w:after="0" w:line="240" w:lineRule="auto"/>
              <w:jc w:val="center"/>
              <w:rPr>
                <w:rFonts w:ascii="Book Antiqua" w:eastAsia="Times New Roman" w:hAnsi="Book Antiqua" w:cs="Arial"/>
                <w:b/>
                <w:sz w:val="20"/>
                <w:szCs w:val="20"/>
                <w:lang w:eastAsia="es-CR"/>
              </w:rPr>
            </w:pPr>
            <w:r w:rsidRPr="008F2C56">
              <w:rPr>
                <w:rFonts w:ascii="Book Antiqua" w:eastAsia="Times New Roman" w:hAnsi="Book Antiqua" w:cs="Arial"/>
                <w:b/>
                <w:sz w:val="20"/>
                <w:szCs w:val="20"/>
                <w:lang w:eastAsia="es-CR"/>
              </w:rPr>
              <w:t>Plazo de vigencia de los PCGS</w:t>
            </w:r>
          </w:p>
        </w:tc>
        <w:tc>
          <w:tcPr>
            <w:tcW w:w="3543" w:type="dxa"/>
            <w:tcBorders>
              <w:left w:val="single" w:sz="6" w:space="0" w:color="auto"/>
              <w:bottom w:val="single" w:sz="6" w:space="0" w:color="auto"/>
            </w:tcBorders>
            <w:shd w:val="clear" w:color="auto" w:fill="F2F2F2"/>
            <w:tcMar>
              <w:top w:w="0" w:type="dxa"/>
              <w:left w:w="101" w:type="dxa"/>
              <w:bottom w:w="0" w:type="dxa"/>
              <w:right w:w="101" w:type="dxa"/>
            </w:tcMar>
            <w:vAlign w:val="center"/>
          </w:tcPr>
          <w:p w14:paraId="35F6B3DE" w14:textId="77777777" w:rsidR="00BD6172" w:rsidRPr="008F2C56" w:rsidRDefault="00BD6172" w:rsidP="00F400D6">
            <w:pPr>
              <w:spacing w:after="0" w:line="240" w:lineRule="auto"/>
              <w:jc w:val="center"/>
              <w:rPr>
                <w:rFonts w:ascii="Book Antiqua" w:eastAsia="Times New Roman" w:hAnsi="Book Antiqua" w:cs="Arial"/>
                <w:b/>
                <w:sz w:val="20"/>
                <w:szCs w:val="20"/>
                <w:lang w:eastAsia="es-CR"/>
              </w:rPr>
            </w:pPr>
            <w:r w:rsidRPr="008F2C56">
              <w:rPr>
                <w:rFonts w:ascii="Book Antiqua" w:eastAsia="Times New Roman" w:hAnsi="Book Antiqua" w:cs="Arial"/>
                <w:b/>
                <w:sz w:val="20"/>
                <w:szCs w:val="20"/>
                <w:lang w:eastAsia="es-CR"/>
              </w:rPr>
              <w:t>Observaciones</w:t>
            </w:r>
          </w:p>
        </w:tc>
      </w:tr>
      <w:tr w:rsidR="00BD6172" w:rsidRPr="008F2C56" w14:paraId="2CE8DB02" w14:textId="77777777" w:rsidTr="00F400D6">
        <w:trPr>
          <w:trHeight w:val="276"/>
          <w:jc w:val="center"/>
        </w:trPr>
        <w:tc>
          <w:tcPr>
            <w:tcW w:w="1126" w:type="dxa"/>
            <w:tcBorders>
              <w:top w:val="single" w:sz="6" w:space="0" w:color="auto"/>
              <w:bottom w:val="single" w:sz="6" w:space="0" w:color="auto"/>
              <w:right w:val="single" w:sz="6" w:space="0" w:color="auto"/>
            </w:tcBorders>
            <w:shd w:val="clear" w:color="auto" w:fill="auto"/>
            <w:tcMar>
              <w:top w:w="0" w:type="dxa"/>
              <w:left w:w="101" w:type="dxa"/>
              <w:bottom w:w="0" w:type="dxa"/>
              <w:right w:w="101" w:type="dxa"/>
            </w:tcMar>
            <w:vAlign w:val="center"/>
            <w:hideMark/>
          </w:tcPr>
          <w:p w14:paraId="24E64000" w14:textId="77777777" w:rsidR="00BD6172" w:rsidRPr="008F2C56" w:rsidRDefault="00BD6172" w:rsidP="00F400D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III trimestre 2023</w:t>
            </w:r>
          </w:p>
        </w:tc>
        <w:tc>
          <w:tcPr>
            <w:tcW w:w="1560" w:type="dxa"/>
            <w:tcBorders>
              <w:top w:val="single" w:sz="6" w:space="0" w:color="auto"/>
              <w:left w:val="single" w:sz="6" w:space="0" w:color="auto"/>
              <w:bottom w:val="single" w:sz="6" w:space="0" w:color="auto"/>
              <w:right w:val="single" w:sz="6" w:space="0" w:color="auto"/>
            </w:tcBorders>
            <w:shd w:val="clear" w:color="auto" w:fill="auto"/>
            <w:tcMar>
              <w:top w:w="0" w:type="dxa"/>
              <w:left w:w="101" w:type="dxa"/>
              <w:bottom w:w="0" w:type="dxa"/>
              <w:right w:w="101" w:type="dxa"/>
            </w:tcMar>
            <w:vAlign w:val="center"/>
            <w:hideMark/>
          </w:tcPr>
          <w:p w14:paraId="30320443" w14:textId="77777777" w:rsidR="00BD6172" w:rsidRPr="00BD6172" w:rsidRDefault="00BD6172" w:rsidP="00F400D6">
            <w:pPr>
              <w:spacing w:after="0" w:line="240" w:lineRule="auto"/>
              <w:jc w:val="center"/>
              <w:rPr>
                <w:rFonts w:ascii="Book Antiqua" w:eastAsia="Times New Roman" w:hAnsi="Book Antiqua" w:cs="Arial"/>
                <w:b/>
                <w:bCs/>
                <w:sz w:val="20"/>
                <w:szCs w:val="20"/>
                <w:lang w:eastAsia="es-CR"/>
              </w:rPr>
            </w:pPr>
            <w:r w:rsidRPr="00BD6172">
              <w:rPr>
                <w:rFonts w:ascii="Book Antiqua" w:eastAsia="Times New Roman" w:hAnsi="Book Antiqua" w:cs="Arial"/>
                <w:b/>
                <w:bCs/>
                <w:sz w:val="20"/>
                <w:szCs w:val="20"/>
                <w:lang w:eastAsia="es-CR"/>
              </w:rPr>
              <w:t>Dirección de Planificación</w:t>
            </w:r>
          </w:p>
        </w:tc>
        <w:tc>
          <w:tcPr>
            <w:tcW w:w="1417" w:type="dxa"/>
            <w:tcBorders>
              <w:top w:val="single" w:sz="6" w:space="0" w:color="auto"/>
              <w:left w:val="single" w:sz="6" w:space="0" w:color="auto"/>
              <w:bottom w:val="single" w:sz="6" w:space="0" w:color="auto"/>
              <w:right w:val="single" w:sz="6" w:space="0" w:color="auto"/>
            </w:tcBorders>
            <w:vAlign w:val="center"/>
          </w:tcPr>
          <w:p w14:paraId="09DA4407" w14:textId="77777777" w:rsidR="00BD6172" w:rsidRPr="008F2C56" w:rsidRDefault="00BD6172" w:rsidP="00F400D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26 de mayo del 2023</w:t>
            </w:r>
          </w:p>
        </w:tc>
        <w:tc>
          <w:tcPr>
            <w:tcW w:w="1418" w:type="dxa"/>
            <w:tcBorders>
              <w:top w:val="single" w:sz="6" w:space="0" w:color="auto"/>
              <w:left w:val="single" w:sz="6" w:space="0" w:color="auto"/>
              <w:bottom w:val="single" w:sz="6" w:space="0" w:color="auto"/>
              <w:right w:val="single" w:sz="6" w:space="0" w:color="auto"/>
            </w:tcBorders>
            <w:vAlign w:val="center"/>
          </w:tcPr>
          <w:p w14:paraId="1570712D" w14:textId="77777777" w:rsidR="00BD6172" w:rsidRPr="008F2C56" w:rsidRDefault="00BD6172" w:rsidP="00F400D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I Avance 2023</w:t>
            </w:r>
          </w:p>
        </w:tc>
        <w:tc>
          <w:tcPr>
            <w:tcW w:w="1701" w:type="dxa"/>
            <w:tcBorders>
              <w:top w:val="single" w:sz="6" w:space="0" w:color="auto"/>
              <w:left w:val="single" w:sz="6" w:space="0" w:color="auto"/>
              <w:bottom w:val="single" w:sz="6" w:space="0" w:color="auto"/>
              <w:right w:val="single" w:sz="6" w:space="0" w:color="auto"/>
            </w:tcBorders>
            <w:vAlign w:val="center"/>
          </w:tcPr>
          <w:p w14:paraId="15B27A68" w14:textId="77777777" w:rsidR="00BD6172" w:rsidRPr="008F2C56" w:rsidRDefault="00BD6172" w:rsidP="00F400D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01 de julio al</w:t>
            </w:r>
          </w:p>
          <w:p w14:paraId="7B0E9DF3" w14:textId="77777777" w:rsidR="00BD6172" w:rsidRPr="008F2C56" w:rsidRDefault="00BD6172" w:rsidP="00F400D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30 de setiembre 2023</w:t>
            </w:r>
          </w:p>
        </w:tc>
        <w:tc>
          <w:tcPr>
            <w:tcW w:w="3543" w:type="dxa"/>
            <w:tcBorders>
              <w:top w:val="single" w:sz="6" w:space="0" w:color="auto"/>
              <w:left w:val="single" w:sz="6" w:space="0" w:color="auto"/>
              <w:bottom w:val="single" w:sz="6" w:space="0" w:color="auto"/>
            </w:tcBorders>
            <w:shd w:val="clear" w:color="auto" w:fill="auto"/>
            <w:tcMar>
              <w:top w:w="0" w:type="dxa"/>
              <w:left w:w="101" w:type="dxa"/>
              <w:bottom w:w="0" w:type="dxa"/>
              <w:right w:w="101" w:type="dxa"/>
            </w:tcMar>
            <w:vAlign w:val="center"/>
          </w:tcPr>
          <w:p w14:paraId="7ACE7FFD" w14:textId="77777777" w:rsidR="00BD6172" w:rsidRPr="008F2C56" w:rsidRDefault="00BD6172" w:rsidP="00F400D6">
            <w:pPr>
              <w:spacing w:after="0" w:line="240" w:lineRule="auto"/>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Se realiza con el I informe de seguimiento 2023.</w:t>
            </w:r>
          </w:p>
          <w:p w14:paraId="5F1111E8" w14:textId="77777777" w:rsidR="00BD6172" w:rsidRPr="008F2C56" w:rsidRDefault="00BD6172" w:rsidP="00F400D6">
            <w:pPr>
              <w:spacing w:after="0" w:line="240" w:lineRule="auto"/>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El cual se conoce por el Consejo Superior en el mes de junio 2023.</w:t>
            </w:r>
          </w:p>
        </w:tc>
      </w:tr>
      <w:tr w:rsidR="00BD6172" w:rsidRPr="008F2C56" w14:paraId="40FF29EE" w14:textId="77777777" w:rsidTr="00BD6172">
        <w:trPr>
          <w:trHeight w:val="124"/>
          <w:jc w:val="center"/>
        </w:trPr>
        <w:tc>
          <w:tcPr>
            <w:tcW w:w="1126" w:type="dxa"/>
            <w:tcBorders>
              <w:top w:val="single" w:sz="6" w:space="0" w:color="auto"/>
              <w:bottom w:val="single" w:sz="6" w:space="0" w:color="auto"/>
              <w:right w:val="single" w:sz="6" w:space="0" w:color="auto"/>
            </w:tcBorders>
            <w:shd w:val="clear" w:color="auto" w:fill="BDD6EE" w:themeFill="accent5" w:themeFillTint="66"/>
            <w:tcMar>
              <w:top w:w="0" w:type="dxa"/>
              <w:left w:w="101" w:type="dxa"/>
              <w:bottom w:w="0" w:type="dxa"/>
              <w:right w:w="101" w:type="dxa"/>
            </w:tcMar>
            <w:vAlign w:val="center"/>
            <w:hideMark/>
          </w:tcPr>
          <w:p w14:paraId="7C269A83" w14:textId="77777777" w:rsidR="00BD6172" w:rsidRPr="008F2C56" w:rsidRDefault="00BD6172" w:rsidP="00F400D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VI trimestre 2023</w:t>
            </w:r>
          </w:p>
        </w:tc>
        <w:tc>
          <w:tcPr>
            <w:tcW w:w="1560" w:type="dxa"/>
            <w:tcBorders>
              <w:top w:val="single" w:sz="6" w:space="0" w:color="auto"/>
              <w:left w:val="single" w:sz="6" w:space="0" w:color="auto"/>
              <w:bottom w:val="single" w:sz="6" w:space="0" w:color="auto"/>
              <w:right w:val="single" w:sz="6" w:space="0" w:color="auto"/>
            </w:tcBorders>
            <w:shd w:val="clear" w:color="auto" w:fill="BDD6EE" w:themeFill="accent5" w:themeFillTint="66"/>
            <w:tcMar>
              <w:top w:w="0" w:type="dxa"/>
              <w:left w:w="101" w:type="dxa"/>
              <w:bottom w:w="0" w:type="dxa"/>
              <w:right w:w="101" w:type="dxa"/>
            </w:tcMar>
            <w:vAlign w:val="center"/>
            <w:hideMark/>
          </w:tcPr>
          <w:p w14:paraId="70029C08" w14:textId="77777777" w:rsidR="00BD6172" w:rsidRPr="00BD6172" w:rsidRDefault="00BD6172" w:rsidP="00F400D6">
            <w:pPr>
              <w:spacing w:after="0" w:line="240" w:lineRule="auto"/>
              <w:jc w:val="center"/>
              <w:rPr>
                <w:rFonts w:ascii="Book Antiqua" w:eastAsia="Times New Roman" w:hAnsi="Book Antiqua" w:cs="Arial"/>
                <w:b/>
                <w:bCs/>
                <w:sz w:val="20"/>
                <w:szCs w:val="20"/>
                <w:lang w:eastAsia="es-CR"/>
              </w:rPr>
            </w:pPr>
            <w:r w:rsidRPr="00BD6172">
              <w:rPr>
                <w:rFonts w:ascii="Book Antiqua" w:eastAsia="Times New Roman" w:hAnsi="Book Antiqua" w:cs="Arial"/>
                <w:b/>
                <w:bCs/>
                <w:sz w:val="20"/>
                <w:szCs w:val="20"/>
                <w:lang w:eastAsia="es-CR"/>
              </w:rPr>
              <w:t>Dirección de Gestión Humana</w:t>
            </w:r>
          </w:p>
        </w:tc>
        <w:tc>
          <w:tcPr>
            <w:tcW w:w="1417" w:type="dxa"/>
            <w:tcBorders>
              <w:top w:val="single" w:sz="6" w:space="0" w:color="auto"/>
              <w:left w:val="single" w:sz="6" w:space="0" w:color="auto"/>
              <w:bottom w:val="single" w:sz="6" w:space="0" w:color="auto"/>
              <w:right w:val="single" w:sz="6" w:space="0" w:color="auto"/>
            </w:tcBorders>
            <w:shd w:val="clear" w:color="auto" w:fill="BDD6EE" w:themeFill="accent5" w:themeFillTint="66"/>
            <w:vAlign w:val="center"/>
          </w:tcPr>
          <w:p w14:paraId="2F28D645" w14:textId="45B01B26" w:rsidR="00BD6172" w:rsidRPr="008F2C56" w:rsidRDefault="00BD6172" w:rsidP="00F400D6">
            <w:pPr>
              <w:spacing w:after="0" w:line="240" w:lineRule="auto"/>
              <w:jc w:val="center"/>
              <w:rPr>
                <w:rFonts w:ascii="Book Antiqua" w:eastAsia="Times New Roman" w:hAnsi="Book Antiqua" w:cs="Arial"/>
                <w:sz w:val="20"/>
                <w:szCs w:val="20"/>
                <w:lang w:eastAsia="es-CR"/>
              </w:rPr>
            </w:pPr>
            <w:r>
              <w:rPr>
                <w:rFonts w:ascii="Book Antiqua" w:eastAsia="Times New Roman" w:hAnsi="Book Antiqua" w:cs="Arial"/>
                <w:sz w:val="20"/>
                <w:szCs w:val="20"/>
                <w:lang w:eastAsia="es-CR"/>
              </w:rPr>
              <w:t>30 de agosto</w:t>
            </w:r>
            <w:r w:rsidRPr="008F2C56">
              <w:rPr>
                <w:rFonts w:ascii="Book Antiqua" w:eastAsia="Times New Roman" w:hAnsi="Book Antiqua" w:cs="Arial"/>
                <w:sz w:val="20"/>
                <w:szCs w:val="20"/>
                <w:lang w:eastAsia="es-CR"/>
              </w:rPr>
              <w:t xml:space="preserve"> del 2023</w:t>
            </w:r>
          </w:p>
        </w:tc>
        <w:tc>
          <w:tcPr>
            <w:tcW w:w="1418" w:type="dxa"/>
            <w:tcBorders>
              <w:top w:val="single" w:sz="6" w:space="0" w:color="auto"/>
              <w:left w:val="single" w:sz="6" w:space="0" w:color="auto"/>
              <w:bottom w:val="single" w:sz="6" w:space="0" w:color="auto"/>
              <w:right w:val="single" w:sz="6" w:space="0" w:color="auto"/>
            </w:tcBorders>
            <w:shd w:val="clear" w:color="auto" w:fill="BDD6EE" w:themeFill="accent5" w:themeFillTint="66"/>
            <w:vAlign w:val="center"/>
          </w:tcPr>
          <w:p w14:paraId="4CB0D62E" w14:textId="77777777" w:rsidR="00BD6172" w:rsidRPr="008F2C56" w:rsidRDefault="00BD6172" w:rsidP="00F400D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No aplica</w:t>
            </w:r>
          </w:p>
          <w:p w14:paraId="371576A2" w14:textId="77777777" w:rsidR="00BD6172" w:rsidRPr="008F2C56" w:rsidRDefault="00BD6172" w:rsidP="00F400D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Oficio DGH</w:t>
            </w:r>
          </w:p>
        </w:tc>
        <w:tc>
          <w:tcPr>
            <w:tcW w:w="1701" w:type="dxa"/>
            <w:tcBorders>
              <w:top w:val="single" w:sz="6" w:space="0" w:color="auto"/>
              <w:left w:val="single" w:sz="6" w:space="0" w:color="auto"/>
              <w:bottom w:val="single" w:sz="6" w:space="0" w:color="auto"/>
              <w:right w:val="single" w:sz="6" w:space="0" w:color="auto"/>
            </w:tcBorders>
            <w:shd w:val="clear" w:color="auto" w:fill="BDD6EE" w:themeFill="accent5" w:themeFillTint="66"/>
            <w:vAlign w:val="center"/>
          </w:tcPr>
          <w:p w14:paraId="4D74E91C" w14:textId="77777777" w:rsidR="00BD6172" w:rsidRPr="008F2C56" w:rsidRDefault="00BD6172" w:rsidP="00F400D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01 de octubre al</w:t>
            </w:r>
          </w:p>
          <w:p w14:paraId="191FC339" w14:textId="77777777" w:rsidR="00BD6172" w:rsidRPr="008F2C56" w:rsidRDefault="00BD6172" w:rsidP="00F400D6">
            <w:pPr>
              <w:spacing w:after="0" w:line="240" w:lineRule="auto"/>
              <w:jc w:val="center"/>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22</w:t>
            </w:r>
            <w:r w:rsidRPr="008F2C56">
              <w:rPr>
                <w:rFonts w:ascii="Book Antiqua" w:eastAsia="Times New Roman" w:hAnsi="Book Antiqua" w:cs="Arial"/>
                <w:vanish/>
                <w:shd w:val="clear" w:color="auto" w:fill="FFFFFF"/>
                <w:vertAlign w:val="superscript"/>
                <w:lang w:val="es-ES" w:eastAsia="es-ES"/>
              </w:rPr>
              <w:t>1</w:t>
            </w:r>
            <w:r w:rsidRPr="008F2C56">
              <w:rPr>
                <w:rFonts w:ascii="Book Antiqua" w:eastAsia="Times New Roman" w:hAnsi="Book Antiqua" w:cs="Arial"/>
                <w:sz w:val="20"/>
                <w:szCs w:val="20"/>
                <w:lang w:eastAsia="es-CR"/>
              </w:rPr>
              <w:t xml:space="preserve"> de diciembre 2023</w:t>
            </w:r>
          </w:p>
        </w:tc>
        <w:tc>
          <w:tcPr>
            <w:tcW w:w="3543" w:type="dxa"/>
            <w:tcBorders>
              <w:top w:val="single" w:sz="6" w:space="0" w:color="auto"/>
              <w:left w:val="single" w:sz="6" w:space="0" w:color="auto"/>
              <w:bottom w:val="single" w:sz="6" w:space="0" w:color="auto"/>
            </w:tcBorders>
            <w:shd w:val="clear" w:color="auto" w:fill="BDD6EE" w:themeFill="accent5" w:themeFillTint="66"/>
            <w:tcMar>
              <w:top w:w="0" w:type="dxa"/>
              <w:left w:w="101" w:type="dxa"/>
              <w:bottom w:w="0" w:type="dxa"/>
              <w:right w:w="101" w:type="dxa"/>
            </w:tcMar>
            <w:vAlign w:val="center"/>
          </w:tcPr>
          <w:p w14:paraId="72911255" w14:textId="609347B8" w:rsidR="00BD6172" w:rsidRDefault="00BD6172" w:rsidP="00F400D6">
            <w:pPr>
              <w:spacing w:after="0" w:line="240" w:lineRule="auto"/>
              <w:rPr>
                <w:rFonts w:ascii="Book Antiqua" w:eastAsia="Times New Roman" w:hAnsi="Book Antiqua" w:cs="Arial"/>
                <w:sz w:val="20"/>
                <w:szCs w:val="20"/>
                <w:lang w:eastAsia="es-CR"/>
              </w:rPr>
            </w:pPr>
            <w:r w:rsidRPr="008F2C56">
              <w:rPr>
                <w:rFonts w:ascii="Book Antiqua" w:eastAsia="Times New Roman" w:hAnsi="Book Antiqua" w:cs="Arial"/>
                <w:sz w:val="20"/>
                <w:szCs w:val="20"/>
                <w:lang w:eastAsia="es-CR"/>
              </w:rPr>
              <w:t>Se realiza con el detalle de las proyecciones de la Dirección de Gestión Humana.</w:t>
            </w:r>
          </w:p>
          <w:p w14:paraId="0D334061" w14:textId="77777777" w:rsidR="007F4E05" w:rsidRDefault="007F4E05" w:rsidP="00F400D6">
            <w:pPr>
              <w:spacing w:after="0" w:line="240" w:lineRule="auto"/>
              <w:rPr>
                <w:rFonts w:ascii="Book Antiqua" w:eastAsia="Times New Roman" w:hAnsi="Book Antiqua" w:cs="Arial"/>
                <w:sz w:val="20"/>
                <w:szCs w:val="20"/>
                <w:lang w:eastAsia="es-CR"/>
              </w:rPr>
            </w:pPr>
          </w:p>
          <w:p w14:paraId="13648A59" w14:textId="33FB3947" w:rsidR="00BD6172" w:rsidRPr="00BD6172" w:rsidRDefault="00BD6172" w:rsidP="00F400D6">
            <w:pPr>
              <w:spacing w:after="0" w:line="240" w:lineRule="auto"/>
              <w:rPr>
                <w:rFonts w:ascii="Book Antiqua" w:eastAsia="Times New Roman" w:hAnsi="Book Antiqua" w:cs="Arial"/>
                <w:b/>
                <w:bCs/>
                <w:sz w:val="20"/>
                <w:szCs w:val="20"/>
                <w:lang w:eastAsia="es-CR"/>
              </w:rPr>
            </w:pPr>
            <w:r w:rsidRPr="00BD6172">
              <w:rPr>
                <w:rFonts w:ascii="Book Antiqua" w:eastAsia="Times New Roman" w:hAnsi="Book Antiqua" w:cs="Arial"/>
                <w:b/>
                <w:bCs/>
                <w:sz w:val="20"/>
                <w:szCs w:val="20"/>
                <w:lang w:eastAsia="es-CR"/>
              </w:rPr>
              <w:t xml:space="preserve">Fecha para presentar </w:t>
            </w:r>
            <w:r>
              <w:rPr>
                <w:rFonts w:ascii="Book Antiqua" w:eastAsia="Times New Roman" w:hAnsi="Book Antiqua" w:cs="Arial"/>
                <w:b/>
                <w:bCs/>
                <w:sz w:val="20"/>
                <w:szCs w:val="20"/>
                <w:lang w:eastAsia="es-CR"/>
              </w:rPr>
              <w:t xml:space="preserve">informe </w:t>
            </w:r>
            <w:r w:rsidRPr="00BD6172">
              <w:rPr>
                <w:rFonts w:ascii="Book Antiqua" w:eastAsia="Times New Roman" w:hAnsi="Book Antiqua" w:cs="Arial"/>
                <w:b/>
                <w:bCs/>
                <w:sz w:val="20"/>
                <w:szCs w:val="20"/>
                <w:lang w:eastAsia="es-CR"/>
              </w:rPr>
              <w:t>al Consejo Superior: 12 de setiembre del 2023</w:t>
            </w:r>
          </w:p>
          <w:p w14:paraId="427942A9" w14:textId="77777777" w:rsidR="00BD6172" w:rsidRPr="008F2C56" w:rsidRDefault="00BD6172" w:rsidP="00F400D6">
            <w:pPr>
              <w:spacing w:after="0" w:line="240" w:lineRule="auto"/>
              <w:rPr>
                <w:rFonts w:ascii="Book Antiqua" w:eastAsia="Times New Roman" w:hAnsi="Book Antiqua" w:cs="Arial"/>
                <w:sz w:val="20"/>
                <w:szCs w:val="20"/>
                <w:lang w:eastAsia="es-CR"/>
              </w:rPr>
            </w:pPr>
          </w:p>
        </w:tc>
      </w:tr>
      <w:tr w:rsidR="00BD6172" w:rsidRPr="008F2C56" w14:paraId="625BE862" w14:textId="77777777" w:rsidTr="00F400D6">
        <w:trPr>
          <w:trHeight w:val="124"/>
          <w:jc w:val="center"/>
        </w:trPr>
        <w:tc>
          <w:tcPr>
            <w:tcW w:w="1126" w:type="dxa"/>
            <w:tcBorders>
              <w:top w:val="single" w:sz="6" w:space="0" w:color="auto"/>
              <w:bottom w:val="single" w:sz="6" w:space="0" w:color="auto"/>
              <w:right w:val="single" w:sz="6" w:space="0" w:color="auto"/>
            </w:tcBorders>
            <w:shd w:val="clear" w:color="auto" w:fill="auto"/>
            <w:tcMar>
              <w:top w:w="0" w:type="dxa"/>
              <w:left w:w="101" w:type="dxa"/>
              <w:bottom w:w="0" w:type="dxa"/>
              <w:right w:w="101" w:type="dxa"/>
            </w:tcMar>
            <w:vAlign w:val="center"/>
          </w:tcPr>
          <w:p w14:paraId="17F875D1" w14:textId="77777777" w:rsidR="00BD6172" w:rsidRPr="008F2C56" w:rsidRDefault="00BD6172" w:rsidP="00F400D6">
            <w:pPr>
              <w:spacing w:after="0" w:line="240" w:lineRule="auto"/>
              <w:jc w:val="center"/>
              <w:rPr>
                <w:rFonts w:ascii="Book Antiqua" w:eastAsia="Times New Roman" w:hAnsi="Book Antiqua" w:cs="Arial"/>
                <w:sz w:val="20"/>
                <w:szCs w:val="20"/>
                <w:lang w:eastAsia="es-CR"/>
              </w:rPr>
            </w:pPr>
            <w:r w:rsidRPr="001B0773">
              <w:rPr>
                <w:rFonts w:ascii="Book Antiqua" w:hAnsi="Book Antiqua" w:cs="Arial"/>
                <w:sz w:val="20"/>
                <w:szCs w:val="20"/>
              </w:rPr>
              <w:t>I</w:t>
            </w:r>
            <w:r>
              <w:rPr>
                <w:rFonts w:ascii="Book Antiqua" w:hAnsi="Book Antiqua" w:cs="Arial"/>
                <w:sz w:val="20"/>
                <w:szCs w:val="20"/>
              </w:rPr>
              <w:t xml:space="preserve"> </w:t>
            </w:r>
            <w:r w:rsidRPr="001B0773">
              <w:rPr>
                <w:rFonts w:ascii="Book Antiqua" w:hAnsi="Book Antiqua" w:cs="Arial"/>
                <w:sz w:val="20"/>
                <w:szCs w:val="20"/>
              </w:rPr>
              <w:t>trimestre 202</w:t>
            </w:r>
            <w:r>
              <w:rPr>
                <w:rFonts w:ascii="Book Antiqua" w:hAnsi="Book Antiqua" w:cs="Arial"/>
                <w:sz w:val="20"/>
                <w:szCs w:val="20"/>
              </w:rPr>
              <w:t>4</w:t>
            </w:r>
          </w:p>
        </w:tc>
        <w:tc>
          <w:tcPr>
            <w:tcW w:w="1560" w:type="dxa"/>
            <w:tcBorders>
              <w:top w:val="single" w:sz="6" w:space="0" w:color="auto"/>
              <w:left w:val="single" w:sz="6" w:space="0" w:color="auto"/>
              <w:bottom w:val="single" w:sz="6" w:space="0" w:color="auto"/>
              <w:right w:val="single" w:sz="6" w:space="0" w:color="auto"/>
            </w:tcBorders>
            <w:shd w:val="clear" w:color="auto" w:fill="auto"/>
            <w:tcMar>
              <w:top w:w="0" w:type="dxa"/>
              <w:left w:w="101" w:type="dxa"/>
              <w:bottom w:w="0" w:type="dxa"/>
              <w:right w:w="101" w:type="dxa"/>
            </w:tcMar>
            <w:vAlign w:val="center"/>
          </w:tcPr>
          <w:p w14:paraId="31CC8B0C" w14:textId="77777777" w:rsidR="00BD6172" w:rsidRPr="00BD6172" w:rsidRDefault="00BD6172" w:rsidP="00F400D6">
            <w:pPr>
              <w:spacing w:after="0" w:line="240" w:lineRule="auto"/>
              <w:jc w:val="center"/>
              <w:rPr>
                <w:rFonts w:ascii="Book Antiqua" w:eastAsia="Times New Roman" w:hAnsi="Book Antiqua" w:cs="Arial"/>
                <w:b/>
                <w:bCs/>
                <w:sz w:val="20"/>
                <w:szCs w:val="20"/>
                <w:lang w:eastAsia="es-CR"/>
              </w:rPr>
            </w:pPr>
            <w:r w:rsidRPr="00BD6172">
              <w:rPr>
                <w:rFonts w:ascii="Book Antiqua" w:hAnsi="Book Antiqua" w:cs="Arial"/>
                <w:b/>
                <w:bCs/>
                <w:sz w:val="20"/>
                <w:szCs w:val="20"/>
              </w:rPr>
              <w:t>Dirección de Planificación</w:t>
            </w:r>
          </w:p>
        </w:tc>
        <w:tc>
          <w:tcPr>
            <w:tcW w:w="1417" w:type="dxa"/>
            <w:tcBorders>
              <w:top w:val="single" w:sz="6" w:space="0" w:color="auto"/>
              <w:left w:val="single" w:sz="6" w:space="0" w:color="auto"/>
              <w:bottom w:val="single" w:sz="6" w:space="0" w:color="auto"/>
              <w:right w:val="single" w:sz="6" w:space="0" w:color="auto"/>
            </w:tcBorders>
            <w:vAlign w:val="center"/>
          </w:tcPr>
          <w:p w14:paraId="0EFF2713" w14:textId="77777777" w:rsidR="00BD6172" w:rsidRPr="008F2C56" w:rsidRDefault="00BD6172" w:rsidP="00F400D6">
            <w:pPr>
              <w:spacing w:after="0" w:line="240" w:lineRule="auto"/>
              <w:jc w:val="center"/>
              <w:rPr>
                <w:rFonts w:ascii="Book Antiqua" w:eastAsia="Times New Roman" w:hAnsi="Book Antiqua" w:cs="Arial"/>
                <w:sz w:val="20"/>
                <w:szCs w:val="20"/>
                <w:lang w:eastAsia="es-CR"/>
              </w:rPr>
            </w:pPr>
            <w:r>
              <w:rPr>
                <w:rFonts w:ascii="Book Antiqua" w:hAnsi="Book Antiqua" w:cs="Arial"/>
                <w:sz w:val="20"/>
                <w:szCs w:val="20"/>
              </w:rPr>
              <w:t>6 de octubre</w:t>
            </w:r>
            <w:r w:rsidRPr="001B0773">
              <w:rPr>
                <w:rFonts w:ascii="Book Antiqua" w:hAnsi="Book Antiqua" w:cs="Arial"/>
                <w:sz w:val="20"/>
                <w:szCs w:val="20"/>
              </w:rPr>
              <w:t xml:space="preserve"> del 2023</w:t>
            </w:r>
          </w:p>
        </w:tc>
        <w:tc>
          <w:tcPr>
            <w:tcW w:w="1418" w:type="dxa"/>
            <w:tcBorders>
              <w:top w:val="single" w:sz="6" w:space="0" w:color="auto"/>
              <w:left w:val="single" w:sz="6" w:space="0" w:color="auto"/>
              <w:bottom w:val="single" w:sz="6" w:space="0" w:color="auto"/>
              <w:right w:val="single" w:sz="6" w:space="0" w:color="auto"/>
            </w:tcBorders>
            <w:vAlign w:val="center"/>
          </w:tcPr>
          <w:p w14:paraId="6D8AC3F7" w14:textId="77777777" w:rsidR="00BD6172" w:rsidRPr="008F2C56" w:rsidRDefault="00BD6172" w:rsidP="00F400D6">
            <w:pPr>
              <w:spacing w:after="0" w:line="240" w:lineRule="auto"/>
              <w:jc w:val="center"/>
              <w:rPr>
                <w:rFonts w:ascii="Book Antiqua" w:eastAsia="Times New Roman" w:hAnsi="Book Antiqua" w:cs="Arial"/>
                <w:sz w:val="20"/>
                <w:szCs w:val="20"/>
                <w:lang w:eastAsia="es-CR"/>
              </w:rPr>
            </w:pPr>
            <w:r>
              <w:rPr>
                <w:rFonts w:ascii="Book Antiqua" w:hAnsi="Book Antiqua" w:cs="Arial"/>
                <w:sz w:val="20"/>
                <w:szCs w:val="20"/>
              </w:rPr>
              <w:t>I</w:t>
            </w:r>
            <w:r w:rsidRPr="001B0773">
              <w:rPr>
                <w:rFonts w:ascii="Book Antiqua" w:hAnsi="Book Antiqua" w:cs="Arial"/>
                <w:sz w:val="20"/>
                <w:szCs w:val="20"/>
              </w:rPr>
              <w:t>I Avance 2023</w:t>
            </w:r>
          </w:p>
        </w:tc>
        <w:tc>
          <w:tcPr>
            <w:tcW w:w="1701" w:type="dxa"/>
            <w:tcBorders>
              <w:top w:val="single" w:sz="6" w:space="0" w:color="auto"/>
              <w:left w:val="single" w:sz="6" w:space="0" w:color="auto"/>
              <w:bottom w:val="single" w:sz="6" w:space="0" w:color="auto"/>
              <w:right w:val="single" w:sz="6" w:space="0" w:color="auto"/>
            </w:tcBorders>
            <w:vAlign w:val="center"/>
          </w:tcPr>
          <w:p w14:paraId="7F8CC02E" w14:textId="77777777" w:rsidR="00BD6172" w:rsidRPr="001B0773" w:rsidRDefault="00BD6172" w:rsidP="00F400D6">
            <w:pPr>
              <w:pStyle w:val="NormalWeb"/>
              <w:spacing w:before="0" w:beforeAutospacing="0" w:after="0" w:afterAutospacing="0"/>
              <w:jc w:val="center"/>
              <w:rPr>
                <w:rFonts w:ascii="Book Antiqua" w:hAnsi="Book Antiqua" w:cs="Arial"/>
                <w:sz w:val="20"/>
                <w:szCs w:val="20"/>
              </w:rPr>
            </w:pPr>
            <w:r>
              <w:rPr>
                <w:rFonts w:ascii="Book Antiqua" w:hAnsi="Book Antiqua" w:cs="Arial"/>
                <w:sz w:val="20"/>
                <w:szCs w:val="20"/>
              </w:rPr>
              <w:t>08</w:t>
            </w:r>
            <w:r w:rsidRPr="001B0773">
              <w:rPr>
                <w:rFonts w:ascii="Book Antiqua" w:hAnsi="Book Antiqua" w:cs="Arial"/>
                <w:sz w:val="20"/>
                <w:szCs w:val="20"/>
              </w:rPr>
              <w:t xml:space="preserve"> de </w:t>
            </w:r>
            <w:r>
              <w:rPr>
                <w:rFonts w:ascii="Book Antiqua" w:hAnsi="Book Antiqua" w:cs="Arial"/>
                <w:sz w:val="20"/>
                <w:szCs w:val="20"/>
              </w:rPr>
              <w:t>enero</w:t>
            </w:r>
            <w:r w:rsidRPr="001B0773">
              <w:rPr>
                <w:rFonts w:ascii="Book Antiqua" w:hAnsi="Book Antiqua" w:cs="Arial"/>
                <w:sz w:val="20"/>
                <w:szCs w:val="20"/>
              </w:rPr>
              <w:t xml:space="preserve"> al</w:t>
            </w:r>
          </w:p>
          <w:p w14:paraId="55B5A2D0" w14:textId="77777777" w:rsidR="00BD6172" w:rsidRPr="008F2C56" w:rsidRDefault="00BD6172" w:rsidP="00F400D6">
            <w:pPr>
              <w:spacing w:after="0" w:line="240" w:lineRule="auto"/>
              <w:jc w:val="center"/>
              <w:rPr>
                <w:rFonts w:ascii="Book Antiqua" w:eastAsia="Times New Roman" w:hAnsi="Book Antiqua" w:cs="Arial"/>
                <w:sz w:val="20"/>
                <w:szCs w:val="20"/>
                <w:lang w:eastAsia="es-CR"/>
              </w:rPr>
            </w:pPr>
            <w:r>
              <w:rPr>
                <w:rFonts w:ascii="Book Antiqua" w:hAnsi="Book Antiqua" w:cs="Arial"/>
                <w:sz w:val="20"/>
                <w:szCs w:val="20"/>
              </w:rPr>
              <w:t>29</w:t>
            </w:r>
            <w:r w:rsidRPr="001B0773">
              <w:rPr>
                <w:rFonts w:ascii="Book Antiqua" w:hAnsi="Book Antiqua" w:cs="Arial"/>
                <w:sz w:val="20"/>
                <w:szCs w:val="20"/>
              </w:rPr>
              <w:t xml:space="preserve"> de </w:t>
            </w:r>
            <w:r>
              <w:rPr>
                <w:rFonts w:ascii="Book Antiqua" w:hAnsi="Book Antiqua" w:cs="Arial"/>
                <w:sz w:val="20"/>
                <w:szCs w:val="20"/>
              </w:rPr>
              <w:t>marzo</w:t>
            </w:r>
            <w:r w:rsidRPr="001B0773">
              <w:rPr>
                <w:rFonts w:ascii="Book Antiqua" w:hAnsi="Book Antiqua" w:cs="Arial"/>
                <w:sz w:val="20"/>
                <w:szCs w:val="20"/>
              </w:rPr>
              <w:t xml:space="preserve"> 202</w:t>
            </w:r>
            <w:r>
              <w:rPr>
                <w:rFonts w:ascii="Book Antiqua" w:hAnsi="Book Antiqua" w:cs="Arial"/>
                <w:sz w:val="20"/>
                <w:szCs w:val="20"/>
              </w:rPr>
              <w:t>4</w:t>
            </w:r>
          </w:p>
        </w:tc>
        <w:tc>
          <w:tcPr>
            <w:tcW w:w="3543" w:type="dxa"/>
            <w:tcBorders>
              <w:top w:val="single" w:sz="6" w:space="0" w:color="auto"/>
              <w:left w:val="single" w:sz="6" w:space="0" w:color="auto"/>
              <w:bottom w:val="single" w:sz="6" w:space="0" w:color="auto"/>
            </w:tcBorders>
            <w:shd w:val="clear" w:color="auto" w:fill="auto"/>
            <w:tcMar>
              <w:top w:w="0" w:type="dxa"/>
              <w:left w:w="101" w:type="dxa"/>
              <w:bottom w:w="0" w:type="dxa"/>
              <w:right w:w="101" w:type="dxa"/>
            </w:tcMar>
            <w:vAlign w:val="center"/>
          </w:tcPr>
          <w:p w14:paraId="3433FA60" w14:textId="77777777" w:rsidR="00BD6172" w:rsidRPr="001B0773" w:rsidRDefault="00BD6172" w:rsidP="00F400D6">
            <w:pPr>
              <w:pStyle w:val="NormalWeb"/>
              <w:spacing w:before="0" w:beforeAutospacing="0" w:after="0" w:afterAutospacing="0"/>
              <w:rPr>
                <w:rFonts w:ascii="Book Antiqua" w:hAnsi="Book Antiqua" w:cs="Arial"/>
                <w:sz w:val="20"/>
                <w:szCs w:val="20"/>
              </w:rPr>
            </w:pPr>
            <w:r w:rsidRPr="001B0773">
              <w:rPr>
                <w:rFonts w:ascii="Book Antiqua" w:hAnsi="Book Antiqua" w:cs="Arial"/>
                <w:sz w:val="20"/>
                <w:szCs w:val="20"/>
              </w:rPr>
              <w:t xml:space="preserve">Se realiza con el </w:t>
            </w:r>
            <w:r>
              <w:rPr>
                <w:rFonts w:ascii="Book Antiqua" w:hAnsi="Book Antiqua" w:cs="Arial"/>
                <w:sz w:val="20"/>
                <w:szCs w:val="20"/>
              </w:rPr>
              <w:t>I</w:t>
            </w:r>
            <w:r w:rsidRPr="001B0773">
              <w:rPr>
                <w:rFonts w:ascii="Book Antiqua" w:hAnsi="Book Antiqua" w:cs="Arial"/>
                <w:sz w:val="20"/>
                <w:szCs w:val="20"/>
              </w:rPr>
              <w:t>I informe de seguimiento 202</w:t>
            </w:r>
            <w:r>
              <w:rPr>
                <w:rFonts w:ascii="Book Antiqua" w:hAnsi="Book Antiqua" w:cs="Arial"/>
                <w:sz w:val="20"/>
                <w:szCs w:val="20"/>
              </w:rPr>
              <w:t>3</w:t>
            </w:r>
            <w:r w:rsidRPr="001B0773">
              <w:rPr>
                <w:rFonts w:ascii="Book Antiqua" w:hAnsi="Book Antiqua" w:cs="Arial"/>
                <w:sz w:val="20"/>
                <w:szCs w:val="20"/>
              </w:rPr>
              <w:t>.</w:t>
            </w:r>
          </w:p>
          <w:p w14:paraId="49191588" w14:textId="77777777" w:rsidR="00BD6172" w:rsidRPr="008F2C56" w:rsidRDefault="00BD6172" w:rsidP="00F400D6">
            <w:pPr>
              <w:spacing w:after="0" w:line="240" w:lineRule="auto"/>
              <w:rPr>
                <w:rFonts w:ascii="Book Antiqua" w:eastAsia="Times New Roman" w:hAnsi="Book Antiqua" w:cs="Arial"/>
                <w:sz w:val="20"/>
                <w:szCs w:val="20"/>
                <w:lang w:eastAsia="es-CR"/>
              </w:rPr>
            </w:pPr>
            <w:r w:rsidRPr="001B0773">
              <w:rPr>
                <w:rFonts w:ascii="Book Antiqua" w:hAnsi="Book Antiqua" w:cs="Arial"/>
                <w:sz w:val="20"/>
                <w:szCs w:val="20"/>
              </w:rPr>
              <w:t xml:space="preserve">El cual se conoce por el Consejo Superior en el mes de </w:t>
            </w:r>
            <w:r>
              <w:rPr>
                <w:rFonts w:ascii="Book Antiqua" w:hAnsi="Book Antiqua" w:cs="Arial"/>
                <w:sz w:val="20"/>
                <w:szCs w:val="20"/>
              </w:rPr>
              <w:t>diciembre</w:t>
            </w:r>
            <w:r w:rsidRPr="001B0773">
              <w:rPr>
                <w:rFonts w:ascii="Book Antiqua" w:hAnsi="Book Antiqua" w:cs="Arial"/>
                <w:sz w:val="20"/>
                <w:szCs w:val="20"/>
              </w:rPr>
              <w:t xml:space="preserve"> 2023.</w:t>
            </w:r>
          </w:p>
        </w:tc>
      </w:tr>
    </w:tbl>
    <w:p w14:paraId="72F493B8" w14:textId="446FD74E" w:rsidR="00FD779F" w:rsidRDefault="00FD779F" w:rsidP="00FD779F">
      <w:pPr>
        <w:pStyle w:val="Prrafodelista"/>
        <w:ind w:left="142"/>
        <w:jc w:val="both"/>
        <w:rPr>
          <w:rFonts w:ascii="Book Antiqua" w:hAnsi="Book Antiqua"/>
          <w:sz w:val="24"/>
          <w:szCs w:val="24"/>
          <w:highlight w:val="yellow"/>
        </w:rPr>
      </w:pPr>
    </w:p>
    <w:p w14:paraId="3FADED80" w14:textId="59A72B36" w:rsidR="00FD7841" w:rsidRDefault="00FD7841" w:rsidP="00E24FCA">
      <w:pPr>
        <w:pStyle w:val="Prrafodelista"/>
        <w:numPr>
          <w:ilvl w:val="1"/>
          <w:numId w:val="20"/>
        </w:numPr>
        <w:spacing w:after="0" w:line="240" w:lineRule="auto"/>
        <w:ind w:left="142" w:firstLine="0"/>
        <w:jc w:val="both"/>
        <w:rPr>
          <w:rFonts w:ascii="Book Antiqua" w:hAnsi="Book Antiqua"/>
          <w:sz w:val="24"/>
          <w:szCs w:val="24"/>
        </w:rPr>
      </w:pPr>
      <w:r>
        <w:rPr>
          <w:rFonts w:ascii="Book Antiqua" w:hAnsi="Book Antiqua"/>
          <w:sz w:val="24"/>
          <w:szCs w:val="24"/>
        </w:rPr>
        <w:t>S</w:t>
      </w:r>
      <w:r w:rsidRPr="003702A6">
        <w:rPr>
          <w:rFonts w:ascii="Book Antiqua" w:hAnsi="Book Antiqua"/>
          <w:sz w:val="24"/>
          <w:szCs w:val="24"/>
        </w:rPr>
        <w:t xml:space="preserve">e solicita </w:t>
      </w:r>
      <w:r>
        <w:rPr>
          <w:rFonts w:ascii="Book Antiqua" w:hAnsi="Book Antiqua"/>
          <w:sz w:val="24"/>
          <w:szCs w:val="24"/>
        </w:rPr>
        <w:t>aprobar modificación en el formulario</w:t>
      </w:r>
      <w:r w:rsidRPr="003702A6">
        <w:rPr>
          <w:rFonts w:ascii="Book Antiqua" w:hAnsi="Book Antiqua"/>
          <w:sz w:val="24"/>
          <w:szCs w:val="24"/>
        </w:rPr>
        <w:t xml:space="preserve"> denominado: </w:t>
      </w:r>
      <w:r w:rsidRPr="00364EA9">
        <w:rPr>
          <w:rFonts w:ascii="Book Antiqua" w:hAnsi="Book Antiqua"/>
          <w:sz w:val="24"/>
          <w:szCs w:val="24"/>
        </w:rPr>
        <w:t>“Justificación de PCGS para Proyectos”,</w:t>
      </w:r>
      <w:r>
        <w:rPr>
          <w:rFonts w:ascii="Book Antiqua" w:hAnsi="Book Antiqua"/>
          <w:sz w:val="24"/>
          <w:szCs w:val="24"/>
        </w:rPr>
        <w:t xml:space="preserve"> y recordar la utilización de este</w:t>
      </w:r>
      <w:r w:rsidRPr="003702A6">
        <w:rPr>
          <w:rFonts w:ascii="Book Antiqua" w:hAnsi="Book Antiqua"/>
          <w:sz w:val="24"/>
          <w:szCs w:val="24"/>
        </w:rPr>
        <w:t xml:space="preserve"> </w:t>
      </w:r>
      <w:r>
        <w:rPr>
          <w:rFonts w:ascii="Book Antiqua" w:hAnsi="Book Antiqua"/>
          <w:sz w:val="24"/>
          <w:szCs w:val="24"/>
        </w:rPr>
        <w:t xml:space="preserve">cuando se soliciten continuidad o nuevos permisos con goce salarial para los proyectos. </w:t>
      </w:r>
    </w:p>
    <w:p w14:paraId="1321145D" w14:textId="77777777" w:rsidR="007F4E05" w:rsidRDefault="007F4E05" w:rsidP="00FD779F">
      <w:pPr>
        <w:pStyle w:val="Prrafodelista"/>
        <w:ind w:left="142"/>
        <w:jc w:val="both"/>
        <w:rPr>
          <w:rFonts w:ascii="Book Antiqua" w:hAnsi="Book Antiqua"/>
          <w:sz w:val="24"/>
          <w:szCs w:val="24"/>
          <w:highlight w:val="yellow"/>
        </w:rPr>
      </w:pPr>
    </w:p>
    <w:bookmarkStart w:id="152" w:name="_MON_1749384778"/>
    <w:bookmarkEnd w:id="152"/>
    <w:p w14:paraId="59984C7A" w14:textId="1EC79582" w:rsidR="00FD7841" w:rsidRDefault="00FD7841" w:rsidP="00E24FCA">
      <w:pPr>
        <w:pStyle w:val="Prrafodelista"/>
        <w:ind w:left="142"/>
        <w:jc w:val="center"/>
        <w:rPr>
          <w:rFonts w:ascii="Book Antiqua" w:hAnsi="Book Antiqua"/>
          <w:sz w:val="24"/>
          <w:szCs w:val="24"/>
          <w:highlight w:val="yellow"/>
        </w:rPr>
      </w:pPr>
      <w:r>
        <w:object w:dxaOrig="1537" w:dyaOrig="997" w14:anchorId="76BF2A52">
          <v:shape id="_x0000_i1038" type="#_x0000_t75" style="width:77.25pt;height:51pt" o:ole="">
            <v:imagedata r:id="rId84" o:title=""/>
          </v:shape>
          <o:OLEObject Type="Embed" ProgID="Word.Document.12" ShapeID="_x0000_i1038" DrawAspect="Icon" ObjectID="_1749386370" r:id="rId85">
            <o:FieldCodes>\s</o:FieldCodes>
          </o:OLEObject>
        </w:object>
      </w:r>
    </w:p>
    <w:p w14:paraId="3D00E003" w14:textId="659E98FF" w:rsidR="00BD6172" w:rsidRDefault="00BD6172" w:rsidP="00FD779F">
      <w:pPr>
        <w:pStyle w:val="Prrafodelista"/>
        <w:ind w:left="142"/>
        <w:jc w:val="both"/>
        <w:rPr>
          <w:rFonts w:ascii="Book Antiqua" w:hAnsi="Book Antiqua"/>
          <w:sz w:val="24"/>
          <w:szCs w:val="24"/>
          <w:highlight w:val="yellow"/>
        </w:rPr>
      </w:pPr>
    </w:p>
    <w:p w14:paraId="4C9DFF4D" w14:textId="71246585" w:rsidR="005B5B60" w:rsidRDefault="005B5B60" w:rsidP="005B5B60">
      <w:pPr>
        <w:pStyle w:val="Prrafodelista"/>
        <w:numPr>
          <w:ilvl w:val="1"/>
          <w:numId w:val="20"/>
        </w:numPr>
        <w:spacing w:after="0" w:line="240" w:lineRule="auto"/>
        <w:ind w:left="142" w:firstLine="0"/>
        <w:jc w:val="both"/>
        <w:rPr>
          <w:rFonts w:ascii="Book Antiqua" w:hAnsi="Book Antiqua"/>
          <w:sz w:val="24"/>
          <w:szCs w:val="24"/>
        </w:rPr>
      </w:pPr>
      <w:r w:rsidRPr="005B5B60">
        <w:rPr>
          <w:rFonts w:ascii="Book Antiqua" w:hAnsi="Book Antiqua"/>
          <w:sz w:val="24"/>
          <w:szCs w:val="24"/>
        </w:rPr>
        <w:t>Aprobar que para el proyecto con código 0134-DGH-P02, denominado Implementación de un Sistema de Evaluación del Desempeño por Competencias, para las personas trabajadoras del Poder Judicial, los permisos para los puestos 352552, 371998, 371999, con la indicación de que seguirán siendo utilizados con la clase de Profesional 1.</w:t>
      </w:r>
    </w:p>
    <w:p w14:paraId="1C578871" w14:textId="77777777" w:rsidR="005B5B60" w:rsidRDefault="005B5B60" w:rsidP="005B5B60">
      <w:pPr>
        <w:pStyle w:val="Prrafodelista"/>
        <w:spacing w:after="0" w:line="240" w:lineRule="auto"/>
        <w:ind w:left="142"/>
        <w:jc w:val="both"/>
        <w:rPr>
          <w:rFonts w:ascii="Book Antiqua" w:hAnsi="Book Antiqua"/>
          <w:sz w:val="24"/>
          <w:szCs w:val="24"/>
        </w:rPr>
      </w:pPr>
    </w:p>
    <w:p w14:paraId="645377B6" w14:textId="651A2AE5" w:rsidR="005B5B60" w:rsidRDefault="005B5B60" w:rsidP="005B5B60">
      <w:pPr>
        <w:pStyle w:val="Prrafodelista"/>
        <w:numPr>
          <w:ilvl w:val="1"/>
          <w:numId w:val="20"/>
        </w:numPr>
        <w:spacing w:after="0" w:line="240" w:lineRule="auto"/>
        <w:ind w:left="142" w:firstLine="0"/>
        <w:jc w:val="both"/>
        <w:rPr>
          <w:rFonts w:ascii="Book Antiqua" w:hAnsi="Book Antiqua"/>
          <w:sz w:val="24"/>
          <w:szCs w:val="24"/>
        </w:rPr>
      </w:pPr>
      <w:r w:rsidRPr="005B5B60">
        <w:rPr>
          <w:rFonts w:ascii="Book Antiqua" w:hAnsi="Book Antiqua"/>
          <w:sz w:val="24"/>
          <w:szCs w:val="24"/>
        </w:rPr>
        <w:t>Las oficinas con números de puestos pendientes de confirmar deberán proporcionar la información de estos a las Direcciones de Planificación y de Gestión Humana para las respectivas actualizaciones de los controles y archivos.</w:t>
      </w:r>
    </w:p>
    <w:p w14:paraId="05982CA4" w14:textId="77777777" w:rsidR="005B5B60" w:rsidRPr="005B5B60" w:rsidRDefault="005B5B60" w:rsidP="005B5B60">
      <w:pPr>
        <w:pStyle w:val="Prrafodelista"/>
        <w:rPr>
          <w:rFonts w:ascii="Book Antiqua" w:hAnsi="Book Antiqua"/>
          <w:sz w:val="24"/>
          <w:szCs w:val="24"/>
        </w:rPr>
      </w:pPr>
    </w:p>
    <w:p w14:paraId="37EC76D9" w14:textId="77777777" w:rsidR="005B5B60" w:rsidRDefault="005B5B60" w:rsidP="005B5B60">
      <w:pPr>
        <w:pStyle w:val="Prrafodelista"/>
        <w:spacing w:after="0" w:line="240" w:lineRule="auto"/>
        <w:ind w:left="142"/>
        <w:jc w:val="both"/>
        <w:rPr>
          <w:rFonts w:ascii="Book Antiqua" w:hAnsi="Book Antiqua"/>
          <w:sz w:val="24"/>
          <w:szCs w:val="24"/>
        </w:rPr>
      </w:pPr>
    </w:p>
    <w:p w14:paraId="1BDB6C14" w14:textId="4BCDFFD3" w:rsidR="005B5B60" w:rsidRDefault="005B5B60" w:rsidP="005B5B60">
      <w:pPr>
        <w:pStyle w:val="Prrafodelista"/>
        <w:numPr>
          <w:ilvl w:val="1"/>
          <w:numId w:val="20"/>
        </w:numPr>
        <w:spacing w:after="0" w:line="240" w:lineRule="auto"/>
        <w:ind w:left="142" w:firstLine="0"/>
        <w:jc w:val="both"/>
        <w:rPr>
          <w:rFonts w:ascii="Book Antiqua" w:hAnsi="Book Antiqua"/>
          <w:sz w:val="24"/>
          <w:szCs w:val="24"/>
        </w:rPr>
      </w:pPr>
      <w:r w:rsidRPr="005B5B60">
        <w:rPr>
          <w:rFonts w:ascii="Book Antiqua" w:hAnsi="Book Antiqua"/>
          <w:sz w:val="24"/>
          <w:szCs w:val="24"/>
        </w:rPr>
        <w:lastRenderedPageBreak/>
        <w:t xml:space="preserve"> En caso de que los despachos y oficinas líderes, que tienen asignados permisos bajo el amparo del artículo 44 de la Ley Orgánica del Poder Judicial para proyectos de interés institucional, realicen cambios de número de puesto en los diferentes proyectos, deberán realizar la solicitud de forma expedita a este Consejo Superior y remitir la documentación de lo acordado a las Direcciones de Gestión Humana y de Planificación; con el fin de realizar las actualizaciones en los controles de los permisos, aplicar el debido proceso y afectar lo menos posible el pago de los servidores sustitutos. </w:t>
      </w:r>
    </w:p>
    <w:p w14:paraId="38DC2336" w14:textId="77777777" w:rsidR="005B5B60" w:rsidRDefault="005B5B60" w:rsidP="005B5B60">
      <w:pPr>
        <w:pStyle w:val="Prrafodelista"/>
        <w:spacing w:after="0" w:line="240" w:lineRule="auto"/>
        <w:ind w:left="142"/>
        <w:jc w:val="both"/>
        <w:rPr>
          <w:rFonts w:ascii="Book Antiqua" w:hAnsi="Book Antiqua"/>
          <w:sz w:val="24"/>
          <w:szCs w:val="24"/>
        </w:rPr>
      </w:pPr>
    </w:p>
    <w:p w14:paraId="6343A6F8" w14:textId="1EC6F7E6" w:rsidR="005E78A0" w:rsidRDefault="005B5B60" w:rsidP="00DA4C2B">
      <w:pPr>
        <w:pStyle w:val="Prrafodelista"/>
        <w:numPr>
          <w:ilvl w:val="1"/>
          <w:numId w:val="20"/>
        </w:numPr>
        <w:spacing w:after="0" w:line="240" w:lineRule="auto"/>
        <w:ind w:left="142" w:firstLine="0"/>
        <w:jc w:val="both"/>
        <w:rPr>
          <w:rFonts w:ascii="Book Antiqua" w:hAnsi="Book Antiqua"/>
          <w:sz w:val="24"/>
          <w:szCs w:val="24"/>
        </w:rPr>
      </w:pPr>
      <w:r w:rsidRPr="005B5B60">
        <w:rPr>
          <w:rFonts w:ascii="Book Antiqua" w:hAnsi="Book Antiqua"/>
          <w:sz w:val="24"/>
          <w:szCs w:val="24"/>
        </w:rPr>
        <w:t>Las oficinas que deban realizar cambios de número de puestos y en los cuales se evidencia una variación en la clase del puesto, deberán presentar la gestión ante la Dirección de Planificación y ante este Órgano Superior con las justificaciones pertinentes, para iniciar el proceso de valoración y estimación del nuevo costo, así como la verificación de disponibilidad presupuestaria</w:t>
      </w:r>
      <w:r w:rsidR="00274F0D">
        <w:rPr>
          <w:rFonts w:ascii="Book Antiqua" w:hAnsi="Book Antiqua"/>
          <w:sz w:val="24"/>
          <w:szCs w:val="24"/>
        </w:rPr>
        <w:t>.</w:t>
      </w:r>
    </w:p>
    <w:p w14:paraId="2FAE3B46" w14:textId="77777777" w:rsidR="00DA4C2B" w:rsidRPr="00DA4C2B" w:rsidRDefault="00DA4C2B" w:rsidP="00EF4E17">
      <w:pPr>
        <w:pStyle w:val="Prrafodelista"/>
        <w:rPr>
          <w:rStyle w:val="normaltextrun"/>
          <w:rFonts w:ascii="Book Antiqua" w:hAnsi="Book Antiqua"/>
          <w:sz w:val="24"/>
          <w:szCs w:val="24"/>
        </w:rPr>
      </w:pPr>
    </w:p>
    <w:p w14:paraId="4CAF437D" w14:textId="633BE706" w:rsidR="00AA3DED" w:rsidRPr="00502FCE" w:rsidRDefault="00DA4C2B" w:rsidP="00EF4E17">
      <w:pPr>
        <w:pStyle w:val="Prrafodelista"/>
        <w:numPr>
          <w:ilvl w:val="1"/>
          <w:numId w:val="20"/>
        </w:numPr>
        <w:spacing w:after="0" w:line="240" w:lineRule="auto"/>
        <w:ind w:left="142" w:firstLine="0"/>
        <w:jc w:val="both"/>
        <w:rPr>
          <w:rFonts w:ascii="Book Antiqua" w:eastAsia="Wingdings" w:hAnsi="Book Antiqua"/>
          <w:sz w:val="24"/>
          <w:szCs w:val="24"/>
          <w:lang w:eastAsia="ko-KR"/>
        </w:rPr>
      </w:pPr>
      <w:r w:rsidRPr="00502FCE">
        <w:rPr>
          <w:rStyle w:val="normaltextrun"/>
          <w:rFonts w:ascii="Book Antiqua" w:hAnsi="Book Antiqua"/>
          <w:sz w:val="24"/>
          <w:szCs w:val="24"/>
        </w:rPr>
        <w:t>No</w:t>
      </w:r>
      <w:r w:rsidRPr="00AA3DED">
        <w:rPr>
          <w:rStyle w:val="normaltextrun"/>
          <w:rFonts w:ascii="Book Antiqua" w:hAnsi="Book Antiqua"/>
          <w:sz w:val="24"/>
          <w:szCs w:val="24"/>
        </w:rPr>
        <w:t xml:space="preserve"> se recomienda la aprobación de</w:t>
      </w:r>
      <w:r w:rsidR="00BB3F65" w:rsidRPr="00AA3DED">
        <w:rPr>
          <w:rStyle w:val="normaltextrun"/>
          <w:rFonts w:ascii="Book Antiqua" w:hAnsi="Book Antiqua"/>
          <w:sz w:val="24"/>
          <w:szCs w:val="24"/>
        </w:rPr>
        <w:t xml:space="preserve">l siguiente </w:t>
      </w:r>
      <w:r w:rsidRPr="00AA3DED">
        <w:rPr>
          <w:rStyle w:val="normaltextrun"/>
          <w:rFonts w:ascii="Book Antiqua" w:hAnsi="Book Antiqua"/>
          <w:sz w:val="24"/>
          <w:szCs w:val="24"/>
        </w:rPr>
        <w:t>permiso</w:t>
      </w:r>
      <w:r w:rsidR="00BB3F65" w:rsidRPr="00AA3DED">
        <w:rPr>
          <w:rStyle w:val="normaltextrun"/>
          <w:rFonts w:ascii="Book Antiqua" w:hAnsi="Book Antiqua"/>
          <w:sz w:val="24"/>
          <w:szCs w:val="24"/>
        </w:rPr>
        <w:t xml:space="preserve"> debido a que </w:t>
      </w:r>
      <w:r w:rsidR="003222DA" w:rsidRPr="00AA3DED">
        <w:rPr>
          <w:rStyle w:val="normaltextrun"/>
          <w:rFonts w:ascii="Book Antiqua" w:hAnsi="Book Antiqua"/>
          <w:sz w:val="24"/>
          <w:szCs w:val="24"/>
        </w:rPr>
        <w:t xml:space="preserve">el rendimiento reflejado en el </w:t>
      </w:r>
      <w:r w:rsidR="003222DA" w:rsidRPr="00502FCE">
        <w:rPr>
          <w:rStyle w:val="normaltextrun"/>
          <w:rFonts w:ascii="Book Antiqua" w:hAnsi="Book Antiqua"/>
          <w:sz w:val="24"/>
          <w:szCs w:val="24"/>
        </w:rPr>
        <w:t>seguimiento fue deficiente dado que</w:t>
      </w:r>
      <w:r w:rsidR="003222DA" w:rsidRPr="00EF4E17">
        <w:rPr>
          <w:rStyle w:val="normaltextrun"/>
          <w:rFonts w:ascii="Book Antiqua" w:hAnsi="Book Antiqua"/>
          <w:sz w:val="24"/>
          <w:szCs w:val="24"/>
        </w:rPr>
        <w:t>  alcanz</w:t>
      </w:r>
      <w:r w:rsidR="003222DA" w:rsidRPr="00502FCE">
        <w:rPr>
          <w:rStyle w:val="normaltextrun"/>
          <w:rFonts w:ascii="Book Antiqua" w:hAnsi="Book Antiqua"/>
          <w:sz w:val="24"/>
          <w:szCs w:val="24"/>
        </w:rPr>
        <w:t>ó</w:t>
      </w:r>
      <w:r w:rsidR="003222DA" w:rsidRPr="00EF4E17">
        <w:rPr>
          <w:rStyle w:val="normaltextrun"/>
          <w:rFonts w:ascii="Book Antiqua" w:hAnsi="Book Antiqua"/>
          <w:sz w:val="24"/>
          <w:szCs w:val="24"/>
        </w:rPr>
        <w:t xml:space="preserve"> un avance del 28 % de la meta propuesta, </w:t>
      </w:r>
      <w:r w:rsidR="003222DA" w:rsidRPr="00502FCE">
        <w:rPr>
          <w:rStyle w:val="normaltextrun"/>
          <w:rFonts w:ascii="Book Antiqua" w:hAnsi="Book Antiqua"/>
          <w:sz w:val="24"/>
          <w:szCs w:val="24"/>
        </w:rPr>
        <w:t xml:space="preserve">por lo que </w:t>
      </w:r>
      <w:r w:rsidR="003222DA" w:rsidRPr="00EF4E17">
        <w:rPr>
          <w:rStyle w:val="normaltextrun"/>
          <w:rFonts w:ascii="Book Antiqua" w:hAnsi="Book Antiqua"/>
          <w:sz w:val="24"/>
          <w:szCs w:val="24"/>
        </w:rPr>
        <w:t>se recomienda no aprobar la continuidad del permiso con goce de salario de un  Juez 3</w:t>
      </w:r>
      <w:r w:rsidR="0097342D" w:rsidRPr="00502FCE">
        <w:rPr>
          <w:rStyle w:val="normaltextrun"/>
          <w:rFonts w:ascii="Book Antiqua" w:hAnsi="Book Antiqua"/>
          <w:sz w:val="24"/>
          <w:szCs w:val="24"/>
        </w:rPr>
        <w:t xml:space="preserve"> para la labor operativa </w:t>
      </w:r>
      <w:r w:rsidR="0097342D" w:rsidRPr="00EF4E17">
        <w:rPr>
          <w:rStyle w:val="normaltextrun"/>
          <w:rFonts w:ascii="Book Antiqua" w:hAnsi="Book Antiqua"/>
          <w:sz w:val="24"/>
          <w:szCs w:val="24"/>
        </w:rPr>
        <w:t>1324-CACMFJ-P04 Planes de Descongestionamiento de Materia Notarial</w:t>
      </w:r>
      <w:r w:rsidR="0097342D" w:rsidRPr="00502FCE">
        <w:rPr>
          <w:rStyle w:val="normaltextrun"/>
          <w:rFonts w:ascii="Book Antiqua" w:hAnsi="Book Antiqua"/>
          <w:sz w:val="24"/>
          <w:szCs w:val="24"/>
        </w:rPr>
        <w:t xml:space="preserve">. </w:t>
      </w:r>
      <w:r w:rsidR="001A51D0" w:rsidRPr="00502FCE">
        <w:rPr>
          <w:rStyle w:val="normaltextrun"/>
          <w:rFonts w:ascii="Book Antiqua" w:hAnsi="Book Antiqua"/>
          <w:sz w:val="24"/>
          <w:szCs w:val="24"/>
        </w:rPr>
        <w:t>A su vez, e</w:t>
      </w:r>
      <w:r w:rsidR="0097342D" w:rsidRPr="00502FCE">
        <w:rPr>
          <w:rStyle w:val="normaltextrun"/>
          <w:rFonts w:ascii="Book Antiqua" w:hAnsi="Book Antiqua"/>
          <w:sz w:val="24"/>
          <w:szCs w:val="24"/>
        </w:rPr>
        <w:t xml:space="preserve">n el caso de </w:t>
      </w:r>
      <w:r w:rsidR="0097342D" w:rsidRPr="00EF4E17">
        <w:rPr>
          <w:rStyle w:val="normaltextrun"/>
          <w:rFonts w:ascii="Book Antiqua" w:hAnsi="Book Antiqua"/>
          <w:sz w:val="24"/>
          <w:szCs w:val="24"/>
        </w:rPr>
        <w:t xml:space="preserve">1324-CACMFJ-P07 Plan de Atención de los asuntos de ejecución de trámite del circulante del Área Ejecución del Tribunal Contencioso, se solicitaron 3 </w:t>
      </w:r>
      <w:r w:rsidR="0097342D" w:rsidRPr="00502FCE">
        <w:rPr>
          <w:rStyle w:val="normaltextrun"/>
          <w:rFonts w:ascii="Book Antiqua" w:hAnsi="Book Antiqua"/>
          <w:sz w:val="24"/>
          <w:szCs w:val="24"/>
        </w:rPr>
        <w:t>Técnicos</w:t>
      </w:r>
      <w:r w:rsidR="0097342D" w:rsidRPr="00EF4E17">
        <w:rPr>
          <w:rStyle w:val="normaltextrun"/>
          <w:rFonts w:ascii="Book Antiqua" w:hAnsi="Book Antiqua"/>
          <w:sz w:val="24"/>
          <w:szCs w:val="24"/>
        </w:rPr>
        <w:t xml:space="preserve"> Judiciales 3, sin embargo, </w:t>
      </w:r>
      <w:r w:rsidR="0097342D" w:rsidRPr="00502FCE">
        <w:rPr>
          <w:rStyle w:val="normaltextrun"/>
          <w:rFonts w:ascii="Book Antiqua" w:hAnsi="Book Antiqua"/>
          <w:sz w:val="24"/>
          <w:szCs w:val="24"/>
        </w:rPr>
        <w:t xml:space="preserve">debido a </w:t>
      </w:r>
      <w:r w:rsidR="00AA3DED" w:rsidRPr="00502FCE">
        <w:rPr>
          <w:rStyle w:val="normaltextrun"/>
          <w:rFonts w:ascii="Book Antiqua" w:hAnsi="Book Antiqua"/>
          <w:sz w:val="24"/>
          <w:szCs w:val="24"/>
        </w:rPr>
        <w:t xml:space="preserve">las </w:t>
      </w:r>
      <w:r w:rsidR="0097342D" w:rsidRPr="00502FCE">
        <w:rPr>
          <w:rStyle w:val="normaltextrun"/>
          <w:rFonts w:ascii="Book Antiqua" w:hAnsi="Book Antiqua"/>
          <w:sz w:val="24"/>
          <w:szCs w:val="24"/>
        </w:rPr>
        <w:t>limitaciones y</w:t>
      </w:r>
      <w:r w:rsidR="0097342D" w:rsidRPr="00EF4E17">
        <w:rPr>
          <w:rStyle w:val="normaltextrun"/>
          <w:rFonts w:ascii="Book Antiqua" w:hAnsi="Book Antiqua"/>
          <w:sz w:val="24"/>
          <w:szCs w:val="24"/>
        </w:rPr>
        <w:t xml:space="preserve"> no crecimiento </w:t>
      </w:r>
      <w:r w:rsidR="0097342D" w:rsidRPr="00502FCE">
        <w:rPr>
          <w:rStyle w:val="normaltextrun"/>
          <w:rFonts w:ascii="Book Antiqua" w:hAnsi="Book Antiqua"/>
          <w:sz w:val="24"/>
          <w:szCs w:val="24"/>
        </w:rPr>
        <w:t xml:space="preserve">en el </w:t>
      </w:r>
      <w:r w:rsidR="0097342D" w:rsidRPr="00EF4E17">
        <w:rPr>
          <w:rStyle w:val="normaltextrun"/>
          <w:rFonts w:ascii="Book Antiqua" w:hAnsi="Book Antiqua"/>
          <w:sz w:val="24"/>
          <w:szCs w:val="24"/>
        </w:rPr>
        <w:t xml:space="preserve"> </w:t>
      </w:r>
      <w:r w:rsidR="00AA3DED" w:rsidRPr="00502FCE">
        <w:rPr>
          <w:rStyle w:val="normaltextrun"/>
          <w:rFonts w:ascii="Book Antiqua" w:hAnsi="Book Antiqua"/>
          <w:sz w:val="24"/>
          <w:szCs w:val="24"/>
        </w:rPr>
        <w:t xml:space="preserve">límite </w:t>
      </w:r>
      <w:r w:rsidR="0097342D" w:rsidRPr="00EF4E17">
        <w:rPr>
          <w:rStyle w:val="normaltextrun"/>
          <w:rFonts w:ascii="Book Antiqua" w:hAnsi="Book Antiqua"/>
          <w:sz w:val="24"/>
          <w:szCs w:val="24"/>
        </w:rPr>
        <w:t xml:space="preserve">presupuestario se recomienda la asignación de 2 </w:t>
      </w:r>
      <w:r w:rsidR="00AA3DED" w:rsidRPr="00502FCE">
        <w:rPr>
          <w:rStyle w:val="normaltextrun"/>
          <w:rFonts w:ascii="Book Antiqua" w:hAnsi="Book Antiqua"/>
          <w:sz w:val="24"/>
          <w:szCs w:val="24"/>
        </w:rPr>
        <w:t>T</w:t>
      </w:r>
      <w:r w:rsidR="0097342D" w:rsidRPr="00502FCE">
        <w:rPr>
          <w:rStyle w:val="normaltextrun"/>
          <w:rFonts w:ascii="Book Antiqua" w:hAnsi="Book Antiqua"/>
          <w:sz w:val="24"/>
          <w:szCs w:val="24"/>
        </w:rPr>
        <w:t>écnicos</w:t>
      </w:r>
      <w:r w:rsidR="0097342D" w:rsidRPr="00EF4E17">
        <w:rPr>
          <w:rStyle w:val="normaltextrun"/>
          <w:rFonts w:ascii="Book Antiqua" w:hAnsi="Book Antiqua"/>
          <w:sz w:val="24"/>
          <w:szCs w:val="24"/>
        </w:rPr>
        <w:t xml:space="preserve"> Judiciales 3.</w:t>
      </w:r>
      <w:r w:rsidR="00AA3DED" w:rsidRPr="00502FCE">
        <w:rPr>
          <w:rStyle w:val="normaltextrun"/>
          <w:rFonts w:ascii="Book Antiqua" w:hAnsi="Book Antiqua"/>
          <w:sz w:val="24"/>
          <w:szCs w:val="24"/>
        </w:rPr>
        <w:t xml:space="preserve"> Cabe destacar que del presente informe se excluye el seguimiento y prórroga de plaza de Asistente Administrativo</w:t>
      </w:r>
      <w:r w:rsidR="001A51D0" w:rsidRPr="00502FCE">
        <w:rPr>
          <w:rStyle w:val="normaltextrun"/>
          <w:rFonts w:ascii="Book Antiqua" w:hAnsi="Book Antiqua"/>
          <w:sz w:val="24"/>
          <w:szCs w:val="24"/>
        </w:rPr>
        <w:t xml:space="preserve"> 1</w:t>
      </w:r>
      <w:r w:rsidR="00AA3DED" w:rsidRPr="00502FCE">
        <w:rPr>
          <w:rStyle w:val="normaltextrun"/>
          <w:rFonts w:ascii="Book Antiqua" w:hAnsi="Book Antiqua"/>
          <w:sz w:val="24"/>
          <w:szCs w:val="24"/>
        </w:rPr>
        <w:t xml:space="preserve"> de </w:t>
      </w:r>
      <w:r w:rsidR="00AA3DED" w:rsidRPr="00EF4E17">
        <w:rPr>
          <w:rStyle w:val="normaltextrun"/>
          <w:rFonts w:ascii="Book Antiqua" w:hAnsi="Book Antiqua"/>
        </w:rPr>
        <w:t>Junta Administradora del Fondo de Jubilaciones y Pensiones del Poder Judicial</w:t>
      </w:r>
      <w:r w:rsidR="00AA3DED" w:rsidRPr="00502FCE">
        <w:rPr>
          <w:rStyle w:val="normaltextrun"/>
          <w:rFonts w:ascii="Book Antiqua" w:hAnsi="Book Antiqua"/>
          <w:sz w:val="24"/>
          <w:szCs w:val="24"/>
        </w:rPr>
        <w:t xml:space="preserve">, en </w:t>
      </w:r>
      <w:r w:rsidR="00AA3DED" w:rsidRPr="00EF4E17">
        <w:rPr>
          <w:rStyle w:val="normaltextrun"/>
          <w:rFonts w:ascii="Book Antiqua" w:hAnsi="Book Antiqua"/>
        </w:rPr>
        <w:t xml:space="preserve">cuanto al permiso con goce de salario aprobado para atender la Ventanilla de Atención al Público, ubicada temporalmente en la primera planta del Edificio del OIJ, es importe indicar que fue aprobado por esa estimable Junta Administradora en sesión N.°40-2022 del pasado 18 de octubre de 2022, artículo XVII, </w:t>
      </w:r>
      <w:r w:rsidR="00357D7E" w:rsidRPr="00EF4E17">
        <w:rPr>
          <w:rStyle w:val="normaltextrun"/>
          <w:rFonts w:ascii="Book Antiqua" w:hAnsi="Book Antiqua"/>
        </w:rPr>
        <w:t xml:space="preserve"> y a su vez, la</w:t>
      </w:r>
      <w:r w:rsidR="00AA3DED" w:rsidRPr="00EF4E17">
        <w:rPr>
          <w:rStyle w:val="normaltextrun"/>
          <w:rFonts w:ascii="Book Antiqua" w:hAnsi="Book Antiqua"/>
        </w:rPr>
        <w:t xml:space="preserve"> JUNAFO aprobó la prórroga del permiso con goce de salario del puesto de Asistente Administrativo 1, plaza N° 15825, relacionado a la labor operativa Ventanilla de Atención al Público a partir del 01 de agosto de 2023 hasta el último día hábil establecido para el periodo 2023, según el acuerdo de la sesión N° 022-2023 celebrada el 30 de mayo de 2023, artículo</w:t>
      </w:r>
      <w:r w:rsidR="00AA3DED" w:rsidRPr="00502FCE">
        <w:rPr>
          <w:rFonts w:ascii="Book Antiqua" w:eastAsia="Wingdings" w:hAnsi="Book Antiqua"/>
          <w:sz w:val="24"/>
          <w:szCs w:val="24"/>
          <w:lang w:eastAsia="ko-KR"/>
        </w:rPr>
        <w:t xml:space="preserve"> IX, por lo tanto, ese PCGS no se incluye dentro del análisis de prórroga, ni se realiza el seguimiento operativo.</w:t>
      </w:r>
    </w:p>
    <w:p w14:paraId="251FFD81" w14:textId="77777777" w:rsidR="0097342D" w:rsidRPr="0097342D" w:rsidRDefault="0097342D" w:rsidP="00EF4E17">
      <w:pPr>
        <w:pStyle w:val="Prrafodelista"/>
        <w:rPr>
          <w:rStyle w:val="normaltextrun"/>
          <w:rFonts w:ascii="Book Antiqua" w:hAnsi="Book Antiqua"/>
          <w:sz w:val="24"/>
          <w:szCs w:val="24"/>
        </w:rPr>
      </w:pPr>
    </w:p>
    <w:p w14:paraId="56375E0D" w14:textId="77777777" w:rsidR="0097342D" w:rsidRDefault="0097342D" w:rsidP="00EF4E17">
      <w:pPr>
        <w:pStyle w:val="Prrafodelista"/>
        <w:spacing w:after="0" w:line="240" w:lineRule="auto"/>
        <w:ind w:left="142"/>
        <w:jc w:val="both"/>
        <w:rPr>
          <w:rStyle w:val="normaltextrun"/>
          <w:rFonts w:ascii="Book Antiqua" w:hAnsi="Book Antiqua"/>
          <w:sz w:val="24"/>
          <w:szCs w:val="24"/>
        </w:rPr>
      </w:pPr>
    </w:p>
    <w:p w14:paraId="22D659C8" w14:textId="77777777" w:rsidR="008928D5" w:rsidRPr="00FD779F" w:rsidRDefault="008928D5" w:rsidP="00FD779F">
      <w:pPr>
        <w:pStyle w:val="Prrafodelista"/>
        <w:ind w:left="142"/>
        <w:jc w:val="both"/>
        <w:rPr>
          <w:rFonts w:ascii="Book Antiqua" w:hAnsi="Book Antiqua"/>
          <w:sz w:val="24"/>
          <w:szCs w:val="24"/>
          <w:highlight w:val="yellow"/>
        </w:rPr>
      </w:pPr>
    </w:p>
    <w:p w14:paraId="216E47B7" w14:textId="77777777" w:rsidR="009F15D7" w:rsidRPr="008F2C56" w:rsidRDefault="009F15D7" w:rsidP="009F15D7">
      <w:pPr>
        <w:pStyle w:val="Ttulo2"/>
        <w:spacing w:before="0"/>
        <w:ind w:left="142"/>
        <w:rPr>
          <w:rFonts w:ascii="Book Antiqua" w:hAnsi="Book Antiqua"/>
          <w:b/>
          <w:sz w:val="24"/>
          <w:szCs w:val="24"/>
        </w:rPr>
      </w:pPr>
      <w:bookmarkStart w:id="153" w:name="_Toc131160599"/>
      <w:bookmarkStart w:id="154" w:name="_Toc138770883"/>
      <w:r w:rsidRPr="00364EA9">
        <w:rPr>
          <w:rFonts w:ascii="Book Antiqua" w:hAnsi="Book Antiqua"/>
          <w:b/>
          <w:color w:val="auto"/>
          <w:sz w:val="24"/>
          <w:szCs w:val="24"/>
        </w:rPr>
        <w:lastRenderedPageBreak/>
        <w:t>A todas las Oficinas líderes o responsables de proyectos estratégicos:</w:t>
      </w:r>
      <w:bookmarkEnd w:id="153"/>
      <w:bookmarkEnd w:id="154"/>
    </w:p>
    <w:p w14:paraId="1EC1F7B2" w14:textId="77777777" w:rsidR="009F15D7" w:rsidRPr="008F2C56" w:rsidRDefault="009F15D7" w:rsidP="009F15D7">
      <w:pPr>
        <w:spacing w:after="0" w:line="240" w:lineRule="auto"/>
        <w:ind w:left="142"/>
        <w:rPr>
          <w:rFonts w:ascii="Book Antiqua" w:hAnsi="Book Antiqua"/>
          <w:b/>
        </w:rPr>
      </w:pPr>
    </w:p>
    <w:p w14:paraId="124834B2" w14:textId="0683AAE1" w:rsidR="009F15D7" w:rsidRPr="009F15D7" w:rsidRDefault="009F15D7" w:rsidP="00155AE5">
      <w:pPr>
        <w:pStyle w:val="Prrafodelista"/>
        <w:numPr>
          <w:ilvl w:val="1"/>
          <w:numId w:val="20"/>
        </w:numPr>
        <w:spacing w:after="0" w:line="240" w:lineRule="auto"/>
        <w:ind w:left="142" w:firstLine="0"/>
        <w:jc w:val="both"/>
        <w:rPr>
          <w:rFonts w:ascii="Book Antiqua" w:hAnsi="Book Antiqua"/>
          <w:sz w:val="24"/>
          <w:szCs w:val="24"/>
        </w:rPr>
      </w:pPr>
      <w:r w:rsidRPr="009F15D7">
        <w:rPr>
          <w:rFonts w:ascii="Book Antiqua" w:hAnsi="Book Antiqua"/>
          <w:sz w:val="24"/>
          <w:szCs w:val="24"/>
        </w:rPr>
        <w:t>Se les recuerda a las oficinas y personas líderes de proyectos estratégicos tener presente los plazos previamente definidos, a fin de evitar retrasos en la presentación de la documentación, para valoración por parte del Consejo Superior.</w:t>
      </w:r>
    </w:p>
    <w:p w14:paraId="771A39A6" w14:textId="77777777" w:rsidR="009F15D7" w:rsidRPr="008F2C56" w:rsidRDefault="009F15D7" w:rsidP="009F15D7">
      <w:pPr>
        <w:spacing w:after="0" w:line="240" w:lineRule="auto"/>
        <w:ind w:left="142"/>
        <w:contextualSpacing/>
        <w:jc w:val="both"/>
        <w:rPr>
          <w:rFonts w:ascii="Book Antiqua" w:hAnsi="Book Antiqua"/>
          <w:sz w:val="24"/>
          <w:szCs w:val="24"/>
        </w:rPr>
      </w:pPr>
    </w:p>
    <w:p w14:paraId="44227CDB" w14:textId="7A9FFF8F" w:rsidR="009F15D7" w:rsidRPr="00364EA9" w:rsidRDefault="009F15D7" w:rsidP="00155AE5">
      <w:pPr>
        <w:pStyle w:val="Prrafodelista"/>
        <w:numPr>
          <w:ilvl w:val="1"/>
          <w:numId w:val="20"/>
        </w:numPr>
        <w:tabs>
          <w:tab w:val="left" w:pos="426"/>
        </w:tabs>
        <w:spacing w:after="0" w:line="240" w:lineRule="auto"/>
        <w:ind w:left="142" w:firstLine="0"/>
        <w:jc w:val="both"/>
        <w:rPr>
          <w:rFonts w:ascii="Book Antiqua" w:hAnsi="Book Antiqua"/>
          <w:sz w:val="24"/>
          <w:szCs w:val="24"/>
        </w:rPr>
      </w:pPr>
      <w:r w:rsidRPr="00364EA9">
        <w:rPr>
          <w:rFonts w:ascii="Book Antiqua" w:hAnsi="Book Antiqua"/>
          <w:sz w:val="24"/>
          <w:szCs w:val="24"/>
        </w:rPr>
        <w:t>Se les indica a todas las personas líderes de proyectos estratégicos  acatar los procedimientos expuestos en los manuales que facilita la Unidad Estratégica de Portafolio de Proyectos Institucional y que pueden ser consultados en la página electrónica de la Dirección de Planificación (</w:t>
      </w:r>
      <w:hyperlink r:id="rId86" w:history="1">
        <w:r w:rsidRPr="00364EA9">
          <w:rPr>
            <w:rFonts w:ascii="Book Antiqua" w:hAnsi="Book Antiqua"/>
            <w:color w:val="0563C1"/>
            <w:sz w:val="24"/>
            <w:szCs w:val="24"/>
            <w:u w:val="single"/>
          </w:rPr>
          <w:t>https://planificacion.poder-judicial.go.cr/index.php/estrategia/portafolio-de-proyectos-estrategicos</w:t>
        </w:r>
      </w:hyperlink>
      <w:r w:rsidRPr="00364EA9">
        <w:rPr>
          <w:rFonts w:ascii="Book Antiqua" w:hAnsi="Book Antiqua"/>
          <w:sz w:val="24"/>
          <w:szCs w:val="24"/>
        </w:rPr>
        <w:t xml:space="preserve">). </w:t>
      </w:r>
    </w:p>
    <w:p w14:paraId="7A1CB898" w14:textId="77777777" w:rsidR="009F15D7" w:rsidRPr="008F2C56" w:rsidRDefault="009F15D7" w:rsidP="00BD6172">
      <w:pPr>
        <w:spacing w:after="0" w:line="240" w:lineRule="auto"/>
        <w:ind w:left="142"/>
        <w:contextualSpacing/>
        <w:jc w:val="both"/>
        <w:rPr>
          <w:rFonts w:ascii="Book Antiqua" w:hAnsi="Book Antiqua"/>
          <w:sz w:val="24"/>
          <w:szCs w:val="24"/>
        </w:rPr>
      </w:pPr>
    </w:p>
    <w:p w14:paraId="3AE293A8" w14:textId="77777777" w:rsidR="009F15D7" w:rsidRDefault="009F15D7" w:rsidP="00155AE5">
      <w:pPr>
        <w:numPr>
          <w:ilvl w:val="1"/>
          <w:numId w:val="20"/>
        </w:numPr>
        <w:tabs>
          <w:tab w:val="left" w:pos="284"/>
          <w:tab w:val="left" w:pos="426"/>
        </w:tabs>
        <w:spacing w:after="0" w:line="240" w:lineRule="auto"/>
        <w:ind w:left="142" w:firstLine="0"/>
        <w:jc w:val="both"/>
        <w:rPr>
          <w:rFonts w:ascii="Book Antiqua" w:hAnsi="Book Antiqua"/>
          <w:sz w:val="24"/>
          <w:szCs w:val="24"/>
        </w:rPr>
      </w:pPr>
      <w:r w:rsidRPr="008F2C56">
        <w:rPr>
          <w:rFonts w:ascii="Book Antiqua" w:hAnsi="Book Antiqua"/>
          <w:sz w:val="24"/>
          <w:szCs w:val="24"/>
        </w:rPr>
        <w:t>A todas las oficinas líderes de proyectos estratégicos, tener presente las fechas de presentación de los próximos informes de avance correspondientes al periodo 2023, tal y como se detalla en la siguiente tabla:</w:t>
      </w:r>
    </w:p>
    <w:tbl>
      <w:tblPr>
        <w:tblStyle w:val="Tablaconcuadrcula"/>
        <w:tblW w:w="10191" w:type="dxa"/>
        <w:tblInd w:w="-289" w:type="dxa"/>
        <w:tblLook w:val="04A0" w:firstRow="1" w:lastRow="0" w:firstColumn="1" w:lastColumn="0" w:noHBand="0" w:noVBand="1"/>
      </w:tblPr>
      <w:tblGrid>
        <w:gridCol w:w="616"/>
        <w:gridCol w:w="1688"/>
        <w:gridCol w:w="1399"/>
        <w:gridCol w:w="1836"/>
        <w:gridCol w:w="1835"/>
        <w:gridCol w:w="2817"/>
      </w:tblGrid>
      <w:tr w:rsidR="009872F5" w:rsidRPr="008F2C56" w14:paraId="5F040322" w14:textId="77777777" w:rsidTr="00301740">
        <w:trPr>
          <w:trHeight w:val="913"/>
        </w:trPr>
        <w:tc>
          <w:tcPr>
            <w:tcW w:w="616" w:type="dxa"/>
            <w:shd w:val="clear" w:color="auto" w:fill="F2F2F2" w:themeFill="background1" w:themeFillShade="F2"/>
            <w:vAlign w:val="center"/>
          </w:tcPr>
          <w:p w14:paraId="57E2FA06" w14:textId="77777777" w:rsidR="00BD6172" w:rsidRPr="008F2C56" w:rsidRDefault="00BD6172" w:rsidP="00F400D6">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Año</w:t>
            </w:r>
          </w:p>
        </w:tc>
        <w:tc>
          <w:tcPr>
            <w:tcW w:w="1688" w:type="dxa"/>
            <w:shd w:val="clear" w:color="auto" w:fill="F2F2F2" w:themeFill="background1" w:themeFillShade="F2"/>
            <w:vAlign w:val="center"/>
          </w:tcPr>
          <w:p w14:paraId="399EAA72" w14:textId="77777777" w:rsidR="00BD6172" w:rsidRPr="008F2C56" w:rsidRDefault="00BD6172" w:rsidP="00F400D6">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Informe</w:t>
            </w:r>
          </w:p>
        </w:tc>
        <w:tc>
          <w:tcPr>
            <w:tcW w:w="1399" w:type="dxa"/>
            <w:shd w:val="clear" w:color="auto" w:fill="F2F2F2" w:themeFill="background1" w:themeFillShade="F2"/>
            <w:vAlign w:val="center"/>
          </w:tcPr>
          <w:p w14:paraId="16FDB155" w14:textId="77777777" w:rsidR="00BD6172" w:rsidRPr="008F2C56" w:rsidRDefault="00BD6172" w:rsidP="00F400D6">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Fecha de corte</w:t>
            </w:r>
          </w:p>
        </w:tc>
        <w:tc>
          <w:tcPr>
            <w:tcW w:w="1836" w:type="dxa"/>
            <w:shd w:val="clear" w:color="auto" w:fill="F2F2F2" w:themeFill="background1" w:themeFillShade="F2"/>
            <w:vAlign w:val="center"/>
          </w:tcPr>
          <w:p w14:paraId="1D88BC29" w14:textId="77777777" w:rsidR="00BD6172" w:rsidRPr="008F2C56" w:rsidRDefault="00BD6172" w:rsidP="00F400D6">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Fecha máxima incorporación al sitio del proyecto</w:t>
            </w:r>
          </w:p>
        </w:tc>
        <w:tc>
          <w:tcPr>
            <w:tcW w:w="1835" w:type="dxa"/>
            <w:shd w:val="clear" w:color="auto" w:fill="F2F2F2" w:themeFill="background1" w:themeFillShade="F2"/>
            <w:vAlign w:val="center"/>
          </w:tcPr>
          <w:p w14:paraId="21A71FCD" w14:textId="77777777" w:rsidR="00BD6172" w:rsidRPr="008F2C56" w:rsidRDefault="00BD6172" w:rsidP="00F400D6">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Fecha prevista de presentación al Consejo Superior</w:t>
            </w:r>
          </w:p>
        </w:tc>
        <w:tc>
          <w:tcPr>
            <w:tcW w:w="2817" w:type="dxa"/>
            <w:shd w:val="clear" w:color="auto" w:fill="F2F2F2" w:themeFill="background1" w:themeFillShade="F2"/>
            <w:vAlign w:val="center"/>
          </w:tcPr>
          <w:p w14:paraId="237BCA13" w14:textId="77777777" w:rsidR="00BD6172" w:rsidRPr="008F2C56" w:rsidRDefault="00BD6172" w:rsidP="00F400D6">
            <w:pPr>
              <w:autoSpaceDE w:val="0"/>
              <w:autoSpaceDN w:val="0"/>
              <w:adjustRightInd w:val="0"/>
              <w:jc w:val="center"/>
              <w:rPr>
                <w:rFonts w:ascii="Book Antiqua" w:hAnsi="Book Antiqua" w:cs="Arial"/>
                <w:b/>
                <w:color w:val="000000"/>
                <w:sz w:val="20"/>
                <w:szCs w:val="20"/>
                <w:lang w:eastAsia="es-CR"/>
              </w:rPr>
            </w:pPr>
            <w:r w:rsidRPr="008F2C56">
              <w:rPr>
                <w:rFonts w:ascii="Book Antiqua" w:hAnsi="Book Antiqua" w:cs="Arial"/>
                <w:b/>
                <w:color w:val="000000"/>
                <w:sz w:val="20"/>
                <w:szCs w:val="20"/>
                <w:lang w:eastAsia="es-CR"/>
              </w:rPr>
              <w:t>Observaciones</w:t>
            </w:r>
          </w:p>
        </w:tc>
      </w:tr>
      <w:tr w:rsidR="00BD6172" w:rsidRPr="008F2C56" w14:paraId="4D48C610" w14:textId="77777777" w:rsidTr="00301740">
        <w:trPr>
          <w:trHeight w:val="566"/>
        </w:trPr>
        <w:tc>
          <w:tcPr>
            <w:tcW w:w="616" w:type="dxa"/>
            <w:vMerge w:val="restart"/>
            <w:vAlign w:val="center"/>
          </w:tcPr>
          <w:p w14:paraId="37F90D16" w14:textId="77777777" w:rsidR="00BD6172" w:rsidRPr="008F2C56" w:rsidRDefault="00BD6172" w:rsidP="00F400D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2023</w:t>
            </w:r>
          </w:p>
        </w:tc>
        <w:tc>
          <w:tcPr>
            <w:tcW w:w="1688" w:type="dxa"/>
            <w:vAlign w:val="center"/>
          </w:tcPr>
          <w:p w14:paraId="6877E7BF" w14:textId="77777777" w:rsidR="00BD6172" w:rsidRPr="008F2C56" w:rsidRDefault="00BD6172" w:rsidP="00F400D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I Avance 2023</w:t>
            </w:r>
          </w:p>
        </w:tc>
        <w:tc>
          <w:tcPr>
            <w:tcW w:w="1399" w:type="dxa"/>
            <w:vAlign w:val="center"/>
          </w:tcPr>
          <w:p w14:paraId="5B0273A9" w14:textId="77777777" w:rsidR="00BD6172" w:rsidRPr="008F2C56" w:rsidRDefault="00BD6172" w:rsidP="00F400D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28 abril 2023</w:t>
            </w:r>
          </w:p>
        </w:tc>
        <w:tc>
          <w:tcPr>
            <w:tcW w:w="1836" w:type="dxa"/>
            <w:vAlign w:val="center"/>
          </w:tcPr>
          <w:p w14:paraId="081BFC1B" w14:textId="77777777" w:rsidR="00BD6172" w:rsidRPr="008F2C56" w:rsidRDefault="00BD6172" w:rsidP="00F400D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5 de mayo 2023</w:t>
            </w:r>
          </w:p>
        </w:tc>
        <w:tc>
          <w:tcPr>
            <w:tcW w:w="1835" w:type="dxa"/>
            <w:vAlign w:val="center"/>
          </w:tcPr>
          <w:p w14:paraId="34A345E4" w14:textId="77777777" w:rsidR="00BD6172" w:rsidRPr="008F2C56" w:rsidRDefault="00BD6172" w:rsidP="00F400D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23 junio 2023</w:t>
            </w:r>
          </w:p>
        </w:tc>
        <w:tc>
          <w:tcPr>
            <w:tcW w:w="2817" w:type="dxa"/>
            <w:vAlign w:val="center"/>
          </w:tcPr>
          <w:p w14:paraId="76BD0A80" w14:textId="77777777" w:rsidR="00BD6172" w:rsidRPr="008F2C56" w:rsidRDefault="00BD6172" w:rsidP="00F400D6">
            <w:pPr>
              <w:autoSpaceDE w:val="0"/>
              <w:autoSpaceDN w:val="0"/>
              <w:adjustRightInd w:val="0"/>
              <w:jc w:val="center"/>
              <w:rPr>
                <w:rFonts w:ascii="Book Antiqua" w:hAnsi="Book Antiqua" w:cs="Arial"/>
                <w:color w:val="000000"/>
                <w:sz w:val="20"/>
                <w:szCs w:val="20"/>
                <w:lang w:eastAsia="es-CR"/>
              </w:rPr>
            </w:pPr>
            <w:r w:rsidRPr="008F2C56">
              <w:rPr>
                <w:rFonts w:ascii="Book Antiqua" w:hAnsi="Book Antiqua" w:cs="Arial"/>
                <w:color w:val="000000"/>
                <w:sz w:val="20"/>
                <w:szCs w:val="20"/>
                <w:lang w:eastAsia="es-CR"/>
              </w:rPr>
              <w:t>Considera la prórroga de los PCGS para el III Trimestre 2023</w:t>
            </w:r>
          </w:p>
        </w:tc>
      </w:tr>
      <w:tr w:rsidR="00BD6172" w:rsidRPr="008F2C56" w14:paraId="2FB3AD3F" w14:textId="77777777" w:rsidTr="00301740">
        <w:trPr>
          <w:trHeight w:val="566"/>
        </w:trPr>
        <w:tc>
          <w:tcPr>
            <w:tcW w:w="616" w:type="dxa"/>
            <w:vMerge/>
            <w:vAlign w:val="center"/>
          </w:tcPr>
          <w:p w14:paraId="7BE32D80" w14:textId="77777777" w:rsidR="00BD6172" w:rsidRPr="008F2C56" w:rsidRDefault="00BD6172" w:rsidP="00F400D6">
            <w:pPr>
              <w:autoSpaceDE w:val="0"/>
              <w:autoSpaceDN w:val="0"/>
              <w:adjustRightInd w:val="0"/>
              <w:rPr>
                <w:rFonts w:ascii="Book Antiqua" w:hAnsi="Book Antiqua" w:cs="Arial"/>
                <w:color w:val="000000"/>
                <w:sz w:val="20"/>
                <w:szCs w:val="20"/>
                <w:lang w:eastAsia="es-CR"/>
              </w:rPr>
            </w:pPr>
          </w:p>
        </w:tc>
        <w:tc>
          <w:tcPr>
            <w:tcW w:w="1688" w:type="dxa"/>
            <w:vAlign w:val="center"/>
          </w:tcPr>
          <w:p w14:paraId="55557199" w14:textId="77777777" w:rsidR="00BD6172" w:rsidRPr="00E24FCA" w:rsidRDefault="00BD6172" w:rsidP="00F400D6">
            <w:pPr>
              <w:autoSpaceDE w:val="0"/>
              <w:autoSpaceDN w:val="0"/>
              <w:adjustRightInd w:val="0"/>
              <w:jc w:val="center"/>
              <w:rPr>
                <w:rFonts w:ascii="Book Antiqua" w:hAnsi="Book Antiqua" w:cs="Arial"/>
                <w:color w:val="000000"/>
                <w:sz w:val="20"/>
                <w:szCs w:val="20"/>
                <w:lang w:eastAsia="es-CR"/>
              </w:rPr>
            </w:pPr>
            <w:r w:rsidRPr="00E24FCA">
              <w:rPr>
                <w:rFonts w:ascii="Book Antiqua" w:hAnsi="Book Antiqua" w:cs="Arial"/>
                <w:color w:val="000000"/>
                <w:sz w:val="20"/>
                <w:szCs w:val="20"/>
                <w:lang w:eastAsia="es-CR"/>
              </w:rPr>
              <w:t>II Avance 2023</w:t>
            </w:r>
          </w:p>
        </w:tc>
        <w:tc>
          <w:tcPr>
            <w:tcW w:w="1399" w:type="dxa"/>
            <w:vAlign w:val="center"/>
          </w:tcPr>
          <w:p w14:paraId="49F3DC37" w14:textId="77777777" w:rsidR="00BD6172" w:rsidRPr="00E24FCA" w:rsidRDefault="00BD6172" w:rsidP="00F400D6">
            <w:pPr>
              <w:autoSpaceDE w:val="0"/>
              <w:autoSpaceDN w:val="0"/>
              <w:adjustRightInd w:val="0"/>
              <w:jc w:val="center"/>
              <w:rPr>
                <w:rFonts w:ascii="Book Antiqua" w:hAnsi="Book Antiqua" w:cs="Arial"/>
                <w:color w:val="000000"/>
                <w:sz w:val="20"/>
                <w:szCs w:val="20"/>
                <w:lang w:eastAsia="es-CR"/>
              </w:rPr>
            </w:pPr>
            <w:r w:rsidRPr="00E24FCA">
              <w:rPr>
                <w:rFonts w:ascii="Book Antiqua" w:hAnsi="Book Antiqua" w:cs="Arial"/>
                <w:color w:val="000000"/>
                <w:sz w:val="20"/>
                <w:szCs w:val="20"/>
                <w:lang w:eastAsia="es-CR"/>
              </w:rPr>
              <w:t>29 setiembre 2023</w:t>
            </w:r>
          </w:p>
        </w:tc>
        <w:tc>
          <w:tcPr>
            <w:tcW w:w="1836" w:type="dxa"/>
            <w:vAlign w:val="center"/>
          </w:tcPr>
          <w:p w14:paraId="2B53F775" w14:textId="77777777" w:rsidR="00BD6172" w:rsidRPr="00E24FCA" w:rsidRDefault="00BD6172" w:rsidP="00F400D6">
            <w:pPr>
              <w:autoSpaceDE w:val="0"/>
              <w:autoSpaceDN w:val="0"/>
              <w:adjustRightInd w:val="0"/>
              <w:jc w:val="center"/>
              <w:rPr>
                <w:rFonts w:ascii="Book Antiqua" w:hAnsi="Book Antiqua" w:cs="Arial"/>
                <w:color w:val="000000"/>
                <w:sz w:val="20"/>
                <w:szCs w:val="20"/>
                <w:lang w:eastAsia="es-CR"/>
              </w:rPr>
            </w:pPr>
            <w:r w:rsidRPr="00E24FCA">
              <w:rPr>
                <w:rFonts w:ascii="Book Antiqua" w:hAnsi="Book Antiqua" w:cs="Arial"/>
                <w:color w:val="000000"/>
                <w:sz w:val="20"/>
                <w:szCs w:val="20"/>
                <w:lang w:eastAsia="es-CR"/>
              </w:rPr>
              <w:t>6 de octubre 2023</w:t>
            </w:r>
          </w:p>
        </w:tc>
        <w:tc>
          <w:tcPr>
            <w:tcW w:w="1835" w:type="dxa"/>
            <w:vAlign w:val="center"/>
          </w:tcPr>
          <w:p w14:paraId="4F49164D" w14:textId="77777777" w:rsidR="00BD6172" w:rsidRPr="00E24FCA" w:rsidRDefault="00BD6172" w:rsidP="00F400D6">
            <w:pPr>
              <w:autoSpaceDE w:val="0"/>
              <w:autoSpaceDN w:val="0"/>
              <w:adjustRightInd w:val="0"/>
              <w:jc w:val="center"/>
              <w:rPr>
                <w:rFonts w:ascii="Book Antiqua" w:hAnsi="Book Antiqua" w:cs="Arial"/>
                <w:color w:val="000000"/>
                <w:sz w:val="20"/>
                <w:szCs w:val="20"/>
                <w:lang w:eastAsia="es-CR"/>
              </w:rPr>
            </w:pPr>
            <w:r w:rsidRPr="00E24FCA">
              <w:rPr>
                <w:rFonts w:ascii="Book Antiqua" w:hAnsi="Book Antiqua" w:cs="Arial"/>
                <w:color w:val="000000" w:themeColor="text1"/>
                <w:sz w:val="20"/>
                <w:szCs w:val="20"/>
                <w:lang w:eastAsia="es-CR"/>
              </w:rPr>
              <w:t>4 diciembre 2023</w:t>
            </w:r>
          </w:p>
        </w:tc>
        <w:tc>
          <w:tcPr>
            <w:tcW w:w="2817" w:type="dxa"/>
            <w:vAlign w:val="center"/>
          </w:tcPr>
          <w:p w14:paraId="41E956CC" w14:textId="77777777" w:rsidR="00BD6172" w:rsidRPr="00E24FCA" w:rsidRDefault="00BD6172" w:rsidP="00F400D6">
            <w:pPr>
              <w:autoSpaceDE w:val="0"/>
              <w:autoSpaceDN w:val="0"/>
              <w:adjustRightInd w:val="0"/>
              <w:jc w:val="center"/>
              <w:rPr>
                <w:rFonts w:ascii="Book Antiqua" w:hAnsi="Book Antiqua" w:cs="Arial"/>
                <w:color w:val="000000"/>
                <w:sz w:val="20"/>
                <w:szCs w:val="20"/>
                <w:lang w:eastAsia="es-CR"/>
              </w:rPr>
            </w:pPr>
            <w:r w:rsidRPr="00E24FCA">
              <w:rPr>
                <w:rFonts w:ascii="Book Antiqua" w:hAnsi="Book Antiqua" w:cs="Arial"/>
                <w:color w:val="000000"/>
                <w:sz w:val="20"/>
                <w:szCs w:val="20"/>
                <w:lang w:eastAsia="es-CR"/>
              </w:rPr>
              <w:t>Considera la prórroga de los PCGS para el I Trimestre 2024</w:t>
            </w:r>
          </w:p>
        </w:tc>
      </w:tr>
    </w:tbl>
    <w:p w14:paraId="7D9A162F" w14:textId="34F0606C" w:rsidR="00BD6172" w:rsidRDefault="00BD6172" w:rsidP="00EF4E17">
      <w:pPr>
        <w:spacing w:after="0"/>
        <w:jc w:val="both"/>
        <w:rPr>
          <w:rFonts w:ascii="Book Antiqua" w:hAnsi="Book Antiqua"/>
          <w:lang w:eastAsia="ko-KR"/>
        </w:rPr>
      </w:pPr>
    </w:p>
    <w:p w14:paraId="67A7DC73" w14:textId="12D90CCB" w:rsidR="00BD6172" w:rsidRPr="00BD6172" w:rsidRDefault="00BD6172" w:rsidP="00155AE5">
      <w:pPr>
        <w:pStyle w:val="Prrafodelista"/>
        <w:numPr>
          <w:ilvl w:val="1"/>
          <w:numId w:val="20"/>
        </w:numPr>
        <w:spacing w:after="0" w:line="240" w:lineRule="auto"/>
        <w:jc w:val="both"/>
        <w:rPr>
          <w:rFonts w:ascii="Book Antiqua" w:hAnsi="Book Antiqua"/>
          <w:sz w:val="24"/>
          <w:szCs w:val="24"/>
        </w:rPr>
      </w:pPr>
      <w:r w:rsidRPr="00BD6172">
        <w:rPr>
          <w:rFonts w:ascii="Book Antiqua" w:hAnsi="Book Antiqua"/>
          <w:sz w:val="24"/>
          <w:szCs w:val="24"/>
        </w:rPr>
        <w:t>Las personas líderes de proyecto deben considerar que, de presentar el formulario “F04. Informe de Avance” que no cumpla con las especificaciones del manual ni contenga la información o los insumos necesarios para realizar el respectivo análisis, la Unidad Estratégica de Portafolio de Proyectos Institucional procederá a rechazar la recepción del formulario, comunicando de inmediato a la persona líder y al jefe de proyecto con las respectivas observaciones que detallen las deficiencias presentadas. Lo anterior incluye la omisión de información en los diferentes apartados del formulario o datos incongruentes entre lo que se reporta en el formulario y el cronograma cargado en el MS Project Online (un ejemplo es el porcentaje actual y el esperado), lo cual ha sido reiterados en las capacitaciones impartidas por la Dirección de Planificación.</w:t>
      </w:r>
    </w:p>
    <w:p w14:paraId="2DC10BBC" w14:textId="77777777" w:rsidR="00BD6172" w:rsidRPr="008F2C56" w:rsidRDefault="00BD6172" w:rsidP="00BD6172">
      <w:pPr>
        <w:spacing w:after="0" w:line="240" w:lineRule="auto"/>
        <w:ind w:left="567"/>
        <w:jc w:val="both"/>
        <w:rPr>
          <w:rFonts w:ascii="Book Antiqua" w:hAnsi="Book Antiqua"/>
          <w:sz w:val="24"/>
          <w:szCs w:val="24"/>
        </w:rPr>
      </w:pPr>
    </w:p>
    <w:p w14:paraId="61EBEA9C" w14:textId="77777777" w:rsidR="00BD6172" w:rsidRDefault="00BD6172" w:rsidP="00EF4E17">
      <w:pPr>
        <w:numPr>
          <w:ilvl w:val="1"/>
          <w:numId w:val="20"/>
        </w:numPr>
        <w:spacing w:after="0" w:line="240" w:lineRule="auto"/>
        <w:ind w:left="567" w:hanging="141"/>
        <w:jc w:val="both"/>
        <w:rPr>
          <w:rFonts w:ascii="Book Antiqua" w:hAnsi="Book Antiqua"/>
          <w:sz w:val="24"/>
          <w:szCs w:val="24"/>
        </w:rPr>
      </w:pPr>
      <w:r w:rsidRPr="008F2C56">
        <w:rPr>
          <w:rFonts w:ascii="Book Antiqua" w:hAnsi="Book Antiqua"/>
          <w:sz w:val="24"/>
          <w:szCs w:val="24"/>
        </w:rPr>
        <w:t xml:space="preserve">De la igual forma, para todos los formularios que se utilizan dentro de la metodología institucional de administración de proyectos; las personas </w:t>
      </w:r>
      <w:r w:rsidRPr="008F2C56">
        <w:rPr>
          <w:rFonts w:ascii="Book Antiqua" w:hAnsi="Book Antiqua"/>
          <w:sz w:val="24"/>
          <w:szCs w:val="24"/>
        </w:rPr>
        <w:lastRenderedPageBreak/>
        <w:t xml:space="preserve">líderes de proyectos </w:t>
      </w:r>
      <w:r w:rsidRPr="008F2C56">
        <w:rPr>
          <w:rFonts w:ascii="Book Antiqua" w:hAnsi="Book Antiqua"/>
          <w:b/>
          <w:bCs/>
          <w:sz w:val="24"/>
          <w:szCs w:val="24"/>
        </w:rPr>
        <w:t>deberán contemplar las indicaciones expuestas en los diferentes manuales que han puesto a disposición la Unidad Estratégica de Portafolio de Proyectos Institucional para la elaboración correcta</w:t>
      </w:r>
      <w:r w:rsidRPr="008F2C56">
        <w:rPr>
          <w:rFonts w:ascii="Book Antiqua" w:hAnsi="Book Antiqua"/>
          <w:sz w:val="24"/>
          <w:szCs w:val="24"/>
        </w:rPr>
        <w:t xml:space="preserve"> de los formularios que son presentados en durante el ciclo de vida del proyecto. Los cuales ha sido facilitados al personal líder de proyectos y de igual forma se pueden consultar en la página de la Dirección de Planificación por medio del siguiente enlace: </w:t>
      </w:r>
      <w:hyperlink r:id="rId87" w:history="1">
        <w:r w:rsidRPr="00285AE7">
          <w:rPr>
            <w:rStyle w:val="Hipervnculo"/>
            <w:rFonts w:ascii="Book Antiqua" w:hAnsi="Book Antiqua"/>
            <w:sz w:val="24"/>
            <w:szCs w:val="24"/>
          </w:rPr>
          <w:t>https://planificacion.poder-judicial.go.cr/index.php/estrategia/portafolio-de-proyectos-estrategicos</w:t>
        </w:r>
      </w:hyperlink>
    </w:p>
    <w:p w14:paraId="32944F2B" w14:textId="77777777" w:rsidR="00BD6172" w:rsidRPr="008F2C56" w:rsidRDefault="00BD6172" w:rsidP="00BD6172">
      <w:pPr>
        <w:spacing w:after="0" w:line="240" w:lineRule="auto"/>
        <w:ind w:left="567"/>
        <w:jc w:val="both"/>
        <w:rPr>
          <w:rFonts w:ascii="Book Antiqua" w:hAnsi="Book Antiqua"/>
          <w:sz w:val="24"/>
          <w:szCs w:val="24"/>
        </w:rPr>
      </w:pPr>
    </w:p>
    <w:p w14:paraId="7EADFF0E" w14:textId="77777777" w:rsidR="00BD6172" w:rsidRPr="008F2C56" w:rsidRDefault="00BD6172" w:rsidP="00155AE5">
      <w:pPr>
        <w:numPr>
          <w:ilvl w:val="1"/>
          <w:numId w:val="20"/>
        </w:numPr>
        <w:spacing w:after="0" w:line="240" w:lineRule="auto"/>
        <w:ind w:left="567" w:hanging="567"/>
        <w:jc w:val="both"/>
        <w:rPr>
          <w:rFonts w:ascii="Book Antiqua" w:hAnsi="Book Antiqua"/>
          <w:sz w:val="24"/>
          <w:szCs w:val="24"/>
        </w:rPr>
      </w:pPr>
      <w:r w:rsidRPr="008F2C56">
        <w:rPr>
          <w:rFonts w:ascii="Book Antiqua" w:hAnsi="Book Antiqua"/>
          <w:sz w:val="24"/>
          <w:szCs w:val="24"/>
        </w:rPr>
        <w:t>En el caso de los proyectos estratégicos se reitera que se debe elaborar la “F08. Acta de Entrega de Producto” y cargarla en el sitio de proyecto, cuando alguno de los entregables definidos en la Estructura de Desglose de Trabajo y el Detalle de Entregables del Plan de Gestión alcance el 100% dentro del cronograma que se encuentre en el MS Project Online.</w:t>
      </w:r>
    </w:p>
    <w:p w14:paraId="741EC580" w14:textId="77777777" w:rsidR="00BD6172" w:rsidRPr="008F2C56" w:rsidRDefault="00BD6172" w:rsidP="00BD6172">
      <w:pPr>
        <w:spacing w:after="0"/>
        <w:ind w:left="720"/>
        <w:contextualSpacing/>
        <w:rPr>
          <w:rFonts w:ascii="Book Antiqua" w:hAnsi="Book Antiqua"/>
          <w:sz w:val="24"/>
          <w:szCs w:val="24"/>
        </w:rPr>
      </w:pPr>
    </w:p>
    <w:p w14:paraId="5B8BC4CC" w14:textId="37E5FEC8" w:rsidR="00BD6172" w:rsidRPr="008F2C56" w:rsidRDefault="00BD6172" w:rsidP="00155AE5">
      <w:pPr>
        <w:numPr>
          <w:ilvl w:val="1"/>
          <w:numId w:val="20"/>
        </w:numPr>
        <w:spacing w:after="0" w:line="240" w:lineRule="auto"/>
        <w:ind w:left="567" w:hanging="567"/>
        <w:jc w:val="both"/>
        <w:rPr>
          <w:rFonts w:ascii="Book Antiqua" w:hAnsi="Book Antiqua"/>
          <w:sz w:val="24"/>
          <w:szCs w:val="24"/>
        </w:rPr>
      </w:pPr>
      <w:r w:rsidRPr="008F2C56">
        <w:rPr>
          <w:rFonts w:ascii="Book Antiqua" w:hAnsi="Book Antiqua"/>
          <w:sz w:val="24"/>
          <w:szCs w:val="24"/>
        </w:rPr>
        <w:t>Se recomienda a la persona líder de los proyectos estratégicos y operativos, respaldar en un disco externo los documentos que se encuentran en el expediente de los proyectos en el MS Project.</w:t>
      </w:r>
    </w:p>
    <w:p w14:paraId="1C09A559" w14:textId="77777777" w:rsidR="00BD6172" w:rsidRPr="008F2C56" w:rsidRDefault="00BD6172" w:rsidP="00BD6172">
      <w:pPr>
        <w:spacing w:after="0" w:line="240" w:lineRule="auto"/>
        <w:ind w:left="567"/>
        <w:jc w:val="both"/>
        <w:rPr>
          <w:rFonts w:ascii="Book Antiqua" w:hAnsi="Book Antiqua"/>
          <w:sz w:val="24"/>
          <w:szCs w:val="24"/>
        </w:rPr>
      </w:pPr>
    </w:p>
    <w:p w14:paraId="3918F5A3" w14:textId="5380B896" w:rsidR="00BD6172" w:rsidRDefault="00BD6172" w:rsidP="00155AE5">
      <w:pPr>
        <w:numPr>
          <w:ilvl w:val="1"/>
          <w:numId w:val="20"/>
        </w:numPr>
        <w:spacing w:after="0" w:line="240" w:lineRule="auto"/>
        <w:ind w:left="567" w:hanging="567"/>
        <w:jc w:val="both"/>
        <w:rPr>
          <w:rFonts w:ascii="Book Antiqua" w:hAnsi="Book Antiqua"/>
          <w:sz w:val="24"/>
          <w:szCs w:val="24"/>
        </w:rPr>
      </w:pPr>
      <w:r w:rsidRPr="008F2C56">
        <w:rPr>
          <w:rFonts w:ascii="Book Antiqua" w:hAnsi="Book Antiqua"/>
          <w:sz w:val="24"/>
          <w:szCs w:val="24"/>
        </w:rPr>
        <w:t>En caso de requerirse la suspensión, o cancelación de algún proyecto, se debe tener un</w:t>
      </w:r>
      <w:r w:rsidR="00F43E72">
        <w:rPr>
          <w:rFonts w:ascii="Book Antiqua" w:hAnsi="Book Antiqua"/>
          <w:sz w:val="24"/>
          <w:szCs w:val="24"/>
        </w:rPr>
        <w:t xml:space="preserve">a aprobación por parte del Patrocinador del proyecto </w:t>
      </w:r>
      <w:r w:rsidRPr="008F2C56">
        <w:rPr>
          <w:rFonts w:ascii="Book Antiqua" w:hAnsi="Book Antiqua"/>
          <w:sz w:val="24"/>
          <w:szCs w:val="24"/>
        </w:rPr>
        <w:t>que apruebe los motivos por el cual se suspende</w:t>
      </w:r>
      <w:r>
        <w:rPr>
          <w:rFonts w:ascii="Book Antiqua" w:hAnsi="Book Antiqua"/>
          <w:sz w:val="24"/>
          <w:szCs w:val="24"/>
        </w:rPr>
        <w:t xml:space="preserve"> y remitir oportunamente dicho acuerdo </w:t>
      </w:r>
      <w:r w:rsidR="0067092E">
        <w:rPr>
          <w:rFonts w:ascii="Book Antiqua" w:hAnsi="Book Antiqua"/>
          <w:sz w:val="24"/>
          <w:szCs w:val="24"/>
        </w:rPr>
        <w:t xml:space="preserve">y solicitud de cambios con ese detalle debidamente aprobada por el Director de Proyecto, </w:t>
      </w:r>
      <w:r>
        <w:rPr>
          <w:rFonts w:ascii="Book Antiqua" w:hAnsi="Book Antiqua"/>
          <w:sz w:val="24"/>
          <w:szCs w:val="24"/>
        </w:rPr>
        <w:t>para que la Unidad del Portafolio de Proyectos Institucional proceda con la modificación del estado del mismo.</w:t>
      </w:r>
      <w:r w:rsidR="00764D61">
        <w:rPr>
          <w:rFonts w:ascii="Book Antiqua" w:hAnsi="Book Antiqua"/>
          <w:sz w:val="24"/>
          <w:szCs w:val="24"/>
        </w:rPr>
        <w:t xml:space="preserve"> </w:t>
      </w:r>
    </w:p>
    <w:p w14:paraId="0D9451CC" w14:textId="77777777" w:rsidR="00BD6172" w:rsidRDefault="00BD6172" w:rsidP="00BD6172">
      <w:pPr>
        <w:pStyle w:val="Prrafodelista"/>
        <w:spacing w:after="0"/>
        <w:rPr>
          <w:rFonts w:ascii="Book Antiqua" w:hAnsi="Book Antiqua"/>
          <w:sz w:val="24"/>
          <w:szCs w:val="24"/>
        </w:rPr>
      </w:pPr>
    </w:p>
    <w:p w14:paraId="0E12C1F3" w14:textId="77777777" w:rsidR="00BD6172" w:rsidRPr="008F2C56" w:rsidRDefault="00BD6172" w:rsidP="00155AE5">
      <w:pPr>
        <w:numPr>
          <w:ilvl w:val="1"/>
          <w:numId w:val="20"/>
        </w:numPr>
        <w:spacing w:after="0" w:line="240" w:lineRule="auto"/>
        <w:ind w:left="567" w:hanging="567"/>
        <w:jc w:val="both"/>
        <w:rPr>
          <w:rFonts w:ascii="Book Antiqua" w:hAnsi="Book Antiqua"/>
          <w:sz w:val="24"/>
          <w:szCs w:val="24"/>
        </w:rPr>
      </w:pPr>
      <w:r>
        <w:rPr>
          <w:rFonts w:ascii="Book Antiqua" w:hAnsi="Book Antiqua"/>
          <w:sz w:val="24"/>
          <w:szCs w:val="24"/>
        </w:rPr>
        <w:t>Se s</w:t>
      </w:r>
      <w:r w:rsidRPr="00BD1C4C">
        <w:rPr>
          <w:rFonts w:ascii="Book Antiqua" w:hAnsi="Book Antiqua"/>
          <w:sz w:val="24"/>
          <w:szCs w:val="24"/>
        </w:rPr>
        <w:t>olicita a todos los proyectos, que mantenga actualizada la información de avances en el sistema y que sean precisos en el registro de las fechas de reales, lo anterior en razón a que de no actualizar la citada información se puede provocar una afectación del porcentaje real de cumplimiento</w:t>
      </w:r>
      <w:r>
        <w:rPr>
          <w:rFonts w:ascii="Book Antiqua" w:hAnsi="Book Antiqua"/>
          <w:sz w:val="24"/>
          <w:szCs w:val="24"/>
        </w:rPr>
        <w:t>, en atención al acuerdo del Consejo Superior 112-2022, del 22 de diciembre del 2022, articulo XVIII.</w:t>
      </w:r>
    </w:p>
    <w:p w14:paraId="00A73BA8" w14:textId="77777777" w:rsidR="00BD6172" w:rsidRPr="008F2C56" w:rsidRDefault="00BD6172" w:rsidP="00BD6172">
      <w:pPr>
        <w:spacing w:after="0" w:line="240" w:lineRule="auto"/>
        <w:ind w:left="567"/>
        <w:jc w:val="both"/>
        <w:rPr>
          <w:rFonts w:ascii="Book Antiqua" w:hAnsi="Book Antiqua"/>
          <w:sz w:val="24"/>
          <w:szCs w:val="24"/>
        </w:rPr>
      </w:pPr>
    </w:p>
    <w:p w14:paraId="2AA84E3C" w14:textId="77777777" w:rsidR="00BD6172" w:rsidRPr="008F2C56" w:rsidRDefault="00BD6172" w:rsidP="00BD6172">
      <w:pPr>
        <w:pStyle w:val="Ttulo2"/>
        <w:spacing w:before="0"/>
        <w:rPr>
          <w:rFonts w:ascii="Book Antiqua" w:eastAsia="Wingdings" w:hAnsi="Book Antiqua"/>
          <w:b/>
          <w:bCs/>
          <w:sz w:val="24"/>
          <w:szCs w:val="24"/>
          <w:lang w:eastAsia="ko-KR"/>
        </w:rPr>
      </w:pPr>
      <w:bookmarkStart w:id="155" w:name="_Toc131160600"/>
      <w:bookmarkStart w:id="156" w:name="_Toc138770884"/>
      <w:r w:rsidRPr="00C1549B">
        <w:rPr>
          <w:rFonts w:ascii="Book Antiqua" w:hAnsi="Book Antiqua"/>
          <w:b/>
          <w:color w:val="auto"/>
          <w:sz w:val="24"/>
          <w:szCs w:val="24"/>
        </w:rPr>
        <w:t>A las personas líderes de proyecto que no cuentan con licencia del MS Project:</w:t>
      </w:r>
      <w:bookmarkEnd w:id="155"/>
      <w:bookmarkEnd w:id="156"/>
    </w:p>
    <w:p w14:paraId="15CE221A" w14:textId="77777777" w:rsidR="00BD6172" w:rsidRPr="008F2C56" w:rsidRDefault="00BD6172" w:rsidP="00BD6172">
      <w:pPr>
        <w:spacing w:after="0" w:line="240" w:lineRule="auto"/>
        <w:jc w:val="both"/>
        <w:rPr>
          <w:rFonts w:ascii="Book Antiqua" w:hAnsi="Book Antiqua"/>
          <w:sz w:val="24"/>
          <w:szCs w:val="24"/>
        </w:rPr>
      </w:pPr>
    </w:p>
    <w:p w14:paraId="1FFEF74E" w14:textId="77777777" w:rsidR="00BD6172" w:rsidRDefault="00BD6172" w:rsidP="00155AE5">
      <w:pPr>
        <w:numPr>
          <w:ilvl w:val="1"/>
          <w:numId w:val="20"/>
        </w:numPr>
        <w:spacing w:after="0" w:line="240" w:lineRule="auto"/>
        <w:ind w:left="567" w:hanging="567"/>
        <w:jc w:val="both"/>
        <w:rPr>
          <w:rFonts w:ascii="Book Antiqua" w:hAnsi="Book Antiqua"/>
          <w:sz w:val="24"/>
          <w:szCs w:val="24"/>
        </w:rPr>
      </w:pPr>
      <w:r w:rsidRPr="008F2C56">
        <w:rPr>
          <w:rFonts w:ascii="Book Antiqua" w:hAnsi="Book Antiqua"/>
          <w:sz w:val="24"/>
          <w:szCs w:val="24"/>
        </w:rPr>
        <w:t>Coordinar con antelación la actualización del cronograma de su proyecto con la Dirección de Planificación y mejorar en el cumplimiento de las fechas establecidas por el Consejo Superior para la rendición de los informes de avance.</w:t>
      </w:r>
    </w:p>
    <w:p w14:paraId="3B84B6C6" w14:textId="77777777" w:rsidR="00BD6172" w:rsidRPr="00C1549B" w:rsidRDefault="00BD6172" w:rsidP="00BD6172">
      <w:pPr>
        <w:pStyle w:val="Ttulo2"/>
        <w:spacing w:before="0"/>
        <w:rPr>
          <w:rFonts w:ascii="Book Antiqua" w:hAnsi="Book Antiqua"/>
          <w:b/>
          <w:color w:val="auto"/>
          <w:sz w:val="24"/>
          <w:szCs w:val="24"/>
        </w:rPr>
      </w:pPr>
      <w:bookmarkStart w:id="157" w:name="_Toc131160601"/>
      <w:bookmarkStart w:id="158" w:name="_Toc138770885"/>
      <w:r w:rsidRPr="00C1549B">
        <w:rPr>
          <w:rFonts w:ascii="Book Antiqua" w:hAnsi="Book Antiqua"/>
          <w:b/>
          <w:color w:val="auto"/>
          <w:sz w:val="24"/>
          <w:szCs w:val="24"/>
        </w:rPr>
        <w:lastRenderedPageBreak/>
        <w:t>A las oficinas encargadas de proyectos constructivos:</w:t>
      </w:r>
      <w:bookmarkEnd w:id="157"/>
      <w:bookmarkEnd w:id="158"/>
    </w:p>
    <w:p w14:paraId="6D64AE12" w14:textId="77777777" w:rsidR="00BD6172" w:rsidRPr="008F2C56" w:rsidRDefault="00BD6172" w:rsidP="00BD6172">
      <w:pPr>
        <w:spacing w:after="0" w:line="240" w:lineRule="auto"/>
        <w:ind w:left="567"/>
        <w:jc w:val="both"/>
        <w:rPr>
          <w:rFonts w:ascii="Book Antiqua" w:hAnsi="Book Antiqua"/>
          <w:sz w:val="24"/>
          <w:szCs w:val="24"/>
        </w:rPr>
      </w:pPr>
    </w:p>
    <w:p w14:paraId="4A76CC7E" w14:textId="049B8224" w:rsidR="00BD6172" w:rsidRPr="008F2C56" w:rsidRDefault="00BD6172" w:rsidP="00155AE5">
      <w:pPr>
        <w:numPr>
          <w:ilvl w:val="1"/>
          <w:numId w:val="20"/>
        </w:numPr>
        <w:spacing w:after="0" w:line="240" w:lineRule="auto"/>
        <w:ind w:left="567" w:hanging="567"/>
        <w:jc w:val="both"/>
        <w:rPr>
          <w:rFonts w:ascii="Book Antiqua" w:hAnsi="Book Antiqua"/>
          <w:sz w:val="24"/>
          <w:szCs w:val="24"/>
        </w:rPr>
      </w:pPr>
      <w:r w:rsidRPr="008F2C56">
        <w:rPr>
          <w:rFonts w:ascii="Book Antiqua" w:hAnsi="Book Antiqua"/>
          <w:sz w:val="24"/>
          <w:szCs w:val="24"/>
        </w:rPr>
        <w:t>Mantener una comunicación activa con el personal del Departamento de Servicios Generales y con la Proveeduría, lo anterior con el objetivo de poder determinar el avance de los procesos relacionados con la ejecución del proyecto constructivo y los cuales se encuentran consignados en los cronogramas. Se recomienda establecer una periodicidad mensual para sostener breves sesiones o consultas con el personal técnico de las diferentes áreas involucradas, estos espacios deberán ser promovidos por las personas a cargo del proyecto.</w:t>
      </w:r>
    </w:p>
    <w:p w14:paraId="4A8FE39A" w14:textId="77777777" w:rsidR="00BD6172" w:rsidRPr="008F2C56" w:rsidRDefault="00BD6172" w:rsidP="00BD6172">
      <w:pPr>
        <w:spacing w:after="0" w:line="240" w:lineRule="auto"/>
        <w:ind w:left="567"/>
        <w:jc w:val="both"/>
        <w:rPr>
          <w:rFonts w:ascii="Book Antiqua" w:hAnsi="Book Antiqua"/>
          <w:sz w:val="24"/>
          <w:szCs w:val="24"/>
        </w:rPr>
      </w:pPr>
    </w:p>
    <w:p w14:paraId="0D1B5F05" w14:textId="77777777" w:rsidR="00BD6172" w:rsidRPr="008F2C56" w:rsidRDefault="00BD6172" w:rsidP="00155AE5">
      <w:pPr>
        <w:numPr>
          <w:ilvl w:val="1"/>
          <w:numId w:val="20"/>
        </w:numPr>
        <w:spacing w:after="0" w:line="240" w:lineRule="auto"/>
        <w:ind w:left="567" w:hanging="567"/>
        <w:jc w:val="both"/>
        <w:rPr>
          <w:rFonts w:ascii="Book Antiqua" w:hAnsi="Book Antiqua"/>
          <w:sz w:val="24"/>
          <w:szCs w:val="24"/>
        </w:rPr>
      </w:pPr>
      <w:r w:rsidRPr="008F2C56">
        <w:rPr>
          <w:rFonts w:ascii="Book Antiqua" w:hAnsi="Book Antiqua"/>
          <w:sz w:val="24"/>
          <w:szCs w:val="24"/>
        </w:rPr>
        <w:t>Solicitar asesoría del personal de la Unidad Estratégica de Portafolio de Proyectos Institucional cuando lo considere pertinente y necesario, con el fin de evacuar las dudas relacionadas con la metodología de administración de proyectos, su aplicación, elaboración de documentos, uso del MS Project Online y gestión del proyecto en general.</w:t>
      </w:r>
    </w:p>
    <w:p w14:paraId="1A008B63" w14:textId="77777777" w:rsidR="00FD7841" w:rsidRPr="008F2C56" w:rsidRDefault="00FD7841" w:rsidP="00BD6172">
      <w:pPr>
        <w:spacing w:after="0"/>
        <w:jc w:val="both"/>
        <w:rPr>
          <w:rFonts w:ascii="Book Antiqua" w:eastAsia="Wingdings" w:hAnsi="Book Antiqua"/>
          <w:b/>
          <w:bCs/>
          <w:sz w:val="24"/>
          <w:szCs w:val="24"/>
          <w:lang w:eastAsia="ko-KR"/>
        </w:rPr>
      </w:pPr>
    </w:p>
    <w:p w14:paraId="4D883A1C" w14:textId="77777777" w:rsidR="00BD6172" w:rsidRPr="00C1549B" w:rsidRDefault="00BD6172" w:rsidP="00BD6172">
      <w:pPr>
        <w:pStyle w:val="Ttulo2"/>
        <w:spacing w:before="0"/>
        <w:rPr>
          <w:rFonts w:ascii="Book Antiqua" w:hAnsi="Book Antiqua"/>
          <w:b/>
          <w:color w:val="auto"/>
          <w:sz w:val="24"/>
          <w:szCs w:val="24"/>
        </w:rPr>
      </w:pPr>
      <w:bookmarkStart w:id="159" w:name="_Toc131160602"/>
      <w:bookmarkStart w:id="160" w:name="_Toc138770886"/>
      <w:r w:rsidRPr="00C1549B">
        <w:rPr>
          <w:rFonts w:ascii="Book Antiqua" w:hAnsi="Book Antiqua"/>
          <w:b/>
          <w:color w:val="auto"/>
          <w:sz w:val="24"/>
          <w:szCs w:val="24"/>
        </w:rPr>
        <w:t>A las Oficinas a las cuales se les otorgan permisos con goce de salario:</w:t>
      </w:r>
      <w:bookmarkEnd w:id="159"/>
      <w:bookmarkEnd w:id="160"/>
    </w:p>
    <w:p w14:paraId="7E2A1BE9" w14:textId="77777777" w:rsidR="00BD6172" w:rsidRPr="008F2C56" w:rsidRDefault="00BD6172" w:rsidP="00BD6172">
      <w:pPr>
        <w:spacing w:after="0" w:line="240" w:lineRule="auto"/>
        <w:jc w:val="both"/>
        <w:rPr>
          <w:rFonts w:ascii="Book Antiqua" w:hAnsi="Book Antiqua"/>
        </w:rPr>
      </w:pPr>
    </w:p>
    <w:p w14:paraId="307DAE62" w14:textId="77777777" w:rsidR="00BD6172" w:rsidRDefault="00BD6172" w:rsidP="00155AE5">
      <w:pPr>
        <w:numPr>
          <w:ilvl w:val="1"/>
          <w:numId w:val="20"/>
        </w:numPr>
        <w:spacing w:after="0" w:line="240" w:lineRule="auto"/>
        <w:ind w:left="567" w:hanging="567"/>
        <w:jc w:val="both"/>
        <w:rPr>
          <w:rFonts w:ascii="Book Antiqua" w:hAnsi="Book Antiqua"/>
          <w:sz w:val="24"/>
          <w:szCs w:val="24"/>
        </w:rPr>
      </w:pPr>
      <w:r w:rsidRPr="008F2C56">
        <w:rPr>
          <w:rFonts w:ascii="Book Antiqua" w:hAnsi="Book Antiqua"/>
          <w:sz w:val="24"/>
          <w:szCs w:val="24"/>
        </w:rPr>
        <w:t>Como recordatorio ya que es normativa vigente según lo dispuesto por la Corte Plena, Circular No. 16-2015 sesión 57-14 del 08 de diciembre del 2014 Artículo XXV, se hace una prevención a las oficinas a la cuales se les otorguen permisos con goce de salario por parte del Consejo Superior, de que las personas a destacarse en cada uno de los proyectos deberán ser aquellas a las cuales se les otorgó el permiso con goce de salario y aceptaron ser parte del proyecto, según los lineamientos institucionales aprobados para estos efectos, para lo cual las jefaturas son las responsables de que se cumpla esta normativa</w:t>
      </w:r>
      <w:r>
        <w:rPr>
          <w:rFonts w:ascii="Book Antiqua" w:hAnsi="Book Antiqua"/>
          <w:sz w:val="24"/>
          <w:szCs w:val="24"/>
        </w:rPr>
        <w:t>, lo cual puede ser verificado en cualquier momento por parte de los entes de control de la institución.</w:t>
      </w:r>
    </w:p>
    <w:p w14:paraId="6097BF70" w14:textId="77777777" w:rsidR="00BD6172" w:rsidRPr="008F2C56" w:rsidRDefault="00BD6172" w:rsidP="00BD6172">
      <w:pPr>
        <w:spacing w:after="0" w:line="240" w:lineRule="auto"/>
        <w:jc w:val="both"/>
        <w:rPr>
          <w:rFonts w:ascii="Book Antiqua" w:hAnsi="Book Antiqua"/>
          <w:b/>
          <w:bCs/>
          <w:sz w:val="24"/>
          <w:szCs w:val="24"/>
          <w:highlight w:val="yellow"/>
        </w:rPr>
      </w:pPr>
    </w:p>
    <w:p w14:paraId="389823B9" w14:textId="77777777" w:rsidR="00BD6172" w:rsidRPr="00C1549B" w:rsidRDefault="00BD6172" w:rsidP="00BD6172">
      <w:pPr>
        <w:pStyle w:val="Ttulo2"/>
        <w:spacing w:before="0"/>
        <w:rPr>
          <w:rFonts w:ascii="Book Antiqua" w:hAnsi="Book Antiqua"/>
          <w:b/>
          <w:color w:val="auto"/>
          <w:sz w:val="24"/>
          <w:szCs w:val="24"/>
        </w:rPr>
      </w:pPr>
      <w:bookmarkStart w:id="161" w:name="_Toc131160603"/>
      <w:bookmarkStart w:id="162" w:name="_Toc138770887"/>
      <w:r w:rsidRPr="00C1549B">
        <w:rPr>
          <w:rFonts w:ascii="Book Antiqua" w:hAnsi="Book Antiqua"/>
          <w:b/>
          <w:color w:val="auto"/>
          <w:sz w:val="24"/>
          <w:szCs w:val="24"/>
        </w:rPr>
        <w:t>A las oficinas encargadas de proyectos operativos</w:t>
      </w:r>
      <w:bookmarkEnd w:id="161"/>
      <w:bookmarkEnd w:id="162"/>
    </w:p>
    <w:p w14:paraId="3F9F4999" w14:textId="77777777" w:rsidR="00BD6172" w:rsidRPr="008F2C56" w:rsidRDefault="00BD6172" w:rsidP="00BD6172">
      <w:pPr>
        <w:spacing w:after="0" w:line="240" w:lineRule="auto"/>
        <w:jc w:val="both"/>
        <w:rPr>
          <w:rFonts w:ascii="Book Antiqua" w:hAnsi="Book Antiqua"/>
        </w:rPr>
      </w:pPr>
    </w:p>
    <w:p w14:paraId="5CD740CE" w14:textId="77777777" w:rsidR="00BD6172" w:rsidRDefault="00BD6172" w:rsidP="00155AE5">
      <w:pPr>
        <w:numPr>
          <w:ilvl w:val="1"/>
          <w:numId w:val="20"/>
        </w:numPr>
        <w:spacing w:after="0" w:line="240" w:lineRule="auto"/>
        <w:ind w:left="567" w:hanging="567"/>
        <w:jc w:val="both"/>
        <w:rPr>
          <w:rFonts w:ascii="Book Antiqua" w:hAnsi="Book Antiqua"/>
          <w:sz w:val="24"/>
          <w:szCs w:val="24"/>
        </w:rPr>
      </w:pPr>
      <w:r w:rsidRPr="008F2C56">
        <w:rPr>
          <w:rFonts w:ascii="Book Antiqua" w:hAnsi="Book Antiqua"/>
          <w:sz w:val="24"/>
          <w:szCs w:val="24"/>
        </w:rPr>
        <w:t xml:space="preserve">Se insta a las oficinas a continuar con el rendimiento realizado durante este período evaluado, con el fin de obtener los resultados planificados tanto en el cronograma como en los avances del proyecto. (Los análisis realizados por parte de la Dirección de Planificación parten del insumo brindado por las diferentes oficinas). </w:t>
      </w:r>
    </w:p>
    <w:p w14:paraId="48DE10F4" w14:textId="77777777" w:rsidR="00BD6172" w:rsidRDefault="00BD6172" w:rsidP="00BD6172">
      <w:pPr>
        <w:spacing w:after="0" w:line="240" w:lineRule="auto"/>
        <w:ind w:left="567"/>
        <w:jc w:val="both"/>
        <w:rPr>
          <w:rFonts w:ascii="Book Antiqua" w:hAnsi="Book Antiqua"/>
          <w:sz w:val="24"/>
          <w:szCs w:val="24"/>
        </w:rPr>
      </w:pPr>
    </w:p>
    <w:p w14:paraId="0A3D2C9F" w14:textId="77777777" w:rsidR="00BD6172" w:rsidRPr="00BD1C4C" w:rsidRDefault="00BD6172" w:rsidP="00155AE5">
      <w:pPr>
        <w:pStyle w:val="Prrafodelista"/>
        <w:numPr>
          <w:ilvl w:val="1"/>
          <w:numId w:val="20"/>
        </w:numPr>
        <w:spacing w:after="0" w:line="240" w:lineRule="auto"/>
        <w:ind w:left="567" w:hanging="567"/>
        <w:contextualSpacing w:val="0"/>
        <w:jc w:val="both"/>
        <w:rPr>
          <w:rFonts w:ascii="Book Antiqua" w:hAnsi="Book Antiqua"/>
          <w:sz w:val="24"/>
          <w:szCs w:val="24"/>
        </w:rPr>
      </w:pPr>
      <w:r w:rsidRPr="00BD1C4C">
        <w:rPr>
          <w:rFonts w:ascii="Book Antiqua" w:hAnsi="Book Antiqua"/>
          <w:sz w:val="24"/>
          <w:szCs w:val="24"/>
        </w:rPr>
        <w:t>Mejorar la elaboración de los informes de avance y el detalle de información de los resultados de los indicadores de cumplimiento que deben reportar en los próximos informes para el periodo 2023.</w:t>
      </w:r>
    </w:p>
    <w:p w14:paraId="697CE6ED" w14:textId="77777777" w:rsidR="00BD6172" w:rsidRPr="00BD1C4C" w:rsidRDefault="00BD6172" w:rsidP="00155AE5">
      <w:pPr>
        <w:pStyle w:val="Prrafodelista"/>
        <w:numPr>
          <w:ilvl w:val="1"/>
          <w:numId w:val="20"/>
        </w:numPr>
        <w:spacing w:after="0" w:line="240" w:lineRule="auto"/>
        <w:ind w:left="567" w:hanging="567"/>
        <w:contextualSpacing w:val="0"/>
        <w:jc w:val="both"/>
        <w:rPr>
          <w:rFonts w:ascii="Book Antiqua" w:hAnsi="Book Antiqua"/>
          <w:sz w:val="24"/>
          <w:szCs w:val="24"/>
        </w:rPr>
      </w:pPr>
      <w:r w:rsidRPr="00BD1C4C">
        <w:rPr>
          <w:rFonts w:ascii="Book Antiqua" w:hAnsi="Book Antiqua"/>
          <w:sz w:val="24"/>
          <w:szCs w:val="24"/>
        </w:rPr>
        <w:lastRenderedPageBreak/>
        <w:t>Participar en la capacitación que realizará la Unidad Estratégica de Portafolio de Proyectos Institucional previo al primer informe de avance 2023, sobre la elaboración del informe de avance para labores operativas, con el objetivo de mejorar la presentación de dicho formulario.</w:t>
      </w:r>
    </w:p>
    <w:p w14:paraId="77B3F320" w14:textId="77777777" w:rsidR="00BD6172" w:rsidRPr="00BD1C4C" w:rsidRDefault="00BD6172" w:rsidP="00BD6172">
      <w:pPr>
        <w:pStyle w:val="Prrafodelista"/>
        <w:spacing w:after="0" w:line="240" w:lineRule="auto"/>
        <w:ind w:left="567" w:hanging="567"/>
        <w:contextualSpacing w:val="0"/>
        <w:jc w:val="both"/>
        <w:rPr>
          <w:rFonts w:ascii="Book Antiqua" w:hAnsi="Book Antiqua"/>
          <w:sz w:val="24"/>
          <w:szCs w:val="24"/>
        </w:rPr>
      </w:pPr>
    </w:p>
    <w:p w14:paraId="4D831B72" w14:textId="77777777" w:rsidR="00BD6172" w:rsidRPr="00BD1C4C" w:rsidRDefault="00BD6172" w:rsidP="00155AE5">
      <w:pPr>
        <w:numPr>
          <w:ilvl w:val="1"/>
          <w:numId w:val="20"/>
        </w:numPr>
        <w:spacing w:after="0" w:line="240" w:lineRule="auto"/>
        <w:ind w:left="567" w:hanging="567"/>
        <w:jc w:val="both"/>
        <w:rPr>
          <w:rFonts w:ascii="Book Antiqua" w:hAnsi="Book Antiqua"/>
          <w:sz w:val="24"/>
          <w:szCs w:val="24"/>
        </w:rPr>
      </w:pPr>
      <w:r w:rsidRPr="00BD1C4C">
        <w:rPr>
          <w:rFonts w:ascii="Book Antiqua" w:hAnsi="Book Antiqua"/>
          <w:sz w:val="24"/>
          <w:szCs w:val="24"/>
        </w:rPr>
        <w:t>Utilizar los indicadores de cumplimiento de las labores operativas determinados desde cada oficina a cargo y los cuales se detallan en la “</w:t>
      </w:r>
      <w:r w:rsidRPr="00BD1C4C">
        <w:rPr>
          <w:rFonts w:ascii="Book Antiqua" w:hAnsi="Book Antiqua"/>
          <w:i/>
          <w:iCs/>
          <w:sz w:val="24"/>
          <w:szCs w:val="24"/>
        </w:rPr>
        <w:t>Tabla 3</w:t>
      </w:r>
      <w:r w:rsidRPr="00BD1C4C">
        <w:rPr>
          <w:rFonts w:ascii="Book Antiqua" w:hAnsi="Book Antiqua"/>
          <w:sz w:val="24"/>
          <w:szCs w:val="24"/>
        </w:rPr>
        <w:t xml:space="preserve">7 </w:t>
      </w:r>
      <w:r w:rsidRPr="00BD1C4C">
        <w:rPr>
          <w:rFonts w:ascii="Book Antiqua" w:hAnsi="Book Antiqua"/>
          <w:i/>
          <w:iCs/>
          <w:sz w:val="24"/>
          <w:szCs w:val="24"/>
        </w:rPr>
        <w:t>Detalle de Indicadores y valores mensuales propuestos para el periodo 2023 establecidas por las oficinas responsables de labores operativas.</w:t>
      </w:r>
      <w:r w:rsidRPr="00BD1C4C">
        <w:rPr>
          <w:rFonts w:ascii="Book Antiqua" w:hAnsi="Book Antiqua"/>
          <w:sz w:val="24"/>
          <w:szCs w:val="24"/>
        </w:rPr>
        <w:t>” del presente informe. Los resultados mensuales de los indicadores deberán anexarse en el informe de avance, específicamente en el apartado de “</w:t>
      </w:r>
      <w:r w:rsidRPr="00BD1C4C">
        <w:rPr>
          <w:rFonts w:ascii="Book Antiqua" w:hAnsi="Book Antiqua"/>
          <w:i/>
          <w:iCs/>
          <w:sz w:val="24"/>
          <w:szCs w:val="24"/>
        </w:rPr>
        <w:t>3. Lista y estado de productos entregables</w:t>
      </w:r>
      <w:r w:rsidRPr="00BD1C4C">
        <w:rPr>
          <w:rFonts w:ascii="Book Antiqua" w:hAnsi="Book Antiqua"/>
          <w:sz w:val="24"/>
          <w:szCs w:val="24"/>
        </w:rPr>
        <w:t>”, tal y como se muestra en la siguiente ejemplificación:</w:t>
      </w:r>
    </w:p>
    <w:p w14:paraId="39C0B1F7" w14:textId="77777777" w:rsidR="00BD6172" w:rsidRDefault="00BD6172" w:rsidP="00BD6172">
      <w:pPr>
        <w:pStyle w:val="Prrafodelista"/>
        <w:spacing w:after="0"/>
        <w:rPr>
          <w:rFonts w:ascii="Book Antiqua" w:hAnsi="Book Antiqua"/>
          <w:sz w:val="24"/>
          <w:szCs w:val="24"/>
        </w:rPr>
      </w:pPr>
    </w:p>
    <w:p w14:paraId="30782A7F" w14:textId="77777777" w:rsidR="00BD6172" w:rsidRDefault="00BD6172" w:rsidP="00BD6172">
      <w:pPr>
        <w:spacing w:after="0" w:line="240" w:lineRule="auto"/>
        <w:ind w:left="567"/>
        <w:jc w:val="both"/>
        <w:rPr>
          <w:rFonts w:ascii="Book Antiqua" w:hAnsi="Book Antiqua"/>
          <w:sz w:val="24"/>
          <w:szCs w:val="24"/>
        </w:rPr>
      </w:pPr>
      <w:r w:rsidRPr="00887FA5">
        <w:rPr>
          <w:noProof/>
        </w:rPr>
        <w:drawing>
          <wp:inline distT="0" distB="0" distL="0" distR="0" wp14:anchorId="30086C75" wp14:editId="4E358504">
            <wp:extent cx="5486400" cy="3190875"/>
            <wp:effectExtent l="0" t="0" r="0" b="9525"/>
            <wp:docPr id="28" name="Picture 2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pic:nvPicPr>
                  <pic:blipFill rotWithShape="1">
                    <a:blip r:embed="rId88"/>
                    <a:srcRect l="849" t="1720" r="1392" b="2218"/>
                    <a:stretch/>
                  </pic:blipFill>
                  <pic:spPr bwMode="auto">
                    <a:xfrm>
                      <a:off x="0" y="0"/>
                      <a:ext cx="5486400" cy="3190875"/>
                    </a:xfrm>
                    <a:prstGeom prst="rect">
                      <a:avLst/>
                    </a:prstGeom>
                    <a:ln>
                      <a:noFill/>
                    </a:ln>
                    <a:extLst>
                      <a:ext uri="{53640926-AAD7-44D8-BBD7-CCE9431645EC}">
                        <a14:shadowObscured xmlns:a14="http://schemas.microsoft.com/office/drawing/2010/main"/>
                      </a:ext>
                    </a:extLst>
                  </pic:spPr>
                </pic:pic>
              </a:graphicData>
            </a:graphic>
          </wp:inline>
        </w:drawing>
      </w:r>
    </w:p>
    <w:p w14:paraId="438C3619" w14:textId="77777777" w:rsidR="00BD6172" w:rsidRDefault="00BD6172" w:rsidP="00E24FCA">
      <w:pPr>
        <w:spacing w:after="0" w:line="240" w:lineRule="auto"/>
        <w:ind w:left="567"/>
        <w:jc w:val="both"/>
        <w:rPr>
          <w:rFonts w:ascii="Book Antiqua" w:hAnsi="Book Antiqua"/>
          <w:sz w:val="24"/>
          <w:szCs w:val="24"/>
        </w:rPr>
      </w:pPr>
      <w:r w:rsidRPr="00E24FCA">
        <w:rPr>
          <w:rFonts w:ascii="Book Antiqua" w:hAnsi="Book Antiqua"/>
          <w:sz w:val="24"/>
          <w:szCs w:val="24"/>
        </w:rPr>
        <w:t>La Unidad Estratégica de Portafolio de Proyectos Institucional, realizará la descarga de documentación del repositorio de información MS Project Online, al día siguiente de vencido el plazo de incorporación al sitio del proyecto, por lo que no serán valorados informes de avance cargados posterior a esa fecha.</w:t>
      </w:r>
    </w:p>
    <w:p w14:paraId="01F9F195" w14:textId="77777777" w:rsidR="00BD6172" w:rsidRDefault="00BD6172" w:rsidP="00BD6172">
      <w:pPr>
        <w:spacing w:after="0" w:line="240" w:lineRule="auto"/>
        <w:ind w:left="-284"/>
        <w:jc w:val="both"/>
        <w:rPr>
          <w:rFonts w:ascii="Book Antiqua" w:hAnsi="Book Antiqua"/>
          <w:sz w:val="24"/>
          <w:szCs w:val="24"/>
        </w:rPr>
      </w:pPr>
    </w:p>
    <w:p w14:paraId="70002CDD" w14:textId="19B34282" w:rsidR="002B193F" w:rsidRPr="002B193F" w:rsidRDefault="00BD6172" w:rsidP="002B193F">
      <w:pPr>
        <w:numPr>
          <w:ilvl w:val="1"/>
          <w:numId w:val="20"/>
        </w:numPr>
        <w:spacing w:after="0" w:line="240" w:lineRule="auto"/>
        <w:ind w:left="567" w:hanging="567"/>
        <w:jc w:val="both"/>
        <w:rPr>
          <w:rFonts w:ascii="Book Antiqua" w:hAnsi="Book Antiqua"/>
          <w:i/>
          <w:iCs/>
          <w:sz w:val="24"/>
          <w:szCs w:val="24"/>
        </w:rPr>
      </w:pPr>
      <w:r w:rsidRPr="00314FE2">
        <w:rPr>
          <w:rFonts w:ascii="Book Antiqua" w:hAnsi="Book Antiqua"/>
          <w:sz w:val="24"/>
          <w:szCs w:val="24"/>
        </w:rPr>
        <w:t xml:space="preserve">Se recuerda a los líderes de proyectos operativos, el deber de mantener actualizada la documentación del proyecto e incorporar los entregables correspondientes del 2023 en el cronograma </w:t>
      </w:r>
      <w:r w:rsidR="001B24C8" w:rsidRPr="00314FE2">
        <w:rPr>
          <w:rFonts w:ascii="Book Antiqua" w:hAnsi="Book Antiqua"/>
          <w:sz w:val="24"/>
          <w:szCs w:val="24"/>
        </w:rPr>
        <w:t>de este</w:t>
      </w:r>
      <w:r w:rsidRPr="00314FE2">
        <w:rPr>
          <w:rFonts w:ascii="Book Antiqua" w:hAnsi="Book Antiqua"/>
          <w:sz w:val="24"/>
          <w:szCs w:val="24"/>
        </w:rPr>
        <w:t xml:space="preserve">, esta labor es indispensable que se realice a inicio de cada año, </w:t>
      </w:r>
      <w:r w:rsidRPr="00BD6172">
        <w:rPr>
          <w:rFonts w:ascii="Book Antiqua" w:hAnsi="Book Antiqua"/>
          <w:sz w:val="24"/>
          <w:szCs w:val="24"/>
        </w:rPr>
        <w:t xml:space="preserve">una vez se defina y se cuente con la </w:t>
      </w:r>
      <w:r w:rsidRPr="00BD6172">
        <w:rPr>
          <w:rFonts w:ascii="Book Antiqua" w:hAnsi="Book Antiqua"/>
          <w:sz w:val="24"/>
          <w:szCs w:val="24"/>
        </w:rPr>
        <w:lastRenderedPageBreak/>
        <w:t>aprobación de permisos con goce de salario</w:t>
      </w:r>
      <w:r w:rsidRPr="00BD6172" w:rsidDel="005501FE">
        <w:rPr>
          <w:rFonts w:ascii="Book Antiqua" w:hAnsi="Book Antiqua"/>
          <w:sz w:val="24"/>
          <w:szCs w:val="24"/>
        </w:rPr>
        <w:t xml:space="preserve"> </w:t>
      </w:r>
      <w:r w:rsidRPr="00BD6172">
        <w:rPr>
          <w:rFonts w:ascii="Book Antiqua" w:hAnsi="Book Antiqua"/>
          <w:sz w:val="24"/>
          <w:szCs w:val="24"/>
        </w:rPr>
        <w:t>asociados a ese proyecto operativo en continuidad.</w:t>
      </w:r>
    </w:p>
    <w:p w14:paraId="376EC51B" w14:textId="77777777" w:rsidR="002B193F" w:rsidRDefault="002B193F" w:rsidP="002B193F">
      <w:pPr>
        <w:spacing w:after="0" w:line="240" w:lineRule="auto"/>
        <w:ind w:left="567"/>
        <w:jc w:val="both"/>
        <w:rPr>
          <w:rFonts w:ascii="Book Antiqua" w:hAnsi="Book Antiqua"/>
          <w:i/>
          <w:iCs/>
          <w:sz w:val="24"/>
          <w:szCs w:val="24"/>
        </w:rPr>
      </w:pPr>
    </w:p>
    <w:p w14:paraId="434A54C6" w14:textId="1D49EADC" w:rsidR="002B193F" w:rsidRPr="00E24FCA" w:rsidRDefault="002B193F" w:rsidP="002B193F">
      <w:pPr>
        <w:numPr>
          <w:ilvl w:val="1"/>
          <w:numId w:val="20"/>
        </w:numPr>
        <w:spacing w:after="0" w:line="240" w:lineRule="auto"/>
        <w:ind w:left="567" w:hanging="567"/>
        <w:jc w:val="both"/>
        <w:rPr>
          <w:rFonts w:ascii="Book Antiqua" w:hAnsi="Book Antiqua"/>
          <w:i/>
          <w:iCs/>
          <w:sz w:val="24"/>
          <w:szCs w:val="24"/>
        </w:rPr>
      </w:pPr>
      <w:r w:rsidRPr="00E24FCA">
        <w:rPr>
          <w:rFonts w:ascii="Book Antiqua" w:hAnsi="Book Antiqua"/>
          <w:sz w:val="24"/>
          <w:szCs w:val="24"/>
        </w:rPr>
        <w:t xml:space="preserve">Solicitar a los líderes de proyectos operativos revisar los indicadores que se tienen actualmente para medir el avance y cumplimiento a fin de verificar que los mismos representen la labor sustantiva de las tareas que se realizan específicamente con el </w:t>
      </w:r>
      <w:r w:rsidR="001B24C8" w:rsidRPr="00E24FCA">
        <w:rPr>
          <w:rFonts w:ascii="Book Antiqua" w:hAnsi="Book Antiqua"/>
          <w:sz w:val="24"/>
          <w:szCs w:val="24"/>
        </w:rPr>
        <w:t>p</w:t>
      </w:r>
      <w:r w:rsidRPr="00E24FCA">
        <w:rPr>
          <w:rFonts w:ascii="Book Antiqua" w:hAnsi="Book Antiqua"/>
          <w:sz w:val="24"/>
          <w:szCs w:val="24"/>
        </w:rPr>
        <w:t xml:space="preserve">ermiso con </w:t>
      </w:r>
      <w:r w:rsidR="001B24C8" w:rsidRPr="00E24FCA">
        <w:rPr>
          <w:rFonts w:ascii="Book Antiqua" w:hAnsi="Book Antiqua"/>
          <w:sz w:val="24"/>
          <w:szCs w:val="24"/>
        </w:rPr>
        <w:t>g</w:t>
      </w:r>
      <w:r w:rsidRPr="00E24FCA">
        <w:rPr>
          <w:rFonts w:ascii="Book Antiqua" w:hAnsi="Book Antiqua"/>
          <w:sz w:val="24"/>
          <w:szCs w:val="24"/>
        </w:rPr>
        <w:t xml:space="preserve">oce de </w:t>
      </w:r>
      <w:r w:rsidR="001B24C8" w:rsidRPr="00E24FCA">
        <w:rPr>
          <w:rFonts w:ascii="Book Antiqua" w:hAnsi="Book Antiqua"/>
          <w:sz w:val="24"/>
          <w:szCs w:val="24"/>
        </w:rPr>
        <w:t>s</w:t>
      </w:r>
      <w:r w:rsidRPr="00E24FCA">
        <w:rPr>
          <w:rFonts w:ascii="Book Antiqua" w:hAnsi="Book Antiqua"/>
          <w:sz w:val="24"/>
          <w:szCs w:val="24"/>
        </w:rPr>
        <w:t>alario. Lo anterior, por cuanto lo que se busca es dar la trazabilidad al recurso humano que se está proporcionando, para ejecutar las tareas encomendadas.</w:t>
      </w:r>
    </w:p>
    <w:p w14:paraId="78F75379" w14:textId="77777777" w:rsidR="002B193F" w:rsidRPr="00BD6172" w:rsidRDefault="002B193F" w:rsidP="002B193F">
      <w:pPr>
        <w:spacing w:after="0" w:line="240" w:lineRule="auto"/>
        <w:ind w:left="567"/>
        <w:jc w:val="both"/>
        <w:rPr>
          <w:rFonts w:ascii="Book Antiqua" w:hAnsi="Book Antiqua"/>
          <w:i/>
          <w:iCs/>
          <w:sz w:val="24"/>
          <w:szCs w:val="24"/>
        </w:rPr>
      </w:pPr>
    </w:p>
    <w:p w14:paraId="64AF316F" w14:textId="77777777" w:rsidR="00BD6172" w:rsidRPr="008F2C56" w:rsidRDefault="00BD6172" w:rsidP="00BD6172">
      <w:pPr>
        <w:pStyle w:val="Ttulo2"/>
        <w:spacing w:before="0"/>
        <w:rPr>
          <w:rFonts w:ascii="Book Antiqua" w:hAnsi="Book Antiqua"/>
          <w:b/>
          <w:bCs/>
          <w:sz w:val="24"/>
          <w:szCs w:val="24"/>
        </w:rPr>
      </w:pPr>
      <w:bookmarkStart w:id="163" w:name="_Toc131160604"/>
      <w:bookmarkStart w:id="164" w:name="_Toc138770888"/>
      <w:r w:rsidRPr="00C81506">
        <w:rPr>
          <w:rFonts w:ascii="Book Antiqua" w:hAnsi="Book Antiqua"/>
          <w:b/>
          <w:bCs/>
          <w:color w:val="auto"/>
          <w:sz w:val="24"/>
          <w:szCs w:val="24"/>
        </w:rPr>
        <w:t>A las oficinas líderes con proyectos estratégicos en etapa de cierre:</w:t>
      </w:r>
      <w:bookmarkEnd w:id="163"/>
      <w:bookmarkEnd w:id="164"/>
    </w:p>
    <w:p w14:paraId="4FC237DA" w14:textId="77777777" w:rsidR="00FD7841" w:rsidRDefault="00FD7841" w:rsidP="00E24FCA">
      <w:pPr>
        <w:pStyle w:val="Prrafodelista"/>
        <w:spacing w:after="0" w:line="240" w:lineRule="auto"/>
        <w:jc w:val="both"/>
        <w:rPr>
          <w:rFonts w:ascii="Book Antiqua" w:hAnsi="Book Antiqua"/>
          <w:sz w:val="24"/>
          <w:szCs w:val="24"/>
        </w:rPr>
      </w:pPr>
    </w:p>
    <w:p w14:paraId="5961973F" w14:textId="7513E96A" w:rsidR="00BD6172" w:rsidRPr="00BD6172" w:rsidRDefault="00BD6172" w:rsidP="00EF4E17">
      <w:pPr>
        <w:pStyle w:val="Prrafodelista"/>
        <w:numPr>
          <w:ilvl w:val="1"/>
          <w:numId w:val="20"/>
        </w:numPr>
        <w:spacing w:after="0" w:line="240" w:lineRule="auto"/>
        <w:ind w:hanging="720"/>
        <w:jc w:val="both"/>
        <w:rPr>
          <w:rFonts w:ascii="Book Antiqua" w:hAnsi="Book Antiqua"/>
          <w:sz w:val="24"/>
          <w:szCs w:val="24"/>
        </w:rPr>
      </w:pPr>
      <w:r w:rsidRPr="00BD6172">
        <w:rPr>
          <w:rFonts w:ascii="Book Antiqua" w:hAnsi="Book Antiqua"/>
          <w:sz w:val="24"/>
          <w:szCs w:val="24"/>
        </w:rPr>
        <w:t>Se solicita a las personas líderes de los proyectos estratégicos que se encuentran en estado “Pendiente de Evaluación</w:t>
      </w:r>
      <w:r w:rsidR="00936011">
        <w:rPr>
          <w:rFonts w:ascii="Book Antiqua" w:hAnsi="Book Antiqua"/>
          <w:sz w:val="24"/>
          <w:szCs w:val="24"/>
        </w:rPr>
        <w:t xml:space="preserve"> de beneficios</w:t>
      </w:r>
      <w:r w:rsidRPr="00BD6172">
        <w:rPr>
          <w:rFonts w:ascii="Book Antiqua" w:hAnsi="Book Antiqua"/>
          <w:sz w:val="24"/>
          <w:szCs w:val="24"/>
        </w:rPr>
        <w:t>” y aun no cuentan con el plazo establecido por la metodología de proyectos para ser evaluados</w:t>
      </w:r>
      <w:r w:rsidR="00936011">
        <w:rPr>
          <w:rFonts w:ascii="Book Antiqua" w:hAnsi="Book Antiqua"/>
          <w:sz w:val="24"/>
          <w:szCs w:val="24"/>
        </w:rPr>
        <w:t xml:space="preserve"> (6 a 12 meses)</w:t>
      </w:r>
      <w:r w:rsidRPr="00BD6172">
        <w:rPr>
          <w:rFonts w:ascii="Book Antiqua" w:hAnsi="Book Antiqua"/>
          <w:sz w:val="24"/>
          <w:szCs w:val="24"/>
        </w:rPr>
        <w:t>, se requiere que, al cumplirse el tiempo, los informes de cierre cuenten con el visto bueno de los patrocinadores y que este se encuentre en el sitio del proyecto en la carpeta correspondiente. A continuación, se menciona los proyectos en esta condición:</w:t>
      </w:r>
      <w:r w:rsidR="00C3505E">
        <w:rPr>
          <w:rFonts w:ascii="Book Antiqua" w:hAnsi="Book Antiqua"/>
          <w:sz w:val="24"/>
          <w:szCs w:val="24"/>
        </w:rPr>
        <w:t xml:space="preserve"> </w:t>
      </w:r>
    </w:p>
    <w:p w14:paraId="48F83873" w14:textId="77777777" w:rsidR="00FD7841" w:rsidRDefault="00FD7841" w:rsidP="00E24FCA">
      <w:pPr>
        <w:pStyle w:val="Prrafodelista"/>
        <w:spacing w:after="0" w:line="240" w:lineRule="auto"/>
        <w:jc w:val="both"/>
        <w:rPr>
          <w:rFonts w:ascii="Book Antiqua" w:hAnsi="Book Antiqua"/>
          <w:sz w:val="24"/>
          <w:szCs w:val="24"/>
        </w:rPr>
      </w:pPr>
    </w:p>
    <w:tbl>
      <w:tblPr>
        <w:tblW w:w="5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2690"/>
        <w:gridCol w:w="2127"/>
        <w:gridCol w:w="1987"/>
        <w:gridCol w:w="1803"/>
      </w:tblGrid>
      <w:tr w:rsidR="00FD7841" w:rsidRPr="00C005C0" w14:paraId="6291AF2C" w14:textId="77777777" w:rsidTr="00E24FCA">
        <w:trPr>
          <w:trHeight w:val="256"/>
          <w:tblHeader/>
          <w:jc w:val="center"/>
        </w:trPr>
        <w:tc>
          <w:tcPr>
            <w:tcW w:w="880" w:type="pct"/>
            <w:shd w:val="clear" w:color="auto" w:fill="44546A" w:themeFill="text2"/>
            <w:vAlign w:val="center"/>
            <w:hideMark/>
          </w:tcPr>
          <w:p w14:paraId="68C75271" w14:textId="77777777" w:rsidR="00FD7841" w:rsidRPr="00C005C0" w:rsidRDefault="00FD7841" w:rsidP="00B56C1A">
            <w:pPr>
              <w:tabs>
                <w:tab w:val="left" w:pos="0"/>
              </w:tabs>
              <w:spacing w:after="0" w:line="240" w:lineRule="auto"/>
              <w:ind w:right="-65"/>
              <w:jc w:val="center"/>
              <w:rPr>
                <w:rFonts w:ascii="Book Antiqua" w:hAnsi="Book Antiqua" w:cs="Calibri"/>
                <w:b/>
                <w:bCs/>
                <w:color w:val="FFFFFF"/>
                <w:sz w:val="18"/>
                <w:szCs w:val="18"/>
                <w:lang w:eastAsia="es-CR"/>
              </w:rPr>
            </w:pPr>
            <w:r w:rsidRPr="00C005C0">
              <w:rPr>
                <w:rFonts w:ascii="Book Antiqua" w:hAnsi="Book Antiqua" w:cs="Calibri"/>
                <w:b/>
                <w:bCs/>
                <w:color w:val="FFFFFF"/>
                <w:sz w:val="18"/>
                <w:szCs w:val="18"/>
                <w:lang w:eastAsia="es-CR"/>
              </w:rPr>
              <w:t>Código</w:t>
            </w:r>
          </w:p>
        </w:tc>
        <w:tc>
          <w:tcPr>
            <w:tcW w:w="1288" w:type="pct"/>
            <w:shd w:val="clear" w:color="auto" w:fill="44546A" w:themeFill="text2"/>
            <w:vAlign w:val="center"/>
            <w:hideMark/>
          </w:tcPr>
          <w:p w14:paraId="41B2BA3A" w14:textId="77777777" w:rsidR="00FD7841" w:rsidRPr="00C005C0" w:rsidRDefault="00FD7841" w:rsidP="00B56C1A">
            <w:pPr>
              <w:tabs>
                <w:tab w:val="left" w:pos="0"/>
              </w:tabs>
              <w:spacing w:after="0" w:line="240" w:lineRule="auto"/>
              <w:jc w:val="center"/>
              <w:rPr>
                <w:rFonts w:ascii="Book Antiqua" w:hAnsi="Book Antiqua" w:cs="Calibri"/>
                <w:b/>
                <w:bCs/>
                <w:color w:val="FFFFFF"/>
                <w:sz w:val="18"/>
                <w:szCs w:val="18"/>
                <w:lang w:eastAsia="es-CR"/>
              </w:rPr>
            </w:pPr>
            <w:r w:rsidRPr="00C005C0">
              <w:rPr>
                <w:rFonts w:ascii="Book Antiqua" w:hAnsi="Book Antiqua" w:cs="Calibri"/>
                <w:b/>
                <w:bCs/>
                <w:color w:val="FFFFFF"/>
                <w:sz w:val="18"/>
                <w:szCs w:val="18"/>
                <w:lang w:eastAsia="es-CR"/>
              </w:rPr>
              <w:t>Nombre del proyecto</w:t>
            </w:r>
          </w:p>
        </w:tc>
        <w:tc>
          <w:tcPr>
            <w:tcW w:w="1018" w:type="pct"/>
            <w:shd w:val="clear" w:color="auto" w:fill="44546A" w:themeFill="text2"/>
            <w:vAlign w:val="center"/>
            <w:hideMark/>
          </w:tcPr>
          <w:p w14:paraId="009F229C" w14:textId="77777777" w:rsidR="00FD7841" w:rsidRPr="00C005C0" w:rsidRDefault="00FD7841" w:rsidP="00B56C1A">
            <w:pPr>
              <w:tabs>
                <w:tab w:val="left" w:pos="0"/>
              </w:tabs>
              <w:spacing w:after="0" w:line="240" w:lineRule="auto"/>
              <w:jc w:val="center"/>
              <w:rPr>
                <w:rFonts w:ascii="Book Antiqua" w:hAnsi="Book Antiqua" w:cs="Calibri"/>
                <w:b/>
                <w:bCs/>
                <w:color w:val="FFFFFF"/>
                <w:sz w:val="18"/>
                <w:szCs w:val="18"/>
                <w:lang w:eastAsia="es-CR"/>
              </w:rPr>
            </w:pPr>
            <w:r w:rsidRPr="00C005C0">
              <w:rPr>
                <w:rFonts w:ascii="Book Antiqua" w:hAnsi="Book Antiqua" w:cs="Calibri"/>
                <w:b/>
                <w:bCs/>
                <w:color w:val="FFFFFF"/>
                <w:sz w:val="18"/>
                <w:szCs w:val="18"/>
                <w:lang w:eastAsia="es-CR"/>
              </w:rPr>
              <w:t>Oficina Líder</w:t>
            </w:r>
          </w:p>
        </w:tc>
        <w:tc>
          <w:tcPr>
            <w:tcW w:w="951" w:type="pct"/>
            <w:shd w:val="clear" w:color="auto" w:fill="44546A" w:themeFill="text2"/>
            <w:vAlign w:val="center"/>
          </w:tcPr>
          <w:p w14:paraId="73FF5E7C" w14:textId="77777777" w:rsidR="00FD7841" w:rsidRPr="00C005C0" w:rsidRDefault="00FD7841" w:rsidP="00B56C1A">
            <w:pPr>
              <w:tabs>
                <w:tab w:val="left" w:pos="0"/>
              </w:tabs>
              <w:spacing w:after="0" w:line="240" w:lineRule="auto"/>
              <w:jc w:val="center"/>
              <w:rPr>
                <w:rFonts w:ascii="Book Antiqua" w:hAnsi="Book Antiqua" w:cs="Calibri"/>
                <w:b/>
                <w:bCs/>
                <w:color w:val="FFFFFF"/>
                <w:sz w:val="18"/>
                <w:szCs w:val="18"/>
                <w:lang w:eastAsia="es-CR"/>
              </w:rPr>
            </w:pPr>
            <w:r w:rsidRPr="00C005C0">
              <w:rPr>
                <w:rFonts w:ascii="Book Antiqua" w:hAnsi="Book Antiqua" w:cs="Calibri"/>
                <w:b/>
                <w:bCs/>
                <w:color w:val="FFFFFF"/>
                <w:sz w:val="18"/>
                <w:szCs w:val="18"/>
                <w:lang w:eastAsia="es-CR"/>
              </w:rPr>
              <w:t>Líder del Proyecto</w:t>
            </w:r>
          </w:p>
        </w:tc>
        <w:tc>
          <w:tcPr>
            <w:tcW w:w="863" w:type="pct"/>
            <w:shd w:val="clear" w:color="auto" w:fill="44546A" w:themeFill="text2"/>
            <w:vAlign w:val="center"/>
          </w:tcPr>
          <w:p w14:paraId="26D8B482" w14:textId="77777777" w:rsidR="00FD7841" w:rsidRPr="00C005C0" w:rsidRDefault="00FD7841" w:rsidP="00B56C1A">
            <w:pPr>
              <w:tabs>
                <w:tab w:val="left" w:pos="0"/>
              </w:tabs>
              <w:spacing w:after="0" w:line="240" w:lineRule="auto"/>
              <w:jc w:val="center"/>
              <w:rPr>
                <w:rFonts w:ascii="Book Antiqua" w:hAnsi="Book Antiqua" w:cs="Calibri"/>
                <w:b/>
                <w:bCs/>
                <w:color w:val="FFFFFF"/>
                <w:sz w:val="18"/>
                <w:szCs w:val="18"/>
                <w:lang w:eastAsia="es-CR"/>
              </w:rPr>
            </w:pPr>
            <w:r>
              <w:rPr>
                <w:rFonts w:ascii="Book Antiqua" w:hAnsi="Book Antiqua" w:cs="Calibri"/>
                <w:b/>
                <w:bCs/>
                <w:color w:val="FFFFFF"/>
                <w:sz w:val="18"/>
                <w:szCs w:val="18"/>
                <w:lang w:eastAsia="es-CR"/>
              </w:rPr>
              <w:t>Fecha de elaboración del informe de cierre</w:t>
            </w:r>
          </w:p>
        </w:tc>
      </w:tr>
      <w:tr w:rsidR="00FD7841" w:rsidRPr="00C005C0" w14:paraId="6D8DD684" w14:textId="77777777" w:rsidTr="00E24FCA">
        <w:trPr>
          <w:trHeight w:val="660"/>
          <w:jc w:val="center"/>
        </w:trPr>
        <w:tc>
          <w:tcPr>
            <w:tcW w:w="880" w:type="pct"/>
            <w:shd w:val="clear" w:color="auto" w:fill="auto"/>
            <w:noWrap/>
            <w:vAlign w:val="center"/>
          </w:tcPr>
          <w:p w14:paraId="09FA23EC"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lang w:eastAsia="es-CR"/>
              </w:rPr>
            </w:pPr>
            <w:r w:rsidRPr="00C005C0">
              <w:rPr>
                <w:rFonts w:ascii="Book Antiqua" w:hAnsi="Book Antiqua" w:cs="Calibri"/>
                <w:color w:val="000000"/>
                <w:sz w:val="18"/>
                <w:szCs w:val="18"/>
              </w:rPr>
              <w:t>0032-DP-P05</w:t>
            </w:r>
          </w:p>
        </w:tc>
        <w:tc>
          <w:tcPr>
            <w:tcW w:w="1288" w:type="pct"/>
            <w:shd w:val="clear" w:color="auto" w:fill="auto"/>
            <w:vAlign w:val="center"/>
          </w:tcPr>
          <w:p w14:paraId="5C40CEA7"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lang w:eastAsia="es-CR"/>
              </w:rPr>
            </w:pPr>
            <w:r w:rsidRPr="00C005C0">
              <w:rPr>
                <w:rFonts w:ascii="Book Antiqua" w:hAnsi="Book Antiqua" w:cs="Calibri"/>
                <w:color w:val="000000"/>
                <w:sz w:val="18"/>
                <w:szCs w:val="18"/>
              </w:rPr>
              <w:t>Implantación del Sistema de Seguimiento de Casos</w:t>
            </w:r>
          </w:p>
        </w:tc>
        <w:tc>
          <w:tcPr>
            <w:tcW w:w="1018" w:type="pct"/>
            <w:shd w:val="clear" w:color="auto" w:fill="FFFFFF" w:themeFill="background1"/>
            <w:vAlign w:val="center"/>
          </w:tcPr>
          <w:p w14:paraId="3D44C62B"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lang w:eastAsia="es-CR"/>
              </w:rPr>
            </w:pPr>
            <w:r w:rsidRPr="00C005C0">
              <w:rPr>
                <w:rFonts w:ascii="Book Antiqua" w:hAnsi="Book Antiqua" w:cs="Calibri"/>
                <w:color w:val="000000"/>
                <w:sz w:val="18"/>
                <w:szCs w:val="18"/>
                <w:lang w:eastAsia="es-CR"/>
              </w:rPr>
              <w:t>Jefatura Defensa Publica</w:t>
            </w:r>
          </w:p>
        </w:tc>
        <w:tc>
          <w:tcPr>
            <w:tcW w:w="951" w:type="pct"/>
            <w:shd w:val="clear" w:color="auto" w:fill="FFFFFF" w:themeFill="background1"/>
            <w:vAlign w:val="center"/>
          </w:tcPr>
          <w:p w14:paraId="12732FDF"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lang w:eastAsia="es-CR"/>
              </w:rPr>
            </w:pPr>
            <w:r w:rsidRPr="00C005C0">
              <w:rPr>
                <w:rFonts w:ascii="Book Antiqua" w:hAnsi="Book Antiqua" w:cs="Calibri"/>
                <w:color w:val="000000"/>
                <w:sz w:val="18"/>
                <w:szCs w:val="18"/>
                <w:lang w:eastAsia="es-CR"/>
              </w:rPr>
              <w:t>Orlando Vargas Chacón</w:t>
            </w:r>
          </w:p>
        </w:tc>
        <w:tc>
          <w:tcPr>
            <w:tcW w:w="863" w:type="pct"/>
            <w:shd w:val="clear" w:color="auto" w:fill="FFFFFF" w:themeFill="background1"/>
            <w:vAlign w:val="center"/>
          </w:tcPr>
          <w:p w14:paraId="68004617"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lang w:eastAsia="es-CR"/>
              </w:rPr>
            </w:pPr>
            <w:r>
              <w:rPr>
                <w:rFonts w:ascii="Book Antiqua" w:hAnsi="Book Antiqua" w:cs="Calibri"/>
                <w:color w:val="000000"/>
                <w:sz w:val="18"/>
                <w:szCs w:val="18"/>
                <w:lang w:eastAsia="es-CR"/>
              </w:rPr>
              <w:t>30 de octubre del 2022</w:t>
            </w:r>
          </w:p>
        </w:tc>
      </w:tr>
      <w:tr w:rsidR="00FD7841" w:rsidRPr="00C005C0" w14:paraId="59DCE1CA" w14:textId="77777777" w:rsidTr="00E24FCA">
        <w:trPr>
          <w:trHeight w:val="660"/>
          <w:jc w:val="center"/>
        </w:trPr>
        <w:tc>
          <w:tcPr>
            <w:tcW w:w="880" w:type="pct"/>
            <w:shd w:val="clear" w:color="auto" w:fill="auto"/>
            <w:noWrap/>
            <w:vAlign w:val="center"/>
          </w:tcPr>
          <w:p w14:paraId="756B70F3" w14:textId="77777777" w:rsidR="00FD7841" w:rsidRPr="005915F5" w:rsidRDefault="00FD7841" w:rsidP="00B56C1A">
            <w:pPr>
              <w:tabs>
                <w:tab w:val="left" w:pos="0"/>
              </w:tabs>
              <w:spacing w:after="0" w:line="240" w:lineRule="auto"/>
              <w:jc w:val="center"/>
              <w:rPr>
                <w:rFonts w:ascii="Book Antiqua" w:hAnsi="Book Antiqua" w:cs="Calibri"/>
                <w:color w:val="000000"/>
                <w:sz w:val="18"/>
                <w:szCs w:val="18"/>
              </w:rPr>
            </w:pPr>
            <w:r w:rsidRPr="005915F5">
              <w:rPr>
                <w:rFonts w:ascii="Book Antiqua" w:eastAsia="Times New Roman" w:hAnsi="Book Antiqua" w:cs="Calibri"/>
                <w:color w:val="000000"/>
                <w:sz w:val="18"/>
                <w:szCs w:val="18"/>
                <w:lang w:eastAsia="es-CR"/>
              </w:rPr>
              <w:t>0110-PLA-P20</w:t>
            </w:r>
          </w:p>
        </w:tc>
        <w:tc>
          <w:tcPr>
            <w:tcW w:w="1288" w:type="pct"/>
            <w:shd w:val="clear" w:color="auto" w:fill="auto"/>
            <w:vAlign w:val="center"/>
          </w:tcPr>
          <w:p w14:paraId="35D902CE" w14:textId="77777777" w:rsidR="00FD7841" w:rsidRPr="005915F5" w:rsidRDefault="00FD7841" w:rsidP="00B56C1A">
            <w:pPr>
              <w:tabs>
                <w:tab w:val="left" w:pos="0"/>
              </w:tabs>
              <w:spacing w:after="0" w:line="240" w:lineRule="auto"/>
              <w:jc w:val="center"/>
              <w:rPr>
                <w:rFonts w:ascii="Book Antiqua" w:hAnsi="Book Antiqua" w:cs="Calibri"/>
                <w:color w:val="000000"/>
                <w:sz w:val="18"/>
                <w:szCs w:val="18"/>
              </w:rPr>
            </w:pPr>
            <w:r w:rsidRPr="005915F5">
              <w:rPr>
                <w:rFonts w:ascii="Book Antiqua" w:eastAsia="Times New Roman" w:hAnsi="Book Antiqua" w:cs="Calibri"/>
                <w:color w:val="000000"/>
                <w:sz w:val="18"/>
                <w:szCs w:val="18"/>
                <w:lang w:eastAsia="es-CR"/>
              </w:rPr>
              <w:t>Actualización de fórmulas estadísticas y elaboración instructivos estadísticos por materias</w:t>
            </w:r>
          </w:p>
        </w:tc>
        <w:tc>
          <w:tcPr>
            <w:tcW w:w="1018" w:type="pct"/>
            <w:shd w:val="clear" w:color="auto" w:fill="auto"/>
            <w:vAlign w:val="center"/>
          </w:tcPr>
          <w:p w14:paraId="614D5B4C"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B036E2">
              <w:rPr>
                <w:rFonts w:ascii="Book Antiqua" w:eastAsia="Times New Roman" w:hAnsi="Book Antiqua" w:cs="Calibri"/>
                <w:color w:val="000000"/>
                <w:sz w:val="18"/>
                <w:szCs w:val="18"/>
                <w:lang w:eastAsia="es-CR"/>
              </w:rPr>
              <w:t xml:space="preserve">Subproceso </w:t>
            </w:r>
            <w:r>
              <w:rPr>
                <w:rFonts w:ascii="Book Antiqua" w:eastAsia="Times New Roman" w:hAnsi="Book Antiqua" w:cs="Calibri"/>
                <w:color w:val="000000"/>
                <w:sz w:val="18"/>
                <w:szCs w:val="18"/>
                <w:lang w:eastAsia="es-CR"/>
              </w:rPr>
              <w:t>E</w:t>
            </w:r>
            <w:r w:rsidRPr="00B036E2">
              <w:rPr>
                <w:rFonts w:ascii="Book Antiqua" w:eastAsia="Times New Roman" w:hAnsi="Book Antiqua" w:cs="Calibri"/>
                <w:color w:val="000000"/>
                <w:sz w:val="18"/>
                <w:szCs w:val="18"/>
                <w:lang w:eastAsia="es-CR"/>
              </w:rPr>
              <w:t>stadística</w:t>
            </w:r>
          </w:p>
        </w:tc>
        <w:tc>
          <w:tcPr>
            <w:tcW w:w="951" w:type="pct"/>
            <w:shd w:val="clear" w:color="auto" w:fill="FFFFFF" w:themeFill="background1"/>
            <w:vAlign w:val="center"/>
          </w:tcPr>
          <w:p w14:paraId="6FB450DE"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lang w:eastAsia="es-CR"/>
              </w:rPr>
              <w:t>Marlen Vargas Benavides</w:t>
            </w:r>
          </w:p>
        </w:tc>
        <w:tc>
          <w:tcPr>
            <w:tcW w:w="863" w:type="pct"/>
            <w:shd w:val="clear" w:color="auto" w:fill="FFFFFF" w:themeFill="background1"/>
            <w:vAlign w:val="center"/>
          </w:tcPr>
          <w:p w14:paraId="738F41D1"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lang w:eastAsia="es-CR"/>
              </w:rPr>
            </w:pPr>
            <w:r>
              <w:rPr>
                <w:rFonts w:ascii="Book Antiqua" w:hAnsi="Book Antiqua" w:cs="Calibri"/>
                <w:color w:val="000000"/>
                <w:sz w:val="18"/>
                <w:szCs w:val="18"/>
                <w:lang w:eastAsia="es-CR"/>
              </w:rPr>
              <w:t>31 de octubre del 2022</w:t>
            </w:r>
          </w:p>
        </w:tc>
      </w:tr>
      <w:tr w:rsidR="00FD7841" w:rsidRPr="00C005C0" w14:paraId="30D499A0" w14:textId="77777777" w:rsidTr="00E24FCA">
        <w:trPr>
          <w:trHeight w:val="660"/>
          <w:jc w:val="center"/>
        </w:trPr>
        <w:tc>
          <w:tcPr>
            <w:tcW w:w="880" w:type="pct"/>
            <w:shd w:val="clear" w:color="auto" w:fill="auto"/>
            <w:noWrap/>
            <w:vAlign w:val="center"/>
          </w:tcPr>
          <w:p w14:paraId="09CEEDC2"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0117-DE-P08</w:t>
            </w:r>
          </w:p>
        </w:tc>
        <w:tc>
          <w:tcPr>
            <w:tcW w:w="1288" w:type="pct"/>
            <w:shd w:val="clear" w:color="auto" w:fill="auto"/>
            <w:vAlign w:val="center"/>
          </w:tcPr>
          <w:p w14:paraId="6283EA1D"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Adquisición de Propiedades OIJ</w:t>
            </w:r>
          </w:p>
        </w:tc>
        <w:tc>
          <w:tcPr>
            <w:tcW w:w="1018" w:type="pct"/>
            <w:shd w:val="clear" w:color="auto" w:fill="FFFFFF" w:themeFill="background1"/>
            <w:vAlign w:val="center"/>
          </w:tcPr>
          <w:p w14:paraId="79B9550A"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Departamento de Servicios Generales</w:t>
            </w:r>
          </w:p>
        </w:tc>
        <w:tc>
          <w:tcPr>
            <w:tcW w:w="951" w:type="pct"/>
            <w:shd w:val="clear" w:color="auto" w:fill="FFFFFF" w:themeFill="background1"/>
            <w:vAlign w:val="center"/>
          </w:tcPr>
          <w:p w14:paraId="56006029"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Héctor Maroto Cambronero</w:t>
            </w:r>
          </w:p>
        </w:tc>
        <w:tc>
          <w:tcPr>
            <w:tcW w:w="863" w:type="pct"/>
            <w:shd w:val="clear" w:color="auto" w:fill="FFFFFF" w:themeFill="background1"/>
            <w:vAlign w:val="center"/>
          </w:tcPr>
          <w:p w14:paraId="6775E4BA"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Pr>
                <w:rFonts w:ascii="Book Antiqua" w:hAnsi="Book Antiqua" w:cs="Calibri"/>
                <w:color w:val="000000"/>
                <w:sz w:val="18"/>
                <w:szCs w:val="18"/>
              </w:rPr>
              <w:t>24 de junio del 2022</w:t>
            </w:r>
          </w:p>
        </w:tc>
      </w:tr>
      <w:tr w:rsidR="00FD7841" w:rsidRPr="00C005C0" w14:paraId="2543407F" w14:textId="77777777" w:rsidTr="00E24FCA">
        <w:trPr>
          <w:trHeight w:val="660"/>
          <w:jc w:val="center"/>
        </w:trPr>
        <w:tc>
          <w:tcPr>
            <w:tcW w:w="880" w:type="pct"/>
            <w:shd w:val="clear" w:color="auto" w:fill="auto"/>
            <w:noWrap/>
            <w:vAlign w:val="center"/>
          </w:tcPr>
          <w:p w14:paraId="671651BC"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0134-DGH-P06</w:t>
            </w:r>
          </w:p>
        </w:tc>
        <w:tc>
          <w:tcPr>
            <w:tcW w:w="1288" w:type="pct"/>
            <w:shd w:val="clear" w:color="auto" w:fill="auto"/>
            <w:vAlign w:val="center"/>
          </w:tcPr>
          <w:p w14:paraId="5E4A857E"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Modernización del Proceso de Evaluación Psicológica (Puestos de Judicatura)</w:t>
            </w:r>
          </w:p>
        </w:tc>
        <w:tc>
          <w:tcPr>
            <w:tcW w:w="1018" w:type="pct"/>
            <w:shd w:val="clear" w:color="auto" w:fill="FFFFFF" w:themeFill="background1"/>
            <w:vAlign w:val="center"/>
          </w:tcPr>
          <w:p w14:paraId="6BF017B3"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Sección de Administración de la Carrera Judicial</w:t>
            </w:r>
          </w:p>
        </w:tc>
        <w:tc>
          <w:tcPr>
            <w:tcW w:w="951" w:type="pct"/>
            <w:shd w:val="clear" w:color="auto" w:fill="FFFFFF" w:themeFill="background1"/>
            <w:vAlign w:val="center"/>
          </w:tcPr>
          <w:p w14:paraId="74CA2190"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Ulises Fallas Barrantes / Laura Marcela Gutiérrez Escobar</w:t>
            </w:r>
          </w:p>
        </w:tc>
        <w:tc>
          <w:tcPr>
            <w:tcW w:w="863" w:type="pct"/>
            <w:shd w:val="clear" w:color="auto" w:fill="FFFFFF" w:themeFill="background1"/>
            <w:vAlign w:val="center"/>
          </w:tcPr>
          <w:p w14:paraId="0976951D"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893941">
              <w:rPr>
                <w:rFonts w:ascii="Book Antiqua" w:hAnsi="Book Antiqua" w:cs="Calibri"/>
                <w:color w:val="000000"/>
                <w:sz w:val="18"/>
                <w:szCs w:val="18"/>
              </w:rPr>
              <w:t>30 de octubre de 2022</w:t>
            </w:r>
          </w:p>
        </w:tc>
      </w:tr>
      <w:tr w:rsidR="00FD7841" w:rsidRPr="00C005C0" w14:paraId="2B9705B3" w14:textId="77777777" w:rsidTr="00E24FCA">
        <w:trPr>
          <w:trHeight w:val="592"/>
          <w:jc w:val="center"/>
        </w:trPr>
        <w:tc>
          <w:tcPr>
            <w:tcW w:w="880" w:type="pct"/>
            <w:shd w:val="clear" w:color="auto" w:fill="auto"/>
            <w:noWrap/>
            <w:vAlign w:val="center"/>
          </w:tcPr>
          <w:p w14:paraId="200DFC24"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1167-OIJ-P22</w:t>
            </w:r>
          </w:p>
        </w:tc>
        <w:tc>
          <w:tcPr>
            <w:tcW w:w="1288" w:type="pct"/>
            <w:shd w:val="clear" w:color="auto" w:fill="auto"/>
            <w:vAlign w:val="center"/>
          </w:tcPr>
          <w:p w14:paraId="538EA6CD"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Sistema de Análisis de Crímenes Violentos</w:t>
            </w:r>
          </w:p>
        </w:tc>
        <w:tc>
          <w:tcPr>
            <w:tcW w:w="1018" w:type="pct"/>
            <w:shd w:val="clear" w:color="auto" w:fill="FFFFFF" w:themeFill="background1"/>
            <w:vAlign w:val="center"/>
          </w:tcPr>
          <w:p w14:paraId="22A1E961"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Plataforma de Información Policial</w:t>
            </w:r>
          </w:p>
        </w:tc>
        <w:tc>
          <w:tcPr>
            <w:tcW w:w="951" w:type="pct"/>
            <w:shd w:val="clear" w:color="auto" w:fill="FFFFFF" w:themeFill="background1"/>
            <w:vAlign w:val="center"/>
          </w:tcPr>
          <w:p w14:paraId="3882FF16" w14:textId="77777777" w:rsidR="00FD7841" w:rsidRPr="00C005C0" w:rsidRDefault="00FD7841" w:rsidP="00B56C1A">
            <w:pPr>
              <w:tabs>
                <w:tab w:val="left" w:pos="0"/>
              </w:tabs>
              <w:spacing w:after="0"/>
              <w:jc w:val="center"/>
              <w:rPr>
                <w:rFonts w:ascii="Book Antiqua" w:hAnsi="Book Antiqua" w:cs="Calibri"/>
                <w:color w:val="000000"/>
                <w:sz w:val="18"/>
                <w:szCs w:val="18"/>
              </w:rPr>
            </w:pPr>
            <w:r w:rsidRPr="00C005C0">
              <w:rPr>
                <w:rFonts w:ascii="Book Antiqua" w:hAnsi="Book Antiqua" w:cs="Calibri"/>
                <w:color w:val="000000"/>
                <w:sz w:val="18"/>
                <w:szCs w:val="18"/>
              </w:rPr>
              <w:t>Luis Antonio Mata Carpio</w:t>
            </w:r>
          </w:p>
        </w:tc>
        <w:tc>
          <w:tcPr>
            <w:tcW w:w="863" w:type="pct"/>
            <w:shd w:val="clear" w:color="auto" w:fill="FFFFFF" w:themeFill="background1"/>
            <w:vAlign w:val="center"/>
          </w:tcPr>
          <w:p w14:paraId="1480C876" w14:textId="77777777" w:rsidR="00FD7841" w:rsidRPr="00C005C0" w:rsidRDefault="00FD7841" w:rsidP="00B56C1A">
            <w:pPr>
              <w:tabs>
                <w:tab w:val="left" w:pos="0"/>
              </w:tabs>
              <w:spacing w:after="0"/>
              <w:jc w:val="center"/>
              <w:rPr>
                <w:rFonts w:ascii="Book Antiqua" w:hAnsi="Book Antiqua" w:cs="Calibri"/>
                <w:color w:val="000000"/>
                <w:sz w:val="18"/>
                <w:szCs w:val="18"/>
              </w:rPr>
            </w:pPr>
            <w:r>
              <w:rPr>
                <w:rFonts w:ascii="Book Antiqua" w:hAnsi="Book Antiqua" w:cs="Calibri"/>
                <w:color w:val="000000"/>
                <w:sz w:val="18"/>
                <w:szCs w:val="18"/>
              </w:rPr>
              <w:t>1 de setiembre del 2022</w:t>
            </w:r>
          </w:p>
        </w:tc>
      </w:tr>
      <w:tr w:rsidR="00FD7841" w:rsidRPr="00C005C0" w14:paraId="56AC0143" w14:textId="77777777" w:rsidTr="00E24FCA">
        <w:trPr>
          <w:trHeight w:val="660"/>
          <w:jc w:val="center"/>
        </w:trPr>
        <w:tc>
          <w:tcPr>
            <w:tcW w:w="880" w:type="pct"/>
            <w:shd w:val="clear" w:color="auto" w:fill="auto"/>
            <w:noWrap/>
            <w:vAlign w:val="center"/>
          </w:tcPr>
          <w:p w14:paraId="5BC26BA8"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1377-PJR-P03</w:t>
            </w:r>
          </w:p>
        </w:tc>
        <w:tc>
          <w:tcPr>
            <w:tcW w:w="1288" w:type="pct"/>
            <w:shd w:val="clear" w:color="auto" w:fill="auto"/>
            <w:vAlign w:val="center"/>
          </w:tcPr>
          <w:p w14:paraId="4CA8FEBF"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Proyecto de Cooperación Fortalecimiento de Penal Juvenil y Justicia Restaurativa</w:t>
            </w:r>
          </w:p>
        </w:tc>
        <w:tc>
          <w:tcPr>
            <w:tcW w:w="1018" w:type="pct"/>
            <w:shd w:val="clear" w:color="auto" w:fill="FFFFFF" w:themeFill="background1"/>
            <w:vAlign w:val="center"/>
          </w:tcPr>
          <w:p w14:paraId="0A41C2C0"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Programa Justicia Restaurativa</w:t>
            </w:r>
          </w:p>
        </w:tc>
        <w:tc>
          <w:tcPr>
            <w:tcW w:w="951" w:type="pct"/>
            <w:shd w:val="clear" w:color="auto" w:fill="FFFFFF" w:themeFill="background1"/>
            <w:vAlign w:val="center"/>
          </w:tcPr>
          <w:p w14:paraId="17D8FFAB"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Jovanna Calderón Altamirano</w:t>
            </w:r>
          </w:p>
        </w:tc>
        <w:tc>
          <w:tcPr>
            <w:tcW w:w="863" w:type="pct"/>
            <w:shd w:val="clear" w:color="auto" w:fill="FFFFFF" w:themeFill="background1"/>
            <w:vAlign w:val="center"/>
          </w:tcPr>
          <w:p w14:paraId="7AD4F445"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A70419">
              <w:rPr>
                <w:rFonts w:ascii="Book Antiqua" w:hAnsi="Book Antiqua" w:cs="Calibri"/>
                <w:color w:val="000000"/>
                <w:sz w:val="18"/>
                <w:szCs w:val="18"/>
              </w:rPr>
              <w:t>31 agosto 2022</w:t>
            </w:r>
          </w:p>
        </w:tc>
      </w:tr>
      <w:tr w:rsidR="00FD7841" w:rsidRPr="00C005C0" w14:paraId="2481F140" w14:textId="77777777" w:rsidTr="00E24FCA">
        <w:trPr>
          <w:trHeight w:val="660"/>
          <w:jc w:val="center"/>
        </w:trPr>
        <w:tc>
          <w:tcPr>
            <w:tcW w:w="880" w:type="pct"/>
            <w:shd w:val="clear" w:color="auto" w:fill="FFFFFF" w:themeFill="background1"/>
            <w:noWrap/>
            <w:vAlign w:val="center"/>
          </w:tcPr>
          <w:p w14:paraId="1FB94D78"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0110-PLA-P09</w:t>
            </w:r>
          </w:p>
        </w:tc>
        <w:tc>
          <w:tcPr>
            <w:tcW w:w="1288" w:type="pct"/>
            <w:shd w:val="clear" w:color="auto" w:fill="auto"/>
            <w:vAlign w:val="center"/>
          </w:tcPr>
          <w:p w14:paraId="22DDBE2D"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Modelo para la Administración del Portafolio de Proyectos Estratégicos</w:t>
            </w:r>
          </w:p>
        </w:tc>
        <w:tc>
          <w:tcPr>
            <w:tcW w:w="1018" w:type="pct"/>
            <w:shd w:val="clear" w:color="auto" w:fill="FFFFFF" w:themeFill="background1"/>
            <w:vAlign w:val="center"/>
          </w:tcPr>
          <w:p w14:paraId="2FD58610"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Subproceso Formulación de Presupuesto y Portafolio de Proyectos Institucionales</w:t>
            </w:r>
          </w:p>
        </w:tc>
        <w:tc>
          <w:tcPr>
            <w:tcW w:w="951" w:type="pct"/>
            <w:shd w:val="clear" w:color="auto" w:fill="FFFFFF" w:themeFill="background1"/>
            <w:vAlign w:val="center"/>
          </w:tcPr>
          <w:p w14:paraId="2D84D2C1"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Yesenia Salazar Guzmán</w:t>
            </w:r>
          </w:p>
        </w:tc>
        <w:tc>
          <w:tcPr>
            <w:tcW w:w="863" w:type="pct"/>
            <w:shd w:val="clear" w:color="auto" w:fill="FFFFFF" w:themeFill="background1"/>
            <w:vAlign w:val="center"/>
          </w:tcPr>
          <w:p w14:paraId="5B95FFC4"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Pr>
                <w:rFonts w:ascii="Book Antiqua" w:hAnsi="Book Antiqua" w:cs="Calibri"/>
                <w:color w:val="000000"/>
                <w:sz w:val="18"/>
                <w:szCs w:val="18"/>
              </w:rPr>
              <w:t>30 junio del 2022</w:t>
            </w:r>
          </w:p>
        </w:tc>
      </w:tr>
      <w:tr w:rsidR="00FD7841" w:rsidRPr="00C005C0" w14:paraId="64F1E107" w14:textId="77777777" w:rsidTr="00E24FCA">
        <w:trPr>
          <w:trHeight w:val="660"/>
          <w:jc w:val="center"/>
        </w:trPr>
        <w:tc>
          <w:tcPr>
            <w:tcW w:w="880" w:type="pct"/>
            <w:shd w:val="clear" w:color="auto" w:fill="FFFFFF" w:themeFill="background1"/>
            <w:noWrap/>
            <w:vAlign w:val="center"/>
          </w:tcPr>
          <w:p w14:paraId="2810DF12"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lastRenderedPageBreak/>
              <w:t>0117-DE-P20</w:t>
            </w:r>
          </w:p>
        </w:tc>
        <w:tc>
          <w:tcPr>
            <w:tcW w:w="1288" w:type="pct"/>
            <w:shd w:val="clear" w:color="auto" w:fill="auto"/>
            <w:vAlign w:val="center"/>
          </w:tcPr>
          <w:p w14:paraId="2A4A7F92" w14:textId="77777777" w:rsidR="00FD7841" w:rsidRPr="00193F94" w:rsidRDefault="00FD7841" w:rsidP="00B56C1A">
            <w:pPr>
              <w:tabs>
                <w:tab w:val="left" w:pos="0"/>
              </w:tabs>
              <w:spacing w:after="0" w:line="240" w:lineRule="auto"/>
              <w:jc w:val="center"/>
              <w:rPr>
                <w:rFonts w:ascii="Book Antiqua" w:hAnsi="Book Antiqua" w:cs="Calibri"/>
                <w:color w:val="000000"/>
                <w:sz w:val="18"/>
                <w:szCs w:val="18"/>
              </w:rPr>
            </w:pPr>
            <w:r w:rsidRPr="00193F94">
              <w:rPr>
                <w:rFonts w:ascii="Book Antiqua" w:hAnsi="Book Antiqua" w:cs="Calibri"/>
                <w:color w:val="000000"/>
                <w:sz w:val="18"/>
                <w:szCs w:val="18"/>
              </w:rPr>
              <w:t>Abordaje de los requerimientos emitidos por la Superintendencia de Pensiones al Fondo de Jubilaciones del Poder Judicial y Pensiones</w:t>
            </w:r>
          </w:p>
        </w:tc>
        <w:tc>
          <w:tcPr>
            <w:tcW w:w="1018" w:type="pct"/>
            <w:shd w:val="clear" w:color="auto" w:fill="FFFFFF" w:themeFill="background1"/>
            <w:vAlign w:val="center"/>
          </w:tcPr>
          <w:p w14:paraId="070CC934" w14:textId="77777777" w:rsidR="00FD7841" w:rsidRPr="00193F94" w:rsidRDefault="00FD7841" w:rsidP="00B56C1A">
            <w:pPr>
              <w:tabs>
                <w:tab w:val="left" w:pos="0"/>
              </w:tabs>
              <w:spacing w:after="0" w:line="240" w:lineRule="auto"/>
              <w:jc w:val="center"/>
              <w:rPr>
                <w:rFonts w:ascii="Book Antiqua" w:hAnsi="Book Antiqua" w:cs="Calibri"/>
                <w:color w:val="000000"/>
                <w:sz w:val="18"/>
                <w:szCs w:val="18"/>
              </w:rPr>
            </w:pPr>
            <w:r w:rsidRPr="00193F94">
              <w:rPr>
                <w:rFonts w:ascii="Book Antiqua" w:hAnsi="Book Antiqua" w:cs="Calibri"/>
                <w:color w:val="000000"/>
                <w:sz w:val="18"/>
                <w:szCs w:val="18"/>
              </w:rPr>
              <w:t>Departamento Financiero Contable</w:t>
            </w:r>
          </w:p>
        </w:tc>
        <w:tc>
          <w:tcPr>
            <w:tcW w:w="951" w:type="pct"/>
            <w:shd w:val="clear" w:color="auto" w:fill="FFFFFF" w:themeFill="background1"/>
            <w:vAlign w:val="center"/>
          </w:tcPr>
          <w:p w14:paraId="108F761B" w14:textId="77777777" w:rsidR="00FD7841" w:rsidRPr="00193F94" w:rsidRDefault="00FD7841" w:rsidP="00B56C1A">
            <w:pPr>
              <w:tabs>
                <w:tab w:val="left" w:pos="0"/>
              </w:tabs>
              <w:spacing w:after="0" w:line="240" w:lineRule="auto"/>
              <w:jc w:val="center"/>
              <w:rPr>
                <w:rFonts w:ascii="Book Antiqua" w:hAnsi="Book Antiqua" w:cs="Calibri"/>
                <w:color w:val="000000"/>
                <w:sz w:val="18"/>
                <w:szCs w:val="18"/>
              </w:rPr>
            </w:pPr>
            <w:r w:rsidRPr="00193F94">
              <w:rPr>
                <w:rFonts w:ascii="Book Antiqua" w:hAnsi="Book Antiqua" w:cs="Calibri"/>
                <w:color w:val="000000"/>
                <w:sz w:val="18"/>
                <w:szCs w:val="18"/>
              </w:rPr>
              <w:t>Oslean Mora Valdez</w:t>
            </w:r>
          </w:p>
        </w:tc>
        <w:tc>
          <w:tcPr>
            <w:tcW w:w="863" w:type="pct"/>
            <w:shd w:val="clear" w:color="auto" w:fill="FFFFFF" w:themeFill="background1"/>
            <w:vAlign w:val="center"/>
          </w:tcPr>
          <w:p w14:paraId="6AB2B5B5" w14:textId="77777777" w:rsidR="00FD7841" w:rsidRPr="00193F94" w:rsidRDefault="00FD7841" w:rsidP="00B56C1A">
            <w:pPr>
              <w:tabs>
                <w:tab w:val="left" w:pos="0"/>
              </w:tabs>
              <w:spacing w:after="0" w:line="240" w:lineRule="auto"/>
              <w:jc w:val="center"/>
              <w:rPr>
                <w:rFonts w:ascii="Book Antiqua" w:hAnsi="Book Antiqua" w:cs="Calibri"/>
                <w:color w:val="000000"/>
                <w:sz w:val="18"/>
                <w:szCs w:val="18"/>
              </w:rPr>
            </w:pPr>
            <w:r w:rsidRPr="00193F94">
              <w:rPr>
                <w:rFonts w:ascii="Book Antiqua" w:hAnsi="Book Antiqua" w:cs="Calibri"/>
                <w:color w:val="000000"/>
                <w:sz w:val="18"/>
                <w:szCs w:val="18"/>
              </w:rPr>
              <w:t>20 de julio del 2022</w:t>
            </w:r>
          </w:p>
        </w:tc>
      </w:tr>
      <w:tr w:rsidR="00FD7841" w:rsidRPr="00C005C0" w14:paraId="2496D067" w14:textId="77777777" w:rsidTr="00E24FCA">
        <w:trPr>
          <w:trHeight w:val="660"/>
          <w:jc w:val="center"/>
        </w:trPr>
        <w:tc>
          <w:tcPr>
            <w:tcW w:w="880" w:type="pct"/>
            <w:shd w:val="clear" w:color="auto" w:fill="FFFFFF" w:themeFill="background1"/>
            <w:noWrap/>
            <w:vAlign w:val="center"/>
          </w:tcPr>
          <w:p w14:paraId="2E52C88C"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0122-DTI-P12</w:t>
            </w:r>
          </w:p>
        </w:tc>
        <w:tc>
          <w:tcPr>
            <w:tcW w:w="1288" w:type="pct"/>
            <w:shd w:val="clear" w:color="auto" w:fill="auto"/>
            <w:vAlign w:val="center"/>
          </w:tcPr>
          <w:p w14:paraId="38E47821"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Modernización del Sistema de Gestión en Línea y la Aplicación Móvil</w:t>
            </w:r>
          </w:p>
        </w:tc>
        <w:tc>
          <w:tcPr>
            <w:tcW w:w="1018" w:type="pct"/>
            <w:shd w:val="clear" w:color="auto" w:fill="FFFFFF" w:themeFill="background1"/>
            <w:vAlign w:val="center"/>
          </w:tcPr>
          <w:p w14:paraId="2FE15897"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Subproceso Sistemas Jurisdiccionales</w:t>
            </w:r>
          </w:p>
        </w:tc>
        <w:tc>
          <w:tcPr>
            <w:tcW w:w="951" w:type="pct"/>
            <w:shd w:val="clear" w:color="auto" w:fill="FFFFFF" w:themeFill="background1"/>
            <w:vAlign w:val="center"/>
          </w:tcPr>
          <w:p w14:paraId="73106115"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Manuel Alejandro Villalta Ruiz</w:t>
            </w:r>
          </w:p>
        </w:tc>
        <w:tc>
          <w:tcPr>
            <w:tcW w:w="863" w:type="pct"/>
            <w:shd w:val="clear" w:color="auto" w:fill="FFFFFF" w:themeFill="background1"/>
            <w:vAlign w:val="center"/>
          </w:tcPr>
          <w:p w14:paraId="566966BA"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A70419">
              <w:rPr>
                <w:rFonts w:ascii="Book Antiqua" w:hAnsi="Book Antiqua" w:cs="Calibri"/>
                <w:sz w:val="18"/>
                <w:szCs w:val="18"/>
              </w:rPr>
              <w:t>31 de mayo del 2022</w:t>
            </w:r>
          </w:p>
        </w:tc>
      </w:tr>
      <w:tr w:rsidR="00FD7841" w:rsidRPr="00C005C0" w14:paraId="37D8E409" w14:textId="77777777" w:rsidTr="00E24FCA">
        <w:trPr>
          <w:trHeight w:val="660"/>
          <w:jc w:val="center"/>
        </w:trPr>
        <w:tc>
          <w:tcPr>
            <w:tcW w:w="880" w:type="pct"/>
            <w:shd w:val="clear" w:color="auto" w:fill="FFFFFF" w:themeFill="background1"/>
            <w:noWrap/>
            <w:vAlign w:val="center"/>
          </w:tcPr>
          <w:p w14:paraId="48C5C94C"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0914-OCI-P02</w:t>
            </w:r>
          </w:p>
        </w:tc>
        <w:tc>
          <w:tcPr>
            <w:tcW w:w="1288" w:type="pct"/>
            <w:shd w:val="clear" w:color="auto" w:fill="auto"/>
            <w:vAlign w:val="center"/>
          </w:tcPr>
          <w:p w14:paraId="66C84631"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Implementación del Sistema SEVRI y PAI, para el análisis de los riesgos estratégicos</w:t>
            </w:r>
          </w:p>
        </w:tc>
        <w:tc>
          <w:tcPr>
            <w:tcW w:w="1018" w:type="pct"/>
            <w:shd w:val="clear" w:color="auto" w:fill="FFFFFF" w:themeFill="background1"/>
            <w:vAlign w:val="center"/>
          </w:tcPr>
          <w:p w14:paraId="2C39C0FC"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Oficina de Control Interno</w:t>
            </w:r>
          </w:p>
        </w:tc>
        <w:tc>
          <w:tcPr>
            <w:tcW w:w="951" w:type="pct"/>
            <w:shd w:val="clear" w:color="auto" w:fill="FFFFFF" w:themeFill="background1"/>
            <w:vAlign w:val="center"/>
          </w:tcPr>
          <w:p w14:paraId="3EAD4EB3"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 xml:space="preserve">Juan Carlos Brenes Azofeifa / Miguel Mc </w:t>
            </w:r>
            <w:r>
              <w:rPr>
                <w:rFonts w:ascii="Book Antiqua" w:hAnsi="Book Antiqua" w:cs="Calibri"/>
                <w:color w:val="000000"/>
                <w:sz w:val="18"/>
                <w:szCs w:val="18"/>
              </w:rPr>
              <w:t>C</w:t>
            </w:r>
            <w:r w:rsidRPr="00C005C0">
              <w:rPr>
                <w:rFonts w:ascii="Book Antiqua" w:hAnsi="Book Antiqua" w:cs="Calibri"/>
                <w:color w:val="000000"/>
                <w:sz w:val="18"/>
                <w:szCs w:val="18"/>
              </w:rPr>
              <w:t>alla Vaz</w:t>
            </w:r>
          </w:p>
        </w:tc>
        <w:tc>
          <w:tcPr>
            <w:tcW w:w="863" w:type="pct"/>
            <w:shd w:val="clear" w:color="auto" w:fill="FFFFFF" w:themeFill="background1"/>
            <w:vAlign w:val="center"/>
          </w:tcPr>
          <w:p w14:paraId="19B109FD"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6D6FF1">
              <w:rPr>
                <w:rFonts w:ascii="Book Antiqua" w:hAnsi="Book Antiqua" w:cs="Calibri"/>
                <w:color w:val="000000"/>
                <w:sz w:val="18"/>
                <w:szCs w:val="18"/>
              </w:rPr>
              <w:t>30 de mayo de 2022</w:t>
            </w:r>
          </w:p>
        </w:tc>
      </w:tr>
      <w:tr w:rsidR="00FD7841" w:rsidRPr="00C005C0" w14:paraId="6D29174F" w14:textId="77777777" w:rsidTr="00E24FCA">
        <w:trPr>
          <w:trHeight w:val="660"/>
          <w:jc w:val="center"/>
        </w:trPr>
        <w:tc>
          <w:tcPr>
            <w:tcW w:w="880" w:type="pct"/>
            <w:shd w:val="clear" w:color="auto" w:fill="FFFFFF" w:themeFill="background1"/>
            <w:noWrap/>
            <w:vAlign w:val="center"/>
          </w:tcPr>
          <w:p w14:paraId="16B0FECB"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0122-DTI-P17</w:t>
            </w:r>
          </w:p>
        </w:tc>
        <w:tc>
          <w:tcPr>
            <w:tcW w:w="1288" w:type="pct"/>
            <w:shd w:val="clear" w:color="auto" w:fill="auto"/>
            <w:vAlign w:val="center"/>
          </w:tcPr>
          <w:p w14:paraId="1F2B7D34"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C005C0">
              <w:rPr>
                <w:rFonts w:ascii="Book Antiqua" w:hAnsi="Book Antiqua" w:cs="Calibri"/>
                <w:color w:val="000000"/>
                <w:sz w:val="18"/>
                <w:szCs w:val="18"/>
              </w:rPr>
              <w:t>Implementación del Escritorio Virtual Despachos Penales</w:t>
            </w:r>
          </w:p>
        </w:tc>
        <w:tc>
          <w:tcPr>
            <w:tcW w:w="1018" w:type="pct"/>
            <w:shd w:val="clear" w:color="auto" w:fill="FFFFFF" w:themeFill="background1"/>
            <w:vAlign w:val="center"/>
          </w:tcPr>
          <w:p w14:paraId="626EE3FE" w14:textId="77777777" w:rsidR="00FD7841" w:rsidRPr="00C005C0" w:rsidRDefault="00FD7841" w:rsidP="00B56C1A">
            <w:pPr>
              <w:tabs>
                <w:tab w:val="left" w:pos="0"/>
              </w:tabs>
              <w:spacing w:after="0"/>
              <w:jc w:val="center"/>
              <w:rPr>
                <w:rFonts w:ascii="Book Antiqua" w:hAnsi="Book Antiqua" w:cs="Calibri"/>
                <w:color w:val="000000"/>
                <w:sz w:val="18"/>
                <w:szCs w:val="18"/>
              </w:rPr>
            </w:pPr>
            <w:r>
              <w:rPr>
                <w:rFonts w:ascii="Book Antiqua" w:hAnsi="Book Antiqua" w:cs="Calibri"/>
                <w:color w:val="000000"/>
                <w:sz w:val="18"/>
                <w:szCs w:val="18"/>
              </w:rPr>
              <w:t>S</w:t>
            </w:r>
            <w:r w:rsidRPr="00C005C0">
              <w:rPr>
                <w:rFonts w:ascii="Book Antiqua" w:hAnsi="Book Antiqua" w:cs="Calibri"/>
                <w:color w:val="000000"/>
                <w:sz w:val="18"/>
                <w:szCs w:val="18"/>
              </w:rPr>
              <w:t>ubproceso Sistemas Jurisdiccionales</w:t>
            </w:r>
          </w:p>
        </w:tc>
        <w:tc>
          <w:tcPr>
            <w:tcW w:w="951" w:type="pct"/>
            <w:shd w:val="clear" w:color="auto" w:fill="FFFFFF" w:themeFill="background1"/>
            <w:vAlign w:val="center"/>
          </w:tcPr>
          <w:p w14:paraId="532D78A4" w14:textId="77777777" w:rsidR="00FD7841" w:rsidRPr="00C005C0" w:rsidRDefault="00FD7841" w:rsidP="00B56C1A">
            <w:pPr>
              <w:tabs>
                <w:tab w:val="left" w:pos="0"/>
              </w:tabs>
              <w:spacing w:after="0"/>
              <w:jc w:val="center"/>
              <w:rPr>
                <w:rFonts w:ascii="Book Antiqua" w:hAnsi="Book Antiqua" w:cs="Calibri"/>
                <w:color w:val="000000"/>
                <w:sz w:val="18"/>
                <w:szCs w:val="18"/>
              </w:rPr>
            </w:pPr>
            <w:r w:rsidRPr="00C005C0">
              <w:rPr>
                <w:rFonts w:ascii="Book Antiqua" w:hAnsi="Book Antiqua" w:cs="Calibri"/>
                <w:color w:val="000000"/>
                <w:sz w:val="18"/>
                <w:szCs w:val="18"/>
              </w:rPr>
              <w:t>Fabiola Arancibia Hernández</w:t>
            </w:r>
          </w:p>
        </w:tc>
        <w:tc>
          <w:tcPr>
            <w:tcW w:w="863" w:type="pct"/>
            <w:shd w:val="clear" w:color="auto" w:fill="FFFFFF" w:themeFill="background1"/>
            <w:vAlign w:val="center"/>
          </w:tcPr>
          <w:p w14:paraId="1279FE9A" w14:textId="77777777" w:rsidR="00FD7841" w:rsidRPr="00C005C0" w:rsidRDefault="00FD7841" w:rsidP="00B56C1A">
            <w:pPr>
              <w:tabs>
                <w:tab w:val="left" w:pos="0"/>
              </w:tabs>
              <w:spacing w:after="0"/>
              <w:jc w:val="center"/>
              <w:rPr>
                <w:rFonts w:ascii="Book Antiqua" w:hAnsi="Book Antiqua" w:cs="Calibri"/>
                <w:color w:val="000000"/>
                <w:sz w:val="18"/>
                <w:szCs w:val="18"/>
              </w:rPr>
            </w:pPr>
            <w:r>
              <w:rPr>
                <w:rFonts w:ascii="Book Antiqua" w:hAnsi="Book Antiqua" w:cs="Calibri"/>
                <w:color w:val="000000"/>
                <w:sz w:val="18"/>
                <w:szCs w:val="18"/>
              </w:rPr>
              <w:t>4 de noviembre del 2021</w:t>
            </w:r>
          </w:p>
        </w:tc>
      </w:tr>
      <w:tr w:rsidR="00FD7841" w:rsidRPr="00C005C0" w14:paraId="3CCDDAEB" w14:textId="77777777" w:rsidTr="00E24FCA">
        <w:trPr>
          <w:trHeight w:val="660"/>
          <w:jc w:val="center"/>
        </w:trPr>
        <w:tc>
          <w:tcPr>
            <w:tcW w:w="880" w:type="pct"/>
            <w:shd w:val="clear" w:color="auto" w:fill="auto"/>
            <w:noWrap/>
            <w:vAlign w:val="center"/>
          </w:tcPr>
          <w:p w14:paraId="5C7028D5"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0134-DGH-P08</w:t>
            </w:r>
            <w:r>
              <w:rPr>
                <w:rStyle w:val="Refdenotaalpie"/>
                <w:rFonts w:ascii="Book Antiqua" w:hAnsi="Book Antiqua" w:cs="Calibri"/>
                <w:color w:val="000000"/>
                <w:sz w:val="18"/>
                <w:szCs w:val="18"/>
              </w:rPr>
              <w:footnoteReference w:id="14"/>
            </w:r>
          </w:p>
        </w:tc>
        <w:tc>
          <w:tcPr>
            <w:tcW w:w="1288" w:type="pct"/>
            <w:shd w:val="clear" w:color="auto" w:fill="auto"/>
            <w:vAlign w:val="center"/>
          </w:tcPr>
          <w:p w14:paraId="55DB6C63"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Variaciones en el Sistema de Pago, Reglamentos y Procedimientos producto de la Ley 9635</w:t>
            </w:r>
          </w:p>
        </w:tc>
        <w:tc>
          <w:tcPr>
            <w:tcW w:w="1018" w:type="pct"/>
            <w:shd w:val="clear" w:color="auto" w:fill="FFFFFF" w:themeFill="background1"/>
            <w:vAlign w:val="center"/>
          </w:tcPr>
          <w:p w14:paraId="5DD9F937" w14:textId="77777777" w:rsidR="00FD7841" w:rsidRPr="00C005C0" w:rsidRDefault="00FD7841" w:rsidP="00B56C1A">
            <w:pPr>
              <w:tabs>
                <w:tab w:val="left" w:pos="0"/>
              </w:tabs>
              <w:spacing w:after="0"/>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 xml:space="preserve">Sección de </w:t>
            </w:r>
            <w:r>
              <w:rPr>
                <w:rFonts w:ascii="Book Antiqua" w:hAnsi="Book Antiqua" w:cs="Calibri"/>
                <w:color w:val="000000"/>
                <w:sz w:val="18"/>
                <w:szCs w:val="18"/>
                <w:lang w:eastAsia="es-CR"/>
              </w:rPr>
              <w:t>A</w:t>
            </w:r>
            <w:r w:rsidRPr="004516B2">
              <w:rPr>
                <w:rFonts w:ascii="Book Antiqua" w:hAnsi="Book Antiqua" w:cs="Calibri"/>
                <w:color w:val="000000"/>
                <w:sz w:val="18"/>
                <w:szCs w:val="18"/>
                <w:lang w:eastAsia="es-CR"/>
              </w:rPr>
              <w:t xml:space="preserve">dministracion </w:t>
            </w:r>
            <w:r>
              <w:rPr>
                <w:rFonts w:ascii="Book Antiqua" w:hAnsi="Book Antiqua" w:cs="Calibri"/>
                <w:color w:val="000000"/>
                <w:sz w:val="18"/>
                <w:szCs w:val="18"/>
                <w:lang w:eastAsia="es-CR"/>
              </w:rPr>
              <w:t>S</w:t>
            </w:r>
            <w:r w:rsidRPr="004516B2">
              <w:rPr>
                <w:rFonts w:ascii="Book Antiqua" w:hAnsi="Book Antiqua" w:cs="Calibri"/>
                <w:color w:val="000000"/>
                <w:sz w:val="18"/>
                <w:szCs w:val="18"/>
                <w:lang w:eastAsia="es-CR"/>
              </w:rPr>
              <w:t>alarial</w:t>
            </w:r>
          </w:p>
        </w:tc>
        <w:tc>
          <w:tcPr>
            <w:tcW w:w="951" w:type="pct"/>
            <w:shd w:val="clear" w:color="auto" w:fill="FFFFFF" w:themeFill="background1"/>
            <w:vAlign w:val="center"/>
          </w:tcPr>
          <w:p w14:paraId="0E3A985D" w14:textId="77777777" w:rsidR="00FD7841" w:rsidRPr="00C005C0" w:rsidRDefault="00FD7841" w:rsidP="00B56C1A">
            <w:pPr>
              <w:tabs>
                <w:tab w:val="left" w:pos="0"/>
              </w:tabs>
              <w:spacing w:after="0"/>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Liz Cedeño Yanes / Célimo Elizondo Aguilar</w:t>
            </w:r>
          </w:p>
        </w:tc>
        <w:tc>
          <w:tcPr>
            <w:tcW w:w="863" w:type="pct"/>
            <w:shd w:val="clear" w:color="auto" w:fill="FFFFFF" w:themeFill="background1"/>
            <w:vAlign w:val="center"/>
          </w:tcPr>
          <w:p w14:paraId="78F3D20B" w14:textId="77777777" w:rsidR="00FD7841" w:rsidRPr="004516B2" w:rsidRDefault="00FD7841" w:rsidP="00B56C1A">
            <w:pPr>
              <w:tabs>
                <w:tab w:val="left" w:pos="0"/>
              </w:tabs>
              <w:spacing w:after="0"/>
              <w:jc w:val="center"/>
              <w:rPr>
                <w:rFonts w:ascii="Book Antiqua" w:hAnsi="Book Antiqua" w:cs="Calibri"/>
                <w:color w:val="000000"/>
                <w:sz w:val="18"/>
                <w:szCs w:val="18"/>
                <w:lang w:eastAsia="es-CR"/>
              </w:rPr>
            </w:pPr>
            <w:r>
              <w:rPr>
                <w:rFonts w:ascii="Book Antiqua" w:hAnsi="Book Antiqua" w:cs="Calibri"/>
                <w:color w:val="000000"/>
                <w:sz w:val="18"/>
                <w:szCs w:val="18"/>
                <w:lang w:eastAsia="es-CR"/>
              </w:rPr>
              <w:t>Pendiente informe de cierre</w:t>
            </w:r>
          </w:p>
        </w:tc>
      </w:tr>
      <w:tr w:rsidR="00FD7841" w:rsidRPr="00C005C0" w14:paraId="093F6E29" w14:textId="77777777" w:rsidTr="00E24FCA">
        <w:trPr>
          <w:trHeight w:val="660"/>
          <w:jc w:val="center"/>
        </w:trPr>
        <w:tc>
          <w:tcPr>
            <w:tcW w:w="880" w:type="pct"/>
            <w:shd w:val="clear" w:color="auto" w:fill="auto"/>
            <w:noWrap/>
            <w:vAlign w:val="center"/>
          </w:tcPr>
          <w:p w14:paraId="40544B01"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0653-DP-P12</w:t>
            </w:r>
          </w:p>
        </w:tc>
        <w:tc>
          <w:tcPr>
            <w:tcW w:w="1288" w:type="pct"/>
            <w:shd w:val="clear" w:color="auto" w:fill="auto"/>
            <w:vAlign w:val="center"/>
          </w:tcPr>
          <w:p w14:paraId="7CCE32D6"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Implementación de los ODS y Cumplimiento de la Agenda 2030</w:t>
            </w:r>
          </w:p>
        </w:tc>
        <w:tc>
          <w:tcPr>
            <w:tcW w:w="1018" w:type="pct"/>
            <w:shd w:val="clear" w:color="auto" w:fill="FFFFFF" w:themeFill="background1"/>
            <w:vAlign w:val="center"/>
          </w:tcPr>
          <w:p w14:paraId="0D8134E8" w14:textId="77777777" w:rsidR="00FD7841" w:rsidRPr="00C005C0" w:rsidRDefault="00FD7841" w:rsidP="00B56C1A">
            <w:pPr>
              <w:tabs>
                <w:tab w:val="left" w:pos="0"/>
              </w:tabs>
              <w:spacing w:after="0"/>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 xml:space="preserve">Sección de </w:t>
            </w:r>
            <w:r>
              <w:rPr>
                <w:rFonts w:ascii="Book Antiqua" w:hAnsi="Book Antiqua" w:cs="Calibri"/>
                <w:color w:val="000000"/>
                <w:sz w:val="18"/>
                <w:szCs w:val="18"/>
                <w:lang w:eastAsia="es-CR"/>
              </w:rPr>
              <w:t>C</w:t>
            </w:r>
            <w:r w:rsidRPr="004516B2">
              <w:rPr>
                <w:rFonts w:ascii="Book Antiqua" w:hAnsi="Book Antiqua" w:cs="Calibri"/>
                <w:color w:val="000000"/>
                <w:sz w:val="18"/>
                <w:szCs w:val="18"/>
                <w:lang w:eastAsia="es-CR"/>
              </w:rPr>
              <w:t xml:space="preserve">ooperación y </w:t>
            </w:r>
            <w:r>
              <w:rPr>
                <w:rFonts w:ascii="Book Antiqua" w:hAnsi="Book Antiqua" w:cs="Calibri"/>
                <w:color w:val="000000"/>
                <w:sz w:val="18"/>
                <w:szCs w:val="18"/>
                <w:lang w:eastAsia="es-CR"/>
              </w:rPr>
              <w:t>R</w:t>
            </w:r>
            <w:r w:rsidRPr="004516B2">
              <w:rPr>
                <w:rFonts w:ascii="Book Antiqua" w:hAnsi="Book Antiqua" w:cs="Calibri"/>
                <w:color w:val="000000"/>
                <w:sz w:val="18"/>
                <w:szCs w:val="18"/>
                <w:lang w:eastAsia="es-CR"/>
              </w:rPr>
              <w:t xml:space="preserve">elaciones </w:t>
            </w:r>
            <w:r>
              <w:rPr>
                <w:rFonts w:ascii="Book Antiqua" w:hAnsi="Book Antiqua" w:cs="Calibri"/>
                <w:color w:val="000000"/>
                <w:sz w:val="18"/>
                <w:szCs w:val="18"/>
                <w:lang w:eastAsia="es-CR"/>
              </w:rPr>
              <w:t>I</w:t>
            </w:r>
            <w:r w:rsidRPr="004516B2">
              <w:rPr>
                <w:rFonts w:ascii="Book Antiqua" w:hAnsi="Book Antiqua" w:cs="Calibri"/>
                <w:color w:val="000000"/>
                <w:sz w:val="18"/>
                <w:szCs w:val="18"/>
                <w:lang w:eastAsia="es-CR"/>
              </w:rPr>
              <w:t>nternacionales</w:t>
            </w:r>
          </w:p>
        </w:tc>
        <w:tc>
          <w:tcPr>
            <w:tcW w:w="951" w:type="pct"/>
            <w:shd w:val="clear" w:color="auto" w:fill="FFFFFF" w:themeFill="background1"/>
            <w:vAlign w:val="center"/>
          </w:tcPr>
          <w:p w14:paraId="30D750D2" w14:textId="77777777" w:rsidR="00FD7841" w:rsidRPr="00C005C0" w:rsidRDefault="00FD7841" w:rsidP="00B56C1A">
            <w:pPr>
              <w:tabs>
                <w:tab w:val="left" w:pos="0"/>
              </w:tabs>
              <w:spacing w:after="0"/>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Zahira Chavarria Garita</w:t>
            </w:r>
          </w:p>
        </w:tc>
        <w:tc>
          <w:tcPr>
            <w:tcW w:w="863" w:type="pct"/>
            <w:shd w:val="clear" w:color="auto" w:fill="FFFFFF" w:themeFill="background1"/>
            <w:vAlign w:val="center"/>
          </w:tcPr>
          <w:p w14:paraId="4F444608" w14:textId="77777777" w:rsidR="00FD7841" w:rsidRPr="004516B2" w:rsidRDefault="00FD7841" w:rsidP="00B56C1A">
            <w:pPr>
              <w:tabs>
                <w:tab w:val="left" w:pos="0"/>
              </w:tabs>
              <w:spacing w:after="0"/>
              <w:jc w:val="center"/>
              <w:rPr>
                <w:rFonts w:ascii="Book Antiqua" w:hAnsi="Book Antiqua" w:cs="Calibri"/>
                <w:color w:val="000000"/>
                <w:sz w:val="18"/>
                <w:szCs w:val="18"/>
                <w:lang w:eastAsia="es-CR"/>
              </w:rPr>
            </w:pPr>
            <w:r>
              <w:rPr>
                <w:rFonts w:ascii="Book Antiqua" w:hAnsi="Book Antiqua" w:cs="Calibri"/>
                <w:color w:val="000000"/>
                <w:sz w:val="18"/>
                <w:szCs w:val="18"/>
                <w:lang w:eastAsia="es-CR"/>
              </w:rPr>
              <w:t>14 diciembre del 2022</w:t>
            </w:r>
          </w:p>
        </w:tc>
      </w:tr>
      <w:tr w:rsidR="00FD7841" w:rsidRPr="00C005C0" w14:paraId="5A5E1B19" w14:textId="77777777" w:rsidTr="00E24FCA">
        <w:trPr>
          <w:trHeight w:val="660"/>
          <w:jc w:val="center"/>
        </w:trPr>
        <w:tc>
          <w:tcPr>
            <w:tcW w:w="880" w:type="pct"/>
            <w:shd w:val="clear" w:color="auto" w:fill="auto"/>
            <w:noWrap/>
            <w:vAlign w:val="center"/>
          </w:tcPr>
          <w:p w14:paraId="6171D8C9"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0655-CONAMAJ-P0</w:t>
            </w:r>
            <w:r>
              <w:rPr>
                <w:rFonts w:ascii="Book Antiqua" w:hAnsi="Book Antiqua" w:cs="Calibri"/>
                <w:color w:val="000000"/>
                <w:sz w:val="18"/>
                <w:szCs w:val="18"/>
                <w:lang w:eastAsia="es-CR"/>
              </w:rPr>
              <w:t>1</w:t>
            </w:r>
          </w:p>
        </w:tc>
        <w:tc>
          <w:tcPr>
            <w:tcW w:w="1288" w:type="pct"/>
            <w:shd w:val="clear" w:color="auto" w:fill="auto"/>
            <w:vAlign w:val="center"/>
          </w:tcPr>
          <w:p w14:paraId="67967235"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Implementación de las Políticas de Justicia Abierta</w:t>
            </w:r>
          </w:p>
        </w:tc>
        <w:tc>
          <w:tcPr>
            <w:tcW w:w="1018" w:type="pct"/>
            <w:shd w:val="clear" w:color="auto" w:fill="FFFFFF" w:themeFill="background1"/>
            <w:vAlign w:val="center"/>
          </w:tcPr>
          <w:p w14:paraId="11A83745" w14:textId="77777777" w:rsidR="00FD7841" w:rsidRPr="00C005C0" w:rsidRDefault="00FD7841" w:rsidP="00B56C1A">
            <w:pPr>
              <w:tabs>
                <w:tab w:val="left" w:pos="0"/>
              </w:tabs>
              <w:spacing w:after="0"/>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 xml:space="preserve">Comisión </w:t>
            </w:r>
            <w:r>
              <w:rPr>
                <w:rFonts w:ascii="Book Antiqua" w:hAnsi="Book Antiqua" w:cs="Calibri"/>
                <w:color w:val="000000"/>
                <w:sz w:val="18"/>
                <w:szCs w:val="18"/>
                <w:lang w:eastAsia="es-CR"/>
              </w:rPr>
              <w:t>N</w:t>
            </w:r>
            <w:r w:rsidRPr="004516B2">
              <w:rPr>
                <w:rFonts w:ascii="Book Antiqua" w:hAnsi="Book Antiqua" w:cs="Calibri"/>
                <w:color w:val="000000"/>
                <w:sz w:val="18"/>
                <w:szCs w:val="18"/>
                <w:lang w:eastAsia="es-CR"/>
              </w:rPr>
              <w:t xml:space="preserve">acional para el </w:t>
            </w:r>
            <w:r>
              <w:rPr>
                <w:rFonts w:ascii="Book Antiqua" w:hAnsi="Book Antiqua" w:cs="Calibri"/>
                <w:color w:val="000000"/>
                <w:sz w:val="18"/>
                <w:szCs w:val="18"/>
                <w:lang w:eastAsia="es-CR"/>
              </w:rPr>
              <w:t>M</w:t>
            </w:r>
            <w:r w:rsidRPr="004516B2">
              <w:rPr>
                <w:rFonts w:ascii="Book Antiqua" w:hAnsi="Book Antiqua" w:cs="Calibri"/>
                <w:color w:val="000000"/>
                <w:sz w:val="18"/>
                <w:szCs w:val="18"/>
                <w:lang w:eastAsia="es-CR"/>
              </w:rPr>
              <w:t xml:space="preserve">ejoramiento de la </w:t>
            </w:r>
            <w:r>
              <w:rPr>
                <w:rFonts w:ascii="Book Antiqua" w:hAnsi="Book Antiqua" w:cs="Calibri"/>
                <w:color w:val="000000"/>
                <w:sz w:val="18"/>
                <w:szCs w:val="18"/>
                <w:lang w:eastAsia="es-CR"/>
              </w:rPr>
              <w:t>A</w:t>
            </w:r>
            <w:r w:rsidRPr="004516B2">
              <w:rPr>
                <w:rFonts w:ascii="Book Antiqua" w:hAnsi="Book Antiqua" w:cs="Calibri"/>
                <w:color w:val="000000"/>
                <w:sz w:val="18"/>
                <w:szCs w:val="18"/>
                <w:lang w:eastAsia="es-CR"/>
              </w:rPr>
              <w:t xml:space="preserve">dministracion de </w:t>
            </w:r>
            <w:r>
              <w:rPr>
                <w:rFonts w:ascii="Book Antiqua" w:hAnsi="Book Antiqua" w:cs="Calibri"/>
                <w:color w:val="000000"/>
                <w:sz w:val="18"/>
                <w:szCs w:val="18"/>
                <w:lang w:eastAsia="es-CR"/>
              </w:rPr>
              <w:t>J</w:t>
            </w:r>
            <w:r w:rsidRPr="004516B2">
              <w:rPr>
                <w:rFonts w:ascii="Book Antiqua" w:hAnsi="Book Antiqua" w:cs="Calibri"/>
                <w:color w:val="000000"/>
                <w:sz w:val="18"/>
                <w:szCs w:val="18"/>
                <w:lang w:eastAsia="es-CR"/>
              </w:rPr>
              <w:t>usticia</w:t>
            </w:r>
          </w:p>
        </w:tc>
        <w:tc>
          <w:tcPr>
            <w:tcW w:w="951" w:type="pct"/>
            <w:shd w:val="clear" w:color="auto" w:fill="FFFFFF" w:themeFill="background1"/>
            <w:vAlign w:val="center"/>
          </w:tcPr>
          <w:p w14:paraId="7D5D07A3" w14:textId="77777777" w:rsidR="00FD7841" w:rsidRPr="00C005C0" w:rsidRDefault="00FD7841" w:rsidP="00B56C1A">
            <w:pPr>
              <w:tabs>
                <w:tab w:val="left" w:pos="0"/>
              </w:tabs>
              <w:spacing w:after="0"/>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Jefferson Rodríguez Najera</w:t>
            </w:r>
          </w:p>
        </w:tc>
        <w:tc>
          <w:tcPr>
            <w:tcW w:w="863" w:type="pct"/>
            <w:shd w:val="clear" w:color="auto" w:fill="FFFFFF" w:themeFill="background1"/>
            <w:vAlign w:val="center"/>
          </w:tcPr>
          <w:p w14:paraId="74FAF38B" w14:textId="77777777" w:rsidR="00FD7841" w:rsidRPr="004516B2" w:rsidRDefault="00FD7841" w:rsidP="00B56C1A">
            <w:pPr>
              <w:tabs>
                <w:tab w:val="left" w:pos="0"/>
              </w:tabs>
              <w:spacing w:after="0"/>
              <w:jc w:val="center"/>
              <w:rPr>
                <w:rFonts w:ascii="Book Antiqua" w:hAnsi="Book Antiqua" w:cs="Calibri"/>
                <w:color w:val="000000"/>
                <w:sz w:val="18"/>
                <w:szCs w:val="18"/>
                <w:lang w:eastAsia="es-CR"/>
              </w:rPr>
            </w:pPr>
            <w:r w:rsidRPr="009B40D2">
              <w:rPr>
                <w:rFonts w:ascii="Book Antiqua" w:hAnsi="Book Antiqua" w:cs="Calibri"/>
                <w:color w:val="000000"/>
                <w:sz w:val="18"/>
                <w:szCs w:val="18"/>
                <w:lang w:eastAsia="es-CR"/>
              </w:rPr>
              <w:t>20/12/2022</w:t>
            </w:r>
          </w:p>
        </w:tc>
      </w:tr>
      <w:tr w:rsidR="00FD7841" w:rsidRPr="00C005C0" w14:paraId="5B8AD849" w14:textId="77777777" w:rsidTr="00E24FCA">
        <w:trPr>
          <w:trHeight w:val="660"/>
          <w:jc w:val="center"/>
        </w:trPr>
        <w:tc>
          <w:tcPr>
            <w:tcW w:w="880" w:type="pct"/>
            <w:shd w:val="clear" w:color="auto" w:fill="auto"/>
            <w:noWrap/>
            <w:vAlign w:val="center"/>
          </w:tcPr>
          <w:p w14:paraId="674274CF"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0717-MP-P16</w:t>
            </w:r>
          </w:p>
        </w:tc>
        <w:tc>
          <w:tcPr>
            <w:tcW w:w="1288" w:type="pct"/>
            <w:shd w:val="clear" w:color="auto" w:fill="auto"/>
            <w:vAlign w:val="center"/>
          </w:tcPr>
          <w:p w14:paraId="7B880429"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Actualización de materiales didácticos y cursos de acuerdo con las reformas legales en materia penal, penal juvenil y procesal penal</w:t>
            </w:r>
          </w:p>
        </w:tc>
        <w:tc>
          <w:tcPr>
            <w:tcW w:w="1018" w:type="pct"/>
            <w:shd w:val="clear" w:color="auto" w:fill="FFFFFF" w:themeFill="background1"/>
            <w:vAlign w:val="center"/>
          </w:tcPr>
          <w:p w14:paraId="2C14865E" w14:textId="77777777" w:rsidR="00FD7841" w:rsidRPr="00C005C0" w:rsidRDefault="00FD7841" w:rsidP="00B56C1A">
            <w:pPr>
              <w:tabs>
                <w:tab w:val="left" w:pos="0"/>
              </w:tabs>
              <w:spacing w:after="0"/>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 xml:space="preserve">Unidad de </w:t>
            </w:r>
            <w:r>
              <w:rPr>
                <w:rFonts w:ascii="Book Antiqua" w:hAnsi="Book Antiqua" w:cs="Calibri"/>
                <w:color w:val="000000"/>
                <w:sz w:val="18"/>
                <w:szCs w:val="18"/>
                <w:lang w:eastAsia="es-CR"/>
              </w:rPr>
              <w:t>C</w:t>
            </w:r>
            <w:r w:rsidRPr="004516B2">
              <w:rPr>
                <w:rFonts w:ascii="Book Antiqua" w:hAnsi="Book Antiqua" w:cs="Calibri"/>
                <w:color w:val="000000"/>
                <w:sz w:val="18"/>
                <w:szCs w:val="18"/>
                <w:lang w:eastAsia="es-CR"/>
              </w:rPr>
              <w:t xml:space="preserve">apacitación y </w:t>
            </w:r>
            <w:r>
              <w:rPr>
                <w:rFonts w:ascii="Book Antiqua" w:hAnsi="Book Antiqua" w:cs="Calibri"/>
                <w:color w:val="000000"/>
                <w:sz w:val="18"/>
                <w:szCs w:val="18"/>
                <w:lang w:eastAsia="es-CR"/>
              </w:rPr>
              <w:t>S</w:t>
            </w:r>
            <w:r w:rsidRPr="004516B2">
              <w:rPr>
                <w:rFonts w:ascii="Book Antiqua" w:hAnsi="Book Antiqua" w:cs="Calibri"/>
                <w:color w:val="000000"/>
                <w:sz w:val="18"/>
                <w:szCs w:val="18"/>
                <w:lang w:eastAsia="es-CR"/>
              </w:rPr>
              <w:t>upervisión (</w:t>
            </w:r>
            <w:r>
              <w:rPr>
                <w:rFonts w:ascii="Book Antiqua" w:hAnsi="Book Antiqua" w:cs="Calibri"/>
                <w:color w:val="000000"/>
                <w:sz w:val="18"/>
                <w:szCs w:val="18"/>
                <w:lang w:eastAsia="es-CR"/>
              </w:rPr>
              <w:t>M</w:t>
            </w:r>
            <w:r w:rsidRPr="004516B2">
              <w:rPr>
                <w:rFonts w:ascii="Book Antiqua" w:hAnsi="Book Antiqua" w:cs="Calibri"/>
                <w:color w:val="000000"/>
                <w:sz w:val="18"/>
                <w:szCs w:val="18"/>
                <w:lang w:eastAsia="es-CR"/>
              </w:rPr>
              <w:t xml:space="preserve">inisterio </w:t>
            </w:r>
            <w:r>
              <w:rPr>
                <w:rFonts w:ascii="Book Antiqua" w:hAnsi="Book Antiqua" w:cs="Calibri"/>
                <w:color w:val="000000"/>
                <w:sz w:val="18"/>
                <w:szCs w:val="18"/>
                <w:lang w:eastAsia="es-CR"/>
              </w:rPr>
              <w:t>P</w:t>
            </w:r>
            <w:r w:rsidRPr="004516B2">
              <w:rPr>
                <w:rFonts w:ascii="Book Antiqua" w:hAnsi="Book Antiqua" w:cs="Calibri"/>
                <w:color w:val="000000"/>
                <w:sz w:val="18"/>
                <w:szCs w:val="18"/>
                <w:lang w:eastAsia="es-CR"/>
              </w:rPr>
              <w:t>ublico)</w:t>
            </w:r>
          </w:p>
        </w:tc>
        <w:tc>
          <w:tcPr>
            <w:tcW w:w="951" w:type="pct"/>
            <w:shd w:val="clear" w:color="auto" w:fill="FFFFFF" w:themeFill="background1"/>
            <w:vAlign w:val="center"/>
          </w:tcPr>
          <w:p w14:paraId="2A738629" w14:textId="77777777" w:rsidR="00FD7841" w:rsidRPr="00C005C0" w:rsidRDefault="00FD7841" w:rsidP="00B56C1A">
            <w:pPr>
              <w:tabs>
                <w:tab w:val="left" w:pos="0"/>
              </w:tabs>
              <w:spacing w:after="0"/>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Edgar Barquero Ramírez, Natalia Hidalgo Porras</w:t>
            </w:r>
          </w:p>
        </w:tc>
        <w:tc>
          <w:tcPr>
            <w:tcW w:w="863" w:type="pct"/>
            <w:shd w:val="clear" w:color="auto" w:fill="FFFFFF" w:themeFill="background1"/>
            <w:vAlign w:val="center"/>
          </w:tcPr>
          <w:p w14:paraId="2CEEADB6" w14:textId="77777777" w:rsidR="00FD7841" w:rsidRPr="004516B2" w:rsidRDefault="00FD7841" w:rsidP="00B56C1A">
            <w:pPr>
              <w:tabs>
                <w:tab w:val="left" w:pos="0"/>
              </w:tabs>
              <w:spacing w:after="0"/>
              <w:jc w:val="center"/>
              <w:rPr>
                <w:rFonts w:ascii="Book Antiqua" w:hAnsi="Book Antiqua" w:cs="Calibri"/>
                <w:color w:val="000000"/>
                <w:sz w:val="18"/>
                <w:szCs w:val="18"/>
                <w:lang w:eastAsia="es-CR"/>
              </w:rPr>
            </w:pPr>
            <w:r>
              <w:rPr>
                <w:rFonts w:ascii="Book Antiqua" w:hAnsi="Book Antiqua" w:cs="Calibri"/>
                <w:color w:val="000000"/>
                <w:sz w:val="18"/>
                <w:szCs w:val="18"/>
                <w:lang w:eastAsia="es-CR"/>
              </w:rPr>
              <w:t>Diciembre 2022</w:t>
            </w:r>
          </w:p>
        </w:tc>
      </w:tr>
      <w:tr w:rsidR="00FD7841" w:rsidRPr="00C005C0" w14:paraId="7DEA7507" w14:textId="77777777" w:rsidTr="00E24FCA">
        <w:trPr>
          <w:trHeight w:val="660"/>
          <w:jc w:val="center"/>
        </w:trPr>
        <w:tc>
          <w:tcPr>
            <w:tcW w:w="880" w:type="pct"/>
            <w:shd w:val="clear" w:color="auto" w:fill="auto"/>
            <w:noWrap/>
            <w:vAlign w:val="center"/>
          </w:tcPr>
          <w:p w14:paraId="7898590F"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1167-OIJ-P01</w:t>
            </w:r>
          </w:p>
        </w:tc>
        <w:tc>
          <w:tcPr>
            <w:tcW w:w="1288" w:type="pct"/>
            <w:shd w:val="clear" w:color="auto" w:fill="auto"/>
            <w:vAlign w:val="center"/>
          </w:tcPr>
          <w:p w14:paraId="079D8DE9"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Contratación de talleres externos</w:t>
            </w:r>
          </w:p>
        </w:tc>
        <w:tc>
          <w:tcPr>
            <w:tcW w:w="1018" w:type="pct"/>
            <w:shd w:val="clear" w:color="auto" w:fill="FFFFFF" w:themeFill="background1"/>
            <w:vAlign w:val="center"/>
          </w:tcPr>
          <w:p w14:paraId="4259E80E" w14:textId="77777777" w:rsidR="00FD7841" w:rsidRPr="00C005C0" w:rsidRDefault="00FD7841" w:rsidP="00B56C1A">
            <w:pPr>
              <w:tabs>
                <w:tab w:val="left" w:pos="0"/>
              </w:tabs>
              <w:spacing w:after="0"/>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 xml:space="preserve">Sección de </w:t>
            </w:r>
            <w:r>
              <w:rPr>
                <w:rFonts w:ascii="Book Antiqua" w:hAnsi="Book Antiqua" w:cs="Calibri"/>
                <w:color w:val="000000"/>
                <w:sz w:val="18"/>
                <w:szCs w:val="18"/>
                <w:lang w:eastAsia="es-CR"/>
              </w:rPr>
              <w:t>T</w:t>
            </w:r>
            <w:r w:rsidRPr="004516B2">
              <w:rPr>
                <w:rFonts w:ascii="Book Antiqua" w:hAnsi="Book Antiqua" w:cs="Calibri"/>
                <w:color w:val="000000"/>
                <w:sz w:val="18"/>
                <w:szCs w:val="18"/>
                <w:lang w:eastAsia="es-CR"/>
              </w:rPr>
              <w:t>ransportes del OIJ</w:t>
            </w:r>
          </w:p>
        </w:tc>
        <w:tc>
          <w:tcPr>
            <w:tcW w:w="951" w:type="pct"/>
            <w:shd w:val="clear" w:color="auto" w:fill="FFFFFF" w:themeFill="background1"/>
            <w:vAlign w:val="center"/>
          </w:tcPr>
          <w:p w14:paraId="0E2834B6" w14:textId="77777777" w:rsidR="00FD7841" w:rsidRPr="00C005C0" w:rsidRDefault="00FD7841" w:rsidP="00B56C1A">
            <w:pPr>
              <w:tabs>
                <w:tab w:val="left" w:pos="0"/>
              </w:tabs>
              <w:spacing w:after="0"/>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Cristian Arce Ruiz</w:t>
            </w:r>
          </w:p>
        </w:tc>
        <w:tc>
          <w:tcPr>
            <w:tcW w:w="863" w:type="pct"/>
            <w:shd w:val="clear" w:color="auto" w:fill="FFFFFF" w:themeFill="background1"/>
            <w:vAlign w:val="center"/>
          </w:tcPr>
          <w:p w14:paraId="377AD281" w14:textId="77777777" w:rsidR="00FD7841" w:rsidRPr="004516B2" w:rsidRDefault="00FD7841" w:rsidP="00B56C1A">
            <w:pPr>
              <w:tabs>
                <w:tab w:val="left" w:pos="0"/>
              </w:tabs>
              <w:spacing w:after="0"/>
              <w:jc w:val="center"/>
              <w:rPr>
                <w:rFonts w:ascii="Book Antiqua" w:hAnsi="Book Antiqua" w:cs="Calibri"/>
                <w:color w:val="000000"/>
                <w:sz w:val="18"/>
                <w:szCs w:val="18"/>
                <w:lang w:eastAsia="es-CR"/>
              </w:rPr>
            </w:pPr>
            <w:r>
              <w:rPr>
                <w:rFonts w:ascii="Book Antiqua" w:hAnsi="Book Antiqua" w:cs="Calibri"/>
                <w:color w:val="000000"/>
                <w:sz w:val="18"/>
                <w:szCs w:val="18"/>
                <w:lang w:eastAsia="es-CR"/>
              </w:rPr>
              <w:t>Diciembre 2022</w:t>
            </w:r>
          </w:p>
        </w:tc>
      </w:tr>
      <w:tr w:rsidR="00FD7841" w:rsidRPr="00C005C0" w14:paraId="16F721A1" w14:textId="77777777" w:rsidTr="00E24FCA">
        <w:trPr>
          <w:trHeight w:val="660"/>
          <w:jc w:val="center"/>
        </w:trPr>
        <w:tc>
          <w:tcPr>
            <w:tcW w:w="880" w:type="pct"/>
            <w:shd w:val="clear" w:color="auto" w:fill="auto"/>
            <w:noWrap/>
            <w:vAlign w:val="center"/>
          </w:tcPr>
          <w:p w14:paraId="26988967"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1167-OIJ-P03</w:t>
            </w:r>
          </w:p>
        </w:tc>
        <w:tc>
          <w:tcPr>
            <w:tcW w:w="1288" w:type="pct"/>
            <w:shd w:val="clear" w:color="auto" w:fill="auto"/>
            <w:vAlign w:val="center"/>
          </w:tcPr>
          <w:p w14:paraId="44DBF1A2"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Modernización del Depósito de Objetos Decomisados</w:t>
            </w:r>
          </w:p>
        </w:tc>
        <w:tc>
          <w:tcPr>
            <w:tcW w:w="1018" w:type="pct"/>
            <w:shd w:val="clear" w:color="auto" w:fill="FFFFFF" w:themeFill="background1"/>
            <w:vAlign w:val="center"/>
          </w:tcPr>
          <w:p w14:paraId="44D1BD0D" w14:textId="77777777" w:rsidR="00FD7841" w:rsidRPr="00C005C0" w:rsidRDefault="00FD7841" w:rsidP="00B56C1A">
            <w:pPr>
              <w:tabs>
                <w:tab w:val="left" w:pos="0"/>
              </w:tabs>
              <w:spacing w:after="0"/>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 xml:space="preserve">Oficina de </w:t>
            </w:r>
            <w:r>
              <w:rPr>
                <w:rFonts w:ascii="Book Antiqua" w:hAnsi="Book Antiqua" w:cs="Calibri"/>
                <w:color w:val="000000"/>
                <w:sz w:val="18"/>
                <w:szCs w:val="18"/>
                <w:lang w:eastAsia="es-CR"/>
              </w:rPr>
              <w:t>P</w:t>
            </w:r>
            <w:r w:rsidRPr="004516B2">
              <w:rPr>
                <w:rFonts w:ascii="Book Antiqua" w:hAnsi="Book Antiqua" w:cs="Calibri"/>
                <w:color w:val="000000"/>
                <w:sz w:val="18"/>
                <w:szCs w:val="18"/>
                <w:lang w:eastAsia="es-CR"/>
              </w:rPr>
              <w:t xml:space="preserve">lanes y </w:t>
            </w:r>
            <w:r>
              <w:rPr>
                <w:rFonts w:ascii="Book Antiqua" w:hAnsi="Book Antiqua" w:cs="Calibri"/>
                <w:color w:val="000000"/>
                <w:sz w:val="18"/>
                <w:szCs w:val="18"/>
                <w:lang w:eastAsia="es-CR"/>
              </w:rPr>
              <w:t>O</w:t>
            </w:r>
            <w:r w:rsidRPr="004516B2">
              <w:rPr>
                <w:rFonts w:ascii="Book Antiqua" w:hAnsi="Book Antiqua" w:cs="Calibri"/>
                <w:color w:val="000000"/>
                <w:sz w:val="18"/>
                <w:szCs w:val="18"/>
                <w:lang w:eastAsia="es-CR"/>
              </w:rPr>
              <w:t>peraciones</w:t>
            </w:r>
          </w:p>
        </w:tc>
        <w:tc>
          <w:tcPr>
            <w:tcW w:w="951" w:type="pct"/>
            <w:shd w:val="clear" w:color="auto" w:fill="FFFFFF" w:themeFill="background1"/>
            <w:vAlign w:val="center"/>
          </w:tcPr>
          <w:p w14:paraId="3D4E7676" w14:textId="77777777" w:rsidR="00FD7841" w:rsidRPr="00C005C0" w:rsidRDefault="00FD7841" w:rsidP="00B56C1A">
            <w:pPr>
              <w:tabs>
                <w:tab w:val="left" w:pos="0"/>
              </w:tabs>
              <w:spacing w:after="0"/>
              <w:jc w:val="center"/>
              <w:rPr>
                <w:rFonts w:ascii="Book Antiqua" w:hAnsi="Book Antiqua" w:cs="Calibri"/>
                <w:color w:val="000000"/>
                <w:sz w:val="18"/>
                <w:szCs w:val="18"/>
              </w:rPr>
            </w:pPr>
            <w:r w:rsidRPr="004516B2">
              <w:rPr>
                <w:rFonts w:ascii="Book Antiqua" w:hAnsi="Book Antiqua" w:cs="Calibri"/>
                <w:color w:val="000000"/>
                <w:sz w:val="18"/>
                <w:szCs w:val="18"/>
                <w:lang w:eastAsia="es-CR"/>
              </w:rPr>
              <w:t>Ingrid Iong Ureña</w:t>
            </w:r>
          </w:p>
        </w:tc>
        <w:tc>
          <w:tcPr>
            <w:tcW w:w="863" w:type="pct"/>
            <w:shd w:val="clear" w:color="auto" w:fill="FFFFFF" w:themeFill="background1"/>
            <w:vAlign w:val="center"/>
          </w:tcPr>
          <w:p w14:paraId="06236570" w14:textId="77777777" w:rsidR="00FD7841" w:rsidRPr="004516B2" w:rsidRDefault="00FD7841" w:rsidP="00B56C1A">
            <w:pPr>
              <w:tabs>
                <w:tab w:val="left" w:pos="0"/>
              </w:tabs>
              <w:spacing w:after="0"/>
              <w:jc w:val="center"/>
              <w:rPr>
                <w:rFonts w:ascii="Book Antiqua" w:hAnsi="Book Antiqua" w:cs="Calibri"/>
                <w:color w:val="000000"/>
                <w:sz w:val="18"/>
                <w:szCs w:val="18"/>
                <w:lang w:eastAsia="es-CR"/>
              </w:rPr>
            </w:pPr>
            <w:r>
              <w:rPr>
                <w:rFonts w:ascii="Book Antiqua" w:hAnsi="Book Antiqua" w:cs="Calibri"/>
                <w:color w:val="000000"/>
                <w:sz w:val="18"/>
                <w:szCs w:val="18"/>
                <w:lang w:eastAsia="es-CR"/>
              </w:rPr>
              <w:t>30 de diciembre 2022</w:t>
            </w:r>
          </w:p>
        </w:tc>
      </w:tr>
      <w:tr w:rsidR="00FD7841" w:rsidRPr="00C005C0" w14:paraId="22FEF990" w14:textId="77777777" w:rsidTr="00E24FCA">
        <w:trPr>
          <w:trHeight w:val="660"/>
          <w:jc w:val="center"/>
        </w:trPr>
        <w:tc>
          <w:tcPr>
            <w:tcW w:w="880" w:type="pct"/>
            <w:shd w:val="clear" w:color="auto" w:fill="auto"/>
            <w:noWrap/>
            <w:vAlign w:val="center"/>
          </w:tcPr>
          <w:p w14:paraId="21D1C9D9"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1377-PJR-P02</w:t>
            </w:r>
          </w:p>
        </w:tc>
        <w:tc>
          <w:tcPr>
            <w:tcW w:w="1288" w:type="pct"/>
            <w:shd w:val="clear" w:color="auto" w:fill="auto"/>
            <w:vAlign w:val="center"/>
          </w:tcPr>
          <w:p w14:paraId="083951B1"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Programa de Justicia Restaurativa para el bienestar del personal judicial</w:t>
            </w:r>
          </w:p>
        </w:tc>
        <w:tc>
          <w:tcPr>
            <w:tcW w:w="1018" w:type="pct"/>
            <w:shd w:val="clear" w:color="auto" w:fill="FFFFFF" w:themeFill="background1"/>
            <w:vAlign w:val="center"/>
          </w:tcPr>
          <w:p w14:paraId="19FFAE32" w14:textId="77777777" w:rsidR="00FD7841" w:rsidRPr="00C005C0" w:rsidRDefault="00FD7841" w:rsidP="00B56C1A">
            <w:pPr>
              <w:tabs>
                <w:tab w:val="left" w:pos="0"/>
              </w:tabs>
              <w:spacing w:after="0"/>
              <w:jc w:val="center"/>
              <w:rPr>
                <w:rFonts w:ascii="Book Antiqua" w:hAnsi="Book Antiqua" w:cs="Calibri"/>
                <w:color w:val="000000"/>
                <w:sz w:val="18"/>
                <w:szCs w:val="18"/>
              </w:rPr>
            </w:pPr>
            <w:r w:rsidRPr="00CE69A5">
              <w:rPr>
                <w:rFonts w:ascii="Book Antiqua" w:hAnsi="Book Antiqua" w:cs="Calibri"/>
                <w:color w:val="000000"/>
                <w:sz w:val="18"/>
                <w:szCs w:val="18"/>
                <w:lang w:eastAsia="es-CR"/>
              </w:rPr>
              <w:t xml:space="preserve">Programa </w:t>
            </w:r>
            <w:r>
              <w:rPr>
                <w:rFonts w:ascii="Book Antiqua" w:hAnsi="Book Antiqua" w:cs="Calibri"/>
                <w:color w:val="000000"/>
                <w:sz w:val="18"/>
                <w:szCs w:val="18"/>
                <w:lang w:eastAsia="es-CR"/>
              </w:rPr>
              <w:t>J</w:t>
            </w:r>
            <w:r w:rsidRPr="00CE69A5">
              <w:rPr>
                <w:rFonts w:ascii="Book Antiqua" w:hAnsi="Book Antiqua" w:cs="Calibri"/>
                <w:color w:val="000000"/>
                <w:sz w:val="18"/>
                <w:szCs w:val="18"/>
                <w:lang w:eastAsia="es-CR"/>
              </w:rPr>
              <w:t xml:space="preserve">usticia </w:t>
            </w:r>
            <w:r>
              <w:rPr>
                <w:rFonts w:ascii="Book Antiqua" w:hAnsi="Book Antiqua" w:cs="Calibri"/>
                <w:color w:val="000000"/>
                <w:sz w:val="18"/>
                <w:szCs w:val="18"/>
                <w:lang w:eastAsia="es-CR"/>
              </w:rPr>
              <w:t>R</w:t>
            </w:r>
            <w:r w:rsidRPr="00CE69A5">
              <w:rPr>
                <w:rFonts w:ascii="Book Antiqua" w:hAnsi="Book Antiqua" w:cs="Calibri"/>
                <w:color w:val="000000"/>
                <w:sz w:val="18"/>
                <w:szCs w:val="18"/>
                <w:lang w:eastAsia="es-CR"/>
              </w:rPr>
              <w:t>estaurativa</w:t>
            </w:r>
          </w:p>
        </w:tc>
        <w:tc>
          <w:tcPr>
            <w:tcW w:w="951" w:type="pct"/>
            <w:shd w:val="clear" w:color="auto" w:fill="FFFFFF" w:themeFill="background1"/>
            <w:vAlign w:val="center"/>
          </w:tcPr>
          <w:p w14:paraId="00CA852A" w14:textId="77777777" w:rsidR="00FD7841" w:rsidRPr="00C005C0" w:rsidRDefault="00FD7841" w:rsidP="00B56C1A">
            <w:pPr>
              <w:tabs>
                <w:tab w:val="left" w:pos="0"/>
              </w:tabs>
              <w:spacing w:after="0"/>
              <w:jc w:val="center"/>
              <w:rPr>
                <w:rFonts w:ascii="Book Antiqua" w:hAnsi="Book Antiqua" w:cs="Calibri"/>
                <w:color w:val="000000"/>
                <w:sz w:val="18"/>
                <w:szCs w:val="18"/>
              </w:rPr>
            </w:pPr>
            <w:r w:rsidRPr="00CE69A5">
              <w:rPr>
                <w:rFonts w:ascii="Book Antiqua" w:hAnsi="Book Antiqua" w:cs="Calibri"/>
                <w:color w:val="000000"/>
                <w:sz w:val="18"/>
                <w:szCs w:val="18"/>
                <w:lang w:eastAsia="es-CR"/>
              </w:rPr>
              <w:t>José Pablo Hernández González</w:t>
            </w:r>
          </w:p>
        </w:tc>
        <w:tc>
          <w:tcPr>
            <w:tcW w:w="863" w:type="pct"/>
            <w:shd w:val="clear" w:color="auto" w:fill="FFFFFF" w:themeFill="background1"/>
            <w:vAlign w:val="center"/>
          </w:tcPr>
          <w:p w14:paraId="74635D4B" w14:textId="77777777" w:rsidR="00FD7841" w:rsidRPr="00CE69A5" w:rsidRDefault="00FD7841" w:rsidP="00B56C1A">
            <w:pPr>
              <w:tabs>
                <w:tab w:val="left" w:pos="0"/>
              </w:tabs>
              <w:spacing w:after="0"/>
              <w:jc w:val="center"/>
              <w:rPr>
                <w:rFonts w:ascii="Book Antiqua" w:hAnsi="Book Antiqua" w:cs="Calibri"/>
                <w:color w:val="000000"/>
                <w:sz w:val="18"/>
                <w:szCs w:val="18"/>
                <w:lang w:eastAsia="es-CR"/>
              </w:rPr>
            </w:pPr>
            <w:r w:rsidRPr="00C41942">
              <w:rPr>
                <w:rFonts w:ascii="Book Antiqua" w:hAnsi="Book Antiqua" w:cs="Calibri"/>
                <w:color w:val="000000"/>
                <w:sz w:val="18"/>
                <w:szCs w:val="18"/>
                <w:lang w:eastAsia="es-CR"/>
              </w:rPr>
              <w:t>12 de enero 2023</w:t>
            </w:r>
          </w:p>
        </w:tc>
      </w:tr>
      <w:tr w:rsidR="00FD7841" w:rsidRPr="00C005C0" w14:paraId="6DB08168" w14:textId="77777777" w:rsidTr="00E24FCA">
        <w:trPr>
          <w:trHeight w:val="660"/>
          <w:jc w:val="center"/>
        </w:trPr>
        <w:tc>
          <w:tcPr>
            <w:tcW w:w="880" w:type="pct"/>
            <w:shd w:val="clear" w:color="auto" w:fill="auto"/>
            <w:noWrap/>
            <w:vAlign w:val="center"/>
          </w:tcPr>
          <w:p w14:paraId="2AB8DD4F"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1846-OC-P01</w:t>
            </w:r>
            <w:r>
              <w:rPr>
                <w:rStyle w:val="Refdenotaalpie"/>
                <w:rFonts w:ascii="Book Antiqua" w:hAnsi="Book Antiqua" w:cs="Calibri"/>
                <w:color w:val="000000"/>
                <w:sz w:val="18"/>
                <w:szCs w:val="18"/>
              </w:rPr>
              <w:footnoteReference w:id="15"/>
            </w:r>
          </w:p>
        </w:tc>
        <w:tc>
          <w:tcPr>
            <w:tcW w:w="1288" w:type="pct"/>
            <w:shd w:val="clear" w:color="auto" w:fill="auto"/>
            <w:vAlign w:val="center"/>
          </w:tcPr>
          <w:p w14:paraId="110EEAEE" w14:textId="77777777" w:rsidR="00FD7841" w:rsidRPr="00C005C0" w:rsidRDefault="00FD7841" w:rsidP="00B56C1A">
            <w:pPr>
              <w:tabs>
                <w:tab w:val="left" w:pos="0"/>
              </w:tabs>
              <w:spacing w:after="0" w:line="240" w:lineRule="auto"/>
              <w:jc w:val="center"/>
              <w:rPr>
                <w:rFonts w:ascii="Book Antiqua" w:hAnsi="Book Antiqua" w:cs="Calibri"/>
                <w:color w:val="000000"/>
                <w:sz w:val="18"/>
                <w:szCs w:val="18"/>
              </w:rPr>
            </w:pPr>
            <w:r w:rsidRPr="002058C5">
              <w:rPr>
                <w:rFonts w:ascii="Book Antiqua" w:hAnsi="Book Antiqua" w:cs="Calibri"/>
                <w:color w:val="000000"/>
                <w:sz w:val="18"/>
                <w:szCs w:val="18"/>
                <w:lang w:eastAsia="es-CR"/>
              </w:rPr>
              <w:t>Reducción de las brechas de riesgo</w:t>
            </w:r>
          </w:p>
        </w:tc>
        <w:tc>
          <w:tcPr>
            <w:tcW w:w="1018" w:type="pct"/>
            <w:shd w:val="clear" w:color="auto" w:fill="FFFFFF" w:themeFill="background1"/>
            <w:vAlign w:val="center"/>
          </w:tcPr>
          <w:p w14:paraId="04576E07" w14:textId="77777777" w:rsidR="00FD7841" w:rsidRPr="00C005C0" w:rsidRDefault="00FD7841" w:rsidP="00B56C1A">
            <w:pPr>
              <w:tabs>
                <w:tab w:val="left" w:pos="0"/>
              </w:tabs>
              <w:spacing w:after="0"/>
              <w:jc w:val="center"/>
              <w:rPr>
                <w:rFonts w:ascii="Book Antiqua" w:hAnsi="Book Antiqua" w:cs="Calibri"/>
                <w:color w:val="000000"/>
                <w:sz w:val="18"/>
                <w:szCs w:val="18"/>
              </w:rPr>
            </w:pPr>
            <w:r w:rsidRPr="00CE69A5">
              <w:rPr>
                <w:rFonts w:ascii="Book Antiqua" w:hAnsi="Book Antiqua" w:cs="Calibri"/>
                <w:color w:val="000000"/>
                <w:sz w:val="18"/>
                <w:szCs w:val="18"/>
                <w:lang w:eastAsia="es-CR"/>
              </w:rPr>
              <w:t xml:space="preserve">Oficina de </w:t>
            </w:r>
            <w:r>
              <w:rPr>
                <w:rFonts w:ascii="Book Antiqua" w:hAnsi="Book Antiqua" w:cs="Calibri"/>
                <w:color w:val="000000"/>
                <w:sz w:val="18"/>
                <w:szCs w:val="18"/>
                <w:lang w:eastAsia="es-CR"/>
              </w:rPr>
              <w:t>C</w:t>
            </w:r>
            <w:r w:rsidRPr="00CE69A5">
              <w:rPr>
                <w:rFonts w:ascii="Book Antiqua" w:hAnsi="Book Antiqua" w:cs="Calibri"/>
                <w:color w:val="000000"/>
                <w:sz w:val="18"/>
                <w:szCs w:val="18"/>
                <w:lang w:eastAsia="es-CR"/>
              </w:rPr>
              <w:t>umplimiento</w:t>
            </w:r>
          </w:p>
        </w:tc>
        <w:tc>
          <w:tcPr>
            <w:tcW w:w="951" w:type="pct"/>
            <w:shd w:val="clear" w:color="auto" w:fill="FFFFFF" w:themeFill="background1"/>
            <w:vAlign w:val="center"/>
          </w:tcPr>
          <w:p w14:paraId="2924B38C" w14:textId="77777777" w:rsidR="00FD7841" w:rsidRPr="00C005C0" w:rsidRDefault="00FD7841" w:rsidP="00B56C1A">
            <w:pPr>
              <w:tabs>
                <w:tab w:val="left" w:pos="0"/>
              </w:tabs>
              <w:spacing w:after="0"/>
              <w:jc w:val="center"/>
              <w:rPr>
                <w:rFonts w:ascii="Book Antiqua" w:hAnsi="Book Antiqua" w:cs="Calibri"/>
                <w:color w:val="000000"/>
                <w:sz w:val="18"/>
                <w:szCs w:val="18"/>
              </w:rPr>
            </w:pPr>
            <w:r w:rsidRPr="00CE69A5">
              <w:rPr>
                <w:rFonts w:ascii="Book Antiqua" w:hAnsi="Book Antiqua" w:cs="Calibri"/>
                <w:color w:val="000000"/>
                <w:sz w:val="18"/>
                <w:szCs w:val="18"/>
                <w:lang w:eastAsia="es-CR"/>
              </w:rPr>
              <w:t>Randall Zuñiga Palacios</w:t>
            </w:r>
          </w:p>
        </w:tc>
        <w:tc>
          <w:tcPr>
            <w:tcW w:w="863" w:type="pct"/>
            <w:shd w:val="clear" w:color="auto" w:fill="FFFFFF" w:themeFill="background1"/>
            <w:vAlign w:val="center"/>
          </w:tcPr>
          <w:p w14:paraId="0008D3C3" w14:textId="77777777" w:rsidR="00FD7841" w:rsidRPr="00CE69A5" w:rsidRDefault="00FD7841" w:rsidP="00B56C1A">
            <w:pPr>
              <w:tabs>
                <w:tab w:val="left" w:pos="0"/>
              </w:tabs>
              <w:spacing w:after="0"/>
              <w:jc w:val="center"/>
              <w:rPr>
                <w:rFonts w:ascii="Book Antiqua" w:hAnsi="Book Antiqua" w:cs="Calibri"/>
                <w:color w:val="000000"/>
                <w:sz w:val="18"/>
                <w:szCs w:val="18"/>
                <w:lang w:eastAsia="es-CR"/>
              </w:rPr>
            </w:pPr>
            <w:r>
              <w:rPr>
                <w:rFonts w:ascii="Book Antiqua" w:hAnsi="Book Antiqua" w:cs="Calibri"/>
                <w:color w:val="000000"/>
                <w:sz w:val="18"/>
                <w:szCs w:val="18"/>
                <w:lang w:eastAsia="es-CR"/>
              </w:rPr>
              <w:t>30 de mayo del 2023</w:t>
            </w:r>
          </w:p>
        </w:tc>
      </w:tr>
      <w:tr w:rsidR="00FD7841" w:rsidRPr="00C005C0" w14:paraId="4372CAC4" w14:textId="77777777" w:rsidTr="00E24FCA">
        <w:trPr>
          <w:trHeight w:val="660"/>
          <w:jc w:val="center"/>
        </w:trPr>
        <w:tc>
          <w:tcPr>
            <w:tcW w:w="880" w:type="pct"/>
            <w:shd w:val="clear" w:color="auto" w:fill="auto"/>
            <w:noWrap/>
            <w:vAlign w:val="center"/>
          </w:tcPr>
          <w:p w14:paraId="27615B02" w14:textId="77777777" w:rsidR="00FD7841" w:rsidRPr="002058C5" w:rsidRDefault="00FD7841" w:rsidP="00B56C1A">
            <w:pPr>
              <w:tabs>
                <w:tab w:val="left" w:pos="0"/>
              </w:tabs>
              <w:spacing w:after="0" w:line="240" w:lineRule="auto"/>
              <w:jc w:val="center"/>
              <w:rPr>
                <w:rFonts w:ascii="Book Antiqua" w:hAnsi="Book Antiqua" w:cs="Calibri"/>
                <w:color w:val="000000"/>
                <w:sz w:val="18"/>
                <w:szCs w:val="18"/>
                <w:lang w:eastAsia="es-CR"/>
              </w:rPr>
            </w:pPr>
            <w:r w:rsidRPr="00086BD8">
              <w:rPr>
                <w:rFonts w:ascii="Book Antiqua" w:hAnsi="Book Antiqua" w:cs="Calibri"/>
                <w:color w:val="000000"/>
                <w:sz w:val="16"/>
                <w:szCs w:val="16"/>
                <w:lang w:eastAsia="es-CR"/>
              </w:rPr>
              <w:t>0117-DE-P06</w:t>
            </w:r>
          </w:p>
        </w:tc>
        <w:tc>
          <w:tcPr>
            <w:tcW w:w="1288" w:type="pct"/>
            <w:shd w:val="clear" w:color="auto" w:fill="auto"/>
            <w:vAlign w:val="center"/>
          </w:tcPr>
          <w:p w14:paraId="5CED3650" w14:textId="77777777" w:rsidR="00FD7841" w:rsidRPr="002058C5" w:rsidRDefault="00FD7841" w:rsidP="00B56C1A">
            <w:pPr>
              <w:tabs>
                <w:tab w:val="left" w:pos="0"/>
              </w:tabs>
              <w:spacing w:after="0" w:line="240" w:lineRule="auto"/>
              <w:jc w:val="center"/>
              <w:rPr>
                <w:rFonts w:ascii="Book Antiqua" w:hAnsi="Book Antiqua" w:cs="Calibri"/>
                <w:color w:val="000000"/>
                <w:sz w:val="18"/>
                <w:szCs w:val="18"/>
                <w:lang w:eastAsia="es-CR"/>
              </w:rPr>
            </w:pPr>
            <w:r w:rsidRPr="00086BD8">
              <w:rPr>
                <w:rFonts w:ascii="Book Antiqua" w:hAnsi="Book Antiqua" w:cs="Calibri"/>
                <w:color w:val="000000"/>
                <w:sz w:val="16"/>
                <w:szCs w:val="16"/>
              </w:rPr>
              <w:t>Construcción Edificio Anexo E</w:t>
            </w:r>
          </w:p>
        </w:tc>
        <w:tc>
          <w:tcPr>
            <w:tcW w:w="1018" w:type="pct"/>
            <w:shd w:val="clear" w:color="auto" w:fill="auto"/>
            <w:vAlign w:val="center"/>
          </w:tcPr>
          <w:p w14:paraId="13498C0F" w14:textId="77777777" w:rsidR="00FD7841" w:rsidRPr="00CE69A5" w:rsidRDefault="00FD7841" w:rsidP="00B56C1A">
            <w:pPr>
              <w:tabs>
                <w:tab w:val="left" w:pos="0"/>
              </w:tabs>
              <w:spacing w:after="0"/>
              <w:jc w:val="center"/>
              <w:rPr>
                <w:rFonts w:ascii="Book Antiqua" w:hAnsi="Book Antiqua" w:cs="Calibri"/>
                <w:color w:val="000000"/>
                <w:sz w:val="18"/>
                <w:szCs w:val="18"/>
                <w:lang w:eastAsia="es-CR"/>
              </w:rPr>
            </w:pPr>
            <w:r w:rsidRPr="00086BD8">
              <w:rPr>
                <w:rFonts w:ascii="Book Antiqua" w:hAnsi="Book Antiqua" w:cs="Calibri"/>
                <w:color w:val="000000"/>
                <w:sz w:val="16"/>
                <w:szCs w:val="16"/>
              </w:rPr>
              <w:t>0117 DIRECCION EJECUTIVA</w:t>
            </w:r>
          </w:p>
        </w:tc>
        <w:tc>
          <w:tcPr>
            <w:tcW w:w="951" w:type="pct"/>
            <w:shd w:val="clear" w:color="auto" w:fill="auto"/>
            <w:vAlign w:val="center"/>
          </w:tcPr>
          <w:p w14:paraId="078ECBA2" w14:textId="77777777" w:rsidR="00FD7841" w:rsidRPr="00CE69A5" w:rsidRDefault="00FD7841" w:rsidP="00B56C1A">
            <w:pPr>
              <w:tabs>
                <w:tab w:val="left" w:pos="0"/>
              </w:tabs>
              <w:spacing w:after="0"/>
              <w:jc w:val="center"/>
              <w:rPr>
                <w:rFonts w:ascii="Book Antiqua" w:hAnsi="Book Antiqua" w:cs="Calibri"/>
                <w:color w:val="000000"/>
                <w:sz w:val="18"/>
                <w:szCs w:val="18"/>
                <w:lang w:eastAsia="es-CR"/>
              </w:rPr>
            </w:pPr>
            <w:r w:rsidRPr="00086BD8">
              <w:rPr>
                <w:rFonts w:ascii="Book Antiqua" w:hAnsi="Book Antiqua" w:cs="Calibri"/>
                <w:color w:val="000000"/>
                <w:sz w:val="16"/>
                <w:szCs w:val="16"/>
              </w:rPr>
              <w:t>Hector Maroto Cambronero</w:t>
            </w:r>
          </w:p>
        </w:tc>
        <w:tc>
          <w:tcPr>
            <w:tcW w:w="863" w:type="pct"/>
            <w:shd w:val="clear" w:color="auto" w:fill="FFFFFF" w:themeFill="background1"/>
            <w:vAlign w:val="center"/>
          </w:tcPr>
          <w:p w14:paraId="0C26B177" w14:textId="77777777" w:rsidR="00FD7841" w:rsidRDefault="00FD7841" w:rsidP="00B56C1A">
            <w:pPr>
              <w:tabs>
                <w:tab w:val="left" w:pos="0"/>
              </w:tabs>
              <w:spacing w:after="0"/>
              <w:jc w:val="center"/>
              <w:rPr>
                <w:rFonts w:ascii="Book Antiqua" w:hAnsi="Book Antiqua" w:cs="Calibri"/>
                <w:color w:val="000000"/>
                <w:sz w:val="18"/>
                <w:szCs w:val="18"/>
                <w:lang w:eastAsia="es-CR"/>
              </w:rPr>
            </w:pPr>
            <w:r>
              <w:rPr>
                <w:rFonts w:ascii="Book Antiqua" w:hAnsi="Book Antiqua" w:cs="Calibri"/>
                <w:color w:val="000000"/>
                <w:sz w:val="16"/>
                <w:szCs w:val="16"/>
                <w:lang w:eastAsia="es-CR"/>
              </w:rPr>
              <w:t xml:space="preserve">Pendiente elaborar informe de cierre </w:t>
            </w:r>
          </w:p>
        </w:tc>
      </w:tr>
      <w:tr w:rsidR="00FD7841" w:rsidRPr="00C005C0" w14:paraId="20E0605F" w14:textId="77777777" w:rsidTr="00E24FCA">
        <w:trPr>
          <w:trHeight w:val="660"/>
          <w:jc w:val="center"/>
        </w:trPr>
        <w:tc>
          <w:tcPr>
            <w:tcW w:w="880" w:type="pct"/>
            <w:shd w:val="clear" w:color="auto" w:fill="auto"/>
            <w:noWrap/>
            <w:vAlign w:val="center"/>
          </w:tcPr>
          <w:p w14:paraId="25D9A54F" w14:textId="77777777" w:rsidR="00FD7841" w:rsidRPr="002058C5" w:rsidRDefault="00FD7841" w:rsidP="00B56C1A">
            <w:pPr>
              <w:tabs>
                <w:tab w:val="left" w:pos="0"/>
              </w:tabs>
              <w:spacing w:after="0" w:line="240" w:lineRule="auto"/>
              <w:jc w:val="center"/>
              <w:rPr>
                <w:rFonts w:ascii="Book Antiqua" w:hAnsi="Book Antiqua" w:cs="Calibri"/>
                <w:color w:val="000000"/>
                <w:sz w:val="18"/>
                <w:szCs w:val="18"/>
                <w:lang w:eastAsia="es-CR"/>
              </w:rPr>
            </w:pPr>
            <w:r w:rsidRPr="00086BD8">
              <w:rPr>
                <w:rFonts w:ascii="Book Antiqua" w:hAnsi="Book Antiqua" w:cs="Calibri"/>
                <w:color w:val="000000"/>
                <w:sz w:val="16"/>
                <w:szCs w:val="16"/>
                <w:lang w:eastAsia="es-CR"/>
              </w:rPr>
              <w:lastRenderedPageBreak/>
              <w:t>0117-DE-P23</w:t>
            </w:r>
            <w:r>
              <w:rPr>
                <w:rStyle w:val="Refdenotaalpie"/>
                <w:rFonts w:ascii="Book Antiqua" w:hAnsi="Book Antiqua" w:cs="Calibri"/>
                <w:color w:val="000000"/>
                <w:sz w:val="16"/>
                <w:szCs w:val="16"/>
                <w:lang w:eastAsia="es-CR"/>
              </w:rPr>
              <w:footnoteReference w:id="16"/>
            </w:r>
          </w:p>
        </w:tc>
        <w:tc>
          <w:tcPr>
            <w:tcW w:w="1288" w:type="pct"/>
            <w:shd w:val="clear" w:color="auto" w:fill="auto"/>
            <w:vAlign w:val="center"/>
          </w:tcPr>
          <w:p w14:paraId="29A794F4" w14:textId="77777777" w:rsidR="00FD7841" w:rsidRPr="002058C5" w:rsidRDefault="00FD7841" w:rsidP="00B56C1A">
            <w:pPr>
              <w:tabs>
                <w:tab w:val="left" w:pos="0"/>
              </w:tabs>
              <w:spacing w:after="0" w:line="240" w:lineRule="auto"/>
              <w:jc w:val="center"/>
              <w:rPr>
                <w:rFonts w:ascii="Book Antiqua" w:hAnsi="Book Antiqua" w:cs="Calibri"/>
                <w:color w:val="000000"/>
                <w:sz w:val="18"/>
                <w:szCs w:val="18"/>
                <w:lang w:eastAsia="es-CR"/>
              </w:rPr>
            </w:pPr>
            <w:r w:rsidRPr="00086BD8">
              <w:rPr>
                <w:rFonts w:ascii="Book Antiqua" w:hAnsi="Book Antiqua" w:cs="Calibri"/>
                <w:color w:val="000000"/>
                <w:sz w:val="16"/>
                <w:szCs w:val="16"/>
              </w:rPr>
              <w:t>Sistema de Detección de Incendios en el II Circ Jud San José</w:t>
            </w:r>
          </w:p>
        </w:tc>
        <w:tc>
          <w:tcPr>
            <w:tcW w:w="1018" w:type="pct"/>
            <w:shd w:val="clear" w:color="auto" w:fill="auto"/>
            <w:vAlign w:val="center"/>
          </w:tcPr>
          <w:p w14:paraId="1D0A1289" w14:textId="77777777" w:rsidR="00FD7841" w:rsidRPr="00CE69A5" w:rsidRDefault="00FD7841" w:rsidP="00B56C1A">
            <w:pPr>
              <w:tabs>
                <w:tab w:val="left" w:pos="0"/>
              </w:tabs>
              <w:spacing w:after="0"/>
              <w:jc w:val="center"/>
              <w:rPr>
                <w:rFonts w:ascii="Book Antiqua" w:hAnsi="Book Antiqua" w:cs="Calibri"/>
                <w:color w:val="000000"/>
                <w:sz w:val="18"/>
                <w:szCs w:val="18"/>
                <w:lang w:eastAsia="es-CR"/>
              </w:rPr>
            </w:pPr>
            <w:r w:rsidRPr="00086BD8">
              <w:rPr>
                <w:rFonts w:ascii="Book Antiqua" w:hAnsi="Book Antiqua" w:cs="Calibri"/>
                <w:color w:val="000000"/>
                <w:sz w:val="16"/>
                <w:szCs w:val="16"/>
              </w:rPr>
              <w:t>0176 OFICINA DE ADMINISTRACION II CIR. JUD. SAN JOSE</w:t>
            </w:r>
          </w:p>
        </w:tc>
        <w:tc>
          <w:tcPr>
            <w:tcW w:w="951" w:type="pct"/>
            <w:shd w:val="clear" w:color="auto" w:fill="auto"/>
            <w:vAlign w:val="center"/>
          </w:tcPr>
          <w:p w14:paraId="2675C699" w14:textId="77777777" w:rsidR="00FD7841" w:rsidRPr="00CE69A5" w:rsidRDefault="00FD7841" w:rsidP="00B56C1A">
            <w:pPr>
              <w:tabs>
                <w:tab w:val="left" w:pos="0"/>
              </w:tabs>
              <w:spacing w:after="0"/>
              <w:jc w:val="center"/>
              <w:rPr>
                <w:rFonts w:ascii="Book Antiqua" w:hAnsi="Book Antiqua" w:cs="Calibri"/>
                <w:color w:val="000000"/>
                <w:sz w:val="18"/>
                <w:szCs w:val="18"/>
                <w:lang w:eastAsia="es-CR"/>
              </w:rPr>
            </w:pPr>
            <w:r w:rsidRPr="00086BD8">
              <w:rPr>
                <w:rFonts w:ascii="Book Antiqua" w:hAnsi="Book Antiqua" w:cs="Calibri"/>
                <w:color w:val="000000"/>
                <w:sz w:val="16"/>
                <w:szCs w:val="16"/>
              </w:rPr>
              <w:t>Miguel Gutiérrez Fernández</w:t>
            </w:r>
          </w:p>
        </w:tc>
        <w:tc>
          <w:tcPr>
            <w:tcW w:w="863" w:type="pct"/>
            <w:shd w:val="clear" w:color="auto" w:fill="FFFFFF" w:themeFill="background1"/>
            <w:vAlign w:val="center"/>
          </w:tcPr>
          <w:p w14:paraId="0F50913C" w14:textId="77777777" w:rsidR="00FD7841" w:rsidRDefault="00FD7841" w:rsidP="00B56C1A">
            <w:pPr>
              <w:tabs>
                <w:tab w:val="left" w:pos="0"/>
              </w:tabs>
              <w:spacing w:after="0"/>
              <w:jc w:val="center"/>
              <w:rPr>
                <w:rFonts w:ascii="Book Antiqua" w:hAnsi="Book Antiqua" w:cs="Calibri"/>
                <w:color w:val="000000"/>
                <w:sz w:val="18"/>
                <w:szCs w:val="18"/>
                <w:lang w:eastAsia="es-CR"/>
              </w:rPr>
            </w:pPr>
            <w:r>
              <w:rPr>
                <w:rFonts w:ascii="Book Antiqua" w:hAnsi="Book Antiqua" w:cs="Calibri"/>
                <w:color w:val="000000"/>
                <w:sz w:val="16"/>
                <w:szCs w:val="16"/>
                <w:lang w:eastAsia="es-CR"/>
              </w:rPr>
              <w:t>17 de enero del 2023</w:t>
            </w:r>
          </w:p>
        </w:tc>
      </w:tr>
      <w:tr w:rsidR="00FD7841" w:rsidRPr="00C005C0" w14:paraId="66F8218E" w14:textId="77777777" w:rsidTr="00E24FCA">
        <w:trPr>
          <w:trHeight w:val="660"/>
          <w:jc w:val="center"/>
        </w:trPr>
        <w:tc>
          <w:tcPr>
            <w:tcW w:w="880" w:type="pct"/>
            <w:shd w:val="clear" w:color="auto" w:fill="auto"/>
            <w:noWrap/>
            <w:vAlign w:val="center"/>
          </w:tcPr>
          <w:p w14:paraId="5ADDF17B" w14:textId="77777777" w:rsidR="00FD7841" w:rsidRPr="002058C5" w:rsidRDefault="00FD7841" w:rsidP="00B56C1A">
            <w:pPr>
              <w:tabs>
                <w:tab w:val="left" w:pos="0"/>
              </w:tabs>
              <w:spacing w:after="0" w:line="240" w:lineRule="auto"/>
              <w:jc w:val="center"/>
              <w:rPr>
                <w:rFonts w:ascii="Book Antiqua" w:hAnsi="Book Antiqua" w:cs="Calibri"/>
                <w:color w:val="000000"/>
                <w:sz w:val="18"/>
                <w:szCs w:val="18"/>
                <w:lang w:eastAsia="es-CR"/>
              </w:rPr>
            </w:pPr>
            <w:r w:rsidRPr="00086BD8">
              <w:rPr>
                <w:rFonts w:ascii="Book Antiqua" w:hAnsi="Book Antiqua" w:cs="Calibri"/>
                <w:color w:val="000000"/>
                <w:sz w:val="16"/>
                <w:szCs w:val="16"/>
                <w:lang w:eastAsia="es-CR"/>
              </w:rPr>
              <w:t>0117-DE-P24</w:t>
            </w:r>
            <w:r>
              <w:rPr>
                <w:rStyle w:val="Refdenotaalpie"/>
                <w:rFonts w:ascii="Book Antiqua" w:hAnsi="Book Antiqua" w:cs="Calibri"/>
                <w:color w:val="000000"/>
                <w:sz w:val="16"/>
                <w:szCs w:val="16"/>
                <w:lang w:eastAsia="es-CR"/>
              </w:rPr>
              <w:footnoteReference w:id="17"/>
            </w:r>
          </w:p>
        </w:tc>
        <w:tc>
          <w:tcPr>
            <w:tcW w:w="1288" w:type="pct"/>
            <w:shd w:val="clear" w:color="auto" w:fill="auto"/>
            <w:vAlign w:val="center"/>
          </w:tcPr>
          <w:p w14:paraId="0F85D4C7" w14:textId="77777777" w:rsidR="00FD7841" w:rsidRPr="002058C5" w:rsidRDefault="00FD7841" w:rsidP="00B56C1A">
            <w:pPr>
              <w:tabs>
                <w:tab w:val="left" w:pos="0"/>
              </w:tabs>
              <w:spacing w:after="0" w:line="240" w:lineRule="auto"/>
              <w:jc w:val="center"/>
              <w:rPr>
                <w:rFonts w:ascii="Book Antiqua" w:hAnsi="Book Antiqua" w:cs="Calibri"/>
                <w:color w:val="000000"/>
                <w:sz w:val="18"/>
                <w:szCs w:val="18"/>
                <w:lang w:eastAsia="es-CR"/>
              </w:rPr>
            </w:pPr>
            <w:r w:rsidRPr="00086BD8">
              <w:rPr>
                <w:rFonts w:ascii="Book Antiqua" w:hAnsi="Book Antiqua" w:cs="Calibri"/>
                <w:color w:val="000000"/>
                <w:sz w:val="16"/>
                <w:szCs w:val="16"/>
              </w:rPr>
              <w:t>Reacondicionamiento Eléctrico Anexo A del II Circ Jud San José</w:t>
            </w:r>
          </w:p>
        </w:tc>
        <w:tc>
          <w:tcPr>
            <w:tcW w:w="1018" w:type="pct"/>
            <w:shd w:val="clear" w:color="auto" w:fill="auto"/>
            <w:vAlign w:val="center"/>
          </w:tcPr>
          <w:p w14:paraId="1C4088A6" w14:textId="77777777" w:rsidR="00FD7841" w:rsidRPr="00CE69A5" w:rsidRDefault="00FD7841" w:rsidP="00B56C1A">
            <w:pPr>
              <w:tabs>
                <w:tab w:val="left" w:pos="0"/>
              </w:tabs>
              <w:spacing w:after="0"/>
              <w:jc w:val="center"/>
              <w:rPr>
                <w:rFonts w:ascii="Book Antiqua" w:hAnsi="Book Antiqua" w:cs="Calibri"/>
                <w:color w:val="000000"/>
                <w:sz w:val="18"/>
                <w:szCs w:val="18"/>
                <w:lang w:eastAsia="es-CR"/>
              </w:rPr>
            </w:pPr>
            <w:r w:rsidRPr="00086BD8">
              <w:rPr>
                <w:rFonts w:ascii="Book Antiqua" w:hAnsi="Book Antiqua" w:cs="Calibri"/>
                <w:color w:val="000000"/>
                <w:sz w:val="16"/>
                <w:szCs w:val="16"/>
              </w:rPr>
              <w:t>0176 OFICINA DE ADMINISTRACION II CIR. JUD. SAN JOSE</w:t>
            </w:r>
          </w:p>
        </w:tc>
        <w:tc>
          <w:tcPr>
            <w:tcW w:w="951" w:type="pct"/>
            <w:shd w:val="clear" w:color="auto" w:fill="auto"/>
            <w:vAlign w:val="center"/>
          </w:tcPr>
          <w:p w14:paraId="72C6FE2D" w14:textId="77777777" w:rsidR="00FD7841" w:rsidRPr="00CE69A5" w:rsidRDefault="00FD7841" w:rsidP="00B56C1A">
            <w:pPr>
              <w:tabs>
                <w:tab w:val="left" w:pos="0"/>
              </w:tabs>
              <w:spacing w:after="0"/>
              <w:jc w:val="center"/>
              <w:rPr>
                <w:rFonts w:ascii="Book Antiqua" w:hAnsi="Book Antiqua" w:cs="Calibri"/>
                <w:color w:val="000000"/>
                <w:sz w:val="18"/>
                <w:szCs w:val="18"/>
                <w:lang w:eastAsia="es-CR"/>
              </w:rPr>
            </w:pPr>
            <w:r w:rsidRPr="00086BD8">
              <w:rPr>
                <w:rFonts w:ascii="Book Antiqua" w:hAnsi="Book Antiqua" w:cs="Calibri"/>
                <w:color w:val="000000"/>
                <w:sz w:val="16"/>
                <w:szCs w:val="16"/>
              </w:rPr>
              <w:t>Miguel Gutiérrez Fernández</w:t>
            </w:r>
          </w:p>
        </w:tc>
        <w:tc>
          <w:tcPr>
            <w:tcW w:w="863" w:type="pct"/>
            <w:shd w:val="clear" w:color="auto" w:fill="FFFFFF" w:themeFill="background1"/>
            <w:vAlign w:val="center"/>
          </w:tcPr>
          <w:p w14:paraId="5711F530" w14:textId="77777777" w:rsidR="00FD7841" w:rsidRDefault="00FD7841" w:rsidP="00B56C1A">
            <w:pPr>
              <w:tabs>
                <w:tab w:val="left" w:pos="0"/>
              </w:tabs>
              <w:spacing w:after="0"/>
              <w:jc w:val="center"/>
              <w:rPr>
                <w:rFonts w:ascii="Book Antiqua" w:hAnsi="Book Antiqua" w:cs="Calibri"/>
                <w:color w:val="000000"/>
                <w:sz w:val="18"/>
                <w:szCs w:val="18"/>
                <w:lang w:eastAsia="es-CR"/>
              </w:rPr>
            </w:pPr>
            <w:r>
              <w:rPr>
                <w:rFonts w:ascii="Book Antiqua" w:hAnsi="Book Antiqua" w:cs="Calibri"/>
                <w:color w:val="000000"/>
                <w:sz w:val="16"/>
                <w:szCs w:val="16"/>
                <w:lang w:eastAsia="es-CR"/>
              </w:rPr>
              <w:t>14 de abril del 2023</w:t>
            </w:r>
          </w:p>
        </w:tc>
      </w:tr>
      <w:tr w:rsidR="00FD7841" w:rsidRPr="00C005C0" w14:paraId="43EE170C" w14:textId="77777777" w:rsidTr="00E24FCA">
        <w:trPr>
          <w:trHeight w:val="660"/>
          <w:jc w:val="center"/>
        </w:trPr>
        <w:tc>
          <w:tcPr>
            <w:tcW w:w="880" w:type="pct"/>
            <w:shd w:val="clear" w:color="auto" w:fill="auto"/>
            <w:noWrap/>
            <w:vAlign w:val="center"/>
          </w:tcPr>
          <w:p w14:paraId="582C2CBC" w14:textId="77777777" w:rsidR="00FD7841" w:rsidRPr="002058C5" w:rsidRDefault="00FD7841" w:rsidP="00B56C1A">
            <w:pPr>
              <w:tabs>
                <w:tab w:val="left" w:pos="0"/>
              </w:tabs>
              <w:spacing w:after="0" w:line="240" w:lineRule="auto"/>
              <w:jc w:val="center"/>
              <w:rPr>
                <w:rFonts w:ascii="Book Antiqua" w:hAnsi="Book Antiqua" w:cs="Calibri"/>
                <w:color w:val="000000"/>
                <w:sz w:val="18"/>
                <w:szCs w:val="18"/>
                <w:lang w:eastAsia="es-CR"/>
              </w:rPr>
            </w:pPr>
            <w:r w:rsidRPr="00086BD8">
              <w:rPr>
                <w:rFonts w:ascii="Book Antiqua" w:hAnsi="Book Antiqua" w:cs="Calibri"/>
                <w:color w:val="000000"/>
                <w:sz w:val="16"/>
                <w:szCs w:val="16"/>
                <w:lang w:eastAsia="es-CR"/>
              </w:rPr>
              <w:t>1167-OIJ-P50</w:t>
            </w:r>
          </w:p>
        </w:tc>
        <w:tc>
          <w:tcPr>
            <w:tcW w:w="1288" w:type="pct"/>
            <w:shd w:val="clear" w:color="auto" w:fill="auto"/>
            <w:vAlign w:val="center"/>
          </w:tcPr>
          <w:p w14:paraId="31BD1492" w14:textId="77777777" w:rsidR="00FD7841" w:rsidRPr="002058C5" w:rsidRDefault="00FD7841" w:rsidP="00B56C1A">
            <w:pPr>
              <w:tabs>
                <w:tab w:val="left" w:pos="0"/>
              </w:tabs>
              <w:spacing w:after="0" w:line="240" w:lineRule="auto"/>
              <w:jc w:val="center"/>
              <w:rPr>
                <w:rFonts w:ascii="Book Antiqua" w:hAnsi="Book Antiqua" w:cs="Calibri"/>
                <w:color w:val="000000"/>
                <w:sz w:val="18"/>
                <w:szCs w:val="18"/>
                <w:lang w:eastAsia="es-CR"/>
              </w:rPr>
            </w:pPr>
            <w:r w:rsidRPr="00086BD8">
              <w:rPr>
                <w:rFonts w:ascii="Book Antiqua" w:hAnsi="Book Antiqua" w:cs="Calibri"/>
                <w:color w:val="000000"/>
                <w:sz w:val="16"/>
                <w:szCs w:val="16"/>
              </w:rPr>
              <w:t>Extensión de los alcances y beneficios de la pericia de Comparación biométrica de voces y fortalecimiento del área pericial</w:t>
            </w:r>
          </w:p>
        </w:tc>
        <w:tc>
          <w:tcPr>
            <w:tcW w:w="1018" w:type="pct"/>
            <w:shd w:val="clear" w:color="auto" w:fill="auto"/>
            <w:vAlign w:val="center"/>
          </w:tcPr>
          <w:p w14:paraId="3DCAEA93" w14:textId="77777777" w:rsidR="00FD7841" w:rsidRPr="00CE69A5" w:rsidRDefault="00FD7841" w:rsidP="00B56C1A">
            <w:pPr>
              <w:tabs>
                <w:tab w:val="left" w:pos="0"/>
              </w:tabs>
              <w:spacing w:after="0"/>
              <w:jc w:val="center"/>
              <w:rPr>
                <w:rFonts w:ascii="Book Antiqua" w:hAnsi="Book Antiqua" w:cs="Calibri"/>
                <w:color w:val="000000"/>
                <w:sz w:val="18"/>
                <w:szCs w:val="18"/>
                <w:lang w:eastAsia="es-CR"/>
              </w:rPr>
            </w:pPr>
            <w:r w:rsidRPr="00086BD8">
              <w:rPr>
                <w:rFonts w:ascii="Book Antiqua" w:hAnsi="Book Antiqua" w:cs="Calibri"/>
                <w:color w:val="000000"/>
                <w:sz w:val="16"/>
                <w:szCs w:val="16"/>
              </w:rPr>
              <w:t>083 DEPARTAMENTO DE LABORATORIO DE CIENCIAS FORENSES</w:t>
            </w:r>
          </w:p>
        </w:tc>
        <w:tc>
          <w:tcPr>
            <w:tcW w:w="951" w:type="pct"/>
            <w:shd w:val="clear" w:color="auto" w:fill="auto"/>
            <w:vAlign w:val="center"/>
          </w:tcPr>
          <w:p w14:paraId="2C95D275" w14:textId="77777777" w:rsidR="00FD7841" w:rsidRPr="00CE69A5" w:rsidRDefault="00FD7841" w:rsidP="00B56C1A">
            <w:pPr>
              <w:tabs>
                <w:tab w:val="left" w:pos="0"/>
              </w:tabs>
              <w:spacing w:after="0"/>
              <w:jc w:val="center"/>
              <w:rPr>
                <w:rFonts w:ascii="Book Antiqua" w:hAnsi="Book Antiqua" w:cs="Calibri"/>
                <w:color w:val="000000"/>
                <w:sz w:val="18"/>
                <w:szCs w:val="18"/>
                <w:lang w:eastAsia="es-CR"/>
              </w:rPr>
            </w:pPr>
            <w:r w:rsidRPr="00086BD8">
              <w:rPr>
                <w:rFonts w:ascii="Book Antiqua" w:hAnsi="Book Antiqua" w:cs="Calibri"/>
                <w:color w:val="000000"/>
                <w:sz w:val="16"/>
                <w:szCs w:val="16"/>
              </w:rPr>
              <w:t>Máster Carolina Rojas Alfaro</w:t>
            </w:r>
          </w:p>
        </w:tc>
        <w:tc>
          <w:tcPr>
            <w:tcW w:w="863" w:type="pct"/>
            <w:shd w:val="clear" w:color="auto" w:fill="FFFFFF" w:themeFill="background1"/>
            <w:vAlign w:val="center"/>
          </w:tcPr>
          <w:p w14:paraId="0AB7B02B" w14:textId="77777777" w:rsidR="00FD7841" w:rsidRDefault="00FD7841" w:rsidP="00B56C1A">
            <w:pPr>
              <w:tabs>
                <w:tab w:val="left" w:pos="0"/>
              </w:tabs>
              <w:spacing w:after="0"/>
              <w:jc w:val="center"/>
              <w:rPr>
                <w:rFonts w:ascii="Book Antiqua" w:hAnsi="Book Antiqua" w:cs="Calibri"/>
                <w:color w:val="000000"/>
                <w:sz w:val="18"/>
                <w:szCs w:val="18"/>
                <w:lang w:eastAsia="es-CR"/>
              </w:rPr>
            </w:pPr>
            <w:r>
              <w:rPr>
                <w:rFonts w:ascii="Book Antiqua" w:hAnsi="Book Antiqua" w:cs="Calibri"/>
                <w:color w:val="000000"/>
                <w:sz w:val="16"/>
                <w:szCs w:val="16"/>
                <w:lang w:eastAsia="es-CR"/>
              </w:rPr>
              <w:t>31 de marzo del 2023</w:t>
            </w:r>
          </w:p>
        </w:tc>
      </w:tr>
    </w:tbl>
    <w:p w14:paraId="332731F5" w14:textId="77777777" w:rsidR="00FD7841" w:rsidRPr="00E24FCA" w:rsidRDefault="00FD7841" w:rsidP="00E24FCA">
      <w:pPr>
        <w:spacing w:after="0" w:line="240" w:lineRule="auto"/>
        <w:jc w:val="both"/>
        <w:rPr>
          <w:rFonts w:ascii="Book Antiqua" w:hAnsi="Book Antiqua"/>
          <w:sz w:val="24"/>
          <w:szCs w:val="24"/>
        </w:rPr>
      </w:pPr>
    </w:p>
    <w:p w14:paraId="35683274" w14:textId="77777777" w:rsidR="00BD6172" w:rsidRPr="004C150A" w:rsidRDefault="00BD6172" w:rsidP="00BD6172">
      <w:pPr>
        <w:pStyle w:val="Ttulo2"/>
        <w:spacing w:before="0"/>
        <w:rPr>
          <w:rFonts w:ascii="Book Antiqua" w:hAnsi="Book Antiqua"/>
          <w:b/>
          <w:bCs/>
          <w:color w:val="auto"/>
          <w:sz w:val="24"/>
          <w:szCs w:val="24"/>
        </w:rPr>
      </w:pPr>
      <w:bookmarkStart w:id="166" w:name="_Toc131160605"/>
      <w:bookmarkStart w:id="167" w:name="_Toc138770889"/>
      <w:r w:rsidRPr="004C150A">
        <w:rPr>
          <w:rFonts w:ascii="Book Antiqua" w:hAnsi="Book Antiqua"/>
          <w:b/>
          <w:bCs/>
          <w:color w:val="auto"/>
          <w:sz w:val="24"/>
          <w:szCs w:val="24"/>
        </w:rPr>
        <w:t>A la Dirección de Planificación- Unidad de Portafolio de Proyectos.</w:t>
      </w:r>
      <w:bookmarkEnd w:id="166"/>
      <w:bookmarkEnd w:id="167"/>
    </w:p>
    <w:p w14:paraId="796468AD" w14:textId="77777777" w:rsidR="00BD6172" w:rsidRPr="008F2C56" w:rsidRDefault="00BD6172" w:rsidP="00BD6172">
      <w:pPr>
        <w:spacing w:after="0" w:line="240" w:lineRule="auto"/>
        <w:rPr>
          <w:rFonts w:ascii="Book Antiqua" w:hAnsi="Book Antiqua"/>
          <w:sz w:val="24"/>
          <w:szCs w:val="24"/>
        </w:rPr>
      </w:pPr>
    </w:p>
    <w:p w14:paraId="1C109B34" w14:textId="531D239B" w:rsidR="00BD6172" w:rsidRPr="00174798" w:rsidRDefault="00BD6172" w:rsidP="00155AE5">
      <w:pPr>
        <w:numPr>
          <w:ilvl w:val="1"/>
          <w:numId w:val="20"/>
        </w:numPr>
        <w:spacing w:after="0" w:line="240" w:lineRule="auto"/>
        <w:ind w:left="567" w:hanging="567"/>
        <w:jc w:val="both"/>
        <w:rPr>
          <w:rFonts w:ascii="Book Antiqua" w:hAnsi="Book Antiqua"/>
          <w:sz w:val="24"/>
          <w:szCs w:val="24"/>
        </w:rPr>
      </w:pPr>
      <w:r w:rsidRPr="00174798">
        <w:rPr>
          <w:rFonts w:ascii="Book Antiqua" w:hAnsi="Book Antiqua"/>
          <w:sz w:val="24"/>
          <w:szCs w:val="24"/>
        </w:rPr>
        <w:t>Realizar capacitaciones</w:t>
      </w:r>
      <w:r w:rsidR="00D06D89" w:rsidRPr="22DA3E41">
        <w:rPr>
          <w:rFonts w:ascii="Book Antiqua" w:hAnsi="Book Antiqua"/>
          <w:sz w:val="24"/>
          <w:szCs w:val="24"/>
        </w:rPr>
        <w:t xml:space="preserve"> en el segundo semestre</w:t>
      </w:r>
      <w:r w:rsidRPr="00174798">
        <w:rPr>
          <w:rFonts w:ascii="Book Antiqua" w:hAnsi="Book Antiqua"/>
          <w:sz w:val="24"/>
          <w:szCs w:val="24"/>
        </w:rPr>
        <w:t xml:space="preserve"> que orienten a las personas encargadas de liderar proyectos estratégicos, sobre la forma correcta de completar los diferentes formularios relacionados con la metodología institucional de administración de proyectos y el uso de las herramientas informáticas que facilitan la obtención y el registro de la información, así como el seguimiento de los proyectos en ejecución.  Se deberá enfocar en este periodo en la capacitación, para fortalecer la forma de completar los formularios de acuerdo con los roles y responsabilidades de los encargados de los proyectos, así como otros temas que consideren se deben reforzar, con el objetivo de continuar depurando y madurando los procedimientos institucionales relacionados con este tema.</w:t>
      </w:r>
    </w:p>
    <w:p w14:paraId="441ED229" w14:textId="77777777" w:rsidR="00BD6172" w:rsidRPr="00174798" w:rsidRDefault="00BD6172" w:rsidP="00BD6172">
      <w:pPr>
        <w:spacing w:after="0" w:line="240" w:lineRule="auto"/>
        <w:ind w:left="567"/>
        <w:jc w:val="both"/>
        <w:rPr>
          <w:rFonts w:ascii="Book Antiqua" w:hAnsi="Book Antiqua"/>
          <w:sz w:val="24"/>
          <w:szCs w:val="24"/>
        </w:rPr>
      </w:pPr>
    </w:p>
    <w:p w14:paraId="7E638BD2" w14:textId="4DB0205C" w:rsidR="00A02AD6" w:rsidRPr="00EF4E17" w:rsidRDefault="00BD6172" w:rsidP="00EF4E17">
      <w:pPr>
        <w:numPr>
          <w:ilvl w:val="1"/>
          <w:numId w:val="20"/>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Hacer de conocimiento </w:t>
      </w:r>
      <w:r w:rsidR="00DA4F74">
        <w:rPr>
          <w:rFonts w:ascii="Book Antiqua" w:hAnsi="Book Antiqua"/>
          <w:sz w:val="24"/>
          <w:szCs w:val="24"/>
        </w:rPr>
        <w:t>de</w:t>
      </w:r>
      <w:r w:rsidRPr="00174798">
        <w:rPr>
          <w:rFonts w:ascii="Book Antiqua" w:hAnsi="Book Antiqua"/>
          <w:sz w:val="24"/>
          <w:szCs w:val="24"/>
        </w:rPr>
        <w:t>l Consejo Superior el cumplimiento de las recomendaciones señaladas en el presente informe, considerando los plazos otorgados para las diferentes oficinas judiciales</w:t>
      </w:r>
      <w:r w:rsidR="00A02AD6">
        <w:rPr>
          <w:rFonts w:ascii="Book Antiqua" w:hAnsi="Book Antiqua"/>
          <w:sz w:val="24"/>
          <w:szCs w:val="24"/>
        </w:rPr>
        <w:t xml:space="preserve"> y </w:t>
      </w:r>
      <w:r w:rsidR="000F389D">
        <w:rPr>
          <w:rFonts w:ascii="Book Antiqua" w:hAnsi="Book Antiqua"/>
          <w:sz w:val="24"/>
          <w:szCs w:val="24"/>
        </w:rPr>
        <w:t xml:space="preserve">adicionalmente, </w:t>
      </w:r>
      <w:r w:rsidR="00A02AD6">
        <w:rPr>
          <w:rFonts w:ascii="Book Antiqua" w:hAnsi="Book Antiqua"/>
          <w:sz w:val="24"/>
          <w:szCs w:val="24"/>
        </w:rPr>
        <w:t>conforme lo consignado e</w:t>
      </w:r>
      <w:r w:rsidR="00A02AD6" w:rsidRPr="00EF4E17">
        <w:rPr>
          <w:rFonts w:ascii="Book Antiqua" w:hAnsi="Book Antiqua"/>
          <w:sz w:val="24"/>
          <w:szCs w:val="24"/>
        </w:rPr>
        <w:t>n el capítulo 5 de este informe, en torno a lo dispuesto por el Consejo Superior, en sesión N° 25-2023 celebrada el 28 de marzo del 2023, artículo XXX</w:t>
      </w:r>
      <w:r w:rsidR="00A02AD6">
        <w:rPr>
          <w:rFonts w:ascii="Book Antiqua" w:hAnsi="Book Antiqua"/>
          <w:sz w:val="24"/>
          <w:szCs w:val="24"/>
        </w:rPr>
        <w:t xml:space="preserve">, continuar </w:t>
      </w:r>
      <w:r w:rsidR="00A90AA0">
        <w:rPr>
          <w:rFonts w:ascii="Book Antiqua" w:hAnsi="Book Antiqua"/>
          <w:sz w:val="24"/>
          <w:szCs w:val="24"/>
        </w:rPr>
        <w:t xml:space="preserve">realizando el análisis correspondiente al ejercicio de </w:t>
      </w:r>
      <w:r w:rsidR="00A02AD6" w:rsidRPr="00EF4E17">
        <w:rPr>
          <w:rFonts w:ascii="Book Antiqua" w:hAnsi="Book Antiqua"/>
          <w:sz w:val="24"/>
          <w:szCs w:val="24"/>
        </w:rPr>
        <w:t>priorización de los proyectos estratégicos</w:t>
      </w:r>
      <w:r w:rsidR="00A90AA0">
        <w:rPr>
          <w:rFonts w:ascii="Book Antiqua" w:hAnsi="Book Antiqua"/>
          <w:sz w:val="24"/>
          <w:szCs w:val="24"/>
        </w:rPr>
        <w:t xml:space="preserve"> para brindar el informe </w:t>
      </w:r>
      <w:r w:rsidR="00DA4F74">
        <w:rPr>
          <w:rFonts w:ascii="Book Antiqua" w:hAnsi="Book Antiqua"/>
          <w:sz w:val="24"/>
          <w:szCs w:val="24"/>
        </w:rPr>
        <w:t>solicitado por este</w:t>
      </w:r>
      <w:r w:rsidR="00A90AA0">
        <w:rPr>
          <w:rFonts w:ascii="Book Antiqua" w:hAnsi="Book Antiqua"/>
          <w:sz w:val="24"/>
          <w:szCs w:val="24"/>
        </w:rPr>
        <w:t xml:space="preserve"> Consejo.</w:t>
      </w:r>
      <w:r w:rsidR="00A02AD6" w:rsidRPr="00EF4E17">
        <w:rPr>
          <w:rFonts w:ascii="Book Antiqua" w:hAnsi="Book Antiqua"/>
          <w:sz w:val="24"/>
          <w:szCs w:val="24"/>
        </w:rPr>
        <w:t xml:space="preserve"> </w:t>
      </w:r>
    </w:p>
    <w:p w14:paraId="6D71588A" w14:textId="78D63519" w:rsidR="00BD6172" w:rsidRPr="00174798" w:rsidRDefault="00BD6172" w:rsidP="00EF4E17">
      <w:pPr>
        <w:spacing w:after="0" w:line="240" w:lineRule="auto"/>
        <w:ind w:left="567"/>
        <w:jc w:val="both"/>
        <w:rPr>
          <w:rFonts w:ascii="Book Antiqua" w:hAnsi="Book Antiqua"/>
          <w:sz w:val="24"/>
          <w:szCs w:val="24"/>
        </w:rPr>
      </w:pPr>
    </w:p>
    <w:p w14:paraId="04778F15" w14:textId="5BAEC2BA" w:rsidR="00E8321A" w:rsidRDefault="00E8321A" w:rsidP="00E8321A">
      <w:pPr>
        <w:spacing w:after="0" w:line="240" w:lineRule="auto"/>
        <w:ind w:left="708" w:hanging="708"/>
        <w:jc w:val="both"/>
        <w:rPr>
          <w:rFonts w:ascii="Book Antiqua" w:hAnsi="Book Antiqua"/>
          <w:b/>
          <w:bCs/>
          <w:sz w:val="24"/>
          <w:szCs w:val="24"/>
          <w:highlight w:val="yellow"/>
        </w:rPr>
      </w:pPr>
    </w:p>
    <w:p w14:paraId="5A713AE7" w14:textId="77777777" w:rsidR="008A1D31" w:rsidRPr="008F2C56" w:rsidRDefault="008A1D31" w:rsidP="00E8321A">
      <w:pPr>
        <w:spacing w:after="0" w:line="240" w:lineRule="auto"/>
        <w:ind w:left="708" w:hanging="708"/>
        <w:jc w:val="both"/>
        <w:rPr>
          <w:rFonts w:ascii="Book Antiqua" w:hAnsi="Book Antiqua"/>
          <w:b/>
          <w:bCs/>
          <w:sz w:val="24"/>
          <w:szCs w:val="24"/>
          <w:highlight w:val="yellow"/>
        </w:rPr>
      </w:pPr>
    </w:p>
    <w:p w14:paraId="79B8D8C4" w14:textId="2E28B79A" w:rsidR="00E8321A" w:rsidRPr="004C150A" w:rsidRDefault="00E8321A" w:rsidP="00E8321A">
      <w:pPr>
        <w:pStyle w:val="Ttulo2"/>
        <w:spacing w:before="0"/>
        <w:rPr>
          <w:rFonts w:ascii="Book Antiqua" w:hAnsi="Book Antiqua"/>
          <w:b/>
          <w:bCs/>
          <w:color w:val="auto"/>
          <w:sz w:val="24"/>
          <w:szCs w:val="24"/>
        </w:rPr>
      </w:pPr>
      <w:bookmarkStart w:id="168" w:name="_Toc138770890"/>
      <w:r w:rsidRPr="00E24FCA">
        <w:rPr>
          <w:rFonts w:ascii="Book Antiqua" w:hAnsi="Book Antiqua"/>
          <w:b/>
          <w:bCs/>
          <w:color w:val="auto"/>
          <w:sz w:val="24"/>
          <w:szCs w:val="24"/>
        </w:rPr>
        <w:lastRenderedPageBreak/>
        <w:t>A la Administración de la Ciudad Judicial de San Joaquín de Flores</w:t>
      </w:r>
      <w:r w:rsidR="00053D94">
        <w:rPr>
          <w:rFonts w:ascii="Book Antiqua" w:hAnsi="Book Antiqua"/>
          <w:b/>
          <w:bCs/>
          <w:color w:val="auto"/>
          <w:sz w:val="24"/>
          <w:szCs w:val="24"/>
        </w:rPr>
        <w:t xml:space="preserve"> y Dirección Ejecutiva</w:t>
      </w:r>
      <w:r w:rsidRPr="00E24FCA">
        <w:rPr>
          <w:rFonts w:ascii="Book Antiqua" w:hAnsi="Book Antiqua"/>
          <w:b/>
          <w:bCs/>
          <w:color w:val="auto"/>
          <w:sz w:val="24"/>
          <w:szCs w:val="24"/>
        </w:rPr>
        <w:t>:</w:t>
      </w:r>
      <w:bookmarkEnd w:id="168"/>
    </w:p>
    <w:p w14:paraId="4360C3A0" w14:textId="77777777" w:rsidR="00E8321A" w:rsidRPr="008F2C56" w:rsidRDefault="00E8321A" w:rsidP="00E8321A">
      <w:pPr>
        <w:spacing w:after="0" w:line="240" w:lineRule="auto"/>
        <w:jc w:val="both"/>
        <w:rPr>
          <w:rFonts w:ascii="Book Antiqua" w:hAnsi="Book Antiqua"/>
          <w:sz w:val="24"/>
          <w:szCs w:val="24"/>
        </w:rPr>
      </w:pPr>
    </w:p>
    <w:p w14:paraId="723DA4AB" w14:textId="77777777" w:rsidR="00E8321A" w:rsidRDefault="00E8321A" w:rsidP="00E24FCA">
      <w:pPr>
        <w:numPr>
          <w:ilvl w:val="1"/>
          <w:numId w:val="20"/>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Se solicita a más tardar el </w:t>
      </w:r>
      <w:r w:rsidRPr="00D06D89">
        <w:rPr>
          <w:rFonts w:ascii="Book Antiqua" w:hAnsi="Book Antiqua"/>
          <w:b/>
          <w:bCs/>
          <w:sz w:val="24"/>
          <w:szCs w:val="24"/>
        </w:rPr>
        <w:t>11 de agosto del 2023</w:t>
      </w:r>
      <w:r w:rsidRPr="00174798">
        <w:rPr>
          <w:rFonts w:ascii="Book Antiqua" w:hAnsi="Book Antiqua"/>
          <w:sz w:val="24"/>
          <w:szCs w:val="24"/>
        </w:rPr>
        <w:t xml:space="preserve">, cargar en el sitio de proyecto la atención de las siguientes recomendaciones: </w:t>
      </w:r>
    </w:p>
    <w:tbl>
      <w:tblPr>
        <w:tblW w:w="1105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390"/>
        <w:gridCol w:w="992"/>
        <w:gridCol w:w="1649"/>
        <w:gridCol w:w="3543"/>
        <w:gridCol w:w="1097"/>
        <w:gridCol w:w="911"/>
      </w:tblGrid>
      <w:tr w:rsidR="007D35E8" w:rsidRPr="007A2ECB" w14:paraId="1FA0CB0F" w14:textId="77777777" w:rsidTr="00D06D89">
        <w:trPr>
          <w:trHeight w:val="300"/>
          <w:tblHeader/>
        </w:trPr>
        <w:tc>
          <w:tcPr>
            <w:tcW w:w="1470" w:type="dxa"/>
            <w:shd w:val="clear" w:color="000000" w:fill="44546A"/>
            <w:noWrap/>
            <w:vAlign w:val="center"/>
            <w:hideMark/>
          </w:tcPr>
          <w:p w14:paraId="41E32244" w14:textId="77777777" w:rsidR="00E8321A" w:rsidRPr="007A2ECB" w:rsidRDefault="00E8321A" w:rsidP="00B56C1A">
            <w:pPr>
              <w:spacing w:after="0" w:line="240" w:lineRule="auto"/>
              <w:jc w:val="center"/>
              <w:rPr>
                <w:rFonts w:ascii="Book Antiqua" w:eastAsia="Times New Roman" w:hAnsi="Book Antiqua" w:cs="Calibri"/>
                <w:b/>
                <w:bCs/>
                <w:color w:val="FFFFFF"/>
                <w:sz w:val="18"/>
                <w:szCs w:val="18"/>
                <w:lang w:eastAsia="es-CR"/>
              </w:rPr>
            </w:pPr>
            <w:r w:rsidRPr="007A2ECB">
              <w:rPr>
                <w:rFonts w:ascii="Book Antiqua" w:eastAsia="Times New Roman" w:hAnsi="Book Antiqua" w:cs="Calibri"/>
                <w:b/>
                <w:bCs/>
                <w:color w:val="FFFFFF"/>
                <w:sz w:val="18"/>
                <w:szCs w:val="18"/>
                <w:lang w:eastAsia="es-CR"/>
              </w:rPr>
              <w:t>Centro de responsabilidad</w:t>
            </w:r>
          </w:p>
        </w:tc>
        <w:tc>
          <w:tcPr>
            <w:tcW w:w="1390" w:type="dxa"/>
            <w:shd w:val="clear" w:color="000000" w:fill="44546A"/>
            <w:noWrap/>
            <w:vAlign w:val="center"/>
            <w:hideMark/>
          </w:tcPr>
          <w:p w14:paraId="41A66524" w14:textId="77777777" w:rsidR="00E8321A" w:rsidRPr="007A2ECB" w:rsidRDefault="00E8321A" w:rsidP="00B56C1A">
            <w:pPr>
              <w:spacing w:after="0" w:line="240" w:lineRule="auto"/>
              <w:jc w:val="center"/>
              <w:rPr>
                <w:rFonts w:ascii="Book Antiqua" w:eastAsia="Times New Roman" w:hAnsi="Book Antiqua" w:cs="Calibri"/>
                <w:b/>
                <w:bCs/>
                <w:color w:val="FFFFFF"/>
                <w:sz w:val="18"/>
                <w:szCs w:val="18"/>
                <w:lang w:eastAsia="es-CR"/>
              </w:rPr>
            </w:pPr>
            <w:r w:rsidRPr="007A2ECB">
              <w:rPr>
                <w:rFonts w:ascii="Book Antiqua" w:eastAsia="Times New Roman" w:hAnsi="Book Antiqua" w:cs="Calibri"/>
                <w:b/>
                <w:bCs/>
                <w:color w:val="FFFFFF"/>
                <w:sz w:val="18"/>
                <w:szCs w:val="18"/>
                <w:lang w:eastAsia="es-CR"/>
              </w:rPr>
              <w:t>Oficina Líder</w:t>
            </w:r>
          </w:p>
        </w:tc>
        <w:tc>
          <w:tcPr>
            <w:tcW w:w="992" w:type="dxa"/>
            <w:shd w:val="clear" w:color="000000" w:fill="44546A"/>
            <w:noWrap/>
            <w:vAlign w:val="center"/>
            <w:hideMark/>
          </w:tcPr>
          <w:p w14:paraId="2782F923" w14:textId="77777777" w:rsidR="00E8321A" w:rsidRPr="007A2ECB" w:rsidRDefault="00E8321A" w:rsidP="00B56C1A">
            <w:pPr>
              <w:spacing w:after="0" w:line="240" w:lineRule="auto"/>
              <w:jc w:val="center"/>
              <w:rPr>
                <w:rFonts w:ascii="Book Antiqua" w:eastAsia="Times New Roman" w:hAnsi="Book Antiqua" w:cs="Calibri"/>
                <w:b/>
                <w:bCs/>
                <w:color w:val="FFFFFF"/>
                <w:sz w:val="18"/>
                <w:szCs w:val="18"/>
                <w:lang w:eastAsia="es-CR"/>
              </w:rPr>
            </w:pPr>
            <w:r w:rsidRPr="007A2ECB">
              <w:rPr>
                <w:rFonts w:ascii="Book Antiqua" w:eastAsia="Times New Roman" w:hAnsi="Book Antiqua" w:cs="Calibri"/>
                <w:b/>
                <w:bCs/>
                <w:color w:val="FFFFFF"/>
                <w:sz w:val="18"/>
                <w:szCs w:val="18"/>
                <w:lang w:eastAsia="es-CR"/>
              </w:rPr>
              <w:t>Código</w:t>
            </w:r>
          </w:p>
        </w:tc>
        <w:tc>
          <w:tcPr>
            <w:tcW w:w="1649" w:type="dxa"/>
            <w:shd w:val="clear" w:color="000000" w:fill="44546A"/>
            <w:noWrap/>
            <w:vAlign w:val="center"/>
            <w:hideMark/>
          </w:tcPr>
          <w:p w14:paraId="669C6C22" w14:textId="77777777" w:rsidR="00E8321A" w:rsidRPr="007A2ECB" w:rsidRDefault="00E8321A" w:rsidP="00B56C1A">
            <w:pPr>
              <w:spacing w:after="0" w:line="240" w:lineRule="auto"/>
              <w:jc w:val="center"/>
              <w:rPr>
                <w:rFonts w:ascii="Book Antiqua" w:eastAsia="Times New Roman" w:hAnsi="Book Antiqua" w:cs="Calibri"/>
                <w:b/>
                <w:bCs/>
                <w:color w:val="FFFFFF"/>
                <w:sz w:val="18"/>
                <w:szCs w:val="18"/>
                <w:lang w:eastAsia="es-CR"/>
              </w:rPr>
            </w:pPr>
            <w:r w:rsidRPr="007A2ECB">
              <w:rPr>
                <w:rFonts w:ascii="Book Antiqua" w:eastAsia="Times New Roman" w:hAnsi="Book Antiqua" w:cs="Calibri"/>
                <w:b/>
                <w:bCs/>
                <w:color w:val="FFFFFF"/>
                <w:sz w:val="18"/>
                <w:szCs w:val="18"/>
                <w:lang w:eastAsia="es-CR"/>
              </w:rPr>
              <w:t>Nombre</w:t>
            </w:r>
          </w:p>
        </w:tc>
        <w:tc>
          <w:tcPr>
            <w:tcW w:w="3543" w:type="dxa"/>
            <w:shd w:val="clear" w:color="000000" w:fill="44546A"/>
            <w:noWrap/>
            <w:vAlign w:val="center"/>
            <w:hideMark/>
          </w:tcPr>
          <w:p w14:paraId="19ED4BF1" w14:textId="77777777" w:rsidR="00E8321A" w:rsidRPr="007A2ECB" w:rsidRDefault="00E8321A" w:rsidP="00B56C1A">
            <w:pPr>
              <w:spacing w:after="0" w:line="240" w:lineRule="auto"/>
              <w:jc w:val="center"/>
              <w:rPr>
                <w:rFonts w:ascii="Book Antiqua" w:eastAsia="Times New Roman" w:hAnsi="Book Antiqua" w:cs="Calibri"/>
                <w:b/>
                <w:bCs/>
                <w:color w:val="FFFFFF"/>
                <w:sz w:val="18"/>
                <w:szCs w:val="18"/>
                <w:lang w:eastAsia="es-CR"/>
              </w:rPr>
            </w:pPr>
            <w:r w:rsidRPr="007A2ECB">
              <w:rPr>
                <w:rFonts w:ascii="Book Antiqua" w:eastAsia="Times New Roman" w:hAnsi="Book Antiqua" w:cs="Calibri"/>
                <w:b/>
                <w:bCs/>
                <w:color w:val="FFFFFF"/>
                <w:sz w:val="18"/>
                <w:szCs w:val="18"/>
                <w:lang w:eastAsia="es-CR"/>
              </w:rPr>
              <w:t>Recomendación pendiente</w:t>
            </w:r>
          </w:p>
        </w:tc>
        <w:tc>
          <w:tcPr>
            <w:tcW w:w="1097" w:type="dxa"/>
            <w:shd w:val="clear" w:color="000000" w:fill="44546A"/>
            <w:noWrap/>
            <w:vAlign w:val="center"/>
            <w:hideMark/>
          </w:tcPr>
          <w:p w14:paraId="3F870C21" w14:textId="77777777" w:rsidR="00E8321A" w:rsidRPr="007A2ECB" w:rsidRDefault="00E8321A" w:rsidP="00B56C1A">
            <w:pPr>
              <w:spacing w:after="0" w:line="240" w:lineRule="auto"/>
              <w:jc w:val="center"/>
              <w:rPr>
                <w:rFonts w:ascii="Book Antiqua" w:eastAsia="Times New Roman" w:hAnsi="Book Antiqua" w:cs="Calibri"/>
                <w:b/>
                <w:bCs/>
                <w:color w:val="FFFFFF"/>
                <w:sz w:val="18"/>
                <w:szCs w:val="18"/>
                <w:lang w:eastAsia="es-CR"/>
              </w:rPr>
            </w:pPr>
            <w:r w:rsidRPr="007A2ECB">
              <w:rPr>
                <w:rFonts w:ascii="Book Antiqua" w:eastAsia="Times New Roman" w:hAnsi="Book Antiqua" w:cs="Calibri"/>
                <w:b/>
                <w:bCs/>
                <w:color w:val="FFFFFF"/>
                <w:sz w:val="18"/>
                <w:szCs w:val="18"/>
                <w:lang w:eastAsia="es-CR"/>
              </w:rPr>
              <w:t>Capítulo del informe</w:t>
            </w:r>
          </w:p>
        </w:tc>
        <w:tc>
          <w:tcPr>
            <w:tcW w:w="911" w:type="dxa"/>
            <w:shd w:val="clear" w:color="000000" w:fill="44546A"/>
            <w:noWrap/>
            <w:vAlign w:val="center"/>
            <w:hideMark/>
          </w:tcPr>
          <w:p w14:paraId="3AE934F1" w14:textId="77777777" w:rsidR="00E8321A" w:rsidRPr="007A2ECB" w:rsidRDefault="00E8321A" w:rsidP="00B56C1A">
            <w:pPr>
              <w:spacing w:after="0" w:line="240" w:lineRule="auto"/>
              <w:jc w:val="center"/>
              <w:rPr>
                <w:rFonts w:ascii="Book Antiqua" w:eastAsia="Times New Roman" w:hAnsi="Book Antiqua" w:cs="Calibri"/>
                <w:b/>
                <w:bCs/>
                <w:color w:val="FFFFFF"/>
                <w:sz w:val="18"/>
                <w:szCs w:val="18"/>
                <w:lang w:eastAsia="es-CR"/>
              </w:rPr>
            </w:pPr>
            <w:r w:rsidRPr="007A2ECB">
              <w:rPr>
                <w:rFonts w:ascii="Book Antiqua" w:eastAsia="Times New Roman" w:hAnsi="Book Antiqua" w:cs="Calibri"/>
                <w:b/>
                <w:bCs/>
                <w:color w:val="FFFFFF"/>
                <w:sz w:val="18"/>
                <w:szCs w:val="18"/>
                <w:lang w:eastAsia="es-CR"/>
              </w:rPr>
              <w:t>Apartado del informe</w:t>
            </w:r>
          </w:p>
        </w:tc>
      </w:tr>
      <w:tr w:rsidR="007D35E8" w:rsidRPr="007A2ECB" w14:paraId="2E931483" w14:textId="77777777" w:rsidTr="00D06D89">
        <w:trPr>
          <w:trHeight w:val="375"/>
        </w:trPr>
        <w:tc>
          <w:tcPr>
            <w:tcW w:w="1470" w:type="dxa"/>
            <w:vMerge w:val="restart"/>
            <w:shd w:val="clear" w:color="auto" w:fill="auto"/>
            <w:noWrap/>
            <w:vAlign w:val="center"/>
            <w:hideMark/>
          </w:tcPr>
          <w:p w14:paraId="769AB931" w14:textId="77777777" w:rsidR="00E8321A" w:rsidRPr="007A2ECB" w:rsidRDefault="00E8321A" w:rsidP="00B56C1A">
            <w:pPr>
              <w:spacing w:after="0" w:line="240" w:lineRule="auto"/>
              <w:jc w:val="center"/>
              <w:rPr>
                <w:rFonts w:ascii="Book Antiqua" w:eastAsia="Times New Roman" w:hAnsi="Book Antiqua" w:cs="Calibri"/>
                <w:color w:val="000000"/>
                <w:sz w:val="18"/>
                <w:szCs w:val="18"/>
                <w:lang w:eastAsia="es-CR"/>
              </w:rPr>
            </w:pPr>
            <w:r w:rsidRPr="007A2ECB">
              <w:rPr>
                <w:rFonts w:ascii="Book Antiqua" w:eastAsia="Times New Roman" w:hAnsi="Book Antiqua" w:cs="Calibri"/>
                <w:color w:val="000000"/>
                <w:sz w:val="18"/>
                <w:szCs w:val="18"/>
                <w:lang w:eastAsia="es-CR"/>
              </w:rPr>
              <w:t>Administración Ciudad Judicial San Joaquín de Flores</w:t>
            </w:r>
          </w:p>
        </w:tc>
        <w:tc>
          <w:tcPr>
            <w:tcW w:w="1390" w:type="dxa"/>
            <w:vMerge w:val="restart"/>
            <w:shd w:val="clear" w:color="auto" w:fill="auto"/>
            <w:noWrap/>
            <w:vAlign w:val="center"/>
            <w:hideMark/>
          </w:tcPr>
          <w:p w14:paraId="28BF763A" w14:textId="77777777" w:rsidR="00E8321A" w:rsidRPr="007A2ECB" w:rsidRDefault="00E8321A" w:rsidP="00B56C1A">
            <w:pPr>
              <w:spacing w:after="0" w:line="240" w:lineRule="auto"/>
              <w:jc w:val="center"/>
              <w:rPr>
                <w:rFonts w:ascii="Book Antiqua" w:eastAsia="Times New Roman" w:hAnsi="Book Antiqua" w:cs="Calibri"/>
                <w:color w:val="000000"/>
                <w:sz w:val="18"/>
                <w:szCs w:val="18"/>
                <w:lang w:eastAsia="es-CR"/>
              </w:rPr>
            </w:pPr>
            <w:r w:rsidRPr="007A2ECB">
              <w:rPr>
                <w:rFonts w:ascii="Book Antiqua" w:eastAsia="Times New Roman" w:hAnsi="Book Antiqua" w:cs="Calibri"/>
                <w:color w:val="000000"/>
                <w:sz w:val="18"/>
                <w:szCs w:val="18"/>
                <w:lang w:eastAsia="es-CR"/>
              </w:rPr>
              <w:t xml:space="preserve">0667 </w:t>
            </w:r>
            <w:r>
              <w:rPr>
                <w:rFonts w:ascii="Book Antiqua" w:eastAsia="Times New Roman" w:hAnsi="Book Antiqua" w:cs="Calibri"/>
                <w:color w:val="000000"/>
                <w:sz w:val="18"/>
                <w:szCs w:val="18"/>
                <w:lang w:eastAsia="es-CR"/>
              </w:rPr>
              <w:t>A</w:t>
            </w:r>
            <w:r w:rsidRPr="007A2ECB">
              <w:rPr>
                <w:rFonts w:ascii="Book Antiqua" w:eastAsia="Times New Roman" w:hAnsi="Book Antiqua" w:cs="Calibri"/>
                <w:color w:val="000000"/>
                <w:sz w:val="18"/>
                <w:szCs w:val="18"/>
                <w:lang w:eastAsia="es-CR"/>
              </w:rPr>
              <w:t>dministración Ciudad Judicial San Joaquín de Flores</w:t>
            </w:r>
          </w:p>
        </w:tc>
        <w:tc>
          <w:tcPr>
            <w:tcW w:w="992" w:type="dxa"/>
            <w:shd w:val="clear" w:color="auto" w:fill="auto"/>
            <w:noWrap/>
            <w:vAlign w:val="center"/>
            <w:hideMark/>
          </w:tcPr>
          <w:p w14:paraId="5427586D" w14:textId="77777777" w:rsidR="00E8321A" w:rsidRPr="007A2ECB" w:rsidRDefault="00E8321A" w:rsidP="00B56C1A">
            <w:pPr>
              <w:spacing w:after="0" w:line="240" w:lineRule="auto"/>
              <w:jc w:val="center"/>
              <w:rPr>
                <w:rFonts w:ascii="Book Antiqua" w:eastAsia="Times New Roman" w:hAnsi="Book Antiqua" w:cs="Calibri"/>
                <w:color w:val="000000"/>
                <w:sz w:val="18"/>
                <w:szCs w:val="18"/>
                <w:lang w:eastAsia="es-CR"/>
              </w:rPr>
            </w:pPr>
            <w:r w:rsidRPr="007A2ECB">
              <w:rPr>
                <w:rFonts w:ascii="Book Antiqua" w:eastAsia="Times New Roman" w:hAnsi="Book Antiqua" w:cs="Calibri"/>
                <w:color w:val="000000"/>
                <w:sz w:val="18"/>
                <w:szCs w:val="18"/>
                <w:lang w:eastAsia="es-CR"/>
              </w:rPr>
              <w:t>0117-DE-P73</w:t>
            </w:r>
          </w:p>
        </w:tc>
        <w:tc>
          <w:tcPr>
            <w:tcW w:w="1649" w:type="dxa"/>
            <w:shd w:val="clear" w:color="auto" w:fill="auto"/>
            <w:noWrap/>
            <w:vAlign w:val="center"/>
            <w:hideMark/>
          </w:tcPr>
          <w:p w14:paraId="047820C6" w14:textId="77777777" w:rsidR="00E8321A" w:rsidRPr="007A2ECB" w:rsidRDefault="00E8321A" w:rsidP="00B56C1A">
            <w:pPr>
              <w:spacing w:after="0" w:line="240" w:lineRule="auto"/>
              <w:jc w:val="center"/>
              <w:rPr>
                <w:rFonts w:ascii="Book Antiqua" w:eastAsia="Times New Roman" w:hAnsi="Book Antiqua" w:cs="Calibri"/>
                <w:sz w:val="18"/>
                <w:szCs w:val="18"/>
                <w:lang w:eastAsia="es-CR"/>
              </w:rPr>
            </w:pPr>
            <w:r w:rsidRPr="007A2ECB">
              <w:rPr>
                <w:rFonts w:ascii="Book Antiqua" w:eastAsia="Times New Roman" w:hAnsi="Book Antiqua" w:cs="Calibri"/>
                <w:sz w:val="18"/>
                <w:szCs w:val="18"/>
                <w:lang w:eastAsia="es-CR"/>
              </w:rPr>
              <w:t>Sistema de control de incendios para el edificio de Patología Forense</w:t>
            </w:r>
          </w:p>
        </w:tc>
        <w:tc>
          <w:tcPr>
            <w:tcW w:w="3543" w:type="dxa"/>
            <w:shd w:val="clear" w:color="auto" w:fill="auto"/>
            <w:noWrap/>
            <w:vAlign w:val="center"/>
            <w:hideMark/>
          </w:tcPr>
          <w:p w14:paraId="0F8DF0DF" w14:textId="77777777" w:rsidR="00E8321A" w:rsidRDefault="00E8321A" w:rsidP="00EF4E17">
            <w:pPr>
              <w:spacing w:after="0" w:line="240" w:lineRule="auto"/>
              <w:jc w:val="both"/>
              <w:rPr>
                <w:rFonts w:ascii="Book Antiqua" w:eastAsia="Times New Roman" w:hAnsi="Book Antiqua" w:cs="Calibri"/>
                <w:color w:val="000000"/>
                <w:sz w:val="18"/>
                <w:szCs w:val="18"/>
                <w:lang w:eastAsia="es-CR"/>
              </w:rPr>
            </w:pPr>
            <w:r w:rsidRPr="007A2ECB">
              <w:rPr>
                <w:rFonts w:ascii="Book Antiqua" w:eastAsia="Times New Roman" w:hAnsi="Book Antiqua" w:cs="Calibri"/>
                <w:color w:val="000000"/>
                <w:sz w:val="18"/>
                <w:szCs w:val="18"/>
                <w:lang w:eastAsia="es-CR"/>
              </w:rPr>
              <w:t xml:space="preserve">Al verificar los documentos se encuentra: </w:t>
            </w:r>
            <w:r w:rsidRPr="007A2ECB">
              <w:rPr>
                <w:rFonts w:ascii="Book Antiqua" w:eastAsia="Times New Roman" w:hAnsi="Book Antiqua" w:cs="Calibri"/>
                <w:b/>
                <w:bCs/>
                <w:color w:val="000000"/>
                <w:sz w:val="18"/>
                <w:szCs w:val="18"/>
                <w:lang w:eastAsia="es-CR"/>
              </w:rPr>
              <w:t>Estudio de Factibilidad</w:t>
            </w:r>
            <w:r w:rsidRPr="007A2ECB">
              <w:rPr>
                <w:rFonts w:ascii="Book Antiqua" w:eastAsia="Times New Roman" w:hAnsi="Book Antiqua" w:cs="Calibri"/>
                <w:color w:val="000000"/>
                <w:sz w:val="18"/>
                <w:szCs w:val="18"/>
                <w:lang w:eastAsia="es-CR"/>
              </w:rPr>
              <w:t xml:space="preserve"> en el apartado de Planteamiento inicial del proyecto: Falta indicar las 3 alternativas para solucionar el problema que se planteó (Según el manual para la elaboración del estudio de factibilidad que establece la metodología de Administración de proyectos establece lo siguiente: "La persona líder de proyecto debe identificar al menos tres posibles alternativas que permitan subsanar las causas detalladas en el apartado de la identificación del problema o necesidad e indicar el motivo de la selección realizada y describir brevemente en qué consiste la opción elegida.". Descripción de los beneficios: En este punto se pueden incluir varios beneficios, sin embargo, deben ser puntuales. Además, deben ser medibles como lo indica el manual que dice: (...) Estos deben caracterizarse por ser cuantitativos y medibles, con el fin de que, al realizar la Fase de Cierre del proyecto, se pueda evaluar los beneficios resultantes de la ejecución del proyecto." . En el Plazo proyectado para obtener el resultado se debe indicar de 6 meses a 1 año después de finalizado el proyecto.</w:t>
            </w:r>
            <w:r>
              <w:rPr>
                <w:rFonts w:ascii="Book Antiqua" w:eastAsia="Times New Roman" w:hAnsi="Book Antiqua" w:cs="Calibri"/>
                <w:color w:val="000000"/>
                <w:sz w:val="18"/>
                <w:szCs w:val="18"/>
                <w:lang w:eastAsia="es-CR"/>
              </w:rPr>
              <w:t xml:space="preserve"> </w:t>
            </w:r>
            <w:r w:rsidRPr="007A2ECB">
              <w:rPr>
                <w:rFonts w:ascii="Book Antiqua" w:eastAsia="Times New Roman" w:hAnsi="Book Antiqua" w:cs="Calibri"/>
                <w:color w:val="000000"/>
                <w:sz w:val="18"/>
                <w:szCs w:val="18"/>
                <w:lang w:eastAsia="es-CR"/>
              </w:rPr>
              <w:t xml:space="preserve">Tiempo estimado: Se debe establecer el tiempo en meses o años, indicando fecha de inicio y fecha de fin. Estudio de factibilidad anexo: Falta indicar el código. </w:t>
            </w:r>
          </w:p>
          <w:p w14:paraId="535E638B" w14:textId="77777777" w:rsidR="00E8321A" w:rsidRDefault="00E8321A" w:rsidP="00EF4E17">
            <w:pPr>
              <w:spacing w:after="0" w:line="240" w:lineRule="auto"/>
              <w:jc w:val="both"/>
              <w:rPr>
                <w:rFonts w:ascii="Book Antiqua" w:eastAsia="Times New Roman" w:hAnsi="Book Antiqua" w:cs="Calibri"/>
                <w:color w:val="000000"/>
                <w:sz w:val="18"/>
                <w:szCs w:val="18"/>
                <w:lang w:eastAsia="es-CR"/>
              </w:rPr>
            </w:pPr>
            <w:r w:rsidRPr="007A2ECB">
              <w:rPr>
                <w:rFonts w:ascii="Book Antiqua" w:eastAsia="Times New Roman" w:hAnsi="Book Antiqua" w:cs="Calibri"/>
                <w:b/>
                <w:bCs/>
                <w:color w:val="000000"/>
                <w:sz w:val="18"/>
                <w:szCs w:val="18"/>
                <w:lang w:eastAsia="es-CR"/>
              </w:rPr>
              <w:t>Plan de gestión</w:t>
            </w:r>
            <w:r w:rsidRPr="007A2ECB">
              <w:rPr>
                <w:rFonts w:ascii="Book Antiqua" w:eastAsia="Times New Roman" w:hAnsi="Book Antiqua" w:cs="Calibri"/>
                <w:color w:val="000000"/>
                <w:sz w:val="18"/>
                <w:szCs w:val="18"/>
                <w:lang w:eastAsia="es-CR"/>
              </w:rPr>
              <w:t xml:space="preserve">:  pendiente elaborar formulario. </w:t>
            </w:r>
          </w:p>
          <w:p w14:paraId="671D9EBD" w14:textId="77777777" w:rsidR="00E8321A" w:rsidRPr="007A2ECB" w:rsidRDefault="00E8321A" w:rsidP="00EF4E17">
            <w:pPr>
              <w:spacing w:after="0" w:line="240" w:lineRule="auto"/>
              <w:jc w:val="both"/>
              <w:rPr>
                <w:rFonts w:ascii="Book Antiqua" w:eastAsia="Times New Roman" w:hAnsi="Book Antiqua" w:cs="Calibri"/>
                <w:color w:val="000000"/>
                <w:sz w:val="18"/>
                <w:szCs w:val="18"/>
                <w:lang w:eastAsia="es-CR"/>
              </w:rPr>
            </w:pPr>
            <w:r w:rsidRPr="007A2ECB">
              <w:rPr>
                <w:rFonts w:ascii="Book Antiqua" w:eastAsia="Times New Roman" w:hAnsi="Book Antiqua" w:cs="Calibri"/>
                <w:b/>
                <w:bCs/>
                <w:color w:val="000000"/>
                <w:sz w:val="18"/>
                <w:szCs w:val="18"/>
                <w:lang w:eastAsia="es-CR"/>
              </w:rPr>
              <w:t>Acta de constitución:</w:t>
            </w:r>
            <w:r w:rsidRPr="007A2ECB">
              <w:rPr>
                <w:rFonts w:ascii="Book Antiqua" w:eastAsia="Times New Roman" w:hAnsi="Book Antiqua" w:cs="Calibri"/>
                <w:color w:val="000000"/>
                <w:sz w:val="18"/>
                <w:szCs w:val="18"/>
                <w:lang w:eastAsia="es-CR"/>
              </w:rPr>
              <w:t xml:space="preserve"> El formulario en el cual se elabora la misma no corresponde al formulario de la metodología instituciona</w:t>
            </w:r>
            <w:r>
              <w:rPr>
                <w:rFonts w:ascii="Book Antiqua" w:eastAsia="Times New Roman" w:hAnsi="Book Antiqua" w:cs="Calibri"/>
                <w:color w:val="000000"/>
                <w:sz w:val="18"/>
                <w:szCs w:val="18"/>
                <w:lang w:eastAsia="es-CR"/>
              </w:rPr>
              <w:t>l</w:t>
            </w:r>
            <w:r w:rsidRPr="007A2ECB">
              <w:rPr>
                <w:rFonts w:ascii="Book Antiqua" w:eastAsia="Times New Roman" w:hAnsi="Book Antiqua" w:cs="Calibri"/>
                <w:color w:val="000000"/>
                <w:sz w:val="18"/>
                <w:szCs w:val="18"/>
                <w:lang w:eastAsia="es-CR"/>
              </w:rPr>
              <w:t xml:space="preserve"> vigente, se debe realizar en este para poder revisar.</w:t>
            </w:r>
          </w:p>
        </w:tc>
        <w:tc>
          <w:tcPr>
            <w:tcW w:w="1097" w:type="dxa"/>
            <w:shd w:val="clear" w:color="auto" w:fill="auto"/>
            <w:noWrap/>
            <w:vAlign w:val="center"/>
            <w:hideMark/>
          </w:tcPr>
          <w:p w14:paraId="765FB14B" w14:textId="77777777" w:rsidR="00E8321A" w:rsidRPr="007A2ECB" w:rsidRDefault="00E8321A" w:rsidP="00B56C1A">
            <w:pPr>
              <w:spacing w:after="0" w:line="240" w:lineRule="auto"/>
              <w:jc w:val="center"/>
              <w:rPr>
                <w:rFonts w:ascii="Book Antiqua" w:eastAsia="Times New Roman" w:hAnsi="Book Antiqua" w:cs="Calibri"/>
                <w:color w:val="000000"/>
                <w:sz w:val="18"/>
                <w:szCs w:val="18"/>
                <w:lang w:eastAsia="es-CR"/>
              </w:rPr>
            </w:pPr>
            <w:r w:rsidRPr="007A2ECB">
              <w:rPr>
                <w:rFonts w:ascii="Book Antiqua" w:eastAsia="Times New Roman" w:hAnsi="Book Antiqua" w:cs="Calibri"/>
                <w:color w:val="000000"/>
                <w:sz w:val="18"/>
                <w:szCs w:val="18"/>
                <w:lang w:eastAsia="es-CR"/>
              </w:rPr>
              <w:t>Capítulo 1</w:t>
            </w:r>
          </w:p>
        </w:tc>
        <w:tc>
          <w:tcPr>
            <w:tcW w:w="911" w:type="dxa"/>
            <w:shd w:val="clear" w:color="auto" w:fill="auto"/>
            <w:noWrap/>
            <w:vAlign w:val="center"/>
            <w:hideMark/>
          </w:tcPr>
          <w:p w14:paraId="50217505" w14:textId="77777777" w:rsidR="00E8321A" w:rsidRPr="007A2ECB" w:rsidRDefault="00E8321A" w:rsidP="00B56C1A">
            <w:pPr>
              <w:spacing w:after="0" w:line="240" w:lineRule="auto"/>
              <w:jc w:val="center"/>
              <w:rPr>
                <w:rFonts w:ascii="Book Antiqua" w:eastAsia="Times New Roman" w:hAnsi="Book Antiqua" w:cs="Calibri"/>
                <w:color w:val="000000"/>
                <w:sz w:val="18"/>
                <w:szCs w:val="18"/>
                <w:lang w:eastAsia="es-CR"/>
              </w:rPr>
            </w:pPr>
            <w:r w:rsidRPr="007A2ECB">
              <w:rPr>
                <w:rFonts w:ascii="Book Antiqua" w:eastAsia="Times New Roman" w:hAnsi="Book Antiqua" w:cs="Calibri"/>
                <w:color w:val="000000"/>
                <w:sz w:val="18"/>
                <w:szCs w:val="18"/>
                <w:lang w:eastAsia="es-CR"/>
              </w:rPr>
              <w:t>1.1</w:t>
            </w:r>
          </w:p>
        </w:tc>
      </w:tr>
      <w:tr w:rsidR="007D35E8" w:rsidRPr="007A2ECB" w14:paraId="28FEFCDD" w14:textId="77777777" w:rsidTr="00D06D89">
        <w:trPr>
          <w:trHeight w:val="330"/>
        </w:trPr>
        <w:tc>
          <w:tcPr>
            <w:tcW w:w="1470" w:type="dxa"/>
            <w:vMerge/>
            <w:vAlign w:val="center"/>
            <w:hideMark/>
          </w:tcPr>
          <w:p w14:paraId="5B86BB4E" w14:textId="77777777" w:rsidR="00E8321A" w:rsidRPr="007A2ECB"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390" w:type="dxa"/>
            <w:vMerge/>
            <w:vAlign w:val="center"/>
            <w:hideMark/>
          </w:tcPr>
          <w:p w14:paraId="5ACC97BF" w14:textId="77777777" w:rsidR="00E8321A" w:rsidRPr="007A2ECB"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992" w:type="dxa"/>
            <w:shd w:val="clear" w:color="auto" w:fill="auto"/>
            <w:noWrap/>
            <w:vAlign w:val="center"/>
            <w:hideMark/>
          </w:tcPr>
          <w:p w14:paraId="75E65040" w14:textId="77777777" w:rsidR="00E8321A" w:rsidRPr="007A2ECB" w:rsidRDefault="00E8321A" w:rsidP="00B56C1A">
            <w:pPr>
              <w:spacing w:after="0" w:line="240" w:lineRule="auto"/>
              <w:jc w:val="center"/>
              <w:rPr>
                <w:rFonts w:ascii="Book Antiqua" w:eastAsia="Times New Roman" w:hAnsi="Book Antiqua" w:cs="Calibri"/>
                <w:color w:val="000000"/>
                <w:sz w:val="18"/>
                <w:szCs w:val="18"/>
                <w:lang w:eastAsia="es-CR"/>
              </w:rPr>
            </w:pPr>
            <w:r w:rsidRPr="007A2ECB">
              <w:rPr>
                <w:rFonts w:ascii="Book Antiqua" w:eastAsia="Times New Roman" w:hAnsi="Book Antiqua" w:cs="Calibri"/>
                <w:color w:val="000000"/>
                <w:sz w:val="18"/>
                <w:szCs w:val="18"/>
                <w:lang w:eastAsia="es-CR"/>
              </w:rPr>
              <w:t>0117-DE-P11</w:t>
            </w:r>
          </w:p>
        </w:tc>
        <w:tc>
          <w:tcPr>
            <w:tcW w:w="1649" w:type="dxa"/>
            <w:shd w:val="clear" w:color="auto" w:fill="auto"/>
            <w:noWrap/>
            <w:vAlign w:val="center"/>
            <w:hideMark/>
          </w:tcPr>
          <w:p w14:paraId="1FA1AD99" w14:textId="77777777" w:rsidR="00E8321A" w:rsidRPr="007A2ECB" w:rsidRDefault="00E8321A" w:rsidP="00B56C1A">
            <w:pPr>
              <w:spacing w:after="0" w:line="240" w:lineRule="auto"/>
              <w:jc w:val="center"/>
              <w:rPr>
                <w:rFonts w:ascii="Book Antiqua" w:eastAsia="Times New Roman" w:hAnsi="Book Antiqua" w:cs="Calibri"/>
                <w:color w:val="000000"/>
                <w:sz w:val="18"/>
                <w:szCs w:val="18"/>
                <w:lang w:eastAsia="es-CR"/>
              </w:rPr>
            </w:pPr>
            <w:r w:rsidRPr="007A2ECB">
              <w:rPr>
                <w:rFonts w:ascii="Book Antiqua" w:eastAsia="Times New Roman" w:hAnsi="Book Antiqua" w:cs="Calibri"/>
                <w:color w:val="000000"/>
                <w:sz w:val="18"/>
                <w:szCs w:val="18"/>
                <w:lang w:eastAsia="es-CR"/>
              </w:rPr>
              <w:t xml:space="preserve">Sustitución de sistema de alarma contra incendios </w:t>
            </w:r>
            <w:r w:rsidRPr="007A2ECB">
              <w:rPr>
                <w:rFonts w:ascii="Book Antiqua" w:eastAsia="Times New Roman" w:hAnsi="Book Antiqua" w:cs="Calibri"/>
                <w:color w:val="000000"/>
                <w:sz w:val="18"/>
                <w:szCs w:val="18"/>
                <w:lang w:eastAsia="es-CR"/>
              </w:rPr>
              <w:lastRenderedPageBreak/>
              <w:t>en bodegas de Ciudad Judicial</w:t>
            </w:r>
          </w:p>
        </w:tc>
        <w:tc>
          <w:tcPr>
            <w:tcW w:w="3543" w:type="dxa"/>
            <w:shd w:val="clear" w:color="auto" w:fill="auto"/>
            <w:noWrap/>
            <w:vAlign w:val="center"/>
            <w:hideMark/>
          </w:tcPr>
          <w:p w14:paraId="188D9449" w14:textId="77777777" w:rsidR="00E8321A" w:rsidRPr="007A2ECB" w:rsidRDefault="00E8321A" w:rsidP="00B56C1A">
            <w:pPr>
              <w:spacing w:after="0" w:line="240" w:lineRule="auto"/>
              <w:jc w:val="center"/>
              <w:rPr>
                <w:rFonts w:ascii="Book Antiqua" w:eastAsia="Times New Roman" w:hAnsi="Book Antiqua" w:cs="Calibri"/>
                <w:color w:val="000000"/>
                <w:sz w:val="18"/>
                <w:szCs w:val="18"/>
                <w:lang w:eastAsia="es-CR"/>
              </w:rPr>
            </w:pPr>
            <w:r w:rsidRPr="007A2ECB">
              <w:rPr>
                <w:rFonts w:ascii="Book Antiqua" w:eastAsia="Times New Roman" w:hAnsi="Book Antiqua" w:cs="Calibri"/>
                <w:color w:val="000000"/>
                <w:sz w:val="18"/>
                <w:szCs w:val="18"/>
                <w:lang w:eastAsia="es-CR"/>
              </w:rPr>
              <w:lastRenderedPageBreak/>
              <w:t>Pendiente elaborar solicitud de cambio para notificar suspensión de proyecto</w:t>
            </w:r>
          </w:p>
        </w:tc>
        <w:tc>
          <w:tcPr>
            <w:tcW w:w="1097" w:type="dxa"/>
            <w:shd w:val="clear" w:color="auto" w:fill="auto"/>
            <w:noWrap/>
            <w:vAlign w:val="center"/>
            <w:hideMark/>
          </w:tcPr>
          <w:p w14:paraId="0A7E75DC" w14:textId="77777777" w:rsidR="00E8321A" w:rsidRPr="007A2ECB" w:rsidRDefault="00E8321A" w:rsidP="00B56C1A">
            <w:pPr>
              <w:spacing w:after="0" w:line="240" w:lineRule="auto"/>
              <w:jc w:val="center"/>
              <w:rPr>
                <w:rFonts w:ascii="Book Antiqua" w:eastAsia="Times New Roman" w:hAnsi="Book Antiqua" w:cs="Calibri"/>
                <w:color w:val="000000"/>
                <w:sz w:val="18"/>
                <w:szCs w:val="18"/>
                <w:lang w:eastAsia="es-CR"/>
              </w:rPr>
            </w:pPr>
            <w:r w:rsidRPr="007A2ECB">
              <w:rPr>
                <w:rFonts w:ascii="Book Antiqua" w:eastAsia="Times New Roman" w:hAnsi="Book Antiqua" w:cs="Calibri"/>
                <w:color w:val="000000"/>
                <w:sz w:val="18"/>
                <w:szCs w:val="18"/>
                <w:lang w:eastAsia="es-CR"/>
              </w:rPr>
              <w:t>Capítulo 2</w:t>
            </w:r>
          </w:p>
        </w:tc>
        <w:tc>
          <w:tcPr>
            <w:tcW w:w="911" w:type="dxa"/>
            <w:shd w:val="clear" w:color="auto" w:fill="auto"/>
            <w:noWrap/>
            <w:vAlign w:val="center"/>
            <w:hideMark/>
          </w:tcPr>
          <w:p w14:paraId="307C3B62" w14:textId="77777777" w:rsidR="00E8321A" w:rsidRPr="007A2ECB" w:rsidRDefault="00E8321A" w:rsidP="00B56C1A">
            <w:pPr>
              <w:spacing w:after="0" w:line="240" w:lineRule="auto"/>
              <w:jc w:val="center"/>
              <w:rPr>
                <w:rFonts w:ascii="Book Antiqua" w:eastAsia="Times New Roman" w:hAnsi="Book Antiqua" w:cs="Calibri"/>
                <w:color w:val="000000"/>
                <w:sz w:val="18"/>
                <w:szCs w:val="18"/>
                <w:lang w:eastAsia="es-CR"/>
              </w:rPr>
            </w:pPr>
            <w:r w:rsidRPr="007A2ECB">
              <w:rPr>
                <w:rFonts w:ascii="Book Antiqua" w:eastAsia="Times New Roman" w:hAnsi="Book Antiqua" w:cs="Calibri"/>
                <w:color w:val="000000"/>
                <w:sz w:val="18"/>
                <w:szCs w:val="18"/>
                <w:lang w:eastAsia="es-CR"/>
              </w:rPr>
              <w:t>2.1</w:t>
            </w:r>
          </w:p>
        </w:tc>
      </w:tr>
      <w:tr w:rsidR="007D35E8" w:rsidRPr="007A2ECB" w14:paraId="03B65191" w14:textId="77777777" w:rsidTr="00D06D89">
        <w:trPr>
          <w:trHeight w:val="330"/>
        </w:trPr>
        <w:tc>
          <w:tcPr>
            <w:tcW w:w="1470" w:type="dxa"/>
            <w:vMerge/>
            <w:vAlign w:val="center"/>
            <w:hideMark/>
          </w:tcPr>
          <w:p w14:paraId="59377117" w14:textId="77777777" w:rsidR="00E8321A" w:rsidRPr="007A2ECB"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390" w:type="dxa"/>
            <w:vMerge/>
            <w:vAlign w:val="center"/>
            <w:hideMark/>
          </w:tcPr>
          <w:p w14:paraId="3EFA7225" w14:textId="77777777" w:rsidR="00E8321A" w:rsidRPr="007A2ECB"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992" w:type="dxa"/>
            <w:shd w:val="clear" w:color="auto" w:fill="auto"/>
            <w:noWrap/>
            <w:vAlign w:val="center"/>
            <w:hideMark/>
          </w:tcPr>
          <w:p w14:paraId="28F9D9C6" w14:textId="77777777" w:rsidR="00E8321A" w:rsidRPr="007A2ECB" w:rsidRDefault="00E8321A" w:rsidP="00B56C1A">
            <w:pPr>
              <w:spacing w:after="0" w:line="240" w:lineRule="auto"/>
              <w:jc w:val="center"/>
              <w:rPr>
                <w:rFonts w:ascii="Book Antiqua" w:eastAsia="Times New Roman" w:hAnsi="Book Antiqua" w:cs="Calibri"/>
                <w:color w:val="000000"/>
                <w:sz w:val="18"/>
                <w:szCs w:val="18"/>
                <w:lang w:eastAsia="es-CR"/>
              </w:rPr>
            </w:pPr>
            <w:r w:rsidRPr="007A2ECB">
              <w:rPr>
                <w:rFonts w:ascii="Book Antiqua" w:eastAsia="Times New Roman" w:hAnsi="Book Antiqua" w:cs="Calibri"/>
                <w:color w:val="000000"/>
                <w:sz w:val="18"/>
                <w:szCs w:val="18"/>
                <w:lang w:eastAsia="es-CR"/>
              </w:rPr>
              <w:t>0117-DE-P72</w:t>
            </w:r>
          </w:p>
        </w:tc>
        <w:tc>
          <w:tcPr>
            <w:tcW w:w="1649" w:type="dxa"/>
            <w:shd w:val="clear" w:color="auto" w:fill="auto"/>
            <w:noWrap/>
            <w:vAlign w:val="center"/>
            <w:hideMark/>
          </w:tcPr>
          <w:p w14:paraId="14243CBA" w14:textId="77777777" w:rsidR="00E8321A" w:rsidRPr="007A2ECB" w:rsidRDefault="00E8321A" w:rsidP="00B56C1A">
            <w:pPr>
              <w:spacing w:after="0" w:line="240" w:lineRule="auto"/>
              <w:jc w:val="center"/>
              <w:rPr>
                <w:rFonts w:ascii="Book Antiqua" w:eastAsia="Times New Roman" w:hAnsi="Book Antiqua" w:cs="Calibri"/>
                <w:color w:val="000000"/>
                <w:sz w:val="18"/>
                <w:szCs w:val="18"/>
                <w:lang w:eastAsia="es-CR"/>
              </w:rPr>
            </w:pPr>
            <w:r w:rsidRPr="007A2ECB">
              <w:rPr>
                <w:rFonts w:ascii="Book Antiqua" w:eastAsia="Times New Roman" w:hAnsi="Book Antiqua" w:cs="Calibri"/>
                <w:color w:val="000000"/>
                <w:sz w:val="18"/>
                <w:szCs w:val="18"/>
                <w:lang w:eastAsia="es-CR"/>
              </w:rPr>
              <w:t>Cambio de cubierta de bodegas Ciudad Judicial</w:t>
            </w:r>
          </w:p>
        </w:tc>
        <w:tc>
          <w:tcPr>
            <w:tcW w:w="3543" w:type="dxa"/>
            <w:shd w:val="clear" w:color="auto" w:fill="auto"/>
            <w:noWrap/>
            <w:vAlign w:val="center"/>
            <w:hideMark/>
          </w:tcPr>
          <w:p w14:paraId="4D3A5D19" w14:textId="77777777" w:rsidR="00E8321A" w:rsidRPr="007A2ECB" w:rsidRDefault="00E8321A" w:rsidP="00B56C1A">
            <w:pPr>
              <w:spacing w:after="0" w:line="240" w:lineRule="auto"/>
              <w:jc w:val="center"/>
              <w:rPr>
                <w:rFonts w:ascii="Book Antiqua" w:eastAsia="Times New Roman" w:hAnsi="Book Antiqua" w:cs="Calibri"/>
                <w:color w:val="000000"/>
                <w:sz w:val="18"/>
                <w:szCs w:val="18"/>
                <w:lang w:eastAsia="es-CR"/>
              </w:rPr>
            </w:pPr>
            <w:r w:rsidRPr="007A2ECB">
              <w:rPr>
                <w:rFonts w:ascii="Book Antiqua" w:eastAsia="Times New Roman" w:hAnsi="Book Antiqua" w:cs="Calibri"/>
                <w:color w:val="000000"/>
                <w:sz w:val="18"/>
                <w:szCs w:val="18"/>
                <w:lang w:eastAsia="es-CR"/>
              </w:rPr>
              <w:t>Pendiente elaborar solicitud de cambio para notificar suspensión de proyecto</w:t>
            </w:r>
          </w:p>
        </w:tc>
        <w:tc>
          <w:tcPr>
            <w:tcW w:w="1097" w:type="dxa"/>
            <w:shd w:val="clear" w:color="auto" w:fill="auto"/>
            <w:noWrap/>
            <w:vAlign w:val="center"/>
            <w:hideMark/>
          </w:tcPr>
          <w:p w14:paraId="53126465" w14:textId="77777777" w:rsidR="00E8321A" w:rsidRPr="007A2ECB" w:rsidRDefault="00E8321A" w:rsidP="00B56C1A">
            <w:pPr>
              <w:spacing w:after="0" w:line="240" w:lineRule="auto"/>
              <w:jc w:val="center"/>
              <w:rPr>
                <w:rFonts w:ascii="Book Antiqua" w:eastAsia="Times New Roman" w:hAnsi="Book Antiqua" w:cs="Calibri"/>
                <w:color w:val="000000"/>
                <w:sz w:val="18"/>
                <w:szCs w:val="18"/>
                <w:lang w:eastAsia="es-CR"/>
              </w:rPr>
            </w:pPr>
            <w:r w:rsidRPr="007A2ECB">
              <w:rPr>
                <w:rFonts w:ascii="Book Antiqua" w:eastAsia="Times New Roman" w:hAnsi="Book Antiqua" w:cs="Calibri"/>
                <w:color w:val="000000"/>
                <w:sz w:val="18"/>
                <w:szCs w:val="18"/>
                <w:lang w:eastAsia="es-CR"/>
              </w:rPr>
              <w:t>Capítulo 2</w:t>
            </w:r>
          </w:p>
        </w:tc>
        <w:tc>
          <w:tcPr>
            <w:tcW w:w="911" w:type="dxa"/>
            <w:shd w:val="clear" w:color="auto" w:fill="auto"/>
            <w:noWrap/>
            <w:vAlign w:val="center"/>
            <w:hideMark/>
          </w:tcPr>
          <w:p w14:paraId="03A24824" w14:textId="77777777" w:rsidR="00E8321A" w:rsidRPr="007A2ECB" w:rsidRDefault="00E8321A" w:rsidP="00B56C1A">
            <w:pPr>
              <w:spacing w:after="0" w:line="240" w:lineRule="auto"/>
              <w:jc w:val="center"/>
              <w:rPr>
                <w:rFonts w:ascii="Book Antiqua" w:eastAsia="Times New Roman" w:hAnsi="Book Antiqua" w:cs="Calibri"/>
                <w:color w:val="000000"/>
                <w:sz w:val="18"/>
                <w:szCs w:val="18"/>
                <w:lang w:eastAsia="es-CR"/>
              </w:rPr>
            </w:pPr>
            <w:r w:rsidRPr="007A2ECB">
              <w:rPr>
                <w:rFonts w:ascii="Book Antiqua" w:eastAsia="Times New Roman" w:hAnsi="Book Antiqua" w:cs="Calibri"/>
                <w:color w:val="000000"/>
                <w:sz w:val="18"/>
                <w:szCs w:val="18"/>
                <w:lang w:eastAsia="es-CR"/>
              </w:rPr>
              <w:t>2.1</w:t>
            </w:r>
          </w:p>
        </w:tc>
      </w:tr>
    </w:tbl>
    <w:p w14:paraId="0463DBE8" w14:textId="77777777" w:rsidR="00E8321A" w:rsidRPr="00174798" w:rsidRDefault="00E8321A" w:rsidP="00E8321A">
      <w:pPr>
        <w:spacing w:after="0" w:line="240" w:lineRule="auto"/>
        <w:jc w:val="both"/>
        <w:rPr>
          <w:rFonts w:ascii="Book Antiqua" w:hAnsi="Book Antiqua"/>
          <w:sz w:val="24"/>
          <w:szCs w:val="24"/>
        </w:rPr>
      </w:pPr>
    </w:p>
    <w:p w14:paraId="05F7F78D" w14:textId="0D7FFEFE" w:rsidR="00E8321A" w:rsidRPr="004C150A" w:rsidRDefault="00E8321A" w:rsidP="00E8321A">
      <w:pPr>
        <w:pStyle w:val="Ttulo2"/>
        <w:spacing w:before="0"/>
        <w:rPr>
          <w:rFonts w:ascii="Book Antiqua" w:hAnsi="Book Antiqua"/>
          <w:b/>
          <w:bCs/>
          <w:color w:val="auto"/>
          <w:sz w:val="24"/>
          <w:szCs w:val="24"/>
        </w:rPr>
      </w:pPr>
      <w:bookmarkStart w:id="169" w:name="_Toc138770891"/>
      <w:r w:rsidRPr="00E24FCA">
        <w:rPr>
          <w:rFonts w:ascii="Book Antiqua" w:hAnsi="Book Antiqua"/>
          <w:b/>
          <w:bCs/>
          <w:color w:val="auto"/>
          <w:sz w:val="24"/>
          <w:szCs w:val="24"/>
        </w:rPr>
        <w:t>A la Administración de Turrialba</w:t>
      </w:r>
      <w:r w:rsidR="00053D94">
        <w:rPr>
          <w:rFonts w:ascii="Book Antiqua" w:hAnsi="Book Antiqua"/>
          <w:b/>
          <w:bCs/>
          <w:color w:val="auto"/>
          <w:sz w:val="24"/>
          <w:szCs w:val="24"/>
        </w:rPr>
        <w:t xml:space="preserve"> y Dirección Ejecutiva</w:t>
      </w:r>
      <w:r w:rsidRPr="00E24FCA">
        <w:rPr>
          <w:rFonts w:ascii="Book Antiqua" w:hAnsi="Book Antiqua"/>
          <w:b/>
          <w:bCs/>
          <w:color w:val="auto"/>
          <w:sz w:val="24"/>
          <w:szCs w:val="24"/>
        </w:rPr>
        <w:t>:</w:t>
      </w:r>
      <w:bookmarkEnd w:id="169"/>
    </w:p>
    <w:p w14:paraId="14E08C68" w14:textId="77777777" w:rsidR="00E8321A" w:rsidRPr="008F2C56" w:rsidRDefault="00E8321A" w:rsidP="00E8321A">
      <w:pPr>
        <w:spacing w:after="0" w:line="240" w:lineRule="auto"/>
        <w:jc w:val="both"/>
        <w:rPr>
          <w:rFonts w:ascii="Book Antiqua" w:hAnsi="Book Antiqua"/>
          <w:sz w:val="24"/>
          <w:szCs w:val="24"/>
        </w:rPr>
      </w:pPr>
    </w:p>
    <w:p w14:paraId="05771D65" w14:textId="77777777" w:rsidR="00E8321A" w:rsidRDefault="00E8321A" w:rsidP="00E24FCA">
      <w:pPr>
        <w:numPr>
          <w:ilvl w:val="1"/>
          <w:numId w:val="20"/>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Se solicita a más tardar el </w:t>
      </w:r>
      <w:r w:rsidRPr="00D06D89">
        <w:rPr>
          <w:rFonts w:ascii="Book Antiqua" w:hAnsi="Book Antiqua"/>
          <w:b/>
          <w:bCs/>
          <w:sz w:val="24"/>
          <w:szCs w:val="24"/>
        </w:rPr>
        <w:t>11 de agosto del 2023</w:t>
      </w:r>
      <w:r w:rsidRPr="00174798">
        <w:rPr>
          <w:rFonts w:ascii="Book Antiqua" w:hAnsi="Book Antiqua"/>
          <w:sz w:val="24"/>
          <w:szCs w:val="24"/>
        </w:rPr>
        <w:t xml:space="preserve">, cargar en el sitio de proyecto la atención de las siguientes recomendaciones: </w:t>
      </w:r>
    </w:p>
    <w:tbl>
      <w:tblPr>
        <w:tblW w:w="11703" w:type="dxa"/>
        <w:tblInd w:w="-1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8"/>
        <w:gridCol w:w="1810"/>
        <w:gridCol w:w="741"/>
        <w:gridCol w:w="39"/>
        <w:gridCol w:w="2263"/>
        <w:gridCol w:w="19"/>
        <w:gridCol w:w="3100"/>
        <w:gridCol w:w="18"/>
        <w:gridCol w:w="1078"/>
        <w:gridCol w:w="56"/>
        <w:gridCol w:w="911"/>
      </w:tblGrid>
      <w:tr w:rsidR="003A6859" w:rsidRPr="004A0B5F" w14:paraId="632DC9BB" w14:textId="77777777" w:rsidTr="00E24FCA">
        <w:trPr>
          <w:trHeight w:val="300"/>
        </w:trPr>
        <w:tc>
          <w:tcPr>
            <w:tcW w:w="1668" w:type="dxa"/>
            <w:shd w:val="clear" w:color="000000" w:fill="44546A"/>
            <w:noWrap/>
            <w:vAlign w:val="center"/>
            <w:hideMark/>
          </w:tcPr>
          <w:p w14:paraId="45AF543A" w14:textId="77777777" w:rsidR="00E8321A" w:rsidRPr="004A0B5F" w:rsidRDefault="00E8321A" w:rsidP="00B56C1A">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Centro de responsabilidad</w:t>
            </w:r>
          </w:p>
        </w:tc>
        <w:tc>
          <w:tcPr>
            <w:tcW w:w="1810" w:type="dxa"/>
            <w:shd w:val="clear" w:color="000000" w:fill="44546A"/>
            <w:noWrap/>
            <w:vAlign w:val="center"/>
            <w:hideMark/>
          </w:tcPr>
          <w:p w14:paraId="723F192C" w14:textId="77777777" w:rsidR="00E8321A" w:rsidRPr="004A0B5F" w:rsidRDefault="00E8321A" w:rsidP="00B56C1A">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Oficina Líder</w:t>
            </w:r>
          </w:p>
        </w:tc>
        <w:tc>
          <w:tcPr>
            <w:tcW w:w="741" w:type="dxa"/>
            <w:shd w:val="clear" w:color="000000" w:fill="44546A"/>
            <w:noWrap/>
            <w:vAlign w:val="center"/>
            <w:hideMark/>
          </w:tcPr>
          <w:p w14:paraId="79B5A098" w14:textId="77777777" w:rsidR="00E8321A" w:rsidRPr="004A0B5F" w:rsidRDefault="00E8321A" w:rsidP="00B56C1A">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Código</w:t>
            </w:r>
          </w:p>
        </w:tc>
        <w:tc>
          <w:tcPr>
            <w:tcW w:w="2321" w:type="dxa"/>
            <w:gridSpan w:val="3"/>
            <w:shd w:val="clear" w:color="000000" w:fill="44546A"/>
            <w:noWrap/>
            <w:vAlign w:val="center"/>
            <w:hideMark/>
          </w:tcPr>
          <w:p w14:paraId="47DEF1E9" w14:textId="77777777" w:rsidR="00E8321A" w:rsidRPr="004A0B5F" w:rsidRDefault="00E8321A" w:rsidP="00B56C1A">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Nombre</w:t>
            </w:r>
          </w:p>
        </w:tc>
        <w:tc>
          <w:tcPr>
            <w:tcW w:w="3118" w:type="dxa"/>
            <w:gridSpan w:val="2"/>
            <w:shd w:val="clear" w:color="000000" w:fill="44546A"/>
            <w:noWrap/>
            <w:vAlign w:val="center"/>
            <w:hideMark/>
          </w:tcPr>
          <w:p w14:paraId="4EF359E0" w14:textId="77777777" w:rsidR="00E8321A" w:rsidRPr="004A0B5F" w:rsidRDefault="00E8321A" w:rsidP="00B56C1A">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Recomendación pendiente</w:t>
            </w:r>
          </w:p>
        </w:tc>
        <w:tc>
          <w:tcPr>
            <w:tcW w:w="1134" w:type="dxa"/>
            <w:gridSpan w:val="2"/>
            <w:shd w:val="clear" w:color="000000" w:fill="44546A"/>
            <w:noWrap/>
            <w:vAlign w:val="center"/>
            <w:hideMark/>
          </w:tcPr>
          <w:p w14:paraId="68CBC53B" w14:textId="77777777" w:rsidR="00E8321A" w:rsidRPr="004A0B5F" w:rsidRDefault="00E8321A" w:rsidP="00B56C1A">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Capítulo del informe</w:t>
            </w:r>
          </w:p>
        </w:tc>
        <w:tc>
          <w:tcPr>
            <w:tcW w:w="911" w:type="dxa"/>
            <w:shd w:val="clear" w:color="000000" w:fill="44546A"/>
            <w:noWrap/>
            <w:vAlign w:val="center"/>
            <w:hideMark/>
          </w:tcPr>
          <w:p w14:paraId="6C5A66FC" w14:textId="77777777" w:rsidR="00E8321A" w:rsidRPr="004A0B5F" w:rsidRDefault="00E8321A" w:rsidP="00B56C1A">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Apartado del informe</w:t>
            </w:r>
          </w:p>
        </w:tc>
      </w:tr>
      <w:tr w:rsidR="003A6859" w:rsidRPr="004A0B5F" w14:paraId="048E27A0" w14:textId="77777777" w:rsidTr="00E24FCA">
        <w:trPr>
          <w:trHeight w:val="330"/>
        </w:trPr>
        <w:tc>
          <w:tcPr>
            <w:tcW w:w="1668" w:type="dxa"/>
            <w:shd w:val="clear" w:color="auto" w:fill="auto"/>
            <w:noWrap/>
            <w:vAlign w:val="center"/>
            <w:hideMark/>
          </w:tcPr>
          <w:p w14:paraId="6EA0F242" w14:textId="77777777" w:rsidR="00E8321A" w:rsidRPr="004A0B5F" w:rsidRDefault="00E8321A" w:rsidP="00B56C1A">
            <w:pPr>
              <w:spacing w:after="0" w:line="240" w:lineRule="auto"/>
              <w:jc w:val="center"/>
              <w:rPr>
                <w:rFonts w:ascii="Book Antiqua" w:eastAsia="Times New Roman" w:hAnsi="Book Antiqua" w:cs="Calibri"/>
                <w:color w:val="000000"/>
                <w:sz w:val="18"/>
                <w:szCs w:val="18"/>
                <w:lang w:eastAsia="es-CR"/>
              </w:rPr>
            </w:pPr>
            <w:r w:rsidRPr="004A0B5F">
              <w:rPr>
                <w:rFonts w:ascii="Book Antiqua" w:eastAsia="Times New Roman" w:hAnsi="Book Antiqua" w:cs="Calibri"/>
                <w:color w:val="000000"/>
                <w:sz w:val="18"/>
                <w:szCs w:val="18"/>
                <w:lang w:eastAsia="es-CR"/>
              </w:rPr>
              <w:t>Administración de Turrialba</w:t>
            </w:r>
          </w:p>
        </w:tc>
        <w:tc>
          <w:tcPr>
            <w:tcW w:w="1810" w:type="dxa"/>
            <w:shd w:val="clear" w:color="auto" w:fill="auto"/>
            <w:noWrap/>
            <w:vAlign w:val="center"/>
            <w:hideMark/>
          </w:tcPr>
          <w:p w14:paraId="2F7ABA53" w14:textId="77777777" w:rsidR="00E8321A" w:rsidRPr="004A0B5F" w:rsidRDefault="00E8321A" w:rsidP="00B56C1A">
            <w:pPr>
              <w:spacing w:after="0" w:line="240" w:lineRule="auto"/>
              <w:jc w:val="center"/>
              <w:rPr>
                <w:rFonts w:ascii="Book Antiqua" w:eastAsia="Times New Roman" w:hAnsi="Book Antiqua" w:cs="Calibri"/>
                <w:color w:val="000000"/>
                <w:sz w:val="18"/>
                <w:szCs w:val="18"/>
                <w:lang w:eastAsia="es-CR"/>
              </w:rPr>
            </w:pPr>
            <w:r w:rsidRPr="004A0B5F">
              <w:rPr>
                <w:rFonts w:ascii="Book Antiqua" w:eastAsia="Times New Roman" w:hAnsi="Book Antiqua" w:cs="Calibri"/>
                <w:color w:val="000000"/>
                <w:sz w:val="18"/>
                <w:szCs w:val="18"/>
                <w:lang w:eastAsia="es-CR"/>
              </w:rPr>
              <w:t>0980 ADMINISTRACION REGIONAL TURRIALBA</w:t>
            </w:r>
          </w:p>
        </w:tc>
        <w:tc>
          <w:tcPr>
            <w:tcW w:w="780" w:type="dxa"/>
            <w:gridSpan w:val="2"/>
            <w:shd w:val="clear" w:color="auto" w:fill="auto"/>
            <w:noWrap/>
            <w:vAlign w:val="center"/>
            <w:hideMark/>
          </w:tcPr>
          <w:p w14:paraId="124ACECF" w14:textId="77777777" w:rsidR="00E8321A" w:rsidRPr="004A0B5F" w:rsidRDefault="00E8321A" w:rsidP="00B56C1A">
            <w:pPr>
              <w:spacing w:after="0" w:line="240" w:lineRule="auto"/>
              <w:jc w:val="center"/>
              <w:rPr>
                <w:rFonts w:ascii="Book Antiqua" w:eastAsia="Times New Roman" w:hAnsi="Book Antiqua" w:cs="Calibri"/>
                <w:color w:val="000000"/>
                <w:sz w:val="18"/>
                <w:szCs w:val="18"/>
                <w:lang w:eastAsia="es-CR"/>
              </w:rPr>
            </w:pPr>
            <w:r w:rsidRPr="004A0B5F">
              <w:rPr>
                <w:rFonts w:ascii="Book Antiqua" w:eastAsia="Times New Roman" w:hAnsi="Book Antiqua" w:cs="Calibri"/>
                <w:color w:val="000000"/>
                <w:sz w:val="18"/>
                <w:szCs w:val="18"/>
                <w:lang w:eastAsia="es-CR"/>
              </w:rPr>
              <w:t>0117-DE-P09</w:t>
            </w:r>
          </w:p>
        </w:tc>
        <w:tc>
          <w:tcPr>
            <w:tcW w:w="2263" w:type="dxa"/>
            <w:shd w:val="clear" w:color="auto" w:fill="auto"/>
            <w:noWrap/>
            <w:vAlign w:val="center"/>
            <w:hideMark/>
          </w:tcPr>
          <w:p w14:paraId="5AEC87B5" w14:textId="77777777" w:rsidR="00E8321A" w:rsidRPr="004A0B5F" w:rsidRDefault="00E8321A" w:rsidP="00B56C1A">
            <w:pPr>
              <w:spacing w:after="0" w:line="240" w:lineRule="auto"/>
              <w:jc w:val="center"/>
              <w:rPr>
                <w:rFonts w:ascii="Book Antiqua" w:eastAsia="Times New Roman" w:hAnsi="Book Antiqua" w:cs="Calibri"/>
                <w:color w:val="000000"/>
                <w:sz w:val="18"/>
                <w:szCs w:val="18"/>
                <w:lang w:eastAsia="es-CR"/>
              </w:rPr>
            </w:pPr>
            <w:r w:rsidRPr="004A0B5F">
              <w:rPr>
                <w:rFonts w:ascii="Book Antiqua" w:eastAsia="Times New Roman" w:hAnsi="Book Antiqua" w:cs="Calibri"/>
                <w:color w:val="000000"/>
                <w:sz w:val="18"/>
                <w:szCs w:val="18"/>
                <w:lang w:eastAsia="es-CR"/>
              </w:rPr>
              <w:t>Ampliación Edificio Tribunales de Justicia de Turrialba</w:t>
            </w:r>
          </w:p>
        </w:tc>
        <w:tc>
          <w:tcPr>
            <w:tcW w:w="3119" w:type="dxa"/>
            <w:gridSpan w:val="2"/>
            <w:shd w:val="clear" w:color="auto" w:fill="auto"/>
            <w:noWrap/>
            <w:vAlign w:val="center"/>
            <w:hideMark/>
          </w:tcPr>
          <w:p w14:paraId="3F1F008C" w14:textId="77777777" w:rsidR="00E8321A" w:rsidRPr="004A0B5F" w:rsidRDefault="00E8321A" w:rsidP="00B56C1A">
            <w:pPr>
              <w:spacing w:after="0" w:line="240" w:lineRule="auto"/>
              <w:jc w:val="center"/>
              <w:rPr>
                <w:rFonts w:ascii="Book Antiqua" w:eastAsia="Times New Roman" w:hAnsi="Book Antiqua" w:cs="Calibri"/>
                <w:color w:val="000000"/>
                <w:sz w:val="18"/>
                <w:szCs w:val="18"/>
                <w:lang w:eastAsia="es-CR"/>
              </w:rPr>
            </w:pPr>
            <w:r w:rsidRPr="004A0B5F">
              <w:rPr>
                <w:rFonts w:ascii="Book Antiqua" w:eastAsia="Times New Roman" w:hAnsi="Book Antiqua" w:cs="Calibri"/>
                <w:color w:val="000000"/>
                <w:sz w:val="18"/>
                <w:szCs w:val="18"/>
                <w:lang w:eastAsia="es-CR"/>
              </w:rPr>
              <w:t>Pendiente elaborar solicitud de cambio para notificar suspensión de proyecto</w:t>
            </w:r>
          </w:p>
        </w:tc>
        <w:tc>
          <w:tcPr>
            <w:tcW w:w="1096" w:type="dxa"/>
            <w:gridSpan w:val="2"/>
            <w:shd w:val="clear" w:color="auto" w:fill="auto"/>
            <w:noWrap/>
            <w:vAlign w:val="center"/>
            <w:hideMark/>
          </w:tcPr>
          <w:p w14:paraId="2364D3E0" w14:textId="77777777" w:rsidR="00E8321A" w:rsidRPr="004A0B5F" w:rsidRDefault="00E8321A" w:rsidP="00B56C1A">
            <w:pPr>
              <w:spacing w:after="0" w:line="240" w:lineRule="auto"/>
              <w:jc w:val="center"/>
              <w:rPr>
                <w:rFonts w:ascii="Book Antiqua" w:eastAsia="Times New Roman" w:hAnsi="Book Antiqua" w:cs="Calibri"/>
                <w:color w:val="000000"/>
                <w:sz w:val="18"/>
                <w:szCs w:val="18"/>
                <w:lang w:eastAsia="es-CR"/>
              </w:rPr>
            </w:pPr>
            <w:r w:rsidRPr="004A0B5F">
              <w:rPr>
                <w:rFonts w:ascii="Book Antiqua" w:eastAsia="Times New Roman" w:hAnsi="Book Antiqua" w:cs="Calibri"/>
                <w:color w:val="000000"/>
                <w:sz w:val="18"/>
                <w:szCs w:val="18"/>
                <w:lang w:eastAsia="es-CR"/>
              </w:rPr>
              <w:t>Capítulo 2</w:t>
            </w:r>
          </w:p>
        </w:tc>
        <w:tc>
          <w:tcPr>
            <w:tcW w:w="967" w:type="dxa"/>
            <w:gridSpan w:val="2"/>
            <w:shd w:val="clear" w:color="auto" w:fill="auto"/>
            <w:noWrap/>
            <w:vAlign w:val="center"/>
            <w:hideMark/>
          </w:tcPr>
          <w:p w14:paraId="6E210A1F" w14:textId="77777777" w:rsidR="00E8321A" w:rsidRPr="004A0B5F" w:rsidRDefault="00E8321A" w:rsidP="00B56C1A">
            <w:pPr>
              <w:spacing w:after="0" w:line="240" w:lineRule="auto"/>
              <w:jc w:val="center"/>
              <w:rPr>
                <w:rFonts w:ascii="Book Antiqua" w:eastAsia="Times New Roman" w:hAnsi="Book Antiqua" w:cs="Calibri"/>
                <w:color w:val="000000"/>
                <w:sz w:val="18"/>
                <w:szCs w:val="18"/>
                <w:lang w:eastAsia="es-CR"/>
              </w:rPr>
            </w:pPr>
            <w:r w:rsidRPr="004A0B5F">
              <w:rPr>
                <w:rFonts w:ascii="Book Antiqua" w:eastAsia="Times New Roman" w:hAnsi="Book Antiqua" w:cs="Calibri"/>
                <w:color w:val="000000"/>
                <w:sz w:val="18"/>
                <w:szCs w:val="18"/>
                <w:lang w:eastAsia="es-CR"/>
              </w:rPr>
              <w:t>2.1</w:t>
            </w:r>
          </w:p>
        </w:tc>
      </w:tr>
    </w:tbl>
    <w:p w14:paraId="5C92C904" w14:textId="77777777" w:rsidR="00E8321A" w:rsidRPr="008F2C56" w:rsidRDefault="00E8321A" w:rsidP="00E8321A">
      <w:pPr>
        <w:spacing w:after="0" w:line="240" w:lineRule="auto"/>
        <w:jc w:val="both"/>
        <w:rPr>
          <w:rFonts w:ascii="Book Antiqua" w:hAnsi="Book Antiqua"/>
          <w:sz w:val="24"/>
          <w:szCs w:val="24"/>
        </w:rPr>
      </w:pPr>
    </w:p>
    <w:p w14:paraId="06367885" w14:textId="77777777" w:rsidR="00E8321A" w:rsidRPr="00CD163A" w:rsidRDefault="00E8321A" w:rsidP="00E8321A">
      <w:pPr>
        <w:pStyle w:val="Ttulo2"/>
        <w:spacing w:before="0"/>
        <w:rPr>
          <w:rFonts w:ascii="Book Antiqua" w:hAnsi="Book Antiqua"/>
          <w:b/>
          <w:bCs/>
          <w:color w:val="auto"/>
          <w:sz w:val="24"/>
          <w:szCs w:val="24"/>
        </w:rPr>
      </w:pPr>
      <w:bookmarkStart w:id="170" w:name="_Toc131160608"/>
      <w:bookmarkStart w:id="171" w:name="_Toc138770892"/>
      <w:r w:rsidRPr="00E24FCA">
        <w:rPr>
          <w:rFonts w:ascii="Book Antiqua" w:hAnsi="Book Antiqua"/>
          <w:b/>
          <w:bCs/>
          <w:color w:val="auto"/>
          <w:sz w:val="24"/>
          <w:szCs w:val="24"/>
        </w:rPr>
        <w:t>Al Centro de Información Jurisprudencial</w:t>
      </w:r>
      <w:bookmarkEnd w:id="170"/>
      <w:bookmarkEnd w:id="171"/>
    </w:p>
    <w:p w14:paraId="72BA4687" w14:textId="77777777" w:rsidR="00E8321A" w:rsidRPr="008F2C56" w:rsidRDefault="00E8321A" w:rsidP="00E8321A">
      <w:pPr>
        <w:spacing w:after="0" w:line="240" w:lineRule="auto"/>
        <w:jc w:val="both"/>
        <w:rPr>
          <w:rFonts w:ascii="Book Antiqua" w:hAnsi="Book Antiqua"/>
          <w:b/>
          <w:sz w:val="24"/>
          <w:szCs w:val="24"/>
          <w:highlight w:val="yellow"/>
        </w:rPr>
      </w:pPr>
    </w:p>
    <w:p w14:paraId="6F309C6E" w14:textId="77777777" w:rsidR="00E8321A" w:rsidRDefault="00E8321A" w:rsidP="00E24FCA">
      <w:pPr>
        <w:numPr>
          <w:ilvl w:val="1"/>
          <w:numId w:val="20"/>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Se requiere a más tardar el </w:t>
      </w:r>
      <w:r w:rsidRPr="00E24FCA">
        <w:rPr>
          <w:rFonts w:ascii="Book Antiqua" w:hAnsi="Book Antiqua"/>
          <w:sz w:val="24"/>
          <w:szCs w:val="24"/>
        </w:rPr>
        <w:t>11 de agosto del 2023</w:t>
      </w:r>
      <w:r w:rsidRPr="00174798">
        <w:rPr>
          <w:rFonts w:ascii="Book Antiqua" w:hAnsi="Book Antiqua"/>
          <w:sz w:val="24"/>
          <w:szCs w:val="24"/>
        </w:rPr>
        <w:t xml:space="preserve">, cargar en el sitio de proyecto la atención de las siguientes recomendaciones: </w:t>
      </w:r>
    </w:p>
    <w:tbl>
      <w:tblPr>
        <w:tblW w:w="11760" w:type="dxa"/>
        <w:tblInd w:w="-1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0"/>
        <w:gridCol w:w="1822"/>
        <w:gridCol w:w="709"/>
        <w:gridCol w:w="52"/>
        <w:gridCol w:w="2050"/>
        <w:gridCol w:w="59"/>
        <w:gridCol w:w="2837"/>
        <w:gridCol w:w="59"/>
        <w:gridCol w:w="994"/>
        <w:gridCol w:w="59"/>
        <w:gridCol w:w="1539"/>
      </w:tblGrid>
      <w:tr w:rsidR="000F41B6" w:rsidRPr="004A0B5F" w14:paraId="17609DC7" w14:textId="77777777" w:rsidTr="00FE1386">
        <w:trPr>
          <w:trHeight w:val="320"/>
        </w:trPr>
        <w:tc>
          <w:tcPr>
            <w:tcW w:w="1580" w:type="dxa"/>
            <w:shd w:val="clear" w:color="000000" w:fill="44546A"/>
            <w:noWrap/>
            <w:vAlign w:val="center"/>
            <w:hideMark/>
          </w:tcPr>
          <w:p w14:paraId="36EE1DAD" w14:textId="77777777" w:rsidR="00E8321A" w:rsidRPr="004A0B5F" w:rsidRDefault="00E8321A" w:rsidP="00B56C1A">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Centro de responsabilidad</w:t>
            </w:r>
          </w:p>
        </w:tc>
        <w:tc>
          <w:tcPr>
            <w:tcW w:w="1822" w:type="dxa"/>
            <w:shd w:val="clear" w:color="000000" w:fill="44546A"/>
            <w:noWrap/>
            <w:vAlign w:val="center"/>
            <w:hideMark/>
          </w:tcPr>
          <w:p w14:paraId="67F5371C" w14:textId="77777777" w:rsidR="00E8321A" w:rsidRPr="004A0B5F" w:rsidRDefault="00E8321A" w:rsidP="00B56C1A">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Oficina Líder</w:t>
            </w:r>
          </w:p>
        </w:tc>
        <w:tc>
          <w:tcPr>
            <w:tcW w:w="761" w:type="dxa"/>
            <w:gridSpan w:val="2"/>
            <w:shd w:val="clear" w:color="000000" w:fill="44546A"/>
            <w:noWrap/>
            <w:vAlign w:val="center"/>
            <w:hideMark/>
          </w:tcPr>
          <w:p w14:paraId="45500F07" w14:textId="77777777" w:rsidR="00E8321A" w:rsidRPr="004A0B5F" w:rsidRDefault="00E8321A" w:rsidP="00B56C1A">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Código</w:t>
            </w:r>
          </w:p>
        </w:tc>
        <w:tc>
          <w:tcPr>
            <w:tcW w:w="2109" w:type="dxa"/>
            <w:gridSpan w:val="2"/>
            <w:shd w:val="clear" w:color="000000" w:fill="44546A"/>
            <w:noWrap/>
            <w:vAlign w:val="center"/>
            <w:hideMark/>
          </w:tcPr>
          <w:p w14:paraId="2B5D61ED" w14:textId="77777777" w:rsidR="00E8321A" w:rsidRPr="004A0B5F" w:rsidRDefault="00E8321A" w:rsidP="00B56C1A">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Nombre</w:t>
            </w:r>
          </w:p>
        </w:tc>
        <w:tc>
          <w:tcPr>
            <w:tcW w:w="2896" w:type="dxa"/>
            <w:gridSpan w:val="2"/>
            <w:shd w:val="clear" w:color="000000" w:fill="44546A"/>
            <w:noWrap/>
            <w:vAlign w:val="center"/>
            <w:hideMark/>
          </w:tcPr>
          <w:p w14:paraId="38828788" w14:textId="77777777" w:rsidR="00E8321A" w:rsidRPr="004A0B5F" w:rsidRDefault="00E8321A" w:rsidP="00B56C1A">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Recomendación pendiente</w:t>
            </w:r>
          </w:p>
        </w:tc>
        <w:tc>
          <w:tcPr>
            <w:tcW w:w="1053" w:type="dxa"/>
            <w:gridSpan w:val="2"/>
            <w:shd w:val="clear" w:color="000000" w:fill="44546A"/>
            <w:noWrap/>
            <w:vAlign w:val="center"/>
            <w:hideMark/>
          </w:tcPr>
          <w:p w14:paraId="02963C5C" w14:textId="77777777" w:rsidR="00E8321A" w:rsidRPr="004A0B5F" w:rsidRDefault="00E8321A" w:rsidP="00B56C1A">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Capítulo del informe</w:t>
            </w:r>
          </w:p>
        </w:tc>
        <w:tc>
          <w:tcPr>
            <w:tcW w:w="1539" w:type="dxa"/>
            <w:shd w:val="clear" w:color="000000" w:fill="44546A"/>
            <w:noWrap/>
            <w:vAlign w:val="center"/>
            <w:hideMark/>
          </w:tcPr>
          <w:p w14:paraId="589641A1" w14:textId="77777777" w:rsidR="00E8321A" w:rsidRPr="004A0B5F" w:rsidRDefault="00E8321A" w:rsidP="00B56C1A">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Apartado del informe</w:t>
            </w:r>
          </w:p>
        </w:tc>
      </w:tr>
      <w:tr w:rsidR="007E4ADD" w:rsidRPr="004A0B5F" w14:paraId="2D7AE813" w14:textId="77777777" w:rsidTr="00E24FCA">
        <w:trPr>
          <w:trHeight w:val="352"/>
        </w:trPr>
        <w:tc>
          <w:tcPr>
            <w:tcW w:w="1580" w:type="dxa"/>
            <w:shd w:val="clear" w:color="auto" w:fill="auto"/>
            <w:noWrap/>
            <w:vAlign w:val="center"/>
            <w:hideMark/>
          </w:tcPr>
          <w:p w14:paraId="70918F11" w14:textId="77777777" w:rsidR="00E8321A" w:rsidRPr="004A0B5F" w:rsidRDefault="00E8321A" w:rsidP="00B56C1A">
            <w:pPr>
              <w:spacing w:after="0" w:line="240" w:lineRule="auto"/>
              <w:jc w:val="center"/>
              <w:rPr>
                <w:rFonts w:ascii="Book Antiqua" w:eastAsia="Times New Roman" w:hAnsi="Book Antiqua" w:cs="Calibri"/>
                <w:color w:val="000000"/>
                <w:sz w:val="18"/>
                <w:szCs w:val="18"/>
                <w:lang w:eastAsia="es-CR"/>
              </w:rPr>
            </w:pPr>
            <w:r w:rsidRPr="004A0B5F">
              <w:rPr>
                <w:rFonts w:ascii="Book Antiqua" w:eastAsia="Times New Roman" w:hAnsi="Book Antiqua" w:cs="Calibri"/>
                <w:color w:val="000000"/>
                <w:sz w:val="18"/>
                <w:szCs w:val="18"/>
                <w:lang w:eastAsia="es-CR"/>
              </w:rPr>
              <w:t>Centro de Información Jurisprudencial</w:t>
            </w:r>
          </w:p>
        </w:tc>
        <w:tc>
          <w:tcPr>
            <w:tcW w:w="1822" w:type="dxa"/>
            <w:shd w:val="clear" w:color="auto" w:fill="auto"/>
            <w:noWrap/>
            <w:vAlign w:val="center"/>
            <w:hideMark/>
          </w:tcPr>
          <w:p w14:paraId="1B2A6CB9" w14:textId="77777777" w:rsidR="00E8321A" w:rsidRPr="004A0B5F" w:rsidRDefault="00E8321A" w:rsidP="00B56C1A">
            <w:pPr>
              <w:spacing w:after="0" w:line="240" w:lineRule="auto"/>
              <w:jc w:val="center"/>
              <w:rPr>
                <w:rFonts w:ascii="Book Antiqua" w:eastAsia="Times New Roman" w:hAnsi="Book Antiqua" w:cs="Calibri"/>
                <w:color w:val="000000"/>
                <w:sz w:val="18"/>
                <w:szCs w:val="18"/>
                <w:lang w:eastAsia="es-CR"/>
              </w:rPr>
            </w:pPr>
            <w:r w:rsidRPr="004A0B5F">
              <w:rPr>
                <w:rFonts w:ascii="Book Antiqua" w:eastAsia="Times New Roman" w:hAnsi="Book Antiqua" w:cs="Calibri"/>
                <w:color w:val="000000"/>
                <w:sz w:val="18"/>
                <w:szCs w:val="18"/>
                <w:lang w:eastAsia="es-CR"/>
              </w:rPr>
              <w:t>0034 CENTRO ELECTRONICO DE INFORMACION JURISPRUDENCIAL</w:t>
            </w:r>
          </w:p>
        </w:tc>
        <w:tc>
          <w:tcPr>
            <w:tcW w:w="709" w:type="dxa"/>
            <w:shd w:val="clear" w:color="auto" w:fill="auto"/>
            <w:noWrap/>
            <w:vAlign w:val="center"/>
            <w:hideMark/>
          </w:tcPr>
          <w:p w14:paraId="4599BE43" w14:textId="77777777" w:rsidR="00E8321A" w:rsidRPr="004A0B5F" w:rsidRDefault="00E8321A" w:rsidP="00B56C1A">
            <w:pPr>
              <w:spacing w:after="0" w:line="240" w:lineRule="auto"/>
              <w:jc w:val="center"/>
              <w:rPr>
                <w:rFonts w:ascii="Book Antiqua" w:eastAsia="Times New Roman" w:hAnsi="Book Antiqua" w:cs="Calibri"/>
                <w:color w:val="000000"/>
                <w:sz w:val="18"/>
                <w:szCs w:val="18"/>
                <w:lang w:eastAsia="es-CR"/>
              </w:rPr>
            </w:pPr>
            <w:r w:rsidRPr="004A0B5F">
              <w:rPr>
                <w:rFonts w:ascii="Book Antiqua" w:eastAsia="Times New Roman" w:hAnsi="Book Antiqua" w:cs="Calibri"/>
                <w:color w:val="000000"/>
                <w:sz w:val="18"/>
                <w:szCs w:val="18"/>
                <w:lang w:eastAsia="es-CR"/>
              </w:rPr>
              <w:t>0034-CIJ-P01</w:t>
            </w:r>
          </w:p>
        </w:tc>
        <w:tc>
          <w:tcPr>
            <w:tcW w:w="2102" w:type="dxa"/>
            <w:gridSpan w:val="2"/>
            <w:shd w:val="clear" w:color="auto" w:fill="auto"/>
            <w:noWrap/>
            <w:vAlign w:val="center"/>
            <w:hideMark/>
          </w:tcPr>
          <w:p w14:paraId="3624EE00" w14:textId="77777777" w:rsidR="00E8321A" w:rsidRPr="004A0B5F" w:rsidRDefault="00E8321A" w:rsidP="00B56C1A">
            <w:pPr>
              <w:spacing w:after="0" w:line="240" w:lineRule="auto"/>
              <w:jc w:val="center"/>
              <w:rPr>
                <w:rFonts w:ascii="Book Antiqua" w:eastAsia="Times New Roman" w:hAnsi="Book Antiqua" w:cs="Calibri"/>
                <w:color w:val="000000"/>
                <w:sz w:val="18"/>
                <w:szCs w:val="18"/>
                <w:lang w:eastAsia="es-CR"/>
              </w:rPr>
            </w:pPr>
            <w:r w:rsidRPr="004A0B5F">
              <w:rPr>
                <w:rFonts w:ascii="Book Antiqua" w:eastAsia="Times New Roman" w:hAnsi="Book Antiqua" w:cs="Calibri"/>
                <w:color w:val="000000"/>
                <w:sz w:val="18"/>
                <w:szCs w:val="18"/>
                <w:lang w:eastAsia="es-CR"/>
              </w:rPr>
              <w:t>Fortalecimiento del acceso a la información judicial</w:t>
            </w:r>
          </w:p>
        </w:tc>
        <w:tc>
          <w:tcPr>
            <w:tcW w:w="2896" w:type="dxa"/>
            <w:gridSpan w:val="2"/>
            <w:shd w:val="clear" w:color="auto" w:fill="auto"/>
            <w:noWrap/>
            <w:vAlign w:val="center"/>
            <w:hideMark/>
          </w:tcPr>
          <w:p w14:paraId="41CB51CA" w14:textId="77777777" w:rsidR="00E8321A" w:rsidRPr="004A0B5F" w:rsidRDefault="00E8321A" w:rsidP="00B56C1A">
            <w:pPr>
              <w:spacing w:after="0" w:line="240" w:lineRule="auto"/>
              <w:jc w:val="center"/>
              <w:rPr>
                <w:rFonts w:ascii="Book Antiqua" w:eastAsia="Times New Roman" w:hAnsi="Book Antiqua" w:cs="Calibri"/>
                <w:color w:val="000000"/>
                <w:sz w:val="18"/>
                <w:szCs w:val="18"/>
                <w:lang w:eastAsia="es-CR"/>
              </w:rPr>
            </w:pPr>
            <w:r w:rsidRPr="004A0B5F">
              <w:rPr>
                <w:rFonts w:ascii="Book Antiqua" w:eastAsia="Times New Roman" w:hAnsi="Book Antiqua" w:cs="Calibri"/>
                <w:color w:val="000000"/>
                <w:sz w:val="18"/>
                <w:szCs w:val="18"/>
                <w:lang w:eastAsia="es-CR"/>
              </w:rPr>
              <w:t>Se debe eliminar el entregable de Informe de evaluación de beneficios, porque este ocurre de 6 meses a un año después de concluido el proyecto</w:t>
            </w:r>
          </w:p>
        </w:tc>
        <w:tc>
          <w:tcPr>
            <w:tcW w:w="1053" w:type="dxa"/>
            <w:gridSpan w:val="2"/>
            <w:shd w:val="clear" w:color="auto" w:fill="auto"/>
            <w:noWrap/>
            <w:vAlign w:val="center"/>
            <w:hideMark/>
          </w:tcPr>
          <w:p w14:paraId="300D796B" w14:textId="77777777" w:rsidR="00E8321A" w:rsidRPr="004A0B5F" w:rsidRDefault="00E8321A" w:rsidP="00B56C1A">
            <w:pPr>
              <w:spacing w:after="0" w:line="240" w:lineRule="auto"/>
              <w:jc w:val="center"/>
              <w:rPr>
                <w:rFonts w:ascii="Book Antiqua" w:eastAsia="Times New Roman" w:hAnsi="Book Antiqua" w:cs="Calibri"/>
                <w:color w:val="000000"/>
                <w:sz w:val="18"/>
                <w:szCs w:val="18"/>
                <w:lang w:eastAsia="es-CR"/>
              </w:rPr>
            </w:pPr>
            <w:r w:rsidRPr="004A0B5F">
              <w:rPr>
                <w:rFonts w:ascii="Book Antiqua" w:eastAsia="Times New Roman" w:hAnsi="Book Antiqua" w:cs="Calibri"/>
                <w:color w:val="000000"/>
                <w:sz w:val="18"/>
                <w:szCs w:val="18"/>
                <w:lang w:eastAsia="es-CR"/>
              </w:rPr>
              <w:t>Capítulo 2</w:t>
            </w:r>
          </w:p>
        </w:tc>
        <w:tc>
          <w:tcPr>
            <w:tcW w:w="1598" w:type="dxa"/>
            <w:gridSpan w:val="2"/>
            <w:shd w:val="clear" w:color="auto" w:fill="auto"/>
            <w:noWrap/>
            <w:vAlign w:val="center"/>
            <w:hideMark/>
          </w:tcPr>
          <w:p w14:paraId="0FF7B8D8" w14:textId="77777777" w:rsidR="00E8321A" w:rsidRPr="004A0B5F" w:rsidRDefault="00E8321A" w:rsidP="00B56C1A">
            <w:pPr>
              <w:spacing w:after="0" w:line="240" w:lineRule="auto"/>
              <w:jc w:val="center"/>
              <w:rPr>
                <w:rFonts w:ascii="Book Antiqua" w:eastAsia="Times New Roman" w:hAnsi="Book Antiqua" w:cs="Calibri"/>
                <w:color w:val="000000"/>
                <w:sz w:val="18"/>
                <w:szCs w:val="18"/>
                <w:lang w:eastAsia="es-CR"/>
              </w:rPr>
            </w:pPr>
            <w:r w:rsidRPr="004A0B5F">
              <w:rPr>
                <w:rFonts w:ascii="Book Antiqua" w:eastAsia="Times New Roman" w:hAnsi="Book Antiqua" w:cs="Calibri"/>
                <w:color w:val="000000"/>
                <w:sz w:val="18"/>
                <w:szCs w:val="18"/>
                <w:lang w:eastAsia="es-CR"/>
              </w:rPr>
              <w:t>2.3</w:t>
            </w:r>
          </w:p>
        </w:tc>
      </w:tr>
    </w:tbl>
    <w:p w14:paraId="5F25DDD1" w14:textId="77777777" w:rsidR="00E8321A" w:rsidRDefault="00E8321A" w:rsidP="00E8321A">
      <w:pPr>
        <w:spacing w:after="0" w:line="240" w:lineRule="auto"/>
        <w:jc w:val="both"/>
        <w:rPr>
          <w:rFonts w:ascii="Book Antiqua" w:hAnsi="Book Antiqua"/>
          <w:b/>
          <w:sz w:val="24"/>
          <w:szCs w:val="24"/>
          <w:highlight w:val="yellow"/>
        </w:rPr>
      </w:pPr>
    </w:p>
    <w:p w14:paraId="185B0843" w14:textId="731336E1" w:rsidR="00E8321A" w:rsidRDefault="00E8321A" w:rsidP="00E8321A">
      <w:pPr>
        <w:pStyle w:val="Ttulo2"/>
        <w:spacing w:before="0"/>
        <w:rPr>
          <w:rFonts w:ascii="Book Antiqua" w:hAnsi="Book Antiqua"/>
          <w:b/>
          <w:bCs/>
          <w:color w:val="auto"/>
          <w:sz w:val="24"/>
          <w:szCs w:val="24"/>
        </w:rPr>
      </w:pPr>
      <w:bookmarkStart w:id="172" w:name="_Toc138770893"/>
      <w:r w:rsidRPr="00E24FCA">
        <w:rPr>
          <w:rFonts w:ascii="Book Antiqua" w:hAnsi="Book Antiqua"/>
          <w:b/>
          <w:bCs/>
          <w:color w:val="auto"/>
          <w:sz w:val="24"/>
          <w:szCs w:val="24"/>
        </w:rPr>
        <w:t>Al Circuito Judicial Cartago</w:t>
      </w:r>
      <w:r w:rsidR="00053D94">
        <w:rPr>
          <w:rFonts w:ascii="Book Antiqua" w:hAnsi="Book Antiqua"/>
          <w:b/>
          <w:bCs/>
          <w:color w:val="auto"/>
          <w:sz w:val="24"/>
          <w:szCs w:val="24"/>
        </w:rPr>
        <w:t xml:space="preserve"> y Dirección Ejecutiva</w:t>
      </w:r>
      <w:bookmarkEnd w:id="172"/>
    </w:p>
    <w:p w14:paraId="7758A30A" w14:textId="77777777" w:rsidR="00E8321A" w:rsidRPr="004A0B5F" w:rsidRDefault="00E8321A" w:rsidP="00E8321A">
      <w:pPr>
        <w:spacing w:after="0"/>
        <w:rPr>
          <w:rFonts w:ascii="Book Antiqua" w:hAnsi="Book Antiqua"/>
          <w:sz w:val="24"/>
          <w:szCs w:val="24"/>
          <w:highlight w:val="yellow"/>
        </w:rPr>
      </w:pPr>
    </w:p>
    <w:tbl>
      <w:tblPr>
        <w:tblpPr w:leftFromText="141" w:rightFromText="141" w:vertAnchor="text" w:horzAnchor="margin" w:tblpXSpec="center" w:tblpY="499"/>
        <w:tblW w:w="11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805"/>
        <w:gridCol w:w="714"/>
        <w:gridCol w:w="45"/>
        <w:gridCol w:w="2269"/>
        <w:gridCol w:w="86"/>
        <w:gridCol w:w="2914"/>
        <w:gridCol w:w="19"/>
        <w:gridCol w:w="1067"/>
        <w:gridCol w:w="24"/>
        <w:gridCol w:w="1206"/>
      </w:tblGrid>
      <w:tr w:rsidR="000F41B6" w:rsidRPr="004A0B5F" w14:paraId="2CF2BFDF" w14:textId="77777777" w:rsidTr="00FE1386">
        <w:trPr>
          <w:trHeight w:val="303"/>
        </w:trPr>
        <w:tc>
          <w:tcPr>
            <w:tcW w:w="1470" w:type="dxa"/>
            <w:shd w:val="clear" w:color="000000" w:fill="44546A"/>
            <w:noWrap/>
            <w:vAlign w:val="center"/>
            <w:hideMark/>
          </w:tcPr>
          <w:p w14:paraId="2788C829" w14:textId="77777777" w:rsidR="003A6859" w:rsidRPr="004A0B5F" w:rsidRDefault="003A6859" w:rsidP="003A6859">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Centro de responsabilidad</w:t>
            </w:r>
          </w:p>
        </w:tc>
        <w:tc>
          <w:tcPr>
            <w:tcW w:w="1805" w:type="dxa"/>
            <w:shd w:val="clear" w:color="000000" w:fill="44546A"/>
            <w:noWrap/>
            <w:vAlign w:val="center"/>
            <w:hideMark/>
          </w:tcPr>
          <w:p w14:paraId="4573999F" w14:textId="77777777" w:rsidR="003A6859" w:rsidRPr="004A0B5F" w:rsidRDefault="003A6859" w:rsidP="003A6859">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Oficina Líder</w:t>
            </w:r>
          </w:p>
        </w:tc>
        <w:tc>
          <w:tcPr>
            <w:tcW w:w="759" w:type="dxa"/>
            <w:gridSpan w:val="2"/>
            <w:shd w:val="clear" w:color="000000" w:fill="44546A"/>
            <w:noWrap/>
            <w:vAlign w:val="center"/>
            <w:hideMark/>
          </w:tcPr>
          <w:p w14:paraId="7ED94299" w14:textId="77777777" w:rsidR="003A6859" w:rsidRPr="004A0B5F" w:rsidRDefault="003A6859" w:rsidP="003A6859">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Código</w:t>
            </w:r>
          </w:p>
        </w:tc>
        <w:tc>
          <w:tcPr>
            <w:tcW w:w="2355" w:type="dxa"/>
            <w:gridSpan w:val="2"/>
            <w:shd w:val="clear" w:color="000000" w:fill="44546A"/>
            <w:noWrap/>
            <w:vAlign w:val="center"/>
            <w:hideMark/>
          </w:tcPr>
          <w:p w14:paraId="6FDCDF9D" w14:textId="77777777" w:rsidR="003A6859" w:rsidRPr="004A0B5F" w:rsidRDefault="003A6859" w:rsidP="003A6859">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Nombre</w:t>
            </w:r>
          </w:p>
        </w:tc>
        <w:tc>
          <w:tcPr>
            <w:tcW w:w="2933" w:type="dxa"/>
            <w:gridSpan w:val="2"/>
            <w:shd w:val="clear" w:color="000000" w:fill="44546A"/>
            <w:noWrap/>
            <w:vAlign w:val="center"/>
            <w:hideMark/>
          </w:tcPr>
          <w:p w14:paraId="077B89F1" w14:textId="77777777" w:rsidR="003A6859" w:rsidRPr="004A0B5F" w:rsidRDefault="003A6859" w:rsidP="003A6859">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Recomendación pendiente</w:t>
            </w:r>
          </w:p>
        </w:tc>
        <w:tc>
          <w:tcPr>
            <w:tcW w:w="1091" w:type="dxa"/>
            <w:gridSpan w:val="2"/>
            <w:shd w:val="clear" w:color="000000" w:fill="44546A"/>
            <w:noWrap/>
            <w:vAlign w:val="center"/>
            <w:hideMark/>
          </w:tcPr>
          <w:p w14:paraId="2967986D" w14:textId="77777777" w:rsidR="003A6859" w:rsidRPr="004A0B5F" w:rsidRDefault="003A6859" w:rsidP="003A6859">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Capítulo del informe</w:t>
            </w:r>
          </w:p>
        </w:tc>
        <w:tc>
          <w:tcPr>
            <w:tcW w:w="1206" w:type="dxa"/>
            <w:shd w:val="clear" w:color="000000" w:fill="44546A"/>
            <w:noWrap/>
            <w:vAlign w:val="center"/>
            <w:hideMark/>
          </w:tcPr>
          <w:p w14:paraId="064F5815" w14:textId="77777777" w:rsidR="003A6859" w:rsidRPr="004A0B5F" w:rsidRDefault="003A6859" w:rsidP="003A6859">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Apartado del informe</w:t>
            </w:r>
          </w:p>
        </w:tc>
      </w:tr>
      <w:tr w:rsidR="003A6859" w:rsidRPr="004A0B5F" w14:paraId="6F81DBE2" w14:textId="77777777" w:rsidTr="00E24FCA">
        <w:trPr>
          <w:trHeight w:val="333"/>
        </w:trPr>
        <w:tc>
          <w:tcPr>
            <w:tcW w:w="1470" w:type="dxa"/>
            <w:shd w:val="clear" w:color="auto" w:fill="auto"/>
            <w:noWrap/>
            <w:vAlign w:val="center"/>
            <w:hideMark/>
          </w:tcPr>
          <w:p w14:paraId="77B7A839" w14:textId="77777777" w:rsidR="003A6859" w:rsidRPr="004A0B5F" w:rsidRDefault="003A6859" w:rsidP="003A6859">
            <w:pPr>
              <w:spacing w:after="0" w:line="240" w:lineRule="auto"/>
              <w:jc w:val="center"/>
              <w:rPr>
                <w:rFonts w:ascii="Book Antiqua" w:eastAsia="Times New Roman" w:hAnsi="Book Antiqua" w:cs="Calibri"/>
                <w:color w:val="000000"/>
                <w:sz w:val="18"/>
                <w:szCs w:val="18"/>
                <w:lang w:eastAsia="es-CR"/>
              </w:rPr>
            </w:pPr>
            <w:r w:rsidRPr="004A0B5F">
              <w:rPr>
                <w:rFonts w:ascii="Book Antiqua" w:hAnsi="Book Antiqua" w:cs="Calibri"/>
                <w:color w:val="000000"/>
                <w:sz w:val="18"/>
                <w:szCs w:val="18"/>
              </w:rPr>
              <w:t>Circuito Judicial Cartago</w:t>
            </w:r>
          </w:p>
        </w:tc>
        <w:tc>
          <w:tcPr>
            <w:tcW w:w="1805" w:type="dxa"/>
            <w:shd w:val="clear" w:color="auto" w:fill="auto"/>
            <w:noWrap/>
            <w:vAlign w:val="center"/>
            <w:hideMark/>
          </w:tcPr>
          <w:p w14:paraId="5BBD8738" w14:textId="77777777" w:rsidR="003A6859" w:rsidRPr="004A0B5F" w:rsidRDefault="003A6859" w:rsidP="003A6859">
            <w:pPr>
              <w:spacing w:after="0" w:line="240" w:lineRule="auto"/>
              <w:jc w:val="center"/>
              <w:rPr>
                <w:rFonts w:ascii="Book Antiqua" w:eastAsia="Times New Roman" w:hAnsi="Book Antiqua" w:cs="Calibri"/>
                <w:color w:val="000000"/>
                <w:sz w:val="18"/>
                <w:szCs w:val="18"/>
                <w:lang w:eastAsia="es-CR"/>
              </w:rPr>
            </w:pPr>
            <w:r w:rsidRPr="004A0B5F">
              <w:rPr>
                <w:rFonts w:ascii="Book Antiqua" w:hAnsi="Book Antiqua" w:cs="Calibri"/>
                <w:color w:val="000000"/>
                <w:sz w:val="18"/>
                <w:szCs w:val="18"/>
              </w:rPr>
              <w:t>0360 ADMINISTRACION REGIONAL CARTAGO</w:t>
            </w:r>
          </w:p>
        </w:tc>
        <w:tc>
          <w:tcPr>
            <w:tcW w:w="714" w:type="dxa"/>
            <w:shd w:val="clear" w:color="auto" w:fill="auto"/>
            <w:noWrap/>
            <w:vAlign w:val="center"/>
            <w:hideMark/>
          </w:tcPr>
          <w:p w14:paraId="10F95A92" w14:textId="77777777" w:rsidR="003A6859" w:rsidRPr="004A0B5F" w:rsidRDefault="003A6859" w:rsidP="003A6859">
            <w:pPr>
              <w:spacing w:after="0" w:line="240" w:lineRule="auto"/>
              <w:jc w:val="center"/>
              <w:rPr>
                <w:rFonts w:ascii="Book Antiqua" w:eastAsia="Times New Roman" w:hAnsi="Book Antiqua" w:cs="Calibri"/>
                <w:color w:val="000000"/>
                <w:sz w:val="18"/>
                <w:szCs w:val="18"/>
                <w:lang w:eastAsia="es-CR"/>
              </w:rPr>
            </w:pPr>
            <w:r w:rsidRPr="004A0B5F">
              <w:rPr>
                <w:rFonts w:ascii="Book Antiqua" w:hAnsi="Book Antiqua" w:cs="Calibri"/>
                <w:color w:val="000000"/>
                <w:sz w:val="18"/>
                <w:szCs w:val="18"/>
              </w:rPr>
              <w:t>0117-DE-P26</w:t>
            </w:r>
          </w:p>
        </w:tc>
        <w:tc>
          <w:tcPr>
            <w:tcW w:w="2314" w:type="dxa"/>
            <w:gridSpan w:val="2"/>
            <w:shd w:val="clear" w:color="auto" w:fill="auto"/>
            <w:noWrap/>
            <w:vAlign w:val="center"/>
            <w:hideMark/>
          </w:tcPr>
          <w:p w14:paraId="491443BE" w14:textId="77777777" w:rsidR="003A6859" w:rsidRPr="004A0B5F" w:rsidRDefault="003A6859" w:rsidP="003A6859">
            <w:pPr>
              <w:spacing w:after="0" w:line="240" w:lineRule="auto"/>
              <w:jc w:val="center"/>
              <w:rPr>
                <w:rFonts w:ascii="Book Antiqua" w:eastAsia="Times New Roman" w:hAnsi="Book Antiqua" w:cs="Calibri"/>
                <w:color w:val="000000"/>
                <w:sz w:val="18"/>
                <w:szCs w:val="18"/>
                <w:lang w:eastAsia="es-CR"/>
              </w:rPr>
            </w:pPr>
            <w:r w:rsidRPr="004A0B5F">
              <w:rPr>
                <w:rFonts w:ascii="Book Antiqua" w:hAnsi="Book Antiqua" w:cs="Calibri"/>
                <w:color w:val="000000"/>
                <w:sz w:val="18"/>
                <w:szCs w:val="18"/>
              </w:rPr>
              <w:t>Reacondicionamiento Eléctrico Edificio de Tribunales de Cartago</w:t>
            </w:r>
          </w:p>
        </w:tc>
        <w:tc>
          <w:tcPr>
            <w:tcW w:w="3000" w:type="dxa"/>
            <w:gridSpan w:val="2"/>
            <w:shd w:val="clear" w:color="auto" w:fill="auto"/>
            <w:noWrap/>
            <w:vAlign w:val="center"/>
            <w:hideMark/>
          </w:tcPr>
          <w:p w14:paraId="2977AC69" w14:textId="77777777" w:rsidR="003A6859" w:rsidRPr="004A0B5F" w:rsidRDefault="003A6859" w:rsidP="003A6859">
            <w:pPr>
              <w:spacing w:after="0" w:line="240" w:lineRule="auto"/>
              <w:jc w:val="center"/>
              <w:rPr>
                <w:rFonts w:ascii="Book Antiqua" w:eastAsia="Times New Roman" w:hAnsi="Book Antiqua" w:cs="Calibri"/>
                <w:color w:val="000000"/>
                <w:sz w:val="18"/>
                <w:szCs w:val="18"/>
                <w:lang w:eastAsia="es-CR"/>
              </w:rPr>
            </w:pPr>
            <w:r w:rsidRPr="004A0B5F">
              <w:rPr>
                <w:rFonts w:ascii="Book Antiqua" w:hAnsi="Book Antiqua" w:cs="Calibri"/>
                <w:color w:val="000000"/>
                <w:sz w:val="18"/>
                <w:szCs w:val="18"/>
              </w:rPr>
              <w:t>Pendiente elaborar solicitud de cambio para notificar suspensión de proyecto</w:t>
            </w:r>
          </w:p>
        </w:tc>
        <w:tc>
          <w:tcPr>
            <w:tcW w:w="1086" w:type="dxa"/>
            <w:gridSpan w:val="2"/>
            <w:shd w:val="clear" w:color="auto" w:fill="auto"/>
            <w:noWrap/>
            <w:vAlign w:val="center"/>
            <w:hideMark/>
          </w:tcPr>
          <w:p w14:paraId="6F1E108F" w14:textId="77777777" w:rsidR="003A6859" w:rsidRPr="004A0B5F" w:rsidRDefault="003A6859" w:rsidP="003A6859">
            <w:pPr>
              <w:spacing w:after="0" w:line="240" w:lineRule="auto"/>
              <w:jc w:val="center"/>
              <w:rPr>
                <w:rFonts w:ascii="Book Antiqua" w:eastAsia="Times New Roman" w:hAnsi="Book Antiqua" w:cs="Calibri"/>
                <w:color w:val="000000"/>
                <w:sz w:val="18"/>
                <w:szCs w:val="18"/>
                <w:lang w:eastAsia="es-CR"/>
              </w:rPr>
            </w:pPr>
            <w:r w:rsidRPr="004A0B5F">
              <w:rPr>
                <w:rFonts w:ascii="Book Antiqua" w:hAnsi="Book Antiqua" w:cs="Calibri"/>
                <w:color w:val="000000"/>
                <w:sz w:val="18"/>
                <w:szCs w:val="18"/>
              </w:rPr>
              <w:t>Capítulo 2</w:t>
            </w:r>
          </w:p>
        </w:tc>
        <w:tc>
          <w:tcPr>
            <w:tcW w:w="1230" w:type="dxa"/>
            <w:gridSpan w:val="2"/>
            <w:shd w:val="clear" w:color="auto" w:fill="auto"/>
            <w:noWrap/>
            <w:vAlign w:val="center"/>
            <w:hideMark/>
          </w:tcPr>
          <w:p w14:paraId="6F6E24AC" w14:textId="77777777" w:rsidR="003A6859" w:rsidRPr="004A0B5F" w:rsidRDefault="003A6859" w:rsidP="003A6859">
            <w:pPr>
              <w:spacing w:after="0" w:line="240" w:lineRule="auto"/>
              <w:jc w:val="center"/>
              <w:rPr>
                <w:rFonts w:ascii="Book Antiqua" w:eastAsia="Times New Roman" w:hAnsi="Book Antiqua" w:cs="Calibri"/>
                <w:color w:val="000000"/>
                <w:sz w:val="18"/>
                <w:szCs w:val="18"/>
                <w:lang w:eastAsia="es-CR"/>
              </w:rPr>
            </w:pPr>
            <w:r w:rsidRPr="004A0B5F">
              <w:rPr>
                <w:rFonts w:ascii="Book Antiqua" w:hAnsi="Book Antiqua" w:cs="Calibri"/>
                <w:color w:val="000000"/>
                <w:sz w:val="18"/>
                <w:szCs w:val="18"/>
              </w:rPr>
              <w:t>2.1</w:t>
            </w:r>
          </w:p>
        </w:tc>
      </w:tr>
    </w:tbl>
    <w:p w14:paraId="1E73B963" w14:textId="77777777" w:rsidR="00E8321A" w:rsidRDefault="00E8321A" w:rsidP="00E24FCA">
      <w:pPr>
        <w:numPr>
          <w:ilvl w:val="1"/>
          <w:numId w:val="20"/>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Se requiere a más tardar el </w:t>
      </w:r>
      <w:r w:rsidRPr="00E24FCA">
        <w:rPr>
          <w:rFonts w:ascii="Book Antiqua" w:hAnsi="Book Antiqua"/>
          <w:sz w:val="24"/>
          <w:szCs w:val="24"/>
        </w:rPr>
        <w:t>11 de agosto del 2023</w:t>
      </w:r>
      <w:r w:rsidRPr="00174798">
        <w:rPr>
          <w:rFonts w:ascii="Book Antiqua" w:hAnsi="Book Antiqua"/>
          <w:sz w:val="24"/>
          <w:szCs w:val="24"/>
        </w:rPr>
        <w:t xml:space="preserve">, cargar en el sitio de proyecto la atención de las siguientes recomendaciones: </w:t>
      </w:r>
    </w:p>
    <w:p w14:paraId="1B1194E8" w14:textId="62B6D07F" w:rsidR="00E8321A" w:rsidRPr="00E24FCA" w:rsidRDefault="00E8321A" w:rsidP="00EF4E17">
      <w:pPr>
        <w:spacing w:after="0" w:line="240" w:lineRule="auto"/>
        <w:jc w:val="both"/>
        <w:rPr>
          <w:rFonts w:ascii="Book Antiqua" w:hAnsi="Book Antiqua"/>
          <w:b/>
          <w:bCs/>
          <w:sz w:val="24"/>
          <w:szCs w:val="24"/>
        </w:rPr>
      </w:pPr>
      <w:bookmarkStart w:id="173" w:name="_Toc131160610"/>
      <w:r w:rsidRPr="00E24FCA">
        <w:rPr>
          <w:rFonts w:ascii="Book Antiqua" w:hAnsi="Book Antiqua"/>
          <w:b/>
          <w:bCs/>
          <w:sz w:val="24"/>
          <w:szCs w:val="24"/>
        </w:rPr>
        <w:lastRenderedPageBreak/>
        <w:t xml:space="preserve">A </w:t>
      </w:r>
      <w:r w:rsidR="00D06D89" w:rsidRPr="00D06D89">
        <w:rPr>
          <w:rFonts w:ascii="Book Antiqua" w:hAnsi="Book Antiqua"/>
          <w:b/>
          <w:bCs/>
          <w:sz w:val="24"/>
          <w:szCs w:val="24"/>
        </w:rPr>
        <w:t>la Comisión</w:t>
      </w:r>
      <w:r w:rsidRPr="00E24FCA">
        <w:rPr>
          <w:rFonts w:ascii="Book Antiqua" w:hAnsi="Book Antiqua"/>
          <w:b/>
          <w:bCs/>
          <w:sz w:val="24"/>
          <w:szCs w:val="24"/>
        </w:rPr>
        <w:t xml:space="preserve"> de la Jurisdicción de Familia, Niñez y Adolescencia</w:t>
      </w:r>
    </w:p>
    <w:p w14:paraId="0C8A56F6" w14:textId="77777777" w:rsidR="00E8321A" w:rsidRPr="00174798" w:rsidRDefault="00E8321A" w:rsidP="00E8321A">
      <w:pPr>
        <w:spacing w:after="0" w:line="240" w:lineRule="auto"/>
        <w:jc w:val="both"/>
        <w:rPr>
          <w:rFonts w:ascii="Book Antiqua" w:hAnsi="Book Antiqua"/>
          <w:b/>
          <w:sz w:val="24"/>
          <w:szCs w:val="24"/>
          <w:highlight w:val="yellow"/>
        </w:rPr>
      </w:pPr>
    </w:p>
    <w:p w14:paraId="3236C434" w14:textId="3E237500" w:rsidR="00E8321A" w:rsidRPr="00EF4E17" w:rsidRDefault="00E8321A" w:rsidP="00EF4E17">
      <w:pPr>
        <w:pStyle w:val="Prrafodelista"/>
        <w:numPr>
          <w:ilvl w:val="1"/>
          <w:numId w:val="20"/>
        </w:numPr>
        <w:spacing w:after="0" w:line="240" w:lineRule="auto"/>
        <w:jc w:val="both"/>
        <w:rPr>
          <w:rFonts w:ascii="Book Antiqua" w:hAnsi="Book Antiqua"/>
          <w:sz w:val="24"/>
          <w:szCs w:val="24"/>
        </w:rPr>
      </w:pPr>
      <w:r w:rsidRPr="00EF4E17">
        <w:rPr>
          <w:rFonts w:ascii="Book Antiqua" w:hAnsi="Book Antiqua"/>
          <w:sz w:val="24"/>
          <w:szCs w:val="24"/>
        </w:rPr>
        <w:t xml:space="preserve">Se requiere a más tardar el </w:t>
      </w:r>
      <w:r w:rsidRPr="00EF4E17">
        <w:rPr>
          <w:rFonts w:ascii="Book Antiqua" w:hAnsi="Book Antiqua"/>
          <w:b/>
          <w:bCs/>
          <w:sz w:val="24"/>
          <w:szCs w:val="24"/>
        </w:rPr>
        <w:t>11 de agosto del 2023</w:t>
      </w:r>
      <w:r w:rsidRPr="00EF4E17">
        <w:rPr>
          <w:rFonts w:ascii="Book Antiqua" w:hAnsi="Book Antiqua"/>
          <w:sz w:val="24"/>
          <w:szCs w:val="24"/>
        </w:rPr>
        <w:t xml:space="preserve">, cargar en el sitio de proyecto la atención de la siguiente recomendación: </w:t>
      </w:r>
    </w:p>
    <w:tbl>
      <w:tblPr>
        <w:tblW w:w="10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1"/>
        <w:gridCol w:w="1674"/>
        <w:gridCol w:w="928"/>
        <w:gridCol w:w="1598"/>
        <w:gridCol w:w="2810"/>
        <w:gridCol w:w="978"/>
        <w:gridCol w:w="890"/>
        <w:gridCol w:w="64"/>
      </w:tblGrid>
      <w:tr w:rsidR="00020ED9" w:rsidRPr="00A2783B" w14:paraId="16FFE5F6" w14:textId="77777777" w:rsidTr="0006015C">
        <w:trPr>
          <w:trHeight w:val="300"/>
          <w:tblHeader/>
          <w:jc w:val="center"/>
        </w:trPr>
        <w:tc>
          <w:tcPr>
            <w:tcW w:w="1471" w:type="dxa"/>
            <w:shd w:val="clear" w:color="000000" w:fill="44546A"/>
            <w:vAlign w:val="center"/>
            <w:hideMark/>
          </w:tcPr>
          <w:p w14:paraId="7A11D880" w14:textId="77777777" w:rsidR="00E8321A" w:rsidRPr="00A2783B" w:rsidRDefault="00E8321A" w:rsidP="00B56C1A">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Centro de responsabilidad</w:t>
            </w:r>
          </w:p>
        </w:tc>
        <w:tc>
          <w:tcPr>
            <w:tcW w:w="1674" w:type="dxa"/>
            <w:shd w:val="clear" w:color="000000" w:fill="44546A"/>
            <w:vAlign w:val="center"/>
            <w:hideMark/>
          </w:tcPr>
          <w:p w14:paraId="19ABAFFF" w14:textId="77777777" w:rsidR="00E8321A" w:rsidRPr="00A2783B" w:rsidRDefault="00E8321A" w:rsidP="00B56C1A">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Oficina Líder</w:t>
            </w:r>
          </w:p>
        </w:tc>
        <w:tc>
          <w:tcPr>
            <w:tcW w:w="928" w:type="dxa"/>
            <w:shd w:val="clear" w:color="000000" w:fill="44546A"/>
            <w:vAlign w:val="center"/>
            <w:hideMark/>
          </w:tcPr>
          <w:p w14:paraId="6A8B8919" w14:textId="77777777" w:rsidR="00E8321A" w:rsidRPr="00A2783B" w:rsidRDefault="00E8321A" w:rsidP="00B56C1A">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Código</w:t>
            </w:r>
          </w:p>
        </w:tc>
        <w:tc>
          <w:tcPr>
            <w:tcW w:w="1598" w:type="dxa"/>
            <w:shd w:val="clear" w:color="000000" w:fill="44546A"/>
            <w:vAlign w:val="center"/>
            <w:hideMark/>
          </w:tcPr>
          <w:p w14:paraId="06177E85" w14:textId="77777777" w:rsidR="00E8321A" w:rsidRPr="00A2783B" w:rsidRDefault="00E8321A" w:rsidP="00B56C1A">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Nombre</w:t>
            </w:r>
          </w:p>
        </w:tc>
        <w:tc>
          <w:tcPr>
            <w:tcW w:w="2810" w:type="dxa"/>
            <w:shd w:val="clear" w:color="000000" w:fill="44546A"/>
            <w:vAlign w:val="center"/>
          </w:tcPr>
          <w:p w14:paraId="4E5D6026" w14:textId="77777777" w:rsidR="00E8321A" w:rsidRPr="00A2783B" w:rsidRDefault="00E8321A" w:rsidP="00B56C1A">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Recomendación pendiente</w:t>
            </w:r>
          </w:p>
        </w:tc>
        <w:tc>
          <w:tcPr>
            <w:tcW w:w="978" w:type="dxa"/>
            <w:shd w:val="clear" w:color="000000" w:fill="44546A"/>
            <w:vAlign w:val="center"/>
          </w:tcPr>
          <w:p w14:paraId="6F3E759B" w14:textId="77777777" w:rsidR="00E8321A" w:rsidRPr="00A2783B" w:rsidRDefault="00E8321A" w:rsidP="00B56C1A">
            <w:pPr>
              <w:spacing w:after="0" w:line="240" w:lineRule="auto"/>
              <w:jc w:val="center"/>
              <w:rPr>
                <w:rFonts w:ascii="Book Antiqua" w:eastAsia="Times New Roman" w:hAnsi="Book Antiqua" w:cs="Calibri"/>
                <w:b/>
                <w:bCs/>
                <w:color w:val="FFFFFF"/>
                <w:sz w:val="18"/>
                <w:szCs w:val="18"/>
                <w:lang w:eastAsia="es-CR"/>
              </w:rPr>
            </w:pPr>
            <w:r w:rsidRPr="00A2783B">
              <w:rPr>
                <w:rFonts w:ascii="Book Antiqua" w:eastAsia="Times New Roman" w:hAnsi="Book Antiqua" w:cs="Calibri"/>
                <w:b/>
                <w:bCs/>
                <w:color w:val="FFFFFF"/>
                <w:sz w:val="18"/>
                <w:szCs w:val="18"/>
                <w:lang w:eastAsia="es-CR"/>
              </w:rPr>
              <w:t>Capítulo</w:t>
            </w:r>
            <w:r w:rsidRPr="004A0B5F">
              <w:rPr>
                <w:rFonts w:ascii="Book Antiqua" w:eastAsia="Times New Roman" w:hAnsi="Book Antiqua" w:cs="Calibri"/>
                <w:b/>
                <w:bCs/>
                <w:color w:val="FFFFFF"/>
                <w:sz w:val="18"/>
                <w:szCs w:val="18"/>
                <w:lang w:eastAsia="es-CR"/>
              </w:rPr>
              <w:t xml:space="preserve"> del informe</w:t>
            </w:r>
          </w:p>
        </w:tc>
        <w:tc>
          <w:tcPr>
            <w:tcW w:w="954" w:type="dxa"/>
            <w:gridSpan w:val="2"/>
            <w:shd w:val="clear" w:color="000000" w:fill="44546A"/>
            <w:vAlign w:val="center"/>
          </w:tcPr>
          <w:p w14:paraId="4A32B96A" w14:textId="77777777" w:rsidR="00E8321A" w:rsidRPr="00A2783B" w:rsidRDefault="00E8321A" w:rsidP="00B56C1A">
            <w:pPr>
              <w:spacing w:after="0" w:line="240" w:lineRule="auto"/>
              <w:jc w:val="center"/>
              <w:rPr>
                <w:rFonts w:ascii="Book Antiqua" w:eastAsia="Times New Roman" w:hAnsi="Book Antiqua" w:cs="Calibri"/>
                <w:b/>
                <w:bCs/>
                <w:color w:val="FFFFFF"/>
                <w:sz w:val="18"/>
                <w:szCs w:val="18"/>
                <w:lang w:eastAsia="es-CR"/>
              </w:rPr>
            </w:pPr>
            <w:r w:rsidRPr="004A0B5F">
              <w:rPr>
                <w:rFonts w:ascii="Book Antiqua" w:eastAsia="Times New Roman" w:hAnsi="Book Antiqua" w:cs="Calibri"/>
                <w:b/>
                <w:bCs/>
                <w:color w:val="FFFFFF"/>
                <w:sz w:val="18"/>
                <w:szCs w:val="18"/>
                <w:lang w:eastAsia="es-CR"/>
              </w:rPr>
              <w:t>Apartado del informe</w:t>
            </w:r>
          </w:p>
        </w:tc>
      </w:tr>
      <w:tr w:rsidR="007E4ADD" w:rsidRPr="00A2783B" w14:paraId="58D37708" w14:textId="77777777" w:rsidTr="00E24FCA">
        <w:trPr>
          <w:gridAfter w:val="1"/>
          <w:wAfter w:w="64" w:type="dxa"/>
          <w:trHeight w:val="813"/>
          <w:jc w:val="center"/>
        </w:trPr>
        <w:tc>
          <w:tcPr>
            <w:tcW w:w="1471" w:type="dxa"/>
            <w:shd w:val="clear" w:color="auto" w:fill="auto"/>
            <w:vAlign w:val="center"/>
            <w:hideMark/>
          </w:tcPr>
          <w:p w14:paraId="7225C8A9" w14:textId="77777777" w:rsidR="00E8321A" w:rsidRPr="00A2783B" w:rsidRDefault="00E8321A" w:rsidP="00B56C1A">
            <w:pPr>
              <w:spacing w:after="0" w:line="240" w:lineRule="auto"/>
              <w:jc w:val="center"/>
              <w:rPr>
                <w:rFonts w:ascii="Book Antiqua" w:eastAsia="Times New Roman" w:hAnsi="Book Antiqua" w:cs="Calibri"/>
                <w:color w:val="000000"/>
                <w:sz w:val="18"/>
                <w:szCs w:val="18"/>
                <w:lang w:eastAsia="es-CR"/>
              </w:rPr>
            </w:pPr>
            <w:r w:rsidRPr="00A2783B">
              <w:rPr>
                <w:rFonts w:ascii="Book Antiqua" w:hAnsi="Book Antiqua" w:cs="Calibri"/>
                <w:color w:val="000000"/>
                <w:sz w:val="18"/>
                <w:szCs w:val="18"/>
              </w:rPr>
              <w:t>Comisiones Institucionales</w:t>
            </w:r>
          </w:p>
        </w:tc>
        <w:tc>
          <w:tcPr>
            <w:tcW w:w="1674" w:type="dxa"/>
            <w:shd w:val="clear" w:color="auto" w:fill="auto"/>
            <w:vAlign w:val="center"/>
            <w:hideMark/>
          </w:tcPr>
          <w:p w14:paraId="2E8FE160" w14:textId="77777777" w:rsidR="00E8321A" w:rsidRPr="00A2783B" w:rsidRDefault="00E8321A" w:rsidP="00B56C1A">
            <w:pPr>
              <w:spacing w:after="0" w:line="240" w:lineRule="auto"/>
              <w:jc w:val="center"/>
              <w:rPr>
                <w:rFonts w:ascii="Book Antiqua" w:eastAsia="Times New Roman" w:hAnsi="Book Antiqua" w:cs="Calibri"/>
                <w:color w:val="000000"/>
                <w:sz w:val="18"/>
                <w:szCs w:val="18"/>
                <w:lang w:eastAsia="es-CR"/>
              </w:rPr>
            </w:pPr>
            <w:r w:rsidRPr="00A2783B">
              <w:rPr>
                <w:rFonts w:ascii="Book Antiqua" w:hAnsi="Book Antiqua" w:cs="Calibri"/>
                <w:color w:val="000000"/>
                <w:sz w:val="18"/>
                <w:szCs w:val="18"/>
              </w:rPr>
              <w:t>1374 COMISION DE LA JURISDICCION DE FAMILIA, NIÑEZ Y ADOLESCENCIA</w:t>
            </w:r>
          </w:p>
        </w:tc>
        <w:tc>
          <w:tcPr>
            <w:tcW w:w="928" w:type="dxa"/>
            <w:shd w:val="clear" w:color="auto" w:fill="auto"/>
            <w:vAlign w:val="center"/>
            <w:hideMark/>
          </w:tcPr>
          <w:p w14:paraId="60C5DB97" w14:textId="77777777" w:rsidR="00E8321A" w:rsidRPr="00A2783B" w:rsidRDefault="00E8321A" w:rsidP="00B56C1A">
            <w:pPr>
              <w:spacing w:after="0" w:line="240" w:lineRule="auto"/>
              <w:jc w:val="center"/>
              <w:rPr>
                <w:rFonts w:ascii="Book Antiqua" w:eastAsia="Times New Roman" w:hAnsi="Book Antiqua" w:cs="Calibri"/>
                <w:color w:val="000000"/>
                <w:sz w:val="18"/>
                <w:szCs w:val="18"/>
                <w:lang w:eastAsia="es-CR"/>
              </w:rPr>
            </w:pPr>
            <w:r w:rsidRPr="00A2783B">
              <w:rPr>
                <w:rFonts w:ascii="Book Antiqua" w:hAnsi="Book Antiqua" w:cs="Calibri"/>
                <w:color w:val="000000"/>
                <w:sz w:val="18"/>
                <w:szCs w:val="18"/>
              </w:rPr>
              <w:t>1374-CF-P01</w:t>
            </w:r>
          </w:p>
        </w:tc>
        <w:tc>
          <w:tcPr>
            <w:tcW w:w="1598" w:type="dxa"/>
            <w:shd w:val="clear" w:color="auto" w:fill="auto"/>
            <w:vAlign w:val="center"/>
            <w:hideMark/>
          </w:tcPr>
          <w:p w14:paraId="21862725" w14:textId="77777777" w:rsidR="00E8321A" w:rsidRPr="00A2783B" w:rsidRDefault="00E8321A" w:rsidP="00B56C1A">
            <w:pPr>
              <w:spacing w:after="0" w:line="240" w:lineRule="auto"/>
              <w:jc w:val="center"/>
              <w:rPr>
                <w:rFonts w:ascii="Book Antiqua" w:eastAsia="Times New Roman" w:hAnsi="Book Antiqua" w:cs="Calibri"/>
                <w:sz w:val="18"/>
                <w:szCs w:val="18"/>
                <w:lang w:eastAsia="es-CR"/>
              </w:rPr>
            </w:pPr>
            <w:r w:rsidRPr="00A2783B">
              <w:rPr>
                <w:rFonts w:ascii="Book Antiqua" w:hAnsi="Book Antiqua" w:cs="Calibri"/>
                <w:color w:val="000000"/>
                <w:sz w:val="18"/>
                <w:szCs w:val="18"/>
              </w:rPr>
              <w:t>Implementación del Código Procesal de Familia</w:t>
            </w:r>
          </w:p>
        </w:tc>
        <w:tc>
          <w:tcPr>
            <w:tcW w:w="2810" w:type="dxa"/>
            <w:shd w:val="clear" w:color="auto" w:fill="auto"/>
            <w:vAlign w:val="center"/>
          </w:tcPr>
          <w:p w14:paraId="32987083" w14:textId="77777777" w:rsidR="00E8321A" w:rsidRPr="00A2783B" w:rsidRDefault="00E8321A" w:rsidP="00EF4E17">
            <w:pPr>
              <w:spacing w:after="0" w:line="240" w:lineRule="auto"/>
              <w:jc w:val="both"/>
              <w:rPr>
                <w:rFonts w:ascii="Book Antiqua" w:eastAsia="Times New Roman" w:hAnsi="Book Antiqua" w:cs="Calibri"/>
                <w:sz w:val="18"/>
                <w:szCs w:val="18"/>
                <w:lang w:eastAsia="es-CR"/>
              </w:rPr>
            </w:pPr>
            <w:r w:rsidRPr="00A2783B">
              <w:rPr>
                <w:rFonts w:ascii="Book Antiqua" w:hAnsi="Book Antiqua" w:cs="Calibri"/>
                <w:color w:val="000000"/>
                <w:sz w:val="18"/>
                <w:szCs w:val="18"/>
              </w:rPr>
              <w:t xml:space="preserve">Producto de la solicitud de cambio del pendiente 28-4-23: </w:t>
            </w:r>
            <w:r w:rsidRPr="00A2783B">
              <w:rPr>
                <w:rFonts w:ascii="Book Antiqua" w:hAnsi="Book Antiqua" w:cs="Calibri"/>
                <w:b/>
                <w:bCs/>
                <w:color w:val="000000"/>
                <w:sz w:val="18"/>
                <w:szCs w:val="18"/>
              </w:rPr>
              <w:t xml:space="preserve">Acta de constitución: </w:t>
            </w:r>
            <w:r w:rsidRPr="00A2783B">
              <w:rPr>
                <w:rFonts w:ascii="Book Antiqua" w:hAnsi="Book Antiqua" w:cs="Calibri"/>
                <w:color w:val="000000"/>
                <w:sz w:val="18"/>
                <w:szCs w:val="18"/>
              </w:rPr>
              <w:t xml:space="preserve">el cronograma es de alto nivel solamente debe incluir los entregables con años o meses de entrega; en recursos del proyecto verificar que este coincidas con los costos del apartado anterior y con el estudio de factibilidad, y plan de gestión, porque en el cuadro se encuentra recurso humano y en el apartado inferior también. </w:t>
            </w:r>
            <w:r w:rsidRPr="00A2783B">
              <w:rPr>
                <w:rFonts w:ascii="Book Antiqua" w:hAnsi="Book Antiqua" w:cs="Calibri"/>
                <w:b/>
                <w:bCs/>
                <w:color w:val="000000"/>
                <w:sz w:val="18"/>
                <w:szCs w:val="18"/>
              </w:rPr>
              <w:t xml:space="preserve">Estudio de factibilidad: </w:t>
            </w:r>
            <w:r w:rsidRPr="00A2783B">
              <w:rPr>
                <w:rFonts w:ascii="Book Antiqua" w:hAnsi="Book Antiqua" w:cs="Calibri"/>
                <w:color w:val="000000"/>
                <w:sz w:val="18"/>
                <w:szCs w:val="18"/>
              </w:rPr>
              <w:t xml:space="preserve"> verificar el costo de inversión el mismo debe coincidir con el acta de constitución, y plan de gestión revisar el monto total; en análisis de costo-beneficio se debe verificar el costo de inversión porque no coincide con el apartado superior; revisar el costo de operación porque el mismo se indica costos que son durante la ejecución del proyecto y no una vez concluido.</w:t>
            </w:r>
          </w:p>
        </w:tc>
        <w:tc>
          <w:tcPr>
            <w:tcW w:w="978" w:type="dxa"/>
            <w:shd w:val="clear" w:color="auto" w:fill="auto"/>
            <w:vAlign w:val="center"/>
          </w:tcPr>
          <w:p w14:paraId="1D2122AA" w14:textId="77777777" w:rsidR="00E8321A" w:rsidRPr="00A2783B" w:rsidRDefault="00E8321A" w:rsidP="00B56C1A">
            <w:pPr>
              <w:spacing w:after="0" w:line="240" w:lineRule="auto"/>
              <w:jc w:val="center"/>
              <w:rPr>
                <w:rFonts w:ascii="Book Antiqua" w:eastAsia="Times New Roman" w:hAnsi="Book Antiqua" w:cs="Calibri"/>
                <w:sz w:val="18"/>
                <w:szCs w:val="18"/>
                <w:lang w:eastAsia="es-CR"/>
              </w:rPr>
            </w:pPr>
            <w:r w:rsidRPr="00A2783B">
              <w:rPr>
                <w:rFonts w:ascii="Book Antiqua" w:hAnsi="Book Antiqua" w:cs="Calibri"/>
                <w:color w:val="000000"/>
                <w:sz w:val="18"/>
                <w:szCs w:val="18"/>
              </w:rPr>
              <w:t>Capítulo 2</w:t>
            </w:r>
          </w:p>
        </w:tc>
        <w:tc>
          <w:tcPr>
            <w:tcW w:w="890" w:type="dxa"/>
            <w:shd w:val="clear" w:color="auto" w:fill="auto"/>
            <w:vAlign w:val="center"/>
          </w:tcPr>
          <w:p w14:paraId="1B3B9BC4" w14:textId="77777777" w:rsidR="00E8321A" w:rsidRPr="00A2783B" w:rsidRDefault="00E8321A" w:rsidP="00B56C1A">
            <w:pPr>
              <w:spacing w:after="0" w:line="240" w:lineRule="auto"/>
              <w:jc w:val="center"/>
              <w:rPr>
                <w:rFonts w:ascii="Book Antiqua" w:eastAsia="Times New Roman" w:hAnsi="Book Antiqua" w:cs="Calibri"/>
                <w:sz w:val="18"/>
                <w:szCs w:val="18"/>
                <w:lang w:eastAsia="es-CR"/>
              </w:rPr>
            </w:pPr>
            <w:r w:rsidRPr="00A2783B">
              <w:rPr>
                <w:rFonts w:ascii="Book Antiqua" w:hAnsi="Book Antiqua" w:cs="Calibri"/>
                <w:color w:val="000000"/>
                <w:sz w:val="18"/>
                <w:szCs w:val="18"/>
              </w:rPr>
              <w:t>2.3</w:t>
            </w:r>
          </w:p>
        </w:tc>
      </w:tr>
      <w:bookmarkEnd w:id="173"/>
    </w:tbl>
    <w:p w14:paraId="438A5D06" w14:textId="77777777" w:rsidR="00E8321A" w:rsidRDefault="00E8321A" w:rsidP="00E8321A">
      <w:pPr>
        <w:spacing w:after="0" w:line="240" w:lineRule="auto"/>
        <w:jc w:val="both"/>
        <w:rPr>
          <w:rFonts w:ascii="Book Antiqua" w:hAnsi="Book Antiqua"/>
          <w:b/>
          <w:sz w:val="24"/>
          <w:szCs w:val="24"/>
        </w:rPr>
      </w:pPr>
    </w:p>
    <w:p w14:paraId="2E1F9755" w14:textId="77777777" w:rsidR="00E8321A" w:rsidRPr="00CD163A" w:rsidRDefault="00E8321A" w:rsidP="00E8321A">
      <w:pPr>
        <w:pStyle w:val="Ttulo2"/>
        <w:spacing w:before="0"/>
        <w:rPr>
          <w:rFonts w:ascii="Book Antiqua" w:hAnsi="Book Antiqua"/>
          <w:b/>
          <w:bCs/>
          <w:color w:val="auto"/>
          <w:sz w:val="24"/>
          <w:szCs w:val="24"/>
        </w:rPr>
      </w:pPr>
      <w:bookmarkStart w:id="174" w:name="_Toc131160611"/>
      <w:bookmarkStart w:id="175" w:name="_Toc138770894"/>
      <w:r w:rsidRPr="00E24FCA">
        <w:rPr>
          <w:rFonts w:ascii="Book Antiqua" w:hAnsi="Book Antiqua"/>
          <w:b/>
          <w:bCs/>
          <w:color w:val="auto"/>
          <w:sz w:val="24"/>
          <w:szCs w:val="24"/>
        </w:rPr>
        <w:t>A la Comisión de la Jurisdicción Agrario y Agroambiental</w:t>
      </w:r>
      <w:bookmarkEnd w:id="174"/>
      <w:bookmarkEnd w:id="175"/>
    </w:p>
    <w:p w14:paraId="0CFD5DCA" w14:textId="77777777" w:rsidR="00E8321A" w:rsidRPr="00174798" w:rsidRDefault="00E8321A" w:rsidP="00E8321A">
      <w:pPr>
        <w:spacing w:after="0" w:line="240" w:lineRule="auto"/>
        <w:jc w:val="both"/>
        <w:rPr>
          <w:rFonts w:ascii="Book Antiqua" w:hAnsi="Book Antiqua"/>
          <w:b/>
          <w:sz w:val="24"/>
          <w:szCs w:val="24"/>
        </w:rPr>
      </w:pPr>
    </w:p>
    <w:p w14:paraId="6F03D3EA" w14:textId="77777777" w:rsidR="00E8321A" w:rsidRDefault="00E8321A" w:rsidP="00EF4E17">
      <w:pPr>
        <w:numPr>
          <w:ilvl w:val="1"/>
          <w:numId w:val="20"/>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Deberá a más tardar el </w:t>
      </w:r>
      <w:r>
        <w:rPr>
          <w:rFonts w:ascii="Book Antiqua" w:hAnsi="Book Antiqua"/>
          <w:b/>
          <w:bCs/>
          <w:sz w:val="24"/>
          <w:szCs w:val="24"/>
        </w:rPr>
        <w:t xml:space="preserve">11 de agosto </w:t>
      </w:r>
      <w:r w:rsidRPr="00174798">
        <w:rPr>
          <w:rFonts w:ascii="Book Antiqua" w:hAnsi="Book Antiqua"/>
          <w:b/>
          <w:bCs/>
          <w:sz w:val="24"/>
          <w:szCs w:val="24"/>
        </w:rPr>
        <w:t>del 2023</w:t>
      </w:r>
      <w:r w:rsidRPr="00174798">
        <w:rPr>
          <w:rFonts w:ascii="Book Antiqua" w:hAnsi="Book Antiqua"/>
          <w:sz w:val="24"/>
          <w:szCs w:val="24"/>
        </w:rPr>
        <w:t xml:space="preserve">, cargar en el sitio de proyecto la atención de las siguientes recomendaciones: </w:t>
      </w:r>
    </w:p>
    <w:tbl>
      <w:tblPr>
        <w:tblW w:w="1020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780"/>
        <w:gridCol w:w="741"/>
        <w:gridCol w:w="1441"/>
        <w:gridCol w:w="2932"/>
        <w:gridCol w:w="1418"/>
        <w:gridCol w:w="911"/>
      </w:tblGrid>
      <w:tr w:rsidR="00020ED9" w:rsidRPr="00377EA1" w14:paraId="3843F6EA" w14:textId="77777777" w:rsidTr="00525928">
        <w:trPr>
          <w:trHeight w:val="300"/>
          <w:tblHeader/>
        </w:trPr>
        <w:tc>
          <w:tcPr>
            <w:tcW w:w="1470" w:type="dxa"/>
            <w:shd w:val="clear" w:color="000000" w:fill="44546A"/>
            <w:noWrap/>
            <w:vAlign w:val="center"/>
            <w:hideMark/>
          </w:tcPr>
          <w:p w14:paraId="00E5A76E" w14:textId="77777777" w:rsidR="00E8321A" w:rsidRPr="00377EA1" w:rsidRDefault="00E8321A" w:rsidP="00B56C1A">
            <w:pPr>
              <w:spacing w:after="0" w:line="240" w:lineRule="auto"/>
              <w:jc w:val="center"/>
              <w:rPr>
                <w:rFonts w:ascii="Book Antiqua" w:eastAsia="Times New Roman" w:hAnsi="Book Antiqua" w:cs="Calibri"/>
                <w:b/>
                <w:bCs/>
                <w:color w:val="FFFFFF"/>
                <w:sz w:val="18"/>
                <w:szCs w:val="18"/>
                <w:lang w:eastAsia="es-CR"/>
              </w:rPr>
            </w:pPr>
            <w:r w:rsidRPr="00377EA1">
              <w:rPr>
                <w:rFonts w:ascii="Book Antiqua" w:eastAsia="Times New Roman" w:hAnsi="Book Antiqua" w:cs="Calibri"/>
                <w:b/>
                <w:bCs/>
                <w:color w:val="FFFFFF"/>
                <w:sz w:val="18"/>
                <w:szCs w:val="18"/>
                <w:lang w:eastAsia="es-CR"/>
              </w:rPr>
              <w:t>Centro de responsabilidad</w:t>
            </w:r>
          </w:p>
        </w:tc>
        <w:tc>
          <w:tcPr>
            <w:tcW w:w="1780" w:type="dxa"/>
            <w:shd w:val="clear" w:color="000000" w:fill="44546A"/>
            <w:noWrap/>
            <w:vAlign w:val="center"/>
            <w:hideMark/>
          </w:tcPr>
          <w:p w14:paraId="0554DE56" w14:textId="77777777" w:rsidR="00E8321A" w:rsidRPr="00377EA1" w:rsidRDefault="00E8321A" w:rsidP="00B56C1A">
            <w:pPr>
              <w:spacing w:after="0" w:line="240" w:lineRule="auto"/>
              <w:jc w:val="center"/>
              <w:rPr>
                <w:rFonts w:ascii="Book Antiqua" w:eastAsia="Times New Roman" w:hAnsi="Book Antiqua" w:cs="Calibri"/>
                <w:b/>
                <w:bCs/>
                <w:color w:val="FFFFFF"/>
                <w:sz w:val="18"/>
                <w:szCs w:val="18"/>
                <w:lang w:eastAsia="es-CR"/>
              </w:rPr>
            </w:pPr>
            <w:r w:rsidRPr="00377EA1">
              <w:rPr>
                <w:rFonts w:ascii="Book Antiqua" w:eastAsia="Times New Roman" w:hAnsi="Book Antiqua" w:cs="Calibri"/>
                <w:b/>
                <w:bCs/>
                <w:color w:val="FFFFFF"/>
                <w:sz w:val="18"/>
                <w:szCs w:val="18"/>
                <w:lang w:eastAsia="es-CR"/>
              </w:rPr>
              <w:t>Oficina Líder</w:t>
            </w:r>
          </w:p>
        </w:tc>
        <w:tc>
          <w:tcPr>
            <w:tcW w:w="741" w:type="dxa"/>
            <w:shd w:val="clear" w:color="000000" w:fill="44546A"/>
            <w:noWrap/>
            <w:vAlign w:val="center"/>
            <w:hideMark/>
          </w:tcPr>
          <w:p w14:paraId="23E245A3" w14:textId="77777777" w:rsidR="00E8321A" w:rsidRPr="00377EA1" w:rsidRDefault="00E8321A" w:rsidP="00B56C1A">
            <w:pPr>
              <w:spacing w:after="0" w:line="240" w:lineRule="auto"/>
              <w:jc w:val="center"/>
              <w:rPr>
                <w:rFonts w:ascii="Book Antiqua" w:eastAsia="Times New Roman" w:hAnsi="Book Antiqua" w:cs="Calibri"/>
                <w:b/>
                <w:bCs/>
                <w:color w:val="FFFFFF"/>
                <w:sz w:val="18"/>
                <w:szCs w:val="18"/>
                <w:lang w:eastAsia="es-CR"/>
              </w:rPr>
            </w:pPr>
            <w:r w:rsidRPr="00377EA1">
              <w:rPr>
                <w:rFonts w:ascii="Book Antiqua" w:eastAsia="Times New Roman" w:hAnsi="Book Antiqua" w:cs="Calibri"/>
                <w:b/>
                <w:bCs/>
                <w:color w:val="FFFFFF"/>
                <w:sz w:val="18"/>
                <w:szCs w:val="18"/>
                <w:lang w:eastAsia="es-CR"/>
              </w:rPr>
              <w:t>Código</w:t>
            </w:r>
          </w:p>
        </w:tc>
        <w:tc>
          <w:tcPr>
            <w:tcW w:w="1441" w:type="dxa"/>
            <w:shd w:val="clear" w:color="000000" w:fill="44546A"/>
            <w:noWrap/>
            <w:vAlign w:val="center"/>
            <w:hideMark/>
          </w:tcPr>
          <w:p w14:paraId="3A964CA0" w14:textId="77777777" w:rsidR="00E8321A" w:rsidRPr="00377EA1" w:rsidRDefault="00E8321A" w:rsidP="00B56C1A">
            <w:pPr>
              <w:spacing w:after="0" w:line="240" w:lineRule="auto"/>
              <w:jc w:val="center"/>
              <w:rPr>
                <w:rFonts w:ascii="Book Antiqua" w:eastAsia="Times New Roman" w:hAnsi="Book Antiqua" w:cs="Calibri"/>
                <w:b/>
                <w:bCs/>
                <w:color w:val="FFFFFF"/>
                <w:sz w:val="18"/>
                <w:szCs w:val="18"/>
                <w:lang w:eastAsia="es-CR"/>
              </w:rPr>
            </w:pPr>
            <w:r w:rsidRPr="00377EA1">
              <w:rPr>
                <w:rFonts w:ascii="Book Antiqua" w:eastAsia="Times New Roman" w:hAnsi="Book Antiqua" w:cs="Calibri"/>
                <w:b/>
                <w:bCs/>
                <w:color w:val="FFFFFF"/>
                <w:sz w:val="18"/>
                <w:szCs w:val="18"/>
                <w:lang w:eastAsia="es-CR"/>
              </w:rPr>
              <w:t>Nombre</w:t>
            </w:r>
          </w:p>
        </w:tc>
        <w:tc>
          <w:tcPr>
            <w:tcW w:w="2932" w:type="dxa"/>
            <w:shd w:val="clear" w:color="000000" w:fill="44546A"/>
            <w:noWrap/>
            <w:vAlign w:val="center"/>
            <w:hideMark/>
          </w:tcPr>
          <w:p w14:paraId="3306587A" w14:textId="77777777" w:rsidR="00E8321A" w:rsidRPr="00377EA1" w:rsidRDefault="00E8321A" w:rsidP="00B56C1A">
            <w:pPr>
              <w:spacing w:after="0" w:line="240" w:lineRule="auto"/>
              <w:jc w:val="center"/>
              <w:rPr>
                <w:rFonts w:ascii="Book Antiqua" w:eastAsia="Times New Roman" w:hAnsi="Book Antiqua" w:cs="Calibri"/>
                <w:b/>
                <w:bCs/>
                <w:color w:val="FFFFFF"/>
                <w:sz w:val="18"/>
                <w:szCs w:val="18"/>
                <w:lang w:eastAsia="es-CR"/>
              </w:rPr>
            </w:pPr>
            <w:r w:rsidRPr="00377EA1">
              <w:rPr>
                <w:rFonts w:ascii="Book Antiqua" w:eastAsia="Times New Roman" w:hAnsi="Book Antiqua" w:cs="Calibri"/>
                <w:b/>
                <w:bCs/>
                <w:color w:val="FFFFFF"/>
                <w:sz w:val="18"/>
                <w:szCs w:val="18"/>
                <w:lang w:eastAsia="es-CR"/>
              </w:rPr>
              <w:t>Recomendación pendiente</w:t>
            </w:r>
          </w:p>
        </w:tc>
        <w:tc>
          <w:tcPr>
            <w:tcW w:w="1418" w:type="dxa"/>
            <w:shd w:val="clear" w:color="000000" w:fill="44546A"/>
            <w:noWrap/>
            <w:vAlign w:val="center"/>
            <w:hideMark/>
          </w:tcPr>
          <w:p w14:paraId="157D00E9" w14:textId="77777777" w:rsidR="00E8321A" w:rsidRPr="00377EA1" w:rsidRDefault="00E8321A" w:rsidP="00B56C1A">
            <w:pPr>
              <w:spacing w:after="0" w:line="240" w:lineRule="auto"/>
              <w:jc w:val="center"/>
              <w:rPr>
                <w:rFonts w:ascii="Book Antiqua" w:eastAsia="Times New Roman" w:hAnsi="Book Antiqua" w:cs="Calibri"/>
                <w:b/>
                <w:bCs/>
                <w:color w:val="FFFFFF"/>
                <w:sz w:val="18"/>
                <w:szCs w:val="18"/>
                <w:lang w:eastAsia="es-CR"/>
              </w:rPr>
            </w:pPr>
            <w:r w:rsidRPr="00377EA1">
              <w:rPr>
                <w:rFonts w:ascii="Book Antiqua" w:eastAsia="Times New Roman" w:hAnsi="Book Antiqua" w:cs="Calibri"/>
                <w:b/>
                <w:bCs/>
                <w:color w:val="FFFFFF"/>
                <w:sz w:val="18"/>
                <w:szCs w:val="18"/>
                <w:lang w:eastAsia="es-CR"/>
              </w:rPr>
              <w:t>Capítulo del informe</w:t>
            </w:r>
          </w:p>
        </w:tc>
        <w:tc>
          <w:tcPr>
            <w:tcW w:w="425" w:type="dxa"/>
            <w:shd w:val="clear" w:color="000000" w:fill="44546A"/>
            <w:noWrap/>
            <w:vAlign w:val="center"/>
            <w:hideMark/>
          </w:tcPr>
          <w:p w14:paraId="7798B425" w14:textId="77777777" w:rsidR="00E8321A" w:rsidRPr="00377EA1" w:rsidRDefault="00E8321A" w:rsidP="00B56C1A">
            <w:pPr>
              <w:spacing w:after="0" w:line="240" w:lineRule="auto"/>
              <w:jc w:val="center"/>
              <w:rPr>
                <w:rFonts w:ascii="Book Antiqua" w:eastAsia="Times New Roman" w:hAnsi="Book Antiqua" w:cs="Calibri"/>
                <w:b/>
                <w:bCs/>
                <w:color w:val="FFFFFF"/>
                <w:sz w:val="18"/>
                <w:szCs w:val="18"/>
                <w:lang w:eastAsia="es-CR"/>
              </w:rPr>
            </w:pPr>
            <w:r w:rsidRPr="00377EA1">
              <w:rPr>
                <w:rFonts w:ascii="Book Antiqua" w:eastAsia="Times New Roman" w:hAnsi="Book Antiqua" w:cs="Calibri"/>
                <w:b/>
                <w:bCs/>
                <w:color w:val="FFFFFF"/>
                <w:sz w:val="18"/>
                <w:szCs w:val="18"/>
                <w:lang w:eastAsia="es-CR"/>
              </w:rPr>
              <w:t>Apartado del informe</w:t>
            </w:r>
          </w:p>
        </w:tc>
      </w:tr>
      <w:tr w:rsidR="00E24FCA" w:rsidRPr="00377EA1" w14:paraId="30289D1A" w14:textId="77777777" w:rsidTr="00525928">
        <w:trPr>
          <w:trHeight w:val="330"/>
        </w:trPr>
        <w:tc>
          <w:tcPr>
            <w:tcW w:w="1470" w:type="dxa"/>
            <w:vMerge w:val="restart"/>
            <w:shd w:val="clear" w:color="auto" w:fill="auto"/>
            <w:noWrap/>
            <w:vAlign w:val="center"/>
            <w:hideMark/>
          </w:tcPr>
          <w:p w14:paraId="22643212"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r w:rsidRPr="00377EA1">
              <w:rPr>
                <w:rFonts w:ascii="Book Antiqua" w:eastAsia="Times New Roman" w:hAnsi="Book Antiqua" w:cs="Calibri"/>
                <w:color w:val="000000"/>
                <w:sz w:val="18"/>
                <w:szCs w:val="18"/>
                <w:lang w:eastAsia="es-CR"/>
              </w:rPr>
              <w:t>Comisiones Institucionales</w:t>
            </w:r>
          </w:p>
        </w:tc>
        <w:tc>
          <w:tcPr>
            <w:tcW w:w="1780" w:type="dxa"/>
            <w:vMerge w:val="restart"/>
            <w:shd w:val="clear" w:color="auto" w:fill="auto"/>
            <w:noWrap/>
            <w:vAlign w:val="center"/>
            <w:hideMark/>
          </w:tcPr>
          <w:p w14:paraId="78E1A5D1"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r w:rsidRPr="00377EA1">
              <w:rPr>
                <w:rFonts w:ascii="Book Antiqua" w:eastAsia="Times New Roman" w:hAnsi="Book Antiqua" w:cs="Calibri"/>
                <w:color w:val="000000"/>
                <w:sz w:val="18"/>
                <w:szCs w:val="18"/>
                <w:lang w:eastAsia="es-CR"/>
              </w:rPr>
              <w:t>4000 COMISION DE LA JURISDICCION AGRARIO Y AGROAMBIENTAL</w:t>
            </w:r>
          </w:p>
        </w:tc>
        <w:tc>
          <w:tcPr>
            <w:tcW w:w="741" w:type="dxa"/>
            <w:vMerge w:val="restart"/>
            <w:shd w:val="clear" w:color="auto" w:fill="auto"/>
            <w:noWrap/>
            <w:vAlign w:val="center"/>
            <w:hideMark/>
          </w:tcPr>
          <w:p w14:paraId="03A3357F"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r w:rsidRPr="00377EA1">
              <w:rPr>
                <w:rFonts w:ascii="Book Antiqua" w:eastAsia="Times New Roman" w:hAnsi="Book Antiqua" w:cs="Calibri"/>
                <w:color w:val="000000"/>
                <w:sz w:val="18"/>
                <w:szCs w:val="18"/>
                <w:lang w:eastAsia="es-CR"/>
              </w:rPr>
              <w:t>4000-CA-P01</w:t>
            </w:r>
          </w:p>
        </w:tc>
        <w:tc>
          <w:tcPr>
            <w:tcW w:w="1441" w:type="dxa"/>
            <w:vMerge w:val="restart"/>
            <w:shd w:val="clear" w:color="auto" w:fill="auto"/>
            <w:noWrap/>
            <w:vAlign w:val="center"/>
            <w:hideMark/>
          </w:tcPr>
          <w:p w14:paraId="2747F246"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r w:rsidRPr="00377EA1">
              <w:rPr>
                <w:rFonts w:ascii="Book Antiqua" w:eastAsia="Times New Roman" w:hAnsi="Book Antiqua" w:cs="Calibri"/>
                <w:color w:val="000000"/>
                <w:sz w:val="18"/>
                <w:szCs w:val="18"/>
                <w:lang w:eastAsia="es-CR"/>
              </w:rPr>
              <w:t>Implementación del Código Procesal Agrario (Comisión Agraria)</w:t>
            </w:r>
          </w:p>
        </w:tc>
        <w:tc>
          <w:tcPr>
            <w:tcW w:w="2932" w:type="dxa"/>
            <w:shd w:val="clear" w:color="auto" w:fill="auto"/>
            <w:noWrap/>
            <w:vAlign w:val="center"/>
            <w:hideMark/>
          </w:tcPr>
          <w:p w14:paraId="0E26368F" w14:textId="77777777" w:rsidR="00E8321A" w:rsidRPr="00377EA1" w:rsidRDefault="00E8321A" w:rsidP="00EF4E17">
            <w:pPr>
              <w:spacing w:after="0" w:line="240" w:lineRule="auto"/>
              <w:jc w:val="both"/>
              <w:rPr>
                <w:rFonts w:ascii="Book Antiqua" w:eastAsia="Times New Roman" w:hAnsi="Book Antiqua" w:cs="Calibri"/>
                <w:color w:val="000000"/>
                <w:sz w:val="18"/>
                <w:szCs w:val="18"/>
                <w:lang w:eastAsia="es-CR"/>
              </w:rPr>
            </w:pPr>
            <w:r w:rsidRPr="00377EA1">
              <w:rPr>
                <w:rFonts w:ascii="Book Antiqua" w:eastAsia="Times New Roman" w:hAnsi="Book Antiqua" w:cs="Calibri"/>
                <w:color w:val="000000"/>
                <w:sz w:val="18"/>
                <w:szCs w:val="18"/>
                <w:lang w:eastAsia="es-CR"/>
              </w:rPr>
              <w:t>Pendiente corrección de diagrama de la EDT y desglose de la EDT para que coincida con cronograma en plan de gestión. Además, pendiente actualizar acta de constitución, plan de gestión y estudio de factibilidad producto de la solicitud de cambio</w:t>
            </w:r>
          </w:p>
        </w:tc>
        <w:tc>
          <w:tcPr>
            <w:tcW w:w="1418" w:type="dxa"/>
            <w:shd w:val="clear" w:color="auto" w:fill="auto"/>
            <w:noWrap/>
            <w:vAlign w:val="center"/>
            <w:hideMark/>
          </w:tcPr>
          <w:p w14:paraId="6B07B83B"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r w:rsidRPr="00377EA1">
              <w:rPr>
                <w:rFonts w:ascii="Book Antiqua" w:eastAsia="Times New Roman" w:hAnsi="Book Antiqua" w:cs="Calibri"/>
                <w:color w:val="000000"/>
                <w:sz w:val="18"/>
                <w:szCs w:val="18"/>
                <w:lang w:eastAsia="es-CR"/>
              </w:rPr>
              <w:t>Capítulo 1</w:t>
            </w:r>
          </w:p>
        </w:tc>
        <w:tc>
          <w:tcPr>
            <w:tcW w:w="425" w:type="dxa"/>
            <w:shd w:val="clear" w:color="auto" w:fill="auto"/>
            <w:noWrap/>
            <w:vAlign w:val="center"/>
            <w:hideMark/>
          </w:tcPr>
          <w:p w14:paraId="223396B0"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r w:rsidRPr="00377EA1">
              <w:rPr>
                <w:rFonts w:ascii="Book Antiqua" w:eastAsia="Times New Roman" w:hAnsi="Book Antiqua" w:cs="Calibri"/>
                <w:color w:val="000000"/>
                <w:sz w:val="18"/>
                <w:szCs w:val="18"/>
                <w:lang w:eastAsia="es-CR"/>
              </w:rPr>
              <w:t>1.6</w:t>
            </w:r>
          </w:p>
        </w:tc>
      </w:tr>
      <w:tr w:rsidR="00E24FCA" w:rsidRPr="00377EA1" w14:paraId="2EB5B08D" w14:textId="77777777" w:rsidTr="00525928">
        <w:trPr>
          <w:trHeight w:val="330"/>
        </w:trPr>
        <w:tc>
          <w:tcPr>
            <w:tcW w:w="1470" w:type="dxa"/>
            <w:vMerge/>
            <w:shd w:val="clear" w:color="auto" w:fill="auto"/>
            <w:vAlign w:val="center"/>
            <w:hideMark/>
          </w:tcPr>
          <w:p w14:paraId="211FCD02"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780" w:type="dxa"/>
            <w:vMerge/>
            <w:shd w:val="clear" w:color="auto" w:fill="auto"/>
            <w:vAlign w:val="center"/>
            <w:hideMark/>
          </w:tcPr>
          <w:p w14:paraId="5C08820B"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vMerge/>
            <w:shd w:val="clear" w:color="auto" w:fill="auto"/>
            <w:vAlign w:val="center"/>
            <w:hideMark/>
          </w:tcPr>
          <w:p w14:paraId="4D71C24D"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441" w:type="dxa"/>
            <w:vMerge/>
            <w:shd w:val="clear" w:color="auto" w:fill="auto"/>
            <w:vAlign w:val="center"/>
            <w:hideMark/>
          </w:tcPr>
          <w:p w14:paraId="2037E9CD"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2932" w:type="dxa"/>
            <w:shd w:val="clear" w:color="auto" w:fill="auto"/>
            <w:noWrap/>
            <w:vAlign w:val="center"/>
            <w:hideMark/>
          </w:tcPr>
          <w:p w14:paraId="1C11318B"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r w:rsidRPr="00377EA1">
              <w:rPr>
                <w:rFonts w:ascii="Book Antiqua" w:eastAsia="Times New Roman" w:hAnsi="Book Antiqua" w:cs="Calibri"/>
                <w:color w:val="000000"/>
                <w:sz w:val="18"/>
                <w:szCs w:val="18"/>
                <w:lang w:eastAsia="es-CR"/>
              </w:rPr>
              <w:t>Pendiente aprobación de informe de avance</w:t>
            </w:r>
          </w:p>
        </w:tc>
        <w:tc>
          <w:tcPr>
            <w:tcW w:w="1418" w:type="dxa"/>
            <w:shd w:val="clear" w:color="auto" w:fill="auto"/>
            <w:noWrap/>
            <w:vAlign w:val="center"/>
            <w:hideMark/>
          </w:tcPr>
          <w:p w14:paraId="5AA673B1"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r w:rsidRPr="00377EA1">
              <w:rPr>
                <w:rFonts w:ascii="Book Antiqua" w:eastAsia="Times New Roman" w:hAnsi="Book Antiqua" w:cs="Calibri"/>
                <w:color w:val="000000"/>
                <w:sz w:val="18"/>
                <w:szCs w:val="18"/>
                <w:lang w:eastAsia="es-CR"/>
              </w:rPr>
              <w:t>Capítulo 2</w:t>
            </w:r>
          </w:p>
        </w:tc>
        <w:tc>
          <w:tcPr>
            <w:tcW w:w="425" w:type="dxa"/>
            <w:shd w:val="clear" w:color="auto" w:fill="auto"/>
            <w:noWrap/>
            <w:vAlign w:val="center"/>
            <w:hideMark/>
          </w:tcPr>
          <w:p w14:paraId="3EB1311B"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r w:rsidRPr="00377EA1">
              <w:rPr>
                <w:rFonts w:ascii="Book Antiqua" w:eastAsia="Times New Roman" w:hAnsi="Book Antiqua" w:cs="Calibri"/>
                <w:color w:val="000000"/>
                <w:sz w:val="18"/>
                <w:szCs w:val="18"/>
                <w:lang w:eastAsia="es-CR"/>
              </w:rPr>
              <w:t>2.3</w:t>
            </w:r>
          </w:p>
        </w:tc>
      </w:tr>
      <w:tr w:rsidR="00E24FCA" w:rsidRPr="00377EA1" w14:paraId="28990C7C" w14:textId="77777777" w:rsidTr="00525928">
        <w:trPr>
          <w:trHeight w:val="330"/>
        </w:trPr>
        <w:tc>
          <w:tcPr>
            <w:tcW w:w="1470" w:type="dxa"/>
            <w:vMerge/>
            <w:shd w:val="clear" w:color="auto" w:fill="auto"/>
            <w:vAlign w:val="center"/>
            <w:hideMark/>
          </w:tcPr>
          <w:p w14:paraId="0B42DF9A"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780" w:type="dxa"/>
            <w:vMerge/>
            <w:shd w:val="clear" w:color="auto" w:fill="auto"/>
            <w:vAlign w:val="center"/>
            <w:hideMark/>
          </w:tcPr>
          <w:p w14:paraId="1F88CA46"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vMerge/>
            <w:shd w:val="clear" w:color="auto" w:fill="auto"/>
            <w:vAlign w:val="center"/>
            <w:hideMark/>
          </w:tcPr>
          <w:p w14:paraId="5DC4A32A"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441" w:type="dxa"/>
            <w:vMerge/>
            <w:shd w:val="clear" w:color="auto" w:fill="auto"/>
            <w:vAlign w:val="center"/>
            <w:hideMark/>
          </w:tcPr>
          <w:p w14:paraId="5BB463E3"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2932" w:type="dxa"/>
            <w:shd w:val="clear" w:color="auto" w:fill="auto"/>
            <w:noWrap/>
            <w:vAlign w:val="center"/>
            <w:hideMark/>
          </w:tcPr>
          <w:p w14:paraId="3268EF4E"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r w:rsidRPr="00377EA1">
              <w:rPr>
                <w:rFonts w:ascii="Book Antiqua" w:eastAsia="Times New Roman" w:hAnsi="Book Antiqua" w:cs="Calibri"/>
                <w:color w:val="000000"/>
                <w:sz w:val="18"/>
                <w:szCs w:val="18"/>
                <w:lang w:eastAsia="es-CR"/>
              </w:rPr>
              <w:t>Pendiente aprobación de solicitud de cambio por parte del director/ Administrador del proyecto</w:t>
            </w:r>
          </w:p>
        </w:tc>
        <w:tc>
          <w:tcPr>
            <w:tcW w:w="1418" w:type="dxa"/>
            <w:shd w:val="clear" w:color="auto" w:fill="auto"/>
            <w:noWrap/>
            <w:vAlign w:val="center"/>
            <w:hideMark/>
          </w:tcPr>
          <w:p w14:paraId="7EB15621"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r w:rsidRPr="00377EA1">
              <w:rPr>
                <w:rFonts w:ascii="Book Antiqua" w:eastAsia="Times New Roman" w:hAnsi="Book Antiqua" w:cs="Calibri"/>
                <w:color w:val="000000"/>
                <w:sz w:val="18"/>
                <w:szCs w:val="18"/>
                <w:lang w:eastAsia="es-CR"/>
              </w:rPr>
              <w:t>Capítulo 2</w:t>
            </w:r>
          </w:p>
        </w:tc>
        <w:tc>
          <w:tcPr>
            <w:tcW w:w="425" w:type="dxa"/>
            <w:shd w:val="clear" w:color="auto" w:fill="auto"/>
            <w:noWrap/>
            <w:vAlign w:val="center"/>
            <w:hideMark/>
          </w:tcPr>
          <w:p w14:paraId="7442252C"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r w:rsidRPr="00377EA1">
              <w:rPr>
                <w:rFonts w:ascii="Book Antiqua" w:eastAsia="Times New Roman" w:hAnsi="Book Antiqua" w:cs="Calibri"/>
                <w:color w:val="000000"/>
                <w:sz w:val="18"/>
                <w:szCs w:val="18"/>
                <w:lang w:eastAsia="es-CR"/>
              </w:rPr>
              <w:t>2.3</w:t>
            </w:r>
          </w:p>
        </w:tc>
      </w:tr>
      <w:tr w:rsidR="00E24FCA" w:rsidRPr="00377EA1" w14:paraId="57D30B71" w14:textId="77777777" w:rsidTr="00525928">
        <w:trPr>
          <w:trHeight w:val="330"/>
        </w:trPr>
        <w:tc>
          <w:tcPr>
            <w:tcW w:w="1470" w:type="dxa"/>
            <w:vMerge/>
            <w:shd w:val="clear" w:color="auto" w:fill="auto"/>
            <w:vAlign w:val="center"/>
            <w:hideMark/>
          </w:tcPr>
          <w:p w14:paraId="1280C27F"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780" w:type="dxa"/>
            <w:vMerge/>
            <w:shd w:val="clear" w:color="auto" w:fill="auto"/>
            <w:vAlign w:val="center"/>
            <w:hideMark/>
          </w:tcPr>
          <w:p w14:paraId="70B2469E"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vMerge/>
            <w:shd w:val="clear" w:color="auto" w:fill="auto"/>
            <w:vAlign w:val="center"/>
            <w:hideMark/>
          </w:tcPr>
          <w:p w14:paraId="024C1C5B"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441" w:type="dxa"/>
            <w:vMerge/>
            <w:shd w:val="clear" w:color="auto" w:fill="auto"/>
            <w:vAlign w:val="center"/>
            <w:hideMark/>
          </w:tcPr>
          <w:p w14:paraId="3CE87366"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2932" w:type="dxa"/>
            <w:shd w:val="clear" w:color="auto" w:fill="auto"/>
            <w:noWrap/>
            <w:vAlign w:val="center"/>
            <w:hideMark/>
          </w:tcPr>
          <w:p w14:paraId="3C9FED91" w14:textId="77777777" w:rsidR="00E8321A" w:rsidRPr="00377EA1" w:rsidRDefault="00E8321A" w:rsidP="00E24FCA">
            <w:pPr>
              <w:spacing w:after="0" w:line="240" w:lineRule="auto"/>
              <w:jc w:val="both"/>
              <w:rPr>
                <w:rFonts w:ascii="Book Antiqua" w:eastAsia="Times New Roman" w:hAnsi="Book Antiqua" w:cs="Calibri"/>
                <w:color w:val="000000"/>
                <w:sz w:val="18"/>
                <w:szCs w:val="18"/>
                <w:lang w:eastAsia="es-CR"/>
              </w:rPr>
            </w:pPr>
            <w:r w:rsidRPr="00377EA1">
              <w:rPr>
                <w:rFonts w:ascii="Book Antiqua" w:eastAsia="Times New Roman" w:hAnsi="Book Antiqua" w:cs="Calibri"/>
                <w:color w:val="000000"/>
                <w:sz w:val="18"/>
                <w:szCs w:val="18"/>
                <w:lang w:eastAsia="es-CR"/>
              </w:rPr>
              <w:t>En la solicitud de cambio se menciona un cambio en los roles; pero en este no se visualiza el cambio de líder, ni el administrador; además es importante que en estos roles si se coloque el nombre de la persona encargada del mismo.</w:t>
            </w:r>
          </w:p>
        </w:tc>
        <w:tc>
          <w:tcPr>
            <w:tcW w:w="1418" w:type="dxa"/>
            <w:shd w:val="clear" w:color="auto" w:fill="auto"/>
            <w:noWrap/>
            <w:vAlign w:val="center"/>
            <w:hideMark/>
          </w:tcPr>
          <w:p w14:paraId="5E69B887"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r w:rsidRPr="00377EA1">
              <w:rPr>
                <w:rFonts w:ascii="Book Antiqua" w:eastAsia="Times New Roman" w:hAnsi="Book Antiqua" w:cs="Calibri"/>
                <w:color w:val="000000"/>
                <w:sz w:val="18"/>
                <w:szCs w:val="18"/>
                <w:lang w:eastAsia="es-CR"/>
              </w:rPr>
              <w:t>Capítulo 2</w:t>
            </w:r>
          </w:p>
        </w:tc>
        <w:tc>
          <w:tcPr>
            <w:tcW w:w="425" w:type="dxa"/>
            <w:shd w:val="clear" w:color="auto" w:fill="auto"/>
            <w:noWrap/>
            <w:vAlign w:val="center"/>
            <w:hideMark/>
          </w:tcPr>
          <w:p w14:paraId="18D8FF9E"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r w:rsidRPr="00377EA1">
              <w:rPr>
                <w:rFonts w:ascii="Book Antiqua" w:eastAsia="Times New Roman" w:hAnsi="Book Antiqua" w:cs="Calibri"/>
                <w:color w:val="000000"/>
                <w:sz w:val="18"/>
                <w:szCs w:val="18"/>
                <w:lang w:eastAsia="es-CR"/>
              </w:rPr>
              <w:t>2.3</w:t>
            </w:r>
          </w:p>
        </w:tc>
      </w:tr>
      <w:tr w:rsidR="00E24FCA" w:rsidRPr="00377EA1" w14:paraId="3F3057EC" w14:textId="77777777" w:rsidTr="00525928">
        <w:trPr>
          <w:trHeight w:val="330"/>
        </w:trPr>
        <w:tc>
          <w:tcPr>
            <w:tcW w:w="1470" w:type="dxa"/>
            <w:vMerge/>
            <w:shd w:val="clear" w:color="auto" w:fill="auto"/>
            <w:vAlign w:val="center"/>
            <w:hideMark/>
          </w:tcPr>
          <w:p w14:paraId="566ACCFC"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780" w:type="dxa"/>
            <w:vMerge/>
            <w:shd w:val="clear" w:color="auto" w:fill="auto"/>
            <w:vAlign w:val="center"/>
            <w:hideMark/>
          </w:tcPr>
          <w:p w14:paraId="5A46BEB4"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vMerge/>
            <w:shd w:val="clear" w:color="auto" w:fill="auto"/>
            <w:vAlign w:val="center"/>
            <w:hideMark/>
          </w:tcPr>
          <w:p w14:paraId="670EF374"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441" w:type="dxa"/>
            <w:vMerge/>
            <w:shd w:val="clear" w:color="auto" w:fill="auto"/>
            <w:vAlign w:val="center"/>
            <w:hideMark/>
          </w:tcPr>
          <w:p w14:paraId="439E90D7"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2932" w:type="dxa"/>
            <w:shd w:val="clear" w:color="auto" w:fill="auto"/>
            <w:noWrap/>
            <w:vAlign w:val="center"/>
            <w:hideMark/>
          </w:tcPr>
          <w:p w14:paraId="352770EE"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377EA1">
              <w:rPr>
                <w:rFonts w:ascii="Book Antiqua" w:eastAsia="Times New Roman" w:hAnsi="Book Antiqua" w:cs="Calibri"/>
                <w:color w:val="000000"/>
                <w:sz w:val="18"/>
                <w:szCs w:val="18"/>
                <w:lang w:eastAsia="es-CR"/>
              </w:rPr>
              <w:t xml:space="preserve">Producto de la solicitud de cambio del pendiente 15-5-23: </w:t>
            </w:r>
          </w:p>
          <w:p w14:paraId="452438B9"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377EA1">
              <w:rPr>
                <w:rFonts w:ascii="Book Antiqua" w:eastAsia="Times New Roman" w:hAnsi="Book Antiqua" w:cs="Calibri"/>
                <w:b/>
                <w:bCs/>
                <w:color w:val="000000"/>
                <w:sz w:val="18"/>
                <w:szCs w:val="18"/>
                <w:lang w:eastAsia="es-CR"/>
              </w:rPr>
              <w:t>Estudio de factibilidad:</w:t>
            </w:r>
            <w:r w:rsidRPr="00377EA1">
              <w:rPr>
                <w:rFonts w:ascii="Book Antiqua" w:eastAsia="Times New Roman" w:hAnsi="Book Antiqua" w:cs="Calibri"/>
                <w:color w:val="000000"/>
                <w:sz w:val="18"/>
                <w:szCs w:val="18"/>
                <w:lang w:eastAsia="es-CR"/>
              </w:rPr>
              <w:t xml:space="preserve"> en apartado de Planteamiento inicial del proyecto: en este apartado se deben indicar 3 alternativas de solución del problema o la mejora y porque se selecciona la misma; costo de inversión se debe verificar y debe coincidir con plan de gestión y acta de constitución; el costo de operación corresponde a los costos una vez finalizados en proyecto; el tiempo estimado se debe revisar no coincide con cronograma; análisis costo-beneficio se debe verificar si se varia el costo de inversión. </w:t>
            </w:r>
          </w:p>
          <w:p w14:paraId="19A0D804"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377EA1">
              <w:rPr>
                <w:rFonts w:ascii="Book Antiqua" w:eastAsia="Times New Roman" w:hAnsi="Book Antiqua" w:cs="Calibri"/>
                <w:b/>
                <w:bCs/>
                <w:color w:val="000000"/>
                <w:sz w:val="18"/>
                <w:szCs w:val="18"/>
                <w:lang w:eastAsia="es-CR"/>
              </w:rPr>
              <w:t>Acta de constitución</w:t>
            </w:r>
            <w:r w:rsidRPr="00377EA1">
              <w:rPr>
                <w:rFonts w:ascii="Book Antiqua" w:eastAsia="Times New Roman" w:hAnsi="Book Antiqua" w:cs="Calibri"/>
                <w:color w:val="000000"/>
                <w:sz w:val="18"/>
                <w:szCs w:val="18"/>
                <w:lang w:eastAsia="es-CR"/>
              </w:rPr>
              <w:t xml:space="preserve">: (Se requiere que se realice en el formulario de la metodología 2) fecha de finalización no coincide con cronograma; costo se debe coincidir con plan de gestión y estudio de factibilidad; el tiempo también lo deben de verificar; cronograma general es importante que se inserte un cronograma de alto nivel como se menciona en el formulario de la metodología 2; recursos del proyecto deben coincidir con plan de gestión y estudio de factibilidad. </w:t>
            </w:r>
          </w:p>
          <w:p w14:paraId="4A8BDDE1" w14:textId="77777777" w:rsidR="00E8321A" w:rsidRPr="00377EA1" w:rsidRDefault="00E8321A" w:rsidP="00E24FCA">
            <w:pPr>
              <w:spacing w:after="0" w:line="240" w:lineRule="auto"/>
              <w:jc w:val="both"/>
              <w:rPr>
                <w:rFonts w:ascii="Book Antiqua" w:eastAsia="Times New Roman" w:hAnsi="Book Antiqua" w:cs="Calibri"/>
                <w:color w:val="000000"/>
                <w:sz w:val="18"/>
                <w:szCs w:val="18"/>
                <w:lang w:eastAsia="es-CR"/>
              </w:rPr>
            </w:pPr>
            <w:r w:rsidRPr="00377EA1">
              <w:rPr>
                <w:rFonts w:ascii="Book Antiqua" w:eastAsia="Times New Roman" w:hAnsi="Book Antiqua" w:cs="Calibri"/>
                <w:b/>
                <w:bCs/>
                <w:color w:val="000000"/>
                <w:sz w:val="18"/>
                <w:szCs w:val="18"/>
                <w:lang w:eastAsia="es-CR"/>
              </w:rPr>
              <w:t>Plan de gestión:</w:t>
            </w:r>
            <w:r w:rsidRPr="00377EA1">
              <w:rPr>
                <w:rFonts w:ascii="Book Antiqua" w:eastAsia="Times New Roman" w:hAnsi="Book Antiqua" w:cs="Calibri"/>
                <w:color w:val="000000"/>
                <w:sz w:val="18"/>
                <w:szCs w:val="18"/>
                <w:lang w:eastAsia="es-CR"/>
              </w:rPr>
              <w:t xml:space="preserve"> el organigrama debe coincidir con las modificaciones solicitadas; roles y responsabilidades se debe </w:t>
            </w:r>
            <w:r w:rsidRPr="00377EA1">
              <w:rPr>
                <w:rFonts w:ascii="Book Antiqua" w:eastAsia="Times New Roman" w:hAnsi="Book Antiqua" w:cs="Calibri"/>
                <w:color w:val="000000"/>
                <w:sz w:val="18"/>
                <w:szCs w:val="18"/>
                <w:lang w:eastAsia="es-CR"/>
              </w:rPr>
              <w:lastRenderedPageBreak/>
              <w:t>actualizar; detalle de los entregables el diagrama y el cuadro se debe actualizar para coincidir con cronograma; cronograma se debe insertar en PDF y descargado del Project; el presupuesto debe coincidir con acta de constitución y estudio de factibilidad;</w:t>
            </w:r>
          </w:p>
        </w:tc>
        <w:tc>
          <w:tcPr>
            <w:tcW w:w="1418" w:type="dxa"/>
            <w:shd w:val="clear" w:color="auto" w:fill="auto"/>
            <w:noWrap/>
            <w:vAlign w:val="center"/>
            <w:hideMark/>
          </w:tcPr>
          <w:p w14:paraId="72CBE511"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r w:rsidRPr="00377EA1">
              <w:rPr>
                <w:rFonts w:ascii="Book Antiqua" w:eastAsia="Times New Roman" w:hAnsi="Book Antiqua" w:cs="Calibri"/>
                <w:color w:val="000000"/>
                <w:sz w:val="18"/>
                <w:szCs w:val="18"/>
                <w:lang w:eastAsia="es-CR"/>
              </w:rPr>
              <w:lastRenderedPageBreak/>
              <w:t>Capítulo 2</w:t>
            </w:r>
          </w:p>
        </w:tc>
        <w:tc>
          <w:tcPr>
            <w:tcW w:w="425" w:type="dxa"/>
            <w:shd w:val="clear" w:color="auto" w:fill="auto"/>
            <w:noWrap/>
            <w:vAlign w:val="center"/>
            <w:hideMark/>
          </w:tcPr>
          <w:p w14:paraId="131F9F56" w14:textId="77777777" w:rsidR="00E8321A" w:rsidRPr="00377EA1" w:rsidRDefault="00E8321A" w:rsidP="00B56C1A">
            <w:pPr>
              <w:spacing w:after="0" w:line="240" w:lineRule="auto"/>
              <w:jc w:val="center"/>
              <w:rPr>
                <w:rFonts w:ascii="Book Antiqua" w:eastAsia="Times New Roman" w:hAnsi="Book Antiqua" w:cs="Calibri"/>
                <w:color w:val="000000"/>
                <w:sz w:val="18"/>
                <w:szCs w:val="18"/>
                <w:lang w:eastAsia="es-CR"/>
              </w:rPr>
            </w:pPr>
            <w:r w:rsidRPr="00377EA1">
              <w:rPr>
                <w:rFonts w:ascii="Book Antiqua" w:eastAsia="Times New Roman" w:hAnsi="Book Antiqua" w:cs="Calibri"/>
                <w:color w:val="000000"/>
                <w:sz w:val="18"/>
                <w:szCs w:val="18"/>
                <w:lang w:eastAsia="es-CR"/>
              </w:rPr>
              <w:t>2.3</w:t>
            </w:r>
          </w:p>
        </w:tc>
      </w:tr>
    </w:tbl>
    <w:p w14:paraId="3CA9BC9F" w14:textId="77777777" w:rsidR="00E8321A" w:rsidRDefault="00E8321A" w:rsidP="00E8321A">
      <w:pPr>
        <w:spacing w:after="0" w:line="240" w:lineRule="auto"/>
        <w:jc w:val="both"/>
        <w:rPr>
          <w:rFonts w:ascii="Book Antiqua" w:hAnsi="Book Antiqua"/>
          <w:b/>
          <w:sz w:val="24"/>
          <w:szCs w:val="24"/>
          <w:highlight w:val="yellow"/>
        </w:rPr>
      </w:pPr>
    </w:p>
    <w:p w14:paraId="56B5E8F7" w14:textId="77777777" w:rsidR="00E8321A" w:rsidRPr="00294FCD" w:rsidRDefault="00E8321A" w:rsidP="00E8321A">
      <w:pPr>
        <w:pStyle w:val="Ttulo2"/>
        <w:spacing w:before="0"/>
        <w:rPr>
          <w:rFonts w:ascii="Book Antiqua" w:hAnsi="Book Antiqua"/>
          <w:b/>
          <w:bCs/>
          <w:color w:val="auto"/>
          <w:sz w:val="24"/>
          <w:szCs w:val="24"/>
        </w:rPr>
      </w:pPr>
      <w:bookmarkStart w:id="176" w:name="_Toc131160612"/>
      <w:bookmarkStart w:id="177" w:name="_Toc138770895"/>
      <w:r w:rsidRPr="00294FCD">
        <w:rPr>
          <w:rFonts w:ascii="Book Antiqua" w:hAnsi="Book Antiqua"/>
          <w:b/>
          <w:bCs/>
          <w:color w:val="auto"/>
          <w:sz w:val="24"/>
          <w:szCs w:val="24"/>
        </w:rPr>
        <w:t>A la Comisión de Acceso a la Justicia</w:t>
      </w:r>
      <w:bookmarkEnd w:id="176"/>
      <w:bookmarkEnd w:id="177"/>
    </w:p>
    <w:p w14:paraId="1BB73754" w14:textId="77777777" w:rsidR="00E8321A" w:rsidRPr="00174798" w:rsidRDefault="00E8321A" w:rsidP="00E8321A">
      <w:pPr>
        <w:spacing w:after="0"/>
        <w:rPr>
          <w:rFonts w:ascii="Book Antiqua" w:hAnsi="Book Antiqua"/>
          <w:b/>
          <w:sz w:val="24"/>
          <w:szCs w:val="24"/>
        </w:rPr>
      </w:pPr>
    </w:p>
    <w:p w14:paraId="5ED2650F" w14:textId="77777777" w:rsidR="00E8321A" w:rsidRPr="00174798" w:rsidRDefault="00E8321A" w:rsidP="00EF4E17">
      <w:pPr>
        <w:numPr>
          <w:ilvl w:val="1"/>
          <w:numId w:val="20"/>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Se requiere a más tardar el </w:t>
      </w:r>
      <w:r>
        <w:rPr>
          <w:rFonts w:ascii="Book Antiqua" w:hAnsi="Book Antiqua"/>
          <w:b/>
          <w:bCs/>
          <w:sz w:val="24"/>
          <w:szCs w:val="24"/>
        </w:rPr>
        <w:t xml:space="preserve">11 de agosto </w:t>
      </w:r>
      <w:r w:rsidRPr="00174798">
        <w:rPr>
          <w:rFonts w:ascii="Book Antiqua" w:hAnsi="Book Antiqua"/>
          <w:b/>
          <w:bCs/>
          <w:sz w:val="24"/>
          <w:szCs w:val="24"/>
        </w:rPr>
        <w:t>del 2023</w:t>
      </w:r>
      <w:r w:rsidRPr="00174798">
        <w:rPr>
          <w:rFonts w:ascii="Book Antiqua" w:hAnsi="Book Antiqua"/>
          <w:sz w:val="24"/>
          <w:szCs w:val="24"/>
        </w:rPr>
        <w:t xml:space="preserve">, cargar en el sitio de proyecto la atención de las siguientes recomendaciones: </w:t>
      </w:r>
    </w:p>
    <w:tbl>
      <w:tblPr>
        <w:tblW w:w="1076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9"/>
        <w:gridCol w:w="1698"/>
        <w:gridCol w:w="848"/>
        <w:gridCol w:w="1565"/>
        <w:gridCol w:w="2978"/>
        <w:gridCol w:w="1130"/>
        <w:gridCol w:w="986"/>
      </w:tblGrid>
      <w:tr w:rsidR="007D35E8" w:rsidRPr="00A8111C" w14:paraId="741F8981" w14:textId="77777777" w:rsidTr="00D06D89">
        <w:trPr>
          <w:trHeight w:val="300"/>
          <w:tblHeader/>
        </w:trPr>
        <w:tc>
          <w:tcPr>
            <w:tcW w:w="1559" w:type="dxa"/>
            <w:shd w:val="clear" w:color="000000" w:fill="44546A"/>
            <w:noWrap/>
            <w:vAlign w:val="center"/>
            <w:hideMark/>
          </w:tcPr>
          <w:p w14:paraId="487BDE98" w14:textId="77777777" w:rsidR="00E8321A" w:rsidRPr="00A8111C" w:rsidRDefault="00E8321A" w:rsidP="00B56C1A">
            <w:pPr>
              <w:spacing w:after="0" w:line="240" w:lineRule="auto"/>
              <w:jc w:val="center"/>
              <w:rPr>
                <w:rFonts w:ascii="Book Antiqua" w:eastAsia="Times New Roman" w:hAnsi="Book Antiqua" w:cs="Calibri"/>
                <w:b/>
                <w:bCs/>
                <w:color w:val="FFFFFF"/>
                <w:sz w:val="18"/>
                <w:szCs w:val="18"/>
                <w:lang w:eastAsia="es-CR"/>
              </w:rPr>
            </w:pPr>
            <w:bookmarkStart w:id="178" w:name="_Toc131160613"/>
            <w:r w:rsidRPr="00A8111C">
              <w:rPr>
                <w:rFonts w:ascii="Book Antiqua" w:eastAsia="Times New Roman" w:hAnsi="Book Antiqua" w:cs="Calibri"/>
                <w:b/>
                <w:bCs/>
                <w:color w:val="FFFFFF"/>
                <w:sz w:val="18"/>
                <w:szCs w:val="18"/>
                <w:lang w:eastAsia="es-CR"/>
              </w:rPr>
              <w:t>Centro de responsabilidad</w:t>
            </w:r>
          </w:p>
        </w:tc>
        <w:tc>
          <w:tcPr>
            <w:tcW w:w="1698" w:type="dxa"/>
            <w:shd w:val="clear" w:color="000000" w:fill="44546A"/>
            <w:noWrap/>
            <w:vAlign w:val="center"/>
            <w:hideMark/>
          </w:tcPr>
          <w:p w14:paraId="53174782" w14:textId="77777777" w:rsidR="00E8321A" w:rsidRPr="00A8111C" w:rsidRDefault="00E8321A" w:rsidP="00B56C1A">
            <w:pPr>
              <w:spacing w:after="0" w:line="240" w:lineRule="auto"/>
              <w:jc w:val="center"/>
              <w:rPr>
                <w:rFonts w:ascii="Book Antiqua" w:eastAsia="Times New Roman" w:hAnsi="Book Antiqua" w:cs="Calibri"/>
                <w:b/>
                <w:bCs/>
                <w:color w:val="FFFFFF"/>
                <w:sz w:val="18"/>
                <w:szCs w:val="18"/>
                <w:lang w:eastAsia="es-CR"/>
              </w:rPr>
            </w:pPr>
            <w:r w:rsidRPr="00A8111C">
              <w:rPr>
                <w:rFonts w:ascii="Book Antiqua" w:eastAsia="Times New Roman" w:hAnsi="Book Antiqua" w:cs="Calibri"/>
                <w:b/>
                <w:bCs/>
                <w:color w:val="FFFFFF"/>
                <w:sz w:val="18"/>
                <w:szCs w:val="18"/>
                <w:lang w:eastAsia="es-CR"/>
              </w:rPr>
              <w:t>Oficina Líder</w:t>
            </w:r>
          </w:p>
        </w:tc>
        <w:tc>
          <w:tcPr>
            <w:tcW w:w="848" w:type="dxa"/>
            <w:shd w:val="clear" w:color="000000" w:fill="44546A"/>
            <w:noWrap/>
            <w:vAlign w:val="center"/>
            <w:hideMark/>
          </w:tcPr>
          <w:p w14:paraId="3F1F1B58" w14:textId="77777777" w:rsidR="00E8321A" w:rsidRPr="00A8111C" w:rsidRDefault="00E8321A" w:rsidP="00B56C1A">
            <w:pPr>
              <w:spacing w:after="0" w:line="240" w:lineRule="auto"/>
              <w:jc w:val="center"/>
              <w:rPr>
                <w:rFonts w:ascii="Book Antiqua" w:eastAsia="Times New Roman" w:hAnsi="Book Antiqua" w:cs="Calibri"/>
                <w:b/>
                <w:bCs/>
                <w:color w:val="FFFFFF"/>
                <w:sz w:val="18"/>
                <w:szCs w:val="18"/>
                <w:lang w:eastAsia="es-CR"/>
              </w:rPr>
            </w:pPr>
            <w:r w:rsidRPr="00A8111C">
              <w:rPr>
                <w:rFonts w:ascii="Book Antiqua" w:eastAsia="Times New Roman" w:hAnsi="Book Antiqua" w:cs="Calibri"/>
                <w:b/>
                <w:bCs/>
                <w:color w:val="FFFFFF"/>
                <w:sz w:val="18"/>
                <w:szCs w:val="18"/>
                <w:lang w:eastAsia="es-CR"/>
              </w:rPr>
              <w:t>Código</w:t>
            </w:r>
          </w:p>
        </w:tc>
        <w:tc>
          <w:tcPr>
            <w:tcW w:w="1565" w:type="dxa"/>
            <w:shd w:val="clear" w:color="000000" w:fill="44546A"/>
            <w:noWrap/>
            <w:vAlign w:val="center"/>
            <w:hideMark/>
          </w:tcPr>
          <w:p w14:paraId="2768E5FF" w14:textId="77777777" w:rsidR="00E8321A" w:rsidRPr="00A8111C" w:rsidRDefault="00E8321A" w:rsidP="00B56C1A">
            <w:pPr>
              <w:spacing w:after="0" w:line="240" w:lineRule="auto"/>
              <w:jc w:val="center"/>
              <w:rPr>
                <w:rFonts w:ascii="Book Antiqua" w:eastAsia="Times New Roman" w:hAnsi="Book Antiqua" w:cs="Calibri"/>
                <w:b/>
                <w:bCs/>
                <w:color w:val="FFFFFF"/>
                <w:sz w:val="18"/>
                <w:szCs w:val="18"/>
                <w:lang w:eastAsia="es-CR"/>
              </w:rPr>
            </w:pPr>
            <w:r w:rsidRPr="00A8111C">
              <w:rPr>
                <w:rFonts w:ascii="Book Antiqua" w:eastAsia="Times New Roman" w:hAnsi="Book Antiqua" w:cs="Calibri"/>
                <w:b/>
                <w:bCs/>
                <w:color w:val="FFFFFF"/>
                <w:sz w:val="18"/>
                <w:szCs w:val="18"/>
                <w:lang w:eastAsia="es-CR"/>
              </w:rPr>
              <w:t>Nombre</w:t>
            </w:r>
          </w:p>
        </w:tc>
        <w:tc>
          <w:tcPr>
            <w:tcW w:w="2978" w:type="dxa"/>
            <w:shd w:val="clear" w:color="000000" w:fill="44546A"/>
            <w:noWrap/>
            <w:vAlign w:val="center"/>
            <w:hideMark/>
          </w:tcPr>
          <w:p w14:paraId="7E4C381B" w14:textId="77777777" w:rsidR="00E8321A" w:rsidRPr="00A8111C" w:rsidRDefault="00E8321A" w:rsidP="00B56C1A">
            <w:pPr>
              <w:spacing w:after="0" w:line="240" w:lineRule="auto"/>
              <w:jc w:val="center"/>
              <w:rPr>
                <w:rFonts w:ascii="Book Antiqua" w:eastAsia="Times New Roman" w:hAnsi="Book Antiqua" w:cs="Calibri"/>
                <w:b/>
                <w:bCs/>
                <w:color w:val="FFFFFF"/>
                <w:sz w:val="18"/>
                <w:szCs w:val="18"/>
                <w:lang w:eastAsia="es-CR"/>
              </w:rPr>
            </w:pPr>
            <w:r w:rsidRPr="00A8111C">
              <w:rPr>
                <w:rFonts w:ascii="Book Antiqua" w:eastAsia="Times New Roman" w:hAnsi="Book Antiqua" w:cs="Calibri"/>
                <w:b/>
                <w:bCs/>
                <w:color w:val="FFFFFF"/>
                <w:sz w:val="18"/>
                <w:szCs w:val="18"/>
                <w:lang w:eastAsia="es-CR"/>
              </w:rPr>
              <w:t>Recomendación pendiente</w:t>
            </w:r>
          </w:p>
        </w:tc>
        <w:tc>
          <w:tcPr>
            <w:tcW w:w="1130" w:type="dxa"/>
            <w:shd w:val="clear" w:color="000000" w:fill="44546A"/>
            <w:noWrap/>
            <w:vAlign w:val="center"/>
            <w:hideMark/>
          </w:tcPr>
          <w:p w14:paraId="4D116728" w14:textId="77777777" w:rsidR="00E8321A" w:rsidRPr="00A8111C" w:rsidRDefault="00E8321A" w:rsidP="00B56C1A">
            <w:pPr>
              <w:spacing w:after="0" w:line="240" w:lineRule="auto"/>
              <w:jc w:val="center"/>
              <w:rPr>
                <w:rFonts w:ascii="Book Antiqua" w:eastAsia="Times New Roman" w:hAnsi="Book Antiqua" w:cs="Calibri"/>
                <w:b/>
                <w:bCs/>
                <w:color w:val="FFFFFF"/>
                <w:sz w:val="18"/>
                <w:szCs w:val="18"/>
                <w:lang w:eastAsia="es-CR"/>
              </w:rPr>
            </w:pPr>
            <w:r w:rsidRPr="00A8111C">
              <w:rPr>
                <w:rFonts w:ascii="Book Antiqua" w:eastAsia="Times New Roman" w:hAnsi="Book Antiqua" w:cs="Calibri"/>
                <w:b/>
                <w:bCs/>
                <w:color w:val="FFFFFF"/>
                <w:sz w:val="18"/>
                <w:szCs w:val="18"/>
                <w:lang w:eastAsia="es-CR"/>
              </w:rPr>
              <w:t>Capítulo del informe</w:t>
            </w:r>
          </w:p>
        </w:tc>
        <w:tc>
          <w:tcPr>
            <w:tcW w:w="986" w:type="dxa"/>
            <w:shd w:val="clear" w:color="000000" w:fill="44546A"/>
            <w:noWrap/>
            <w:vAlign w:val="center"/>
            <w:hideMark/>
          </w:tcPr>
          <w:p w14:paraId="2FAF5368" w14:textId="77777777" w:rsidR="00E8321A" w:rsidRPr="00A8111C" w:rsidRDefault="00E8321A" w:rsidP="00B56C1A">
            <w:pPr>
              <w:spacing w:after="0" w:line="240" w:lineRule="auto"/>
              <w:jc w:val="center"/>
              <w:rPr>
                <w:rFonts w:ascii="Book Antiqua" w:eastAsia="Times New Roman" w:hAnsi="Book Antiqua" w:cs="Calibri"/>
                <w:b/>
                <w:bCs/>
                <w:color w:val="FFFFFF"/>
                <w:sz w:val="18"/>
                <w:szCs w:val="18"/>
                <w:lang w:eastAsia="es-CR"/>
              </w:rPr>
            </w:pPr>
            <w:r w:rsidRPr="00A8111C">
              <w:rPr>
                <w:rFonts w:ascii="Book Antiqua" w:eastAsia="Times New Roman" w:hAnsi="Book Antiqua" w:cs="Calibri"/>
                <w:b/>
                <w:bCs/>
                <w:color w:val="FFFFFF"/>
                <w:sz w:val="18"/>
                <w:szCs w:val="18"/>
                <w:lang w:eastAsia="es-CR"/>
              </w:rPr>
              <w:t>Apartado del informe</w:t>
            </w:r>
          </w:p>
        </w:tc>
      </w:tr>
      <w:tr w:rsidR="007D35E8" w:rsidRPr="00A8111C" w14:paraId="5DE06A3B" w14:textId="77777777" w:rsidTr="00D06D89">
        <w:trPr>
          <w:trHeight w:val="330"/>
        </w:trPr>
        <w:tc>
          <w:tcPr>
            <w:tcW w:w="1559" w:type="dxa"/>
            <w:vMerge w:val="restart"/>
            <w:shd w:val="clear" w:color="auto" w:fill="auto"/>
            <w:noWrap/>
            <w:vAlign w:val="center"/>
            <w:hideMark/>
          </w:tcPr>
          <w:p w14:paraId="78EB1A10"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r w:rsidRPr="00A8111C">
              <w:rPr>
                <w:rFonts w:ascii="Book Antiqua" w:eastAsia="Times New Roman" w:hAnsi="Book Antiqua" w:cs="Calibri"/>
                <w:color w:val="000000"/>
                <w:sz w:val="18"/>
                <w:szCs w:val="18"/>
                <w:lang w:eastAsia="es-CR"/>
              </w:rPr>
              <w:t>Comisiones Institucionales</w:t>
            </w:r>
          </w:p>
        </w:tc>
        <w:tc>
          <w:tcPr>
            <w:tcW w:w="1698" w:type="dxa"/>
            <w:vMerge w:val="restart"/>
            <w:shd w:val="clear" w:color="auto" w:fill="auto"/>
            <w:noWrap/>
            <w:vAlign w:val="center"/>
            <w:hideMark/>
          </w:tcPr>
          <w:p w14:paraId="6E53CFEC"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r w:rsidRPr="00A8111C">
              <w:rPr>
                <w:rFonts w:ascii="Book Antiqua" w:eastAsia="Times New Roman" w:hAnsi="Book Antiqua" w:cs="Calibri"/>
                <w:color w:val="000000"/>
                <w:sz w:val="18"/>
                <w:szCs w:val="18"/>
                <w:lang w:eastAsia="es-CR"/>
              </w:rPr>
              <w:t>9993 COMISION DE ACCESO A LA JUSTICIA</w:t>
            </w:r>
          </w:p>
        </w:tc>
        <w:tc>
          <w:tcPr>
            <w:tcW w:w="848" w:type="dxa"/>
            <w:vMerge w:val="restart"/>
            <w:shd w:val="clear" w:color="auto" w:fill="auto"/>
            <w:noWrap/>
            <w:vAlign w:val="center"/>
            <w:hideMark/>
          </w:tcPr>
          <w:p w14:paraId="205C712B"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r w:rsidRPr="00A8111C">
              <w:rPr>
                <w:rFonts w:ascii="Book Antiqua" w:eastAsia="Times New Roman" w:hAnsi="Book Antiqua" w:cs="Calibri"/>
                <w:color w:val="000000"/>
                <w:sz w:val="18"/>
                <w:szCs w:val="18"/>
                <w:lang w:eastAsia="es-CR"/>
              </w:rPr>
              <w:t>9993-CAJ-P01</w:t>
            </w:r>
          </w:p>
        </w:tc>
        <w:tc>
          <w:tcPr>
            <w:tcW w:w="1565" w:type="dxa"/>
            <w:vMerge w:val="restart"/>
            <w:shd w:val="clear" w:color="auto" w:fill="auto"/>
            <w:noWrap/>
            <w:vAlign w:val="center"/>
            <w:hideMark/>
          </w:tcPr>
          <w:p w14:paraId="156E4FC5"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r w:rsidRPr="00A8111C">
              <w:rPr>
                <w:rFonts w:ascii="Book Antiqua" w:eastAsia="Times New Roman" w:hAnsi="Book Antiqua" w:cs="Calibri"/>
                <w:color w:val="000000"/>
                <w:sz w:val="18"/>
                <w:szCs w:val="18"/>
                <w:lang w:eastAsia="es-CR"/>
              </w:rPr>
              <w:t>Política para el Acceso a la Justicia de los Pueblos Indígenas en el Poder Judicial</w:t>
            </w:r>
          </w:p>
        </w:tc>
        <w:tc>
          <w:tcPr>
            <w:tcW w:w="2978" w:type="dxa"/>
            <w:shd w:val="clear" w:color="auto" w:fill="auto"/>
            <w:noWrap/>
            <w:vAlign w:val="center"/>
            <w:hideMark/>
          </w:tcPr>
          <w:p w14:paraId="43F7078A" w14:textId="77777777" w:rsidR="00E8321A" w:rsidRPr="00A8111C" w:rsidRDefault="00E8321A" w:rsidP="00EF4E17">
            <w:pPr>
              <w:spacing w:after="0" w:line="240" w:lineRule="auto"/>
              <w:jc w:val="both"/>
              <w:rPr>
                <w:rFonts w:ascii="Book Antiqua" w:eastAsia="Times New Roman" w:hAnsi="Book Antiqua" w:cs="Calibri"/>
                <w:color w:val="000000"/>
                <w:sz w:val="18"/>
                <w:szCs w:val="18"/>
                <w:lang w:eastAsia="es-CR"/>
              </w:rPr>
            </w:pPr>
            <w:r w:rsidRPr="00A8111C">
              <w:rPr>
                <w:rFonts w:ascii="Book Antiqua" w:eastAsia="Times New Roman" w:hAnsi="Book Antiqua" w:cs="Calibri"/>
                <w:color w:val="000000"/>
                <w:sz w:val="18"/>
                <w:szCs w:val="18"/>
                <w:lang w:eastAsia="es-CR"/>
              </w:rPr>
              <w:t>Pendiente aprobación de informe de avance</w:t>
            </w:r>
          </w:p>
        </w:tc>
        <w:tc>
          <w:tcPr>
            <w:tcW w:w="1130" w:type="dxa"/>
            <w:shd w:val="clear" w:color="auto" w:fill="auto"/>
            <w:noWrap/>
            <w:vAlign w:val="center"/>
            <w:hideMark/>
          </w:tcPr>
          <w:p w14:paraId="76E92434"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r w:rsidRPr="00A8111C">
              <w:rPr>
                <w:rFonts w:ascii="Book Antiqua" w:eastAsia="Times New Roman" w:hAnsi="Book Antiqua" w:cs="Calibri"/>
                <w:color w:val="000000"/>
                <w:sz w:val="18"/>
                <w:szCs w:val="18"/>
                <w:lang w:eastAsia="es-CR"/>
              </w:rPr>
              <w:t>Capítulo 2</w:t>
            </w:r>
          </w:p>
        </w:tc>
        <w:tc>
          <w:tcPr>
            <w:tcW w:w="986" w:type="dxa"/>
            <w:shd w:val="clear" w:color="auto" w:fill="auto"/>
            <w:noWrap/>
            <w:vAlign w:val="center"/>
            <w:hideMark/>
          </w:tcPr>
          <w:p w14:paraId="691ECE62"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r w:rsidRPr="00A8111C">
              <w:rPr>
                <w:rFonts w:ascii="Book Antiqua" w:eastAsia="Times New Roman" w:hAnsi="Book Antiqua" w:cs="Calibri"/>
                <w:color w:val="000000"/>
                <w:sz w:val="18"/>
                <w:szCs w:val="18"/>
                <w:lang w:eastAsia="es-CR"/>
              </w:rPr>
              <w:t>2.1</w:t>
            </w:r>
          </w:p>
        </w:tc>
      </w:tr>
      <w:tr w:rsidR="007D35E8" w:rsidRPr="00A8111C" w14:paraId="5A386561" w14:textId="77777777" w:rsidTr="00D06D89">
        <w:trPr>
          <w:trHeight w:val="330"/>
        </w:trPr>
        <w:tc>
          <w:tcPr>
            <w:tcW w:w="1559" w:type="dxa"/>
            <w:vMerge/>
            <w:shd w:val="clear" w:color="auto" w:fill="auto"/>
            <w:vAlign w:val="center"/>
            <w:hideMark/>
          </w:tcPr>
          <w:p w14:paraId="0558311B"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698" w:type="dxa"/>
            <w:vMerge/>
            <w:shd w:val="clear" w:color="auto" w:fill="auto"/>
            <w:vAlign w:val="center"/>
            <w:hideMark/>
          </w:tcPr>
          <w:p w14:paraId="236079DB"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848" w:type="dxa"/>
            <w:vMerge/>
            <w:shd w:val="clear" w:color="auto" w:fill="auto"/>
            <w:vAlign w:val="center"/>
            <w:hideMark/>
          </w:tcPr>
          <w:p w14:paraId="472F7E01"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565" w:type="dxa"/>
            <w:vMerge/>
            <w:shd w:val="clear" w:color="auto" w:fill="auto"/>
            <w:vAlign w:val="center"/>
            <w:hideMark/>
          </w:tcPr>
          <w:p w14:paraId="0401D617"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2978" w:type="dxa"/>
            <w:shd w:val="clear" w:color="auto" w:fill="auto"/>
            <w:noWrap/>
            <w:vAlign w:val="center"/>
            <w:hideMark/>
          </w:tcPr>
          <w:p w14:paraId="557EEF25" w14:textId="77777777" w:rsidR="00E8321A" w:rsidRPr="00A8111C" w:rsidRDefault="00E8321A" w:rsidP="00EF4E17">
            <w:pPr>
              <w:spacing w:after="0" w:line="240" w:lineRule="auto"/>
              <w:jc w:val="both"/>
              <w:rPr>
                <w:rFonts w:ascii="Book Antiqua" w:eastAsia="Times New Roman" w:hAnsi="Book Antiqua" w:cs="Calibri"/>
                <w:color w:val="000000"/>
                <w:sz w:val="18"/>
                <w:szCs w:val="18"/>
                <w:lang w:eastAsia="es-CR"/>
              </w:rPr>
            </w:pPr>
            <w:r w:rsidRPr="00A8111C">
              <w:rPr>
                <w:rFonts w:ascii="Book Antiqua" w:eastAsia="Times New Roman" w:hAnsi="Book Antiqua" w:cs="Calibri"/>
                <w:color w:val="000000"/>
                <w:sz w:val="18"/>
                <w:szCs w:val="18"/>
                <w:lang w:eastAsia="es-CR"/>
              </w:rPr>
              <w:t>En informe de avance en apartado de Lista y estado de productos entregables se debe indicar el cuadro del formato original.</w:t>
            </w:r>
          </w:p>
        </w:tc>
        <w:tc>
          <w:tcPr>
            <w:tcW w:w="1130" w:type="dxa"/>
            <w:shd w:val="clear" w:color="auto" w:fill="auto"/>
            <w:noWrap/>
            <w:vAlign w:val="center"/>
            <w:hideMark/>
          </w:tcPr>
          <w:p w14:paraId="01A94087"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r w:rsidRPr="00A8111C">
              <w:rPr>
                <w:rFonts w:ascii="Book Antiqua" w:eastAsia="Times New Roman" w:hAnsi="Book Antiqua" w:cs="Calibri"/>
                <w:color w:val="000000"/>
                <w:sz w:val="18"/>
                <w:szCs w:val="18"/>
                <w:lang w:eastAsia="es-CR"/>
              </w:rPr>
              <w:t>Capítulo 2</w:t>
            </w:r>
          </w:p>
        </w:tc>
        <w:tc>
          <w:tcPr>
            <w:tcW w:w="986" w:type="dxa"/>
            <w:shd w:val="clear" w:color="auto" w:fill="auto"/>
            <w:noWrap/>
            <w:vAlign w:val="center"/>
            <w:hideMark/>
          </w:tcPr>
          <w:p w14:paraId="551D259A"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r w:rsidRPr="00A8111C">
              <w:rPr>
                <w:rFonts w:ascii="Book Antiqua" w:eastAsia="Times New Roman" w:hAnsi="Book Antiqua" w:cs="Calibri"/>
                <w:color w:val="000000"/>
                <w:sz w:val="18"/>
                <w:szCs w:val="18"/>
                <w:lang w:eastAsia="es-CR"/>
              </w:rPr>
              <w:t>2.1</w:t>
            </w:r>
          </w:p>
        </w:tc>
      </w:tr>
      <w:tr w:rsidR="007D35E8" w:rsidRPr="00A8111C" w14:paraId="42A65047" w14:textId="77777777" w:rsidTr="00D06D89">
        <w:trPr>
          <w:trHeight w:val="330"/>
        </w:trPr>
        <w:tc>
          <w:tcPr>
            <w:tcW w:w="1559" w:type="dxa"/>
            <w:vMerge/>
            <w:shd w:val="clear" w:color="auto" w:fill="auto"/>
            <w:vAlign w:val="center"/>
            <w:hideMark/>
          </w:tcPr>
          <w:p w14:paraId="409616C6"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698" w:type="dxa"/>
            <w:vMerge/>
            <w:shd w:val="clear" w:color="auto" w:fill="auto"/>
            <w:vAlign w:val="center"/>
            <w:hideMark/>
          </w:tcPr>
          <w:p w14:paraId="58F49048"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848" w:type="dxa"/>
            <w:vMerge w:val="restart"/>
            <w:shd w:val="clear" w:color="auto" w:fill="auto"/>
            <w:noWrap/>
            <w:vAlign w:val="center"/>
            <w:hideMark/>
          </w:tcPr>
          <w:p w14:paraId="394FF8A4"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r w:rsidRPr="00A8111C">
              <w:rPr>
                <w:rFonts w:ascii="Book Antiqua" w:eastAsia="Times New Roman" w:hAnsi="Book Antiqua" w:cs="Calibri"/>
                <w:color w:val="000000"/>
                <w:sz w:val="18"/>
                <w:szCs w:val="18"/>
                <w:lang w:eastAsia="es-CR"/>
              </w:rPr>
              <w:t>9993-CAJ-P02</w:t>
            </w:r>
          </w:p>
        </w:tc>
        <w:tc>
          <w:tcPr>
            <w:tcW w:w="1565" w:type="dxa"/>
            <w:vMerge w:val="restart"/>
            <w:shd w:val="clear" w:color="auto" w:fill="auto"/>
            <w:noWrap/>
            <w:vAlign w:val="center"/>
            <w:hideMark/>
          </w:tcPr>
          <w:p w14:paraId="4C02874A"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r w:rsidRPr="00A8111C">
              <w:rPr>
                <w:rFonts w:ascii="Book Antiqua" w:eastAsia="Times New Roman" w:hAnsi="Book Antiqua" w:cs="Calibri"/>
                <w:color w:val="000000"/>
                <w:sz w:val="18"/>
                <w:szCs w:val="18"/>
                <w:lang w:eastAsia="es-CR"/>
              </w:rPr>
              <w:t>Actualización de la Política para el Acceso a la Justicia y Equiparación de Oportunidades de Personas en situación de discapacidad</w:t>
            </w:r>
          </w:p>
        </w:tc>
        <w:tc>
          <w:tcPr>
            <w:tcW w:w="2978" w:type="dxa"/>
            <w:shd w:val="clear" w:color="auto" w:fill="auto"/>
            <w:noWrap/>
            <w:vAlign w:val="center"/>
            <w:hideMark/>
          </w:tcPr>
          <w:p w14:paraId="180D0850" w14:textId="77777777" w:rsidR="00E8321A" w:rsidRPr="00A8111C" w:rsidRDefault="00E8321A" w:rsidP="00EF4E17">
            <w:pPr>
              <w:spacing w:after="0" w:line="240" w:lineRule="auto"/>
              <w:jc w:val="both"/>
              <w:rPr>
                <w:rFonts w:ascii="Book Antiqua" w:eastAsia="Times New Roman" w:hAnsi="Book Antiqua" w:cs="Calibri"/>
                <w:color w:val="000000"/>
                <w:sz w:val="18"/>
                <w:szCs w:val="18"/>
                <w:lang w:eastAsia="es-CR"/>
              </w:rPr>
            </w:pPr>
            <w:r w:rsidRPr="00A8111C">
              <w:rPr>
                <w:rFonts w:ascii="Book Antiqua" w:eastAsia="Times New Roman" w:hAnsi="Book Antiqua" w:cs="Calibri"/>
                <w:color w:val="000000"/>
                <w:sz w:val="18"/>
                <w:szCs w:val="18"/>
                <w:lang w:eastAsia="es-CR"/>
              </w:rPr>
              <w:t>Pendiente aprobación de informe de avance</w:t>
            </w:r>
          </w:p>
        </w:tc>
        <w:tc>
          <w:tcPr>
            <w:tcW w:w="1130" w:type="dxa"/>
            <w:shd w:val="clear" w:color="auto" w:fill="auto"/>
            <w:noWrap/>
            <w:vAlign w:val="center"/>
            <w:hideMark/>
          </w:tcPr>
          <w:p w14:paraId="4704A427"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r w:rsidRPr="00A8111C">
              <w:rPr>
                <w:rFonts w:ascii="Book Antiqua" w:eastAsia="Times New Roman" w:hAnsi="Book Antiqua" w:cs="Calibri"/>
                <w:color w:val="000000"/>
                <w:sz w:val="18"/>
                <w:szCs w:val="18"/>
                <w:lang w:eastAsia="es-CR"/>
              </w:rPr>
              <w:t>Capítulo 2</w:t>
            </w:r>
          </w:p>
        </w:tc>
        <w:tc>
          <w:tcPr>
            <w:tcW w:w="986" w:type="dxa"/>
            <w:shd w:val="clear" w:color="auto" w:fill="auto"/>
            <w:noWrap/>
            <w:vAlign w:val="center"/>
            <w:hideMark/>
          </w:tcPr>
          <w:p w14:paraId="181A43C3"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r w:rsidRPr="00A8111C">
              <w:rPr>
                <w:rFonts w:ascii="Book Antiqua" w:eastAsia="Times New Roman" w:hAnsi="Book Antiqua" w:cs="Calibri"/>
                <w:color w:val="000000"/>
                <w:sz w:val="18"/>
                <w:szCs w:val="18"/>
                <w:lang w:eastAsia="es-CR"/>
              </w:rPr>
              <w:t>2.1</w:t>
            </w:r>
          </w:p>
        </w:tc>
      </w:tr>
      <w:tr w:rsidR="007D35E8" w:rsidRPr="00A8111C" w14:paraId="447B54B8" w14:textId="77777777" w:rsidTr="00D06D89">
        <w:trPr>
          <w:trHeight w:val="330"/>
        </w:trPr>
        <w:tc>
          <w:tcPr>
            <w:tcW w:w="1559" w:type="dxa"/>
            <w:vMerge/>
            <w:shd w:val="clear" w:color="auto" w:fill="auto"/>
            <w:vAlign w:val="center"/>
            <w:hideMark/>
          </w:tcPr>
          <w:p w14:paraId="016295BA"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698" w:type="dxa"/>
            <w:vMerge/>
            <w:shd w:val="clear" w:color="auto" w:fill="auto"/>
            <w:vAlign w:val="center"/>
            <w:hideMark/>
          </w:tcPr>
          <w:p w14:paraId="3E16C38F"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848" w:type="dxa"/>
            <w:vMerge/>
            <w:shd w:val="clear" w:color="auto" w:fill="auto"/>
            <w:vAlign w:val="center"/>
            <w:hideMark/>
          </w:tcPr>
          <w:p w14:paraId="0A590744"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565" w:type="dxa"/>
            <w:vMerge/>
            <w:shd w:val="clear" w:color="auto" w:fill="auto"/>
            <w:vAlign w:val="center"/>
            <w:hideMark/>
          </w:tcPr>
          <w:p w14:paraId="14787121"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2978" w:type="dxa"/>
            <w:shd w:val="clear" w:color="auto" w:fill="auto"/>
            <w:noWrap/>
            <w:vAlign w:val="center"/>
            <w:hideMark/>
          </w:tcPr>
          <w:p w14:paraId="6B98C605" w14:textId="77777777" w:rsidR="00E8321A" w:rsidRPr="00A8111C" w:rsidRDefault="00E8321A" w:rsidP="00EF4E17">
            <w:pPr>
              <w:spacing w:after="0" w:line="240" w:lineRule="auto"/>
              <w:jc w:val="both"/>
              <w:rPr>
                <w:rFonts w:ascii="Book Antiqua" w:eastAsia="Times New Roman" w:hAnsi="Book Antiqua" w:cs="Calibri"/>
                <w:color w:val="000000"/>
                <w:sz w:val="18"/>
                <w:szCs w:val="18"/>
                <w:lang w:eastAsia="es-CR"/>
              </w:rPr>
            </w:pPr>
            <w:r w:rsidRPr="00A8111C">
              <w:rPr>
                <w:rFonts w:ascii="Book Antiqua" w:eastAsia="Times New Roman" w:hAnsi="Book Antiqua" w:cs="Calibri"/>
                <w:color w:val="000000"/>
                <w:sz w:val="18"/>
                <w:szCs w:val="18"/>
                <w:lang w:eastAsia="es-CR"/>
              </w:rPr>
              <w:t>En informe de avance en apartado de Aspectos relevantes del proyecto pendiente incluir el mismo.</w:t>
            </w:r>
          </w:p>
        </w:tc>
        <w:tc>
          <w:tcPr>
            <w:tcW w:w="1130" w:type="dxa"/>
            <w:shd w:val="clear" w:color="auto" w:fill="auto"/>
            <w:noWrap/>
            <w:vAlign w:val="center"/>
            <w:hideMark/>
          </w:tcPr>
          <w:p w14:paraId="5EF18F26"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r w:rsidRPr="00A8111C">
              <w:rPr>
                <w:rFonts w:ascii="Book Antiqua" w:eastAsia="Times New Roman" w:hAnsi="Book Antiqua" w:cs="Calibri"/>
                <w:color w:val="000000"/>
                <w:sz w:val="18"/>
                <w:szCs w:val="18"/>
                <w:lang w:eastAsia="es-CR"/>
              </w:rPr>
              <w:t>Capítulo 2</w:t>
            </w:r>
          </w:p>
        </w:tc>
        <w:tc>
          <w:tcPr>
            <w:tcW w:w="986" w:type="dxa"/>
            <w:shd w:val="clear" w:color="auto" w:fill="auto"/>
            <w:noWrap/>
            <w:vAlign w:val="center"/>
            <w:hideMark/>
          </w:tcPr>
          <w:p w14:paraId="740D7CD8"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r w:rsidRPr="00A8111C">
              <w:rPr>
                <w:rFonts w:ascii="Book Antiqua" w:eastAsia="Times New Roman" w:hAnsi="Book Antiqua" w:cs="Calibri"/>
                <w:color w:val="000000"/>
                <w:sz w:val="18"/>
                <w:szCs w:val="18"/>
                <w:lang w:eastAsia="es-CR"/>
              </w:rPr>
              <w:t>2.1</w:t>
            </w:r>
          </w:p>
        </w:tc>
      </w:tr>
      <w:tr w:rsidR="007D35E8" w:rsidRPr="00A8111C" w14:paraId="45E3290C" w14:textId="77777777" w:rsidTr="00D06D89">
        <w:trPr>
          <w:trHeight w:val="330"/>
        </w:trPr>
        <w:tc>
          <w:tcPr>
            <w:tcW w:w="1559" w:type="dxa"/>
            <w:vMerge/>
            <w:shd w:val="clear" w:color="auto" w:fill="auto"/>
            <w:vAlign w:val="center"/>
            <w:hideMark/>
          </w:tcPr>
          <w:p w14:paraId="4A6DE033"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698" w:type="dxa"/>
            <w:vMerge/>
            <w:shd w:val="clear" w:color="auto" w:fill="auto"/>
            <w:vAlign w:val="center"/>
            <w:hideMark/>
          </w:tcPr>
          <w:p w14:paraId="743ED7B2"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848" w:type="dxa"/>
            <w:vMerge/>
            <w:shd w:val="clear" w:color="auto" w:fill="auto"/>
            <w:vAlign w:val="center"/>
            <w:hideMark/>
          </w:tcPr>
          <w:p w14:paraId="29E5B955"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565" w:type="dxa"/>
            <w:vMerge/>
            <w:shd w:val="clear" w:color="auto" w:fill="auto"/>
            <w:vAlign w:val="center"/>
            <w:hideMark/>
          </w:tcPr>
          <w:p w14:paraId="6D03BA7B"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2978" w:type="dxa"/>
            <w:shd w:val="clear" w:color="auto" w:fill="auto"/>
            <w:noWrap/>
            <w:vAlign w:val="center"/>
            <w:hideMark/>
          </w:tcPr>
          <w:p w14:paraId="43160143" w14:textId="77777777" w:rsidR="00E8321A" w:rsidRPr="00A8111C" w:rsidRDefault="00E8321A" w:rsidP="00EF4E17">
            <w:pPr>
              <w:spacing w:after="0" w:line="240" w:lineRule="auto"/>
              <w:jc w:val="both"/>
              <w:rPr>
                <w:rFonts w:ascii="Book Antiqua" w:eastAsia="Times New Roman" w:hAnsi="Book Antiqua" w:cs="Calibri"/>
                <w:color w:val="000000"/>
                <w:sz w:val="18"/>
                <w:szCs w:val="18"/>
                <w:lang w:eastAsia="es-CR"/>
              </w:rPr>
            </w:pPr>
            <w:r w:rsidRPr="00A8111C">
              <w:rPr>
                <w:rFonts w:ascii="Book Antiqua" w:eastAsia="Times New Roman" w:hAnsi="Book Antiqua" w:cs="Calibri"/>
                <w:color w:val="000000"/>
                <w:sz w:val="18"/>
                <w:szCs w:val="18"/>
                <w:lang w:eastAsia="es-CR"/>
              </w:rPr>
              <w:t>Se debe elaborar solicitud de cambio para modificar cronograma para justificar retraso.</w:t>
            </w:r>
          </w:p>
        </w:tc>
        <w:tc>
          <w:tcPr>
            <w:tcW w:w="1130" w:type="dxa"/>
            <w:shd w:val="clear" w:color="auto" w:fill="auto"/>
            <w:noWrap/>
            <w:vAlign w:val="center"/>
            <w:hideMark/>
          </w:tcPr>
          <w:p w14:paraId="3E3B357E"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r w:rsidRPr="00A8111C">
              <w:rPr>
                <w:rFonts w:ascii="Book Antiqua" w:eastAsia="Times New Roman" w:hAnsi="Book Antiqua" w:cs="Calibri"/>
                <w:color w:val="000000"/>
                <w:sz w:val="18"/>
                <w:szCs w:val="18"/>
                <w:lang w:eastAsia="es-CR"/>
              </w:rPr>
              <w:t>Capítulo 2</w:t>
            </w:r>
          </w:p>
        </w:tc>
        <w:tc>
          <w:tcPr>
            <w:tcW w:w="986" w:type="dxa"/>
            <w:shd w:val="clear" w:color="auto" w:fill="auto"/>
            <w:noWrap/>
            <w:vAlign w:val="center"/>
            <w:hideMark/>
          </w:tcPr>
          <w:p w14:paraId="007FE790" w14:textId="77777777" w:rsidR="00E8321A" w:rsidRPr="00A8111C" w:rsidRDefault="00E8321A" w:rsidP="00B56C1A">
            <w:pPr>
              <w:spacing w:after="0" w:line="240" w:lineRule="auto"/>
              <w:jc w:val="center"/>
              <w:rPr>
                <w:rFonts w:ascii="Book Antiqua" w:eastAsia="Times New Roman" w:hAnsi="Book Antiqua" w:cs="Calibri"/>
                <w:color w:val="000000"/>
                <w:sz w:val="18"/>
                <w:szCs w:val="18"/>
                <w:lang w:eastAsia="es-CR"/>
              </w:rPr>
            </w:pPr>
            <w:r w:rsidRPr="00A8111C">
              <w:rPr>
                <w:rFonts w:ascii="Book Antiqua" w:eastAsia="Times New Roman" w:hAnsi="Book Antiqua" w:cs="Calibri"/>
                <w:color w:val="000000"/>
                <w:sz w:val="18"/>
                <w:szCs w:val="18"/>
                <w:lang w:eastAsia="es-CR"/>
              </w:rPr>
              <w:t>2.2</w:t>
            </w:r>
          </w:p>
        </w:tc>
      </w:tr>
    </w:tbl>
    <w:p w14:paraId="36AA91DE" w14:textId="77777777" w:rsidR="00E8321A" w:rsidRDefault="00E8321A" w:rsidP="00E8321A">
      <w:pPr>
        <w:spacing w:after="0"/>
        <w:rPr>
          <w:rFonts w:ascii="Book Antiqua" w:hAnsi="Book Antiqua"/>
          <w:b/>
          <w:bCs/>
          <w:sz w:val="24"/>
          <w:szCs w:val="24"/>
        </w:rPr>
      </w:pPr>
    </w:p>
    <w:p w14:paraId="48AAD527" w14:textId="77777777" w:rsidR="00E8321A" w:rsidRDefault="00E8321A" w:rsidP="00EF4E17">
      <w:pPr>
        <w:numPr>
          <w:ilvl w:val="1"/>
          <w:numId w:val="20"/>
        </w:numPr>
        <w:spacing w:after="0" w:line="240" w:lineRule="auto"/>
        <w:ind w:left="567" w:hanging="567"/>
        <w:jc w:val="both"/>
        <w:rPr>
          <w:rFonts w:ascii="Book Antiqua" w:hAnsi="Book Antiqua"/>
          <w:sz w:val="24"/>
          <w:szCs w:val="24"/>
        </w:rPr>
      </w:pPr>
      <w:r w:rsidRPr="00174798">
        <w:rPr>
          <w:rFonts w:ascii="Book Antiqua" w:hAnsi="Book Antiqua"/>
          <w:sz w:val="24"/>
          <w:szCs w:val="24"/>
        </w:rPr>
        <w:t>Además, t</w:t>
      </w:r>
      <w:r w:rsidRPr="00174798" w:rsidDel="00A51CE8">
        <w:rPr>
          <w:rFonts w:ascii="Book Antiqua" w:hAnsi="Book Antiqua"/>
          <w:sz w:val="24"/>
          <w:szCs w:val="24"/>
        </w:rPr>
        <w:t>omar las medidas pertinentes a fin de poder contrarrestar los atrasos presentados</w:t>
      </w:r>
      <w:r w:rsidRPr="00174798">
        <w:rPr>
          <w:rFonts w:ascii="Book Antiqua" w:hAnsi="Book Antiqua"/>
          <w:sz w:val="24"/>
          <w:szCs w:val="24"/>
        </w:rPr>
        <w:t>.  Cuando no sea posible subsanar los atrasos, se deberá valorar la presentación de una solicitud de cambio en los casos que el retraso afecte la fecha de finalización de los proyectos y que la misma tenga autorización de la persona jefe o del director del proyecto.</w:t>
      </w:r>
    </w:p>
    <w:p w14:paraId="5CC01B66" w14:textId="77777777" w:rsidR="00E8321A" w:rsidRPr="00174798" w:rsidRDefault="00E8321A" w:rsidP="00E8321A">
      <w:pPr>
        <w:spacing w:after="0" w:line="240" w:lineRule="auto"/>
        <w:ind w:left="567"/>
        <w:jc w:val="both"/>
        <w:rPr>
          <w:rFonts w:ascii="Book Antiqua" w:hAnsi="Book Antiqua"/>
          <w:sz w:val="24"/>
          <w:szCs w:val="24"/>
        </w:rPr>
      </w:pPr>
    </w:p>
    <w:p w14:paraId="50E7F6EA" w14:textId="77777777" w:rsidR="00E8321A" w:rsidRPr="00294FCD" w:rsidRDefault="00E8321A" w:rsidP="00E8321A">
      <w:pPr>
        <w:pStyle w:val="Ttulo2"/>
        <w:spacing w:before="0"/>
        <w:rPr>
          <w:rFonts w:ascii="Book Antiqua" w:hAnsi="Book Antiqua"/>
          <w:b/>
          <w:bCs/>
          <w:color w:val="auto"/>
          <w:sz w:val="24"/>
          <w:szCs w:val="24"/>
        </w:rPr>
      </w:pPr>
      <w:bookmarkStart w:id="179" w:name="_Toc131160615"/>
      <w:bookmarkStart w:id="180" w:name="_Toc138770896"/>
      <w:bookmarkEnd w:id="178"/>
      <w:r w:rsidRPr="00294FCD">
        <w:rPr>
          <w:rFonts w:ascii="Book Antiqua" w:hAnsi="Book Antiqua"/>
          <w:b/>
          <w:bCs/>
          <w:color w:val="auto"/>
          <w:sz w:val="24"/>
          <w:szCs w:val="24"/>
        </w:rPr>
        <w:t>Al Despacho de la Presidencia</w:t>
      </w:r>
      <w:bookmarkEnd w:id="179"/>
      <w:bookmarkEnd w:id="180"/>
      <w:r w:rsidRPr="00294FCD">
        <w:rPr>
          <w:rFonts w:ascii="Book Antiqua" w:hAnsi="Book Antiqua"/>
          <w:b/>
          <w:bCs/>
          <w:color w:val="auto"/>
          <w:sz w:val="24"/>
          <w:szCs w:val="24"/>
        </w:rPr>
        <w:t xml:space="preserve"> </w:t>
      </w:r>
    </w:p>
    <w:p w14:paraId="6DF84732" w14:textId="77777777" w:rsidR="00E8321A" w:rsidRPr="00174798" w:rsidRDefault="00E8321A" w:rsidP="00E8321A">
      <w:pPr>
        <w:spacing w:after="0"/>
        <w:rPr>
          <w:rFonts w:ascii="Book Antiqua" w:hAnsi="Book Antiqua"/>
          <w:b/>
          <w:sz w:val="24"/>
          <w:szCs w:val="24"/>
        </w:rPr>
      </w:pPr>
    </w:p>
    <w:p w14:paraId="099B26FF" w14:textId="6788B844" w:rsidR="00BD65C0" w:rsidRPr="00BD65C0" w:rsidRDefault="00BD65C0" w:rsidP="00EF4E17">
      <w:pPr>
        <w:pStyle w:val="Prrafodelista"/>
        <w:numPr>
          <w:ilvl w:val="1"/>
          <w:numId w:val="20"/>
        </w:numPr>
        <w:spacing w:after="0" w:line="240" w:lineRule="auto"/>
        <w:jc w:val="both"/>
        <w:rPr>
          <w:rStyle w:val="normaltextrun"/>
          <w:rFonts w:ascii="Book Antiqua" w:hAnsi="Book Antiqua"/>
          <w:sz w:val="24"/>
          <w:szCs w:val="24"/>
        </w:rPr>
      </w:pPr>
      <w:r w:rsidRPr="00BD65C0">
        <w:rPr>
          <w:rStyle w:val="normaltextrun"/>
          <w:rFonts w:ascii="Book Antiqua" w:eastAsiaTheme="majorEastAsia" w:hAnsi="Book Antiqua" w:cs="Segoe UI"/>
          <w:sz w:val="24"/>
          <w:szCs w:val="24"/>
        </w:rPr>
        <w:t>Se recomienda que los 3 proyectos que lidera el Despacho de la Presidencia:</w:t>
      </w:r>
      <w:r w:rsidRPr="00BD65C0">
        <w:rPr>
          <w:rFonts w:ascii="Segoe UI" w:hAnsi="Segoe UI" w:cs="Segoe UI"/>
          <w:color w:val="333333"/>
          <w:sz w:val="18"/>
          <w:szCs w:val="18"/>
        </w:rPr>
        <w:t xml:space="preserve">  </w:t>
      </w:r>
      <w:r w:rsidRPr="00BD65C0">
        <w:rPr>
          <w:rStyle w:val="normaltextrun"/>
          <w:rFonts w:ascii="Book Antiqua" w:eastAsiaTheme="majorEastAsia" w:hAnsi="Book Antiqua" w:cs="Segoe UI"/>
          <w:i/>
          <w:iCs/>
          <w:sz w:val="24"/>
          <w:szCs w:val="24"/>
        </w:rPr>
        <w:t>“</w:t>
      </w:r>
      <w:r w:rsidRPr="00BD65C0">
        <w:rPr>
          <w:rStyle w:val="normaltextrun"/>
          <w:rFonts w:ascii="Book Antiqua" w:eastAsiaTheme="majorEastAsia" w:hAnsi="Book Antiqua"/>
          <w:i/>
          <w:iCs/>
          <w:sz w:val="24"/>
          <w:szCs w:val="24"/>
        </w:rPr>
        <w:t xml:space="preserve">0653-DP-P16 </w:t>
      </w:r>
      <w:r w:rsidRPr="00BD65C0">
        <w:rPr>
          <w:rStyle w:val="normaltextrun"/>
          <w:rFonts w:ascii="Book Antiqua" w:eastAsiaTheme="majorEastAsia" w:hAnsi="Book Antiqua" w:cs="Segoe UI"/>
          <w:i/>
          <w:iCs/>
          <w:sz w:val="24"/>
          <w:szCs w:val="24"/>
        </w:rPr>
        <w:t>Mejorar desafíos en el ámbito jurisdiccional establecidos en el cuarto Informe del Estado de la Justicia”, “</w:t>
      </w:r>
      <w:r w:rsidRPr="00BD65C0">
        <w:rPr>
          <w:rStyle w:val="normaltextrun"/>
          <w:rFonts w:ascii="Book Antiqua" w:eastAsiaTheme="majorEastAsia" w:hAnsi="Book Antiqua"/>
          <w:i/>
          <w:iCs/>
          <w:sz w:val="24"/>
          <w:szCs w:val="24"/>
        </w:rPr>
        <w:t xml:space="preserve">0653-DP-P17 </w:t>
      </w:r>
      <w:r w:rsidRPr="00BD65C0">
        <w:rPr>
          <w:rStyle w:val="normaltextrun"/>
          <w:rFonts w:ascii="Book Antiqua" w:eastAsiaTheme="majorEastAsia" w:hAnsi="Book Antiqua" w:cs="Segoe UI"/>
          <w:i/>
          <w:iCs/>
          <w:sz w:val="24"/>
          <w:szCs w:val="24"/>
        </w:rPr>
        <w:t xml:space="preserve">Mejorar desafíos establecidos en el Informe del Estado de la Justicia en el ámbito de la </w:t>
      </w:r>
      <w:r w:rsidRPr="00BD65C0">
        <w:rPr>
          <w:rStyle w:val="normaltextrun"/>
          <w:rFonts w:ascii="Book Antiqua" w:eastAsiaTheme="majorEastAsia" w:hAnsi="Book Antiqua" w:cs="Segoe UI"/>
          <w:i/>
          <w:iCs/>
          <w:sz w:val="24"/>
          <w:szCs w:val="24"/>
        </w:rPr>
        <w:lastRenderedPageBreak/>
        <w:t>gobernanza política” y “</w:t>
      </w:r>
      <w:r w:rsidRPr="00BD65C0">
        <w:rPr>
          <w:rStyle w:val="normaltextrun"/>
          <w:rFonts w:ascii="Book Antiqua" w:eastAsiaTheme="majorEastAsia" w:hAnsi="Book Antiqua"/>
          <w:i/>
          <w:iCs/>
          <w:sz w:val="24"/>
          <w:szCs w:val="24"/>
        </w:rPr>
        <w:t>0653-DP-P18</w:t>
      </w:r>
      <w:r w:rsidRPr="00BD65C0">
        <w:rPr>
          <w:rStyle w:val="normaltextrun"/>
          <w:rFonts w:ascii="Book Antiqua" w:eastAsiaTheme="majorEastAsia" w:hAnsi="Book Antiqua" w:cs="Segoe UI"/>
          <w:i/>
          <w:iCs/>
          <w:sz w:val="24"/>
          <w:szCs w:val="24"/>
        </w:rPr>
        <w:t xml:space="preserve">  Mejorar desafíos establecidos en el Informe del Estado de la Justicia en el ámbito de la gestión administrativa”</w:t>
      </w:r>
      <w:r w:rsidRPr="00BD65C0">
        <w:rPr>
          <w:rStyle w:val="normaltextrun"/>
          <w:rFonts w:ascii="Book Antiqua" w:eastAsiaTheme="majorEastAsia" w:hAnsi="Book Antiqua" w:cs="Segoe UI"/>
          <w:sz w:val="24"/>
          <w:szCs w:val="24"/>
        </w:rPr>
        <w:t> </w:t>
      </w:r>
      <w:r w:rsidRPr="00BD65C0">
        <w:rPr>
          <w:rStyle w:val="normaltextrun"/>
          <w:rFonts w:ascii="Book Antiqua" w:eastAsiaTheme="majorEastAsia" w:hAnsi="Book Antiqua" w:cs="Segoe UI"/>
          <w:b/>
          <w:bCs/>
          <w:sz w:val="24"/>
          <w:szCs w:val="24"/>
        </w:rPr>
        <w:t>se les debe</w:t>
      </w:r>
      <w:r w:rsidRPr="00BD65C0">
        <w:rPr>
          <w:rStyle w:val="normaltextrun"/>
          <w:rFonts w:ascii="Book Antiqua" w:eastAsiaTheme="majorEastAsia" w:hAnsi="Book Antiqua" w:cs="Segoe UI"/>
          <w:sz w:val="24"/>
          <w:szCs w:val="24"/>
        </w:rPr>
        <w:t xml:space="preserve"> </w:t>
      </w:r>
      <w:r w:rsidRPr="00BD65C0">
        <w:rPr>
          <w:rStyle w:val="normaltextrun"/>
          <w:rFonts w:ascii="Book Antiqua" w:eastAsiaTheme="majorEastAsia" w:hAnsi="Book Antiqua" w:cs="Segoe UI"/>
          <w:b/>
          <w:bCs/>
          <w:sz w:val="24"/>
          <w:szCs w:val="24"/>
        </w:rPr>
        <w:t xml:space="preserve">mantener el permiso con goce de salario condicionado a que se actualice para cada uno de esos proyectos lo que corresponde y subir el cronograma actualizado con las labores realizadas a cargo de este proyecto en el repositorio para aprobar su continuidad. </w:t>
      </w:r>
    </w:p>
    <w:p w14:paraId="5F0C82E8" w14:textId="77777777" w:rsidR="00BD65C0" w:rsidRDefault="00BD65C0" w:rsidP="00EF4E17">
      <w:pPr>
        <w:spacing w:after="0" w:line="240" w:lineRule="auto"/>
        <w:ind w:left="567"/>
        <w:jc w:val="both"/>
        <w:rPr>
          <w:rFonts w:ascii="Book Antiqua" w:hAnsi="Book Antiqua"/>
          <w:sz w:val="24"/>
          <w:szCs w:val="24"/>
        </w:rPr>
      </w:pPr>
    </w:p>
    <w:p w14:paraId="68D04159" w14:textId="6618C362" w:rsidR="00020ED9" w:rsidRPr="00020ED9" w:rsidRDefault="00E8321A" w:rsidP="00EF4E17">
      <w:pPr>
        <w:numPr>
          <w:ilvl w:val="1"/>
          <w:numId w:val="20"/>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Se requiere a más tardar el </w:t>
      </w:r>
      <w:r>
        <w:rPr>
          <w:rFonts w:ascii="Book Antiqua" w:hAnsi="Book Antiqua"/>
          <w:b/>
          <w:bCs/>
          <w:sz w:val="24"/>
          <w:szCs w:val="24"/>
        </w:rPr>
        <w:t xml:space="preserve">11 de agosto </w:t>
      </w:r>
      <w:r w:rsidRPr="00174798">
        <w:rPr>
          <w:rFonts w:ascii="Book Antiqua" w:hAnsi="Book Antiqua"/>
          <w:b/>
          <w:bCs/>
          <w:sz w:val="24"/>
          <w:szCs w:val="24"/>
        </w:rPr>
        <w:t>del 2023</w:t>
      </w:r>
      <w:r w:rsidRPr="00174798">
        <w:rPr>
          <w:rFonts w:ascii="Book Antiqua" w:hAnsi="Book Antiqua"/>
          <w:sz w:val="24"/>
          <w:szCs w:val="24"/>
        </w:rPr>
        <w:t xml:space="preserve">, cargar en el sitio de proyecto la atención de las siguientes recomendaciones: </w:t>
      </w:r>
    </w:p>
    <w:p w14:paraId="3D21F792" w14:textId="77777777" w:rsidR="00525928" w:rsidRPr="00174798" w:rsidRDefault="00525928" w:rsidP="00E24FCA">
      <w:pPr>
        <w:spacing w:after="0" w:line="240" w:lineRule="auto"/>
        <w:ind w:left="567"/>
        <w:jc w:val="both"/>
        <w:rPr>
          <w:rFonts w:ascii="Book Antiqua" w:hAnsi="Book Antiqua"/>
          <w:sz w:val="24"/>
          <w:szCs w:val="24"/>
        </w:rPr>
      </w:pPr>
    </w:p>
    <w:tbl>
      <w:tblPr>
        <w:tblW w:w="11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644"/>
        <w:gridCol w:w="741"/>
        <w:gridCol w:w="2395"/>
        <w:gridCol w:w="2255"/>
        <w:gridCol w:w="1134"/>
        <w:gridCol w:w="1590"/>
      </w:tblGrid>
      <w:tr w:rsidR="00E24FCA" w:rsidRPr="000E42D6" w14:paraId="260D80B5" w14:textId="77777777" w:rsidTr="00EF4E17">
        <w:trPr>
          <w:trHeight w:val="300"/>
          <w:tblHeader/>
          <w:jc w:val="center"/>
        </w:trPr>
        <w:tc>
          <w:tcPr>
            <w:tcW w:w="1470" w:type="dxa"/>
            <w:shd w:val="clear" w:color="000000" w:fill="44546A"/>
            <w:noWrap/>
            <w:vAlign w:val="center"/>
            <w:hideMark/>
          </w:tcPr>
          <w:p w14:paraId="633C4B60" w14:textId="77777777" w:rsidR="00E8321A" w:rsidRPr="000E42D6" w:rsidRDefault="00E8321A" w:rsidP="00B56C1A">
            <w:pPr>
              <w:spacing w:after="0" w:line="240" w:lineRule="auto"/>
              <w:jc w:val="center"/>
              <w:rPr>
                <w:rFonts w:ascii="Book Antiqua" w:eastAsia="Times New Roman" w:hAnsi="Book Antiqua" w:cs="Calibri"/>
                <w:b/>
                <w:bCs/>
                <w:color w:val="FFFFFF"/>
                <w:sz w:val="18"/>
                <w:szCs w:val="18"/>
                <w:lang w:eastAsia="es-CR"/>
              </w:rPr>
            </w:pPr>
            <w:r w:rsidRPr="000E42D6">
              <w:rPr>
                <w:rFonts w:ascii="Book Antiqua" w:eastAsia="Times New Roman" w:hAnsi="Book Antiqua" w:cs="Calibri"/>
                <w:b/>
                <w:bCs/>
                <w:color w:val="FFFFFF"/>
                <w:sz w:val="18"/>
                <w:szCs w:val="18"/>
                <w:lang w:eastAsia="es-CR"/>
              </w:rPr>
              <w:t>Centro de responsabilidad</w:t>
            </w:r>
          </w:p>
        </w:tc>
        <w:tc>
          <w:tcPr>
            <w:tcW w:w="1644" w:type="dxa"/>
            <w:shd w:val="clear" w:color="000000" w:fill="44546A"/>
            <w:noWrap/>
            <w:vAlign w:val="center"/>
            <w:hideMark/>
          </w:tcPr>
          <w:p w14:paraId="1B2494BE" w14:textId="77777777" w:rsidR="00E8321A" w:rsidRPr="000E42D6" w:rsidRDefault="00E8321A" w:rsidP="00B56C1A">
            <w:pPr>
              <w:spacing w:after="0" w:line="240" w:lineRule="auto"/>
              <w:jc w:val="center"/>
              <w:rPr>
                <w:rFonts w:ascii="Book Antiqua" w:eastAsia="Times New Roman" w:hAnsi="Book Antiqua" w:cs="Calibri"/>
                <w:b/>
                <w:bCs/>
                <w:color w:val="FFFFFF"/>
                <w:sz w:val="18"/>
                <w:szCs w:val="18"/>
                <w:lang w:eastAsia="es-CR"/>
              </w:rPr>
            </w:pPr>
            <w:r w:rsidRPr="000E42D6">
              <w:rPr>
                <w:rFonts w:ascii="Book Antiqua" w:eastAsia="Times New Roman" w:hAnsi="Book Antiqua" w:cs="Calibri"/>
                <w:b/>
                <w:bCs/>
                <w:color w:val="FFFFFF"/>
                <w:sz w:val="18"/>
                <w:szCs w:val="18"/>
                <w:lang w:eastAsia="es-CR"/>
              </w:rPr>
              <w:t>Oficina Líder</w:t>
            </w:r>
          </w:p>
        </w:tc>
        <w:tc>
          <w:tcPr>
            <w:tcW w:w="741" w:type="dxa"/>
            <w:shd w:val="clear" w:color="000000" w:fill="44546A"/>
            <w:noWrap/>
            <w:vAlign w:val="center"/>
            <w:hideMark/>
          </w:tcPr>
          <w:p w14:paraId="656B01F5" w14:textId="77777777" w:rsidR="00E8321A" w:rsidRPr="000E42D6" w:rsidRDefault="00E8321A" w:rsidP="00B56C1A">
            <w:pPr>
              <w:spacing w:after="0" w:line="240" w:lineRule="auto"/>
              <w:jc w:val="center"/>
              <w:rPr>
                <w:rFonts w:ascii="Book Antiqua" w:eastAsia="Times New Roman" w:hAnsi="Book Antiqua" w:cs="Calibri"/>
                <w:b/>
                <w:bCs/>
                <w:color w:val="FFFFFF"/>
                <w:sz w:val="18"/>
                <w:szCs w:val="18"/>
                <w:lang w:eastAsia="es-CR"/>
              </w:rPr>
            </w:pPr>
            <w:r w:rsidRPr="000E42D6">
              <w:rPr>
                <w:rFonts w:ascii="Book Antiqua" w:eastAsia="Times New Roman" w:hAnsi="Book Antiqua" w:cs="Calibri"/>
                <w:b/>
                <w:bCs/>
                <w:color w:val="FFFFFF"/>
                <w:sz w:val="18"/>
                <w:szCs w:val="18"/>
                <w:lang w:eastAsia="es-CR"/>
              </w:rPr>
              <w:t>Código</w:t>
            </w:r>
          </w:p>
        </w:tc>
        <w:tc>
          <w:tcPr>
            <w:tcW w:w="2395" w:type="dxa"/>
            <w:shd w:val="clear" w:color="000000" w:fill="44546A"/>
            <w:noWrap/>
            <w:vAlign w:val="center"/>
            <w:hideMark/>
          </w:tcPr>
          <w:p w14:paraId="5536F20A" w14:textId="77777777" w:rsidR="00E8321A" w:rsidRPr="000E42D6" w:rsidRDefault="00E8321A" w:rsidP="00B56C1A">
            <w:pPr>
              <w:spacing w:after="0" w:line="240" w:lineRule="auto"/>
              <w:jc w:val="center"/>
              <w:rPr>
                <w:rFonts w:ascii="Book Antiqua" w:eastAsia="Times New Roman" w:hAnsi="Book Antiqua" w:cs="Calibri"/>
                <w:b/>
                <w:bCs/>
                <w:color w:val="FFFFFF"/>
                <w:sz w:val="18"/>
                <w:szCs w:val="18"/>
                <w:lang w:eastAsia="es-CR"/>
              </w:rPr>
            </w:pPr>
            <w:r w:rsidRPr="000E42D6">
              <w:rPr>
                <w:rFonts w:ascii="Book Antiqua" w:eastAsia="Times New Roman" w:hAnsi="Book Antiqua" w:cs="Calibri"/>
                <w:b/>
                <w:bCs/>
                <w:color w:val="FFFFFF"/>
                <w:sz w:val="18"/>
                <w:szCs w:val="18"/>
                <w:lang w:eastAsia="es-CR"/>
              </w:rPr>
              <w:t>Nombre</w:t>
            </w:r>
          </w:p>
        </w:tc>
        <w:tc>
          <w:tcPr>
            <w:tcW w:w="2255" w:type="dxa"/>
            <w:shd w:val="clear" w:color="000000" w:fill="44546A"/>
            <w:noWrap/>
            <w:vAlign w:val="center"/>
            <w:hideMark/>
          </w:tcPr>
          <w:p w14:paraId="37F041E6" w14:textId="77777777" w:rsidR="00E8321A" w:rsidRPr="000E42D6" w:rsidRDefault="00E8321A" w:rsidP="00B56C1A">
            <w:pPr>
              <w:spacing w:after="0" w:line="240" w:lineRule="auto"/>
              <w:jc w:val="center"/>
              <w:rPr>
                <w:rFonts w:ascii="Book Antiqua" w:eastAsia="Times New Roman" w:hAnsi="Book Antiqua" w:cs="Calibri"/>
                <w:b/>
                <w:bCs/>
                <w:color w:val="FFFFFF"/>
                <w:sz w:val="18"/>
                <w:szCs w:val="18"/>
                <w:lang w:eastAsia="es-CR"/>
              </w:rPr>
            </w:pPr>
            <w:r w:rsidRPr="000E42D6">
              <w:rPr>
                <w:rFonts w:ascii="Book Antiqua" w:eastAsia="Times New Roman" w:hAnsi="Book Antiqua" w:cs="Calibri"/>
                <w:b/>
                <w:bCs/>
                <w:color w:val="FFFFFF"/>
                <w:sz w:val="18"/>
                <w:szCs w:val="18"/>
                <w:lang w:eastAsia="es-CR"/>
              </w:rPr>
              <w:t>Recomendación pendiente</w:t>
            </w:r>
          </w:p>
        </w:tc>
        <w:tc>
          <w:tcPr>
            <w:tcW w:w="1134" w:type="dxa"/>
            <w:shd w:val="clear" w:color="000000" w:fill="44546A"/>
            <w:noWrap/>
            <w:vAlign w:val="center"/>
            <w:hideMark/>
          </w:tcPr>
          <w:p w14:paraId="171CED59" w14:textId="77777777" w:rsidR="00E8321A" w:rsidRPr="000E42D6" w:rsidRDefault="00E8321A" w:rsidP="00B56C1A">
            <w:pPr>
              <w:spacing w:after="0" w:line="240" w:lineRule="auto"/>
              <w:jc w:val="center"/>
              <w:rPr>
                <w:rFonts w:ascii="Book Antiqua" w:eastAsia="Times New Roman" w:hAnsi="Book Antiqua" w:cs="Calibri"/>
                <w:b/>
                <w:bCs/>
                <w:color w:val="FFFFFF"/>
                <w:sz w:val="18"/>
                <w:szCs w:val="18"/>
                <w:lang w:eastAsia="es-CR"/>
              </w:rPr>
            </w:pPr>
            <w:r w:rsidRPr="000E42D6">
              <w:rPr>
                <w:rFonts w:ascii="Book Antiqua" w:eastAsia="Times New Roman" w:hAnsi="Book Antiqua" w:cs="Calibri"/>
                <w:b/>
                <w:bCs/>
                <w:color w:val="FFFFFF"/>
                <w:sz w:val="18"/>
                <w:szCs w:val="18"/>
                <w:lang w:eastAsia="es-CR"/>
              </w:rPr>
              <w:t>Capítulo del informe</w:t>
            </w:r>
          </w:p>
        </w:tc>
        <w:tc>
          <w:tcPr>
            <w:tcW w:w="1590" w:type="dxa"/>
            <w:shd w:val="clear" w:color="000000" w:fill="44546A"/>
            <w:noWrap/>
            <w:vAlign w:val="center"/>
            <w:hideMark/>
          </w:tcPr>
          <w:p w14:paraId="4BCA2C2C" w14:textId="77777777" w:rsidR="00E8321A" w:rsidRPr="000E42D6" w:rsidRDefault="00E8321A" w:rsidP="00B56C1A">
            <w:pPr>
              <w:spacing w:after="0" w:line="240" w:lineRule="auto"/>
              <w:jc w:val="center"/>
              <w:rPr>
                <w:rFonts w:ascii="Book Antiqua" w:eastAsia="Times New Roman" w:hAnsi="Book Antiqua" w:cs="Calibri"/>
                <w:b/>
                <w:bCs/>
                <w:color w:val="FFFFFF"/>
                <w:sz w:val="18"/>
                <w:szCs w:val="18"/>
                <w:lang w:eastAsia="es-CR"/>
              </w:rPr>
            </w:pPr>
            <w:r w:rsidRPr="000E42D6">
              <w:rPr>
                <w:rFonts w:ascii="Book Antiqua" w:eastAsia="Times New Roman" w:hAnsi="Book Antiqua" w:cs="Calibri"/>
                <w:b/>
                <w:bCs/>
                <w:color w:val="FFFFFF"/>
                <w:sz w:val="18"/>
                <w:szCs w:val="18"/>
                <w:lang w:eastAsia="es-CR"/>
              </w:rPr>
              <w:t>Apartado del informe</w:t>
            </w:r>
          </w:p>
        </w:tc>
      </w:tr>
      <w:tr w:rsidR="008A1D31" w:rsidRPr="000E42D6" w14:paraId="305A5616" w14:textId="77777777" w:rsidTr="00675ED2">
        <w:trPr>
          <w:trHeight w:val="330"/>
          <w:jc w:val="center"/>
        </w:trPr>
        <w:tc>
          <w:tcPr>
            <w:tcW w:w="1470" w:type="dxa"/>
            <w:vMerge w:val="restart"/>
            <w:shd w:val="clear" w:color="auto" w:fill="auto"/>
            <w:noWrap/>
            <w:vAlign w:val="center"/>
            <w:hideMark/>
          </w:tcPr>
          <w:p w14:paraId="6F0F68BB" w14:textId="77777777" w:rsidR="008A1D31" w:rsidRPr="000E42D6" w:rsidRDefault="008A1D31" w:rsidP="00B56C1A">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Despacho de la Presidencia</w:t>
            </w:r>
          </w:p>
        </w:tc>
        <w:tc>
          <w:tcPr>
            <w:tcW w:w="1644" w:type="dxa"/>
            <w:vMerge w:val="restart"/>
            <w:shd w:val="clear" w:color="auto" w:fill="auto"/>
            <w:noWrap/>
            <w:vAlign w:val="center"/>
            <w:hideMark/>
          </w:tcPr>
          <w:p w14:paraId="3D31CAFD" w14:textId="77777777" w:rsidR="008A1D31" w:rsidRPr="000E42D6" w:rsidRDefault="008A1D31" w:rsidP="00B56C1A">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0653 DESPACHO DE LA PRESIDENCIA</w:t>
            </w:r>
          </w:p>
        </w:tc>
        <w:tc>
          <w:tcPr>
            <w:tcW w:w="741" w:type="dxa"/>
            <w:shd w:val="clear" w:color="auto" w:fill="auto"/>
            <w:noWrap/>
            <w:vAlign w:val="center"/>
            <w:hideMark/>
          </w:tcPr>
          <w:p w14:paraId="3A452BE5" w14:textId="77777777" w:rsidR="008A1D31" w:rsidRPr="000E42D6" w:rsidRDefault="008A1D31" w:rsidP="00B56C1A">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0653-DP-P02</w:t>
            </w:r>
          </w:p>
        </w:tc>
        <w:tc>
          <w:tcPr>
            <w:tcW w:w="2395" w:type="dxa"/>
            <w:shd w:val="clear" w:color="auto" w:fill="auto"/>
            <w:noWrap/>
            <w:vAlign w:val="center"/>
            <w:hideMark/>
          </w:tcPr>
          <w:p w14:paraId="0AB1BDD2" w14:textId="77777777" w:rsidR="008A1D31" w:rsidRPr="000E42D6" w:rsidRDefault="008A1D31" w:rsidP="00B56C1A">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Régimen Disciplinario</w:t>
            </w:r>
          </w:p>
        </w:tc>
        <w:tc>
          <w:tcPr>
            <w:tcW w:w="2255" w:type="dxa"/>
            <w:shd w:val="clear" w:color="auto" w:fill="auto"/>
            <w:noWrap/>
            <w:vAlign w:val="center"/>
            <w:hideMark/>
          </w:tcPr>
          <w:p w14:paraId="5FCBDBA8" w14:textId="77777777" w:rsidR="008A1D31" w:rsidRPr="000E42D6" w:rsidRDefault="008A1D31" w:rsidP="00B56C1A">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Pendiente aprobación de informe de avance</w:t>
            </w:r>
          </w:p>
        </w:tc>
        <w:tc>
          <w:tcPr>
            <w:tcW w:w="1134" w:type="dxa"/>
            <w:shd w:val="clear" w:color="auto" w:fill="auto"/>
            <w:noWrap/>
            <w:vAlign w:val="center"/>
            <w:hideMark/>
          </w:tcPr>
          <w:p w14:paraId="2AB6A8FB" w14:textId="77777777" w:rsidR="008A1D31" w:rsidRPr="000E42D6" w:rsidRDefault="008A1D31" w:rsidP="00B56C1A">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Capítulo 2</w:t>
            </w:r>
          </w:p>
        </w:tc>
        <w:tc>
          <w:tcPr>
            <w:tcW w:w="1590" w:type="dxa"/>
            <w:shd w:val="clear" w:color="auto" w:fill="auto"/>
            <w:noWrap/>
            <w:vAlign w:val="center"/>
            <w:hideMark/>
          </w:tcPr>
          <w:p w14:paraId="3C7D5CB5" w14:textId="77777777" w:rsidR="008A1D31" w:rsidRPr="000E42D6" w:rsidRDefault="008A1D31" w:rsidP="00B56C1A">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2.1</w:t>
            </w:r>
          </w:p>
        </w:tc>
      </w:tr>
      <w:tr w:rsidR="008A1D31" w:rsidRPr="000E42D6" w14:paraId="5F61D97C" w14:textId="77777777" w:rsidTr="00EF4E17">
        <w:trPr>
          <w:trHeight w:val="922"/>
          <w:jc w:val="center"/>
        </w:trPr>
        <w:tc>
          <w:tcPr>
            <w:tcW w:w="1470" w:type="dxa"/>
            <w:vMerge/>
            <w:shd w:val="clear" w:color="auto" w:fill="auto"/>
            <w:vAlign w:val="center"/>
            <w:hideMark/>
          </w:tcPr>
          <w:p w14:paraId="14A544AA" w14:textId="77777777" w:rsidR="008A1D31" w:rsidRPr="000E42D6" w:rsidRDefault="008A1D31" w:rsidP="00B56C1A">
            <w:pPr>
              <w:spacing w:after="0" w:line="240" w:lineRule="auto"/>
              <w:jc w:val="center"/>
              <w:rPr>
                <w:rFonts w:ascii="Book Antiqua" w:eastAsia="Times New Roman" w:hAnsi="Book Antiqua" w:cs="Calibri"/>
                <w:color w:val="000000"/>
                <w:sz w:val="18"/>
                <w:szCs w:val="18"/>
                <w:lang w:eastAsia="es-CR"/>
              </w:rPr>
            </w:pPr>
          </w:p>
        </w:tc>
        <w:tc>
          <w:tcPr>
            <w:tcW w:w="1644" w:type="dxa"/>
            <w:vMerge/>
            <w:shd w:val="clear" w:color="auto" w:fill="auto"/>
            <w:vAlign w:val="center"/>
            <w:hideMark/>
          </w:tcPr>
          <w:p w14:paraId="2347E9DA" w14:textId="77777777" w:rsidR="008A1D31" w:rsidRPr="000E42D6" w:rsidRDefault="008A1D31" w:rsidP="00B56C1A">
            <w:pPr>
              <w:spacing w:after="0" w:line="240" w:lineRule="auto"/>
              <w:jc w:val="center"/>
              <w:rPr>
                <w:rFonts w:ascii="Book Antiqua" w:eastAsia="Times New Roman" w:hAnsi="Book Antiqua" w:cs="Calibri"/>
                <w:color w:val="000000"/>
                <w:sz w:val="18"/>
                <w:szCs w:val="18"/>
                <w:lang w:eastAsia="es-CR"/>
              </w:rPr>
            </w:pPr>
          </w:p>
        </w:tc>
        <w:tc>
          <w:tcPr>
            <w:tcW w:w="741" w:type="dxa"/>
            <w:shd w:val="clear" w:color="auto" w:fill="auto"/>
            <w:noWrap/>
            <w:vAlign w:val="center"/>
            <w:hideMark/>
          </w:tcPr>
          <w:p w14:paraId="18E31D99" w14:textId="77777777" w:rsidR="008A1D31" w:rsidRPr="000E42D6" w:rsidRDefault="008A1D31" w:rsidP="00B56C1A">
            <w:pPr>
              <w:spacing w:after="0" w:line="240" w:lineRule="auto"/>
              <w:jc w:val="center"/>
              <w:rPr>
                <w:rFonts w:ascii="Book Antiqua" w:eastAsia="Times New Roman" w:hAnsi="Book Antiqua" w:cs="Calibri"/>
                <w:color w:val="444444"/>
                <w:sz w:val="18"/>
                <w:szCs w:val="18"/>
                <w:lang w:eastAsia="es-CR"/>
              </w:rPr>
            </w:pPr>
            <w:r w:rsidRPr="000E42D6">
              <w:rPr>
                <w:rFonts w:ascii="Book Antiqua" w:eastAsia="Times New Roman" w:hAnsi="Book Antiqua" w:cs="Calibri"/>
                <w:color w:val="444444"/>
                <w:sz w:val="18"/>
                <w:szCs w:val="18"/>
                <w:lang w:eastAsia="es-CR"/>
              </w:rPr>
              <w:t>0653-DP-P14</w:t>
            </w:r>
          </w:p>
        </w:tc>
        <w:tc>
          <w:tcPr>
            <w:tcW w:w="2395" w:type="dxa"/>
            <w:shd w:val="clear" w:color="auto" w:fill="auto"/>
            <w:noWrap/>
            <w:vAlign w:val="center"/>
            <w:hideMark/>
          </w:tcPr>
          <w:p w14:paraId="5BF34268" w14:textId="77777777" w:rsidR="008A1D31" w:rsidRPr="000E42D6" w:rsidRDefault="008A1D31" w:rsidP="00B56C1A">
            <w:pPr>
              <w:spacing w:after="0" w:line="240" w:lineRule="auto"/>
              <w:jc w:val="center"/>
              <w:rPr>
                <w:rFonts w:ascii="Book Antiqua" w:eastAsia="Times New Roman" w:hAnsi="Book Antiqua" w:cs="Calibri"/>
                <w:color w:val="444444"/>
                <w:sz w:val="18"/>
                <w:szCs w:val="18"/>
                <w:lang w:eastAsia="es-CR"/>
              </w:rPr>
            </w:pPr>
            <w:r w:rsidRPr="000E42D6">
              <w:rPr>
                <w:rFonts w:ascii="Book Antiqua" w:eastAsia="Times New Roman" w:hAnsi="Book Antiqua" w:cs="Calibri"/>
                <w:color w:val="444444"/>
                <w:sz w:val="18"/>
                <w:szCs w:val="18"/>
                <w:lang w:eastAsia="es-CR"/>
              </w:rPr>
              <w:t>Desarrollo e Implantación Sistema Observatorio Judicial</w:t>
            </w:r>
          </w:p>
        </w:tc>
        <w:tc>
          <w:tcPr>
            <w:tcW w:w="2255" w:type="dxa"/>
            <w:shd w:val="clear" w:color="auto" w:fill="auto"/>
            <w:noWrap/>
            <w:vAlign w:val="center"/>
            <w:hideMark/>
          </w:tcPr>
          <w:p w14:paraId="1E478918" w14:textId="77777777" w:rsidR="008A1D31" w:rsidRDefault="008A1D31" w:rsidP="00EF4E17">
            <w:pPr>
              <w:spacing w:after="0" w:line="240" w:lineRule="auto"/>
              <w:jc w:val="both"/>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 xml:space="preserve">Producto de la solicitud de cambio pendiente: </w:t>
            </w:r>
            <w:r w:rsidRPr="000E42D6">
              <w:rPr>
                <w:rFonts w:ascii="Book Antiqua" w:eastAsia="Times New Roman" w:hAnsi="Book Antiqua" w:cs="Calibri"/>
                <w:b/>
                <w:bCs/>
                <w:color w:val="000000"/>
                <w:sz w:val="18"/>
                <w:szCs w:val="18"/>
                <w:lang w:eastAsia="es-CR"/>
              </w:rPr>
              <w:t>Estudio de factibilidad</w:t>
            </w:r>
            <w:r w:rsidRPr="000E42D6">
              <w:rPr>
                <w:rFonts w:ascii="Book Antiqua" w:eastAsia="Times New Roman" w:hAnsi="Book Antiqua" w:cs="Calibri"/>
                <w:color w:val="000000"/>
                <w:sz w:val="18"/>
                <w:szCs w:val="18"/>
                <w:lang w:eastAsia="es-CR"/>
              </w:rPr>
              <w:t xml:space="preserve"> (formulario de DTI, se debe elaborar en formulario de metodología institucional vigente) se debe actualizar los costos, porque no están todos los permisos brindados. Plan de dirección del proyecto (formulario de DTI, se debe elaborar en formulario de metodología institucional vigente): revisar la estructura de desglose del proyecto, porque no coincide con el cronograma. </w:t>
            </w:r>
          </w:p>
          <w:p w14:paraId="3963141E" w14:textId="77777777" w:rsidR="008A1D31" w:rsidRPr="000E42D6" w:rsidRDefault="008A1D31" w:rsidP="00EF4E17">
            <w:pPr>
              <w:spacing w:after="0" w:line="240" w:lineRule="auto"/>
              <w:jc w:val="both"/>
              <w:rPr>
                <w:rFonts w:ascii="Book Antiqua" w:eastAsia="Times New Roman" w:hAnsi="Book Antiqua" w:cs="Calibri"/>
                <w:color w:val="000000"/>
                <w:sz w:val="18"/>
                <w:szCs w:val="18"/>
                <w:lang w:eastAsia="es-CR"/>
              </w:rPr>
            </w:pPr>
            <w:r w:rsidRPr="000E42D6">
              <w:rPr>
                <w:rFonts w:ascii="Book Antiqua" w:eastAsia="Times New Roman" w:hAnsi="Book Antiqua" w:cs="Calibri"/>
                <w:b/>
                <w:bCs/>
                <w:color w:val="000000"/>
                <w:sz w:val="18"/>
                <w:szCs w:val="18"/>
                <w:lang w:eastAsia="es-CR"/>
              </w:rPr>
              <w:t>Acta de constitución:</w:t>
            </w:r>
            <w:r w:rsidRPr="000E42D6">
              <w:rPr>
                <w:rFonts w:ascii="Book Antiqua" w:eastAsia="Times New Roman" w:hAnsi="Book Antiqua" w:cs="Calibri"/>
                <w:color w:val="000000"/>
                <w:sz w:val="18"/>
                <w:szCs w:val="18"/>
                <w:lang w:eastAsia="es-CR"/>
              </w:rPr>
              <w:t xml:space="preserve"> fecha de finalización de be coincidir con cronograma; el cronograma general es un cronograma de alto nivel; Recursos del proyecto: este debe contemplar todos los costos en los cuales ha incurrido el proyecto o incurrirá el proyecto tanto en recurso humano como gasto variable; en equipo del proyecto se deben indicar todos los roles, </w:t>
            </w:r>
            <w:r w:rsidRPr="000E42D6">
              <w:rPr>
                <w:rFonts w:ascii="Book Antiqua" w:eastAsia="Times New Roman" w:hAnsi="Book Antiqua" w:cs="Calibri"/>
                <w:color w:val="000000"/>
                <w:sz w:val="18"/>
                <w:szCs w:val="18"/>
                <w:lang w:eastAsia="es-CR"/>
              </w:rPr>
              <w:lastRenderedPageBreak/>
              <w:t>nombres y puestos del proyecto. (Se debe trasladar la información a la versión 2 de la metodología institucional)</w:t>
            </w:r>
          </w:p>
        </w:tc>
        <w:tc>
          <w:tcPr>
            <w:tcW w:w="1134" w:type="dxa"/>
            <w:shd w:val="clear" w:color="auto" w:fill="auto"/>
            <w:noWrap/>
            <w:vAlign w:val="center"/>
            <w:hideMark/>
          </w:tcPr>
          <w:p w14:paraId="290797CB" w14:textId="77777777" w:rsidR="008A1D31" w:rsidRPr="000E42D6" w:rsidRDefault="008A1D31" w:rsidP="00B56C1A">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lastRenderedPageBreak/>
              <w:t>Capítulo 1</w:t>
            </w:r>
          </w:p>
        </w:tc>
        <w:tc>
          <w:tcPr>
            <w:tcW w:w="1590" w:type="dxa"/>
            <w:shd w:val="clear" w:color="auto" w:fill="auto"/>
            <w:noWrap/>
            <w:vAlign w:val="center"/>
            <w:hideMark/>
          </w:tcPr>
          <w:p w14:paraId="235718DF" w14:textId="77777777" w:rsidR="008A1D31" w:rsidRPr="000E42D6" w:rsidRDefault="008A1D31" w:rsidP="00B56C1A">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1.10</w:t>
            </w:r>
          </w:p>
        </w:tc>
      </w:tr>
      <w:tr w:rsidR="008A1D31" w:rsidRPr="000E42D6" w14:paraId="7A8508F3" w14:textId="77777777" w:rsidTr="00EF4E17">
        <w:trPr>
          <w:trHeight w:val="300"/>
          <w:jc w:val="center"/>
        </w:trPr>
        <w:tc>
          <w:tcPr>
            <w:tcW w:w="1470" w:type="dxa"/>
            <w:vMerge/>
            <w:vAlign w:val="center"/>
            <w:hideMark/>
          </w:tcPr>
          <w:p w14:paraId="47E145E9"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1644" w:type="dxa"/>
            <w:vMerge w:val="restart"/>
            <w:vAlign w:val="center"/>
            <w:hideMark/>
          </w:tcPr>
          <w:p w14:paraId="2843C9A6" w14:textId="4FAB0BAF" w:rsidR="008A1D31" w:rsidRPr="000E42D6" w:rsidRDefault="008A1D31" w:rsidP="00EF4E17">
            <w:pPr>
              <w:spacing w:after="0" w:line="240" w:lineRule="auto"/>
              <w:ind w:left="20"/>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0653 DESPACHO DE LA PRESIDENCIA</w:t>
            </w:r>
          </w:p>
        </w:tc>
        <w:tc>
          <w:tcPr>
            <w:tcW w:w="741" w:type="dxa"/>
            <w:vMerge w:val="restart"/>
            <w:vAlign w:val="center"/>
            <w:hideMark/>
          </w:tcPr>
          <w:p w14:paraId="4B9B9C27" w14:textId="2611B786" w:rsidR="008A1D31" w:rsidRPr="000E42D6" w:rsidRDefault="008A1D31" w:rsidP="008A1D31">
            <w:pPr>
              <w:spacing w:after="0" w:line="240" w:lineRule="auto"/>
              <w:jc w:val="center"/>
              <w:rPr>
                <w:rFonts w:ascii="Book Antiqua" w:eastAsia="Times New Roman" w:hAnsi="Book Antiqua" w:cs="Calibri"/>
                <w:color w:val="444444"/>
                <w:sz w:val="18"/>
                <w:szCs w:val="18"/>
                <w:lang w:eastAsia="es-CR"/>
              </w:rPr>
            </w:pPr>
            <w:r w:rsidRPr="000E42D6">
              <w:rPr>
                <w:rFonts w:ascii="Book Antiqua" w:eastAsia="Times New Roman" w:hAnsi="Book Antiqua" w:cs="Calibri"/>
                <w:color w:val="444444"/>
                <w:sz w:val="18"/>
                <w:szCs w:val="18"/>
                <w:lang w:eastAsia="es-CR"/>
              </w:rPr>
              <w:t>0653-DP-P14</w:t>
            </w:r>
          </w:p>
        </w:tc>
        <w:tc>
          <w:tcPr>
            <w:tcW w:w="2395" w:type="dxa"/>
            <w:vMerge w:val="restart"/>
            <w:vAlign w:val="center"/>
            <w:hideMark/>
          </w:tcPr>
          <w:p w14:paraId="2BC25C83" w14:textId="10BA4BB3" w:rsidR="008A1D31" w:rsidRPr="000E42D6" w:rsidRDefault="008A1D31" w:rsidP="008A1D31">
            <w:pPr>
              <w:spacing w:after="0" w:line="240" w:lineRule="auto"/>
              <w:jc w:val="center"/>
              <w:rPr>
                <w:rFonts w:ascii="Book Antiqua" w:eastAsia="Times New Roman" w:hAnsi="Book Antiqua" w:cs="Calibri"/>
                <w:color w:val="444444"/>
                <w:sz w:val="18"/>
                <w:szCs w:val="18"/>
                <w:lang w:eastAsia="es-CR"/>
              </w:rPr>
            </w:pPr>
            <w:r w:rsidRPr="000E42D6">
              <w:rPr>
                <w:rFonts w:ascii="Book Antiqua" w:eastAsia="Times New Roman" w:hAnsi="Book Antiqua" w:cs="Calibri"/>
                <w:color w:val="444444"/>
                <w:sz w:val="18"/>
                <w:szCs w:val="18"/>
                <w:lang w:eastAsia="es-CR"/>
              </w:rPr>
              <w:t>Desarrollo e Implantación Sistema Observatorio Judicial</w:t>
            </w:r>
          </w:p>
        </w:tc>
        <w:tc>
          <w:tcPr>
            <w:tcW w:w="2255" w:type="dxa"/>
            <w:shd w:val="clear" w:color="auto" w:fill="auto"/>
            <w:noWrap/>
            <w:vAlign w:val="center"/>
            <w:hideMark/>
          </w:tcPr>
          <w:p w14:paraId="5A63C6FC" w14:textId="77777777" w:rsidR="008A1D31" w:rsidRPr="000E42D6" w:rsidRDefault="008A1D31" w:rsidP="008A1D31">
            <w:pPr>
              <w:spacing w:after="0" w:line="240" w:lineRule="auto"/>
              <w:jc w:val="both"/>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No se corrigió el informe de avance de diciembre, ni se justifica los motivos por los cuales no se corrige el informe.</w:t>
            </w:r>
          </w:p>
        </w:tc>
        <w:tc>
          <w:tcPr>
            <w:tcW w:w="1134" w:type="dxa"/>
            <w:shd w:val="clear" w:color="auto" w:fill="auto"/>
            <w:noWrap/>
            <w:vAlign w:val="center"/>
            <w:hideMark/>
          </w:tcPr>
          <w:p w14:paraId="40D590A2"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Capítulo 1</w:t>
            </w:r>
          </w:p>
        </w:tc>
        <w:tc>
          <w:tcPr>
            <w:tcW w:w="1590" w:type="dxa"/>
            <w:shd w:val="clear" w:color="auto" w:fill="auto"/>
            <w:noWrap/>
            <w:vAlign w:val="center"/>
            <w:hideMark/>
          </w:tcPr>
          <w:p w14:paraId="5C1A5D95"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1.10</w:t>
            </w:r>
          </w:p>
        </w:tc>
      </w:tr>
      <w:tr w:rsidR="008A1D31" w:rsidRPr="000E42D6" w14:paraId="5D84462E" w14:textId="77777777" w:rsidTr="00EF4E17">
        <w:trPr>
          <w:trHeight w:val="330"/>
          <w:jc w:val="center"/>
        </w:trPr>
        <w:tc>
          <w:tcPr>
            <w:tcW w:w="1470" w:type="dxa"/>
            <w:vMerge/>
            <w:vAlign w:val="center"/>
            <w:hideMark/>
          </w:tcPr>
          <w:p w14:paraId="5CB53ABA"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1644" w:type="dxa"/>
            <w:vMerge/>
            <w:vAlign w:val="center"/>
            <w:hideMark/>
          </w:tcPr>
          <w:p w14:paraId="2F9AD381"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741" w:type="dxa"/>
            <w:vMerge/>
            <w:vAlign w:val="center"/>
            <w:hideMark/>
          </w:tcPr>
          <w:p w14:paraId="61B0BED9" w14:textId="77777777" w:rsidR="008A1D31" w:rsidRPr="000E42D6" w:rsidRDefault="008A1D31" w:rsidP="008A1D31">
            <w:pPr>
              <w:spacing w:after="0" w:line="240" w:lineRule="auto"/>
              <w:jc w:val="center"/>
              <w:rPr>
                <w:rFonts w:ascii="Book Antiqua" w:eastAsia="Times New Roman" w:hAnsi="Book Antiqua" w:cs="Calibri"/>
                <w:color w:val="444444"/>
                <w:sz w:val="18"/>
                <w:szCs w:val="18"/>
                <w:lang w:eastAsia="es-CR"/>
              </w:rPr>
            </w:pPr>
          </w:p>
        </w:tc>
        <w:tc>
          <w:tcPr>
            <w:tcW w:w="2395" w:type="dxa"/>
            <w:vMerge/>
            <w:vAlign w:val="center"/>
            <w:hideMark/>
          </w:tcPr>
          <w:p w14:paraId="54967382" w14:textId="77777777" w:rsidR="008A1D31" w:rsidRPr="000E42D6" w:rsidRDefault="008A1D31" w:rsidP="008A1D31">
            <w:pPr>
              <w:spacing w:after="0" w:line="240" w:lineRule="auto"/>
              <w:jc w:val="center"/>
              <w:rPr>
                <w:rFonts w:ascii="Book Antiqua" w:eastAsia="Times New Roman" w:hAnsi="Book Antiqua" w:cs="Calibri"/>
                <w:color w:val="444444"/>
                <w:sz w:val="18"/>
                <w:szCs w:val="18"/>
                <w:lang w:eastAsia="es-CR"/>
              </w:rPr>
            </w:pPr>
          </w:p>
        </w:tc>
        <w:tc>
          <w:tcPr>
            <w:tcW w:w="2255" w:type="dxa"/>
            <w:shd w:val="clear" w:color="auto" w:fill="auto"/>
            <w:noWrap/>
            <w:vAlign w:val="center"/>
            <w:hideMark/>
          </w:tcPr>
          <w:p w14:paraId="2ADA128D" w14:textId="77777777" w:rsidR="008A1D31" w:rsidRPr="000E42D6" w:rsidRDefault="008A1D31" w:rsidP="008A1D31">
            <w:pPr>
              <w:spacing w:after="0" w:line="240" w:lineRule="auto"/>
              <w:jc w:val="both"/>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Los porcentajes presentados en el informe de avance no coincide con el cronograma que se tiene, se debe modificar el mismo.</w:t>
            </w:r>
          </w:p>
        </w:tc>
        <w:tc>
          <w:tcPr>
            <w:tcW w:w="1134" w:type="dxa"/>
            <w:shd w:val="clear" w:color="auto" w:fill="auto"/>
            <w:noWrap/>
            <w:vAlign w:val="center"/>
            <w:hideMark/>
          </w:tcPr>
          <w:p w14:paraId="0B067A47"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Capítulo 2</w:t>
            </w:r>
          </w:p>
        </w:tc>
        <w:tc>
          <w:tcPr>
            <w:tcW w:w="1590" w:type="dxa"/>
            <w:shd w:val="clear" w:color="auto" w:fill="auto"/>
            <w:noWrap/>
            <w:vAlign w:val="center"/>
            <w:hideMark/>
          </w:tcPr>
          <w:p w14:paraId="128D9B1C"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2.1</w:t>
            </w:r>
          </w:p>
        </w:tc>
      </w:tr>
      <w:tr w:rsidR="008A1D31" w:rsidRPr="000E42D6" w14:paraId="773BFD83" w14:textId="77777777" w:rsidTr="00EF4E17">
        <w:trPr>
          <w:trHeight w:val="330"/>
          <w:jc w:val="center"/>
        </w:trPr>
        <w:tc>
          <w:tcPr>
            <w:tcW w:w="1470" w:type="dxa"/>
            <w:vMerge/>
            <w:vAlign w:val="center"/>
            <w:hideMark/>
          </w:tcPr>
          <w:p w14:paraId="368537B7"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1644" w:type="dxa"/>
            <w:vMerge/>
            <w:vAlign w:val="center"/>
            <w:hideMark/>
          </w:tcPr>
          <w:p w14:paraId="2FB73BA0"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741" w:type="dxa"/>
            <w:vMerge/>
            <w:vAlign w:val="center"/>
            <w:hideMark/>
          </w:tcPr>
          <w:p w14:paraId="2377424B" w14:textId="77777777" w:rsidR="008A1D31" w:rsidRPr="000E42D6" w:rsidRDefault="008A1D31" w:rsidP="008A1D31">
            <w:pPr>
              <w:spacing w:after="0" w:line="240" w:lineRule="auto"/>
              <w:jc w:val="center"/>
              <w:rPr>
                <w:rFonts w:ascii="Book Antiqua" w:eastAsia="Times New Roman" w:hAnsi="Book Antiqua" w:cs="Calibri"/>
                <w:color w:val="444444"/>
                <w:sz w:val="18"/>
                <w:szCs w:val="18"/>
                <w:lang w:eastAsia="es-CR"/>
              </w:rPr>
            </w:pPr>
          </w:p>
        </w:tc>
        <w:tc>
          <w:tcPr>
            <w:tcW w:w="2395" w:type="dxa"/>
            <w:vMerge/>
            <w:vAlign w:val="center"/>
            <w:hideMark/>
          </w:tcPr>
          <w:p w14:paraId="3136F091" w14:textId="77777777" w:rsidR="008A1D31" w:rsidRPr="000E42D6" w:rsidRDefault="008A1D31" w:rsidP="008A1D31">
            <w:pPr>
              <w:spacing w:after="0" w:line="240" w:lineRule="auto"/>
              <w:jc w:val="center"/>
              <w:rPr>
                <w:rFonts w:ascii="Book Antiqua" w:eastAsia="Times New Roman" w:hAnsi="Book Antiqua" w:cs="Calibri"/>
                <w:color w:val="444444"/>
                <w:sz w:val="18"/>
                <w:szCs w:val="18"/>
                <w:lang w:eastAsia="es-CR"/>
              </w:rPr>
            </w:pPr>
          </w:p>
        </w:tc>
        <w:tc>
          <w:tcPr>
            <w:tcW w:w="2255" w:type="dxa"/>
            <w:shd w:val="clear" w:color="auto" w:fill="auto"/>
            <w:noWrap/>
            <w:vAlign w:val="center"/>
            <w:hideMark/>
          </w:tcPr>
          <w:p w14:paraId="23B7C2CB" w14:textId="77777777" w:rsidR="008A1D31" w:rsidRPr="000E42D6" w:rsidRDefault="008A1D31" w:rsidP="008A1D31">
            <w:pPr>
              <w:spacing w:after="0" w:line="240" w:lineRule="auto"/>
              <w:jc w:val="both"/>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Pendiente aprobación de informe de avance</w:t>
            </w:r>
          </w:p>
        </w:tc>
        <w:tc>
          <w:tcPr>
            <w:tcW w:w="1134" w:type="dxa"/>
            <w:shd w:val="clear" w:color="auto" w:fill="auto"/>
            <w:noWrap/>
            <w:vAlign w:val="center"/>
            <w:hideMark/>
          </w:tcPr>
          <w:p w14:paraId="5BB8B099"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Capítulo 2</w:t>
            </w:r>
          </w:p>
        </w:tc>
        <w:tc>
          <w:tcPr>
            <w:tcW w:w="1590" w:type="dxa"/>
            <w:shd w:val="clear" w:color="auto" w:fill="auto"/>
            <w:noWrap/>
            <w:vAlign w:val="center"/>
            <w:hideMark/>
          </w:tcPr>
          <w:p w14:paraId="575BC907"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2.1</w:t>
            </w:r>
          </w:p>
        </w:tc>
      </w:tr>
      <w:tr w:rsidR="008A1D31" w:rsidRPr="000E42D6" w14:paraId="696C4476" w14:textId="77777777" w:rsidTr="00EF4E17">
        <w:trPr>
          <w:trHeight w:val="330"/>
          <w:jc w:val="center"/>
        </w:trPr>
        <w:tc>
          <w:tcPr>
            <w:tcW w:w="1470" w:type="dxa"/>
            <w:vMerge/>
            <w:vAlign w:val="center"/>
            <w:hideMark/>
          </w:tcPr>
          <w:p w14:paraId="537980FA"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1644" w:type="dxa"/>
            <w:vMerge/>
            <w:vAlign w:val="center"/>
            <w:hideMark/>
          </w:tcPr>
          <w:p w14:paraId="7755D05B"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741" w:type="dxa"/>
            <w:vMerge/>
            <w:vAlign w:val="center"/>
            <w:hideMark/>
          </w:tcPr>
          <w:p w14:paraId="32273596" w14:textId="77777777" w:rsidR="008A1D31" w:rsidRPr="000E42D6" w:rsidRDefault="008A1D31" w:rsidP="008A1D31">
            <w:pPr>
              <w:spacing w:after="0" w:line="240" w:lineRule="auto"/>
              <w:jc w:val="center"/>
              <w:rPr>
                <w:rFonts w:ascii="Book Antiqua" w:eastAsia="Times New Roman" w:hAnsi="Book Antiqua" w:cs="Calibri"/>
                <w:color w:val="444444"/>
                <w:sz w:val="18"/>
                <w:szCs w:val="18"/>
                <w:lang w:eastAsia="es-CR"/>
              </w:rPr>
            </w:pPr>
          </w:p>
        </w:tc>
        <w:tc>
          <w:tcPr>
            <w:tcW w:w="2395" w:type="dxa"/>
            <w:vMerge/>
            <w:vAlign w:val="center"/>
            <w:hideMark/>
          </w:tcPr>
          <w:p w14:paraId="253F7F28" w14:textId="77777777" w:rsidR="008A1D31" w:rsidRPr="000E42D6" w:rsidRDefault="008A1D31" w:rsidP="008A1D31">
            <w:pPr>
              <w:spacing w:after="0" w:line="240" w:lineRule="auto"/>
              <w:jc w:val="center"/>
              <w:rPr>
                <w:rFonts w:ascii="Book Antiqua" w:eastAsia="Times New Roman" w:hAnsi="Book Antiqua" w:cs="Calibri"/>
                <w:color w:val="444444"/>
                <w:sz w:val="18"/>
                <w:szCs w:val="18"/>
                <w:lang w:eastAsia="es-CR"/>
              </w:rPr>
            </w:pPr>
          </w:p>
        </w:tc>
        <w:tc>
          <w:tcPr>
            <w:tcW w:w="2255" w:type="dxa"/>
            <w:shd w:val="clear" w:color="auto" w:fill="auto"/>
            <w:noWrap/>
            <w:vAlign w:val="center"/>
            <w:hideMark/>
          </w:tcPr>
          <w:p w14:paraId="0FFDD5D6" w14:textId="77777777" w:rsidR="008A1D31" w:rsidRDefault="008A1D31" w:rsidP="008A1D31">
            <w:pPr>
              <w:spacing w:after="0" w:line="240" w:lineRule="auto"/>
              <w:jc w:val="both"/>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 xml:space="preserve">Producto de la solicitud de cambio pendiente: </w:t>
            </w:r>
            <w:r w:rsidRPr="000E42D6">
              <w:rPr>
                <w:rFonts w:ascii="Book Antiqua" w:eastAsia="Times New Roman" w:hAnsi="Book Antiqua" w:cs="Calibri"/>
                <w:b/>
                <w:bCs/>
                <w:color w:val="000000"/>
                <w:sz w:val="18"/>
                <w:szCs w:val="18"/>
                <w:lang w:eastAsia="es-CR"/>
              </w:rPr>
              <w:t xml:space="preserve">Estudio de </w:t>
            </w:r>
            <w:r w:rsidRPr="001A560C">
              <w:rPr>
                <w:rFonts w:ascii="Book Antiqua" w:eastAsia="Times New Roman" w:hAnsi="Book Antiqua" w:cs="Calibri"/>
                <w:b/>
                <w:bCs/>
                <w:color w:val="000000"/>
                <w:sz w:val="18"/>
                <w:szCs w:val="18"/>
                <w:lang w:eastAsia="es-CR"/>
              </w:rPr>
              <w:t>factibilidad</w:t>
            </w:r>
            <w:r w:rsidRPr="000E42D6">
              <w:rPr>
                <w:rFonts w:ascii="Book Antiqua" w:eastAsia="Times New Roman" w:hAnsi="Book Antiqua" w:cs="Calibri"/>
                <w:color w:val="000000"/>
                <w:sz w:val="18"/>
                <w:szCs w:val="18"/>
                <w:lang w:eastAsia="es-CR"/>
              </w:rPr>
              <w:t xml:space="preserve"> (formulario de DTI, se debe elaborar en formulario de metodología institucional vigente) se debe actualizar los costos, porque no están todos los permisos brindados. Plan de dirección del proyecto (formulario de DTI, se debe elaborar en formulario de metodología institucional vigente): revisar la estructura de desglose del proyecto, porque no coincide con el cronograma. </w:t>
            </w:r>
          </w:p>
          <w:p w14:paraId="18011DFB" w14:textId="298C7731" w:rsidR="008A1D31" w:rsidRPr="000E42D6" w:rsidRDefault="008A1D31" w:rsidP="008A1D31">
            <w:pPr>
              <w:spacing w:after="0" w:line="240" w:lineRule="auto"/>
              <w:jc w:val="both"/>
              <w:rPr>
                <w:rFonts w:ascii="Book Antiqua" w:eastAsia="Times New Roman" w:hAnsi="Book Antiqua" w:cs="Calibri"/>
                <w:color w:val="000000"/>
                <w:sz w:val="18"/>
                <w:szCs w:val="18"/>
                <w:lang w:eastAsia="es-CR"/>
              </w:rPr>
            </w:pPr>
            <w:r w:rsidRPr="000E42D6">
              <w:rPr>
                <w:rFonts w:ascii="Book Antiqua" w:eastAsia="Times New Roman" w:hAnsi="Book Antiqua" w:cs="Calibri"/>
                <w:b/>
                <w:bCs/>
                <w:color w:val="000000"/>
                <w:sz w:val="18"/>
                <w:szCs w:val="18"/>
                <w:lang w:eastAsia="es-CR"/>
              </w:rPr>
              <w:t>Acta de constitución:</w:t>
            </w:r>
            <w:r w:rsidRPr="000E42D6">
              <w:rPr>
                <w:rFonts w:ascii="Book Antiqua" w:eastAsia="Times New Roman" w:hAnsi="Book Antiqua" w:cs="Calibri"/>
                <w:color w:val="000000"/>
                <w:sz w:val="18"/>
                <w:szCs w:val="18"/>
                <w:lang w:eastAsia="es-CR"/>
              </w:rPr>
              <w:t xml:space="preserve"> fecha de finalización </w:t>
            </w:r>
            <w:r>
              <w:rPr>
                <w:rFonts w:ascii="Book Antiqua" w:eastAsia="Times New Roman" w:hAnsi="Book Antiqua" w:cs="Calibri"/>
                <w:color w:val="000000"/>
                <w:sz w:val="18"/>
                <w:szCs w:val="18"/>
                <w:lang w:eastAsia="es-CR"/>
              </w:rPr>
              <w:t xml:space="preserve">     </w:t>
            </w:r>
            <w:r w:rsidRPr="000E42D6">
              <w:rPr>
                <w:rFonts w:ascii="Book Antiqua" w:eastAsia="Times New Roman" w:hAnsi="Book Antiqua" w:cs="Calibri"/>
                <w:color w:val="000000"/>
                <w:sz w:val="18"/>
                <w:szCs w:val="18"/>
                <w:lang w:eastAsia="es-CR"/>
              </w:rPr>
              <w:t xml:space="preserve">debe coincidir con cronograma; el cronograma general es un cronograma de alto nivel; Recursos del proyecto: este debe contemplar todos los costos en los cuales ha incurrido el proyecto o incurrirá el proyecto tanto en recurso </w:t>
            </w:r>
            <w:r w:rsidRPr="000E42D6">
              <w:rPr>
                <w:rFonts w:ascii="Book Antiqua" w:eastAsia="Times New Roman" w:hAnsi="Book Antiqua" w:cs="Calibri"/>
                <w:color w:val="000000"/>
                <w:sz w:val="18"/>
                <w:szCs w:val="18"/>
                <w:lang w:eastAsia="es-CR"/>
              </w:rPr>
              <w:lastRenderedPageBreak/>
              <w:t>humano como gasto variable; en equipo del proyecto se deben indicar todos los roles, nombres y puestos del proyecto. (Se debe trasladar la información a la versión 2 de la metodología institucional)</w:t>
            </w:r>
          </w:p>
        </w:tc>
        <w:tc>
          <w:tcPr>
            <w:tcW w:w="1134" w:type="dxa"/>
            <w:shd w:val="clear" w:color="auto" w:fill="auto"/>
            <w:noWrap/>
            <w:vAlign w:val="center"/>
            <w:hideMark/>
          </w:tcPr>
          <w:p w14:paraId="7DE7D23D"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lastRenderedPageBreak/>
              <w:t>Capítulo 2</w:t>
            </w:r>
          </w:p>
        </w:tc>
        <w:tc>
          <w:tcPr>
            <w:tcW w:w="1590" w:type="dxa"/>
            <w:shd w:val="clear" w:color="auto" w:fill="auto"/>
            <w:noWrap/>
            <w:vAlign w:val="center"/>
            <w:hideMark/>
          </w:tcPr>
          <w:p w14:paraId="417966DF"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2.3</w:t>
            </w:r>
          </w:p>
        </w:tc>
      </w:tr>
      <w:tr w:rsidR="008A1D31" w:rsidRPr="000E42D6" w14:paraId="5E37909E" w14:textId="77777777" w:rsidTr="00EF4E17">
        <w:trPr>
          <w:trHeight w:val="330"/>
          <w:jc w:val="center"/>
        </w:trPr>
        <w:tc>
          <w:tcPr>
            <w:tcW w:w="1470" w:type="dxa"/>
            <w:vMerge/>
            <w:vAlign w:val="center"/>
            <w:hideMark/>
          </w:tcPr>
          <w:p w14:paraId="798B5FB2"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1644" w:type="dxa"/>
            <w:vMerge/>
            <w:vAlign w:val="center"/>
            <w:hideMark/>
          </w:tcPr>
          <w:p w14:paraId="72E32107"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741" w:type="dxa"/>
            <w:vMerge/>
            <w:vAlign w:val="center"/>
            <w:hideMark/>
          </w:tcPr>
          <w:p w14:paraId="0E770301" w14:textId="77777777" w:rsidR="008A1D31" w:rsidRPr="000E42D6" w:rsidRDefault="008A1D31" w:rsidP="008A1D31">
            <w:pPr>
              <w:spacing w:after="0" w:line="240" w:lineRule="auto"/>
              <w:jc w:val="center"/>
              <w:rPr>
                <w:rFonts w:ascii="Book Antiqua" w:eastAsia="Times New Roman" w:hAnsi="Book Antiqua" w:cs="Calibri"/>
                <w:color w:val="444444"/>
                <w:sz w:val="18"/>
                <w:szCs w:val="18"/>
                <w:lang w:eastAsia="es-CR"/>
              </w:rPr>
            </w:pPr>
          </w:p>
        </w:tc>
        <w:tc>
          <w:tcPr>
            <w:tcW w:w="2395" w:type="dxa"/>
            <w:vMerge/>
            <w:vAlign w:val="center"/>
            <w:hideMark/>
          </w:tcPr>
          <w:p w14:paraId="06BB01C7" w14:textId="77777777" w:rsidR="008A1D31" w:rsidRPr="000E42D6" w:rsidRDefault="008A1D31" w:rsidP="008A1D31">
            <w:pPr>
              <w:spacing w:after="0" w:line="240" w:lineRule="auto"/>
              <w:jc w:val="center"/>
              <w:rPr>
                <w:rFonts w:ascii="Book Antiqua" w:eastAsia="Times New Roman" w:hAnsi="Book Antiqua" w:cs="Calibri"/>
                <w:color w:val="444444"/>
                <w:sz w:val="18"/>
                <w:szCs w:val="18"/>
                <w:lang w:eastAsia="es-CR"/>
              </w:rPr>
            </w:pPr>
          </w:p>
        </w:tc>
        <w:tc>
          <w:tcPr>
            <w:tcW w:w="2255" w:type="dxa"/>
            <w:shd w:val="clear" w:color="auto" w:fill="auto"/>
            <w:noWrap/>
            <w:vAlign w:val="center"/>
            <w:hideMark/>
          </w:tcPr>
          <w:p w14:paraId="4F3FDC8D" w14:textId="77777777" w:rsidR="008A1D31" w:rsidRPr="000E42D6" w:rsidRDefault="008A1D31" w:rsidP="00EF4E17">
            <w:pPr>
              <w:spacing w:after="0" w:line="240" w:lineRule="auto"/>
              <w:jc w:val="both"/>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Pendiente aprobación de solicitud de cambio 28-4-23</w:t>
            </w:r>
          </w:p>
        </w:tc>
        <w:tc>
          <w:tcPr>
            <w:tcW w:w="1134" w:type="dxa"/>
            <w:shd w:val="clear" w:color="auto" w:fill="auto"/>
            <w:noWrap/>
            <w:vAlign w:val="center"/>
            <w:hideMark/>
          </w:tcPr>
          <w:p w14:paraId="5FFCDBF8"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Capítulo 2</w:t>
            </w:r>
          </w:p>
        </w:tc>
        <w:tc>
          <w:tcPr>
            <w:tcW w:w="1590" w:type="dxa"/>
            <w:shd w:val="clear" w:color="auto" w:fill="auto"/>
            <w:noWrap/>
            <w:vAlign w:val="center"/>
            <w:hideMark/>
          </w:tcPr>
          <w:p w14:paraId="028FB5A1"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2.3</w:t>
            </w:r>
          </w:p>
        </w:tc>
      </w:tr>
      <w:tr w:rsidR="008A1D31" w:rsidRPr="000E42D6" w14:paraId="5C6AFAA6" w14:textId="77777777" w:rsidTr="00EF4E17">
        <w:trPr>
          <w:trHeight w:val="300"/>
          <w:jc w:val="center"/>
        </w:trPr>
        <w:tc>
          <w:tcPr>
            <w:tcW w:w="1470" w:type="dxa"/>
            <w:vMerge/>
            <w:vAlign w:val="center"/>
            <w:hideMark/>
          </w:tcPr>
          <w:p w14:paraId="14B3E0E9"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1644" w:type="dxa"/>
            <w:vMerge/>
            <w:vAlign w:val="center"/>
            <w:hideMark/>
          </w:tcPr>
          <w:p w14:paraId="53C7F727"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741" w:type="dxa"/>
            <w:vMerge w:val="restart"/>
            <w:shd w:val="clear" w:color="auto" w:fill="auto"/>
            <w:noWrap/>
            <w:vAlign w:val="center"/>
            <w:hideMark/>
          </w:tcPr>
          <w:p w14:paraId="396168F6"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P10-PRI-PC</w:t>
            </w:r>
          </w:p>
        </w:tc>
        <w:tc>
          <w:tcPr>
            <w:tcW w:w="2395" w:type="dxa"/>
            <w:vMerge w:val="restart"/>
            <w:shd w:val="clear" w:color="auto" w:fill="auto"/>
            <w:noWrap/>
            <w:vAlign w:val="center"/>
            <w:hideMark/>
          </w:tcPr>
          <w:p w14:paraId="69047E61"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Reglamento de Carrera de la Defensa Publica</w:t>
            </w:r>
          </w:p>
        </w:tc>
        <w:tc>
          <w:tcPr>
            <w:tcW w:w="2255" w:type="dxa"/>
            <w:shd w:val="clear" w:color="auto" w:fill="auto"/>
            <w:noWrap/>
            <w:vAlign w:val="center"/>
            <w:hideMark/>
          </w:tcPr>
          <w:p w14:paraId="6C714759" w14:textId="77777777" w:rsidR="008A1D31" w:rsidRPr="000E42D6" w:rsidRDefault="008A1D31" w:rsidP="00EF4E17">
            <w:pPr>
              <w:spacing w:after="0" w:line="240" w:lineRule="auto"/>
              <w:jc w:val="both"/>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Pendiente de elaborar el III informe de seguimiento del 2022.</w:t>
            </w:r>
          </w:p>
        </w:tc>
        <w:tc>
          <w:tcPr>
            <w:tcW w:w="1134" w:type="dxa"/>
            <w:shd w:val="clear" w:color="auto" w:fill="auto"/>
            <w:noWrap/>
            <w:vAlign w:val="center"/>
            <w:hideMark/>
          </w:tcPr>
          <w:p w14:paraId="50CB01B0"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Capítulo 1</w:t>
            </w:r>
          </w:p>
        </w:tc>
        <w:tc>
          <w:tcPr>
            <w:tcW w:w="1590" w:type="dxa"/>
            <w:shd w:val="clear" w:color="auto" w:fill="auto"/>
            <w:noWrap/>
            <w:vAlign w:val="center"/>
            <w:hideMark/>
          </w:tcPr>
          <w:p w14:paraId="170CAD8F"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1.10</w:t>
            </w:r>
          </w:p>
        </w:tc>
      </w:tr>
      <w:tr w:rsidR="008A1D31" w:rsidRPr="000E42D6" w14:paraId="4AE05642" w14:textId="77777777" w:rsidTr="00EF4E17">
        <w:trPr>
          <w:trHeight w:val="330"/>
          <w:jc w:val="center"/>
        </w:trPr>
        <w:tc>
          <w:tcPr>
            <w:tcW w:w="1470" w:type="dxa"/>
            <w:vMerge/>
            <w:vAlign w:val="center"/>
            <w:hideMark/>
          </w:tcPr>
          <w:p w14:paraId="0F1E98E3"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1644" w:type="dxa"/>
            <w:vMerge/>
            <w:vAlign w:val="center"/>
            <w:hideMark/>
          </w:tcPr>
          <w:p w14:paraId="23DBE321"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741" w:type="dxa"/>
            <w:vMerge/>
            <w:shd w:val="clear" w:color="auto" w:fill="auto"/>
            <w:vAlign w:val="center"/>
            <w:hideMark/>
          </w:tcPr>
          <w:p w14:paraId="45A53856"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2395" w:type="dxa"/>
            <w:vMerge/>
            <w:shd w:val="clear" w:color="auto" w:fill="auto"/>
            <w:vAlign w:val="center"/>
            <w:hideMark/>
          </w:tcPr>
          <w:p w14:paraId="6E6F22CA"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2255" w:type="dxa"/>
            <w:shd w:val="clear" w:color="auto" w:fill="auto"/>
            <w:noWrap/>
            <w:vAlign w:val="center"/>
            <w:hideMark/>
          </w:tcPr>
          <w:p w14:paraId="3896A0A3" w14:textId="77777777" w:rsidR="008A1D31" w:rsidRPr="000E42D6" w:rsidRDefault="008A1D31" w:rsidP="00EF4E17">
            <w:pPr>
              <w:spacing w:after="0" w:line="240" w:lineRule="auto"/>
              <w:jc w:val="both"/>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Pendiente aprobación de informe de avance</w:t>
            </w:r>
          </w:p>
        </w:tc>
        <w:tc>
          <w:tcPr>
            <w:tcW w:w="1134" w:type="dxa"/>
            <w:shd w:val="clear" w:color="auto" w:fill="auto"/>
            <w:noWrap/>
            <w:vAlign w:val="center"/>
            <w:hideMark/>
          </w:tcPr>
          <w:p w14:paraId="059D4D6F"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Capítulo 2</w:t>
            </w:r>
          </w:p>
        </w:tc>
        <w:tc>
          <w:tcPr>
            <w:tcW w:w="1590" w:type="dxa"/>
            <w:shd w:val="clear" w:color="auto" w:fill="auto"/>
            <w:noWrap/>
            <w:vAlign w:val="center"/>
            <w:hideMark/>
          </w:tcPr>
          <w:p w14:paraId="7EB041FC"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2.1</w:t>
            </w:r>
          </w:p>
        </w:tc>
      </w:tr>
      <w:tr w:rsidR="008A1D31" w:rsidRPr="000E42D6" w14:paraId="31CB9E67" w14:textId="77777777" w:rsidTr="00EF4E17">
        <w:trPr>
          <w:trHeight w:val="330"/>
          <w:jc w:val="center"/>
        </w:trPr>
        <w:tc>
          <w:tcPr>
            <w:tcW w:w="1470" w:type="dxa"/>
            <w:vMerge/>
            <w:vAlign w:val="center"/>
            <w:hideMark/>
          </w:tcPr>
          <w:p w14:paraId="1B5A099B"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1644" w:type="dxa"/>
            <w:vMerge/>
            <w:vAlign w:val="center"/>
            <w:hideMark/>
          </w:tcPr>
          <w:p w14:paraId="682F3ACD"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741" w:type="dxa"/>
            <w:vMerge w:val="restart"/>
            <w:shd w:val="clear" w:color="auto" w:fill="auto"/>
            <w:noWrap/>
            <w:vAlign w:val="center"/>
            <w:hideMark/>
          </w:tcPr>
          <w:p w14:paraId="76EFACDA"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0653-DP-P16</w:t>
            </w:r>
          </w:p>
        </w:tc>
        <w:tc>
          <w:tcPr>
            <w:tcW w:w="2395" w:type="dxa"/>
            <w:vMerge w:val="restart"/>
            <w:shd w:val="clear" w:color="auto" w:fill="auto"/>
            <w:noWrap/>
            <w:vAlign w:val="center"/>
            <w:hideMark/>
          </w:tcPr>
          <w:p w14:paraId="63C713FD"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Mejorar desafíos en el ámbito jurisdiccional establecidos en el cuarto Informe del Estado de la Justicia</w:t>
            </w:r>
          </w:p>
        </w:tc>
        <w:tc>
          <w:tcPr>
            <w:tcW w:w="2255" w:type="dxa"/>
            <w:shd w:val="clear" w:color="auto" w:fill="auto"/>
            <w:noWrap/>
            <w:vAlign w:val="center"/>
            <w:hideMark/>
          </w:tcPr>
          <w:p w14:paraId="6756C738" w14:textId="77777777" w:rsidR="008A1D31" w:rsidRPr="000E42D6" w:rsidRDefault="008A1D31" w:rsidP="00EF4E17">
            <w:pPr>
              <w:spacing w:after="0" w:line="240" w:lineRule="auto"/>
              <w:jc w:val="both"/>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Pendiente aprobación de informe de avance</w:t>
            </w:r>
          </w:p>
        </w:tc>
        <w:tc>
          <w:tcPr>
            <w:tcW w:w="1134" w:type="dxa"/>
            <w:shd w:val="clear" w:color="auto" w:fill="auto"/>
            <w:noWrap/>
            <w:vAlign w:val="center"/>
            <w:hideMark/>
          </w:tcPr>
          <w:p w14:paraId="0725A848"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Capítulo 2</w:t>
            </w:r>
          </w:p>
        </w:tc>
        <w:tc>
          <w:tcPr>
            <w:tcW w:w="1590" w:type="dxa"/>
            <w:shd w:val="clear" w:color="auto" w:fill="auto"/>
            <w:noWrap/>
            <w:vAlign w:val="center"/>
            <w:hideMark/>
          </w:tcPr>
          <w:p w14:paraId="4AB58C13"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2.1</w:t>
            </w:r>
          </w:p>
        </w:tc>
      </w:tr>
      <w:tr w:rsidR="008A1D31" w:rsidRPr="000E42D6" w14:paraId="1CD2D2D9" w14:textId="77777777" w:rsidTr="00EF4E17">
        <w:trPr>
          <w:trHeight w:val="330"/>
          <w:jc w:val="center"/>
        </w:trPr>
        <w:tc>
          <w:tcPr>
            <w:tcW w:w="1470" w:type="dxa"/>
            <w:vMerge/>
            <w:vAlign w:val="center"/>
            <w:hideMark/>
          </w:tcPr>
          <w:p w14:paraId="6B88A5AA"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1644" w:type="dxa"/>
            <w:vMerge/>
            <w:vAlign w:val="center"/>
            <w:hideMark/>
          </w:tcPr>
          <w:p w14:paraId="74485933"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741" w:type="dxa"/>
            <w:vMerge/>
            <w:shd w:val="clear" w:color="auto" w:fill="auto"/>
            <w:vAlign w:val="center"/>
            <w:hideMark/>
          </w:tcPr>
          <w:p w14:paraId="1692EFD8"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2395" w:type="dxa"/>
            <w:vMerge/>
            <w:shd w:val="clear" w:color="auto" w:fill="auto"/>
            <w:vAlign w:val="center"/>
            <w:hideMark/>
          </w:tcPr>
          <w:p w14:paraId="1E07DDC1"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2255" w:type="dxa"/>
            <w:shd w:val="clear" w:color="auto" w:fill="auto"/>
            <w:noWrap/>
            <w:vAlign w:val="center"/>
            <w:hideMark/>
          </w:tcPr>
          <w:p w14:paraId="2ED2F601" w14:textId="77777777" w:rsidR="008A1D31" w:rsidRPr="000E42D6" w:rsidRDefault="008A1D31" w:rsidP="00EF4E17">
            <w:pPr>
              <w:spacing w:after="0" w:line="240" w:lineRule="auto"/>
              <w:jc w:val="both"/>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Porcentaje esperado y actual diferentes al calculado en el Project muestra un 0% y no un 10%. De hecho, que no existe cronograma.</w:t>
            </w:r>
          </w:p>
        </w:tc>
        <w:tc>
          <w:tcPr>
            <w:tcW w:w="1134" w:type="dxa"/>
            <w:shd w:val="clear" w:color="auto" w:fill="auto"/>
            <w:noWrap/>
            <w:vAlign w:val="center"/>
            <w:hideMark/>
          </w:tcPr>
          <w:p w14:paraId="6E344360"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Capítulo 2</w:t>
            </w:r>
          </w:p>
        </w:tc>
        <w:tc>
          <w:tcPr>
            <w:tcW w:w="1590" w:type="dxa"/>
            <w:shd w:val="clear" w:color="auto" w:fill="auto"/>
            <w:noWrap/>
            <w:vAlign w:val="center"/>
            <w:hideMark/>
          </w:tcPr>
          <w:p w14:paraId="6609B0DC"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2.1</w:t>
            </w:r>
          </w:p>
        </w:tc>
      </w:tr>
      <w:tr w:rsidR="008A1D31" w:rsidRPr="000E42D6" w14:paraId="0E9AD1F8" w14:textId="77777777" w:rsidTr="00EF4E17">
        <w:trPr>
          <w:trHeight w:val="330"/>
          <w:jc w:val="center"/>
        </w:trPr>
        <w:tc>
          <w:tcPr>
            <w:tcW w:w="1470" w:type="dxa"/>
            <w:vMerge/>
            <w:vAlign w:val="center"/>
            <w:hideMark/>
          </w:tcPr>
          <w:p w14:paraId="5EEF8A06"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1644" w:type="dxa"/>
            <w:vMerge/>
            <w:vAlign w:val="center"/>
            <w:hideMark/>
          </w:tcPr>
          <w:p w14:paraId="268EF50D"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741" w:type="dxa"/>
            <w:vMerge w:val="restart"/>
            <w:shd w:val="clear" w:color="auto" w:fill="auto"/>
            <w:noWrap/>
            <w:vAlign w:val="center"/>
            <w:hideMark/>
          </w:tcPr>
          <w:p w14:paraId="555BCAA3"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0653-DP-P17</w:t>
            </w:r>
          </w:p>
        </w:tc>
        <w:tc>
          <w:tcPr>
            <w:tcW w:w="2395" w:type="dxa"/>
            <w:vMerge w:val="restart"/>
            <w:shd w:val="clear" w:color="auto" w:fill="auto"/>
            <w:noWrap/>
            <w:vAlign w:val="center"/>
            <w:hideMark/>
          </w:tcPr>
          <w:p w14:paraId="3D79C407"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Mejorar desafíos establecidos en el Informe del Estado de la Justicia en el ámbito de la gobernanza política</w:t>
            </w:r>
          </w:p>
        </w:tc>
        <w:tc>
          <w:tcPr>
            <w:tcW w:w="2255" w:type="dxa"/>
            <w:shd w:val="clear" w:color="auto" w:fill="auto"/>
            <w:noWrap/>
            <w:vAlign w:val="center"/>
            <w:hideMark/>
          </w:tcPr>
          <w:p w14:paraId="03622134" w14:textId="77777777" w:rsidR="008A1D31" w:rsidRPr="000E42D6" w:rsidRDefault="008A1D31" w:rsidP="00EF4E17">
            <w:pPr>
              <w:spacing w:after="0" w:line="240" w:lineRule="auto"/>
              <w:jc w:val="both"/>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Pendiente aprobación de informe de avance</w:t>
            </w:r>
          </w:p>
        </w:tc>
        <w:tc>
          <w:tcPr>
            <w:tcW w:w="1134" w:type="dxa"/>
            <w:shd w:val="clear" w:color="auto" w:fill="auto"/>
            <w:noWrap/>
            <w:vAlign w:val="center"/>
            <w:hideMark/>
          </w:tcPr>
          <w:p w14:paraId="66A08781"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Capítulo 2</w:t>
            </w:r>
          </w:p>
        </w:tc>
        <w:tc>
          <w:tcPr>
            <w:tcW w:w="1590" w:type="dxa"/>
            <w:shd w:val="clear" w:color="auto" w:fill="auto"/>
            <w:noWrap/>
            <w:vAlign w:val="center"/>
            <w:hideMark/>
          </w:tcPr>
          <w:p w14:paraId="377B41DF"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2.1</w:t>
            </w:r>
          </w:p>
        </w:tc>
      </w:tr>
      <w:tr w:rsidR="008A1D31" w:rsidRPr="000E42D6" w14:paraId="666B452A" w14:textId="77777777" w:rsidTr="00EF4E17">
        <w:trPr>
          <w:trHeight w:val="330"/>
          <w:jc w:val="center"/>
        </w:trPr>
        <w:tc>
          <w:tcPr>
            <w:tcW w:w="1470" w:type="dxa"/>
            <w:vMerge/>
            <w:vAlign w:val="center"/>
            <w:hideMark/>
          </w:tcPr>
          <w:p w14:paraId="6475D548"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1644" w:type="dxa"/>
            <w:vMerge/>
            <w:vAlign w:val="center"/>
            <w:hideMark/>
          </w:tcPr>
          <w:p w14:paraId="17842238"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741" w:type="dxa"/>
            <w:vMerge/>
            <w:shd w:val="clear" w:color="auto" w:fill="auto"/>
            <w:vAlign w:val="center"/>
            <w:hideMark/>
          </w:tcPr>
          <w:p w14:paraId="432189DF"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2395" w:type="dxa"/>
            <w:vMerge/>
            <w:shd w:val="clear" w:color="auto" w:fill="auto"/>
            <w:vAlign w:val="center"/>
            <w:hideMark/>
          </w:tcPr>
          <w:p w14:paraId="78B30D72"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2255" w:type="dxa"/>
            <w:shd w:val="clear" w:color="auto" w:fill="auto"/>
            <w:noWrap/>
            <w:vAlign w:val="center"/>
            <w:hideMark/>
          </w:tcPr>
          <w:p w14:paraId="0817BBAA" w14:textId="77777777" w:rsidR="008A1D31" w:rsidRPr="000E42D6" w:rsidRDefault="008A1D31" w:rsidP="00EF4E17">
            <w:pPr>
              <w:spacing w:after="0" w:line="240" w:lineRule="auto"/>
              <w:jc w:val="both"/>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Porcentaje esperado y actual diferentes al calculado en el Project muestra un 0% y no un 10%. De hecho, que no existe cronograma.</w:t>
            </w:r>
          </w:p>
        </w:tc>
        <w:tc>
          <w:tcPr>
            <w:tcW w:w="1134" w:type="dxa"/>
            <w:shd w:val="clear" w:color="auto" w:fill="auto"/>
            <w:noWrap/>
            <w:vAlign w:val="center"/>
            <w:hideMark/>
          </w:tcPr>
          <w:p w14:paraId="118715F1"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Capítulo 2</w:t>
            </w:r>
          </w:p>
        </w:tc>
        <w:tc>
          <w:tcPr>
            <w:tcW w:w="1590" w:type="dxa"/>
            <w:shd w:val="clear" w:color="auto" w:fill="auto"/>
            <w:noWrap/>
            <w:vAlign w:val="center"/>
            <w:hideMark/>
          </w:tcPr>
          <w:p w14:paraId="06618656"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2.1</w:t>
            </w:r>
          </w:p>
        </w:tc>
      </w:tr>
      <w:tr w:rsidR="008A1D31" w:rsidRPr="000E42D6" w14:paraId="1AEDEF23" w14:textId="77777777" w:rsidTr="00EF4E17">
        <w:trPr>
          <w:trHeight w:val="330"/>
          <w:jc w:val="center"/>
        </w:trPr>
        <w:tc>
          <w:tcPr>
            <w:tcW w:w="1470" w:type="dxa"/>
            <w:vMerge/>
            <w:vAlign w:val="center"/>
            <w:hideMark/>
          </w:tcPr>
          <w:p w14:paraId="3C4957BD"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1644" w:type="dxa"/>
            <w:vMerge/>
            <w:vAlign w:val="center"/>
            <w:hideMark/>
          </w:tcPr>
          <w:p w14:paraId="64B7D4AF"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741" w:type="dxa"/>
            <w:vMerge w:val="restart"/>
            <w:shd w:val="clear" w:color="auto" w:fill="auto"/>
            <w:noWrap/>
            <w:vAlign w:val="center"/>
            <w:hideMark/>
          </w:tcPr>
          <w:p w14:paraId="7B673468"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0653-DP-P18</w:t>
            </w:r>
          </w:p>
        </w:tc>
        <w:tc>
          <w:tcPr>
            <w:tcW w:w="2395" w:type="dxa"/>
            <w:vMerge w:val="restart"/>
            <w:shd w:val="clear" w:color="auto" w:fill="auto"/>
            <w:noWrap/>
            <w:vAlign w:val="center"/>
            <w:hideMark/>
          </w:tcPr>
          <w:p w14:paraId="41527D21"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Mejorar desafíos establecidos en el Informe del Estado de la Justicia en el ámbito de la gestión administrativa</w:t>
            </w:r>
          </w:p>
        </w:tc>
        <w:tc>
          <w:tcPr>
            <w:tcW w:w="2255" w:type="dxa"/>
            <w:shd w:val="clear" w:color="auto" w:fill="auto"/>
            <w:noWrap/>
            <w:vAlign w:val="center"/>
            <w:hideMark/>
          </w:tcPr>
          <w:p w14:paraId="149744DD" w14:textId="77777777" w:rsidR="008A1D31" w:rsidRPr="000E42D6" w:rsidRDefault="008A1D31" w:rsidP="00EF4E17">
            <w:pPr>
              <w:spacing w:after="0" w:line="240" w:lineRule="auto"/>
              <w:jc w:val="both"/>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Pendiente aprobación de informe de avance</w:t>
            </w:r>
          </w:p>
        </w:tc>
        <w:tc>
          <w:tcPr>
            <w:tcW w:w="1134" w:type="dxa"/>
            <w:shd w:val="clear" w:color="auto" w:fill="auto"/>
            <w:noWrap/>
            <w:vAlign w:val="center"/>
            <w:hideMark/>
          </w:tcPr>
          <w:p w14:paraId="0A399F04"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Capítulo 2</w:t>
            </w:r>
          </w:p>
        </w:tc>
        <w:tc>
          <w:tcPr>
            <w:tcW w:w="1590" w:type="dxa"/>
            <w:shd w:val="clear" w:color="auto" w:fill="auto"/>
            <w:noWrap/>
            <w:vAlign w:val="center"/>
            <w:hideMark/>
          </w:tcPr>
          <w:p w14:paraId="5F960FED"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2.1</w:t>
            </w:r>
          </w:p>
        </w:tc>
      </w:tr>
      <w:tr w:rsidR="008A1D31" w:rsidRPr="000E42D6" w14:paraId="13936BE4" w14:textId="77777777" w:rsidTr="00EF4E17">
        <w:trPr>
          <w:trHeight w:val="330"/>
          <w:jc w:val="center"/>
        </w:trPr>
        <w:tc>
          <w:tcPr>
            <w:tcW w:w="1470" w:type="dxa"/>
            <w:vMerge/>
            <w:vAlign w:val="center"/>
            <w:hideMark/>
          </w:tcPr>
          <w:p w14:paraId="34FBC4BE"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1644" w:type="dxa"/>
            <w:vMerge/>
            <w:vAlign w:val="center"/>
            <w:hideMark/>
          </w:tcPr>
          <w:p w14:paraId="39B77B40"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741" w:type="dxa"/>
            <w:vMerge/>
            <w:shd w:val="clear" w:color="auto" w:fill="auto"/>
            <w:vAlign w:val="center"/>
            <w:hideMark/>
          </w:tcPr>
          <w:p w14:paraId="4F001200"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2395" w:type="dxa"/>
            <w:vMerge/>
            <w:shd w:val="clear" w:color="auto" w:fill="auto"/>
            <w:vAlign w:val="center"/>
            <w:hideMark/>
          </w:tcPr>
          <w:p w14:paraId="50BF7C57"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p>
        </w:tc>
        <w:tc>
          <w:tcPr>
            <w:tcW w:w="2255" w:type="dxa"/>
            <w:shd w:val="clear" w:color="auto" w:fill="auto"/>
            <w:noWrap/>
            <w:vAlign w:val="center"/>
            <w:hideMark/>
          </w:tcPr>
          <w:p w14:paraId="5D11F67C" w14:textId="77777777" w:rsidR="008A1D31" w:rsidRPr="000E42D6" w:rsidRDefault="008A1D31" w:rsidP="00EF4E17">
            <w:pPr>
              <w:spacing w:after="0" w:line="240" w:lineRule="auto"/>
              <w:jc w:val="both"/>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Porcentaje esperado y actual diferentes al calculado en el Project muestra un 0% y no un 10%. De hecho, que no existe cronograma.</w:t>
            </w:r>
          </w:p>
        </w:tc>
        <w:tc>
          <w:tcPr>
            <w:tcW w:w="1134" w:type="dxa"/>
            <w:shd w:val="clear" w:color="auto" w:fill="auto"/>
            <w:noWrap/>
            <w:vAlign w:val="center"/>
            <w:hideMark/>
          </w:tcPr>
          <w:p w14:paraId="1529EDEF"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Capítulo 2</w:t>
            </w:r>
          </w:p>
        </w:tc>
        <w:tc>
          <w:tcPr>
            <w:tcW w:w="1590" w:type="dxa"/>
            <w:shd w:val="clear" w:color="auto" w:fill="auto"/>
            <w:noWrap/>
            <w:vAlign w:val="center"/>
            <w:hideMark/>
          </w:tcPr>
          <w:p w14:paraId="0499991C" w14:textId="77777777" w:rsidR="008A1D31" w:rsidRPr="000E42D6" w:rsidRDefault="008A1D31" w:rsidP="008A1D31">
            <w:pPr>
              <w:spacing w:after="0" w:line="240" w:lineRule="auto"/>
              <w:jc w:val="center"/>
              <w:rPr>
                <w:rFonts w:ascii="Book Antiqua" w:eastAsia="Times New Roman" w:hAnsi="Book Antiqua" w:cs="Calibri"/>
                <w:color w:val="000000"/>
                <w:sz w:val="18"/>
                <w:szCs w:val="18"/>
                <w:lang w:eastAsia="es-CR"/>
              </w:rPr>
            </w:pPr>
            <w:r w:rsidRPr="000E42D6">
              <w:rPr>
                <w:rFonts w:ascii="Book Antiqua" w:eastAsia="Times New Roman" w:hAnsi="Book Antiqua" w:cs="Calibri"/>
                <w:color w:val="000000"/>
                <w:sz w:val="18"/>
                <w:szCs w:val="18"/>
                <w:lang w:eastAsia="es-CR"/>
              </w:rPr>
              <w:t>2.1</w:t>
            </w:r>
          </w:p>
        </w:tc>
      </w:tr>
    </w:tbl>
    <w:p w14:paraId="199EBD75" w14:textId="77777777" w:rsidR="00E8321A" w:rsidRPr="00174798" w:rsidRDefault="00E8321A" w:rsidP="00E8321A">
      <w:pPr>
        <w:spacing w:after="0" w:line="240" w:lineRule="auto"/>
        <w:ind w:left="567"/>
        <w:jc w:val="both"/>
        <w:rPr>
          <w:rFonts w:ascii="Book Antiqua" w:hAnsi="Book Antiqua"/>
          <w:sz w:val="24"/>
          <w:szCs w:val="24"/>
        </w:rPr>
      </w:pPr>
    </w:p>
    <w:p w14:paraId="79D6EABF" w14:textId="752753D0" w:rsidR="00020ED9" w:rsidRDefault="00E8321A" w:rsidP="00BD65C0">
      <w:pPr>
        <w:numPr>
          <w:ilvl w:val="1"/>
          <w:numId w:val="20"/>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Además, deberá dar seguimiento a que la </w:t>
      </w:r>
      <w:r w:rsidRPr="00174798">
        <w:rPr>
          <w:rFonts w:ascii="Book Antiqua" w:hAnsi="Book Antiqua"/>
          <w:b/>
          <w:bCs/>
          <w:sz w:val="24"/>
          <w:szCs w:val="24"/>
        </w:rPr>
        <w:t>Sección de Cooperación y Relaciones Internacionales</w:t>
      </w:r>
      <w:r w:rsidRPr="00174798">
        <w:rPr>
          <w:rFonts w:ascii="Book Antiqua" w:hAnsi="Book Antiqua"/>
          <w:sz w:val="24"/>
          <w:szCs w:val="24"/>
        </w:rPr>
        <w:t xml:space="preserve"> más tardar el </w:t>
      </w:r>
      <w:r w:rsidRPr="00373A06">
        <w:rPr>
          <w:rFonts w:ascii="Book Antiqua" w:hAnsi="Book Antiqua"/>
          <w:b/>
          <w:bCs/>
          <w:sz w:val="24"/>
          <w:szCs w:val="24"/>
        </w:rPr>
        <w:t>11 de agosto del 2023</w:t>
      </w:r>
      <w:r w:rsidRPr="00174798">
        <w:rPr>
          <w:rFonts w:ascii="Book Antiqua" w:hAnsi="Book Antiqua"/>
          <w:sz w:val="24"/>
          <w:szCs w:val="24"/>
        </w:rPr>
        <w:t>, cargue en el sitio de proyecto la atención de la siguiente recomendación:</w:t>
      </w:r>
    </w:p>
    <w:p w14:paraId="00C74F2C" w14:textId="0C516CE9" w:rsidR="008A1D31" w:rsidRDefault="008A1D31" w:rsidP="008A1D31">
      <w:pPr>
        <w:spacing w:after="0" w:line="240" w:lineRule="auto"/>
        <w:jc w:val="both"/>
        <w:rPr>
          <w:rFonts w:ascii="Book Antiqua" w:hAnsi="Book Antiqua"/>
          <w:sz w:val="24"/>
          <w:szCs w:val="24"/>
        </w:rPr>
      </w:pPr>
    </w:p>
    <w:p w14:paraId="2ACBD16E" w14:textId="77777777" w:rsidR="008A1D31" w:rsidRPr="00020ED9" w:rsidRDefault="008A1D31" w:rsidP="00EF4E17">
      <w:pPr>
        <w:spacing w:after="0" w:line="240" w:lineRule="auto"/>
        <w:jc w:val="both"/>
        <w:rPr>
          <w:rFonts w:ascii="Book Antiqua" w:hAnsi="Book Antiqua"/>
          <w:sz w:val="24"/>
          <w:szCs w:val="24"/>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791"/>
        <w:gridCol w:w="124"/>
        <w:gridCol w:w="664"/>
        <w:gridCol w:w="1441"/>
        <w:gridCol w:w="2733"/>
        <w:gridCol w:w="1580"/>
        <w:gridCol w:w="911"/>
        <w:gridCol w:w="60"/>
      </w:tblGrid>
      <w:tr w:rsidR="00E24FCA" w:rsidRPr="00373A06" w14:paraId="2EAD6CDE" w14:textId="77777777" w:rsidTr="00525928">
        <w:trPr>
          <w:gridAfter w:val="1"/>
          <w:wAfter w:w="60" w:type="dxa"/>
          <w:trHeight w:val="300"/>
          <w:jc w:val="center"/>
        </w:trPr>
        <w:tc>
          <w:tcPr>
            <w:tcW w:w="1470" w:type="dxa"/>
            <w:shd w:val="clear" w:color="000000" w:fill="44546A"/>
            <w:noWrap/>
            <w:vAlign w:val="center"/>
            <w:hideMark/>
          </w:tcPr>
          <w:p w14:paraId="44F898E6" w14:textId="77777777" w:rsidR="00E8321A" w:rsidRPr="00373A06" w:rsidRDefault="00E8321A" w:rsidP="00B56C1A">
            <w:pPr>
              <w:spacing w:after="0" w:line="240" w:lineRule="auto"/>
              <w:jc w:val="center"/>
              <w:rPr>
                <w:rFonts w:ascii="Book Antiqua" w:eastAsia="Times New Roman" w:hAnsi="Book Antiqua" w:cs="Calibri"/>
                <w:b/>
                <w:bCs/>
                <w:color w:val="FFFFFF"/>
                <w:sz w:val="18"/>
                <w:szCs w:val="18"/>
                <w:lang w:eastAsia="es-CR"/>
              </w:rPr>
            </w:pPr>
            <w:r w:rsidRPr="00373A06">
              <w:rPr>
                <w:rFonts w:ascii="Book Antiqua" w:eastAsia="Times New Roman" w:hAnsi="Book Antiqua" w:cs="Calibri"/>
                <w:b/>
                <w:bCs/>
                <w:color w:val="FFFFFF"/>
                <w:sz w:val="18"/>
                <w:szCs w:val="18"/>
                <w:lang w:eastAsia="es-CR"/>
              </w:rPr>
              <w:lastRenderedPageBreak/>
              <w:t>Centro de responsabilidad</w:t>
            </w:r>
          </w:p>
        </w:tc>
        <w:tc>
          <w:tcPr>
            <w:tcW w:w="1791" w:type="dxa"/>
            <w:shd w:val="clear" w:color="000000" w:fill="44546A"/>
            <w:noWrap/>
            <w:vAlign w:val="center"/>
            <w:hideMark/>
          </w:tcPr>
          <w:p w14:paraId="100E7E9B" w14:textId="77777777" w:rsidR="00E8321A" w:rsidRPr="00373A06" w:rsidRDefault="00E8321A" w:rsidP="00B56C1A">
            <w:pPr>
              <w:spacing w:after="0" w:line="240" w:lineRule="auto"/>
              <w:jc w:val="center"/>
              <w:rPr>
                <w:rFonts w:ascii="Book Antiqua" w:eastAsia="Times New Roman" w:hAnsi="Book Antiqua" w:cs="Calibri"/>
                <w:b/>
                <w:bCs/>
                <w:color w:val="FFFFFF"/>
                <w:sz w:val="18"/>
                <w:szCs w:val="18"/>
                <w:lang w:eastAsia="es-CR"/>
              </w:rPr>
            </w:pPr>
            <w:r w:rsidRPr="00373A06">
              <w:rPr>
                <w:rFonts w:ascii="Book Antiqua" w:eastAsia="Times New Roman" w:hAnsi="Book Antiqua" w:cs="Calibri"/>
                <w:b/>
                <w:bCs/>
                <w:color w:val="FFFFFF"/>
                <w:sz w:val="18"/>
                <w:szCs w:val="18"/>
                <w:lang w:eastAsia="es-CR"/>
              </w:rPr>
              <w:t>Oficina Líder</w:t>
            </w:r>
          </w:p>
        </w:tc>
        <w:tc>
          <w:tcPr>
            <w:tcW w:w="788" w:type="dxa"/>
            <w:gridSpan w:val="2"/>
            <w:shd w:val="clear" w:color="000000" w:fill="44546A"/>
            <w:noWrap/>
            <w:vAlign w:val="center"/>
            <w:hideMark/>
          </w:tcPr>
          <w:p w14:paraId="171BCBFD" w14:textId="77777777" w:rsidR="00E8321A" w:rsidRPr="00373A06" w:rsidRDefault="00E8321A" w:rsidP="00B56C1A">
            <w:pPr>
              <w:spacing w:after="0" w:line="240" w:lineRule="auto"/>
              <w:jc w:val="center"/>
              <w:rPr>
                <w:rFonts w:ascii="Book Antiqua" w:eastAsia="Times New Roman" w:hAnsi="Book Antiqua" w:cs="Calibri"/>
                <w:b/>
                <w:bCs/>
                <w:color w:val="FFFFFF"/>
                <w:sz w:val="18"/>
                <w:szCs w:val="18"/>
                <w:lang w:eastAsia="es-CR"/>
              </w:rPr>
            </w:pPr>
            <w:r w:rsidRPr="00373A06">
              <w:rPr>
                <w:rFonts w:ascii="Book Antiqua" w:eastAsia="Times New Roman" w:hAnsi="Book Antiqua" w:cs="Calibri"/>
                <w:b/>
                <w:bCs/>
                <w:color w:val="FFFFFF"/>
                <w:sz w:val="18"/>
                <w:szCs w:val="18"/>
                <w:lang w:eastAsia="es-CR"/>
              </w:rPr>
              <w:t>Código</w:t>
            </w:r>
          </w:p>
        </w:tc>
        <w:tc>
          <w:tcPr>
            <w:tcW w:w="1441" w:type="dxa"/>
            <w:shd w:val="clear" w:color="000000" w:fill="44546A"/>
            <w:noWrap/>
            <w:vAlign w:val="center"/>
            <w:hideMark/>
          </w:tcPr>
          <w:p w14:paraId="206D6DEC" w14:textId="77777777" w:rsidR="00E8321A" w:rsidRPr="00373A06" w:rsidRDefault="00E8321A" w:rsidP="00B56C1A">
            <w:pPr>
              <w:spacing w:after="0" w:line="240" w:lineRule="auto"/>
              <w:jc w:val="center"/>
              <w:rPr>
                <w:rFonts w:ascii="Book Antiqua" w:eastAsia="Times New Roman" w:hAnsi="Book Antiqua" w:cs="Calibri"/>
                <w:b/>
                <w:bCs/>
                <w:color w:val="FFFFFF"/>
                <w:sz w:val="18"/>
                <w:szCs w:val="18"/>
                <w:lang w:eastAsia="es-CR"/>
              </w:rPr>
            </w:pPr>
            <w:r w:rsidRPr="00373A06">
              <w:rPr>
                <w:rFonts w:ascii="Book Antiqua" w:eastAsia="Times New Roman" w:hAnsi="Book Antiqua" w:cs="Calibri"/>
                <w:b/>
                <w:bCs/>
                <w:color w:val="FFFFFF"/>
                <w:sz w:val="18"/>
                <w:szCs w:val="18"/>
                <w:lang w:eastAsia="es-CR"/>
              </w:rPr>
              <w:t>Nombre</w:t>
            </w:r>
          </w:p>
        </w:tc>
        <w:tc>
          <w:tcPr>
            <w:tcW w:w="2733" w:type="dxa"/>
            <w:shd w:val="clear" w:color="000000" w:fill="44546A"/>
            <w:noWrap/>
            <w:vAlign w:val="center"/>
            <w:hideMark/>
          </w:tcPr>
          <w:p w14:paraId="211EB560" w14:textId="77777777" w:rsidR="00E8321A" w:rsidRPr="00373A06" w:rsidRDefault="00E8321A" w:rsidP="00B56C1A">
            <w:pPr>
              <w:spacing w:after="0" w:line="240" w:lineRule="auto"/>
              <w:jc w:val="center"/>
              <w:rPr>
                <w:rFonts w:ascii="Book Antiqua" w:eastAsia="Times New Roman" w:hAnsi="Book Antiqua" w:cs="Calibri"/>
                <w:b/>
                <w:bCs/>
                <w:color w:val="FFFFFF"/>
                <w:sz w:val="18"/>
                <w:szCs w:val="18"/>
                <w:lang w:eastAsia="es-CR"/>
              </w:rPr>
            </w:pPr>
            <w:r w:rsidRPr="00373A06">
              <w:rPr>
                <w:rFonts w:ascii="Book Antiqua" w:eastAsia="Times New Roman" w:hAnsi="Book Antiqua" w:cs="Calibri"/>
                <w:b/>
                <w:bCs/>
                <w:color w:val="FFFFFF"/>
                <w:sz w:val="18"/>
                <w:szCs w:val="18"/>
                <w:lang w:eastAsia="es-CR"/>
              </w:rPr>
              <w:t>Recomendación pendiente</w:t>
            </w:r>
          </w:p>
        </w:tc>
        <w:tc>
          <w:tcPr>
            <w:tcW w:w="1580" w:type="dxa"/>
            <w:shd w:val="clear" w:color="000000" w:fill="44546A"/>
            <w:noWrap/>
            <w:vAlign w:val="center"/>
            <w:hideMark/>
          </w:tcPr>
          <w:p w14:paraId="3220F805" w14:textId="0CC5629A" w:rsidR="00E8321A" w:rsidRPr="00373A06" w:rsidRDefault="00525928" w:rsidP="00B56C1A">
            <w:pPr>
              <w:spacing w:after="0" w:line="240" w:lineRule="auto"/>
              <w:jc w:val="center"/>
              <w:rPr>
                <w:rFonts w:ascii="Book Antiqua" w:eastAsia="Times New Roman" w:hAnsi="Book Antiqua" w:cs="Calibri"/>
                <w:b/>
                <w:bCs/>
                <w:color w:val="FFFFFF"/>
                <w:sz w:val="18"/>
                <w:szCs w:val="18"/>
                <w:lang w:eastAsia="es-CR"/>
              </w:rPr>
            </w:pPr>
            <w:r w:rsidRPr="00373A06">
              <w:rPr>
                <w:rFonts w:ascii="Book Antiqua" w:eastAsia="Times New Roman" w:hAnsi="Book Antiqua" w:cs="Calibri"/>
                <w:b/>
                <w:bCs/>
                <w:color w:val="FFFFFF"/>
                <w:sz w:val="18"/>
                <w:szCs w:val="18"/>
                <w:lang w:eastAsia="es-CR"/>
              </w:rPr>
              <w:t>Capítulo</w:t>
            </w:r>
            <w:r w:rsidR="00E8321A" w:rsidRPr="00373A06">
              <w:rPr>
                <w:rFonts w:ascii="Book Antiqua" w:eastAsia="Times New Roman" w:hAnsi="Book Antiqua" w:cs="Calibri"/>
                <w:b/>
                <w:bCs/>
                <w:color w:val="FFFFFF"/>
                <w:sz w:val="18"/>
                <w:szCs w:val="18"/>
                <w:lang w:eastAsia="es-CR"/>
              </w:rPr>
              <w:t xml:space="preserve"> del informe</w:t>
            </w:r>
          </w:p>
        </w:tc>
        <w:tc>
          <w:tcPr>
            <w:tcW w:w="911" w:type="dxa"/>
            <w:shd w:val="clear" w:color="000000" w:fill="44546A"/>
            <w:noWrap/>
            <w:vAlign w:val="center"/>
            <w:hideMark/>
          </w:tcPr>
          <w:p w14:paraId="35D7B0FB" w14:textId="77777777" w:rsidR="00E8321A" w:rsidRPr="00373A06" w:rsidRDefault="00E8321A" w:rsidP="00B56C1A">
            <w:pPr>
              <w:spacing w:after="0" w:line="240" w:lineRule="auto"/>
              <w:jc w:val="center"/>
              <w:rPr>
                <w:rFonts w:ascii="Book Antiqua" w:eastAsia="Times New Roman" w:hAnsi="Book Antiqua" w:cs="Calibri"/>
                <w:b/>
                <w:bCs/>
                <w:color w:val="FFFFFF"/>
                <w:sz w:val="18"/>
                <w:szCs w:val="18"/>
                <w:lang w:eastAsia="es-CR"/>
              </w:rPr>
            </w:pPr>
            <w:r w:rsidRPr="00373A06">
              <w:rPr>
                <w:rFonts w:ascii="Book Antiqua" w:eastAsia="Times New Roman" w:hAnsi="Book Antiqua" w:cs="Calibri"/>
                <w:b/>
                <w:bCs/>
                <w:color w:val="FFFFFF"/>
                <w:sz w:val="18"/>
                <w:szCs w:val="18"/>
                <w:lang w:eastAsia="es-CR"/>
              </w:rPr>
              <w:t>Apartado del informe</w:t>
            </w:r>
          </w:p>
        </w:tc>
      </w:tr>
      <w:tr w:rsidR="007D35E8" w:rsidRPr="00373A06" w14:paraId="1C92B97D" w14:textId="77777777" w:rsidTr="00E24FCA">
        <w:trPr>
          <w:trHeight w:val="2969"/>
          <w:jc w:val="center"/>
        </w:trPr>
        <w:tc>
          <w:tcPr>
            <w:tcW w:w="1470" w:type="dxa"/>
            <w:vMerge w:val="restart"/>
            <w:shd w:val="clear" w:color="auto" w:fill="auto"/>
            <w:noWrap/>
            <w:vAlign w:val="center"/>
            <w:hideMark/>
          </w:tcPr>
          <w:p w14:paraId="4E3658C3" w14:textId="77777777" w:rsidR="00E8321A" w:rsidRPr="00373A06" w:rsidRDefault="00E8321A" w:rsidP="00B56C1A">
            <w:pPr>
              <w:spacing w:after="0" w:line="240" w:lineRule="auto"/>
              <w:jc w:val="center"/>
              <w:rPr>
                <w:rFonts w:ascii="Book Antiqua" w:eastAsia="Times New Roman" w:hAnsi="Book Antiqua" w:cs="Calibri"/>
                <w:color w:val="000000"/>
                <w:sz w:val="18"/>
                <w:szCs w:val="18"/>
                <w:lang w:eastAsia="es-CR"/>
              </w:rPr>
            </w:pPr>
            <w:r w:rsidRPr="00373A06">
              <w:rPr>
                <w:rFonts w:ascii="Book Antiqua" w:eastAsia="Times New Roman" w:hAnsi="Book Antiqua" w:cs="Calibri"/>
                <w:color w:val="000000"/>
                <w:sz w:val="18"/>
                <w:szCs w:val="18"/>
                <w:lang w:eastAsia="es-CR"/>
              </w:rPr>
              <w:t>Despacho de la Presidencia</w:t>
            </w:r>
          </w:p>
        </w:tc>
        <w:tc>
          <w:tcPr>
            <w:tcW w:w="1915" w:type="dxa"/>
            <w:gridSpan w:val="2"/>
            <w:vMerge w:val="restart"/>
            <w:shd w:val="clear" w:color="auto" w:fill="auto"/>
            <w:noWrap/>
            <w:vAlign w:val="center"/>
            <w:hideMark/>
          </w:tcPr>
          <w:p w14:paraId="15F8220F" w14:textId="77777777" w:rsidR="00E8321A" w:rsidRPr="00373A06" w:rsidRDefault="00E8321A" w:rsidP="00B56C1A">
            <w:pPr>
              <w:spacing w:after="0" w:line="240" w:lineRule="auto"/>
              <w:jc w:val="center"/>
              <w:rPr>
                <w:rFonts w:ascii="Book Antiqua" w:eastAsia="Times New Roman" w:hAnsi="Book Antiqua" w:cs="Calibri"/>
                <w:color w:val="000000"/>
                <w:sz w:val="18"/>
                <w:szCs w:val="18"/>
                <w:lang w:eastAsia="es-CR"/>
              </w:rPr>
            </w:pPr>
            <w:r w:rsidRPr="00373A06">
              <w:rPr>
                <w:rFonts w:ascii="Book Antiqua" w:eastAsia="Times New Roman" w:hAnsi="Book Antiqua" w:cs="Calibri"/>
                <w:color w:val="000000"/>
                <w:sz w:val="18"/>
                <w:szCs w:val="18"/>
                <w:lang w:eastAsia="es-CR"/>
              </w:rPr>
              <w:t>1049 SECCION DE COOPERACION Y RELACIONES INTERNACIONALES</w:t>
            </w:r>
          </w:p>
        </w:tc>
        <w:tc>
          <w:tcPr>
            <w:tcW w:w="664" w:type="dxa"/>
            <w:vMerge w:val="restart"/>
            <w:shd w:val="clear" w:color="auto" w:fill="auto"/>
            <w:noWrap/>
            <w:vAlign w:val="center"/>
            <w:hideMark/>
          </w:tcPr>
          <w:p w14:paraId="6B3F5E88" w14:textId="77777777" w:rsidR="00E8321A" w:rsidRPr="00373A06" w:rsidRDefault="00E8321A" w:rsidP="00B56C1A">
            <w:pPr>
              <w:spacing w:after="0" w:line="240" w:lineRule="auto"/>
              <w:jc w:val="center"/>
              <w:rPr>
                <w:rFonts w:ascii="Book Antiqua" w:eastAsia="Times New Roman" w:hAnsi="Book Antiqua" w:cs="Calibri"/>
                <w:color w:val="000000"/>
                <w:sz w:val="18"/>
                <w:szCs w:val="18"/>
                <w:lang w:eastAsia="es-CR"/>
              </w:rPr>
            </w:pPr>
            <w:r w:rsidRPr="00373A06">
              <w:rPr>
                <w:rFonts w:ascii="Book Antiqua" w:eastAsia="Times New Roman" w:hAnsi="Book Antiqua" w:cs="Calibri"/>
                <w:color w:val="000000"/>
                <w:sz w:val="18"/>
                <w:szCs w:val="18"/>
                <w:lang w:eastAsia="es-CR"/>
              </w:rPr>
              <w:t>0653-DP-P12</w:t>
            </w:r>
          </w:p>
        </w:tc>
        <w:tc>
          <w:tcPr>
            <w:tcW w:w="1441" w:type="dxa"/>
            <w:vMerge w:val="restart"/>
            <w:shd w:val="clear" w:color="auto" w:fill="auto"/>
            <w:noWrap/>
            <w:vAlign w:val="center"/>
            <w:hideMark/>
          </w:tcPr>
          <w:p w14:paraId="791A7360" w14:textId="77777777" w:rsidR="00E8321A" w:rsidRPr="00373A06" w:rsidRDefault="00E8321A" w:rsidP="00B56C1A">
            <w:pPr>
              <w:spacing w:after="0" w:line="240" w:lineRule="auto"/>
              <w:jc w:val="center"/>
              <w:rPr>
                <w:rFonts w:ascii="Book Antiqua" w:eastAsia="Times New Roman" w:hAnsi="Book Antiqua" w:cs="Calibri"/>
                <w:sz w:val="18"/>
                <w:szCs w:val="18"/>
                <w:lang w:eastAsia="es-CR"/>
              </w:rPr>
            </w:pPr>
            <w:r w:rsidRPr="00373A06">
              <w:rPr>
                <w:rFonts w:ascii="Book Antiqua" w:eastAsia="Times New Roman" w:hAnsi="Book Antiqua" w:cs="Calibri"/>
                <w:sz w:val="18"/>
                <w:szCs w:val="18"/>
                <w:lang w:eastAsia="es-CR"/>
              </w:rPr>
              <w:t>Implementación de los ODS y Cumplimiento de la Agenda 2030</w:t>
            </w:r>
          </w:p>
        </w:tc>
        <w:tc>
          <w:tcPr>
            <w:tcW w:w="2733" w:type="dxa"/>
            <w:shd w:val="clear" w:color="auto" w:fill="auto"/>
            <w:noWrap/>
            <w:vAlign w:val="center"/>
            <w:hideMark/>
          </w:tcPr>
          <w:p w14:paraId="06C92057" w14:textId="77777777" w:rsidR="00E8321A" w:rsidRPr="002E5E8F" w:rsidRDefault="00E8321A" w:rsidP="00EF4E17">
            <w:pPr>
              <w:spacing w:after="0" w:line="240" w:lineRule="auto"/>
              <w:jc w:val="both"/>
              <w:rPr>
                <w:rFonts w:ascii="Book Antiqua" w:eastAsia="Times New Roman" w:hAnsi="Book Antiqua" w:cs="Calibri"/>
                <w:sz w:val="18"/>
                <w:szCs w:val="18"/>
                <w:lang w:eastAsia="es-CR"/>
              </w:rPr>
            </w:pPr>
            <w:r w:rsidRPr="00373A06">
              <w:rPr>
                <w:rFonts w:ascii="Book Antiqua" w:eastAsia="Times New Roman" w:hAnsi="Book Antiqua" w:cs="Calibri"/>
                <w:sz w:val="18"/>
                <w:szCs w:val="18"/>
                <w:lang w:eastAsia="es-CR"/>
              </w:rPr>
              <w:t xml:space="preserve">Pendiente de actualizar documento producto de la solicitud de cambio de setiembre 2022: </w:t>
            </w:r>
          </w:p>
          <w:p w14:paraId="6CEA63D3" w14:textId="77777777" w:rsidR="00E8321A" w:rsidRPr="002E5E8F" w:rsidRDefault="00E8321A" w:rsidP="00EF4E17">
            <w:pPr>
              <w:spacing w:after="0" w:line="240" w:lineRule="auto"/>
              <w:jc w:val="both"/>
              <w:rPr>
                <w:rFonts w:ascii="Book Antiqua" w:eastAsia="Times New Roman" w:hAnsi="Book Antiqua" w:cs="Calibri"/>
                <w:b/>
                <w:bCs/>
                <w:sz w:val="18"/>
                <w:szCs w:val="18"/>
                <w:lang w:eastAsia="es-CR"/>
              </w:rPr>
            </w:pPr>
            <w:r w:rsidRPr="00373A06">
              <w:rPr>
                <w:rFonts w:ascii="Book Antiqua" w:eastAsia="Times New Roman" w:hAnsi="Book Antiqua" w:cs="Calibri"/>
                <w:b/>
                <w:bCs/>
                <w:sz w:val="18"/>
                <w:szCs w:val="18"/>
                <w:lang w:eastAsia="es-CR"/>
              </w:rPr>
              <w:t>Acta de constitución</w:t>
            </w:r>
            <w:r w:rsidRPr="00373A06">
              <w:rPr>
                <w:rFonts w:ascii="Book Antiqua" w:eastAsia="Times New Roman" w:hAnsi="Book Antiqua" w:cs="Calibri"/>
                <w:sz w:val="18"/>
                <w:szCs w:val="18"/>
                <w:lang w:eastAsia="es-CR"/>
              </w:rPr>
              <w:t xml:space="preserve"> fecha de fin no concuerda con cronograma; cronograma de alto nivel falta incluirlo</w:t>
            </w:r>
            <w:r w:rsidRPr="00373A06">
              <w:rPr>
                <w:rFonts w:ascii="Book Antiqua" w:eastAsia="Times New Roman" w:hAnsi="Book Antiqua" w:cs="Calibri"/>
                <w:b/>
                <w:bCs/>
                <w:sz w:val="18"/>
                <w:szCs w:val="18"/>
                <w:lang w:eastAsia="es-CR"/>
              </w:rPr>
              <w:t xml:space="preserve">. </w:t>
            </w:r>
          </w:p>
          <w:p w14:paraId="770474A9" w14:textId="77777777" w:rsidR="00E8321A" w:rsidRPr="002E5E8F" w:rsidRDefault="00E8321A" w:rsidP="00EF4E17">
            <w:pPr>
              <w:spacing w:after="0" w:line="240" w:lineRule="auto"/>
              <w:jc w:val="both"/>
              <w:rPr>
                <w:rFonts w:ascii="Book Antiqua" w:eastAsia="Times New Roman" w:hAnsi="Book Antiqua" w:cs="Calibri"/>
                <w:sz w:val="18"/>
                <w:szCs w:val="18"/>
                <w:lang w:eastAsia="es-CR"/>
              </w:rPr>
            </w:pPr>
            <w:r w:rsidRPr="00373A06">
              <w:rPr>
                <w:rFonts w:ascii="Book Antiqua" w:eastAsia="Times New Roman" w:hAnsi="Book Antiqua" w:cs="Calibri"/>
                <w:b/>
                <w:bCs/>
                <w:sz w:val="18"/>
                <w:szCs w:val="18"/>
                <w:lang w:eastAsia="es-CR"/>
              </w:rPr>
              <w:t>Estudio de factibilidad:</w:t>
            </w:r>
            <w:r w:rsidRPr="00373A06">
              <w:rPr>
                <w:rFonts w:ascii="Book Antiqua" w:eastAsia="Times New Roman" w:hAnsi="Book Antiqua" w:cs="Calibri"/>
                <w:sz w:val="18"/>
                <w:szCs w:val="18"/>
                <w:lang w:eastAsia="es-CR"/>
              </w:rPr>
              <w:t xml:space="preserve"> en </w:t>
            </w:r>
            <w:r w:rsidRPr="002E5E8F">
              <w:rPr>
                <w:rFonts w:ascii="Book Antiqua" w:eastAsia="Times New Roman" w:hAnsi="Book Antiqua" w:cs="Calibri"/>
                <w:sz w:val="18"/>
                <w:szCs w:val="18"/>
                <w:lang w:eastAsia="es-CR"/>
              </w:rPr>
              <w:t>Análisis</w:t>
            </w:r>
            <w:r w:rsidRPr="00373A06">
              <w:rPr>
                <w:rFonts w:ascii="Book Antiqua" w:eastAsia="Times New Roman" w:hAnsi="Book Antiqua" w:cs="Calibri"/>
                <w:sz w:val="18"/>
                <w:szCs w:val="18"/>
                <w:lang w:eastAsia="es-CR"/>
              </w:rPr>
              <w:t xml:space="preserve"> de costo-beneficio se debe verificar costo de inversión y </w:t>
            </w:r>
            <w:r w:rsidRPr="002E5E8F">
              <w:rPr>
                <w:rFonts w:ascii="Book Antiqua" w:eastAsia="Times New Roman" w:hAnsi="Book Antiqua" w:cs="Calibri"/>
                <w:sz w:val="18"/>
                <w:szCs w:val="18"/>
                <w:lang w:eastAsia="es-CR"/>
              </w:rPr>
              <w:t>cálculo</w:t>
            </w:r>
            <w:r w:rsidRPr="00373A06">
              <w:rPr>
                <w:rFonts w:ascii="Book Antiqua" w:eastAsia="Times New Roman" w:hAnsi="Book Antiqua" w:cs="Calibri"/>
                <w:sz w:val="18"/>
                <w:szCs w:val="18"/>
                <w:lang w:eastAsia="es-CR"/>
              </w:rPr>
              <w:t xml:space="preserve"> del SROI, porque no coincide con datos superiores.</w:t>
            </w:r>
          </w:p>
          <w:p w14:paraId="00FC5D87" w14:textId="77777777" w:rsidR="00E8321A" w:rsidRPr="002E5E8F" w:rsidRDefault="00E8321A" w:rsidP="00EF4E17">
            <w:pPr>
              <w:spacing w:after="0" w:line="240" w:lineRule="auto"/>
              <w:jc w:val="both"/>
              <w:rPr>
                <w:rFonts w:ascii="Book Antiqua" w:eastAsia="Times New Roman" w:hAnsi="Book Antiqua" w:cs="Calibri"/>
                <w:sz w:val="18"/>
                <w:szCs w:val="18"/>
                <w:lang w:eastAsia="es-CR"/>
              </w:rPr>
            </w:pPr>
            <w:r w:rsidRPr="00373A06">
              <w:rPr>
                <w:rFonts w:ascii="Book Antiqua" w:eastAsia="Times New Roman" w:hAnsi="Book Antiqua" w:cs="Calibri"/>
                <w:sz w:val="18"/>
                <w:szCs w:val="18"/>
                <w:lang w:eastAsia="es-CR"/>
              </w:rPr>
              <w:t xml:space="preserve"> </w:t>
            </w:r>
            <w:r w:rsidRPr="00373A06">
              <w:rPr>
                <w:rFonts w:ascii="Book Antiqua" w:eastAsia="Times New Roman" w:hAnsi="Book Antiqua" w:cs="Calibri"/>
                <w:b/>
                <w:bCs/>
                <w:sz w:val="18"/>
                <w:szCs w:val="18"/>
                <w:lang w:eastAsia="es-CR"/>
              </w:rPr>
              <w:t>Plan de gestión:</w:t>
            </w:r>
            <w:r w:rsidRPr="00373A06">
              <w:rPr>
                <w:rFonts w:ascii="Book Antiqua" w:eastAsia="Times New Roman" w:hAnsi="Book Antiqua" w:cs="Calibri"/>
                <w:sz w:val="18"/>
                <w:szCs w:val="18"/>
                <w:lang w:eastAsia="es-CR"/>
              </w:rPr>
              <w:t xml:space="preserve"> No viene cronograma adjunto final.</w:t>
            </w:r>
          </w:p>
          <w:p w14:paraId="6C9CA755" w14:textId="77777777" w:rsidR="00E8321A" w:rsidRPr="00373A06" w:rsidRDefault="00E8321A" w:rsidP="00EF4E17">
            <w:pPr>
              <w:spacing w:after="0" w:line="240" w:lineRule="auto"/>
              <w:jc w:val="both"/>
              <w:rPr>
                <w:rFonts w:ascii="Book Antiqua" w:eastAsia="Times New Roman" w:hAnsi="Book Antiqua" w:cs="Calibri"/>
                <w:sz w:val="18"/>
                <w:szCs w:val="18"/>
                <w:lang w:eastAsia="es-CR"/>
              </w:rPr>
            </w:pPr>
          </w:p>
        </w:tc>
        <w:tc>
          <w:tcPr>
            <w:tcW w:w="1580" w:type="dxa"/>
            <w:shd w:val="clear" w:color="auto" w:fill="auto"/>
            <w:noWrap/>
            <w:vAlign w:val="center"/>
            <w:hideMark/>
          </w:tcPr>
          <w:p w14:paraId="50CC56EC" w14:textId="77777777" w:rsidR="00E8321A" w:rsidRPr="00373A06" w:rsidRDefault="00E8321A" w:rsidP="00B56C1A">
            <w:pPr>
              <w:spacing w:after="0" w:line="240" w:lineRule="auto"/>
              <w:jc w:val="center"/>
              <w:rPr>
                <w:rFonts w:ascii="Book Antiqua" w:eastAsia="Times New Roman" w:hAnsi="Book Antiqua" w:cs="Calibri"/>
                <w:color w:val="000000"/>
                <w:sz w:val="18"/>
                <w:szCs w:val="18"/>
                <w:lang w:eastAsia="es-CR"/>
              </w:rPr>
            </w:pPr>
            <w:r w:rsidRPr="002E5E8F">
              <w:rPr>
                <w:rFonts w:ascii="Book Antiqua" w:eastAsia="Times New Roman" w:hAnsi="Book Antiqua" w:cs="Calibri"/>
                <w:color w:val="000000"/>
                <w:sz w:val="18"/>
                <w:szCs w:val="18"/>
                <w:lang w:eastAsia="es-CR"/>
              </w:rPr>
              <w:t>Capítulo</w:t>
            </w:r>
            <w:r w:rsidRPr="00373A06">
              <w:rPr>
                <w:rFonts w:ascii="Book Antiqua" w:eastAsia="Times New Roman" w:hAnsi="Book Antiqua" w:cs="Calibri"/>
                <w:color w:val="000000"/>
                <w:sz w:val="18"/>
                <w:szCs w:val="18"/>
                <w:lang w:eastAsia="es-CR"/>
              </w:rPr>
              <w:t xml:space="preserve"> 1</w:t>
            </w:r>
          </w:p>
        </w:tc>
        <w:tc>
          <w:tcPr>
            <w:tcW w:w="971" w:type="dxa"/>
            <w:gridSpan w:val="2"/>
            <w:shd w:val="clear" w:color="auto" w:fill="auto"/>
            <w:noWrap/>
            <w:vAlign w:val="center"/>
            <w:hideMark/>
          </w:tcPr>
          <w:p w14:paraId="4A2F8874" w14:textId="77777777" w:rsidR="00E8321A" w:rsidRPr="00373A06" w:rsidRDefault="00E8321A" w:rsidP="00B56C1A">
            <w:pPr>
              <w:spacing w:after="0" w:line="240" w:lineRule="auto"/>
              <w:jc w:val="center"/>
              <w:rPr>
                <w:rFonts w:ascii="Book Antiqua" w:eastAsia="Times New Roman" w:hAnsi="Book Antiqua" w:cs="Calibri"/>
                <w:color w:val="000000"/>
                <w:sz w:val="18"/>
                <w:szCs w:val="18"/>
                <w:lang w:eastAsia="es-CR"/>
              </w:rPr>
            </w:pPr>
            <w:r w:rsidRPr="00373A06">
              <w:rPr>
                <w:rFonts w:ascii="Book Antiqua" w:eastAsia="Times New Roman" w:hAnsi="Book Antiqua" w:cs="Calibri"/>
                <w:color w:val="000000"/>
                <w:sz w:val="18"/>
                <w:szCs w:val="18"/>
                <w:lang w:eastAsia="es-CR"/>
              </w:rPr>
              <w:t>1.10</w:t>
            </w:r>
          </w:p>
        </w:tc>
      </w:tr>
      <w:tr w:rsidR="007D35E8" w:rsidRPr="00373A06" w14:paraId="58084D41" w14:textId="77777777" w:rsidTr="00E24FCA">
        <w:trPr>
          <w:trHeight w:val="300"/>
          <w:jc w:val="center"/>
        </w:trPr>
        <w:tc>
          <w:tcPr>
            <w:tcW w:w="1470" w:type="dxa"/>
            <w:vMerge/>
            <w:shd w:val="clear" w:color="auto" w:fill="auto"/>
            <w:vAlign w:val="center"/>
            <w:hideMark/>
          </w:tcPr>
          <w:p w14:paraId="43E2A0BD" w14:textId="77777777" w:rsidR="00E8321A" w:rsidRPr="00373A06"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915" w:type="dxa"/>
            <w:gridSpan w:val="2"/>
            <w:vMerge/>
            <w:shd w:val="clear" w:color="auto" w:fill="auto"/>
            <w:vAlign w:val="center"/>
            <w:hideMark/>
          </w:tcPr>
          <w:p w14:paraId="683D5291" w14:textId="77777777" w:rsidR="00E8321A" w:rsidRPr="00373A06"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664" w:type="dxa"/>
            <w:vMerge/>
            <w:shd w:val="clear" w:color="auto" w:fill="auto"/>
            <w:vAlign w:val="center"/>
            <w:hideMark/>
          </w:tcPr>
          <w:p w14:paraId="139571B3" w14:textId="77777777" w:rsidR="00E8321A" w:rsidRPr="00373A06"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441" w:type="dxa"/>
            <w:vMerge/>
            <w:shd w:val="clear" w:color="auto" w:fill="auto"/>
            <w:vAlign w:val="center"/>
            <w:hideMark/>
          </w:tcPr>
          <w:p w14:paraId="67379E84" w14:textId="77777777" w:rsidR="00E8321A" w:rsidRPr="00373A06" w:rsidRDefault="00E8321A" w:rsidP="00B56C1A">
            <w:pPr>
              <w:spacing w:after="0" w:line="240" w:lineRule="auto"/>
              <w:jc w:val="center"/>
              <w:rPr>
                <w:rFonts w:ascii="Book Antiqua" w:eastAsia="Times New Roman" w:hAnsi="Book Antiqua" w:cs="Calibri"/>
                <w:sz w:val="18"/>
                <w:szCs w:val="18"/>
                <w:lang w:eastAsia="es-CR"/>
              </w:rPr>
            </w:pPr>
          </w:p>
        </w:tc>
        <w:tc>
          <w:tcPr>
            <w:tcW w:w="2733" w:type="dxa"/>
            <w:shd w:val="clear" w:color="auto" w:fill="auto"/>
            <w:vAlign w:val="center"/>
            <w:hideMark/>
          </w:tcPr>
          <w:p w14:paraId="5BC91A86" w14:textId="77777777" w:rsidR="00E8321A" w:rsidRPr="00373A06" w:rsidRDefault="00E8321A" w:rsidP="00EF4E17">
            <w:pPr>
              <w:spacing w:after="0" w:line="240" w:lineRule="auto"/>
              <w:jc w:val="both"/>
              <w:rPr>
                <w:rFonts w:ascii="Book Antiqua" w:eastAsia="Times New Roman" w:hAnsi="Book Antiqua" w:cs="Calibri"/>
                <w:sz w:val="18"/>
                <w:szCs w:val="18"/>
                <w:lang w:eastAsia="es-CR"/>
              </w:rPr>
            </w:pPr>
            <w:r w:rsidRPr="002E5E8F">
              <w:rPr>
                <w:rFonts w:ascii="Book Antiqua" w:eastAsia="Times New Roman" w:hAnsi="Book Antiqua" w:cs="Calibri"/>
                <w:sz w:val="18"/>
                <w:szCs w:val="18"/>
                <w:lang w:eastAsia="es-CR"/>
              </w:rPr>
              <w:t>Pendiente aprobación del informe de cierre por parte del patrocinador (Según correo enviado en enero 2023 a líder del proyecto, se había solicitado que por no encontrarse patrocinador actualmente en el Poder Judicial, remitir el mismo al Consejo Superior)</w:t>
            </w:r>
          </w:p>
        </w:tc>
        <w:tc>
          <w:tcPr>
            <w:tcW w:w="1580" w:type="dxa"/>
            <w:shd w:val="clear" w:color="auto" w:fill="auto"/>
            <w:noWrap/>
            <w:vAlign w:val="center"/>
            <w:hideMark/>
          </w:tcPr>
          <w:p w14:paraId="4D0B6816" w14:textId="77777777" w:rsidR="00E8321A" w:rsidRPr="00373A06" w:rsidRDefault="00E8321A" w:rsidP="00B56C1A">
            <w:pPr>
              <w:spacing w:after="0" w:line="240" w:lineRule="auto"/>
              <w:jc w:val="center"/>
              <w:rPr>
                <w:rFonts w:ascii="Book Antiqua" w:eastAsia="Times New Roman" w:hAnsi="Book Antiqua" w:cs="Calibri"/>
                <w:color w:val="000000"/>
                <w:sz w:val="18"/>
                <w:szCs w:val="18"/>
                <w:lang w:eastAsia="es-CR"/>
              </w:rPr>
            </w:pPr>
            <w:r w:rsidRPr="002E5E8F">
              <w:rPr>
                <w:rFonts w:ascii="Book Antiqua" w:eastAsia="Times New Roman" w:hAnsi="Book Antiqua" w:cs="Calibri"/>
                <w:color w:val="000000"/>
                <w:sz w:val="18"/>
                <w:szCs w:val="18"/>
                <w:lang w:eastAsia="es-CR"/>
              </w:rPr>
              <w:t>Capítulo</w:t>
            </w:r>
            <w:r w:rsidRPr="00373A06">
              <w:rPr>
                <w:rFonts w:ascii="Book Antiqua" w:eastAsia="Times New Roman" w:hAnsi="Book Antiqua" w:cs="Calibri"/>
                <w:color w:val="000000"/>
                <w:sz w:val="18"/>
                <w:szCs w:val="18"/>
                <w:lang w:eastAsia="es-CR"/>
              </w:rPr>
              <w:t xml:space="preserve"> 1</w:t>
            </w:r>
          </w:p>
        </w:tc>
        <w:tc>
          <w:tcPr>
            <w:tcW w:w="971" w:type="dxa"/>
            <w:gridSpan w:val="2"/>
            <w:shd w:val="clear" w:color="auto" w:fill="auto"/>
            <w:noWrap/>
            <w:vAlign w:val="center"/>
            <w:hideMark/>
          </w:tcPr>
          <w:p w14:paraId="49A4F2ED" w14:textId="77777777" w:rsidR="00E8321A" w:rsidRPr="00373A06" w:rsidRDefault="00E8321A" w:rsidP="00B56C1A">
            <w:pPr>
              <w:spacing w:after="0" w:line="240" w:lineRule="auto"/>
              <w:jc w:val="center"/>
              <w:rPr>
                <w:rFonts w:ascii="Book Antiqua" w:eastAsia="Times New Roman" w:hAnsi="Book Antiqua" w:cs="Calibri"/>
                <w:color w:val="000000"/>
                <w:sz w:val="18"/>
                <w:szCs w:val="18"/>
                <w:lang w:eastAsia="es-CR"/>
              </w:rPr>
            </w:pPr>
            <w:r w:rsidRPr="00373A06">
              <w:rPr>
                <w:rFonts w:ascii="Book Antiqua" w:eastAsia="Times New Roman" w:hAnsi="Book Antiqua" w:cs="Calibri"/>
                <w:color w:val="000000"/>
                <w:sz w:val="18"/>
                <w:szCs w:val="18"/>
                <w:lang w:eastAsia="es-CR"/>
              </w:rPr>
              <w:t>1.10</w:t>
            </w:r>
          </w:p>
        </w:tc>
      </w:tr>
    </w:tbl>
    <w:p w14:paraId="5188AAAD" w14:textId="77777777" w:rsidR="00E8321A" w:rsidRPr="00373A06" w:rsidRDefault="00E8321A" w:rsidP="00E8321A">
      <w:pPr>
        <w:spacing w:after="0" w:line="240" w:lineRule="auto"/>
        <w:jc w:val="both"/>
        <w:rPr>
          <w:rFonts w:ascii="Book Antiqua" w:hAnsi="Book Antiqua"/>
          <w:sz w:val="24"/>
          <w:szCs w:val="24"/>
        </w:rPr>
      </w:pPr>
    </w:p>
    <w:p w14:paraId="0308968D" w14:textId="77777777" w:rsidR="00E8321A" w:rsidRDefault="00E8321A" w:rsidP="00EF4E17">
      <w:pPr>
        <w:numPr>
          <w:ilvl w:val="1"/>
          <w:numId w:val="20"/>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También, deberá dar seguimiento a que la </w:t>
      </w:r>
      <w:r w:rsidRPr="00ED01F9">
        <w:rPr>
          <w:rFonts w:ascii="Book Antiqua" w:hAnsi="Book Antiqua"/>
          <w:b/>
          <w:bCs/>
          <w:sz w:val="24"/>
          <w:szCs w:val="24"/>
        </w:rPr>
        <w:t xml:space="preserve">Centro de Apoyo, Coordinación y Mejoramiento de la Función Jurisdiccional </w:t>
      </w:r>
      <w:r w:rsidRPr="00174798">
        <w:rPr>
          <w:rFonts w:ascii="Book Antiqua" w:hAnsi="Book Antiqua"/>
          <w:sz w:val="24"/>
          <w:szCs w:val="24"/>
        </w:rPr>
        <w:t xml:space="preserve">más tardar el </w:t>
      </w:r>
      <w:r w:rsidRPr="00373A06">
        <w:rPr>
          <w:rFonts w:ascii="Book Antiqua" w:hAnsi="Book Antiqua"/>
          <w:b/>
          <w:bCs/>
          <w:sz w:val="24"/>
          <w:szCs w:val="24"/>
        </w:rPr>
        <w:t>11 de agosto del 2023</w:t>
      </w:r>
      <w:r w:rsidRPr="00174798">
        <w:rPr>
          <w:rFonts w:ascii="Book Antiqua" w:hAnsi="Book Antiqua"/>
          <w:sz w:val="24"/>
          <w:szCs w:val="24"/>
        </w:rPr>
        <w:t>, cargue en el sitio de proyecto la atención de la siguiente recomendación:</w:t>
      </w:r>
    </w:p>
    <w:tbl>
      <w:tblPr>
        <w:tblW w:w="11258" w:type="dxa"/>
        <w:tblInd w:w="-856" w:type="dxa"/>
        <w:tblCellMar>
          <w:left w:w="70" w:type="dxa"/>
          <w:right w:w="70" w:type="dxa"/>
        </w:tblCellMar>
        <w:tblLook w:val="04A0" w:firstRow="1" w:lastRow="0" w:firstColumn="1" w:lastColumn="0" w:noHBand="0" w:noVBand="1"/>
      </w:tblPr>
      <w:tblGrid>
        <w:gridCol w:w="1470"/>
        <w:gridCol w:w="1653"/>
        <w:gridCol w:w="1129"/>
        <w:gridCol w:w="1951"/>
        <w:gridCol w:w="3190"/>
        <w:gridCol w:w="954"/>
        <w:gridCol w:w="911"/>
      </w:tblGrid>
      <w:tr w:rsidR="007D35E8" w:rsidRPr="002E5E8F" w14:paraId="1517CAE6" w14:textId="77777777" w:rsidTr="00B56C1A">
        <w:trPr>
          <w:trHeight w:val="300"/>
          <w:tblHeader/>
        </w:trPr>
        <w:tc>
          <w:tcPr>
            <w:tcW w:w="1470" w:type="dxa"/>
            <w:tcBorders>
              <w:top w:val="single" w:sz="4" w:space="0" w:color="auto"/>
              <w:left w:val="single" w:sz="4" w:space="0" w:color="auto"/>
              <w:bottom w:val="single" w:sz="4" w:space="0" w:color="auto"/>
              <w:right w:val="single" w:sz="4" w:space="0" w:color="auto"/>
            </w:tcBorders>
            <w:shd w:val="clear" w:color="000000" w:fill="44546A"/>
            <w:noWrap/>
            <w:vAlign w:val="center"/>
            <w:hideMark/>
          </w:tcPr>
          <w:p w14:paraId="7B8461AE" w14:textId="77777777" w:rsidR="00E8321A" w:rsidRPr="002E5E8F" w:rsidRDefault="00E8321A" w:rsidP="00B56C1A">
            <w:pPr>
              <w:spacing w:after="0" w:line="240" w:lineRule="auto"/>
              <w:jc w:val="center"/>
              <w:rPr>
                <w:rFonts w:ascii="Book Antiqua" w:eastAsia="Times New Roman" w:hAnsi="Book Antiqua" w:cs="Calibri"/>
                <w:b/>
                <w:bCs/>
                <w:color w:val="FFFFFF"/>
                <w:sz w:val="18"/>
                <w:szCs w:val="18"/>
                <w:lang w:eastAsia="es-CR"/>
              </w:rPr>
            </w:pPr>
            <w:r w:rsidRPr="002E5E8F">
              <w:rPr>
                <w:rFonts w:ascii="Book Antiqua" w:eastAsia="Times New Roman" w:hAnsi="Book Antiqua" w:cs="Calibri"/>
                <w:b/>
                <w:bCs/>
                <w:color w:val="FFFFFF"/>
                <w:sz w:val="18"/>
                <w:szCs w:val="18"/>
                <w:lang w:eastAsia="es-CR"/>
              </w:rPr>
              <w:t>Centro de responsabilidad</w:t>
            </w:r>
          </w:p>
        </w:tc>
        <w:tc>
          <w:tcPr>
            <w:tcW w:w="1653" w:type="dxa"/>
            <w:tcBorders>
              <w:top w:val="single" w:sz="4" w:space="0" w:color="auto"/>
              <w:left w:val="nil"/>
              <w:bottom w:val="single" w:sz="4" w:space="0" w:color="auto"/>
              <w:right w:val="single" w:sz="4" w:space="0" w:color="auto"/>
            </w:tcBorders>
            <w:shd w:val="clear" w:color="000000" w:fill="44546A"/>
            <w:noWrap/>
            <w:vAlign w:val="center"/>
            <w:hideMark/>
          </w:tcPr>
          <w:p w14:paraId="20A454D7" w14:textId="77777777" w:rsidR="00E8321A" w:rsidRPr="002E5E8F" w:rsidRDefault="00E8321A" w:rsidP="00B56C1A">
            <w:pPr>
              <w:spacing w:after="0" w:line="240" w:lineRule="auto"/>
              <w:jc w:val="center"/>
              <w:rPr>
                <w:rFonts w:ascii="Book Antiqua" w:eastAsia="Times New Roman" w:hAnsi="Book Antiqua" w:cs="Calibri"/>
                <w:b/>
                <w:bCs/>
                <w:color w:val="FFFFFF"/>
                <w:sz w:val="18"/>
                <w:szCs w:val="18"/>
                <w:lang w:eastAsia="es-CR"/>
              </w:rPr>
            </w:pPr>
            <w:r w:rsidRPr="002E5E8F">
              <w:rPr>
                <w:rFonts w:ascii="Book Antiqua" w:eastAsia="Times New Roman" w:hAnsi="Book Antiqua" w:cs="Calibri"/>
                <w:b/>
                <w:bCs/>
                <w:color w:val="FFFFFF"/>
                <w:sz w:val="18"/>
                <w:szCs w:val="18"/>
                <w:lang w:eastAsia="es-CR"/>
              </w:rPr>
              <w:t>Oficina Líder</w:t>
            </w:r>
          </w:p>
        </w:tc>
        <w:tc>
          <w:tcPr>
            <w:tcW w:w="1129" w:type="dxa"/>
            <w:tcBorders>
              <w:top w:val="single" w:sz="4" w:space="0" w:color="auto"/>
              <w:left w:val="nil"/>
              <w:bottom w:val="single" w:sz="4" w:space="0" w:color="auto"/>
              <w:right w:val="single" w:sz="4" w:space="0" w:color="auto"/>
            </w:tcBorders>
            <w:shd w:val="clear" w:color="000000" w:fill="44546A"/>
            <w:noWrap/>
            <w:vAlign w:val="center"/>
            <w:hideMark/>
          </w:tcPr>
          <w:p w14:paraId="5B5773A0" w14:textId="77777777" w:rsidR="00E8321A" w:rsidRPr="002E5E8F" w:rsidRDefault="00E8321A" w:rsidP="00B56C1A">
            <w:pPr>
              <w:spacing w:after="0" w:line="240" w:lineRule="auto"/>
              <w:jc w:val="center"/>
              <w:rPr>
                <w:rFonts w:ascii="Book Antiqua" w:eastAsia="Times New Roman" w:hAnsi="Book Antiqua" w:cs="Calibri"/>
                <w:b/>
                <w:bCs/>
                <w:color w:val="FFFFFF"/>
                <w:sz w:val="18"/>
                <w:szCs w:val="18"/>
                <w:lang w:eastAsia="es-CR"/>
              </w:rPr>
            </w:pPr>
            <w:r w:rsidRPr="002E5E8F">
              <w:rPr>
                <w:rFonts w:ascii="Book Antiqua" w:eastAsia="Times New Roman" w:hAnsi="Book Antiqua" w:cs="Calibri"/>
                <w:b/>
                <w:bCs/>
                <w:color w:val="FFFFFF"/>
                <w:sz w:val="18"/>
                <w:szCs w:val="18"/>
                <w:lang w:eastAsia="es-CR"/>
              </w:rPr>
              <w:t>Código</w:t>
            </w:r>
          </w:p>
        </w:tc>
        <w:tc>
          <w:tcPr>
            <w:tcW w:w="1951" w:type="dxa"/>
            <w:tcBorders>
              <w:top w:val="single" w:sz="4" w:space="0" w:color="auto"/>
              <w:left w:val="nil"/>
              <w:bottom w:val="single" w:sz="4" w:space="0" w:color="auto"/>
              <w:right w:val="single" w:sz="4" w:space="0" w:color="auto"/>
            </w:tcBorders>
            <w:shd w:val="clear" w:color="000000" w:fill="44546A"/>
            <w:noWrap/>
            <w:vAlign w:val="center"/>
            <w:hideMark/>
          </w:tcPr>
          <w:p w14:paraId="44FBB1D1" w14:textId="77777777" w:rsidR="00E8321A" w:rsidRPr="002E5E8F" w:rsidRDefault="00E8321A" w:rsidP="00B56C1A">
            <w:pPr>
              <w:spacing w:after="0" w:line="240" w:lineRule="auto"/>
              <w:jc w:val="center"/>
              <w:rPr>
                <w:rFonts w:ascii="Book Antiqua" w:eastAsia="Times New Roman" w:hAnsi="Book Antiqua" w:cs="Calibri"/>
                <w:b/>
                <w:bCs/>
                <w:color w:val="FFFFFF"/>
                <w:sz w:val="18"/>
                <w:szCs w:val="18"/>
                <w:lang w:eastAsia="es-CR"/>
              </w:rPr>
            </w:pPr>
            <w:r w:rsidRPr="002E5E8F">
              <w:rPr>
                <w:rFonts w:ascii="Book Antiqua" w:eastAsia="Times New Roman" w:hAnsi="Book Antiqua" w:cs="Calibri"/>
                <w:b/>
                <w:bCs/>
                <w:color w:val="FFFFFF"/>
                <w:sz w:val="18"/>
                <w:szCs w:val="18"/>
                <w:lang w:eastAsia="es-CR"/>
              </w:rPr>
              <w:t>Nombre</w:t>
            </w:r>
          </w:p>
        </w:tc>
        <w:tc>
          <w:tcPr>
            <w:tcW w:w="3190" w:type="dxa"/>
            <w:tcBorders>
              <w:top w:val="single" w:sz="4" w:space="0" w:color="auto"/>
              <w:left w:val="nil"/>
              <w:bottom w:val="single" w:sz="4" w:space="0" w:color="auto"/>
              <w:right w:val="single" w:sz="4" w:space="0" w:color="auto"/>
            </w:tcBorders>
            <w:shd w:val="clear" w:color="000000" w:fill="44546A"/>
            <w:noWrap/>
            <w:vAlign w:val="center"/>
            <w:hideMark/>
          </w:tcPr>
          <w:p w14:paraId="06E17FF6" w14:textId="77777777" w:rsidR="00E8321A" w:rsidRPr="002E5E8F" w:rsidRDefault="00E8321A" w:rsidP="00B56C1A">
            <w:pPr>
              <w:spacing w:after="0" w:line="240" w:lineRule="auto"/>
              <w:jc w:val="center"/>
              <w:rPr>
                <w:rFonts w:ascii="Book Antiqua" w:eastAsia="Times New Roman" w:hAnsi="Book Antiqua" w:cs="Calibri"/>
                <w:b/>
                <w:bCs/>
                <w:color w:val="FFFFFF"/>
                <w:sz w:val="18"/>
                <w:szCs w:val="18"/>
                <w:lang w:eastAsia="es-CR"/>
              </w:rPr>
            </w:pPr>
            <w:r w:rsidRPr="002E5E8F">
              <w:rPr>
                <w:rFonts w:ascii="Book Antiqua" w:eastAsia="Times New Roman" w:hAnsi="Book Antiqua" w:cs="Calibri"/>
                <w:b/>
                <w:bCs/>
                <w:color w:val="FFFFFF"/>
                <w:sz w:val="18"/>
                <w:szCs w:val="18"/>
                <w:lang w:eastAsia="es-CR"/>
              </w:rPr>
              <w:t>Recomendación pendiente</w:t>
            </w:r>
          </w:p>
        </w:tc>
        <w:tc>
          <w:tcPr>
            <w:tcW w:w="954" w:type="dxa"/>
            <w:tcBorders>
              <w:top w:val="nil"/>
              <w:left w:val="nil"/>
              <w:bottom w:val="single" w:sz="4" w:space="0" w:color="auto"/>
              <w:right w:val="single" w:sz="4" w:space="0" w:color="auto"/>
            </w:tcBorders>
            <w:shd w:val="clear" w:color="000000" w:fill="44546A"/>
            <w:noWrap/>
            <w:vAlign w:val="center"/>
            <w:hideMark/>
          </w:tcPr>
          <w:p w14:paraId="13F6BC76" w14:textId="77777777" w:rsidR="00E8321A" w:rsidRPr="002E5E8F" w:rsidRDefault="00E8321A" w:rsidP="00B56C1A">
            <w:pPr>
              <w:spacing w:after="0" w:line="240" w:lineRule="auto"/>
              <w:jc w:val="center"/>
              <w:rPr>
                <w:rFonts w:ascii="Book Antiqua" w:eastAsia="Times New Roman" w:hAnsi="Book Antiqua" w:cs="Calibri"/>
                <w:b/>
                <w:bCs/>
                <w:color w:val="FFFFFF"/>
                <w:sz w:val="18"/>
                <w:szCs w:val="18"/>
                <w:lang w:eastAsia="es-CR"/>
              </w:rPr>
            </w:pPr>
            <w:r w:rsidRPr="002E5E8F">
              <w:rPr>
                <w:rFonts w:ascii="Book Antiqua" w:eastAsia="Times New Roman" w:hAnsi="Book Antiqua" w:cs="Calibri"/>
                <w:b/>
                <w:bCs/>
                <w:color w:val="FFFFFF"/>
                <w:sz w:val="18"/>
                <w:szCs w:val="18"/>
                <w:lang w:eastAsia="es-CR"/>
              </w:rPr>
              <w:t>Capítulo del informe</w:t>
            </w:r>
          </w:p>
        </w:tc>
        <w:tc>
          <w:tcPr>
            <w:tcW w:w="911" w:type="dxa"/>
            <w:tcBorders>
              <w:top w:val="nil"/>
              <w:left w:val="nil"/>
              <w:bottom w:val="single" w:sz="4" w:space="0" w:color="auto"/>
              <w:right w:val="single" w:sz="4" w:space="0" w:color="auto"/>
            </w:tcBorders>
            <w:shd w:val="clear" w:color="000000" w:fill="44546A"/>
            <w:noWrap/>
            <w:vAlign w:val="center"/>
            <w:hideMark/>
          </w:tcPr>
          <w:p w14:paraId="7BA8C844" w14:textId="77777777" w:rsidR="00E8321A" w:rsidRPr="002E5E8F" w:rsidRDefault="00E8321A" w:rsidP="00B56C1A">
            <w:pPr>
              <w:spacing w:after="0" w:line="240" w:lineRule="auto"/>
              <w:jc w:val="center"/>
              <w:rPr>
                <w:rFonts w:ascii="Book Antiqua" w:eastAsia="Times New Roman" w:hAnsi="Book Antiqua" w:cs="Calibri"/>
                <w:b/>
                <w:bCs/>
                <w:color w:val="FFFFFF"/>
                <w:sz w:val="18"/>
                <w:szCs w:val="18"/>
                <w:lang w:eastAsia="es-CR"/>
              </w:rPr>
            </w:pPr>
            <w:r w:rsidRPr="002E5E8F">
              <w:rPr>
                <w:rFonts w:ascii="Book Antiqua" w:eastAsia="Times New Roman" w:hAnsi="Book Antiqua" w:cs="Calibri"/>
                <w:b/>
                <w:bCs/>
                <w:color w:val="FFFFFF"/>
                <w:sz w:val="18"/>
                <w:szCs w:val="18"/>
                <w:lang w:eastAsia="es-CR"/>
              </w:rPr>
              <w:t>Apartado del informe</w:t>
            </w:r>
          </w:p>
        </w:tc>
      </w:tr>
      <w:tr w:rsidR="00E8321A" w:rsidRPr="002E5E8F" w14:paraId="05DA1224" w14:textId="77777777" w:rsidTr="00B56C1A">
        <w:trPr>
          <w:trHeight w:val="300"/>
        </w:trPr>
        <w:tc>
          <w:tcPr>
            <w:tcW w:w="14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F8623" w14:textId="77777777" w:rsidR="00E8321A" w:rsidRPr="002E5E8F" w:rsidRDefault="00E8321A" w:rsidP="00B56C1A">
            <w:pPr>
              <w:spacing w:after="0" w:line="240" w:lineRule="auto"/>
              <w:jc w:val="center"/>
              <w:rPr>
                <w:rFonts w:ascii="Book Antiqua" w:eastAsia="Times New Roman" w:hAnsi="Book Antiqua" w:cs="Calibri"/>
                <w:color w:val="000000"/>
                <w:sz w:val="18"/>
                <w:szCs w:val="18"/>
                <w:lang w:eastAsia="es-CR"/>
              </w:rPr>
            </w:pPr>
            <w:r w:rsidRPr="002E5E8F">
              <w:rPr>
                <w:rFonts w:ascii="Book Antiqua" w:eastAsia="Times New Roman" w:hAnsi="Book Antiqua" w:cs="Calibri"/>
                <w:color w:val="000000"/>
                <w:sz w:val="18"/>
                <w:szCs w:val="18"/>
                <w:lang w:eastAsia="es-CR"/>
              </w:rPr>
              <w:t>Despacho de la Presidencia</w:t>
            </w:r>
          </w:p>
        </w:tc>
        <w:tc>
          <w:tcPr>
            <w:tcW w:w="16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9C97A" w14:textId="77777777" w:rsidR="00E8321A" w:rsidRPr="002E5E8F" w:rsidRDefault="00E8321A" w:rsidP="00B56C1A">
            <w:pPr>
              <w:spacing w:after="0" w:line="240" w:lineRule="auto"/>
              <w:jc w:val="center"/>
              <w:rPr>
                <w:rFonts w:ascii="Book Antiqua" w:eastAsia="Times New Roman" w:hAnsi="Book Antiqua" w:cs="Calibri"/>
                <w:color w:val="000000"/>
                <w:sz w:val="18"/>
                <w:szCs w:val="18"/>
                <w:lang w:eastAsia="es-CR"/>
              </w:rPr>
            </w:pPr>
            <w:r w:rsidRPr="002E5E8F">
              <w:rPr>
                <w:rFonts w:ascii="Book Antiqua" w:eastAsia="Times New Roman" w:hAnsi="Book Antiqua" w:cs="Calibri"/>
                <w:color w:val="000000"/>
                <w:sz w:val="18"/>
                <w:szCs w:val="18"/>
                <w:lang w:eastAsia="es-CR"/>
              </w:rPr>
              <w:t>1324 Centro de Apoyo, Coordinación y Mejoramiento de la Función Jurisdiccional</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32237" w14:textId="77777777" w:rsidR="00E8321A" w:rsidRPr="002E5E8F" w:rsidRDefault="00E8321A" w:rsidP="00B56C1A">
            <w:pPr>
              <w:spacing w:after="0" w:line="240" w:lineRule="auto"/>
              <w:jc w:val="center"/>
              <w:rPr>
                <w:rFonts w:ascii="Book Antiqua" w:eastAsia="Times New Roman" w:hAnsi="Book Antiqua" w:cs="Calibri"/>
                <w:color w:val="000000"/>
                <w:sz w:val="18"/>
                <w:szCs w:val="18"/>
                <w:lang w:eastAsia="es-CR"/>
              </w:rPr>
            </w:pPr>
            <w:r w:rsidRPr="002E5E8F">
              <w:rPr>
                <w:rFonts w:ascii="Book Antiqua" w:eastAsia="Times New Roman" w:hAnsi="Book Antiqua" w:cs="Calibri"/>
                <w:color w:val="000000"/>
                <w:sz w:val="18"/>
                <w:szCs w:val="18"/>
                <w:lang w:eastAsia="es-CR"/>
              </w:rPr>
              <w:t>0655-CONAMAJ-P03</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46A19" w14:textId="77777777" w:rsidR="00E8321A" w:rsidRPr="002E5E8F" w:rsidRDefault="00E8321A" w:rsidP="00B56C1A">
            <w:pPr>
              <w:spacing w:after="0" w:line="240" w:lineRule="auto"/>
              <w:jc w:val="center"/>
              <w:rPr>
                <w:rFonts w:ascii="Book Antiqua" w:eastAsia="Times New Roman" w:hAnsi="Book Antiqua" w:cs="Calibri"/>
                <w:color w:val="000000"/>
                <w:sz w:val="18"/>
                <w:szCs w:val="18"/>
                <w:lang w:eastAsia="es-CR"/>
              </w:rPr>
            </w:pPr>
            <w:r w:rsidRPr="002E5E8F">
              <w:rPr>
                <w:rFonts w:ascii="Book Antiqua" w:eastAsia="Times New Roman" w:hAnsi="Book Antiqua" w:cs="Calibri"/>
                <w:color w:val="000000"/>
                <w:sz w:val="18"/>
                <w:szCs w:val="18"/>
                <w:lang w:eastAsia="es-CR"/>
              </w:rPr>
              <w:t>Expansión del Servicio Nacional de Facilitadores y Facilitadoras Judiciales incluyendo zonas interurbanas.</w:t>
            </w:r>
          </w:p>
        </w:tc>
        <w:tc>
          <w:tcPr>
            <w:tcW w:w="3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74448" w14:textId="77777777" w:rsidR="00E8321A" w:rsidRPr="002E5E8F" w:rsidRDefault="00E8321A" w:rsidP="00EF4E17">
            <w:pPr>
              <w:spacing w:after="0" w:line="240" w:lineRule="auto"/>
              <w:jc w:val="both"/>
              <w:rPr>
                <w:rFonts w:ascii="Book Antiqua" w:eastAsia="Times New Roman" w:hAnsi="Book Antiqua" w:cs="Calibri"/>
                <w:color w:val="000000"/>
                <w:sz w:val="18"/>
                <w:szCs w:val="18"/>
                <w:lang w:eastAsia="es-CR"/>
              </w:rPr>
            </w:pPr>
            <w:r w:rsidRPr="002E5E8F">
              <w:rPr>
                <w:rFonts w:ascii="Book Antiqua" w:eastAsia="Times New Roman" w:hAnsi="Book Antiqua" w:cs="Calibri"/>
                <w:color w:val="000000"/>
                <w:sz w:val="18"/>
                <w:szCs w:val="18"/>
                <w:lang w:eastAsia="es-CR"/>
              </w:rPr>
              <w:t>Delimitar las zonas donde se va a extender el servicio e incorporarlas como parte del nombre del Proyecto.</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35A05" w14:textId="0558C844" w:rsidR="00E8321A" w:rsidRPr="002E5E8F" w:rsidRDefault="005A1D93" w:rsidP="00B56C1A">
            <w:pPr>
              <w:spacing w:after="0" w:line="240" w:lineRule="auto"/>
              <w:jc w:val="center"/>
              <w:rPr>
                <w:rFonts w:ascii="Book Antiqua" w:eastAsia="Times New Roman" w:hAnsi="Book Antiqua" w:cs="Calibri"/>
                <w:color w:val="000000"/>
                <w:sz w:val="18"/>
                <w:szCs w:val="18"/>
                <w:lang w:eastAsia="es-CR"/>
              </w:rPr>
            </w:pPr>
            <w:r w:rsidRPr="002E5E8F">
              <w:rPr>
                <w:rFonts w:ascii="Book Antiqua" w:eastAsia="Times New Roman" w:hAnsi="Book Antiqua" w:cs="Calibri"/>
                <w:color w:val="000000"/>
                <w:sz w:val="18"/>
                <w:szCs w:val="18"/>
                <w:lang w:eastAsia="es-CR"/>
              </w:rPr>
              <w:t>Capítulo</w:t>
            </w:r>
            <w:r w:rsidR="00E8321A" w:rsidRPr="002E5E8F">
              <w:rPr>
                <w:rFonts w:ascii="Book Antiqua" w:eastAsia="Times New Roman" w:hAnsi="Book Antiqua" w:cs="Calibri"/>
                <w:color w:val="000000"/>
                <w:sz w:val="18"/>
                <w:szCs w:val="18"/>
                <w:lang w:eastAsia="es-CR"/>
              </w:rPr>
              <w:t xml:space="preserve"> 3</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13FD1" w14:textId="77777777" w:rsidR="00E8321A" w:rsidRPr="002E5E8F" w:rsidRDefault="00E8321A" w:rsidP="00B56C1A">
            <w:pPr>
              <w:spacing w:after="0" w:line="240" w:lineRule="auto"/>
              <w:jc w:val="center"/>
              <w:rPr>
                <w:rFonts w:ascii="Book Antiqua" w:eastAsia="Times New Roman" w:hAnsi="Book Antiqua" w:cs="Calibri"/>
                <w:color w:val="000000"/>
                <w:sz w:val="18"/>
                <w:szCs w:val="18"/>
                <w:lang w:eastAsia="es-CR"/>
              </w:rPr>
            </w:pPr>
            <w:r w:rsidRPr="002E5E8F">
              <w:rPr>
                <w:rFonts w:ascii="Book Antiqua" w:eastAsia="Times New Roman" w:hAnsi="Book Antiqua" w:cs="Calibri"/>
                <w:color w:val="000000"/>
                <w:sz w:val="18"/>
                <w:szCs w:val="18"/>
                <w:lang w:eastAsia="es-CR"/>
              </w:rPr>
              <w:t>3.5</w:t>
            </w:r>
          </w:p>
        </w:tc>
      </w:tr>
      <w:tr w:rsidR="00E8321A" w:rsidRPr="002E5E8F" w14:paraId="3F219255" w14:textId="77777777" w:rsidTr="00B56C1A">
        <w:trPr>
          <w:trHeight w:val="300"/>
        </w:trPr>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F6A10F" w14:textId="77777777" w:rsidR="00E8321A" w:rsidRPr="002E5E8F"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6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8D75D9" w14:textId="77777777" w:rsidR="00E8321A" w:rsidRPr="002E5E8F"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EBE8E" w14:textId="77777777" w:rsidR="00E8321A" w:rsidRPr="002E5E8F" w:rsidRDefault="00E8321A" w:rsidP="00B56C1A">
            <w:pPr>
              <w:spacing w:after="0" w:line="240" w:lineRule="auto"/>
              <w:jc w:val="center"/>
              <w:rPr>
                <w:rFonts w:ascii="Book Antiqua" w:eastAsia="Times New Roman" w:hAnsi="Book Antiqua" w:cs="Calibri"/>
                <w:color w:val="000000"/>
                <w:sz w:val="18"/>
                <w:szCs w:val="18"/>
                <w:lang w:eastAsia="es-CR"/>
              </w:rPr>
            </w:pPr>
            <w:r w:rsidRPr="002E5E8F">
              <w:rPr>
                <w:rFonts w:ascii="Book Antiqua" w:eastAsia="Times New Roman" w:hAnsi="Book Antiqua" w:cs="Calibri"/>
                <w:color w:val="000000"/>
                <w:sz w:val="18"/>
                <w:szCs w:val="18"/>
                <w:lang w:eastAsia="es-CR"/>
              </w:rPr>
              <w:t>1324-CACMFJ-P04</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11451" w14:textId="77777777" w:rsidR="00E8321A" w:rsidRPr="002E5E8F" w:rsidRDefault="00E8321A" w:rsidP="00B56C1A">
            <w:pPr>
              <w:spacing w:after="0" w:line="240" w:lineRule="auto"/>
              <w:jc w:val="center"/>
              <w:rPr>
                <w:rFonts w:ascii="Book Antiqua" w:eastAsia="Times New Roman" w:hAnsi="Book Antiqua" w:cs="Calibri"/>
                <w:color w:val="000000"/>
                <w:sz w:val="18"/>
                <w:szCs w:val="18"/>
                <w:lang w:eastAsia="es-CR"/>
              </w:rPr>
            </w:pPr>
            <w:r w:rsidRPr="002E5E8F">
              <w:rPr>
                <w:rFonts w:ascii="Book Antiqua" w:eastAsia="Times New Roman" w:hAnsi="Book Antiqua" w:cs="Calibri"/>
                <w:color w:val="000000"/>
                <w:sz w:val="18"/>
                <w:szCs w:val="18"/>
                <w:lang w:eastAsia="es-CR"/>
              </w:rPr>
              <w:t>Planes de Descongestionamiento de Materia Notarial</w:t>
            </w:r>
          </w:p>
        </w:tc>
        <w:tc>
          <w:tcPr>
            <w:tcW w:w="3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5533F" w14:textId="309152D3" w:rsidR="00E8321A" w:rsidRPr="002E5E8F" w:rsidRDefault="00E8321A" w:rsidP="00EF4E17">
            <w:pPr>
              <w:spacing w:after="0" w:line="240" w:lineRule="auto"/>
              <w:jc w:val="both"/>
              <w:rPr>
                <w:rFonts w:ascii="Book Antiqua" w:eastAsia="Times New Roman" w:hAnsi="Book Antiqua" w:cs="Calibri"/>
                <w:color w:val="000000"/>
                <w:sz w:val="18"/>
                <w:szCs w:val="18"/>
                <w:lang w:eastAsia="es-CR"/>
              </w:rPr>
            </w:pPr>
            <w:r w:rsidRPr="002E5E8F">
              <w:rPr>
                <w:rFonts w:ascii="Book Antiqua" w:eastAsia="Times New Roman" w:hAnsi="Book Antiqua" w:cs="Calibri"/>
                <w:color w:val="000000"/>
                <w:sz w:val="18"/>
                <w:szCs w:val="18"/>
                <w:lang w:eastAsia="es-CR"/>
              </w:rPr>
              <w:t>Considerando el rendimiento en el cuatrimestre pasado (Enero a Abril )</w:t>
            </w:r>
            <w:r w:rsidR="00525928">
              <w:rPr>
                <w:rFonts w:ascii="Book Antiqua" w:eastAsia="Times New Roman" w:hAnsi="Book Antiqua" w:cs="Calibri"/>
                <w:color w:val="000000"/>
                <w:sz w:val="18"/>
                <w:szCs w:val="18"/>
                <w:lang w:eastAsia="es-CR"/>
              </w:rPr>
              <w:t xml:space="preserve"> </w:t>
            </w:r>
            <w:r w:rsidRPr="002E5E8F">
              <w:rPr>
                <w:rFonts w:ascii="Book Antiqua" w:eastAsia="Times New Roman" w:hAnsi="Book Antiqua" w:cs="Calibri"/>
                <w:color w:val="000000"/>
                <w:sz w:val="18"/>
                <w:szCs w:val="18"/>
                <w:lang w:eastAsia="es-CR"/>
              </w:rPr>
              <w:t>en el cual  alcanzo un avance del 28 % de la meta propuesta,  se recomienda no aprobar la continuidad del permiso con goce de salario de un  Juez 3.</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78056" w14:textId="4E999262" w:rsidR="00E8321A" w:rsidRPr="002E5E8F" w:rsidRDefault="005A1D93" w:rsidP="00B56C1A">
            <w:pPr>
              <w:spacing w:after="0" w:line="240" w:lineRule="auto"/>
              <w:jc w:val="center"/>
              <w:rPr>
                <w:rFonts w:ascii="Book Antiqua" w:eastAsia="Times New Roman" w:hAnsi="Book Antiqua" w:cs="Calibri"/>
                <w:color w:val="000000"/>
                <w:sz w:val="18"/>
                <w:szCs w:val="18"/>
                <w:lang w:eastAsia="es-CR"/>
              </w:rPr>
            </w:pPr>
            <w:r w:rsidRPr="002E5E8F">
              <w:rPr>
                <w:rFonts w:ascii="Book Antiqua" w:eastAsia="Times New Roman" w:hAnsi="Book Antiqua" w:cs="Calibri"/>
                <w:color w:val="000000"/>
                <w:sz w:val="18"/>
                <w:szCs w:val="18"/>
                <w:lang w:eastAsia="es-CR"/>
              </w:rPr>
              <w:t>Capítulo</w:t>
            </w:r>
            <w:r w:rsidR="00E8321A" w:rsidRPr="002E5E8F">
              <w:rPr>
                <w:rFonts w:ascii="Book Antiqua" w:eastAsia="Times New Roman" w:hAnsi="Book Antiqua" w:cs="Calibri"/>
                <w:color w:val="000000"/>
                <w:sz w:val="18"/>
                <w:szCs w:val="18"/>
                <w:lang w:eastAsia="es-CR"/>
              </w:rPr>
              <w:t xml:space="preserve"> 3</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3452D" w14:textId="77777777" w:rsidR="00E8321A" w:rsidRPr="002E5E8F" w:rsidRDefault="00E8321A" w:rsidP="00B56C1A">
            <w:pPr>
              <w:spacing w:after="0" w:line="240" w:lineRule="auto"/>
              <w:jc w:val="center"/>
              <w:rPr>
                <w:rFonts w:ascii="Book Antiqua" w:eastAsia="Times New Roman" w:hAnsi="Book Antiqua" w:cs="Calibri"/>
                <w:color w:val="000000"/>
                <w:sz w:val="18"/>
                <w:szCs w:val="18"/>
                <w:lang w:eastAsia="es-CR"/>
              </w:rPr>
            </w:pPr>
            <w:r w:rsidRPr="002E5E8F">
              <w:rPr>
                <w:rFonts w:ascii="Book Antiqua" w:eastAsia="Times New Roman" w:hAnsi="Book Antiqua" w:cs="Calibri"/>
                <w:color w:val="000000"/>
                <w:sz w:val="18"/>
                <w:szCs w:val="18"/>
                <w:lang w:eastAsia="es-CR"/>
              </w:rPr>
              <w:t>3.5</w:t>
            </w:r>
          </w:p>
        </w:tc>
      </w:tr>
      <w:tr w:rsidR="00E8321A" w:rsidRPr="002E5E8F" w14:paraId="455D34A7" w14:textId="77777777" w:rsidTr="00B56C1A">
        <w:trPr>
          <w:trHeight w:val="300"/>
        </w:trPr>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F7AF8F" w14:textId="77777777" w:rsidR="00E8321A" w:rsidRPr="002E5E8F"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6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16AAEA" w14:textId="77777777" w:rsidR="00E8321A" w:rsidRPr="002E5E8F"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77BB2" w14:textId="77777777" w:rsidR="00E8321A" w:rsidRPr="002E5E8F" w:rsidRDefault="00E8321A" w:rsidP="00B56C1A">
            <w:pPr>
              <w:spacing w:after="0" w:line="240" w:lineRule="auto"/>
              <w:jc w:val="center"/>
              <w:rPr>
                <w:rFonts w:ascii="Book Antiqua" w:eastAsia="Times New Roman" w:hAnsi="Book Antiqua" w:cs="Calibri"/>
                <w:color w:val="000000"/>
                <w:sz w:val="18"/>
                <w:szCs w:val="18"/>
                <w:lang w:eastAsia="es-CR"/>
              </w:rPr>
            </w:pPr>
            <w:r w:rsidRPr="002E5E8F">
              <w:rPr>
                <w:rFonts w:ascii="Book Antiqua" w:eastAsia="Times New Roman" w:hAnsi="Book Antiqua" w:cs="Calibri"/>
                <w:color w:val="000000"/>
                <w:sz w:val="18"/>
                <w:szCs w:val="18"/>
                <w:lang w:eastAsia="es-CR"/>
              </w:rPr>
              <w:t>1324-CACMFJ-P06</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2758" w14:textId="77777777" w:rsidR="00E8321A" w:rsidRPr="002E5E8F" w:rsidRDefault="00E8321A" w:rsidP="00B56C1A">
            <w:pPr>
              <w:spacing w:after="0" w:line="240" w:lineRule="auto"/>
              <w:jc w:val="center"/>
              <w:rPr>
                <w:rFonts w:ascii="Book Antiqua" w:eastAsia="Times New Roman" w:hAnsi="Book Antiqua" w:cs="Calibri"/>
                <w:color w:val="000000"/>
                <w:sz w:val="18"/>
                <w:szCs w:val="18"/>
                <w:lang w:eastAsia="es-CR"/>
              </w:rPr>
            </w:pPr>
            <w:r w:rsidRPr="002E5E8F">
              <w:rPr>
                <w:rFonts w:ascii="Book Antiqua" w:eastAsia="Times New Roman" w:hAnsi="Book Antiqua" w:cs="Calibri"/>
                <w:color w:val="000000"/>
                <w:sz w:val="18"/>
                <w:szCs w:val="18"/>
                <w:lang w:eastAsia="es-CR"/>
              </w:rPr>
              <w:t xml:space="preserve">Plan de Atención de los Procesos Expropiatorios en el Juzgado Contencioso </w:t>
            </w:r>
            <w:r w:rsidRPr="002E5E8F">
              <w:rPr>
                <w:rFonts w:ascii="Book Antiqua" w:eastAsia="Times New Roman" w:hAnsi="Book Antiqua" w:cs="Calibri"/>
                <w:color w:val="000000"/>
                <w:sz w:val="18"/>
                <w:szCs w:val="18"/>
                <w:lang w:eastAsia="es-CR"/>
              </w:rPr>
              <w:lastRenderedPageBreak/>
              <w:t>Administrativo y Civil Hacienda</w:t>
            </w:r>
          </w:p>
        </w:tc>
        <w:tc>
          <w:tcPr>
            <w:tcW w:w="3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F1FFA" w14:textId="0FC0E880"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2E5E8F">
              <w:rPr>
                <w:rFonts w:ascii="Book Antiqua" w:eastAsia="Times New Roman" w:hAnsi="Book Antiqua" w:cs="Calibri"/>
                <w:b/>
                <w:bCs/>
                <w:color w:val="000000"/>
                <w:sz w:val="18"/>
                <w:szCs w:val="18"/>
                <w:lang w:eastAsia="es-CR"/>
              </w:rPr>
              <w:lastRenderedPageBreak/>
              <w:t>En estudio de factibilidad corregir:</w:t>
            </w:r>
            <w:r w:rsidRPr="002E5E8F">
              <w:rPr>
                <w:rFonts w:ascii="Book Antiqua" w:eastAsia="Times New Roman" w:hAnsi="Book Antiqua" w:cs="Calibri"/>
                <w:color w:val="000000"/>
                <w:sz w:val="18"/>
                <w:szCs w:val="18"/>
                <w:lang w:eastAsia="es-CR"/>
              </w:rPr>
              <w:t xml:space="preserve"> Planteamiento inicial del proyecto: Falta indicar las 3 alternativas para solucionar el problema que se </w:t>
            </w:r>
            <w:r w:rsidR="005A1D93" w:rsidRPr="002E5E8F">
              <w:rPr>
                <w:rFonts w:ascii="Book Antiqua" w:eastAsia="Times New Roman" w:hAnsi="Book Antiqua" w:cs="Calibri"/>
                <w:color w:val="000000"/>
                <w:sz w:val="18"/>
                <w:szCs w:val="18"/>
                <w:lang w:eastAsia="es-CR"/>
              </w:rPr>
              <w:t>planteó</w:t>
            </w:r>
            <w:r w:rsidRPr="002E5E8F">
              <w:rPr>
                <w:rFonts w:ascii="Book Antiqua" w:eastAsia="Times New Roman" w:hAnsi="Book Antiqua" w:cs="Calibri"/>
                <w:color w:val="000000"/>
                <w:sz w:val="18"/>
                <w:szCs w:val="18"/>
                <w:lang w:eastAsia="es-CR"/>
              </w:rPr>
              <w:t xml:space="preserve">. Costos de inversión: En este apartado </w:t>
            </w:r>
            <w:r w:rsidRPr="002E5E8F">
              <w:rPr>
                <w:rFonts w:ascii="Book Antiqua" w:eastAsia="Times New Roman" w:hAnsi="Book Antiqua" w:cs="Calibri"/>
                <w:color w:val="000000"/>
                <w:sz w:val="18"/>
                <w:szCs w:val="18"/>
                <w:lang w:eastAsia="es-CR"/>
              </w:rPr>
              <w:lastRenderedPageBreak/>
              <w:t>se debe contemplar los recursos ordinarios del proyecto y con permisos con goce requerido para la ejecución del proyecto. Revisar que este por todo el periodo del proyecto y la cantidad de personas que intervienen. Costos de Operación: En este apartado no se debe contemplar los recursos ordinarios ni permisos con goce de la ejecución del proyecto; sino los costos que genere el proyecto una vez terminado.</w:t>
            </w:r>
            <w:r>
              <w:rPr>
                <w:rFonts w:ascii="Book Antiqua" w:eastAsia="Times New Roman" w:hAnsi="Book Antiqua" w:cs="Calibri"/>
                <w:color w:val="000000"/>
                <w:sz w:val="18"/>
                <w:szCs w:val="18"/>
                <w:lang w:eastAsia="es-CR"/>
              </w:rPr>
              <w:t xml:space="preserve"> </w:t>
            </w:r>
            <w:r w:rsidRPr="002E5E8F">
              <w:rPr>
                <w:rFonts w:ascii="Book Antiqua" w:eastAsia="Times New Roman" w:hAnsi="Book Antiqua" w:cs="Calibri"/>
                <w:color w:val="000000"/>
                <w:sz w:val="18"/>
                <w:szCs w:val="18"/>
                <w:lang w:eastAsia="es-CR"/>
              </w:rPr>
              <w:t xml:space="preserve">Fuente de financiamiento: Se debe indicar a si es con recurso ordinario o como se </w:t>
            </w:r>
            <w:r w:rsidR="00525928" w:rsidRPr="002E5E8F">
              <w:rPr>
                <w:rFonts w:ascii="Book Antiqua" w:eastAsia="Times New Roman" w:hAnsi="Book Antiqua" w:cs="Calibri"/>
                <w:color w:val="000000"/>
                <w:sz w:val="18"/>
                <w:szCs w:val="18"/>
                <w:lang w:eastAsia="es-CR"/>
              </w:rPr>
              <w:t>pagará. Análisis</w:t>
            </w:r>
            <w:r w:rsidRPr="002E5E8F">
              <w:rPr>
                <w:rFonts w:ascii="Book Antiqua" w:eastAsia="Times New Roman" w:hAnsi="Book Antiqua" w:cs="Calibri"/>
                <w:color w:val="000000"/>
                <w:sz w:val="18"/>
                <w:szCs w:val="18"/>
                <w:lang w:eastAsia="es-CR"/>
              </w:rPr>
              <w:t xml:space="preserve"> Costo -Beneficio del </w:t>
            </w:r>
            <w:r w:rsidR="00525928" w:rsidRPr="002E5E8F">
              <w:rPr>
                <w:rFonts w:ascii="Book Antiqua" w:eastAsia="Times New Roman" w:hAnsi="Book Antiqua" w:cs="Calibri"/>
                <w:color w:val="000000"/>
                <w:sz w:val="18"/>
                <w:szCs w:val="18"/>
                <w:lang w:eastAsia="es-CR"/>
              </w:rPr>
              <w:t>Proyecto: El</w:t>
            </w:r>
            <w:r w:rsidRPr="002E5E8F">
              <w:rPr>
                <w:rFonts w:ascii="Book Antiqua" w:eastAsia="Times New Roman" w:hAnsi="Book Antiqua" w:cs="Calibri"/>
                <w:color w:val="000000"/>
                <w:sz w:val="18"/>
                <w:szCs w:val="18"/>
                <w:lang w:eastAsia="es-CR"/>
              </w:rPr>
              <w:t xml:space="preserve"> costo de inversión debe coincidir una vez actualizado si aplica. </w:t>
            </w:r>
          </w:p>
          <w:p w14:paraId="31CA9ED3" w14:textId="07B74F91"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2E5E8F">
              <w:rPr>
                <w:rFonts w:ascii="Book Antiqua" w:eastAsia="Times New Roman" w:hAnsi="Book Antiqua" w:cs="Calibri"/>
                <w:b/>
                <w:bCs/>
                <w:color w:val="000000"/>
                <w:sz w:val="18"/>
                <w:szCs w:val="18"/>
                <w:lang w:eastAsia="es-CR"/>
              </w:rPr>
              <w:t>Acta de constitución</w:t>
            </w:r>
            <w:r w:rsidRPr="002E5E8F">
              <w:rPr>
                <w:rFonts w:ascii="Book Antiqua" w:eastAsia="Times New Roman" w:hAnsi="Book Antiqua" w:cs="Calibri"/>
                <w:color w:val="000000"/>
                <w:sz w:val="18"/>
                <w:szCs w:val="18"/>
                <w:lang w:eastAsia="es-CR"/>
              </w:rPr>
              <w:t xml:space="preserve">: Código del </w:t>
            </w:r>
            <w:r w:rsidR="00525928" w:rsidRPr="002E5E8F">
              <w:rPr>
                <w:rFonts w:ascii="Book Antiqua" w:eastAsia="Times New Roman" w:hAnsi="Book Antiqua" w:cs="Calibri"/>
                <w:color w:val="000000"/>
                <w:sz w:val="18"/>
                <w:szCs w:val="18"/>
                <w:lang w:eastAsia="es-CR"/>
              </w:rPr>
              <w:t>Proyecto: El</w:t>
            </w:r>
            <w:r w:rsidRPr="002E5E8F">
              <w:rPr>
                <w:rFonts w:ascii="Book Antiqua" w:eastAsia="Times New Roman" w:hAnsi="Book Antiqua" w:cs="Calibri"/>
                <w:color w:val="000000"/>
                <w:sz w:val="18"/>
                <w:szCs w:val="18"/>
                <w:lang w:eastAsia="es-CR"/>
              </w:rPr>
              <w:t xml:space="preserve">  </w:t>
            </w:r>
            <w:r w:rsidR="00525928" w:rsidRPr="002E5E8F">
              <w:rPr>
                <w:rFonts w:ascii="Book Antiqua" w:eastAsia="Times New Roman" w:hAnsi="Book Antiqua" w:cs="Calibri"/>
                <w:color w:val="000000"/>
                <w:sz w:val="18"/>
                <w:szCs w:val="18"/>
                <w:lang w:eastAsia="es-CR"/>
              </w:rPr>
              <w:t>código</w:t>
            </w:r>
            <w:r w:rsidRPr="002E5E8F">
              <w:rPr>
                <w:rFonts w:ascii="Book Antiqua" w:eastAsia="Times New Roman" w:hAnsi="Book Antiqua" w:cs="Calibri"/>
                <w:color w:val="000000"/>
                <w:sz w:val="18"/>
                <w:szCs w:val="18"/>
                <w:lang w:eastAsia="es-CR"/>
              </w:rPr>
              <w:t xml:space="preserve"> esta incorrecto es el 0655-CONAMAJ-P06. Descripción del proyecto: Se debe ampliar, considerar lo que se estableció en el estudio de factibilidad o plan de </w:t>
            </w:r>
            <w:r w:rsidR="00525928" w:rsidRPr="002E5E8F">
              <w:rPr>
                <w:rFonts w:ascii="Book Antiqua" w:eastAsia="Times New Roman" w:hAnsi="Book Antiqua" w:cs="Calibri"/>
                <w:color w:val="000000"/>
                <w:sz w:val="18"/>
                <w:szCs w:val="18"/>
                <w:lang w:eastAsia="es-CR"/>
              </w:rPr>
              <w:t>gestión. Objetivo</w:t>
            </w:r>
            <w:r w:rsidRPr="002E5E8F">
              <w:rPr>
                <w:rFonts w:ascii="Book Antiqua" w:eastAsia="Times New Roman" w:hAnsi="Book Antiqua" w:cs="Calibri"/>
                <w:color w:val="000000"/>
                <w:sz w:val="18"/>
                <w:szCs w:val="18"/>
                <w:lang w:eastAsia="es-CR"/>
              </w:rPr>
              <w:t xml:space="preserve"> del Proyecto: Falta indicar los indicadores del proyecto para evaluar los permisos con goce. Recursos del proyecto: Este apartado debe coincidir con los montos </w:t>
            </w:r>
            <w:r w:rsidR="00525928" w:rsidRPr="002E5E8F">
              <w:rPr>
                <w:rFonts w:ascii="Book Antiqua" w:eastAsia="Times New Roman" w:hAnsi="Book Antiqua" w:cs="Calibri"/>
                <w:color w:val="000000"/>
                <w:sz w:val="18"/>
                <w:szCs w:val="18"/>
                <w:lang w:eastAsia="es-CR"/>
              </w:rPr>
              <w:t>indicados</w:t>
            </w:r>
            <w:r w:rsidRPr="002E5E8F">
              <w:rPr>
                <w:rFonts w:ascii="Book Antiqua" w:eastAsia="Times New Roman" w:hAnsi="Book Antiqua" w:cs="Calibri"/>
                <w:color w:val="000000"/>
                <w:sz w:val="18"/>
                <w:szCs w:val="18"/>
                <w:lang w:eastAsia="es-CR"/>
              </w:rPr>
              <w:t xml:space="preserve"> en el estudio de factibilidad en el apartado de costo de inversión.</w:t>
            </w:r>
            <w:r w:rsidR="00010B19">
              <w:rPr>
                <w:rFonts w:ascii="Book Antiqua" w:eastAsia="Times New Roman" w:hAnsi="Book Antiqua" w:cs="Calibri"/>
                <w:color w:val="000000"/>
                <w:sz w:val="18"/>
                <w:szCs w:val="18"/>
                <w:lang w:eastAsia="es-CR"/>
              </w:rPr>
              <w:t xml:space="preserve"> </w:t>
            </w:r>
            <w:r w:rsidRPr="002E5E8F">
              <w:rPr>
                <w:rFonts w:ascii="Book Antiqua" w:eastAsia="Times New Roman" w:hAnsi="Book Antiqua" w:cs="Calibri"/>
                <w:color w:val="000000"/>
                <w:sz w:val="18"/>
                <w:szCs w:val="18"/>
                <w:lang w:eastAsia="es-CR"/>
              </w:rPr>
              <w:t xml:space="preserve">Equipo de trabajo del proyecto: En este apartado se debe indicar el equipo de trabajo, y mencionar el  rol de cada uno. Aprobación: Falta aprobación del documento. </w:t>
            </w:r>
          </w:p>
          <w:p w14:paraId="453BD8CC" w14:textId="1D8D18A3" w:rsidR="00E8321A" w:rsidRPr="002E5E8F" w:rsidRDefault="00E8321A" w:rsidP="00E24FCA">
            <w:pPr>
              <w:spacing w:after="0" w:line="240" w:lineRule="auto"/>
              <w:jc w:val="both"/>
              <w:rPr>
                <w:rFonts w:ascii="Book Antiqua" w:eastAsia="Times New Roman" w:hAnsi="Book Antiqua" w:cs="Calibri"/>
                <w:color w:val="000000"/>
                <w:sz w:val="18"/>
                <w:szCs w:val="18"/>
                <w:lang w:eastAsia="es-CR"/>
              </w:rPr>
            </w:pPr>
            <w:r w:rsidRPr="002E5E8F">
              <w:rPr>
                <w:rFonts w:ascii="Book Antiqua" w:eastAsia="Times New Roman" w:hAnsi="Book Antiqua" w:cs="Calibri"/>
                <w:b/>
                <w:bCs/>
                <w:color w:val="000000"/>
                <w:sz w:val="18"/>
                <w:szCs w:val="18"/>
                <w:lang w:eastAsia="es-CR"/>
              </w:rPr>
              <w:t>Plan de gestión:</w:t>
            </w:r>
            <w:r w:rsidRPr="002E5E8F">
              <w:rPr>
                <w:rFonts w:ascii="Book Antiqua" w:eastAsia="Times New Roman" w:hAnsi="Book Antiqua" w:cs="Calibri"/>
                <w:color w:val="000000"/>
                <w:sz w:val="18"/>
                <w:szCs w:val="18"/>
                <w:lang w:eastAsia="es-CR"/>
              </w:rPr>
              <w:t xml:space="preserve"> Beneficios y resultados esperados: Recuperando datos. Espere unos segundos e intente cortar o copiar de nuevo.</w:t>
            </w:r>
            <w:r w:rsidR="00525928">
              <w:rPr>
                <w:rFonts w:ascii="Book Antiqua" w:eastAsia="Times New Roman" w:hAnsi="Book Antiqua" w:cs="Calibri"/>
                <w:color w:val="000000"/>
                <w:sz w:val="18"/>
                <w:szCs w:val="18"/>
                <w:lang w:eastAsia="es-CR"/>
              </w:rPr>
              <w:t xml:space="preserve"> </w:t>
            </w:r>
            <w:r w:rsidRPr="002E5E8F">
              <w:rPr>
                <w:rFonts w:ascii="Book Antiqua" w:eastAsia="Times New Roman" w:hAnsi="Book Antiqua" w:cs="Calibri"/>
                <w:color w:val="000000"/>
                <w:sz w:val="18"/>
                <w:szCs w:val="18"/>
                <w:lang w:eastAsia="es-CR"/>
              </w:rPr>
              <w:t>Detalle de los entregables del proyecto: Falta realizar el diagrama de la EDT, se puede ver un ejemplo en el manual de elaboración del plan de gestión; El detalle de los entregables debe coincidir el cronograma y solamente debe indicarse el 3 nivel. Detalle del presupuesto del proyecto: Recuperando datos. Espere unos segundos e intente cortar o copiar de nuevo.</w:t>
            </w:r>
            <w:r w:rsidR="00525928">
              <w:rPr>
                <w:rFonts w:ascii="Book Antiqua" w:eastAsia="Times New Roman" w:hAnsi="Book Antiqua" w:cs="Calibri"/>
                <w:color w:val="000000"/>
                <w:sz w:val="18"/>
                <w:szCs w:val="18"/>
                <w:lang w:eastAsia="es-CR"/>
              </w:rPr>
              <w:t xml:space="preserve"> </w:t>
            </w:r>
            <w:r w:rsidRPr="002E5E8F">
              <w:rPr>
                <w:rFonts w:ascii="Book Antiqua" w:eastAsia="Times New Roman" w:hAnsi="Book Antiqua" w:cs="Calibri"/>
                <w:color w:val="000000"/>
                <w:sz w:val="18"/>
                <w:szCs w:val="18"/>
                <w:lang w:eastAsia="es-CR"/>
              </w:rPr>
              <w:t xml:space="preserve">Administración de la </w:t>
            </w:r>
            <w:r w:rsidRPr="002E5E8F">
              <w:rPr>
                <w:rFonts w:ascii="Book Antiqua" w:eastAsia="Times New Roman" w:hAnsi="Book Antiqua" w:cs="Calibri"/>
                <w:color w:val="000000"/>
                <w:sz w:val="18"/>
                <w:szCs w:val="18"/>
                <w:lang w:eastAsia="es-CR"/>
              </w:rPr>
              <w:lastRenderedPageBreak/>
              <w:t>comunicación:</w:t>
            </w:r>
            <w:r w:rsidR="008A1D31">
              <w:rPr>
                <w:rFonts w:ascii="Book Antiqua" w:eastAsia="Times New Roman" w:hAnsi="Book Antiqua" w:cs="Calibri"/>
                <w:color w:val="000000"/>
                <w:sz w:val="18"/>
                <w:szCs w:val="18"/>
                <w:lang w:eastAsia="es-CR"/>
              </w:rPr>
              <w:t xml:space="preserve"> </w:t>
            </w:r>
            <w:r w:rsidRPr="002E5E8F">
              <w:rPr>
                <w:rFonts w:ascii="Book Antiqua" w:eastAsia="Times New Roman" w:hAnsi="Book Antiqua" w:cs="Calibri"/>
                <w:color w:val="000000"/>
                <w:sz w:val="18"/>
                <w:szCs w:val="18"/>
                <w:lang w:eastAsia="es-CR"/>
              </w:rPr>
              <w:t>Falta completar este dato.</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8E347" w14:textId="168E8398" w:rsidR="00E8321A" w:rsidRPr="002E5E8F" w:rsidRDefault="005A1D93" w:rsidP="00B56C1A">
            <w:pPr>
              <w:spacing w:after="0" w:line="240" w:lineRule="auto"/>
              <w:jc w:val="center"/>
              <w:rPr>
                <w:rFonts w:ascii="Book Antiqua" w:eastAsia="Times New Roman" w:hAnsi="Book Antiqua" w:cs="Calibri"/>
                <w:color w:val="000000"/>
                <w:sz w:val="18"/>
                <w:szCs w:val="18"/>
                <w:lang w:eastAsia="es-CR"/>
              </w:rPr>
            </w:pPr>
            <w:r w:rsidRPr="002E5E8F">
              <w:rPr>
                <w:rFonts w:ascii="Book Antiqua" w:eastAsia="Times New Roman" w:hAnsi="Book Antiqua" w:cs="Calibri"/>
                <w:color w:val="000000"/>
                <w:sz w:val="18"/>
                <w:szCs w:val="18"/>
                <w:lang w:eastAsia="es-CR"/>
              </w:rPr>
              <w:lastRenderedPageBreak/>
              <w:t>Capítulo</w:t>
            </w:r>
            <w:r w:rsidR="00E8321A" w:rsidRPr="002E5E8F">
              <w:rPr>
                <w:rFonts w:ascii="Book Antiqua" w:eastAsia="Times New Roman" w:hAnsi="Book Antiqua" w:cs="Calibri"/>
                <w:color w:val="000000"/>
                <w:sz w:val="18"/>
                <w:szCs w:val="18"/>
                <w:lang w:eastAsia="es-CR"/>
              </w:rPr>
              <w:t xml:space="preserve"> 1</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3D41E" w14:textId="77777777" w:rsidR="00E8321A" w:rsidRPr="002E5E8F" w:rsidRDefault="00E8321A" w:rsidP="00B56C1A">
            <w:pPr>
              <w:spacing w:after="0" w:line="240" w:lineRule="auto"/>
              <w:jc w:val="center"/>
              <w:rPr>
                <w:rFonts w:ascii="Book Antiqua" w:eastAsia="Times New Roman" w:hAnsi="Book Antiqua" w:cs="Calibri"/>
                <w:color w:val="000000"/>
                <w:sz w:val="18"/>
                <w:szCs w:val="18"/>
                <w:lang w:eastAsia="es-CR"/>
              </w:rPr>
            </w:pPr>
            <w:r w:rsidRPr="002E5E8F">
              <w:rPr>
                <w:rFonts w:ascii="Book Antiqua" w:eastAsia="Times New Roman" w:hAnsi="Book Antiqua" w:cs="Calibri"/>
                <w:color w:val="000000"/>
                <w:sz w:val="18"/>
                <w:szCs w:val="18"/>
                <w:lang w:eastAsia="es-CR"/>
              </w:rPr>
              <w:t>1.10</w:t>
            </w:r>
          </w:p>
        </w:tc>
      </w:tr>
      <w:tr w:rsidR="00E8321A" w:rsidRPr="002E5E8F" w14:paraId="2DDEB912" w14:textId="77777777" w:rsidTr="00B56C1A">
        <w:trPr>
          <w:trHeight w:val="300"/>
        </w:trPr>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B9B586" w14:textId="77777777" w:rsidR="00E8321A" w:rsidRPr="002E5E8F"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6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759AC4" w14:textId="77777777" w:rsidR="00E8321A" w:rsidRPr="002E5E8F"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F16D1" w14:textId="77777777" w:rsidR="00E8321A" w:rsidRPr="002E5E8F" w:rsidRDefault="00E8321A" w:rsidP="00B56C1A">
            <w:pPr>
              <w:spacing w:after="0" w:line="240" w:lineRule="auto"/>
              <w:jc w:val="center"/>
              <w:rPr>
                <w:rFonts w:ascii="Book Antiqua" w:eastAsia="Times New Roman" w:hAnsi="Book Antiqua" w:cs="Calibri"/>
                <w:color w:val="000000"/>
                <w:sz w:val="18"/>
                <w:szCs w:val="18"/>
                <w:lang w:eastAsia="es-CR"/>
              </w:rPr>
            </w:pPr>
            <w:r w:rsidRPr="002E5E8F">
              <w:rPr>
                <w:rFonts w:ascii="Book Antiqua" w:eastAsia="Times New Roman" w:hAnsi="Book Antiqua" w:cs="Calibri"/>
                <w:color w:val="000000"/>
                <w:sz w:val="18"/>
                <w:szCs w:val="18"/>
                <w:lang w:eastAsia="es-CR"/>
              </w:rPr>
              <w:t>1324-CACMFJ-P07</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AF996" w14:textId="77777777" w:rsidR="00E8321A" w:rsidRPr="002E5E8F" w:rsidRDefault="00E8321A" w:rsidP="00B56C1A">
            <w:pPr>
              <w:spacing w:after="0" w:line="240" w:lineRule="auto"/>
              <w:jc w:val="center"/>
              <w:rPr>
                <w:rFonts w:ascii="Book Antiqua" w:eastAsia="Times New Roman" w:hAnsi="Book Antiqua" w:cs="Calibri"/>
                <w:color w:val="000000"/>
                <w:sz w:val="18"/>
                <w:szCs w:val="18"/>
                <w:lang w:eastAsia="es-CR"/>
              </w:rPr>
            </w:pPr>
            <w:r w:rsidRPr="002E5E8F">
              <w:rPr>
                <w:rFonts w:ascii="Book Antiqua" w:eastAsia="Times New Roman" w:hAnsi="Book Antiqua" w:cs="Calibri"/>
                <w:color w:val="000000"/>
                <w:sz w:val="18"/>
                <w:szCs w:val="18"/>
                <w:lang w:eastAsia="es-CR"/>
              </w:rPr>
              <w:t>Proyecto operativo en el Área de Ejecución de Sentencias de Amparos de Legalidad del Tribunal Contencioso Administrativo</w:t>
            </w:r>
          </w:p>
        </w:tc>
        <w:tc>
          <w:tcPr>
            <w:tcW w:w="3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5C908" w14:textId="03185BA4"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2E5E8F">
              <w:rPr>
                <w:rFonts w:ascii="Book Antiqua" w:eastAsia="Times New Roman" w:hAnsi="Book Antiqua" w:cs="Calibri"/>
                <w:b/>
                <w:bCs/>
                <w:color w:val="000000"/>
                <w:sz w:val="18"/>
                <w:szCs w:val="18"/>
                <w:lang w:eastAsia="es-CR"/>
              </w:rPr>
              <w:t>En estudio de factibilidad corregir:</w:t>
            </w:r>
            <w:r w:rsidRPr="002E5E8F">
              <w:rPr>
                <w:rFonts w:ascii="Book Antiqua" w:eastAsia="Times New Roman" w:hAnsi="Book Antiqua" w:cs="Calibri"/>
                <w:color w:val="000000"/>
                <w:sz w:val="18"/>
                <w:szCs w:val="18"/>
                <w:lang w:eastAsia="es-CR"/>
              </w:rPr>
              <w:t xml:space="preserve"> Planteamiento inicial del proyecto: Falta indicar las 3 alternativas para solucionar el problema que se </w:t>
            </w:r>
            <w:r w:rsidR="002B1D85" w:rsidRPr="002E5E8F">
              <w:rPr>
                <w:rFonts w:ascii="Book Antiqua" w:eastAsia="Times New Roman" w:hAnsi="Book Antiqua" w:cs="Calibri"/>
                <w:color w:val="000000"/>
                <w:sz w:val="18"/>
                <w:szCs w:val="18"/>
                <w:lang w:eastAsia="es-CR"/>
              </w:rPr>
              <w:t>planteó</w:t>
            </w:r>
            <w:r w:rsidRPr="002E5E8F">
              <w:rPr>
                <w:rFonts w:ascii="Book Antiqua" w:eastAsia="Times New Roman" w:hAnsi="Book Antiqua" w:cs="Calibri"/>
                <w:color w:val="000000"/>
                <w:sz w:val="18"/>
                <w:szCs w:val="18"/>
                <w:lang w:eastAsia="es-CR"/>
              </w:rPr>
              <w:t>. Costos de inversión:</w:t>
            </w:r>
            <w:r w:rsidR="002B1D85">
              <w:rPr>
                <w:rFonts w:ascii="Book Antiqua" w:eastAsia="Times New Roman" w:hAnsi="Book Antiqua" w:cs="Calibri"/>
                <w:color w:val="000000"/>
                <w:sz w:val="18"/>
                <w:szCs w:val="18"/>
                <w:lang w:eastAsia="es-CR"/>
              </w:rPr>
              <w:t xml:space="preserve"> </w:t>
            </w:r>
            <w:r w:rsidRPr="002E5E8F">
              <w:rPr>
                <w:rFonts w:ascii="Book Antiqua" w:eastAsia="Times New Roman" w:hAnsi="Book Antiqua" w:cs="Calibri"/>
                <w:color w:val="000000"/>
                <w:sz w:val="18"/>
                <w:szCs w:val="18"/>
                <w:lang w:eastAsia="es-CR"/>
              </w:rPr>
              <w:t>En este apartado se debe contemplar los recursos ordinarios del proyecto y con permisos con goce requerido para la ejecución del proyecto. Revisar que este por todo el periodo del proyecto y la cantidad de personas que intervienen. Costos de Operación: En este apartado no se debe contemplar los recursos ordinarios ni permisos con goce de la ejecución del proyecto; sino los costos que genere el proyecto una vez terminado.</w:t>
            </w:r>
            <w:r w:rsidR="00525928">
              <w:rPr>
                <w:rFonts w:ascii="Book Antiqua" w:eastAsia="Times New Roman" w:hAnsi="Book Antiqua" w:cs="Calibri"/>
                <w:color w:val="000000"/>
                <w:sz w:val="18"/>
                <w:szCs w:val="18"/>
                <w:lang w:eastAsia="es-CR"/>
              </w:rPr>
              <w:t xml:space="preserve"> </w:t>
            </w:r>
            <w:r w:rsidRPr="002E5E8F">
              <w:rPr>
                <w:rFonts w:ascii="Book Antiqua" w:eastAsia="Times New Roman" w:hAnsi="Book Antiqua" w:cs="Calibri"/>
                <w:color w:val="000000"/>
                <w:sz w:val="18"/>
                <w:szCs w:val="18"/>
                <w:lang w:eastAsia="es-CR"/>
              </w:rPr>
              <w:t>Fuente de financiamiento: Se debe indicar a si es con recurso ordinario o como se pagará.</w:t>
            </w:r>
            <w:r w:rsidR="00525928">
              <w:rPr>
                <w:rFonts w:ascii="Book Antiqua" w:eastAsia="Times New Roman" w:hAnsi="Book Antiqua" w:cs="Calibri"/>
                <w:color w:val="000000"/>
                <w:sz w:val="18"/>
                <w:szCs w:val="18"/>
                <w:lang w:eastAsia="es-CR"/>
              </w:rPr>
              <w:t xml:space="preserve"> </w:t>
            </w:r>
            <w:r w:rsidRPr="002E5E8F">
              <w:rPr>
                <w:rFonts w:ascii="Book Antiqua" w:eastAsia="Times New Roman" w:hAnsi="Book Antiqua" w:cs="Calibri"/>
                <w:color w:val="000000"/>
                <w:sz w:val="18"/>
                <w:szCs w:val="18"/>
                <w:lang w:eastAsia="es-CR"/>
              </w:rPr>
              <w:t>Análisis Costo -Beneficio del Proyecto:</w:t>
            </w:r>
            <w:r w:rsidR="00525928">
              <w:rPr>
                <w:rFonts w:ascii="Book Antiqua" w:eastAsia="Times New Roman" w:hAnsi="Book Antiqua" w:cs="Calibri"/>
                <w:color w:val="000000"/>
                <w:sz w:val="18"/>
                <w:szCs w:val="18"/>
                <w:lang w:eastAsia="es-CR"/>
              </w:rPr>
              <w:t xml:space="preserve"> </w:t>
            </w:r>
            <w:r w:rsidRPr="002E5E8F">
              <w:rPr>
                <w:rFonts w:ascii="Book Antiqua" w:eastAsia="Times New Roman" w:hAnsi="Book Antiqua" w:cs="Calibri"/>
                <w:color w:val="000000"/>
                <w:sz w:val="18"/>
                <w:szCs w:val="18"/>
                <w:lang w:eastAsia="es-CR"/>
              </w:rPr>
              <w:t xml:space="preserve">El costo de inversión debe coincidir una vez actualizado si aplica. </w:t>
            </w:r>
          </w:p>
          <w:p w14:paraId="5F1E1411" w14:textId="571EAB51"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2E5E8F">
              <w:rPr>
                <w:rFonts w:ascii="Book Antiqua" w:eastAsia="Times New Roman" w:hAnsi="Book Antiqua" w:cs="Calibri"/>
                <w:b/>
                <w:bCs/>
                <w:color w:val="000000"/>
                <w:sz w:val="18"/>
                <w:szCs w:val="18"/>
                <w:lang w:eastAsia="es-CR"/>
              </w:rPr>
              <w:t>Acta de constitución</w:t>
            </w:r>
            <w:r w:rsidRPr="002E5E8F">
              <w:rPr>
                <w:rFonts w:ascii="Book Antiqua" w:eastAsia="Times New Roman" w:hAnsi="Book Antiqua" w:cs="Calibri"/>
                <w:color w:val="000000"/>
                <w:sz w:val="18"/>
                <w:szCs w:val="18"/>
                <w:lang w:eastAsia="es-CR"/>
              </w:rPr>
              <w:t>: Código del Proyecto:</w:t>
            </w:r>
            <w:r w:rsidR="00525928">
              <w:rPr>
                <w:rFonts w:ascii="Book Antiqua" w:eastAsia="Times New Roman" w:hAnsi="Book Antiqua" w:cs="Calibri"/>
                <w:color w:val="000000"/>
                <w:sz w:val="18"/>
                <w:szCs w:val="18"/>
                <w:lang w:eastAsia="es-CR"/>
              </w:rPr>
              <w:t xml:space="preserve"> </w:t>
            </w:r>
            <w:r w:rsidRPr="002E5E8F">
              <w:rPr>
                <w:rFonts w:ascii="Book Antiqua" w:eastAsia="Times New Roman" w:hAnsi="Book Antiqua" w:cs="Calibri"/>
                <w:color w:val="000000"/>
                <w:sz w:val="18"/>
                <w:szCs w:val="18"/>
                <w:lang w:eastAsia="es-CR"/>
              </w:rPr>
              <w:t xml:space="preserve">El  </w:t>
            </w:r>
            <w:r w:rsidR="00525928" w:rsidRPr="002E5E8F">
              <w:rPr>
                <w:rFonts w:ascii="Book Antiqua" w:eastAsia="Times New Roman" w:hAnsi="Book Antiqua" w:cs="Calibri"/>
                <w:color w:val="000000"/>
                <w:sz w:val="18"/>
                <w:szCs w:val="18"/>
                <w:lang w:eastAsia="es-CR"/>
              </w:rPr>
              <w:t>Código</w:t>
            </w:r>
            <w:r w:rsidRPr="002E5E8F">
              <w:rPr>
                <w:rFonts w:ascii="Book Antiqua" w:eastAsia="Times New Roman" w:hAnsi="Book Antiqua" w:cs="Calibri"/>
                <w:color w:val="000000"/>
                <w:sz w:val="18"/>
                <w:szCs w:val="18"/>
                <w:lang w:eastAsia="es-CR"/>
              </w:rPr>
              <w:t xml:space="preserve"> esta incorrecto es el 0655-CONAMAJ-P06. Descripción del proyecto: Se debe ampliar, considerar lo que se estableció en el estudio de factibilidad.</w:t>
            </w:r>
            <w:r w:rsidR="00525928">
              <w:rPr>
                <w:rFonts w:ascii="Book Antiqua" w:eastAsia="Times New Roman" w:hAnsi="Book Antiqua" w:cs="Calibri"/>
                <w:color w:val="000000"/>
                <w:sz w:val="18"/>
                <w:szCs w:val="18"/>
                <w:lang w:eastAsia="es-CR"/>
              </w:rPr>
              <w:t xml:space="preserve"> </w:t>
            </w:r>
            <w:r w:rsidRPr="002E5E8F">
              <w:rPr>
                <w:rFonts w:ascii="Book Antiqua" w:eastAsia="Times New Roman" w:hAnsi="Book Antiqua" w:cs="Calibri"/>
                <w:color w:val="000000"/>
                <w:sz w:val="18"/>
                <w:szCs w:val="18"/>
                <w:lang w:eastAsia="es-CR"/>
              </w:rPr>
              <w:t xml:space="preserve">Objetivo del Proyecto: Falta indicar los indicadores del proyecto para evaluar los permisos con goce. Recursos del proyecto: Este apartado debe coincidir con los montos </w:t>
            </w:r>
            <w:r w:rsidR="00525928" w:rsidRPr="002E5E8F">
              <w:rPr>
                <w:rFonts w:ascii="Book Antiqua" w:eastAsia="Times New Roman" w:hAnsi="Book Antiqua" w:cs="Calibri"/>
                <w:color w:val="000000"/>
                <w:sz w:val="18"/>
                <w:szCs w:val="18"/>
                <w:lang w:eastAsia="es-CR"/>
              </w:rPr>
              <w:t>indicados</w:t>
            </w:r>
            <w:r w:rsidRPr="002E5E8F">
              <w:rPr>
                <w:rFonts w:ascii="Book Antiqua" w:eastAsia="Times New Roman" w:hAnsi="Book Antiqua" w:cs="Calibri"/>
                <w:color w:val="000000"/>
                <w:sz w:val="18"/>
                <w:szCs w:val="18"/>
                <w:lang w:eastAsia="es-CR"/>
              </w:rPr>
              <w:t xml:space="preserve"> en el estudio de factibilidad en el apartado de costo de inversión.</w:t>
            </w:r>
            <w:r w:rsidR="002B1D85">
              <w:rPr>
                <w:rFonts w:ascii="Book Antiqua" w:eastAsia="Times New Roman" w:hAnsi="Book Antiqua" w:cs="Calibri"/>
                <w:color w:val="000000"/>
                <w:sz w:val="18"/>
                <w:szCs w:val="18"/>
                <w:lang w:eastAsia="es-CR"/>
              </w:rPr>
              <w:t xml:space="preserve"> </w:t>
            </w:r>
            <w:r w:rsidRPr="002E5E8F">
              <w:rPr>
                <w:rFonts w:ascii="Book Antiqua" w:eastAsia="Times New Roman" w:hAnsi="Book Antiqua" w:cs="Calibri"/>
                <w:color w:val="000000"/>
                <w:sz w:val="18"/>
                <w:szCs w:val="18"/>
                <w:lang w:eastAsia="es-CR"/>
              </w:rPr>
              <w:t xml:space="preserve">Equipo de trabajo del proyecto: En este apartado se debe indicar el equipo de trabajo, y mencionar el  rol de cada uno. Aprobación: Falta aprobación del documento. </w:t>
            </w:r>
          </w:p>
          <w:p w14:paraId="1FF4BA0D" w14:textId="4B3F9507" w:rsidR="00E8321A" w:rsidRPr="002E5E8F" w:rsidRDefault="00E8321A" w:rsidP="00E24FCA">
            <w:pPr>
              <w:spacing w:after="0" w:line="240" w:lineRule="auto"/>
              <w:jc w:val="both"/>
              <w:rPr>
                <w:rFonts w:ascii="Book Antiqua" w:eastAsia="Times New Roman" w:hAnsi="Book Antiqua" w:cs="Calibri"/>
                <w:color w:val="000000"/>
                <w:sz w:val="18"/>
                <w:szCs w:val="18"/>
                <w:lang w:eastAsia="es-CR"/>
              </w:rPr>
            </w:pPr>
            <w:r w:rsidRPr="002E5E8F">
              <w:rPr>
                <w:rFonts w:ascii="Book Antiqua" w:eastAsia="Times New Roman" w:hAnsi="Book Antiqua" w:cs="Calibri"/>
                <w:b/>
                <w:bCs/>
                <w:color w:val="000000"/>
                <w:sz w:val="18"/>
                <w:szCs w:val="18"/>
                <w:lang w:eastAsia="es-CR"/>
              </w:rPr>
              <w:t>Plan de gestión:</w:t>
            </w:r>
            <w:r w:rsidRPr="002E5E8F">
              <w:rPr>
                <w:rFonts w:ascii="Book Antiqua" w:eastAsia="Times New Roman" w:hAnsi="Book Antiqua" w:cs="Calibri"/>
                <w:color w:val="000000"/>
                <w:sz w:val="18"/>
                <w:szCs w:val="18"/>
                <w:lang w:eastAsia="es-CR"/>
              </w:rPr>
              <w:t xml:space="preserve"> Descripción del proyecto: Se debe ampliar, considerar lo que se estableció en el estudio de factibilidad. Objetivo del Proyecto: Falta indicar los indicadores del proyecto para evaluar los permisos con goce. Alcance del proyecto: Debe ser concreto, e indica</w:t>
            </w:r>
            <w:r w:rsidR="002E5E56">
              <w:rPr>
                <w:rFonts w:ascii="Book Antiqua" w:eastAsia="Times New Roman" w:hAnsi="Book Antiqua" w:cs="Calibri"/>
                <w:color w:val="000000"/>
                <w:sz w:val="18"/>
                <w:szCs w:val="18"/>
                <w:lang w:eastAsia="es-CR"/>
              </w:rPr>
              <w:t>r</w:t>
            </w:r>
            <w:r w:rsidRPr="002E5E8F">
              <w:rPr>
                <w:rFonts w:ascii="Book Antiqua" w:eastAsia="Times New Roman" w:hAnsi="Book Antiqua" w:cs="Calibri"/>
                <w:color w:val="000000"/>
                <w:sz w:val="18"/>
                <w:szCs w:val="18"/>
                <w:lang w:eastAsia="es-CR"/>
              </w:rPr>
              <w:t xml:space="preserve"> cual es el </w:t>
            </w:r>
            <w:r w:rsidRPr="002E5E8F">
              <w:rPr>
                <w:rFonts w:ascii="Book Antiqua" w:eastAsia="Times New Roman" w:hAnsi="Book Antiqua" w:cs="Calibri"/>
                <w:color w:val="000000"/>
                <w:sz w:val="18"/>
                <w:szCs w:val="18"/>
                <w:lang w:eastAsia="es-CR"/>
              </w:rPr>
              <w:lastRenderedPageBreak/>
              <w:t>alcance del proyecto. Beneficios y resultados esperados: Los beneficios indicados en este apartado debe ser iguales a los del estudio de factibilidad.</w:t>
            </w:r>
            <w:r w:rsidR="00525928">
              <w:rPr>
                <w:rFonts w:ascii="Book Antiqua" w:eastAsia="Times New Roman" w:hAnsi="Book Antiqua" w:cs="Calibri"/>
                <w:color w:val="000000"/>
                <w:sz w:val="18"/>
                <w:szCs w:val="18"/>
                <w:lang w:eastAsia="es-CR"/>
              </w:rPr>
              <w:t xml:space="preserve"> </w:t>
            </w:r>
            <w:r w:rsidRPr="002E5E8F">
              <w:rPr>
                <w:rFonts w:ascii="Book Antiqua" w:eastAsia="Times New Roman" w:hAnsi="Book Antiqua" w:cs="Calibri"/>
                <w:color w:val="000000"/>
                <w:sz w:val="18"/>
                <w:szCs w:val="18"/>
                <w:lang w:eastAsia="es-CR"/>
              </w:rPr>
              <w:t xml:space="preserve">Detalle de los entregables del proyecto: Falta realizar el diagrama de la EDT, se puede ver un ejemplo en el manual de elaboración del plan de gestión. Detalle del presupuesto del proyecto: Se debe incluir en el apartado de costos del proyecto, los costos relacionados con el presupuesto ordinario de la partida 1 a la 7; y en el </w:t>
            </w:r>
            <w:r w:rsidR="00525928" w:rsidRPr="002E5E8F">
              <w:rPr>
                <w:rFonts w:ascii="Book Antiqua" w:eastAsia="Times New Roman" w:hAnsi="Book Antiqua" w:cs="Calibri"/>
                <w:color w:val="000000"/>
                <w:sz w:val="18"/>
                <w:szCs w:val="18"/>
                <w:lang w:eastAsia="es-CR"/>
              </w:rPr>
              <w:t>subtítulo</w:t>
            </w:r>
            <w:r w:rsidRPr="002E5E8F">
              <w:rPr>
                <w:rFonts w:ascii="Book Antiqua" w:eastAsia="Times New Roman" w:hAnsi="Book Antiqua" w:cs="Calibri"/>
                <w:color w:val="000000"/>
                <w:sz w:val="18"/>
                <w:szCs w:val="18"/>
                <w:lang w:eastAsia="es-CR"/>
              </w:rPr>
              <w:t xml:space="preserve"> 6.2 y 6.3 indicar los recursos humanos </w:t>
            </w:r>
            <w:r w:rsidR="00525928" w:rsidRPr="002E5E8F">
              <w:rPr>
                <w:rFonts w:ascii="Book Antiqua" w:eastAsia="Times New Roman" w:hAnsi="Book Antiqua" w:cs="Calibri"/>
                <w:color w:val="000000"/>
                <w:sz w:val="18"/>
                <w:szCs w:val="18"/>
                <w:lang w:eastAsia="es-CR"/>
              </w:rPr>
              <w:t>según</w:t>
            </w:r>
            <w:r w:rsidRPr="002E5E8F">
              <w:rPr>
                <w:rFonts w:ascii="Book Antiqua" w:eastAsia="Times New Roman" w:hAnsi="Book Antiqua" w:cs="Calibri"/>
                <w:color w:val="000000"/>
                <w:sz w:val="18"/>
                <w:szCs w:val="18"/>
                <w:lang w:eastAsia="es-CR"/>
              </w:rPr>
              <w:t xml:space="preserve"> sea el caso. Además esto debe coincidir con el estudio de factibilidad y acta de constitución.</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25174" w14:textId="65D69EEB" w:rsidR="00E8321A" w:rsidRPr="002E5E8F" w:rsidRDefault="005A1D93" w:rsidP="00B56C1A">
            <w:pPr>
              <w:spacing w:after="0" w:line="240" w:lineRule="auto"/>
              <w:jc w:val="center"/>
              <w:rPr>
                <w:rFonts w:ascii="Book Antiqua" w:eastAsia="Times New Roman" w:hAnsi="Book Antiqua" w:cs="Calibri"/>
                <w:color w:val="000000"/>
                <w:sz w:val="18"/>
                <w:szCs w:val="18"/>
                <w:lang w:eastAsia="es-CR"/>
              </w:rPr>
            </w:pPr>
            <w:r w:rsidRPr="002E5E8F">
              <w:rPr>
                <w:rFonts w:ascii="Book Antiqua" w:eastAsia="Times New Roman" w:hAnsi="Book Antiqua" w:cs="Calibri"/>
                <w:color w:val="000000"/>
                <w:sz w:val="18"/>
                <w:szCs w:val="18"/>
                <w:lang w:eastAsia="es-CR"/>
              </w:rPr>
              <w:lastRenderedPageBreak/>
              <w:t>Capítulo</w:t>
            </w:r>
            <w:r w:rsidR="00E8321A" w:rsidRPr="002E5E8F">
              <w:rPr>
                <w:rFonts w:ascii="Book Antiqua" w:eastAsia="Times New Roman" w:hAnsi="Book Antiqua" w:cs="Calibri"/>
                <w:color w:val="000000"/>
                <w:sz w:val="18"/>
                <w:szCs w:val="18"/>
                <w:lang w:eastAsia="es-CR"/>
              </w:rPr>
              <w:t xml:space="preserve"> 1</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B829E" w14:textId="77777777" w:rsidR="00E8321A" w:rsidRPr="002E5E8F" w:rsidRDefault="00E8321A" w:rsidP="00B56C1A">
            <w:pPr>
              <w:spacing w:after="0" w:line="240" w:lineRule="auto"/>
              <w:jc w:val="center"/>
              <w:rPr>
                <w:rFonts w:ascii="Book Antiqua" w:eastAsia="Times New Roman" w:hAnsi="Book Antiqua" w:cs="Calibri"/>
                <w:color w:val="000000"/>
                <w:sz w:val="18"/>
                <w:szCs w:val="18"/>
                <w:lang w:eastAsia="es-CR"/>
              </w:rPr>
            </w:pPr>
            <w:r w:rsidRPr="002E5E8F">
              <w:rPr>
                <w:rFonts w:ascii="Book Antiqua" w:eastAsia="Times New Roman" w:hAnsi="Book Antiqua" w:cs="Calibri"/>
                <w:color w:val="000000"/>
                <w:sz w:val="18"/>
                <w:szCs w:val="18"/>
                <w:lang w:eastAsia="es-CR"/>
              </w:rPr>
              <w:t>1.10</w:t>
            </w:r>
          </w:p>
        </w:tc>
      </w:tr>
    </w:tbl>
    <w:p w14:paraId="546EC0ED" w14:textId="77777777" w:rsidR="00E8321A" w:rsidRPr="00174798" w:rsidRDefault="00E8321A" w:rsidP="00E8321A">
      <w:pPr>
        <w:spacing w:after="0" w:line="240" w:lineRule="auto"/>
        <w:ind w:left="567"/>
        <w:jc w:val="both"/>
        <w:rPr>
          <w:rFonts w:ascii="Book Antiqua" w:hAnsi="Book Antiqua"/>
          <w:sz w:val="24"/>
          <w:szCs w:val="24"/>
        </w:rPr>
      </w:pPr>
    </w:p>
    <w:p w14:paraId="37EC38B0" w14:textId="77777777" w:rsidR="00E8321A" w:rsidRPr="00174798" w:rsidRDefault="00E8321A" w:rsidP="00EF4E17">
      <w:pPr>
        <w:numPr>
          <w:ilvl w:val="1"/>
          <w:numId w:val="20"/>
        </w:numPr>
        <w:spacing w:after="0" w:line="240" w:lineRule="auto"/>
        <w:ind w:left="567" w:hanging="567"/>
        <w:jc w:val="both"/>
        <w:rPr>
          <w:rFonts w:ascii="Book Antiqua" w:hAnsi="Book Antiqua"/>
          <w:sz w:val="24"/>
          <w:szCs w:val="24"/>
        </w:rPr>
      </w:pPr>
      <w:r w:rsidRPr="00174798">
        <w:rPr>
          <w:rFonts w:ascii="Book Antiqua" w:hAnsi="Book Antiqua"/>
          <w:sz w:val="24"/>
          <w:szCs w:val="24"/>
        </w:rPr>
        <w:t>Además, se deben t</w:t>
      </w:r>
      <w:r w:rsidRPr="00174798" w:rsidDel="00A51CE8">
        <w:rPr>
          <w:rFonts w:ascii="Book Antiqua" w:hAnsi="Book Antiqua"/>
          <w:sz w:val="24"/>
          <w:szCs w:val="24"/>
        </w:rPr>
        <w:t>omar las medidas pertinentes a fin de poder contrarrestar los atrasos presentados</w:t>
      </w:r>
      <w:r w:rsidRPr="00174798">
        <w:rPr>
          <w:rFonts w:ascii="Book Antiqua" w:hAnsi="Book Antiqua"/>
          <w:sz w:val="24"/>
          <w:szCs w:val="24"/>
        </w:rPr>
        <w:t xml:space="preserve">.  Cuando no sea posible subsanar los atrasos, se deberá valorar la presentación de una solicitud de cambio en los casos que el retraso afecte la fecha de finalización de los proyectos y que la misma tenga autorización de la persona jefe o del director del proyecto. </w:t>
      </w:r>
    </w:p>
    <w:p w14:paraId="7C4783B0" w14:textId="77777777" w:rsidR="00E8321A" w:rsidRPr="00174798" w:rsidRDefault="00E8321A" w:rsidP="00E8321A">
      <w:pPr>
        <w:spacing w:after="0" w:line="240" w:lineRule="auto"/>
        <w:ind w:left="567"/>
        <w:jc w:val="both"/>
        <w:rPr>
          <w:rFonts w:ascii="Book Antiqua" w:hAnsi="Book Antiqua"/>
          <w:sz w:val="24"/>
          <w:szCs w:val="24"/>
        </w:rPr>
      </w:pPr>
    </w:p>
    <w:p w14:paraId="5E93E947" w14:textId="77777777" w:rsidR="00E8321A" w:rsidRPr="00174798" w:rsidRDefault="00E8321A" w:rsidP="00EF4E17">
      <w:pPr>
        <w:numPr>
          <w:ilvl w:val="1"/>
          <w:numId w:val="20"/>
        </w:numPr>
        <w:spacing w:after="0" w:line="240" w:lineRule="auto"/>
        <w:ind w:left="567" w:hanging="567"/>
        <w:jc w:val="both"/>
        <w:rPr>
          <w:rFonts w:ascii="Book Antiqua" w:hAnsi="Book Antiqua"/>
          <w:sz w:val="24"/>
          <w:szCs w:val="24"/>
        </w:rPr>
      </w:pPr>
      <w:r w:rsidRPr="00174798">
        <w:rPr>
          <w:rFonts w:ascii="Book Antiqua" w:hAnsi="Book Antiqua"/>
          <w:sz w:val="24"/>
          <w:szCs w:val="24"/>
        </w:rPr>
        <w:t>Asimismo, es importante revisar y monitorear los proyectos que presentan un retraso significativo, y cuentan con permisos con goce otorgados.</w:t>
      </w:r>
    </w:p>
    <w:p w14:paraId="6B6929D3" w14:textId="77777777" w:rsidR="00E8321A" w:rsidRPr="00174798" w:rsidRDefault="00E8321A" w:rsidP="00E8321A">
      <w:pPr>
        <w:spacing w:after="0" w:line="240" w:lineRule="auto"/>
        <w:ind w:left="567"/>
        <w:jc w:val="both"/>
        <w:rPr>
          <w:rFonts w:ascii="Book Antiqua" w:hAnsi="Book Antiqua"/>
          <w:sz w:val="24"/>
          <w:szCs w:val="24"/>
        </w:rPr>
      </w:pPr>
    </w:p>
    <w:p w14:paraId="3C76661C" w14:textId="68B906F4" w:rsidR="00E8321A" w:rsidRPr="00D70F8D" w:rsidRDefault="00E8321A" w:rsidP="00E8321A">
      <w:pPr>
        <w:pStyle w:val="Ttulo2"/>
        <w:spacing w:before="0"/>
        <w:rPr>
          <w:rFonts w:ascii="Book Antiqua" w:hAnsi="Book Antiqua"/>
          <w:b/>
          <w:bCs/>
          <w:color w:val="auto"/>
          <w:sz w:val="24"/>
          <w:szCs w:val="24"/>
        </w:rPr>
      </w:pPr>
      <w:bookmarkStart w:id="181" w:name="_Toc131160616"/>
      <w:bookmarkStart w:id="182" w:name="_Toc138770897"/>
      <w:r w:rsidRPr="00D70F8D">
        <w:rPr>
          <w:rFonts w:ascii="Book Antiqua" w:hAnsi="Book Antiqua"/>
          <w:b/>
          <w:bCs/>
          <w:color w:val="auto"/>
          <w:sz w:val="24"/>
          <w:szCs w:val="24"/>
        </w:rPr>
        <w:t>A la Dirección de Tecnología de Información</w:t>
      </w:r>
      <w:bookmarkEnd w:id="181"/>
      <w:r w:rsidR="00AB0589">
        <w:rPr>
          <w:rFonts w:ascii="Book Antiqua" w:hAnsi="Book Antiqua"/>
          <w:b/>
          <w:bCs/>
          <w:color w:val="auto"/>
          <w:sz w:val="24"/>
          <w:szCs w:val="24"/>
        </w:rPr>
        <w:t xml:space="preserve"> y Comunicaciones</w:t>
      </w:r>
      <w:bookmarkEnd w:id="182"/>
    </w:p>
    <w:p w14:paraId="25380DBA" w14:textId="77777777" w:rsidR="00E8321A" w:rsidRPr="00174798" w:rsidRDefault="00E8321A" w:rsidP="00E8321A">
      <w:pPr>
        <w:spacing w:after="0" w:line="240" w:lineRule="auto"/>
        <w:jc w:val="both"/>
        <w:rPr>
          <w:rFonts w:ascii="Book Antiqua" w:hAnsi="Book Antiqua"/>
          <w:b/>
          <w:sz w:val="24"/>
          <w:szCs w:val="24"/>
        </w:rPr>
      </w:pPr>
    </w:p>
    <w:p w14:paraId="72734BF8" w14:textId="77777777" w:rsidR="00E8321A" w:rsidRPr="00174798" w:rsidRDefault="00E8321A" w:rsidP="00EF4E17">
      <w:pPr>
        <w:numPr>
          <w:ilvl w:val="1"/>
          <w:numId w:val="20"/>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Se solicita dar seguimiento para que las oficinas líderes que se detallan a continuación, a más tardar el </w:t>
      </w:r>
      <w:r w:rsidRPr="00373A06">
        <w:rPr>
          <w:rFonts w:ascii="Book Antiqua" w:hAnsi="Book Antiqua"/>
          <w:b/>
          <w:bCs/>
          <w:sz w:val="24"/>
          <w:szCs w:val="24"/>
        </w:rPr>
        <w:t>11 de agosto del 2023</w:t>
      </w:r>
      <w:r w:rsidRPr="00174798">
        <w:rPr>
          <w:rFonts w:ascii="Book Antiqua" w:hAnsi="Book Antiqua"/>
          <w:sz w:val="24"/>
          <w:szCs w:val="24"/>
        </w:rPr>
        <w:t xml:space="preserve">, carguen en el sitio de los proyectos la atención de las siguientes recomendaciones: </w:t>
      </w:r>
    </w:p>
    <w:tbl>
      <w:tblPr>
        <w:tblW w:w="10787" w:type="dxa"/>
        <w:tblInd w:w="-856" w:type="dxa"/>
        <w:tblCellMar>
          <w:left w:w="70" w:type="dxa"/>
          <w:right w:w="70" w:type="dxa"/>
        </w:tblCellMar>
        <w:tblLook w:val="04A0" w:firstRow="1" w:lastRow="0" w:firstColumn="1" w:lastColumn="0" w:noHBand="0" w:noVBand="1"/>
      </w:tblPr>
      <w:tblGrid>
        <w:gridCol w:w="1470"/>
        <w:gridCol w:w="1877"/>
        <w:gridCol w:w="906"/>
        <w:gridCol w:w="1491"/>
        <w:gridCol w:w="3104"/>
        <w:gridCol w:w="1028"/>
        <w:gridCol w:w="911"/>
      </w:tblGrid>
      <w:tr w:rsidR="0086493B" w:rsidRPr="0043403C" w14:paraId="7B0E0A9F" w14:textId="77777777" w:rsidTr="00D06D89">
        <w:trPr>
          <w:trHeight w:val="300"/>
          <w:tblHeader/>
        </w:trPr>
        <w:tc>
          <w:tcPr>
            <w:tcW w:w="1470" w:type="dxa"/>
            <w:tcBorders>
              <w:top w:val="single" w:sz="4" w:space="0" w:color="auto"/>
              <w:left w:val="single" w:sz="4" w:space="0" w:color="auto"/>
              <w:bottom w:val="single" w:sz="4" w:space="0" w:color="auto"/>
              <w:right w:val="single" w:sz="4" w:space="0" w:color="auto"/>
            </w:tcBorders>
            <w:shd w:val="clear" w:color="000000" w:fill="44546A"/>
            <w:noWrap/>
            <w:vAlign w:val="center"/>
            <w:hideMark/>
          </w:tcPr>
          <w:p w14:paraId="4C365A29" w14:textId="77777777" w:rsidR="00E8321A" w:rsidRPr="00313A70" w:rsidRDefault="00E8321A" w:rsidP="00B56C1A">
            <w:pPr>
              <w:spacing w:after="0" w:line="240" w:lineRule="auto"/>
              <w:jc w:val="center"/>
              <w:rPr>
                <w:rFonts w:ascii="Book Antiqua" w:eastAsia="Times New Roman" w:hAnsi="Book Antiqua" w:cs="Calibri"/>
                <w:b/>
                <w:bCs/>
                <w:color w:val="FFFFFF"/>
                <w:sz w:val="18"/>
                <w:szCs w:val="18"/>
                <w:lang w:eastAsia="es-CR"/>
              </w:rPr>
            </w:pPr>
            <w:r w:rsidRPr="00313A70">
              <w:rPr>
                <w:rFonts w:ascii="Book Antiqua" w:eastAsia="Times New Roman" w:hAnsi="Book Antiqua" w:cs="Calibri"/>
                <w:b/>
                <w:bCs/>
                <w:color w:val="FFFFFF"/>
                <w:sz w:val="18"/>
                <w:szCs w:val="18"/>
                <w:lang w:eastAsia="es-CR"/>
              </w:rPr>
              <w:t>Centro de responsabilidad</w:t>
            </w:r>
          </w:p>
        </w:tc>
        <w:tc>
          <w:tcPr>
            <w:tcW w:w="1877" w:type="dxa"/>
            <w:tcBorders>
              <w:top w:val="single" w:sz="4" w:space="0" w:color="auto"/>
              <w:left w:val="nil"/>
              <w:bottom w:val="single" w:sz="4" w:space="0" w:color="auto"/>
              <w:right w:val="single" w:sz="4" w:space="0" w:color="auto"/>
            </w:tcBorders>
            <w:shd w:val="clear" w:color="000000" w:fill="44546A"/>
            <w:noWrap/>
            <w:vAlign w:val="center"/>
            <w:hideMark/>
          </w:tcPr>
          <w:p w14:paraId="5C2DB47B" w14:textId="77777777" w:rsidR="00E8321A" w:rsidRPr="00313A70" w:rsidRDefault="00E8321A" w:rsidP="00B56C1A">
            <w:pPr>
              <w:spacing w:after="0" w:line="240" w:lineRule="auto"/>
              <w:jc w:val="center"/>
              <w:rPr>
                <w:rFonts w:ascii="Book Antiqua" w:eastAsia="Times New Roman" w:hAnsi="Book Antiqua" w:cs="Calibri"/>
                <w:b/>
                <w:bCs/>
                <w:color w:val="FFFFFF"/>
                <w:sz w:val="18"/>
                <w:szCs w:val="18"/>
                <w:lang w:eastAsia="es-CR"/>
              </w:rPr>
            </w:pPr>
            <w:r w:rsidRPr="00313A70">
              <w:rPr>
                <w:rFonts w:ascii="Book Antiqua" w:eastAsia="Times New Roman" w:hAnsi="Book Antiqua" w:cs="Calibri"/>
                <w:b/>
                <w:bCs/>
                <w:color w:val="FFFFFF"/>
                <w:sz w:val="18"/>
                <w:szCs w:val="18"/>
                <w:lang w:eastAsia="es-CR"/>
              </w:rPr>
              <w:t>Oficina Líder</w:t>
            </w:r>
          </w:p>
        </w:tc>
        <w:tc>
          <w:tcPr>
            <w:tcW w:w="906" w:type="dxa"/>
            <w:tcBorders>
              <w:top w:val="single" w:sz="4" w:space="0" w:color="auto"/>
              <w:left w:val="nil"/>
              <w:bottom w:val="single" w:sz="4" w:space="0" w:color="auto"/>
              <w:right w:val="single" w:sz="4" w:space="0" w:color="auto"/>
            </w:tcBorders>
            <w:shd w:val="clear" w:color="000000" w:fill="44546A"/>
            <w:noWrap/>
            <w:vAlign w:val="center"/>
            <w:hideMark/>
          </w:tcPr>
          <w:p w14:paraId="6071A780" w14:textId="77777777" w:rsidR="00E8321A" w:rsidRPr="00313A70" w:rsidRDefault="00E8321A" w:rsidP="00B56C1A">
            <w:pPr>
              <w:spacing w:after="0" w:line="240" w:lineRule="auto"/>
              <w:jc w:val="center"/>
              <w:rPr>
                <w:rFonts w:ascii="Book Antiqua" w:eastAsia="Times New Roman" w:hAnsi="Book Antiqua" w:cs="Calibri"/>
                <w:b/>
                <w:bCs/>
                <w:color w:val="FFFFFF"/>
                <w:sz w:val="18"/>
                <w:szCs w:val="18"/>
                <w:lang w:eastAsia="es-CR"/>
              </w:rPr>
            </w:pPr>
            <w:r w:rsidRPr="00313A70">
              <w:rPr>
                <w:rFonts w:ascii="Book Antiqua" w:eastAsia="Times New Roman" w:hAnsi="Book Antiqua" w:cs="Calibri"/>
                <w:b/>
                <w:bCs/>
                <w:color w:val="FFFFFF"/>
                <w:sz w:val="18"/>
                <w:szCs w:val="18"/>
                <w:lang w:eastAsia="es-CR"/>
              </w:rPr>
              <w:t>Código</w:t>
            </w:r>
          </w:p>
        </w:tc>
        <w:tc>
          <w:tcPr>
            <w:tcW w:w="1491" w:type="dxa"/>
            <w:tcBorders>
              <w:top w:val="single" w:sz="4" w:space="0" w:color="auto"/>
              <w:left w:val="nil"/>
              <w:bottom w:val="single" w:sz="4" w:space="0" w:color="auto"/>
              <w:right w:val="single" w:sz="4" w:space="0" w:color="auto"/>
            </w:tcBorders>
            <w:shd w:val="clear" w:color="000000" w:fill="44546A"/>
            <w:noWrap/>
            <w:vAlign w:val="center"/>
            <w:hideMark/>
          </w:tcPr>
          <w:p w14:paraId="0333CB05" w14:textId="77777777" w:rsidR="00E8321A" w:rsidRPr="00313A70" w:rsidRDefault="00E8321A" w:rsidP="00B56C1A">
            <w:pPr>
              <w:spacing w:after="0" w:line="240" w:lineRule="auto"/>
              <w:jc w:val="center"/>
              <w:rPr>
                <w:rFonts w:ascii="Book Antiqua" w:eastAsia="Times New Roman" w:hAnsi="Book Antiqua" w:cs="Calibri"/>
                <w:b/>
                <w:bCs/>
                <w:color w:val="FFFFFF"/>
                <w:sz w:val="18"/>
                <w:szCs w:val="18"/>
                <w:lang w:eastAsia="es-CR"/>
              </w:rPr>
            </w:pPr>
            <w:r w:rsidRPr="00313A70">
              <w:rPr>
                <w:rFonts w:ascii="Book Antiqua" w:eastAsia="Times New Roman" w:hAnsi="Book Antiqua" w:cs="Calibri"/>
                <w:b/>
                <w:bCs/>
                <w:color w:val="FFFFFF"/>
                <w:sz w:val="18"/>
                <w:szCs w:val="18"/>
                <w:lang w:eastAsia="es-CR"/>
              </w:rPr>
              <w:t>Nombre</w:t>
            </w:r>
          </w:p>
        </w:tc>
        <w:tc>
          <w:tcPr>
            <w:tcW w:w="3104" w:type="dxa"/>
            <w:tcBorders>
              <w:top w:val="single" w:sz="4" w:space="0" w:color="auto"/>
              <w:left w:val="nil"/>
              <w:bottom w:val="single" w:sz="4" w:space="0" w:color="auto"/>
              <w:right w:val="single" w:sz="4" w:space="0" w:color="auto"/>
            </w:tcBorders>
            <w:shd w:val="clear" w:color="000000" w:fill="44546A"/>
            <w:noWrap/>
            <w:vAlign w:val="center"/>
            <w:hideMark/>
          </w:tcPr>
          <w:p w14:paraId="75003968" w14:textId="77777777" w:rsidR="00E8321A" w:rsidRPr="00313A70" w:rsidRDefault="00E8321A" w:rsidP="00B56C1A">
            <w:pPr>
              <w:spacing w:after="0" w:line="240" w:lineRule="auto"/>
              <w:jc w:val="center"/>
              <w:rPr>
                <w:rFonts w:ascii="Book Antiqua" w:eastAsia="Times New Roman" w:hAnsi="Book Antiqua" w:cs="Calibri"/>
                <w:b/>
                <w:bCs/>
                <w:color w:val="FFFFFF"/>
                <w:sz w:val="18"/>
                <w:szCs w:val="18"/>
                <w:lang w:eastAsia="es-CR"/>
              </w:rPr>
            </w:pPr>
            <w:r w:rsidRPr="00313A70">
              <w:rPr>
                <w:rFonts w:ascii="Book Antiqua" w:eastAsia="Times New Roman" w:hAnsi="Book Antiqua" w:cs="Calibri"/>
                <w:b/>
                <w:bCs/>
                <w:color w:val="FFFFFF"/>
                <w:sz w:val="18"/>
                <w:szCs w:val="18"/>
                <w:lang w:eastAsia="es-CR"/>
              </w:rPr>
              <w:t>Recomendación pendiente</w:t>
            </w:r>
          </w:p>
        </w:tc>
        <w:tc>
          <w:tcPr>
            <w:tcW w:w="1028" w:type="dxa"/>
            <w:tcBorders>
              <w:top w:val="nil"/>
              <w:left w:val="nil"/>
              <w:bottom w:val="single" w:sz="4" w:space="0" w:color="auto"/>
              <w:right w:val="single" w:sz="4" w:space="0" w:color="auto"/>
            </w:tcBorders>
            <w:shd w:val="clear" w:color="000000" w:fill="44546A"/>
            <w:noWrap/>
            <w:vAlign w:val="center"/>
            <w:hideMark/>
          </w:tcPr>
          <w:p w14:paraId="24A74CA3" w14:textId="77777777" w:rsidR="00E8321A" w:rsidRPr="00313A70" w:rsidRDefault="00E8321A" w:rsidP="00B56C1A">
            <w:pPr>
              <w:spacing w:after="0" w:line="240" w:lineRule="auto"/>
              <w:jc w:val="center"/>
              <w:rPr>
                <w:rFonts w:ascii="Book Antiqua" w:eastAsia="Times New Roman" w:hAnsi="Book Antiqua" w:cs="Calibri"/>
                <w:b/>
                <w:bCs/>
                <w:color w:val="FFFFFF"/>
                <w:sz w:val="18"/>
                <w:szCs w:val="18"/>
                <w:lang w:eastAsia="es-CR"/>
              </w:rPr>
            </w:pPr>
            <w:r w:rsidRPr="00313A70">
              <w:rPr>
                <w:rFonts w:ascii="Book Antiqua" w:eastAsia="Times New Roman" w:hAnsi="Book Antiqua" w:cs="Calibri"/>
                <w:b/>
                <w:bCs/>
                <w:color w:val="FFFFFF"/>
                <w:sz w:val="18"/>
                <w:szCs w:val="18"/>
                <w:lang w:eastAsia="es-CR"/>
              </w:rPr>
              <w:t>Capítulo del informe</w:t>
            </w:r>
          </w:p>
        </w:tc>
        <w:tc>
          <w:tcPr>
            <w:tcW w:w="911" w:type="dxa"/>
            <w:tcBorders>
              <w:top w:val="nil"/>
              <w:left w:val="nil"/>
              <w:bottom w:val="single" w:sz="4" w:space="0" w:color="auto"/>
              <w:right w:val="single" w:sz="4" w:space="0" w:color="auto"/>
            </w:tcBorders>
            <w:shd w:val="clear" w:color="000000" w:fill="44546A"/>
            <w:noWrap/>
            <w:vAlign w:val="center"/>
            <w:hideMark/>
          </w:tcPr>
          <w:p w14:paraId="4133CB60" w14:textId="77777777" w:rsidR="00E8321A" w:rsidRPr="00313A70" w:rsidRDefault="00E8321A" w:rsidP="00B56C1A">
            <w:pPr>
              <w:spacing w:after="0" w:line="240" w:lineRule="auto"/>
              <w:jc w:val="center"/>
              <w:rPr>
                <w:rFonts w:ascii="Book Antiqua" w:eastAsia="Times New Roman" w:hAnsi="Book Antiqua" w:cs="Calibri"/>
                <w:b/>
                <w:bCs/>
                <w:color w:val="FFFFFF"/>
                <w:sz w:val="18"/>
                <w:szCs w:val="18"/>
                <w:lang w:eastAsia="es-CR"/>
              </w:rPr>
            </w:pPr>
            <w:r w:rsidRPr="00313A70">
              <w:rPr>
                <w:rFonts w:ascii="Book Antiqua" w:eastAsia="Times New Roman" w:hAnsi="Book Antiqua" w:cs="Calibri"/>
                <w:b/>
                <w:bCs/>
                <w:color w:val="FFFFFF"/>
                <w:sz w:val="18"/>
                <w:szCs w:val="18"/>
                <w:lang w:eastAsia="es-CR"/>
              </w:rPr>
              <w:t>Apartado del informe</w:t>
            </w:r>
          </w:p>
        </w:tc>
      </w:tr>
      <w:tr w:rsidR="00E8321A" w:rsidRPr="0043403C" w14:paraId="3522DC70" w14:textId="77777777" w:rsidTr="00E24FCA">
        <w:trPr>
          <w:trHeight w:val="330"/>
        </w:trPr>
        <w:tc>
          <w:tcPr>
            <w:tcW w:w="14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A736A"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Dirección de Tecnología de Información</w:t>
            </w:r>
          </w:p>
        </w:tc>
        <w:tc>
          <w:tcPr>
            <w:tcW w:w="1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A9ADF"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0123 SUBPROCESO SISTEMAS ADMINISTRATIVOS</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45665"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0122-DTI-P02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3446C"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Incorporación de la jurisprudencia oral en el Nexus-PJ</w:t>
            </w:r>
          </w:p>
        </w:tc>
        <w:tc>
          <w:tcPr>
            <w:tcW w:w="3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4B401"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Pendiente aprobación de solicitud de cambio 30-1-23; 8-3-23; y 31-3-23.</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A8339"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Capítulo 2</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8FB06"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2.3</w:t>
            </w:r>
          </w:p>
        </w:tc>
      </w:tr>
      <w:tr w:rsidR="00E8321A" w:rsidRPr="0043403C" w14:paraId="48FA847D" w14:textId="77777777" w:rsidTr="00E24FCA">
        <w:trPr>
          <w:trHeight w:val="300"/>
        </w:trPr>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6F8490"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D53EA"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0685 SUBPROCESO TELEMATICA</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91C6A"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0122-DTI-P11</w:t>
            </w:r>
          </w:p>
        </w:tc>
        <w:tc>
          <w:tcPr>
            <w:tcW w:w="14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3D144"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Rediseño y Migración de Telefonía IP</w:t>
            </w:r>
          </w:p>
        </w:tc>
        <w:tc>
          <w:tcPr>
            <w:tcW w:w="3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017D6" w14:textId="77777777" w:rsidR="00E8321A" w:rsidRPr="00313A70" w:rsidRDefault="00E8321A" w:rsidP="00B56C1A">
            <w:pPr>
              <w:spacing w:after="0" w:line="240" w:lineRule="auto"/>
              <w:jc w:val="center"/>
              <w:rPr>
                <w:rFonts w:ascii="Book Antiqua" w:eastAsia="Times New Roman" w:hAnsi="Book Antiqua" w:cs="Calibri"/>
                <w:color w:val="444444"/>
                <w:sz w:val="18"/>
                <w:szCs w:val="18"/>
                <w:lang w:eastAsia="es-CR"/>
              </w:rPr>
            </w:pPr>
            <w:r w:rsidRPr="00313A70">
              <w:rPr>
                <w:rFonts w:ascii="Book Antiqua" w:eastAsia="Times New Roman" w:hAnsi="Book Antiqua" w:cs="Calibri"/>
                <w:color w:val="444444"/>
                <w:sz w:val="18"/>
                <w:szCs w:val="18"/>
                <w:lang w:eastAsia="es-CR"/>
              </w:rPr>
              <w:t>No se corrigió el informe de avance de diciembre</w:t>
            </w:r>
            <w:r w:rsidRPr="00313A70">
              <w:rPr>
                <w:rFonts w:ascii="Book Antiqua" w:eastAsia="Times New Roman" w:hAnsi="Book Antiqua" w:cs="Calibri"/>
                <w:color w:val="000000"/>
                <w:sz w:val="18"/>
                <w:szCs w:val="18"/>
                <w:lang w:eastAsia="es-CR"/>
              </w:rPr>
              <w:t xml:space="preserve"> presentaba incorrecto el porcentaje real y esperado</w:t>
            </w:r>
            <w:r w:rsidRPr="00313A70">
              <w:rPr>
                <w:rFonts w:ascii="Book Antiqua" w:eastAsia="Times New Roman" w:hAnsi="Book Antiqua" w:cs="Calibri"/>
                <w:color w:val="444444"/>
                <w:sz w:val="18"/>
                <w:szCs w:val="18"/>
                <w:lang w:eastAsia="es-CR"/>
              </w:rPr>
              <w:t xml:space="preserve">, ni se </w:t>
            </w:r>
            <w:r w:rsidRPr="00313A70">
              <w:rPr>
                <w:rFonts w:ascii="Book Antiqua" w:eastAsia="Times New Roman" w:hAnsi="Book Antiqua" w:cs="Calibri"/>
                <w:color w:val="444444"/>
                <w:sz w:val="18"/>
                <w:szCs w:val="18"/>
                <w:lang w:eastAsia="es-CR"/>
              </w:rPr>
              <w:lastRenderedPageBreak/>
              <w:t>justifica los motivos por los cuales no se corrige el informe.</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F4994"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lastRenderedPageBreak/>
              <w:t>Capítulo 1</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68EA1"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1.11</w:t>
            </w:r>
          </w:p>
        </w:tc>
      </w:tr>
      <w:tr w:rsidR="00E8321A" w:rsidRPr="0043403C" w14:paraId="231B7892" w14:textId="77777777" w:rsidTr="00E24FCA">
        <w:trPr>
          <w:trHeight w:val="330"/>
        </w:trPr>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B98C9F"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54881A"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9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F62D34"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4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3102FB"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3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BF78E"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 xml:space="preserve">Producto de la solicitud de cambio del 21-4-23, 25-4-23 pendiente: </w:t>
            </w:r>
          </w:p>
          <w:p w14:paraId="5664C80C"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313A70">
              <w:rPr>
                <w:rFonts w:ascii="Book Antiqua" w:eastAsia="Times New Roman" w:hAnsi="Book Antiqua" w:cs="Calibri"/>
                <w:b/>
                <w:bCs/>
                <w:color w:val="000000"/>
                <w:sz w:val="18"/>
                <w:szCs w:val="18"/>
                <w:lang w:eastAsia="es-CR"/>
              </w:rPr>
              <w:t>Acta de constitución:</w:t>
            </w:r>
            <w:r w:rsidRPr="00313A70">
              <w:rPr>
                <w:rFonts w:ascii="Book Antiqua" w:eastAsia="Times New Roman" w:hAnsi="Book Antiqua" w:cs="Calibri"/>
                <w:color w:val="000000"/>
                <w:sz w:val="18"/>
                <w:szCs w:val="18"/>
                <w:lang w:eastAsia="es-CR"/>
              </w:rPr>
              <w:t xml:space="preserve"> (se debe trasladar la información al formulario de la metodología 2; porque se encuentra en metodología 1) recursos del proyecto debe coincidir los costos con el plan de gestión y estudio de factibilidad el formulario adjunto no permitía ver dicha información por favor verificar. </w:t>
            </w:r>
          </w:p>
          <w:p w14:paraId="735B4D72" w14:textId="77777777" w:rsidR="00E8321A" w:rsidRPr="00313A70" w:rsidRDefault="00E8321A" w:rsidP="00E24FCA">
            <w:pPr>
              <w:spacing w:after="0" w:line="240" w:lineRule="auto"/>
              <w:jc w:val="both"/>
              <w:rPr>
                <w:rFonts w:ascii="Book Antiqua" w:eastAsia="Times New Roman" w:hAnsi="Book Antiqua" w:cs="Calibri"/>
                <w:color w:val="000000"/>
                <w:sz w:val="18"/>
                <w:szCs w:val="18"/>
                <w:lang w:eastAsia="es-CR"/>
              </w:rPr>
            </w:pPr>
            <w:r w:rsidRPr="00313A70">
              <w:rPr>
                <w:rFonts w:ascii="Book Antiqua" w:eastAsia="Times New Roman" w:hAnsi="Book Antiqua" w:cs="Calibri"/>
                <w:b/>
                <w:bCs/>
                <w:color w:val="000000"/>
                <w:sz w:val="18"/>
                <w:szCs w:val="18"/>
                <w:lang w:eastAsia="es-CR"/>
              </w:rPr>
              <w:t>Plan de gestión:</w:t>
            </w:r>
            <w:r w:rsidRPr="00313A70">
              <w:rPr>
                <w:rFonts w:ascii="Book Antiqua" w:eastAsia="Times New Roman" w:hAnsi="Book Antiqua" w:cs="Calibri"/>
                <w:color w:val="000000"/>
                <w:sz w:val="18"/>
                <w:szCs w:val="18"/>
                <w:lang w:eastAsia="es-CR"/>
              </w:rPr>
              <w:t xml:space="preserve"> detalle del presupuesto revisar que coincida con acta de constitución y estudio de factibilidad, ver apartado de recurso humano ordinario y adicional porque creo que esta repetido en costo del proyecto y en este apartado.</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70D7F"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Capítulo 2</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D7702"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2.3</w:t>
            </w:r>
          </w:p>
        </w:tc>
      </w:tr>
      <w:tr w:rsidR="00E8321A" w:rsidRPr="0043403C" w14:paraId="5509C3CA" w14:textId="77777777" w:rsidTr="00E24FCA">
        <w:trPr>
          <w:trHeight w:val="300"/>
        </w:trPr>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ED41A4"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C3127"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0686 SUBPROCESO GESTION DEL SERVICIO</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699AF"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0122-DTI-P16</w:t>
            </w:r>
          </w:p>
        </w:tc>
        <w:tc>
          <w:tcPr>
            <w:tcW w:w="14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2936F"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Implantación del Nuevo Sistema de Gestión</w:t>
            </w:r>
          </w:p>
        </w:tc>
        <w:tc>
          <w:tcPr>
            <w:tcW w:w="3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EE063" w14:textId="77777777" w:rsidR="00E8321A" w:rsidRPr="00313A70" w:rsidRDefault="00E8321A" w:rsidP="00E24FCA">
            <w:pPr>
              <w:spacing w:after="0" w:line="240" w:lineRule="auto"/>
              <w:jc w:val="both"/>
              <w:rPr>
                <w:rFonts w:ascii="Book Antiqua" w:eastAsia="Times New Roman" w:hAnsi="Book Antiqua" w:cs="Calibri"/>
                <w:color w:val="444444"/>
                <w:sz w:val="18"/>
                <w:szCs w:val="18"/>
                <w:lang w:eastAsia="es-CR"/>
              </w:rPr>
            </w:pPr>
            <w:r w:rsidRPr="00313A70">
              <w:rPr>
                <w:rFonts w:ascii="Book Antiqua" w:eastAsia="Times New Roman" w:hAnsi="Book Antiqua" w:cs="Calibri"/>
                <w:color w:val="444444"/>
                <w:sz w:val="18"/>
                <w:szCs w:val="18"/>
                <w:lang w:eastAsia="es-CR"/>
              </w:rPr>
              <w:t>No se corrigió el informe de avance de diciembre</w:t>
            </w:r>
            <w:r w:rsidRPr="00313A70">
              <w:rPr>
                <w:rFonts w:ascii="Book Antiqua" w:eastAsia="Times New Roman" w:hAnsi="Book Antiqua" w:cs="Calibri"/>
                <w:color w:val="000000"/>
                <w:sz w:val="18"/>
                <w:szCs w:val="18"/>
                <w:lang w:eastAsia="es-CR"/>
              </w:rPr>
              <w:t xml:space="preserve"> presentaba incorrecto el porcentaje real y esperado</w:t>
            </w:r>
            <w:r w:rsidRPr="00313A70">
              <w:rPr>
                <w:rFonts w:ascii="Book Antiqua" w:eastAsia="Times New Roman" w:hAnsi="Book Antiqua" w:cs="Calibri"/>
                <w:color w:val="444444"/>
                <w:sz w:val="18"/>
                <w:szCs w:val="18"/>
                <w:lang w:eastAsia="es-CR"/>
              </w:rPr>
              <w:t>, ni se justifica los motivos por los cuales no se corrige el informe.</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338B8"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Capítulo 1</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39CF9"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1.11</w:t>
            </w:r>
          </w:p>
        </w:tc>
      </w:tr>
      <w:tr w:rsidR="00E8321A" w:rsidRPr="0043403C" w14:paraId="79A177F8" w14:textId="77777777" w:rsidTr="00E24FCA">
        <w:trPr>
          <w:trHeight w:val="330"/>
        </w:trPr>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A8F339"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87BF8D"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9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CC6927"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4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EACA58"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3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16F41" w14:textId="77777777" w:rsidR="00E8321A" w:rsidRPr="00313A70" w:rsidRDefault="00E8321A" w:rsidP="00E24FCA">
            <w:pPr>
              <w:spacing w:after="0" w:line="240" w:lineRule="auto"/>
              <w:jc w:val="both"/>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Pendiente aprobación de informe de avance</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5EFED"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Capítulo 2</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20C5F"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2.1</w:t>
            </w:r>
          </w:p>
        </w:tc>
      </w:tr>
      <w:tr w:rsidR="00E8321A" w:rsidRPr="0043403C" w14:paraId="6AA5B204" w14:textId="77777777" w:rsidTr="00E24FCA">
        <w:trPr>
          <w:trHeight w:val="300"/>
        </w:trPr>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844EAB"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ACD69"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1841 SUBPROCESO SISTEMAS JURISDICCIONALES</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72670"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0122-DTI-P12</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A62BE"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Modernización del Sistema de Gestión en Línea y la Aplicación Móvil</w:t>
            </w:r>
          </w:p>
        </w:tc>
        <w:tc>
          <w:tcPr>
            <w:tcW w:w="3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AD483" w14:textId="77777777" w:rsidR="00E8321A" w:rsidRPr="00313A70" w:rsidRDefault="00E8321A" w:rsidP="00E24FCA">
            <w:pPr>
              <w:spacing w:after="0" w:line="240" w:lineRule="auto"/>
              <w:jc w:val="both"/>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Pendiente elaborar informe de cierre en formulario de la metodología institucional de proyectos el mismo tiene que ser aprobado por el patrocinador del proyecto.</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775FC"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Capítulo 1</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640EF"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1.11</w:t>
            </w:r>
          </w:p>
        </w:tc>
      </w:tr>
      <w:tr w:rsidR="00E8321A" w:rsidRPr="0043403C" w14:paraId="4C8E12A1" w14:textId="77777777" w:rsidTr="00E24FCA">
        <w:trPr>
          <w:trHeight w:val="300"/>
        </w:trPr>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AB2F33"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E9902"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0123 SUBPROCESO SISTEMAS ADMINISTRATIVOS</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0C7B5"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hAnsi="Book Antiqua" w:cs="Calibri"/>
                <w:color w:val="000000"/>
                <w:sz w:val="18"/>
                <w:szCs w:val="18"/>
              </w:rPr>
              <w:t>0122-DTI-P14</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A2665"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hAnsi="Book Antiqua" w:cs="Calibri"/>
                <w:color w:val="000000"/>
                <w:sz w:val="18"/>
                <w:szCs w:val="18"/>
              </w:rPr>
              <w:t>Migración del Sistema Integrado de Ejecución Presupuestario (SIGA-PJ)</w:t>
            </w:r>
          </w:p>
        </w:tc>
        <w:tc>
          <w:tcPr>
            <w:tcW w:w="3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FE102" w14:textId="77777777" w:rsidR="00E8321A" w:rsidRPr="00164319" w:rsidRDefault="00E8321A" w:rsidP="00EF4E17">
            <w:pPr>
              <w:jc w:val="both"/>
              <w:rPr>
                <w:rFonts w:ascii="Book Antiqua" w:hAnsi="Book Antiqua" w:cs="Calibri"/>
                <w:color w:val="000000"/>
                <w:sz w:val="18"/>
                <w:szCs w:val="18"/>
              </w:rPr>
            </w:pPr>
            <w:r w:rsidRPr="00164319">
              <w:rPr>
                <w:rFonts w:ascii="Book Antiqua" w:hAnsi="Book Antiqua" w:cs="Calibri"/>
                <w:color w:val="000000"/>
                <w:sz w:val="18"/>
                <w:szCs w:val="18"/>
              </w:rPr>
              <w:t>Pendiente aprobación de informe de avance</w:t>
            </w:r>
          </w:p>
          <w:p w14:paraId="5107EE5B"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FF0BA"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hAnsi="Book Antiqua" w:cs="Calibri"/>
                <w:color w:val="000000"/>
                <w:sz w:val="18"/>
                <w:szCs w:val="18"/>
              </w:rPr>
              <w:t>Capítulo 2</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2D6F9"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hAnsi="Book Antiqua" w:cs="Calibri"/>
                <w:color w:val="000000"/>
                <w:sz w:val="18"/>
                <w:szCs w:val="18"/>
              </w:rPr>
              <w:t>2.1</w:t>
            </w:r>
          </w:p>
        </w:tc>
      </w:tr>
      <w:tr w:rsidR="00E8321A" w:rsidRPr="0043403C" w14:paraId="201AAD7A" w14:textId="77777777" w:rsidTr="00E24FCA">
        <w:trPr>
          <w:trHeight w:val="330"/>
        </w:trPr>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6D9437"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BC0C5"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1845 UNIDAD INTELIGENCIA INFORMACION</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F27A7"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0122-DTI-P15</w:t>
            </w:r>
          </w:p>
        </w:tc>
        <w:tc>
          <w:tcPr>
            <w:tcW w:w="14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0E7B1"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Diseño e implementación de la automatización robótica de procesos</w:t>
            </w:r>
          </w:p>
        </w:tc>
        <w:tc>
          <w:tcPr>
            <w:tcW w:w="3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549B7" w14:textId="77777777" w:rsidR="00E8321A" w:rsidRPr="00313A70" w:rsidRDefault="00E8321A" w:rsidP="00E24FCA">
            <w:pPr>
              <w:spacing w:after="0" w:line="240" w:lineRule="auto"/>
              <w:jc w:val="both"/>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Pendiente aprobación de informe de avance</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9E3B6"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Capítulo 2</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1807A"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2.1</w:t>
            </w:r>
          </w:p>
        </w:tc>
      </w:tr>
      <w:tr w:rsidR="00E8321A" w:rsidRPr="0043403C" w14:paraId="4DA9E3C2" w14:textId="77777777" w:rsidTr="00E24FCA">
        <w:trPr>
          <w:trHeight w:val="330"/>
        </w:trPr>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7DDD0A"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95998F"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9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30BD05"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4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D039E4"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3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9A7D5" w14:textId="77777777" w:rsidR="00E8321A" w:rsidRPr="00313A70" w:rsidRDefault="00E8321A" w:rsidP="00E24FCA">
            <w:pPr>
              <w:spacing w:after="0" w:line="240" w:lineRule="auto"/>
              <w:jc w:val="both"/>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Pendiente elaborar informa de avance en formulario de metodología institucional</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88592"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Capítulo 2</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92129"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2.1</w:t>
            </w:r>
          </w:p>
        </w:tc>
      </w:tr>
      <w:tr w:rsidR="00E8321A" w:rsidRPr="0043403C" w14:paraId="19629B5E" w14:textId="77777777" w:rsidTr="00E24FCA">
        <w:trPr>
          <w:trHeight w:val="330"/>
        </w:trPr>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93565B"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64A278"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9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B9C563"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4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D6411B"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3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C6FFD"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Producto de la solicitud de cambio del 8-2-23 y 22-5-23 pendiente:</w:t>
            </w:r>
          </w:p>
          <w:p w14:paraId="1CB12C2E"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 xml:space="preserve"> </w:t>
            </w:r>
            <w:r w:rsidRPr="00313A70">
              <w:rPr>
                <w:rFonts w:ascii="Book Antiqua" w:eastAsia="Times New Roman" w:hAnsi="Book Antiqua" w:cs="Calibri"/>
                <w:b/>
                <w:bCs/>
                <w:color w:val="000000"/>
                <w:sz w:val="18"/>
                <w:szCs w:val="18"/>
                <w:lang w:eastAsia="es-CR"/>
              </w:rPr>
              <w:t xml:space="preserve">Plan de gestión: </w:t>
            </w:r>
            <w:r w:rsidRPr="00313A70">
              <w:rPr>
                <w:rFonts w:ascii="Book Antiqua" w:eastAsia="Times New Roman" w:hAnsi="Book Antiqua" w:cs="Calibri"/>
                <w:color w:val="000000"/>
                <w:sz w:val="18"/>
                <w:szCs w:val="18"/>
                <w:lang w:eastAsia="es-CR"/>
              </w:rPr>
              <w:t xml:space="preserve">actualizar desglose de entregables, además falta incluir código de EDT; Falta diagrama de la EDT; el cronograma debe insertarse en PDF descargado desde el Project; </w:t>
            </w:r>
            <w:r w:rsidRPr="00313A70">
              <w:rPr>
                <w:rFonts w:ascii="Book Antiqua" w:eastAsia="Times New Roman" w:hAnsi="Book Antiqua" w:cs="Calibri"/>
                <w:color w:val="000000"/>
                <w:sz w:val="18"/>
                <w:szCs w:val="18"/>
                <w:lang w:eastAsia="es-CR"/>
              </w:rPr>
              <w:lastRenderedPageBreak/>
              <w:t xml:space="preserve">organigrama del proyecto debe ser un organigrama que muestre la jerarquía del proyecto por rol y participantes del mismo; beneficios esperados debe coincidir con estudio de factibilidad. </w:t>
            </w:r>
          </w:p>
          <w:p w14:paraId="53F8B082"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313A70">
              <w:rPr>
                <w:rFonts w:ascii="Book Antiqua" w:eastAsia="Times New Roman" w:hAnsi="Book Antiqua" w:cs="Calibri"/>
                <w:b/>
                <w:bCs/>
                <w:color w:val="000000"/>
                <w:sz w:val="18"/>
                <w:szCs w:val="18"/>
                <w:lang w:eastAsia="es-CR"/>
              </w:rPr>
              <w:t>Acta de constitución:</w:t>
            </w:r>
            <w:r w:rsidRPr="00313A70">
              <w:rPr>
                <w:rFonts w:ascii="Book Antiqua" w:eastAsia="Times New Roman" w:hAnsi="Book Antiqua" w:cs="Calibri"/>
                <w:color w:val="000000"/>
                <w:sz w:val="18"/>
                <w:szCs w:val="18"/>
                <w:lang w:eastAsia="es-CR"/>
              </w:rPr>
              <w:t xml:space="preserve"> Falta código del proyecto (Se debe trasladar la información al formulario vigente actualmente, según la versión 2 de la metodología de proyectos institucional). </w:t>
            </w:r>
          </w:p>
          <w:p w14:paraId="0698563A" w14:textId="77777777" w:rsidR="00E8321A" w:rsidRPr="00313A70" w:rsidRDefault="00E8321A" w:rsidP="00E24FCA">
            <w:pPr>
              <w:spacing w:after="0" w:line="240" w:lineRule="auto"/>
              <w:jc w:val="both"/>
              <w:rPr>
                <w:rFonts w:ascii="Book Antiqua" w:eastAsia="Times New Roman" w:hAnsi="Book Antiqua" w:cs="Calibri"/>
                <w:color w:val="000000"/>
                <w:sz w:val="18"/>
                <w:szCs w:val="18"/>
                <w:lang w:eastAsia="es-CR"/>
              </w:rPr>
            </w:pPr>
            <w:r w:rsidRPr="00313A70">
              <w:rPr>
                <w:rFonts w:ascii="Book Antiqua" w:eastAsia="Times New Roman" w:hAnsi="Book Antiqua" w:cs="Calibri"/>
                <w:b/>
                <w:bCs/>
                <w:color w:val="000000"/>
                <w:sz w:val="18"/>
                <w:szCs w:val="18"/>
                <w:lang w:eastAsia="es-CR"/>
              </w:rPr>
              <w:t>Estudio de factibilidad:</w:t>
            </w:r>
            <w:r w:rsidRPr="00313A70">
              <w:rPr>
                <w:rFonts w:ascii="Book Antiqua" w:eastAsia="Times New Roman" w:hAnsi="Book Antiqua" w:cs="Calibri"/>
                <w:color w:val="000000"/>
                <w:sz w:val="18"/>
                <w:szCs w:val="18"/>
                <w:lang w:eastAsia="es-CR"/>
              </w:rPr>
              <w:t xml:space="preserve"> en apartado de Planteamiento inicial del proyecto: en este apartado se deben indicar 3 alternativas de solución del problema o la mejora y porque se selecciona la misma; cuantificación de los beneficios se debe indicar un monto; costo de operación corresponde a los costos una vez concluido el proyecto no durante la ejecución del mismo.</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0B13C"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lastRenderedPageBreak/>
              <w:t>Capítulo 2</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C0D2E" w14:textId="77777777" w:rsidR="00E8321A" w:rsidRPr="00313A70" w:rsidRDefault="00E8321A" w:rsidP="00B56C1A">
            <w:pPr>
              <w:spacing w:after="0" w:line="240" w:lineRule="auto"/>
              <w:jc w:val="center"/>
              <w:rPr>
                <w:rFonts w:ascii="Book Antiqua" w:eastAsia="Times New Roman" w:hAnsi="Book Antiqua" w:cs="Calibri"/>
                <w:color w:val="000000"/>
                <w:sz w:val="18"/>
                <w:szCs w:val="18"/>
                <w:lang w:eastAsia="es-CR"/>
              </w:rPr>
            </w:pPr>
            <w:r w:rsidRPr="00313A70">
              <w:rPr>
                <w:rFonts w:ascii="Book Antiqua" w:eastAsia="Times New Roman" w:hAnsi="Book Antiqua" w:cs="Calibri"/>
                <w:color w:val="000000"/>
                <w:sz w:val="18"/>
                <w:szCs w:val="18"/>
                <w:lang w:eastAsia="es-CR"/>
              </w:rPr>
              <w:t>2.3</w:t>
            </w:r>
          </w:p>
        </w:tc>
      </w:tr>
    </w:tbl>
    <w:p w14:paraId="76EF3026" w14:textId="77777777" w:rsidR="00E8321A" w:rsidRDefault="00E8321A" w:rsidP="00E8321A">
      <w:pPr>
        <w:spacing w:after="0" w:line="240" w:lineRule="auto"/>
        <w:ind w:left="567"/>
        <w:jc w:val="both"/>
        <w:rPr>
          <w:rFonts w:ascii="Book Antiqua" w:hAnsi="Book Antiqua"/>
          <w:sz w:val="24"/>
          <w:szCs w:val="24"/>
        </w:rPr>
      </w:pPr>
    </w:p>
    <w:p w14:paraId="51171B30" w14:textId="26574CF8" w:rsidR="00E8321A" w:rsidRDefault="00E8321A" w:rsidP="00EF4E17">
      <w:pPr>
        <w:numPr>
          <w:ilvl w:val="1"/>
          <w:numId w:val="20"/>
        </w:numPr>
        <w:spacing w:after="0" w:line="240" w:lineRule="auto"/>
        <w:ind w:left="567" w:hanging="567"/>
        <w:jc w:val="both"/>
        <w:rPr>
          <w:rFonts w:ascii="Book Antiqua" w:hAnsi="Book Antiqua"/>
          <w:sz w:val="24"/>
          <w:szCs w:val="24"/>
        </w:rPr>
      </w:pPr>
      <w:r w:rsidRPr="00174798">
        <w:rPr>
          <w:rFonts w:ascii="Book Antiqua" w:hAnsi="Book Antiqua"/>
          <w:sz w:val="24"/>
          <w:szCs w:val="24"/>
        </w:rPr>
        <w:t>Además, se deben t</w:t>
      </w:r>
      <w:r w:rsidRPr="00174798" w:rsidDel="00A51CE8">
        <w:rPr>
          <w:rFonts w:ascii="Book Antiqua" w:hAnsi="Book Antiqua"/>
          <w:sz w:val="24"/>
          <w:szCs w:val="24"/>
        </w:rPr>
        <w:t>omar las medidas pertinentes a fin de poder contrarrestar los atrasos presentados</w:t>
      </w:r>
      <w:r w:rsidRPr="00174798">
        <w:rPr>
          <w:rFonts w:ascii="Book Antiqua" w:hAnsi="Book Antiqua"/>
          <w:sz w:val="24"/>
          <w:szCs w:val="24"/>
        </w:rPr>
        <w:t xml:space="preserve">.  Cuando no sea posible subsanar los atrasos, se deberá valorar la presentación de una solicitud de cambio en los casos que el retraso afecte la fecha de finalización de los proyectos y que la misma tenga autorización de la persona jefe o del director del proyecto. </w:t>
      </w:r>
    </w:p>
    <w:p w14:paraId="7E3097B0" w14:textId="77777777" w:rsidR="00006088" w:rsidRPr="00174798" w:rsidRDefault="00006088" w:rsidP="00006088">
      <w:pPr>
        <w:spacing w:after="0" w:line="240" w:lineRule="auto"/>
        <w:ind w:left="567"/>
        <w:jc w:val="both"/>
        <w:rPr>
          <w:rFonts w:ascii="Book Antiqua" w:hAnsi="Book Antiqua"/>
          <w:sz w:val="24"/>
          <w:szCs w:val="24"/>
        </w:rPr>
      </w:pPr>
    </w:p>
    <w:p w14:paraId="7E7AE42A" w14:textId="77777777" w:rsidR="00E8321A" w:rsidRDefault="00E8321A" w:rsidP="00EF4E17">
      <w:pPr>
        <w:numPr>
          <w:ilvl w:val="1"/>
          <w:numId w:val="20"/>
        </w:numPr>
        <w:spacing w:after="0" w:line="240" w:lineRule="auto"/>
        <w:ind w:left="567" w:hanging="567"/>
        <w:jc w:val="both"/>
        <w:rPr>
          <w:rFonts w:ascii="Book Antiqua" w:hAnsi="Book Antiqua"/>
          <w:sz w:val="24"/>
          <w:szCs w:val="24"/>
        </w:rPr>
      </w:pPr>
      <w:r w:rsidRPr="00174798">
        <w:rPr>
          <w:rFonts w:ascii="Book Antiqua" w:hAnsi="Book Antiqua"/>
          <w:sz w:val="24"/>
          <w:szCs w:val="24"/>
        </w:rPr>
        <w:t>Asimismo, es importante revisar y monitorear los proyectos que presentan un retraso significativo, y cuentan con permisos con goce otorgados.</w:t>
      </w:r>
    </w:p>
    <w:p w14:paraId="4B901665" w14:textId="77777777" w:rsidR="00E8321A" w:rsidRPr="00174798" w:rsidRDefault="00E8321A" w:rsidP="00E8321A">
      <w:pPr>
        <w:spacing w:after="0" w:line="240" w:lineRule="auto"/>
        <w:ind w:left="567"/>
        <w:jc w:val="both"/>
        <w:rPr>
          <w:rFonts w:ascii="Book Antiqua" w:hAnsi="Book Antiqua"/>
          <w:sz w:val="24"/>
          <w:szCs w:val="24"/>
        </w:rPr>
      </w:pPr>
    </w:p>
    <w:p w14:paraId="71B7F356" w14:textId="77777777" w:rsidR="00E8321A" w:rsidRPr="00D70F8D" w:rsidRDefault="00E8321A" w:rsidP="00E8321A">
      <w:pPr>
        <w:pStyle w:val="Ttulo2"/>
        <w:spacing w:before="0"/>
        <w:rPr>
          <w:rFonts w:ascii="Book Antiqua" w:hAnsi="Book Antiqua"/>
          <w:b/>
          <w:bCs/>
          <w:color w:val="auto"/>
          <w:sz w:val="24"/>
          <w:szCs w:val="24"/>
        </w:rPr>
      </w:pPr>
      <w:bookmarkStart w:id="183" w:name="_Toc131160617"/>
      <w:bookmarkStart w:id="184" w:name="_Toc138770898"/>
      <w:r w:rsidRPr="00D70F8D">
        <w:rPr>
          <w:rFonts w:ascii="Book Antiqua" w:hAnsi="Book Antiqua"/>
          <w:b/>
          <w:bCs/>
          <w:color w:val="auto"/>
          <w:sz w:val="24"/>
          <w:szCs w:val="24"/>
        </w:rPr>
        <w:t>A la Dirección Ejecutiva</w:t>
      </w:r>
      <w:bookmarkEnd w:id="183"/>
      <w:bookmarkEnd w:id="184"/>
    </w:p>
    <w:p w14:paraId="38FF117F" w14:textId="77777777" w:rsidR="00E8321A" w:rsidRPr="00174798" w:rsidRDefault="00E8321A" w:rsidP="00E8321A">
      <w:pPr>
        <w:spacing w:after="0" w:line="240" w:lineRule="auto"/>
        <w:jc w:val="both"/>
        <w:rPr>
          <w:rFonts w:ascii="Book Antiqua" w:hAnsi="Book Antiqua"/>
          <w:b/>
          <w:sz w:val="24"/>
          <w:szCs w:val="24"/>
        </w:rPr>
      </w:pPr>
    </w:p>
    <w:p w14:paraId="2C4EF44E" w14:textId="77777777" w:rsidR="00E8321A" w:rsidRDefault="00E8321A" w:rsidP="00EF4E17">
      <w:pPr>
        <w:numPr>
          <w:ilvl w:val="1"/>
          <w:numId w:val="20"/>
        </w:numPr>
        <w:spacing w:after="0" w:line="240" w:lineRule="auto"/>
        <w:ind w:left="567" w:hanging="567"/>
        <w:jc w:val="both"/>
        <w:rPr>
          <w:rFonts w:ascii="Book Antiqua" w:hAnsi="Book Antiqua"/>
          <w:sz w:val="24"/>
          <w:szCs w:val="24"/>
        </w:rPr>
      </w:pPr>
      <w:r w:rsidRPr="00174798">
        <w:rPr>
          <w:rFonts w:ascii="Book Antiqua" w:hAnsi="Book Antiqua"/>
          <w:sz w:val="24"/>
          <w:szCs w:val="24"/>
        </w:rPr>
        <w:t xml:space="preserve">Se solicita más tardar el </w:t>
      </w:r>
      <w:r w:rsidRPr="00373A06">
        <w:rPr>
          <w:rFonts w:ascii="Book Antiqua" w:hAnsi="Book Antiqua"/>
          <w:b/>
          <w:bCs/>
          <w:sz w:val="24"/>
          <w:szCs w:val="24"/>
        </w:rPr>
        <w:t>11 de agosto del 2023</w:t>
      </w:r>
      <w:r w:rsidRPr="00174798">
        <w:rPr>
          <w:rFonts w:ascii="Book Antiqua" w:hAnsi="Book Antiqua"/>
          <w:sz w:val="24"/>
          <w:szCs w:val="24"/>
        </w:rPr>
        <w:t xml:space="preserve">, cargar en el sitio de proyecto la atención de las siguientes recomendaciones: </w:t>
      </w:r>
    </w:p>
    <w:tbl>
      <w:tblPr>
        <w:tblW w:w="1070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178"/>
        <w:gridCol w:w="741"/>
        <w:gridCol w:w="1990"/>
        <w:gridCol w:w="3552"/>
        <w:gridCol w:w="860"/>
        <w:gridCol w:w="911"/>
      </w:tblGrid>
      <w:tr w:rsidR="0086493B" w:rsidRPr="00164319" w14:paraId="6286D287" w14:textId="77777777" w:rsidTr="00D06D89">
        <w:trPr>
          <w:trHeight w:val="300"/>
        </w:trPr>
        <w:tc>
          <w:tcPr>
            <w:tcW w:w="1470" w:type="dxa"/>
            <w:shd w:val="clear" w:color="000000" w:fill="44546A"/>
            <w:noWrap/>
            <w:vAlign w:val="center"/>
            <w:hideMark/>
          </w:tcPr>
          <w:p w14:paraId="6BFF0C88" w14:textId="77777777" w:rsidR="00E8321A" w:rsidRPr="00164319" w:rsidRDefault="00E8321A" w:rsidP="00B56C1A">
            <w:pPr>
              <w:spacing w:after="0" w:line="240" w:lineRule="auto"/>
              <w:jc w:val="center"/>
              <w:rPr>
                <w:rFonts w:ascii="Book Antiqua" w:eastAsia="Times New Roman" w:hAnsi="Book Antiqua" w:cs="Calibri"/>
                <w:b/>
                <w:bCs/>
                <w:color w:val="FFFFFF"/>
                <w:sz w:val="18"/>
                <w:szCs w:val="18"/>
                <w:lang w:eastAsia="es-CR"/>
              </w:rPr>
            </w:pPr>
            <w:r w:rsidRPr="00164319">
              <w:rPr>
                <w:rFonts w:ascii="Book Antiqua" w:eastAsia="Times New Roman" w:hAnsi="Book Antiqua" w:cs="Calibri"/>
                <w:b/>
                <w:bCs/>
                <w:color w:val="FFFFFF"/>
                <w:sz w:val="18"/>
                <w:szCs w:val="18"/>
                <w:lang w:eastAsia="es-CR"/>
              </w:rPr>
              <w:t>Centro de responsabilidad</w:t>
            </w:r>
          </w:p>
        </w:tc>
        <w:tc>
          <w:tcPr>
            <w:tcW w:w="1178" w:type="dxa"/>
            <w:shd w:val="clear" w:color="000000" w:fill="44546A"/>
            <w:noWrap/>
            <w:vAlign w:val="center"/>
            <w:hideMark/>
          </w:tcPr>
          <w:p w14:paraId="3290A017" w14:textId="77777777" w:rsidR="00E8321A" w:rsidRPr="00164319" w:rsidRDefault="00E8321A" w:rsidP="00B56C1A">
            <w:pPr>
              <w:spacing w:after="0" w:line="240" w:lineRule="auto"/>
              <w:jc w:val="center"/>
              <w:rPr>
                <w:rFonts w:ascii="Book Antiqua" w:eastAsia="Times New Roman" w:hAnsi="Book Antiqua" w:cs="Calibri"/>
                <w:b/>
                <w:bCs/>
                <w:color w:val="FFFFFF"/>
                <w:sz w:val="18"/>
                <w:szCs w:val="18"/>
                <w:lang w:eastAsia="es-CR"/>
              </w:rPr>
            </w:pPr>
            <w:r w:rsidRPr="00164319">
              <w:rPr>
                <w:rFonts w:ascii="Book Antiqua" w:eastAsia="Times New Roman" w:hAnsi="Book Antiqua" w:cs="Calibri"/>
                <w:b/>
                <w:bCs/>
                <w:color w:val="FFFFFF"/>
                <w:sz w:val="18"/>
                <w:szCs w:val="18"/>
                <w:lang w:eastAsia="es-CR"/>
              </w:rPr>
              <w:t>Oficina Líder</w:t>
            </w:r>
          </w:p>
        </w:tc>
        <w:tc>
          <w:tcPr>
            <w:tcW w:w="741" w:type="dxa"/>
            <w:shd w:val="clear" w:color="000000" w:fill="44546A"/>
            <w:noWrap/>
            <w:vAlign w:val="center"/>
            <w:hideMark/>
          </w:tcPr>
          <w:p w14:paraId="715A4E5F" w14:textId="77777777" w:rsidR="00E8321A" w:rsidRPr="00164319" w:rsidRDefault="00E8321A" w:rsidP="00B56C1A">
            <w:pPr>
              <w:spacing w:after="0" w:line="240" w:lineRule="auto"/>
              <w:jc w:val="center"/>
              <w:rPr>
                <w:rFonts w:ascii="Book Antiqua" w:eastAsia="Times New Roman" w:hAnsi="Book Antiqua" w:cs="Calibri"/>
                <w:b/>
                <w:bCs/>
                <w:color w:val="FFFFFF"/>
                <w:sz w:val="18"/>
                <w:szCs w:val="18"/>
                <w:lang w:eastAsia="es-CR"/>
              </w:rPr>
            </w:pPr>
            <w:r w:rsidRPr="00164319">
              <w:rPr>
                <w:rFonts w:ascii="Book Antiqua" w:eastAsia="Times New Roman" w:hAnsi="Book Antiqua" w:cs="Calibri"/>
                <w:b/>
                <w:bCs/>
                <w:color w:val="FFFFFF"/>
                <w:sz w:val="18"/>
                <w:szCs w:val="18"/>
                <w:lang w:eastAsia="es-CR"/>
              </w:rPr>
              <w:t>Código</w:t>
            </w:r>
          </w:p>
        </w:tc>
        <w:tc>
          <w:tcPr>
            <w:tcW w:w="1990" w:type="dxa"/>
            <w:shd w:val="clear" w:color="000000" w:fill="44546A"/>
            <w:noWrap/>
            <w:vAlign w:val="center"/>
            <w:hideMark/>
          </w:tcPr>
          <w:p w14:paraId="307D7F4F" w14:textId="77777777" w:rsidR="00E8321A" w:rsidRPr="00164319" w:rsidRDefault="00E8321A" w:rsidP="00B56C1A">
            <w:pPr>
              <w:spacing w:after="0" w:line="240" w:lineRule="auto"/>
              <w:jc w:val="center"/>
              <w:rPr>
                <w:rFonts w:ascii="Book Antiqua" w:eastAsia="Times New Roman" w:hAnsi="Book Antiqua" w:cs="Calibri"/>
                <w:b/>
                <w:bCs/>
                <w:color w:val="FFFFFF"/>
                <w:sz w:val="18"/>
                <w:szCs w:val="18"/>
                <w:lang w:eastAsia="es-CR"/>
              </w:rPr>
            </w:pPr>
            <w:r w:rsidRPr="00164319">
              <w:rPr>
                <w:rFonts w:ascii="Book Antiqua" w:eastAsia="Times New Roman" w:hAnsi="Book Antiqua" w:cs="Calibri"/>
                <w:b/>
                <w:bCs/>
                <w:color w:val="FFFFFF"/>
                <w:sz w:val="18"/>
                <w:szCs w:val="18"/>
                <w:lang w:eastAsia="es-CR"/>
              </w:rPr>
              <w:t>Nombre</w:t>
            </w:r>
          </w:p>
        </w:tc>
        <w:tc>
          <w:tcPr>
            <w:tcW w:w="3552" w:type="dxa"/>
            <w:shd w:val="clear" w:color="000000" w:fill="44546A"/>
            <w:noWrap/>
            <w:vAlign w:val="center"/>
            <w:hideMark/>
          </w:tcPr>
          <w:p w14:paraId="5989C9A5" w14:textId="77777777" w:rsidR="00E8321A" w:rsidRPr="00164319" w:rsidRDefault="00E8321A" w:rsidP="00B56C1A">
            <w:pPr>
              <w:spacing w:after="0" w:line="240" w:lineRule="auto"/>
              <w:jc w:val="center"/>
              <w:rPr>
                <w:rFonts w:ascii="Book Antiqua" w:eastAsia="Times New Roman" w:hAnsi="Book Antiqua" w:cs="Calibri"/>
                <w:b/>
                <w:bCs/>
                <w:color w:val="FFFFFF"/>
                <w:sz w:val="18"/>
                <w:szCs w:val="18"/>
                <w:lang w:eastAsia="es-CR"/>
              </w:rPr>
            </w:pPr>
            <w:r w:rsidRPr="00164319">
              <w:rPr>
                <w:rFonts w:ascii="Book Antiqua" w:eastAsia="Times New Roman" w:hAnsi="Book Antiqua" w:cs="Calibri"/>
                <w:b/>
                <w:bCs/>
                <w:color w:val="FFFFFF"/>
                <w:sz w:val="18"/>
                <w:szCs w:val="18"/>
                <w:lang w:eastAsia="es-CR"/>
              </w:rPr>
              <w:t>Recomendación pendiente</w:t>
            </w:r>
          </w:p>
        </w:tc>
        <w:tc>
          <w:tcPr>
            <w:tcW w:w="860" w:type="dxa"/>
            <w:shd w:val="clear" w:color="000000" w:fill="44546A"/>
            <w:noWrap/>
            <w:vAlign w:val="center"/>
            <w:hideMark/>
          </w:tcPr>
          <w:p w14:paraId="1609B7E1" w14:textId="77777777" w:rsidR="00E8321A" w:rsidRPr="00164319" w:rsidRDefault="00E8321A" w:rsidP="00B56C1A">
            <w:pPr>
              <w:spacing w:after="0" w:line="240" w:lineRule="auto"/>
              <w:jc w:val="center"/>
              <w:rPr>
                <w:rFonts w:ascii="Book Antiqua" w:eastAsia="Times New Roman" w:hAnsi="Book Antiqua" w:cs="Calibri"/>
                <w:b/>
                <w:bCs/>
                <w:color w:val="FFFFFF"/>
                <w:sz w:val="18"/>
                <w:szCs w:val="18"/>
                <w:lang w:eastAsia="es-CR"/>
              </w:rPr>
            </w:pPr>
            <w:r w:rsidRPr="00164319">
              <w:rPr>
                <w:rFonts w:ascii="Book Antiqua" w:eastAsia="Times New Roman" w:hAnsi="Book Antiqua" w:cs="Calibri"/>
                <w:b/>
                <w:bCs/>
                <w:color w:val="FFFFFF"/>
                <w:sz w:val="18"/>
                <w:szCs w:val="18"/>
                <w:lang w:eastAsia="es-CR"/>
              </w:rPr>
              <w:t>Capítulo del informe</w:t>
            </w:r>
          </w:p>
        </w:tc>
        <w:tc>
          <w:tcPr>
            <w:tcW w:w="911" w:type="dxa"/>
            <w:shd w:val="clear" w:color="000000" w:fill="44546A"/>
            <w:noWrap/>
            <w:vAlign w:val="center"/>
            <w:hideMark/>
          </w:tcPr>
          <w:p w14:paraId="0DDFECA9" w14:textId="77777777" w:rsidR="00E8321A" w:rsidRPr="00164319" w:rsidRDefault="00E8321A" w:rsidP="00B56C1A">
            <w:pPr>
              <w:spacing w:after="0" w:line="240" w:lineRule="auto"/>
              <w:jc w:val="center"/>
              <w:rPr>
                <w:rFonts w:ascii="Book Antiqua" w:eastAsia="Times New Roman" w:hAnsi="Book Antiqua" w:cs="Calibri"/>
                <w:b/>
                <w:bCs/>
                <w:color w:val="FFFFFF"/>
                <w:sz w:val="18"/>
                <w:szCs w:val="18"/>
                <w:lang w:eastAsia="es-CR"/>
              </w:rPr>
            </w:pPr>
            <w:r w:rsidRPr="00164319">
              <w:rPr>
                <w:rFonts w:ascii="Book Antiqua" w:eastAsia="Times New Roman" w:hAnsi="Book Antiqua" w:cs="Calibri"/>
                <w:b/>
                <w:bCs/>
                <w:color w:val="FFFFFF"/>
                <w:sz w:val="18"/>
                <w:szCs w:val="18"/>
                <w:lang w:eastAsia="es-CR"/>
              </w:rPr>
              <w:t>Apartado del informe</w:t>
            </w:r>
          </w:p>
        </w:tc>
      </w:tr>
      <w:tr w:rsidR="007D35E8" w:rsidRPr="00164319" w14:paraId="4436EDC9" w14:textId="77777777" w:rsidTr="00D06D89">
        <w:trPr>
          <w:trHeight w:val="330"/>
        </w:trPr>
        <w:tc>
          <w:tcPr>
            <w:tcW w:w="1470" w:type="dxa"/>
            <w:vMerge w:val="restart"/>
            <w:shd w:val="clear" w:color="auto" w:fill="auto"/>
            <w:noWrap/>
            <w:vAlign w:val="center"/>
            <w:hideMark/>
          </w:tcPr>
          <w:p w14:paraId="69477BA7"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Dirección Ejecutiva</w:t>
            </w:r>
          </w:p>
        </w:tc>
        <w:tc>
          <w:tcPr>
            <w:tcW w:w="1178" w:type="dxa"/>
            <w:vMerge w:val="restart"/>
            <w:shd w:val="clear" w:color="auto" w:fill="auto"/>
            <w:noWrap/>
            <w:vAlign w:val="center"/>
            <w:hideMark/>
          </w:tcPr>
          <w:p w14:paraId="765FA41C"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0117 DIRECCION EJECUTIVA</w:t>
            </w:r>
          </w:p>
        </w:tc>
        <w:tc>
          <w:tcPr>
            <w:tcW w:w="741" w:type="dxa"/>
            <w:shd w:val="clear" w:color="auto" w:fill="auto"/>
            <w:noWrap/>
            <w:vAlign w:val="center"/>
            <w:hideMark/>
          </w:tcPr>
          <w:p w14:paraId="4E27BC55"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0117-DE-P06</w:t>
            </w:r>
          </w:p>
        </w:tc>
        <w:tc>
          <w:tcPr>
            <w:tcW w:w="1990" w:type="dxa"/>
            <w:shd w:val="clear" w:color="auto" w:fill="auto"/>
            <w:noWrap/>
            <w:vAlign w:val="center"/>
            <w:hideMark/>
          </w:tcPr>
          <w:p w14:paraId="6570F3F3"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Construcción Edificio Anexo E</w:t>
            </w:r>
          </w:p>
        </w:tc>
        <w:tc>
          <w:tcPr>
            <w:tcW w:w="3552" w:type="dxa"/>
            <w:shd w:val="clear" w:color="auto" w:fill="auto"/>
            <w:noWrap/>
            <w:vAlign w:val="center"/>
            <w:hideMark/>
          </w:tcPr>
          <w:p w14:paraId="394BA0C5"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Pendiente elaborar informe de cierre</w:t>
            </w:r>
          </w:p>
        </w:tc>
        <w:tc>
          <w:tcPr>
            <w:tcW w:w="860" w:type="dxa"/>
            <w:shd w:val="clear" w:color="auto" w:fill="auto"/>
            <w:noWrap/>
            <w:vAlign w:val="center"/>
            <w:hideMark/>
          </w:tcPr>
          <w:p w14:paraId="25638A32"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Capítulo 2</w:t>
            </w:r>
          </w:p>
        </w:tc>
        <w:tc>
          <w:tcPr>
            <w:tcW w:w="911" w:type="dxa"/>
            <w:shd w:val="clear" w:color="auto" w:fill="auto"/>
            <w:noWrap/>
            <w:vAlign w:val="center"/>
            <w:hideMark/>
          </w:tcPr>
          <w:p w14:paraId="76B977D4"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2.4</w:t>
            </w:r>
          </w:p>
        </w:tc>
      </w:tr>
      <w:tr w:rsidR="007D35E8" w:rsidRPr="00164319" w14:paraId="2A0E7B63" w14:textId="77777777" w:rsidTr="00D06D89">
        <w:trPr>
          <w:trHeight w:val="300"/>
        </w:trPr>
        <w:tc>
          <w:tcPr>
            <w:tcW w:w="1470" w:type="dxa"/>
            <w:vMerge/>
            <w:vAlign w:val="center"/>
            <w:hideMark/>
          </w:tcPr>
          <w:p w14:paraId="0A4D15E9"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178" w:type="dxa"/>
            <w:vMerge/>
            <w:vAlign w:val="center"/>
            <w:hideMark/>
          </w:tcPr>
          <w:p w14:paraId="4A4E2F9C"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shd w:val="clear" w:color="000000" w:fill="FFFFFF"/>
            <w:noWrap/>
            <w:vAlign w:val="center"/>
            <w:hideMark/>
          </w:tcPr>
          <w:p w14:paraId="348554B4"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0117-DE-P22</w:t>
            </w:r>
          </w:p>
        </w:tc>
        <w:tc>
          <w:tcPr>
            <w:tcW w:w="1990" w:type="dxa"/>
            <w:shd w:val="clear" w:color="000000" w:fill="FFFFFF"/>
            <w:noWrap/>
            <w:vAlign w:val="center"/>
            <w:hideMark/>
          </w:tcPr>
          <w:p w14:paraId="7A0F5FD8"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 xml:space="preserve">Publicación electrónica del Boletín Judicial, a través del </w:t>
            </w:r>
            <w:r w:rsidRPr="00164319">
              <w:rPr>
                <w:rFonts w:ascii="Book Antiqua" w:eastAsia="Times New Roman" w:hAnsi="Book Antiqua" w:cs="Calibri"/>
                <w:color w:val="000000"/>
                <w:sz w:val="18"/>
                <w:szCs w:val="18"/>
                <w:lang w:eastAsia="es-CR"/>
              </w:rPr>
              <w:lastRenderedPageBreak/>
              <w:t>Departamento de Artes Gráficas</w:t>
            </w:r>
          </w:p>
        </w:tc>
        <w:tc>
          <w:tcPr>
            <w:tcW w:w="3552" w:type="dxa"/>
            <w:shd w:val="clear" w:color="000000" w:fill="FFFFFF"/>
            <w:noWrap/>
            <w:vAlign w:val="center"/>
            <w:hideMark/>
          </w:tcPr>
          <w:p w14:paraId="3ADCD53C"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lastRenderedPageBreak/>
              <w:t xml:space="preserve">Pendiente actualizar cronograma producto de las solicitudes 1-11-22, 6-12-22, 18-1-23, esto debido a que no se encuentra dichas tareas actualizadas; </w:t>
            </w:r>
          </w:p>
          <w:p w14:paraId="44ED2AB3"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164319">
              <w:rPr>
                <w:rFonts w:ascii="Book Antiqua" w:eastAsia="Times New Roman" w:hAnsi="Book Antiqua" w:cs="Calibri"/>
                <w:b/>
                <w:bCs/>
                <w:color w:val="000000"/>
                <w:sz w:val="18"/>
                <w:szCs w:val="18"/>
                <w:lang w:eastAsia="es-CR"/>
              </w:rPr>
              <w:lastRenderedPageBreak/>
              <w:t>además en el plan de gestión:</w:t>
            </w:r>
            <w:r w:rsidRPr="00164319">
              <w:rPr>
                <w:rFonts w:ascii="Book Antiqua" w:eastAsia="Times New Roman" w:hAnsi="Book Antiqua" w:cs="Calibri"/>
                <w:color w:val="000000"/>
                <w:sz w:val="18"/>
                <w:szCs w:val="18"/>
                <w:lang w:eastAsia="es-CR"/>
              </w:rPr>
              <w:t xml:space="preserve"> la fecha de finalización se debe colocar por lo menos el mes; revisar apartado de datos generales y el de roles y responsabilidades, porque Administrador y líder del proyecto no concuerdan; en diagrama de la EDT falta indicar la codificación a los entregables; el cronograma considerando que solamente se anexa el PDF, se debe incluir en la carpeta del plan de gestión, porque no permite abrirlo, o anexar el Word del documento también; la administración de riesgo igual en caso de solamente anexar el PDF se debe incluir en la carpeta o incluir el Word; administración de adquisiciones considerando que se deben gestionar la compra de algunos artículos se debe completar la misma. </w:t>
            </w:r>
          </w:p>
          <w:p w14:paraId="598BEEF1"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164319">
              <w:rPr>
                <w:rFonts w:ascii="Book Antiqua" w:eastAsia="Times New Roman" w:hAnsi="Book Antiqua" w:cs="Calibri"/>
                <w:b/>
                <w:bCs/>
                <w:color w:val="000000"/>
                <w:sz w:val="18"/>
                <w:szCs w:val="18"/>
                <w:lang w:eastAsia="es-CR"/>
              </w:rPr>
              <w:t>Estudio de factibilidad:</w:t>
            </w:r>
            <w:r w:rsidRPr="00164319">
              <w:rPr>
                <w:rFonts w:ascii="Book Antiqua" w:eastAsia="Times New Roman" w:hAnsi="Book Antiqua" w:cs="Calibri"/>
                <w:color w:val="000000"/>
                <w:sz w:val="18"/>
                <w:szCs w:val="18"/>
                <w:lang w:eastAsia="es-CR"/>
              </w:rPr>
              <w:t xml:space="preserve"> en planteamiento inicial del proyecto se debe incluir las 3 alternativas de solución valoradas para solucionar el problema o la situación y porque se seleccionó la que se aplica actualmente; tiempo estimado mejor colocar meses y años de inicio y fin.</w:t>
            </w:r>
          </w:p>
          <w:p w14:paraId="685A6C30" w14:textId="77777777" w:rsidR="00E8321A" w:rsidRPr="00164319" w:rsidRDefault="00E8321A" w:rsidP="00E24FCA">
            <w:pPr>
              <w:spacing w:after="0" w:line="240" w:lineRule="auto"/>
              <w:jc w:val="both"/>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 xml:space="preserve"> </w:t>
            </w:r>
            <w:r w:rsidRPr="00164319">
              <w:rPr>
                <w:rFonts w:ascii="Book Antiqua" w:eastAsia="Times New Roman" w:hAnsi="Book Antiqua" w:cs="Calibri"/>
                <w:b/>
                <w:bCs/>
                <w:color w:val="000000"/>
                <w:sz w:val="18"/>
                <w:szCs w:val="18"/>
                <w:lang w:eastAsia="es-CR"/>
              </w:rPr>
              <w:t>Acta de constitución:</w:t>
            </w:r>
            <w:r w:rsidRPr="00164319">
              <w:rPr>
                <w:rFonts w:ascii="Book Antiqua" w:eastAsia="Times New Roman" w:hAnsi="Book Antiqua" w:cs="Calibri"/>
                <w:color w:val="000000"/>
                <w:sz w:val="18"/>
                <w:szCs w:val="18"/>
                <w:lang w:eastAsia="es-CR"/>
              </w:rPr>
              <w:t xml:space="preserve"> cronograma de alto nivel debe ser un cronograma donde se muestre los principales entregables indicando el año o mes de su entrega según planificación; verificar apartado de datos generales y equipo de trabajo porque no coincide líder y administrador del proyecto.</w:t>
            </w:r>
          </w:p>
        </w:tc>
        <w:tc>
          <w:tcPr>
            <w:tcW w:w="860" w:type="dxa"/>
            <w:shd w:val="clear" w:color="auto" w:fill="auto"/>
            <w:noWrap/>
            <w:vAlign w:val="center"/>
            <w:hideMark/>
          </w:tcPr>
          <w:p w14:paraId="6FF56911"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lastRenderedPageBreak/>
              <w:t>Capítulo 1</w:t>
            </w:r>
          </w:p>
        </w:tc>
        <w:tc>
          <w:tcPr>
            <w:tcW w:w="911" w:type="dxa"/>
            <w:shd w:val="clear" w:color="auto" w:fill="auto"/>
            <w:noWrap/>
            <w:vAlign w:val="center"/>
            <w:hideMark/>
          </w:tcPr>
          <w:p w14:paraId="34CCA624"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1.12</w:t>
            </w:r>
          </w:p>
        </w:tc>
      </w:tr>
      <w:tr w:rsidR="007D35E8" w:rsidRPr="00164319" w14:paraId="55E09F86" w14:textId="77777777" w:rsidTr="00D06D89">
        <w:trPr>
          <w:trHeight w:val="300"/>
        </w:trPr>
        <w:tc>
          <w:tcPr>
            <w:tcW w:w="1470" w:type="dxa"/>
            <w:vMerge/>
            <w:vAlign w:val="center"/>
            <w:hideMark/>
          </w:tcPr>
          <w:p w14:paraId="08A0434F"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178" w:type="dxa"/>
            <w:vMerge/>
            <w:vAlign w:val="center"/>
            <w:hideMark/>
          </w:tcPr>
          <w:p w14:paraId="0742E5F9"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shd w:val="clear" w:color="auto" w:fill="auto"/>
            <w:noWrap/>
            <w:vAlign w:val="center"/>
            <w:hideMark/>
          </w:tcPr>
          <w:p w14:paraId="2C7D44BF"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0117-DE-P18</w:t>
            </w:r>
          </w:p>
        </w:tc>
        <w:tc>
          <w:tcPr>
            <w:tcW w:w="1990" w:type="dxa"/>
            <w:shd w:val="clear" w:color="auto" w:fill="auto"/>
            <w:noWrap/>
            <w:vAlign w:val="center"/>
            <w:hideMark/>
          </w:tcPr>
          <w:p w14:paraId="5CC30B35"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Plan de trabajo para la mejora del proceso de contratación administrativa</w:t>
            </w:r>
          </w:p>
        </w:tc>
        <w:tc>
          <w:tcPr>
            <w:tcW w:w="3552" w:type="dxa"/>
            <w:shd w:val="clear" w:color="auto" w:fill="auto"/>
            <w:noWrap/>
            <w:vAlign w:val="center"/>
            <w:hideMark/>
          </w:tcPr>
          <w:p w14:paraId="4191D675" w14:textId="77777777" w:rsidR="00E8321A" w:rsidRPr="00164319" w:rsidRDefault="00E8321A" w:rsidP="00E24FCA">
            <w:pPr>
              <w:spacing w:after="0" w:line="240" w:lineRule="auto"/>
              <w:jc w:val="both"/>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Elaborar indicadores mensuales que representen la continuidad del proyecto y no dirigidos a resultados. Lo anterior, por cuanto lo que se busca es medir el rendimiento de las labores a ejecutar con los permisos con goce de salario, que con tanto esfuerzo se están proporcionando para atender estas necesidades.</w:t>
            </w:r>
          </w:p>
        </w:tc>
        <w:tc>
          <w:tcPr>
            <w:tcW w:w="860" w:type="dxa"/>
            <w:shd w:val="clear" w:color="auto" w:fill="auto"/>
            <w:noWrap/>
            <w:vAlign w:val="center"/>
            <w:hideMark/>
          </w:tcPr>
          <w:p w14:paraId="12DD170E"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Capítulo 3</w:t>
            </w:r>
          </w:p>
        </w:tc>
        <w:tc>
          <w:tcPr>
            <w:tcW w:w="911" w:type="dxa"/>
            <w:shd w:val="clear" w:color="auto" w:fill="auto"/>
            <w:noWrap/>
            <w:vAlign w:val="center"/>
            <w:hideMark/>
          </w:tcPr>
          <w:p w14:paraId="46CA31AD"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3.5</w:t>
            </w:r>
          </w:p>
        </w:tc>
      </w:tr>
      <w:tr w:rsidR="007D35E8" w:rsidRPr="00164319" w14:paraId="0FFCB444" w14:textId="77777777" w:rsidTr="00D06D89">
        <w:trPr>
          <w:trHeight w:val="330"/>
        </w:trPr>
        <w:tc>
          <w:tcPr>
            <w:tcW w:w="1470" w:type="dxa"/>
            <w:vMerge/>
            <w:vAlign w:val="center"/>
            <w:hideMark/>
          </w:tcPr>
          <w:p w14:paraId="2554C42E"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178" w:type="dxa"/>
            <w:vMerge/>
            <w:vAlign w:val="center"/>
            <w:hideMark/>
          </w:tcPr>
          <w:p w14:paraId="3FF6CCC9"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shd w:val="clear" w:color="auto" w:fill="auto"/>
            <w:noWrap/>
            <w:vAlign w:val="center"/>
            <w:hideMark/>
          </w:tcPr>
          <w:p w14:paraId="7A1B1E12"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0117-DE-P27</w:t>
            </w:r>
          </w:p>
        </w:tc>
        <w:tc>
          <w:tcPr>
            <w:tcW w:w="1990" w:type="dxa"/>
            <w:shd w:val="clear" w:color="auto" w:fill="auto"/>
            <w:noWrap/>
            <w:vAlign w:val="center"/>
            <w:hideMark/>
          </w:tcPr>
          <w:p w14:paraId="7D5D9DAF"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Reacondicionamiento eléctrico del Edificio Plaza de la Justicia</w:t>
            </w:r>
          </w:p>
        </w:tc>
        <w:tc>
          <w:tcPr>
            <w:tcW w:w="3552" w:type="dxa"/>
            <w:shd w:val="clear" w:color="auto" w:fill="auto"/>
            <w:noWrap/>
            <w:vAlign w:val="center"/>
            <w:hideMark/>
          </w:tcPr>
          <w:p w14:paraId="0B773A3D" w14:textId="77777777" w:rsidR="00E8321A" w:rsidRPr="00164319" w:rsidRDefault="00E8321A" w:rsidP="00E24FCA">
            <w:pPr>
              <w:spacing w:after="0" w:line="240" w:lineRule="auto"/>
              <w:jc w:val="both"/>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Pendiente elaborar solicitud de cambio para notificar suspensión de proyecto</w:t>
            </w:r>
          </w:p>
        </w:tc>
        <w:tc>
          <w:tcPr>
            <w:tcW w:w="860" w:type="dxa"/>
            <w:shd w:val="clear" w:color="auto" w:fill="auto"/>
            <w:noWrap/>
            <w:vAlign w:val="center"/>
            <w:hideMark/>
          </w:tcPr>
          <w:p w14:paraId="7801ECC8"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Capítulo 2</w:t>
            </w:r>
          </w:p>
        </w:tc>
        <w:tc>
          <w:tcPr>
            <w:tcW w:w="911" w:type="dxa"/>
            <w:shd w:val="clear" w:color="auto" w:fill="auto"/>
            <w:noWrap/>
            <w:vAlign w:val="center"/>
            <w:hideMark/>
          </w:tcPr>
          <w:p w14:paraId="7CE59E74"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2.1</w:t>
            </w:r>
          </w:p>
        </w:tc>
      </w:tr>
      <w:tr w:rsidR="007D35E8" w:rsidRPr="00164319" w14:paraId="5C890E93" w14:textId="77777777" w:rsidTr="00D06D89">
        <w:trPr>
          <w:trHeight w:val="345"/>
        </w:trPr>
        <w:tc>
          <w:tcPr>
            <w:tcW w:w="1470" w:type="dxa"/>
            <w:vMerge/>
            <w:vAlign w:val="center"/>
            <w:hideMark/>
          </w:tcPr>
          <w:p w14:paraId="6C9C4C5F"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178" w:type="dxa"/>
            <w:vMerge/>
            <w:vAlign w:val="center"/>
            <w:hideMark/>
          </w:tcPr>
          <w:p w14:paraId="432AD724"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shd w:val="clear" w:color="auto" w:fill="auto"/>
            <w:noWrap/>
            <w:vAlign w:val="center"/>
            <w:hideMark/>
          </w:tcPr>
          <w:p w14:paraId="5D8C5904"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0117-DE-P49</w:t>
            </w:r>
          </w:p>
        </w:tc>
        <w:tc>
          <w:tcPr>
            <w:tcW w:w="1990" w:type="dxa"/>
            <w:shd w:val="clear" w:color="auto" w:fill="auto"/>
            <w:noWrap/>
            <w:vAlign w:val="center"/>
            <w:hideMark/>
          </w:tcPr>
          <w:p w14:paraId="6C3FDF98"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Proyecto del Subproceso de Gestión de Continuidad del Servicio</w:t>
            </w:r>
          </w:p>
        </w:tc>
        <w:tc>
          <w:tcPr>
            <w:tcW w:w="3552" w:type="dxa"/>
            <w:shd w:val="clear" w:color="auto" w:fill="auto"/>
            <w:noWrap/>
            <w:vAlign w:val="center"/>
            <w:hideMark/>
          </w:tcPr>
          <w:p w14:paraId="6971AEB2" w14:textId="77777777" w:rsidR="00E8321A" w:rsidRPr="00164319" w:rsidRDefault="00E8321A" w:rsidP="00E24FCA">
            <w:pPr>
              <w:spacing w:after="0" w:line="240" w:lineRule="auto"/>
              <w:jc w:val="both"/>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Realizar un ajuste a nivel de cronograma una vez que se tenga la recalificación de las plazas que serían en el 2023, por lo tanto, el proyecto no concluiría en el 2024, para pasar a ser una labor operativa.</w:t>
            </w:r>
          </w:p>
        </w:tc>
        <w:tc>
          <w:tcPr>
            <w:tcW w:w="860" w:type="dxa"/>
            <w:shd w:val="clear" w:color="auto" w:fill="auto"/>
            <w:noWrap/>
            <w:vAlign w:val="center"/>
            <w:hideMark/>
          </w:tcPr>
          <w:p w14:paraId="4947D2D5"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Capítulo 2</w:t>
            </w:r>
          </w:p>
        </w:tc>
        <w:tc>
          <w:tcPr>
            <w:tcW w:w="911" w:type="dxa"/>
            <w:shd w:val="clear" w:color="auto" w:fill="auto"/>
            <w:noWrap/>
            <w:vAlign w:val="center"/>
            <w:hideMark/>
          </w:tcPr>
          <w:p w14:paraId="63700BFF" w14:textId="77777777" w:rsidR="00E8321A" w:rsidRPr="00164319" w:rsidRDefault="00E8321A" w:rsidP="00B56C1A">
            <w:pPr>
              <w:spacing w:after="0" w:line="240" w:lineRule="auto"/>
              <w:jc w:val="center"/>
              <w:rPr>
                <w:rFonts w:ascii="Book Antiqua" w:eastAsia="Times New Roman" w:hAnsi="Book Antiqua" w:cs="Calibri"/>
                <w:color w:val="000000"/>
                <w:sz w:val="18"/>
                <w:szCs w:val="18"/>
                <w:lang w:eastAsia="es-CR"/>
              </w:rPr>
            </w:pPr>
            <w:r w:rsidRPr="00164319">
              <w:rPr>
                <w:rFonts w:ascii="Book Antiqua" w:eastAsia="Times New Roman" w:hAnsi="Book Antiqua" w:cs="Calibri"/>
                <w:color w:val="000000"/>
                <w:sz w:val="18"/>
                <w:szCs w:val="18"/>
                <w:lang w:eastAsia="es-CR"/>
              </w:rPr>
              <w:t>2.3</w:t>
            </w:r>
          </w:p>
        </w:tc>
      </w:tr>
    </w:tbl>
    <w:p w14:paraId="11010E8C" w14:textId="77777777" w:rsidR="00E8321A" w:rsidRPr="008F2C56" w:rsidRDefault="00E8321A" w:rsidP="00E8321A">
      <w:pPr>
        <w:spacing w:after="0" w:line="240" w:lineRule="auto"/>
        <w:jc w:val="both"/>
        <w:rPr>
          <w:rFonts w:ascii="Book Antiqua" w:hAnsi="Book Antiqua"/>
          <w:b/>
          <w:sz w:val="24"/>
          <w:szCs w:val="24"/>
          <w:highlight w:val="yellow"/>
        </w:rPr>
      </w:pPr>
    </w:p>
    <w:p w14:paraId="7097CEF9" w14:textId="77777777" w:rsidR="00E8321A" w:rsidRPr="00174798" w:rsidRDefault="00E8321A" w:rsidP="00EF4E17">
      <w:pPr>
        <w:numPr>
          <w:ilvl w:val="1"/>
          <w:numId w:val="20"/>
        </w:numPr>
        <w:spacing w:after="0" w:line="240" w:lineRule="auto"/>
        <w:ind w:left="567" w:hanging="567"/>
        <w:jc w:val="both"/>
        <w:rPr>
          <w:rFonts w:ascii="Book Antiqua" w:hAnsi="Book Antiqua"/>
          <w:sz w:val="24"/>
          <w:szCs w:val="24"/>
        </w:rPr>
      </w:pPr>
      <w:r w:rsidRPr="00174798">
        <w:rPr>
          <w:rFonts w:ascii="Book Antiqua" w:hAnsi="Book Antiqua"/>
          <w:sz w:val="24"/>
          <w:szCs w:val="24"/>
        </w:rPr>
        <w:lastRenderedPageBreak/>
        <w:t xml:space="preserve">También, deberá dar seguimiento a que, el </w:t>
      </w:r>
      <w:r w:rsidRPr="00174798">
        <w:rPr>
          <w:rFonts w:ascii="Book Antiqua" w:hAnsi="Book Antiqua"/>
          <w:b/>
          <w:bCs/>
          <w:sz w:val="24"/>
          <w:szCs w:val="24"/>
        </w:rPr>
        <w:t>Departamento de Proveeduría</w:t>
      </w:r>
      <w:r w:rsidRPr="00174798">
        <w:rPr>
          <w:rFonts w:ascii="Book Antiqua" w:hAnsi="Book Antiqua"/>
          <w:sz w:val="24"/>
          <w:szCs w:val="24"/>
        </w:rPr>
        <w:t xml:space="preserve">, a más tardar el </w:t>
      </w:r>
      <w:r w:rsidRPr="00373A06">
        <w:rPr>
          <w:rFonts w:ascii="Book Antiqua" w:hAnsi="Book Antiqua"/>
          <w:b/>
          <w:bCs/>
          <w:sz w:val="24"/>
          <w:szCs w:val="24"/>
        </w:rPr>
        <w:t>11 de agosto del 2023</w:t>
      </w:r>
      <w:r w:rsidRPr="00174798">
        <w:rPr>
          <w:rFonts w:ascii="Book Antiqua" w:hAnsi="Book Antiqua"/>
          <w:sz w:val="24"/>
          <w:szCs w:val="24"/>
        </w:rPr>
        <w:t xml:space="preserve">, cargue en el sitio de proyecto la atención de la siguiente recomendación: </w:t>
      </w:r>
    </w:p>
    <w:tbl>
      <w:tblPr>
        <w:tblW w:w="1078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691"/>
        <w:gridCol w:w="741"/>
        <w:gridCol w:w="1441"/>
        <w:gridCol w:w="3588"/>
        <w:gridCol w:w="860"/>
        <w:gridCol w:w="993"/>
      </w:tblGrid>
      <w:tr w:rsidR="0086493B" w:rsidRPr="00DA5059" w14:paraId="7A9625AB" w14:textId="77777777" w:rsidTr="00D06D89">
        <w:trPr>
          <w:trHeight w:val="315"/>
        </w:trPr>
        <w:tc>
          <w:tcPr>
            <w:tcW w:w="1470" w:type="dxa"/>
            <w:shd w:val="clear" w:color="000000" w:fill="44546A"/>
            <w:noWrap/>
            <w:vAlign w:val="center"/>
            <w:hideMark/>
          </w:tcPr>
          <w:p w14:paraId="0AEC168E" w14:textId="77777777" w:rsidR="00E8321A" w:rsidRPr="00DA5059" w:rsidRDefault="00E8321A" w:rsidP="00B56C1A">
            <w:pPr>
              <w:spacing w:after="0" w:line="240" w:lineRule="auto"/>
              <w:jc w:val="center"/>
              <w:rPr>
                <w:rFonts w:ascii="Book Antiqua" w:eastAsia="Times New Roman" w:hAnsi="Book Antiqua" w:cs="Calibri"/>
                <w:b/>
                <w:bCs/>
                <w:color w:val="FFFFFF"/>
                <w:sz w:val="18"/>
                <w:szCs w:val="18"/>
                <w:lang w:eastAsia="es-CR"/>
              </w:rPr>
            </w:pPr>
            <w:r w:rsidRPr="00DA5059">
              <w:rPr>
                <w:rFonts w:ascii="Book Antiqua" w:eastAsia="Times New Roman" w:hAnsi="Book Antiqua" w:cs="Calibri"/>
                <w:b/>
                <w:bCs/>
                <w:color w:val="FFFFFF"/>
                <w:sz w:val="18"/>
                <w:szCs w:val="18"/>
                <w:lang w:eastAsia="es-CR"/>
              </w:rPr>
              <w:t>Centro de responsabilidad</w:t>
            </w:r>
          </w:p>
        </w:tc>
        <w:tc>
          <w:tcPr>
            <w:tcW w:w="1691" w:type="dxa"/>
            <w:shd w:val="clear" w:color="000000" w:fill="44546A"/>
            <w:noWrap/>
            <w:vAlign w:val="center"/>
            <w:hideMark/>
          </w:tcPr>
          <w:p w14:paraId="1E29EEE0" w14:textId="77777777" w:rsidR="00E8321A" w:rsidRPr="00DA5059" w:rsidRDefault="00E8321A" w:rsidP="00B56C1A">
            <w:pPr>
              <w:spacing w:after="0" w:line="240" w:lineRule="auto"/>
              <w:jc w:val="center"/>
              <w:rPr>
                <w:rFonts w:ascii="Book Antiqua" w:eastAsia="Times New Roman" w:hAnsi="Book Antiqua" w:cs="Calibri"/>
                <w:b/>
                <w:bCs/>
                <w:color w:val="FFFFFF"/>
                <w:sz w:val="18"/>
                <w:szCs w:val="18"/>
                <w:lang w:eastAsia="es-CR"/>
              </w:rPr>
            </w:pPr>
            <w:r w:rsidRPr="00DA5059">
              <w:rPr>
                <w:rFonts w:ascii="Book Antiqua" w:eastAsia="Times New Roman" w:hAnsi="Book Antiqua" w:cs="Calibri"/>
                <w:b/>
                <w:bCs/>
                <w:color w:val="FFFFFF"/>
                <w:sz w:val="18"/>
                <w:szCs w:val="18"/>
                <w:lang w:eastAsia="es-CR"/>
              </w:rPr>
              <w:t>Oficina Líder</w:t>
            </w:r>
          </w:p>
        </w:tc>
        <w:tc>
          <w:tcPr>
            <w:tcW w:w="741" w:type="dxa"/>
            <w:shd w:val="clear" w:color="000000" w:fill="44546A"/>
            <w:noWrap/>
            <w:vAlign w:val="center"/>
            <w:hideMark/>
          </w:tcPr>
          <w:p w14:paraId="49BDBE13" w14:textId="77777777" w:rsidR="00E8321A" w:rsidRPr="00DA5059" w:rsidRDefault="00E8321A" w:rsidP="00B56C1A">
            <w:pPr>
              <w:spacing w:after="0" w:line="240" w:lineRule="auto"/>
              <w:jc w:val="center"/>
              <w:rPr>
                <w:rFonts w:ascii="Book Antiqua" w:eastAsia="Times New Roman" w:hAnsi="Book Antiqua" w:cs="Calibri"/>
                <w:b/>
                <w:bCs/>
                <w:color w:val="FFFFFF"/>
                <w:sz w:val="18"/>
                <w:szCs w:val="18"/>
                <w:lang w:eastAsia="es-CR"/>
              </w:rPr>
            </w:pPr>
            <w:r w:rsidRPr="00DA5059">
              <w:rPr>
                <w:rFonts w:ascii="Book Antiqua" w:eastAsia="Times New Roman" w:hAnsi="Book Antiqua" w:cs="Calibri"/>
                <w:b/>
                <w:bCs/>
                <w:color w:val="FFFFFF"/>
                <w:sz w:val="18"/>
                <w:szCs w:val="18"/>
                <w:lang w:eastAsia="es-CR"/>
              </w:rPr>
              <w:t>Código</w:t>
            </w:r>
          </w:p>
        </w:tc>
        <w:tc>
          <w:tcPr>
            <w:tcW w:w="1441" w:type="dxa"/>
            <w:shd w:val="clear" w:color="000000" w:fill="44546A"/>
            <w:noWrap/>
            <w:vAlign w:val="center"/>
            <w:hideMark/>
          </w:tcPr>
          <w:p w14:paraId="0F31A94F" w14:textId="77777777" w:rsidR="00E8321A" w:rsidRPr="00DA5059" w:rsidRDefault="00E8321A" w:rsidP="00B56C1A">
            <w:pPr>
              <w:spacing w:after="0" w:line="240" w:lineRule="auto"/>
              <w:jc w:val="center"/>
              <w:rPr>
                <w:rFonts w:ascii="Book Antiqua" w:eastAsia="Times New Roman" w:hAnsi="Book Antiqua" w:cs="Calibri"/>
                <w:b/>
                <w:bCs/>
                <w:color w:val="FFFFFF"/>
                <w:sz w:val="18"/>
                <w:szCs w:val="18"/>
                <w:lang w:eastAsia="es-CR"/>
              </w:rPr>
            </w:pPr>
            <w:r w:rsidRPr="00DA5059">
              <w:rPr>
                <w:rFonts w:ascii="Book Antiqua" w:eastAsia="Times New Roman" w:hAnsi="Book Antiqua" w:cs="Calibri"/>
                <w:b/>
                <w:bCs/>
                <w:color w:val="FFFFFF"/>
                <w:sz w:val="18"/>
                <w:szCs w:val="18"/>
                <w:lang w:eastAsia="es-CR"/>
              </w:rPr>
              <w:t>Nombre</w:t>
            </w:r>
          </w:p>
        </w:tc>
        <w:tc>
          <w:tcPr>
            <w:tcW w:w="3588" w:type="dxa"/>
            <w:shd w:val="clear" w:color="000000" w:fill="44546A"/>
            <w:noWrap/>
            <w:vAlign w:val="center"/>
            <w:hideMark/>
          </w:tcPr>
          <w:p w14:paraId="7F38FD55" w14:textId="77777777" w:rsidR="00E8321A" w:rsidRPr="00DA5059" w:rsidRDefault="00E8321A" w:rsidP="00B56C1A">
            <w:pPr>
              <w:spacing w:after="0" w:line="240" w:lineRule="auto"/>
              <w:jc w:val="center"/>
              <w:rPr>
                <w:rFonts w:ascii="Book Antiqua" w:eastAsia="Times New Roman" w:hAnsi="Book Antiqua" w:cs="Calibri"/>
                <w:b/>
                <w:bCs/>
                <w:color w:val="FFFFFF"/>
                <w:sz w:val="18"/>
                <w:szCs w:val="18"/>
                <w:lang w:eastAsia="es-CR"/>
              </w:rPr>
            </w:pPr>
            <w:r w:rsidRPr="00DA5059">
              <w:rPr>
                <w:rFonts w:ascii="Book Antiqua" w:eastAsia="Times New Roman" w:hAnsi="Book Antiqua" w:cs="Calibri"/>
                <w:b/>
                <w:bCs/>
                <w:color w:val="FFFFFF"/>
                <w:sz w:val="18"/>
                <w:szCs w:val="18"/>
                <w:lang w:eastAsia="es-CR"/>
              </w:rPr>
              <w:t>Recomendación pendiente</w:t>
            </w:r>
          </w:p>
        </w:tc>
        <w:tc>
          <w:tcPr>
            <w:tcW w:w="860" w:type="dxa"/>
            <w:shd w:val="clear" w:color="000000" w:fill="44546A"/>
            <w:noWrap/>
            <w:vAlign w:val="center"/>
            <w:hideMark/>
          </w:tcPr>
          <w:p w14:paraId="485BAA94" w14:textId="6C217748" w:rsidR="00E8321A" w:rsidRPr="00DA5059" w:rsidRDefault="005A1D93" w:rsidP="00B56C1A">
            <w:pPr>
              <w:spacing w:after="0" w:line="240" w:lineRule="auto"/>
              <w:jc w:val="center"/>
              <w:rPr>
                <w:rFonts w:ascii="Book Antiqua" w:eastAsia="Times New Roman" w:hAnsi="Book Antiqua" w:cs="Calibri"/>
                <w:b/>
                <w:bCs/>
                <w:color w:val="FFFFFF"/>
                <w:sz w:val="18"/>
                <w:szCs w:val="18"/>
                <w:lang w:eastAsia="es-CR"/>
              </w:rPr>
            </w:pPr>
            <w:r w:rsidRPr="00DA5059">
              <w:rPr>
                <w:rFonts w:ascii="Book Antiqua" w:eastAsia="Times New Roman" w:hAnsi="Book Antiqua" w:cs="Calibri"/>
                <w:b/>
                <w:bCs/>
                <w:color w:val="FFFFFF"/>
                <w:sz w:val="18"/>
                <w:szCs w:val="18"/>
                <w:lang w:eastAsia="es-CR"/>
              </w:rPr>
              <w:t>Capítulo</w:t>
            </w:r>
            <w:r w:rsidR="00E8321A" w:rsidRPr="00DA5059">
              <w:rPr>
                <w:rFonts w:ascii="Book Antiqua" w:eastAsia="Times New Roman" w:hAnsi="Book Antiqua" w:cs="Calibri"/>
                <w:b/>
                <w:bCs/>
                <w:color w:val="FFFFFF"/>
                <w:sz w:val="18"/>
                <w:szCs w:val="18"/>
                <w:lang w:eastAsia="es-CR"/>
              </w:rPr>
              <w:t xml:space="preserve"> del informe</w:t>
            </w:r>
          </w:p>
        </w:tc>
        <w:tc>
          <w:tcPr>
            <w:tcW w:w="993" w:type="dxa"/>
            <w:shd w:val="clear" w:color="000000" w:fill="44546A"/>
            <w:noWrap/>
            <w:vAlign w:val="center"/>
            <w:hideMark/>
          </w:tcPr>
          <w:p w14:paraId="7FABBD9D" w14:textId="77777777" w:rsidR="00E8321A" w:rsidRPr="00DA5059" w:rsidRDefault="00E8321A" w:rsidP="00B56C1A">
            <w:pPr>
              <w:spacing w:after="0" w:line="240" w:lineRule="auto"/>
              <w:jc w:val="center"/>
              <w:rPr>
                <w:rFonts w:ascii="Book Antiqua" w:eastAsia="Times New Roman" w:hAnsi="Book Antiqua" w:cs="Calibri"/>
                <w:b/>
                <w:bCs/>
                <w:color w:val="FFFFFF"/>
                <w:sz w:val="18"/>
                <w:szCs w:val="18"/>
                <w:lang w:eastAsia="es-CR"/>
              </w:rPr>
            </w:pPr>
            <w:r w:rsidRPr="00DA5059">
              <w:rPr>
                <w:rFonts w:ascii="Book Antiqua" w:eastAsia="Times New Roman" w:hAnsi="Book Antiqua" w:cs="Calibri"/>
                <w:b/>
                <w:bCs/>
                <w:color w:val="FFFFFF"/>
                <w:sz w:val="18"/>
                <w:szCs w:val="18"/>
                <w:lang w:eastAsia="es-CR"/>
              </w:rPr>
              <w:t>Apartado del informe</w:t>
            </w:r>
          </w:p>
        </w:tc>
      </w:tr>
      <w:tr w:rsidR="007D35E8" w:rsidRPr="00DA5059" w14:paraId="071B20AA" w14:textId="77777777" w:rsidTr="00D06D89">
        <w:trPr>
          <w:trHeight w:val="345"/>
        </w:trPr>
        <w:tc>
          <w:tcPr>
            <w:tcW w:w="1470" w:type="dxa"/>
            <w:vMerge w:val="restart"/>
            <w:shd w:val="clear" w:color="auto" w:fill="auto"/>
            <w:noWrap/>
            <w:vAlign w:val="center"/>
            <w:hideMark/>
          </w:tcPr>
          <w:p w14:paraId="6D301837"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Dirección Ejecutiva</w:t>
            </w:r>
          </w:p>
        </w:tc>
        <w:tc>
          <w:tcPr>
            <w:tcW w:w="1691" w:type="dxa"/>
            <w:vMerge w:val="restart"/>
            <w:shd w:val="clear" w:color="auto" w:fill="auto"/>
            <w:noWrap/>
            <w:vAlign w:val="center"/>
            <w:hideMark/>
          </w:tcPr>
          <w:p w14:paraId="691DE300"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0140 DEPARTAMENTO DE PROVEEDURIA</w:t>
            </w:r>
          </w:p>
        </w:tc>
        <w:tc>
          <w:tcPr>
            <w:tcW w:w="741" w:type="dxa"/>
            <w:shd w:val="clear" w:color="auto" w:fill="auto"/>
            <w:noWrap/>
            <w:vAlign w:val="center"/>
            <w:hideMark/>
          </w:tcPr>
          <w:p w14:paraId="3A9A5BEE"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0117-DE-P14</w:t>
            </w:r>
          </w:p>
        </w:tc>
        <w:tc>
          <w:tcPr>
            <w:tcW w:w="1441" w:type="dxa"/>
            <w:shd w:val="clear" w:color="auto" w:fill="auto"/>
            <w:noWrap/>
            <w:vAlign w:val="center"/>
            <w:hideMark/>
          </w:tcPr>
          <w:p w14:paraId="4EC586A3"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Implementación del Sistema de Compras Públicas</w:t>
            </w:r>
          </w:p>
        </w:tc>
        <w:tc>
          <w:tcPr>
            <w:tcW w:w="3588" w:type="dxa"/>
            <w:shd w:val="clear" w:color="auto" w:fill="auto"/>
            <w:noWrap/>
            <w:vAlign w:val="center"/>
            <w:hideMark/>
          </w:tcPr>
          <w:p w14:paraId="0ACAF881"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Producto de la solicitud de cambio del 4-5-23 pendiente:</w:t>
            </w:r>
            <w:r>
              <w:rPr>
                <w:rFonts w:ascii="Book Antiqua" w:eastAsia="Times New Roman" w:hAnsi="Book Antiqua" w:cs="Calibri"/>
                <w:color w:val="000000"/>
                <w:sz w:val="18"/>
                <w:szCs w:val="18"/>
                <w:lang w:eastAsia="es-CR"/>
              </w:rPr>
              <w:t xml:space="preserve"> </w:t>
            </w:r>
          </w:p>
          <w:p w14:paraId="27AC25D0"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DA5059">
              <w:rPr>
                <w:rFonts w:ascii="Book Antiqua" w:eastAsia="Times New Roman" w:hAnsi="Book Antiqua" w:cs="Calibri"/>
                <w:b/>
                <w:bCs/>
                <w:color w:val="000000"/>
                <w:sz w:val="18"/>
                <w:szCs w:val="18"/>
                <w:lang w:eastAsia="es-CR"/>
              </w:rPr>
              <w:t>Plan de gestión:</w:t>
            </w:r>
            <w:r w:rsidRPr="00DA5059">
              <w:rPr>
                <w:rFonts w:ascii="Book Antiqua" w:eastAsia="Times New Roman" w:hAnsi="Book Antiqua" w:cs="Calibri"/>
                <w:color w:val="000000"/>
                <w:sz w:val="18"/>
                <w:szCs w:val="18"/>
                <w:lang w:eastAsia="es-CR"/>
              </w:rPr>
              <w:t xml:space="preserve"> el diagrama de la EDT le falta la fase de cierre, igualmente en el cuadro de detalle de los entregables falta el 4.1. </w:t>
            </w:r>
          </w:p>
          <w:p w14:paraId="123351D7" w14:textId="77777777" w:rsidR="00E8321A" w:rsidRPr="00DA5059" w:rsidRDefault="00E8321A" w:rsidP="00E24FCA">
            <w:pPr>
              <w:spacing w:after="0" w:line="240" w:lineRule="auto"/>
              <w:jc w:val="both"/>
              <w:rPr>
                <w:rFonts w:ascii="Book Antiqua" w:eastAsia="Times New Roman" w:hAnsi="Book Antiqua" w:cs="Calibri"/>
                <w:color w:val="000000"/>
                <w:sz w:val="18"/>
                <w:szCs w:val="18"/>
                <w:lang w:eastAsia="es-CR"/>
              </w:rPr>
            </w:pPr>
            <w:r w:rsidRPr="00DA5059">
              <w:rPr>
                <w:rFonts w:ascii="Book Antiqua" w:eastAsia="Times New Roman" w:hAnsi="Book Antiqua" w:cs="Calibri"/>
                <w:b/>
                <w:bCs/>
                <w:color w:val="000000"/>
                <w:sz w:val="18"/>
                <w:szCs w:val="18"/>
                <w:lang w:eastAsia="es-CR"/>
              </w:rPr>
              <w:t>Acta de constitución:</w:t>
            </w:r>
            <w:r w:rsidRPr="00DA5059">
              <w:rPr>
                <w:rFonts w:ascii="Book Antiqua" w:eastAsia="Times New Roman" w:hAnsi="Book Antiqua" w:cs="Calibri"/>
                <w:color w:val="000000"/>
                <w:sz w:val="18"/>
                <w:szCs w:val="18"/>
                <w:lang w:eastAsia="es-CR"/>
              </w:rPr>
              <w:t xml:space="preserve"> cronograma de alto nivel se debe incluir de la fase de ejecución los años en el cual se pretende  finalizar con cada entregable; recursos del proyecto en este se debe indicar los montos tal como se mencionan en el plan de gestión en el apartado de presupuesto; Factores críticos de éxito, se debe indicar lo mismo que se menciona en el plan de gestión en el apartado de alcance dentro del cuadro; equipo del proyecto debe establecerse los roles y nombre de las personas que conforman todo el proyecto desde el patrocinador hasta el equipo de proyecto.</w:t>
            </w:r>
          </w:p>
        </w:tc>
        <w:tc>
          <w:tcPr>
            <w:tcW w:w="860" w:type="dxa"/>
            <w:shd w:val="clear" w:color="auto" w:fill="auto"/>
            <w:noWrap/>
            <w:vAlign w:val="center"/>
            <w:hideMark/>
          </w:tcPr>
          <w:p w14:paraId="55D75E33"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Capítulo 2</w:t>
            </w:r>
          </w:p>
        </w:tc>
        <w:tc>
          <w:tcPr>
            <w:tcW w:w="993" w:type="dxa"/>
            <w:shd w:val="clear" w:color="auto" w:fill="auto"/>
            <w:noWrap/>
            <w:vAlign w:val="center"/>
            <w:hideMark/>
          </w:tcPr>
          <w:p w14:paraId="4245B41A"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2.1</w:t>
            </w:r>
          </w:p>
        </w:tc>
      </w:tr>
      <w:tr w:rsidR="007D35E8" w:rsidRPr="00DA5059" w14:paraId="1294E228" w14:textId="77777777" w:rsidTr="00D06D89">
        <w:trPr>
          <w:trHeight w:val="300"/>
        </w:trPr>
        <w:tc>
          <w:tcPr>
            <w:tcW w:w="1470" w:type="dxa"/>
            <w:vMerge/>
            <w:shd w:val="clear" w:color="auto" w:fill="auto"/>
            <w:vAlign w:val="center"/>
            <w:hideMark/>
          </w:tcPr>
          <w:p w14:paraId="36C0DDB8"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691" w:type="dxa"/>
            <w:vMerge/>
            <w:shd w:val="clear" w:color="auto" w:fill="auto"/>
            <w:vAlign w:val="center"/>
            <w:hideMark/>
          </w:tcPr>
          <w:p w14:paraId="2006AC05"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vMerge w:val="restart"/>
            <w:shd w:val="clear" w:color="auto" w:fill="auto"/>
            <w:noWrap/>
            <w:vAlign w:val="center"/>
            <w:hideMark/>
          </w:tcPr>
          <w:p w14:paraId="3B01FCEE"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0117-DE-P29</w:t>
            </w:r>
          </w:p>
        </w:tc>
        <w:tc>
          <w:tcPr>
            <w:tcW w:w="1441" w:type="dxa"/>
            <w:vMerge w:val="restart"/>
            <w:shd w:val="clear" w:color="auto" w:fill="auto"/>
            <w:noWrap/>
            <w:vAlign w:val="center"/>
            <w:hideMark/>
          </w:tcPr>
          <w:p w14:paraId="56510A61"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Sistema de Inventario y Materiales de la Proveeduría</w:t>
            </w:r>
          </w:p>
        </w:tc>
        <w:tc>
          <w:tcPr>
            <w:tcW w:w="3588" w:type="dxa"/>
            <w:shd w:val="clear" w:color="auto" w:fill="auto"/>
            <w:noWrap/>
            <w:vAlign w:val="center"/>
            <w:hideMark/>
          </w:tcPr>
          <w:p w14:paraId="7E0815DC" w14:textId="77777777" w:rsidR="00E8321A" w:rsidRPr="00DA5059" w:rsidRDefault="00E8321A" w:rsidP="00E24FCA">
            <w:pPr>
              <w:spacing w:after="0" w:line="240" w:lineRule="auto"/>
              <w:jc w:val="both"/>
              <w:rPr>
                <w:rFonts w:ascii="Book Antiqua" w:eastAsia="Times New Roman" w:hAnsi="Book Antiqua" w:cs="Calibri"/>
                <w:color w:val="444444"/>
                <w:sz w:val="18"/>
                <w:szCs w:val="18"/>
                <w:lang w:eastAsia="es-CR"/>
              </w:rPr>
            </w:pPr>
            <w:r w:rsidRPr="00DA5059">
              <w:rPr>
                <w:rFonts w:ascii="Book Antiqua" w:eastAsia="Times New Roman" w:hAnsi="Book Antiqua" w:cs="Calibri"/>
                <w:color w:val="444444"/>
                <w:sz w:val="18"/>
                <w:szCs w:val="18"/>
                <w:lang w:eastAsia="es-CR"/>
              </w:rPr>
              <w:t>No se corrigió el informe de avance de diciembre</w:t>
            </w:r>
            <w:r w:rsidRPr="00DA5059">
              <w:rPr>
                <w:rFonts w:ascii="Book Antiqua" w:eastAsia="Times New Roman" w:hAnsi="Book Antiqua" w:cs="Calibri"/>
                <w:color w:val="000000"/>
                <w:sz w:val="18"/>
                <w:szCs w:val="18"/>
                <w:lang w:eastAsia="es-CR"/>
              </w:rPr>
              <w:t xml:space="preserve"> presentaba incorrecto el porcentaje real</w:t>
            </w:r>
            <w:r w:rsidRPr="00DA5059">
              <w:rPr>
                <w:rFonts w:ascii="Book Antiqua" w:eastAsia="Times New Roman" w:hAnsi="Book Antiqua" w:cs="Calibri"/>
                <w:color w:val="444444"/>
                <w:sz w:val="18"/>
                <w:szCs w:val="18"/>
                <w:lang w:eastAsia="es-CR"/>
              </w:rPr>
              <w:t>, ni se justifica los motivos por los cuales no se corrige el informe.</w:t>
            </w:r>
          </w:p>
        </w:tc>
        <w:tc>
          <w:tcPr>
            <w:tcW w:w="860" w:type="dxa"/>
            <w:shd w:val="clear" w:color="auto" w:fill="auto"/>
            <w:noWrap/>
            <w:vAlign w:val="center"/>
            <w:hideMark/>
          </w:tcPr>
          <w:p w14:paraId="173B84F9"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Capítulo 1</w:t>
            </w:r>
          </w:p>
        </w:tc>
        <w:tc>
          <w:tcPr>
            <w:tcW w:w="993" w:type="dxa"/>
            <w:shd w:val="clear" w:color="auto" w:fill="auto"/>
            <w:noWrap/>
            <w:vAlign w:val="center"/>
            <w:hideMark/>
          </w:tcPr>
          <w:p w14:paraId="6168F53C"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1.12</w:t>
            </w:r>
          </w:p>
        </w:tc>
      </w:tr>
      <w:tr w:rsidR="007D35E8" w:rsidRPr="00DA5059" w14:paraId="045BDD73" w14:textId="77777777" w:rsidTr="00D06D89">
        <w:trPr>
          <w:trHeight w:val="300"/>
        </w:trPr>
        <w:tc>
          <w:tcPr>
            <w:tcW w:w="1470" w:type="dxa"/>
            <w:vMerge/>
            <w:shd w:val="clear" w:color="auto" w:fill="auto"/>
            <w:vAlign w:val="center"/>
            <w:hideMark/>
          </w:tcPr>
          <w:p w14:paraId="74B4C676"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691" w:type="dxa"/>
            <w:vMerge/>
            <w:shd w:val="clear" w:color="auto" w:fill="auto"/>
            <w:vAlign w:val="center"/>
            <w:hideMark/>
          </w:tcPr>
          <w:p w14:paraId="562E83F8"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vMerge/>
            <w:shd w:val="clear" w:color="auto" w:fill="auto"/>
            <w:vAlign w:val="center"/>
            <w:hideMark/>
          </w:tcPr>
          <w:p w14:paraId="51899889"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441" w:type="dxa"/>
            <w:vMerge/>
            <w:shd w:val="clear" w:color="auto" w:fill="auto"/>
            <w:vAlign w:val="center"/>
            <w:hideMark/>
          </w:tcPr>
          <w:p w14:paraId="26AD98A3"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3588" w:type="dxa"/>
            <w:shd w:val="clear" w:color="auto" w:fill="auto"/>
            <w:noWrap/>
            <w:vAlign w:val="center"/>
            <w:hideMark/>
          </w:tcPr>
          <w:p w14:paraId="6CC56906"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 xml:space="preserve">Pendiente: </w:t>
            </w:r>
          </w:p>
          <w:p w14:paraId="6C5AF3C7"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DA5059">
              <w:rPr>
                <w:rFonts w:ascii="Book Antiqua" w:eastAsia="Times New Roman" w:hAnsi="Book Antiqua" w:cs="Calibri"/>
                <w:b/>
                <w:bCs/>
                <w:color w:val="000000"/>
                <w:sz w:val="18"/>
                <w:szCs w:val="18"/>
                <w:lang w:eastAsia="es-CR"/>
              </w:rPr>
              <w:t>Plan de gestión:</w:t>
            </w:r>
            <w:r w:rsidRPr="00DA5059">
              <w:rPr>
                <w:rFonts w:ascii="Book Antiqua" w:eastAsia="Times New Roman" w:hAnsi="Book Antiqua" w:cs="Calibri"/>
                <w:color w:val="000000"/>
                <w:sz w:val="18"/>
                <w:szCs w:val="18"/>
                <w:lang w:eastAsia="es-CR"/>
              </w:rPr>
              <w:t xml:space="preserve"> actualizar fecha de finalización, objetivo se menciona 20 meses, pero se extendió el cronograma; administración de riesgo no abre;</w:t>
            </w:r>
            <w:r>
              <w:rPr>
                <w:rFonts w:ascii="Book Antiqua" w:eastAsia="Times New Roman" w:hAnsi="Book Antiqua" w:cs="Calibri"/>
                <w:color w:val="000000"/>
                <w:sz w:val="18"/>
                <w:szCs w:val="18"/>
                <w:lang w:eastAsia="es-CR"/>
              </w:rPr>
              <w:t xml:space="preserve"> </w:t>
            </w:r>
            <w:r w:rsidRPr="00DA5059">
              <w:rPr>
                <w:rFonts w:ascii="Book Antiqua" w:eastAsia="Times New Roman" w:hAnsi="Book Antiqua" w:cs="Calibri"/>
                <w:color w:val="000000"/>
                <w:sz w:val="18"/>
                <w:szCs w:val="18"/>
                <w:lang w:eastAsia="es-CR"/>
              </w:rPr>
              <w:t xml:space="preserve">Detalle del presupuesto del proyecto falta incluir los recursos humanos por todo el periodo del proyecto; el cronograma inserto esta desactualizado (La versión de mayo corresponde a formato de metodología de DTI y no la institucional). </w:t>
            </w:r>
          </w:p>
          <w:p w14:paraId="78470902"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DA5059">
              <w:rPr>
                <w:rFonts w:ascii="Book Antiqua" w:eastAsia="Times New Roman" w:hAnsi="Book Antiqua" w:cs="Calibri"/>
                <w:b/>
                <w:bCs/>
                <w:color w:val="000000"/>
                <w:sz w:val="18"/>
                <w:szCs w:val="18"/>
                <w:lang w:eastAsia="es-CR"/>
              </w:rPr>
              <w:t>Acta de constitución:</w:t>
            </w:r>
            <w:r w:rsidRPr="00DA5059">
              <w:rPr>
                <w:rFonts w:ascii="Book Antiqua" w:eastAsia="Times New Roman" w:hAnsi="Book Antiqua" w:cs="Calibri"/>
                <w:color w:val="000000"/>
                <w:sz w:val="18"/>
                <w:szCs w:val="18"/>
                <w:lang w:eastAsia="es-CR"/>
              </w:rPr>
              <w:t xml:space="preserve"> pendiente indicar código; fecha de finalización incorrecta; ; cronograma de alto nivel no se indica los años de los entregables o el tiempo para cada uno; recurso del proyecto no coincide con plan de gestión; Equipo de trabajo del proyecto se debe indicar el rol de cada uno. </w:t>
            </w:r>
          </w:p>
          <w:p w14:paraId="58318B56" w14:textId="77777777" w:rsidR="00E8321A" w:rsidRPr="00DA5059" w:rsidRDefault="00E8321A" w:rsidP="00E24FCA">
            <w:pPr>
              <w:spacing w:after="0" w:line="240" w:lineRule="auto"/>
              <w:jc w:val="both"/>
              <w:rPr>
                <w:rFonts w:ascii="Book Antiqua" w:eastAsia="Times New Roman" w:hAnsi="Book Antiqua" w:cs="Calibri"/>
                <w:color w:val="000000"/>
                <w:sz w:val="18"/>
                <w:szCs w:val="18"/>
                <w:lang w:eastAsia="es-CR"/>
              </w:rPr>
            </w:pPr>
            <w:r w:rsidRPr="00DA5059">
              <w:rPr>
                <w:rFonts w:ascii="Book Antiqua" w:eastAsia="Times New Roman" w:hAnsi="Book Antiqua" w:cs="Calibri"/>
                <w:b/>
                <w:bCs/>
                <w:color w:val="000000"/>
                <w:sz w:val="18"/>
                <w:szCs w:val="18"/>
                <w:lang w:eastAsia="es-CR"/>
              </w:rPr>
              <w:t>Estudio de factibilidad</w:t>
            </w:r>
            <w:r w:rsidRPr="00DA5059">
              <w:rPr>
                <w:rFonts w:ascii="Book Antiqua" w:eastAsia="Times New Roman" w:hAnsi="Book Antiqua" w:cs="Calibri"/>
                <w:color w:val="000000"/>
                <w:sz w:val="18"/>
                <w:szCs w:val="18"/>
                <w:lang w:eastAsia="es-CR"/>
              </w:rPr>
              <w:t xml:space="preserve"> costos de operación se debe indicar no aplica.</w:t>
            </w:r>
          </w:p>
        </w:tc>
        <w:tc>
          <w:tcPr>
            <w:tcW w:w="860" w:type="dxa"/>
            <w:shd w:val="clear" w:color="auto" w:fill="auto"/>
            <w:noWrap/>
            <w:vAlign w:val="center"/>
            <w:hideMark/>
          </w:tcPr>
          <w:p w14:paraId="7FBB3496"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Capítulo 1</w:t>
            </w:r>
          </w:p>
        </w:tc>
        <w:tc>
          <w:tcPr>
            <w:tcW w:w="993" w:type="dxa"/>
            <w:shd w:val="clear" w:color="auto" w:fill="auto"/>
            <w:noWrap/>
            <w:vAlign w:val="center"/>
            <w:hideMark/>
          </w:tcPr>
          <w:p w14:paraId="4BDD503C"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1.12</w:t>
            </w:r>
          </w:p>
        </w:tc>
      </w:tr>
      <w:tr w:rsidR="007D35E8" w:rsidRPr="00DA5059" w14:paraId="0A99E56F" w14:textId="77777777" w:rsidTr="00D06D89">
        <w:trPr>
          <w:trHeight w:val="330"/>
        </w:trPr>
        <w:tc>
          <w:tcPr>
            <w:tcW w:w="1470" w:type="dxa"/>
            <w:vMerge/>
            <w:shd w:val="clear" w:color="auto" w:fill="auto"/>
            <w:vAlign w:val="center"/>
            <w:hideMark/>
          </w:tcPr>
          <w:p w14:paraId="534B3B79"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691" w:type="dxa"/>
            <w:vMerge/>
            <w:shd w:val="clear" w:color="auto" w:fill="auto"/>
            <w:vAlign w:val="center"/>
            <w:hideMark/>
          </w:tcPr>
          <w:p w14:paraId="083581BA"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vMerge/>
            <w:shd w:val="clear" w:color="auto" w:fill="auto"/>
            <w:vAlign w:val="center"/>
            <w:hideMark/>
          </w:tcPr>
          <w:p w14:paraId="07BE7E36"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441" w:type="dxa"/>
            <w:vMerge/>
            <w:shd w:val="clear" w:color="auto" w:fill="auto"/>
            <w:vAlign w:val="center"/>
            <w:hideMark/>
          </w:tcPr>
          <w:p w14:paraId="31FC9597"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3588" w:type="dxa"/>
            <w:shd w:val="clear" w:color="auto" w:fill="auto"/>
            <w:noWrap/>
            <w:vAlign w:val="center"/>
            <w:hideMark/>
          </w:tcPr>
          <w:p w14:paraId="42038FA2" w14:textId="50AEC136" w:rsidR="00E8321A" w:rsidRPr="00DA5059" w:rsidRDefault="00E8321A" w:rsidP="00E24FCA">
            <w:pPr>
              <w:spacing w:after="0" w:line="240" w:lineRule="auto"/>
              <w:jc w:val="both"/>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 xml:space="preserve">Porcentaje esperado diferentes al calculado en el Project muestra un 77% y no un 76%. </w:t>
            </w:r>
            <w:r w:rsidR="005A1D93" w:rsidRPr="00DA5059">
              <w:rPr>
                <w:rFonts w:ascii="Book Antiqua" w:eastAsia="Times New Roman" w:hAnsi="Book Antiqua" w:cs="Calibri"/>
                <w:color w:val="000000"/>
                <w:sz w:val="18"/>
                <w:szCs w:val="18"/>
                <w:lang w:eastAsia="es-CR"/>
              </w:rPr>
              <w:lastRenderedPageBreak/>
              <w:t>Igualmente,</w:t>
            </w:r>
            <w:r w:rsidRPr="00DA5059">
              <w:rPr>
                <w:rFonts w:ascii="Book Antiqua" w:eastAsia="Times New Roman" w:hAnsi="Book Antiqua" w:cs="Calibri"/>
                <w:color w:val="000000"/>
                <w:sz w:val="18"/>
                <w:szCs w:val="18"/>
                <w:lang w:eastAsia="es-CR"/>
              </w:rPr>
              <w:t xml:space="preserve"> el porcentaje actual, no coincide con el cronograma del </w:t>
            </w:r>
            <w:proofErr w:type="spellStart"/>
            <w:r w:rsidRPr="00DA5059">
              <w:rPr>
                <w:rFonts w:ascii="Book Antiqua" w:eastAsia="Times New Roman" w:hAnsi="Book Antiqua" w:cs="Calibri"/>
                <w:color w:val="000000"/>
                <w:sz w:val="18"/>
                <w:szCs w:val="18"/>
                <w:lang w:eastAsia="es-CR"/>
              </w:rPr>
              <w:t>project</w:t>
            </w:r>
            <w:proofErr w:type="spellEnd"/>
            <w:r w:rsidRPr="00DA5059">
              <w:rPr>
                <w:rFonts w:ascii="Book Antiqua" w:eastAsia="Times New Roman" w:hAnsi="Book Antiqua" w:cs="Calibri"/>
                <w:color w:val="000000"/>
                <w:sz w:val="18"/>
                <w:szCs w:val="18"/>
                <w:lang w:eastAsia="es-CR"/>
              </w:rPr>
              <w:t xml:space="preserve"> el cual </w:t>
            </w:r>
            <w:r w:rsidR="005A1D93" w:rsidRPr="00DA5059">
              <w:rPr>
                <w:rFonts w:ascii="Book Antiqua" w:eastAsia="Times New Roman" w:hAnsi="Book Antiqua" w:cs="Calibri"/>
                <w:color w:val="000000"/>
                <w:sz w:val="18"/>
                <w:szCs w:val="18"/>
                <w:lang w:eastAsia="es-CR"/>
              </w:rPr>
              <w:t>está</w:t>
            </w:r>
            <w:r w:rsidRPr="00DA5059">
              <w:rPr>
                <w:rFonts w:ascii="Book Antiqua" w:eastAsia="Times New Roman" w:hAnsi="Book Antiqua" w:cs="Calibri"/>
                <w:color w:val="000000"/>
                <w:sz w:val="18"/>
                <w:szCs w:val="18"/>
                <w:lang w:eastAsia="es-CR"/>
              </w:rPr>
              <w:t xml:space="preserve"> en 38%.</w:t>
            </w:r>
          </w:p>
        </w:tc>
        <w:tc>
          <w:tcPr>
            <w:tcW w:w="860" w:type="dxa"/>
            <w:shd w:val="clear" w:color="auto" w:fill="auto"/>
            <w:noWrap/>
            <w:vAlign w:val="center"/>
            <w:hideMark/>
          </w:tcPr>
          <w:p w14:paraId="1DAA0229" w14:textId="6A04723E" w:rsidR="00E8321A" w:rsidRPr="00DA5059" w:rsidRDefault="005A1D93" w:rsidP="00B56C1A">
            <w:pPr>
              <w:spacing w:after="0" w:line="240" w:lineRule="auto"/>
              <w:jc w:val="center"/>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lastRenderedPageBreak/>
              <w:t>Capítulo</w:t>
            </w:r>
            <w:r w:rsidR="00E8321A" w:rsidRPr="00DA5059">
              <w:rPr>
                <w:rFonts w:ascii="Book Antiqua" w:eastAsia="Times New Roman" w:hAnsi="Book Antiqua" w:cs="Calibri"/>
                <w:color w:val="000000"/>
                <w:sz w:val="18"/>
                <w:szCs w:val="18"/>
                <w:lang w:eastAsia="es-CR"/>
              </w:rPr>
              <w:t xml:space="preserve"> 2</w:t>
            </w:r>
          </w:p>
        </w:tc>
        <w:tc>
          <w:tcPr>
            <w:tcW w:w="993" w:type="dxa"/>
            <w:shd w:val="clear" w:color="auto" w:fill="auto"/>
            <w:noWrap/>
            <w:vAlign w:val="center"/>
            <w:hideMark/>
          </w:tcPr>
          <w:p w14:paraId="1E219D3D"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2.1</w:t>
            </w:r>
          </w:p>
        </w:tc>
      </w:tr>
      <w:tr w:rsidR="007D35E8" w:rsidRPr="00DA5059" w14:paraId="5B3F05FF" w14:textId="77777777" w:rsidTr="00D06D89">
        <w:trPr>
          <w:trHeight w:val="330"/>
        </w:trPr>
        <w:tc>
          <w:tcPr>
            <w:tcW w:w="1470" w:type="dxa"/>
            <w:vMerge/>
            <w:shd w:val="clear" w:color="auto" w:fill="auto"/>
            <w:vAlign w:val="center"/>
            <w:hideMark/>
          </w:tcPr>
          <w:p w14:paraId="4D03969C"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691" w:type="dxa"/>
            <w:vMerge/>
            <w:shd w:val="clear" w:color="auto" w:fill="auto"/>
            <w:vAlign w:val="center"/>
            <w:hideMark/>
          </w:tcPr>
          <w:p w14:paraId="1DB5BCDC"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vMerge/>
            <w:shd w:val="clear" w:color="auto" w:fill="auto"/>
            <w:vAlign w:val="center"/>
            <w:hideMark/>
          </w:tcPr>
          <w:p w14:paraId="601B03C2"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441" w:type="dxa"/>
            <w:vMerge/>
            <w:shd w:val="clear" w:color="auto" w:fill="auto"/>
            <w:vAlign w:val="center"/>
            <w:hideMark/>
          </w:tcPr>
          <w:p w14:paraId="076C2064"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3588" w:type="dxa"/>
            <w:shd w:val="clear" w:color="auto" w:fill="auto"/>
            <w:noWrap/>
            <w:vAlign w:val="center"/>
            <w:hideMark/>
          </w:tcPr>
          <w:p w14:paraId="5A2359EB" w14:textId="77777777" w:rsidR="00E8321A" w:rsidRPr="00DA5059" w:rsidRDefault="00E8321A" w:rsidP="00E24FCA">
            <w:pPr>
              <w:spacing w:after="0" w:line="240" w:lineRule="auto"/>
              <w:jc w:val="both"/>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Pendiente aprobación de solicitud de cambio</w:t>
            </w:r>
          </w:p>
        </w:tc>
        <w:tc>
          <w:tcPr>
            <w:tcW w:w="860" w:type="dxa"/>
            <w:shd w:val="clear" w:color="auto" w:fill="auto"/>
            <w:noWrap/>
            <w:vAlign w:val="center"/>
            <w:hideMark/>
          </w:tcPr>
          <w:p w14:paraId="193D720D" w14:textId="5335E8A4" w:rsidR="00E8321A" w:rsidRPr="00DA5059" w:rsidRDefault="005A1D93" w:rsidP="00B56C1A">
            <w:pPr>
              <w:spacing w:after="0" w:line="240" w:lineRule="auto"/>
              <w:jc w:val="center"/>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Capítulo</w:t>
            </w:r>
            <w:r w:rsidR="00E8321A" w:rsidRPr="00DA5059">
              <w:rPr>
                <w:rFonts w:ascii="Book Antiqua" w:eastAsia="Times New Roman" w:hAnsi="Book Antiqua" w:cs="Calibri"/>
                <w:color w:val="000000"/>
                <w:sz w:val="18"/>
                <w:szCs w:val="18"/>
                <w:lang w:eastAsia="es-CR"/>
              </w:rPr>
              <w:t xml:space="preserve"> 2</w:t>
            </w:r>
          </w:p>
        </w:tc>
        <w:tc>
          <w:tcPr>
            <w:tcW w:w="993" w:type="dxa"/>
            <w:shd w:val="clear" w:color="auto" w:fill="auto"/>
            <w:noWrap/>
            <w:vAlign w:val="center"/>
            <w:hideMark/>
          </w:tcPr>
          <w:p w14:paraId="654D22DB"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2.3</w:t>
            </w:r>
          </w:p>
        </w:tc>
      </w:tr>
      <w:tr w:rsidR="007D35E8" w:rsidRPr="00DA5059" w14:paraId="7A9B47D3" w14:textId="77777777" w:rsidTr="00D06D89">
        <w:trPr>
          <w:trHeight w:val="330"/>
        </w:trPr>
        <w:tc>
          <w:tcPr>
            <w:tcW w:w="1470" w:type="dxa"/>
            <w:vMerge/>
            <w:shd w:val="clear" w:color="auto" w:fill="auto"/>
            <w:vAlign w:val="center"/>
            <w:hideMark/>
          </w:tcPr>
          <w:p w14:paraId="1BD5EAB2"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691" w:type="dxa"/>
            <w:vMerge/>
            <w:shd w:val="clear" w:color="auto" w:fill="auto"/>
            <w:vAlign w:val="center"/>
            <w:hideMark/>
          </w:tcPr>
          <w:p w14:paraId="78996715"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vMerge/>
            <w:shd w:val="clear" w:color="auto" w:fill="auto"/>
            <w:vAlign w:val="center"/>
            <w:hideMark/>
          </w:tcPr>
          <w:p w14:paraId="30148837"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441" w:type="dxa"/>
            <w:vMerge/>
            <w:shd w:val="clear" w:color="auto" w:fill="auto"/>
            <w:vAlign w:val="center"/>
            <w:hideMark/>
          </w:tcPr>
          <w:p w14:paraId="1EBA7BED"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3588" w:type="dxa"/>
            <w:shd w:val="clear" w:color="auto" w:fill="auto"/>
            <w:noWrap/>
            <w:vAlign w:val="center"/>
            <w:hideMark/>
          </w:tcPr>
          <w:p w14:paraId="7330F3AF" w14:textId="77777777" w:rsidR="00E8321A" w:rsidRPr="00DA5059" w:rsidRDefault="00E8321A" w:rsidP="00E24FCA">
            <w:pPr>
              <w:spacing w:after="0" w:line="240" w:lineRule="auto"/>
              <w:jc w:val="both"/>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Pendiente actualizar cronograma producto de la solicitud de cambio del 7-3-23.</w:t>
            </w:r>
          </w:p>
        </w:tc>
        <w:tc>
          <w:tcPr>
            <w:tcW w:w="860" w:type="dxa"/>
            <w:shd w:val="clear" w:color="auto" w:fill="auto"/>
            <w:noWrap/>
            <w:vAlign w:val="center"/>
            <w:hideMark/>
          </w:tcPr>
          <w:p w14:paraId="38017071" w14:textId="401414D1" w:rsidR="00E8321A" w:rsidRPr="00DA5059" w:rsidRDefault="005A1D93" w:rsidP="00B56C1A">
            <w:pPr>
              <w:spacing w:after="0" w:line="240" w:lineRule="auto"/>
              <w:jc w:val="center"/>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Capítulo</w:t>
            </w:r>
            <w:r w:rsidR="00E8321A" w:rsidRPr="00DA5059">
              <w:rPr>
                <w:rFonts w:ascii="Book Antiqua" w:eastAsia="Times New Roman" w:hAnsi="Book Antiqua" w:cs="Calibri"/>
                <w:color w:val="000000"/>
                <w:sz w:val="18"/>
                <w:szCs w:val="18"/>
                <w:lang w:eastAsia="es-CR"/>
              </w:rPr>
              <w:t xml:space="preserve"> 2</w:t>
            </w:r>
          </w:p>
        </w:tc>
        <w:tc>
          <w:tcPr>
            <w:tcW w:w="993" w:type="dxa"/>
            <w:shd w:val="clear" w:color="auto" w:fill="auto"/>
            <w:noWrap/>
            <w:vAlign w:val="center"/>
            <w:hideMark/>
          </w:tcPr>
          <w:p w14:paraId="2A43803C"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2.3</w:t>
            </w:r>
          </w:p>
        </w:tc>
      </w:tr>
      <w:tr w:rsidR="007D35E8" w:rsidRPr="00DA5059" w14:paraId="1AA7C74A" w14:textId="77777777" w:rsidTr="00D06D89">
        <w:trPr>
          <w:trHeight w:val="330"/>
        </w:trPr>
        <w:tc>
          <w:tcPr>
            <w:tcW w:w="1470" w:type="dxa"/>
            <w:vMerge/>
            <w:shd w:val="clear" w:color="auto" w:fill="auto"/>
            <w:vAlign w:val="center"/>
            <w:hideMark/>
          </w:tcPr>
          <w:p w14:paraId="321F552D"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691" w:type="dxa"/>
            <w:vMerge/>
            <w:shd w:val="clear" w:color="auto" w:fill="auto"/>
            <w:vAlign w:val="center"/>
            <w:hideMark/>
          </w:tcPr>
          <w:p w14:paraId="77136BFF"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vMerge/>
            <w:shd w:val="clear" w:color="auto" w:fill="auto"/>
            <w:vAlign w:val="center"/>
            <w:hideMark/>
          </w:tcPr>
          <w:p w14:paraId="3F230EDF"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441" w:type="dxa"/>
            <w:vMerge/>
            <w:shd w:val="clear" w:color="auto" w:fill="auto"/>
            <w:vAlign w:val="center"/>
            <w:hideMark/>
          </w:tcPr>
          <w:p w14:paraId="3EFE56F4"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3588" w:type="dxa"/>
            <w:shd w:val="clear" w:color="auto" w:fill="auto"/>
            <w:noWrap/>
            <w:vAlign w:val="center"/>
            <w:hideMark/>
          </w:tcPr>
          <w:p w14:paraId="3E5AB598"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 xml:space="preserve">Producto de la solicitud de cambio del 7-3-23 pendiente: </w:t>
            </w:r>
          </w:p>
          <w:p w14:paraId="38F551B9"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DA5059">
              <w:rPr>
                <w:rFonts w:ascii="Book Antiqua" w:eastAsia="Times New Roman" w:hAnsi="Book Antiqua" w:cs="Calibri"/>
                <w:b/>
                <w:bCs/>
                <w:color w:val="000000"/>
                <w:sz w:val="18"/>
                <w:szCs w:val="18"/>
                <w:lang w:eastAsia="es-CR"/>
              </w:rPr>
              <w:t>Plan de gestión</w:t>
            </w:r>
            <w:r w:rsidRPr="00DA5059">
              <w:rPr>
                <w:rFonts w:ascii="Book Antiqua" w:eastAsia="Times New Roman" w:hAnsi="Book Antiqua" w:cs="Calibri"/>
                <w:color w:val="000000"/>
                <w:sz w:val="18"/>
                <w:szCs w:val="18"/>
                <w:lang w:eastAsia="es-CR"/>
              </w:rPr>
              <w:t>: actualizar fecha de finalización, objetivo se menciona 20 meses, pero se extendió el cronograma; administración de riesgo no abre;</w:t>
            </w:r>
            <w:r>
              <w:rPr>
                <w:rFonts w:ascii="Book Antiqua" w:eastAsia="Times New Roman" w:hAnsi="Book Antiqua" w:cs="Calibri"/>
                <w:color w:val="000000"/>
                <w:sz w:val="18"/>
                <w:szCs w:val="18"/>
                <w:lang w:eastAsia="es-CR"/>
              </w:rPr>
              <w:t xml:space="preserve"> </w:t>
            </w:r>
            <w:r w:rsidRPr="00DA5059">
              <w:rPr>
                <w:rFonts w:ascii="Book Antiqua" w:eastAsia="Times New Roman" w:hAnsi="Book Antiqua" w:cs="Calibri"/>
                <w:color w:val="000000"/>
                <w:sz w:val="18"/>
                <w:szCs w:val="18"/>
                <w:lang w:eastAsia="es-CR"/>
              </w:rPr>
              <w:t xml:space="preserve">Detalle del presupuesto del proyecto falta incluir los recursos humanos por todo el periodo del proyecto; el cronograma inserto esta desactualizado (La versión de mayo corresponde a formato de metodología de DTI y no la institucional). </w:t>
            </w:r>
          </w:p>
          <w:p w14:paraId="364D0751"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DA5059">
              <w:rPr>
                <w:rFonts w:ascii="Book Antiqua" w:eastAsia="Times New Roman" w:hAnsi="Book Antiqua" w:cs="Calibri"/>
                <w:b/>
                <w:bCs/>
                <w:color w:val="000000"/>
                <w:sz w:val="18"/>
                <w:szCs w:val="18"/>
                <w:lang w:eastAsia="es-CR"/>
              </w:rPr>
              <w:t>Acta de constitución:</w:t>
            </w:r>
            <w:r w:rsidRPr="00DA5059">
              <w:rPr>
                <w:rFonts w:ascii="Book Antiqua" w:eastAsia="Times New Roman" w:hAnsi="Book Antiqua" w:cs="Calibri"/>
                <w:color w:val="000000"/>
                <w:sz w:val="18"/>
                <w:szCs w:val="18"/>
                <w:lang w:eastAsia="es-CR"/>
              </w:rPr>
              <w:t xml:space="preserve"> pendiente indicar código; fecha de finalización incorrecta; ; cronograma de alto nivel no se indica los años de los entregables o el tiempo para cada uno; recurso del proyecto no coincide con plan de gestión; Equipo de trabajo del proyecto se debe indicar el rol de cada uno. </w:t>
            </w:r>
          </w:p>
          <w:p w14:paraId="441E717D" w14:textId="77777777" w:rsidR="00E8321A" w:rsidRPr="00DA5059" w:rsidRDefault="00E8321A" w:rsidP="00E24FCA">
            <w:pPr>
              <w:spacing w:after="0" w:line="240" w:lineRule="auto"/>
              <w:jc w:val="both"/>
              <w:rPr>
                <w:rFonts w:ascii="Book Antiqua" w:eastAsia="Times New Roman" w:hAnsi="Book Antiqua" w:cs="Calibri"/>
                <w:color w:val="000000"/>
                <w:sz w:val="18"/>
                <w:szCs w:val="18"/>
                <w:lang w:eastAsia="es-CR"/>
              </w:rPr>
            </w:pPr>
            <w:r w:rsidRPr="00DA5059">
              <w:rPr>
                <w:rFonts w:ascii="Book Antiqua" w:eastAsia="Times New Roman" w:hAnsi="Book Antiqua" w:cs="Calibri"/>
                <w:b/>
                <w:bCs/>
                <w:color w:val="000000"/>
                <w:sz w:val="18"/>
                <w:szCs w:val="18"/>
                <w:lang w:eastAsia="es-CR"/>
              </w:rPr>
              <w:t>Estudio de factibilidad</w:t>
            </w:r>
            <w:r w:rsidRPr="00DA5059">
              <w:rPr>
                <w:rFonts w:ascii="Book Antiqua" w:eastAsia="Times New Roman" w:hAnsi="Book Antiqua" w:cs="Calibri"/>
                <w:color w:val="000000"/>
                <w:sz w:val="18"/>
                <w:szCs w:val="18"/>
                <w:lang w:eastAsia="es-CR"/>
              </w:rPr>
              <w:t xml:space="preserve"> costos de operación se debe indicar no aplica.</w:t>
            </w:r>
          </w:p>
        </w:tc>
        <w:tc>
          <w:tcPr>
            <w:tcW w:w="860" w:type="dxa"/>
            <w:shd w:val="clear" w:color="auto" w:fill="auto"/>
            <w:noWrap/>
            <w:vAlign w:val="center"/>
            <w:hideMark/>
          </w:tcPr>
          <w:p w14:paraId="5EF491B0" w14:textId="196FA93D" w:rsidR="00E8321A" w:rsidRPr="00DA5059" w:rsidRDefault="005A1D93" w:rsidP="00B56C1A">
            <w:pPr>
              <w:spacing w:after="0" w:line="240" w:lineRule="auto"/>
              <w:jc w:val="center"/>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Capítulo</w:t>
            </w:r>
            <w:r w:rsidR="00E8321A" w:rsidRPr="00DA5059">
              <w:rPr>
                <w:rFonts w:ascii="Book Antiqua" w:eastAsia="Times New Roman" w:hAnsi="Book Antiqua" w:cs="Calibri"/>
                <w:color w:val="000000"/>
                <w:sz w:val="18"/>
                <w:szCs w:val="18"/>
                <w:lang w:eastAsia="es-CR"/>
              </w:rPr>
              <w:t xml:space="preserve"> 2</w:t>
            </w:r>
          </w:p>
        </w:tc>
        <w:tc>
          <w:tcPr>
            <w:tcW w:w="993" w:type="dxa"/>
            <w:shd w:val="clear" w:color="auto" w:fill="auto"/>
            <w:noWrap/>
            <w:vAlign w:val="center"/>
            <w:hideMark/>
          </w:tcPr>
          <w:p w14:paraId="6785FF80" w14:textId="77777777" w:rsidR="00E8321A" w:rsidRPr="00DA5059" w:rsidRDefault="00E8321A" w:rsidP="00B56C1A">
            <w:pPr>
              <w:spacing w:after="0" w:line="240" w:lineRule="auto"/>
              <w:jc w:val="center"/>
              <w:rPr>
                <w:rFonts w:ascii="Book Antiqua" w:eastAsia="Times New Roman" w:hAnsi="Book Antiqua" w:cs="Calibri"/>
                <w:color w:val="000000"/>
                <w:sz w:val="18"/>
                <w:szCs w:val="18"/>
                <w:lang w:eastAsia="es-CR"/>
              </w:rPr>
            </w:pPr>
            <w:r w:rsidRPr="00DA5059">
              <w:rPr>
                <w:rFonts w:ascii="Book Antiqua" w:eastAsia="Times New Roman" w:hAnsi="Book Antiqua" w:cs="Calibri"/>
                <w:color w:val="000000"/>
                <w:sz w:val="18"/>
                <w:szCs w:val="18"/>
                <w:lang w:eastAsia="es-CR"/>
              </w:rPr>
              <w:t>2.3</w:t>
            </w:r>
          </w:p>
        </w:tc>
      </w:tr>
    </w:tbl>
    <w:p w14:paraId="427A9866" w14:textId="77777777" w:rsidR="00E8321A" w:rsidRDefault="00E8321A" w:rsidP="00E8321A">
      <w:pPr>
        <w:spacing w:after="0" w:line="240" w:lineRule="auto"/>
        <w:ind w:left="567"/>
        <w:jc w:val="both"/>
        <w:rPr>
          <w:rFonts w:ascii="Book Antiqua" w:hAnsi="Book Antiqua"/>
        </w:rPr>
      </w:pPr>
    </w:p>
    <w:p w14:paraId="743567EE" w14:textId="77777777" w:rsidR="00E8321A" w:rsidRDefault="00E8321A" w:rsidP="00EF4E17">
      <w:pPr>
        <w:numPr>
          <w:ilvl w:val="1"/>
          <w:numId w:val="20"/>
        </w:numPr>
        <w:spacing w:after="0" w:line="240" w:lineRule="auto"/>
        <w:ind w:left="567" w:hanging="567"/>
        <w:jc w:val="both"/>
        <w:rPr>
          <w:rFonts w:ascii="Book Antiqua" w:hAnsi="Book Antiqua"/>
          <w:sz w:val="24"/>
          <w:szCs w:val="24"/>
        </w:rPr>
      </w:pPr>
      <w:r w:rsidRPr="00174798">
        <w:rPr>
          <w:rFonts w:ascii="Book Antiqua" w:hAnsi="Book Antiqua"/>
          <w:sz w:val="24"/>
          <w:szCs w:val="24"/>
        </w:rPr>
        <w:t>Asimismo, deberá dar seguimiento a que, la</w:t>
      </w:r>
      <w:r w:rsidRPr="00174798">
        <w:rPr>
          <w:rFonts w:ascii="Book Antiqua" w:hAnsi="Book Antiqua"/>
          <w:b/>
          <w:bCs/>
          <w:sz w:val="24"/>
          <w:szCs w:val="24"/>
        </w:rPr>
        <w:t xml:space="preserve"> Oficina de Administración II Cir. Jud. San José,</w:t>
      </w:r>
      <w:r w:rsidRPr="00174798">
        <w:rPr>
          <w:rFonts w:ascii="Book Antiqua" w:hAnsi="Book Antiqua"/>
          <w:sz w:val="24"/>
          <w:szCs w:val="24"/>
        </w:rPr>
        <w:t xml:space="preserve"> a más tardar el </w:t>
      </w:r>
      <w:r w:rsidRPr="00373A06">
        <w:rPr>
          <w:rFonts w:ascii="Book Antiqua" w:hAnsi="Book Antiqua"/>
          <w:b/>
          <w:bCs/>
          <w:sz w:val="24"/>
          <w:szCs w:val="24"/>
        </w:rPr>
        <w:t>11 de agosto del 2023</w:t>
      </w:r>
      <w:r>
        <w:rPr>
          <w:rFonts w:ascii="Book Antiqua" w:hAnsi="Book Antiqua"/>
          <w:b/>
          <w:bCs/>
          <w:sz w:val="24"/>
          <w:szCs w:val="24"/>
        </w:rPr>
        <w:t xml:space="preserve">, </w:t>
      </w:r>
      <w:r w:rsidRPr="00174798">
        <w:rPr>
          <w:rFonts w:ascii="Book Antiqua" w:hAnsi="Book Antiqua"/>
          <w:sz w:val="24"/>
          <w:szCs w:val="24"/>
        </w:rPr>
        <w:t xml:space="preserve">cargue en el sitio de proyecto la atención de la siguiente recomendación: </w:t>
      </w:r>
    </w:p>
    <w:tbl>
      <w:tblPr>
        <w:tblW w:w="1103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805"/>
        <w:gridCol w:w="741"/>
        <w:gridCol w:w="1867"/>
        <w:gridCol w:w="3189"/>
        <w:gridCol w:w="1047"/>
        <w:gridCol w:w="911"/>
      </w:tblGrid>
      <w:tr w:rsidR="0086493B" w:rsidRPr="00AE26E7" w14:paraId="6C0B5743" w14:textId="77777777" w:rsidTr="00B56C1A">
        <w:trPr>
          <w:trHeight w:val="300"/>
        </w:trPr>
        <w:tc>
          <w:tcPr>
            <w:tcW w:w="1470" w:type="dxa"/>
            <w:shd w:val="clear" w:color="000000" w:fill="44546A"/>
            <w:noWrap/>
            <w:vAlign w:val="center"/>
            <w:hideMark/>
          </w:tcPr>
          <w:p w14:paraId="3FE0FE5C" w14:textId="77777777" w:rsidR="00E8321A" w:rsidRPr="00AE26E7" w:rsidRDefault="00E8321A" w:rsidP="00B56C1A">
            <w:pPr>
              <w:spacing w:after="0" w:line="240" w:lineRule="auto"/>
              <w:jc w:val="center"/>
              <w:rPr>
                <w:rFonts w:ascii="Book Antiqua" w:eastAsia="Times New Roman" w:hAnsi="Book Antiqua" w:cs="Calibri"/>
                <w:b/>
                <w:bCs/>
                <w:color w:val="FFFFFF"/>
                <w:sz w:val="18"/>
                <w:szCs w:val="18"/>
                <w:lang w:eastAsia="es-CR"/>
              </w:rPr>
            </w:pPr>
            <w:r w:rsidRPr="00AE26E7">
              <w:rPr>
                <w:rFonts w:ascii="Book Antiqua" w:eastAsia="Times New Roman" w:hAnsi="Book Antiqua" w:cs="Calibri"/>
                <w:b/>
                <w:bCs/>
                <w:color w:val="FFFFFF"/>
                <w:sz w:val="18"/>
                <w:szCs w:val="18"/>
                <w:lang w:eastAsia="es-CR"/>
              </w:rPr>
              <w:t>Centro de responsabilidad</w:t>
            </w:r>
          </w:p>
        </w:tc>
        <w:tc>
          <w:tcPr>
            <w:tcW w:w="1805" w:type="dxa"/>
            <w:shd w:val="clear" w:color="000000" w:fill="44546A"/>
            <w:noWrap/>
            <w:vAlign w:val="center"/>
            <w:hideMark/>
          </w:tcPr>
          <w:p w14:paraId="358AF4A7" w14:textId="77777777" w:rsidR="00E8321A" w:rsidRPr="00AE26E7" w:rsidRDefault="00E8321A" w:rsidP="00B56C1A">
            <w:pPr>
              <w:spacing w:after="0" w:line="240" w:lineRule="auto"/>
              <w:jc w:val="center"/>
              <w:rPr>
                <w:rFonts w:ascii="Book Antiqua" w:eastAsia="Times New Roman" w:hAnsi="Book Antiqua" w:cs="Calibri"/>
                <w:b/>
                <w:bCs/>
                <w:color w:val="FFFFFF"/>
                <w:sz w:val="18"/>
                <w:szCs w:val="18"/>
                <w:lang w:eastAsia="es-CR"/>
              </w:rPr>
            </w:pPr>
            <w:r w:rsidRPr="00AE26E7">
              <w:rPr>
                <w:rFonts w:ascii="Book Antiqua" w:eastAsia="Times New Roman" w:hAnsi="Book Antiqua" w:cs="Calibri"/>
                <w:b/>
                <w:bCs/>
                <w:color w:val="FFFFFF"/>
                <w:sz w:val="18"/>
                <w:szCs w:val="18"/>
                <w:lang w:eastAsia="es-CR"/>
              </w:rPr>
              <w:t>Oficina Líder</w:t>
            </w:r>
          </w:p>
        </w:tc>
        <w:tc>
          <w:tcPr>
            <w:tcW w:w="741" w:type="dxa"/>
            <w:shd w:val="clear" w:color="000000" w:fill="44546A"/>
            <w:noWrap/>
            <w:vAlign w:val="center"/>
            <w:hideMark/>
          </w:tcPr>
          <w:p w14:paraId="2ED86D5B" w14:textId="77777777" w:rsidR="00E8321A" w:rsidRPr="00AE26E7" w:rsidRDefault="00E8321A" w:rsidP="00B56C1A">
            <w:pPr>
              <w:spacing w:after="0" w:line="240" w:lineRule="auto"/>
              <w:jc w:val="center"/>
              <w:rPr>
                <w:rFonts w:ascii="Book Antiqua" w:eastAsia="Times New Roman" w:hAnsi="Book Antiqua" w:cs="Calibri"/>
                <w:b/>
                <w:bCs/>
                <w:color w:val="FFFFFF"/>
                <w:sz w:val="18"/>
                <w:szCs w:val="18"/>
                <w:lang w:eastAsia="es-CR"/>
              </w:rPr>
            </w:pPr>
            <w:r w:rsidRPr="00AE26E7">
              <w:rPr>
                <w:rFonts w:ascii="Book Antiqua" w:eastAsia="Times New Roman" w:hAnsi="Book Antiqua" w:cs="Calibri"/>
                <w:b/>
                <w:bCs/>
                <w:color w:val="FFFFFF"/>
                <w:sz w:val="18"/>
                <w:szCs w:val="18"/>
                <w:lang w:eastAsia="es-CR"/>
              </w:rPr>
              <w:t>Código</w:t>
            </w:r>
          </w:p>
        </w:tc>
        <w:tc>
          <w:tcPr>
            <w:tcW w:w="1867" w:type="dxa"/>
            <w:shd w:val="clear" w:color="000000" w:fill="44546A"/>
            <w:noWrap/>
            <w:vAlign w:val="center"/>
            <w:hideMark/>
          </w:tcPr>
          <w:p w14:paraId="3FE808DC" w14:textId="77777777" w:rsidR="00E8321A" w:rsidRPr="00AE26E7" w:rsidRDefault="00E8321A" w:rsidP="00B56C1A">
            <w:pPr>
              <w:spacing w:after="0" w:line="240" w:lineRule="auto"/>
              <w:jc w:val="center"/>
              <w:rPr>
                <w:rFonts w:ascii="Book Antiqua" w:eastAsia="Times New Roman" w:hAnsi="Book Antiqua" w:cs="Calibri"/>
                <w:b/>
                <w:bCs/>
                <w:color w:val="FFFFFF"/>
                <w:sz w:val="18"/>
                <w:szCs w:val="18"/>
                <w:lang w:eastAsia="es-CR"/>
              </w:rPr>
            </w:pPr>
            <w:r w:rsidRPr="00AE26E7">
              <w:rPr>
                <w:rFonts w:ascii="Book Antiqua" w:eastAsia="Times New Roman" w:hAnsi="Book Antiqua" w:cs="Calibri"/>
                <w:b/>
                <w:bCs/>
                <w:color w:val="FFFFFF"/>
                <w:sz w:val="18"/>
                <w:szCs w:val="18"/>
                <w:lang w:eastAsia="es-CR"/>
              </w:rPr>
              <w:t>Nombre</w:t>
            </w:r>
          </w:p>
        </w:tc>
        <w:tc>
          <w:tcPr>
            <w:tcW w:w="3189" w:type="dxa"/>
            <w:shd w:val="clear" w:color="000000" w:fill="44546A"/>
            <w:noWrap/>
            <w:vAlign w:val="center"/>
            <w:hideMark/>
          </w:tcPr>
          <w:p w14:paraId="43A8C0BB" w14:textId="77777777" w:rsidR="00E8321A" w:rsidRPr="00AE26E7" w:rsidRDefault="00E8321A" w:rsidP="00B56C1A">
            <w:pPr>
              <w:spacing w:after="0" w:line="240" w:lineRule="auto"/>
              <w:jc w:val="center"/>
              <w:rPr>
                <w:rFonts w:ascii="Book Antiqua" w:eastAsia="Times New Roman" w:hAnsi="Book Antiqua" w:cs="Calibri"/>
                <w:b/>
                <w:bCs/>
                <w:color w:val="FFFFFF"/>
                <w:sz w:val="18"/>
                <w:szCs w:val="18"/>
                <w:lang w:eastAsia="es-CR"/>
              </w:rPr>
            </w:pPr>
            <w:r w:rsidRPr="00AE26E7">
              <w:rPr>
                <w:rFonts w:ascii="Book Antiqua" w:eastAsia="Times New Roman" w:hAnsi="Book Antiqua" w:cs="Calibri"/>
                <w:b/>
                <w:bCs/>
                <w:color w:val="FFFFFF"/>
                <w:sz w:val="18"/>
                <w:szCs w:val="18"/>
                <w:lang w:eastAsia="es-CR"/>
              </w:rPr>
              <w:t>Recomendación pendiente</w:t>
            </w:r>
          </w:p>
        </w:tc>
        <w:tc>
          <w:tcPr>
            <w:tcW w:w="1047" w:type="dxa"/>
            <w:shd w:val="clear" w:color="000000" w:fill="44546A"/>
            <w:noWrap/>
            <w:vAlign w:val="center"/>
            <w:hideMark/>
          </w:tcPr>
          <w:p w14:paraId="3BF6937C" w14:textId="2EA01433" w:rsidR="00E8321A" w:rsidRPr="00AE26E7" w:rsidRDefault="005A1D93" w:rsidP="00B56C1A">
            <w:pPr>
              <w:spacing w:after="0" w:line="240" w:lineRule="auto"/>
              <w:jc w:val="center"/>
              <w:rPr>
                <w:rFonts w:ascii="Book Antiqua" w:eastAsia="Times New Roman" w:hAnsi="Book Antiqua" w:cs="Calibri"/>
                <w:b/>
                <w:bCs/>
                <w:color w:val="FFFFFF"/>
                <w:sz w:val="18"/>
                <w:szCs w:val="18"/>
                <w:lang w:eastAsia="es-CR"/>
              </w:rPr>
            </w:pPr>
            <w:r w:rsidRPr="00AE26E7">
              <w:rPr>
                <w:rFonts w:ascii="Book Antiqua" w:eastAsia="Times New Roman" w:hAnsi="Book Antiqua" w:cs="Calibri"/>
                <w:b/>
                <w:bCs/>
                <w:color w:val="FFFFFF"/>
                <w:sz w:val="18"/>
                <w:szCs w:val="18"/>
                <w:lang w:eastAsia="es-CR"/>
              </w:rPr>
              <w:t>Capítulo</w:t>
            </w:r>
            <w:r w:rsidR="00E8321A" w:rsidRPr="00AE26E7">
              <w:rPr>
                <w:rFonts w:ascii="Book Antiqua" w:eastAsia="Times New Roman" w:hAnsi="Book Antiqua" w:cs="Calibri"/>
                <w:b/>
                <w:bCs/>
                <w:color w:val="FFFFFF"/>
                <w:sz w:val="18"/>
                <w:szCs w:val="18"/>
                <w:lang w:eastAsia="es-CR"/>
              </w:rPr>
              <w:t xml:space="preserve"> del informe</w:t>
            </w:r>
          </w:p>
        </w:tc>
        <w:tc>
          <w:tcPr>
            <w:tcW w:w="911" w:type="dxa"/>
            <w:shd w:val="clear" w:color="000000" w:fill="44546A"/>
            <w:noWrap/>
            <w:vAlign w:val="center"/>
            <w:hideMark/>
          </w:tcPr>
          <w:p w14:paraId="7D84D5CF" w14:textId="77777777" w:rsidR="00E8321A" w:rsidRPr="00AE26E7" w:rsidRDefault="00E8321A" w:rsidP="00B56C1A">
            <w:pPr>
              <w:spacing w:after="0" w:line="240" w:lineRule="auto"/>
              <w:jc w:val="center"/>
              <w:rPr>
                <w:rFonts w:ascii="Book Antiqua" w:eastAsia="Times New Roman" w:hAnsi="Book Antiqua" w:cs="Calibri"/>
                <w:b/>
                <w:bCs/>
                <w:color w:val="FFFFFF"/>
                <w:sz w:val="18"/>
                <w:szCs w:val="18"/>
                <w:lang w:eastAsia="es-CR"/>
              </w:rPr>
            </w:pPr>
            <w:r w:rsidRPr="00AE26E7">
              <w:rPr>
                <w:rFonts w:ascii="Book Antiqua" w:eastAsia="Times New Roman" w:hAnsi="Book Antiqua" w:cs="Calibri"/>
                <w:b/>
                <w:bCs/>
                <w:color w:val="FFFFFF"/>
                <w:sz w:val="18"/>
                <w:szCs w:val="18"/>
                <w:lang w:eastAsia="es-CR"/>
              </w:rPr>
              <w:t>Apartado del informe</w:t>
            </w:r>
          </w:p>
        </w:tc>
      </w:tr>
      <w:tr w:rsidR="007D35E8" w:rsidRPr="00AE26E7" w14:paraId="795FE217" w14:textId="77777777" w:rsidTr="00B56C1A">
        <w:trPr>
          <w:trHeight w:val="300"/>
        </w:trPr>
        <w:tc>
          <w:tcPr>
            <w:tcW w:w="1470" w:type="dxa"/>
            <w:vMerge w:val="restart"/>
            <w:shd w:val="clear" w:color="auto" w:fill="auto"/>
            <w:noWrap/>
            <w:vAlign w:val="center"/>
            <w:hideMark/>
          </w:tcPr>
          <w:p w14:paraId="0A1FA94B" w14:textId="77777777" w:rsidR="00E8321A" w:rsidRPr="00AE26E7" w:rsidRDefault="00E8321A" w:rsidP="00B56C1A">
            <w:pPr>
              <w:spacing w:after="0" w:line="240" w:lineRule="auto"/>
              <w:jc w:val="center"/>
              <w:rPr>
                <w:rFonts w:ascii="Book Antiqua" w:eastAsia="Times New Roman" w:hAnsi="Book Antiqua" w:cs="Calibri"/>
                <w:color w:val="000000"/>
                <w:sz w:val="18"/>
                <w:szCs w:val="18"/>
                <w:lang w:eastAsia="es-CR"/>
              </w:rPr>
            </w:pPr>
            <w:r w:rsidRPr="00AE26E7">
              <w:rPr>
                <w:rFonts w:ascii="Book Antiqua" w:eastAsia="Times New Roman" w:hAnsi="Book Antiqua" w:cs="Calibri"/>
                <w:color w:val="000000"/>
                <w:sz w:val="18"/>
                <w:szCs w:val="18"/>
                <w:lang w:eastAsia="es-CR"/>
              </w:rPr>
              <w:t>Dirección Ejecutiva</w:t>
            </w:r>
          </w:p>
        </w:tc>
        <w:tc>
          <w:tcPr>
            <w:tcW w:w="1805" w:type="dxa"/>
            <w:vMerge w:val="restart"/>
            <w:shd w:val="clear" w:color="auto" w:fill="auto"/>
            <w:noWrap/>
            <w:vAlign w:val="center"/>
            <w:hideMark/>
          </w:tcPr>
          <w:p w14:paraId="7BAE50C6" w14:textId="77777777" w:rsidR="00E8321A" w:rsidRPr="00AE26E7" w:rsidRDefault="00E8321A" w:rsidP="00B56C1A">
            <w:pPr>
              <w:spacing w:after="0" w:line="240" w:lineRule="auto"/>
              <w:jc w:val="center"/>
              <w:rPr>
                <w:rFonts w:ascii="Book Antiqua" w:eastAsia="Times New Roman" w:hAnsi="Book Antiqua" w:cs="Calibri"/>
                <w:color w:val="000000"/>
                <w:sz w:val="18"/>
                <w:szCs w:val="18"/>
                <w:lang w:eastAsia="es-CR"/>
              </w:rPr>
            </w:pPr>
            <w:r w:rsidRPr="00AE26E7">
              <w:rPr>
                <w:rFonts w:ascii="Book Antiqua" w:eastAsia="Times New Roman" w:hAnsi="Book Antiqua" w:cs="Calibri"/>
                <w:color w:val="000000"/>
                <w:sz w:val="18"/>
                <w:szCs w:val="18"/>
                <w:lang w:eastAsia="es-CR"/>
              </w:rPr>
              <w:t>0176 OFICINA DE ADMINISTRACION II CIR. JUD. SAN JOSE</w:t>
            </w:r>
          </w:p>
        </w:tc>
        <w:tc>
          <w:tcPr>
            <w:tcW w:w="741" w:type="dxa"/>
            <w:vMerge w:val="restart"/>
            <w:shd w:val="clear" w:color="auto" w:fill="auto"/>
            <w:noWrap/>
            <w:vAlign w:val="center"/>
            <w:hideMark/>
          </w:tcPr>
          <w:p w14:paraId="695DB46A" w14:textId="77777777" w:rsidR="00E8321A" w:rsidRPr="00AE26E7" w:rsidRDefault="00E8321A" w:rsidP="00B56C1A">
            <w:pPr>
              <w:spacing w:after="0" w:line="240" w:lineRule="auto"/>
              <w:jc w:val="center"/>
              <w:rPr>
                <w:rFonts w:ascii="Book Antiqua" w:eastAsia="Times New Roman" w:hAnsi="Book Antiqua" w:cs="Calibri"/>
                <w:color w:val="000000"/>
                <w:sz w:val="18"/>
                <w:szCs w:val="18"/>
                <w:lang w:eastAsia="es-CR"/>
              </w:rPr>
            </w:pPr>
            <w:r w:rsidRPr="00AE26E7">
              <w:rPr>
                <w:rFonts w:ascii="Book Antiqua" w:eastAsia="Times New Roman" w:hAnsi="Book Antiqua" w:cs="Calibri"/>
                <w:color w:val="000000"/>
                <w:sz w:val="18"/>
                <w:szCs w:val="18"/>
                <w:lang w:eastAsia="es-CR"/>
              </w:rPr>
              <w:t>0117-DE-P23</w:t>
            </w:r>
          </w:p>
        </w:tc>
        <w:tc>
          <w:tcPr>
            <w:tcW w:w="1867" w:type="dxa"/>
            <w:vMerge w:val="restart"/>
            <w:shd w:val="clear" w:color="auto" w:fill="auto"/>
            <w:noWrap/>
            <w:vAlign w:val="center"/>
            <w:hideMark/>
          </w:tcPr>
          <w:p w14:paraId="4ADF2358" w14:textId="77777777" w:rsidR="00E8321A" w:rsidRPr="00AE26E7" w:rsidRDefault="00E8321A" w:rsidP="00B56C1A">
            <w:pPr>
              <w:spacing w:after="0" w:line="240" w:lineRule="auto"/>
              <w:jc w:val="center"/>
              <w:rPr>
                <w:rFonts w:ascii="Book Antiqua" w:eastAsia="Times New Roman" w:hAnsi="Book Antiqua" w:cs="Calibri"/>
                <w:color w:val="000000"/>
                <w:sz w:val="18"/>
                <w:szCs w:val="18"/>
                <w:lang w:eastAsia="es-CR"/>
              </w:rPr>
            </w:pPr>
            <w:r w:rsidRPr="00AE26E7">
              <w:rPr>
                <w:rFonts w:ascii="Book Antiqua" w:eastAsia="Times New Roman" w:hAnsi="Book Antiqua" w:cs="Calibri"/>
                <w:color w:val="000000"/>
                <w:sz w:val="18"/>
                <w:szCs w:val="18"/>
                <w:lang w:eastAsia="es-CR"/>
              </w:rPr>
              <w:t>Sistema de Detección de Incendios en el II Circ Jud San José</w:t>
            </w:r>
          </w:p>
        </w:tc>
        <w:tc>
          <w:tcPr>
            <w:tcW w:w="3189" w:type="dxa"/>
            <w:shd w:val="clear" w:color="auto" w:fill="auto"/>
            <w:noWrap/>
            <w:vAlign w:val="center"/>
            <w:hideMark/>
          </w:tcPr>
          <w:p w14:paraId="6D5BC2D4"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AE26E7">
              <w:rPr>
                <w:rFonts w:ascii="Book Antiqua" w:eastAsia="Times New Roman" w:hAnsi="Book Antiqua" w:cs="Calibri"/>
                <w:color w:val="000000"/>
                <w:sz w:val="18"/>
                <w:szCs w:val="18"/>
                <w:lang w:eastAsia="es-CR"/>
              </w:rPr>
              <w:t xml:space="preserve">Pendiente producto de la solicitud de cambio del 29/6/2022, 29/12/2022 lo siguiente: </w:t>
            </w:r>
          </w:p>
          <w:p w14:paraId="744E3360"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AE26E7">
              <w:rPr>
                <w:rFonts w:ascii="Book Antiqua" w:eastAsia="Times New Roman" w:hAnsi="Book Antiqua" w:cs="Calibri"/>
                <w:b/>
                <w:bCs/>
                <w:color w:val="000000"/>
                <w:sz w:val="18"/>
                <w:szCs w:val="18"/>
                <w:lang w:eastAsia="es-CR"/>
              </w:rPr>
              <w:t>En el plan de gestión:</w:t>
            </w:r>
            <w:r w:rsidRPr="00AE26E7">
              <w:rPr>
                <w:rFonts w:ascii="Book Antiqua" w:eastAsia="Times New Roman" w:hAnsi="Book Antiqua" w:cs="Calibri"/>
                <w:color w:val="000000"/>
                <w:sz w:val="18"/>
                <w:szCs w:val="18"/>
                <w:lang w:eastAsia="es-CR"/>
              </w:rPr>
              <w:t xml:space="preserve"> revisar que la EDT y el cronograma coincidan en su totalidad específicamente el diagrama de la EDT y se debe quitar el entregable 4.2 del cuadro de desglose de entregables, falto completar la administración de adquisiciones esto debido a que se debió hacer una contratación para cubrir los costos del proyecto. </w:t>
            </w:r>
          </w:p>
          <w:p w14:paraId="7715ED85"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AE26E7">
              <w:rPr>
                <w:rFonts w:ascii="Book Antiqua" w:eastAsia="Times New Roman" w:hAnsi="Book Antiqua" w:cs="Calibri"/>
                <w:b/>
                <w:bCs/>
                <w:color w:val="000000"/>
                <w:sz w:val="18"/>
                <w:szCs w:val="18"/>
                <w:lang w:eastAsia="es-CR"/>
              </w:rPr>
              <w:t xml:space="preserve">Acta de constitución se debe actualizar: </w:t>
            </w:r>
            <w:r w:rsidRPr="00AE26E7">
              <w:rPr>
                <w:rFonts w:ascii="Book Antiqua" w:eastAsia="Times New Roman" w:hAnsi="Book Antiqua" w:cs="Calibri"/>
                <w:color w:val="000000"/>
                <w:sz w:val="18"/>
                <w:szCs w:val="18"/>
                <w:lang w:eastAsia="es-CR"/>
              </w:rPr>
              <w:t xml:space="preserve">fecha de fin, cronograma de alto nivel debe mostrar los </w:t>
            </w:r>
            <w:r w:rsidRPr="00AE26E7">
              <w:rPr>
                <w:rFonts w:ascii="Book Antiqua" w:eastAsia="Times New Roman" w:hAnsi="Book Antiqua" w:cs="Calibri"/>
                <w:color w:val="000000"/>
                <w:sz w:val="18"/>
                <w:szCs w:val="18"/>
                <w:lang w:eastAsia="es-CR"/>
              </w:rPr>
              <w:lastRenderedPageBreak/>
              <w:t xml:space="preserve">entregables principales e indicar año o mes. </w:t>
            </w:r>
          </w:p>
          <w:p w14:paraId="1F460D11" w14:textId="77777777" w:rsidR="00E8321A" w:rsidRPr="00AE26E7" w:rsidRDefault="00E8321A" w:rsidP="00E24FCA">
            <w:pPr>
              <w:spacing w:after="0" w:line="240" w:lineRule="auto"/>
              <w:jc w:val="both"/>
              <w:rPr>
                <w:rFonts w:ascii="Book Antiqua" w:eastAsia="Times New Roman" w:hAnsi="Book Antiqua" w:cs="Calibri"/>
                <w:color w:val="000000"/>
                <w:sz w:val="18"/>
                <w:szCs w:val="18"/>
                <w:lang w:eastAsia="es-CR"/>
              </w:rPr>
            </w:pPr>
            <w:r w:rsidRPr="00AE26E7">
              <w:rPr>
                <w:rFonts w:ascii="Book Antiqua" w:eastAsia="Times New Roman" w:hAnsi="Book Antiqua" w:cs="Calibri"/>
                <w:b/>
                <w:bCs/>
                <w:color w:val="000000"/>
                <w:sz w:val="18"/>
                <w:szCs w:val="18"/>
                <w:lang w:eastAsia="es-CR"/>
              </w:rPr>
              <w:t>Estudio de factibilidad pendiente:</w:t>
            </w:r>
            <w:r w:rsidRPr="00AE26E7">
              <w:rPr>
                <w:rFonts w:ascii="Book Antiqua" w:eastAsia="Times New Roman" w:hAnsi="Book Antiqua" w:cs="Calibri"/>
                <w:color w:val="000000"/>
                <w:sz w:val="18"/>
                <w:szCs w:val="18"/>
                <w:lang w:eastAsia="es-CR"/>
              </w:rPr>
              <w:t xml:space="preserve">  tiempo estimado indicar fecha de inicio y fin; Planteamiento inicial del proyecto debe venir 3 alternativas de solución y el motivo por el cual se seleccionó la alternativa que se ejecutó y Descripción de la necesidad oportunidad de mejora o problema, falta incluir lo mencionado en solicitud de cambio del 29-6, y excluir lo del 29-12.</w:t>
            </w:r>
          </w:p>
        </w:tc>
        <w:tc>
          <w:tcPr>
            <w:tcW w:w="1047" w:type="dxa"/>
            <w:shd w:val="clear" w:color="auto" w:fill="auto"/>
            <w:noWrap/>
            <w:vAlign w:val="center"/>
            <w:hideMark/>
          </w:tcPr>
          <w:p w14:paraId="5D70017E" w14:textId="77777777" w:rsidR="00E8321A" w:rsidRPr="00AE26E7" w:rsidRDefault="00E8321A" w:rsidP="00B56C1A">
            <w:pPr>
              <w:spacing w:after="0" w:line="240" w:lineRule="auto"/>
              <w:jc w:val="center"/>
              <w:rPr>
                <w:rFonts w:ascii="Book Antiqua" w:eastAsia="Times New Roman" w:hAnsi="Book Antiqua" w:cs="Calibri"/>
                <w:color w:val="000000"/>
                <w:sz w:val="18"/>
                <w:szCs w:val="18"/>
                <w:lang w:eastAsia="es-CR"/>
              </w:rPr>
            </w:pPr>
            <w:r w:rsidRPr="00AE26E7">
              <w:rPr>
                <w:rFonts w:ascii="Book Antiqua" w:eastAsia="Times New Roman" w:hAnsi="Book Antiqua" w:cs="Calibri"/>
                <w:color w:val="000000"/>
                <w:sz w:val="18"/>
                <w:szCs w:val="18"/>
                <w:lang w:eastAsia="es-CR"/>
              </w:rPr>
              <w:lastRenderedPageBreak/>
              <w:t>Capítulo 1</w:t>
            </w:r>
          </w:p>
        </w:tc>
        <w:tc>
          <w:tcPr>
            <w:tcW w:w="911" w:type="dxa"/>
            <w:shd w:val="clear" w:color="auto" w:fill="auto"/>
            <w:noWrap/>
            <w:vAlign w:val="center"/>
            <w:hideMark/>
          </w:tcPr>
          <w:p w14:paraId="2CF62115" w14:textId="77777777" w:rsidR="00E8321A" w:rsidRPr="00AE26E7" w:rsidRDefault="00E8321A" w:rsidP="00B56C1A">
            <w:pPr>
              <w:spacing w:after="0" w:line="240" w:lineRule="auto"/>
              <w:jc w:val="center"/>
              <w:rPr>
                <w:rFonts w:ascii="Book Antiqua" w:eastAsia="Times New Roman" w:hAnsi="Book Antiqua" w:cs="Calibri"/>
                <w:color w:val="000000"/>
                <w:sz w:val="18"/>
                <w:szCs w:val="18"/>
                <w:lang w:eastAsia="es-CR"/>
              </w:rPr>
            </w:pPr>
            <w:r w:rsidRPr="00AE26E7">
              <w:rPr>
                <w:rFonts w:ascii="Book Antiqua" w:eastAsia="Times New Roman" w:hAnsi="Book Antiqua" w:cs="Calibri"/>
                <w:color w:val="000000"/>
                <w:sz w:val="18"/>
                <w:szCs w:val="18"/>
                <w:lang w:eastAsia="es-CR"/>
              </w:rPr>
              <w:t>1.12</w:t>
            </w:r>
          </w:p>
        </w:tc>
      </w:tr>
      <w:tr w:rsidR="007D35E8" w:rsidRPr="00AE26E7" w14:paraId="4CF99646" w14:textId="77777777" w:rsidTr="00B56C1A">
        <w:trPr>
          <w:trHeight w:val="330"/>
        </w:trPr>
        <w:tc>
          <w:tcPr>
            <w:tcW w:w="1470" w:type="dxa"/>
            <w:vMerge/>
            <w:shd w:val="clear" w:color="auto" w:fill="auto"/>
            <w:vAlign w:val="center"/>
            <w:hideMark/>
          </w:tcPr>
          <w:p w14:paraId="6E7186C9" w14:textId="77777777" w:rsidR="00E8321A" w:rsidRPr="00AE26E7"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05" w:type="dxa"/>
            <w:vMerge/>
            <w:shd w:val="clear" w:color="auto" w:fill="auto"/>
            <w:vAlign w:val="center"/>
            <w:hideMark/>
          </w:tcPr>
          <w:p w14:paraId="144CC5BB" w14:textId="77777777" w:rsidR="00E8321A" w:rsidRPr="00AE26E7"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vMerge/>
            <w:shd w:val="clear" w:color="auto" w:fill="auto"/>
            <w:vAlign w:val="center"/>
            <w:hideMark/>
          </w:tcPr>
          <w:p w14:paraId="604A6262" w14:textId="77777777" w:rsidR="00E8321A" w:rsidRPr="00AE26E7"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67" w:type="dxa"/>
            <w:vMerge/>
            <w:shd w:val="clear" w:color="auto" w:fill="auto"/>
            <w:vAlign w:val="center"/>
            <w:hideMark/>
          </w:tcPr>
          <w:p w14:paraId="20AD466F" w14:textId="77777777" w:rsidR="00E8321A" w:rsidRPr="00AE26E7"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3189" w:type="dxa"/>
            <w:shd w:val="clear" w:color="auto" w:fill="auto"/>
            <w:noWrap/>
            <w:vAlign w:val="center"/>
            <w:hideMark/>
          </w:tcPr>
          <w:p w14:paraId="3273DB54" w14:textId="77777777" w:rsidR="00E8321A" w:rsidRPr="00AE26E7" w:rsidRDefault="00E8321A" w:rsidP="00E24FCA">
            <w:pPr>
              <w:spacing w:after="0" w:line="240" w:lineRule="auto"/>
              <w:jc w:val="both"/>
              <w:rPr>
                <w:rFonts w:ascii="Book Antiqua" w:eastAsia="Times New Roman" w:hAnsi="Book Antiqua" w:cs="Calibri"/>
                <w:color w:val="000000"/>
                <w:sz w:val="18"/>
                <w:szCs w:val="18"/>
                <w:lang w:eastAsia="es-CR"/>
              </w:rPr>
            </w:pPr>
            <w:r w:rsidRPr="00AE26E7">
              <w:rPr>
                <w:rFonts w:ascii="Book Antiqua" w:eastAsia="Times New Roman" w:hAnsi="Book Antiqua" w:cs="Calibri"/>
                <w:color w:val="000000"/>
                <w:sz w:val="18"/>
                <w:szCs w:val="18"/>
                <w:lang w:eastAsia="es-CR"/>
              </w:rPr>
              <w:t>Pendiente aprobación del patrocinador del informe de cierre</w:t>
            </w:r>
          </w:p>
        </w:tc>
        <w:tc>
          <w:tcPr>
            <w:tcW w:w="1047" w:type="dxa"/>
            <w:shd w:val="clear" w:color="auto" w:fill="auto"/>
            <w:noWrap/>
            <w:vAlign w:val="center"/>
            <w:hideMark/>
          </w:tcPr>
          <w:p w14:paraId="21B1F88A" w14:textId="77777777" w:rsidR="00E8321A" w:rsidRPr="00AE26E7" w:rsidRDefault="00E8321A" w:rsidP="00B56C1A">
            <w:pPr>
              <w:spacing w:after="0" w:line="240" w:lineRule="auto"/>
              <w:jc w:val="center"/>
              <w:rPr>
                <w:rFonts w:ascii="Book Antiqua" w:eastAsia="Times New Roman" w:hAnsi="Book Antiqua" w:cs="Calibri"/>
                <w:color w:val="000000"/>
                <w:sz w:val="18"/>
                <w:szCs w:val="18"/>
                <w:lang w:eastAsia="es-CR"/>
              </w:rPr>
            </w:pPr>
            <w:r w:rsidRPr="00AE26E7">
              <w:rPr>
                <w:rFonts w:ascii="Book Antiqua" w:eastAsia="Times New Roman" w:hAnsi="Book Antiqua" w:cs="Calibri"/>
                <w:color w:val="000000"/>
                <w:sz w:val="18"/>
                <w:szCs w:val="18"/>
                <w:lang w:eastAsia="es-CR"/>
              </w:rPr>
              <w:t>Capítulo 2</w:t>
            </w:r>
          </w:p>
        </w:tc>
        <w:tc>
          <w:tcPr>
            <w:tcW w:w="911" w:type="dxa"/>
            <w:shd w:val="clear" w:color="auto" w:fill="auto"/>
            <w:noWrap/>
            <w:vAlign w:val="center"/>
            <w:hideMark/>
          </w:tcPr>
          <w:p w14:paraId="43988380" w14:textId="77777777" w:rsidR="00E8321A" w:rsidRPr="00AE26E7" w:rsidRDefault="00E8321A" w:rsidP="00B56C1A">
            <w:pPr>
              <w:spacing w:after="0" w:line="240" w:lineRule="auto"/>
              <w:jc w:val="center"/>
              <w:rPr>
                <w:rFonts w:ascii="Book Antiqua" w:eastAsia="Times New Roman" w:hAnsi="Book Antiqua" w:cs="Calibri"/>
                <w:color w:val="000000"/>
                <w:sz w:val="18"/>
                <w:szCs w:val="18"/>
                <w:lang w:eastAsia="es-CR"/>
              </w:rPr>
            </w:pPr>
            <w:r w:rsidRPr="00AE26E7">
              <w:rPr>
                <w:rFonts w:ascii="Book Antiqua" w:eastAsia="Times New Roman" w:hAnsi="Book Antiqua" w:cs="Calibri"/>
                <w:color w:val="000000"/>
                <w:sz w:val="18"/>
                <w:szCs w:val="18"/>
                <w:lang w:eastAsia="es-CR"/>
              </w:rPr>
              <w:t>2.4</w:t>
            </w:r>
          </w:p>
        </w:tc>
      </w:tr>
      <w:tr w:rsidR="007D35E8" w:rsidRPr="00AE26E7" w14:paraId="14EE92AC" w14:textId="77777777" w:rsidTr="00B56C1A">
        <w:trPr>
          <w:trHeight w:val="300"/>
        </w:trPr>
        <w:tc>
          <w:tcPr>
            <w:tcW w:w="1470" w:type="dxa"/>
            <w:vMerge/>
            <w:shd w:val="clear" w:color="auto" w:fill="auto"/>
            <w:vAlign w:val="center"/>
            <w:hideMark/>
          </w:tcPr>
          <w:p w14:paraId="1E06CDEE" w14:textId="77777777" w:rsidR="00E8321A" w:rsidRPr="00AE26E7"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05" w:type="dxa"/>
            <w:vMerge/>
            <w:shd w:val="clear" w:color="auto" w:fill="auto"/>
            <w:vAlign w:val="center"/>
            <w:hideMark/>
          </w:tcPr>
          <w:p w14:paraId="0616D66B" w14:textId="77777777" w:rsidR="00E8321A" w:rsidRPr="00AE26E7"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vMerge w:val="restart"/>
            <w:shd w:val="clear" w:color="auto" w:fill="auto"/>
            <w:noWrap/>
            <w:vAlign w:val="center"/>
            <w:hideMark/>
          </w:tcPr>
          <w:p w14:paraId="352C67C4" w14:textId="77777777" w:rsidR="00E8321A" w:rsidRPr="00AE26E7" w:rsidRDefault="00E8321A" w:rsidP="00B56C1A">
            <w:pPr>
              <w:spacing w:after="0" w:line="240" w:lineRule="auto"/>
              <w:jc w:val="center"/>
              <w:rPr>
                <w:rFonts w:ascii="Book Antiqua" w:eastAsia="Times New Roman" w:hAnsi="Book Antiqua" w:cs="Calibri"/>
                <w:color w:val="000000"/>
                <w:sz w:val="18"/>
                <w:szCs w:val="18"/>
                <w:lang w:eastAsia="es-CR"/>
              </w:rPr>
            </w:pPr>
            <w:r w:rsidRPr="00AE26E7">
              <w:rPr>
                <w:rFonts w:ascii="Book Antiqua" w:eastAsia="Times New Roman" w:hAnsi="Book Antiqua" w:cs="Calibri"/>
                <w:color w:val="000000"/>
                <w:sz w:val="18"/>
                <w:szCs w:val="18"/>
                <w:lang w:eastAsia="es-CR"/>
              </w:rPr>
              <w:t>0117-DE-P24</w:t>
            </w:r>
          </w:p>
        </w:tc>
        <w:tc>
          <w:tcPr>
            <w:tcW w:w="1867" w:type="dxa"/>
            <w:vMerge w:val="restart"/>
            <w:shd w:val="clear" w:color="auto" w:fill="auto"/>
            <w:noWrap/>
            <w:vAlign w:val="center"/>
            <w:hideMark/>
          </w:tcPr>
          <w:p w14:paraId="03959A15" w14:textId="77777777" w:rsidR="00E8321A" w:rsidRPr="00AE26E7" w:rsidRDefault="00E8321A" w:rsidP="00B56C1A">
            <w:pPr>
              <w:spacing w:after="0" w:line="240" w:lineRule="auto"/>
              <w:jc w:val="center"/>
              <w:rPr>
                <w:rFonts w:ascii="Book Antiqua" w:eastAsia="Times New Roman" w:hAnsi="Book Antiqua" w:cs="Calibri"/>
                <w:color w:val="000000"/>
                <w:sz w:val="18"/>
                <w:szCs w:val="18"/>
                <w:lang w:eastAsia="es-CR"/>
              </w:rPr>
            </w:pPr>
            <w:r w:rsidRPr="00AE26E7">
              <w:rPr>
                <w:rFonts w:ascii="Book Antiqua" w:eastAsia="Times New Roman" w:hAnsi="Book Antiqua" w:cs="Calibri"/>
                <w:color w:val="000000"/>
                <w:sz w:val="18"/>
                <w:szCs w:val="18"/>
                <w:lang w:eastAsia="es-CR"/>
              </w:rPr>
              <w:t>Reacondicionamiento Eléctrico Anexo A del II Circ Jud San José</w:t>
            </w:r>
          </w:p>
        </w:tc>
        <w:tc>
          <w:tcPr>
            <w:tcW w:w="3189" w:type="dxa"/>
            <w:shd w:val="clear" w:color="auto" w:fill="auto"/>
            <w:noWrap/>
            <w:vAlign w:val="center"/>
            <w:hideMark/>
          </w:tcPr>
          <w:p w14:paraId="1D44BCDF"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AE26E7">
              <w:rPr>
                <w:rFonts w:ascii="Book Antiqua" w:eastAsia="Times New Roman" w:hAnsi="Book Antiqua" w:cs="Calibri"/>
                <w:color w:val="000000"/>
                <w:sz w:val="18"/>
                <w:szCs w:val="18"/>
                <w:lang w:eastAsia="es-CR"/>
              </w:rPr>
              <w:t xml:space="preserve">Pendiente actualizar acta de constitución y plan de gestión producto de la solicitud de cambio del 18/4/22, 29/12/2022, 27/5/22, 7/4/22 lo siguiente: </w:t>
            </w:r>
          </w:p>
          <w:p w14:paraId="710E750D"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AE26E7">
              <w:rPr>
                <w:rFonts w:ascii="Book Antiqua" w:eastAsia="Times New Roman" w:hAnsi="Book Antiqua" w:cs="Calibri"/>
                <w:b/>
                <w:bCs/>
                <w:color w:val="000000"/>
                <w:sz w:val="18"/>
                <w:szCs w:val="18"/>
                <w:lang w:eastAsia="es-CR"/>
              </w:rPr>
              <w:t>En el plan de gestión:</w:t>
            </w:r>
            <w:r w:rsidRPr="00AE26E7">
              <w:rPr>
                <w:rFonts w:ascii="Book Antiqua" w:eastAsia="Times New Roman" w:hAnsi="Book Antiqua" w:cs="Calibri"/>
                <w:color w:val="000000"/>
                <w:sz w:val="18"/>
                <w:szCs w:val="18"/>
                <w:lang w:eastAsia="es-CR"/>
              </w:rPr>
              <w:t xml:space="preserve">  revisar que la EDT y el cronograma coincidan en su totalidad específicamente el diagrama de la EDT. </w:t>
            </w:r>
          </w:p>
          <w:p w14:paraId="52AD5CD9" w14:textId="77777777" w:rsidR="00E8321A" w:rsidRPr="00AE26E7" w:rsidRDefault="00E8321A" w:rsidP="00E24FCA">
            <w:pPr>
              <w:spacing w:after="0" w:line="240" w:lineRule="auto"/>
              <w:jc w:val="both"/>
              <w:rPr>
                <w:rFonts w:ascii="Book Antiqua" w:eastAsia="Times New Roman" w:hAnsi="Book Antiqua" w:cs="Calibri"/>
                <w:color w:val="000000"/>
                <w:sz w:val="18"/>
                <w:szCs w:val="18"/>
                <w:lang w:eastAsia="es-CR"/>
              </w:rPr>
            </w:pPr>
            <w:r w:rsidRPr="00AE26E7">
              <w:rPr>
                <w:rFonts w:ascii="Book Antiqua" w:eastAsia="Times New Roman" w:hAnsi="Book Antiqua" w:cs="Calibri"/>
                <w:b/>
                <w:bCs/>
                <w:color w:val="000000"/>
                <w:sz w:val="18"/>
                <w:szCs w:val="18"/>
                <w:lang w:eastAsia="es-CR"/>
              </w:rPr>
              <w:t>En Estudio de factibilidad pendiente:</w:t>
            </w:r>
            <w:r w:rsidRPr="00AE26E7">
              <w:rPr>
                <w:rFonts w:ascii="Book Antiqua" w:eastAsia="Times New Roman" w:hAnsi="Book Antiqua" w:cs="Calibri"/>
                <w:color w:val="000000"/>
                <w:sz w:val="18"/>
                <w:szCs w:val="18"/>
                <w:lang w:eastAsia="es-CR"/>
              </w:rPr>
              <w:t xml:space="preserve"> Planteamiento inicial del proyecto debe venir 3 alternativas de solución y el motivo por el cual se seleccionó la alternativa que se ejecutó; tiempo estimado indicar fecha de inicio y fin.</w:t>
            </w:r>
          </w:p>
        </w:tc>
        <w:tc>
          <w:tcPr>
            <w:tcW w:w="1047" w:type="dxa"/>
            <w:shd w:val="clear" w:color="auto" w:fill="auto"/>
            <w:noWrap/>
            <w:vAlign w:val="center"/>
            <w:hideMark/>
          </w:tcPr>
          <w:p w14:paraId="5FCFC4AD" w14:textId="77777777" w:rsidR="00E8321A" w:rsidRPr="00AE26E7" w:rsidRDefault="00E8321A" w:rsidP="00B56C1A">
            <w:pPr>
              <w:spacing w:after="0" w:line="240" w:lineRule="auto"/>
              <w:jc w:val="center"/>
              <w:rPr>
                <w:rFonts w:ascii="Book Antiqua" w:eastAsia="Times New Roman" w:hAnsi="Book Antiqua" w:cs="Calibri"/>
                <w:color w:val="000000"/>
                <w:sz w:val="18"/>
                <w:szCs w:val="18"/>
                <w:lang w:eastAsia="es-CR"/>
              </w:rPr>
            </w:pPr>
            <w:r w:rsidRPr="00AE26E7">
              <w:rPr>
                <w:rFonts w:ascii="Book Antiqua" w:eastAsia="Times New Roman" w:hAnsi="Book Antiqua" w:cs="Calibri"/>
                <w:color w:val="000000"/>
                <w:sz w:val="18"/>
                <w:szCs w:val="18"/>
                <w:lang w:eastAsia="es-CR"/>
              </w:rPr>
              <w:t>Capítulo 1</w:t>
            </w:r>
          </w:p>
        </w:tc>
        <w:tc>
          <w:tcPr>
            <w:tcW w:w="911" w:type="dxa"/>
            <w:shd w:val="clear" w:color="auto" w:fill="auto"/>
            <w:noWrap/>
            <w:vAlign w:val="center"/>
            <w:hideMark/>
          </w:tcPr>
          <w:p w14:paraId="40B90481" w14:textId="77777777" w:rsidR="00E8321A" w:rsidRPr="00AE26E7" w:rsidRDefault="00E8321A" w:rsidP="00B56C1A">
            <w:pPr>
              <w:spacing w:after="0" w:line="240" w:lineRule="auto"/>
              <w:jc w:val="center"/>
              <w:rPr>
                <w:rFonts w:ascii="Book Antiqua" w:eastAsia="Times New Roman" w:hAnsi="Book Antiqua" w:cs="Calibri"/>
                <w:color w:val="000000"/>
                <w:sz w:val="18"/>
                <w:szCs w:val="18"/>
                <w:lang w:eastAsia="es-CR"/>
              </w:rPr>
            </w:pPr>
            <w:r w:rsidRPr="00AE26E7">
              <w:rPr>
                <w:rFonts w:ascii="Book Antiqua" w:eastAsia="Times New Roman" w:hAnsi="Book Antiqua" w:cs="Calibri"/>
                <w:color w:val="000000"/>
                <w:sz w:val="18"/>
                <w:szCs w:val="18"/>
                <w:lang w:eastAsia="es-CR"/>
              </w:rPr>
              <w:t>1.12</w:t>
            </w:r>
          </w:p>
        </w:tc>
      </w:tr>
      <w:tr w:rsidR="007D35E8" w:rsidRPr="00AE26E7" w14:paraId="739F2F18" w14:textId="77777777" w:rsidTr="00B56C1A">
        <w:trPr>
          <w:trHeight w:val="330"/>
        </w:trPr>
        <w:tc>
          <w:tcPr>
            <w:tcW w:w="1470" w:type="dxa"/>
            <w:vMerge/>
            <w:shd w:val="clear" w:color="auto" w:fill="auto"/>
            <w:vAlign w:val="center"/>
            <w:hideMark/>
          </w:tcPr>
          <w:p w14:paraId="1F7D80BE" w14:textId="77777777" w:rsidR="00E8321A" w:rsidRPr="00AE26E7"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05" w:type="dxa"/>
            <w:vMerge/>
            <w:shd w:val="clear" w:color="auto" w:fill="auto"/>
            <w:vAlign w:val="center"/>
            <w:hideMark/>
          </w:tcPr>
          <w:p w14:paraId="2CC0AB9A" w14:textId="77777777" w:rsidR="00E8321A" w:rsidRPr="00AE26E7"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vMerge/>
            <w:shd w:val="clear" w:color="auto" w:fill="auto"/>
            <w:vAlign w:val="center"/>
            <w:hideMark/>
          </w:tcPr>
          <w:p w14:paraId="7683FDB9" w14:textId="77777777" w:rsidR="00E8321A" w:rsidRPr="00AE26E7"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67" w:type="dxa"/>
            <w:vMerge/>
            <w:shd w:val="clear" w:color="auto" w:fill="auto"/>
            <w:vAlign w:val="center"/>
            <w:hideMark/>
          </w:tcPr>
          <w:p w14:paraId="40A986B0" w14:textId="77777777" w:rsidR="00E8321A" w:rsidRPr="00AE26E7"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3189" w:type="dxa"/>
            <w:shd w:val="clear" w:color="auto" w:fill="auto"/>
            <w:noWrap/>
            <w:vAlign w:val="center"/>
            <w:hideMark/>
          </w:tcPr>
          <w:p w14:paraId="42A0D7BE" w14:textId="77777777" w:rsidR="00E8321A" w:rsidRPr="00AE26E7" w:rsidRDefault="00E8321A" w:rsidP="00E24FCA">
            <w:pPr>
              <w:spacing w:after="0" w:line="240" w:lineRule="auto"/>
              <w:jc w:val="both"/>
              <w:rPr>
                <w:rFonts w:ascii="Book Antiqua" w:eastAsia="Times New Roman" w:hAnsi="Book Antiqua" w:cs="Calibri"/>
                <w:color w:val="000000"/>
                <w:sz w:val="18"/>
                <w:szCs w:val="18"/>
                <w:lang w:eastAsia="es-CR"/>
              </w:rPr>
            </w:pPr>
            <w:r w:rsidRPr="00AE26E7">
              <w:rPr>
                <w:rFonts w:ascii="Book Antiqua" w:eastAsia="Times New Roman" w:hAnsi="Book Antiqua" w:cs="Calibri"/>
                <w:color w:val="000000"/>
                <w:sz w:val="18"/>
                <w:szCs w:val="18"/>
                <w:lang w:eastAsia="es-CR"/>
              </w:rPr>
              <w:t>Pendiente aprobación del patrocinador del informe de cierre</w:t>
            </w:r>
          </w:p>
        </w:tc>
        <w:tc>
          <w:tcPr>
            <w:tcW w:w="1047" w:type="dxa"/>
            <w:shd w:val="clear" w:color="auto" w:fill="auto"/>
            <w:noWrap/>
            <w:vAlign w:val="center"/>
            <w:hideMark/>
          </w:tcPr>
          <w:p w14:paraId="2F816AA4" w14:textId="77777777" w:rsidR="00E8321A" w:rsidRPr="00AE26E7" w:rsidRDefault="00E8321A" w:rsidP="00B56C1A">
            <w:pPr>
              <w:spacing w:after="0" w:line="240" w:lineRule="auto"/>
              <w:jc w:val="center"/>
              <w:rPr>
                <w:rFonts w:ascii="Book Antiqua" w:eastAsia="Times New Roman" w:hAnsi="Book Antiqua" w:cs="Calibri"/>
                <w:color w:val="000000"/>
                <w:sz w:val="18"/>
                <w:szCs w:val="18"/>
                <w:lang w:eastAsia="es-CR"/>
              </w:rPr>
            </w:pPr>
            <w:r w:rsidRPr="00AE26E7">
              <w:rPr>
                <w:rFonts w:ascii="Book Antiqua" w:eastAsia="Times New Roman" w:hAnsi="Book Antiqua" w:cs="Calibri"/>
                <w:color w:val="000000"/>
                <w:sz w:val="18"/>
                <w:szCs w:val="18"/>
                <w:lang w:eastAsia="es-CR"/>
              </w:rPr>
              <w:t>Capítulo 2</w:t>
            </w:r>
          </w:p>
        </w:tc>
        <w:tc>
          <w:tcPr>
            <w:tcW w:w="911" w:type="dxa"/>
            <w:shd w:val="clear" w:color="auto" w:fill="auto"/>
            <w:noWrap/>
            <w:vAlign w:val="center"/>
            <w:hideMark/>
          </w:tcPr>
          <w:p w14:paraId="12E4EE85" w14:textId="77777777" w:rsidR="00E8321A" w:rsidRPr="00AE26E7" w:rsidRDefault="00E8321A" w:rsidP="00B56C1A">
            <w:pPr>
              <w:spacing w:after="0" w:line="240" w:lineRule="auto"/>
              <w:jc w:val="center"/>
              <w:rPr>
                <w:rFonts w:ascii="Book Antiqua" w:eastAsia="Times New Roman" w:hAnsi="Book Antiqua" w:cs="Calibri"/>
                <w:color w:val="000000"/>
                <w:sz w:val="18"/>
                <w:szCs w:val="18"/>
                <w:lang w:eastAsia="es-CR"/>
              </w:rPr>
            </w:pPr>
            <w:r w:rsidRPr="00AE26E7">
              <w:rPr>
                <w:rFonts w:ascii="Book Antiqua" w:eastAsia="Times New Roman" w:hAnsi="Book Antiqua" w:cs="Calibri"/>
                <w:color w:val="000000"/>
                <w:sz w:val="18"/>
                <w:szCs w:val="18"/>
                <w:lang w:eastAsia="es-CR"/>
              </w:rPr>
              <w:t>2.4</w:t>
            </w:r>
          </w:p>
        </w:tc>
      </w:tr>
    </w:tbl>
    <w:p w14:paraId="3CDE9033" w14:textId="77777777" w:rsidR="00E8321A" w:rsidRPr="008F2C56" w:rsidRDefault="00E8321A" w:rsidP="00E8321A">
      <w:pPr>
        <w:spacing w:after="0" w:line="240" w:lineRule="auto"/>
        <w:jc w:val="both"/>
        <w:rPr>
          <w:rFonts w:ascii="Book Antiqua" w:hAnsi="Book Antiqua"/>
        </w:rPr>
      </w:pPr>
    </w:p>
    <w:p w14:paraId="414EBE55" w14:textId="77777777" w:rsidR="00E8321A" w:rsidRDefault="00E8321A" w:rsidP="00EF4E17">
      <w:pPr>
        <w:numPr>
          <w:ilvl w:val="1"/>
          <w:numId w:val="20"/>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Igualmente, deberá dar seguimiento a que, el </w:t>
      </w:r>
      <w:r w:rsidRPr="001D722A">
        <w:rPr>
          <w:rFonts w:ascii="Book Antiqua" w:hAnsi="Book Antiqua"/>
          <w:b/>
          <w:bCs/>
          <w:sz w:val="24"/>
          <w:szCs w:val="24"/>
        </w:rPr>
        <w:t>Departamento de Seguridad</w:t>
      </w:r>
      <w:r w:rsidRPr="001D722A">
        <w:rPr>
          <w:rFonts w:ascii="Book Antiqua" w:hAnsi="Book Antiqua"/>
          <w:sz w:val="24"/>
          <w:szCs w:val="24"/>
        </w:rPr>
        <w:t xml:space="preserve">, a más tardar el </w:t>
      </w:r>
      <w:r w:rsidRPr="00373A06">
        <w:rPr>
          <w:rFonts w:ascii="Book Antiqua" w:hAnsi="Book Antiqua"/>
          <w:b/>
          <w:bCs/>
          <w:sz w:val="24"/>
          <w:szCs w:val="24"/>
        </w:rPr>
        <w:t>11 de agosto del 2023</w:t>
      </w:r>
      <w:r w:rsidRPr="001D722A">
        <w:rPr>
          <w:rFonts w:ascii="Book Antiqua" w:hAnsi="Book Antiqua"/>
          <w:sz w:val="24"/>
          <w:szCs w:val="24"/>
        </w:rPr>
        <w:t xml:space="preserve">, cargue en el sitio de proyecto la atención de la siguiente recomendación: </w:t>
      </w:r>
    </w:p>
    <w:tbl>
      <w:tblPr>
        <w:tblW w:w="1079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691"/>
        <w:gridCol w:w="741"/>
        <w:gridCol w:w="1343"/>
        <w:gridCol w:w="3686"/>
        <w:gridCol w:w="953"/>
        <w:gridCol w:w="911"/>
      </w:tblGrid>
      <w:tr w:rsidR="0086493B" w:rsidRPr="00DC4AC6" w14:paraId="450C1502" w14:textId="77777777" w:rsidTr="00B56C1A">
        <w:trPr>
          <w:trHeight w:val="300"/>
        </w:trPr>
        <w:tc>
          <w:tcPr>
            <w:tcW w:w="1470" w:type="dxa"/>
            <w:shd w:val="clear" w:color="000000" w:fill="44546A"/>
            <w:noWrap/>
            <w:vAlign w:val="center"/>
            <w:hideMark/>
          </w:tcPr>
          <w:p w14:paraId="04E89980" w14:textId="77777777" w:rsidR="00E8321A" w:rsidRPr="00DC4AC6" w:rsidRDefault="00E8321A" w:rsidP="00B56C1A">
            <w:pPr>
              <w:spacing w:after="0" w:line="240" w:lineRule="auto"/>
              <w:jc w:val="center"/>
              <w:rPr>
                <w:rFonts w:ascii="Book Antiqua" w:eastAsia="Times New Roman" w:hAnsi="Book Antiqua" w:cs="Calibri"/>
                <w:b/>
                <w:bCs/>
                <w:color w:val="FFFFFF"/>
                <w:sz w:val="18"/>
                <w:szCs w:val="18"/>
                <w:lang w:eastAsia="es-CR"/>
              </w:rPr>
            </w:pPr>
            <w:r w:rsidRPr="00DC4AC6">
              <w:rPr>
                <w:rFonts w:ascii="Book Antiqua" w:eastAsia="Times New Roman" w:hAnsi="Book Antiqua" w:cs="Calibri"/>
                <w:b/>
                <w:bCs/>
                <w:color w:val="FFFFFF"/>
                <w:sz w:val="18"/>
                <w:szCs w:val="18"/>
                <w:lang w:eastAsia="es-CR"/>
              </w:rPr>
              <w:t>Centro de responsabilidad</w:t>
            </w:r>
          </w:p>
        </w:tc>
        <w:tc>
          <w:tcPr>
            <w:tcW w:w="1691" w:type="dxa"/>
            <w:shd w:val="clear" w:color="000000" w:fill="44546A"/>
            <w:noWrap/>
            <w:vAlign w:val="center"/>
            <w:hideMark/>
          </w:tcPr>
          <w:p w14:paraId="6A557613" w14:textId="77777777" w:rsidR="00E8321A" w:rsidRPr="00DC4AC6" w:rsidRDefault="00E8321A" w:rsidP="00B56C1A">
            <w:pPr>
              <w:spacing w:after="0" w:line="240" w:lineRule="auto"/>
              <w:jc w:val="center"/>
              <w:rPr>
                <w:rFonts w:ascii="Book Antiqua" w:eastAsia="Times New Roman" w:hAnsi="Book Antiqua" w:cs="Calibri"/>
                <w:b/>
                <w:bCs/>
                <w:color w:val="FFFFFF"/>
                <w:sz w:val="18"/>
                <w:szCs w:val="18"/>
                <w:lang w:eastAsia="es-CR"/>
              </w:rPr>
            </w:pPr>
            <w:r w:rsidRPr="00DC4AC6">
              <w:rPr>
                <w:rFonts w:ascii="Book Antiqua" w:eastAsia="Times New Roman" w:hAnsi="Book Antiqua" w:cs="Calibri"/>
                <w:b/>
                <w:bCs/>
                <w:color w:val="FFFFFF"/>
                <w:sz w:val="18"/>
                <w:szCs w:val="18"/>
                <w:lang w:eastAsia="es-CR"/>
              </w:rPr>
              <w:t>Oficina Líder</w:t>
            </w:r>
          </w:p>
        </w:tc>
        <w:tc>
          <w:tcPr>
            <w:tcW w:w="741" w:type="dxa"/>
            <w:shd w:val="clear" w:color="000000" w:fill="44546A"/>
            <w:noWrap/>
            <w:vAlign w:val="center"/>
            <w:hideMark/>
          </w:tcPr>
          <w:p w14:paraId="6B9FA80B" w14:textId="77777777" w:rsidR="00E8321A" w:rsidRPr="00DC4AC6" w:rsidRDefault="00E8321A" w:rsidP="00B56C1A">
            <w:pPr>
              <w:spacing w:after="0" w:line="240" w:lineRule="auto"/>
              <w:jc w:val="center"/>
              <w:rPr>
                <w:rFonts w:ascii="Book Antiqua" w:eastAsia="Times New Roman" w:hAnsi="Book Antiqua" w:cs="Calibri"/>
                <w:b/>
                <w:bCs/>
                <w:color w:val="FFFFFF"/>
                <w:sz w:val="18"/>
                <w:szCs w:val="18"/>
                <w:lang w:eastAsia="es-CR"/>
              </w:rPr>
            </w:pPr>
            <w:r w:rsidRPr="00DC4AC6">
              <w:rPr>
                <w:rFonts w:ascii="Book Antiqua" w:eastAsia="Times New Roman" w:hAnsi="Book Antiqua" w:cs="Calibri"/>
                <w:b/>
                <w:bCs/>
                <w:color w:val="FFFFFF"/>
                <w:sz w:val="18"/>
                <w:szCs w:val="18"/>
                <w:lang w:eastAsia="es-CR"/>
              </w:rPr>
              <w:t>Código</w:t>
            </w:r>
          </w:p>
        </w:tc>
        <w:tc>
          <w:tcPr>
            <w:tcW w:w="1343" w:type="dxa"/>
            <w:shd w:val="clear" w:color="000000" w:fill="44546A"/>
            <w:noWrap/>
            <w:vAlign w:val="center"/>
            <w:hideMark/>
          </w:tcPr>
          <w:p w14:paraId="66FE9279" w14:textId="77777777" w:rsidR="00E8321A" w:rsidRPr="00DC4AC6" w:rsidRDefault="00E8321A" w:rsidP="00B56C1A">
            <w:pPr>
              <w:spacing w:after="0" w:line="240" w:lineRule="auto"/>
              <w:jc w:val="center"/>
              <w:rPr>
                <w:rFonts w:ascii="Book Antiqua" w:eastAsia="Times New Roman" w:hAnsi="Book Antiqua" w:cs="Calibri"/>
                <w:b/>
                <w:bCs/>
                <w:color w:val="FFFFFF"/>
                <w:sz w:val="18"/>
                <w:szCs w:val="18"/>
                <w:lang w:eastAsia="es-CR"/>
              </w:rPr>
            </w:pPr>
            <w:r w:rsidRPr="00DC4AC6">
              <w:rPr>
                <w:rFonts w:ascii="Book Antiqua" w:eastAsia="Times New Roman" w:hAnsi="Book Antiqua" w:cs="Calibri"/>
                <w:b/>
                <w:bCs/>
                <w:color w:val="FFFFFF"/>
                <w:sz w:val="18"/>
                <w:szCs w:val="18"/>
                <w:lang w:eastAsia="es-CR"/>
              </w:rPr>
              <w:t>Nombre</w:t>
            </w:r>
          </w:p>
        </w:tc>
        <w:tc>
          <w:tcPr>
            <w:tcW w:w="3686" w:type="dxa"/>
            <w:shd w:val="clear" w:color="000000" w:fill="44546A"/>
            <w:noWrap/>
            <w:vAlign w:val="center"/>
            <w:hideMark/>
          </w:tcPr>
          <w:p w14:paraId="4F461C20" w14:textId="77777777" w:rsidR="00E8321A" w:rsidRPr="00DC4AC6" w:rsidRDefault="00E8321A" w:rsidP="00B56C1A">
            <w:pPr>
              <w:spacing w:after="0" w:line="240" w:lineRule="auto"/>
              <w:jc w:val="center"/>
              <w:rPr>
                <w:rFonts w:ascii="Book Antiqua" w:eastAsia="Times New Roman" w:hAnsi="Book Antiqua" w:cs="Calibri"/>
                <w:b/>
                <w:bCs/>
                <w:color w:val="FFFFFF"/>
                <w:sz w:val="18"/>
                <w:szCs w:val="18"/>
                <w:lang w:eastAsia="es-CR"/>
              </w:rPr>
            </w:pPr>
            <w:r w:rsidRPr="00DC4AC6">
              <w:rPr>
                <w:rFonts w:ascii="Book Antiqua" w:eastAsia="Times New Roman" w:hAnsi="Book Antiqua" w:cs="Calibri"/>
                <w:b/>
                <w:bCs/>
                <w:color w:val="FFFFFF"/>
                <w:sz w:val="18"/>
                <w:szCs w:val="18"/>
                <w:lang w:eastAsia="es-CR"/>
              </w:rPr>
              <w:t>Recomendación pendiente</w:t>
            </w:r>
          </w:p>
        </w:tc>
        <w:tc>
          <w:tcPr>
            <w:tcW w:w="953" w:type="dxa"/>
            <w:shd w:val="clear" w:color="000000" w:fill="44546A"/>
            <w:noWrap/>
            <w:vAlign w:val="center"/>
            <w:hideMark/>
          </w:tcPr>
          <w:p w14:paraId="4FB1CE3E" w14:textId="77777777" w:rsidR="00E8321A" w:rsidRPr="00DC4AC6" w:rsidRDefault="00E8321A" w:rsidP="00B56C1A">
            <w:pPr>
              <w:spacing w:after="0" w:line="240" w:lineRule="auto"/>
              <w:jc w:val="center"/>
              <w:rPr>
                <w:rFonts w:ascii="Book Antiqua" w:eastAsia="Times New Roman" w:hAnsi="Book Antiqua" w:cs="Calibri"/>
                <w:b/>
                <w:bCs/>
                <w:color w:val="FFFFFF"/>
                <w:sz w:val="18"/>
                <w:szCs w:val="18"/>
                <w:lang w:eastAsia="es-CR"/>
              </w:rPr>
            </w:pPr>
            <w:r w:rsidRPr="00DC4AC6">
              <w:rPr>
                <w:rFonts w:ascii="Book Antiqua" w:eastAsia="Times New Roman" w:hAnsi="Book Antiqua" w:cs="Calibri"/>
                <w:b/>
                <w:bCs/>
                <w:color w:val="FFFFFF"/>
                <w:sz w:val="18"/>
                <w:szCs w:val="18"/>
                <w:lang w:eastAsia="es-CR"/>
              </w:rPr>
              <w:t>Capítulo del informe</w:t>
            </w:r>
          </w:p>
        </w:tc>
        <w:tc>
          <w:tcPr>
            <w:tcW w:w="911" w:type="dxa"/>
            <w:shd w:val="clear" w:color="000000" w:fill="44546A"/>
            <w:noWrap/>
            <w:vAlign w:val="center"/>
            <w:hideMark/>
          </w:tcPr>
          <w:p w14:paraId="7341F976" w14:textId="77777777" w:rsidR="00E8321A" w:rsidRPr="00DC4AC6" w:rsidRDefault="00E8321A" w:rsidP="00B56C1A">
            <w:pPr>
              <w:spacing w:after="0" w:line="240" w:lineRule="auto"/>
              <w:jc w:val="center"/>
              <w:rPr>
                <w:rFonts w:ascii="Book Antiqua" w:eastAsia="Times New Roman" w:hAnsi="Book Antiqua" w:cs="Calibri"/>
                <w:b/>
                <w:bCs/>
                <w:color w:val="FFFFFF"/>
                <w:sz w:val="18"/>
                <w:szCs w:val="18"/>
                <w:lang w:eastAsia="es-CR"/>
              </w:rPr>
            </w:pPr>
            <w:r w:rsidRPr="00DC4AC6">
              <w:rPr>
                <w:rFonts w:ascii="Book Antiqua" w:eastAsia="Times New Roman" w:hAnsi="Book Antiqua" w:cs="Calibri"/>
                <w:b/>
                <w:bCs/>
                <w:color w:val="FFFFFF"/>
                <w:sz w:val="18"/>
                <w:szCs w:val="18"/>
                <w:lang w:eastAsia="es-CR"/>
              </w:rPr>
              <w:t>Apartado del informe</w:t>
            </w:r>
          </w:p>
        </w:tc>
      </w:tr>
      <w:tr w:rsidR="007D35E8" w:rsidRPr="00DC4AC6" w14:paraId="3958B204" w14:textId="77777777" w:rsidTr="00B56C1A">
        <w:trPr>
          <w:trHeight w:val="330"/>
        </w:trPr>
        <w:tc>
          <w:tcPr>
            <w:tcW w:w="1470" w:type="dxa"/>
            <w:vMerge w:val="restart"/>
            <w:shd w:val="clear" w:color="auto" w:fill="auto"/>
            <w:noWrap/>
            <w:vAlign w:val="center"/>
            <w:hideMark/>
          </w:tcPr>
          <w:p w14:paraId="7B8ED25A" w14:textId="77777777" w:rsidR="00E8321A" w:rsidRPr="00DC4AC6" w:rsidRDefault="00E8321A" w:rsidP="00B56C1A">
            <w:pPr>
              <w:spacing w:after="0" w:line="240" w:lineRule="auto"/>
              <w:jc w:val="center"/>
              <w:rPr>
                <w:rFonts w:ascii="Book Antiqua" w:eastAsia="Times New Roman" w:hAnsi="Book Antiqua" w:cs="Calibri"/>
                <w:color w:val="000000"/>
                <w:sz w:val="18"/>
                <w:szCs w:val="18"/>
                <w:lang w:eastAsia="es-CR"/>
              </w:rPr>
            </w:pPr>
            <w:r w:rsidRPr="00DC4AC6">
              <w:rPr>
                <w:rFonts w:ascii="Book Antiqua" w:eastAsia="Times New Roman" w:hAnsi="Book Antiqua" w:cs="Calibri"/>
                <w:color w:val="000000"/>
                <w:sz w:val="18"/>
                <w:szCs w:val="18"/>
                <w:lang w:eastAsia="es-CR"/>
              </w:rPr>
              <w:t>Dirección Ejecutiva</w:t>
            </w:r>
          </w:p>
        </w:tc>
        <w:tc>
          <w:tcPr>
            <w:tcW w:w="1691" w:type="dxa"/>
            <w:vMerge w:val="restart"/>
            <w:shd w:val="clear" w:color="auto" w:fill="auto"/>
            <w:noWrap/>
            <w:vAlign w:val="center"/>
            <w:hideMark/>
          </w:tcPr>
          <w:p w14:paraId="3128C4BA" w14:textId="77777777" w:rsidR="00E8321A" w:rsidRPr="00DC4AC6" w:rsidRDefault="00E8321A" w:rsidP="00B56C1A">
            <w:pPr>
              <w:spacing w:after="0" w:line="240" w:lineRule="auto"/>
              <w:jc w:val="center"/>
              <w:rPr>
                <w:rFonts w:ascii="Book Antiqua" w:eastAsia="Times New Roman" w:hAnsi="Book Antiqua" w:cs="Calibri"/>
                <w:color w:val="000000"/>
                <w:sz w:val="18"/>
                <w:szCs w:val="18"/>
                <w:lang w:eastAsia="es-CR"/>
              </w:rPr>
            </w:pPr>
            <w:r w:rsidRPr="00DC4AC6">
              <w:rPr>
                <w:rFonts w:ascii="Book Antiqua" w:eastAsia="Times New Roman" w:hAnsi="Book Antiqua" w:cs="Calibri"/>
                <w:color w:val="000000"/>
                <w:sz w:val="18"/>
                <w:szCs w:val="18"/>
                <w:lang w:eastAsia="es-CR"/>
              </w:rPr>
              <w:t>0147 DEPARTAMENTO DE SEGURIDAD</w:t>
            </w:r>
          </w:p>
        </w:tc>
        <w:tc>
          <w:tcPr>
            <w:tcW w:w="741" w:type="dxa"/>
            <w:shd w:val="clear" w:color="auto" w:fill="auto"/>
            <w:noWrap/>
            <w:vAlign w:val="center"/>
            <w:hideMark/>
          </w:tcPr>
          <w:p w14:paraId="040FDB21" w14:textId="77777777" w:rsidR="00E8321A" w:rsidRPr="00DC4AC6" w:rsidRDefault="00E8321A" w:rsidP="00B56C1A">
            <w:pPr>
              <w:spacing w:after="0" w:line="240" w:lineRule="auto"/>
              <w:jc w:val="center"/>
              <w:rPr>
                <w:rFonts w:ascii="Book Antiqua" w:eastAsia="Times New Roman" w:hAnsi="Book Antiqua" w:cs="Calibri"/>
                <w:color w:val="000000"/>
                <w:sz w:val="18"/>
                <w:szCs w:val="18"/>
                <w:lang w:eastAsia="es-CR"/>
              </w:rPr>
            </w:pPr>
            <w:r w:rsidRPr="00DC4AC6">
              <w:rPr>
                <w:rFonts w:ascii="Book Antiqua" w:eastAsia="Times New Roman" w:hAnsi="Book Antiqua" w:cs="Calibri"/>
                <w:color w:val="000000"/>
                <w:sz w:val="18"/>
                <w:szCs w:val="18"/>
                <w:lang w:eastAsia="es-CR"/>
              </w:rPr>
              <w:t>0117-DE-P01</w:t>
            </w:r>
          </w:p>
        </w:tc>
        <w:tc>
          <w:tcPr>
            <w:tcW w:w="1343" w:type="dxa"/>
            <w:shd w:val="clear" w:color="auto" w:fill="auto"/>
            <w:noWrap/>
            <w:vAlign w:val="center"/>
            <w:hideMark/>
          </w:tcPr>
          <w:p w14:paraId="6F56465F" w14:textId="77777777" w:rsidR="00E8321A" w:rsidRPr="00DC4AC6" w:rsidRDefault="00E8321A" w:rsidP="00B56C1A">
            <w:pPr>
              <w:spacing w:after="0" w:line="240" w:lineRule="auto"/>
              <w:jc w:val="center"/>
              <w:rPr>
                <w:rFonts w:ascii="Book Antiqua" w:eastAsia="Times New Roman" w:hAnsi="Book Antiqua" w:cs="Calibri"/>
                <w:color w:val="000000"/>
                <w:sz w:val="18"/>
                <w:szCs w:val="18"/>
                <w:lang w:eastAsia="es-CR"/>
              </w:rPr>
            </w:pPr>
            <w:r w:rsidRPr="00DC4AC6">
              <w:rPr>
                <w:rFonts w:ascii="Book Antiqua" w:eastAsia="Times New Roman" w:hAnsi="Book Antiqua" w:cs="Calibri"/>
                <w:color w:val="000000"/>
                <w:sz w:val="18"/>
                <w:szCs w:val="18"/>
                <w:lang w:eastAsia="es-CR"/>
              </w:rPr>
              <w:t>Sistema Control de Accesos y Asistencia Electrónica</w:t>
            </w:r>
          </w:p>
        </w:tc>
        <w:tc>
          <w:tcPr>
            <w:tcW w:w="3686" w:type="dxa"/>
            <w:shd w:val="clear" w:color="auto" w:fill="auto"/>
            <w:noWrap/>
            <w:vAlign w:val="center"/>
            <w:hideMark/>
          </w:tcPr>
          <w:p w14:paraId="5BD68BFE" w14:textId="77777777" w:rsidR="00E8321A" w:rsidRDefault="00E8321A" w:rsidP="00B56C1A">
            <w:pPr>
              <w:spacing w:after="0" w:line="240" w:lineRule="auto"/>
              <w:jc w:val="center"/>
              <w:rPr>
                <w:rFonts w:ascii="Book Antiqua" w:eastAsia="Times New Roman" w:hAnsi="Book Antiqua" w:cs="Calibri"/>
                <w:color w:val="000000"/>
                <w:sz w:val="18"/>
                <w:szCs w:val="18"/>
                <w:lang w:eastAsia="es-CR"/>
              </w:rPr>
            </w:pPr>
            <w:r w:rsidRPr="00DC4AC6">
              <w:rPr>
                <w:rFonts w:ascii="Book Antiqua" w:eastAsia="Times New Roman" w:hAnsi="Book Antiqua" w:cs="Calibri"/>
                <w:color w:val="000000"/>
                <w:sz w:val="18"/>
                <w:szCs w:val="18"/>
                <w:lang w:eastAsia="es-CR"/>
              </w:rPr>
              <w:t xml:space="preserve">Producto de la solicitud de cambio del 5-5-23 pendiente: </w:t>
            </w:r>
          </w:p>
          <w:p w14:paraId="50C57540" w14:textId="77777777" w:rsidR="00E8321A" w:rsidRPr="00DC4AC6" w:rsidRDefault="00E8321A" w:rsidP="00E24FCA">
            <w:pPr>
              <w:spacing w:after="0" w:line="240" w:lineRule="auto"/>
              <w:jc w:val="both"/>
              <w:rPr>
                <w:rFonts w:ascii="Book Antiqua" w:eastAsia="Times New Roman" w:hAnsi="Book Antiqua" w:cs="Calibri"/>
                <w:color w:val="000000"/>
                <w:sz w:val="18"/>
                <w:szCs w:val="18"/>
                <w:lang w:eastAsia="es-CR"/>
              </w:rPr>
            </w:pPr>
            <w:r w:rsidRPr="00DC4AC6">
              <w:rPr>
                <w:rFonts w:ascii="Book Antiqua" w:eastAsia="Times New Roman" w:hAnsi="Book Antiqua" w:cs="Calibri"/>
                <w:b/>
                <w:bCs/>
                <w:color w:val="000000"/>
                <w:sz w:val="18"/>
                <w:szCs w:val="18"/>
                <w:lang w:eastAsia="es-CR"/>
              </w:rPr>
              <w:t>Plan de gestión:</w:t>
            </w:r>
            <w:r w:rsidRPr="00DC4AC6">
              <w:rPr>
                <w:rFonts w:ascii="Book Antiqua" w:eastAsia="Times New Roman" w:hAnsi="Book Antiqua" w:cs="Calibri"/>
                <w:color w:val="000000"/>
                <w:sz w:val="18"/>
                <w:szCs w:val="18"/>
                <w:lang w:eastAsia="es-CR"/>
              </w:rPr>
              <w:t xml:space="preserve"> corregir cuadro de EDT el mismo debe indicar las diferentes fases y entregables; además se debe corregir el cronograma para que también indica que las fases de formulación, planificación, ejecución y cierre; en el diagrama de la EDT falta indicar correctamente la codificación.</w:t>
            </w:r>
          </w:p>
        </w:tc>
        <w:tc>
          <w:tcPr>
            <w:tcW w:w="953" w:type="dxa"/>
            <w:shd w:val="clear" w:color="auto" w:fill="auto"/>
            <w:noWrap/>
            <w:vAlign w:val="center"/>
            <w:hideMark/>
          </w:tcPr>
          <w:p w14:paraId="422FFA42" w14:textId="77777777" w:rsidR="00E8321A" w:rsidRPr="00DC4AC6" w:rsidRDefault="00E8321A" w:rsidP="00B56C1A">
            <w:pPr>
              <w:spacing w:after="0" w:line="240" w:lineRule="auto"/>
              <w:jc w:val="center"/>
              <w:rPr>
                <w:rFonts w:ascii="Book Antiqua" w:eastAsia="Times New Roman" w:hAnsi="Book Antiqua" w:cs="Calibri"/>
                <w:color w:val="000000"/>
                <w:sz w:val="18"/>
                <w:szCs w:val="18"/>
                <w:lang w:eastAsia="es-CR"/>
              </w:rPr>
            </w:pPr>
            <w:r w:rsidRPr="00DC4AC6">
              <w:rPr>
                <w:rFonts w:ascii="Book Antiqua" w:eastAsia="Times New Roman" w:hAnsi="Book Antiqua" w:cs="Calibri"/>
                <w:color w:val="000000"/>
                <w:sz w:val="18"/>
                <w:szCs w:val="18"/>
                <w:lang w:eastAsia="es-CR"/>
              </w:rPr>
              <w:t>Capítulo 2</w:t>
            </w:r>
          </w:p>
        </w:tc>
        <w:tc>
          <w:tcPr>
            <w:tcW w:w="911" w:type="dxa"/>
            <w:shd w:val="clear" w:color="auto" w:fill="auto"/>
            <w:noWrap/>
            <w:vAlign w:val="center"/>
            <w:hideMark/>
          </w:tcPr>
          <w:p w14:paraId="45A07FEE" w14:textId="77777777" w:rsidR="00E8321A" w:rsidRPr="00DC4AC6" w:rsidRDefault="00E8321A" w:rsidP="00B56C1A">
            <w:pPr>
              <w:spacing w:after="0" w:line="240" w:lineRule="auto"/>
              <w:jc w:val="center"/>
              <w:rPr>
                <w:rFonts w:ascii="Book Antiqua" w:eastAsia="Times New Roman" w:hAnsi="Book Antiqua" w:cs="Calibri"/>
                <w:color w:val="000000"/>
                <w:sz w:val="18"/>
                <w:szCs w:val="18"/>
                <w:lang w:eastAsia="es-CR"/>
              </w:rPr>
            </w:pPr>
            <w:r w:rsidRPr="00DC4AC6">
              <w:rPr>
                <w:rFonts w:ascii="Book Antiqua" w:eastAsia="Times New Roman" w:hAnsi="Book Antiqua" w:cs="Calibri"/>
                <w:color w:val="000000"/>
                <w:sz w:val="18"/>
                <w:szCs w:val="18"/>
                <w:lang w:eastAsia="es-CR"/>
              </w:rPr>
              <w:t>2.3</w:t>
            </w:r>
          </w:p>
        </w:tc>
      </w:tr>
      <w:tr w:rsidR="007D35E8" w:rsidRPr="00DC4AC6" w14:paraId="649E50F0" w14:textId="77777777" w:rsidTr="00B56C1A">
        <w:trPr>
          <w:trHeight w:val="330"/>
        </w:trPr>
        <w:tc>
          <w:tcPr>
            <w:tcW w:w="1470" w:type="dxa"/>
            <w:vMerge/>
            <w:shd w:val="clear" w:color="auto" w:fill="auto"/>
            <w:vAlign w:val="center"/>
            <w:hideMark/>
          </w:tcPr>
          <w:p w14:paraId="1AB21427" w14:textId="77777777" w:rsidR="00E8321A" w:rsidRPr="00DC4AC6"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691" w:type="dxa"/>
            <w:vMerge/>
            <w:shd w:val="clear" w:color="auto" w:fill="auto"/>
            <w:vAlign w:val="center"/>
            <w:hideMark/>
          </w:tcPr>
          <w:p w14:paraId="3CBBE7B2" w14:textId="77777777" w:rsidR="00E8321A" w:rsidRPr="00DC4AC6"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shd w:val="clear" w:color="auto" w:fill="auto"/>
            <w:noWrap/>
            <w:vAlign w:val="center"/>
            <w:hideMark/>
          </w:tcPr>
          <w:p w14:paraId="0FB4751A" w14:textId="77777777" w:rsidR="00E8321A" w:rsidRPr="00DC4AC6" w:rsidRDefault="00E8321A" w:rsidP="00B56C1A">
            <w:pPr>
              <w:spacing w:after="0" w:line="240" w:lineRule="auto"/>
              <w:jc w:val="center"/>
              <w:rPr>
                <w:rFonts w:ascii="Book Antiqua" w:eastAsia="Times New Roman" w:hAnsi="Book Antiqua" w:cs="Calibri"/>
                <w:color w:val="000000"/>
                <w:sz w:val="18"/>
                <w:szCs w:val="18"/>
                <w:lang w:eastAsia="es-CR"/>
              </w:rPr>
            </w:pPr>
            <w:r w:rsidRPr="00DC4AC6">
              <w:rPr>
                <w:rFonts w:ascii="Book Antiqua" w:eastAsia="Times New Roman" w:hAnsi="Book Antiqua" w:cs="Calibri"/>
                <w:color w:val="000000"/>
                <w:sz w:val="18"/>
                <w:szCs w:val="18"/>
                <w:lang w:eastAsia="es-CR"/>
              </w:rPr>
              <w:t>0117-DE-P21</w:t>
            </w:r>
          </w:p>
        </w:tc>
        <w:tc>
          <w:tcPr>
            <w:tcW w:w="1343" w:type="dxa"/>
            <w:shd w:val="clear" w:color="auto" w:fill="auto"/>
            <w:noWrap/>
            <w:vAlign w:val="center"/>
            <w:hideMark/>
          </w:tcPr>
          <w:p w14:paraId="18FD2D55" w14:textId="77777777" w:rsidR="00E8321A" w:rsidRPr="00DC4AC6" w:rsidRDefault="00E8321A" w:rsidP="00B56C1A">
            <w:pPr>
              <w:spacing w:after="0" w:line="240" w:lineRule="auto"/>
              <w:jc w:val="center"/>
              <w:rPr>
                <w:rFonts w:ascii="Book Antiqua" w:eastAsia="Times New Roman" w:hAnsi="Book Antiqua" w:cs="Calibri"/>
                <w:color w:val="000000"/>
                <w:sz w:val="18"/>
                <w:szCs w:val="18"/>
                <w:lang w:eastAsia="es-CR"/>
              </w:rPr>
            </w:pPr>
            <w:r w:rsidRPr="00DC4AC6">
              <w:rPr>
                <w:rFonts w:ascii="Book Antiqua" w:eastAsia="Times New Roman" w:hAnsi="Book Antiqua" w:cs="Calibri"/>
                <w:color w:val="000000"/>
                <w:sz w:val="18"/>
                <w:szCs w:val="18"/>
                <w:lang w:eastAsia="es-CR"/>
              </w:rPr>
              <w:t xml:space="preserve">Sistema de Voceo y Comunicación </w:t>
            </w:r>
            <w:r w:rsidRPr="00DC4AC6">
              <w:rPr>
                <w:rFonts w:ascii="Book Antiqua" w:eastAsia="Times New Roman" w:hAnsi="Book Antiqua" w:cs="Calibri"/>
                <w:color w:val="000000"/>
                <w:sz w:val="18"/>
                <w:szCs w:val="18"/>
                <w:lang w:eastAsia="es-CR"/>
              </w:rPr>
              <w:lastRenderedPageBreak/>
              <w:t>Institucional para la Corte Suprema de Justicia y la de Plaza de la Justicia</w:t>
            </w:r>
          </w:p>
        </w:tc>
        <w:tc>
          <w:tcPr>
            <w:tcW w:w="3686" w:type="dxa"/>
            <w:shd w:val="clear" w:color="auto" w:fill="auto"/>
            <w:noWrap/>
            <w:vAlign w:val="center"/>
            <w:hideMark/>
          </w:tcPr>
          <w:p w14:paraId="43C0C2E9" w14:textId="77777777" w:rsidR="00E8321A" w:rsidRPr="00DC4AC6" w:rsidRDefault="00E8321A" w:rsidP="00B56C1A">
            <w:pPr>
              <w:spacing w:after="0" w:line="240" w:lineRule="auto"/>
              <w:jc w:val="center"/>
              <w:rPr>
                <w:rFonts w:ascii="Book Antiqua" w:eastAsia="Times New Roman" w:hAnsi="Book Antiqua" w:cs="Calibri"/>
                <w:color w:val="000000"/>
                <w:sz w:val="18"/>
                <w:szCs w:val="18"/>
                <w:lang w:eastAsia="es-CR"/>
              </w:rPr>
            </w:pPr>
            <w:r w:rsidRPr="00DC4AC6">
              <w:rPr>
                <w:rFonts w:ascii="Book Antiqua" w:eastAsia="Times New Roman" w:hAnsi="Book Antiqua" w:cs="Calibri"/>
                <w:color w:val="000000"/>
                <w:sz w:val="18"/>
                <w:szCs w:val="18"/>
                <w:lang w:eastAsia="es-CR"/>
              </w:rPr>
              <w:lastRenderedPageBreak/>
              <w:t>Porcentaje de avance real esta diferentes al mostrado en el Project muestra un 59% y no un 44%.</w:t>
            </w:r>
          </w:p>
        </w:tc>
        <w:tc>
          <w:tcPr>
            <w:tcW w:w="953" w:type="dxa"/>
            <w:shd w:val="clear" w:color="auto" w:fill="auto"/>
            <w:noWrap/>
            <w:vAlign w:val="center"/>
            <w:hideMark/>
          </w:tcPr>
          <w:p w14:paraId="550244DA" w14:textId="77777777" w:rsidR="00E8321A" w:rsidRPr="00DC4AC6" w:rsidRDefault="00E8321A" w:rsidP="00B56C1A">
            <w:pPr>
              <w:spacing w:after="0" w:line="240" w:lineRule="auto"/>
              <w:jc w:val="center"/>
              <w:rPr>
                <w:rFonts w:ascii="Book Antiqua" w:eastAsia="Times New Roman" w:hAnsi="Book Antiqua" w:cs="Calibri"/>
                <w:color w:val="000000"/>
                <w:sz w:val="18"/>
                <w:szCs w:val="18"/>
                <w:lang w:eastAsia="es-CR"/>
              </w:rPr>
            </w:pPr>
            <w:r w:rsidRPr="00DC4AC6">
              <w:rPr>
                <w:rFonts w:ascii="Book Antiqua" w:eastAsia="Times New Roman" w:hAnsi="Book Antiqua" w:cs="Calibri"/>
                <w:color w:val="000000"/>
                <w:sz w:val="18"/>
                <w:szCs w:val="18"/>
                <w:lang w:eastAsia="es-CR"/>
              </w:rPr>
              <w:t>Capítulo 2</w:t>
            </w:r>
          </w:p>
        </w:tc>
        <w:tc>
          <w:tcPr>
            <w:tcW w:w="911" w:type="dxa"/>
            <w:shd w:val="clear" w:color="auto" w:fill="auto"/>
            <w:noWrap/>
            <w:vAlign w:val="center"/>
            <w:hideMark/>
          </w:tcPr>
          <w:p w14:paraId="531841BA" w14:textId="77777777" w:rsidR="00E8321A" w:rsidRPr="00DC4AC6" w:rsidRDefault="00E8321A" w:rsidP="00B56C1A">
            <w:pPr>
              <w:spacing w:after="0" w:line="240" w:lineRule="auto"/>
              <w:jc w:val="center"/>
              <w:rPr>
                <w:rFonts w:ascii="Book Antiqua" w:eastAsia="Times New Roman" w:hAnsi="Book Antiqua" w:cs="Calibri"/>
                <w:color w:val="000000"/>
                <w:sz w:val="18"/>
                <w:szCs w:val="18"/>
                <w:lang w:eastAsia="es-CR"/>
              </w:rPr>
            </w:pPr>
            <w:r w:rsidRPr="00DC4AC6">
              <w:rPr>
                <w:rFonts w:ascii="Book Antiqua" w:eastAsia="Times New Roman" w:hAnsi="Book Antiqua" w:cs="Calibri"/>
                <w:color w:val="000000"/>
                <w:sz w:val="18"/>
                <w:szCs w:val="18"/>
                <w:lang w:eastAsia="es-CR"/>
              </w:rPr>
              <w:t>2.1</w:t>
            </w:r>
          </w:p>
        </w:tc>
      </w:tr>
    </w:tbl>
    <w:p w14:paraId="2893F542" w14:textId="77777777" w:rsidR="00E8321A" w:rsidRPr="008F2C56" w:rsidRDefault="00E8321A" w:rsidP="00E8321A">
      <w:pPr>
        <w:spacing w:after="0" w:line="240" w:lineRule="auto"/>
        <w:jc w:val="both"/>
        <w:rPr>
          <w:rFonts w:ascii="Book Antiqua" w:hAnsi="Book Antiqua"/>
        </w:rPr>
      </w:pPr>
    </w:p>
    <w:p w14:paraId="4F34B84C" w14:textId="21DCD709" w:rsidR="00E8321A" w:rsidRPr="001D722A" w:rsidRDefault="000F699E" w:rsidP="00EF4E17">
      <w:pPr>
        <w:numPr>
          <w:ilvl w:val="1"/>
          <w:numId w:val="20"/>
        </w:numPr>
        <w:spacing w:after="0" w:line="240" w:lineRule="auto"/>
        <w:ind w:left="426" w:hanging="426"/>
        <w:jc w:val="both"/>
        <w:rPr>
          <w:rFonts w:ascii="Book Antiqua" w:eastAsia="Book Antiqua" w:hAnsi="Book Antiqua"/>
          <w:sz w:val="24"/>
          <w:szCs w:val="24"/>
        </w:rPr>
      </w:pPr>
      <w:r>
        <w:rPr>
          <w:rFonts w:ascii="Book Antiqua" w:hAnsi="Book Antiqua"/>
          <w:sz w:val="24"/>
          <w:szCs w:val="24"/>
        </w:rPr>
        <w:t xml:space="preserve"> </w:t>
      </w:r>
      <w:r w:rsidR="00E8321A" w:rsidRPr="001D722A">
        <w:rPr>
          <w:rFonts w:ascii="Book Antiqua" w:hAnsi="Book Antiqua"/>
          <w:sz w:val="24"/>
          <w:szCs w:val="24"/>
        </w:rPr>
        <w:t xml:space="preserve">Es importante que las oficinas lideres que presentan retraso, tomen </w:t>
      </w:r>
      <w:r w:rsidR="00E8321A" w:rsidRPr="001D722A" w:rsidDel="00A51CE8">
        <w:rPr>
          <w:rFonts w:ascii="Book Antiqua" w:hAnsi="Book Antiqua"/>
          <w:sz w:val="24"/>
          <w:szCs w:val="24"/>
        </w:rPr>
        <w:t>las medidas pertinentes a fin de poder contrarrestar los atrasos presentados</w:t>
      </w:r>
      <w:r w:rsidR="00E8321A" w:rsidRPr="001D722A">
        <w:rPr>
          <w:rFonts w:ascii="Book Antiqua" w:hAnsi="Book Antiqua"/>
          <w:sz w:val="24"/>
          <w:szCs w:val="24"/>
        </w:rPr>
        <w:t>.  Cuando no sea posible subsanar los atrasos, se deberá valorar la presentación de una solicitud de cambio en los casos que el retraso afecte la fecha de finalización de los proyectos y que la misma tenga autorización de la persona jefe o del director del proyecto.</w:t>
      </w:r>
    </w:p>
    <w:p w14:paraId="348F14DA" w14:textId="77777777" w:rsidR="00E8321A" w:rsidRPr="001D722A" w:rsidRDefault="00E8321A" w:rsidP="00E8321A">
      <w:pPr>
        <w:spacing w:after="0" w:line="240" w:lineRule="auto"/>
        <w:ind w:left="426"/>
        <w:jc w:val="both"/>
        <w:rPr>
          <w:rFonts w:ascii="Book Antiqua" w:eastAsia="Book Antiqua" w:hAnsi="Book Antiqua"/>
          <w:sz w:val="24"/>
          <w:szCs w:val="24"/>
        </w:rPr>
      </w:pPr>
    </w:p>
    <w:p w14:paraId="701FAF7B" w14:textId="77777777" w:rsidR="00E8321A" w:rsidRPr="001D722A" w:rsidRDefault="00E8321A" w:rsidP="00EF4E17">
      <w:pPr>
        <w:numPr>
          <w:ilvl w:val="1"/>
          <w:numId w:val="20"/>
        </w:numPr>
        <w:spacing w:after="0" w:line="240" w:lineRule="auto"/>
        <w:ind w:left="426" w:hanging="426"/>
        <w:jc w:val="both"/>
        <w:rPr>
          <w:rFonts w:ascii="Book Antiqua" w:hAnsi="Book Antiqua"/>
          <w:sz w:val="24"/>
          <w:szCs w:val="24"/>
        </w:rPr>
      </w:pPr>
      <w:r w:rsidRPr="001D722A">
        <w:rPr>
          <w:rFonts w:ascii="Book Antiqua" w:hAnsi="Book Antiqua"/>
          <w:sz w:val="24"/>
          <w:szCs w:val="24"/>
        </w:rPr>
        <w:t>Asimismo, es importante revisar y monitorear los proyectos que presentan un retraso significativo, y cuentan con permisos con goce otorgados.</w:t>
      </w:r>
    </w:p>
    <w:p w14:paraId="0A9BFC0C" w14:textId="77777777" w:rsidR="00E8321A" w:rsidRPr="001D722A" w:rsidRDefault="00E8321A" w:rsidP="00E8321A">
      <w:pPr>
        <w:spacing w:after="0" w:line="240" w:lineRule="auto"/>
        <w:jc w:val="both"/>
        <w:rPr>
          <w:rFonts w:ascii="Book Antiqua" w:hAnsi="Book Antiqua"/>
          <w:b/>
          <w:sz w:val="24"/>
          <w:szCs w:val="24"/>
          <w:highlight w:val="yellow"/>
        </w:rPr>
      </w:pPr>
    </w:p>
    <w:p w14:paraId="1D20FD4D" w14:textId="77777777" w:rsidR="00E8321A" w:rsidRPr="00126691" w:rsidRDefault="00E8321A" w:rsidP="00E8321A">
      <w:pPr>
        <w:pStyle w:val="Ttulo2"/>
        <w:spacing w:before="0"/>
        <w:rPr>
          <w:rFonts w:ascii="Book Antiqua" w:hAnsi="Book Antiqua"/>
          <w:b/>
          <w:bCs/>
          <w:color w:val="auto"/>
          <w:sz w:val="24"/>
          <w:szCs w:val="24"/>
        </w:rPr>
      </w:pPr>
      <w:bookmarkStart w:id="185" w:name="_Toc131160618"/>
      <w:bookmarkStart w:id="186" w:name="_Toc138770899"/>
      <w:r w:rsidRPr="00126691">
        <w:rPr>
          <w:rFonts w:ascii="Book Antiqua" w:hAnsi="Book Antiqua"/>
          <w:b/>
          <w:bCs/>
          <w:color w:val="auto"/>
          <w:sz w:val="24"/>
          <w:szCs w:val="24"/>
        </w:rPr>
        <w:t>A la Dirección Gestión Humana.</w:t>
      </w:r>
      <w:bookmarkEnd w:id="185"/>
      <w:bookmarkEnd w:id="186"/>
    </w:p>
    <w:p w14:paraId="15A23B82" w14:textId="77777777" w:rsidR="00E8321A" w:rsidRPr="001D722A" w:rsidRDefault="00E8321A" w:rsidP="00E8321A">
      <w:pPr>
        <w:spacing w:after="0" w:line="240" w:lineRule="auto"/>
        <w:jc w:val="both"/>
        <w:rPr>
          <w:rFonts w:ascii="Book Antiqua" w:hAnsi="Book Antiqua"/>
          <w:b/>
          <w:sz w:val="24"/>
          <w:szCs w:val="24"/>
        </w:rPr>
      </w:pPr>
    </w:p>
    <w:p w14:paraId="0BD1971D" w14:textId="77777777" w:rsidR="00E8321A" w:rsidRDefault="00E8321A" w:rsidP="00EF4E17">
      <w:pPr>
        <w:numPr>
          <w:ilvl w:val="1"/>
          <w:numId w:val="20"/>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Se solicita dar seguimiento para que las oficinas líderes que se detallan a continuación, a más tardar el </w:t>
      </w:r>
      <w:r w:rsidRPr="00373A06">
        <w:rPr>
          <w:rFonts w:ascii="Book Antiqua" w:hAnsi="Book Antiqua"/>
          <w:b/>
          <w:bCs/>
          <w:sz w:val="24"/>
          <w:szCs w:val="24"/>
        </w:rPr>
        <w:t>11 de agosto del 2023</w:t>
      </w:r>
      <w:r w:rsidRPr="001D722A">
        <w:rPr>
          <w:rFonts w:ascii="Book Antiqua" w:hAnsi="Book Antiqua"/>
          <w:sz w:val="24"/>
          <w:szCs w:val="24"/>
        </w:rPr>
        <w:t xml:space="preserve">, carguen en el sitio de los proyectos siguientes recomendaciones: </w:t>
      </w:r>
    </w:p>
    <w:tbl>
      <w:tblPr>
        <w:tblW w:w="1052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805"/>
        <w:gridCol w:w="741"/>
        <w:gridCol w:w="1464"/>
        <w:gridCol w:w="3167"/>
        <w:gridCol w:w="962"/>
        <w:gridCol w:w="911"/>
      </w:tblGrid>
      <w:tr w:rsidR="0086493B" w:rsidRPr="00BD6E6D" w14:paraId="6C761AC6" w14:textId="77777777" w:rsidTr="00B56C1A">
        <w:trPr>
          <w:trHeight w:val="300"/>
          <w:tblHeader/>
        </w:trPr>
        <w:tc>
          <w:tcPr>
            <w:tcW w:w="1470" w:type="dxa"/>
            <w:shd w:val="clear" w:color="000000" w:fill="44546A"/>
            <w:noWrap/>
            <w:vAlign w:val="center"/>
            <w:hideMark/>
          </w:tcPr>
          <w:p w14:paraId="029EDF72" w14:textId="77777777" w:rsidR="00E8321A" w:rsidRPr="00BD6E6D" w:rsidRDefault="00E8321A" w:rsidP="00B56C1A">
            <w:pPr>
              <w:spacing w:after="0" w:line="240" w:lineRule="auto"/>
              <w:jc w:val="center"/>
              <w:rPr>
                <w:rFonts w:ascii="Book Antiqua" w:eastAsia="Times New Roman" w:hAnsi="Book Antiqua" w:cs="Calibri"/>
                <w:b/>
                <w:bCs/>
                <w:color w:val="FFFFFF"/>
                <w:sz w:val="18"/>
                <w:szCs w:val="18"/>
                <w:lang w:eastAsia="es-CR"/>
              </w:rPr>
            </w:pPr>
            <w:r w:rsidRPr="00BD6E6D">
              <w:rPr>
                <w:rFonts w:ascii="Book Antiqua" w:eastAsia="Times New Roman" w:hAnsi="Book Antiqua" w:cs="Calibri"/>
                <w:b/>
                <w:bCs/>
                <w:color w:val="FFFFFF"/>
                <w:sz w:val="18"/>
                <w:szCs w:val="18"/>
                <w:lang w:eastAsia="es-CR"/>
              </w:rPr>
              <w:t>Centro de responsabilidad</w:t>
            </w:r>
          </w:p>
        </w:tc>
        <w:tc>
          <w:tcPr>
            <w:tcW w:w="1805" w:type="dxa"/>
            <w:shd w:val="clear" w:color="000000" w:fill="44546A"/>
            <w:noWrap/>
            <w:vAlign w:val="center"/>
            <w:hideMark/>
          </w:tcPr>
          <w:p w14:paraId="23EEDCD3" w14:textId="77777777" w:rsidR="00E8321A" w:rsidRPr="00BD6E6D" w:rsidRDefault="00E8321A" w:rsidP="00B56C1A">
            <w:pPr>
              <w:spacing w:after="0" w:line="240" w:lineRule="auto"/>
              <w:jc w:val="center"/>
              <w:rPr>
                <w:rFonts w:ascii="Book Antiqua" w:eastAsia="Times New Roman" w:hAnsi="Book Antiqua" w:cs="Calibri"/>
                <w:b/>
                <w:bCs/>
                <w:color w:val="FFFFFF"/>
                <w:sz w:val="18"/>
                <w:szCs w:val="18"/>
                <w:lang w:eastAsia="es-CR"/>
              </w:rPr>
            </w:pPr>
            <w:r w:rsidRPr="00BD6E6D">
              <w:rPr>
                <w:rFonts w:ascii="Book Antiqua" w:eastAsia="Times New Roman" w:hAnsi="Book Antiqua" w:cs="Calibri"/>
                <w:b/>
                <w:bCs/>
                <w:color w:val="FFFFFF"/>
                <w:sz w:val="18"/>
                <w:szCs w:val="18"/>
                <w:lang w:eastAsia="es-CR"/>
              </w:rPr>
              <w:t>Oficina Líder</w:t>
            </w:r>
          </w:p>
        </w:tc>
        <w:tc>
          <w:tcPr>
            <w:tcW w:w="741" w:type="dxa"/>
            <w:shd w:val="clear" w:color="000000" w:fill="44546A"/>
            <w:noWrap/>
            <w:vAlign w:val="center"/>
            <w:hideMark/>
          </w:tcPr>
          <w:p w14:paraId="1D9A5E47" w14:textId="77777777" w:rsidR="00E8321A" w:rsidRPr="00BD6E6D" w:rsidRDefault="00E8321A" w:rsidP="00B56C1A">
            <w:pPr>
              <w:spacing w:after="0" w:line="240" w:lineRule="auto"/>
              <w:jc w:val="center"/>
              <w:rPr>
                <w:rFonts w:ascii="Book Antiqua" w:eastAsia="Times New Roman" w:hAnsi="Book Antiqua" w:cs="Calibri"/>
                <w:b/>
                <w:bCs/>
                <w:color w:val="FFFFFF"/>
                <w:sz w:val="18"/>
                <w:szCs w:val="18"/>
                <w:lang w:eastAsia="es-CR"/>
              </w:rPr>
            </w:pPr>
            <w:r w:rsidRPr="00BD6E6D">
              <w:rPr>
                <w:rFonts w:ascii="Book Antiqua" w:eastAsia="Times New Roman" w:hAnsi="Book Antiqua" w:cs="Calibri"/>
                <w:b/>
                <w:bCs/>
                <w:color w:val="FFFFFF"/>
                <w:sz w:val="18"/>
                <w:szCs w:val="18"/>
                <w:lang w:eastAsia="es-CR"/>
              </w:rPr>
              <w:t>Código</w:t>
            </w:r>
          </w:p>
        </w:tc>
        <w:tc>
          <w:tcPr>
            <w:tcW w:w="1464" w:type="dxa"/>
            <w:shd w:val="clear" w:color="000000" w:fill="44546A"/>
            <w:noWrap/>
            <w:vAlign w:val="center"/>
            <w:hideMark/>
          </w:tcPr>
          <w:p w14:paraId="461F892F" w14:textId="77777777" w:rsidR="00E8321A" w:rsidRPr="00BD6E6D" w:rsidRDefault="00E8321A" w:rsidP="00B56C1A">
            <w:pPr>
              <w:spacing w:after="0" w:line="240" w:lineRule="auto"/>
              <w:jc w:val="center"/>
              <w:rPr>
                <w:rFonts w:ascii="Book Antiqua" w:eastAsia="Times New Roman" w:hAnsi="Book Antiqua" w:cs="Calibri"/>
                <w:b/>
                <w:bCs/>
                <w:color w:val="FFFFFF"/>
                <w:sz w:val="18"/>
                <w:szCs w:val="18"/>
                <w:lang w:eastAsia="es-CR"/>
              </w:rPr>
            </w:pPr>
            <w:r w:rsidRPr="00BD6E6D">
              <w:rPr>
                <w:rFonts w:ascii="Book Antiqua" w:eastAsia="Times New Roman" w:hAnsi="Book Antiqua" w:cs="Calibri"/>
                <w:b/>
                <w:bCs/>
                <w:color w:val="FFFFFF"/>
                <w:sz w:val="18"/>
                <w:szCs w:val="18"/>
                <w:lang w:eastAsia="es-CR"/>
              </w:rPr>
              <w:t>Nombre</w:t>
            </w:r>
          </w:p>
        </w:tc>
        <w:tc>
          <w:tcPr>
            <w:tcW w:w="3167" w:type="dxa"/>
            <w:shd w:val="clear" w:color="000000" w:fill="44546A"/>
            <w:noWrap/>
            <w:vAlign w:val="center"/>
            <w:hideMark/>
          </w:tcPr>
          <w:p w14:paraId="42DE9D2D" w14:textId="77777777" w:rsidR="00E8321A" w:rsidRPr="00BD6E6D" w:rsidRDefault="00E8321A" w:rsidP="00B56C1A">
            <w:pPr>
              <w:spacing w:after="0" w:line="240" w:lineRule="auto"/>
              <w:jc w:val="center"/>
              <w:rPr>
                <w:rFonts w:ascii="Book Antiqua" w:eastAsia="Times New Roman" w:hAnsi="Book Antiqua" w:cs="Calibri"/>
                <w:b/>
                <w:bCs/>
                <w:color w:val="FFFFFF"/>
                <w:sz w:val="18"/>
                <w:szCs w:val="18"/>
                <w:lang w:eastAsia="es-CR"/>
              </w:rPr>
            </w:pPr>
            <w:r w:rsidRPr="00BD6E6D">
              <w:rPr>
                <w:rFonts w:ascii="Book Antiqua" w:eastAsia="Times New Roman" w:hAnsi="Book Antiqua" w:cs="Calibri"/>
                <w:b/>
                <w:bCs/>
                <w:color w:val="FFFFFF"/>
                <w:sz w:val="18"/>
                <w:szCs w:val="18"/>
                <w:lang w:eastAsia="es-CR"/>
              </w:rPr>
              <w:t>Recomendación pendiente</w:t>
            </w:r>
          </w:p>
        </w:tc>
        <w:tc>
          <w:tcPr>
            <w:tcW w:w="962" w:type="dxa"/>
            <w:shd w:val="clear" w:color="000000" w:fill="44546A"/>
            <w:noWrap/>
            <w:vAlign w:val="center"/>
            <w:hideMark/>
          </w:tcPr>
          <w:p w14:paraId="71409DAA" w14:textId="77777777" w:rsidR="00E8321A" w:rsidRPr="00BD6E6D" w:rsidRDefault="00E8321A" w:rsidP="00B56C1A">
            <w:pPr>
              <w:spacing w:after="0" w:line="240" w:lineRule="auto"/>
              <w:jc w:val="center"/>
              <w:rPr>
                <w:rFonts w:ascii="Book Antiqua" w:eastAsia="Times New Roman" w:hAnsi="Book Antiqua" w:cs="Calibri"/>
                <w:b/>
                <w:bCs/>
                <w:color w:val="FFFFFF"/>
                <w:sz w:val="18"/>
                <w:szCs w:val="18"/>
                <w:lang w:eastAsia="es-CR"/>
              </w:rPr>
            </w:pPr>
            <w:r w:rsidRPr="00BD6E6D">
              <w:rPr>
                <w:rFonts w:ascii="Book Antiqua" w:eastAsia="Times New Roman" w:hAnsi="Book Antiqua" w:cs="Calibri"/>
                <w:b/>
                <w:bCs/>
                <w:color w:val="FFFFFF"/>
                <w:sz w:val="18"/>
                <w:szCs w:val="18"/>
                <w:lang w:eastAsia="es-CR"/>
              </w:rPr>
              <w:t>Capítulo del informe</w:t>
            </w:r>
          </w:p>
        </w:tc>
        <w:tc>
          <w:tcPr>
            <w:tcW w:w="911" w:type="dxa"/>
            <w:shd w:val="clear" w:color="000000" w:fill="44546A"/>
            <w:noWrap/>
            <w:vAlign w:val="center"/>
            <w:hideMark/>
          </w:tcPr>
          <w:p w14:paraId="56ED6630" w14:textId="77777777" w:rsidR="00E8321A" w:rsidRPr="00BD6E6D" w:rsidRDefault="00E8321A" w:rsidP="00B56C1A">
            <w:pPr>
              <w:spacing w:after="0" w:line="240" w:lineRule="auto"/>
              <w:jc w:val="center"/>
              <w:rPr>
                <w:rFonts w:ascii="Book Antiqua" w:eastAsia="Times New Roman" w:hAnsi="Book Antiqua" w:cs="Calibri"/>
                <w:b/>
                <w:bCs/>
                <w:color w:val="FFFFFF"/>
                <w:sz w:val="18"/>
                <w:szCs w:val="18"/>
                <w:lang w:eastAsia="es-CR"/>
              </w:rPr>
            </w:pPr>
            <w:r w:rsidRPr="00BD6E6D">
              <w:rPr>
                <w:rFonts w:ascii="Book Antiqua" w:eastAsia="Times New Roman" w:hAnsi="Book Antiqua" w:cs="Calibri"/>
                <w:b/>
                <w:bCs/>
                <w:color w:val="FFFFFF"/>
                <w:sz w:val="18"/>
                <w:szCs w:val="18"/>
                <w:lang w:eastAsia="es-CR"/>
              </w:rPr>
              <w:t>Apartado del informe</w:t>
            </w:r>
          </w:p>
        </w:tc>
      </w:tr>
      <w:tr w:rsidR="007E6FC1" w:rsidRPr="00BD6E6D" w14:paraId="006327B4" w14:textId="77777777" w:rsidTr="00B56C1A">
        <w:trPr>
          <w:trHeight w:val="330"/>
        </w:trPr>
        <w:tc>
          <w:tcPr>
            <w:tcW w:w="1470" w:type="dxa"/>
            <w:vMerge w:val="restart"/>
            <w:shd w:val="clear" w:color="F2F2F2" w:fill="FFFFFF"/>
            <w:noWrap/>
            <w:vAlign w:val="center"/>
            <w:hideMark/>
          </w:tcPr>
          <w:p w14:paraId="09EE07E2"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Dirección Gestión Humana</w:t>
            </w:r>
          </w:p>
        </w:tc>
        <w:tc>
          <w:tcPr>
            <w:tcW w:w="1805" w:type="dxa"/>
            <w:shd w:val="clear" w:color="auto" w:fill="auto"/>
            <w:noWrap/>
            <w:vAlign w:val="center"/>
            <w:hideMark/>
          </w:tcPr>
          <w:p w14:paraId="0BB11696"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0136 SECCION DE RECLUTAMIENTO Y SELECCION</w:t>
            </w:r>
          </w:p>
        </w:tc>
        <w:tc>
          <w:tcPr>
            <w:tcW w:w="741" w:type="dxa"/>
            <w:shd w:val="clear" w:color="auto" w:fill="auto"/>
            <w:noWrap/>
            <w:vAlign w:val="center"/>
            <w:hideMark/>
          </w:tcPr>
          <w:p w14:paraId="23BC35C9"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0134-DGH-P04</w:t>
            </w:r>
          </w:p>
        </w:tc>
        <w:tc>
          <w:tcPr>
            <w:tcW w:w="1464" w:type="dxa"/>
            <w:shd w:val="clear" w:color="auto" w:fill="auto"/>
            <w:noWrap/>
            <w:vAlign w:val="center"/>
            <w:hideMark/>
          </w:tcPr>
          <w:p w14:paraId="066829D4"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Estandarización del proceso de reclutamiento y selección</w:t>
            </w:r>
          </w:p>
        </w:tc>
        <w:tc>
          <w:tcPr>
            <w:tcW w:w="3167" w:type="dxa"/>
            <w:shd w:val="clear" w:color="auto" w:fill="auto"/>
            <w:noWrap/>
            <w:vAlign w:val="center"/>
            <w:hideMark/>
          </w:tcPr>
          <w:p w14:paraId="65195A44" w14:textId="77777777" w:rsidR="00E8321A"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 xml:space="preserve">Producto de la solicitud de cambio del 15-5-23 pendiente: </w:t>
            </w:r>
          </w:p>
          <w:p w14:paraId="18A8E202"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b/>
                <w:bCs/>
                <w:color w:val="000000"/>
                <w:sz w:val="18"/>
                <w:szCs w:val="18"/>
                <w:lang w:eastAsia="es-CR"/>
              </w:rPr>
              <w:t>Acta de constitución</w:t>
            </w:r>
            <w:r w:rsidRPr="00BD6E6D">
              <w:rPr>
                <w:rFonts w:ascii="Book Antiqua" w:eastAsia="Times New Roman" w:hAnsi="Book Antiqua" w:cs="Calibri"/>
                <w:color w:val="000000"/>
                <w:sz w:val="18"/>
                <w:szCs w:val="18"/>
                <w:lang w:eastAsia="es-CR"/>
              </w:rPr>
              <w:t xml:space="preserve"> el cronograma de alto nivel debe ser un cronograma o una planificación de los principales entregables con los años de entrega o meses algo muy general.</w:t>
            </w:r>
          </w:p>
        </w:tc>
        <w:tc>
          <w:tcPr>
            <w:tcW w:w="962" w:type="dxa"/>
            <w:shd w:val="clear" w:color="auto" w:fill="auto"/>
            <w:noWrap/>
            <w:vAlign w:val="center"/>
            <w:hideMark/>
          </w:tcPr>
          <w:p w14:paraId="21F33182"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Capítulo 2</w:t>
            </w:r>
          </w:p>
        </w:tc>
        <w:tc>
          <w:tcPr>
            <w:tcW w:w="911" w:type="dxa"/>
            <w:shd w:val="clear" w:color="auto" w:fill="auto"/>
            <w:noWrap/>
            <w:vAlign w:val="center"/>
            <w:hideMark/>
          </w:tcPr>
          <w:p w14:paraId="09BF0659"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2.3</w:t>
            </w:r>
          </w:p>
        </w:tc>
      </w:tr>
      <w:tr w:rsidR="007D35E8" w:rsidRPr="00BD6E6D" w14:paraId="38CF6C5A" w14:textId="77777777" w:rsidTr="00B56C1A">
        <w:trPr>
          <w:trHeight w:val="300"/>
        </w:trPr>
        <w:tc>
          <w:tcPr>
            <w:tcW w:w="1470" w:type="dxa"/>
            <w:vMerge/>
            <w:vAlign w:val="center"/>
            <w:hideMark/>
          </w:tcPr>
          <w:p w14:paraId="76F6CDAC"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05" w:type="dxa"/>
            <w:shd w:val="clear" w:color="auto" w:fill="auto"/>
            <w:noWrap/>
            <w:vAlign w:val="center"/>
            <w:hideMark/>
          </w:tcPr>
          <w:p w14:paraId="753D42E8"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0819 SECCION DE ADMINISTRACION SALARIAL</w:t>
            </w:r>
          </w:p>
        </w:tc>
        <w:tc>
          <w:tcPr>
            <w:tcW w:w="741" w:type="dxa"/>
            <w:shd w:val="clear" w:color="auto" w:fill="auto"/>
            <w:noWrap/>
            <w:vAlign w:val="center"/>
            <w:hideMark/>
          </w:tcPr>
          <w:p w14:paraId="4A3CBD6F"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0134-DGH-P08</w:t>
            </w:r>
          </w:p>
        </w:tc>
        <w:tc>
          <w:tcPr>
            <w:tcW w:w="1464" w:type="dxa"/>
            <w:shd w:val="clear" w:color="auto" w:fill="auto"/>
            <w:noWrap/>
            <w:vAlign w:val="center"/>
            <w:hideMark/>
          </w:tcPr>
          <w:p w14:paraId="173C2E9B"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Variaciones en el Sistema de Pago, Reglamentos y Procedimientos producto de la Ley 9635</w:t>
            </w:r>
          </w:p>
        </w:tc>
        <w:tc>
          <w:tcPr>
            <w:tcW w:w="3167" w:type="dxa"/>
            <w:shd w:val="clear" w:color="auto" w:fill="auto"/>
            <w:noWrap/>
            <w:vAlign w:val="center"/>
            <w:hideMark/>
          </w:tcPr>
          <w:p w14:paraId="7AD4BDA2"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Aun no se ha elaborado Informe de cierre</w:t>
            </w:r>
          </w:p>
        </w:tc>
        <w:tc>
          <w:tcPr>
            <w:tcW w:w="962" w:type="dxa"/>
            <w:shd w:val="clear" w:color="auto" w:fill="auto"/>
            <w:noWrap/>
            <w:vAlign w:val="center"/>
            <w:hideMark/>
          </w:tcPr>
          <w:p w14:paraId="4E7BDB13"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Capítulo 1</w:t>
            </w:r>
          </w:p>
        </w:tc>
        <w:tc>
          <w:tcPr>
            <w:tcW w:w="911" w:type="dxa"/>
            <w:shd w:val="clear" w:color="auto" w:fill="auto"/>
            <w:noWrap/>
            <w:vAlign w:val="center"/>
            <w:hideMark/>
          </w:tcPr>
          <w:p w14:paraId="00903F0C"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1.13</w:t>
            </w:r>
          </w:p>
        </w:tc>
      </w:tr>
      <w:tr w:rsidR="007D35E8" w:rsidRPr="00BD6E6D" w14:paraId="3CD42432" w14:textId="77777777" w:rsidTr="00B56C1A">
        <w:trPr>
          <w:trHeight w:val="330"/>
        </w:trPr>
        <w:tc>
          <w:tcPr>
            <w:tcW w:w="1470" w:type="dxa"/>
            <w:vMerge/>
            <w:vAlign w:val="center"/>
            <w:hideMark/>
          </w:tcPr>
          <w:p w14:paraId="087C8CFF"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05" w:type="dxa"/>
            <w:shd w:val="clear" w:color="auto" w:fill="auto"/>
            <w:noWrap/>
            <w:vAlign w:val="center"/>
            <w:hideMark/>
          </w:tcPr>
          <w:p w14:paraId="2D39B87A"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0999 UNIDAD DE PRESUPUESTO Y ESTUDIOS ESPECIALES</w:t>
            </w:r>
          </w:p>
        </w:tc>
        <w:tc>
          <w:tcPr>
            <w:tcW w:w="741" w:type="dxa"/>
            <w:shd w:val="clear" w:color="auto" w:fill="auto"/>
            <w:noWrap/>
            <w:vAlign w:val="center"/>
            <w:hideMark/>
          </w:tcPr>
          <w:p w14:paraId="1A66EFBF"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0134-DGH-P03</w:t>
            </w:r>
          </w:p>
        </w:tc>
        <w:tc>
          <w:tcPr>
            <w:tcW w:w="1464" w:type="dxa"/>
            <w:shd w:val="clear" w:color="auto" w:fill="auto"/>
            <w:noWrap/>
            <w:vAlign w:val="center"/>
            <w:hideMark/>
          </w:tcPr>
          <w:p w14:paraId="7A083A8A"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Sistema de Formulación y Ejecución Presupuestaria para Remuneraciones</w:t>
            </w:r>
          </w:p>
        </w:tc>
        <w:tc>
          <w:tcPr>
            <w:tcW w:w="3167" w:type="dxa"/>
            <w:shd w:val="clear" w:color="auto" w:fill="auto"/>
            <w:noWrap/>
            <w:vAlign w:val="center"/>
            <w:hideMark/>
          </w:tcPr>
          <w:p w14:paraId="28BABD44"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 xml:space="preserve">Producto de la solicitud de cambio del 28-4-23 pendiente: </w:t>
            </w:r>
          </w:p>
          <w:p w14:paraId="1EFB9A5E"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BD6E6D">
              <w:rPr>
                <w:rFonts w:ascii="Book Antiqua" w:eastAsia="Times New Roman" w:hAnsi="Book Antiqua" w:cs="Calibri"/>
                <w:b/>
                <w:bCs/>
                <w:color w:val="000000"/>
                <w:sz w:val="18"/>
                <w:szCs w:val="18"/>
                <w:lang w:eastAsia="es-CR"/>
              </w:rPr>
              <w:t>Acta de constitución:</w:t>
            </w:r>
            <w:r w:rsidRPr="00BD6E6D">
              <w:rPr>
                <w:rFonts w:ascii="Book Antiqua" w:eastAsia="Times New Roman" w:hAnsi="Book Antiqua" w:cs="Calibri"/>
                <w:color w:val="000000"/>
                <w:sz w:val="18"/>
                <w:szCs w:val="18"/>
                <w:lang w:eastAsia="es-CR"/>
              </w:rPr>
              <w:t xml:space="preserve"> en el apartado de Equipo de trabajo del proyecto se debe indicar rol y nombre de la persona. </w:t>
            </w:r>
          </w:p>
          <w:p w14:paraId="355DD89F" w14:textId="77777777" w:rsidR="00E8321A" w:rsidRPr="00BD6E6D" w:rsidRDefault="00E8321A" w:rsidP="00E24FCA">
            <w:pPr>
              <w:spacing w:after="0" w:line="240" w:lineRule="auto"/>
              <w:jc w:val="both"/>
              <w:rPr>
                <w:rFonts w:ascii="Book Antiqua" w:eastAsia="Times New Roman" w:hAnsi="Book Antiqua" w:cs="Calibri"/>
                <w:color w:val="000000"/>
                <w:sz w:val="18"/>
                <w:szCs w:val="18"/>
                <w:lang w:eastAsia="es-CR"/>
              </w:rPr>
            </w:pPr>
            <w:r w:rsidRPr="00BD6E6D">
              <w:rPr>
                <w:rFonts w:ascii="Book Antiqua" w:eastAsia="Times New Roman" w:hAnsi="Book Antiqua" w:cs="Calibri"/>
                <w:b/>
                <w:bCs/>
                <w:color w:val="000000"/>
                <w:sz w:val="18"/>
                <w:szCs w:val="18"/>
                <w:lang w:eastAsia="es-CR"/>
              </w:rPr>
              <w:t>Estudio de factibilidad:</w:t>
            </w:r>
            <w:r w:rsidRPr="00BD6E6D">
              <w:rPr>
                <w:rFonts w:ascii="Book Antiqua" w:eastAsia="Times New Roman" w:hAnsi="Book Antiqua" w:cs="Calibri"/>
                <w:color w:val="000000"/>
                <w:sz w:val="18"/>
                <w:szCs w:val="18"/>
                <w:lang w:eastAsia="es-CR"/>
              </w:rPr>
              <w:t xml:space="preserve"> en el apartado de Planteamiento inicial del proyecto se debe mencionar tres </w:t>
            </w:r>
            <w:r w:rsidRPr="00BD6E6D">
              <w:rPr>
                <w:rFonts w:ascii="Book Antiqua" w:eastAsia="Times New Roman" w:hAnsi="Book Antiqua" w:cs="Calibri"/>
                <w:color w:val="000000"/>
                <w:sz w:val="18"/>
                <w:szCs w:val="18"/>
                <w:lang w:eastAsia="es-CR"/>
              </w:rPr>
              <w:lastRenderedPageBreak/>
              <w:t xml:space="preserve">alternativas de solución del problema, entre la cual se debe indicar la alternativa seleccionada. </w:t>
            </w:r>
            <w:r w:rsidRPr="00BD6E6D">
              <w:rPr>
                <w:rFonts w:ascii="Book Antiqua" w:eastAsia="Times New Roman" w:hAnsi="Book Antiqua" w:cs="Calibri"/>
                <w:b/>
                <w:bCs/>
                <w:color w:val="000000"/>
                <w:sz w:val="18"/>
                <w:szCs w:val="18"/>
                <w:lang w:eastAsia="es-CR"/>
              </w:rPr>
              <w:t xml:space="preserve">Plan de gestión: </w:t>
            </w:r>
            <w:r w:rsidRPr="00BD6E6D">
              <w:rPr>
                <w:rFonts w:ascii="Book Antiqua" w:eastAsia="Times New Roman" w:hAnsi="Book Antiqua" w:cs="Calibri"/>
                <w:color w:val="000000"/>
                <w:sz w:val="18"/>
                <w:szCs w:val="18"/>
                <w:lang w:eastAsia="es-CR"/>
              </w:rPr>
              <w:t>el alcance está muy extenso, el mismo debe ser más concreto; el cronograma inserto no permite abrir por favor revisar el mismo.</w:t>
            </w:r>
          </w:p>
        </w:tc>
        <w:tc>
          <w:tcPr>
            <w:tcW w:w="962" w:type="dxa"/>
            <w:shd w:val="clear" w:color="auto" w:fill="auto"/>
            <w:noWrap/>
            <w:vAlign w:val="center"/>
            <w:hideMark/>
          </w:tcPr>
          <w:p w14:paraId="6C4C28BF"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lastRenderedPageBreak/>
              <w:t>Capítulo 2</w:t>
            </w:r>
          </w:p>
        </w:tc>
        <w:tc>
          <w:tcPr>
            <w:tcW w:w="911" w:type="dxa"/>
            <w:shd w:val="clear" w:color="auto" w:fill="auto"/>
            <w:noWrap/>
            <w:vAlign w:val="center"/>
            <w:hideMark/>
          </w:tcPr>
          <w:p w14:paraId="40C41130"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2.3</w:t>
            </w:r>
          </w:p>
        </w:tc>
      </w:tr>
      <w:tr w:rsidR="007D35E8" w:rsidRPr="00BD6E6D" w14:paraId="624EF2DB" w14:textId="77777777" w:rsidTr="00B56C1A">
        <w:trPr>
          <w:trHeight w:val="300"/>
        </w:trPr>
        <w:tc>
          <w:tcPr>
            <w:tcW w:w="1470" w:type="dxa"/>
            <w:vMerge/>
            <w:vAlign w:val="center"/>
            <w:hideMark/>
          </w:tcPr>
          <w:p w14:paraId="317D7020"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05" w:type="dxa"/>
            <w:vMerge w:val="restart"/>
            <w:shd w:val="clear" w:color="auto" w:fill="auto"/>
            <w:noWrap/>
            <w:vAlign w:val="center"/>
            <w:hideMark/>
          </w:tcPr>
          <w:p w14:paraId="34434CEC"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1064 DESARROLLO HUMANO</w:t>
            </w:r>
          </w:p>
        </w:tc>
        <w:tc>
          <w:tcPr>
            <w:tcW w:w="741" w:type="dxa"/>
            <w:vMerge w:val="restart"/>
            <w:shd w:val="clear" w:color="auto" w:fill="auto"/>
            <w:noWrap/>
            <w:vAlign w:val="center"/>
            <w:hideMark/>
          </w:tcPr>
          <w:p w14:paraId="14EAD6A6"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0134-DGH-P07</w:t>
            </w:r>
          </w:p>
        </w:tc>
        <w:tc>
          <w:tcPr>
            <w:tcW w:w="1464" w:type="dxa"/>
            <w:vMerge w:val="restart"/>
            <w:shd w:val="clear" w:color="auto" w:fill="auto"/>
            <w:noWrap/>
            <w:vAlign w:val="center"/>
            <w:hideMark/>
          </w:tcPr>
          <w:p w14:paraId="10395AC6"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Política Integral de Bienestar y Salud Laboral</w:t>
            </w:r>
          </w:p>
        </w:tc>
        <w:tc>
          <w:tcPr>
            <w:tcW w:w="3167" w:type="dxa"/>
            <w:shd w:val="clear" w:color="auto" w:fill="auto"/>
            <w:noWrap/>
            <w:vAlign w:val="center"/>
            <w:hideMark/>
          </w:tcPr>
          <w:p w14:paraId="035C27D0" w14:textId="77777777" w:rsidR="00E8321A" w:rsidRDefault="00E8321A" w:rsidP="00E24FCA">
            <w:pPr>
              <w:spacing w:after="0" w:line="240" w:lineRule="auto"/>
              <w:jc w:val="both"/>
              <w:rPr>
                <w:rFonts w:ascii="Book Antiqua" w:eastAsia="Times New Roman" w:hAnsi="Book Antiqua" w:cs="Calibri"/>
                <w:color w:val="444444"/>
                <w:sz w:val="18"/>
                <w:szCs w:val="18"/>
                <w:lang w:eastAsia="es-CR"/>
              </w:rPr>
            </w:pPr>
            <w:r w:rsidRPr="00BD6E6D">
              <w:rPr>
                <w:rFonts w:ascii="Book Antiqua" w:eastAsia="Times New Roman" w:hAnsi="Book Antiqua" w:cs="Calibri"/>
                <w:color w:val="444444"/>
                <w:sz w:val="18"/>
                <w:szCs w:val="18"/>
                <w:lang w:eastAsia="es-CR"/>
              </w:rPr>
              <w:t xml:space="preserve">Pendiente actualizar acta de constitución y plan de gestión producto de la solicitud de cambio del 7/12/2022, 18-1-23, 29-9-22 y 31-10-22 pendiente actualizar: </w:t>
            </w:r>
          </w:p>
          <w:p w14:paraId="01700DCA" w14:textId="77777777" w:rsidR="00E8321A" w:rsidRDefault="00E8321A" w:rsidP="00E24FCA">
            <w:pPr>
              <w:spacing w:after="0" w:line="240" w:lineRule="auto"/>
              <w:jc w:val="both"/>
              <w:rPr>
                <w:rFonts w:ascii="Book Antiqua" w:eastAsia="Times New Roman" w:hAnsi="Book Antiqua" w:cs="Calibri"/>
                <w:color w:val="444444"/>
                <w:sz w:val="18"/>
                <w:szCs w:val="18"/>
                <w:lang w:eastAsia="es-CR"/>
              </w:rPr>
            </w:pPr>
            <w:r w:rsidRPr="00BD6E6D">
              <w:rPr>
                <w:rFonts w:ascii="Book Antiqua" w:eastAsia="Times New Roman" w:hAnsi="Book Antiqua" w:cs="Calibri"/>
                <w:b/>
                <w:bCs/>
                <w:color w:val="444444"/>
                <w:sz w:val="18"/>
                <w:szCs w:val="18"/>
                <w:lang w:eastAsia="es-CR"/>
              </w:rPr>
              <w:t>Acta de constitución:</w:t>
            </w:r>
            <w:r w:rsidRPr="00BD6E6D">
              <w:rPr>
                <w:rFonts w:ascii="Book Antiqua" w:eastAsia="Times New Roman" w:hAnsi="Book Antiqua" w:cs="Calibri"/>
                <w:color w:val="444444"/>
                <w:sz w:val="18"/>
                <w:szCs w:val="18"/>
                <w:lang w:eastAsia="es-CR"/>
              </w:rPr>
              <w:t xml:space="preserve"> actualizar líder del proyecto y verificar los otros roles; falta indicar tema estratégico; el cronograma de alto nivel falta actualizarlo; equipo del proyecto se debe indicar el rol, nombre de cada integrante que conforma el proyecto iniciando en el patrocinador. </w:t>
            </w:r>
          </w:p>
          <w:p w14:paraId="42CDACD7" w14:textId="3121F3ED" w:rsidR="00E8321A" w:rsidRDefault="00E8321A" w:rsidP="00E24FCA">
            <w:pPr>
              <w:spacing w:after="0" w:line="240" w:lineRule="auto"/>
              <w:jc w:val="both"/>
              <w:rPr>
                <w:rFonts w:ascii="Book Antiqua" w:eastAsia="Times New Roman" w:hAnsi="Book Antiqua" w:cs="Calibri"/>
                <w:color w:val="444444"/>
                <w:sz w:val="18"/>
                <w:szCs w:val="18"/>
                <w:lang w:eastAsia="es-CR"/>
              </w:rPr>
            </w:pPr>
            <w:r w:rsidRPr="00BD6E6D">
              <w:rPr>
                <w:rFonts w:ascii="Book Antiqua" w:eastAsia="Times New Roman" w:hAnsi="Book Antiqua" w:cs="Calibri"/>
                <w:b/>
                <w:bCs/>
                <w:color w:val="444444"/>
                <w:sz w:val="18"/>
                <w:szCs w:val="18"/>
                <w:lang w:eastAsia="es-CR"/>
              </w:rPr>
              <w:t>Estudio de factibilidad</w:t>
            </w:r>
            <w:r w:rsidRPr="00BD6E6D">
              <w:rPr>
                <w:rFonts w:ascii="Book Antiqua" w:eastAsia="Times New Roman" w:hAnsi="Book Antiqua" w:cs="Calibri"/>
                <w:color w:val="444444"/>
                <w:sz w:val="18"/>
                <w:szCs w:val="18"/>
                <w:lang w:eastAsia="es-CR"/>
              </w:rPr>
              <w:t xml:space="preserve"> se debe indicar en el apartado de planteamiento inicial del proyecto se debe indicar 3 alternativas de solución y porque se </w:t>
            </w:r>
            <w:r w:rsidR="005A1D93" w:rsidRPr="00BD6E6D">
              <w:rPr>
                <w:rFonts w:ascii="Book Antiqua" w:eastAsia="Times New Roman" w:hAnsi="Book Antiqua" w:cs="Calibri"/>
                <w:color w:val="444444"/>
                <w:sz w:val="18"/>
                <w:szCs w:val="18"/>
                <w:lang w:eastAsia="es-CR"/>
              </w:rPr>
              <w:t>seleccionó</w:t>
            </w:r>
            <w:r w:rsidRPr="00BD6E6D">
              <w:rPr>
                <w:rFonts w:ascii="Book Antiqua" w:eastAsia="Times New Roman" w:hAnsi="Book Antiqua" w:cs="Calibri"/>
                <w:color w:val="444444"/>
                <w:sz w:val="18"/>
                <w:szCs w:val="18"/>
                <w:lang w:eastAsia="es-CR"/>
              </w:rPr>
              <w:t xml:space="preserve"> la misma; tiempo estimado por lo menos colocar mes y año de inicio y fin; fuente de financiamiento indicar como se financia el proyecto tanto con recurso humano como con costos (mencionar partidas presupuestarias). </w:t>
            </w:r>
          </w:p>
          <w:p w14:paraId="676C7F42" w14:textId="77777777" w:rsidR="00E8321A" w:rsidRPr="00BD6E6D" w:rsidRDefault="00E8321A" w:rsidP="00E24FCA">
            <w:pPr>
              <w:spacing w:after="0" w:line="240" w:lineRule="auto"/>
              <w:jc w:val="both"/>
              <w:rPr>
                <w:rFonts w:ascii="Book Antiqua" w:eastAsia="Times New Roman" w:hAnsi="Book Antiqua" w:cs="Calibri"/>
                <w:color w:val="444444"/>
                <w:sz w:val="18"/>
                <w:szCs w:val="18"/>
                <w:lang w:eastAsia="es-CR"/>
              </w:rPr>
            </w:pPr>
            <w:r w:rsidRPr="00BD6E6D">
              <w:rPr>
                <w:rFonts w:ascii="Book Antiqua" w:eastAsia="Times New Roman" w:hAnsi="Book Antiqua" w:cs="Calibri"/>
                <w:b/>
                <w:bCs/>
                <w:color w:val="444444"/>
                <w:sz w:val="18"/>
                <w:szCs w:val="18"/>
                <w:lang w:eastAsia="es-CR"/>
              </w:rPr>
              <w:t>Plan de gestión:</w:t>
            </w:r>
            <w:r w:rsidRPr="00BD6E6D">
              <w:rPr>
                <w:rFonts w:ascii="Book Antiqua" w:eastAsia="Times New Roman" w:hAnsi="Book Antiqua" w:cs="Calibri"/>
                <w:color w:val="444444"/>
                <w:sz w:val="18"/>
                <w:szCs w:val="18"/>
                <w:lang w:eastAsia="es-CR"/>
              </w:rPr>
              <w:t xml:space="preserve"> revisar datos generales porque no coincide líder ni administrador del proyecto; los beneficios esperados debe coincidir con el estudio de factibilidad; en roles y responsabilidades falta actualizar líder del proyecto; se debe eliminar del cuadro y diagrama de la EDT el punto 4.2 esto debido a que el mismo no se encuentra en el cronograma; cronograma pendiente de actualizarlo con las solicitudes de cambio; en administración de presupuesto se debe revisar los costos porque el recurso humano se menciona en el apartado inferior.</w:t>
            </w:r>
          </w:p>
        </w:tc>
        <w:tc>
          <w:tcPr>
            <w:tcW w:w="962" w:type="dxa"/>
            <w:shd w:val="clear" w:color="auto" w:fill="auto"/>
            <w:noWrap/>
            <w:vAlign w:val="center"/>
            <w:hideMark/>
          </w:tcPr>
          <w:p w14:paraId="485AF366"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Capítulo 1</w:t>
            </w:r>
          </w:p>
        </w:tc>
        <w:tc>
          <w:tcPr>
            <w:tcW w:w="911" w:type="dxa"/>
            <w:shd w:val="clear" w:color="auto" w:fill="auto"/>
            <w:noWrap/>
            <w:vAlign w:val="center"/>
            <w:hideMark/>
          </w:tcPr>
          <w:p w14:paraId="64386386"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1.13</w:t>
            </w:r>
          </w:p>
        </w:tc>
      </w:tr>
      <w:tr w:rsidR="007D35E8" w:rsidRPr="00BD6E6D" w14:paraId="2A28FCF4" w14:textId="77777777" w:rsidTr="00B56C1A">
        <w:trPr>
          <w:trHeight w:val="330"/>
        </w:trPr>
        <w:tc>
          <w:tcPr>
            <w:tcW w:w="1470" w:type="dxa"/>
            <w:vMerge/>
            <w:vAlign w:val="center"/>
            <w:hideMark/>
          </w:tcPr>
          <w:p w14:paraId="09C799F9"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05" w:type="dxa"/>
            <w:vMerge/>
            <w:vAlign w:val="center"/>
            <w:hideMark/>
          </w:tcPr>
          <w:p w14:paraId="496A93D6"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vMerge/>
            <w:vAlign w:val="center"/>
            <w:hideMark/>
          </w:tcPr>
          <w:p w14:paraId="18B6634B"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464" w:type="dxa"/>
            <w:vMerge/>
            <w:vAlign w:val="center"/>
            <w:hideMark/>
          </w:tcPr>
          <w:p w14:paraId="280BF2F6"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3167" w:type="dxa"/>
            <w:shd w:val="clear" w:color="auto" w:fill="auto"/>
            <w:noWrap/>
            <w:vAlign w:val="center"/>
            <w:hideMark/>
          </w:tcPr>
          <w:p w14:paraId="6D74A27A"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Porcentaje actual diferentes en el Project muestra un 74% y no un 76%.</w:t>
            </w:r>
          </w:p>
        </w:tc>
        <w:tc>
          <w:tcPr>
            <w:tcW w:w="962" w:type="dxa"/>
            <w:shd w:val="clear" w:color="auto" w:fill="auto"/>
            <w:noWrap/>
            <w:vAlign w:val="center"/>
            <w:hideMark/>
          </w:tcPr>
          <w:p w14:paraId="2E8A1DBB"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Capítulo 2</w:t>
            </w:r>
          </w:p>
        </w:tc>
        <w:tc>
          <w:tcPr>
            <w:tcW w:w="911" w:type="dxa"/>
            <w:shd w:val="clear" w:color="auto" w:fill="auto"/>
            <w:noWrap/>
            <w:vAlign w:val="center"/>
            <w:hideMark/>
          </w:tcPr>
          <w:p w14:paraId="03A348B5"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2.1</w:t>
            </w:r>
          </w:p>
        </w:tc>
      </w:tr>
      <w:tr w:rsidR="007D35E8" w:rsidRPr="00BD6E6D" w14:paraId="6A712CEB" w14:textId="77777777" w:rsidTr="00B56C1A">
        <w:trPr>
          <w:trHeight w:val="300"/>
        </w:trPr>
        <w:tc>
          <w:tcPr>
            <w:tcW w:w="1470" w:type="dxa"/>
            <w:vMerge/>
            <w:vAlign w:val="center"/>
            <w:hideMark/>
          </w:tcPr>
          <w:p w14:paraId="017CF523"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05" w:type="dxa"/>
            <w:vMerge/>
            <w:vAlign w:val="center"/>
            <w:hideMark/>
          </w:tcPr>
          <w:p w14:paraId="31D4E0AF"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vMerge w:val="restart"/>
            <w:shd w:val="clear" w:color="auto" w:fill="auto"/>
            <w:noWrap/>
            <w:vAlign w:val="center"/>
            <w:hideMark/>
          </w:tcPr>
          <w:p w14:paraId="4EBC706B"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0134-DGH-P16</w:t>
            </w:r>
          </w:p>
        </w:tc>
        <w:tc>
          <w:tcPr>
            <w:tcW w:w="1464" w:type="dxa"/>
            <w:vMerge w:val="restart"/>
            <w:shd w:val="clear" w:color="auto" w:fill="auto"/>
            <w:noWrap/>
            <w:vAlign w:val="center"/>
            <w:hideMark/>
          </w:tcPr>
          <w:p w14:paraId="2E318BDB"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Política de Teletrabajo</w:t>
            </w:r>
          </w:p>
        </w:tc>
        <w:tc>
          <w:tcPr>
            <w:tcW w:w="3167" w:type="dxa"/>
            <w:shd w:val="clear" w:color="auto" w:fill="auto"/>
            <w:noWrap/>
            <w:vAlign w:val="center"/>
            <w:hideMark/>
          </w:tcPr>
          <w:p w14:paraId="3DCF1D96" w14:textId="77777777" w:rsidR="00E8321A" w:rsidRPr="00BD6E6D" w:rsidRDefault="00E8321A" w:rsidP="00B56C1A">
            <w:pPr>
              <w:spacing w:after="0" w:line="240" w:lineRule="auto"/>
              <w:jc w:val="center"/>
              <w:rPr>
                <w:rFonts w:ascii="Book Antiqua" w:eastAsia="Times New Roman" w:hAnsi="Book Antiqua" w:cs="Calibri"/>
                <w:color w:val="444444"/>
                <w:sz w:val="18"/>
                <w:szCs w:val="18"/>
                <w:lang w:eastAsia="es-CR"/>
              </w:rPr>
            </w:pPr>
            <w:r w:rsidRPr="00BD6E6D">
              <w:rPr>
                <w:rFonts w:ascii="Book Antiqua" w:eastAsia="Times New Roman" w:hAnsi="Book Antiqua" w:cs="Calibri"/>
                <w:color w:val="444444"/>
                <w:sz w:val="18"/>
                <w:szCs w:val="18"/>
                <w:lang w:eastAsia="es-CR"/>
              </w:rPr>
              <w:t>No se corrigió el informe de avance de diciembre</w:t>
            </w:r>
            <w:r w:rsidRPr="00BD6E6D">
              <w:rPr>
                <w:rFonts w:ascii="Book Antiqua" w:eastAsia="Times New Roman" w:hAnsi="Book Antiqua" w:cs="Calibri"/>
                <w:color w:val="000000"/>
                <w:sz w:val="18"/>
                <w:szCs w:val="18"/>
                <w:lang w:eastAsia="es-CR"/>
              </w:rPr>
              <w:t xml:space="preserve"> presentaba incorrecto el porcentaje esperado</w:t>
            </w:r>
            <w:r w:rsidRPr="00BD6E6D">
              <w:rPr>
                <w:rFonts w:ascii="Book Antiqua" w:eastAsia="Times New Roman" w:hAnsi="Book Antiqua" w:cs="Calibri"/>
                <w:color w:val="444444"/>
                <w:sz w:val="18"/>
                <w:szCs w:val="18"/>
                <w:lang w:eastAsia="es-CR"/>
              </w:rPr>
              <w:t>, ni se justifica los motivos por los cuales no se corrige el informe.</w:t>
            </w:r>
          </w:p>
        </w:tc>
        <w:tc>
          <w:tcPr>
            <w:tcW w:w="962" w:type="dxa"/>
            <w:shd w:val="clear" w:color="auto" w:fill="auto"/>
            <w:noWrap/>
            <w:vAlign w:val="center"/>
            <w:hideMark/>
          </w:tcPr>
          <w:p w14:paraId="4DAED2D7"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Capítulo 1</w:t>
            </w:r>
          </w:p>
        </w:tc>
        <w:tc>
          <w:tcPr>
            <w:tcW w:w="911" w:type="dxa"/>
            <w:shd w:val="clear" w:color="auto" w:fill="auto"/>
            <w:noWrap/>
            <w:vAlign w:val="center"/>
            <w:hideMark/>
          </w:tcPr>
          <w:p w14:paraId="46DB69A8"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1.13</w:t>
            </w:r>
          </w:p>
        </w:tc>
      </w:tr>
      <w:tr w:rsidR="007D35E8" w:rsidRPr="00BD6E6D" w14:paraId="72D714D6" w14:textId="77777777" w:rsidTr="00B56C1A">
        <w:trPr>
          <w:trHeight w:val="330"/>
        </w:trPr>
        <w:tc>
          <w:tcPr>
            <w:tcW w:w="1470" w:type="dxa"/>
            <w:vMerge/>
            <w:vAlign w:val="center"/>
            <w:hideMark/>
          </w:tcPr>
          <w:p w14:paraId="12D519E0"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05" w:type="dxa"/>
            <w:vMerge/>
            <w:vAlign w:val="center"/>
            <w:hideMark/>
          </w:tcPr>
          <w:p w14:paraId="144E6C70"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vMerge/>
            <w:shd w:val="clear" w:color="auto" w:fill="auto"/>
            <w:vAlign w:val="center"/>
            <w:hideMark/>
          </w:tcPr>
          <w:p w14:paraId="1FA2B1CC"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464" w:type="dxa"/>
            <w:vMerge/>
            <w:shd w:val="clear" w:color="auto" w:fill="auto"/>
            <w:vAlign w:val="center"/>
            <w:hideMark/>
          </w:tcPr>
          <w:p w14:paraId="3F8B9FEC"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3167" w:type="dxa"/>
            <w:shd w:val="clear" w:color="auto" w:fill="auto"/>
            <w:noWrap/>
            <w:vAlign w:val="center"/>
            <w:hideMark/>
          </w:tcPr>
          <w:p w14:paraId="6A82FF24"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Porcentaje esperado diferentes al calculado en el Project muestra un 48% y no un 47%.</w:t>
            </w:r>
          </w:p>
        </w:tc>
        <w:tc>
          <w:tcPr>
            <w:tcW w:w="962" w:type="dxa"/>
            <w:shd w:val="clear" w:color="auto" w:fill="auto"/>
            <w:noWrap/>
            <w:vAlign w:val="center"/>
            <w:hideMark/>
          </w:tcPr>
          <w:p w14:paraId="3E830330"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Capítulo 2</w:t>
            </w:r>
          </w:p>
        </w:tc>
        <w:tc>
          <w:tcPr>
            <w:tcW w:w="911" w:type="dxa"/>
            <w:shd w:val="clear" w:color="auto" w:fill="auto"/>
            <w:noWrap/>
            <w:vAlign w:val="center"/>
            <w:hideMark/>
          </w:tcPr>
          <w:p w14:paraId="431E0C9F"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2.1</w:t>
            </w:r>
          </w:p>
        </w:tc>
      </w:tr>
      <w:tr w:rsidR="007D35E8" w:rsidRPr="00BD6E6D" w14:paraId="5A5A6419" w14:textId="77777777" w:rsidTr="00B56C1A">
        <w:trPr>
          <w:trHeight w:val="330"/>
        </w:trPr>
        <w:tc>
          <w:tcPr>
            <w:tcW w:w="1470" w:type="dxa"/>
            <w:vMerge/>
            <w:vAlign w:val="center"/>
            <w:hideMark/>
          </w:tcPr>
          <w:p w14:paraId="40475738"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05" w:type="dxa"/>
            <w:vMerge/>
            <w:vAlign w:val="center"/>
            <w:hideMark/>
          </w:tcPr>
          <w:p w14:paraId="0BE9D464"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vMerge/>
            <w:shd w:val="clear" w:color="auto" w:fill="auto"/>
            <w:vAlign w:val="center"/>
            <w:hideMark/>
          </w:tcPr>
          <w:p w14:paraId="2485BA06"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464" w:type="dxa"/>
            <w:vMerge/>
            <w:shd w:val="clear" w:color="auto" w:fill="auto"/>
            <w:vAlign w:val="center"/>
            <w:hideMark/>
          </w:tcPr>
          <w:p w14:paraId="393E4CC6"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3167" w:type="dxa"/>
            <w:shd w:val="clear" w:color="auto" w:fill="auto"/>
            <w:noWrap/>
            <w:vAlign w:val="center"/>
            <w:hideMark/>
          </w:tcPr>
          <w:p w14:paraId="2614248B"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Se debe corregir cronograma debido a que se identifica entregable que no corresponde al alcance del mismo.</w:t>
            </w:r>
          </w:p>
        </w:tc>
        <w:tc>
          <w:tcPr>
            <w:tcW w:w="962" w:type="dxa"/>
            <w:shd w:val="clear" w:color="auto" w:fill="auto"/>
            <w:noWrap/>
            <w:vAlign w:val="center"/>
            <w:hideMark/>
          </w:tcPr>
          <w:p w14:paraId="6DCAAF73"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Capítulo 2</w:t>
            </w:r>
          </w:p>
        </w:tc>
        <w:tc>
          <w:tcPr>
            <w:tcW w:w="911" w:type="dxa"/>
            <w:shd w:val="clear" w:color="auto" w:fill="auto"/>
            <w:noWrap/>
            <w:vAlign w:val="center"/>
            <w:hideMark/>
          </w:tcPr>
          <w:p w14:paraId="13B9CF82"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2.3</w:t>
            </w:r>
          </w:p>
        </w:tc>
      </w:tr>
      <w:tr w:rsidR="007D35E8" w:rsidRPr="00BD6E6D" w14:paraId="1EFB34F4" w14:textId="77777777" w:rsidTr="00B56C1A">
        <w:trPr>
          <w:trHeight w:val="330"/>
        </w:trPr>
        <w:tc>
          <w:tcPr>
            <w:tcW w:w="1470" w:type="dxa"/>
            <w:vMerge/>
            <w:vAlign w:val="center"/>
            <w:hideMark/>
          </w:tcPr>
          <w:p w14:paraId="58BF03EC"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05" w:type="dxa"/>
            <w:vMerge/>
            <w:vAlign w:val="center"/>
            <w:hideMark/>
          </w:tcPr>
          <w:p w14:paraId="330663B4"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vMerge/>
            <w:shd w:val="clear" w:color="auto" w:fill="auto"/>
            <w:vAlign w:val="center"/>
            <w:hideMark/>
          </w:tcPr>
          <w:p w14:paraId="172BCA9B"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464" w:type="dxa"/>
            <w:vMerge/>
            <w:shd w:val="clear" w:color="auto" w:fill="auto"/>
            <w:vAlign w:val="center"/>
            <w:hideMark/>
          </w:tcPr>
          <w:p w14:paraId="06086A76"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3167" w:type="dxa"/>
            <w:shd w:val="clear" w:color="auto" w:fill="auto"/>
            <w:noWrap/>
            <w:vAlign w:val="center"/>
            <w:hideMark/>
          </w:tcPr>
          <w:p w14:paraId="0BE8F5A8"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 xml:space="preserve">Producto de la solicitud de cambio del 18-4-23 pendiente: </w:t>
            </w:r>
          </w:p>
          <w:p w14:paraId="0324D7C5"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BD6E6D">
              <w:rPr>
                <w:rFonts w:ascii="Book Antiqua" w:eastAsia="Times New Roman" w:hAnsi="Book Antiqua" w:cs="Calibri"/>
                <w:b/>
                <w:bCs/>
                <w:color w:val="000000"/>
                <w:sz w:val="18"/>
                <w:szCs w:val="18"/>
                <w:lang w:eastAsia="es-CR"/>
              </w:rPr>
              <w:t>Acta de Constitución:</w:t>
            </w:r>
            <w:r w:rsidRPr="00BD6E6D">
              <w:rPr>
                <w:rFonts w:ascii="Book Antiqua" w:eastAsia="Times New Roman" w:hAnsi="Book Antiqua" w:cs="Calibri"/>
                <w:color w:val="000000"/>
                <w:sz w:val="18"/>
                <w:szCs w:val="18"/>
                <w:lang w:eastAsia="es-CR"/>
              </w:rPr>
              <w:t xml:space="preserve">  el cronograma de alto nivel debe mostrar los entregables generales preferiblemente con años o mes y no fechas específicas, además se recomienda hacerlo de manera general por entregable, sin fechas establecidas sino años o mese; equipo del proyecto debe establecerse los roles y nombre de las personas que conforman todo el proyecto desde el patrocinador hasta el equipo de proyecto. </w:t>
            </w:r>
          </w:p>
          <w:p w14:paraId="37765AB6"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BD6E6D">
              <w:rPr>
                <w:rFonts w:ascii="Book Antiqua" w:eastAsia="Times New Roman" w:hAnsi="Book Antiqua" w:cs="Calibri"/>
                <w:b/>
                <w:bCs/>
                <w:color w:val="000000"/>
                <w:sz w:val="18"/>
                <w:szCs w:val="18"/>
                <w:lang w:eastAsia="es-CR"/>
              </w:rPr>
              <w:t xml:space="preserve">Estudio de factibilidad: </w:t>
            </w:r>
            <w:r w:rsidRPr="00BD6E6D">
              <w:rPr>
                <w:rFonts w:ascii="Book Antiqua" w:eastAsia="Times New Roman" w:hAnsi="Book Antiqua" w:cs="Calibri"/>
                <w:color w:val="000000"/>
                <w:sz w:val="18"/>
                <w:szCs w:val="18"/>
                <w:lang w:eastAsia="es-CR"/>
              </w:rPr>
              <w:t>el planteamiento de las proyecto se debe indicar 3 alternativas para solucionar el problema; dentro de los costos de operación se mencionan costos relacionados con la implementación sin embargo esta fase se está considerando dentro del proyecto, por lo cual no se podría contemplar como costo de operación sino como costo de inversión; revisar y actualizar SROI con los costos de inversión actualizados.</w:t>
            </w:r>
          </w:p>
          <w:p w14:paraId="5282D029" w14:textId="77777777" w:rsidR="00E8321A" w:rsidRPr="00BD6E6D" w:rsidRDefault="00E8321A" w:rsidP="00E24FCA">
            <w:pPr>
              <w:spacing w:after="0" w:line="240" w:lineRule="auto"/>
              <w:jc w:val="both"/>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 xml:space="preserve"> </w:t>
            </w:r>
            <w:r w:rsidRPr="00BD6E6D">
              <w:rPr>
                <w:rFonts w:ascii="Book Antiqua" w:eastAsia="Times New Roman" w:hAnsi="Book Antiqua" w:cs="Calibri"/>
                <w:b/>
                <w:bCs/>
                <w:color w:val="000000"/>
                <w:sz w:val="18"/>
                <w:szCs w:val="18"/>
                <w:lang w:eastAsia="es-CR"/>
              </w:rPr>
              <w:t>Plan de gestión:</w:t>
            </w:r>
            <w:r w:rsidRPr="00BD6E6D">
              <w:rPr>
                <w:rFonts w:ascii="Book Antiqua" w:eastAsia="Times New Roman" w:hAnsi="Book Antiqua" w:cs="Calibri"/>
                <w:color w:val="000000"/>
                <w:sz w:val="18"/>
                <w:szCs w:val="18"/>
                <w:lang w:eastAsia="es-CR"/>
              </w:rPr>
              <w:t xml:space="preserve">  en el apartado de detalle de entregables: el diagrama de la EDT debe mostrar solamente 4 fases que son las que están establecidas en la metodología, por lo cual se solicita corregir la EDT y el cronograma; además verificar que estén todos los entregables igual que el cronograma, en este cuadro solamente se debe mostrar los entregables ( 3 nivel de la EDT); cronograma del proyecto debe estar en PDF y descargado desde </w:t>
            </w:r>
            <w:r w:rsidRPr="00BD6E6D">
              <w:rPr>
                <w:rFonts w:ascii="Book Antiqua" w:eastAsia="Times New Roman" w:hAnsi="Book Antiqua" w:cs="Calibri"/>
                <w:color w:val="000000"/>
                <w:sz w:val="18"/>
                <w:szCs w:val="18"/>
                <w:lang w:eastAsia="es-CR"/>
              </w:rPr>
              <w:lastRenderedPageBreak/>
              <w:t>Project el actualizado; los costos variables corresponden a recursos del presupuesto como computadora, silla, licencias, y la parte del recurso humano va en la parte inferior del apartado, además se debe verificar que se encuentre actualizados estos costos a todo el periodo; la administración de riesgo no aparece se debe incorporar.</w:t>
            </w:r>
          </w:p>
        </w:tc>
        <w:tc>
          <w:tcPr>
            <w:tcW w:w="962" w:type="dxa"/>
            <w:shd w:val="clear" w:color="auto" w:fill="auto"/>
            <w:noWrap/>
            <w:vAlign w:val="center"/>
            <w:hideMark/>
          </w:tcPr>
          <w:p w14:paraId="7F788FC7"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lastRenderedPageBreak/>
              <w:t>Capítulo 2</w:t>
            </w:r>
          </w:p>
        </w:tc>
        <w:tc>
          <w:tcPr>
            <w:tcW w:w="911" w:type="dxa"/>
            <w:shd w:val="clear" w:color="auto" w:fill="auto"/>
            <w:noWrap/>
            <w:vAlign w:val="center"/>
            <w:hideMark/>
          </w:tcPr>
          <w:p w14:paraId="4F30D228"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2.3</w:t>
            </w:r>
          </w:p>
        </w:tc>
      </w:tr>
      <w:tr w:rsidR="007D35E8" w:rsidRPr="00BD6E6D" w14:paraId="3E6AE154" w14:textId="77777777" w:rsidTr="00B56C1A">
        <w:trPr>
          <w:trHeight w:val="330"/>
        </w:trPr>
        <w:tc>
          <w:tcPr>
            <w:tcW w:w="1470" w:type="dxa"/>
            <w:vMerge/>
            <w:vAlign w:val="center"/>
            <w:hideMark/>
          </w:tcPr>
          <w:p w14:paraId="262B481D"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05" w:type="dxa"/>
            <w:vMerge w:val="restart"/>
            <w:shd w:val="clear" w:color="auto" w:fill="auto"/>
            <w:noWrap/>
            <w:vAlign w:val="center"/>
            <w:hideMark/>
          </w:tcPr>
          <w:p w14:paraId="657A4159"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1832 SUBPROCESO DE GESTION DEL DESEMPEÑO</w:t>
            </w:r>
          </w:p>
        </w:tc>
        <w:tc>
          <w:tcPr>
            <w:tcW w:w="741" w:type="dxa"/>
            <w:vMerge w:val="restart"/>
            <w:shd w:val="clear" w:color="auto" w:fill="auto"/>
            <w:noWrap/>
            <w:vAlign w:val="center"/>
            <w:hideMark/>
          </w:tcPr>
          <w:p w14:paraId="1E29D1BE"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0134-DGH-P02</w:t>
            </w:r>
          </w:p>
        </w:tc>
        <w:tc>
          <w:tcPr>
            <w:tcW w:w="1464" w:type="dxa"/>
            <w:vMerge w:val="restart"/>
            <w:shd w:val="clear" w:color="auto" w:fill="auto"/>
            <w:noWrap/>
            <w:vAlign w:val="center"/>
            <w:hideMark/>
          </w:tcPr>
          <w:p w14:paraId="45603AC4"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Sistema de Evaluación del Desempeño por Competencias</w:t>
            </w:r>
          </w:p>
        </w:tc>
        <w:tc>
          <w:tcPr>
            <w:tcW w:w="3167" w:type="dxa"/>
            <w:shd w:val="clear" w:color="auto" w:fill="auto"/>
            <w:noWrap/>
            <w:vAlign w:val="center"/>
            <w:hideMark/>
          </w:tcPr>
          <w:p w14:paraId="17BB5BC1"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 xml:space="preserve">Producto de la solicitud de cambio del 10-3-23 pendiente: </w:t>
            </w:r>
          </w:p>
          <w:p w14:paraId="09BBB9D5"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BD6E6D">
              <w:rPr>
                <w:rFonts w:ascii="Book Antiqua" w:eastAsia="Times New Roman" w:hAnsi="Book Antiqua" w:cs="Calibri"/>
                <w:b/>
                <w:bCs/>
                <w:color w:val="000000"/>
                <w:sz w:val="18"/>
                <w:szCs w:val="18"/>
                <w:lang w:eastAsia="es-CR"/>
              </w:rPr>
              <w:t>Acta de constitución:</w:t>
            </w:r>
            <w:r w:rsidRPr="00BD6E6D">
              <w:rPr>
                <w:rFonts w:ascii="Book Antiqua" w:eastAsia="Times New Roman" w:hAnsi="Book Antiqua" w:cs="Calibri"/>
                <w:color w:val="000000"/>
                <w:sz w:val="18"/>
                <w:szCs w:val="18"/>
                <w:lang w:eastAsia="es-CR"/>
              </w:rPr>
              <w:t xml:space="preserve"> Se debe trasladar los datos de este formulario al formulario de la metodología 2 la cual es la vigente. </w:t>
            </w:r>
          </w:p>
          <w:p w14:paraId="01D4D522" w14:textId="77777777" w:rsidR="00E8321A" w:rsidRPr="00BD6E6D" w:rsidRDefault="00E8321A" w:rsidP="00E24FCA">
            <w:pPr>
              <w:spacing w:after="0" w:line="240" w:lineRule="auto"/>
              <w:jc w:val="both"/>
              <w:rPr>
                <w:rFonts w:ascii="Book Antiqua" w:eastAsia="Times New Roman" w:hAnsi="Book Antiqua" w:cs="Calibri"/>
                <w:color w:val="000000"/>
                <w:sz w:val="18"/>
                <w:szCs w:val="18"/>
                <w:lang w:eastAsia="es-CR"/>
              </w:rPr>
            </w:pPr>
            <w:r w:rsidRPr="00BD6E6D">
              <w:rPr>
                <w:rFonts w:ascii="Book Antiqua" w:eastAsia="Times New Roman" w:hAnsi="Book Antiqua" w:cs="Calibri"/>
                <w:b/>
                <w:bCs/>
                <w:color w:val="000000"/>
                <w:sz w:val="18"/>
                <w:szCs w:val="18"/>
                <w:lang w:eastAsia="es-CR"/>
              </w:rPr>
              <w:t>Plan de gestión:</w:t>
            </w:r>
            <w:r w:rsidRPr="00BD6E6D">
              <w:rPr>
                <w:rFonts w:ascii="Book Antiqua" w:eastAsia="Times New Roman" w:hAnsi="Book Antiqua" w:cs="Calibri"/>
                <w:color w:val="000000"/>
                <w:sz w:val="18"/>
                <w:szCs w:val="18"/>
                <w:lang w:eastAsia="es-CR"/>
              </w:rPr>
              <w:t xml:space="preserve"> en el apartado de roles y responsabilidades, la columna de Responsabilidades generales en el proyecto debe mencionarse de manera general las responsabilidades, no tan detallado; en el Detalle de los entregables del proyecto revisar la codificación recordar que el nivel 1 es el nombre del proyecto, nivel 2 fases, y nivel 3 entregables, por lo anterior las fases que se mencionan 1,2,3,4 el código correcto sería 3.1, 3.2...; en el cuadro debe indicarse solo el nivel 3.</w:t>
            </w:r>
          </w:p>
        </w:tc>
        <w:tc>
          <w:tcPr>
            <w:tcW w:w="962" w:type="dxa"/>
            <w:shd w:val="clear" w:color="auto" w:fill="auto"/>
            <w:noWrap/>
            <w:vAlign w:val="center"/>
            <w:hideMark/>
          </w:tcPr>
          <w:p w14:paraId="5D012808"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Capítulo 2</w:t>
            </w:r>
          </w:p>
        </w:tc>
        <w:tc>
          <w:tcPr>
            <w:tcW w:w="911" w:type="dxa"/>
            <w:shd w:val="clear" w:color="auto" w:fill="auto"/>
            <w:noWrap/>
            <w:vAlign w:val="center"/>
            <w:hideMark/>
          </w:tcPr>
          <w:p w14:paraId="10699AF8"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2.3</w:t>
            </w:r>
          </w:p>
        </w:tc>
      </w:tr>
      <w:tr w:rsidR="007D35E8" w:rsidRPr="00BD6E6D" w14:paraId="2BEDBBC9" w14:textId="77777777" w:rsidTr="00B56C1A">
        <w:trPr>
          <w:trHeight w:val="330"/>
        </w:trPr>
        <w:tc>
          <w:tcPr>
            <w:tcW w:w="1470" w:type="dxa"/>
            <w:vMerge/>
            <w:vAlign w:val="center"/>
            <w:hideMark/>
          </w:tcPr>
          <w:p w14:paraId="25532710"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05" w:type="dxa"/>
            <w:vMerge/>
            <w:vAlign w:val="center"/>
            <w:hideMark/>
          </w:tcPr>
          <w:p w14:paraId="020E5899"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vMerge/>
            <w:vAlign w:val="center"/>
            <w:hideMark/>
          </w:tcPr>
          <w:p w14:paraId="7B699981"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464" w:type="dxa"/>
            <w:vMerge/>
            <w:vAlign w:val="center"/>
            <w:hideMark/>
          </w:tcPr>
          <w:p w14:paraId="1D32E55A"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3167" w:type="dxa"/>
            <w:shd w:val="clear" w:color="auto" w:fill="auto"/>
            <w:noWrap/>
            <w:vAlign w:val="center"/>
            <w:hideMark/>
          </w:tcPr>
          <w:p w14:paraId="44955F13" w14:textId="77777777" w:rsidR="00E8321A" w:rsidRPr="00BD6E6D" w:rsidRDefault="00E8321A" w:rsidP="00E24FCA">
            <w:pPr>
              <w:spacing w:after="0" w:line="240" w:lineRule="auto"/>
              <w:jc w:val="both"/>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Se recomienda valorar concluir el proyecto, si el mismo ya cumplió con el alcance (entregable principal que es la confección del sistema); y crear un operativo para la sostenibilidad y mejoras del sistema.</w:t>
            </w:r>
          </w:p>
        </w:tc>
        <w:tc>
          <w:tcPr>
            <w:tcW w:w="962" w:type="dxa"/>
            <w:shd w:val="clear" w:color="auto" w:fill="auto"/>
            <w:noWrap/>
            <w:vAlign w:val="center"/>
            <w:hideMark/>
          </w:tcPr>
          <w:p w14:paraId="316D2A47"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Capítulo 2</w:t>
            </w:r>
          </w:p>
        </w:tc>
        <w:tc>
          <w:tcPr>
            <w:tcW w:w="911" w:type="dxa"/>
            <w:shd w:val="clear" w:color="auto" w:fill="auto"/>
            <w:noWrap/>
            <w:vAlign w:val="center"/>
            <w:hideMark/>
          </w:tcPr>
          <w:p w14:paraId="43FBBF7B"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2.3</w:t>
            </w:r>
          </w:p>
        </w:tc>
      </w:tr>
      <w:tr w:rsidR="007D35E8" w:rsidRPr="00BD6E6D" w14:paraId="07D7E7B9" w14:textId="77777777" w:rsidTr="00B56C1A">
        <w:trPr>
          <w:trHeight w:val="300"/>
        </w:trPr>
        <w:tc>
          <w:tcPr>
            <w:tcW w:w="1470" w:type="dxa"/>
            <w:vMerge/>
            <w:vAlign w:val="center"/>
            <w:hideMark/>
          </w:tcPr>
          <w:p w14:paraId="5A49C949"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05" w:type="dxa"/>
            <w:vMerge w:val="restart"/>
            <w:shd w:val="clear" w:color="auto" w:fill="auto"/>
            <w:noWrap/>
            <w:vAlign w:val="center"/>
            <w:hideMark/>
          </w:tcPr>
          <w:p w14:paraId="5BBBE95B"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Dirección Gestión Humana</w:t>
            </w:r>
          </w:p>
        </w:tc>
        <w:tc>
          <w:tcPr>
            <w:tcW w:w="741" w:type="dxa"/>
            <w:shd w:val="clear" w:color="auto" w:fill="auto"/>
            <w:noWrap/>
            <w:vAlign w:val="center"/>
            <w:hideMark/>
          </w:tcPr>
          <w:p w14:paraId="52F44138"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0134-DGH-P12</w:t>
            </w:r>
          </w:p>
        </w:tc>
        <w:tc>
          <w:tcPr>
            <w:tcW w:w="1464" w:type="dxa"/>
            <w:shd w:val="clear" w:color="auto" w:fill="auto"/>
            <w:noWrap/>
            <w:vAlign w:val="center"/>
            <w:hideMark/>
          </w:tcPr>
          <w:p w14:paraId="7F76D02A"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Plan de trabajo para la gestión de nombramientos de puestos</w:t>
            </w:r>
          </w:p>
        </w:tc>
        <w:tc>
          <w:tcPr>
            <w:tcW w:w="3167" w:type="dxa"/>
            <w:shd w:val="clear" w:color="auto" w:fill="auto"/>
            <w:noWrap/>
            <w:vAlign w:val="center"/>
            <w:hideMark/>
          </w:tcPr>
          <w:p w14:paraId="0C1CDEC3" w14:textId="77777777" w:rsidR="00E8321A" w:rsidRPr="00BD6E6D" w:rsidRDefault="00E8321A" w:rsidP="00E24FCA">
            <w:pPr>
              <w:spacing w:after="0" w:line="240" w:lineRule="auto"/>
              <w:jc w:val="both"/>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Elaborar indicadores que respondan a los productos recibidos en las labores mensuales que se ejecutan y no al resultado que se espera obtener con los proyectos</w:t>
            </w:r>
          </w:p>
        </w:tc>
        <w:tc>
          <w:tcPr>
            <w:tcW w:w="962" w:type="dxa"/>
            <w:shd w:val="clear" w:color="auto" w:fill="auto"/>
            <w:noWrap/>
            <w:vAlign w:val="center"/>
            <w:hideMark/>
          </w:tcPr>
          <w:p w14:paraId="4A9A89EC"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Capítulo 3</w:t>
            </w:r>
          </w:p>
        </w:tc>
        <w:tc>
          <w:tcPr>
            <w:tcW w:w="911" w:type="dxa"/>
            <w:shd w:val="clear" w:color="auto" w:fill="auto"/>
            <w:noWrap/>
            <w:vAlign w:val="center"/>
            <w:hideMark/>
          </w:tcPr>
          <w:p w14:paraId="25AA0D96"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3.5</w:t>
            </w:r>
          </w:p>
        </w:tc>
      </w:tr>
      <w:tr w:rsidR="007D35E8" w:rsidRPr="00BD6E6D" w14:paraId="45ADF7D4" w14:textId="77777777" w:rsidTr="00B56C1A">
        <w:trPr>
          <w:trHeight w:val="300"/>
        </w:trPr>
        <w:tc>
          <w:tcPr>
            <w:tcW w:w="1470" w:type="dxa"/>
            <w:vMerge/>
            <w:vAlign w:val="center"/>
            <w:hideMark/>
          </w:tcPr>
          <w:p w14:paraId="00E1487A"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05" w:type="dxa"/>
            <w:vMerge/>
            <w:vAlign w:val="center"/>
            <w:hideMark/>
          </w:tcPr>
          <w:p w14:paraId="5DA6207F"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shd w:val="clear" w:color="auto" w:fill="auto"/>
            <w:noWrap/>
            <w:vAlign w:val="center"/>
            <w:hideMark/>
          </w:tcPr>
          <w:p w14:paraId="4939A079"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0134-DGH-P15</w:t>
            </w:r>
          </w:p>
        </w:tc>
        <w:tc>
          <w:tcPr>
            <w:tcW w:w="1464" w:type="dxa"/>
            <w:shd w:val="clear" w:color="auto" w:fill="auto"/>
            <w:noWrap/>
            <w:vAlign w:val="center"/>
            <w:hideMark/>
          </w:tcPr>
          <w:p w14:paraId="42CE1C52"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Plan de reclutamiento y selección de personal para los diferentes cargos en todos los ámbitos del Poder Judicial</w:t>
            </w:r>
          </w:p>
        </w:tc>
        <w:tc>
          <w:tcPr>
            <w:tcW w:w="3167" w:type="dxa"/>
            <w:shd w:val="clear" w:color="auto" w:fill="auto"/>
            <w:noWrap/>
            <w:vAlign w:val="center"/>
            <w:hideMark/>
          </w:tcPr>
          <w:p w14:paraId="782151DF" w14:textId="77777777" w:rsidR="00E8321A" w:rsidRPr="00BD6E6D" w:rsidRDefault="00E8321A" w:rsidP="00E24FCA">
            <w:pPr>
              <w:spacing w:after="0" w:line="240" w:lineRule="auto"/>
              <w:jc w:val="both"/>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Elaborar indicadores que respondan a los productos recibidos en las labores mensuales que se ejecutan y no al resultado que se espera obtener con los proyectos</w:t>
            </w:r>
          </w:p>
        </w:tc>
        <w:tc>
          <w:tcPr>
            <w:tcW w:w="962" w:type="dxa"/>
            <w:shd w:val="clear" w:color="auto" w:fill="auto"/>
            <w:noWrap/>
            <w:vAlign w:val="center"/>
            <w:hideMark/>
          </w:tcPr>
          <w:p w14:paraId="314EE148"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Capítulo 3</w:t>
            </w:r>
          </w:p>
        </w:tc>
        <w:tc>
          <w:tcPr>
            <w:tcW w:w="911" w:type="dxa"/>
            <w:shd w:val="clear" w:color="auto" w:fill="auto"/>
            <w:noWrap/>
            <w:vAlign w:val="center"/>
            <w:hideMark/>
          </w:tcPr>
          <w:p w14:paraId="3A255801"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3.5</w:t>
            </w:r>
          </w:p>
        </w:tc>
      </w:tr>
    </w:tbl>
    <w:p w14:paraId="3E095536" w14:textId="77777777" w:rsidR="00E8321A" w:rsidRPr="008F2C56" w:rsidRDefault="00E8321A" w:rsidP="00E8321A">
      <w:pPr>
        <w:spacing w:after="0" w:line="240" w:lineRule="auto"/>
        <w:jc w:val="both"/>
        <w:rPr>
          <w:rFonts w:ascii="Book Antiqua" w:hAnsi="Book Antiqua"/>
          <w:b/>
          <w:sz w:val="24"/>
          <w:szCs w:val="24"/>
          <w:highlight w:val="yellow"/>
        </w:rPr>
      </w:pPr>
    </w:p>
    <w:p w14:paraId="0716C041" w14:textId="77777777" w:rsidR="00E8321A" w:rsidRPr="00126691" w:rsidRDefault="00E8321A" w:rsidP="00EF4E17">
      <w:pPr>
        <w:numPr>
          <w:ilvl w:val="1"/>
          <w:numId w:val="20"/>
        </w:numPr>
        <w:spacing w:after="0" w:line="240" w:lineRule="auto"/>
        <w:ind w:left="426" w:hanging="426"/>
        <w:jc w:val="both"/>
        <w:rPr>
          <w:rFonts w:ascii="Book Antiqua" w:eastAsia="Book Antiqua" w:hAnsi="Book Antiqua"/>
          <w:sz w:val="24"/>
          <w:szCs w:val="24"/>
        </w:rPr>
      </w:pPr>
      <w:r>
        <w:rPr>
          <w:rFonts w:ascii="Book Antiqua" w:hAnsi="Book Antiqua"/>
          <w:sz w:val="24"/>
          <w:szCs w:val="24"/>
        </w:rPr>
        <w:lastRenderedPageBreak/>
        <w:t xml:space="preserve"> </w:t>
      </w:r>
      <w:r w:rsidRPr="001D722A">
        <w:rPr>
          <w:rFonts w:ascii="Book Antiqua" w:hAnsi="Book Antiqua"/>
          <w:sz w:val="24"/>
          <w:szCs w:val="24"/>
        </w:rPr>
        <w:t>Además, t</w:t>
      </w:r>
      <w:r w:rsidRPr="001D722A" w:rsidDel="00A51CE8">
        <w:rPr>
          <w:rFonts w:ascii="Book Antiqua" w:hAnsi="Book Antiqua"/>
          <w:sz w:val="24"/>
          <w:szCs w:val="24"/>
        </w:rPr>
        <w:t>omar las medidas pertinentes a fin de poder contrarrestar los atrasos presentados</w:t>
      </w:r>
      <w:r w:rsidRPr="001D722A">
        <w:rPr>
          <w:rFonts w:ascii="Book Antiqua" w:hAnsi="Book Antiqua"/>
          <w:sz w:val="24"/>
          <w:szCs w:val="24"/>
        </w:rPr>
        <w:t>.  Cuando no sea posible subsanar los atrasos, se deberá valorar la presentación de una solicitud de cambio en los casos que el retraso afecte la fecha de finalización de los proyectos y que la misma tenga autorización de la persona jefe o del director del proyecto.</w:t>
      </w:r>
    </w:p>
    <w:p w14:paraId="0EDA239B" w14:textId="77777777" w:rsidR="00E8321A" w:rsidRPr="00126691" w:rsidRDefault="00E8321A" w:rsidP="00E8321A">
      <w:pPr>
        <w:spacing w:after="0" w:line="240" w:lineRule="auto"/>
        <w:ind w:left="567"/>
        <w:jc w:val="both"/>
        <w:rPr>
          <w:rFonts w:ascii="Book Antiqua" w:eastAsia="Book Antiqua" w:hAnsi="Book Antiqua"/>
          <w:sz w:val="24"/>
          <w:szCs w:val="24"/>
        </w:rPr>
      </w:pPr>
    </w:p>
    <w:p w14:paraId="6194A84E" w14:textId="77777777" w:rsidR="00E8321A" w:rsidRPr="001D722A" w:rsidRDefault="00E8321A" w:rsidP="00EF4E17">
      <w:pPr>
        <w:numPr>
          <w:ilvl w:val="1"/>
          <w:numId w:val="20"/>
        </w:numPr>
        <w:spacing w:after="0" w:line="240" w:lineRule="auto"/>
        <w:ind w:left="426" w:hanging="426"/>
        <w:jc w:val="both"/>
        <w:rPr>
          <w:rFonts w:ascii="Book Antiqua" w:hAnsi="Book Antiqua"/>
          <w:sz w:val="24"/>
          <w:szCs w:val="24"/>
        </w:rPr>
      </w:pPr>
      <w:r>
        <w:rPr>
          <w:rFonts w:ascii="Book Antiqua" w:hAnsi="Book Antiqua"/>
          <w:sz w:val="24"/>
          <w:szCs w:val="24"/>
        </w:rPr>
        <w:t xml:space="preserve"> </w:t>
      </w:r>
      <w:r w:rsidRPr="001D722A">
        <w:rPr>
          <w:rFonts w:ascii="Book Antiqua" w:hAnsi="Book Antiqua"/>
          <w:sz w:val="24"/>
          <w:szCs w:val="24"/>
        </w:rPr>
        <w:t>Asimismo, es importante revisar y monitorear los proyectos que presentan un retraso significativo, y cuentan con permisos con goce otorgados.</w:t>
      </w:r>
    </w:p>
    <w:p w14:paraId="1F099E9E" w14:textId="77777777" w:rsidR="00E8321A" w:rsidRPr="001D722A" w:rsidRDefault="00E8321A" w:rsidP="00E8321A">
      <w:pPr>
        <w:spacing w:after="0" w:line="240" w:lineRule="auto"/>
        <w:jc w:val="both"/>
        <w:rPr>
          <w:rFonts w:ascii="Book Antiqua" w:eastAsia="Book Antiqua" w:hAnsi="Book Antiqua"/>
          <w:sz w:val="24"/>
          <w:szCs w:val="24"/>
        </w:rPr>
      </w:pPr>
    </w:p>
    <w:p w14:paraId="4F16C48D" w14:textId="77777777" w:rsidR="00E8321A" w:rsidRPr="00455263" w:rsidRDefault="00E8321A" w:rsidP="00E8321A">
      <w:pPr>
        <w:pStyle w:val="Ttulo2"/>
        <w:spacing w:before="0"/>
        <w:rPr>
          <w:rFonts w:ascii="Book Antiqua" w:hAnsi="Book Antiqua"/>
          <w:b/>
          <w:bCs/>
          <w:color w:val="auto"/>
          <w:sz w:val="24"/>
          <w:szCs w:val="24"/>
        </w:rPr>
      </w:pPr>
      <w:bookmarkStart w:id="187" w:name="_Toc131160619"/>
      <w:bookmarkStart w:id="188" w:name="_Toc138770900"/>
      <w:r w:rsidRPr="00455263">
        <w:rPr>
          <w:rFonts w:ascii="Book Antiqua" w:hAnsi="Book Antiqua"/>
          <w:b/>
          <w:bCs/>
          <w:color w:val="auto"/>
          <w:sz w:val="24"/>
          <w:szCs w:val="24"/>
        </w:rPr>
        <w:t>A la Escuela Judicial</w:t>
      </w:r>
      <w:bookmarkEnd w:id="187"/>
      <w:bookmarkEnd w:id="188"/>
    </w:p>
    <w:p w14:paraId="377F350F" w14:textId="77777777" w:rsidR="00E8321A" w:rsidRPr="001D722A" w:rsidRDefault="00E8321A" w:rsidP="00E8321A">
      <w:pPr>
        <w:spacing w:after="0" w:line="240" w:lineRule="auto"/>
        <w:jc w:val="both"/>
        <w:rPr>
          <w:rFonts w:ascii="Book Antiqua" w:hAnsi="Book Antiqua"/>
          <w:b/>
          <w:sz w:val="24"/>
          <w:szCs w:val="24"/>
          <w:highlight w:val="yellow"/>
        </w:rPr>
      </w:pPr>
    </w:p>
    <w:p w14:paraId="26234024" w14:textId="77777777" w:rsidR="00E8321A" w:rsidRDefault="00E8321A" w:rsidP="00EF4E17">
      <w:pPr>
        <w:numPr>
          <w:ilvl w:val="1"/>
          <w:numId w:val="20"/>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Se solicita más tardar el </w:t>
      </w:r>
      <w:r w:rsidRPr="00373A06">
        <w:rPr>
          <w:rFonts w:ascii="Book Antiqua" w:hAnsi="Book Antiqua"/>
          <w:b/>
          <w:bCs/>
          <w:sz w:val="24"/>
          <w:szCs w:val="24"/>
        </w:rPr>
        <w:t>11 de agosto del 2023</w:t>
      </w:r>
      <w:r w:rsidRPr="001D722A">
        <w:rPr>
          <w:rFonts w:ascii="Book Antiqua" w:hAnsi="Book Antiqua"/>
          <w:sz w:val="24"/>
          <w:szCs w:val="24"/>
        </w:rPr>
        <w:t xml:space="preserve">, cargar en el sitio de proyecto la atención de las siguientes recomendaciones: </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791"/>
        <w:gridCol w:w="912"/>
        <w:gridCol w:w="1315"/>
        <w:gridCol w:w="3017"/>
        <w:gridCol w:w="932"/>
        <w:gridCol w:w="911"/>
      </w:tblGrid>
      <w:tr w:rsidR="0086493B" w:rsidRPr="002C5174" w14:paraId="0B80C999" w14:textId="77777777" w:rsidTr="00B56C1A">
        <w:trPr>
          <w:trHeight w:val="300"/>
        </w:trPr>
        <w:tc>
          <w:tcPr>
            <w:tcW w:w="1470" w:type="dxa"/>
            <w:shd w:val="clear" w:color="000000" w:fill="44546A"/>
            <w:noWrap/>
            <w:vAlign w:val="center"/>
            <w:hideMark/>
          </w:tcPr>
          <w:p w14:paraId="517F2F55" w14:textId="77777777" w:rsidR="00E8321A" w:rsidRPr="00BD6E6D" w:rsidRDefault="00E8321A" w:rsidP="00B56C1A">
            <w:pPr>
              <w:spacing w:after="0" w:line="240" w:lineRule="auto"/>
              <w:jc w:val="center"/>
              <w:rPr>
                <w:rFonts w:ascii="Book Antiqua" w:eastAsia="Times New Roman" w:hAnsi="Book Antiqua" w:cs="Calibri"/>
                <w:b/>
                <w:bCs/>
                <w:color w:val="FFFFFF"/>
                <w:sz w:val="18"/>
                <w:szCs w:val="18"/>
                <w:lang w:eastAsia="es-CR"/>
              </w:rPr>
            </w:pPr>
            <w:r w:rsidRPr="00BD6E6D">
              <w:rPr>
                <w:rFonts w:ascii="Book Antiqua" w:eastAsia="Times New Roman" w:hAnsi="Book Antiqua" w:cs="Calibri"/>
                <w:b/>
                <w:bCs/>
                <w:color w:val="FFFFFF"/>
                <w:sz w:val="18"/>
                <w:szCs w:val="18"/>
                <w:lang w:eastAsia="es-CR"/>
              </w:rPr>
              <w:t>Centro de responsabilidad</w:t>
            </w:r>
          </w:p>
        </w:tc>
        <w:tc>
          <w:tcPr>
            <w:tcW w:w="1791" w:type="dxa"/>
            <w:shd w:val="clear" w:color="000000" w:fill="44546A"/>
            <w:noWrap/>
            <w:vAlign w:val="center"/>
            <w:hideMark/>
          </w:tcPr>
          <w:p w14:paraId="1747AD2B" w14:textId="77777777" w:rsidR="00E8321A" w:rsidRPr="00BD6E6D" w:rsidRDefault="00E8321A" w:rsidP="00B56C1A">
            <w:pPr>
              <w:spacing w:after="0" w:line="240" w:lineRule="auto"/>
              <w:jc w:val="center"/>
              <w:rPr>
                <w:rFonts w:ascii="Book Antiqua" w:eastAsia="Times New Roman" w:hAnsi="Book Antiqua" w:cs="Calibri"/>
                <w:b/>
                <w:bCs/>
                <w:color w:val="FFFFFF"/>
                <w:sz w:val="18"/>
                <w:szCs w:val="18"/>
                <w:lang w:eastAsia="es-CR"/>
              </w:rPr>
            </w:pPr>
            <w:r w:rsidRPr="00BD6E6D">
              <w:rPr>
                <w:rFonts w:ascii="Book Antiqua" w:eastAsia="Times New Roman" w:hAnsi="Book Antiqua" w:cs="Calibri"/>
                <w:b/>
                <w:bCs/>
                <w:color w:val="FFFFFF"/>
                <w:sz w:val="18"/>
                <w:szCs w:val="18"/>
                <w:lang w:eastAsia="es-CR"/>
              </w:rPr>
              <w:t>Oficina Líder</w:t>
            </w:r>
          </w:p>
        </w:tc>
        <w:tc>
          <w:tcPr>
            <w:tcW w:w="912" w:type="dxa"/>
            <w:shd w:val="clear" w:color="000000" w:fill="44546A"/>
            <w:noWrap/>
            <w:vAlign w:val="center"/>
            <w:hideMark/>
          </w:tcPr>
          <w:p w14:paraId="33CB0391" w14:textId="77777777" w:rsidR="00E8321A" w:rsidRPr="00BD6E6D" w:rsidRDefault="00E8321A" w:rsidP="00B56C1A">
            <w:pPr>
              <w:spacing w:after="0" w:line="240" w:lineRule="auto"/>
              <w:jc w:val="center"/>
              <w:rPr>
                <w:rFonts w:ascii="Book Antiqua" w:eastAsia="Times New Roman" w:hAnsi="Book Antiqua" w:cs="Calibri"/>
                <w:b/>
                <w:bCs/>
                <w:color w:val="FFFFFF"/>
                <w:sz w:val="18"/>
                <w:szCs w:val="18"/>
                <w:lang w:eastAsia="es-CR"/>
              </w:rPr>
            </w:pPr>
            <w:r w:rsidRPr="00BD6E6D">
              <w:rPr>
                <w:rFonts w:ascii="Book Antiqua" w:eastAsia="Times New Roman" w:hAnsi="Book Antiqua" w:cs="Calibri"/>
                <w:b/>
                <w:bCs/>
                <w:color w:val="FFFFFF"/>
                <w:sz w:val="18"/>
                <w:szCs w:val="18"/>
                <w:lang w:eastAsia="es-CR"/>
              </w:rPr>
              <w:t>Código</w:t>
            </w:r>
          </w:p>
        </w:tc>
        <w:tc>
          <w:tcPr>
            <w:tcW w:w="1315" w:type="dxa"/>
            <w:shd w:val="clear" w:color="000000" w:fill="44546A"/>
            <w:noWrap/>
            <w:vAlign w:val="center"/>
            <w:hideMark/>
          </w:tcPr>
          <w:p w14:paraId="0E54AD51" w14:textId="77777777" w:rsidR="00E8321A" w:rsidRPr="00BD6E6D" w:rsidRDefault="00E8321A" w:rsidP="00B56C1A">
            <w:pPr>
              <w:spacing w:after="0" w:line="240" w:lineRule="auto"/>
              <w:jc w:val="center"/>
              <w:rPr>
                <w:rFonts w:ascii="Book Antiqua" w:eastAsia="Times New Roman" w:hAnsi="Book Antiqua" w:cs="Calibri"/>
                <w:b/>
                <w:bCs/>
                <w:color w:val="FFFFFF"/>
                <w:sz w:val="18"/>
                <w:szCs w:val="18"/>
                <w:lang w:eastAsia="es-CR"/>
              </w:rPr>
            </w:pPr>
            <w:r w:rsidRPr="00BD6E6D">
              <w:rPr>
                <w:rFonts w:ascii="Book Antiqua" w:eastAsia="Times New Roman" w:hAnsi="Book Antiqua" w:cs="Calibri"/>
                <w:b/>
                <w:bCs/>
                <w:color w:val="FFFFFF"/>
                <w:sz w:val="18"/>
                <w:szCs w:val="18"/>
                <w:lang w:eastAsia="es-CR"/>
              </w:rPr>
              <w:t>Nombre</w:t>
            </w:r>
          </w:p>
        </w:tc>
        <w:tc>
          <w:tcPr>
            <w:tcW w:w="3017" w:type="dxa"/>
            <w:shd w:val="clear" w:color="000000" w:fill="44546A"/>
            <w:noWrap/>
            <w:vAlign w:val="center"/>
            <w:hideMark/>
          </w:tcPr>
          <w:p w14:paraId="6189B585" w14:textId="77777777" w:rsidR="00E8321A" w:rsidRPr="00BD6E6D" w:rsidRDefault="00E8321A" w:rsidP="00B56C1A">
            <w:pPr>
              <w:spacing w:after="0" w:line="240" w:lineRule="auto"/>
              <w:jc w:val="center"/>
              <w:rPr>
                <w:rFonts w:ascii="Book Antiqua" w:eastAsia="Times New Roman" w:hAnsi="Book Antiqua" w:cs="Calibri"/>
                <w:b/>
                <w:bCs/>
                <w:color w:val="FFFFFF"/>
                <w:sz w:val="18"/>
                <w:szCs w:val="18"/>
                <w:lang w:eastAsia="es-CR"/>
              </w:rPr>
            </w:pPr>
            <w:r w:rsidRPr="00BD6E6D">
              <w:rPr>
                <w:rFonts w:ascii="Book Antiqua" w:eastAsia="Times New Roman" w:hAnsi="Book Antiqua" w:cs="Calibri"/>
                <w:b/>
                <w:bCs/>
                <w:color w:val="FFFFFF"/>
                <w:sz w:val="18"/>
                <w:szCs w:val="18"/>
                <w:lang w:eastAsia="es-CR"/>
              </w:rPr>
              <w:t>Recomendación pendiente</w:t>
            </w:r>
          </w:p>
        </w:tc>
        <w:tc>
          <w:tcPr>
            <w:tcW w:w="932" w:type="dxa"/>
            <w:shd w:val="clear" w:color="000000" w:fill="44546A"/>
            <w:noWrap/>
            <w:vAlign w:val="center"/>
            <w:hideMark/>
          </w:tcPr>
          <w:p w14:paraId="7B0598E3" w14:textId="77777777" w:rsidR="00E8321A" w:rsidRPr="00BD6E6D" w:rsidRDefault="00E8321A" w:rsidP="00B56C1A">
            <w:pPr>
              <w:spacing w:after="0" w:line="240" w:lineRule="auto"/>
              <w:jc w:val="center"/>
              <w:rPr>
                <w:rFonts w:ascii="Book Antiqua" w:eastAsia="Times New Roman" w:hAnsi="Book Antiqua" w:cs="Calibri"/>
                <w:b/>
                <w:bCs/>
                <w:color w:val="FFFFFF"/>
                <w:sz w:val="18"/>
                <w:szCs w:val="18"/>
                <w:lang w:eastAsia="es-CR"/>
              </w:rPr>
            </w:pPr>
            <w:r w:rsidRPr="002C5174">
              <w:rPr>
                <w:rFonts w:ascii="Book Antiqua" w:eastAsia="Times New Roman" w:hAnsi="Book Antiqua" w:cs="Calibri"/>
                <w:b/>
                <w:bCs/>
                <w:color w:val="FFFFFF"/>
                <w:sz w:val="18"/>
                <w:szCs w:val="18"/>
                <w:lang w:eastAsia="es-CR"/>
              </w:rPr>
              <w:t>Capítulo</w:t>
            </w:r>
            <w:r w:rsidRPr="00BD6E6D">
              <w:rPr>
                <w:rFonts w:ascii="Book Antiqua" w:eastAsia="Times New Roman" w:hAnsi="Book Antiqua" w:cs="Calibri"/>
                <w:b/>
                <w:bCs/>
                <w:color w:val="FFFFFF"/>
                <w:sz w:val="18"/>
                <w:szCs w:val="18"/>
                <w:lang w:eastAsia="es-CR"/>
              </w:rPr>
              <w:t xml:space="preserve"> del informe</w:t>
            </w:r>
          </w:p>
        </w:tc>
        <w:tc>
          <w:tcPr>
            <w:tcW w:w="911" w:type="dxa"/>
            <w:shd w:val="clear" w:color="000000" w:fill="44546A"/>
            <w:noWrap/>
            <w:vAlign w:val="center"/>
            <w:hideMark/>
          </w:tcPr>
          <w:p w14:paraId="20C73A0C" w14:textId="77777777" w:rsidR="00E8321A" w:rsidRPr="00BD6E6D" w:rsidRDefault="00E8321A" w:rsidP="00B56C1A">
            <w:pPr>
              <w:spacing w:after="0" w:line="240" w:lineRule="auto"/>
              <w:jc w:val="center"/>
              <w:rPr>
                <w:rFonts w:ascii="Book Antiqua" w:eastAsia="Times New Roman" w:hAnsi="Book Antiqua" w:cs="Calibri"/>
                <w:b/>
                <w:bCs/>
                <w:color w:val="FFFFFF"/>
                <w:sz w:val="18"/>
                <w:szCs w:val="18"/>
                <w:lang w:eastAsia="es-CR"/>
              </w:rPr>
            </w:pPr>
            <w:r w:rsidRPr="00BD6E6D">
              <w:rPr>
                <w:rFonts w:ascii="Book Antiqua" w:eastAsia="Times New Roman" w:hAnsi="Book Antiqua" w:cs="Calibri"/>
                <w:b/>
                <w:bCs/>
                <w:color w:val="FFFFFF"/>
                <w:sz w:val="18"/>
                <w:szCs w:val="18"/>
                <w:lang w:eastAsia="es-CR"/>
              </w:rPr>
              <w:t>Apartado del informe</w:t>
            </w:r>
          </w:p>
        </w:tc>
      </w:tr>
      <w:tr w:rsidR="007D35E8" w:rsidRPr="002C5174" w14:paraId="42F88788" w14:textId="77777777" w:rsidTr="00B56C1A">
        <w:trPr>
          <w:trHeight w:val="300"/>
        </w:trPr>
        <w:tc>
          <w:tcPr>
            <w:tcW w:w="1470" w:type="dxa"/>
            <w:vMerge w:val="restart"/>
            <w:shd w:val="clear" w:color="F2F2F2" w:fill="FFFFFF"/>
            <w:noWrap/>
            <w:vAlign w:val="center"/>
            <w:hideMark/>
          </w:tcPr>
          <w:p w14:paraId="3101F3F7"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Escuela Judicial</w:t>
            </w:r>
          </w:p>
        </w:tc>
        <w:tc>
          <w:tcPr>
            <w:tcW w:w="1791" w:type="dxa"/>
            <w:vMerge w:val="restart"/>
            <w:shd w:val="clear" w:color="F2F2F2" w:fill="FFFFFF"/>
            <w:noWrap/>
            <w:vAlign w:val="center"/>
            <w:hideMark/>
          </w:tcPr>
          <w:p w14:paraId="32F90BD8"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0035 ESCUELA JUDICIAL</w:t>
            </w:r>
          </w:p>
        </w:tc>
        <w:tc>
          <w:tcPr>
            <w:tcW w:w="912" w:type="dxa"/>
            <w:shd w:val="clear" w:color="auto" w:fill="auto"/>
            <w:noWrap/>
            <w:vAlign w:val="center"/>
            <w:hideMark/>
          </w:tcPr>
          <w:p w14:paraId="17483164"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0035-EJ-P01</w:t>
            </w:r>
          </w:p>
        </w:tc>
        <w:tc>
          <w:tcPr>
            <w:tcW w:w="1315" w:type="dxa"/>
            <w:shd w:val="clear" w:color="auto" w:fill="auto"/>
            <w:noWrap/>
            <w:vAlign w:val="center"/>
            <w:hideMark/>
          </w:tcPr>
          <w:p w14:paraId="479B8D96"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Sistema de Gestión de Capacitación</w:t>
            </w:r>
          </w:p>
        </w:tc>
        <w:tc>
          <w:tcPr>
            <w:tcW w:w="3017" w:type="dxa"/>
            <w:shd w:val="clear" w:color="auto" w:fill="auto"/>
            <w:noWrap/>
            <w:vAlign w:val="center"/>
            <w:hideMark/>
          </w:tcPr>
          <w:p w14:paraId="35939F8A" w14:textId="77777777" w:rsidR="00E8321A" w:rsidRPr="00BD6E6D" w:rsidRDefault="00E8321A" w:rsidP="00B56C1A">
            <w:pPr>
              <w:spacing w:after="0" w:line="240" w:lineRule="auto"/>
              <w:jc w:val="center"/>
              <w:rPr>
                <w:rFonts w:ascii="Book Antiqua" w:eastAsia="Times New Roman" w:hAnsi="Book Antiqua" w:cs="Calibri"/>
                <w:color w:val="444444"/>
                <w:sz w:val="18"/>
                <w:szCs w:val="18"/>
                <w:lang w:eastAsia="es-CR"/>
              </w:rPr>
            </w:pPr>
            <w:r w:rsidRPr="00BD6E6D">
              <w:rPr>
                <w:rFonts w:ascii="Book Antiqua" w:eastAsia="Times New Roman" w:hAnsi="Book Antiqua" w:cs="Calibri"/>
                <w:color w:val="444444"/>
                <w:sz w:val="18"/>
                <w:szCs w:val="18"/>
                <w:lang w:eastAsia="es-CR"/>
              </w:rPr>
              <w:t>No se corrigió el informe de avance de diciembre</w:t>
            </w:r>
            <w:r w:rsidRPr="00BD6E6D">
              <w:rPr>
                <w:rFonts w:ascii="Book Antiqua" w:eastAsia="Times New Roman" w:hAnsi="Book Antiqua" w:cs="Calibri"/>
                <w:color w:val="000000"/>
                <w:sz w:val="18"/>
                <w:szCs w:val="18"/>
                <w:lang w:eastAsia="es-CR"/>
              </w:rPr>
              <w:t xml:space="preserve"> presentaba incorrecto el porcentaje esperado</w:t>
            </w:r>
            <w:r w:rsidRPr="00BD6E6D">
              <w:rPr>
                <w:rFonts w:ascii="Book Antiqua" w:eastAsia="Times New Roman" w:hAnsi="Book Antiqua" w:cs="Calibri"/>
                <w:color w:val="444444"/>
                <w:sz w:val="18"/>
                <w:szCs w:val="18"/>
                <w:lang w:eastAsia="es-CR"/>
              </w:rPr>
              <w:t>, ni se justifica los motivos por los cuales no se corrige el informe.</w:t>
            </w:r>
          </w:p>
        </w:tc>
        <w:tc>
          <w:tcPr>
            <w:tcW w:w="932" w:type="dxa"/>
            <w:shd w:val="clear" w:color="auto" w:fill="auto"/>
            <w:noWrap/>
            <w:vAlign w:val="center"/>
            <w:hideMark/>
          </w:tcPr>
          <w:p w14:paraId="7B5C481F"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Capítulo</w:t>
            </w:r>
            <w:r w:rsidRPr="00BD6E6D">
              <w:rPr>
                <w:rFonts w:ascii="Book Antiqua" w:eastAsia="Times New Roman" w:hAnsi="Book Antiqua" w:cs="Calibri"/>
                <w:color w:val="000000"/>
                <w:sz w:val="18"/>
                <w:szCs w:val="18"/>
                <w:lang w:eastAsia="es-CR"/>
              </w:rPr>
              <w:t xml:space="preserve"> 1</w:t>
            </w:r>
          </w:p>
        </w:tc>
        <w:tc>
          <w:tcPr>
            <w:tcW w:w="911" w:type="dxa"/>
            <w:shd w:val="clear" w:color="auto" w:fill="auto"/>
            <w:noWrap/>
            <w:vAlign w:val="center"/>
            <w:hideMark/>
          </w:tcPr>
          <w:p w14:paraId="1E47C90C"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1.14</w:t>
            </w:r>
          </w:p>
        </w:tc>
      </w:tr>
      <w:tr w:rsidR="007D35E8" w:rsidRPr="002C5174" w14:paraId="41E12FBB" w14:textId="77777777" w:rsidTr="00B56C1A">
        <w:trPr>
          <w:trHeight w:val="300"/>
        </w:trPr>
        <w:tc>
          <w:tcPr>
            <w:tcW w:w="1470" w:type="dxa"/>
            <w:vMerge/>
            <w:vAlign w:val="center"/>
            <w:hideMark/>
          </w:tcPr>
          <w:p w14:paraId="537452C2"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791" w:type="dxa"/>
            <w:vMerge/>
            <w:vAlign w:val="center"/>
            <w:hideMark/>
          </w:tcPr>
          <w:p w14:paraId="3097BAF6"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912" w:type="dxa"/>
            <w:shd w:val="clear" w:color="auto" w:fill="auto"/>
            <w:noWrap/>
            <w:vAlign w:val="center"/>
            <w:hideMark/>
          </w:tcPr>
          <w:p w14:paraId="47EC4B14"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0035-EJ-P03</w:t>
            </w:r>
          </w:p>
        </w:tc>
        <w:tc>
          <w:tcPr>
            <w:tcW w:w="1315" w:type="dxa"/>
            <w:shd w:val="clear" w:color="auto" w:fill="auto"/>
            <w:noWrap/>
            <w:vAlign w:val="center"/>
            <w:hideMark/>
          </w:tcPr>
          <w:p w14:paraId="4F0924B1"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Análisis y trámite de pago de reclamos de viáticos de Programas Básicos de Investigación criminal OIJ solicitados por Consejo Superior</w:t>
            </w:r>
          </w:p>
        </w:tc>
        <w:tc>
          <w:tcPr>
            <w:tcW w:w="3017" w:type="dxa"/>
            <w:shd w:val="clear" w:color="auto" w:fill="auto"/>
            <w:noWrap/>
            <w:vAlign w:val="center"/>
            <w:hideMark/>
          </w:tcPr>
          <w:p w14:paraId="2CD17FC1" w14:textId="77777777" w:rsidR="00E8321A" w:rsidRPr="00BD6E6D" w:rsidRDefault="00E8321A" w:rsidP="00E24FCA">
            <w:pPr>
              <w:spacing w:after="0" w:line="240" w:lineRule="auto"/>
              <w:jc w:val="both"/>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Elaborar una proyección que permita identificar la cantidad de posibles reclamos pendientes y una fecha de finalización de los casos que actualmente se encuentran en trámite. Lo anterior, para proyectar el plazo por el cual se requiere mantener los permisos vigentes para atender este tema y definir así, a partir de cuando la oficina puede asumir esta labor con el recurso humano ordinario asignado.</w:t>
            </w:r>
          </w:p>
        </w:tc>
        <w:tc>
          <w:tcPr>
            <w:tcW w:w="932" w:type="dxa"/>
            <w:shd w:val="clear" w:color="auto" w:fill="auto"/>
            <w:noWrap/>
            <w:vAlign w:val="center"/>
            <w:hideMark/>
          </w:tcPr>
          <w:p w14:paraId="7C1EE6B3"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Capítulo</w:t>
            </w:r>
            <w:r w:rsidRPr="00BD6E6D">
              <w:rPr>
                <w:rFonts w:ascii="Book Antiqua" w:eastAsia="Times New Roman" w:hAnsi="Book Antiqua" w:cs="Calibri"/>
                <w:color w:val="000000"/>
                <w:sz w:val="18"/>
                <w:szCs w:val="18"/>
                <w:lang w:eastAsia="es-CR"/>
              </w:rPr>
              <w:t xml:space="preserve"> 3</w:t>
            </w:r>
          </w:p>
        </w:tc>
        <w:tc>
          <w:tcPr>
            <w:tcW w:w="911" w:type="dxa"/>
            <w:shd w:val="clear" w:color="auto" w:fill="auto"/>
            <w:noWrap/>
            <w:vAlign w:val="center"/>
            <w:hideMark/>
          </w:tcPr>
          <w:p w14:paraId="48856E31" w14:textId="77777777" w:rsidR="00E8321A" w:rsidRPr="00BD6E6D" w:rsidRDefault="00E8321A" w:rsidP="00B56C1A">
            <w:pPr>
              <w:spacing w:after="0" w:line="240" w:lineRule="auto"/>
              <w:jc w:val="center"/>
              <w:rPr>
                <w:rFonts w:ascii="Book Antiqua" w:eastAsia="Times New Roman" w:hAnsi="Book Antiqua" w:cs="Calibri"/>
                <w:color w:val="000000"/>
                <w:sz w:val="18"/>
                <w:szCs w:val="18"/>
                <w:lang w:eastAsia="es-CR"/>
              </w:rPr>
            </w:pPr>
            <w:r w:rsidRPr="00BD6E6D">
              <w:rPr>
                <w:rFonts w:ascii="Book Antiqua" w:eastAsia="Times New Roman" w:hAnsi="Book Antiqua" w:cs="Calibri"/>
                <w:color w:val="000000"/>
                <w:sz w:val="18"/>
                <w:szCs w:val="18"/>
                <w:lang w:eastAsia="es-CR"/>
              </w:rPr>
              <w:t>3.5</w:t>
            </w:r>
          </w:p>
        </w:tc>
      </w:tr>
    </w:tbl>
    <w:p w14:paraId="76F10248" w14:textId="77777777" w:rsidR="00E8321A" w:rsidRPr="008F2C56" w:rsidRDefault="00E8321A" w:rsidP="00E8321A">
      <w:pPr>
        <w:spacing w:after="0" w:line="240" w:lineRule="auto"/>
        <w:jc w:val="both"/>
        <w:rPr>
          <w:rFonts w:ascii="Book Antiqua" w:hAnsi="Book Antiqua"/>
          <w:b/>
          <w:sz w:val="24"/>
          <w:szCs w:val="24"/>
          <w:highlight w:val="yellow"/>
        </w:rPr>
      </w:pPr>
    </w:p>
    <w:p w14:paraId="16F16CD5" w14:textId="77777777" w:rsidR="00E8321A" w:rsidRDefault="00E8321A" w:rsidP="00E8321A">
      <w:pPr>
        <w:pStyle w:val="Ttulo2"/>
        <w:spacing w:before="0"/>
        <w:rPr>
          <w:rFonts w:ascii="Book Antiqua" w:hAnsi="Book Antiqua"/>
          <w:b/>
          <w:bCs/>
          <w:color w:val="auto"/>
          <w:sz w:val="24"/>
          <w:szCs w:val="24"/>
        </w:rPr>
      </w:pPr>
      <w:bookmarkStart w:id="189" w:name="_Toc131160620"/>
      <w:bookmarkStart w:id="190" w:name="_Toc138770901"/>
      <w:r w:rsidRPr="00455263">
        <w:rPr>
          <w:rFonts w:ascii="Book Antiqua" w:hAnsi="Book Antiqua"/>
          <w:b/>
          <w:bCs/>
          <w:color w:val="auto"/>
          <w:sz w:val="24"/>
          <w:szCs w:val="24"/>
        </w:rPr>
        <w:t xml:space="preserve">A la </w:t>
      </w:r>
      <w:r w:rsidRPr="000B4474">
        <w:rPr>
          <w:rFonts w:ascii="Book Antiqua" w:hAnsi="Book Antiqua"/>
          <w:b/>
          <w:bCs/>
          <w:color w:val="auto"/>
          <w:sz w:val="24"/>
          <w:szCs w:val="24"/>
        </w:rPr>
        <w:t>Inspección Judicial</w:t>
      </w:r>
      <w:bookmarkEnd w:id="189"/>
      <w:bookmarkEnd w:id="190"/>
    </w:p>
    <w:p w14:paraId="46E8F7C7" w14:textId="77777777" w:rsidR="00E8321A" w:rsidRPr="000B4474" w:rsidRDefault="00E8321A" w:rsidP="00E8321A">
      <w:pPr>
        <w:spacing w:after="0"/>
        <w:rPr>
          <w:sz w:val="24"/>
          <w:szCs w:val="24"/>
        </w:rPr>
      </w:pPr>
    </w:p>
    <w:p w14:paraId="7276634F" w14:textId="77777777" w:rsidR="00E8321A" w:rsidRDefault="00E8321A" w:rsidP="00EF4E17">
      <w:pPr>
        <w:numPr>
          <w:ilvl w:val="1"/>
          <w:numId w:val="20"/>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Se solicita más tardar el </w:t>
      </w:r>
      <w:r w:rsidRPr="00373A06">
        <w:rPr>
          <w:rFonts w:ascii="Book Antiqua" w:hAnsi="Book Antiqua"/>
          <w:b/>
          <w:bCs/>
          <w:sz w:val="24"/>
          <w:szCs w:val="24"/>
        </w:rPr>
        <w:t>11 de agosto del 2023</w:t>
      </w:r>
      <w:r w:rsidRPr="001D722A">
        <w:rPr>
          <w:rFonts w:ascii="Book Antiqua" w:hAnsi="Book Antiqua"/>
          <w:sz w:val="24"/>
          <w:szCs w:val="24"/>
        </w:rPr>
        <w:t xml:space="preserve">, cargar en el sitio de proyecto la atención de las siguientes recomendaciones: </w:t>
      </w:r>
    </w:p>
    <w:tbl>
      <w:tblPr>
        <w:tblW w:w="1093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791"/>
        <w:gridCol w:w="850"/>
        <w:gridCol w:w="1922"/>
        <w:gridCol w:w="2898"/>
        <w:gridCol w:w="1088"/>
        <w:gridCol w:w="911"/>
      </w:tblGrid>
      <w:tr w:rsidR="0086493B" w:rsidRPr="007B26FB" w14:paraId="2CD05918" w14:textId="77777777" w:rsidTr="00B56C1A">
        <w:trPr>
          <w:trHeight w:val="300"/>
          <w:tblHeader/>
        </w:trPr>
        <w:tc>
          <w:tcPr>
            <w:tcW w:w="1470" w:type="dxa"/>
            <w:shd w:val="clear" w:color="000000" w:fill="44546A"/>
            <w:noWrap/>
            <w:vAlign w:val="center"/>
            <w:hideMark/>
          </w:tcPr>
          <w:p w14:paraId="42CCBB9F" w14:textId="77777777" w:rsidR="00E8321A" w:rsidRPr="007B26FB" w:rsidRDefault="00E8321A" w:rsidP="00B56C1A">
            <w:pPr>
              <w:spacing w:after="0" w:line="240" w:lineRule="auto"/>
              <w:jc w:val="center"/>
              <w:rPr>
                <w:rFonts w:ascii="Book Antiqua" w:eastAsia="Times New Roman" w:hAnsi="Book Antiqua" w:cs="Calibri"/>
                <w:b/>
                <w:bCs/>
                <w:color w:val="FFFFFF"/>
                <w:sz w:val="18"/>
                <w:szCs w:val="18"/>
                <w:lang w:eastAsia="es-CR"/>
              </w:rPr>
            </w:pPr>
            <w:r w:rsidRPr="007B26FB">
              <w:rPr>
                <w:rFonts w:ascii="Book Antiqua" w:eastAsia="Times New Roman" w:hAnsi="Book Antiqua" w:cs="Calibri"/>
                <w:b/>
                <w:bCs/>
                <w:color w:val="FFFFFF"/>
                <w:sz w:val="18"/>
                <w:szCs w:val="18"/>
                <w:lang w:eastAsia="es-CR"/>
              </w:rPr>
              <w:t>Centro de responsabilidad</w:t>
            </w:r>
          </w:p>
        </w:tc>
        <w:tc>
          <w:tcPr>
            <w:tcW w:w="1791" w:type="dxa"/>
            <w:shd w:val="clear" w:color="000000" w:fill="44546A"/>
            <w:noWrap/>
            <w:vAlign w:val="center"/>
            <w:hideMark/>
          </w:tcPr>
          <w:p w14:paraId="43468838" w14:textId="77777777" w:rsidR="00E8321A" w:rsidRPr="007B26FB" w:rsidRDefault="00E8321A" w:rsidP="00B56C1A">
            <w:pPr>
              <w:spacing w:after="0" w:line="240" w:lineRule="auto"/>
              <w:jc w:val="center"/>
              <w:rPr>
                <w:rFonts w:ascii="Book Antiqua" w:eastAsia="Times New Roman" w:hAnsi="Book Antiqua" w:cs="Calibri"/>
                <w:b/>
                <w:bCs/>
                <w:color w:val="FFFFFF"/>
                <w:sz w:val="18"/>
                <w:szCs w:val="18"/>
                <w:lang w:eastAsia="es-CR"/>
              </w:rPr>
            </w:pPr>
            <w:r w:rsidRPr="007B26FB">
              <w:rPr>
                <w:rFonts w:ascii="Book Antiqua" w:eastAsia="Times New Roman" w:hAnsi="Book Antiqua" w:cs="Calibri"/>
                <w:b/>
                <w:bCs/>
                <w:color w:val="FFFFFF"/>
                <w:sz w:val="18"/>
                <w:szCs w:val="18"/>
                <w:lang w:eastAsia="es-CR"/>
              </w:rPr>
              <w:t>Oficina Líder</w:t>
            </w:r>
          </w:p>
        </w:tc>
        <w:tc>
          <w:tcPr>
            <w:tcW w:w="850" w:type="dxa"/>
            <w:shd w:val="clear" w:color="000000" w:fill="44546A"/>
            <w:noWrap/>
            <w:vAlign w:val="center"/>
            <w:hideMark/>
          </w:tcPr>
          <w:p w14:paraId="03E4B4CC" w14:textId="77777777" w:rsidR="00E8321A" w:rsidRPr="007B26FB" w:rsidRDefault="00E8321A" w:rsidP="00B56C1A">
            <w:pPr>
              <w:spacing w:after="0" w:line="240" w:lineRule="auto"/>
              <w:jc w:val="center"/>
              <w:rPr>
                <w:rFonts w:ascii="Book Antiqua" w:eastAsia="Times New Roman" w:hAnsi="Book Antiqua" w:cs="Calibri"/>
                <w:b/>
                <w:bCs/>
                <w:color w:val="FFFFFF"/>
                <w:sz w:val="18"/>
                <w:szCs w:val="18"/>
                <w:lang w:eastAsia="es-CR"/>
              </w:rPr>
            </w:pPr>
            <w:r w:rsidRPr="007B26FB">
              <w:rPr>
                <w:rFonts w:ascii="Book Antiqua" w:eastAsia="Times New Roman" w:hAnsi="Book Antiqua" w:cs="Calibri"/>
                <w:b/>
                <w:bCs/>
                <w:color w:val="FFFFFF"/>
                <w:sz w:val="18"/>
                <w:szCs w:val="18"/>
                <w:lang w:eastAsia="es-CR"/>
              </w:rPr>
              <w:t>Código</w:t>
            </w:r>
          </w:p>
        </w:tc>
        <w:tc>
          <w:tcPr>
            <w:tcW w:w="1922" w:type="dxa"/>
            <w:shd w:val="clear" w:color="000000" w:fill="44546A"/>
            <w:noWrap/>
            <w:vAlign w:val="center"/>
            <w:hideMark/>
          </w:tcPr>
          <w:p w14:paraId="77F8B186" w14:textId="77777777" w:rsidR="00E8321A" w:rsidRPr="007B26FB" w:rsidRDefault="00E8321A" w:rsidP="00B56C1A">
            <w:pPr>
              <w:spacing w:after="0" w:line="240" w:lineRule="auto"/>
              <w:jc w:val="center"/>
              <w:rPr>
                <w:rFonts w:ascii="Book Antiqua" w:eastAsia="Times New Roman" w:hAnsi="Book Antiqua" w:cs="Calibri"/>
                <w:b/>
                <w:bCs/>
                <w:color w:val="FFFFFF"/>
                <w:sz w:val="18"/>
                <w:szCs w:val="18"/>
                <w:lang w:eastAsia="es-CR"/>
              </w:rPr>
            </w:pPr>
            <w:r w:rsidRPr="007B26FB">
              <w:rPr>
                <w:rFonts w:ascii="Book Antiqua" w:eastAsia="Times New Roman" w:hAnsi="Book Antiqua" w:cs="Calibri"/>
                <w:b/>
                <w:bCs/>
                <w:color w:val="FFFFFF"/>
                <w:sz w:val="18"/>
                <w:szCs w:val="18"/>
                <w:lang w:eastAsia="es-CR"/>
              </w:rPr>
              <w:t>Nombre</w:t>
            </w:r>
          </w:p>
        </w:tc>
        <w:tc>
          <w:tcPr>
            <w:tcW w:w="2898" w:type="dxa"/>
            <w:shd w:val="clear" w:color="000000" w:fill="44546A"/>
            <w:noWrap/>
            <w:vAlign w:val="center"/>
            <w:hideMark/>
          </w:tcPr>
          <w:p w14:paraId="1ABF6375" w14:textId="77777777" w:rsidR="00E8321A" w:rsidRPr="007B26FB" w:rsidRDefault="00E8321A" w:rsidP="00B56C1A">
            <w:pPr>
              <w:spacing w:after="0" w:line="240" w:lineRule="auto"/>
              <w:jc w:val="center"/>
              <w:rPr>
                <w:rFonts w:ascii="Book Antiqua" w:eastAsia="Times New Roman" w:hAnsi="Book Antiqua" w:cs="Calibri"/>
                <w:b/>
                <w:bCs/>
                <w:color w:val="FFFFFF"/>
                <w:sz w:val="18"/>
                <w:szCs w:val="18"/>
                <w:lang w:eastAsia="es-CR"/>
              </w:rPr>
            </w:pPr>
            <w:r w:rsidRPr="007B26FB">
              <w:rPr>
                <w:rFonts w:ascii="Book Antiqua" w:eastAsia="Times New Roman" w:hAnsi="Book Antiqua" w:cs="Calibri"/>
                <w:b/>
                <w:bCs/>
                <w:color w:val="FFFFFF"/>
                <w:sz w:val="18"/>
                <w:szCs w:val="18"/>
                <w:lang w:eastAsia="es-CR"/>
              </w:rPr>
              <w:t>Recomendación pendiente</w:t>
            </w:r>
          </w:p>
        </w:tc>
        <w:tc>
          <w:tcPr>
            <w:tcW w:w="1088" w:type="dxa"/>
            <w:shd w:val="clear" w:color="000000" w:fill="44546A"/>
            <w:noWrap/>
            <w:vAlign w:val="center"/>
            <w:hideMark/>
          </w:tcPr>
          <w:p w14:paraId="3B574A0F" w14:textId="77777777" w:rsidR="00E8321A" w:rsidRPr="007B26FB" w:rsidRDefault="00E8321A" w:rsidP="00B56C1A">
            <w:pPr>
              <w:spacing w:after="0" w:line="240" w:lineRule="auto"/>
              <w:jc w:val="center"/>
              <w:rPr>
                <w:rFonts w:ascii="Book Antiqua" w:eastAsia="Times New Roman" w:hAnsi="Book Antiqua" w:cs="Calibri"/>
                <w:b/>
                <w:bCs/>
                <w:color w:val="FFFFFF"/>
                <w:sz w:val="18"/>
                <w:szCs w:val="18"/>
                <w:lang w:eastAsia="es-CR"/>
              </w:rPr>
            </w:pPr>
            <w:r w:rsidRPr="007B26FB">
              <w:rPr>
                <w:rFonts w:ascii="Book Antiqua" w:eastAsia="Times New Roman" w:hAnsi="Book Antiqua" w:cs="Calibri"/>
                <w:b/>
                <w:bCs/>
                <w:color w:val="FFFFFF"/>
                <w:sz w:val="18"/>
                <w:szCs w:val="18"/>
                <w:lang w:eastAsia="es-CR"/>
              </w:rPr>
              <w:t>Capítulo del informe</w:t>
            </w:r>
          </w:p>
        </w:tc>
        <w:tc>
          <w:tcPr>
            <w:tcW w:w="911" w:type="dxa"/>
            <w:shd w:val="clear" w:color="000000" w:fill="44546A"/>
            <w:noWrap/>
            <w:vAlign w:val="center"/>
            <w:hideMark/>
          </w:tcPr>
          <w:p w14:paraId="1EC0F107" w14:textId="77777777" w:rsidR="00E8321A" w:rsidRPr="007B26FB" w:rsidRDefault="00E8321A" w:rsidP="00B56C1A">
            <w:pPr>
              <w:spacing w:after="0" w:line="240" w:lineRule="auto"/>
              <w:jc w:val="center"/>
              <w:rPr>
                <w:rFonts w:ascii="Book Antiqua" w:eastAsia="Times New Roman" w:hAnsi="Book Antiqua" w:cs="Calibri"/>
                <w:b/>
                <w:bCs/>
                <w:color w:val="FFFFFF"/>
                <w:sz w:val="18"/>
                <w:szCs w:val="18"/>
                <w:lang w:eastAsia="es-CR"/>
              </w:rPr>
            </w:pPr>
            <w:r w:rsidRPr="007B26FB">
              <w:rPr>
                <w:rFonts w:ascii="Book Antiqua" w:eastAsia="Times New Roman" w:hAnsi="Book Antiqua" w:cs="Calibri"/>
                <w:b/>
                <w:bCs/>
                <w:color w:val="FFFFFF"/>
                <w:sz w:val="18"/>
                <w:szCs w:val="18"/>
                <w:lang w:eastAsia="es-CR"/>
              </w:rPr>
              <w:t>Apartado del informe</w:t>
            </w:r>
          </w:p>
        </w:tc>
      </w:tr>
      <w:tr w:rsidR="007D35E8" w:rsidRPr="007B26FB" w14:paraId="549A8AAD" w14:textId="77777777" w:rsidTr="00B56C1A">
        <w:trPr>
          <w:trHeight w:val="300"/>
        </w:trPr>
        <w:tc>
          <w:tcPr>
            <w:tcW w:w="1470" w:type="dxa"/>
            <w:vMerge w:val="restart"/>
            <w:shd w:val="clear" w:color="auto" w:fill="auto"/>
            <w:noWrap/>
            <w:vAlign w:val="center"/>
            <w:hideMark/>
          </w:tcPr>
          <w:p w14:paraId="5F66D0F4"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r w:rsidRPr="007B26FB">
              <w:rPr>
                <w:rFonts w:ascii="Book Antiqua" w:eastAsia="Times New Roman" w:hAnsi="Book Antiqua" w:cs="Calibri"/>
                <w:color w:val="000000"/>
                <w:sz w:val="18"/>
                <w:szCs w:val="18"/>
                <w:lang w:eastAsia="es-CR"/>
              </w:rPr>
              <w:t>Inspección Judicial</w:t>
            </w:r>
          </w:p>
        </w:tc>
        <w:tc>
          <w:tcPr>
            <w:tcW w:w="1791" w:type="dxa"/>
            <w:vMerge w:val="restart"/>
            <w:shd w:val="clear" w:color="auto" w:fill="auto"/>
            <w:noWrap/>
            <w:vAlign w:val="center"/>
            <w:hideMark/>
          </w:tcPr>
          <w:p w14:paraId="066B0845"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r w:rsidRPr="007B26FB">
              <w:rPr>
                <w:rFonts w:ascii="Book Antiqua" w:eastAsia="Times New Roman" w:hAnsi="Book Antiqua" w:cs="Calibri"/>
                <w:color w:val="000000"/>
                <w:sz w:val="18"/>
                <w:szCs w:val="18"/>
                <w:lang w:eastAsia="es-CR"/>
              </w:rPr>
              <w:t>0031 inspección Judicial</w:t>
            </w:r>
          </w:p>
        </w:tc>
        <w:tc>
          <w:tcPr>
            <w:tcW w:w="850" w:type="dxa"/>
            <w:shd w:val="clear" w:color="auto" w:fill="auto"/>
            <w:noWrap/>
            <w:vAlign w:val="center"/>
            <w:hideMark/>
          </w:tcPr>
          <w:p w14:paraId="5328FA8F"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r w:rsidRPr="007B26FB">
              <w:rPr>
                <w:rFonts w:ascii="Book Antiqua" w:eastAsia="Times New Roman" w:hAnsi="Book Antiqua" w:cs="Calibri"/>
                <w:color w:val="000000"/>
                <w:sz w:val="18"/>
                <w:szCs w:val="18"/>
                <w:lang w:eastAsia="es-CR"/>
              </w:rPr>
              <w:t>0031-IJ-P01</w:t>
            </w:r>
          </w:p>
        </w:tc>
        <w:tc>
          <w:tcPr>
            <w:tcW w:w="1922" w:type="dxa"/>
            <w:shd w:val="clear" w:color="auto" w:fill="auto"/>
            <w:noWrap/>
            <w:vAlign w:val="center"/>
            <w:hideMark/>
          </w:tcPr>
          <w:p w14:paraId="66212254"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r w:rsidRPr="007B26FB">
              <w:rPr>
                <w:rFonts w:ascii="Book Antiqua" w:eastAsia="Times New Roman" w:hAnsi="Book Antiqua" w:cs="Calibri"/>
                <w:color w:val="000000"/>
                <w:sz w:val="18"/>
                <w:szCs w:val="18"/>
                <w:lang w:eastAsia="es-CR"/>
              </w:rPr>
              <w:t>Plan de descongestionamiento de Procesos del Tribunal de la Inspección Judicial</w:t>
            </w:r>
          </w:p>
        </w:tc>
        <w:tc>
          <w:tcPr>
            <w:tcW w:w="2898" w:type="dxa"/>
            <w:shd w:val="clear" w:color="auto" w:fill="auto"/>
            <w:noWrap/>
            <w:vAlign w:val="center"/>
            <w:hideMark/>
          </w:tcPr>
          <w:p w14:paraId="202EDD50" w14:textId="77777777" w:rsidR="00E8321A" w:rsidRPr="007B26FB" w:rsidRDefault="00E8321A" w:rsidP="00E24FCA">
            <w:pPr>
              <w:spacing w:after="0" w:line="240" w:lineRule="auto"/>
              <w:jc w:val="both"/>
              <w:rPr>
                <w:rFonts w:ascii="Book Antiqua" w:eastAsia="Times New Roman" w:hAnsi="Book Antiqua" w:cs="Calibri"/>
                <w:color w:val="000000"/>
                <w:sz w:val="18"/>
                <w:szCs w:val="18"/>
                <w:lang w:eastAsia="es-CR"/>
              </w:rPr>
            </w:pPr>
            <w:r w:rsidRPr="007B26FB">
              <w:rPr>
                <w:rFonts w:ascii="Book Antiqua" w:eastAsia="Times New Roman" w:hAnsi="Book Antiqua" w:cs="Calibri"/>
                <w:color w:val="000000"/>
                <w:sz w:val="18"/>
                <w:szCs w:val="18"/>
                <w:lang w:eastAsia="es-CR"/>
              </w:rPr>
              <w:t xml:space="preserve">Solicitar a la Defensa Pública una revisión de cargas de trabajo a fin de valorar la eliminación de este permiso y que las labores que actualmente se atienden con este permiso, sean asumidas por la </w:t>
            </w:r>
            <w:r w:rsidRPr="007B26FB">
              <w:rPr>
                <w:rFonts w:ascii="Book Antiqua" w:eastAsia="Times New Roman" w:hAnsi="Book Antiqua" w:cs="Calibri"/>
                <w:color w:val="000000"/>
                <w:sz w:val="18"/>
                <w:szCs w:val="18"/>
                <w:lang w:eastAsia="es-CR"/>
              </w:rPr>
              <w:lastRenderedPageBreak/>
              <w:t>Defensa Pública con los recursos ordinarios con que cuenta la estructura actualmente.</w:t>
            </w:r>
          </w:p>
        </w:tc>
        <w:tc>
          <w:tcPr>
            <w:tcW w:w="1088" w:type="dxa"/>
            <w:shd w:val="clear" w:color="auto" w:fill="auto"/>
            <w:noWrap/>
            <w:vAlign w:val="center"/>
            <w:hideMark/>
          </w:tcPr>
          <w:p w14:paraId="40ED1603"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r w:rsidRPr="007B26FB">
              <w:rPr>
                <w:rFonts w:ascii="Book Antiqua" w:eastAsia="Times New Roman" w:hAnsi="Book Antiqua" w:cs="Calibri"/>
                <w:color w:val="000000"/>
                <w:sz w:val="18"/>
                <w:szCs w:val="18"/>
                <w:lang w:eastAsia="es-CR"/>
              </w:rPr>
              <w:lastRenderedPageBreak/>
              <w:t>Capítulo 3</w:t>
            </w:r>
          </w:p>
        </w:tc>
        <w:tc>
          <w:tcPr>
            <w:tcW w:w="911" w:type="dxa"/>
            <w:shd w:val="clear" w:color="auto" w:fill="auto"/>
            <w:noWrap/>
            <w:vAlign w:val="center"/>
            <w:hideMark/>
          </w:tcPr>
          <w:p w14:paraId="627243A9"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r w:rsidRPr="007B26FB">
              <w:rPr>
                <w:rFonts w:ascii="Book Antiqua" w:eastAsia="Times New Roman" w:hAnsi="Book Antiqua" w:cs="Calibri"/>
                <w:color w:val="000000"/>
                <w:sz w:val="18"/>
                <w:szCs w:val="18"/>
                <w:lang w:eastAsia="es-CR"/>
              </w:rPr>
              <w:t>3.5</w:t>
            </w:r>
          </w:p>
        </w:tc>
      </w:tr>
      <w:tr w:rsidR="007D35E8" w:rsidRPr="007B26FB" w14:paraId="6EDBC0C5" w14:textId="77777777" w:rsidTr="00B56C1A">
        <w:trPr>
          <w:trHeight w:val="300"/>
        </w:trPr>
        <w:tc>
          <w:tcPr>
            <w:tcW w:w="1470" w:type="dxa"/>
            <w:vMerge/>
            <w:vAlign w:val="center"/>
            <w:hideMark/>
          </w:tcPr>
          <w:p w14:paraId="47C6F859"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791" w:type="dxa"/>
            <w:vMerge/>
            <w:vAlign w:val="center"/>
            <w:hideMark/>
          </w:tcPr>
          <w:p w14:paraId="37323E95"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850" w:type="dxa"/>
            <w:shd w:val="clear" w:color="000000" w:fill="FFFFFF"/>
            <w:noWrap/>
            <w:vAlign w:val="center"/>
            <w:hideMark/>
          </w:tcPr>
          <w:p w14:paraId="1D97A236"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r w:rsidRPr="007B26FB">
              <w:rPr>
                <w:rFonts w:ascii="Book Antiqua" w:eastAsia="Times New Roman" w:hAnsi="Book Antiqua" w:cs="Calibri"/>
                <w:color w:val="000000"/>
                <w:sz w:val="18"/>
                <w:szCs w:val="18"/>
                <w:lang w:eastAsia="es-CR"/>
              </w:rPr>
              <w:t>0031-IJ-P02</w:t>
            </w:r>
          </w:p>
        </w:tc>
        <w:tc>
          <w:tcPr>
            <w:tcW w:w="1922" w:type="dxa"/>
            <w:shd w:val="clear" w:color="000000" w:fill="FFFFFF"/>
            <w:noWrap/>
            <w:vAlign w:val="center"/>
            <w:hideMark/>
          </w:tcPr>
          <w:p w14:paraId="5D36C16A"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r w:rsidRPr="007B26FB">
              <w:rPr>
                <w:rFonts w:ascii="Book Antiqua" w:eastAsia="Times New Roman" w:hAnsi="Book Antiqua" w:cs="Calibri"/>
                <w:color w:val="000000"/>
                <w:sz w:val="18"/>
                <w:szCs w:val="18"/>
                <w:lang w:eastAsia="es-CR"/>
              </w:rPr>
              <w:t>Plan de trabajo para el apoyo a las visitas a los despachos jurisdiccionales y descongestionamiento de causas complejas</w:t>
            </w:r>
          </w:p>
        </w:tc>
        <w:tc>
          <w:tcPr>
            <w:tcW w:w="2898" w:type="dxa"/>
            <w:shd w:val="clear" w:color="000000" w:fill="FFFFFF"/>
            <w:noWrap/>
            <w:vAlign w:val="center"/>
            <w:hideMark/>
          </w:tcPr>
          <w:p w14:paraId="18A6EA82"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r w:rsidRPr="007B26FB">
              <w:rPr>
                <w:rFonts w:ascii="Book Antiqua" w:eastAsia="Times New Roman" w:hAnsi="Book Antiqua" w:cs="Calibri"/>
                <w:color w:val="000000"/>
                <w:sz w:val="18"/>
                <w:szCs w:val="18"/>
                <w:lang w:eastAsia="es-CR"/>
              </w:rPr>
              <w:t>Pendiente aprobación por parte del patrocinador de proyecto</w:t>
            </w:r>
          </w:p>
        </w:tc>
        <w:tc>
          <w:tcPr>
            <w:tcW w:w="1088" w:type="dxa"/>
            <w:shd w:val="clear" w:color="auto" w:fill="auto"/>
            <w:noWrap/>
            <w:vAlign w:val="center"/>
            <w:hideMark/>
          </w:tcPr>
          <w:p w14:paraId="567F3F63"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r w:rsidRPr="007B26FB">
              <w:rPr>
                <w:rFonts w:ascii="Book Antiqua" w:eastAsia="Times New Roman" w:hAnsi="Book Antiqua" w:cs="Calibri"/>
                <w:color w:val="000000"/>
                <w:sz w:val="18"/>
                <w:szCs w:val="18"/>
                <w:lang w:eastAsia="es-CR"/>
              </w:rPr>
              <w:t>Capítulo 1</w:t>
            </w:r>
          </w:p>
        </w:tc>
        <w:tc>
          <w:tcPr>
            <w:tcW w:w="911" w:type="dxa"/>
            <w:shd w:val="clear" w:color="auto" w:fill="auto"/>
            <w:noWrap/>
            <w:vAlign w:val="center"/>
            <w:hideMark/>
          </w:tcPr>
          <w:p w14:paraId="6AAFA1B6"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r w:rsidRPr="007B26FB">
              <w:rPr>
                <w:rFonts w:ascii="Book Antiqua" w:eastAsia="Times New Roman" w:hAnsi="Book Antiqua" w:cs="Calibri"/>
                <w:color w:val="000000"/>
                <w:sz w:val="18"/>
                <w:szCs w:val="18"/>
                <w:lang w:eastAsia="es-CR"/>
              </w:rPr>
              <w:t>1.15</w:t>
            </w:r>
          </w:p>
        </w:tc>
      </w:tr>
    </w:tbl>
    <w:p w14:paraId="7F7F36DB" w14:textId="77777777" w:rsidR="00E8321A" w:rsidRDefault="00E8321A" w:rsidP="00E8321A">
      <w:pPr>
        <w:spacing w:after="0"/>
        <w:rPr>
          <w:rFonts w:ascii="Book Antiqua" w:hAnsi="Book Antiqua"/>
          <w:b/>
          <w:bCs/>
          <w:sz w:val="24"/>
          <w:szCs w:val="24"/>
        </w:rPr>
      </w:pPr>
    </w:p>
    <w:p w14:paraId="4E6861F9" w14:textId="77777777" w:rsidR="00E8321A" w:rsidRDefault="00E8321A" w:rsidP="00E8321A">
      <w:pPr>
        <w:pStyle w:val="Ttulo2"/>
        <w:spacing w:before="0"/>
        <w:rPr>
          <w:rFonts w:ascii="Book Antiqua" w:hAnsi="Book Antiqua"/>
          <w:b/>
          <w:bCs/>
          <w:color w:val="auto"/>
          <w:sz w:val="24"/>
          <w:szCs w:val="24"/>
        </w:rPr>
      </w:pPr>
      <w:bookmarkStart w:id="191" w:name="_Toc131160622"/>
      <w:bookmarkStart w:id="192" w:name="_Toc138770902"/>
      <w:r w:rsidRPr="00455263">
        <w:rPr>
          <w:rFonts w:ascii="Book Antiqua" w:hAnsi="Book Antiqua"/>
          <w:b/>
          <w:bCs/>
          <w:color w:val="auto"/>
          <w:sz w:val="24"/>
          <w:szCs w:val="24"/>
        </w:rPr>
        <w:t>A la Ministerio Público</w:t>
      </w:r>
      <w:bookmarkEnd w:id="191"/>
      <w:bookmarkEnd w:id="192"/>
    </w:p>
    <w:p w14:paraId="15837563" w14:textId="77777777" w:rsidR="00E8321A" w:rsidRPr="000B4474" w:rsidRDefault="00E8321A" w:rsidP="00E8321A">
      <w:pPr>
        <w:spacing w:after="0"/>
        <w:rPr>
          <w:sz w:val="24"/>
          <w:szCs w:val="24"/>
        </w:rPr>
      </w:pPr>
    </w:p>
    <w:p w14:paraId="6F3B07F7" w14:textId="77777777" w:rsidR="00E8321A" w:rsidRDefault="00E8321A" w:rsidP="00EF4E17">
      <w:pPr>
        <w:numPr>
          <w:ilvl w:val="1"/>
          <w:numId w:val="20"/>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Se requiere a más tardar el </w:t>
      </w:r>
      <w:r w:rsidRPr="00373A06">
        <w:rPr>
          <w:rFonts w:ascii="Book Antiqua" w:hAnsi="Book Antiqua"/>
          <w:b/>
          <w:bCs/>
          <w:sz w:val="24"/>
          <w:szCs w:val="24"/>
        </w:rPr>
        <w:t>11 de agosto del 2023</w:t>
      </w:r>
      <w:r w:rsidRPr="001D722A">
        <w:rPr>
          <w:rFonts w:ascii="Book Antiqua" w:hAnsi="Book Antiqua"/>
          <w:sz w:val="24"/>
          <w:szCs w:val="24"/>
        </w:rPr>
        <w:t xml:space="preserve">, cargar en el sitio de proyecto la atención de las siguientes recomendaciones: </w:t>
      </w:r>
    </w:p>
    <w:tbl>
      <w:tblPr>
        <w:tblW w:w="1084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791"/>
        <w:gridCol w:w="980"/>
        <w:gridCol w:w="1571"/>
        <w:gridCol w:w="3119"/>
        <w:gridCol w:w="1002"/>
        <w:gridCol w:w="911"/>
      </w:tblGrid>
      <w:tr w:rsidR="0086493B" w:rsidRPr="002C5174" w14:paraId="6EBA62B2" w14:textId="77777777" w:rsidTr="00EF4E17">
        <w:trPr>
          <w:trHeight w:val="300"/>
        </w:trPr>
        <w:tc>
          <w:tcPr>
            <w:tcW w:w="1470" w:type="dxa"/>
            <w:shd w:val="clear" w:color="000000" w:fill="44546A"/>
            <w:noWrap/>
            <w:vAlign w:val="center"/>
            <w:hideMark/>
          </w:tcPr>
          <w:p w14:paraId="46AD86FE" w14:textId="77777777" w:rsidR="00E8321A" w:rsidRPr="007B26FB" w:rsidRDefault="00E8321A" w:rsidP="00B56C1A">
            <w:pPr>
              <w:spacing w:after="0" w:line="240" w:lineRule="auto"/>
              <w:jc w:val="center"/>
              <w:rPr>
                <w:rFonts w:ascii="Book Antiqua" w:eastAsia="Times New Roman" w:hAnsi="Book Antiqua" w:cs="Calibri"/>
                <w:b/>
                <w:bCs/>
                <w:color w:val="FFFFFF"/>
                <w:sz w:val="18"/>
                <w:szCs w:val="18"/>
                <w:lang w:eastAsia="es-CR"/>
              </w:rPr>
            </w:pPr>
            <w:r w:rsidRPr="007B26FB">
              <w:rPr>
                <w:rFonts w:ascii="Book Antiqua" w:eastAsia="Times New Roman" w:hAnsi="Book Antiqua" w:cs="Calibri"/>
                <w:b/>
                <w:bCs/>
                <w:color w:val="FFFFFF"/>
                <w:sz w:val="18"/>
                <w:szCs w:val="18"/>
                <w:lang w:eastAsia="es-CR"/>
              </w:rPr>
              <w:t xml:space="preserve">Centro de responsabilidad </w:t>
            </w:r>
          </w:p>
        </w:tc>
        <w:tc>
          <w:tcPr>
            <w:tcW w:w="1791" w:type="dxa"/>
            <w:shd w:val="clear" w:color="000000" w:fill="44546A"/>
            <w:noWrap/>
            <w:vAlign w:val="center"/>
            <w:hideMark/>
          </w:tcPr>
          <w:p w14:paraId="0A208648" w14:textId="77777777" w:rsidR="00E8321A" w:rsidRPr="007B26FB" w:rsidRDefault="00E8321A" w:rsidP="00B56C1A">
            <w:pPr>
              <w:spacing w:after="0" w:line="240" w:lineRule="auto"/>
              <w:jc w:val="center"/>
              <w:rPr>
                <w:rFonts w:ascii="Book Antiqua" w:eastAsia="Times New Roman" w:hAnsi="Book Antiqua" w:cs="Calibri"/>
                <w:b/>
                <w:bCs/>
                <w:color w:val="FFFFFF"/>
                <w:sz w:val="18"/>
                <w:szCs w:val="18"/>
                <w:lang w:eastAsia="es-CR"/>
              </w:rPr>
            </w:pPr>
            <w:r w:rsidRPr="007B26FB">
              <w:rPr>
                <w:rFonts w:ascii="Book Antiqua" w:eastAsia="Times New Roman" w:hAnsi="Book Antiqua" w:cs="Calibri"/>
                <w:b/>
                <w:bCs/>
                <w:color w:val="FFFFFF"/>
                <w:sz w:val="18"/>
                <w:szCs w:val="18"/>
                <w:lang w:eastAsia="es-CR"/>
              </w:rPr>
              <w:t>Oficina Líder</w:t>
            </w:r>
          </w:p>
        </w:tc>
        <w:tc>
          <w:tcPr>
            <w:tcW w:w="980" w:type="dxa"/>
            <w:shd w:val="clear" w:color="000000" w:fill="44546A"/>
            <w:noWrap/>
            <w:vAlign w:val="center"/>
            <w:hideMark/>
          </w:tcPr>
          <w:p w14:paraId="1CCC40FD" w14:textId="77777777" w:rsidR="00E8321A" w:rsidRPr="007B26FB" w:rsidRDefault="00E8321A" w:rsidP="00B56C1A">
            <w:pPr>
              <w:spacing w:after="0" w:line="240" w:lineRule="auto"/>
              <w:jc w:val="center"/>
              <w:rPr>
                <w:rFonts w:ascii="Book Antiqua" w:eastAsia="Times New Roman" w:hAnsi="Book Antiqua" w:cs="Calibri"/>
                <w:b/>
                <w:bCs/>
                <w:color w:val="FFFFFF"/>
                <w:sz w:val="18"/>
                <w:szCs w:val="18"/>
                <w:lang w:eastAsia="es-CR"/>
              </w:rPr>
            </w:pPr>
            <w:r w:rsidRPr="007B26FB">
              <w:rPr>
                <w:rFonts w:ascii="Book Antiqua" w:eastAsia="Times New Roman" w:hAnsi="Book Antiqua" w:cs="Calibri"/>
                <w:b/>
                <w:bCs/>
                <w:color w:val="FFFFFF"/>
                <w:sz w:val="18"/>
                <w:szCs w:val="18"/>
                <w:lang w:eastAsia="es-CR"/>
              </w:rPr>
              <w:t>Código</w:t>
            </w:r>
          </w:p>
        </w:tc>
        <w:tc>
          <w:tcPr>
            <w:tcW w:w="1571" w:type="dxa"/>
            <w:shd w:val="clear" w:color="000000" w:fill="44546A"/>
            <w:noWrap/>
            <w:vAlign w:val="center"/>
            <w:hideMark/>
          </w:tcPr>
          <w:p w14:paraId="62E5F2AA" w14:textId="77777777" w:rsidR="00E8321A" w:rsidRPr="007B26FB" w:rsidRDefault="00E8321A" w:rsidP="00B56C1A">
            <w:pPr>
              <w:spacing w:after="0" w:line="240" w:lineRule="auto"/>
              <w:jc w:val="center"/>
              <w:rPr>
                <w:rFonts w:ascii="Book Antiqua" w:eastAsia="Times New Roman" w:hAnsi="Book Antiqua" w:cs="Calibri"/>
                <w:b/>
                <w:bCs/>
                <w:color w:val="FFFFFF"/>
                <w:sz w:val="18"/>
                <w:szCs w:val="18"/>
                <w:lang w:eastAsia="es-CR"/>
              </w:rPr>
            </w:pPr>
            <w:r w:rsidRPr="007B26FB">
              <w:rPr>
                <w:rFonts w:ascii="Book Antiqua" w:eastAsia="Times New Roman" w:hAnsi="Book Antiqua" w:cs="Calibri"/>
                <w:b/>
                <w:bCs/>
                <w:color w:val="FFFFFF"/>
                <w:sz w:val="18"/>
                <w:szCs w:val="18"/>
                <w:lang w:eastAsia="es-CR"/>
              </w:rPr>
              <w:t>Nombre</w:t>
            </w:r>
          </w:p>
        </w:tc>
        <w:tc>
          <w:tcPr>
            <w:tcW w:w="3119" w:type="dxa"/>
            <w:shd w:val="clear" w:color="000000" w:fill="44546A"/>
            <w:noWrap/>
            <w:vAlign w:val="center"/>
            <w:hideMark/>
          </w:tcPr>
          <w:p w14:paraId="2A9B4BE9" w14:textId="77777777" w:rsidR="00E8321A" w:rsidRPr="007B26FB" w:rsidRDefault="00E8321A" w:rsidP="00B56C1A">
            <w:pPr>
              <w:spacing w:after="0" w:line="240" w:lineRule="auto"/>
              <w:jc w:val="center"/>
              <w:rPr>
                <w:rFonts w:ascii="Book Antiqua" w:eastAsia="Times New Roman" w:hAnsi="Book Antiqua" w:cs="Calibri"/>
                <w:b/>
                <w:bCs/>
                <w:color w:val="FFFFFF"/>
                <w:sz w:val="18"/>
                <w:szCs w:val="18"/>
                <w:lang w:eastAsia="es-CR"/>
              </w:rPr>
            </w:pPr>
            <w:r w:rsidRPr="007B26FB">
              <w:rPr>
                <w:rFonts w:ascii="Book Antiqua" w:eastAsia="Times New Roman" w:hAnsi="Book Antiqua" w:cs="Calibri"/>
                <w:b/>
                <w:bCs/>
                <w:color w:val="FFFFFF"/>
                <w:sz w:val="18"/>
                <w:szCs w:val="18"/>
                <w:lang w:eastAsia="es-CR"/>
              </w:rPr>
              <w:t>Recomendación pendiente</w:t>
            </w:r>
          </w:p>
        </w:tc>
        <w:tc>
          <w:tcPr>
            <w:tcW w:w="1002" w:type="dxa"/>
            <w:shd w:val="clear" w:color="000000" w:fill="44546A"/>
            <w:noWrap/>
            <w:vAlign w:val="center"/>
            <w:hideMark/>
          </w:tcPr>
          <w:p w14:paraId="22BBEF8E" w14:textId="77777777" w:rsidR="00E8321A" w:rsidRPr="007B26FB" w:rsidRDefault="00E8321A" w:rsidP="00B56C1A">
            <w:pPr>
              <w:spacing w:after="0" w:line="240" w:lineRule="auto"/>
              <w:jc w:val="center"/>
              <w:rPr>
                <w:rFonts w:ascii="Book Antiqua" w:eastAsia="Times New Roman" w:hAnsi="Book Antiqua" w:cs="Calibri"/>
                <w:b/>
                <w:bCs/>
                <w:color w:val="FFFFFF"/>
                <w:sz w:val="18"/>
                <w:szCs w:val="18"/>
                <w:lang w:eastAsia="es-CR"/>
              </w:rPr>
            </w:pPr>
            <w:r w:rsidRPr="002C5174">
              <w:rPr>
                <w:rFonts w:ascii="Book Antiqua" w:eastAsia="Times New Roman" w:hAnsi="Book Antiqua" w:cs="Calibri"/>
                <w:b/>
                <w:bCs/>
                <w:color w:val="FFFFFF"/>
                <w:sz w:val="18"/>
                <w:szCs w:val="18"/>
                <w:lang w:eastAsia="es-CR"/>
              </w:rPr>
              <w:t>Capítulo</w:t>
            </w:r>
            <w:r w:rsidRPr="007B26FB">
              <w:rPr>
                <w:rFonts w:ascii="Book Antiqua" w:eastAsia="Times New Roman" w:hAnsi="Book Antiqua" w:cs="Calibri"/>
                <w:b/>
                <w:bCs/>
                <w:color w:val="FFFFFF"/>
                <w:sz w:val="18"/>
                <w:szCs w:val="18"/>
                <w:lang w:eastAsia="es-CR"/>
              </w:rPr>
              <w:t xml:space="preserve"> del informe</w:t>
            </w:r>
          </w:p>
        </w:tc>
        <w:tc>
          <w:tcPr>
            <w:tcW w:w="911" w:type="dxa"/>
            <w:shd w:val="clear" w:color="000000" w:fill="44546A"/>
            <w:noWrap/>
            <w:vAlign w:val="center"/>
            <w:hideMark/>
          </w:tcPr>
          <w:p w14:paraId="1EE1E01F" w14:textId="77777777" w:rsidR="00E8321A" w:rsidRPr="007B26FB" w:rsidRDefault="00E8321A" w:rsidP="00B56C1A">
            <w:pPr>
              <w:spacing w:after="0" w:line="240" w:lineRule="auto"/>
              <w:jc w:val="center"/>
              <w:rPr>
                <w:rFonts w:ascii="Book Antiqua" w:eastAsia="Times New Roman" w:hAnsi="Book Antiqua" w:cs="Calibri"/>
                <w:b/>
                <w:bCs/>
                <w:color w:val="FFFFFF"/>
                <w:sz w:val="18"/>
                <w:szCs w:val="18"/>
                <w:lang w:eastAsia="es-CR"/>
              </w:rPr>
            </w:pPr>
            <w:r w:rsidRPr="007B26FB">
              <w:rPr>
                <w:rFonts w:ascii="Book Antiqua" w:eastAsia="Times New Roman" w:hAnsi="Book Antiqua" w:cs="Calibri"/>
                <w:b/>
                <w:bCs/>
                <w:color w:val="FFFFFF"/>
                <w:sz w:val="18"/>
                <w:szCs w:val="18"/>
                <w:lang w:eastAsia="es-CR"/>
              </w:rPr>
              <w:t xml:space="preserve"> Apartado del informe </w:t>
            </w:r>
          </w:p>
        </w:tc>
      </w:tr>
      <w:tr w:rsidR="007D35E8" w:rsidRPr="002C5174" w14:paraId="0D54F111" w14:textId="77777777" w:rsidTr="00EF4E17">
        <w:trPr>
          <w:trHeight w:val="330"/>
        </w:trPr>
        <w:tc>
          <w:tcPr>
            <w:tcW w:w="1470" w:type="dxa"/>
            <w:vMerge w:val="restart"/>
            <w:shd w:val="clear" w:color="auto" w:fill="auto"/>
            <w:noWrap/>
            <w:vAlign w:val="center"/>
            <w:hideMark/>
          </w:tcPr>
          <w:p w14:paraId="287AD717"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r w:rsidRPr="007B26FB">
              <w:rPr>
                <w:rFonts w:ascii="Book Antiqua" w:eastAsia="Times New Roman" w:hAnsi="Book Antiqua" w:cs="Calibri"/>
                <w:color w:val="000000"/>
                <w:sz w:val="18"/>
                <w:szCs w:val="18"/>
                <w:lang w:eastAsia="es-CR"/>
              </w:rPr>
              <w:t>Ministerio Público</w:t>
            </w:r>
          </w:p>
        </w:tc>
        <w:tc>
          <w:tcPr>
            <w:tcW w:w="1791" w:type="dxa"/>
            <w:vMerge w:val="restart"/>
            <w:shd w:val="clear" w:color="auto" w:fill="auto"/>
            <w:noWrap/>
            <w:vAlign w:val="center"/>
            <w:hideMark/>
          </w:tcPr>
          <w:p w14:paraId="0B9A42C8"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r w:rsidRPr="007B26FB">
              <w:rPr>
                <w:rFonts w:ascii="Book Antiqua" w:eastAsia="Times New Roman" w:hAnsi="Book Antiqua" w:cs="Calibri"/>
                <w:color w:val="000000"/>
                <w:sz w:val="18"/>
                <w:szCs w:val="18"/>
                <w:lang w:eastAsia="es-CR"/>
              </w:rPr>
              <w:t>0033 FISCALIA GENERAL</w:t>
            </w:r>
          </w:p>
        </w:tc>
        <w:tc>
          <w:tcPr>
            <w:tcW w:w="980" w:type="dxa"/>
            <w:vMerge w:val="restart"/>
            <w:shd w:val="clear" w:color="auto" w:fill="auto"/>
            <w:noWrap/>
            <w:vAlign w:val="center"/>
            <w:hideMark/>
          </w:tcPr>
          <w:p w14:paraId="3800B9B0"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r w:rsidRPr="007B26FB">
              <w:rPr>
                <w:rFonts w:ascii="Book Antiqua" w:eastAsia="Times New Roman" w:hAnsi="Book Antiqua" w:cs="Calibri"/>
                <w:color w:val="000000"/>
                <w:sz w:val="18"/>
                <w:szCs w:val="18"/>
                <w:lang w:eastAsia="es-CR"/>
              </w:rPr>
              <w:t>0717-MP-P03</w:t>
            </w:r>
          </w:p>
        </w:tc>
        <w:tc>
          <w:tcPr>
            <w:tcW w:w="1571" w:type="dxa"/>
            <w:vMerge w:val="restart"/>
            <w:shd w:val="clear" w:color="auto" w:fill="auto"/>
            <w:noWrap/>
            <w:vAlign w:val="center"/>
            <w:hideMark/>
          </w:tcPr>
          <w:p w14:paraId="0EE07646"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r w:rsidRPr="007B26FB">
              <w:rPr>
                <w:rFonts w:ascii="Book Antiqua" w:eastAsia="Times New Roman" w:hAnsi="Book Antiqua" w:cs="Calibri"/>
                <w:color w:val="000000"/>
                <w:sz w:val="18"/>
                <w:szCs w:val="18"/>
                <w:lang w:eastAsia="es-CR"/>
              </w:rPr>
              <w:t>Modelo de abordaje en casos penales con poblaciones vulnerables y vulnerabilizadas</w:t>
            </w:r>
          </w:p>
        </w:tc>
        <w:tc>
          <w:tcPr>
            <w:tcW w:w="3119" w:type="dxa"/>
            <w:shd w:val="clear" w:color="auto" w:fill="auto"/>
            <w:noWrap/>
            <w:vAlign w:val="center"/>
            <w:hideMark/>
          </w:tcPr>
          <w:p w14:paraId="54260D08"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r w:rsidRPr="007B26FB">
              <w:rPr>
                <w:rFonts w:ascii="Book Antiqua" w:eastAsia="Times New Roman" w:hAnsi="Book Antiqua" w:cs="Calibri"/>
                <w:color w:val="000000"/>
                <w:sz w:val="18"/>
                <w:szCs w:val="18"/>
                <w:lang w:eastAsia="es-CR"/>
              </w:rPr>
              <w:t>Pendiente aprobación de solicitud de cambio 23-2-23</w:t>
            </w:r>
          </w:p>
        </w:tc>
        <w:tc>
          <w:tcPr>
            <w:tcW w:w="1002" w:type="dxa"/>
            <w:shd w:val="clear" w:color="auto" w:fill="auto"/>
            <w:noWrap/>
            <w:vAlign w:val="center"/>
            <w:hideMark/>
          </w:tcPr>
          <w:p w14:paraId="52CECF2F"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Capítulo</w:t>
            </w:r>
            <w:r w:rsidRPr="007B26FB">
              <w:rPr>
                <w:rFonts w:ascii="Book Antiqua" w:eastAsia="Times New Roman" w:hAnsi="Book Antiqua" w:cs="Calibri"/>
                <w:color w:val="000000"/>
                <w:sz w:val="18"/>
                <w:szCs w:val="18"/>
                <w:lang w:eastAsia="es-CR"/>
              </w:rPr>
              <w:t xml:space="preserve"> 2</w:t>
            </w:r>
          </w:p>
        </w:tc>
        <w:tc>
          <w:tcPr>
            <w:tcW w:w="911" w:type="dxa"/>
            <w:shd w:val="clear" w:color="auto" w:fill="auto"/>
            <w:noWrap/>
            <w:vAlign w:val="center"/>
            <w:hideMark/>
          </w:tcPr>
          <w:p w14:paraId="62EF31C3"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r w:rsidRPr="007B26FB">
              <w:rPr>
                <w:rFonts w:ascii="Book Antiqua" w:eastAsia="Times New Roman" w:hAnsi="Book Antiqua" w:cs="Calibri"/>
                <w:color w:val="000000"/>
                <w:sz w:val="18"/>
                <w:szCs w:val="18"/>
                <w:lang w:eastAsia="es-CR"/>
              </w:rPr>
              <w:t>2.3</w:t>
            </w:r>
          </w:p>
        </w:tc>
      </w:tr>
      <w:tr w:rsidR="007D35E8" w:rsidRPr="002C5174" w14:paraId="6F25E31A" w14:textId="77777777" w:rsidTr="00EF4E17">
        <w:trPr>
          <w:trHeight w:val="330"/>
        </w:trPr>
        <w:tc>
          <w:tcPr>
            <w:tcW w:w="1470" w:type="dxa"/>
            <w:vMerge/>
            <w:shd w:val="clear" w:color="auto" w:fill="auto"/>
            <w:vAlign w:val="center"/>
            <w:hideMark/>
          </w:tcPr>
          <w:p w14:paraId="0EB0C9E2"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791" w:type="dxa"/>
            <w:vMerge/>
            <w:shd w:val="clear" w:color="auto" w:fill="auto"/>
            <w:vAlign w:val="center"/>
            <w:hideMark/>
          </w:tcPr>
          <w:p w14:paraId="2F3D9920"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980" w:type="dxa"/>
            <w:vMerge/>
            <w:shd w:val="clear" w:color="auto" w:fill="auto"/>
            <w:vAlign w:val="center"/>
            <w:hideMark/>
          </w:tcPr>
          <w:p w14:paraId="6928390A"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571" w:type="dxa"/>
            <w:vMerge/>
            <w:shd w:val="clear" w:color="auto" w:fill="auto"/>
            <w:vAlign w:val="center"/>
            <w:hideMark/>
          </w:tcPr>
          <w:p w14:paraId="47211B5C"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3119" w:type="dxa"/>
            <w:shd w:val="clear" w:color="auto" w:fill="auto"/>
            <w:noWrap/>
            <w:vAlign w:val="center"/>
            <w:hideMark/>
          </w:tcPr>
          <w:p w14:paraId="5C237362"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7B26FB">
              <w:rPr>
                <w:rFonts w:ascii="Book Antiqua" w:eastAsia="Times New Roman" w:hAnsi="Book Antiqua" w:cs="Calibri"/>
                <w:color w:val="000000"/>
                <w:sz w:val="18"/>
                <w:szCs w:val="18"/>
                <w:lang w:eastAsia="es-CR"/>
              </w:rPr>
              <w:t xml:space="preserve">Producto de la solicitud de cambio del 23-2-23 pendiente:  </w:t>
            </w:r>
          </w:p>
          <w:p w14:paraId="570E6412" w14:textId="77777777" w:rsidR="00E8321A" w:rsidRPr="002C5174" w:rsidRDefault="00E8321A" w:rsidP="00E24FCA">
            <w:pPr>
              <w:spacing w:after="0" w:line="240" w:lineRule="auto"/>
              <w:jc w:val="both"/>
              <w:rPr>
                <w:rFonts w:ascii="Book Antiqua" w:eastAsia="Times New Roman" w:hAnsi="Book Antiqua" w:cs="Calibri"/>
                <w:color w:val="000000"/>
                <w:sz w:val="18"/>
                <w:szCs w:val="18"/>
                <w:lang w:eastAsia="es-CR"/>
              </w:rPr>
            </w:pPr>
            <w:r w:rsidRPr="007B26FB">
              <w:rPr>
                <w:rFonts w:ascii="Book Antiqua" w:eastAsia="Times New Roman" w:hAnsi="Book Antiqua" w:cs="Calibri"/>
                <w:b/>
                <w:bCs/>
                <w:color w:val="000000"/>
                <w:sz w:val="18"/>
                <w:szCs w:val="18"/>
                <w:lang w:eastAsia="es-CR"/>
              </w:rPr>
              <w:t>Plan de Gestión:</w:t>
            </w:r>
            <w:r w:rsidRPr="007B26FB">
              <w:rPr>
                <w:rFonts w:ascii="Book Antiqua" w:eastAsia="Times New Roman" w:hAnsi="Book Antiqua" w:cs="Calibri"/>
                <w:color w:val="000000"/>
                <w:sz w:val="18"/>
                <w:szCs w:val="18"/>
                <w:lang w:eastAsia="es-CR"/>
              </w:rPr>
              <w:t xml:space="preserve"> cronograma se debe insertar en PDF descargado desde el Project; revisar aspectos de presupuesto porque no coincide con acta de constitución y estudio de factibilidad. </w:t>
            </w:r>
          </w:p>
          <w:p w14:paraId="5E21EED6" w14:textId="77777777" w:rsidR="00E8321A" w:rsidRPr="002C5174" w:rsidRDefault="00E8321A" w:rsidP="00E24FCA">
            <w:pPr>
              <w:spacing w:after="0" w:line="240" w:lineRule="auto"/>
              <w:jc w:val="both"/>
              <w:rPr>
                <w:rFonts w:ascii="Book Antiqua" w:eastAsia="Times New Roman" w:hAnsi="Book Antiqua" w:cs="Calibri"/>
                <w:color w:val="000000"/>
                <w:sz w:val="18"/>
                <w:szCs w:val="18"/>
                <w:lang w:eastAsia="es-CR"/>
              </w:rPr>
            </w:pPr>
            <w:r w:rsidRPr="007B26FB">
              <w:rPr>
                <w:rFonts w:ascii="Book Antiqua" w:eastAsia="Times New Roman" w:hAnsi="Book Antiqua" w:cs="Calibri"/>
                <w:b/>
                <w:bCs/>
                <w:color w:val="000000"/>
                <w:sz w:val="18"/>
                <w:szCs w:val="18"/>
                <w:lang w:eastAsia="es-CR"/>
              </w:rPr>
              <w:t xml:space="preserve">Estudio de factibilidad: </w:t>
            </w:r>
            <w:r w:rsidRPr="007B26FB">
              <w:rPr>
                <w:rFonts w:ascii="Book Antiqua" w:eastAsia="Times New Roman" w:hAnsi="Book Antiqua" w:cs="Calibri"/>
                <w:color w:val="000000"/>
                <w:sz w:val="18"/>
                <w:szCs w:val="18"/>
                <w:lang w:eastAsia="es-CR"/>
              </w:rPr>
              <w:t xml:space="preserve"> costos de operación son los costos en los cuales se incurre una vez concluidos los proyectos, no durante su </w:t>
            </w:r>
            <w:r w:rsidRPr="002C5174">
              <w:rPr>
                <w:rFonts w:ascii="Book Antiqua" w:eastAsia="Times New Roman" w:hAnsi="Book Antiqua" w:cs="Calibri"/>
                <w:color w:val="000000"/>
                <w:sz w:val="18"/>
                <w:szCs w:val="18"/>
                <w:lang w:eastAsia="es-CR"/>
              </w:rPr>
              <w:t>ejecución;</w:t>
            </w:r>
            <w:r w:rsidRPr="007B26FB">
              <w:rPr>
                <w:rFonts w:ascii="Book Antiqua" w:eastAsia="Times New Roman" w:hAnsi="Book Antiqua" w:cs="Calibri"/>
                <w:color w:val="000000"/>
                <w:sz w:val="18"/>
                <w:szCs w:val="18"/>
                <w:lang w:eastAsia="es-CR"/>
              </w:rPr>
              <w:t xml:space="preserve"> </w:t>
            </w:r>
            <w:r w:rsidRPr="002C5174">
              <w:rPr>
                <w:rFonts w:ascii="Book Antiqua" w:eastAsia="Times New Roman" w:hAnsi="Book Antiqua" w:cs="Calibri"/>
                <w:color w:val="000000"/>
                <w:sz w:val="18"/>
                <w:szCs w:val="18"/>
                <w:lang w:eastAsia="es-CR"/>
              </w:rPr>
              <w:t>análisis</w:t>
            </w:r>
            <w:r w:rsidRPr="007B26FB">
              <w:rPr>
                <w:rFonts w:ascii="Book Antiqua" w:eastAsia="Times New Roman" w:hAnsi="Book Antiqua" w:cs="Calibri"/>
                <w:color w:val="000000"/>
                <w:sz w:val="18"/>
                <w:szCs w:val="18"/>
                <w:lang w:eastAsia="es-CR"/>
              </w:rPr>
              <w:t xml:space="preserve"> de costos-</w:t>
            </w:r>
            <w:r w:rsidRPr="002C5174">
              <w:rPr>
                <w:rFonts w:ascii="Book Antiqua" w:eastAsia="Times New Roman" w:hAnsi="Book Antiqua" w:cs="Calibri"/>
                <w:color w:val="000000"/>
                <w:sz w:val="18"/>
                <w:szCs w:val="18"/>
                <w:lang w:eastAsia="es-CR"/>
              </w:rPr>
              <w:t>beneficio (</w:t>
            </w:r>
            <w:r w:rsidRPr="007B26FB">
              <w:rPr>
                <w:rFonts w:ascii="Book Antiqua" w:eastAsia="Times New Roman" w:hAnsi="Book Antiqua" w:cs="Calibri"/>
                <w:color w:val="000000"/>
                <w:sz w:val="18"/>
                <w:szCs w:val="18"/>
                <w:lang w:eastAsia="es-CR"/>
              </w:rPr>
              <w:t xml:space="preserve">SROI) revisar datos del apartado los costos se debe dividir beneficios entre costos. </w:t>
            </w:r>
          </w:p>
          <w:p w14:paraId="56D481F3" w14:textId="77777777" w:rsidR="00E8321A" w:rsidRPr="007B26FB" w:rsidRDefault="00E8321A" w:rsidP="00E24FCA">
            <w:pPr>
              <w:spacing w:after="0" w:line="240" w:lineRule="auto"/>
              <w:jc w:val="both"/>
              <w:rPr>
                <w:rFonts w:ascii="Book Antiqua" w:eastAsia="Times New Roman" w:hAnsi="Book Antiqua" w:cs="Calibri"/>
                <w:color w:val="000000"/>
                <w:sz w:val="18"/>
                <w:szCs w:val="18"/>
                <w:lang w:eastAsia="es-CR"/>
              </w:rPr>
            </w:pPr>
            <w:r w:rsidRPr="007B26FB">
              <w:rPr>
                <w:rFonts w:ascii="Book Antiqua" w:eastAsia="Times New Roman" w:hAnsi="Book Antiqua" w:cs="Calibri"/>
                <w:b/>
                <w:bCs/>
                <w:color w:val="000000"/>
                <w:sz w:val="18"/>
                <w:szCs w:val="18"/>
                <w:lang w:eastAsia="es-CR"/>
              </w:rPr>
              <w:t>Acta de constitución:</w:t>
            </w:r>
            <w:r w:rsidRPr="007B26FB">
              <w:rPr>
                <w:rFonts w:ascii="Book Antiqua" w:eastAsia="Times New Roman" w:hAnsi="Book Antiqua" w:cs="Calibri"/>
                <w:color w:val="000000"/>
                <w:sz w:val="18"/>
                <w:szCs w:val="18"/>
                <w:lang w:eastAsia="es-CR"/>
              </w:rPr>
              <w:t xml:space="preserve">  revisar recursos del proyecto, este debe coincidir con plan de gestión y estudio de factibilidad; la lista de interesados no corresponde al equipo del proyecto, sino a las personas que </w:t>
            </w:r>
            <w:r w:rsidRPr="002C5174">
              <w:rPr>
                <w:rFonts w:ascii="Book Antiqua" w:eastAsia="Times New Roman" w:hAnsi="Book Antiqua" w:cs="Calibri"/>
                <w:color w:val="000000"/>
                <w:sz w:val="18"/>
                <w:szCs w:val="18"/>
                <w:lang w:eastAsia="es-CR"/>
              </w:rPr>
              <w:t>están</w:t>
            </w:r>
            <w:r w:rsidRPr="007B26FB">
              <w:rPr>
                <w:rFonts w:ascii="Book Antiqua" w:eastAsia="Times New Roman" w:hAnsi="Book Antiqua" w:cs="Calibri"/>
                <w:color w:val="000000"/>
                <w:sz w:val="18"/>
                <w:szCs w:val="18"/>
                <w:lang w:eastAsia="es-CR"/>
              </w:rPr>
              <w:t xml:space="preserve"> interesadas en el proyecto o se van a beneficiar de este; en equipo del proyecto se debe incluir todos los roles desde el patrocinador hasta el equipo de proyecto.</w:t>
            </w:r>
          </w:p>
        </w:tc>
        <w:tc>
          <w:tcPr>
            <w:tcW w:w="1002" w:type="dxa"/>
            <w:shd w:val="clear" w:color="auto" w:fill="auto"/>
            <w:noWrap/>
            <w:vAlign w:val="center"/>
            <w:hideMark/>
          </w:tcPr>
          <w:p w14:paraId="318A2AEF"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Capítulo</w:t>
            </w:r>
            <w:r w:rsidRPr="007B26FB">
              <w:rPr>
                <w:rFonts w:ascii="Book Antiqua" w:eastAsia="Times New Roman" w:hAnsi="Book Antiqua" w:cs="Calibri"/>
                <w:color w:val="000000"/>
                <w:sz w:val="18"/>
                <w:szCs w:val="18"/>
                <w:lang w:eastAsia="es-CR"/>
              </w:rPr>
              <w:t xml:space="preserve"> 2</w:t>
            </w:r>
          </w:p>
        </w:tc>
        <w:tc>
          <w:tcPr>
            <w:tcW w:w="911" w:type="dxa"/>
            <w:shd w:val="clear" w:color="auto" w:fill="auto"/>
            <w:noWrap/>
            <w:vAlign w:val="center"/>
            <w:hideMark/>
          </w:tcPr>
          <w:p w14:paraId="1C9DDCA2" w14:textId="77777777" w:rsidR="00E8321A" w:rsidRPr="007B26FB" w:rsidRDefault="00E8321A" w:rsidP="00B56C1A">
            <w:pPr>
              <w:spacing w:after="0" w:line="240" w:lineRule="auto"/>
              <w:jc w:val="center"/>
              <w:rPr>
                <w:rFonts w:ascii="Book Antiqua" w:eastAsia="Times New Roman" w:hAnsi="Book Antiqua" w:cs="Calibri"/>
                <w:color w:val="000000"/>
                <w:sz w:val="18"/>
                <w:szCs w:val="18"/>
                <w:lang w:eastAsia="es-CR"/>
              </w:rPr>
            </w:pPr>
            <w:r w:rsidRPr="007B26FB">
              <w:rPr>
                <w:rFonts w:ascii="Book Antiqua" w:eastAsia="Times New Roman" w:hAnsi="Book Antiqua" w:cs="Calibri"/>
                <w:color w:val="000000"/>
                <w:sz w:val="18"/>
                <w:szCs w:val="18"/>
                <w:lang w:eastAsia="es-CR"/>
              </w:rPr>
              <w:t>2.3</w:t>
            </w:r>
          </w:p>
        </w:tc>
      </w:tr>
    </w:tbl>
    <w:p w14:paraId="1B865BC0" w14:textId="77777777" w:rsidR="00E8321A" w:rsidRDefault="00E8321A" w:rsidP="00E8321A">
      <w:pPr>
        <w:spacing w:after="0"/>
        <w:rPr>
          <w:rFonts w:ascii="Book Antiqua" w:hAnsi="Book Antiqua"/>
          <w:b/>
          <w:bCs/>
          <w:sz w:val="24"/>
          <w:szCs w:val="24"/>
        </w:rPr>
      </w:pPr>
    </w:p>
    <w:p w14:paraId="0C7A9F9B" w14:textId="77777777" w:rsidR="00E8321A" w:rsidRDefault="00E8321A" w:rsidP="00E8321A">
      <w:pPr>
        <w:pStyle w:val="Ttulo2"/>
        <w:spacing w:before="0"/>
        <w:rPr>
          <w:rFonts w:ascii="Book Antiqua" w:hAnsi="Book Antiqua"/>
          <w:b/>
          <w:bCs/>
          <w:color w:val="auto"/>
          <w:sz w:val="24"/>
          <w:szCs w:val="24"/>
        </w:rPr>
      </w:pPr>
      <w:bookmarkStart w:id="193" w:name="_Toc131160623"/>
      <w:bookmarkStart w:id="194" w:name="_Toc138770903"/>
      <w:r w:rsidRPr="00455263">
        <w:rPr>
          <w:rFonts w:ascii="Book Antiqua" w:hAnsi="Book Antiqua"/>
          <w:b/>
          <w:bCs/>
          <w:color w:val="auto"/>
          <w:sz w:val="24"/>
          <w:szCs w:val="24"/>
        </w:rPr>
        <w:lastRenderedPageBreak/>
        <w:t xml:space="preserve">A la </w:t>
      </w:r>
      <w:r w:rsidRPr="00D207B8">
        <w:rPr>
          <w:rFonts w:ascii="Book Antiqua" w:hAnsi="Book Antiqua"/>
          <w:b/>
          <w:bCs/>
          <w:color w:val="auto"/>
          <w:sz w:val="24"/>
          <w:szCs w:val="24"/>
        </w:rPr>
        <w:t>Oficina de Control Interno</w:t>
      </w:r>
      <w:bookmarkEnd w:id="193"/>
      <w:bookmarkEnd w:id="194"/>
    </w:p>
    <w:p w14:paraId="5749C264" w14:textId="77777777" w:rsidR="00E8321A" w:rsidRPr="000B4474" w:rsidRDefault="00E8321A" w:rsidP="00E8321A">
      <w:pPr>
        <w:spacing w:after="0"/>
        <w:rPr>
          <w:sz w:val="24"/>
          <w:szCs w:val="24"/>
        </w:rPr>
      </w:pPr>
    </w:p>
    <w:p w14:paraId="43B3624D" w14:textId="77777777" w:rsidR="00E8321A" w:rsidRDefault="00E8321A" w:rsidP="00EF4E17">
      <w:pPr>
        <w:numPr>
          <w:ilvl w:val="1"/>
          <w:numId w:val="20"/>
        </w:numPr>
        <w:spacing w:after="0" w:line="240" w:lineRule="auto"/>
        <w:ind w:left="708" w:hanging="708"/>
        <w:jc w:val="both"/>
        <w:rPr>
          <w:rFonts w:ascii="Book Antiqua" w:hAnsi="Book Antiqua"/>
          <w:sz w:val="24"/>
          <w:szCs w:val="24"/>
        </w:rPr>
      </w:pPr>
      <w:r w:rsidRPr="001D722A">
        <w:rPr>
          <w:rFonts w:ascii="Book Antiqua" w:hAnsi="Book Antiqua"/>
          <w:sz w:val="24"/>
          <w:szCs w:val="24"/>
        </w:rPr>
        <w:t xml:space="preserve">Se requiere a más tardar el </w:t>
      </w:r>
      <w:r w:rsidRPr="00373A06">
        <w:rPr>
          <w:rFonts w:ascii="Book Antiqua" w:hAnsi="Book Antiqua"/>
          <w:b/>
          <w:bCs/>
          <w:sz w:val="24"/>
          <w:szCs w:val="24"/>
        </w:rPr>
        <w:t>11 de agosto del 2023</w:t>
      </w:r>
      <w:r w:rsidRPr="001D722A">
        <w:rPr>
          <w:rFonts w:ascii="Book Antiqua" w:hAnsi="Book Antiqua"/>
          <w:sz w:val="24"/>
          <w:szCs w:val="24"/>
        </w:rPr>
        <w:t xml:space="preserve">, cargar en el sitio de proyecto la atención de las siguientes recomendaciones: </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791"/>
        <w:gridCol w:w="992"/>
        <w:gridCol w:w="1843"/>
        <w:gridCol w:w="2835"/>
        <w:gridCol w:w="992"/>
        <w:gridCol w:w="911"/>
      </w:tblGrid>
      <w:tr w:rsidR="0086493B" w:rsidRPr="002C5174" w14:paraId="5E5AFA8D" w14:textId="77777777" w:rsidTr="00B56C1A">
        <w:trPr>
          <w:trHeight w:val="300"/>
        </w:trPr>
        <w:tc>
          <w:tcPr>
            <w:tcW w:w="1470" w:type="dxa"/>
            <w:shd w:val="clear" w:color="000000" w:fill="44546A"/>
            <w:noWrap/>
            <w:vAlign w:val="center"/>
            <w:hideMark/>
          </w:tcPr>
          <w:p w14:paraId="53CEF3FF" w14:textId="77777777" w:rsidR="00E8321A" w:rsidRPr="002C5174" w:rsidRDefault="00E8321A" w:rsidP="00B56C1A">
            <w:pPr>
              <w:spacing w:after="0" w:line="240" w:lineRule="auto"/>
              <w:jc w:val="center"/>
              <w:rPr>
                <w:rFonts w:ascii="Book Antiqua" w:eastAsia="Times New Roman" w:hAnsi="Book Antiqua" w:cs="Calibri"/>
                <w:b/>
                <w:bCs/>
                <w:color w:val="FFFFFF"/>
                <w:sz w:val="18"/>
                <w:szCs w:val="18"/>
                <w:lang w:eastAsia="es-CR"/>
              </w:rPr>
            </w:pPr>
            <w:r w:rsidRPr="002C5174">
              <w:rPr>
                <w:rFonts w:ascii="Book Antiqua" w:eastAsia="Times New Roman" w:hAnsi="Book Antiqua" w:cs="Calibri"/>
                <w:b/>
                <w:bCs/>
                <w:color w:val="FFFFFF"/>
                <w:sz w:val="18"/>
                <w:szCs w:val="18"/>
                <w:lang w:eastAsia="es-CR"/>
              </w:rPr>
              <w:t>Centro de responsabilidad</w:t>
            </w:r>
          </w:p>
        </w:tc>
        <w:tc>
          <w:tcPr>
            <w:tcW w:w="1791" w:type="dxa"/>
            <w:shd w:val="clear" w:color="000000" w:fill="44546A"/>
            <w:noWrap/>
            <w:vAlign w:val="center"/>
            <w:hideMark/>
          </w:tcPr>
          <w:p w14:paraId="4573572D" w14:textId="77777777" w:rsidR="00E8321A" w:rsidRPr="002C5174" w:rsidRDefault="00E8321A" w:rsidP="00B56C1A">
            <w:pPr>
              <w:spacing w:after="0" w:line="240" w:lineRule="auto"/>
              <w:jc w:val="center"/>
              <w:rPr>
                <w:rFonts w:ascii="Book Antiqua" w:eastAsia="Times New Roman" w:hAnsi="Book Antiqua" w:cs="Calibri"/>
                <w:b/>
                <w:bCs/>
                <w:color w:val="FFFFFF"/>
                <w:sz w:val="18"/>
                <w:szCs w:val="18"/>
                <w:lang w:eastAsia="es-CR"/>
              </w:rPr>
            </w:pPr>
            <w:r w:rsidRPr="002C5174">
              <w:rPr>
                <w:rFonts w:ascii="Book Antiqua" w:eastAsia="Times New Roman" w:hAnsi="Book Antiqua" w:cs="Calibri"/>
                <w:b/>
                <w:bCs/>
                <w:color w:val="FFFFFF"/>
                <w:sz w:val="18"/>
                <w:szCs w:val="18"/>
                <w:lang w:eastAsia="es-CR"/>
              </w:rPr>
              <w:t>Oficina Líder</w:t>
            </w:r>
          </w:p>
        </w:tc>
        <w:tc>
          <w:tcPr>
            <w:tcW w:w="992" w:type="dxa"/>
            <w:shd w:val="clear" w:color="000000" w:fill="44546A"/>
            <w:noWrap/>
            <w:vAlign w:val="center"/>
            <w:hideMark/>
          </w:tcPr>
          <w:p w14:paraId="74E43582" w14:textId="77777777" w:rsidR="00E8321A" w:rsidRPr="002C5174" w:rsidRDefault="00E8321A" w:rsidP="00B56C1A">
            <w:pPr>
              <w:spacing w:after="0" w:line="240" w:lineRule="auto"/>
              <w:jc w:val="center"/>
              <w:rPr>
                <w:rFonts w:ascii="Book Antiqua" w:eastAsia="Times New Roman" w:hAnsi="Book Antiqua" w:cs="Calibri"/>
                <w:b/>
                <w:bCs/>
                <w:color w:val="FFFFFF"/>
                <w:sz w:val="18"/>
                <w:szCs w:val="18"/>
                <w:lang w:eastAsia="es-CR"/>
              </w:rPr>
            </w:pPr>
            <w:r w:rsidRPr="002C5174">
              <w:rPr>
                <w:rFonts w:ascii="Book Antiqua" w:eastAsia="Times New Roman" w:hAnsi="Book Antiqua" w:cs="Calibri"/>
                <w:b/>
                <w:bCs/>
                <w:color w:val="FFFFFF"/>
                <w:sz w:val="18"/>
                <w:szCs w:val="18"/>
                <w:lang w:eastAsia="es-CR"/>
              </w:rPr>
              <w:t>Código</w:t>
            </w:r>
          </w:p>
        </w:tc>
        <w:tc>
          <w:tcPr>
            <w:tcW w:w="1843" w:type="dxa"/>
            <w:shd w:val="clear" w:color="000000" w:fill="44546A"/>
            <w:noWrap/>
            <w:vAlign w:val="center"/>
            <w:hideMark/>
          </w:tcPr>
          <w:p w14:paraId="71E5A619" w14:textId="77777777" w:rsidR="00E8321A" w:rsidRPr="002C5174" w:rsidRDefault="00E8321A" w:rsidP="00B56C1A">
            <w:pPr>
              <w:spacing w:after="0" w:line="240" w:lineRule="auto"/>
              <w:jc w:val="center"/>
              <w:rPr>
                <w:rFonts w:ascii="Book Antiqua" w:eastAsia="Times New Roman" w:hAnsi="Book Antiqua" w:cs="Calibri"/>
                <w:b/>
                <w:bCs/>
                <w:color w:val="FFFFFF"/>
                <w:sz w:val="18"/>
                <w:szCs w:val="18"/>
                <w:lang w:eastAsia="es-CR"/>
              </w:rPr>
            </w:pPr>
            <w:r w:rsidRPr="002C5174">
              <w:rPr>
                <w:rFonts w:ascii="Book Antiqua" w:eastAsia="Times New Roman" w:hAnsi="Book Antiqua" w:cs="Calibri"/>
                <w:b/>
                <w:bCs/>
                <w:color w:val="FFFFFF"/>
                <w:sz w:val="18"/>
                <w:szCs w:val="18"/>
                <w:lang w:eastAsia="es-CR"/>
              </w:rPr>
              <w:t>Nombre</w:t>
            </w:r>
          </w:p>
        </w:tc>
        <w:tc>
          <w:tcPr>
            <w:tcW w:w="2835" w:type="dxa"/>
            <w:shd w:val="clear" w:color="000000" w:fill="44546A"/>
            <w:noWrap/>
            <w:vAlign w:val="center"/>
            <w:hideMark/>
          </w:tcPr>
          <w:p w14:paraId="12220040" w14:textId="77777777" w:rsidR="00E8321A" w:rsidRPr="002C5174" w:rsidRDefault="00E8321A" w:rsidP="00B56C1A">
            <w:pPr>
              <w:spacing w:after="0" w:line="240" w:lineRule="auto"/>
              <w:jc w:val="center"/>
              <w:rPr>
                <w:rFonts w:ascii="Book Antiqua" w:eastAsia="Times New Roman" w:hAnsi="Book Antiqua" w:cs="Calibri"/>
                <w:b/>
                <w:bCs/>
                <w:color w:val="FFFFFF"/>
                <w:sz w:val="18"/>
                <w:szCs w:val="18"/>
                <w:lang w:eastAsia="es-CR"/>
              </w:rPr>
            </w:pPr>
            <w:r w:rsidRPr="002C5174">
              <w:rPr>
                <w:rFonts w:ascii="Book Antiqua" w:eastAsia="Times New Roman" w:hAnsi="Book Antiqua" w:cs="Calibri"/>
                <w:b/>
                <w:bCs/>
                <w:color w:val="FFFFFF"/>
                <w:sz w:val="18"/>
                <w:szCs w:val="18"/>
                <w:lang w:eastAsia="es-CR"/>
              </w:rPr>
              <w:t>Recomendación pendiente</w:t>
            </w:r>
          </w:p>
        </w:tc>
        <w:tc>
          <w:tcPr>
            <w:tcW w:w="992" w:type="dxa"/>
            <w:shd w:val="clear" w:color="000000" w:fill="44546A"/>
            <w:noWrap/>
            <w:vAlign w:val="center"/>
            <w:hideMark/>
          </w:tcPr>
          <w:p w14:paraId="3D7051C5" w14:textId="77777777" w:rsidR="00E8321A" w:rsidRPr="002C5174" w:rsidRDefault="00E8321A" w:rsidP="00B56C1A">
            <w:pPr>
              <w:spacing w:after="0" w:line="240" w:lineRule="auto"/>
              <w:jc w:val="center"/>
              <w:rPr>
                <w:rFonts w:ascii="Book Antiqua" w:eastAsia="Times New Roman" w:hAnsi="Book Antiqua" w:cs="Calibri"/>
                <w:b/>
                <w:bCs/>
                <w:color w:val="FFFFFF"/>
                <w:sz w:val="18"/>
                <w:szCs w:val="18"/>
                <w:lang w:eastAsia="es-CR"/>
              </w:rPr>
            </w:pPr>
            <w:r w:rsidRPr="002C5174">
              <w:rPr>
                <w:rFonts w:ascii="Book Antiqua" w:eastAsia="Times New Roman" w:hAnsi="Book Antiqua" w:cs="Calibri"/>
                <w:b/>
                <w:bCs/>
                <w:color w:val="FFFFFF"/>
                <w:sz w:val="18"/>
                <w:szCs w:val="18"/>
                <w:lang w:eastAsia="es-CR"/>
              </w:rPr>
              <w:t>Capítulo del informe</w:t>
            </w:r>
          </w:p>
        </w:tc>
        <w:tc>
          <w:tcPr>
            <w:tcW w:w="851" w:type="dxa"/>
            <w:shd w:val="clear" w:color="000000" w:fill="44546A"/>
            <w:noWrap/>
            <w:vAlign w:val="center"/>
            <w:hideMark/>
          </w:tcPr>
          <w:p w14:paraId="18FDC717" w14:textId="77777777" w:rsidR="00E8321A" w:rsidRPr="002C5174" w:rsidRDefault="00E8321A" w:rsidP="00B56C1A">
            <w:pPr>
              <w:spacing w:after="0" w:line="240" w:lineRule="auto"/>
              <w:jc w:val="center"/>
              <w:rPr>
                <w:rFonts w:ascii="Book Antiqua" w:eastAsia="Times New Roman" w:hAnsi="Book Antiqua" w:cs="Calibri"/>
                <w:b/>
                <w:bCs/>
                <w:color w:val="FFFFFF"/>
                <w:sz w:val="18"/>
                <w:szCs w:val="18"/>
                <w:lang w:eastAsia="es-CR"/>
              </w:rPr>
            </w:pPr>
            <w:r w:rsidRPr="002C5174">
              <w:rPr>
                <w:rFonts w:ascii="Book Antiqua" w:eastAsia="Times New Roman" w:hAnsi="Book Antiqua" w:cs="Calibri"/>
                <w:b/>
                <w:bCs/>
                <w:color w:val="FFFFFF"/>
                <w:sz w:val="18"/>
                <w:szCs w:val="18"/>
                <w:lang w:eastAsia="es-CR"/>
              </w:rPr>
              <w:t>Apartado del informe</w:t>
            </w:r>
          </w:p>
        </w:tc>
      </w:tr>
      <w:tr w:rsidR="007D35E8" w:rsidRPr="002C5174" w14:paraId="5FEB2DB4" w14:textId="77777777" w:rsidTr="00B56C1A">
        <w:trPr>
          <w:trHeight w:val="300"/>
        </w:trPr>
        <w:tc>
          <w:tcPr>
            <w:tcW w:w="1470" w:type="dxa"/>
            <w:shd w:val="clear" w:color="F2F2F2" w:fill="FFFFFF"/>
            <w:noWrap/>
            <w:vAlign w:val="center"/>
            <w:hideMark/>
          </w:tcPr>
          <w:p w14:paraId="4913744B"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Oficina de Control Interno</w:t>
            </w:r>
          </w:p>
        </w:tc>
        <w:tc>
          <w:tcPr>
            <w:tcW w:w="1791" w:type="dxa"/>
            <w:shd w:val="clear" w:color="F2F2F2" w:fill="FFFFFF"/>
            <w:noWrap/>
            <w:vAlign w:val="center"/>
            <w:hideMark/>
          </w:tcPr>
          <w:p w14:paraId="0A613B3D"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Times New Roman" w:eastAsia="Times New Roman" w:hAnsi="Times New Roman" w:cs="Times New Roman"/>
                <w:color w:val="000000"/>
                <w:sz w:val="18"/>
                <w:szCs w:val="18"/>
                <w:lang w:eastAsia="es-CR"/>
              </w:rPr>
              <w:t>​</w:t>
            </w:r>
            <w:r w:rsidRPr="002C5174">
              <w:rPr>
                <w:rFonts w:ascii="Book Antiqua" w:eastAsia="Times New Roman" w:hAnsi="Book Antiqua" w:cs="Calibri"/>
                <w:color w:val="000000"/>
                <w:sz w:val="18"/>
                <w:szCs w:val="18"/>
                <w:lang w:eastAsia="es-CR"/>
              </w:rPr>
              <w:t>0914 OFICINA DE CONTROL INTERNO</w:t>
            </w:r>
          </w:p>
        </w:tc>
        <w:tc>
          <w:tcPr>
            <w:tcW w:w="992" w:type="dxa"/>
            <w:shd w:val="clear" w:color="000000" w:fill="FFFFFF"/>
            <w:noWrap/>
            <w:vAlign w:val="center"/>
            <w:hideMark/>
          </w:tcPr>
          <w:p w14:paraId="4F2A4C68"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0914-OCI-P02</w:t>
            </w:r>
          </w:p>
        </w:tc>
        <w:tc>
          <w:tcPr>
            <w:tcW w:w="1843" w:type="dxa"/>
            <w:shd w:val="clear" w:color="000000" w:fill="FFFFFF"/>
            <w:noWrap/>
            <w:vAlign w:val="center"/>
            <w:hideMark/>
          </w:tcPr>
          <w:p w14:paraId="24C202EE"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Implementación del Sistema SEVRI y PAI, para el análisis de los riesgos estratégicos</w:t>
            </w:r>
          </w:p>
        </w:tc>
        <w:tc>
          <w:tcPr>
            <w:tcW w:w="2835" w:type="dxa"/>
            <w:shd w:val="clear" w:color="000000" w:fill="FFFFFF"/>
            <w:noWrap/>
            <w:vAlign w:val="center"/>
            <w:hideMark/>
          </w:tcPr>
          <w:p w14:paraId="41F73370"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Pendiente aprobación del informe de cierre por parte del patrocinador</w:t>
            </w:r>
          </w:p>
        </w:tc>
        <w:tc>
          <w:tcPr>
            <w:tcW w:w="992" w:type="dxa"/>
            <w:shd w:val="clear" w:color="auto" w:fill="auto"/>
            <w:noWrap/>
            <w:vAlign w:val="center"/>
            <w:hideMark/>
          </w:tcPr>
          <w:p w14:paraId="437D1466"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Capítulo 1</w:t>
            </w:r>
          </w:p>
        </w:tc>
        <w:tc>
          <w:tcPr>
            <w:tcW w:w="851" w:type="dxa"/>
            <w:shd w:val="clear" w:color="auto" w:fill="auto"/>
            <w:noWrap/>
            <w:vAlign w:val="center"/>
            <w:hideMark/>
          </w:tcPr>
          <w:p w14:paraId="30845630"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1.18</w:t>
            </w:r>
          </w:p>
        </w:tc>
      </w:tr>
    </w:tbl>
    <w:p w14:paraId="5C452A0E" w14:textId="77777777" w:rsidR="00E8321A" w:rsidRDefault="00E8321A" w:rsidP="00E8321A">
      <w:pPr>
        <w:spacing w:after="0"/>
        <w:rPr>
          <w:rFonts w:ascii="Book Antiqua" w:hAnsi="Book Antiqua"/>
          <w:b/>
          <w:bCs/>
          <w:sz w:val="24"/>
          <w:szCs w:val="24"/>
        </w:rPr>
      </w:pPr>
    </w:p>
    <w:p w14:paraId="646B48DB" w14:textId="77777777" w:rsidR="00E8321A" w:rsidRDefault="00E8321A" w:rsidP="00E8321A">
      <w:pPr>
        <w:pStyle w:val="Ttulo2"/>
        <w:spacing w:before="0"/>
        <w:rPr>
          <w:rFonts w:ascii="Book Antiqua" w:hAnsi="Book Antiqua"/>
          <w:b/>
          <w:bCs/>
          <w:color w:val="auto"/>
          <w:sz w:val="24"/>
          <w:szCs w:val="24"/>
        </w:rPr>
      </w:pPr>
      <w:bookmarkStart w:id="195" w:name="_Toc131160624"/>
      <w:bookmarkStart w:id="196" w:name="_Toc138770904"/>
      <w:r w:rsidRPr="00455263">
        <w:rPr>
          <w:rFonts w:ascii="Book Antiqua" w:hAnsi="Book Antiqua"/>
          <w:b/>
          <w:bCs/>
          <w:color w:val="auto"/>
          <w:sz w:val="24"/>
          <w:szCs w:val="24"/>
        </w:rPr>
        <w:t xml:space="preserve">A la </w:t>
      </w:r>
      <w:r w:rsidRPr="00BB62B7">
        <w:rPr>
          <w:rFonts w:ascii="Book Antiqua" w:hAnsi="Book Antiqua"/>
          <w:b/>
          <w:bCs/>
          <w:color w:val="auto"/>
          <w:sz w:val="24"/>
          <w:szCs w:val="24"/>
        </w:rPr>
        <w:t>Oficina de Cumplimiento</w:t>
      </w:r>
      <w:bookmarkEnd w:id="195"/>
      <w:bookmarkEnd w:id="196"/>
    </w:p>
    <w:p w14:paraId="02D6D75F" w14:textId="77777777" w:rsidR="00E8321A" w:rsidRPr="00BB62B7" w:rsidRDefault="00E8321A" w:rsidP="00E8321A">
      <w:pPr>
        <w:spacing w:after="0"/>
      </w:pPr>
    </w:p>
    <w:p w14:paraId="07111AE0" w14:textId="77777777" w:rsidR="00E8321A" w:rsidRDefault="00E8321A" w:rsidP="00EF4E17">
      <w:pPr>
        <w:numPr>
          <w:ilvl w:val="1"/>
          <w:numId w:val="20"/>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Se requiere a más tardar el </w:t>
      </w:r>
      <w:r w:rsidRPr="00373A06">
        <w:rPr>
          <w:rFonts w:ascii="Book Antiqua" w:hAnsi="Book Antiqua"/>
          <w:b/>
          <w:bCs/>
          <w:sz w:val="24"/>
          <w:szCs w:val="24"/>
        </w:rPr>
        <w:t>11 de agosto del 2023</w:t>
      </w:r>
      <w:r w:rsidRPr="001D722A">
        <w:rPr>
          <w:rFonts w:ascii="Book Antiqua" w:hAnsi="Book Antiqua"/>
          <w:sz w:val="24"/>
          <w:szCs w:val="24"/>
        </w:rPr>
        <w:t xml:space="preserve">, cargar en el sitio de proyecto la atención de las siguientes recomendaciones: </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791"/>
        <w:gridCol w:w="992"/>
        <w:gridCol w:w="1843"/>
        <w:gridCol w:w="2835"/>
        <w:gridCol w:w="992"/>
        <w:gridCol w:w="911"/>
      </w:tblGrid>
      <w:tr w:rsidR="0086493B" w:rsidRPr="002C5174" w14:paraId="6E66ABB4" w14:textId="77777777" w:rsidTr="00B56C1A">
        <w:trPr>
          <w:trHeight w:val="300"/>
        </w:trPr>
        <w:tc>
          <w:tcPr>
            <w:tcW w:w="1470" w:type="dxa"/>
            <w:shd w:val="clear" w:color="000000" w:fill="44546A"/>
            <w:noWrap/>
            <w:vAlign w:val="center"/>
            <w:hideMark/>
          </w:tcPr>
          <w:p w14:paraId="3640C22B" w14:textId="77777777" w:rsidR="00E8321A" w:rsidRPr="002C5174" w:rsidRDefault="00E8321A" w:rsidP="00B56C1A">
            <w:pPr>
              <w:spacing w:after="0" w:line="240" w:lineRule="auto"/>
              <w:jc w:val="center"/>
              <w:rPr>
                <w:rFonts w:ascii="Book Antiqua" w:eastAsia="Times New Roman" w:hAnsi="Book Antiqua" w:cs="Calibri"/>
                <w:b/>
                <w:bCs/>
                <w:color w:val="FFFFFF"/>
                <w:sz w:val="18"/>
                <w:szCs w:val="18"/>
                <w:lang w:eastAsia="es-CR"/>
              </w:rPr>
            </w:pPr>
            <w:r w:rsidRPr="002C5174">
              <w:rPr>
                <w:rFonts w:ascii="Book Antiqua" w:eastAsia="Times New Roman" w:hAnsi="Book Antiqua" w:cs="Calibri"/>
                <w:b/>
                <w:bCs/>
                <w:color w:val="FFFFFF"/>
                <w:sz w:val="18"/>
                <w:szCs w:val="18"/>
                <w:lang w:eastAsia="es-CR"/>
              </w:rPr>
              <w:t>Centro de responsabilidad</w:t>
            </w:r>
          </w:p>
        </w:tc>
        <w:tc>
          <w:tcPr>
            <w:tcW w:w="1791" w:type="dxa"/>
            <w:shd w:val="clear" w:color="000000" w:fill="44546A"/>
            <w:noWrap/>
            <w:vAlign w:val="center"/>
            <w:hideMark/>
          </w:tcPr>
          <w:p w14:paraId="6D65BE55" w14:textId="77777777" w:rsidR="00E8321A" w:rsidRPr="002C5174" w:rsidRDefault="00E8321A" w:rsidP="00B56C1A">
            <w:pPr>
              <w:spacing w:after="0" w:line="240" w:lineRule="auto"/>
              <w:jc w:val="center"/>
              <w:rPr>
                <w:rFonts w:ascii="Book Antiqua" w:eastAsia="Times New Roman" w:hAnsi="Book Antiqua" w:cs="Calibri"/>
                <w:b/>
                <w:bCs/>
                <w:color w:val="FFFFFF"/>
                <w:sz w:val="18"/>
                <w:szCs w:val="18"/>
                <w:lang w:eastAsia="es-CR"/>
              </w:rPr>
            </w:pPr>
            <w:r w:rsidRPr="002C5174">
              <w:rPr>
                <w:rFonts w:ascii="Book Antiqua" w:eastAsia="Times New Roman" w:hAnsi="Book Antiqua" w:cs="Calibri"/>
                <w:b/>
                <w:bCs/>
                <w:color w:val="FFFFFF"/>
                <w:sz w:val="18"/>
                <w:szCs w:val="18"/>
                <w:lang w:eastAsia="es-CR"/>
              </w:rPr>
              <w:t>Oficina Líder</w:t>
            </w:r>
          </w:p>
        </w:tc>
        <w:tc>
          <w:tcPr>
            <w:tcW w:w="992" w:type="dxa"/>
            <w:shd w:val="clear" w:color="000000" w:fill="44546A"/>
            <w:noWrap/>
            <w:vAlign w:val="center"/>
            <w:hideMark/>
          </w:tcPr>
          <w:p w14:paraId="7343A1CF" w14:textId="77777777" w:rsidR="00E8321A" w:rsidRPr="002C5174" w:rsidRDefault="00E8321A" w:rsidP="00B56C1A">
            <w:pPr>
              <w:spacing w:after="0" w:line="240" w:lineRule="auto"/>
              <w:jc w:val="center"/>
              <w:rPr>
                <w:rFonts w:ascii="Book Antiqua" w:eastAsia="Times New Roman" w:hAnsi="Book Antiqua" w:cs="Calibri"/>
                <w:b/>
                <w:bCs/>
                <w:color w:val="FFFFFF"/>
                <w:sz w:val="18"/>
                <w:szCs w:val="18"/>
                <w:lang w:eastAsia="es-CR"/>
              </w:rPr>
            </w:pPr>
            <w:r w:rsidRPr="002C5174">
              <w:rPr>
                <w:rFonts w:ascii="Book Antiqua" w:eastAsia="Times New Roman" w:hAnsi="Book Antiqua" w:cs="Calibri"/>
                <w:b/>
                <w:bCs/>
                <w:color w:val="FFFFFF"/>
                <w:sz w:val="18"/>
                <w:szCs w:val="18"/>
                <w:lang w:eastAsia="es-CR"/>
              </w:rPr>
              <w:t>Código</w:t>
            </w:r>
          </w:p>
        </w:tc>
        <w:tc>
          <w:tcPr>
            <w:tcW w:w="1843" w:type="dxa"/>
            <w:shd w:val="clear" w:color="000000" w:fill="44546A"/>
            <w:noWrap/>
            <w:vAlign w:val="center"/>
            <w:hideMark/>
          </w:tcPr>
          <w:p w14:paraId="04A387CD" w14:textId="77777777" w:rsidR="00E8321A" w:rsidRPr="002C5174" w:rsidRDefault="00E8321A" w:rsidP="00B56C1A">
            <w:pPr>
              <w:spacing w:after="0" w:line="240" w:lineRule="auto"/>
              <w:jc w:val="center"/>
              <w:rPr>
                <w:rFonts w:ascii="Book Antiqua" w:eastAsia="Times New Roman" w:hAnsi="Book Antiqua" w:cs="Calibri"/>
                <w:b/>
                <w:bCs/>
                <w:color w:val="FFFFFF"/>
                <w:sz w:val="18"/>
                <w:szCs w:val="18"/>
                <w:lang w:eastAsia="es-CR"/>
              </w:rPr>
            </w:pPr>
            <w:r w:rsidRPr="002C5174">
              <w:rPr>
                <w:rFonts w:ascii="Book Antiqua" w:eastAsia="Times New Roman" w:hAnsi="Book Antiqua" w:cs="Calibri"/>
                <w:b/>
                <w:bCs/>
                <w:color w:val="FFFFFF"/>
                <w:sz w:val="18"/>
                <w:szCs w:val="18"/>
                <w:lang w:eastAsia="es-CR"/>
              </w:rPr>
              <w:t>Nombre</w:t>
            </w:r>
          </w:p>
        </w:tc>
        <w:tc>
          <w:tcPr>
            <w:tcW w:w="2835" w:type="dxa"/>
            <w:shd w:val="clear" w:color="000000" w:fill="44546A"/>
            <w:noWrap/>
            <w:vAlign w:val="center"/>
            <w:hideMark/>
          </w:tcPr>
          <w:p w14:paraId="109D71DB" w14:textId="77777777" w:rsidR="00E8321A" w:rsidRPr="002C5174" w:rsidRDefault="00E8321A" w:rsidP="00B56C1A">
            <w:pPr>
              <w:spacing w:after="0" w:line="240" w:lineRule="auto"/>
              <w:jc w:val="center"/>
              <w:rPr>
                <w:rFonts w:ascii="Book Antiqua" w:eastAsia="Times New Roman" w:hAnsi="Book Antiqua" w:cs="Calibri"/>
                <w:b/>
                <w:bCs/>
                <w:color w:val="FFFFFF"/>
                <w:sz w:val="18"/>
                <w:szCs w:val="18"/>
                <w:lang w:eastAsia="es-CR"/>
              </w:rPr>
            </w:pPr>
            <w:r w:rsidRPr="002C5174">
              <w:rPr>
                <w:rFonts w:ascii="Book Antiqua" w:eastAsia="Times New Roman" w:hAnsi="Book Antiqua" w:cs="Calibri"/>
                <w:b/>
                <w:bCs/>
                <w:color w:val="FFFFFF"/>
                <w:sz w:val="18"/>
                <w:szCs w:val="18"/>
                <w:lang w:eastAsia="es-CR"/>
              </w:rPr>
              <w:t>Recomendación pendiente</w:t>
            </w:r>
          </w:p>
        </w:tc>
        <w:tc>
          <w:tcPr>
            <w:tcW w:w="992" w:type="dxa"/>
            <w:shd w:val="clear" w:color="000000" w:fill="44546A"/>
            <w:noWrap/>
            <w:vAlign w:val="center"/>
            <w:hideMark/>
          </w:tcPr>
          <w:p w14:paraId="0325A2BF" w14:textId="77777777" w:rsidR="00E8321A" w:rsidRPr="002C5174" w:rsidRDefault="00E8321A" w:rsidP="00B56C1A">
            <w:pPr>
              <w:spacing w:after="0" w:line="240" w:lineRule="auto"/>
              <w:jc w:val="center"/>
              <w:rPr>
                <w:rFonts w:ascii="Book Antiqua" w:eastAsia="Times New Roman" w:hAnsi="Book Antiqua" w:cs="Calibri"/>
                <w:b/>
                <w:bCs/>
                <w:color w:val="FFFFFF"/>
                <w:sz w:val="18"/>
                <w:szCs w:val="18"/>
                <w:lang w:eastAsia="es-CR"/>
              </w:rPr>
            </w:pPr>
            <w:r w:rsidRPr="002C5174">
              <w:rPr>
                <w:rFonts w:ascii="Book Antiqua" w:eastAsia="Times New Roman" w:hAnsi="Book Antiqua" w:cs="Calibri"/>
                <w:b/>
                <w:bCs/>
                <w:color w:val="FFFFFF"/>
                <w:sz w:val="18"/>
                <w:szCs w:val="18"/>
                <w:lang w:eastAsia="es-CR"/>
              </w:rPr>
              <w:t>Capítulo del informe</w:t>
            </w:r>
          </w:p>
        </w:tc>
        <w:tc>
          <w:tcPr>
            <w:tcW w:w="851" w:type="dxa"/>
            <w:shd w:val="clear" w:color="000000" w:fill="44546A"/>
            <w:noWrap/>
            <w:vAlign w:val="center"/>
            <w:hideMark/>
          </w:tcPr>
          <w:p w14:paraId="55E1381A" w14:textId="77777777" w:rsidR="00E8321A" w:rsidRPr="002C5174" w:rsidRDefault="00E8321A" w:rsidP="00B56C1A">
            <w:pPr>
              <w:spacing w:after="0" w:line="240" w:lineRule="auto"/>
              <w:jc w:val="center"/>
              <w:rPr>
                <w:rFonts w:ascii="Book Antiqua" w:eastAsia="Times New Roman" w:hAnsi="Book Antiqua" w:cs="Calibri"/>
                <w:b/>
                <w:bCs/>
                <w:color w:val="FFFFFF"/>
                <w:sz w:val="18"/>
                <w:szCs w:val="18"/>
                <w:lang w:eastAsia="es-CR"/>
              </w:rPr>
            </w:pPr>
            <w:r w:rsidRPr="002C5174">
              <w:rPr>
                <w:rFonts w:ascii="Book Antiqua" w:eastAsia="Times New Roman" w:hAnsi="Book Antiqua" w:cs="Calibri"/>
                <w:b/>
                <w:bCs/>
                <w:color w:val="FFFFFF"/>
                <w:sz w:val="18"/>
                <w:szCs w:val="18"/>
                <w:lang w:eastAsia="es-CR"/>
              </w:rPr>
              <w:t>Apartado del informe</w:t>
            </w:r>
          </w:p>
        </w:tc>
      </w:tr>
      <w:tr w:rsidR="007D35E8" w:rsidRPr="002C5174" w14:paraId="1E8C832A" w14:textId="77777777" w:rsidTr="00B56C1A">
        <w:trPr>
          <w:trHeight w:val="300"/>
        </w:trPr>
        <w:tc>
          <w:tcPr>
            <w:tcW w:w="1470" w:type="dxa"/>
            <w:shd w:val="clear" w:color="F2F2F2" w:fill="FFFFFF"/>
            <w:noWrap/>
            <w:vAlign w:val="center"/>
            <w:hideMark/>
          </w:tcPr>
          <w:p w14:paraId="68E511FE"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Oficina de Cumplimiento</w:t>
            </w:r>
          </w:p>
        </w:tc>
        <w:tc>
          <w:tcPr>
            <w:tcW w:w="1791" w:type="dxa"/>
            <w:shd w:val="clear" w:color="F2F2F2" w:fill="FFFFFF"/>
            <w:noWrap/>
            <w:vAlign w:val="center"/>
            <w:hideMark/>
          </w:tcPr>
          <w:p w14:paraId="36F03AA1"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1846 OFICINA DE CUMPLIMIENTO</w:t>
            </w:r>
          </w:p>
        </w:tc>
        <w:tc>
          <w:tcPr>
            <w:tcW w:w="992" w:type="dxa"/>
            <w:shd w:val="clear" w:color="000000" w:fill="FFFFFF"/>
            <w:noWrap/>
            <w:vAlign w:val="center"/>
            <w:hideMark/>
          </w:tcPr>
          <w:p w14:paraId="390607E8"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1846-OC-P01</w:t>
            </w:r>
          </w:p>
        </w:tc>
        <w:tc>
          <w:tcPr>
            <w:tcW w:w="1843" w:type="dxa"/>
            <w:shd w:val="clear" w:color="000000" w:fill="FFFFFF"/>
            <w:noWrap/>
            <w:vAlign w:val="center"/>
            <w:hideMark/>
          </w:tcPr>
          <w:p w14:paraId="376A2BD2"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Reducción de las brechas de riesgo</w:t>
            </w:r>
          </w:p>
        </w:tc>
        <w:tc>
          <w:tcPr>
            <w:tcW w:w="2835" w:type="dxa"/>
            <w:shd w:val="clear" w:color="000000" w:fill="FFFFFF"/>
            <w:noWrap/>
            <w:vAlign w:val="center"/>
            <w:hideMark/>
          </w:tcPr>
          <w:p w14:paraId="7F1FD746"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Pendiente aprobación del informe de cierre por parte del patrocinador</w:t>
            </w:r>
          </w:p>
        </w:tc>
        <w:tc>
          <w:tcPr>
            <w:tcW w:w="992" w:type="dxa"/>
            <w:shd w:val="clear" w:color="auto" w:fill="auto"/>
            <w:noWrap/>
            <w:vAlign w:val="center"/>
            <w:hideMark/>
          </w:tcPr>
          <w:p w14:paraId="03929D48"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Capítulo 1</w:t>
            </w:r>
          </w:p>
        </w:tc>
        <w:tc>
          <w:tcPr>
            <w:tcW w:w="851" w:type="dxa"/>
            <w:shd w:val="clear" w:color="auto" w:fill="auto"/>
            <w:noWrap/>
            <w:vAlign w:val="center"/>
            <w:hideMark/>
          </w:tcPr>
          <w:p w14:paraId="2AA88895"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1.19</w:t>
            </w:r>
          </w:p>
        </w:tc>
      </w:tr>
    </w:tbl>
    <w:p w14:paraId="0F909D3B" w14:textId="77777777" w:rsidR="00E8321A" w:rsidRPr="001D722A" w:rsidRDefault="00E8321A" w:rsidP="00E8321A">
      <w:pPr>
        <w:spacing w:after="0" w:line="240" w:lineRule="auto"/>
        <w:jc w:val="both"/>
        <w:rPr>
          <w:rFonts w:ascii="Book Antiqua" w:hAnsi="Book Antiqua"/>
          <w:b/>
          <w:sz w:val="24"/>
          <w:szCs w:val="24"/>
          <w:highlight w:val="yellow"/>
        </w:rPr>
      </w:pPr>
    </w:p>
    <w:p w14:paraId="39EC9209" w14:textId="7FDD05EE" w:rsidR="00E8321A" w:rsidRPr="00BA2408" w:rsidRDefault="00E8321A" w:rsidP="00E8321A">
      <w:pPr>
        <w:pStyle w:val="Ttulo2"/>
        <w:spacing w:before="0"/>
        <w:rPr>
          <w:rFonts w:ascii="Book Antiqua" w:hAnsi="Book Antiqua"/>
          <w:b/>
          <w:bCs/>
          <w:color w:val="auto"/>
          <w:sz w:val="24"/>
          <w:szCs w:val="24"/>
        </w:rPr>
      </w:pPr>
      <w:bookmarkStart w:id="197" w:name="_Toc131160625"/>
      <w:bookmarkStart w:id="198" w:name="_Toc138770905"/>
      <w:r w:rsidRPr="00BA2408">
        <w:rPr>
          <w:rFonts w:ascii="Book Antiqua" w:hAnsi="Book Antiqua"/>
          <w:b/>
          <w:bCs/>
          <w:color w:val="auto"/>
          <w:sz w:val="24"/>
          <w:szCs w:val="24"/>
        </w:rPr>
        <w:t>Al Organismo de Investigación Judicial</w:t>
      </w:r>
      <w:bookmarkEnd w:id="197"/>
      <w:bookmarkEnd w:id="198"/>
    </w:p>
    <w:p w14:paraId="43AB468D" w14:textId="77777777" w:rsidR="00E8321A" w:rsidRPr="001D722A" w:rsidRDefault="00E8321A" w:rsidP="00E8321A">
      <w:pPr>
        <w:spacing w:after="0" w:line="240" w:lineRule="auto"/>
        <w:jc w:val="both"/>
        <w:rPr>
          <w:rFonts w:ascii="Book Antiqua" w:hAnsi="Book Antiqua"/>
          <w:sz w:val="24"/>
          <w:szCs w:val="24"/>
          <w:highlight w:val="yellow"/>
        </w:rPr>
      </w:pPr>
    </w:p>
    <w:p w14:paraId="1CBE5C8D" w14:textId="77777777" w:rsidR="00E8321A" w:rsidRPr="001D722A" w:rsidRDefault="00E8321A" w:rsidP="00EF4E17">
      <w:pPr>
        <w:numPr>
          <w:ilvl w:val="1"/>
          <w:numId w:val="20"/>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Se solicita más tardar el </w:t>
      </w:r>
      <w:r w:rsidRPr="00373A06">
        <w:rPr>
          <w:rFonts w:ascii="Book Antiqua" w:hAnsi="Book Antiqua"/>
          <w:b/>
          <w:bCs/>
          <w:sz w:val="24"/>
          <w:szCs w:val="24"/>
        </w:rPr>
        <w:t>11 de agosto del 2023</w:t>
      </w:r>
      <w:r w:rsidRPr="001D722A">
        <w:rPr>
          <w:rFonts w:ascii="Book Antiqua" w:hAnsi="Book Antiqua"/>
          <w:sz w:val="24"/>
          <w:szCs w:val="24"/>
        </w:rPr>
        <w:t xml:space="preserve">, cargar en el sitio de proyecto la atención de las siguientes recomendaciones: </w:t>
      </w:r>
    </w:p>
    <w:tbl>
      <w:tblPr>
        <w:tblW w:w="1064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817"/>
        <w:gridCol w:w="741"/>
        <w:gridCol w:w="2068"/>
        <w:gridCol w:w="2693"/>
        <w:gridCol w:w="942"/>
        <w:gridCol w:w="911"/>
      </w:tblGrid>
      <w:tr w:rsidR="0086493B" w:rsidRPr="002C5174" w14:paraId="40276AA0" w14:textId="77777777" w:rsidTr="00B56C1A">
        <w:trPr>
          <w:trHeight w:val="300"/>
          <w:tblHeader/>
        </w:trPr>
        <w:tc>
          <w:tcPr>
            <w:tcW w:w="1470" w:type="dxa"/>
            <w:shd w:val="clear" w:color="000000" w:fill="44546A"/>
            <w:noWrap/>
            <w:vAlign w:val="center"/>
            <w:hideMark/>
          </w:tcPr>
          <w:p w14:paraId="4DF15215" w14:textId="77777777" w:rsidR="00E8321A" w:rsidRPr="002C5174" w:rsidRDefault="00E8321A" w:rsidP="00B56C1A">
            <w:pPr>
              <w:spacing w:after="0" w:line="240" w:lineRule="auto"/>
              <w:jc w:val="center"/>
              <w:rPr>
                <w:rFonts w:ascii="Book Antiqua" w:eastAsia="Times New Roman" w:hAnsi="Book Antiqua" w:cs="Calibri"/>
                <w:b/>
                <w:bCs/>
                <w:color w:val="FFFFFF"/>
                <w:sz w:val="18"/>
                <w:szCs w:val="18"/>
                <w:lang w:eastAsia="es-CR"/>
              </w:rPr>
            </w:pPr>
            <w:r w:rsidRPr="002C5174">
              <w:rPr>
                <w:rFonts w:ascii="Book Antiqua" w:eastAsia="Times New Roman" w:hAnsi="Book Antiqua" w:cs="Calibri"/>
                <w:b/>
                <w:bCs/>
                <w:color w:val="FFFFFF"/>
                <w:sz w:val="18"/>
                <w:szCs w:val="18"/>
                <w:lang w:eastAsia="es-CR"/>
              </w:rPr>
              <w:t>Centro de responsabilidad</w:t>
            </w:r>
          </w:p>
        </w:tc>
        <w:tc>
          <w:tcPr>
            <w:tcW w:w="1817" w:type="dxa"/>
            <w:shd w:val="clear" w:color="000000" w:fill="44546A"/>
            <w:noWrap/>
            <w:vAlign w:val="center"/>
            <w:hideMark/>
          </w:tcPr>
          <w:p w14:paraId="3DE6C6B2" w14:textId="77777777" w:rsidR="00E8321A" w:rsidRPr="002C5174" w:rsidRDefault="00E8321A" w:rsidP="00B56C1A">
            <w:pPr>
              <w:spacing w:after="0" w:line="240" w:lineRule="auto"/>
              <w:jc w:val="center"/>
              <w:rPr>
                <w:rFonts w:ascii="Book Antiqua" w:eastAsia="Times New Roman" w:hAnsi="Book Antiqua" w:cs="Calibri"/>
                <w:b/>
                <w:bCs/>
                <w:color w:val="FFFFFF"/>
                <w:sz w:val="18"/>
                <w:szCs w:val="18"/>
                <w:lang w:eastAsia="es-CR"/>
              </w:rPr>
            </w:pPr>
            <w:r w:rsidRPr="002C5174">
              <w:rPr>
                <w:rFonts w:ascii="Book Antiqua" w:eastAsia="Times New Roman" w:hAnsi="Book Antiqua" w:cs="Calibri"/>
                <w:b/>
                <w:bCs/>
                <w:color w:val="FFFFFF"/>
                <w:sz w:val="18"/>
                <w:szCs w:val="18"/>
                <w:lang w:eastAsia="es-CR"/>
              </w:rPr>
              <w:t>Oficina Líder</w:t>
            </w:r>
          </w:p>
        </w:tc>
        <w:tc>
          <w:tcPr>
            <w:tcW w:w="741" w:type="dxa"/>
            <w:shd w:val="clear" w:color="000000" w:fill="44546A"/>
            <w:noWrap/>
            <w:vAlign w:val="center"/>
            <w:hideMark/>
          </w:tcPr>
          <w:p w14:paraId="5961770D" w14:textId="77777777" w:rsidR="00E8321A" w:rsidRPr="002C5174" w:rsidRDefault="00E8321A" w:rsidP="00B56C1A">
            <w:pPr>
              <w:spacing w:after="0" w:line="240" w:lineRule="auto"/>
              <w:jc w:val="center"/>
              <w:rPr>
                <w:rFonts w:ascii="Book Antiqua" w:eastAsia="Times New Roman" w:hAnsi="Book Antiqua" w:cs="Calibri"/>
                <w:b/>
                <w:bCs/>
                <w:color w:val="FFFFFF"/>
                <w:sz w:val="18"/>
                <w:szCs w:val="18"/>
                <w:lang w:eastAsia="es-CR"/>
              </w:rPr>
            </w:pPr>
            <w:r w:rsidRPr="002C5174">
              <w:rPr>
                <w:rFonts w:ascii="Book Antiqua" w:eastAsia="Times New Roman" w:hAnsi="Book Antiqua" w:cs="Calibri"/>
                <w:b/>
                <w:bCs/>
                <w:color w:val="FFFFFF"/>
                <w:sz w:val="18"/>
                <w:szCs w:val="18"/>
                <w:lang w:eastAsia="es-CR"/>
              </w:rPr>
              <w:t>Código</w:t>
            </w:r>
          </w:p>
        </w:tc>
        <w:tc>
          <w:tcPr>
            <w:tcW w:w="2068" w:type="dxa"/>
            <w:shd w:val="clear" w:color="000000" w:fill="44546A"/>
            <w:noWrap/>
            <w:vAlign w:val="center"/>
            <w:hideMark/>
          </w:tcPr>
          <w:p w14:paraId="0B210624" w14:textId="77777777" w:rsidR="00E8321A" w:rsidRPr="002C5174" w:rsidRDefault="00E8321A" w:rsidP="00B56C1A">
            <w:pPr>
              <w:spacing w:after="0" w:line="240" w:lineRule="auto"/>
              <w:jc w:val="center"/>
              <w:rPr>
                <w:rFonts w:ascii="Book Antiqua" w:eastAsia="Times New Roman" w:hAnsi="Book Antiqua" w:cs="Calibri"/>
                <w:b/>
                <w:bCs/>
                <w:color w:val="FFFFFF"/>
                <w:sz w:val="18"/>
                <w:szCs w:val="18"/>
                <w:lang w:eastAsia="es-CR"/>
              </w:rPr>
            </w:pPr>
            <w:r w:rsidRPr="002C5174">
              <w:rPr>
                <w:rFonts w:ascii="Book Antiqua" w:eastAsia="Times New Roman" w:hAnsi="Book Antiqua" w:cs="Calibri"/>
                <w:b/>
                <w:bCs/>
                <w:color w:val="FFFFFF"/>
                <w:sz w:val="18"/>
                <w:szCs w:val="18"/>
                <w:lang w:eastAsia="es-CR"/>
              </w:rPr>
              <w:t>Nombre</w:t>
            </w:r>
          </w:p>
        </w:tc>
        <w:tc>
          <w:tcPr>
            <w:tcW w:w="2693" w:type="dxa"/>
            <w:shd w:val="clear" w:color="000000" w:fill="44546A"/>
            <w:noWrap/>
            <w:vAlign w:val="center"/>
            <w:hideMark/>
          </w:tcPr>
          <w:p w14:paraId="0CF55372" w14:textId="77777777" w:rsidR="00E8321A" w:rsidRPr="002C5174" w:rsidRDefault="00E8321A" w:rsidP="00B56C1A">
            <w:pPr>
              <w:spacing w:after="0" w:line="240" w:lineRule="auto"/>
              <w:jc w:val="center"/>
              <w:rPr>
                <w:rFonts w:ascii="Book Antiqua" w:eastAsia="Times New Roman" w:hAnsi="Book Antiqua" w:cs="Calibri"/>
                <w:b/>
                <w:bCs/>
                <w:color w:val="FFFFFF"/>
                <w:sz w:val="18"/>
                <w:szCs w:val="18"/>
                <w:lang w:eastAsia="es-CR"/>
              </w:rPr>
            </w:pPr>
            <w:r w:rsidRPr="002C5174">
              <w:rPr>
                <w:rFonts w:ascii="Book Antiqua" w:eastAsia="Times New Roman" w:hAnsi="Book Antiqua" w:cs="Calibri"/>
                <w:b/>
                <w:bCs/>
                <w:color w:val="FFFFFF"/>
                <w:sz w:val="18"/>
                <w:szCs w:val="18"/>
                <w:lang w:eastAsia="es-CR"/>
              </w:rPr>
              <w:t>Recomendación pendiente</w:t>
            </w:r>
          </w:p>
        </w:tc>
        <w:tc>
          <w:tcPr>
            <w:tcW w:w="942" w:type="dxa"/>
            <w:shd w:val="clear" w:color="000000" w:fill="44546A"/>
            <w:noWrap/>
            <w:vAlign w:val="center"/>
            <w:hideMark/>
          </w:tcPr>
          <w:p w14:paraId="3A8EF104" w14:textId="77777777" w:rsidR="00E8321A" w:rsidRPr="002C5174" w:rsidRDefault="00E8321A" w:rsidP="00B56C1A">
            <w:pPr>
              <w:spacing w:after="0" w:line="240" w:lineRule="auto"/>
              <w:jc w:val="center"/>
              <w:rPr>
                <w:rFonts w:ascii="Book Antiqua" w:eastAsia="Times New Roman" w:hAnsi="Book Antiqua" w:cs="Calibri"/>
                <w:b/>
                <w:bCs/>
                <w:color w:val="FFFFFF"/>
                <w:sz w:val="18"/>
                <w:szCs w:val="18"/>
                <w:lang w:eastAsia="es-CR"/>
              </w:rPr>
            </w:pPr>
            <w:r w:rsidRPr="002C5174">
              <w:rPr>
                <w:rFonts w:ascii="Book Antiqua" w:eastAsia="Times New Roman" w:hAnsi="Book Antiqua" w:cs="Calibri"/>
                <w:b/>
                <w:bCs/>
                <w:color w:val="FFFFFF"/>
                <w:sz w:val="18"/>
                <w:szCs w:val="18"/>
                <w:lang w:eastAsia="es-CR"/>
              </w:rPr>
              <w:t>Capítulo del informe</w:t>
            </w:r>
          </w:p>
        </w:tc>
        <w:tc>
          <w:tcPr>
            <w:tcW w:w="911" w:type="dxa"/>
            <w:shd w:val="clear" w:color="000000" w:fill="44546A"/>
            <w:noWrap/>
            <w:vAlign w:val="center"/>
            <w:hideMark/>
          </w:tcPr>
          <w:p w14:paraId="18C0ED90" w14:textId="77777777" w:rsidR="00E8321A" w:rsidRPr="002C5174" w:rsidRDefault="00E8321A" w:rsidP="00B56C1A">
            <w:pPr>
              <w:spacing w:after="0" w:line="240" w:lineRule="auto"/>
              <w:jc w:val="center"/>
              <w:rPr>
                <w:rFonts w:ascii="Book Antiqua" w:eastAsia="Times New Roman" w:hAnsi="Book Antiqua" w:cs="Calibri"/>
                <w:b/>
                <w:bCs/>
                <w:color w:val="FFFFFF"/>
                <w:sz w:val="18"/>
                <w:szCs w:val="18"/>
                <w:lang w:eastAsia="es-CR"/>
              </w:rPr>
            </w:pPr>
            <w:r w:rsidRPr="002C5174">
              <w:rPr>
                <w:rFonts w:ascii="Book Antiqua" w:eastAsia="Times New Roman" w:hAnsi="Book Antiqua" w:cs="Calibri"/>
                <w:b/>
                <w:bCs/>
                <w:color w:val="FFFFFF"/>
                <w:sz w:val="18"/>
                <w:szCs w:val="18"/>
                <w:lang w:eastAsia="es-CR"/>
              </w:rPr>
              <w:t>Apartado del informe</w:t>
            </w:r>
          </w:p>
        </w:tc>
      </w:tr>
      <w:tr w:rsidR="007D35E8" w:rsidRPr="002C5174" w14:paraId="3C26D5E0" w14:textId="77777777" w:rsidTr="00B56C1A">
        <w:trPr>
          <w:trHeight w:val="330"/>
        </w:trPr>
        <w:tc>
          <w:tcPr>
            <w:tcW w:w="1470" w:type="dxa"/>
            <w:vMerge w:val="restart"/>
            <w:shd w:val="clear" w:color="auto" w:fill="auto"/>
            <w:noWrap/>
            <w:vAlign w:val="center"/>
            <w:hideMark/>
          </w:tcPr>
          <w:p w14:paraId="40C6BE18"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Organismo de Investigación Judicial</w:t>
            </w:r>
          </w:p>
        </w:tc>
        <w:tc>
          <w:tcPr>
            <w:tcW w:w="1817" w:type="dxa"/>
            <w:shd w:val="clear" w:color="auto" w:fill="auto"/>
            <w:noWrap/>
            <w:vAlign w:val="center"/>
            <w:hideMark/>
          </w:tcPr>
          <w:p w14:paraId="23778260"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0047 DEPARTAMENTO DE INVESTIGACIONES CRIMINALES</w:t>
            </w:r>
          </w:p>
        </w:tc>
        <w:tc>
          <w:tcPr>
            <w:tcW w:w="741" w:type="dxa"/>
            <w:shd w:val="clear" w:color="auto" w:fill="auto"/>
            <w:noWrap/>
            <w:vAlign w:val="center"/>
            <w:hideMark/>
          </w:tcPr>
          <w:p w14:paraId="3AD166AE"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1167-OIJ-P17</w:t>
            </w:r>
          </w:p>
        </w:tc>
        <w:tc>
          <w:tcPr>
            <w:tcW w:w="2068" w:type="dxa"/>
            <w:shd w:val="clear" w:color="auto" w:fill="auto"/>
            <w:noWrap/>
            <w:vAlign w:val="center"/>
            <w:hideMark/>
          </w:tcPr>
          <w:p w14:paraId="0E5CF7D5"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Acreditación ISO 17020 e ISO 17025 SIORI</w:t>
            </w:r>
          </w:p>
        </w:tc>
        <w:tc>
          <w:tcPr>
            <w:tcW w:w="2693" w:type="dxa"/>
            <w:shd w:val="clear" w:color="auto" w:fill="auto"/>
            <w:noWrap/>
            <w:vAlign w:val="center"/>
            <w:hideMark/>
          </w:tcPr>
          <w:p w14:paraId="1F9C58F5" w14:textId="77777777" w:rsidR="00E8321A" w:rsidRDefault="00E8321A" w:rsidP="00E24FCA">
            <w:pPr>
              <w:spacing w:after="0" w:line="240" w:lineRule="auto"/>
              <w:jc w:val="both"/>
              <w:rPr>
                <w:rFonts w:ascii="Book Antiqua" w:eastAsia="Times New Roman" w:hAnsi="Book Antiqua" w:cs="Calibri"/>
                <w:b/>
                <w:bCs/>
                <w:color w:val="000000"/>
                <w:sz w:val="18"/>
                <w:szCs w:val="18"/>
                <w:lang w:eastAsia="es-CR"/>
              </w:rPr>
            </w:pPr>
            <w:r w:rsidRPr="002C5174">
              <w:rPr>
                <w:rFonts w:ascii="Book Antiqua" w:eastAsia="Times New Roman" w:hAnsi="Book Antiqua" w:cs="Calibri"/>
                <w:color w:val="000000"/>
                <w:sz w:val="18"/>
                <w:szCs w:val="18"/>
                <w:lang w:eastAsia="es-CR"/>
              </w:rPr>
              <w:t xml:space="preserve">Producto de la solicitud de cambio del pendiente 18-4-23: </w:t>
            </w:r>
            <w:r w:rsidRPr="002C5174">
              <w:rPr>
                <w:rFonts w:ascii="Book Antiqua" w:eastAsia="Times New Roman" w:hAnsi="Book Antiqua" w:cs="Calibri"/>
                <w:b/>
                <w:bCs/>
                <w:color w:val="000000"/>
                <w:sz w:val="18"/>
                <w:szCs w:val="18"/>
                <w:lang w:eastAsia="es-CR"/>
              </w:rPr>
              <w:t xml:space="preserve"> </w:t>
            </w:r>
          </w:p>
          <w:p w14:paraId="4C0D79C8"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2C5174">
              <w:rPr>
                <w:rFonts w:ascii="Book Antiqua" w:eastAsia="Times New Roman" w:hAnsi="Book Antiqua" w:cs="Calibri"/>
                <w:b/>
                <w:bCs/>
                <w:color w:val="000000"/>
                <w:sz w:val="18"/>
                <w:szCs w:val="18"/>
                <w:lang w:eastAsia="es-CR"/>
              </w:rPr>
              <w:t>Estudio de factibilidad:</w:t>
            </w:r>
            <w:r w:rsidRPr="002C5174">
              <w:rPr>
                <w:rFonts w:ascii="Book Antiqua" w:eastAsia="Times New Roman" w:hAnsi="Book Antiqua" w:cs="Calibri"/>
                <w:color w:val="000000"/>
                <w:sz w:val="18"/>
                <w:szCs w:val="18"/>
                <w:lang w:eastAsia="es-CR"/>
              </w:rPr>
              <w:t xml:space="preserve"> el costo de inversión no coincide con acta de constitución y plan de gestión, el costo de operación corresponde al costo que se incurre una vez concluido el proyecto no durante su ejecución, verificar el SROI porque se está contemplando costos de inversión y de operación y solamente es costo de inversión.</w:t>
            </w:r>
          </w:p>
          <w:p w14:paraId="3C05D223" w14:textId="77777777" w:rsidR="00E8321A" w:rsidRPr="002C5174" w:rsidRDefault="00E8321A" w:rsidP="00E24FCA">
            <w:pPr>
              <w:spacing w:after="0" w:line="240" w:lineRule="auto"/>
              <w:jc w:val="both"/>
              <w:rPr>
                <w:rFonts w:ascii="Book Antiqua" w:eastAsia="Times New Roman" w:hAnsi="Book Antiqua" w:cs="Calibri"/>
                <w:color w:val="000000"/>
                <w:sz w:val="18"/>
                <w:szCs w:val="18"/>
                <w:lang w:eastAsia="es-CR"/>
              </w:rPr>
            </w:pPr>
            <w:r w:rsidRPr="002C5174">
              <w:rPr>
                <w:rFonts w:ascii="Book Antiqua" w:eastAsia="Times New Roman" w:hAnsi="Book Antiqua" w:cs="Calibri"/>
                <w:b/>
                <w:bCs/>
                <w:color w:val="000000"/>
                <w:sz w:val="18"/>
                <w:szCs w:val="18"/>
                <w:lang w:eastAsia="es-CR"/>
              </w:rPr>
              <w:t xml:space="preserve">Plan de gestión: </w:t>
            </w:r>
            <w:r w:rsidRPr="002C5174">
              <w:rPr>
                <w:rFonts w:ascii="Book Antiqua" w:eastAsia="Times New Roman" w:hAnsi="Book Antiqua" w:cs="Calibri"/>
                <w:color w:val="000000"/>
                <w:sz w:val="18"/>
                <w:szCs w:val="18"/>
                <w:lang w:eastAsia="es-CR"/>
              </w:rPr>
              <w:t xml:space="preserve"> el diagrama de la EDT no se encuentra; el cronograma debe incluirse en </w:t>
            </w:r>
            <w:r w:rsidRPr="002C5174">
              <w:rPr>
                <w:rFonts w:ascii="Book Antiqua" w:eastAsia="Times New Roman" w:hAnsi="Book Antiqua" w:cs="Calibri"/>
                <w:color w:val="000000"/>
                <w:sz w:val="18"/>
                <w:szCs w:val="18"/>
                <w:lang w:eastAsia="es-CR"/>
              </w:rPr>
              <w:lastRenderedPageBreak/>
              <w:t>PDF, o anexarse en la carpeta para que muestre completo; el apartado de presupuesto del proyecto contiene datos que no coinciden con acta de constitución y estudio de factibilidad.</w:t>
            </w:r>
          </w:p>
        </w:tc>
        <w:tc>
          <w:tcPr>
            <w:tcW w:w="942" w:type="dxa"/>
            <w:shd w:val="clear" w:color="auto" w:fill="auto"/>
            <w:noWrap/>
            <w:vAlign w:val="center"/>
            <w:hideMark/>
          </w:tcPr>
          <w:p w14:paraId="465B5272"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lastRenderedPageBreak/>
              <w:t>Capítulo 2</w:t>
            </w:r>
          </w:p>
        </w:tc>
        <w:tc>
          <w:tcPr>
            <w:tcW w:w="911" w:type="dxa"/>
            <w:shd w:val="clear" w:color="auto" w:fill="auto"/>
            <w:noWrap/>
            <w:vAlign w:val="center"/>
            <w:hideMark/>
          </w:tcPr>
          <w:p w14:paraId="3876AF10"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2.3</w:t>
            </w:r>
          </w:p>
        </w:tc>
      </w:tr>
      <w:tr w:rsidR="007D35E8" w:rsidRPr="002C5174" w14:paraId="1D7176EA" w14:textId="77777777" w:rsidTr="00B56C1A">
        <w:trPr>
          <w:trHeight w:val="330"/>
        </w:trPr>
        <w:tc>
          <w:tcPr>
            <w:tcW w:w="1470" w:type="dxa"/>
            <w:vMerge/>
            <w:shd w:val="clear" w:color="auto" w:fill="auto"/>
            <w:vAlign w:val="center"/>
            <w:hideMark/>
          </w:tcPr>
          <w:p w14:paraId="38E7BCC8"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17" w:type="dxa"/>
            <w:shd w:val="clear" w:color="auto" w:fill="auto"/>
            <w:noWrap/>
            <w:vAlign w:val="center"/>
            <w:hideMark/>
          </w:tcPr>
          <w:p w14:paraId="2D42064B"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0078 DEPARTAMENTO DE MEDICINA LEGAL</w:t>
            </w:r>
          </w:p>
        </w:tc>
        <w:tc>
          <w:tcPr>
            <w:tcW w:w="741" w:type="dxa"/>
            <w:shd w:val="clear" w:color="auto" w:fill="auto"/>
            <w:noWrap/>
            <w:vAlign w:val="center"/>
            <w:hideMark/>
          </w:tcPr>
          <w:p w14:paraId="58F84994"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1167-OIJ-P02</w:t>
            </w:r>
          </w:p>
        </w:tc>
        <w:tc>
          <w:tcPr>
            <w:tcW w:w="2068" w:type="dxa"/>
            <w:shd w:val="clear" w:color="auto" w:fill="auto"/>
            <w:noWrap/>
            <w:vAlign w:val="center"/>
            <w:hideMark/>
          </w:tcPr>
          <w:p w14:paraId="482BA6E8"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Reacondicionamiento de la Morgue Judicial</w:t>
            </w:r>
          </w:p>
        </w:tc>
        <w:tc>
          <w:tcPr>
            <w:tcW w:w="2693" w:type="dxa"/>
            <w:shd w:val="clear" w:color="auto" w:fill="auto"/>
            <w:noWrap/>
            <w:vAlign w:val="center"/>
            <w:hideMark/>
          </w:tcPr>
          <w:p w14:paraId="4DAEDA96"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 xml:space="preserve">Producto de la solicitud de cambio del pendiente 28-4-23: </w:t>
            </w:r>
          </w:p>
          <w:p w14:paraId="48049132"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2C5174">
              <w:rPr>
                <w:rFonts w:ascii="Book Antiqua" w:eastAsia="Times New Roman" w:hAnsi="Book Antiqua" w:cs="Calibri"/>
                <w:b/>
                <w:bCs/>
                <w:color w:val="000000"/>
                <w:sz w:val="18"/>
                <w:szCs w:val="18"/>
                <w:lang w:eastAsia="es-CR"/>
              </w:rPr>
              <w:t>Estudio de factibilidad:</w:t>
            </w:r>
            <w:r w:rsidRPr="002C5174">
              <w:rPr>
                <w:rFonts w:ascii="Book Antiqua" w:eastAsia="Times New Roman" w:hAnsi="Book Antiqua" w:cs="Calibri"/>
                <w:color w:val="000000"/>
                <w:sz w:val="18"/>
                <w:szCs w:val="18"/>
                <w:lang w:eastAsia="es-CR"/>
              </w:rPr>
              <w:t xml:space="preserve"> el costo de inversión se debe revisar porque no coincida con el plan de gestión verificar aspectos del recurso humano. </w:t>
            </w:r>
          </w:p>
          <w:p w14:paraId="724309CC"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2C5174">
              <w:rPr>
                <w:rFonts w:ascii="Book Antiqua" w:eastAsia="Times New Roman" w:hAnsi="Book Antiqua" w:cs="Calibri"/>
                <w:b/>
                <w:bCs/>
                <w:color w:val="000000"/>
                <w:sz w:val="18"/>
                <w:szCs w:val="18"/>
                <w:lang w:eastAsia="es-CR"/>
              </w:rPr>
              <w:t>Acta de constitución:</w:t>
            </w:r>
            <w:r w:rsidRPr="002C5174">
              <w:rPr>
                <w:rFonts w:ascii="Book Antiqua" w:eastAsia="Times New Roman" w:hAnsi="Book Antiqua" w:cs="Calibri"/>
                <w:color w:val="000000"/>
                <w:sz w:val="18"/>
                <w:szCs w:val="18"/>
                <w:lang w:eastAsia="es-CR"/>
              </w:rPr>
              <w:t xml:space="preserve"> los recursos del proyecto deben coincidir con el plan de gestión verificar aspectos del recurso humano. </w:t>
            </w:r>
          </w:p>
          <w:p w14:paraId="10DBC0C3" w14:textId="77777777" w:rsidR="00E8321A" w:rsidRPr="002C5174" w:rsidRDefault="00E8321A" w:rsidP="00E24FCA">
            <w:pPr>
              <w:spacing w:after="0" w:line="240" w:lineRule="auto"/>
              <w:jc w:val="both"/>
              <w:rPr>
                <w:rFonts w:ascii="Book Antiqua" w:eastAsia="Times New Roman" w:hAnsi="Book Antiqua" w:cs="Calibri"/>
                <w:color w:val="000000"/>
                <w:sz w:val="18"/>
                <w:szCs w:val="18"/>
                <w:lang w:eastAsia="es-CR"/>
              </w:rPr>
            </w:pPr>
            <w:r w:rsidRPr="002C5174">
              <w:rPr>
                <w:rFonts w:ascii="Book Antiqua" w:eastAsia="Times New Roman" w:hAnsi="Book Antiqua" w:cs="Calibri"/>
                <w:b/>
                <w:bCs/>
                <w:color w:val="000000"/>
                <w:sz w:val="18"/>
                <w:szCs w:val="18"/>
                <w:lang w:eastAsia="es-CR"/>
              </w:rPr>
              <w:t>Plan de gestión:</w:t>
            </w:r>
            <w:r w:rsidRPr="002C5174">
              <w:rPr>
                <w:rFonts w:ascii="Book Antiqua" w:eastAsia="Times New Roman" w:hAnsi="Book Antiqua" w:cs="Calibri"/>
                <w:color w:val="000000"/>
                <w:sz w:val="18"/>
                <w:szCs w:val="18"/>
                <w:lang w:eastAsia="es-CR"/>
              </w:rPr>
              <w:t xml:space="preserve"> en el apartado de presupuesto se debe revisar porque en costos se incluyen recurso humano y posteriormente se incluye de nuevo el recurso humano en punto 6.2 y por lo tanto no coincide los costos con el acta de constitución ni el estudio de factibilidad.</w:t>
            </w:r>
          </w:p>
        </w:tc>
        <w:tc>
          <w:tcPr>
            <w:tcW w:w="942" w:type="dxa"/>
            <w:shd w:val="clear" w:color="auto" w:fill="auto"/>
            <w:noWrap/>
            <w:vAlign w:val="center"/>
            <w:hideMark/>
          </w:tcPr>
          <w:p w14:paraId="597EB0CF"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Capítulo 2</w:t>
            </w:r>
          </w:p>
        </w:tc>
        <w:tc>
          <w:tcPr>
            <w:tcW w:w="911" w:type="dxa"/>
            <w:shd w:val="clear" w:color="auto" w:fill="auto"/>
            <w:noWrap/>
            <w:vAlign w:val="center"/>
            <w:hideMark/>
          </w:tcPr>
          <w:p w14:paraId="6C51E956"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2.3</w:t>
            </w:r>
          </w:p>
        </w:tc>
      </w:tr>
      <w:tr w:rsidR="007E6FC1" w:rsidRPr="002C5174" w14:paraId="560D29BD" w14:textId="77777777" w:rsidTr="00B56C1A">
        <w:trPr>
          <w:trHeight w:val="330"/>
        </w:trPr>
        <w:tc>
          <w:tcPr>
            <w:tcW w:w="1470" w:type="dxa"/>
            <w:vMerge/>
            <w:vAlign w:val="center"/>
            <w:hideMark/>
          </w:tcPr>
          <w:p w14:paraId="24EBAD6D"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17" w:type="dxa"/>
            <w:vMerge w:val="restart"/>
            <w:shd w:val="clear" w:color="F2F2F2" w:fill="FFFFFF"/>
            <w:noWrap/>
            <w:vAlign w:val="center"/>
            <w:hideMark/>
          </w:tcPr>
          <w:p w14:paraId="0068EDD7"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0083 DEPARTAMENTO DE LABORATORIO DE CIENCIAS FORENSES</w:t>
            </w:r>
          </w:p>
        </w:tc>
        <w:tc>
          <w:tcPr>
            <w:tcW w:w="741" w:type="dxa"/>
            <w:shd w:val="clear" w:color="auto" w:fill="auto"/>
            <w:noWrap/>
            <w:vAlign w:val="center"/>
            <w:hideMark/>
          </w:tcPr>
          <w:p w14:paraId="54791045"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1167-OIJ-P23</w:t>
            </w:r>
          </w:p>
        </w:tc>
        <w:tc>
          <w:tcPr>
            <w:tcW w:w="2068" w:type="dxa"/>
            <w:shd w:val="clear" w:color="auto" w:fill="auto"/>
            <w:noWrap/>
            <w:vAlign w:val="center"/>
            <w:hideMark/>
          </w:tcPr>
          <w:p w14:paraId="437205A1"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Implementar y validar dos metodologías de análisis de material vegetal sospechoso para distinguir entre cáñamo y marihuana</w:t>
            </w:r>
          </w:p>
        </w:tc>
        <w:tc>
          <w:tcPr>
            <w:tcW w:w="2693" w:type="dxa"/>
            <w:shd w:val="clear" w:color="auto" w:fill="auto"/>
            <w:noWrap/>
            <w:vAlign w:val="center"/>
            <w:hideMark/>
          </w:tcPr>
          <w:p w14:paraId="084EBC32"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 xml:space="preserve">Producto de la solicitud de cambio del pendiente 27-2-23 y 28-4-23: </w:t>
            </w:r>
            <w:r w:rsidRPr="002C5174">
              <w:rPr>
                <w:rFonts w:ascii="Book Antiqua" w:eastAsia="Times New Roman" w:hAnsi="Book Antiqua" w:cs="Calibri"/>
                <w:b/>
                <w:bCs/>
                <w:color w:val="000000"/>
                <w:sz w:val="18"/>
                <w:szCs w:val="18"/>
                <w:lang w:eastAsia="es-CR"/>
              </w:rPr>
              <w:t>Plan de gestión:</w:t>
            </w:r>
            <w:r w:rsidRPr="002C5174">
              <w:rPr>
                <w:rFonts w:ascii="Book Antiqua" w:eastAsia="Times New Roman" w:hAnsi="Book Antiqua" w:cs="Calibri"/>
                <w:color w:val="000000"/>
                <w:sz w:val="18"/>
                <w:szCs w:val="18"/>
                <w:lang w:eastAsia="es-CR"/>
              </w:rPr>
              <w:t xml:space="preserve"> fecha de finalización no concuerda con cronograma; el diagrama de la EDT debe contener todas las fases y los entregables de estas; el cronograma esta desactualizado además se debe incluirse en PDF, o anexarse en la carpeta para que muestre completo. </w:t>
            </w:r>
            <w:r w:rsidRPr="002C5174">
              <w:rPr>
                <w:rFonts w:ascii="Book Antiqua" w:eastAsia="Times New Roman" w:hAnsi="Book Antiqua" w:cs="Calibri"/>
                <w:b/>
                <w:bCs/>
                <w:color w:val="000000"/>
                <w:sz w:val="18"/>
                <w:szCs w:val="18"/>
                <w:lang w:eastAsia="es-CR"/>
              </w:rPr>
              <w:t>Estudio de factibilidad</w:t>
            </w:r>
            <w:r w:rsidRPr="002C5174">
              <w:rPr>
                <w:rFonts w:ascii="Book Antiqua" w:eastAsia="Times New Roman" w:hAnsi="Book Antiqua" w:cs="Calibri"/>
                <w:color w:val="000000"/>
                <w:sz w:val="18"/>
                <w:szCs w:val="18"/>
                <w:lang w:eastAsia="es-CR"/>
              </w:rPr>
              <w:t xml:space="preserve">: tiempo estimado no concuerda con cronograma. </w:t>
            </w:r>
          </w:p>
          <w:p w14:paraId="4F968150" w14:textId="77777777" w:rsidR="00E8321A" w:rsidRPr="002C5174" w:rsidRDefault="00E8321A" w:rsidP="00E24FCA">
            <w:pPr>
              <w:spacing w:after="0" w:line="240" w:lineRule="auto"/>
              <w:jc w:val="both"/>
              <w:rPr>
                <w:rFonts w:ascii="Book Antiqua" w:eastAsia="Times New Roman" w:hAnsi="Book Antiqua" w:cs="Calibri"/>
                <w:color w:val="000000"/>
                <w:sz w:val="18"/>
                <w:szCs w:val="18"/>
                <w:lang w:eastAsia="es-CR"/>
              </w:rPr>
            </w:pPr>
            <w:r w:rsidRPr="002C5174">
              <w:rPr>
                <w:rFonts w:ascii="Book Antiqua" w:eastAsia="Times New Roman" w:hAnsi="Book Antiqua" w:cs="Calibri"/>
                <w:b/>
                <w:bCs/>
                <w:color w:val="000000"/>
                <w:sz w:val="18"/>
                <w:szCs w:val="18"/>
                <w:lang w:eastAsia="es-CR"/>
              </w:rPr>
              <w:t>Acta de constitución:</w:t>
            </w:r>
            <w:r w:rsidRPr="002C5174">
              <w:rPr>
                <w:rFonts w:ascii="Book Antiqua" w:eastAsia="Times New Roman" w:hAnsi="Book Antiqua" w:cs="Calibri"/>
                <w:color w:val="000000"/>
                <w:sz w:val="18"/>
                <w:szCs w:val="18"/>
                <w:lang w:eastAsia="es-CR"/>
              </w:rPr>
              <w:t xml:space="preserve">  fecha de finalización no concuerda con cronograma</w:t>
            </w:r>
          </w:p>
        </w:tc>
        <w:tc>
          <w:tcPr>
            <w:tcW w:w="942" w:type="dxa"/>
            <w:shd w:val="clear" w:color="auto" w:fill="auto"/>
            <w:noWrap/>
            <w:vAlign w:val="center"/>
            <w:hideMark/>
          </w:tcPr>
          <w:p w14:paraId="5BEBA7E9"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Capítulo 2</w:t>
            </w:r>
          </w:p>
        </w:tc>
        <w:tc>
          <w:tcPr>
            <w:tcW w:w="911" w:type="dxa"/>
            <w:shd w:val="clear" w:color="auto" w:fill="auto"/>
            <w:noWrap/>
            <w:vAlign w:val="center"/>
            <w:hideMark/>
          </w:tcPr>
          <w:p w14:paraId="7A958B47"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2.3</w:t>
            </w:r>
          </w:p>
        </w:tc>
      </w:tr>
      <w:tr w:rsidR="007D35E8" w:rsidRPr="002C5174" w14:paraId="17A4899D" w14:textId="77777777" w:rsidTr="00B56C1A">
        <w:trPr>
          <w:trHeight w:val="300"/>
        </w:trPr>
        <w:tc>
          <w:tcPr>
            <w:tcW w:w="1470" w:type="dxa"/>
            <w:vMerge/>
            <w:vAlign w:val="center"/>
            <w:hideMark/>
          </w:tcPr>
          <w:p w14:paraId="520716BE"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17" w:type="dxa"/>
            <w:vMerge/>
            <w:vAlign w:val="center"/>
            <w:hideMark/>
          </w:tcPr>
          <w:p w14:paraId="7500641E"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shd w:val="clear" w:color="000000" w:fill="FFFFFF"/>
            <w:noWrap/>
            <w:vAlign w:val="center"/>
            <w:hideMark/>
          </w:tcPr>
          <w:p w14:paraId="2B0DBEB9"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1167-OIJ-P33</w:t>
            </w:r>
          </w:p>
        </w:tc>
        <w:tc>
          <w:tcPr>
            <w:tcW w:w="2068" w:type="dxa"/>
            <w:shd w:val="clear" w:color="000000" w:fill="FFFFFF"/>
            <w:noWrap/>
            <w:vAlign w:val="center"/>
            <w:hideMark/>
          </w:tcPr>
          <w:p w14:paraId="495A815E"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Construcción de bodega en el Departamento de Ciencias Forenses</w:t>
            </w:r>
          </w:p>
        </w:tc>
        <w:tc>
          <w:tcPr>
            <w:tcW w:w="2693" w:type="dxa"/>
            <w:shd w:val="clear" w:color="000000" w:fill="FFFFFF"/>
            <w:noWrap/>
            <w:vAlign w:val="center"/>
            <w:hideMark/>
          </w:tcPr>
          <w:p w14:paraId="3021DBE6"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 xml:space="preserve">Se debe corregir </w:t>
            </w:r>
          </w:p>
          <w:p w14:paraId="1DFDDDD9"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2C5174">
              <w:rPr>
                <w:rFonts w:ascii="Book Antiqua" w:eastAsia="Times New Roman" w:hAnsi="Book Antiqua" w:cs="Calibri"/>
                <w:b/>
                <w:bCs/>
                <w:color w:val="000000"/>
                <w:sz w:val="18"/>
                <w:szCs w:val="18"/>
                <w:lang w:eastAsia="es-CR"/>
              </w:rPr>
              <w:t>Acta de constitución:</w:t>
            </w:r>
            <w:r w:rsidRPr="002C5174">
              <w:rPr>
                <w:rFonts w:ascii="Book Antiqua" w:eastAsia="Times New Roman" w:hAnsi="Book Antiqua" w:cs="Calibri"/>
                <w:color w:val="000000"/>
                <w:sz w:val="18"/>
                <w:szCs w:val="18"/>
                <w:lang w:eastAsia="es-CR"/>
              </w:rPr>
              <w:t xml:space="preserve"> Cronograma de alto nivel Se debe elaborar un cronograma </w:t>
            </w:r>
            <w:r w:rsidRPr="002C5174">
              <w:rPr>
                <w:rFonts w:ascii="Book Antiqua" w:eastAsia="Times New Roman" w:hAnsi="Book Antiqua" w:cs="Calibri"/>
                <w:color w:val="000000"/>
                <w:sz w:val="18"/>
                <w:szCs w:val="18"/>
                <w:lang w:eastAsia="es-CR"/>
              </w:rPr>
              <w:lastRenderedPageBreak/>
              <w:t xml:space="preserve">que permita visualizar los entregables principales solamente por año o mes según sea el caso. Recursos del proyecto: Este apartado debe coincidir con los montos indicando en el estudio de factibilidad en el apartado de costo de inversión. Equipo de trabajo del proyecto: En este apartado falta indicar el administrador del proyecto. </w:t>
            </w:r>
          </w:p>
          <w:p w14:paraId="2F3498C3" w14:textId="77777777" w:rsidR="00E8321A" w:rsidRPr="002C5174" w:rsidRDefault="00E8321A" w:rsidP="00E24FCA">
            <w:pPr>
              <w:spacing w:after="0" w:line="240" w:lineRule="auto"/>
              <w:jc w:val="both"/>
              <w:rPr>
                <w:rFonts w:ascii="Book Antiqua" w:eastAsia="Times New Roman" w:hAnsi="Book Antiqua" w:cs="Calibri"/>
                <w:color w:val="000000"/>
                <w:sz w:val="18"/>
                <w:szCs w:val="18"/>
                <w:lang w:eastAsia="es-CR"/>
              </w:rPr>
            </w:pPr>
            <w:r w:rsidRPr="002C5174">
              <w:rPr>
                <w:rFonts w:ascii="Book Antiqua" w:eastAsia="Times New Roman" w:hAnsi="Book Antiqua" w:cs="Calibri"/>
                <w:b/>
                <w:bCs/>
                <w:color w:val="000000"/>
                <w:sz w:val="18"/>
                <w:szCs w:val="18"/>
                <w:lang w:eastAsia="es-CR"/>
              </w:rPr>
              <w:t>Plan de gestión:</w:t>
            </w:r>
            <w:r w:rsidRPr="002C5174">
              <w:rPr>
                <w:rFonts w:ascii="Book Antiqua" w:eastAsia="Times New Roman" w:hAnsi="Book Antiqua" w:cs="Calibri"/>
                <w:color w:val="000000"/>
                <w:sz w:val="18"/>
                <w:szCs w:val="18"/>
                <w:lang w:eastAsia="es-CR"/>
              </w:rPr>
              <w:t xml:space="preserve"> Detalle del presupuesto del proyecto En el cuadro se debe corregir el primer punto porque dice 3.3 y no 3.1 y se debe corregir el diagrama con la EDT, porque no empieza en 3.1 el primer entregable. Detalle del presupuesto del proyecto: Este apartado debe coincidir con los montos indicando en el estudio de factibilidad en el apartado de costo de inversión.</w:t>
            </w:r>
          </w:p>
        </w:tc>
        <w:tc>
          <w:tcPr>
            <w:tcW w:w="942" w:type="dxa"/>
            <w:shd w:val="clear" w:color="auto" w:fill="auto"/>
            <w:noWrap/>
            <w:vAlign w:val="center"/>
            <w:hideMark/>
          </w:tcPr>
          <w:p w14:paraId="0FD53CE5"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lastRenderedPageBreak/>
              <w:t>Capítulo 1</w:t>
            </w:r>
          </w:p>
        </w:tc>
        <w:tc>
          <w:tcPr>
            <w:tcW w:w="911" w:type="dxa"/>
            <w:shd w:val="clear" w:color="auto" w:fill="auto"/>
            <w:noWrap/>
            <w:vAlign w:val="center"/>
            <w:hideMark/>
          </w:tcPr>
          <w:p w14:paraId="028DDEAF"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1.20</w:t>
            </w:r>
          </w:p>
        </w:tc>
      </w:tr>
      <w:tr w:rsidR="007D35E8" w:rsidRPr="002C5174" w14:paraId="774C8C7D" w14:textId="77777777" w:rsidTr="00B56C1A">
        <w:trPr>
          <w:trHeight w:val="315"/>
        </w:trPr>
        <w:tc>
          <w:tcPr>
            <w:tcW w:w="1470" w:type="dxa"/>
            <w:vMerge/>
            <w:vAlign w:val="center"/>
            <w:hideMark/>
          </w:tcPr>
          <w:p w14:paraId="1E3FFBB2"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17" w:type="dxa"/>
            <w:vMerge/>
            <w:vAlign w:val="center"/>
            <w:hideMark/>
          </w:tcPr>
          <w:p w14:paraId="17A793DD"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shd w:val="clear" w:color="000000" w:fill="FFFFFF"/>
            <w:noWrap/>
            <w:vAlign w:val="center"/>
            <w:hideMark/>
          </w:tcPr>
          <w:p w14:paraId="12E0419B"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1167-OIJ-P34</w:t>
            </w:r>
          </w:p>
        </w:tc>
        <w:tc>
          <w:tcPr>
            <w:tcW w:w="2068" w:type="dxa"/>
            <w:shd w:val="clear" w:color="000000" w:fill="FFFFFF"/>
            <w:noWrap/>
            <w:vAlign w:val="center"/>
            <w:hideMark/>
          </w:tcPr>
          <w:p w14:paraId="40419340"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Sustitución del sistema de detección y supresión de incendios del edificio del Departamento de Ciencias Forenses</w:t>
            </w:r>
          </w:p>
        </w:tc>
        <w:tc>
          <w:tcPr>
            <w:tcW w:w="2693" w:type="dxa"/>
            <w:shd w:val="clear" w:color="auto" w:fill="auto"/>
            <w:noWrap/>
            <w:vAlign w:val="center"/>
            <w:hideMark/>
          </w:tcPr>
          <w:p w14:paraId="2EBAE414"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337B11">
              <w:rPr>
                <w:rFonts w:ascii="Book Antiqua" w:eastAsia="Times New Roman" w:hAnsi="Book Antiqua" w:cs="Calibri"/>
                <w:color w:val="000000"/>
                <w:sz w:val="18"/>
                <w:szCs w:val="18"/>
                <w:lang w:eastAsia="es-CR"/>
              </w:rPr>
              <w:t>Pendiente solicitud de cambio para notificar formalmente la suspensión del proyecto</w:t>
            </w:r>
          </w:p>
        </w:tc>
        <w:tc>
          <w:tcPr>
            <w:tcW w:w="942" w:type="dxa"/>
            <w:shd w:val="clear" w:color="auto" w:fill="auto"/>
            <w:noWrap/>
            <w:vAlign w:val="center"/>
            <w:hideMark/>
          </w:tcPr>
          <w:p w14:paraId="52CCA756"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Capítulo 1</w:t>
            </w:r>
          </w:p>
        </w:tc>
        <w:tc>
          <w:tcPr>
            <w:tcW w:w="911" w:type="dxa"/>
            <w:shd w:val="clear" w:color="auto" w:fill="auto"/>
            <w:noWrap/>
            <w:vAlign w:val="center"/>
            <w:hideMark/>
          </w:tcPr>
          <w:p w14:paraId="103C6071"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1.20</w:t>
            </w:r>
          </w:p>
        </w:tc>
      </w:tr>
      <w:tr w:rsidR="007D35E8" w:rsidRPr="002C5174" w14:paraId="6091E697" w14:textId="77777777" w:rsidTr="00B56C1A">
        <w:trPr>
          <w:trHeight w:val="315"/>
        </w:trPr>
        <w:tc>
          <w:tcPr>
            <w:tcW w:w="1470" w:type="dxa"/>
            <w:vMerge/>
            <w:vAlign w:val="center"/>
            <w:hideMark/>
          </w:tcPr>
          <w:p w14:paraId="4EB69584"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17" w:type="dxa"/>
            <w:vMerge/>
            <w:vAlign w:val="center"/>
            <w:hideMark/>
          </w:tcPr>
          <w:p w14:paraId="4D92B767"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shd w:val="clear" w:color="auto" w:fill="auto"/>
            <w:noWrap/>
            <w:vAlign w:val="center"/>
            <w:hideMark/>
          </w:tcPr>
          <w:p w14:paraId="1092CB14"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1167-OIJ-P50</w:t>
            </w:r>
          </w:p>
        </w:tc>
        <w:tc>
          <w:tcPr>
            <w:tcW w:w="2068" w:type="dxa"/>
            <w:shd w:val="clear" w:color="auto" w:fill="auto"/>
            <w:noWrap/>
            <w:vAlign w:val="center"/>
            <w:hideMark/>
          </w:tcPr>
          <w:p w14:paraId="6A857DE1"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Extensión de los alcances y beneficios de la pericia de Comparación biométrica de voces y fortalecimiento del área pericial</w:t>
            </w:r>
          </w:p>
        </w:tc>
        <w:tc>
          <w:tcPr>
            <w:tcW w:w="2693" w:type="dxa"/>
            <w:shd w:val="clear" w:color="auto" w:fill="auto"/>
            <w:noWrap/>
            <w:vAlign w:val="center"/>
            <w:hideMark/>
          </w:tcPr>
          <w:p w14:paraId="1E3B02BF" w14:textId="77777777" w:rsidR="00E8321A" w:rsidRPr="002C5174" w:rsidRDefault="00E8321A" w:rsidP="00E24FCA">
            <w:pPr>
              <w:spacing w:after="0" w:line="240" w:lineRule="auto"/>
              <w:jc w:val="both"/>
              <w:rPr>
                <w:rFonts w:ascii="Book Antiqua" w:eastAsia="Times New Roman" w:hAnsi="Book Antiqua" w:cs="Calibri"/>
                <w:b/>
                <w:bCs/>
                <w:color w:val="444444"/>
                <w:sz w:val="18"/>
                <w:szCs w:val="18"/>
                <w:lang w:eastAsia="es-CR"/>
              </w:rPr>
            </w:pPr>
            <w:r w:rsidRPr="002C5174">
              <w:rPr>
                <w:rFonts w:ascii="Book Antiqua" w:eastAsia="Times New Roman" w:hAnsi="Book Antiqua" w:cs="Calibri"/>
                <w:b/>
                <w:bCs/>
                <w:color w:val="444444"/>
                <w:sz w:val="18"/>
                <w:szCs w:val="18"/>
                <w:lang w:eastAsia="es-CR"/>
              </w:rPr>
              <w:t>No se corrigió el informe de avance de diciembre</w:t>
            </w:r>
            <w:r w:rsidRPr="002C5174">
              <w:rPr>
                <w:rFonts w:ascii="Book Antiqua" w:eastAsia="Times New Roman" w:hAnsi="Book Antiqua" w:cs="Calibri"/>
                <w:b/>
                <w:bCs/>
                <w:color w:val="000000"/>
                <w:sz w:val="18"/>
                <w:szCs w:val="18"/>
                <w:lang w:eastAsia="es-CR"/>
              </w:rPr>
              <w:t xml:space="preserve"> presentaba incorrecto el porcentaje esperado</w:t>
            </w:r>
            <w:r w:rsidRPr="002C5174">
              <w:rPr>
                <w:rFonts w:ascii="Book Antiqua" w:eastAsia="Times New Roman" w:hAnsi="Book Antiqua" w:cs="Calibri"/>
                <w:b/>
                <w:bCs/>
                <w:color w:val="444444"/>
                <w:sz w:val="18"/>
                <w:szCs w:val="18"/>
                <w:lang w:eastAsia="es-CR"/>
              </w:rPr>
              <w:t>, ni se justifica los motivos por los cuales no se corrige el informe.</w:t>
            </w:r>
          </w:p>
        </w:tc>
        <w:tc>
          <w:tcPr>
            <w:tcW w:w="942" w:type="dxa"/>
            <w:shd w:val="clear" w:color="auto" w:fill="auto"/>
            <w:noWrap/>
            <w:vAlign w:val="center"/>
            <w:hideMark/>
          </w:tcPr>
          <w:p w14:paraId="58E52357"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Capítulo 1</w:t>
            </w:r>
          </w:p>
        </w:tc>
        <w:tc>
          <w:tcPr>
            <w:tcW w:w="911" w:type="dxa"/>
            <w:shd w:val="clear" w:color="auto" w:fill="auto"/>
            <w:noWrap/>
            <w:vAlign w:val="center"/>
            <w:hideMark/>
          </w:tcPr>
          <w:p w14:paraId="6989A528"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1.20</w:t>
            </w:r>
          </w:p>
        </w:tc>
      </w:tr>
      <w:tr w:rsidR="007D35E8" w:rsidRPr="002C5174" w14:paraId="4C2FA653" w14:textId="77777777" w:rsidTr="00B56C1A">
        <w:trPr>
          <w:trHeight w:val="315"/>
        </w:trPr>
        <w:tc>
          <w:tcPr>
            <w:tcW w:w="1470" w:type="dxa"/>
            <w:vMerge/>
            <w:vAlign w:val="center"/>
            <w:hideMark/>
          </w:tcPr>
          <w:p w14:paraId="584820BF"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17" w:type="dxa"/>
            <w:vMerge/>
            <w:vAlign w:val="center"/>
            <w:hideMark/>
          </w:tcPr>
          <w:p w14:paraId="621D1CD2"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shd w:val="clear" w:color="auto" w:fill="auto"/>
            <w:noWrap/>
            <w:vAlign w:val="center"/>
            <w:hideMark/>
          </w:tcPr>
          <w:p w14:paraId="11E7918A"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1167-OIJ-P52</w:t>
            </w:r>
          </w:p>
        </w:tc>
        <w:tc>
          <w:tcPr>
            <w:tcW w:w="2068" w:type="dxa"/>
            <w:shd w:val="clear" w:color="auto" w:fill="auto"/>
            <w:noWrap/>
            <w:vAlign w:val="center"/>
            <w:hideMark/>
          </w:tcPr>
          <w:p w14:paraId="7BC70829"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Implementación de la gestión de la contaminación cognitiva en el trabajo de casos forenses</w:t>
            </w:r>
          </w:p>
        </w:tc>
        <w:tc>
          <w:tcPr>
            <w:tcW w:w="2693" w:type="dxa"/>
            <w:shd w:val="clear" w:color="auto" w:fill="auto"/>
            <w:noWrap/>
            <w:vAlign w:val="center"/>
            <w:hideMark/>
          </w:tcPr>
          <w:p w14:paraId="1D911378" w14:textId="77777777" w:rsidR="00E8321A" w:rsidRPr="002C5174" w:rsidRDefault="00E8321A" w:rsidP="00E24FCA">
            <w:pPr>
              <w:spacing w:after="0" w:line="240" w:lineRule="auto"/>
              <w:jc w:val="both"/>
              <w:rPr>
                <w:rFonts w:ascii="Book Antiqua" w:eastAsia="Times New Roman" w:hAnsi="Book Antiqua" w:cs="Calibri"/>
                <w:b/>
                <w:bCs/>
                <w:color w:val="444444"/>
                <w:sz w:val="18"/>
                <w:szCs w:val="18"/>
                <w:lang w:eastAsia="es-CR"/>
              </w:rPr>
            </w:pPr>
            <w:r w:rsidRPr="002C5174">
              <w:rPr>
                <w:rFonts w:ascii="Book Antiqua" w:eastAsia="Times New Roman" w:hAnsi="Book Antiqua" w:cs="Calibri"/>
                <w:b/>
                <w:bCs/>
                <w:color w:val="444444"/>
                <w:sz w:val="18"/>
                <w:szCs w:val="18"/>
                <w:lang w:eastAsia="es-CR"/>
              </w:rPr>
              <w:t>No se corrigió el informe de avance de diciembre</w:t>
            </w:r>
            <w:r w:rsidRPr="002C5174">
              <w:rPr>
                <w:rFonts w:ascii="Book Antiqua" w:eastAsia="Times New Roman" w:hAnsi="Book Antiqua" w:cs="Calibri"/>
                <w:b/>
                <w:bCs/>
                <w:color w:val="000000"/>
                <w:sz w:val="18"/>
                <w:szCs w:val="18"/>
                <w:lang w:eastAsia="es-CR"/>
              </w:rPr>
              <w:t xml:space="preserve"> presentaba incorrecto el porcentaje esperado</w:t>
            </w:r>
            <w:r w:rsidRPr="002C5174">
              <w:rPr>
                <w:rFonts w:ascii="Book Antiqua" w:eastAsia="Times New Roman" w:hAnsi="Book Antiqua" w:cs="Calibri"/>
                <w:b/>
                <w:bCs/>
                <w:color w:val="444444"/>
                <w:sz w:val="18"/>
                <w:szCs w:val="18"/>
                <w:lang w:eastAsia="es-CR"/>
              </w:rPr>
              <w:t>, ni se justifica los motivos por los cuales no se corrige el informe.</w:t>
            </w:r>
          </w:p>
        </w:tc>
        <w:tc>
          <w:tcPr>
            <w:tcW w:w="942" w:type="dxa"/>
            <w:shd w:val="clear" w:color="auto" w:fill="auto"/>
            <w:noWrap/>
            <w:vAlign w:val="center"/>
            <w:hideMark/>
          </w:tcPr>
          <w:p w14:paraId="61A49EC2"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Capítulo 1</w:t>
            </w:r>
          </w:p>
        </w:tc>
        <w:tc>
          <w:tcPr>
            <w:tcW w:w="911" w:type="dxa"/>
            <w:shd w:val="clear" w:color="auto" w:fill="auto"/>
            <w:noWrap/>
            <w:vAlign w:val="center"/>
            <w:hideMark/>
          </w:tcPr>
          <w:p w14:paraId="036B7337"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1.20</w:t>
            </w:r>
          </w:p>
        </w:tc>
      </w:tr>
      <w:tr w:rsidR="007E6FC1" w:rsidRPr="002C5174" w14:paraId="77E08885" w14:textId="77777777" w:rsidTr="00B56C1A">
        <w:trPr>
          <w:trHeight w:val="315"/>
        </w:trPr>
        <w:tc>
          <w:tcPr>
            <w:tcW w:w="1470" w:type="dxa"/>
            <w:vMerge/>
            <w:vAlign w:val="center"/>
            <w:hideMark/>
          </w:tcPr>
          <w:p w14:paraId="5B0C9179"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17" w:type="dxa"/>
            <w:vMerge w:val="restart"/>
            <w:shd w:val="clear" w:color="F2F2F2" w:fill="FFFFFF"/>
            <w:noWrap/>
            <w:vAlign w:val="center"/>
            <w:hideMark/>
          </w:tcPr>
          <w:p w14:paraId="0C35A833"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0657 OFICINA DE PLANES Y OPERACIONES</w:t>
            </w:r>
          </w:p>
        </w:tc>
        <w:tc>
          <w:tcPr>
            <w:tcW w:w="741" w:type="dxa"/>
            <w:shd w:val="clear" w:color="auto" w:fill="auto"/>
            <w:noWrap/>
            <w:vAlign w:val="center"/>
            <w:hideMark/>
          </w:tcPr>
          <w:p w14:paraId="01826CD2"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1167-OIJ-P15</w:t>
            </w:r>
          </w:p>
        </w:tc>
        <w:tc>
          <w:tcPr>
            <w:tcW w:w="2068" w:type="dxa"/>
            <w:shd w:val="clear" w:color="auto" w:fill="auto"/>
            <w:noWrap/>
            <w:vAlign w:val="center"/>
            <w:hideMark/>
          </w:tcPr>
          <w:p w14:paraId="039561ED"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Adquisición e instalación del Incinerador</w:t>
            </w:r>
          </w:p>
        </w:tc>
        <w:tc>
          <w:tcPr>
            <w:tcW w:w="2693" w:type="dxa"/>
            <w:shd w:val="clear" w:color="auto" w:fill="auto"/>
            <w:noWrap/>
            <w:vAlign w:val="center"/>
            <w:hideMark/>
          </w:tcPr>
          <w:p w14:paraId="14DA65F7" w14:textId="77777777" w:rsidR="00E8321A" w:rsidRPr="002C5174" w:rsidRDefault="00E8321A" w:rsidP="00E24FCA">
            <w:pPr>
              <w:spacing w:after="0" w:line="240" w:lineRule="auto"/>
              <w:jc w:val="both"/>
              <w:rPr>
                <w:rFonts w:ascii="Book Antiqua" w:eastAsia="Times New Roman" w:hAnsi="Book Antiqua" w:cs="Calibri"/>
                <w:b/>
                <w:bCs/>
                <w:color w:val="444444"/>
                <w:sz w:val="18"/>
                <w:szCs w:val="18"/>
                <w:lang w:eastAsia="es-CR"/>
              </w:rPr>
            </w:pPr>
            <w:r w:rsidRPr="002C5174">
              <w:rPr>
                <w:rFonts w:ascii="Book Antiqua" w:eastAsia="Times New Roman" w:hAnsi="Book Antiqua" w:cs="Calibri"/>
                <w:b/>
                <w:bCs/>
                <w:color w:val="444444"/>
                <w:sz w:val="18"/>
                <w:szCs w:val="18"/>
                <w:lang w:eastAsia="es-CR"/>
              </w:rPr>
              <w:t>No se corrigió el informe de avance de diciembre</w:t>
            </w:r>
            <w:r w:rsidRPr="002C5174">
              <w:rPr>
                <w:rFonts w:ascii="Book Antiqua" w:eastAsia="Times New Roman" w:hAnsi="Book Antiqua" w:cs="Calibri"/>
                <w:b/>
                <w:bCs/>
                <w:color w:val="000000"/>
                <w:sz w:val="18"/>
                <w:szCs w:val="18"/>
                <w:lang w:eastAsia="es-CR"/>
              </w:rPr>
              <w:t xml:space="preserve"> presentaba incorrecto el porcentaje esperado</w:t>
            </w:r>
            <w:r w:rsidRPr="002C5174">
              <w:rPr>
                <w:rFonts w:ascii="Book Antiqua" w:eastAsia="Times New Roman" w:hAnsi="Book Antiqua" w:cs="Calibri"/>
                <w:b/>
                <w:bCs/>
                <w:color w:val="444444"/>
                <w:sz w:val="18"/>
                <w:szCs w:val="18"/>
                <w:lang w:eastAsia="es-CR"/>
              </w:rPr>
              <w:t>, ni se justifica los motivos por los cuales no se corrige el informe.</w:t>
            </w:r>
          </w:p>
        </w:tc>
        <w:tc>
          <w:tcPr>
            <w:tcW w:w="942" w:type="dxa"/>
            <w:shd w:val="clear" w:color="auto" w:fill="auto"/>
            <w:noWrap/>
            <w:vAlign w:val="center"/>
            <w:hideMark/>
          </w:tcPr>
          <w:p w14:paraId="198681CB"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Capítulo 1</w:t>
            </w:r>
          </w:p>
        </w:tc>
        <w:tc>
          <w:tcPr>
            <w:tcW w:w="911" w:type="dxa"/>
            <w:shd w:val="clear" w:color="auto" w:fill="auto"/>
            <w:noWrap/>
            <w:vAlign w:val="center"/>
            <w:hideMark/>
          </w:tcPr>
          <w:p w14:paraId="582E00C6"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1.20</w:t>
            </w:r>
          </w:p>
        </w:tc>
      </w:tr>
      <w:tr w:rsidR="007D35E8" w:rsidRPr="002C5174" w14:paraId="7D5D3217" w14:textId="77777777" w:rsidTr="00B56C1A">
        <w:trPr>
          <w:trHeight w:val="330"/>
        </w:trPr>
        <w:tc>
          <w:tcPr>
            <w:tcW w:w="1470" w:type="dxa"/>
            <w:vMerge/>
            <w:vAlign w:val="center"/>
            <w:hideMark/>
          </w:tcPr>
          <w:p w14:paraId="7BE24B80"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17" w:type="dxa"/>
            <w:vMerge/>
            <w:vAlign w:val="center"/>
            <w:hideMark/>
          </w:tcPr>
          <w:p w14:paraId="33777100"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741" w:type="dxa"/>
            <w:shd w:val="clear" w:color="auto" w:fill="auto"/>
            <w:noWrap/>
            <w:vAlign w:val="center"/>
            <w:hideMark/>
          </w:tcPr>
          <w:p w14:paraId="0836DE73"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1167-OIJ-P15</w:t>
            </w:r>
          </w:p>
        </w:tc>
        <w:tc>
          <w:tcPr>
            <w:tcW w:w="2068" w:type="dxa"/>
            <w:shd w:val="clear" w:color="auto" w:fill="auto"/>
            <w:noWrap/>
            <w:vAlign w:val="center"/>
            <w:hideMark/>
          </w:tcPr>
          <w:p w14:paraId="3C00A643"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Adquisición e instalación del Incinerador</w:t>
            </w:r>
          </w:p>
        </w:tc>
        <w:tc>
          <w:tcPr>
            <w:tcW w:w="2693" w:type="dxa"/>
            <w:shd w:val="clear" w:color="auto" w:fill="auto"/>
            <w:noWrap/>
            <w:vAlign w:val="center"/>
            <w:hideMark/>
          </w:tcPr>
          <w:p w14:paraId="7FF732ED" w14:textId="77777777" w:rsidR="00E8321A" w:rsidRDefault="00E8321A" w:rsidP="00E24FCA">
            <w:pPr>
              <w:spacing w:after="0" w:line="240" w:lineRule="auto"/>
              <w:jc w:val="both"/>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 xml:space="preserve">Producto de la solicitud de cambio del pendiente 14-2-23: </w:t>
            </w:r>
          </w:p>
          <w:p w14:paraId="49699F17" w14:textId="77777777" w:rsidR="00E8321A" w:rsidRPr="002C5174" w:rsidRDefault="00E8321A" w:rsidP="00E24FCA">
            <w:pPr>
              <w:spacing w:after="0" w:line="240" w:lineRule="auto"/>
              <w:jc w:val="both"/>
              <w:rPr>
                <w:rFonts w:ascii="Book Antiqua" w:eastAsia="Times New Roman" w:hAnsi="Book Antiqua" w:cs="Calibri"/>
                <w:color w:val="000000"/>
                <w:sz w:val="18"/>
                <w:szCs w:val="18"/>
                <w:lang w:eastAsia="es-CR"/>
              </w:rPr>
            </w:pPr>
            <w:r w:rsidRPr="002C5174">
              <w:rPr>
                <w:rFonts w:ascii="Book Antiqua" w:eastAsia="Times New Roman" w:hAnsi="Book Antiqua" w:cs="Calibri"/>
                <w:b/>
                <w:bCs/>
                <w:color w:val="000000"/>
                <w:sz w:val="18"/>
                <w:szCs w:val="18"/>
                <w:lang w:eastAsia="es-CR"/>
              </w:rPr>
              <w:t>Plan de gestión:</w:t>
            </w:r>
            <w:r w:rsidRPr="002C5174">
              <w:rPr>
                <w:rFonts w:ascii="Book Antiqua" w:eastAsia="Times New Roman" w:hAnsi="Book Antiqua" w:cs="Calibri"/>
                <w:color w:val="000000"/>
                <w:sz w:val="18"/>
                <w:szCs w:val="18"/>
                <w:lang w:eastAsia="es-CR"/>
              </w:rPr>
              <w:t xml:space="preserve">  el diagrama de la EDT no se muestra completo; a nivel del desglose de la EDT se debe incluir solamente los entregables no los paquetes de trabajo; además faltan la fase de formulación porque debe aparecer las 4 fases de la metodología, esto se debe corregir en cronograma, diagrama de EDT, y cuadro de desglose de la EDT; el cronograma debe incluirse en PDF, o anexarse en la carpeta para que muestre completo.</w:t>
            </w:r>
          </w:p>
        </w:tc>
        <w:tc>
          <w:tcPr>
            <w:tcW w:w="942" w:type="dxa"/>
            <w:shd w:val="clear" w:color="auto" w:fill="auto"/>
            <w:noWrap/>
            <w:vAlign w:val="center"/>
            <w:hideMark/>
          </w:tcPr>
          <w:p w14:paraId="74090BE5"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Capítulo 2</w:t>
            </w:r>
          </w:p>
        </w:tc>
        <w:tc>
          <w:tcPr>
            <w:tcW w:w="911" w:type="dxa"/>
            <w:shd w:val="clear" w:color="auto" w:fill="auto"/>
            <w:noWrap/>
            <w:vAlign w:val="center"/>
            <w:hideMark/>
          </w:tcPr>
          <w:p w14:paraId="1A1A4887"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2.3</w:t>
            </w:r>
          </w:p>
        </w:tc>
      </w:tr>
      <w:tr w:rsidR="007D35E8" w:rsidRPr="002C5174" w14:paraId="03ED3EE4" w14:textId="77777777" w:rsidTr="00B56C1A">
        <w:trPr>
          <w:trHeight w:val="300"/>
        </w:trPr>
        <w:tc>
          <w:tcPr>
            <w:tcW w:w="1470" w:type="dxa"/>
            <w:vMerge/>
            <w:vAlign w:val="center"/>
            <w:hideMark/>
          </w:tcPr>
          <w:p w14:paraId="7B578E65"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17" w:type="dxa"/>
            <w:shd w:val="clear" w:color="F2F2F2" w:fill="FFFFFF"/>
            <w:noWrap/>
            <w:vAlign w:val="center"/>
            <w:hideMark/>
          </w:tcPr>
          <w:p w14:paraId="68FEA436"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1132 PLATAFORMA DE INFORMACION POLICIAL</w:t>
            </w:r>
          </w:p>
        </w:tc>
        <w:tc>
          <w:tcPr>
            <w:tcW w:w="741" w:type="dxa"/>
            <w:shd w:val="clear" w:color="000000" w:fill="FFFFFF"/>
            <w:noWrap/>
            <w:vAlign w:val="center"/>
            <w:hideMark/>
          </w:tcPr>
          <w:p w14:paraId="0BEE9EA3"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1167-OIJ-P22</w:t>
            </w:r>
          </w:p>
        </w:tc>
        <w:tc>
          <w:tcPr>
            <w:tcW w:w="2068" w:type="dxa"/>
            <w:shd w:val="clear" w:color="000000" w:fill="FFFFFF"/>
            <w:noWrap/>
            <w:vAlign w:val="center"/>
            <w:hideMark/>
          </w:tcPr>
          <w:p w14:paraId="5C487FB9"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Sistema de Análisis de Crímenes Violentos</w:t>
            </w:r>
          </w:p>
        </w:tc>
        <w:tc>
          <w:tcPr>
            <w:tcW w:w="2693" w:type="dxa"/>
            <w:shd w:val="clear" w:color="000000" w:fill="FFFFFF"/>
            <w:noWrap/>
            <w:vAlign w:val="center"/>
            <w:hideMark/>
          </w:tcPr>
          <w:p w14:paraId="6458B1FF"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Pendiente aprobación del informe de cierre por parte del patrocinador</w:t>
            </w:r>
          </w:p>
        </w:tc>
        <w:tc>
          <w:tcPr>
            <w:tcW w:w="942" w:type="dxa"/>
            <w:shd w:val="clear" w:color="auto" w:fill="auto"/>
            <w:noWrap/>
            <w:vAlign w:val="center"/>
            <w:hideMark/>
          </w:tcPr>
          <w:p w14:paraId="39B18304"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Capítulo 1</w:t>
            </w:r>
          </w:p>
        </w:tc>
        <w:tc>
          <w:tcPr>
            <w:tcW w:w="911" w:type="dxa"/>
            <w:shd w:val="clear" w:color="auto" w:fill="auto"/>
            <w:noWrap/>
            <w:vAlign w:val="center"/>
            <w:hideMark/>
          </w:tcPr>
          <w:p w14:paraId="69FC0233" w14:textId="77777777" w:rsidR="00E8321A" w:rsidRPr="002C5174" w:rsidRDefault="00E8321A" w:rsidP="00B56C1A">
            <w:pPr>
              <w:spacing w:after="0" w:line="240" w:lineRule="auto"/>
              <w:jc w:val="center"/>
              <w:rPr>
                <w:rFonts w:ascii="Book Antiqua" w:eastAsia="Times New Roman" w:hAnsi="Book Antiqua" w:cs="Calibri"/>
                <w:color w:val="000000"/>
                <w:sz w:val="18"/>
                <w:szCs w:val="18"/>
                <w:lang w:eastAsia="es-CR"/>
              </w:rPr>
            </w:pPr>
            <w:r w:rsidRPr="002C5174">
              <w:rPr>
                <w:rFonts w:ascii="Book Antiqua" w:eastAsia="Times New Roman" w:hAnsi="Book Antiqua" w:cs="Calibri"/>
                <w:color w:val="000000"/>
                <w:sz w:val="18"/>
                <w:szCs w:val="18"/>
                <w:lang w:eastAsia="es-CR"/>
              </w:rPr>
              <w:t>1.20</w:t>
            </w:r>
          </w:p>
        </w:tc>
      </w:tr>
    </w:tbl>
    <w:p w14:paraId="3F925492" w14:textId="77777777" w:rsidR="00E8321A" w:rsidRDefault="00E8321A" w:rsidP="00E8321A">
      <w:pPr>
        <w:spacing w:after="0"/>
        <w:jc w:val="both"/>
        <w:rPr>
          <w:rFonts w:ascii="Book Antiqua" w:hAnsi="Book Antiqua"/>
          <w:b/>
          <w:bCs/>
          <w:lang w:eastAsia="ko-KR"/>
        </w:rPr>
      </w:pPr>
    </w:p>
    <w:p w14:paraId="6BC3312A" w14:textId="77777777" w:rsidR="00E8321A" w:rsidRPr="00126691" w:rsidRDefault="00E8321A" w:rsidP="00EF4E17">
      <w:pPr>
        <w:numPr>
          <w:ilvl w:val="1"/>
          <w:numId w:val="20"/>
        </w:numPr>
        <w:spacing w:after="0" w:line="240" w:lineRule="auto"/>
        <w:ind w:left="426" w:hanging="426"/>
        <w:jc w:val="both"/>
        <w:rPr>
          <w:rFonts w:ascii="Book Antiqua" w:eastAsia="Book Antiqua" w:hAnsi="Book Antiqua"/>
          <w:sz w:val="24"/>
          <w:szCs w:val="24"/>
        </w:rPr>
      </w:pPr>
      <w:r w:rsidRPr="001D722A">
        <w:rPr>
          <w:rFonts w:ascii="Book Antiqua" w:hAnsi="Book Antiqua"/>
          <w:sz w:val="24"/>
          <w:szCs w:val="24"/>
        </w:rPr>
        <w:t>Además, t</w:t>
      </w:r>
      <w:r w:rsidRPr="001D722A" w:rsidDel="00A51CE8">
        <w:rPr>
          <w:rFonts w:ascii="Book Antiqua" w:hAnsi="Book Antiqua"/>
          <w:sz w:val="24"/>
          <w:szCs w:val="24"/>
        </w:rPr>
        <w:t>omar las medidas pertinentes a fin de poder contrarrestar los atrasos presentados</w:t>
      </w:r>
      <w:r w:rsidRPr="001D722A">
        <w:rPr>
          <w:rFonts w:ascii="Book Antiqua" w:hAnsi="Book Antiqua"/>
          <w:sz w:val="24"/>
          <w:szCs w:val="24"/>
        </w:rPr>
        <w:t>.  Cuando no sea posible subsanar los atrasos, se deberá valorar la presentación de una solicitud de cambio en los casos que el retraso afecte la fecha de finalización de los proyectos y que la misma tenga autorización de la persona jefe o del director del proyecto.</w:t>
      </w:r>
    </w:p>
    <w:p w14:paraId="3A420714" w14:textId="77777777" w:rsidR="00E8321A" w:rsidRPr="00126691" w:rsidRDefault="00E8321A" w:rsidP="00E8321A">
      <w:pPr>
        <w:spacing w:after="0" w:line="240" w:lineRule="auto"/>
        <w:ind w:left="567"/>
        <w:jc w:val="both"/>
        <w:rPr>
          <w:rFonts w:ascii="Book Antiqua" w:eastAsia="Book Antiqua" w:hAnsi="Book Antiqua"/>
          <w:sz w:val="24"/>
          <w:szCs w:val="24"/>
        </w:rPr>
      </w:pPr>
    </w:p>
    <w:p w14:paraId="1216569F" w14:textId="77777777" w:rsidR="00E8321A" w:rsidRPr="001D722A" w:rsidRDefault="00E8321A" w:rsidP="00EF4E17">
      <w:pPr>
        <w:numPr>
          <w:ilvl w:val="1"/>
          <w:numId w:val="20"/>
        </w:numPr>
        <w:spacing w:after="0" w:line="240" w:lineRule="auto"/>
        <w:ind w:left="426" w:hanging="426"/>
        <w:jc w:val="both"/>
        <w:rPr>
          <w:rFonts w:ascii="Book Antiqua" w:hAnsi="Book Antiqua"/>
          <w:sz w:val="24"/>
          <w:szCs w:val="24"/>
        </w:rPr>
      </w:pPr>
      <w:r>
        <w:rPr>
          <w:rFonts w:ascii="Book Antiqua" w:hAnsi="Book Antiqua"/>
          <w:sz w:val="24"/>
          <w:szCs w:val="24"/>
        </w:rPr>
        <w:t xml:space="preserve"> </w:t>
      </w:r>
      <w:r w:rsidRPr="001D722A">
        <w:rPr>
          <w:rFonts w:ascii="Book Antiqua" w:hAnsi="Book Antiqua"/>
          <w:sz w:val="24"/>
          <w:szCs w:val="24"/>
        </w:rPr>
        <w:t>Asimismo, es importante revisar y monitorear los proyectos que presentan un retraso significativo, y cuentan con permisos con goce otorgados.</w:t>
      </w:r>
    </w:p>
    <w:p w14:paraId="7E05C8C1" w14:textId="77777777" w:rsidR="00E8321A" w:rsidRDefault="00E8321A" w:rsidP="00E8321A">
      <w:pPr>
        <w:spacing w:after="0"/>
        <w:rPr>
          <w:rFonts w:ascii="Book Antiqua" w:hAnsi="Book Antiqua"/>
          <w:b/>
          <w:sz w:val="24"/>
          <w:szCs w:val="24"/>
        </w:rPr>
      </w:pPr>
    </w:p>
    <w:p w14:paraId="3EF3A0C1" w14:textId="4C89E6C6" w:rsidR="00E8321A" w:rsidRDefault="00E8321A" w:rsidP="00E8321A">
      <w:pPr>
        <w:pStyle w:val="Ttulo2"/>
        <w:spacing w:before="0"/>
        <w:rPr>
          <w:rFonts w:ascii="Book Antiqua" w:hAnsi="Book Antiqua"/>
          <w:b/>
          <w:bCs/>
          <w:color w:val="auto"/>
          <w:sz w:val="24"/>
          <w:szCs w:val="24"/>
        </w:rPr>
      </w:pPr>
      <w:bookmarkStart w:id="199" w:name="_Toc131160627"/>
      <w:bookmarkStart w:id="200" w:name="_Toc138770906"/>
      <w:r w:rsidRPr="00971A5C">
        <w:rPr>
          <w:rFonts w:ascii="Book Antiqua" w:hAnsi="Book Antiqua"/>
          <w:b/>
          <w:bCs/>
          <w:color w:val="auto"/>
          <w:sz w:val="24"/>
          <w:szCs w:val="24"/>
        </w:rPr>
        <w:t>Al Primer Circuito Judicial Zona Sur</w:t>
      </w:r>
      <w:bookmarkEnd w:id="199"/>
      <w:r w:rsidR="00AB0589">
        <w:rPr>
          <w:rFonts w:ascii="Book Antiqua" w:hAnsi="Book Antiqua"/>
          <w:b/>
          <w:bCs/>
          <w:color w:val="auto"/>
          <w:sz w:val="24"/>
          <w:szCs w:val="24"/>
        </w:rPr>
        <w:t xml:space="preserve"> y Dirección Ejecutiva</w:t>
      </w:r>
      <w:bookmarkEnd w:id="200"/>
    </w:p>
    <w:p w14:paraId="236AE3B5" w14:textId="77777777" w:rsidR="00E8321A" w:rsidRPr="00971A5C" w:rsidRDefault="00E8321A" w:rsidP="00E8321A">
      <w:pPr>
        <w:spacing w:after="0"/>
      </w:pPr>
    </w:p>
    <w:p w14:paraId="56AE5731" w14:textId="77777777" w:rsidR="00E8321A" w:rsidRPr="001D722A" w:rsidRDefault="00E8321A" w:rsidP="00EF4E17">
      <w:pPr>
        <w:numPr>
          <w:ilvl w:val="1"/>
          <w:numId w:val="20"/>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Se requiere a más tardar el </w:t>
      </w:r>
      <w:r w:rsidRPr="00373A06">
        <w:rPr>
          <w:rFonts w:ascii="Book Antiqua" w:hAnsi="Book Antiqua"/>
          <w:b/>
          <w:bCs/>
          <w:sz w:val="24"/>
          <w:szCs w:val="24"/>
        </w:rPr>
        <w:t>11 de agosto del 2023</w:t>
      </w:r>
      <w:r w:rsidRPr="001D722A">
        <w:rPr>
          <w:rFonts w:ascii="Book Antiqua" w:hAnsi="Book Antiqua"/>
          <w:sz w:val="24"/>
          <w:szCs w:val="24"/>
        </w:rPr>
        <w:t xml:space="preserve">, cargar en el sitio de proyecto la atención de las siguientes recomendaciones: </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805"/>
        <w:gridCol w:w="836"/>
        <w:gridCol w:w="1985"/>
        <w:gridCol w:w="2693"/>
        <w:gridCol w:w="992"/>
        <w:gridCol w:w="911"/>
      </w:tblGrid>
      <w:tr w:rsidR="0086493B" w:rsidRPr="004B2445" w14:paraId="69A67641" w14:textId="77777777" w:rsidTr="00EF4E17">
        <w:trPr>
          <w:trHeight w:val="300"/>
          <w:tblHeader/>
        </w:trPr>
        <w:tc>
          <w:tcPr>
            <w:tcW w:w="1470" w:type="dxa"/>
            <w:shd w:val="clear" w:color="000000" w:fill="44546A"/>
            <w:noWrap/>
            <w:vAlign w:val="center"/>
            <w:hideMark/>
          </w:tcPr>
          <w:p w14:paraId="7953D4BB" w14:textId="77777777" w:rsidR="00E8321A" w:rsidRPr="004B2445" w:rsidRDefault="00E8321A" w:rsidP="00B56C1A">
            <w:pPr>
              <w:spacing w:after="0" w:line="240" w:lineRule="auto"/>
              <w:jc w:val="center"/>
              <w:rPr>
                <w:rFonts w:ascii="Book Antiqua" w:eastAsia="Times New Roman" w:hAnsi="Book Antiqua" w:cs="Calibri"/>
                <w:b/>
                <w:bCs/>
                <w:color w:val="FFFFFF"/>
                <w:sz w:val="18"/>
                <w:szCs w:val="18"/>
                <w:lang w:eastAsia="es-CR"/>
              </w:rPr>
            </w:pPr>
            <w:r w:rsidRPr="004B2445">
              <w:rPr>
                <w:rFonts w:ascii="Book Antiqua" w:eastAsia="Times New Roman" w:hAnsi="Book Antiqua" w:cs="Calibri"/>
                <w:b/>
                <w:bCs/>
                <w:color w:val="FFFFFF"/>
                <w:sz w:val="18"/>
                <w:szCs w:val="18"/>
                <w:lang w:eastAsia="es-CR"/>
              </w:rPr>
              <w:t>Centro de responsabilidad</w:t>
            </w:r>
          </w:p>
        </w:tc>
        <w:tc>
          <w:tcPr>
            <w:tcW w:w="1805" w:type="dxa"/>
            <w:shd w:val="clear" w:color="000000" w:fill="44546A"/>
            <w:noWrap/>
            <w:vAlign w:val="center"/>
            <w:hideMark/>
          </w:tcPr>
          <w:p w14:paraId="2014F349" w14:textId="77777777" w:rsidR="00E8321A" w:rsidRPr="004B2445" w:rsidRDefault="00E8321A" w:rsidP="00B56C1A">
            <w:pPr>
              <w:spacing w:after="0" w:line="240" w:lineRule="auto"/>
              <w:jc w:val="center"/>
              <w:rPr>
                <w:rFonts w:ascii="Book Antiqua" w:eastAsia="Times New Roman" w:hAnsi="Book Antiqua" w:cs="Calibri"/>
                <w:b/>
                <w:bCs/>
                <w:color w:val="FFFFFF"/>
                <w:sz w:val="18"/>
                <w:szCs w:val="18"/>
                <w:lang w:eastAsia="es-CR"/>
              </w:rPr>
            </w:pPr>
            <w:r w:rsidRPr="004B2445">
              <w:rPr>
                <w:rFonts w:ascii="Book Antiqua" w:eastAsia="Times New Roman" w:hAnsi="Book Antiqua" w:cs="Calibri"/>
                <w:b/>
                <w:bCs/>
                <w:color w:val="FFFFFF"/>
                <w:sz w:val="18"/>
                <w:szCs w:val="18"/>
                <w:lang w:eastAsia="es-CR"/>
              </w:rPr>
              <w:t>Oficina Líder</w:t>
            </w:r>
          </w:p>
        </w:tc>
        <w:tc>
          <w:tcPr>
            <w:tcW w:w="836" w:type="dxa"/>
            <w:shd w:val="clear" w:color="000000" w:fill="44546A"/>
            <w:noWrap/>
            <w:vAlign w:val="center"/>
            <w:hideMark/>
          </w:tcPr>
          <w:p w14:paraId="5EC5F9FB" w14:textId="77777777" w:rsidR="00E8321A" w:rsidRPr="004B2445" w:rsidRDefault="00E8321A" w:rsidP="00B56C1A">
            <w:pPr>
              <w:spacing w:after="0" w:line="240" w:lineRule="auto"/>
              <w:jc w:val="center"/>
              <w:rPr>
                <w:rFonts w:ascii="Book Antiqua" w:eastAsia="Times New Roman" w:hAnsi="Book Antiqua" w:cs="Calibri"/>
                <w:b/>
                <w:bCs/>
                <w:color w:val="FFFFFF"/>
                <w:sz w:val="18"/>
                <w:szCs w:val="18"/>
                <w:lang w:eastAsia="es-CR"/>
              </w:rPr>
            </w:pPr>
            <w:r w:rsidRPr="004B2445">
              <w:rPr>
                <w:rFonts w:ascii="Book Antiqua" w:eastAsia="Times New Roman" w:hAnsi="Book Antiqua" w:cs="Calibri"/>
                <w:b/>
                <w:bCs/>
                <w:color w:val="FFFFFF"/>
                <w:sz w:val="18"/>
                <w:szCs w:val="18"/>
                <w:lang w:eastAsia="es-CR"/>
              </w:rPr>
              <w:t>Código</w:t>
            </w:r>
          </w:p>
        </w:tc>
        <w:tc>
          <w:tcPr>
            <w:tcW w:w="1985" w:type="dxa"/>
            <w:shd w:val="clear" w:color="000000" w:fill="44546A"/>
            <w:noWrap/>
            <w:vAlign w:val="center"/>
            <w:hideMark/>
          </w:tcPr>
          <w:p w14:paraId="6C13F071" w14:textId="77777777" w:rsidR="00E8321A" w:rsidRPr="004B2445" w:rsidRDefault="00E8321A" w:rsidP="00B56C1A">
            <w:pPr>
              <w:spacing w:after="0" w:line="240" w:lineRule="auto"/>
              <w:jc w:val="center"/>
              <w:rPr>
                <w:rFonts w:ascii="Book Antiqua" w:eastAsia="Times New Roman" w:hAnsi="Book Antiqua" w:cs="Calibri"/>
                <w:b/>
                <w:bCs/>
                <w:color w:val="FFFFFF"/>
                <w:sz w:val="18"/>
                <w:szCs w:val="18"/>
                <w:lang w:eastAsia="es-CR"/>
              </w:rPr>
            </w:pPr>
            <w:r w:rsidRPr="004B2445">
              <w:rPr>
                <w:rFonts w:ascii="Book Antiqua" w:eastAsia="Times New Roman" w:hAnsi="Book Antiqua" w:cs="Calibri"/>
                <w:b/>
                <w:bCs/>
                <w:color w:val="FFFFFF"/>
                <w:sz w:val="18"/>
                <w:szCs w:val="18"/>
                <w:lang w:eastAsia="es-CR"/>
              </w:rPr>
              <w:t>Nombre</w:t>
            </w:r>
          </w:p>
        </w:tc>
        <w:tc>
          <w:tcPr>
            <w:tcW w:w="2693" w:type="dxa"/>
            <w:shd w:val="clear" w:color="000000" w:fill="44546A"/>
            <w:noWrap/>
            <w:vAlign w:val="center"/>
            <w:hideMark/>
          </w:tcPr>
          <w:p w14:paraId="53FC0C38" w14:textId="77777777" w:rsidR="00E8321A" w:rsidRPr="004B2445" w:rsidRDefault="00E8321A" w:rsidP="00B56C1A">
            <w:pPr>
              <w:spacing w:after="0" w:line="240" w:lineRule="auto"/>
              <w:jc w:val="center"/>
              <w:rPr>
                <w:rFonts w:ascii="Book Antiqua" w:eastAsia="Times New Roman" w:hAnsi="Book Antiqua" w:cs="Calibri"/>
                <w:b/>
                <w:bCs/>
                <w:color w:val="FFFFFF"/>
                <w:sz w:val="18"/>
                <w:szCs w:val="18"/>
                <w:lang w:eastAsia="es-CR"/>
              </w:rPr>
            </w:pPr>
            <w:r w:rsidRPr="004B2445">
              <w:rPr>
                <w:rFonts w:ascii="Book Antiqua" w:eastAsia="Times New Roman" w:hAnsi="Book Antiqua" w:cs="Calibri"/>
                <w:b/>
                <w:bCs/>
                <w:color w:val="FFFFFF"/>
                <w:sz w:val="18"/>
                <w:szCs w:val="18"/>
                <w:lang w:eastAsia="es-CR"/>
              </w:rPr>
              <w:t>Recomendación pendiente</w:t>
            </w:r>
          </w:p>
        </w:tc>
        <w:tc>
          <w:tcPr>
            <w:tcW w:w="992" w:type="dxa"/>
            <w:shd w:val="clear" w:color="000000" w:fill="44546A"/>
            <w:noWrap/>
            <w:vAlign w:val="center"/>
            <w:hideMark/>
          </w:tcPr>
          <w:p w14:paraId="076DB336" w14:textId="77777777" w:rsidR="00E8321A" w:rsidRPr="004B2445" w:rsidRDefault="00E8321A" w:rsidP="00B56C1A">
            <w:pPr>
              <w:spacing w:after="0" w:line="240" w:lineRule="auto"/>
              <w:jc w:val="center"/>
              <w:rPr>
                <w:rFonts w:ascii="Book Antiqua" w:eastAsia="Times New Roman" w:hAnsi="Book Antiqua" w:cs="Calibri"/>
                <w:b/>
                <w:bCs/>
                <w:color w:val="FFFFFF"/>
                <w:sz w:val="18"/>
                <w:szCs w:val="18"/>
                <w:lang w:eastAsia="es-CR"/>
              </w:rPr>
            </w:pPr>
            <w:r w:rsidRPr="004B2445">
              <w:rPr>
                <w:rFonts w:ascii="Book Antiqua" w:eastAsia="Times New Roman" w:hAnsi="Book Antiqua" w:cs="Calibri"/>
                <w:b/>
                <w:bCs/>
                <w:color w:val="FFFFFF"/>
                <w:sz w:val="18"/>
                <w:szCs w:val="18"/>
                <w:lang w:eastAsia="es-CR"/>
              </w:rPr>
              <w:t>Capítulo del informe</w:t>
            </w:r>
          </w:p>
        </w:tc>
        <w:tc>
          <w:tcPr>
            <w:tcW w:w="851" w:type="dxa"/>
            <w:shd w:val="clear" w:color="000000" w:fill="44546A"/>
            <w:noWrap/>
            <w:vAlign w:val="center"/>
            <w:hideMark/>
          </w:tcPr>
          <w:p w14:paraId="1680E38E" w14:textId="77777777" w:rsidR="00E8321A" w:rsidRPr="004B2445" w:rsidRDefault="00E8321A" w:rsidP="00B56C1A">
            <w:pPr>
              <w:spacing w:after="0" w:line="240" w:lineRule="auto"/>
              <w:jc w:val="center"/>
              <w:rPr>
                <w:rFonts w:ascii="Book Antiqua" w:eastAsia="Times New Roman" w:hAnsi="Book Antiqua" w:cs="Calibri"/>
                <w:b/>
                <w:bCs/>
                <w:color w:val="FFFFFF"/>
                <w:sz w:val="18"/>
                <w:szCs w:val="18"/>
                <w:lang w:eastAsia="es-CR"/>
              </w:rPr>
            </w:pPr>
            <w:r w:rsidRPr="004B2445">
              <w:rPr>
                <w:rFonts w:ascii="Book Antiqua" w:eastAsia="Times New Roman" w:hAnsi="Book Antiqua" w:cs="Calibri"/>
                <w:b/>
                <w:bCs/>
                <w:color w:val="FFFFFF"/>
                <w:sz w:val="18"/>
                <w:szCs w:val="18"/>
                <w:lang w:eastAsia="es-CR"/>
              </w:rPr>
              <w:t>Apartado del informe</w:t>
            </w:r>
          </w:p>
        </w:tc>
      </w:tr>
      <w:tr w:rsidR="007D35E8" w:rsidRPr="004B2445" w14:paraId="3F24955E" w14:textId="77777777" w:rsidTr="00B56C1A">
        <w:trPr>
          <w:trHeight w:val="300"/>
        </w:trPr>
        <w:tc>
          <w:tcPr>
            <w:tcW w:w="1470" w:type="dxa"/>
            <w:vMerge w:val="restart"/>
            <w:shd w:val="clear" w:color="auto" w:fill="auto"/>
            <w:noWrap/>
            <w:vAlign w:val="center"/>
            <w:hideMark/>
          </w:tcPr>
          <w:p w14:paraId="32139A3E"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Primer Circuito Judicial Zona Sur</w:t>
            </w:r>
          </w:p>
        </w:tc>
        <w:tc>
          <w:tcPr>
            <w:tcW w:w="1805" w:type="dxa"/>
            <w:vMerge w:val="restart"/>
            <w:shd w:val="clear" w:color="auto" w:fill="auto"/>
            <w:noWrap/>
            <w:vAlign w:val="center"/>
            <w:hideMark/>
          </w:tcPr>
          <w:p w14:paraId="35111551"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0284 ADMINISTRACIÓN REGIONAL DE PEREZ ZELEDON</w:t>
            </w:r>
          </w:p>
        </w:tc>
        <w:tc>
          <w:tcPr>
            <w:tcW w:w="836" w:type="dxa"/>
            <w:shd w:val="clear" w:color="auto" w:fill="auto"/>
            <w:noWrap/>
            <w:vAlign w:val="center"/>
            <w:hideMark/>
          </w:tcPr>
          <w:p w14:paraId="6B6B8144"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0117-DE-P76</w:t>
            </w:r>
          </w:p>
        </w:tc>
        <w:tc>
          <w:tcPr>
            <w:tcW w:w="1985" w:type="dxa"/>
            <w:shd w:val="clear" w:color="auto" w:fill="auto"/>
            <w:noWrap/>
            <w:vAlign w:val="center"/>
            <w:hideMark/>
          </w:tcPr>
          <w:p w14:paraId="164AFA6D"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Sustitución completa del sistema Hídrico y tuberías del edificio de los tribunales de justicia de Pérez Zeledón</w:t>
            </w:r>
          </w:p>
        </w:tc>
        <w:tc>
          <w:tcPr>
            <w:tcW w:w="2693" w:type="dxa"/>
            <w:shd w:val="clear" w:color="auto" w:fill="auto"/>
            <w:noWrap/>
            <w:vAlign w:val="center"/>
            <w:hideMark/>
          </w:tcPr>
          <w:p w14:paraId="5575F0A7"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Pendiente de presentar</w:t>
            </w:r>
            <w:r w:rsidRPr="004B2445">
              <w:rPr>
                <w:rFonts w:ascii="Book Antiqua" w:eastAsia="Times New Roman" w:hAnsi="Book Antiqua" w:cs="Calibri"/>
                <w:b/>
                <w:bCs/>
                <w:color w:val="000000"/>
                <w:sz w:val="18"/>
                <w:szCs w:val="18"/>
                <w:lang w:eastAsia="es-CR"/>
              </w:rPr>
              <w:t xml:space="preserve"> Estudio de factibilidad, Plan de Gestión y acta de constitución.</w:t>
            </w:r>
          </w:p>
        </w:tc>
        <w:tc>
          <w:tcPr>
            <w:tcW w:w="992" w:type="dxa"/>
            <w:shd w:val="clear" w:color="auto" w:fill="auto"/>
            <w:noWrap/>
            <w:vAlign w:val="center"/>
            <w:hideMark/>
          </w:tcPr>
          <w:p w14:paraId="289E1455"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Capítulo 1</w:t>
            </w:r>
          </w:p>
        </w:tc>
        <w:tc>
          <w:tcPr>
            <w:tcW w:w="851" w:type="dxa"/>
            <w:shd w:val="clear" w:color="auto" w:fill="auto"/>
            <w:noWrap/>
            <w:vAlign w:val="center"/>
            <w:hideMark/>
          </w:tcPr>
          <w:p w14:paraId="537EB64D"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1.22</w:t>
            </w:r>
          </w:p>
        </w:tc>
      </w:tr>
      <w:tr w:rsidR="007D35E8" w:rsidRPr="004B2445" w14:paraId="2A5AB749" w14:textId="77777777" w:rsidTr="00B56C1A">
        <w:trPr>
          <w:trHeight w:val="300"/>
        </w:trPr>
        <w:tc>
          <w:tcPr>
            <w:tcW w:w="1470" w:type="dxa"/>
            <w:vMerge/>
            <w:shd w:val="clear" w:color="auto" w:fill="auto"/>
            <w:vAlign w:val="center"/>
            <w:hideMark/>
          </w:tcPr>
          <w:p w14:paraId="7983187A"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805" w:type="dxa"/>
            <w:vMerge/>
            <w:shd w:val="clear" w:color="auto" w:fill="auto"/>
            <w:vAlign w:val="center"/>
            <w:hideMark/>
          </w:tcPr>
          <w:p w14:paraId="354EFEA7"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836" w:type="dxa"/>
            <w:shd w:val="clear" w:color="auto" w:fill="auto"/>
            <w:noWrap/>
            <w:vAlign w:val="center"/>
            <w:hideMark/>
          </w:tcPr>
          <w:p w14:paraId="328C09BC"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0117-DE-P75</w:t>
            </w:r>
          </w:p>
        </w:tc>
        <w:tc>
          <w:tcPr>
            <w:tcW w:w="1985" w:type="dxa"/>
            <w:shd w:val="clear" w:color="auto" w:fill="auto"/>
            <w:noWrap/>
            <w:vAlign w:val="center"/>
            <w:hideMark/>
          </w:tcPr>
          <w:p w14:paraId="415E4C8F"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II Etapa Salida de emergencia del Edificio de Tribunales de Justicia de Pérez Zeledón</w:t>
            </w:r>
          </w:p>
        </w:tc>
        <w:tc>
          <w:tcPr>
            <w:tcW w:w="2693" w:type="dxa"/>
            <w:shd w:val="clear" w:color="auto" w:fill="auto"/>
            <w:noWrap/>
            <w:vAlign w:val="center"/>
            <w:hideMark/>
          </w:tcPr>
          <w:p w14:paraId="59ABECEE"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Pendiente de presentar</w:t>
            </w:r>
            <w:r w:rsidRPr="004B2445">
              <w:rPr>
                <w:rFonts w:ascii="Book Antiqua" w:eastAsia="Times New Roman" w:hAnsi="Book Antiqua" w:cs="Calibri"/>
                <w:b/>
                <w:bCs/>
                <w:color w:val="000000"/>
                <w:sz w:val="18"/>
                <w:szCs w:val="18"/>
                <w:lang w:eastAsia="es-CR"/>
              </w:rPr>
              <w:t xml:space="preserve"> Estudio de factibilidad, Plan de Gestión y acta de constitución.</w:t>
            </w:r>
          </w:p>
        </w:tc>
        <w:tc>
          <w:tcPr>
            <w:tcW w:w="992" w:type="dxa"/>
            <w:shd w:val="clear" w:color="auto" w:fill="auto"/>
            <w:noWrap/>
            <w:vAlign w:val="center"/>
            <w:hideMark/>
          </w:tcPr>
          <w:p w14:paraId="33AD3E47"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Capítulo 1</w:t>
            </w:r>
          </w:p>
        </w:tc>
        <w:tc>
          <w:tcPr>
            <w:tcW w:w="851" w:type="dxa"/>
            <w:shd w:val="clear" w:color="auto" w:fill="auto"/>
            <w:noWrap/>
            <w:vAlign w:val="center"/>
            <w:hideMark/>
          </w:tcPr>
          <w:p w14:paraId="183AFF24"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1.22</w:t>
            </w:r>
          </w:p>
        </w:tc>
      </w:tr>
    </w:tbl>
    <w:p w14:paraId="75362FA0" w14:textId="77777777" w:rsidR="00E8321A" w:rsidRDefault="00E8321A" w:rsidP="00E8321A">
      <w:pPr>
        <w:spacing w:after="0"/>
        <w:jc w:val="both"/>
        <w:rPr>
          <w:rFonts w:ascii="Book Antiqua" w:hAnsi="Book Antiqua"/>
          <w:b/>
          <w:bCs/>
          <w:sz w:val="24"/>
          <w:szCs w:val="24"/>
          <w:lang w:eastAsia="ko-KR"/>
        </w:rPr>
      </w:pPr>
    </w:p>
    <w:p w14:paraId="3ACE1199" w14:textId="77777777" w:rsidR="00E8321A" w:rsidRPr="00971A5C" w:rsidRDefault="00E8321A" w:rsidP="00E8321A">
      <w:pPr>
        <w:pStyle w:val="Ttulo2"/>
        <w:spacing w:before="0"/>
        <w:rPr>
          <w:rFonts w:ascii="Book Antiqua" w:hAnsi="Book Antiqua"/>
          <w:b/>
          <w:bCs/>
          <w:color w:val="auto"/>
          <w:sz w:val="24"/>
          <w:szCs w:val="24"/>
        </w:rPr>
      </w:pPr>
      <w:bookmarkStart w:id="201" w:name="_Toc131160628"/>
      <w:bookmarkStart w:id="202" w:name="_Toc138770907"/>
      <w:r w:rsidRPr="00971A5C">
        <w:rPr>
          <w:rFonts w:ascii="Book Antiqua" w:hAnsi="Book Antiqua"/>
          <w:b/>
          <w:bCs/>
          <w:color w:val="auto"/>
          <w:sz w:val="24"/>
          <w:szCs w:val="24"/>
        </w:rPr>
        <w:t>Al Programa Justicia Restaurativa</w:t>
      </w:r>
      <w:bookmarkEnd w:id="201"/>
      <w:bookmarkEnd w:id="202"/>
    </w:p>
    <w:p w14:paraId="0E85F9D2" w14:textId="77777777" w:rsidR="00E8321A" w:rsidRPr="00971A5C" w:rsidRDefault="00E8321A" w:rsidP="00E8321A">
      <w:pPr>
        <w:spacing w:after="0"/>
      </w:pPr>
    </w:p>
    <w:p w14:paraId="44CD9B98" w14:textId="77777777" w:rsidR="00E8321A" w:rsidRDefault="00E8321A" w:rsidP="00EF4E17">
      <w:pPr>
        <w:numPr>
          <w:ilvl w:val="1"/>
          <w:numId w:val="20"/>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Se requiere a más tardar el </w:t>
      </w:r>
      <w:r w:rsidRPr="00373A06">
        <w:rPr>
          <w:rFonts w:ascii="Book Antiqua" w:hAnsi="Book Antiqua"/>
          <w:b/>
          <w:bCs/>
          <w:sz w:val="24"/>
          <w:szCs w:val="24"/>
        </w:rPr>
        <w:t>11 de agosto del 2023</w:t>
      </w:r>
      <w:r w:rsidRPr="001D722A">
        <w:rPr>
          <w:rFonts w:ascii="Book Antiqua" w:hAnsi="Book Antiqua"/>
          <w:sz w:val="24"/>
          <w:szCs w:val="24"/>
        </w:rPr>
        <w:t xml:space="preserve">, cargar en el sitio de proyecto la atención de las siguientes recomendaciones: </w:t>
      </w:r>
    </w:p>
    <w:p w14:paraId="1ED6F9CD" w14:textId="77777777" w:rsidR="00E8321A" w:rsidRDefault="00E8321A" w:rsidP="00E8321A">
      <w:pPr>
        <w:spacing w:after="0" w:line="240" w:lineRule="auto"/>
        <w:ind w:left="567"/>
        <w:jc w:val="both"/>
        <w:rPr>
          <w:rFonts w:ascii="Book Antiqua" w:hAnsi="Book Antiqua"/>
          <w:sz w:val="24"/>
          <w:szCs w:val="24"/>
        </w:rPr>
      </w:pP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791"/>
        <w:gridCol w:w="850"/>
        <w:gridCol w:w="1985"/>
        <w:gridCol w:w="2551"/>
        <w:gridCol w:w="1134"/>
        <w:gridCol w:w="993"/>
      </w:tblGrid>
      <w:tr w:rsidR="0086493B" w:rsidRPr="004B2445" w14:paraId="732E4BB6" w14:textId="77777777" w:rsidTr="00B56C1A">
        <w:trPr>
          <w:trHeight w:val="300"/>
        </w:trPr>
        <w:tc>
          <w:tcPr>
            <w:tcW w:w="1470" w:type="dxa"/>
            <w:shd w:val="clear" w:color="000000" w:fill="44546A"/>
            <w:noWrap/>
            <w:vAlign w:val="center"/>
            <w:hideMark/>
          </w:tcPr>
          <w:p w14:paraId="3839F04F" w14:textId="77777777" w:rsidR="00E8321A" w:rsidRPr="004B2445" w:rsidRDefault="00E8321A" w:rsidP="00B56C1A">
            <w:pPr>
              <w:spacing w:after="0" w:line="240" w:lineRule="auto"/>
              <w:jc w:val="center"/>
              <w:rPr>
                <w:rFonts w:ascii="Book Antiqua" w:eastAsia="Times New Roman" w:hAnsi="Book Antiqua" w:cs="Calibri"/>
                <w:b/>
                <w:bCs/>
                <w:color w:val="FFFFFF"/>
                <w:sz w:val="18"/>
                <w:szCs w:val="18"/>
                <w:lang w:eastAsia="es-CR"/>
              </w:rPr>
            </w:pPr>
            <w:r w:rsidRPr="004B2445">
              <w:rPr>
                <w:rFonts w:ascii="Book Antiqua" w:eastAsia="Times New Roman" w:hAnsi="Book Antiqua" w:cs="Calibri"/>
                <w:b/>
                <w:bCs/>
                <w:color w:val="FFFFFF"/>
                <w:sz w:val="18"/>
                <w:szCs w:val="18"/>
                <w:lang w:eastAsia="es-CR"/>
              </w:rPr>
              <w:t>Centro de responsabilidad</w:t>
            </w:r>
          </w:p>
        </w:tc>
        <w:tc>
          <w:tcPr>
            <w:tcW w:w="1791" w:type="dxa"/>
            <w:shd w:val="clear" w:color="000000" w:fill="44546A"/>
            <w:noWrap/>
            <w:vAlign w:val="center"/>
            <w:hideMark/>
          </w:tcPr>
          <w:p w14:paraId="21C4E171" w14:textId="77777777" w:rsidR="00E8321A" w:rsidRPr="004B2445" w:rsidRDefault="00E8321A" w:rsidP="00B56C1A">
            <w:pPr>
              <w:spacing w:after="0" w:line="240" w:lineRule="auto"/>
              <w:jc w:val="center"/>
              <w:rPr>
                <w:rFonts w:ascii="Book Antiqua" w:eastAsia="Times New Roman" w:hAnsi="Book Antiqua" w:cs="Calibri"/>
                <w:b/>
                <w:bCs/>
                <w:color w:val="FFFFFF"/>
                <w:sz w:val="18"/>
                <w:szCs w:val="18"/>
                <w:lang w:eastAsia="es-CR"/>
              </w:rPr>
            </w:pPr>
            <w:r w:rsidRPr="004B2445">
              <w:rPr>
                <w:rFonts w:ascii="Book Antiqua" w:eastAsia="Times New Roman" w:hAnsi="Book Antiqua" w:cs="Calibri"/>
                <w:b/>
                <w:bCs/>
                <w:color w:val="FFFFFF"/>
                <w:sz w:val="18"/>
                <w:szCs w:val="18"/>
                <w:lang w:eastAsia="es-CR"/>
              </w:rPr>
              <w:t>Oficina Líder</w:t>
            </w:r>
          </w:p>
        </w:tc>
        <w:tc>
          <w:tcPr>
            <w:tcW w:w="850" w:type="dxa"/>
            <w:shd w:val="clear" w:color="000000" w:fill="44546A"/>
            <w:noWrap/>
            <w:vAlign w:val="center"/>
            <w:hideMark/>
          </w:tcPr>
          <w:p w14:paraId="19095E41" w14:textId="77777777" w:rsidR="00E8321A" w:rsidRPr="004B2445" w:rsidRDefault="00E8321A" w:rsidP="00B56C1A">
            <w:pPr>
              <w:spacing w:after="0" w:line="240" w:lineRule="auto"/>
              <w:jc w:val="center"/>
              <w:rPr>
                <w:rFonts w:ascii="Book Antiqua" w:eastAsia="Times New Roman" w:hAnsi="Book Antiqua" w:cs="Calibri"/>
                <w:b/>
                <w:bCs/>
                <w:color w:val="FFFFFF"/>
                <w:sz w:val="18"/>
                <w:szCs w:val="18"/>
                <w:lang w:eastAsia="es-CR"/>
              </w:rPr>
            </w:pPr>
            <w:r w:rsidRPr="004B2445">
              <w:rPr>
                <w:rFonts w:ascii="Book Antiqua" w:eastAsia="Times New Roman" w:hAnsi="Book Antiqua" w:cs="Calibri"/>
                <w:b/>
                <w:bCs/>
                <w:color w:val="FFFFFF"/>
                <w:sz w:val="18"/>
                <w:szCs w:val="18"/>
                <w:lang w:eastAsia="es-CR"/>
              </w:rPr>
              <w:t>Código</w:t>
            </w:r>
          </w:p>
        </w:tc>
        <w:tc>
          <w:tcPr>
            <w:tcW w:w="1985" w:type="dxa"/>
            <w:shd w:val="clear" w:color="000000" w:fill="44546A"/>
            <w:noWrap/>
            <w:vAlign w:val="center"/>
            <w:hideMark/>
          </w:tcPr>
          <w:p w14:paraId="1771B1EB" w14:textId="77777777" w:rsidR="00E8321A" w:rsidRPr="004B2445" w:rsidRDefault="00E8321A" w:rsidP="00B56C1A">
            <w:pPr>
              <w:spacing w:after="0" w:line="240" w:lineRule="auto"/>
              <w:jc w:val="center"/>
              <w:rPr>
                <w:rFonts w:ascii="Book Antiqua" w:eastAsia="Times New Roman" w:hAnsi="Book Antiqua" w:cs="Calibri"/>
                <w:b/>
                <w:bCs/>
                <w:color w:val="FFFFFF"/>
                <w:sz w:val="18"/>
                <w:szCs w:val="18"/>
                <w:lang w:eastAsia="es-CR"/>
              </w:rPr>
            </w:pPr>
            <w:r w:rsidRPr="004B2445">
              <w:rPr>
                <w:rFonts w:ascii="Book Antiqua" w:eastAsia="Times New Roman" w:hAnsi="Book Antiqua" w:cs="Calibri"/>
                <w:b/>
                <w:bCs/>
                <w:color w:val="FFFFFF"/>
                <w:sz w:val="18"/>
                <w:szCs w:val="18"/>
                <w:lang w:eastAsia="es-CR"/>
              </w:rPr>
              <w:t>Nombre</w:t>
            </w:r>
          </w:p>
        </w:tc>
        <w:tc>
          <w:tcPr>
            <w:tcW w:w="2551" w:type="dxa"/>
            <w:shd w:val="clear" w:color="000000" w:fill="44546A"/>
            <w:noWrap/>
            <w:vAlign w:val="center"/>
            <w:hideMark/>
          </w:tcPr>
          <w:p w14:paraId="7FC330BA" w14:textId="77777777" w:rsidR="00E8321A" w:rsidRPr="004B2445" w:rsidRDefault="00E8321A" w:rsidP="00B56C1A">
            <w:pPr>
              <w:spacing w:after="0" w:line="240" w:lineRule="auto"/>
              <w:jc w:val="center"/>
              <w:rPr>
                <w:rFonts w:ascii="Book Antiqua" w:eastAsia="Times New Roman" w:hAnsi="Book Antiqua" w:cs="Calibri"/>
                <w:b/>
                <w:bCs/>
                <w:color w:val="FFFFFF"/>
                <w:sz w:val="18"/>
                <w:szCs w:val="18"/>
                <w:lang w:eastAsia="es-CR"/>
              </w:rPr>
            </w:pPr>
            <w:r w:rsidRPr="004B2445">
              <w:rPr>
                <w:rFonts w:ascii="Book Antiqua" w:eastAsia="Times New Roman" w:hAnsi="Book Antiqua" w:cs="Calibri"/>
                <w:b/>
                <w:bCs/>
                <w:color w:val="FFFFFF"/>
                <w:sz w:val="18"/>
                <w:szCs w:val="18"/>
                <w:lang w:eastAsia="es-CR"/>
              </w:rPr>
              <w:t>Recomendación pendiente</w:t>
            </w:r>
          </w:p>
        </w:tc>
        <w:tc>
          <w:tcPr>
            <w:tcW w:w="1134" w:type="dxa"/>
            <w:shd w:val="clear" w:color="000000" w:fill="44546A"/>
            <w:noWrap/>
            <w:vAlign w:val="center"/>
            <w:hideMark/>
          </w:tcPr>
          <w:p w14:paraId="7E313DC9" w14:textId="77777777" w:rsidR="00E8321A" w:rsidRPr="004B2445" w:rsidRDefault="00E8321A" w:rsidP="00B56C1A">
            <w:pPr>
              <w:spacing w:after="0" w:line="240" w:lineRule="auto"/>
              <w:jc w:val="center"/>
              <w:rPr>
                <w:rFonts w:ascii="Book Antiqua" w:eastAsia="Times New Roman" w:hAnsi="Book Antiqua" w:cs="Calibri"/>
                <w:b/>
                <w:bCs/>
                <w:color w:val="FFFFFF"/>
                <w:sz w:val="18"/>
                <w:szCs w:val="18"/>
                <w:lang w:eastAsia="es-CR"/>
              </w:rPr>
            </w:pPr>
            <w:r w:rsidRPr="004B2445">
              <w:rPr>
                <w:rFonts w:ascii="Book Antiqua" w:eastAsia="Times New Roman" w:hAnsi="Book Antiqua" w:cs="Calibri"/>
                <w:b/>
                <w:bCs/>
                <w:color w:val="FFFFFF"/>
                <w:sz w:val="18"/>
                <w:szCs w:val="18"/>
                <w:lang w:eastAsia="es-CR"/>
              </w:rPr>
              <w:t>Capítulo del informe</w:t>
            </w:r>
          </w:p>
        </w:tc>
        <w:tc>
          <w:tcPr>
            <w:tcW w:w="993" w:type="dxa"/>
            <w:shd w:val="clear" w:color="000000" w:fill="44546A"/>
            <w:noWrap/>
            <w:vAlign w:val="center"/>
            <w:hideMark/>
          </w:tcPr>
          <w:p w14:paraId="421C4FB7" w14:textId="77777777" w:rsidR="00E8321A" w:rsidRPr="004B2445" w:rsidRDefault="00E8321A" w:rsidP="00B56C1A">
            <w:pPr>
              <w:spacing w:after="0" w:line="240" w:lineRule="auto"/>
              <w:jc w:val="center"/>
              <w:rPr>
                <w:rFonts w:ascii="Book Antiqua" w:eastAsia="Times New Roman" w:hAnsi="Book Antiqua" w:cs="Calibri"/>
                <w:b/>
                <w:bCs/>
                <w:color w:val="FFFFFF"/>
                <w:sz w:val="18"/>
                <w:szCs w:val="18"/>
                <w:lang w:eastAsia="es-CR"/>
              </w:rPr>
            </w:pPr>
            <w:r w:rsidRPr="004B2445">
              <w:rPr>
                <w:rFonts w:ascii="Book Antiqua" w:eastAsia="Times New Roman" w:hAnsi="Book Antiqua" w:cs="Calibri"/>
                <w:b/>
                <w:bCs/>
                <w:color w:val="FFFFFF"/>
                <w:sz w:val="18"/>
                <w:szCs w:val="18"/>
                <w:lang w:eastAsia="es-CR"/>
              </w:rPr>
              <w:t>Apartado del informe</w:t>
            </w:r>
          </w:p>
        </w:tc>
      </w:tr>
      <w:tr w:rsidR="007D35E8" w:rsidRPr="004B2445" w14:paraId="513B35D9" w14:textId="77777777" w:rsidTr="00B56C1A">
        <w:trPr>
          <w:trHeight w:val="300"/>
        </w:trPr>
        <w:tc>
          <w:tcPr>
            <w:tcW w:w="1470" w:type="dxa"/>
            <w:vMerge w:val="restart"/>
            <w:shd w:val="clear" w:color="F2F2F2" w:fill="FFFFFF"/>
            <w:noWrap/>
            <w:vAlign w:val="center"/>
            <w:hideMark/>
          </w:tcPr>
          <w:p w14:paraId="32669391"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Programa Justicia Restaurativa</w:t>
            </w:r>
          </w:p>
        </w:tc>
        <w:tc>
          <w:tcPr>
            <w:tcW w:w="1791" w:type="dxa"/>
            <w:vMerge w:val="restart"/>
            <w:shd w:val="clear" w:color="F2F2F2" w:fill="FFFFFF"/>
            <w:noWrap/>
            <w:vAlign w:val="center"/>
            <w:hideMark/>
          </w:tcPr>
          <w:p w14:paraId="2437EAE2"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1377 PROGRAMA JUSTICIA RESTAURATIVA</w:t>
            </w:r>
          </w:p>
        </w:tc>
        <w:tc>
          <w:tcPr>
            <w:tcW w:w="850" w:type="dxa"/>
            <w:shd w:val="clear" w:color="auto" w:fill="auto"/>
            <w:noWrap/>
            <w:vAlign w:val="center"/>
            <w:hideMark/>
          </w:tcPr>
          <w:p w14:paraId="103AA557"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1377-PJR-P02</w:t>
            </w:r>
          </w:p>
        </w:tc>
        <w:tc>
          <w:tcPr>
            <w:tcW w:w="1985" w:type="dxa"/>
            <w:shd w:val="clear" w:color="auto" w:fill="auto"/>
            <w:noWrap/>
            <w:vAlign w:val="center"/>
            <w:hideMark/>
          </w:tcPr>
          <w:p w14:paraId="34E5A7CA"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Programa de Justicia Restaurativa para el bienestar del personal judicial</w:t>
            </w:r>
          </w:p>
        </w:tc>
        <w:tc>
          <w:tcPr>
            <w:tcW w:w="2551" w:type="dxa"/>
            <w:shd w:val="clear" w:color="auto" w:fill="auto"/>
            <w:noWrap/>
            <w:vAlign w:val="center"/>
            <w:hideMark/>
          </w:tcPr>
          <w:p w14:paraId="6962B829"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Pendiente aprobación del informe de cierre por parte del patrocinador</w:t>
            </w:r>
          </w:p>
        </w:tc>
        <w:tc>
          <w:tcPr>
            <w:tcW w:w="1134" w:type="dxa"/>
            <w:shd w:val="clear" w:color="auto" w:fill="auto"/>
            <w:noWrap/>
            <w:vAlign w:val="center"/>
            <w:hideMark/>
          </w:tcPr>
          <w:p w14:paraId="0B3FFD8D"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Capítulo 1</w:t>
            </w:r>
          </w:p>
        </w:tc>
        <w:tc>
          <w:tcPr>
            <w:tcW w:w="993" w:type="dxa"/>
            <w:shd w:val="clear" w:color="auto" w:fill="auto"/>
            <w:noWrap/>
            <w:vAlign w:val="center"/>
            <w:hideMark/>
          </w:tcPr>
          <w:p w14:paraId="30EEB8FB"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1.23</w:t>
            </w:r>
          </w:p>
        </w:tc>
      </w:tr>
      <w:tr w:rsidR="007D35E8" w:rsidRPr="004B2445" w14:paraId="482CEB21" w14:textId="77777777" w:rsidTr="00B56C1A">
        <w:trPr>
          <w:trHeight w:val="300"/>
        </w:trPr>
        <w:tc>
          <w:tcPr>
            <w:tcW w:w="1470" w:type="dxa"/>
            <w:vMerge/>
            <w:vAlign w:val="center"/>
            <w:hideMark/>
          </w:tcPr>
          <w:p w14:paraId="678D964E"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791" w:type="dxa"/>
            <w:vMerge/>
            <w:vAlign w:val="center"/>
            <w:hideMark/>
          </w:tcPr>
          <w:p w14:paraId="3DCC0B53"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850" w:type="dxa"/>
            <w:shd w:val="clear" w:color="auto" w:fill="auto"/>
            <w:noWrap/>
            <w:vAlign w:val="center"/>
            <w:hideMark/>
          </w:tcPr>
          <w:p w14:paraId="57DB3296"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1377-PJR-P03</w:t>
            </w:r>
          </w:p>
        </w:tc>
        <w:tc>
          <w:tcPr>
            <w:tcW w:w="1985" w:type="dxa"/>
            <w:shd w:val="clear" w:color="auto" w:fill="auto"/>
            <w:noWrap/>
            <w:vAlign w:val="center"/>
            <w:hideMark/>
          </w:tcPr>
          <w:p w14:paraId="0F30909E"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Proyecto de Cooperación Fortalecimiento de Penal Juvenil y Justicia Restaurativa</w:t>
            </w:r>
          </w:p>
        </w:tc>
        <w:tc>
          <w:tcPr>
            <w:tcW w:w="2551" w:type="dxa"/>
            <w:shd w:val="clear" w:color="auto" w:fill="auto"/>
            <w:noWrap/>
            <w:vAlign w:val="center"/>
            <w:hideMark/>
          </w:tcPr>
          <w:p w14:paraId="5528B4FF"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Pendiente aprobación del informe de cierre por parte del patrocinador</w:t>
            </w:r>
          </w:p>
        </w:tc>
        <w:tc>
          <w:tcPr>
            <w:tcW w:w="1134" w:type="dxa"/>
            <w:shd w:val="clear" w:color="auto" w:fill="auto"/>
            <w:noWrap/>
            <w:vAlign w:val="center"/>
            <w:hideMark/>
          </w:tcPr>
          <w:p w14:paraId="15B46BF0"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Capítulo 1</w:t>
            </w:r>
          </w:p>
        </w:tc>
        <w:tc>
          <w:tcPr>
            <w:tcW w:w="993" w:type="dxa"/>
            <w:shd w:val="clear" w:color="auto" w:fill="auto"/>
            <w:noWrap/>
            <w:vAlign w:val="center"/>
            <w:hideMark/>
          </w:tcPr>
          <w:p w14:paraId="459D8CBC"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1.23</w:t>
            </w:r>
          </w:p>
        </w:tc>
      </w:tr>
      <w:tr w:rsidR="007D35E8" w:rsidRPr="004B2445" w14:paraId="402F7F15" w14:textId="77777777" w:rsidTr="00B56C1A">
        <w:trPr>
          <w:trHeight w:val="300"/>
        </w:trPr>
        <w:tc>
          <w:tcPr>
            <w:tcW w:w="1470" w:type="dxa"/>
            <w:vMerge/>
            <w:vAlign w:val="center"/>
            <w:hideMark/>
          </w:tcPr>
          <w:p w14:paraId="7E451ADD"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1791" w:type="dxa"/>
            <w:vMerge/>
            <w:vAlign w:val="center"/>
            <w:hideMark/>
          </w:tcPr>
          <w:p w14:paraId="3C24943C"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p>
        </w:tc>
        <w:tc>
          <w:tcPr>
            <w:tcW w:w="850" w:type="dxa"/>
            <w:shd w:val="clear" w:color="auto" w:fill="auto"/>
            <w:noWrap/>
            <w:vAlign w:val="center"/>
            <w:hideMark/>
          </w:tcPr>
          <w:p w14:paraId="625796B0"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1377-PJR-P06</w:t>
            </w:r>
          </w:p>
        </w:tc>
        <w:tc>
          <w:tcPr>
            <w:tcW w:w="1985" w:type="dxa"/>
            <w:shd w:val="clear" w:color="auto" w:fill="auto"/>
            <w:noWrap/>
            <w:vAlign w:val="center"/>
            <w:hideMark/>
          </w:tcPr>
          <w:p w14:paraId="553CD66C"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Programa de Justicia Restaurativa para el Bienestar Integral del Personal Judicial</w:t>
            </w:r>
          </w:p>
        </w:tc>
        <w:tc>
          <w:tcPr>
            <w:tcW w:w="2551" w:type="dxa"/>
            <w:shd w:val="clear" w:color="auto" w:fill="auto"/>
            <w:noWrap/>
            <w:vAlign w:val="center"/>
            <w:hideMark/>
          </w:tcPr>
          <w:p w14:paraId="19FACA13" w14:textId="77777777" w:rsidR="00E8321A" w:rsidRPr="004B2445" w:rsidRDefault="00E8321A" w:rsidP="00B56C1A">
            <w:pPr>
              <w:spacing w:after="0" w:line="240" w:lineRule="auto"/>
              <w:jc w:val="center"/>
              <w:rPr>
                <w:rFonts w:ascii="Book Antiqua" w:eastAsia="Times New Roman" w:hAnsi="Book Antiqua" w:cs="Calibri"/>
                <w:sz w:val="18"/>
                <w:szCs w:val="18"/>
                <w:lang w:eastAsia="es-CR"/>
              </w:rPr>
            </w:pPr>
            <w:r w:rsidRPr="004B2445">
              <w:rPr>
                <w:rFonts w:ascii="Book Antiqua" w:eastAsia="Times New Roman" w:hAnsi="Book Antiqua" w:cs="Calibri"/>
                <w:sz w:val="18"/>
                <w:szCs w:val="18"/>
                <w:lang w:eastAsia="es-CR"/>
              </w:rPr>
              <w:t xml:space="preserve">Pendiente de subir </w:t>
            </w:r>
            <w:r w:rsidRPr="004B2445">
              <w:rPr>
                <w:rFonts w:ascii="Book Antiqua" w:eastAsia="Times New Roman" w:hAnsi="Book Antiqua" w:cs="Calibri"/>
                <w:b/>
                <w:bCs/>
                <w:sz w:val="18"/>
                <w:szCs w:val="18"/>
                <w:lang w:eastAsia="es-CR"/>
              </w:rPr>
              <w:t>Estudio de factibilidad en el sitio de proyecto.</w:t>
            </w:r>
          </w:p>
        </w:tc>
        <w:tc>
          <w:tcPr>
            <w:tcW w:w="1134" w:type="dxa"/>
            <w:shd w:val="clear" w:color="auto" w:fill="auto"/>
            <w:noWrap/>
            <w:vAlign w:val="center"/>
            <w:hideMark/>
          </w:tcPr>
          <w:p w14:paraId="4526F067"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Capítulo 1</w:t>
            </w:r>
          </w:p>
        </w:tc>
        <w:tc>
          <w:tcPr>
            <w:tcW w:w="993" w:type="dxa"/>
            <w:shd w:val="clear" w:color="auto" w:fill="auto"/>
            <w:noWrap/>
            <w:vAlign w:val="center"/>
            <w:hideMark/>
          </w:tcPr>
          <w:p w14:paraId="01E16D6C" w14:textId="77777777" w:rsidR="00E8321A" w:rsidRPr="004B2445" w:rsidRDefault="00E8321A" w:rsidP="00B56C1A">
            <w:pPr>
              <w:spacing w:after="0" w:line="240" w:lineRule="auto"/>
              <w:jc w:val="center"/>
              <w:rPr>
                <w:rFonts w:ascii="Book Antiqua" w:eastAsia="Times New Roman" w:hAnsi="Book Antiqua" w:cs="Calibri"/>
                <w:color w:val="000000"/>
                <w:sz w:val="18"/>
                <w:szCs w:val="18"/>
                <w:lang w:eastAsia="es-CR"/>
              </w:rPr>
            </w:pPr>
            <w:r w:rsidRPr="004B2445">
              <w:rPr>
                <w:rFonts w:ascii="Book Antiqua" w:eastAsia="Times New Roman" w:hAnsi="Book Antiqua" w:cs="Calibri"/>
                <w:color w:val="000000"/>
                <w:sz w:val="18"/>
                <w:szCs w:val="18"/>
                <w:lang w:eastAsia="es-CR"/>
              </w:rPr>
              <w:t>1.23</w:t>
            </w:r>
          </w:p>
        </w:tc>
      </w:tr>
    </w:tbl>
    <w:p w14:paraId="792B20F8" w14:textId="77777777" w:rsidR="00E8321A" w:rsidRDefault="00E8321A" w:rsidP="00E24FCA">
      <w:pPr>
        <w:spacing w:after="0"/>
        <w:rPr>
          <w:rFonts w:ascii="Book Antiqua" w:hAnsi="Book Antiqua"/>
          <w:b/>
          <w:bCs/>
          <w:sz w:val="24"/>
          <w:szCs w:val="24"/>
        </w:rPr>
      </w:pPr>
      <w:bookmarkStart w:id="203" w:name="_Toc131160630"/>
    </w:p>
    <w:p w14:paraId="069CC0DC" w14:textId="37C8EA97" w:rsidR="00E8321A" w:rsidRPr="00270375" w:rsidRDefault="00E8321A" w:rsidP="00E8321A">
      <w:pPr>
        <w:pStyle w:val="Ttulo2"/>
        <w:spacing w:before="0"/>
        <w:rPr>
          <w:rFonts w:ascii="Book Antiqua" w:hAnsi="Book Antiqua"/>
          <w:b/>
          <w:bCs/>
          <w:color w:val="auto"/>
          <w:sz w:val="24"/>
          <w:szCs w:val="24"/>
        </w:rPr>
      </w:pPr>
      <w:bookmarkStart w:id="204" w:name="_Toc138770908"/>
      <w:r w:rsidRPr="00270375">
        <w:rPr>
          <w:rFonts w:ascii="Book Antiqua" w:hAnsi="Book Antiqua"/>
          <w:b/>
          <w:bCs/>
          <w:color w:val="auto"/>
          <w:sz w:val="24"/>
          <w:szCs w:val="24"/>
        </w:rPr>
        <w:t>Al Segundo Circuito Judicial Zona Sur</w:t>
      </w:r>
      <w:bookmarkEnd w:id="203"/>
      <w:r w:rsidR="00AB0589">
        <w:rPr>
          <w:rFonts w:ascii="Book Antiqua" w:hAnsi="Book Antiqua"/>
          <w:b/>
          <w:bCs/>
          <w:color w:val="auto"/>
          <w:sz w:val="24"/>
          <w:szCs w:val="24"/>
        </w:rPr>
        <w:t xml:space="preserve"> y Dirección Ejecutiva</w:t>
      </w:r>
      <w:bookmarkEnd w:id="204"/>
    </w:p>
    <w:p w14:paraId="469F67A7" w14:textId="77777777" w:rsidR="00E8321A" w:rsidRPr="001D722A" w:rsidRDefault="00E8321A" w:rsidP="00E8321A">
      <w:pPr>
        <w:spacing w:after="0"/>
        <w:rPr>
          <w:rFonts w:ascii="Book Antiqua" w:hAnsi="Book Antiqua"/>
          <w:b/>
          <w:sz w:val="24"/>
          <w:szCs w:val="24"/>
        </w:rPr>
      </w:pPr>
    </w:p>
    <w:p w14:paraId="6C584031" w14:textId="77777777" w:rsidR="00E8321A" w:rsidRDefault="00E8321A" w:rsidP="00EF4E17">
      <w:pPr>
        <w:numPr>
          <w:ilvl w:val="1"/>
          <w:numId w:val="20"/>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Se solicita a más tardar el </w:t>
      </w:r>
      <w:r w:rsidRPr="00373A06">
        <w:rPr>
          <w:rFonts w:ascii="Book Antiqua" w:hAnsi="Book Antiqua"/>
          <w:b/>
          <w:bCs/>
          <w:sz w:val="24"/>
          <w:szCs w:val="24"/>
        </w:rPr>
        <w:t>11 de agosto del 2023</w:t>
      </w:r>
      <w:r w:rsidRPr="001D722A">
        <w:rPr>
          <w:rFonts w:ascii="Book Antiqua" w:hAnsi="Book Antiqua"/>
          <w:sz w:val="24"/>
          <w:szCs w:val="24"/>
        </w:rPr>
        <w:t xml:space="preserve">, cargar en el sitio de proyecto la atención de las siguientes recomendaciones: </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791"/>
        <w:gridCol w:w="850"/>
        <w:gridCol w:w="1985"/>
        <w:gridCol w:w="2410"/>
        <w:gridCol w:w="1275"/>
        <w:gridCol w:w="911"/>
      </w:tblGrid>
      <w:tr w:rsidR="0086493B" w:rsidRPr="00DB24FE" w14:paraId="042DF27D" w14:textId="77777777" w:rsidTr="00B56C1A">
        <w:trPr>
          <w:trHeight w:val="300"/>
        </w:trPr>
        <w:tc>
          <w:tcPr>
            <w:tcW w:w="1470" w:type="dxa"/>
            <w:shd w:val="clear" w:color="000000" w:fill="44546A"/>
            <w:noWrap/>
            <w:vAlign w:val="center"/>
            <w:hideMark/>
          </w:tcPr>
          <w:p w14:paraId="6B5C5A87" w14:textId="77777777" w:rsidR="00E8321A" w:rsidRPr="00DB24FE" w:rsidRDefault="00E8321A" w:rsidP="00B56C1A">
            <w:pPr>
              <w:spacing w:after="0" w:line="240" w:lineRule="auto"/>
              <w:jc w:val="center"/>
              <w:rPr>
                <w:rFonts w:ascii="Book Antiqua" w:eastAsia="Times New Roman" w:hAnsi="Book Antiqua" w:cs="Calibri"/>
                <w:b/>
                <w:bCs/>
                <w:color w:val="FFFFFF"/>
                <w:sz w:val="18"/>
                <w:szCs w:val="18"/>
                <w:lang w:eastAsia="es-CR"/>
              </w:rPr>
            </w:pPr>
            <w:r w:rsidRPr="00DB24FE">
              <w:rPr>
                <w:rFonts w:ascii="Book Antiqua" w:eastAsia="Times New Roman" w:hAnsi="Book Antiqua" w:cs="Calibri"/>
                <w:b/>
                <w:bCs/>
                <w:color w:val="FFFFFF"/>
                <w:sz w:val="18"/>
                <w:szCs w:val="18"/>
                <w:lang w:eastAsia="es-CR"/>
              </w:rPr>
              <w:t>Centro de responsabilidad</w:t>
            </w:r>
          </w:p>
        </w:tc>
        <w:tc>
          <w:tcPr>
            <w:tcW w:w="1791" w:type="dxa"/>
            <w:shd w:val="clear" w:color="000000" w:fill="44546A"/>
            <w:noWrap/>
            <w:vAlign w:val="center"/>
            <w:hideMark/>
          </w:tcPr>
          <w:p w14:paraId="5109D664" w14:textId="77777777" w:rsidR="00E8321A" w:rsidRPr="00DB24FE" w:rsidRDefault="00E8321A" w:rsidP="00B56C1A">
            <w:pPr>
              <w:spacing w:after="0" w:line="240" w:lineRule="auto"/>
              <w:jc w:val="center"/>
              <w:rPr>
                <w:rFonts w:ascii="Book Antiqua" w:eastAsia="Times New Roman" w:hAnsi="Book Antiqua" w:cs="Calibri"/>
                <w:b/>
                <w:bCs/>
                <w:color w:val="FFFFFF"/>
                <w:sz w:val="18"/>
                <w:szCs w:val="18"/>
                <w:lang w:eastAsia="es-CR"/>
              </w:rPr>
            </w:pPr>
            <w:r w:rsidRPr="00DB24FE">
              <w:rPr>
                <w:rFonts w:ascii="Book Antiqua" w:eastAsia="Times New Roman" w:hAnsi="Book Antiqua" w:cs="Calibri"/>
                <w:b/>
                <w:bCs/>
                <w:color w:val="FFFFFF"/>
                <w:sz w:val="18"/>
                <w:szCs w:val="18"/>
                <w:lang w:eastAsia="es-CR"/>
              </w:rPr>
              <w:t>Oficina Líder</w:t>
            </w:r>
          </w:p>
        </w:tc>
        <w:tc>
          <w:tcPr>
            <w:tcW w:w="850" w:type="dxa"/>
            <w:shd w:val="clear" w:color="000000" w:fill="44546A"/>
            <w:noWrap/>
            <w:vAlign w:val="center"/>
            <w:hideMark/>
          </w:tcPr>
          <w:p w14:paraId="0172A328" w14:textId="77777777" w:rsidR="00E8321A" w:rsidRPr="00DB24FE" w:rsidRDefault="00E8321A" w:rsidP="00B56C1A">
            <w:pPr>
              <w:spacing w:after="0" w:line="240" w:lineRule="auto"/>
              <w:jc w:val="center"/>
              <w:rPr>
                <w:rFonts w:ascii="Book Antiqua" w:eastAsia="Times New Roman" w:hAnsi="Book Antiqua" w:cs="Calibri"/>
                <w:b/>
                <w:bCs/>
                <w:color w:val="FFFFFF"/>
                <w:sz w:val="18"/>
                <w:szCs w:val="18"/>
                <w:lang w:eastAsia="es-CR"/>
              </w:rPr>
            </w:pPr>
            <w:r w:rsidRPr="00DB24FE">
              <w:rPr>
                <w:rFonts w:ascii="Book Antiqua" w:eastAsia="Times New Roman" w:hAnsi="Book Antiqua" w:cs="Calibri"/>
                <w:b/>
                <w:bCs/>
                <w:color w:val="FFFFFF"/>
                <w:sz w:val="18"/>
                <w:szCs w:val="18"/>
                <w:lang w:eastAsia="es-CR"/>
              </w:rPr>
              <w:t>Código</w:t>
            </w:r>
          </w:p>
        </w:tc>
        <w:tc>
          <w:tcPr>
            <w:tcW w:w="1985" w:type="dxa"/>
            <w:shd w:val="clear" w:color="000000" w:fill="44546A"/>
            <w:noWrap/>
            <w:vAlign w:val="center"/>
            <w:hideMark/>
          </w:tcPr>
          <w:p w14:paraId="25E9ED6E" w14:textId="77777777" w:rsidR="00E8321A" w:rsidRPr="00DB24FE" w:rsidRDefault="00E8321A" w:rsidP="00B56C1A">
            <w:pPr>
              <w:spacing w:after="0" w:line="240" w:lineRule="auto"/>
              <w:jc w:val="center"/>
              <w:rPr>
                <w:rFonts w:ascii="Book Antiqua" w:eastAsia="Times New Roman" w:hAnsi="Book Antiqua" w:cs="Calibri"/>
                <w:b/>
                <w:bCs/>
                <w:color w:val="FFFFFF"/>
                <w:sz w:val="18"/>
                <w:szCs w:val="18"/>
                <w:lang w:eastAsia="es-CR"/>
              </w:rPr>
            </w:pPr>
            <w:r w:rsidRPr="00DB24FE">
              <w:rPr>
                <w:rFonts w:ascii="Book Antiqua" w:eastAsia="Times New Roman" w:hAnsi="Book Antiqua" w:cs="Calibri"/>
                <w:b/>
                <w:bCs/>
                <w:color w:val="FFFFFF"/>
                <w:sz w:val="18"/>
                <w:szCs w:val="18"/>
                <w:lang w:eastAsia="es-CR"/>
              </w:rPr>
              <w:t>Nombre</w:t>
            </w:r>
          </w:p>
        </w:tc>
        <w:tc>
          <w:tcPr>
            <w:tcW w:w="2410" w:type="dxa"/>
            <w:shd w:val="clear" w:color="000000" w:fill="44546A"/>
            <w:noWrap/>
            <w:vAlign w:val="center"/>
            <w:hideMark/>
          </w:tcPr>
          <w:p w14:paraId="1A465BC6" w14:textId="77777777" w:rsidR="00E8321A" w:rsidRPr="00DB24FE" w:rsidRDefault="00E8321A" w:rsidP="00B56C1A">
            <w:pPr>
              <w:spacing w:after="0" w:line="240" w:lineRule="auto"/>
              <w:jc w:val="center"/>
              <w:rPr>
                <w:rFonts w:ascii="Book Antiqua" w:eastAsia="Times New Roman" w:hAnsi="Book Antiqua" w:cs="Calibri"/>
                <w:b/>
                <w:bCs/>
                <w:color w:val="FFFFFF"/>
                <w:sz w:val="18"/>
                <w:szCs w:val="18"/>
                <w:lang w:eastAsia="es-CR"/>
              </w:rPr>
            </w:pPr>
            <w:r w:rsidRPr="00DB24FE">
              <w:rPr>
                <w:rFonts w:ascii="Book Antiqua" w:eastAsia="Times New Roman" w:hAnsi="Book Antiqua" w:cs="Calibri"/>
                <w:b/>
                <w:bCs/>
                <w:color w:val="FFFFFF"/>
                <w:sz w:val="18"/>
                <w:szCs w:val="18"/>
                <w:lang w:eastAsia="es-CR"/>
              </w:rPr>
              <w:t>Recomendación pendiente</w:t>
            </w:r>
          </w:p>
        </w:tc>
        <w:tc>
          <w:tcPr>
            <w:tcW w:w="1275" w:type="dxa"/>
            <w:shd w:val="clear" w:color="000000" w:fill="44546A"/>
            <w:noWrap/>
            <w:vAlign w:val="center"/>
            <w:hideMark/>
          </w:tcPr>
          <w:p w14:paraId="183B6C7F" w14:textId="77777777" w:rsidR="00E8321A" w:rsidRPr="00DB24FE" w:rsidRDefault="00E8321A" w:rsidP="00B56C1A">
            <w:pPr>
              <w:spacing w:after="0" w:line="240" w:lineRule="auto"/>
              <w:jc w:val="center"/>
              <w:rPr>
                <w:rFonts w:ascii="Book Antiqua" w:eastAsia="Times New Roman" w:hAnsi="Book Antiqua" w:cs="Calibri"/>
                <w:b/>
                <w:bCs/>
                <w:color w:val="FFFFFF"/>
                <w:sz w:val="18"/>
                <w:szCs w:val="18"/>
                <w:lang w:eastAsia="es-CR"/>
              </w:rPr>
            </w:pPr>
            <w:r w:rsidRPr="00DB24FE">
              <w:rPr>
                <w:rFonts w:ascii="Book Antiqua" w:eastAsia="Times New Roman" w:hAnsi="Book Antiqua" w:cs="Calibri"/>
                <w:b/>
                <w:bCs/>
                <w:color w:val="FFFFFF"/>
                <w:sz w:val="18"/>
                <w:szCs w:val="18"/>
                <w:lang w:eastAsia="es-CR"/>
              </w:rPr>
              <w:t>Capítulo del informe</w:t>
            </w:r>
          </w:p>
        </w:tc>
        <w:tc>
          <w:tcPr>
            <w:tcW w:w="851" w:type="dxa"/>
            <w:shd w:val="clear" w:color="000000" w:fill="44546A"/>
            <w:noWrap/>
            <w:vAlign w:val="center"/>
            <w:hideMark/>
          </w:tcPr>
          <w:p w14:paraId="3ABE10C0" w14:textId="77777777" w:rsidR="00E8321A" w:rsidRPr="00DB24FE" w:rsidRDefault="00E8321A" w:rsidP="00B56C1A">
            <w:pPr>
              <w:spacing w:after="0" w:line="240" w:lineRule="auto"/>
              <w:jc w:val="center"/>
              <w:rPr>
                <w:rFonts w:ascii="Book Antiqua" w:eastAsia="Times New Roman" w:hAnsi="Book Antiqua" w:cs="Calibri"/>
                <w:b/>
                <w:bCs/>
                <w:color w:val="FFFFFF"/>
                <w:sz w:val="18"/>
                <w:szCs w:val="18"/>
                <w:lang w:eastAsia="es-CR"/>
              </w:rPr>
            </w:pPr>
            <w:r w:rsidRPr="00DB24FE">
              <w:rPr>
                <w:rFonts w:ascii="Book Antiqua" w:eastAsia="Times New Roman" w:hAnsi="Book Antiqua" w:cs="Calibri"/>
                <w:b/>
                <w:bCs/>
                <w:color w:val="FFFFFF"/>
                <w:sz w:val="18"/>
                <w:szCs w:val="18"/>
                <w:lang w:eastAsia="es-CR"/>
              </w:rPr>
              <w:t>Apartado del informe</w:t>
            </w:r>
          </w:p>
        </w:tc>
      </w:tr>
      <w:tr w:rsidR="0086493B" w:rsidRPr="00DB24FE" w14:paraId="4EC32EA5" w14:textId="77777777" w:rsidTr="00B56C1A">
        <w:trPr>
          <w:trHeight w:val="300"/>
        </w:trPr>
        <w:tc>
          <w:tcPr>
            <w:tcW w:w="1470" w:type="dxa"/>
            <w:shd w:val="clear" w:color="F2F2F2" w:fill="FFFFFF"/>
            <w:noWrap/>
            <w:vAlign w:val="center"/>
            <w:hideMark/>
          </w:tcPr>
          <w:p w14:paraId="0935A66D" w14:textId="77777777" w:rsidR="00E8321A" w:rsidRPr="00DB24FE" w:rsidRDefault="00E8321A" w:rsidP="00B56C1A">
            <w:pPr>
              <w:spacing w:after="0" w:line="240" w:lineRule="auto"/>
              <w:jc w:val="center"/>
              <w:rPr>
                <w:rFonts w:ascii="Book Antiqua" w:eastAsia="Times New Roman" w:hAnsi="Book Antiqua" w:cs="Calibri"/>
                <w:color w:val="000000"/>
                <w:sz w:val="18"/>
                <w:szCs w:val="18"/>
                <w:lang w:eastAsia="es-CR"/>
              </w:rPr>
            </w:pPr>
            <w:r w:rsidRPr="00DB24FE">
              <w:rPr>
                <w:rFonts w:ascii="Book Antiqua" w:eastAsia="Times New Roman" w:hAnsi="Book Antiqua" w:cs="Calibri"/>
                <w:color w:val="000000"/>
                <w:sz w:val="18"/>
                <w:szCs w:val="18"/>
                <w:lang w:eastAsia="es-CR"/>
              </w:rPr>
              <w:t>Segundo Circuito Judicial Zona Sur</w:t>
            </w:r>
          </w:p>
        </w:tc>
        <w:tc>
          <w:tcPr>
            <w:tcW w:w="1791" w:type="dxa"/>
            <w:shd w:val="clear" w:color="F2F2F2" w:fill="FFFFFF"/>
            <w:noWrap/>
            <w:vAlign w:val="center"/>
            <w:hideMark/>
          </w:tcPr>
          <w:p w14:paraId="6A3E65C2" w14:textId="77777777" w:rsidR="00E8321A" w:rsidRPr="00DB24FE" w:rsidRDefault="00E8321A" w:rsidP="00B56C1A">
            <w:pPr>
              <w:spacing w:after="0" w:line="240" w:lineRule="auto"/>
              <w:jc w:val="center"/>
              <w:rPr>
                <w:rFonts w:ascii="Book Antiqua" w:eastAsia="Times New Roman" w:hAnsi="Book Antiqua" w:cs="Calibri"/>
                <w:color w:val="000000"/>
                <w:sz w:val="18"/>
                <w:szCs w:val="18"/>
                <w:lang w:eastAsia="es-CR"/>
              </w:rPr>
            </w:pPr>
            <w:r w:rsidRPr="00DB24FE">
              <w:rPr>
                <w:rFonts w:ascii="Book Antiqua" w:eastAsia="Times New Roman" w:hAnsi="Book Antiqua" w:cs="Calibri"/>
                <w:color w:val="000000"/>
                <w:sz w:val="18"/>
                <w:szCs w:val="18"/>
                <w:lang w:eastAsia="es-CR"/>
              </w:rPr>
              <w:t>0149 Departamento de Servicios Generales</w:t>
            </w:r>
          </w:p>
        </w:tc>
        <w:tc>
          <w:tcPr>
            <w:tcW w:w="850" w:type="dxa"/>
            <w:shd w:val="clear" w:color="000000" w:fill="FFFFFF"/>
            <w:noWrap/>
            <w:vAlign w:val="center"/>
            <w:hideMark/>
          </w:tcPr>
          <w:p w14:paraId="76D2AC39" w14:textId="77777777" w:rsidR="00E8321A" w:rsidRPr="00DB24FE" w:rsidRDefault="00E8321A" w:rsidP="00B56C1A">
            <w:pPr>
              <w:spacing w:after="0" w:line="240" w:lineRule="auto"/>
              <w:jc w:val="center"/>
              <w:rPr>
                <w:rFonts w:ascii="Book Antiqua" w:eastAsia="Times New Roman" w:hAnsi="Book Antiqua" w:cs="Calibri"/>
                <w:color w:val="000000"/>
                <w:sz w:val="18"/>
                <w:szCs w:val="18"/>
                <w:lang w:eastAsia="es-CR"/>
              </w:rPr>
            </w:pPr>
            <w:r w:rsidRPr="00DB24FE">
              <w:rPr>
                <w:rFonts w:ascii="Book Antiqua" w:eastAsia="Times New Roman" w:hAnsi="Book Antiqua" w:cs="Calibri"/>
                <w:color w:val="000000"/>
                <w:sz w:val="18"/>
                <w:szCs w:val="18"/>
                <w:lang w:eastAsia="es-CR"/>
              </w:rPr>
              <w:t>0117-DE-P70</w:t>
            </w:r>
          </w:p>
        </w:tc>
        <w:tc>
          <w:tcPr>
            <w:tcW w:w="1985" w:type="dxa"/>
            <w:shd w:val="clear" w:color="000000" w:fill="FFFFFF"/>
            <w:noWrap/>
            <w:vAlign w:val="center"/>
            <w:hideMark/>
          </w:tcPr>
          <w:p w14:paraId="0B26045E" w14:textId="77777777" w:rsidR="00E8321A" w:rsidRPr="00DB24FE" w:rsidRDefault="00E8321A" w:rsidP="00B56C1A">
            <w:pPr>
              <w:spacing w:after="0" w:line="240" w:lineRule="auto"/>
              <w:jc w:val="center"/>
              <w:rPr>
                <w:rFonts w:ascii="Book Antiqua" w:eastAsia="Times New Roman" w:hAnsi="Book Antiqua" w:cs="Calibri"/>
                <w:color w:val="000000"/>
                <w:sz w:val="18"/>
                <w:szCs w:val="18"/>
                <w:lang w:eastAsia="es-CR"/>
              </w:rPr>
            </w:pPr>
            <w:r w:rsidRPr="00DB24FE">
              <w:rPr>
                <w:rFonts w:ascii="Book Antiqua" w:eastAsia="Times New Roman" w:hAnsi="Book Antiqua" w:cs="Calibri"/>
                <w:color w:val="000000"/>
                <w:sz w:val="18"/>
                <w:szCs w:val="18"/>
                <w:lang w:eastAsia="es-CR"/>
              </w:rPr>
              <w:t>Construcción de planta de tratamiento para el Edificio de Tribunales de Corredores</w:t>
            </w:r>
          </w:p>
        </w:tc>
        <w:tc>
          <w:tcPr>
            <w:tcW w:w="2410" w:type="dxa"/>
            <w:shd w:val="clear" w:color="000000" w:fill="FFFFFF"/>
            <w:noWrap/>
            <w:vAlign w:val="center"/>
            <w:hideMark/>
          </w:tcPr>
          <w:p w14:paraId="4C822ECA" w14:textId="77777777" w:rsidR="00E8321A" w:rsidRPr="00DB24FE" w:rsidRDefault="00E8321A" w:rsidP="00B56C1A">
            <w:pPr>
              <w:spacing w:after="0" w:line="240" w:lineRule="auto"/>
              <w:jc w:val="center"/>
              <w:rPr>
                <w:rFonts w:ascii="Book Antiqua" w:eastAsia="Times New Roman" w:hAnsi="Book Antiqua" w:cs="Calibri"/>
                <w:color w:val="000000"/>
                <w:sz w:val="18"/>
                <w:szCs w:val="18"/>
                <w:lang w:eastAsia="es-CR"/>
              </w:rPr>
            </w:pPr>
            <w:r w:rsidRPr="00DB24FE">
              <w:rPr>
                <w:rFonts w:ascii="Book Antiqua" w:eastAsia="Times New Roman" w:hAnsi="Book Antiqua" w:cs="Calibri"/>
                <w:color w:val="000000"/>
                <w:sz w:val="18"/>
                <w:szCs w:val="18"/>
                <w:lang w:eastAsia="es-CR"/>
              </w:rPr>
              <w:t>Pendiente atender correcciones enviadas el 17/3/23 sobre Estudio de factibilidad, acta de constitución, Plan de Gestión.</w:t>
            </w:r>
          </w:p>
        </w:tc>
        <w:tc>
          <w:tcPr>
            <w:tcW w:w="1275" w:type="dxa"/>
            <w:shd w:val="clear" w:color="auto" w:fill="auto"/>
            <w:noWrap/>
            <w:vAlign w:val="center"/>
            <w:hideMark/>
          </w:tcPr>
          <w:p w14:paraId="3949CE67" w14:textId="77777777" w:rsidR="00E8321A" w:rsidRPr="00DB24FE" w:rsidRDefault="00E8321A" w:rsidP="00B56C1A">
            <w:pPr>
              <w:spacing w:after="0" w:line="240" w:lineRule="auto"/>
              <w:jc w:val="center"/>
              <w:rPr>
                <w:rFonts w:ascii="Book Antiqua" w:eastAsia="Times New Roman" w:hAnsi="Book Antiqua" w:cs="Calibri"/>
                <w:color w:val="000000"/>
                <w:sz w:val="18"/>
                <w:szCs w:val="18"/>
                <w:lang w:eastAsia="es-CR"/>
              </w:rPr>
            </w:pPr>
            <w:r w:rsidRPr="00DB24FE">
              <w:rPr>
                <w:rFonts w:ascii="Book Antiqua" w:eastAsia="Times New Roman" w:hAnsi="Book Antiqua" w:cs="Calibri"/>
                <w:color w:val="000000"/>
                <w:sz w:val="18"/>
                <w:szCs w:val="18"/>
                <w:lang w:eastAsia="es-CR"/>
              </w:rPr>
              <w:t>Capítulo 1</w:t>
            </w:r>
          </w:p>
        </w:tc>
        <w:tc>
          <w:tcPr>
            <w:tcW w:w="851" w:type="dxa"/>
            <w:shd w:val="clear" w:color="auto" w:fill="auto"/>
            <w:noWrap/>
            <w:vAlign w:val="center"/>
            <w:hideMark/>
          </w:tcPr>
          <w:p w14:paraId="5F802925" w14:textId="77777777" w:rsidR="00E8321A" w:rsidRPr="00DB24FE" w:rsidRDefault="00E8321A" w:rsidP="00B56C1A">
            <w:pPr>
              <w:spacing w:after="0" w:line="240" w:lineRule="auto"/>
              <w:jc w:val="center"/>
              <w:rPr>
                <w:rFonts w:ascii="Book Antiqua" w:eastAsia="Times New Roman" w:hAnsi="Book Antiqua" w:cs="Calibri"/>
                <w:color w:val="000000"/>
                <w:sz w:val="18"/>
                <w:szCs w:val="18"/>
                <w:lang w:eastAsia="es-CR"/>
              </w:rPr>
            </w:pPr>
            <w:r w:rsidRPr="00DB24FE">
              <w:rPr>
                <w:rFonts w:ascii="Book Antiqua" w:eastAsia="Times New Roman" w:hAnsi="Book Antiqua" w:cs="Calibri"/>
                <w:color w:val="000000"/>
                <w:sz w:val="18"/>
                <w:szCs w:val="18"/>
                <w:lang w:eastAsia="es-CR"/>
              </w:rPr>
              <w:t>1.25</w:t>
            </w:r>
          </w:p>
        </w:tc>
      </w:tr>
    </w:tbl>
    <w:p w14:paraId="1CB79A3B" w14:textId="6515CC46" w:rsidR="009F15D7" w:rsidRDefault="009F15D7" w:rsidP="008B5C2D">
      <w:pPr>
        <w:jc w:val="both"/>
        <w:rPr>
          <w:rFonts w:ascii="Book Antiqua" w:hAnsi="Book Antiqua"/>
          <w:lang w:eastAsia="ko-KR"/>
        </w:rPr>
      </w:pPr>
    </w:p>
    <w:p w14:paraId="104A8D6C" w14:textId="77777777" w:rsidR="008A1D31" w:rsidRDefault="008A1D31" w:rsidP="008B5C2D">
      <w:pPr>
        <w:jc w:val="both"/>
        <w:rPr>
          <w:rFonts w:ascii="Book Antiqua" w:hAnsi="Book Antiqua"/>
          <w:lang w:eastAsia="ko-KR"/>
        </w:rPr>
      </w:pPr>
    </w:p>
    <w:p w14:paraId="38C5F45C" w14:textId="1B07FD47" w:rsidR="004C077D" w:rsidRDefault="004C077D" w:rsidP="004C077D">
      <w:pPr>
        <w:pStyle w:val="Ttulo2"/>
        <w:spacing w:before="0"/>
        <w:rPr>
          <w:rFonts w:ascii="Book Antiqua" w:hAnsi="Book Antiqua"/>
          <w:b/>
          <w:bCs/>
          <w:color w:val="auto"/>
          <w:sz w:val="24"/>
          <w:szCs w:val="24"/>
        </w:rPr>
      </w:pPr>
      <w:bookmarkStart w:id="205" w:name="_Toc138770909"/>
      <w:r w:rsidRPr="00270375">
        <w:rPr>
          <w:rFonts w:ascii="Book Antiqua" w:hAnsi="Book Antiqua"/>
          <w:b/>
          <w:bCs/>
          <w:color w:val="auto"/>
          <w:sz w:val="24"/>
          <w:szCs w:val="24"/>
        </w:rPr>
        <w:lastRenderedPageBreak/>
        <w:t>A</w:t>
      </w:r>
      <w:r w:rsidR="0014464E">
        <w:rPr>
          <w:rFonts w:ascii="Book Antiqua" w:hAnsi="Book Antiqua"/>
          <w:b/>
          <w:bCs/>
          <w:color w:val="auto"/>
          <w:sz w:val="24"/>
          <w:szCs w:val="24"/>
        </w:rPr>
        <w:t xml:space="preserve"> </w:t>
      </w:r>
      <w:r w:rsidRPr="00270375">
        <w:rPr>
          <w:rFonts w:ascii="Book Antiqua" w:hAnsi="Book Antiqua"/>
          <w:b/>
          <w:bCs/>
          <w:color w:val="auto"/>
          <w:sz w:val="24"/>
          <w:szCs w:val="24"/>
        </w:rPr>
        <w:t>l</w:t>
      </w:r>
      <w:r w:rsidR="0014464E">
        <w:rPr>
          <w:rFonts w:ascii="Book Antiqua" w:hAnsi="Book Antiqua"/>
          <w:b/>
          <w:bCs/>
          <w:color w:val="auto"/>
          <w:sz w:val="24"/>
          <w:szCs w:val="24"/>
        </w:rPr>
        <w:t xml:space="preserve">a </w:t>
      </w:r>
      <w:r w:rsidR="00A2751C">
        <w:rPr>
          <w:rFonts w:ascii="Book Antiqua" w:hAnsi="Book Antiqua"/>
          <w:b/>
          <w:bCs/>
          <w:color w:val="auto"/>
          <w:sz w:val="24"/>
          <w:szCs w:val="24"/>
        </w:rPr>
        <w:t xml:space="preserve"> </w:t>
      </w:r>
      <w:r w:rsidR="0014464E">
        <w:rPr>
          <w:rFonts w:ascii="Book Antiqua" w:hAnsi="Book Antiqua"/>
          <w:b/>
          <w:bCs/>
          <w:color w:val="auto"/>
          <w:sz w:val="24"/>
          <w:szCs w:val="24"/>
        </w:rPr>
        <w:t>Dirección de Planificación</w:t>
      </w:r>
      <w:bookmarkEnd w:id="205"/>
      <w:r w:rsidR="0014464E">
        <w:rPr>
          <w:rFonts w:ascii="Book Antiqua" w:hAnsi="Book Antiqua"/>
          <w:b/>
          <w:bCs/>
          <w:color w:val="auto"/>
          <w:sz w:val="24"/>
          <w:szCs w:val="24"/>
        </w:rPr>
        <w:t xml:space="preserve"> </w:t>
      </w:r>
    </w:p>
    <w:p w14:paraId="4BE4D477" w14:textId="77777777" w:rsidR="0014464E" w:rsidRPr="00EF4E17" w:rsidRDefault="0014464E" w:rsidP="00EF4E17">
      <w:pPr>
        <w:spacing w:after="0"/>
      </w:pPr>
    </w:p>
    <w:p w14:paraId="5373E041" w14:textId="77777777" w:rsidR="0014464E" w:rsidRDefault="0014464E" w:rsidP="0014464E">
      <w:pPr>
        <w:numPr>
          <w:ilvl w:val="1"/>
          <w:numId w:val="20"/>
        </w:numPr>
        <w:spacing w:after="0" w:line="240" w:lineRule="auto"/>
        <w:ind w:left="567" w:hanging="567"/>
        <w:jc w:val="both"/>
        <w:rPr>
          <w:rFonts w:ascii="Book Antiqua" w:hAnsi="Book Antiqua"/>
          <w:sz w:val="24"/>
          <w:szCs w:val="24"/>
        </w:rPr>
      </w:pPr>
      <w:r w:rsidRPr="001D722A">
        <w:rPr>
          <w:rFonts w:ascii="Book Antiqua" w:hAnsi="Book Antiqua"/>
          <w:sz w:val="24"/>
          <w:szCs w:val="24"/>
        </w:rPr>
        <w:t xml:space="preserve">Se solicita a más tardar el </w:t>
      </w:r>
      <w:r w:rsidRPr="00373A06">
        <w:rPr>
          <w:rFonts w:ascii="Book Antiqua" w:hAnsi="Book Antiqua"/>
          <w:b/>
          <w:bCs/>
          <w:sz w:val="24"/>
          <w:szCs w:val="24"/>
        </w:rPr>
        <w:t>11 de agosto del 2023</w:t>
      </w:r>
      <w:r w:rsidRPr="001D722A">
        <w:rPr>
          <w:rFonts w:ascii="Book Antiqua" w:hAnsi="Book Antiqua"/>
          <w:sz w:val="24"/>
          <w:szCs w:val="24"/>
        </w:rPr>
        <w:t xml:space="preserve">, cargar en el sitio de proyecto la atención de las siguientes recomendaciones: </w:t>
      </w:r>
    </w:p>
    <w:tbl>
      <w:tblPr>
        <w:tblW w:w="1069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1791"/>
        <w:gridCol w:w="850"/>
        <w:gridCol w:w="1985"/>
        <w:gridCol w:w="2410"/>
        <w:gridCol w:w="1275"/>
        <w:gridCol w:w="911"/>
      </w:tblGrid>
      <w:tr w:rsidR="008A1D31" w:rsidRPr="00DB24FE" w14:paraId="46E2CEC0" w14:textId="77777777" w:rsidTr="008A1D31">
        <w:trPr>
          <w:trHeight w:val="300"/>
          <w:tblHeader/>
        </w:trPr>
        <w:tc>
          <w:tcPr>
            <w:tcW w:w="1470" w:type="dxa"/>
            <w:shd w:val="clear" w:color="000000" w:fill="44546A"/>
            <w:noWrap/>
            <w:vAlign w:val="center"/>
            <w:hideMark/>
          </w:tcPr>
          <w:p w14:paraId="4A6AEEC0" w14:textId="77777777" w:rsidR="0014464E" w:rsidRPr="00DB24FE" w:rsidRDefault="0014464E" w:rsidP="00F966FA">
            <w:pPr>
              <w:spacing w:after="0" w:line="240" w:lineRule="auto"/>
              <w:jc w:val="center"/>
              <w:rPr>
                <w:rFonts w:ascii="Book Antiqua" w:eastAsia="Times New Roman" w:hAnsi="Book Antiqua" w:cs="Calibri"/>
                <w:b/>
                <w:bCs/>
                <w:color w:val="FFFFFF"/>
                <w:sz w:val="18"/>
                <w:szCs w:val="18"/>
                <w:lang w:eastAsia="es-CR"/>
              </w:rPr>
            </w:pPr>
            <w:r w:rsidRPr="00DB24FE">
              <w:rPr>
                <w:rFonts w:ascii="Book Antiqua" w:eastAsia="Times New Roman" w:hAnsi="Book Antiqua" w:cs="Calibri"/>
                <w:b/>
                <w:bCs/>
                <w:color w:val="FFFFFF"/>
                <w:sz w:val="18"/>
                <w:szCs w:val="18"/>
                <w:lang w:eastAsia="es-CR"/>
              </w:rPr>
              <w:t>Centro de responsabilidad</w:t>
            </w:r>
          </w:p>
        </w:tc>
        <w:tc>
          <w:tcPr>
            <w:tcW w:w="1791" w:type="dxa"/>
            <w:shd w:val="clear" w:color="000000" w:fill="44546A"/>
            <w:noWrap/>
            <w:vAlign w:val="center"/>
            <w:hideMark/>
          </w:tcPr>
          <w:p w14:paraId="03562195" w14:textId="77777777" w:rsidR="0014464E" w:rsidRPr="00DB24FE" w:rsidRDefault="0014464E" w:rsidP="00F966FA">
            <w:pPr>
              <w:spacing w:after="0" w:line="240" w:lineRule="auto"/>
              <w:jc w:val="center"/>
              <w:rPr>
                <w:rFonts w:ascii="Book Antiqua" w:eastAsia="Times New Roman" w:hAnsi="Book Antiqua" w:cs="Calibri"/>
                <w:b/>
                <w:bCs/>
                <w:color w:val="FFFFFF"/>
                <w:sz w:val="18"/>
                <w:szCs w:val="18"/>
                <w:lang w:eastAsia="es-CR"/>
              </w:rPr>
            </w:pPr>
            <w:r w:rsidRPr="00DB24FE">
              <w:rPr>
                <w:rFonts w:ascii="Book Antiqua" w:eastAsia="Times New Roman" w:hAnsi="Book Antiqua" w:cs="Calibri"/>
                <w:b/>
                <w:bCs/>
                <w:color w:val="FFFFFF"/>
                <w:sz w:val="18"/>
                <w:szCs w:val="18"/>
                <w:lang w:eastAsia="es-CR"/>
              </w:rPr>
              <w:t>Oficina Líder</w:t>
            </w:r>
          </w:p>
        </w:tc>
        <w:tc>
          <w:tcPr>
            <w:tcW w:w="850" w:type="dxa"/>
            <w:shd w:val="clear" w:color="000000" w:fill="44546A"/>
            <w:noWrap/>
            <w:vAlign w:val="center"/>
            <w:hideMark/>
          </w:tcPr>
          <w:p w14:paraId="1A52FED6" w14:textId="77777777" w:rsidR="0014464E" w:rsidRPr="00DB24FE" w:rsidRDefault="0014464E" w:rsidP="00F966FA">
            <w:pPr>
              <w:spacing w:after="0" w:line="240" w:lineRule="auto"/>
              <w:jc w:val="center"/>
              <w:rPr>
                <w:rFonts w:ascii="Book Antiqua" w:eastAsia="Times New Roman" w:hAnsi="Book Antiqua" w:cs="Calibri"/>
                <w:b/>
                <w:bCs/>
                <w:color w:val="FFFFFF"/>
                <w:sz w:val="18"/>
                <w:szCs w:val="18"/>
                <w:lang w:eastAsia="es-CR"/>
              </w:rPr>
            </w:pPr>
            <w:r w:rsidRPr="00DB24FE">
              <w:rPr>
                <w:rFonts w:ascii="Book Antiqua" w:eastAsia="Times New Roman" w:hAnsi="Book Antiqua" w:cs="Calibri"/>
                <w:b/>
                <w:bCs/>
                <w:color w:val="FFFFFF"/>
                <w:sz w:val="18"/>
                <w:szCs w:val="18"/>
                <w:lang w:eastAsia="es-CR"/>
              </w:rPr>
              <w:t>Código</w:t>
            </w:r>
          </w:p>
        </w:tc>
        <w:tc>
          <w:tcPr>
            <w:tcW w:w="1985" w:type="dxa"/>
            <w:shd w:val="clear" w:color="000000" w:fill="44546A"/>
            <w:noWrap/>
            <w:vAlign w:val="center"/>
            <w:hideMark/>
          </w:tcPr>
          <w:p w14:paraId="7D0729EF" w14:textId="77777777" w:rsidR="0014464E" w:rsidRPr="00DB24FE" w:rsidRDefault="0014464E" w:rsidP="00F966FA">
            <w:pPr>
              <w:spacing w:after="0" w:line="240" w:lineRule="auto"/>
              <w:jc w:val="center"/>
              <w:rPr>
                <w:rFonts w:ascii="Book Antiqua" w:eastAsia="Times New Roman" w:hAnsi="Book Antiqua" w:cs="Calibri"/>
                <w:b/>
                <w:bCs/>
                <w:color w:val="FFFFFF"/>
                <w:sz w:val="18"/>
                <w:szCs w:val="18"/>
                <w:lang w:eastAsia="es-CR"/>
              </w:rPr>
            </w:pPr>
            <w:r w:rsidRPr="00DB24FE">
              <w:rPr>
                <w:rFonts w:ascii="Book Antiqua" w:eastAsia="Times New Roman" w:hAnsi="Book Antiqua" w:cs="Calibri"/>
                <w:b/>
                <w:bCs/>
                <w:color w:val="FFFFFF"/>
                <w:sz w:val="18"/>
                <w:szCs w:val="18"/>
                <w:lang w:eastAsia="es-CR"/>
              </w:rPr>
              <w:t>Nombre</w:t>
            </w:r>
          </w:p>
        </w:tc>
        <w:tc>
          <w:tcPr>
            <w:tcW w:w="2410" w:type="dxa"/>
            <w:shd w:val="clear" w:color="000000" w:fill="44546A"/>
            <w:noWrap/>
            <w:vAlign w:val="center"/>
            <w:hideMark/>
          </w:tcPr>
          <w:p w14:paraId="16E0BFFF" w14:textId="77777777" w:rsidR="0014464E" w:rsidRPr="00DB24FE" w:rsidRDefault="0014464E" w:rsidP="00F966FA">
            <w:pPr>
              <w:spacing w:after="0" w:line="240" w:lineRule="auto"/>
              <w:jc w:val="center"/>
              <w:rPr>
                <w:rFonts w:ascii="Book Antiqua" w:eastAsia="Times New Roman" w:hAnsi="Book Antiqua" w:cs="Calibri"/>
                <w:b/>
                <w:bCs/>
                <w:color w:val="FFFFFF"/>
                <w:sz w:val="18"/>
                <w:szCs w:val="18"/>
                <w:lang w:eastAsia="es-CR"/>
              </w:rPr>
            </w:pPr>
            <w:r w:rsidRPr="00DB24FE">
              <w:rPr>
                <w:rFonts w:ascii="Book Antiqua" w:eastAsia="Times New Roman" w:hAnsi="Book Antiqua" w:cs="Calibri"/>
                <w:b/>
                <w:bCs/>
                <w:color w:val="FFFFFF"/>
                <w:sz w:val="18"/>
                <w:szCs w:val="18"/>
                <w:lang w:eastAsia="es-CR"/>
              </w:rPr>
              <w:t>Recomendación pendiente</w:t>
            </w:r>
          </w:p>
        </w:tc>
        <w:tc>
          <w:tcPr>
            <w:tcW w:w="1275" w:type="dxa"/>
            <w:shd w:val="clear" w:color="000000" w:fill="44546A"/>
            <w:noWrap/>
            <w:vAlign w:val="center"/>
            <w:hideMark/>
          </w:tcPr>
          <w:p w14:paraId="47324B04" w14:textId="77777777" w:rsidR="0014464E" w:rsidRPr="00DB24FE" w:rsidRDefault="0014464E" w:rsidP="00F966FA">
            <w:pPr>
              <w:spacing w:after="0" w:line="240" w:lineRule="auto"/>
              <w:jc w:val="center"/>
              <w:rPr>
                <w:rFonts w:ascii="Book Antiqua" w:eastAsia="Times New Roman" w:hAnsi="Book Antiqua" w:cs="Calibri"/>
                <w:b/>
                <w:bCs/>
                <w:color w:val="FFFFFF"/>
                <w:sz w:val="18"/>
                <w:szCs w:val="18"/>
                <w:lang w:eastAsia="es-CR"/>
              </w:rPr>
            </w:pPr>
            <w:r w:rsidRPr="00DB24FE">
              <w:rPr>
                <w:rFonts w:ascii="Book Antiqua" w:eastAsia="Times New Roman" w:hAnsi="Book Antiqua" w:cs="Calibri"/>
                <w:b/>
                <w:bCs/>
                <w:color w:val="FFFFFF"/>
                <w:sz w:val="18"/>
                <w:szCs w:val="18"/>
                <w:lang w:eastAsia="es-CR"/>
              </w:rPr>
              <w:t>Capítulo del informe</w:t>
            </w:r>
          </w:p>
        </w:tc>
        <w:tc>
          <w:tcPr>
            <w:tcW w:w="911" w:type="dxa"/>
            <w:shd w:val="clear" w:color="000000" w:fill="44546A"/>
            <w:noWrap/>
            <w:vAlign w:val="center"/>
            <w:hideMark/>
          </w:tcPr>
          <w:p w14:paraId="6F74A6D3" w14:textId="77777777" w:rsidR="0014464E" w:rsidRPr="00DB24FE" w:rsidRDefault="0014464E" w:rsidP="00F966FA">
            <w:pPr>
              <w:spacing w:after="0" w:line="240" w:lineRule="auto"/>
              <w:jc w:val="center"/>
              <w:rPr>
                <w:rFonts w:ascii="Book Antiqua" w:eastAsia="Times New Roman" w:hAnsi="Book Antiqua" w:cs="Calibri"/>
                <w:b/>
                <w:bCs/>
                <w:color w:val="FFFFFF"/>
                <w:sz w:val="18"/>
                <w:szCs w:val="18"/>
                <w:lang w:eastAsia="es-CR"/>
              </w:rPr>
            </w:pPr>
            <w:r w:rsidRPr="00DB24FE">
              <w:rPr>
                <w:rFonts w:ascii="Book Antiqua" w:eastAsia="Times New Roman" w:hAnsi="Book Antiqua" w:cs="Calibri"/>
                <w:b/>
                <w:bCs/>
                <w:color w:val="FFFFFF"/>
                <w:sz w:val="18"/>
                <w:szCs w:val="18"/>
                <w:lang w:eastAsia="es-CR"/>
              </w:rPr>
              <w:t>Apartado del informe</w:t>
            </w:r>
          </w:p>
        </w:tc>
      </w:tr>
      <w:tr w:rsidR="006B5202" w:rsidRPr="00DB24FE" w14:paraId="3D36ACC1" w14:textId="77777777" w:rsidTr="00376FBE">
        <w:trPr>
          <w:trHeight w:val="300"/>
        </w:trPr>
        <w:tc>
          <w:tcPr>
            <w:tcW w:w="1470" w:type="dxa"/>
            <w:shd w:val="clear" w:color="F2F2F2" w:fill="FFFFFF"/>
            <w:noWrap/>
            <w:vAlign w:val="center"/>
            <w:hideMark/>
          </w:tcPr>
          <w:p w14:paraId="14F59F91" w14:textId="4856BD67" w:rsidR="00F803E3" w:rsidRPr="003C2F9E" w:rsidRDefault="005A5CAA" w:rsidP="00F803E3">
            <w:pPr>
              <w:spacing w:after="0" w:line="240" w:lineRule="auto"/>
              <w:jc w:val="center"/>
              <w:rPr>
                <w:rFonts w:ascii="Book Antiqua" w:eastAsia="Times New Roman" w:hAnsi="Book Antiqua" w:cs="Calibri"/>
                <w:color w:val="000000"/>
                <w:sz w:val="18"/>
                <w:szCs w:val="18"/>
                <w:lang w:eastAsia="es-CR"/>
              </w:rPr>
            </w:pPr>
            <w:r w:rsidRPr="003C2F9E">
              <w:rPr>
                <w:rFonts w:ascii="Book Antiqua" w:eastAsia="Times New Roman" w:hAnsi="Book Antiqua" w:cs="Calibri"/>
                <w:color w:val="000000"/>
                <w:sz w:val="18"/>
                <w:szCs w:val="18"/>
                <w:lang w:eastAsia="es-CR"/>
              </w:rPr>
              <w:t>Comisi</w:t>
            </w:r>
            <w:r w:rsidR="005F4FEE" w:rsidRPr="003C2F9E">
              <w:rPr>
                <w:rFonts w:ascii="Book Antiqua" w:eastAsia="Times New Roman" w:hAnsi="Book Antiqua" w:cs="Calibri"/>
                <w:color w:val="000000"/>
                <w:sz w:val="18"/>
                <w:szCs w:val="18"/>
                <w:lang w:eastAsia="es-CR"/>
              </w:rPr>
              <w:t>ones Institucionales</w:t>
            </w:r>
            <w:r w:rsidRPr="003C2F9E">
              <w:rPr>
                <w:rFonts w:ascii="Book Antiqua" w:eastAsia="Times New Roman" w:hAnsi="Book Antiqua" w:cs="Calibri"/>
                <w:color w:val="000000"/>
                <w:sz w:val="18"/>
                <w:szCs w:val="18"/>
                <w:lang w:eastAsia="es-CR"/>
              </w:rPr>
              <w:t xml:space="preserve"> </w:t>
            </w:r>
          </w:p>
        </w:tc>
        <w:tc>
          <w:tcPr>
            <w:tcW w:w="1791" w:type="dxa"/>
            <w:shd w:val="clear" w:color="F2F2F2" w:fill="FFFFFF"/>
            <w:noWrap/>
            <w:vAlign w:val="center"/>
            <w:hideMark/>
          </w:tcPr>
          <w:p w14:paraId="2693D022" w14:textId="77777777" w:rsidR="00F803E3" w:rsidRPr="003C2F9E" w:rsidRDefault="00F803E3" w:rsidP="00EF4E17">
            <w:pPr>
              <w:spacing w:after="0" w:line="240" w:lineRule="auto"/>
              <w:jc w:val="both"/>
              <w:rPr>
                <w:rFonts w:ascii="Book Antiqua" w:eastAsia="Times New Roman" w:hAnsi="Book Antiqua" w:cs="Calibri"/>
                <w:color w:val="000000"/>
                <w:sz w:val="18"/>
                <w:szCs w:val="18"/>
                <w:lang w:eastAsia="es-CR"/>
              </w:rPr>
            </w:pPr>
          </w:p>
          <w:p w14:paraId="2DF73FEA" w14:textId="21E85231" w:rsidR="005F4FEE" w:rsidRPr="00EF4E17" w:rsidRDefault="005F4FEE" w:rsidP="00EF4E17">
            <w:pPr>
              <w:jc w:val="both"/>
              <w:rPr>
                <w:rFonts w:ascii="Book Antiqua" w:eastAsia="Times New Roman" w:hAnsi="Book Antiqua" w:cs="Calibri"/>
                <w:sz w:val="18"/>
                <w:szCs w:val="18"/>
                <w:lang w:eastAsia="es-CR"/>
              </w:rPr>
            </w:pPr>
            <w:r w:rsidRPr="003C2F9E">
              <w:rPr>
                <w:rFonts w:ascii="Book Antiqua" w:eastAsia="Times New Roman" w:hAnsi="Book Antiqua" w:cs="Calibri"/>
                <w:color w:val="000000"/>
                <w:sz w:val="18"/>
                <w:szCs w:val="18"/>
                <w:lang w:eastAsia="es-CR"/>
              </w:rPr>
              <w:t xml:space="preserve">Comisión de Asuntos Penales </w:t>
            </w:r>
            <w:r w:rsidR="003C2F9E">
              <w:rPr>
                <w:rFonts w:ascii="Book Antiqua" w:eastAsia="Times New Roman" w:hAnsi="Book Antiqua" w:cs="Calibri"/>
                <w:color w:val="000000"/>
                <w:sz w:val="18"/>
                <w:szCs w:val="18"/>
                <w:lang w:eastAsia="es-CR"/>
              </w:rPr>
              <w:t xml:space="preserve"> </w:t>
            </w:r>
          </w:p>
        </w:tc>
        <w:tc>
          <w:tcPr>
            <w:tcW w:w="850" w:type="dxa"/>
            <w:shd w:val="clear" w:color="auto" w:fill="FFFFFF"/>
            <w:noWrap/>
            <w:vAlign w:val="center"/>
            <w:hideMark/>
          </w:tcPr>
          <w:p w14:paraId="53AE890E" w14:textId="77777777" w:rsidR="00F803E3" w:rsidRPr="00EF4E17" w:rsidRDefault="00F803E3" w:rsidP="00EF4E17">
            <w:pPr>
              <w:spacing w:after="0" w:line="240" w:lineRule="auto"/>
              <w:jc w:val="both"/>
              <w:textAlignment w:val="baseline"/>
              <w:rPr>
                <w:rFonts w:ascii="Book Antiqua" w:eastAsia="Times New Roman" w:hAnsi="Book Antiqua" w:cs="Segoe UI"/>
                <w:color w:val="000000"/>
                <w:sz w:val="18"/>
                <w:szCs w:val="18"/>
                <w:lang w:eastAsia="es-CR"/>
              </w:rPr>
            </w:pPr>
            <w:r w:rsidRPr="00EF4E17">
              <w:rPr>
                <w:rFonts w:ascii="Book Antiqua" w:eastAsia="Times New Roman" w:hAnsi="Book Antiqua" w:cs="Segoe UI"/>
                <w:color w:val="000000"/>
                <w:sz w:val="18"/>
                <w:szCs w:val="18"/>
                <w:lang w:eastAsia="es-CR"/>
              </w:rPr>
              <w:t>0110-PLA-P13 </w:t>
            </w:r>
          </w:p>
          <w:p w14:paraId="015BBD5E" w14:textId="7518CE48" w:rsidR="00F803E3" w:rsidRPr="003C2F9E" w:rsidRDefault="00F803E3" w:rsidP="00EF4E17">
            <w:pPr>
              <w:spacing w:after="0" w:line="240" w:lineRule="auto"/>
              <w:jc w:val="both"/>
              <w:rPr>
                <w:rFonts w:ascii="Book Antiqua" w:eastAsia="Times New Roman" w:hAnsi="Book Antiqua" w:cs="Calibri"/>
                <w:color w:val="000000"/>
                <w:sz w:val="18"/>
                <w:szCs w:val="18"/>
                <w:lang w:eastAsia="es-CR"/>
              </w:rPr>
            </w:pPr>
          </w:p>
        </w:tc>
        <w:tc>
          <w:tcPr>
            <w:tcW w:w="1985" w:type="dxa"/>
            <w:shd w:val="clear" w:color="auto" w:fill="FFFFFF"/>
            <w:noWrap/>
            <w:vAlign w:val="center"/>
            <w:hideMark/>
          </w:tcPr>
          <w:p w14:paraId="377C6BF5" w14:textId="5FFCCE56" w:rsidR="00F803E3" w:rsidRPr="003C2F9E" w:rsidRDefault="00F803E3" w:rsidP="00EF4E17">
            <w:pPr>
              <w:spacing w:after="0" w:line="240" w:lineRule="auto"/>
              <w:jc w:val="both"/>
              <w:rPr>
                <w:rFonts w:ascii="Book Antiqua" w:eastAsia="Times New Roman" w:hAnsi="Book Antiqua" w:cs="Calibri"/>
                <w:color w:val="000000"/>
                <w:sz w:val="18"/>
                <w:szCs w:val="18"/>
                <w:lang w:eastAsia="es-CR"/>
              </w:rPr>
            </w:pPr>
            <w:r w:rsidRPr="00EF4E17">
              <w:rPr>
                <w:rFonts w:ascii="Book Antiqua" w:eastAsia="Times New Roman" w:hAnsi="Book Antiqua" w:cs="Segoe UI"/>
                <w:color w:val="000000"/>
                <w:sz w:val="18"/>
                <w:szCs w:val="18"/>
                <w:lang w:eastAsia="es-CR"/>
              </w:rPr>
              <w:t>Mejora del Proceso Penal (Auxiliar de Justicia) </w:t>
            </w:r>
          </w:p>
        </w:tc>
        <w:tc>
          <w:tcPr>
            <w:tcW w:w="2410" w:type="dxa"/>
            <w:shd w:val="clear" w:color="auto" w:fill="FFFFFF"/>
            <w:noWrap/>
            <w:vAlign w:val="center"/>
            <w:hideMark/>
          </w:tcPr>
          <w:p w14:paraId="4AC084F9" w14:textId="77777777" w:rsidR="00F803E3" w:rsidRPr="00EF4E17" w:rsidRDefault="00F803E3" w:rsidP="005F4FEE">
            <w:pPr>
              <w:spacing w:after="0" w:line="240" w:lineRule="auto"/>
              <w:jc w:val="both"/>
              <w:textAlignment w:val="baseline"/>
              <w:rPr>
                <w:rFonts w:ascii="Book Antiqua" w:eastAsia="Times New Roman" w:hAnsi="Book Antiqua" w:cs="Segoe UI"/>
                <w:color w:val="000000"/>
                <w:sz w:val="18"/>
                <w:szCs w:val="18"/>
                <w:lang w:eastAsia="es-CR"/>
              </w:rPr>
            </w:pPr>
            <w:r w:rsidRPr="00EF4E17">
              <w:rPr>
                <w:rFonts w:ascii="Book Antiqua" w:eastAsia="Times New Roman" w:hAnsi="Book Antiqua" w:cs="Segoe UI"/>
                <w:color w:val="000000"/>
                <w:sz w:val="18"/>
                <w:szCs w:val="18"/>
                <w:lang w:eastAsia="es-CR"/>
              </w:rPr>
              <w:t xml:space="preserve">Producto de la solicitud de cambio del 30-3-23 y 6-6-23  pendiente: </w:t>
            </w:r>
          </w:p>
          <w:p w14:paraId="56BA1BAC" w14:textId="77777777" w:rsidR="00F803E3" w:rsidRPr="00EF4E17" w:rsidRDefault="00F803E3" w:rsidP="005F4FEE">
            <w:pPr>
              <w:spacing w:after="0" w:line="240" w:lineRule="auto"/>
              <w:ind w:right="148"/>
              <w:jc w:val="both"/>
              <w:textAlignment w:val="baseline"/>
              <w:rPr>
                <w:rFonts w:ascii="Book Antiqua" w:eastAsia="Times New Roman" w:hAnsi="Book Antiqua" w:cs="Segoe UI"/>
                <w:color w:val="000000"/>
                <w:sz w:val="18"/>
                <w:szCs w:val="18"/>
                <w:lang w:eastAsia="es-CR"/>
              </w:rPr>
            </w:pPr>
            <w:r w:rsidRPr="00EF4E17">
              <w:rPr>
                <w:rFonts w:ascii="Book Antiqua" w:eastAsia="Times New Roman" w:hAnsi="Book Antiqua" w:cs="Segoe UI"/>
                <w:b/>
                <w:bCs/>
                <w:color w:val="000000"/>
                <w:sz w:val="18"/>
                <w:szCs w:val="18"/>
                <w:lang w:eastAsia="es-CR"/>
              </w:rPr>
              <w:t>Estudio de factibilidad:</w:t>
            </w:r>
            <w:r w:rsidRPr="00EF4E17">
              <w:rPr>
                <w:rFonts w:ascii="Book Antiqua" w:eastAsia="Times New Roman" w:hAnsi="Book Antiqua" w:cs="Segoe UI"/>
                <w:color w:val="000000"/>
                <w:sz w:val="18"/>
                <w:szCs w:val="18"/>
                <w:lang w:eastAsia="es-CR"/>
              </w:rPr>
              <w:t xml:space="preserve"> en Planteamiento inicial del proyecto se debe indicar 3 alternativas para solucionar el problema y porque se seleccionó la que se está ejecutando; el costo de inversión no muestra datos monetarios los cuales son requeridos, además revisar que el cálculo este por todo el periodo; tiempo estimado no coincide con cronograma.</w:t>
            </w:r>
          </w:p>
          <w:p w14:paraId="3CC47FCF" w14:textId="77777777" w:rsidR="00F803E3" w:rsidRPr="00EF4E17" w:rsidRDefault="00F803E3" w:rsidP="005F4FEE">
            <w:pPr>
              <w:spacing w:after="0" w:line="240" w:lineRule="auto"/>
              <w:ind w:right="148"/>
              <w:jc w:val="both"/>
              <w:textAlignment w:val="baseline"/>
              <w:rPr>
                <w:rFonts w:ascii="Book Antiqua" w:eastAsia="Times New Roman" w:hAnsi="Book Antiqua" w:cs="Segoe UI"/>
                <w:color w:val="000000"/>
                <w:sz w:val="18"/>
                <w:szCs w:val="18"/>
                <w:lang w:eastAsia="es-CR"/>
              </w:rPr>
            </w:pPr>
            <w:r w:rsidRPr="00EF4E17">
              <w:rPr>
                <w:rFonts w:ascii="Book Antiqua" w:eastAsia="Times New Roman" w:hAnsi="Book Antiqua" w:cs="Segoe UI"/>
                <w:b/>
                <w:bCs/>
                <w:color w:val="000000"/>
                <w:sz w:val="18"/>
                <w:szCs w:val="18"/>
                <w:lang w:eastAsia="es-CR"/>
              </w:rPr>
              <w:t>Acta de constitución</w:t>
            </w:r>
            <w:r w:rsidRPr="00EF4E17">
              <w:rPr>
                <w:rFonts w:ascii="Book Antiqua" w:eastAsia="Times New Roman" w:hAnsi="Book Antiqua" w:cs="Segoe UI"/>
                <w:color w:val="000000"/>
                <w:sz w:val="18"/>
                <w:szCs w:val="18"/>
                <w:lang w:eastAsia="es-CR"/>
              </w:rPr>
              <w:t xml:space="preserve"> el cronograma del alto nivel no coincide con los entregables mostrados en el cronograma, además se recomienda colocar año posible de entrega; en recursos del proyecto se menciona un cuadro con recurso humano pero en el apartado inferior se incluye nuevamente solamente dejar uno, además los costos están hasta el 2019 y no 2026 actualizar; en equipo del proyecto se requiere indicar los roles e incluir desde el patrocinado hasta el equipo del proyecto que apoya al líder.</w:t>
            </w:r>
          </w:p>
          <w:p w14:paraId="3B46614F" w14:textId="5967F85F" w:rsidR="00F803E3" w:rsidRPr="003C2F9E" w:rsidRDefault="00F803E3" w:rsidP="00EF4E17">
            <w:pPr>
              <w:spacing w:after="0" w:line="240" w:lineRule="auto"/>
              <w:jc w:val="both"/>
              <w:rPr>
                <w:rFonts w:ascii="Book Antiqua" w:eastAsia="Times New Roman" w:hAnsi="Book Antiqua" w:cs="Calibri"/>
                <w:color w:val="000000"/>
                <w:sz w:val="18"/>
                <w:szCs w:val="18"/>
                <w:lang w:eastAsia="es-CR"/>
              </w:rPr>
            </w:pPr>
            <w:r w:rsidRPr="00EF4E17">
              <w:rPr>
                <w:rFonts w:ascii="Book Antiqua" w:eastAsia="Times New Roman" w:hAnsi="Book Antiqua" w:cs="Segoe UI"/>
                <w:b/>
                <w:bCs/>
                <w:color w:val="000000"/>
                <w:sz w:val="18"/>
                <w:szCs w:val="18"/>
                <w:lang w:eastAsia="es-CR"/>
              </w:rPr>
              <w:t>Plan de gestión :</w:t>
            </w:r>
            <w:r w:rsidRPr="00EF4E17">
              <w:rPr>
                <w:rFonts w:ascii="Book Antiqua" w:eastAsia="Times New Roman" w:hAnsi="Book Antiqua" w:cs="Segoe UI"/>
                <w:color w:val="000000"/>
                <w:sz w:val="18"/>
                <w:szCs w:val="18"/>
                <w:lang w:eastAsia="es-CR"/>
              </w:rPr>
              <w:t xml:space="preserve"> en Beneficios y resultados esperados   debe coincidir con estudio de factibilidad; en detalle de entregables falta indicar el 3.4, 3.5 y 3.6 ( </w:t>
            </w:r>
            <w:r w:rsidRPr="00EF4E17">
              <w:rPr>
                <w:rFonts w:ascii="Book Antiqua" w:eastAsia="Times New Roman" w:hAnsi="Book Antiqua" w:cs="Segoe UI"/>
                <w:color w:val="000000"/>
                <w:sz w:val="18"/>
                <w:szCs w:val="18"/>
                <w:lang w:eastAsia="es-CR"/>
              </w:rPr>
              <w:lastRenderedPageBreak/>
              <w:t>en lugar de 3.6 lo correcto es 4.1, corregir en cronograma y cuadro); el diagrama de la EDT debe estar en el apartado anterior; falta completar el apartado de Calidad de la gestión del proyecto; el cronograma inserto esta desactualizado; en presupuesto del proyecto se menciona un cuadro con recurso humano pero en el apartado inferior se incluye nuevamente solamente dejar uno, además los costos están hasta el 2019 y no 2026 actualizar;</w:t>
            </w:r>
          </w:p>
        </w:tc>
        <w:tc>
          <w:tcPr>
            <w:tcW w:w="1275" w:type="dxa"/>
            <w:shd w:val="clear" w:color="auto" w:fill="auto"/>
            <w:noWrap/>
            <w:vAlign w:val="center"/>
            <w:hideMark/>
          </w:tcPr>
          <w:p w14:paraId="160FE7B2" w14:textId="416224F4" w:rsidR="00F803E3" w:rsidRPr="003C2F9E" w:rsidRDefault="00F803E3" w:rsidP="00F803E3">
            <w:pPr>
              <w:spacing w:after="0" w:line="240" w:lineRule="auto"/>
              <w:jc w:val="center"/>
              <w:rPr>
                <w:rFonts w:ascii="Book Antiqua" w:eastAsia="Times New Roman" w:hAnsi="Book Antiqua" w:cs="Calibri"/>
                <w:color w:val="000000"/>
                <w:sz w:val="18"/>
                <w:szCs w:val="18"/>
                <w:lang w:eastAsia="es-CR"/>
              </w:rPr>
            </w:pPr>
            <w:r w:rsidRPr="003C2F9E">
              <w:rPr>
                <w:rFonts w:ascii="Book Antiqua" w:eastAsia="Times New Roman" w:hAnsi="Book Antiqua" w:cs="Calibri"/>
                <w:color w:val="000000"/>
                <w:sz w:val="18"/>
                <w:szCs w:val="18"/>
                <w:lang w:eastAsia="es-CR"/>
              </w:rPr>
              <w:lastRenderedPageBreak/>
              <w:t>Capítulo 2</w:t>
            </w:r>
          </w:p>
        </w:tc>
        <w:tc>
          <w:tcPr>
            <w:tcW w:w="911" w:type="dxa"/>
            <w:shd w:val="clear" w:color="auto" w:fill="auto"/>
            <w:noWrap/>
            <w:vAlign w:val="center"/>
            <w:hideMark/>
          </w:tcPr>
          <w:p w14:paraId="7B3862E4" w14:textId="2CCA6EF9" w:rsidR="00F803E3" w:rsidRPr="003C2F9E" w:rsidRDefault="00F803E3" w:rsidP="00F803E3">
            <w:pPr>
              <w:spacing w:after="0" w:line="240" w:lineRule="auto"/>
              <w:jc w:val="center"/>
              <w:rPr>
                <w:rFonts w:ascii="Book Antiqua" w:eastAsia="Times New Roman" w:hAnsi="Book Antiqua" w:cs="Calibri"/>
                <w:color w:val="000000"/>
                <w:sz w:val="18"/>
                <w:szCs w:val="18"/>
                <w:lang w:eastAsia="es-CR"/>
              </w:rPr>
            </w:pPr>
            <w:r w:rsidRPr="003C2F9E">
              <w:rPr>
                <w:rFonts w:ascii="Book Antiqua" w:eastAsia="Times New Roman" w:hAnsi="Book Antiqua" w:cs="Calibri"/>
                <w:color w:val="000000"/>
                <w:sz w:val="18"/>
                <w:szCs w:val="18"/>
                <w:lang w:eastAsia="es-CR"/>
              </w:rPr>
              <w:t>2.3</w:t>
            </w:r>
          </w:p>
        </w:tc>
      </w:tr>
      <w:tr w:rsidR="006E5B8D" w:rsidRPr="00DB24FE" w14:paraId="6430446F" w14:textId="77777777" w:rsidTr="00EF4E17">
        <w:trPr>
          <w:trHeight w:val="300"/>
        </w:trPr>
        <w:tc>
          <w:tcPr>
            <w:tcW w:w="1470" w:type="dxa"/>
            <w:shd w:val="clear" w:color="F2F2F2" w:fill="FFFFFF"/>
            <w:noWrap/>
            <w:vAlign w:val="center"/>
          </w:tcPr>
          <w:p w14:paraId="2DD531E3" w14:textId="3AC27C10" w:rsidR="006E5B8D" w:rsidRPr="006E5B8D" w:rsidRDefault="006E5B8D" w:rsidP="00EF4E17">
            <w:pPr>
              <w:spacing w:after="0" w:line="240" w:lineRule="auto"/>
              <w:jc w:val="both"/>
              <w:rPr>
                <w:rFonts w:ascii="Book Antiqua" w:eastAsia="Times New Roman" w:hAnsi="Book Antiqua" w:cs="Calibri"/>
                <w:color w:val="000000"/>
                <w:sz w:val="18"/>
                <w:szCs w:val="18"/>
                <w:lang w:eastAsia="es-CR"/>
              </w:rPr>
            </w:pPr>
            <w:r w:rsidRPr="006E5B8D">
              <w:rPr>
                <w:rFonts w:ascii="Book Antiqua" w:eastAsia="Times New Roman" w:hAnsi="Book Antiqua" w:cs="Calibri"/>
                <w:color w:val="000000"/>
                <w:sz w:val="18"/>
                <w:szCs w:val="18"/>
                <w:lang w:eastAsia="es-CR"/>
              </w:rPr>
              <w:t xml:space="preserve">Comisiones Institucionales </w:t>
            </w:r>
          </w:p>
        </w:tc>
        <w:tc>
          <w:tcPr>
            <w:tcW w:w="1791" w:type="dxa"/>
            <w:shd w:val="clear" w:color="F2F2F2" w:fill="FFFFFF"/>
            <w:noWrap/>
            <w:vAlign w:val="center"/>
          </w:tcPr>
          <w:p w14:paraId="521E43DC" w14:textId="77777777" w:rsidR="006E5B8D" w:rsidRPr="006E5B8D" w:rsidRDefault="006E5B8D" w:rsidP="006E5B8D">
            <w:pPr>
              <w:spacing w:after="0" w:line="240" w:lineRule="auto"/>
              <w:jc w:val="both"/>
              <w:rPr>
                <w:rFonts w:ascii="Book Antiqua" w:eastAsia="Times New Roman" w:hAnsi="Book Antiqua" w:cs="Calibri"/>
                <w:color w:val="000000"/>
                <w:sz w:val="18"/>
                <w:szCs w:val="18"/>
                <w:lang w:eastAsia="es-CR"/>
              </w:rPr>
            </w:pPr>
          </w:p>
          <w:p w14:paraId="66E79C8A" w14:textId="6E1E24CA" w:rsidR="006E5B8D" w:rsidRPr="006E5B8D" w:rsidRDefault="006E5B8D" w:rsidP="00EF4E17">
            <w:pPr>
              <w:spacing w:after="0" w:line="240" w:lineRule="auto"/>
              <w:jc w:val="both"/>
              <w:rPr>
                <w:rFonts w:ascii="Book Antiqua" w:eastAsia="Times New Roman" w:hAnsi="Book Antiqua" w:cs="Calibri"/>
                <w:color w:val="000000"/>
                <w:sz w:val="18"/>
                <w:szCs w:val="18"/>
                <w:lang w:eastAsia="es-CR"/>
              </w:rPr>
            </w:pPr>
            <w:r w:rsidRPr="006E5B8D">
              <w:rPr>
                <w:rFonts w:ascii="Book Antiqua" w:eastAsia="Times New Roman" w:hAnsi="Book Antiqua" w:cs="Calibri"/>
                <w:color w:val="000000"/>
                <w:sz w:val="18"/>
                <w:szCs w:val="18"/>
                <w:lang w:eastAsia="es-CR"/>
              </w:rPr>
              <w:t xml:space="preserve">Comisión de Asuntos Penales  </w:t>
            </w:r>
          </w:p>
        </w:tc>
        <w:tc>
          <w:tcPr>
            <w:tcW w:w="850" w:type="dxa"/>
            <w:shd w:val="clear" w:color="auto" w:fill="FFFFFF"/>
            <w:noWrap/>
            <w:vAlign w:val="center"/>
          </w:tcPr>
          <w:p w14:paraId="5E6D5A7C" w14:textId="7E5023B8" w:rsidR="006E5B8D" w:rsidRPr="006E5B8D" w:rsidRDefault="006E5B8D" w:rsidP="00EF4E17">
            <w:pPr>
              <w:spacing w:after="0" w:line="240" w:lineRule="auto"/>
              <w:jc w:val="both"/>
              <w:rPr>
                <w:rFonts w:ascii="Book Antiqua" w:eastAsia="Times New Roman" w:hAnsi="Book Antiqua" w:cs="Calibri"/>
                <w:color w:val="000000"/>
                <w:sz w:val="18"/>
                <w:szCs w:val="18"/>
                <w:lang w:eastAsia="es-CR"/>
              </w:rPr>
            </w:pPr>
            <w:r w:rsidRPr="00EF4E17">
              <w:rPr>
                <w:rFonts w:ascii="Book Antiqua" w:eastAsia="Times New Roman" w:hAnsi="Book Antiqua" w:cs="Segoe UI"/>
                <w:color w:val="000000"/>
                <w:sz w:val="18"/>
                <w:szCs w:val="18"/>
                <w:lang w:eastAsia="es-CR"/>
              </w:rPr>
              <w:t>0110-PLA-P04 </w:t>
            </w:r>
          </w:p>
        </w:tc>
        <w:tc>
          <w:tcPr>
            <w:tcW w:w="1985" w:type="dxa"/>
            <w:shd w:val="clear" w:color="auto" w:fill="FFFFFF"/>
            <w:noWrap/>
            <w:vAlign w:val="center"/>
          </w:tcPr>
          <w:p w14:paraId="243526A8" w14:textId="637743AD" w:rsidR="006E5B8D" w:rsidRPr="006E5B8D" w:rsidRDefault="006E5B8D" w:rsidP="00EF4E17">
            <w:pPr>
              <w:spacing w:after="0" w:line="240" w:lineRule="auto"/>
              <w:jc w:val="both"/>
              <w:rPr>
                <w:rFonts w:ascii="Book Antiqua" w:eastAsia="Times New Roman" w:hAnsi="Book Antiqua" w:cs="Calibri"/>
                <w:color w:val="000000"/>
                <w:sz w:val="18"/>
                <w:szCs w:val="18"/>
                <w:lang w:eastAsia="es-CR"/>
              </w:rPr>
            </w:pPr>
            <w:r w:rsidRPr="00EF4E17">
              <w:rPr>
                <w:rFonts w:ascii="Book Antiqua" w:eastAsia="Times New Roman" w:hAnsi="Book Antiqua" w:cs="Segoe UI"/>
                <w:color w:val="000000"/>
                <w:sz w:val="18"/>
                <w:szCs w:val="18"/>
                <w:lang w:eastAsia="es-CR"/>
              </w:rPr>
              <w:t>Mejora del Proceso Penal (Ámbito Jurisdiccional) </w:t>
            </w:r>
          </w:p>
        </w:tc>
        <w:tc>
          <w:tcPr>
            <w:tcW w:w="2410" w:type="dxa"/>
            <w:shd w:val="clear" w:color="auto" w:fill="FFFFFF"/>
            <w:noWrap/>
            <w:vAlign w:val="center"/>
          </w:tcPr>
          <w:p w14:paraId="2C93632F" w14:textId="77777777" w:rsidR="006E5B8D" w:rsidRPr="00EF4E17" w:rsidRDefault="006E5B8D" w:rsidP="006E5B8D">
            <w:pPr>
              <w:spacing w:after="0" w:line="240" w:lineRule="auto"/>
              <w:jc w:val="both"/>
              <w:textAlignment w:val="baseline"/>
              <w:rPr>
                <w:rFonts w:ascii="Book Antiqua" w:eastAsia="Times New Roman" w:hAnsi="Book Antiqua" w:cs="Segoe UI"/>
                <w:color w:val="000000"/>
                <w:sz w:val="18"/>
                <w:szCs w:val="18"/>
                <w:lang w:eastAsia="es-CR"/>
              </w:rPr>
            </w:pPr>
            <w:r w:rsidRPr="00EF4E17">
              <w:rPr>
                <w:rFonts w:ascii="Book Antiqua" w:eastAsia="Times New Roman" w:hAnsi="Book Antiqua" w:cs="Segoe UI"/>
                <w:color w:val="000000"/>
                <w:sz w:val="18"/>
                <w:szCs w:val="18"/>
                <w:lang w:eastAsia="es-CR"/>
              </w:rPr>
              <w:t xml:space="preserve">Producto de la solicitud de cambio del 30-3-23 pendiente: </w:t>
            </w:r>
          </w:p>
          <w:p w14:paraId="2D50DFBC" w14:textId="77777777" w:rsidR="006E5B8D" w:rsidRPr="00EF4E17" w:rsidRDefault="006E5B8D" w:rsidP="006E5B8D">
            <w:pPr>
              <w:spacing w:after="0" w:line="240" w:lineRule="auto"/>
              <w:jc w:val="both"/>
              <w:textAlignment w:val="baseline"/>
              <w:rPr>
                <w:rFonts w:ascii="Book Antiqua" w:eastAsia="Times New Roman" w:hAnsi="Book Antiqua" w:cs="Segoe UI"/>
                <w:color w:val="000000"/>
                <w:sz w:val="18"/>
                <w:szCs w:val="18"/>
                <w:lang w:eastAsia="es-CR"/>
              </w:rPr>
            </w:pPr>
            <w:r w:rsidRPr="00EF4E17">
              <w:rPr>
                <w:rFonts w:ascii="Book Antiqua" w:eastAsia="Times New Roman" w:hAnsi="Book Antiqua" w:cs="Segoe UI"/>
                <w:b/>
                <w:bCs/>
                <w:color w:val="000000"/>
                <w:sz w:val="18"/>
                <w:szCs w:val="18"/>
                <w:lang w:eastAsia="es-CR"/>
              </w:rPr>
              <w:t>Estudio de factibilidad</w:t>
            </w:r>
            <w:r w:rsidRPr="00EF4E17">
              <w:rPr>
                <w:rFonts w:ascii="Book Antiqua" w:eastAsia="Times New Roman" w:hAnsi="Book Antiqua" w:cs="Segoe UI"/>
                <w:color w:val="000000"/>
                <w:sz w:val="18"/>
                <w:szCs w:val="18"/>
                <w:lang w:eastAsia="es-CR"/>
              </w:rPr>
              <w:t xml:space="preserve">: Planteamiento inicial del proyecto se deben indicar 3 alternativas de solución del problema que se está atendiendo y porque se escogió la que se aplica actualmente; en costo de inversión se deben indicar los costos asociados al proyecto por su duración tanto en recurso humano ordinario, con permiso como del gasto variable; tiempo estimado no coincide con cronograma; análisis de costo- beneficio revisar al modificar costo de inversión; </w:t>
            </w:r>
          </w:p>
          <w:p w14:paraId="2618CC2E" w14:textId="12A40B16" w:rsidR="006E5B8D" w:rsidRPr="006E5B8D" w:rsidRDefault="006E5B8D" w:rsidP="00EF4E17">
            <w:pPr>
              <w:spacing w:after="0" w:line="240" w:lineRule="auto"/>
              <w:jc w:val="both"/>
              <w:rPr>
                <w:rFonts w:ascii="Book Antiqua" w:eastAsia="Times New Roman" w:hAnsi="Book Antiqua" w:cs="Calibri"/>
                <w:color w:val="000000"/>
                <w:sz w:val="18"/>
                <w:szCs w:val="18"/>
                <w:lang w:eastAsia="es-CR"/>
              </w:rPr>
            </w:pPr>
            <w:r w:rsidRPr="00EF4E17">
              <w:rPr>
                <w:rFonts w:ascii="Book Antiqua" w:eastAsia="Times New Roman" w:hAnsi="Book Antiqua" w:cs="Segoe UI"/>
                <w:b/>
                <w:bCs/>
                <w:color w:val="000000"/>
                <w:sz w:val="18"/>
                <w:szCs w:val="18"/>
                <w:lang w:eastAsia="es-CR"/>
              </w:rPr>
              <w:t>Plan de gestión:</w:t>
            </w:r>
            <w:r w:rsidRPr="00EF4E17">
              <w:rPr>
                <w:rFonts w:ascii="Book Antiqua" w:eastAsia="Times New Roman" w:hAnsi="Book Antiqua" w:cs="Segoe UI"/>
                <w:color w:val="000000"/>
                <w:sz w:val="18"/>
                <w:szCs w:val="18"/>
                <w:lang w:eastAsia="es-CR"/>
              </w:rPr>
              <w:t xml:space="preserve"> la fecha de finalización no coincide con cronograma; Beneficios y resultados esperados debe coincidir con estudio de factibilidad en las columnas de Descripción del beneficio, Situación sin proyecto, Situación después del proyecto, Plazo esperado de obtención del resultado ( se </w:t>
            </w:r>
            <w:r w:rsidRPr="00EF4E17">
              <w:rPr>
                <w:rFonts w:ascii="Book Antiqua" w:eastAsia="Times New Roman" w:hAnsi="Book Antiqua" w:cs="Segoe UI"/>
                <w:color w:val="000000"/>
                <w:sz w:val="18"/>
                <w:szCs w:val="18"/>
                <w:lang w:eastAsia="es-CR"/>
              </w:rPr>
              <w:lastRenderedPageBreak/>
              <w:t xml:space="preserve">recomienda colocar de seis a un año posterior a concluir el proyecto); en apartado de roles y responsabilidades revisar personas consignas debe coincidir con situación actual; en el apartado de detalle de los entregables se recomienda eliminar el 4.2 el informe de los beneficios; porque este ocurre hasta por lo menos 6 meses de concluido el proyecto; el cronograma inserto se encuentra desactualizado; en el apartado de presupuesto específicamente en costos del proyecto, si se completa los cuadros del recurso humano no hace falta colocarlo en este apartado también; los costos del proyecto están desactualizados tanto en recurso humano ordinario como con permiso. </w:t>
            </w:r>
            <w:r w:rsidRPr="00EF4E17">
              <w:rPr>
                <w:rFonts w:ascii="Book Antiqua" w:eastAsia="Times New Roman" w:hAnsi="Book Antiqua" w:cs="Segoe UI"/>
                <w:b/>
                <w:bCs/>
                <w:color w:val="000000"/>
                <w:sz w:val="18"/>
                <w:szCs w:val="18"/>
                <w:lang w:eastAsia="es-CR"/>
              </w:rPr>
              <w:t>Acta de constitución:</w:t>
            </w:r>
            <w:r w:rsidRPr="00EF4E17">
              <w:rPr>
                <w:rFonts w:ascii="Book Antiqua" w:eastAsia="Times New Roman" w:hAnsi="Book Antiqua" w:cs="Segoe UI"/>
                <w:color w:val="000000"/>
                <w:sz w:val="18"/>
                <w:szCs w:val="18"/>
                <w:lang w:eastAsia="es-CR"/>
              </w:rPr>
              <w:t xml:space="preserve"> la fecha de finalización no coincide con cronograma; en cronograma de alto nivel falta entregables por indicar y se recomienda mencionar años posibles de entrega; en el apartado de recursos del proyecto,  en costos del proyecto, si se completa los cuadros del recurso humano no hace falta colocarlo en este apartado también; los costos del proyecto están desactualizados tanto en recurso humano ordinario como con permiso; en equipo de trabajo del proyecto falta indicar el rol de cada uno.</w:t>
            </w:r>
          </w:p>
        </w:tc>
        <w:tc>
          <w:tcPr>
            <w:tcW w:w="1275" w:type="dxa"/>
            <w:shd w:val="clear" w:color="auto" w:fill="auto"/>
            <w:noWrap/>
            <w:vAlign w:val="center"/>
          </w:tcPr>
          <w:p w14:paraId="205DCFB0" w14:textId="5FDCDDA7" w:rsidR="006E5B8D" w:rsidRPr="006E5B8D" w:rsidRDefault="006E5B8D" w:rsidP="00EF4E17">
            <w:pPr>
              <w:spacing w:after="0" w:line="240" w:lineRule="auto"/>
              <w:jc w:val="both"/>
              <w:rPr>
                <w:rFonts w:ascii="Book Antiqua" w:eastAsia="Times New Roman" w:hAnsi="Book Antiqua" w:cs="Calibri"/>
                <w:color w:val="000000"/>
                <w:sz w:val="18"/>
                <w:szCs w:val="18"/>
                <w:lang w:eastAsia="es-CR"/>
              </w:rPr>
            </w:pPr>
            <w:r w:rsidRPr="006E5B8D">
              <w:rPr>
                <w:rFonts w:ascii="Book Antiqua" w:eastAsia="Times New Roman" w:hAnsi="Book Antiqua" w:cs="Calibri"/>
                <w:color w:val="000000"/>
                <w:sz w:val="18"/>
                <w:szCs w:val="18"/>
                <w:lang w:eastAsia="es-CR"/>
              </w:rPr>
              <w:lastRenderedPageBreak/>
              <w:t>Capítulo 2</w:t>
            </w:r>
          </w:p>
        </w:tc>
        <w:tc>
          <w:tcPr>
            <w:tcW w:w="911" w:type="dxa"/>
            <w:shd w:val="clear" w:color="auto" w:fill="auto"/>
            <w:noWrap/>
            <w:vAlign w:val="center"/>
          </w:tcPr>
          <w:p w14:paraId="49F557A5" w14:textId="37304515" w:rsidR="006E5B8D" w:rsidRPr="006E5B8D" w:rsidRDefault="006E5B8D" w:rsidP="00EF4E17">
            <w:pPr>
              <w:spacing w:after="0" w:line="240" w:lineRule="auto"/>
              <w:jc w:val="both"/>
              <w:rPr>
                <w:rFonts w:ascii="Book Antiqua" w:eastAsia="Times New Roman" w:hAnsi="Book Antiqua" w:cs="Calibri"/>
                <w:color w:val="000000"/>
                <w:sz w:val="18"/>
                <w:szCs w:val="18"/>
                <w:lang w:eastAsia="es-CR"/>
              </w:rPr>
            </w:pPr>
            <w:r w:rsidRPr="006E5B8D">
              <w:rPr>
                <w:rFonts w:ascii="Book Antiqua" w:eastAsia="Times New Roman" w:hAnsi="Book Antiqua" w:cs="Calibri"/>
                <w:color w:val="000000"/>
                <w:sz w:val="18"/>
                <w:szCs w:val="18"/>
                <w:lang w:eastAsia="es-CR"/>
              </w:rPr>
              <w:t>2.3</w:t>
            </w:r>
          </w:p>
        </w:tc>
      </w:tr>
    </w:tbl>
    <w:p w14:paraId="1B302291" w14:textId="77777777" w:rsidR="0014464E" w:rsidRPr="00EF4E17" w:rsidRDefault="0014464E" w:rsidP="00EF4E17"/>
    <w:p w14:paraId="11595E79" w14:textId="2C89F883" w:rsidR="005B5B60" w:rsidRDefault="005B5B60" w:rsidP="008B5C2D">
      <w:pPr>
        <w:jc w:val="both"/>
        <w:rPr>
          <w:rFonts w:ascii="Book Antiqua" w:hAnsi="Book Antiqua"/>
          <w:lang w:eastAsia="ko-KR"/>
        </w:rPr>
      </w:pPr>
    </w:p>
    <w:p w14:paraId="3AA37F61" w14:textId="77777777" w:rsidR="00006088" w:rsidRDefault="00006088" w:rsidP="00AE6369">
      <w:pPr>
        <w:suppressAutoHyphens/>
        <w:spacing w:after="0" w:line="240" w:lineRule="auto"/>
        <w:jc w:val="both"/>
        <w:rPr>
          <w:rFonts w:ascii="Book Antiqua" w:eastAsia="Times New Roman" w:hAnsi="Book Antiqua" w:cs="Book Antiqua"/>
          <w:i/>
          <w:iCs/>
          <w:sz w:val="24"/>
          <w:szCs w:val="24"/>
          <w:lang w:val="es-ES" w:eastAsia="ar-SA"/>
        </w:rPr>
      </w:pPr>
    </w:p>
    <w:p w14:paraId="6732ADDE" w14:textId="65459CF6" w:rsidR="00AE6369" w:rsidRPr="005D5FB2" w:rsidRDefault="00AE6369" w:rsidP="00AE6369">
      <w:pPr>
        <w:suppressAutoHyphens/>
        <w:spacing w:after="0" w:line="240" w:lineRule="auto"/>
        <w:jc w:val="both"/>
        <w:rPr>
          <w:rFonts w:ascii="Book Antiqua" w:eastAsia="Times New Roman" w:hAnsi="Book Antiqua" w:cs="Book Antiqua"/>
          <w:sz w:val="24"/>
          <w:szCs w:val="24"/>
          <w:lang w:val="es-ES" w:eastAsia="ar-SA"/>
        </w:rPr>
      </w:pPr>
      <w:r w:rsidRPr="005D5FB2">
        <w:rPr>
          <w:rFonts w:ascii="Book Antiqua" w:eastAsia="Times New Roman" w:hAnsi="Book Antiqua" w:cs="Book Antiqua"/>
          <w:i/>
          <w:iCs/>
          <w:sz w:val="24"/>
          <w:szCs w:val="24"/>
          <w:lang w:val="es-ES" w:eastAsia="ar-SA"/>
        </w:rPr>
        <w:t>Este informe cuenta con las revisiones y ajustes correspondientes de las jefaturas indicadas</w:t>
      </w:r>
      <w:r w:rsidRPr="005D5FB2">
        <w:rPr>
          <w:rFonts w:ascii="Book Antiqua" w:eastAsia="Times New Roman" w:hAnsi="Book Antiqua" w:cs="Book Antiqua"/>
          <w:sz w:val="24"/>
          <w:szCs w:val="24"/>
          <w:lang w:val="es-ES" w:eastAsia="ar-SA"/>
        </w:rPr>
        <w:t>.</w:t>
      </w:r>
    </w:p>
    <w:p w14:paraId="1E451B28" w14:textId="77777777" w:rsidR="00AE6369" w:rsidRPr="005D5FB2" w:rsidRDefault="00AE6369" w:rsidP="00AE6369">
      <w:pPr>
        <w:suppressAutoHyphens/>
        <w:spacing w:after="0" w:line="240" w:lineRule="auto"/>
        <w:jc w:val="both"/>
        <w:rPr>
          <w:rFonts w:ascii="Book Antiqua" w:eastAsia="Times New Roman" w:hAnsi="Book Antiqua" w:cs="Book Antiqua"/>
          <w:sz w:val="24"/>
          <w:szCs w:val="24"/>
          <w:lang w:val="es-ES" w:eastAsia="ar-SA"/>
        </w:rPr>
      </w:pPr>
    </w:p>
    <w:tbl>
      <w:tblPr>
        <w:tblW w:w="59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9"/>
        <w:gridCol w:w="3683"/>
        <w:gridCol w:w="4530"/>
      </w:tblGrid>
      <w:tr w:rsidR="00AE6369" w:rsidRPr="005D5FB2" w14:paraId="43EA48A4" w14:textId="77777777" w:rsidTr="00F400D6">
        <w:trPr>
          <w:trHeight w:val="300"/>
          <w:jc w:val="center"/>
        </w:trPr>
        <w:tc>
          <w:tcPr>
            <w:tcW w:w="1082" w:type="pct"/>
            <w:shd w:val="clear" w:color="auto" w:fill="2F5496" w:themeFill="accent1" w:themeFillShade="BF"/>
            <w:vAlign w:val="center"/>
          </w:tcPr>
          <w:p w14:paraId="5C2FA186" w14:textId="77777777" w:rsidR="00AE6369" w:rsidRPr="008C74F9" w:rsidRDefault="00AE6369" w:rsidP="00F400D6">
            <w:pPr>
              <w:widowControl w:val="0"/>
              <w:autoSpaceDE w:val="0"/>
              <w:autoSpaceDN w:val="0"/>
              <w:adjustRightInd w:val="0"/>
              <w:spacing w:after="0" w:line="276" w:lineRule="auto"/>
              <w:jc w:val="center"/>
              <w:rPr>
                <w:rFonts w:ascii="Book Antiqua" w:eastAsia="Times New Roman" w:hAnsi="Book Antiqua" w:cs="Arial"/>
                <w:b/>
                <w:color w:val="FFFFFF" w:themeColor="background1"/>
                <w:sz w:val="20"/>
                <w:szCs w:val="20"/>
                <w:lang w:val="es-ES" w:eastAsia="es-CR"/>
              </w:rPr>
            </w:pPr>
            <w:bookmarkStart w:id="206" w:name="_Hlk138772012"/>
            <w:r w:rsidRPr="008C74F9">
              <w:rPr>
                <w:rFonts w:ascii="Book Antiqua" w:eastAsia="Times New Roman" w:hAnsi="Book Antiqua" w:cs="Arial"/>
                <w:b/>
                <w:color w:val="FFFFFF" w:themeColor="background1"/>
                <w:sz w:val="20"/>
                <w:szCs w:val="20"/>
                <w:lang w:val="es-ES" w:eastAsia="es-CR"/>
              </w:rPr>
              <w:t>INFORME</w:t>
            </w:r>
          </w:p>
        </w:tc>
        <w:tc>
          <w:tcPr>
            <w:tcW w:w="1757" w:type="pct"/>
            <w:shd w:val="clear" w:color="auto" w:fill="2F5496" w:themeFill="accent1" w:themeFillShade="BF"/>
            <w:vAlign w:val="center"/>
          </w:tcPr>
          <w:p w14:paraId="2A548346" w14:textId="77777777" w:rsidR="00AE6369" w:rsidRPr="008C74F9" w:rsidRDefault="00AE6369" w:rsidP="00F400D6">
            <w:pPr>
              <w:widowControl w:val="0"/>
              <w:autoSpaceDE w:val="0"/>
              <w:autoSpaceDN w:val="0"/>
              <w:adjustRightInd w:val="0"/>
              <w:spacing w:after="0" w:line="276" w:lineRule="auto"/>
              <w:jc w:val="center"/>
              <w:rPr>
                <w:rFonts w:ascii="Book Antiqua" w:eastAsia="Times New Roman" w:hAnsi="Book Antiqua" w:cs="Arial"/>
                <w:b/>
                <w:color w:val="FFFFFF" w:themeColor="background1"/>
                <w:sz w:val="20"/>
                <w:szCs w:val="20"/>
                <w:lang w:val="es-ES" w:eastAsia="es-ES"/>
              </w:rPr>
            </w:pPr>
            <w:r w:rsidRPr="008C74F9">
              <w:rPr>
                <w:rFonts w:ascii="Book Antiqua" w:eastAsia="Times New Roman" w:hAnsi="Book Antiqua" w:cs="Arial"/>
                <w:b/>
                <w:color w:val="FFFFFF" w:themeColor="background1"/>
                <w:sz w:val="20"/>
                <w:szCs w:val="20"/>
                <w:lang w:val="es-ES" w:eastAsia="es-ES"/>
              </w:rPr>
              <w:t>NOMBRE</w:t>
            </w:r>
          </w:p>
        </w:tc>
        <w:tc>
          <w:tcPr>
            <w:tcW w:w="2161" w:type="pct"/>
            <w:shd w:val="clear" w:color="auto" w:fill="2F5496" w:themeFill="accent1" w:themeFillShade="BF"/>
            <w:vAlign w:val="center"/>
          </w:tcPr>
          <w:p w14:paraId="073CD5FF" w14:textId="77777777" w:rsidR="00AE6369" w:rsidRPr="008C74F9" w:rsidRDefault="00AE6369" w:rsidP="00F400D6">
            <w:pPr>
              <w:widowControl w:val="0"/>
              <w:autoSpaceDE w:val="0"/>
              <w:autoSpaceDN w:val="0"/>
              <w:adjustRightInd w:val="0"/>
              <w:spacing w:after="0" w:line="276" w:lineRule="auto"/>
              <w:jc w:val="center"/>
              <w:rPr>
                <w:rFonts w:ascii="Book Antiqua" w:eastAsia="Times New Roman" w:hAnsi="Book Antiqua" w:cs="Arial"/>
                <w:b/>
                <w:color w:val="FFFFFF" w:themeColor="background1"/>
                <w:sz w:val="20"/>
                <w:szCs w:val="20"/>
                <w:lang w:val="es-ES" w:eastAsia="es-ES"/>
              </w:rPr>
            </w:pPr>
            <w:r w:rsidRPr="008C74F9">
              <w:rPr>
                <w:rFonts w:ascii="Book Antiqua" w:eastAsia="Times New Roman" w:hAnsi="Book Antiqua" w:cs="Arial"/>
                <w:b/>
                <w:color w:val="FFFFFF" w:themeColor="background1"/>
                <w:sz w:val="20"/>
                <w:szCs w:val="20"/>
                <w:lang w:val="es-ES" w:eastAsia="es-ES"/>
              </w:rPr>
              <w:t>PUESTO</w:t>
            </w:r>
          </w:p>
        </w:tc>
      </w:tr>
      <w:tr w:rsidR="009F15D7" w:rsidRPr="005D5FB2" w14:paraId="26388933" w14:textId="77777777" w:rsidTr="00F400D6">
        <w:trPr>
          <w:trHeight w:val="632"/>
          <w:jc w:val="center"/>
        </w:trPr>
        <w:tc>
          <w:tcPr>
            <w:tcW w:w="1082" w:type="pct"/>
            <w:vMerge w:val="restart"/>
            <w:shd w:val="clear" w:color="auto" w:fill="F2F2F2"/>
            <w:vAlign w:val="center"/>
          </w:tcPr>
          <w:p w14:paraId="0DF18D7A" w14:textId="77777777" w:rsidR="009F15D7" w:rsidRPr="005D5FB2" w:rsidRDefault="009F15D7" w:rsidP="00F400D6">
            <w:pPr>
              <w:widowControl w:val="0"/>
              <w:autoSpaceDE w:val="0"/>
              <w:autoSpaceDN w:val="0"/>
              <w:adjustRightInd w:val="0"/>
              <w:spacing w:after="0" w:line="276" w:lineRule="auto"/>
              <w:jc w:val="center"/>
              <w:rPr>
                <w:rFonts w:ascii="Book Antiqua" w:eastAsia="Times New Roman" w:hAnsi="Book Antiqua" w:cs="Arial"/>
                <w:b/>
                <w:color w:val="000000"/>
                <w:lang w:val="es-ES" w:eastAsia="es-CR"/>
              </w:rPr>
            </w:pPr>
            <w:r w:rsidRPr="005D5FB2">
              <w:rPr>
                <w:rFonts w:ascii="Book Antiqua" w:eastAsia="Times New Roman" w:hAnsi="Book Antiqua" w:cs="Arial"/>
                <w:b/>
                <w:color w:val="000000"/>
                <w:lang w:val="es-ES" w:eastAsia="es-CR"/>
              </w:rPr>
              <w:t>Elaborado por</w:t>
            </w:r>
            <w:r>
              <w:rPr>
                <w:rFonts w:ascii="Book Antiqua" w:eastAsia="Times New Roman" w:hAnsi="Book Antiqua" w:cs="Arial"/>
                <w:b/>
                <w:color w:val="000000"/>
                <w:lang w:val="es-ES" w:eastAsia="es-CR"/>
              </w:rPr>
              <w:t>:</w:t>
            </w:r>
          </w:p>
        </w:tc>
        <w:tc>
          <w:tcPr>
            <w:tcW w:w="1757" w:type="pct"/>
            <w:vAlign w:val="center"/>
          </w:tcPr>
          <w:p w14:paraId="06CD4941" w14:textId="4EBDC976" w:rsidR="009F15D7" w:rsidRPr="005D5FB2" w:rsidRDefault="00C54544" w:rsidP="009F15D7">
            <w:pPr>
              <w:widowControl w:val="0"/>
              <w:autoSpaceDE w:val="0"/>
              <w:autoSpaceDN w:val="0"/>
              <w:adjustRightInd w:val="0"/>
              <w:spacing w:after="0" w:line="276" w:lineRule="auto"/>
              <w:jc w:val="both"/>
              <w:rPr>
                <w:rFonts w:ascii="Book Antiqua" w:eastAsia="Times New Roman" w:hAnsi="Book Antiqua" w:cs="Arial"/>
                <w:lang w:val="es-ES" w:eastAsia="es-ES"/>
              </w:rPr>
            </w:pPr>
            <w:r>
              <w:rPr>
                <w:rFonts w:ascii="Book Antiqua" w:eastAsia="Times New Roman" w:hAnsi="Book Antiqua" w:cs="Arial"/>
                <w:color w:val="000000"/>
                <w:lang w:val="es-ES" w:eastAsia="es-CR"/>
              </w:rPr>
              <w:t>Máster</w:t>
            </w:r>
            <w:r w:rsidR="009F15D7">
              <w:rPr>
                <w:rFonts w:ascii="Book Antiqua" w:eastAsia="Times New Roman" w:hAnsi="Book Antiqua" w:cs="Arial"/>
                <w:lang w:val="es-ES" w:eastAsia="es-ES"/>
              </w:rPr>
              <w:t xml:space="preserve"> Silvia Venegas Alp</w:t>
            </w:r>
            <w:r w:rsidR="00B13365">
              <w:rPr>
                <w:rFonts w:ascii="Book Antiqua" w:eastAsia="Times New Roman" w:hAnsi="Book Antiqua" w:cs="Arial"/>
                <w:lang w:val="es-ES" w:eastAsia="es-ES"/>
              </w:rPr>
              <w:t>í</w:t>
            </w:r>
            <w:r w:rsidR="009F15D7">
              <w:rPr>
                <w:rFonts w:ascii="Book Antiqua" w:eastAsia="Times New Roman" w:hAnsi="Book Antiqua" w:cs="Arial"/>
                <w:lang w:val="es-ES" w:eastAsia="es-ES"/>
              </w:rPr>
              <w:t>zar</w:t>
            </w:r>
          </w:p>
        </w:tc>
        <w:tc>
          <w:tcPr>
            <w:tcW w:w="2161" w:type="pct"/>
            <w:vAlign w:val="center"/>
          </w:tcPr>
          <w:p w14:paraId="0C80047B" w14:textId="204F1991" w:rsidR="009F15D7" w:rsidRPr="005D5FB2" w:rsidRDefault="009F15D7" w:rsidP="009F15D7">
            <w:pPr>
              <w:widowControl w:val="0"/>
              <w:autoSpaceDE w:val="0"/>
              <w:autoSpaceDN w:val="0"/>
              <w:adjustRightInd w:val="0"/>
              <w:spacing w:after="0" w:line="276" w:lineRule="auto"/>
              <w:jc w:val="both"/>
              <w:rPr>
                <w:rFonts w:ascii="Book Antiqua" w:eastAsia="Times New Roman" w:hAnsi="Book Antiqua" w:cs="Arial"/>
                <w:lang w:val="es-ES" w:eastAsia="es-ES"/>
              </w:rPr>
            </w:pPr>
            <w:r w:rsidRPr="005D5FB2">
              <w:rPr>
                <w:rFonts w:ascii="Book Antiqua" w:eastAsia="Times New Roman" w:hAnsi="Book Antiqua" w:cs="Arial"/>
                <w:lang w:val="es-ES" w:eastAsia="es-ES"/>
              </w:rPr>
              <w:t>Profesional 2</w:t>
            </w:r>
          </w:p>
        </w:tc>
      </w:tr>
      <w:tr w:rsidR="00C54544" w:rsidRPr="005D5FB2" w14:paraId="31A34BCB" w14:textId="77777777" w:rsidTr="00F400D6">
        <w:trPr>
          <w:trHeight w:val="632"/>
          <w:jc w:val="center"/>
        </w:trPr>
        <w:tc>
          <w:tcPr>
            <w:tcW w:w="1082" w:type="pct"/>
            <w:vMerge/>
            <w:shd w:val="clear" w:color="auto" w:fill="F2F2F2"/>
            <w:vAlign w:val="center"/>
          </w:tcPr>
          <w:p w14:paraId="6F38F12E" w14:textId="77777777" w:rsidR="00C54544" w:rsidRPr="005D5FB2" w:rsidRDefault="00C54544" w:rsidP="00F400D6">
            <w:pPr>
              <w:widowControl w:val="0"/>
              <w:autoSpaceDE w:val="0"/>
              <w:autoSpaceDN w:val="0"/>
              <w:adjustRightInd w:val="0"/>
              <w:spacing w:after="0" w:line="276" w:lineRule="auto"/>
              <w:ind w:right="-114"/>
              <w:jc w:val="center"/>
              <w:rPr>
                <w:rFonts w:ascii="Book Antiqua" w:eastAsia="Times New Roman" w:hAnsi="Book Antiqua" w:cs="Arial"/>
                <w:b/>
                <w:color w:val="000000"/>
                <w:lang w:val="es-ES" w:eastAsia="es-CR"/>
              </w:rPr>
            </w:pPr>
          </w:p>
        </w:tc>
        <w:tc>
          <w:tcPr>
            <w:tcW w:w="1757" w:type="pct"/>
            <w:vAlign w:val="center"/>
          </w:tcPr>
          <w:p w14:paraId="76896985" w14:textId="53A343DA" w:rsidR="00C54544" w:rsidRDefault="00C54544" w:rsidP="001C76E5">
            <w:pPr>
              <w:widowControl w:val="0"/>
              <w:autoSpaceDE w:val="0"/>
              <w:autoSpaceDN w:val="0"/>
              <w:adjustRightInd w:val="0"/>
              <w:spacing w:after="0" w:line="276" w:lineRule="auto"/>
              <w:jc w:val="both"/>
              <w:rPr>
                <w:rFonts w:ascii="Book Antiqua" w:eastAsia="Times New Roman" w:hAnsi="Book Antiqua" w:cs="Arial"/>
                <w:lang w:val="es-ES" w:eastAsia="es-ES"/>
              </w:rPr>
            </w:pPr>
            <w:r>
              <w:rPr>
                <w:rFonts w:ascii="Book Antiqua" w:eastAsia="Times New Roman" w:hAnsi="Book Antiqua" w:cs="Arial"/>
                <w:lang w:val="es-ES" w:eastAsia="es-ES"/>
              </w:rPr>
              <w:t>Licda. Ana Cecilia Murillo Berrocal</w:t>
            </w:r>
          </w:p>
        </w:tc>
        <w:tc>
          <w:tcPr>
            <w:tcW w:w="2161" w:type="pct"/>
            <w:vAlign w:val="center"/>
          </w:tcPr>
          <w:p w14:paraId="10A1FE3E" w14:textId="6E1B8A02" w:rsidR="00C54544" w:rsidRPr="005D5FB2" w:rsidRDefault="00C54544" w:rsidP="001C76E5">
            <w:pPr>
              <w:widowControl w:val="0"/>
              <w:autoSpaceDE w:val="0"/>
              <w:autoSpaceDN w:val="0"/>
              <w:adjustRightInd w:val="0"/>
              <w:spacing w:after="0" w:line="276" w:lineRule="auto"/>
              <w:jc w:val="both"/>
              <w:rPr>
                <w:rFonts w:ascii="Book Antiqua" w:eastAsia="Times New Roman" w:hAnsi="Book Antiqua" w:cs="Arial"/>
                <w:lang w:val="es-ES" w:eastAsia="es-ES"/>
              </w:rPr>
            </w:pPr>
            <w:r w:rsidRPr="005D5FB2">
              <w:rPr>
                <w:rFonts w:ascii="Book Antiqua" w:eastAsia="Times New Roman" w:hAnsi="Book Antiqua" w:cs="Arial"/>
                <w:lang w:val="es-ES" w:eastAsia="es-ES"/>
              </w:rPr>
              <w:t>Profesional 2</w:t>
            </w:r>
          </w:p>
        </w:tc>
      </w:tr>
      <w:tr w:rsidR="009F15D7" w:rsidRPr="005D5FB2" w14:paraId="4FDFDA69" w14:textId="77777777" w:rsidTr="00F400D6">
        <w:trPr>
          <w:trHeight w:val="632"/>
          <w:jc w:val="center"/>
        </w:trPr>
        <w:tc>
          <w:tcPr>
            <w:tcW w:w="1082" w:type="pct"/>
            <w:vMerge/>
            <w:shd w:val="clear" w:color="auto" w:fill="F2F2F2"/>
            <w:vAlign w:val="center"/>
          </w:tcPr>
          <w:p w14:paraId="61F42AF0" w14:textId="3D2512E6" w:rsidR="009F15D7" w:rsidRPr="005D5FB2" w:rsidRDefault="009F15D7" w:rsidP="00F400D6">
            <w:pPr>
              <w:widowControl w:val="0"/>
              <w:autoSpaceDE w:val="0"/>
              <w:autoSpaceDN w:val="0"/>
              <w:adjustRightInd w:val="0"/>
              <w:spacing w:after="0" w:line="276" w:lineRule="auto"/>
              <w:ind w:right="-114"/>
              <w:jc w:val="center"/>
              <w:rPr>
                <w:rFonts w:ascii="Book Antiqua" w:eastAsia="Times New Roman" w:hAnsi="Book Antiqua" w:cs="Arial"/>
                <w:b/>
                <w:color w:val="000000"/>
                <w:lang w:val="es-ES" w:eastAsia="es-CR"/>
              </w:rPr>
            </w:pPr>
          </w:p>
        </w:tc>
        <w:tc>
          <w:tcPr>
            <w:tcW w:w="1757" w:type="pct"/>
            <w:vAlign w:val="center"/>
          </w:tcPr>
          <w:p w14:paraId="6F2028FA" w14:textId="6BC2ED71" w:rsidR="009F15D7" w:rsidRPr="005D5FB2" w:rsidRDefault="009F15D7" w:rsidP="001C76E5">
            <w:pPr>
              <w:widowControl w:val="0"/>
              <w:autoSpaceDE w:val="0"/>
              <w:autoSpaceDN w:val="0"/>
              <w:adjustRightInd w:val="0"/>
              <w:spacing w:after="0" w:line="276" w:lineRule="auto"/>
              <w:jc w:val="both"/>
              <w:rPr>
                <w:rFonts w:ascii="Book Antiqua" w:eastAsia="Times New Roman" w:hAnsi="Book Antiqua" w:cs="Arial"/>
                <w:lang w:val="es-ES" w:eastAsia="es-ES"/>
              </w:rPr>
            </w:pPr>
            <w:r>
              <w:rPr>
                <w:rFonts w:ascii="Book Antiqua" w:eastAsia="Times New Roman" w:hAnsi="Book Antiqua" w:cs="Arial"/>
                <w:lang w:val="es-ES" w:eastAsia="es-ES"/>
              </w:rPr>
              <w:t>Licda. Melissa Mesén Trejos</w:t>
            </w:r>
          </w:p>
        </w:tc>
        <w:tc>
          <w:tcPr>
            <w:tcW w:w="2161" w:type="pct"/>
            <w:vAlign w:val="center"/>
          </w:tcPr>
          <w:p w14:paraId="3FD0FF53" w14:textId="1C1AE012" w:rsidR="009F15D7" w:rsidRPr="005D5FB2" w:rsidRDefault="009F15D7" w:rsidP="001C76E5">
            <w:pPr>
              <w:widowControl w:val="0"/>
              <w:autoSpaceDE w:val="0"/>
              <w:autoSpaceDN w:val="0"/>
              <w:adjustRightInd w:val="0"/>
              <w:spacing w:after="0" w:line="276" w:lineRule="auto"/>
              <w:jc w:val="both"/>
              <w:rPr>
                <w:rFonts w:ascii="Book Antiqua" w:eastAsia="Times New Roman" w:hAnsi="Book Antiqua" w:cs="Arial"/>
                <w:lang w:val="es-ES" w:eastAsia="es-ES"/>
              </w:rPr>
            </w:pPr>
            <w:r w:rsidRPr="005D5FB2">
              <w:rPr>
                <w:rFonts w:ascii="Book Antiqua" w:eastAsia="Times New Roman" w:hAnsi="Book Antiqua" w:cs="Arial"/>
                <w:lang w:val="es-ES" w:eastAsia="es-ES"/>
              </w:rPr>
              <w:t>Coordinador</w:t>
            </w:r>
            <w:r>
              <w:rPr>
                <w:rFonts w:ascii="Book Antiqua" w:eastAsia="Times New Roman" w:hAnsi="Book Antiqua" w:cs="Arial"/>
                <w:lang w:val="es-ES" w:eastAsia="es-ES"/>
              </w:rPr>
              <w:t>a</w:t>
            </w:r>
            <w:r w:rsidRPr="005D5FB2">
              <w:rPr>
                <w:rFonts w:ascii="Book Antiqua" w:eastAsia="Times New Roman" w:hAnsi="Book Antiqua" w:cs="Arial"/>
                <w:lang w:val="es-ES" w:eastAsia="es-ES"/>
              </w:rPr>
              <w:t xml:space="preserve"> de Unidad</w:t>
            </w:r>
            <w:r w:rsidR="008A1D31">
              <w:rPr>
                <w:rFonts w:ascii="Book Antiqua" w:eastAsia="Times New Roman" w:hAnsi="Book Antiqua" w:cs="Arial"/>
                <w:lang w:val="es-ES" w:eastAsia="es-ES"/>
              </w:rPr>
              <w:t xml:space="preserve"> 3</w:t>
            </w:r>
          </w:p>
        </w:tc>
      </w:tr>
      <w:tr w:rsidR="00AE6369" w:rsidRPr="005D5FB2" w14:paraId="716E588D" w14:textId="77777777" w:rsidTr="009F15D7">
        <w:trPr>
          <w:trHeight w:val="632"/>
          <w:jc w:val="center"/>
        </w:trPr>
        <w:tc>
          <w:tcPr>
            <w:tcW w:w="1082" w:type="pct"/>
            <w:shd w:val="clear" w:color="auto" w:fill="F2F2F2"/>
            <w:vAlign w:val="center"/>
          </w:tcPr>
          <w:p w14:paraId="59CABE04" w14:textId="77777777" w:rsidR="00AE6369" w:rsidRPr="005D5FB2" w:rsidRDefault="00AE6369" w:rsidP="00F400D6">
            <w:pPr>
              <w:widowControl w:val="0"/>
              <w:autoSpaceDE w:val="0"/>
              <w:autoSpaceDN w:val="0"/>
              <w:adjustRightInd w:val="0"/>
              <w:spacing w:after="0" w:line="276" w:lineRule="auto"/>
              <w:jc w:val="center"/>
              <w:rPr>
                <w:rFonts w:ascii="Book Antiqua" w:eastAsia="Times New Roman" w:hAnsi="Book Antiqua" w:cs="Arial"/>
                <w:b/>
                <w:color w:val="000000"/>
                <w:lang w:val="es-ES" w:eastAsia="es-CR"/>
              </w:rPr>
            </w:pPr>
            <w:r w:rsidRPr="005D5FB2">
              <w:rPr>
                <w:rFonts w:ascii="Book Antiqua" w:eastAsia="Times New Roman" w:hAnsi="Book Antiqua" w:cs="Arial"/>
                <w:b/>
                <w:color w:val="000000"/>
                <w:lang w:val="es-ES" w:eastAsia="es-CR"/>
              </w:rPr>
              <w:t>Aprobado por:</w:t>
            </w:r>
          </w:p>
        </w:tc>
        <w:tc>
          <w:tcPr>
            <w:tcW w:w="1757" w:type="pct"/>
            <w:vAlign w:val="center"/>
          </w:tcPr>
          <w:p w14:paraId="14046DC6" w14:textId="77777777" w:rsidR="00AE6369" w:rsidRDefault="00AE6369" w:rsidP="00DC3298">
            <w:pPr>
              <w:widowControl w:val="0"/>
              <w:autoSpaceDE w:val="0"/>
              <w:autoSpaceDN w:val="0"/>
              <w:adjustRightInd w:val="0"/>
              <w:spacing w:after="0" w:line="276" w:lineRule="auto"/>
              <w:rPr>
                <w:rFonts w:ascii="Book Antiqua" w:eastAsia="Times New Roman" w:hAnsi="Book Antiqua" w:cs="Arial"/>
                <w:color w:val="000000"/>
                <w:lang w:val="es-ES" w:eastAsia="es-CR"/>
              </w:rPr>
            </w:pPr>
            <w:r w:rsidRPr="005D5FB2">
              <w:rPr>
                <w:rFonts w:ascii="Book Antiqua" w:eastAsia="Times New Roman" w:hAnsi="Book Antiqua" w:cs="Arial"/>
                <w:color w:val="000000"/>
                <w:lang w:val="es-ES" w:eastAsia="es-CR"/>
              </w:rPr>
              <w:t>L</w:t>
            </w:r>
            <w:r w:rsidR="001C76E5">
              <w:rPr>
                <w:rFonts w:ascii="Book Antiqua" w:eastAsia="Times New Roman" w:hAnsi="Book Antiqua" w:cs="Arial"/>
                <w:color w:val="000000"/>
                <w:lang w:val="es-ES" w:eastAsia="es-CR"/>
              </w:rPr>
              <w:t>ic. Minor Alvarado Chaves</w:t>
            </w:r>
          </w:p>
          <w:p w14:paraId="00827DBA" w14:textId="3A30B0F4" w:rsidR="001C76E5" w:rsidRDefault="001C76E5" w:rsidP="00DC3298">
            <w:pPr>
              <w:widowControl w:val="0"/>
              <w:autoSpaceDE w:val="0"/>
              <w:autoSpaceDN w:val="0"/>
              <w:adjustRightInd w:val="0"/>
              <w:spacing w:after="0" w:line="276" w:lineRule="auto"/>
              <w:rPr>
                <w:rFonts w:ascii="Book Antiqua" w:eastAsia="Times New Roman" w:hAnsi="Book Antiqua" w:cs="Arial"/>
                <w:color w:val="000000"/>
                <w:lang w:val="es-ES" w:eastAsia="es-CR"/>
              </w:rPr>
            </w:pPr>
          </w:p>
          <w:p w14:paraId="7901419A" w14:textId="77777777" w:rsidR="009F15D7" w:rsidRDefault="009F15D7" w:rsidP="00DC3298">
            <w:pPr>
              <w:widowControl w:val="0"/>
              <w:autoSpaceDE w:val="0"/>
              <w:autoSpaceDN w:val="0"/>
              <w:adjustRightInd w:val="0"/>
              <w:spacing w:after="0" w:line="276" w:lineRule="auto"/>
              <w:rPr>
                <w:rFonts w:ascii="Book Antiqua" w:eastAsia="Times New Roman" w:hAnsi="Book Antiqua" w:cs="Arial"/>
                <w:color w:val="000000"/>
                <w:lang w:val="es-ES" w:eastAsia="es-CR"/>
              </w:rPr>
            </w:pPr>
          </w:p>
          <w:p w14:paraId="51E8916B" w14:textId="0AA69404" w:rsidR="001C76E5" w:rsidRPr="005D5FB2" w:rsidRDefault="001C76E5" w:rsidP="00DC3298">
            <w:pPr>
              <w:widowControl w:val="0"/>
              <w:autoSpaceDE w:val="0"/>
              <w:autoSpaceDN w:val="0"/>
              <w:adjustRightInd w:val="0"/>
              <w:spacing w:after="0" w:line="276" w:lineRule="auto"/>
              <w:rPr>
                <w:rFonts w:ascii="Book Antiqua" w:eastAsia="Times New Roman" w:hAnsi="Book Antiqua" w:cs="Arial"/>
                <w:color w:val="000000"/>
                <w:lang w:val="es-ES" w:eastAsia="es-CR"/>
              </w:rPr>
            </w:pPr>
            <w:r>
              <w:rPr>
                <w:rFonts w:ascii="Book Antiqua" w:eastAsia="Times New Roman" w:hAnsi="Book Antiqua" w:cs="Arial"/>
                <w:color w:val="000000"/>
                <w:lang w:val="es-ES" w:eastAsia="es-CR"/>
              </w:rPr>
              <w:t>Máster Erick Mora Leiva</w:t>
            </w:r>
          </w:p>
        </w:tc>
        <w:tc>
          <w:tcPr>
            <w:tcW w:w="2161" w:type="pct"/>
            <w:vAlign w:val="center"/>
          </w:tcPr>
          <w:p w14:paraId="76B0505E" w14:textId="426FB25B" w:rsidR="00AE6369" w:rsidRDefault="001C76E5" w:rsidP="00DC3298">
            <w:pPr>
              <w:widowControl w:val="0"/>
              <w:autoSpaceDE w:val="0"/>
              <w:autoSpaceDN w:val="0"/>
              <w:adjustRightInd w:val="0"/>
              <w:spacing w:after="0" w:line="276" w:lineRule="auto"/>
              <w:rPr>
                <w:rFonts w:ascii="Book Antiqua" w:eastAsia="Times New Roman" w:hAnsi="Book Antiqua" w:cs="Arial"/>
                <w:color w:val="000000"/>
                <w:lang w:val="es-ES" w:eastAsia="es-CR"/>
              </w:rPr>
            </w:pPr>
            <w:r w:rsidRPr="005D5FB2">
              <w:rPr>
                <w:rFonts w:ascii="Book Antiqua" w:eastAsia="Times New Roman" w:hAnsi="Book Antiqua" w:cs="Arial"/>
                <w:color w:val="000000"/>
                <w:lang w:val="es-ES" w:eastAsia="es-CR"/>
              </w:rPr>
              <w:t>Jef</w:t>
            </w:r>
            <w:r>
              <w:rPr>
                <w:rFonts w:ascii="Book Antiqua" w:eastAsia="Times New Roman" w:hAnsi="Book Antiqua" w:cs="Arial"/>
                <w:color w:val="000000"/>
                <w:lang w:val="es-ES" w:eastAsia="es-CR"/>
              </w:rPr>
              <w:t>e</w:t>
            </w:r>
            <w:r w:rsidRPr="005D5FB2">
              <w:rPr>
                <w:rFonts w:ascii="Book Antiqua" w:eastAsia="Times New Roman" w:hAnsi="Book Antiqua" w:cs="Arial"/>
                <w:color w:val="000000"/>
                <w:lang w:val="es-ES" w:eastAsia="es-CR"/>
              </w:rPr>
              <w:t xml:space="preserve"> Subproceso</w:t>
            </w:r>
            <w:r w:rsidR="00AE6369" w:rsidRPr="005D5FB2">
              <w:rPr>
                <w:rFonts w:ascii="Book Antiqua" w:eastAsia="Times New Roman" w:hAnsi="Book Antiqua" w:cs="Arial"/>
                <w:color w:val="000000"/>
                <w:lang w:val="es-ES" w:eastAsia="es-CR"/>
              </w:rPr>
              <w:t xml:space="preserve"> de </w:t>
            </w:r>
            <w:r w:rsidRPr="001C76E5">
              <w:rPr>
                <w:rFonts w:ascii="Book Antiqua" w:eastAsia="Times New Roman" w:hAnsi="Book Antiqua" w:cs="Arial"/>
                <w:color w:val="000000"/>
                <w:lang w:val="es-ES" w:eastAsia="es-CR"/>
              </w:rPr>
              <w:t xml:space="preserve">Subproceso de Formulación de Presupuesto y Portafolio </w:t>
            </w:r>
            <w:r w:rsidR="00B13365">
              <w:rPr>
                <w:rFonts w:ascii="Book Antiqua" w:eastAsia="Times New Roman" w:hAnsi="Book Antiqua" w:cs="Arial"/>
                <w:color w:val="000000"/>
                <w:lang w:val="es-ES" w:eastAsia="es-CR"/>
              </w:rPr>
              <w:t>d</w:t>
            </w:r>
            <w:r w:rsidRPr="001C76E5">
              <w:rPr>
                <w:rFonts w:ascii="Book Antiqua" w:eastAsia="Times New Roman" w:hAnsi="Book Antiqua" w:cs="Arial"/>
                <w:color w:val="000000"/>
                <w:lang w:val="es-ES" w:eastAsia="es-CR"/>
              </w:rPr>
              <w:t>e Proyectos Institucional</w:t>
            </w:r>
          </w:p>
          <w:p w14:paraId="04AE5CB4" w14:textId="77777777" w:rsidR="001C76E5" w:rsidRDefault="001C76E5" w:rsidP="00DC3298">
            <w:pPr>
              <w:widowControl w:val="0"/>
              <w:autoSpaceDE w:val="0"/>
              <w:autoSpaceDN w:val="0"/>
              <w:adjustRightInd w:val="0"/>
              <w:spacing w:after="0" w:line="276" w:lineRule="auto"/>
              <w:rPr>
                <w:rFonts w:ascii="Book Antiqua" w:eastAsia="Times New Roman" w:hAnsi="Book Antiqua" w:cs="Arial"/>
                <w:color w:val="000000"/>
                <w:lang w:val="es-ES" w:eastAsia="es-CR"/>
              </w:rPr>
            </w:pPr>
          </w:p>
          <w:p w14:paraId="621F9A46" w14:textId="0D01B31E" w:rsidR="001C76E5" w:rsidRPr="005D5FB2" w:rsidRDefault="001C76E5" w:rsidP="00DC3298">
            <w:pPr>
              <w:widowControl w:val="0"/>
              <w:autoSpaceDE w:val="0"/>
              <w:autoSpaceDN w:val="0"/>
              <w:adjustRightInd w:val="0"/>
              <w:spacing w:after="0" w:line="276" w:lineRule="auto"/>
              <w:rPr>
                <w:rFonts w:ascii="Book Antiqua" w:eastAsia="Times New Roman" w:hAnsi="Book Antiqua" w:cs="Arial"/>
                <w:color w:val="000000"/>
                <w:lang w:val="es-ES" w:eastAsia="es-CR"/>
              </w:rPr>
            </w:pPr>
            <w:r>
              <w:rPr>
                <w:rFonts w:ascii="Book Antiqua" w:eastAsia="Times New Roman" w:hAnsi="Book Antiqua" w:cs="Arial"/>
                <w:color w:val="000000"/>
                <w:lang w:val="es-ES" w:eastAsia="es-CR"/>
              </w:rPr>
              <w:t>Jefe Proceso Planeación y Evaluación</w:t>
            </w:r>
          </w:p>
        </w:tc>
      </w:tr>
      <w:tr w:rsidR="00AE6369" w:rsidRPr="005D5FB2" w14:paraId="02B15617" w14:textId="77777777" w:rsidTr="009F15D7">
        <w:trPr>
          <w:trHeight w:val="510"/>
          <w:jc w:val="center"/>
        </w:trPr>
        <w:tc>
          <w:tcPr>
            <w:tcW w:w="1082" w:type="pct"/>
            <w:shd w:val="clear" w:color="auto" w:fill="F2F2F2"/>
            <w:vAlign w:val="center"/>
          </w:tcPr>
          <w:p w14:paraId="3148135B" w14:textId="77777777" w:rsidR="00AE6369" w:rsidRPr="005D5FB2" w:rsidRDefault="00AE6369" w:rsidP="00F400D6">
            <w:pPr>
              <w:widowControl w:val="0"/>
              <w:autoSpaceDE w:val="0"/>
              <w:autoSpaceDN w:val="0"/>
              <w:adjustRightInd w:val="0"/>
              <w:spacing w:after="0" w:line="276" w:lineRule="auto"/>
              <w:jc w:val="center"/>
              <w:rPr>
                <w:rFonts w:ascii="Book Antiqua" w:eastAsia="Times New Roman" w:hAnsi="Book Antiqua" w:cs="Arial"/>
                <w:b/>
                <w:color w:val="000000"/>
                <w:lang w:val="es-ES" w:eastAsia="es-CR"/>
              </w:rPr>
            </w:pPr>
            <w:r w:rsidRPr="005D5FB2">
              <w:rPr>
                <w:rFonts w:ascii="Book Antiqua" w:eastAsia="Times New Roman" w:hAnsi="Book Antiqua" w:cs="Arial"/>
                <w:b/>
                <w:color w:val="000000"/>
                <w:lang w:val="es-ES" w:eastAsia="es-CR"/>
              </w:rPr>
              <w:t>Visto Bueno</w:t>
            </w:r>
            <w:r>
              <w:rPr>
                <w:rFonts w:ascii="Book Antiqua" w:eastAsia="Times New Roman" w:hAnsi="Book Antiqua" w:cs="Arial"/>
                <w:b/>
                <w:color w:val="000000"/>
                <w:lang w:val="es-ES" w:eastAsia="es-CR"/>
              </w:rPr>
              <w:t>:</w:t>
            </w:r>
          </w:p>
        </w:tc>
        <w:tc>
          <w:tcPr>
            <w:tcW w:w="1757" w:type="pct"/>
            <w:vAlign w:val="center"/>
          </w:tcPr>
          <w:p w14:paraId="351B66E5" w14:textId="3532B214" w:rsidR="00AE6369" w:rsidRPr="005D5FB2" w:rsidRDefault="009F15D7" w:rsidP="009F15D7">
            <w:pPr>
              <w:widowControl w:val="0"/>
              <w:autoSpaceDE w:val="0"/>
              <w:autoSpaceDN w:val="0"/>
              <w:adjustRightInd w:val="0"/>
              <w:spacing w:after="0" w:line="276" w:lineRule="auto"/>
              <w:jc w:val="center"/>
              <w:rPr>
                <w:rFonts w:ascii="Book Antiqua" w:eastAsia="Times New Roman" w:hAnsi="Book Antiqua" w:cs="Arial"/>
                <w:lang w:val="es-ES" w:eastAsia="es-CR"/>
              </w:rPr>
            </w:pPr>
            <w:r>
              <w:rPr>
                <w:rFonts w:ascii="Book Antiqua" w:eastAsia="Times New Roman" w:hAnsi="Book Antiqua" w:cs="Arial"/>
                <w:lang w:val="es-ES" w:eastAsia="es-CR"/>
              </w:rPr>
              <w:t>Licda. Nacira Valverde Bermudez</w:t>
            </w:r>
          </w:p>
        </w:tc>
        <w:tc>
          <w:tcPr>
            <w:tcW w:w="2161" w:type="pct"/>
            <w:vAlign w:val="center"/>
          </w:tcPr>
          <w:p w14:paraId="77473B0D" w14:textId="74E675B1" w:rsidR="00AE6369" w:rsidRPr="005D5FB2" w:rsidRDefault="001C76E5" w:rsidP="00B13365">
            <w:pPr>
              <w:widowControl w:val="0"/>
              <w:autoSpaceDE w:val="0"/>
              <w:autoSpaceDN w:val="0"/>
              <w:adjustRightInd w:val="0"/>
              <w:spacing w:after="0" w:line="276" w:lineRule="auto"/>
              <w:rPr>
                <w:rFonts w:ascii="Book Antiqua" w:eastAsia="Times New Roman" w:hAnsi="Book Antiqua" w:cs="Arial"/>
                <w:color w:val="000000"/>
                <w:lang w:val="es-ES" w:eastAsia="es-CR"/>
              </w:rPr>
            </w:pPr>
            <w:r>
              <w:rPr>
                <w:rFonts w:ascii="Book Antiqua" w:eastAsia="Times New Roman" w:hAnsi="Book Antiqua" w:cs="Arial"/>
                <w:lang w:val="es-ES" w:eastAsia="es-CR"/>
              </w:rPr>
              <w:t>Director</w:t>
            </w:r>
            <w:r w:rsidR="009F15D7">
              <w:rPr>
                <w:rFonts w:ascii="Book Antiqua" w:eastAsia="Times New Roman" w:hAnsi="Book Antiqua" w:cs="Arial"/>
                <w:lang w:val="es-ES" w:eastAsia="es-CR"/>
              </w:rPr>
              <w:t>a</w:t>
            </w:r>
            <w:r>
              <w:rPr>
                <w:rFonts w:ascii="Book Antiqua" w:eastAsia="Times New Roman" w:hAnsi="Book Antiqua" w:cs="Arial"/>
                <w:lang w:val="es-ES" w:eastAsia="es-CR"/>
              </w:rPr>
              <w:t xml:space="preserve"> a.i. de Planificación</w:t>
            </w:r>
          </w:p>
        </w:tc>
      </w:tr>
      <w:bookmarkEnd w:id="206"/>
    </w:tbl>
    <w:p w14:paraId="2D107869" w14:textId="77777777" w:rsidR="008B5C2D" w:rsidRPr="008B5C2D" w:rsidRDefault="008B5C2D" w:rsidP="008B5C2D">
      <w:pPr>
        <w:jc w:val="both"/>
        <w:rPr>
          <w:rFonts w:ascii="Book Antiqua" w:hAnsi="Book Antiqua"/>
          <w:lang w:eastAsia="ko-KR"/>
        </w:rPr>
      </w:pPr>
    </w:p>
    <w:sectPr w:rsidR="008B5C2D" w:rsidRPr="008B5C2D" w:rsidSect="00320D34">
      <w:pgSz w:w="12240" w:h="1584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3A73D" w14:textId="77777777" w:rsidR="00883F21" w:rsidRDefault="00883F21" w:rsidP="00270DB5">
      <w:pPr>
        <w:spacing w:after="0" w:line="240" w:lineRule="auto"/>
      </w:pPr>
      <w:r>
        <w:separator/>
      </w:r>
    </w:p>
  </w:endnote>
  <w:endnote w:type="continuationSeparator" w:id="0">
    <w:p w14:paraId="5CA8E7DF" w14:textId="77777777" w:rsidR="00883F21" w:rsidRDefault="00883F21" w:rsidP="00270DB5">
      <w:pPr>
        <w:spacing w:after="0" w:line="240" w:lineRule="auto"/>
      </w:pPr>
      <w:r>
        <w:continuationSeparator/>
      </w:r>
    </w:p>
  </w:endnote>
  <w:endnote w:type="continuationNotice" w:id="1">
    <w:p w14:paraId="26D1DDA2" w14:textId="77777777" w:rsidR="00883F21" w:rsidRDefault="00883F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amp;quo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974849"/>
      <w:docPartObj>
        <w:docPartGallery w:val="Page Numbers (Bottom of Page)"/>
        <w:docPartUnique/>
      </w:docPartObj>
    </w:sdtPr>
    <w:sdtEndPr/>
    <w:sdtContent>
      <w:p w14:paraId="335D5EE2" w14:textId="77777777" w:rsidR="00EE08CD" w:rsidRPr="001A67CA" w:rsidRDefault="00EE08CD" w:rsidP="001A67CA">
        <w:pPr>
          <w:pBdr>
            <w:top w:val="single" w:sz="4" w:space="1" w:color="auto"/>
          </w:pBdr>
          <w:spacing w:after="0" w:line="240" w:lineRule="auto"/>
          <w:ind w:right="360"/>
          <w:jc w:val="center"/>
          <w:rPr>
            <w:rFonts w:ascii="Book Antiqua" w:eastAsia="Times New Roman" w:hAnsi="Book Antiqua" w:cs="Times New Roman"/>
            <w:b/>
            <w:bCs/>
            <w:color w:val="000000"/>
            <w:sz w:val="24"/>
            <w:szCs w:val="24"/>
            <w:lang w:eastAsia="es-ES"/>
          </w:rPr>
        </w:pPr>
        <w:r w:rsidRPr="001A67CA">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200DE416" w14:textId="77777777" w:rsidR="00EE08CD" w:rsidRDefault="00EE08CD" w:rsidP="001A67CA">
        <w:pPr>
          <w:pStyle w:val="Piedepgina"/>
          <w:jc w:val="right"/>
        </w:pPr>
      </w:p>
      <w:p w14:paraId="1F73B334" w14:textId="4FF3ED9E" w:rsidR="00EE08CD" w:rsidRDefault="00EE08CD">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731B6" w14:textId="77777777" w:rsidR="00883F21" w:rsidRDefault="00883F21" w:rsidP="00270DB5">
      <w:pPr>
        <w:spacing w:after="0" w:line="240" w:lineRule="auto"/>
      </w:pPr>
      <w:r>
        <w:separator/>
      </w:r>
    </w:p>
  </w:footnote>
  <w:footnote w:type="continuationSeparator" w:id="0">
    <w:p w14:paraId="5D8BF2A8" w14:textId="77777777" w:rsidR="00883F21" w:rsidRDefault="00883F21" w:rsidP="00270DB5">
      <w:pPr>
        <w:spacing w:after="0" w:line="240" w:lineRule="auto"/>
      </w:pPr>
      <w:r>
        <w:continuationSeparator/>
      </w:r>
    </w:p>
  </w:footnote>
  <w:footnote w:type="continuationNotice" w:id="1">
    <w:p w14:paraId="73D15A1D" w14:textId="77777777" w:rsidR="00883F21" w:rsidRDefault="00883F21">
      <w:pPr>
        <w:spacing w:after="0" w:line="240" w:lineRule="auto"/>
      </w:pPr>
    </w:p>
  </w:footnote>
  <w:footnote w:id="2">
    <w:p w14:paraId="11C0F443" w14:textId="704A4DF3" w:rsidR="0068747D" w:rsidRDefault="0068747D">
      <w:pPr>
        <w:pStyle w:val="Textonotapie"/>
      </w:pPr>
      <w:r w:rsidRPr="00EF4E17">
        <w:rPr>
          <w:rStyle w:val="Refdenotaalpie"/>
          <w:sz w:val="16"/>
          <w:szCs w:val="16"/>
        </w:rPr>
        <w:footnoteRef/>
      </w:r>
      <w:r w:rsidRPr="00EF4E17">
        <w:rPr>
          <w:sz w:val="16"/>
          <w:szCs w:val="16"/>
        </w:rPr>
        <w:t xml:space="preserve"> </w:t>
      </w:r>
      <w:r w:rsidRPr="00EF4E17">
        <w:rPr>
          <w:rFonts w:ascii="Book Antiqua" w:eastAsia="Times New Roman" w:hAnsi="Book Antiqua" w:cs="Segoe UI"/>
          <w:color w:val="000000"/>
          <w:sz w:val="12"/>
          <w:szCs w:val="12"/>
          <w:lang w:eastAsia="es-CR"/>
        </w:rPr>
        <w:t xml:space="preserve">Al 28 </w:t>
      </w:r>
      <w:r w:rsidR="005A1D93" w:rsidRPr="00EF4E17">
        <w:rPr>
          <w:rFonts w:ascii="Book Antiqua" w:eastAsia="Times New Roman" w:hAnsi="Book Antiqua" w:cs="Segoe UI"/>
          <w:color w:val="000000"/>
          <w:sz w:val="12"/>
          <w:szCs w:val="12"/>
          <w:lang w:eastAsia="es-CR"/>
        </w:rPr>
        <w:t>de abril</w:t>
      </w:r>
      <w:r w:rsidRPr="00EF4E17">
        <w:rPr>
          <w:rFonts w:ascii="Book Antiqua" w:eastAsia="Times New Roman" w:hAnsi="Book Antiqua" w:cs="Segoe UI"/>
          <w:color w:val="000000"/>
          <w:sz w:val="12"/>
          <w:szCs w:val="12"/>
          <w:lang w:eastAsia="es-CR"/>
        </w:rPr>
        <w:t xml:space="preserve"> se contaba con el apartado de Documentar procesos de la Jurisdicción Especializada en Delincuencia Organizada (JEDO) un 67%, cabe aclarar que al mes de mayo y junio se realizaron esfuerzos y ahora el porcentaje de avance del apartado es de 96%.</w:t>
      </w:r>
    </w:p>
  </w:footnote>
  <w:footnote w:id="3">
    <w:p w14:paraId="2DBA709B" w14:textId="7B640289" w:rsidR="009557E0" w:rsidRPr="00EF4E17" w:rsidRDefault="009557E0" w:rsidP="00861FDD">
      <w:pPr>
        <w:spacing w:after="0" w:line="240" w:lineRule="auto"/>
        <w:textAlignment w:val="baseline"/>
        <w:rPr>
          <w:rFonts w:ascii="Book Antiqua" w:eastAsia="Times New Roman" w:hAnsi="Book Antiqua" w:cs="Segoe UI"/>
          <w:color w:val="000000"/>
          <w:sz w:val="14"/>
          <w:szCs w:val="14"/>
          <w:lang w:eastAsia="es-CR"/>
        </w:rPr>
      </w:pPr>
      <w:r w:rsidRPr="00861FDD">
        <w:rPr>
          <w:rFonts w:ascii="Book Antiqua" w:eastAsia="Times New Roman" w:hAnsi="Book Antiqua" w:cs="Segoe UI"/>
          <w:color w:val="000000"/>
          <w:sz w:val="14"/>
          <w:szCs w:val="14"/>
          <w:lang w:eastAsia="es-CR"/>
        </w:rPr>
        <w:footnoteRef/>
      </w:r>
      <w:r w:rsidRPr="00861FDD">
        <w:rPr>
          <w:rFonts w:ascii="Book Antiqua" w:eastAsia="Times New Roman" w:hAnsi="Book Antiqua" w:cs="Segoe UI"/>
          <w:color w:val="000000"/>
          <w:sz w:val="14"/>
          <w:szCs w:val="14"/>
          <w:lang w:eastAsia="es-CR"/>
        </w:rPr>
        <w:t xml:space="preserve"> Se mantiene sesión de trabajo en la cual se determina que se solventarán todas las observaciones menos la que aparece en el cuadro, debido a que esta requiere de un tiempo considerable para corregir</w:t>
      </w:r>
    </w:p>
  </w:footnote>
  <w:footnote w:id="4">
    <w:p w14:paraId="2B9878B0" w14:textId="32193947" w:rsidR="0030303A" w:rsidRPr="00EF4E17" w:rsidRDefault="0030303A" w:rsidP="00EF4E17">
      <w:pPr>
        <w:spacing w:after="0" w:line="240" w:lineRule="auto"/>
        <w:jc w:val="both"/>
        <w:textAlignment w:val="baseline"/>
        <w:rPr>
          <w:rFonts w:ascii="Book Antiqua" w:eastAsia="Times New Roman" w:hAnsi="Book Antiqua" w:cs="Segoe UI"/>
          <w:color w:val="000000"/>
          <w:sz w:val="14"/>
          <w:szCs w:val="14"/>
          <w:highlight w:val="yellow"/>
          <w:lang w:eastAsia="es-CR"/>
        </w:rPr>
      </w:pPr>
      <w:r w:rsidRPr="00EF4E17">
        <w:rPr>
          <w:rFonts w:ascii="Book Antiqua" w:eastAsia="Times New Roman" w:hAnsi="Book Antiqua" w:cs="Segoe UI"/>
          <w:color w:val="000000"/>
          <w:sz w:val="14"/>
          <w:szCs w:val="14"/>
          <w:lang w:eastAsia="es-CR"/>
        </w:rPr>
        <w:footnoteRef/>
      </w:r>
      <w:r w:rsidRPr="00EF4E17">
        <w:rPr>
          <w:rFonts w:ascii="Book Antiqua" w:eastAsia="Times New Roman" w:hAnsi="Book Antiqua" w:cs="Segoe UI"/>
          <w:color w:val="000000"/>
          <w:sz w:val="14"/>
          <w:szCs w:val="14"/>
          <w:lang w:eastAsia="es-CR"/>
        </w:rPr>
        <w:t xml:space="preserve"> </w:t>
      </w:r>
      <w:r w:rsidR="00FF2047" w:rsidRPr="00EF4E17">
        <w:rPr>
          <w:rFonts w:ascii="Book Antiqua" w:eastAsia="Times New Roman" w:hAnsi="Book Antiqua" w:cs="Segoe UI"/>
          <w:color w:val="000000"/>
          <w:sz w:val="14"/>
          <w:szCs w:val="14"/>
          <w:lang w:eastAsia="es-CR"/>
        </w:rPr>
        <w:t>Según ofi</w:t>
      </w:r>
      <w:r w:rsidR="003C262E" w:rsidRPr="00EF4E17">
        <w:rPr>
          <w:rFonts w:ascii="Book Antiqua" w:eastAsia="Times New Roman" w:hAnsi="Book Antiqua" w:cs="Segoe UI"/>
          <w:color w:val="000000"/>
          <w:sz w:val="14"/>
          <w:szCs w:val="14"/>
          <w:lang w:eastAsia="es-CR"/>
        </w:rPr>
        <w:t>cio 700</w:t>
      </w:r>
      <w:r w:rsidR="009B774A" w:rsidRPr="00EF4E17">
        <w:rPr>
          <w:rFonts w:ascii="Book Antiqua" w:eastAsia="Times New Roman" w:hAnsi="Book Antiqua" w:cs="Segoe UI"/>
          <w:color w:val="000000"/>
          <w:sz w:val="14"/>
          <w:szCs w:val="14"/>
          <w:lang w:eastAsia="es-CR"/>
        </w:rPr>
        <w:t xml:space="preserve">-PLA-PP-2021 </w:t>
      </w:r>
      <w:r w:rsidR="00E333B7" w:rsidRPr="00EF4E17">
        <w:rPr>
          <w:rFonts w:ascii="Book Antiqua" w:eastAsia="Times New Roman" w:hAnsi="Book Antiqua" w:cs="Segoe UI"/>
          <w:color w:val="000000"/>
          <w:sz w:val="14"/>
          <w:szCs w:val="14"/>
          <w:lang w:eastAsia="es-CR"/>
        </w:rPr>
        <w:t xml:space="preserve">el cual se conoce en sesión de </w:t>
      </w:r>
      <w:r w:rsidRPr="00EF4E17">
        <w:rPr>
          <w:rFonts w:ascii="Book Antiqua" w:eastAsia="Times New Roman" w:hAnsi="Book Antiqua" w:cs="Segoe UI"/>
          <w:color w:val="000000"/>
          <w:sz w:val="14"/>
          <w:szCs w:val="14"/>
          <w:lang w:eastAsia="es-CR"/>
        </w:rPr>
        <w:t xml:space="preserve"> C</w:t>
      </w:r>
      <w:r w:rsidR="00DA49E5" w:rsidRPr="001C4A55">
        <w:rPr>
          <w:rFonts w:ascii="Book Antiqua" w:eastAsia="Times New Roman" w:hAnsi="Book Antiqua" w:cs="Segoe UI"/>
          <w:color w:val="000000"/>
          <w:sz w:val="14"/>
          <w:szCs w:val="14"/>
          <w:lang w:eastAsia="es-CR"/>
        </w:rPr>
        <w:t xml:space="preserve">onsejo </w:t>
      </w:r>
      <w:r w:rsidRPr="00EF4E17">
        <w:rPr>
          <w:rFonts w:ascii="Book Antiqua" w:eastAsia="Times New Roman" w:hAnsi="Book Antiqua" w:cs="Segoe UI"/>
          <w:color w:val="000000"/>
          <w:sz w:val="14"/>
          <w:szCs w:val="14"/>
          <w:lang w:eastAsia="es-CR"/>
        </w:rPr>
        <w:t>S</w:t>
      </w:r>
      <w:r w:rsidR="00DA49E5" w:rsidRPr="001C4A55">
        <w:rPr>
          <w:rFonts w:ascii="Book Antiqua" w:eastAsia="Times New Roman" w:hAnsi="Book Antiqua" w:cs="Segoe UI"/>
          <w:color w:val="000000"/>
          <w:sz w:val="14"/>
          <w:szCs w:val="14"/>
          <w:lang w:eastAsia="es-CR"/>
        </w:rPr>
        <w:t>uperior</w:t>
      </w:r>
      <w:r w:rsidRPr="00EF4E17">
        <w:rPr>
          <w:rFonts w:ascii="Book Antiqua" w:eastAsia="Times New Roman" w:hAnsi="Book Antiqua" w:cs="Segoe UI"/>
          <w:color w:val="000000"/>
          <w:sz w:val="14"/>
          <w:szCs w:val="14"/>
          <w:lang w:eastAsia="es-CR"/>
        </w:rPr>
        <w:t xml:space="preserve"> </w:t>
      </w:r>
      <w:r w:rsidR="008C05D2" w:rsidRPr="00EF4E17">
        <w:rPr>
          <w:rFonts w:ascii="Book Antiqua" w:eastAsia="Times New Roman" w:hAnsi="Book Antiqua" w:cs="Segoe UI"/>
          <w:color w:val="000000"/>
          <w:sz w:val="14"/>
          <w:szCs w:val="14"/>
          <w:lang w:eastAsia="es-CR"/>
        </w:rPr>
        <w:t>56-2021 del 6 de julio de 2021, artículo XLVIII</w:t>
      </w:r>
      <w:r w:rsidR="008C05D2" w:rsidRPr="001C4A55">
        <w:rPr>
          <w:rFonts w:ascii="Book Antiqua" w:eastAsia="Times New Roman" w:hAnsi="Book Antiqua" w:cs="Segoe UI"/>
          <w:color w:val="000000"/>
          <w:sz w:val="14"/>
          <w:szCs w:val="14"/>
          <w:lang w:eastAsia="es-CR"/>
        </w:rPr>
        <w:t xml:space="preserve">: se aprueba </w:t>
      </w:r>
      <w:r w:rsidR="001C4A55" w:rsidRPr="00EF4E17">
        <w:rPr>
          <w:rFonts w:ascii="Book Antiqua" w:eastAsia="Times New Roman" w:hAnsi="Book Antiqua" w:cs="Segoe UI"/>
          <w:i/>
          <w:iCs/>
          <w:color w:val="000000"/>
          <w:sz w:val="14"/>
          <w:szCs w:val="14"/>
          <w:lang w:eastAsia="es-CR"/>
        </w:rPr>
        <w:t xml:space="preserve">1) </w:t>
      </w:r>
      <w:r w:rsidR="00AC7DC1" w:rsidRPr="00EF4E17">
        <w:rPr>
          <w:rFonts w:ascii="Book Antiqua" w:eastAsia="Times New Roman" w:hAnsi="Book Antiqua" w:cs="Segoe UI"/>
          <w:i/>
          <w:iCs/>
          <w:color w:val="000000"/>
          <w:sz w:val="14"/>
          <w:szCs w:val="14"/>
          <w:lang w:eastAsia="es-CR"/>
        </w:rPr>
        <w:t>Tener por rendido el informe suscrito por la licenciada Nacira Valverde Bermúdez, Directora interina de Planificación, mediante oficio N°700-PLA-PP-2021 del 24 de junio de 2021 y suscrito por el licenciado Minor Alvarado Chaves, Jefe del Subproceso de Formulación de Presupuesto y Portafolio de Proyectos, relacionado con el Sistema Integral de Formulación y Ejecución Presupuestaria para Remuneraciones y acoger la recomendación. 2.) Deberá la Dirección de Gestión Humana retomar el desarrollo del proyecto “Sistema Integral de Formulación y Ejecución Presupuestaria para Remuneraciones”, a fin de suplir la necesidad de sistematizar esta importante y sensible temática. Para ello, deberá también tomar en consideración la plataforma tecnológica y las necesidades propuestas para el desarrollo del Proyecto de Presupuestación Plurianual. Lo anterior conforme lo indica el informe se desarrollará con la colaboración de la Dirección de Planificación y la Dirección de Tecnología de la Información.</w:t>
      </w:r>
      <w:r w:rsidR="00656199" w:rsidRPr="00D21B86">
        <w:rPr>
          <w:rFonts w:ascii="Book Antiqua" w:eastAsia="Times New Roman" w:hAnsi="Book Antiqua" w:cs="Segoe UI"/>
          <w:i/>
          <w:iCs/>
          <w:color w:val="000000"/>
          <w:sz w:val="14"/>
          <w:szCs w:val="14"/>
          <w:lang w:eastAsia="es-CR"/>
        </w:rPr>
        <w:t xml:space="preserve"> </w:t>
      </w:r>
      <w:r w:rsidR="00656199">
        <w:rPr>
          <w:rFonts w:ascii="Book Antiqua" w:eastAsia="Times New Roman" w:hAnsi="Book Antiqua" w:cs="Segoe UI"/>
          <w:color w:val="000000"/>
          <w:sz w:val="14"/>
          <w:szCs w:val="14"/>
          <w:lang w:eastAsia="es-CR"/>
        </w:rPr>
        <w:t xml:space="preserve">Por lo </w:t>
      </w:r>
      <w:r w:rsidR="000F1BD0">
        <w:rPr>
          <w:rFonts w:ascii="Book Antiqua" w:eastAsia="Times New Roman" w:hAnsi="Book Antiqua" w:cs="Segoe UI"/>
          <w:color w:val="000000"/>
          <w:sz w:val="14"/>
          <w:szCs w:val="14"/>
          <w:lang w:eastAsia="es-CR"/>
        </w:rPr>
        <w:t xml:space="preserve">anterior, la Dirección de </w:t>
      </w:r>
      <w:r w:rsidR="00D93E40">
        <w:rPr>
          <w:rFonts w:ascii="Book Antiqua" w:eastAsia="Times New Roman" w:hAnsi="Book Antiqua" w:cs="Segoe UI"/>
          <w:color w:val="000000"/>
          <w:sz w:val="14"/>
          <w:szCs w:val="14"/>
          <w:lang w:eastAsia="es-CR"/>
        </w:rPr>
        <w:t xml:space="preserve">Planificación coordina con la Dirección de Gestión Humana </w:t>
      </w:r>
      <w:r w:rsidR="0024350B">
        <w:rPr>
          <w:rFonts w:ascii="Book Antiqua" w:eastAsia="Times New Roman" w:hAnsi="Book Antiqua" w:cs="Segoe UI"/>
          <w:color w:val="000000"/>
          <w:sz w:val="14"/>
          <w:szCs w:val="14"/>
          <w:lang w:eastAsia="es-CR"/>
        </w:rPr>
        <w:t xml:space="preserve">para tomar en cuenta </w:t>
      </w:r>
      <w:r w:rsidR="006779EE">
        <w:rPr>
          <w:rFonts w:ascii="Book Antiqua" w:eastAsia="Times New Roman" w:hAnsi="Book Antiqua" w:cs="Segoe UI"/>
          <w:color w:val="000000"/>
          <w:sz w:val="14"/>
          <w:szCs w:val="14"/>
          <w:lang w:eastAsia="es-CR"/>
        </w:rPr>
        <w:t xml:space="preserve">las necesidades y vinculación con el </w:t>
      </w:r>
      <w:r w:rsidR="006779EE" w:rsidRPr="00EF4E17">
        <w:rPr>
          <w:rFonts w:ascii="Book Antiqua" w:eastAsia="Times New Roman" w:hAnsi="Book Antiqua" w:cs="Segoe UI"/>
          <w:color w:val="000000"/>
          <w:sz w:val="14"/>
          <w:szCs w:val="14"/>
          <w:lang w:eastAsia="es-CR"/>
        </w:rPr>
        <w:t>Proyecto de Presupuestación Plurianual</w:t>
      </w:r>
      <w:r w:rsidR="006779EE">
        <w:rPr>
          <w:rFonts w:ascii="Book Antiqua" w:eastAsia="Times New Roman" w:hAnsi="Book Antiqua" w:cs="Segoe UI"/>
          <w:i/>
          <w:iCs/>
          <w:color w:val="000000"/>
          <w:sz w:val="14"/>
          <w:szCs w:val="14"/>
          <w:lang w:eastAsia="es-CR"/>
        </w:rPr>
        <w:t>.</w:t>
      </w:r>
    </w:p>
  </w:footnote>
  <w:footnote w:id="5">
    <w:p w14:paraId="6A27B924" w14:textId="0E137A51" w:rsidR="00087715" w:rsidRPr="00EF4E17" w:rsidRDefault="00087715" w:rsidP="00EF4E17">
      <w:pPr>
        <w:autoSpaceDE w:val="0"/>
        <w:autoSpaceDN w:val="0"/>
        <w:adjustRightInd w:val="0"/>
        <w:spacing w:after="0" w:line="240" w:lineRule="auto"/>
        <w:jc w:val="both"/>
        <w:rPr>
          <w:rFonts w:ascii="Book Antiqua" w:hAnsi="Book Antiqua"/>
        </w:rPr>
      </w:pPr>
      <w:r w:rsidRPr="00EF4E17">
        <w:rPr>
          <w:rStyle w:val="Refdenotaalpie"/>
          <w:rFonts w:ascii="Book Antiqua" w:hAnsi="Book Antiqua"/>
          <w:sz w:val="16"/>
          <w:szCs w:val="16"/>
        </w:rPr>
        <w:footnoteRef/>
      </w:r>
      <w:r w:rsidRPr="00EF4E17">
        <w:rPr>
          <w:rFonts w:ascii="Book Antiqua" w:hAnsi="Book Antiqua"/>
          <w:sz w:val="16"/>
          <w:szCs w:val="16"/>
        </w:rPr>
        <w:t xml:space="preserve"> Este proyecto </w:t>
      </w:r>
      <w:r>
        <w:rPr>
          <w:rFonts w:ascii="Book Antiqua" w:hAnsi="Book Antiqua"/>
          <w:sz w:val="16"/>
          <w:szCs w:val="16"/>
        </w:rPr>
        <w:t xml:space="preserve">será analizado en su continuidad a la luz del acuerdo de Consejo Superior </w:t>
      </w:r>
      <w:r w:rsidR="008258B8">
        <w:rPr>
          <w:rFonts w:ascii="Book Antiqua" w:hAnsi="Book Antiqua"/>
          <w:sz w:val="16"/>
          <w:szCs w:val="16"/>
        </w:rPr>
        <w:t xml:space="preserve">35-2023 del 26 de abril del 2023, articulo XLV, donde se acuerda: </w:t>
      </w:r>
      <w:r w:rsidR="008258B8" w:rsidRPr="00EF4E17">
        <w:rPr>
          <w:rFonts w:ascii="Book Antiqua" w:hAnsi="Book Antiqua"/>
          <w:i/>
          <w:iCs/>
          <w:sz w:val="16"/>
          <w:szCs w:val="16"/>
        </w:rPr>
        <w:t>Acoger la gestión N° DP-182 -2023 del 17 de abril de 2023, presentada por el máster Róger Mata Brenes y la máster Laura Soley Gutiérrez; por su orden, Director del Despacho de la Presidencia y Coordinadora del Proyecto del Observatorio Judicial; en consecuencia; dejar sin efecto el acuerdo tomado en sesión N° 57-2022 celebrada el 7 de julio de 2022, y por consiguiente también el estudio sobre la creación de la oficina del Observatorio Judicial, solicitado a la Dirección de Planificación por las razones indicadas. La Dirección de Planificación, el Despacho de la Presidencia y el Observatorio Judicial tomarán nota para lo que corresponda</w:t>
      </w:r>
    </w:p>
  </w:footnote>
  <w:footnote w:id="6">
    <w:p w14:paraId="54FBB82A" w14:textId="2C9C6985" w:rsidR="00E8321A" w:rsidRPr="00E24FCA" w:rsidRDefault="00E8321A">
      <w:pPr>
        <w:pStyle w:val="Textonotapie"/>
        <w:rPr>
          <w:lang w:val="es-ES"/>
        </w:rPr>
      </w:pPr>
      <w:r>
        <w:rPr>
          <w:rStyle w:val="Refdenotaalpie"/>
        </w:rPr>
        <w:footnoteRef/>
      </w:r>
      <w:r>
        <w:t xml:space="preserve"> </w:t>
      </w:r>
      <w:r w:rsidRPr="008D6BA4">
        <w:t>Pendiente aprobación del patrocinador del informe de cierre</w:t>
      </w:r>
    </w:p>
  </w:footnote>
  <w:footnote w:id="7">
    <w:p w14:paraId="43C1F7BE" w14:textId="012EB712" w:rsidR="00E8321A" w:rsidRPr="00E24FCA" w:rsidRDefault="00E8321A">
      <w:pPr>
        <w:pStyle w:val="Textonotapie"/>
        <w:rPr>
          <w:lang w:val="es-ES"/>
        </w:rPr>
      </w:pPr>
      <w:r>
        <w:rPr>
          <w:rStyle w:val="Refdenotaalpie"/>
        </w:rPr>
        <w:footnoteRef/>
      </w:r>
      <w:r>
        <w:t xml:space="preserve"> </w:t>
      </w:r>
      <w:r w:rsidRPr="008D6BA4">
        <w:t>Pendiente aprobación del patrocinador del informe de cierre</w:t>
      </w:r>
    </w:p>
  </w:footnote>
  <w:footnote w:id="8">
    <w:p w14:paraId="12191749" w14:textId="5A02560B" w:rsidR="00E8321A" w:rsidRPr="00E24FCA" w:rsidRDefault="00E8321A">
      <w:pPr>
        <w:pStyle w:val="Textonotapie"/>
        <w:rPr>
          <w:lang w:val="es-ES"/>
        </w:rPr>
      </w:pPr>
      <w:r>
        <w:rPr>
          <w:rStyle w:val="Refdenotaalpie"/>
        </w:rPr>
        <w:footnoteRef/>
      </w:r>
      <w:r>
        <w:t xml:space="preserve"> </w:t>
      </w:r>
      <w:r w:rsidRPr="008D6BA4">
        <w:t>Pendiente aprobación del patrocinador del informe de cierre</w:t>
      </w:r>
    </w:p>
  </w:footnote>
  <w:footnote w:id="9">
    <w:p w14:paraId="566299BC" w14:textId="21AC159A" w:rsidR="00AC5381" w:rsidRPr="00EF4E17" w:rsidRDefault="00AC5381">
      <w:pPr>
        <w:pStyle w:val="Textonotapie"/>
        <w:rPr>
          <w:rFonts w:ascii="Segoe UI" w:hAnsi="Segoe UI" w:cs="Segoe UI"/>
          <w:color w:val="333333"/>
          <w:sz w:val="18"/>
          <w:szCs w:val="18"/>
        </w:rPr>
      </w:pPr>
      <w:r w:rsidRPr="00EF4E17">
        <w:rPr>
          <w:rStyle w:val="Refdenotaalpie"/>
          <w:sz w:val="18"/>
          <w:szCs w:val="18"/>
        </w:rPr>
        <w:footnoteRef/>
      </w:r>
      <w:r w:rsidRPr="00EF4E17">
        <w:rPr>
          <w:sz w:val="18"/>
          <w:szCs w:val="18"/>
        </w:rPr>
        <w:t xml:space="preserve"> Este puesto colabora con el proyecto </w:t>
      </w:r>
      <w:r w:rsidRPr="00EF4E17">
        <w:rPr>
          <w:rFonts w:ascii="Segoe UI" w:hAnsi="Segoe UI" w:cs="Segoe UI"/>
          <w:color w:val="333333"/>
          <w:sz w:val="18"/>
          <w:szCs w:val="18"/>
        </w:rPr>
        <w:t>Actualización de la Política para el Acceso a la Justicia y Equiparación de Oportunidades de Personas en situación de discapacidad.</w:t>
      </w:r>
    </w:p>
  </w:footnote>
  <w:footnote w:id="10">
    <w:p w14:paraId="1AD81BBC" w14:textId="49277DF5" w:rsidR="00B250F2" w:rsidRPr="00EF4E17" w:rsidRDefault="00AC5381" w:rsidP="00EF4E17">
      <w:pPr>
        <w:spacing w:after="0" w:line="240" w:lineRule="auto"/>
        <w:jc w:val="both"/>
        <w:rPr>
          <w:rFonts w:ascii="Book Antiqua" w:hAnsi="Book Antiqua"/>
          <w:sz w:val="18"/>
          <w:szCs w:val="18"/>
        </w:rPr>
      </w:pPr>
      <w:r w:rsidRPr="00EF4E17">
        <w:rPr>
          <w:rFonts w:cs="Segoe UI"/>
          <w:sz w:val="18"/>
          <w:szCs w:val="18"/>
        </w:rPr>
        <w:footnoteRef/>
      </w:r>
      <w:r w:rsidRPr="00EF4E17">
        <w:rPr>
          <w:rFonts w:ascii="Segoe UI" w:hAnsi="Segoe UI" w:cs="Segoe UI"/>
          <w:color w:val="333333"/>
          <w:sz w:val="18"/>
          <w:szCs w:val="18"/>
        </w:rPr>
        <w:t xml:space="preserve"> Esta plaza atiende 3 proyectos: 0653-DP-P16, 0653-DP-P17, 0653-DP-P18.</w:t>
      </w:r>
      <w:r w:rsidR="00B250F2" w:rsidRPr="00EF4E17">
        <w:rPr>
          <w:rFonts w:ascii="Segoe UI" w:hAnsi="Segoe UI" w:cs="Segoe UI"/>
          <w:color w:val="333333"/>
          <w:sz w:val="18"/>
          <w:szCs w:val="18"/>
        </w:rPr>
        <w:t xml:space="preserve"> S</w:t>
      </w:r>
      <w:r w:rsidR="00B250F2" w:rsidRPr="00EF4E17">
        <w:rPr>
          <w:rFonts w:ascii="Segoe UI" w:hAnsi="Segoe UI"/>
          <w:color w:val="333333"/>
          <w:sz w:val="18"/>
          <w:szCs w:val="18"/>
        </w:rPr>
        <w:t>e recomienda que los 3 proyectos que lidera el Despacho de la Presidencia: “</w:t>
      </w:r>
      <w:r w:rsidR="00B250F2" w:rsidRPr="00EF4E17">
        <w:rPr>
          <w:rFonts w:ascii="Segoe UI" w:hAnsi="Segoe UI"/>
          <w:i/>
          <w:iCs/>
          <w:color w:val="333333"/>
          <w:sz w:val="18"/>
          <w:szCs w:val="18"/>
        </w:rPr>
        <w:t>Mejorar desafíos en el ámbito jurisdiccional establecidos en el cuarto Informe del Estado de la Justicia”, “Mejorar desafíos establecidos en el Informe del Estado de la Justicia en el ámbito de la gobernanza política” y “Mejorar desafíos establecidos en el Informe del Estado de la Justicia en el ámbito de la gestión administrativa</w:t>
      </w:r>
      <w:r w:rsidR="00B250F2" w:rsidRPr="00EF4E17">
        <w:rPr>
          <w:rFonts w:ascii="Segoe UI" w:hAnsi="Segoe UI"/>
          <w:color w:val="333333"/>
          <w:sz w:val="18"/>
          <w:szCs w:val="18"/>
        </w:rPr>
        <w:t>” presentan incorrectos ambos porcentajes del informe de avance. Estos proyectos tienen un permiso con goce de salario asociado, por lo que este permiso quedar</w:t>
      </w:r>
      <w:r w:rsidR="009F7941">
        <w:rPr>
          <w:rFonts w:ascii="Segoe UI" w:hAnsi="Segoe UI"/>
          <w:color w:val="333333"/>
          <w:sz w:val="18"/>
          <w:szCs w:val="18"/>
        </w:rPr>
        <w:t>á</w:t>
      </w:r>
      <w:r w:rsidR="00B250F2" w:rsidRPr="00EF4E17">
        <w:rPr>
          <w:rFonts w:ascii="Segoe UI" w:hAnsi="Segoe UI"/>
          <w:color w:val="333333"/>
          <w:sz w:val="18"/>
          <w:szCs w:val="18"/>
        </w:rPr>
        <w:t xml:space="preserve"> condicionado en su continuidad hasta que se actualice el proyecto debidamente en lo relacionado al cronograma y documentación.</w:t>
      </w:r>
    </w:p>
    <w:p w14:paraId="70434660" w14:textId="6FACBFC7" w:rsidR="00AC5381" w:rsidRDefault="00AC5381">
      <w:pPr>
        <w:pStyle w:val="Textonotapie"/>
      </w:pPr>
    </w:p>
  </w:footnote>
  <w:footnote w:id="11">
    <w:p w14:paraId="22A92509" w14:textId="060D830C" w:rsidR="001340AD" w:rsidRDefault="001340AD" w:rsidP="001340AD">
      <w:pPr>
        <w:pStyle w:val="Textonotapie"/>
      </w:pPr>
      <w:r w:rsidRPr="001340AD">
        <w:rPr>
          <w:rStyle w:val="Refdenotaalpie"/>
          <w:sz w:val="16"/>
          <w:szCs w:val="16"/>
        </w:rPr>
        <w:footnoteRef/>
      </w:r>
      <w:r w:rsidRPr="001340AD">
        <w:rPr>
          <w:sz w:val="16"/>
          <w:szCs w:val="16"/>
        </w:rPr>
        <w:t xml:space="preserve"> </w:t>
      </w:r>
      <w:r w:rsidRPr="001340AD">
        <w:rPr>
          <w:rFonts w:ascii="Book Antiqua" w:hAnsi="Book Antiqua"/>
          <w:sz w:val="16"/>
          <w:szCs w:val="16"/>
        </w:rPr>
        <w:t>La plaza</w:t>
      </w:r>
      <w:r>
        <w:rPr>
          <w:rFonts w:ascii="Book Antiqua" w:hAnsi="Book Antiqua"/>
          <w:sz w:val="16"/>
          <w:szCs w:val="16"/>
        </w:rPr>
        <w:t xml:space="preserve"> </w:t>
      </w:r>
      <w:r w:rsidRPr="001340AD">
        <w:rPr>
          <w:rFonts w:ascii="Book Antiqua" w:hAnsi="Book Antiqua"/>
          <w:sz w:val="16"/>
          <w:szCs w:val="16"/>
        </w:rPr>
        <w:t xml:space="preserve">371998 </w:t>
      </w:r>
      <w:r>
        <w:rPr>
          <w:rFonts w:ascii="Book Antiqua" w:hAnsi="Book Antiqua"/>
          <w:sz w:val="16"/>
          <w:szCs w:val="16"/>
        </w:rPr>
        <w:t>es</w:t>
      </w:r>
      <w:r w:rsidRPr="001340AD">
        <w:rPr>
          <w:rFonts w:ascii="Book Antiqua" w:hAnsi="Book Antiqua"/>
          <w:sz w:val="16"/>
          <w:szCs w:val="16"/>
        </w:rPr>
        <w:t xml:space="preserve"> profesional 2, pero para efectos de pago se considera como Profesional 1.</w:t>
      </w:r>
    </w:p>
  </w:footnote>
  <w:footnote w:id="12">
    <w:p w14:paraId="5D79B67A" w14:textId="5BCDA52B" w:rsidR="001340AD" w:rsidRDefault="001340AD" w:rsidP="001340AD">
      <w:pPr>
        <w:pStyle w:val="Textonotapie"/>
      </w:pPr>
      <w:r w:rsidRPr="001340AD">
        <w:rPr>
          <w:rStyle w:val="Refdenotaalpie"/>
          <w:sz w:val="16"/>
          <w:szCs w:val="16"/>
        </w:rPr>
        <w:footnoteRef/>
      </w:r>
      <w:r w:rsidRPr="001340AD">
        <w:rPr>
          <w:sz w:val="16"/>
          <w:szCs w:val="16"/>
        </w:rPr>
        <w:t xml:space="preserve"> </w:t>
      </w:r>
      <w:r w:rsidRPr="001340AD">
        <w:rPr>
          <w:rFonts w:ascii="Book Antiqua" w:hAnsi="Book Antiqua"/>
          <w:sz w:val="16"/>
          <w:szCs w:val="16"/>
        </w:rPr>
        <w:t>La plaza</w:t>
      </w:r>
      <w:r>
        <w:rPr>
          <w:rFonts w:ascii="Book Antiqua" w:hAnsi="Book Antiqua"/>
          <w:sz w:val="16"/>
          <w:szCs w:val="16"/>
        </w:rPr>
        <w:t xml:space="preserve"> </w:t>
      </w:r>
      <w:r w:rsidRPr="001340AD">
        <w:rPr>
          <w:rFonts w:ascii="Book Antiqua" w:hAnsi="Book Antiqua"/>
          <w:sz w:val="16"/>
          <w:szCs w:val="16"/>
        </w:rPr>
        <w:t xml:space="preserve">371999 </w:t>
      </w:r>
      <w:r>
        <w:rPr>
          <w:rFonts w:ascii="Book Antiqua" w:hAnsi="Book Antiqua"/>
          <w:sz w:val="16"/>
          <w:szCs w:val="16"/>
        </w:rPr>
        <w:t>es</w:t>
      </w:r>
      <w:r w:rsidRPr="001340AD">
        <w:rPr>
          <w:rFonts w:ascii="Book Antiqua" w:hAnsi="Book Antiqua"/>
          <w:sz w:val="16"/>
          <w:szCs w:val="16"/>
        </w:rPr>
        <w:t xml:space="preserve"> profesional 2, pero para efectos de pago se considera como Profesional 1.</w:t>
      </w:r>
    </w:p>
  </w:footnote>
  <w:footnote w:id="13">
    <w:p w14:paraId="310CE6A7" w14:textId="7B4650C3" w:rsidR="001340AD" w:rsidRDefault="001340AD">
      <w:pPr>
        <w:pStyle w:val="Textonotapie"/>
      </w:pPr>
      <w:r w:rsidRPr="001340AD">
        <w:rPr>
          <w:rStyle w:val="Refdenotaalpie"/>
          <w:sz w:val="16"/>
          <w:szCs w:val="16"/>
        </w:rPr>
        <w:footnoteRef/>
      </w:r>
      <w:r w:rsidRPr="001340AD">
        <w:rPr>
          <w:sz w:val="16"/>
          <w:szCs w:val="16"/>
        </w:rPr>
        <w:t xml:space="preserve"> </w:t>
      </w:r>
      <w:r w:rsidRPr="001340AD">
        <w:rPr>
          <w:rFonts w:ascii="Book Antiqua" w:hAnsi="Book Antiqua"/>
          <w:sz w:val="16"/>
          <w:szCs w:val="16"/>
        </w:rPr>
        <w:t>La plaza 352552</w:t>
      </w:r>
      <w:r>
        <w:rPr>
          <w:rFonts w:ascii="Book Antiqua" w:hAnsi="Book Antiqua"/>
          <w:sz w:val="16"/>
          <w:szCs w:val="16"/>
        </w:rPr>
        <w:t xml:space="preserve"> es</w:t>
      </w:r>
      <w:r w:rsidRPr="001340AD">
        <w:rPr>
          <w:rFonts w:ascii="Book Antiqua" w:hAnsi="Book Antiqua"/>
          <w:sz w:val="16"/>
          <w:szCs w:val="16"/>
        </w:rPr>
        <w:t xml:space="preserve"> profesional 2, pero para efectos de pago se considera como Profesional 1</w:t>
      </w:r>
      <w:r>
        <w:rPr>
          <w:rFonts w:ascii="Book Antiqua" w:hAnsi="Book Antiqua"/>
          <w:sz w:val="16"/>
          <w:szCs w:val="16"/>
        </w:rPr>
        <w:t>.</w:t>
      </w:r>
    </w:p>
  </w:footnote>
  <w:footnote w:id="14">
    <w:p w14:paraId="1FF6EE65" w14:textId="77777777" w:rsidR="00FD7841" w:rsidRDefault="00FD7841" w:rsidP="00FD7841">
      <w:pPr>
        <w:pStyle w:val="Textonotapie"/>
      </w:pPr>
      <w:r>
        <w:rPr>
          <w:rStyle w:val="Refdenotaalpie"/>
        </w:rPr>
        <w:footnoteRef/>
      </w:r>
      <w:r>
        <w:t xml:space="preserve"> Este proyecto se encuentra pendiente la elaboración del informe de cierre.</w:t>
      </w:r>
    </w:p>
  </w:footnote>
  <w:footnote w:id="15">
    <w:p w14:paraId="5F2453A9" w14:textId="77777777" w:rsidR="00FD7841" w:rsidRDefault="00FD7841" w:rsidP="00FD7841">
      <w:pPr>
        <w:pStyle w:val="Textonotapie"/>
      </w:pPr>
      <w:bookmarkStart w:id="165" w:name="_Hlk138428818"/>
      <w:r>
        <w:rPr>
          <w:rStyle w:val="Refdenotaalpie"/>
        </w:rPr>
        <w:footnoteRef/>
      </w:r>
      <w:r>
        <w:t xml:space="preserve"> </w:t>
      </w:r>
      <w:r w:rsidRPr="008D6BA4">
        <w:t>Pendiente aprobación del patrocinador del informe de cierre</w:t>
      </w:r>
      <w:bookmarkEnd w:id="165"/>
    </w:p>
  </w:footnote>
  <w:footnote w:id="16">
    <w:p w14:paraId="0FAA525D" w14:textId="77777777" w:rsidR="00FD7841" w:rsidRPr="008D6BA4" w:rsidRDefault="00FD7841" w:rsidP="00FD7841">
      <w:pPr>
        <w:pStyle w:val="Textonotapie"/>
        <w:rPr>
          <w:lang w:val="es-ES"/>
        </w:rPr>
      </w:pPr>
      <w:r>
        <w:rPr>
          <w:rStyle w:val="Refdenotaalpie"/>
        </w:rPr>
        <w:footnoteRef/>
      </w:r>
      <w:r>
        <w:t xml:space="preserve"> </w:t>
      </w:r>
      <w:r w:rsidRPr="008D6BA4">
        <w:t>Pendiente aprobación del patrocinador del informe de cierre</w:t>
      </w:r>
    </w:p>
  </w:footnote>
  <w:footnote w:id="17">
    <w:p w14:paraId="142676B4" w14:textId="77777777" w:rsidR="00FD7841" w:rsidRPr="008D6BA4" w:rsidRDefault="00FD7841" w:rsidP="00FD7841">
      <w:pPr>
        <w:pStyle w:val="Textonotapie"/>
        <w:rPr>
          <w:lang w:val="es-ES"/>
        </w:rPr>
      </w:pPr>
      <w:r>
        <w:rPr>
          <w:rStyle w:val="Refdenotaalpie"/>
        </w:rPr>
        <w:footnoteRef/>
      </w:r>
      <w:r>
        <w:t xml:space="preserve"> </w:t>
      </w:r>
      <w:r w:rsidRPr="008D6BA4">
        <w:t>Pendiente aprobación del patrocinador del informe de cierre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8F518" w14:textId="1CB5E2B8" w:rsidR="00EE08CD" w:rsidRPr="001A67CA" w:rsidRDefault="00EE08CD" w:rsidP="001A67CA">
    <w:pPr>
      <w:tabs>
        <w:tab w:val="center" w:pos="8804"/>
        <w:tab w:val="right" w:pos="8875"/>
      </w:tabs>
      <w:spacing w:after="0" w:line="240" w:lineRule="auto"/>
      <w:jc w:val="center"/>
      <w:rPr>
        <w:rFonts w:ascii="Book Antiqua" w:eastAsia="Times New Roman" w:hAnsi="Book Antiqua" w:cs="Book Antiqua"/>
        <w:i/>
        <w:iCs/>
        <w:sz w:val="18"/>
        <w:szCs w:val="18"/>
        <w:lang w:eastAsia="es-ES"/>
      </w:rPr>
    </w:pPr>
    <w:r>
      <w:rPr>
        <w:rFonts w:ascii="Book Antiqua" w:eastAsia="Times New Roman" w:hAnsi="Book Antiqua" w:cs="Book Antiqua"/>
        <w:i/>
        <w:iCs/>
        <w:sz w:val="18"/>
        <w:szCs w:val="18"/>
        <w:lang w:eastAsia="es-ES"/>
      </w:rPr>
      <w:t xml:space="preserve">      </w:t>
    </w:r>
    <w:r w:rsidRPr="001A67CA">
      <w:rPr>
        <w:rFonts w:ascii="Book Antiqua" w:eastAsia="Times New Roman" w:hAnsi="Book Antiqua" w:cs="Book Antiqua"/>
        <w:i/>
        <w:iCs/>
        <w:sz w:val="18"/>
        <w:szCs w:val="18"/>
        <w:lang w:eastAsia="es-ES"/>
      </w:rPr>
      <w:t>Poder Judicial - Dirección de Planificación</w:t>
    </w:r>
    <w:r w:rsidR="00883F21">
      <w:rPr>
        <w:rFonts w:ascii="Times New Roman" w:eastAsia="Times New Roman" w:hAnsi="Times New Roman" w:cs="Times New Roman"/>
        <w:sz w:val="24"/>
        <w:szCs w:val="24"/>
        <w:lang w:eastAsia="es-ES"/>
      </w:rPr>
      <w:pict w14:anchorId="2D054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28.5pt" o:ole="">
          <v:imagedata r:id="rId1" o:title=""/>
        </v:shape>
      </w:pict>
    </w:r>
  </w:p>
  <w:p w14:paraId="645F76C7" w14:textId="08C75BE7" w:rsidR="00EE08CD" w:rsidRPr="001A67CA" w:rsidRDefault="00EE08CD" w:rsidP="001A67CA">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1A67CA">
      <w:rPr>
        <w:rFonts w:ascii="Book Antiqua" w:eastAsia="Times New Roman" w:hAnsi="Book Antiqua" w:cs="Book Antiqua"/>
        <w:i/>
        <w:iCs/>
        <w:sz w:val="18"/>
        <w:szCs w:val="18"/>
        <w:lang w:eastAsia="es-ES"/>
      </w:rPr>
      <w:t>San José - Costa Rica</w:t>
    </w:r>
  </w:p>
  <w:p w14:paraId="3D5CA10F" w14:textId="631D6317" w:rsidR="00EE08CD" w:rsidRPr="007045E7" w:rsidRDefault="00EE08CD" w:rsidP="001A67CA">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7045E7">
      <w:rPr>
        <w:rFonts w:ascii="Book Antiqua" w:eastAsia="Times New Roman" w:hAnsi="Book Antiqua" w:cs="Book Antiqua"/>
        <w:i/>
        <w:iCs/>
        <w:sz w:val="18"/>
        <w:szCs w:val="18"/>
        <w:lang w:eastAsia="es-ES"/>
      </w:rPr>
      <w:t>Telf.   2295-3600 / 3599 / Apdo.  95-1003 / planificacion@poder-judicial.go.cr</w:t>
    </w:r>
  </w:p>
  <w:p w14:paraId="259BA474" w14:textId="77777777" w:rsidR="00EE08CD" w:rsidRPr="007045E7" w:rsidRDefault="00EE08CD" w:rsidP="001A67CA">
    <w:pPr>
      <w:pBdr>
        <w:bottom w:val="single" w:sz="6" w:space="0" w:color="auto"/>
      </w:pBdr>
      <w:spacing w:after="20" w:line="240" w:lineRule="auto"/>
      <w:jc w:val="center"/>
      <w:rPr>
        <w:rFonts w:ascii="Times New Roman" w:eastAsia="Times New Roman" w:hAnsi="Times New Roman" w:cs="Times New Roman"/>
        <w:sz w:val="20"/>
        <w:szCs w:val="20"/>
        <w:lang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473F"/>
    <w:multiLevelType w:val="hybridMultilevel"/>
    <w:tmpl w:val="10A29302"/>
    <w:lvl w:ilvl="0" w:tplc="140A0001">
      <w:start w:val="1"/>
      <w:numFmt w:val="bullet"/>
      <w:lvlText w:val=""/>
      <w:lvlJc w:val="left"/>
      <w:pPr>
        <w:ind w:left="1637"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0E2156F"/>
    <w:multiLevelType w:val="hybridMultilevel"/>
    <w:tmpl w:val="B4523104"/>
    <w:lvl w:ilvl="0" w:tplc="FFFFFFFF">
      <w:start w:val="1"/>
      <w:numFmt w:val="decimal"/>
      <w:lvlText w:val="1.%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500A78"/>
    <w:multiLevelType w:val="hybridMultilevel"/>
    <w:tmpl w:val="212C1C26"/>
    <w:lvl w:ilvl="0" w:tplc="FFFFFFFF">
      <w:start w:val="1"/>
      <w:numFmt w:val="decimal"/>
      <w:lvlText w:val="1.%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FC4E8E"/>
    <w:multiLevelType w:val="multilevel"/>
    <w:tmpl w:val="EB2462FA"/>
    <w:lvl w:ilvl="0">
      <w:start w:val="6"/>
      <w:numFmt w:val="decimal"/>
      <w:lvlText w:val="%1"/>
      <w:lvlJc w:val="left"/>
      <w:pPr>
        <w:ind w:left="420" w:hanging="420"/>
      </w:pPr>
      <w:rPr>
        <w:rFonts w:eastAsiaTheme="minorHAnsi" w:hint="default"/>
      </w:rPr>
    </w:lvl>
    <w:lvl w:ilvl="1">
      <w:start w:val="73"/>
      <w:numFmt w:val="decimal"/>
      <w:lvlText w:val="%1.%2"/>
      <w:lvlJc w:val="left"/>
      <w:pPr>
        <w:ind w:left="420" w:hanging="4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4" w15:restartNumberingAfterBreak="0">
    <w:nsid w:val="05B22F9D"/>
    <w:multiLevelType w:val="hybridMultilevel"/>
    <w:tmpl w:val="F9AE4688"/>
    <w:lvl w:ilvl="0" w:tplc="FFFFFFFF">
      <w:start w:val="1"/>
      <w:numFmt w:val="decimal"/>
      <w:lvlText w:val="1.%1"/>
      <w:lvlJc w:val="left"/>
      <w:pPr>
        <w:ind w:left="786"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932299"/>
    <w:multiLevelType w:val="hybridMultilevel"/>
    <w:tmpl w:val="923818D4"/>
    <w:lvl w:ilvl="0" w:tplc="FFFFFFFF">
      <w:start w:val="1"/>
      <w:numFmt w:val="decimal"/>
      <w:lvlText w:val="1.%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190231"/>
    <w:multiLevelType w:val="hybridMultilevel"/>
    <w:tmpl w:val="9184FC0E"/>
    <w:lvl w:ilvl="0" w:tplc="FFFFFFFF">
      <w:start w:val="1"/>
      <w:numFmt w:val="decimal"/>
      <w:lvlText w:val="1.%1"/>
      <w:lvlJc w:val="left"/>
      <w:pPr>
        <w:ind w:left="786"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407055"/>
    <w:multiLevelType w:val="multilevel"/>
    <w:tmpl w:val="9EA48B44"/>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230736D"/>
    <w:multiLevelType w:val="hybridMultilevel"/>
    <w:tmpl w:val="99A4BEBC"/>
    <w:lvl w:ilvl="0" w:tplc="FFFFFFFF">
      <w:start w:val="1"/>
      <w:numFmt w:val="decimal"/>
      <w:lvlText w:val="1.%1"/>
      <w:lvlJc w:val="left"/>
      <w:pPr>
        <w:ind w:left="786"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4F4CED"/>
    <w:multiLevelType w:val="multilevel"/>
    <w:tmpl w:val="1820F31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AE04900"/>
    <w:multiLevelType w:val="multilevel"/>
    <w:tmpl w:val="6FF0CFF8"/>
    <w:lvl w:ilvl="0">
      <w:start w:val="3"/>
      <w:numFmt w:val="decimal"/>
      <w:lvlText w:val="%1"/>
      <w:lvlJc w:val="left"/>
      <w:pPr>
        <w:ind w:left="540" w:hanging="54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E3C16DE"/>
    <w:multiLevelType w:val="hybridMultilevel"/>
    <w:tmpl w:val="58EE2198"/>
    <w:lvl w:ilvl="0" w:tplc="223843F4">
      <w:start w:val="1"/>
      <w:numFmt w:val="decimal"/>
      <w:lvlText w:val="1.%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E433949"/>
    <w:multiLevelType w:val="hybridMultilevel"/>
    <w:tmpl w:val="26FE6924"/>
    <w:lvl w:ilvl="0" w:tplc="FFFFFFFF">
      <w:start w:val="1"/>
      <w:numFmt w:val="decimal"/>
      <w:lvlText w:val="1.%1"/>
      <w:lvlJc w:val="left"/>
      <w:pPr>
        <w:ind w:left="786"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E8E6D20"/>
    <w:multiLevelType w:val="hybridMultilevel"/>
    <w:tmpl w:val="E188DE38"/>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4" w15:restartNumberingAfterBreak="0">
    <w:nsid w:val="21C3651B"/>
    <w:multiLevelType w:val="multilevel"/>
    <w:tmpl w:val="02D4BC3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3F63B10"/>
    <w:multiLevelType w:val="hybridMultilevel"/>
    <w:tmpl w:val="1B4CBB9C"/>
    <w:lvl w:ilvl="0" w:tplc="1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48237C7"/>
    <w:multiLevelType w:val="hybridMultilevel"/>
    <w:tmpl w:val="CB38D3B8"/>
    <w:lvl w:ilvl="0" w:tplc="FFFFFFFF">
      <w:start w:val="1"/>
      <w:numFmt w:val="decimal"/>
      <w:lvlText w:val="1.%1"/>
      <w:lvlJc w:val="left"/>
      <w:pPr>
        <w:ind w:left="786"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4F63AB4"/>
    <w:multiLevelType w:val="multilevel"/>
    <w:tmpl w:val="6F4E9826"/>
    <w:lvl w:ilvl="0">
      <w:start w:val="5"/>
      <w:numFmt w:val="decimal"/>
      <w:lvlText w:val="%1"/>
      <w:lvlJc w:val="left"/>
      <w:pPr>
        <w:ind w:left="360" w:hanging="360"/>
      </w:pPr>
      <w:rPr>
        <w:rFonts w:hint="default"/>
      </w:rPr>
    </w:lvl>
    <w:lvl w:ilvl="1">
      <w:start w:val="1"/>
      <w:numFmt w:val="decimal"/>
      <w:lvlText w:val="6.%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5376BF8"/>
    <w:multiLevelType w:val="hybridMultilevel"/>
    <w:tmpl w:val="F8A8F32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759394E"/>
    <w:multiLevelType w:val="multilevel"/>
    <w:tmpl w:val="68B69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8725C73"/>
    <w:multiLevelType w:val="hybridMultilevel"/>
    <w:tmpl w:val="8CD67772"/>
    <w:lvl w:ilvl="0" w:tplc="FFFFFFFF">
      <w:start w:val="1"/>
      <w:numFmt w:val="decimal"/>
      <w:lvlText w:val="1.%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AA120D4"/>
    <w:multiLevelType w:val="hybridMultilevel"/>
    <w:tmpl w:val="28884AA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2D415E7E"/>
    <w:multiLevelType w:val="hybridMultilevel"/>
    <w:tmpl w:val="27D8E462"/>
    <w:lvl w:ilvl="0" w:tplc="FFFFFFFF">
      <w:start w:val="1"/>
      <w:numFmt w:val="decimal"/>
      <w:lvlText w:val="1.%1"/>
      <w:lvlJc w:val="left"/>
      <w:pPr>
        <w:ind w:left="786"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E7F6C1F"/>
    <w:multiLevelType w:val="multilevel"/>
    <w:tmpl w:val="823A8088"/>
    <w:lvl w:ilvl="0">
      <w:start w:val="6"/>
      <w:numFmt w:val="decimal"/>
      <w:lvlText w:val="%1"/>
      <w:lvlJc w:val="left"/>
      <w:pPr>
        <w:ind w:left="420" w:hanging="420"/>
      </w:pPr>
      <w:rPr>
        <w:rFonts w:hint="default"/>
      </w:rPr>
    </w:lvl>
    <w:lvl w:ilvl="1">
      <w:start w:val="6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F255A57"/>
    <w:multiLevelType w:val="hybridMultilevel"/>
    <w:tmpl w:val="38929956"/>
    <w:lvl w:ilvl="0" w:tplc="E00E2D4A">
      <w:start w:val="62"/>
      <w:numFmt w:val="decimal"/>
      <w:lvlText w:val="%1."/>
      <w:lvlJc w:val="left"/>
      <w:pPr>
        <w:ind w:left="720" w:hanging="360"/>
      </w:pPr>
      <w:rPr>
        <w:rFonts w:hint="default"/>
        <w:b/>
        <w:bCs/>
        <w:i/>
        <w:iCs/>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2F4F1DB2"/>
    <w:multiLevelType w:val="multilevel"/>
    <w:tmpl w:val="FC120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F587152"/>
    <w:multiLevelType w:val="hybridMultilevel"/>
    <w:tmpl w:val="B22AA526"/>
    <w:lvl w:ilvl="0" w:tplc="FFFFFFFF">
      <w:start w:val="1"/>
      <w:numFmt w:val="decimal"/>
      <w:lvlText w:val="1.%1"/>
      <w:lvlJc w:val="left"/>
      <w:pPr>
        <w:ind w:left="786"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43221F2"/>
    <w:multiLevelType w:val="hybridMultilevel"/>
    <w:tmpl w:val="03B6D5BC"/>
    <w:lvl w:ilvl="0" w:tplc="FFFFFFFF">
      <w:start w:val="1"/>
      <w:numFmt w:val="decimal"/>
      <w:lvlText w:val="1.%1"/>
      <w:lvlJc w:val="left"/>
      <w:pPr>
        <w:ind w:left="786"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5E55DE5"/>
    <w:multiLevelType w:val="hybridMultilevel"/>
    <w:tmpl w:val="32A080C2"/>
    <w:lvl w:ilvl="0" w:tplc="3CAC1D66">
      <w:start w:val="6"/>
      <w:numFmt w:val="decimal"/>
      <w:lvlText w:val="%1-"/>
      <w:lvlJc w:val="left"/>
      <w:pPr>
        <w:ind w:left="1920" w:hanging="360"/>
      </w:pPr>
      <w:rPr>
        <w:rFonts w:hint="default"/>
      </w:rPr>
    </w:lvl>
    <w:lvl w:ilvl="1" w:tplc="140A0019" w:tentative="1">
      <w:start w:val="1"/>
      <w:numFmt w:val="lowerLetter"/>
      <w:lvlText w:val="%2."/>
      <w:lvlJc w:val="left"/>
      <w:pPr>
        <w:ind w:left="2640" w:hanging="360"/>
      </w:pPr>
    </w:lvl>
    <w:lvl w:ilvl="2" w:tplc="140A001B" w:tentative="1">
      <w:start w:val="1"/>
      <w:numFmt w:val="lowerRoman"/>
      <w:lvlText w:val="%3."/>
      <w:lvlJc w:val="right"/>
      <w:pPr>
        <w:ind w:left="3360" w:hanging="180"/>
      </w:pPr>
    </w:lvl>
    <w:lvl w:ilvl="3" w:tplc="140A000F" w:tentative="1">
      <w:start w:val="1"/>
      <w:numFmt w:val="decimal"/>
      <w:lvlText w:val="%4."/>
      <w:lvlJc w:val="left"/>
      <w:pPr>
        <w:ind w:left="4080" w:hanging="360"/>
      </w:pPr>
    </w:lvl>
    <w:lvl w:ilvl="4" w:tplc="140A0019" w:tentative="1">
      <w:start w:val="1"/>
      <w:numFmt w:val="lowerLetter"/>
      <w:lvlText w:val="%5."/>
      <w:lvlJc w:val="left"/>
      <w:pPr>
        <w:ind w:left="4800" w:hanging="360"/>
      </w:pPr>
    </w:lvl>
    <w:lvl w:ilvl="5" w:tplc="140A001B" w:tentative="1">
      <w:start w:val="1"/>
      <w:numFmt w:val="lowerRoman"/>
      <w:lvlText w:val="%6."/>
      <w:lvlJc w:val="right"/>
      <w:pPr>
        <w:ind w:left="5520" w:hanging="180"/>
      </w:pPr>
    </w:lvl>
    <w:lvl w:ilvl="6" w:tplc="140A000F" w:tentative="1">
      <w:start w:val="1"/>
      <w:numFmt w:val="decimal"/>
      <w:lvlText w:val="%7."/>
      <w:lvlJc w:val="left"/>
      <w:pPr>
        <w:ind w:left="6240" w:hanging="360"/>
      </w:pPr>
    </w:lvl>
    <w:lvl w:ilvl="7" w:tplc="140A0019" w:tentative="1">
      <w:start w:val="1"/>
      <w:numFmt w:val="lowerLetter"/>
      <w:lvlText w:val="%8."/>
      <w:lvlJc w:val="left"/>
      <w:pPr>
        <w:ind w:left="6960" w:hanging="360"/>
      </w:pPr>
    </w:lvl>
    <w:lvl w:ilvl="8" w:tplc="140A001B" w:tentative="1">
      <w:start w:val="1"/>
      <w:numFmt w:val="lowerRoman"/>
      <w:lvlText w:val="%9."/>
      <w:lvlJc w:val="right"/>
      <w:pPr>
        <w:ind w:left="7680" w:hanging="180"/>
      </w:pPr>
    </w:lvl>
  </w:abstractNum>
  <w:abstractNum w:abstractNumId="29" w15:restartNumberingAfterBreak="0">
    <w:nsid w:val="36CA25B4"/>
    <w:multiLevelType w:val="multilevel"/>
    <w:tmpl w:val="405678D8"/>
    <w:lvl w:ilvl="0">
      <w:start w:val="3"/>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7A904D1"/>
    <w:multiLevelType w:val="multilevel"/>
    <w:tmpl w:val="FC4449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ACE3C4E"/>
    <w:multiLevelType w:val="hybridMultilevel"/>
    <w:tmpl w:val="26561A8A"/>
    <w:lvl w:ilvl="0" w:tplc="85885030">
      <w:start w:val="1"/>
      <w:numFmt w:val="decimal"/>
      <w:lvlText w:val="3.%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AD12431"/>
    <w:multiLevelType w:val="multilevel"/>
    <w:tmpl w:val="83D4CFF4"/>
    <w:lvl w:ilvl="0">
      <w:start w:val="4"/>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3B2B197F"/>
    <w:multiLevelType w:val="hybridMultilevel"/>
    <w:tmpl w:val="98741BF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4" w15:restartNumberingAfterBreak="0">
    <w:nsid w:val="3B4D2AFE"/>
    <w:multiLevelType w:val="hybridMultilevel"/>
    <w:tmpl w:val="11DC8814"/>
    <w:lvl w:ilvl="0" w:tplc="F052FAC6">
      <w:start w:val="1"/>
      <w:numFmt w:val="decimal"/>
      <w:lvlText w:val="2.%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3B7E0A26"/>
    <w:multiLevelType w:val="multilevel"/>
    <w:tmpl w:val="A2D093D2"/>
    <w:lvl w:ilvl="0">
      <w:start w:val="5"/>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b/>
        <w:bCs/>
      </w:rPr>
    </w:lvl>
    <w:lvl w:ilvl="3">
      <w:start w:val="1"/>
      <w:numFmt w:val="lowerLetter"/>
      <w:lvlText w:val="%4."/>
      <w:lvlJc w:val="left"/>
      <w:pPr>
        <w:ind w:left="2142" w:hanging="1080"/>
      </w:pPr>
      <w:rPr>
        <w:rFonts w:hint="default"/>
        <w:b/>
        <w:bCs/>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6" w15:restartNumberingAfterBreak="0">
    <w:nsid w:val="3BC12E17"/>
    <w:multiLevelType w:val="hybridMultilevel"/>
    <w:tmpl w:val="51A6DDF6"/>
    <w:lvl w:ilvl="0" w:tplc="140A0001">
      <w:start w:val="1"/>
      <w:numFmt w:val="bullet"/>
      <w:lvlText w:val=""/>
      <w:lvlJc w:val="left"/>
      <w:pPr>
        <w:ind w:left="720" w:hanging="360"/>
      </w:pPr>
      <w:rPr>
        <w:rFonts w:ascii="Symbol" w:hAnsi="Symbol" w:hint="default"/>
      </w:rPr>
    </w:lvl>
    <w:lvl w:ilvl="1" w:tplc="E5BC2440">
      <w:numFmt w:val="bullet"/>
      <w:lvlText w:val="·"/>
      <w:lvlJc w:val="left"/>
      <w:pPr>
        <w:ind w:left="1440" w:hanging="360"/>
      </w:pPr>
      <w:rPr>
        <w:rFonts w:ascii="Book Antiqua" w:eastAsia="Wingdings" w:hAnsi="Book Antiqua" w:cstheme="minorBidi"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3C5A7F5F"/>
    <w:multiLevelType w:val="hybridMultilevel"/>
    <w:tmpl w:val="14624CE8"/>
    <w:lvl w:ilvl="0" w:tplc="F258DE4E">
      <w:start w:val="1"/>
      <w:numFmt w:val="lowerLetter"/>
      <w:lvlText w:val="%1)"/>
      <w:lvlJc w:val="left"/>
      <w:pPr>
        <w:ind w:left="1407" w:hanging="84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38" w15:restartNumberingAfterBreak="0">
    <w:nsid w:val="3E1E46D6"/>
    <w:multiLevelType w:val="hybridMultilevel"/>
    <w:tmpl w:val="0AF84A9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40C50447"/>
    <w:multiLevelType w:val="multilevel"/>
    <w:tmpl w:val="ABE279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0F71200"/>
    <w:multiLevelType w:val="hybridMultilevel"/>
    <w:tmpl w:val="6FDE2670"/>
    <w:lvl w:ilvl="0" w:tplc="FFFFFFFF">
      <w:start w:val="1"/>
      <w:numFmt w:val="decimal"/>
      <w:lvlText w:val="1.%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1284B66"/>
    <w:multiLevelType w:val="multilevel"/>
    <w:tmpl w:val="1820F31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4376536C"/>
    <w:multiLevelType w:val="hybridMultilevel"/>
    <w:tmpl w:val="842E419E"/>
    <w:lvl w:ilvl="0" w:tplc="71D4617E">
      <w:start w:val="10"/>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3" w15:restartNumberingAfterBreak="0">
    <w:nsid w:val="44F6434D"/>
    <w:multiLevelType w:val="multilevel"/>
    <w:tmpl w:val="6966EBAC"/>
    <w:lvl w:ilvl="0">
      <w:start w:val="3"/>
      <w:numFmt w:val="decimal"/>
      <w:lvlText w:val="%1"/>
      <w:lvlJc w:val="left"/>
      <w:pPr>
        <w:ind w:left="360" w:hanging="360"/>
      </w:pPr>
      <w:rPr>
        <w:rFonts w:hint="default"/>
        <w:b/>
        <w:color w:val="auto"/>
        <w:sz w:val="26"/>
      </w:rPr>
    </w:lvl>
    <w:lvl w:ilvl="1">
      <w:start w:val="5"/>
      <w:numFmt w:val="decimal"/>
      <w:lvlText w:val="%1.%2"/>
      <w:lvlJc w:val="left"/>
      <w:pPr>
        <w:ind w:left="720" w:hanging="360"/>
      </w:pPr>
      <w:rPr>
        <w:rFonts w:hint="default"/>
        <w:b/>
        <w:color w:val="auto"/>
        <w:sz w:val="26"/>
      </w:rPr>
    </w:lvl>
    <w:lvl w:ilvl="2">
      <w:start w:val="1"/>
      <w:numFmt w:val="decimal"/>
      <w:lvlText w:val="%1.%2.%3"/>
      <w:lvlJc w:val="left"/>
      <w:pPr>
        <w:ind w:left="1440" w:hanging="720"/>
      </w:pPr>
      <w:rPr>
        <w:rFonts w:hint="default"/>
        <w:b/>
        <w:color w:val="auto"/>
        <w:sz w:val="26"/>
      </w:rPr>
    </w:lvl>
    <w:lvl w:ilvl="3">
      <w:start w:val="1"/>
      <w:numFmt w:val="decimal"/>
      <w:lvlText w:val="%1.%2.%3.%4"/>
      <w:lvlJc w:val="left"/>
      <w:pPr>
        <w:ind w:left="2160" w:hanging="1080"/>
      </w:pPr>
      <w:rPr>
        <w:rFonts w:hint="default"/>
        <w:b/>
        <w:color w:val="auto"/>
        <w:sz w:val="26"/>
      </w:rPr>
    </w:lvl>
    <w:lvl w:ilvl="4">
      <w:start w:val="1"/>
      <w:numFmt w:val="decimal"/>
      <w:lvlText w:val="%1.%2.%3.%4.%5"/>
      <w:lvlJc w:val="left"/>
      <w:pPr>
        <w:ind w:left="2520" w:hanging="1080"/>
      </w:pPr>
      <w:rPr>
        <w:rFonts w:hint="default"/>
        <w:b/>
        <w:color w:val="auto"/>
        <w:sz w:val="26"/>
      </w:rPr>
    </w:lvl>
    <w:lvl w:ilvl="5">
      <w:start w:val="1"/>
      <w:numFmt w:val="decimal"/>
      <w:lvlText w:val="%1.%2.%3.%4.%5.%6"/>
      <w:lvlJc w:val="left"/>
      <w:pPr>
        <w:ind w:left="3240" w:hanging="1440"/>
      </w:pPr>
      <w:rPr>
        <w:rFonts w:hint="default"/>
        <w:b/>
        <w:color w:val="auto"/>
        <w:sz w:val="26"/>
      </w:rPr>
    </w:lvl>
    <w:lvl w:ilvl="6">
      <w:start w:val="1"/>
      <w:numFmt w:val="decimal"/>
      <w:lvlText w:val="%1.%2.%3.%4.%5.%6.%7"/>
      <w:lvlJc w:val="left"/>
      <w:pPr>
        <w:ind w:left="3600" w:hanging="1440"/>
      </w:pPr>
      <w:rPr>
        <w:rFonts w:hint="default"/>
        <w:b/>
        <w:color w:val="auto"/>
        <w:sz w:val="26"/>
      </w:rPr>
    </w:lvl>
    <w:lvl w:ilvl="7">
      <w:start w:val="1"/>
      <w:numFmt w:val="decimal"/>
      <w:lvlText w:val="%1.%2.%3.%4.%5.%6.%7.%8"/>
      <w:lvlJc w:val="left"/>
      <w:pPr>
        <w:ind w:left="4320" w:hanging="1800"/>
      </w:pPr>
      <w:rPr>
        <w:rFonts w:hint="default"/>
        <w:b/>
        <w:color w:val="auto"/>
        <w:sz w:val="26"/>
      </w:rPr>
    </w:lvl>
    <w:lvl w:ilvl="8">
      <w:start w:val="1"/>
      <w:numFmt w:val="decimal"/>
      <w:lvlText w:val="%1.%2.%3.%4.%5.%6.%7.%8.%9"/>
      <w:lvlJc w:val="left"/>
      <w:pPr>
        <w:ind w:left="4680" w:hanging="1800"/>
      </w:pPr>
      <w:rPr>
        <w:rFonts w:hint="default"/>
        <w:b/>
        <w:color w:val="auto"/>
        <w:sz w:val="26"/>
      </w:rPr>
    </w:lvl>
  </w:abstractNum>
  <w:abstractNum w:abstractNumId="44" w15:restartNumberingAfterBreak="0">
    <w:nsid w:val="47F9618F"/>
    <w:multiLevelType w:val="multilevel"/>
    <w:tmpl w:val="E6226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AB7035B"/>
    <w:multiLevelType w:val="hybridMultilevel"/>
    <w:tmpl w:val="F82405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4B7E63BF"/>
    <w:multiLevelType w:val="multilevel"/>
    <w:tmpl w:val="405678D8"/>
    <w:lvl w:ilvl="0">
      <w:start w:val="3"/>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4D144ED7"/>
    <w:multiLevelType w:val="hybridMultilevel"/>
    <w:tmpl w:val="5B425F5E"/>
    <w:lvl w:ilvl="0" w:tplc="FFFFFFFF">
      <w:start w:val="1"/>
      <w:numFmt w:val="decimal"/>
      <w:lvlText w:val="1.%1"/>
      <w:lvlJc w:val="left"/>
      <w:pPr>
        <w:ind w:left="786"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D6E2BC3"/>
    <w:multiLevelType w:val="hybridMultilevel"/>
    <w:tmpl w:val="53D69754"/>
    <w:lvl w:ilvl="0" w:tplc="FFFFFFFF">
      <w:start w:val="1"/>
      <w:numFmt w:val="decimal"/>
      <w:lvlText w:val="1.%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EF72F58"/>
    <w:multiLevelType w:val="multilevel"/>
    <w:tmpl w:val="2DA43E26"/>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4F2A34BE"/>
    <w:multiLevelType w:val="hybridMultilevel"/>
    <w:tmpl w:val="08AC1870"/>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4F9C6456"/>
    <w:multiLevelType w:val="hybridMultilevel"/>
    <w:tmpl w:val="24AC4F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2" w15:restartNumberingAfterBreak="0">
    <w:nsid w:val="50807834"/>
    <w:multiLevelType w:val="hybridMultilevel"/>
    <w:tmpl w:val="8690CD6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3" w15:restartNumberingAfterBreak="0">
    <w:nsid w:val="508B2105"/>
    <w:multiLevelType w:val="multilevel"/>
    <w:tmpl w:val="D3308C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13647CC"/>
    <w:multiLevelType w:val="hybridMultilevel"/>
    <w:tmpl w:val="408EE7DC"/>
    <w:lvl w:ilvl="0" w:tplc="FFFFFFFF">
      <w:start w:val="1"/>
      <w:numFmt w:val="decimal"/>
      <w:lvlText w:val="1.%1"/>
      <w:lvlJc w:val="left"/>
      <w:pPr>
        <w:ind w:left="786"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1C36C99"/>
    <w:multiLevelType w:val="multilevel"/>
    <w:tmpl w:val="306610AA"/>
    <w:styleLink w:val="Estilo1"/>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40167D4"/>
    <w:multiLevelType w:val="multilevel"/>
    <w:tmpl w:val="9E269F3C"/>
    <w:lvl w:ilvl="0">
      <w:start w:val="3"/>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7" w15:restartNumberingAfterBreak="0">
    <w:nsid w:val="564A29B9"/>
    <w:multiLevelType w:val="hybridMultilevel"/>
    <w:tmpl w:val="41BACBD0"/>
    <w:lvl w:ilvl="0" w:tplc="10422492">
      <w:start w:val="1"/>
      <w:numFmt w:val="decimal"/>
      <w:lvlText w:val="5.%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 w15:restartNumberingAfterBreak="0">
    <w:nsid w:val="56E2750D"/>
    <w:multiLevelType w:val="hybridMultilevel"/>
    <w:tmpl w:val="6B922500"/>
    <w:lvl w:ilvl="0" w:tplc="140A0001">
      <w:start w:val="1"/>
      <w:numFmt w:val="bullet"/>
      <w:lvlText w:val=""/>
      <w:lvlJc w:val="left"/>
      <w:pPr>
        <w:ind w:left="720" w:hanging="360"/>
      </w:pPr>
      <w:rPr>
        <w:rFonts w:ascii="Courier New" w:hAnsi="Courier New" w:hint="default"/>
      </w:rPr>
    </w:lvl>
    <w:lvl w:ilvl="1" w:tplc="140A0003" w:tentative="1">
      <w:start w:val="1"/>
      <w:numFmt w:val="bullet"/>
      <w:lvlText w:val="o"/>
      <w:lvlJc w:val="left"/>
      <w:pPr>
        <w:ind w:left="1440" w:hanging="360"/>
      </w:pPr>
      <w:rPr>
        <w:rFonts w:ascii="Cambria Math" w:hAnsi="Cambria Math" w:cs="Cambria Math" w:hint="default"/>
      </w:rPr>
    </w:lvl>
    <w:lvl w:ilvl="2" w:tplc="140A0005" w:tentative="1">
      <w:start w:val="1"/>
      <w:numFmt w:val="bullet"/>
      <w:lvlText w:val=""/>
      <w:lvlJc w:val="left"/>
      <w:pPr>
        <w:ind w:left="2160" w:hanging="360"/>
      </w:pPr>
      <w:rPr>
        <w:rFonts w:ascii="Symbol" w:hAnsi="Symbol" w:hint="default"/>
      </w:rPr>
    </w:lvl>
    <w:lvl w:ilvl="3" w:tplc="140A0001" w:tentative="1">
      <w:start w:val="1"/>
      <w:numFmt w:val="bullet"/>
      <w:lvlText w:val=""/>
      <w:lvlJc w:val="left"/>
      <w:pPr>
        <w:ind w:left="2880" w:hanging="360"/>
      </w:pPr>
      <w:rPr>
        <w:rFonts w:ascii="Courier New" w:hAnsi="Courier New" w:hint="default"/>
      </w:rPr>
    </w:lvl>
    <w:lvl w:ilvl="4" w:tplc="140A0003" w:tentative="1">
      <w:start w:val="1"/>
      <w:numFmt w:val="bullet"/>
      <w:lvlText w:val="o"/>
      <w:lvlJc w:val="left"/>
      <w:pPr>
        <w:ind w:left="3600" w:hanging="360"/>
      </w:pPr>
      <w:rPr>
        <w:rFonts w:ascii="Cambria Math" w:hAnsi="Cambria Math" w:cs="Cambria Math" w:hint="default"/>
      </w:rPr>
    </w:lvl>
    <w:lvl w:ilvl="5" w:tplc="140A0005" w:tentative="1">
      <w:start w:val="1"/>
      <w:numFmt w:val="bullet"/>
      <w:lvlText w:val=""/>
      <w:lvlJc w:val="left"/>
      <w:pPr>
        <w:ind w:left="4320" w:hanging="360"/>
      </w:pPr>
      <w:rPr>
        <w:rFonts w:ascii="Symbol" w:hAnsi="Symbol" w:hint="default"/>
      </w:rPr>
    </w:lvl>
    <w:lvl w:ilvl="6" w:tplc="140A0001" w:tentative="1">
      <w:start w:val="1"/>
      <w:numFmt w:val="bullet"/>
      <w:lvlText w:val=""/>
      <w:lvlJc w:val="left"/>
      <w:pPr>
        <w:ind w:left="5040" w:hanging="360"/>
      </w:pPr>
      <w:rPr>
        <w:rFonts w:ascii="Courier New" w:hAnsi="Courier New" w:hint="default"/>
      </w:rPr>
    </w:lvl>
    <w:lvl w:ilvl="7" w:tplc="140A0003" w:tentative="1">
      <w:start w:val="1"/>
      <w:numFmt w:val="bullet"/>
      <w:lvlText w:val="o"/>
      <w:lvlJc w:val="left"/>
      <w:pPr>
        <w:ind w:left="5760" w:hanging="360"/>
      </w:pPr>
      <w:rPr>
        <w:rFonts w:ascii="Cambria Math" w:hAnsi="Cambria Math" w:cs="Cambria Math" w:hint="default"/>
      </w:rPr>
    </w:lvl>
    <w:lvl w:ilvl="8" w:tplc="140A0005" w:tentative="1">
      <w:start w:val="1"/>
      <w:numFmt w:val="bullet"/>
      <w:lvlText w:val=""/>
      <w:lvlJc w:val="left"/>
      <w:pPr>
        <w:ind w:left="6480" w:hanging="360"/>
      </w:pPr>
      <w:rPr>
        <w:rFonts w:ascii="Symbol" w:hAnsi="Symbol" w:hint="default"/>
      </w:rPr>
    </w:lvl>
  </w:abstractNum>
  <w:abstractNum w:abstractNumId="59" w15:restartNumberingAfterBreak="0">
    <w:nsid w:val="57703D67"/>
    <w:multiLevelType w:val="hybridMultilevel"/>
    <w:tmpl w:val="7D70C9F4"/>
    <w:lvl w:ilvl="0" w:tplc="FFFFFFFF">
      <w:start w:val="1"/>
      <w:numFmt w:val="decimal"/>
      <w:lvlText w:val="1.%1"/>
      <w:lvlJc w:val="left"/>
      <w:pPr>
        <w:ind w:left="786"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7952B10"/>
    <w:multiLevelType w:val="multilevel"/>
    <w:tmpl w:val="9E269F3C"/>
    <w:lvl w:ilvl="0">
      <w:start w:val="3"/>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1" w15:restartNumberingAfterBreak="0">
    <w:nsid w:val="586F72E0"/>
    <w:multiLevelType w:val="hybridMultilevel"/>
    <w:tmpl w:val="8F620E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2" w15:restartNumberingAfterBreak="0">
    <w:nsid w:val="5B2B443D"/>
    <w:multiLevelType w:val="multilevel"/>
    <w:tmpl w:val="29D06DD2"/>
    <w:lvl w:ilvl="0">
      <w:start w:val="4"/>
      <w:numFmt w:val="decimal"/>
      <w:lvlText w:val="%1."/>
      <w:lvlJc w:val="left"/>
      <w:pPr>
        <w:ind w:left="600" w:hanging="600"/>
      </w:pPr>
      <w:rPr>
        <w:rFonts w:hint="default"/>
      </w:rPr>
    </w:lvl>
    <w:lvl w:ilvl="1">
      <w:start w:val="6"/>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63" w15:restartNumberingAfterBreak="0">
    <w:nsid w:val="5F545A2D"/>
    <w:multiLevelType w:val="hybridMultilevel"/>
    <w:tmpl w:val="19427F70"/>
    <w:lvl w:ilvl="0" w:tplc="FFFFFFFF">
      <w:start w:val="1"/>
      <w:numFmt w:val="decimal"/>
      <w:lvlText w:val="1.%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0D34A22"/>
    <w:multiLevelType w:val="hybridMultilevel"/>
    <w:tmpl w:val="FBC4449A"/>
    <w:lvl w:ilvl="0" w:tplc="FFFFFFFF">
      <w:start w:val="1"/>
      <w:numFmt w:val="decimal"/>
      <w:lvlText w:val="1.%1"/>
      <w:lvlJc w:val="left"/>
      <w:pPr>
        <w:ind w:left="786"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92161CA"/>
    <w:multiLevelType w:val="multilevel"/>
    <w:tmpl w:val="996894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AB45BE1"/>
    <w:multiLevelType w:val="hybridMultilevel"/>
    <w:tmpl w:val="5A84DAD2"/>
    <w:lvl w:ilvl="0" w:tplc="267CB122">
      <w:start w:val="1"/>
      <w:numFmt w:val="decimal"/>
      <w:lvlText w:val="4.%1"/>
      <w:lvlJc w:val="left"/>
      <w:pPr>
        <w:ind w:left="720" w:hanging="360"/>
      </w:pPr>
      <w:rPr>
        <w:rFonts w:hint="default"/>
        <w:b/>
        <w:bCs/>
        <w:color w:val="auto"/>
        <w:lang w:val="es-ES"/>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7" w15:restartNumberingAfterBreak="0">
    <w:nsid w:val="6D0E701A"/>
    <w:multiLevelType w:val="hybridMultilevel"/>
    <w:tmpl w:val="D0027A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8" w15:restartNumberingAfterBreak="0">
    <w:nsid w:val="6E753C5C"/>
    <w:multiLevelType w:val="multilevel"/>
    <w:tmpl w:val="8E5AB5CE"/>
    <w:lvl w:ilvl="0">
      <w:start w:val="5"/>
      <w:numFmt w:val="decimal"/>
      <w:lvlText w:val="%1"/>
      <w:lvlJc w:val="left"/>
      <w:pPr>
        <w:ind w:left="480" w:hanging="480"/>
      </w:pPr>
      <w:rPr>
        <w:rFonts w:hint="default"/>
      </w:rPr>
    </w:lvl>
    <w:lvl w:ilvl="1">
      <w:start w:val="1"/>
      <w:numFmt w:val="decimal"/>
      <w:lvlText w:val="%1.%2"/>
      <w:lvlJc w:val="left"/>
      <w:pPr>
        <w:ind w:left="682" w:hanging="480"/>
      </w:pPr>
      <w:rPr>
        <w:rFonts w:hint="default"/>
      </w:rPr>
    </w:lvl>
    <w:lvl w:ilvl="2">
      <w:start w:val="1"/>
      <w:numFmt w:val="decimal"/>
      <w:lvlText w:val="%1.%2.%3"/>
      <w:lvlJc w:val="left"/>
      <w:pPr>
        <w:ind w:left="1124" w:hanging="720"/>
      </w:pPr>
      <w:rPr>
        <w:rFonts w:hint="default"/>
        <w:b/>
        <w:bCs/>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3214" w:hanging="1800"/>
      </w:pPr>
      <w:rPr>
        <w:rFonts w:hint="default"/>
      </w:rPr>
    </w:lvl>
    <w:lvl w:ilvl="8">
      <w:start w:val="1"/>
      <w:numFmt w:val="decimal"/>
      <w:lvlText w:val="%1.%2.%3.%4.%5.%6.%7.%8.%9"/>
      <w:lvlJc w:val="left"/>
      <w:pPr>
        <w:ind w:left="3416" w:hanging="1800"/>
      </w:pPr>
      <w:rPr>
        <w:rFonts w:hint="default"/>
      </w:rPr>
    </w:lvl>
  </w:abstractNum>
  <w:abstractNum w:abstractNumId="69" w15:restartNumberingAfterBreak="0">
    <w:nsid w:val="6EC42040"/>
    <w:multiLevelType w:val="multilevel"/>
    <w:tmpl w:val="5C6ACF9E"/>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ascii="Book Antiqua" w:hAnsi="Book Antiqua" w:cs="Times New Roman" w:hint="default"/>
        <w:b/>
        <w:bCs/>
        <w:i/>
        <w:iCs/>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0" w15:restartNumberingAfterBreak="0">
    <w:nsid w:val="6EDF3662"/>
    <w:multiLevelType w:val="hybridMultilevel"/>
    <w:tmpl w:val="0CC2CB5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1" w15:restartNumberingAfterBreak="0">
    <w:nsid w:val="6F35036A"/>
    <w:multiLevelType w:val="multilevel"/>
    <w:tmpl w:val="420AEF22"/>
    <w:lvl w:ilvl="0">
      <w:start w:val="6"/>
      <w:numFmt w:val="decimal"/>
      <w:lvlText w:val="%1"/>
      <w:lvlJc w:val="left"/>
      <w:pPr>
        <w:ind w:left="420" w:hanging="420"/>
      </w:pPr>
      <w:rPr>
        <w:rFonts w:hint="default"/>
        <w:i/>
      </w:rPr>
    </w:lvl>
    <w:lvl w:ilvl="1">
      <w:start w:val="58"/>
      <w:numFmt w:val="decimal"/>
      <w:lvlText w:val="%1.%2"/>
      <w:lvlJc w:val="left"/>
      <w:pPr>
        <w:ind w:left="420" w:hanging="42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1800" w:hanging="1800"/>
      </w:pPr>
      <w:rPr>
        <w:rFonts w:hint="default"/>
        <w:i/>
      </w:rPr>
    </w:lvl>
  </w:abstractNum>
  <w:abstractNum w:abstractNumId="72" w15:restartNumberingAfterBreak="0">
    <w:nsid w:val="72FE46D3"/>
    <w:multiLevelType w:val="multilevel"/>
    <w:tmpl w:val="B6B48E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7698645B"/>
    <w:multiLevelType w:val="multilevel"/>
    <w:tmpl w:val="DC38F964"/>
    <w:lvl w:ilvl="0">
      <w:start w:val="5"/>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1"/>
      <w:numFmt w:val="decimal"/>
      <w:lvlText w:val="%1.%2.%3"/>
      <w:lvlJc w:val="left"/>
      <w:pPr>
        <w:ind w:left="1428" w:hanging="720"/>
      </w:pPr>
      <w:rPr>
        <w:rFonts w:hint="default"/>
        <w:b/>
        <w:bCs/>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74" w15:restartNumberingAfterBreak="0">
    <w:nsid w:val="7C453560"/>
    <w:multiLevelType w:val="multilevel"/>
    <w:tmpl w:val="5BC4E890"/>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ascii="Book Antiqua" w:hAnsi="Book Antiqua" w:cs="Times New Roman" w:hint="default"/>
        <w:b/>
        <w:bCs/>
        <w:i/>
        <w:iCs/>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5" w15:restartNumberingAfterBreak="0">
    <w:nsid w:val="7FEB207F"/>
    <w:multiLevelType w:val="hybridMultilevel"/>
    <w:tmpl w:val="6338F916"/>
    <w:lvl w:ilvl="0" w:tplc="FFFFFFFF">
      <w:start w:val="1"/>
      <w:numFmt w:val="decimal"/>
      <w:lvlText w:val="1.%1"/>
      <w:lvlJc w:val="left"/>
      <w:pPr>
        <w:ind w:left="786"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0"/>
  </w:num>
  <w:num w:numId="2">
    <w:abstractNumId w:val="55"/>
  </w:num>
  <w:num w:numId="3">
    <w:abstractNumId w:val="11"/>
  </w:num>
  <w:num w:numId="4">
    <w:abstractNumId w:val="34"/>
  </w:num>
  <w:num w:numId="5">
    <w:abstractNumId w:val="31"/>
  </w:num>
  <w:num w:numId="6">
    <w:abstractNumId w:val="66"/>
  </w:num>
  <w:num w:numId="7">
    <w:abstractNumId w:val="21"/>
  </w:num>
  <w:num w:numId="8">
    <w:abstractNumId w:val="0"/>
  </w:num>
  <w:num w:numId="9">
    <w:abstractNumId w:val="72"/>
  </w:num>
  <w:num w:numId="10">
    <w:abstractNumId w:val="14"/>
  </w:num>
  <w:num w:numId="11">
    <w:abstractNumId w:val="33"/>
  </w:num>
  <w:num w:numId="12">
    <w:abstractNumId w:val="52"/>
  </w:num>
  <w:num w:numId="13">
    <w:abstractNumId w:val="32"/>
  </w:num>
  <w:num w:numId="14">
    <w:abstractNumId w:val="58"/>
  </w:num>
  <w:num w:numId="15">
    <w:abstractNumId w:val="29"/>
  </w:num>
  <w:num w:numId="16">
    <w:abstractNumId w:val="7"/>
  </w:num>
  <w:num w:numId="17">
    <w:abstractNumId w:val="43"/>
  </w:num>
  <w:num w:numId="18">
    <w:abstractNumId w:val="45"/>
  </w:num>
  <w:num w:numId="19">
    <w:abstractNumId w:val="74"/>
  </w:num>
  <w:num w:numId="20">
    <w:abstractNumId w:val="9"/>
  </w:num>
  <w:num w:numId="21">
    <w:abstractNumId w:val="19"/>
  </w:num>
  <w:num w:numId="22">
    <w:abstractNumId w:val="39"/>
  </w:num>
  <w:num w:numId="23">
    <w:abstractNumId w:val="44"/>
  </w:num>
  <w:num w:numId="24">
    <w:abstractNumId w:val="25"/>
  </w:num>
  <w:num w:numId="25">
    <w:abstractNumId w:val="65"/>
  </w:num>
  <w:num w:numId="26">
    <w:abstractNumId w:val="30"/>
  </w:num>
  <w:num w:numId="27">
    <w:abstractNumId w:val="53"/>
  </w:num>
  <w:num w:numId="28">
    <w:abstractNumId w:val="36"/>
  </w:num>
  <w:num w:numId="29">
    <w:abstractNumId w:val="61"/>
  </w:num>
  <w:num w:numId="30">
    <w:abstractNumId w:val="46"/>
  </w:num>
  <w:num w:numId="31">
    <w:abstractNumId w:val="50"/>
  </w:num>
  <w:num w:numId="32">
    <w:abstractNumId w:val="28"/>
  </w:num>
  <w:num w:numId="33">
    <w:abstractNumId w:val="62"/>
  </w:num>
  <w:num w:numId="34">
    <w:abstractNumId w:val="57"/>
  </w:num>
  <w:num w:numId="35">
    <w:abstractNumId w:val="68"/>
  </w:num>
  <w:num w:numId="36">
    <w:abstractNumId w:val="73"/>
  </w:num>
  <w:num w:numId="37">
    <w:abstractNumId w:val="35"/>
  </w:num>
  <w:num w:numId="38">
    <w:abstractNumId w:val="23"/>
  </w:num>
  <w:num w:numId="39">
    <w:abstractNumId w:val="71"/>
  </w:num>
  <w:num w:numId="40">
    <w:abstractNumId w:val="3"/>
  </w:num>
  <w:num w:numId="41">
    <w:abstractNumId w:val="60"/>
  </w:num>
  <w:num w:numId="42">
    <w:abstractNumId w:val="56"/>
  </w:num>
  <w:num w:numId="43">
    <w:abstractNumId w:val="24"/>
  </w:num>
  <w:num w:numId="44">
    <w:abstractNumId w:val="42"/>
  </w:num>
  <w:num w:numId="45">
    <w:abstractNumId w:val="2"/>
  </w:num>
  <w:num w:numId="46">
    <w:abstractNumId w:val="49"/>
  </w:num>
  <w:num w:numId="47">
    <w:abstractNumId w:val="17"/>
  </w:num>
  <w:num w:numId="48">
    <w:abstractNumId w:val="10"/>
  </w:num>
  <w:num w:numId="49">
    <w:abstractNumId w:val="40"/>
  </w:num>
  <w:num w:numId="50">
    <w:abstractNumId w:val="63"/>
  </w:num>
  <w:num w:numId="51">
    <w:abstractNumId w:val="48"/>
  </w:num>
  <w:num w:numId="52">
    <w:abstractNumId w:val="20"/>
  </w:num>
  <w:num w:numId="53">
    <w:abstractNumId w:val="1"/>
  </w:num>
  <w:num w:numId="54">
    <w:abstractNumId w:val="5"/>
  </w:num>
  <w:num w:numId="55">
    <w:abstractNumId w:val="4"/>
  </w:num>
  <w:num w:numId="56">
    <w:abstractNumId w:val="47"/>
  </w:num>
  <w:num w:numId="57">
    <w:abstractNumId w:val="22"/>
  </w:num>
  <w:num w:numId="58">
    <w:abstractNumId w:val="26"/>
  </w:num>
  <w:num w:numId="59">
    <w:abstractNumId w:val="8"/>
  </w:num>
  <w:num w:numId="60">
    <w:abstractNumId w:val="37"/>
  </w:num>
  <w:num w:numId="61">
    <w:abstractNumId w:val="38"/>
  </w:num>
  <w:num w:numId="62">
    <w:abstractNumId w:val="75"/>
  </w:num>
  <w:num w:numId="63">
    <w:abstractNumId w:val="6"/>
  </w:num>
  <w:num w:numId="64">
    <w:abstractNumId w:val="54"/>
  </w:num>
  <w:num w:numId="65">
    <w:abstractNumId w:val="16"/>
  </w:num>
  <w:num w:numId="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4"/>
  </w:num>
  <w:num w:numId="68">
    <w:abstractNumId w:val="13"/>
  </w:num>
  <w:num w:numId="69">
    <w:abstractNumId w:val="12"/>
  </w:num>
  <w:num w:numId="70">
    <w:abstractNumId w:val="59"/>
  </w:num>
  <w:num w:numId="71">
    <w:abstractNumId w:val="27"/>
  </w:num>
  <w:num w:numId="72">
    <w:abstractNumId w:val="41"/>
  </w:num>
  <w:num w:numId="73">
    <w:abstractNumId w:val="69"/>
  </w:num>
  <w:num w:numId="74">
    <w:abstractNumId w:val="18"/>
  </w:num>
  <w:num w:numId="75">
    <w:abstractNumId w:val="67"/>
  </w:num>
  <w:num w:numId="76">
    <w:abstractNumId w:val="51"/>
  </w:num>
  <w:num w:numId="77">
    <w:abstractNumId w:val="1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8A8"/>
    <w:rsid w:val="00000189"/>
    <w:rsid w:val="0000065E"/>
    <w:rsid w:val="000006AF"/>
    <w:rsid w:val="00000726"/>
    <w:rsid w:val="000007D6"/>
    <w:rsid w:val="000007F7"/>
    <w:rsid w:val="0000080E"/>
    <w:rsid w:val="000008D9"/>
    <w:rsid w:val="00000A2C"/>
    <w:rsid w:val="00000B79"/>
    <w:rsid w:val="00000E7B"/>
    <w:rsid w:val="0000137E"/>
    <w:rsid w:val="00001798"/>
    <w:rsid w:val="0000182D"/>
    <w:rsid w:val="000019AD"/>
    <w:rsid w:val="00001E37"/>
    <w:rsid w:val="000029BA"/>
    <w:rsid w:val="00002AFE"/>
    <w:rsid w:val="000030E8"/>
    <w:rsid w:val="00003548"/>
    <w:rsid w:val="00003751"/>
    <w:rsid w:val="0000397B"/>
    <w:rsid w:val="00003B38"/>
    <w:rsid w:val="00004400"/>
    <w:rsid w:val="0000450C"/>
    <w:rsid w:val="00004C22"/>
    <w:rsid w:val="00005A15"/>
    <w:rsid w:val="00006088"/>
    <w:rsid w:val="000060BB"/>
    <w:rsid w:val="00006A50"/>
    <w:rsid w:val="00006FCE"/>
    <w:rsid w:val="00007752"/>
    <w:rsid w:val="00007773"/>
    <w:rsid w:val="00007E61"/>
    <w:rsid w:val="00007FE1"/>
    <w:rsid w:val="00010B19"/>
    <w:rsid w:val="00010D7E"/>
    <w:rsid w:val="00011CCE"/>
    <w:rsid w:val="0001209E"/>
    <w:rsid w:val="00012E69"/>
    <w:rsid w:val="00013102"/>
    <w:rsid w:val="000134A1"/>
    <w:rsid w:val="00013C62"/>
    <w:rsid w:val="00013F0C"/>
    <w:rsid w:val="00013FE2"/>
    <w:rsid w:val="00014155"/>
    <w:rsid w:val="000141AA"/>
    <w:rsid w:val="000144C3"/>
    <w:rsid w:val="000144C4"/>
    <w:rsid w:val="00014543"/>
    <w:rsid w:val="00014607"/>
    <w:rsid w:val="00014EC6"/>
    <w:rsid w:val="000150B4"/>
    <w:rsid w:val="00015610"/>
    <w:rsid w:val="00015729"/>
    <w:rsid w:val="00015CFF"/>
    <w:rsid w:val="0001635D"/>
    <w:rsid w:val="00016927"/>
    <w:rsid w:val="000169F7"/>
    <w:rsid w:val="00016BF1"/>
    <w:rsid w:val="00016CD1"/>
    <w:rsid w:val="0001756F"/>
    <w:rsid w:val="0001762A"/>
    <w:rsid w:val="00017E00"/>
    <w:rsid w:val="00020555"/>
    <w:rsid w:val="000208D0"/>
    <w:rsid w:val="00020BF0"/>
    <w:rsid w:val="00020ED9"/>
    <w:rsid w:val="000212E4"/>
    <w:rsid w:val="0002160D"/>
    <w:rsid w:val="00021BA2"/>
    <w:rsid w:val="000229FB"/>
    <w:rsid w:val="000230C0"/>
    <w:rsid w:val="0002325C"/>
    <w:rsid w:val="000233FF"/>
    <w:rsid w:val="00023B4B"/>
    <w:rsid w:val="000243B4"/>
    <w:rsid w:val="000248F1"/>
    <w:rsid w:val="00024A3C"/>
    <w:rsid w:val="00024BAA"/>
    <w:rsid w:val="00024BDF"/>
    <w:rsid w:val="00024C8E"/>
    <w:rsid w:val="00024ECC"/>
    <w:rsid w:val="00024EE8"/>
    <w:rsid w:val="00025043"/>
    <w:rsid w:val="00025BB7"/>
    <w:rsid w:val="00025CD4"/>
    <w:rsid w:val="00025D06"/>
    <w:rsid w:val="00025FED"/>
    <w:rsid w:val="0002604D"/>
    <w:rsid w:val="00026110"/>
    <w:rsid w:val="00026279"/>
    <w:rsid w:val="000262CD"/>
    <w:rsid w:val="00027036"/>
    <w:rsid w:val="00027791"/>
    <w:rsid w:val="00027BB0"/>
    <w:rsid w:val="00027D43"/>
    <w:rsid w:val="00027DE4"/>
    <w:rsid w:val="00030460"/>
    <w:rsid w:val="0003054A"/>
    <w:rsid w:val="00030866"/>
    <w:rsid w:val="00031018"/>
    <w:rsid w:val="000310A2"/>
    <w:rsid w:val="000314A7"/>
    <w:rsid w:val="000318E0"/>
    <w:rsid w:val="00031A81"/>
    <w:rsid w:val="0003205D"/>
    <w:rsid w:val="0003235D"/>
    <w:rsid w:val="00032501"/>
    <w:rsid w:val="000329C8"/>
    <w:rsid w:val="00032AB6"/>
    <w:rsid w:val="00032CE0"/>
    <w:rsid w:val="00032D4F"/>
    <w:rsid w:val="00032DBA"/>
    <w:rsid w:val="00032F6B"/>
    <w:rsid w:val="0003360C"/>
    <w:rsid w:val="0003443F"/>
    <w:rsid w:val="000347D3"/>
    <w:rsid w:val="00034AC4"/>
    <w:rsid w:val="00034E1B"/>
    <w:rsid w:val="00034F0E"/>
    <w:rsid w:val="00035274"/>
    <w:rsid w:val="000358E6"/>
    <w:rsid w:val="00035BD1"/>
    <w:rsid w:val="00035F12"/>
    <w:rsid w:val="00035F3F"/>
    <w:rsid w:val="00036453"/>
    <w:rsid w:val="00036492"/>
    <w:rsid w:val="00036DF6"/>
    <w:rsid w:val="00036E1A"/>
    <w:rsid w:val="00037448"/>
    <w:rsid w:val="00037CE1"/>
    <w:rsid w:val="00040537"/>
    <w:rsid w:val="0004078D"/>
    <w:rsid w:val="00040AC3"/>
    <w:rsid w:val="00040BEF"/>
    <w:rsid w:val="00040F6D"/>
    <w:rsid w:val="00041305"/>
    <w:rsid w:val="00041DB1"/>
    <w:rsid w:val="00041EF2"/>
    <w:rsid w:val="000420C2"/>
    <w:rsid w:val="00042195"/>
    <w:rsid w:val="000427F8"/>
    <w:rsid w:val="00042922"/>
    <w:rsid w:val="0004321B"/>
    <w:rsid w:val="000432D9"/>
    <w:rsid w:val="00043638"/>
    <w:rsid w:val="00043802"/>
    <w:rsid w:val="00043DBB"/>
    <w:rsid w:val="00043E3B"/>
    <w:rsid w:val="000447C2"/>
    <w:rsid w:val="00044859"/>
    <w:rsid w:val="0004488B"/>
    <w:rsid w:val="00044E6E"/>
    <w:rsid w:val="000450FB"/>
    <w:rsid w:val="00045A16"/>
    <w:rsid w:val="00045C2F"/>
    <w:rsid w:val="00045CB1"/>
    <w:rsid w:val="00045FBC"/>
    <w:rsid w:val="0004662E"/>
    <w:rsid w:val="00047181"/>
    <w:rsid w:val="0004763A"/>
    <w:rsid w:val="00047714"/>
    <w:rsid w:val="0004789B"/>
    <w:rsid w:val="000479CD"/>
    <w:rsid w:val="00047D29"/>
    <w:rsid w:val="00050227"/>
    <w:rsid w:val="000507B6"/>
    <w:rsid w:val="000508DD"/>
    <w:rsid w:val="00050999"/>
    <w:rsid w:val="00050BDF"/>
    <w:rsid w:val="00050FCF"/>
    <w:rsid w:val="00050FEA"/>
    <w:rsid w:val="00051C7C"/>
    <w:rsid w:val="00051DAD"/>
    <w:rsid w:val="000520A6"/>
    <w:rsid w:val="000523C9"/>
    <w:rsid w:val="00052E84"/>
    <w:rsid w:val="00053360"/>
    <w:rsid w:val="0005376D"/>
    <w:rsid w:val="00053A0E"/>
    <w:rsid w:val="00053A31"/>
    <w:rsid w:val="00053C45"/>
    <w:rsid w:val="00053D00"/>
    <w:rsid w:val="00053D94"/>
    <w:rsid w:val="00053EEA"/>
    <w:rsid w:val="00054115"/>
    <w:rsid w:val="00054230"/>
    <w:rsid w:val="000543D3"/>
    <w:rsid w:val="00054CBC"/>
    <w:rsid w:val="00054D9B"/>
    <w:rsid w:val="00054FEB"/>
    <w:rsid w:val="00055541"/>
    <w:rsid w:val="000555CC"/>
    <w:rsid w:val="00055866"/>
    <w:rsid w:val="000559F4"/>
    <w:rsid w:val="000567E8"/>
    <w:rsid w:val="00056CDE"/>
    <w:rsid w:val="00056EC7"/>
    <w:rsid w:val="00057217"/>
    <w:rsid w:val="0005744C"/>
    <w:rsid w:val="00057814"/>
    <w:rsid w:val="0005798F"/>
    <w:rsid w:val="00057F51"/>
    <w:rsid w:val="00060071"/>
    <w:rsid w:val="00060126"/>
    <w:rsid w:val="0006015C"/>
    <w:rsid w:val="0006017B"/>
    <w:rsid w:val="0006023D"/>
    <w:rsid w:val="00060A4B"/>
    <w:rsid w:val="00060AE5"/>
    <w:rsid w:val="00060E9C"/>
    <w:rsid w:val="00060E9E"/>
    <w:rsid w:val="00061069"/>
    <w:rsid w:val="000614BA"/>
    <w:rsid w:val="000616D6"/>
    <w:rsid w:val="00061AC1"/>
    <w:rsid w:val="000628E8"/>
    <w:rsid w:val="00062949"/>
    <w:rsid w:val="00062D86"/>
    <w:rsid w:val="00062E53"/>
    <w:rsid w:val="00062E6A"/>
    <w:rsid w:val="00063161"/>
    <w:rsid w:val="000632E4"/>
    <w:rsid w:val="000634FE"/>
    <w:rsid w:val="000635ED"/>
    <w:rsid w:val="00063AA8"/>
    <w:rsid w:val="00063E26"/>
    <w:rsid w:val="00064227"/>
    <w:rsid w:val="000645FF"/>
    <w:rsid w:val="000649B4"/>
    <w:rsid w:val="00064AA6"/>
    <w:rsid w:val="00064ED9"/>
    <w:rsid w:val="00064F95"/>
    <w:rsid w:val="00065277"/>
    <w:rsid w:val="00065580"/>
    <w:rsid w:val="00065E88"/>
    <w:rsid w:val="00065EC6"/>
    <w:rsid w:val="00066544"/>
    <w:rsid w:val="0006655B"/>
    <w:rsid w:val="00066AE7"/>
    <w:rsid w:val="0006742C"/>
    <w:rsid w:val="00067800"/>
    <w:rsid w:val="00067DC7"/>
    <w:rsid w:val="000700F7"/>
    <w:rsid w:val="000704B8"/>
    <w:rsid w:val="000704CD"/>
    <w:rsid w:val="0007059C"/>
    <w:rsid w:val="000705A8"/>
    <w:rsid w:val="00070ADB"/>
    <w:rsid w:val="00070B5F"/>
    <w:rsid w:val="00070C5C"/>
    <w:rsid w:val="000711AF"/>
    <w:rsid w:val="00071451"/>
    <w:rsid w:val="000714F8"/>
    <w:rsid w:val="00071673"/>
    <w:rsid w:val="000717E8"/>
    <w:rsid w:val="00071CB7"/>
    <w:rsid w:val="00072189"/>
    <w:rsid w:val="0007241D"/>
    <w:rsid w:val="00072823"/>
    <w:rsid w:val="00072A73"/>
    <w:rsid w:val="00072D45"/>
    <w:rsid w:val="00072E77"/>
    <w:rsid w:val="00072F95"/>
    <w:rsid w:val="000734BF"/>
    <w:rsid w:val="00073596"/>
    <w:rsid w:val="000737FB"/>
    <w:rsid w:val="00073F95"/>
    <w:rsid w:val="0007436A"/>
    <w:rsid w:val="00074C30"/>
    <w:rsid w:val="00074D67"/>
    <w:rsid w:val="000750EB"/>
    <w:rsid w:val="0007565B"/>
    <w:rsid w:val="00075679"/>
    <w:rsid w:val="000756DA"/>
    <w:rsid w:val="000757FD"/>
    <w:rsid w:val="00075A00"/>
    <w:rsid w:val="00075E93"/>
    <w:rsid w:val="00076487"/>
    <w:rsid w:val="00076566"/>
    <w:rsid w:val="00076911"/>
    <w:rsid w:val="00076E4F"/>
    <w:rsid w:val="00076FED"/>
    <w:rsid w:val="0007784D"/>
    <w:rsid w:val="00077B03"/>
    <w:rsid w:val="00077B07"/>
    <w:rsid w:val="00077CAB"/>
    <w:rsid w:val="00077E3E"/>
    <w:rsid w:val="000808F7"/>
    <w:rsid w:val="00080DA3"/>
    <w:rsid w:val="00080F0D"/>
    <w:rsid w:val="00080F0E"/>
    <w:rsid w:val="00080F6D"/>
    <w:rsid w:val="00081060"/>
    <w:rsid w:val="000810F7"/>
    <w:rsid w:val="0008151C"/>
    <w:rsid w:val="00081598"/>
    <w:rsid w:val="00082741"/>
    <w:rsid w:val="000827C3"/>
    <w:rsid w:val="00082A64"/>
    <w:rsid w:val="00082F43"/>
    <w:rsid w:val="00083112"/>
    <w:rsid w:val="0008317C"/>
    <w:rsid w:val="00083357"/>
    <w:rsid w:val="00083E0D"/>
    <w:rsid w:val="00084125"/>
    <w:rsid w:val="000843EF"/>
    <w:rsid w:val="00084D59"/>
    <w:rsid w:val="00085402"/>
    <w:rsid w:val="000854AA"/>
    <w:rsid w:val="0008562E"/>
    <w:rsid w:val="00085807"/>
    <w:rsid w:val="000859A1"/>
    <w:rsid w:val="0008615D"/>
    <w:rsid w:val="00086324"/>
    <w:rsid w:val="000870C9"/>
    <w:rsid w:val="00087715"/>
    <w:rsid w:val="00087AE1"/>
    <w:rsid w:val="00087DDF"/>
    <w:rsid w:val="0009000D"/>
    <w:rsid w:val="0009002B"/>
    <w:rsid w:val="000902E5"/>
    <w:rsid w:val="00090673"/>
    <w:rsid w:val="000908A1"/>
    <w:rsid w:val="000911D0"/>
    <w:rsid w:val="000916CE"/>
    <w:rsid w:val="0009197F"/>
    <w:rsid w:val="00091A28"/>
    <w:rsid w:val="00092247"/>
    <w:rsid w:val="00092975"/>
    <w:rsid w:val="00092F11"/>
    <w:rsid w:val="000931EC"/>
    <w:rsid w:val="00093214"/>
    <w:rsid w:val="00093508"/>
    <w:rsid w:val="000935D3"/>
    <w:rsid w:val="000937D4"/>
    <w:rsid w:val="00094111"/>
    <w:rsid w:val="000943E4"/>
    <w:rsid w:val="00094634"/>
    <w:rsid w:val="000946A5"/>
    <w:rsid w:val="00094927"/>
    <w:rsid w:val="00094B4A"/>
    <w:rsid w:val="00094F18"/>
    <w:rsid w:val="00095327"/>
    <w:rsid w:val="000953C0"/>
    <w:rsid w:val="00095579"/>
    <w:rsid w:val="000955DD"/>
    <w:rsid w:val="00095D72"/>
    <w:rsid w:val="00095F0B"/>
    <w:rsid w:val="000966AD"/>
    <w:rsid w:val="00096749"/>
    <w:rsid w:val="00096BA8"/>
    <w:rsid w:val="00096EA7"/>
    <w:rsid w:val="000979CE"/>
    <w:rsid w:val="000A054C"/>
    <w:rsid w:val="000A0D8C"/>
    <w:rsid w:val="000A10A4"/>
    <w:rsid w:val="000A1332"/>
    <w:rsid w:val="000A13BB"/>
    <w:rsid w:val="000A1C11"/>
    <w:rsid w:val="000A1D85"/>
    <w:rsid w:val="000A2675"/>
    <w:rsid w:val="000A2775"/>
    <w:rsid w:val="000A27DC"/>
    <w:rsid w:val="000A2FBE"/>
    <w:rsid w:val="000A30B5"/>
    <w:rsid w:val="000A3123"/>
    <w:rsid w:val="000A38D8"/>
    <w:rsid w:val="000A3C9D"/>
    <w:rsid w:val="000A3CA3"/>
    <w:rsid w:val="000A40C6"/>
    <w:rsid w:val="000A4794"/>
    <w:rsid w:val="000A4904"/>
    <w:rsid w:val="000A54BC"/>
    <w:rsid w:val="000A5657"/>
    <w:rsid w:val="000A5ABD"/>
    <w:rsid w:val="000A63FD"/>
    <w:rsid w:val="000A6402"/>
    <w:rsid w:val="000A6524"/>
    <w:rsid w:val="000A658A"/>
    <w:rsid w:val="000A663C"/>
    <w:rsid w:val="000A6794"/>
    <w:rsid w:val="000A6BB8"/>
    <w:rsid w:val="000A72A0"/>
    <w:rsid w:val="000A79EC"/>
    <w:rsid w:val="000A7FFD"/>
    <w:rsid w:val="000B0180"/>
    <w:rsid w:val="000B02B8"/>
    <w:rsid w:val="000B04C5"/>
    <w:rsid w:val="000B0916"/>
    <w:rsid w:val="000B0D42"/>
    <w:rsid w:val="000B0DCE"/>
    <w:rsid w:val="000B11BB"/>
    <w:rsid w:val="000B11F4"/>
    <w:rsid w:val="000B18EE"/>
    <w:rsid w:val="000B19B3"/>
    <w:rsid w:val="000B1FC2"/>
    <w:rsid w:val="000B21DF"/>
    <w:rsid w:val="000B2389"/>
    <w:rsid w:val="000B2601"/>
    <w:rsid w:val="000B26DB"/>
    <w:rsid w:val="000B2D72"/>
    <w:rsid w:val="000B3562"/>
    <w:rsid w:val="000B381D"/>
    <w:rsid w:val="000B3A35"/>
    <w:rsid w:val="000B3DED"/>
    <w:rsid w:val="000B40D4"/>
    <w:rsid w:val="000B43BD"/>
    <w:rsid w:val="000B4870"/>
    <w:rsid w:val="000B49E7"/>
    <w:rsid w:val="000B55ED"/>
    <w:rsid w:val="000B5DB4"/>
    <w:rsid w:val="000B6053"/>
    <w:rsid w:val="000B6229"/>
    <w:rsid w:val="000B66BE"/>
    <w:rsid w:val="000B705B"/>
    <w:rsid w:val="000B71CC"/>
    <w:rsid w:val="000B7733"/>
    <w:rsid w:val="000B7A67"/>
    <w:rsid w:val="000C0512"/>
    <w:rsid w:val="000C0B61"/>
    <w:rsid w:val="000C0D46"/>
    <w:rsid w:val="000C14EE"/>
    <w:rsid w:val="000C1FD4"/>
    <w:rsid w:val="000C2188"/>
    <w:rsid w:val="000C2323"/>
    <w:rsid w:val="000C2BF5"/>
    <w:rsid w:val="000C2FA4"/>
    <w:rsid w:val="000C3492"/>
    <w:rsid w:val="000C36D8"/>
    <w:rsid w:val="000C37D5"/>
    <w:rsid w:val="000C3841"/>
    <w:rsid w:val="000C3C6B"/>
    <w:rsid w:val="000C3E34"/>
    <w:rsid w:val="000C3EC8"/>
    <w:rsid w:val="000C4850"/>
    <w:rsid w:val="000C4AEE"/>
    <w:rsid w:val="000C4D66"/>
    <w:rsid w:val="000C4DA1"/>
    <w:rsid w:val="000C5069"/>
    <w:rsid w:val="000C54B0"/>
    <w:rsid w:val="000C5B6E"/>
    <w:rsid w:val="000C5BE8"/>
    <w:rsid w:val="000C5EF8"/>
    <w:rsid w:val="000C60CB"/>
    <w:rsid w:val="000C636C"/>
    <w:rsid w:val="000C644F"/>
    <w:rsid w:val="000C6587"/>
    <w:rsid w:val="000C663B"/>
    <w:rsid w:val="000C669F"/>
    <w:rsid w:val="000C6891"/>
    <w:rsid w:val="000C6AD9"/>
    <w:rsid w:val="000C6FED"/>
    <w:rsid w:val="000C7410"/>
    <w:rsid w:val="000C7C19"/>
    <w:rsid w:val="000C7D98"/>
    <w:rsid w:val="000D0740"/>
    <w:rsid w:val="000D0A08"/>
    <w:rsid w:val="000D0B6F"/>
    <w:rsid w:val="000D0C59"/>
    <w:rsid w:val="000D1033"/>
    <w:rsid w:val="000D1418"/>
    <w:rsid w:val="000D14ED"/>
    <w:rsid w:val="000D1825"/>
    <w:rsid w:val="000D1BC9"/>
    <w:rsid w:val="000D1E5B"/>
    <w:rsid w:val="000D2069"/>
    <w:rsid w:val="000D325B"/>
    <w:rsid w:val="000D33C0"/>
    <w:rsid w:val="000D3771"/>
    <w:rsid w:val="000D37C3"/>
    <w:rsid w:val="000D38B9"/>
    <w:rsid w:val="000D3AA6"/>
    <w:rsid w:val="000D3FE4"/>
    <w:rsid w:val="000D4250"/>
    <w:rsid w:val="000D436F"/>
    <w:rsid w:val="000D496A"/>
    <w:rsid w:val="000D511A"/>
    <w:rsid w:val="000D535C"/>
    <w:rsid w:val="000D572E"/>
    <w:rsid w:val="000D5824"/>
    <w:rsid w:val="000D5A7B"/>
    <w:rsid w:val="000D63FB"/>
    <w:rsid w:val="000D67E0"/>
    <w:rsid w:val="000D6A10"/>
    <w:rsid w:val="000D7712"/>
    <w:rsid w:val="000D7AA2"/>
    <w:rsid w:val="000D7BEC"/>
    <w:rsid w:val="000D7E98"/>
    <w:rsid w:val="000E05E3"/>
    <w:rsid w:val="000E068A"/>
    <w:rsid w:val="000E0749"/>
    <w:rsid w:val="000E08BA"/>
    <w:rsid w:val="000E0E41"/>
    <w:rsid w:val="000E0F21"/>
    <w:rsid w:val="000E1646"/>
    <w:rsid w:val="000E1E2E"/>
    <w:rsid w:val="000E21AA"/>
    <w:rsid w:val="000E24D5"/>
    <w:rsid w:val="000E25E6"/>
    <w:rsid w:val="000E2EED"/>
    <w:rsid w:val="000E2F21"/>
    <w:rsid w:val="000E3838"/>
    <w:rsid w:val="000E3F1B"/>
    <w:rsid w:val="000E41AD"/>
    <w:rsid w:val="000E4454"/>
    <w:rsid w:val="000E4C39"/>
    <w:rsid w:val="000E5034"/>
    <w:rsid w:val="000E53E4"/>
    <w:rsid w:val="000E5493"/>
    <w:rsid w:val="000E5F9C"/>
    <w:rsid w:val="000E6398"/>
    <w:rsid w:val="000E64B5"/>
    <w:rsid w:val="000E6704"/>
    <w:rsid w:val="000E671E"/>
    <w:rsid w:val="000E6AA6"/>
    <w:rsid w:val="000E6B47"/>
    <w:rsid w:val="000E6E0E"/>
    <w:rsid w:val="000E7253"/>
    <w:rsid w:val="000E7455"/>
    <w:rsid w:val="000E7566"/>
    <w:rsid w:val="000E767F"/>
    <w:rsid w:val="000E7A5F"/>
    <w:rsid w:val="000E7DED"/>
    <w:rsid w:val="000F120D"/>
    <w:rsid w:val="000F1387"/>
    <w:rsid w:val="000F15C1"/>
    <w:rsid w:val="000F18CC"/>
    <w:rsid w:val="000F1BD0"/>
    <w:rsid w:val="000F2238"/>
    <w:rsid w:val="000F2603"/>
    <w:rsid w:val="000F2E2F"/>
    <w:rsid w:val="000F2F8E"/>
    <w:rsid w:val="000F3042"/>
    <w:rsid w:val="000F3645"/>
    <w:rsid w:val="000F389D"/>
    <w:rsid w:val="000F3961"/>
    <w:rsid w:val="000F3E82"/>
    <w:rsid w:val="000F3E87"/>
    <w:rsid w:val="000F41B6"/>
    <w:rsid w:val="000F4594"/>
    <w:rsid w:val="000F46A6"/>
    <w:rsid w:val="000F4BDF"/>
    <w:rsid w:val="000F4BE2"/>
    <w:rsid w:val="000F4BE4"/>
    <w:rsid w:val="000F5220"/>
    <w:rsid w:val="000F658B"/>
    <w:rsid w:val="000F65A2"/>
    <w:rsid w:val="000F699E"/>
    <w:rsid w:val="000F6A49"/>
    <w:rsid w:val="000F6EF3"/>
    <w:rsid w:val="000F7485"/>
    <w:rsid w:val="000F7599"/>
    <w:rsid w:val="000F796B"/>
    <w:rsid w:val="000F7A25"/>
    <w:rsid w:val="00100758"/>
    <w:rsid w:val="00100C5C"/>
    <w:rsid w:val="00100D55"/>
    <w:rsid w:val="00100EBF"/>
    <w:rsid w:val="00100F44"/>
    <w:rsid w:val="00101282"/>
    <w:rsid w:val="00101936"/>
    <w:rsid w:val="00101B8B"/>
    <w:rsid w:val="00101DBA"/>
    <w:rsid w:val="00102400"/>
    <w:rsid w:val="00102783"/>
    <w:rsid w:val="00102AB1"/>
    <w:rsid w:val="00102BFB"/>
    <w:rsid w:val="00102DA6"/>
    <w:rsid w:val="001030F0"/>
    <w:rsid w:val="00103365"/>
    <w:rsid w:val="001036EC"/>
    <w:rsid w:val="00103805"/>
    <w:rsid w:val="00103A8D"/>
    <w:rsid w:val="00103E19"/>
    <w:rsid w:val="001042AA"/>
    <w:rsid w:val="00104AC2"/>
    <w:rsid w:val="00104CBE"/>
    <w:rsid w:val="00104D61"/>
    <w:rsid w:val="00104D78"/>
    <w:rsid w:val="001050CB"/>
    <w:rsid w:val="00105555"/>
    <w:rsid w:val="00105B96"/>
    <w:rsid w:val="001067E5"/>
    <w:rsid w:val="00106BEE"/>
    <w:rsid w:val="00107AE9"/>
    <w:rsid w:val="00107C85"/>
    <w:rsid w:val="0011016B"/>
    <w:rsid w:val="00110399"/>
    <w:rsid w:val="00110566"/>
    <w:rsid w:val="00110576"/>
    <w:rsid w:val="001107C4"/>
    <w:rsid w:val="00110801"/>
    <w:rsid w:val="00110B25"/>
    <w:rsid w:val="001117DC"/>
    <w:rsid w:val="00112361"/>
    <w:rsid w:val="00112655"/>
    <w:rsid w:val="00112957"/>
    <w:rsid w:val="00112A28"/>
    <w:rsid w:val="00112AFC"/>
    <w:rsid w:val="001130FF"/>
    <w:rsid w:val="00113A10"/>
    <w:rsid w:val="00114679"/>
    <w:rsid w:val="001148EE"/>
    <w:rsid w:val="00114B76"/>
    <w:rsid w:val="00114BEE"/>
    <w:rsid w:val="00114E11"/>
    <w:rsid w:val="00115007"/>
    <w:rsid w:val="0011527F"/>
    <w:rsid w:val="001152AB"/>
    <w:rsid w:val="00115D00"/>
    <w:rsid w:val="00116681"/>
    <w:rsid w:val="00116CB5"/>
    <w:rsid w:val="00116CCF"/>
    <w:rsid w:val="001173C0"/>
    <w:rsid w:val="00117C9D"/>
    <w:rsid w:val="001202D4"/>
    <w:rsid w:val="00120387"/>
    <w:rsid w:val="001209BC"/>
    <w:rsid w:val="00120A15"/>
    <w:rsid w:val="00120C97"/>
    <w:rsid w:val="001214BC"/>
    <w:rsid w:val="001218BF"/>
    <w:rsid w:val="00122178"/>
    <w:rsid w:val="0012218D"/>
    <w:rsid w:val="001221F5"/>
    <w:rsid w:val="001223A5"/>
    <w:rsid w:val="0012274A"/>
    <w:rsid w:val="00122E4D"/>
    <w:rsid w:val="001232B3"/>
    <w:rsid w:val="001232E3"/>
    <w:rsid w:val="00123BE3"/>
    <w:rsid w:val="00123CB2"/>
    <w:rsid w:val="00123DD2"/>
    <w:rsid w:val="00123F3D"/>
    <w:rsid w:val="001242A6"/>
    <w:rsid w:val="001248B9"/>
    <w:rsid w:val="00124AE6"/>
    <w:rsid w:val="00124BF0"/>
    <w:rsid w:val="00124CEB"/>
    <w:rsid w:val="001251DA"/>
    <w:rsid w:val="0012526D"/>
    <w:rsid w:val="001253D4"/>
    <w:rsid w:val="00125676"/>
    <w:rsid w:val="00125B81"/>
    <w:rsid w:val="00125BD7"/>
    <w:rsid w:val="00125CC3"/>
    <w:rsid w:val="00125E0A"/>
    <w:rsid w:val="00126344"/>
    <w:rsid w:val="0012674F"/>
    <w:rsid w:val="00126871"/>
    <w:rsid w:val="00126897"/>
    <w:rsid w:val="00126FC5"/>
    <w:rsid w:val="001270FD"/>
    <w:rsid w:val="00127193"/>
    <w:rsid w:val="00127265"/>
    <w:rsid w:val="00127276"/>
    <w:rsid w:val="0012730B"/>
    <w:rsid w:val="0012730D"/>
    <w:rsid w:val="001273D4"/>
    <w:rsid w:val="00127414"/>
    <w:rsid w:val="00127572"/>
    <w:rsid w:val="00127A52"/>
    <w:rsid w:val="00127BCC"/>
    <w:rsid w:val="00127DDB"/>
    <w:rsid w:val="00130042"/>
    <w:rsid w:val="001300FF"/>
    <w:rsid w:val="0013032A"/>
    <w:rsid w:val="00130333"/>
    <w:rsid w:val="001303D7"/>
    <w:rsid w:val="00130563"/>
    <w:rsid w:val="00131209"/>
    <w:rsid w:val="00131DDE"/>
    <w:rsid w:val="001320F8"/>
    <w:rsid w:val="0013263D"/>
    <w:rsid w:val="00132CE2"/>
    <w:rsid w:val="00132F86"/>
    <w:rsid w:val="0013335C"/>
    <w:rsid w:val="001337FC"/>
    <w:rsid w:val="00133AE0"/>
    <w:rsid w:val="00133C95"/>
    <w:rsid w:val="00133DFE"/>
    <w:rsid w:val="001340AD"/>
    <w:rsid w:val="0013423F"/>
    <w:rsid w:val="00134245"/>
    <w:rsid w:val="001342C5"/>
    <w:rsid w:val="00134353"/>
    <w:rsid w:val="001345F8"/>
    <w:rsid w:val="0013482E"/>
    <w:rsid w:val="001349FC"/>
    <w:rsid w:val="00134A35"/>
    <w:rsid w:val="00134BCC"/>
    <w:rsid w:val="00134F30"/>
    <w:rsid w:val="00134FD3"/>
    <w:rsid w:val="00135087"/>
    <w:rsid w:val="00135434"/>
    <w:rsid w:val="00135639"/>
    <w:rsid w:val="001359B9"/>
    <w:rsid w:val="00136263"/>
    <w:rsid w:val="001365E8"/>
    <w:rsid w:val="001367B6"/>
    <w:rsid w:val="00136A67"/>
    <w:rsid w:val="00136A6A"/>
    <w:rsid w:val="00136A90"/>
    <w:rsid w:val="00136D00"/>
    <w:rsid w:val="001371CC"/>
    <w:rsid w:val="00137532"/>
    <w:rsid w:val="0014030A"/>
    <w:rsid w:val="00140815"/>
    <w:rsid w:val="00140AA6"/>
    <w:rsid w:val="00140B25"/>
    <w:rsid w:val="001411BF"/>
    <w:rsid w:val="0014126C"/>
    <w:rsid w:val="00141873"/>
    <w:rsid w:val="001418B6"/>
    <w:rsid w:val="001422C6"/>
    <w:rsid w:val="001429D9"/>
    <w:rsid w:val="00142F76"/>
    <w:rsid w:val="001430D4"/>
    <w:rsid w:val="00143BB5"/>
    <w:rsid w:val="00143D27"/>
    <w:rsid w:val="00143EFD"/>
    <w:rsid w:val="00143F50"/>
    <w:rsid w:val="00143F6A"/>
    <w:rsid w:val="0014401C"/>
    <w:rsid w:val="001443A4"/>
    <w:rsid w:val="001443EF"/>
    <w:rsid w:val="001444CA"/>
    <w:rsid w:val="0014464E"/>
    <w:rsid w:val="00144BCD"/>
    <w:rsid w:val="00145176"/>
    <w:rsid w:val="001452E2"/>
    <w:rsid w:val="0014587A"/>
    <w:rsid w:val="001462A5"/>
    <w:rsid w:val="00146308"/>
    <w:rsid w:val="001464C5"/>
    <w:rsid w:val="001465DA"/>
    <w:rsid w:val="001467AD"/>
    <w:rsid w:val="00146A49"/>
    <w:rsid w:val="00146FD7"/>
    <w:rsid w:val="0014708E"/>
    <w:rsid w:val="001470C4"/>
    <w:rsid w:val="00147168"/>
    <w:rsid w:val="00147254"/>
    <w:rsid w:val="00147EAD"/>
    <w:rsid w:val="00150105"/>
    <w:rsid w:val="0015056F"/>
    <w:rsid w:val="00150BC5"/>
    <w:rsid w:val="00150DA3"/>
    <w:rsid w:val="0015156D"/>
    <w:rsid w:val="00151858"/>
    <w:rsid w:val="00151C52"/>
    <w:rsid w:val="001520BE"/>
    <w:rsid w:val="00152C75"/>
    <w:rsid w:val="00153546"/>
    <w:rsid w:val="0015354B"/>
    <w:rsid w:val="0015356D"/>
    <w:rsid w:val="00153987"/>
    <w:rsid w:val="001539EF"/>
    <w:rsid w:val="00153F42"/>
    <w:rsid w:val="00154057"/>
    <w:rsid w:val="00154709"/>
    <w:rsid w:val="00154F08"/>
    <w:rsid w:val="00155AE5"/>
    <w:rsid w:val="00155BE6"/>
    <w:rsid w:val="00155FAC"/>
    <w:rsid w:val="00156121"/>
    <w:rsid w:val="00157114"/>
    <w:rsid w:val="0015725C"/>
    <w:rsid w:val="001603C5"/>
    <w:rsid w:val="00160533"/>
    <w:rsid w:val="00160A11"/>
    <w:rsid w:val="0016156A"/>
    <w:rsid w:val="00161ABF"/>
    <w:rsid w:val="00161E29"/>
    <w:rsid w:val="00161F2C"/>
    <w:rsid w:val="001627C0"/>
    <w:rsid w:val="00162AB4"/>
    <w:rsid w:val="00162DA5"/>
    <w:rsid w:val="00162EE9"/>
    <w:rsid w:val="00163191"/>
    <w:rsid w:val="00163560"/>
    <w:rsid w:val="00163CEC"/>
    <w:rsid w:val="00163D21"/>
    <w:rsid w:val="00163E0F"/>
    <w:rsid w:val="00163FC3"/>
    <w:rsid w:val="001640CE"/>
    <w:rsid w:val="001642A5"/>
    <w:rsid w:val="001642D1"/>
    <w:rsid w:val="0016443C"/>
    <w:rsid w:val="001644DC"/>
    <w:rsid w:val="00164F12"/>
    <w:rsid w:val="001657D2"/>
    <w:rsid w:val="00165AB8"/>
    <w:rsid w:val="001664B2"/>
    <w:rsid w:val="0016660A"/>
    <w:rsid w:val="0016687B"/>
    <w:rsid w:val="0016694D"/>
    <w:rsid w:val="0016695A"/>
    <w:rsid w:val="00166AAE"/>
    <w:rsid w:val="001671BA"/>
    <w:rsid w:val="00167367"/>
    <w:rsid w:val="00167933"/>
    <w:rsid w:val="001679EC"/>
    <w:rsid w:val="00167ADF"/>
    <w:rsid w:val="0017030D"/>
    <w:rsid w:val="001709C4"/>
    <w:rsid w:val="00170BFD"/>
    <w:rsid w:val="001714CB"/>
    <w:rsid w:val="00171690"/>
    <w:rsid w:val="00171AE2"/>
    <w:rsid w:val="00172A4B"/>
    <w:rsid w:val="001732B8"/>
    <w:rsid w:val="00173986"/>
    <w:rsid w:val="00173B4E"/>
    <w:rsid w:val="00173BDB"/>
    <w:rsid w:val="00173FB0"/>
    <w:rsid w:val="001741F9"/>
    <w:rsid w:val="001741FA"/>
    <w:rsid w:val="001742D4"/>
    <w:rsid w:val="00174357"/>
    <w:rsid w:val="00174442"/>
    <w:rsid w:val="00174687"/>
    <w:rsid w:val="00174DC5"/>
    <w:rsid w:val="00174F33"/>
    <w:rsid w:val="00175053"/>
    <w:rsid w:val="001752F8"/>
    <w:rsid w:val="001756A7"/>
    <w:rsid w:val="00175AFD"/>
    <w:rsid w:val="00175DBB"/>
    <w:rsid w:val="00175EE9"/>
    <w:rsid w:val="00175F94"/>
    <w:rsid w:val="00176099"/>
    <w:rsid w:val="00176181"/>
    <w:rsid w:val="00176727"/>
    <w:rsid w:val="00176728"/>
    <w:rsid w:val="001768C2"/>
    <w:rsid w:val="00176F0E"/>
    <w:rsid w:val="00176F85"/>
    <w:rsid w:val="00177507"/>
    <w:rsid w:val="0017751A"/>
    <w:rsid w:val="00177857"/>
    <w:rsid w:val="001801B8"/>
    <w:rsid w:val="00180220"/>
    <w:rsid w:val="00180575"/>
    <w:rsid w:val="00180A44"/>
    <w:rsid w:val="00180A80"/>
    <w:rsid w:val="00180BBD"/>
    <w:rsid w:val="00181376"/>
    <w:rsid w:val="001817EE"/>
    <w:rsid w:val="00181A82"/>
    <w:rsid w:val="00181CED"/>
    <w:rsid w:val="001821AD"/>
    <w:rsid w:val="001824F4"/>
    <w:rsid w:val="00182687"/>
    <w:rsid w:val="00182A2E"/>
    <w:rsid w:val="00183270"/>
    <w:rsid w:val="00183910"/>
    <w:rsid w:val="00183A8B"/>
    <w:rsid w:val="00183B5B"/>
    <w:rsid w:val="00183F40"/>
    <w:rsid w:val="001840F5"/>
    <w:rsid w:val="00184392"/>
    <w:rsid w:val="00184664"/>
    <w:rsid w:val="00184A4F"/>
    <w:rsid w:val="00184D98"/>
    <w:rsid w:val="00185716"/>
    <w:rsid w:val="00185913"/>
    <w:rsid w:val="00185A29"/>
    <w:rsid w:val="001863AA"/>
    <w:rsid w:val="00186A30"/>
    <w:rsid w:val="001873D8"/>
    <w:rsid w:val="001878CE"/>
    <w:rsid w:val="0019038A"/>
    <w:rsid w:val="001904D8"/>
    <w:rsid w:val="0019075C"/>
    <w:rsid w:val="0019106C"/>
    <w:rsid w:val="00191609"/>
    <w:rsid w:val="00191719"/>
    <w:rsid w:val="001917AD"/>
    <w:rsid w:val="001919AB"/>
    <w:rsid w:val="0019277C"/>
    <w:rsid w:val="0019297B"/>
    <w:rsid w:val="001934DF"/>
    <w:rsid w:val="0019371B"/>
    <w:rsid w:val="00193761"/>
    <w:rsid w:val="00193D00"/>
    <w:rsid w:val="00193EA3"/>
    <w:rsid w:val="00194295"/>
    <w:rsid w:val="00194A7B"/>
    <w:rsid w:val="001951A9"/>
    <w:rsid w:val="00195442"/>
    <w:rsid w:val="001955CF"/>
    <w:rsid w:val="00195782"/>
    <w:rsid w:val="00195BBB"/>
    <w:rsid w:val="00195C84"/>
    <w:rsid w:val="00195F1B"/>
    <w:rsid w:val="00196218"/>
    <w:rsid w:val="00196465"/>
    <w:rsid w:val="001972DA"/>
    <w:rsid w:val="001975DE"/>
    <w:rsid w:val="00197636"/>
    <w:rsid w:val="0019774A"/>
    <w:rsid w:val="00197CC3"/>
    <w:rsid w:val="00197D6F"/>
    <w:rsid w:val="00197FE3"/>
    <w:rsid w:val="001A017C"/>
    <w:rsid w:val="001A03F3"/>
    <w:rsid w:val="001A09CD"/>
    <w:rsid w:val="001A197A"/>
    <w:rsid w:val="001A2585"/>
    <w:rsid w:val="001A272F"/>
    <w:rsid w:val="001A3132"/>
    <w:rsid w:val="001A3704"/>
    <w:rsid w:val="001A377C"/>
    <w:rsid w:val="001A3853"/>
    <w:rsid w:val="001A4286"/>
    <w:rsid w:val="001A43B7"/>
    <w:rsid w:val="001A46FC"/>
    <w:rsid w:val="001A4753"/>
    <w:rsid w:val="001A51AB"/>
    <w:rsid w:val="001A51D0"/>
    <w:rsid w:val="001A51EC"/>
    <w:rsid w:val="001A5331"/>
    <w:rsid w:val="001A53B5"/>
    <w:rsid w:val="001A5ADE"/>
    <w:rsid w:val="001A67CA"/>
    <w:rsid w:val="001A6D2D"/>
    <w:rsid w:val="001A6FC1"/>
    <w:rsid w:val="001A70E8"/>
    <w:rsid w:val="001A7733"/>
    <w:rsid w:val="001A79BF"/>
    <w:rsid w:val="001A7E95"/>
    <w:rsid w:val="001A7FF5"/>
    <w:rsid w:val="001B002F"/>
    <w:rsid w:val="001B0208"/>
    <w:rsid w:val="001B0704"/>
    <w:rsid w:val="001B0C44"/>
    <w:rsid w:val="001B1091"/>
    <w:rsid w:val="001B14E5"/>
    <w:rsid w:val="001B15FB"/>
    <w:rsid w:val="001B1DDD"/>
    <w:rsid w:val="001B1F60"/>
    <w:rsid w:val="001B208B"/>
    <w:rsid w:val="001B220E"/>
    <w:rsid w:val="001B226A"/>
    <w:rsid w:val="001B24C8"/>
    <w:rsid w:val="001B2A9C"/>
    <w:rsid w:val="001B352E"/>
    <w:rsid w:val="001B375B"/>
    <w:rsid w:val="001B3992"/>
    <w:rsid w:val="001B3E62"/>
    <w:rsid w:val="001B4114"/>
    <w:rsid w:val="001B43E8"/>
    <w:rsid w:val="001B4867"/>
    <w:rsid w:val="001B493C"/>
    <w:rsid w:val="001B4AAA"/>
    <w:rsid w:val="001B4CED"/>
    <w:rsid w:val="001B4E1B"/>
    <w:rsid w:val="001B4E8B"/>
    <w:rsid w:val="001B5C17"/>
    <w:rsid w:val="001B6070"/>
    <w:rsid w:val="001B610B"/>
    <w:rsid w:val="001B6179"/>
    <w:rsid w:val="001B6D95"/>
    <w:rsid w:val="001B73A7"/>
    <w:rsid w:val="001B75B0"/>
    <w:rsid w:val="001B7A07"/>
    <w:rsid w:val="001B7CB6"/>
    <w:rsid w:val="001C0214"/>
    <w:rsid w:val="001C0698"/>
    <w:rsid w:val="001C0BEA"/>
    <w:rsid w:val="001C0D49"/>
    <w:rsid w:val="001C0F8C"/>
    <w:rsid w:val="001C170D"/>
    <w:rsid w:val="001C1A55"/>
    <w:rsid w:val="001C1B0C"/>
    <w:rsid w:val="001C1B86"/>
    <w:rsid w:val="001C2008"/>
    <w:rsid w:val="001C2052"/>
    <w:rsid w:val="001C24FB"/>
    <w:rsid w:val="001C2E33"/>
    <w:rsid w:val="001C3427"/>
    <w:rsid w:val="001C3E9B"/>
    <w:rsid w:val="001C407E"/>
    <w:rsid w:val="001C41F2"/>
    <w:rsid w:val="001C4937"/>
    <w:rsid w:val="001C4A55"/>
    <w:rsid w:val="001C4E20"/>
    <w:rsid w:val="001C4F23"/>
    <w:rsid w:val="001C54D7"/>
    <w:rsid w:val="001C5741"/>
    <w:rsid w:val="001C632E"/>
    <w:rsid w:val="001C670E"/>
    <w:rsid w:val="001C68CB"/>
    <w:rsid w:val="001C6CEF"/>
    <w:rsid w:val="001C6ECD"/>
    <w:rsid w:val="001C715D"/>
    <w:rsid w:val="001C72A1"/>
    <w:rsid w:val="001C75E5"/>
    <w:rsid w:val="001C7617"/>
    <w:rsid w:val="001C76E5"/>
    <w:rsid w:val="001C794C"/>
    <w:rsid w:val="001C7AE0"/>
    <w:rsid w:val="001C7B22"/>
    <w:rsid w:val="001C7BAE"/>
    <w:rsid w:val="001D0296"/>
    <w:rsid w:val="001D057E"/>
    <w:rsid w:val="001D0CDF"/>
    <w:rsid w:val="001D0DA2"/>
    <w:rsid w:val="001D0E35"/>
    <w:rsid w:val="001D1475"/>
    <w:rsid w:val="001D1A7D"/>
    <w:rsid w:val="001D1F05"/>
    <w:rsid w:val="001D2045"/>
    <w:rsid w:val="001D3038"/>
    <w:rsid w:val="001D355C"/>
    <w:rsid w:val="001D378D"/>
    <w:rsid w:val="001D3846"/>
    <w:rsid w:val="001D3977"/>
    <w:rsid w:val="001D3D27"/>
    <w:rsid w:val="001D4038"/>
    <w:rsid w:val="001D460F"/>
    <w:rsid w:val="001D4A8A"/>
    <w:rsid w:val="001D527A"/>
    <w:rsid w:val="001D5791"/>
    <w:rsid w:val="001D5E75"/>
    <w:rsid w:val="001D627D"/>
    <w:rsid w:val="001D65CD"/>
    <w:rsid w:val="001D673A"/>
    <w:rsid w:val="001D7CF5"/>
    <w:rsid w:val="001E01F8"/>
    <w:rsid w:val="001E02A2"/>
    <w:rsid w:val="001E08FC"/>
    <w:rsid w:val="001E09BA"/>
    <w:rsid w:val="001E09F9"/>
    <w:rsid w:val="001E1166"/>
    <w:rsid w:val="001E11D6"/>
    <w:rsid w:val="001E17F2"/>
    <w:rsid w:val="001E1DC9"/>
    <w:rsid w:val="001E2054"/>
    <w:rsid w:val="001E2A48"/>
    <w:rsid w:val="001E30B0"/>
    <w:rsid w:val="001E3207"/>
    <w:rsid w:val="001E33D7"/>
    <w:rsid w:val="001E39D9"/>
    <w:rsid w:val="001E418E"/>
    <w:rsid w:val="001E46D3"/>
    <w:rsid w:val="001E48EC"/>
    <w:rsid w:val="001E4929"/>
    <w:rsid w:val="001E4F86"/>
    <w:rsid w:val="001E51C3"/>
    <w:rsid w:val="001E5235"/>
    <w:rsid w:val="001E53DB"/>
    <w:rsid w:val="001E5982"/>
    <w:rsid w:val="001E5E60"/>
    <w:rsid w:val="001E6441"/>
    <w:rsid w:val="001E6604"/>
    <w:rsid w:val="001E66E8"/>
    <w:rsid w:val="001E6B91"/>
    <w:rsid w:val="001E6ECA"/>
    <w:rsid w:val="001E70D0"/>
    <w:rsid w:val="001E732A"/>
    <w:rsid w:val="001E749B"/>
    <w:rsid w:val="001E7BC3"/>
    <w:rsid w:val="001E7E4B"/>
    <w:rsid w:val="001F001E"/>
    <w:rsid w:val="001F01A6"/>
    <w:rsid w:val="001F0389"/>
    <w:rsid w:val="001F0A69"/>
    <w:rsid w:val="001F0C39"/>
    <w:rsid w:val="001F0ECE"/>
    <w:rsid w:val="001F0F4C"/>
    <w:rsid w:val="001F1287"/>
    <w:rsid w:val="001F157C"/>
    <w:rsid w:val="001F2472"/>
    <w:rsid w:val="001F2A5B"/>
    <w:rsid w:val="001F2CEC"/>
    <w:rsid w:val="001F2F6E"/>
    <w:rsid w:val="001F3142"/>
    <w:rsid w:val="001F3924"/>
    <w:rsid w:val="001F3BB5"/>
    <w:rsid w:val="001F422D"/>
    <w:rsid w:val="001F469D"/>
    <w:rsid w:val="001F4D2C"/>
    <w:rsid w:val="001F52AF"/>
    <w:rsid w:val="001F58E0"/>
    <w:rsid w:val="001F596F"/>
    <w:rsid w:val="001F59B3"/>
    <w:rsid w:val="001F5AA3"/>
    <w:rsid w:val="001F5BD2"/>
    <w:rsid w:val="001F5D98"/>
    <w:rsid w:val="001F6373"/>
    <w:rsid w:val="001F6473"/>
    <w:rsid w:val="001F6A5C"/>
    <w:rsid w:val="001F7717"/>
    <w:rsid w:val="001F77DC"/>
    <w:rsid w:val="001F78D4"/>
    <w:rsid w:val="001F7922"/>
    <w:rsid w:val="001F7C7F"/>
    <w:rsid w:val="0020014D"/>
    <w:rsid w:val="00200321"/>
    <w:rsid w:val="00201298"/>
    <w:rsid w:val="00201992"/>
    <w:rsid w:val="00201B13"/>
    <w:rsid w:val="00201D3F"/>
    <w:rsid w:val="00201D6F"/>
    <w:rsid w:val="00201FD0"/>
    <w:rsid w:val="0020232A"/>
    <w:rsid w:val="00202A87"/>
    <w:rsid w:val="00203216"/>
    <w:rsid w:val="0020325C"/>
    <w:rsid w:val="002032E0"/>
    <w:rsid w:val="00203338"/>
    <w:rsid w:val="0020349E"/>
    <w:rsid w:val="00203C07"/>
    <w:rsid w:val="00203E3D"/>
    <w:rsid w:val="00204046"/>
    <w:rsid w:val="002046DE"/>
    <w:rsid w:val="002047ED"/>
    <w:rsid w:val="002052AA"/>
    <w:rsid w:val="0020551B"/>
    <w:rsid w:val="00205C27"/>
    <w:rsid w:val="00206023"/>
    <w:rsid w:val="002060F3"/>
    <w:rsid w:val="00206360"/>
    <w:rsid w:val="00206453"/>
    <w:rsid w:val="002066AF"/>
    <w:rsid w:val="00206C4C"/>
    <w:rsid w:val="00206C51"/>
    <w:rsid w:val="002071C8"/>
    <w:rsid w:val="002074AE"/>
    <w:rsid w:val="0020777A"/>
    <w:rsid w:val="0021003E"/>
    <w:rsid w:val="002100F6"/>
    <w:rsid w:val="00210841"/>
    <w:rsid w:val="00210DF2"/>
    <w:rsid w:val="002111D4"/>
    <w:rsid w:val="00211534"/>
    <w:rsid w:val="002116FF"/>
    <w:rsid w:val="002117A7"/>
    <w:rsid w:val="00211CD8"/>
    <w:rsid w:val="0021210E"/>
    <w:rsid w:val="002124F4"/>
    <w:rsid w:val="002126AE"/>
    <w:rsid w:val="00212D9A"/>
    <w:rsid w:val="00213273"/>
    <w:rsid w:val="002132AE"/>
    <w:rsid w:val="00213530"/>
    <w:rsid w:val="002135B5"/>
    <w:rsid w:val="0021366B"/>
    <w:rsid w:val="0021392C"/>
    <w:rsid w:val="002139CB"/>
    <w:rsid w:val="00213B43"/>
    <w:rsid w:val="00213BE9"/>
    <w:rsid w:val="00213C63"/>
    <w:rsid w:val="00213E06"/>
    <w:rsid w:val="00213F5A"/>
    <w:rsid w:val="00214152"/>
    <w:rsid w:val="0021475F"/>
    <w:rsid w:val="00214B65"/>
    <w:rsid w:val="00214B77"/>
    <w:rsid w:val="00214C77"/>
    <w:rsid w:val="00214DA6"/>
    <w:rsid w:val="00214FAC"/>
    <w:rsid w:val="00214FC4"/>
    <w:rsid w:val="0021532C"/>
    <w:rsid w:val="002154D4"/>
    <w:rsid w:val="0021573A"/>
    <w:rsid w:val="00215919"/>
    <w:rsid w:val="00215E56"/>
    <w:rsid w:val="00215F55"/>
    <w:rsid w:val="002163E6"/>
    <w:rsid w:val="002164B3"/>
    <w:rsid w:val="00216B9C"/>
    <w:rsid w:val="00216D70"/>
    <w:rsid w:val="00216F03"/>
    <w:rsid w:val="0021726D"/>
    <w:rsid w:val="00217598"/>
    <w:rsid w:val="00217B03"/>
    <w:rsid w:val="00217D50"/>
    <w:rsid w:val="00217F2D"/>
    <w:rsid w:val="00220628"/>
    <w:rsid w:val="00220A4C"/>
    <w:rsid w:val="00220C0C"/>
    <w:rsid w:val="002213F6"/>
    <w:rsid w:val="00221492"/>
    <w:rsid w:val="00221567"/>
    <w:rsid w:val="00221D26"/>
    <w:rsid w:val="0022293E"/>
    <w:rsid w:val="00222F0E"/>
    <w:rsid w:val="002234B6"/>
    <w:rsid w:val="00223E80"/>
    <w:rsid w:val="002242F8"/>
    <w:rsid w:val="002253FE"/>
    <w:rsid w:val="00225ED8"/>
    <w:rsid w:val="00227409"/>
    <w:rsid w:val="0022757A"/>
    <w:rsid w:val="002279B8"/>
    <w:rsid w:val="00227CE1"/>
    <w:rsid w:val="00227DBE"/>
    <w:rsid w:val="00227FB5"/>
    <w:rsid w:val="00230282"/>
    <w:rsid w:val="002306C1"/>
    <w:rsid w:val="0023075E"/>
    <w:rsid w:val="0023090E"/>
    <w:rsid w:val="002309C3"/>
    <w:rsid w:val="00230A09"/>
    <w:rsid w:val="00230D0B"/>
    <w:rsid w:val="00231001"/>
    <w:rsid w:val="00231284"/>
    <w:rsid w:val="00231614"/>
    <w:rsid w:val="00231947"/>
    <w:rsid w:val="00231D56"/>
    <w:rsid w:val="00231D95"/>
    <w:rsid w:val="00231DF4"/>
    <w:rsid w:val="00231E1D"/>
    <w:rsid w:val="0023225D"/>
    <w:rsid w:val="00232399"/>
    <w:rsid w:val="002325D7"/>
    <w:rsid w:val="002327DE"/>
    <w:rsid w:val="0023359B"/>
    <w:rsid w:val="00233AC8"/>
    <w:rsid w:val="0023477F"/>
    <w:rsid w:val="002350A9"/>
    <w:rsid w:val="00235B44"/>
    <w:rsid w:val="00235C1A"/>
    <w:rsid w:val="00235CA7"/>
    <w:rsid w:val="002361F0"/>
    <w:rsid w:val="00236322"/>
    <w:rsid w:val="002363D2"/>
    <w:rsid w:val="002366B0"/>
    <w:rsid w:val="00236B36"/>
    <w:rsid w:val="00236C17"/>
    <w:rsid w:val="00237428"/>
    <w:rsid w:val="002374E0"/>
    <w:rsid w:val="00237C34"/>
    <w:rsid w:val="002400AB"/>
    <w:rsid w:val="002404A0"/>
    <w:rsid w:val="00240CC7"/>
    <w:rsid w:val="00240E92"/>
    <w:rsid w:val="00240EC8"/>
    <w:rsid w:val="00241073"/>
    <w:rsid w:val="002411CD"/>
    <w:rsid w:val="002417CA"/>
    <w:rsid w:val="002419D8"/>
    <w:rsid w:val="00241D2B"/>
    <w:rsid w:val="002425A2"/>
    <w:rsid w:val="0024261B"/>
    <w:rsid w:val="00242E62"/>
    <w:rsid w:val="00242F39"/>
    <w:rsid w:val="00243089"/>
    <w:rsid w:val="0024350B"/>
    <w:rsid w:val="0024377D"/>
    <w:rsid w:val="00243A80"/>
    <w:rsid w:val="00243BBC"/>
    <w:rsid w:val="00244339"/>
    <w:rsid w:val="0024444E"/>
    <w:rsid w:val="002444B4"/>
    <w:rsid w:val="002447A4"/>
    <w:rsid w:val="00244A9F"/>
    <w:rsid w:val="00244EE7"/>
    <w:rsid w:val="00245339"/>
    <w:rsid w:val="00245543"/>
    <w:rsid w:val="0024623C"/>
    <w:rsid w:val="0024662B"/>
    <w:rsid w:val="00246705"/>
    <w:rsid w:val="0024673B"/>
    <w:rsid w:val="00246D15"/>
    <w:rsid w:val="0024733A"/>
    <w:rsid w:val="0024754B"/>
    <w:rsid w:val="00247BA3"/>
    <w:rsid w:val="00247EB1"/>
    <w:rsid w:val="00247FCF"/>
    <w:rsid w:val="002503C8"/>
    <w:rsid w:val="00250483"/>
    <w:rsid w:val="002506BE"/>
    <w:rsid w:val="00251008"/>
    <w:rsid w:val="00251160"/>
    <w:rsid w:val="002513A1"/>
    <w:rsid w:val="00251470"/>
    <w:rsid w:val="0025153D"/>
    <w:rsid w:val="002516E0"/>
    <w:rsid w:val="0025171E"/>
    <w:rsid w:val="00251A0E"/>
    <w:rsid w:val="002523B2"/>
    <w:rsid w:val="00252424"/>
    <w:rsid w:val="00252548"/>
    <w:rsid w:val="0025291C"/>
    <w:rsid w:val="0025292C"/>
    <w:rsid w:val="00252A94"/>
    <w:rsid w:val="00252ABF"/>
    <w:rsid w:val="00252BC2"/>
    <w:rsid w:val="00252FBF"/>
    <w:rsid w:val="002537B5"/>
    <w:rsid w:val="0025397B"/>
    <w:rsid w:val="002539D7"/>
    <w:rsid w:val="00253A5D"/>
    <w:rsid w:val="002540DA"/>
    <w:rsid w:val="00254233"/>
    <w:rsid w:val="002548A7"/>
    <w:rsid w:val="00254B4F"/>
    <w:rsid w:val="00254E4E"/>
    <w:rsid w:val="002553D8"/>
    <w:rsid w:val="00255858"/>
    <w:rsid w:val="002559A9"/>
    <w:rsid w:val="00255AA5"/>
    <w:rsid w:val="00255ABE"/>
    <w:rsid w:val="00255C2A"/>
    <w:rsid w:val="00255C56"/>
    <w:rsid w:val="00255CDC"/>
    <w:rsid w:val="00256090"/>
    <w:rsid w:val="002564A9"/>
    <w:rsid w:val="0025667F"/>
    <w:rsid w:val="002566ED"/>
    <w:rsid w:val="00256806"/>
    <w:rsid w:val="00256DE8"/>
    <w:rsid w:val="00257371"/>
    <w:rsid w:val="002573DB"/>
    <w:rsid w:val="00257525"/>
    <w:rsid w:val="002578F6"/>
    <w:rsid w:val="00257AFB"/>
    <w:rsid w:val="00257B05"/>
    <w:rsid w:val="0026012E"/>
    <w:rsid w:val="002606E2"/>
    <w:rsid w:val="0026078E"/>
    <w:rsid w:val="002607CB"/>
    <w:rsid w:val="00260E62"/>
    <w:rsid w:val="0026112C"/>
    <w:rsid w:val="0026155B"/>
    <w:rsid w:val="0026165E"/>
    <w:rsid w:val="00261C51"/>
    <w:rsid w:val="00261E5D"/>
    <w:rsid w:val="002620BF"/>
    <w:rsid w:val="002620E0"/>
    <w:rsid w:val="00262200"/>
    <w:rsid w:val="00262939"/>
    <w:rsid w:val="00262D35"/>
    <w:rsid w:val="00262F07"/>
    <w:rsid w:val="0026348A"/>
    <w:rsid w:val="00263DCE"/>
    <w:rsid w:val="00263F7E"/>
    <w:rsid w:val="00264504"/>
    <w:rsid w:val="00264BE6"/>
    <w:rsid w:val="00265F9D"/>
    <w:rsid w:val="002661DC"/>
    <w:rsid w:val="0026665D"/>
    <w:rsid w:val="00266B01"/>
    <w:rsid w:val="00266FC4"/>
    <w:rsid w:val="00267972"/>
    <w:rsid w:val="00267AD0"/>
    <w:rsid w:val="00270362"/>
    <w:rsid w:val="00270AAC"/>
    <w:rsid w:val="00270C3A"/>
    <w:rsid w:val="00270DB5"/>
    <w:rsid w:val="00270DC1"/>
    <w:rsid w:val="00270E0A"/>
    <w:rsid w:val="0027102F"/>
    <w:rsid w:val="00271309"/>
    <w:rsid w:val="002715B8"/>
    <w:rsid w:val="00271C14"/>
    <w:rsid w:val="00271DE5"/>
    <w:rsid w:val="00271E43"/>
    <w:rsid w:val="00272273"/>
    <w:rsid w:val="00272485"/>
    <w:rsid w:val="002728B1"/>
    <w:rsid w:val="00273133"/>
    <w:rsid w:val="002731F4"/>
    <w:rsid w:val="002736A8"/>
    <w:rsid w:val="002736BC"/>
    <w:rsid w:val="00273775"/>
    <w:rsid w:val="002738C0"/>
    <w:rsid w:val="0027398C"/>
    <w:rsid w:val="002739D8"/>
    <w:rsid w:val="00273E3B"/>
    <w:rsid w:val="002740B6"/>
    <w:rsid w:val="002741C8"/>
    <w:rsid w:val="00274484"/>
    <w:rsid w:val="00274C3F"/>
    <w:rsid w:val="00274F0D"/>
    <w:rsid w:val="00274FEC"/>
    <w:rsid w:val="00275021"/>
    <w:rsid w:val="002754C1"/>
    <w:rsid w:val="00275FC0"/>
    <w:rsid w:val="00276356"/>
    <w:rsid w:val="00276441"/>
    <w:rsid w:val="00276603"/>
    <w:rsid w:val="00276C25"/>
    <w:rsid w:val="00276D10"/>
    <w:rsid w:val="00276DA1"/>
    <w:rsid w:val="00277038"/>
    <w:rsid w:val="0027762C"/>
    <w:rsid w:val="00277756"/>
    <w:rsid w:val="0027779F"/>
    <w:rsid w:val="00277B10"/>
    <w:rsid w:val="00277D26"/>
    <w:rsid w:val="00277D5C"/>
    <w:rsid w:val="0028029C"/>
    <w:rsid w:val="00280504"/>
    <w:rsid w:val="00280727"/>
    <w:rsid w:val="00280CA2"/>
    <w:rsid w:val="00280E86"/>
    <w:rsid w:val="00280FC5"/>
    <w:rsid w:val="00281336"/>
    <w:rsid w:val="0028188D"/>
    <w:rsid w:val="00281D11"/>
    <w:rsid w:val="00281E61"/>
    <w:rsid w:val="0028216C"/>
    <w:rsid w:val="00282181"/>
    <w:rsid w:val="002823DA"/>
    <w:rsid w:val="0028340B"/>
    <w:rsid w:val="00283581"/>
    <w:rsid w:val="00283A9A"/>
    <w:rsid w:val="00283F44"/>
    <w:rsid w:val="00283FF6"/>
    <w:rsid w:val="002840CE"/>
    <w:rsid w:val="00284510"/>
    <w:rsid w:val="00284DAE"/>
    <w:rsid w:val="0028555C"/>
    <w:rsid w:val="00285602"/>
    <w:rsid w:val="00285891"/>
    <w:rsid w:val="00285B66"/>
    <w:rsid w:val="00285D43"/>
    <w:rsid w:val="00285FC1"/>
    <w:rsid w:val="0028612B"/>
    <w:rsid w:val="00286519"/>
    <w:rsid w:val="00287244"/>
    <w:rsid w:val="002873E8"/>
    <w:rsid w:val="00287768"/>
    <w:rsid w:val="0029014E"/>
    <w:rsid w:val="00290732"/>
    <w:rsid w:val="002907A5"/>
    <w:rsid w:val="0029082D"/>
    <w:rsid w:val="00290AFF"/>
    <w:rsid w:val="00290BBA"/>
    <w:rsid w:val="00290EEE"/>
    <w:rsid w:val="00291166"/>
    <w:rsid w:val="0029155B"/>
    <w:rsid w:val="00291828"/>
    <w:rsid w:val="00291846"/>
    <w:rsid w:val="002920E6"/>
    <w:rsid w:val="0029219C"/>
    <w:rsid w:val="002923AF"/>
    <w:rsid w:val="00292886"/>
    <w:rsid w:val="00292A08"/>
    <w:rsid w:val="00292A72"/>
    <w:rsid w:val="00292CDB"/>
    <w:rsid w:val="00292CDC"/>
    <w:rsid w:val="00293675"/>
    <w:rsid w:val="0029379C"/>
    <w:rsid w:val="00293883"/>
    <w:rsid w:val="002939C0"/>
    <w:rsid w:val="00293F49"/>
    <w:rsid w:val="002942D4"/>
    <w:rsid w:val="00294912"/>
    <w:rsid w:val="00294EE7"/>
    <w:rsid w:val="00295195"/>
    <w:rsid w:val="00295E04"/>
    <w:rsid w:val="00295F40"/>
    <w:rsid w:val="00295FAC"/>
    <w:rsid w:val="002965B1"/>
    <w:rsid w:val="00296630"/>
    <w:rsid w:val="002966B2"/>
    <w:rsid w:val="00296776"/>
    <w:rsid w:val="00296816"/>
    <w:rsid w:val="0029688E"/>
    <w:rsid w:val="002978A7"/>
    <w:rsid w:val="002979B5"/>
    <w:rsid w:val="002A00C7"/>
    <w:rsid w:val="002A04A7"/>
    <w:rsid w:val="002A0B7A"/>
    <w:rsid w:val="002A0FAE"/>
    <w:rsid w:val="002A1068"/>
    <w:rsid w:val="002A1181"/>
    <w:rsid w:val="002A1C88"/>
    <w:rsid w:val="002A200B"/>
    <w:rsid w:val="002A2668"/>
    <w:rsid w:val="002A279C"/>
    <w:rsid w:val="002A28DE"/>
    <w:rsid w:val="002A2B5F"/>
    <w:rsid w:val="002A3649"/>
    <w:rsid w:val="002A4157"/>
    <w:rsid w:val="002A477B"/>
    <w:rsid w:val="002A4E96"/>
    <w:rsid w:val="002A4F74"/>
    <w:rsid w:val="002A50CE"/>
    <w:rsid w:val="002A5C27"/>
    <w:rsid w:val="002A5C97"/>
    <w:rsid w:val="002A652C"/>
    <w:rsid w:val="002A695D"/>
    <w:rsid w:val="002A6FB9"/>
    <w:rsid w:val="002A7CA8"/>
    <w:rsid w:val="002A7D8B"/>
    <w:rsid w:val="002B01B3"/>
    <w:rsid w:val="002B0533"/>
    <w:rsid w:val="002B09A5"/>
    <w:rsid w:val="002B1278"/>
    <w:rsid w:val="002B193F"/>
    <w:rsid w:val="002B1C82"/>
    <w:rsid w:val="002B1D85"/>
    <w:rsid w:val="002B2085"/>
    <w:rsid w:val="002B21D5"/>
    <w:rsid w:val="002B21E3"/>
    <w:rsid w:val="002B2458"/>
    <w:rsid w:val="002B2C8F"/>
    <w:rsid w:val="002B2E4A"/>
    <w:rsid w:val="002B2FF1"/>
    <w:rsid w:val="002B36F3"/>
    <w:rsid w:val="002B378F"/>
    <w:rsid w:val="002B392C"/>
    <w:rsid w:val="002B3958"/>
    <w:rsid w:val="002B3AC7"/>
    <w:rsid w:val="002B3D82"/>
    <w:rsid w:val="002B41D1"/>
    <w:rsid w:val="002B421E"/>
    <w:rsid w:val="002B4324"/>
    <w:rsid w:val="002B45CA"/>
    <w:rsid w:val="002B466F"/>
    <w:rsid w:val="002B4BD2"/>
    <w:rsid w:val="002B4F19"/>
    <w:rsid w:val="002B500F"/>
    <w:rsid w:val="002B5030"/>
    <w:rsid w:val="002B53B5"/>
    <w:rsid w:val="002B5602"/>
    <w:rsid w:val="002B6008"/>
    <w:rsid w:val="002B60C5"/>
    <w:rsid w:val="002B616F"/>
    <w:rsid w:val="002B61A9"/>
    <w:rsid w:val="002B6451"/>
    <w:rsid w:val="002B6B3A"/>
    <w:rsid w:val="002B6F4A"/>
    <w:rsid w:val="002B7035"/>
    <w:rsid w:val="002B721A"/>
    <w:rsid w:val="002B75BD"/>
    <w:rsid w:val="002BA896"/>
    <w:rsid w:val="002C0232"/>
    <w:rsid w:val="002C0326"/>
    <w:rsid w:val="002C0470"/>
    <w:rsid w:val="002C0476"/>
    <w:rsid w:val="002C0EB9"/>
    <w:rsid w:val="002C1280"/>
    <w:rsid w:val="002C1462"/>
    <w:rsid w:val="002C14D5"/>
    <w:rsid w:val="002C157E"/>
    <w:rsid w:val="002C1745"/>
    <w:rsid w:val="002C17CE"/>
    <w:rsid w:val="002C1C95"/>
    <w:rsid w:val="002C2014"/>
    <w:rsid w:val="002C221D"/>
    <w:rsid w:val="002C22E8"/>
    <w:rsid w:val="002C25BA"/>
    <w:rsid w:val="002C25DF"/>
    <w:rsid w:val="002C2B58"/>
    <w:rsid w:val="002C2DBC"/>
    <w:rsid w:val="002C2FBD"/>
    <w:rsid w:val="002C3130"/>
    <w:rsid w:val="002C337E"/>
    <w:rsid w:val="002C347F"/>
    <w:rsid w:val="002C3A24"/>
    <w:rsid w:val="002C3C4B"/>
    <w:rsid w:val="002C3DA4"/>
    <w:rsid w:val="002C3F81"/>
    <w:rsid w:val="002C4033"/>
    <w:rsid w:val="002C4192"/>
    <w:rsid w:val="002C447C"/>
    <w:rsid w:val="002C4559"/>
    <w:rsid w:val="002C457B"/>
    <w:rsid w:val="002C4587"/>
    <w:rsid w:val="002C4A33"/>
    <w:rsid w:val="002C4C74"/>
    <w:rsid w:val="002C4FFA"/>
    <w:rsid w:val="002C52FA"/>
    <w:rsid w:val="002C55D4"/>
    <w:rsid w:val="002C5708"/>
    <w:rsid w:val="002C5BDA"/>
    <w:rsid w:val="002C5F02"/>
    <w:rsid w:val="002C668B"/>
    <w:rsid w:val="002C66A8"/>
    <w:rsid w:val="002C68F2"/>
    <w:rsid w:val="002C6F5A"/>
    <w:rsid w:val="002C7094"/>
    <w:rsid w:val="002C71F2"/>
    <w:rsid w:val="002C7ADA"/>
    <w:rsid w:val="002C7B32"/>
    <w:rsid w:val="002C7F31"/>
    <w:rsid w:val="002D0024"/>
    <w:rsid w:val="002D0172"/>
    <w:rsid w:val="002D03D3"/>
    <w:rsid w:val="002D0533"/>
    <w:rsid w:val="002D06B1"/>
    <w:rsid w:val="002D0B0D"/>
    <w:rsid w:val="002D0B2A"/>
    <w:rsid w:val="002D0BDB"/>
    <w:rsid w:val="002D0C06"/>
    <w:rsid w:val="002D1DB1"/>
    <w:rsid w:val="002D210C"/>
    <w:rsid w:val="002D2182"/>
    <w:rsid w:val="002D2EB8"/>
    <w:rsid w:val="002D3547"/>
    <w:rsid w:val="002D364A"/>
    <w:rsid w:val="002D410F"/>
    <w:rsid w:val="002D4451"/>
    <w:rsid w:val="002D45ED"/>
    <w:rsid w:val="002D4722"/>
    <w:rsid w:val="002D4AA6"/>
    <w:rsid w:val="002D4AE6"/>
    <w:rsid w:val="002D5048"/>
    <w:rsid w:val="002D5098"/>
    <w:rsid w:val="002D5330"/>
    <w:rsid w:val="002D5827"/>
    <w:rsid w:val="002D5A04"/>
    <w:rsid w:val="002D5BCA"/>
    <w:rsid w:val="002D5C2D"/>
    <w:rsid w:val="002D5DEA"/>
    <w:rsid w:val="002D5F96"/>
    <w:rsid w:val="002D6576"/>
    <w:rsid w:val="002D663B"/>
    <w:rsid w:val="002D668A"/>
    <w:rsid w:val="002D78E0"/>
    <w:rsid w:val="002D7DDE"/>
    <w:rsid w:val="002D7F1D"/>
    <w:rsid w:val="002D7FE3"/>
    <w:rsid w:val="002E0088"/>
    <w:rsid w:val="002E0EFA"/>
    <w:rsid w:val="002E1684"/>
    <w:rsid w:val="002E1789"/>
    <w:rsid w:val="002E1F9E"/>
    <w:rsid w:val="002E213B"/>
    <w:rsid w:val="002E2345"/>
    <w:rsid w:val="002E2596"/>
    <w:rsid w:val="002E2713"/>
    <w:rsid w:val="002E276C"/>
    <w:rsid w:val="002E2B4E"/>
    <w:rsid w:val="002E2FB8"/>
    <w:rsid w:val="002E300A"/>
    <w:rsid w:val="002E3184"/>
    <w:rsid w:val="002E36B5"/>
    <w:rsid w:val="002E36C8"/>
    <w:rsid w:val="002E3772"/>
    <w:rsid w:val="002E394C"/>
    <w:rsid w:val="002E3B1B"/>
    <w:rsid w:val="002E3FD0"/>
    <w:rsid w:val="002E41FA"/>
    <w:rsid w:val="002E4246"/>
    <w:rsid w:val="002E44B8"/>
    <w:rsid w:val="002E4A99"/>
    <w:rsid w:val="002E4D26"/>
    <w:rsid w:val="002E4DEC"/>
    <w:rsid w:val="002E50D1"/>
    <w:rsid w:val="002E5119"/>
    <w:rsid w:val="002E51D6"/>
    <w:rsid w:val="002E52AC"/>
    <w:rsid w:val="002E53D9"/>
    <w:rsid w:val="002E544B"/>
    <w:rsid w:val="002E5E56"/>
    <w:rsid w:val="002E61E3"/>
    <w:rsid w:val="002E62EE"/>
    <w:rsid w:val="002E63E2"/>
    <w:rsid w:val="002E6581"/>
    <w:rsid w:val="002E658A"/>
    <w:rsid w:val="002E6AED"/>
    <w:rsid w:val="002E6AF2"/>
    <w:rsid w:val="002E6BC9"/>
    <w:rsid w:val="002E6CDE"/>
    <w:rsid w:val="002E6D14"/>
    <w:rsid w:val="002E6EFE"/>
    <w:rsid w:val="002E7332"/>
    <w:rsid w:val="002E73DA"/>
    <w:rsid w:val="002E762C"/>
    <w:rsid w:val="002E77AD"/>
    <w:rsid w:val="002E7893"/>
    <w:rsid w:val="002E7E9E"/>
    <w:rsid w:val="002F0A56"/>
    <w:rsid w:val="002F0C2B"/>
    <w:rsid w:val="002F0E8F"/>
    <w:rsid w:val="002F10A4"/>
    <w:rsid w:val="002F12A0"/>
    <w:rsid w:val="002F15D1"/>
    <w:rsid w:val="002F1854"/>
    <w:rsid w:val="002F1AB7"/>
    <w:rsid w:val="002F1D2C"/>
    <w:rsid w:val="002F22FA"/>
    <w:rsid w:val="002F2852"/>
    <w:rsid w:val="002F2971"/>
    <w:rsid w:val="002F2976"/>
    <w:rsid w:val="002F2C0A"/>
    <w:rsid w:val="002F2C65"/>
    <w:rsid w:val="002F2ED6"/>
    <w:rsid w:val="002F2F67"/>
    <w:rsid w:val="002F32B6"/>
    <w:rsid w:val="002F357A"/>
    <w:rsid w:val="002F3672"/>
    <w:rsid w:val="002F438F"/>
    <w:rsid w:val="002F44ED"/>
    <w:rsid w:val="002F45FB"/>
    <w:rsid w:val="002F471B"/>
    <w:rsid w:val="002F48EB"/>
    <w:rsid w:val="002F4950"/>
    <w:rsid w:val="002F4A4D"/>
    <w:rsid w:val="002F4ABB"/>
    <w:rsid w:val="002F4D4F"/>
    <w:rsid w:val="002F4D55"/>
    <w:rsid w:val="002F50FC"/>
    <w:rsid w:val="002F513A"/>
    <w:rsid w:val="002F537F"/>
    <w:rsid w:val="002F622D"/>
    <w:rsid w:val="002F64A2"/>
    <w:rsid w:val="002F66D6"/>
    <w:rsid w:val="002F695C"/>
    <w:rsid w:val="002F71DB"/>
    <w:rsid w:val="002F74B4"/>
    <w:rsid w:val="002F7598"/>
    <w:rsid w:val="002F7E90"/>
    <w:rsid w:val="0030017F"/>
    <w:rsid w:val="003003A4"/>
    <w:rsid w:val="00300417"/>
    <w:rsid w:val="003012B0"/>
    <w:rsid w:val="00301740"/>
    <w:rsid w:val="00301C72"/>
    <w:rsid w:val="00301DFA"/>
    <w:rsid w:val="00302AB1"/>
    <w:rsid w:val="0030303A"/>
    <w:rsid w:val="00303134"/>
    <w:rsid w:val="00303188"/>
    <w:rsid w:val="0030329D"/>
    <w:rsid w:val="003033C1"/>
    <w:rsid w:val="00303C60"/>
    <w:rsid w:val="00303D97"/>
    <w:rsid w:val="003044D0"/>
    <w:rsid w:val="003048D5"/>
    <w:rsid w:val="00304C08"/>
    <w:rsid w:val="00304E37"/>
    <w:rsid w:val="00304EC0"/>
    <w:rsid w:val="00304EED"/>
    <w:rsid w:val="00304FC9"/>
    <w:rsid w:val="003052EF"/>
    <w:rsid w:val="00305332"/>
    <w:rsid w:val="003053EA"/>
    <w:rsid w:val="003056B3"/>
    <w:rsid w:val="00305A0A"/>
    <w:rsid w:val="00305F41"/>
    <w:rsid w:val="0030604E"/>
    <w:rsid w:val="00306206"/>
    <w:rsid w:val="0030651E"/>
    <w:rsid w:val="003067D3"/>
    <w:rsid w:val="00306B61"/>
    <w:rsid w:val="00306C10"/>
    <w:rsid w:val="00306FF3"/>
    <w:rsid w:val="00307D80"/>
    <w:rsid w:val="00310091"/>
    <w:rsid w:val="003109CC"/>
    <w:rsid w:val="0031113E"/>
    <w:rsid w:val="00311316"/>
    <w:rsid w:val="0031263A"/>
    <w:rsid w:val="003129CC"/>
    <w:rsid w:val="00312AC0"/>
    <w:rsid w:val="00313034"/>
    <w:rsid w:val="003132DD"/>
    <w:rsid w:val="00313A24"/>
    <w:rsid w:val="00313B69"/>
    <w:rsid w:val="00313D5D"/>
    <w:rsid w:val="00314131"/>
    <w:rsid w:val="00314626"/>
    <w:rsid w:val="0031493B"/>
    <w:rsid w:val="003149D5"/>
    <w:rsid w:val="00314DE7"/>
    <w:rsid w:val="0031541E"/>
    <w:rsid w:val="0031557A"/>
    <w:rsid w:val="00316DCC"/>
    <w:rsid w:val="00316F33"/>
    <w:rsid w:val="003170C4"/>
    <w:rsid w:val="003173F3"/>
    <w:rsid w:val="00317986"/>
    <w:rsid w:val="00320160"/>
    <w:rsid w:val="0032057E"/>
    <w:rsid w:val="00320D34"/>
    <w:rsid w:val="00320F04"/>
    <w:rsid w:val="00320F7F"/>
    <w:rsid w:val="003216FE"/>
    <w:rsid w:val="00321B16"/>
    <w:rsid w:val="00321BAB"/>
    <w:rsid w:val="00321C33"/>
    <w:rsid w:val="00321CCC"/>
    <w:rsid w:val="0032208C"/>
    <w:rsid w:val="00322124"/>
    <w:rsid w:val="003222DA"/>
    <w:rsid w:val="003226D8"/>
    <w:rsid w:val="00322719"/>
    <w:rsid w:val="0032373A"/>
    <w:rsid w:val="00323779"/>
    <w:rsid w:val="00323812"/>
    <w:rsid w:val="00323AAA"/>
    <w:rsid w:val="00323EC5"/>
    <w:rsid w:val="0032418E"/>
    <w:rsid w:val="00324DE3"/>
    <w:rsid w:val="00325145"/>
    <w:rsid w:val="00325BF4"/>
    <w:rsid w:val="0032612D"/>
    <w:rsid w:val="003268E3"/>
    <w:rsid w:val="003272B7"/>
    <w:rsid w:val="00327394"/>
    <w:rsid w:val="00327778"/>
    <w:rsid w:val="00327DB0"/>
    <w:rsid w:val="00330097"/>
    <w:rsid w:val="003305B3"/>
    <w:rsid w:val="0033068D"/>
    <w:rsid w:val="00330B79"/>
    <w:rsid w:val="00331715"/>
    <w:rsid w:val="00331CB1"/>
    <w:rsid w:val="00331E52"/>
    <w:rsid w:val="00331E74"/>
    <w:rsid w:val="00331F70"/>
    <w:rsid w:val="003321EA"/>
    <w:rsid w:val="00332259"/>
    <w:rsid w:val="00332304"/>
    <w:rsid w:val="00332AD0"/>
    <w:rsid w:val="00332CEC"/>
    <w:rsid w:val="00332F0A"/>
    <w:rsid w:val="00333268"/>
    <w:rsid w:val="003332E9"/>
    <w:rsid w:val="003339E6"/>
    <w:rsid w:val="00333F3D"/>
    <w:rsid w:val="00334383"/>
    <w:rsid w:val="003344E1"/>
    <w:rsid w:val="00334818"/>
    <w:rsid w:val="003349B4"/>
    <w:rsid w:val="00334B79"/>
    <w:rsid w:val="0033527F"/>
    <w:rsid w:val="003353E6"/>
    <w:rsid w:val="00335C8A"/>
    <w:rsid w:val="00335F7B"/>
    <w:rsid w:val="00336166"/>
    <w:rsid w:val="00336188"/>
    <w:rsid w:val="003361A4"/>
    <w:rsid w:val="003364A9"/>
    <w:rsid w:val="00336B62"/>
    <w:rsid w:val="00336E53"/>
    <w:rsid w:val="00336EBF"/>
    <w:rsid w:val="00336F72"/>
    <w:rsid w:val="0033722A"/>
    <w:rsid w:val="00337629"/>
    <w:rsid w:val="00337F82"/>
    <w:rsid w:val="003400C8"/>
    <w:rsid w:val="003405C3"/>
    <w:rsid w:val="00340642"/>
    <w:rsid w:val="00340682"/>
    <w:rsid w:val="003407E4"/>
    <w:rsid w:val="003409EA"/>
    <w:rsid w:val="00340CFA"/>
    <w:rsid w:val="00340E8F"/>
    <w:rsid w:val="00340F9F"/>
    <w:rsid w:val="0034100D"/>
    <w:rsid w:val="00341163"/>
    <w:rsid w:val="003411FA"/>
    <w:rsid w:val="003412D9"/>
    <w:rsid w:val="003417CC"/>
    <w:rsid w:val="00341A8C"/>
    <w:rsid w:val="00341C0F"/>
    <w:rsid w:val="0034217A"/>
    <w:rsid w:val="0034228D"/>
    <w:rsid w:val="00342B53"/>
    <w:rsid w:val="00343993"/>
    <w:rsid w:val="003443B3"/>
    <w:rsid w:val="00344691"/>
    <w:rsid w:val="00344CDA"/>
    <w:rsid w:val="00344E5C"/>
    <w:rsid w:val="00344FC6"/>
    <w:rsid w:val="00345027"/>
    <w:rsid w:val="00345082"/>
    <w:rsid w:val="00345200"/>
    <w:rsid w:val="0034541D"/>
    <w:rsid w:val="00345689"/>
    <w:rsid w:val="0034577F"/>
    <w:rsid w:val="00345896"/>
    <w:rsid w:val="00345C1F"/>
    <w:rsid w:val="0034617E"/>
    <w:rsid w:val="0034653D"/>
    <w:rsid w:val="003469A7"/>
    <w:rsid w:val="00346A07"/>
    <w:rsid w:val="00346C63"/>
    <w:rsid w:val="003471A2"/>
    <w:rsid w:val="003473C4"/>
    <w:rsid w:val="003473CD"/>
    <w:rsid w:val="00347498"/>
    <w:rsid w:val="003474D7"/>
    <w:rsid w:val="003479C7"/>
    <w:rsid w:val="00350089"/>
    <w:rsid w:val="00350143"/>
    <w:rsid w:val="0035019C"/>
    <w:rsid w:val="00350249"/>
    <w:rsid w:val="003502AB"/>
    <w:rsid w:val="0035039C"/>
    <w:rsid w:val="0035053B"/>
    <w:rsid w:val="00350A30"/>
    <w:rsid w:val="00350C06"/>
    <w:rsid w:val="003510E3"/>
    <w:rsid w:val="00351364"/>
    <w:rsid w:val="00351440"/>
    <w:rsid w:val="00351841"/>
    <w:rsid w:val="003518DC"/>
    <w:rsid w:val="00351A9D"/>
    <w:rsid w:val="00351B8D"/>
    <w:rsid w:val="00351E21"/>
    <w:rsid w:val="003521BB"/>
    <w:rsid w:val="00352471"/>
    <w:rsid w:val="003525B4"/>
    <w:rsid w:val="00352C2F"/>
    <w:rsid w:val="00352E61"/>
    <w:rsid w:val="003530A3"/>
    <w:rsid w:val="00353389"/>
    <w:rsid w:val="00353B1C"/>
    <w:rsid w:val="00353BAD"/>
    <w:rsid w:val="00353F1F"/>
    <w:rsid w:val="00354403"/>
    <w:rsid w:val="00354664"/>
    <w:rsid w:val="003546DD"/>
    <w:rsid w:val="00354879"/>
    <w:rsid w:val="00354CF1"/>
    <w:rsid w:val="00354F0C"/>
    <w:rsid w:val="00355107"/>
    <w:rsid w:val="00355806"/>
    <w:rsid w:val="0035595A"/>
    <w:rsid w:val="00355AF3"/>
    <w:rsid w:val="0035610C"/>
    <w:rsid w:val="00356840"/>
    <w:rsid w:val="00356A51"/>
    <w:rsid w:val="00356C1A"/>
    <w:rsid w:val="00356E0E"/>
    <w:rsid w:val="00356EAB"/>
    <w:rsid w:val="00357622"/>
    <w:rsid w:val="0035784A"/>
    <w:rsid w:val="00357C1A"/>
    <w:rsid w:val="00357D7E"/>
    <w:rsid w:val="00360465"/>
    <w:rsid w:val="0036098F"/>
    <w:rsid w:val="0036099B"/>
    <w:rsid w:val="00360A11"/>
    <w:rsid w:val="00360A87"/>
    <w:rsid w:val="003610B8"/>
    <w:rsid w:val="003615E2"/>
    <w:rsid w:val="00361A60"/>
    <w:rsid w:val="003620C2"/>
    <w:rsid w:val="003621B5"/>
    <w:rsid w:val="00362378"/>
    <w:rsid w:val="00362A53"/>
    <w:rsid w:val="00362D6D"/>
    <w:rsid w:val="003632B8"/>
    <w:rsid w:val="00363C83"/>
    <w:rsid w:val="00363D7D"/>
    <w:rsid w:val="00363F5D"/>
    <w:rsid w:val="0036425F"/>
    <w:rsid w:val="0036468E"/>
    <w:rsid w:val="00364A67"/>
    <w:rsid w:val="00364EBF"/>
    <w:rsid w:val="00365C5A"/>
    <w:rsid w:val="00365F4B"/>
    <w:rsid w:val="003662C7"/>
    <w:rsid w:val="0036630D"/>
    <w:rsid w:val="003663E8"/>
    <w:rsid w:val="00366867"/>
    <w:rsid w:val="00366B5B"/>
    <w:rsid w:val="00366CEB"/>
    <w:rsid w:val="00366DA5"/>
    <w:rsid w:val="00366F31"/>
    <w:rsid w:val="00367035"/>
    <w:rsid w:val="0036740A"/>
    <w:rsid w:val="003675F3"/>
    <w:rsid w:val="00367644"/>
    <w:rsid w:val="00367AB1"/>
    <w:rsid w:val="00367F46"/>
    <w:rsid w:val="00371512"/>
    <w:rsid w:val="00371723"/>
    <w:rsid w:val="0037174D"/>
    <w:rsid w:val="003719C0"/>
    <w:rsid w:val="00371BD8"/>
    <w:rsid w:val="00371D57"/>
    <w:rsid w:val="00372913"/>
    <w:rsid w:val="003729DB"/>
    <w:rsid w:val="00372F52"/>
    <w:rsid w:val="0037303C"/>
    <w:rsid w:val="003730A3"/>
    <w:rsid w:val="003730E3"/>
    <w:rsid w:val="00373802"/>
    <w:rsid w:val="00373D3D"/>
    <w:rsid w:val="00373E72"/>
    <w:rsid w:val="00374451"/>
    <w:rsid w:val="0037477F"/>
    <w:rsid w:val="00374A75"/>
    <w:rsid w:val="00374B12"/>
    <w:rsid w:val="00374CF4"/>
    <w:rsid w:val="00374DD9"/>
    <w:rsid w:val="0037535C"/>
    <w:rsid w:val="00375852"/>
    <w:rsid w:val="00375A56"/>
    <w:rsid w:val="00375D8E"/>
    <w:rsid w:val="00376026"/>
    <w:rsid w:val="00376274"/>
    <w:rsid w:val="0037647D"/>
    <w:rsid w:val="00376770"/>
    <w:rsid w:val="00376CC7"/>
    <w:rsid w:val="00376FBE"/>
    <w:rsid w:val="0037717B"/>
    <w:rsid w:val="00377253"/>
    <w:rsid w:val="003772F9"/>
    <w:rsid w:val="003777DE"/>
    <w:rsid w:val="0037785B"/>
    <w:rsid w:val="00377C6D"/>
    <w:rsid w:val="00377FEE"/>
    <w:rsid w:val="003800DB"/>
    <w:rsid w:val="003800E0"/>
    <w:rsid w:val="0038059E"/>
    <w:rsid w:val="00380616"/>
    <w:rsid w:val="003806A5"/>
    <w:rsid w:val="00380E94"/>
    <w:rsid w:val="00380EAC"/>
    <w:rsid w:val="0038137D"/>
    <w:rsid w:val="00381539"/>
    <w:rsid w:val="003818B3"/>
    <w:rsid w:val="00382178"/>
    <w:rsid w:val="00382426"/>
    <w:rsid w:val="00382B30"/>
    <w:rsid w:val="00383106"/>
    <w:rsid w:val="00383117"/>
    <w:rsid w:val="003831BC"/>
    <w:rsid w:val="00383A8A"/>
    <w:rsid w:val="0038408F"/>
    <w:rsid w:val="00384551"/>
    <w:rsid w:val="00384A08"/>
    <w:rsid w:val="00384E10"/>
    <w:rsid w:val="00384F83"/>
    <w:rsid w:val="0038502D"/>
    <w:rsid w:val="003850F5"/>
    <w:rsid w:val="0038587F"/>
    <w:rsid w:val="00385D95"/>
    <w:rsid w:val="003862C5"/>
    <w:rsid w:val="00386375"/>
    <w:rsid w:val="003871CE"/>
    <w:rsid w:val="00387330"/>
    <w:rsid w:val="003876FF"/>
    <w:rsid w:val="00387B80"/>
    <w:rsid w:val="00387D1B"/>
    <w:rsid w:val="003900F4"/>
    <w:rsid w:val="00390165"/>
    <w:rsid w:val="003901FC"/>
    <w:rsid w:val="0039051D"/>
    <w:rsid w:val="0039069B"/>
    <w:rsid w:val="0039082B"/>
    <w:rsid w:val="00390917"/>
    <w:rsid w:val="00390973"/>
    <w:rsid w:val="00390C0E"/>
    <w:rsid w:val="00390D0D"/>
    <w:rsid w:val="00390F5E"/>
    <w:rsid w:val="00391050"/>
    <w:rsid w:val="0039165D"/>
    <w:rsid w:val="0039166A"/>
    <w:rsid w:val="00391806"/>
    <w:rsid w:val="003918AB"/>
    <w:rsid w:val="003918BD"/>
    <w:rsid w:val="00391AB9"/>
    <w:rsid w:val="0039203C"/>
    <w:rsid w:val="003922B5"/>
    <w:rsid w:val="003928BA"/>
    <w:rsid w:val="003928E1"/>
    <w:rsid w:val="00392DB5"/>
    <w:rsid w:val="0039310E"/>
    <w:rsid w:val="00393219"/>
    <w:rsid w:val="00393571"/>
    <w:rsid w:val="00393625"/>
    <w:rsid w:val="00393676"/>
    <w:rsid w:val="003937E1"/>
    <w:rsid w:val="00393CE6"/>
    <w:rsid w:val="00393E22"/>
    <w:rsid w:val="00393F14"/>
    <w:rsid w:val="00394266"/>
    <w:rsid w:val="0039444E"/>
    <w:rsid w:val="00394777"/>
    <w:rsid w:val="003947B3"/>
    <w:rsid w:val="003948AC"/>
    <w:rsid w:val="003949D1"/>
    <w:rsid w:val="00394A76"/>
    <w:rsid w:val="00394C47"/>
    <w:rsid w:val="003950F5"/>
    <w:rsid w:val="0039515E"/>
    <w:rsid w:val="00395F08"/>
    <w:rsid w:val="00396353"/>
    <w:rsid w:val="003966D9"/>
    <w:rsid w:val="003968BE"/>
    <w:rsid w:val="00396BD3"/>
    <w:rsid w:val="00396EC6"/>
    <w:rsid w:val="003977D4"/>
    <w:rsid w:val="00397A0F"/>
    <w:rsid w:val="003A08BE"/>
    <w:rsid w:val="003A0962"/>
    <w:rsid w:val="003A0BC7"/>
    <w:rsid w:val="003A1712"/>
    <w:rsid w:val="003A20C0"/>
    <w:rsid w:val="003A2CB5"/>
    <w:rsid w:val="003A3398"/>
    <w:rsid w:val="003A3656"/>
    <w:rsid w:val="003A3A6D"/>
    <w:rsid w:val="003A43FA"/>
    <w:rsid w:val="003A476F"/>
    <w:rsid w:val="003A49E9"/>
    <w:rsid w:val="003A4F0D"/>
    <w:rsid w:val="003A581D"/>
    <w:rsid w:val="003A6224"/>
    <w:rsid w:val="003A62D0"/>
    <w:rsid w:val="003A6425"/>
    <w:rsid w:val="003A66F5"/>
    <w:rsid w:val="003A6859"/>
    <w:rsid w:val="003A6CA3"/>
    <w:rsid w:val="003A7211"/>
    <w:rsid w:val="003A747A"/>
    <w:rsid w:val="003B0174"/>
    <w:rsid w:val="003B038F"/>
    <w:rsid w:val="003B06F5"/>
    <w:rsid w:val="003B0A13"/>
    <w:rsid w:val="003B0A5F"/>
    <w:rsid w:val="003B0D3E"/>
    <w:rsid w:val="003B1010"/>
    <w:rsid w:val="003B12F9"/>
    <w:rsid w:val="003B2A2F"/>
    <w:rsid w:val="003B2C1F"/>
    <w:rsid w:val="003B3175"/>
    <w:rsid w:val="003B3394"/>
    <w:rsid w:val="003B38F2"/>
    <w:rsid w:val="003B3C2F"/>
    <w:rsid w:val="003B3DDA"/>
    <w:rsid w:val="003B3E23"/>
    <w:rsid w:val="003B40B4"/>
    <w:rsid w:val="003B410F"/>
    <w:rsid w:val="003B435B"/>
    <w:rsid w:val="003B438E"/>
    <w:rsid w:val="003B59BE"/>
    <w:rsid w:val="003B5C38"/>
    <w:rsid w:val="003B6219"/>
    <w:rsid w:val="003B63B4"/>
    <w:rsid w:val="003B64A3"/>
    <w:rsid w:val="003B66F1"/>
    <w:rsid w:val="003B6CC7"/>
    <w:rsid w:val="003B6CCC"/>
    <w:rsid w:val="003B6F95"/>
    <w:rsid w:val="003B6FB6"/>
    <w:rsid w:val="003B6FFD"/>
    <w:rsid w:val="003B7035"/>
    <w:rsid w:val="003B72BE"/>
    <w:rsid w:val="003B7382"/>
    <w:rsid w:val="003B753F"/>
    <w:rsid w:val="003B7E61"/>
    <w:rsid w:val="003C0471"/>
    <w:rsid w:val="003C05BB"/>
    <w:rsid w:val="003C098E"/>
    <w:rsid w:val="003C09C2"/>
    <w:rsid w:val="003C0B99"/>
    <w:rsid w:val="003C0C51"/>
    <w:rsid w:val="003C1005"/>
    <w:rsid w:val="003C15BD"/>
    <w:rsid w:val="003C164D"/>
    <w:rsid w:val="003C1762"/>
    <w:rsid w:val="003C1956"/>
    <w:rsid w:val="003C1D22"/>
    <w:rsid w:val="003C1DBD"/>
    <w:rsid w:val="003C1E0E"/>
    <w:rsid w:val="003C1E63"/>
    <w:rsid w:val="003C20E2"/>
    <w:rsid w:val="003C22BD"/>
    <w:rsid w:val="003C2351"/>
    <w:rsid w:val="003C245A"/>
    <w:rsid w:val="003C262E"/>
    <w:rsid w:val="003C2A6D"/>
    <w:rsid w:val="003C2AD4"/>
    <w:rsid w:val="003C2EFD"/>
    <w:rsid w:val="003C2F9E"/>
    <w:rsid w:val="003C327F"/>
    <w:rsid w:val="003C389D"/>
    <w:rsid w:val="003C4BE4"/>
    <w:rsid w:val="003C4EC7"/>
    <w:rsid w:val="003C515E"/>
    <w:rsid w:val="003C5192"/>
    <w:rsid w:val="003C5243"/>
    <w:rsid w:val="003C5599"/>
    <w:rsid w:val="003C5DEB"/>
    <w:rsid w:val="003C61BB"/>
    <w:rsid w:val="003C630A"/>
    <w:rsid w:val="003C6ACC"/>
    <w:rsid w:val="003C6CEF"/>
    <w:rsid w:val="003C710F"/>
    <w:rsid w:val="003C73A1"/>
    <w:rsid w:val="003C73DF"/>
    <w:rsid w:val="003C7B58"/>
    <w:rsid w:val="003C7D5B"/>
    <w:rsid w:val="003D0075"/>
    <w:rsid w:val="003D08FC"/>
    <w:rsid w:val="003D0A66"/>
    <w:rsid w:val="003D1B0A"/>
    <w:rsid w:val="003D1B68"/>
    <w:rsid w:val="003D1B83"/>
    <w:rsid w:val="003D1E35"/>
    <w:rsid w:val="003D1E4B"/>
    <w:rsid w:val="003D235B"/>
    <w:rsid w:val="003D275B"/>
    <w:rsid w:val="003D281A"/>
    <w:rsid w:val="003D2A23"/>
    <w:rsid w:val="003D2C23"/>
    <w:rsid w:val="003D2EFB"/>
    <w:rsid w:val="003D3577"/>
    <w:rsid w:val="003D38C3"/>
    <w:rsid w:val="003D3AAD"/>
    <w:rsid w:val="003D3F00"/>
    <w:rsid w:val="003D409A"/>
    <w:rsid w:val="003D431A"/>
    <w:rsid w:val="003D444A"/>
    <w:rsid w:val="003D4556"/>
    <w:rsid w:val="003D458D"/>
    <w:rsid w:val="003D460A"/>
    <w:rsid w:val="003D4748"/>
    <w:rsid w:val="003D4D92"/>
    <w:rsid w:val="003D50E4"/>
    <w:rsid w:val="003D5607"/>
    <w:rsid w:val="003D61AC"/>
    <w:rsid w:val="003D6403"/>
    <w:rsid w:val="003D669D"/>
    <w:rsid w:val="003D6A7F"/>
    <w:rsid w:val="003D703B"/>
    <w:rsid w:val="003D732D"/>
    <w:rsid w:val="003E0114"/>
    <w:rsid w:val="003E0251"/>
    <w:rsid w:val="003E0488"/>
    <w:rsid w:val="003E048E"/>
    <w:rsid w:val="003E0680"/>
    <w:rsid w:val="003E069C"/>
    <w:rsid w:val="003E06DD"/>
    <w:rsid w:val="003E0877"/>
    <w:rsid w:val="003E0BD6"/>
    <w:rsid w:val="003E0DB8"/>
    <w:rsid w:val="003E13FF"/>
    <w:rsid w:val="003E17CB"/>
    <w:rsid w:val="003E1C47"/>
    <w:rsid w:val="003E20DC"/>
    <w:rsid w:val="003E235A"/>
    <w:rsid w:val="003E2716"/>
    <w:rsid w:val="003E2893"/>
    <w:rsid w:val="003E2959"/>
    <w:rsid w:val="003E2B95"/>
    <w:rsid w:val="003E2BF5"/>
    <w:rsid w:val="003E2C16"/>
    <w:rsid w:val="003E2C8F"/>
    <w:rsid w:val="003E302E"/>
    <w:rsid w:val="003E3151"/>
    <w:rsid w:val="003E3BE8"/>
    <w:rsid w:val="003E414A"/>
    <w:rsid w:val="003E43D1"/>
    <w:rsid w:val="003E4691"/>
    <w:rsid w:val="003E46AF"/>
    <w:rsid w:val="003E4C67"/>
    <w:rsid w:val="003E4C83"/>
    <w:rsid w:val="003E4E75"/>
    <w:rsid w:val="003E5FD6"/>
    <w:rsid w:val="003E6483"/>
    <w:rsid w:val="003E6A3E"/>
    <w:rsid w:val="003E7250"/>
    <w:rsid w:val="003F02C1"/>
    <w:rsid w:val="003F0770"/>
    <w:rsid w:val="003F0F6F"/>
    <w:rsid w:val="003F0F78"/>
    <w:rsid w:val="003F1185"/>
    <w:rsid w:val="003F1504"/>
    <w:rsid w:val="003F1A70"/>
    <w:rsid w:val="003F1D1C"/>
    <w:rsid w:val="003F20B3"/>
    <w:rsid w:val="003F2195"/>
    <w:rsid w:val="003F2788"/>
    <w:rsid w:val="003F2D8C"/>
    <w:rsid w:val="003F2FF5"/>
    <w:rsid w:val="003F30BD"/>
    <w:rsid w:val="003F3154"/>
    <w:rsid w:val="003F333F"/>
    <w:rsid w:val="003F3560"/>
    <w:rsid w:val="003F36A0"/>
    <w:rsid w:val="003F3AAC"/>
    <w:rsid w:val="003F3B94"/>
    <w:rsid w:val="003F3FA9"/>
    <w:rsid w:val="003F4074"/>
    <w:rsid w:val="003F41C3"/>
    <w:rsid w:val="003F42B9"/>
    <w:rsid w:val="003F42BF"/>
    <w:rsid w:val="003F445F"/>
    <w:rsid w:val="003F52C4"/>
    <w:rsid w:val="003F5623"/>
    <w:rsid w:val="003F607D"/>
    <w:rsid w:val="003F6653"/>
    <w:rsid w:val="003F6665"/>
    <w:rsid w:val="003F7066"/>
    <w:rsid w:val="003F75F5"/>
    <w:rsid w:val="003F79D9"/>
    <w:rsid w:val="003F7E31"/>
    <w:rsid w:val="00400500"/>
    <w:rsid w:val="00400836"/>
    <w:rsid w:val="00400910"/>
    <w:rsid w:val="0040104C"/>
    <w:rsid w:val="0040115D"/>
    <w:rsid w:val="00401418"/>
    <w:rsid w:val="00401489"/>
    <w:rsid w:val="00401535"/>
    <w:rsid w:val="004016F4"/>
    <w:rsid w:val="00401909"/>
    <w:rsid w:val="004025CD"/>
    <w:rsid w:val="00402669"/>
    <w:rsid w:val="0040270A"/>
    <w:rsid w:val="00402A12"/>
    <w:rsid w:val="00402B9E"/>
    <w:rsid w:val="00402C31"/>
    <w:rsid w:val="00402CB8"/>
    <w:rsid w:val="00402E36"/>
    <w:rsid w:val="00403014"/>
    <w:rsid w:val="00403209"/>
    <w:rsid w:val="0040325B"/>
    <w:rsid w:val="004034F2"/>
    <w:rsid w:val="00403524"/>
    <w:rsid w:val="00403B18"/>
    <w:rsid w:val="00403E0E"/>
    <w:rsid w:val="00404313"/>
    <w:rsid w:val="00404775"/>
    <w:rsid w:val="0040487A"/>
    <w:rsid w:val="004048DE"/>
    <w:rsid w:val="004052EA"/>
    <w:rsid w:val="0040542F"/>
    <w:rsid w:val="0040550F"/>
    <w:rsid w:val="0040554B"/>
    <w:rsid w:val="00405835"/>
    <w:rsid w:val="004059F9"/>
    <w:rsid w:val="00405B2E"/>
    <w:rsid w:val="00405E95"/>
    <w:rsid w:val="00407001"/>
    <w:rsid w:val="00407B4A"/>
    <w:rsid w:val="00407E41"/>
    <w:rsid w:val="0041003B"/>
    <w:rsid w:val="004101B0"/>
    <w:rsid w:val="00410371"/>
    <w:rsid w:val="00410435"/>
    <w:rsid w:val="00410992"/>
    <w:rsid w:val="00411033"/>
    <w:rsid w:val="00411647"/>
    <w:rsid w:val="00411B8C"/>
    <w:rsid w:val="00411D6E"/>
    <w:rsid w:val="0041243F"/>
    <w:rsid w:val="00413276"/>
    <w:rsid w:val="00413324"/>
    <w:rsid w:val="00413346"/>
    <w:rsid w:val="004136E5"/>
    <w:rsid w:val="00413885"/>
    <w:rsid w:val="00413886"/>
    <w:rsid w:val="00413BA8"/>
    <w:rsid w:val="00413D0C"/>
    <w:rsid w:val="00413FFF"/>
    <w:rsid w:val="0041444D"/>
    <w:rsid w:val="00414B0B"/>
    <w:rsid w:val="00415164"/>
    <w:rsid w:val="004152C3"/>
    <w:rsid w:val="004152CC"/>
    <w:rsid w:val="004154EE"/>
    <w:rsid w:val="00415866"/>
    <w:rsid w:val="00415BE5"/>
    <w:rsid w:val="00415D61"/>
    <w:rsid w:val="0041698F"/>
    <w:rsid w:val="00416A25"/>
    <w:rsid w:val="00416AC6"/>
    <w:rsid w:val="00416B13"/>
    <w:rsid w:val="004178E5"/>
    <w:rsid w:val="00417EB0"/>
    <w:rsid w:val="00417F4B"/>
    <w:rsid w:val="004200F2"/>
    <w:rsid w:val="00420311"/>
    <w:rsid w:val="004203DA"/>
    <w:rsid w:val="00420BEF"/>
    <w:rsid w:val="0042108D"/>
    <w:rsid w:val="00421883"/>
    <w:rsid w:val="00421E1F"/>
    <w:rsid w:val="0042202D"/>
    <w:rsid w:val="004221F0"/>
    <w:rsid w:val="004222C3"/>
    <w:rsid w:val="00422743"/>
    <w:rsid w:val="004227E5"/>
    <w:rsid w:val="004229C6"/>
    <w:rsid w:val="004230B2"/>
    <w:rsid w:val="00423936"/>
    <w:rsid w:val="00423C6A"/>
    <w:rsid w:val="0042427A"/>
    <w:rsid w:val="00424366"/>
    <w:rsid w:val="00424746"/>
    <w:rsid w:val="00424847"/>
    <w:rsid w:val="00424D86"/>
    <w:rsid w:val="00425798"/>
    <w:rsid w:val="004257B1"/>
    <w:rsid w:val="00425828"/>
    <w:rsid w:val="00425AC6"/>
    <w:rsid w:val="00426A93"/>
    <w:rsid w:val="00426AE3"/>
    <w:rsid w:val="00426DB2"/>
    <w:rsid w:val="00426DBE"/>
    <w:rsid w:val="00426E5F"/>
    <w:rsid w:val="0042726B"/>
    <w:rsid w:val="00427AC7"/>
    <w:rsid w:val="00430565"/>
    <w:rsid w:val="004306A4"/>
    <w:rsid w:val="004308A9"/>
    <w:rsid w:val="00430967"/>
    <w:rsid w:val="0043138D"/>
    <w:rsid w:val="004313D4"/>
    <w:rsid w:val="0043164E"/>
    <w:rsid w:val="004316BC"/>
    <w:rsid w:val="00431AE1"/>
    <w:rsid w:val="00431B4F"/>
    <w:rsid w:val="00431CAE"/>
    <w:rsid w:val="00431D3D"/>
    <w:rsid w:val="0043216E"/>
    <w:rsid w:val="00432B74"/>
    <w:rsid w:val="00433150"/>
    <w:rsid w:val="0043392B"/>
    <w:rsid w:val="00433B3E"/>
    <w:rsid w:val="00434BE9"/>
    <w:rsid w:val="00434D1D"/>
    <w:rsid w:val="004350E3"/>
    <w:rsid w:val="004351BB"/>
    <w:rsid w:val="004353BC"/>
    <w:rsid w:val="00435C0C"/>
    <w:rsid w:val="004360AD"/>
    <w:rsid w:val="00436DDD"/>
    <w:rsid w:val="00436DE5"/>
    <w:rsid w:val="004372EE"/>
    <w:rsid w:val="00437361"/>
    <w:rsid w:val="00437468"/>
    <w:rsid w:val="00437598"/>
    <w:rsid w:val="00437C8E"/>
    <w:rsid w:val="00437D06"/>
    <w:rsid w:val="004407F1"/>
    <w:rsid w:val="00440ECD"/>
    <w:rsid w:val="004411D3"/>
    <w:rsid w:val="00441236"/>
    <w:rsid w:val="00441519"/>
    <w:rsid w:val="00441C38"/>
    <w:rsid w:val="00441F99"/>
    <w:rsid w:val="00442B4F"/>
    <w:rsid w:val="00443045"/>
    <w:rsid w:val="00443310"/>
    <w:rsid w:val="004436CC"/>
    <w:rsid w:val="00443BB7"/>
    <w:rsid w:val="00444602"/>
    <w:rsid w:val="00444896"/>
    <w:rsid w:val="0044493D"/>
    <w:rsid w:val="00444A12"/>
    <w:rsid w:val="00445345"/>
    <w:rsid w:val="00445821"/>
    <w:rsid w:val="00445960"/>
    <w:rsid w:val="00445E74"/>
    <w:rsid w:val="00445FBF"/>
    <w:rsid w:val="004464CF"/>
    <w:rsid w:val="00446D5B"/>
    <w:rsid w:val="00446DE3"/>
    <w:rsid w:val="00447191"/>
    <w:rsid w:val="00447350"/>
    <w:rsid w:val="00447505"/>
    <w:rsid w:val="00447C29"/>
    <w:rsid w:val="004500FD"/>
    <w:rsid w:val="00450108"/>
    <w:rsid w:val="0045070E"/>
    <w:rsid w:val="004510ED"/>
    <w:rsid w:val="004511AD"/>
    <w:rsid w:val="004513E7"/>
    <w:rsid w:val="004516A9"/>
    <w:rsid w:val="0045181A"/>
    <w:rsid w:val="00451A78"/>
    <w:rsid w:val="00451AAF"/>
    <w:rsid w:val="00451AC3"/>
    <w:rsid w:val="00451F97"/>
    <w:rsid w:val="0045210C"/>
    <w:rsid w:val="0045251B"/>
    <w:rsid w:val="00452558"/>
    <w:rsid w:val="0045320B"/>
    <w:rsid w:val="00453A29"/>
    <w:rsid w:val="00453BB5"/>
    <w:rsid w:val="00453E3D"/>
    <w:rsid w:val="00454217"/>
    <w:rsid w:val="0045441D"/>
    <w:rsid w:val="00454B4E"/>
    <w:rsid w:val="00454BCC"/>
    <w:rsid w:val="0045504B"/>
    <w:rsid w:val="00455AD3"/>
    <w:rsid w:val="00455C44"/>
    <w:rsid w:val="00455F49"/>
    <w:rsid w:val="00456069"/>
    <w:rsid w:val="004562AE"/>
    <w:rsid w:val="0045660B"/>
    <w:rsid w:val="0045672C"/>
    <w:rsid w:val="00456757"/>
    <w:rsid w:val="004571EA"/>
    <w:rsid w:val="004574AA"/>
    <w:rsid w:val="00457886"/>
    <w:rsid w:val="00457896"/>
    <w:rsid w:val="004579AE"/>
    <w:rsid w:val="00457A89"/>
    <w:rsid w:val="00457AFB"/>
    <w:rsid w:val="00457D78"/>
    <w:rsid w:val="0046019D"/>
    <w:rsid w:val="0046048C"/>
    <w:rsid w:val="004605CE"/>
    <w:rsid w:val="004608AC"/>
    <w:rsid w:val="00460A4B"/>
    <w:rsid w:val="00460A98"/>
    <w:rsid w:val="00460ACD"/>
    <w:rsid w:val="004610B9"/>
    <w:rsid w:val="00461B51"/>
    <w:rsid w:val="00461BA5"/>
    <w:rsid w:val="004626E9"/>
    <w:rsid w:val="004627E8"/>
    <w:rsid w:val="00462838"/>
    <w:rsid w:val="00462856"/>
    <w:rsid w:val="00463021"/>
    <w:rsid w:val="00464B73"/>
    <w:rsid w:val="00465F4B"/>
    <w:rsid w:val="0046662B"/>
    <w:rsid w:val="00466892"/>
    <w:rsid w:val="004668C6"/>
    <w:rsid w:val="00466B1C"/>
    <w:rsid w:val="00466B35"/>
    <w:rsid w:val="00466CBF"/>
    <w:rsid w:val="00466FA7"/>
    <w:rsid w:val="004678CD"/>
    <w:rsid w:val="00467E3D"/>
    <w:rsid w:val="00467F25"/>
    <w:rsid w:val="00470015"/>
    <w:rsid w:val="00470372"/>
    <w:rsid w:val="00470544"/>
    <w:rsid w:val="00470C95"/>
    <w:rsid w:val="00470CCB"/>
    <w:rsid w:val="004713CB"/>
    <w:rsid w:val="00471873"/>
    <w:rsid w:val="0047215A"/>
    <w:rsid w:val="004721A4"/>
    <w:rsid w:val="0047220D"/>
    <w:rsid w:val="00472325"/>
    <w:rsid w:val="00472739"/>
    <w:rsid w:val="00472A1D"/>
    <w:rsid w:val="0047317D"/>
    <w:rsid w:val="00473341"/>
    <w:rsid w:val="00473406"/>
    <w:rsid w:val="004734D7"/>
    <w:rsid w:val="004735AF"/>
    <w:rsid w:val="0047375E"/>
    <w:rsid w:val="00473A53"/>
    <w:rsid w:val="0047400D"/>
    <w:rsid w:val="0047404E"/>
    <w:rsid w:val="00474550"/>
    <w:rsid w:val="004745E1"/>
    <w:rsid w:val="00474979"/>
    <w:rsid w:val="00474987"/>
    <w:rsid w:val="00474D25"/>
    <w:rsid w:val="00474E4C"/>
    <w:rsid w:val="00474F7B"/>
    <w:rsid w:val="00475232"/>
    <w:rsid w:val="00475792"/>
    <w:rsid w:val="00475A5E"/>
    <w:rsid w:val="00475DC5"/>
    <w:rsid w:val="00475FD9"/>
    <w:rsid w:val="00476278"/>
    <w:rsid w:val="00476992"/>
    <w:rsid w:val="00476A9E"/>
    <w:rsid w:val="004770E8"/>
    <w:rsid w:val="00477AA2"/>
    <w:rsid w:val="00477B20"/>
    <w:rsid w:val="00480022"/>
    <w:rsid w:val="004808A6"/>
    <w:rsid w:val="00481402"/>
    <w:rsid w:val="004819C4"/>
    <w:rsid w:val="00481ADB"/>
    <w:rsid w:val="00481F65"/>
    <w:rsid w:val="00482023"/>
    <w:rsid w:val="0048233D"/>
    <w:rsid w:val="0048279E"/>
    <w:rsid w:val="0048333B"/>
    <w:rsid w:val="0048344C"/>
    <w:rsid w:val="004834D4"/>
    <w:rsid w:val="00483791"/>
    <w:rsid w:val="00483ED4"/>
    <w:rsid w:val="00484064"/>
    <w:rsid w:val="004846CC"/>
    <w:rsid w:val="00484B2C"/>
    <w:rsid w:val="00484D5C"/>
    <w:rsid w:val="00484D78"/>
    <w:rsid w:val="00484DE5"/>
    <w:rsid w:val="00486132"/>
    <w:rsid w:val="00486833"/>
    <w:rsid w:val="00486B75"/>
    <w:rsid w:val="00486F3D"/>
    <w:rsid w:val="00487C56"/>
    <w:rsid w:val="004903B8"/>
    <w:rsid w:val="004905E8"/>
    <w:rsid w:val="00490721"/>
    <w:rsid w:val="00490E0C"/>
    <w:rsid w:val="00490E97"/>
    <w:rsid w:val="00490F74"/>
    <w:rsid w:val="0049101A"/>
    <w:rsid w:val="00491CC5"/>
    <w:rsid w:val="00491F3F"/>
    <w:rsid w:val="00491F71"/>
    <w:rsid w:val="004920C4"/>
    <w:rsid w:val="00492322"/>
    <w:rsid w:val="0049257F"/>
    <w:rsid w:val="004925C2"/>
    <w:rsid w:val="00492856"/>
    <w:rsid w:val="00492BB6"/>
    <w:rsid w:val="0049328D"/>
    <w:rsid w:val="00493736"/>
    <w:rsid w:val="00493E8B"/>
    <w:rsid w:val="00493F80"/>
    <w:rsid w:val="004945B3"/>
    <w:rsid w:val="004947D0"/>
    <w:rsid w:val="00495816"/>
    <w:rsid w:val="00495844"/>
    <w:rsid w:val="00495B48"/>
    <w:rsid w:val="00495CA9"/>
    <w:rsid w:val="00495D64"/>
    <w:rsid w:val="00496714"/>
    <w:rsid w:val="00496CDB"/>
    <w:rsid w:val="004973E0"/>
    <w:rsid w:val="004974BF"/>
    <w:rsid w:val="0049759E"/>
    <w:rsid w:val="0049764A"/>
    <w:rsid w:val="004977A0"/>
    <w:rsid w:val="004978C2"/>
    <w:rsid w:val="00497991"/>
    <w:rsid w:val="00497D28"/>
    <w:rsid w:val="004A0874"/>
    <w:rsid w:val="004A0CA2"/>
    <w:rsid w:val="004A185C"/>
    <w:rsid w:val="004A2135"/>
    <w:rsid w:val="004A213A"/>
    <w:rsid w:val="004A24D5"/>
    <w:rsid w:val="004A2910"/>
    <w:rsid w:val="004A33C0"/>
    <w:rsid w:val="004A4EB0"/>
    <w:rsid w:val="004A4F06"/>
    <w:rsid w:val="004A4F52"/>
    <w:rsid w:val="004A5AB5"/>
    <w:rsid w:val="004A5C5F"/>
    <w:rsid w:val="004A617E"/>
    <w:rsid w:val="004A65E4"/>
    <w:rsid w:val="004A673E"/>
    <w:rsid w:val="004A690A"/>
    <w:rsid w:val="004A691E"/>
    <w:rsid w:val="004A6ED2"/>
    <w:rsid w:val="004A7085"/>
    <w:rsid w:val="004A7A39"/>
    <w:rsid w:val="004A7EE8"/>
    <w:rsid w:val="004B0361"/>
    <w:rsid w:val="004B04AE"/>
    <w:rsid w:val="004B05EE"/>
    <w:rsid w:val="004B0729"/>
    <w:rsid w:val="004B0B09"/>
    <w:rsid w:val="004B1F18"/>
    <w:rsid w:val="004B27B2"/>
    <w:rsid w:val="004B2E3E"/>
    <w:rsid w:val="004B38E0"/>
    <w:rsid w:val="004B3B62"/>
    <w:rsid w:val="004B44A7"/>
    <w:rsid w:val="004B4529"/>
    <w:rsid w:val="004B4841"/>
    <w:rsid w:val="004B4959"/>
    <w:rsid w:val="004B4B15"/>
    <w:rsid w:val="004B4E75"/>
    <w:rsid w:val="004B4F8D"/>
    <w:rsid w:val="004B5067"/>
    <w:rsid w:val="004B5212"/>
    <w:rsid w:val="004B59E9"/>
    <w:rsid w:val="004B6854"/>
    <w:rsid w:val="004B6919"/>
    <w:rsid w:val="004B7178"/>
    <w:rsid w:val="004B7325"/>
    <w:rsid w:val="004B73C0"/>
    <w:rsid w:val="004B75D6"/>
    <w:rsid w:val="004B7989"/>
    <w:rsid w:val="004B7D3F"/>
    <w:rsid w:val="004B7D4C"/>
    <w:rsid w:val="004B7DE3"/>
    <w:rsid w:val="004B7F92"/>
    <w:rsid w:val="004C0203"/>
    <w:rsid w:val="004C0488"/>
    <w:rsid w:val="004C074B"/>
    <w:rsid w:val="004C077D"/>
    <w:rsid w:val="004C07F4"/>
    <w:rsid w:val="004C093F"/>
    <w:rsid w:val="004C102C"/>
    <w:rsid w:val="004C15F3"/>
    <w:rsid w:val="004C17CF"/>
    <w:rsid w:val="004C1838"/>
    <w:rsid w:val="004C1A23"/>
    <w:rsid w:val="004C1F06"/>
    <w:rsid w:val="004C2112"/>
    <w:rsid w:val="004C2159"/>
    <w:rsid w:val="004C2463"/>
    <w:rsid w:val="004C2970"/>
    <w:rsid w:val="004C2B49"/>
    <w:rsid w:val="004C2C76"/>
    <w:rsid w:val="004C3184"/>
    <w:rsid w:val="004C3420"/>
    <w:rsid w:val="004C34AF"/>
    <w:rsid w:val="004C35EB"/>
    <w:rsid w:val="004C3653"/>
    <w:rsid w:val="004C3A6D"/>
    <w:rsid w:val="004C3EEE"/>
    <w:rsid w:val="004C440B"/>
    <w:rsid w:val="004C4529"/>
    <w:rsid w:val="004C4695"/>
    <w:rsid w:val="004C4B45"/>
    <w:rsid w:val="004C4E87"/>
    <w:rsid w:val="004C5065"/>
    <w:rsid w:val="004C513D"/>
    <w:rsid w:val="004C54DF"/>
    <w:rsid w:val="004C5955"/>
    <w:rsid w:val="004C5DA6"/>
    <w:rsid w:val="004C5EC0"/>
    <w:rsid w:val="004C5F1C"/>
    <w:rsid w:val="004C62B9"/>
    <w:rsid w:val="004C6335"/>
    <w:rsid w:val="004C6345"/>
    <w:rsid w:val="004C634D"/>
    <w:rsid w:val="004C64C6"/>
    <w:rsid w:val="004C673C"/>
    <w:rsid w:val="004C6A32"/>
    <w:rsid w:val="004C6AB7"/>
    <w:rsid w:val="004D00C5"/>
    <w:rsid w:val="004D0FF8"/>
    <w:rsid w:val="004D13CD"/>
    <w:rsid w:val="004D16D8"/>
    <w:rsid w:val="004D1742"/>
    <w:rsid w:val="004D17CF"/>
    <w:rsid w:val="004D17DE"/>
    <w:rsid w:val="004D184B"/>
    <w:rsid w:val="004D198E"/>
    <w:rsid w:val="004D26B6"/>
    <w:rsid w:val="004D26C4"/>
    <w:rsid w:val="004D27FD"/>
    <w:rsid w:val="004D2C5D"/>
    <w:rsid w:val="004D30A9"/>
    <w:rsid w:val="004D3772"/>
    <w:rsid w:val="004D38FC"/>
    <w:rsid w:val="004D42C0"/>
    <w:rsid w:val="004D4855"/>
    <w:rsid w:val="004D4934"/>
    <w:rsid w:val="004D4999"/>
    <w:rsid w:val="004D4CBF"/>
    <w:rsid w:val="004D52C2"/>
    <w:rsid w:val="004D61F7"/>
    <w:rsid w:val="004D69ED"/>
    <w:rsid w:val="004D6BA2"/>
    <w:rsid w:val="004D6EA6"/>
    <w:rsid w:val="004D799B"/>
    <w:rsid w:val="004E070C"/>
    <w:rsid w:val="004E070D"/>
    <w:rsid w:val="004E0898"/>
    <w:rsid w:val="004E08AB"/>
    <w:rsid w:val="004E094C"/>
    <w:rsid w:val="004E0BE4"/>
    <w:rsid w:val="004E120A"/>
    <w:rsid w:val="004E1553"/>
    <w:rsid w:val="004E17F6"/>
    <w:rsid w:val="004E1855"/>
    <w:rsid w:val="004E19B8"/>
    <w:rsid w:val="004E1B50"/>
    <w:rsid w:val="004E1F82"/>
    <w:rsid w:val="004E2016"/>
    <w:rsid w:val="004E226E"/>
    <w:rsid w:val="004E2945"/>
    <w:rsid w:val="004E299C"/>
    <w:rsid w:val="004E30A1"/>
    <w:rsid w:val="004E342B"/>
    <w:rsid w:val="004E3BDB"/>
    <w:rsid w:val="004E3FFE"/>
    <w:rsid w:val="004E4050"/>
    <w:rsid w:val="004E42AC"/>
    <w:rsid w:val="004E430B"/>
    <w:rsid w:val="004E47A1"/>
    <w:rsid w:val="004E495F"/>
    <w:rsid w:val="004E4A38"/>
    <w:rsid w:val="004E4AC0"/>
    <w:rsid w:val="004E5A1E"/>
    <w:rsid w:val="004E5B8A"/>
    <w:rsid w:val="004E6F38"/>
    <w:rsid w:val="004E713B"/>
    <w:rsid w:val="004E7348"/>
    <w:rsid w:val="004E73C0"/>
    <w:rsid w:val="004E793A"/>
    <w:rsid w:val="004F0588"/>
    <w:rsid w:val="004F08B9"/>
    <w:rsid w:val="004F0E62"/>
    <w:rsid w:val="004F1254"/>
    <w:rsid w:val="004F1297"/>
    <w:rsid w:val="004F1434"/>
    <w:rsid w:val="004F151C"/>
    <w:rsid w:val="004F1737"/>
    <w:rsid w:val="004F1A94"/>
    <w:rsid w:val="004F2185"/>
    <w:rsid w:val="004F2396"/>
    <w:rsid w:val="004F2421"/>
    <w:rsid w:val="004F250D"/>
    <w:rsid w:val="004F2907"/>
    <w:rsid w:val="004F2E5B"/>
    <w:rsid w:val="004F36C1"/>
    <w:rsid w:val="004F3A79"/>
    <w:rsid w:val="004F3C30"/>
    <w:rsid w:val="004F40FE"/>
    <w:rsid w:val="004F41B9"/>
    <w:rsid w:val="004F41DC"/>
    <w:rsid w:val="004F4526"/>
    <w:rsid w:val="004F467C"/>
    <w:rsid w:val="004F5311"/>
    <w:rsid w:val="004F53D2"/>
    <w:rsid w:val="004F5757"/>
    <w:rsid w:val="004F5813"/>
    <w:rsid w:val="004F5B31"/>
    <w:rsid w:val="004F5BE8"/>
    <w:rsid w:val="004F5F1C"/>
    <w:rsid w:val="004F6506"/>
    <w:rsid w:val="004F6EC3"/>
    <w:rsid w:val="00500060"/>
    <w:rsid w:val="005002D4"/>
    <w:rsid w:val="0050065E"/>
    <w:rsid w:val="00500A8A"/>
    <w:rsid w:val="00500B5E"/>
    <w:rsid w:val="00501111"/>
    <w:rsid w:val="00501A4B"/>
    <w:rsid w:val="00501B89"/>
    <w:rsid w:val="00501BA8"/>
    <w:rsid w:val="00501E38"/>
    <w:rsid w:val="00501EF0"/>
    <w:rsid w:val="00502485"/>
    <w:rsid w:val="00502C03"/>
    <w:rsid w:val="00502FA2"/>
    <w:rsid w:val="00502FCE"/>
    <w:rsid w:val="0050321B"/>
    <w:rsid w:val="0050337F"/>
    <w:rsid w:val="00503401"/>
    <w:rsid w:val="00503636"/>
    <w:rsid w:val="005039A2"/>
    <w:rsid w:val="00503AAE"/>
    <w:rsid w:val="005047A6"/>
    <w:rsid w:val="005049CF"/>
    <w:rsid w:val="00504B18"/>
    <w:rsid w:val="005052A2"/>
    <w:rsid w:val="005052C2"/>
    <w:rsid w:val="0050544D"/>
    <w:rsid w:val="005055EB"/>
    <w:rsid w:val="005068FD"/>
    <w:rsid w:val="00506A6F"/>
    <w:rsid w:val="00506CC1"/>
    <w:rsid w:val="005077A4"/>
    <w:rsid w:val="005077B9"/>
    <w:rsid w:val="00507C77"/>
    <w:rsid w:val="00510680"/>
    <w:rsid w:val="005113C8"/>
    <w:rsid w:val="005114D8"/>
    <w:rsid w:val="00511699"/>
    <w:rsid w:val="00511B58"/>
    <w:rsid w:val="00511E99"/>
    <w:rsid w:val="005123E2"/>
    <w:rsid w:val="00512E0A"/>
    <w:rsid w:val="0051323C"/>
    <w:rsid w:val="0051329C"/>
    <w:rsid w:val="005134A1"/>
    <w:rsid w:val="005136AB"/>
    <w:rsid w:val="005138FF"/>
    <w:rsid w:val="00513C8C"/>
    <w:rsid w:val="005144B6"/>
    <w:rsid w:val="0051455C"/>
    <w:rsid w:val="005146D0"/>
    <w:rsid w:val="00514A34"/>
    <w:rsid w:val="00514D72"/>
    <w:rsid w:val="0051504E"/>
    <w:rsid w:val="00515233"/>
    <w:rsid w:val="00515252"/>
    <w:rsid w:val="005152E0"/>
    <w:rsid w:val="005154A8"/>
    <w:rsid w:val="005157B8"/>
    <w:rsid w:val="00515C0B"/>
    <w:rsid w:val="00515E40"/>
    <w:rsid w:val="00516133"/>
    <w:rsid w:val="005164DE"/>
    <w:rsid w:val="005165F9"/>
    <w:rsid w:val="0051666F"/>
    <w:rsid w:val="00516EA8"/>
    <w:rsid w:val="00516FFF"/>
    <w:rsid w:val="005172CF"/>
    <w:rsid w:val="00517B8B"/>
    <w:rsid w:val="00517D32"/>
    <w:rsid w:val="00520236"/>
    <w:rsid w:val="00520727"/>
    <w:rsid w:val="00520809"/>
    <w:rsid w:val="00520929"/>
    <w:rsid w:val="00520CDB"/>
    <w:rsid w:val="00520F0C"/>
    <w:rsid w:val="0052109C"/>
    <w:rsid w:val="0052119C"/>
    <w:rsid w:val="00521428"/>
    <w:rsid w:val="0052143D"/>
    <w:rsid w:val="005217FA"/>
    <w:rsid w:val="00521C52"/>
    <w:rsid w:val="00521E1A"/>
    <w:rsid w:val="00521F7F"/>
    <w:rsid w:val="00522224"/>
    <w:rsid w:val="005228F7"/>
    <w:rsid w:val="00522A0A"/>
    <w:rsid w:val="00522B71"/>
    <w:rsid w:val="00522D8C"/>
    <w:rsid w:val="005231AB"/>
    <w:rsid w:val="00523243"/>
    <w:rsid w:val="0052324E"/>
    <w:rsid w:val="00523296"/>
    <w:rsid w:val="0052376B"/>
    <w:rsid w:val="00523864"/>
    <w:rsid w:val="00523AF7"/>
    <w:rsid w:val="00523EBB"/>
    <w:rsid w:val="005241E0"/>
    <w:rsid w:val="005242D1"/>
    <w:rsid w:val="00524622"/>
    <w:rsid w:val="00524B16"/>
    <w:rsid w:val="00524C9B"/>
    <w:rsid w:val="00525110"/>
    <w:rsid w:val="005251CF"/>
    <w:rsid w:val="005254FD"/>
    <w:rsid w:val="005256F0"/>
    <w:rsid w:val="00525928"/>
    <w:rsid w:val="005259B6"/>
    <w:rsid w:val="00525A47"/>
    <w:rsid w:val="00525E0E"/>
    <w:rsid w:val="005264E0"/>
    <w:rsid w:val="00526BA1"/>
    <w:rsid w:val="00526D52"/>
    <w:rsid w:val="0052700F"/>
    <w:rsid w:val="005272C0"/>
    <w:rsid w:val="00527357"/>
    <w:rsid w:val="005274C9"/>
    <w:rsid w:val="005276AA"/>
    <w:rsid w:val="00527EC6"/>
    <w:rsid w:val="00527F16"/>
    <w:rsid w:val="00530319"/>
    <w:rsid w:val="005306F4"/>
    <w:rsid w:val="005309D2"/>
    <w:rsid w:val="00530D3D"/>
    <w:rsid w:val="00530D68"/>
    <w:rsid w:val="0053121D"/>
    <w:rsid w:val="005312EB"/>
    <w:rsid w:val="005313F7"/>
    <w:rsid w:val="00531563"/>
    <w:rsid w:val="005316C7"/>
    <w:rsid w:val="00531BB3"/>
    <w:rsid w:val="005327B3"/>
    <w:rsid w:val="0053297E"/>
    <w:rsid w:val="00532DA3"/>
    <w:rsid w:val="005331A8"/>
    <w:rsid w:val="005333B1"/>
    <w:rsid w:val="005338C6"/>
    <w:rsid w:val="005338E9"/>
    <w:rsid w:val="00533EF5"/>
    <w:rsid w:val="00533F3F"/>
    <w:rsid w:val="0053410D"/>
    <w:rsid w:val="00534175"/>
    <w:rsid w:val="005349BB"/>
    <w:rsid w:val="005353AA"/>
    <w:rsid w:val="00535906"/>
    <w:rsid w:val="00535924"/>
    <w:rsid w:val="00535B0E"/>
    <w:rsid w:val="00535DBD"/>
    <w:rsid w:val="0053637D"/>
    <w:rsid w:val="00536CE1"/>
    <w:rsid w:val="005370D9"/>
    <w:rsid w:val="00537444"/>
    <w:rsid w:val="00537B4B"/>
    <w:rsid w:val="005400B3"/>
    <w:rsid w:val="005402BE"/>
    <w:rsid w:val="00540309"/>
    <w:rsid w:val="00540893"/>
    <w:rsid w:val="00540DA4"/>
    <w:rsid w:val="0054155F"/>
    <w:rsid w:val="005416CE"/>
    <w:rsid w:val="00541D49"/>
    <w:rsid w:val="00541E5C"/>
    <w:rsid w:val="00541E94"/>
    <w:rsid w:val="00541F70"/>
    <w:rsid w:val="005425F1"/>
    <w:rsid w:val="00542762"/>
    <w:rsid w:val="00542A5D"/>
    <w:rsid w:val="00542E75"/>
    <w:rsid w:val="00542F9C"/>
    <w:rsid w:val="00543039"/>
    <w:rsid w:val="00543078"/>
    <w:rsid w:val="005430E0"/>
    <w:rsid w:val="00543356"/>
    <w:rsid w:val="005435D5"/>
    <w:rsid w:val="0054375A"/>
    <w:rsid w:val="00543A8D"/>
    <w:rsid w:val="00543ED9"/>
    <w:rsid w:val="00543FFB"/>
    <w:rsid w:val="00544174"/>
    <w:rsid w:val="0054433A"/>
    <w:rsid w:val="00544553"/>
    <w:rsid w:val="0054464B"/>
    <w:rsid w:val="00544699"/>
    <w:rsid w:val="0054495C"/>
    <w:rsid w:val="00544F5F"/>
    <w:rsid w:val="005454A3"/>
    <w:rsid w:val="005456DC"/>
    <w:rsid w:val="00545878"/>
    <w:rsid w:val="00545F7F"/>
    <w:rsid w:val="00546364"/>
    <w:rsid w:val="00546452"/>
    <w:rsid w:val="00546673"/>
    <w:rsid w:val="00546A3B"/>
    <w:rsid w:val="00546EC5"/>
    <w:rsid w:val="0054727D"/>
    <w:rsid w:val="00547887"/>
    <w:rsid w:val="00547AA9"/>
    <w:rsid w:val="005505E7"/>
    <w:rsid w:val="00550AF3"/>
    <w:rsid w:val="00550C39"/>
    <w:rsid w:val="00550F8C"/>
    <w:rsid w:val="005515CA"/>
    <w:rsid w:val="005515EB"/>
    <w:rsid w:val="005516CC"/>
    <w:rsid w:val="005518B8"/>
    <w:rsid w:val="00551AD8"/>
    <w:rsid w:val="00551D16"/>
    <w:rsid w:val="005528EF"/>
    <w:rsid w:val="0055292B"/>
    <w:rsid w:val="005532EC"/>
    <w:rsid w:val="00553507"/>
    <w:rsid w:val="00553519"/>
    <w:rsid w:val="00553689"/>
    <w:rsid w:val="00553926"/>
    <w:rsid w:val="00553CA7"/>
    <w:rsid w:val="00553CE7"/>
    <w:rsid w:val="00553D26"/>
    <w:rsid w:val="00554E50"/>
    <w:rsid w:val="005555EF"/>
    <w:rsid w:val="00555629"/>
    <w:rsid w:val="00555A97"/>
    <w:rsid w:val="00555AF5"/>
    <w:rsid w:val="00555E82"/>
    <w:rsid w:val="005568BA"/>
    <w:rsid w:val="005568FE"/>
    <w:rsid w:val="00556A44"/>
    <w:rsid w:val="00556DAF"/>
    <w:rsid w:val="00557111"/>
    <w:rsid w:val="00557A68"/>
    <w:rsid w:val="00557B63"/>
    <w:rsid w:val="00557C9A"/>
    <w:rsid w:val="00557CE8"/>
    <w:rsid w:val="00560363"/>
    <w:rsid w:val="00560402"/>
    <w:rsid w:val="00560831"/>
    <w:rsid w:val="00560BC5"/>
    <w:rsid w:val="0056154A"/>
    <w:rsid w:val="0056190B"/>
    <w:rsid w:val="00561D59"/>
    <w:rsid w:val="0056254E"/>
    <w:rsid w:val="005626E4"/>
    <w:rsid w:val="00562CFA"/>
    <w:rsid w:val="00563CFA"/>
    <w:rsid w:val="00563DDB"/>
    <w:rsid w:val="00563E1E"/>
    <w:rsid w:val="00563F5D"/>
    <w:rsid w:val="005643D2"/>
    <w:rsid w:val="00564B98"/>
    <w:rsid w:val="00564D11"/>
    <w:rsid w:val="00564DD2"/>
    <w:rsid w:val="00564FD8"/>
    <w:rsid w:val="0056537E"/>
    <w:rsid w:val="00565B39"/>
    <w:rsid w:val="00565F5E"/>
    <w:rsid w:val="005665A8"/>
    <w:rsid w:val="005667A8"/>
    <w:rsid w:val="005673C7"/>
    <w:rsid w:val="00567486"/>
    <w:rsid w:val="005676F9"/>
    <w:rsid w:val="00567715"/>
    <w:rsid w:val="00567894"/>
    <w:rsid w:val="00567A4F"/>
    <w:rsid w:val="00567D26"/>
    <w:rsid w:val="00570388"/>
    <w:rsid w:val="00570566"/>
    <w:rsid w:val="005707B1"/>
    <w:rsid w:val="005708C6"/>
    <w:rsid w:val="00570A1C"/>
    <w:rsid w:val="00571341"/>
    <w:rsid w:val="0057160D"/>
    <w:rsid w:val="00571889"/>
    <w:rsid w:val="00571AEB"/>
    <w:rsid w:val="00572012"/>
    <w:rsid w:val="00572072"/>
    <w:rsid w:val="00572206"/>
    <w:rsid w:val="005722E7"/>
    <w:rsid w:val="005722F8"/>
    <w:rsid w:val="005723F9"/>
    <w:rsid w:val="00572621"/>
    <w:rsid w:val="0057299D"/>
    <w:rsid w:val="00572AD0"/>
    <w:rsid w:val="00572BB0"/>
    <w:rsid w:val="00572D05"/>
    <w:rsid w:val="00572DC1"/>
    <w:rsid w:val="00572F5F"/>
    <w:rsid w:val="00572F67"/>
    <w:rsid w:val="00573043"/>
    <w:rsid w:val="0057328E"/>
    <w:rsid w:val="005732FE"/>
    <w:rsid w:val="005736D3"/>
    <w:rsid w:val="005738E5"/>
    <w:rsid w:val="00573FA3"/>
    <w:rsid w:val="0057441E"/>
    <w:rsid w:val="00574586"/>
    <w:rsid w:val="00574958"/>
    <w:rsid w:val="00574A2B"/>
    <w:rsid w:val="00574A5C"/>
    <w:rsid w:val="00574F4C"/>
    <w:rsid w:val="00575C94"/>
    <w:rsid w:val="005760D9"/>
    <w:rsid w:val="00576CC6"/>
    <w:rsid w:val="00577361"/>
    <w:rsid w:val="00577474"/>
    <w:rsid w:val="0057766D"/>
    <w:rsid w:val="0058013B"/>
    <w:rsid w:val="00580189"/>
    <w:rsid w:val="00580240"/>
    <w:rsid w:val="005803C9"/>
    <w:rsid w:val="0058076F"/>
    <w:rsid w:val="0058088D"/>
    <w:rsid w:val="00580910"/>
    <w:rsid w:val="0058091F"/>
    <w:rsid w:val="005809C0"/>
    <w:rsid w:val="00580C45"/>
    <w:rsid w:val="005810F1"/>
    <w:rsid w:val="005816FC"/>
    <w:rsid w:val="00581A67"/>
    <w:rsid w:val="00582BC4"/>
    <w:rsid w:val="0058318A"/>
    <w:rsid w:val="005834B8"/>
    <w:rsid w:val="0058368B"/>
    <w:rsid w:val="00583784"/>
    <w:rsid w:val="00584037"/>
    <w:rsid w:val="00584386"/>
    <w:rsid w:val="005843F4"/>
    <w:rsid w:val="005845D1"/>
    <w:rsid w:val="00584EEC"/>
    <w:rsid w:val="00584FC6"/>
    <w:rsid w:val="00585823"/>
    <w:rsid w:val="0058592D"/>
    <w:rsid w:val="005859BE"/>
    <w:rsid w:val="00585FF2"/>
    <w:rsid w:val="005863A1"/>
    <w:rsid w:val="00586A0A"/>
    <w:rsid w:val="00586DAB"/>
    <w:rsid w:val="0058731E"/>
    <w:rsid w:val="0058744A"/>
    <w:rsid w:val="00587662"/>
    <w:rsid w:val="005879E3"/>
    <w:rsid w:val="00587A53"/>
    <w:rsid w:val="00587A7D"/>
    <w:rsid w:val="00587C26"/>
    <w:rsid w:val="00587DDC"/>
    <w:rsid w:val="00587DE9"/>
    <w:rsid w:val="00587E2D"/>
    <w:rsid w:val="00587FCD"/>
    <w:rsid w:val="00590021"/>
    <w:rsid w:val="00590B70"/>
    <w:rsid w:val="00590EAB"/>
    <w:rsid w:val="005915F5"/>
    <w:rsid w:val="00591828"/>
    <w:rsid w:val="00591C2E"/>
    <w:rsid w:val="00591E38"/>
    <w:rsid w:val="00591E57"/>
    <w:rsid w:val="00591E72"/>
    <w:rsid w:val="00592618"/>
    <w:rsid w:val="00592C36"/>
    <w:rsid w:val="00592C40"/>
    <w:rsid w:val="005934D8"/>
    <w:rsid w:val="005943E4"/>
    <w:rsid w:val="00594541"/>
    <w:rsid w:val="005946F7"/>
    <w:rsid w:val="005946FE"/>
    <w:rsid w:val="00594721"/>
    <w:rsid w:val="00595525"/>
    <w:rsid w:val="00595663"/>
    <w:rsid w:val="00595C3F"/>
    <w:rsid w:val="00595FF1"/>
    <w:rsid w:val="00596284"/>
    <w:rsid w:val="005965A6"/>
    <w:rsid w:val="00596770"/>
    <w:rsid w:val="00596B46"/>
    <w:rsid w:val="00596BD9"/>
    <w:rsid w:val="0059761A"/>
    <w:rsid w:val="00597CD6"/>
    <w:rsid w:val="00597FA3"/>
    <w:rsid w:val="005A0331"/>
    <w:rsid w:val="005A05FC"/>
    <w:rsid w:val="005A07DC"/>
    <w:rsid w:val="005A0C63"/>
    <w:rsid w:val="005A1037"/>
    <w:rsid w:val="005A17E5"/>
    <w:rsid w:val="005A181A"/>
    <w:rsid w:val="005A1B08"/>
    <w:rsid w:val="005A1D93"/>
    <w:rsid w:val="005A1F76"/>
    <w:rsid w:val="005A21B6"/>
    <w:rsid w:val="005A2E2A"/>
    <w:rsid w:val="005A37D2"/>
    <w:rsid w:val="005A3B23"/>
    <w:rsid w:val="005A41AC"/>
    <w:rsid w:val="005A44D4"/>
    <w:rsid w:val="005A48EA"/>
    <w:rsid w:val="005A4F62"/>
    <w:rsid w:val="005A4FB4"/>
    <w:rsid w:val="005A543D"/>
    <w:rsid w:val="005A5544"/>
    <w:rsid w:val="005A5712"/>
    <w:rsid w:val="005A5CAA"/>
    <w:rsid w:val="005A68EC"/>
    <w:rsid w:val="005A6912"/>
    <w:rsid w:val="005A6BE0"/>
    <w:rsid w:val="005A71CD"/>
    <w:rsid w:val="005A7988"/>
    <w:rsid w:val="005B0066"/>
    <w:rsid w:val="005B05CA"/>
    <w:rsid w:val="005B05CD"/>
    <w:rsid w:val="005B0850"/>
    <w:rsid w:val="005B0E99"/>
    <w:rsid w:val="005B0EF1"/>
    <w:rsid w:val="005B130E"/>
    <w:rsid w:val="005B15B8"/>
    <w:rsid w:val="005B165C"/>
    <w:rsid w:val="005B1EC2"/>
    <w:rsid w:val="005B1EE6"/>
    <w:rsid w:val="005B2829"/>
    <w:rsid w:val="005B2D17"/>
    <w:rsid w:val="005B391D"/>
    <w:rsid w:val="005B3A32"/>
    <w:rsid w:val="005B4202"/>
    <w:rsid w:val="005B4CD7"/>
    <w:rsid w:val="005B4F5C"/>
    <w:rsid w:val="005B5040"/>
    <w:rsid w:val="005B5104"/>
    <w:rsid w:val="005B53C3"/>
    <w:rsid w:val="005B53DA"/>
    <w:rsid w:val="005B53FC"/>
    <w:rsid w:val="005B5B60"/>
    <w:rsid w:val="005B68B4"/>
    <w:rsid w:val="005B6DF1"/>
    <w:rsid w:val="005B6F4C"/>
    <w:rsid w:val="005B7561"/>
    <w:rsid w:val="005B7854"/>
    <w:rsid w:val="005B7D57"/>
    <w:rsid w:val="005C00E1"/>
    <w:rsid w:val="005C012D"/>
    <w:rsid w:val="005C024E"/>
    <w:rsid w:val="005C0406"/>
    <w:rsid w:val="005C04B9"/>
    <w:rsid w:val="005C12BF"/>
    <w:rsid w:val="005C194B"/>
    <w:rsid w:val="005C1CF9"/>
    <w:rsid w:val="005C22DB"/>
    <w:rsid w:val="005C25E0"/>
    <w:rsid w:val="005C29C5"/>
    <w:rsid w:val="005C2A24"/>
    <w:rsid w:val="005C2B28"/>
    <w:rsid w:val="005C2BD5"/>
    <w:rsid w:val="005C2DF1"/>
    <w:rsid w:val="005C32C6"/>
    <w:rsid w:val="005C343A"/>
    <w:rsid w:val="005C35BB"/>
    <w:rsid w:val="005C36CA"/>
    <w:rsid w:val="005C3B1A"/>
    <w:rsid w:val="005C3B49"/>
    <w:rsid w:val="005C3CD5"/>
    <w:rsid w:val="005C3EB6"/>
    <w:rsid w:val="005C4154"/>
    <w:rsid w:val="005C4BE5"/>
    <w:rsid w:val="005C51D3"/>
    <w:rsid w:val="005C52AE"/>
    <w:rsid w:val="005C575F"/>
    <w:rsid w:val="005C588A"/>
    <w:rsid w:val="005C5DE3"/>
    <w:rsid w:val="005C5E7B"/>
    <w:rsid w:val="005C6792"/>
    <w:rsid w:val="005C6B48"/>
    <w:rsid w:val="005C6CA0"/>
    <w:rsid w:val="005C6D8D"/>
    <w:rsid w:val="005C6F02"/>
    <w:rsid w:val="005C7245"/>
    <w:rsid w:val="005C7C70"/>
    <w:rsid w:val="005C7CFA"/>
    <w:rsid w:val="005C7D2C"/>
    <w:rsid w:val="005D0374"/>
    <w:rsid w:val="005D0456"/>
    <w:rsid w:val="005D090A"/>
    <w:rsid w:val="005D1165"/>
    <w:rsid w:val="005D11B9"/>
    <w:rsid w:val="005D135E"/>
    <w:rsid w:val="005D1777"/>
    <w:rsid w:val="005D1809"/>
    <w:rsid w:val="005D1D26"/>
    <w:rsid w:val="005D1D3E"/>
    <w:rsid w:val="005D2B07"/>
    <w:rsid w:val="005D2DA9"/>
    <w:rsid w:val="005D2E7B"/>
    <w:rsid w:val="005D2F6B"/>
    <w:rsid w:val="005D3252"/>
    <w:rsid w:val="005D38C4"/>
    <w:rsid w:val="005D3A95"/>
    <w:rsid w:val="005D3B7C"/>
    <w:rsid w:val="005D3BE9"/>
    <w:rsid w:val="005D3F64"/>
    <w:rsid w:val="005D403B"/>
    <w:rsid w:val="005D44A8"/>
    <w:rsid w:val="005D4FDA"/>
    <w:rsid w:val="005D5185"/>
    <w:rsid w:val="005D5412"/>
    <w:rsid w:val="005D5A56"/>
    <w:rsid w:val="005D618B"/>
    <w:rsid w:val="005D6914"/>
    <w:rsid w:val="005D6AAF"/>
    <w:rsid w:val="005D6B3F"/>
    <w:rsid w:val="005D6E89"/>
    <w:rsid w:val="005D6F98"/>
    <w:rsid w:val="005D770E"/>
    <w:rsid w:val="005D7969"/>
    <w:rsid w:val="005D7C3F"/>
    <w:rsid w:val="005D7CD0"/>
    <w:rsid w:val="005E058B"/>
    <w:rsid w:val="005E0598"/>
    <w:rsid w:val="005E0AF5"/>
    <w:rsid w:val="005E0AF6"/>
    <w:rsid w:val="005E0EDE"/>
    <w:rsid w:val="005E1074"/>
    <w:rsid w:val="005E12AC"/>
    <w:rsid w:val="005E1D83"/>
    <w:rsid w:val="005E1F18"/>
    <w:rsid w:val="005E1FA2"/>
    <w:rsid w:val="005E2326"/>
    <w:rsid w:val="005E2E93"/>
    <w:rsid w:val="005E3164"/>
    <w:rsid w:val="005E33A6"/>
    <w:rsid w:val="005E33A7"/>
    <w:rsid w:val="005E3BB5"/>
    <w:rsid w:val="005E3C7C"/>
    <w:rsid w:val="005E3E20"/>
    <w:rsid w:val="005E4765"/>
    <w:rsid w:val="005E50C6"/>
    <w:rsid w:val="005E52CF"/>
    <w:rsid w:val="005E5374"/>
    <w:rsid w:val="005E5A12"/>
    <w:rsid w:val="005E5B4E"/>
    <w:rsid w:val="005E6411"/>
    <w:rsid w:val="005E673E"/>
    <w:rsid w:val="005E6BCB"/>
    <w:rsid w:val="005E6DF2"/>
    <w:rsid w:val="005E6F6D"/>
    <w:rsid w:val="005E78A0"/>
    <w:rsid w:val="005F0605"/>
    <w:rsid w:val="005F0B09"/>
    <w:rsid w:val="005F0DD5"/>
    <w:rsid w:val="005F0E82"/>
    <w:rsid w:val="005F1159"/>
    <w:rsid w:val="005F1183"/>
    <w:rsid w:val="005F15BB"/>
    <w:rsid w:val="005F184E"/>
    <w:rsid w:val="005F1952"/>
    <w:rsid w:val="005F19BC"/>
    <w:rsid w:val="005F1BDA"/>
    <w:rsid w:val="005F1F64"/>
    <w:rsid w:val="005F2BBA"/>
    <w:rsid w:val="005F2EE2"/>
    <w:rsid w:val="005F3057"/>
    <w:rsid w:val="005F31EE"/>
    <w:rsid w:val="005F31EF"/>
    <w:rsid w:val="005F3241"/>
    <w:rsid w:val="005F33D7"/>
    <w:rsid w:val="005F3BFA"/>
    <w:rsid w:val="005F3D50"/>
    <w:rsid w:val="005F3E28"/>
    <w:rsid w:val="005F4363"/>
    <w:rsid w:val="005F4753"/>
    <w:rsid w:val="005F47D8"/>
    <w:rsid w:val="005F4F75"/>
    <w:rsid w:val="005F4FEE"/>
    <w:rsid w:val="005F52A5"/>
    <w:rsid w:val="005F5820"/>
    <w:rsid w:val="005F625E"/>
    <w:rsid w:val="005F6491"/>
    <w:rsid w:val="005F6496"/>
    <w:rsid w:val="005F6724"/>
    <w:rsid w:val="005F6D13"/>
    <w:rsid w:val="005F7118"/>
    <w:rsid w:val="005F71F1"/>
    <w:rsid w:val="005F7454"/>
    <w:rsid w:val="005F74A9"/>
    <w:rsid w:val="005F798B"/>
    <w:rsid w:val="006007DD"/>
    <w:rsid w:val="00600B5B"/>
    <w:rsid w:val="00600B5E"/>
    <w:rsid w:val="00600FB0"/>
    <w:rsid w:val="0060184A"/>
    <w:rsid w:val="0060199C"/>
    <w:rsid w:val="00601F21"/>
    <w:rsid w:val="00601FB9"/>
    <w:rsid w:val="006022AA"/>
    <w:rsid w:val="0060247A"/>
    <w:rsid w:val="00602C36"/>
    <w:rsid w:val="00602CE6"/>
    <w:rsid w:val="00602DCF"/>
    <w:rsid w:val="00602F53"/>
    <w:rsid w:val="00602FB8"/>
    <w:rsid w:val="006030CB"/>
    <w:rsid w:val="006035D0"/>
    <w:rsid w:val="00603F6D"/>
    <w:rsid w:val="00604036"/>
    <w:rsid w:val="00604160"/>
    <w:rsid w:val="006043B7"/>
    <w:rsid w:val="0060456D"/>
    <w:rsid w:val="00604902"/>
    <w:rsid w:val="00604B33"/>
    <w:rsid w:val="00604E89"/>
    <w:rsid w:val="00604F89"/>
    <w:rsid w:val="00605218"/>
    <w:rsid w:val="006053F8"/>
    <w:rsid w:val="006055DB"/>
    <w:rsid w:val="00605642"/>
    <w:rsid w:val="00605CE3"/>
    <w:rsid w:val="00605E79"/>
    <w:rsid w:val="00606020"/>
    <w:rsid w:val="006061AF"/>
    <w:rsid w:val="00606235"/>
    <w:rsid w:val="006063CB"/>
    <w:rsid w:val="006065AC"/>
    <w:rsid w:val="0060682F"/>
    <w:rsid w:val="00606969"/>
    <w:rsid w:val="00606A0C"/>
    <w:rsid w:val="00606D4C"/>
    <w:rsid w:val="00607007"/>
    <w:rsid w:val="0060732F"/>
    <w:rsid w:val="006073C5"/>
    <w:rsid w:val="00607561"/>
    <w:rsid w:val="006075BE"/>
    <w:rsid w:val="00607CA1"/>
    <w:rsid w:val="00610979"/>
    <w:rsid w:val="006109AA"/>
    <w:rsid w:val="00610A2A"/>
    <w:rsid w:val="00610EF8"/>
    <w:rsid w:val="006116F6"/>
    <w:rsid w:val="006117E1"/>
    <w:rsid w:val="00611A14"/>
    <w:rsid w:val="00611A54"/>
    <w:rsid w:val="00611AD5"/>
    <w:rsid w:val="00612003"/>
    <w:rsid w:val="006122F2"/>
    <w:rsid w:val="00612B53"/>
    <w:rsid w:val="00612E6F"/>
    <w:rsid w:val="00613816"/>
    <w:rsid w:val="00613A9F"/>
    <w:rsid w:val="00613E92"/>
    <w:rsid w:val="00614C65"/>
    <w:rsid w:val="00614CBA"/>
    <w:rsid w:val="00614D12"/>
    <w:rsid w:val="00614F4A"/>
    <w:rsid w:val="00615591"/>
    <w:rsid w:val="00615A2E"/>
    <w:rsid w:val="00615D3B"/>
    <w:rsid w:val="00615E5B"/>
    <w:rsid w:val="00616479"/>
    <w:rsid w:val="00616959"/>
    <w:rsid w:val="0061753F"/>
    <w:rsid w:val="00617606"/>
    <w:rsid w:val="0061764E"/>
    <w:rsid w:val="006177C9"/>
    <w:rsid w:val="00617EA0"/>
    <w:rsid w:val="00620077"/>
    <w:rsid w:val="006201D6"/>
    <w:rsid w:val="006207E6"/>
    <w:rsid w:val="00620800"/>
    <w:rsid w:val="00620E89"/>
    <w:rsid w:val="0062151D"/>
    <w:rsid w:val="0062153C"/>
    <w:rsid w:val="00621D3F"/>
    <w:rsid w:val="00621E3E"/>
    <w:rsid w:val="00621E70"/>
    <w:rsid w:val="00621F14"/>
    <w:rsid w:val="006225D2"/>
    <w:rsid w:val="00622BDB"/>
    <w:rsid w:val="00623329"/>
    <w:rsid w:val="00623890"/>
    <w:rsid w:val="006245E4"/>
    <w:rsid w:val="006245F7"/>
    <w:rsid w:val="00624CC6"/>
    <w:rsid w:val="00625464"/>
    <w:rsid w:val="00625A6E"/>
    <w:rsid w:val="00625A8F"/>
    <w:rsid w:val="00625CD5"/>
    <w:rsid w:val="00626201"/>
    <w:rsid w:val="006263C1"/>
    <w:rsid w:val="006267EE"/>
    <w:rsid w:val="00627209"/>
    <w:rsid w:val="00627A42"/>
    <w:rsid w:val="00627C51"/>
    <w:rsid w:val="00630522"/>
    <w:rsid w:val="0063135C"/>
    <w:rsid w:val="00631902"/>
    <w:rsid w:val="00631FF4"/>
    <w:rsid w:val="006323C0"/>
    <w:rsid w:val="00632702"/>
    <w:rsid w:val="00632924"/>
    <w:rsid w:val="00632EC6"/>
    <w:rsid w:val="006331E5"/>
    <w:rsid w:val="00633BF8"/>
    <w:rsid w:val="00633D17"/>
    <w:rsid w:val="00633DEC"/>
    <w:rsid w:val="00633FDB"/>
    <w:rsid w:val="006340DC"/>
    <w:rsid w:val="00634206"/>
    <w:rsid w:val="00634408"/>
    <w:rsid w:val="006347C1"/>
    <w:rsid w:val="00634A13"/>
    <w:rsid w:val="00634D7F"/>
    <w:rsid w:val="00634EC6"/>
    <w:rsid w:val="00634F44"/>
    <w:rsid w:val="0063541D"/>
    <w:rsid w:val="00635623"/>
    <w:rsid w:val="00636578"/>
    <w:rsid w:val="006365A0"/>
    <w:rsid w:val="006368B7"/>
    <w:rsid w:val="00637D56"/>
    <w:rsid w:val="0064018F"/>
    <w:rsid w:val="00640364"/>
    <w:rsid w:val="0064090B"/>
    <w:rsid w:val="00640CDC"/>
    <w:rsid w:val="00641355"/>
    <w:rsid w:val="0064135D"/>
    <w:rsid w:val="006419B3"/>
    <w:rsid w:val="0064222A"/>
    <w:rsid w:val="006422C3"/>
    <w:rsid w:val="006424C0"/>
    <w:rsid w:val="00642ED0"/>
    <w:rsid w:val="00643519"/>
    <w:rsid w:val="00643DC0"/>
    <w:rsid w:val="00643FC9"/>
    <w:rsid w:val="00644271"/>
    <w:rsid w:val="006447E3"/>
    <w:rsid w:val="006451B7"/>
    <w:rsid w:val="0064554E"/>
    <w:rsid w:val="00645591"/>
    <w:rsid w:val="00645AA0"/>
    <w:rsid w:val="00645B30"/>
    <w:rsid w:val="00645D2E"/>
    <w:rsid w:val="00645EFE"/>
    <w:rsid w:val="00645FB7"/>
    <w:rsid w:val="0064601F"/>
    <w:rsid w:val="00646DDC"/>
    <w:rsid w:val="006472B3"/>
    <w:rsid w:val="00647541"/>
    <w:rsid w:val="00647559"/>
    <w:rsid w:val="006477CE"/>
    <w:rsid w:val="006479EB"/>
    <w:rsid w:val="00647C16"/>
    <w:rsid w:val="00647D70"/>
    <w:rsid w:val="00647D72"/>
    <w:rsid w:val="0065059E"/>
    <w:rsid w:val="00650BA2"/>
    <w:rsid w:val="00651181"/>
    <w:rsid w:val="0065137D"/>
    <w:rsid w:val="006514D8"/>
    <w:rsid w:val="0065154E"/>
    <w:rsid w:val="00651D2E"/>
    <w:rsid w:val="00651EE1"/>
    <w:rsid w:val="00651EF7"/>
    <w:rsid w:val="00652185"/>
    <w:rsid w:val="006521D6"/>
    <w:rsid w:val="006524A0"/>
    <w:rsid w:val="00652CFA"/>
    <w:rsid w:val="00653065"/>
    <w:rsid w:val="0065312B"/>
    <w:rsid w:val="00653551"/>
    <w:rsid w:val="00653B88"/>
    <w:rsid w:val="00653C3A"/>
    <w:rsid w:val="00653CDB"/>
    <w:rsid w:val="00653EA6"/>
    <w:rsid w:val="00653EE0"/>
    <w:rsid w:val="0065407D"/>
    <w:rsid w:val="00654898"/>
    <w:rsid w:val="00654984"/>
    <w:rsid w:val="00654F6F"/>
    <w:rsid w:val="00654FEC"/>
    <w:rsid w:val="00655669"/>
    <w:rsid w:val="006557CD"/>
    <w:rsid w:val="00655C73"/>
    <w:rsid w:val="00656142"/>
    <w:rsid w:val="00656199"/>
    <w:rsid w:val="0065690B"/>
    <w:rsid w:val="00657636"/>
    <w:rsid w:val="00657868"/>
    <w:rsid w:val="006579DE"/>
    <w:rsid w:val="00657E36"/>
    <w:rsid w:val="00660752"/>
    <w:rsid w:val="0066125F"/>
    <w:rsid w:val="00661582"/>
    <w:rsid w:val="006617ED"/>
    <w:rsid w:val="0066199A"/>
    <w:rsid w:val="00661C85"/>
    <w:rsid w:val="00661D5B"/>
    <w:rsid w:val="00662080"/>
    <w:rsid w:val="00662E5B"/>
    <w:rsid w:val="00662EB5"/>
    <w:rsid w:val="00663036"/>
    <w:rsid w:val="00663863"/>
    <w:rsid w:val="00663C3D"/>
    <w:rsid w:val="006641C6"/>
    <w:rsid w:val="00664306"/>
    <w:rsid w:val="0066431C"/>
    <w:rsid w:val="0066432F"/>
    <w:rsid w:val="00664574"/>
    <w:rsid w:val="00664C91"/>
    <w:rsid w:val="00664DC4"/>
    <w:rsid w:val="00665059"/>
    <w:rsid w:val="00665123"/>
    <w:rsid w:val="0066533A"/>
    <w:rsid w:val="006653D5"/>
    <w:rsid w:val="00665536"/>
    <w:rsid w:val="00665639"/>
    <w:rsid w:val="00665F50"/>
    <w:rsid w:val="0066672B"/>
    <w:rsid w:val="00666B11"/>
    <w:rsid w:val="00666B4A"/>
    <w:rsid w:val="00666DCD"/>
    <w:rsid w:val="00667268"/>
    <w:rsid w:val="006672FA"/>
    <w:rsid w:val="0066741D"/>
    <w:rsid w:val="00667858"/>
    <w:rsid w:val="00667933"/>
    <w:rsid w:val="00670444"/>
    <w:rsid w:val="00670490"/>
    <w:rsid w:val="006704AB"/>
    <w:rsid w:val="00670818"/>
    <w:rsid w:val="00670836"/>
    <w:rsid w:val="0067092E"/>
    <w:rsid w:val="006716D1"/>
    <w:rsid w:val="00671822"/>
    <w:rsid w:val="00671B62"/>
    <w:rsid w:val="00672583"/>
    <w:rsid w:val="00672660"/>
    <w:rsid w:val="00672EE7"/>
    <w:rsid w:val="0067328C"/>
    <w:rsid w:val="00673CE8"/>
    <w:rsid w:val="00673ECE"/>
    <w:rsid w:val="0067440B"/>
    <w:rsid w:val="00675394"/>
    <w:rsid w:val="006754FB"/>
    <w:rsid w:val="006757B3"/>
    <w:rsid w:val="0067592B"/>
    <w:rsid w:val="00675B8A"/>
    <w:rsid w:val="0067625C"/>
    <w:rsid w:val="00676591"/>
    <w:rsid w:val="00676EE4"/>
    <w:rsid w:val="0067743C"/>
    <w:rsid w:val="006778A7"/>
    <w:rsid w:val="006779EE"/>
    <w:rsid w:val="006779F6"/>
    <w:rsid w:val="00677ACC"/>
    <w:rsid w:val="00677B90"/>
    <w:rsid w:val="0068011D"/>
    <w:rsid w:val="0068019C"/>
    <w:rsid w:val="00680347"/>
    <w:rsid w:val="0068060A"/>
    <w:rsid w:val="006807A1"/>
    <w:rsid w:val="006807D3"/>
    <w:rsid w:val="00680885"/>
    <w:rsid w:val="00680C17"/>
    <w:rsid w:val="00680C42"/>
    <w:rsid w:val="00680D34"/>
    <w:rsid w:val="00680E05"/>
    <w:rsid w:val="006817D3"/>
    <w:rsid w:val="00681A63"/>
    <w:rsid w:val="00681C2B"/>
    <w:rsid w:val="00681FAB"/>
    <w:rsid w:val="00682435"/>
    <w:rsid w:val="00682645"/>
    <w:rsid w:val="00682AE6"/>
    <w:rsid w:val="00682BF5"/>
    <w:rsid w:val="00682D00"/>
    <w:rsid w:val="00682DD0"/>
    <w:rsid w:val="00683D1E"/>
    <w:rsid w:val="00683EC7"/>
    <w:rsid w:val="00684B42"/>
    <w:rsid w:val="00684C3C"/>
    <w:rsid w:val="00684CC2"/>
    <w:rsid w:val="00684E0B"/>
    <w:rsid w:val="00685279"/>
    <w:rsid w:val="006857E6"/>
    <w:rsid w:val="00685F4A"/>
    <w:rsid w:val="0068629C"/>
    <w:rsid w:val="0068643C"/>
    <w:rsid w:val="006867D2"/>
    <w:rsid w:val="00686B67"/>
    <w:rsid w:val="00686C51"/>
    <w:rsid w:val="00686E9F"/>
    <w:rsid w:val="0068747D"/>
    <w:rsid w:val="00687578"/>
    <w:rsid w:val="006878A6"/>
    <w:rsid w:val="00687D59"/>
    <w:rsid w:val="00690353"/>
    <w:rsid w:val="006905AD"/>
    <w:rsid w:val="00691156"/>
    <w:rsid w:val="006915CF"/>
    <w:rsid w:val="006918F0"/>
    <w:rsid w:val="00691A27"/>
    <w:rsid w:val="00691CF5"/>
    <w:rsid w:val="00691F8D"/>
    <w:rsid w:val="00691FB9"/>
    <w:rsid w:val="00692378"/>
    <w:rsid w:val="006927BA"/>
    <w:rsid w:val="0069302B"/>
    <w:rsid w:val="0069401B"/>
    <w:rsid w:val="00694479"/>
    <w:rsid w:val="00694912"/>
    <w:rsid w:val="0069495D"/>
    <w:rsid w:val="00694B6E"/>
    <w:rsid w:val="00694C1A"/>
    <w:rsid w:val="00694FC2"/>
    <w:rsid w:val="00696622"/>
    <w:rsid w:val="006967CF"/>
    <w:rsid w:val="00696BA9"/>
    <w:rsid w:val="00696DBF"/>
    <w:rsid w:val="006971DC"/>
    <w:rsid w:val="0069724B"/>
    <w:rsid w:val="00697653"/>
    <w:rsid w:val="00697A2C"/>
    <w:rsid w:val="00697AAD"/>
    <w:rsid w:val="00697B6D"/>
    <w:rsid w:val="00697DA5"/>
    <w:rsid w:val="00697E8A"/>
    <w:rsid w:val="006A0421"/>
    <w:rsid w:val="006A0A36"/>
    <w:rsid w:val="006A0B3B"/>
    <w:rsid w:val="006A12F7"/>
    <w:rsid w:val="006A1930"/>
    <w:rsid w:val="006A1964"/>
    <w:rsid w:val="006A199B"/>
    <w:rsid w:val="006A2043"/>
    <w:rsid w:val="006A2193"/>
    <w:rsid w:val="006A222F"/>
    <w:rsid w:val="006A245A"/>
    <w:rsid w:val="006A3176"/>
    <w:rsid w:val="006A340D"/>
    <w:rsid w:val="006A3412"/>
    <w:rsid w:val="006A3593"/>
    <w:rsid w:val="006A3DE1"/>
    <w:rsid w:val="006A4DDB"/>
    <w:rsid w:val="006A4EBF"/>
    <w:rsid w:val="006A4F61"/>
    <w:rsid w:val="006A5BA9"/>
    <w:rsid w:val="006A5BC9"/>
    <w:rsid w:val="006A657A"/>
    <w:rsid w:val="006A66FE"/>
    <w:rsid w:val="006A68AE"/>
    <w:rsid w:val="006A70E2"/>
    <w:rsid w:val="006A760B"/>
    <w:rsid w:val="006A7BD3"/>
    <w:rsid w:val="006B02FE"/>
    <w:rsid w:val="006B0432"/>
    <w:rsid w:val="006B06D8"/>
    <w:rsid w:val="006B0764"/>
    <w:rsid w:val="006B0A55"/>
    <w:rsid w:val="006B1023"/>
    <w:rsid w:val="006B1024"/>
    <w:rsid w:val="006B1115"/>
    <w:rsid w:val="006B1540"/>
    <w:rsid w:val="006B167B"/>
    <w:rsid w:val="006B1746"/>
    <w:rsid w:val="006B1AB5"/>
    <w:rsid w:val="006B1BD0"/>
    <w:rsid w:val="006B1C19"/>
    <w:rsid w:val="006B1DBC"/>
    <w:rsid w:val="006B1DFF"/>
    <w:rsid w:val="006B2021"/>
    <w:rsid w:val="006B21D4"/>
    <w:rsid w:val="006B232A"/>
    <w:rsid w:val="006B28D4"/>
    <w:rsid w:val="006B2D20"/>
    <w:rsid w:val="006B33F4"/>
    <w:rsid w:val="006B37AF"/>
    <w:rsid w:val="006B3FAA"/>
    <w:rsid w:val="006B40B5"/>
    <w:rsid w:val="006B40EF"/>
    <w:rsid w:val="006B45AE"/>
    <w:rsid w:val="006B46FA"/>
    <w:rsid w:val="006B4889"/>
    <w:rsid w:val="006B4F05"/>
    <w:rsid w:val="006B5202"/>
    <w:rsid w:val="006B546B"/>
    <w:rsid w:val="006B5586"/>
    <w:rsid w:val="006B56A5"/>
    <w:rsid w:val="006B5AFE"/>
    <w:rsid w:val="006B5C2A"/>
    <w:rsid w:val="006B5F53"/>
    <w:rsid w:val="006B5FE1"/>
    <w:rsid w:val="006B661D"/>
    <w:rsid w:val="006B68AD"/>
    <w:rsid w:val="006B6AF4"/>
    <w:rsid w:val="006B6D58"/>
    <w:rsid w:val="006B7039"/>
    <w:rsid w:val="006B7295"/>
    <w:rsid w:val="006B7AAB"/>
    <w:rsid w:val="006B7B8B"/>
    <w:rsid w:val="006B7C78"/>
    <w:rsid w:val="006B7D36"/>
    <w:rsid w:val="006C02B5"/>
    <w:rsid w:val="006C055D"/>
    <w:rsid w:val="006C070F"/>
    <w:rsid w:val="006C0789"/>
    <w:rsid w:val="006C1986"/>
    <w:rsid w:val="006C2959"/>
    <w:rsid w:val="006C2C63"/>
    <w:rsid w:val="006C2CB1"/>
    <w:rsid w:val="006C3CD1"/>
    <w:rsid w:val="006C3D18"/>
    <w:rsid w:val="006C3DE4"/>
    <w:rsid w:val="006C3F10"/>
    <w:rsid w:val="006C4592"/>
    <w:rsid w:val="006C4ADB"/>
    <w:rsid w:val="006C4E37"/>
    <w:rsid w:val="006C4F8B"/>
    <w:rsid w:val="006C513C"/>
    <w:rsid w:val="006C515C"/>
    <w:rsid w:val="006C5950"/>
    <w:rsid w:val="006C5A81"/>
    <w:rsid w:val="006C5BB5"/>
    <w:rsid w:val="006C5F2A"/>
    <w:rsid w:val="006C612D"/>
    <w:rsid w:val="006C625B"/>
    <w:rsid w:val="006C6A45"/>
    <w:rsid w:val="006C6D8C"/>
    <w:rsid w:val="006C729E"/>
    <w:rsid w:val="006C76A9"/>
    <w:rsid w:val="006C76FC"/>
    <w:rsid w:val="006C77DD"/>
    <w:rsid w:val="006C7DCA"/>
    <w:rsid w:val="006D006A"/>
    <w:rsid w:val="006D0183"/>
    <w:rsid w:val="006D0283"/>
    <w:rsid w:val="006D060C"/>
    <w:rsid w:val="006D0E3A"/>
    <w:rsid w:val="006D1193"/>
    <w:rsid w:val="006D1262"/>
    <w:rsid w:val="006D1526"/>
    <w:rsid w:val="006D159B"/>
    <w:rsid w:val="006D1D47"/>
    <w:rsid w:val="006D33E5"/>
    <w:rsid w:val="006D36C7"/>
    <w:rsid w:val="006D3AA3"/>
    <w:rsid w:val="006D3BB1"/>
    <w:rsid w:val="006D435E"/>
    <w:rsid w:val="006D4853"/>
    <w:rsid w:val="006D49A7"/>
    <w:rsid w:val="006D4AD9"/>
    <w:rsid w:val="006D55C0"/>
    <w:rsid w:val="006D57CC"/>
    <w:rsid w:val="006D588D"/>
    <w:rsid w:val="006D5C89"/>
    <w:rsid w:val="006D60CE"/>
    <w:rsid w:val="006D65A2"/>
    <w:rsid w:val="006D6752"/>
    <w:rsid w:val="006D70BA"/>
    <w:rsid w:val="006D74D0"/>
    <w:rsid w:val="006D7FC8"/>
    <w:rsid w:val="006E0007"/>
    <w:rsid w:val="006E025F"/>
    <w:rsid w:val="006E0788"/>
    <w:rsid w:val="006E0FBB"/>
    <w:rsid w:val="006E1453"/>
    <w:rsid w:val="006E18E6"/>
    <w:rsid w:val="006E2457"/>
    <w:rsid w:val="006E2464"/>
    <w:rsid w:val="006E2483"/>
    <w:rsid w:val="006E26C9"/>
    <w:rsid w:val="006E2B26"/>
    <w:rsid w:val="006E2CEA"/>
    <w:rsid w:val="006E2FDA"/>
    <w:rsid w:val="006E36E5"/>
    <w:rsid w:val="006E3B92"/>
    <w:rsid w:val="006E3D62"/>
    <w:rsid w:val="006E4707"/>
    <w:rsid w:val="006E5570"/>
    <w:rsid w:val="006E56BA"/>
    <w:rsid w:val="006E5A2C"/>
    <w:rsid w:val="006E5B8D"/>
    <w:rsid w:val="006E5DB8"/>
    <w:rsid w:val="006E5F1C"/>
    <w:rsid w:val="006E64E6"/>
    <w:rsid w:val="006E673B"/>
    <w:rsid w:val="006E67C5"/>
    <w:rsid w:val="006E724E"/>
    <w:rsid w:val="006E7A52"/>
    <w:rsid w:val="006E7E27"/>
    <w:rsid w:val="006E7F76"/>
    <w:rsid w:val="006F0064"/>
    <w:rsid w:val="006F0C2E"/>
    <w:rsid w:val="006F0DF3"/>
    <w:rsid w:val="006F148D"/>
    <w:rsid w:val="006F14A3"/>
    <w:rsid w:val="006F1508"/>
    <w:rsid w:val="006F16C9"/>
    <w:rsid w:val="006F16F3"/>
    <w:rsid w:val="006F1892"/>
    <w:rsid w:val="006F18C5"/>
    <w:rsid w:val="006F1941"/>
    <w:rsid w:val="006F2372"/>
    <w:rsid w:val="006F2935"/>
    <w:rsid w:val="006F31D8"/>
    <w:rsid w:val="006F3B34"/>
    <w:rsid w:val="006F3E2B"/>
    <w:rsid w:val="006F4094"/>
    <w:rsid w:val="006F484F"/>
    <w:rsid w:val="006F4D20"/>
    <w:rsid w:val="006F4D9F"/>
    <w:rsid w:val="006F4F25"/>
    <w:rsid w:val="006F5186"/>
    <w:rsid w:val="006F519C"/>
    <w:rsid w:val="006F52E2"/>
    <w:rsid w:val="006F54FC"/>
    <w:rsid w:val="006F550F"/>
    <w:rsid w:val="006F5547"/>
    <w:rsid w:val="006F56EA"/>
    <w:rsid w:val="006F58AE"/>
    <w:rsid w:val="006F5CC4"/>
    <w:rsid w:val="006F5ECE"/>
    <w:rsid w:val="006F601B"/>
    <w:rsid w:val="006F6225"/>
    <w:rsid w:val="006F623D"/>
    <w:rsid w:val="006F66F1"/>
    <w:rsid w:val="006F7481"/>
    <w:rsid w:val="006F7622"/>
    <w:rsid w:val="006F78CC"/>
    <w:rsid w:val="006F7AA1"/>
    <w:rsid w:val="006F7EDD"/>
    <w:rsid w:val="00700231"/>
    <w:rsid w:val="00700316"/>
    <w:rsid w:val="00700785"/>
    <w:rsid w:val="00700866"/>
    <w:rsid w:val="00700AEB"/>
    <w:rsid w:val="00700E07"/>
    <w:rsid w:val="00701121"/>
    <w:rsid w:val="00701682"/>
    <w:rsid w:val="00701922"/>
    <w:rsid w:val="00701AB9"/>
    <w:rsid w:val="00701AC8"/>
    <w:rsid w:val="00701ACD"/>
    <w:rsid w:val="00701C36"/>
    <w:rsid w:val="00701E11"/>
    <w:rsid w:val="007025C8"/>
    <w:rsid w:val="00702948"/>
    <w:rsid w:val="007037B1"/>
    <w:rsid w:val="007038F0"/>
    <w:rsid w:val="00703BD2"/>
    <w:rsid w:val="00704262"/>
    <w:rsid w:val="0070449B"/>
    <w:rsid w:val="007045E7"/>
    <w:rsid w:val="007045E9"/>
    <w:rsid w:val="00704D30"/>
    <w:rsid w:val="00704DE1"/>
    <w:rsid w:val="007052E6"/>
    <w:rsid w:val="0070597B"/>
    <w:rsid w:val="007061AA"/>
    <w:rsid w:val="007062DF"/>
    <w:rsid w:val="007064FC"/>
    <w:rsid w:val="00706650"/>
    <w:rsid w:val="007066EB"/>
    <w:rsid w:val="00706F8B"/>
    <w:rsid w:val="00707CB0"/>
    <w:rsid w:val="00707CB9"/>
    <w:rsid w:val="00710216"/>
    <w:rsid w:val="007102A7"/>
    <w:rsid w:val="007105A1"/>
    <w:rsid w:val="0071092B"/>
    <w:rsid w:val="00711034"/>
    <w:rsid w:val="00711192"/>
    <w:rsid w:val="0071177F"/>
    <w:rsid w:val="007117AF"/>
    <w:rsid w:val="00711AB8"/>
    <w:rsid w:val="00711C6D"/>
    <w:rsid w:val="00711DD6"/>
    <w:rsid w:val="0071212C"/>
    <w:rsid w:val="007129E1"/>
    <w:rsid w:val="00712FF2"/>
    <w:rsid w:val="00713013"/>
    <w:rsid w:val="0071378A"/>
    <w:rsid w:val="00713835"/>
    <w:rsid w:val="00713C7E"/>
    <w:rsid w:val="007146DB"/>
    <w:rsid w:val="007148A5"/>
    <w:rsid w:val="007149B9"/>
    <w:rsid w:val="007149E3"/>
    <w:rsid w:val="007154AE"/>
    <w:rsid w:val="007159B8"/>
    <w:rsid w:val="00715D51"/>
    <w:rsid w:val="00715F6E"/>
    <w:rsid w:val="00717004"/>
    <w:rsid w:val="00717A2D"/>
    <w:rsid w:val="00717E88"/>
    <w:rsid w:val="00720EFC"/>
    <w:rsid w:val="007212AA"/>
    <w:rsid w:val="007215CA"/>
    <w:rsid w:val="00721694"/>
    <w:rsid w:val="00721F28"/>
    <w:rsid w:val="00722C1B"/>
    <w:rsid w:val="00722DFD"/>
    <w:rsid w:val="00722FE8"/>
    <w:rsid w:val="0072304C"/>
    <w:rsid w:val="0072318C"/>
    <w:rsid w:val="00723268"/>
    <w:rsid w:val="00723833"/>
    <w:rsid w:val="0072390B"/>
    <w:rsid w:val="007246ED"/>
    <w:rsid w:val="0072499B"/>
    <w:rsid w:val="007251F0"/>
    <w:rsid w:val="00725334"/>
    <w:rsid w:val="00725365"/>
    <w:rsid w:val="007253B6"/>
    <w:rsid w:val="00725998"/>
    <w:rsid w:val="00725D72"/>
    <w:rsid w:val="00725E11"/>
    <w:rsid w:val="007260A6"/>
    <w:rsid w:val="007260EA"/>
    <w:rsid w:val="007261D0"/>
    <w:rsid w:val="007263C4"/>
    <w:rsid w:val="007264AC"/>
    <w:rsid w:val="007265A1"/>
    <w:rsid w:val="007266B2"/>
    <w:rsid w:val="00726F62"/>
    <w:rsid w:val="007274FF"/>
    <w:rsid w:val="007276BC"/>
    <w:rsid w:val="0072778B"/>
    <w:rsid w:val="00727ECF"/>
    <w:rsid w:val="0073012D"/>
    <w:rsid w:val="007305C2"/>
    <w:rsid w:val="0073093E"/>
    <w:rsid w:val="007309BD"/>
    <w:rsid w:val="007309C7"/>
    <w:rsid w:val="00730CB6"/>
    <w:rsid w:val="00731278"/>
    <w:rsid w:val="00731339"/>
    <w:rsid w:val="0073154D"/>
    <w:rsid w:val="00731B53"/>
    <w:rsid w:val="00731BF4"/>
    <w:rsid w:val="00731C51"/>
    <w:rsid w:val="00732062"/>
    <w:rsid w:val="00732E0B"/>
    <w:rsid w:val="007331A3"/>
    <w:rsid w:val="00733828"/>
    <w:rsid w:val="00733A27"/>
    <w:rsid w:val="00733A70"/>
    <w:rsid w:val="00733ABE"/>
    <w:rsid w:val="00733B83"/>
    <w:rsid w:val="00733CF8"/>
    <w:rsid w:val="00733DB8"/>
    <w:rsid w:val="00734351"/>
    <w:rsid w:val="0073451D"/>
    <w:rsid w:val="007346AF"/>
    <w:rsid w:val="00734887"/>
    <w:rsid w:val="00734A07"/>
    <w:rsid w:val="00734B98"/>
    <w:rsid w:val="00734D54"/>
    <w:rsid w:val="00735403"/>
    <w:rsid w:val="0073540D"/>
    <w:rsid w:val="00735461"/>
    <w:rsid w:val="0073555A"/>
    <w:rsid w:val="00735D0F"/>
    <w:rsid w:val="00735EB9"/>
    <w:rsid w:val="00736065"/>
    <w:rsid w:val="007360E7"/>
    <w:rsid w:val="00736154"/>
    <w:rsid w:val="00736205"/>
    <w:rsid w:val="00736702"/>
    <w:rsid w:val="00736793"/>
    <w:rsid w:val="007367E0"/>
    <w:rsid w:val="00736E52"/>
    <w:rsid w:val="00736F45"/>
    <w:rsid w:val="00737556"/>
    <w:rsid w:val="007378E1"/>
    <w:rsid w:val="0073863E"/>
    <w:rsid w:val="00740307"/>
    <w:rsid w:val="007406C9"/>
    <w:rsid w:val="007406CF"/>
    <w:rsid w:val="00740AAE"/>
    <w:rsid w:val="00740FCD"/>
    <w:rsid w:val="00741167"/>
    <w:rsid w:val="00741684"/>
    <w:rsid w:val="00742945"/>
    <w:rsid w:val="00742B4E"/>
    <w:rsid w:val="00742F19"/>
    <w:rsid w:val="00743299"/>
    <w:rsid w:val="00743355"/>
    <w:rsid w:val="0074335B"/>
    <w:rsid w:val="0074346D"/>
    <w:rsid w:val="007437C4"/>
    <w:rsid w:val="00743CE6"/>
    <w:rsid w:val="00743D69"/>
    <w:rsid w:val="007444AA"/>
    <w:rsid w:val="007448B0"/>
    <w:rsid w:val="00745759"/>
    <w:rsid w:val="00745C47"/>
    <w:rsid w:val="00745C77"/>
    <w:rsid w:val="00745C92"/>
    <w:rsid w:val="00745EF4"/>
    <w:rsid w:val="00745FE2"/>
    <w:rsid w:val="007463A7"/>
    <w:rsid w:val="007464B3"/>
    <w:rsid w:val="00746BEB"/>
    <w:rsid w:val="00746C9C"/>
    <w:rsid w:val="00746EB8"/>
    <w:rsid w:val="00747216"/>
    <w:rsid w:val="007473E6"/>
    <w:rsid w:val="007476B1"/>
    <w:rsid w:val="007476FD"/>
    <w:rsid w:val="00747C09"/>
    <w:rsid w:val="00747E01"/>
    <w:rsid w:val="00750699"/>
    <w:rsid w:val="00750781"/>
    <w:rsid w:val="00750794"/>
    <w:rsid w:val="0075079B"/>
    <w:rsid w:val="007507A7"/>
    <w:rsid w:val="00750993"/>
    <w:rsid w:val="00750CE7"/>
    <w:rsid w:val="00751845"/>
    <w:rsid w:val="0075185B"/>
    <w:rsid w:val="00751B31"/>
    <w:rsid w:val="00751C39"/>
    <w:rsid w:val="00751D81"/>
    <w:rsid w:val="00751F8B"/>
    <w:rsid w:val="00752717"/>
    <w:rsid w:val="00752AF9"/>
    <w:rsid w:val="00752C32"/>
    <w:rsid w:val="00753D67"/>
    <w:rsid w:val="007540A2"/>
    <w:rsid w:val="007542F9"/>
    <w:rsid w:val="00754CFB"/>
    <w:rsid w:val="00754D55"/>
    <w:rsid w:val="00754EB5"/>
    <w:rsid w:val="00755266"/>
    <w:rsid w:val="007552D1"/>
    <w:rsid w:val="00755408"/>
    <w:rsid w:val="00755AFC"/>
    <w:rsid w:val="00755B7F"/>
    <w:rsid w:val="00755BAD"/>
    <w:rsid w:val="00755BD3"/>
    <w:rsid w:val="00755FA6"/>
    <w:rsid w:val="007562F5"/>
    <w:rsid w:val="00756515"/>
    <w:rsid w:val="0075652F"/>
    <w:rsid w:val="00756676"/>
    <w:rsid w:val="00756B3E"/>
    <w:rsid w:val="00756BF1"/>
    <w:rsid w:val="00756C48"/>
    <w:rsid w:val="00757412"/>
    <w:rsid w:val="00757688"/>
    <w:rsid w:val="00757AA9"/>
    <w:rsid w:val="00757AF6"/>
    <w:rsid w:val="00757B01"/>
    <w:rsid w:val="00757D8F"/>
    <w:rsid w:val="0076004D"/>
    <w:rsid w:val="007601ED"/>
    <w:rsid w:val="0076027A"/>
    <w:rsid w:val="0076121B"/>
    <w:rsid w:val="0076139F"/>
    <w:rsid w:val="007614FF"/>
    <w:rsid w:val="007616D4"/>
    <w:rsid w:val="007617C7"/>
    <w:rsid w:val="00761945"/>
    <w:rsid w:val="00761E6A"/>
    <w:rsid w:val="00761E81"/>
    <w:rsid w:val="00761FB9"/>
    <w:rsid w:val="00762117"/>
    <w:rsid w:val="007621DE"/>
    <w:rsid w:val="007625EF"/>
    <w:rsid w:val="007627A5"/>
    <w:rsid w:val="00762962"/>
    <w:rsid w:val="007629BF"/>
    <w:rsid w:val="00762F63"/>
    <w:rsid w:val="0076315F"/>
    <w:rsid w:val="007635B5"/>
    <w:rsid w:val="00763E64"/>
    <w:rsid w:val="0076412C"/>
    <w:rsid w:val="0076448C"/>
    <w:rsid w:val="00764A8B"/>
    <w:rsid w:val="00764CA6"/>
    <w:rsid w:val="00764D61"/>
    <w:rsid w:val="00764F69"/>
    <w:rsid w:val="00765BF7"/>
    <w:rsid w:val="00765C28"/>
    <w:rsid w:val="0076625B"/>
    <w:rsid w:val="007664FA"/>
    <w:rsid w:val="00766C47"/>
    <w:rsid w:val="00766F06"/>
    <w:rsid w:val="007677CD"/>
    <w:rsid w:val="007678D5"/>
    <w:rsid w:val="00767C95"/>
    <w:rsid w:val="007705FE"/>
    <w:rsid w:val="00770806"/>
    <w:rsid w:val="007708F0"/>
    <w:rsid w:val="007708F1"/>
    <w:rsid w:val="00770E29"/>
    <w:rsid w:val="00770F59"/>
    <w:rsid w:val="00770FD5"/>
    <w:rsid w:val="0077124A"/>
    <w:rsid w:val="007714BA"/>
    <w:rsid w:val="007714C9"/>
    <w:rsid w:val="0077178B"/>
    <w:rsid w:val="00771889"/>
    <w:rsid w:val="00771A7E"/>
    <w:rsid w:val="00771DB3"/>
    <w:rsid w:val="007721AF"/>
    <w:rsid w:val="0077228F"/>
    <w:rsid w:val="00772B8D"/>
    <w:rsid w:val="00772DCE"/>
    <w:rsid w:val="00773300"/>
    <w:rsid w:val="007739BC"/>
    <w:rsid w:val="00773C88"/>
    <w:rsid w:val="00773C90"/>
    <w:rsid w:val="007742E3"/>
    <w:rsid w:val="0077434B"/>
    <w:rsid w:val="00774400"/>
    <w:rsid w:val="00774417"/>
    <w:rsid w:val="00774514"/>
    <w:rsid w:val="007747A3"/>
    <w:rsid w:val="00774D01"/>
    <w:rsid w:val="00774E4C"/>
    <w:rsid w:val="0077550C"/>
    <w:rsid w:val="007755C1"/>
    <w:rsid w:val="00775770"/>
    <w:rsid w:val="0077588E"/>
    <w:rsid w:val="00775AA4"/>
    <w:rsid w:val="00775B3A"/>
    <w:rsid w:val="00775E92"/>
    <w:rsid w:val="007760AD"/>
    <w:rsid w:val="00776106"/>
    <w:rsid w:val="0077610E"/>
    <w:rsid w:val="00776B01"/>
    <w:rsid w:val="00776B3E"/>
    <w:rsid w:val="00776D76"/>
    <w:rsid w:val="007772AB"/>
    <w:rsid w:val="007772B8"/>
    <w:rsid w:val="0077750B"/>
    <w:rsid w:val="0077784F"/>
    <w:rsid w:val="00777BC8"/>
    <w:rsid w:val="00777CE9"/>
    <w:rsid w:val="00777D8C"/>
    <w:rsid w:val="00780053"/>
    <w:rsid w:val="00780592"/>
    <w:rsid w:val="0078068B"/>
    <w:rsid w:val="007816E8"/>
    <w:rsid w:val="00781746"/>
    <w:rsid w:val="007817EF"/>
    <w:rsid w:val="0078199F"/>
    <w:rsid w:val="007819AE"/>
    <w:rsid w:val="00781B4D"/>
    <w:rsid w:val="00781D02"/>
    <w:rsid w:val="00781D4D"/>
    <w:rsid w:val="00781D64"/>
    <w:rsid w:val="0078290B"/>
    <w:rsid w:val="00782B5D"/>
    <w:rsid w:val="00782D01"/>
    <w:rsid w:val="0078322E"/>
    <w:rsid w:val="007832CC"/>
    <w:rsid w:val="00783941"/>
    <w:rsid w:val="0078469E"/>
    <w:rsid w:val="00784A18"/>
    <w:rsid w:val="00784BAD"/>
    <w:rsid w:val="00784E06"/>
    <w:rsid w:val="007852EC"/>
    <w:rsid w:val="007854C7"/>
    <w:rsid w:val="00785B54"/>
    <w:rsid w:val="00785BEB"/>
    <w:rsid w:val="00786142"/>
    <w:rsid w:val="00786701"/>
    <w:rsid w:val="00786B08"/>
    <w:rsid w:val="00786C93"/>
    <w:rsid w:val="00786EB0"/>
    <w:rsid w:val="00786ED5"/>
    <w:rsid w:val="00787173"/>
    <w:rsid w:val="007874E4"/>
    <w:rsid w:val="00787D9F"/>
    <w:rsid w:val="007907D3"/>
    <w:rsid w:val="00790A5B"/>
    <w:rsid w:val="00790B36"/>
    <w:rsid w:val="00791251"/>
    <w:rsid w:val="00791413"/>
    <w:rsid w:val="0079141C"/>
    <w:rsid w:val="0079143C"/>
    <w:rsid w:val="007921E4"/>
    <w:rsid w:val="00792220"/>
    <w:rsid w:val="007923D6"/>
    <w:rsid w:val="007923EC"/>
    <w:rsid w:val="007924F8"/>
    <w:rsid w:val="007928C2"/>
    <w:rsid w:val="00792F35"/>
    <w:rsid w:val="00793058"/>
    <w:rsid w:val="00793211"/>
    <w:rsid w:val="00793B29"/>
    <w:rsid w:val="0079416D"/>
    <w:rsid w:val="00794370"/>
    <w:rsid w:val="0079456B"/>
    <w:rsid w:val="00794574"/>
    <w:rsid w:val="00794751"/>
    <w:rsid w:val="007949CB"/>
    <w:rsid w:val="00794BB9"/>
    <w:rsid w:val="00794EF8"/>
    <w:rsid w:val="00794F1B"/>
    <w:rsid w:val="007953B1"/>
    <w:rsid w:val="007955C5"/>
    <w:rsid w:val="00795AF2"/>
    <w:rsid w:val="00795BBE"/>
    <w:rsid w:val="007961D2"/>
    <w:rsid w:val="007968DC"/>
    <w:rsid w:val="007969D9"/>
    <w:rsid w:val="00796B1B"/>
    <w:rsid w:val="00796B9F"/>
    <w:rsid w:val="00797275"/>
    <w:rsid w:val="00797773"/>
    <w:rsid w:val="00797790"/>
    <w:rsid w:val="007979EC"/>
    <w:rsid w:val="00797A6F"/>
    <w:rsid w:val="00797C16"/>
    <w:rsid w:val="007A00E6"/>
    <w:rsid w:val="007A00F6"/>
    <w:rsid w:val="007A01E9"/>
    <w:rsid w:val="007A0422"/>
    <w:rsid w:val="007A0D9A"/>
    <w:rsid w:val="007A0DDF"/>
    <w:rsid w:val="007A0E22"/>
    <w:rsid w:val="007A0EC3"/>
    <w:rsid w:val="007A106C"/>
    <w:rsid w:val="007A1274"/>
    <w:rsid w:val="007A184A"/>
    <w:rsid w:val="007A1C0F"/>
    <w:rsid w:val="007A1C9F"/>
    <w:rsid w:val="007A235B"/>
    <w:rsid w:val="007A2C52"/>
    <w:rsid w:val="007A2E56"/>
    <w:rsid w:val="007A32EF"/>
    <w:rsid w:val="007A344C"/>
    <w:rsid w:val="007A35A3"/>
    <w:rsid w:val="007A3A2F"/>
    <w:rsid w:val="007A3E71"/>
    <w:rsid w:val="007A3F2F"/>
    <w:rsid w:val="007A3FC2"/>
    <w:rsid w:val="007A4171"/>
    <w:rsid w:val="007A434E"/>
    <w:rsid w:val="007A43BC"/>
    <w:rsid w:val="007A5351"/>
    <w:rsid w:val="007A5492"/>
    <w:rsid w:val="007A54DB"/>
    <w:rsid w:val="007A6188"/>
    <w:rsid w:val="007A64F3"/>
    <w:rsid w:val="007A67AB"/>
    <w:rsid w:val="007A6A4C"/>
    <w:rsid w:val="007A72D4"/>
    <w:rsid w:val="007A73C0"/>
    <w:rsid w:val="007A78AC"/>
    <w:rsid w:val="007A7939"/>
    <w:rsid w:val="007A7B23"/>
    <w:rsid w:val="007A7E01"/>
    <w:rsid w:val="007B0715"/>
    <w:rsid w:val="007B083B"/>
    <w:rsid w:val="007B0CA9"/>
    <w:rsid w:val="007B1597"/>
    <w:rsid w:val="007B19B9"/>
    <w:rsid w:val="007B1B5B"/>
    <w:rsid w:val="007B1CB1"/>
    <w:rsid w:val="007B1DB7"/>
    <w:rsid w:val="007B2759"/>
    <w:rsid w:val="007B35B2"/>
    <w:rsid w:val="007B3A91"/>
    <w:rsid w:val="007B3AB3"/>
    <w:rsid w:val="007B4132"/>
    <w:rsid w:val="007B429E"/>
    <w:rsid w:val="007B4A46"/>
    <w:rsid w:val="007B4C5A"/>
    <w:rsid w:val="007B512C"/>
    <w:rsid w:val="007B5504"/>
    <w:rsid w:val="007B552B"/>
    <w:rsid w:val="007B5966"/>
    <w:rsid w:val="007B5985"/>
    <w:rsid w:val="007B59BD"/>
    <w:rsid w:val="007B5A15"/>
    <w:rsid w:val="007B5A3B"/>
    <w:rsid w:val="007B5AC2"/>
    <w:rsid w:val="007B6085"/>
    <w:rsid w:val="007B67A3"/>
    <w:rsid w:val="007B6A43"/>
    <w:rsid w:val="007B6EB1"/>
    <w:rsid w:val="007B6F76"/>
    <w:rsid w:val="007B745B"/>
    <w:rsid w:val="007B7580"/>
    <w:rsid w:val="007B76DF"/>
    <w:rsid w:val="007B7A26"/>
    <w:rsid w:val="007C0A3C"/>
    <w:rsid w:val="007C0CEF"/>
    <w:rsid w:val="007C0ED6"/>
    <w:rsid w:val="007C0F0B"/>
    <w:rsid w:val="007C10B9"/>
    <w:rsid w:val="007C1857"/>
    <w:rsid w:val="007C1EBC"/>
    <w:rsid w:val="007C25A1"/>
    <w:rsid w:val="007C2738"/>
    <w:rsid w:val="007C2789"/>
    <w:rsid w:val="007C2C24"/>
    <w:rsid w:val="007C32ED"/>
    <w:rsid w:val="007C33D5"/>
    <w:rsid w:val="007C36ED"/>
    <w:rsid w:val="007C3EEB"/>
    <w:rsid w:val="007C4051"/>
    <w:rsid w:val="007C4C72"/>
    <w:rsid w:val="007C50D1"/>
    <w:rsid w:val="007C5740"/>
    <w:rsid w:val="007C58EC"/>
    <w:rsid w:val="007C593E"/>
    <w:rsid w:val="007C5952"/>
    <w:rsid w:val="007C5E37"/>
    <w:rsid w:val="007C5EB3"/>
    <w:rsid w:val="007C5F81"/>
    <w:rsid w:val="007C6AE4"/>
    <w:rsid w:val="007C7265"/>
    <w:rsid w:val="007C72FE"/>
    <w:rsid w:val="007C7546"/>
    <w:rsid w:val="007C754B"/>
    <w:rsid w:val="007C764B"/>
    <w:rsid w:val="007C7CF9"/>
    <w:rsid w:val="007D00AA"/>
    <w:rsid w:val="007D039F"/>
    <w:rsid w:val="007D07D1"/>
    <w:rsid w:val="007D0BF0"/>
    <w:rsid w:val="007D0E79"/>
    <w:rsid w:val="007D2670"/>
    <w:rsid w:val="007D286C"/>
    <w:rsid w:val="007D2FAE"/>
    <w:rsid w:val="007D319B"/>
    <w:rsid w:val="007D35E8"/>
    <w:rsid w:val="007D380F"/>
    <w:rsid w:val="007D38DC"/>
    <w:rsid w:val="007D4578"/>
    <w:rsid w:val="007D4918"/>
    <w:rsid w:val="007D49D7"/>
    <w:rsid w:val="007D4CC2"/>
    <w:rsid w:val="007D5597"/>
    <w:rsid w:val="007D59C5"/>
    <w:rsid w:val="007D5A0A"/>
    <w:rsid w:val="007D5A0F"/>
    <w:rsid w:val="007D5C36"/>
    <w:rsid w:val="007D5ECE"/>
    <w:rsid w:val="007D60D0"/>
    <w:rsid w:val="007D60FE"/>
    <w:rsid w:val="007D6352"/>
    <w:rsid w:val="007D66CD"/>
    <w:rsid w:val="007D66CE"/>
    <w:rsid w:val="007D6995"/>
    <w:rsid w:val="007D70B7"/>
    <w:rsid w:val="007D71D2"/>
    <w:rsid w:val="007D7917"/>
    <w:rsid w:val="007D7C18"/>
    <w:rsid w:val="007D7CAA"/>
    <w:rsid w:val="007E04E0"/>
    <w:rsid w:val="007E06C1"/>
    <w:rsid w:val="007E1D56"/>
    <w:rsid w:val="007E1F7B"/>
    <w:rsid w:val="007E21D4"/>
    <w:rsid w:val="007E222D"/>
    <w:rsid w:val="007E235C"/>
    <w:rsid w:val="007E2572"/>
    <w:rsid w:val="007E2A81"/>
    <w:rsid w:val="007E2B16"/>
    <w:rsid w:val="007E3514"/>
    <w:rsid w:val="007E373D"/>
    <w:rsid w:val="007E3A1F"/>
    <w:rsid w:val="007E3F61"/>
    <w:rsid w:val="007E4374"/>
    <w:rsid w:val="007E4548"/>
    <w:rsid w:val="007E4887"/>
    <w:rsid w:val="007E4ADD"/>
    <w:rsid w:val="007E58D9"/>
    <w:rsid w:val="007E5A87"/>
    <w:rsid w:val="007E5C5B"/>
    <w:rsid w:val="007E6039"/>
    <w:rsid w:val="007E61EF"/>
    <w:rsid w:val="007E6DED"/>
    <w:rsid w:val="007E6FC1"/>
    <w:rsid w:val="007E73B1"/>
    <w:rsid w:val="007E7457"/>
    <w:rsid w:val="007E7465"/>
    <w:rsid w:val="007E7A0C"/>
    <w:rsid w:val="007E7AD5"/>
    <w:rsid w:val="007F010B"/>
    <w:rsid w:val="007F0AE1"/>
    <w:rsid w:val="007F1370"/>
    <w:rsid w:val="007F1614"/>
    <w:rsid w:val="007F16D7"/>
    <w:rsid w:val="007F1F00"/>
    <w:rsid w:val="007F27CD"/>
    <w:rsid w:val="007F2C14"/>
    <w:rsid w:val="007F2FF3"/>
    <w:rsid w:val="007F33B9"/>
    <w:rsid w:val="007F372A"/>
    <w:rsid w:val="007F3A24"/>
    <w:rsid w:val="007F3CB6"/>
    <w:rsid w:val="007F3D4E"/>
    <w:rsid w:val="007F3EF1"/>
    <w:rsid w:val="007F43C9"/>
    <w:rsid w:val="007F46B0"/>
    <w:rsid w:val="007F4916"/>
    <w:rsid w:val="007F4A09"/>
    <w:rsid w:val="007F4A28"/>
    <w:rsid w:val="007F4D94"/>
    <w:rsid w:val="007F4E05"/>
    <w:rsid w:val="007F53C6"/>
    <w:rsid w:val="007F5919"/>
    <w:rsid w:val="007F59B6"/>
    <w:rsid w:val="007F6854"/>
    <w:rsid w:val="007F6C2A"/>
    <w:rsid w:val="007F6CB8"/>
    <w:rsid w:val="007F6E8B"/>
    <w:rsid w:val="007F701D"/>
    <w:rsid w:val="007F716A"/>
    <w:rsid w:val="007F7619"/>
    <w:rsid w:val="007F76BD"/>
    <w:rsid w:val="007F77AA"/>
    <w:rsid w:val="00800715"/>
    <w:rsid w:val="00800AEB"/>
    <w:rsid w:val="00800EAD"/>
    <w:rsid w:val="00800EE4"/>
    <w:rsid w:val="008010D8"/>
    <w:rsid w:val="00801715"/>
    <w:rsid w:val="00802397"/>
    <w:rsid w:val="0080298D"/>
    <w:rsid w:val="00802A97"/>
    <w:rsid w:val="00802AD3"/>
    <w:rsid w:val="00802C67"/>
    <w:rsid w:val="00802CE9"/>
    <w:rsid w:val="00803483"/>
    <w:rsid w:val="00803498"/>
    <w:rsid w:val="008039B9"/>
    <w:rsid w:val="008039D8"/>
    <w:rsid w:val="00803E64"/>
    <w:rsid w:val="00803EE8"/>
    <w:rsid w:val="00804271"/>
    <w:rsid w:val="00804BDB"/>
    <w:rsid w:val="0080594E"/>
    <w:rsid w:val="00806278"/>
    <w:rsid w:val="008069EB"/>
    <w:rsid w:val="00806D1E"/>
    <w:rsid w:val="00806E01"/>
    <w:rsid w:val="00806E36"/>
    <w:rsid w:val="00806F8E"/>
    <w:rsid w:val="00807A0E"/>
    <w:rsid w:val="00807CDC"/>
    <w:rsid w:val="00807E82"/>
    <w:rsid w:val="008101B3"/>
    <w:rsid w:val="00810408"/>
    <w:rsid w:val="0081088A"/>
    <w:rsid w:val="00810A11"/>
    <w:rsid w:val="00810CC5"/>
    <w:rsid w:val="00810D25"/>
    <w:rsid w:val="00811186"/>
    <w:rsid w:val="00811B40"/>
    <w:rsid w:val="00811D2A"/>
    <w:rsid w:val="00811F5D"/>
    <w:rsid w:val="008120B8"/>
    <w:rsid w:val="00812133"/>
    <w:rsid w:val="00812497"/>
    <w:rsid w:val="00812A39"/>
    <w:rsid w:val="00812D17"/>
    <w:rsid w:val="00813206"/>
    <w:rsid w:val="0081331B"/>
    <w:rsid w:val="00813447"/>
    <w:rsid w:val="0081391A"/>
    <w:rsid w:val="00813A7E"/>
    <w:rsid w:val="00814182"/>
    <w:rsid w:val="008145AC"/>
    <w:rsid w:val="0081493E"/>
    <w:rsid w:val="00814B1D"/>
    <w:rsid w:val="0081589E"/>
    <w:rsid w:val="008158F8"/>
    <w:rsid w:val="00815967"/>
    <w:rsid w:val="00815A99"/>
    <w:rsid w:val="00816434"/>
    <w:rsid w:val="00817590"/>
    <w:rsid w:val="00817CB9"/>
    <w:rsid w:val="008201C7"/>
    <w:rsid w:val="00820763"/>
    <w:rsid w:val="00820B5E"/>
    <w:rsid w:val="008210CB"/>
    <w:rsid w:val="00821669"/>
    <w:rsid w:val="00821B11"/>
    <w:rsid w:val="00821F92"/>
    <w:rsid w:val="00822394"/>
    <w:rsid w:val="00822430"/>
    <w:rsid w:val="00822457"/>
    <w:rsid w:val="0082284E"/>
    <w:rsid w:val="00822BA7"/>
    <w:rsid w:val="00822DD1"/>
    <w:rsid w:val="00822F29"/>
    <w:rsid w:val="00823445"/>
    <w:rsid w:val="0082367F"/>
    <w:rsid w:val="00823917"/>
    <w:rsid w:val="00824474"/>
    <w:rsid w:val="00824B15"/>
    <w:rsid w:val="00824B20"/>
    <w:rsid w:val="00824BCE"/>
    <w:rsid w:val="00824F53"/>
    <w:rsid w:val="008255E0"/>
    <w:rsid w:val="008258B8"/>
    <w:rsid w:val="00825C78"/>
    <w:rsid w:val="0082620D"/>
    <w:rsid w:val="00826485"/>
    <w:rsid w:val="008266FC"/>
    <w:rsid w:val="008268F1"/>
    <w:rsid w:val="00826A0F"/>
    <w:rsid w:val="00826A36"/>
    <w:rsid w:val="00826BB9"/>
    <w:rsid w:val="008271D8"/>
    <w:rsid w:val="008275E1"/>
    <w:rsid w:val="008275ED"/>
    <w:rsid w:val="008276EA"/>
    <w:rsid w:val="00827BB6"/>
    <w:rsid w:val="008303C1"/>
    <w:rsid w:val="00830A0B"/>
    <w:rsid w:val="00830BA2"/>
    <w:rsid w:val="00830C63"/>
    <w:rsid w:val="0083124D"/>
    <w:rsid w:val="0083190A"/>
    <w:rsid w:val="00831E1D"/>
    <w:rsid w:val="00831FCE"/>
    <w:rsid w:val="00832A9B"/>
    <w:rsid w:val="00832EDB"/>
    <w:rsid w:val="00833096"/>
    <w:rsid w:val="0083352F"/>
    <w:rsid w:val="00833BC0"/>
    <w:rsid w:val="0083410E"/>
    <w:rsid w:val="0083413B"/>
    <w:rsid w:val="00834412"/>
    <w:rsid w:val="008344F3"/>
    <w:rsid w:val="00834B6C"/>
    <w:rsid w:val="00835126"/>
    <w:rsid w:val="0083532E"/>
    <w:rsid w:val="008356F9"/>
    <w:rsid w:val="00835906"/>
    <w:rsid w:val="00835909"/>
    <w:rsid w:val="00835987"/>
    <w:rsid w:val="00835B29"/>
    <w:rsid w:val="00835D2E"/>
    <w:rsid w:val="00836444"/>
    <w:rsid w:val="008365B3"/>
    <w:rsid w:val="00837661"/>
    <w:rsid w:val="008377DC"/>
    <w:rsid w:val="0083782C"/>
    <w:rsid w:val="008379C5"/>
    <w:rsid w:val="0084000F"/>
    <w:rsid w:val="008405FB"/>
    <w:rsid w:val="0084064E"/>
    <w:rsid w:val="00840687"/>
    <w:rsid w:val="008408BD"/>
    <w:rsid w:val="00840C44"/>
    <w:rsid w:val="00840D6B"/>
    <w:rsid w:val="00842085"/>
    <w:rsid w:val="0084290B"/>
    <w:rsid w:val="00842AAE"/>
    <w:rsid w:val="00842B94"/>
    <w:rsid w:val="00842BE5"/>
    <w:rsid w:val="008433E8"/>
    <w:rsid w:val="008435BE"/>
    <w:rsid w:val="00843A88"/>
    <w:rsid w:val="00843D00"/>
    <w:rsid w:val="00843E55"/>
    <w:rsid w:val="00844144"/>
    <w:rsid w:val="00844380"/>
    <w:rsid w:val="00844786"/>
    <w:rsid w:val="008448BF"/>
    <w:rsid w:val="00844BC6"/>
    <w:rsid w:val="00844DA9"/>
    <w:rsid w:val="0084517D"/>
    <w:rsid w:val="00845701"/>
    <w:rsid w:val="00845A52"/>
    <w:rsid w:val="00845CA2"/>
    <w:rsid w:val="00845D75"/>
    <w:rsid w:val="00845F24"/>
    <w:rsid w:val="00845FC4"/>
    <w:rsid w:val="008461B2"/>
    <w:rsid w:val="00846224"/>
    <w:rsid w:val="00846F00"/>
    <w:rsid w:val="008473BE"/>
    <w:rsid w:val="00847510"/>
    <w:rsid w:val="0084754D"/>
    <w:rsid w:val="0084775E"/>
    <w:rsid w:val="00847FAB"/>
    <w:rsid w:val="008500EA"/>
    <w:rsid w:val="008501D8"/>
    <w:rsid w:val="0085032C"/>
    <w:rsid w:val="008507A8"/>
    <w:rsid w:val="008509E3"/>
    <w:rsid w:val="00850EAB"/>
    <w:rsid w:val="00850F0C"/>
    <w:rsid w:val="008511CA"/>
    <w:rsid w:val="00851371"/>
    <w:rsid w:val="00851635"/>
    <w:rsid w:val="008516AD"/>
    <w:rsid w:val="008519B5"/>
    <w:rsid w:val="008520A6"/>
    <w:rsid w:val="00852106"/>
    <w:rsid w:val="008522CC"/>
    <w:rsid w:val="00852ACF"/>
    <w:rsid w:val="008530C3"/>
    <w:rsid w:val="008532B4"/>
    <w:rsid w:val="0085357E"/>
    <w:rsid w:val="008535C1"/>
    <w:rsid w:val="008537AF"/>
    <w:rsid w:val="00854225"/>
    <w:rsid w:val="0085486A"/>
    <w:rsid w:val="00854BE8"/>
    <w:rsid w:val="00854D2B"/>
    <w:rsid w:val="008553BC"/>
    <w:rsid w:val="00855A65"/>
    <w:rsid w:val="00855E21"/>
    <w:rsid w:val="008561C1"/>
    <w:rsid w:val="0085621D"/>
    <w:rsid w:val="00856286"/>
    <w:rsid w:val="00856351"/>
    <w:rsid w:val="008566CF"/>
    <w:rsid w:val="008568E4"/>
    <w:rsid w:val="00856B10"/>
    <w:rsid w:val="00856D9B"/>
    <w:rsid w:val="00857E51"/>
    <w:rsid w:val="00860C36"/>
    <w:rsid w:val="00860F72"/>
    <w:rsid w:val="00861007"/>
    <w:rsid w:val="008610B9"/>
    <w:rsid w:val="0086112A"/>
    <w:rsid w:val="00861450"/>
    <w:rsid w:val="008614F6"/>
    <w:rsid w:val="00861FCC"/>
    <w:rsid w:val="00861FDD"/>
    <w:rsid w:val="00862089"/>
    <w:rsid w:val="008620C2"/>
    <w:rsid w:val="00862215"/>
    <w:rsid w:val="008622E3"/>
    <w:rsid w:val="00862707"/>
    <w:rsid w:val="00863C4C"/>
    <w:rsid w:val="00863C59"/>
    <w:rsid w:val="00863EA9"/>
    <w:rsid w:val="0086493B"/>
    <w:rsid w:val="00864C65"/>
    <w:rsid w:val="00865563"/>
    <w:rsid w:val="008658BB"/>
    <w:rsid w:val="00865947"/>
    <w:rsid w:val="00865AAD"/>
    <w:rsid w:val="00865ADA"/>
    <w:rsid w:val="00865D41"/>
    <w:rsid w:val="00865D9E"/>
    <w:rsid w:val="00865F15"/>
    <w:rsid w:val="00865FA0"/>
    <w:rsid w:val="008661B8"/>
    <w:rsid w:val="0086645F"/>
    <w:rsid w:val="00866723"/>
    <w:rsid w:val="00866D53"/>
    <w:rsid w:val="008671F5"/>
    <w:rsid w:val="0086736A"/>
    <w:rsid w:val="00867575"/>
    <w:rsid w:val="008675C7"/>
    <w:rsid w:val="0087007E"/>
    <w:rsid w:val="00870ABB"/>
    <w:rsid w:val="00870ED7"/>
    <w:rsid w:val="008711E6"/>
    <w:rsid w:val="008715E1"/>
    <w:rsid w:val="00871D59"/>
    <w:rsid w:val="008721C5"/>
    <w:rsid w:val="0087261B"/>
    <w:rsid w:val="0087292A"/>
    <w:rsid w:val="00872A51"/>
    <w:rsid w:val="00872A81"/>
    <w:rsid w:val="00872AE1"/>
    <w:rsid w:val="00872E88"/>
    <w:rsid w:val="00872FDF"/>
    <w:rsid w:val="00873266"/>
    <w:rsid w:val="008734FD"/>
    <w:rsid w:val="008738D8"/>
    <w:rsid w:val="00873BFE"/>
    <w:rsid w:val="00873E31"/>
    <w:rsid w:val="00873FC2"/>
    <w:rsid w:val="00874044"/>
    <w:rsid w:val="008741D5"/>
    <w:rsid w:val="00874235"/>
    <w:rsid w:val="00874944"/>
    <w:rsid w:val="00874F7D"/>
    <w:rsid w:val="008751B4"/>
    <w:rsid w:val="008751BA"/>
    <w:rsid w:val="008755A3"/>
    <w:rsid w:val="00876061"/>
    <w:rsid w:val="00876449"/>
    <w:rsid w:val="00876629"/>
    <w:rsid w:val="00877845"/>
    <w:rsid w:val="00877986"/>
    <w:rsid w:val="008779F1"/>
    <w:rsid w:val="00877E87"/>
    <w:rsid w:val="00880295"/>
    <w:rsid w:val="0088080B"/>
    <w:rsid w:val="00880FD5"/>
    <w:rsid w:val="0088120E"/>
    <w:rsid w:val="00881873"/>
    <w:rsid w:val="00881C14"/>
    <w:rsid w:val="00881FC7"/>
    <w:rsid w:val="008823E8"/>
    <w:rsid w:val="008833C6"/>
    <w:rsid w:val="008834E2"/>
    <w:rsid w:val="00883692"/>
    <w:rsid w:val="00883705"/>
    <w:rsid w:val="00883878"/>
    <w:rsid w:val="008839E0"/>
    <w:rsid w:val="00883B1B"/>
    <w:rsid w:val="00883CB6"/>
    <w:rsid w:val="00883F21"/>
    <w:rsid w:val="008840A2"/>
    <w:rsid w:val="00884389"/>
    <w:rsid w:val="0088464F"/>
    <w:rsid w:val="00885077"/>
    <w:rsid w:val="0088575D"/>
    <w:rsid w:val="0088592E"/>
    <w:rsid w:val="0088618A"/>
    <w:rsid w:val="0088619B"/>
    <w:rsid w:val="0088691A"/>
    <w:rsid w:val="00886B53"/>
    <w:rsid w:val="00886C83"/>
    <w:rsid w:val="00886D7E"/>
    <w:rsid w:val="008871EE"/>
    <w:rsid w:val="008876B1"/>
    <w:rsid w:val="008876FF"/>
    <w:rsid w:val="00887ECB"/>
    <w:rsid w:val="00890328"/>
    <w:rsid w:val="008903A6"/>
    <w:rsid w:val="008903C9"/>
    <w:rsid w:val="0089092D"/>
    <w:rsid w:val="00890A65"/>
    <w:rsid w:val="00890D34"/>
    <w:rsid w:val="00890EFA"/>
    <w:rsid w:val="008910F3"/>
    <w:rsid w:val="00891220"/>
    <w:rsid w:val="00891427"/>
    <w:rsid w:val="0089146B"/>
    <w:rsid w:val="00891476"/>
    <w:rsid w:val="008915EE"/>
    <w:rsid w:val="00891AA3"/>
    <w:rsid w:val="00891BEB"/>
    <w:rsid w:val="00891C45"/>
    <w:rsid w:val="008924AD"/>
    <w:rsid w:val="008927DA"/>
    <w:rsid w:val="008928D5"/>
    <w:rsid w:val="00892DED"/>
    <w:rsid w:val="00893121"/>
    <w:rsid w:val="0089319A"/>
    <w:rsid w:val="00893BA5"/>
    <w:rsid w:val="00893D9B"/>
    <w:rsid w:val="00894108"/>
    <w:rsid w:val="008941B0"/>
    <w:rsid w:val="00894BB9"/>
    <w:rsid w:val="00895621"/>
    <w:rsid w:val="00895F85"/>
    <w:rsid w:val="00896131"/>
    <w:rsid w:val="008965F1"/>
    <w:rsid w:val="00896917"/>
    <w:rsid w:val="00896947"/>
    <w:rsid w:val="008969A1"/>
    <w:rsid w:val="008974DB"/>
    <w:rsid w:val="0089776A"/>
    <w:rsid w:val="00897FF2"/>
    <w:rsid w:val="008A00AD"/>
    <w:rsid w:val="008A0128"/>
    <w:rsid w:val="008A0270"/>
    <w:rsid w:val="008A067D"/>
    <w:rsid w:val="008A0AF9"/>
    <w:rsid w:val="008A0DE6"/>
    <w:rsid w:val="008A0EBF"/>
    <w:rsid w:val="008A1127"/>
    <w:rsid w:val="008A12E3"/>
    <w:rsid w:val="008A1A89"/>
    <w:rsid w:val="008A1B9B"/>
    <w:rsid w:val="008A1C47"/>
    <w:rsid w:val="008A1C5E"/>
    <w:rsid w:val="008A1D31"/>
    <w:rsid w:val="008A2156"/>
    <w:rsid w:val="008A2641"/>
    <w:rsid w:val="008A26C7"/>
    <w:rsid w:val="008A2BD6"/>
    <w:rsid w:val="008A34EB"/>
    <w:rsid w:val="008A36B5"/>
    <w:rsid w:val="008A39D2"/>
    <w:rsid w:val="008A3C1F"/>
    <w:rsid w:val="008A3CD8"/>
    <w:rsid w:val="008A3E5F"/>
    <w:rsid w:val="008A3F75"/>
    <w:rsid w:val="008A4936"/>
    <w:rsid w:val="008A4B6B"/>
    <w:rsid w:val="008A4C88"/>
    <w:rsid w:val="008A4E21"/>
    <w:rsid w:val="008A4E45"/>
    <w:rsid w:val="008A52D4"/>
    <w:rsid w:val="008A5532"/>
    <w:rsid w:val="008A56FE"/>
    <w:rsid w:val="008A5BE6"/>
    <w:rsid w:val="008A5F36"/>
    <w:rsid w:val="008A65E4"/>
    <w:rsid w:val="008A66B3"/>
    <w:rsid w:val="008A6D33"/>
    <w:rsid w:val="008A728D"/>
    <w:rsid w:val="008A76FA"/>
    <w:rsid w:val="008A772E"/>
    <w:rsid w:val="008A779E"/>
    <w:rsid w:val="008A77FF"/>
    <w:rsid w:val="008A7815"/>
    <w:rsid w:val="008A7B47"/>
    <w:rsid w:val="008A7BAC"/>
    <w:rsid w:val="008A7DD6"/>
    <w:rsid w:val="008B0003"/>
    <w:rsid w:val="008B0305"/>
    <w:rsid w:val="008B066C"/>
    <w:rsid w:val="008B0C8C"/>
    <w:rsid w:val="008B0DA8"/>
    <w:rsid w:val="008B181A"/>
    <w:rsid w:val="008B2209"/>
    <w:rsid w:val="008B2308"/>
    <w:rsid w:val="008B24A3"/>
    <w:rsid w:val="008B24AA"/>
    <w:rsid w:val="008B269E"/>
    <w:rsid w:val="008B293F"/>
    <w:rsid w:val="008B2A74"/>
    <w:rsid w:val="008B2A7A"/>
    <w:rsid w:val="008B2C04"/>
    <w:rsid w:val="008B2CE4"/>
    <w:rsid w:val="008B2F24"/>
    <w:rsid w:val="008B30D6"/>
    <w:rsid w:val="008B3513"/>
    <w:rsid w:val="008B3545"/>
    <w:rsid w:val="008B3738"/>
    <w:rsid w:val="008B3AF1"/>
    <w:rsid w:val="008B3DAE"/>
    <w:rsid w:val="008B40FA"/>
    <w:rsid w:val="008B4572"/>
    <w:rsid w:val="008B45B3"/>
    <w:rsid w:val="008B553F"/>
    <w:rsid w:val="008B59FD"/>
    <w:rsid w:val="008B5BD4"/>
    <w:rsid w:val="008B5C2D"/>
    <w:rsid w:val="008B5ED4"/>
    <w:rsid w:val="008B5F9F"/>
    <w:rsid w:val="008B61B5"/>
    <w:rsid w:val="008B64E6"/>
    <w:rsid w:val="008B6759"/>
    <w:rsid w:val="008B6848"/>
    <w:rsid w:val="008B6BEA"/>
    <w:rsid w:val="008B6E57"/>
    <w:rsid w:val="008B6F23"/>
    <w:rsid w:val="008B6F26"/>
    <w:rsid w:val="008B7141"/>
    <w:rsid w:val="008B73B0"/>
    <w:rsid w:val="008B7569"/>
    <w:rsid w:val="008B7A4B"/>
    <w:rsid w:val="008C0100"/>
    <w:rsid w:val="008C05CD"/>
    <w:rsid w:val="008C05D2"/>
    <w:rsid w:val="008C08B1"/>
    <w:rsid w:val="008C0B48"/>
    <w:rsid w:val="008C15B2"/>
    <w:rsid w:val="008C1909"/>
    <w:rsid w:val="008C197A"/>
    <w:rsid w:val="008C19A5"/>
    <w:rsid w:val="008C1BBC"/>
    <w:rsid w:val="008C1F26"/>
    <w:rsid w:val="008C23D8"/>
    <w:rsid w:val="008C265D"/>
    <w:rsid w:val="008C331F"/>
    <w:rsid w:val="008C3822"/>
    <w:rsid w:val="008C385B"/>
    <w:rsid w:val="008C3985"/>
    <w:rsid w:val="008C3AA9"/>
    <w:rsid w:val="008C3CA6"/>
    <w:rsid w:val="008C43C7"/>
    <w:rsid w:val="008C454A"/>
    <w:rsid w:val="008C467C"/>
    <w:rsid w:val="008C4749"/>
    <w:rsid w:val="008C4DDB"/>
    <w:rsid w:val="008C4E18"/>
    <w:rsid w:val="008C5164"/>
    <w:rsid w:val="008C51FD"/>
    <w:rsid w:val="008C5C95"/>
    <w:rsid w:val="008C5EFF"/>
    <w:rsid w:val="008C640E"/>
    <w:rsid w:val="008C6CA8"/>
    <w:rsid w:val="008C6F82"/>
    <w:rsid w:val="008C728B"/>
    <w:rsid w:val="008C72B4"/>
    <w:rsid w:val="008C74F6"/>
    <w:rsid w:val="008C7826"/>
    <w:rsid w:val="008C7886"/>
    <w:rsid w:val="008C7CBB"/>
    <w:rsid w:val="008C7EA5"/>
    <w:rsid w:val="008C7FC1"/>
    <w:rsid w:val="008D0269"/>
    <w:rsid w:val="008D0B77"/>
    <w:rsid w:val="008D1457"/>
    <w:rsid w:val="008D1623"/>
    <w:rsid w:val="008D162B"/>
    <w:rsid w:val="008D1ABD"/>
    <w:rsid w:val="008D1C13"/>
    <w:rsid w:val="008D1D23"/>
    <w:rsid w:val="008D1DB3"/>
    <w:rsid w:val="008D1E9D"/>
    <w:rsid w:val="008D21E2"/>
    <w:rsid w:val="008D24CD"/>
    <w:rsid w:val="008D26BC"/>
    <w:rsid w:val="008D29EB"/>
    <w:rsid w:val="008D2A16"/>
    <w:rsid w:val="008D315C"/>
    <w:rsid w:val="008D4172"/>
    <w:rsid w:val="008D4433"/>
    <w:rsid w:val="008D455D"/>
    <w:rsid w:val="008D478F"/>
    <w:rsid w:val="008D4978"/>
    <w:rsid w:val="008D5136"/>
    <w:rsid w:val="008D53B5"/>
    <w:rsid w:val="008D5476"/>
    <w:rsid w:val="008D564A"/>
    <w:rsid w:val="008D5D14"/>
    <w:rsid w:val="008D608F"/>
    <w:rsid w:val="008D61F5"/>
    <w:rsid w:val="008D64CE"/>
    <w:rsid w:val="008D680A"/>
    <w:rsid w:val="008D7AA9"/>
    <w:rsid w:val="008D7ABE"/>
    <w:rsid w:val="008D7C4D"/>
    <w:rsid w:val="008E05C2"/>
    <w:rsid w:val="008E0BBE"/>
    <w:rsid w:val="008E0D77"/>
    <w:rsid w:val="008E13D1"/>
    <w:rsid w:val="008E14CF"/>
    <w:rsid w:val="008E19B8"/>
    <w:rsid w:val="008E1CD0"/>
    <w:rsid w:val="008E24E6"/>
    <w:rsid w:val="008E2760"/>
    <w:rsid w:val="008E2BEE"/>
    <w:rsid w:val="008E3BB2"/>
    <w:rsid w:val="008E4091"/>
    <w:rsid w:val="008E46EC"/>
    <w:rsid w:val="008E4809"/>
    <w:rsid w:val="008E49BC"/>
    <w:rsid w:val="008E4B3E"/>
    <w:rsid w:val="008E4C7B"/>
    <w:rsid w:val="008E4EE1"/>
    <w:rsid w:val="008E4F6D"/>
    <w:rsid w:val="008E50ED"/>
    <w:rsid w:val="008E516B"/>
    <w:rsid w:val="008E552A"/>
    <w:rsid w:val="008E55CD"/>
    <w:rsid w:val="008E64A2"/>
    <w:rsid w:val="008E6B1B"/>
    <w:rsid w:val="008E71D8"/>
    <w:rsid w:val="008E7522"/>
    <w:rsid w:val="008E7688"/>
    <w:rsid w:val="008E76F1"/>
    <w:rsid w:val="008E787F"/>
    <w:rsid w:val="008E7886"/>
    <w:rsid w:val="008E7A55"/>
    <w:rsid w:val="008E7F33"/>
    <w:rsid w:val="008F05D6"/>
    <w:rsid w:val="008F0617"/>
    <w:rsid w:val="008F08EE"/>
    <w:rsid w:val="008F11FB"/>
    <w:rsid w:val="008F151F"/>
    <w:rsid w:val="008F2768"/>
    <w:rsid w:val="008F2916"/>
    <w:rsid w:val="008F2B4C"/>
    <w:rsid w:val="008F2FCF"/>
    <w:rsid w:val="008F31C0"/>
    <w:rsid w:val="008F3741"/>
    <w:rsid w:val="008F3936"/>
    <w:rsid w:val="008F39B0"/>
    <w:rsid w:val="008F4172"/>
    <w:rsid w:val="008F4415"/>
    <w:rsid w:val="008F4A22"/>
    <w:rsid w:val="008F4BBF"/>
    <w:rsid w:val="008F56B2"/>
    <w:rsid w:val="008F58C0"/>
    <w:rsid w:val="008F5A98"/>
    <w:rsid w:val="008F5F8F"/>
    <w:rsid w:val="008F6850"/>
    <w:rsid w:val="008F70F6"/>
    <w:rsid w:val="008F740F"/>
    <w:rsid w:val="008F7770"/>
    <w:rsid w:val="008F7779"/>
    <w:rsid w:val="008F79C7"/>
    <w:rsid w:val="008F7E65"/>
    <w:rsid w:val="0090011C"/>
    <w:rsid w:val="0090090A"/>
    <w:rsid w:val="00900A38"/>
    <w:rsid w:val="009014B8"/>
    <w:rsid w:val="00901670"/>
    <w:rsid w:val="00901716"/>
    <w:rsid w:val="00901A86"/>
    <w:rsid w:val="0090201B"/>
    <w:rsid w:val="00902B53"/>
    <w:rsid w:val="00903008"/>
    <w:rsid w:val="00903734"/>
    <w:rsid w:val="00903C99"/>
    <w:rsid w:val="00903EA8"/>
    <w:rsid w:val="0090421A"/>
    <w:rsid w:val="00904812"/>
    <w:rsid w:val="00905308"/>
    <w:rsid w:val="00905334"/>
    <w:rsid w:val="009055D7"/>
    <w:rsid w:val="009057BA"/>
    <w:rsid w:val="009061D4"/>
    <w:rsid w:val="00906534"/>
    <w:rsid w:val="009067D0"/>
    <w:rsid w:val="009069F8"/>
    <w:rsid w:val="00906A16"/>
    <w:rsid w:val="00906B05"/>
    <w:rsid w:val="00907087"/>
    <w:rsid w:val="00907919"/>
    <w:rsid w:val="0090796C"/>
    <w:rsid w:val="00907A8B"/>
    <w:rsid w:val="00907B84"/>
    <w:rsid w:val="00907F65"/>
    <w:rsid w:val="00910860"/>
    <w:rsid w:val="00910A49"/>
    <w:rsid w:val="00910A58"/>
    <w:rsid w:val="00910B56"/>
    <w:rsid w:val="00910FB5"/>
    <w:rsid w:val="00911096"/>
    <w:rsid w:val="00911259"/>
    <w:rsid w:val="00911267"/>
    <w:rsid w:val="009113F7"/>
    <w:rsid w:val="009118D8"/>
    <w:rsid w:val="00911C52"/>
    <w:rsid w:val="00911D30"/>
    <w:rsid w:val="0091241B"/>
    <w:rsid w:val="0091265B"/>
    <w:rsid w:val="009128C3"/>
    <w:rsid w:val="009129F0"/>
    <w:rsid w:val="00913106"/>
    <w:rsid w:val="0091343C"/>
    <w:rsid w:val="009136E1"/>
    <w:rsid w:val="00913A50"/>
    <w:rsid w:val="00913DF1"/>
    <w:rsid w:val="009141E6"/>
    <w:rsid w:val="00914540"/>
    <w:rsid w:val="00914667"/>
    <w:rsid w:val="009146E4"/>
    <w:rsid w:val="00914809"/>
    <w:rsid w:val="00914B96"/>
    <w:rsid w:val="00914CF7"/>
    <w:rsid w:val="009153F8"/>
    <w:rsid w:val="009154B2"/>
    <w:rsid w:val="009154E7"/>
    <w:rsid w:val="0091557C"/>
    <w:rsid w:val="0091562C"/>
    <w:rsid w:val="0091565E"/>
    <w:rsid w:val="00915952"/>
    <w:rsid w:val="00915DBE"/>
    <w:rsid w:val="00915DE8"/>
    <w:rsid w:val="0091646E"/>
    <w:rsid w:val="00916F03"/>
    <w:rsid w:val="00916FA9"/>
    <w:rsid w:val="00916FFA"/>
    <w:rsid w:val="00917C7F"/>
    <w:rsid w:val="009202ED"/>
    <w:rsid w:val="0092033D"/>
    <w:rsid w:val="00920636"/>
    <w:rsid w:val="0092115B"/>
    <w:rsid w:val="00921382"/>
    <w:rsid w:val="00921A50"/>
    <w:rsid w:val="00921B7A"/>
    <w:rsid w:val="00921F27"/>
    <w:rsid w:val="00921F45"/>
    <w:rsid w:val="009221B3"/>
    <w:rsid w:val="0092232D"/>
    <w:rsid w:val="00922458"/>
    <w:rsid w:val="00922B3F"/>
    <w:rsid w:val="00922FCA"/>
    <w:rsid w:val="0092385F"/>
    <w:rsid w:val="00923A70"/>
    <w:rsid w:val="00923BDB"/>
    <w:rsid w:val="00923C08"/>
    <w:rsid w:val="00924112"/>
    <w:rsid w:val="0092460E"/>
    <w:rsid w:val="00924BC4"/>
    <w:rsid w:val="00924D03"/>
    <w:rsid w:val="009251B9"/>
    <w:rsid w:val="009255A8"/>
    <w:rsid w:val="00925883"/>
    <w:rsid w:val="009259BF"/>
    <w:rsid w:val="00925AA1"/>
    <w:rsid w:val="00925C7E"/>
    <w:rsid w:val="00925ECF"/>
    <w:rsid w:val="00926C83"/>
    <w:rsid w:val="009273D9"/>
    <w:rsid w:val="009279B2"/>
    <w:rsid w:val="00927D67"/>
    <w:rsid w:val="00927ED4"/>
    <w:rsid w:val="009308E6"/>
    <w:rsid w:val="009317DB"/>
    <w:rsid w:val="00931E7D"/>
    <w:rsid w:val="00931EA8"/>
    <w:rsid w:val="009321B8"/>
    <w:rsid w:val="009328D3"/>
    <w:rsid w:val="00932E4B"/>
    <w:rsid w:val="00932FEF"/>
    <w:rsid w:val="009331C8"/>
    <w:rsid w:val="00933BB0"/>
    <w:rsid w:val="00933C37"/>
    <w:rsid w:val="009343A9"/>
    <w:rsid w:val="00934424"/>
    <w:rsid w:val="00934748"/>
    <w:rsid w:val="00934DD8"/>
    <w:rsid w:val="00935329"/>
    <w:rsid w:val="0093570E"/>
    <w:rsid w:val="0093585E"/>
    <w:rsid w:val="00936011"/>
    <w:rsid w:val="00936065"/>
    <w:rsid w:val="00936B3E"/>
    <w:rsid w:val="00936C4A"/>
    <w:rsid w:val="00936C6C"/>
    <w:rsid w:val="00937040"/>
    <w:rsid w:val="00937347"/>
    <w:rsid w:val="0093737E"/>
    <w:rsid w:val="0093760F"/>
    <w:rsid w:val="00937BF1"/>
    <w:rsid w:val="00940113"/>
    <w:rsid w:val="00940141"/>
    <w:rsid w:val="009405E1"/>
    <w:rsid w:val="009408F7"/>
    <w:rsid w:val="009409FC"/>
    <w:rsid w:val="00940F7E"/>
    <w:rsid w:val="009415AF"/>
    <w:rsid w:val="009416DF"/>
    <w:rsid w:val="009418B6"/>
    <w:rsid w:val="00941B5C"/>
    <w:rsid w:val="00941B93"/>
    <w:rsid w:val="00941C04"/>
    <w:rsid w:val="00941DAD"/>
    <w:rsid w:val="0094243B"/>
    <w:rsid w:val="009425C3"/>
    <w:rsid w:val="00942710"/>
    <w:rsid w:val="00942832"/>
    <w:rsid w:val="009429BF"/>
    <w:rsid w:val="00942D3F"/>
    <w:rsid w:val="0094311C"/>
    <w:rsid w:val="0094315C"/>
    <w:rsid w:val="00943904"/>
    <w:rsid w:val="0094398D"/>
    <w:rsid w:val="00944798"/>
    <w:rsid w:val="00944F45"/>
    <w:rsid w:val="009459B5"/>
    <w:rsid w:val="00945E9E"/>
    <w:rsid w:val="00945EEA"/>
    <w:rsid w:val="0094615D"/>
    <w:rsid w:val="0094620C"/>
    <w:rsid w:val="0094670F"/>
    <w:rsid w:val="009468FA"/>
    <w:rsid w:val="009469B0"/>
    <w:rsid w:val="00946AAF"/>
    <w:rsid w:val="00946BC0"/>
    <w:rsid w:val="00946C20"/>
    <w:rsid w:val="00946E0F"/>
    <w:rsid w:val="009470E0"/>
    <w:rsid w:val="00947358"/>
    <w:rsid w:val="00947613"/>
    <w:rsid w:val="0094769F"/>
    <w:rsid w:val="00947871"/>
    <w:rsid w:val="00947B89"/>
    <w:rsid w:val="00947F1F"/>
    <w:rsid w:val="00950583"/>
    <w:rsid w:val="009507CF"/>
    <w:rsid w:val="00950859"/>
    <w:rsid w:val="00950C6F"/>
    <w:rsid w:val="009514D6"/>
    <w:rsid w:val="00951503"/>
    <w:rsid w:val="0095191D"/>
    <w:rsid w:val="00951CBE"/>
    <w:rsid w:val="00951D0A"/>
    <w:rsid w:val="009521F7"/>
    <w:rsid w:val="00952984"/>
    <w:rsid w:val="00952D16"/>
    <w:rsid w:val="00952D2D"/>
    <w:rsid w:val="0095333F"/>
    <w:rsid w:val="009533C0"/>
    <w:rsid w:val="00953C0B"/>
    <w:rsid w:val="00953F39"/>
    <w:rsid w:val="00953FA3"/>
    <w:rsid w:val="00954640"/>
    <w:rsid w:val="00954678"/>
    <w:rsid w:val="0095489E"/>
    <w:rsid w:val="00954E83"/>
    <w:rsid w:val="00955656"/>
    <w:rsid w:val="009557E0"/>
    <w:rsid w:val="00955955"/>
    <w:rsid w:val="00955A5E"/>
    <w:rsid w:val="00955CD2"/>
    <w:rsid w:val="00956018"/>
    <w:rsid w:val="0095613F"/>
    <w:rsid w:val="0095635E"/>
    <w:rsid w:val="00956A5B"/>
    <w:rsid w:val="00956E2E"/>
    <w:rsid w:val="00957058"/>
    <w:rsid w:val="009571C2"/>
    <w:rsid w:val="00957245"/>
    <w:rsid w:val="009578B2"/>
    <w:rsid w:val="00960526"/>
    <w:rsid w:val="00960884"/>
    <w:rsid w:val="00960B21"/>
    <w:rsid w:val="00960EB5"/>
    <w:rsid w:val="00960F18"/>
    <w:rsid w:val="009614A6"/>
    <w:rsid w:val="00961968"/>
    <w:rsid w:val="00961A63"/>
    <w:rsid w:val="00961AD6"/>
    <w:rsid w:val="00961E07"/>
    <w:rsid w:val="00962540"/>
    <w:rsid w:val="00962917"/>
    <w:rsid w:val="00962940"/>
    <w:rsid w:val="00962A51"/>
    <w:rsid w:val="00962C97"/>
    <w:rsid w:val="00962CD9"/>
    <w:rsid w:val="009637E0"/>
    <w:rsid w:val="009639B9"/>
    <w:rsid w:val="00964B2A"/>
    <w:rsid w:val="00964DD1"/>
    <w:rsid w:val="0096535B"/>
    <w:rsid w:val="0096545D"/>
    <w:rsid w:val="0096555F"/>
    <w:rsid w:val="00965775"/>
    <w:rsid w:val="00965B5E"/>
    <w:rsid w:val="00965BC4"/>
    <w:rsid w:val="009662E8"/>
    <w:rsid w:val="009667D7"/>
    <w:rsid w:val="00966ABF"/>
    <w:rsid w:val="00966F9D"/>
    <w:rsid w:val="00967200"/>
    <w:rsid w:val="00967EC0"/>
    <w:rsid w:val="00970325"/>
    <w:rsid w:val="009703BF"/>
    <w:rsid w:val="009704B4"/>
    <w:rsid w:val="009705D2"/>
    <w:rsid w:val="00970E2E"/>
    <w:rsid w:val="00970EF9"/>
    <w:rsid w:val="009716F4"/>
    <w:rsid w:val="009718C7"/>
    <w:rsid w:val="00972656"/>
    <w:rsid w:val="00972C04"/>
    <w:rsid w:val="00972FC7"/>
    <w:rsid w:val="009733C1"/>
    <w:rsid w:val="0097342D"/>
    <w:rsid w:val="0097365A"/>
    <w:rsid w:val="009737C3"/>
    <w:rsid w:val="00973B03"/>
    <w:rsid w:val="009742BE"/>
    <w:rsid w:val="009747F8"/>
    <w:rsid w:val="00974D82"/>
    <w:rsid w:val="00975058"/>
    <w:rsid w:val="00975426"/>
    <w:rsid w:val="00975680"/>
    <w:rsid w:val="00975963"/>
    <w:rsid w:val="00976258"/>
    <w:rsid w:val="00976463"/>
    <w:rsid w:val="009765D1"/>
    <w:rsid w:val="00976672"/>
    <w:rsid w:val="00976912"/>
    <w:rsid w:val="00976A09"/>
    <w:rsid w:val="00976B9A"/>
    <w:rsid w:val="0097708F"/>
    <w:rsid w:val="00977135"/>
    <w:rsid w:val="00977709"/>
    <w:rsid w:val="00977783"/>
    <w:rsid w:val="00977A20"/>
    <w:rsid w:val="00977D3A"/>
    <w:rsid w:val="00980731"/>
    <w:rsid w:val="009807FD"/>
    <w:rsid w:val="00980825"/>
    <w:rsid w:val="00980FD7"/>
    <w:rsid w:val="009812D7"/>
    <w:rsid w:val="009815CF"/>
    <w:rsid w:val="0098162C"/>
    <w:rsid w:val="009817C1"/>
    <w:rsid w:val="00981C4C"/>
    <w:rsid w:val="00982652"/>
    <w:rsid w:val="0098266E"/>
    <w:rsid w:val="00982A17"/>
    <w:rsid w:val="00982AF2"/>
    <w:rsid w:val="00982B93"/>
    <w:rsid w:val="00982ECF"/>
    <w:rsid w:val="009830C1"/>
    <w:rsid w:val="0098326E"/>
    <w:rsid w:val="0098347F"/>
    <w:rsid w:val="009837C7"/>
    <w:rsid w:val="00983BC9"/>
    <w:rsid w:val="009843DE"/>
    <w:rsid w:val="009845BA"/>
    <w:rsid w:val="00984683"/>
    <w:rsid w:val="009846CE"/>
    <w:rsid w:val="00984988"/>
    <w:rsid w:val="00984AE1"/>
    <w:rsid w:val="00985049"/>
    <w:rsid w:val="0098554C"/>
    <w:rsid w:val="0098570E"/>
    <w:rsid w:val="00985DF2"/>
    <w:rsid w:val="009865C4"/>
    <w:rsid w:val="0098673B"/>
    <w:rsid w:val="0098680E"/>
    <w:rsid w:val="00986A86"/>
    <w:rsid w:val="00986D17"/>
    <w:rsid w:val="00986DC5"/>
    <w:rsid w:val="00987040"/>
    <w:rsid w:val="009872F5"/>
    <w:rsid w:val="009874D2"/>
    <w:rsid w:val="00987A2F"/>
    <w:rsid w:val="00987D02"/>
    <w:rsid w:val="009903A6"/>
    <w:rsid w:val="00990478"/>
    <w:rsid w:val="0099076A"/>
    <w:rsid w:val="00990C38"/>
    <w:rsid w:val="00991256"/>
    <w:rsid w:val="00991327"/>
    <w:rsid w:val="00991584"/>
    <w:rsid w:val="009915A9"/>
    <w:rsid w:val="009915ED"/>
    <w:rsid w:val="0099160B"/>
    <w:rsid w:val="00991A6E"/>
    <w:rsid w:val="0099302F"/>
    <w:rsid w:val="00993173"/>
    <w:rsid w:val="0099346C"/>
    <w:rsid w:val="00993730"/>
    <w:rsid w:val="0099406D"/>
    <w:rsid w:val="0099412F"/>
    <w:rsid w:val="00994178"/>
    <w:rsid w:val="0099429E"/>
    <w:rsid w:val="00994D57"/>
    <w:rsid w:val="00994F41"/>
    <w:rsid w:val="00994F48"/>
    <w:rsid w:val="00995193"/>
    <w:rsid w:val="009956B4"/>
    <w:rsid w:val="00995878"/>
    <w:rsid w:val="00995F78"/>
    <w:rsid w:val="00996011"/>
    <w:rsid w:val="00996878"/>
    <w:rsid w:val="00996AA4"/>
    <w:rsid w:val="00996D05"/>
    <w:rsid w:val="0099711B"/>
    <w:rsid w:val="00997F20"/>
    <w:rsid w:val="009A090A"/>
    <w:rsid w:val="009A098E"/>
    <w:rsid w:val="009A09BB"/>
    <w:rsid w:val="009A13CE"/>
    <w:rsid w:val="009A13F9"/>
    <w:rsid w:val="009A14B5"/>
    <w:rsid w:val="009A1575"/>
    <w:rsid w:val="009A17A5"/>
    <w:rsid w:val="009A1ED3"/>
    <w:rsid w:val="009A2090"/>
    <w:rsid w:val="009A20DA"/>
    <w:rsid w:val="009A21BB"/>
    <w:rsid w:val="009A2226"/>
    <w:rsid w:val="009A24BA"/>
    <w:rsid w:val="009A2E8E"/>
    <w:rsid w:val="009A2FB5"/>
    <w:rsid w:val="009A3534"/>
    <w:rsid w:val="009A3BB7"/>
    <w:rsid w:val="009A3D16"/>
    <w:rsid w:val="009A3EB0"/>
    <w:rsid w:val="009A428E"/>
    <w:rsid w:val="009A42AC"/>
    <w:rsid w:val="009A42DC"/>
    <w:rsid w:val="009A4885"/>
    <w:rsid w:val="009A4F3E"/>
    <w:rsid w:val="009A5021"/>
    <w:rsid w:val="009A506C"/>
    <w:rsid w:val="009A5779"/>
    <w:rsid w:val="009A57C0"/>
    <w:rsid w:val="009A6EBB"/>
    <w:rsid w:val="009A7012"/>
    <w:rsid w:val="009A7014"/>
    <w:rsid w:val="009A7AD2"/>
    <w:rsid w:val="009B0BF5"/>
    <w:rsid w:val="009B1326"/>
    <w:rsid w:val="009B13D7"/>
    <w:rsid w:val="009B17C2"/>
    <w:rsid w:val="009B1D01"/>
    <w:rsid w:val="009B26FB"/>
    <w:rsid w:val="009B26FD"/>
    <w:rsid w:val="009B2AB5"/>
    <w:rsid w:val="009B2ED6"/>
    <w:rsid w:val="009B34FC"/>
    <w:rsid w:val="009B3735"/>
    <w:rsid w:val="009B4012"/>
    <w:rsid w:val="009B41C4"/>
    <w:rsid w:val="009B428C"/>
    <w:rsid w:val="009B4460"/>
    <w:rsid w:val="009B4780"/>
    <w:rsid w:val="009B4887"/>
    <w:rsid w:val="009B48A2"/>
    <w:rsid w:val="009B49F3"/>
    <w:rsid w:val="009B5869"/>
    <w:rsid w:val="009B589D"/>
    <w:rsid w:val="009B5A7B"/>
    <w:rsid w:val="009B5B00"/>
    <w:rsid w:val="009B5C45"/>
    <w:rsid w:val="009B64FC"/>
    <w:rsid w:val="009B690B"/>
    <w:rsid w:val="009B6E80"/>
    <w:rsid w:val="009B749C"/>
    <w:rsid w:val="009B75A3"/>
    <w:rsid w:val="009B774A"/>
    <w:rsid w:val="009B793E"/>
    <w:rsid w:val="009B7B14"/>
    <w:rsid w:val="009B7C87"/>
    <w:rsid w:val="009C0465"/>
    <w:rsid w:val="009C074C"/>
    <w:rsid w:val="009C0AE2"/>
    <w:rsid w:val="009C10EB"/>
    <w:rsid w:val="009C1154"/>
    <w:rsid w:val="009C135D"/>
    <w:rsid w:val="009C1862"/>
    <w:rsid w:val="009C18F3"/>
    <w:rsid w:val="009C20C3"/>
    <w:rsid w:val="009C2935"/>
    <w:rsid w:val="009C2B27"/>
    <w:rsid w:val="009C2BD7"/>
    <w:rsid w:val="009C5588"/>
    <w:rsid w:val="009C5683"/>
    <w:rsid w:val="009C5852"/>
    <w:rsid w:val="009C5CD1"/>
    <w:rsid w:val="009C5FEA"/>
    <w:rsid w:val="009C6849"/>
    <w:rsid w:val="009C6FE4"/>
    <w:rsid w:val="009C7862"/>
    <w:rsid w:val="009C79C4"/>
    <w:rsid w:val="009C7BAA"/>
    <w:rsid w:val="009D0219"/>
    <w:rsid w:val="009D0509"/>
    <w:rsid w:val="009D0663"/>
    <w:rsid w:val="009D0A8F"/>
    <w:rsid w:val="009D11E8"/>
    <w:rsid w:val="009D1400"/>
    <w:rsid w:val="009D1989"/>
    <w:rsid w:val="009D1DA4"/>
    <w:rsid w:val="009D2341"/>
    <w:rsid w:val="009D2481"/>
    <w:rsid w:val="009D24A2"/>
    <w:rsid w:val="009D2604"/>
    <w:rsid w:val="009D30CC"/>
    <w:rsid w:val="009D31DD"/>
    <w:rsid w:val="009D3213"/>
    <w:rsid w:val="009D32BD"/>
    <w:rsid w:val="009D3794"/>
    <w:rsid w:val="009D3BDE"/>
    <w:rsid w:val="009D4407"/>
    <w:rsid w:val="009D449E"/>
    <w:rsid w:val="009D45F6"/>
    <w:rsid w:val="009D4900"/>
    <w:rsid w:val="009D4D8C"/>
    <w:rsid w:val="009D52AF"/>
    <w:rsid w:val="009D5301"/>
    <w:rsid w:val="009D5561"/>
    <w:rsid w:val="009D55F5"/>
    <w:rsid w:val="009D58ED"/>
    <w:rsid w:val="009D5AB6"/>
    <w:rsid w:val="009D5E71"/>
    <w:rsid w:val="009D5E8D"/>
    <w:rsid w:val="009D6191"/>
    <w:rsid w:val="009D61DD"/>
    <w:rsid w:val="009D6909"/>
    <w:rsid w:val="009D698E"/>
    <w:rsid w:val="009D6BB7"/>
    <w:rsid w:val="009D74AE"/>
    <w:rsid w:val="009D75C8"/>
    <w:rsid w:val="009D75DC"/>
    <w:rsid w:val="009D7A26"/>
    <w:rsid w:val="009D7CA9"/>
    <w:rsid w:val="009E0052"/>
    <w:rsid w:val="009E00FF"/>
    <w:rsid w:val="009E0A78"/>
    <w:rsid w:val="009E0D6A"/>
    <w:rsid w:val="009E1655"/>
    <w:rsid w:val="009E1A5F"/>
    <w:rsid w:val="009E1BA9"/>
    <w:rsid w:val="009E1BEE"/>
    <w:rsid w:val="009E1CFB"/>
    <w:rsid w:val="009E1D08"/>
    <w:rsid w:val="009E2B61"/>
    <w:rsid w:val="009E2EB6"/>
    <w:rsid w:val="009E2F1E"/>
    <w:rsid w:val="009E2FE2"/>
    <w:rsid w:val="009E3112"/>
    <w:rsid w:val="009E3641"/>
    <w:rsid w:val="009E36DD"/>
    <w:rsid w:val="009E38C4"/>
    <w:rsid w:val="009E3D20"/>
    <w:rsid w:val="009E45F0"/>
    <w:rsid w:val="009E4D0C"/>
    <w:rsid w:val="009E4F1E"/>
    <w:rsid w:val="009E56ED"/>
    <w:rsid w:val="009E5794"/>
    <w:rsid w:val="009E5933"/>
    <w:rsid w:val="009E5B53"/>
    <w:rsid w:val="009E5FEA"/>
    <w:rsid w:val="009E6783"/>
    <w:rsid w:val="009E6917"/>
    <w:rsid w:val="009E6931"/>
    <w:rsid w:val="009E6A11"/>
    <w:rsid w:val="009E6ABA"/>
    <w:rsid w:val="009E6E5E"/>
    <w:rsid w:val="009E6EAF"/>
    <w:rsid w:val="009E71D2"/>
    <w:rsid w:val="009E72C7"/>
    <w:rsid w:val="009E74E4"/>
    <w:rsid w:val="009E755B"/>
    <w:rsid w:val="009E76E1"/>
    <w:rsid w:val="009E7869"/>
    <w:rsid w:val="009E7A28"/>
    <w:rsid w:val="009E7CCF"/>
    <w:rsid w:val="009E7EE1"/>
    <w:rsid w:val="009F00C3"/>
    <w:rsid w:val="009F02F9"/>
    <w:rsid w:val="009F05C7"/>
    <w:rsid w:val="009F0B01"/>
    <w:rsid w:val="009F0B40"/>
    <w:rsid w:val="009F13D6"/>
    <w:rsid w:val="009F1422"/>
    <w:rsid w:val="009F14F3"/>
    <w:rsid w:val="009F15D7"/>
    <w:rsid w:val="009F1602"/>
    <w:rsid w:val="009F201B"/>
    <w:rsid w:val="009F224C"/>
    <w:rsid w:val="009F2590"/>
    <w:rsid w:val="009F2905"/>
    <w:rsid w:val="009F3202"/>
    <w:rsid w:val="009F3CBC"/>
    <w:rsid w:val="009F3F38"/>
    <w:rsid w:val="009F4336"/>
    <w:rsid w:val="009F43D0"/>
    <w:rsid w:val="009F4CC6"/>
    <w:rsid w:val="009F4F1F"/>
    <w:rsid w:val="009F5388"/>
    <w:rsid w:val="009F53F8"/>
    <w:rsid w:val="009F5C58"/>
    <w:rsid w:val="009F5C9F"/>
    <w:rsid w:val="009F5E72"/>
    <w:rsid w:val="009F5FBB"/>
    <w:rsid w:val="009F614A"/>
    <w:rsid w:val="009F630E"/>
    <w:rsid w:val="009F633B"/>
    <w:rsid w:val="009F65F0"/>
    <w:rsid w:val="009F716B"/>
    <w:rsid w:val="009F7941"/>
    <w:rsid w:val="00A005E1"/>
    <w:rsid w:val="00A00720"/>
    <w:rsid w:val="00A008DE"/>
    <w:rsid w:val="00A00A6A"/>
    <w:rsid w:val="00A00A9B"/>
    <w:rsid w:val="00A00A9D"/>
    <w:rsid w:val="00A00E2F"/>
    <w:rsid w:val="00A0111C"/>
    <w:rsid w:val="00A012A8"/>
    <w:rsid w:val="00A01341"/>
    <w:rsid w:val="00A0189C"/>
    <w:rsid w:val="00A0216D"/>
    <w:rsid w:val="00A02422"/>
    <w:rsid w:val="00A02ABE"/>
    <w:rsid w:val="00A02AD6"/>
    <w:rsid w:val="00A02F7D"/>
    <w:rsid w:val="00A0327E"/>
    <w:rsid w:val="00A03814"/>
    <w:rsid w:val="00A038BF"/>
    <w:rsid w:val="00A038C5"/>
    <w:rsid w:val="00A03E24"/>
    <w:rsid w:val="00A04701"/>
    <w:rsid w:val="00A04895"/>
    <w:rsid w:val="00A04E9A"/>
    <w:rsid w:val="00A0511E"/>
    <w:rsid w:val="00A0543E"/>
    <w:rsid w:val="00A0557C"/>
    <w:rsid w:val="00A057AF"/>
    <w:rsid w:val="00A0595E"/>
    <w:rsid w:val="00A05984"/>
    <w:rsid w:val="00A0611D"/>
    <w:rsid w:val="00A064F2"/>
    <w:rsid w:val="00A068C8"/>
    <w:rsid w:val="00A06A0E"/>
    <w:rsid w:val="00A06B58"/>
    <w:rsid w:val="00A07954"/>
    <w:rsid w:val="00A10166"/>
    <w:rsid w:val="00A10D67"/>
    <w:rsid w:val="00A10DAF"/>
    <w:rsid w:val="00A11270"/>
    <w:rsid w:val="00A11569"/>
    <w:rsid w:val="00A11A6F"/>
    <w:rsid w:val="00A11C4D"/>
    <w:rsid w:val="00A11D8E"/>
    <w:rsid w:val="00A11DDE"/>
    <w:rsid w:val="00A11FB8"/>
    <w:rsid w:val="00A1205B"/>
    <w:rsid w:val="00A12231"/>
    <w:rsid w:val="00A1289F"/>
    <w:rsid w:val="00A12E32"/>
    <w:rsid w:val="00A12EA8"/>
    <w:rsid w:val="00A12F88"/>
    <w:rsid w:val="00A13838"/>
    <w:rsid w:val="00A139FB"/>
    <w:rsid w:val="00A13CE7"/>
    <w:rsid w:val="00A14424"/>
    <w:rsid w:val="00A14688"/>
    <w:rsid w:val="00A14C95"/>
    <w:rsid w:val="00A14CAB"/>
    <w:rsid w:val="00A1525E"/>
    <w:rsid w:val="00A158F9"/>
    <w:rsid w:val="00A16103"/>
    <w:rsid w:val="00A16229"/>
    <w:rsid w:val="00A16259"/>
    <w:rsid w:val="00A163E2"/>
    <w:rsid w:val="00A16970"/>
    <w:rsid w:val="00A169DA"/>
    <w:rsid w:val="00A17708"/>
    <w:rsid w:val="00A17D48"/>
    <w:rsid w:val="00A17F97"/>
    <w:rsid w:val="00A20000"/>
    <w:rsid w:val="00A20262"/>
    <w:rsid w:val="00A205B7"/>
    <w:rsid w:val="00A205C2"/>
    <w:rsid w:val="00A209B2"/>
    <w:rsid w:val="00A2149D"/>
    <w:rsid w:val="00A214AB"/>
    <w:rsid w:val="00A21783"/>
    <w:rsid w:val="00A2198A"/>
    <w:rsid w:val="00A21AB2"/>
    <w:rsid w:val="00A21B79"/>
    <w:rsid w:val="00A22187"/>
    <w:rsid w:val="00A22473"/>
    <w:rsid w:val="00A2258A"/>
    <w:rsid w:val="00A22851"/>
    <w:rsid w:val="00A22A0D"/>
    <w:rsid w:val="00A2301D"/>
    <w:rsid w:val="00A23534"/>
    <w:rsid w:val="00A2355D"/>
    <w:rsid w:val="00A235A9"/>
    <w:rsid w:val="00A236EF"/>
    <w:rsid w:val="00A23A37"/>
    <w:rsid w:val="00A23C58"/>
    <w:rsid w:val="00A23DB1"/>
    <w:rsid w:val="00A23EAC"/>
    <w:rsid w:val="00A23F0C"/>
    <w:rsid w:val="00A23FCB"/>
    <w:rsid w:val="00A24014"/>
    <w:rsid w:val="00A241EB"/>
    <w:rsid w:val="00A242FD"/>
    <w:rsid w:val="00A24767"/>
    <w:rsid w:val="00A249E9"/>
    <w:rsid w:val="00A24F93"/>
    <w:rsid w:val="00A25269"/>
    <w:rsid w:val="00A25342"/>
    <w:rsid w:val="00A2547C"/>
    <w:rsid w:val="00A25551"/>
    <w:rsid w:val="00A25564"/>
    <w:rsid w:val="00A25570"/>
    <w:rsid w:val="00A256E2"/>
    <w:rsid w:val="00A257B7"/>
    <w:rsid w:val="00A258CC"/>
    <w:rsid w:val="00A25D59"/>
    <w:rsid w:val="00A25E2F"/>
    <w:rsid w:val="00A2699C"/>
    <w:rsid w:val="00A26BCC"/>
    <w:rsid w:val="00A26CD1"/>
    <w:rsid w:val="00A26EB8"/>
    <w:rsid w:val="00A2738C"/>
    <w:rsid w:val="00A2751C"/>
    <w:rsid w:val="00A275CD"/>
    <w:rsid w:val="00A2768F"/>
    <w:rsid w:val="00A27942"/>
    <w:rsid w:val="00A3008B"/>
    <w:rsid w:val="00A3012E"/>
    <w:rsid w:val="00A30198"/>
    <w:rsid w:val="00A30300"/>
    <w:rsid w:val="00A30690"/>
    <w:rsid w:val="00A30B47"/>
    <w:rsid w:val="00A30C28"/>
    <w:rsid w:val="00A30E22"/>
    <w:rsid w:val="00A31216"/>
    <w:rsid w:val="00A3191C"/>
    <w:rsid w:val="00A31C2A"/>
    <w:rsid w:val="00A32031"/>
    <w:rsid w:val="00A32664"/>
    <w:rsid w:val="00A328B5"/>
    <w:rsid w:val="00A32D44"/>
    <w:rsid w:val="00A32F54"/>
    <w:rsid w:val="00A32F80"/>
    <w:rsid w:val="00A33300"/>
    <w:rsid w:val="00A3331E"/>
    <w:rsid w:val="00A33CEF"/>
    <w:rsid w:val="00A33F3F"/>
    <w:rsid w:val="00A33F71"/>
    <w:rsid w:val="00A33FA5"/>
    <w:rsid w:val="00A3421D"/>
    <w:rsid w:val="00A34231"/>
    <w:rsid w:val="00A34A48"/>
    <w:rsid w:val="00A34D97"/>
    <w:rsid w:val="00A35044"/>
    <w:rsid w:val="00A354B1"/>
    <w:rsid w:val="00A35A7C"/>
    <w:rsid w:val="00A35B05"/>
    <w:rsid w:val="00A362FE"/>
    <w:rsid w:val="00A36C22"/>
    <w:rsid w:val="00A36E60"/>
    <w:rsid w:val="00A36EC6"/>
    <w:rsid w:val="00A36F72"/>
    <w:rsid w:val="00A374AD"/>
    <w:rsid w:val="00A3767E"/>
    <w:rsid w:val="00A37AB3"/>
    <w:rsid w:val="00A40377"/>
    <w:rsid w:val="00A403ED"/>
    <w:rsid w:val="00A4116D"/>
    <w:rsid w:val="00A419EE"/>
    <w:rsid w:val="00A41C20"/>
    <w:rsid w:val="00A428FA"/>
    <w:rsid w:val="00A42A87"/>
    <w:rsid w:val="00A42B11"/>
    <w:rsid w:val="00A42F45"/>
    <w:rsid w:val="00A4347A"/>
    <w:rsid w:val="00A43480"/>
    <w:rsid w:val="00A445B9"/>
    <w:rsid w:val="00A4473F"/>
    <w:rsid w:val="00A4478D"/>
    <w:rsid w:val="00A44A55"/>
    <w:rsid w:val="00A4500B"/>
    <w:rsid w:val="00A450AD"/>
    <w:rsid w:val="00A458A2"/>
    <w:rsid w:val="00A4676A"/>
    <w:rsid w:val="00A46DA8"/>
    <w:rsid w:val="00A4706C"/>
    <w:rsid w:val="00A47B3D"/>
    <w:rsid w:val="00A47E60"/>
    <w:rsid w:val="00A501B0"/>
    <w:rsid w:val="00A50546"/>
    <w:rsid w:val="00A5130A"/>
    <w:rsid w:val="00A5160A"/>
    <w:rsid w:val="00A51A2B"/>
    <w:rsid w:val="00A52A29"/>
    <w:rsid w:val="00A53DD7"/>
    <w:rsid w:val="00A53E1C"/>
    <w:rsid w:val="00A54045"/>
    <w:rsid w:val="00A54159"/>
    <w:rsid w:val="00A5465A"/>
    <w:rsid w:val="00A546D4"/>
    <w:rsid w:val="00A549F1"/>
    <w:rsid w:val="00A54BDA"/>
    <w:rsid w:val="00A54CB6"/>
    <w:rsid w:val="00A54E30"/>
    <w:rsid w:val="00A553BF"/>
    <w:rsid w:val="00A559B7"/>
    <w:rsid w:val="00A55E67"/>
    <w:rsid w:val="00A567B6"/>
    <w:rsid w:val="00A56915"/>
    <w:rsid w:val="00A56B00"/>
    <w:rsid w:val="00A56F4A"/>
    <w:rsid w:val="00A57348"/>
    <w:rsid w:val="00A57819"/>
    <w:rsid w:val="00A5793D"/>
    <w:rsid w:val="00A57A93"/>
    <w:rsid w:val="00A57AC8"/>
    <w:rsid w:val="00A57D65"/>
    <w:rsid w:val="00A57EC9"/>
    <w:rsid w:val="00A60094"/>
    <w:rsid w:val="00A600E9"/>
    <w:rsid w:val="00A6062A"/>
    <w:rsid w:val="00A60B03"/>
    <w:rsid w:val="00A610E5"/>
    <w:rsid w:val="00A616E9"/>
    <w:rsid w:val="00A6195F"/>
    <w:rsid w:val="00A619E8"/>
    <w:rsid w:val="00A61EA4"/>
    <w:rsid w:val="00A61EBC"/>
    <w:rsid w:val="00A62B3C"/>
    <w:rsid w:val="00A62C4E"/>
    <w:rsid w:val="00A62CBE"/>
    <w:rsid w:val="00A62D0D"/>
    <w:rsid w:val="00A62DBD"/>
    <w:rsid w:val="00A62ED8"/>
    <w:rsid w:val="00A63317"/>
    <w:rsid w:val="00A633CB"/>
    <w:rsid w:val="00A63450"/>
    <w:rsid w:val="00A63794"/>
    <w:rsid w:val="00A63B2F"/>
    <w:rsid w:val="00A63E0E"/>
    <w:rsid w:val="00A63F40"/>
    <w:rsid w:val="00A647F2"/>
    <w:rsid w:val="00A64BD9"/>
    <w:rsid w:val="00A64D30"/>
    <w:rsid w:val="00A66879"/>
    <w:rsid w:val="00A66B0D"/>
    <w:rsid w:val="00A66B5C"/>
    <w:rsid w:val="00A66BF3"/>
    <w:rsid w:val="00A66DA9"/>
    <w:rsid w:val="00A66DF3"/>
    <w:rsid w:val="00A66F24"/>
    <w:rsid w:val="00A67158"/>
    <w:rsid w:val="00A6749D"/>
    <w:rsid w:val="00A676BB"/>
    <w:rsid w:val="00A67909"/>
    <w:rsid w:val="00A67B76"/>
    <w:rsid w:val="00A701D9"/>
    <w:rsid w:val="00A701EC"/>
    <w:rsid w:val="00A703A0"/>
    <w:rsid w:val="00A70432"/>
    <w:rsid w:val="00A70546"/>
    <w:rsid w:val="00A705C6"/>
    <w:rsid w:val="00A70960"/>
    <w:rsid w:val="00A70B52"/>
    <w:rsid w:val="00A70DE8"/>
    <w:rsid w:val="00A70E35"/>
    <w:rsid w:val="00A717D7"/>
    <w:rsid w:val="00A71B3A"/>
    <w:rsid w:val="00A71B4A"/>
    <w:rsid w:val="00A71CCA"/>
    <w:rsid w:val="00A720A6"/>
    <w:rsid w:val="00A724CA"/>
    <w:rsid w:val="00A72C22"/>
    <w:rsid w:val="00A72E26"/>
    <w:rsid w:val="00A73EF1"/>
    <w:rsid w:val="00A74498"/>
    <w:rsid w:val="00A744FB"/>
    <w:rsid w:val="00A745EF"/>
    <w:rsid w:val="00A7478F"/>
    <w:rsid w:val="00A748B3"/>
    <w:rsid w:val="00A748FB"/>
    <w:rsid w:val="00A75131"/>
    <w:rsid w:val="00A75769"/>
    <w:rsid w:val="00A75A9F"/>
    <w:rsid w:val="00A75B4F"/>
    <w:rsid w:val="00A75D29"/>
    <w:rsid w:val="00A767A2"/>
    <w:rsid w:val="00A76EB8"/>
    <w:rsid w:val="00A770DD"/>
    <w:rsid w:val="00A77484"/>
    <w:rsid w:val="00A774FC"/>
    <w:rsid w:val="00A777A6"/>
    <w:rsid w:val="00A77C67"/>
    <w:rsid w:val="00A77DF4"/>
    <w:rsid w:val="00A80388"/>
    <w:rsid w:val="00A804D4"/>
    <w:rsid w:val="00A8059C"/>
    <w:rsid w:val="00A80715"/>
    <w:rsid w:val="00A80EE6"/>
    <w:rsid w:val="00A8122D"/>
    <w:rsid w:val="00A812C9"/>
    <w:rsid w:val="00A812E8"/>
    <w:rsid w:val="00A81356"/>
    <w:rsid w:val="00A8146B"/>
    <w:rsid w:val="00A82272"/>
    <w:rsid w:val="00A82BA7"/>
    <w:rsid w:val="00A82DE5"/>
    <w:rsid w:val="00A82F0A"/>
    <w:rsid w:val="00A82F88"/>
    <w:rsid w:val="00A83045"/>
    <w:rsid w:val="00A831F7"/>
    <w:rsid w:val="00A832B3"/>
    <w:rsid w:val="00A8369E"/>
    <w:rsid w:val="00A836F9"/>
    <w:rsid w:val="00A83AB2"/>
    <w:rsid w:val="00A83E5C"/>
    <w:rsid w:val="00A847E4"/>
    <w:rsid w:val="00A84C7A"/>
    <w:rsid w:val="00A8540F"/>
    <w:rsid w:val="00A8541A"/>
    <w:rsid w:val="00A86774"/>
    <w:rsid w:val="00A86AE5"/>
    <w:rsid w:val="00A86C8B"/>
    <w:rsid w:val="00A86DC6"/>
    <w:rsid w:val="00A86FE1"/>
    <w:rsid w:val="00A872ED"/>
    <w:rsid w:val="00A87E7A"/>
    <w:rsid w:val="00A90A20"/>
    <w:rsid w:val="00A90AA0"/>
    <w:rsid w:val="00A90C72"/>
    <w:rsid w:val="00A9104B"/>
    <w:rsid w:val="00A91348"/>
    <w:rsid w:val="00A913EF"/>
    <w:rsid w:val="00A91417"/>
    <w:rsid w:val="00A91595"/>
    <w:rsid w:val="00A9163E"/>
    <w:rsid w:val="00A9168A"/>
    <w:rsid w:val="00A917D1"/>
    <w:rsid w:val="00A9222D"/>
    <w:rsid w:val="00A92411"/>
    <w:rsid w:val="00A9242D"/>
    <w:rsid w:val="00A9248E"/>
    <w:rsid w:val="00A929C4"/>
    <w:rsid w:val="00A92D71"/>
    <w:rsid w:val="00A92EEB"/>
    <w:rsid w:val="00A93318"/>
    <w:rsid w:val="00A93AB7"/>
    <w:rsid w:val="00A93D13"/>
    <w:rsid w:val="00A9431A"/>
    <w:rsid w:val="00A9431D"/>
    <w:rsid w:val="00A946ED"/>
    <w:rsid w:val="00A94AB4"/>
    <w:rsid w:val="00A94BB9"/>
    <w:rsid w:val="00A95784"/>
    <w:rsid w:val="00A95A1B"/>
    <w:rsid w:val="00A95AE1"/>
    <w:rsid w:val="00A95C3B"/>
    <w:rsid w:val="00A96276"/>
    <w:rsid w:val="00A96AD1"/>
    <w:rsid w:val="00A96F1D"/>
    <w:rsid w:val="00A9723C"/>
    <w:rsid w:val="00A97AD2"/>
    <w:rsid w:val="00A97B4A"/>
    <w:rsid w:val="00A97B5B"/>
    <w:rsid w:val="00A97B75"/>
    <w:rsid w:val="00AA0292"/>
    <w:rsid w:val="00AA0BCA"/>
    <w:rsid w:val="00AA1041"/>
    <w:rsid w:val="00AA189D"/>
    <w:rsid w:val="00AA1F03"/>
    <w:rsid w:val="00AA206E"/>
    <w:rsid w:val="00AA24FA"/>
    <w:rsid w:val="00AA25EB"/>
    <w:rsid w:val="00AA2757"/>
    <w:rsid w:val="00AA28C8"/>
    <w:rsid w:val="00AA364D"/>
    <w:rsid w:val="00AA3845"/>
    <w:rsid w:val="00AA384F"/>
    <w:rsid w:val="00AA3DED"/>
    <w:rsid w:val="00AA437E"/>
    <w:rsid w:val="00AA474F"/>
    <w:rsid w:val="00AA4BAD"/>
    <w:rsid w:val="00AA52E1"/>
    <w:rsid w:val="00AA5304"/>
    <w:rsid w:val="00AA598A"/>
    <w:rsid w:val="00AA5EE4"/>
    <w:rsid w:val="00AA6408"/>
    <w:rsid w:val="00AA671F"/>
    <w:rsid w:val="00AA69B8"/>
    <w:rsid w:val="00AA6B8D"/>
    <w:rsid w:val="00AA6D5F"/>
    <w:rsid w:val="00AA6FD7"/>
    <w:rsid w:val="00AA7030"/>
    <w:rsid w:val="00AA7040"/>
    <w:rsid w:val="00AA74C8"/>
    <w:rsid w:val="00AA7BA2"/>
    <w:rsid w:val="00AA7FBA"/>
    <w:rsid w:val="00AAC372"/>
    <w:rsid w:val="00AB0074"/>
    <w:rsid w:val="00AB0234"/>
    <w:rsid w:val="00AB0589"/>
    <w:rsid w:val="00AB0B4D"/>
    <w:rsid w:val="00AB106E"/>
    <w:rsid w:val="00AB10D5"/>
    <w:rsid w:val="00AB11BF"/>
    <w:rsid w:val="00AB123B"/>
    <w:rsid w:val="00AB1314"/>
    <w:rsid w:val="00AB1347"/>
    <w:rsid w:val="00AB15E3"/>
    <w:rsid w:val="00AB19F1"/>
    <w:rsid w:val="00AB1FC2"/>
    <w:rsid w:val="00AB2818"/>
    <w:rsid w:val="00AB2BA2"/>
    <w:rsid w:val="00AB2D6A"/>
    <w:rsid w:val="00AB3D1A"/>
    <w:rsid w:val="00AB3D27"/>
    <w:rsid w:val="00AB41AF"/>
    <w:rsid w:val="00AB4A50"/>
    <w:rsid w:val="00AB4C9C"/>
    <w:rsid w:val="00AB4CB9"/>
    <w:rsid w:val="00AB4D89"/>
    <w:rsid w:val="00AB5053"/>
    <w:rsid w:val="00AB50BD"/>
    <w:rsid w:val="00AB52EA"/>
    <w:rsid w:val="00AB52F4"/>
    <w:rsid w:val="00AB530D"/>
    <w:rsid w:val="00AB5409"/>
    <w:rsid w:val="00AB556A"/>
    <w:rsid w:val="00AB556E"/>
    <w:rsid w:val="00AB5923"/>
    <w:rsid w:val="00AB5A20"/>
    <w:rsid w:val="00AB6245"/>
    <w:rsid w:val="00AB62C4"/>
    <w:rsid w:val="00AB63FD"/>
    <w:rsid w:val="00AB643F"/>
    <w:rsid w:val="00AB6539"/>
    <w:rsid w:val="00AB6D31"/>
    <w:rsid w:val="00AB7937"/>
    <w:rsid w:val="00AC02A4"/>
    <w:rsid w:val="00AC086D"/>
    <w:rsid w:val="00AC0CEF"/>
    <w:rsid w:val="00AC0E53"/>
    <w:rsid w:val="00AC12C3"/>
    <w:rsid w:val="00AC1532"/>
    <w:rsid w:val="00AC1813"/>
    <w:rsid w:val="00AC1CFF"/>
    <w:rsid w:val="00AC2014"/>
    <w:rsid w:val="00AC24C2"/>
    <w:rsid w:val="00AC34E6"/>
    <w:rsid w:val="00AC3635"/>
    <w:rsid w:val="00AC38D3"/>
    <w:rsid w:val="00AC3C68"/>
    <w:rsid w:val="00AC3F1E"/>
    <w:rsid w:val="00AC3FD8"/>
    <w:rsid w:val="00AC407B"/>
    <w:rsid w:val="00AC4135"/>
    <w:rsid w:val="00AC4491"/>
    <w:rsid w:val="00AC44C9"/>
    <w:rsid w:val="00AC4C53"/>
    <w:rsid w:val="00AC52D9"/>
    <w:rsid w:val="00AC5381"/>
    <w:rsid w:val="00AC5BAE"/>
    <w:rsid w:val="00AC5C23"/>
    <w:rsid w:val="00AC5EB3"/>
    <w:rsid w:val="00AC5F27"/>
    <w:rsid w:val="00AC689E"/>
    <w:rsid w:val="00AC690B"/>
    <w:rsid w:val="00AC69F6"/>
    <w:rsid w:val="00AC73B4"/>
    <w:rsid w:val="00AC77D0"/>
    <w:rsid w:val="00AC77F1"/>
    <w:rsid w:val="00AC77FF"/>
    <w:rsid w:val="00AC790F"/>
    <w:rsid w:val="00AC7C4E"/>
    <w:rsid w:val="00AC7DC1"/>
    <w:rsid w:val="00AC7E0D"/>
    <w:rsid w:val="00AD0027"/>
    <w:rsid w:val="00AD00C0"/>
    <w:rsid w:val="00AD095C"/>
    <w:rsid w:val="00AD0ACF"/>
    <w:rsid w:val="00AD0C8D"/>
    <w:rsid w:val="00AD11AE"/>
    <w:rsid w:val="00AD11E8"/>
    <w:rsid w:val="00AD19CF"/>
    <w:rsid w:val="00AD1A85"/>
    <w:rsid w:val="00AD2509"/>
    <w:rsid w:val="00AD269A"/>
    <w:rsid w:val="00AD322F"/>
    <w:rsid w:val="00AD387A"/>
    <w:rsid w:val="00AD3D7A"/>
    <w:rsid w:val="00AD3DCE"/>
    <w:rsid w:val="00AD3E8B"/>
    <w:rsid w:val="00AD3EF0"/>
    <w:rsid w:val="00AD3F40"/>
    <w:rsid w:val="00AD3FD9"/>
    <w:rsid w:val="00AD4363"/>
    <w:rsid w:val="00AD4496"/>
    <w:rsid w:val="00AD488D"/>
    <w:rsid w:val="00AD4F78"/>
    <w:rsid w:val="00AD5377"/>
    <w:rsid w:val="00AD5921"/>
    <w:rsid w:val="00AD5C07"/>
    <w:rsid w:val="00AD6C86"/>
    <w:rsid w:val="00AD6D17"/>
    <w:rsid w:val="00AD7468"/>
    <w:rsid w:val="00AD7619"/>
    <w:rsid w:val="00AD76B1"/>
    <w:rsid w:val="00AD78C6"/>
    <w:rsid w:val="00AD79FB"/>
    <w:rsid w:val="00AD7DA0"/>
    <w:rsid w:val="00AE0045"/>
    <w:rsid w:val="00AE04F5"/>
    <w:rsid w:val="00AE0781"/>
    <w:rsid w:val="00AE0AC3"/>
    <w:rsid w:val="00AE0E52"/>
    <w:rsid w:val="00AE1200"/>
    <w:rsid w:val="00AE13FA"/>
    <w:rsid w:val="00AE158A"/>
    <w:rsid w:val="00AE16C3"/>
    <w:rsid w:val="00AE226C"/>
    <w:rsid w:val="00AE22B4"/>
    <w:rsid w:val="00AE2480"/>
    <w:rsid w:val="00AE293E"/>
    <w:rsid w:val="00AE29CA"/>
    <w:rsid w:val="00AE2FF9"/>
    <w:rsid w:val="00AE3303"/>
    <w:rsid w:val="00AE391A"/>
    <w:rsid w:val="00AE3D30"/>
    <w:rsid w:val="00AE3E49"/>
    <w:rsid w:val="00AE4259"/>
    <w:rsid w:val="00AE45FB"/>
    <w:rsid w:val="00AE4776"/>
    <w:rsid w:val="00AE5861"/>
    <w:rsid w:val="00AE59AD"/>
    <w:rsid w:val="00AE5AED"/>
    <w:rsid w:val="00AE6369"/>
    <w:rsid w:val="00AE675E"/>
    <w:rsid w:val="00AE6AFC"/>
    <w:rsid w:val="00AE6BC7"/>
    <w:rsid w:val="00AE6D8B"/>
    <w:rsid w:val="00AE6F02"/>
    <w:rsid w:val="00AE7791"/>
    <w:rsid w:val="00AE7857"/>
    <w:rsid w:val="00AF05C8"/>
    <w:rsid w:val="00AF14FF"/>
    <w:rsid w:val="00AF176B"/>
    <w:rsid w:val="00AF1889"/>
    <w:rsid w:val="00AF194A"/>
    <w:rsid w:val="00AF1EAE"/>
    <w:rsid w:val="00AF216B"/>
    <w:rsid w:val="00AF2186"/>
    <w:rsid w:val="00AF24D4"/>
    <w:rsid w:val="00AF26D3"/>
    <w:rsid w:val="00AF2776"/>
    <w:rsid w:val="00AF2B40"/>
    <w:rsid w:val="00AF2BF9"/>
    <w:rsid w:val="00AF2C99"/>
    <w:rsid w:val="00AF2D60"/>
    <w:rsid w:val="00AF2E99"/>
    <w:rsid w:val="00AF301C"/>
    <w:rsid w:val="00AF3340"/>
    <w:rsid w:val="00AF36C6"/>
    <w:rsid w:val="00AF374D"/>
    <w:rsid w:val="00AF3B5C"/>
    <w:rsid w:val="00AF44EB"/>
    <w:rsid w:val="00AF4ADB"/>
    <w:rsid w:val="00AF4B67"/>
    <w:rsid w:val="00AF4E18"/>
    <w:rsid w:val="00AF5208"/>
    <w:rsid w:val="00AF52C5"/>
    <w:rsid w:val="00AF5CAA"/>
    <w:rsid w:val="00AF5D6C"/>
    <w:rsid w:val="00AF5F43"/>
    <w:rsid w:val="00AF5F67"/>
    <w:rsid w:val="00AF612A"/>
    <w:rsid w:val="00AF626A"/>
    <w:rsid w:val="00AF63B0"/>
    <w:rsid w:val="00AF6888"/>
    <w:rsid w:val="00AF6D78"/>
    <w:rsid w:val="00AF6E07"/>
    <w:rsid w:val="00AF6EC1"/>
    <w:rsid w:val="00AF76A9"/>
    <w:rsid w:val="00AF7B6C"/>
    <w:rsid w:val="00B000CB"/>
    <w:rsid w:val="00B00595"/>
    <w:rsid w:val="00B00F0A"/>
    <w:rsid w:val="00B00FA4"/>
    <w:rsid w:val="00B017D6"/>
    <w:rsid w:val="00B01B7C"/>
    <w:rsid w:val="00B024B7"/>
    <w:rsid w:val="00B02576"/>
    <w:rsid w:val="00B02819"/>
    <w:rsid w:val="00B02A25"/>
    <w:rsid w:val="00B02C6D"/>
    <w:rsid w:val="00B03088"/>
    <w:rsid w:val="00B03167"/>
    <w:rsid w:val="00B0368B"/>
    <w:rsid w:val="00B036C4"/>
    <w:rsid w:val="00B038FE"/>
    <w:rsid w:val="00B03B19"/>
    <w:rsid w:val="00B03F6E"/>
    <w:rsid w:val="00B041A4"/>
    <w:rsid w:val="00B04390"/>
    <w:rsid w:val="00B04733"/>
    <w:rsid w:val="00B04968"/>
    <w:rsid w:val="00B04BE0"/>
    <w:rsid w:val="00B04DCB"/>
    <w:rsid w:val="00B1004D"/>
    <w:rsid w:val="00B10624"/>
    <w:rsid w:val="00B10788"/>
    <w:rsid w:val="00B10D2E"/>
    <w:rsid w:val="00B10F0F"/>
    <w:rsid w:val="00B11057"/>
    <w:rsid w:val="00B11433"/>
    <w:rsid w:val="00B11631"/>
    <w:rsid w:val="00B11AA4"/>
    <w:rsid w:val="00B11DE5"/>
    <w:rsid w:val="00B11F62"/>
    <w:rsid w:val="00B125D9"/>
    <w:rsid w:val="00B12674"/>
    <w:rsid w:val="00B12C08"/>
    <w:rsid w:val="00B12C14"/>
    <w:rsid w:val="00B13157"/>
    <w:rsid w:val="00B13290"/>
    <w:rsid w:val="00B13365"/>
    <w:rsid w:val="00B13997"/>
    <w:rsid w:val="00B1452C"/>
    <w:rsid w:val="00B14D74"/>
    <w:rsid w:val="00B150CB"/>
    <w:rsid w:val="00B15619"/>
    <w:rsid w:val="00B1594F"/>
    <w:rsid w:val="00B15CF1"/>
    <w:rsid w:val="00B166E2"/>
    <w:rsid w:val="00B169CA"/>
    <w:rsid w:val="00B16A07"/>
    <w:rsid w:val="00B16B48"/>
    <w:rsid w:val="00B16B58"/>
    <w:rsid w:val="00B16C23"/>
    <w:rsid w:val="00B16EF5"/>
    <w:rsid w:val="00B16F9F"/>
    <w:rsid w:val="00B17D04"/>
    <w:rsid w:val="00B17F32"/>
    <w:rsid w:val="00B20F4E"/>
    <w:rsid w:val="00B212D6"/>
    <w:rsid w:val="00B21304"/>
    <w:rsid w:val="00B213BF"/>
    <w:rsid w:val="00B213DE"/>
    <w:rsid w:val="00B2153C"/>
    <w:rsid w:val="00B2164D"/>
    <w:rsid w:val="00B217F6"/>
    <w:rsid w:val="00B219C1"/>
    <w:rsid w:val="00B22247"/>
    <w:rsid w:val="00B22410"/>
    <w:rsid w:val="00B22BCE"/>
    <w:rsid w:val="00B23AF7"/>
    <w:rsid w:val="00B24062"/>
    <w:rsid w:val="00B24084"/>
    <w:rsid w:val="00B249D8"/>
    <w:rsid w:val="00B250A8"/>
    <w:rsid w:val="00B250F2"/>
    <w:rsid w:val="00B252E4"/>
    <w:rsid w:val="00B2542B"/>
    <w:rsid w:val="00B259AB"/>
    <w:rsid w:val="00B25DC4"/>
    <w:rsid w:val="00B25E8C"/>
    <w:rsid w:val="00B25FB9"/>
    <w:rsid w:val="00B269AD"/>
    <w:rsid w:val="00B26DBD"/>
    <w:rsid w:val="00B2742C"/>
    <w:rsid w:val="00B2752A"/>
    <w:rsid w:val="00B27F3B"/>
    <w:rsid w:val="00B27FEF"/>
    <w:rsid w:val="00B30105"/>
    <w:rsid w:val="00B3020B"/>
    <w:rsid w:val="00B30A85"/>
    <w:rsid w:val="00B30D17"/>
    <w:rsid w:val="00B30E57"/>
    <w:rsid w:val="00B314AA"/>
    <w:rsid w:val="00B31793"/>
    <w:rsid w:val="00B31860"/>
    <w:rsid w:val="00B31952"/>
    <w:rsid w:val="00B3367B"/>
    <w:rsid w:val="00B336BC"/>
    <w:rsid w:val="00B33777"/>
    <w:rsid w:val="00B338AA"/>
    <w:rsid w:val="00B33DB9"/>
    <w:rsid w:val="00B343F8"/>
    <w:rsid w:val="00B3447B"/>
    <w:rsid w:val="00B34A3E"/>
    <w:rsid w:val="00B34E13"/>
    <w:rsid w:val="00B34F47"/>
    <w:rsid w:val="00B35376"/>
    <w:rsid w:val="00B35567"/>
    <w:rsid w:val="00B35616"/>
    <w:rsid w:val="00B35BC1"/>
    <w:rsid w:val="00B35CBC"/>
    <w:rsid w:val="00B35D42"/>
    <w:rsid w:val="00B36026"/>
    <w:rsid w:val="00B36043"/>
    <w:rsid w:val="00B36603"/>
    <w:rsid w:val="00B366F3"/>
    <w:rsid w:val="00B3683F"/>
    <w:rsid w:val="00B36CA8"/>
    <w:rsid w:val="00B36FD3"/>
    <w:rsid w:val="00B37042"/>
    <w:rsid w:val="00B3760E"/>
    <w:rsid w:val="00B37C7F"/>
    <w:rsid w:val="00B4008D"/>
    <w:rsid w:val="00B40118"/>
    <w:rsid w:val="00B406E2"/>
    <w:rsid w:val="00B4072F"/>
    <w:rsid w:val="00B407B0"/>
    <w:rsid w:val="00B4087B"/>
    <w:rsid w:val="00B40912"/>
    <w:rsid w:val="00B40BA9"/>
    <w:rsid w:val="00B40E1E"/>
    <w:rsid w:val="00B4129A"/>
    <w:rsid w:val="00B4175C"/>
    <w:rsid w:val="00B41CB6"/>
    <w:rsid w:val="00B42868"/>
    <w:rsid w:val="00B42B9A"/>
    <w:rsid w:val="00B43034"/>
    <w:rsid w:val="00B43218"/>
    <w:rsid w:val="00B432CD"/>
    <w:rsid w:val="00B438C5"/>
    <w:rsid w:val="00B43C30"/>
    <w:rsid w:val="00B43F2E"/>
    <w:rsid w:val="00B43F63"/>
    <w:rsid w:val="00B43F93"/>
    <w:rsid w:val="00B4445D"/>
    <w:rsid w:val="00B44856"/>
    <w:rsid w:val="00B448CA"/>
    <w:rsid w:val="00B44A46"/>
    <w:rsid w:val="00B44D8F"/>
    <w:rsid w:val="00B45782"/>
    <w:rsid w:val="00B461C2"/>
    <w:rsid w:val="00B46579"/>
    <w:rsid w:val="00B4673A"/>
    <w:rsid w:val="00B46B9E"/>
    <w:rsid w:val="00B46C2A"/>
    <w:rsid w:val="00B46CF8"/>
    <w:rsid w:val="00B47700"/>
    <w:rsid w:val="00B4796F"/>
    <w:rsid w:val="00B502FB"/>
    <w:rsid w:val="00B50613"/>
    <w:rsid w:val="00B506AA"/>
    <w:rsid w:val="00B506F8"/>
    <w:rsid w:val="00B50B75"/>
    <w:rsid w:val="00B5122B"/>
    <w:rsid w:val="00B51570"/>
    <w:rsid w:val="00B51999"/>
    <w:rsid w:val="00B51ABE"/>
    <w:rsid w:val="00B5229E"/>
    <w:rsid w:val="00B526A3"/>
    <w:rsid w:val="00B526DE"/>
    <w:rsid w:val="00B5278A"/>
    <w:rsid w:val="00B5298F"/>
    <w:rsid w:val="00B53205"/>
    <w:rsid w:val="00B535B5"/>
    <w:rsid w:val="00B536A2"/>
    <w:rsid w:val="00B53ABC"/>
    <w:rsid w:val="00B53BBC"/>
    <w:rsid w:val="00B53C01"/>
    <w:rsid w:val="00B53C2B"/>
    <w:rsid w:val="00B53C3F"/>
    <w:rsid w:val="00B53EB7"/>
    <w:rsid w:val="00B54A71"/>
    <w:rsid w:val="00B54DE1"/>
    <w:rsid w:val="00B55A45"/>
    <w:rsid w:val="00B55B4C"/>
    <w:rsid w:val="00B56093"/>
    <w:rsid w:val="00B56414"/>
    <w:rsid w:val="00B56650"/>
    <w:rsid w:val="00B56701"/>
    <w:rsid w:val="00B56BA3"/>
    <w:rsid w:val="00B56C1A"/>
    <w:rsid w:val="00B575C8"/>
    <w:rsid w:val="00B57BD8"/>
    <w:rsid w:val="00B57D57"/>
    <w:rsid w:val="00B57F1D"/>
    <w:rsid w:val="00B602E8"/>
    <w:rsid w:val="00B6044E"/>
    <w:rsid w:val="00B60E51"/>
    <w:rsid w:val="00B60EED"/>
    <w:rsid w:val="00B6116D"/>
    <w:rsid w:val="00B61613"/>
    <w:rsid w:val="00B616B4"/>
    <w:rsid w:val="00B61B6D"/>
    <w:rsid w:val="00B623F3"/>
    <w:rsid w:val="00B62BF1"/>
    <w:rsid w:val="00B62EBF"/>
    <w:rsid w:val="00B63384"/>
    <w:rsid w:val="00B636AB"/>
    <w:rsid w:val="00B636F5"/>
    <w:rsid w:val="00B63972"/>
    <w:rsid w:val="00B63D20"/>
    <w:rsid w:val="00B63DA1"/>
    <w:rsid w:val="00B63EA1"/>
    <w:rsid w:val="00B64226"/>
    <w:rsid w:val="00B643FE"/>
    <w:rsid w:val="00B6604A"/>
    <w:rsid w:val="00B66394"/>
    <w:rsid w:val="00B6639D"/>
    <w:rsid w:val="00B668F9"/>
    <w:rsid w:val="00B669D1"/>
    <w:rsid w:val="00B679FE"/>
    <w:rsid w:val="00B70522"/>
    <w:rsid w:val="00B7053E"/>
    <w:rsid w:val="00B7070D"/>
    <w:rsid w:val="00B71882"/>
    <w:rsid w:val="00B71F23"/>
    <w:rsid w:val="00B721B8"/>
    <w:rsid w:val="00B722E2"/>
    <w:rsid w:val="00B7316A"/>
    <w:rsid w:val="00B73491"/>
    <w:rsid w:val="00B736D1"/>
    <w:rsid w:val="00B739B7"/>
    <w:rsid w:val="00B73AC2"/>
    <w:rsid w:val="00B73E2D"/>
    <w:rsid w:val="00B740F0"/>
    <w:rsid w:val="00B74246"/>
    <w:rsid w:val="00B742E9"/>
    <w:rsid w:val="00B746C9"/>
    <w:rsid w:val="00B748E0"/>
    <w:rsid w:val="00B7498D"/>
    <w:rsid w:val="00B74C59"/>
    <w:rsid w:val="00B7501A"/>
    <w:rsid w:val="00B753E3"/>
    <w:rsid w:val="00B75B3A"/>
    <w:rsid w:val="00B75D8E"/>
    <w:rsid w:val="00B76040"/>
    <w:rsid w:val="00B760BE"/>
    <w:rsid w:val="00B76321"/>
    <w:rsid w:val="00B76474"/>
    <w:rsid w:val="00B766CA"/>
    <w:rsid w:val="00B76813"/>
    <w:rsid w:val="00B76AC8"/>
    <w:rsid w:val="00B76C81"/>
    <w:rsid w:val="00B7712F"/>
    <w:rsid w:val="00B778BC"/>
    <w:rsid w:val="00B77B71"/>
    <w:rsid w:val="00B77C19"/>
    <w:rsid w:val="00B77D8B"/>
    <w:rsid w:val="00B8087C"/>
    <w:rsid w:val="00B80DB1"/>
    <w:rsid w:val="00B80F08"/>
    <w:rsid w:val="00B8105F"/>
    <w:rsid w:val="00B813CF"/>
    <w:rsid w:val="00B815BF"/>
    <w:rsid w:val="00B815C9"/>
    <w:rsid w:val="00B81A6D"/>
    <w:rsid w:val="00B81D6F"/>
    <w:rsid w:val="00B827FD"/>
    <w:rsid w:val="00B8344F"/>
    <w:rsid w:val="00B837CD"/>
    <w:rsid w:val="00B837E7"/>
    <w:rsid w:val="00B83B2C"/>
    <w:rsid w:val="00B83C93"/>
    <w:rsid w:val="00B84132"/>
    <w:rsid w:val="00B841AA"/>
    <w:rsid w:val="00B841EF"/>
    <w:rsid w:val="00B842D3"/>
    <w:rsid w:val="00B844AA"/>
    <w:rsid w:val="00B8471C"/>
    <w:rsid w:val="00B84CFA"/>
    <w:rsid w:val="00B84E60"/>
    <w:rsid w:val="00B853C2"/>
    <w:rsid w:val="00B8568A"/>
    <w:rsid w:val="00B85713"/>
    <w:rsid w:val="00B8584B"/>
    <w:rsid w:val="00B85989"/>
    <w:rsid w:val="00B86270"/>
    <w:rsid w:val="00B86428"/>
    <w:rsid w:val="00B87470"/>
    <w:rsid w:val="00B878E2"/>
    <w:rsid w:val="00B8796B"/>
    <w:rsid w:val="00B87996"/>
    <w:rsid w:val="00B87E77"/>
    <w:rsid w:val="00B87F82"/>
    <w:rsid w:val="00B90628"/>
    <w:rsid w:val="00B90773"/>
    <w:rsid w:val="00B907ED"/>
    <w:rsid w:val="00B908FA"/>
    <w:rsid w:val="00B90900"/>
    <w:rsid w:val="00B90A96"/>
    <w:rsid w:val="00B91A85"/>
    <w:rsid w:val="00B91B07"/>
    <w:rsid w:val="00B91DF9"/>
    <w:rsid w:val="00B920A1"/>
    <w:rsid w:val="00B92269"/>
    <w:rsid w:val="00B92587"/>
    <w:rsid w:val="00B92735"/>
    <w:rsid w:val="00B92CA0"/>
    <w:rsid w:val="00B93099"/>
    <w:rsid w:val="00B93313"/>
    <w:rsid w:val="00B9364E"/>
    <w:rsid w:val="00B939D7"/>
    <w:rsid w:val="00B93BEC"/>
    <w:rsid w:val="00B93F98"/>
    <w:rsid w:val="00B941DF"/>
    <w:rsid w:val="00B945FD"/>
    <w:rsid w:val="00B94629"/>
    <w:rsid w:val="00B94A74"/>
    <w:rsid w:val="00B952AD"/>
    <w:rsid w:val="00B95708"/>
    <w:rsid w:val="00B95F75"/>
    <w:rsid w:val="00B9607D"/>
    <w:rsid w:val="00B96230"/>
    <w:rsid w:val="00B966BD"/>
    <w:rsid w:val="00B96916"/>
    <w:rsid w:val="00B978CE"/>
    <w:rsid w:val="00B97B0A"/>
    <w:rsid w:val="00B97C98"/>
    <w:rsid w:val="00B97CE8"/>
    <w:rsid w:val="00B97E5F"/>
    <w:rsid w:val="00BA03C9"/>
    <w:rsid w:val="00BA06D1"/>
    <w:rsid w:val="00BA07DC"/>
    <w:rsid w:val="00BA1075"/>
    <w:rsid w:val="00BA1238"/>
    <w:rsid w:val="00BA1881"/>
    <w:rsid w:val="00BA193F"/>
    <w:rsid w:val="00BA1B3C"/>
    <w:rsid w:val="00BA1EB3"/>
    <w:rsid w:val="00BA202C"/>
    <w:rsid w:val="00BA2173"/>
    <w:rsid w:val="00BA2444"/>
    <w:rsid w:val="00BA2578"/>
    <w:rsid w:val="00BA2835"/>
    <w:rsid w:val="00BA283F"/>
    <w:rsid w:val="00BA29B2"/>
    <w:rsid w:val="00BA2C1B"/>
    <w:rsid w:val="00BA3CA5"/>
    <w:rsid w:val="00BA3ECE"/>
    <w:rsid w:val="00BA3FE6"/>
    <w:rsid w:val="00BA4010"/>
    <w:rsid w:val="00BA4375"/>
    <w:rsid w:val="00BA4BEC"/>
    <w:rsid w:val="00BA51A6"/>
    <w:rsid w:val="00BA53A0"/>
    <w:rsid w:val="00BA5A7F"/>
    <w:rsid w:val="00BA5A91"/>
    <w:rsid w:val="00BA5D5F"/>
    <w:rsid w:val="00BA6CA9"/>
    <w:rsid w:val="00BA700F"/>
    <w:rsid w:val="00BA70A1"/>
    <w:rsid w:val="00BA73E1"/>
    <w:rsid w:val="00BA7D81"/>
    <w:rsid w:val="00BB00FB"/>
    <w:rsid w:val="00BB019B"/>
    <w:rsid w:val="00BB0806"/>
    <w:rsid w:val="00BB1034"/>
    <w:rsid w:val="00BB1144"/>
    <w:rsid w:val="00BB1154"/>
    <w:rsid w:val="00BB1C2D"/>
    <w:rsid w:val="00BB1C8D"/>
    <w:rsid w:val="00BB1D37"/>
    <w:rsid w:val="00BB1DB2"/>
    <w:rsid w:val="00BB250A"/>
    <w:rsid w:val="00BB2737"/>
    <w:rsid w:val="00BB2D8B"/>
    <w:rsid w:val="00BB2EB8"/>
    <w:rsid w:val="00BB30E6"/>
    <w:rsid w:val="00BB31CB"/>
    <w:rsid w:val="00BB39EB"/>
    <w:rsid w:val="00BB3ECA"/>
    <w:rsid w:val="00BB3F31"/>
    <w:rsid w:val="00BB3F65"/>
    <w:rsid w:val="00BB409D"/>
    <w:rsid w:val="00BB414C"/>
    <w:rsid w:val="00BB4428"/>
    <w:rsid w:val="00BB44A3"/>
    <w:rsid w:val="00BB4552"/>
    <w:rsid w:val="00BB4B41"/>
    <w:rsid w:val="00BB4B80"/>
    <w:rsid w:val="00BB5034"/>
    <w:rsid w:val="00BB577B"/>
    <w:rsid w:val="00BB5B5E"/>
    <w:rsid w:val="00BB5C8A"/>
    <w:rsid w:val="00BB5D75"/>
    <w:rsid w:val="00BB5DB2"/>
    <w:rsid w:val="00BB6ECC"/>
    <w:rsid w:val="00BB75FD"/>
    <w:rsid w:val="00BB76D0"/>
    <w:rsid w:val="00BB7700"/>
    <w:rsid w:val="00BB77B2"/>
    <w:rsid w:val="00BB78AA"/>
    <w:rsid w:val="00BB7EA8"/>
    <w:rsid w:val="00BB7F87"/>
    <w:rsid w:val="00BC00B3"/>
    <w:rsid w:val="00BC03FF"/>
    <w:rsid w:val="00BC0881"/>
    <w:rsid w:val="00BC0EF9"/>
    <w:rsid w:val="00BC1149"/>
    <w:rsid w:val="00BC1412"/>
    <w:rsid w:val="00BC1521"/>
    <w:rsid w:val="00BC1806"/>
    <w:rsid w:val="00BC189A"/>
    <w:rsid w:val="00BC19E3"/>
    <w:rsid w:val="00BC21E0"/>
    <w:rsid w:val="00BC22B2"/>
    <w:rsid w:val="00BC2635"/>
    <w:rsid w:val="00BC28FF"/>
    <w:rsid w:val="00BC29D3"/>
    <w:rsid w:val="00BC32D8"/>
    <w:rsid w:val="00BC35C5"/>
    <w:rsid w:val="00BC36DC"/>
    <w:rsid w:val="00BC3B80"/>
    <w:rsid w:val="00BC3DDA"/>
    <w:rsid w:val="00BC43B3"/>
    <w:rsid w:val="00BC47D7"/>
    <w:rsid w:val="00BC4947"/>
    <w:rsid w:val="00BC49E4"/>
    <w:rsid w:val="00BC4B47"/>
    <w:rsid w:val="00BC552A"/>
    <w:rsid w:val="00BC55E9"/>
    <w:rsid w:val="00BC570D"/>
    <w:rsid w:val="00BC5BB0"/>
    <w:rsid w:val="00BC5F36"/>
    <w:rsid w:val="00BC6614"/>
    <w:rsid w:val="00BC6DD3"/>
    <w:rsid w:val="00BC6FC0"/>
    <w:rsid w:val="00BC7108"/>
    <w:rsid w:val="00BC71E4"/>
    <w:rsid w:val="00BC7418"/>
    <w:rsid w:val="00BC76DF"/>
    <w:rsid w:val="00BC7AD6"/>
    <w:rsid w:val="00BC7F57"/>
    <w:rsid w:val="00BC7FB3"/>
    <w:rsid w:val="00BD00DA"/>
    <w:rsid w:val="00BD00FD"/>
    <w:rsid w:val="00BD0480"/>
    <w:rsid w:val="00BD0A87"/>
    <w:rsid w:val="00BD0B95"/>
    <w:rsid w:val="00BD0B9E"/>
    <w:rsid w:val="00BD1053"/>
    <w:rsid w:val="00BD1583"/>
    <w:rsid w:val="00BD15AC"/>
    <w:rsid w:val="00BD179D"/>
    <w:rsid w:val="00BD1808"/>
    <w:rsid w:val="00BD1ABB"/>
    <w:rsid w:val="00BD237E"/>
    <w:rsid w:val="00BD26C4"/>
    <w:rsid w:val="00BD270E"/>
    <w:rsid w:val="00BD273D"/>
    <w:rsid w:val="00BD2889"/>
    <w:rsid w:val="00BD2B01"/>
    <w:rsid w:val="00BD2EF2"/>
    <w:rsid w:val="00BD36CA"/>
    <w:rsid w:val="00BD3CEF"/>
    <w:rsid w:val="00BD4461"/>
    <w:rsid w:val="00BD4503"/>
    <w:rsid w:val="00BD4766"/>
    <w:rsid w:val="00BD4F73"/>
    <w:rsid w:val="00BD5001"/>
    <w:rsid w:val="00BD5636"/>
    <w:rsid w:val="00BD5AD5"/>
    <w:rsid w:val="00BD5B68"/>
    <w:rsid w:val="00BD5E12"/>
    <w:rsid w:val="00BD6009"/>
    <w:rsid w:val="00BD6172"/>
    <w:rsid w:val="00BD61CB"/>
    <w:rsid w:val="00BD65C0"/>
    <w:rsid w:val="00BD68B4"/>
    <w:rsid w:val="00BD70BC"/>
    <w:rsid w:val="00BD76F5"/>
    <w:rsid w:val="00BD7B76"/>
    <w:rsid w:val="00BD7E1F"/>
    <w:rsid w:val="00BD7FA4"/>
    <w:rsid w:val="00BD7FC0"/>
    <w:rsid w:val="00BE01FD"/>
    <w:rsid w:val="00BE0644"/>
    <w:rsid w:val="00BE1466"/>
    <w:rsid w:val="00BE1784"/>
    <w:rsid w:val="00BE1919"/>
    <w:rsid w:val="00BE1950"/>
    <w:rsid w:val="00BE1D91"/>
    <w:rsid w:val="00BE229C"/>
    <w:rsid w:val="00BE3394"/>
    <w:rsid w:val="00BE33C0"/>
    <w:rsid w:val="00BE33C6"/>
    <w:rsid w:val="00BE35A4"/>
    <w:rsid w:val="00BE37CB"/>
    <w:rsid w:val="00BE4176"/>
    <w:rsid w:val="00BE48D4"/>
    <w:rsid w:val="00BE4A30"/>
    <w:rsid w:val="00BE4B80"/>
    <w:rsid w:val="00BE4C2C"/>
    <w:rsid w:val="00BE4E88"/>
    <w:rsid w:val="00BE551C"/>
    <w:rsid w:val="00BE5729"/>
    <w:rsid w:val="00BE58A8"/>
    <w:rsid w:val="00BE7047"/>
    <w:rsid w:val="00BE737C"/>
    <w:rsid w:val="00BE7628"/>
    <w:rsid w:val="00BE773E"/>
    <w:rsid w:val="00BE7790"/>
    <w:rsid w:val="00BE77CF"/>
    <w:rsid w:val="00BE78FE"/>
    <w:rsid w:val="00BF000B"/>
    <w:rsid w:val="00BF013C"/>
    <w:rsid w:val="00BF0278"/>
    <w:rsid w:val="00BF0F2B"/>
    <w:rsid w:val="00BF19FC"/>
    <w:rsid w:val="00BF1A12"/>
    <w:rsid w:val="00BF1AA7"/>
    <w:rsid w:val="00BF1DA7"/>
    <w:rsid w:val="00BF1FDE"/>
    <w:rsid w:val="00BF2045"/>
    <w:rsid w:val="00BF207A"/>
    <w:rsid w:val="00BF2319"/>
    <w:rsid w:val="00BF3057"/>
    <w:rsid w:val="00BF320B"/>
    <w:rsid w:val="00BF329C"/>
    <w:rsid w:val="00BF32DD"/>
    <w:rsid w:val="00BF33F9"/>
    <w:rsid w:val="00BF34CE"/>
    <w:rsid w:val="00BF38C2"/>
    <w:rsid w:val="00BF39CE"/>
    <w:rsid w:val="00BF3B6C"/>
    <w:rsid w:val="00BF3ED2"/>
    <w:rsid w:val="00BF4401"/>
    <w:rsid w:val="00BF4560"/>
    <w:rsid w:val="00BF4BCA"/>
    <w:rsid w:val="00BF4E2D"/>
    <w:rsid w:val="00BF52D6"/>
    <w:rsid w:val="00BF56BC"/>
    <w:rsid w:val="00BF596A"/>
    <w:rsid w:val="00BF606F"/>
    <w:rsid w:val="00BF6197"/>
    <w:rsid w:val="00BF635E"/>
    <w:rsid w:val="00BF6423"/>
    <w:rsid w:val="00BF65B9"/>
    <w:rsid w:val="00BF6A5D"/>
    <w:rsid w:val="00BF6E9E"/>
    <w:rsid w:val="00BF700F"/>
    <w:rsid w:val="00BF7212"/>
    <w:rsid w:val="00BF733C"/>
    <w:rsid w:val="00BF7689"/>
    <w:rsid w:val="00C0035B"/>
    <w:rsid w:val="00C0069A"/>
    <w:rsid w:val="00C01052"/>
    <w:rsid w:val="00C01794"/>
    <w:rsid w:val="00C019F8"/>
    <w:rsid w:val="00C01EB5"/>
    <w:rsid w:val="00C02280"/>
    <w:rsid w:val="00C02E4A"/>
    <w:rsid w:val="00C03812"/>
    <w:rsid w:val="00C03D16"/>
    <w:rsid w:val="00C04665"/>
    <w:rsid w:val="00C04F48"/>
    <w:rsid w:val="00C05384"/>
    <w:rsid w:val="00C054C6"/>
    <w:rsid w:val="00C05ADA"/>
    <w:rsid w:val="00C05D29"/>
    <w:rsid w:val="00C0625A"/>
    <w:rsid w:val="00C067D7"/>
    <w:rsid w:val="00C06C08"/>
    <w:rsid w:val="00C06D28"/>
    <w:rsid w:val="00C06D45"/>
    <w:rsid w:val="00C06DBA"/>
    <w:rsid w:val="00C06DF9"/>
    <w:rsid w:val="00C070D6"/>
    <w:rsid w:val="00C070E6"/>
    <w:rsid w:val="00C07E60"/>
    <w:rsid w:val="00C100A9"/>
    <w:rsid w:val="00C1018F"/>
    <w:rsid w:val="00C101C6"/>
    <w:rsid w:val="00C106B0"/>
    <w:rsid w:val="00C11438"/>
    <w:rsid w:val="00C1165A"/>
    <w:rsid w:val="00C11FAE"/>
    <w:rsid w:val="00C127FC"/>
    <w:rsid w:val="00C12B10"/>
    <w:rsid w:val="00C12BB8"/>
    <w:rsid w:val="00C12C90"/>
    <w:rsid w:val="00C12F92"/>
    <w:rsid w:val="00C13090"/>
    <w:rsid w:val="00C13879"/>
    <w:rsid w:val="00C13883"/>
    <w:rsid w:val="00C13C42"/>
    <w:rsid w:val="00C14623"/>
    <w:rsid w:val="00C148CD"/>
    <w:rsid w:val="00C1559C"/>
    <w:rsid w:val="00C155B9"/>
    <w:rsid w:val="00C15D42"/>
    <w:rsid w:val="00C15D5C"/>
    <w:rsid w:val="00C165A3"/>
    <w:rsid w:val="00C16EFA"/>
    <w:rsid w:val="00C16FF4"/>
    <w:rsid w:val="00C17CA7"/>
    <w:rsid w:val="00C204A8"/>
    <w:rsid w:val="00C21340"/>
    <w:rsid w:val="00C2147E"/>
    <w:rsid w:val="00C21808"/>
    <w:rsid w:val="00C21940"/>
    <w:rsid w:val="00C21C24"/>
    <w:rsid w:val="00C21CF0"/>
    <w:rsid w:val="00C22994"/>
    <w:rsid w:val="00C22D30"/>
    <w:rsid w:val="00C2338B"/>
    <w:rsid w:val="00C23455"/>
    <w:rsid w:val="00C23610"/>
    <w:rsid w:val="00C2383E"/>
    <w:rsid w:val="00C238AA"/>
    <w:rsid w:val="00C23A1B"/>
    <w:rsid w:val="00C23DA9"/>
    <w:rsid w:val="00C240AE"/>
    <w:rsid w:val="00C242FB"/>
    <w:rsid w:val="00C24611"/>
    <w:rsid w:val="00C246B5"/>
    <w:rsid w:val="00C24C55"/>
    <w:rsid w:val="00C24CDB"/>
    <w:rsid w:val="00C24F98"/>
    <w:rsid w:val="00C250D2"/>
    <w:rsid w:val="00C25808"/>
    <w:rsid w:val="00C25925"/>
    <w:rsid w:val="00C25D6A"/>
    <w:rsid w:val="00C25EFE"/>
    <w:rsid w:val="00C2609D"/>
    <w:rsid w:val="00C263CE"/>
    <w:rsid w:val="00C26641"/>
    <w:rsid w:val="00C2675E"/>
    <w:rsid w:val="00C27007"/>
    <w:rsid w:val="00C2714D"/>
    <w:rsid w:val="00C272BB"/>
    <w:rsid w:val="00C27495"/>
    <w:rsid w:val="00C274C7"/>
    <w:rsid w:val="00C27DE4"/>
    <w:rsid w:val="00C3040D"/>
    <w:rsid w:val="00C30501"/>
    <w:rsid w:val="00C307C3"/>
    <w:rsid w:val="00C308C1"/>
    <w:rsid w:val="00C30B14"/>
    <w:rsid w:val="00C30F92"/>
    <w:rsid w:val="00C31353"/>
    <w:rsid w:val="00C31CFE"/>
    <w:rsid w:val="00C31DC1"/>
    <w:rsid w:val="00C32025"/>
    <w:rsid w:val="00C32225"/>
    <w:rsid w:val="00C324AB"/>
    <w:rsid w:val="00C324F9"/>
    <w:rsid w:val="00C32B35"/>
    <w:rsid w:val="00C32F5F"/>
    <w:rsid w:val="00C333EB"/>
    <w:rsid w:val="00C33764"/>
    <w:rsid w:val="00C3384A"/>
    <w:rsid w:val="00C338C5"/>
    <w:rsid w:val="00C338E5"/>
    <w:rsid w:val="00C3390C"/>
    <w:rsid w:val="00C339E6"/>
    <w:rsid w:val="00C33FB0"/>
    <w:rsid w:val="00C342EA"/>
    <w:rsid w:val="00C34364"/>
    <w:rsid w:val="00C346C3"/>
    <w:rsid w:val="00C34B11"/>
    <w:rsid w:val="00C34E82"/>
    <w:rsid w:val="00C34F8F"/>
    <w:rsid w:val="00C3505E"/>
    <w:rsid w:val="00C3510F"/>
    <w:rsid w:val="00C359C8"/>
    <w:rsid w:val="00C35CFC"/>
    <w:rsid w:val="00C35EDE"/>
    <w:rsid w:val="00C36BE6"/>
    <w:rsid w:val="00C37E29"/>
    <w:rsid w:val="00C406CB"/>
    <w:rsid w:val="00C407DD"/>
    <w:rsid w:val="00C40B33"/>
    <w:rsid w:val="00C40C07"/>
    <w:rsid w:val="00C40D62"/>
    <w:rsid w:val="00C40DFB"/>
    <w:rsid w:val="00C413B6"/>
    <w:rsid w:val="00C41538"/>
    <w:rsid w:val="00C4185B"/>
    <w:rsid w:val="00C41FCB"/>
    <w:rsid w:val="00C41FD0"/>
    <w:rsid w:val="00C41FFE"/>
    <w:rsid w:val="00C4208C"/>
    <w:rsid w:val="00C4227D"/>
    <w:rsid w:val="00C422D1"/>
    <w:rsid w:val="00C423A6"/>
    <w:rsid w:val="00C42508"/>
    <w:rsid w:val="00C42529"/>
    <w:rsid w:val="00C425DB"/>
    <w:rsid w:val="00C4273C"/>
    <w:rsid w:val="00C436C9"/>
    <w:rsid w:val="00C4373C"/>
    <w:rsid w:val="00C43B23"/>
    <w:rsid w:val="00C43C40"/>
    <w:rsid w:val="00C43DD8"/>
    <w:rsid w:val="00C4413B"/>
    <w:rsid w:val="00C44239"/>
    <w:rsid w:val="00C44484"/>
    <w:rsid w:val="00C44866"/>
    <w:rsid w:val="00C44925"/>
    <w:rsid w:val="00C453A9"/>
    <w:rsid w:val="00C45A03"/>
    <w:rsid w:val="00C45B0B"/>
    <w:rsid w:val="00C46173"/>
    <w:rsid w:val="00C4640B"/>
    <w:rsid w:val="00C469D9"/>
    <w:rsid w:val="00C470F1"/>
    <w:rsid w:val="00C472FA"/>
    <w:rsid w:val="00C476A7"/>
    <w:rsid w:val="00C47E05"/>
    <w:rsid w:val="00C50103"/>
    <w:rsid w:val="00C50114"/>
    <w:rsid w:val="00C504D1"/>
    <w:rsid w:val="00C50989"/>
    <w:rsid w:val="00C50BDB"/>
    <w:rsid w:val="00C50D98"/>
    <w:rsid w:val="00C51706"/>
    <w:rsid w:val="00C51C01"/>
    <w:rsid w:val="00C52035"/>
    <w:rsid w:val="00C52793"/>
    <w:rsid w:val="00C52E88"/>
    <w:rsid w:val="00C531CE"/>
    <w:rsid w:val="00C53369"/>
    <w:rsid w:val="00C53476"/>
    <w:rsid w:val="00C535BD"/>
    <w:rsid w:val="00C535F5"/>
    <w:rsid w:val="00C53722"/>
    <w:rsid w:val="00C538CD"/>
    <w:rsid w:val="00C53C34"/>
    <w:rsid w:val="00C54544"/>
    <w:rsid w:val="00C5483B"/>
    <w:rsid w:val="00C55199"/>
    <w:rsid w:val="00C55987"/>
    <w:rsid w:val="00C55B9D"/>
    <w:rsid w:val="00C5629C"/>
    <w:rsid w:val="00C565FE"/>
    <w:rsid w:val="00C5672D"/>
    <w:rsid w:val="00C56B17"/>
    <w:rsid w:val="00C56B46"/>
    <w:rsid w:val="00C57158"/>
    <w:rsid w:val="00C57CA1"/>
    <w:rsid w:val="00C57D3E"/>
    <w:rsid w:val="00C60033"/>
    <w:rsid w:val="00C60742"/>
    <w:rsid w:val="00C608EB"/>
    <w:rsid w:val="00C60F7A"/>
    <w:rsid w:val="00C612E7"/>
    <w:rsid w:val="00C613E4"/>
    <w:rsid w:val="00C61E70"/>
    <w:rsid w:val="00C61F7A"/>
    <w:rsid w:val="00C626F4"/>
    <w:rsid w:val="00C6274A"/>
    <w:rsid w:val="00C62B6D"/>
    <w:rsid w:val="00C630DF"/>
    <w:rsid w:val="00C63186"/>
    <w:rsid w:val="00C63242"/>
    <w:rsid w:val="00C63245"/>
    <w:rsid w:val="00C633E7"/>
    <w:rsid w:val="00C6372F"/>
    <w:rsid w:val="00C63D35"/>
    <w:rsid w:val="00C6419D"/>
    <w:rsid w:val="00C642C4"/>
    <w:rsid w:val="00C643EE"/>
    <w:rsid w:val="00C645BE"/>
    <w:rsid w:val="00C648DC"/>
    <w:rsid w:val="00C64BB7"/>
    <w:rsid w:val="00C64C38"/>
    <w:rsid w:val="00C64DFB"/>
    <w:rsid w:val="00C650EF"/>
    <w:rsid w:val="00C6529C"/>
    <w:rsid w:val="00C658A3"/>
    <w:rsid w:val="00C66B90"/>
    <w:rsid w:val="00C6774B"/>
    <w:rsid w:val="00C67CAF"/>
    <w:rsid w:val="00C7002F"/>
    <w:rsid w:val="00C701B3"/>
    <w:rsid w:val="00C71050"/>
    <w:rsid w:val="00C71DA0"/>
    <w:rsid w:val="00C72211"/>
    <w:rsid w:val="00C72280"/>
    <w:rsid w:val="00C72804"/>
    <w:rsid w:val="00C731FA"/>
    <w:rsid w:val="00C73AA5"/>
    <w:rsid w:val="00C74025"/>
    <w:rsid w:val="00C742F5"/>
    <w:rsid w:val="00C74338"/>
    <w:rsid w:val="00C74484"/>
    <w:rsid w:val="00C748DB"/>
    <w:rsid w:val="00C74C7C"/>
    <w:rsid w:val="00C74D25"/>
    <w:rsid w:val="00C74DCA"/>
    <w:rsid w:val="00C75133"/>
    <w:rsid w:val="00C7526E"/>
    <w:rsid w:val="00C752BA"/>
    <w:rsid w:val="00C75D61"/>
    <w:rsid w:val="00C75E20"/>
    <w:rsid w:val="00C75E25"/>
    <w:rsid w:val="00C75FA1"/>
    <w:rsid w:val="00C7693C"/>
    <w:rsid w:val="00C76BFA"/>
    <w:rsid w:val="00C77308"/>
    <w:rsid w:val="00C7758E"/>
    <w:rsid w:val="00C777F5"/>
    <w:rsid w:val="00C77E4F"/>
    <w:rsid w:val="00C80142"/>
    <w:rsid w:val="00C80809"/>
    <w:rsid w:val="00C80D59"/>
    <w:rsid w:val="00C816F7"/>
    <w:rsid w:val="00C81849"/>
    <w:rsid w:val="00C81866"/>
    <w:rsid w:val="00C82501"/>
    <w:rsid w:val="00C82778"/>
    <w:rsid w:val="00C82963"/>
    <w:rsid w:val="00C82ABF"/>
    <w:rsid w:val="00C830C5"/>
    <w:rsid w:val="00C834E4"/>
    <w:rsid w:val="00C837A9"/>
    <w:rsid w:val="00C844BE"/>
    <w:rsid w:val="00C846B2"/>
    <w:rsid w:val="00C84F2B"/>
    <w:rsid w:val="00C8569C"/>
    <w:rsid w:val="00C85A87"/>
    <w:rsid w:val="00C85C1D"/>
    <w:rsid w:val="00C85D9D"/>
    <w:rsid w:val="00C85DC1"/>
    <w:rsid w:val="00C864D8"/>
    <w:rsid w:val="00C87011"/>
    <w:rsid w:val="00C871AF"/>
    <w:rsid w:val="00C8737E"/>
    <w:rsid w:val="00C87BF2"/>
    <w:rsid w:val="00C87EEE"/>
    <w:rsid w:val="00C9033C"/>
    <w:rsid w:val="00C9046F"/>
    <w:rsid w:val="00C90EB2"/>
    <w:rsid w:val="00C915B8"/>
    <w:rsid w:val="00C91B81"/>
    <w:rsid w:val="00C921DD"/>
    <w:rsid w:val="00C92911"/>
    <w:rsid w:val="00C92BD9"/>
    <w:rsid w:val="00C92D38"/>
    <w:rsid w:val="00C9372B"/>
    <w:rsid w:val="00C9385C"/>
    <w:rsid w:val="00C94074"/>
    <w:rsid w:val="00C94136"/>
    <w:rsid w:val="00C941C6"/>
    <w:rsid w:val="00C941F9"/>
    <w:rsid w:val="00C942B2"/>
    <w:rsid w:val="00C946EE"/>
    <w:rsid w:val="00C947FF"/>
    <w:rsid w:val="00C9487C"/>
    <w:rsid w:val="00C94C9E"/>
    <w:rsid w:val="00C94FB6"/>
    <w:rsid w:val="00C9503C"/>
    <w:rsid w:val="00C951A3"/>
    <w:rsid w:val="00C95698"/>
    <w:rsid w:val="00C95A8D"/>
    <w:rsid w:val="00C95E79"/>
    <w:rsid w:val="00C95E8B"/>
    <w:rsid w:val="00C95E93"/>
    <w:rsid w:val="00C9713F"/>
    <w:rsid w:val="00C97389"/>
    <w:rsid w:val="00C9763D"/>
    <w:rsid w:val="00C9766A"/>
    <w:rsid w:val="00C97A04"/>
    <w:rsid w:val="00C97AA0"/>
    <w:rsid w:val="00CA035E"/>
    <w:rsid w:val="00CA06AB"/>
    <w:rsid w:val="00CA14C4"/>
    <w:rsid w:val="00CA1560"/>
    <w:rsid w:val="00CA159D"/>
    <w:rsid w:val="00CA168A"/>
    <w:rsid w:val="00CA17BB"/>
    <w:rsid w:val="00CA1BFE"/>
    <w:rsid w:val="00CA1DD0"/>
    <w:rsid w:val="00CA2670"/>
    <w:rsid w:val="00CA2766"/>
    <w:rsid w:val="00CA2BA1"/>
    <w:rsid w:val="00CA2FCC"/>
    <w:rsid w:val="00CA320F"/>
    <w:rsid w:val="00CA3AB4"/>
    <w:rsid w:val="00CA3D29"/>
    <w:rsid w:val="00CA3DDC"/>
    <w:rsid w:val="00CA428F"/>
    <w:rsid w:val="00CA439E"/>
    <w:rsid w:val="00CA4653"/>
    <w:rsid w:val="00CA49B6"/>
    <w:rsid w:val="00CA49C5"/>
    <w:rsid w:val="00CA4DE3"/>
    <w:rsid w:val="00CA5428"/>
    <w:rsid w:val="00CA57B7"/>
    <w:rsid w:val="00CA5DD6"/>
    <w:rsid w:val="00CA6419"/>
    <w:rsid w:val="00CA649B"/>
    <w:rsid w:val="00CA7341"/>
    <w:rsid w:val="00CA7642"/>
    <w:rsid w:val="00CA7903"/>
    <w:rsid w:val="00CA7A0A"/>
    <w:rsid w:val="00CA7CF4"/>
    <w:rsid w:val="00CA7FC6"/>
    <w:rsid w:val="00CB0124"/>
    <w:rsid w:val="00CB028F"/>
    <w:rsid w:val="00CB0522"/>
    <w:rsid w:val="00CB0935"/>
    <w:rsid w:val="00CB0A8D"/>
    <w:rsid w:val="00CB10C5"/>
    <w:rsid w:val="00CB1243"/>
    <w:rsid w:val="00CB1372"/>
    <w:rsid w:val="00CB1867"/>
    <w:rsid w:val="00CB1FF6"/>
    <w:rsid w:val="00CB2978"/>
    <w:rsid w:val="00CB334F"/>
    <w:rsid w:val="00CB3434"/>
    <w:rsid w:val="00CB34D4"/>
    <w:rsid w:val="00CB39A6"/>
    <w:rsid w:val="00CB4260"/>
    <w:rsid w:val="00CB46F2"/>
    <w:rsid w:val="00CB4736"/>
    <w:rsid w:val="00CB51E2"/>
    <w:rsid w:val="00CB565F"/>
    <w:rsid w:val="00CB5890"/>
    <w:rsid w:val="00CB58A0"/>
    <w:rsid w:val="00CB5C48"/>
    <w:rsid w:val="00CB6275"/>
    <w:rsid w:val="00CB6571"/>
    <w:rsid w:val="00CB65F5"/>
    <w:rsid w:val="00CB68EC"/>
    <w:rsid w:val="00CB6B19"/>
    <w:rsid w:val="00CB7166"/>
    <w:rsid w:val="00CB73A1"/>
    <w:rsid w:val="00CB756A"/>
    <w:rsid w:val="00CB75E8"/>
    <w:rsid w:val="00CB7615"/>
    <w:rsid w:val="00CC028B"/>
    <w:rsid w:val="00CC0CD8"/>
    <w:rsid w:val="00CC165D"/>
    <w:rsid w:val="00CC1717"/>
    <w:rsid w:val="00CC1728"/>
    <w:rsid w:val="00CC1CEB"/>
    <w:rsid w:val="00CC1D27"/>
    <w:rsid w:val="00CC2158"/>
    <w:rsid w:val="00CC21B1"/>
    <w:rsid w:val="00CC2433"/>
    <w:rsid w:val="00CC2AC5"/>
    <w:rsid w:val="00CC2DF3"/>
    <w:rsid w:val="00CC2F82"/>
    <w:rsid w:val="00CC3CAA"/>
    <w:rsid w:val="00CC3E72"/>
    <w:rsid w:val="00CC3EB0"/>
    <w:rsid w:val="00CC4147"/>
    <w:rsid w:val="00CC49EE"/>
    <w:rsid w:val="00CC4A05"/>
    <w:rsid w:val="00CC51A1"/>
    <w:rsid w:val="00CC567B"/>
    <w:rsid w:val="00CC5C50"/>
    <w:rsid w:val="00CC5EDC"/>
    <w:rsid w:val="00CC6A83"/>
    <w:rsid w:val="00CC6A9B"/>
    <w:rsid w:val="00CC6EF2"/>
    <w:rsid w:val="00CC70BB"/>
    <w:rsid w:val="00CC71F7"/>
    <w:rsid w:val="00CC72ED"/>
    <w:rsid w:val="00CC791A"/>
    <w:rsid w:val="00CC7B33"/>
    <w:rsid w:val="00CC7FC9"/>
    <w:rsid w:val="00CD0308"/>
    <w:rsid w:val="00CD062B"/>
    <w:rsid w:val="00CD072A"/>
    <w:rsid w:val="00CD08F1"/>
    <w:rsid w:val="00CD09C0"/>
    <w:rsid w:val="00CD0D2A"/>
    <w:rsid w:val="00CD0ED2"/>
    <w:rsid w:val="00CD1022"/>
    <w:rsid w:val="00CD124C"/>
    <w:rsid w:val="00CD1355"/>
    <w:rsid w:val="00CD1F0C"/>
    <w:rsid w:val="00CD29FB"/>
    <w:rsid w:val="00CD2A1A"/>
    <w:rsid w:val="00CD2A6B"/>
    <w:rsid w:val="00CD2FE3"/>
    <w:rsid w:val="00CD391A"/>
    <w:rsid w:val="00CD3B1F"/>
    <w:rsid w:val="00CD40DB"/>
    <w:rsid w:val="00CD41F8"/>
    <w:rsid w:val="00CD4219"/>
    <w:rsid w:val="00CD44B4"/>
    <w:rsid w:val="00CD4748"/>
    <w:rsid w:val="00CD49E1"/>
    <w:rsid w:val="00CD526B"/>
    <w:rsid w:val="00CD60A8"/>
    <w:rsid w:val="00CD6702"/>
    <w:rsid w:val="00CD6CA2"/>
    <w:rsid w:val="00CD6EDE"/>
    <w:rsid w:val="00CD7185"/>
    <w:rsid w:val="00CD7AA5"/>
    <w:rsid w:val="00CD7ACE"/>
    <w:rsid w:val="00CD7B73"/>
    <w:rsid w:val="00CD7C18"/>
    <w:rsid w:val="00CE03F3"/>
    <w:rsid w:val="00CE0CBC"/>
    <w:rsid w:val="00CE0FBF"/>
    <w:rsid w:val="00CE1471"/>
    <w:rsid w:val="00CE21AF"/>
    <w:rsid w:val="00CE270C"/>
    <w:rsid w:val="00CE2896"/>
    <w:rsid w:val="00CE2901"/>
    <w:rsid w:val="00CE2975"/>
    <w:rsid w:val="00CE3130"/>
    <w:rsid w:val="00CE336C"/>
    <w:rsid w:val="00CE352C"/>
    <w:rsid w:val="00CE3742"/>
    <w:rsid w:val="00CE3835"/>
    <w:rsid w:val="00CE3E6E"/>
    <w:rsid w:val="00CE48BE"/>
    <w:rsid w:val="00CE4A20"/>
    <w:rsid w:val="00CE4B69"/>
    <w:rsid w:val="00CE4BB7"/>
    <w:rsid w:val="00CE5283"/>
    <w:rsid w:val="00CE53B1"/>
    <w:rsid w:val="00CE559C"/>
    <w:rsid w:val="00CE5B29"/>
    <w:rsid w:val="00CE5E98"/>
    <w:rsid w:val="00CE698B"/>
    <w:rsid w:val="00CE6D90"/>
    <w:rsid w:val="00CE7029"/>
    <w:rsid w:val="00CE717B"/>
    <w:rsid w:val="00CE73BC"/>
    <w:rsid w:val="00CF01CD"/>
    <w:rsid w:val="00CF0510"/>
    <w:rsid w:val="00CF090D"/>
    <w:rsid w:val="00CF0F6F"/>
    <w:rsid w:val="00CF1690"/>
    <w:rsid w:val="00CF1728"/>
    <w:rsid w:val="00CF1AEE"/>
    <w:rsid w:val="00CF2562"/>
    <w:rsid w:val="00CF257B"/>
    <w:rsid w:val="00CF26B1"/>
    <w:rsid w:val="00CF290F"/>
    <w:rsid w:val="00CF32B7"/>
    <w:rsid w:val="00CF3A0E"/>
    <w:rsid w:val="00CF3D10"/>
    <w:rsid w:val="00CF40E4"/>
    <w:rsid w:val="00CF4647"/>
    <w:rsid w:val="00CF4E1B"/>
    <w:rsid w:val="00CF504C"/>
    <w:rsid w:val="00CF50B6"/>
    <w:rsid w:val="00CF5405"/>
    <w:rsid w:val="00CF5892"/>
    <w:rsid w:val="00CF5A7F"/>
    <w:rsid w:val="00CF616C"/>
    <w:rsid w:val="00CF6257"/>
    <w:rsid w:val="00CF63A7"/>
    <w:rsid w:val="00CF649D"/>
    <w:rsid w:val="00CF6B9F"/>
    <w:rsid w:val="00CF72F8"/>
    <w:rsid w:val="00CF740C"/>
    <w:rsid w:val="00CF751D"/>
    <w:rsid w:val="00CF7727"/>
    <w:rsid w:val="00CF7817"/>
    <w:rsid w:val="00CF7A64"/>
    <w:rsid w:val="00CF7B28"/>
    <w:rsid w:val="00CF7C15"/>
    <w:rsid w:val="00CF7CD4"/>
    <w:rsid w:val="00D00605"/>
    <w:rsid w:val="00D006F5"/>
    <w:rsid w:val="00D00FDF"/>
    <w:rsid w:val="00D0106E"/>
    <w:rsid w:val="00D01423"/>
    <w:rsid w:val="00D0143F"/>
    <w:rsid w:val="00D0151F"/>
    <w:rsid w:val="00D018A0"/>
    <w:rsid w:val="00D02127"/>
    <w:rsid w:val="00D025D0"/>
    <w:rsid w:val="00D025FD"/>
    <w:rsid w:val="00D0289F"/>
    <w:rsid w:val="00D033F3"/>
    <w:rsid w:val="00D03C64"/>
    <w:rsid w:val="00D03DA3"/>
    <w:rsid w:val="00D043F4"/>
    <w:rsid w:val="00D046BD"/>
    <w:rsid w:val="00D046DD"/>
    <w:rsid w:val="00D04F58"/>
    <w:rsid w:val="00D052A8"/>
    <w:rsid w:val="00D05693"/>
    <w:rsid w:val="00D06D89"/>
    <w:rsid w:val="00D07298"/>
    <w:rsid w:val="00D072B2"/>
    <w:rsid w:val="00D07444"/>
    <w:rsid w:val="00D07523"/>
    <w:rsid w:val="00D07892"/>
    <w:rsid w:val="00D07B6D"/>
    <w:rsid w:val="00D100CF"/>
    <w:rsid w:val="00D100ED"/>
    <w:rsid w:val="00D1043C"/>
    <w:rsid w:val="00D10594"/>
    <w:rsid w:val="00D10C15"/>
    <w:rsid w:val="00D10DDA"/>
    <w:rsid w:val="00D10F2C"/>
    <w:rsid w:val="00D10FCC"/>
    <w:rsid w:val="00D11835"/>
    <w:rsid w:val="00D11AB3"/>
    <w:rsid w:val="00D11E9A"/>
    <w:rsid w:val="00D11EBF"/>
    <w:rsid w:val="00D123F0"/>
    <w:rsid w:val="00D12484"/>
    <w:rsid w:val="00D12790"/>
    <w:rsid w:val="00D12A85"/>
    <w:rsid w:val="00D12E24"/>
    <w:rsid w:val="00D12EA7"/>
    <w:rsid w:val="00D13038"/>
    <w:rsid w:val="00D13290"/>
    <w:rsid w:val="00D14886"/>
    <w:rsid w:val="00D14CF0"/>
    <w:rsid w:val="00D153F3"/>
    <w:rsid w:val="00D15894"/>
    <w:rsid w:val="00D15C76"/>
    <w:rsid w:val="00D16BF2"/>
    <w:rsid w:val="00D170BA"/>
    <w:rsid w:val="00D17935"/>
    <w:rsid w:val="00D17CB7"/>
    <w:rsid w:val="00D17DC3"/>
    <w:rsid w:val="00D17ED5"/>
    <w:rsid w:val="00D17F1D"/>
    <w:rsid w:val="00D20189"/>
    <w:rsid w:val="00D2021D"/>
    <w:rsid w:val="00D20342"/>
    <w:rsid w:val="00D20909"/>
    <w:rsid w:val="00D20929"/>
    <w:rsid w:val="00D21AC8"/>
    <w:rsid w:val="00D21B32"/>
    <w:rsid w:val="00D21B76"/>
    <w:rsid w:val="00D21B86"/>
    <w:rsid w:val="00D21E75"/>
    <w:rsid w:val="00D22230"/>
    <w:rsid w:val="00D2225F"/>
    <w:rsid w:val="00D22721"/>
    <w:rsid w:val="00D22A33"/>
    <w:rsid w:val="00D22B25"/>
    <w:rsid w:val="00D22BA8"/>
    <w:rsid w:val="00D22DB1"/>
    <w:rsid w:val="00D22E43"/>
    <w:rsid w:val="00D22E72"/>
    <w:rsid w:val="00D231F8"/>
    <w:rsid w:val="00D234C1"/>
    <w:rsid w:val="00D2389A"/>
    <w:rsid w:val="00D23B6D"/>
    <w:rsid w:val="00D24B91"/>
    <w:rsid w:val="00D24DE6"/>
    <w:rsid w:val="00D24FEF"/>
    <w:rsid w:val="00D25678"/>
    <w:rsid w:val="00D25790"/>
    <w:rsid w:val="00D25838"/>
    <w:rsid w:val="00D25D38"/>
    <w:rsid w:val="00D265BB"/>
    <w:rsid w:val="00D26659"/>
    <w:rsid w:val="00D27082"/>
    <w:rsid w:val="00D27363"/>
    <w:rsid w:val="00D27887"/>
    <w:rsid w:val="00D27F4B"/>
    <w:rsid w:val="00D305F3"/>
    <w:rsid w:val="00D307D0"/>
    <w:rsid w:val="00D30AED"/>
    <w:rsid w:val="00D31454"/>
    <w:rsid w:val="00D31724"/>
    <w:rsid w:val="00D31A47"/>
    <w:rsid w:val="00D31FA8"/>
    <w:rsid w:val="00D323C2"/>
    <w:rsid w:val="00D32485"/>
    <w:rsid w:val="00D32C56"/>
    <w:rsid w:val="00D32D12"/>
    <w:rsid w:val="00D33252"/>
    <w:rsid w:val="00D33443"/>
    <w:rsid w:val="00D33877"/>
    <w:rsid w:val="00D33D2D"/>
    <w:rsid w:val="00D33DE0"/>
    <w:rsid w:val="00D3402F"/>
    <w:rsid w:val="00D34733"/>
    <w:rsid w:val="00D34B7D"/>
    <w:rsid w:val="00D34FD6"/>
    <w:rsid w:val="00D3561E"/>
    <w:rsid w:val="00D35788"/>
    <w:rsid w:val="00D35879"/>
    <w:rsid w:val="00D35FDC"/>
    <w:rsid w:val="00D360BE"/>
    <w:rsid w:val="00D360D9"/>
    <w:rsid w:val="00D36254"/>
    <w:rsid w:val="00D365F8"/>
    <w:rsid w:val="00D3678A"/>
    <w:rsid w:val="00D36C56"/>
    <w:rsid w:val="00D36EFD"/>
    <w:rsid w:val="00D36F73"/>
    <w:rsid w:val="00D37124"/>
    <w:rsid w:val="00D37422"/>
    <w:rsid w:val="00D37AEF"/>
    <w:rsid w:val="00D40360"/>
    <w:rsid w:val="00D4051E"/>
    <w:rsid w:val="00D40780"/>
    <w:rsid w:val="00D40830"/>
    <w:rsid w:val="00D40910"/>
    <w:rsid w:val="00D40D94"/>
    <w:rsid w:val="00D40E29"/>
    <w:rsid w:val="00D40E4B"/>
    <w:rsid w:val="00D415A2"/>
    <w:rsid w:val="00D41730"/>
    <w:rsid w:val="00D4228D"/>
    <w:rsid w:val="00D424D8"/>
    <w:rsid w:val="00D42566"/>
    <w:rsid w:val="00D42E3B"/>
    <w:rsid w:val="00D434CA"/>
    <w:rsid w:val="00D434F6"/>
    <w:rsid w:val="00D43657"/>
    <w:rsid w:val="00D43771"/>
    <w:rsid w:val="00D43888"/>
    <w:rsid w:val="00D43D20"/>
    <w:rsid w:val="00D43DC8"/>
    <w:rsid w:val="00D43DF2"/>
    <w:rsid w:val="00D43E07"/>
    <w:rsid w:val="00D4415C"/>
    <w:rsid w:val="00D44768"/>
    <w:rsid w:val="00D44A8F"/>
    <w:rsid w:val="00D44EB9"/>
    <w:rsid w:val="00D45036"/>
    <w:rsid w:val="00D45436"/>
    <w:rsid w:val="00D457D0"/>
    <w:rsid w:val="00D45A8C"/>
    <w:rsid w:val="00D45C79"/>
    <w:rsid w:val="00D45E1B"/>
    <w:rsid w:val="00D45F91"/>
    <w:rsid w:val="00D4603A"/>
    <w:rsid w:val="00D46178"/>
    <w:rsid w:val="00D462AC"/>
    <w:rsid w:val="00D46665"/>
    <w:rsid w:val="00D46689"/>
    <w:rsid w:val="00D46731"/>
    <w:rsid w:val="00D46847"/>
    <w:rsid w:val="00D468A7"/>
    <w:rsid w:val="00D470E2"/>
    <w:rsid w:val="00D4716D"/>
    <w:rsid w:val="00D47ABE"/>
    <w:rsid w:val="00D47BC8"/>
    <w:rsid w:val="00D47C28"/>
    <w:rsid w:val="00D506D1"/>
    <w:rsid w:val="00D508E1"/>
    <w:rsid w:val="00D51738"/>
    <w:rsid w:val="00D51C36"/>
    <w:rsid w:val="00D52944"/>
    <w:rsid w:val="00D52A81"/>
    <w:rsid w:val="00D52B36"/>
    <w:rsid w:val="00D52BCA"/>
    <w:rsid w:val="00D52D3B"/>
    <w:rsid w:val="00D530C6"/>
    <w:rsid w:val="00D533BF"/>
    <w:rsid w:val="00D53A8B"/>
    <w:rsid w:val="00D540D9"/>
    <w:rsid w:val="00D541BE"/>
    <w:rsid w:val="00D54556"/>
    <w:rsid w:val="00D545DF"/>
    <w:rsid w:val="00D54A1B"/>
    <w:rsid w:val="00D54D1A"/>
    <w:rsid w:val="00D55513"/>
    <w:rsid w:val="00D557ED"/>
    <w:rsid w:val="00D55B5B"/>
    <w:rsid w:val="00D55C10"/>
    <w:rsid w:val="00D55DF6"/>
    <w:rsid w:val="00D57176"/>
    <w:rsid w:val="00D57386"/>
    <w:rsid w:val="00D57599"/>
    <w:rsid w:val="00D5772A"/>
    <w:rsid w:val="00D57BA4"/>
    <w:rsid w:val="00D57BFA"/>
    <w:rsid w:val="00D6034C"/>
    <w:rsid w:val="00D60525"/>
    <w:rsid w:val="00D609B5"/>
    <w:rsid w:val="00D60B1F"/>
    <w:rsid w:val="00D60C09"/>
    <w:rsid w:val="00D60F80"/>
    <w:rsid w:val="00D61239"/>
    <w:rsid w:val="00D612C3"/>
    <w:rsid w:val="00D61C48"/>
    <w:rsid w:val="00D61D32"/>
    <w:rsid w:val="00D62682"/>
    <w:rsid w:val="00D62927"/>
    <w:rsid w:val="00D62AF5"/>
    <w:rsid w:val="00D634DF"/>
    <w:rsid w:val="00D63668"/>
    <w:rsid w:val="00D63B86"/>
    <w:rsid w:val="00D63F11"/>
    <w:rsid w:val="00D63FB3"/>
    <w:rsid w:val="00D644DE"/>
    <w:rsid w:val="00D64AA6"/>
    <w:rsid w:val="00D64C0C"/>
    <w:rsid w:val="00D6646A"/>
    <w:rsid w:val="00D6661C"/>
    <w:rsid w:val="00D66AD9"/>
    <w:rsid w:val="00D66AEE"/>
    <w:rsid w:val="00D66BEA"/>
    <w:rsid w:val="00D6734B"/>
    <w:rsid w:val="00D67702"/>
    <w:rsid w:val="00D67732"/>
    <w:rsid w:val="00D7071E"/>
    <w:rsid w:val="00D70998"/>
    <w:rsid w:val="00D70CAB"/>
    <w:rsid w:val="00D70CD1"/>
    <w:rsid w:val="00D70F6C"/>
    <w:rsid w:val="00D7150A"/>
    <w:rsid w:val="00D71713"/>
    <w:rsid w:val="00D71820"/>
    <w:rsid w:val="00D7195A"/>
    <w:rsid w:val="00D71EE6"/>
    <w:rsid w:val="00D72072"/>
    <w:rsid w:val="00D7212E"/>
    <w:rsid w:val="00D7255B"/>
    <w:rsid w:val="00D72952"/>
    <w:rsid w:val="00D733FC"/>
    <w:rsid w:val="00D73944"/>
    <w:rsid w:val="00D73C20"/>
    <w:rsid w:val="00D745E8"/>
    <w:rsid w:val="00D74794"/>
    <w:rsid w:val="00D74A64"/>
    <w:rsid w:val="00D74B20"/>
    <w:rsid w:val="00D74C02"/>
    <w:rsid w:val="00D752A2"/>
    <w:rsid w:val="00D7573D"/>
    <w:rsid w:val="00D7591E"/>
    <w:rsid w:val="00D75E27"/>
    <w:rsid w:val="00D763DD"/>
    <w:rsid w:val="00D763EC"/>
    <w:rsid w:val="00D766C5"/>
    <w:rsid w:val="00D76C0B"/>
    <w:rsid w:val="00D770EB"/>
    <w:rsid w:val="00D77494"/>
    <w:rsid w:val="00D775BB"/>
    <w:rsid w:val="00D77BE0"/>
    <w:rsid w:val="00D800FA"/>
    <w:rsid w:val="00D804E7"/>
    <w:rsid w:val="00D80529"/>
    <w:rsid w:val="00D8093C"/>
    <w:rsid w:val="00D80B44"/>
    <w:rsid w:val="00D80DBC"/>
    <w:rsid w:val="00D80DFE"/>
    <w:rsid w:val="00D80F14"/>
    <w:rsid w:val="00D81E38"/>
    <w:rsid w:val="00D82E33"/>
    <w:rsid w:val="00D83A60"/>
    <w:rsid w:val="00D83B17"/>
    <w:rsid w:val="00D84193"/>
    <w:rsid w:val="00D84565"/>
    <w:rsid w:val="00D84931"/>
    <w:rsid w:val="00D852A8"/>
    <w:rsid w:val="00D853F3"/>
    <w:rsid w:val="00D86178"/>
    <w:rsid w:val="00D86D87"/>
    <w:rsid w:val="00D87B68"/>
    <w:rsid w:val="00D9002D"/>
    <w:rsid w:val="00D900F5"/>
    <w:rsid w:val="00D90217"/>
    <w:rsid w:val="00D9031B"/>
    <w:rsid w:val="00D90406"/>
    <w:rsid w:val="00D90579"/>
    <w:rsid w:val="00D90714"/>
    <w:rsid w:val="00D9101C"/>
    <w:rsid w:val="00D910FA"/>
    <w:rsid w:val="00D914B6"/>
    <w:rsid w:val="00D917D9"/>
    <w:rsid w:val="00D91CDC"/>
    <w:rsid w:val="00D91F6B"/>
    <w:rsid w:val="00D922CF"/>
    <w:rsid w:val="00D9247A"/>
    <w:rsid w:val="00D9265E"/>
    <w:rsid w:val="00D92908"/>
    <w:rsid w:val="00D9333F"/>
    <w:rsid w:val="00D935F1"/>
    <w:rsid w:val="00D93850"/>
    <w:rsid w:val="00D93D80"/>
    <w:rsid w:val="00D93E2E"/>
    <w:rsid w:val="00D93E40"/>
    <w:rsid w:val="00D93FB6"/>
    <w:rsid w:val="00D941ED"/>
    <w:rsid w:val="00D942E8"/>
    <w:rsid w:val="00D94412"/>
    <w:rsid w:val="00D944B2"/>
    <w:rsid w:val="00D94562"/>
    <w:rsid w:val="00D946CE"/>
    <w:rsid w:val="00D9475A"/>
    <w:rsid w:val="00D9481E"/>
    <w:rsid w:val="00D949BD"/>
    <w:rsid w:val="00D94A4A"/>
    <w:rsid w:val="00D94ED5"/>
    <w:rsid w:val="00D954D0"/>
    <w:rsid w:val="00D958B4"/>
    <w:rsid w:val="00D966B2"/>
    <w:rsid w:val="00D967E0"/>
    <w:rsid w:val="00D96893"/>
    <w:rsid w:val="00D96F82"/>
    <w:rsid w:val="00D9775A"/>
    <w:rsid w:val="00D97F05"/>
    <w:rsid w:val="00DA0057"/>
    <w:rsid w:val="00DA02D0"/>
    <w:rsid w:val="00DA0566"/>
    <w:rsid w:val="00DA056F"/>
    <w:rsid w:val="00DA0889"/>
    <w:rsid w:val="00DA0AF1"/>
    <w:rsid w:val="00DA0D7D"/>
    <w:rsid w:val="00DA1001"/>
    <w:rsid w:val="00DA13D0"/>
    <w:rsid w:val="00DA1473"/>
    <w:rsid w:val="00DA1969"/>
    <w:rsid w:val="00DA1C52"/>
    <w:rsid w:val="00DA1EEC"/>
    <w:rsid w:val="00DA222B"/>
    <w:rsid w:val="00DA38F8"/>
    <w:rsid w:val="00DA42EE"/>
    <w:rsid w:val="00DA4897"/>
    <w:rsid w:val="00DA499E"/>
    <w:rsid w:val="00DA49DB"/>
    <w:rsid w:val="00DA49E5"/>
    <w:rsid w:val="00DA4BCE"/>
    <w:rsid w:val="00DA4C2B"/>
    <w:rsid w:val="00DA4F74"/>
    <w:rsid w:val="00DA5591"/>
    <w:rsid w:val="00DA578C"/>
    <w:rsid w:val="00DA5BE7"/>
    <w:rsid w:val="00DA5D3E"/>
    <w:rsid w:val="00DA6056"/>
    <w:rsid w:val="00DA66F2"/>
    <w:rsid w:val="00DA6B1E"/>
    <w:rsid w:val="00DA6CE0"/>
    <w:rsid w:val="00DA70D6"/>
    <w:rsid w:val="00DA7543"/>
    <w:rsid w:val="00DA7750"/>
    <w:rsid w:val="00DA7A5F"/>
    <w:rsid w:val="00DA7E5E"/>
    <w:rsid w:val="00DB110C"/>
    <w:rsid w:val="00DB1480"/>
    <w:rsid w:val="00DB1718"/>
    <w:rsid w:val="00DB19B2"/>
    <w:rsid w:val="00DB1CBA"/>
    <w:rsid w:val="00DB20A4"/>
    <w:rsid w:val="00DB219A"/>
    <w:rsid w:val="00DB249D"/>
    <w:rsid w:val="00DB2617"/>
    <w:rsid w:val="00DB2A8D"/>
    <w:rsid w:val="00DB2FC0"/>
    <w:rsid w:val="00DB3112"/>
    <w:rsid w:val="00DB325F"/>
    <w:rsid w:val="00DB39AD"/>
    <w:rsid w:val="00DB3D3A"/>
    <w:rsid w:val="00DB400A"/>
    <w:rsid w:val="00DB4065"/>
    <w:rsid w:val="00DB4098"/>
    <w:rsid w:val="00DB42B4"/>
    <w:rsid w:val="00DB442F"/>
    <w:rsid w:val="00DB4544"/>
    <w:rsid w:val="00DB4569"/>
    <w:rsid w:val="00DB46F1"/>
    <w:rsid w:val="00DB5676"/>
    <w:rsid w:val="00DB5DE2"/>
    <w:rsid w:val="00DB6161"/>
    <w:rsid w:val="00DB61B2"/>
    <w:rsid w:val="00DB6585"/>
    <w:rsid w:val="00DB66C5"/>
    <w:rsid w:val="00DB6815"/>
    <w:rsid w:val="00DB6D9C"/>
    <w:rsid w:val="00DB6E50"/>
    <w:rsid w:val="00DB710C"/>
    <w:rsid w:val="00DB7139"/>
    <w:rsid w:val="00DB71C3"/>
    <w:rsid w:val="00DB73D3"/>
    <w:rsid w:val="00DB743E"/>
    <w:rsid w:val="00DB77B2"/>
    <w:rsid w:val="00DB7B47"/>
    <w:rsid w:val="00DB7C91"/>
    <w:rsid w:val="00DC001C"/>
    <w:rsid w:val="00DC016F"/>
    <w:rsid w:val="00DC01C3"/>
    <w:rsid w:val="00DC0257"/>
    <w:rsid w:val="00DC0573"/>
    <w:rsid w:val="00DC07F7"/>
    <w:rsid w:val="00DC0DC1"/>
    <w:rsid w:val="00DC0FA4"/>
    <w:rsid w:val="00DC106F"/>
    <w:rsid w:val="00DC1323"/>
    <w:rsid w:val="00DC155A"/>
    <w:rsid w:val="00DC2114"/>
    <w:rsid w:val="00DC22EB"/>
    <w:rsid w:val="00DC23D0"/>
    <w:rsid w:val="00DC2434"/>
    <w:rsid w:val="00DC2B47"/>
    <w:rsid w:val="00DC2C90"/>
    <w:rsid w:val="00DC2D54"/>
    <w:rsid w:val="00DC2D56"/>
    <w:rsid w:val="00DC30DD"/>
    <w:rsid w:val="00DC3298"/>
    <w:rsid w:val="00DC362E"/>
    <w:rsid w:val="00DC37C1"/>
    <w:rsid w:val="00DC3B13"/>
    <w:rsid w:val="00DC3C98"/>
    <w:rsid w:val="00DC3DEF"/>
    <w:rsid w:val="00DC404D"/>
    <w:rsid w:val="00DC4145"/>
    <w:rsid w:val="00DC431A"/>
    <w:rsid w:val="00DC46EB"/>
    <w:rsid w:val="00DC48FA"/>
    <w:rsid w:val="00DC4E3D"/>
    <w:rsid w:val="00DC5026"/>
    <w:rsid w:val="00DC57C3"/>
    <w:rsid w:val="00DC5896"/>
    <w:rsid w:val="00DC5BA2"/>
    <w:rsid w:val="00DC5C6C"/>
    <w:rsid w:val="00DC645B"/>
    <w:rsid w:val="00DC654D"/>
    <w:rsid w:val="00DC6D9F"/>
    <w:rsid w:val="00DC711A"/>
    <w:rsid w:val="00DC7858"/>
    <w:rsid w:val="00DC7B3A"/>
    <w:rsid w:val="00DC7C6B"/>
    <w:rsid w:val="00DC7C7B"/>
    <w:rsid w:val="00DC7E24"/>
    <w:rsid w:val="00DC7F53"/>
    <w:rsid w:val="00DD02C8"/>
    <w:rsid w:val="00DD0EA3"/>
    <w:rsid w:val="00DD11DF"/>
    <w:rsid w:val="00DD127E"/>
    <w:rsid w:val="00DD1602"/>
    <w:rsid w:val="00DD1769"/>
    <w:rsid w:val="00DD1C61"/>
    <w:rsid w:val="00DD1DEE"/>
    <w:rsid w:val="00DD1F90"/>
    <w:rsid w:val="00DD276F"/>
    <w:rsid w:val="00DD2905"/>
    <w:rsid w:val="00DD3AD6"/>
    <w:rsid w:val="00DD3B96"/>
    <w:rsid w:val="00DD3CC8"/>
    <w:rsid w:val="00DD4A3A"/>
    <w:rsid w:val="00DD52CE"/>
    <w:rsid w:val="00DD534A"/>
    <w:rsid w:val="00DD5516"/>
    <w:rsid w:val="00DD5642"/>
    <w:rsid w:val="00DD5A3E"/>
    <w:rsid w:val="00DD5AFA"/>
    <w:rsid w:val="00DD63DA"/>
    <w:rsid w:val="00DD65AC"/>
    <w:rsid w:val="00DD6665"/>
    <w:rsid w:val="00DD75BD"/>
    <w:rsid w:val="00DD76CF"/>
    <w:rsid w:val="00DD7B6E"/>
    <w:rsid w:val="00DE0290"/>
    <w:rsid w:val="00DE02A8"/>
    <w:rsid w:val="00DE02C2"/>
    <w:rsid w:val="00DE0401"/>
    <w:rsid w:val="00DE096E"/>
    <w:rsid w:val="00DE0A1B"/>
    <w:rsid w:val="00DE1116"/>
    <w:rsid w:val="00DE1555"/>
    <w:rsid w:val="00DE20CA"/>
    <w:rsid w:val="00DE2106"/>
    <w:rsid w:val="00DE2142"/>
    <w:rsid w:val="00DE2301"/>
    <w:rsid w:val="00DE26FE"/>
    <w:rsid w:val="00DE2A97"/>
    <w:rsid w:val="00DE2CAE"/>
    <w:rsid w:val="00DE3206"/>
    <w:rsid w:val="00DE3228"/>
    <w:rsid w:val="00DE333F"/>
    <w:rsid w:val="00DE3571"/>
    <w:rsid w:val="00DE3926"/>
    <w:rsid w:val="00DE39A0"/>
    <w:rsid w:val="00DE39CA"/>
    <w:rsid w:val="00DE3A90"/>
    <w:rsid w:val="00DE3AA8"/>
    <w:rsid w:val="00DE460E"/>
    <w:rsid w:val="00DE4612"/>
    <w:rsid w:val="00DE46AD"/>
    <w:rsid w:val="00DE4949"/>
    <w:rsid w:val="00DE49B8"/>
    <w:rsid w:val="00DE4B28"/>
    <w:rsid w:val="00DE4CB3"/>
    <w:rsid w:val="00DE4EC8"/>
    <w:rsid w:val="00DE55B3"/>
    <w:rsid w:val="00DE56C8"/>
    <w:rsid w:val="00DE5B3B"/>
    <w:rsid w:val="00DE637D"/>
    <w:rsid w:val="00DE694A"/>
    <w:rsid w:val="00DE6B12"/>
    <w:rsid w:val="00DE6DC2"/>
    <w:rsid w:val="00DE6F72"/>
    <w:rsid w:val="00DE78A2"/>
    <w:rsid w:val="00DE7A54"/>
    <w:rsid w:val="00DE7ACE"/>
    <w:rsid w:val="00DE7B3C"/>
    <w:rsid w:val="00DE7E0D"/>
    <w:rsid w:val="00DF040D"/>
    <w:rsid w:val="00DF04BC"/>
    <w:rsid w:val="00DF0AAB"/>
    <w:rsid w:val="00DF0F91"/>
    <w:rsid w:val="00DF1573"/>
    <w:rsid w:val="00DF1927"/>
    <w:rsid w:val="00DF1A52"/>
    <w:rsid w:val="00DF1C8D"/>
    <w:rsid w:val="00DF268F"/>
    <w:rsid w:val="00DF2E91"/>
    <w:rsid w:val="00DF2E95"/>
    <w:rsid w:val="00DF2EEB"/>
    <w:rsid w:val="00DF2F12"/>
    <w:rsid w:val="00DF304E"/>
    <w:rsid w:val="00DF3218"/>
    <w:rsid w:val="00DF325E"/>
    <w:rsid w:val="00DF3388"/>
    <w:rsid w:val="00DF3906"/>
    <w:rsid w:val="00DF3A7B"/>
    <w:rsid w:val="00DF42A2"/>
    <w:rsid w:val="00DF464C"/>
    <w:rsid w:val="00DF4929"/>
    <w:rsid w:val="00DF4985"/>
    <w:rsid w:val="00DF4B01"/>
    <w:rsid w:val="00DF4D70"/>
    <w:rsid w:val="00DF4E36"/>
    <w:rsid w:val="00DF4E5E"/>
    <w:rsid w:val="00DF51EA"/>
    <w:rsid w:val="00DF55D9"/>
    <w:rsid w:val="00DF59B8"/>
    <w:rsid w:val="00DF5A63"/>
    <w:rsid w:val="00DF5A9C"/>
    <w:rsid w:val="00DF5CF0"/>
    <w:rsid w:val="00DF5E10"/>
    <w:rsid w:val="00DF5EA5"/>
    <w:rsid w:val="00DF6381"/>
    <w:rsid w:val="00DF64E8"/>
    <w:rsid w:val="00DF6C51"/>
    <w:rsid w:val="00DF6D3F"/>
    <w:rsid w:val="00DF6E63"/>
    <w:rsid w:val="00DF76EC"/>
    <w:rsid w:val="00DF7E7D"/>
    <w:rsid w:val="00E00850"/>
    <w:rsid w:val="00E009EC"/>
    <w:rsid w:val="00E00D47"/>
    <w:rsid w:val="00E00E52"/>
    <w:rsid w:val="00E01195"/>
    <w:rsid w:val="00E011CD"/>
    <w:rsid w:val="00E0140E"/>
    <w:rsid w:val="00E0150E"/>
    <w:rsid w:val="00E017FE"/>
    <w:rsid w:val="00E018C9"/>
    <w:rsid w:val="00E021E4"/>
    <w:rsid w:val="00E0250B"/>
    <w:rsid w:val="00E02528"/>
    <w:rsid w:val="00E02874"/>
    <w:rsid w:val="00E02ACD"/>
    <w:rsid w:val="00E02B76"/>
    <w:rsid w:val="00E02E4D"/>
    <w:rsid w:val="00E03284"/>
    <w:rsid w:val="00E03463"/>
    <w:rsid w:val="00E03625"/>
    <w:rsid w:val="00E03694"/>
    <w:rsid w:val="00E03895"/>
    <w:rsid w:val="00E039C0"/>
    <w:rsid w:val="00E043DD"/>
    <w:rsid w:val="00E0536B"/>
    <w:rsid w:val="00E05E87"/>
    <w:rsid w:val="00E05ED1"/>
    <w:rsid w:val="00E0627C"/>
    <w:rsid w:val="00E06AEF"/>
    <w:rsid w:val="00E06BF8"/>
    <w:rsid w:val="00E06C97"/>
    <w:rsid w:val="00E07139"/>
    <w:rsid w:val="00E071B3"/>
    <w:rsid w:val="00E07AEE"/>
    <w:rsid w:val="00E07B07"/>
    <w:rsid w:val="00E07D9C"/>
    <w:rsid w:val="00E07DB8"/>
    <w:rsid w:val="00E07DE9"/>
    <w:rsid w:val="00E07FDE"/>
    <w:rsid w:val="00E104F3"/>
    <w:rsid w:val="00E10928"/>
    <w:rsid w:val="00E10EDD"/>
    <w:rsid w:val="00E11799"/>
    <w:rsid w:val="00E12260"/>
    <w:rsid w:val="00E1228A"/>
    <w:rsid w:val="00E12591"/>
    <w:rsid w:val="00E128D4"/>
    <w:rsid w:val="00E13257"/>
    <w:rsid w:val="00E13CA9"/>
    <w:rsid w:val="00E1415D"/>
    <w:rsid w:val="00E1427D"/>
    <w:rsid w:val="00E147FF"/>
    <w:rsid w:val="00E14807"/>
    <w:rsid w:val="00E14946"/>
    <w:rsid w:val="00E15124"/>
    <w:rsid w:val="00E15398"/>
    <w:rsid w:val="00E15874"/>
    <w:rsid w:val="00E15B2D"/>
    <w:rsid w:val="00E15B94"/>
    <w:rsid w:val="00E1622D"/>
    <w:rsid w:val="00E166C3"/>
    <w:rsid w:val="00E16706"/>
    <w:rsid w:val="00E16B3D"/>
    <w:rsid w:val="00E16DCC"/>
    <w:rsid w:val="00E16F51"/>
    <w:rsid w:val="00E17396"/>
    <w:rsid w:val="00E17689"/>
    <w:rsid w:val="00E17764"/>
    <w:rsid w:val="00E20095"/>
    <w:rsid w:val="00E201DC"/>
    <w:rsid w:val="00E202F9"/>
    <w:rsid w:val="00E20C82"/>
    <w:rsid w:val="00E20EE8"/>
    <w:rsid w:val="00E20FF3"/>
    <w:rsid w:val="00E2122B"/>
    <w:rsid w:val="00E22488"/>
    <w:rsid w:val="00E22775"/>
    <w:rsid w:val="00E22787"/>
    <w:rsid w:val="00E22793"/>
    <w:rsid w:val="00E227AD"/>
    <w:rsid w:val="00E22B49"/>
    <w:rsid w:val="00E22BF3"/>
    <w:rsid w:val="00E22D40"/>
    <w:rsid w:val="00E22E94"/>
    <w:rsid w:val="00E238E9"/>
    <w:rsid w:val="00E23BDD"/>
    <w:rsid w:val="00E24375"/>
    <w:rsid w:val="00E243D5"/>
    <w:rsid w:val="00E2498F"/>
    <w:rsid w:val="00E24E63"/>
    <w:rsid w:val="00E24EB3"/>
    <w:rsid w:val="00E24FCA"/>
    <w:rsid w:val="00E2510D"/>
    <w:rsid w:val="00E25357"/>
    <w:rsid w:val="00E25532"/>
    <w:rsid w:val="00E2563F"/>
    <w:rsid w:val="00E25AE6"/>
    <w:rsid w:val="00E2603E"/>
    <w:rsid w:val="00E26E98"/>
    <w:rsid w:val="00E27088"/>
    <w:rsid w:val="00E278FF"/>
    <w:rsid w:val="00E27E50"/>
    <w:rsid w:val="00E27F68"/>
    <w:rsid w:val="00E30281"/>
    <w:rsid w:val="00E302DA"/>
    <w:rsid w:val="00E30307"/>
    <w:rsid w:val="00E3035D"/>
    <w:rsid w:val="00E3046E"/>
    <w:rsid w:val="00E30F99"/>
    <w:rsid w:val="00E3114C"/>
    <w:rsid w:val="00E314ED"/>
    <w:rsid w:val="00E31BBF"/>
    <w:rsid w:val="00E31D68"/>
    <w:rsid w:val="00E3204B"/>
    <w:rsid w:val="00E326C3"/>
    <w:rsid w:val="00E32748"/>
    <w:rsid w:val="00E32BD2"/>
    <w:rsid w:val="00E32DCD"/>
    <w:rsid w:val="00E33136"/>
    <w:rsid w:val="00E3318E"/>
    <w:rsid w:val="00E333B7"/>
    <w:rsid w:val="00E3367E"/>
    <w:rsid w:val="00E3383F"/>
    <w:rsid w:val="00E343E0"/>
    <w:rsid w:val="00E346D1"/>
    <w:rsid w:val="00E34782"/>
    <w:rsid w:val="00E34D77"/>
    <w:rsid w:val="00E35384"/>
    <w:rsid w:val="00E357D3"/>
    <w:rsid w:val="00E358D0"/>
    <w:rsid w:val="00E35B57"/>
    <w:rsid w:val="00E36377"/>
    <w:rsid w:val="00E363F4"/>
    <w:rsid w:val="00E364B2"/>
    <w:rsid w:val="00E366D5"/>
    <w:rsid w:val="00E36877"/>
    <w:rsid w:val="00E369DD"/>
    <w:rsid w:val="00E369E8"/>
    <w:rsid w:val="00E36BA9"/>
    <w:rsid w:val="00E36F7E"/>
    <w:rsid w:val="00E37144"/>
    <w:rsid w:val="00E37870"/>
    <w:rsid w:val="00E379A2"/>
    <w:rsid w:val="00E37D81"/>
    <w:rsid w:val="00E40156"/>
    <w:rsid w:val="00E40632"/>
    <w:rsid w:val="00E4087C"/>
    <w:rsid w:val="00E408B3"/>
    <w:rsid w:val="00E408E0"/>
    <w:rsid w:val="00E40DD1"/>
    <w:rsid w:val="00E41022"/>
    <w:rsid w:val="00E41573"/>
    <w:rsid w:val="00E416CE"/>
    <w:rsid w:val="00E4173F"/>
    <w:rsid w:val="00E41A51"/>
    <w:rsid w:val="00E41B5F"/>
    <w:rsid w:val="00E421BC"/>
    <w:rsid w:val="00E427CC"/>
    <w:rsid w:val="00E43224"/>
    <w:rsid w:val="00E43297"/>
    <w:rsid w:val="00E432BF"/>
    <w:rsid w:val="00E438EE"/>
    <w:rsid w:val="00E44526"/>
    <w:rsid w:val="00E4470F"/>
    <w:rsid w:val="00E4486A"/>
    <w:rsid w:val="00E44D0A"/>
    <w:rsid w:val="00E44DFE"/>
    <w:rsid w:val="00E4537C"/>
    <w:rsid w:val="00E45398"/>
    <w:rsid w:val="00E453BF"/>
    <w:rsid w:val="00E455EE"/>
    <w:rsid w:val="00E46347"/>
    <w:rsid w:val="00E46563"/>
    <w:rsid w:val="00E46765"/>
    <w:rsid w:val="00E467F4"/>
    <w:rsid w:val="00E46BAA"/>
    <w:rsid w:val="00E472FA"/>
    <w:rsid w:val="00E473B5"/>
    <w:rsid w:val="00E478D0"/>
    <w:rsid w:val="00E50011"/>
    <w:rsid w:val="00E50CCA"/>
    <w:rsid w:val="00E50CEF"/>
    <w:rsid w:val="00E512B2"/>
    <w:rsid w:val="00E5160C"/>
    <w:rsid w:val="00E51B34"/>
    <w:rsid w:val="00E51B7F"/>
    <w:rsid w:val="00E52423"/>
    <w:rsid w:val="00E528E4"/>
    <w:rsid w:val="00E529BB"/>
    <w:rsid w:val="00E52BD9"/>
    <w:rsid w:val="00E531C1"/>
    <w:rsid w:val="00E534BF"/>
    <w:rsid w:val="00E53A06"/>
    <w:rsid w:val="00E53C07"/>
    <w:rsid w:val="00E53C8A"/>
    <w:rsid w:val="00E54BEC"/>
    <w:rsid w:val="00E550EC"/>
    <w:rsid w:val="00E55194"/>
    <w:rsid w:val="00E551AB"/>
    <w:rsid w:val="00E5562A"/>
    <w:rsid w:val="00E55728"/>
    <w:rsid w:val="00E55AEB"/>
    <w:rsid w:val="00E55B19"/>
    <w:rsid w:val="00E55B60"/>
    <w:rsid w:val="00E55C8C"/>
    <w:rsid w:val="00E55E57"/>
    <w:rsid w:val="00E560A0"/>
    <w:rsid w:val="00E56307"/>
    <w:rsid w:val="00E56B59"/>
    <w:rsid w:val="00E56E15"/>
    <w:rsid w:val="00E57229"/>
    <w:rsid w:val="00E574AC"/>
    <w:rsid w:val="00E5763A"/>
    <w:rsid w:val="00E57F97"/>
    <w:rsid w:val="00E60E52"/>
    <w:rsid w:val="00E6159A"/>
    <w:rsid w:val="00E615EA"/>
    <w:rsid w:val="00E6192B"/>
    <w:rsid w:val="00E620C9"/>
    <w:rsid w:val="00E623B4"/>
    <w:rsid w:val="00E6252A"/>
    <w:rsid w:val="00E626D4"/>
    <w:rsid w:val="00E626E5"/>
    <w:rsid w:val="00E62913"/>
    <w:rsid w:val="00E62B59"/>
    <w:rsid w:val="00E62BC0"/>
    <w:rsid w:val="00E63142"/>
    <w:rsid w:val="00E633AD"/>
    <w:rsid w:val="00E63818"/>
    <w:rsid w:val="00E6382E"/>
    <w:rsid w:val="00E63BBA"/>
    <w:rsid w:val="00E64110"/>
    <w:rsid w:val="00E64190"/>
    <w:rsid w:val="00E6429D"/>
    <w:rsid w:val="00E64382"/>
    <w:rsid w:val="00E64478"/>
    <w:rsid w:val="00E6472F"/>
    <w:rsid w:val="00E64767"/>
    <w:rsid w:val="00E64BEE"/>
    <w:rsid w:val="00E64E16"/>
    <w:rsid w:val="00E650FB"/>
    <w:rsid w:val="00E65171"/>
    <w:rsid w:val="00E652C5"/>
    <w:rsid w:val="00E65B4F"/>
    <w:rsid w:val="00E65B8C"/>
    <w:rsid w:val="00E65E35"/>
    <w:rsid w:val="00E6672B"/>
    <w:rsid w:val="00E66894"/>
    <w:rsid w:val="00E66CDB"/>
    <w:rsid w:val="00E66DA5"/>
    <w:rsid w:val="00E66F1F"/>
    <w:rsid w:val="00E674E1"/>
    <w:rsid w:val="00E675F3"/>
    <w:rsid w:val="00E67907"/>
    <w:rsid w:val="00E67D69"/>
    <w:rsid w:val="00E70640"/>
    <w:rsid w:val="00E70EA0"/>
    <w:rsid w:val="00E71089"/>
    <w:rsid w:val="00E71156"/>
    <w:rsid w:val="00E71386"/>
    <w:rsid w:val="00E714DD"/>
    <w:rsid w:val="00E7163C"/>
    <w:rsid w:val="00E7195E"/>
    <w:rsid w:val="00E7234B"/>
    <w:rsid w:val="00E724D8"/>
    <w:rsid w:val="00E72600"/>
    <w:rsid w:val="00E7265E"/>
    <w:rsid w:val="00E730A5"/>
    <w:rsid w:val="00E731A0"/>
    <w:rsid w:val="00E733FC"/>
    <w:rsid w:val="00E736BF"/>
    <w:rsid w:val="00E73977"/>
    <w:rsid w:val="00E73B70"/>
    <w:rsid w:val="00E73D54"/>
    <w:rsid w:val="00E73D80"/>
    <w:rsid w:val="00E73DBC"/>
    <w:rsid w:val="00E742BA"/>
    <w:rsid w:val="00E74859"/>
    <w:rsid w:val="00E749EB"/>
    <w:rsid w:val="00E74A59"/>
    <w:rsid w:val="00E7504C"/>
    <w:rsid w:val="00E75166"/>
    <w:rsid w:val="00E751E0"/>
    <w:rsid w:val="00E75258"/>
    <w:rsid w:val="00E7537E"/>
    <w:rsid w:val="00E75487"/>
    <w:rsid w:val="00E75A6D"/>
    <w:rsid w:val="00E75C36"/>
    <w:rsid w:val="00E75E85"/>
    <w:rsid w:val="00E75F51"/>
    <w:rsid w:val="00E76121"/>
    <w:rsid w:val="00E76272"/>
    <w:rsid w:val="00E76341"/>
    <w:rsid w:val="00E765F0"/>
    <w:rsid w:val="00E76739"/>
    <w:rsid w:val="00E76754"/>
    <w:rsid w:val="00E76B06"/>
    <w:rsid w:val="00E80020"/>
    <w:rsid w:val="00E8012C"/>
    <w:rsid w:val="00E80309"/>
    <w:rsid w:val="00E807D9"/>
    <w:rsid w:val="00E80BE5"/>
    <w:rsid w:val="00E813DE"/>
    <w:rsid w:val="00E81706"/>
    <w:rsid w:val="00E817CF"/>
    <w:rsid w:val="00E81AC3"/>
    <w:rsid w:val="00E81F09"/>
    <w:rsid w:val="00E82AEF"/>
    <w:rsid w:val="00E82C31"/>
    <w:rsid w:val="00E82E9E"/>
    <w:rsid w:val="00E8321A"/>
    <w:rsid w:val="00E8324D"/>
    <w:rsid w:val="00E833DB"/>
    <w:rsid w:val="00E8358C"/>
    <w:rsid w:val="00E835EE"/>
    <w:rsid w:val="00E84173"/>
    <w:rsid w:val="00E845EC"/>
    <w:rsid w:val="00E84CCF"/>
    <w:rsid w:val="00E84EBE"/>
    <w:rsid w:val="00E85572"/>
    <w:rsid w:val="00E855C2"/>
    <w:rsid w:val="00E862D5"/>
    <w:rsid w:val="00E866D3"/>
    <w:rsid w:val="00E86789"/>
    <w:rsid w:val="00E86D80"/>
    <w:rsid w:val="00E87259"/>
    <w:rsid w:val="00E87B31"/>
    <w:rsid w:val="00E87C9A"/>
    <w:rsid w:val="00E87DB6"/>
    <w:rsid w:val="00E9018F"/>
    <w:rsid w:val="00E906A4"/>
    <w:rsid w:val="00E9076C"/>
    <w:rsid w:val="00E90D03"/>
    <w:rsid w:val="00E912F9"/>
    <w:rsid w:val="00E913A3"/>
    <w:rsid w:val="00E918B0"/>
    <w:rsid w:val="00E918B2"/>
    <w:rsid w:val="00E91CD9"/>
    <w:rsid w:val="00E920E7"/>
    <w:rsid w:val="00E9239C"/>
    <w:rsid w:val="00E928B2"/>
    <w:rsid w:val="00E928EA"/>
    <w:rsid w:val="00E92DE7"/>
    <w:rsid w:val="00E92F60"/>
    <w:rsid w:val="00E934AE"/>
    <w:rsid w:val="00E93818"/>
    <w:rsid w:val="00E93B52"/>
    <w:rsid w:val="00E93BD5"/>
    <w:rsid w:val="00E93CCB"/>
    <w:rsid w:val="00E9423C"/>
    <w:rsid w:val="00E948B7"/>
    <w:rsid w:val="00E95285"/>
    <w:rsid w:val="00E95577"/>
    <w:rsid w:val="00E95868"/>
    <w:rsid w:val="00E960BE"/>
    <w:rsid w:val="00E96717"/>
    <w:rsid w:val="00E968BB"/>
    <w:rsid w:val="00E9780F"/>
    <w:rsid w:val="00E97871"/>
    <w:rsid w:val="00E97CCF"/>
    <w:rsid w:val="00EA0809"/>
    <w:rsid w:val="00EA087C"/>
    <w:rsid w:val="00EA0A44"/>
    <w:rsid w:val="00EA0B29"/>
    <w:rsid w:val="00EA0B63"/>
    <w:rsid w:val="00EA0D5B"/>
    <w:rsid w:val="00EA11FC"/>
    <w:rsid w:val="00EA1449"/>
    <w:rsid w:val="00EA1950"/>
    <w:rsid w:val="00EA1A71"/>
    <w:rsid w:val="00EA1CF7"/>
    <w:rsid w:val="00EA2643"/>
    <w:rsid w:val="00EA2C2D"/>
    <w:rsid w:val="00EA3295"/>
    <w:rsid w:val="00EA3A70"/>
    <w:rsid w:val="00EA3AC9"/>
    <w:rsid w:val="00EA3CD8"/>
    <w:rsid w:val="00EA3DA3"/>
    <w:rsid w:val="00EA4203"/>
    <w:rsid w:val="00EA47F8"/>
    <w:rsid w:val="00EA4936"/>
    <w:rsid w:val="00EA4B62"/>
    <w:rsid w:val="00EA5285"/>
    <w:rsid w:val="00EA531C"/>
    <w:rsid w:val="00EA546D"/>
    <w:rsid w:val="00EA58C0"/>
    <w:rsid w:val="00EA5A4B"/>
    <w:rsid w:val="00EA5B8B"/>
    <w:rsid w:val="00EA5C4B"/>
    <w:rsid w:val="00EA5CB2"/>
    <w:rsid w:val="00EA6147"/>
    <w:rsid w:val="00EA68DF"/>
    <w:rsid w:val="00EA6CC5"/>
    <w:rsid w:val="00EA717B"/>
    <w:rsid w:val="00EA72AC"/>
    <w:rsid w:val="00EA7416"/>
    <w:rsid w:val="00EA77FE"/>
    <w:rsid w:val="00EA7861"/>
    <w:rsid w:val="00EB0396"/>
    <w:rsid w:val="00EB059D"/>
    <w:rsid w:val="00EB098A"/>
    <w:rsid w:val="00EB0AD1"/>
    <w:rsid w:val="00EB1019"/>
    <w:rsid w:val="00EB1046"/>
    <w:rsid w:val="00EB152E"/>
    <w:rsid w:val="00EB17B5"/>
    <w:rsid w:val="00EB1E13"/>
    <w:rsid w:val="00EB219B"/>
    <w:rsid w:val="00EB2442"/>
    <w:rsid w:val="00EB2739"/>
    <w:rsid w:val="00EB2943"/>
    <w:rsid w:val="00EB2944"/>
    <w:rsid w:val="00EB31A3"/>
    <w:rsid w:val="00EB32E8"/>
    <w:rsid w:val="00EB3853"/>
    <w:rsid w:val="00EB392C"/>
    <w:rsid w:val="00EB3AF9"/>
    <w:rsid w:val="00EB3BA9"/>
    <w:rsid w:val="00EB3D99"/>
    <w:rsid w:val="00EB41AF"/>
    <w:rsid w:val="00EB442D"/>
    <w:rsid w:val="00EB4575"/>
    <w:rsid w:val="00EB4AF3"/>
    <w:rsid w:val="00EB4D2C"/>
    <w:rsid w:val="00EB4E52"/>
    <w:rsid w:val="00EB51A5"/>
    <w:rsid w:val="00EB5223"/>
    <w:rsid w:val="00EB52D0"/>
    <w:rsid w:val="00EB52FE"/>
    <w:rsid w:val="00EB5C69"/>
    <w:rsid w:val="00EB6273"/>
    <w:rsid w:val="00EB6799"/>
    <w:rsid w:val="00EB6C47"/>
    <w:rsid w:val="00EB7630"/>
    <w:rsid w:val="00EB781B"/>
    <w:rsid w:val="00EB78AA"/>
    <w:rsid w:val="00EB7D7F"/>
    <w:rsid w:val="00EC029F"/>
    <w:rsid w:val="00EC035C"/>
    <w:rsid w:val="00EC0568"/>
    <w:rsid w:val="00EC0589"/>
    <w:rsid w:val="00EC0E70"/>
    <w:rsid w:val="00EC0F63"/>
    <w:rsid w:val="00EC0F7F"/>
    <w:rsid w:val="00EC0FC8"/>
    <w:rsid w:val="00EC120D"/>
    <w:rsid w:val="00EC19F2"/>
    <w:rsid w:val="00EC1AC4"/>
    <w:rsid w:val="00EC1ADE"/>
    <w:rsid w:val="00EC1B38"/>
    <w:rsid w:val="00EC1E16"/>
    <w:rsid w:val="00EC20AE"/>
    <w:rsid w:val="00EC28AD"/>
    <w:rsid w:val="00EC33E3"/>
    <w:rsid w:val="00EC359D"/>
    <w:rsid w:val="00EC37E5"/>
    <w:rsid w:val="00EC398D"/>
    <w:rsid w:val="00EC4232"/>
    <w:rsid w:val="00EC450E"/>
    <w:rsid w:val="00EC499E"/>
    <w:rsid w:val="00EC49B6"/>
    <w:rsid w:val="00EC4BAC"/>
    <w:rsid w:val="00EC4C89"/>
    <w:rsid w:val="00EC4D18"/>
    <w:rsid w:val="00EC51EE"/>
    <w:rsid w:val="00EC5312"/>
    <w:rsid w:val="00EC53D6"/>
    <w:rsid w:val="00EC5790"/>
    <w:rsid w:val="00EC5860"/>
    <w:rsid w:val="00EC58EB"/>
    <w:rsid w:val="00EC59E6"/>
    <w:rsid w:val="00EC5EEA"/>
    <w:rsid w:val="00EC5F2F"/>
    <w:rsid w:val="00EC614D"/>
    <w:rsid w:val="00EC6233"/>
    <w:rsid w:val="00EC67B3"/>
    <w:rsid w:val="00EC6898"/>
    <w:rsid w:val="00EC6DE9"/>
    <w:rsid w:val="00EC705D"/>
    <w:rsid w:val="00EC73E9"/>
    <w:rsid w:val="00EC7746"/>
    <w:rsid w:val="00EC777C"/>
    <w:rsid w:val="00EC7D29"/>
    <w:rsid w:val="00EC7F5D"/>
    <w:rsid w:val="00ED05E3"/>
    <w:rsid w:val="00ED0C0F"/>
    <w:rsid w:val="00ED0D01"/>
    <w:rsid w:val="00ED0EFE"/>
    <w:rsid w:val="00ED12B4"/>
    <w:rsid w:val="00ED1813"/>
    <w:rsid w:val="00ED18B6"/>
    <w:rsid w:val="00ED1B97"/>
    <w:rsid w:val="00ED1D4A"/>
    <w:rsid w:val="00ED21C2"/>
    <w:rsid w:val="00ED23FE"/>
    <w:rsid w:val="00ED248B"/>
    <w:rsid w:val="00ED2AB6"/>
    <w:rsid w:val="00ED3206"/>
    <w:rsid w:val="00ED3F74"/>
    <w:rsid w:val="00ED3FF2"/>
    <w:rsid w:val="00ED40AA"/>
    <w:rsid w:val="00ED4299"/>
    <w:rsid w:val="00ED45B7"/>
    <w:rsid w:val="00ED491F"/>
    <w:rsid w:val="00ED49BA"/>
    <w:rsid w:val="00ED5122"/>
    <w:rsid w:val="00ED5815"/>
    <w:rsid w:val="00ED5B25"/>
    <w:rsid w:val="00ED62CA"/>
    <w:rsid w:val="00ED65FF"/>
    <w:rsid w:val="00ED6DEB"/>
    <w:rsid w:val="00ED7261"/>
    <w:rsid w:val="00ED749F"/>
    <w:rsid w:val="00ED75DC"/>
    <w:rsid w:val="00ED79C8"/>
    <w:rsid w:val="00EE0426"/>
    <w:rsid w:val="00EE0780"/>
    <w:rsid w:val="00EE08CD"/>
    <w:rsid w:val="00EE0D2D"/>
    <w:rsid w:val="00EE1351"/>
    <w:rsid w:val="00EE1354"/>
    <w:rsid w:val="00EE157F"/>
    <w:rsid w:val="00EE15BB"/>
    <w:rsid w:val="00EE16B2"/>
    <w:rsid w:val="00EE2148"/>
    <w:rsid w:val="00EE215D"/>
    <w:rsid w:val="00EE2D4D"/>
    <w:rsid w:val="00EE3422"/>
    <w:rsid w:val="00EE38F7"/>
    <w:rsid w:val="00EE46DC"/>
    <w:rsid w:val="00EE4A7C"/>
    <w:rsid w:val="00EE4DA7"/>
    <w:rsid w:val="00EE4DCF"/>
    <w:rsid w:val="00EE5155"/>
    <w:rsid w:val="00EE5857"/>
    <w:rsid w:val="00EE5897"/>
    <w:rsid w:val="00EE5AC9"/>
    <w:rsid w:val="00EE5AFB"/>
    <w:rsid w:val="00EE5B10"/>
    <w:rsid w:val="00EE62C2"/>
    <w:rsid w:val="00EE6663"/>
    <w:rsid w:val="00EE6F10"/>
    <w:rsid w:val="00EE72B5"/>
    <w:rsid w:val="00EE75EB"/>
    <w:rsid w:val="00EE778D"/>
    <w:rsid w:val="00EE77D2"/>
    <w:rsid w:val="00EF0314"/>
    <w:rsid w:val="00EF0C8A"/>
    <w:rsid w:val="00EF0DCA"/>
    <w:rsid w:val="00EF1021"/>
    <w:rsid w:val="00EF104B"/>
    <w:rsid w:val="00EF1058"/>
    <w:rsid w:val="00EF14A3"/>
    <w:rsid w:val="00EF1724"/>
    <w:rsid w:val="00EF1862"/>
    <w:rsid w:val="00EF1C21"/>
    <w:rsid w:val="00EF1CFA"/>
    <w:rsid w:val="00EF1F8F"/>
    <w:rsid w:val="00EF2D22"/>
    <w:rsid w:val="00EF2D41"/>
    <w:rsid w:val="00EF312F"/>
    <w:rsid w:val="00EF3626"/>
    <w:rsid w:val="00EF3632"/>
    <w:rsid w:val="00EF38C3"/>
    <w:rsid w:val="00EF3AE0"/>
    <w:rsid w:val="00EF3CB8"/>
    <w:rsid w:val="00EF3EEC"/>
    <w:rsid w:val="00EF409C"/>
    <w:rsid w:val="00EF417E"/>
    <w:rsid w:val="00EF44D4"/>
    <w:rsid w:val="00EF45A7"/>
    <w:rsid w:val="00EF46FB"/>
    <w:rsid w:val="00EF4724"/>
    <w:rsid w:val="00EF48A5"/>
    <w:rsid w:val="00EF4963"/>
    <w:rsid w:val="00EF4C31"/>
    <w:rsid w:val="00EF4E17"/>
    <w:rsid w:val="00EF5513"/>
    <w:rsid w:val="00EF5969"/>
    <w:rsid w:val="00EF5B23"/>
    <w:rsid w:val="00EF5FF5"/>
    <w:rsid w:val="00EF60B0"/>
    <w:rsid w:val="00EF63A9"/>
    <w:rsid w:val="00EF696A"/>
    <w:rsid w:val="00EF6A7E"/>
    <w:rsid w:val="00EF6E10"/>
    <w:rsid w:val="00EF6FAB"/>
    <w:rsid w:val="00EF7137"/>
    <w:rsid w:val="00EF7218"/>
    <w:rsid w:val="00EF77A1"/>
    <w:rsid w:val="00EF7B9E"/>
    <w:rsid w:val="00EF7D6B"/>
    <w:rsid w:val="00EF7DE2"/>
    <w:rsid w:val="00F00075"/>
    <w:rsid w:val="00F0063B"/>
    <w:rsid w:val="00F00AD2"/>
    <w:rsid w:val="00F00B49"/>
    <w:rsid w:val="00F00D45"/>
    <w:rsid w:val="00F015BE"/>
    <w:rsid w:val="00F01909"/>
    <w:rsid w:val="00F01CAD"/>
    <w:rsid w:val="00F0238E"/>
    <w:rsid w:val="00F02886"/>
    <w:rsid w:val="00F02FAE"/>
    <w:rsid w:val="00F03005"/>
    <w:rsid w:val="00F031F1"/>
    <w:rsid w:val="00F0325D"/>
    <w:rsid w:val="00F035DD"/>
    <w:rsid w:val="00F03E22"/>
    <w:rsid w:val="00F03F5F"/>
    <w:rsid w:val="00F0404F"/>
    <w:rsid w:val="00F04226"/>
    <w:rsid w:val="00F0439D"/>
    <w:rsid w:val="00F04459"/>
    <w:rsid w:val="00F0466C"/>
    <w:rsid w:val="00F04B30"/>
    <w:rsid w:val="00F04BC0"/>
    <w:rsid w:val="00F04BC8"/>
    <w:rsid w:val="00F04E63"/>
    <w:rsid w:val="00F053FE"/>
    <w:rsid w:val="00F0555B"/>
    <w:rsid w:val="00F057A2"/>
    <w:rsid w:val="00F05900"/>
    <w:rsid w:val="00F0612B"/>
    <w:rsid w:val="00F061C3"/>
    <w:rsid w:val="00F062DF"/>
    <w:rsid w:val="00F06358"/>
    <w:rsid w:val="00F064DF"/>
    <w:rsid w:val="00F066C7"/>
    <w:rsid w:val="00F068B9"/>
    <w:rsid w:val="00F06978"/>
    <w:rsid w:val="00F06E55"/>
    <w:rsid w:val="00F06E8C"/>
    <w:rsid w:val="00F075DD"/>
    <w:rsid w:val="00F10544"/>
    <w:rsid w:val="00F10A96"/>
    <w:rsid w:val="00F10CAB"/>
    <w:rsid w:val="00F10F3C"/>
    <w:rsid w:val="00F11244"/>
    <w:rsid w:val="00F119E4"/>
    <w:rsid w:val="00F11C18"/>
    <w:rsid w:val="00F1204E"/>
    <w:rsid w:val="00F12965"/>
    <w:rsid w:val="00F13468"/>
    <w:rsid w:val="00F135C4"/>
    <w:rsid w:val="00F13620"/>
    <w:rsid w:val="00F13692"/>
    <w:rsid w:val="00F13E31"/>
    <w:rsid w:val="00F13F5E"/>
    <w:rsid w:val="00F142BA"/>
    <w:rsid w:val="00F14621"/>
    <w:rsid w:val="00F1464C"/>
    <w:rsid w:val="00F14933"/>
    <w:rsid w:val="00F15328"/>
    <w:rsid w:val="00F154A4"/>
    <w:rsid w:val="00F158D7"/>
    <w:rsid w:val="00F15B51"/>
    <w:rsid w:val="00F15BD9"/>
    <w:rsid w:val="00F15C72"/>
    <w:rsid w:val="00F15F4C"/>
    <w:rsid w:val="00F16458"/>
    <w:rsid w:val="00F16AA4"/>
    <w:rsid w:val="00F16D8C"/>
    <w:rsid w:val="00F16EB8"/>
    <w:rsid w:val="00F173CB"/>
    <w:rsid w:val="00F17416"/>
    <w:rsid w:val="00F1747F"/>
    <w:rsid w:val="00F200AB"/>
    <w:rsid w:val="00F20A0C"/>
    <w:rsid w:val="00F21009"/>
    <w:rsid w:val="00F21AA5"/>
    <w:rsid w:val="00F21ACC"/>
    <w:rsid w:val="00F21D67"/>
    <w:rsid w:val="00F227DE"/>
    <w:rsid w:val="00F22B10"/>
    <w:rsid w:val="00F22E09"/>
    <w:rsid w:val="00F2307A"/>
    <w:rsid w:val="00F23126"/>
    <w:rsid w:val="00F2324D"/>
    <w:rsid w:val="00F244A7"/>
    <w:rsid w:val="00F2489A"/>
    <w:rsid w:val="00F249FD"/>
    <w:rsid w:val="00F24DFC"/>
    <w:rsid w:val="00F257C9"/>
    <w:rsid w:val="00F25AA8"/>
    <w:rsid w:val="00F25B1E"/>
    <w:rsid w:val="00F25C57"/>
    <w:rsid w:val="00F25FDC"/>
    <w:rsid w:val="00F2616F"/>
    <w:rsid w:val="00F262A5"/>
    <w:rsid w:val="00F26B1D"/>
    <w:rsid w:val="00F26CED"/>
    <w:rsid w:val="00F26F5F"/>
    <w:rsid w:val="00F2757E"/>
    <w:rsid w:val="00F275E5"/>
    <w:rsid w:val="00F27682"/>
    <w:rsid w:val="00F278E4"/>
    <w:rsid w:val="00F27C19"/>
    <w:rsid w:val="00F27CA9"/>
    <w:rsid w:val="00F27E52"/>
    <w:rsid w:val="00F27EA7"/>
    <w:rsid w:val="00F3045A"/>
    <w:rsid w:val="00F319CA"/>
    <w:rsid w:val="00F31A37"/>
    <w:rsid w:val="00F31BFB"/>
    <w:rsid w:val="00F31E23"/>
    <w:rsid w:val="00F32084"/>
    <w:rsid w:val="00F32B27"/>
    <w:rsid w:val="00F32B92"/>
    <w:rsid w:val="00F32E56"/>
    <w:rsid w:val="00F33511"/>
    <w:rsid w:val="00F33EFD"/>
    <w:rsid w:val="00F3484D"/>
    <w:rsid w:val="00F34EFB"/>
    <w:rsid w:val="00F34FE7"/>
    <w:rsid w:val="00F3517D"/>
    <w:rsid w:val="00F351C0"/>
    <w:rsid w:val="00F3558A"/>
    <w:rsid w:val="00F36570"/>
    <w:rsid w:val="00F365F6"/>
    <w:rsid w:val="00F36972"/>
    <w:rsid w:val="00F369AF"/>
    <w:rsid w:val="00F36AD7"/>
    <w:rsid w:val="00F36B63"/>
    <w:rsid w:val="00F36D1D"/>
    <w:rsid w:val="00F37281"/>
    <w:rsid w:val="00F376C2"/>
    <w:rsid w:val="00F37A57"/>
    <w:rsid w:val="00F37D1C"/>
    <w:rsid w:val="00F37F5F"/>
    <w:rsid w:val="00F400D6"/>
    <w:rsid w:val="00F400D7"/>
    <w:rsid w:val="00F401C9"/>
    <w:rsid w:val="00F402B4"/>
    <w:rsid w:val="00F40475"/>
    <w:rsid w:val="00F4075F"/>
    <w:rsid w:val="00F409C6"/>
    <w:rsid w:val="00F40D4F"/>
    <w:rsid w:val="00F40E19"/>
    <w:rsid w:val="00F41675"/>
    <w:rsid w:val="00F41C83"/>
    <w:rsid w:val="00F41CEE"/>
    <w:rsid w:val="00F4205B"/>
    <w:rsid w:val="00F42247"/>
    <w:rsid w:val="00F423A9"/>
    <w:rsid w:val="00F42551"/>
    <w:rsid w:val="00F429E0"/>
    <w:rsid w:val="00F42EAB"/>
    <w:rsid w:val="00F42FFB"/>
    <w:rsid w:val="00F432F0"/>
    <w:rsid w:val="00F43658"/>
    <w:rsid w:val="00F4386D"/>
    <w:rsid w:val="00F43D99"/>
    <w:rsid w:val="00F43DF1"/>
    <w:rsid w:val="00F43E72"/>
    <w:rsid w:val="00F445FA"/>
    <w:rsid w:val="00F44FA8"/>
    <w:rsid w:val="00F44FBB"/>
    <w:rsid w:val="00F44FD4"/>
    <w:rsid w:val="00F46512"/>
    <w:rsid w:val="00F4652D"/>
    <w:rsid w:val="00F47000"/>
    <w:rsid w:val="00F47757"/>
    <w:rsid w:val="00F47B0B"/>
    <w:rsid w:val="00F47BF8"/>
    <w:rsid w:val="00F47E85"/>
    <w:rsid w:val="00F47E8A"/>
    <w:rsid w:val="00F50182"/>
    <w:rsid w:val="00F50188"/>
    <w:rsid w:val="00F505C8"/>
    <w:rsid w:val="00F513E5"/>
    <w:rsid w:val="00F51439"/>
    <w:rsid w:val="00F51644"/>
    <w:rsid w:val="00F517D4"/>
    <w:rsid w:val="00F517E0"/>
    <w:rsid w:val="00F5180C"/>
    <w:rsid w:val="00F51BC3"/>
    <w:rsid w:val="00F52B54"/>
    <w:rsid w:val="00F52BBB"/>
    <w:rsid w:val="00F5343D"/>
    <w:rsid w:val="00F53466"/>
    <w:rsid w:val="00F53855"/>
    <w:rsid w:val="00F539D5"/>
    <w:rsid w:val="00F53D84"/>
    <w:rsid w:val="00F53DC9"/>
    <w:rsid w:val="00F53E0C"/>
    <w:rsid w:val="00F53F58"/>
    <w:rsid w:val="00F54C00"/>
    <w:rsid w:val="00F5521D"/>
    <w:rsid w:val="00F55521"/>
    <w:rsid w:val="00F55C1D"/>
    <w:rsid w:val="00F561B1"/>
    <w:rsid w:val="00F56255"/>
    <w:rsid w:val="00F562B8"/>
    <w:rsid w:val="00F56E12"/>
    <w:rsid w:val="00F570D5"/>
    <w:rsid w:val="00F57D96"/>
    <w:rsid w:val="00F600CF"/>
    <w:rsid w:val="00F6030B"/>
    <w:rsid w:val="00F607C7"/>
    <w:rsid w:val="00F6094D"/>
    <w:rsid w:val="00F60B70"/>
    <w:rsid w:val="00F60C3F"/>
    <w:rsid w:val="00F60E9D"/>
    <w:rsid w:val="00F6103E"/>
    <w:rsid w:val="00F61432"/>
    <w:rsid w:val="00F614A2"/>
    <w:rsid w:val="00F6191F"/>
    <w:rsid w:val="00F61BBE"/>
    <w:rsid w:val="00F61FE6"/>
    <w:rsid w:val="00F62293"/>
    <w:rsid w:val="00F62A36"/>
    <w:rsid w:val="00F62D9D"/>
    <w:rsid w:val="00F63346"/>
    <w:rsid w:val="00F6369A"/>
    <w:rsid w:val="00F6374E"/>
    <w:rsid w:val="00F63AFF"/>
    <w:rsid w:val="00F63CA3"/>
    <w:rsid w:val="00F63EE0"/>
    <w:rsid w:val="00F641EF"/>
    <w:rsid w:val="00F646C6"/>
    <w:rsid w:val="00F64921"/>
    <w:rsid w:val="00F64968"/>
    <w:rsid w:val="00F64980"/>
    <w:rsid w:val="00F64B42"/>
    <w:rsid w:val="00F64CEE"/>
    <w:rsid w:val="00F64F84"/>
    <w:rsid w:val="00F65014"/>
    <w:rsid w:val="00F6525C"/>
    <w:rsid w:val="00F65510"/>
    <w:rsid w:val="00F65A50"/>
    <w:rsid w:val="00F6623F"/>
    <w:rsid w:val="00F66D7C"/>
    <w:rsid w:val="00F675C9"/>
    <w:rsid w:val="00F67A77"/>
    <w:rsid w:val="00F67CD3"/>
    <w:rsid w:val="00F67E06"/>
    <w:rsid w:val="00F67EB6"/>
    <w:rsid w:val="00F70660"/>
    <w:rsid w:val="00F70A8A"/>
    <w:rsid w:val="00F70F68"/>
    <w:rsid w:val="00F71327"/>
    <w:rsid w:val="00F71601"/>
    <w:rsid w:val="00F71720"/>
    <w:rsid w:val="00F71780"/>
    <w:rsid w:val="00F71784"/>
    <w:rsid w:val="00F718FC"/>
    <w:rsid w:val="00F71AC3"/>
    <w:rsid w:val="00F71C4F"/>
    <w:rsid w:val="00F72A89"/>
    <w:rsid w:val="00F72DE6"/>
    <w:rsid w:val="00F7304D"/>
    <w:rsid w:val="00F73354"/>
    <w:rsid w:val="00F733BA"/>
    <w:rsid w:val="00F7366F"/>
    <w:rsid w:val="00F73815"/>
    <w:rsid w:val="00F73D73"/>
    <w:rsid w:val="00F73F94"/>
    <w:rsid w:val="00F743A7"/>
    <w:rsid w:val="00F743BB"/>
    <w:rsid w:val="00F744C7"/>
    <w:rsid w:val="00F74869"/>
    <w:rsid w:val="00F75160"/>
    <w:rsid w:val="00F758BD"/>
    <w:rsid w:val="00F7644C"/>
    <w:rsid w:val="00F76AA7"/>
    <w:rsid w:val="00F7738A"/>
    <w:rsid w:val="00F7771D"/>
    <w:rsid w:val="00F777B6"/>
    <w:rsid w:val="00F77885"/>
    <w:rsid w:val="00F77BE2"/>
    <w:rsid w:val="00F77DB3"/>
    <w:rsid w:val="00F77E5C"/>
    <w:rsid w:val="00F800B2"/>
    <w:rsid w:val="00F80125"/>
    <w:rsid w:val="00F8017C"/>
    <w:rsid w:val="00F803E3"/>
    <w:rsid w:val="00F806DE"/>
    <w:rsid w:val="00F80876"/>
    <w:rsid w:val="00F809DE"/>
    <w:rsid w:val="00F80B36"/>
    <w:rsid w:val="00F80DAB"/>
    <w:rsid w:val="00F8169C"/>
    <w:rsid w:val="00F81830"/>
    <w:rsid w:val="00F818FD"/>
    <w:rsid w:val="00F81A65"/>
    <w:rsid w:val="00F81E9B"/>
    <w:rsid w:val="00F82792"/>
    <w:rsid w:val="00F82C55"/>
    <w:rsid w:val="00F83115"/>
    <w:rsid w:val="00F83169"/>
    <w:rsid w:val="00F8339B"/>
    <w:rsid w:val="00F836BA"/>
    <w:rsid w:val="00F83C04"/>
    <w:rsid w:val="00F83EA8"/>
    <w:rsid w:val="00F83FFF"/>
    <w:rsid w:val="00F8480C"/>
    <w:rsid w:val="00F84BF4"/>
    <w:rsid w:val="00F84FA7"/>
    <w:rsid w:val="00F853E0"/>
    <w:rsid w:val="00F85856"/>
    <w:rsid w:val="00F85C92"/>
    <w:rsid w:val="00F862F0"/>
    <w:rsid w:val="00F86900"/>
    <w:rsid w:val="00F8727F"/>
    <w:rsid w:val="00F87507"/>
    <w:rsid w:val="00F877D7"/>
    <w:rsid w:val="00F8789D"/>
    <w:rsid w:val="00F878EE"/>
    <w:rsid w:val="00F87A4A"/>
    <w:rsid w:val="00F87E0E"/>
    <w:rsid w:val="00F87F1F"/>
    <w:rsid w:val="00F9079E"/>
    <w:rsid w:val="00F90A29"/>
    <w:rsid w:val="00F91681"/>
    <w:rsid w:val="00F92219"/>
    <w:rsid w:val="00F92240"/>
    <w:rsid w:val="00F92318"/>
    <w:rsid w:val="00F92B9A"/>
    <w:rsid w:val="00F92BAE"/>
    <w:rsid w:val="00F92DFB"/>
    <w:rsid w:val="00F9316A"/>
    <w:rsid w:val="00F934A5"/>
    <w:rsid w:val="00F93575"/>
    <w:rsid w:val="00F9372E"/>
    <w:rsid w:val="00F93992"/>
    <w:rsid w:val="00F93B15"/>
    <w:rsid w:val="00F93BF6"/>
    <w:rsid w:val="00F93F9D"/>
    <w:rsid w:val="00F945ED"/>
    <w:rsid w:val="00F94614"/>
    <w:rsid w:val="00F9488D"/>
    <w:rsid w:val="00F949EE"/>
    <w:rsid w:val="00F94F9D"/>
    <w:rsid w:val="00F94FCE"/>
    <w:rsid w:val="00F9505E"/>
    <w:rsid w:val="00F9547E"/>
    <w:rsid w:val="00F95537"/>
    <w:rsid w:val="00F95828"/>
    <w:rsid w:val="00F95BC2"/>
    <w:rsid w:val="00F960AD"/>
    <w:rsid w:val="00F96196"/>
    <w:rsid w:val="00F96A78"/>
    <w:rsid w:val="00F96D4B"/>
    <w:rsid w:val="00F96EAE"/>
    <w:rsid w:val="00F96EBB"/>
    <w:rsid w:val="00F971C6"/>
    <w:rsid w:val="00F97641"/>
    <w:rsid w:val="00F97964"/>
    <w:rsid w:val="00FA0B78"/>
    <w:rsid w:val="00FA164F"/>
    <w:rsid w:val="00FA167B"/>
    <w:rsid w:val="00FA1740"/>
    <w:rsid w:val="00FA1FF5"/>
    <w:rsid w:val="00FA24C2"/>
    <w:rsid w:val="00FA296A"/>
    <w:rsid w:val="00FA297A"/>
    <w:rsid w:val="00FA29A4"/>
    <w:rsid w:val="00FA2BAC"/>
    <w:rsid w:val="00FA2C5E"/>
    <w:rsid w:val="00FA2D7C"/>
    <w:rsid w:val="00FA3B01"/>
    <w:rsid w:val="00FA3C76"/>
    <w:rsid w:val="00FA40F3"/>
    <w:rsid w:val="00FA4565"/>
    <w:rsid w:val="00FA4AA4"/>
    <w:rsid w:val="00FA4AEF"/>
    <w:rsid w:val="00FA5D88"/>
    <w:rsid w:val="00FA5F5C"/>
    <w:rsid w:val="00FA6097"/>
    <w:rsid w:val="00FA6345"/>
    <w:rsid w:val="00FA6451"/>
    <w:rsid w:val="00FA64DE"/>
    <w:rsid w:val="00FA6B06"/>
    <w:rsid w:val="00FA6E95"/>
    <w:rsid w:val="00FA7371"/>
    <w:rsid w:val="00FA7547"/>
    <w:rsid w:val="00FA77E2"/>
    <w:rsid w:val="00FA78C3"/>
    <w:rsid w:val="00FA7A45"/>
    <w:rsid w:val="00FB00BF"/>
    <w:rsid w:val="00FB01D7"/>
    <w:rsid w:val="00FB0970"/>
    <w:rsid w:val="00FB0AE0"/>
    <w:rsid w:val="00FB0CC3"/>
    <w:rsid w:val="00FB0E62"/>
    <w:rsid w:val="00FB1879"/>
    <w:rsid w:val="00FB1A07"/>
    <w:rsid w:val="00FB1D01"/>
    <w:rsid w:val="00FB1DB7"/>
    <w:rsid w:val="00FB245B"/>
    <w:rsid w:val="00FB25E0"/>
    <w:rsid w:val="00FB2641"/>
    <w:rsid w:val="00FB27A1"/>
    <w:rsid w:val="00FB2B4E"/>
    <w:rsid w:val="00FB2D46"/>
    <w:rsid w:val="00FB345F"/>
    <w:rsid w:val="00FB3C02"/>
    <w:rsid w:val="00FB426D"/>
    <w:rsid w:val="00FB462A"/>
    <w:rsid w:val="00FB4668"/>
    <w:rsid w:val="00FB4D2E"/>
    <w:rsid w:val="00FB5064"/>
    <w:rsid w:val="00FB542B"/>
    <w:rsid w:val="00FB5457"/>
    <w:rsid w:val="00FB576E"/>
    <w:rsid w:val="00FB5DA0"/>
    <w:rsid w:val="00FB5EA5"/>
    <w:rsid w:val="00FB69D3"/>
    <w:rsid w:val="00FB6A2F"/>
    <w:rsid w:val="00FB6CCD"/>
    <w:rsid w:val="00FB7012"/>
    <w:rsid w:val="00FB7196"/>
    <w:rsid w:val="00FB72FB"/>
    <w:rsid w:val="00FB7C35"/>
    <w:rsid w:val="00FB7F49"/>
    <w:rsid w:val="00FB7F4F"/>
    <w:rsid w:val="00FC021F"/>
    <w:rsid w:val="00FC0374"/>
    <w:rsid w:val="00FC0848"/>
    <w:rsid w:val="00FC0EA6"/>
    <w:rsid w:val="00FC0FE6"/>
    <w:rsid w:val="00FC11B1"/>
    <w:rsid w:val="00FC182C"/>
    <w:rsid w:val="00FC1923"/>
    <w:rsid w:val="00FC23A7"/>
    <w:rsid w:val="00FC2482"/>
    <w:rsid w:val="00FC2932"/>
    <w:rsid w:val="00FC2D8E"/>
    <w:rsid w:val="00FC33F0"/>
    <w:rsid w:val="00FC3554"/>
    <w:rsid w:val="00FC374C"/>
    <w:rsid w:val="00FC4037"/>
    <w:rsid w:val="00FC418A"/>
    <w:rsid w:val="00FC42BF"/>
    <w:rsid w:val="00FC469A"/>
    <w:rsid w:val="00FC4799"/>
    <w:rsid w:val="00FC4CDE"/>
    <w:rsid w:val="00FC54A8"/>
    <w:rsid w:val="00FC572C"/>
    <w:rsid w:val="00FC5ACD"/>
    <w:rsid w:val="00FC5EA4"/>
    <w:rsid w:val="00FC61D6"/>
    <w:rsid w:val="00FC6802"/>
    <w:rsid w:val="00FC68E3"/>
    <w:rsid w:val="00FC6AE9"/>
    <w:rsid w:val="00FC6ED2"/>
    <w:rsid w:val="00FC7432"/>
    <w:rsid w:val="00FC7AB2"/>
    <w:rsid w:val="00FD00F9"/>
    <w:rsid w:val="00FD07E3"/>
    <w:rsid w:val="00FD0F10"/>
    <w:rsid w:val="00FD16A3"/>
    <w:rsid w:val="00FD16E8"/>
    <w:rsid w:val="00FD195C"/>
    <w:rsid w:val="00FD1A18"/>
    <w:rsid w:val="00FD1CAB"/>
    <w:rsid w:val="00FD2084"/>
    <w:rsid w:val="00FD2280"/>
    <w:rsid w:val="00FD251E"/>
    <w:rsid w:val="00FD2C5F"/>
    <w:rsid w:val="00FD2CC5"/>
    <w:rsid w:val="00FD383A"/>
    <w:rsid w:val="00FD3AC3"/>
    <w:rsid w:val="00FD3CAB"/>
    <w:rsid w:val="00FD440D"/>
    <w:rsid w:val="00FD522E"/>
    <w:rsid w:val="00FD55BA"/>
    <w:rsid w:val="00FD56A1"/>
    <w:rsid w:val="00FD5CAF"/>
    <w:rsid w:val="00FD5FD5"/>
    <w:rsid w:val="00FD5FF3"/>
    <w:rsid w:val="00FD6143"/>
    <w:rsid w:val="00FD61F6"/>
    <w:rsid w:val="00FD6346"/>
    <w:rsid w:val="00FD6F8F"/>
    <w:rsid w:val="00FD70E6"/>
    <w:rsid w:val="00FD72F6"/>
    <w:rsid w:val="00FD75DB"/>
    <w:rsid w:val="00FD76E5"/>
    <w:rsid w:val="00FD7717"/>
    <w:rsid w:val="00FD779F"/>
    <w:rsid w:val="00FD7841"/>
    <w:rsid w:val="00FD7880"/>
    <w:rsid w:val="00FD7BB0"/>
    <w:rsid w:val="00FD7CFC"/>
    <w:rsid w:val="00FD7E31"/>
    <w:rsid w:val="00FE0514"/>
    <w:rsid w:val="00FE05FF"/>
    <w:rsid w:val="00FE0EB0"/>
    <w:rsid w:val="00FE1386"/>
    <w:rsid w:val="00FE1619"/>
    <w:rsid w:val="00FE1747"/>
    <w:rsid w:val="00FE17C6"/>
    <w:rsid w:val="00FE17D2"/>
    <w:rsid w:val="00FE193D"/>
    <w:rsid w:val="00FE19AE"/>
    <w:rsid w:val="00FE1BC2"/>
    <w:rsid w:val="00FE21CB"/>
    <w:rsid w:val="00FE24C5"/>
    <w:rsid w:val="00FE2796"/>
    <w:rsid w:val="00FE28FF"/>
    <w:rsid w:val="00FE2EC4"/>
    <w:rsid w:val="00FE3257"/>
    <w:rsid w:val="00FE3640"/>
    <w:rsid w:val="00FE3E9A"/>
    <w:rsid w:val="00FE40E0"/>
    <w:rsid w:val="00FE43B9"/>
    <w:rsid w:val="00FE44FC"/>
    <w:rsid w:val="00FE45FF"/>
    <w:rsid w:val="00FE490B"/>
    <w:rsid w:val="00FE576D"/>
    <w:rsid w:val="00FE5806"/>
    <w:rsid w:val="00FE59B3"/>
    <w:rsid w:val="00FE5C78"/>
    <w:rsid w:val="00FE6C1F"/>
    <w:rsid w:val="00FE6FCB"/>
    <w:rsid w:val="00FE734E"/>
    <w:rsid w:val="00FE74AA"/>
    <w:rsid w:val="00FE7534"/>
    <w:rsid w:val="00FE7C98"/>
    <w:rsid w:val="00FF0107"/>
    <w:rsid w:val="00FF0A5A"/>
    <w:rsid w:val="00FF0E14"/>
    <w:rsid w:val="00FF123D"/>
    <w:rsid w:val="00FF142B"/>
    <w:rsid w:val="00FF16B3"/>
    <w:rsid w:val="00FF1758"/>
    <w:rsid w:val="00FF175E"/>
    <w:rsid w:val="00FF1933"/>
    <w:rsid w:val="00FF1B20"/>
    <w:rsid w:val="00FF1B6D"/>
    <w:rsid w:val="00FF1BD9"/>
    <w:rsid w:val="00FF1D4A"/>
    <w:rsid w:val="00FF1E59"/>
    <w:rsid w:val="00FF200C"/>
    <w:rsid w:val="00FF2047"/>
    <w:rsid w:val="00FF2309"/>
    <w:rsid w:val="00FF2574"/>
    <w:rsid w:val="00FF26CB"/>
    <w:rsid w:val="00FF2971"/>
    <w:rsid w:val="00FF2B49"/>
    <w:rsid w:val="00FF31A5"/>
    <w:rsid w:val="00FF3427"/>
    <w:rsid w:val="00FF393F"/>
    <w:rsid w:val="00FF3FB9"/>
    <w:rsid w:val="00FF3FCE"/>
    <w:rsid w:val="00FF4217"/>
    <w:rsid w:val="00FF477B"/>
    <w:rsid w:val="00FF4941"/>
    <w:rsid w:val="00FF4A78"/>
    <w:rsid w:val="00FF4E16"/>
    <w:rsid w:val="00FF4E70"/>
    <w:rsid w:val="00FF4F4A"/>
    <w:rsid w:val="00FF4F57"/>
    <w:rsid w:val="00FF5463"/>
    <w:rsid w:val="00FF5616"/>
    <w:rsid w:val="00FF5979"/>
    <w:rsid w:val="00FF5BE0"/>
    <w:rsid w:val="00FF5D9E"/>
    <w:rsid w:val="00FF609C"/>
    <w:rsid w:val="00FF69DF"/>
    <w:rsid w:val="00FF6DDD"/>
    <w:rsid w:val="00FF706B"/>
    <w:rsid w:val="00FF7462"/>
    <w:rsid w:val="00FF78DF"/>
    <w:rsid w:val="00FF79C6"/>
    <w:rsid w:val="011F46F7"/>
    <w:rsid w:val="0174A8E1"/>
    <w:rsid w:val="01C6EB9B"/>
    <w:rsid w:val="023BE588"/>
    <w:rsid w:val="02B1B953"/>
    <w:rsid w:val="02BC597A"/>
    <w:rsid w:val="02F53987"/>
    <w:rsid w:val="034829BB"/>
    <w:rsid w:val="03878C6E"/>
    <w:rsid w:val="03987DB2"/>
    <w:rsid w:val="03BDF6B7"/>
    <w:rsid w:val="03C76000"/>
    <w:rsid w:val="0414B38F"/>
    <w:rsid w:val="04223587"/>
    <w:rsid w:val="043BECAE"/>
    <w:rsid w:val="046678B8"/>
    <w:rsid w:val="049C617E"/>
    <w:rsid w:val="04ED5813"/>
    <w:rsid w:val="05002015"/>
    <w:rsid w:val="0508F98B"/>
    <w:rsid w:val="05949B06"/>
    <w:rsid w:val="05C5C32F"/>
    <w:rsid w:val="05D7BD0F"/>
    <w:rsid w:val="0632B52D"/>
    <w:rsid w:val="06B74634"/>
    <w:rsid w:val="06C0B3D9"/>
    <w:rsid w:val="06C46075"/>
    <w:rsid w:val="070879B7"/>
    <w:rsid w:val="070A495B"/>
    <w:rsid w:val="077DEB12"/>
    <w:rsid w:val="07940AE0"/>
    <w:rsid w:val="07B2E18B"/>
    <w:rsid w:val="07EE7E74"/>
    <w:rsid w:val="0810D2E0"/>
    <w:rsid w:val="083A833D"/>
    <w:rsid w:val="08BA9576"/>
    <w:rsid w:val="09AF414B"/>
    <w:rsid w:val="0A200864"/>
    <w:rsid w:val="0A5C3F43"/>
    <w:rsid w:val="0A9B3957"/>
    <w:rsid w:val="0A9CA2C1"/>
    <w:rsid w:val="0AB34716"/>
    <w:rsid w:val="0AC89061"/>
    <w:rsid w:val="0B0201DD"/>
    <w:rsid w:val="0B2DA6C4"/>
    <w:rsid w:val="0B65297B"/>
    <w:rsid w:val="0B787333"/>
    <w:rsid w:val="0C2DC95C"/>
    <w:rsid w:val="0C4EEC19"/>
    <w:rsid w:val="0CD6F2D9"/>
    <w:rsid w:val="0CE711A1"/>
    <w:rsid w:val="0D889710"/>
    <w:rsid w:val="0DC4FD23"/>
    <w:rsid w:val="0DDAD494"/>
    <w:rsid w:val="0DEC7470"/>
    <w:rsid w:val="0DEF301E"/>
    <w:rsid w:val="0E04B382"/>
    <w:rsid w:val="0E8B09C8"/>
    <w:rsid w:val="0EA874AB"/>
    <w:rsid w:val="0F2A386B"/>
    <w:rsid w:val="0F40FC93"/>
    <w:rsid w:val="0F4140B6"/>
    <w:rsid w:val="0F656A1E"/>
    <w:rsid w:val="0F680D50"/>
    <w:rsid w:val="10282FBA"/>
    <w:rsid w:val="11115562"/>
    <w:rsid w:val="11A4BC57"/>
    <w:rsid w:val="11B1424D"/>
    <w:rsid w:val="11BF511A"/>
    <w:rsid w:val="11E0B517"/>
    <w:rsid w:val="121A3145"/>
    <w:rsid w:val="121B7EF0"/>
    <w:rsid w:val="122069E1"/>
    <w:rsid w:val="12AF208A"/>
    <w:rsid w:val="12B29AA1"/>
    <w:rsid w:val="12C6F41F"/>
    <w:rsid w:val="12F20DB6"/>
    <w:rsid w:val="1333EE17"/>
    <w:rsid w:val="13FAD345"/>
    <w:rsid w:val="14C4FA3B"/>
    <w:rsid w:val="14F21287"/>
    <w:rsid w:val="15AD343B"/>
    <w:rsid w:val="15FEA274"/>
    <w:rsid w:val="160151B5"/>
    <w:rsid w:val="164EA660"/>
    <w:rsid w:val="16674B62"/>
    <w:rsid w:val="16C87B6F"/>
    <w:rsid w:val="17F2E85F"/>
    <w:rsid w:val="18001BDF"/>
    <w:rsid w:val="184D5B6A"/>
    <w:rsid w:val="188848BC"/>
    <w:rsid w:val="188B22C2"/>
    <w:rsid w:val="18C6C554"/>
    <w:rsid w:val="18C6FF00"/>
    <w:rsid w:val="191446C4"/>
    <w:rsid w:val="19560A8B"/>
    <w:rsid w:val="19C41924"/>
    <w:rsid w:val="19CD00D6"/>
    <w:rsid w:val="1A6A4D1D"/>
    <w:rsid w:val="1ABD621D"/>
    <w:rsid w:val="1AC992B1"/>
    <w:rsid w:val="1B1D2F15"/>
    <w:rsid w:val="1B2D68F5"/>
    <w:rsid w:val="1B4F3954"/>
    <w:rsid w:val="1B9BDFB8"/>
    <w:rsid w:val="1BE735FD"/>
    <w:rsid w:val="1C1E1C80"/>
    <w:rsid w:val="1C6FA240"/>
    <w:rsid w:val="1CCB0C93"/>
    <w:rsid w:val="1D4787AD"/>
    <w:rsid w:val="1D5DBF14"/>
    <w:rsid w:val="1D63AEB9"/>
    <w:rsid w:val="1D8B42D7"/>
    <w:rsid w:val="1DC63303"/>
    <w:rsid w:val="1DF07494"/>
    <w:rsid w:val="1E00E044"/>
    <w:rsid w:val="1E3D4E52"/>
    <w:rsid w:val="1E5998C0"/>
    <w:rsid w:val="1E7CE3D9"/>
    <w:rsid w:val="1EB2C56C"/>
    <w:rsid w:val="1EC59422"/>
    <w:rsid w:val="1EE016CF"/>
    <w:rsid w:val="1EE59624"/>
    <w:rsid w:val="1F2A3665"/>
    <w:rsid w:val="1F3F9AFD"/>
    <w:rsid w:val="1F7C68BB"/>
    <w:rsid w:val="1F96501F"/>
    <w:rsid w:val="1F9BC774"/>
    <w:rsid w:val="1FB1411C"/>
    <w:rsid w:val="1FD5674E"/>
    <w:rsid w:val="20486D92"/>
    <w:rsid w:val="20738BC2"/>
    <w:rsid w:val="20D0EFD5"/>
    <w:rsid w:val="211F58A9"/>
    <w:rsid w:val="21309380"/>
    <w:rsid w:val="215C011B"/>
    <w:rsid w:val="21BF959C"/>
    <w:rsid w:val="221D8A08"/>
    <w:rsid w:val="223BB85B"/>
    <w:rsid w:val="22426787"/>
    <w:rsid w:val="22DA3E41"/>
    <w:rsid w:val="2379BCA1"/>
    <w:rsid w:val="23C82845"/>
    <w:rsid w:val="23D0047F"/>
    <w:rsid w:val="23EDC625"/>
    <w:rsid w:val="24098888"/>
    <w:rsid w:val="24D168DF"/>
    <w:rsid w:val="24DBCFC5"/>
    <w:rsid w:val="255333B3"/>
    <w:rsid w:val="256BA515"/>
    <w:rsid w:val="2589BB8B"/>
    <w:rsid w:val="25CF1BF4"/>
    <w:rsid w:val="2606D0A7"/>
    <w:rsid w:val="263E3B4E"/>
    <w:rsid w:val="2666E957"/>
    <w:rsid w:val="26D09282"/>
    <w:rsid w:val="270BCD62"/>
    <w:rsid w:val="27194870"/>
    <w:rsid w:val="272A544A"/>
    <w:rsid w:val="27541A16"/>
    <w:rsid w:val="27774358"/>
    <w:rsid w:val="27F1806E"/>
    <w:rsid w:val="28880CEA"/>
    <w:rsid w:val="288EF05D"/>
    <w:rsid w:val="294A68A8"/>
    <w:rsid w:val="29F99014"/>
    <w:rsid w:val="2B3D5D38"/>
    <w:rsid w:val="2BD4C444"/>
    <w:rsid w:val="2BF52816"/>
    <w:rsid w:val="2C40F4FF"/>
    <w:rsid w:val="2C75814F"/>
    <w:rsid w:val="2CE8327E"/>
    <w:rsid w:val="2D2E4053"/>
    <w:rsid w:val="2D968368"/>
    <w:rsid w:val="2DB39CFB"/>
    <w:rsid w:val="2DC691B0"/>
    <w:rsid w:val="2DD686ED"/>
    <w:rsid w:val="2DFDDBB1"/>
    <w:rsid w:val="2E37399A"/>
    <w:rsid w:val="2F4A0C99"/>
    <w:rsid w:val="2F4DBDE5"/>
    <w:rsid w:val="2F7E0CFE"/>
    <w:rsid w:val="2F84B996"/>
    <w:rsid w:val="2FA93F84"/>
    <w:rsid w:val="2FB30A3B"/>
    <w:rsid w:val="2FCB074E"/>
    <w:rsid w:val="2FF55DCE"/>
    <w:rsid w:val="306A2476"/>
    <w:rsid w:val="307DFC68"/>
    <w:rsid w:val="308D6F05"/>
    <w:rsid w:val="3097B5C3"/>
    <w:rsid w:val="31CEEB53"/>
    <w:rsid w:val="32CCF486"/>
    <w:rsid w:val="32D6EDA2"/>
    <w:rsid w:val="32E8B161"/>
    <w:rsid w:val="330886EC"/>
    <w:rsid w:val="33ABE76A"/>
    <w:rsid w:val="33B7956B"/>
    <w:rsid w:val="342F949D"/>
    <w:rsid w:val="3440700A"/>
    <w:rsid w:val="34AB33D5"/>
    <w:rsid w:val="34E38ECC"/>
    <w:rsid w:val="352325F3"/>
    <w:rsid w:val="353F8DD7"/>
    <w:rsid w:val="3550F842"/>
    <w:rsid w:val="3557275A"/>
    <w:rsid w:val="35B3AEB3"/>
    <w:rsid w:val="363D9517"/>
    <w:rsid w:val="3663370B"/>
    <w:rsid w:val="36810CDB"/>
    <w:rsid w:val="36903256"/>
    <w:rsid w:val="36A359B6"/>
    <w:rsid w:val="37240576"/>
    <w:rsid w:val="3743A37A"/>
    <w:rsid w:val="378E2E21"/>
    <w:rsid w:val="378FEC6A"/>
    <w:rsid w:val="3871969C"/>
    <w:rsid w:val="38D85594"/>
    <w:rsid w:val="39153C1F"/>
    <w:rsid w:val="392F1298"/>
    <w:rsid w:val="393C9E79"/>
    <w:rsid w:val="39791728"/>
    <w:rsid w:val="39A61F6C"/>
    <w:rsid w:val="39D760EF"/>
    <w:rsid w:val="39F3EFCF"/>
    <w:rsid w:val="3A2A5D6F"/>
    <w:rsid w:val="3A318104"/>
    <w:rsid w:val="3A526E82"/>
    <w:rsid w:val="3AAF9B9A"/>
    <w:rsid w:val="3B33F2DD"/>
    <w:rsid w:val="3B44BE90"/>
    <w:rsid w:val="3B50031B"/>
    <w:rsid w:val="3B6B075C"/>
    <w:rsid w:val="3B7F2DD3"/>
    <w:rsid w:val="3BC5CEB1"/>
    <w:rsid w:val="3C01EF09"/>
    <w:rsid w:val="3C6B498D"/>
    <w:rsid w:val="3DC4C058"/>
    <w:rsid w:val="3E31096F"/>
    <w:rsid w:val="3E64AAD4"/>
    <w:rsid w:val="3EA2A81E"/>
    <w:rsid w:val="3EA7D8CA"/>
    <w:rsid w:val="3F2E8771"/>
    <w:rsid w:val="3F67A89E"/>
    <w:rsid w:val="3F7238A2"/>
    <w:rsid w:val="403E787F"/>
    <w:rsid w:val="4042B048"/>
    <w:rsid w:val="40902CAE"/>
    <w:rsid w:val="4159B780"/>
    <w:rsid w:val="4169B2B0"/>
    <w:rsid w:val="423763C8"/>
    <w:rsid w:val="4296E8BF"/>
    <w:rsid w:val="4335F97A"/>
    <w:rsid w:val="4348530E"/>
    <w:rsid w:val="43C9F8BA"/>
    <w:rsid w:val="43FDA03C"/>
    <w:rsid w:val="44AEAE9A"/>
    <w:rsid w:val="44B087D7"/>
    <w:rsid w:val="44BC9AD6"/>
    <w:rsid w:val="4504FC12"/>
    <w:rsid w:val="451FB3EC"/>
    <w:rsid w:val="4538E1CB"/>
    <w:rsid w:val="45A516A5"/>
    <w:rsid w:val="4605DC29"/>
    <w:rsid w:val="4634AEA7"/>
    <w:rsid w:val="4673D339"/>
    <w:rsid w:val="468D1CF6"/>
    <w:rsid w:val="46C9F819"/>
    <w:rsid w:val="46FAE9AD"/>
    <w:rsid w:val="47C2E395"/>
    <w:rsid w:val="4834A5A9"/>
    <w:rsid w:val="4884E4E5"/>
    <w:rsid w:val="492424FA"/>
    <w:rsid w:val="49329FEA"/>
    <w:rsid w:val="498750C8"/>
    <w:rsid w:val="49A365BF"/>
    <w:rsid w:val="4A155C09"/>
    <w:rsid w:val="4A1A6CDF"/>
    <w:rsid w:val="4A541695"/>
    <w:rsid w:val="4A6C6096"/>
    <w:rsid w:val="4A9CB4F2"/>
    <w:rsid w:val="4ACDC2DE"/>
    <w:rsid w:val="4AD94D4C"/>
    <w:rsid w:val="4B974B2B"/>
    <w:rsid w:val="4BA79692"/>
    <w:rsid w:val="4C5752E2"/>
    <w:rsid w:val="4CB1AFE2"/>
    <w:rsid w:val="4CDE736F"/>
    <w:rsid w:val="4CE748C9"/>
    <w:rsid w:val="4D06EC83"/>
    <w:rsid w:val="4D09CDEF"/>
    <w:rsid w:val="4D1CFB87"/>
    <w:rsid w:val="4D68ED7A"/>
    <w:rsid w:val="4E16FC1D"/>
    <w:rsid w:val="4E8AC320"/>
    <w:rsid w:val="4E9A3CFE"/>
    <w:rsid w:val="4EE36B8A"/>
    <w:rsid w:val="4EE5AE19"/>
    <w:rsid w:val="4F2BC098"/>
    <w:rsid w:val="4F6BD034"/>
    <w:rsid w:val="4FABE861"/>
    <w:rsid w:val="4FE76DF0"/>
    <w:rsid w:val="4FE898E8"/>
    <w:rsid w:val="4FF83DB8"/>
    <w:rsid w:val="50BEC307"/>
    <w:rsid w:val="50C24A22"/>
    <w:rsid w:val="517E9BE3"/>
    <w:rsid w:val="519D2E29"/>
    <w:rsid w:val="525ECA54"/>
    <w:rsid w:val="5440FEF4"/>
    <w:rsid w:val="549D6962"/>
    <w:rsid w:val="55A4C7CF"/>
    <w:rsid w:val="55C6F353"/>
    <w:rsid w:val="564AC596"/>
    <w:rsid w:val="56B2A2F6"/>
    <w:rsid w:val="57039C18"/>
    <w:rsid w:val="5740A290"/>
    <w:rsid w:val="57413B67"/>
    <w:rsid w:val="57BFCAB4"/>
    <w:rsid w:val="57C73CBE"/>
    <w:rsid w:val="57EC81E7"/>
    <w:rsid w:val="58D40B17"/>
    <w:rsid w:val="58E39B12"/>
    <w:rsid w:val="58F824C2"/>
    <w:rsid w:val="599DED38"/>
    <w:rsid w:val="59F9055E"/>
    <w:rsid w:val="5A05FE86"/>
    <w:rsid w:val="5A8827ED"/>
    <w:rsid w:val="5ACAFC18"/>
    <w:rsid w:val="5AD19B72"/>
    <w:rsid w:val="5AD61925"/>
    <w:rsid w:val="5AD7FBA2"/>
    <w:rsid w:val="5B29F89E"/>
    <w:rsid w:val="5B70B0E5"/>
    <w:rsid w:val="5B808B6F"/>
    <w:rsid w:val="5B9392B1"/>
    <w:rsid w:val="5BC9DC18"/>
    <w:rsid w:val="5C2193A0"/>
    <w:rsid w:val="5D4A7421"/>
    <w:rsid w:val="5DC2CC69"/>
    <w:rsid w:val="5DC865E4"/>
    <w:rsid w:val="5DC93619"/>
    <w:rsid w:val="5F0C61C3"/>
    <w:rsid w:val="5F7E7929"/>
    <w:rsid w:val="5FD08456"/>
    <w:rsid w:val="5FFBACDE"/>
    <w:rsid w:val="60777EFB"/>
    <w:rsid w:val="607F4AFB"/>
    <w:rsid w:val="60A6ED1D"/>
    <w:rsid w:val="61D56FA0"/>
    <w:rsid w:val="625CE91B"/>
    <w:rsid w:val="6262BB26"/>
    <w:rsid w:val="6277208E"/>
    <w:rsid w:val="62E7C2FF"/>
    <w:rsid w:val="62F0DE73"/>
    <w:rsid w:val="632DEAF6"/>
    <w:rsid w:val="635071E0"/>
    <w:rsid w:val="640AD88D"/>
    <w:rsid w:val="64A7759E"/>
    <w:rsid w:val="64DC773B"/>
    <w:rsid w:val="64E1C1AF"/>
    <w:rsid w:val="65EC7421"/>
    <w:rsid w:val="6610C4B9"/>
    <w:rsid w:val="6639C951"/>
    <w:rsid w:val="664B2BB0"/>
    <w:rsid w:val="66957589"/>
    <w:rsid w:val="66F434F1"/>
    <w:rsid w:val="67AF50B2"/>
    <w:rsid w:val="681D4320"/>
    <w:rsid w:val="682160F8"/>
    <w:rsid w:val="688B0CFE"/>
    <w:rsid w:val="68D395E1"/>
    <w:rsid w:val="69309D1B"/>
    <w:rsid w:val="69F7F7BB"/>
    <w:rsid w:val="6A70A3D3"/>
    <w:rsid w:val="6AF9B9D1"/>
    <w:rsid w:val="6AFC5469"/>
    <w:rsid w:val="6B527C35"/>
    <w:rsid w:val="6B9429E3"/>
    <w:rsid w:val="6BAF8D24"/>
    <w:rsid w:val="6BD68DBC"/>
    <w:rsid w:val="6BE6978E"/>
    <w:rsid w:val="6BE829D6"/>
    <w:rsid w:val="6CF09DC7"/>
    <w:rsid w:val="6D3A82FB"/>
    <w:rsid w:val="6D62CE91"/>
    <w:rsid w:val="6DB5E5ED"/>
    <w:rsid w:val="6DE21536"/>
    <w:rsid w:val="6DECFA70"/>
    <w:rsid w:val="6DFE2C2F"/>
    <w:rsid w:val="6E3A0074"/>
    <w:rsid w:val="6E5D6E60"/>
    <w:rsid w:val="6ECDB4F3"/>
    <w:rsid w:val="6F1FCA98"/>
    <w:rsid w:val="6F2601AC"/>
    <w:rsid w:val="70370DA0"/>
    <w:rsid w:val="70881648"/>
    <w:rsid w:val="710E4CD7"/>
    <w:rsid w:val="7132B3F1"/>
    <w:rsid w:val="713D933E"/>
    <w:rsid w:val="715A08D8"/>
    <w:rsid w:val="717797F0"/>
    <w:rsid w:val="71C545B3"/>
    <w:rsid w:val="72330D51"/>
    <w:rsid w:val="7324C1DC"/>
    <w:rsid w:val="734B2E4D"/>
    <w:rsid w:val="7400C12C"/>
    <w:rsid w:val="740C70F6"/>
    <w:rsid w:val="74109869"/>
    <w:rsid w:val="744831B7"/>
    <w:rsid w:val="74508C52"/>
    <w:rsid w:val="74815A39"/>
    <w:rsid w:val="755DC2C6"/>
    <w:rsid w:val="7647021C"/>
    <w:rsid w:val="76C0FBA6"/>
    <w:rsid w:val="76C5A6DC"/>
    <w:rsid w:val="76D0E9EF"/>
    <w:rsid w:val="7755F887"/>
    <w:rsid w:val="77AF0501"/>
    <w:rsid w:val="7822D839"/>
    <w:rsid w:val="782A8C31"/>
    <w:rsid w:val="78E309E8"/>
    <w:rsid w:val="793DE465"/>
    <w:rsid w:val="79A5729A"/>
    <w:rsid w:val="79BFBA6B"/>
    <w:rsid w:val="7A629EB7"/>
    <w:rsid w:val="7ADEF1CE"/>
    <w:rsid w:val="7AF3590E"/>
    <w:rsid w:val="7B26CB9D"/>
    <w:rsid w:val="7B56C7DB"/>
    <w:rsid w:val="7BE8FB7E"/>
    <w:rsid w:val="7C619367"/>
    <w:rsid w:val="7C6FA421"/>
    <w:rsid w:val="7CFFC985"/>
    <w:rsid w:val="7D3329F4"/>
    <w:rsid w:val="7D3B8152"/>
    <w:rsid w:val="7D5ED516"/>
    <w:rsid w:val="7D78CBB0"/>
    <w:rsid w:val="7D794FF2"/>
    <w:rsid w:val="7DBAD56F"/>
    <w:rsid w:val="7DF04F60"/>
    <w:rsid w:val="7E60A7A1"/>
    <w:rsid w:val="7EAFD1C0"/>
    <w:rsid w:val="7F52C63E"/>
    <w:rsid w:val="7FDE9C02"/>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54A4E6AF"/>
  <w15:chartTrackingRefBased/>
  <w15:docId w15:val="{BC31E8B3-A37E-4366-87B6-3395124CD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B"/>
  </w:style>
  <w:style w:type="paragraph" w:styleId="Ttulo1">
    <w:name w:val="heading 1"/>
    <w:basedOn w:val="Normal"/>
    <w:next w:val="Normal"/>
    <w:link w:val="Ttulo1Car"/>
    <w:uiPriority w:val="9"/>
    <w:qFormat/>
    <w:rsid w:val="00E40D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762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514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460AC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 1,Use Case List Paragraph,Lista vistosa - Énfasis 11,Párrafo de lista Car Car Car,3,Informe,List Paragraph 1,Numbered List Paragraph,Main numbered paragraph,Bullets,List Paragraph (numbered (a)),Akapit z listą BS,List_Paragraph"/>
    <w:basedOn w:val="Normal"/>
    <w:link w:val="PrrafodelistaCar"/>
    <w:uiPriority w:val="34"/>
    <w:qFormat/>
    <w:rsid w:val="00BE58A8"/>
    <w:pPr>
      <w:ind w:left="720"/>
      <w:contextualSpacing/>
    </w:pPr>
  </w:style>
  <w:style w:type="numbering" w:customStyle="1" w:styleId="Estilo1">
    <w:name w:val="Estilo1"/>
    <w:uiPriority w:val="99"/>
    <w:rsid w:val="00BE58A8"/>
    <w:pPr>
      <w:numPr>
        <w:numId w:val="2"/>
      </w:numPr>
    </w:pPr>
  </w:style>
  <w:style w:type="character" w:customStyle="1" w:styleId="Ttulo1Car">
    <w:name w:val="Título 1 Car"/>
    <w:basedOn w:val="Fuentedeprrafopredeter"/>
    <w:link w:val="Ttulo1"/>
    <w:uiPriority w:val="9"/>
    <w:rsid w:val="00E40DD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376274"/>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9514D6"/>
    <w:rPr>
      <w:rFonts w:asciiTheme="majorHAnsi" w:eastAsiaTheme="majorEastAsia" w:hAnsiTheme="majorHAnsi" w:cstheme="majorBidi"/>
      <w:color w:val="1F3763" w:themeColor="accent1" w:themeShade="7F"/>
      <w:sz w:val="24"/>
      <w:szCs w:val="24"/>
    </w:rPr>
  </w:style>
  <w:style w:type="table" w:styleId="Tablaconcuadrcula">
    <w:name w:val="Table Grid"/>
    <w:basedOn w:val="Tablanormal"/>
    <w:uiPriority w:val="39"/>
    <w:rsid w:val="003A7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E2A97"/>
    <w:rPr>
      <w:color w:val="0563C1"/>
      <w:u w:val="single"/>
    </w:rPr>
  </w:style>
  <w:style w:type="character" w:styleId="Hipervnculovisitado">
    <w:name w:val="FollowedHyperlink"/>
    <w:basedOn w:val="Fuentedeprrafopredeter"/>
    <w:uiPriority w:val="99"/>
    <w:semiHidden/>
    <w:unhideWhenUsed/>
    <w:rsid w:val="00DE2A97"/>
    <w:rPr>
      <w:color w:val="954F72"/>
      <w:u w:val="single"/>
    </w:rPr>
  </w:style>
  <w:style w:type="paragraph" w:customStyle="1" w:styleId="msonormal0">
    <w:name w:val="msonormal"/>
    <w:basedOn w:val="Normal"/>
    <w:rsid w:val="00DE2A97"/>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66">
    <w:name w:val="xl66"/>
    <w:basedOn w:val="Normal"/>
    <w:rsid w:val="00DE2A97"/>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line="240" w:lineRule="auto"/>
      <w:jc w:val="center"/>
      <w:textAlignment w:val="center"/>
    </w:pPr>
    <w:rPr>
      <w:rFonts w:ascii="Book Antiqua" w:eastAsia="Times New Roman" w:hAnsi="Book Antiqua" w:cs="Times New Roman"/>
      <w:b/>
      <w:bCs/>
      <w:color w:val="FFFFFF"/>
      <w:sz w:val="18"/>
      <w:szCs w:val="18"/>
      <w:lang w:eastAsia="es-CR"/>
    </w:rPr>
  </w:style>
  <w:style w:type="paragraph" w:customStyle="1" w:styleId="xl67">
    <w:name w:val="xl67"/>
    <w:basedOn w:val="Normal"/>
    <w:rsid w:val="00DE2A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68">
    <w:name w:val="xl68"/>
    <w:basedOn w:val="Normal"/>
    <w:rsid w:val="00DE2A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69">
    <w:name w:val="xl69"/>
    <w:basedOn w:val="Normal"/>
    <w:rsid w:val="00DE2A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70">
    <w:name w:val="xl70"/>
    <w:basedOn w:val="Normal"/>
    <w:rsid w:val="00DE2A9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71">
    <w:name w:val="xl71"/>
    <w:basedOn w:val="Normal"/>
    <w:rsid w:val="00DE2A9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72">
    <w:name w:val="xl72"/>
    <w:basedOn w:val="Normal"/>
    <w:rsid w:val="00DE2A9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73">
    <w:name w:val="xl73"/>
    <w:basedOn w:val="Normal"/>
    <w:rsid w:val="00DE2A9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74">
    <w:name w:val="xl74"/>
    <w:basedOn w:val="Normal"/>
    <w:rsid w:val="00DE2A9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75">
    <w:name w:val="xl75"/>
    <w:basedOn w:val="Normal"/>
    <w:rsid w:val="00DE2A9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76">
    <w:name w:val="xl76"/>
    <w:basedOn w:val="Normal"/>
    <w:rsid w:val="00DE2A9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77">
    <w:name w:val="xl77"/>
    <w:basedOn w:val="Normal"/>
    <w:rsid w:val="00DE2A97"/>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78">
    <w:name w:val="xl78"/>
    <w:basedOn w:val="Normal"/>
    <w:rsid w:val="00DE2A9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79">
    <w:name w:val="xl79"/>
    <w:basedOn w:val="Normal"/>
    <w:rsid w:val="00DE2A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80">
    <w:name w:val="xl80"/>
    <w:basedOn w:val="Normal"/>
    <w:rsid w:val="00DE2A9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81">
    <w:name w:val="xl81"/>
    <w:basedOn w:val="Normal"/>
    <w:rsid w:val="00DE2A97"/>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82">
    <w:name w:val="xl82"/>
    <w:basedOn w:val="Normal"/>
    <w:rsid w:val="00DE2A9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83">
    <w:name w:val="xl83"/>
    <w:basedOn w:val="Normal"/>
    <w:rsid w:val="00DE2A9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84">
    <w:name w:val="xl84"/>
    <w:basedOn w:val="Normal"/>
    <w:rsid w:val="00DE2A97"/>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CR"/>
    </w:rPr>
  </w:style>
  <w:style w:type="paragraph" w:customStyle="1" w:styleId="xl85">
    <w:name w:val="xl85"/>
    <w:basedOn w:val="Normal"/>
    <w:rsid w:val="00DE2A9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86">
    <w:name w:val="xl86"/>
    <w:basedOn w:val="Normal"/>
    <w:rsid w:val="00DE2A97"/>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line="240" w:lineRule="auto"/>
      <w:jc w:val="center"/>
      <w:textAlignment w:val="center"/>
    </w:pPr>
    <w:rPr>
      <w:rFonts w:ascii="Book Antiqua" w:eastAsia="Times New Roman" w:hAnsi="Book Antiqua" w:cs="Times New Roman"/>
      <w:b/>
      <w:bCs/>
      <w:color w:val="FFFFFF"/>
      <w:sz w:val="18"/>
      <w:szCs w:val="18"/>
      <w:lang w:eastAsia="es-CR"/>
    </w:rPr>
  </w:style>
  <w:style w:type="paragraph" w:customStyle="1" w:styleId="xl87">
    <w:name w:val="xl87"/>
    <w:basedOn w:val="Normal"/>
    <w:rsid w:val="00DE2A97"/>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line="240" w:lineRule="auto"/>
      <w:jc w:val="right"/>
    </w:pPr>
    <w:rPr>
      <w:rFonts w:ascii="Book Antiqua" w:eastAsia="Times New Roman" w:hAnsi="Book Antiqua" w:cs="Times New Roman"/>
      <w:b/>
      <w:bCs/>
      <w:color w:val="FFFFFF"/>
      <w:sz w:val="24"/>
      <w:szCs w:val="24"/>
      <w:lang w:eastAsia="es-CR"/>
    </w:rPr>
  </w:style>
  <w:style w:type="paragraph" w:styleId="Revisin">
    <w:name w:val="Revision"/>
    <w:hidden/>
    <w:uiPriority w:val="99"/>
    <w:semiHidden/>
    <w:rsid w:val="002E213B"/>
    <w:pPr>
      <w:spacing w:after="0" w:line="240" w:lineRule="auto"/>
    </w:pPr>
  </w:style>
  <w:style w:type="paragraph" w:customStyle="1" w:styleId="paragraph">
    <w:name w:val="paragraph"/>
    <w:basedOn w:val="Normal"/>
    <w:rsid w:val="00501EF0"/>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normaltextrun">
    <w:name w:val="normaltextrun"/>
    <w:basedOn w:val="Fuentedeprrafopredeter"/>
    <w:rsid w:val="00501EF0"/>
  </w:style>
  <w:style w:type="character" w:customStyle="1" w:styleId="eop">
    <w:name w:val="eop"/>
    <w:basedOn w:val="Fuentedeprrafopredeter"/>
    <w:rsid w:val="00501EF0"/>
  </w:style>
  <w:style w:type="character" w:customStyle="1" w:styleId="scxw64332309">
    <w:name w:val="scxw64332309"/>
    <w:basedOn w:val="Fuentedeprrafopredeter"/>
    <w:rsid w:val="00501EF0"/>
  </w:style>
  <w:style w:type="character" w:customStyle="1" w:styleId="mi">
    <w:name w:val="mi"/>
    <w:basedOn w:val="Fuentedeprrafopredeter"/>
    <w:rsid w:val="00501EF0"/>
  </w:style>
  <w:style w:type="character" w:customStyle="1" w:styleId="mo">
    <w:name w:val="mo"/>
    <w:basedOn w:val="Fuentedeprrafopredeter"/>
    <w:rsid w:val="00501EF0"/>
  </w:style>
  <w:style w:type="character" w:customStyle="1" w:styleId="mjxassistivemathml">
    <w:name w:val="mjx_assistive_mathml"/>
    <w:basedOn w:val="Fuentedeprrafopredeter"/>
    <w:rsid w:val="00501EF0"/>
  </w:style>
  <w:style w:type="paragraph" w:styleId="Textonotapie">
    <w:name w:val="footnote text"/>
    <w:basedOn w:val="Normal"/>
    <w:link w:val="TextonotapieCar"/>
    <w:uiPriority w:val="99"/>
    <w:semiHidden/>
    <w:unhideWhenUsed/>
    <w:rsid w:val="00270DB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70DB5"/>
    <w:rPr>
      <w:sz w:val="20"/>
      <w:szCs w:val="20"/>
    </w:rPr>
  </w:style>
  <w:style w:type="character" w:styleId="Refdenotaalpie">
    <w:name w:val="footnote reference"/>
    <w:basedOn w:val="Fuentedeprrafopredeter"/>
    <w:uiPriority w:val="99"/>
    <w:semiHidden/>
    <w:unhideWhenUsed/>
    <w:rsid w:val="00270DB5"/>
    <w:rPr>
      <w:vertAlign w:val="superscript"/>
    </w:rPr>
  </w:style>
  <w:style w:type="paragraph" w:styleId="Encabezado">
    <w:name w:val="header"/>
    <w:aliases w:val="encabezado"/>
    <w:basedOn w:val="Normal"/>
    <w:link w:val="EncabezadoCar"/>
    <w:uiPriority w:val="99"/>
    <w:unhideWhenUsed/>
    <w:rsid w:val="006F3E2B"/>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qFormat/>
    <w:rsid w:val="006F3E2B"/>
  </w:style>
  <w:style w:type="paragraph" w:styleId="Piedepgina">
    <w:name w:val="footer"/>
    <w:basedOn w:val="Normal"/>
    <w:link w:val="PiedepginaCar"/>
    <w:uiPriority w:val="99"/>
    <w:unhideWhenUsed/>
    <w:rsid w:val="006F3E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3E2B"/>
  </w:style>
  <w:style w:type="paragraph" w:customStyle="1" w:styleId="wordsection1">
    <w:name w:val="wordsection1"/>
    <w:basedOn w:val="Normal"/>
    <w:uiPriority w:val="99"/>
    <w:rsid w:val="001B220E"/>
    <w:pPr>
      <w:spacing w:after="0" w:line="240" w:lineRule="auto"/>
    </w:pPr>
    <w:rPr>
      <w:rFonts w:ascii="Times New Roman" w:hAnsi="Times New Roman" w:cs="Times New Roman"/>
      <w:sz w:val="24"/>
      <w:szCs w:val="24"/>
      <w:lang w:eastAsia="es-CR"/>
    </w:rPr>
  </w:style>
  <w:style w:type="paragraph" w:styleId="NormalWeb">
    <w:name w:val="Normal (Web)"/>
    <w:basedOn w:val="Normal"/>
    <w:uiPriority w:val="99"/>
    <w:unhideWhenUsed/>
    <w:rsid w:val="00B10D2E"/>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TtuloTDC">
    <w:name w:val="TOC Heading"/>
    <w:basedOn w:val="Ttulo1"/>
    <w:next w:val="Normal"/>
    <w:uiPriority w:val="39"/>
    <w:unhideWhenUsed/>
    <w:qFormat/>
    <w:rsid w:val="00447191"/>
    <w:pPr>
      <w:outlineLvl w:val="9"/>
    </w:pPr>
    <w:rPr>
      <w:lang w:eastAsia="es-CR"/>
    </w:rPr>
  </w:style>
  <w:style w:type="paragraph" w:styleId="TDC1">
    <w:name w:val="toc 1"/>
    <w:basedOn w:val="Normal"/>
    <w:next w:val="Normal"/>
    <w:autoRedefine/>
    <w:uiPriority w:val="39"/>
    <w:unhideWhenUsed/>
    <w:rsid w:val="003525B4"/>
    <w:pPr>
      <w:tabs>
        <w:tab w:val="right" w:leader="dot" w:pos="8828"/>
      </w:tabs>
      <w:spacing w:after="100"/>
    </w:pPr>
  </w:style>
  <w:style w:type="paragraph" w:styleId="TDC2">
    <w:name w:val="toc 2"/>
    <w:basedOn w:val="Normal"/>
    <w:next w:val="Normal"/>
    <w:autoRedefine/>
    <w:uiPriority w:val="39"/>
    <w:unhideWhenUsed/>
    <w:rsid w:val="00447191"/>
    <w:pPr>
      <w:spacing w:after="100"/>
      <w:ind w:left="220"/>
    </w:pPr>
  </w:style>
  <w:style w:type="paragraph" w:styleId="TDC3">
    <w:name w:val="toc 3"/>
    <w:basedOn w:val="Normal"/>
    <w:next w:val="Normal"/>
    <w:autoRedefine/>
    <w:uiPriority w:val="39"/>
    <w:unhideWhenUsed/>
    <w:rsid w:val="003C0B99"/>
    <w:pPr>
      <w:tabs>
        <w:tab w:val="left" w:pos="1320"/>
        <w:tab w:val="right" w:leader="dot" w:pos="8828"/>
      </w:tabs>
      <w:spacing w:after="100"/>
      <w:ind w:left="440"/>
    </w:pPr>
  </w:style>
  <w:style w:type="character" w:styleId="Mencinsinresolver">
    <w:name w:val="Unresolved Mention"/>
    <w:basedOn w:val="Fuentedeprrafopredeter"/>
    <w:uiPriority w:val="99"/>
    <w:semiHidden/>
    <w:unhideWhenUsed/>
    <w:rsid w:val="00BE4B80"/>
    <w:rPr>
      <w:color w:val="605E5C"/>
      <w:shd w:val="clear" w:color="auto" w:fill="E1DFDD"/>
    </w:rPr>
  </w:style>
  <w:style w:type="character" w:styleId="Textoennegrita">
    <w:name w:val="Strong"/>
    <w:basedOn w:val="Fuentedeprrafopredeter"/>
    <w:uiPriority w:val="22"/>
    <w:qFormat/>
    <w:rsid w:val="0014708E"/>
    <w:rPr>
      <w:b/>
      <w:bCs/>
    </w:rPr>
  </w:style>
  <w:style w:type="paragraph" w:customStyle="1" w:styleId="xl88">
    <w:name w:val="xl88"/>
    <w:basedOn w:val="Normal"/>
    <w:rsid w:val="0014708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R"/>
    </w:rPr>
  </w:style>
  <w:style w:type="paragraph" w:customStyle="1" w:styleId="xl89">
    <w:name w:val="xl89"/>
    <w:basedOn w:val="Normal"/>
    <w:rsid w:val="0014708E"/>
    <w:pPr>
      <w:spacing w:before="100" w:beforeAutospacing="1" w:after="100" w:afterAutospacing="1" w:line="240" w:lineRule="auto"/>
      <w:textAlignment w:val="center"/>
    </w:pPr>
    <w:rPr>
      <w:rFonts w:ascii="Times New Roman" w:eastAsia="Times New Roman" w:hAnsi="Times New Roman" w:cs="Times New Roman"/>
      <w:sz w:val="24"/>
      <w:szCs w:val="24"/>
      <w:lang w:eastAsia="es-CR"/>
    </w:rPr>
  </w:style>
  <w:style w:type="paragraph" w:customStyle="1" w:styleId="xl90">
    <w:name w:val="xl90"/>
    <w:basedOn w:val="Normal"/>
    <w:rsid w:val="0014708E"/>
    <w:pPr>
      <w:shd w:val="clear" w:color="000000" w:fill="FFFFFF"/>
      <w:spacing w:before="100" w:beforeAutospacing="1" w:after="100" w:afterAutospacing="1" w:line="240" w:lineRule="auto"/>
      <w:textAlignment w:val="center"/>
    </w:pPr>
    <w:rPr>
      <w:rFonts w:ascii="Book Antiqua" w:eastAsia="Times New Roman" w:hAnsi="Book Antiqua" w:cs="Times New Roman"/>
      <w:b/>
      <w:bCs/>
      <w:color w:val="FFFFFF"/>
      <w:sz w:val="18"/>
      <w:szCs w:val="18"/>
      <w:lang w:eastAsia="es-CR"/>
    </w:rPr>
  </w:style>
  <w:style w:type="paragraph" w:customStyle="1" w:styleId="xl91">
    <w:name w:val="xl91"/>
    <w:basedOn w:val="Normal"/>
    <w:rsid w:val="0014708E"/>
    <w:pPr>
      <w:shd w:val="clear" w:color="000000" w:fill="FFFFFF"/>
      <w:spacing w:before="100" w:beforeAutospacing="1" w:after="100" w:afterAutospacing="1" w:line="240" w:lineRule="auto"/>
      <w:jc w:val="center"/>
      <w:textAlignment w:val="center"/>
    </w:pPr>
    <w:rPr>
      <w:rFonts w:ascii="Book Antiqua" w:eastAsia="Times New Roman" w:hAnsi="Book Antiqua" w:cs="Times New Roman"/>
      <w:b/>
      <w:bCs/>
      <w:color w:val="FFFFFF"/>
      <w:sz w:val="18"/>
      <w:szCs w:val="18"/>
      <w:lang w:eastAsia="es-CR"/>
    </w:rPr>
  </w:style>
  <w:style w:type="paragraph" w:customStyle="1" w:styleId="font5">
    <w:name w:val="font5"/>
    <w:basedOn w:val="Normal"/>
    <w:rsid w:val="00292CDC"/>
    <w:pPr>
      <w:spacing w:before="100" w:beforeAutospacing="1" w:after="100" w:afterAutospacing="1" w:line="240" w:lineRule="auto"/>
    </w:pPr>
    <w:rPr>
      <w:rFonts w:ascii="Tahoma" w:eastAsia="Times New Roman" w:hAnsi="Tahoma" w:cs="Tahoma"/>
      <w:color w:val="000000"/>
      <w:sz w:val="18"/>
      <w:szCs w:val="18"/>
      <w:lang w:eastAsia="es-CR"/>
    </w:rPr>
  </w:style>
  <w:style w:type="paragraph" w:customStyle="1" w:styleId="font6">
    <w:name w:val="font6"/>
    <w:basedOn w:val="Normal"/>
    <w:rsid w:val="00292CDC"/>
    <w:pPr>
      <w:spacing w:before="100" w:beforeAutospacing="1" w:after="100" w:afterAutospacing="1" w:line="240" w:lineRule="auto"/>
    </w:pPr>
    <w:rPr>
      <w:rFonts w:ascii="Tahoma" w:eastAsia="Times New Roman" w:hAnsi="Tahoma" w:cs="Tahoma"/>
      <w:b/>
      <w:bCs/>
      <w:color w:val="000000"/>
      <w:sz w:val="18"/>
      <w:szCs w:val="18"/>
      <w:lang w:eastAsia="es-CR"/>
    </w:rPr>
  </w:style>
  <w:style w:type="paragraph" w:customStyle="1" w:styleId="font7">
    <w:name w:val="font7"/>
    <w:basedOn w:val="Normal"/>
    <w:rsid w:val="00292CDC"/>
    <w:pPr>
      <w:spacing w:before="100" w:beforeAutospacing="1" w:after="100" w:afterAutospacing="1" w:line="240" w:lineRule="auto"/>
    </w:pPr>
    <w:rPr>
      <w:rFonts w:ascii="Book Antiqua" w:eastAsia="Times New Roman" w:hAnsi="Book Antiqua" w:cs="Times New Roman"/>
      <w:sz w:val="18"/>
      <w:szCs w:val="18"/>
      <w:lang w:eastAsia="es-CR"/>
    </w:rPr>
  </w:style>
  <w:style w:type="character" w:styleId="Refdecomentario">
    <w:name w:val="annotation reference"/>
    <w:basedOn w:val="Fuentedeprrafopredeter"/>
    <w:uiPriority w:val="99"/>
    <w:semiHidden/>
    <w:unhideWhenUsed/>
    <w:rsid w:val="007923EC"/>
    <w:rPr>
      <w:sz w:val="16"/>
      <w:szCs w:val="16"/>
    </w:rPr>
  </w:style>
  <w:style w:type="paragraph" w:styleId="Textocomentario">
    <w:name w:val="annotation text"/>
    <w:basedOn w:val="Normal"/>
    <w:link w:val="TextocomentarioCar"/>
    <w:uiPriority w:val="99"/>
    <w:unhideWhenUsed/>
    <w:rsid w:val="007923EC"/>
    <w:pPr>
      <w:spacing w:line="240" w:lineRule="auto"/>
    </w:pPr>
    <w:rPr>
      <w:sz w:val="20"/>
      <w:szCs w:val="20"/>
    </w:rPr>
  </w:style>
  <w:style w:type="character" w:customStyle="1" w:styleId="TextocomentarioCar">
    <w:name w:val="Texto comentario Car"/>
    <w:basedOn w:val="Fuentedeprrafopredeter"/>
    <w:link w:val="Textocomentario"/>
    <w:uiPriority w:val="99"/>
    <w:rsid w:val="007923EC"/>
    <w:rPr>
      <w:sz w:val="20"/>
      <w:szCs w:val="20"/>
    </w:rPr>
  </w:style>
  <w:style w:type="paragraph" w:styleId="Asuntodelcomentario">
    <w:name w:val="annotation subject"/>
    <w:basedOn w:val="Textocomentario"/>
    <w:next w:val="Textocomentario"/>
    <w:link w:val="AsuntodelcomentarioCar"/>
    <w:uiPriority w:val="99"/>
    <w:semiHidden/>
    <w:unhideWhenUsed/>
    <w:rsid w:val="007923EC"/>
    <w:rPr>
      <w:b/>
      <w:bCs/>
    </w:rPr>
  </w:style>
  <w:style w:type="character" w:customStyle="1" w:styleId="AsuntodelcomentarioCar">
    <w:name w:val="Asunto del comentario Car"/>
    <w:basedOn w:val="TextocomentarioCar"/>
    <w:link w:val="Asuntodelcomentario"/>
    <w:uiPriority w:val="99"/>
    <w:semiHidden/>
    <w:rsid w:val="007923EC"/>
    <w:rPr>
      <w:b/>
      <w:bCs/>
      <w:sz w:val="20"/>
      <w:szCs w:val="20"/>
    </w:rPr>
  </w:style>
  <w:style w:type="paragraph" w:customStyle="1" w:styleId="Default">
    <w:name w:val="Default"/>
    <w:rsid w:val="007F33B9"/>
    <w:pPr>
      <w:autoSpaceDE w:val="0"/>
      <w:autoSpaceDN w:val="0"/>
      <w:adjustRightInd w:val="0"/>
      <w:spacing w:after="0" w:line="240" w:lineRule="auto"/>
    </w:pPr>
    <w:rPr>
      <w:rFonts w:ascii="Arial" w:hAnsi="Arial" w:cs="Arial"/>
      <w:color w:val="000000"/>
      <w:sz w:val="24"/>
      <w:szCs w:val="24"/>
    </w:rPr>
  </w:style>
  <w:style w:type="table" w:styleId="Tablaconcuadrcula6concolores-nfasis1">
    <w:name w:val="Grid Table 6 Colorful Accent 1"/>
    <w:basedOn w:val="Tablanormal"/>
    <w:uiPriority w:val="51"/>
    <w:rsid w:val="00F15C7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4-nfasis1">
    <w:name w:val="List Table 4 Accent 1"/>
    <w:basedOn w:val="Tablanormal"/>
    <w:uiPriority w:val="49"/>
    <w:rsid w:val="00F15C7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6concolores-nfasis1">
    <w:name w:val="List Table 6 Colorful Accent 1"/>
    <w:basedOn w:val="Tablanormal"/>
    <w:uiPriority w:val="51"/>
    <w:rsid w:val="00F15C72"/>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2-nfasis1">
    <w:name w:val="List Table 2 Accent 1"/>
    <w:basedOn w:val="Tablanormal"/>
    <w:uiPriority w:val="47"/>
    <w:rsid w:val="00F15C72"/>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1">
    <w:name w:val="Grid Table 4 Accent 1"/>
    <w:basedOn w:val="Tablanormal"/>
    <w:uiPriority w:val="49"/>
    <w:rsid w:val="00F15C7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xl65">
    <w:name w:val="xl65"/>
    <w:basedOn w:val="Normal"/>
    <w:rsid w:val="0092460E"/>
    <w:pPr>
      <w:shd w:val="clear" w:color="000000" w:fill="305496"/>
      <w:spacing w:before="100" w:beforeAutospacing="1" w:after="100" w:afterAutospacing="1" w:line="240" w:lineRule="auto"/>
      <w:jc w:val="center"/>
      <w:textAlignment w:val="center"/>
    </w:pPr>
    <w:rPr>
      <w:rFonts w:ascii="Book Antiqua" w:eastAsia="Times New Roman" w:hAnsi="Book Antiqua" w:cs="Times New Roman"/>
      <w:b/>
      <w:bCs/>
      <w:color w:val="FFFFFF"/>
      <w:sz w:val="20"/>
      <w:szCs w:val="20"/>
      <w:lang w:eastAsia="es-CR"/>
    </w:rPr>
  </w:style>
  <w:style w:type="table" w:customStyle="1" w:styleId="Tablaconcuadrcula1">
    <w:name w:val="Tabla con cuadrícula1"/>
    <w:basedOn w:val="Tablanormal"/>
    <w:next w:val="Tablaconcuadrcula"/>
    <w:uiPriority w:val="39"/>
    <w:rsid w:val="00775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75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2">
    <w:name w:val="xl92"/>
    <w:basedOn w:val="Normal"/>
    <w:rsid w:val="00A9723C"/>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color w:val="000000"/>
      <w:sz w:val="16"/>
      <w:szCs w:val="16"/>
      <w:lang w:eastAsia="es-CR"/>
    </w:rPr>
  </w:style>
  <w:style w:type="paragraph" w:customStyle="1" w:styleId="xl93">
    <w:name w:val="xl93"/>
    <w:basedOn w:val="Normal"/>
    <w:rsid w:val="00A9723C"/>
    <w:pPr>
      <w:pBdr>
        <w:top w:val="single" w:sz="8" w:space="0" w:color="auto"/>
        <w:left w:val="single" w:sz="8" w:space="0" w:color="auto"/>
        <w:bottom w:val="single" w:sz="8" w:space="0" w:color="auto"/>
      </w:pBdr>
      <w:shd w:val="clear" w:color="000000" w:fill="FCE4D6"/>
      <w:spacing w:before="100" w:beforeAutospacing="1" w:after="100" w:afterAutospacing="1" w:line="240" w:lineRule="auto"/>
      <w:jc w:val="center"/>
      <w:textAlignment w:val="center"/>
    </w:pPr>
    <w:rPr>
      <w:rFonts w:ascii="Book Antiqua" w:eastAsia="Times New Roman" w:hAnsi="Book Antiqua" w:cs="Times New Roman"/>
      <w:color w:val="000000"/>
      <w:sz w:val="16"/>
      <w:szCs w:val="16"/>
      <w:lang w:eastAsia="es-CR"/>
    </w:rPr>
  </w:style>
  <w:style w:type="paragraph" w:customStyle="1" w:styleId="xl94">
    <w:name w:val="xl94"/>
    <w:basedOn w:val="Normal"/>
    <w:rsid w:val="00A9723C"/>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563C1"/>
      <w:sz w:val="24"/>
      <w:szCs w:val="24"/>
      <w:u w:val="single"/>
      <w:lang w:eastAsia="es-CR"/>
    </w:rPr>
  </w:style>
  <w:style w:type="paragraph" w:customStyle="1" w:styleId="xl95">
    <w:name w:val="xl95"/>
    <w:basedOn w:val="Normal"/>
    <w:rsid w:val="00A9723C"/>
    <w:pPr>
      <w:pBdr>
        <w:top w:val="single" w:sz="8" w:space="0" w:color="auto"/>
        <w:left w:val="single" w:sz="8" w:space="0" w:color="auto"/>
      </w:pBdr>
      <w:shd w:val="clear" w:color="000000" w:fill="F2F2F2"/>
      <w:spacing w:before="100" w:beforeAutospacing="1" w:after="100" w:afterAutospacing="1" w:line="240" w:lineRule="auto"/>
      <w:jc w:val="center"/>
      <w:textAlignment w:val="center"/>
    </w:pPr>
    <w:rPr>
      <w:rFonts w:ascii="Book Antiqua" w:eastAsia="Times New Roman" w:hAnsi="Book Antiqua" w:cs="Times New Roman"/>
      <w:b/>
      <w:bCs/>
      <w:color w:val="1F4E79"/>
      <w:sz w:val="16"/>
      <w:szCs w:val="16"/>
      <w:lang w:eastAsia="es-CR"/>
    </w:rPr>
  </w:style>
  <w:style w:type="paragraph" w:customStyle="1" w:styleId="xl96">
    <w:name w:val="xl96"/>
    <w:basedOn w:val="Normal"/>
    <w:rsid w:val="00A97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color w:val="000000"/>
      <w:sz w:val="16"/>
      <w:szCs w:val="16"/>
      <w:lang w:eastAsia="es-CR"/>
    </w:rPr>
  </w:style>
  <w:style w:type="paragraph" w:customStyle="1" w:styleId="xl97">
    <w:name w:val="xl97"/>
    <w:basedOn w:val="Normal"/>
    <w:rsid w:val="00A9723C"/>
    <w:pPr>
      <w:pBdr>
        <w:right w:val="single" w:sz="8"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color w:val="000000"/>
      <w:sz w:val="16"/>
      <w:szCs w:val="16"/>
      <w:lang w:eastAsia="es-CR"/>
    </w:rPr>
  </w:style>
  <w:style w:type="character" w:customStyle="1" w:styleId="font481">
    <w:name w:val="font481"/>
    <w:basedOn w:val="Fuentedeprrafopredeter"/>
    <w:rsid w:val="00571AEB"/>
    <w:rPr>
      <w:rFonts w:ascii="Calibri" w:hAnsi="Calibri" w:cs="Calibri" w:hint="default"/>
      <w:b/>
      <w:bCs/>
      <w:i w:val="0"/>
      <w:iCs w:val="0"/>
      <w:strike w:val="0"/>
      <w:dstrike w:val="0"/>
      <w:color w:val="FFFFFF"/>
      <w:sz w:val="22"/>
      <w:szCs w:val="22"/>
      <w:u w:val="none"/>
      <w:effect w:val="none"/>
    </w:rPr>
  </w:style>
  <w:style w:type="character" w:customStyle="1" w:styleId="font491">
    <w:name w:val="font491"/>
    <w:basedOn w:val="Fuentedeprrafopredeter"/>
    <w:rsid w:val="00571AEB"/>
    <w:rPr>
      <w:rFonts w:ascii="Book Antiqua" w:hAnsi="Book Antiqua" w:hint="default"/>
      <w:b w:val="0"/>
      <w:bCs w:val="0"/>
      <w:i w:val="0"/>
      <w:iCs w:val="0"/>
      <w:strike w:val="0"/>
      <w:dstrike w:val="0"/>
      <w:color w:val="FFFFFF"/>
      <w:sz w:val="22"/>
      <w:szCs w:val="22"/>
      <w:u w:val="none"/>
      <w:effect w:val="none"/>
    </w:rPr>
  </w:style>
  <w:style w:type="character" w:customStyle="1" w:styleId="Ttulo4Car">
    <w:name w:val="Título 4 Car"/>
    <w:basedOn w:val="Fuentedeprrafopredeter"/>
    <w:link w:val="Ttulo4"/>
    <w:uiPriority w:val="9"/>
    <w:rsid w:val="00460ACD"/>
    <w:rPr>
      <w:rFonts w:asciiTheme="majorHAnsi" w:eastAsiaTheme="majorEastAsia" w:hAnsiTheme="majorHAnsi" w:cstheme="majorBidi"/>
      <w:i/>
      <w:iCs/>
      <w:color w:val="2F5496" w:themeColor="accent1" w:themeShade="BF"/>
    </w:rPr>
  </w:style>
  <w:style w:type="character" w:customStyle="1" w:styleId="PrrafodelistaCar">
    <w:name w:val="Párrafo de lista Car"/>
    <w:aliases w:val="Bullet 1 Car,Use Case List Paragraph Car,Lista vistosa - Énfasis 11 Car,Párrafo de lista Car Car Car Car,3 Car,Informe Car,List Paragraph 1 Car,Numbered List Paragraph Car,Main numbered paragraph Car,Bullets Car,List_Paragraph Car"/>
    <w:basedOn w:val="Fuentedeprrafopredeter"/>
    <w:link w:val="Prrafodelista"/>
    <w:uiPriority w:val="34"/>
    <w:qFormat/>
    <w:locked/>
    <w:rsid w:val="004B7F92"/>
  </w:style>
  <w:style w:type="numbering" w:customStyle="1" w:styleId="Estilo11">
    <w:name w:val="Estilo11"/>
    <w:uiPriority w:val="99"/>
    <w:rsid w:val="000B7A67"/>
  </w:style>
  <w:style w:type="paragraph" w:styleId="Descripcin">
    <w:name w:val="caption"/>
    <w:basedOn w:val="Normal"/>
    <w:next w:val="Normal"/>
    <w:uiPriority w:val="35"/>
    <w:unhideWhenUsed/>
    <w:qFormat/>
    <w:rsid w:val="000B7A67"/>
    <w:pPr>
      <w:spacing w:after="200" w:line="240" w:lineRule="auto"/>
    </w:pPr>
    <w:rPr>
      <w:i/>
      <w:iCs/>
      <w:color w:val="44546A" w:themeColor="text2"/>
      <w:sz w:val="18"/>
      <w:szCs w:val="18"/>
    </w:rPr>
  </w:style>
  <w:style w:type="paragraph" w:customStyle="1" w:styleId="font8">
    <w:name w:val="font8"/>
    <w:basedOn w:val="Normal"/>
    <w:rsid w:val="000B7A67"/>
    <w:pPr>
      <w:spacing w:before="100" w:beforeAutospacing="1" w:after="100" w:afterAutospacing="1" w:line="240" w:lineRule="auto"/>
    </w:pPr>
    <w:rPr>
      <w:rFonts w:ascii="Arial" w:eastAsia="Times New Roman" w:hAnsi="Arial" w:cs="Arial"/>
      <w:color w:val="000000"/>
      <w:sz w:val="20"/>
      <w:szCs w:val="20"/>
      <w:lang w:eastAsia="es-CR"/>
    </w:rPr>
  </w:style>
  <w:style w:type="paragraph" w:customStyle="1" w:styleId="font9">
    <w:name w:val="font9"/>
    <w:basedOn w:val="Normal"/>
    <w:rsid w:val="000B7A67"/>
    <w:pPr>
      <w:spacing w:before="100" w:beforeAutospacing="1" w:after="100" w:afterAutospacing="1" w:line="240" w:lineRule="auto"/>
    </w:pPr>
    <w:rPr>
      <w:rFonts w:ascii="Book Antiqua" w:eastAsia="Times New Roman" w:hAnsi="Book Antiqua" w:cs="Times New Roman"/>
      <w:color w:val="000000"/>
      <w:sz w:val="24"/>
      <w:szCs w:val="24"/>
      <w:lang w:eastAsia="es-CR"/>
    </w:rPr>
  </w:style>
  <w:style w:type="paragraph" w:customStyle="1" w:styleId="font10">
    <w:name w:val="font10"/>
    <w:basedOn w:val="Normal"/>
    <w:rsid w:val="000B7A67"/>
    <w:pPr>
      <w:spacing w:before="100" w:beforeAutospacing="1" w:after="100" w:afterAutospacing="1" w:line="240" w:lineRule="auto"/>
    </w:pPr>
    <w:rPr>
      <w:rFonts w:ascii="Calibri" w:eastAsia="Times New Roman" w:hAnsi="Calibri" w:cs="Calibri"/>
      <w:color w:val="000000"/>
      <w:sz w:val="16"/>
      <w:szCs w:val="16"/>
      <w:lang w:eastAsia="es-CR"/>
    </w:rPr>
  </w:style>
  <w:style w:type="paragraph" w:customStyle="1" w:styleId="font11">
    <w:name w:val="font11"/>
    <w:basedOn w:val="Normal"/>
    <w:rsid w:val="000B7A67"/>
    <w:pPr>
      <w:spacing w:before="100" w:beforeAutospacing="1" w:after="100" w:afterAutospacing="1" w:line="240" w:lineRule="auto"/>
    </w:pPr>
    <w:rPr>
      <w:rFonts w:ascii="Calibri" w:eastAsia="Times New Roman" w:hAnsi="Calibri" w:cs="Calibri"/>
      <w:i/>
      <w:iCs/>
      <w:color w:val="000000"/>
      <w:sz w:val="16"/>
      <w:szCs w:val="16"/>
      <w:lang w:eastAsia="es-CR"/>
    </w:rPr>
  </w:style>
  <w:style w:type="paragraph" w:customStyle="1" w:styleId="font12">
    <w:name w:val="font12"/>
    <w:basedOn w:val="Normal"/>
    <w:rsid w:val="000B7A67"/>
    <w:pPr>
      <w:spacing w:before="100" w:beforeAutospacing="1" w:after="100" w:afterAutospacing="1" w:line="240" w:lineRule="auto"/>
    </w:pPr>
    <w:rPr>
      <w:rFonts w:ascii="Book Antiqua" w:eastAsia="Times New Roman" w:hAnsi="Book Antiqua" w:cs="Times New Roman"/>
      <w:i/>
      <w:iCs/>
      <w:color w:val="000000"/>
      <w:sz w:val="24"/>
      <w:szCs w:val="24"/>
      <w:lang w:eastAsia="es-CR"/>
    </w:rPr>
  </w:style>
  <w:style w:type="character" w:styleId="Textodelmarcadordeposicin">
    <w:name w:val="Placeholder Text"/>
    <w:basedOn w:val="Fuentedeprrafopredeter"/>
    <w:uiPriority w:val="99"/>
    <w:semiHidden/>
    <w:rsid w:val="000B7A67"/>
    <w:rPr>
      <w:color w:val="808080"/>
    </w:rPr>
  </w:style>
  <w:style w:type="numbering" w:customStyle="1" w:styleId="Estilo12">
    <w:name w:val="Estilo12"/>
    <w:uiPriority w:val="99"/>
    <w:rsid w:val="000B7A67"/>
  </w:style>
  <w:style w:type="table" w:styleId="Tablaconcuadrcula4-nfasis5">
    <w:name w:val="Grid Table 4 Accent 5"/>
    <w:basedOn w:val="Tablanormal"/>
    <w:uiPriority w:val="49"/>
    <w:rsid w:val="000B7A6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5oscura-nfasis1">
    <w:name w:val="Grid Table 5 Dark Accent 1"/>
    <w:basedOn w:val="Tablanormal"/>
    <w:uiPriority w:val="50"/>
    <w:rsid w:val="000B7A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ui-provider">
    <w:name w:val="ui-provider"/>
    <w:basedOn w:val="Fuentedeprrafopredeter"/>
    <w:rsid w:val="000B7A67"/>
  </w:style>
  <w:style w:type="paragraph" w:customStyle="1" w:styleId="xl98">
    <w:name w:val="xl98"/>
    <w:basedOn w:val="Normal"/>
    <w:rsid w:val="000B7A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color w:val="000000"/>
      <w:sz w:val="18"/>
      <w:szCs w:val="18"/>
      <w:lang w:eastAsia="es-CR"/>
    </w:rPr>
  </w:style>
  <w:style w:type="paragraph" w:customStyle="1" w:styleId="xl99">
    <w:name w:val="xl99"/>
    <w:basedOn w:val="Normal"/>
    <w:rsid w:val="000B7A67"/>
    <w:pPr>
      <w:spacing w:before="100" w:beforeAutospacing="1" w:after="100" w:afterAutospacing="1" w:line="240" w:lineRule="auto"/>
    </w:pPr>
    <w:rPr>
      <w:rFonts w:ascii="Book Antiqua" w:eastAsia="Times New Roman" w:hAnsi="Book Antiqua" w:cs="Times New Roman"/>
      <w:sz w:val="18"/>
      <w:szCs w:val="18"/>
      <w:lang w:eastAsia="es-CR"/>
    </w:rPr>
  </w:style>
  <w:style w:type="paragraph" w:customStyle="1" w:styleId="xl100">
    <w:name w:val="xl100"/>
    <w:basedOn w:val="Normal"/>
    <w:rsid w:val="000B7A67"/>
    <w:pPr>
      <w:pBdr>
        <w:top w:val="single" w:sz="4" w:space="0" w:color="auto"/>
        <w:left w:val="single" w:sz="4" w:space="0" w:color="auto"/>
        <w:bottom w:val="single" w:sz="4" w:space="0" w:color="auto"/>
        <w:right w:val="single" w:sz="4" w:space="0" w:color="auto"/>
      </w:pBdr>
      <w:shd w:val="clear" w:color="000000" w:fill="1F3864"/>
      <w:spacing w:before="100" w:beforeAutospacing="1" w:after="100" w:afterAutospacing="1" w:line="240" w:lineRule="auto"/>
      <w:jc w:val="center"/>
      <w:textAlignment w:val="center"/>
    </w:pPr>
    <w:rPr>
      <w:rFonts w:ascii="Book Antiqua" w:eastAsia="Times New Roman" w:hAnsi="Book Antiqua" w:cs="Times New Roman"/>
      <w:b/>
      <w:bCs/>
      <w:color w:val="FFFFFF"/>
      <w:sz w:val="18"/>
      <w:szCs w:val="18"/>
      <w:lang w:eastAsia="es-CR"/>
    </w:rPr>
  </w:style>
  <w:style w:type="paragraph" w:customStyle="1" w:styleId="xl101">
    <w:name w:val="xl101"/>
    <w:basedOn w:val="Normal"/>
    <w:rsid w:val="000B7A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color w:val="000000"/>
      <w:sz w:val="18"/>
      <w:szCs w:val="18"/>
      <w:lang w:eastAsia="es-CR"/>
    </w:rPr>
  </w:style>
  <w:style w:type="paragraph" w:customStyle="1" w:styleId="xl102">
    <w:name w:val="xl102"/>
    <w:basedOn w:val="Normal"/>
    <w:rsid w:val="000B7A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103">
    <w:name w:val="xl103"/>
    <w:basedOn w:val="Normal"/>
    <w:rsid w:val="000B7A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104">
    <w:name w:val="xl104"/>
    <w:basedOn w:val="Normal"/>
    <w:rsid w:val="000B7A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color w:val="000000"/>
      <w:sz w:val="18"/>
      <w:szCs w:val="18"/>
      <w:lang w:eastAsia="es-CR"/>
    </w:rPr>
  </w:style>
  <w:style w:type="paragraph" w:customStyle="1" w:styleId="xl105">
    <w:name w:val="xl105"/>
    <w:basedOn w:val="Normal"/>
    <w:rsid w:val="000B7A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color w:val="000000"/>
      <w:sz w:val="18"/>
      <w:szCs w:val="18"/>
      <w:lang w:eastAsia="es-CR"/>
    </w:rPr>
  </w:style>
  <w:style w:type="paragraph" w:customStyle="1" w:styleId="xl106">
    <w:name w:val="xl106"/>
    <w:basedOn w:val="Normal"/>
    <w:rsid w:val="000B7A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107">
    <w:name w:val="xl107"/>
    <w:basedOn w:val="Normal"/>
    <w:rsid w:val="000B7A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color w:val="000000"/>
      <w:sz w:val="18"/>
      <w:szCs w:val="18"/>
      <w:lang w:eastAsia="es-CR"/>
    </w:rPr>
  </w:style>
  <w:style w:type="paragraph" w:styleId="Textonotaalfinal">
    <w:name w:val="endnote text"/>
    <w:basedOn w:val="Normal"/>
    <w:link w:val="TextonotaalfinalCar"/>
    <w:uiPriority w:val="99"/>
    <w:semiHidden/>
    <w:unhideWhenUsed/>
    <w:rsid w:val="000B7A6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B7A67"/>
    <w:rPr>
      <w:sz w:val="20"/>
      <w:szCs w:val="20"/>
    </w:rPr>
  </w:style>
  <w:style w:type="character" w:styleId="Refdenotaalfinal">
    <w:name w:val="endnote reference"/>
    <w:basedOn w:val="Fuentedeprrafopredeter"/>
    <w:uiPriority w:val="99"/>
    <w:semiHidden/>
    <w:unhideWhenUsed/>
    <w:rsid w:val="000B7A67"/>
    <w:rPr>
      <w:vertAlign w:val="superscript"/>
    </w:rPr>
  </w:style>
  <w:style w:type="paragraph" w:styleId="TDC4">
    <w:name w:val="toc 4"/>
    <w:basedOn w:val="Normal"/>
    <w:next w:val="Normal"/>
    <w:autoRedefine/>
    <w:uiPriority w:val="39"/>
    <w:unhideWhenUsed/>
    <w:rsid w:val="000B7A67"/>
    <w:pPr>
      <w:spacing w:after="0"/>
      <w:ind w:left="660"/>
    </w:pPr>
    <w:rPr>
      <w:rFonts w:cstheme="minorHAnsi"/>
      <w:sz w:val="18"/>
      <w:szCs w:val="18"/>
    </w:rPr>
  </w:style>
  <w:style w:type="paragraph" w:styleId="TDC5">
    <w:name w:val="toc 5"/>
    <w:basedOn w:val="Normal"/>
    <w:next w:val="Normal"/>
    <w:autoRedefine/>
    <w:uiPriority w:val="39"/>
    <w:unhideWhenUsed/>
    <w:rsid w:val="000B7A67"/>
    <w:pPr>
      <w:spacing w:after="0"/>
      <w:ind w:left="880"/>
    </w:pPr>
    <w:rPr>
      <w:rFonts w:cstheme="minorHAnsi"/>
      <w:sz w:val="18"/>
      <w:szCs w:val="18"/>
    </w:rPr>
  </w:style>
  <w:style w:type="paragraph" w:styleId="TDC6">
    <w:name w:val="toc 6"/>
    <w:basedOn w:val="Normal"/>
    <w:next w:val="Normal"/>
    <w:autoRedefine/>
    <w:uiPriority w:val="39"/>
    <w:unhideWhenUsed/>
    <w:rsid w:val="000B7A67"/>
    <w:pPr>
      <w:spacing w:after="0"/>
      <w:ind w:left="1100"/>
    </w:pPr>
    <w:rPr>
      <w:rFonts w:cstheme="minorHAnsi"/>
      <w:sz w:val="18"/>
      <w:szCs w:val="18"/>
    </w:rPr>
  </w:style>
  <w:style w:type="paragraph" w:styleId="TDC7">
    <w:name w:val="toc 7"/>
    <w:basedOn w:val="Normal"/>
    <w:next w:val="Normal"/>
    <w:autoRedefine/>
    <w:uiPriority w:val="39"/>
    <w:unhideWhenUsed/>
    <w:rsid w:val="000B7A67"/>
    <w:pPr>
      <w:spacing w:after="0"/>
      <w:ind w:left="1320"/>
    </w:pPr>
    <w:rPr>
      <w:rFonts w:cstheme="minorHAnsi"/>
      <w:sz w:val="18"/>
      <w:szCs w:val="18"/>
    </w:rPr>
  </w:style>
  <w:style w:type="paragraph" w:styleId="TDC8">
    <w:name w:val="toc 8"/>
    <w:basedOn w:val="Normal"/>
    <w:next w:val="Normal"/>
    <w:autoRedefine/>
    <w:uiPriority w:val="39"/>
    <w:unhideWhenUsed/>
    <w:rsid w:val="000B7A67"/>
    <w:pPr>
      <w:spacing w:after="0"/>
      <w:ind w:left="1540"/>
    </w:pPr>
    <w:rPr>
      <w:rFonts w:cstheme="minorHAnsi"/>
      <w:sz w:val="18"/>
      <w:szCs w:val="18"/>
    </w:rPr>
  </w:style>
  <w:style w:type="paragraph" w:styleId="TDC9">
    <w:name w:val="toc 9"/>
    <w:basedOn w:val="Normal"/>
    <w:next w:val="Normal"/>
    <w:autoRedefine/>
    <w:uiPriority w:val="39"/>
    <w:unhideWhenUsed/>
    <w:rsid w:val="000B7A67"/>
    <w:pPr>
      <w:spacing w:after="0"/>
      <w:ind w:left="1760"/>
    </w:pPr>
    <w:rPr>
      <w:rFonts w:cstheme="minorHAnsi"/>
      <w:sz w:val="18"/>
      <w:szCs w:val="18"/>
    </w:rPr>
  </w:style>
  <w:style w:type="paragraph" w:styleId="Tabladeilustraciones">
    <w:name w:val="table of figures"/>
    <w:basedOn w:val="Normal"/>
    <w:next w:val="Normal"/>
    <w:uiPriority w:val="99"/>
    <w:unhideWhenUsed/>
    <w:rsid w:val="000B7A67"/>
    <w:pPr>
      <w:spacing w:after="0"/>
    </w:pPr>
  </w:style>
  <w:style w:type="paragraph" w:customStyle="1" w:styleId="xmsonormal">
    <w:name w:val="x_msonormal"/>
    <w:basedOn w:val="Normal"/>
    <w:rsid w:val="000B7A67"/>
    <w:pPr>
      <w:spacing w:after="0" w:line="240" w:lineRule="auto"/>
    </w:pPr>
    <w:rPr>
      <w:rFonts w:ascii="Calibri" w:hAnsi="Calibri" w:cs="Calibri"/>
      <w:lang w:eastAsia="es-CR"/>
    </w:rPr>
  </w:style>
  <w:style w:type="character" w:customStyle="1" w:styleId="textrun">
    <w:name w:val="textrun"/>
    <w:basedOn w:val="Fuentedeprrafopredeter"/>
    <w:rsid w:val="00A9168A"/>
  </w:style>
  <w:style w:type="character" w:customStyle="1" w:styleId="fieldrange">
    <w:name w:val="fieldrange"/>
    <w:basedOn w:val="Fuentedeprrafopredeter"/>
    <w:rsid w:val="00A9168A"/>
  </w:style>
  <w:style w:type="character" w:customStyle="1" w:styleId="wacimagecontainer">
    <w:name w:val="wacimagecontainer"/>
    <w:basedOn w:val="Fuentedeprrafopredeter"/>
    <w:rsid w:val="00A9168A"/>
  </w:style>
  <w:style w:type="paragraph" w:customStyle="1" w:styleId="outlineelement">
    <w:name w:val="outlineelement"/>
    <w:basedOn w:val="Normal"/>
    <w:rsid w:val="00A9168A"/>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tabrun">
    <w:name w:val="tabrun"/>
    <w:basedOn w:val="Fuentedeprrafopredeter"/>
    <w:rsid w:val="00A9168A"/>
  </w:style>
  <w:style w:type="character" w:customStyle="1" w:styleId="tabchar">
    <w:name w:val="tabchar"/>
    <w:basedOn w:val="Fuentedeprrafopredeter"/>
    <w:rsid w:val="00A9168A"/>
  </w:style>
  <w:style w:type="character" w:customStyle="1" w:styleId="tableaderchars">
    <w:name w:val="tableaderchars"/>
    <w:basedOn w:val="Fuentedeprrafopredeter"/>
    <w:rsid w:val="00A9168A"/>
  </w:style>
  <w:style w:type="character" w:customStyle="1" w:styleId="wacimageplaceholder">
    <w:name w:val="wacimageplaceholder"/>
    <w:basedOn w:val="Fuentedeprrafopredeter"/>
    <w:rsid w:val="00A9168A"/>
  </w:style>
  <w:style w:type="character" w:customStyle="1" w:styleId="wacprogress">
    <w:name w:val="wacprogress"/>
    <w:basedOn w:val="Fuentedeprrafopredeter"/>
    <w:rsid w:val="00A9168A"/>
  </w:style>
  <w:style w:type="character" w:customStyle="1" w:styleId="wacimageplaceholderfiller">
    <w:name w:val="wacimageplaceholderfiller"/>
    <w:basedOn w:val="Fuentedeprrafopredeter"/>
    <w:rsid w:val="00A9168A"/>
  </w:style>
  <w:style w:type="character" w:customStyle="1" w:styleId="linebreakblob">
    <w:name w:val="linebreakblob"/>
    <w:basedOn w:val="Fuentedeprrafopredeter"/>
    <w:rsid w:val="00A9168A"/>
  </w:style>
  <w:style w:type="character" w:customStyle="1" w:styleId="scxw101201207">
    <w:name w:val="scxw101201207"/>
    <w:basedOn w:val="Fuentedeprrafopredeter"/>
    <w:rsid w:val="00A9168A"/>
  </w:style>
  <w:style w:type="character" w:customStyle="1" w:styleId="superscript">
    <w:name w:val="superscript"/>
    <w:basedOn w:val="Fuentedeprrafopredeter"/>
    <w:rsid w:val="00A9168A"/>
  </w:style>
  <w:style w:type="character" w:customStyle="1" w:styleId="scxw38450832">
    <w:name w:val="scxw38450832"/>
    <w:basedOn w:val="Fuentedeprrafopredeter"/>
    <w:rsid w:val="00427AC7"/>
  </w:style>
  <w:style w:type="character" w:customStyle="1" w:styleId="scxw252227210">
    <w:name w:val="scxw252227210"/>
    <w:basedOn w:val="Fuentedeprrafopredeter"/>
    <w:rsid w:val="005138FF"/>
  </w:style>
  <w:style w:type="character" w:customStyle="1" w:styleId="scxw141832576">
    <w:name w:val="scxw141832576"/>
    <w:basedOn w:val="Fuentedeprrafopredeter"/>
    <w:rsid w:val="00F262A5"/>
  </w:style>
  <w:style w:type="character" w:customStyle="1" w:styleId="scxw185937555">
    <w:name w:val="scxw185937555"/>
    <w:basedOn w:val="Fuentedeprrafopredeter"/>
    <w:rsid w:val="001F0E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0436">
      <w:bodyDiv w:val="1"/>
      <w:marLeft w:val="0"/>
      <w:marRight w:val="0"/>
      <w:marTop w:val="0"/>
      <w:marBottom w:val="0"/>
      <w:divBdr>
        <w:top w:val="none" w:sz="0" w:space="0" w:color="auto"/>
        <w:left w:val="none" w:sz="0" w:space="0" w:color="auto"/>
        <w:bottom w:val="none" w:sz="0" w:space="0" w:color="auto"/>
        <w:right w:val="none" w:sz="0" w:space="0" w:color="auto"/>
      </w:divBdr>
    </w:div>
    <w:div w:id="22902257">
      <w:bodyDiv w:val="1"/>
      <w:marLeft w:val="0"/>
      <w:marRight w:val="0"/>
      <w:marTop w:val="0"/>
      <w:marBottom w:val="0"/>
      <w:divBdr>
        <w:top w:val="none" w:sz="0" w:space="0" w:color="auto"/>
        <w:left w:val="none" w:sz="0" w:space="0" w:color="auto"/>
        <w:bottom w:val="none" w:sz="0" w:space="0" w:color="auto"/>
        <w:right w:val="none" w:sz="0" w:space="0" w:color="auto"/>
      </w:divBdr>
    </w:div>
    <w:div w:id="38017207">
      <w:bodyDiv w:val="1"/>
      <w:marLeft w:val="0"/>
      <w:marRight w:val="0"/>
      <w:marTop w:val="0"/>
      <w:marBottom w:val="0"/>
      <w:divBdr>
        <w:top w:val="none" w:sz="0" w:space="0" w:color="auto"/>
        <w:left w:val="none" w:sz="0" w:space="0" w:color="auto"/>
        <w:bottom w:val="none" w:sz="0" w:space="0" w:color="auto"/>
        <w:right w:val="none" w:sz="0" w:space="0" w:color="auto"/>
      </w:divBdr>
    </w:div>
    <w:div w:id="42683767">
      <w:bodyDiv w:val="1"/>
      <w:marLeft w:val="0"/>
      <w:marRight w:val="0"/>
      <w:marTop w:val="0"/>
      <w:marBottom w:val="0"/>
      <w:divBdr>
        <w:top w:val="none" w:sz="0" w:space="0" w:color="auto"/>
        <w:left w:val="none" w:sz="0" w:space="0" w:color="auto"/>
        <w:bottom w:val="none" w:sz="0" w:space="0" w:color="auto"/>
        <w:right w:val="none" w:sz="0" w:space="0" w:color="auto"/>
      </w:divBdr>
    </w:div>
    <w:div w:id="48654604">
      <w:bodyDiv w:val="1"/>
      <w:marLeft w:val="0"/>
      <w:marRight w:val="0"/>
      <w:marTop w:val="0"/>
      <w:marBottom w:val="0"/>
      <w:divBdr>
        <w:top w:val="none" w:sz="0" w:space="0" w:color="auto"/>
        <w:left w:val="none" w:sz="0" w:space="0" w:color="auto"/>
        <w:bottom w:val="none" w:sz="0" w:space="0" w:color="auto"/>
        <w:right w:val="none" w:sz="0" w:space="0" w:color="auto"/>
      </w:divBdr>
    </w:div>
    <w:div w:id="75516146">
      <w:bodyDiv w:val="1"/>
      <w:marLeft w:val="0"/>
      <w:marRight w:val="0"/>
      <w:marTop w:val="0"/>
      <w:marBottom w:val="0"/>
      <w:divBdr>
        <w:top w:val="none" w:sz="0" w:space="0" w:color="auto"/>
        <w:left w:val="none" w:sz="0" w:space="0" w:color="auto"/>
        <w:bottom w:val="none" w:sz="0" w:space="0" w:color="auto"/>
        <w:right w:val="none" w:sz="0" w:space="0" w:color="auto"/>
      </w:divBdr>
    </w:div>
    <w:div w:id="75827740">
      <w:bodyDiv w:val="1"/>
      <w:marLeft w:val="0"/>
      <w:marRight w:val="0"/>
      <w:marTop w:val="0"/>
      <w:marBottom w:val="0"/>
      <w:divBdr>
        <w:top w:val="none" w:sz="0" w:space="0" w:color="auto"/>
        <w:left w:val="none" w:sz="0" w:space="0" w:color="auto"/>
        <w:bottom w:val="none" w:sz="0" w:space="0" w:color="auto"/>
        <w:right w:val="none" w:sz="0" w:space="0" w:color="auto"/>
      </w:divBdr>
    </w:div>
    <w:div w:id="79521677">
      <w:bodyDiv w:val="1"/>
      <w:marLeft w:val="0"/>
      <w:marRight w:val="0"/>
      <w:marTop w:val="0"/>
      <w:marBottom w:val="0"/>
      <w:divBdr>
        <w:top w:val="none" w:sz="0" w:space="0" w:color="auto"/>
        <w:left w:val="none" w:sz="0" w:space="0" w:color="auto"/>
        <w:bottom w:val="none" w:sz="0" w:space="0" w:color="auto"/>
        <w:right w:val="none" w:sz="0" w:space="0" w:color="auto"/>
      </w:divBdr>
    </w:div>
    <w:div w:id="85081547">
      <w:bodyDiv w:val="1"/>
      <w:marLeft w:val="0"/>
      <w:marRight w:val="0"/>
      <w:marTop w:val="0"/>
      <w:marBottom w:val="0"/>
      <w:divBdr>
        <w:top w:val="none" w:sz="0" w:space="0" w:color="auto"/>
        <w:left w:val="none" w:sz="0" w:space="0" w:color="auto"/>
        <w:bottom w:val="none" w:sz="0" w:space="0" w:color="auto"/>
        <w:right w:val="none" w:sz="0" w:space="0" w:color="auto"/>
      </w:divBdr>
      <w:divsChild>
        <w:div w:id="893201695">
          <w:marLeft w:val="0"/>
          <w:marRight w:val="0"/>
          <w:marTop w:val="0"/>
          <w:marBottom w:val="0"/>
          <w:divBdr>
            <w:top w:val="none" w:sz="0" w:space="0" w:color="auto"/>
            <w:left w:val="none" w:sz="0" w:space="0" w:color="auto"/>
            <w:bottom w:val="none" w:sz="0" w:space="0" w:color="auto"/>
            <w:right w:val="none" w:sz="0" w:space="0" w:color="auto"/>
          </w:divBdr>
        </w:div>
        <w:div w:id="946812982">
          <w:marLeft w:val="0"/>
          <w:marRight w:val="0"/>
          <w:marTop w:val="0"/>
          <w:marBottom w:val="0"/>
          <w:divBdr>
            <w:top w:val="none" w:sz="0" w:space="0" w:color="auto"/>
            <w:left w:val="none" w:sz="0" w:space="0" w:color="auto"/>
            <w:bottom w:val="none" w:sz="0" w:space="0" w:color="auto"/>
            <w:right w:val="none" w:sz="0" w:space="0" w:color="auto"/>
          </w:divBdr>
          <w:divsChild>
            <w:div w:id="722946001">
              <w:marLeft w:val="0"/>
              <w:marRight w:val="0"/>
              <w:marTop w:val="30"/>
              <w:marBottom w:val="30"/>
              <w:divBdr>
                <w:top w:val="none" w:sz="0" w:space="0" w:color="auto"/>
                <w:left w:val="none" w:sz="0" w:space="0" w:color="auto"/>
                <w:bottom w:val="none" w:sz="0" w:space="0" w:color="auto"/>
                <w:right w:val="none" w:sz="0" w:space="0" w:color="auto"/>
              </w:divBdr>
              <w:divsChild>
                <w:div w:id="11693545">
                  <w:marLeft w:val="0"/>
                  <w:marRight w:val="0"/>
                  <w:marTop w:val="0"/>
                  <w:marBottom w:val="0"/>
                  <w:divBdr>
                    <w:top w:val="none" w:sz="0" w:space="0" w:color="auto"/>
                    <w:left w:val="none" w:sz="0" w:space="0" w:color="auto"/>
                    <w:bottom w:val="none" w:sz="0" w:space="0" w:color="auto"/>
                    <w:right w:val="none" w:sz="0" w:space="0" w:color="auto"/>
                  </w:divBdr>
                  <w:divsChild>
                    <w:div w:id="1958683951">
                      <w:marLeft w:val="0"/>
                      <w:marRight w:val="0"/>
                      <w:marTop w:val="0"/>
                      <w:marBottom w:val="0"/>
                      <w:divBdr>
                        <w:top w:val="none" w:sz="0" w:space="0" w:color="auto"/>
                        <w:left w:val="none" w:sz="0" w:space="0" w:color="auto"/>
                        <w:bottom w:val="none" w:sz="0" w:space="0" w:color="auto"/>
                        <w:right w:val="none" w:sz="0" w:space="0" w:color="auto"/>
                      </w:divBdr>
                    </w:div>
                  </w:divsChild>
                </w:div>
                <w:div w:id="234439438">
                  <w:marLeft w:val="0"/>
                  <w:marRight w:val="0"/>
                  <w:marTop w:val="0"/>
                  <w:marBottom w:val="0"/>
                  <w:divBdr>
                    <w:top w:val="none" w:sz="0" w:space="0" w:color="auto"/>
                    <w:left w:val="none" w:sz="0" w:space="0" w:color="auto"/>
                    <w:bottom w:val="none" w:sz="0" w:space="0" w:color="auto"/>
                    <w:right w:val="none" w:sz="0" w:space="0" w:color="auto"/>
                  </w:divBdr>
                  <w:divsChild>
                    <w:div w:id="2042582826">
                      <w:marLeft w:val="0"/>
                      <w:marRight w:val="0"/>
                      <w:marTop w:val="0"/>
                      <w:marBottom w:val="0"/>
                      <w:divBdr>
                        <w:top w:val="none" w:sz="0" w:space="0" w:color="auto"/>
                        <w:left w:val="none" w:sz="0" w:space="0" w:color="auto"/>
                        <w:bottom w:val="none" w:sz="0" w:space="0" w:color="auto"/>
                        <w:right w:val="none" w:sz="0" w:space="0" w:color="auto"/>
                      </w:divBdr>
                    </w:div>
                  </w:divsChild>
                </w:div>
                <w:div w:id="262342515">
                  <w:marLeft w:val="0"/>
                  <w:marRight w:val="0"/>
                  <w:marTop w:val="0"/>
                  <w:marBottom w:val="0"/>
                  <w:divBdr>
                    <w:top w:val="none" w:sz="0" w:space="0" w:color="auto"/>
                    <w:left w:val="none" w:sz="0" w:space="0" w:color="auto"/>
                    <w:bottom w:val="none" w:sz="0" w:space="0" w:color="auto"/>
                    <w:right w:val="none" w:sz="0" w:space="0" w:color="auto"/>
                  </w:divBdr>
                  <w:divsChild>
                    <w:div w:id="1240823937">
                      <w:marLeft w:val="0"/>
                      <w:marRight w:val="0"/>
                      <w:marTop w:val="0"/>
                      <w:marBottom w:val="0"/>
                      <w:divBdr>
                        <w:top w:val="none" w:sz="0" w:space="0" w:color="auto"/>
                        <w:left w:val="none" w:sz="0" w:space="0" w:color="auto"/>
                        <w:bottom w:val="none" w:sz="0" w:space="0" w:color="auto"/>
                        <w:right w:val="none" w:sz="0" w:space="0" w:color="auto"/>
                      </w:divBdr>
                    </w:div>
                  </w:divsChild>
                </w:div>
                <w:div w:id="293218687">
                  <w:marLeft w:val="0"/>
                  <w:marRight w:val="0"/>
                  <w:marTop w:val="0"/>
                  <w:marBottom w:val="0"/>
                  <w:divBdr>
                    <w:top w:val="none" w:sz="0" w:space="0" w:color="auto"/>
                    <w:left w:val="none" w:sz="0" w:space="0" w:color="auto"/>
                    <w:bottom w:val="none" w:sz="0" w:space="0" w:color="auto"/>
                    <w:right w:val="none" w:sz="0" w:space="0" w:color="auto"/>
                  </w:divBdr>
                  <w:divsChild>
                    <w:div w:id="541745536">
                      <w:marLeft w:val="0"/>
                      <w:marRight w:val="0"/>
                      <w:marTop w:val="0"/>
                      <w:marBottom w:val="0"/>
                      <w:divBdr>
                        <w:top w:val="none" w:sz="0" w:space="0" w:color="auto"/>
                        <w:left w:val="none" w:sz="0" w:space="0" w:color="auto"/>
                        <w:bottom w:val="none" w:sz="0" w:space="0" w:color="auto"/>
                        <w:right w:val="none" w:sz="0" w:space="0" w:color="auto"/>
                      </w:divBdr>
                    </w:div>
                  </w:divsChild>
                </w:div>
                <w:div w:id="411197753">
                  <w:marLeft w:val="0"/>
                  <w:marRight w:val="0"/>
                  <w:marTop w:val="0"/>
                  <w:marBottom w:val="0"/>
                  <w:divBdr>
                    <w:top w:val="none" w:sz="0" w:space="0" w:color="auto"/>
                    <w:left w:val="none" w:sz="0" w:space="0" w:color="auto"/>
                    <w:bottom w:val="none" w:sz="0" w:space="0" w:color="auto"/>
                    <w:right w:val="none" w:sz="0" w:space="0" w:color="auto"/>
                  </w:divBdr>
                  <w:divsChild>
                    <w:div w:id="875040866">
                      <w:marLeft w:val="0"/>
                      <w:marRight w:val="0"/>
                      <w:marTop w:val="0"/>
                      <w:marBottom w:val="0"/>
                      <w:divBdr>
                        <w:top w:val="none" w:sz="0" w:space="0" w:color="auto"/>
                        <w:left w:val="none" w:sz="0" w:space="0" w:color="auto"/>
                        <w:bottom w:val="none" w:sz="0" w:space="0" w:color="auto"/>
                        <w:right w:val="none" w:sz="0" w:space="0" w:color="auto"/>
                      </w:divBdr>
                    </w:div>
                  </w:divsChild>
                </w:div>
                <w:div w:id="488785427">
                  <w:marLeft w:val="0"/>
                  <w:marRight w:val="0"/>
                  <w:marTop w:val="0"/>
                  <w:marBottom w:val="0"/>
                  <w:divBdr>
                    <w:top w:val="none" w:sz="0" w:space="0" w:color="auto"/>
                    <w:left w:val="none" w:sz="0" w:space="0" w:color="auto"/>
                    <w:bottom w:val="none" w:sz="0" w:space="0" w:color="auto"/>
                    <w:right w:val="none" w:sz="0" w:space="0" w:color="auto"/>
                  </w:divBdr>
                  <w:divsChild>
                    <w:div w:id="1092317723">
                      <w:marLeft w:val="0"/>
                      <w:marRight w:val="0"/>
                      <w:marTop w:val="0"/>
                      <w:marBottom w:val="0"/>
                      <w:divBdr>
                        <w:top w:val="none" w:sz="0" w:space="0" w:color="auto"/>
                        <w:left w:val="none" w:sz="0" w:space="0" w:color="auto"/>
                        <w:bottom w:val="none" w:sz="0" w:space="0" w:color="auto"/>
                        <w:right w:val="none" w:sz="0" w:space="0" w:color="auto"/>
                      </w:divBdr>
                    </w:div>
                  </w:divsChild>
                </w:div>
                <w:div w:id="865020112">
                  <w:marLeft w:val="0"/>
                  <w:marRight w:val="0"/>
                  <w:marTop w:val="0"/>
                  <w:marBottom w:val="0"/>
                  <w:divBdr>
                    <w:top w:val="none" w:sz="0" w:space="0" w:color="auto"/>
                    <w:left w:val="none" w:sz="0" w:space="0" w:color="auto"/>
                    <w:bottom w:val="none" w:sz="0" w:space="0" w:color="auto"/>
                    <w:right w:val="none" w:sz="0" w:space="0" w:color="auto"/>
                  </w:divBdr>
                  <w:divsChild>
                    <w:div w:id="1629122986">
                      <w:marLeft w:val="0"/>
                      <w:marRight w:val="0"/>
                      <w:marTop w:val="0"/>
                      <w:marBottom w:val="0"/>
                      <w:divBdr>
                        <w:top w:val="none" w:sz="0" w:space="0" w:color="auto"/>
                        <w:left w:val="none" w:sz="0" w:space="0" w:color="auto"/>
                        <w:bottom w:val="none" w:sz="0" w:space="0" w:color="auto"/>
                        <w:right w:val="none" w:sz="0" w:space="0" w:color="auto"/>
                      </w:divBdr>
                    </w:div>
                  </w:divsChild>
                </w:div>
                <w:div w:id="1177386161">
                  <w:marLeft w:val="0"/>
                  <w:marRight w:val="0"/>
                  <w:marTop w:val="0"/>
                  <w:marBottom w:val="0"/>
                  <w:divBdr>
                    <w:top w:val="none" w:sz="0" w:space="0" w:color="auto"/>
                    <w:left w:val="none" w:sz="0" w:space="0" w:color="auto"/>
                    <w:bottom w:val="none" w:sz="0" w:space="0" w:color="auto"/>
                    <w:right w:val="none" w:sz="0" w:space="0" w:color="auto"/>
                  </w:divBdr>
                  <w:divsChild>
                    <w:div w:id="679430765">
                      <w:marLeft w:val="0"/>
                      <w:marRight w:val="0"/>
                      <w:marTop w:val="0"/>
                      <w:marBottom w:val="0"/>
                      <w:divBdr>
                        <w:top w:val="none" w:sz="0" w:space="0" w:color="auto"/>
                        <w:left w:val="none" w:sz="0" w:space="0" w:color="auto"/>
                        <w:bottom w:val="none" w:sz="0" w:space="0" w:color="auto"/>
                        <w:right w:val="none" w:sz="0" w:space="0" w:color="auto"/>
                      </w:divBdr>
                    </w:div>
                  </w:divsChild>
                </w:div>
                <w:div w:id="1310209266">
                  <w:marLeft w:val="0"/>
                  <w:marRight w:val="0"/>
                  <w:marTop w:val="0"/>
                  <w:marBottom w:val="0"/>
                  <w:divBdr>
                    <w:top w:val="none" w:sz="0" w:space="0" w:color="auto"/>
                    <w:left w:val="none" w:sz="0" w:space="0" w:color="auto"/>
                    <w:bottom w:val="none" w:sz="0" w:space="0" w:color="auto"/>
                    <w:right w:val="none" w:sz="0" w:space="0" w:color="auto"/>
                  </w:divBdr>
                  <w:divsChild>
                    <w:div w:id="2052225144">
                      <w:marLeft w:val="0"/>
                      <w:marRight w:val="0"/>
                      <w:marTop w:val="0"/>
                      <w:marBottom w:val="0"/>
                      <w:divBdr>
                        <w:top w:val="none" w:sz="0" w:space="0" w:color="auto"/>
                        <w:left w:val="none" w:sz="0" w:space="0" w:color="auto"/>
                        <w:bottom w:val="none" w:sz="0" w:space="0" w:color="auto"/>
                        <w:right w:val="none" w:sz="0" w:space="0" w:color="auto"/>
                      </w:divBdr>
                    </w:div>
                  </w:divsChild>
                </w:div>
                <w:div w:id="1402142968">
                  <w:marLeft w:val="0"/>
                  <w:marRight w:val="0"/>
                  <w:marTop w:val="0"/>
                  <w:marBottom w:val="0"/>
                  <w:divBdr>
                    <w:top w:val="none" w:sz="0" w:space="0" w:color="auto"/>
                    <w:left w:val="none" w:sz="0" w:space="0" w:color="auto"/>
                    <w:bottom w:val="none" w:sz="0" w:space="0" w:color="auto"/>
                    <w:right w:val="none" w:sz="0" w:space="0" w:color="auto"/>
                  </w:divBdr>
                  <w:divsChild>
                    <w:div w:id="1125461774">
                      <w:marLeft w:val="0"/>
                      <w:marRight w:val="0"/>
                      <w:marTop w:val="0"/>
                      <w:marBottom w:val="0"/>
                      <w:divBdr>
                        <w:top w:val="none" w:sz="0" w:space="0" w:color="auto"/>
                        <w:left w:val="none" w:sz="0" w:space="0" w:color="auto"/>
                        <w:bottom w:val="none" w:sz="0" w:space="0" w:color="auto"/>
                        <w:right w:val="none" w:sz="0" w:space="0" w:color="auto"/>
                      </w:divBdr>
                    </w:div>
                  </w:divsChild>
                </w:div>
                <w:div w:id="1637759340">
                  <w:marLeft w:val="0"/>
                  <w:marRight w:val="0"/>
                  <w:marTop w:val="0"/>
                  <w:marBottom w:val="0"/>
                  <w:divBdr>
                    <w:top w:val="none" w:sz="0" w:space="0" w:color="auto"/>
                    <w:left w:val="none" w:sz="0" w:space="0" w:color="auto"/>
                    <w:bottom w:val="none" w:sz="0" w:space="0" w:color="auto"/>
                    <w:right w:val="none" w:sz="0" w:space="0" w:color="auto"/>
                  </w:divBdr>
                  <w:divsChild>
                    <w:div w:id="1964266581">
                      <w:marLeft w:val="0"/>
                      <w:marRight w:val="0"/>
                      <w:marTop w:val="0"/>
                      <w:marBottom w:val="0"/>
                      <w:divBdr>
                        <w:top w:val="none" w:sz="0" w:space="0" w:color="auto"/>
                        <w:left w:val="none" w:sz="0" w:space="0" w:color="auto"/>
                        <w:bottom w:val="none" w:sz="0" w:space="0" w:color="auto"/>
                        <w:right w:val="none" w:sz="0" w:space="0" w:color="auto"/>
                      </w:divBdr>
                    </w:div>
                  </w:divsChild>
                </w:div>
                <w:div w:id="1666011613">
                  <w:marLeft w:val="0"/>
                  <w:marRight w:val="0"/>
                  <w:marTop w:val="0"/>
                  <w:marBottom w:val="0"/>
                  <w:divBdr>
                    <w:top w:val="none" w:sz="0" w:space="0" w:color="auto"/>
                    <w:left w:val="none" w:sz="0" w:space="0" w:color="auto"/>
                    <w:bottom w:val="none" w:sz="0" w:space="0" w:color="auto"/>
                    <w:right w:val="none" w:sz="0" w:space="0" w:color="auto"/>
                  </w:divBdr>
                  <w:divsChild>
                    <w:div w:id="1367828667">
                      <w:marLeft w:val="0"/>
                      <w:marRight w:val="0"/>
                      <w:marTop w:val="0"/>
                      <w:marBottom w:val="0"/>
                      <w:divBdr>
                        <w:top w:val="none" w:sz="0" w:space="0" w:color="auto"/>
                        <w:left w:val="none" w:sz="0" w:space="0" w:color="auto"/>
                        <w:bottom w:val="none" w:sz="0" w:space="0" w:color="auto"/>
                        <w:right w:val="none" w:sz="0" w:space="0" w:color="auto"/>
                      </w:divBdr>
                    </w:div>
                  </w:divsChild>
                </w:div>
                <w:div w:id="1751348850">
                  <w:marLeft w:val="0"/>
                  <w:marRight w:val="0"/>
                  <w:marTop w:val="0"/>
                  <w:marBottom w:val="0"/>
                  <w:divBdr>
                    <w:top w:val="none" w:sz="0" w:space="0" w:color="auto"/>
                    <w:left w:val="none" w:sz="0" w:space="0" w:color="auto"/>
                    <w:bottom w:val="none" w:sz="0" w:space="0" w:color="auto"/>
                    <w:right w:val="none" w:sz="0" w:space="0" w:color="auto"/>
                  </w:divBdr>
                  <w:divsChild>
                    <w:div w:id="1109205871">
                      <w:marLeft w:val="0"/>
                      <w:marRight w:val="0"/>
                      <w:marTop w:val="0"/>
                      <w:marBottom w:val="0"/>
                      <w:divBdr>
                        <w:top w:val="none" w:sz="0" w:space="0" w:color="auto"/>
                        <w:left w:val="none" w:sz="0" w:space="0" w:color="auto"/>
                        <w:bottom w:val="none" w:sz="0" w:space="0" w:color="auto"/>
                        <w:right w:val="none" w:sz="0" w:space="0" w:color="auto"/>
                      </w:divBdr>
                    </w:div>
                  </w:divsChild>
                </w:div>
                <w:div w:id="1827629293">
                  <w:marLeft w:val="0"/>
                  <w:marRight w:val="0"/>
                  <w:marTop w:val="0"/>
                  <w:marBottom w:val="0"/>
                  <w:divBdr>
                    <w:top w:val="none" w:sz="0" w:space="0" w:color="auto"/>
                    <w:left w:val="none" w:sz="0" w:space="0" w:color="auto"/>
                    <w:bottom w:val="none" w:sz="0" w:space="0" w:color="auto"/>
                    <w:right w:val="none" w:sz="0" w:space="0" w:color="auto"/>
                  </w:divBdr>
                  <w:divsChild>
                    <w:div w:id="1627541152">
                      <w:marLeft w:val="0"/>
                      <w:marRight w:val="0"/>
                      <w:marTop w:val="0"/>
                      <w:marBottom w:val="0"/>
                      <w:divBdr>
                        <w:top w:val="none" w:sz="0" w:space="0" w:color="auto"/>
                        <w:left w:val="none" w:sz="0" w:space="0" w:color="auto"/>
                        <w:bottom w:val="none" w:sz="0" w:space="0" w:color="auto"/>
                        <w:right w:val="none" w:sz="0" w:space="0" w:color="auto"/>
                      </w:divBdr>
                    </w:div>
                  </w:divsChild>
                </w:div>
                <w:div w:id="2083946361">
                  <w:marLeft w:val="0"/>
                  <w:marRight w:val="0"/>
                  <w:marTop w:val="0"/>
                  <w:marBottom w:val="0"/>
                  <w:divBdr>
                    <w:top w:val="none" w:sz="0" w:space="0" w:color="auto"/>
                    <w:left w:val="none" w:sz="0" w:space="0" w:color="auto"/>
                    <w:bottom w:val="none" w:sz="0" w:space="0" w:color="auto"/>
                    <w:right w:val="none" w:sz="0" w:space="0" w:color="auto"/>
                  </w:divBdr>
                  <w:divsChild>
                    <w:div w:id="105416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27969">
      <w:bodyDiv w:val="1"/>
      <w:marLeft w:val="0"/>
      <w:marRight w:val="0"/>
      <w:marTop w:val="0"/>
      <w:marBottom w:val="0"/>
      <w:divBdr>
        <w:top w:val="none" w:sz="0" w:space="0" w:color="auto"/>
        <w:left w:val="none" w:sz="0" w:space="0" w:color="auto"/>
        <w:bottom w:val="none" w:sz="0" w:space="0" w:color="auto"/>
        <w:right w:val="none" w:sz="0" w:space="0" w:color="auto"/>
      </w:divBdr>
    </w:div>
    <w:div w:id="102695610">
      <w:bodyDiv w:val="1"/>
      <w:marLeft w:val="0"/>
      <w:marRight w:val="0"/>
      <w:marTop w:val="0"/>
      <w:marBottom w:val="0"/>
      <w:divBdr>
        <w:top w:val="none" w:sz="0" w:space="0" w:color="auto"/>
        <w:left w:val="none" w:sz="0" w:space="0" w:color="auto"/>
        <w:bottom w:val="none" w:sz="0" w:space="0" w:color="auto"/>
        <w:right w:val="none" w:sz="0" w:space="0" w:color="auto"/>
      </w:divBdr>
    </w:div>
    <w:div w:id="108554426">
      <w:bodyDiv w:val="1"/>
      <w:marLeft w:val="0"/>
      <w:marRight w:val="0"/>
      <w:marTop w:val="0"/>
      <w:marBottom w:val="0"/>
      <w:divBdr>
        <w:top w:val="none" w:sz="0" w:space="0" w:color="auto"/>
        <w:left w:val="none" w:sz="0" w:space="0" w:color="auto"/>
        <w:bottom w:val="none" w:sz="0" w:space="0" w:color="auto"/>
        <w:right w:val="none" w:sz="0" w:space="0" w:color="auto"/>
      </w:divBdr>
    </w:div>
    <w:div w:id="112332654">
      <w:bodyDiv w:val="1"/>
      <w:marLeft w:val="0"/>
      <w:marRight w:val="0"/>
      <w:marTop w:val="0"/>
      <w:marBottom w:val="0"/>
      <w:divBdr>
        <w:top w:val="none" w:sz="0" w:space="0" w:color="auto"/>
        <w:left w:val="none" w:sz="0" w:space="0" w:color="auto"/>
        <w:bottom w:val="none" w:sz="0" w:space="0" w:color="auto"/>
        <w:right w:val="none" w:sz="0" w:space="0" w:color="auto"/>
      </w:divBdr>
    </w:div>
    <w:div w:id="114714317">
      <w:bodyDiv w:val="1"/>
      <w:marLeft w:val="0"/>
      <w:marRight w:val="0"/>
      <w:marTop w:val="0"/>
      <w:marBottom w:val="0"/>
      <w:divBdr>
        <w:top w:val="none" w:sz="0" w:space="0" w:color="auto"/>
        <w:left w:val="none" w:sz="0" w:space="0" w:color="auto"/>
        <w:bottom w:val="none" w:sz="0" w:space="0" w:color="auto"/>
        <w:right w:val="none" w:sz="0" w:space="0" w:color="auto"/>
      </w:divBdr>
      <w:divsChild>
        <w:div w:id="221212460">
          <w:marLeft w:val="0"/>
          <w:marRight w:val="0"/>
          <w:marTop w:val="0"/>
          <w:marBottom w:val="0"/>
          <w:divBdr>
            <w:top w:val="none" w:sz="0" w:space="0" w:color="auto"/>
            <w:left w:val="none" w:sz="0" w:space="0" w:color="auto"/>
            <w:bottom w:val="none" w:sz="0" w:space="0" w:color="auto"/>
            <w:right w:val="none" w:sz="0" w:space="0" w:color="auto"/>
          </w:divBdr>
        </w:div>
        <w:div w:id="1114981370">
          <w:marLeft w:val="0"/>
          <w:marRight w:val="0"/>
          <w:marTop w:val="0"/>
          <w:marBottom w:val="0"/>
          <w:divBdr>
            <w:top w:val="none" w:sz="0" w:space="0" w:color="auto"/>
            <w:left w:val="none" w:sz="0" w:space="0" w:color="auto"/>
            <w:bottom w:val="none" w:sz="0" w:space="0" w:color="auto"/>
            <w:right w:val="none" w:sz="0" w:space="0" w:color="auto"/>
          </w:divBdr>
          <w:divsChild>
            <w:div w:id="1389646191">
              <w:marLeft w:val="0"/>
              <w:marRight w:val="0"/>
              <w:marTop w:val="0"/>
              <w:marBottom w:val="0"/>
              <w:divBdr>
                <w:top w:val="none" w:sz="0" w:space="0" w:color="auto"/>
                <w:left w:val="none" w:sz="0" w:space="0" w:color="auto"/>
                <w:bottom w:val="none" w:sz="0" w:space="0" w:color="auto"/>
                <w:right w:val="none" w:sz="0" w:space="0" w:color="auto"/>
              </w:divBdr>
            </w:div>
            <w:div w:id="1605109484">
              <w:marLeft w:val="0"/>
              <w:marRight w:val="0"/>
              <w:marTop w:val="0"/>
              <w:marBottom w:val="0"/>
              <w:divBdr>
                <w:top w:val="none" w:sz="0" w:space="0" w:color="auto"/>
                <w:left w:val="none" w:sz="0" w:space="0" w:color="auto"/>
                <w:bottom w:val="none" w:sz="0" w:space="0" w:color="auto"/>
                <w:right w:val="none" w:sz="0" w:space="0" w:color="auto"/>
              </w:divBdr>
            </w:div>
            <w:div w:id="1734162542">
              <w:marLeft w:val="0"/>
              <w:marRight w:val="0"/>
              <w:marTop w:val="0"/>
              <w:marBottom w:val="0"/>
              <w:divBdr>
                <w:top w:val="none" w:sz="0" w:space="0" w:color="auto"/>
                <w:left w:val="none" w:sz="0" w:space="0" w:color="auto"/>
                <w:bottom w:val="none" w:sz="0" w:space="0" w:color="auto"/>
                <w:right w:val="none" w:sz="0" w:space="0" w:color="auto"/>
              </w:divBdr>
            </w:div>
            <w:div w:id="2044480045">
              <w:marLeft w:val="0"/>
              <w:marRight w:val="0"/>
              <w:marTop w:val="0"/>
              <w:marBottom w:val="0"/>
              <w:divBdr>
                <w:top w:val="none" w:sz="0" w:space="0" w:color="auto"/>
                <w:left w:val="none" w:sz="0" w:space="0" w:color="auto"/>
                <w:bottom w:val="none" w:sz="0" w:space="0" w:color="auto"/>
                <w:right w:val="none" w:sz="0" w:space="0" w:color="auto"/>
              </w:divBdr>
            </w:div>
          </w:divsChild>
        </w:div>
        <w:div w:id="1766266585">
          <w:marLeft w:val="0"/>
          <w:marRight w:val="0"/>
          <w:marTop w:val="0"/>
          <w:marBottom w:val="0"/>
          <w:divBdr>
            <w:top w:val="none" w:sz="0" w:space="0" w:color="auto"/>
            <w:left w:val="none" w:sz="0" w:space="0" w:color="auto"/>
            <w:bottom w:val="none" w:sz="0" w:space="0" w:color="auto"/>
            <w:right w:val="none" w:sz="0" w:space="0" w:color="auto"/>
          </w:divBdr>
        </w:div>
      </w:divsChild>
    </w:div>
    <w:div w:id="116414188">
      <w:bodyDiv w:val="1"/>
      <w:marLeft w:val="0"/>
      <w:marRight w:val="0"/>
      <w:marTop w:val="0"/>
      <w:marBottom w:val="0"/>
      <w:divBdr>
        <w:top w:val="none" w:sz="0" w:space="0" w:color="auto"/>
        <w:left w:val="none" w:sz="0" w:space="0" w:color="auto"/>
        <w:bottom w:val="none" w:sz="0" w:space="0" w:color="auto"/>
        <w:right w:val="none" w:sz="0" w:space="0" w:color="auto"/>
      </w:divBdr>
    </w:div>
    <w:div w:id="119613761">
      <w:bodyDiv w:val="1"/>
      <w:marLeft w:val="0"/>
      <w:marRight w:val="0"/>
      <w:marTop w:val="0"/>
      <w:marBottom w:val="0"/>
      <w:divBdr>
        <w:top w:val="none" w:sz="0" w:space="0" w:color="auto"/>
        <w:left w:val="none" w:sz="0" w:space="0" w:color="auto"/>
        <w:bottom w:val="none" w:sz="0" w:space="0" w:color="auto"/>
        <w:right w:val="none" w:sz="0" w:space="0" w:color="auto"/>
      </w:divBdr>
      <w:divsChild>
        <w:div w:id="1117990225">
          <w:marLeft w:val="547"/>
          <w:marRight w:val="0"/>
          <w:marTop w:val="0"/>
          <w:marBottom w:val="0"/>
          <w:divBdr>
            <w:top w:val="none" w:sz="0" w:space="0" w:color="auto"/>
            <w:left w:val="none" w:sz="0" w:space="0" w:color="auto"/>
            <w:bottom w:val="none" w:sz="0" w:space="0" w:color="auto"/>
            <w:right w:val="none" w:sz="0" w:space="0" w:color="auto"/>
          </w:divBdr>
        </w:div>
        <w:div w:id="2144273892">
          <w:marLeft w:val="547"/>
          <w:marRight w:val="0"/>
          <w:marTop w:val="0"/>
          <w:marBottom w:val="0"/>
          <w:divBdr>
            <w:top w:val="none" w:sz="0" w:space="0" w:color="auto"/>
            <w:left w:val="none" w:sz="0" w:space="0" w:color="auto"/>
            <w:bottom w:val="none" w:sz="0" w:space="0" w:color="auto"/>
            <w:right w:val="none" w:sz="0" w:space="0" w:color="auto"/>
          </w:divBdr>
        </w:div>
      </w:divsChild>
    </w:div>
    <w:div w:id="121583389">
      <w:bodyDiv w:val="1"/>
      <w:marLeft w:val="0"/>
      <w:marRight w:val="0"/>
      <w:marTop w:val="0"/>
      <w:marBottom w:val="0"/>
      <w:divBdr>
        <w:top w:val="none" w:sz="0" w:space="0" w:color="auto"/>
        <w:left w:val="none" w:sz="0" w:space="0" w:color="auto"/>
        <w:bottom w:val="none" w:sz="0" w:space="0" w:color="auto"/>
        <w:right w:val="none" w:sz="0" w:space="0" w:color="auto"/>
      </w:divBdr>
    </w:div>
    <w:div w:id="127818305">
      <w:bodyDiv w:val="1"/>
      <w:marLeft w:val="0"/>
      <w:marRight w:val="0"/>
      <w:marTop w:val="0"/>
      <w:marBottom w:val="0"/>
      <w:divBdr>
        <w:top w:val="none" w:sz="0" w:space="0" w:color="auto"/>
        <w:left w:val="none" w:sz="0" w:space="0" w:color="auto"/>
        <w:bottom w:val="none" w:sz="0" w:space="0" w:color="auto"/>
        <w:right w:val="none" w:sz="0" w:space="0" w:color="auto"/>
      </w:divBdr>
      <w:divsChild>
        <w:div w:id="405491780">
          <w:marLeft w:val="0"/>
          <w:marRight w:val="0"/>
          <w:marTop w:val="0"/>
          <w:marBottom w:val="0"/>
          <w:divBdr>
            <w:top w:val="none" w:sz="0" w:space="0" w:color="auto"/>
            <w:left w:val="none" w:sz="0" w:space="0" w:color="auto"/>
            <w:bottom w:val="none" w:sz="0" w:space="0" w:color="auto"/>
            <w:right w:val="none" w:sz="0" w:space="0" w:color="auto"/>
          </w:divBdr>
          <w:divsChild>
            <w:div w:id="983045445">
              <w:marLeft w:val="0"/>
              <w:marRight w:val="0"/>
              <w:marTop w:val="0"/>
              <w:marBottom w:val="0"/>
              <w:divBdr>
                <w:top w:val="none" w:sz="0" w:space="0" w:color="auto"/>
                <w:left w:val="none" w:sz="0" w:space="0" w:color="auto"/>
                <w:bottom w:val="none" w:sz="0" w:space="0" w:color="auto"/>
                <w:right w:val="none" w:sz="0" w:space="0" w:color="auto"/>
              </w:divBdr>
            </w:div>
          </w:divsChild>
        </w:div>
        <w:div w:id="1017194882">
          <w:marLeft w:val="0"/>
          <w:marRight w:val="0"/>
          <w:marTop w:val="0"/>
          <w:marBottom w:val="0"/>
          <w:divBdr>
            <w:top w:val="none" w:sz="0" w:space="0" w:color="auto"/>
            <w:left w:val="none" w:sz="0" w:space="0" w:color="auto"/>
            <w:bottom w:val="none" w:sz="0" w:space="0" w:color="auto"/>
            <w:right w:val="none" w:sz="0" w:space="0" w:color="auto"/>
          </w:divBdr>
        </w:div>
        <w:div w:id="1043024572">
          <w:marLeft w:val="0"/>
          <w:marRight w:val="0"/>
          <w:marTop w:val="0"/>
          <w:marBottom w:val="0"/>
          <w:divBdr>
            <w:top w:val="none" w:sz="0" w:space="0" w:color="auto"/>
            <w:left w:val="none" w:sz="0" w:space="0" w:color="auto"/>
            <w:bottom w:val="none" w:sz="0" w:space="0" w:color="auto"/>
            <w:right w:val="none" w:sz="0" w:space="0" w:color="auto"/>
          </w:divBdr>
          <w:divsChild>
            <w:div w:id="2036421152">
              <w:marLeft w:val="-75"/>
              <w:marRight w:val="0"/>
              <w:marTop w:val="30"/>
              <w:marBottom w:val="30"/>
              <w:divBdr>
                <w:top w:val="none" w:sz="0" w:space="0" w:color="auto"/>
                <w:left w:val="none" w:sz="0" w:space="0" w:color="auto"/>
                <w:bottom w:val="none" w:sz="0" w:space="0" w:color="auto"/>
                <w:right w:val="none" w:sz="0" w:space="0" w:color="auto"/>
              </w:divBdr>
              <w:divsChild>
                <w:div w:id="8795705">
                  <w:marLeft w:val="0"/>
                  <w:marRight w:val="0"/>
                  <w:marTop w:val="0"/>
                  <w:marBottom w:val="0"/>
                  <w:divBdr>
                    <w:top w:val="none" w:sz="0" w:space="0" w:color="auto"/>
                    <w:left w:val="none" w:sz="0" w:space="0" w:color="auto"/>
                    <w:bottom w:val="none" w:sz="0" w:space="0" w:color="auto"/>
                    <w:right w:val="none" w:sz="0" w:space="0" w:color="auto"/>
                  </w:divBdr>
                  <w:divsChild>
                    <w:div w:id="1167137457">
                      <w:marLeft w:val="0"/>
                      <w:marRight w:val="0"/>
                      <w:marTop w:val="0"/>
                      <w:marBottom w:val="0"/>
                      <w:divBdr>
                        <w:top w:val="none" w:sz="0" w:space="0" w:color="auto"/>
                        <w:left w:val="none" w:sz="0" w:space="0" w:color="auto"/>
                        <w:bottom w:val="none" w:sz="0" w:space="0" w:color="auto"/>
                        <w:right w:val="none" w:sz="0" w:space="0" w:color="auto"/>
                      </w:divBdr>
                    </w:div>
                  </w:divsChild>
                </w:div>
                <w:div w:id="20976495">
                  <w:marLeft w:val="0"/>
                  <w:marRight w:val="0"/>
                  <w:marTop w:val="0"/>
                  <w:marBottom w:val="0"/>
                  <w:divBdr>
                    <w:top w:val="none" w:sz="0" w:space="0" w:color="auto"/>
                    <w:left w:val="none" w:sz="0" w:space="0" w:color="auto"/>
                    <w:bottom w:val="none" w:sz="0" w:space="0" w:color="auto"/>
                    <w:right w:val="none" w:sz="0" w:space="0" w:color="auto"/>
                  </w:divBdr>
                  <w:divsChild>
                    <w:div w:id="942494806">
                      <w:marLeft w:val="0"/>
                      <w:marRight w:val="0"/>
                      <w:marTop w:val="0"/>
                      <w:marBottom w:val="0"/>
                      <w:divBdr>
                        <w:top w:val="none" w:sz="0" w:space="0" w:color="auto"/>
                        <w:left w:val="none" w:sz="0" w:space="0" w:color="auto"/>
                        <w:bottom w:val="none" w:sz="0" w:space="0" w:color="auto"/>
                        <w:right w:val="none" w:sz="0" w:space="0" w:color="auto"/>
                      </w:divBdr>
                    </w:div>
                  </w:divsChild>
                </w:div>
                <w:div w:id="27613351">
                  <w:marLeft w:val="0"/>
                  <w:marRight w:val="0"/>
                  <w:marTop w:val="0"/>
                  <w:marBottom w:val="0"/>
                  <w:divBdr>
                    <w:top w:val="none" w:sz="0" w:space="0" w:color="auto"/>
                    <w:left w:val="none" w:sz="0" w:space="0" w:color="auto"/>
                    <w:bottom w:val="none" w:sz="0" w:space="0" w:color="auto"/>
                    <w:right w:val="none" w:sz="0" w:space="0" w:color="auto"/>
                  </w:divBdr>
                  <w:divsChild>
                    <w:div w:id="446435699">
                      <w:marLeft w:val="0"/>
                      <w:marRight w:val="0"/>
                      <w:marTop w:val="0"/>
                      <w:marBottom w:val="0"/>
                      <w:divBdr>
                        <w:top w:val="none" w:sz="0" w:space="0" w:color="auto"/>
                        <w:left w:val="none" w:sz="0" w:space="0" w:color="auto"/>
                        <w:bottom w:val="none" w:sz="0" w:space="0" w:color="auto"/>
                        <w:right w:val="none" w:sz="0" w:space="0" w:color="auto"/>
                      </w:divBdr>
                    </w:div>
                  </w:divsChild>
                </w:div>
                <w:div w:id="37701686">
                  <w:marLeft w:val="0"/>
                  <w:marRight w:val="0"/>
                  <w:marTop w:val="0"/>
                  <w:marBottom w:val="0"/>
                  <w:divBdr>
                    <w:top w:val="none" w:sz="0" w:space="0" w:color="auto"/>
                    <w:left w:val="none" w:sz="0" w:space="0" w:color="auto"/>
                    <w:bottom w:val="none" w:sz="0" w:space="0" w:color="auto"/>
                    <w:right w:val="none" w:sz="0" w:space="0" w:color="auto"/>
                  </w:divBdr>
                  <w:divsChild>
                    <w:div w:id="2009748276">
                      <w:marLeft w:val="0"/>
                      <w:marRight w:val="0"/>
                      <w:marTop w:val="0"/>
                      <w:marBottom w:val="0"/>
                      <w:divBdr>
                        <w:top w:val="none" w:sz="0" w:space="0" w:color="auto"/>
                        <w:left w:val="none" w:sz="0" w:space="0" w:color="auto"/>
                        <w:bottom w:val="none" w:sz="0" w:space="0" w:color="auto"/>
                        <w:right w:val="none" w:sz="0" w:space="0" w:color="auto"/>
                      </w:divBdr>
                    </w:div>
                  </w:divsChild>
                </w:div>
                <w:div w:id="64375438">
                  <w:marLeft w:val="0"/>
                  <w:marRight w:val="0"/>
                  <w:marTop w:val="0"/>
                  <w:marBottom w:val="0"/>
                  <w:divBdr>
                    <w:top w:val="none" w:sz="0" w:space="0" w:color="auto"/>
                    <w:left w:val="none" w:sz="0" w:space="0" w:color="auto"/>
                    <w:bottom w:val="none" w:sz="0" w:space="0" w:color="auto"/>
                    <w:right w:val="none" w:sz="0" w:space="0" w:color="auto"/>
                  </w:divBdr>
                  <w:divsChild>
                    <w:div w:id="2093313799">
                      <w:marLeft w:val="0"/>
                      <w:marRight w:val="0"/>
                      <w:marTop w:val="0"/>
                      <w:marBottom w:val="0"/>
                      <w:divBdr>
                        <w:top w:val="none" w:sz="0" w:space="0" w:color="auto"/>
                        <w:left w:val="none" w:sz="0" w:space="0" w:color="auto"/>
                        <w:bottom w:val="none" w:sz="0" w:space="0" w:color="auto"/>
                        <w:right w:val="none" w:sz="0" w:space="0" w:color="auto"/>
                      </w:divBdr>
                    </w:div>
                  </w:divsChild>
                </w:div>
                <w:div w:id="94449745">
                  <w:marLeft w:val="0"/>
                  <w:marRight w:val="0"/>
                  <w:marTop w:val="0"/>
                  <w:marBottom w:val="0"/>
                  <w:divBdr>
                    <w:top w:val="none" w:sz="0" w:space="0" w:color="auto"/>
                    <w:left w:val="none" w:sz="0" w:space="0" w:color="auto"/>
                    <w:bottom w:val="none" w:sz="0" w:space="0" w:color="auto"/>
                    <w:right w:val="none" w:sz="0" w:space="0" w:color="auto"/>
                  </w:divBdr>
                  <w:divsChild>
                    <w:div w:id="612132818">
                      <w:marLeft w:val="0"/>
                      <w:marRight w:val="0"/>
                      <w:marTop w:val="0"/>
                      <w:marBottom w:val="0"/>
                      <w:divBdr>
                        <w:top w:val="none" w:sz="0" w:space="0" w:color="auto"/>
                        <w:left w:val="none" w:sz="0" w:space="0" w:color="auto"/>
                        <w:bottom w:val="none" w:sz="0" w:space="0" w:color="auto"/>
                        <w:right w:val="none" w:sz="0" w:space="0" w:color="auto"/>
                      </w:divBdr>
                    </w:div>
                  </w:divsChild>
                </w:div>
                <w:div w:id="96558728">
                  <w:marLeft w:val="0"/>
                  <w:marRight w:val="0"/>
                  <w:marTop w:val="0"/>
                  <w:marBottom w:val="0"/>
                  <w:divBdr>
                    <w:top w:val="none" w:sz="0" w:space="0" w:color="auto"/>
                    <w:left w:val="none" w:sz="0" w:space="0" w:color="auto"/>
                    <w:bottom w:val="none" w:sz="0" w:space="0" w:color="auto"/>
                    <w:right w:val="none" w:sz="0" w:space="0" w:color="auto"/>
                  </w:divBdr>
                  <w:divsChild>
                    <w:div w:id="1387872731">
                      <w:marLeft w:val="0"/>
                      <w:marRight w:val="0"/>
                      <w:marTop w:val="0"/>
                      <w:marBottom w:val="0"/>
                      <w:divBdr>
                        <w:top w:val="none" w:sz="0" w:space="0" w:color="auto"/>
                        <w:left w:val="none" w:sz="0" w:space="0" w:color="auto"/>
                        <w:bottom w:val="none" w:sz="0" w:space="0" w:color="auto"/>
                        <w:right w:val="none" w:sz="0" w:space="0" w:color="auto"/>
                      </w:divBdr>
                    </w:div>
                  </w:divsChild>
                </w:div>
                <w:div w:id="106245309">
                  <w:marLeft w:val="0"/>
                  <w:marRight w:val="0"/>
                  <w:marTop w:val="0"/>
                  <w:marBottom w:val="0"/>
                  <w:divBdr>
                    <w:top w:val="none" w:sz="0" w:space="0" w:color="auto"/>
                    <w:left w:val="none" w:sz="0" w:space="0" w:color="auto"/>
                    <w:bottom w:val="none" w:sz="0" w:space="0" w:color="auto"/>
                    <w:right w:val="none" w:sz="0" w:space="0" w:color="auto"/>
                  </w:divBdr>
                  <w:divsChild>
                    <w:div w:id="1252540547">
                      <w:marLeft w:val="0"/>
                      <w:marRight w:val="0"/>
                      <w:marTop w:val="0"/>
                      <w:marBottom w:val="0"/>
                      <w:divBdr>
                        <w:top w:val="none" w:sz="0" w:space="0" w:color="auto"/>
                        <w:left w:val="none" w:sz="0" w:space="0" w:color="auto"/>
                        <w:bottom w:val="none" w:sz="0" w:space="0" w:color="auto"/>
                        <w:right w:val="none" w:sz="0" w:space="0" w:color="auto"/>
                      </w:divBdr>
                    </w:div>
                  </w:divsChild>
                </w:div>
                <w:div w:id="111871426">
                  <w:marLeft w:val="0"/>
                  <w:marRight w:val="0"/>
                  <w:marTop w:val="0"/>
                  <w:marBottom w:val="0"/>
                  <w:divBdr>
                    <w:top w:val="none" w:sz="0" w:space="0" w:color="auto"/>
                    <w:left w:val="none" w:sz="0" w:space="0" w:color="auto"/>
                    <w:bottom w:val="none" w:sz="0" w:space="0" w:color="auto"/>
                    <w:right w:val="none" w:sz="0" w:space="0" w:color="auto"/>
                  </w:divBdr>
                  <w:divsChild>
                    <w:div w:id="1328173185">
                      <w:marLeft w:val="0"/>
                      <w:marRight w:val="0"/>
                      <w:marTop w:val="0"/>
                      <w:marBottom w:val="0"/>
                      <w:divBdr>
                        <w:top w:val="none" w:sz="0" w:space="0" w:color="auto"/>
                        <w:left w:val="none" w:sz="0" w:space="0" w:color="auto"/>
                        <w:bottom w:val="none" w:sz="0" w:space="0" w:color="auto"/>
                        <w:right w:val="none" w:sz="0" w:space="0" w:color="auto"/>
                      </w:divBdr>
                    </w:div>
                  </w:divsChild>
                </w:div>
                <w:div w:id="121772316">
                  <w:marLeft w:val="0"/>
                  <w:marRight w:val="0"/>
                  <w:marTop w:val="0"/>
                  <w:marBottom w:val="0"/>
                  <w:divBdr>
                    <w:top w:val="none" w:sz="0" w:space="0" w:color="auto"/>
                    <w:left w:val="none" w:sz="0" w:space="0" w:color="auto"/>
                    <w:bottom w:val="none" w:sz="0" w:space="0" w:color="auto"/>
                    <w:right w:val="none" w:sz="0" w:space="0" w:color="auto"/>
                  </w:divBdr>
                  <w:divsChild>
                    <w:div w:id="804658218">
                      <w:marLeft w:val="0"/>
                      <w:marRight w:val="0"/>
                      <w:marTop w:val="0"/>
                      <w:marBottom w:val="0"/>
                      <w:divBdr>
                        <w:top w:val="none" w:sz="0" w:space="0" w:color="auto"/>
                        <w:left w:val="none" w:sz="0" w:space="0" w:color="auto"/>
                        <w:bottom w:val="none" w:sz="0" w:space="0" w:color="auto"/>
                        <w:right w:val="none" w:sz="0" w:space="0" w:color="auto"/>
                      </w:divBdr>
                    </w:div>
                  </w:divsChild>
                </w:div>
                <w:div w:id="141851696">
                  <w:marLeft w:val="0"/>
                  <w:marRight w:val="0"/>
                  <w:marTop w:val="0"/>
                  <w:marBottom w:val="0"/>
                  <w:divBdr>
                    <w:top w:val="none" w:sz="0" w:space="0" w:color="auto"/>
                    <w:left w:val="none" w:sz="0" w:space="0" w:color="auto"/>
                    <w:bottom w:val="none" w:sz="0" w:space="0" w:color="auto"/>
                    <w:right w:val="none" w:sz="0" w:space="0" w:color="auto"/>
                  </w:divBdr>
                  <w:divsChild>
                    <w:div w:id="1993101398">
                      <w:marLeft w:val="0"/>
                      <w:marRight w:val="0"/>
                      <w:marTop w:val="0"/>
                      <w:marBottom w:val="0"/>
                      <w:divBdr>
                        <w:top w:val="none" w:sz="0" w:space="0" w:color="auto"/>
                        <w:left w:val="none" w:sz="0" w:space="0" w:color="auto"/>
                        <w:bottom w:val="none" w:sz="0" w:space="0" w:color="auto"/>
                        <w:right w:val="none" w:sz="0" w:space="0" w:color="auto"/>
                      </w:divBdr>
                    </w:div>
                  </w:divsChild>
                </w:div>
                <w:div w:id="146941477">
                  <w:marLeft w:val="0"/>
                  <w:marRight w:val="0"/>
                  <w:marTop w:val="0"/>
                  <w:marBottom w:val="0"/>
                  <w:divBdr>
                    <w:top w:val="none" w:sz="0" w:space="0" w:color="auto"/>
                    <w:left w:val="none" w:sz="0" w:space="0" w:color="auto"/>
                    <w:bottom w:val="none" w:sz="0" w:space="0" w:color="auto"/>
                    <w:right w:val="none" w:sz="0" w:space="0" w:color="auto"/>
                  </w:divBdr>
                  <w:divsChild>
                    <w:div w:id="1175654471">
                      <w:marLeft w:val="0"/>
                      <w:marRight w:val="0"/>
                      <w:marTop w:val="0"/>
                      <w:marBottom w:val="0"/>
                      <w:divBdr>
                        <w:top w:val="none" w:sz="0" w:space="0" w:color="auto"/>
                        <w:left w:val="none" w:sz="0" w:space="0" w:color="auto"/>
                        <w:bottom w:val="none" w:sz="0" w:space="0" w:color="auto"/>
                        <w:right w:val="none" w:sz="0" w:space="0" w:color="auto"/>
                      </w:divBdr>
                    </w:div>
                  </w:divsChild>
                </w:div>
                <w:div w:id="163905750">
                  <w:marLeft w:val="0"/>
                  <w:marRight w:val="0"/>
                  <w:marTop w:val="0"/>
                  <w:marBottom w:val="0"/>
                  <w:divBdr>
                    <w:top w:val="none" w:sz="0" w:space="0" w:color="auto"/>
                    <w:left w:val="none" w:sz="0" w:space="0" w:color="auto"/>
                    <w:bottom w:val="none" w:sz="0" w:space="0" w:color="auto"/>
                    <w:right w:val="none" w:sz="0" w:space="0" w:color="auto"/>
                  </w:divBdr>
                  <w:divsChild>
                    <w:div w:id="1846675880">
                      <w:marLeft w:val="0"/>
                      <w:marRight w:val="0"/>
                      <w:marTop w:val="0"/>
                      <w:marBottom w:val="0"/>
                      <w:divBdr>
                        <w:top w:val="none" w:sz="0" w:space="0" w:color="auto"/>
                        <w:left w:val="none" w:sz="0" w:space="0" w:color="auto"/>
                        <w:bottom w:val="none" w:sz="0" w:space="0" w:color="auto"/>
                        <w:right w:val="none" w:sz="0" w:space="0" w:color="auto"/>
                      </w:divBdr>
                    </w:div>
                  </w:divsChild>
                </w:div>
                <w:div w:id="182869011">
                  <w:marLeft w:val="0"/>
                  <w:marRight w:val="0"/>
                  <w:marTop w:val="0"/>
                  <w:marBottom w:val="0"/>
                  <w:divBdr>
                    <w:top w:val="none" w:sz="0" w:space="0" w:color="auto"/>
                    <w:left w:val="none" w:sz="0" w:space="0" w:color="auto"/>
                    <w:bottom w:val="none" w:sz="0" w:space="0" w:color="auto"/>
                    <w:right w:val="none" w:sz="0" w:space="0" w:color="auto"/>
                  </w:divBdr>
                  <w:divsChild>
                    <w:div w:id="374433179">
                      <w:marLeft w:val="0"/>
                      <w:marRight w:val="0"/>
                      <w:marTop w:val="0"/>
                      <w:marBottom w:val="0"/>
                      <w:divBdr>
                        <w:top w:val="none" w:sz="0" w:space="0" w:color="auto"/>
                        <w:left w:val="none" w:sz="0" w:space="0" w:color="auto"/>
                        <w:bottom w:val="none" w:sz="0" w:space="0" w:color="auto"/>
                        <w:right w:val="none" w:sz="0" w:space="0" w:color="auto"/>
                      </w:divBdr>
                    </w:div>
                  </w:divsChild>
                </w:div>
                <w:div w:id="189882712">
                  <w:marLeft w:val="0"/>
                  <w:marRight w:val="0"/>
                  <w:marTop w:val="0"/>
                  <w:marBottom w:val="0"/>
                  <w:divBdr>
                    <w:top w:val="none" w:sz="0" w:space="0" w:color="auto"/>
                    <w:left w:val="none" w:sz="0" w:space="0" w:color="auto"/>
                    <w:bottom w:val="none" w:sz="0" w:space="0" w:color="auto"/>
                    <w:right w:val="none" w:sz="0" w:space="0" w:color="auto"/>
                  </w:divBdr>
                  <w:divsChild>
                    <w:div w:id="1255431301">
                      <w:marLeft w:val="0"/>
                      <w:marRight w:val="0"/>
                      <w:marTop w:val="0"/>
                      <w:marBottom w:val="0"/>
                      <w:divBdr>
                        <w:top w:val="none" w:sz="0" w:space="0" w:color="auto"/>
                        <w:left w:val="none" w:sz="0" w:space="0" w:color="auto"/>
                        <w:bottom w:val="none" w:sz="0" w:space="0" w:color="auto"/>
                        <w:right w:val="none" w:sz="0" w:space="0" w:color="auto"/>
                      </w:divBdr>
                    </w:div>
                  </w:divsChild>
                </w:div>
                <w:div w:id="202140724">
                  <w:marLeft w:val="0"/>
                  <w:marRight w:val="0"/>
                  <w:marTop w:val="0"/>
                  <w:marBottom w:val="0"/>
                  <w:divBdr>
                    <w:top w:val="none" w:sz="0" w:space="0" w:color="auto"/>
                    <w:left w:val="none" w:sz="0" w:space="0" w:color="auto"/>
                    <w:bottom w:val="none" w:sz="0" w:space="0" w:color="auto"/>
                    <w:right w:val="none" w:sz="0" w:space="0" w:color="auto"/>
                  </w:divBdr>
                  <w:divsChild>
                    <w:div w:id="1070929088">
                      <w:marLeft w:val="0"/>
                      <w:marRight w:val="0"/>
                      <w:marTop w:val="0"/>
                      <w:marBottom w:val="0"/>
                      <w:divBdr>
                        <w:top w:val="none" w:sz="0" w:space="0" w:color="auto"/>
                        <w:left w:val="none" w:sz="0" w:space="0" w:color="auto"/>
                        <w:bottom w:val="none" w:sz="0" w:space="0" w:color="auto"/>
                        <w:right w:val="none" w:sz="0" w:space="0" w:color="auto"/>
                      </w:divBdr>
                    </w:div>
                  </w:divsChild>
                </w:div>
                <w:div w:id="245267552">
                  <w:marLeft w:val="0"/>
                  <w:marRight w:val="0"/>
                  <w:marTop w:val="0"/>
                  <w:marBottom w:val="0"/>
                  <w:divBdr>
                    <w:top w:val="none" w:sz="0" w:space="0" w:color="auto"/>
                    <w:left w:val="none" w:sz="0" w:space="0" w:color="auto"/>
                    <w:bottom w:val="none" w:sz="0" w:space="0" w:color="auto"/>
                    <w:right w:val="none" w:sz="0" w:space="0" w:color="auto"/>
                  </w:divBdr>
                  <w:divsChild>
                    <w:div w:id="307634228">
                      <w:marLeft w:val="0"/>
                      <w:marRight w:val="0"/>
                      <w:marTop w:val="0"/>
                      <w:marBottom w:val="0"/>
                      <w:divBdr>
                        <w:top w:val="none" w:sz="0" w:space="0" w:color="auto"/>
                        <w:left w:val="none" w:sz="0" w:space="0" w:color="auto"/>
                        <w:bottom w:val="none" w:sz="0" w:space="0" w:color="auto"/>
                        <w:right w:val="none" w:sz="0" w:space="0" w:color="auto"/>
                      </w:divBdr>
                    </w:div>
                  </w:divsChild>
                </w:div>
                <w:div w:id="256333307">
                  <w:marLeft w:val="0"/>
                  <w:marRight w:val="0"/>
                  <w:marTop w:val="0"/>
                  <w:marBottom w:val="0"/>
                  <w:divBdr>
                    <w:top w:val="none" w:sz="0" w:space="0" w:color="auto"/>
                    <w:left w:val="none" w:sz="0" w:space="0" w:color="auto"/>
                    <w:bottom w:val="none" w:sz="0" w:space="0" w:color="auto"/>
                    <w:right w:val="none" w:sz="0" w:space="0" w:color="auto"/>
                  </w:divBdr>
                  <w:divsChild>
                    <w:div w:id="416169815">
                      <w:marLeft w:val="0"/>
                      <w:marRight w:val="0"/>
                      <w:marTop w:val="0"/>
                      <w:marBottom w:val="0"/>
                      <w:divBdr>
                        <w:top w:val="none" w:sz="0" w:space="0" w:color="auto"/>
                        <w:left w:val="none" w:sz="0" w:space="0" w:color="auto"/>
                        <w:bottom w:val="none" w:sz="0" w:space="0" w:color="auto"/>
                        <w:right w:val="none" w:sz="0" w:space="0" w:color="auto"/>
                      </w:divBdr>
                    </w:div>
                  </w:divsChild>
                </w:div>
                <w:div w:id="257562720">
                  <w:marLeft w:val="0"/>
                  <w:marRight w:val="0"/>
                  <w:marTop w:val="0"/>
                  <w:marBottom w:val="0"/>
                  <w:divBdr>
                    <w:top w:val="none" w:sz="0" w:space="0" w:color="auto"/>
                    <w:left w:val="none" w:sz="0" w:space="0" w:color="auto"/>
                    <w:bottom w:val="none" w:sz="0" w:space="0" w:color="auto"/>
                    <w:right w:val="none" w:sz="0" w:space="0" w:color="auto"/>
                  </w:divBdr>
                  <w:divsChild>
                    <w:div w:id="433481419">
                      <w:marLeft w:val="0"/>
                      <w:marRight w:val="0"/>
                      <w:marTop w:val="0"/>
                      <w:marBottom w:val="0"/>
                      <w:divBdr>
                        <w:top w:val="none" w:sz="0" w:space="0" w:color="auto"/>
                        <w:left w:val="none" w:sz="0" w:space="0" w:color="auto"/>
                        <w:bottom w:val="none" w:sz="0" w:space="0" w:color="auto"/>
                        <w:right w:val="none" w:sz="0" w:space="0" w:color="auto"/>
                      </w:divBdr>
                    </w:div>
                  </w:divsChild>
                </w:div>
                <w:div w:id="277757919">
                  <w:marLeft w:val="0"/>
                  <w:marRight w:val="0"/>
                  <w:marTop w:val="0"/>
                  <w:marBottom w:val="0"/>
                  <w:divBdr>
                    <w:top w:val="none" w:sz="0" w:space="0" w:color="auto"/>
                    <w:left w:val="none" w:sz="0" w:space="0" w:color="auto"/>
                    <w:bottom w:val="none" w:sz="0" w:space="0" w:color="auto"/>
                    <w:right w:val="none" w:sz="0" w:space="0" w:color="auto"/>
                  </w:divBdr>
                  <w:divsChild>
                    <w:div w:id="1816489845">
                      <w:marLeft w:val="0"/>
                      <w:marRight w:val="0"/>
                      <w:marTop w:val="0"/>
                      <w:marBottom w:val="0"/>
                      <w:divBdr>
                        <w:top w:val="none" w:sz="0" w:space="0" w:color="auto"/>
                        <w:left w:val="none" w:sz="0" w:space="0" w:color="auto"/>
                        <w:bottom w:val="none" w:sz="0" w:space="0" w:color="auto"/>
                        <w:right w:val="none" w:sz="0" w:space="0" w:color="auto"/>
                      </w:divBdr>
                    </w:div>
                  </w:divsChild>
                </w:div>
                <w:div w:id="293946351">
                  <w:marLeft w:val="0"/>
                  <w:marRight w:val="0"/>
                  <w:marTop w:val="0"/>
                  <w:marBottom w:val="0"/>
                  <w:divBdr>
                    <w:top w:val="none" w:sz="0" w:space="0" w:color="auto"/>
                    <w:left w:val="none" w:sz="0" w:space="0" w:color="auto"/>
                    <w:bottom w:val="none" w:sz="0" w:space="0" w:color="auto"/>
                    <w:right w:val="none" w:sz="0" w:space="0" w:color="auto"/>
                  </w:divBdr>
                  <w:divsChild>
                    <w:div w:id="1213545139">
                      <w:marLeft w:val="0"/>
                      <w:marRight w:val="0"/>
                      <w:marTop w:val="0"/>
                      <w:marBottom w:val="0"/>
                      <w:divBdr>
                        <w:top w:val="none" w:sz="0" w:space="0" w:color="auto"/>
                        <w:left w:val="none" w:sz="0" w:space="0" w:color="auto"/>
                        <w:bottom w:val="none" w:sz="0" w:space="0" w:color="auto"/>
                        <w:right w:val="none" w:sz="0" w:space="0" w:color="auto"/>
                      </w:divBdr>
                    </w:div>
                  </w:divsChild>
                </w:div>
                <w:div w:id="300234263">
                  <w:marLeft w:val="0"/>
                  <w:marRight w:val="0"/>
                  <w:marTop w:val="0"/>
                  <w:marBottom w:val="0"/>
                  <w:divBdr>
                    <w:top w:val="none" w:sz="0" w:space="0" w:color="auto"/>
                    <w:left w:val="none" w:sz="0" w:space="0" w:color="auto"/>
                    <w:bottom w:val="none" w:sz="0" w:space="0" w:color="auto"/>
                    <w:right w:val="none" w:sz="0" w:space="0" w:color="auto"/>
                  </w:divBdr>
                  <w:divsChild>
                    <w:div w:id="19161269">
                      <w:marLeft w:val="0"/>
                      <w:marRight w:val="0"/>
                      <w:marTop w:val="0"/>
                      <w:marBottom w:val="0"/>
                      <w:divBdr>
                        <w:top w:val="none" w:sz="0" w:space="0" w:color="auto"/>
                        <w:left w:val="none" w:sz="0" w:space="0" w:color="auto"/>
                        <w:bottom w:val="none" w:sz="0" w:space="0" w:color="auto"/>
                        <w:right w:val="none" w:sz="0" w:space="0" w:color="auto"/>
                      </w:divBdr>
                    </w:div>
                  </w:divsChild>
                </w:div>
                <w:div w:id="307512530">
                  <w:marLeft w:val="0"/>
                  <w:marRight w:val="0"/>
                  <w:marTop w:val="0"/>
                  <w:marBottom w:val="0"/>
                  <w:divBdr>
                    <w:top w:val="none" w:sz="0" w:space="0" w:color="auto"/>
                    <w:left w:val="none" w:sz="0" w:space="0" w:color="auto"/>
                    <w:bottom w:val="none" w:sz="0" w:space="0" w:color="auto"/>
                    <w:right w:val="none" w:sz="0" w:space="0" w:color="auto"/>
                  </w:divBdr>
                  <w:divsChild>
                    <w:div w:id="613752901">
                      <w:marLeft w:val="0"/>
                      <w:marRight w:val="0"/>
                      <w:marTop w:val="0"/>
                      <w:marBottom w:val="0"/>
                      <w:divBdr>
                        <w:top w:val="none" w:sz="0" w:space="0" w:color="auto"/>
                        <w:left w:val="none" w:sz="0" w:space="0" w:color="auto"/>
                        <w:bottom w:val="none" w:sz="0" w:space="0" w:color="auto"/>
                        <w:right w:val="none" w:sz="0" w:space="0" w:color="auto"/>
                      </w:divBdr>
                    </w:div>
                  </w:divsChild>
                </w:div>
                <w:div w:id="319963876">
                  <w:marLeft w:val="0"/>
                  <w:marRight w:val="0"/>
                  <w:marTop w:val="0"/>
                  <w:marBottom w:val="0"/>
                  <w:divBdr>
                    <w:top w:val="none" w:sz="0" w:space="0" w:color="auto"/>
                    <w:left w:val="none" w:sz="0" w:space="0" w:color="auto"/>
                    <w:bottom w:val="none" w:sz="0" w:space="0" w:color="auto"/>
                    <w:right w:val="none" w:sz="0" w:space="0" w:color="auto"/>
                  </w:divBdr>
                  <w:divsChild>
                    <w:div w:id="1449353804">
                      <w:marLeft w:val="0"/>
                      <w:marRight w:val="0"/>
                      <w:marTop w:val="0"/>
                      <w:marBottom w:val="0"/>
                      <w:divBdr>
                        <w:top w:val="none" w:sz="0" w:space="0" w:color="auto"/>
                        <w:left w:val="none" w:sz="0" w:space="0" w:color="auto"/>
                        <w:bottom w:val="none" w:sz="0" w:space="0" w:color="auto"/>
                        <w:right w:val="none" w:sz="0" w:space="0" w:color="auto"/>
                      </w:divBdr>
                    </w:div>
                  </w:divsChild>
                </w:div>
                <w:div w:id="328481411">
                  <w:marLeft w:val="0"/>
                  <w:marRight w:val="0"/>
                  <w:marTop w:val="0"/>
                  <w:marBottom w:val="0"/>
                  <w:divBdr>
                    <w:top w:val="none" w:sz="0" w:space="0" w:color="auto"/>
                    <w:left w:val="none" w:sz="0" w:space="0" w:color="auto"/>
                    <w:bottom w:val="none" w:sz="0" w:space="0" w:color="auto"/>
                    <w:right w:val="none" w:sz="0" w:space="0" w:color="auto"/>
                  </w:divBdr>
                  <w:divsChild>
                    <w:div w:id="1067149847">
                      <w:marLeft w:val="0"/>
                      <w:marRight w:val="0"/>
                      <w:marTop w:val="0"/>
                      <w:marBottom w:val="0"/>
                      <w:divBdr>
                        <w:top w:val="none" w:sz="0" w:space="0" w:color="auto"/>
                        <w:left w:val="none" w:sz="0" w:space="0" w:color="auto"/>
                        <w:bottom w:val="none" w:sz="0" w:space="0" w:color="auto"/>
                        <w:right w:val="none" w:sz="0" w:space="0" w:color="auto"/>
                      </w:divBdr>
                    </w:div>
                  </w:divsChild>
                </w:div>
                <w:div w:id="330255151">
                  <w:marLeft w:val="0"/>
                  <w:marRight w:val="0"/>
                  <w:marTop w:val="0"/>
                  <w:marBottom w:val="0"/>
                  <w:divBdr>
                    <w:top w:val="none" w:sz="0" w:space="0" w:color="auto"/>
                    <w:left w:val="none" w:sz="0" w:space="0" w:color="auto"/>
                    <w:bottom w:val="none" w:sz="0" w:space="0" w:color="auto"/>
                    <w:right w:val="none" w:sz="0" w:space="0" w:color="auto"/>
                  </w:divBdr>
                  <w:divsChild>
                    <w:div w:id="612321479">
                      <w:marLeft w:val="0"/>
                      <w:marRight w:val="0"/>
                      <w:marTop w:val="0"/>
                      <w:marBottom w:val="0"/>
                      <w:divBdr>
                        <w:top w:val="none" w:sz="0" w:space="0" w:color="auto"/>
                        <w:left w:val="none" w:sz="0" w:space="0" w:color="auto"/>
                        <w:bottom w:val="none" w:sz="0" w:space="0" w:color="auto"/>
                        <w:right w:val="none" w:sz="0" w:space="0" w:color="auto"/>
                      </w:divBdr>
                    </w:div>
                  </w:divsChild>
                </w:div>
                <w:div w:id="344094703">
                  <w:marLeft w:val="0"/>
                  <w:marRight w:val="0"/>
                  <w:marTop w:val="0"/>
                  <w:marBottom w:val="0"/>
                  <w:divBdr>
                    <w:top w:val="none" w:sz="0" w:space="0" w:color="auto"/>
                    <w:left w:val="none" w:sz="0" w:space="0" w:color="auto"/>
                    <w:bottom w:val="none" w:sz="0" w:space="0" w:color="auto"/>
                    <w:right w:val="none" w:sz="0" w:space="0" w:color="auto"/>
                  </w:divBdr>
                  <w:divsChild>
                    <w:div w:id="225802946">
                      <w:marLeft w:val="0"/>
                      <w:marRight w:val="0"/>
                      <w:marTop w:val="0"/>
                      <w:marBottom w:val="0"/>
                      <w:divBdr>
                        <w:top w:val="none" w:sz="0" w:space="0" w:color="auto"/>
                        <w:left w:val="none" w:sz="0" w:space="0" w:color="auto"/>
                        <w:bottom w:val="none" w:sz="0" w:space="0" w:color="auto"/>
                        <w:right w:val="none" w:sz="0" w:space="0" w:color="auto"/>
                      </w:divBdr>
                    </w:div>
                  </w:divsChild>
                </w:div>
                <w:div w:id="344668945">
                  <w:marLeft w:val="0"/>
                  <w:marRight w:val="0"/>
                  <w:marTop w:val="0"/>
                  <w:marBottom w:val="0"/>
                  <w:divBdr>
                    <w:top w:val="none" w:sz="0" w:space="0" w:color="auto"/>
                    <w:left w:val="none" w:sz="0" w:space="0" w:color="auto"/>
                    <w:bottom w:val="none" w:sz="0" w:space="0" w:color="auto"/>
                    <w:right w:val="none" w:sz="0" w:space="0" w:color="auto"/>
                  </w:divBdr>
                  <w:divsChild>
                    <w:div w:id="2058427101">
                      <w:marLeft w:val="0"/>
                      <w:marRight w:val="0"/>
                      <w:marTop w:val="0"/>
                      <w:marBottom w:val="0"/>
                      <w:divBdr>
                        <w:top w:val="none" w:sz="0" w:space="0" w:color="auto"/>
                        <w:left w:val="none" w:sz="0" w:space="0" w:color="auto"/>
                        <w:bottom w:val="none" w:sz="0" w:space="0" w:color="auto"/>
                        <w:right w:val="none" w:sz="0" w:space="0" w:color="auto"/>
                      </w:divBdr>
                    </w:div>
                  </w:divsChild>
                </w:div>
                <w:div w:id="345518812">
                  <w:marLeft w:val="0"/>
                  <w:marRight w:val="0"/>
                  <w:marTop w:val="0"/>
                  <w:marBottom w:val="0"/>
                  <w:divBdr>
                    <w:top w:val="none" w:sz="0" w:space="0" w:color="auto"/>
                    <w:left w:val="none" w:sz="0" w:space="0" w:color="auto"/>
                    <w:bottom w:val="none" w:sz="0" w:space="0" w:color="auto"/>
                    <w:right w:val="none" w:sz="0" w:space="0" w:color="auto"/>
                  </w:divBdr>
                  <w:divsChild>
                    <w:div w:id="465706677">
                      <w:marLeft w:val="0"/>
                      <w:marRight w:val="0"/>
                      <w:marTop w:val="0"/>
                      <w:marBottom w:val="0"/>
                      <w:divBdr>
                        <w:top w:val="none" w:sz="0" w:space="0" w:color="auto"/>
                        <w:left w:val="none" w:sz="0" w:space="0" w:color="auto"/>
                        <w:bottom w:val="none" w:sz="0" w:space="0" w:color="auto"/>
                        <w:right w:val="none" w:sz="0" w:space="0" w:color="auto"/>
                      </w:divBdr>
                    </w:div>
                  </w:divsChild>
                </w:div>
                <w:div w:id="349645102">
                  <w:marLeft w:val="0"/>
                  <w:marRight w:val="0"/>
                  <w:marTop w:val="0"/>
                  <w:marBottom w:val="0"/>
                  <w:divBdr>
                    <w:top w:val="none" w:sz="0" w:space="0" w:color="auto"/>
                    <w:left w:val="none" w:sz="0" w:space="0" w:color="auto"/>
                    <w:bottom w:val="none" w:sz="0" w:space="0" w:color="auto"/>
                    <w:right w:val="none" w:sz="0" w:space="0" w:color="auto"/>
                  </w:divBdr>
                  <w:divsChild>
                    <w:div w:id="1099059870">
                      <w:marLeft w:val="0"/>
                      <w:marRight w:val="0"/>
                      <w:marTop w:val="0"/>
                      <w:marBottom w:val="0"/>
                      <w:divBdr>
                        <w:top w:val="none" w:sz="0" w:space="0" w:color="auto"/>
                        <w:left w:val="none" w:sz="0" w:space="0" w:color="auto"/>
                        <w:bottom w:val="none" w:sz="0" w:space="0" w:color="auto"/>
                        <w:right w:val="none" w:sz="0" w:space="0" w:color="auto"/>
                      </w:divBdr>
                    </w:div>
                  </w:divsChild>
                </w:div>
                <w:div w:id="352995176">
                  <w:marLeft w:val="0"/>
                  <w:marRight w:val="0"/>
                  <w:marTop w:val="0"/>
                  <w:marBottom w:val="0"/>
                  <w:divBdr>
                    <w:top w:val="none" w:sz="0" w:space="0" w:color="auto"/>
                    <w:left w:val="none" w:sz="0" w:space="0" w:color="auto"/>
                    <w:bottom w:val="none" w:sz="0" w:space="0" w:color="auto"/>
                    <w:right w:val="none" w:sz="0" w:space="0" w:color="auto"/>
                  </w:divBdr>
                  <w:divsChild>
                    <w:div w:id="2103605594">
                      <w:marLeft w:val="0"/>
                      <w:marRight w:val="0"/>
                      <w:marTop w:val="0"/>
                      <w:marBottom w:val="0"/>
                      <w:divBdr>
                        <w:top w:val="none" w:sz="0" w:space="0" w:color="auto"/>
                        <w:left w:val="none" w:sz="0" w:space="0" w:color="auto"/>
                        <w:bottom w:val="none" w:sz="0" w:space="0" w:color="auto"/>
                        <w:right w:val="none" w:sz="0" w:space="0" w:color="auto"/>
                      </w:divBdr>
                    </w:div>
                  </w:divsChild>
                </w:div>
                <w:div w:id="358892093">
                  <w:marLeft w:val="0"/>
                  <w:marRight w:val="0"/>
                  <w:marTop w:val="0"/>
                  <w:marBottom w:val="0"/>
                  <w:divBdr>
                    <w:top w:val="none" w:sz="0" w:space="0" w:color="auto"/>
                    <w:left w:val="none" w:sz="0" w:space="0" w:color="auto"/>
                    <w:bottom w:val="none" w:sz="0" w:space="0" w:color="auto"/>
                    <w:right w:val="none" w:sz="0" w:space="0" w:color="auto"/>
                  </w:divBdr>
                  <w:divsChild>
                    <w:div w:id="939609127">
                      <w:marLeft w:val="0"/>
                      <w:marRight w:val="0"/>
                      <w:marTop w:val="0"/>
                      <w:marBottom w:val="0"/>
                      <w:divBdr>
                        <w:top w:val="none" w:sz="0" w:space="0" w:color="auto"/>
                        <w:left w:val="none" w:sz="0" w:space="0" w:color="auto"/>
                        <w:bottom w:val="none" w:sz="0" w:space="0" w:color="auto"/>
                        <w:right w:val="none" w:sz="0" w:space="0" w:color="auto"/>
                      </w:divBdr>
                    </w:div>
                  </w:divsChild>
                </w:div>
                <w:div w:id="370571450">
                  <w:marLeft w:val="0"/>
                  <w:marRight w:val="0"/>
                  <w:marTop w:val="0"/>
                  <w:marBottom w:val="0"/>
                  <w:divBdr>
                    <w:top w:val="none" w:sz="0" w:space="0" w:color="auto"/>
                    <w:left w:val="none" w:sz="0" w:space="0" w:color="auto"/>
                    <w:bottom w:val="none" w:sz="0" w:space="0" w:color="auto"/>
                    <w:right w:val="none" w:sz="0" w:space="0" w:color="auto"/>
                  </w:divBdr>
                  <w:divsChild>
                    <w:div w:id="548957759">
                      <w:marLeft w:val="0"/>
                      <w:marRight w:val="0"/>
                      <w:marTop w:val="0"/>
                      <w:marBottom w:val="0"/>
                      <w:divBdr>
                        <w:top w:val="none" w:sz="0" w:space="0" w:color="auto"/>
                        <w:left w:val="none" w:sz="0" w:space="0" w:color="auto"/>
                        <w:bottom w:val="none" w:sz="0" w:space="0" w:color="auto"/>
                        <w:right w:val="none" w:sz="0" w:space="0" w:color="auto"/>
                      </w:divBdr>
                    </w:div>
                  </w:divsChild>
                </w:div>
                <w:div w:id="376517053">
                  <w:marLeft w:val="0"/>
                  <w:marRight w:val="0"/>
                  <w:marTop w:val="0"/>
                  <w:marBottom w:val="0"/>
                  <w:divBdr>
                    <w:top w:val="none" w:sz="0" w:space="0" w:color="auto"/>
                    <w:left w:val="none" w:sz="0" w:space="0" w:color="auto"/>
                    <w:bottom w:val="none" w:sz="0" w:space="0" w:color="auto"/>
                    <w:right w:val="none" w:sz="0" w:space="0" w:color="auto"/>
                  </w:divBdr>
                  <w:divsChild>
                    <w:div w:id="865211801">
                      <w:marLeft w:val="0"/>
                      <w:marRight w:val="0"/>
                      <w:marTop w:val="0"/>
                      <w:marBottom w:val="0"/>
                      <w:divBdr>
                        <w:top w:val="none" w:sz="0" w:space="0" w:color="auto"/>
                        <w:left w:val="none" w:sz="0" w:space="0" w:color="auto"/>
                        <w:bottom w:val="none" w:sz="0" w:space="0" w:color="auto"/>
                        <w:right w:val="none" w:sz="0" w:space="0" w:color="auto"/>
                      </w:divBdr>
                    </w:div>
                  </w:divsChild>
                </w:div>
                <w:div w:id="376776950">
                  <w:marLeft w:val="0"/>
                  <w:marRight w:val="0"/>
                  <w:marTop w:val="0"/>
                  <w:marBottom w:val="0"/>
                  <w:divBdr>
                    <w:top w:val="none" w:sz="0" w:space="0" w:color="auto"/>
                    <w:left w:val="none" w:sz="0" w:space="0" w:color="auto"/>
                    <w:bottom w:val="none" w:sz="0" w:space="0" w:color="auto"/>
                    <w:right w:val="none" w:sz="0" w:space="0" w:color="auto"/>
                  </w:divBdr>
                  <w:divsChild>
                    <w:div w:id="1690642052">
                      <w:marLeft w:val="0"/>
                      <w:marRight w:val="0"/>
                      <w:marTop w:val="0"/>
                      <w:marBottom w:val="0"/>
                      <w:divBdr>
                        <w:top w:val="none" w:sz="0" w:space="0" w:color="auto"/>
                        <w:left w:val="none" w:sz="0" w:space="0" w:color="auto"/>
                        <w:bottom w:val="none" w:sz="0" w:space="0" w:color="auto"/>
                        <w:right w:val="none" w:sz="0" w:space="0" w:color="auto"/>
                      </w:divBdr>
                    </w:div>
                  </w:divsChild>
                </w:div>
                <w:div w:id="377171826">
                  <w:marLeft w:val="0"/>
                  <w:marRight w:val="0"/>
                  <w:marTop w:val="0"/>
                  <w:marBottom w:val="0"/>
                  <w:divBdr>
                    <w:top w:val="none" w:sz="0" w:space="0" w:color="auto"/>
                    <w:left w:val="none" w:sz="0" w:space="0" w:color="auto"/>
                    <w:bottom w:val="none" w:sz="0" w:space="0" w:color="auto"/>
                    <w:right w:val="none" w:sz="0" w:space="0" w:color="auto"/>
                  </w:divBdr>
                  <w:divsChild>
                    <w:div w:id="554512461">
                      <w:marLeft w:val="0"/>
                      <w:marRight w:val="0"/>
                      <w:marTop w:val="0"/>
                      <w:marBottom w:val="0"/>
                      <w:divBdr>
                        <w:top w:val="none" w:sz="0" w:space="0" w:color="auto"/>
                        <w:left w:val="none" w:sz="0" w:space="0" w:color="auto"/>
                        <w:bottom w:val="none" w:sz="0" w:space="0" w:color="auto"/>
                        <w:right w:val="none" w:sz="0" w:space="0" w:color="auto"/>
                      </w:divBdr>
                    </w:div>
                  </w:divsChild>
                </w:div>
                <w:div w:id="411708546">
                  <w:marLeft w:val="0"/>
                  <w:marRight w:val="0"/>
                  <w:marTop w:val="0"/>
                  <w:marBottom w:val="0"/>
                  <w:divBdr>
                    <w:top w:val="none" w:sz="0" w:space="0" w:color="auto"/>
                    <w:left w:val="none" w:sz="0" w:space="0" w:color="auto"/>
                    <w:bottom w:val="none" w:sz="0" w:space="0" w:color="auto"/>
                    <w:right w:val="none" w:sz="0" w:space="0" w:color="auto"/>
                  </w:divBdr>
                  <w:divsChild>
                    <w:div w:id="1466924715">
                      <w:marLeft w:val="0"/>
                      <w:marRight w:val="0"/>
                      <w:marTop w:val="0"/>
                      <w:marBottom w:val="0"/>
                      <w:divBdr>
                        <w:top w:val="none" w:sz="0" w:space="0" w:color="auto"/>
                        <w:left w:val="none" w:sz="0" w:space="0" w:color="auto"/>
                        <w:bottom w:val="none" w:sz="0" w:space="0" w:color="auto"/>
                        <w:right w:val="none" w:sz="0" w:space="0" w:color="auto"/>
                      </w:divBdr>
                    </w:div>
                  </w:divsChild>
                </w:div>
                <w:div w:id="442187744">
                  <w:marLeft w:val="0"/>
                  <w:marRight w:val="0"/>
                  <w:marTop w:val="0"/>
                  <w:marBottom w:val="0"/>
                  <w:divBdr>
                    <w:top w:val="none" w:sz="0" w:space="0" w:color="auto"/>
                    <w:left w:val="none" w:sz="0" w:space="0" w:color="auto"/>
                    <w:bottom w:val="none" w:sz="0" w:space="0" w:color="auto"/>
                    <w:right w:val="none" w:sz="0" w:space="0" w:color="auto"/>
                  </w:divBdr>
                  <w:divsChild>
                    <w:div w:id="1383216900">
                      <w:marLeft w:val="0"/>
                      <w:marRight w:val="0"/>
                      <w:marTop w:val="0"/>
                      <w:marBottom w:val="0"/>
                      <w:divBdr>
                        <w:top w:val="none" w:sz="0" w:space="0" w:color="auto"/>
                        <w:left w:val="none" w:sz="0" w:space="0" w:color="auto"/>
                        <w:bottom w:val="none" w:sz="0" w:space="0" w:color="auto"/>
                        <w:right w:val="none" w:sz="0" w:space="0" w:color="auto"/>
                      </w:divBdr>
                    </w:div>
                  </w:divsChild>
                </w:div>
                <w:div w:id="458763352">
                  <w:marLeft w:val="0"/>
                  <w:marRight w:val="0"/>
                  <w:marTop w:val="0"/>
                  <w:marBottom w:val="0"/>
                  <w:divBdr>
                    <w:top w:val="none" w:sz="0" w:space="0" w:color="auto"/>
                    <w:left w:val="none" w:sz="0" w:space="0" w:color="auto"/>
                    <w:bottom w:val="none" w:sz="0" w:space="0" w:color="auto"/>
                    <w:right w:val="none" w:sz="0" w:space="0" w:color="auto"/>
                  </w:divBdr>
                  <w:divsChild>
                    <w:div w:id="284965329">
                      <w:marLeft w:val="0"/>
                      <w:marRight w:val="0"/>
                      <w:marTop w:val="0"/>
                      <w:marBottom w:val="0"/>
                      <w:divBdr>
                        <w:top w:val="none" w:sz="0" w:space="0" w:color="auto"/>
                        <w:left w:val="none" w:sz="0" w:space="0" w:color="auto"/>
                        <w:bottom w:val="none" w:sz="0" w:space="0" w:color="auto"/>
                        <w:right w:val="none" w:sz="0" w:space="0" w:color="auto"/>
                      </w:divBdr>
                    </w:div>
                  </w:divsChild>
                </w:div>
                <w:div w:id="464549678">
                  <w:marLeft w:val="0"/>
                  <w:marRight w:val="0"/>
                  <w:marTop w:val="0"/>
                  <w:marBottom w:val="0"/>
                  <w:divBdr>
                    <w:top w:val="none" w:sz="0" w:space="0" w:color="auto"/>
                    <w:left w:val="none" w:sz="0" w:space="0" w:color="auto"/>
                    <w:bottom w:val="none" w:sz="0" w:space="0" w:color="auto"/>
                    <w:right w:val="none" w:sz="0" w:space="0" w:color="auto"/>
                  </w:divBdr>
                  <w:divsChild>
                    <w:div w:id="1370717233">
                      <w:marLeft w:val="0"/>
                      <w:marRight w:val="0"/>
                      <w:marTop w:val="0"/>
                      <w:marBottom w:val="0"/>
                      <w:divBdr>
                        <w:top w:val="none" w:sz="0" w:space="0" w:color="auto"/>
                        <w:left w:val="none" w:sz="0" w:space="0" w:color="auto"/>
                        <w:bottom w:val="none" w:sz="0" w:space="0" w:color="auto"/>
                        <w:right w:val="none" w:sz="0" w:space="0" w:color="auto"/>
                      </w:divBdr>
                    </w:div>
                  </w:divsChild>
                </w:div>
                <w:div w:id="465002725">
                  <w:marLeft w:val="0"/>
                  <w:marRight w:val="0"/>
                  <w:marTop w:val="0"/>
                  <w:marBottom w:val="0"/>
                  <w:divBdr>
                    <w:top w:val="none" w:sz="0" w:space="0" w:color="auto"/>
                    <w:left w:val="none" w:sz="0" w:space="0" w:color="auto"/>
                    <w:bottom w:val="none" w:sz="0" w:space="0" w:color="auto"/>
                    <w:right w:val="none" w:sz="0" w:space="0" w:color="auto"/>
                  </w:divBdr>
                  <w:divsChild>
                    <w:div w:id="1797487198">
                      <w:marLeft w:val="0"/>
                      <w:marRight w:val="0"/>
                      <w:marTop w:val="0"/>
                      <w:marBottom w:val="0"/>
                      <w:divBdr>
                        <w:top w:val="none" w:sz="0" w:space="0" w:color="auto"/>
                        <w:left w:val="none" w:sz="0" w:space="0" w:color="auto"/>
                        <w:bottom w:val="none" w:sz="0" w:space="0" w:color="auto"/>
                        <w:right w:val="none" w:sz="0" w:space="0" w:color="auto"/>
                      </w:divBdr>
                    </w:div>
                  </w:divsChild>
                </w:div>
                <w:div w:id="465129813">
                  <w:marLeft w:val="0"/>
                  <w:marRight w:val="0"/>
                  <w:marTop w:val="0"/>
                  <w:marBottom w:val="0"/>
                  <w:divBdr>
                    <w:top w:val="none" w:sz="0" w:space="0" w:color="auto"/>
                    <w:left w:val="none" w:sz="0" w:space="0" w:color="auto"/>
                    <w:bottom w:val="none" w:sz="0" w:space="0" w:color="auto"/>
                    <w:right w:val="none" w:sz="0" w:space="0" w:color="auto"/>
                  </w:divBdr>
                  <w:divsChild>
                    <w:div w:id="1200360613">
                      <w:marLeft w:val="0"/>
                      <w:marRight w:val="0"/>
                      <w:marTop w:val="0"/>
                      <w:marBottom w:val="0"/>
                      <w:divBdr>
                        <w:top w:val="none" w:sz="0" w:space="0" w:color="auto"/>
                        <w:left w:val="none" w:sz="0" w:space="0" w:color="auto"/>
                        <w:bottom w:val="none" w:sz="0" w:space="0" w:color="auto"/>
                        <w:right w:val="none" w:sz="0" w:space="0" w:color="auto"/>
                      </w:divBdr>
                    </w:div>
                  </w:divsChild>
                </w:div>
                <w:div w:id="475267728">
                  <w:marLeft w:val="0"/>
                  <w:marRight w:val="0"/>
                  <w:marTop w:val="0"/>
                  <w:marBottom w:val="0"/>
                  <w:divBdr>
                    <w:top w:val="none" w:sz="0" w:space="0" w:color="auto"/>
                    <w:left w:val="none" w:sz="0" w:space="0" w:color="auto"/>
                    <w:bottom w:val="none" w:sz="0" w:space="0" w:color="auto"/>
                    <w:right w:val="none" w:sz="0" w:space="0" w:color="auto"/>
                  </w:divBdr>
                  <w:divsChild>
                    <w:div w:id="676035393">
                      <w:marLeft w:val="0"/>
                      <w:marRight w:val="0"/>
                      <w:marTop w:val="0"/>
                      <w:marBottom w:val="0"/>
                      <w:divBdr>
                        <w:top w:val="none" w:sz="0" w:space="0" w:color="auto"/>
                        <w:left w:val="none" w:sz="0" w:space="0" w:color="auto"/>
                        <w:bottom w:val="none" w:sz="0" w:space="0" w:color="auto"/>
                        <w:right w:val="none" w:sz="0" w:space="0" w:color="auto"/>
                      </w:divBdr>
                    </w:div>
                  </w:divsChild>
                </w:div>
                <w:div w:id="477190779">
                  <w:marLeft w:val="0"/>
                  <w:marRight w:val="0"/>
                  <w:marTop w:val="0"/>
                  <w:marBottom w:val="0"/>
                  <w:divBdr>
                    <w:top w:val="none" w:sz="0" w:space="0" w:color="auto"/>
                    <w:left w:val="none" w:sz="0" w:space="0" w:color="auto"/>
                    <w:bottom w:val="none" w:sz="0" w:space="0" w:color="auto"/>
                    <w:right w:val="none" w:sz="0" w:space="0" w:color="auto"/>
                  </w:divBdr>
                  <w:divsChild>
                    <w:div w:id="672268656">
                      <w:marLeft w:val="0"/>
                      <w:marRight w:val="0"/>
                      <w:marTop w:val="0"/>
                      <w:marBottom w:val="0"/>
                      <w:divBdr>
                        <w:top w:val="none" w:sz="0" w:space="0" w:color="auto"/>
                        <w:left w:val="none" w:sz="0" w:space="0" w:color="auto"/>
                        <w:bottom w:val="none" w:sz="0" w:space="0" w:color="auto"/>
                        <w:right w:val="none" w:sz="0" w:space="0" w:color="auto"/>
                      </w:divBdr>
                    </w:div>
                  </w:divsChild>
                </w:div>
                <w:div w:id="481242714">
                  <w:marLeft w:val="0"/>
                  <w:marRight w:val="0"/>
                  <w:marTop w:val="0"/>
                  <w:marBottom w:val="0"/>
                  <w:divBdr>
                    <w:top w:val="none" w:sz="0" w:space="0" w:color="auto"/>
                    <w:left w:val="none" w:sz="0" w:space="0" w:color="auto"/>
                    <w:bottom w:val="none" w:sz="0" w:space="0" w:color="auto"/>
                    <w:right w:val="none" w:sz="0" w:space="0" w:color="auto"/>
                  </w:divBdr>
                  <w:divsChild>
                    <w:div w:id="1199466470">
                      <w:marLeft w:val="0"/>
                      <w:marRight w:val="0"/>
                      <w:marTop w:val="0"/>
                      <w:marBottom w:val="0"/>
                      <w:divBdr>
                        <w:top w:val="none" w:sz="0" w:space="0" w:color="auto"/>
                        <w:left w:val="none" w:sz="0" w:space="0" w:color="auto"/>
                        <w:bottom w:val="none" w:sz="0" w:space="0" w:color="auto"/>
                        <w:right w:val="none" w:sz="0" w:space="0" w:color="auto"/>
                      </w:divBdr>
                    </w:div>
                  </w:divsChild>
                </w:div>
                <w:div w:id="481312750">
                  <w:marLeft w:val="0"/>
                  <w:marRight w:val="0"/>
                  <w:marTop w:val="0"/>
                  <w:marBottom w:val="0"/>
                  <w:divBdr>
                    <w:top w:val="none" w:sz="0" w:space="0" w:color="auto"/>
                    <w:left w:val="none" w:sz="0" w:space="0" w:color="auto"/>
                    <w:bottom w:val="none" w:sz="0" w:space="0" w:color="auto"/>
                    <w:right w:val="none" w:sz="0" w:space="0" w:color="auto"/>
                  </w:divBdr>
                  <w:divsChild>
                    <w:div w:id="689264690">
                      <w:marLeft w:val="0"/>
                      <w:marRight w:val="0"/>
                      <w:marTop w:val="0"/>
                      <w:marBottom w:val="0"/>
                      <w:divBdr>
                        <w:top w:val="none" w:sz="0" w:space="0" w:color="auto"/>
                        <w:left w:val="none" w:sz="0" w:space="0" w:color="auto"/>
                        <w:bottom w:val="none" w:sz="0" w:space="0" w:color="auto"/>
                        <w:right w:val="none" w:sz="0" w:space="0" w:color="auto"/>
                      </w:divBdr>
                    </w:div>
                  </w:divsChild>
                </w:div>
                <w:div w:id="491599853">
                  <w:marLeft w:val="0"/>
                  <w:marRight w:val="0"/>
                  <w:marTop w:val="0"/>
                  <w:marBottom w:val="0"/>
                  <w:divBdr>
                    <w:top w:val="none" w:sz="0" w:space="0" w:color="auto"/>
                    <w:left w:val="none" w:sz="0" w:space="0" w:color="auto"/>
                    <w:bottom w:val="none" w:sz="0" w:space="0" w:color="auto"/>
                    <w:right w:val="none" w:sz="0" w:space="0" w:color="auto"/>
                  </w:divBdr>
                  <w:divsChild>
                    <w:div w:id="1328484093">
                      <w:marLeft w:val="0"/>
                      <w:marRight w:val="0"/>
                      <w:marTop w:val="0"/>
                      <w:marBottom w:val="0"/>
                      <w:divBdr>
                        <w:top w:val="none" w:sz="0" w:space="0" w:color="auto"/>
                        <w:left w:val="none" w:sz="0" w:space="0" w:color="auto"/>
                        <w:bottom w:val="none" w:sz="0" w:space="0" w:color="auto"/>
                        <w:right w:val="none" w:sz="0" w:space="0" w:color="auto"/>
                      </w:divBdr>
                    </w:div>
                  </w:divsChild>
                </w:div>
                <w:div w:id="493183773">
                  <w:marLeft w:val="0"/>
                  <w:marRight w:val="0"/>
                  <w:marTop w:val="0"/>
                  <w:marBottom w:val="0"/>
                  <w:divBdr>
                    <w:top w:val="none" w:sz="0" w:space="0" w:color="auto"/>
                    <w:left w:val="none" w:sz="0" w:space="0" w:color="auto"/>
                    <w:bottom w:val="none" w:sz="0" w:space="0" w:color="auto"/>
                    <w:right w:val="none" w:sz="0" w:space="0" w:color="auto"/>
                  </w:divBdr>
                  <w:divsChild>
                    <w:div w:id="918247427">
                      <w:marLeft w:val="0"/>
                      <w:marRight w:val="0"/>
                      <w:marTop w:val="0"/>
                      <w:marBottom w:val="0"/>
                      <w:divBdr>
                        <w:top w:val="none" w:sz="0" w:space="0" w:color="auto"/>
                        <w:left w:val="none" w:sz="0" w:space="0" w:color="auto"/>
                        <w:bottom w:val="none" w:sz="0" w:space="0" w:color="auto"/>
                        <w:right w:val="none" w:sz="0" w:space="0" w:color="auto"/>
                      </w:divBdr>
                    </w:div>
                  </w:divsChild>
                </w:div>
                <w:div w:id="503859066">
                  <w:marLeft w:val="0"/>
                  <w:marRight w:val="0"/>
                  <w:marTop w:val="0"/>
                  <w:marBottom w:val="0"/>
                  <w:divBdr>
                    <w:top w:val="none" w:sz="0" w:space="0" w:color="auto"/>
                    <w:left w:val="none" w:sz="0" w:space="0" w:color="auto"/>
                    <w:bottom w:val="none" w:sz="0" w:space="0" w:color="auto"/>
                    <w:right w:val="none" w:sz="0" w:space="0" w:color="auto"/>
                  </w:divBdr>
                  <w:divsChild>
                    <w:div w:id="764420913">
                      <w:marLeft w:val="0"/>
                      <w:marRight w:val="0"/>
                      <w:marTop w:val="0"/>
                      <w:marBottom w:val="0"/>
                      <w:divBdr>
                        <w:top w:val="none" w:sz="0" w:space="0" w:color="auto"/>
                        <w:left w:val="none" w:sz="0" w:space="0" w:color="auto"/>
                        <w:bottom w:val="none" w:sz="0" w:space="0" w:color="auto"/>
                        <w:right w:val="none" w:sz="0" w:space="0" w:color="auto"/>
                      </w:divBdr>
                    </w:div>
                  </w:divsChild>
                </w:div>
                <w:div w:id="515310671">
                  <w:marLeft w:val="0"/>
                  <w:marRight w:val="0"/>
                  <w:marTop w:val="0"/>
                  <w:marBottom w:val="0"/>
                  <w:divBdr>
                    <w:top w:val="none" w:sz="0" w:space="0" w:color="auto"/>
                    <w:left w:val="none" w:sz="0" w:space="0" w:color="auto"/>
                    <w:bottom w:val="none" w:sz="0" w:space="0" w:color="auto"/>
                    <w:right w:val="none" w:sz="0" w:space="0" w:color="auto"/>
                  </w:divBdr>
                  <w:divsChild>
                    <w:div w:id="825049440">
                      <w:marLeft w:val="0"/>
                      <w:marRight w:val="0"/>
                      <w:marTop w:val="0"/>
                      <w:marBottom w:val="0"/>
                      <w:divBdr>
                        <w:top w:val="none" w:sz="0" w:space="0" w:color="auto"/>
                        <w:left w:val="none" w:sz="0" w:space="0" w:color="auto"/>
                        <w:bottom w:val="none" w:sz="0" w:space="0" w:color="auto"/>
                        <w:right w:val="none" w:sz="0" w:space="0" w:color="auto"/>
                      </w:divBdr>
                    </w:div>
                  </w:divsChild>
                </w:div>
                <w:div w:id="536115614">
                  <w:marLeft w:val="0"/>
                  <w:marRight w:val="0"/>
                  <w:marTop w:val="0"/>
                  <w:marBottom w:val="0"/>
                  <w:divBdr>
                    <w:top w:val="none" w:sz="0" w:space="0" w:color="auto"/>
                    <w:left w:val="none" w:sz="0" w:space="0" w:color="auto"/>
                    <w:bottom w:val="none" w:sz="0" w:space="0" w:color="auto"/>
                    <w:right w:val="none" w:sz="0" w:space="0" w:color="auto"/>
                  </w:divBdr>
                  <w:divsChild>
                    <w:div w:id="1684742257">
                      <w:marLeft w:val="0"/>
                      <w:marRight w:val="0"/>
                      <w:marTop w:val="0"/>
                      <w:marBottom w:val="0"/>
                      <w:divBdr>
                        <w:top w:val="none" w:sz="0" w:space="0" w:color="auto"/>
                        <w:left w:val="none" w:sz="0" w:space="0" w:color="auto"/>
                        <w:bottom w:val="none" w:sz="0" w:space="0" w:color="auto"/>
                        <w:right w:val="none" w:sz="0" w:space="0" w:color="auto"/>
                      </w:divBdr>
                    </w:div>
                  </w:divsChild>
                </w:div>
                <w:div w:id="560603040">
                  <w:marLeft w:val="0"/>
                  <w:marRight w:val="0"/>
                  <w:marTop w:val="0"/>
                  <w:marBottom w:val="0"/>
                  <w:divBdr>
                    <w:top w:val="none" w:sz="0" w:space="0" w:color="auto"/>
                    <w:left w:val="none" w:sz="0" w:space="0" w:color="auto"/>
                    <w:bottom w:val="none" w:sz="0" w:space="0" w:color="auto"/>
                    <w:right w:val="none" w:sz="0" w:space="0" w:color="auto"/>
                  </w:divBdr>
                  <w:divsChild>
                    <w:div w:id="1008485829">
                      <w:marLeft w:val="0"/>
                      <w:marRight w:val="0"/>
                      <w:marTop w:val="0"/>
                      <w:marBottom w:val="0"/>
                      <w:divBdr>
                        <w:top w:val="none" w:sz="0" w:space="0" w:color="auto"/>
                        <w:left w:val="none" w:sz="0" w:space="0" w:color="auto"/>
                        <w:bottom w:val="none" w:sz="0" w:space="0" w:color="auto"/>
                        <w:right w:val="none" w:sz="0" w:space="0" w:color="auto"/>
                      </w:divBdr>
                    </w:div>
                  </w:divsChild>
                </w:div>
                <w:div w:id="567686389">
                  <w:marLeft w:val="0"/>
                  <w:marRight w:val="0"/>
                  <w:marTop w:val="0"/>
                  <w:marBottom w:val="0"/>
                  <w:divBdr>
                    <w:top w:val="none" w:sz="0" w:space="0" w:color="auto"/>
                    <w:left w:val="none" w:sz="0" w:space="0" w:color="auto"/>
                    <w:bottom w:val="none" w:sz="0" w:space="0" w:color="auto"/>
                    <w:right w:val="none" w:sz="0" w:space="0" w:color="auto"/>
                  </w:divBdr>
                  <w:divsChild>
                    <w:div w:id="121654311">
                      <w:marLeft w:val="0"/>
                      <w:marRight w:val="0"/>
                      <w:marTop w:val="0"/>
                      <w:marBottom w:val="0"/>
                      <w:divBdr>
                        <w:top w:val="none" w:sz="0" w:space="0" w:color="auto"/>
                        <w:left w:val="none" w:sz="0" w:space="0" w:color="auto"/>
                        <w:bottom w:val="none" w:sz="0" w:space="0" w:color="auto"/>
                        <w:right w:val="none" w:sz="0" w:space="0" w:color="auto"/>
                      </w:divBdr>
                    </w:div>
                  </w:divsChild>
                </w:div>
                <w:div w:id="567959179">
                  <w:marLeft w:val="0"/>
                  <w:marRight w:val="0"/>
                  <w:marTop w:val="0"/>
                  <w:marBottom w:val="0"/>
                  <w:divBdr>
                    <w:top w:val="none" w:sz="0" w:space="0" w:color="auto"/>
                    <w:left w:val="none" w:sz="0" w:space="0" w:color="auto"/>
                    <w:bottom w:val="none" w:sz="0" w:space="0" w:color="auto"/>
                    <w:right w:val="none" w:sz="0" w:space="0" w:color="auto"/>
                  </w:divBdr>
                  <w:divsChild>
                    <w:div w:id="1253390447">
                      <w:marLeft w:val="0"/>
                      <w:marRight w:val="0"/>
                      <w:marTop w:val="0"/>
                      <w:marBottom w:val="0"/>
                      <w:divBdr>
                        <w:top w:val="none" w:sz="0" w:space="0" w:color="auto"/>
                        <w:left w:val="none" w:sz="0" w:space="0" w:color="auto"/>
                        <w:bottom w:val="none" w:sz="0" w:space="0" w:color="auto"/>
                        <w:right w:val="none" w:sz="0" w:space="0" w:color="auto"/>
                      </w:divBdr>
                    </w:div>
                  </w:divsChild>
                </w:div>
                <w:div w:id="573442496">
                  <w:marLeft w:val="0"/>
                  <w:marRight w:val="0"/>
                  <w:marTop w:val="0"/>
                  <w:marBottom w:val="0"/>
                  <w:divBdr>
                    <w:top w:val="none" w:sz="0" w:space="0" w:color="auto"/>
                    <w:left w:val="none" w:sz="0" w:space="0" w:color="auto"/>
                    <w:bottom w:val="none" w:sz="0" w:space="0" w:color="auto"/>
                    <w:right w:val="none" w:sz="0" w:space="0" w:color="auto"/>
                  </w:divBdr>
                  <w:divsChild>
                    <w:div w:id="345400301">
                      <w:marLeft w:val="0"/>
                      <w:marRight w:val="0"/>
                      <w:marTop w:val="0"/>
                      <w:marBottom w:val="0"/>
                      <w:divBdr>
                        <w:top w:val="none" w:sz="0" w:space="0" w:color="auto"/>
                        <w:left w:val="none" w:sz="0" w:space="0" w:color="auto"/>
                        <w:bottom w:val="none" w:sz="0" w:space="0" w:color="auto"/>
                        <w:right w:val="none" w:sz="0" w:space="0" w:color="auto"/>
                      </w:divBdr>
                    </w:div>
                  </w:divsChild>
                </w:div>
                <w:div w:id="582228734">
                  <w:marLeft w:val="0"/>
                  <w:marRight w:val="0"/>
                  <w:marTop w:val="0"/>
                  <w:marBottom w:val="0"/>
                  <w:divBdr>
                    <w:top w:val="none" w:sz="0" w:space="0" w:color="auto"/>
                    <w:left w:val="none" w:sz="0" w:space="0" w:color="auto"/>
                    <w:bottom w:val="none" w:sz="0" w:space="0" w:color="auto"/>
                    <w:right w:val="none" w:sz="0" w:space="0" w:color="auto"/>
                  </w:divBdr>
                  <w:divsChild>
                    <w:div w:id="1768498219">
                      <w:marLeft w:val="0"/>
                      <w:marRight w:val="0"/>
                      <w:marTop w:val="0"/>
                      <w:marBottom w:val="0"/>
                      <w:divBdr>
                        <w:top w:val="none" w:sz="0" w:space="0" w:color="auto"/>
                        <w:left w:val="none" w:sz="0" w:space="0" w:color="auto"/>
                        <w:bottom w:val="none" w:sz="0" w:space="0" w:color="auto"/>
                        <w:right w:val="none" w:sz="0" w:space="0" w:color="auto"/>
                      </w:divBdr>
                    </w:div>
                  </w:divsChild>
                </w:div>
                <w:div w:id="583076904">
                  <w:marLeft w:val="0"/>
                  <w:marRight w:val="0"/>
                  <w:marTop w:val="0"/>
                  <w:marBottom w:val="0"/>
                  <w:divBdr>
                    <w:top w:val="none" w:sz="0" w:space="0" w:color="auto"/>
                    <w:left w:val="none" w:sz="0" w:space="0" w:color="auto"/>
                    <w:bottom w:val="none" w:sz="0" w:space="0" w:color="auto"/>
                    <w:right w:val="none" w:sz="0" w:space="0" w:color="auto"/>
                  </w:divBdr>
                  <w:divsChild>
                    <w:div w:id="1724861937">
                      <w:marLeft w:val="0"/>
                      <w:marRight w:val="0"/>
                      <w:marTop w:val="0"/>
                      <w:marBottom w:val="0"/>
                      <w:divBdr>
                        <w:top w:val="none" w:sz="0" w:space="0" w:color="auto"/>
                        <w:left w:val="none" w:sz="0" w:space="0" w:color="auto"/>
                        <w:bottom w:val="none" w:sz="0" w:space="0" w:color="auto"/>
                        <w:right w:val="none" w:sz="0" w:space="0" w:color="auto"/>
                      </w:divBdr>
                    </w:div>
                  </w:divsChild>
                </w:div>
                <w:div w:id="584581961">
                  <w:marLeft w:val="0"/>
                  <w:marRight w:val="0"/>
                  <w:marTop w:val="0"/>
                  <w:marBottom w:val="0"/>
                  <w:divBdr>
                    <w:top w:val="none" w:sz="0" w:space="0" w:color="auto"/>
                    <w:left w:val="none" w:sz="0" w:space="0" w:color="auto"/>
                    <w:bottom w:val="none" w:sz="0" w:space="0" w:color="auto"/>
                    <w:right w:val="none" w:sz="0" w:space="0" w:color="auto"/>
                  </w:divBdr>
                  <w:divsChild>
                    <w:div w:id="835194024">
                      <w:marLeft w:val="0"/>
                      <w:marRight w:val="0"/>
                      <w:marTop w:val="0"/>
                      <w:marBottom w:val="0"/>
                      <w:divBdr>
                        <w:top w:val="none" w:sz="0" w:space="0" w:color="auto"/>
                        <w:left w:val="none" w:sz="0" w:space="0" w:color="auto"/>
                        <w:bottom w:val="none" w:sz="0" w:space="0" w:color="auto"/>
                        <w:right w:val="none" w:sz="0" w:space="0" w:color="auto"/>
                      </w:divBdr>
                    </w:div>
                  </w:divsChild>
                </w:div>
                <w:div w:id="594633004">
                  <w:marLeft w:val="0"/>
                  <w:marRight w:val="0"/>
                  <w:marTop w:val="0"/>
                  <w:marBottom w:val="0"/>
                  <w:divBdr>
                    <w:top w:val="none" w:sz="0" w:space="0" w:color="auto"/>
                    <w:left w:val="none" w:sz="0" w:space="0" w:color="auto"/>
                    <w:bottom w:val="none" w:sz="0" w:space="0" w:color="auto"/>
                    <w:right w:val="none" w:sz="0" w:space="0" w:color="auto"/>
                  </w:divBdr>
                  <w:divsChild>
                    <w:div w:id="647517524">
                      <w:marLeft w:val="0"/>
                      <w:marRight w:val="0"/>
                      <w:marTop w:val="0"/>
                      <w:marBottom w:val="0"/>
                      <w:divBdr>
                        <w:top w:val="none" w:sz="0" w:space="0" w:color="auto"/>
                        <w:left w:val="none" w:sz="0" w:space="0" w:color="auto"/>
                        <w:bottom w:val="none" w:sz="0" w:space="0" w:color="auto"/>
                        <w:right w:val="none" w:sz="0" w:space="0" w:color="auto"/>
                      </w:divBdr>
                    </w:div>
                  </w:divsChild>
                </w:div>
                <w:div w:id="596914320">
                  <w:marLeft w:val="0"/>
                  <w:marRight w:val="0"/>
                  <w:marTop w:val="0"/>
                  <w:marBottom w:val="0"/>
                  <w:divBdr>
                    <w:top w:val="none" w:sz="0" w:space="0" w:color="auto"/>
                    <w:left w:val="none" w:sz="0" w:space="0" w:color="auto"/>
                    <w:bottom w:val="none" w:sz="0" w:space="0" w:color="auto"/>
                    <w:right w:val="none" w:sz="0" w:space="0" w:color="auto"/>
                  </w:divBdr>
                  <w:divsChild>
                    <w:div w:id="1149597402">
                      <w:marLeft w:val="0"/>
                      <w:marRight w:val="0"/>
                      <w:marTop w:val="0"/>
                      <w:marBottom w:val="0"/>
                      <w:divBdr>
                        <w:top w:val="none" w:sz="0" w:space="0" w:color="auto"/>
                        <w:left w:val="none" w:sz="0" w:space="0" w:color="auto"/>
                        <w:bottom w:val="none" w:sz="0" w:space="0" w:color="auto"/>
                        <w:right w:val="none" w:sz="0" w:space="0" w:color="auto"/>
                      </w:divBdr>
                    </w:div>
                  </w:divsChild>
                </w:div>
                <w:div w:id="601764196">
                  <w:marLeft w:val="0"/>
                  <w:marRight w:val="0"/>
                  <w:marTop w:val="0"/>
                  <w:marBottom w:val="0"/>
                  <w:divBdr>
                    <w:top w:val="none" w:sz="0" w:space="0" w:color="auto"/>
                    <w:left w:val="none" w:sz="0" w:space="0" w:color="auto"/>
                    <w:bottom w:val="none" w:sz="0" w:space="0" w:color="auto"/>
                    <w:right w:val="none" w:sz="0" w:space="0" w:color="auto"/>
                  </w:divBdr>
                  <w:divsChild>
                    <w:div w:id="1476289454">
                      <w:marLeft w:val="0"/>
                      <w:marRight w:val="0"/>
                      <w:marTop w:val="0"/>
                      <w:marBottom w:val="0"/>
                      <w:divBdr>
                        <w:top w:val="none" w:sz="0" w:space="0" w:color="auto"/>
                        <w:left w:val="none" w:sz="0" w:space="0" w:color="auto"/>
                        <w:bottom w:val="none" w:sz="0" w:space="0" w:color="auto"/>
                        <w:right w:val="none" w:sz="0" w:space="0" w:color="auto"/>
                      </w:divBdr>
                    </w:div>
                  </w:divsChild>
                </w:div>
                <w:div w:id="604508604">
                  <w:marLeft w:val="0"/>
                  <w:marRight w:val="0"/>
                  <w:marTop w:val="0"/>
                  <w:marBottom w:val="0"/>
                  <w:divBdr>
                    <w:top w:val="none" w:sz="0" w:space="0" w:color="auto"/>
                    <w:left w:val="none" w:sz="0" w:space="0" w:color="auto"/>
                    <w:bottom w:val="none" w:sz="0" w:space="0" w:color="auto"/>
                    <w:right w:val="none" w:sz="0" w:space="0" w:color="auto"/>
                  </w:divBdr>
                  <w:divsChild>
                    <w:div w:id="743067611">
                      <w:marLeft w:val="0"/>
                      <w:marRight w:val="0"/>
                      <w:marTop w:val="0"/>
                      <w:marBottom w:val="0"/>
                      <w:divBdr>
                        <w:top w:val="none" w:sz="0" w:space="0" w:color="auto"/>
                        <w:left w:val="none" w:sz="0" w:space="0" w:color="auto"/>
                        <w:bottom w:val="none" w:sz="0" w:space="0" w:color="auto"/>
                        <w:right w:val="none" w:sz="0" w:space="0" w:color="auto"/>
                      </w:divBdr>
                    </w:div>
                  </w:divsChild>
                </w:div>
                <w:div w:id="604970595">
                  <w:marLeft w:val="0"/>
                  <w:marRight w:val="0"/>
                  <w:marTop w:val="0"/>
                  <w:marBottom w:val="0"/>
                  <w:divBdr>
                    <w:top w:val="none" w:sz="0" w:space="0" w:color="auto"/>
                    <w:left w:val="none" w:sz="0" w:space="0" w:color="auto"/>
                    <w:bottom w:val="none" w:sz="0" w:space="0" w:color="auto"/>
                    <w:right w:val="none" w:sz="0" w:space="0" w:color="auto"/>
                  </w:divBdr>
                  <w:divsChild>
                    <w:div w:id="1421680726">
                      <w:marLeft w:val="0"/>
                      <w:marRight w:val="0"/>
                      <w:marTop w:val="0"/>
                      <w:marBottom w:val="0"/>
                      <w:divBdr>
                        <w:top w:val="none" w:sz="0" w:space="0" w:color="auto"/>
                        <w:left w:val="none" w:sz="0" w:space="0" w:color="auto"/>
                        <w:bottom w:val="none" w:sz="0" w:space="0" w:color="auto"/>
                        <w:right w:val="none" w:sz="0" w:space="0" w:color="auto"/>
                      </w:divBdr>
                    </w:div>
                  </w:divsChild>
                </w:div>
                <w:div w:id="622881723">
                  <w:marLeft w:val="0"/>
                  <w:marRight w:val="0"/>
                  <w:marTop w:val="0"/>
                  <w:marBottom w:val="0"/>
                  <w:divBdr>
                    <w:top w:val="none" w:sz="0" w:space="0" w:color="auto"/>
                    <w:left w:val="none" w:sz="0" w:space="0" w:color="auto"/>
                    <w:bottom w:val="none" w:sz="0" w:space="0" w:color="auto"/>
                    <w:right w:val="none" w:sz="0" w:space="0" w:color="auto"/>
                  </w:divBdr>
                  <w:divsChild>
                    <w:div w:id="2122262195">
                      <w:marLeft w:val="0"/>
                      <w:marRight w:val="0"/>
                      <w:marTop w:val="0"/>
                      <w:marBottom w:val="0"/>
                      <w:divBdr>
                        <w:top w:val="none" w:sz="0" w:space="0" w:color="auto"/>
                        <w:left w:val="none" w:sz="0" w:space="0" w:color="auto"/>
                        <w:bottom w:val="none" w:sz="0" w:space="0" w:color="auto"/>
                        <w:right w:val="none" w:sz="0" w:space="0" w:color="auto"/>
                      </w:divBdr>
                    </w:div>
                  </w:divsChild>
                </w:div>
                <w:div w:id="659774071">
                  <w:marLeft w:val="0"/>
                  <w:marRight w:val="0"/>
                  <w:marTop w:val="0"/>
                  <w:marBottom w:val="0"/>
                  <w:divBdr>
                    <w:top w:val="none" w:sz="0" w:space="0" w:color="auto"/>
                    <w:left w:val="none" w:sz="0" w:space="0" w:color="auto"/>
                    <w:bottom w:val="none" w:sz="0" w:space="0" w:color="auto"/>
                    <w:right w:val="none" w:sz="0" w:space="0" w:color="auto"/>
                  </w:divBdr>
                  <w:divsChild>
                    <w:div w:id="238952835">
                      <w:marLeft w:val="0"/>
                      <w:marRight w:val="0"/>
                      <w:marTop w:val="0"/>
                      <w:marBottom w:val="0"/>
                      <w:divBdr>
                        <w:top w:val="none" w:sz="0" w:space="0" w:color="auto"/>
                        <w:left w:val="none" w:sz="0" w:space="0" w:color="auto"/>
                        <w:bottom w:val="none" w:sz="0" w:space="0" w:color="auto"/>
                        <w:right w:val="none" w:sz="0" w:space="0" w:color="auto"/>
                      </w:divBdr>
                    </w:div>
                  </w:divsChild>
                </w:div>
                <w:div w:id="665287689">
                  <w:marLeft w:val="0"/>
                  <w:marRight w:val="0"/>
                  <w:marTop w:val="0"/>
                  <w:marBottom w:val="0"/>
                  <w:divBdr>
                    <w:top w:val="none" w:sz="0" w:space="0" w:color="auto"/>
                    <w:left w:val="none" w:sz="0" w:space="0" w:color="auto"/>
                    <w:bottom w:val="none" w:sz="0" w:space="0" w:color="auto"/>
                    <w:right w:val="none" w:sz="0" w:space="0" w:color="auto"/>
                  </w:divBdr>
                  <w:divsChild>
                    <w:div w:id="1922370675">
                      <w:marLeft w:val="0"/>
                      <w:marRight w:val="0"/>
                      <w:marTop w:val="0"/>
                      <w:marBottom w:val="0"/>
                      <w:divBdr>
                        <w:top w:val="none" w:sz="0" w:space="0" w:color="auto"/>
                        <w:left w:val="none" w:sz="0" w:space="0" w:color="auto"/>
                        <w:bottom w:val="none" w:sz="0" w:space="0" w:color="auto"/>
                        <w:right w:val="none" w:sz="0" w:space="0" w:color="auto"/>
                      </w:divBdr>
                    </w:div>
                  </w:divsChild>
                </w:div>
                <w:div w:id="678238365">
                  <w:marLeft w:val="0"/>
                  <w:marRight w:val="0"/>
                  <w:marTop w:val="0"/>
                  <w:marBottom w:val="0"/>
                  <w:divBdr>
                    <w:top w:val="none" w:sz="0" w:space="0" w:color="auto"/>
                    <w:left w:val="none" w:sz="0" w:space="0" w:color="auto"/>
                    <w:bottom w:val="none" w:sz="0" w:space="0" w:color="auto"/>
                    <w:right w:val="none" w:sz="0" w:space="0" w:color="auto"/>
                  </w:divBdr>
                  <w:divsChild>
                    <w:div w:id="1889562009">
                      <w:marLeft w:val="0"/>
                      <w:marRight w:val="0"/>
                      <w:marTop w:val="0"/>
                      <w:marBottom w:val="0"/>
                      <w:divBdr>
                        <w:top w:val="none" w:sz="0" w:space="0" w:color="auto"/>
                        <w:left w:val="none" w:sz="0" w:space="0" w:color="auto"/>
                        <w:bottom w:val="none" w:sz="0" w:space="0" w:color="auto"/>
                        <w:right w:val="none" w:sz="0" w:space="0" w:color="auto"/>
                      </w:divBdr>
                    </w:div>
                  </w:divsChild>
                </w:div>
                <w:div w:id="679240263">
                  <w:marLeft w:val="0"/>
                  <w:marRight w:val="0"/>
                  <w:marTop w:val="0"/>
                  <w:marBottom w:val="0"/>
                  <w:divBdr>
                    <w:top w:val="none" w:sz="0" w:space="0" w:color="auto"/>
                    <w:left w:val="none" w:sz="0" w:space="0" w:color="auto"/>
                    <w:bottom w:val="none" w:sz="0" w:space="0" w:color="auto"/>
                    <w:right w:val="none" w:sz="0" w:space="0" w:color="auto"/>
                  </w:divBdr>
                  <w:divsChild>
                    <w:div w:id="1976711216">
                      <w:marLeft w:val="0"/>
                      <w:marRight w:val="0"/>
                      <w:marTop w:val="0"/>
                      <w:marBottom w:val="0"/>
                      <w:divBdr>
                        <w:top w:val="none" w:sz="0" w:space="0" w:color="auto"/>
                        <w:left w:val="none" w:sz="0" w:space="0" w:color="auto"/>
                        <w:bottom w:val="none" w:sz="0" w:space="0" w:color="auto"/>
                        <w:right w:val="none" w:sz="0" w:space="0" w:color="auto"/>
                      </w:divBdr>
                    </w:div>
                  </w:divsChild>
                </w:div>
                <w:div w:id="721250538">
                  <w:marLeft w:val="0"/>
                  <w:marRight w:val="0"/>
                  <w:marTop w:val="0"/>
                  <w:marBottom w:val="0"/>
                  <w:divBdr>
                    <w:top w:val="none" w:sz="0" w:space="0" w:color="auto"/>
                    <w:left w:val="none" w:sz="0" w:space="0" w:color="auto"/>
                    <w:bottom w:val="none" w:sz="0" w:space="0" w:color="auto"/>
                    <w:right w:val="none" w:sz="0" w:space="0" w:color="auto"/>
                  </w:divBdr>
                  <w:divsChild>
                    <w:div w:id="794644810">
                      <w:marLeft w:val="0"/>
                      <w:marRight w:val="0"/>
                      <w:marTop w:val="0"/>
                      <w:marBottom w:val="0"/>
                      <w:divBdr>
                        <w:top w:val="none" w:sz="0" w:space="0" w:color="auto"/>
                        <w:left w:val="none" w:sz="0" w:space="0" w:color="auto"/>
                        <w:bottom w:val="none" w:sz="0" w:space="0" w:color="auto"/>
                        <w:right w:val="none" w:sz="0" w:space="0" w:color="auto"/>
                      </w:divBdr>
                    </w:div>
                  </w:divsChild>
                </w:div>
                <w:div w:id="741368042">
                  <w:marLeft w:val="0"/>
                  <w:marRight w:val="0"/>
                  <w:marTop w:val="0"/>
                  <w:marBottom w:val="0"/>
                  <w:divBdr>
                    <w:top w:val="none" w:sz="0" w:space="0" w:color="auto"/>
                    <w:left w:val="none" w:sz="0" w:space="0" w:color="auto"/>
                    <w:bottom w:val="none" w:sz="0" w:space="0" w:color="auto"/>
                    <w:right w:val="none" w:sz="0" w:space="0" w:color="auto"/>
                  </w:divBdr>
                  <w:divsChild>
                    <w:div w:id="1022053159">
                      <w:marLeft w:val="0"/>
                      <w:marRight w:val="0"/>
                      <w:marTop w:val="0"/>
                      <w:marBottom w:val="0"/>
                      <w:divBdr>
                        <w:top w:val="none" w:sz="0" w:space="0" w:color="auto"/>
                        <w:left w:val="none" w:sz="0" w:space="0" w:color="auto"/>
                        <w:bottom w:val="none" w:sz="0" w:space="0" w:color="auto"/>
                        <w:right w:val="none" w:sz="0" w:space="0" w:color="auto"/>
                      </w:divBdr>
                    </w:div>
                  </w:divsChild>
                </w:div>
                <w:div w:id="774322644">
                  <w:marLeft w:val="0"/>
                  <w:marRight w:val="0"/>
                  <w:marTop w:val="0"/>
                  <w:marBottom w:val="0"/>
                  <w:divBdr>
                    <w:top w:val="none" w:sz="0" w:space="0" w:color="auto"/>
                    <w:left w:val="none" w:sz="0" w:space="0" w:color="auto"/>
                    <w:bottom w:val="none" w:sz="0" w:space="0" w:color="auto"/>
                    <w:right w:val="none" w:sz="0" w:space="0" w:color="auto"/>
                  </w:divBdr>
                  <w:divsChild>
                    <w:div w:id="1455060094">
                      <w:marLeft w:val="0"/>
                      <w:marRight w:val="0"/>
                      <w:marTop w:val="0"/>
                      <w:marBottom w:val="0"/>
                      <w:divBdr>
                        <w:top w:val="none" w:sz="0" w:space="0" w:color="auto"/>
                        <w:left w:val="none" w:sz="0" w:space="0" w:color="auto"/>
                        <w:bottom w:val="none" w:sz="0" w:space="0" w:color="auto"/>
                        <w:right w:val="none" w:sz="0" w:space="0" w:color="auto"/>
                      </w:divBdr>
                    </w:div>
                  </w:divsChild>
                </w:div>
                <w:div w:id="778523215">
                  <w:marLeft w:val="0"/>
                  <w:marRight w:val="0"/>
                  <w:marTop w:val="0"/>
                  <w:marBottom w:val="0"/>
                  <w:divBdr>
                    <w:top w:val="none" w:sz="0" w:space="0" w:color="auto"/>
                    <w:left w:val="none" w:sz="0" w:space="0" w:color="auto"/>
                    <w:bottom w:val="none" w:sz="0" w:space="0" w:color="auto"/>
                    <w:right w:val="none" w:sz="0" w:space="0" w:color="auto"/>
                  </w:divBdr>
                  <w:divsChild>
                    <w:div w:id="1045836257">
                      <w:marLeft w:val="0"/>
                      <w:marRight w:val="0"/>
                      <w:marTop w:val="0"/>
                      <w:marBottom w:val="0"/>
                      <w:divBdr>
                        <w:top w:val="none" w:sz="0" w:space="0" w:color="auto"/>
                        <w:left w:val="none" w:sz="0" w:space="0" w:color="auto"/>
                        <w:bottom w:val="none" w:sz="0" w:space="0" w:color="auto"/>
                        <w:right w:val="none" w:sz="0" w:space="0" w:color="auto"/>
                      </w:divBdr>
                    </w:div>
                  </w:divsChild>
                </w:div>
                <w:div w:id="792485644">
                  <w:marLeft w:val="0"/>
                  <w:marRight w:val="0"/>
                  <w:marTop w:val="0"/>
                  <w:marBottom w:val="0"/>
                  <w:divBdr>
                    <w:top w:val="none" w:sz="0" w:space="0" w:color="auto"/>
                    <w:left w:val="none" w:sz="0" w:space="0" w:color="auto"/>
                    <w:bottom w:val="none" w:sz="0" w:space="0" w:color="auto"/>
                    <w:right w:val="none" w:sz="0" w:space="0" w:color="auto"/>
                  </w:divBdr>
                  <w:divsChild>
                    <w:div w:id="2076194384">
                      <w:marLeft w:val="0"/>
                      <w:marRight w:val="0"/>
                      <w:marTop w:val="0"/>
                      <w:marBottom w:val="0"/>
                      <w:divBdr>
                        <w:top w:val="none" w:sz="0" w:space="0" w:color="auto"/>
                        <w:left w:val="none" w:sz="0" w:space="0" w:color="auto"/>
                        <w:bottom w:val="none" w:sz="0" w:space="0" w:color="auto"/>
                        <w:right w:val="none" w:sz="0" w:space="0" w:color="auto"/>
                      </w:divBdr>
                    </w:div>
                  </w:divsChild>
                </w:div>
                <w:div w:id="803890882">
                  <w:marLeft w:val="0"/>
                  <w:marRight w:val="0"/>
                  <w:marTop w:val="0"/>
                  <w:marBottom w:val="0"/>
                  <w:divBdr>
                    <w:top w:val="none" w:sz="0" w:space="0" w:color="auto"/>
                    <w:left w:val="none" w:sz="0" w:space="0" w:color="auto"/>
                    <w:bottom w:val="none" w:sz="0" w:space="0" w:color="auto"/>
                    <w:right w:val="none" w:sz="0" w:space="0" w:color="auto"/>
                  </w:divBdr>
                  <w:divsChild>
                    <w:div w:id="82336298">
                      <w:marLeft w:val="0"/>
                      <w:marRight w:val="0"/>
                      <w:marTop w:val="0"/>
                      <w:marBottom w:val="0"/>
                      <w:divBdr>
                        <w:top w:val="none" w:sz="0" w:space="0" w:color="auto"/>
                        <w:left w:val="none" w:sz="0" w:space="0" w:color="auto"/>
                        <w:bottom w:val="none" w:sz="0" w:space="0" w:color="auto"/>
                        <w:right w:val="none" w:sz="0" w:space="0" w:color="auto"/>
                      </w:divBdr>
                    </w:div>
                  </w:divsChild>
                </w:div>
                <w:div w:id="809056187">
                  <w:marLeft w:val="0"/>
                  <w:marRight w:val="0"/>
                  <w:marTop w:val="0"/>
                  <w:marBottom w:val="0"/>
                  <w:divBdr>
                    <w:top w:val="none" w:sz="0" w:space="0" w:color="auto"/>
                    <w:left w:val="none" w:sz="0" w:space="0" w:color="auto"/>
                    <w:bottom w:val="none" w:sz="0" w:space="0" w:color="auto"/>
                    <w:right w:val="none" w:sz="0" w:space="0" w:color="auto"/>
                  </w:divBdr>
                  <w:divsChild>
                    <w:div w:id="1084494984">
                      <w:marLeft w:val="0"/>
                      <w:marRight w:val="0"/>
                      <w:marTop w:val="0"/>
                      <w:marBottom w:val="0"/>
                      <w:divBdr>
                        <w:top w:val="none" w:sz="0" w:space="0" w:color="auto"/>
                        <w:left w:val="none" w:sz="0" w:space="0" w:color="auto"/>
                        <w:bottom w:val="none" w:sz="0" w:space="0" w:color="auto"/>
                        <w:right w:val="none" w:sz="0" w:space="0" w:color="auto"/>
                      </w:divBdr>
                    </w:div>
                  </w:divsChild>
                </w:div>
                <w:div w:id="809441862">
                  <w:marLeft w:val="0"/>
                  <w:marRight w:val="0"/>
                  <w:marTop w:val="0"/>
                  <w:marBottom w:val="0"/>
                  <w:divBdr>
                    <w:top w:val="none" w:sz="0" w:space="0" w:color="auto"/>
                    <w:left w:val="none" w:sz="0" w:space="0" w:color="auto"/>
                    <w:bottom w:val="none" w:sz="0" w:space="0" w:color="auto"/>
                    <w:right w:val="none" w:sz="0" w:space="0" w:color="auto"/>
                  </w:divBdr>
                  <w:divsChild>
                    <w:div w:id="2062750679">
                      <w:marLeft w:val="0"/>
                      <w:marRight w:val="0"/>
                      <w:marTop w:val="0"/>
                      <w:marBottom w:val="0"/>
                      <w:divBdr>
                        <w:top w:val="none" w:sz="0" w:space="0" w:color="auto"/>
                        <w:left w:val="none" w:sz="0" w:space="0" w:color="auto"/>
                        <w:bottom w:val="none" w:sz="0" w:space="0" w:color="auto"/>
                        <w:right w:val="none" w:sz="0" w:space="0" w:color="auto"/>
                      </w:divBdr>
                    </w:div>
                  </w:divsChild>
                </w:div>
                <w:div w:id="821891394">
                  <w:marLeft w:val="0"/>
                  <w:marRight w:val="0"/>
                  <w:marTop w:val="0"/>
                  <w:marBottom w:val="0"/>
                  <w:divBdr>
                    <w:top w:val="none" w:sz="0" w:space="0" w:color="auto"/>
                    <w:left w:val="none" w:sz="0" w:space="0" w:color="auto"/>
                    <w:bottom w:val="none" w:sz="0" w:space="0" w:color="auto"/>
                    <w:right w:val="none" w:sz="0" w:space="0" w:color="auto"/>
                  </w:divBdr>
                  <w:divsChild>
                    <w:div w:id="1526748247">
                      <w:marLeft w:val="0"/>
                      <w:marRight w:val="0"/>
                      <w:marTop w:val="0"/>
                      <w:marBottom w:val="0"/>
                      <w:divBdr>
                        <w:top w:val="none" w:sz="0" w:space="0" w:color="auto"/>
                        <w:left w:val="none" w:sz="0" w:space="0" w:color="auto"/>
                        <w:bottom w:val="none" w:sz="0" w:space="0" w:color="auto"/>
                        <w:right w:val="none" w:sz="0" w:space="0" w:color="auto"/>
                      </w:divBdr>
                    </w:div>
                  </w:divsChild>
                </w:div>
                <w:div w:id="824513479">
                  <w:marLeft w:val="0"/>
                  <w:marRight w:val="0"/>
                  <w:marTop w:val="0"/>
                  <w:marBottom w:val="0"/>
                  <w:divBdr>
                    <w:top w:val="none" w:sz="0" w:space="0" w:color="auto"/>
                    <w:left w:val="none" w:sz="0" w:space="0" w:color="auto"/>
                    <w:bottom w:val="none" w:sz="0" w:space="0" w:color="auto"/>
                    <w:right w:val="none" w:sz="0" w:space="0" w:color="auto"/>
                  </w:divBdr>
                  <w:divsChild>
                    <w:div w:id="815607482">
                      <w:marLeft w:val="0"/>
                      <w:marRight w:val="0"/>
                      <w:marTop w:val="0"/>
                      <w:marBottom w:val="0"/>
                      <w:divBdr>
                        <w:top w:val="none" w:sz="0" w:space="0" w:color="auto"/>
                        <w:left w:val="none" w:sz="0" w:space="0" w:color="auto"/>
                        <w:bottom w:val="none" w:sz="0" w:space="0" w:color="auto"/>
                        <w:right w:val="none" w:sz="0" w:space="0" w:color="auto"/>
                      </w:divBdr>
                    </w:div>
                  </w:divsChild>
                </w:div>
                <w:div w:id="825901776">
                  <w:marLeft w:val="0"/>
                  <w:marRight w:val="0"/>
                  <w:marTop w:val="0"/>
                  <w:marBottom w:val="0"/>
                  <w:divBdr>
                    <w:top w:val="none" w:sz="0" w:space="0" w:color="auto"/>
                    <w:left w:val="none" w:sz="0" w:space="0" w:color="auto"/>
                    <w:bottom w:val="none" w:sz="0" w:space="0" w:color="auto"/>
                    <w:right w:val="none" w:sz="0" w:space="0" w:color="auto"/>
                  </w:divBdr>
                  <w:divsChild>
                    <w:div w:id="1985965956">
                      <w:marLeft w:val="0"/>
                      <w:marRight w:val="0"/>
                      <w:marTop w:val="0"/>
                      <w:marBottom w:val="0"/>
                      <w:divBdr>
                        <w:top w:val="none" w:sz="0" w:space="0" w:color="auto"/>
                        <w:left w:val="none" w:sz="0" w:space="0" w:color="auto"/>
                        <w:bottom w:val="none" w:sz="0" w:space="0" w:color="auto"/>
                        <w:right w:val="none" w:sz="0" w:space="0" w:color="auto"/>
                      </w:divBdr>
                    </w:div>
                  </w:divsChild>
                </w:div>
                <w:div w:id="838740198">
                  <w:marLeft w:val="0"/>
                  <w:marRight w:val="0"/>
                  <w:marTop w:val="0"/>
                  <w:marBottom w:val="0"/>
                  <w:divBdr>
                    <w:top w:val="none" w:sz="0" w:space="0" w:color="auto"/>
                    <w:left w:val="none" w:sz="0" w:space="0" w:color="auto"/>
                    <w:bottom w:val="none" w:sz="0" w:space="0" w:color="auto"/>
                    <w:right w:val="none" w:sz="0" w:space="0" w:color="auto"/>
                  </w:divBdr>
                  <w:divsChild>
                    <w:div w:id="1773741974">
                      <w:marLeft w:val="0"/>
                      <w:marRight w:val="0"/>
                      <w:marTop w:val="0"/>
                      <w:marBottom w:val="0"/>
                      <w:divBdr>
                        <w:top w:val="none" w:sz="0" w:space="0" w:color="auto"/>
                        <w:left w:val="none" w:sz="0" w:space="0" w:color="auto"/>
                        <w:bottom w:val="none" w:sz="0" w:space="0" w:color="auto"/>
                        <w:right w:val="none" w:sz="0" w:space="0" w:color="auto"/>
                      </w:divBdr>
                    </w:div>
                  </w:divsChild>
                </w:div>
                <w:div w:id="841506166">
                  <w:marLeft w:val="0"/>
                  <w:marRight w:val="0"/>
                  <w:marTop w:val="0"/>
                  <w:marBottom w:val="0"/>
                  <w:divBdr>
                    <w:top w:val="none" w:sz="0" w:space="0" w:color="auto"/>
                    <w:left w:val="none" w:sz="0" w:space="0" w:color="auto"/>
                    <w:bottom w:val="none" w:sz="0" w:space="0" w:color="auto"/>
                    <w:right w:val="none" w:sz="0" w:space="0" w:color="auto"/>
                  </w:divBdr>
                  <w:divsChild>
                    <w:div w:id="1353070811">
                      <w:marLeft w:val="0"/>
                      <w:marRight w:val="0"/>
                      <w:marTop w:val="0"/>
                      <w:marBottom w:val="0"/>
                      <w:divBdr>
                        <w:top w:val="none" w:sz="0" w:space="0" w:color="auto"/>
                        <w:left w:val="none" w:sz="0" w:space="0" w:color="auto"/>
                        <w:bottom w:val="none" w:sz="0" w:space="0" w:color="auto"/>
                        <w:right w:val="none" w:sz="0" w:space="0" w:color="auto"/>
                      </w:divBdr>
                    </w:div>
                  </w:divsChild>
                </w:div>
                <w:div w:id="845873195">
                  <w:marLeft w:val="0"/>
                  <w:marRight w:val="0"/>
                  <w:marTop w:val="0"/>
                  <w:marBottom w:val="0"/>
                  <w:divBdr>
                    <w:top w:val="none" w:sz="0" w:space="0" w:color="auto"/>
                    <w:left w:val="none" w:sz="0" w:space="0" w:color="auto"/>
                    <w:bottom w:val="none" w:sz="0" w:space="0" w:color="auto"/>
                    <w:right w:val="none" w:sz="0" w:space="0" w:color="auto"/>
                  </w:divBdr>
                  <w:divsChild>
                    <w:div w:id="65886602">
                      <w:marLeft w:val="0"/>
                      <w:marRight w:val="0"/>
                      <w:marTop w:val="0"/>
                      <w:marBottom w:val="0"/>
                      <w:divBdr>
                        <w:top w:val="none" w:sz="0" w:space="0" w:color="auto"/>
                        <w:left w:val="none" w:sz="0" w:space="0" w:color="auto"/>
                        <w:bottom w:val="none" w:sz="0" w:space="0" w:color="auto"/>
                        <w:right w:val="none" w:sz="0" w:space="0" w:color="auto"/>
                      </w:divBdr>
                    </w:div>
                  </w:divsChild>
                </w:div>
                <w:div w:id="857735244">
                  <w:marLeft w:val="0"/>
                  <w:marRight w:val="0"/>
                  <w:marTop w:val="0"/>
                  <w:marBottom w:val="0"/>
                  <w:divBdr>
                    <w:top w:val="none" w:sz="0" w:space="0" w:color="auto"/>
                    <w:left w:val="none" w:sz="0" w:space="0" w:color="auto"/>
                    <w:bottom w:val="none" w:sz="0" w:space="0" w:color="auto"/>
                    <w:right w:val="none" w:sz="0" w:space="0" w:color="auto"/>
                  </w:divBdr>
                  <w:divsChild>
                    <w:div w:id="981887762">
                      <w:marLeft w:val="0"/>
                      <w:marRight w:val="0"/>
                      <w:marTop w:val="0"/>
                      <w:marBottom w:val="0"/>
                      <w:divBdr>
                        <w:top w:val="none" w:sz="0" w:space="0" w:color="auto"/>
                        <w:left w:val="none" w:sz="0" w:space="0" w:color="auto"/>
                        <w:bottom w:val="none" w:sz="0" w:space="0" w:color="auto"/>
                        <w:right w:val="none" w:sz="0" w:space="0" w:color="auto"/>
                      </w:divBdr>
                    </w:div>
                  </w:divsChild>
                </w:div>
                <w:div w:id="859733390">
                  <w:marLeft w:val="0"/>
                  <w:marRight w:val="0"/>
                  <w:marTop w:val="0"/>
                  <w:marBottom w:val="0"/>
                  <w:divBdr>
                    <w:top w:val="none" w:sz="0" w:space="0" w:color="auto"/>
                    <w:left w:val="none" w:sz="0" w:space="0" w:color="auto"/>
                    <w:bottom w:val="none" w:sz="0" w:space="0" w:color="auto"/>
                    <w:right w:val="none" w:sz="0" w:space="0" w:color="auto"/>
                  </w:divBdr>
                  <w:divsChild>
                    <w:div w:id="1142233381">
                      <w:marLeft w:val="0"/>
                      <w:marRight w:val="0"/>
                      <w:marTop w:val="0"/>
                      <w:marBottom w:val="0"/>
                      <w:divBdr>
                        <w:top w:val="none" w:sz="0" w:space="0" w:color="auto"/>
                        <w:left w:val="none" w:sz="0" w:space="0" w:color="auto"/>
                        <w:bottom w:val="none" w:sz="0" w:space="0" w:color="auto"/>
                        <w:right w:val="none" w:sz="0" w:space="0" w:color="auto"/>
                      </w:divBdr>
                    </w:div>
                  </w:divsChild>
                </w:div>
                <w:div w:id="872156801">
                  <w:marLeft w:val="0"/>
                  <w:marRight w:val="0"/>
                  <w:marTop w:val="0"/>
                  <w:marBottom w:val="0"/>
                  <w:divBdr>
                    <w:top w:val="none" w:sz="0" w:space="0" w:color="auto"/>
                    <w:left w:val="none" w:sz="0" w:space="0" w:color="auto"/>
                    <w:bottom w:val="none" w:sz="0" w:space="0" w:color="auto"/>
                    <w:right w:val="none" w:sz="0" w:space="0" w:color="auto"/>
                  </w:divBdr>
                  <w:divsChild>
                    <w:div w:id="908543429">
                      <w:marLeft w:val="0"/>
                      <w:marRight w:val="0"/>
                      <w:marTop w:val="0"/>
                      <w:marBottom w:val="0"/>
                      <w:divBdr>
                        <w:top w:val="none" w:sz="0" w:space="0" w:color="auto"/>
                        <w:left w:val="none" w:sz="0" w:space="0" w:color="auto"/>
                        <w:bottom w:val="none" w:sz="0" w:space="0" w:color="auto"/>
                        <w:right w:val="none" w:sz="0" w:space="0" w:color="auto"/>
                      </w:divBdr>
                    </w:div>
                  </w:divsChild>
                </w:div>
                <w:div w:id="874199490">
                  <w:marLeft w:val="0"/>
                  <w:marRight w:val="0"/>
                  <w:marTop w:val="0"/>
                  <w:marBottom w:val="0"/>
                  <w:divBdr>
                    <w:top w:val="none" w:sz="0" w:space="0" w:color="auto"/>
                    <w:left w:val="none" w:sz="0" w:space="0" w:color="auto"/>
                    <w:bottom w:val="none" w:sz="0" w:space="0" w:color="auto"/>
                    <w:right w:val="none" w:sz="0" w:space="0" w:color="auto"/>
                  </w:divBdr>
                  <w:divsChild>
                    <w:div w:id="1283654771">
                      <w:marLeft w:val="0"/>
                      <w:marRight w:val="0"/>
                      <w:marTop w:val="0"/>
                      <w:marBottom w:val="0"/>
                      <w:divBdr>
                        <w:top w:val="none" w:sz="0" w:space="0" w:color="auto"/>
                        <w:left w:val="none" w:sz="0" w:space="0" w:color="auto"/>
                        <w:bottom w:val="none" w:sz="0" w:space="0" w:color="auto"/>
                        <w:right w:val="none" w:sz="0" w:space="0" w:color="auto"/>
                      </w:divBdr>
                    </w:div>
                  </w:divsChild>
                </w:div>
                <w:div w:id="884217665">
                  <w:marLeft w:val="0"/>
                  <w:marRight w:val="0"/>
                  <w:marTop w:val="0"/>
                  <w:marBottom w:val="0"/>
                  <w:divBdr>
                    <w:top w:val="none" w:sz="0" w:space="0" w:color="auto"/>
                    <w:left w:val="none" w:sz="0" w:space="0" w:color="auto"/>
                    <w:bottom w:val="none" w:sz="0" w:space="0" w:color="auto"/>
                    <w:right w:val="none" w:sz="0" w:space="0" w:color="auto"/>
                  </w:divBdr>
                  <w:divsChild>
                    <w:div w:id="2128498668">
                      <w:marLeft w:val="0"/>
                      <w:marRight w:val="0"/>
                      <w:marTop w:val="0"/>
                      <w:marBottom w:val="0"/>
                      <w:divBdr>
                        <w:top w:val="none" w:sz="0" w:space="0" w:color="auto"/>
                        <w:left w:val="none" w:sz="0" w:space="0" w:color="auto"/>
                        <w:bottom w:val="none" w:sz="0" w:space="0" w:color="auto"/>
                        <w:right w:val="none" w:sz="0" w:space="0" w:color="auto"/>
                      </w:divBdr>
                    </w:div>
                  </w:divsChild>
                </w:div>
                <w:div w:id="891698869">
                  <w:marLeft w:val="0"/>
                  <w:marRight w:val="0"/>
                  <w:marTop w:val="0"/>
                  <w:marBottom w:val="0"/>
                  <w:divBdr>
                    <w:top w:val="none" w:sz="0" w:space="0" w:color="auto"/>
                    <w:left w:val="none" w:sz="0" w:space="0" w:color="auto"/>
                    <w:bottom w:val="none" w:sz="0" w:space="0" w:color="auto"/>
                    <w:right w:val="none" w:sz="0" w:space="0" w:color="auto"/>
                  </w:divBdr>
                  <w:divsChild>
                    <w:div w:id="372384535">
                      <w:marLeft w:val="0"/>
                      <w:marRight w:val="0"/>
                      <w:marTop w:val="0"/>
                      <w:marBottom w:val="0"/>
                      <w:divBdr>
                        <w:top w:val="none" w:sz="0" w:space="0" w:color="auto"/>
                        <w:left w:val="none" w:sz="0" w:space="0" w:color="auto"/>
                        <w:bottom w:val="none" w:sz="0" w:space="0" w:color="auto"/>
                        <w:right w:val="none" w:sz="0" w:space="0" w:color="auto"/>
                      </w:divBdr>
                    </w:div>
                  </w:divsChild>
                </w:div>
                <w:div w:id="906719258">
                  <w:marLeft w:val="0"/>
                  <w:marRight w:val="0"/>
                  <w:marTop w:val="0"/>
                  <w:marBottom w:val="0"/>
                  <w:divBdr>
                    <w:top w:val="none" w:sz="0" w:space="0" w:color="auto"/>
                    <w:left w:val="none" w:sz="0" w:space="0" w:color="auto"/>
                    <w:bottom w:val="none" w:sz="0" w:space="0" w:color="auto"/>
                    <w:right w:val="none" w:sz="0" w:space="0" w:color="auto"/>
                  </w:divBdr>
                  <w:divsChild>
                    <w:div w:id="1742560964">
                      <w:marLeft w:val="0"/>
                      <w:marRight w:val="0"/>
                      <w:marTop w:val="0"/>
                      <w:marBottom w:val="0"/>
                      <w:divBdr>
                        <w:top w:val="none" w:sz="0" w:space="0" w:color="auto"/>
                        <w:left w:val="none" w:sz="0" w:space="0" w:color="auto"/>
                        <w:bottom w:val="none" w:sz="0" w:space="0" w:color="auto"/>
                        <w:right w:val="none" w:sz="0" w:space="0" w:color="auto"/>
                      </w:divBdr>
                    </w:div>
                  </w:divsChild>
                </w:div>
                <w:div w:id="912082394">
                  <w:marLeft w:val="0"/>
                  <w:marRight w:val="0"/>
                  <w:marTop w:val="0"/>
                  <w:marBottom w:val="0"/>
                  <w:divBdr>
                    <w:top w:val="none" w:sz="0" w:space="0" w:color="auto"/>
                    <w:left w:val="none" w:sz="0" w:space="0" w:color="auto"/>
                    <w:bottom w:val="none" w:sz="0" w:space="0" w:color="auto"/>
                    <w:right w:val="none" w:sz="0" w:space="0" w:color="auto"/>
                  </w:divBdr>
                  <w:divsChild>
                    <w:div w:id="1940216906">
                      <w:marLeft w:val="0"/>
                      <w:marRight w:val="0"/>
                      <w:marTop w:val="0"/>
                      <w:marBottom w:val="0"/>
                      <w:divBdr>
                        <w:top w:val="none" w:sz="0" w:space="0" w:color="auto"/>
                        <w:left w:val="none" w:sz="0" w:space="0" w:color="auto"/>
                        <w:bottom w:val="none" w:sz="0" w:space="0" w:color="auto"/>
                        <w:right w:val="none" w:sz="0" w:space="0" w:color="auto"/>
                      </w:divBdr>
                    </w:div>
                  </w:divsChild>
                </w:div>
                <w:div w:id="915240590">
                  <w:marLeft w:val="0"/>
                  <w:marRight w:val="0"/>
                  <w:marTop w:val="0"/>
                  <w:marBottom w:val="0"/>
                  <w:divBdr>
                    <w:top w:val="none" w:sz="0" w:space="0" w:color="auto"/>
                    <w:left w:val="none" w:sz="0" w:space="0" w:color="auto"/>
                    <w:bottom w:val="none" w:sz="0" w:space="0" w:color="auto"/>
                    <w:right w:val="none" w:sz="0" w:space="0" w:color="auto"/>
                  </w:divBdr>
                  <w:divsChild>
                    <w:div w:id="1416321158">
                      <w:marLeft w:val="0"/>
                      <w:marRight w:val="0"/>
                      <w:marTop w:val="0"/>
                      <w:marBottom w:val="0"/>
                      <w:divBdr>
                        <w:top w:val="none" w:sz="0" w:space="0" w:color="auto"/>
                        <w:left w:val="none" w:sz="0" w:space="0" w:color="auto"/>
                        <w:bottom w:val="none" w:sz="0" w:space="0" w:color="auto"/>
                        <w:right w:val="none" w:sz="0" w:space="0" w:color="auto"/>
                      </w:divBdr>
                    </w:div>
                  </w:divsChild>
                </w:div>
                <w:div w:id="927998976">
                  <w:marLeft w:val="0"/>
                  <w:marRight w:val="0"/>
                  <w:marTop w:val="0"/>
                  <w:marBottom w:val="0"/>
                  <w:divBdr>
                    <w:top w:val="none" w:sz="0" w:space="0" w:color="auto"/>
                    <w:left w:val="none" w:sz="0" w:space="0" w:color="auto"/>
                    <w:bottom w:val="none" w:sz="0" w:space="0" w:color="auto"/>
                    <w:right w:val="none" w:sz="0" w:space="0" w:color="auto"/>
                  </w:divBdr>
                  <w:divsChild>
                    <w:div w:id="1020088280">
                      <w:marLeft w:val="0"/>
                      <w:marRight w:val="0"/>
                      <w:marTop w:val="0"/>
                      <w:marBottom w:val="0"/>
                      <w:divBdr>
                        <w:top w:val="none" w:sz="0" w:space="0" w:color="auto"/>
                        <w:left w:val="none" w:sz="0" w:space="0" w:color="auto"/>
                        <w:bottom w:val="none" w:sz="0" w:space="0" w:color="auto"/>
                        <w:right w:val="none" w:sz="0" w:space="0" w:color="auto"/>
                      </w:divBdr>
                    </w:div>
                  </w:divsChild>
                </w:div>
                <w:div w:id="942300937">
                  <w:marLeft w:val="0"/>
                  <w:marRight w:val="0"/>
                  <w:marTop w:val="0"/>
                  <w:marBottom w:val="0"/>
                  <w:divBdr>
                    <w:top w:val="none" w:sz="0" w:space="0" w:color="auto"/>
                    <w:left w:val="none" w:sz="0" w:space="0" w:color="auto"/>
                    <w:bottom w:val="none" w:sz="0" w:space="0" w:color="auto"/>
                    <w:right w:val="none" w:sz="0" w:space="0" w:color="auto"/>
                  </w:divBdr>
                  <w:divsChild>
                    <w:div w:id="1726635813">
                      <w:marLeft w:val="0"/>
                      <w:marRight w:val="0"/>
                      <w:marTop w:val="0"/>
                      <w:marBottom w:val="0"/>
                      <w:divBdr>
                        <w:top w:val="none" w:sz="0" w:space="0" w:color="auto"/>
                        <w:left w:val="none" w:sz="0" w:space="0" w:color="auto"/>
                        <w:bottom w:val="none" w:sz="0" w:space="0" w:color="auto"/>
                        <w:right w:val="none" w:sz="0" w:space="0" w:color="auto"/>
                      </w:divBdr>
                    </w:div>
                  </w:divsChild>
                </w:div>
                <w:div w:id="942801556">
                  <w:marLeft w:val="0"/>
                  <w:marRight w:val="0"/>
                  <w:marTop w:val="0"/>
                  <w:marBottom w:val="0"/>
                  <w:divBdr>
                    <w:top w:val="none" w:sz="0" w:space="0" w:color="auto"/>
                    <w:left w:val="none" w:sz="0" w:space="0" w:color="auto"/>
                    <w:bottom w:val="none" w:sz="0" w:space="0" w:color="auto"/>
                    <w:right w:val="none" w:sz="0" w:space="0" w:color="auto"/>
                  </w:divBdr>
                  <w:divsChild>
                    <w:div w:id="1832141943">
                      <w:marLeft w:val="0"/>
                      <w:marRight w:val="0"/>
                      <w:marTop w:val="0"/>
                      <w:marBottom w:val="0"/>
                      <w:divBdr>
                        <w:top w:val="none" w:sz="0" w:space="0" w:color="auto"/>
                        <w:left w:val="none" w:sz="0" w:space="0" w:color="auto"/>
                        <w:bottom w:val="none" w:sz="0" w:space="0" w:color="auto"/>
                        <w:right w:val="none" w:sz="0" w:space="0" w:color="auto"/>
                      </w:divBdr>
                    </w:div>
                  </w:divsChild>
                </w:div>
                <w:div w:id="947003562">
                  <w:marLeft w:val="0"/>
                  <w:marRight w:val="0"/>
                  <w:marTop w:val="0"/>
                  <w:marBottom w:val="0"/>
                  <w:divBdr>
                    <w:top w:val="none" w:sz="0" w:space="0" w:color="auto"/>
                    <w:left w:val="none" w:sz="0" w:space="0" w:color="auto"/>
                    <w:bottom w:val="none" w:sz="0" w:space="0" w:color="auto"/>
                    <w:right w:val="none" w:sz="0" w:space="0" w:color="auto"/>
                  </w:divBdr>
                  <w:divsChild>
                    <w:div w:id="1876503166">
                      <w:marLeft w:val="0"/>
                      <w:marRight w:val="0"/>
                      <w:marTop w:val="0"/>
                      <w:marBottom w:val="0"/>
                      <w:divBdr>
                        <w:top w:val="none" w:sz="0" w:space="0" w:color="auto"/>
                        <w:left w:val="none" w:sz="0" w:space="0" w:color="auto"/>
                        <w:bottom w:val="none" w:sz="0" w:space="0" w:color="auto"/>
                        <w:right w:val="none" w:sz="0" w:space="0" w:color="auto"/>
                      </w:divBdr>
                    </w:div>
                  </w:divsChild>
                </w:div>
                <w:div w:id="948392400">
                  <w:marLeft w:val="0"/>
                  <w:marRight w:val="0"/>
                  <w:marTop w:val="0"/>
                  <w:marBottom w:val="0"/>
                  <w:divBdr>
                    <w:top w:val="none" w:sz="0" w:space="0" w:color="auto"/>
                    <w:left w:val="none" w:sz="0" w:space="0" w:color="auto"/>
                    <w:bottom w:val="none" w:sz="0" w:space="0" w:color="auto"/>
                    <w:right w:val="none" w:sz="0" w:space="0" w:color="auto"/>
                  </w:divBdr>
                  <w:divsChild>
                    <w:div w:id="144974158">
                      <w:marLeft w:val="0"/>
                      <w:marRight w:val="0"/>
                      <w:marTop w:val="0"/>
                      <w:marBottom w:val="0"/>
                      <w:divBdr>
                        <w:top w:val="none" w:sz="0" w:space="0" w:color="auto"/>
                        <w:left w:val="none" w:sz="0" w:space="0" w:color="auto"/>
                        <w:bottom w:val="none" w:sz="0" w:space="0" w:color="auto"/>
                        <w:right w:val="none" w:sz="0" w:space="0" w:color="auto"/>
                      </w:divBdr>
                    </w:div>
                  </w:divsChild>
                </w:div>
                <w:div w:id="962003973">
                  <w:marLeft w:val="0"/>
                  <w:marRight w:val="0"/>
                  <w:marTop w:val="0"/>
                  <w:marBottom w:val="0"/>
                  <w:divBdr>
                    <w:top w:val="none" w:sz="0" w:space="0" w:color="auto"/>
                    <w:left w:val="none" w:sz="0" w:space="0" w:color="auto"/>
                    <w:bottom w:val="none" w:sz="0" w:space="0" w:color="auto"/>
                    <w:right w:val="none" w:sz="0" w:space="0" w:color="auto"/>
                  </w:divBdr>
                  <w:divsChild>
                    <w:div w:id="762922831">
                      <w:marLeft w:val="0"/>
                      <w:marRight w:val="0"/>
                      <w:marTop w:val="0"/>
                      <w:marBottom w:val="0"/>
                      <w:divBdr>
                        <w:top w:val="none" w:sz="0" w:space="0" w:color="auto"/>
                        <w:left w:val="none" w:sz="0" w:space="0" w:color="auto"/>
                        <w:bottom w:val="none" w:sz="0" w:space="0" w:color="auto"/>
                        <w:right w:val="none" w:sz="0" w:space="0" w:color="auto"/>
                      </w:divBdr>
                    </w:div>
                  </w:divsChild>
                </w:div>
                <w:div w:id="963459896">
                  <w:marLeft w:val="0"/>
                  <w:marRight w:val="0"/>
                  <w:marTop w:val="0"/>
                  <w:marBottom w:val="0"/>
                  <w:divBdr>
                    <w:top w:val="none" w:sz="0" w:space="0" w:color="auto"/>
                    <w:left w:val="none" w:sz="0" w:space="0" w:color="auto"/>
                    <w:bottom w:val="none" w:sz="0" w:space="0" w:color="auto"/>
                    <w:right w:val="none" w:sz="0" w:space="0" w:color="auto"/>
                  </w:divBdr>
                  <w:divsChild>
                    <w:div w:id="598755044">
                      <w:marLeft w:val="0"/>
                      <w:marRight w:val="0"/>
                      <w:marTop w:val="0"/>
                      <w:marBottom w:val="0"/>
                      <w:divBdr>
                        <w:top w:val="none" w:sz="0" w:space="0" w:color="auto"/>
                        <w:left w:val="none" w:sz="0" w:space="0" w:color="auto"/>
                        <w:bottom w:val="none" w:sz="0" w:space="0" w:color="auto"/>
                        <w:right w:val="none" w:sz="0" w:space="0" w:color="auto"/>
                      </w:divBdr>
                    </w:div>
                  </w:divsChild>
                </w:div>
                <w:div w:id="965743208">
                  <w:marLeft w:val="0"/>
                  <w:marRight w:val="0"/>
                  <w:marTop w:val="0"/>
                  <w:marBottom w:val="0"/>
                  <w:divBdr>
                    <w:top w:val="none" w:sz="0" w:space="0" w:color="auto"/>
                    <w:left w:val="none" w:sz="0" w:space="0" w:color="auto"/>
                    <w:bottom w:val="none" w:sz="0" w:space="0" w:color="auto"/>
                    <w:right w:val="none" w:sz="0" w:space="0" w:color="auto"/>
                  </w:divBdr>
                  <w:divsChild>
                    <w:div w:id="1029255420">
                      <w:marLeft w:val="0"/>
                      <w:marRight w:val="0"/>
                      <w:marTop w:val="0"/>
                      <w:marBottom w:val="0"/>
                      <w:divBdr>
                        <w:top w:val="none" w:sz="0" w:space="0" w:color="auto"/>
                        <w:left w:val="none" w:sz="0" w:space="0" w:color="auto"/>
                        <w:bottom w:val="none" w:sz="0" w:space="0" w:color="auto"/>
                        <w:right w:val="none" w:sz="0" w:space="0" w:color="auto"/>
                      </w:divBdr>
                    </w:div>
                  </w:divsChild>
                </w:div>
                <w:div w:id="970133443">
                  <w:marLeft w:val="0"/>
                  <w:marRight w:val="0"/>
                  <w:marTop w:val="0"/>
                  <w:marBottom w:val="0"/>
                  <w:divBdr>
                    <w:top w:val="none" w:sz="0" w:space="0" w:color="auto"/>
                    <w:left w:val="none" w:sz="0" w:space="0" w:color="auto"/>
                    <w:bottom w:val="none" w:sz="0" w:space="0" w:color="auto"/>
                    <w:right w:val="none" w:sz="0" w:space="0" w:color="auto"/>
                  </w:divBdr>
                  <w:divsChild>
                    <w:div w:id="480192850">
                      <w:marLeft w:val="0"/>
                      <w:marRight w:val="0"/>
                      <w:marTop w:val="0"/>
                      <w:marBottom w:val="0"/>
                      <w:divBdr>
                        <w:top w:val="none" w:sz="0" w:space="0" w:color="auto"/>
                        <w:left w:val="none" w:sz="0" w:space="0" w:color="auto"/>
                        <w:bottom w:val="none" w:sz="0" w:space="0" w:color="auto"/>
                        <w:right w:val="none" w:sz="0" w:space="0" w:color="auto"/>
                      </w:divBdr>
                    </w:div>
                  </w:divsChild>
                </w:div>
                <w:div w:id="975374742">
                  <w:marLeft w:val="0"/>
                  <w:marRight w:val="0"/>
                  <w:marTop w:val="0"/>
                  <w:marBottom w:val="0"/>
                  <w:divBdr>
                    <w:top w:val="none" w:sz="0" w:space="0" w:color="auto"/>
                    <w:left w:val="none" w:sz="0" w:space="0" w:color="auto"/>
                    <w:bottom w:val="none" w:sz="0" w:space="0" w:color="auto"/>
                    <w:right w:val="none" w:sz="0" w:space="0" w:color="auto"/>
                  </w:divBdr>
                  <w:divsChild>
                    <w:div w:id="423844515">
                      <w:marLeft w:val="0"/>
                      <w:marRight w:val="0"/>
                      <w:marTop w:val="0"/>
                      <w:marBottom w:val="0"/>
                      <w:divBdr>
                        <w:top w:val="none" w:sz="0" w:space="0" w:color="auto"/>
                        <w:left w:val="none" w:sz="0" w:space="0" w:color="auto"/>
                        <w:bottom w:val="none" w:sz="0" w:space="0" w:color="auto"/>
                        <w:right w:val="none" w:sz="0" w:space="0" w:color="auto"/>
                      </w:divBdr>
                    </w:div>
                  </w:divsChild>
                </w:div>
                <w:div w:id="978650966">
                  <w:marLeft w:val="0"/>
                  <w:marRight w:val="0"/>
                  <w:marTop w:val="0"/>
                  <w:marBottom w:val="0"/>
                  <w:divBdr>
                    <w:top w:val="none" w:sz="0" w:space="0" w:color="auto"/>
                    <w:left w:val="none" w:sz="0" w:space="0" w:color="auto"/>
                    <w:bottom w:val="none" w:sz="0" w:space="0" w:color="auto"/>
                    <w:right w:val="none" w:sz="0" w:space="0" w:color="auto"/>
                  </w:divBdr>
                  <w:divsChild>
                    <w:div w:id="799346931">
                      <w:marLeft w:val="0"/>
                      <w:marRight w:val="0"/>
                      <w:marTop w:val="0"/>
                      <w:marBottom w:val="0"/>
                      <w:divBdr>
                        <w:top w:val="none" w:sz="0" w:space="0" w:color="auto"/>
                        <w:left w:val="none" w:sz="0" w:space="0" w:color="auto"/>
                        <w:bottom w:val="none" w:sz="0" w:space="0" w:color="auto"/>
                        <w:right w:val="none" w:sz="0" w:space="0" w:color="auto"/>
                      </w:divBdr>
                    </w:div>
                  </w:divsChild>
                </w:div>
                <w:div w:id="1012684660">
                  <w:marLeft w:val="0"/>
                  <w:marRight w:val="0"/>
                  <w:marTop w:val="0"/>
                  <w:marBottom w:val="0"/>
                  <w:divBdr>
                    <w:top w:val="none" w:sz="0" w:space="0" w:color="auto"/>
                    <w:left w:val="none" w:sz="0" w:space="0" w:color="auto"/>
                    <w:bottom w:val="none" w:sz="0" w:space="0" w:color="auto"/>
                    <w:right w:val="none" w:sz="0" w:space="0" w:color="auto"/>
                  </w:divBdr>
                  <w:divsChild>
                    <w:div w:id="1043749916">
                      <w:marLeft w:val="0"/>
                      <w:marRight w:val="0"/>
                      <w:marTop w:val="0"/>
                      <w:marBottom w:val="0"/>
                      <w:divBdr>
                        <w:top w:val="none" w:sz="0" w:space="0" w:color="auto"/>
                        <w:left w:val="none" w:sz="0" w:space="0" w:color="auto"/>
                        <w:bottom w:val="none" w:sz="0" w:space="0" w:color="auto"/>
                        <w:right w:val="none" w:sz="0" w:space="0" w:color="auto"/>
                      </w:divBdr>
                    </w:div>
                  </w:divsChild>
                </w:div>
                <w:div w:id="1020274819">
                  <w:marLeft w:val="0"/>
                  <w:marRight w:val="0"/>
                  <w:marTop w:val="0"/>
                  <w:marBottom w:val="0"/>
                  <w:divBdr>
                    <w:top w:val="none" w:sz="0" w:space="0" w:color="auto"/>
                    <w:left w:val="none" w:sz="0" w:space="0" w:color="auto"/>
                    <w:bottom w:val="none" w:sz="0" w:space="0" w:color="auto"/>
                    <w:right w:val="none" w:sz="0" w:space="0" w:color="auto"/>
                  </w:divBdr>
                  <w:divsChild>
                    <w:div w:id="240526647">
                      <w:marLeft w:val="0"/>
                      <w:marRight w:val="0"/>
                      <w:marTop w:val="0"/>
                      <w:marBottom w:val="0"/>
                      <w:divBdr>
                        <w:top w:val="none" w:sz="0" w:space="0" w:color="auto"/>
                        <w:left w:val="none" w:sz="0" w:space="0" w:color="auto"/>
                        <w:bottom w:val="none" w:sz="0" w:space="0" w:color="auto"/>
                        <w:right w:val="none" w:sz="0" w:space="0" w:color="auto"/>
                      </w:divBdr>
                    </w:div>
                  </w:divsChild>
                </w:div>
                <w:div w:id="1021974429">
                  <w:marLeft w:val="0"/>
                  <w:marRight w:val="0"/>
                  <w:marTop w:val="0"/>
                  <w:marBottom w:val="0"/>
                  <w:divBdr>
                    <w:top w:val="none" w:sz="0" w:space="0" w:color="auto"/>
                    <w:left w:val="none" w:sz="0" w:space="0" w:color="auto"/>
                    <w:bottom w:val="none" w:sz="0" w:space="0" w:color="auto"/>
                    <w:right w:val="none" w:sz="0" w:space="0" w:color="auto"/>
                  </w:divBdr>
                  <w:divsChild>
                    <w:div w:id="566690904">
                      <w:marLeft w:val="0"/>
                      <w:marRight w:val="0"/>
                      <w:marTop w:val="0"/>
                      <w:marBottom w:val="0"/>
                      <w:divBdr>
                        <w:top w:val="none" w:sz="0" w:space="0" w:color="auto"/>
                        <w:left w:val="none" w:sz="0" w:space="0" w:color="auto"/>
                        <w:bottom w:val="none" w:sz="0" w:space="0" w:color="auto"/>
                        <w:right w:val="none" w:sz="0" w:space="0" w:color="auto"/>
                      </w:divBdr>
                    </w:div>
                  </w:divsChild>
                </w:div>
                <w:div w:id="1024135334">
                  <w:marLeft w:val="0"/>
                  <w:marRight w:val="0"/>
                  <w:marTop w:val="0"/>
                  <w:marBottom w:val="0"/>
                  <w:divBdr>
                    <w:top w:val="none" w:sz="0" w:space="0" w:color="auto"/>
                    <w:left w:val="none" w:sz="0" w:space="0" w:color="auto"/>
                    <w:bottom w:val="none" w:sz="0" w:space="0" w:color="auto"/>
                    <w:right w:val="none" w:sz="0" w:space="0" w:color="auto"/>
                  </w:divBdr>
                  <w:divsChild>
                    <w:div w:id="1675112953">
                      <w:marLeft w:val="0"/>
                      <w:marRight w:val="0"/>
                      <w:marTop w:val="0"/>
                      <w:marBottom w:val="0"/>
                      <w:divBdr>
                        <w:top w:val="none" w:sz="0" w:space="0" w:color="auto"/>
                        <w:left w:val="none" w:sz="0" w:space="0" w:color="auto"/>
                        <w:bottom w:val="none" w:sz="0" w:space="0" w:color="auto"/>
                        <w:right w:val="none" w:sz="0" w:space="0" w:color="auto"/>
                      </w:divBdr>
                    </w:div>
                  </w:divsChild>
                </w:div>
                <w:div w:id="1031956314">
                  <w:marLeft w:val="0"/>
                  <w:marRight w:val="0"/>
                  <w:marTop w:val="0"/>
                  <w:marBottom w:val="0"/>
                  <w:divBdr>
                    <w:top w:val="none" w:sz="0" w:space="0" w:color="auto"/>
                    <w:left w:val="none" w:sz="0" w:space="0" w:color="auto"/>
                    <w:bottom w:val="none" w:sz="0" w:space="0" w:color="auto"/>
                    <w:right w:val="none" w:sz="0" w:space="0" w:color="auto"/>
                  </w:divBdr>
                  <w:divsChild>
                    <w:div w:id="2127696538">
                      <w:marLeft w:val="0"/>
                      <w:marRight w:val="0"/>
                      <w:marTop w:val="0"/>
                      <w:marBottom w:val="0"/>
                      <w:divBdr>
                        <w:top w:val="none" w:sz="0" w:space="0" w:color="auto"/>
                        <w:left w:val="none" w:sz="0" w:space="0" w:color="auto"/>
                        <w:bottom w:val="none" w:sz="0" w:space="0" w:color="auto"/>
                        <w:right w:val="none" w:sz="0" w:space="0" w:color="auto"/>
                      </w:divBdr>
                    </w:div>
                  </w:divsChild>
                </w:div>
                <w:div w:id="1042485933">
                  <w:marLeft w:val="0"/>
                  <w:marRight w:val="0"/>
                  <w:marTop w:val="0"/>
                  <w:marBottom w:val="0"/>
                  <w:divBdr>
                    <w:top w:val="none" w:sz="0" w:space="0" w:color="auto"/>
                    <w:left w:val="none" w:sz="0" w:space="0" w:color="auto"/>
                    <w:bottom w:val="none" w:sz="0" w:space="0" w:color="auto"/>
                    <w:right w:val="none" w:sz="0" w:space="0" w:color="auto"/>
                  </w:divBdr>
                  <w:divsChild>
                    <w:div w:id="1832599194">
                      <w:marLeft w:val="0"/>
                      <w:marRight w:val="0"/>
                      <w:marTop w:val="0"/>
                      <w:marBottom w:val="0"/>
                      <w:divBdr>
                        <w:top w:val="none" w:sz="0" w:space="0" w:color="auto"/>
                        <w:left w:val="none" w:sz="0" w:space="0" w:color="auto"/>
                        <w:bottom w:val="none" w:sz="0" w:space="0" w:color="auto"/>
                        <w:right w:val="none" w:sz="0" w:space="0" w:color="auto"/>
                      </w:divBdr>
                    </w:div>
                  </w:divsChild>
                </w:div>
                <w:div w:id="1065178017">
                  <w:marLeft w:val="0"/>
                  <w:marRight w:val="0"/>
                  <w:marTop w:val="0"/>
                  <w:marBottom w:val="0"/>
                  <w:divBdr>
                    <w:top w:val="none" w:sz="0" w:space="0" w:color="auto"/>
                    <w:left w:val="none" w:sz="0" w:space="0" w:color="auto"/>
                    <w:bottom w:val="none" w:sz="0" w:space="0" w:color="auto"/>
                    <w:right w:val="none" w:sz="0" w:space="0" w:color="auto"/>
                  </w:divBdr>
                  <w:divsChild>
                    <w:div w:id="818350259">
                      <w:marLeft w:val="0"/>
                      <w:marRight w:val="0"/>
                      <w:marTop w:val="0"/>
                      <w:marBottom w:val="0"/>
                      <w:divBdr>
                        <w:top w:val="none" w:sz="0" w:space="0" w:color="auto"/>
                        <w:left w:val="none" w:sz="0" w:space="0" w:color="auto"/>
                        <w:bottom w:val="none" w:sz="0" w:space="0" w:color="auto"/>
                        <w:right w:val="none" w:sz="0" w:space="0" w:color="auto"/>
                      </w:divBdr>
                    </w:div>
                  </w:divsChild>
                </w:div>
                <w:div w:id="1083573098">
                  <w:marLeft w:val="0"/>
                  <w:marRight w:val="0"/>
                  <w:marTop w:val="0"/>
                  <w:marBottom w:val="0"/>
                  <w:divBdr>
                    <w:top w:val="none" w:sz="0" w:space="0" w:color="auto"/>
                    <w:left w:val="none" w:sz="0" w:space="0" w:color="auto"/>
                    <w:bottom w:val="none" w:sz="0" w:space="0" w:color="auto"/>
                    <w:right w:val="none" w:sz="0" w:space="0" w:color="auto"/>
                  </w:divBdr>
                  <w:divsChild>
                    <w:div w:id="2713168">
                      <w:marLeft w:val="0"/>
                      <w:marRight w:val="0"/>
                      <w:marTop w:val="0"/>
                      <w:marBottom w:val="0"/>
                      <w:divBdr>
                        <w:top w:val="none" w:sz="0" w:space="0" w:color="auto"/>
                        <w:left w:val="none" w:sz="0" w:space="0" w:color="auto"/>
                        <w:bottom w:val="none" w:sz="0" w:space="0" w:color="auto"/>
                        <w:right w:val="none" w:sz="0" w:space="0" w:color="auto"/>
                      </w:divBdr>
                    </w:div>
                  </w:divsChild>
                </w:div>
                <w:div w:id="1100877333">
                  <w:marLeft w:val="0"/>
                  <w:marRight w:val="0"/>
                  <w:marTop w:val="0"/>
                  <w:marBottom w:val="0"/>
                  <w:divBdr>
                    <w:top w:val="none" w:sz="0" w:space="0" w:color="auto"/>
                    <w:left w:val="none" w:sz="0" w:space="0" w:color="auto"/>
                    <w:bottom w:val="none" w:sz="0" w:space="0" w:color="auto"/>
                    <w:right w:val="none" w:sz="0" w:space="0" w:color="auto"/>
                  </w:divBdr>
                  <w:divsChild>
                    <w:div w:id="188955627">
                      <w:marLeft w:val="0"/>
                      <w:marRight w:val="0"/>
                      <w:marTop w:val="0"/>
                      <w:marBottom w:val="0"/>
                      <w:divBdr>
                        <w:top w:val="none" w:sz="0" w:space="0" w:color="auto"/>
                        <w:left w:val="none" w:sz="0" w:space="0" w:color="auto"/>
                        <w:bottom w:val="none" w:sz="0" w:space="0" w:color="auto"/>
                        <w:right w:val="none" w:sz="0" w:space="0" w:color="auto"/>
                      </w:divBdr>
                    </w:div>
                  </w:divsChild>
                </w:div>
                <w:div w:id="1105006295">
                  <w:marLeft w:val="0"/>
                  <w:marRight w:val="0"/>
                  <w:marTop w:val="0"/>
                  <w:marBottom w:val="0"/>
                  <w:divBdr>
                    <w:top w:val="none" w:sz="0" w:space="0" w:color="auto"/>
                    <w:left w:val="none" w:sz="0" w:space="0" w:color="auto"/>
                    <w:bottom w:val="none" w:sz="0" w:space="0" w:color="auto"/>
                    <w:right w:val="none" w:sz="0" w:space="0" w:color="auto"/>
                  </w:divBdr>
                  <w:divsChild>
                    <w:div w:id="1144348523">
                      <w:marLeft w:val="0"/>
                      <w:marRight w:val="0"/>
                      <w:marTop w:val="0"/>
                      <w:marBottom w:val="0"/>
                      <w:divBdr>
                        <w:top w:val="none" w:sz="0" w:space="0" w:color="auto"/>
                        <w:left w:val="none" w:sz="0" w:space="0" w:color="auto"/>
                        <w:bottom w:val="none" w:sz="0" w:space="0" w:color="auto"/>
                        <w:right w:val="none" w:sz="0" w:space="0" w:color="auto"/>
                      </w:divBdr>
                    </w:div>
                  </w:divsChild>
                </w:div>
                <w:div w:id="1125468003">
                  <w:marLeft w:val="0"/>
                  <w:marRight w:val="0"/>
                  <w:marTop w:val="0"/>
                  <w:marBottom w:val="0"/>
                  <w:divBdr>
                    <w:top w:val="none" w:sz="0" w:space="0" w:color="auto"/>
                    <w:left w:val="none" w:sz="0" w:space="0" w:color="auto"/>
                    <w:bottom w:val="none" w:sz="0" w:space="0" w:color="auto"/>
                    <w:right w:val="none" w:sz="0" w:space="0" w:color="auto"/>
                  </w:divBdr>
                  <w:divsChild>
                    <w:div w:id="444543825">
                      <w:marLeft w:val="0"/>
                      <w:marRight w:val="0"/>
                      <w:marTop w:val="0"/>
                      <w:marBottom w:val="0"/>
                      <w:divBdr>
                        <w:top w:val="none" w:sz="0" w:space="0" w:color="auto"/>
                        <w:left w:val="none" w:sz="0" w:space="0" w:color="auto"/>
                        <w:bottom w:val="none" w:sz="0" w:space="0" w:color="auto"/>
                        <w:right w:val="none" w:sz="0" w:space="0" w:color="auto"/>
                      </w:divBdr>
                    </w:div>
                  </w:divsChild>
                </w:div>
                <w:div w:id="1130903550">
                  <w:marLeft w:val="0"/>
                  <w:marRight w:val="0"/>
                  <w:marTop w:val="0"/>
                  <w:marBottom w:val="0"/>
                  <w:divBdr>
                    <w:top w:val="none" w:sz="0" w:space="0" w:color="auto"/>
                    <w:left w:val="none" w:sz="0" w:space="0" w:color="auto"/>
                    <w:bottom w:val="none" w:sz="0" w:space="0" w:color="auto"/>
                    <w:right w:val="none" w:sz="0" w:space="0" w:color="auto"/>
                  </w:divBdr>
                  <w:divsChild>
                    <w:div w:id="1504660544">
                      <w:marLeft w:val="0"/>
                      <w:marRight w:val="0"/>
                      <w:marTop w:val="0"/>
                      <w:marBottom w:val="0"/>
                      <w:divBdr>
                        <w:top w:val="none" w:sz="0" w:space="0" w:color="auto"/>
                        <w:left w:val="none" w:sz="0" w:space="0" w:color="auto"/>
                        <w:bottom w:val="none" w:sz="0" w:space="0" w:color="auto"/>
                        <w:right w:val="none" w:sz="0" w:space="0" w:color="auto"/>
                      </w:divBdr>
                    </w:div>
                  </w:divsChild>
                </w:div>
                <w:div w:id="1139306524">
                  <w:marLeft w:val="0"/>
                  <w:marRight w:val="0"/>
                  <w:marTop w:val="0"/>
                  <w:marBottom w:val="0"/>
                  <w:divBdr>
                    <w:top w:val="none" w:sz="0" w:space="0" w:color="auto"/>
                    <w:left w:val="none" w:sz="0" w:space="0" w:color="auto"/>
                    <w:bottom w:val="none" w:sz="0" w:space="0" w:color="auto"/>
                    <w:right w:val="none" w:sz="0" w:space="0" w:color="auto"/>
                  </w:divBdr>
                  <w:divsChild>
                    <w:div w:id="1242908732">
                      <w:marLeft w:val="0"/>
                      <w:marRight w:val="0"/>
                      <w:marTop w:val="0"/>
                      <w:marBottom w:val="0"/>
                      <w:divBdr>
                        <w:top w:val="none" w:sz="0" w:space="0" w:color="auto"/>
                        <w:left w:val="none" w:sz="0" w:space="0" w:color="auto"/>
                        <w:bottom w:val="none" w:sz="0" w:space="0" w:color="auto"/>
                        <w:right w:val="none" w:sz="0" w:space="0" w:color="auto"/>
                      </w:divBdr>
                    </w:div>
                  </w:divsChild>
                </w:div>
                <w:div w:id="1140463242">
                  <w:marLeft w:val="0"/>
                  <w:marRight w:val="0"/>
                  <w:marTop w:val="0"/>
                  <w:marBottom w:val="0"/>
                  <w:divBdr>
                    <w:top w:val="none" w:sz="0" w:space="0" w:color="auto"/>
                    <w:left w:val="none" w:sz="0" w:space="0" w:color="auto"/>
                    <w:bottom w:val="none" w:sz="0" w:space="0" w:color="auto"/>
                    <w:right w:val="none" w:sz="0" w:space="0" w:color="auto"/>
                  </w:divBdr>
                  <w:divsChild>
                    <w:div w:id="148258145">
                      <w:marLeft w:val="0"/>
                      <w:marRight w:val="0"/>
                      <w:marTop w:val="0"/>
                      <w:marBottom w:val="0"/>
                      <w:divBdr>
                        <w:top w:val="none" w:sz="0" w:space="0" w:color="auto"/>
                        <w:left w:val="none" w:sz="0" w:space="0" w:color="auto"/>
                        <w:bottom w:val="none" w:sz="0" w:space="0" w:color="auto"/>
                        <w:right w:val="none" w:sz="0" w:space="0" w:color="auto"/>
                      </w:divBdr>
                    </w:div>
                  </w:divsChild>
                </w:div>
                <w:div w:id="1150906447">
                  <w:marLeft w:val="0"/>
                  <w:marRight w:val="0"/>
                  <w:marTop w:val="0"/>
                  <w:marBottom w:val="0"/>
                  <w:divBdr>
                    <w:top w:val="none" w:sz="0" w:space="0" w:color="auto"/>
                    <w:left w:val="none" w:sz="0" w:space="0" w:color="auto"/>
                    <w:bottom w:val="none" w:sz="0" w:space="0" w:color="auto"/>
                    <w:right w:val="none" w:sz="0" w:space="0" w:color="auto"/>
                  </w:divBdr>
                  <w:divsChild>
                    <w:div w:id="232784895">
                      <w:marLeft w:val="0"/>
                      <w:marRight w:val="0"/>
                      <w:marTop w:val="0"/>
                      <w:marBottom w:val="0"/>
                      <w:divBdr>
                        <w:top w:val="none" w:sz="0" w:space="0" w:color="auto"/>
                        <w:left w:val="none" w:sz="0" w:space="0" w:color="auto"/>
                        <w:bottom w:val="none" w:sz="0" w:space="0" w:color="auto"/>
                        <w:right w:val="none" w:sz="0" w:space="0" w:color="auto"/>
                      </w:divBdr>
                    </w:div>
                  </w:divsChild>
                </w:div>
                <w:div w:id="1153064923">
                  <w:marLeft w:val="0"/>
                  <w:marRight w:val="0"/>
                  <w:marTop w:val="0"/>
                  <w:marBottom w:val="0"/>
                  <w:divBdr>
                    <w:top w:val="none" w:sz="0" w:space="0" w:color="auto"/>
                    <w:left w:val="none" w:sz="0" w:space="0" w:color="auto"/>
                    <w:bottom w:val="none" w:sz="0" w:space="0" w:color="auto"/>
                    <w:right w:val="none" w:sz="0" w:space="0" w:color="auto"/>
                  </w:divBdr>
                  <w:divsChild>
                    <w:div w:id="805781083">
                      <w:marLeft w:val="0"/>
                      <w:marRight w:val="0"/>
                      <w:marTop w:val="0"/>
                      <w:marBottom w:val="0"/>
                      <w:divBdr>
                        <w:top w:val="none" w:sz="0" w:space="0" w:color="auto"/>
                        <w:left w:val="none" w:sz="0" w:space="0" w:color="auto"/>
                        <w:bottom w:val="none" w:sz="0" w:space="0" w:color="auto"/>
                        <w:right w:val="none" w:sz="0" w:space="0" w:color="auto"/>
                      </w:divBdr>
                    </w:div>
                  </w:divsChild>
                </w:div>
                <w:div w:id="1156873875">
                  <w:marLeft w:val="0"/>
                  <w:marRight w:val="0"/>
                  <w:marTop w:val="0"/>
                  <w:marBottom w:val="0"/>
                  <w:divBdr>
                    <w:top w:val="none" w:sz="0" w:space="0" w:color="auto"/>
                    <w:left w:val="none" w:sz="0" w:space="0" w:color="auto"/>
                    <w:bottom w:val="none" w:sz="0" w:space="0" w:color="auto"/>
                    <w:right w:val="none" w:sz="0" w:space="0" w:color="auto"/>
                  </w:divBdr>
                  <w:divsChild>
                    <w:div w:id="421149962">
                      <w:marLeft w:val="0"/>
                      <w:marRight w:val="0"/>
                      <w:marTop w:val="0"/>
                      <w:marBottom w:val="0"/>
                      <w:divBdr>
                        <w:top w:val="none" w:sz="0" w:space="0" w:color="auto"/>
                        <w:left w:val="none" w:sz="0" w:space="0" w:color="auto"/>
                        <w:bottom w:val="none" w:sz="0" w:space="0" w:color="auto"/>
                        <w:right w:val="none" w:sz="0" w:space="0" w:color="auto"/>
                      </w:divBdr>
                    </w:div>
                  </w:divsChild>
                </w:div>
                <w:div w:id="1160461356">
                  <w:marLeft w:val="0"/>
                  <w:marRight w:val="0"/>
                  <w:marTop w:val="0"/>
                  <w:marBottom w:val="0"/>
                  <w:divBdr>
                    <w:top w:val="none" w:sz="0" w:space="0" w:color="auto"/>
                    <w:left w:val="none" w:sz="0" w:space="0" w:color="auto"/>
                    <w:bottom w:val="none" w:sz="0" w:space="0" w:color="auto"/>
                    <w:right w:val="none" w:sz="0" w:space="0" w:color="auto"/>
                  </w:divBdr>
                  <w:divsChild>
                    <w:div w:id="428081791">
                      <w:marLeft w:val="0"/>
                      <w:marRight w:val="0"/>
                      <w:marTop w:val="0"/>
                      <w:marBottom w:val="0"/>
                      <w:divBdr>
                        <w:top w:val="none" w:sz="0" w:space="0" w:color="auto"/>
                        <w:left w:val="none" w:sz="0" w:space="0" w:color="auto"/>
                        <w:bottom w:val="none" w:sz="0" w:space="0" w:color="auto"/>
                        <w:right w:val="none" w:sz="0" w:space="0" w:color="auto"/>
                      </w:divBdr>
                    </w:div>
                  </w:divsChild>
                </w:div>
                <w:div w:id="1165242577">
                  <w:marLeft w:val="0"/>
                  <w:marRight w:val="0"/>
                  <w:marTop w:val="0"/>
                  <w:marBottom w:val="0"/>
                  <w:divBdr>
                    <w:top w:val="none" w:sz="0" w:space="0" w:color="auto"/>
                    <w:left w:val="none" w:sz="0" w:space="0" w:color="auto"/>
                    <w:bottom w:val="none" w:sz="0" w:space="0" w:color="auto"/>
                    <w:right w:val="none" w:sz="0" w:space="0" w:color="auto"/>
                  </w:divBdr>
                  <w:divsChild>
                    <w:div w:id="1808622591">
                      <w:marLeft w:val="0"/>
                      <w:marRight w:val="0"/>
                      <w:marTop w:val="0"/>
                      <w:marBottom w:val="0"/>
                      <w:divBdr>
                        <w:top w:val="none" w:sz="0" w:space="0" w:color="auto"/>
                        <w:left w:val="none" w:sz="0" w:space="0" w:color="auto"/>
                        <w:bottom w:val="none" w:sz="0" w:space="0" w:color="auto"/>
                        <w:right w:val="none" w:sz="0" w:space="0" w:color="auto"/>
                      </w:divBdr>
                    </w:div>
                  </w:divsChild>
                </w:div>
                <w:div w:id="1186745390">
                  <w:marLeft w:val="0"/>
                  <w:marRight w:val="0"/>
                  <w:marTop w:val="0"/>
                  <w:marBottom w:val="0"/>
                  <w:divBdr>
                    <w:top w:val="none" w:sz="0" w:space="0" w:color="auto"/>
                    <w:left w:val="none" w:sz="0" w:space="0" w:color="auto"/>
                    <w:bottom w:val="none" w:sz="0" w:space="0" w:color="auto"/>
                    <w:right w:val="none" w:sz="0" w:space="0" w:color="auto"/>
                  </w:divBdr>
                  <w:divsChild>
                    <w:div w:id="882211724">
                      <w:marLeft w:val="0"/>
                      <w:marRight w:val="0"/>
                      <w:marTop w:val="0"/>
                      <w:marBottom w:val="0"/>
                      <w:divBdr>
                        <w:top w:val="none" w:sz="0" w:space="0" w:color="auto"/>
                        <w:left w:val="none" w:sz="0" w:space="0" w:color="auto"/>
                        <w:bottom w:val="none" w:sz="0" w:space="0" w:color="auto"/>
                        <w:right w:val="none" w:sz="0" w:space="0" w:color="auto"/>
                      </w:divBdr>
                    </w:div>
                  </w:divsChild>
                </w:div>
                <w:div w:id="1188560919">
                  <w:marLeft w:val="0"/>
                  <w:marRight w:val="0"/>
                  <w:marTop w:val="0"/>
                  <w:marBottom w:val="0"/>
                  <w:divBdr>
                    <w:top w:val="none" w:sz="0" w:space="0" w:color="auto"/>
                    <w:left w:val="none" w:sz="0" w:space="0" w:color="auto"/>
                    <w:bottom w:val="none" w:sz="0" w:space="0" w:color="auto"/>
                    <w:right w:val="none" w:sz="0" w:space="0" w:color="auto"/>
                  </w:divBdr>
                  <w:divsChild>
                    <w:div w:id="1332489461">
                      <w:marLeft w:val="0"/>
                      <w:marRight w:val="0"/>
                      <w:marTop w:val="0"/>
                      <w:marBottom w:val="0"/>
                      <w:divBdr>
                        <w:top w:val="none" w:sz="0" w:space="0" w:color="auto"/>
                        <w:left w:val="none" w:sz="0" w:space="0" w:color="auto"/>
                        <w:bottom w:val="none" w:sz="0" w:space="0" w:color="auto"/>
                        <w:right w:val="none" w:sz="0" w:space="0" w:color="auto"/>
                      </w:divBdr>
                    </w:div>
                  </w:divsChild>
                </w:div>
                <w:div w:id="1196188535">
                  <w:marLeft w:val="0"/>
                  <w:marRight w:val="0"/>
                  <w:marTop w:val="0"/>
                  <w:marBottom w:val="0"/>
                  <w:divBdr>
                    <w:top w:val="none" w:sz="0" w:space="0" w:color="auto"/>
                    <w:left w:val="none" w:sz="0" w:space="0" w:color="auto"/>
                    <w:bottom w:val="none" w:sz="0" w:space="0" w:color="auto"/>
                    <w:right w:val="none" w:sz="0" w:space="0" w:color="auto"/>
                  </w:divBdr>
                  <w:divsChild>
                    <w:div w:id="1020087590">
                      <w:marLeft w:val="0"/>
                      <w:marRight w:val="0"/>
                      <w:marTop w:val="0"/>
                      <w:marBottom w:val="0"/>
                      <w:divBdr>
                        <w:top w:val="none" w:sz="0" w:space="0" w:color="auto"/>
                        <w:left w:val="none" w:sz="0" w:space="0" w:color="auto"/>
                        <w:bottom w:val="none" w:sz="0" w:space="0" w:color="auto"/>
                        <w:right w:val="none" w:sz="0" w:space="0" w:color="auto"/>
                      </w:divBdr>
                    </w:div>
                  </w:divsChild>
                </w:div>
                <w:div w:id="1201625437">
                  <w:marLeft w:val="0"/>
                  <w:marRight w:val="0"/>
                  <w:marTop w:val="0"/>
                  <w:marBottom w:val="0"/>
                  <w:divBdr>
                    <w:top w:val="none" w:sz="0" w:space="0" w:color="auto"/>
                    <w:left w:val="none" w:sz="0" w:space="0" w:color="auto"/>
                    <w:bottom w:val="none" w:sz="0" w:space="0" w:color="auto"/>
                    <w:right w:val="none" w:sz="0" w:space="0" w:color="auto"/>
                  </w:divBdr>
                  <w:divsChild>
                    <w:div w:id="1420374568">
                      <w:marLeft w:val="0"/>
                      <w:marRight w:val="0"/>
                      <w:marTop w:val="0"/>
                      <w:marBottom w:val="0"/>
                      <w:divBdr>
                        <w:top w:val="none" w:sz="0" w:space="0" w:color="auto"/>
                        <w:left w:val="none" w:sz="0" w:space="0" w:color="auto"/>
                        <w:bottom w:val="none" w:sz="0" w:space="0" w:color="auto"/>
                        <w:right w:val="none" w:sz="0" w:space="0" w:color="auto"/>
                      </w:divBdr>
                    </w:div>
                  </w:divsChild>
                </w:div>
                <w:div w:id="1202521857">
                  <w:marLeft w:val="0"/>
                  <w:marRight w:val="0"/>
                  <w:marTop w:val="0"/>
                  <w:marBottom w:val="0"/>
                  <w:divBdr>
                    <w:top w:val="none" w:sz="0" w:space="0" w:color="auto"/>
                    <w:left w:val="none" w:sz="0" w:space="0" w:color="auto"/>
                    <w:bottom w:val="none" w:sz="0" w:space="0" w:color="auto"/>
                    <w:right w:val="none" w:sz="0" w:space="0" w:color="auto"/>
                  </w:divBdr>
                  <w:divsChild>
                    <w:div w:id="1250892740">
                      <w:marLeft w:val="0"/>
                      <w:marRight w:val="0"/>
                      <w:marTop w:val="0"/>
                      <w:marBottom w:val="0"/>
                      <w:divBdr>
                        <w:top w:val="none" w:sz="0" w:space="0" w:color="auto"/>
                        <w:left w:val="none" w:sz="0" w:space="0" w:color="auto"/>
                        <w:bottom w:val="none" w:sz="0" w:space="0" w:color="auto"/>
                        <w:right w:val="none" w:sz="0" w:space="0" w:color="auto"/>
                      </w:divBdr>
                    </w:div>
                  </w:divsChild>
                </w:div>
                <w:div w:id="1209680349">
                  <w:marLeft w:val="0"/>
                  <w:marRight w:val="0"/>
                  <w:marTop w:val="0"/>
                  <w:marBottom w:val="0"/>
                  <w:divBdr>
                    <w:top w:val="none" w:sz="0" w:space="0" w:color="auto"/>
                    <w:left w:val="none" w:sz="0" w:space="0" w:color="auto"/>
                    <w:bottom w:val="none" w:sz="0" w:space="0" w:color="auto"/>
                    <w:right w:val="none" w:sz="0" w:space="0" w:color="auto"/>
                  </w:divBdr>
                  <w:divsChild>
                    <w:div w:id="178197694">
                      <w:marLeft w:val="0"/>
                      <w:marRight w:val="0"/>
                      <w:marTop w:val="0"/>
                      <w:marBottom w:val="0"/>
                      <w:divBdr>
                        <w:top w:val="none" w:sz="0" w:space="0" w:color="auto"/>
                        <w:left w:val="none" w:sz="0" w:space="0" w:color="auto"/>
                        <w:bottom w:val="none" w:sz="0" w:space="0" w:color="auto"/>
                        <w:right w:val="none" w:sz="0" w:space="0" w:color="auto"/>
                      </w:divBdr>
                    </w:div>
                  </w:divsChild>
                </w:div>
                <w:div w:id="1211310837">
                  <w:marLeft w:val="0"/>
                  <w:marRight w:val="0"/>
                  <w:marTop w:val="0"/>
                  <w:marBottom w:val="0"/>
                  <w:divBdr>
                    <w:top w:val="none" w:sz="0" w:space="0" w:color="auto"/>
                    <w:left w:val="none" w:sz="0" w:space="0" w:color="auto"/>
                    <w:bottom w:val="none" w:sz="0" w:space="0" w:color="auto"/>
                    <w:right w:val="none" w:sz="0" w:space="0" w:color="auto"/>
                  </w:divBdr>
                  <w:divsChild>
                    <w:div w:id="2121678474">
                      <w:marLeft w:val="0"/>
                      <w:marRight w:val="0"/>
                      <w:marTop w:val="0"/>
                      <w:marBottom w:val="0"/>
                      <w:divBdr>
                        <w:top w:val="none" w:sz="0" w:space="0" w:color="auto"/>
                        <w:left w:val="none" w:sz="0" w:space="0" w:color="auto"/>
                        <w:bottom w:val="none" w:sz="0" w:space="0" w:color="auto"/>
                        <w:right w:val="none" w:sz="0" w:space="0" w:color="auto"/>
                      </w:divBdr>
                    </w:div>
                  </w:divsChild>
                </w:div>
                <w:div w:id="1233126115">
                  <w:marLeft w:val="0"/>
                  <w:marRight w:val="0"/>
                  <w:marTop w:val="0"/>
                  <w:marBottom w:val="0"/>
                  <w:divBdr>
                    <w:top w:val="none" w:sz="0" w:space="0" w:color="auto"/>
                    <w:left w:val="none" w:sz="0" w:space="0" w:color="auto"/>
                    <w:bottom w:val="none" w:sz="0" w:space="0" w:color="auto"/>
                    <w:right w:val="none" w:sz="0" w:space="0" w:color="auto"/>
                  </w:divBdr>
                  <w:divsChild>
                    <w:div w:id="913469259">
                      <w:marLeft w:val="0"/>
                      <w:marRight w:val="0"/>
                      <w:marTop w:val="0"/>
                      <w:marBottom w:val="0"/>
                      <w:divBdr>
                        <w:top w:val="none" w:sz="0" w:space="0" w:color="auto"/>
                        <w:left w:val="none" w:sz="0" w:space="0" w:color="auto"/>
                        <w:bottom w:val="none" w:sz="0" w:space="0" w:color="auto"/>
                        <w:right w:val="none" w:sz="0" w:space="0" w:color="auto"/>
                      </w:divBdr>
                    </w:div>
                  </w:divsChild>
                </w:div>
                <w:div w:id="1237280321">
                  <w:marLeft w:val="0"/>
                  <w:marRight w:val="0"/>
                  <w:marTop w:val="0"/>
                  <w:marBottom w:val="0"/>
                  <w:divBdr>
                    <w:top w:val="none" w:sz="0" w:space="0" w:color="auto"/>
                    <w:left w:val="none" w:sz="0" w:space="0" w:color="auto"/>
                    <w:bottom w:val="none" w:sz="0" w:space="0" w:color="auto"/>
                    <w:right w:val="none" w:sz="0" w:space="0" w:color="auto"/>
                  </w:divBdr>
                  <w:divsChild>
                    <w:div w:id="557012957">
                      <w:marLeft w:val="0"/>
                      <w:marRight w:val="0"/>
                      <w:marTop w:val="0"/>
                      <w:marBottom w:val="0"/>
                      <w:divBdr>
                        <w:top w:val="none" w:sz="0" w:space="0" w:color="auto"/>
                        <w:left w:val="none" w:sz="0" w:space="0" w:color="auto"/>
                        <w:bottom w:val="none" w:sz="0" w:space="0" w:color="auto"/>
                        <w:right w:val="none" w:sz="0" w:space="0" w:color="auto"/>
                      </w:divBdr>
                    </w:div>
                  </w:divsChild>
                </w:div>
                <w:div w:id="1241939612">
                  <w:marLeft w:val="0"/>
                  <w:marRight w:val="0"/>
                  <w:marTop w:val="0"/>
                  <w:marBottom w:val="0"/>
                  <w:divBdr>
                    <w:top w:val="none" w:sz="0" w:space="0" w:color="auto"/>
                    <w:left w:val="none" w:sz="0" w:space="0" w:color="auto"/>
                    <w:bottom w:val="none" w:sz="0" w:space="0" w:color="auto"/>
                    <w:right w:val="none" w:sz="0" w:space="0" w:color="auto"/>
                  </w:divBdr>
                  <w:divsChild>
                    <w:div w:id="1896893587">
                      <w:marLeft w:val="0"/>
                      <w:marRight w:val="0"/>
                      <w:marTop w:val="0"/>
                      <w:marBottom w:val="0"/>
                      <w:divBdr>
                        <w:top w:val="none" w:sz="0" w:space="0" w:color="auto"/>
                        <w:left w:val="none" w:sz="0" w:space="0" w:color="auto"/>
                        <w:bottom w:val="none" w:sz="0" w:space="0" w:color="auto"/>
                        <w:right w:val="none" w:sz="0" w:space="0" w:color="auto"/>
                      </w:divBdr>
                    </w:div>
                  </w:divsChild>
                </w:div>
                <w:div w:id="1243949485">
                  <w:marLeft w:val="0"/>
                  <w:marRight w:val="0"/>
                  <w:marTop w:val="0"/>
                  <w:marBottom w:val="0"/>
                  <w:divBdr>
                    <w:top w:val="none" w:sz="0" w:space="0" w:color="auto"/>
                    <w:left w:val="none" w:sz="0" w:space="0" w:color="auto"/>
                    <w:bottom w:val="none" w:sz="0" w:space="0" w:color="auto"/>
                    <w:right w:val="none" w:sz="0" w:space="0" w:color="auto"/>
                  </w:divBdr>
                  <w:divsChild>
                    <w:div w:id="1184786948">
                      <w:marLeft w:val="0"/>
                      <w:marRight w:val="0"/>
                      <w:marTop w:val="0"/>
                      <w:marBottom w:val="0"/>
                      <w:divBdr>
                        <w:top w:val="none" w:sz="0" w:space="0" w:color="auto"/>
                        <w:left w:val="none" w:sz="0" w:space="0" w:color="auto"/>
                        <w:bottom w:val="none" w:sz="0" w:space="0" w:color="auto"/>
                        <w:right w:val="none" w:sz="0" w:space="0" w:color="auto"/>
                      </w:divBdr>
                    </w:div>
                  </w:divsChild>
                </w:div>
                <w:div w:id="1252399283">
                  <w:marLeft w:val="0"/>
                  <w:marRight w:val="0"/>
                  <w:marTop w:val="0"/>
                  <w:marBottom w:val="0"/>
                  <w:divBdr>
                    <w:top w:val="none" w:sz="0" w:space="0" w:color="auto"/>
                    <w:left w:val="none" w:sz="0" w:space="0" w:color="auto"/>
                    <w:bottom w:val="none" w:sz="0" w:space="0" w:color="auto"/>
                    <w:right w:val="none" w:sz="0" w:space="0" w:color="auto"/>
                  </w:divBdr>
                  <w:divsChild>
                    <w:div w:id="1511800311">
                      <w:marLeft w:val="0"/>
                      <w:marRight w:val="0"/>
                      <w:marTop w:val="0"/>
                      <w:marBottom w:val="0"/>
                      <w:divBdr>
                        <w:top w:val="none" w:sz="0" w:space="0" w:color="auto"/>
                        <w:left w:val="none" w:sz="0" w:space="0" w:color="auto"/>
                        <w:bottom w:val="none" w:sz="0" w:space="0" w:color="auto"/>
                        <w:right w:val="none" w:sz="0" w:space="0" w:color="auto"/>
                      </w:divBdr>
                    </w:div>
                  </w:divsChild>
                </w:div>
                <w:div w:id="1256551734">
                  <w:marLeft w:val="0"/>
                  <w:marRight w:val="0"/>
                  <w:marTop w:val="0"/>
                  <w:marBottom w:val="0"/>
                  <w:divBdr>
                    <w:top w:val="none" w:sz="0" w:space="0" w:color="auto"/>
                    <w:left w:val="none" w:sz="0" w:space="0" w:color="auto"/>
                    <w:bottom w:val="none" w:sz="0" w:space="0" w:color="auto"/>
                    <w:right w:val="none" w:sz="0" w:space="0" w:color="auto"/>
                  </w:divBdr>
                  <w:divsChild>
                    <w:div w:id="126162864">
                      <w:marLeft w:val="0"/>
                      <w:marRight w:val="0"/>
                      <w:marTop w:val="0"/>
                      <w:marBottom w:val="0"/>
                      <w:divBdr>
                        <w:top w:val="none" w:sz="0" w:space="0" w:color="auto"/>
                        <w:left w:val="none" w:sz="0" w:space="0" w:color="auto"/>
                        <w:bottom w:val="none" w:sz="0" w:space="0" w:color="auto"/>
                        <w:right w:val="none" w:sz="0" w:space="0" w:color="auto"/>
                      </w:divBdr>
                    </w:div>
                  </w:divsChild>
                </w:div>
                <w:div w:id="1270621696">
                  <w:marLeft w:val="0"/>
                  <w:marRight w:val="0"/>
                  <w:marTop w:val="0"/>
                  <w:marBottom w:val="0"/>
                  <w:divBdr>
                    <w:top w:val="none" w:sz="0" w:space="0" w:color="auto"/>
                    <w:left w:val="none" w:sz="0" w:space="0" w:color="auto"/>
                    <w:bottom w:val="none" w:sz="0" w:space="0" w:color="auto"/>
                    <w:right w:val="none" w:sz="0" w:space="0" w:color="auto"/>
                  </w:divBdr>
                  <w:divsChild>
                    <w:div w:id="1848714138">
                      <w:marLeft w:val="0"/>
                      <w:marRight w:val="0"/>
                      <w:marTop w:val="0"/>
                      <w:marBottom w:val="0"/>
                      <w:divBdr>
                        <w:top w:val="none" w:sz="0" w:space="0" w:color="auto"/>
                        <w:left w:val="none" w:sz="0" w:space="0" w:color="auto"/>
                        <w:bottom w:val="none" w:sz="0" w:space="0" w:color="auto"/>
                        <w:right w:val="none" w:sz="0" w:space="0" w:color="auto"/>
                      </w:divBdr>
                    </w:div>
                  </w:divsChild>
                </w:div>
                <w:div w:id="1284118836">
                  <w:marLeft w:val="0"/>
                  <w:marRight w:val="0"/>
                  <w:marTop w:val="0"/>
                  <w:marBottom w:val="0"/>
                  <w:divBdr>
                    <w:top w:val="none" w:sz="0" w:space="0" w:color="auto"/>
                    <w:left w:val="none" w:sz="0" w:space="0" w:color="auto"/>
                    <w:bottom w:val="none" w:sz="0" w:space="0" w:color="auto"/>
                    <w:right w:val="none" w:sz="0" w:space="0" w:color="auto"/>
                  </w:divBdr>
                  <w:divsChild>
                    <w:div w:id="1022048178">
                      <w:marLeft w:val="0"/>
                      <w:marRight w:val="0"/>
                      <w:marTop w:val="0"/>
                      <w:marBottom w:val="0"/>
                      <w:divBdr>
                        <w:top w:val="none" w:sz="0" w:space="0" w:color="auto"/>
                        <w:left w:val="none" w:sz="0" w:space="0" w:color="auto"/>
                        <w:bottom w:val="none" w:sz="0" w:space="0" w:color="auto"/>
                        <w:right w:val="none" w:sz="0" w:space="0" w:color="auto"/>
                      </w:divBdr>
                    </w:div>
                  </w:divsChild>
                </w:div>
                <w:div w:id="1286546668">
                  <w:marLeft w:val="0"/>
                  <w:marRight w:val="0"/>
                  <w:marTop w:val="0"/>
                  <w:marBottom w:val="0"/>
                  <w:divBdr>
                    <w:top w:val="none" w:sz="0" w:space="0" w:color="auto"/>
                    <w:left w:val="none" w:sz="0" w:space="0" w:color="auto"/>
                    <w:bottom w:val="none" w:sz="0" w:space="0" w:color="auto"/>
                    <w:right w:val="none" w:sz="0" w:space="0" w:color="auto"/>
                  </w:divBdr>
                  <w:divsChild>
                    <w:div w:id="240409104">
                      <w:marLeft w:val="0"/>
                      <w:marRight w:val="0"/>
                      <w:marTop w:val="0"/>
                      <w:marBottom w:val="0"/>
                      <w:divBdr>
                        <w:top w:val="none" w:sz="0" w:space="0" w:color="auto"/>
                        <w:left w:val="none" w:sz="0" w:space="0" w:color="auto"/>
                        <w:bottom w:val="none" w:sz="0" w:space="0" w:color="auto"/>
                        <w:right w:val="none" w:sz="0" w:space="0" w:color="auto"/>
                      </w:divBdr>
                    </w:div>
                  </w:divsChild>
                </w:div>
                <w:div w:id="1293294973">
                  <w:marLeft w:val="0"/>
                  <w:marRight w:val="0"/>
                  <w:marTop w:val="0"/>
                  <w:marBottom w:val="0"/>
                  <w:divBdr>
                    <w:top w:val="none" w:sz="0" w:space="0" w:color="auto"/>
                    <w:left w:val="none" w:sz="0" w:space="0" w:color="auto"/>
                    <w:bottom w:val="none" w:sz="0" w:space="0" w:color="auto"/>
                    <w:right w:val="none" w:sz="0" w:space="0" w:color="auto"/>
                  </w:divBdr>
                  <w:divsChild>
                    <w:div w:id="1303344535">
                      <w:marLeft w:val="0"/>
                      <w:marRight w:val="0"/>
                      <w:marTop w:val="0"/>
                      <w:marBottom w:val="0"/>
                      <w:divBdr>
                        <w:top w:val="none" w:sz="0" w:space="0" w:color="auto"/>
                        <w:left w:val="none" w:sz="0" w:space="0" w:color="auto"/>
                        <w:bottom w:val="none" w:sz="0" w:space="0" w:color="auto"/>
                        <w:right w:val="none" w:sz="0" w:space="0" w:color="auto"/>
                      </w:divBdr>
                    </w:div>
                  </w:divsChild>
                </w:div>
                <w:div w:id="1308972061">
                  <w:marLeft w:val="0"/>
                  <w:marRight w:val="0"/>
                  <w:marTop w:val="0"/>
                  <w:marBottom w:val="0"/>
                  <w:divBdr>
                    <w:top w:val="none" w:sz="0" w:space="0" w:color="auto"/>
                    <w:left w:val="none" w:sz="0" w:space="0" w:color="auto"/>
                    <w:bottom w:val="none" w:sz="0" w:space="0" w:color="auto"/>
                    <w:right w:val="none" w:sz="0" w:space="0" w:color="auto"/>
                  </w:divBdr>
                  <w:divsChild>
                    <w:div w:id="548957270">
                      <w:marLeft w:val="0"/>
                      <w:marRight w:val="0"/>
                      <w:marTop w:val="0"/>
                      <w:marBottom w:val="0"/>
                      <w:divBdr>
                        <w:top w:val="none" w:sz="0" w:space="0" w:color="auto"/>
                        <w:left w:val="none" w:sz="0" w:space="0" w:color="auto"/>
                        <w:bottom w:val="none" w:sz="0" w:space="0" w:color="auto"/>
                        <w:right w:val="none" w:sz="0" w:space="0" w:color="auto"/>
                      </w:divBdr>
                    </w:div>
                  </w:divsChild>
                </w:div>
                <w:div w:id="1311324630">
                  <w:marLeft w:val="0"/>
                  <w:marRight w:val="0"/>
                  <w:marTop w:val="0"/>
                  <w:marBottom w:val="0"/>
                  <w:divBdr>
                    <w:top w:val="none" w:sz="0" w:space="0" w:color="auto"/>
                    <w:left w:val="none" w:sz="0" w:space="0" w:color="auto"/>
                    <w:bottom w:val="none" w:sz="0" w:space="0" w:color="auto"/>
                    <w:right w:val="none" w:sz="0" w:space="0" w:color="auto"/>
                  </w:divBdr>
                  <w:divsChild>
                    <w:div w:id="1592348936">
                      <w:marLeft w:val="0"/>
                      <w:marRight w:val="0"/>
                      <w:marTop w:val="0"/>
                      <w:marBottom w:val="0"/>
                      <w:divBdr>
                        <w:top w:val="none" w:sz="0" w:space="0" w:color="auto"/>
                        <w:left w:val="none" w:sz="0" w:space="0" w:color="auto"/>
                        <w:bottom w:val="none" w:sz="0" w:space="0" w:color="auto"/>
                        <w:right w:val="none" w:sz="0" w:space="0" w:color="auto"/>
                      </w:divBdr>
                    </w:div>
                  </w:divsChild>
                </w:div>
                <w:div w:id="1315525945">
                  <w:marLeft w:val="0"/>
                  <w:marRight w:val="0"/>
                  <w:marTop w:val="0"/>
                  <w:marBottom w:val="0"/>
                  <w:divBdr>
                    <w:top w:val="none" w:sz="0" w:space="0" w:color="auto"/>
                    <w:left w:val="none" w:sz="0" w:space="0" w:color="auto"/>
                    <w:bottom w:val="none" w:sz="0" w:space="0" w:color="auto"/>
                    <w:right w:val="none" w:sz="0" w:space="0" w:color="auto"/>
                  </w:divBdr>
                  <w:divsChild>
                    <w:div w:id="1342270921">
                      <w:marLeft w:val="0"/>
                      <w:marRight w:val="0"/>
                      <w:marTop w:val="0"/>
                      <w:marBottom w:val="0"/>
                      <w:divBdr>
                        <w:top w:val="none" w:sz="0" w:space="0" w:color="auto"/>
                        <w:left w:val="none" w:sz="0" w:space="0" w:color="auto"/>
                        <w:bottom w:val="none" w:sz="0" w:space="0" w:color="auto"/>
                        <w:right w:val="none" w:sz="0" w:space="0" w:color="auto"/>
                      </w:divBdr>
                    </w:div>
                  </w:divsChild>
                </w:div>
                <w:div w:id="1334261188">
                  <w:marLeft w:val="0"/>
                  <w:marRight w:val="0"/>
                  <w:marTop w:val="0"/>
                  <w:marBottom w:val="0"/>
                  <w:divBdr>
                    <w:top w:val="none" w:sz="0" w:space="0" w:color="auto"/>
                    <w:left w:val="none" w:sz="0" w:space="0" w:color="auto"/>
                    <w:bottom w:val="none" w:sz="0" w:space="0" w:color="auto"/>
                    <w:right w:val="none" w:sz="0" w:space="0" w:color="auto"/>
                  </w:divBdr>
                  <w:divsChild>
                    <w:div w:id="1076324088">
                      <w:marLeft w:val="0"/>
                      <w:marRight w:val="0"/>
                      <w:marTop w:val="0"/>
                      <w:marBottom w:val="0"/>
                      <w:divBdr>
                        <w:top w:val="none" w:sz="0" w:space="0" w:color="auto"/>
                        <w:left w:val="none" w:sz="0" w:space="0" w:color="auto"/>
                        <w:bottom w:val="none" w:sz="0" w:space="0" w:color="auto"/>
                        <w:right w:val="none" w:sz="0" w:space="0" w:color="auto"/>
                      </w:divBdr>
                    </w:div>
                  </w:divsChild>
                </w:div>
                <w:div w:id="1335765030">
                  <w:marLeft w:val="0"/>
                  <w:marRight w:val="0"/>
                  <w:marTop w:val="0"/>
                  <w:marBottom w:val="0"/>
                  <w:divBdr>
                    <w:top w:val="none" w:sz="0" w:space="0" w:color="auto"/>
                    <w:left w:val="none" w:sz="0" w:space="0" w:color="auto"/>
                    <w:bottom w:val="none" w:sz="0" w:space="0" w:color="auto"/>
                    <w:right w:val="none" w:sz="0" w:space="0" w:color="auto"/>
                  </w:divBdr>
                  <w:divsChild>
                    <w:div w:id="386031087">
                      <w:marLeft w:val="0"/>
                      <w:marRight w:val="0"/>
                      <w:marTop w:val="0"/>
                      <w:marBottom w:val="0"/>
                      <w:divBdr>
                        <w:top w:val="none" w:sz="0" w:space="0" w:color="auto"/>
                        <w:left w:val="none" w:sz="0" w:space="0" w:color="auto"/>
                        <w:bottom w:val="none" w:sz="0" w:space="0" w:color="auto"/>
                        <w:right w:val="none" w:sz="0" w:space="0" w:color="auto"/>
                      </w:divBdr>
                    </w:div>
                  </w:divsChild>
                </w:div>
                <w:div w:id="1352339671">
                  <w:marLeft w:val="0"/>
                  <w:marRight w:val="0"/>
                  <w:marTop w:val="0"/>
                  <w:marBottom w:val="0"/>
                  <w:divBdr>
                    <w:top w:val="none" w:sz="0" w:space="0" w:color="auto"/>
                    <w:left w:val="none" w:sz="0" w:space="0" w:color="auto"/>
                    <w:bottom w:val="none" w:sz="0" w:space="0" w:color="auto"/>
                    <w:right w:val="none" w:sz="0" w:space="0" w:color="auto"/>
                  </w:divBdr>
                  <w:divsChild>
                    <w:div w:id="970138101">
                      <w:marLeft w:val="0"/>
                      <w:marRight w:val="0"/>
                      <w:marTop w:val="0"/>
                      <w:marBottom w:val="0"/>
                      <w:divBdr>
                        <w:top w:val="none" w:sz="0" w:space="0" w:color="auto"/>
                        <w:left w:val="none" w:sz="0" w:space="0" w:color="auto"/>
                        <w:bottom w:val="none" w:sz="0" w:space="0" w:color="auto"/>
                        <w:right w:val="none" w:sz="0" w:space="0" w:color="auto"/>
                      </w:divBdr>
                    </w:div>
                  </w:divsChild>
                </w:div>
                <w:div w:id="1368985797">
                  <w:marLeft w:val="0"/>
                  <w:marRight w:val="0"/>
                  <w:marTop w:val="0"/>
                  <w:marBottom w:val="0"/>
                  <w:divBdr>
                    <w:top w:val="none" w:sz="0" w:space="0" w:color="auto"/>
                    <w:left w:val="none" w:sz="0" w:space="0" w:color="auto"/>
                    <w:bottom w:val="none" w:sz="0" w:space="0" w:color="auto"/>
                    <w:right w:val="none" w:sz="0" w:space="0" w:color="auto"/>
                  </w:divBdr>
                  <w:divsChild>
                    <w:div w:id="1597252856">
                      <w:marLeft w:val="0"/>
                      <w:marRight w:val="0"/>
                      <w:marTop w:val="0"/>
                      <w:marBottom w:val="0"/>
                      <w:divBdr>
                        <w:top w:val="none" w:sz="0" w:space="0" w:color="auto"/>
                        <w:left w:val="none" w:sz="0" w:space="0" w:color="auto"/>
                        <w:bottom w:val="none" w:sz="0" w:space="0" w:color="auto"/>
                        <w:right w:val="none" w:sz="0" w:space="0" w:color="auto"/>
                      </w:divBdr>
                    </w:div>
                  </w:divsChild>
                </w:div>
                <w:div w:id="1380664786">
                  <w:marLeft w:val="0"/>
                  <w:marRight w:val="0"/>
                  <w:marTop w:val="0"/>
                  <w:marBottom w:val="0"/>
                  <w:divBdr>
                    <w:top w:val="none" w:sz="0" w:space="0" w:color="auto"/>
                    <w:left w:val="none" w:sz="0" w:space="0" w:color="auto"/>
                    <w:bottom w:val="none" w:sz="0" w:space="0" w:color="auto"/>
                    <w:right w:val="none" w:sz="0" w:space="0" w:color="auto"/>
                  </w:divBdr>
                  <w:divsChild>
                    <w:div w:id="793985835">
                      <w:marLeft w:val="0"/>
                      <w:marRight w:val="0"/>
                      <w:marTop w:val="0"/>
                      <w:marBottom w:val="0"/>
                      <w:divBdr>
                        <w:top w:val="none" w:sz="0" w:space="0" w:color="auto"/>
                        <w:left w:val="none" w:sz="0" w:space="0" w:color="auto"/>
                        <w:bottom w:val="none" w:sz="0" w:space="0" w:color="auto"/>
                        <w:right w:val="none" w:sz="0" w:space="0" w:color="auto"/>
                      </w:divBdr>
                    </w:div>
                  </w:divsChild>
                </w:div>
                <w:div w:id="1386367197">
                  <w:marLeft w:val="0"/>
                  <w:marRight w:val="0"/>
                  <w:marTop w:val="0"/>
                  <w:marBottom w:val="0"/>
                  <w:divBdr>
                    <w:top w:val="none" w:sz="0" w:space="0" w:color="auto"/>
                    <w:left w:val="none" w:sz="0" w:space="0" w:color="auto"/>
                    <w:bottom w:val="none" w:sz="0" w:space="0" w:color="auto"/>
                    <w:right w:val="none" w:sz="0" w:space="0" w:color="auto"/>
                  </w:divBdr>
                  <w:divsChild>
                    <w:div w:id="734208191">
                      <w:marLeft w:val="0"/>
                      <w:marRight w:val="0"/>
                      <w:marTop w:val="0"/>
                      <w:marBottom w:val="0"/>
                      <w:divBdr>
                        <w:top w:val="none" w:sz="0" w:space="0" w:color="auto"/>
                        <w:left w:val="none" w:sz="0" w:space="0" w:color="auto"/>
                        <w:bottom w:val="none" w:sz="0" w:space="0" w:color="auto"/>
                        <w:right w:val="none" w:sz="0" w:space="0" w:color="auto"/>
                      </w:divBdr>
                    </w:div>
                  </w:divsChild>
                </w:div>
                <w:div w:id="1387486022">
                  <w:marLeft w:val="0"/>
                  <w:marRight w:val="0"/>
                  <w:marTop w:val="0"/>
                  <w:marBottom w:val="0"/>
                  <w:divBdr>
                    <w:top w:val="none" w:sz="0" w:space="0" w:color="auto"/>
                    <w:left w:val="none" w:sz="0" w:space="0" w:color="auto"/>
                    <w:bottom w:val="none" w:sz="0" w:space="0" w:color="auto"/>
                    <w:right w:val="none" w:sz="0" w:space="0" w:color="auto"/>
                  </w:divBdr>
                  <w:divsChild>
                    <w:div w:id="1091664129">
                      <w:marLeft w:val="0"/>
                      <w:marRight w:val="0"/>
                      <w:marTop w:val="0"/>
                      <w:marBottom w:val="0"/>
                      <w:divBdr>
                        <w:top w:val="none" w:sz="0" w:space="0" w:color="auto"/>
                        <w:left w:val="none" w:sz="0" w:space="0" w:color="auto"/>
                        <w:bottom w:val="none" w:sz="0" w:space="0" w:color="auto"/>
                        <w:right w:val="none" w:sz="0" w:space="0" w:color="auto"/>
                      </w:divBdr>
                    </w:div>
                  </w:divsChild>
                </w:div>
                <w:div w:id="1388335711">
                  <w:marLeft w:val="0"/>
                  <w:marRight w:val="0"/>
                  <w:marTop w:val="0"/>
                  <w:marBottom w:val="0"/>
                  <w:divBdr>
                    <w:top w:val="none" w:sz="0" w:space="0" w:color="auto"/>
                    <w:left w:val="none" w:sz="0" w:space="0" w:color="auto"/>
                    <w:bottom w:val="none" w:sz="0" w:space="0" w:color="auto"/>
                    <w:right w:val="none" w:sz="0" w:space="0" w:color="auto"/>
                  </w:divBdr>
                  <w:divsChild>
                    <w:div w:id="324095334">
                      <w:marLeft w:val="0"/>
                      <w:marRight w:val="0"/>
                      <w:marTop w:val="0"/>
                      <w:marBottom w:val="0"/>
                      <w:divBdr>
                        <w:top w:val="none" w:sz="0" w:space="0" w:color="auto"/>
                        <w:left w:val="none" w:sz="0" w:space="0" w:color="auto"/>
                        <w:bottom w:val="none" w:sz="0" w:space="0" w:color="auto"/>
                        <w:right w:val="none" w:sz="0" w:space="0" w:color="auto"/>
                      </w:divBdr>
                    </w:div>
                  </w:divsChild>
                </w:div>
                <w:div w:id="1401366218">
                  <w:marLeft w:val="0"/>
                  <w:marRight w:val="0"/>
                  <w:marTop w:val="0"/>
                  <w:marBottom w:val="0"/>
                  <w:divBdr>
                    <w:top w:val="none" w:sz="0" w:space="0" w:color="auto"/>
                    <w:left w:val="none" w:sz="0" w:space="0" w:color="auto"/>
                    <w:bottom w:val="none" w:sz="0" w:space="0" w:color="auto"/>
                    <w:right w:val="none" w:sz="0" w:space="0" w:color="auto"/>
                  </w:divBdr>
                  <w:divsChild>
                    <w:div w:id="846990679">
                      <w:marLeft w:val="0"/>
                      <w:marRight w:val="0"/>
                      <w:marTop w:val="0"/>
                      <w:marBottom w:val="0"/>
                      <w:divBdr>
                        <w:top w:val="none" w:sz="0" w:space="0" w:color="auto"/>
                        <w:left w:val="none" w:sz="0" w:space="0" w:color="auto"/>
                        <w:bottom w:val="none" w:sz="0" w:space="0" w:color="auto"/>
                        <w:right w:val="none" w:sz="0" w:space="0" w:color="auto"/>
                      </w:divBdr>
                    </w:div>
                  </w:divsChild>
                </w:div>
                <w:div w:id="1425952247">
                  <w:marLeft w:val="0"/>
                  <w:marRight w:val="0"/>
                  <w:marTop w:val="0"/>
                  <w:marBottom w:val="0"/>
                  <w:divBdr>
                    <w:top w:val="none" w:sz="0" w:space="0" w:color="auto"/>
                    <w:left w:val="none" w:sz="0" w:space="0" w:color="auto"/>
                    <w:bottom w:val="none" w:sz="0" w:space="0" w:color="auto"/>
                    <w:right w:val="none" w:sz="0" w:space="0" w:color="auto"/>
                  </w:divBdr>
                  <w:divsChild>
                    <w:div w:id="1532495047">
                      <w:marLeft w:val="0"/>
                      <w:marRight w:val="0"/>
                      <w:marTop w:val="0"/>
                      <w:marBottom w:val="0"/>
                      <w:divBdr>
                        <w:top w:val="none" w:sz="0" w:space="0" w:color="auto"/>
                        <w:left w:val="none" w:sz="0" w:space="0" w:color="auto"/>
                        <w:bottom w:val="none" w:sz="0" w:space="0" w:color="auto"/>
                        <w:right w:val="none" w:sz="0" w:space="0" w:color="auto"/>
                      </w:divBdr>
                    </w:div>
                  </w:divsChild>
                </w:div>
                <w:div w:id="1445151907">
                  <w:marLeft w:val="0"/>
                  <w:marRight w:val="0"/>
                  <w:marTop w:val="0"/>
                  <w:marBottom w:val="0"/>
                  <w:divBdr>
                    <w:top w:val="none" w:sz="0" w:space="0" w:color="auto"/>
                    <w:left w:val="none" w:sz="0" w:space="0" w:color="auto"/>
                    <w:bottom w:val="none" w:sz="0" w:space="0" w:color="auto"/>
                    <w:right w:val="none" w:sz="0" w:space="0" w:color="auto"/>
                  </w:divBdr>
                  <w:divsChild>
                    <w:div w:id="507527782">
                      <w:marLeft w:val="0"/>
                      <w:marRight w:val="0"/>
                      <w:marTop w:val="0"/>
                      <w:marBottom w:val="0"/>
                      <w:divBdr>
                        <w:top w:val="none" w:sz="0" w:space="0" w:color="auto"/>
                        <w:left w:val="none" w:sz="0" w:space="0" w:color="auto"/>
                        <w:bottom w:val="none" w:sz="0" w:space="0" w:color="auto"/>
                        <w:right w:val="none" w:sz="0" w:space="0" w:color="auto"/>
                      </w:divBdr>
                    </w:div>
                  </w:divsChild>
                </w:div>
                <w:div w:id="1447888449">
                  <w:marLeft w:val="0"/>
                  <w:marRight w:val="0"/>
                  <w:marTop w:val="0"/>
                  <w:marBottom w:val="0"/>
                  <w:divBdr>
                    <w:top w:val="none" w:sz="0" w:space="0" w:color="auto"/>
                    <w:left w:val="none" w:sz="0" w:space="0" w:color="auto"/>
                    <w:bottom w:val="none" w:sz="0" w:space="0" w:color="auto"/>
                    <w:right w:val="none" w:sz="0" w:space="0" w:color="auto"/>
                  </w:divBdr>
                  <w:divsChild>
                    <w:div w:id="1217619103">
                      <w:marLeft w:val="0"/>
                      <w:marRight w:val="0"/>
                      <w:marTop w:val="0"/>
                      <w:marBottom w:val="0"/>
                      <w:divBdr>
                        <w:top w:val="none" w:sz="0" w:space="0" w:color="auto"/>
                        <w:left w:val="none" w:sz="0" w:space="0" w:color="auto"/>
                        <w:bottom w:val="none" w:sz="0" w:space="0" w:color="auto"/>
                        <w:right w:val="none" w:sz="0" w:space="0" w:color="auto"/>
                      </w:divBdr>
                    </w:div>
                  </w:divsChild>
                </w:div>
                <w:div w:id="1458991957">
                  <w:marLeft w:val="0"/>
                  <w:marRight w:val="0"/>
                  <w:marTop w:val="0"/>
                  <w:marBottom w:val="0"/>
                  <w:divBdr>
                    <w:top w:val="none" w:sz="0" w:space="0" w:color="auto"/>
                    <w:left w:val="none" w:sz="0" w:space="0" w:color="auto"/>
                    <w:bottom w:val="none" w:sz="0" w:space="0" w:color="auto"/>
                    <w:right w:val="none" w:sz="0" w:space="0" w:color="auto"/>
                  </w:divBdr>
                  <w:divsChild>
                    <w:div w:id="1091701333">
                      <w:marLeft w:val="0"/>
                      <w:marRight w:val="0"/>
                      <w:marTop w:val="0"/>
                      <w:marBottom w:val="0"/>
                      <w:divBdr>
                        <w:top w:val="none" w:sz="0" w:space="0" w:color="auto"/>
                        <w:left w:val="none" w:sz="0" w:space="0" w:color="auto"/>
                        <w:bottom w:val="none" w:sz="0" w:space="0" w:color="auto"/>
                        <w:right w:val="none" w:sz="0" w:space="0" w:color="auto"/>
                      </w:divBdr>
                    </w:div>
                  </w:divsChild>
                </w:div>
                <w:div w:id="1474909494">
                  <w:marLeft w:val="0"/>
                  <w:marRight w:val="0"/>
                  <w:marTop w:val="0"/>
                  <w:marBottom w:val="0"/>
                  <w:divBdr>
                    <w:top w:val="none" w:sz="0" w:space="0" w:color="auto"/>
                    <w:left w:val="none" w:sz="0" w:space="0" w:color="auto"/>
                    <w:bottom w:val="none" w:sz="0" w:space="0" w:color="auto"/>
                    <w:right w:val="none" w:sz="0" w:space="0" w:color="auto"/>
                  </w:divBdr>
                  <w:divsChild>
                    <w:div w:id="944187410">
                      <w:marLeft w:val="0"/>
                      <w:marRight w:val="0"/>
                      <w:marTop w:val="0"/>
                      <w:marBottom w:val="0"/>
                      <w:divBdr>
                        <w:top w:val="none" w:sz="0" w:space="0" w:color="auto"/>
                        <w:left w:val="none" w:sz="0" w:space="0" w:color="auto"/>
                        <w:bottom w:val="none" w:sz="0" w:space="0" w:color="auto"/>
                        <w:right w:val="none" w:sz="0" w:space="0" w:color="auto"/>
                      </w:divBdr>
                    </w:div>
                  </w:divsChild>
                </w:div>
                <w:div w:id="1475216941">
                  <w:marLeft w:val="0"/>
                  <w:marRight w:val="0"/>
                  <w:marTop w:val="0"/>
                  <w:marBottom w:val="0"/>
                  <w:divBdr>
                    <w:top w:val="none" w:sz="0" w:space="0" w:color="auto"/>
                    <w:left w:val="none" w:sz="0" w:space="0" w:color="auto"/>
                    <w:bottom w:val="none" w:sz="0" w:space="0" w:color="auto"/>
                    <w:right w:val="none" w:sz="0" w:space="0" w:color="auto"/>
                  </w:divBdr>
                  <w:divsChild>
                    <w:div w:id="1135680773">
                      <w:marLeft w:val="0"/>
                      <w:marRight w:val="0"/>
                      <w:marTop w:val="0"/>
                      <w:marBottom w:val="0"/>
                      <w:divBdr>
                        <w:top w:val="none" w:sz="0" w:space="0" w:color="auto"/>
                        <w:left w:val="none" w:sz="0" w:space="0" w:color="auto"/>
                        <w:bottom w:val="none" w:sz="0" w:space="0" w:color="auto"/>
                        <w:right w:val="none" w:sz="0" w:space="0" w:color="auto"/>
                      </w:divBdr>
                    </w:div>
                  </w:divsChild>
                </w:div>
                <w:div w:id="1480996675">
                  <w:marLeft w:val="0"/>
                  <w:marRight w:val="0"/>
                  <w:marTop w:val="0"/>
                  <w:marBottom w:val="0"/>
                  <w:divBdr>
                    <w:top w:val="none" w:sz="0" w:space="0" w:color="auto"/>
                    <w:left w:val="none" w:sz="0" w:space="0" w:color="auto"/>
                    <w:bottom w:val="none" w:sz="0" w:space="0" w:color="auto"/>
                    <w:right w:val="none" w:sz="0" w:space="0" w:color="auto"/>
                  </w:divBdr>
                  <w:divsChild>
                    <w:div w:id="1348556778">
                      <w:marLeft w:val="0"/>
                      <w:marRight w:val="0"/>
                      <w:marTop w:val="0"/>
                      <w:marBottom w:val="0"/>
                      <w:divBdr>
                        <w:top w:val="none" w:sz="0" w:space="0" w:color="auto"/>
                        <w:left w:val="none" w:sz="0" w:space="0" w:color="auto"/>
                        <w:bottom w:val="none" w:sz="0" w:space="0" w:color="auto"/>
                        <w:right w:val="none" w:sz="0" w:space="0" w:color="auto"/>
                      </w:divBdr>
                    </w:div>
                  </w:divsChild>
                </w:div>
                <w:div w:id="1489441632">
                  <w:marLeft w:val="0"/>
                  <w:marRight w:val="0"/>
                  <w:marTop w:val="0"/>
                  <w:marBottom w:val="0"/>
                  <w:divBdr>
                    <w:top w:val="none" w:sz="0" w:space="0" w:color="auto"/>
                    <w:left w:val="none" w:sz="0" w:space="0" w:color="auto"/>
                    <w:bottom w:val="none" w:sz="0" w:space="0" w:color="auto"/>
                    <w:right w:val="none" w:sz="0" w:space="0" w:color="auto"/>
                  </w:divBdr>
                  <w:divsChild>
                    <w:div w:id="1969972003">
                      <w:marLeft w:val="0"/>
                      <w:marRight w:val="0"/>
                      <w:marTop w:val="0"/>
                      <w:marBottom w:val="0"/>
                      <w:divBdr>
                        <w:top w:val="none" w:sz="0" w:space="0" w:color="auto"/>
                        <w:left w:val="none" w:sz="0" w:space="0" w:color="auto"/>
                        <w:bottom w:val="none" w:sz="0" w:space="0" w:color="auto"/>
                        <w:right w:val="none" w:sz="0" w:space="0" w:color="auto"/>
                      </w:divBdr>
                    </w:div>
                  </w:divsChild>
                </w:div>
                <w:div w:id="1496728398">
                  <w:marLeft w:val="0"/>
                  <w:marRight w:val="0"/>
                  <w:marTop w:val="0"/>
                  <w:marBottom w:val="0"/>
                  <w:divBdr>
                    <w:top w:val="none" w:sz="0" w:space="0" w:color="auto"/>
                    <w:left w:val="none" w:sz="0" w:space="0" w:color="auto"/>
                    <w:bottom w:val="none" w:sz="0" w:space="0" w:color="auto"/>
                    <w:right w:val="none" w:sz="0" w:space="0" w:color="auto"/>
                  </w:divBdr>
                  <w:divsChild>
                    <w:div w:id="1951085404">
                      <w:marLeft w:val="0"/>
                      <w:marRight w:val="0"/>
                      <w:marTop w:val="0"/>
                      <w:marBottom w:val="0"/>
                      <w:divBdr>
                        <w:top w:val="none" w:sz="0" w:space="0" w:color="auto"/>
                        <w:left w:val="none" w:sz="0" w:space="0" w:color="auto"/>
                        <w:bottom w:val="none" w:sz="0" w:space="0" w:color="auto"/>
                        <w:right w:val="none" w:sz="0" w:space="0" w:color="auto"/>
                      </w:divBdr>
                    </w:div>
                  </w:divsChild>
                </w:div>
                <w:div w:id="1507162528">
                  <w:marLeft w:val="0"/>
                  <w:marRight w:val="0"/>
                  <w:marTop w:val="0"/>
                  <w:marBottom w:val="0"/>
                  <w:divBdr>
                    <w:top w:val="none" w:sz="0" w:space="0" w:color="auto"/>
                    <w:left w:val="none" w:sz="0" w:space="0" w:color="auto"/>
                    <w:bottom w:val="none" w:sz="0" w:space="0" w:color="auto"/>
                    <w:right w:val="none" w:sz="0" w:space="0" w:color="auto"/>
                  </w:divBdr>
                  <w:divsChild>
                    <w:div w:id="531190795">
                      <w:marLeft w:val="0"/>
                      <w:marRight w:val="0"/>
                      <w:marTop w:val="0"/>
                      <w:marBottom w:val="0"/>
                      <w:divBdr>
                        <w:top w:val="none" w:sz="0" w:space="0" w:color="auto"/>
                        <w:left w:val="none" w:sz="0" w:space="0" w:color="auto"/>
                        <w:bottom w:val="none" w:sz="0" w:space="0" w:color="auto"/>
                        <w:right w:val="none" w:sz="0" w:space="0" w:color="auto"/>
                      </w:divBdr>
                    </w:div>
                  </w:divsChild>
                </w:div>
                <w:div w:id="1513914205">
                  <w:marLeft w:val="0"/>
                  <w:marRight w:val="0"/>
                  <w:marTop w:val="0"/>
                  <w:marBottom w:val="0"/>
                  <w:divBdr>
                    <w:top w:val="none" w:sz="0" w:space="0" w:color="auto"/>
                    <w:left w:val="none" w:sz="0" w:space="0" w:color="auto"/>
                    <w:bottom w:val="none" w:sz="0" w:space="0" w:color="auto"/>
                    <w:right w:val="none" w:sz="0" w:space="0" w:color="auto"/>
                  </w:divBdr>
                  <w:divsChild>
                    <w:div w:id="1919901531">
                      <w:marLeft w:val="0"/>
                      <w:marRight w:val="0"/>
                      <w:marTop w:val="0"/>
                      <w:marBottom w:val="0"/>
                      <w:divBdr>
                        <w:top w:val="none" w:sz="0" w:space="0" w:color="auto"/>
                        <w:left w:val="none" w:sz="0" w:space="0" w:color="auto"/>
                        <w:bottom w:val="none" w:sz="0" w:space="0" w:color="auto"/>
                        <w:right w:val="none" w:sz="0" w:space="0" w:color="auto"/>
                      </w:divBdr>
                    </w:div>
                  </w:divsChild>
                </w:div>
                <w:div w:id="1515921400">
                  <w:marLeft w:val="0"/>
                  <w:marRight w:val="0"/>
                  <w:marTop w:val="0"/>
                  <w:marBottom w:val="0"/>
                  <w:divBdr>
                    <w:top w:val="none" w:sz="0" w:space="0" w:color="auto"/>
                    <w:left w:val="none" w:sz="0" w:space="0" w:color="auto"/>
                    <w:bottom w:val="none" w:sz="0" w:space="0" w:color="auto"/>
                    <w:right w:val="none" w:sz="0" w:space="0" w:color="auto"/>
                  </w:divBdr>
                  <w:divsChild>
                    <w:div w:id="2079865195">
                      <w:marLeft w:val="0"/>
                      <w:marRight w:val="0"/>
                      <w:marTop w:val="0"/>
                      <w:marBottom w:val="0"/>
                      <w:divBdr>
                        <w:top w:val="none" w:sz="0" w:space="0" w:color="auto"/>
                        <w:left w:val="none" w:sz="0" w:space="0" w:color="auto"/>
                        <w:bottom w:val="none" w:sz="0" w:space="0" w:color="auto"/>
                        <w:right w:val="none" w:sz="0" w:space="0" w:color="auto"/>
                      </w:divBdr>
                    </w:div>
                  </w:divsChild>
                </w:div>
                <w:div w:id="1520774737">
                  <w:marLeft w:val="0"/>
                  <w:marRight w:val="0"/>
                  <w:marTop w:val="0"/>
                  <w:marBottom w:val="0"/>
                  <w:divBdr>
                    <w:top w:val="none" w:sz="0" w:space="0" w:color="auto"/>
                    <w:left w:val="none" w:sz="0" w:space="0" w:color="auto"/>
                    <w:bottom w:val="none" w:sz="0" w:space="0" w:color="auto"/>
                    <w:right w:val="none" w:sz="0" w:space="0" w:color="auto"/>
                  </w:divBdr>
                  <w:divsChild>
                    <w:div w:id="1845049056">
                      <w:marLeft w:val="0"/>
                      <w:marRight w:val="0"/>
                      <w:marTop w:val="0"/>
                      <w:marBottom w:val="0"/>
                      <w:divBdr>
                        <w:top w:val="none" w:sz="0" w:space="0" w:color="auto"/>
                        <w:left w:val="none" w:sz="0" w:space="0" w:color="auto"/>
                        <w:bottom w:val="none" w:sz="0" w:space="0" w:color="auto"/>
                        <w:right w:val="none" w:sz="0" w:space="0" w:color="auto"/>
                      </w:divBdr>
                    </w:div>
                  </w:divsChild>
                </w:div>
                <w:div w:id="1532498577">
                  <w:marLeft w:val="0"/>
                  <w:marRight w:val="0"/>
                  <w:marTop w:val="0"/>
                  <w:marBottom w:val="0"/>
                  <w:divBdr>
                    <w:top w:val="none" w:sz="0" w:space="0" w:color="auto"/>
                    <w:left w:val="none" w:sz="0" w:space="0" w:color="auto"/>
                    <w:bottom w:val="none" w:sz="0" w:space="0" w:color="auto"/>
                    <w:right w:val="none" w:sz="0" w:space="0" w:color="auto"/>
                  </w:divBdr>
                  <w:divsChild>
                    <w:div w:id="380326196">
                      <w:marLeft w:val="0"/>
                      <w:marRight w:val="0"/>
                      <w:marTop w:val="0"/>
                      <w:marBottom w:val="0"/>
                      <w:divBdr>
                        <w:top w:val="none" w:sz="0" w:space="0" w:color="auto"/>
                        <w:left w:val="none" w:sz="0" w:space="0" w:color="auto"/>
                        <w:bottom w:val="none" w:sz="0" w:space="0" w:color="auto"/>
                        <w:right w:val="none" w:sz="0" w:space="0" w:color="auto"/>
                      </w:divBdr>
                    </w:div>
                  </w:divsChild>
                </w:div>
                <w:div w:id="1555041712">
                  <w:marLeft w:val="0"/>
                  <w:marRight w:val="0"/>
                  <w:marTop w:val="0"/>
                  <w:marBottom w:val="0"/>
                  <w:divBdr>
                    <w:top w:val="none" w:sz="0" w:space="0" w:color="auto"/>
                    <w:left w:val="none" w:sz="0" w:space="0" w:color="auto"/>
                    <w:bottom w:val="none" w:sz="0" w:space="0" w:color="auto"/>
                    <w:right w:val="none" w:sz="0" w:space="0" w:color="auto"/>
                  </w:divBdr>
                  <w:divsChild>
                    <w:div w:id="1188829772">
                      <w:marLeft w:val="0"/>
                      <w:marRight w:val="0"/>
                      <w:marTop w:val="0"/>
                      <w:marBottom w:val="0"/>
                      <w:divBdr>
                        <w:top w:val="none" w:sz="0" w:space="0" w:color="auto"/>
                        <w:left w:val="none" w:sz="0" w:space="0" w:color="auto"/>
                        <w:bottom w:val="none" w:sz="0" w:space="0" w:color="auto"/>
                        <w:right w:val="none" w:sz="0" w:space="0" w:color="auto"/>
                      </w:divBdr>
                    </w:div>
                  </w:divsChild>
                </w:div>
                <w:div w:id="1558126487">
                  <w:marLeft w:val="0"/>
                  <w:marRight w:val="0"/>
                  <w:marTop w:val="0"/>
                  <w:marBottom w:val="0"/>
                  <w:divBdr>
                    <w:top w:val="none" w:sz="0" w:space="0" w:color="auto"/>
                    <w:left w:val="none" w:sz="0" w:space="0" w:color="auto"/>
                    <w:bottom w:val="none" w:sz="0" w:space="0" w:color="auto"/>
                    <w:right w:val="none" w:sz="0" w:space="0" w:color="auto"/>
                  </w:divBdr>
                  <w:divsChild>
                    <w:div w:id="1643120339">
                      <w:marLeft w:val="0"/>
                      <w:marRight w:val="0"/>
                      <w:marTop w:val="0"/>
                      <w:marBottom w:val="0"/>
                      <w:divBdr>
                        <w:top w:val="none" w:sz="0" w:space="0" w:color="auto"/>
                        <w:left w:val="none" w:sz="0" w:space="0" w:color="auto"/>
                        <w:bottom w:val="none" w:sz="0" w:space="0" w:color="auto"/>
                        <w:right w:val="none" w:sz="0" w:space="0" w:color="auto"/>
                      </w:divBdr>
                    </w:div>
                  </w:divsChild>
                </w:div>
                <w:div w:id="1580284361">
                  <w:marLeft w:val="0"/>
                  <w:marRight w:val="0"/>
                  <w:marTop w:val="0"/>
                  <w:marBottom w:val="0"/>
                  <w:divBdr>
                    <w:top w:val="none" w:sz="0" w:space="0" w:color="auto"/>
                    <w:left w:val="none" w:sz="0" w:space="0" w:color="auto"/>
                    <w:bottom w:val="none" w:sz="0" w:space="0" w:color="auto"/>
                    <w:right w:val="none" w:sz="0" w:space="0" w:color="auto"/>
                  </w:divBdr>
                  <w:divsChild>
                    <w:div w:id="254290142">
                      <w:marLeft w:val="0"/>
                      <w:marRight w:val="0"/>
                      <w:marTop w:val="0"/>
                      <w:marBottom w:val="0"/>
                      <w:divBdr>
                        <w:top w:val="none" w:sz="0" w:space="0" w:color="auto"/>
                        <w:left w:val="none" w:sz="0" w:space="0" w:color="auto"/>
                        <w:bottom w:val="none" w:sz="0" w:space="0" w:color="auto"/>
                        <w:right w:val="none" w:sz="0" w:space="0" w:color="auto"/>
                      </w:divBdr>
                    </w:div>
                  </w:divsChild>
                </w:div>
                <w:div w:id="1597203066">
                  <w:marLeft w:val="0"/>
                  <w:marRight w:val="0"/>
                  <w:marTop w:val="0"/>
                  <w:marBottom w:val="0"/>
                  <w:divBdr>
                    <w:top w:val="none" w:sz="0" w:space="0" w:color="auto"/>
                    <w:left w:val="none" w:sz="0" w:space="0" w:color="auto"/>
                    <w:bottom w:val="none" w:sz="0" w:space="0" w:color="auto"/>
                    <w:right w:val="none" w:sz="0" w:space="0" w:color="auto"/>
                  </w:divBdr>
                  <w:divsChild>
                    <w:div w:id="412170600">
                      <w:marLeft w:val="0"/>
                      <w:marRight w:val="0"/>
                      <w:marTop w:val="0"/>
                      <w:marBottom w:val="0"/>
                      <w:divBdr>
                        <w:top w:val="none" w:sz="0" w:space="0" w:color="auto"/>
                        <w:left w:val="none" w:sz="0" w:space="0" w:color="auto"/>
                        <w:bottom w:val="none" w:sz="0" w:space="0" w:color="auto"/>
                        <w:right w:val="none" w:sz="0" w:space="0" w:color="auto"/>
                      </w:divBdr>
                    </w:div>
                  </w:divsChild>
                </w:div>
                <w:div w:id="1602757761">
                  <w:marLeft w:val="0"/>
                  <w:marRight w:val="0"/>
                  <w:marTop w:val="0"/>
                  <w:marBottom w:val="0"/>
                  <w:divBdr>
                    <w:top w:val="none" w:sz="0" w:space="0" w:color="auto"/>
                    <w:left w:val="none" w:sz="0" w:space="0" w:color="auto"/>
                    <w:bottom w:val="none" w:sz="0" w:space="0" w:color="auto"/>
                    <w:right w:val="none" w:sz="0" w:space="0" w:color="auto"/>
                  </w:divBdr>
                  <w:divsChild>
                    <w:div w:id="446004432">
                      <w:marLeft w:val="0"/>
                      <w:marRight w:val="0"/>
                      <w:marTop w:val="0"/>
                      <w:marBottom w:val="0"/>
                      <w:divBdr>
                        <w:top w:val="none" w:sz="0" w:space="0" w:color="auto"/>
                        <w:left w:val="none" w:sz="0" w:space="0" w:color="auto"/>
                        <w:bottom w:val="none" w:sz="0" w:space="0" w:color="auto"/>
                        <w:right w:val="none" w:sz="0" w:space="0" w:color="auto"/>
                      </w:divBdr>
                    </w:div>
                  </w:divsChild>
                </w:div>
                <w:div w:id="1603756129">
                  <w:marLeft w:val="0"/>
                  <w:marRight w:val="0"/>
                  <w:marTop w:val="0"/>
                  <w:marBottom w:val="0"/>
                  <w:divBdr>
                    <w:top w:val="none" w:sz="0" w:space="0" w:color="auto"/>
                    <w:left w:val="none" w:sz="0" w:space="0" w:color="auto"/>
                    <w:bottom w:val="none" w:sz="0" w:space="0" w:color="auto"/>
                    <w:right w:val="none" w:sz="0" w:space="0" w:color="auto"/>
                  </w:divBdr>
                  <w:divsChild>
                    <w:div w:id="710685755">
                      <w:marLeft w:val="0"/>
                      <w:marRight w:val="0"/>
                      <w:marTop w:val="0"/>
                      <w:marBottom w:val="0"/>
                      <w:divBdr>
                        <w:top w:val="none" w:sz="0" w:space="0" w:color="auto"/>
                        <w:left w:val="none" w:sz="0" w:space="0" w:color="auto"/>
                        <w:bottom w:val="none" w:sz="0" w:space="0" w:color="auto"/>
                        <w:right w:val="none" w:sz="0" w:space="0" w:color="auto"/>
                      </w:divBdr>
                    </w:div>
                  </w:divsChild>
                </w:div>
                <w:div w:id="1608854469">
                  <w:marLeft w:val="0"/>
                  <w:marRight w:val="0"/>
                  <w:marTop w:val="0"/>
                  <w:marBottom w:val="0"/>
                  <w:divBdr>
                    <w:top w:val="none" w:sz="0" w:space="0" w:color="auto"/>
                    <w:left w:val="none" w:sz="0" w:space="0" w:color="auto"/>
                    <w:bottom w:val="none" w:sz="0" w:space="0" w:color="auto"/>
                    <w:right w:val="none" w:sz="0" w:space="0" w:color="auto"/>
                  </w:divBdr>
                  <w:divsChild>
                    <w:div w:id="1616979166">
                      <w:marLeft w:val="0"/>
                      <w:marRight w:val="0"/>
                      <w:marTop w:val="0"/>
                      <w:marBottom w:val="0"/>
                      <w:divBdr>
                        <w:top w:val="none" w:sz="0" w:space="0" w:color="auto"/>
                        <w:left w:val="none" w:sz="0" w:space="0" w:color="auto"/>
                        <w:bottom w:val="none" w:sz="0" w:space="0" w:color="auto"/>
                        <w:right w:val="none" w:sz="0" w:space="0" w:color="auto"/>
                      </w:divBdr>
                    </w:div>
                  </w:divsChild>
                </w:div>
                <w:div w:id="1614678018">
                  <w:marLeft w:val="0"/>
                  <w:marRight w:val="0"/>
                  <w:marTop w:val="0"/>
                  <w:marBottom w:val="0"/>
                  <w:divBdr>
                    <w:top w:val="none" w:sz="0" w:space="0" w:color="auto"/>
                    <w:left w:val="none" w:sz="0" w:space="0" w:color="auto"/>
                    <w:bottom w:val="none" w:sz="0" w:space="0" w:color="auto"/>
                    <w:right w:val="none" w:sz="0" w:space="0" w:color="auto"/>
                  </w:divBdr>
                  <w:divsChild>
                    <w:div w:id="724720982">
                      <w:marLeft w:val="0"/>
                      <w:marRight w:val="0"/>
                      <w:marTop w:val="0"/>
                      <w:marBottom w:val="0"/>
                      <w:divBdr>
                        <w:top w:val="none" w:sz="0" w:space="0" w:color="auto"/>
                        <w:left w:val="none" w:sz="0" w:space="0" w:color="auto"/>
                        <w:bottom w:val="none" w:sz="0" w:space="0" w:color="auto"/>
                        <w:right w:val="none" w:sz="0" w:space="0" w:color="auto"/>
                      </w:divBdr>
                    </w:div>
                  </w:divsChild>
                </w:div>
                <w:div w:id="1616280386">
                  <w:marLeft w:val="0"/>
                  <w:marRight w:val="0"/>
                  <w:marTop w:val="0"/>
                  <w:marBottom w:val="0"/>
                  <w:divBdr>
                    <w:top w:val="none" w:sz="0" w:space="0" w:color="auto"/>
                    <w:left w:val="none" w:sz="0" w:space="0" w:color="auto"/>
                    <w:bottom w:val="none" w:sz="0" w:space="0" w:color="auto"/>
                    <w:right w:val="none" w:sz="0" w:space="0" w:color="auto"/>
                  </w:divBdr>
                  <w:divsChild>
                    <w:div w:id="558177625">
                      <w:marLeft w:val="0"/>
                      <w:marRight w:val="0"/>
                      <w:marTop w:val="0"/>
                      <w:marBottom w:val="0"/>
                      <w:divBdr>
                        <w:top w:val="none" w:sz="0" w:space="0" w:color="auto"/>
                        <w:left w:val="none" w:sz="0" w:space="0" w:color="auto"/>
                        <w:bottom w:val="none" w:sz="0" w:space="0" w:color="auto"/>
                        <w:right w:val="none" w:sz="0" w:space="0" w:color="auto"/>
                      </w:divBdr>
                    </w:div>
                  </w:divsChild>
                </w:div>
                <w:div w:id="1628733410">
                  <w:marLeft w:val="0"/>
                  <w:marRight w:val="0"/>
                  <w:marTop w:val="0"/>
                  <w:marBottom w:val="0"/>
                  <w:divBdr>
                    <w:top w:val="none" w:sz="0" w:space="0" w:color="auto"/>
                    <w:left w:val="none" w:sz="0" w:space="0" w:color="auto"/>
                    <w:bottom w:val="none" w:sz="0" w:space="0" w:color="auto"/>
                    <w:right w:val="none" w:sz="0" w:space="0" w:color="auto"/>
                  </w:divBdr>
                  <w:divsChild>
                    <w:div w:id="1298487268">
                      <w:marLeft w:val="0"/>
                      <w:marRight w:val="0"/>
                      <w:marTop w:val="0"/>
                      <w:marBottom w:val="0"/>
                      <w:divBdr>
                        <w:top w:val="none" w:sz="0" w:space="0" w:color="auto"/>
                        <w:left w:val="none" w:sz="0" w:space="0" w:color="auto"/>
                        <w:bottom w:val="none" w:sz="0" w:space="0" w:color="auto"/>
                        <w:right w:val="none" w:sz="0" w:space="0" w:color="auto"/>
                      </w:divBdr>
                    </w:div>
                  </w:divsChild>
                </w:div>
                <w:div w:id="1629434887">
                  <w:marLeft w:val="0"/>
                  <w:marRight w:val="0"/>
                  <w:marTop w:val="0"/>
                  <w:marBottom w:val="0"/>
                  <w:divBdr>
                    <w:top w:val="none" w:sz="0" w:space="0" w:color="auto"/>
                    <w:left w:val="none" w:sz="0" w:space="0" w:color="auto"/>
                    <w:bottom w:val="none" w:sz="0" w:space="0" w:color="auto"/>
                    <w:right w:val="none" w:sz="0" w:space="0" w:color="auto"/>
                  </w:divBdr>
                  <w:divsChild>
                    <w:div w:id="1994487655">
                      <w:marLeft w:val="0"/>
                      <w:marRight w:val="0"/>
                      <w:marTop w:val="0"/>
                      <w:marBottom w:val="0"/>
                      <w:divBdr>
                        <w:top w:val="none" w:sz="0" w:space="0" w:color="auto"/>
                        <w:left w:val="none" w:sz="0" w:space="0" w:color="auto"/>
                        <w:bottom w:val="none" w:sz="0" w:space="0" w:color="auto"/>
                        <w:right w:val="none" w:sz="0" w:space="0" w:color="auto"/>
                      </w:divBdr>
                    </w:div>
                  </w:divsChild>
                </w:div>
                <w:div w:id="1642729024">
                  <w:marLeft w:val="0"/>
                  <w:marRight w:val="0"/>
                  <w:marTop w:val="0"/>
                  <w:marBottom w:val="0"/>
                  <w:divBdr>
                    <w:top w:val="none" w:sz="0" w:space="0" w:color="auto"/>
                    <w:left w:val="none" w:sz="0" w:space="0" w:color="auto"/>
                    <w:bottom w:val="none" w:sz="0" w:space="0" w:color="auto"/>
                    <w:right w:val="none" w:sz="0" w:space="0" w:color="auto"/>
                  </w:divBdr>
                  <w:divsChild>
                    <w:div w:id="1218468196">
                      <w:marLeft w:val="0"/>
                      <w:marRight w:val="0"/>
                      <w:marTop w:val="0"/>
                      <w:marBottom w:val="0"/>
                      <w:divBdr>
                        <w:top w:val="none" w:sz="0" w:space="0" w:color="auto"/>
                        <w:left w:val="none" w:sz="0" w:space="0" w:color="auto"/>
                        <w:bottom w:val="none" w:sz="0" w:space="0" w:color="auto"/>
                        <w:right w:val="none" w:sz="0" w:space="0" w:color="auto"/>
                      </w:divBdr>
                    </w:div>
                  </w:divsChild>
                </w:div>
                <w:div w:id="1648895900">
                  <w:marLeft w:val="0"/>
                  <w:marRight w:val="0"/>
                  <w:marTop w:val="0"/>
                  <w:marBottom w:val="0"/>
                  <w:divBdr>
                    <w:top w:val="none" w:sz="0" w:space="0" w:color="auto"/>
                    <w:left w:val="none" w:sz="0" w:space="0" w:color="auto"/>
                    <w:bottom w:val="none" w:sz="0" w:space="0" w:color="auto"/>
                    <w:right w:val="none" w:sz="0" w:space="0" w:color="auto"/>
                  </w:divBdr>
                  <w:divsChild>
                    <w:div w:id="85539339">
                      <w:marLeft w:val="0"/>
                      <w:marRight w:val="0"/>
                      <w:marTop w:val="0"/>
                      <w:marBottom w:val="0"/>
                      <w:divBdr>
                        <w:top w:val="none" w:sz="0" w:space="0" w:color="auto"/>
                        <w:left w:val="none" w:sz="0" w:space="0" w:color="auto"/>
                        <w:bottom w:val="none" w:sz="0" w:space="0" w:color="auto"/>
                        <w:right w:val="none" w:sz="0" w:space="0" w:color="auto"/>
                      </w:divBdr>
                    </w:div>
                  </w:divsChild>
                </w:div>
                <w:div w:id="1662808721">
                  <w:marLeft w:val="0"/>
                  <w:marRight w:val="0"/>
                  <w:marTop w:val="0"/>
                  <w:marBottom w:val="0"/>
                  <w:divBdr>
                    <w:top w:val="none" w:sz="0" w:space="0" w:color="auto"/>
                    <w:left w:val="none" w:sz="0" w:space="0" w:color="auto"/>
                    <w:bottom w:val="none" w:sz="0" w:space="0" w:color="auto"/>
                    <w:right w:val="none" w:sz="0" w:space="0" w:color="auto"/>
                  </w:divBdr>
                  <w:divsChild>
                    <w:div w:id="996573062">
                      <w:marLeft w:val="0"/>
                      <w:marRight w:val="0"/>
                      <w:marTop w:val="0"/>
                      <w:marBottom w:val="0"/>
                      <w:divBdr>
                        <w:top w:val="none" w:sz="0" w:space="0" w:color="auto"/>
                        <w:left w:val="none" w:sz="0" w:space="0" w:color="auto"/>
                        <w:bottom w:val="none" w:sz="0" w:space="0" w:color="auto"/>
                        <w:right w:val="none" w:sz="0" w:space="0" w:color="auto"/>
                      </w:divBdr>
                    </w:div>
                  </w:divsChild>
                </w:div>
                <w:div w:id="1669284324">
                  <w:marLeft w:val="0"/>
                  <w:marRight w:val="0"/>
                  <w:marTop w:val="0"/>
                  <w:marBottom w:val="0"/>
                  <w:divBdr>
                    <w:top w:val="none" w:sz="0" w:space="0" w:color="auto"/>
                    <w:left w:val="none" w:sz="0" w:space="0" w:color="auto"/>
                    <w:bottom w:val="none" w:sz="0" w:space="0" w:color="auto"/>
                    <w:right w:val="none" w:sz="0" w:space="0" w:color="auto"/>
                  </w:divBdr>
                  <w:divsChild>
                    <w:div w:id="1718318304">
                      <w:marLeft w:val="0"/>
                      <w:marRight w:val="0"/>
                      <w:marTop w:val="0"/>
                      <w:marBottom w:val="0"/>
                      <w:divBdr>
                        <w:top w:val="none" w:sz="0" w:space="0" w:color="auto"/>
                        <w:left w:val="none" w:sz="0" w:space="0" w:color="auto"/>
                        <w:bottom w:val="none" w:sz="0" w:space="0" w:color="auto"/>
                        <w:right w:val="none" w:sz="0" w:space="0" w:color="auto"/>
                      </w:divBdr>
                    </w:div>
                  </w:divsChild>
                </w:div>
                <w:div w:id="1671131149">
                  <w:marLeft w:val="0"/>
                  <w:marRight w:val="0"/>
                  <w:marTop w:val="0"/>
                  <w:marBottom w:val="0"/>
                  <w:divBdr>
                    <w:top w:val="none" w:sz="0" w:space="0" w:color="auto"/>
                    <w:left w:val="none" w:sz="0" w:space="0" w:color="auto"/>
                    <w:bottom w:val="none" w:sz="0" w:space="0" w:color="auto"/>
                    <w:right w:val="none" w:sz="0" w:space="0" w:color="auto"/>
                  </w:divBdr>
                  <w:divsChild>
                    <w:div w:id="129176923">
                      <w:marLeft w:val="0"/>
                      <w:marRight w:val="0"/>
                      <w:marTop w:val="0"/>
                      <w:marBottom w:val="0"/>
                      <w:divBdr>
                        <w:top w:val="none" w:sz="0" w:space="0" w:color="auto"/>
                        <w:left w:val="none" w:sz="0" w:space="0" w:color="auto"/>
                        <w:bottom w:val="none" w:sz="0" w:space="0" w:color="auto"/>
                        <w:right w:val="none" w:sz="0" w:space="0" w:color="auto"/>
                      </w:divBdr>
                    </w:div>
                  </w:divsChild>
                </w:div>
                <w:div w:id="1673947248">
                  <w:marLeft w:val="0"/>
                  <w:marRight w:val="0"/>
                  <w:marTop w:val="0"/>
                  <w:marBottom w:val="0"/>
                  <w:divBdr>
                    <w:top w:val="none" w:sz="0" w:space="0" w:color="auto"/>
                    <w:left w:val="none" w:sz="0" w:space="0" w:color="auto"/>
                    <w:bottom w:val="none" w:sz="0" w:space="0" w:color="auto"/>
                    <w:right w:val="none" w:sz="0" w:space="0" w:color="auto"/>
                  </w:divBdr>
                  <w:divsChild>
                    <w:div w:id="128784772">
                      <w:marLeft w:val="0"/>
                      <w:marRight w:val="0"/>
                      <w:marTop w:val="0"/>
                      <w:marBottom w:val="0"/>
                      <w:divBdr>
                        <w:top w:val="none" w:sz="0" w:space="0" w:color="auto"/>
                        <w:left w:val="none" w:sz="0" w:space="0" w:color="auto"/>
                        <w:bottom w:val="none" w:sz="0" w:space="0" w:color="auto"/>
                        <w:right w:val="none" w:sz="0" w:space="0" w:color="auto"/>
                      </w:divBdr>
                    </w:div>
                  </w:divsChild>
                </w:div>
                <w:div w:id="1675064038">
                  <w:marLeft w:val="0"/>
                  <w:marRight w:val="0"/>
                  <w:marTop w:val="0"/>
                  <w:marBottom w:val="0"/>
                  <w:divBdr>
                    <w:top w:val="none" w:sz="0" w:space="0" w:color="auto"/>
                    <w:left w:val="none" w:sz="0" w:space="0" w:color="auto"/>
                    <w:bottom w:val="none" w:sz="0" w:space="0" w:color="auto"/>
                    <w:right w:val="none" w:sz="0" w:space="0" w:color="auto"/>
                  </w:divBdr>
                  <w:divsChild>
                    <w:div w:id="316109314">
                      <w:marLeft w:val="0"/>
                      <w:marRight w:val="0"/>
                      <w:marTop w:val="0"/>
                      <w:marBottom w:val="0"/>
                      <w:divBdr>
                        <w:top w:val="none" w:sz="0" w:space="0" w:color="auto"/>
                        <w:left w:val="none" w:sz="0" w:space="0" w:color="auto"/>
                        <w:bottom w:val="none" w:sz="0" w:space="0" w:color="auto"/>
                        <w:right w:val="none" w:sz="0" w:space="0" w:color="auto"/>
                      </w:divBdr>
                    </w:div>
                  </w:divsChild>
                </w:div>
                <w:div w:id="1685981171">
                  <w:marLeft w:val="0"/>
                  <w:marRight w:val="0"/>
                  <w:marTop w:val="0"/>
                  <w:marBottom w:val="0"/>
                  <w:divBdr>
                    <w:top w:val="none" w:sz="0" w:space="0" w:color="auto"/>
                    <w:left w:val="none" w:sz="0" w:space="0" w:color="auto"/>
                    <w:bottom w:val="none" w:sz="0" w:space="0" w:color="auto"/>
                    <w:right w:val="none" w:sz="0" w:space="0" w:color="auto"/>
                  </w:divBdr>
                  <w:divsChild>
                    <w:div w:id="1846086743">
                      <w:marLeft w:val="0"/>
                      <w:marRight w:val="0"/>
                      <w:marTop w:val="0"/>
                      <w:marBottom w:val="0"/>
                      <w:divBdr>
                        <w:top w:val="none" w:sz="0" w:space="0" w:color="auto"/>
                        <w:left w:val="none" w:sz="0" w:space="0" w:color="auto"/>
                        <w:bottom w:val="none" w:sz="0" w:space="0" w:color="auto"/>
                        <w:right w:val="none" w:sz="0" w:space="0" w:color="auto"/>
                      </w:divBdr>
                    </w:div>
                  </w:divsChild>
                </w:div>
                <w:div w:id="1698963589">
                  <w:marLeft w:val="0"/>
                  <w:marRight w:val="0"/>
                  <w:marTop w:val="0"/>
                  <w:marBottom w:val="0"/>
                  <w:divBdr>
                    <w:top w:val="none" w:sz="0" w:space="0" w:color="auto"/>
                    <w:left w:val="none" w:sz="0" w:space="0" w:color="auto"/>
                    <w:bottom w:val="none" w:sz="0" w:space="0" w:color="auto"/>
                    <w:right w:val="none" w:sz="0" w:space="0" w:color="auto"/>
                  </w:divBdr>
                  <w:divsChild>
                    <w:div w:id="1008799484">
                      <w:marLeft w:val="0"/>
                      <w:marRight w:val="0"/>
                      <w:marTop w:val="0"/>
                      <w:marBottom w:val="0"/>
                      <w:divBdr>
                        <w:top w:val="none" w:sz="0" w:space="0" w:color="auto"/>
                        <w:left w:val="none" w:sz="0" w:space="0" w:color="auto"/>
                        <w:bottom w:val="none" w:sz="0" w:space="0" w:color="auto"/>
                        <w:right w:val="none" w:sz="0" w:space="0" w:color="auto"/>
                      </w:divBdr>
                    </w:div>
                  </w:divsChild>
                </w:div>
                <w:div w:id="1701511624">
                  <w:marLeft w:val="0"/>
                  <w:marRight w:val="0"/>
                  <w:marTop w:val="0"/>
                  <w:marBottom w:val="0"/>
                  <w:divBdr>
                    <w:top w:val="none" w:sz="0" w:space="0" w:color="auto"/>
                    <w:left w:val="none" w:sz="0" w:space="0" w:color="auto"/>
                    <w:bottom w:val="none" w:sz="0" w:space="0" w:color="auto"/>
                    <w:right w:val="none" w:sz="0" w:space="0" w:color="auto"/>
                  </w:divBdr>
                  <w:divsChild>
                    <w:div w:id="1772582259">
                      <w:marLeft w:val="0"/>
                      <w:marRight w:val="0"/>
                      <w:marTop w:val="0"/>
                      <w:marBottom w:val="0"/>
                      <w:divBdr>
                        <w:top w:val="none" w:sz="0" w:space="0" w:color="auto"/>
                        <w:left w:val="none" w:sz="0" w:space="0" w:color="auto"/>
                        <w:bottom w:val="none" w:sz="0" w:space="0" w:color="auto"/>
                        <w:right w:val="none" w:sz="0" w:space="0" w:color="auto"/>
                      </w:divBdr>
                    </w:div>
                  </w:divsChild>
                </w:div>
                <w:div w:id="1715621664">
                  <w:marLeft w:val="0"/>
                  <w:marRight w:val="0"/>
                  <w:marTop w:val="0"/>
                  <w:marBottom w:val="0"/>
                  <w:divBdr>
                    <w:top w:val="none" w:sz="0" w:space="0" w:color="auto"/>
                    <w:left w:val="none" w:sz="0" w:space="0" w:color="auto"/>
                    <w:bottom w:val="none" w:sz="0" w:space="0" w:color="auto"/>
                    <w:right w:val="none" w:sz="0" w:space="0" w:color="auto"/>
                  </w:divBdr>
                  <w:divsChild>
                    <w:div w:id="158886378">
                      <w:marLeft w:val="0"/>
                      <w:marRight w:val="0"/>
                      <w:marTop w:val="0"/>
                      <w:marBottom w:val="0"/>
                      <w:divBdr>
                        <w:top w:val="none" w:sz="0" w:space="0" w:color="auto"/>
                        <w:left w:val="none" w:sz="0" w:space="0" w:color="auto"/>
                        <w:bottom w:val="none" w:sz="0" w:space="0" w:color="auto"/>
                        <w:right w:val="none" w:sz="0" w:space="0" w:color="auto"/>
                      </w:divBdr>
                    </w:div>
                  </w:divsChild>
                </w:div>
                <w:div w:id="1722750555">
                  <w:marLeft w:val="0"/>
                  <w:marRight w:val="0"/>
                  <w:marTop w:val="0"/>
                  <w:marBottom w:val="0"/>
                  <w:divBdr>
                    <w:top w:val="none" w:sz="0" w:space="0" w:color="auto"/>
                    <w:left w:val="none" w:sz="0" w:space="0" w:color="auto"/>
                    <w:bottom w:val="none" w:sz="0" w:space="0" w:color="auto"/>
                    <w:right w:val="none" w:sz="0" w:space="0" w:color="auto"/>
                  </w:divBdr>
                  <w:divsChild>
                    <w:div w:id="705833709">
                      <w:marLeft w:val="0"/>
                      <w:marRight w:val="0"/>
                      <w:marTop w:val="0"/>
                      <w:marBottom w:val="0"/>
                      <w:divBdr>
                        <w:top w:val="none" w:sz="0" w:space="0" w:color="auto"/>
                        <w:left w:val="none" w:sz="0" w:space="0" w:color="auto"/>
                        <w:bottom w:val="none" w:sz="0" w:space="0" w:color="auto"/>
                        <w:right w:val="none" w:sz="0" w:space="0" w:color="auto"/>
                      </w:divBdr>
                    </w:div>
                  </w:divsChild>
                </w:div>
                <w:div w:id="1732188952">
                  <w:marLeft w:val="0"/>
                  <w:marRight w:val="0"/>
                  <w:marTop w:val="0"/>
                  <w:marBottom w:val="0"/>
                  <w:divBdr>
                    <w:top w:val="none" w:sz="0" w:space="0" w:color="auto"/>
                    <w:left w:val="none" w:sz="0" w:space="0" w:color="auto"/>
                    <w:bottom w:val="none" w:sz="0" w:space="0" w:color="auto"/>
                    <w:right w:val="none" w:sz="0" w:space="0" w:color="auto"/>
                  </w:divBdr>
                  <w:divsChild>
                    <w:div w:id="769933135">
                      <w:marLeft w:val="0"/>
                      <w:marRight w:val="0"/>
                      <w:marTop w:val="0"/>
                      <w:marBottom w:val="0"/>
                      <w:divBdr>
                        <w:top w:val="none" w:sz="0" w:space="0" w:color="auto"/>
                        <w:left w:val="none" w:sz="0" w:space="0" w:color="auto"/>
                        <w:bottom w:val="none" w:sz="0" w:space="0" w:color="auto"/>
                        <w:right w:val="none" w:sz="0" w:space="0" w:color="auto"/>
                      </w:divBdr>
                    </w:div>
                    <w:div w:id="1152137988">
                      <w:marLeft w:val="0"/>
                      <w:marRight w:val="0"/>
                      <w:marTop w:val="0"/>
                      <w:marBottom w:val="0"/>
                      <w:divBdr>
                        <w:top w:val="none" w:sz="0" w:space="0" w:color="auto"/>
                        <w:left w:val="none" w:sz="0" w:space="0" w:color="auto"/>
                        <w:bottom w:val="none" w:sz="0" w:space="0" w:color="auto"/>
                        <w:right w:val="none" w:sz="0" w:space="0" w:color="auto"/>
                      </w:divBdr>
                    </w:div>
                    <w:div w:id="1235235208">
                      <w:marLeft w:val="0"/>
                      <w:marRight w:val="0"/>
                      <w:marTop w:val="0"/>
                      <w:marBottom w:val="0"/>
                      <w:divBdr>
                        <w:top w:val="none" w:sz="0" w:space="0" w:color="auto"/>
                        <w:left w:val="none" w:sz="0" w:space="0" w:color="auto"/>
                        <w:bottom w:val="none" w:sz="0" w:space="0" w:color="auto"/>
                        <w:right w:val="none" w:sz="0" w:space="0" w:color="auto"/>
                      </w:divBdr>
                    </w:div>
                  </w:divsChild>
                </w:div>
                <w:div w:id="1743025234">
                  <w:marLeft w:val="0"/>
                  <w:marRight w:val="0"/>
                  <w:marTop w:val="0"/>
                  <w:marBottom w:val="0"/>
                  <w:divBdr>
                    <w:top w:val="none" w:sz="0" w:space="0" w:color="auto"/>
                    <w:left w:val="none" w:sz="0" w:space="0" w:color="auto"/>
                    <w:bottom w:val="none" w:sz="0" w:space="0" w:color="auto"/>
                    <w:right w:val="none" w:sz="0" w:space="0" w:color="auto"/>
                  </w:divBdr>
                  <w:divsChild>
                    <w:div w:id="2101557788">
                      <w:marLeft w:val="0"/>
                      <w:marRight w:val="0"/>
                      <w:marTop w:val="0"/>
                      <w:marBottom w:val="0"/>
                      <w:divBdr>
                        <w:top w:val="none" w:sz="0" w:space="0" w:color="auto"/>
                        <w:left w:val="none" w:sz="0" w:space="0" w:color="auto"/>
                        <w:bottom w:val="none" w:sz="0" w:space="0" w:color="auto"/>
                        <w:right w:val="none" w:sz="0" w:space="0" w:color="auto"/>
                      </w:divBdr>
                    </w:div>
                  </w:divsChild>
                </w:div>
                <w:div w:id="1745224929">
                  <w:marLeft w:val="0"/>
                  <w:marRight w:val="0"/>
                  <w:marTop w:val="0"/>
                  <w:marBottom w:val="0"/>
                  <w:divBdr>
                    <w:top w:val="none" w:sz="0" w:space="0" w:color="auto"/>
                    <w:left w:val="none" w:sz="0" w:space="0" w:color="auto"/>
                    <w:bottom w:val="none" w:sz="0" w:space="0" w:color="auto"/>
                    <w:right w:val="none" w:sz="0" w:space="0" w:color="auto"/>
                  </w:divBdr>
                  <w:divsChild>
                    <w:div w:id="379474585">
                      <w:marLeft w:val="0"/>
                      <w:marRight w:val="0"/>
                      <w:marTop w:val="0"/>
                      <w:marBottom w:val="0"/>
                      <w:divBdr>
                        <w:top w:val="none" w:sz="0" w:space="0" w:color="auto"/>
                        <w:left w:val="none" w:sz="0" w:space="0" w:color="auto"/>
                        <w:bottom w:val="none" w:sz="0" w:space="0" w:color="auto"/>
                        <w:right w:val="none" w:sz="0" w:space="0" w:color="auto"/>
                      </w:divBdr>
                    </w:div>
                  </w:divsChild>
                </w:div>
                <w:div w:id="1761294438">
                  <w:marLeft w:val="0"/>
                  <w:marRight w:val="0"/>
                  <w:marTop w:val="0"/>
                  <w:marBottom w:val="0"/>
                  <w:divBdr>
                    <w:top w:val="none" w:sz="0" w:space="0" w:color="auto"/>
                    <w:left w:val="none" w:sz="0" w:space="0" w:color="auto"/>
                    <w:bottom w:val="none" w:sz="0" w:space="0" w:color="auto"/>
                    <w:right w:val="none" w:sz="0" w:space="0" w:color="auto"/>
                  </w:divBdr>
                  <w:divsChild>
                    <w:div w:id="1066876461">
                      <w:marLeft w:val="0"/>
                      <w:marRight w:val="0"/>
                      <w:marTop w:val="0"/>
                      <w:marBottom w:val="0"/>
                      <w:divBdr>
                        <w:top w:val="none" w:sz="0" w:space="0" w:color="auto"/>
                        <w:left w:val="none" w:sz="0" w:space="0" w:color="auto"/>
                        <w:bottom w:val="none" w:sz="0" w:space="0" w:color="auto"/>
                        <w:right w:val="none" w:sz="0" w:space="0" w:color="auto"/>
                      </w:divBdr>
                    </w:div>
                  </w:divsChild>
                </w:div>
                <w:div w:id="1762339786">
                  <w:marLeft w:val="0"/>
                  <w:marRight w:val="0"/>
                  <w:marTop w:val="0"/>
                  <w:marBottom w:val="0"/>
                  <w:divBdr>
                    <w:top w:val="none" w:sz="0" w:space="0" w:color="auto"/>
                    <w:left w:val="none" w:sz="0" w:space="0" w:color="auto"/>
                    <w:bottom w:val="none" w:sz="0" w:space="0" w:color="auto"/>
                    <w:right w:val="none" w:sz="0" w:space="0" w:color="auto"/>
                  </w:divBdr>
                  <w:divsChild>
                    <w:div w:id="1159072982">
                      <w:marLeft w:val="0"/>
                      <w:marRight w:val="0"/>
                      <w:marTop w:val="0"/>
                      <w:marBottom w:val="0"/>
                      <w:divBdr>
                        <w:top w:val="none" w:sz="0" w:space="0" w:color="auto"/>
                        <w:left w:val="none" w:sz="0" w:space="0" w:color="auto"/>
                        <w:bottom w:val="none" w:sz="0" w:space="0" w:color="auto"/>
                        <w:right w:val="none" w:sz="0" w:space="0" w:color="auto"/>
                      </w:divBdr>
                    </w:div>
                  </w:divsChild>
                </w:div>
                <w:div w:id="1770076619">
                  <w:marLeft w:val="0"/>
                  <w:marRight w:val="0"/>
                  <w:marTop w:val="0"/>
                  <w:marBottom w:val="0"/>
                  <w:divBdr>
                    <w:top w:val="none" w:sz="0" w:space="0" w:color="auto"/>
                    <w:left w:val="none" w:sz="0" w:space="0" w:color="auto"/>
                    <w:bottom w:val="none" w:sz="0" w:space="0" w:color="auto"/>
                    <w:right w:val="none" w:sz="0" w:space="0" w:color="auto"/>
                  </w:divBdr>
                  <w:divsChild>
                    <w:div w:id="551423723">
                      <w:marLeft w:val="0"/>
                      <w:marRight w:val="0"/>
                      <w:marTop w:val="0"/>
                      <w:marBottom w:val="0"/>
                      <w:divBdr>
                        <w:top w:val="none" w:sz="0" w:space="0" w:color="auto"/>
                        <w:left w:val="none" w:sz="0" w:space="0" w:color="auto"/>
                        <w:bottom w:val="none" w:sz="0" w:space="0" w:color="auto"/>
                        <w:right w:val="none" w:sz="0" w:space="0" w:color="auto"/>
                      </w:divBdr>
                    </w:div>
                  </w:divsChild>
                </w:div>
                <w:div w:id="1783375373">
                  <w:marLeft w:val="0"/>
                  <w:marRight w:val="0"/>
                  <w:marTop w:val="0"/>
                  <w:marBottom w:val="0"/>
                  <w:divBdr>
                    <w:top w:val="none" w:sz="0" w:space="0" w:color="auto"/>
                    <w:left w:val="none" w:sz="0" w:space="0" w:color="auto"/>
                    <w:bottom w:val="none" w:sz="0" w:space="0" w:color="auto"/>
                    <w:right w:val="none" w:sz="0" w:space="0" w:color="auto"/>
                  </w:divBdr>
                  <w:divsChild>
                    <w:div w:id="1914584985">
                      <w:marLeft w:val="0"/>
                      <w:marRight w:val="0"/>
                      <w:marTop w:val="0"/>
                      <w:marBottom w:val="0"/>
                      <w:divBdr>
                        <w:top w:val="none" w:sz="0" w:space="0" w:color="auto"/>
                        <w:left w:val="none" w:sz="0" w:space="0" w:color="auto"/>
                        <w:bottom w:val="none" w:sz="0" w:space="0" w:color="auto"/>
                        <w:right w:val="none" w:sz="0" w:space="0" w:color="auto"/>
                      </w:divBdr>
                    </w:div>
                  </w:divsChild>
                </w:div>
                <w:div w:id="1785416924">
                  <w:marLeft w:val="0"/>
                  <w:marRight w:val="0"/>
                  <w:marTop w:val="0"/>
                  <w:marBottom w:val="0"/>
                  <w:divBdr>
                    <w:top w:val="none" w:sz="0" w:space="0" w:color="auto"/>
                    <w:left w:val="none" w:sz="0" w:space="0" w:color="auto"/>
                    <w:bottom w:val="none" w:sz="0" w:space="0" w:color="auto"/>
                    <w:right w:val="none" w:sz="0" w:space="0" w:color="auto"/>
                  </w:divBdr>
                  <w:divsChild>
                    <w:div w:id="1521041292">
                      <w:marLeft w:val="0"/>
                      <w:marRight w:val="0"/>
                      <w:marTop w:val="0"/>
                      <w:marBottom w:val="0"/>
                      <w:divBdr>
                        <w:top w:val="none" w:sz="0" w:space="0" w:color="auto"/>
                        <w:left w:val="none" w:sz="0" w:space="0" w:color="auto"/>
                        <w:bottom w:val="none" w:sz="0" w:space="0" w:color="auto"/>
                        <w:right w:val="none" w:sz="0" w:space="0" w:color="auto"/>
                      </w:divBdr>
                    </w:div>
                  </w:divsChild>
                </w:div>
                <w:div w:id="1789663589">
                  <w:marLeft w:val="0"/>
                  <w:marRight w:val="0"/>
                  <w:marTop w:val="0"/>
                  <w:marBottom w:val="0"/>
                  <w:divBdr>
                    <w:top w:val="none" w:sz="0" w:space="0" w:color="auto"/>
                    <w:left w:val="none" w:sz="0" w:space="0" w:color="auto"/>
                    <w:bottom w:val="none" w:sz="0" w:space="0" w:color="auto"/>
                    <w:right w:val="none" w:sz="0" w:space="0" w:color="auto"/>
                  </w:divBdr>
                  <w:divsChild>
                    <w:div w:id="138697370">
                      <w:marLeft w:val="0"/>
                      <w:marRight w:val="0"/>
                      <w:marTop w:val="0"/>
                      <w:marBottom w:val="0"/>
                      <w:divBdr>
                        <w:top w:val="none" w:sz="0" w:space="0" w:color="auto"/>
                        <w:left w:val="none" w:sz="0" w:space="0" w:color="auto"/>
                        <w:bottom w:val="none" w:sz="0" w:space="0" w:color="auto"/>
                        <w:right w:val="none" w:sz="0" w:space="0" w:color="auto"/>
                      </w:divBdr>
                    </w:div>
                  </w:divsChild>
                </w:div>
                <w:div w:id="1800999115">
                  <w:marLeft w:val="0"/>
                  <w:marRight w:val="0"/>
                  <w:marTop w:val="0"/>
                  <w:marBottom w:val="0"/>
                  <w:divBdr>
                    <w:top w:val="none" w:sz="0" w:space="0" w:color="auto"/>
                    <w:left w:val="none" w:sz="0" w:space="0" w:color="auto"/>
                    <w:bottom w:val="none" w:sz="0" w:space="0" w:color="auto"/>
                    <w:right w:val="none" w:sz="0" w:space="0" w:color="auto"/>
                  </w:divBdr>
                  <w:divsChild>
                    <w:div w:id="724715851">
                      <w:marLeft w:val="0"/>
                      <w:marRight w:val="0"/>
                      <w:marTop w:val="0"/>
                      <w:marBottom w:val="0"/>
                      <w:divBdr>
                        <w:top w:val="none" w:sz="0" w:space="0" w:color="auto"/>
                        <w:left w:val="none" w:sz="0" w:space="0" w:color="auto"/>
                        <w:bottom w:val="none" w:sz="0" w:space="0" w:color="auto"/>
                        <w:right w:val="none" w:sz="0" w:space="0" w:color="auto"/>
                      </w:divBdr>
                    </w:div>
                  </w:divsChild>
                </w:div>
                <w:div w:id="1803111151">
                  <w:marLeft w:val="0"/>
                  <w:marRight w:val="0"/>
                  <w:marTop w:val="0"/>
                  <w:marBottom w:val="0"/>
                  <w:divBdr>
                    <w:top w:val="none" w:sz="0" w:space="0" w:color="auto"/>
                    <w:left w:val="none" w:sz="0" w:space="0" w:color="auto"/>
                    <w:bottom w:val="none" w:sz="0" w:space="0" w:color="auto"/>
                    <w:right w:val="none" w:sz="0" w:space="0" w:color="auto"/>
                  </w:divBdr>
                  <w:divsChild>
                    <w:div w:id="1308975143">
                      <w:marLeft w:val="0"/>
                      <w:marRight w:val="0"/>
                      <w:marTop w:val="0"/>
                      <w:marBottom w:val="0"/>
                      <w:divBdr>
                        <w:top w:val="none" w:sz="0" w:space="0" w:color="auto"/>
                        <w:left w:val="none" w:sz="0" w:space="0" w:color="auto"/>
                        <w:bottom w:val="none" w:sz="0" w:space="0" w:color="auto"/>
                        <w:right w:val="none" w:sz="0" w:space="0" w:color="auto"/>
                      </w:divBdr>
                    </w:div>
                  </w:divsChild>
                </w:div>
                <w:div w:id="1813252064">
                  <w:marLeft w:val="0"/>
                  <w:marRight w:val="0"/>
                  <w:marTop w:val="0"/>
                  <w:marBottom w:val="0"/>
                  <w:divBdr>
                    <w:top w:val="none" w:sz="0" w:space="0" w:color="auto"/>
                    <w:left w:val="none" w:sz="0" w:space="0" w:color="auto"/>
                    <w:bottom w:val="none" w:sz="0" w:space="0" w:color="auto"/>
                    <w:right w:val="none" w:sz="0" w:space="0" w:color="auto"/>
                  </w:divBdr>
                  <w:divsChild>
                    <w:div w:id="305167071">
                      <w:marLeft w:val="0"/>
                      <w:marRight w:val="0"/>
                      <w:marTop w:val="0"/>
                      <w:marBottom w:val="0"/>
                      <w:divBdr>
                        <w:top w:val="none" w:sz="0" w:space="0" w:color="auto"/>
                        <w:left w:val="none" w:sz="0" w:space="0" w:color="auto"/>
                        <w:bottom w:val="none" w:sz="0" w:space="0" w:color="auto"/>
                        <w:right w:val="none" w:sz="0" w:space="0" w:color="auto"/>
                      </w:divBdr>
                    </w:div>
                  </w:divsChild>
                </w:div>
                <w:div w:id="1832209084">
                  <w:marLeft w:val="0"/>
                  <w:marRight w:val="0"/>
                  <w:marTop w:val="0"/>
                  <w:marBottom w:val="0"/>
                  <w:divBdr>
                    <w:top w:val="none" w:sz="0" w:space="0" w:color="auto"/>
                    <w:left w:val="none" w:sz="0" w:space="0" w:color="auto"/>
                    <w:bottom w:val="none" w:sz="0" w:space="0" w:color="auto"/>
                    <w:right w:val="none" w:sz="0" w:space="0" w:color="auto"/>
                  </w:divBdr>
                  <w:divsChild>
                    <w:div w:id="149099367">
                      <w:marLeft w:val="0"/>
                      <w:marRight w:val="0"/>
                      <w:marTop w:val="0"/>
                      <w:marBottom w:val="0"/>
                      <w:divBdr>
                        <w:top w:val="none" w:sz="0" w:space="0" w:color="auto"/>
                        <w:left w:val="none" w:sz="0" w:space="0" w:color="auto"/>
                        <w:bottom w:val="none" w:sz="0" w:space="0" w:color="auto"/>
                        <w:right w:val="none" w:sz="0" w:space="0" w:color="auto"/>
                      </w:divBdr>
                    </w:div>
                  </w:divsChild>
                </w:div>
                <w:div w:id="1837838891">
                  <w:marLeft w:val="0"/>
                  <w:marRight w:val="0"/>
                  <w:marTop w:val="0"/>
                  <w:marBottom w:val="0"/>
                  <w:divBdr>
                    <w:top w:val="none" w:sz="0" w:space="0" w:color="auto"/>
                    <w:left w:val="none" w:sz="0" w:space="0" w:color="auto"/>
                    <w:bottom w:val="none" w:sz="0" w:space="0" w:color="auto"/>
                    <w:right w:val="none" w:sz="0" w:space="0" w:color="auto"/>
                  </w:divBdr>
                  <w:divsChild>
                    <w:div w:id="19165021">
                      <w:marLeft w:val="0"/>
                      <w:marRight w:val="0"/>
                      <w:marTop w:val="0"/>
                      <w:marBottom w:val="0"/>
                      <w:divBdr>
                        <w:top w:val="none" w:sz="0" w:space="0" w:color="auto"/>
                        <w:left w:val="none" w:sz="0" w:space="0" w:color="auto"/>
                        <w:bottom w:val="none" w:sz="0" w:space="0" w:color="auto"/>
                        <w:right w:val="none" w:sz="0" w:space="0" w:color="auto"/>
                      </w:divBdr>
                    </w:div>
                  </w:divsChild>
                </w:div>
                <w:div w:id="1856310345">
                  <w:marLeft w:val="0"/>
                  <w:marRight w:val="0"/>
                  <w:marTop w:val="0"/>
                  <w:marBottom w:val="0"/>
                  <w:divBdr>
                    <w:top w:val="none" w:sz="0" w:space="0" w:color="auto"/>
                    <w:left w:val="none" w:sz="0" w:space="0" w:color="auto"/>
                    <w:bottom w:val="none" w:sz="0" w:space="0" w:color="auto"/>
                    <w:right w:val="none" w:sz="0" w:space="0" w:color="auto"/>
                  </w:divBdr>
                  <w:divsChild>
                    <w:div w:id="524446920">
                      <w:marLeft w:val="0"/>
                      <w:marRight w:val="0"/>
                      <w:marTop w:val="0"/>
                      <w:marBottom w:val="0"/>
                      <w:divBdr>
                        <w:top w:val="none" w:sz="0" w:space="0" w:color="auto"/>
                        <w:left w:val="none" w:sz="0" w:space="0" w:color="auto"/>
                        <w:bottom w:val="none" w:sz="0" w:space="0" w:color="auto"/>
                        <w:right w:val="none" w:sz="0" w:space="0" w:color="auto"/>
                      </w:divBdr>
                    </w:div>
                  </w:divsChild>
                </w:div>
                <w:div w:id="1866675152">
                  <w:marLeft w:val="0"/>
                  <w:marRight w:val="0"/>
                  <w:marTop w:val="0"/>
                  <w:marBottom w:val="0"/>
                  <w:divBdr>
                    <w:top w:val="none" w:sz="0" w:space="0" w:color="auto"/>
                    <w:left w:val="none" w:sz="0" w:space="0" w:color="auto"/>
                    <w:bottom w:val="none" w:sz="0" w:space="0" w:color="auto"/>
                    <w:right w:val="none" w:sz="0" w:space="0" w:color="auto"/>
                  </w:divBdr>
                  <w:divsChild>
                    <w:div w:id="1563521175">
                      <w:marLeft w:val="0"/>
                      <w:marRight w:val="0"/>
                      <w:marTop w:val="0"/>
                      <w:marBottom w:val="0"/>
                      <w:divBdr>
                        <w:top w:val="none" w:sz="0" w:space="0" w:color="auto"/>
                        <w:left w:val="none" w:sz="0" w:space="0" w:color="auto"/>
                        <w:bottom w:val="none" w:sz="0" w:space="0" w:color="auto"/>
                        <w:right w:val="none" w:sz="0" w:space="0" w:color="auto"/>
                      </w:divBdr>
                    </w:div>
                  </w:divsChild>
                </w:div>
                <w:div w:id="1870876911">
                  <w:marLeft w:val="0"/>
                  <w:marRight w:val="0"/>
                  <w:marTop w:val="0"/>
                  <w:marBottom w:val="0"/>
                  <w:divBdr>
                    <w:top w:val="none" w:sz="0" w:space="0" w:color="auto"/>
                    <w:left w:val="none" w:sz="0" w:space="0" w:color="auto"/>
                    <w:bottom w:val="none" w:sz="0" w:space="0" w:color="auto"/>
                    <w:right w:val="none" w:sz="0" w:space="0" w:color="auto"/>
                  </w:divBdr>
                  <w:divsChild>
                    <w:div w:id="282660704">
                      <w:marLeft w:val="0"/>
                      <w:marRight w:val="0"/>
                      <w:marTop w:val="0"/>
                      <w:marBottom w:val="0"/>
                      <w:divBdr>
                        <w:top w:val="none" w:sz="0" w:space="0" w:color="auto"/>
                        <w:left w:val="none" w:sz="0" w:space="0" w:color="auto"/>
                        <w:bottom w:val="none" w:sz="0" w:space="0" w:color="auto"/>
                        <w:right w:val="none" w:sz="0" w:space="0" w:color="auto"/>
                      </w:divBdr>
                    </w:div>
                  </w:divsChild>
                </w:div>
                <w:div w:id="1881821618">
                  <w:marLeft w:val="0"/>
                  <w:marRight w:val="0"/>
                  <w:marTop w:val="0"/>
                  <w:marBottom w:val="0"/>
                  <w:divBdr>
                    <w:top w:val="none" w:sz="0" w:space="0" w:color="auto"/>
                    <w:left w:val="none" w:sz="0" w:space="0" w:color="auto"/>
                    <w:bottom w:val="none" w:sz="0" w:space="0" w:color="auto"/>
                    <w:right w:val="none" w:sz="0" w:space="0" w:color="auto"/>
                  </w:divBdr>
                  <w:divsChild>
                    <w:div w:id="1311985796">
                      <w:marLeft w:val="0"/>
                      <w:marRight w:val="0"/>
                      <w:marTop w:val="0"/>
                      <w:marBottom w:val="0"/>
                      <w:divBdr>
                        <w:top w:val="none" w:sz="0" w:space="0" w:color="auto"/>
                        <w:left w:val="none" w:sz="0" w:space="0" w:color="auto"/>
                        <w:bottom w:val="none" w:sz="0" w:space="0" w:color="auto"/>
                        <w:right w:val="none" w:sz="0" w:space="0" w:color="auto"/>
                      </w:divBdr>
                    </w:div>
                  </w:divsChild>
                </w:div>
                <w:div w:id="1907765915">
                  <w:marLeft w:val="0"/>
                  <w:marRight w:val="0"/>
                  <w:marTop w:val="0"/>
                  <w:marBottom w:val="0"/>
                  <w:divBdr>
                    <w:top w:val="none" w:sz="0" w:space="0" w:color="auto"/>
                    <w:left w:val="none" w:sz="0" w:space="0" w:color="auto"/>
                    <w:bottom w:val="none" w:sz="0" w:space="0" w:color="auto"/>
                    <w:right w:val="none" w:sz="0" w:space="0" w:color="auto"/>
                  </w:divBdr>
                  <w:divsChild>
                    <w:div w:id="430857852">
                      <w:marLeft w:val="0"/>
                      <w:marRight w:val="0"/>
                      <w:marTop w:val="0"/>
                      <w:marBottom w:val="0"/>
                      <w:divBdr>
                        <w:top w:val="none" w:sz="0" w:space="0" w:color="auto"/>
                        <w:left w:val="none" w:sz="0" w:space="0" w:color="auto"/>
                        <w:bottom w:val="none" w:sz="0" w:space="0" w:color="auto"/>
                        <w:right w:val="none" w:sz="0" w:space="0" w:color="auto"/>
                      </w:divBdr>
                    </w:div>
                  </w:divsChild>
                </w:div>
                <w:div w:id="1908683909">
                  <w:marLeft w:val="0"/>
                  <w:marRight w:val="0"/>
                  <w:marTop w:val="0"/>
                  <w:marBottom w:val="0"/>
                  <w:divBdr>
                    <w:top w:val="none" w:sz="0" w:space="0" w:color="auto"/>
                    <w:left w:val="none" w:sz="0" w:space="0" w:color="auto"/>
                    <w:bottom w:val="none" w:sz="0" w:space="0" w:color="auto"/>
                    <w:right w:val="none" w:sz="0" w:space="0" w:color="auto"/>
                  </w:divBdr>
                  <w:divsChild>
                    <w:div w:id="1684749002">
                      <w:marLeft w:val="0"/>
                      <w:marRight w:val="0"/>
                      <w:marTop w:val="0"/>
                      <w:marBottom w:val="0"/>
                      <w:divBdr>
                        <w:top w:val="none" w:sz="0" w:space="0" w:color="auto"/>
                        <w:left w:val="none" w:sz="0" w:space="0" w:color="auto"/>
                        <w:bottom w:val="none" w:sz="0" w:space="0" w:color="auto"/>
                        <w:right w:val="none" w:sz="0" w:space="0" w:color="auto"/>
                      </w:divBdr>
                    </w:div>
                  </w:divsChild>
                </w:div>
                <w:div w:id="1909724650">
                  <w:marLeft w:val="0"/>
                  <w:marRight w:val="0"/>
                  <w:marTop w:val="0"/>
                  <w:marBottom w:val="0"/>
                  <w:divBdr>
                    <w:top w:val="none" w:sz="0" w:space="0" w:color="auto"/>
                    <w:left w:val="none" w:sz="0" w:space="0" w:color="auto"/>
                    <w:bottom w:val="none" w:sz="0" w:space="0" w:color="auto"/>
                    <w:right w:val="none" w:sz="0" w:space="0" w:color="auto"/>
                  </w:divBdr>
                  <w:divsChild>
                    <w:div w:id="1000348920">
                      <w:marLeft w:val="0"/>
                      <w:marRight w:val="0"/>
                      <w:marTop w:val="0"/>
                      <w:marBottom w:val="0"/>
                      <w:divBdr>
                        <w:top w:val="none" w:sz="0" w:space="0" w:color="auto"/>
                        <w:left w:val="none" w:sz="0" w:space="0" w:color="auto"/>
                        <w:bottom w:val="none" w:sz="0" w:space="0" w:color="auto"/>
                        <w:right w:val="none" w:sz="0" w:space="0" w:color="auto"/>
                      </w:divBdr>
                    </w:div>
                  </w:divsChild>
                </w:div>
                <w:div w:id="1913544472">
                  <w:marLeft w:val="0"/>
                  <w:marRight w:val="0"/>
                  <w:marTop w:val="0"/>
                  <w:marBottom w:val="0"/>
                  <w:divBdr>
                    <w:top w:val="none" w:sz="0" w:space="0" w:color="auto"/>
                    <w:left w:val="none" w:sz="0" w:space="0" w:color="auto"/>
                    <w:bottom w:val="none" w:sz="0" w:space="0" w:color="auto"/>
                    <w:right w:val="none" w:sz="0" w:space="0" w:color="auto"/>
                  </w:divBdr>
                  <w:divsChild>
                    <w:div w:id="683358015">
                      <w:marLeft w:val="0"/>
                      <w:marRight w:val="0"/>
                      <w:marTop w:val="0"/>
                      <w:marBottom w:val="0"/>
                      <w:divBdr>
                        <w:top w:val="none" w:sz="0" w:space="0" w:color="auto"/>
                        <w:left w:val="none" w:sz="0" w:space="0" w:color="auto"/>
                        <w:bottom w:val="none" w:sz="0" w:space="0" w:color="auto"/>
                        <w:right w:val="none" w:sz="0" w:space="0" w:color="auto"/>
                      </w:divBdr>
                    </w:div>
                  </w:divsChild>
                </w:div>
                <w:div w:id="1921405568">
                  <w:marLeft w:val="0"/>
                  <w:marRight w:val="0"/>
                  <w:marTop w:val="0"/>
                  <w:marBottom w:val="0"/>
                  <w:divBdr>
                    <w:top w:val="none" w:sz="0" w:space="0" w:color="auto"/>
                    <w:left w:val="none" w:sz="0" w:space="0" w:color="auto"/>
                    <w:bottom w:val="none" w:sz="0" w:space="0" w:color="auto"/>
                    <w:right w:val="none" w:sz="0" w:space="0" w:color="auto"/>
                  </w:divBdr>
                  <w:divsChild>
                    <w:div w:id="1447188753">
                      <w:marLeft w:val="0"/>
                      <w:marRight w:val="0"/>
                      <w:marTop w:val="0"/>
                      <w:marBottom w:val="0"/>
                      <w:divBdr>
                        <w:top w:val="none" w:sz="0" w:space="0" w:color="auto"/>
                        <w:left w:val="none" w:sz="0" w:space="0" w:color="auto"/>
                        <w:bottom w:val="none" w:sz="0" w:space="0" w:color="auto"/>
                        <w:right w:val="none" w:sz="0" w:space="0" w:color="auto"/>
                      </w:divBdr>
                    </w:div>
                  </w:divsChild>
                </w:div>
                <w:div w:id="1931545079">
                  <w:marLeft w:val="0"/>
                  <w:marRight w:val="0"/>
                  <w:marTop w:val="0"/>
                  <w:marBottom w:val="0"/>
                  <w:divBdr>
                    <w:top w:val="none" w:sz="0" w:space="0" w:color="auto"/>
                    <w:left w:val="none" w:sz="0" w:space="0" w:color="auto"/>
                    <w:bottom w:val="none" w:sz="0" w:space="0" w:color="auto"/>
                    <w:right w:val="none" w:sz="0" w:space="0" w:color="auto"/>
                  </w:divBdr>
                  <w:divsChild>
                    <w:div w:id="234097501">
                      <w:marLeft w:val="0"/>
                      <w:marRight w:val="0"/>
                      <w:marTop w:val="0"/>
                      <w:marBottom w:val="0"/>
                      <w:divBdr>
                        <w:top w:val="none" w:sz="0" w:space="0" w:color="auto"/>
                        <w:left w:val="none" w:sz="0" w:space="0" w:color="auto"/>
                        <w:bottom w:val="none" w:sz="0" w:space="0" w:color="auto"/>
                        <w:right w:val="none" w:sz="0" w:space="0" w:color="auto"/>
                      </w:divBdr>
                    </w:div>
                  </w:divsChild>
                </w:div>
                <w:div w:id="1932006261">
                  <w:marLeft w:val="0"/>
                  <w:marRight w:val="0"/>
                  <w:marTop w:val="0"/>
                  <w:marBottom w:val="0"/>
                  <w:divBdr>
                    <w:top w:val="none" w:sz="0" w:space="0" w:color="auto"/>
                    <w:left w:val="none" w:sz="0" w:space="0" w:color="auto"/>
                    <w:bottom w:val="none" w:sz="0" w:space="0" w:color="auto"/>
                    <w:right w:val="none" w:sz="0" w:space="0" w:color="auto"/>
                  </w:divBdr>
                  <w:divsChild>
                    <w:div w:id="1974300">
                      <w:marLeft w:val="0"/>
                      <w:marRight w:val="0"/>
                      <w:marTop w:val="0"/>
                      <w:marBottom w:val="0"/>
                      <w:divBdr>
                        <w:top w:val="none" w:sz="0" w:space="0" w:color="auto"/>
                        <w:left w:val="none" w:sz="0" w:space="0" w:color="auto"/>
                        <w:bottom w:val="none" w:sz="0" w:space="0" w:color="auto"/>
                        <w:right w:val="none" w:sz="0" w:space="0" w:color="auto"/>
                      </w:divBdr>
                    </w:div>
                  </w:divsChild>
                </w:div>
                <w:div w:id="1940671608">
                  <w:marLeft w:val="0"/>
                  <w:marRight w:val="0"/>
                  <w:marTop w:val="0"/>
                  <w:marBottom w:val="0"/>
                  <w:divBdr>
                    <w:top w:val="none" w:sz="0" w:space="0" w:color="auto"/>
                    <w:left w:val="none" w:sz="0" w:space="0" w:color="auto"/>
                    <w:bottom w:val="none" w:sz="0" w:space="0" w:color="auto"/>
                    <w:right w:val="none" w:sz="0" w:space="0" w:color="auto"/>
                  </w:divBdr>
                  <w:divsChild>
                    <w:div w:id="889996222">
                      <w:marLeft w:val="0"/>
                      <w:marRight w:val="0"/>
                      <w:marTop w:val="0"/>
                      <w:marBottom w:val="0"/>
                      <w:divBdr>
                        <w:top w:val="none" w:sz="0" w:space="0" w:color="auto"/>
                        <w:left w:val="none" w:sz="0" w:space="0" w:color="auto"/>
                        <w:bottom w:val="none" w:sz="0" w:space="0" w:color="auto"/>
                        <w:right w:val="none" w:sz="0" w:space="0" w:color="auto"/>
                      </w:divBdr>
                    </w:div>
                  </w:divsChild>
                </w:div>
                <w:div w:id="1954752238">
                  <w:marLeft w:val="0"/>
                  <w:marRight w:val="0"/>
                  <w:marTop w:val="0"/>
                  <w:marBottom w:val="0"/>
                  <w:divBdr>
                    <w:top w:val="none" w:sz="0" w:space="0" w:color="auto"/>
                    <w:left w:val="none" w:sz="0" w:space="0" w:color="auto"/>
                    <w:bottom w:val="none" w:sz="0" w:space="0" w:color="auto"/>
                    <w:right w:val="none" w:sz="0" w:space="0" w:color="auto"/>
                  </w:divBdr>
                  <w:divsChild>
                    <w:div w:id="1970277770">
                      <w:marLeft w:val="0"/>
                      <w:marRight w:val="0"/>
                      <w:marTop w:val="0"/>
                      <w:marBottom w:val="0"/>
                      <w:divBdr>
                        <w:top w:val="none" w:sz="0" w:space="0" w:color="auto"/>
                        <w:left w:val="none" w:sz="0" w:space="0" w:color="auto"/>
                        <w:bottom w:val="none" w:sz="0" w:space="0" w:color="auto"/>
                        <w:right w:val="none" w:sz="0" w:space="0" w:color="auto"/>
                      </w:divBdr>
                    </w:div>
                  </w:divsChild>
                </w:div>
                <w:div w:id="1970163679">
                  <w:marLeft w:val="0"/>
                  <w:marRight w:val="0"/>
                  <w:marTop w:val="0"/>
                  <w:marBottom w:val="0"/>
                  <w:divBdr>
                    <w:top w:val="none" w:sz="0" w:space="0" w:color="auto"/>
                    <w:left w:val="none" w:sz="0" w:space="0" w:color="auto"/>
                    <w:bottom w:val="none" w:sz="0" w:space="0" w:color="auto"/>
                    <w:right w:val="none" w:sz="0" w:space="0" w:color="auto"/>
                  </w:divBdr>
                  <w:divsChild>
                    <w:div w:id="568153397">
                      <w:marLeft w:val="0"/>
                      <w:marRight w:val="0"/>
                      <w:marTop w:val="0"/>
                      <w:marBottom w:val="0"/>
                      <w:divBdr>
                        <w:top w:val="none" w:sz="0" w:space="0" w:color="auto"/>
                        <w:left w:val="none" w:sz="0" w:space="0" w:color="auto"/>
                        <w:bottom w:val="none" w:sz="0" w:space="0" w:color="auto"/>
                        <w:right w:val="none" w:sz="0" w:space="0" w:color="auto"/>
                      </w:divBdr>
                    </w:div>
                  </w:divsChild>
                </w:div>
                <w:div w:id="1972049720">
                  <w:marLeft w:val="0"/>
                  <w:marRight w:val="0"/>
                  <w:marTop w:val="0"/>
                  <w:marBottom w:val="0"/>
                  <w:divBdr>
                    <w:top w:val="none" w:sz="0" w:space="0" w:color="auto"/>
                    <w:left w:val="none" w:sz="0" w:space="0" w:color="auto"/>
                    <w:bottom w:val="none" w:sz="0" w:space="0" w:color="auto"/>
                    <w:right w:val="none" w:sz="0" w:space="0" w:color="auto"/>
                  </w:divBdr>
                  <w:divsChild>
                    <w:div w:id="871890974">
                      <w:marLeft w:val="0"/>
                      <w:marRight w:val="0"/>
                      <w:marTop w:val="0"/>
                      <w:marBottom w:val="0"/>
                      <w:divBdr>
                        <w:top w:val="none" w:sz="0" w:space="0" w:color="auto"/>
                        <w:left w:val="none" w:sz="0" w:space="0" w:color="auto"/>
                        <w:bottom w:val="none" w:sz="0" w:space="0" w:color="auto"/>
                        <w:right w:val="none" w:sz="0" w:space="0" w:color="auto"/>
                      </w:divBdr>
                    </w:div>
                  </w:divsChild>
                </w:div>
                <w:div w:id="2004963055">
                  <w:marLeft w:val="0"/>
                  <w:marRight w:val="0"/>
                  <w:marTop w:val="0"/>
                  <w:marBottom w:val="0"/>
                  <w:divBdr>
                    <w:top w:val="none" w:sz="0" w:space="0" w:color="auto"/>
                    <w:left w:val="none" w:sz="0" w:space="0" w:color="auto"/>
                    <w:bottom w:val="none" w:sz="0" w:space="0" w:color="auto"/>
                    <w:right w:val="none" w:sz="0" w:space="0" w:color="auto"/>
                  </w:divBdr>
                  <w:divsChild>
                    <w:div w:id="709690198">
                      <w:marLeft w:val="0"/>
                      <w:marRight w:val="0"/>
                      <w:marTop w:val="0"/>
                      <w:marBottom w:val="0"/>
                      <w:divBdr>
                        <w:top w:val="none" w:sz="0" w:space="0" w:color="auto"/>
                        <w:left w:val="none" w:sz="0" w:space="0" w:color="auto"/>
                        <w:bottom w:val="none" w:sz="0" w:space="0" w:color="auto"/>
                        <w:right w:val="none" w:sz="0" w:space="0" w:color="auto"/>
                      </w:divBdr>
                    </w:div>
                  </w:divsChild>
                </w:div>
                <w:div w:id="2011637411">
                  <w:marLeft w:val="0"/>
                  <w:marRight w:val="0"/>
                  <w:marTop w:val="0"/>
                  <w:marBottom w:val="0"/>
                  <w:divBdr>
                    <w:top w:val="none" w:sz="0" w:space="0" w:color="auto"/>
                    <w:left w:val="none" w:sz="0" w:space="0" w:color="auto"/>
                    <w:bottom w:val="none" w:sz="0" w:space="0" w:color="auto"/>
                    <w:right w:val="none" w:sz="0" w:space="0" w:color="auto"/>
                  </w:divBdr>
                  <w:divsChild>
                    <w:div w:id="1373723774">
                      <w:marLeft w:val="0"/>
                      <w:marRight w:val="0"/>
                      <w:marTop w:val="0"/>
                      <w:marBottom w:val="0"/>
                      <w:divBdr>
                        <w:top w:val="none" w:sz="0" w:space="0" w:color="auto"/>
                        <w:left w:val="none" w:sz="0" w:space="0" w:color="auto"/>
                        <w:bottom w:val="none" w:sz="0" w:space="0" w:color="auto"/>
                        <w:right w:val="none" w:sz="0" w:space="0" w:color="auto"/>
                      </w:divBdr>
                    </w:div>
                  </w:divsChild>
                </w:div>
                <w:div w:id="2023968727">
                  <w:marLeft w:val="0"/>
                  <w:marRight w:val="0"/>
                  <w:marTop w:val="0"/>
                  <w:marBottom w:val="0"/>
                  <w:divBdr>
                    <w:top w:val="none" w:sz="0" w:space="0" w:color="auto"/>
                    <w:left w:val="none" w:sz="0" w:space="0" w:color="auto"/>
                    <w:bottom w:val="none" w:sz="0" w:space="0" w:color="auto"/>
                    <w:right w:val="none" w:sz="0" w:space="0" w:color="auto"/>
                  </w:divBdr>
                  <w:divsChild>
                    <w:div w:id="774400881">
                      <w:marLeft w:val="0"/>
                      <w:marRight w:val="0"/>
                      <w:marTop w:val="0"/>
                      <w:marBottom w:val="0"/>
                      <w:divBdr>
                        <w:top w:val="none" w:sz="0" w:space="0" w:color="auto"/>
                        <w:left w:val="none" w:sz="0" w:space="0" w:color="auto"/>
                        <w:bottom w:val="none" w:sz="0" w:space="0" w:color="auto"/>
                        <w:right w:val="none" w:sz="0" w:space="0" w:color="auto"/>
                      </w:divBdr>
                    </w:div>
                  </w:divsChild>
                </w:div>
                <w:div w:id="2029863356">
                  <w:marLeft w:val="0"/>
                  <w:marRight w:val="0"/>
                  <w:marTop w:val="0"/>
                  <w:marBottom w:val="0"/>
                  <w:divBdr>
                    <w:top w:val="none" w:sz="0" w:space="0" w:color="auto"/>
                    <w:left w:val="none" w:sz="0" w:space="0" w:color="auto"/>
                    <w:bottom w:val="none" w:sz="0" w:space="0" w:color="auto"/>
                    <w:right w:val="none" w:sz="0" w:space="0" w:color="auto"/>
                  </w:divBdr>
                  <w:divsChild>
                    <w:div w:id="1150562871">
                      <w:marLeft w:val="0"/>
                      <w:marRight w:val="0"/>
                      <w:marTop w:val="0"/>
                      <w:marBottom w:val="0"/>
                      <w:divBdr>
                        <w:top w:val="none" w:sz="0" w:space="0" w:color="auto"/>
                        <w:left w:val="none" w:sz="0" w:space="0" w:color="auto"/>
                        <w:bottom w:val="none" w:sz="0" w:space="0" w:color="auto"/>
                        <w:right w:val="none" w:sz="0" w:space="0" w:color="auto"/>
                      </w:divBdr>
                    </w:div>
                  </w:divsChild>
                </w:div>
                <w:div w:id="2070304318">
                  <w:marLeft w:val="0"/>
                  <w:marRight w:val="0"/>
                  <w:marTop w:val="0"/>
                  <w:marBottom w:val="0"/>
                  <w:divBdr>
                    <w:top w:val="none" w:sz="0" w:space="0" w:color="auto"/>
                    <w:left w:val="none" w:sz="0" w:space="0" w:color="auto"/>
                    <w:bottom w:val="none" w:sz="0" w:space="0" w:color="auto"/>
                    <w:right w:val="none" w:sz="0" w:space="0" w:color="auto"/>
                  </w:divBdr>
                  <w:divsChild>
                    <w:div w:id="1129979345">
                      <w:marLeft w:val="0"/>
                      <w:marRight w:val="0"/>
                      <w:marTop w:val="0"/>
                      <w:marBottom w:val="0"/>
                      <w:divBdr>
                        <w:top w:val="none" w:sz="0" w:space="0" w:color="auto"/>
                        <w:left w:val="none" w:sz="0" w:space="0" w:color="auto"/>
                        <w:bottom w:val="none" w:sz="0" w:space="0" w:color="auto"/>
                        <w:right w:val="none" w:sz="0" w:space="0" w:color="auto"/>
                      </w:divBdr>
                    </w:div>
                  </w:divsChild>
                </w:div>
                <w:div w:id="2078086116">
                  <w:marLeft w:val="0"/>
                  <w:marRight w:val="0"/>
                  <w:marTop w:val="0"/>
                  <w:marBottom w:val="0"/>
                  <w:divBdr>
                    <w:top w:val="none" w:sz="0" w:space="0" w:color="auto"/>
                    <w:left w:val="none" w:sz="0" w:space="0" w:color="auto"/>
                    <w:bottom w:val="none" w:sz="0" w:space="0" w:color="auto"/>
                    <w:right w:val="none" w:sz="0" w:space="0" w:color="auto"/>
                  </w:divBdr>
                  <w:divsChild>
                    <w:div w:id="1061901308">
                      <w:marLeft w:val="0"/>
                      <w:marRight w:val="0"/>
                      <w:marTop w:val="0"/>
                      <w:marBottom w:val="0"/>
                      <w:divBdr>
                        <w:top w:val="none" w:sz="0" w:space="0" w:color="auto"/>
                        <w:left w:val="none" w:sz="0" w:space="0" w:color="auto"/>
                        <w:bottom w:val="none" w:sz="0" w:space="0" w:color="auto"/>
                        <w:right w:val="none" w:sz="0" w:space="0" w:color="auto"/>
                      </w:divBdr>
                    </w:div>
                  </w:divsChild>
                </w:div>
                <w:div w:id="2082100256">
                  <w:marLeft w:val="0"/>
                  <w:marRight w:val="0"/>
                  <w:marTop w:val="0"/>
                  <w:marBottom w:val="0"/>
                  <w:divBdr>
                    <w:top w:val="none" w:sz="0" w:space="0" w:color="auto"/>
                    <w:left w:val="none" w:sz="0" w:space="0" w:color="auto"/>
                    <w:bottom w:val="none" w:sz="0" w:space="0" w:color="auto"/>
                    <w:right w:val="none" w:sz="0" w:space="0" w:color="auto"/>
                  </w:divBdr>
                  <w:divsChild>
                    <w:div w:id="1567256040">
                      <w:marLeft w:val="0"/>
                      <w:marRight w:val="0"/>
                      <w:marTop w:val="0"/>
                      <w:marBottom w:val="0"/>
                      <w:divBdr>
                        <w:top w:val="none" w:sz="0" w:space="0" w:color="auto"/>
                        <w:left w:val="none" w:sz="0" w:space="0" w:color="auto"/>
                        <w:bottom w:val="none" w:sz="0" w:space="0" w:color="auto"/>
                        <w:right w:val="none" w:sz="0" w:space="0" w:color="auto"/>
                      </w:divBdr>
                    </w:div>
                  </w:divsChild>
                </w:div>
                <w:div w:id="2082672265">
                  <w:marLeft w:val="0"/>
                  <w:marRight w:val="0"/>
                  <w:marTop w:val="0"/>
                  <w:marBottom w:val="0"/>
                  <w:divBdr>
                    <w:top w:val="none" w:sz="0" w:space="0" w:color="auto"/>
                    <w:left w:val="none" w:sz="0" w:space="0" w:color="auto"/>
                    <w:bottom w:val="none" w:sz="0" w:space="0" w:color="auto"/>
                    <w:right w:val="none" w:sz="0" w:space="0" w:color="auto"/>
                  </w:divBdr>
                  <w:divsChild>
                    <w:div w:id="765468741">
                      <w:marLeft w:val="0"/>
                      <w:marRight w:val="0"/>
                      <w:marTop w:val="0"/>
                      <w:marBottom w:val="0"/>
                      <w:divBdr>
                        <w:top w:val="none" w:sz="0" w:space="0" w:color="auto"/>
                        <w:left w:val="none" w:sz="0" w:space="0" w:color="auto"/>
                        <w:bottom w:val="none" w:sz="0" w:space="0" w:color="auto"/>
                        <w:right w:val="none" w:sz="0" w:space="0" w:color="auto"/>
                      </w:divBdr>
                    </w:div>
                  </w:divsChild>
                </w:div>
                <w:div w:id="2093964543">
                  <w:marLeft w:val="0"/>
                  <w:marRight w:val="0"/>
                  <w:marTop w:val="0"/>
                  <w:marBottom w:val="0"/>
                  <w:divBdr>
                    <w:top w:val="none" w:sz="0" w:space="0" w:color="auto"/>
                    <w:left w:val="none" w:sz="0" w:space="0" w:color="auto"/>
                    <w:bottom w:val="none" w:sz="0" w:space="0" w:color="auto"/>
                    <w:right w:val="none" w:sz="0" w:space="0" w:color="auto"/>
                  </w:divBdr>
                  <w:divsChild>
                    <w:div w:id="1186167866">
                      <w:marLeft w:val="0"/>
                      <w:marRight w:val="0"/>
                      <w:marTop w:val="0"/>
                      <w:marBottom w:val="0"/>
                      <w:divBdr>
                        <w:top w:val="none" w:sz="0" w:space="0" w:color="auto"/>
                        <w:left w:val="none" w:sz="0" w:space="0" w:color="auto"/>
                        <w:bottom w:val="none" w:sz="0" w:space="0" w:color="auto"/>
                        <w:right w:val="none" w:sz="0" w:space="0" w:color="auto"/>
                      </w:divBdr>
                    </w:div>
                  </w:divsChild>
                </w:div>
                <w:div w:id="2103455253">
                  <w:marLeft w:val="0"/>
                  <w:marRight w:val="0"/>
                  <w:marTop w:val="0"/>
                  <w:marBottom w:val="0"/>
                  <w:divBdr>
                    <w:top w:val="none" w:sz="0" w:space="0" w:color="auto"/>
                    <w:left w:val="none" w:sz="0" w:space="0" w:color="auto"/>
                    <w:bottom w:val="none" w:sz="0" w:space="0" w:color="auto"/>
                    <w:right w:val="none" w:sz="0" w:space="0" w:color="auto"/>
                  </w:divBdr>
                  <w:divsChild>
                    <w:div w:id="2083792245">
                      <w:marLeft w:val="0"/>
                      <w:marRight w:val="0"/>
                      <w:marTop w:val="0"/>
                      <w:marBottom w:val="0"/>
                      <w:divBdr>
                        <w:top w:val="none" w:sz="0" w:space="0" w:color="auto"/>
                        <w:left w:val="none" w:sz="0" w:space="0" w:color="auto"/>
                        <w:bottom w:val="none" w:sz="0" w:space="0" w:color="auto"/>
                        <w:right w:val="none" w:sz="0" w:space="0" w:color="auto"/>
                      </w:divBdr>
                    </w:div>
                  </w:divsChild>
                </w:div>
                <w:div w:id="2105805988">
                  <w:marLeft w:val="0"/>
                  <w:marRight w:val="0"/>
                  <w:marTop w:val="0"/>
                  <w:marBottom w:val="0"/>
                  <w:divBdr>
                    <w:top w:val="none" w:sz="0" w:space="0" w:color="auto"/>
                    <w:left w:val="none" w:sz="0" w:space="0" w:color="auto"/>
                    <w:bottom w:val="none" w:sz="0" w:space="0" w:color="auto"/>
                    <w:right w:val="none" w:sz="0" w:space="0" w:color="auto"/>
                  </w:divBdr>
                  <w:divsChild>
                    <w:div w:id="1639457774">
                      <w:marLeft w:val="0"/>
                      <w:marRight w:val="0"/>
                      <w:marTop w:val="0"/>
                      <w:marBottom w:val="0"/>
                      <w:divBdr>
                        <w:top w:val="none" w:sz="0" w:space="0" w:color="auto"/>
                        <w:left w:val="none" w:sz="0" w:space="0" w:color="auto"/>
                        <w:bottom w:val="none" w:sz="0" w:space="0" w:color="auto"/>
                        <w:right w:val="none" w:sz="0" w:space="0" w:color="auto"/>
                      </w:divBdr>
                    </w:div>
                  </w:divsChild>
                </w:div>
                <w:div w:id="2106027680">
                  <w:marLeft w:val="0"/>
                  <w:marRight w:val="0"/>
                  <w:marTop w:val="0"/>
                  <w:marBottom w:val="0"/>
                  <w:divBdr>
                    <w:top w:val="none" w:sz="0" w:space="0" w:color="auto"/>
                    <w:left w:val="none" w:sz="0" w:space="0" w:color="auto"/>
                    <w:bottom w:val="none" w:sz="0" w:space="0" w:color="auto"/>
                    <w:right w:val="none" w:sz="0" w:space="0" w:color="auto"/>
                  </w:divBdr>
                  <w:divsChild>
                    <w:div w:id="845678853">
                      <w:marLeft w:val="0"/>
                      <w:marRight w:val="0"/>
                      <w:marTop w:val="0"/>
                      <w:marBottom w:val="0"/>
                      <w:divBdr>
                        <w:top w:val="none" w:sz="0" w:space="0" w:color="auto"/>
                        <w:left w:val="none" w:sz="0" w:space="0" w:color="auto"/>
                        <w:bottom w:val="none" w:sz="0" w:space="0" w:color="auto"/>
                        <w:right w:val="none" w:sz="0" w:space="0" w:color="auto"/>
                      </w:divBdr>
                    </w:div>
                  </w:divsChild>
                </w:div>
                <w:div w:id="2106490326">
                  <w:marLeft w:val="0"/>
                  <w:marRight w:val="0"/>
                  <w:marTop w:val="0"/>
                  <w:marBottom w:val="0"/>
                  <w:divBdr>
                    <w:top w:val="none" w:sz="0" w:space="0" w:color="auto"/>
                    <w:left w:val="none" w:sz="0" w:space="0" w:color="auto"/>
                    <w:bottom w:val="none" w:sz="0" w:space="0" w:color="auto"/>
                    <w:right w:val="none" w:sz="0" w:space="0" w:color="auto"/>
                  </w:divBdr>
                  <w:divsChild>
                    <w:div w:id="1355810596">
                      <w:marLeft w:val="0"/>
                      <w:marRight w:val="0"/>
                      <w:marTop w:val="0"/>
                      <w:marBottom w:val="0"/>
                      <w:divBdr>
                        <w:top w:val="none" w:sz="0" w:space="0" w:color="auto"/>
                        <w:left w:val="none" w:sz="0" w:space="0" w:color="auto"/>
                        <w:bottom w:val="none" w:sz="0" w:space="0" w:color="auto"/>
                        <w:right w:val="none" w:sz="0" w:space="0" w:color="auto"/>
                      </w:divBdr>
                    </w:div>
                  </w:divsChild>
                </w:div>
                <w:div w:id="2108766446">
                  <w:marLeft w:val="0"/>
                  <w:marRight w:val="0"/>
                  <w:marTop w:val="0"/>
                  <w:marBottom w:val="0"/>
                  <w:divBdr>
                    <w:top w:val="none" w:sz="0" w:space="0" w:color="auto"/>
                    <w:left w:val="none" w:sz="0" w:space="0" w:color="auto"/>
                    <w:bottom w:val="none" w:sz="0" w:space="0" w:color="auto"/>
                    <w:right w:val="none" w:sz="0" w:space="0" w:color="auto"/>
                  </w:divBdr>
                  <w:divsChild>
                    <w:div w:id="2039819080">
                      <w:marLeft w:val="0"/>
                      <w:marRight w:val="0"/>
                      <w:marTop w:val="0"/>
                      <w:marBottom w:val="0"/>
                      <w:divBdr>
                        <w:top w:val="none" w:sz="0" w:space="0" w:color="auto"/>
                        <w:left w:val="none" w:sz="0" w:space="0" w:color="auto"/>
                        <w:bottom w:val="none" w:sz="0" w:space="0" w:color="auto"/>
                        <w:right w:val="none" w:sz="0" w:space="0" w:color="auto"/>
                      </w:divBdr>
                    </w:div>
                  </w:divsChild>
                </w:div>
                <w:div w:id="2110927012">
                  <w:marLeft w:val="0"/>
                  <w:marRight w:val="0"/>
                  <w:marTop w:val="0"/>
                  <w:marBottom w:val="0"/>
                  <w:divBdr>
                    <w:top w:val="none" w:sz="0" w:space="0" w:color="auto"/>
                    <w:left w:val="none" w:sz="0" w:space="0" w:color="auto"/>
                    <w:bottom w:val="none" w:sz="0" w:space="0" w:color="auto"/>
                    <w:right w:val="none" w:sz="0" w:space="0" w:color="auto"/>
                  </w:divBdr>
                  <w:divsChild>
                    <w:div w:id="923412473">
                      <w:marLeft w:val="0"/>
                      <w:marRight w:val="0"/>
                      <w:marTop w:val="0"/>
                      <w:marBottom w:val="0"/>
                      <w:divBdr>
                        <w:top w:val="none" w:sz="0" w:space="0" w:color="auto"/>
                        <w:left w:val="none" w:sz="0" w:space="0" w:color="auto"/>
                        <w:bottom w:val="none" w:sz="0" w:space="0" w:color="auto"/>
                        <w:right w:val="none" w:sz="0" w:space="0" w:color="auto"/>
                      </w:divBdr>
                    </w:div>
                  </w:divsChild>
                </w:div>
                <w:div w:id="2111659815">
                  <w:marLeft w:val="0"/>
                  <w:marRight w:val="0"/>
                  <w:marTop w:val="0"/>
                  <w:marBottom w:val="0"/>
                  <w:divBdr>
                    <w:top w:val="none" w:sz="0" w:space="0" w:color="auto"/>
                    <w:left w:val="none" w:sz="0" w:space="0" w:color="auto"/>
                    <w:bottom w:val="none" w:sz="0" w:space="0" w:color="auto"/>
                    <w:right w:val="none" w:sz="0" w:space="0" w:color="auto"/>
                  </w:divBdr>
                  <w:divsChild>
                    <w:div w:id="1162745314">
                      <w:marLeft w:val="0"/>
                      <w:marRight w:val="0"/>
                      <w:marTop w:val="0"/>
                      <w:marBottom w:val="0"/>
                      <w:divBdr>
                        <w:top w:val="none" w:sz="0" w:space="0" w:color="auto"/>
                        <w:left w:val="none" w:sz="0" w:space="0" w:color="auto"/>
                        <w:bottom w:val="none" w:sz="0" w:space="0" w:color="auto"/>
                        <w:right w:val="none" w:sz="0" w:space="0" w:color="auto"/>
                      </w:divBdr>
                    </w:div>
                  </w:divsChild>
                </w:div>
                <w:div w:id="2123187513">
                  <w:marLeft w:val="0"/>
                  <w:marRight w:val="0"/>
                  <w:marTop w:val="0"/>
                  <w:marBottom w:val="0"/>
                  <w:divBdr>
                    <w:top w:val="none" w:sz="0" w:space="0" w:color="auto"/>
                    <w:left w:val="none" w:sz="0" w:space="0" w:color="auto"/>
                    <w:bottom w:val="none" w:sz="0" w:space="0" w:color="auto"/>
                    <w:right w:val="none" w:sz="0" w:space="0" w:color="auto"/>
                  </w:divBdr>
                  <w:divsChild>
                    <w:div w:id="652219623">
                      <w:marLeft w:val="0"/>
                      <w:marRight w:val="0"/>
                      <w:marTop w:val="0"/>
                      <w:marBottom w:val="0"/>
                      <w:divBdr>
                        <w:top w:val="none" w:sz="0" w:space="0" w:color="auto"/>
                        <w:left w:val="none" w:sz="0" w:space="0" w:color="auto"/>
                        <w:bottom w:val="none" w:sz="0" w:space="0" w:color="auto"/>
                        <w:right w:val="none" w:sz="0" w:space="0" w:color="auto"/>
                      </w:divBdr>
                    </w:div>
                  </w:divsChild>
                </w:div>
                <w:div w:id="2125415251">
                  <w:marLeft w:val="0"/>
                  <w:marRight w:val="0"/>
                  <w:marTop w:val="0"/>
                  <w:marBottom w:val="0"/>
                  <w:divBdr>
                    <w:top w:val="none" w:sz="0" w:space="0" w:color="auto"/>
                    <w:left w:val="none" w:sz="0" w:space="0" w:color="auto"/>
                    <w:bottom w:val="none" w:sz="0" w:space="0" w:color="auto"/>
                    <w:right w:val="none" w:sz="0" w:space="0" w:color="auto"/>
                  </w:divBdr>
                  <w:divsChild>
                    <w:div w:id="653218315">
                      <w:marLeft w:val="0"/>
                      <w:marRight w:val="0"/>
                      <w:marTop w:val="0"/>
                      <w:marBottom w:val="0"/>
                      <w:divBdr>
                        <w:top w:val="none" w:sz="0" w:space="0" w:color="auto"/>
                        <w:left w:val="none" w:sz="0" w:space="0" w:color="auto"/>
                        <w:bottom w:val="none" w:sz="0" w:space="0" w:color="auto"/>
                        <w:right w:val="none" w:sz="0" w:space="0" w:color="auto"/>
                      </w:divBdr>
                    </w:div>
                  </w:divsChild>
                </w:div>
                <w:div w:id="2133556252">
                  <w:marLeft w:val="0"/>
                  <w:marRight w:val="0"/>
                  <w:marTop w:val="0"/>
                  <w:marBottom w:val="0"/>
                  <w:divBdr>
                    <w:top w:val="none" w:sz="0" w:space="0" w:color="auto"/>
                    <w:left w:val="none" w:sz="0" w:space="0" w:color="auto"/>
                    <w:bottom w:val="none" w:sz="0" w:space="0" w:color="auto"/>
                    <w:right w:val="none" w:sz="0" w:space="0" w:color="auto"/>
                  </w:divBdr>
                  <w:divsChild>
                    <w:div w:id="1300769318">
                      <w:marLeft w:val="0"/>
                      <w:marRight w:val="0"/>
                      <w:marTop w:val="0"/>
                      <w:marBottom w:val="0"/>
                      <w:divBdr>
                        <w:top w:val="none" w:sz="0" w:space="0" w:color="auto"/>
                        <w:left w:val="none" w:sz="0" w:space="0" w:color="auto"/>
                        <w:bottom w:val="none" w:sz="0" w:space="0" w:color="auto"/>
                        <w:right w:val="none" w:sz="0" w:space="0" w:color="auto"/>
                      </w:divBdr>
                    </w:div>
                  </w:divsChild>
                </w:div>
                <w:div w:id="2133862123">
                  <w:marLeft w:val="0"/>
                  <w:marRight w:val="0"/>
                  <w:marTop w:val="0"/>
                  <w:marBottom w:val="0"/>
                  <w:divBdr>
                    <w:top w:val="none" w:sz="0" w:space="0" w:color="auto"/>
                    <w:left w:val="none" w:sz="0" w:space="0" w:color="auto"/>
                    <w:bottom w:val="none" w:sz="0" w:space="0" w:color="auto"/>
                    <w:right w:val="none" w:sz="0" w:space="0" w:color="auto"/>
                  </w:divBdr>
                  <w:divsChild>
                    <w:div w:id="159856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84975">
      <w:bodyDiv w:val="1"/>
      <w:marLeft w:val="0"/>
      <w:marRight w:val="0"/>
      <w:marTop w:val="0"/>
      <w:marBottom w:val="0"/>
      <w:divBdr>
        <w:top w:val="none" w:sz="0" w:space="0" w:color="auto"/>
        <w:left w:val="none" w:sz="0" w:space="0" w:color="auto"/>
        <w:bottom w:val="none" w:sz="0" w:space="0" w:color="auto"/>
        <w:right w:val="none" w:sz="0" w:space="0" w:color="auto"/>
      </w:divBdr>
    </w:div>
    <w:div w:id="129787912">
      <w:bodyDiv w:val="1"/>
      <w:marLeft w:val="0"/>
      <w:marRight w:val="0"/>
      <w:marTop w:val="0"/>
      <w:marBottom w:val="0"/>
      <w:divBdr>
        <w:top w:val="none" w:sz="0" w:space="0" w:color="auto"/>
        <w:left w:val="none" w:sz="0" w:space="0" w:color="auto"/>
        <w:bottom w:val="none" w:sz="0" w:space="0" w:color="auto"/>
        <w:right w:val="none" w:sz="0" w:space="0" w:color="auto"/>
      </w:divBdr>
    </w:div>
    <w:div w:id="134757007">
      <w:bodyDiv w:val="1"/>
      <w:marLeft w:val="0"/>
      <w:marRight w:val="0"/>
      <w:marTop w:val="0"/>
      <w:marBottom w:val="0"/>
      <w:divBdr>
        <w:top w:val="none" w:sz="0" w:space="0" w:color="auto"/>
        <w:left w:val="none" w:sz="0" w:space="0" w:color="auto"/>
        <w:bottom w:val="none" w:sz="0" w:space="0" w:color="auto"/>
        <w:right w:val="none" w:sz="0" w:space="0" w:color="auto"/>
      </w:divBdr>
    </w:div>
    <w:div w:id="150828172">
      <w:bodyDiv w:val="1"/>
      <w:marLeft w:val="0"/>
      <w:marRight w:val="0"/>
      <w:marTop w:val="0"/>
      <w:marBottom w:val="0"/>
      <w:divBdr>
        <w:top w:val="none" w:sz="0" w:space="0" w:color="auto"/>
        <w:left w:val="none" w:sz="0" w:space="0" w:color="auto"/>
        <w:bottom w:val="none" w:sz="0" w:space="0" w:color="auto"/>
        <w:right w:val="none" w:sz="0" w:space="0" w:color="auto"/>
      </w:divBdr>
    </w:div>
    <w:div w:id="151798074">
      <w:bodyDiv w:val="1"/>
      <w:marLeft w:val="0"/>
      <w:marRight w:val="0"/>
      <w:marTop w:val="0"/>
      <w:marBottom w:val="0"/>
      <w:divBdr>
        <w:top w:val="none" w:sz="0" w:space="0" w:color="auto"/>
        <w:left w:val="none" w:sz="0" w:space="0" w:color="auto"/>
        <w:bottom w:val="none" w:sz="0" w:space="0" w:color="auto"/>
        <w:right w:val="none" w:sz="0" w:space="0" w:color="auto"/>
      </w:divBdr>
    </w:div>
    <w:div w:id="174076699">
      <w:bodyDiv w:val="1"/>
      <w:marLeft w:val="0"/>
      <w:marRight w:val="0"/>
      <w:marTop w:val="0"/>
      <w:marBottom w:val="0"/>
      <w:divBdr>
        <w:top w:val="none" w:sz="0" w:space="0" w:color="auto"/>
        <w:left w:val="none" w:sz="0" w:space="0" w:color="auto"/>
        <w:bottom w:val="none" w:sz="0" w:space="0" w:color="auto"/>
        <w:right w:val="none" w:sz="0" w:space="0" w:color="auto"/>
      </w:divBdr>
    </w:div>
    <w:div w:id="177737901">
      <w:bodyDiv w:val="1"/>
      <w:marLeft w:val="0"/>
      <w:marRight w:val="0"/>
      <w:marTop w:val="0"/>
      <w:marBottom w:val="0"/>
      <w:divBdr>
        <w:top w:val="none" w:sz="0" w:space="0" w:color="auto"/>
        <w:left w:val="none" w:sz="0" w:space="0" w:color="auto"/>
        <w:bottom w:val="none" w:sz="0" w:space="0" w:color="auto"/>
        <w:right w:val="none" w:sz="0" w:space="0" w:color="auto"/>
      </w:divBdr>
      <w:divsChild>
        <w:div w:id="886644101">
          <w:marLeft w:val="547"/>
          <w:marRight w:val="0"/>
          <w:marTop w:val="0"/>
          <w:marBottom w:val="0"/>
          <w:divBdr>
            <w:top w:val="none" w:sz="0" w:space="0" w:color="auto"/>
            <w:left w:val="none" w:sz="0" w:space="0" w:color="auto"/>
            <w:bottom w:val="none" w:sz="0" w:space="0" w:color="auto"/>
            <w:right w:val="none" w:sz="0" w:space="0" w:color="auto"/>
          </w:divBdr>
        </w:div>
        <w:div w:id="1412969159">
          <w:marLeft w:val="547"/>
          <w:marRight w:val="0"/>
          <w:marTop w:val="0"/>
          <w:marBottom w:val="0"/>
          <w:divBdr>
            <w:top w:val="none" w:sz="0" w:space="0" w:color="auto"/>
            <w:left w:val="none" w:sz="0" w:space="0" w:color="auto"/>
            <w:bottom w:val="none" w:sz="0" w:space="0" w:color="auto"/>
            <w:right w:val="none" w:sz="0" w:space="0" w:color="auto"/>
          </w:divBdr>
        </w:div>
        <w:div w:id="1415736725">
          <w:marLeft w:val="547"/>
          <w:marRight w:val="0"/>
          <w:marTop w:val="0"/>
          <w:marBottom w:val="0"/>
          <w:divBdr>
            <w:top w:val="none" w:sz="0" w:space="0" w:color="auto"/>
            <w:left w:val="none" w:sz="0" w:space="0" w:color="auto"/>
            <w:bottom w:val="none" w:sz="0" w:space="0" w:color="auto"/>
            <w:right w:val="none" w:sz="0" w:space="0" w:color="auto"/>
          </w:divBdr>
        </w:div>
      </w:divsChild>
    </w:div>
    <w:div w:id="184951447">
      <w:bodyDiv w:val="1"/>
      <w:marLeft w:val="0"/>
      <w:marRight w:val="0"/>
      <w:marTop w:val="0"/>
      <w:marBottom w:val="0"/>
      <w:divBdr>
        <w:top w:val="none" w:sz="0" w:space="0" w:color="auto"/>
        <w:left w:val="none" w:sz="0" w:space="0" w:color="auto"/>
        <w:bottom w:val="none" w:sz="0" w:space="0" w:color="auto"/>
        <w:right w:val="none" w:sz="0" w:space="0" w:color="auto"/>
      </w:divBdr>
    </w:div>
    <w:div w:id="186069578">
      <w:bodyDiv w:val="1"/>
      <w:marLeft w:val="0"/>
      <w:marRight w:val="0"/>
      <w:marTop w:val="0"/>
      <w:marBottom w:val="0"/>
      <w:divBdr>
        <w:top w:val="none" w:sz="0" w:space="0" w:color="auto"/>
        <w:left w:val="none" w:sz="0" w:space="0" w:color="auto"/>
        <w:bottom w:val="none" w:sz="0" w:space="0" w:color="auto"/>
        <w:right w:val="none" w:sz="0" w:space="0" w:color="auto"/>
      </w:divBdr>
    </w:div>
    <w:div w:id="191111562">
      <w:bodyDiv w:val="1"/>
      <w:marLeft w:val="0"/>
      <w:marRight w:val="0"/>
      <w:marTop w:val="0"/>
      <w:marBottom w:val="0"/>
      <w:divBdr>
        <w:top w:val="none" w:sz="0" w:space="0" w:color="auto"/>
        <w:left w:val="none" w:sz="0" w:space="0" w:color="auto"/>
        <w:bottom w:val="none" w:sz="0" w:space="0" w:color="auto"/>
        <w:right w:val="none" w:sz="0" w:space="0" w:color="auto"/>
      </w:divBdr>
      <w:divsChild>
        <w:div w:id="1121922787">
          <w:marLeft w:val="0"/>
          <w:marRight w:val="0"/>
          <w:marTop w:val="0"/>
          <w:marBottom w:val="0"/>
          <w:divBdr>
            <w:top w:val="none" w:sz="0" w:space="0" w:color="auto"/>
            <w:left w:val="none" w:sz="0" w:space="0" w:color="auto"/>
            <w:bottom w:val="none" w:sz="0" w:space="0" w:color="auto"/>
            <w:right w:val="none" w:sz="0" w:space="0" w:color="auto"/>
          </w:divBdr>
        </w:div>
        <w:div w:id="1662463851">
          <w:marLeft w:val="0"/>
          <w:marRight w:val="0"/>
          <w:marTop w:val="0"/>
          <w:marBottom w:val="0"/>
          <w:divBdr>
            <w:top w:val="none" w:sz="0" w:space="0" w:color="auto"/>
            <w:left w:val="none" w:sz="0" w:space="0" w:color="auto"/>
            <w:bottom w:val="none" w:sz="0" w:space="0" w:color="auto"/>
            <w:right w:val="none" w:sz="0" w:space="0" w:color="auto"/>
          </w:divBdr>
        </w:div>
        <w:div w:id="2129280548">
          <w:marLeft w:val="0"/>
          <w:marRight w:val="0"/>
          <w:marTop w:val="0"/>
          <w:marBottom w:val="0"/>
          <w:divBdr>
            <w:top w:val="none" w:sz="0" w:space="0" w:color="auto"/>
            <w:left w:val="none" w:sz="0" w:space="0" w:color="auto"/>
            <w:bottom w:val="none" w:sz="0" w:space="0" w:color="auto"/>
            <w:right w:val="none" w:sz="0" w:space="0" w:color="auto"/>
          </w:divBdr>
          <w:divsChild>
            <w:div w:id="7175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3060">
      <w:bodyDiv w:val="1"/>
      <w:marLeft w:val="0"/>
      <w:marRight w:val="0"/>
      <w:marTop w:val="0"/>
      <w:marBottom w:val="0"/>
      <w:divBdr>
        <w:top w:val="none" w:sz="0" w:space="0" w:color="auto"/>
        <w:left w:val="none" w:sz="0" w:space="0" w:color="auto"/>
        <w:bottom w:val="none" w:sz="0" w:space="0" w:color="auto"/>
        <w:right w:val="none" w:sz="0" w:space="0" w:color="auto"/>
      </w:divBdr>
    </w:div>
    <w:div w:id="210583370">
      <w:bodyDiv w:val="1"/>
      <w:marLeft w:val="0"/>
      <w:marRight w:val="0"/>
      <w:marTop w:val="0"/>
      <w:marBottom w:val="0"/>
      <w:divBdr>
        <w:top w:val="none" w:sz="0" w:space="0" w:color="auto"/>
        <w:left w:val="none" w:sz="0" w:space="0" w:color="auto"/>
        <w:bottom w:val="none" w:sz="0" w:space="0" w:color="auto"/>
        <w:right w:val="none" w:sz="0" w:space="0" w:color="auto"/>
      </w:divBdr>
    </w:div>
    <w:div w:id="212085287">
      <w:bodyDiv w:val="1"/>
      <w:marLeft w:val="0"/>
      <w:marRight w:val="0"/>
      <w:marTop w:val="0"/>
      <w:marBottom w:val="0"/>
      <w:divBdr>
        <w:top w:val="none" w:sz="0" w:space="0" w:color="auto"/>
        <w:left w:val="none" w:sz="0" w:space="0" w:color="auto"/>
        <w:bottom w:val="none" w:sz="0" w:space="0" w:color="auto"/>
        <w:right w:val="none" w:sz="0" w:space="0" w:color="auto"/>
      </w:divBdr>
    </w:div>
    <w:div w:id="213583229">
      <w:bodyDiv w:val="1"/>
      <w:marLeft w:val="0"/>
      <w:marRight w:val="0"/>
      <w:marTop w:val="0"/>
      <w:marBottom w:val="0"/>
      <w:divBdr>
        <w:top w:val="none" w:sz="0" w:space="0" w:color="auto"/>
        <w:left w:val="none" w:sz="0" w:space="0" w:color="auto"/>
        <w:bottom w:val="none" w:sz="0" w:space="0" w:color="auto"/>
        <w:right w:val="none" w:sz="0" w:space="0" w:color="auto"/>
      </w:divBdr>
    </w:div>
    <w:div w:id="220992371">
      <w:bodyDiv w:val="1"/>
      <w:marLeft w:val="0"/>
      <w:marRight w:val="0"/>
      <w:marTop w:val="0"/>
      <w:marBottom w:val="0"/>
      <w:divBdr>
        <w:top w:val="none" w:sz="0" w:space="0" w:color="auto"/>
        <w:left w:val="none" w:sz="0" w:space="0" w:color="auto"/>
        <w:bottom w:val="none" w:sz="0" w:space="0" w:color="auto"/>
        <w:right w:val="none" w:sz="0" w:space="0" w:color="auto"/>
      </w:divBdr>
    </w:div>
    <w:div w:id="227619871">
      <w:bodyDiv w:val="1"/>
      <w:marLeft w:val="0"/>
      <w:marRight w:val="0"/>
      <w:marTop w:val="0"/>
      <w:marBottom w:val="0"/>
      <w:divBdr>
        <w:top w:val="none" w:sz="0" w:space="0" w:color="auto"/>
        <w:left w:val="none" w:sz="0" w:space="0" w:color="auto"/>
        <w:bottom w:val="none" w:sz="0" w:space="0" w:color="auto"/>
        <w:right w:val="none" w:sz="0" w:space="0" w:color="auto"/>
      </w:divBdr>
    </w:div>
    <w:div w:id="243951068">
      <w:bodyDiv w:val="1"/>
      <w:marLeft w:val="0"/>
      <w:marRight w:val="0"/>
      <w:marTop w:val="0"/>
      <w:marBottom w:val="0"/>
      <w:divBdr>
        <w:top w:val="none" w:sz="0" w:space="0" w:color="auto"/>
        <w:left w:val="none" w:sz="0" w:space="0" w:color="auto"/>
        <w:bottom w:val="none" w:sz="0" w:space="0" w:color="auto"/>
        <w:right w:val="none" w:sz="0" w:space="0" w:color="auto"/>
      </w:divBdr>
    </w:div>
    <w:div w:id="248587353">
      <w:bodyDiv w:val="1"/>
      <w:marLeft w:val="0"/>
      <w:marRight w:val="0"/>
      <w:marTop w:val="0"/>
      <w:marBottom w:val="0"/>
      <w:divBdr>
        <w:top w:val="none" w:sz="0" w:space="0" w:color="auto"/>
        <w:left w:val="none" w:sz="0" w:space="0" w:color="auto"/>
        <w:bottom w:val="none" w:sz="0" w:space="0" w:color="auto"/>
        <w:right w:val="none" w:sz="0" w:space="0" w:color="auto"/>
      </w:divBdr>
    </w:div>
    <w:div w:id="248782491">
      <w:bodyDiv w:val="1"/>
      <w:marLeft w:val="0"/>
      <w:marRight w:val="0"/>
      <w:marTop w:val="0"/>
      <w:marBottom w:val="0"/>
      <w:divBdr>
        <w:top w:val="none" w:sz="0" w:space="0" w:color="auto"/>
        <w:left w:val="none" w:sz="0" w:space="0" w:color="auto"/>
        <w:bottom w:val="none" w:sz="0" w:space="0" w:color="auto"/>
        <w:right w:val="none" w:sz="0" w:space="0" w:color="auto"/>
      </w:divBdr>
    </w:div>
    <w:div w:id="271322158">
      <w:bodyDiv w:val="1"/>
      <w:marLeft w:val="0"/>
      <w:marRight w:val="0"/>
      <w:marTop w:val="0"/>
      <w:marBottom w:val="0"/>
      <w:divBdr>
        <w:top w:val="none" w:sz="0" w:space="0" w:color="auto"/>
        <w:left w:val="none" w:sz="0" w:space="0" w:color="auto"/>
        <w:bottom w:val="none" w:sz="0" w:space="0" w:color="auto"/>
        <w:right w:val="none" w:sz="0" w:space="0" w:color="auto"/>
      </w:divBdr>
      <w:divsChild>
        <w:div w:id="149639807">
          <w:marLeft w:val="0"/>
          <w:marRight w:val="0"/>
          <w:marTop w:val="0"/>
          <w:marBottom w:val="0"/>
          <w:divBdr>
            <w:top w:val="none" w:sz="0" w:space="0" w:color="auto"/>
            <w:left w:val="none" w:sz="0" w:space="0" w:color="auto"/>
            <w:bottom w:val="none" w:sz="0" w:space="0" w:color="auto"/>
            <w:right w:val="none" w:sz="0" w:space="0" w:color="auto"/>
          </w:divBdr>
          <w:divsChild>
            <w:div w:id="294869592">
              <w:marLeft w:val="0"/>
              <w:marRight w:val="0"/>
              <w:marTop w:val="0"/>
              <w:marBottom w:val="0"/>
              <w:divBdr>
                <w:top w:val="none" w:sz="0" w:space="0" w:color="auto"/>
                <w:left w:val="none" w:sz="0" w:space="0" w:color="auto"/>
                <w:bottom w:val="none" w:sz="0" w:space="0" w:color="auto"/>
                <w:right w:val="none" w:sz="0" w:space="0" w:color="auto"/>
              </w:divBdr>
            </w:div>
          </w:divsChild>
        </w:div>
        <w:div w:id="153959525">
          <w:marLeft w:val="0"/>
          <w:marRight w:val="0"/>
          <w:marTop w:val="0"/>
          <w:marBottom w:val="0"/>
          <w:divBdr>
            <w:top w:val="none" w:sz="0" w:space="0" w:color="auto"/>
            <w:left w:val="none" w:sz="0" w:space="0" w:color="auto"/>
            <w:bottom w:val="none" w:sz="0" w:space="0" w:color="auto"/>
            <w:right w:val="none" w:sz="0" w:space="0" w:color="auto"/>
          </w:divBdr>
          <w:divsChild>
            <w:div w:id="1230507002">
              <w:marLeft w:val="0"/>
              <w:marRight w:val="0"/>
              <w:marTop w:val="0"/>
              <w:marBottom w:val="0"/>
              <w:divBdr>
                <w:top w:val="none" w:sz="0" w:space="0" w:color="auto"/>
                <w:left w:val="none" w:sz="0" w:space="0" w:color="auto"/>
                <w:bottom w:val="none" w:sz="0" w:space="0" w:color="auto"/>
                <w:right w:val="none" w:sz="0" w:space="0" w:color="auto"/>
              </w:divBdr>
            </w:div>
          </w:divsChild>
        </w:div>
        <w:div w:id="236091921">
          <w:marLeft w:val="0"/>
          <w:marRight w:val="0"/>
          <w:marTop w:val="0"/>
          <w:marBottom w:val="0"/>
          <w:divBdr>
            <w:top w:val="none" w:sz="0" w:space="0" w:color="auto"/>
            <w:left w:val="none" w:sz="0" w:space="0" w:color="auto"/>
            <w:bottom w:val="none" w:sz="0" w:space="0" w:color="auto"/>
            <w:right w:val="none" w:sz="0" w:space="0" w:color="auto"/>
          </w:divBdr>
          <w:divsChild>
            <w:div w:id="1221206722">
              <w:marLeft w:val="0"/>
              <w:marRight w:val="0"/>
              <w:marTop w:val="0"/>
              <w:marBottom w:val="0"/>
              <w:divBdr>
                <w:top w:val="none" w:sz="0" w:space="0" w:color="auto"/>
                <w:left w:val="none" w:sz="0" w:space="0" w:color="auto"/>
                <w:bottom w:val="none" w:sz="0" w:space="0" w:color="auto"/>
                <w:right w:val="none" w:sz="0" w:space="0" w:color="auto"/>
              </w:divBdr>
            </w:div>
          </w:divsChild>
        </w:div>
        <w:div w:id="247273856">
          <w:marLeft w:val="0"/>
          <w:marRight w:val="0"/>
          <w:marTop w:val="0"/>
          <w:marBottom w:val="0"/>
          <w:divBdr>
            <w:top w:val="none" w:sz="0" w:space="0" w:color="auto"/>
            <w:left w:val="none" w:sz="0" w:space="0" w:color="auto"/>
            <w:bottom w:val="none" w:sz="0" w:space="0" w:color="auto"/>
            <w:right w:val="none" w:sz="0" w:space="0" w:color="auto"/>
          </w:divBdr>
          <w:divsChild>
            <w:div w:id="1952857056">
              <w:marLeft w:val="0"/>
              <w:marRight w:val="0"/>
              <w:marTop w:val="0"/>
              <w:marBottom w:val="0"/>
              <w:divBdr>
                <w:top w:val="none" w:sz="0" w:space="0" w:color="auto"/>
                <w:left w:val="none" w:sz="0" w:space="0" w:color="auto"/>
                <w:bottom w:val="none" w:sz="0" w:space="0" w:color="auto"/>
                <w:right w:val="none" w:sz="0" w:space="0" w:color="auto"/>
              </w:divBdr>
            </w:div>
          </w:divsChild>
        </w:div>
        <w:div w:id="262149513">
          <w:marLeft w:val="0"/>
          <w:marRight w:val="0"/>
          <w:marTop w:val="0"/>
          <w:marBottom w:val="0"/>
          <w:divBdr>
            <w:top w:val="none" w:sz="0" w:space="0" w:color="auto"/>
            <w:left w:val="none" w:sz="0" w:space="0" w:color="auto"/>
            <w:bottom w:val="none" w:sz="0" w:space="0" w:color="auto"/>
            <w:right w:val="none" w:sz="0" w:space="0" w:color="auto"/>
          </w:divBdr>
          <w:divsChild>
            <w:div w:id="1994139427">
              <w:marLeft w:val="0"/>
              <w:marRight w:val="0"/>
              <w:marTop w:val="0"/>
              <w:marBottom w:val="0"/>
              <w:divBdr>
                <w:top w:val="none" w:sz="0" w:space="0" w:color="auto"/>
                <w:left w:val="none" w:sz="0" w:space="0" w:color="auto"/>
                <w:bottom w:val="none" w:sz="0" w:space="0" w:color="auto"/>
                <w:right w:val="none" w:sz="0" w:space="0" w:color="auto"/>
              </w:divBdr>
            </w:div>
          </w:divsChild>
        </w:div>
        <w:div w:id="305086180">
          <w:marLeft w:val="0"/>
          <w:marRight w:val="0"/>
          <w:marTop w:val="0"/>
          <w:marBottom w:val="0"/>
          <w:divBdr>
            <w:top w:val="none" w:sz="0" w:space="0" w:color="auto"/>
            <w:left w:val="none" w:sz="0" w:space="0" w:color="auto"/>
            <w:bottom w:val="none" w:sz="0" w:space="0" w:color="auto"/>
            <w:right w:val="none" w:sz="0" w:space="0" w:color="auto"/>
          </w:divBdr>
          <w:divsChild>
            <w:div w:id="1656034930">
              <w:marLeft w:val="0"/>
              <w:marRight w:val="0"/>
              <w:marTop w:val="0"/>
              <w:marBottom w:val="0"/>
              <w:divBdr>
                <w:top w:val="none" w:sz="0" w:space="0" w:color="auto"/>
                <w:left w:val="none" w:sz="0" w:space="0" w:color="auto"/>
                <w:bottom w:val="none" w:sz="0" w:space="0" w:color="auto"/>
                <w:right w:val="none" w:sz="0" w:space="0" w:color="auto"/>
              </w:divBdr>
            </w:div>
          </w:divsChild>
        </w:div>
        <w:div w:id="317616076">
          <w:marLeft w:val="0"/>
          <w:marRight w:val="0"/>
          <w:marTop w:val="0"/>
          <w:marBottom w:val="0"/>
          <w:divBdr>
            <w:top w:val="none" w:sz="0" w:space="0" w:color="auto"/>
            <w:left w:val="none" w:sz="0" w:space="0" w:color="auto"/>
            <w:bottom w:val="none" w:sz="0" w:space="0" w:color="auto"/>
            <w:right w:val="none" w:sz="0" w:space="0" w:color="auto"/>
          </w:divBdr>
          <w:divsChild>
            <w:div w:id="1985968217">
              <w:marLeft w:val="0"/>
              <w:marRight w:val="0"/>
              <w:marTop w:val="0"/>
              <w:marBottom w:val="0"/>
              <w:divBdr>
                <w:top w:val="none" w:sz="0" w:space="0" w:color="auto"/>
                <w:left w:val="none" w:sz="0" w:space="0" w:color="auto"/>
                <w:bottom w:val="none" w:sz="0" w:space="0" w:color="auto"/>
                <w:right w:val="none" w:sz="0" w:space="0" w:color="auto"/>
              </w:divBdr>
            </w:div>
          </w:divsChild>
        </w:div>
        <w:div w:id="403113426">
          <w:marLeft w:val="0"/>
          <w:marRight w:val="0"/>
          <w:marTop w:val="0"/>
          <w:marBottom w:val="0"/>
          <w:divBdr>
            <w:top w:val="none" w:sz="0" w:space="0" w:color="auto"/>
            <w:left w:val="none" w:sz="0" w:space="0" w:color="auto"/>
            <w:bottom w:val="none" w:sz="0" w:space="0" w:color="auto"/>
            <w:right w:val="none" w:sz="0" w:space="0" w:color="auto"/>
          </w:divBdr>
          <w:divsChild>
            <w:div w:id="1505894563">
              <w:marLeft w:val="0"/>
              <w:marRight w:val="0"/>
              <w:marTop w:val="0"/>
              <w:marBottom w:val="0"/>
              <w:divBdr>
                <w:top w:val="none" w:sz="0" w:space="0" w:color="auto"/>
                <w:left w:val="none" w:sz="0" w:space="0" w:color="auto"/>
                <w:bottom w:val="none" w:sz="0" w:space="0" w:color="auto"/>
                <w:right w:val="none" w:sz="0" w:space="0" w:color="auto"/>
              </w:divBdr>
            </w:div>
          </w:divsChild>
        </w:div>
        <w:div w:id="412431757">
          <w:marLeft w:val="0"/>
          <w:marRight w:val="0"/>
          <w:marTop w:val="0"/>
          <w:marBottom w:val="0"/>
          <w:divBdr>
            <w:top w:val="none" w:sz="0" w:space="0" w:color="auto"/>
            <w:left w:val="none" w:sz="0" w:space="0" w:color="auto"/>
            <w:bottom w:val="none" w:sz="0" w:space="0" w:color="auto"/>
            <w:right w:val="none" w:sz="0" w:space="0" w:color="auto"/>
          </w:divBdr>
          <w:divsChild>
            <w:div w:id="2133353653">
              <w:marLeft w:val="0"/>
              <w:marRight w:val="0"/>
              <w:marTop w:val="0"/>
              <w:marBottom w:val="0"/>
              <w:divBdr>
                <w:top w:val="none" w:sz="0" w:space="0" w:color="auto"/>
                <w:left w:val="none" w:sz="0" w:space="0" w:color="auto"/>
                <w:bottom w:val="none" w:sz="0" w:space="0" w:color="auto"/>
                <w:right w:val="none" w:sz="0" w:space="0" w:color="auto"/>
              </w:divBdr>
            </w:div>
          </w:divsChild>
        </w:div>
        <w:div w:id="437867889">
          <w:marLeft w:val="0"/>
          <w:marRight w:val="0"/>
          <w:marTop w:val="0"/>
          <w:marBottom w:val="0"/>
          <w:divBdr>
            <w:top w:val="none" w:sz="0" w:space="0" w:color="auto"/>
            <w:left w:val="none" w:sz="0" w:space="0" w:color="auto"/>
            <w:bottom w:val="none" w:sz="0" w:space="0" w:color="auto"/>
            <w:right w:val="none" w:sz="0" w:space="0" w:color="auto"/>
          </w:divBdr>
          <w:divsChild>
            <w:div w:id="213781185">
              <w:marLeft w:val="0"/>
              <w:marRight w:val="0"/>
              <w:marTop w:val="0"/>
              <w:marBottom w:val="0"/>
              <w:divBdr>
                <w:top w:val="none" w:sz="0" w:space="0" w:color="auto"/>
                <w:left w:val="none" w:sz="0" w:space="0" w:color="auto"/>
                <w:bottom w:val="none" w:sz="0" w:space="0" w:color="auto"/>
                <w:right w:val="none" w:sz="0" w:space="0" w:color="auto"/>
              </w:divBdr>
            </w:div>
          </w:divsChild>
        </w:div>
        <w:div w:id="459301741">
          <w:marLeft w:val="0"/>
          <w:marRight w:val="0"/>
          <w:marTop w:val="0"/>
          <w:marBottom w:val="0"/>
          <w:divBdr>
            <w:top w:val="none" w:sz="0" w:space="0" w:color="auto"/>
            <w:left w:val="none" w:sz="0" w:space="0" w:color="auto"/>
            <w:bottom w:val="none" w:sz="0" w:space="0" w:color="auto"/>
            <w:right w:val="none" w:sz="0" w:space="0" w:color="auto"/>
          </w:divBdr>
          <w:divsChild>
            <w:div w:id="1766219333">
              <w:marLeft w:val="0"/>
              <w:marRight w:val="0"/>
              <w:marTop w:val="0"/>
              <w:marBottom w:val="0"/>
              <w:divBdr>
                <w:top w:val="none" w:sz="0" w:space="0" w:color="auto"/>
                <w:left w:val="none" w:sz="0" w:space="0" w:color="auto"/>
                <w:bottom w:val="none" w:sz="0" w:space="0" w:color="auto"/>
                <w:right w:val="none" w:sz="0" w:space="0" w:color="auto"/>
              </w:divBdr>
            </w:div>
          </w:divsChild>
        </w:div>
        <w:div w:id="459567324">
          <w:marLeft w:val="0"/>
          <w:marRight w:val="0"/>
          <w:marTop w:val="0"/>
          <w:marBottom w:val="0"/>
          <w:divBdr>
            <w:top w:val="none" w:sz="0" w:space="0" w:color="auto"/>
            <w:left w:val="none" w:sz="0" w:space="0" w:color="auto"/>
            <w:bottom w:val="none" w:sz="0" w:space="0" w:color="auto"/>
            <w:right w:val="none" w:sz="0" w:space="0" w:color="auto"/>
          </w:divBdr>
          <w:divsChild>
            <w:div w:id="2107646942">
              <w:marLeft w:val="0"/>
              <w:marRight w:val="0"/>
              <w:marTop w:val="0"/>
              <w:marBottom w:val="0"/>
              <w:divBdr>
                <w:top w:val="none" w:sz="0" w:space="0" w:color="auto"/>
                <w:left w:val="none" w:sz="0" w:space="0" w:color="auto"/>
                <w:bottom w:val="none" w:sz="0" w:space="0" w:color="auto"/>
                <w:right w:val="none" w:sz="0" w:space="0" w:color="auto"/>
              </w:divBdr>
            </w:div>
          </w:divsChild>
        </w:div>
        <w:div w:id="486554676">
          <w:marLeft w:val="0"/>
          <w:marRight w:val="0"/>
          <w:marTop w:val="0"/>
          <w:marBottom w:val="0"/>
          <w:divBdr>
            <w:top w:val="none" w:sz="0" w:space="0" w:color="auto"/>
            <w:left w:val="none" w:sz="0" w:space="0" w:color="auto"/>
            <w:bottom w:val="none" w:sz="0" w:space="0" w:color="auto"/>
            <w:right w:val="none" w:sz="0" w:space="0" w:color="auto"/>
          </w:divBdr>
          <w:divsChild>
            <w:div w:id="2074766648">
              <w:marLeft w:val="0"/>
              <w:marRight w:val="0"/>
              <w:marTop w:val="0"/>
              <w:marBottom w:val="0"/>
              <w:divBdr>
                <w:top w:val="none" w:sz="0" w:space="0" w:color="auto"/>
                <w:left w:val="none" w:sz="0" w:space="0" w:color="auto"/>
                <w:bottom w:val="none" w:sz="0" w:space="0" w:color="auto"/>
                <w:right w:val="none" w:sz="0" w:space="0" w:color="auto"/>
              </w:divBdr>
            </w:div>
          </w:divsChild>
        </w:div>
        <w:div w:id="562562121">
          <w:marLeft w:val="0"/>
          <w:marRight w:val="0"/>
          <w:marTop w:val="0"/>
          <w:marBottom w:val="0"/>
          <w:divBdr>
            <w:top w:val="none" w:sz="0" w:space="0" w:color="auto"/>
            <w:left w:val="none" w:sz="0" w:space="0" w:color="auto"/>
            <w:bottom w:val="none" w:sz="0" w:space="0" w:color="auto"/>
            <w:right w:val="none" w:sz="0" w:space="0" w:color="auto"/>
          </w:divBdr>
          <w:divsChild>
            <w:div w:id="598949550">
              <w:marLeft w:val="0"/>
              <w:marRight w:val="0"/>
              <w:marTop w:val="0"/>
              <w:marBottom w:val="0"/>
              <w:divBdr>
                <w:top w:val="none" w:sz="0" w:space="0" w:color="auto"/>
                <w:left w:val="none" w:sz="0" w:space="0" w:color="auto"/>
                <w:bottom w:val="none" w:sz="0" w:space="0" w:color="auto"/>
                <w:right w:val="none" w:sz="0" w:space="0" w:color="auto"/>
              </w:divBdr>
            </w:div>
          </w:divsChild>
        </w:div>
        <w:div w:id="657348801">
          <w:marLeft w:val="0"/>
          <w:marRight w:val="0"/>
          <w:marTop w:val="0"/>
          <w:marBottom w:val="0"/>
          <w:divBdr>
            <w:top w:val="none" w:sz="0" w:space="0" w:color="auto"/>
            <w:left w:val="none" w:sz="0" w:space="0" w:color="auto"/>
            <w:bottom w:val="none" w:sz="0" w:space="0" w:color="auto"/>
            <w:right w:val="none" w:sz="0" w:space="0" w:color="auto"/>
          </w:divBdr>
          <w:divsChild>
            <w:div w:id="1595359314">
              <w:marLeft w:val="0"/>
              <w:marRight w:val="0"/>
              <w:marTop w:val="0"/>
              <w:marBottom w:val="0"/>
              <w:divBdr>
                <w:top w:val="none" w:sz="0" w:space="0" w:color="auto"/>
                <w:left w:val="none" w:sz="0" w:space="0" w:color="auto"/>
                <w:bottom w:val="none" w:sz="0" w:space="0" w:color="auto"/>
                <w:right w:val="none" w:sz="0" w:space="0" w:color="auto"/>
              </w:divBdr>
            </w:div>
          </w:divsChild>
        </w:div>
        <w:div w:id="674066084">
          <w:marLeft w:val="0"/>
          <w:marRight w:val="0"/>
          <w:marTop w:val="0"/>
          <w:marBottom w:val="0"/>
          <w:divBdr>
            <w:top w:val="none" w:sz="0" w:space="0" w:color="auto"/>
            <w:left w:val="none" w:sz="0" w:space="0" w:color="auto"/>
            <w:bottom w:val="none" w:sz="0" w:space="0" w:color="auto"/>
            <w:right w:val="none" w:sz="0" w:space="0" w:color="auto"/>
          </w:divBdr>
          <w:divsChild>
            <w:div w:id="981544267">
              <w:marLeft w:val="0"/>
              <w:marRight w:val="0"/>
              <w:marTop w:val="0"/>
              <w:marBottom w:val="0"/>
              <w:divBdr>
                <w:top w:val="none" w:sz="0" w:space="0" w:color="auto"/>
                <w:left w:val="none" w:sz="0" w:space="0" w:color="auto"/>
                <w:bottom w:val="none" w:sz="0" w:space="0" w:color="auto"/>
                <w:right w:val="none" w:sz="0" w:space="0" w:color="auto"/>
              </w:divBdr>
            </w:div>
          </w:divsChild>
        </w:div>
        <w:div w:id="713316317">
          <w:marLeft w:val="0"/>
          <w:marRight w:val="0"/>
          <w:marTop w:val="0"/>
          <w:marBottom w:val="0"/>
          <w:divBdr>
            <w:top w:val="none" w:sz="0" w:space="0" w:color="auto"/>
            <w:left w:val="none" w:sz="0" w:space="0" w:color="auto"/>
            <w:bottom w:val="none" w:sz="0" w:space="0" w:color="auto"/>
            <w:right w:val="none" w:sz="0" w:space="0" w:color="auto"/>
          </w:divBdr>
          <w:divsChild>
            <w:div w:id="718824543">
              <w:marLeft w:val="0"/>
              <w:marRight w:val="0"/>
              <w:marTop w:val="0"/>
              <w:marBottom w:val="0"/>
              <w:divBdr>
                <w:top w:val="none" w:sz="0" w:space="0" w:color="auto"/>
                <w:left w:val="none" w:sz="0" w:space="0" w:color="auto"/>
                <w:bottom w:val="none" w:sz="0" w:space="0" w:color="auto"/>
                <w:right w:val="none" w:sz="0" w:space="0" w:color="auto"/>
              </w:divBdr>
            </w:div>
          </w:divsChild>
        </w:div>
        <w:div w:id="795374852">
          <w:marLeft w:val="0"/>
          <w:marRight w:val="0"/>
          <w:marTop w:val="0"/>
          <w:marBottom w:val="0"/>
          <w:divBdr>
            <w:top w:val="none" w:sz="0" w:space="0" w:color="auto"/>
            <w:left w:val="none" w:sz="0" w:space="0" w:color="auto"/>
            <w:bottom w:val="none" w:sz="0" w:space="0" w:color="auto"/>
            <w:right w:val="none" w:sz="0" w:space="0" w:color="auto"/>
          </w:divBdr>
          <w:divsChild>
            <w:div w:id="842669686">
              <w:marLeft w:val="0"/>
              <w:marRight w:val="0"/>
              <w:marTop w:val="0"/>
              <w:marBottom w:val="0"/>
              <w:divBdr>
                <w:top w:val="none" w:sz="0" w:space="0" w:color="auto"/>
                <w:left w:val="none" w:sz="0" w:space="0" w:color="auto"/>
                <w:bottom w:val="none" w:sz="0" w:space="0" w:color="auto"/>
                <w:right w:val="none" w:sz="0" w:space="0" w:color="auto"/>
              </w:divBdr>
            </w:div>
          </w:divsChild>
        </w:div>
        <w:div w:id="820540957">
          <w:marLeft w:val="0"/>
          <w:marRight w:val="0"/>
          <w:marTop w:val="0"/>
          <w:marBottom w:val="0"/>
          <w:divBdr>
            <w:top w:val="none" w:sz="0" w:space="0" w:color="auto"/>
            <w:left w:val="none" w:sz="0" w:space="0" w:color="auto"/>
            <w:bottom w:val="none" w:sz="0" w:space="0" w:color="auto"/>
            <w:right w:val="none" w:sz="0" w:space="0" w:color="auto"/>
          </w:divBdr>
          <w:divsChild>
            <w:div w:id="621499656">
              <w:marLeft w:val="0"/>
              <w:marRight w:val="0"/>
              <w:marTop w:val="0"/>
              <w:marBottom w:val="0"/>
              <w:divBdr>
                <w:top w:val="none" w:sz="0" w:space="0" w:color="auto"/>
                <w:left w:val="none" w:sz="0" w:space="0" w:color="auto"/>
                <w:bottom w:val="none" w:sz="0" w:space="0" w:color="auto"/>
                <w:right w:val="none" w:sz="0" w:space="0" w:color="auto"/>
              </w:divBdr>
            </w:div>
          </w:divsChild>
        </w:div>
        <w:div w:id="878859829">
          <w:marLeft w:val="0"/>
          <w:marRight w:val="0"/>
          <w:marTop w:val="0"/>
          <w:marBottom w:val="0"/>
          <w:divBdr>
            <w:top w:val="none" w:sz="0" w:space="0" w:color="auto"/>
            <w:left w:val="none" w:sz="0" w:space="0" w:color="auto"/>
            <w:bottom w:val="none" w:sz="0" w:space="0" w:color="auto"/>
            <w:right w:val="none" w:sz="0" w:space="0" w:color="auto"/>
          </w:divBdr>
          <w:divsChild>
            <w:div w:id="566307581">
              <w:marLeft w:val="0"/>
              <w:marRight w:val="0"/>
              <w:marTop w:val="0"/>
              <w:marBottom w:val="0"/>
              <w:divBdr>
                <w:top w:val="none" w:sz="0" w:space="0" w:color="auto"/>
                <w:left w:val="none" w:sz="0" w:space="0" w:color="auto"/>
                <w:bottom w:val="none" w:sz="0" w:space="0" w:color="auto"/>
                <w:right w:val="none" w:sz="0" w:space="0" w:color="auto"/>
              </w:divBdr>
            </w:div>
          </w:divsChild>
        </w:div>
        <w:div w:id="894127835">
          <w:marLeft w:val="0"/>
          <w:marRight w:val="0"/>
          <w:marTop w:val="0"/>
          <w:marBottom w:val="0"/>
          <w:divBdr>
            <w:top w:val="none" w:sz="0" w:space="0" w:color="auto"/>
            <w:left w:val="none" w:sz="0" w:space="0" w:color="auto"/>
            <w:bottom w:val="none" w:sz="0" w:space="0" w:color="auto"/>
            <w:right w:val="none" w:sz="0" w:space="0" w:color="auto"/>
          </w:divBdr>
          <w:divsChild>
            <w:div w:id="1300384418">
              <w:marLeft w:val="0"/>
              <w:marRight w:val="0"/>
              <w:marTop w:val="0"/>
              <w:marBottom w:val="0"/>
              <w:divBdr>
                <w:top w:val="none" w:sz="0" w:space="0" w:color="auto"/>
                <w:left w:val="none" w:sz="0" w:space="0" w:color="auto"/>
                <w:bottom w:val="none" w:sz="0" w:space="0" w:color="auto"/>
                <w:right w:val="none" w:sz="0" w:space="0" w:color="auto"/>
              </w:divBdr>
            </w:div>
          </w:divsChild>
        </w:div>
        <w:div w:id="913972931">
          <w:marLeft w:val="0"/>
          <w:marRight w:val="0"/>
          <w:marTop w:val="0"/>
          <w:marBottom w:val="0"/>
          <w:divBdr>
            <w:top w:val="none" w:sz="0" w:space="0" w:color="auto"/>
            <w:left w:val="none" w:sz="0" w:space="0" w:color="auto"/>
            <w:bottom w:val="none" w:sz="0" w:space="0" w:color="auto"/>
            <w:right w:val="none" w:sz="0" w:space="0" w:color="auto"/>
          </w:divBdr>
          <w:divsChild>
            <w:div w:id="811948954">
              <w:marLeft w:val="0"/>
              <w:marRight w:val="0"/>
              <w:marTop w:val="0"/>
              <w:marBottom w:val="0"/>
              <w:divBdr>
                <w:top w:val="none" w:sz="0" w:space="0" w:color="auto"/>
                <w:left w:val="none" w:sz="0" w:space="0" w:color="auto"/>
                <w:bottom w:val="none" w:sz="0" w:space="0" w:color="auto"/>
                <w:right w:val="none" w:sz="0" w:space="0" w:color="auto"/>
              </w:divBdr>
            </w:div>
          </w:divsChild>
        </w:div>
        <w:div w:id="980812817">
          <w:marLeft w:val="0"/>
          <w:marRight w:val="0"/>
          <w:marTop w:val="0"/>
          <w:marBottom w:val="0"/>
          <w:divBdr>
            <w:top w:val="none" w:sz="0" w:space="0" w:color="auto"/>
            <w:left w:val="none" w:sz="0" w:space="0" w:color="auto"/>
            <w:bottom w:val="none" w:sz="0" w:space="0" w:color="auto"/>
            <w:right w:val="none" w:sz="0" w:space="0" w:color="auto"/>
          </w:divBdr>
          <w:divsChild>
            <w:div w:id="1443183415">
              <w:marLeft w:val="0"/>
              <w:marRight w:val="0"/>
              <w:marTop w:val="0"/>
              <w:marBottom w:val="0"/>
              <w:divBdr>
                <w:top w:val="none" w:sz="0" w:space="0" w:color="auto"/>
                <w:left w:val="none" w:sz="0" w:space="0" w:color="auto"/>
                <w:bottom w:val="none" w:sz="0" w:space="0" w:color="auto"/>
                <w:right w:val="none" w:sz="0" w:space="0" w:color="auto"/>
              </w:divBdr>
            </w:div>
          </w:divsChild>
        </w:div>
        <w:div w:id="1021249099">
          <w:marLeft w:val="0"/>
          <w:marRight w:val="0"/>
          <w:marTop w:val="0"/>
          <w:marBottom w:val="0"/>
          <w:divBdr>
            <w:top w:val="none" w:sz="0" w:space="0" w:color="auto"/>
            <w:left w:val="none" w:sz="0" w:space="0" w:color="auto"/>
            <w:bottom w:val="none" w:sz="0" w:space="0" w:color="auto"/>
            <w:right w:val="none" w:sz="0" w:space="0" w:color="auto"/>
          </w:divBdr>
          <w:divsChild>
            <w:div w:id="340591274">
              <w:marLeft w:val="0"/>
              <w:marRight w:val="0"/>
              <w:marTop w:val="0"/>
              <w:marBottom w:val="0"/>
              <w:divBdr>
                <w:top w:val="none" w:sz="0" w:space="0" w:color="auto"/>
                <w:left w:val="none" w:sz="0" w:space="0" w:color="auto"/>
                <w:bottom w:val="none" w:sz="0" w:space="0" w:color="auto"/>
                <w:right w:val="none" w:sz="0" w:space="0" w:color="auto"/>
              </w:divBdr>
            </w:div>
          </w:divsChild>
        </w:div>
        <w:div w:id="1062169593">
          <w:marLeft w:val="0"/>
          <w:marRight w:val="0"/>
          <w:marTop w:val="0"/>
          <w:marBottom w:val="0"/>
          <w:divBdr>
            <w:top w:val="none" w:sz="0" w:space="0" w:color="auto"/>
            <w:left w:val="none" w:sz="0" w:space="0" w:color="auto"/>
            <w:bottom w:val="none" w:sz="0" w:space="0" w:color="auto"/>
            <w:right w:val="none" w:sz="0" w:space="0" w:color="auto"/>
          </w:divBdr>
          <w:divsChild>
            <w:div w:id="973634984">
              <w:marLeft w:val="0"/>
              <w:marRight w:val="0"/>
              <w:marTop w:val="0"/>
              <w:marBottom w:val="0"/>
              <w:divBdr>
                <w:top w:val="none" w:sz="0" w:space="0" w:color="auto"/>
                <w:left w:val="none" w:sz="0" w:space="0" w:color="auto"/>
                <w:bottom w:val="none" w:sz="0" w:space="0" w:color="auto"/>
                <w:right w:val="none" w:sz="0" w:space="0" w:color="auto"/>
              </w:divBdr>
            </w:div>
          </w:divsChild>
        </w:div>
        <w:div w:id="1114248651">
          <w:marLeft w:val="0"/>
          <w:marRight w:val="0"/>
          <w:marTop w:val="0"/>
          <w:marBottom w:val="0"/>
          <w:divBdr>
            <w:top w:val="none" w:sz="0" w:space="0" w:color="auto"/>
            <w:left w:val="none" w:sz="0" w:space="0" w:color="auto"/>
            <w:bottom w:val="none" w:sz="0" w:space="0" w:color="auto"/>
            <w:right w:val="none" w:sz="0" w:space="0" w:color="auto"/>
          </w:divBdr>
          <w:divsChild>
            <w:div w:id="1943298894">
              <w:marLeft w:val="0"/>
              <w:marRight w:val="0"/>
              <w:marTop w:val="0"/>
              <w:marBottom w:val="0"/>
              <w:divBdr>
                <w:top w:val="none" w:sz="0" w:space="0" w:color="auto"/>
                <w:left w:val="none" w:sz="0" w:space="0" w:color="auto"/>
                <w:bottom w:val="none" w:sz="0" w:space="0" w:color="auto"/>
                <w:right w:val="none" w:sz="0" w:space="0" w:color="auto"/>
              </w:divBdr>
            </w:div>
          </w:divsChild>
        </w:div>
        <w:div w:id="1122922517">
          <w:marLeft w:val="0"/>
          <w:marRight w:val="0"/>
          <w:marTop w:val="0"/>
          <w:marBottom w:val="0"/>
          <w:divBdr>
            <w:top w:val="none" w:sz="0" w:space="0" w:color="auto"/>
            <w:left w:val="none" w:sz="0" w:space="0" w:color="auto"/>
            <w:bottom w:val="none" w:sz="0" w:space="0" w:color="auto"/>
            <w:right w:val="none" w:sz="0" w:space="0" w:color="auto"/>
          </w:divBdr>
          <w:divsChild>
            <w:div w:id="1481262817">
              <w:marLeft w:val="0"/>
              <w:marRight w:val="0"/>
              <w:marTop w:val="0"/>
              <w:marBottom w:val="0"/>
              <w:divBdr>
                <w:top w:val="none" w:sz="0" w:space="0" w:color="auto"/>
                <w:left w:val="none" w:sz="0" w:space="0" w:color="auto"/>
                <w:bottom w:val="none" w:sz="0" w:space="0" w:color="auto"/>
                <w:right w:val="none" w:sz="0" w:space="0" w:color="auto"/>
              </w:divBdr>
            </w:div>
          </w:divsChild>
        </w:div>
        <w:div w:id="1126045246">
          <w:marLeft w:val="0"/>
          <w:marRight w:val="0"/>
          <w:marTop w:val="0"/>
          <w:marBottom w:val="0"/>
          <w:divBdr>
            <w:top w:val="none" w:sz="0" w:space="0" w:color="auto"/>
            <w:left w:val="none" w:sz="0" w:space="0" w:color="auto"/>
            <w:bottom w:val="none" w:sz="0" w:space="0" w:color="auto"/>
            <w:right w:val="none" w:sz="0" w:space="0" w:color="auto"/>
          </w:divBdr>
          <w:divsChild>
            <w:div w:id="834034249">
              <w:marLeft w:val="0"/>
              <w:marRight w:val="0"/>
              <w:marTop w:val="0"/>
              <w:marBottom w:val="0"/>
              <w:divBdr>
                <w:top w:val="none" w:sz="0" w:space="0" w:color="auto"/>
                <w:left w:val="none" w:sz="0" w:space="0" w:color="auto"/>
                <w:bottom w:val="none" w:sz="0" w:space="0" w:color="auto"/>
                <w:right w:val="none" w:sz="0" w:space="0" w:color="auto"/>
              </w:divBdr>
            </w:div>
          </w:divsChild>
        </w:div>
        <w:div w:id="1166441188">
          <w:marLeft w:val="0"/>
          <w:marRight w:val="0"/>
          <w:marTop w:val="0"/>
          <w:marBottom w:val="0"/>
          <w:divBdr>
            <w:top w:val="none" w:sz="0" w:space="0" w:color="auto"/>
            <w:left w:val="none" w:sz="0" w:space="0" w:color="auto"/>
            <w:bottom w:val="none" w:sz="0" w:space="0" w:color="auto"/>
            <w:right w:val="none" w:sz="0" w:space="0" w:color="auto"/>
          </w:divBdr>
          <w:divsChild>
            <w:div w:id="487676753">
              <w:marLeft w:val="0"/>
              <w:marRight w:val="0"/>
              <w:marTop w:val="0"/>
              <w:marBottom w:val="0"/>
              <w:divBdr>
                <w:top w:val="none" w:sz="0" w:space="0" w:color="auto"/>
                <w:left w:val="none" w:sz="0" w:space="0" w:color="auto"/>
                <w:bottom w:val="none" w:sz="0" w:space="0" w:color="auto"/>
                <w:right w:val="none" w:sz="0" w:space="0" w:color="auto"/>
              </w:divBdr>
            </w:div>
          </w:divsChild>
        </w:div>
        <w:div w:id="1182934040">
          <w:marLeft w:val="0"/>
          <w:marRight w:val="0"/>
          <w:marTop w:val="0"/>
          <w:marBottom w:val="0"/>
          <w:divBdr>
            <w:top w:val="none" w:sz="0" w:space="0" w:color="auto"/>
            <w:left w:val="none" w:sz="0" w:space="0" w:color="auto"/>
            <w:bottom w:val="none" w:sz="0" w:space="0" w:color="auto"/>
            <w:right w:val="none" w:sz="0" w:space="0" w:color="auto"/>
          </w:divBdr>
          <w:divsChild>
            <w:div w:id="16540881">
              <w:marLeft w:val="0"/>
              <w:marRight w:val="0"/>
              <w:marTop w:val="0"/>
              <w:marBottom w:val="0"/>
              <w:divBdr>
                <w:top w:val="none" w:sz="0" w:space="0" w:color="auto"/>
                <w:left w:val="none" w:sz="0" w:space="0" w:color="auto"/>
                <w:bottom w:val="none" w:sz="0" w:space="0" w:color="auto"/>
                <w:right w:val="none" w:sz="0" w:space="0" w:color="auto"/>
              </w:divBdr>
            </w:div>
          </w:divsChild>
        </w:div>
        <w:div w:id="1267880403">
          <w:marLeft w:val="0"/>
          <w:marRight w:val="0"/>
          <w:marTop w:val="0"/>
          <w:marBottom w:val="0"/>
          <w:divBdr>
            <w:top w:val="none" w:sz="0" w:space="0" w:color="auto"/>
            <w:left w:val="none" w:sz="0" w:space="0" w:color="auto"/>
            <w:bottom w:val="none" w:sz="0" w:space="0" w:color="auto"/>
            <w:right w:val="none" w:sz="0" w:space="0" w:color="auto"/>
          </w:divBdr>
          <w:divsChild>
            <w:div w:id="1245794558">
              <w:marLeft w:val="0"/>
              <w:marRight w:val="0"/>
              <w:marTop w:val="0"/>
              <w:marBottom w:val="0"/>
              <w:divBdr>
                <w:top w:val="none" w:sz="0" w:space="0" w:color="auto"/>
                <w:left w:val="none" w:sz="0" w:space="0" w:color="auto"/>
                <w:bottom w:val="none" w:sz="0" w:space="0" w:color="auto"/>
                <w:right w:val="none" w:sz="0" w:space="0" w:color="auto"/>
              </w:divBdr>
            </w:div>
          </w:divsChild>
        </w:div>
        <w:div w:id="1271208637">
          <w:marLeft w:val="0"/>
          <w:marRight w:val="0"/>
          <w:marTop w:val="0"/>
          <w:marBottom w:val="0"/>
          <w:divBdr>
            <w:top w:val="none" w:sz="0" w:space="0" w:color="auto"/>
            <w:left w:val="none" w:sz="0" w:space="0" w:color="auto"/>
            <w:bottom w:val="none" w:sz="0" w:space="0" w:color="auto"/>
            <w:right w:val="none" w:sz="0" w:space="0" w:color="auto"/>
          </w:divBdr>
          <w:divsChild>
            <w:div w:id="1977292904">
              <w:marLeft w:val="0"/>
              <w:marRight w:val="0"/>
              <w:marTop w:val="0"/>
              <w:marBottom w:val="0"/>
              <w:divBdr>
                <w:top w:val="none" w:sz="0" w:space="0" w:color="auto"/>
                <w:left w:val="none" w:sz="0" w:space="0" w:color="auto"/>
                <w:bottom w:val="none" w:sz="0" w:space="0" w:color="auto"/>
                <w:right w:val="none" w:sz="0" w:space="0" w:color="auto"/>
              </w:divBdr>
            </w:div>
          </w:divsChild>
        </w:div>
        <w:div w:id="1331329655">
          <w:marLeft w:val="0"/>
          <w:marRight w:val="0"/>
          <w:marTop w:val="0"/>
          <w:marBottom w:val="0"/>
          <w:divBdr>
            <w:top w:val="none" w:sz="0" w:space="0" w:color="auto"/>
            <w:left w:val="none" w:sz="0" w:space="0" w:color="auto"/>
            <w:bottom w:val="none" w:sz="0" w:space="0" w:color="auto"/>
            <w:right w:val="none" w:sz="0" w:space="0" w:color="auto"/>
          </w:divBdr>
          <w:divsChild>
            <w:div w:id="1832981911">
              <w:marLeft w:val="0"/>
              <w:marRight w:val="0"/>
              <w:marTop w:val="0"/>
              <w:marBottom w:val="0"/>
              <w:divBdr>
                <w:top w:val="none" w:sz="0" w:space="0" w:color="auto"/>
                <w:left w:val="none" w:sz="0" w:space="0" w:color="auto"/>
                <w:bottom w:val="none" w:sz="0" w:space="0" w:color="auto"/>
                <w:right w:val="none" w:sz="0" w:space="0" w:color="auto"/>
              </w:divBdr>
            </w:div>
          </w:divsChild>
        </w:div>
        <w:div w:id="1386415562">
          <w:marLeft w:val="0"/>
          <w:marRight w:val="0"/>
          <w:marTop w:val="0"/>
          <w:marBottom w:val="0"/>
          <w:divBdr>
            <w:top w:val="none" w:sz="0" w:space="0" w:color="auto"/>
            <w:left w:val="none" w:sz="0" w:space="0" w:color="auto"/>
            <w:bottom w:val="none" w:sz="0" w:space="0" w:color="auto"/>
            <w:right w:val="none" w:sz="0" w:space="0" w:color="auto"/>
          </w:divBdr>
          <w:divsChild>
            <w:div w:id="1692678787">
              <w:marLeft w:val="0"/>
              <w:marRight w:val="0"/>
              <w:marTop w:val="0"/>
              <w:marBottom w:val="0"/>
              <w:divBdr>
                <w:top w:val="none" w:sz="0" w:space="0" w:color="auto"/>
                <w:left w:val="none" w:sz="0" w:space="0" w:color="auto"/>
                <w:bottom w:val="none" w:sz="0" w:space="0" w:color="auto"/>
                <w:right w:val="none" w:sz="0" w:space="0" w:color="auto"/>
              </w:divBdr>
            </w:div>
          </w:divsChild>
        </w:div>
        <w:div w:id="1400591007">
          <w:marLeft w:val="0"/>
          <w:marRight w:val="0"/>
          <w:marTop w:val="0"/>
          <w:marBottom w:val="0"/>
          <w:divBdr>
            <w:top w:val="none" w:sz="0" w:space="0" w:color="auto"/>
            <w:left w:val="none" w:sz="0" w:space="0" w:color="auto"/>
            <w:bottom w:val="none" w:sz="0" w:space="0" w:color="auto"/>
            <w:right w:val="none" w:sz="0" w:space="0" w:color="auto"/>
          </w:divBdr>
          <w:divsChild>
            <w:div w:id="123623065">
              <w:marLeft w:val="0"/>
              <w:marRight w:val="0"/>
              <w:marTop w:val="0"/>
              <w:marBottom w:val="0"/>
              <w:divBdr>
                <w:top w:val="none" w:sz="0" w:space="0" w:color="auto"/>
                <w:left w:val="none" w:sz="0" w:space="0" w:color="auto"/>
                <w:bottom w:val="none" w:sz="0" w:space="0" w:color="auto"/>
                <w:right w:val="none" w:sz="0" w:space="0" w:color="auto"/>
              </w:divBdr>
            </w:div>
          </w:divsChild>
        </w:div>
        <w:div w:id="1429934212">
          <w:marLeft w:val="0"/>
          <w:marRight w:val="0"/>
          <w:marTop w:val="0"/>
          <w:marBottom w:val="0"/>
          <w:divBdr>
            <w:top w:val="none" w:sz="0" w:space="0" w:color="auto"/>
            <w:left w:val="none" w:sz="0" w:space="0" w:color="auto"/>
            <w:bottom w:val="none" w:sz="0" w:space="0" w:color="auto"/>
            <w:right w:val="none" w:sz="0" w:space="0" w:color="auto"/>
          </w:divBdr>
          <w:divsChild>
            <w:div w:id="1514415562">
              <w:marLeft w:val="0"/>
              <w:marRight w:val="0"/>
              <w:marTop w:val="0"/>
              <w:marBottom w:val="0"/>
              <w:divBdr>
                <w:top w:val="none" w:sz="0" w:space="0" w:color="auto"/>
                <w:left w:val="none" w:sz="0" w:space="0" w:color="auto"/>
                <w:bottom w:val="none" w:sz="0" w:space="0" w:color="auto"/>
                <w:right w:val="none" w:sz="0" w:space="0" w:color="auto"/>
              </w:divBdr>
            </w:div>
          </w:divsChild>
        </w:div>
        <w:div w:id="1430927160">
          <w:marLeft w:val="0"/>
          <w:marRight w:val="0"/>
          <w:marTop w:val="0"/>
          <w:marBottom w:val="0"/>
          <w:divBdr>
            <w:top w:val="none" w:sz="0" w:space="0" w:color="auto"/>
            <w:left w:val="none" w:sz="0" w:space="0" w:color="auto"/>
            <w:bottom w:val="none" w:sz="0" w:space="0" w:color="auto"/>
            <w:right w:val="none" w:sz="0" w:space="0" w:color="auto"/>
          </w:divBdr>
          <w:divsChild>
            <w:div w:id="1587500043">
              <w:marLeft w:val="0"/>
              <w:marRight w:val="0"/>
              <w:marTop w:val="0"/>
              <w:marBottom w:val="0"/>
              <w:divBdr>
                <w:top w:val="none" w:sz="0" w:space="0" w:color="auto"/>
                <w:left w:val="none" w:sz="0" w:space="0" w:color="auto"/>
                <w:bottom w:val="none" w:sz="0" w:space="0" w:color="auto"/>
                <w:right w:val="none" w:sz="0" w:space="0" w:color="auto"/>
              </w:divBdr>
            </w:div>
          </w:divsChild>
        </w:div>
        <w:div w:id="1441681022">
          <w:marLeft w:val="0"/>
          <w:marRight w:val="0"/>
          <w:marTop w:val="0"/>
          <w:marBottom w:val="0"/>
          <w:divBdr>
            <w:top w:val="none" w:sz="0" w:space="0" w:color="auto"/>
            <w:left w:val="none" w:sz="0" w:space="0" w:color="auto"/>
            <w:bottom w:val="none" w:sz="0" w:space="0" w:color="auto"/>
            <w:right w:val="none" w:sz="0" w:space="0" w:color="auto"/>
          </w:divBdr>
          <w:divsChild>
            <w:div w:id="1839029830">
              <w:marLeft w:val="0"/>
              <w:marRight w:val="0"/>
              <w:marTop w:val="0"/>
              <w:marBottom w:val="0"/>
              <w:divBdr>
                <w:top w:val="none" w:sz="0" w:space="0" w:color="auto"/>
                <w:left w:val="none" w:sz="0" w:space="0" w:color="auto"/>
                <w:bottom w:val="none" w:sz="0" w:space="0" w:color="auto"/>
                <w:right w:val="none" w:sz="0" w:space="0" w:color="auto"/>
              </w:divBdr>
            </w:div>
          </w:divsChild>
        </w:div>
        <w:div w:id="1487673562">
          <w:marLeft w:val="0"/>
          <w:marRight w:val="0"/>
          <w:marTop w:val="0"/>
          <w:marBottom w:val="0"/>
          <w:divBdr>
            <w:top w:val="none" w:sz="0" w:space="0" w:color="auto"/>
            <w:left w:val="none" w:sz="0" w:space="0" w:color="auto"/>
            <w:bottom w:val="none" w:sz="0" w:space="0" w:color="auto"/>
            <w:right w:val="none" w:sz="0" w:space="0" w:color="auto"/>
          </w:divBdr>
          <w:divsChild>
            <w:div w:id="1403989054">
              <w:marLeft w:val="0"/>
              <w:marRight w:val="0"/>
              <w:marTop w:val="0"/>
              <w:marBottom w:val="0"/>
              <w:divBdr>
                <w:top w:val="none" w:sz="0" w:space="0" w:color="auto"/>
                <w:left w:val="none" w:sz="0" w:space="0" w:color="auto"/>
                <w:bottom w:val="none" w:sz="0" w:space="0" w:color="auto"/>
                <w:right w:val="none" w:sz="0" w:space="0" w:color="auto"/>
              </w:divBdr>
            </w:div>
          </w:divsChild>
        </w:div>
        <w:div w:id="1513495434">
          <w:marLeft w:val="0"/>
          <w:marRight w:val="0"/>
          <w:marTop w:val="0"/>
          <w:marBottom w:val="0"/>
          <w:divBdr>
            <w:top w:val="none" w:sz="0" w:space="0" w:color="auto"/>
            <w:left w:val="none" w:sz="0" w:space="0" w:color="auto"/>
            <w:bottom w:val="none" w:sz="0" w:space="0" w:color="auto"/>
            <w:right w:val="none" w:sz="0" w:space="0" w:color="auto"/>
          </w:divBdr>
          <w:divsChild>
            <w:div w:id="1263147786">
              <w:marLeft w:val="0"/>
              <w:marRight w:val="0"/>
              <w:marTop w:val="0"/>
              <w:marBottom w:val="0"/>
              <w:divBdr>
                <w:top w:val="none" w:sz="0" w:space="0" w:color="auto"/>
                <w:left w:val="none" w:sz="0" w:space="0" w:color="auto"/>
                <w:bottom w:val="none" w:sz="0" w:space="0" w:color="auto"/>
                <w:right w:val="none" w:sz="0" w:space="0" w:color="auto"/>
              </w:divBdr>
            </w:div>
          </w:divsChild>
        </w:div>
        <w:div w:id="1730499722">
          <w:marLeft w:val="0"/>
          <w:marRight w:val="0"/>
          <w:marTop w:val="0"/>
          <w:marBottom w:val="0"/>
          <w:divBdr>
            <w:top w:val="none" w:sz="0" w:space="0" w:color="auto"/>
            <w:left w:val="none" w:sz="0" w:space="0" w:color="auto"/>
            <w:bottom w:val="none" w:sz="0" w:space="0" w:color="auto"/>
            <w:right w:val="none" w:sz="0" w:space="0" w:color="auto"/>
          </w:divBdr>
          <w:divsChild>
            <w:div w:id="147326612">
              <w:marLeft w:val="0"/>
              <w:marRight w:val="0"/>
              <w:marTop w:val="0"/>
              <w:marBottom w:val="0"/>
              <w:divBdr>
                <w:top w:val="none" w:sz="0" w:space="0" w:color="auto"/>
                <w:left w:val="none" w:sz="0" w:space="0" w:color="auto"/>
                <w:bottom w:val="none" w:sz="0" w:space="0" w:color="auto"/>
                <w:right w:val="none" w:sz="0" w:space="0" w:color="auto"/>
              </w:divBdr>
            </w:div>
          </w:divsChild>
        </w:div>
        <w:div w:id="1785928446">
          <w:marLeft w:val="0"/>
          <w:marRight w:val="0"/>
          <w:marTop w:val="0"/>
          <w:marBottom w:val="0"/>
          <w:divBdr>
            <w:top w:val="none" w:sz="0" w:space="0" w:color="auto"/>
            <w:left w:val="none" w:sz="0" w:space="0" w:color="auto"/>
            <w:bottom w:val="none" w:sz="0" w:space="0" w:color="auto"/>
            <w:right w:val="none" w:sz="0" w:space="0" w:color="auto"/>
          </w:divBdr>
          <w:divsChild>
            <w:div w:id="881746580">
              <w:marLeft w:val="0"/>
              <w:marRight w:val="0"/>
              <w:marTop w:val="0"/>
              <w:marBottom w:val="0"/>
              <w:divBdr>
                <w:top w:val="none" w:sz="0" w:space="0" w:color="auto"/>
                <w:left w:val="none" w:sz="0" w:space="0" w:color="auto"/>
                <w:bottom w:val="none" w:sz="0" w:space="0" w:color="auto"/>
                <w:right w:val="none" w:sz="0" w:space="0" w:color="auto"/>
              </w:divBdr>
            </w:div>
          </w:divsChild>
        </w:div>
        <w:div w:id="1867867021">
          <w:marLeft w:val="0"/>
          <w:marRight w:val="0"/>
          <w:marTop w:val="0"/>
          <w:marBottom w:val="0"/>
          <w:divBdr>
            <w:top w:val="none" w:sz="0" w:space="0" w:color="auto"/>
            <w:left w:val="none" w:sz="0" w:space="0" w:color="auto"/>
            <w:bottom w:val="none" w:sz="0" w:space="0" w:color="auto"/>
            <w:right w:val="none" w:sz="0" w:space="0" w:color="auto"/>
          </w:divBdr>
          <w:divsChild>
            <w:div w:id="1533347670">
              <w:marLeft w:val="0"/>
              <w:marRight w:val="0"/>
              <w:marTop w:val="0"/>
              <w:marBottom w:val="0"/>
              <w:divBdr>
                <w:top w:val="none" w:sz="0" w:space="0" w:color="auto"/>
                <w:left w:val="none" w:sz="0" w:space="0" w:color="auto"/>
                <w:bottom w:val="none" w:sz="0" w:space="0" w:color="auto"/>
                <w:right w:val="none" w:sz="0" w:space="0" w:color="auto"/>
              </w:divBdr>
            </w:div>
          </w:divsChild>
        </w:div>
        <w:div w:id="1916239368">
          <w:marLeft w:val="0"/>
          <w:marRight w:val="0"/>
          <w:marTop w:val="0"/>
          <w:marBottom w:val="0"/>
          <w:divBdr>
            <w:top w:val="none" w:sz="0" w:space="0" w:color="auto"/>
            <w:left w:val="none" w:sz="0" w:space="0" w:color="auto"/>
            <w:bottom w:val="none" w:sz="0" w:space="0" w:color="auto"/>
            <w:right w:val="none" w:sz="0" w:space="0" w:color="auto"/>
          </w:divBdr>
          <w:divsChild>
            <w:div w:id="432210080">
              <w:marLeft w:val="0"/>
              <w:marRight w:val="0"/>
              <w:marTop w:val="0"/>
              <w:marBottom w:val="0"/>
              <w:divBdr>
                <w:top w:val="none" w:sz="0" w:space="0" w:color="auto"/>
                <w:left w:val="none" w:sz="0" w:space="0" w:color="auto"/>
                <w:bottom w:val="none" w:sz="0" w:space="0" w:color="auto"/>
                <w:right w:val="none" w:sz="0" w:space="0" w:color="auto"/>
              </w:divBdr>
            </w:div>
          </w:divsChild>
        </w:div>
        <w:div w:id="2090300325">
          <w:marLeft w:val="0"/>
          <w:marRight w:val="0"/>
          <w:marTop w:val="0"/>
          <w:marBottom w:val="0"/>
          <w:divBdr>
            <w:top w:val="none" w:sz="0" w:space="0" w:color="auto"/>
            <w:left w:val="none" w:sz="0" w:space="0" w:color="auto"/>
            <w:bottom w:val="none" w:sz="0" w:space="0" w:color="auto"/>
            <w:right w:val="none" w:sz="0" w:space="0" w:color="auto"/>
          </w:divBdr>
          <w:divsChild>
            <w:div w:id="142954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1296">
      <w:bodyDiv w:val="1"/>
      <w:marLeft w:val="0"/>
      <w:marRight w:val="0"/>
      <w:marTop w:val="0"/>
      <w:marBottom w:val="0"/>
      <w:divBdr>
        <w:top w:val="none" w:sz="0" w:space="0" w:color="auto"/>
        <w:left w:val="none" w:sz="0" w:space="0" w:color="auto"/>
        <w:bottom w:val="none" w:sz="0" w:space="0" w:color="auto"/>
        <w:right w:val="none" w:sz="0" w:space="0" w:color="auto"/>
      </w:divBdr>
    </w:div>
    <w:div w:id="281037315">
      <w:bodyDiv w:val="1"/>
      <w:marLeft w:val="0"/>
      <w:marRight w:val="0"/>
      <w:marTop w:val="0"/>
      <w:marBottom w:val="0"/>
      <w:divBdr>
        <w:top w:val="none" w:sz="0" w:space="0" w:color="auto"/>
        <w:left w:val="none" w:sz="0" w:space="0" w:color="auto"/>
        <w:bottom w:val="none" w:sz="0" w:space="0" w:color="auto"/>
        <w:right w:val="none" w:sz="0" w:space="0" w:color="auto"/>
      </w:divBdr>
    </w:div>
    <w:div w:id="289827654">
      <w:bodyDiv w:val="1"/>
      <w:marLeft w:val="0"/>
      <w:marRight w:val="0"/>
      <w:marTop w:val="0"/>
      <w:marBottom w:val="0"/>
      <w:divBdr>
        <w:top w:val="none" w:sz="0" w:space="0" w:color="auto"/>
        <w:left w:val="none" w:sz="0" w:space="0" w:color="auto"/>
        <w:bottom w:val="none" w:sz="0" w:space="0" w:color="auto"/>
        <w:right w:val="none" w:sz="0" w:space="0" w:color="auto"/>
      </w:divBdr>
    </w:div>
    <w:div w:id="300041472">
      <w:bodyDiv w:val="1"/>
      <w:marLeft w:val="0"/>
      <w:marRight w:val="0"/>
      <w:marTop w:val="0"/>
      <w:marBottom w:val="0"/>
      <w:divBdr>
        <w:top w:val="none" w:sz="0" w:space="0" w:color="auto"/>
        <w:left w:val="none" w:sz="0" w:space="0" w:color="auto"/>
        <w:bottom w:val="none" w:sz="0" w:space="0" w:color="auto"/>
        <w:right w:val="none" w:sz="0" w:space="0" w:color="auto"/>
      </w:divBdr>
    </w:div>
    <w:div w:id="302780758">
      <w:bodyDiv w:val="1"/>
      <w:marLeft w:val="0"/>
      <w:marRight w:val="0"/>
      <w:marTop w:val="0"/>
      <w:marBottom w:val="0"/>
      <w:divBdr>
        <w:top w:val="none" w:sz="0" w:space="0" w:color="auto"/>
        <w:left w:val="none" w:sz="0" w:space="0" w:color="auto"/>
        <w:bottom w:val="none" w:sz="0" w:space="0" w:color="auto"/>
        <w:right w:val="none" w:sz="0" w:space="0" w:color="auto"/>
      </w:divBdr>
    </w:div>
    <w:div w:id="369887257">
      <w:bodyDiv w:val="1"/>
      <w:marLeft w:val="0"/>
      <w:marRight w:val="0"/>
      <w:marTop w:val="0"/>
      <w:marBottom w:val="0"/>
      <w:divBdr>
        <w:top w:val="none" w:sz="0" w:space="0" w:color="auto"/>
        <w:left w:val="none" w:sz="0" w:space="0" w:color="auto"/>
        <w:bottom w:val="none" w:sz="0" w:space="0" w:color="auto"/>
        <w:right w:val="none" w:sz="0" w:space="0" w:color="auto"/>
      </w:divBdr>
    </w:div>
    <w:div w:id="372198846">
      <w:bodyDiv w:val="1"/>
      <w:marLeft w:val="0"/>
      <w:marRight w:val="0"/>
      <w:marTop w:val="0"/>
      <w:marBottom w:val="0"/>
      <w:divBdr>
        <w:top w:val="none" w:sz="0" w:space="0" w:color="auto"/>
        <w:left w:val="none" w:sz="0" w:space="0" w:color="auto"/>
        <w:bottom w:val="none" w:sz="0" w:space="0" w:color="auto"/>
        <w:right w:val="none" w:sz="0" w:space="0" w:color="auto"/>
      </w:divBdr>
    </w:div>
    <w:div w:id="382798029">
      <w:bodyDiv w:val="1"/>
      <w:marLeft w:val="0"/>
      <w:marRight w:val="0"/>
      <w:marTop w:val="0"/>
      <w:marBottom w:val="0"/>
      <w:divBdr>
        <w:top w:val="none" w:sz="0" w:space="0" w:color="auto"/>
        <w:left w:val="none" w:sz="0" w:space="0" w:color="auto"/>
        <w:bottom w:val="none" w:sz="0" w:space="0" w:color="auto"/>
        <w:right w:val="none" w:sz="0" w:space="0" w:color="auto"/>
      </w:divBdr>
    </w:div>
    <w:div w:id="393360060">
      <w:bodyDiv w:val="1"/>
      <w:marLeft w:val="0"/>
      <w:marRight w:val="0"/>
      <w:marTop w:val="0"/>
      <w:marBottom w:val="0"/>
      <w:divBdr>
        <w:top w:val="none" w:sz="0" w:space="0" w:color="auto"/>
        <w:left w:val="none" w:sz="0" w:space="0" w:color="auto"/>
        <w:bottom w:val="none" w:sz="0" w:space="0" w:color="auto"/>
        <w:right w:val="none" w:sz="0" w:space="0" w:color="auto"/>
      </w:divBdr>
    </w:div>
    <w:div w:id="395516389">
      <w:bodyDiv w:val="1"/>
      <w:marLeft w:val="0"/>
      <w:marRight w:val="0"/>
      <w:marTop w:val="0"/>
      <w:marBottom w:val="0"/>
      <w:divBdr>
        <w:top w:val="none" w:sz="0" w:space="0" w:color="auto"/>
        <w:left w:val="none" w:sz="0" w:space="0" w:color="auto"/>
        <w:bottom w:val="none" w:sz="0" w:space="0" w:color="auto"/>
        <w:right w:val="none" w:sz="0" w:space="0" w:color="auto"/>
      </w:divBdr>
    </w:div>
    <w:div w:id="400566946">
      <w:bodyDiv w:val="1"/>
      <w:marLeft w:val="0"/>
      <w:marRight w:val="0"/>
      <w:marTop w:val="0"/>
      <w:marBottom w:val="0"/>
      <w:divBdr>
        <w:top w:val="none" w:sz="0" w:space="0" w:color="auto"/>
        <w:left w:val="none" w:sz="0" w:space="0" w:color="auto"/>
        <w:bottom w:val="none" w:sz="0" w:space="0" w:color="auto"/>
        <w:right w:val="none" w:sz="0" w:space="0" w:color="auto"/>
      </w:divBdr>
    </w:div>
    <w:div w:id="401871841">
      <w:bodyDiv w:val="1"/>
      <w:marLeft w:val="0"/>
      <w:marRight w:val="0"/>
      <w:marTop w:val="0"/>
      <w:marBottom w:val="0"/>
      <w:divBdr>
        <w:top w:val="none" w:sz="0" w:space="0" w:color="auto"/>
        <w:left w:val="none" w:sz="0" w:space="0" w:color="auto"/>
        <w:bottom w:val="none" w:sz="0" w:space="0" w:color="auto"/>
        <w:right w:val="none" w:sz="0" w:space="0" w:color="auto"/>
      </w:divBdr>
      <w:divsChild>
        <w:div w:id="21247625">
          <w:marLeft w:val="0"/>
          <w:marRight w:val="0"/>
          <w:marTop w:val="0"/>
          <w:marBottom w:val="0"/>
          <w:divBdr>
            <w:top w:val="none" w:sz="0" w:space="0" w:color="auto"/>
            <w:left w:val="none" w:sz="0" w:space="0" w:color="auto"/>
            <w:bottom w:val="none" w:sz="0" w:space="0" w:color="auto"/>
            <w:right w:val="none" w:sz="0" w:space="0" w:color="auto"/>
          </w:divBdr>
          <w:divsChild>
            <w:div w:id="1720327227">
              <w:marLeft w:val="0"/>
              <w:marRight w:val="0"/>
              <w:marTop w:val="0"/>
              <w:marBottom w:val="0"/>
              <w:divBdr>
                <w:top w:val="none" w:sz="0" w:space="0" w:color="auto"/>
                <w:left w:val="none" w:sz="0" w:space="0" w:color="auto"/>
                <w:bottom w:val="none" w:sz="0" w:space="0" w:color="auto"/>
                <w:right w:val="none" w:sz="0" w:space="0" w:color="auto"/>
              </w:divBdr>
            </w:div>
          </w:divsChild>
        </w:div>
        <w:div w:id="26298634">
          <w:marLeft w:val="0"/>
          <w:marRight w:val="0"/>
          <w:marTop w:val="0"/>
          <w:marBottom w:val="0"/>
          <w:divBdr>
            <w:top w:val="none" w:sz="0" w:space="0" w:color="auto"/>
            <w:left w:val="none" w:sz="0" w:space="0" w:color="auto"/>
            <w:bottom w:val="none" w:sz="0" w:space="0" w:color="auto"/>
            <w:right w:val="none" w:sz="0" w:space="0" w:color="auto"/>
          </w:divBdr>
          <w:divsChild>
            <w:div w:id="1164127515">
              <w:marLeft w:val="0"/>
              <w:marRight w:val="0"/>
              <w:marTop w:val="0"/>
              <w:marBottom w:val="0"/>
              <w:divBdr>
                <w:top w:val="none" w:sz="0" w:space="0" w:color="auto"/>
                <w:left w:val="none" w:sz="0" w:space="0" w:color="auto"/>
                <w:bottom w:val="none" w:sz="0" w:space="0" w:color="auto"/>
                <w:right w:val="none" w:sz="0" w:space="0" w:color="auto"/>
              </w:divBdr>
            </w:div>
          </w:divsChild>
        </w:div>
        <w:div w:id="63335442">
          <w:marLeft w:val="0"/>
          <w:marRight w:val="0"/>
          <w:marTop w:val="0"/>
          <w:marBottom w:val="0"/>
          <w:divBdr>
            <w:top w:val="none" w:sz="0" w:space="0" w:color="auto"/>
            <w:left w:val="none" w:sz="0" w:space="0" w:color="auto"/>
            <w:bottom w:val="none" w:sz="0" w:space="0" w:color="auto"/>
            <w:right w:val="none" w:sz="0" w:space="0" w:color="auto"/>
          </w:divBdr>
          <w:divsChild>
            <w:div w:id="64188093">
              <w:marLeft w:val="0"/>
              <w:marRight w:val="0"/>
              <w:marTop w:val="0"/>
              <w:marBottom w:val="0"/>
              <w:divBdr>
                <w:top w:val="none" w:sz="0" w:space="0" w:color="auto"/>
                <w:left w:val="none" w:sz="0" w:space="0" w:color="auto"/>
                <w:bottom w:val="none" w:sz="0" w:space="0" w:color="auto"/>
                <w:right w:val="none" w:sz="0" w:space="0" w:color="auto"/>
              </w:divBdr>
            </w:div>
          </w:divsChild>
        </w:div>
        <w:div w:id="117838730">
          <w:marLeft w:val="0"/>
          <w:marRight w:val="0"/>
          <w:marTop w:val="0"/>
          <w:marBottom w:val="0"/>
          <w:divBdr>
            <w:top w:val="none" w:sz="0" w:space="0" w:color="auto"/>
            <w:left w:val="none" w:sz="0" w:space="0" w:color="auto"/>
            <w:bottom w:val="none" w:sz="0" w:space="0" w:color="auto"/>
            <w:right w:val="none" w:sz="0" w:space="0" w:color="auto"/>
          </w:divBdr>
          <w:divsChild>
            <w:div w:id="1034158330">
              <w:marLeft w:val="0"/>
              <w:marRight w:val="0"/>
              <w:marTop w:val="0"/>
              <w:marBottom w:val="0"/>
              <w:divBdr>
                <w:top w:val="none" w:sz="0" w:space="0" w:color="auto"/>
                <w:left w:val="none" w:sz="0" w:space="0" w:color="auto"/>
                <w:bottom w:val="none" w:sz="0" w:space="0" w:color="auto"/>
                <w:right w:val="none" w:sz="0" w:space="0" w:color="auto"/>
              </w:divBdr>
            </w:div>
          </w:divsChild>
        </w:div>
        <w:div w:id="166362024">
          <w:marLeft w:val="0"/>
          <w:marRight w:val="0"/>
          <w:marTop w:val="0"/>
          <w:marBottom w:val="0"/>
          <w:divBdr>
            <w:top w:val="none" w:sz="0" w:space="0" w:color="auto"/>
            <w:left w:val="none" w:sz="0" w:space="0" w:color="auto"/>
            <w:bottom w:val="none" w:sz="0" w:space="0" w:color="auto"/>
            <w:right w:val="none" w:sz="0" w:space="0" w:color="auto"/>
          </w:divBdr>
          <w:divsChild>
            <w:div w:id="143546318">
              <w:marLeft w:val="0"/>
              <w:marRight w:val="0"/>
              <w:marTop w:val="0"/>
              <w:marBottom w:val="0"/>
              <w:divBdr>
                <w:top w:val="none" w:sz="0" w:space="0" w:color="auto"/>
                <w:left w:val="none" w:sz="0" w:space="0" w:color="auto"/>
                <w:bottom w:val="none" w:sz="0" w:space="0" w:color="auto"/>
                <w:right w:val="none" w:sz="0" w:space="0" w:color="auto"/>
              </w:divBdr>
            </w:div>
          </w:divsChild>
        </w:div>
        <w:div w:id="261496234">
          <w:marLeft w:val="0"/>
          <w:marRight w:val="0"/>
          <w:marTop w:val="0"/>
          <w:marBottom w:val="0"/>
          <w:divBdr>
            <w:top w:val="none" w:sz="0" w:space="0" w:color="auto"/>
            <w:left w:val="none" w:sz="0" w:space="0" w:color="auto"/>
            <w:bottom w:val="none" w:sz="0" w:space="0" w:color="auto"/>
            <w:right w:val="none" w:sz="0" w:space="0" w:color="auto"/>
          </w:divBdr>
          <w:divsChild>
            <w:div w:id="32192746">
              <w:marLeft w:val="0"/>
              <w:marRight w:val="0"/>
              <w:marTop w:val="0"/>
              <w:marBottom w:val="0"/>
              <w:divBdr>
                <w:top w:val="none" w:sz="0" w:space="0" w:color="auto"/>
                <w:left w:val="none" w:sz="0" w:space="0" w:color="auto"/>
                <w:bottom w:val="none" w:sz="0" w:space="0" w:color="auto"/>
                <w:right w:val="none" w:sz="0" w:space="0" w:color="auto"/>
              </w:divBdr>
            </w:div>
          </w:divsChild>
        </w:div>
        <w:div w:id="326716128">
          <w:marLeft w:val="0"/>
          <w:marRight w:val="0"/>
          <w:marTop w:val="0"/>
          <w:marBottom w:val="0"/>
          <w:divBdr>
            <w:top w:val="none" w:sz="0" w:space="0" w:color="auto"/>
            <w:left w:val="none" w:sz="0" w:space="0" w:color="auto"/>
            <w:bottom w:val="none" w:sz="0" w:space="0" w:color="auto"/>
            <w:right w:val="none" w:sz="0" w:space="0" w:color="auto"/>
          </w:divBdr>
          <w:divsChild>
            <w:div w:id="621570606">
              <w:marLeft w:val="0"/>
              <w:marRight w:val="0"/>
              <w:marTop w:val="0"/>
              <w:marBottom w:val="0"/>
              <w:divBdr>
                <w:top w:val="none" w:sz="0" w:space="0" w:color="auto"/>
                <w:left w:val="none" w:sz="0" w:space="0" w:color="auto"/>
                <w:bottom w:val="none" w:sz="0" w:space="0" w:color="auto"/>
                <w:right w:val="none" w:sz="0" w:space="0" w:color="auto"/>
              </w:divBdr>
            </w:div>
          </w:divsChild>
        </w:div>
        <w:div w:id="334110998">
          <w:marLeft w:val="0"/>
          <w:marRight w:val="0"/>
          <w:marTop w:val="0"/>
          <w:marBottom w:val="0"/>
          <w:divBdr>
            <w:top w:val="none" w:sz="0" w:space="0" w:color="auto"/>
            <w:left w:val="none" w:sz="0" w:space="0" w:color="auto"/>
            <w:bottom w:val="none" w:sz="0" w:space="0" w:color="auto"/>
            <w:right w:val="none" w:sz="0" w:space="0" w:color="auto"/>
          </w:divBdr>
          <w:divsChild>
            <w:div w:id="1062825298">
              <w:marLeft w:val="0"/>
              <w:marRight w:val="0"/>
              <w:marTop w:val="0"/>
              <w:marBottom w:val="0"/>
              <w:divBdr>
                <w:top w:val="none" w:sz="0" w:space="0" w:color="auto"/>
                <w:left w:val="none" w:sz="0" w:space="0" w:color="auto"/>
                <w:bottom w:val="none" w:sz="0" w:space="0" w:color="auto"/>
                <w:right w:val="none" w:sz="0" w:space="0" w:color="auto"/>
              </w:divBdr>
            </w:div>
          </w:divsChild>
        </w:div>
        <w:div w:id="413475929">
          <w:marLeft w:val="0"/>
          <w:marRight w:val="0"/>
          <w:marTop w:val="0"/>
          <w:marBottom w:val="0"/>
          <w:divBdr>
            <w:top w:val="none" w:sz="0" w:space="0" w:color="auto"/>
            <w:left w:val="none" w:sz="0" w:space="0" w:color="auto"/>
            <w:bottom w:val="none" w:sz="0" w:space="0" w:color="auto"/>
            <w:right w:val="none" w:sz="0" w:space="0" w:color="auto"/>
          </w:divBdr>
          <w:divsChild>
            <w:div w:id="646209833">
              <w:marLeft w:val="0"/>
              <w:marRight w:val="0"/>
              <w:marTop w:val="0"/>
              <w:marBottom w:val="0"/>
              <w:divBdr>
                <w:top w:val="none" w:sz="0" w:space="0" w:color="auto"/>
                <w:left w:val="none" w:sz="0" w:space="0" w:color="auto"/>
                <w:bottom w:val="none" w:sz="0" w:space="0" w:color="auto"/>
                <w:right w:val="none" w:sz="0" w:space="0" w:color="auto"/>
              </w:divBdr>
            </w:div>
          </w:divsChild>
        </w:div>
        <w:div w:id="435834934">
          <w:marLeft w:val="0"/>
          <w:marRight w:val="0"/>
          <w:marTop w:val="0"/>
          <w:marBottom w:val="0"/>
          <w:divBdr>
            <w:top w:val="none" w:sz="0" w:space="0" w:color="auto"/>
            <w:left w:val="none" w:sz="0" w:space="0" w:color="auto"/>
            <w:bottom w:val="none" w:sz="0" w:space="0" w:color="auto"/>
            <w:right w:val="none" w:sz="0" w:space="0" w:color="auto"/>
          </w:divBdr>
          <w:divsChild>
            <w:div w:id="1763407697">
              <w:marLeft w:val="0"/>
              <w:marRight w:val="0"/>
              <w:marTop w:val="0"/>
              <w:marBottom w:val="0"/>
              <w:divBdr>
                <w:top w:val="none" w:sz="0" w:space="0" w:color="auto"/>
                <w:left w:val="none" w:sz="0" w:space="0" w:color="auto"/>
                <w:bottom w:val="none" w:sz="0" w:space="0" w:color="auto"/>
                <w:right w:val="none" w:sz="0" w:space="0" w:color="auto"/>
              </w:divBdr>
            </w:div>
          </w:divsChild>
        </w:div>
        <w:div w:id="463545244">
          <w:marLeft w:val="0"/>
          <w:marRight w:val="0"/>
          <w:marTop w:val="0"/>
          <w:marBottom w:val="0"/>
          <w:divBdr>
            <w:top w:val="none" w:sz="0" w:space="0" w:color="auto"/>
            <w:left w:val="none" w:sz="0" w:space="0" w:color="auto"/>
            <w:bottom w:val="none" w:sz="0" w:space="0" w:color="auto"/>
            <w:right w:val="none" w:sz="0" w:space="0" w:color="auto"/>
          </w:divBdr>
          <w:divsChild>
            <w:div w:id="520819107">
              <w:marLeft w:val="0"/>
              <w:marRight w:val="0"/>
              <w:marTop w:val="0"/>
              <w:marBottom w:val="0"/>
              <w:divBdr>
                <w:top w:val="none" w:sz="0" w:space="0" w:color="auto"/>
                <w:left w:val="none" w:sz="0" w:space="0" w:color="auto"/>
                <w:bottom w:val="none" w:sz="0" w:space="0" w:color="auto"/>
                <w:right w:val="none" w:sz="0" w:space="0" w:color="auto"/>
              </w:divBdr>
            </w:div>
          </w:divsChild>
        </w:div>
        <w:div w:id="465898708">
          <w:marLeft w:val="0"/>
          <w:marRight w:val="0"/>
          <w:marTop w:val="0"/>
          <w:marBottom w:val="0"/>
          <w:divBdr>
            <w:top w:val="none" w:sz="0" w:space="0" w:color="auto"/>
            <w:left w:val="none" w:sz="0" w:space="0" w:color="auto"/>
            <w:bottom w:val="none" w:sz="0" w:space="0" w:color="auto"/>
            <w:right w:val="none" w:sz="0" w:space="0" w:color="auto"/>
          </w:divBdr>
          <w:divsChild>
            <w:div w:id="612976806">
              <w:marLeft w:val="0"/>
              <w:marRight w:val="0"/>
              <w:marTop w:val="0"/>
              <w:marBottom w:val="0"/>
              <w:divBdr>
                <w:top w:val="none" w:sz="0" w:space="0" w:color="auto"/>
                <w:left w:val="none" w:sz="0" w:space="0" w:color="auto"/>
                <w:bottom w:val="none" w:sz="0" w:space="0" w:color="auto"/>
                <w:right w:val="none" w:sz="0" w:space="0" w:color="auto"/>
              </w:divBdr>
            </w:div>
          </w:divsChild>
        </w:div>
        <w:div w:id="535657505">
          <w:marLeft w:val="0"/>
          <w:marRight w:val="0"/>
          <w:marTop w:val="0"/>
          <w:marBottom w:val="0"/>
          <w:divBdr>
            <w:top w:val="none" w:sz="0" w:space="0" w:color="auto"/>
            <w:left w:val="none" w:sz="0" w:space="0" w:color="auto"/>
            <w:bottom w:val="none" w:sz="0" w:space="0" w:color="auto"/>
            <w:right w:val="none" w:sz="0" w:space="0" w:color="auto"/>
          </w:divBdr>
          <w:divsChild>
            <w:div w:id="2057121436">
              <w:marLeft w:val="0"/>
              <w:marRight w:val="0"/>
              <w:marTop w:val="0"/>
              <w:marBottom w:val="0"/>
              <w:divBdr>
                <w:top w:val="none" w:sz="0" w:space="0" w:color="auto"/>
                <w:left w:val="none" w:sz="0" w:space="0" w:color="auto"/>
                <w:bottom w:val="none" w:sz="0" w:space="0" w:color="auto"/>
                <w:right w:val="none" w:sz="0" w:space="0" w:color="auto"/>
              </w:divBdr>
            </w:div>
          </w:divsChild>
        </w:div>
        <w:div w:id="584605396">
          <w:marLeft w:val="0"/>
          <w:marRight w:val="0"/>
          <w:marTop w:val="0"/>
          <w:marBottom w:val="0"/>
          <w:divBdr>
            <w:top w:val="none" w:sz="0" w:space="0" w:color="auto"/>
            <w:left w:val="none" w:sz="0" w:space="0" w:color="auto"/>
            <w:bottom w:val="none" w:sz="0" w:space="0" w:color="auto"/>
            <w:right w:val="none" w:sz="0" w:space="0" w:color="auto"/>
          </w:divBdr>
          <w:divsChild>
            <w:div w:id="906258971">
              <w:marLeft w:val="0"/>
              <w:marRight w:val="0"/>
              <w:marTop w:val="0"/>
              <w:marBottom w:val="0"/>
              <w:divBdr>
                <w:top w:val="none" w:sz="0" w:space="0" w:color="auto"/>
                <w:left w:val="none" w:sz="0" w:space="0" w:color="auto"/>
                <w:bottom w:val="none" w:sz="0" w:space="0" w:color="auto"/>
                <w:right w:val="none" w:sz="0" w:space="0" w:color="auto"/>
              </w:divBdr>
            </w:div>
          </w:divsChild>
        </w:div>
        <w:div w:id="596060182">
          <w:marLeft w:val="0"/>
          <w:marRight w:val="0"/>
          <w:marTop w:val="0"/>
          <w:marBottom w:val="0"/>
          <w:divBdr>
            <w:top w:val="none" w:sz="0" w:space="0" w:color="auto"/>
            <w:left w:val="none" w:sz="0" w:space="0" w:color="auto"/>
            <w:bottom w:val="none" w:sz="0" w:space="0" w:color="auto"/>
            <w:right w:val="none" w:sz="0" w:space="0" w:color="auto"/>
          </w:divBdr>
          <w:divsChild>
            <w:div w:id="1744600744">
              <w:marLeft w:val="0"/>
              <w:marRight w:val="0"/>
              <w:marTop w:val="0"/>
              <w:marBottom w:val="0"/>
              <w:divBdr>
                <w:top w:val="none" w:sz="0" w:space="0" w:color="auto"/>
                <w:left w:val="none" w:sz="0" w:space="0" w:color="auto"/>
                <w:bottom w:val="none" w:sz="0" w:space="0" w:color="auto"/>
                <w:right w:val="none" w:sz="0" w:space="0" w:color="auto"/>
              </w:divBdr>
            </w:div>
          </w:divsChild>
        </w:div>
        <w:div w:id="648440407">
          <w:marLeft w:val="0"/>
          <w:marRight w:val="0"/>
          <w:marTop w:val="0"/>
          <w:marBottom w:val="0"/>
          <w:divBdr>
            <w:top w:val="none" w:sz="0" w:space="0" w:color="auto"/>
            <w:left w:val="none" w:sz="0" w:space="0" w:color="auto"/>
            <w:bottom w:val="none" w:sz="0" w:space="0" w:color="auto"/>
            <w:right w:val="none" w:sz="0" w:space="0" w:color="auto"/>
          </w:divBdr>
          <w:divsChild>
            <w:div w:id="9571947">
              <w:marLeft w:val="0"/>
              <w:marRight w:val="0"/>
              <w:marTop w:val="0"/>
              <w:marBottom w:val="0"/>
              <w:divBdr>
                <w:top w:val="none" w:sz="0" w:space="0" w:color="auto"/>
                <w:left w:val="none" w:sz="0" w:space="0" w:color="auto"/>
                <w:bottom w:val="none" w:sz="0" w:space="0" w:color="auto"/>
                <w:right w:val="none" w:sz="0" w:space="0" w:color="auto"/>
              </w:divBdr>
            </w:div>
          </w:divsChild>
        </w:div>
        <w:div w:id="650982919">
          <w:marLeft w:val="0"/>
          <w:marRight w:val="0"/>
          <w:marTop w:val="0"/>
          <w:marBottom w:val="0"/>
          <w:divBdr>
            <w:top w:val="none" w:sz="0" w:space="0" w:color="auto"/>
            <w:left w:val="none" w:sz="0" w:space="0" w:color="auto"/>
            <w:bottom w:val="none" w:sz="0" w:space="0" w:color="auto"/>
            <w:right w:val="none" w:sz="0" w:space="0" w:color="auto"/>
          </w:divBdr>
          <w:divsChild>
            <w:div w:id="488836031">
              <w:marLeft w:val="0"/>
              <w:marRight w:val="0"/>
              <w:marTop w:val="0"/>
              <w:marBottom w:val="0"/>
              <w:divBdr>
                <w:top w:val="none" w:sz="0" w:space="0" w:color="auto"/>
                <w:left w:val="none" w:sz="0" w:space="0" w:color="auto"/>
                <w:bottom w:val="none" w:sz="0" w:space="0" w:color="auto"/>
                <w:right w:val="none" w:sz="0" w:space="0" w:color="auto"/>
              </w:divBdr>
            </w:div>
          </w:divsChild>
        </w:div>
        <w:div w:id="654649047">
          <w:marLeft w:val="0"/>
          <w:marRight w:val="0"/>
          <w:marTop w:val="0"/>
          <w:marBottom w:val="0"/>
          <w:divBdr>
            <w:top w:val="none" w:sz="0" w:space="0" w:color="auto"/>
            <w:left w:val="none" w:sz="0" w:space="0" w:color="auto"/>
            <w:bottom w:val="none" w:sz="0" w:space="0" w:color="auto"/>
            <w:right w:val="none" w:sz="0" w:space="0" w:color="auto"/>
          </w:divBdr>
          <w:divsChild>
            <w:div w:id="1028527120">
              <w:marLeft w:val="0"/>
              <w:marRight w:val="0"/>
              <w:marTop w:val="0"/>
              <w:marBottom w:val="0"/>
              <w:divBdr>
                <w:top w:val="none" w:sz="0" w:space="0" w:color="auto"/>
                <w:left w:val="none" w:sz="0" w:space="0" w:color="auto"/>
                <w:bottom w:val="none" w:sz="0" w:space="0" w:color="auto"/>
                <w:right w:val="none" w:sz="0" w:space="0" w:color="auto"/>
              </w:divBdr>
            </w:div>
          </w:divsChild>
        </w:div>
        <w:div w:id="680202880">
          <w:marLeft w:val="0"/>
          <w:marRight w:val="0"/>
          <w:marTop w:val="0"/>
          <w:marBottom w:val="0"/>
          <w:divBdr>
            <w:top w:val="none" w:sz="0" w:space="0" w:color="auto"/>
            <w:left w:val="none" w:sz="0" w:space="0" w:color="auto"/>
            <w:bottom w:val="none" w:sz="0" w:space="0" w:color="auto"/>
            <w:right w:val="none" w:sz="0" w:space="0" w:color="auto"/>
          </w:divBdr>
          <w:divsChild>
            <w:div w:id="558175615">
              <w:marLeft w:val="0"/>
              <w:marRight w:val="0"/>
              <w:marTop w:val="0"/>
              <w:marBottom w:val="0"/>
              <w:divBdr>
                <w:top w:val="none" w:sz="0" w:space="0" w:color="auto"/>
                <w:left w:val="none" w:sz="0" w:space="0" w:color="auto"/>
                <w:bottom w:val="none" w:sz="0" w:space="0" w:color="auto"/>
                <w:right w:val="none" w:sz="0" w:space="0" w:color="auto"/>
              </w:divBdr>
            </w:div>
          </w:divsChild>
        </w:div>
        <w:div w:id="815073572">
          <w:marLeft w:val="0"/>
          <w:marRight w:val="0"/>
          <w:marTop w:val="0"/>
          <w:marBottom w:val="0"/>
          <w:divBdr>
            <w:top w:val="none" w:sz="0" w:space="0" w:color="auto"/>
            <w:left w:val="none" w:sz="0" w:space="0" w:color="auto"/>
            <w:bottom w:val="none" w:sz="0" w:space="0" w:color="auto"/>
            <w:right w:val="none" w:sz="0" w:space="0" w:color="auto"/>
          </w:divBdr>
          <w:divsChild>
            <w:div w:id="1579316740">
              <w:marLeft w:val="0"/>
              <w:marRight w:val="0"/>
              <w:marTop w:val="0"/>
              <w:marBottom w:val="0"/>
              <w:divBdr>
                <w:top w:val="none" w:sz="0" w:space="0" w:color="auto"/>
                <w:left w:val="none" w:sz="0" w:space="0" w:color="auto"/>
                <w:bottom w:val="none" w:sz="0" w:space="0" w:color="auto"/>
                <w:right w:val="none" w:sz="0" w:space="0" w:color="auto"/>
              </w:divBdr>
            </w:div>
          </w:divsChild>
        </w:div>
        <w:div w:id="852960398">
          <w:marLeft w:val="0"/>
          <w:marRight w:val="0"/>
          <w:marTop w:val="0"/>
          <w:marBottom w:val="0"/>
          <w:divBdr>
            <w:top w:val="none" w:sz="0" w:space="0" w:color="auto"/>
            <w:left w:val="none" w:sz="0" w:space="0" w:color="auto"/>
            <w:bottom w:val="none" w:sz="0" w:space="0" w:color="auto"/>
            <w:right w:val="none" w:sz="0" w:space="0" w:color="auto"/>
          </w:divBdr>
          <w:divsChild>
            <w:div w:id="1044132579">
              <w:marLeft w:val="0"/>
              <w:marRight w:val="0"/>
              <w:marTop w:val="0"/>
              <w:marBottom w:val="0"/>
              <w:divBdr>
                <w:top w:val="none" w:sz="0" w:space="0" w:color="auto"/>
                <w:left w:val="none" w:sz="0" w:space="0" w:color="auto"/>
                <w:bottom w:val="none" w:sz="0" w:space="0" w:color="auto"/>
                <w:right w:val="none" w:sz="0" w:space="0" w:color="auto"/>
              </w:divBdr>
            </w:div>
          </w:divsChild>
        </w:div>
        <w:div w:id="867572099">
          <w:marLeft w:val="0"/>
          <w:marRight w:val="0"/>
          <w:marTop w:val="0"/>
          <w:marBottom w:val="0"/>
          <w:divBdr>
            <w:top w:val="none" w:sz="0" w:space="0" w:color="auto"/>
            <w:left w:val="none" w:sz="0" w:space="0" w:color="auto"/>
            <w:bottom w:val="none" w:sz="0" w:space="0" w:color="auto"/>
            <w:right w:val="none" w:sz="0" w:space="0" w:color="auto"/>
          </w:divBdr>
          <w:divsChild>
            <w:div w:id="836580050">
              <w:marLeft w:val="0"/>
              <w:marRight w:val="0"/>
              <w:marTop w:val="0"/>
              <w:marBottom w:val="0"/>
              <w:divBdr>
                <w:top w:val="none" w:sz="0" w:space="0" w:color="auto"/>
                <w:left w:val="none" w:sz="0" w:space="0" w:color="auto"/>
                <w:bottom w:val="none" w:sz="0" w:space="0" w:color="auto"/>
                <w:right w:val="none" w:sz="0" w:space="0" w:color="auto"/>
              </w:divBdr>
            </w:div>
          </w:divsChild>
        </w:div>
        <w:div w:id="926621449">
          <w:marLeft w:val="0"/>
          <w:marRight w:val="0"/>
          <w:marTop w:val="0"/>
          <w:marBottom w:val="0"/>
          <w:divBdr>
            <w:top w:val="none" w:sz="0" w:space="0" w:color="auto"/>
            <w:left w:val="none" w:sz="0" w:space="0" w:color="auto"/>
            <w:bottom w:val="none" w:sz="0" w:space="0" w:color="auto"/>
            <w:right w:val="none" w:sz="0" w:space="0" w:color="auto"/>
          </w:divBdr>
          <w:divsChild>
            <w:div w:id="1118640181">
              <w:marLeft w:val="0"/>
              <w:marRight w:val="0"/>
              <w:marTop w:val="0"/>
              <w:marBottom w:val="0"/>
              <w:divBdr>
                <w:top w:val="none" w:sz="0" w:space="0" w:color="auto"/>
                <w:left w:val="none" w:sz="0" w:space="0" w:color="auto"/>
                <w:bottom w:val="none" w:sz="0" w:space="0" w:color="auto"/>
                <w:right w:val="none" w:sz="0" w:space="0" w:color="auto"/>
              </w:divBdr>
            </w:div>
          </w:divsChild>
        </w:div>
        <w:div w:id="965624709">
          <w:marLeft w:val="0"/>
          <w:marRight w:val="0"/>
          <w:marTop w:val="0"/>
          <w:marBottom w:val="0"/>
          <w:divBdr>
            <w:top w:val="none" w:sz="0" w:space="0" w:color="auto"/>
            <w:left w:val="none" w:sz="0" w:space="0" w:color="auto"/>
            <w:bottom w:val="none" w:sz="0" w:space="0" w:color="auto"/>
            <w:right w:val="none" w:sz="0" w:space="0" w:color="auto"/>
          </w:divBdr>
          <w:divsChild>
            <w:div w:id="229733075">
              <w:marLeft w:val="0"/>
              <w:marRight w:val="0"/>
              <w:marTop w:val="0"/>
              <w:marBottom w:val="0"/>
              <w:divBdr>
                <w:top w:val="none" w:sz="0" w:space="0" w:color="auto"/>
                <w:left w:val="none" w:sz="0" w:space="0" w:color="auto"/>
                <w:bottom w:val="none" w:sz="0" w:space="0" w:color="auto"/>
                <w:right w:val="none" w:sz="0" w:space="0" w:color="auto"/>
              </w:divBdr>
            </w:div>
          </w:divsChild>
        </w:div>
        <w:div w:id="1017777673">
          <w:marLeft w:val="0"/>
          <w:marRight w:val="0"/>
          <w:marTop w:val="0"/>
          <w:marBottom w:val="0"/>
          <w:divBdr>
            <w:top w:val="none" w:sz="0" w:space="0" w:color="auto"/>
            <w:left w:val="none" w:sz="0" w:space="0" w:color="auto"/>
            <w:bottom w:val="none" w:sz="0" w:space="0" w:color="auto"/>
            <w:right w:val="none" w:sz="0" w:space="0" w:color="auto"/>
          </w:divBdr>
          <w:divsChild>
            <w:div w:id="1351183596">
              <w:marLeft w:val="0"/>
              <w:marRight w:val="0"/>
              <w:marTop w:val="0"/>
              <w:marBottom w:val="0"/>
              <w:divBdr>
                <w:top w:val="none" w:sz="0" w:space="0" w:color="auto"/>
                <w:left w:val="none" w:sz="0" w:space="0" w:color="auto"/>
                <w:bottom w:val="none" w:sz="0" w:space="0" w:color="auto"/>
                <w:right w:val="none" w:sz="0" w:space="0" w:color="auto"/>
              </w:divBdr>
            </w:div>
          </w:divsChild>
        </w:div>
        <w:div w:id="1207261211">
          <w:marLeft w:val="0"/>
          <w:marRight w:val="0"/>
          <w:marTop w:val="0"/>
          <w:marBottom w:val="0"/>
          <w:divBdr>
            <w:top w:val="none" w:sz="0" w:space="0" w:color="auto"/>
            <w:left w:val="none" w:sz="0" w:space="0" w:color="auto"/>
            <w:bottom w:val="none" w:sz="0" w:space="0" w:color="auto"/>
            <w:right w:val="none" w:sz="0" w:space="0" w:color="auto"/>
          </w:divBdr>
          <w:divsChild>
            <w:div w:id="1030257971">
              <w:marLeft w:val="0"/>
              <w:marRight w:val="0"/>
              <w:marTop w:val="0"/>
              <w:marBottom w:val="0"/>
              <w:divBdr>
                <w:top w:val="none" w:sz="0" w:space="0" w:color="auto"/>
                <w:left w:val="none" w:sz="0" w:space="0" w:color="auto"/>
                <w:bottom w:val="none" w:sz="0" w:space="0" w:color="auto"/>
                <w:right w:val="none" w:sz="0" w:space="0" w:color="auto"/>
              </w:divBdr>
            </w:div>
          </w:divsChild>
        </w:div>
        <w:div w:id="1303730975">
          <w:marLeft w:val="0"/>
          <w:marRight w:val="0"/>
          <w:marTop w:val="0"/>
          <w:marBottom w:val="0"/>
          <w:divBdr>
            <w:top w:val="none" w:sz="0" w:space="0" w:color="auto"/>
            <w:left w:val="none" w:sz="0" w:space="0" w:color="auto"/>
            <w:bottom w:val="none" w:sz="0" w:space="0" w:color="auto"/>
            <w:right w:val="none" w:sz="0" w:space="0" w:color="auto"/>
          </w:divBdr>
          <w:divsChild>
            <w:div w:id="1887643723">
              <w:marLeft w:val="0"/>
              <w:marRight w:val="0"/>
              <w:marTop w:val="0"/>
              <w:marBottom w:val="0"/>
              <w:divBdr>
                <w:top w:val="none" w:sz="0" w:space="0" w:color="auto"/>
                <w:left w:val="none" w:sz="0" w:space="0" w:color="auto"/>
                <w:bottom w:val="none" w:sz="0" w:space="0" w:color="auto"/>
                <w:right w:val="none" w:sz="0" w:space="0" w:color="auto"/>
              </w:divBdr>
            </w:div>
          </w:divsChild>
        </w:div>
        <w:div w:id="1344818074">
          <w:marLeft w:val="0"/>
          <w:marRight w:val="0"/>
          <w:marTop w:val="0"/>
          <w:marBottom w:val="0"/>
          <w:divBdr>
            <w:top w:val="none" w:sz="0" w:space="0" w:color="auto"/>
            <w:left w:val="none" w:sz="0" w:space="0" w:color="auto"/>
            <w:bottom w:val="none" w:sz="0" w:space="0" w:color="auto"/>
            <w:right w:val="none" w:sz="0" w:space="0" w:color="auto"/>
          </w:divBdr>
          <w:divsChild>
            <w:div w:id="886601972">
              <w:marLeft w:val="0"/>
              <w:marRight w:val="0"/>
              <w:marTop w:val="0"/>
              <w:marBottom w:val="0"/>
              <w:divBdr>
                <w:top w:val="none" w:sz="0" w:space="0" w:color="auto"/>
                <w:left w:val="none" w:sz="0" w:space="0" w:color="auto"/>
                <w:bottom w:val="none" w:sz="0" w:space="0" w:color="auto"/>
                <w:right w:val="none" w:sz="0" w:space="0" w:color="auto"/>
              </w:divBdr>
            </w:div>
          </w:divsChild>
        </w:div>
        <w:div w:id="1347102144">
          <w:marLeft w:val="0"/>
          <w:marRight w:val="0"/>
          <w:marTop w:val="0"/>
          <w:marBottom w:val="0"/>
          <w:divBdr>
            <w:top w:val="none" w:sz="0" w:space="0" w:color="auto"/>
            <w:left w:val="none" w:sz="0" w:space="0" w:color="auto"/>
            <w:bottom w:val="none" w:sz="0" w:space="0" w:color="auto"/>
            <w:right w:val="none" w:sz="0" w:space="0" w:color="auto"/>
          </w:divBdr>
          <w:divsChild>
            <w:div w:id="1456487574">
              <w:marLeft w:val="0"/>
              <w:marRight w:val="0"/>
              <w:marTop w:val="0"/>
              <w:marBottom w:val="0"/>
              <w:divBdr>
                <w:top w:val="none" w:sz="0" w:space="0" w:color="auto"/>
                <w:left w:val="none" w:sz="0" w:space="0" w:color="auto"/>
                <w:bottom w:val="none" w:sz="0" w:space="0" w:color="auto"/>
                <w:right w:val="none" w:sz="0" w:space="0" w:color="auto"/>
              </w:divBdr>
            </w:div>
          </w:divsChild>
        </w:div>
        <w:div w:id="1383793798">
          <w:marLeft w:val="0"/>
          <w:marRight w:val="0"/>
          <w:marTop w:val="0"/>
          <w:marBottom w:val="0"/>
          <w:divBdr>
            <w:top w:val="none" w:sz="0" w:space="0" w:color="auto"/>
            <w:left w:val="none" w:sz="0" w:space="0" w:color="auto"/>
            <w:bottom w:val="none" w:sz="0" w:space="0" w:color="auto"/>
            <w:right w:val="none" w:sz="0" w:space="0" w:color="auto"/>
          </w:divBdr>
          <w:divsChild>
            <w:div w:id="813791446">
              <w:marLeft w:val="0"/>
              <w:marRight w:val="0"/>
              <w:marTop w:val="0"/>
              <w:marBottom w:val="0"/>
              <w:divBdr>
                <w:top w:val="none" w:sz="0" w:space="0" w:color="auto"/>
                <w:left w:val="none" w:sz="0" w:space="0" w:color="auto"/>
                <w:bottom w:val="none" w:sz="0" w:space="0" w:color="auto"/>
                <w:right w:val="none" w:sz="0" w:space="0" w:color="auto"/>
              </w:divBdr>
            </w:div>
          </w:divsChild>
        </w:div>
        <w:div w:id="1409958341">
          <w:marLeft w:val="0"/>
          <w:marRight w:val="0"/>
          <w:marTop w:val="0"/>
          <w:marBottom w:val="0"/>
          <w:divBdr>
            <w:top w:val="none" w:sz="0" w:space="0" w:color="auto"/>
            <w:left w:val="none" w:sz="0" w:space="0" w:color="auto"/>
            <w:bottom w:val="none" w:sz="0" w:space="0" w:color="auto"/>
            <w:right w:val="none" w:sz="0" w:space="0" w:color="auto"/>
          </w:divBdr>
          <w:divsChild>
            <w:div w:id="1261452351">
              <w:marLeft w:val="0"/>
              <w:marRight w:val="0"/>
              <w:marTop w:val="0"/>
              <w:marBottom w:val="0"/>
              <w:divBdr>
                <w:top w:val="none" w:sz="0" w:space="0" w:color="auto"/>
                <w:left w:val="none" w:sz="0" w:space="0" w:color="auto"/>
                <w:bottom w:val="none" w:sz="0" w:space="0" w:color="auto"/>
                <w:right w:val="none" w:sz="0" w:space="0" w:color="auto"/>
              </w:divBdr>
            </w:div>
          </w:divsChild>
        </w:div>
        <w:div w:id="1435057657">
          <w:marLeft w:val="0"/>
          <w:marRight w:val="0"/>
          <w:marTop w:val="0"/>
          <w:marBottom w:val="0"/>
          <w:divBdr>
            <w:top w:val="none" w:sz="0" w:space="0" w:color="auto"/>
            <w:left w:val="none" w:sz="0" w:space="0" w:color="auto"/>
            <w:bottom w:val="none" w:sz="0" w:space="0" w:color="auto"/>
            <w:right w:val="none" w:sz="0" w:space="0" w:color="auto"/>
          </w:divBdr>
          <w:divsChild>
            <w:div w:id="870920081">
              <w:marLeft w:val="0"/>
              <w:marRight w:val="0"/>
              <w:marTop w:val="0"/>
              <w:marBottom w:val="0"/>
              <w:divBdr>
                <w:top w:val="none" w:sz="0" w:space="0" w:color="auto"/>
                <w:left w:val="none" w:sz="0" w:space="0" w:color="auto"/>
                <w:bottom w:val="none" w:sz="0" w:space="0" w:color="auto"/>
                <w:right w:val="none" w:sz="0" w:space="0" w:color="auto"/>
              </w:divBdr>
            </w:div>
          </w:divsChild>
        </w:div>
        <w:div w:id="1459714018">
          <w:marLeft w:val="0"/>
          <w:marRight w:val="0"/>
          <w:marTop w:val="0"/>
          <w:marBottom w:val="0"/>
          <w:divBdr>
            <w:top w:val="none" w:sz="0" w:space="0" w:color="auto"/>
            <w:left w:val="none" w:sz="0" w:space="0" w:color="auto"/>
            <w:bottom w:val="none" w:sz="0" w:space="0" w:color="auto"/>
            <w:right w:val="none" w:sz="0" w:space="0" w:color="auto"/>
          </w:divBdr>
          <w:divsChild>
            <w:div w:id="1637907790">
              <w:marLeft w:val="0"/>
              <w:marRight w:val="0"/>
              <w:marTop w:val="0"/>
              <w:marBottom w:val="0"/>
              <w:divBdr>
                <w:top w:val="none" w:sz="0" w:space="0" w:color="auto"/>
                <w:left w:val="none" w:sz="0" w:space="0" w:color="auto"/>
                <w:bottom w:val="none" w:sz="0" w:space="0" w:color="auto"/>
                <w:right w:val="none" w:sz="0" w:space="0" w:color="auto"/>
              </w:divBdr>
            </w:div>
          </w:divsChild>
        </w:div>
        <w:div w:id="1483425098">
          <w:marLeft w:val="0"/>
          <w:marRight w:val="0"/>
          <w:marTop w:val="0"/>
          <w:marBottom w:val="0"/>
          <w:divBdr>
            <w:top w:val="none" w:sz="0" w:space="0" w:color="auto"/>
            <w:left w:val="none" w:sz="0" w:space="0" w:color="auto"/>
            <w:bottom w:val="none" w:sz="0" w:space="0" w:color="auto"/>
            <w:right w:val="none" w:sz="0" w:space="0" w:color="auto"/>
          </w:divBdr>
          <w:divsChild>
            <w:div w:id="458189163">
              <w:marLeft w:val="0"/>
              <w:marRight w:val="0"/>
              <w:marTop w:val="0"/>
              <w:marBottom w:val="0"/>
              <w:divBdr>
                <w:top w:val="none" w:sz="0" w:space="0" w:color="auto"/>
                <w:left w:val="none" w:sz="0" w:space="0" w:color="auto"/>
                <w:bottom w:val="none" w:sz="0" w:space="0" w:color="auto"/>
                <w:right w:val="none" w:sz="0" w:space="0" w:color="auto"/>
              </w:divBdr>
            </w:div>
          </w:divsChild>
        </w:div>
        <w:div w:id="1507749275">
          <w:marLeft w:val="0"/>
          <w:marRight w:val="0"/>
          <w:marTop w:val="0"/>
          <w:marBottom w:val="0"/>
          <w:divBdr>
            <w:top w:val="none" w:sz="0" w:space="0" w:color="auto"/>
            <w:left w:val="none" w:sz="0" w:space="0" w:color="auto"/>
            <w:bottom w:val="none" w:sz="0" w:space="0" w:color="auto"/>
            <w:right w:val="none" w:sz="0" w:space="0" w:color="auto"/>
          </w:divBdr>
          <w:divsChild>
            <w:div w:id="411007711">
              <w:marLeft w:val="0"/>
              <w:marRight w:val="0"/>
              <w:marTop w:val="0"/>
              <w:marBottom w:val="0"/>
              <w:divBdr>
                <w:top w:val="none" w:sz="0" w:space="0" w:color="auto"/>
                <w:left w:val="none" w:sz="0" w:space="0" w:color="auto"/>
                <w:bottom w:val="none" w:sz="0" w:space="0" w:color="auto"/>
                <w:right w:val="none" w:sz="0" w:space="0" w:color="auto"/>
              </w:divBdr>
            </w:div>
          </w:divsChild>
        </w:div>
        <w:div w:id="1553731750">
          <w:marLeft w:val="0"/>
          <w:marRight w:val="0"/>
          <w:marTop w:val="0"/>
          <w:marBottom w:val="0"/>
          <w:divBdr>
            <w:top w:val="none" w:sz="0" w:space="0" w:color="auto"/>
            <w:left w:val="none" w:sz="0" w:space="0" w:color="auto"/>
            <w:bottom w:val="none" w:sz="0" w:space="0" w:color="auto"/>
            <w:right w:val="none" w:sz="0" w:space="0" w:color="auto"/>
          </w:divBdr>
          <w:divsChild>
            <w:div w:id="224873580">
              <w:marLeft w:val="0"/>
              <w:marRight w:val="0"/>
              <w:marTop w:val="0"/>
              <w:marBottom w:val="0"/>
              <w:divBdr>
                <w:top w:val="none" w:sz="0" w:space="0" w:color="auto"/>
                <w:left w:val="none" w:sz="0" w:space="0" w:color="auto"/>
                <w:bottom w:val="none" w:sz="0" w:space="0" w:color="auto"/>
                <w:right w:val="none" w:sz="0" w:space="0" w:color="auto"/>
              </w:divBdr>
            </w:div>
          </w:divsChild>
        </w:div>
        <w:div w:id="1556772257">
          <w:marLeft w:val="0"/>
          <w:marRight w:val="0"/>
          <w:marTop w:val="0"/>
          <w:marBottom w:val="0"/>
          <w:divBdr>
            <w:top w:val="none" w:sz="0" w:space="0" w:color="auto"/>
            <w:left w:val="none" w:sz="0" w:space="0" w:color="auto"/>
            <w:bottom w:val="none" w:sz="0" w:space="0" w:color="auto"/>
            <w:right w:val="none" w:sz="0" w:space="0" w:color="auto"/>
          </w:divBdr>
          <w:divsChild>
            <w:div w:id="488060117">
              <w:marLeft w:val="0"/>
              <w:marRight w:val="0"/>
              <w:marTop w:val="0"/>
              <w:marBottom w:val="0"/>
              <w:divBdr>
                <w:top w:val="none" w:sz="0" w:space="0" w:color="auto"/>
                <w:left w:val="none" w:sz="0" w:space="0" w:color="auto"/>
                <w:bottom w:val="none" w:sz="0" w:space="0" w:color="auto"/>
                <w:right w:val="none" w:sz="0" w:space="0" w:color="auto"/>
              </w:divBdr>
            </w:div>
          </w:divsChild>
        </w:div>
        <w:div w:id="1598632573">
          <w:marLeft w:val="0"/>
          <w:marRight w:val="0"/>
          <w:marTop w:val="0"/>
          <w:marBottom w:val="0"/>
          <w:divBdr>
            <w:top w:val="none" w:sz="0" w:space="0" w:color="auto"/>
            <w:left w:val="none" w:sz="0" w:space="0" w:color="auto"/>
            <w:bottom w:val="none" w:sz="0" w:space="0" w:color="auto"/>
            <w:right w:val="none" w:sz="0" w:space="0" w:color="auto"/>
          </w:divBdr>
          <w:divsChild>
            <w:div w:id="1040861615">
              <w:marLeft w:val="0"/>
              <w:marRight w:val="0"/>
              <w:marTop w:val="0"/>
              <w:marBottom w:val="0"/>
              <w:divBdr>
                <w:top w:val="none" w:sz="0" w:space="0" w:color="auto"/>
                <w:left w:val="none" w:sz="0" w:space="0" w:color="auto"/>
                <w:bottom w:val="none" w:sz="0" w:space="0" w:color="auto"/>
                <w:right w:val="none" w:sz="0" w:space="0" w:color="auto"/>
              </w:divBdr>
            </w:div>
          </w:divsChild>
        </w:div>
        <w:div w:id="1819835988">
          <w:marLeft w:val="0"/>
          <w:marRight w:val="0"/>
          <w:marTop w:val="0"/>
          <w:marBottom w:val="0"/>
          <w:divBdr>
            <w:top w:val="none" w:sz="0" w:space="0" w:color="auto"/>
            <w:left w:val="none" w:sz="0" w:space="0" w:color="auto"/>
            <w:bottom w:val="none" w:sz="0" w:space="0" w:color="auto"/>
            <w:right w:val="none" w:sz="0" w:space="0" w:color="auto"/>
          </w:divBdr>
          <w:divsChild>
            <w:div w:id="56251270">
              <w:marLeft w:val="0"/>
              <w:marRight w:val="0"/>
              <w:marTop w:val="0"/>
              <w:marBottom w:val="0"/>
              <w:divBdr>
                <w:top w:val="none" w:sz="0" w:space="0" w:color="auto"/>
                <w:left w:val="none" w:sz="0" w:space="0" w:color="auto"/>
                <w:bottom w:val="none" w:sz="0" w:space="0" w:color="auto"/>
                <w:right w:val="none" w:sz="0" w:space="0" w:color="auto"/>
              </w:divBdr>
            </w:div>
          </w:divsChild>
        </w:div>
        <w:div w:id="1860508054">
          <w:marLeft w:val="0"/>
          <w:marRight w:val="0"/>
          <w:marTop w:val="0"/>
          <w:marBottom w:val="0"/>
          <w:divBdr>
            <w:top w:val="none" w:sz="0" w:space="0" w:color="auto"/>
            <w:left w:val="none" w:sz="0" w:space="0" w:color="auto"/>
            <w:bottom w:val="none" w:sz="0" w:space="0" w:color="auto"/>
            <w:right w:val="none" w:sz="0" w:space="0" w:color="auto"/>
          </w:divBdr>
          <w:divsChild>
            <w:div w:id="189875938">
              <w:marLeft w:val="0"/>
              <w:marRight w:val="0"/>
              <w:marTop w:val="0"/>
              <w:marBottom w:val="0"/>
              <w:divBdr>
                <w:top w:val="none" w:sz="0" w:space="0" w:color="auto"/>
                <w:left w:val="none" w:sz="0" w:space="0" w:color="auto"/>
                <w:bottom w:val="none" w:sz="0" w:space="0" w:color="auto"/>
                <w:right w:val="none" w:sz="0" w:space="0" w:color="auto"/>
              </w:divBdr>
            </w:div>
          </w:divsChild>
        </w:div>
        <w:div w:id="1912302229">
          <w:marLeft w:val="0"/>
          <w:marRight w:val="0"/>
          <w:marTop w:val="0"/>
          <w:marBottom w:val="0"/>
          <w:divBdr>
            <w:top w:val="none" w:sz="0" w:space="0" w:color="auto"/>
            <w:left w:val="none" w:sz="0" w:space="0" w:color="auto"/>
            <w:bottom w:val="none" w:sz="0" w:space="0" w:color="auto"/>
            <w:right w:val="none" w:sz="0" w:space="0" w:color="auto"/>
          </w:divBdr>
          <w:divsChild>
            <w:div w:id="943657755">
              <w:marLeft w:val="0"/>
              <w:marRight w:val="0"/>
              <w:marTop w:val="0"/>
              <w:marBottom w:val="0"/>
              <w:divBdr>
                <w:top w:val="none" w:sz="0" w:space="0" w:color="auto"/>
                <w:left w:val="none" w:sz="0" w:space="0" w:color="auto"/>
                <w:bottom w:val="none" w:sz="0" w:space="0" w:color="auto"/>
                <w:right w:val="none" w:sz="0" w:space="0" w:color="auto"/>
              </w:divBdr>
            </w:div>
          </w:divsChild>
        </w:div>
        <w:div w:id="1949580009">
          <w:marLeft w:val="0"/>
          <w:marRight w:val="0"/>
          <w:marTop w:val="0"/>
          <w:marBottom w:val="0"/>
          <w:divBdr>
            <w:top w:val="none" w:sz="0" w:space="0" w:color="auto"/>
            <w:left w:val="none" w:sz="0" w:space="0" w:color="auto"/>
            <w:bottom w:val="none" w:sz="0" w:space="0" w:color="auto"/>
            <w:right w:val="none" w:sz="0" w:space="0" w:color="auto"/>
          </w:divBdr>
          <w:divsChild>
            <w:div w:id="1361666855">
              <w:marLeft w:val="0"/>
              <w:marRight w:val="0"/>
              <w:marTop w:val="0"/>
              <w:marBottom w:val="0"/>
              <w:divBdr>
                <w:top w:val="none" w:sz="0" w:space="0" w:color="auto"/>
                <w:left w:val="none" w:sz="0" w:space="0" w:color="auto"/>
                <w:bottom w:val="none" w:sz="0" w:space="0" w:color="auto"/>
                <w:right w:val="none" w:sz="0" w:space="0" w:color="auto"/>
              </w:divBdr>
            </w:div>
          </w:divsChild>
        </w:div>
        <w:div w:id="1987314181">
          <w:marLeft w:val="0"/>
          <w:marRight w:val="0"/>
          <w:marTop w:val="0"/>
          <w:marBottom w:val="0"/>
          <w:divBdr>
            <w:top w:val="none" w:sz="0" w:space="0" w:color="auto"/>
            <w:left w:val="none" w:sz="0" w:space="0" w:color="auto"/>
            <w:bottom w:val="none" w:sz="0" w:space="0" w:color="auto"/>
            <w:right w:val="none" w:sz="0" w:space="0" w:color="auto"/>
          </w:divBdr>
          <w:divsChild>
            <w:div w:id="1172648293">
              <w:marLeft w:val="0"/>
              <w:marRight w:val="0"/>
              <w:marTop w:val="0"/>
              <w:marBottom w:val="0"/>
              <w:divBdr>
                <w:top w:val="none" w:sz="0" w:space="0" w:color="auto"/>
                <w:left w:val="none" w:sz="0" w:space="0" w:color="auto"/>
                <w:bottom w:val="none" w:sz="0" w:space="0" w:color="auto"/>
                <w:right w:val="none" w:sz="0" w:space="0" w:color="auto"/>
              </w:divBdr>
            </w:div>
          </w:divsChild>
        </w:div>
        <w:div w:id="1991709635">
          <w:marLeft w:val="0"/>
          <w:marRight w:val="0"/>
          <w:marTop w:val="0"/>
          <w:marBottom w:val="0"/>
          <w:divBdr>
            <w:top w:val="none" w:sz="0" w:space="0" w:color="auto"/>
            <w:left w:val="none" w:sz="0" w:space="0" w:color="auto"/>
            <w:bottom w:val="none" w:sz="0" w:space="0" w:color="auto"/>
            <w:right w:val="none" w:sz="0" w:space="0" w:color="auto"/>
          </w:divBdr>
          <w:divsChild>
            <w:div w:id="67315624">
              <w:marLeft w:val="0"/>
              <w:marRight w:val="0"/>
              <w:marTop w:val="0"/>
              <w:marBottom w:val="0"/>
              <w:divBdr>
                <w:top w:val="none" w:sz="0" w:space="0" w:color="auto"/>
                <w:left w:val="none" w:sz="0" w:space="0" w:color="auto"/>
                <w:bottom w:val="none" w:sz="0" w:space="0" w:color="auto"/>
                <w:right w:val="none" w:sz="0" w:space="0" w:color="auto"/>
              </w:divBdr>
            </w:div>
          </w:divsChild>
        </w:div>
        <w:div w:id="2011367897">
          <w:marLeft w:val="0"/>
          <w:marRight w:val="0"/>
          <w:marTop w:val="0"/>
          <w:marBottom w:val="0"/>
          <w:divBdr>
            <w:top w:val="none" w:sz="0" w:space="0" w:color="auto"/>
            <w:left w:val="none" w:sz="0" w:space="0" w:color="auto"/>
            <w:bottom w:val="none" w:sz="0" w:space="0" w:color="auto"/>
            <w:right w:val="none" w:sz="0" w:space="0" w:color="auto"/>
          </w:divBdr>
          <w:divsChild>
            <w:div w:id="198444272">
              <w:marLeft w:val="0"/>
              <w:marRight w:val="0"/>
              <w:marTop w:val="0"/>
              <w:marBottom w:val="0"/>
              <w:divBdr>
                <w:top w:val="none" w:sz="0" w:space="0" w:color="auto"/>
                <w:left w:val="none" w:sz="0" w:space="0" w:color="auto"/>
                <w:bottom w:val="none" w:sz="0" w:space="0" w:color="auto"/>
                <w:right w:val="none" w:sz="0" w:space="0" w:color="auto"/>
              </w:divBdr>
            </w:div>
          </w:divsChild>
        </w:div>
        <w:div w:id="2015178962">
          <w:marLeft w:val="0"/>
          <w:marRight w:val="0"/>
          <w:marTop w:val="0"/>
          <w:marBottom w:val="0"/>
          <w:divBdr>
            <w:top w:val="none" w:sz="0" w:space="0" w:color="auto"/>
            <w:left w:val="none" w:sz="0" w:space="0" w:color="auto"/>
            <w:bottom w:val="none" w:sz="0" w:space="0" w:color="auto"/>
            <w:right w:val="none" w:sz="0" w:space="0" w:color="auto"/>
          </w:divBdr>
          <w:divsChild>
            <w:div w:id="624967377">
              <w:marLeft w:val="0"/>
              <w:marRight w:val="0"/>
              <w:marTop w:val="0"/>
              <w:marBottom w:val="0"/>
              <w:divBdr>
                <w:top w:val="none" w:sz="0" w:space="0" w:color="auto"/>
                <w:left w:val="none" w:sz="0" w:space="0" w:color="auto"/>
                <w:bottom w:val="none" w:sz="0" w:space="0" w:color="auto"/>
                <w:right w:val="none" w:sz="0" w:space="0" w:color="auto"/>
              </w:divBdr>
            </w:div>
          </w:divsChild>
        </w:div>
        <w:div w:id="2088265485">
          <w:marLeft w:val="0"/>
          <w:marRight w:val="0"/>
          <w:marTop w:val="0"/>
          <w:marBottom w:val="0"/>
          <w:divBdr>
            <w:top w:val="none" w:sz="0" w:space="0" w:color="auto"/>
            <w:left w:val="none" w:sz="0" w:space="0" w:color="auto"/>
            <w:bottom w:val="none" w:sz="0" w:space="0" w:color="auto"/>
            <w:right w:val="none" w:sz="0" w:space="0" w:color="auto"/>
          </w:divBdr>
          <w:divsChild>
            <w:div w:id="2013339660">
              <w:marLeft w:val="0"/>
              <w:marRight w:val="0"/>
              <w:marTop w:val="0"/>
              <w:marBottom w:val="0"/>
              <w:divBdr>
                <w:top w:val="none" w:sz="0" w:space="0" w:color="auto"/>
                <w:left w:val="none" w:sz="0" w:space="0" w:color="auto"/>
                <w:bottom w:val="none" w:sz="0" w:space="0" w:color="auto"/>
                <w:right w:val="none" w:sz="0" w:space="0" w:color="auto"/>
              </w:divBdr>
            </w:div>
          </w:divsChild>
        </w:div>
        <w:div w:id="2117283773">
          <w:marLeft w:val="0"/>
          <w:marRight w:val="0"/>
          <w:marTop w:val="0"/>
          <w:marBottom w:val="0"/>
          <w:divBdr>
            <w:top w:val="none" w:sz="0" w:space="0" w:color="auto"/>
            <w:left w:val="none" w:sz="0" w:space="0" w:color="auto"/>
            <w:bottom w:val="none" w:sz="0" w:space="0" w:color="auto"/>
            <w:right w:val="none" w:sz="0" w:space="0" w:color="auto"/>
          </w:divBdr>
          <w:divsChild>
            <w:div w:id="2997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392">
      <w:bodyDiv w:val="1"/>
      <w:marLeft w:val="0"/>
      <w:marRight w:val="0"/>
      <w:marTop w:val="0"/>
      <w:marBottom w:val="0"/>
      <w:divBdr>
        <w:top w:val="none" w:sz="0" w:space="0" w:color="auto"/>
        <w:left w:val="none" w:sz="0" w:space="0" w:color="auto"/>
        <w:bottom w:val="none" w:sz="0" w:space="0" w:color="auto"/>
        <w:right w:val="none" w:sz="0" w:space="0" w:color="auto"/>
      </w:divBdr>
    </w:div>
    <w:div w:id="423654155">
      <w:bodyDiv w:val="1"/>
      <w:marLeft w:val="0"/>
      <w:marRight w:val="0"/>
      <w:marTop w:val="0"/>
      <w:marBottom w:val="0"/>
      <w:divBdr>
        <w:top w:val="none" w:sz="0" w:space="0" w:color="auto"/>
        <w:left w:val="none" w:sz="0" w:space="0" w:color="auto"/>
        <w:bottom w:val="none" w:sz="0" w:space="0" w:color="auto"/>
        <w:right w:val="none" w:sz="0" w:space="0" w:color="auto"/>
      </w:divBdr>
    </w:div>
    <w:div w:id="431701667">
      <w:bodyDiv w:val="1"/>
      <w:marLeft w:val="0"/>
      <w:marRight w:val="0"/>
      <w:marTop w:val="0"/>
      <w:marBottom w:val="0"/>
      <w:divBdr>
        <w:top w:val="none" w:sz="0" w:space="0" w:color="auto"/>
        <w:left w:val="none" w:sz="0" w:space="0" w:color="auto"/>
        <w:bottom w:val="none" w:sz="0" w:space="0" w:color="auto"/>
        <w:right w:val="none" w:sz="0" w:space="0" w:color="auto"/>
      </w:divBdr>
      <w:divsChild>
        <w:div w:id="21053794">
          <w:marLeft w:val="0"/>
          <w:marRight w:val="0"/>
          <w:marTop w:val="0"/>
          <w:marBottom w:val="0"/>
          <w:divBdr>
            <w:top w:val="none" w:sz="0" w:space="0" w:color="auto"/>
            <w:left w:val="none" w:sz="0" w:space="0" w:color="auto"/>
            <w:bottom w:val="none" w:sz="0" w:space="0" w:color="auto"/>
            <w:right w:val="none" w:sz="0" w:space="0" w:color="auto"/>
          </w:divBdr>
        </w:div>
        <w:div w:id="799301505">
          <w:marLeft w:val="0"/>
          <w:marRight w:val="0"/>
          <w:marTop w:val="0"/>
          <w:marBottom w:val="0"/>
          <w:divBdr>
            <w:top w:val="none" w:sz="0" w:space="0" w:color="auto"/>
            <w:left w:val="none" w:sz="0" w:space="0" w:color="auto"/>
            <w:bottom w:val="none" w:sz="0" w:space="0" w:color="auto"/>
            <w:right w:val="none" w:sz="0" w:space="0" w:color="auto"/>
          </w:divBdr>
        </w:div>
        <w:div w:id="1056320830">
          <w:marLeft w:val="0"/>
          <w:marRight w:val="0"/>
          <w:marTop w:val="0"/>
          <w:marBottom w:val="0"/>
          <w:divBdr>
            <w:top w:val="none" w:sz="0" w:space="0" w:color="auto"/>
            <w:left w:val="none" w:sz="0" w:space="0" w:color="auto"/>
            <w:bottom w:val="none" w:sz="0" w:space="0" w:color="auto"/>
            <w:right w:val="none" w:sz="0" w:space="0" w:color="auto"/>
          </w:divBdr>
        </w:div>
        <w:div w:id="1543319505">
          <w:marLeft w:val="0"/>
          <w:marRight w:val="0"/>
          <w:marTop w:val="0"/>
          <w:marBottom w:val="0"/>
          <w:divBdr>
            <w:top w:val="none" w:sz="0" w:space="0" w:color="auto"/>
            <w:left w:val="none" w:sz="0" w:space="0" w:color="auto"/>
            <w:bottom w:val="none" w:sz="0" w:space="0" w:color="auto"/>
            <w:right w:val="none" w:sz="0" w:space="0" w:color="auto"/>
          </w:divBdr>
        </w:div>
        <w:div w:id="1952472461">
          <w:marLeft w:val="0"/>
          <w:marRight w:val="0"/>
          <w:marTop w:val="0"/>
          <w:marBottom w:val="0"/>
          <w:divBdr>
            <w:top w:val="none" w:sz="0" w:space="0" w:color="auto"/>
            <w:left w:val="none" w:sz="0" w:space="0" w:color="auto"/>
            <w:bottom w:val="none" w:sz="0" w:space="0" w:color="auto"/>
            <w:right w:val="none" w:sz="0" w:space="0" w:color="auto"/>
          </w:divBdr>
        </w:div>
        <w:div w:id="2013755906">
          <w:marLeft w:val="0"/>
          <w:marRight w:val="0"/>
          <w:marTop w:val="0"/>
          <w:marBottom w:val="0"/>
          <w:divBdr>
            <w:top w:val="none" w:sz="0" w:space="0" w:color="auto"/>
            <w:left w:val="none" w:sz="0" w:space="0" w:color="auto"/>
            <w:bottom w:val="none" w:sz="0" w:space="0" w:color="auto"/>
            <w:right w:val="none" w:sz="0" w:space="0" w:color="auto"/>
          </w:divBdr>
        </w:div>
      </w:divsChild>
    </w:div>
    <w:div w:id="431708515">
      <w:bodyDiv w:val="1"/>
      <w:marLeft w:val="0"/>
      <w:marRight w:val="0"/>
      <w:marTop w:val="0"/>
      <w:marBottom w:val="0"/>
      <w:divBdr>
        <w:top w:val="none" w:sz="0" w:space="0" w:color="auto"/>
        <w:left w:val="none" w:sz="0" w:space="0" w:color="auto"/>
        <w:bottom w:val="none" w:sz="0" w:space="0" w:color="auto"/>
        <w:right w:val="none" w:sz="0" w:space="0" w:color="auto"/>
      </w:divBdr>
    </w:div>
    <w:div w:id="432634534">
      <w:bodyDiv w:val="1"/>
      <w:marLeft w:val="0"/>
      <w:marRight w:val="0"/>
      <w:marTop w:val="0"/>
      <w:marBottom w:val="0"/>
      <w:divBdr>
        <w:top w:val="none" w:sz="0" w:space="0" w:color="auto"/>
        <w:left w:val="none" w:sz="0" w:space="0" w:color="auto"/>
        <w:bottom w:val="none" w:sz="0" w:space="0" w:color="auto"/>
        <w:right w:val="none" w:sz="0" w:space="0" w:color="auto"/>
      </w:divBdr>
    </w:div>
    <w:div w:id="444424506">
      <w:bodyDiv w:val="1"/>
      <w:marLeft w:val="0"/>
      <w:marRight w:val="0"/>
      <w:marTop w:val="0"/>
      <w:marBottom w:val="0"/>
      <w:divBdr>
        <w:top w:val="none" w:sz="0" w:space="0" w:color="auto"/>
        <w:left w:val="none" w:sz="0" w:space="0" w:color="auto"/>
        <w:bottom w:val="none" w:sz="0" w:space="0" w:color="auto"/>
        <w:right w:val="none" w:sz="0" w:space="0" w:color="auto"/>
      </w:divBdr>
    </w:div>
    <w:div w:id="455298763">
      <w:bodyDiv w:val="1"/>
      <w:marLeft w:val="0"/>
      <w:marRight w:val="0"/>
      <w:marTop w:val="0"/>
      <w:marBottom w:val="0"/>
      <w:divBdr>
        <w:top w:val="none" w:sz="0" w:space="0" w:color="auto"/>
        <w:left w:val="none" w:sz="0" w:space="0" w:color="auto"/>
        <w:bottom w:val="none" w:sz="0" w:space="0" w:color="auto"/>
        <w:right w:val="none" w:sz="0" w:space="0" w:color="auto"/>
      </w:divBdr>
    </w:div>
    <w:div w:id="457069933">
      <w:bodyDiv w:val="1"/>
      <w:marLeft w:val="0"/>
      <w:marRight w:val="0"/>
      <w:marTop w:val="0"/>
      <w:marBottom w:val="0"/>
      <w:divBdr>
        <w:top w:val="none" w:sz="0" w:space="0" w:color="auto"/>
        <w:left w:val="none" w:sz="0" w:space="0" w:color="auto"/>
        <w:bottom w:val="none" w:sz="0" w:space="0" w:color="auto"/>
        <w:right w:val="none" w:sz="0" w:space="0" w:color="auto"/>
      </w:divBdr>
      <w:divsChild>
        <w:div w:id="746264154">
          <w:marLeft w:val="0"/>
          <w:marRight w:val="0"/>
          <w:marTop w:val="0"/>
          <w:marBottom w:val="0"/>
          <w:divBdr>
            <w:top w:val="none" w:sz="0" w:space="0" w:color="auto"/>
            <w:left w:val="none" w:sz="0" w:space="0" w:color="auto"/>
            <w:bottom w:val="none" w:sz="0" w:space="0" w:color="auto"/>
            <w:right w:val="none" w:sz="0" w:space="0" w:color="auto"/>
          </w:divBdr>
        </w:div>
      </w:divsChild>
    </w:div>
    <w:div w:id="459886407">
      <w:bodyDiv w:val="1"/>
      <w:marLeft w:val="0"/>
      <w:marRight w:val="0"/>
      <w:marTop w:val="0"/>
      <w:marBottom w:val="0"/>
      <w:divBdr>
        <w:top w:val="none" w:sz="0" w:space="0" w:color="auto"/>
        <w:left w:val="none" w:sz="0" w:space="0" w:color="auto"/>
        <w:bottom w:val="none" w:sz="0" w:space="0" w:color="auto"/>
        <w:right w:val="none" w:sz="0" w:space="0" w:color="auto"/>
      </w:divBdr>
      <w:divsChild>
        <w:div w:id="32459724">
          <w:marLeft w:val="0"/>
          <w:marRight w:val="0"/>
          <w:marTop w:val="0"/>
          <w:marBottom w:val="0"/>
          <w:divBdr>
            <w:top w:val="none" w:sz="0" w:space="0" w:color="auto"/>
            <w:left w:val="none" w:sz="0" w:space="0" w:color="auto"/>
            <w:bottom w:val="none" w:sz="0" w:space="0" w:color="auto"/>
            <w:right w:val="none" w:sz="0" w:space="0" w:color="auto"/>
          </w:divBdr>
          <w:divsChild>
            <w:div w:id="653488606">
              <w:marLeft w:val="0"/>
              <w:marRight w:val="0"/>
              <w:marTop w:val="0"/>
              <w:marBottom w:val="0"/>
              <w:divBdr>
                <w:top w:val="none" w:sz="0" w:space="0" w:color="auto"/>
                <w:left w:val="none" w:sz="0" w:space="0" w:color="auto"/>
                <w:bottom w:val="none" w:sz="0" w:space="0" w:color="auto"/>
                <w:right w:val="none" w:sz="0" w:space="0" w:color="auto"/>
              </w:divBdr>
            </w:div>
          </w:divsChild>
        </w:div>
        <w:div w:id="227957648">
          <w:marLeft w:val="0"/>
          <w:marRight w:val="0"/>
          <w:marTop w:val="0"/>
          <w:marBottom w:val="0"/>
          <w:divBdr>
            <w:top w:val="none" w:sz="0" w:space="0" w:color="auto"/>
            <w:left w:val="none" w:sz="0" w:space="0" w:color="auto"/>
            <w:bottom w:val="none" w:sz="0" w:space="0" w:color="auto"/>
            <w:right w:val="none" w:sz="0" w:space="0" w:color="auto"/>
          </w:divBdr>
          <w:divsChild>
            <w:div w:id="1180004707">
              <w:marLeft w:val="0"/>
              <w:marRight w:val="0"/>
              <w:marTop w:val="0"/>
              <w:marBottom w:val="0"/>
              <w:divBdr>
                <w:top w:val="none" w:sz="0" w:space="0" w:color="auto"/>
                <w:left w:val="none" w:sz="0" w:space="0" w:color="auto"/>
                <w:bottom w:val="none" w:sz="0" w:space="0" w:color="auto"/>
                <w:right w:val="none" w:sz="0" w:space="0" w:color="auto"/>
              </w:divBdr>
            </w:div>
          </w:divsChild>
        </w:div>
        <w:div w:id="340936523">
          <w:marLeft w:val="0"/>
          <w:marRight w:val="0"/>
          <w:marTop w:val="0"/>
          <w:marBottom w:val="0"/>
          <w:divBdr>
            <w:top w:val="none" w:sz="0" w:space="0" w:color="auto"/>
            <w:left w:val="none" w:sz="0" w:space="0" w:color="auto"/>
            <w:bottom w:val="none" w:sz="0" w:space="0" w:color="auto"/>
            <w:right w:val="none" w:sz="0" w:space="0" w:color="auto"/>
          </w:divBdr>
          <w:divsChild>
            <w:div w:id="1342314365">
              <w:marLeft w:val="0"/>
              <w:marRight w:val="0"/>
              <w:marTop w:val="0"/>
              <w:marBottom w:val="0"/>
              <w:divBdr>
                <w:top w:val="none" w:sz="0" w:space="0" w:color="auto"/>
                <w:left w:val="none" w:sz="0" w:space="0" w:color="auto"/>
                <w:bottom w:val="none" w:sz="0" w:space="0" w:color="auto"/>
                <w:right w:val="none" w:sz="0" w:space="0" w:color="auto"/>
              </w:divBdr>
            </w:div>
          </w:divsChild>
        </w:div>
        <w:div w:id="363605232">
          <w:marLeft w:val="0"/>
          <w:marRight w:val="0"/>
          <w:marTop w:val="0"/>
          <w:marBottom w:val="0"/>
          <w:divBdr>
            <w:top w:val="none" w:sz="0" w:space="0" w:color="auto"/>
            <w:left w:val="none" w:sz="0" w:space="0" w:color="auto"/>
            <w:bottom w:val="none" w:sz="0" w:space="0" w:color="auto"/>
            <w:right w:val="none" w:sz="0" w:space="0" w:color="auto"/>
          </w:divBdr>
          <w:divsChild>
            <w:div w:id="1715419634">
              <w:marLeft w:val="0"/>
              <w:marRight w:val="0"/>
              <w:marTop w:val="0"/>
              <w:marBottom w:val="0"/>
              <w:divBdr>
                <w:top w:val="none" w:sz="0" w:space="0" w:color="auto"/>
                <w:left w:val="none" w:sz="0" w:space="0" w:color="auto"/>
                <w:bottom w:val="none" w:sz="0" w:space="0" w:color="auto"/>
                <w:right w:val="none" w:sz="0" w:space="0" w:color="auto"/>
              </w:divBdr>
            </w:div>
          </w:divsChild>
        </w:div>
        <w:div w:id="474570438">
          <w:marLeft w:val="0"/>
          <w:marRight w:val="0"/>
          <w:marTop w:val="0"/>
          <w:marBottom w:val="0"/>
          <w:divBdr>
            <w:top w:val="none" w:sz="0" w:space="0" w:color="auto"/>
            <w:left w:val="none" w:sz="0" w:space="0" w:color="auto"/>
            <w:bottom w:val="none" w:sz="0" w:space="0" w:color="auto"/>
            <w:right w:val="none" w:sz="0" w:space="0" w:color="auto"/>
          </w:divBdr>
          <w:divsChild>
            <w:div w:id="1228951518">
              <w:marLeft w:val="0"/>
              <w:marRight w:val="0"/>
              <w:marTop w:val="0"/>
              <w:marBottom w:val="0"/>
              <w:divBdr>
                <w:top w:val="none" w:sz="0" w:space="0" w:color="auto"/>
                <w:left w:val="none" w:sz="0" w:space="0" w:color="auto"/>
                <w:bottom w:val="none" w:sz="0" w:space="0" w:color="auto"/>
                <w:right w:val="none" w:sz="0" w:space="0" w:color="auto"/>
              </w:divBdr>
            </w:div>
          </w:divsChild>
        </w:div>
        <w:div w:id="511187229">
          <w:marLeft w:val="0"/>
          <w:marRight w:val="0"/>
          <w:marTop w:val="0"/>
          <w:marBottom w:val="0"/>
          <w:divBdr>
            <w:top w:val="none" w:sz="0" w:space="0" w:color="auto"/>
            <w:left w:val="none" w:sz="0" w:space="0" w:color="auto"/>
            <w:bottom w:val="none" w:sz="0" w:space="0" w:color="auto"/>
            <w:right w:val="none" w:sz="0" w:space="0" w:color="auto"/>
          </w:divBdr>
          <w:divsChild>
            <w:div w:id="1902788750">
              <w:marLeft w:val="0"/>
              <w:marRight w:val="0"/>
              <w:marTop w:val="0"/>
              <w:marBottom w:val="0"/>
              <w:divBdr>
                <w:top w:val="none" w:sz="0" w:space="0" w:color="auto"/>
                <w:left w:val="none" w:sz="0" w:space="0" w:color="auto"/>
                <w:bottom w:val="none" w:sz="0" w:space="0" w:color="auto"/>
                <w:right w:val="none" w:sz="0" w:space="0" w:color="auto"/>
              </w:divBdr>
            </w:div>
          </w:divsChild>
        </w:div>
        <w:div w:id="518858159">
          <w:marLeft w:val="0"/>
          <w:marRight w:val="0"/>
          <w:marTop w:val="0"/>
          <w:marBottom w:val="0"/>
          <w:divBdr>
            <w:top w:val="none" w:sz="0" w:space="0" w:color="auto"/>
            <w:left w:val="none" w:sz="0" w:space="0" w:color="auto"/>
            <w:bottom w:val="none" w:sz="0" w:space="0" w:color="auto"/>
            <w:right w:val="none" w:sz="0" w:space="0" w:color="auto"/>
          </w:divBdr>
          <w:divsChild>
            <w:div w:id="1577127074">
              <w:marLeft w:val="0"/>
              <w:marRight w:val="0"/>
              <w:marTop w:val="0"/>
              <w:marBottom w:val="0"/>
              <w:divBdr>
                <w:top w:val="none" w:sz="0" w:space="0" w:color="auto"/>
                <w:left w:val="none" w:sz="0" w:space="0" w:color="auto"/>
                <w:bottom w:val="none" w:sz="0" w:space="0" w:color="auto"/>
                <w:right w:val="none" w:sz="0" w:space="0" w:color="auto"/>
              </w:divBdr>
            </w:div>
          </w:divsChild>
        </w:div>
        <w:div w:id="561334383">
          <w:marLeft w:val="0"/>
          <w:marRight w:val="0"/>
          <w:marTop w:val="0"/>
          <w:marBottom w:val="0"/>
          <w:divBdr>
            <w:top w:val="none" w:sz="0" w:space="0" w:color="auto"/>
            <w:left w:val="none" w:sz="0" w:space="0" w:color="auto"/>
            <w:bottom w:val="none" w:sz="0" w:space="0" w:color="auto"/>
            <w:right w:val="none" w:sz="0" w:space="0" w:color="auto"/>
          </w:divBdr>
          <w:divsChild>
            <w:div w:id="1523974985">
              <w:marLeft w:val="0"/>
              <w:marRight w:val="0"/>
              <w:marTop w:val="0"/>
              <w:marBottom w:val="0"/>
              <w:divBdr>
                <w:top w:val="none" w:sz="0" w:space="0" w:color="auto"/>
                <w:left w:val="none" w:sz="0" w:space="0" w:color="auto"/>
                <w:bottom w:val="none" w:sz="0" w:space="0" w:color="auto"/>
                <w:right w:val="none" w:sz="0" w:space="0" w:color="auto"/>
              </w:divBdr>
            </w:div>
          </w:divsChild>
        </w:div>
        <w:div w:id="579098415">
          <w:marLeft w:val="0"/>
          <w:marRight w:val="0"/>
          <w:marTop w:val="0"/>
          <w:marBottom w:val="0"/>
          <w:divBdr>
            <w:top w:val="none" w:sz="0" w:space="0" w:color="auto"/>
            <w:left w:val="none" w:sz="0" w:space="0" w:color="auto"/>
            <w:bottom w:val="none" w:sz="0" w:space="0" w:color="auto"/>
            <w:right w:val="none" w:sz="0" w:space="0" w:color="auto"/>
          </w:divBdr>
          <w:divsChild>
            <w:div w:id="2007901544">
              <w:marLeft w:val="0"/>
              <w:marRight w:val="0"/>
              <w:marTop w:val="0"/>
              <w:marBottom w:val="0"/>
              <w:divBdr>
                <w:top w:val="none" w:sz="0" w:space="0" w:color="auto"/>
                <w:left w:val="none" w:sz="0" w:space="0" w:color="auto"/>
                <w:bottom w:val="none" w:sz="0" w:space="0" w:color="auto"/>
                <w:right w:val="none" w:sz="0" w:space="0" w:color="auto"/>
              </w:divBdr>
            </w:div>
          </w:divsChild>
        </w:div>
        <w:div w:id="632909524">
          <w:marLeft w:val="0"/>
          <w:marRight w:val="0"/>
          <w:marTop w:val="0"/>
          <w:marBottom w:val="0"/>
          <w:divBdr>
            <w:top w:val="none" w:sz="0" w:space="0" w:color="auto"/>
            <w:left w:val="none" w:sz="0" w:space="0" w:color="auto"/>
            <w:bottom w:val="none" w:sz="0" w:space="0" w:color="auto"/>
            <w:right w:val="none" w:sz="0" w:space="0" w:color="auto"/>
          </w:divBdr>
          <w:divsChild>
            <w:div w:id="1586724493">
              <w:marLeft w:val="0"/>
              <w:marRight w:val="0"/>
              <w:marTop w:val="0"/>
              <w:marBottom w:val="0"/>
              <w:divBdr>
                <w:top w:val="none" w:sz="0" w:space="0" w:color="auto"/>
                <w:left w:val="none" w:sz="0" w:space="0" w:color="auto"/>
                <w:bottom w:val="none" w:sz="0" w:space="0" w:color="auto"/>
                <w:right w:val="none" w:sz="0" w:space="0" w:color="auto"/>
              </w:divBdr>
            </w:div>
          </w:divsChild>
        </w:div>
        <w:div w:id="816259644">
          <w:marLeft w:val="0"/>
          <w:marRight w:val="0"/>
          <w:marTop w:val="0"/>
          <w:marBottom w:val="0"/>
          <w:divBdr>
            <w:top w:val="none" w:sz="0" w:space="0" w:color="auto"/>
            <w:left w:val="none" w:sz="0" w:space="0" w:color="auto"/>
            <w:bottom w:val="none" w:sz="0" w:space="0" w:color="auto"/>
            <w:right w:val="none" w:sz="0" w:space="0" w:color="auto"/>
          </w:divBdr>
          <w:divsChild>
            <w:div w:id="268661773">
              <w:marLeft w:val="0"/>
              <w:marRight w:val="0"/>
              <w:marTop w:val="0"/>
              <w:marBottom w:val="0"/>
              <w:divBdr>
                <w:top w:val="none" w:sz="0" w:space="0" w:color="auto"/>
                <w:left w:val="none" w:sz="0" w:space="0" w:color="auto"/>
                <w:bottom w:val="none" w:sz="0" w:space="0" w:color="auto"/>
                <w:right w:val="none" w:sz="0" w:space="0" w:color="auto"/>
              </w:divBdr>
            </w:div>
          </w:divsChild>
        </w:div>
        <w:div w:id="1022901180">
          <w:marLeft w:val="0"/>
          <w:marRight w:val="0"/>
          <w:marTop w:val="0"/>
          <w:marBottom w:val="0"/>
          <w:divBdr>
            <w:top w:val="none" w:sz="0" w:space="0" w:color="auto"/>
            <w:left w:val="none" w:sz="0" w:space="0" w:color="auto"/>
            <w:bottom w:val="none" w:sz="0" w:space="0" w:color="auto"/>
            <w:right w:val="none" w:sz="0" w:space="0" w:color="auto"/>
          </w:divBdr>
          <w:divsChild>
            <w:div w:id="1981493293">
              <w:marLeft w:val="0"/>
              <w:marRight w:val="0"/>
              <w:marTop w:val="0"/>
              <w:marBottom w:val="0"/>
              <w:divBdr>
                <w:top w:val="none" w:sz="0" w:space="0" w:color="auto"/>
                <w:left w:val="none" w:sz="0" w:space="0" w:color="auto"/>
                <w:bottom w:val="none" w:sz="0" w:space="0" w:color="auto"/>
                <w:right w:val="none" w:sz="0" w:space="0" w:color="auto"/>
              </w:divBdr>
            </w:div>
          </w:divsChild>
        </w:div>
        <w:div w:id="1072045845">
          <w:marLeft w:val="0"/>
          <w:marRight w:val="0"/>
          <w:marTop w:val="0"/>
          <w:marBottom w:val="0"/>
          <w:divBdr>
            <w:top w:val="none" w:sz="0" w:space="0" w:color="auto"/>
            <w:left w:val="none" w:sz="0" w:space="0" w:color="auto"/>
            <w:bottom w:val="none" w:sz="0" w:space="0" w:color="auto"/>
            <w:right w:val="none" w:sz="0" w:space="0" w:color="auto"/>
          </w:divBdr>
          <w:divsChild>
            <w:div w:id="2096365796">
              <w:marLeft w:val="0"/>
              <w:marRight w:val="0"/>
              <w:marTop w:val="0"/>
              <w:marBottom w:val="0"/>
              <w:divBdr>
                <w:top w:val="none" w:sz="0" w:space="0" w:color="auto"/>
                <w:left w:val="none" w:sz="0" w:space="0" w:color="auto"/>
                <w:bottom w:val="none" w:sz="0" w:space="0" w:color="auto"/>
                <w:right w:val="none" w:sz="0" w:space="0" w:color="auto"/>
              </w:divBdr>
            </w:div>
          </w:divsChild>
        </w:div>
        <w:div w:id="1114712096">
          <w:marLeft w:val="0"/>
          <w:marRight w:val="0"/>
          <w:marTop w:val="0"/>
          <w:marBottom w:val="0"/>
          <w:divBdr>
            <w:top w:val="none" w:sz="0" w:space="0" w:color="auto"/>
            <w:left w:val="none" w:sz="0" w:space="0" w:color="auto"/>
            <w:bottom w:val="none" w:sz="0" w:space="0" w:color="auto"/>
            <w:right w:val="none" w:sz="0" w:space="0" w:color="auto"/>
          </w:divBdr>
          <w:divsChild>
            <w:div w:id="2045445359">
              <w:marLeft w:val="0"/>
              <w:marRight w:val="0"/>
              <w:marTop w:val="0"/>
              <w:marBottom w:val="0"/>
              <w:divBdr>
                <w:top w:val="none" w:sz="0" w:space="0" w:color="auto"/>
                <w:left w:val="none" w:sz="0" w:space="0" w:color="auto"/>
                <w:bottom w:val="none" w:sz="0" w:space="0" w:color="auto"/>
                <w:right w:val="none" w:sz="0" w:space="0" w:color="auto"/>
              </w:divBdr>
            </w:div>
          </w:divsChild>
        </w:div>
        <w:div w:id="1258054463">
          <w:marLeft w:val="0"/>
          <w:marRight w:val="0"/>
          <w:marTop w:val="0"/>
          <w:marBottom w:val="0"/>
          <w:divBdr>
            <w:top w:val="none" w:sz="0" w:space="0" w:color="auto"/>
            <w:left w:val="none" w:sz="0" w:space="0" w:color="auto"/>
            <w:bottom w:val="none" w:sz="0" w:space="0" w:color="auto"/>
            <w:right w:val="none" w:sz="0" w:space="0" w:color="auto"/>
          </w:divBdr>
          <w:divsChild>
            <w:div w:id="62604328">
              <w:marLeft w:val="0"/>
              <w:marRight w:val="0"/>
              <w:marTop w:val="0"/>
              <w:marBottom w:val="0"/>
              <w:divBdr>
                <w:top w:val="none" w:sz="0" w:space="0" w:color="auto"/>
                <w:left w:val="none" w:sz="0" w:space="0" w:color="auto"/>
                <w:bottom w:val="none" w:sz="0" w:space="0" w:color="auto"/>
                <w:right w:val="none" w:sz="0" w:space="0" w:color="auto"/>
              </w:divBdr>
            </w:div>
          </w:divsChild>
        </w:div>
        <w:div w:id="1258951951">
          <w:marLeft w:val="0"/>
          <w:marRight w:val="0"/>
          <w:marTop w:val="0"/>
          <w:marBottom w:val="0"/>
          <w:divBdr>
            <w:top w:val="none" w:sz="0" w:space="0" w:color="auto"/>
            <w:left w:val="none" w:sz="0" w:space="0" w:color="auto"/>
            <w:bottom w:val="none" w:sz="0" w:space="0" w:color="auto"/>
            <w:right w:val="none" w:sz="0" w:space="0" w:color="auto"/>
          </w:divBdr>
          <w:divsChild>
            <w:div w:id="203635621">
              <w:marLeft w:val="0"/>
              <w:marRight w:val="0"/>
              <w:marTop w:val="0"/>
              <w:marBottom w:val="0"/>
              <w:divBdr>
                <w:top w:val="none" w:sz="0" w:space="0" w:color="auto"/>
                <w:left w:val="none" w:sz="0" w:space="0" w:color="auto"/>
                <w:bottom w:val="none" w:sz="0" w:space="0" w:color="auto"/>
                <w:right w:val="none" w:sz="0" w:space="0" w:color="auto"/>
              </w:divBdr>
            </w:div>
          </w:divsChild>
        </w:div>
        <w:div w:id="1385061637">
          <w:marLeft w:val="0"/>
          <w:marRight w:val="0"/>
          <w:marTop w:val="0"/>
          <w:marBottom w:val="0"/>
          <w:divBdr>
            <w:top w:val="none" w:sz="0" w:space="0" w:color="auto"/>
            <w:left w:val="none" w:sz="0" w:space="0" w:color="auto"/>
            <w:bottom w:val="none" w:sz="0" w:space="0" w:color="auto"/>
            <w:right w:val="none" w:sz="0" w:space="0" w:color="auto"/>
          </w:divBdr>
          <w:divsChild>
            <w:div w:id="1931966925">
              <w:marLeft w:val="0"/>
              <w:marRight w:val="0"/>
              <w:marTop w:val="0"/>
              <w:marBottom w:val="0"/>
              <w:divBdr>
                <w:top w:val="none" w:sz="0" w:space="0" w:color="auto"/>
                <w:left w:val="none" w:sz="0" w:space="0" w:color="auto"/>
                <w:bottom w:val="none" w:sz="0" w:space="0" w:color="auto"/>
                <w:right w:val="none" w:sz="0" w:space="0" w:color="auto"/>
              </w:divBdr>
            </w:div>
          </w:divsChild>
        </w:div>
        <w:div w:id="1509246013">
          <w:marLeft w:val="0"/>
          <w:marRight w:val="0"/>
          <w:marTop w:val="0"/>
          <w:marBottom w:val="0"/>
          <w:divBdr>
            <w:top w:val="none" w:sz="0" w:space="0" w:color="auto"/>
            <w:left w:val="none" w:sz="0" w:space="0" w:color="auto"/>
            <w:bottom w:val="none" w:sz="0" w:space="0" w:color="auto"/>
            <w:right w:val="none" w:sz="0" w:space="0" w:color="auto"/>
          </w:divBdr>
          <w:divsChild>
            <w:div w:id="1832594824">
              <w:marLeft w:val="0"/>
              <w:marRight w:val="0"/>
              <w:marTop w:val="0"/>
              <w:marBottom w:val="0"/>
              <w:divBdr>
                <w:top w:val="none" w:sz="0" w:space="0" w:color="auto"/>
                <w:left w:val="none" w:sz="0" w:space="0" w:color="auto"/>
                <w:bottom w:val="none" w:sz="0" w:space="0" w:color="auto"/>
                <w:right w:val="none" w:sz="0" w:space="0" w:color="auto"/>
              </w:divBdr>
            </w:div>
          </w:divsChild>
        </w:div>
        <w:div w:id="1539121423">
          <w:marLeft w:val="0"/>
          <w:marRight w:val="0"/>
          <w:marTop w:val="0"/>
          <w:marBottom w:val="0"/>
          <w:divBdr>
            <w:top w:val="none" w:sz="0" w:space="0" w:color="auto"/>
            <w:left w:val="none" w:sz="0" w:space="0" w:color="auto"/>
            <w:bottom w:val="none" w:sz="0" w:space="0" w:color="auto"/>
            <w:right w:val="none" w:sz="0" w:space="0" w:color="auto"/>
          </w:divBdr>
          <w:divsChild>
            <w:div w:id="526531911">
              <w:marLeft w:val="0"/>
              <w:marRight w:val="0"/>
              <w:marTop w:val="0"/>
              <w:marBottom w:val="0"/>
              <w:divBdr>
                <w:top w:val="none" w:sz="0" w:space="0" w:color="auto"/>
                <w:left w:val="none" w:sz="0" w:space="0" w:color="auto"/>
                <w:bottom w:val="none" w:sz="0" w:space="0" w:color="auto"/>
                <w:right w:val="none" w:sz="0" w:space="0" w:color="auto"/>
              </w:divBdr>
            </w:div>
          </w:divsChild>
        </w:div>
        <w:div w:id="1655334592">
          <w:marLeft w:val="0"/>
          <w:marRight w:val="0"/>
          <w:marTop w:val="0"/>
          <w:marBottom w:val="0"/>
          <w:divBdr>
            <w:top w:val="none" w:sz="0" w:space="0" w:color="auto"/>
            <w:left w:val="none" w:sz="0" w:space="0" w:color="auto"/>
            <w:bottom w:val="none" w:sz="0" w:space="0" w:color="auto"/>
            <w:right w:val="none" w:sz="0" w:space="0" w:color="auto"/>
          </w:divBdr>
          <w:divsChild>
            <w:div w:id="1949776492">
              <w:marLeft w:val="0"/>
              <w:marRight w:val="0"/>
              <w:marTop w:val="0"/>
              <w:marBottom w:val="0"/>
              <w:divBdr>
                <w:top w:val="none" w:sz="0" w:space="0" w:color="auto"/>
                <w:left w:val="none" w:sz="0" w:space="0" w:color="auto"/>
                <w:bottom w:val="none" w:sz="0" w:space="0" w:color="auto"/>
                <w:right w:val="none" w:sz="0" w:space="0" w:color="auto"/>
              </w:divBdr>
            </w:div>
          </w:divsChild>
        </w:div>
        <w:div w:id="1774009407">
          <w:marLeft w:val="0"/>
          <w:marRight w:val="0"/>
          <w:marTop w:val="0"/>
          <w:marBottom w:val="0"/>
          <w:divBdr>
            <w:top w:val="none" w:sz="0" w:space="0" w:color="auto"/>
            <w:left w:val="none" w:sz="0" w:space="0" w:color="auto"/>
            <w:bottom w:val="none" w:sz="0" w:space="0" w:color="auto"/>
            <w:right w:val="none" w:sz="0" w:space="0" w:color="auto"/>
          </w:divBdr>
          <w:divsChild>
            <w:div w:id="1556240636">
              <w:marLeft w:val="0"/>
              <w:marRight w:val="0"/>
              <w:marTop w:val="0"/>
              <w:marBottom w:val="0"/>
              <w:divBdr>
                <w:top w:val="none" w:sz="0" w:space="0" w:color="auto"/>
                <w:left w:val="none" w:sz="0" w:space="0" w:color="auto"/>
                <w:bottom w:val="none" w:sz="0" w:space="0" w:color="auto"/>
                <w:right w:val="none" w:sz="0" w:space="0" w:color="auto"/>
              </w:divBdr>
            </w:div>
          </w:divsChild>
        </w:div>
        <w:div w:id="1803500050">
          <w:marLeft w:val="0"/>
          <w:marRight w:val="0"/>
          <w:marTop w:val="0"/>
          <w:marBottom w:val="0"/>
          <w:divBdr>
            <w:top w:val="none" w:sz="0" w:space="0" w:color="auto"/>
            <w:left w:val="none" w:sz="0" w:space="0" w:color="auto"/>
            <w:bottom w:val="none" w:sz="0" w:space="0" w:color="auto"/>
            <w:right w:val="none" w:sz="0" w:space="0" w:color="auto"/>
          </w:divBdr>
          <w:divsChild>
            <w:div w:id="127936648">
              <w:marLeft w:val="0"/>
              <w:marRight w:val="0"/>
              <w:marTop w:val="0"/>
              <w:marBottom w:val="0"/>
              <w:divBdr>
                <w:top w:val="none" w:sz="0" w:space="0" w:color="auto"/>
                <w:left w:val="none" w:sz="0" w:space="0" w:color="auto"/>
                <w:bottom w:val="none" w:sz="0" w:space="0" w:color="auto"/>
                <w:right w:val="none" w:sz="0" w:space="0" w:color="auto"/>
              </w:divBdr>
            </w:div>
          </w:divsChild>
        </w:div>
        <w:div w:id="1883714474">
          <w:marLeft w:val="0"/>
          <w:marRight w:val="0"/>
          <w:marTop w:val="0"/>
          <w:marBottom w:val="0"/>
          <w:divBdr>
            <w:top w:val="none" w:sz="0" w:space="0" w:color="auto"/>
            <w:left w:val="none" w:sz="0" w:space="0" w:color="auto"/>
            <w:bottom w:val="none" w:sz="0" w:space="0" w:color="auto"/>
            <w:right w:val="none" w:sz="0" w:space="0" w:color="auto"/>
          </w:divBdr>
          <w:divsChild>
            <w:div w:id="2075272447">
              <w:marLeft w:val="0"/>
              <w:marRight w:val="0"/>
              <w:marTop w:val="0"/>
              <w:marBottom w:val="0"/>
              <w:divBdr>
                <w:top w:val="none" w:sz="0" w:space="0" w:color="auto"/>
                <w:left w:val="none" w:sz="0" w:space="0" w:color="auto"/>
                <w:bottom w:val="none" w:sz="0" w:space="0" w:color="auto"/>
                <w:right w:val="none" w:sz="0" w:space="0" w:color="auto"/>
              </w:divBdr>
            </w:div>
          </w:divsChild>
        </w:div>
        <w:div w:id="2008898906">
          <w:marLeft w:val="0"/>
          <w:marRight w:val="0"/>
          <w:marTop w:val="0"/>
          <w:marBottom w:val="0"/>
          <w:divBdr>
            <w:top w:val="none" w:sz="0" w:space="0" w:color="auto"/>
            <w:left w:val="none" w:sz="0" w:space="0" w:color="auto"/>
            <w:bottom w:val="none" w:sz="0" w:space="0" w:color="auto"/>
            <w:right w:val="none" w:sz="0" w:space="0" w:color="auto"/>
          </w:divBdr>
          <w:divsChild>
            <w:div w:id="873343466">
              <w:marLeft w:val="0"/>
              <w:marRight w:val="0"/>
              <w:marTop w:val="0"/>
              <w:marBottom w:val="0"/>
              <w:divBdr>
                <w:top w:val="none" w:sz="0" w:space="0" w:color="auto"/>
                <w:left w:val="none" w:sz="0" w:space="0" w:color="auto"/>
                <w:bottom w:val="none" w:sz="0" w:space="0" w:color="auto"/>
                <w:right w:val="none" w:sz="0" w:space="0" w:color="auto"/>
              </w:divBdr>
            </w:div>
          </w:divsChild>
        </w:div>
        <w:div w:id="2039239009">
          <w:marLeft w:val="0"/>
          <w:marRight w:val="0"/>
          <w:marTop w:val="0"/>
          <w:marBottom w:val="0"/>
          <w:divBdr>
            <w:top w:val="none" w:sz="0" w:space="0" w:color="auto"/>
            <w:left w:val="none" w:sz="0" w:space="0" w:color="auto"/>
            <w:bottom w:val="none" w:sz="0" w:space="0" w:color="auto"/>
            <w:right w:val="none" w:sz="0" w:space="0" w:color="auto"/>
          </w:divBdr>
          <w:divsChild>
            <w:div w:id="79194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25366">
      <w:bodyDiv w:val="1"/>
      <w:marLeft w:val="0"/>
      <w:marRight w:val="0"/>
      <w:marTop w:val="0"/>
      <w:marBottom w:val="0"/>
      <w:divBdr>
        <w:top w:val="none" w:sz="0" w:space="0" w:color="auto"/>
        <w:left w:val="none" w:sz="0" w:space="0" w:color="auto"/>
        <w:bottom w:val="none" w:sz="0" w:space="0" w:color="auto"/>
        <w:right w:val="none" w:sz="0" w:space="0" w:color="auto"/>
      </w:divBdr>
    </w:div>
    <w:div w:id="482743020">
      <w:bodyDiv w:val="1"/>
      <w:marLeft w:val="0"/>
      <w:marRight w:val="0"/>
      <w:marTop w:val="0"/>
      <w:marBottom w:val="0"/>
      <w:divBdr>
        <w:top w:val="none" w:sz="0" w:space="0" w:color="auto"/>
        <w:left w:val="none" w:sz="0" w:space="0" w:color="auto"/>
        <w:bottom w:val="none" w:sz="0" w:space="0" w:color="auto"/>
        <w:right w:val="none" w:sz="0" w:space="0" w:color="auto"/>
      </w:divBdr>
    </w:div>
    <w:div w:id="484510947">
      <w:bodyDiv w:val="1"/>
      <w:marLeft w:val="0"/>
      <w:marRight w:val="0"/>
      <w:marTop w:val="0"/>
      <w:marBottom w:val="0"/>
      <w:divBdr>
        <w:top w:val="none" w:sz="0" w:space="0" w:color="auto"/>
        <w:left w:val="none" w:sz="0" w:space="0" w:color="auto"/>
        <w:bottom w:val="none" w:sz="0" w:space="0" w:color="auto"/>
        <w:right w:val="none" w:sz="0" w:space="0" w:color="auto"/>
      </w:divBdr>
    </w:div>
    <w:div w:id="508445535">
      <w:bodyDiv w:val="1"/>
      <w:marLeft w:val="0"/>
      <w:marRight w:val="0"/>
      <w:marTop w:val="0"/>
      <w:marBottom w:val="0"/>
      <w:divBdr>
        <w:top w:val="none" w:sz="0" w:space="0" w:color="auto"/>
        <w:left w:val="none" w:sz="0" w:space="0" w:color="auto"/>
        <w:bottom w:val="none" w:sz="0" w:space="0" w:color="auto"/>
        <w:right w:val="none" w:sz="0" w:space="0" w:color="auto"/>
      </w:divBdr>
      <w:divsChild>
        <w:div w:id="1599172626">
          <w:marLeft w:val="547"/>
          <w:marRight w:val="0"/>
          <w:marTop w:val="0"/>
          <w:marBottom w:val="0"/>
          <w:divBdr>
            <w:top w:val="none" w:sz="0" w:space="0" w:color="auto"/>
            <w:left w:val="none" w:sz="0" w:space="0" w:color="auto"/>
            <w:bottom w:val="none" w:sz="0" w:space="0" w:color="auto"/>
            <w:right w:val="none" w:sz="0" w:space="0" w:color="auto"/>
          </w:divBdr>
        </w:div>
        <w:div w:id="1889219199">
          <w:marLeft w:val="547"/>
          <w:marRight w:val="0"/>
          <w:marTop w:val="0"/>
          <w:marBottom w:val="0"/>
          <w:divBdr>
            <w:top w:val="none" w:sz="0" w:space="0" w:color="auto"/>
            <w:left w:val="none" w:sz="0" w:space="0" w:color="auto"/>
            <w:bottom w:val="none" w:sz="0" w:space="0" w:color="auto"/>
            <w:right w:val="none" w:sz="0" w:space="0" w:color="auto"/>
          </w:divBdr>
        </w:div>
      </w:divsChild>
    </w:div>
    <w:div w:id="514348489">
      <w:bodyDiv w:val="1"/>
      <w:marLeft w:val="0"/>
      <w:marRight w:val="0"/>
      <w:marTop w:val="0"/>
      <w:marBottom w:val="0"/>
      <w:divBdr>
        <w:top w:val="none" w:sz="0" w:space="0" w:color="auto"/>
        <w:left w:val="none" w:sz="0" w:space="0" w:color="auto"/>
        <w:bottom w:val="none" w:sz="0" w:space="0" w:color="auto"/>
        <w:right w:val="none" w:sz="0" w:space="0" w:color="auto"/>
      </w:divBdr>
    </w:div>
    <w:div w:id="514542543">
      <w:bodyDiv w:val="1"/>
      <w:marLeft w:val="0"/>
      <w:marRight w:val="0"/>
      <w:marTop w:val="0"/>
      <w:marBottom w:val="0"/>
      <w:divBdr>
        <w:top w:val="none" w:sz="0" w:space="0" w:color="auto"/>
        <w:left w:val="none" w:sz="0" w:space="0" w:color="auto"/>
        <w:bottom w:val="none" w:sz="0" w:space="0" w:color="auto"/>
        <w:right w:val="none" w:sz="0" w:space="0" w:color="auto"/>
      </w:divBdr>
    </w:div>
    <w:div w:id="519776534">
      <w:bodyDiv w:val="1"/>
      <w:marLeft w:val="0"/>
      <w:marRight w:val="0"/>
      <w:marTop w:val="0"/>
      <w:marBottom w:val="0"/>
      <w:divBdr>
        <w:top w:val="none" w:sz="0" w:space="0" w:color="auto"/>
        <w:left w:val="none" w:sz="0" w:space="0" w:color="auto"/>
        <w:bottom w:val="none" w:sz="0" w:space="0" w:color="auto"/>
        <w:right w:val="none" w:sz="0" w:space="0" w:color="auto"/>
      </w:divBdr>
    </w:div>
    <w:div w:id="544754396">
      <w:bodyDiv w:val="1"/>
      <w:marLeft w:val="0"/>
      <w:marRight w:val="0"/>
      <w:marTop w:val="0"/>
      <w:marBottom w:val="0"/>
      <w:divBdr>
        <w:top w:val="none" w:sz="0" w:space="0" w:color="auto"/>
        <w:left w:val="none" w:sz="0" w:space="0" w:color="auto"/>
        <w:bottom w:val="none" w:sz="0" w:space="0" w:color="auto"/>
        <w:right w:val="none" w:sz="0" w:space="0" w:color="auto"/>
      </w:divBdr>
    </w:div>
    <w:div w:id="551577822">
      <w:bodyDiv w:val="1"/>
      <w:marLeft w:val="0"/>
      <w:marRight w:val="0"/>
      <w:marTop w:val="0"/>
      <w:marBottom w:val="0"/>
      <w:divBdr>
        <w:top w:val="none" w:sz="0" w:space="0" w:color="auto"/>
        <w:left w:val="none" w:sz="0" w:space="0" w:color="auto"/>
        <w:bottom w:val="none" w:sz="0" w:space="0" w:color="auto"/>
        <w:right w:val="none" w:sz="0" w:space="0" w:color="auto"/>
      </w:divBdr>
    </w:div>
    <w:div w:id="551620838">
      <w:bodyDiv w:val="1"/>
      <w:marLeft w:val="0"/>
      <w:marRight w:val="0"/>
      <w:marTop w:val="0"/>
      <w:marBottom w:val="0"/>
      <w:divBdr>
        <w:top w:val="none" w:sz="0" w:space="0" w:color="auto"/>
        <w:left w:val="none" w:sz="0" w:space="0" w:color="auto"/>
        <w:bottom w:val="none" w:sz="0" w:space="0" w:color="auto"/>
        <w:right w:val="none" w:sz="0" w:space="0" w:color="auto"/>
      </w:divBdr>
    </w:div>
    <w:div w:id="552159622">
      <w:bodyDiv w:val="1"/>
      <w:marLeft w:val="0"/>
      <w:marRight w:val="0"/>
      <w:marTop w:val="0"/>
      <w:marBottom w:val="0"/>
      <w:divBdr>
        <w:top w:val="none" w:sz="0" w:space="0" w:color="auto"/>
        <w:left w:val="none" w:sz="0" w:space="0" w:color="auto"/>
        <w:bottom w:val="none" w:sz="0" w:space="0" w:color="auto"/>
        <w:right w:val="none" w:sz="0" w:space="0" w:color="auto"/>
      </w:divBdr>
    </w:div>
    <w:div w:id="560555314">
      <w:bodyDiv w:val="1"/>
      <w:marLeft w:val="0"/>
      <w:marRight w:val="0"/>
      <w:marTop w:val="0"/>
      <w:marBottom w:val="0"/>
      <w:divBdr>
        <w:top w:val="none" w:sz="0" w:space="0" w:color="auto"/>
        <w:left w:val="none" w:sz="0" w:space="0" w:color="auto"/>
        <w:bottom w:val="none" w:sz="0" w:space="0" w:color="auto"/>
        <w:right w:val="none" w:sz="0" w:space="0" w:color="auto"/>
      </w:divBdr>
    </w:div>
    <w:div w:id="561214680">
      <w:bodyDiv w:val="1"/>
      <w:marLeft w:val="0"/>
      <w:marRight w:val="0"/>
      <w:marTop w:val="0"/>
      <w:marBottom w:val="0"/>
      <w:divBdr>
        <w:top w:val="none" w:sz="0" w:space="0" w:color="auto"/>
        <w:left w:val="none" w:sz="0" w:space="0" w:color="auto"/>
        <w:bottom w:val="none" w:sz="0" w:space="0" w:color="auto"/>
        <w:right w:val="none" w:sz="0" w:space="0" w:color="auto"/>
      </w:divBdr>
    </w:div>
    <w:div w:id="565802464">
      <w:bodyDiv w:val="1"/>
      <w:marLeft w:val="0"/>
      <w:marRight w:val="0"/>
      <w:marTop w:val="0"/>
      <w:marBottom w:val="0"/>
      <w:divBdr>
        <w:top w:val="none" w:sz="0" w:space="0" w:color="auto"/>
        <w:left w:val="none" w:sz="0" w:space="0" w:color="auto"/>
        <w:bottom w:val="none" w:sz="0" w:space="0" w:color="auto"/>
        <w:right w:val="none" w:sz="0" w:space="0" w:color="auto"/>
      </w:divBdr>
    </w:div>
    <w:div w:id="571934189">
      <w:bodyDiv w:val="1"/>
      <w:marLeft w:val="0"/>
      <w:marRight w:val="0"/>
      <w:marTop w:val="0"/>
      <w:marBottom w:val="0"/>
      <w:divBdr>
        <w:top w:val="none" w:sz="0" w:space="0" w:color="auto"/>
        <w:left w:val="none" w:sz="0" w:space="0" w:color="auto"/>
        <w:bottom w:val="none" w:sz="0" w:space="0" w:color="auto"/>
        <w:right w:val="none" w:sz="0" w:space="0" w:color="auto"/>
      </w:divBdr>
    </w:div>
    <w:div w:id="572005148">
      <w:bodyDiv w:val="1"/>
      <w:marLeft w:val="0"/>
      <w:marRight w:val="0"/>
      <w:marTop w:val="0"/>
      <w:marBottom w:val="0"/>
      <w:divBdr>
        <w:top w:val="none" w:sz="0" w:space="0" w:color="auto"/>
        <w:left w:val="none" w:sz="0" w:space="0" w:color="auto"/>
        <w:bottom w:val="none" w:sz="0" w:space="0" w:color="auto"/>
        <w:right w:val="none" w:sz="0" w:space="0" w:color="auto"/>
      </w:divBdr>
    </w:div>
    <w:div w:id="573470134">
      <w:bodyDiv w:val="1"/>
      <w:marLeft w:val="0"/>
      <w:marRight w:val="0"/>
      <w:marTop w:val="0"/>
      <w:marBottom w:val="0"/>
      <w:divBdr>
        <w:top w:val="none" w:sz="0" w:space="0" w:color="auto"/>
        <w:left w:val="none" w:sz="0" w:space="0" w:color="auto"/>
        <w:bottom w:val="none" w:sz="0" w:space="0" w:color="auto"/>
        <w:right w:val="none" w:sz="0" w:space="0" w:color="auto"/>
      </w:divBdr>
    </w:div>
    <w:div w:id="573778656">
      <w:bodyDiv w:val="1"/>
      <w:marLeft w:val="0"/>
      <w:marRight w:val="0"/>
      <w:marTop w:val="0"/>
      <w:marBottom w:val="0"/>
      <w:divBdr>
        <w:top w:val="none" w:sz="0" w:space="0" w:color="auto"/>
        <w:left w:val="none" w:sz="0" w:space="0" w:color="auto"/>
        <w:bottom w:val="none" w:sz="0" w:space="0" w:color="auto"/>
        <w:right w:val="none" w:sz="0" w:space="0" w:color="auto"/>
      </w:divBdr>
    </w:div>
    <w:div w:id="576868488">
      <w:bodyDiv w:val="1"/>
      <w:marLeft w:val="0"/>
      <w:marRight w:val="0"/>
      <w:marTop w:val="0"/>
      <w:marBottom w:val="0"/>
      <w:divBdr>
        <w:top w:val="none" w:sz="0" w:space="0" w:color="auto"/>
        <w:left w:val="none" w:sz="0" w:space="0" w:color="auto"/>
        <w:bottom w:val="none" w:sz="0" w:space="0" w:color="auto"/>
        <w:right w:val="none" w:sz="0" w:space="0" w:color="auto"/>
      </w:divBdr>
      <w:divsChild>
        <w:div w:id="36781158">
          <w:marLeft w:val="547"/>
          <w:marRight w:val="0"/>
          <w:marTop w:val="0"/>
          <w:marBottom w:val="0"/>
          <w:divBdr>
            <w:top w:val="none" w:sz="0" w:space="0" w:color="auto"/>
            <w:left w:val="none" w:sz="0" w:space="0" w:color="auto"/>
            <w:bottom w:val="none" w:sz="0" w:space="0" w:color="auto"/>
            <w:right w:val="none" w:sz="0" w:space="0" w:color="auto"/>
          </w:divBdr>
        </w:div>
      </w:divsChild>
    </w:div>
    <w:div w:id="582689376">
      <w:bodyDiv w:val="1"/>
      <w:marLeft w:val="0"/>
      <w:marRight w:val="0"/>
      <w:marTop w:val="0"/>
      <w:marBottom w:val="0"/>
      <w:divBdr>
        <w:top w:val="none" w:sz="0" w:space="0" w:color="auto"/>
        <w:left w:val="none" w:sz="0" w:space="0" w:color="auto"/>
        <w:bottom w:val="none" w:sz="0" w:space="0" w:color="auto"/>
        <w:right w:val="none" w:sz="0" w:space="0" w:color="auto"/>
      </w:divBdr>
    </w:div>
    <w:div w:id="603997008">
      <w:bodyDiv w:val="1"/>
      <w:marLeft w:val="0"/>
      <w:marRight w:val="0"/>
      <w:marTop w:val="0"/>
      <w:marBottom w:val="0"/>
      <w:divBdr>
        <w:top w:val="none" w:sz="0" w:space="0" w:color="auto"/>
        <w:left w:val="none" w:sz="0" w:space="0" w:color="auto"/>
        <w:bottom w:val="none" w:sz="0" w:space="0" w:color="auto"/>
        <w:right w:val="none" w:sz="0" w:space="0" w:color="auto"/>
      </w:divBdr>
    </w:div>
    <w:div w:id="604382905">
      <w:bodyDiv w:val="1"/>
      <w:marLeft w:val="0"/>
      <w:marRight w:val="0"/>
      <w:marTop w:val="0"/>
      <w:marBottom w:val="0"/>
      <w:divBdr>
        <w:top w:val="none" w:sz="0" w:space="0" w:color="auto"/>
        <w:left w:val="none" w:sz="0" w:space="0" w:color="auto"/>
        <w:bottom w:val="none" w:sz="0" w:space="0" w:color="auto"/>
        <w:right w:val="none" w:sz="0" w:space="0" w:color="auto"/>
      </w:divBdr>
    </w:div>
    <w:div w:id="626861449">
      <w:bodyDiv w:val="1"/>
      <w:marLeft w:val="0"/>
      <w:marRight w:val="0"/>
      <w:marTop w:val="0"/>
      <w:marBottom w:val="0"/>
      <w:divBdr>
        <w:top w:val="none" w:sz="0" w:space="0" w:color="auto"/>
        <w:left w:val="none" w:sz="0" w:space="0" w:color="auto"/>
        <w:bottom w:val="none" w:sz="0" w:space="0" w:color="auto"/>
        <w:right w:val="none" w:sz="0" w:space="0" w:color="auto"/>
      </w:divBdr>
      <w:divsChild>
        <w:div w:id="397754694">
          <w:marLeft w:val="0"/>
          <w:marRight w:val="0"/>
          <w:marTop w:val="0"/>
          <w:marBottom w:val="0"/>
          <w:divBdr>
            <w:top w:val="none" w:sz="0" w:space="0" w:color="auto"/>
            <w:left w:val="none" w:sz="0" w:space="0" w:color="auto"/>
            <w:bottom w:val="none" w:sz="0" w:space="0" w:color="auto"/>
            <w:right w:val="none" w:sz="0" w:space="0" w:color="auto"/>
          </w:divBdr>
          <w:divsChild>
            <w:div w:id="1098409218">
              <w:marLeft w:val="0"/>
              <w:marRight w:val="0"/>
              <w:marTop w:val="30"/>
              <w:marBottom w:val="30"/>
              <w:divBdr>
                <w:top w:val="none" w:sz="0" w:space="0" w:color="auto"/>
                <w:left w:val="none" w:sz="0" w:space="0" w:color="auto"/>
                <w:bottom w:val="none" w:sz="0" w:space="0" w:color="auto"/>
                <w:right w:val="none" w:sz="0" w:space="0" w:color="auto"/>
              </w:divBdr>
              <w:divsChild>
                <w:div w:id="95372250">
                  <w:marLeft w:val="0"/>
                  <w:marRight w:val="0"/>
                  <w:marTop w:val="0"/>
                  <w:marBottom w:val="0"/>
                  <w:divBdr>
                    <w:top w:val="none" w:sz="0" w:space="0" w:color="auto"/>
                    <w:left w:val="none" w:sz="0" w:space="0" w:color="auto"/>
                    <w:bottom w:val="none" w:sz="0" w:space="0" w:color="auto"/>
                    <w:right w:val="none" w:sz="0" w:space="0" w:color="auto"/>
                  </w:divBdr>
                  <w:divsChild>
                    <w:div w:id="110978495">
                      <w:marLeft w:val="0"/>
                      <w:marRight w:val="0"/>
                      <w:marTop w:val="0"/>
                      <w:marBottom w:val="0"/>
                      <w:divBdr>
                        <w:top w:val="none" w:sz="0" w:space="0" w:color="auto"/>
                        <w:left w:val="none" w:sz="0" w:space="0" w:color="auto"/>
                        <w:bottom w:val="none" w:sz="0" w:space="0" w:color="auto"/>
                        <w:right w:val="none" w:sz="0" w:space="0" w:color="auto"/>
                      </w:divBdr>
                    </w:div>
                  </w:divsChild>
                </w:div>
                <w:div w:id="99379814">
                  <w:marLeft w:val="0"/>
                  <w:marRight w:val="0"/>
                  <w:marTop w:val="0"/>
                  <w:marBottom w:val="0"/>
                  <w:divBdr>
                    <w:top w:val="none" w:sz="0" w:space="0" w:color="auto"/>
                    <w:left w:val="none" w:sz="0" w:space="0" w:color="auto"/>
                    <w:bottom w:val="none" w:sz="0" w:space="0" w:color="auto"/>
                    <w:right w:val="none" w:sz="0" w:space="0" w:color="auto"/>
                  </w:divBdr>
                  <w:divsChild>
                    <w:div w:id="652412602">
                      <w:marLeft w:val="0"/>
                      <w:marRight w:val="0"/>
                      <w:marTop w:val="0"/>
                      <w:marBottom w:val="0"/>
                      <w:divBdr>
                        <w:top w:val="none" w:sz="0" w:space="0" w:color="auto"/>
                        <w:left w:val="none" w:sz="0" w:space="0" w:color="auto"/>
                        <w:bottom w:val="none" w:sz="0" w:space="0" w:color="auto"/>
                        <w:right w:val="none" w:sz="0" w:space="0" w:color="auto"/>
                      </w:divBdr>
                    </w:div>
                  </w:divsChild>
                </w:div>
                <w:div w:id="299305855">
                  <w:marLeft w:val="0"/>
                  <w:marRight w:val="0"/>
                  <w:marTop w:val="0"/>
                  <w:marBottom w:val="0"/>
                  <w:divBdr>
                    <w:top w:val="none" w:sz="0" w:space="0" w:color="auto"/>
                    <w:left w:val="none" w:sz="0" w:space="0" w:color="auto"/>
                    <w:bottom w:val="none" w:sz="0" w:space="0" w:color="auto"/>
                    <w:right w:val="none" w:sz="0" w:space="0" w:color="auto"/>
                  </w:divBdr>
                  <w:divsChild>
                    <w:div w:id="1287740643">
                      <w:marLeft w:val="0"/>
                      <w:marRight w:val="0"/>
                      <w:marTop w:val="0"/>
                      <w:marBottom w:val="0"/>
                      <w:divBdr>
                        <w:top w:val="none" w:sz="0" w:space="0" w:color="auto"/>
                        <w:left w:val="none" w:sz="0" w:space="0" w:color="auto"/>
                        <w:bottom w:val="none" w:sz="0" w:space="0" w:color="auto"/>
                        <w:right w:val="none" w:sz="0" w:space="0" w:color="auto"/>
                      </w:divBdr>
                    </w:div>
                  </w:divsChild>
                </w:div>
                <w:div w:id="324553194">
                  <w:marLeft w:val="0"/>
                  <w:marRight w:val="0"/>
                  <w:marTop w:val="0"/>
                  <w:marBottom w:val="0"/>
                  <w:divBdr>
                    <w:top w:val="none" w:sz="0" w:space="0" w:color="auto"/>
                    <w:left w:val="none" w:sz="0" w:space="0" w:color="auto"/>
                    <w:bottom w:val="none" w:sz="0" w:space="0" w:color="auto"/>
                    <w:right w:val="none" w:sz="0" w:space="0" w:color="auto"/>
                  </w:divBdr>
                  <w:divsChild>
                    <w:div w:id="217715410">
                      <w:marLeft w:val="0"/>
                      <w:marRight w:val="0"/>
                      <w:marTop w:val="0"/>
                      <w:marBottom w:val="0"/>
                      <w:divBdr>
                        <w:top w:val="none" w:sz="0" w:space="0" w:color="auto"/>
                        <w:left w:val="none" w:sz="0" w:space="0" w:color="auto"/>
                        <w:bottom w:val="none" w:sz="0" w:space="0" w:color="auto"/>
                        <w:right w:val="none" w:sz="0" w:space="0" w:color="auto"/>
                      </w:divBdr>
                    </w:div>
                  </w:divsChild>
                </w:div>
                <w:div w:id="334723730">
                  <w:marLeft w:val="0"/>
                  <w:marRight w:val="0"/>
                  <w:marTop w:val="0"/>
                  <w:marBottom w:val="0"/>
                  <w:divBdr>
                    <w:top w:val="none" w:sz="0" w:space="0" w:color="auto"/>
                    <w:left w:val="none" w:sz="0" w:space="0" w:color="auto"/>
                    <w:bottom w:val="none" w:sz="0" w:space="0" w:color="auto"/>
                    <w:right w:val="none" w:sz="0" w:space="0" w:color="auto"/>
                  </w:divBdr>
                  <w:divsChild>
                    <w:div w:id="202180979">
                      <w:marLeft w:val="0"/>
                      <w:marRight w:val="0"/>
                      <w:marTop w:val="0"/>
                      <w:marBottom w:val="0"/>
                      <w:divBdr>
                        <w:top w:val="none" w:sz="0" w:space="0" w:color="auto"/>
                        <w:left w:val="none" w:sz="0" w:space="0" w:color="auto"/>
                        <w:bottom w:val="none" w:sz="0" w:space="0" w:color="auto"/>
                        <w:right w:val="none" w:sz="0" w:space="0" w:color="auto"/>
                      </w:divBdr>
                    </w:div>
                  </w:divsChild>
                </w:div>
                <w:div w:id="401100000">
                  <w:marLeft w:val="0"/>
                  <w:marRight w:val="0"/>
                  <w:marTop w:val="0"/>
                  <w:marBottom w:val="0"/>
                  <w:divBdr>
                    <w:top w:val="none" w:sz="0" w:space="0" w:color="auto"/>
                    <w:left w:val="none" w:sz="0" w:space="0" w:color="auto"/>
                    <w:bottom w:val="none" w:sz="0" w:space="0" w:color="auto"/>
                    <w:right w:val="none" w:sz="0" w:space="0" w:color="auto"/>
                  </w:divBdr>
                  <w:divsChild>
                    <w:div w:id="1586571150">
                      <w:marLeft w:val="0"/>
                      <w:marRight w:val="0"/>
                      <w:marTop w:val="0"/>
                      <w:marBottom w:val="0"/>
                      <w:divBdr>
                        <w:top w:val="none" w:sz="0" w:space="0" w:color="auto"/>
                        <w:left w:val="none" w:sz="0" w:space="0" w:color="auto"/>
                        <w:bottom w:val="none" w:sz="0" w:space="0" w:color="auto"/>
                        <w:right w:val="none" w:sz="0" w:space="0" w:color="auto"/>
                      </w:divBdr>
                    </w:div>
                  </w:divsChild>
                </w:div>
                <w:div w:id="404768030">
                  <w:marLeft w:val="0"/>
                  <w:marRight w:val="0"/>
                  <w:marTop w:val="0"/>
                  <w:marBottom w:val="0"/>
                  <w:divBdr>
                    <w:top w:val="none" w:sz="0" w:space="0" w:color="auto"/>
                    <w:left w:val="none" w:sz="0" w:space="0" w:color="auto"/>
                    <w:bottom w:val="none" w:sz="0" w:space="0" w:color="auto"/>
                    <w:right w:val="none" w:sz="0" w:space="0" w:color="auto"/>
                  </w:divBdr>
                  <w:divsChild>
                    <w:div w:id="211353617">
                      <w:marLeft w:val="0"/>
                      <w:marRight w:val="0"/>
                      <w:marTop w:val="0"/>
                      <w:marBottom w:val="0"/>
                      <w:divBdr>
                        <w:top w:val="none" w:sz="0" w:space="0" w:color="auto"/>
                        <w:left w:val="none" w:sz="0" w:space="0" w:color="auto"/>
                        <w:bottom w:val="none" w:sz="0" w:space="0" w:color="auto"/>
                        <w:right w:val="none" w:sz="0" w:space="0" w:color="auto"/>
                      </w:divBdr>
                    </w:div>
                  </w:divsChild>
                </w:div>
                <w:div w:id="776875410">
                  <w:marLeft w:val="0"/>
                  <w:marRight w:val="0"/>
                  <w:marTop w:val="0"/>
                  <w:marBottom w:val="0"/>
                  <w:divBdr>
                    <w:top w:val="none" w:sz="0" w:space="0" w:color="auto"/>
                    <w:left w:val="none" w:sz="0" w:space="0" w:color="auto"/>
                    <w:bottom w:val="none" w:sz="0" w:space="0" w:color="auto"/>
                    <w:right w:val="none" w:sz="0" w:space="0" w:color="auto"/>
                  </w:divBdr>
                  <w:divsChild>
                    <w:div w:id="1445080919">
                      <w:marLeft w:val="0"/>
                      <w:marRight w:val="0"/>
                      <w:marTop w:val="0"/>
                      <w:marBottom w:val="0"/>
                      <w:divBdr>
                        <w:top w:val="none" w:sz="0" w:space="0" w:color="auto"/>
                        <w:left w:val="none" w:sz="0" w:space="0" w:color="auto"/>
                        <w:bottom w:val="none" w:sz="0" w:space="0" w:color="auto"/>
                        <w:right w:val="none" w:sz="0" w:space="0" w:color="auto"/>
                      </w:divBdr>
                    </w:div>
                  </w:divsChild>
                </w:div>
                <w:div w:id="834682478">
                  <w:marLeft w:val="0"/>
                  <w:marRight w:val="0"/>
                  <w:marTop w:val="0"/>
                  <w:marBottom w:val="0"/>
                  <w:divBdr>
                    <w:top w:val="none" w:sz="0" w:space="0" w:color="auto"/>
                    <w:left w:val="none" w:sz="0" w:space="0" w:color="auto"/>
                    <w:bottom w:val="none" w:sz="0" w:space="0" w:color="auto"/>
                    <w:right w:val="none" w:sz="0" w:space="0" w:color="auto"/>
                  </w:divBdr>
                  <w:divsChild>
                    <w:div w:id="837379601">
                      <w:marLeft w:val="0"/>
                      <w:marRight w:val="0"/>
                      <w:marTop w:val="0"/>
                      <w:marBottom w:val="0"/>
                      <w:divBdr>
                        <w:top w:val="none" w:sz="0" w:space="0" w:color="auto"/>
                        <w:left w:val="none" w:sz="0" w:space="0" w:color="auto"/>
                        <w:bottom w:val="none" w:sz="0" w:space="0" w:color="auto"/>
                        <w:right w:val="none" w:sz="0" w:space="0" w:color="auto"/>
                      </w:divBdr>
                    </w:div>
                  </w:divsChild>
                </w:div>
                <w:div w:id="1062214451">
                  <w:marLeft w:val="0"/>
                  <w:marRight w:val="0"/>
                  <w:marTop w:val="0"/>
                  <w:marBottom w:val="0"/>
                  <w:divBdr>
                    <w:top w:val="none" w:sz="0" w:space="0" w:color="auto"/>
                    <w:left w:val="none" w:sz="0" w:space="0" w:color="auto"/>
                    <w:bottom w:val="none" w:sz="0" w:space="0" w:color="auto"/>
                    <w:right w:val="none" w:sz="0" w:space="0" w:color="auto"/>
                  </w:divBdr>
                  <w:divsChild>
                    <w:div w:id="487092440">
                      <w:marLeft w:val="0"/>
                      <w:marRight w:val="0"/>
                      <w:marTop w:val="0"/>
                      <w:marBottom w:val="0"/>
                      <w:divBdr>
                        <w:top w:val="none" w:sz="0" w:space="0" w:color="auto"/>
                        <w:left w:val="none" w:sz="0" w:space="0" w:color="auto"/>
                        <w:bottom w:val="none" w:sz="0" w:space="0" w:color="auto"/>
                        <w:right w:val="none" w:sz="0" w:space="0" w:color="auto"/>
                      </w:divBdr>
                    </w:div>
                  </w:divsChild>
                </w:div>
                <w:div w:id="1153987309">
                  <w:marLeft w:val="0"/>
                  <w:marRight w:val="0"/>
                  <w:marTop w:val="0"/>
                  <w:marBottom w:val="0"/>
                  <w:divBdr>
                    <w:top w:val="none" w:sz="0" w:space="0" w:color="auto"/>
                    <w:left w:val="none" w:sz="0" w:space="0" w:color="auto"/>
                    <w:bottom w:val="none" w:sz="0" w:space="0" w:color="auto"/>
                    <w:right w:val="none" w:sz="0" w:space="0" w:color="auto"/>
                  </w:divBdr>
                  <w:divsChild>
                    <w:div w:id="149642829">
                      <w:marLeft w:val="0"/>
                      <w:marRight w:val="0"/>
                      <w:marTop w:val="0"/>
                      <w:marBottom w:val="0"/>
                      <w:divBdr>
                        <w:top w:val="none" w:sz="0" w:space="0" w:color="auto"/>
                        <w:left w:val="none" w:sz="0" w:space="0" w:color="auto"/>
                        <w:bottom w:val="none" w:sz="0" w:space="0" w:color="auto"/>
                        <w:right w:val="none" w:sz="0" w:space="0" w:color="auto"/>
                      </w:divBdr>
                    </w:div>
                  </w:divsChild>
                </w:div>
                <w:div w:id="1169326058">
                  <w:marLeft w:val="0"/>
                  <w:marRight w:val="0"/>
                  <w:marTop w:val="0"/>
                  <w:marBottom w:val="0"/>
                  <w:divBdr>
                    <w:top w:val="none" w:sz="0" w:space="0" w:color="auto"/>
                    <w:left w:val="none" w:sz="0" w:space="0" w:color="auto"/>
                    <w:bottom w:val="none" w:sz="0" w:space="0" w:color="auto"/>
                    <w:right w:val="none" w:sz="0" w:space="0" w:color="auto"/>
                  </w:divBdr>
                  <w:divsChild>
                    <w:div w:id="1736778483">
                      <w:marLeft w:val="0"/>
                      <w:marRight w:val="0"/>
                      <w:marTop w:val="0"/>
                      <w:marBottom w:val="0"/>
                      <w:divBdr>
                        <w:top w:val="none" w:sz="0" w:space="0" w:color="auto"/>
                        <w:left w:val="none" w:sz="0" w:space="0" w:color="auto"/>
                        <w:bottom w:val="none" w:sz="0" w:space="0" w:color="auto"/>
                        <w:right w:val="none" w:sz="0" w:space="0" w:color="auto"/>
                      </w:divBdr>
                    </w:div>
                  </w:divsChild>
                </w:div>
                <w:div w:id="1212033575">
                  <w:marLeft w:val="0"/>
                  <w:marRight w:val="0"/>
                  <w:marTop w:val="0"/>
                  <w:marBottom w:val="0"/>
                  <w:divBdr>
                    <w:top w:val="none" w:sz="0" w:space="0" w:color="auto"/>
                    <w:left w:val="none" w:sz="0" w:space="0" w:color="auto"/>
                    <w:bottom w:val="none" w:sz="0" w:space="0" w:color="auto"/>
                    <w:right w:val="none" w:sz="0" w:space="0" w:color="auto"/>
                  </w:divBdr>
                  <w:divsChild>
                    <w:div w:id="1487354612">
                      <w:marLeft w:val="0"/>
                      <w:marRight w:val="0"/>
                      <w:marTop w:val="0"/>
                      <w:marBottom w:val="0"/>
                      <w:divBdr>
                        <w:top w:val="none" w:sz="0" w:space="0" w:color="auto"/>
                        <w:left w:val="none" w:sz="0" w:space="0" w:color="auto"/>
                        <w:bottom w:val="none" w:sz="0" w:space="0" w:color="auto"/>
                        <w:right w:val="none" w:sz="0" w:space="0" w:color="auto"/>
                      </w:divBdr>
                    </w:div>
                  </w:divsChild>
                </w:div>
                <w:div w:id="1431925895">
                  <w:marLeft w:val="0"/>
                  <w:marRight w:val="0"/>
                  <w:marTop w:val="0"/>
                  <w:marBottom w:val="0"/>
                  <w:divBdr>
                    <w:top w:val="none" w:sz="0" w:space="0" w:color="auto"/>
                    <w:left w:val="none" w:sz="0" w:space="0" w:color="auto"/>
                    <w:bottom w:val="none" w:sz="0" w:space="0" w:color="auto"/>
                    <w:right w:val="none" w:sz="0" w:space="0" w:color="auto"/>
                  </w:divBdr>
                  <w:divsChild>
                    <w:div w:id="1821531421">
                      <w:marLeft w:val="0"/>
                      <w:marRight w:val="0"/>
                      <w:marTop w:val="0"/>
                      <w:marBottom w:val="0"/>
                      <w:divBdr>
                        <w:top w:val="none" w:sz="0" w:space="0" w:color="auto"/>
                        <w:left w:val="none" w:sz="0" w:space="0" w:color="auto"/>
                        <w:bottom w:val="none" w:sz="0" w:space="0" w:color="auto"/>
                        <w:right w:val="none" w:sz="0" w:space="0" w:color="auto"/>
                      </w:divBdr>
                    </w:div>
                  </w:divsChild>
                </w:div>
                <w:div w:id="1514762297">
                  <w:marLeft w:val="0"/>
                  <w:marRight w:val="0"/>
                  <w:marTop w:val="0"/>
                  <w:marBottom w:val="0"/>
                  <w:divBdr>
                    <w:top w:val="none" w:sz="0" w:space="0" w:color="auto"/>
                    <w:left w:val="none" w:sz="0" w:space="0" w:color="auto"/>
                    <w:bottom w:val="none" w:sz="0" w:space="0" w:color="auto"/>
                    <w:right w:val="none" w:sz="0" w:space="0" w:color="auto"/>
                  </w:divBdr>
                  <w:divsChild>
                    <w:div w:id="1114903946">
                      <w:marLeft w:val="0"/>
                      <w:marRight w:val="0"/>
                      <w:marTop w:val="0"/>
                      <w:marBottom w:val="0"/>
                      <w:divBdr>
                        <w:top w:val="none" w:sz="0" w:space="0" w:color="auto"/>
                        <w:left w:val="none" w:sz="0" w:space="0" w:color="auto"/>
                        <w:bottom w:val="none" w:sz="0" w:space="0" w:color="auto"/>
                        <w:right w:val="none" w:sz="0" w:space="0" w:color="auto"/>
                      </w:divBdr>
                    </w:div>
                  </w:divsChild>
                </w:div>
                <w:div w:id="1768303354">
                  <w:marLeft w:val="0"/>
                  <w:marRight w:val="0"/>
                  <w:marTop w:val="0"/>
                  <w:marBottom w:val="0"/>
                  <w:divBdr>
                    <w:top w:val="none" w:sz="0" w:space="0" w:color="auto"/>
                    <w:left w:val="none" w:sz="0" w:space="0" w:color="auto"/>
                    <w:bottom w:val="none" w:sz="0" w:space="0" w:color="auto"/>
                    <w:right w:val="none" w:sz="0" w:space="0" w:color="auto"/>
                  </w:divBdr>
                  <w:divsChild>
                    <w:div w:id="617493851">
                      <w:marLeft w:val="0"/>
                      <w:marRight w:val="0"/>
                      <w:marTop w:val="0"/>
                      <w:marBottom w:val="0"/>
                      <w:divBdr>
                        <w:top w:val="none" w:sz="0" w:space="0" w:color="auto"/>
                        <w:left w:val="none" w:sz="0" w:space="0" w:color="auto"/>
                        <w:bottom w:val="none" w:sz="0" w:space="0" w:color="auto"/>
                        <w:right w:val="none" w:sz="0" w:space="0" w:color="auto"/>
                      </w:divBdr>
                    </w:div>
                    <w:div w:id="1458570691">
                      <w:marLeft w:val="0"/>
                      <w:marRight w:val="0"/>
                      <w:marTop w:val="0"/>
                      <w:marBottom w:val="0"/>
                      <w:divBdr>
                        <w:top w:val="none" w:sz="0" w:space="0" w:color="auto"/>
                        <w:left w:val="none" w:sz="0" w:space="0" w:color="auto"/>
                        <w:bottom w:val="none" w:sz="0" w:space="0" w:color="auto"/>
                        <w:right w:val="none" w:sz="0" w:space="0" w:color="auto"/>
                      </w:divBdr>
                    </w:div>
                  </w:divsChild>
                </w:div>
                <w:div w:id="1811287887">
                  <w:marLeft w:val="0"/>
                  <w:marRight w:val="0"/>
                  <w:marTop w:val="0"/>
                  <w:marBottom w:val="0"/>
                  <w:divBdr>
                    <w:top w:val="none" w:sz="0" w:space="0" w:color="auto"/>
                    <w:left w:val="none" w:sz="0" w:space="0" w:color="auto"/>
                    <w:bottom w:val="none" w:sz="0" w:space="0" w:color="auto"/>
                    <w:right w:val="none" w:sz="0" w:space="0" w:color="auto"/>
                  </w:divBdr>
                  <w:divsChild>
                    <w:div w:id="1091851913">
                      <w:marLeft w:val="0"/>
                      <w:marRight w:val="0"/>
                      <w:marTop w:val="0"/>
                      <w:marBottom w:val="0"/>
                      <w:divBdr>
                        <w:top w:val="none" w:sz="0" w:space="0" w:color="auto"/>
                        <w:left w:val="none" w:sz="0" w:space="0" w:color="auto"/>
                        <w:bottom w:val="none" w:sz="0" w:space="0" w:color="auto"/>
                        <w:right w:val="none" w:sz="0" w:space="0" w:color="auto"/>
                      </w:divBdr>
                    </w:div>
                  </w:divsChild>
                </w:div>
                <w:div w:id="1901671317">
                  <w:marLeft w:val="0"/>
                  <w:marRight w:val="0"/>
                  <w:marTop w:val="0"/>
                  <w:marBottom w:val="0"/>
                  <w:divBdr>
                    <w:top w:val="none" w:sz="0" w:space="0" w:color="auto"/>
                    <w:left w:val="none" w:sz="0" w:space="0" w:color="auto"/>
                    <w:bottom w:val="none" w:sz="0" w:space="0" w:color="auto"/>
                    <w:right w:val="none" w:sz="0" w:space="0" w:color="auto"/>
                  </w:divBdr>
                  <w:divsChild>
                    <w:div w:id="1061834106">
                      <w:marLeft w:val="0"/>
                      <w:marRight w:val="0"/>
                      <w:marTop w:val="0"/>
                      <w:marBottom w:val="0"/>
                      <w:divBdr>
                        <w:top w:val="none" w:sz="0" w:space="0" w:color="auto"/>
                        <w:left w:val="none" w:sz="0" w:space="0" w:color="auto"/>
                        <w:bottom w:val="none" w:sz="0" w:space="0" w:color="auto"/>
                        <w:right w:val="none" w:sz="0" w:space="0" w:color="auto"/>
                      </w:divBdr>
                    </w:div>
                  </w:divsChild>
                </w:div>
                <w:div w:id="1965038617">
                  <w:marLeft w:val="0"/>
                  <w:marRight w:val="0"/>
                  <w:marTop w:val="0"/>
                  <w:marBottom w:val="0"/>
                  <w:divBdr>
                    <w:top w:val="none" w:sz="0" w:space="0" w:color="auto"/>
                    <w:left w:val="none" w:sz="0" w:space="0" w:color="auto"/>
                    <w:bottom w:val="none" w:sz="0" w:space="0" w:color="auto"/>
                    <w:right w:val="none" w:sz="0" w:space="0" w:color="auto"/>
                  </w:divBdr>
                  <w:divsChild>
                    <w:div w:id="436218392">
                      <w:marLeft w:val="0"/>
                      <w:marRight w:val="0"/>
                      <w:marTop w:val="0"/>
                      <w:marBottom w:val="0"/>
                      <w:divBdr>
                        <w:top w:val="none" w:sz="0" w:space="0" w:color="auto"/>
                        <w:left w:val="none" w:sz="0" w:space="0" w:color="auto"/>
                        <w:bottom w:val="none" w:sz="0" w:space="0" w:color="auto"/>
                        <w:right w:val="none" w:sz="0" w:space="0" w:color="auto"/>
                      </w:divBdr>
                    </w:div>
                  </w:divsChild>
                </w:div>
                <w:div w:id="2065398741">
                  <w:marLeft w:val="0"/>
                  <w:marRight w:val="0"/>
                  <w:marTop w:val="0"/>
                  <w:marBottom w:val="0"/>
                  <w:divBdr>
                    <w:top w:val="none" w:sz="0" w:space="0" w:color="auto"/>
                    <w:left w:val="none" w:sz="0" w:space="0" w:color="auto"/>
                    <w:bottom w:val="none" w:sz="0" w:space="0" w:color="auto"/>
                    <w:right w:val="none" w:sz="0" w:space="0" w:color="auto"/>
                  </w:divBdr>
                  <w:divsChild>
                    <w:div w:id="334453816">
                      <w:marLeft w:val="0"/>
                      <w:marRight w:val="0"/>
                      <w:marTop w:val="0"/>
                      <w:marBottom w:val="0"/>
                      <w:divBdr>
                        <w:top w:val="none" w:sz="0" w:space="0" w:color="auto"/>
                        <w:left w:val="none" w:sz="0" w:space="0" w:color="auto"/>
                        <w:bottom w:val="none" w:sz="0" w:space="0" w:color="auto"/>
                        <w:right w:val="none" w:sz="0" w:space="0" w:color="auto"/>
                      </w:divBdr>
                    </w:div>
                    <w:div w:id="1635451962">
                      <w:marLeft w:val="0"/>
                      <w:marRight w:val="0"/>
                      <w:marTop w:val="0"/>
                      <w:marBottom w:val="0"/>
                      <w:divBdr>
                        <w:top w:val="none" w:sz="0" w:space="0" w:color="auto"/>
                        <w:left w:val="none" w:sz="0" w:space="0" w:color="auto"/>
                        <w:bottom w:val="none" w:sz="0" w:space="0" w:color="auto"/>
                        <w:right w:val="none" w:sz="0" w:space="0" w:color="auto"/>
                      </w:divBdr>
                    </w:div>
                    <w:div w:id="1896502204">
                      <w:marLeft w:val="0"/>
                      <w:marRight w:val="0"/>
                      <w:marTop w:val="0"/>
                      <w:marBottom w:val="0"/>
                      <w:divBdr>
                        <w:top w:val="none" w:sz="0" w:space="0" w:color="auto"/>
                        <w:left w:val="none" w:sz="0" w:space="0" w:color="auto"/>
                        <w:bottom w:val="none" w:sz="0" w:space="0" w:color="auto"/>
                        <w:right w:val="none" w:sz="0" w:space="0" w:color="auto"/>
                      </w:divBdr>
                    </w:div>
                  </w:divsChild>
                </w:div>
                <w:div w:id="2091727980">
                  <w:marLeft w:val="0"/>
                  <w:marRight w:val="0"/>
                  <w:marTop w:val="0"/>
                  <w:marBottom w:val="0"/>
                  <w:divBdr>
                    <w:top w:val="none" w:sz="0" w:space="0" w:color="auto"/>
                    <w:left w:val="none" w:sz="0" w:space="0" w:color="auto"/>
                    <w:bottom w:val="none" w:sz="0" w:space="0" w:color="auto"/>
                    <w:right w:val="none" w:sz="0" w:space="0" w:color="auto"/>
                  </w:divBdr>
                  <w:divsChild>
                    <w:div w:id="7728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84149">
          <w:marLeft w:val="0"/>
          <w:marRight w:val="0"/>
          <w:marTop w:val="0"/>
          <w:marBottom w:val="0"/>
          <w:divBdr>
            <w:top w:val="none" w:sz="0" w:space="0" w:color="auto"/>
            <w:left w:val="none" w:sz="0" w:space="0" w:color="auto"/>
            <w:bottom w:val="none" w:sz="0" w:space="0" w:color="auto"/>
            <w:right w:val="none" w:sz="0" w:space="0" w:color="auto"/>
          </w:divBdr>
        </w:div>
        <w:div w:id="1284533046">
          <w:marLeft w:val="0"/>
          <w:marRight w:val="0"/>
          <w:marTop w:val="0"/>
          <w:marBottom w:val="0"/>
          <w:divBdr>
            <w:top w:val="none" w:sz="0" w:space="0" w:color="auto"/>
            <w:left w:val="none" w:sz="0" w:space="0" w:color="auto"/>
            <w:bottom w:val="none" w:sz="0" w:space="0" w:color="auto"/>
            <w:right w:val="none" w:sz="0" w:space="0" w:color="auto"/>
          </w:divBdr>
        </w:div>
      </w:divsChild>
    </w:div>
    <w:div w:id="637494115">
      <w:bodyDiv w:val="1"/>
      <w:marLeft w:val="0"/>
      <w:marRight w:val="0"/>
      <w:marTop w:val="0"/>
      <w:marBottom w:val="0"/>
      <w:divBdr>
        <w:top w:val="none" w:sz="0" w:space="0" w:color="auto"/>
        <w:left w:val="none" w:sz="0" w:space="0" w:color="auto"/>
        <w:bottom w:val="none" w:sz="0" w:space="0" w:color="auto"/>
        <w:right w:val="none" w:sz="0" w:space="0" w:color="auto"/>
      </w:divBdr>
    </w:div>
    <w:div w:id="638537882">
      <w:bodyDiv w:val="1"/>
      <w:marLeft w:val="0"/>
      <w:marRight w:val="0"/>
      <w:marTop w:val="0"/>
      <w:marBottom w:val="0"/>
      <w:divBdr>
        <w:top w:val="none" w:sz="0" w:space="0" w:color="auto"/>
        <w:left w:val="none" w:sz="0" w:space="0" w:color="auto"/>
        <w:bottom w:val="none" w:sz="0" w:space="0" w:color="auto"/>
        <w:right w:val="none" w:sz="0" w:space="0" w:color="auto"/>
      </w:divBdr>
    </w:div>
    <w:div w:id="667487438">
      <w:bodyDiv w:val="1"/>
      <w:marLeft w:val="0"/>
      <w:marRight w:val="0"/>
      <w:marTop w:val="0"/>
      <w:marBottom w:val="0"/>
      <w:divBdr>
        <w:top w:val="none" w:sz="0" w:space="0" w:color="auto"/>
        <w:left w:val="none" w:sz="0" w:space="0" w:color="auto"/>
        <w:bottom w:val="none" w:sz="0" w:space="0" w:color="auto"/>
        <w:right w:val="none" w:sz="0" w:space="0" w:color="auto"/>
      </w:divBdr>
    </w:div>
    <w:div w:id="683244821">
      <w:bodyDiv w:val="1"/>
      <w:marLeft w:val="0"/>
      <w:marRight w:val="0"/>
      <w:marTop w:val="0"/>
      <w:marBottom w:val="0"/>
      <w:divBdr>
        <w:top w:val="none" w:sz="0" w:space="0" w:color="auto"/>
        <w:left w:val="none" w:sz="0" w:space="0" w:color="auto"/>
        <w:bottom w:val="none" w:sz="0" w:space="0" w:color="auto"/>
        <w:right w:val="none" w:sz="0" w:space="0" w:color="auto"/>
      </w:divBdr>
    </w:div>
    <w:div w:id="696128627">
      <w:bodyDiv w:val="1"/>
      <w:marLeft w:val="0"/>
      <w:marRight w:val="0"/>
      <w:marTop w:val="0"/>
      <w:marBottom w:val="0"/>
      <w:divBdr>
        <w:top w:val="none" w:sz="0" w:space="0" w:color="auto"/>
        <w:left w:val="none" w:sz="0" w:space="0" w:color="auto"/>
        <w:bottom w:val="none" w:sz="0" w:space="0" w:color="auto"/>
        <w:right w:val="none" w:sz="0" w:space="0" w:color="auto"/>
      </w:divBdr>
    </w:div>
    <w:div w:id="700132721">
      <w:bodyDiv w:val="1"/>
      <w:marLeft w:val="0"/>
      <w:marRight w:val="0"/>
      <w:marTop w:val="0"/>
      <w:marBottom w:val="0"/>
      <w:divBdr>
        <w:top w:val="none" w:sz="0" w:space="0" w:color="auto"/>
        <w:left w:val="none" w:sz="0" w:space="0" w:color="auto"/>
        <w:bottom w:val="none" w:sz="0" w:space="0" w:color="auto"/>
        <w:right w:val="none" w:sz="0" w:space="0" w:color="auto"/>
      </w:divBdr>
      <w:divsChild>
        <w:div w:id="2126465415">
          <w:marLeft w:val="0"/>
          <w:marRight w:val="0"/>
          <w:marTop w:val="0"/>
          <w:marBottom w:val="0"/>
          <w:divBdr>
            <w:top w:val="none" w:sz="0" w:space="0" w:color="auto"/>
            <w:left w:val="none" w:sz="0" w:space="0" w:color="auto"/>
            <w:bottom w:val="none" w:sz="0" w:space="0" w:color="auto"/>
            <w:right w:val="none" w:sz="0" w:space="0" w:color="auto"/>
          </w:divBdr>
        </w:div>
      </w:divsChild>
    </w:div>
    <w:div w:id="717439852">
      <w:bodyDiv w:val="1"/>
      <w:marLeft w:val="0"/>
      <w:marRight w:val="0"/>
      <w:marTop w:val="0"/>
      <w:marBottom w:val="0"/>
      <w:divBdr>
        <w:top w:val="none" w:sz="0" w:space="0" w:color="auto"/>
        <w:left w:val="none" w:sz="0" w:space="0" w:color="auto"/>
        <w:bottom w:val="none" w:sz="0" w:space="0" w:color="auto"/>
        <w:right w:val="none" w:sz="0" w:space="0" w:color="auto"/>
      </w:divBdr>
    </w:div>
    <w:div w:id="724724253">
      <w:bodyDiv w:val="1"/>
      <w:marLeft w:val="0"/>
      <w:marRight w:val="0"/>
      <w:marTop w:val="0"/>
      <w:marBottom w:val="0"/>
      <w:divBdr>
        <w:top w:val="none" w:sz="0" w:space="0" w:color="auto"/>
        <w:left w:val="none" w:sz="0" w:space="0" w:color="auto"/>
        <w:bottom w:val="none" w:sz="0" w:space="0" w:color="auto"/>
        <w:right w:val="none" w:sz="0" w:space="0" w:color="auto"/>
      </w:divBdr>
    </w:div>
    <w:div w:id="727455166">
      <w:bodyDiv w:val="1"/>
      <w:marLeft w:val="0"/>
      <w:marRight w:val="0"/>
      <w:marTop w:val="0"/>
      <w:marBottom w:val="0"/>
      <w:divBdr>
        <w:top w:val="none" w:sz="0" w:space="0" w:color="auto"/>
        <w:left w:val="none" w:sz="0" w:space="0" w:color="auto"/>
        <w:bottom w:val="none" w:sz="0" w:space="0" w:color="auto"/>
        <w:right w:val="none" w:sz="0" w:space="0" w:color="auto"/>
      </w:divBdr>
    </w:div>
    <w:div w:id="729035448">
      <w:bodyDiv w:val="1"/>
      <w:marLeft w:val="0"/>
      <w:marRight w:val="0"/>
      <w:marTop w:val="0"/>
      <w:marBottom w:val="0"/>
      <w:divBdr>
        <w:top w:val="none" w:sz="0" w:space="0" w:color="auto"/>
        <w:left w:val="none" w:sz="0" w:space="0" w:color="auto"/>
        <w:bottom w:val="none" w:sz="0" w:space="0" w:color="auto"/>
        <w:right w:val="none" w:sz="0" w:space="0" w:color="auto"/>
      </w:divBdr>
    </w:div>
    <w:div w:id="746810322">
      <w:bodyDiv w:val="1"/>
      <w:marLeft w:val="0"/>
      <w:marRight w:val="0"/>
      <w:marTop w:val="0"/>
      <w:marBottom w:val="0"/>
      <w:divBdr>
        <w:top w:val="none" w:sz="0" w:space="0" w:color="auto"/>
        <w:left w:val="none" w:sz="0" w:space="0" w:color="auto"/>
        <w:bottom w:val="none" w:sz="0" w:space="0" w:color="auto"/>
        <w:right w:val="none" w:sz="0" w:space="0" w:color="auto"/>
      </w:divBdr>
      <w:divsChild>
        <w:div w:id="24909899">
          <w:marLeft w:val="0"/>
          <w:marRight w:val="0"/>
          <w:marTop w:val="0"/>
          <w:marBottom w:val="0"/>
          <w:divBdr>
            <w:top w:val="none" w:sz="0" w:space="0" w:color="auto"/>
            <w:left w:val="none" w:sz="0" w:space="0" w:color="auto"/>
            <w:bottom w:val="none" w:sz="0" w:space="0" w:color="auto"/>
            <w:right w:val="none" w:sz="0" w:space="0" w:color="auto"/>
          </w:divBdr>
        </w:div>
      </w:divsChild>
    </w:div>
    <w:div w:id="754129090">
      <w:bodyDiv w:val="1"/>
      <w:marLeft w:val="0"/>
      <w:marRight w:val="0"/>
      <w:marTop w:val="0"/>
      <w:marBottom w:val="0"/>
      <w:divBdr>
        <w:top w:val="none" w:sz="0" w:space="0" w:color="auto"/>
        <w:left w:val="none" w:sz="0" w:space="0" w:color="auto"/>
        <w:bottom w:val="none" w:sz="0" w:space="0" w:color="auto"/>
        <w:right w:val="none" w:sz="0" w:space="0" w:color="auto"/>
      </w:divBdr>
    </w:div>
    <w:div w:id="766584513">
      <w:bodyDiv w:val="1"/>
      <w:marLeft w:val="0"/>
      <w:marRight w:val="0"/>
      <w:marTop w:val="0"/>
      <w:marBottom w:val="0"/>
      <w:divBdr>
        <w:top w:val="none" w:sz="0" w:space="0" w:color="auto"/>
        <w:left w:val="none" w:sz="0" w:space="0" w:color="auto"/>
        <w:bottom w:val="none" w:sz="0" w:space="0" w:color="auto"/>
        <w:right w:val="none" w:sz="0" w:space="0" w:color="auto"/>
      </w:divBdr>
    </w:div>
    <w:div w:id="773477319">
      <w:bodyDiv w:val="1"/>
      <w:marLeft w:val="0"/>
      <w:marRight w:val="0"/>
      <w:marTop w:val="0"/>
      <w:marBottom w:val="0"/>
      <w:divBdr>
        <w:top w:val="none" w:sz="0" w:space="0" w:color="auto"/>
        <w:left w:val="none" w:sz="0" w:space="0" w:color="auto"/>
        <w:bottom w:val="none" w:sz="0" w:space="0" w:color="auto"/>
        <w:right w:val="none" w:sz="0" w:space="0" w:color="auto"/>
      </w:divBdr>
    </w:div>
    <w:div w:id="810484156">
      <w:bodyDiv w:val="1"/>
      <w:marLeft w:val="0"/>
      <w:marRight w:val="0"/>
      <w:marTop w:val="0"/>
      <w:marBottom w:val="0"/>
      <w:divBdr>
        <w:top w:val="none" w:sz="0" w:space="0" w:color="auto"/>
        <w:left w:val="none" w:sz="0" w:space="0" w:color="auto"/>
        <w:bottom w:val="none" w:sz="0" w:space="0" w:color="auto"/>
        <w:right w:val="none" w:sz="0" w:space="0" w:color="auto"/>
      </w:divBdr>
    </w:div>
    <w:div w:id="815608204">
      <w:bodyDiv w:val="1"/>
      <w:marLeft w:val="0"/>
      <w:marRight w:val="0"/>
      <w:marTop w:val="0"/>
      <w:marBottom w:val="0"/>
      <w:divBdr>
        <w:top w:val="none" w:sz="0" w:space="0" w:color="auto"/>
        <w:left w:val="none" w:sz="0" w:space="0" w:color="auto"/>
        <w:bottom w:val="none" w:sz="0" w:space="0" w:color="auto"/>
        <w:right w:val="none" w:sz="0" w:space="0" w:color="auto"/>
      </w:divBdr>
      <w:divsChild>
        <w:div w:id="127629134">
          <w:marLeft w:val="0"/>
          <w:marRight w:val="0"/>
          <w:marTop w:val="0"/>
          <w:marBottom w:val="0"/>
          <w:divBdr>
            <w:top w:val="none" w:sz="0" w:space="0" w:color="auto"/>
            <w:left w:val="none" w:sz="0" w:space="0" w:color="auto"/>
            <w:bottom w:val="none" w:sz="0" w:space="0" w:color="auto"/>
            <w:right w:val="none" w:sz="0" w:space="0" w:color="auto"/>
          </w:divBdr>
          <w:divsChild>
            <w:div w:id="1065879299">
              <w:marLeft w:val="0"/>
              <w:marRight w:val="0"/>
              <w:marTop w:val="0"/>
              <w:marBottom w:val="0"/>
              <w:divBdr>
                <w:top w:val="none" w:sz="0" w:space="0" w:color="auto"/>
                <w:left w:val="none" w:sz="0" w:space="0" w:color="auto"/>
                <w:bottom w:val="none" w:sz="0" w:space="0" w:color="auto"/>
                <w:right w:val="none" w:sz="0" w:space="0" w:color="auto"/>
              </w:divBdr>
            </w:div>
          </w:divsChild>
        </w:div>
        <w:div w:id="278028915">
          <w:marLeft w:val="0"/>
          <w:marRight w:val="0"/>
          <w:marTop w:val="0"/>
          <w:marBottom w:val="0"/>
          <w:divBdr>
            <w:top w:val="none" w:sz="0" w:space="0" w:color="auto"/>
            <w:left w:val="none" w:sz="0" w:space="0" w:color="auto"/>
            <w:bottom w:val="none" w:sz="0" w:space="0" w:color="auto"/>
            <w:right w:val="none" w:sz="0" w:space="0" w:color="auto"/>
          </w:divBdr>
          <w:divsChild>
            <w:div w:id="1571503526">
              <w:marLeft w:val="0"/>
              <w:marRight w:val="0"/>
              <w:marTop w:val="0"/>
              <w:marBottom w:val="0"/>
              <w:divBdr>
                <w:top w:val="none" w:sz="0" w:space="0" w:color="auto"/>
                <w:left w:val="none" w:sz="0" w:space="0" w:color="auto"/>
                <w:bottom w:val="none" w:sz="0" w:space="0" w:color="auto"/>
                <w:right w:val="none" w:sz="0" w:space="0" w:color="auto"/>
              </w:divBdr>
            </w:div>
          </w:divsChild>
        </w:div>
        <w:div w:id="322586139">
          <w:marLeft w:val="0"/>
          <w:marRight w:val="0"/>
          <w:marTop w:val="0"/>
          <w:marBottom w:val="0"/>
          <w:divBdr>
            <w:top w:val="none" w:sz="0" w:space="0" w:color="auto"/>
            <w:left w:val="none" w:sz="0" w:space="0" w:color="auto"/>
            <w:bottom w:val="none" w:sz="0" w:space="0" w:color="auto"/>
            <w:right w:val="none" w:sz="0" w:space="0" w:color="auto"/>
          </w:divBdr>
          <w:divsChild>
            <w:div w:id="396443036">
              <w:marLeft w:val="0"/>
              <w:marRight w:val="0"/>
              <w:marTop w:val="0"/>
              <w:marBottom w:val="0"/>
              <w:divBdr>
                <w:top w:val="none" w:sz="0" w:space="0" w:color="auto"/>
                <w:left w:val="none" w:sz="0" w:space="0" w:color="auto"/>
                <w:bottom w:val="none" w:sz="0" w:space="0" w:color="auto"/>
                <w:right w:val="none" w:sz="0" w:space="0" w:color="auto"/>
              </w:divBdr>
            </w:div>
          </w:divsChild>
        </w:div>
        <w:div w:id="349647713">
          <w:marLeft w:val="0"/>
          <w:marRight w:val="0"/>
          <w:marTop w:val="0"/>
          <w:marBottom w:val="0"/>
          <w:divBdr>
            <w:top w:val="none" w:sz="0" w:space="0" w:color="auto"/>
            <w:left w:val="none" w:sz="0" w:space="0" w:color="auto"/>
            <w:bottom w:val="none" w:sz="0" w:space="0" w:color="auto"/>
            <w:right w:val="none" w:sz="0" w:space="0" w:color="auto"/>
          </w:divBdr>
          <w:divsChild>
            <w:div w:id="1956600552">
              <w:marLeft w:val="0"/>
              <w:marRight w:val="0"/>
              <w:marTop w:val="0"/>
              <w:marBottom w:val="0"/>
              <w:divBdr>
                <w:top w:val="none" w:sz="0" w:space="0" w:color="auto"/>
                <w:left w:val="none" w:sz="0" w:space="0" w:color="auto"/>
                <w:bottom w:val="none" w:sz="0" w:space="0" w:color="auto"/>
                <w:right w:val="none" w:sz="0" w:space="0" w:color="auto"/>
              </w:divBdr>
            </w:div>
          </w:divsChild>
        </w:div>
        <w:div w:id="378559086">
          <w:marLeft w:val="0"/>
          <w:marRight w:val="0"/>
          <w:marTop w:val="0"/>
          <w:marBottom w:val="0"/>
          <w:divBdr>
            <w:top w:val="none" w:sz="0" w:space="0" w:color="auto"/>
            <w:left w:val="none" w:sz="0" w:space="0" w:color="auto"/>
            <w:bottom w:val="none" w:sz="0" w:space="0" w:color="auto"/>
            <w:right w:val="none" w:sz="0" w:space="0" w:color="auto"/>
          </w:divBdr>
          <w:divsChild>
            <w:div w:id="1020084636">
              <w:marLeft w:val="0"/>
              <w:marRight w:val="0"/>
              <w:marTop w:val="0"/>
              <w:marBottom w:val="0"/>
              <w:divBdr>
                <w:top w:val="none" w:sz="0" w:space="0" w:color="auto"/>
                <w:left w:val="none" w:sz="0" w:space="0" w:color="auto"/>
                <w:bottom w:val="none" w:sz="0" w:space="0" w:color="auto"/>
                <w:right w:val="none" w:sz="0" w:space="0" w:color="auto"/>
              </w:divBdr>
            </w:div>
          </w:divsChild>
        </w:div>
        <w:div w:id="418723370">
          <w:marLeft w:val="0"/>
          <w:marRight w:val="0"/>
          <w:marTop w:val="0"/>
          <w:marBottom w:val="0"/>
          <w:divBdr>
            <w:top w:val="none" w:sz="0" w:space="0" w:color="auto"/>
            <w:left w:val="none" w:sz="0" w:space="0" w:color="auto"/>
            <w:bottom w:val="none" w:sz="0" w:space="0" w:color="auto"/>
            <w:right w:val="none" w:sz="0" w:space="0" w:color="auto"/>
          </w:divBdr>
          <w:divsChild>
            <w:div w:id="1751273385">
              <w:marLeft w:val="0"/>
              <w:marRight w:val="0"/>
              <w:marTop w:val="0"/>
              <w:marBottom w:val="0"/>
              <w:divBdr>
                <w:top w:val="none" w:sz="0" w:space="0" w:color="auto"/>
                <w:left w:val="none" w:sz="0" w:space="0" w:color="auto"/>
                <w:bottom w:val="none" w:sz="0" w:space="0" w:color="auto"/>
                <w:right w:val="none" w:sz="0" w:space="0" w:color="auto"/>
              </w:divBdr>
            </w:div>
          </w:divsChild>
        </w:div>
        <w:div w:id="507211037">
          <w:marLeft w:val="0"/>
          <w:marRight w:val="0"/>
          <w:marTop w:val="0"/>
          <w:marBottom w:val="0"/>
          <w:divBdr>
            <w:top w:val="none" w:sz="0" w:space="0" w:color="auto"/>
            <w:left w:val="none" w:sz="0" w:space="0" w:color="auto"/>
            <w:bottom w:val="none" w:sz="0" w:space="0" w:color="auto"/>
            <w:right w:val="none" w:sz="0" w:space="0" w:color="auto"/>
          </w:divBdr>
          <w:divsChild>
            <w:div w:id="103380254">
              <w:marLeft w:val="0"/>
              <w:marRight w:val="0"/>
              <w:marTop w:val="0"/>
              <w:marBottom w:val="0"/>
              <w:divBdr>
                <w:top w:val="none" w:sz="0" w:space="0" w:color="auto"/>
                <w:left w:val="none" w:sz="0" w:space="0" w:color="auto"/>
                <w:bottom w:val="none" w:sz="0" w:space="0" w:color="auto"/>
                <w:right w:val="none" w:sz="0" w:space="0" w:color="auto"/>
              </w:divBdr>
            </w:div>
          </w:divsChild>
        </w:div>
        <w:div w:id="511533763">
          <w:marLeft w:val="0"/>
          <w:marRight w:val="0"/>
          <w:marTop w:val="0"/>
          <w:marBottom w:val="0"/>
          <w:divBdr>
            <w:top w:val="none" w:sz="0" w:space="0" w:color="auto"/>
            <w:left w:val="none" w:sz="0" w:space="0" w:color="auto"/>
            <w:bottom w:val="none" w:sz="0" w:space="0" w:color="auto"/>
            <w:right w:val="none" w:sz="0" w:space="0" w:color="auto"/>
          </w:divBdr>
          <w:divsChild>
            <w:div w:id="1290671870">
              <w:marLeft w:val="0"/>
              <w:marRight w:val="0"/>
              <w:marTop w:val="0"/>
              <w:marBottom w:val="0"/>
              <w:divBdr>
                <w:top w:val="none" w:sz="0" w:space="0" w:color="auto"/>
                <w:left w:val="none" w:sz="0" w:space="0" w:color="auto"/>
                <w:bottom w:val="none" w:sz="0" w:space="0" w:color="auto"/>
                <w:right w:val="none" w:sz="0" w:space="0" w:color="auto"/>
              </w:divBdr>
            </w:div>
          </w:divsChild>
        </w:div>
        <w:div w:id="560944315">
          <w:marLeft w:val="0"/>
          <w:marRight w:val="0"/>
          <w:marTop w:val="0"/>
          <w:marBottom w:val="0"/>
          <w:divBdr>
            <w:top w:val="none" w:sz="0" w:space="0" w:color="auto"/>
            <w:left w:val="none" w:sz="0" w:space="0" w:color="auto"/>
            <w:bottom w:val="none" w:sz="0" w:space="0" w:color="auto"/>
            <w:right w:val="none" w:sz="0" w:space="0" w:color="auto"/>
          </w:divBdr>
          <w:divsChild>
            <w:div w:id="822350179">
              <w:marLeft w:val="0"/>
              <w:marRight w:val="0"/>
              <w:marTop w:val="0"/>
              <w:marBottom w:val="0"/>
              <w:divBdr>
                <w:top w:val="none" w:sz="0" w:space="0" w:color="auto"/>
                <w:left w:val="none" w:sz="0" w:space="0" w:color="auto"/>
                <w:bottom w:val="none" w:sz="0" w:space="0" w:color="auto"/>
                <w:right w:val="none" w:sz="0" w:space="0" w:color="auto"/>
              </w:divBdr>
            </w:div>
          </w:divsChild>
        </w:div>
        <w:div w:id="622931314">
          <w:marLeft w:val="0"/>
          <w:marRight w:val="0"/>
          <w:marTop w:val="0"/>
          <w:marBottom w:val="0"/>
          <w:divBdr>
            <w:top w:val="none" w:sz="0" w:space="0" w:color="auto"/>
            <w:left w:val="none" w:sz="0" w:space="0" w:color="auto"/>
            <w:bottom w:val="none" w:sz="0" w:space="0" w:color="auto"/>
            <w:right w:val="none" w:sz="0" w:space="0" w:color="auto"/>
          </w:divBdr>
          <w:divsChild>
            <w:div w:id="1795756281">
              <w:marLeft w:val="0"/>
              <w:marRight w:val="0"/>
              <w:marTop w:val="0"/>
              <w:marBottom w:val="0"/>
              <w:divBdr>
                <w:top w:val="none" w:sz="0" w:space="0" w:color="auto"/>
                <w:left w:val="none" w:sz="0" w:space="0" w:color="auto"/>
                <w:bottom w:val="none" w:sz="0" w:space="0" w:color="auto"/>
                <w:right w:val="none" w:sz="0" w:space="0" w:color="auto"/>
              </w:divBdr>
            </w:div>
          </w:divsChild>
        </w:div>
        <w:div w:id="624041206">
          <w:marLeft w:val="0"/>
          <w:marRight w:val="0"/>
          <w:marTop w:val="0"/>
          <w:marBottom w:val="0"/>
          <w:divBdr>
            <w:top w:val="none" w:sz="0" w:space="0" w:color="auto"/>
            <w:left w:val="none" w:sz="0" w:space="0" w:color="auto"/>
            <w:bottom w:val="none" w:sz="0" w:space="0" w:color="auto"/>
            <w:right w:val="none" w:sz="0" w:space="0" w:color="auto"/>
          </w:divBdr>
          <w:divsChild>
            <w:div w:id="616062403">
              <w:marLeft w:val="0"/>
              <w:marRight w:val="0"/>
              <w:marTop w:val="0"/>
              <w:marBottom w:val="0"/>
              <w:divBdr>
                <w:top w:val="none" w:sz="0" w:space="0" w:color="auto"/>
                <w:left w:val="none" w:sz="0" w:space="0" w:color="auto"/>
                <w:bottom w:val="none" w:sz="0" w:space="0" w:color="auto"/>
                <w:right w:val="none" w:sz="0" w:space="0" w:color="auto"/>
              </w:divBdr>
            </w:div>
          </w:divsChild>
        </w:div>
        <w:div w:id="772673799">
          <w:marLeft w:val="0"/>
          <w:marRight w:val="0"/>
          <w:marTop w:val="0"/>
          <w:marBottom w:val="0"/>
          <w:divBdr>
            <w:top w:val="none" w:sz="0" w:space="0" w:color="auto"/>
            <w:left w:val="none" w:sz="0" w:space="0" w:color="auto"/>
            <w:bottom w:val="none" w:sz="0" w:space="0" w:color="auto"/>
            <w:right w:val="none" w:sz="0" w:space="0" w:color="auto"/>
          </w:divBdr>
          <w:divsChild>
            <w:div w:id="199559079">
              <w:marLeft w:val="0"/>
              <w:marRight w:val="0"/>
              <w:marTop w:val="0"/>
              <w:marBottom w:val="0"/>
              <w:divBdr>
                <w:top w:val="none" w:sz="0" w:space="0" w:color="auto"/>
                <w:left w:val="none" w:sz="0" w:space="0" w:color="auto"/>
                <w:bottom w:val="none" w:sz="0" w:space="0" w:color="auto"/>
                <w:right w:val="none" w:sz="0" w:space="0" w:color="auto"/>
              </w:divBdr>
            </w:div>
          </w:divsChild>
        </w:div>
        <w:div w:id="800028592">
          <w:marLeft w:val="0"/>
          <w:marRight w:val="0"/>
          <w:marTop w:val="0"/>
          <w:marBottom w:val="0"/>
          <w:divBdr>
            <w:top w:val="none" w:sz="0" w:space="0" w:color="auto"/>
            <w:left w:val="none" w:sz="0" w:space="0" w:color="auto"/>
            <w:bottom w:val="none" w:sz="0" w:space="0" w:color="auto"/>
            <w:right w:val="none" w:sz="0" w:space="0" w:color="auto"/>
          </w:divBdr>
          <w:divsChild>
            <w:div w:id="983392280">
              <w:marLeft w:val="0"/>
              <w:marRight w:val="0"/>
              <w:marTop w:val="0"/>
              <w:marBottom w:val="0"/>
              <w:divBdr>
                <w:top w:val="none" w:sz="0" w:space="0" w:color="auto"/>
                <w:left w:val="none" w:sz="0" w:space="0" w:color="auto"/>
                <w:bottom w:val="none" w:sz="0" w:space="0" w:color="auto"/>
                <w:right w:val="none" w:sz="0" w:space="0" w:color="auto"/>
              </w:divBdr>
            </w:div>
          </w:divsChild>
        </w:div>
        <w:div w:id="890312566">
          <w:marLeft w:val="0"/>
          <w:marRight w:val="0"/>
          <w:marTop w:val="0"/>
          <w:marBottom w:val="0"/>
          <w:divBdr>
            <w:top w:val="none" w:sz="0" w:space="0" w:color="auto"/>
            <w:left w:val="none" w:sz="0" w:space="0" w:color="auto"/>
            <w:bottom w:val="none" w:sz="0" w:space="0" w:color="auto"/>
            <w:right w:val="none" w:sz="0" w:space="0" w:color="auto"/>
          </w:divBdr>
          <w:divsChild>
            <w:div w:id="2068648976">
              <w:marLeft w:val="0"/>
              <w:marRight w:val="0"/>
              <w:marTop w:val="0"/>
              <w:marBottom w:val="0"/>
              <w:divBdr>
                <w:top w:val="none" w:sz="0" w:space="0" w:color="auto"/>
                <w:left w:val="none" w:sz="0" w:space="0" w:color="auto"/>
                <w:bottom w:val="none" w:sz="0" w:space="0" w:color="auto"/>
                <w:right w:val="none" w:sz="0" w:space="0" w:color="auto"/>
              </w:divBdr>
            </w:div>
          </w:divsChild>
        </w:div>
        <w:div w:id="904873786">
          <w:marLeft w:val="0"/>
          <w:marRight w:val="0"/>
          <w:marTop w:val="0"/>
          <w:marBottom w:val="0"/>
          <w:divBdr>
            <w:top w:val="none" w:sz="0" w:space="0" w:color="auto"/>
            <w:left w:val="none" w:sz="0" w:space="0" w:color="auto"/>
            <w:bottom w:val="none" w:sz="0" w:space="0" w:color="auto"/>
            <w:right w:val="none" w:sz="0" w:space="0" w:color="auto"/>
          </w:divBdr>
          <w:divsChild>
            <w:div w:id="924000656">
              <w:marLeft w:val="0"/>
              <w:marRight w:val="0"/>
              <w:marTop w:val="0"/>
              <w:marBottom w:val="0"/>
              <w:divBdr>
                <w:top w:val="none" w:sz="0" w:space="0" w:color="auto"/>
                <w:left w:val="none" w:sz="0" w:space="0" w:color="auto"/>
                <w:bottom w:val="none" w:sz="0" w:space="0" w:color="auto"/>
                <w:right w:val="none" w:sz="0" w:space="0" w:color="auto"/>
              </w:divBdr>
            </w:div>
          </w:divsChild>
        </w:div>
        <w:div w:id="942877240">
          <w:marLeft w:val="0"/>
          <w:marRight w:val="0"/>
          <w:marTop w:val="0"/>
          <w:marBottom w:val="0"/>
          <w:divBdr>
            <w:top w:val="none" w:sz="0" w:space="0" w:color="auto"/>
            <w:left w:val="none" w:sz="0" w:space="0" w:color="auto"/>
            <w:bottom w:val="none" w:sz="0" w:space="0" w:color="auto"/>
            <w:right w:val="none" w:sz="0" w:space="0" w:color="auto"/>
          </w:divBdr>
          <w:divsChild>
            <w:div w:id="300232118">
              <w:marLeft w:val="0"/>
              <w:marRight w:val="0"/>
              <w:marTop w:val="0"/>
              <w:marBottom w:val="0"/>
              <w:divBdr>
                <w:top w:val="none" w:sz="0" w:space="0" w:color="auto"/>
                <w:left w:val="none" w:sz="0" w:space="0" w:color="auto"/>
                <w:bottom w:val="none" w:sz="0" w:space="0" w:color="auto"/>
                <w:right w:val="none" w:sz="0" w:space="0" w:color="auto"/>
              </w:divBdr>
            </w:div>
          </w:divsChild>
        </w:div>
        <w:div w:id="1012534160">
          <w:marLeft w:val="0"/>
          <w:marRight w:val="0"/>
          <w:marTop w:val="0"/>
          <w:marBottom w:val="0"/>
          <w:divBdr>
            <w:top w:val="none" w:sz="0" w:space="0" w:color="auto"/>
            <w:left w:val="none" w:sz="0" w:space="0" w:color="auto"/>
            <w:bottom w:val="none" w:sz="0" w:space="0" w:color="auto"/>
            <w:right w:val="none" w:sz="0" w:space="0" w:color="auto"/>
          </w:divBdr>
          <w:divsChild>
            <w:div w:id="315307160">
              <w:marLeft w:val="0"/>
              <w:marRight w:val="0"/>
              <w:marTop w:val="0"/>
              <w:marBottom w:val="0"/>
              <w:divBdr>
                <w:top w:val="none" w:sz="0" w:space="0" w:color="auto"/>
                <w:left w:val="none" w:sz="0" w:space="0" w:color="auto"/>
                <w:bottom w:val="none" w:sz="0" w:space="0" w:color="auto"/>
                <w:right w:val="none" w:sz="0" w:space="0" w:color="auto"/>
              </w:divBdr>
            </w:div>
          </w:divsChild>
        </w:div>
        <w:div w:id="1028022677">
          <w:marLeft w:val="0"/>
          <w:marRight w:val="0"/>
          <w:marTop w:val="0"/>
          <w:marBottom w:val="0"/>
          <w:divBdr>
            <w:top w:val="none" w:sz="0" w:space="0" w:color="auto"/>
            <w:left w:val="none" w:sz="0" w:space="0" w:color="auto"/>
            <w:bottom w:val="none" w:sz="0" w:space="0" w:color="auto"/>
            <w:right w:val="none" w:sz="0" w:space="0" w:color="auto"/>
          </w:divBdr>
          <w:divsChild>
            <w:div w:id="2112045983">
              <w:marLeft w:val="0"/>
              <w:marRight w:val="0"/>
              <w:marTop w:val="0"/>
              <w:marBottom w:val="0"/>
              <w:divBdr>
                <w:top w:val="none" w:sz="0" w:space="0" w:color="auto"/>
                <w:left w:val="none" w:sz="0" w:space="0" w:color="auto"/>
                <w:bottom w:val="none" w:sz="0" w:space="0" w:color="auto"/>
                <w:right w:val="none" w:sz="0" w:space="0" w:color="auto"/>
              </w:divBdr>
            </w:div>
          </w:divsChild>
        </w:div>
        <w:div w:id="1098646942">
          <w:marLeft w:val="0"/>
          <w:marRight w:val="0"/>
          <w:marTop w:val="0"/>
          <w:marBottom w:val="0"/>
          <w:divBdr>
            <w:top w:val="none" w:sz="0" w:space="0" w:color="auto"/>
            <w:left w:val="none" w:sz="0" w:space="0" w:color="auto"/>
            <w:bottom w:val="none" w:sz="0" w:space="0" w:color="auto"/>
            <w:right w:val="none" w:sz="0" w:space="0" w:color="auto"/>
          </w:divBdr>
          <w:divsChild>
            <w:div w:id="1344429971">
              <w:marLeft w:val="0"/>
              <w:marRight w:val="0"/>
              <w:marTop w:val="0"/>
              <w:marBottom w:val="0"/>
              <w:divBdr>
                <w:top w:val="none" w:sz="0" w:space="0" w:color="auto"/>
                <w:left w:val="none" w:sz="0" w:space="0" w:color="auto"/>
                <w:bottom w:val="none" w:sz="0" w:space="0" w:color="auto"/>
                <w:right w:val="none" w:sz="0" w:space="0" w:color="auto"/>
              </w:divBdr>
            </w:div>
          </w:divsChild>
        </w:div>
        <w:div w:id="1113283762">
          <w:marLeft w:val="0"/>
          <w:marRight w:val="0"/>
          <w:marTop w:val="0"/>
          <w:marBottom w:val="0"/>
          <w:divBdr>
            <w:top w:val="none" w:sz="0" w:space="0" w:color="auto"/>
            <w:left w:val="none" w:sz="0" w:space="0" w:color="auto"/>
            <w:bottom w:val="none" w:sz="0" w:space="0" w:color="auto"/>
            <w:right w:val="none" w:sz="0" w:space="0" w:color="auto"/>
          </w:divBdr>
          <w:divsChild>
            <w:div w:id="243151213">
              <w:marLeft w:val="0"/>
              <w:marRight w:val="0"/>
              <w:marTop w:val="0"/>
              <w:marBottom w:val="0"/>
              <w:divBdr>
                <w:top w:val="none" w:sz="0" w:space="0" w:color="auto"/>
                <w:left w:val="none" w:sz="0" w:space="0" w:color="auto"/>
                <w:bottom w:val="none" w:sz="0" w:space="0" w:color="auto"/>
                <w:right w:val="none" w:sz="0" w:space="0" w:color="auto"/>
              </w:divBdr>
            </w:div>
          </w:divsChild>
        </w:div>
        <w:div w:id="1223326875">
          <w:marLeft w:val="0"/>
          <w:marRight w:val="0"/>
          <w:marTop w:val="0"/>
          <w:marBottom w:val="0"/>
          <w:divBdr>
            <w:top w:val="none" w:sz="0" w:space="0" w:color="auto"/>
            <w:left w:val="none" w:sz="0" w:space="0" w:color="auto"/>
            <w:bottom w:val="none" w:sz="0" w:space="0" w:color="auto"/>
            <w:right w:val="none" w:sz="0" w:space="0" w:color="auto"/>
          </w:divBdr>
          <w:divsChild>
            <w:div w:id="60296705">
              <w:marLeft w:val="0"/>
              <w:marRight w:val="0"/>
              <w:marTop w:val="0"/>
              <w:marBottom w:val="0"/>
              <w:divBdr>
                <w:top w:val="none" w:sz="0" w:space="0" w:color="auto"/>
                <w:left w:val="none" w:sz="0" w:space="0" w:color="auto"/>
                <w:bottom w:val="none" w:sz="0" w:space="0" w:color="auto"/>
                <w:right w:val="none" w:sz="0" w:space="0" w:color="auto"/>
              </w:divBdr>
            </w:div>
          </w:divsChild>
        </w:div>
        <w:div w:id="1245409766">
          <w:marLeft w:val="0"/>
          <w:marRight w:val="0"/>
          <w:marTop w:val="0"/>
          <w:marBottom w:val="0"/>
          <w:divBdr>
            <w:top w:val="none" w:sz="0" w:space="0" w:color="auto"/>
            <w:left w:val="none" w:sz="0" w:space="0" w:color="auto"/>
            <w:bottom w:val="none" w:sz="0" w:space="0" w:color="auto"/>
            <w:right w:val="none" w:sz="0" w:space="0" w:color="auto"/>
          </w:divBdr>
          <w:divsChild>
            <w:div w:id="516382555">
              <w:marLeft w:val="0"/>
              <w:marRight w:val="0"/>
              <w:marTop w:val="0"/>
              <w:marBottom w:val="0"/>
              <w:divBdr>
                <w:top w:val="none" w:sz="0" w:space="0" w:color="auto"/>
                <w:left w:val="none" w:sz="0" w:space="0" w:color="auto"/>
                <w:bottom w:val="none" w:sz="0" w:space="0" w:color="auto"/>
                <w:right w:val="none" w:sz="0" w:space="0" w:color="auto"/>
              </w:divBdr>
            </w:div>
          </w:divsChild>
        </w:div>
        <w:div w:id="1453549301">
          <w:marLeft w:val="0"/>
          <w:marRight w:val="0"/>
          <w:marTop w:val="0"/>
          <w:marBottom w:val="0"/>
          <w:divBdr>
            <w:top w:val="none" w:sz="0" w:space="0" w:color="auto"/>
            <w:left w:val="none" w:sz="0" w:space="0" w:color="auto"/>
            <w:bottom w:val="none" w:sz="0" w:space="0" w:color="auto"/>
            <w:right w:val="none" w:sz="0" w:space="0" w:color="auto"/>
          </w:divBdr>
          <w:divsChild>
            <w:div w:id="241526663">
              <w:marLeft w:val="0"/>
              <w:marRight w:val="0"/>
              <w:marTop w:val="0"/>
              <w:marBottom w:val="0"/>
              <w:divBdr>
                <w:top w:val="none" w:sz="0" w:space="0" w:color="auto"/>
                <w:left w:val="none" w:sz="0" w:space="0" w:color="auto"/>
                <w:bottom w:val="none" w:sz="0" w:space="0" w:color="auto"/>
                <w:right w:val="none" w:sz="0" w:space="0" w:color="auto"/>
              </w:divBdr>
            </w:div>
          </w:divsChild>
        </w:div>
        <w:div w:id="1454595798">
          <w:marLeft w:val="0"/>
          <w:marRight w:val="0"/>
          <w:marTop w:val="0"/>
          <w:marBottom w:val="0"/>
          <w:divBdr>
            <w:top w:val="none" w:sz="0" w:space="0" w:color="auto"/>
            <w:left w:val="none" w:sz="0" w:space="0" w:color="auto"/>
            <w:bottom w:val="none" w:sz="0" w:space="0" w:color="auto"/>
            <w:right w:val="none" w:sz="0" w:space="0" w:color="auto"/>
          </w:divBdr>
          <w:divsChild>
            <w:div w:id="705330968">
              <w:marLeft w:val="0"/>
              <w:marRight w:val="0"/>
              <w:marTop w:val="0"/>
              <w:marBottom w:val="0"/>
              <w:divBdr>
                <w:top w:val="none" w:sz="0" w:space="0" w:color="auto"/>
                <w:left w:val="none" w:sz="0" w:space="0" w:color="auto"/>
                <w:bottom w:val="none" w:sz="0" w:space="0" w:color="auto"/>
                <w:right w:val="none" w:sz="0" w:space="0" w:color="auto"/>
              </w:divBdr>
            </w:div>
          </w:divsChild>
        </w:div>
        <w:div w:id="1544558414">
          <w:marLeft w:val="0"/>
          <w:marRight w:val="0"/>
          <w:marTop w:val="0"/>
          <w:marBottom w:val="0"/>
          <w:divBdr>
            <w:top w:val="none" w:sz="0" w:space="0" w:color="auto"/>
            <w:left w:val="none" w:sz="0" w:space="0" w:color="auto"/>
            <w:bottom w:val="none" w:sz="0" w:space="0" w:color="auto"/>
            <w:right w:val="none" w:sz="0" w:space="0" w:color="auto"/>
          </w:divBdr>
          <w:divsChild>
            <w:div w:id="1698698063">
              <w:marLeft w:val="0"/>
              <w:marRight w:val="0"/>
              <w:marTop w:val="0"/>
              <w:marBottom w:val="0"/>
              <w:divBdr>
                <w:top w:val="none" w:sz="0" w:space="0" w:color="auto"/>
                <w:left w:val="none" w:sz="0" w:space="0" w:color="auto"/>
                <w:bottom w:val="none" w:sz="0" w:space="0" w:color="auto"/>
                <w:right w:val="none" w:sz="0" w:space="0" w:color="auto"/>
              </w:divBdr>
            </w:div>
          </w:divsChild>
        </w:div>
        <w:div w:id="1564371383">
          <w:marLeft w:val="0"/>
          <w:marRight w:val="0"/>
          <w:marTop w:val="0"/>
          <w:marBottom w:val="0"/>
          <w:divBdr>
            <w:top w:val="none" w:sz="0" w:space="0" w:color="auto"/>
            <w:left w:val="none" w:sz="0" w:space="0" w:color="auto"/>
            <w:bottom w:val="none" w:sz="0" w:space="0" w:color="auto"/>
            <w:right w:val="none" w:sz="0" w:space="0" w:color="auto"/>
          </w:divBdr>
          <w:divsChild>
            <w:div w:id="794058561">
              <w:marLeft w:val="0"/>
              <w:marRight w:val="0"/>
              <w:marTop w:val="0"/>
              <w:marBottom w:val="0"/>
              <w:divBdr>
                <w:top w:val="none" w:sz="0" w:space="0" w:color="auto"/>
                <w:left w:val="none" w:sz="0" w:space="0" w:color="auto"/>
                <w:bottom w:val="none" w:sz="0" w:space="0" w:color="auto"/>
                <w:right w:val="none" w:sz="0" w:space="0" w:color="auto"/>
              </w:divBdr>
            </w:div>
          </w:divsChild>
        </w:div>
        <w:div w:id="1744520455">
          <w:marLeft w:val="0"/>
          <w:marRight w:val="0"/>
          <w:marTop w:val="0"/>
          <w:marBottom w:val="0"/>
          <w:divBdr>
            <w:top w:val="none" w:sz="0" w:space="0" w:color="auto"/>
            <w:left w:val="none" w:sz="0" w:space="0" w:color="auto"/>
            <w:bottom w:val="none" w:sz="0" w:space="0" w:color="auto"/>
            <w:right w:val="none" w:sz="0" w:space="0" w:color="auto"/>
          </w:divBdr>
          <w:divsChild>
            <w:div w:id="866255544">
              <w:marLeft w:val="0"/>
              <w:marRight w:val="0"/>
              <w:marTop w:val="0"/>
              <w:marBottom w:val="0"/>
              <w:divBdr>
                <w:top w:val="none" w:sz="0" w:space="0" w:color="auto"/>
                <w:left w:val="none" w:sz="0" w:space="0" w:color="auto"/>
                <w:bottom w:val="none" w:sz="0" w:space="0" w:color="auto"/>
                <w:right w:val="none" w:sz="0" w:space="0" w:color="auto"/>
              </w:divBdr>
            </w:div>
          </w:divsChild>
        </w:div>
        <w:div w:id="1794404594">
          <w:marLeft w:val="0"/>
          <w:marRight w:val="0"/>
          <w:marTop w:val="0"/>
          <w:marBottom w:val="0"/>
          <w:divBdr>
            <w:top w:val="none" w:sz="0" w:space="0" w:color="auto"/>
            <w:left w:val="none" w:sz="0" w:space="0" w:color="auto"/>
            <w:bottom w:val="none" w:sz="0" w:space="0" w:color="auto"/>
            <w:right w:val="none" w:sz="0" w:space="0" w:color="auto"/>
          </w:divBdr>
          <w:divsChild>
            <w:div w:id="1403604640">
              <w:marLeft w:val="0"/>
              <w:marRight w:val="0"/>
              <w:marTop w:val="0"/>
              <w:marBottom w:val="0"/>
              <w:divBdr>
                <w:top w:val="none" w:sz="0" w:space="0" w:color="auto"/>
                <w:left w:val="none" w:sz="0" w:space="0" w:color="auto"/>
                <w:bottom w:val="none" w:sz="0" w:space="0" w:color="auto"/>
                <w:right w:val="none" w:sz="0" w:space="0" w:color="auto"/>
              </w:divBdr>
            </w:div>
          </w:divsChild>
        </w:div>
        <w:div w:id="1872181158">
          <w:marLeft w:val="0"/>
          <w:marRight w:val="0"/>
          <w:marTop w:val="0"/>
          <w:marBottom w:val="0"/>
          <w:divBdr>
            <w:top w:val="none" w:sz="0" w:space="0" w:color="auto"/>
            <w:left w:val="none" w:sz="0" w:space="0" w:color="auto"/>
            <w:bottom w:val="none" w:sz="0" w:space="0" w:color="auto"/>
            <w:right w:val="none" w:sz="0" w:space="0" w:color="auto"/>
          </w:divBdr>
          <w:divsChild>
            <w:div w:id="717976240">
              <w:marLeft w:val="0"/>
              <w:marRight w:val="0"/>
              <w:marTop w:val="0"/>
              <w:marBottom w:val="0"/>
              <w:divBdr>
                <w:top w:val="none" w:sz="0" w:space="0" w:color="auto"/>
                <w:left w:val="none" w:sz="0" w:space="0" w:color="auto"/>
                <w:bottom w:val="none" w:sz="0" w:space="0" w:color="auto"/>
                <w:right w:val="none" w:sz="0" w:space="0" w:color="auto"/>
              </w:divBdr>
            </w:div>
          </w:divsChild>
        </w:div>
        <w:div w:id="1978562871">
          <w:marLeft w:val="0"/>
          <w:marRight w:val="0"/>
          <w:marTop w:val="0"/>
          <w:marBottom w:val="0"/>
          <w:divBdr>
            <w:top w:val="none" w:sz="0" w:space="0" w:color="auto"/>
            <w:left w:val="none" w:sz="0" w:space="0" w:color="auto"/>
            <w:bottom w:val="none" w:sz="0" w:space="0" w:color="auto"/>
            <w:right w:val="none" w:sz="0" w:space="0" w:color="auto"/>
          </w:divBdr>
          <w:divsChild>
            <w:div w:id="292101912">
              <w:marLeft w:val="0"/>
              <w:marRight w:val="0"/>
              <w:marTop w:val="0"/>
              <w:marBottom w:val="0"/>
              <w:divBdr>
                <w:top w:val="none" w:sz="0" w:space="0" w:color="auto"/>
                <w:left w:val="none" w:sz="0" w:space="0" w:color="auto"/>
                <w:bottom w:val="none" w:sz="0" w:space="0" w:color="auto"/>
                <w:right w:val="none" w:sz="0" w:space="0" w:color="auto"/>
              </w:divBdr>
            </w:div>
          </w:divsChild>
        </w:div>
        <w:div w:id="2030327345">
          <w:marLeft w:val="0"/>
          <w:marRight w:val="0"/>
          <w:marTop w:val="0"/>
          <w:marBottom w:val="0"/>
          <w:divBdr>
            <w:top w:val="none" w:sz="0" w:space="0" w:color="auto"/>
            <w:left w:val="none" w:sz="0" w:space="0" w:color="auto"/>
            <w:bottom w:val="none" w:sz="0" w:space="0" w:color="auto"/>
            <w:right w:val="none" w:sz="0" w:space="0" w:color="auto"/>
          </w:divBdr>
          <w:divsChild>
            <w:div w:id="897974815">
              <w:marLeft w:val="0"/>
              <w:marRight w:val="0"/>
              <w:marTop w:val="0"/>
              <w:marBottom w:val="0"/>
              <w:divBdr>
                <w:top w:val="none" w:sz="0" w:space="0" w:color="auto"/>
                <w:left w:val="none" w:sz="0" w:space="0" w:color="auto"/>
                <w:bottom w:val="none" w:sz="0" w:space="0" w:color="auto"/>
                <w:right w:val="none" w:sz="0" w:space="0" w:color="auto"/>
              </w:divBdr>
            </w:div>
          </w:divsChild>
        </w:div>
        <w:div w:id="2035423563">
          <w:marLeft w:val="0"/>
          <w:marRight w:val="0"/>
          <w:marTop w:val="0"/>
          <w:marBottom w:val="0"/>
          <w:divBdr>
            <w:top w:val="none" w:sz="0" w:space="0" w:color="auto"/>
            <w:left w:val="none" w:sz="0" w:space="0" w:color="auto"/>
            <w:bottom w:val="none" w:sz="0" w:space="0" w:color="auto"/>
            <w:right w:val="none" w:sz="0" w:space="0" w:color="auto"/>
          </w:divBdr>
          <w:divsChild>
            <w:div w:id="99060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3987">
      <w:bodyDiv w:val="1"/>
      <w:marLeft w:val="0"/>
      <w:marRight w:val="0"/>
      <w:marTop w:val="0"/>
      <w:marBottom w:val="0"/>
      <w:divBdr>
        <w:top w:val="none" w:sz="0" w:space="0" w:color="auto"/>
        <w:left w:val="none" w:sz="0" w:space="0" w:color="auto"/>
        <w:bottom w:val="none" w:sz="0" w:space="0" w:color="auto"/>
        <w:right w:val="none" w:sz="0" w:space="0" w:color="auto"/>
      </w:divBdr>
    </w:div>
    <w:div w:id="845248703">
      <w:bodyDiv w:val="1"/>
      <w:marLeft w:val="0"/>
      <w:marRight w:val="0"/>
      <w:marTop w:val="0"/>
      <w:marBottom w:val="0"/>
      <w:divBdr>
        <w:top w:val="none" w:sz="0" w:space="0" w:color="auto"/>
        <w:left w:val="none" w:sz="0" w:space="0" w:color="auto"/>
        <w:bottom w:val="none" w:sz="0" w:space="0" w:color="auto"/>
        <w:right w:val="none" w:sz="0" w:space="0" w:color="auto"/>
      </w:divBdr>
    </w:div>
    <w:div w:id="849686005">
      <w:bodyDiv w:val="1"/>
      <w:marLeft w:val="0"/>
      <w:marRight w:val="0"/>
      <w:marTop w:val="0"/>
      <w:marBottom w:val="0"/>
      <w:divBdr>
        <w:top w:val="none" w:sz="0" w:space="0" w:color="auto"/>
        <w:left w:val="none" w:sz="0" w:space="0" w:color="auto"/>
        <w:bottom w:val="none" w:sz="0" w:space="0" w:color="auto"/>
        <w:right w:val="none" w:sz="0" w:space="0" w:color="auto"/>
      </w:divBdr>
    </w:div>
    <w:div w:id="858469997">
      <w:bodyDiv w:val="1"/>
      <w:marLeft w:val="0"/>
      <w:marRight w:val="0"/>
      <w:marTop w:val="0"/>
      <w:marBottom w:val="0"/>
      <w:divBdr>
        <w:top w:val="none" w:sz="0" w:space="0" w:color="auto"/>
        <w:left w:val="none" w:sz="0" w:space="0" w:color="auto"/>
        <w:bottom w:val="none" w:sz="0" w:space="0" w:color="auto"/>
        <w:right w:val="none" w:sz="0" w:space="0" w:color="auto"/>
      </w:divBdr>
    </w:div>
    <w:div w:id="864099681">
      <w:bodyDiv w:val="1"/>
      <w:marLeft w:val="0"/>
      <w:marRight w:val="0"/>
      <w:marTop w:val="0"/>
      <w:marBottom w:val="0"/>
      <w:divBdr>
        <w:top w:val="none" w:sz="0" w:space="0" w:color="auto"/>
        <w:left w:val="none" w:sz="0" w:space="0" w:color="auto"/>
        <w:bottom w:val="none" w:sz="0" w:space="0" w:color="auto"/>
        <w:right w:val="none" w:sz="0" w:space="0" w:color="auto"/>
      </w:divBdr>
      <w:divsChild>
        <w:div w:id="73939036">
          <w:marLeft w:val="446"/>
          <w:marRight w:val="0"/>
          <w:marTop w:val="0"/>
          <w:marBottom w:val="0"/>
          <w:divBdr>
            <w:top w:val="none" w:sz="0" w:space="0" w:color="auto"/>
            <w:left w:val="none" w:sz="0" w:space="0" w:color="auto"/>
            <w:bottom w:val="none" w:sz="0" w:space="0" w:color="auto"/>
            <w:right w:val="none" w:sz="0" w:space="0" w:color="auto"/>
          </w:divBdr>
        </w:div>
        <w:div w:id="152841637">
          <w:marLeft w:val="446"/>
          <w:marRight w:val="0"/>
          <w:marTop w:val="0"/>
          <w:marBottom w:val="0"/>
          <w:divBdr>
            <w:top w:val="none" w:sz="0" w:space="0" w:color="auto"/>
            <w:left w:val="none" w:sz="0" w:space="0" w:color="auto"/>
            <w:bottom w:val="none" w:sz="0" w:space="0" w:color="auto"/>
            <w:right w:val="none" w:sz="0" w:space="0" w:color="auto"/>
          </w:divBdr>
        </w:div>
      </w:divsChild>
    </w:div>
    <w:div w:id="865631278">
      <w:bodyDiv w:val="1"/>
      <w:marLeft w:val="0"/>
      <w:marRight w:val="0"/>
      <w:marTop w:val="0"/>
      <w:marBottom w:val="0"/>
      <w:divBdr>
        <w:top w:val="none" w:sz="0" w:space="0" w:color="auto"/>
        <w:left w:val="none" w:sz="0" w:space="0" w:color="auto"/>
        <w:bottom w:val="none" w:sz="0" w:space="0" w:color="auto"/>
        <w:right w:val="none" w:sz="0" w:space="0" w:color="auto"/>
      </w:divBdr>
    </w:div>
    <w:div w:id="875503732">
      <w:bodyDiv w:val="1"/>
      <w:marLeft w:val="0"/>
      <w:marRight w:val="0"/>
      <w:marTop w:val="0"/>
      <w:marBottom w:val="0"/>
      <w:divBdr>
        <w:top w:val="none" w:sz="0" w:space="0" w:color="auto"/>
        <w:left w:val="none" w:sz="0" w:space="0" w:color="auto"/>
        <w:bottom w:val="none" w:sz="0" w:space="0" w:color="auto"/>
        <w:right w:val="none" w:sz="0" w:space="0" w:color="auto"/>
      </w:divBdr>
    </w:div>
    <w:div w:id="875695447">
      <w:bodyDiv w:val="1"/>
      <w:marLeft w:val="0"/>
      <w:marRight w:val="0"/>
      <w:marTop w:val="0"/>
      <w:marBottom w:val="0"/>
      <w:divBdr>
        <w:top w:val="none" w:sz="0" w:space="0" w:color="auto"/>
        <w:left w:val="none" w:sz="0" w:space="0" w:color="auto"/>
        <w:bottom w:val="none" w:sz="0" w:space="0" w:color="auto"/>
        <w:right w:val="none" w:sz="0" w:space="0" w:color="auto"/>
      </w:divBdr>
      <w:divsChild>
        <w:div w:id="71898570">
          <w:marLeft w:val="0"/>
          <w:marRight w:val="0"/>
          <w:marTop w:val="0"/>
          <w:marBottom w:val="0"/>
          <w:divBdr>
            <w:top w:val="none" w:sz="0" w:space="0" w:color="auto"/>
            <w:left w:val="none" w:sz="0" w:space="0" w:color="auto"/>
            <w:bottom w:val="none" w:sz="0" w:space="0" w:color="auto"/>
            <w:right w:val="none" w:sz="0" w:space="0" w:color="auto"/>
          </w:divBdr>
        </w:div>
        <w:div w:id="1281766539">
          <w:marLeft w:val="0"/>
          <w:marRight w:val="0"/>
          <w:marTop w:val="0"/>
          <w:marBottom w:val="0"/>
          <w:divBdr>
            <w:top w:val="none" w:sz="0" w:space="0" w:color="auto"/>
            <w:left w:val="none" w:sz="0" w:space="0" w:color="auto"/>
            <w:bottom w:val="none" w:sz="0" w:space="0" w:color="auto"/>
            <w:right w:val="none" w:sz="0" w:space="0" w:color="auto"/>
          </w:divBdr>
        </w:div>
        <w:div w:id="1336883024">
          <w:marLeft w:val="0"/>
          <w:marRight w:val="0"/>
          <w:marTop w:val="0"/>
          <w:marBottom w:val="0"/>
          <w:divBdr>
            <w:top w:val="none" w:sz="0" w:space="0" w:color="auto"/>
            <w:left w:val="none" w:sz="0" w:space="0" w:color="auto"/>
            <w:bottom w:val="none" w:sz="0" w:space="0" w:color="auto"/>
            <w:right w:val="none" w:sz="0" w:space="0" w:color="auto"/>
          </w:divBdr>
        </w:div>
        <w:div w:id="1674844740">
          <w:marLeft w:val="0"/>
          <w:marRight w:val="0"/>
          <w:marTop w:val="0"/>
          <w:marBottom w:val="0"/>
          <w:divBdr>
            <w:top w:val="none" w:sz="0" w:space="0" w:color="auto"/>
            <w:left w:val="none" w:sz="0" w:space="0" w:color="auto"/>
            <w:bottom w:val="none" w:sz="0" w:space="0" w:color="auto"/>
            <w:right w:val="none" w:sz="0" w:space="0" w:color="auto"/>
          </w:divBdr>
        </w:div>
        <w:div w:id="1990355400">
          <w:marLeft w:val="0"/>
          <w:marRight w:val="0"/>
          <w:marTop w:val="0"/>
          <w:marBottom w:val="0"/>
          <w:divBdr>
            <w:top w:val="none" w:sz="0" w:space="0" w:color="auto"/>
            <w:left w:val="none" w:sz="0" w:space="0" w:color="auto"/>
            <w:bottom w:val="none" w:sz="0" w:space="0" w:color="auto"/>
            <w:right w:val="none" w:sz="0" w:space="0" w:color="auto"/>
          </w:divBdr>
        </w:div>
        <w:div w:id="2008710317">
          <w:marLeft w:val="0"/>
          <w:marRight w:val="0"/>
          <w:marTop w:val="0"/>
          <w:marBottom w:val="0"/>
          <w:divBdr>
            <w:top w:val="none" w:sz="0" w:space="0" w:color="auto"/>
            <w:left w:val="none" w:sz="0" w:space="0" w:color="auto"/>
            <w:bottom w:val="none" w:sz="0" w:space="0" w:color="auto"/>
            <w:right w:val="none" w:sz="0" w:space="0" w:color="auto"/>
          </w:divBdr>
        </w:div>
      </w:divsChild>
    </w:div>
    <w:div w:id="892472846">
      <w:bodyDiv w:val="1"/>
      <w:marLeft w:val="0"/>
      <w:marRight w:val="0"/>
      <w:marTop w:val="0"/>
      <w:marBottom w:val="0"/>
      <w:divBdr>
        <w:top w:val="none" w:sz="0" w:space="0" w:color="auto"/>
        <w:left w:val="none" w:sz="0" w:space="0" w:color="auto"/>
        <w:bottom w:val="none" w:sz="0" w:space="0" w:color="auto"/>
        <w:right w:val="none" w:sz="0" w:space="0" w:color="auto"/>
      </w:divBdr>
    </w:div>
    <w:div w:id="894508112">
      <w:bodyDiv w:val="1"/>
      <w:marLeft w:val="0"/>
      <w:marRight w:val="0"/>
      <w:marTop w:val="0"/>
      <w:marBottom w:val="0"/>
      <w:divBdr>
        <w:top w:val="none" w:sz="0" w:space="0" w:color="auto"/>
        <w:left w:val="none" w:sz="0" w:space="0" w:color="auto"/>
        <w:bottom w:val="none" w:sz="0" w:space="0" w:color="auto"/>
        <w:right w:val="none" w:sz="0" w:space="0" w:color="auto"/>
      </w:divBdr>
    </w:div>
    <w:div w:id="907149910">
      <w:bodyDiv w:val="1"/>
      <w:marLeft w:val="0"/>
      <w:marRight w:val="0"/>
      <w:marTop w:val="0"/>
      <w:marBottom w:val="0"/>
      <w:divBdr>
        <w:top w:val="none" w:sz="0" w:space="0" w:color="auto"/>
        <w:left w:val="none" w:sz="0" w:space="0" w:color="auto"/>
        <w:bottom w:val="none" w:sz="0" w:space="0" w:color="auto"/>
        <w:right w:val="none" w:sz="0" w:space="0" w:color="auto"/>
      </w:divBdr>
      <w:divsChild>
        <w:div w:id="190806555">
          <w:marLeft w:val="0"/>
          <w:marRight w:val="0"/>
          <w:marTop w:val="0"/>
          <w:marBottom w:val="0"/>
          <w:divBdr>
            <w:top w:val="none" w:sz="0" w:space="0" w:color="auto"/>
            <w:left w:val="none" w:sz="0" w:space="0" w:color="auto"/>
            <w:bottom w:val="none" w:sz="0" w:space="0" w:color="auto"/>
            <w:right w:val="none" w:sz="0" w:space="0" w:color="auto"/>
          </w:divBdr>
          <w:divsChild>
            <w:div w:id="1812862267">
              <w:marLeft w:val="0"/>
              <w:marRight w:val="0"/>
              <w:marTop w:val="0"/>
              <w:marBottom w:val="0"/>
              <w:divBdr>
                <w:top w:val="none" w:sz="0" w:space="0" w:color="auto"/>
                <w:left w:val="none" w:sz="0" w:space="0" w:color="auto"/>
                <w:bottom w:val="none" w:sz="0" w:space="0" w:color="auto"/>
                <w:right w:val="none" w:sz="0" w:space="0" w:color="auto"/>
              </w:divBdr>
            </w:div>
          </w:divsChild>
        </w:div>
        <w:div w:id="200481953">
          <w:marLeft w:val="0"/>
          <w:marRight w:val="0"/>
          <w:marTop w:val="0"/>
          <w:marBottom w:val="0"/>
          <w:divBdr>
            <w:top w:val="none" w:sz="0" w:space="0" w:color="auto"/>
            <w:left w:val="none" w:sz="0" w:space="0" w:color="auto"/>
            <w:bottom w:val="none" w:sz="0" w:space="0" w:color="auto"/>
            <w:right w:val="none" w:sz="0" w:space="0" w:color="auto"/>
          </w:divBdr>
          <w:divsChild>
            <w:div w:id="2132824076">
              <w:marLeft w:val="0"/>
              <w:marRight w:val="0"/>
              <w:marTop w:val="0"/>
              <w:marBottom w:val="0"/>
              <w:divBdr>
                <w:top w:val="none" w:sz="0" w:space="0" w:color="auto"/>
                <w:left w:val="none" w:sz="0" w:space="0" w:color="auto"/>
                <w:bottom w:val="none" w:sz="0" w:space="0" w:color="auto"/>
                <w:right w:val="none" w:sz="0" w:space="0" w:color="auto"/>
              </w:divBdr>
            </w:div>
          </w:divsChild>
        </w:div>
        <w:div w:id="225579589">
          <w:marLeft w:val="0"/>
          <w:marRight w:val="0"/>
          <w:marTop w:val="0"/>
          <w:marBottom w:val="0"/>
          <w:divBdr>
            <w:top w:val="none" w:sz="0" w:space="0" w:color="auto"/>
            <w:left w:val="none" w:sz="0" w:space="0" w:color="auto"/>
            <w:bottom w:val="none" w:sz="0" w:space="0" w:color="auto"/>
            <w:right w:val="none" w:sz="0" w:space="0" w:color="auto"/>
          </w:divBdr>
          <w:divsChild>
            <w:div w:id="1578788081">
              <w:marLeft w:val="0"/>
              <w:marRight w:val="0"/>
              <w:marTop w:val="0"/>
              <w:marBottom w:val="0"/>
              <w:divBdr>
                <w:top w:val="none" w:sz="0" w:space="0" w:color="auto"/>
                <w:left w:val="none" w:sz="0" w:space="0" w:color="auto"/>
                <w:bottom w:val="none" w:sz="0" w:space="0" w:color="auto"/>
                <w:right w:val="none" w:sz="0" w:space="0" w:color="auto"/>
              </w:divBdr>
            </w:div>
          </w:divsChild>
        </w:div>
        <w:div w:id="496460006">
          <w:marLeft w:val="0"/>
          <w:marRight w:val="0"/>
          <w:marTop w:val="0"/>
          <w:marBottom w:val="0"/>
          <w:divBdr>
            <w:top w:val="none" w:sz="0" w:space="0" w:color="auto"/>
            <w:left w:val="none" w:sz="0" w:space="0" w:color="auto"/>
            <w:bottom w:val="none" w:sz="0" w:space="0" w:color="auto"/>
            <w:right w:val="none" w:sz="0" w:space="0" w:color="auto"/>
          </w:divBdr>
          <w:divsChild>
            <w:div w:id="934627093">
              <w:marLeft w:val="0"/>
              <w:marRight w:val="0"/>
              <w:marTop w:val="0"/>
              <w:marBottom w:val="0"/>
              <w:divBdr>
                <w:top w:val="none" w:sz="0" w:space="0" w:color="auto"/>
                <w:left w:val="none" w:sz="0" w:space="0" w:color="auto"/>
                <w:bottom w:val="none" w:sz="0" w:space="0" w:color="auto"/>
                <w:right w:val="none" w:sz="0" w:space="0" w:color="auto"/>
              </w:divBdr>
            </w:div>
          </w:divsChild>
        </w:div>
        <w:div w:id="522667702">
          <w:marLeft w:val="0"/>
          <w:marRight w:val="0"/>
          <w:marTop w:val="0"/>
          <w:marBottom w:val="0"/>
          <w:divBdr>
            <w:top w:val="none" w:sz="0" w:space="0" w:color="auto"/>
            <w:left w:val="none" w:sz="0" w:space="0" w:color="auto"/>
            <w:bottom w:val="none" w:sz="0" w:space="0" w:color="auto"/>
            <w:right w:val="none" w:sz="0" w:space="0" w:color="auto"/>
          </w:divBdr>
          <w:divsChild>
            <w:div w:id="121510094">
              <w:marLeft w:val="0"/>
              <w:marRight w:val="0"/>
              <w:marTop w:val="0"/>
              <w:marBottom w:val="0"/>
              <w:divBdr>
                <w:top w:val="none" w:sz="0" w:space="0" w:color="auto"/>
                <w:left w:val="none" w:sz="0" w:space="0" w:color="auto"/>
                <w:bottom w:val="none" w:sz="0" w:space="0" w:color="auto"/>
                <w:right w:val="none" w:sz="0" w:space="0" w:color="auto"/>
              </w:divBdr>
            </w:div>
          </w:divsChild>
        </w:div>
        <w:div w:id="541670177">
          <w:marLeft w:val="0"/>
          <w:marRight w:val="0"/>
          <w:marTop w:val="0"/>
          <w:marBottom w:val="0"/>
          <w:divBdr>
            <w:top w:val="none" w:sz="0" w:space="0" w:color="auto"/>
            <w:left w:val="none" w:sz="0" w:space="0" w:color="auto"/>
            <w:bottom w:val="none" w:sz="0" w:space="0" w:color="auto"/>
            <w:right w:val="none" w:sz="0" w:space="0" w:color="auto"/>
          </w:divBdr>
          <w:divsChild>
            <w:div w:id="1344429143">
              <w:marLeft w:val="0"/>
              <w:marRight w:val="0"/>
              <w:marTop w:val="0"/>
              <w:marBottom w:val="0"/>
              <w:divBdr>
                <w:top w:val="none" w:sz="0" w:space="0" w:color="auto"/>
                <w:left w:val="none" w:sz="0" w:space="0" w:color="auto"/>
                <w:bottom w:val="none" w:sz="0" w:space="0" w:color="auto"/>
                <w:right w:val="none" w:sz="0" w:space="0" w:color="auto"/>
              </w:divBdr>
            </w:div>
          </w:divsChild>
        </w:div>
        <w:div w:id="559826869">
          <w:marLeft w:val="0"/>
          <w:marRight w:val="0"/>
          <w:marTop w:val="0"/>
          <w:marBottom w:val="0"/>
          <w:divBdr>
            <w:top w:val="none" w:sz="0" w:space="0" w:color="auto"/>
            <w:left w:val="none" w:sz="0" w:space="0" w:color="auto"/>
            <w:bottom w:val="none" w:sz="0" w:space="0" w:color="auto"/>
            <w:right w:val="none" w:sz="0" w:space="0" w:color="auto"/>
          </w:divBdr>
          <w:divsChild>
            <w:div w:id="797576434">
              <w:marLeft w:val="0"/>
              <w:marRight w:val="0"/>
              <w:marTop w:val="0"/>
              <w:marBottom w:val="0"/>
              <w:divBdr>
                <w:top w:val="none" w:sz="0" w:space="0" w:color="auto"/>
                <w:left w:val="none" w:sz="0" w:space="0" w:color="auto"/>
                <w:bottom w:val="none" w:sz="0" w:space="0" w:color="auto"/>
                <w:right w:val="none" w:sz="0" w:space="0" w:color="auto"/>
              </w:divBdr>
            </w:div>
          </w:divsChild>
        </w:div>
        <w:div w:id="577402005">
          <w:marLeft w:val="0"/>
          <w:marRight w:val="0"/>
          <w:marTop w:val="0"/>
          <w:marBottom w:val="0"/>
          <w:divBdr>
            <w:top w:val="none" w:sz="0" w:space="0" w:color="auto"/>
            <w:left w:val="none" w:sz="0" w:space="0" w:color="auto"/>
            <w:bottom w:val="none" w:sz="0" w:space="0" w:color="auto"/>
            <w:right w:val="none" w:sz="0" w:space="0" w:color="auto"/>
          </w:divBdr>
          <w:divsChild>
            <w:div w:id="1977443926">
              <w:marLeft w:val="0"/>
              <w:marRight w:val="0"/>
              <w:marTop w:val="0"/>
              <w:marBottom w:val="0"/>
              <w:divBdr>
                <w:top w:val="none" w:sz="0" w:space="0" w:color="auto"/>
                <w:left w:val="none" w:sz="0" w:space="0" w:color="auto"/>
                <w:bottom w:val="none" w:sz="0" w:space="0" w:color="auto"/>
                <w:right w:val="none" w:sz="0" w:space="0" w:color="auto"/>
              </w:divBdr>
            </w:div>
          </w:divsChild>
        </w:div>
        <w:div w:id="631401709">
          <w:marLeft w:val="0"/>
          <w:marRight w:val="0"/>
          <w:marTop w:val="0"/>
          <w:marBottom w:val="0"/>
          <w:divBdr>
            <w:top w:val="none" w:sz="0" w:space="0" w:color="auto"/>
            <w:left w:val="none" w:sz="0" w:space="0" w:color="auto"/>
            <w:bottom w:val="none" w:sz="0" w:space="0" w:color="auto"/>
            <w:right w:val="none" w:sz="0" w:space="0" w:color="auto"/>
          </w:divBdr>
          <w:divsChild>
            <w:div w:id="1406413774">
              <w:marLeft w:val="0"/>
              <w:marRight w:val="0"/>
              <w:marTop w:val="0"/>
              <w:marBottom w:val="0"/>
              <w:divBdr>
                <w:top w:val="none" w:sz="0" w:space="0" w:color="auto"/>
                <w:left w:val="none" w:sz="0" w:space="0" w:color="auto"/>
                <w:bottom w:val="none" w:sz="0" w:space="0" w:color="auto"/>
                <w:right w:val="none" w:sz="0" w:space="0" w:color="auto"/>
              </w:divBdr>
            </w:div>
          </w:divsChild>
        </w:div>
        <w:div w:id="655261207">
          <w:marLeft w:val="0"/>
          <w:marRight w:val="0"/>
          <w:marTop w:val="0"/>
          <w:marBottom w:val="0"/>
          <w:divBdr>
            <w:top w:val="none" w:sz="0" w:space="0" w:color="auto"/>
            <w:left w:val="none" w:sz="0" w:space="0" w:color="auto"/>
            <w:bottom w:val="none" w:sz="0" w:space="0" w:color="auto"/>
            <w:right w:val="none" w:sz="0" w:space="0" w:color="auto"/>
          </w:divBdr>
          <w:divsChild>
            <w:div w:id="1565875528">
              <w:marLeft w:val="0"/>
              <w:marRight w:val="0"/>
              <w:marTop w:val="0"/>
              <w:marBottom w:val="0"/>
              <w:divBdr>
                <w:top w:val="none" w:sz="0" w:space="0" w:color="auto"/>
                <w:left w:val="none" w:sz="0" w:space="0" w:color="auto"/>
                <w:bottom w:val="none" w:sz="0" w:space="0" w:color="auto"/>
                <w:right w:val="none" w:sz="0" w:space="0" w:color="auto"/>
              </w:divBdr>
            </w:div>
          </w:divsChild>
        </w:div>
        <w:div w:id="798500483">
          <w:marLeft w:val="0"/>
          <w:marRight w:val="0"/>
          <w:marTop w:val="0"/>
          <w:marBottom w:val="0"/>
          <w:divBdr>
            <w:top w:val="none" w:sz="0" w:space="0" w:color="auto"/>
            <w:left w:val="none" w:sz="0" w:space="0" w:color="auto"/>
            <w:bottom w:val="none" w:sz="0" w:space="0" w:color="auto"/>
            <w:right w:val="none" w:sz="0" w:space="0" w:color="auto"/>
          </w:divBdr>
          <w:divsChild>
            <w:div w:id="1167285976">
              <w:marLeft w:val="0"/>
              <w:marRight w:val="0"/>
              <w:marTop w:val="0"/>
              <w:marBottom w:val="0"/>
              <w:divBdr>
                <w:top w:val="none" w:sz="0" w:space="0" w:color="auto"/>
                <w:left w:val="none" w:sz="0" w:space="0" w:color="auto"/>
                <w:bottom w:val="none" w:sz="0" w:space="0" w:color="auto"/>
                <w:right w:val="none" w:sz="0" w:space="0" w:color="auto"/>
              </w:divBdr>
            </w:div>
          </w:divsChild>
        </w:div>
        <w:div w:id="820925408">
          <w:marLeft w:val="0"/>
          <w:marRight w:val="0"/>
          <w:marTop w:val="0"/>
          <w:marBottom w:val="0"/>
          <w:divBdr>
            <w:top w:val="none" w:sz="0" w:space="0" w:color="auto"/>
            <w:left w:val="none" w:sz="0" w:space="0" w:color="auto"/>
            <w:bottom w:val="none" w:sz="0" w:space="0" w:color="auto"/>
            <w:right w:val="none" w:sz="0" w:space="0" w:color="auto"/>
          </w:divBdr>
          <w:divsChild>
            <w:div w:id="467629556">
              <w:marLeft w:val="0"/>
              <w:marRight w:val="0"/>
              <w:marTop w:val="0"/>
              <w:marBottom w:val="0"/>
              <w:divBdr>
                <w:top w:val="none" w:sz="0" w:space="0" w:color="auto"/>
                <w:left w:val="none" w:sz="0" w:space="0" w:color="auto"/>
                <w:bottom w:val="none" w:sz="0" w:space="0" w:color="auto"/>
                <w:right w:val="none" w:sz="0" w:space="0" w:color="auto"/>
              </w:divBdr>
            </w:div>
          </w:divsChild>
        </w:div>
        <w:div w:id="969941185">
          <w:marLeft w:val="0"/>
          <w:marRight w:val="0"/>
          <w:marTop w:val="0"/>
          <w:marBottom w:val="0"/>
          <w:divBdr>
            <w:top w:val="none" w:sz="0" w:space="0" w:color="auto"/>
            <w:left w:val="none" w:sz="0" w:space="0" w:color="auto"/>
            <w:bottom w:val="none" w:sz="0" w:space="0" w:color="auto"/>
            <w:right w:val="none" w:sz="0" w:space="0" w:color="auto"/>
          </w:divBdr>
          <w:divsChild>
            <w:div w:id="2109305395">
              <w:marLeft w:val="0"/>
              <w:marRight w:val="0"/>
              <w:marTop w:val="0"/>
              <w:marBottom w:val="0"/>
              <w:divBdr>
                <w:top w:val="none" w:sz="0" w:space="0" w:color="auto"/>
                <w:left w:val="none" w:sz="0" w:space="0" w:color="auto"/>
                <w:bottom w:val="none" w:sz="0" w:space="0" w:color="auto"/>
                <w:right w:val="none" w:sz="0" w:space="0" w:color="auto"/>
              </w:divBdr>
            </w:div>
          </w:divsChild>
        </w:div>
        <w:div w:id="1070808183">
          <w:marLeft w:val="0"/>
          <w:marRight w:val="0"/>
          <w:marTop w:val="0"/>
          <w:marBottom w:val="0"/>
          <w:divBdr>
            <w:top w:val="none" w:sz="0" w:space="0" w:color="auto"/>
            <w:left w:val="none" w:sz="0" w:space="0" w:color="auto"/>
            <w:bottom w:val="none" w:sz="0" w:space="0" w:color="auto"/>
            <w:right w:val="none" w:sz="0" w:space="0" w:color="auto"/>
          </w:divBdr>
          <w:divsChild>
            <w:div w:id="457338145">
              <w:marLeft w:val="0"/>
              <w:marRight w:val="0"/>
              <w:marTop w:val="0"/>
              <w:marBottom w:val="0"/>
              <w:divBdr>
                <w:top w:val="none" w:sz="0" w:space="0" w:color="auto"/>
                <w:left w:val="none" w:sz="0" w:space="0" w:color="auto"/>
                <w:bottom w:val="none" w:sz="0" w:space="0" w:color="auto"/>
                <w:right w:val="none" w:sz="0" w:space="0" w:color="auto"/>
              </w:divBdr>
            </w:div>
          </w:divsChild>
        </w:div>
        <w:div w:id="1143499975">
          <w:marLeft w:val="0"/>
          <w:marRight w:val="0"/>
          <w:marTop w:val="0"/>
          <w:marBottom w:val="0"/>
          <w:divBdr>
            <w:top w:val="none" w:sz="0" w:space="0" w:color="auto"/>
            <w:left w:val="none" w:sz="0" w:space="0" w:color="auto"/>
            <w:bottom w:val="none" w:sz="0" w:space="0" w:color="auto"/>
            <w:right w:val="none" w:sz="0" w:space="0" w:color="auto"/>
          </w:divBdr>
          <w:divsChild>
            <w:div w:id="1667829923">
              <w:marLeft w:val="0"/>
              <w:marRight w:val="0"/>
              <w:marTop w:val="0"/>
              <w:marBottom w:val="0"/>
              <w:divBdr>
                <w:top w:val="none" w:sz="0" w:space="0" w:color="auto"/>
                <w:left w:val="none" w:sz="0" w:space="0" w:color="auto"/>
                <w:bottom w:val="none" w:sz="0" w:space="0" w:color="auto"/>
                <w:right w:val="none" w:sz="0" w:space="0" w:color="auto"/>
              </w:divBdr>
            </w:div>
          </w:divsChild>
        </w:div>
        <w:div w:id="1237475347">
          <w:marLeft w:val="0"/>
          <w:marRight w:val="0"/>
          <w:marTop w:val="0"/>
          <w:marBottom w:val="0"/>
          <w:divBdr>
            <w:top w:val="none" w:sz="0" w:space="0" w:color="auto"/>
            <w:left w:val="none" w:sz="0" w:space="0" w:color="auto"/>
            <w:bottom w:val="none" w:sz="0" w:space="0" w:color="auto"/>
            <w:right w:val="none" w:sz="0" w:space="0" w:color="auto"/>
          </w:divBdr>
          <w:divsChild>
            <w:div w:id="141503813">
              <w:marLeft w:val="0"/>
              <w:marRight w:val="0"/>
              <w:marTop w:val="0"/>
              <w:marBottom w:val="0"/>
              <w:divBdr>
                <w:top w:val="none" w:sz="0" w:space="0" w:color="auto"/>
                <w:left w:val="none" w:sz="0" w:space="0" w:color="auto"/>
                <w:bottom w:val="none" w:sz="0" w:space="0" w:color="auto"/>
                <w:right w:val="none" w:sz="0" w:space="0" w:color="auto"/>
              </w:divBdr>
            </w:div>
          </w:divsChild>
        </w:div>
        <w:div w:id="1301037099">
          <w:marLeft w:val="0"/>
          <w:marRight w:val="0"/>
          <w:marTop w:val="0"/>
          <w:marBottom w:val="0"/>
          <w:divBdr>
            <w:top w:val="none" w:sz="0" w:space="0" w:color="auto"/>
            <w:left w:val="none" w:sz="0" w:space="0" w:color="auto"/>
            <w:bottom w:val="none" w:sz="0" w:space="0" w:color="auto"/>
            <w:right w:val="none" w:sz="0" w:space="0" w:color="auto"/>
          </w:divBdr>
          <w:divsChild>
            <w:div w:id="1784954793">
              <w:marLeft w:val="0"/>
              <w:marRight w:val="0"/>
              <w:marTop w:val="0"/>
              <w:marBottom w:val="0"/>
              <w:divBdr>
                <w:top w:val="none" w:sz="0" w:space="0" w:color="auto"/>
                <w:left w:val="none" w:sz="0" w:space="0" w:color="auto"/>
                <w:bottom w:val="none" w:sz="0" w:space="0" w:color="auto"/>
                <w:right w:val="none" w:sz="0" w:space="0" w:color="auto"/>
              </w:divBdr>
            </w:div>
          </w:divsChild>
        </w:div>
        <w:div w:id="1370105380">
          <w:marLeft w:val="0"/>
          <w:marRight w:val="0"/>
          <w:marTop w:val="0"/>
          <w:marBottom w:val="0"/>
          <w:divBdr>
            <w:top w:val="none" w:sz="0" w:space="0" w:color="auto"/>
            <w:left w:val="none" w:sz="0" w:space="0" w:color="auto"/>
            <w:bottom w:val="none" w:sz="0" w:space="0" w:color="auto"/>
            <w:right w:val="none" w:sz="0" w:space="0" w:color="auto"/>
          </w:divBdr>
          <w:divsChild>
            <w:div w:id="1181116602">
              <w:marLeft w:val="0"/>
              <w:marRight w:val="0"/>
              <w:marTop w:val="0"/>
              <w:marBottom w:val="0"/>
              <w:divBdr>
                <w:top w:val="none" w:sz="0" w:space="0" w:color="auto"/>
                <w:left w:val="none" w:sz="0" w:space="0" w:color="auto"/>
                <w:bottom w:val="none" w:sz="0" w:space="0" w:color="auto"/>
                <w:right w:val="none" w:sz="0" w:space="0" w:color="auto"/>
              </w:divBdr>
            </w:div>
          </w:divsChild>
        </w:div>
        <w:div w:id="1525972493">
          <w:marLeft w:val="0"/>
          <w:marRight w:val="0"/>
          <w:marTop w:val="0"/>
          <w:marBottom w:val="0"/>
          <w:divBdr>
            <w:top w:val="none" w:sz="0" w:space="0" w:color="auto"/>
            <w:left w:val="none" w:sz="0" w:space="0" w:color="auto"/>
            <w:bottom w:val="none" w:sz="0" w:space="0" w:color="auto"/>
            <w:right w:val="none" w:sz="0" w:space="0" w:color="auto"/>
          </w:divBdr>
          <w:divsChild>
            <w:div w:id="2009752238">
              <w:marLeft w:val="0"/>
              <w:marRight w:val="0"/>
              <w:marTop w:val="0"/>
              <w:marBottom w:val="0"/>
              <w:divBdr>
                <w:top w:val="none" w:sz="0" w:space="0" w:color="auto"/>
                <w:left w:val="none" w:sz="0" w:space="0" w:color="auto"/>
                <w:bottom w:val="none" w:sz="0" w:space="0" w:color="auto"/>
                <w:right w:val="none" w:sz="0" w:space="0" w:color="auto"/>
              </w:divBdr>
            </w:div>
          </w:divsChild>
        </w:div>
        <w:div w:id="1535145687">
          <w:marLeft w:val="0"/>
          <w:marRight w:val="0"/>
          <w:marTop w:val="0"/>
          <w:marBottom w:val="0"/>
          <w:divBdr>
            <w:top w:val="none" w:sz="0" w:space="0" w:color="auto"/>
            <w:left w:val="none" w:sz="0" w:space="0" w:color="auto"/>
            <w:bottom w:val="none" w:sz="0" w:space="0" w:color="auto"/>
            <w:right w:val="none" w:sz="0" w:space="0" w:color="auto"/>
          </w:divBdr>
          <w:divsChild>
            <w:div w:id="1339888820">
              <w:marLeft w:val="0"/>
              <w:marRight w:val="0"/>
              <w:marTop w:val="0"/>
              <w:marBottom w:val="0"/>
              <w:divBdr>
                <w:top w:val="none" w:sz="0" w:space="0" w:color="auto"/>
                <w:left w:val="none" w:sz="0" w:space="0" w:color="auto"/>
                <w:bottom w:val="none" w:sz="0" w:space="0" w:color="auto"/>
                <w:right w:val="none" w:sz="0" w:space="0" w:color="auto"/>
              </w:divBdr>
            </w:div>
          </w:divsChild>
        </w:div>
        <w:div w:id="1604651776">
          <w:marLeft w:val="0"/>
          <w:marRight w:val="0"/>
          <w:marTop w:val="0"/>
          <w:marBottom w:val="0"/>
          <w:divBdr>
            <w:top w:val="none" w:sz="0" w:space="0" w:color="auto"/>
            <w:left w:val="none" w:sz="0" w:space="0" w:color="auto"/>
            <w:bottom w:val="none" w:sz="0" w:space="0" w:color="auto"/>
            <w:right w:val="none" w:sz="0" w:space="0" w:color="auto"/>
          </w:divBdr>
          <w:divsChild>
            <w:div w:id="1702508677">
              <w:marLeft w:val="0"/>
              <w:marRight w:val="0"/>
              <w:marTop w:val="0"/>
              <w:marBottom w:val="0"/>
              <w:divBdr>
                <w:top w:val="none" w:sz="0" w:space="0" w:color="auto"/>
                <w:left w:val="none" w:sz="0" w:space="0" w:color="auto"/>
                <w:bottom w:val="none" w:sz="0" w:space="0" w:color="auto"/>
                <w:right w:val="none" w:sz="0" w:space="0" w:color="auto"/>
              </w:divBdr>
            </w:div>
          </w:divsChild>
        </w:div>
        <w:div w:id="1637639033">
          <w:marLeft w:val="0"/>
          <w:marRight w:val="0"/>
          <w:marTop w:val="0"/>
          <w:marBottom w:val="0"/>
          <w:divBdr>
            <w:top w:val="none" w:sz="0" w:space="0" w:color="auto"/>
            <w:left w:val="none" w:sz="0" w:space="0" w:color="auto"/>
            <w:bottom w:val="none" w:sz="0" w:space="0" w:color="auto"/>
            <w:right w:val="none" w:sz="0" w:space="0" w:color="auto"/>
          </w:divBdr>
          <w:divsChild>
            <w:div w:id="698900212">
              <w:marLeft w:val="0"/>
              <w:marRight w:val="0"/>
              <w:marTop w:val="0"/>
              <w:marBottom w:val="0"/>
              <w:divBdr>
                <w:top w:val="none" w:sz="0" w:space="0" w:color="auto"/>
                <w:left w:val="none" w:sz="0" w:space="0" w:color="auto"/>
                <w:bottom w:val="none" w:sz="0" w:space="0" w:color="auto"/>
                <w:right w:val="none" w:sz="0" w:space="0" w:color="auto"/>
              </w:divBdr>
            </w:div>
          </w:divsChild>
        </w:div>
        <w:div w:id="1723169652">
          <w:marLeft w:val="0"/>
          <w:marRight w:val="0"/>
          <w:marTop w:val="0"/>
          <w:marBottom w:val="0"/>
          <w:divBdr>
            <w:top w:val="none" w:sz="0" w:space="0" w:color="auto"/>
            <w:left w:val="none" w:sz="0" w:space="0" w:color="auto"/>
            <w:bottom w:val="none" w:sz="0" w:space="0" w:color="auto"/>
            <w:right w:val="none" w:sz="0" w:space="0" w:color="auto"/>
          </w:divBdr>
          <w:divsChild>
            <w:div w:id="1876578242">
              <w:marLeft w:val="0"/>
              <w:marRight w:val="0"/>
              <w:marTop w:val="0"/>
              <w:marBottom w:val="0"/>
              <w:divBdr>
                <w:top w:val="none" w:sz="0" w:space="0" w:color="auto"/>
                <w:left w:val="none" w:sz="0" w:space="0" w:color="auto"/>
                <w:bottom w:val="none" w:sz="0" w:space="0" w:color="auto"/>
                <w:right w:val="none" w:sz="0" w:space="0" w:color="auto"/>
              </w:divBdr>
            </w:div>
          </w:divsChild>
        </w:div>
        <w:div w:id="1751535096">
          <w:marLeft w:val="0"/>
          <w:marRight w:val="0"/>
          <w:marTop w:val="0"/>
          <w:marBottom w:val="0"/>
          <w:divBdr>
            <w:top w:val="none" w:sz="0" w:space="0" w:color="auto"/>
            <w:left w:val="none" w:sz="0" w:space="0" w:color="auto"/>
            <w:bottom w:val="none" w:sz="0" w:space="0" w:color="auto"/>
            <w:right w:val="none" w:sz="0" w:space="0" w:color="auto"/>
          </w:divBdr>
          <w:divsChild>
            <w:div w:id="20791650">
              <w:marLeft w:val="0"/>
              <w:marRight w:val="0"/>
              <w:marTop w:val="0"/>
              <w:marBottom w:val="0"/>
              <w:divBdr>
                <w:top w:val="none" w:sz="0" w:space="0" w:color="auto"/>
                <w:left w:val="none" w:sz="0" w:space="0" w:color="auto"/>
                <w:bottom w:val="none" w:sz="0" w:space="0" w:color="auto"/>
                <w:right w:val="none" w:sz="0" w:space="0" w:color="auto"/>
              </w:divBdr>
            </w:div>
          </w:divsChild>
        </w:div>
        <w:div w:id="1924216409">
          <w:marLeft w:val="0"/>
          <w:marRight w:val="0"/>
          <w:marTop w:val="0"/>
          <w:marBottom w:val="0"/>
          <w:divBdr>
            <w:top w:val="none" w:sz="0" w:space="0" w:color="auto"/>
            <w:left w:val="none" w:sz="0" w:space="0" w:color="auto"/>
            <w:bottom w:val="none" w:sz="0" w:space="0" w:color="auto"/>
            <w:right w:val="none" w:sz="0" w:space="0" w:color="auto"/>
          </w:divBdr>
          <w:divsChild>
            <w:div w:id="110148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68052">
      <w:bodyDiv w:val="1"/>
      <w:marLeft w:val="0"/>
      <w:marRight w:val="0"/>
      <w:marTop w:val="0"/>
      <w:marBottom w:val="0"/>
      <w:divBdr>
        <w:top w:val="none" w:sz="0" w:space="0" w:color="auto"/>
        <w:left w:val="none" w:sz="0" w:space="0" w:color="auto"/>
        <w:bottom w:val="none" w:sz="0" w:space="0" w:color="auto"/>
        <w:right w:val="none" w:sz="0" w:space="0" w:color="auto"/>
      </w:divBdr>
      <w:divsChild>
        <w:div w:id="3244025">
          <w:marLeft w:val="0"/>
          <w:marRight w:val="0"/>
          <w:marTop w:val="0"/>
          <w:marBottom w:val="0"/>
          <w:divBdr>
            <w:top w:val="none" w:sz="0" w:space="0" w:color="auto"/>
            <w:left w:val="none" w:sz="0" w:space="0" w:color="auto"/>
            <w:bottom w:val="none" w:sz="0" w:space="0" w:color="auto"/>
            <w:right w:val="none" w:sz="0" w:space="0" w:color="auto"/>
          </w:divBdr>
          <w:divsChild>
            <w:div w:id="701171746">
              <w:marLeft w:val="0"/>
              <w:marRight w:val="0"/>
              <w:marTop w:val="0"/>
              <w:marBottom w:val="0"/>
              <w:divBdr>
                <w:top w:val="none" w:sz="0" w:space="0" w:color="auto"/>
                <w:left w:val="none" w:sz="0" w:space="0" w:color="auto"/>
                <w:bottom w:val="none" w:sz="0" w:space="0" w:color="auto"/>
                <w:right w:val="none" w:sz="0" w:space="0" w:color="auto"/>
              </w:divBdr>
            </w:div>
          </w:divsChild>
        </w:div>
        <w:div w:id="20513931">
          <w:marLeft w:val="0"/>
          <w:marRight w:val="0"/>
          <w:marTop w:val="0"/>
          <w:marBottom w:val="0"/>
          <w:divBdr>
            <w:top w:val="none" w:sz="0" w:space="0" w:color="auto"/>
            <w:left w:val="none" w:sz="0" w:space="0" w:color="auto"/>
            <w:bottom w:val="none" w:sz="0" w:space="0" w:color="auto"/>
            <w:right w:val="none" w:sz="0" w:space="0" w:color="auto"/>
          </w:divBdr>
          <w:divsChild>
            <w:div w:id="1261721319">
              <w:marLeft w:val="0"/>
              <w:marRight w:val="0"/>
              <w:marTop w:val="0"/>
              <w:marBottom w:val="0"/>
              <w:divBdr>
                <w:top w:val="none" w:sz="0" w:space="0" w:color="auto"/>
                <w:left w:val="none" w:sz="0" w:space="0" w:color="auto"/>
                <w:bottom w:val="none" w:sz="0" w:space="0" w:color="auto"/>
                <w:right w:val="none" w:sz="0" w:space="0" w:color="auto"/>
              </w:divBdr>
            </w:div>
          </w:divsChild>
        </w:div>
        <w:div w:id="34545050">
          <w:marLeft w:val="0"/>
          <w:marRight w:val="0"/>
          <w:marTop w:val="0"/>
          <w:marBottom w:val="0"/>
          <w:divBdr>
            <w:top w:val="none" w:sz="0" w:space="0" w:color="auto"/>
            <w:left w:val="none" w:sz="0" w:space="0" w:color="auto"/>
            <w:bottom w:val="none" w:sz="0" w:space="0" w:color="auto"/>
            <w:right w:val="none" w:sz="0" w:space="0" w:color="auto"/>
          </w:divBdr>
          <w:divsChild>
            <w:div w:id="287053589">
              <w:marLeft w:val="0"/>
              <w:marRight w:val="0"/>
              <w:marTop w:val="0"/>
              <w:marBottom w:val="0"/>
              <w:divBdr>
                <w:top w:val="none" w:sz="0" w:space="0" w:color="auto"/>
                <w:left w:val="none" w:sz="0" w:space="0" w:color="auto"/>
                <w:bottom w:val="none" w:sz="0" w:space="0" w:color="auto"/>
                <w:right w:val="none" w:sz="0" w:space="0" w:color="auto"/>
              </w:divBdr>
            </w:div>
          </w:divsChild>
        </w:div>
        <w:div w:id="121307472">
          <w:marLeft w:val="0"/>
          <w:marRight w:val="0"/>
          <w:marTop w:val="0"/>
          <w:marBottom w:val="0"/>
          <w:divBdr>
            <w:top w:val="none" w:sz="0" w:space="0" w:color="auto"/>
            <w:left w:val="none" w:sz="0" w:space="0" w:color="auto"/>
            <w:bottom w:val="none" w:sz="0" w:space="0" w:color="auto"/>
            <w:right w:val="none" w:sz="0" w:space="0" w:color="auto"/>
          </w:divBdr>
          <w:divsChild>
            <w:div w:id="1445074702">
              <w:marLeft w:val="0"/>
              <w:marRight w:val="0"/>
              <w:marTop w:val="0"/>
              <w:marBottom w:val="0"/>
              <w:divBdr>
                <w:top w:val="none" w:sz="0" w:space="0" w:color="auto"/>
                <w:left w:val="none" w:sz="0" w:space="0" w:color="auto"/>
                <w:bottom w:val="none" w:sz="0" w:space="0" w:color="auto"/>
                <w:right w:val="none" w:sz="0" w:space="0" w:color="auto"/>
              </w:divBdr>
            </w:div>
          </w:divsChild>
        </w:div>
        <w:div w:id="146484959">
          <w:marLeft w:val="0"/>
          <w:marRight w:val="0"/>
          <w:marTop w:val="0"/>
          <w:marBottom w:val="0"/>
          <w:divBdr>
            <w:top w:val="none" w:sz="0" w:space="0" w:color="auto"/>
            <w:left w:val="none" w:sz="0" w:space="0" w:color="auto"/>
            <w:bottom w:val="none" w:sz="0" w:space="0" w:color="auto"/>
            <w:right w:val="none" w:sz="0" w:space="0" w:color="auto"/>
          </w:divBdr>
          <w:divsChild>
            <w:div w:id="1388646218">
              <w:marLeft w:val="0"/>
              <w:marRight w:val="0"/>
              <w:marTop w:val="0"/>
              <w:marBottom w:val="0"/>
              <w:divBdr>
                <w:top w:val="none" w:sz="0" w:space="0" w:color="auto"/>
                <w:left w:val="none" w:sz="0" w:space="0" w:color="auto"/>
                <w:bottom w:val="none" w:sz="0" w:space="0" w:color="auto"/>
                <w:right w:val="none" w:sz="0" w:space="0" w:color="auto"/>
              </w:divBdr>
            </w:div>
          </w:divsChild>
        </w:div>
        <w:div w:id="150295246">
          <w:marLeft w:val="0"/>
          <w:marRight w:val="0"/>
          <w:marTop w:val="0"/>
          <w:marBottom w:val="0"/>
          <w:divBdr>
            <w:top w:val="none" w:sz="0" w:space="0" w:color="auto"/>
            <w:left w:val="none" w:sz="0" w:space="0" w:color="auto"/>
            <w:bottom w:val="none" w:sz="0" w:space="0" w:color="auto"/>
            <w:right w:val="none" w:sz="0" w:space="0" w:color="auto"/>
          </w:divBdr>
          <w:divsChild>
            <w:div w:id="1391001647">
              <w:marLeft w:val="0"/>
              <w:marRight w:val="0"/>
              <w:marTop w:val="0"/>
              <w:marBottom w:val="0"/>
              <w:divBdr>
                <w:top w:val="none" w:sz="0" w:space="0" w:color="auto"/>
                <w:left w:val="none" w:sz="0" w:space="0" w:color="auto"/>
                <w:bottom w:val="none" w:sz="0" w:space="0" w:color="auto"/>
                <w:right w:val="none" w:sz="0" w:space="0" w:color="auto"/>
              </w:divBdr>
            </w:div>
          </w:divsChild>
        </w:div>
        <w:div w:id="158154420">
          <w:marLeft w:val="0"/>
          <w:marRight w:val="0"/>
          <w:marTop w:val="0"/>
          <w:marBottom w:val="0"/>
          <w:divBdr>
            <w:top w:val="none" w:sz="0" w:space="0" w:color="auto"/>
            <w:left w:val="none" w:sz="0" w:space="0" w:color="auto"/>
            <w:bottom w:val="none" w:sz="0" w:space="0" w:color="auto"/>
            <w:right w:val="none" w:sz="0" w:space="0" w:color="auto"/>
          </w:divBdr>
          <w:divsChild>
            <w:div w:id="1774402034">
              <w:marLeft w:val="0"/>
              <w:marRight w:val="0"/>
              <w:marTop w:val="0"/>
              <w:marBottom w:val="0"/>
              <w:divBdr>
                <w:top w:val="none" w:sz="0" w:space="0" w:color="auto"/>
                <w:left w:val="none" w:sz="0" w:space="0" w:color="auto"/>
                <w:bottom w:val="none" w:sz="0" w:space="0" w:color="auto"/>
                <w:right w:val="none" w:sz="0" w:space="0" w:color="auto"/>
              </w:divBdr>
            </w:div>
          </w:divsChild>
        </w:div>
        <w:div w:id="195509206">
          <w:marLeft w:val="0"/>
          <w:marRight w:val="0"/>
          <w:marTop w:val="0"/>
          <w:marBottom w:val="0"/>
          <w:divBdr>
            <w:top w:val="none" w:sz="0" w:space="0" w:color="auto"/>
            <w:left w:val="none" w:sz="0" w:space="0" w:color="auto"/>
            <w:bottom w:val="none" w:sz="0" w:space="0" w:color="auto"/>
            <w:right w:val="none" w:sz="0" w:space="0" w:color="auto"/>
          </w:divBdr>
          <w:divsChild>
            <w:div w:id="740564414">
              <w:marLeft w:val="0"/>
              <w:marRight w:val="0"/>
              <w:marTop w:val="0"/>
              <w:marBottom w:val="0"/>
              <w:divBdr>
                <w:top w:val="none" w:sz="0" w:space="0" w:color="auto"/>
                <w:left w:val="none" w:sz="0" w:space="0" w:color="auto"/>
                <w:bottom w:val="none" w:sz="0" w:space="0" w:color="auto"/>
                <w:right w:val="none" w:sz="0" w:space="0" w:color="auto"/>
              </w:divBdr>
            </w:div>
          </w:divsChild>
        </w:div>
        <w:div w:id="206794558">
          <w:marLeft w:val="0"/>
          <w:marRight w:val="0"/>
          <w:marTop w:val="0"/>
          <w:marBottom w:val="0"/>
          <w:divBdr>
            <w:top w:val="none" w:sz="0" w:space="0" w:color="auto"/>
            <w:left w:val="none" w:sz="0" w:space="0" w:color="auto"/>
            <w:bottom w:val="none" w:sz="0" w:space="0" w:color="auto"/>
            <w:right w:val="none" w:sz="0" w:space="0" w:color="auto"/>
          </w:divBdr>
          <w:divsChild>
            <w:div w:id="1916472534">
              <w:marLeft w:val="0"/>
              <w:marRight w:val="0"/>
              <w:marTop w:val="0"/>
              <w:marBottom w:val="0"/>
              <w:divBdr>
                <w:top w:val="none" w:sz="0" w:space="0" w:color="auto"/>
                <w:left w:val="none" w:sz="0" w:space="0" w:color="auto"/>
                <w:bottom w:val="none" w:sz="0" w:space="0" w:color="auto"/>
                <w:right w:val="none" w:sz="0" w:space="0" w:color="auto"/>
              </w:divBdr>
            </w:div>
          </w:divsChild>
        </w:div>
        <w:div w:id="225576806">
          <w:marLeft w:val="0"/>
          <w:marRight w:val="0"/>
          <w:marTop w:val="0"/>
          <w:marBottom w:val="0"/>
          <w:divBdr>
            <w:top w:val="none" w:sz="0" w:space="0" w:color="auto"/>
            <w:left w:val="none" w:sz="0" w:space="0" w:color="auto"/>
            <w:bottom w:val="none" w:sz="0" w:space="0" w:color="auto"/>
            <w:right w:val="none" w:sz="0" w:space="0" w:color="auto"/>
          </w:divBdr>
          <w:divsChild>
            <w:div w:id="112746726">
              <w:marLeft w:val="0"/>
              <w:marRight w:val="0"/>
              <w:marTop w:val="0"/>
              <w:marBottom w:val="0"/>
              <w:divBdr>
                <w:top w:val="none" w:sz="0" w:space="0" w:color="auto"/>
                <w:left w:val="none" w:sz="0" w:space="0" w:color="auto"/>
                <w:bottom w:val="none" w:sz="0" w:space="0" w:color="auto"/>
                <w:right w:val="none" w:sz="0" w:space="0" w:color="auto"/>
              </w:divBdr>
            </w:div>
          </w:divsChild>
        </w:div>
        <w:div w:id="251202924">
          <w:marLeft w:val="0"/>
          <w:marRight w:val="0"/>
          <w:marTop w:val="0"/>
          <w:marBottom w:val="0"/>
          <w:divBdr>
            <w:top w:val="none" w:sz="0" w:space="0" w:color="auto"/>
            <w:left w:val="none" w:sz="0" w:space="0" w:color="auto"/>
            <w:bottom w:val="none" w:sz="0" w:space="0" w:color="auto"/>
            <w:right w:val="none" w:sz="0" w:space="0" w:color="auto"/>
          </w:divBdr>
          <w:divsChild>
            <w:div w:id="1545025800">
              <w:marLeft w:val="0"/>
              <w:marRight w:val="0"/>
              <w:marTop w:val="0"/>
              <w:marBottom w:val="0"/>
              <w:divBdr>
                <w:top w:val="none" w:sz="0" w:space="0" w:color="auto"/>
                <w:left w:val="none" w:sz="0" w:space="0" w:color="auto"/>
                <w:bottom w:val="none" w:sz="0" w:space="0" w:color="auto"/>
                <w:right w:val="none" w:sz="0" w:space="0" w:color="auto"/>
              </w:divBdr>
            </w:div>
          </w:divsChild>
        </w:div>
        <w:div w:id="273444086">
          <w:marLeft w:val="0"/>
          <w:marRight w:val="0"/>
          <w:marTop w:val="0"/>
          <w:marBottom w:val="0"/>
          <w:divBdr>
            <w:top w:val="none" w:sz="0" w:space="0" w:color="auto"/>
            <w:left w:val="none" w:sz="0" w:space="0" w:color="auto"/>
            <w:bottom w:val="none" w:sz="0" w:space="0" w:color="auto"/>
            <w:right w:val="none" w:sz="0" w:space="0" w:color="auto"/>
          </w:divBdr>
          <w:divsChild>
            <w:div w:id="976422359">
              <w:marLeft w:val="0"/>
              <w:marRight w:val="0"/>
              <w:marTop w:val="0"/>
              <w:marBottom w:val="0"/>
              <w:divBdr>
                <w:top w:val="none" w:sz="0" w:space="0" w:color="auto"/>
                <w:left w:val="none" w:sz="0" w:space="0" w:color="auto"/>
                <w:bottom w:val="none" w:sz="0" w:space="0" w:color="auto"/>
                <w:right w:val="none" w:sz="0" w:space="0" w:color="auto"/>
              </w:divBdr>
            </w:div>
          </w:divsChild>
        </w:div>
        <w:div w:id="292565528">
          <w:marLeft w:val="0"/>
          <w:marRight w:val="0"/>
          <w:marTop w:val="0"/>
          <w:marBottom w:val="0"/>
          <w:divBdr>
            <w:top w:val="none" w:sz="0" w:space="0" w:color="auto"/>
            <w:left w:val="none" w:sz="0" w:space="0" w:color="auto"/>
            <w:bottom w:val="none" w:sz="0" w:space="0" w:color="auto"/>
            <w:right w:val="none" w:sz="0" w:space="0" w:color="auto"/>
          </w:divBdr>
          <w:divsChild>
            <w:div w:id="1336149693">
              <w:marLeft w:val="0"/>
              <w:marRight w:val="0"/>
              <w:marTop w:val="0"/>
              <w:marBottom w:val="0"/>
              <w:divBdr>
                <w:top w:val="none" w:sz="0" w:space="0" w:color="auto"/>
                <w:left w:val="none" w:sz="0" w:space="0" w:color="auto"/>
                <w:bottom w:val="none" w:sz="0" w:space="0" w:color="auto"/>
                <w:right w:val="none" w:sz="0" w:space="0" w:color="auto"/>
              </w:divBdr>
            </w:div>
          </w:divsChild>
        </w:div>
        <w:div w:id="294483556">
          <w:marLeft w:val="0"/>
          <w:marRight w:val="0"/>
          <w:marTop w:val="0"/>
          <w:marBottom w:val="0"/>
          <w:divBdr>
            <w:top w:val="none" w:sz="0" w:space="0" w:color="auto"/>
            <w:left w:val="none" w:sz="0" w:space="0" w:color="auto"/>
            <w:bottom w:val="none" w:sz="0" w:space="0" w:color="auto"/>
            <w:right w:val="none" w:sz="0" w:space="0" w:color="auto"/>
          </w:divBdr>
          <w:divsChild>
            <w:div w:id="14813368">
              <w:marLeft w:val="0"/>
              <w:marRight w:val="0"/>
              <w:marTop w:val="0"/>
              <w:marBottom w:val="0"/>
              <w:divBdr>
                <w:top w:val="none" w:sz="0" w:space="0" w:color="auto"/>
                <w:left w:val="none" w:sz="0" w:space="0" w:color="auto"/>
                <w:bottom w:val="none" w:sz="0" w:space="0" w:color="auto"/>
                <w:right w:val="none" w:sz="0" w:space="0" w:color="auto"/>
              </w:divBdr>
            </w:div>
          </w:divsChild>
        </w:div>
        <w:div w:id="304241515">
          <w:marLeft w:val="0"/>
          <w:marRight w:val="0"/>
          <w:marTop w:val="0"/>
          <w:marBottom w:val="0"/>
          <w:divBdr>
            <w:top w:val="none" w:sz="0" w:space="0" w:color="auto"/>
            <w:left w:val="none" w:sz="0" w:space="0" w:color="auto"/>
            <w:bottom w:val="none" w:sz="0" w:space="0" w:color="auto"/>
            <w:right w:val="none" w:sz="0" w:space="0" w:color="auto"/>
          </w:divBdr>
          <w:divsChild>
            <w:div w:id="1862936796">
              <w:marLeft w:val="0"/>
              <w:marRight w:val="0"/>
              <w:marTop w:val="0"/>
              <w:marBottom w:val="0"/>
              <w:divBdr>
                <w:top w:val="none" w:sz="0" w:space="0" w:color="auto"/>
                <w:left w:val="none" w:sz="0" w:space="0" w:color="auto"/>
                <w:bottom w:val="none" w:sz="0" w:space="0" w:color="auto"/>
                <w:right w:val="none" w:sz="0" w:space="0" w:color="auto"/>
              </w:divBdr>
            </w:div>
          </w:divsChild>
        </w:div>
        <w:div w:id="307587270">
          <w:marLeft w:val="0"/>
          <w:marRight w:val="0"/>
          <w:marTop w:val="0"/>
          <w:marBottom w:val="0"/>
          <w:divBdr>
            <w:top w:val="none" w:sz="0" w:space="0" w:color="auto"/>
            <w:left w:val="none" w:sz="0" w:space="0" w:color="auto"/>
            <w:bottom w:val="none" w:sz="0" w:space="0" w:color="auto"/>
            <w:right w:val="none" w:sz="0" w:space="0" w:color="auto"/>
          </w:divBdr>
          <w:divsChild>
            <w:div w:id="378826870">
              <w:marLeft w:val="0"/>
              <w:marRight w:val="0"/>
              <w:marTop w:val="0"/>
              <w:marBottom w:val="0"/>
              <w:divBdr>
                <w:top w:val="none" w:sz="0" w:space="0" w:color="auto"/>
                <w:left w:val="none" w:sz="0" w:space="0" w:color="auto"/>
                <w:bottom w:val="none" w:sz="0" w:space="0" w:color="auto"/>
                <w:right w:val="none" w:sz="0" w:space="0" w:color="auto"/>
              </w:divBdr>
            </w:div>
          </w:divsChild>
        </w:div>
        <w:div w:id="380859948">
          <w:marLeft w:val="0"/>
          <w:marRight w:val="0"/>
          <w:marTop w:val="0"/>
          <w:marBottom w:val="0"/>
          <w:divBdr>
            <w:top w:val="none" w:sz="0" w:space="0" w:color="auto"/>
            <w:left w:val="none" w:sz="0" w:space="0" w:color="auto"/>
            <w:bottom w:val="none" w:sz="0" w:space="0" w:color="auto"/>
            <w:right w:val="none" w:sz="0" w:space="0" w:color="auto"/>
          </w:divBdr>
          <w:divsChild>
            <w:div w:id="1203634557">
              <w:marLeft w:val="0"/>
              <w:marRight w:val="0"/>
              <w:marTop w:val="0"/>
              <w:marBottom w:val="0"/>
              <w:divBdr>
                <w:top w:val="none" w:sz="0" w:space="0" w:color="auto"/>
                <w:left w:val="none" w:sz="0" w:space="0" w:color="auto"/>
                <w:bottom w:val="none" w:sz="0" w:space="0" w:color="auto"/>
                <w:right w:val="none" w:sz="0" w:space="0" w:color="auto"/>
              </w:divBdr>
            </w:div>
          </w:divsChild>
        </w:div>
        <w:div w:id="385297160">
          <w:marLeft w:val="0"/>
          <w:marRight w:val="0"/>
          <w:marTop w:val="0"/>
          <w:marBottom w:val="0"/>
          <w:divBdr>
            <w:top w:val="none" w:sz="0" w:space="0" w:color="auto"/>
            <w:left w:val="none" w:sz="0" w:space="0" w:color="auto"/>
            <w:bottom w:val="none" w:sz="0" w:space="0" w:color="auto"/>
            <w:right w:val="none" w:sz="0" w:space="0" w:color="auto"/>
          </w:divBdr>
          <w:divsChild>
            <w:div w:id="636837788">
              <w:marLeft w:val="0"/>
              <w:marRight w:val="0"/>
              <w:marTop w:val="0"/>
              <w:marBottom w:val="0"/>
              <w:divBdr>
                <w:top w:val="none" w:sz="0" w:space="0" w:color="auto"/>
                <w:left w:val="none" w:sz="0" w:space="0" w:color="auto"/>
                <w:bottom w:val="none" w:sz="0" w:space="0" w:color="auto"/>
                <w:right w:val="none" w:sz="0" w:space="0" w:color="auto"/>
              </w:divBdr>
            </w:div>
          </w:divsChild>
        </w:div>
        <w:div w:id="392965605">
          <w:marLeft w:val="0"/>
          <w:marRight w:val="0"/>
          <w:marTop w:val="0"/>
          <w:marBottom w:val="0"/>
          <w:divBdr>
            <w:top w:val="none" w:sz="0" w:space="0" w:color="auto"/>
            <w:left w:val="none" w:sz="0" w:space="0" w:color="auto"/>
            <w:bottom w:val="none" w:sz="0" w:space="0" w:color="auto"/>
            <w:right w:val="none" w:sz="0" w:space="0" w:color="auto"/>
          </w:divBdr>
          <w:divsChild>
            <w:div w:id="191572201">
              <w:marLeft w:val="0"/>
              <w:marRight w:val="0"/>
              <w:marTop w:val="0"/>
              <w:marBottom w:val="0"/>
              <w:divBdr>
                <w:top w:val="none" w:sz="0" w:space="0" w:color="auto"/>
                <w:left w:val="none" w:sz="0" w:space="0" w:color="auto"/>
                <w:bottom w:val="none" w:sz="0" w:space="0" w:color="auto"/>
                <w:right w:val="none" w:sz="0" w:space="0" w:color="auto"/>
              </w:divBdr>
            </w:div>
          </w:divsChild>
        </w:div>
        <w:div w:id="399792160">
          <w:marLeft w:val="0"/>
          <w:marRight w:val="0"/>
          <w:marTop w:val="0"/>
          <w:marBottom w:val="0"/>
          <w:divBdr>
            <w:top w:val="none" w:sz="0" w:space="0" w:color="auto"/>
            <w:left w:val="none" w:sz="0" w:space="0" w:color="auto"/>
            <w:bottom w:val="none" w:sz="0" w:space="0" w:color="auto"/>
            <w:right w:val="none" w:sz="0" w:space="0" w:color="auto"/>
          </w:divBdr>
          <w:divsChild>
            <w:div w:id="2049330339">
              <w:marLeft w:val="0"/>
              <w:marRight w:val="0"/>
              <w:marTop w:val="0"/>
              <w:marBottom w:val="0"/>
              <w:divBdr>
                <w:top w:val="none" w:sz="0" w:space="0" w:color="auto"/>
                <w:left w:val="none" w:sz="0" w:space="0" w:color="auto"/>
                <w:bottom w:val="none" w:sz="0" w:space="0" w:color="auto"/>
                <w:right w:val="none" w:sz="0" w:space="0" w:color="auto"/>
              </w:divBdr>
            </w:div>
          </w:divsChild>
        </w:div>
        <w:div w:id="446236105">
          <w:marLeft w:val="0"/>
          <w:marRight w:val="0"/>
          <w:marTop w:val="0"/>
          <w:marBottom w:val="0"/>
          <w:divBdr>
            <w:top w:val="none" w:sz="0" w:space="0" w:color="auto"/>
            <w:left w:val="none" w:sz="0" w:space="0" w:color="auto"/>
            <w:bottom w:val="none" w:sz="0" w:space="0" w:color="auto"/>
            <w:right w:val="none" w:sz="0" w:space="0" w:color="auto"/>
          </w:divBdr>
          <w:divsChild>
            <w:div w:id="1369571776">
              <w:marLeft w:val="0"/>
              <w:marRight w:val="0"/>
              <w:marTop w:val="0"/>
              <w:marBottom w:val="0"/>
              <w:divBdr>
                <w:top w:val="none" w:sz="0" w:space="0" w:color="auto"/>
                <w:left w:val="none" w:sz="0" w:space="0" w:color="auto"/>
                <w:bottom w:val="none" w:sz="0" w:space="0" w:color="auto"/>
                <w:right w:val="none" w:sz="0" w:space="0" w:color="auto"/>
              </w:divBdr>
            </w:div>
          </w:divsChild>
        </w:div>
        <w:div w:id="486214486">
          <w:marLeft w:val="0"/>
          <w:marRight w:val="0"/>
          <w:marTop w:val="0"/>
          <w:marBottom w:val="0"/>
          <w:divBdr>
            <w:top w:val="none" w:sz="0" w:space="0" w:color="auto"/>
            <w:left w:val="none" w:sz="0" w:space="0" w:color="auto"/>
            <w:bottom w:val="none" w:sz="0" w:space="0" w:color="auto"/>
            <w:right w:val="none" w:sz="0" w:space="0" w:color="auto"/>
          </w:divBdr>
          <w:divsChild>
            <w:div w:id="374429473">
              <w:marLeft w:val="0"/>
              <w:marRight w:val="0"/>
              <w:marTop w:val="0"/>
              <w:marBottom w:val="0"/>
              <w:divBdr>
                <w:top w:val="none" w:sz="0" w:space="0" w:color="auto"/>
                <w:left w:val="none" w:sz="0" w:space="0" w:color="auto"/>
                <w:bottom w:val="none" w:sz="0" w:space="0" w:color="auto"/>
                <w:right w:val="none" w:sz="0" w:space="0" w:color="auto"/>
              </w:divBdr>
            </w:div>
          </w:divsChild>
        </w:div>
        <w:div w:id="490022417">
          <w:marLeft w:val="0"/>
          <w:marRight w:val="0"/>
          <w:marTop w:val="0"/>
          <w:marBottom w:val="0"/>
          <w:divBdr>
            <w:top w:val="none" w:sz="0" w:space="0" w:color="auto"/>
            <w:left w:val="none" w:sz="0" w:space="0" w:color="auto"/>
            <w:bottom w:val="none" w:sz="0" w:space="0" w:color="auto"/>
            <w:right w:val="none" w:sz="0" w:space="0" w:color="auto"/>
          </w:divBdr>
          <w:divsChild>
            <w:div w:id="461047509">
              <w:marLeft w:val="0"/>
              <w:marRight w:val="0"/>
              <w:marTop w:val="0"/>
              <w:marBottom w:val="0"/>
              <w:divBdr>
                <w:top w:val="none" w:sz="0" w:space="0" w:color="auto"/>
                <w:left w:val="none" w:sz="0" w:space="0" w:color="auto"/>
                <w:bottom w:val="none" w:sz="0" w:space="0" w:color="auto"/>
                <w:right w:val="none" w:sz="0" w:space="0" w:color="auto"/>
              </w:divBdr>
            </w:div>
          </w:divsChild>
        </w:div>
        <w:div w:id="493381750">
          <w:marLeft w:val="0"/>
          <w:marRight w:val="0"/>
          <w:marTop w:val="0"/>
          <w:marBottom w:val="0"/>
          <w:divBdr>
            <w:top w:val="none" w:sz="0" w:space="0" w:color="auto"/>
            <w:left w:val="none" w:sz="0" w:space="0" w:color="auto"/>
            <w:bottom w:val="none" w:sz="0" w:space="0" w:color="auto"/>
            <w:right w:val="none" w:sz="0" w:space="0" w:color="auto"/>
          </w:divBdr>
          <w:divsChild>
            <w:div w:id="1511529151">
              <w:marLeft w:val="0"/>
              <w:marRight w:val="0"/>
              <w:marTop w:val="0"/>
              <w:marBottom w:val="0"/>
              <w:divBdr>
                <w:top w:val="none" w:sz="0" w:space="0" w:color="auto"/>
                <w:left w:val="none" w:sz="0" w:space="0" w:color="auto"/>
                <w:bottom w:val="none" w:sz="0" w:space="0" w:color="auto"/>
                <w:right w:val="none" w:sz="0" w:space="0" w:color="auto"/>
              </w:divBdr>
            </w:div>
          </w:divsChild>
        </w:div>
        <w:div w:id="493686416">
          <w:marLeft w:val="0"/>
          <w:marRight w:val="0"/>
          <w:marTop w:val="0"/>
          <w:marBottom w:val="0"/>
          <w:divBdr>
            <w:top w:val="none" w:sz="0" w:space="0" w:color="auto"/>
            <w:left w:val="none" w:sz="0" w:space="0" w:color="auto"/>
            <w:bottom w:val="none" w:sz="0" w:space="0" w:color="auto"/>
            <w:right w:val="none" w:sz="0" w:space="0" w:color="auto"/>
          </w:divBdr>
          <w:divsChild>
            <w:div w:id="634258243">
              <w:marLeft w:val="0"/>
              <w:marRight w:val="0"/>
              <w:marTop w:val="0"/>
              <w:marBottom w:val="0"/>
              <w:divBdr>
                <w:top w:val="none" w:sz="0" w:space="0" w:color="auto"/>
                <w:left w:val="none" w:sz="0" w:space="0" w:color="auto"/>
                <w:bottom w:val="none" w:sz="0" w:space="0" w:color="auto"/>
                <w:right w:val="none" w:sz="0" w:space="0" w:color="auto"/>
              </w:divBdr>
            </w:div>
          </w:divsChild>
        </w:div>
        <w:div w:id="510336227">
          <w:marLeft w:val="0"/>
          <w:marRight w:val="0"/>
          <w:marTop w:val="0"/>
          <w:marBottom w:val="0"/>
          <w:divBdr>
            <w:top w:val="none" w:sz="0" w:space="0" w:color="auto"/>
            <w:left w:val="none" w:sz="0" w:space="0" w:color="auto"/>
            <w:bottom w:val="none" w:sz="0" w:space="0" w:color="auto"/>
            <w:right w:val="none" w:sz="0" w:space="0" w:color="auto"/>
          </w:divBdr>
          <w:divsChild>
            <w:div w:id="760301077">
              <w:marLeft w:val="0"/>
              <w:marRight w:val="0"/>
              <w:marTop w:val="0"/>
              <w:marBottom w:val="0"/>
              <w:divBdr>
                <w:top w:val="none" w:sz="0" w:space="0" w:color="auto"/>
                <w:left w:val="none" w:sz="0" w:space="0" w:color="auto"/>
                <w:bottom w:val="none" w:sz="0" w:space="0" w:color="auto"/>
                <w:right w:val="none" w:sz="0" w:space="0" w:color="auto"/>
              </w:divBdr>
            </w:div>
          </w:divsChild>
        </w:div>
        <w:div w:id="530727590">
          <w:marLeft w:val="0"/>
          <w:marRight w:val="0"/>
          <w:marTop w:val="0"/>
          <w:marBottom w:val="0"/>
          <w:divBdr>
            <w:top w:val="none" w:sz="0" w:space="0" w:color="auto"/>
            <w:left w:val="none" w:sz="0" w:space="0" w:color="auto"/>
            <w:bottom w:val="none" w:sz="0" w:space="0" w:color="auto"/>
            <w:right w:val="none" w:sz="0" w:space="0" w:color="auto"/>
          </w:divBdr>
          <w:divsChild>
            <w:div w:id="756748917">
              <w:marLeft w:val="0"/>
              <w:marRight w:val="0"/>
              <w:marTop w:val="0"/>
              <w:marBottom w:val="0"/>
              <w:divBdr>
                <w:top w:val="none" w:sz="0" w:space="0" w:color="auto"/>
                <w:left w:val="none" w:sz="0" w:space="0" w:color="auto"/>
                <w:bottom w:val="none" w:sz="0" w:space="0" w:color="auto"/>
                <w:right w:val="none" w:sz="0" w:space="0" w:color="auto"/>
              </w:divBdr>
            </w:div>
          </w:divsChild>
        </w:div>
        <w:div w:id="534538758">
          <w:marLeft w:val="0"/>
          <w:marRight w:val="0"/>
          <w:marTop w:val="0"/>
          <w:marBottom w:val="0"/>
          <w:divBdr>
            <w:top w:val="none" w:sz="0" w:space="0" w:color="auto"/>
            <w:left w:val="none" w:sz="0" w:space="0" w:color="auto"/>
            <w:bottom w:val="none" w:sz="0" w:space="0" w:color="auto"/>
            <w:right w:val="none" w:sz="0" w:space="0" w:color="auto"/>
          </w:divBdr>
          <w:divsChild>
            <w:div w:id="386102167">
              <w:marLeft w:val="0"/>
              <w:marRight w:val="0"/>
              <w:marTop w:val="0"/>
              <w:marBottom w:val="0"/>
              <w:divBdr>
                <w:top w:val="none" w:sz="0" w:space="0" w:color="auto"/>
                <w:left w:val="none" w:sz="0" w:space="0" w:color="auto"/>
                <w:bottom w:val="none" w:sz="0" w:space="0" w:color="auto"/>
                <w:right w:val="none" w:sz="0" w:space="0" w:color="auto"/>
              </w:divBdr>
            </w:div>
          </w:divsChild>
        </w:div>
        <w:div w:id="538318672">
          <w:marLeft w:val="0"/>
          <w:marRight w:val="0"/>
          <w:marTop w:val="0"/>
          <w:marBottom w:val="0"/>
          <w:divBdr>
            <w:top w:val="none" w:sz="0" w:space="0" w:color="auto"/>
            <w:left w:val="none" w:sz="0" w:space="0" w:color="auto"/>
            <w:bottom w:val="none" w:sz="0" w:space="0" w:color="auto"/>
            <w:right w:val="none" w:sz="0" w:space="0" w:color="auto"/>
          </w:divBdr>
          <w:divsChild>
            <w:div w:id="225803874">
              <w:marLeft w:val="0"/>
              <w:marRight w:val="0"/>
              <w:marTop w:val="0"/>
              <w:marBottom w:val="0"/>
              <w:divBdr>
                <w:top w:val="none" w:sz="0" w:space="0" w:color="auto"/>
                <w:left w:val="none" w:sz="0" w:space="0" w:color="auto"/>
                <w:bottom w:val="none" w:sz="0" w:space="0" w:color="auto"/>
                <w:right w:val="none" w:sz="0" w:space="0" w:color="auto"/>
              </w:divBdr>
            </w:div>
          </w:divsChild>
        </w:div>
        <w:div w:id="568884033">
          <w:marLeft w:val="0"/>
          <w:marRight w:val="0"/>
          <w:marTop w:val="0"/>
          <w:marBottom w:val="0"/>
          <w:divBdr>
            <w:top w:val="none" w:sz="0" w:space="0" w:color="auto"/>
            <w:left w:val="none" w:sz="0" w:space="0" w:color="auto"/>
            <w:bottom w:val="none" w:sz="0" w:space="0" w:color="auto"/>
            <w:right w:val="none" w:sz="0" w:space="0" w:color="auto"/>
          </w:divBdr>
          <w:divsChild>
            <w:div w:id="1783723050">
              <w:marLeft w:val="0"/>
              <w:marRight w:val="0"/>
              <w:marTop w:val="0"/>
              <w:marBottom w:val="0"/>
              <w:divBdr>
                <w:top w:val="none" w:sz="0" w:space="0" w:color="auto"/>
                <w:left w:val="none" w:sz="0" w:space="0" w:color="auto"/>
                <w:bottom w:val="none" w:sz="0" w:space="0" w:color="auto"/>
                <w:right w:val="none" w:sz="0" w:space="0" w:color="auto"/>
              </w:divBdr>
            </w:div>
          </w:divsChild>
        </w:div>
        <w:div w:id="571161413">
          <w:marLeft w:val="0"/>
          <w:marRight w:val="0"/>
          <w:marTop w:val="0"/>
          <w:marBottom w:val="0"/>
          <w:divBdr>
            <w:top w:val="none" w:sz="0" w:space="0" w:color="auto"/>
            <w:left w:val="none" w:sz="0" w:space="0" w:color="auto"/>
            <w:bottom w:val="none" w:sz="0" w:space="0" w:color="auto"/>
            <w:right w:val="none" w:sz="0" w:space="0" w:color="auto"/>
          </w:divBdr>
          <w:divsChild>
            <w:div w:id="901672044">
              <w:marLeft w:val="0"/>
              <w:marRight w:val="0"/>
              <w:marTop w:val="0"/>
              <w:marBottom w:val="0"/>
              <w:divBdr>
                <w:top w:val="none" w:sz="0" w:space="0" w:color="auto"/>
                <w:left w:val="none" w:sz="0" w:space="0" w:color="auto"/>
                <w:bottom w:val="none" w:sz="0" w:space="0" w:color="auto"/>
                <w:right w:val="none" w:sz="0" w:space="0" w:color="auto"/>
              </w:divBdr>
            </w:div>
          </w:divsChild>
        </w:div>
        <w:div w:id="599873169">
          <w:marLeft w:val="0"/>
          <w:marRight w:val="0"/>
          <w:marTop w:val="0"/>
          <w:marBottom w:val="0"/>
          <w:divBdr>
            <w:top w:val="none" w:sz="0" w:space="0" w:color="auto"/>
            <w:left w:val="none" w:sz="0" w:space="0" w:color="auto"/>
            <w:bottom w:val="none" w:sz="0" w:space="0" w:color="auto"/>
            <w:right w:val="none" w:sz="0" w:space="0" w:color="auto"/>
          </w:divBdr>
          <w:divsChild>
            <w:div w:id="48386645">
              <w:marLeft w:val="0"/>
              <w:marRight w:val="0"/>
              <w:marTop w:val="0"/>
              <w:marBottom w:val="0"/>
              <w:divBdr>
                <w:top w:val="none" w:sz="0" w:space="0" w:color="auto"/>
                <w:left w:val="none" w:sz="0" w:space="0" w:color="auto"/>
                <w:bottom w:val="none" w:sz="0" w:space="0" w:color="auto"/>
                <w:right w:val="none" w:sz="0" w:space="0" w:color="auto"/>
              </w:divBdr>
            </w:div>
          </w:divsChild>
        </w:div>
        <w:div w:id="623777218">
          <w:marLeft w:val="0"/>
          <w:marRight w:val="0"/>
          <w:marTop w:val="0"/>
          <w:marBottom w:val="0"/>
          <w:divBdr>
            <w:top w:val="none" w:sz="0" w:space="0" w:color="auto"/>
            <w:left w:val="none" w:sz="0" w:space="0" w:color="auto"/>
            <w:bottom w:val="none" w:sz="0" w:space="0" w:color="auto"/>
            <w:right w:val="none" w:sz="0" w:space="0" w:color="auto"/>
          </w:divBdr>
          <w:divsChild>
            <w:div w:id="1208757325">
              <w:marLeft w:val="0"/>
              <w:marRight w:val="0"/>
              <w:marTop w:val="0"/>
              <w:marBottom w:val="0"/>
              <w:divBdr>
                <w:top w:val="none" w:sz="0" w:space="0" w:color="auto"/>
                <w:left w:val="none" w:sz="0" w:space="0" w:color="auto"/>
                <w:bottom w:val="none" w:sz="0" w:space="0" w:color="auto"/>
                <w:right w:val="none" w:sz="0" w:space="0" w:color="auto"/>
              </w:divBdr>
            </w:div>
          </w:divsChild>
        </w:div>
        <w:div w:id="642194487">
          <w:marLeft w:val="0"/>
          <w:marRight w:val="0"/>
          <w:marTop w:val="0"/>
          <w:marBottom w:val="0"/>
          <w:divBdr>
            <w:top w:val="none" w:sz="0" w:space="0" w:color="auto"/>
            <w:left w:val="none" w:sz="0" w:space="0" w:color="auto"/>
            <w:bottom w:val="none" w:sz="0" w:space="0" w:color="auto"/>
            <w:right w:val="none" w:sz="0" w:space="0" w:color="auto"/>
          </w:divBdr>
          <w:divsChild>
            <w:div w:id="1216313410">
              <w:marLeft w:val="0"/>
              <w:marRight w:val="0"/>
              <w:marTop w:val="0"/>
              <w:marBottom w:val="0"/>
              <w:divBdr>
                <w:top w:val="none" w:sz="0" w:space="0" w:color="auto"/>
                <w:left w:val="none" w:sz="0" w:space="0" w:color="auto"/>
                <w:bottom w:val="none" w:sz="0" w:space="0" w:color="auto"/>
                <w:right w:val="none" w:sz="0" w:space="0" w:color="auto"/>
              </w:divBdr>
            </w:div>
          </w:divsChild>
        </w:div>
        <w:div w:id="649361642">
          <w:marLeft w:val="0"/>
          <w:marRight w:val="0"/>
          <w:marTop w:val="0"/>
          <w:marBottom w:val="0"/>
          <w:divBdr>
            <w:top w:val="none" w:sz="0" w:space="0" w:color="auto"/>
            <w:left w:val="none" w:sz="0" w:space="0" w:color="auto"/>
            <w:bottom w:val="none" w:sz="0" w:space="0" w:color="auto"/>
            <w:right w:val="none" w:sz="0" w:space="0" w:color="auto"/>
          </w:divBdr>
          <w:divsChild>
            <w:div w:id="1489323267">
              <w:marLeft w:val="0"/>
              <w:marRight w:val="0"/>
              <w:marTop w:val="0"/>
              <w:marBottom w:val="0"/>
              <w:divBdr>
                <w:top w:val="none" w:sz="0" w:space="0" w:color="auto"/>
                <w:left w:val="none" w:sz="0" w:space="0" w:color="auto"/>
                <w:bottom w:val="none" w:sz="0" w:space="0" w:color="auto"/>
                <w:right w:val="none" w:sz="0" w:space="0" w:color="auto"/>
              </w:divBdr>
            </w:div>
          </w:divsChild>
        </w:div>
        <w:div w:id="651371186">
          <w:marLeft w:val="0"/>
          <w:marRight w:val="0"/>
          <w:marTop w:val="0"/>
          <w:marBottom w:val="0"/>
          <w:divBdr>
            <w:top w:val="none" w:sz="0" w:space="0" w:color="auto"/>
            <w:left w:val="none" w:sz="0" w:space="0" w:color="auto"/>
            <w:bottom w:val="none" w:sz="0" w:space="0" w:color="auto"/>
            <w:right w:val="none" w:sz="0" w:space="0" w:color="auto"/>
          </w:divBdr>
          <w:divsChild>
            <w:div w:id="350424933">
              <w:marLeft w:val="0"/>
              <w:marRight w:val="0"/>
              <w:marTop w:val="0"/>
              <w:marBottom w:val="0"/>
              <w:divBdr>
                <w:top w:val="none" w:sz="0" w:space="0" w:color="auto"/>
                <w:left w:val="none" w:sz="0" w:space="0" w:color="auto"/>
                <w:bottom w:val="none" w:sz="0" w:space="0" w:color="auto"/>
                <w:right w:val="none" w:sz="0" w:space="0" w:color="auto"/>
              </w:divBdr>
            </w:div>
          </w:divsChild>
        </w:div>
        <w:div w:id="656610151">
          <w:marLeft w:val="0"/>
          <w:marRight w:val="0"/>
          <w:marTop w:val="0"/>
          <w:marBottom w:val="0"/>
          <w:divBdr>
            <w:top w:val="none" w:sz="0" w:space="0" w:color="auto"/>
            <w:left w:val="none" w:sz="0" w:space="0" w:color="auto"/>
            <w:bottom w:val="none" w:sz="0" w:space="0" w:color="auto"/>
            <w:right w:val="none" w:sz="0" w:space="0" w:color="auto"/>
          </w:divBdr>
          <w:divsChild>
            <w:div w:id="393895003">
              <w:marLeft w:val="0"/>
              <w:marRight w:val="0"/>
              <w:marTop w:val="0"/>
              <w:marBottom w:val="0"/>
              <w:divBdr>
                <w:top w:val="none" w:sz="0" w:space="0" w:color="auto"/>
                <w:left w:val="none" w:sz="0" w:space="0" w:color="auto"/>
                <w:bottom w:val="none" w:sz="0" w:space="0" w:color="auto"/>
                <w:right w:val="none" w:sz="0" w:space="0" w:color="auto"/>
              </w:divBdr>
            </w:div>
          </w:divsChild>
        </w:div>
        <w:div w:id="663825754">
          <w:marLeft w:val="0"/>
          <w:marRight w:val="0"/>
          <w:marTop w:val="0"/>
          <w:marBottom w:val="0"/>
          <w:divBdr>
            <w:top w:val="none" w:sz="0" w:space="0" w:color="auto"/>
            <w:left w:val="none" w:sz="0" w:space="0" w:color="auto"/>
            <w:bottom w:val="none" w:sz="0" w:space="0" w:color="auto"/>
            <w:right w:val="none" w:sz="0" w:space="0" w:color="auto"/>
          </w:divBdr>
          <w:divsChild>
            <w:div w:id="1792019551">
              <w:marLeft w:val="0"/>
              <w:marRight w:val="0"/>
              <w:marTop w:val="0"/>
              <w:marBottom w:val="0"/>
              <w:divBdr>
                <w:top w:val="none" w:sz="0" w:space="0" w:color="auto"/>
                <w:left w:val="none" w:sz="0" w:space="0" w:color="auto"/>
                <w:bottom w:val="none" w:sz="0" w:space="0" w:color="auto"/>
                <w:right w:val="none" w:sz="0" w:space="0" w:color="auto"/>
              </w:divBdr>
            </w:div>
          </w:divsChild>
        </w:div>
        <w:div w:id="697238570">
          <w:marLeft w:val="0"/>
          <w:marRight w:val="0"/>
          <w:marTop w:val="0"/>
          <w:marBottom w:val="0"/>
          <w:divBdr>
            <w:top w:val="none" w:sz="0" w:space="0" w:color="auto"/>
            <w:left w:val="none" w:sz="0" w:space="0" w:color="auto"/>
            <w:bottom w:val="none" w:sz="0" w:space="0" w:color="auto"/>
            <w:right w:val="none" w:sz="0" w:space="0" w:color="auto"/>
          </w:divBdr>
          <w:divsChild>
            <w:div w:id="190846058">
              <w:marLeft w:val="0"/>
              <w:marRight w:val="0"/>
              <w:marTop w:val="0"/>
              <w:marBottom w:val="0"/>
              <w:divBdr>
                <w:top w:val="none" w:sz="0" w:space="0" w:color="auto"/>
                <w:left w:val="none" w:sz="0" w:space="0" w:color="auto"/>
                <w:bottom w:val="none" w:sz="0" w:space="0" w:color="auto"/>
                <w:right w:val="none" w:sz="0" w:space="0" w:color="auto"/>
              </w:divBdr>
            </w:div>
          </w:divsChild>
        </w:div>
        <w:div w:id="700983370">
          <w:marLeft w:val="0"/>
          <w:marRight w:val="0"/>
          <w:marTop w:val="0"/>
          <w:marBottom w:val="0"/>
          <w:divBdr>
            <w:top w:val="none" w:sz="0" w:space="0" w:color="auto"/>
            <w:left w:val="none" w:sz="0" w:space="0" w:color="auto"/>
            <w:bottom w:val="none" w:sz="0" w:space="0" w:color="auto"/>
            <w:right w:val="none" w:sz="0" w:space="0" w:color="auto"/>
          </w:divBdr>
          <w:divsChild>
            <w:div w:id="593518126">
              <w:marLeft w:val="0"/>
              <w:marRight w:val="0"/>
              <w:marTop w:val="0"/>
              <w:marBottom w:val="0"/>
              <w:divBdr>
                <w:top w:val="none" w:sz="0" w:space="0" w:color="auto"/>
                <w:left w:val="none" w:sz="0" w:space="0" w:color="auto"/>
                <w:bottom w:val="none" w:sz="0" w:space="0" w:color="auto"/>
                <w:right w:val="none" w:sz="0" w:space="0" w:color="auto"/>
              </w:divBdr>
            </w:div>
          </w:divsChild>
        </w:div>
        <w:div w:id="706491371">
          <w:marLeft w:val="0"/>
          <w:marRight w:val="0"/>
          <w:marTop w:val="0"/>
          <w:marBottom w:val="0"/>
          <w:divBdr>
            <w:top w:val="none" w:sz="0" w:space="0" w:color="auto"/>
            <w:left w:val="none" w:sz="0" w:space="0" w:color="auto"/>
            <w:bottom w:val="none" w:sz="0" w:space="0" w:color="auto"/>
            <w:right w:val="none" w:sz="0" w:space="0" w:color="auto"/>
          </w:divBdr>
          <w:divsChild>
            <w:div w:id="390229604">
              <w:marLeft w:val="0"/>
              <w:marRight w:val="0"/>
              <w:marTop w:val="0"/>
              <w:marBottom w:val="0"/>
              <w:divBdr>
                <w:top w:val="none" w:sz="0" w:space="0" w:color="auto"/>
                <w:left w:val="none" w:sz="0" w:space="0" w:color="auto"/>
                <w:bottom w:val="none" w:sz="0" w:space="0" w:color="auto"/>
                <w:right w:val="none" w:sz="0" w:space="0" w:color="auto"/>
              </w:divBdr>
            </w:div>
          </w:divsChild>
        </w:div>
        <w:div w:id="708916013">
          <w:marLeft w:val="0"/>
          <w:marRight w:val="0"/>
          <w:marTop w:val="0"/>
          <w:marBottom w:val="0"/>
          <w:divBdr>
            <w:top w:val="none" w:sz="0" w:space="0" w:color="auto"/>
            <w:left w:val="none" w:sz="0" w:space="0" w:color="auto"/>
            <w:bottom w:val="none" w:sz="0" w:space="0" w:color="auto"/>
            <w:right w:val="none" w:sz="0" w:space="0" w:color="auto"/>
          </w:divBdr>
          <w:divsChild>
            <w:div w:id="1588071292">
              <w:marLeft w:val="0"/>
              <w:marRight w:val="0"/>
              <w:marTop w:val="0"/>
              <w:marBottom w:val="0"/>
              <w:divBdr>
                <w:top w:val="none" w:sz="0" w:space="0" w:color="auto"/>
                <w:left w:val="none" w:sz="0" w:space="0" w:color="auto"/>
                <w:bottom w:val="none" w:sz="0" w:space="0" w:color="auto"/>
                <w:right w:val="none" w:sz="0" w:space="0" w:color="auto"/>
              </w:divBdr>
            </w:div>
          </w:divsChild>
        </w:div>
        <w:div w:id="715470514">
          <w:marLeft w:val="0"/>
          <w:marRight w:val="0"/>
          <w:marTop w:val="0"/>
          <w:marBottom w:val="0"/>
          <w:divBdr>
            <w:top w:val="none" w:sz="0" w:space="0" w:color="auto"/>
            <w:left w:val="none" w:sz="0" w:space="0" w:color="auto"/>
            <w:bottom w:val="none" w:sz="0" w:space="0" w:color="auto"/>
            <w:right w:val="none" w:sz="0" w:space="0" w:color="auto"/>
          </w:divBdr>
          <w:divsChild>
            <w:div w:id="440228631">
              <w:marLeft w:val="0"/>
              <w:marRight w:val="0"/>
              <w:marTop w:val="0"/>
              <w:marBottom w:val="0"/>
              <w:divBdr>
                <w:top w:val="none" w:sz="0" w:space="0" w:color="auto"/>
                <w:left w:val="none" w:sz="0" w:space="0" w:color="auto"/>
                <w:bottom w:val="none" w:sz="0" w:space="0" w:color="auto"/>
                <w:right w:val="none" w:sz="0" w:space="0" w:color="auto"/>
              </w:divBdr>
            </w:div>
          </w:divsChild>
        </w:div>
        <w:div w:id="742528458">
          <w:marLeft w:val="0"/>
          <w:marRight w:val="0"/>
          <w:marTop w:val="0"/>
          <w:marBottom w:val="0"/>
          <w:divBdr>
            <w:top w:val="none" w:sz="0" w:space="0" w:color="auto"/>
            <w:left w:val="none" w:sz="0" w:space="0" w:color="auto"/>
            <w:bottom w:val="none" w:sz="0" w:space="0" w:color="auto"/>
            <w:right w:val="none" w:sz="0" w:space="0" w:color="auto"/>
          </w:divBdr>
          <w:divsChild>
            <w:div w:id="1499349451">
              <w:marLeft w:val="0"/>
              <w:marRight w:val="0"/>
              <w:marTop w:val="0"/>
              <w:marBottom w:val="0"/>
              <w:divBdr>
                <w:top w:val="none" w:sz="0" w:space="0" w:color="auto"/>
                <w:left w:val="none" w:sz="0" w:space="0" w:color="auto"/>
                <w:bottom w:val="none" w:sz="0" w:space="0" w:color="auto"/>
                <w:right w:val="none" w:sz="0" w:space="0" w:color="auto"/>
              </w:divBdr>
            </w:div>
          </w:divsChild>
        </w:div>
        <w:div w:id="790904483">
          <w:marLeft w:val="0"/>
          <w:marRight w:val="0"/>
          <w:marTop w:val="0"/>
          <w:marBottom w:val="0"/>
          <w:divBdr>
            <w:top w:val="none" w:sz="0" w:space="0" w:color="auto"/>
            <w:left w:val="none" w:sz="0" w:space="0" w:color="auto"/>
            <w:bottom w:val="none" w:sz="0" w:space="0" w:color="auto"/>
            <w:right w:val="none" w:sz="0" w:space="0" w:color="auto"/>
          </w:divBdr>
          <w:divsChild>
            <w:div w:id="1968655346">
              <w:marLeft w:val="0"/>
              <w:marRight w:val="0"/>
              <w:marTop w:val="0"/>
              <w:marBottom w:val="0"/>
              <w:divBdr>
                <w:top w:val="none" w:sz="0" w:space="0" w:color="auto"/>
                <w:left w:val="none" w:sz="0" w:space="0" w:color="auto"/>
                <w:bottom w:val="none" w:sz="0" w:space="0" w:color="auto"/>
                <w:right w:val="none" w:sz="0" w:space="0" w:color="auto"/>
              </w:divBdr>
            </w:div>
          </w:divsChild>
        </w:div>
        <w:div w:id="794981041">
          <w:marLeft w:val="0"/>
          <w:marRight w:val="0"/>
          <w:marTop w:val="0"/>
          <w:marBottom w:val="0"/>
          <w:divBdr>
            <w:top w:val="none" w:sz="0" w:space="0" w:color="auto"/>
            <w:left w:val="none" w:sz="0" w:space="0" w:color="auto"/>
            <w:bottom w:val="none" w:sz="0" w:space="0" w:color="auto"/>
            <w:right w:val="none" w:sz="0" w:space="0" w:color="auto"/>
          </w:divBdr>
          <w:divsChild>
            <w:div w:id="536740605">
              <w:marLeft w:val="0"/>
              <w:marRight w:val="0"/>
              <w:marTop w:val="0"/>
              <w:marBottom w:val="0"/>
              <w:divBdr>
                <w:top w:val="none" w:sz="0" w:space="0" w:color="auto"/>
                <w:left w:val="none" w:sz="0" w:space="0" w:color="auto"/>
                <w:bottom w:val="none" w:sz="0" w:space="0" w:color="auto"/>
                <w:right w:val="none" w:sz="0" w:space="0" w:color="auto"/>
              </w:divBdr>
            </w:div>
          </w:divsChild>
        </w:div>
        <w:div w:id="796529356">
          <w:marLeft w:val="0"/>
          <w:marRight w:val="0"/>
          <w:marTop w:val="0"/>
          <w:marBottom w:val="0"/>
          <w:divBdr>
            <w:top w:val="none" w:sz="0" w:space="0" w:color="auto"/>
            <w:left w:val="none" w:sz="0" w:space="0" w:color="auto"/>
            <w:bottom w:val="none" w:sz="0" w:space="0" w:color="auto"/>
            <w:right w:val="none" w:sz="0" w:space="0" w:color="auto"/>
          </w:divBdr>
          <w:divsChild>
            <w:div w:id="614286258">
              <w:marLeft w:val="0"/>
              <w:marRight w:val="0"/>
              <w:marTop w:val="0"/>
              <w:marBottom w:val="0"/>
              <w:divBdr>
                <w:top w:val="none" w:sz="0" w:space="0" w:color="auto"/>
                <w:left w:val="none" w:sz="0" w:space="0" w:color="auto"/>
                <w:bottom w:val="none" w:sz="0" w:space="0" w:color="auto"/>
                <w:right w:val="none" w:sz="0" w:space="0" w:color="auto"/>
              </w:divBdr>
            </w:div>
          </w:divsChild>
        </w:div>
        <w:div w:id="801118671">
          <w:marLeft w:val="0"/>
          <w:marRight w:val="0"/>
          <w:marTop w:val="0"/>
          <w:marBottom w:val="0"/>
          <w:divBdr>
            <w:top w:val="none" w:sz="0" w:space="0" w:color="auto"/>
            <w:left w:val="none" w:sz="0" w:space="0" w:color="auto"/>
            <w:bottom w:val="none" w:sz="0" w:space="0" w:color="auto"/>
            <w:right w:val="none" w:sz="0" w:space="0" w:color="auto"/>
          </w:divBdr>
          <w:divsChild>
            <w:div w:id="1075860347">
              <w:marLeft w:val="0"/>
              <w:marRight w:val="0"/>
              <w:marTop w:val="0"/>
              <w:marBottom w:val="0"/>
              <w:divBdr>
                <w:top w:val="none" w:sz="0" w:space="0" w:color="auto"/>
                <w:left w:val="none" w:sz="0" w:space="0" w:color="auto"/>
                <w:bottom w:val="none" w:sz="0" w:space="0" w:color="auto"/>
                <w:right w:val="none" w:sz="0" w:space="0" w:color="auto"/>
              </w:divBdr>
            </w:div>
          </w:divsChild>
        </w:div>
        <w:div w:id="842014460">
          <w:marLeft w:val="0"/>
          <w:marRight w:val="0"/>
          <w:marTop w:val="0"/>
          <w:marBottom w:val="0"/>
          <w:divBdr>
            <w:top w:val="none" w:sz="0" w:space="0" w:color="auto"/>
            <w:left w:val="none" w:sz="0" w:space="0" w:color="auto"/>
            <w:bottom w:val="none" w:sz="0" w:space="0" w:color="auto"/>
            <w:right w:val="none" w:sz="0" w:space="0" w:color="auto"/>
          </w:divBdr>
          <w:divsChild>
            <w:div w:id="2142384249">
              <w:marLeft w:val="0"/>
              <w:marRight w:val="0"/>
              <w:marTop w:val="0"/>
              <w:marBottom w:val="0"/>
              <w:divBdr>
                <w:top w:val="none" w:sz="0" w:space="0" w:color="auto"/>
                <w:left w:val="none" w:sz="0" w:space="0" w:color="auto"/>
                <w:bottom w:val="none" w:sz="0" w:space="0" w:color="auto"/>
                <w:right w:val="none" w:sz="0" w:space="0" w:color="auto"/>
              </w:divBdr>
            </w:div>
          </w:divsChild>
        </w:div>
        <w:div w:id="846794313">
          <w:marLeft w:val="0"/>
          <w:marRight w:val="0"/>
          <w:marTop w:val="0"/>
          <w:marBottom w:val="0"/>
          <w:divBdr>
            <w:top w:val="none" w:sz="0" w:space="0" w:color="auto"/>
            <w:left w:val="none" w:sz="0" w:space="0" w:color="auto"/>
            <w:bottom w:val="none" w:sz="0" w:space="0" w:color="auto"/>
            <w:right w:val="none" w:sz="0" w:space="0" w:color="auto"/>
          </w:divBdr>
          <w:divsChild>
            <w:div w:id="2028630572">
              <w:marLeft w:val="0"/>
              <w:marRight w:val="0"/>
              <w:marTop w:val="0"/>
              <w:marBottom w:val="0"/>
              <w:divBdr>
                <w:top w:val="none" w:sz="0" w:space="0" w:color="auto"/>
                <w:left w:val="none" w:sz="0" w:space="0" w:color="auto"/>
                <w:bottom w:val="none" w:sz="0" w:space="0" w:color="auto"/>
                <w:right w:val="none" w:sz="0" w:space="0" w:color="auto"/>
              </w:divBdr>
            </w:div>
          </w:divsChild>
        </w:div>
        <w:div w:id="846870694">
          <w:marLeft w:val="0"/>
          <w:marRight w:val="0"/>
          <w:marTop w:val="0"/>
          <w:marBottom w:val="0"/>
          <w:divBdr>
            <w:top w:val="none" w:sz="0" w:space="0" w:color="auto"/>
            <w:left w:val="none" w:sz="0" w:space="0" w:color="auto"/>
            <w:bottom w:val="none" w:sz="0" w:space="0" w:color="auto"/>
            <w:right w:val="none" w:sz="0" w:space="0" w:color="auto"/>
          </w:divBdr>
          <w:divsChild>
            <w:div w:id="2058966270">
              <w:marLeft w:val="0"/>
              <w:marRight w:val="0"/>
              <w:marTop w:val="0"/>
              <w:marBottom w:val="0"/>
              <w:divBdr>
                <w:top w:val="none" w:sz="0" w:space="0" w:color="auto"/>
                <w:left w:val="none" w:sz="0" w:space="0" w:color="auto"/>
                <w:bottom w:val="none" w:sz="0" w:space="0" w:color="auto"/>
                <w:right w:val="none" w:sz="0" w:space="0" w:color="auto"/>
              </w:divBdr>
            </w:div>
          </w:divsChild>
        </w:div>
        <w:div w:id="853424129">
          <w:marLeft w:val="0"/>
          <w:marRight w:val="0"/>
          <w:marTop w:val="0"/>
          <w:marBottom w:val="0"/>
          <w:divBdr>
            <w:top w:val="none" w:sz="0" w:space="0" w:color="auto"/>
            <w:left w:val="none" w:sz="0" w:space="0" w:color="auto"/>
            <w:bottom w:val="none" w:sz="0" w:space="0" w:color="auto"/>
            <w:right w:val="none" w:sz="0" w:space="0" w:color="auto"/>
          </w:divBdr>
          <w:divsChild>
            <w:div w:id="1431662558">
              <w:marLeft w:val="0"/>
              <w:marRight w:val="0"/>
              <w:marTop w:val="0"/>
              <w:marBottom w:val="0"/>
              <w:divBdr>
                <w:top w:val="none" w:sz="0" w:space="0" w:color="auto"/>
                <w:left w:val="none" w:sz="0" w:space="0" w:color="auto"/>
                <w:bottom w:val="none" w:sz="0" w:space="0" w:color="auto"/>
                <w:right w:val="none" w:sz="0" w:space="0" w:color="auto"/>
              </w:divBdr>
            </w:div>
          </w:divsChild>
        </w:div>
        <w:div w:id="917255447">
          <w:marLeft w:val="0"/>
          <w:marRight w:val="0"/>
          <w:marTop w:val="0"/>
          <w:marBottom w:val="0"/>
          <w:divBdr>
            <w:top w:val="none" w:sz="0" w:space="0" w:color="auto"/>
            <w:left w:val="none" w:sz="0" w:space="0" w:color="auto"/>
            <w:bottom w:val="none" w:sz="0" w:space="0" w:color="auto"/>
            <w:right w:val="none" w:sz="0" w:space="0" w:color="auto"/>
          </w:divBdr>
          <w:divsChild>
            <w:div w:id="1109546398">
              <w:marLeft w:val="0"/>
              <w:marRight w:val="0"/>
              <w:marTop w:val="0"/>
              <w:marBottom w:val="0"/>
              <w:divBdr>
                <w:top w:val="none" w:sz="0" w:space="0" w:color="auto"/>
                <w:left w:val="none" w:sz="0" w:space="0" w:color="auto"/>
                <w:bottom w:val="none" w:sz="0" w:space="0" w:color="auto"/>
                <w:right w:val="none" w:sz="0" w:space="0" w:color="auto"/>
              </w:divBdr>
            </w:div>
          </w:divsChild>
        </w:div>
        <w:div w:id="930283687">
          <w:marLeft w:val="0"/>
          <w:marRight w:val="0"/>
          <w:marTop w:val="0"/>
          <w:marBottom w:val="0"/>
          <w:divBdr>
            <w:top w:val="none" w:sz="0" w:space="0" w:color="auto"/>
            <w:left w:val="none" w:sz="0" w:space="0" w:color="auto"/>
            <w:bottom w:val="none" w:sz="0" w:space="0" w:color="auto"/>
            <w:right w:val="none" w:sz="0" w:space="0" w:color="auto"/>
          </w:divBdr>
          <w:divsChild>
            <w:div w:id="1591160236">
              <w:marLeft w:val="0"/>
              <w:marRight w:val="0"/>
              <w:marTop w:val="0"/>
              <w:marBottom w:val="0"/>
              <w:divBdr>
                <w:top w:val="none" w:sz="0" w:space="0" w:color="auto"/>
                <w:left w:val="none" w:sz="0" w:space="0" w:color="auto"/>
                <w:bottom w:val="none" w:sz="0" w:space="0" w:color="auto"/>
                <w:right w:val="none" w:sz="0" w:space="0" w:color="auto"/>
              </w:divBdr>
            </w:div>
          </w:divsChild>
        </w:div>
        <w:div w:id="950938325">
          <w:marLeft w:val="0"/>
          <w:marRight w:val="0"/>
          <w:marTop w:val="0"/>
          <w:marBottom w:val="0"/>
          <w:divBdr>
            <w:top w:val="none" w:sz="0" w:space="0" w:color="auto"/>
            <w:left w:val="none" w:sz="0" w:space="0" w:color="auto"/>
            <w:bottom w:val="none" w:sz="0" w:space="0" w:color="auto"/>
            <w:right w:val="none" w:sz="0" w:space="0" w:color="auto"/>
          </w:divBdr>
          <w:divsChild>
            <w:div w:id="309553865">
              <w:marLeft w:val="0"/>
              <w:marRight w:val="0"/>
              <w:marTop w:val="0"/>
              <w:marBottom w:val="0"/>
              <w:divBdr>
                <w:top w:val="none" w:sz="0" w:space="0" w:color="auto"/>
                <w:left w:val="none" w:sz="0" w:space="0" w:color="auto"/>
                <w:bottom w:val="none" w:sz="0" w:space="0" w:color="auto"/>
                <w:right w:val="none" w:sz="0" w:space="0" w:color="auto"/>
              </w:divBdr>
            </w:div>
          </w:divsChild>
        </w:div>
        <w:div w:id="991564355">
          <w:marLeft w:val="0"/>
          <w:marRight w:val="0"/>
          <w:marTop w:val="0"/>
          <w:marBottom w:val="0"/>
          <w:divBdr>
            <w:top w:val="none" w:sz="0" w:space="0" w:color="auto"/>
            <w:left w:val="none" w:sz="0" w:space="0" w:color="auto"/>
            <w:bottom w:val="none" w:sz="0" w:space="0" w:color="auto"/>
            <w:right w:val="none" w:sz="0" w:space="0" w:color="auto"/>
          </w:divBdr>
          <w:divsChild>
            <w:div w:id="2043675293">
              <w:marLeft w:val="0"/>
              <w:marRight w:val="0"/>
              <w:marTop w:val="0"/>
              <w:marBottom w:val="0"/>
              <w:divBdr>
                <w:top w:val="none" w:sz="0" w:space="0" w:color="auto"/>
                <w:left w:val="none" w:sz="0" w:space="0" w:color="auto"/>
                <w:bottom w:val="none" w:sz="0" w:space="0" w:color="auto"/>
                <w:right w:val="none" w:sz="0" w:space="0" w:color="auto"/>
              </w:divBdr>
            </w:div>
          </w:divsChild>
        </w:div>
        <w:div w:id="998921952">
          <w:marLeft w:val="0"/>
          <w:marRight w:val="0"/>
          <w:marTop w:val="0"/>
          <w:marBottom w:val="0"/>
          <w:divBdr>
            <w:top w:val="none" w:sz="0" w:space="0" w:color="auto"/>
            <w:left w:val="none" w:sz="0" w:space="0" w:color="auto"/>
            <w:bottom w:val="none" w:sz="0" w:space="0" w:color="auto"/>
            <w:right w:val="none" w:sz="0" w:space="0" w:color="auto"/>
          </w:divBdr>
          <w:divsChild>
            <w:div w:id="1822430324">
              <w:marLeft w:val="0"/>
              <w:marRight w:val="0"/>
              <w:marTop w:val="0"/>
              <w:marBottom w:val="0"/>
              <w:divBdr>
                <w:top w:val="none" w:sz="0" w:space="0" w:color="auto"/>
                <w:left w:val="none" w:sz="0" w:space="0" w:color="auto"/>
                <w:bottom w:val="none" w:sz="0" w:space="0" w:color="auto"/>
                <w:right w:val="none" w:sz="0" w:space="0" w:color="auto"/>
              </w:divBdr>
            </w:div>
          </w:divsChild>
        </w:div>
        <w:div w:id="1011683975">
          <w:marLeft w:val="0"/>
          <w:marRight w:val="0"/>
          <w:marTop w:val="0"/>
          <w:marBottom w:val="0"/>
          <w:divBdr>
            <w:top w:val="none" w:sz="0" w:space="0" w:color="auto"/>
            <w:left w:val="none" w:sz="0" w:space="0" w:color="auto"/>
            <w:bottom w:val="none" w:sz="0" w:space="0" w:color="auto"/>
            <w:right w:val="none" w:sz="0" w:space="0" w:color="auto"/>
          </w:divBdr>
          <w:divsChild>
            <w:div w:id="1583291115">
              <w:marLeft w:val="0"/>
              <w:marRight w:val="0"/>
              <w:marTop w:val="0"/>
              <w:marBottom w:val="0"/>
              <w:divBdr>
                <w:top w:val="none" w:sz="0" w:space="0" w:color="auto"/>
                <w:left w:val="none" w:sz="0" w:space="0" w:color="auto"/>
                <w:bottom w:val="none" w:sz="0" w:space="0" w:color="auto"/>
                <w:right w:val="none" w:sz="0" w:space="0" w:color="auto"/>
              </w:divBdr>
            </w:div>
          </w:divsChild>
        </w:div>
        <w:div w:id="1019160008">
          <w:marLeft w:val="0"/>
          <w:marRight w:val="0"/>
          <w:marTop w:val="0"/>
          <w:marBottom w:val="0"/>
          <w:divBdr>
            <w:top w:val="none" w:sz="0" w:space="0" w:color="auto"/>
            <w:left w:val="none" w:sz="0" w:space="0" w:color="auto"/>
            <w:bottom w:val="none" w:sz="0" w:space="0" w:color="auto"/>
            <w:right w:val="none" w:sz="0" w:space="0" w:color="auto"/>
          </w:divBdr>
          <w:divsChild>
            <w:div w:id="2018387792">
              <w:marLeft w:val="0"/>
              <w:marRight w:val="0"/>
              <w:marTop w:val="0"/>
              <w:marBottom w:val="0"/>
              <w:divBdr>
                <w:top w:val="none" w:sz="0" w:space="0" w:color="auto"/>
                <w:left w:val="none" w:sz="0" w:space="0" w:color="auto"/>
                <w:bottom w:val="none" w:sz="0" w:space="0" w:color="auto"/>
                <w:right w:val="none" w:sz="0" w:space="0" w:color="auto"/>
              </w:divBdr>
            </w:div>
          </w:divsChild>
        </w:div>
        <w:div w:id="1072120905">
          <w:marLeft w:val="0"/>
          <w:marRight w:val="0"/>
          <w:marTop w:val="0"/>
          <w:marBottom w:val="0"/>
          <w:divBdr>
            <w:top w:val="none" w:sz="0" w:space="0" w:color="auto"/>
            <w:left w:val="none" w:sz="0" w:space="0" w:color="auto"/>
            <w:bottom w:val="none" w:sz="0" w:space="0" w:color="auto"/>
            <w:right w:val="none" w:sz="0" w:space="0" w:color="auto"/>
          </w:divBdr>
          <w:divsChild>
            <w:div w:id="1874491689">
              <w:marLeft w:val="0"/>
              <w:marRight w:val="0"/>
              <w:marTop w:val="0"/>
              <w:marBottom w:val="0"/>
              <w:divBdr>
                <w:top w:val="none" w:sz="0" w:space="0" w:color="auto"/>
                <w:left w:val="none" w:sz="0" w:space="0" w:color="auto"/>
                <w:bottom w:val="none" w:sz="0" w:space="0" w:color="auto"/>
                <w:right w:val="none" w:sz="0" w:space="0" w:color="auto"/>
              </w:divBdr>
            </w:div>
          </w:divsChild>
        </w:div>
        <w:div w:id="1099638409">
          <w:marLeft w:val="0"/>
          <w:marRight w:val="0"/>
          <w:marTop w:val="0"/>
          <w:marBottom w:val="0"/>
          <w:divBdr>
            <w:top w:val="none" w:sz="0" w:space="0" w:color="auto"/>
            <w:left w:val="none" w:sz="0" w:space="0" w:color="auto"/>
            <w:bottom w:val="none" w:sz="0" w:space="0" w:color="auto"/>
            <w:right w:val="none" w:sz="0" w:space="0" w:color="auto"/>
          </w:divBdr>
          <w:divsChild>
            <w:div w:id="1228800756">
              <w:marLeft w:val="0"/>
              <w:marRight w:val="0"/>
              <w:marTop w:val="0"/>
              <w:marBottom w:val="0"/>
              <w:divBdr>
                <w:top w:val="none" w:sz="0" w:space="0" w:color="auto"/>
                <w:left w:val="none" w:sz="0" w:space="0" w:color="auto"/>
                <w:bottom w:val="none" w:sz="0" w:space="0" w:color="auto"/>
                <w:right w:val="none" w:sz="0" w:space="0" w:color="auto"/>
              </w:divBdr>
            </w:div>
          </w:divsChild>
        </w:div>
        <w:div w:id="1105492624">
          <w:marLeft w:val="0"/>
          <w:marRight w:val="0"/>
          <w:marTop w:val="0"/>
          <w:marBottom w:val="0"/>
          <w:divBdr>
            <w:top w:val="none" w:sz="0" w:space="0" w:color="auto"/>
            <w:left w:val="none" w:sz="0" w:space="0" w:color="auto"/>
            <w:bottom w:val="none" w:sz="0" w:space="0" w:color="auto"/>
            <w:right w:val="none" w:sz="0" w:space="0" w:color="auto"/>
          </w:divBdr>
          <w:divsChild>
            <w:div w:id="1870411511">
              <w:marLeft w:val="0"/>
              <w:marRight w:val="0"/>
              <w:marTop w:val="0"/>
              <w:marBottom w:val="0"/>
              <w:divBdr>
                <w:top w:val="none" w:sz="0" w:space="0" w:color="auto"/>
                <w:left w:val="none" w:sz="0" w:space="0" w:color="auto"/>
                <w:bottom w:val="none" w:sz="0" w:space="0" w:color="auto"/>
                <w:right w:val="none" w:sz="0" w:space="0" w:color="auto"/>
              </w:divBdr>
            </w:div>
          </w:divsChild>
        </w:div>
        <w:div w:id="1120226788">
          <w:marLeft w:val="0"/>
          <w:marRight w:val="0"/>
          <w:marTop w:val="0"/>
          <w:marBottom w:val="0"/>
          <w:divBdr>
            <w:top w:val="none" w:sz="0" w:space="0" w:color="auto"/>
            <w:left w:val="none" w:sz="0" w:space="0" w:color="auto"/>
            <w:bottom w:val="none" w:sz="0" w:space="0" w:color="auto"/>
            <w:right w:val="none" w:sz="0" w:space="0" w:color="auto"/>
          </w:divBdr>
          <w:divsChild>
            <w:div w:id="10960689">
              <w:marLeft w:val="0"/>
              <w:marRight w:val="0"/>
              <w:marTop w:val="0"/>
              <w:marBottom w:val="0"/>
              <w:divBdr>
                <w:top w:val="none" w:sz="0" w:space="0" w:color="auto"/>
                <w:left w:val="none" w:sz="0" w:space="0" w:color="auto"/>
                <w:bottom w:val="none" w:sz="0" w:space="0" w:color="auto"/>
                <w:right w:val="none" w:sz="0" w:space="0" w:color="auto"/>
              </w:divBdr>
            </w:div>
          </w:divsChild>
        </w:div>
        <w:div w:id="1128427157">
          <w:marLeft w:val="0"/>
          <w:marRight w:val="0"/>
          <w:marTop w:val="0"/>
          <w:marBottom w:val="0"/>
          <w:divBdr>
            <w:top w:val="none" w:sz="0" w:space="0" w:color="auto"/>
            <w:left w:val="none" w:sz="0" w:space="0" w:color="auto"/>
            <w:bottom w:val="none" w:sz="0" w:space="0" w:color="auto"/>
            <w:right w:val="none" w:sz="0" w:space="0" w:color="auto"/>
          </w:divBdr>
          <w:divsChild>
            <w:div w:id="1630277154">
              <w:marLeft w:val="0"/>
              <w:marRight w:val="0"/>
              <w:marTop w:val="0"/>
              <w:marBottom w:val="0"/>
              <w:divBdr>
                <w:top w:val="none" w:sz="0" w:space="0" w:color="auto"/>
                <w:left w:val="none" w:sz="0" w:space="0" w:color="auto"/>
                <w:bottom w:val="none" w:sz="0" w:space="0" w:color="auto"/>
                <w:right w:val="none" w:sz="0" w:space="0" w:color="auto"/>
              </w:divBdr>
            </w:div>
          </w:divsChild>
        </w:div>
        <w:div w:id="1146510620">
          <w:marLeft w:val="0"/>
          <w:marRight w:val="0"/>
          <w:marTop w:val="0"/>
          <w:marBottom w:val="0"/>
          <w:divBdr>
            <w:top w:val="none" w:sz="0" w:space="0" w:color="auto"/>
            <w:left w:val="none" w:sz="0" w:space="0" w:color="auto"/>
            <w:bottom w:val="none" w:sz="0" w:space="0" w:color="auto"/>
            <w:right w:val="none" w:sz="0" w:space="0" w:color="auto"/>
          </w:divBdr>
          <w:divsChild>
            <w:div w:id="57748078">
              <w:marLeft w:val="0"/>
              <w:marRight w:val="0"/>
              <w:marTop w:val="0"/>
              <w:marBottom w:val="0"/>
              <w:divBdr>
                <w:top w:val="none" w:sz="0" w:space="0" w:color="auto"/>
                <w:left w:val="none" w:sz="0" w:space="0" w:color="auto"/>
                <w:bottom w:val="none" w:sz="0" w:space="0" w:color="auto"/>
                <w:right w:val="none" w:sz="0" w:space="0" w:color="auto"/>
              </w:divBdr>
            </w:div>
          </w:divsChild>
        </w:div>
        <w:div w:id="1160928753">
          <w:marLeft w:val="0"/>
          <w:marRight w:val="0"/>
          <w:marTop w:val="0"/>
          <w:marBottom w:val="0"/>
          <w:divBdr>
            <w:top w:val="none" w:sz="0" w:space="0" w:color="auto"/>
            <w:left w:val="none" w:sz="0" w:space="0" w:color="auto"/>
            <w:bottom w:val="none" w:sz="0" w:space="0" w:color="auto"/>
            <w:right w:val="none" w:sz="0" w:space="0" w:color="auto"/>
          </w:divBdr>
          <w:divsChild>
            <w:div w:id="515733627">
              <w:marLeft w:val="0"/>
              <w:marRight w:val="0"/>
              <w:marTop w:val="0"/>
              <w:marBottom w:val="0"/>
              <w:divBdr>
                <w:top w:val="none" w:sz="0" w:space="0" w:color="auto"/>
                <w:left w:val="none" w:sz="0" w:space="0" w:color="auto"/>
                <w:bottom w:val="none" w:sz="0" w:space="0" w:color="auto"/>
                <w:right w:val="none" w:sz="0" w:space="0" w:color="auto"/>
              </w:divBdr>
            </w:div>
          </w:divsChild>
        </w:div>
        <w:div w:id="1161582904">
          <w:marLeft w:val="0"/>
          <w:marRight w:val="0"/>
          <w:marTop w:val="0"/>
          <w:marBottom w:val="0"/>
          <w:divBdr>
            <w:top w:val="none" w:sz="0" w:space="0" w:color="auto"/>
            <w:left w:val="none" w:sz="0" w:space="0" w:color="auto"/>
            <w:bottom w:val="none" w:sz="0" w:space="0" w:color="auto"/>
            <w:right w:val="none" w:sz="0" w:space="0" w:color="auto"/>
          </w:divBdr>
          <w:divsChild>
            <w:div w:id="1766150809">
              <w:marLeft w:val="0"/>
              <w:marRight w:val="0"/>
              <w:marTop w:val="0"/>
              <w:marBottom w:val="0"/>
              <w:divBdr>
                <w:top w:val="none" w:sz="0" w:space="0" w:color="auto"/>
                <w:left w:val="none" w:sz="0" w:space="0" w:color="auto"/>
                <w:bottom w:val="none" w:sz="0" w:space="0" w:color="auto"/>
                <w:right w:val="none" w:sz="0" w:space="0" w:color="auto"/>
              </w:divBdr>
            </w:div>
          </w:divsChild>
        </w:div>
        <w:div w:id="1163276460">
          <w:marLeft w:val="0"/>
          <w:marRight w:val="0"/>
          <w:marTop w:val="0"/>
          <w:marBottom w:val="0"/>
          <w:divBdr>
            <w:top w:val="none" w:sz="0" w:space="0" w:color="auto"/>
            <w:left w:val="none" w:sz="0" w:space="0" w:color="auto"/>
            <w:bottom w:val="none" w:sz="0" w:space="0" w:color="auto"/>
            <w:right w:val="none" w:sz="0" w:space="0" w:color="auto"/>
          </w:divBdr>
          <w:divsChild>
            <w:div w:id="1306618589">
              <w:marLeft w:val="0"/>
              <w:marRight w:val="0"/>
              <w:marTop w:val="0"/>
              <w:marBottom w:val="0"/>
              <w:divBdr>
                <w:top w:val="none" w:sz="0" w:space="0" w:color="auto"/>
                <w:left w:val="none" w:sz="0" w:space="0" w:color="auto"/>
                <w:bottom w:val="none" w:sz="0" w:space="0" w:color="auto"/>
                <w:right w:val="none" w:sz="0" w:space="0" w:color="auto"/>
              </w:divBdr>
            </w:div>
          </w:divsChild>
        </w:div>
        <w:div w:id="1165322999">
          <w:marLeft w:val="0"/>
          <w:marRight w:val="0"/>
          <w:marTop w:val="0"/>
          <w:marBottom w:val="0"/>
          <w:divBdr>
            <w:top w:val="none" w:sz="0" w:space="0" w:color="auto"/>
            <w:left w:val="none" w:sz="0" w:space="0" w:color="auto"/>
            <w:bottom w:val="none" w:sz="0" w:space="0" w:color="auto"/>
            <w:right w:val="none" w:sz="0" w:space="0" w:color="auto"/>
          </w:divBdr>
          <w:divsChild>
            <w:div w:id="879632395">
              <w:marLeft w:val="0"/>
              <w:marRight w:val="0"/>
              <w:marTop w:val="0"/>
              <w:marBottom w:val="0"/>
              <w:divBdr>
                <w:top w:val="none" w:sz="0" w:space="0" w:color="auto"/>
                <w:left w:val="none" w:sz="0" w:space="0" w:color="auto"/>
                <w:bottom w:val="none" w:sz="0" w:space="0" w:color="auto"/>
                <w:right w:val="none" w:sz="0" w:space="0" w:color="auto"/>
              </w:divBdr>
            </w:div>
          </w:divsChild>
        </w:div>
        <w:div w:id="1169950366">
          <w:marLeft w:val="0"/>
          <w:marRight w:val="0"/>
          <w:marTop w:val="0"/>
          <w:marBottom w:val="0"/>
          <w:divBdr>
            <w:top w:val="none" w:sz="0" w:space="0" w:color="auto"/>
            <w:left w:val="none" w:sz="0" w:space="0" w:color="auto"/>
            <w:bottom w:val="none" w:sz="0" w:space="0" w:color="auto"/>
            <w:right w:val="none" w:sz="0" w:space="0" w:color="auto"/>
          </w:divBdr>
          <w:divsChild>
            <w:div w:id="130707108">
              <w:marLeft w:val="0"/>
              <w:marRight w:val="0"/>
              <w:marTop w:val="0"/>
              <w:marBottom w:val="0"/>
              <w:divBdr>
                <w:top w:val="none" w:sz="0" w:space="0" w:color="auto"/>
                <w:left w:val="none" w:sz="0" w:space="0" w:color="auto"/>
                <w:bottom w:val="none" w:sz="0" w:space="0" w:color="auto"/>
                <w:right w:val="none" w:sz="0" w:space="0" w:color="auto"/>
              </w:divBdr>
            </w:div>
          </w:divsChild>
        </w:div>
        <w:div w:id="1183325215">
          <w:marLeft w:val="0"/>
          <w:marRight w:val="0"/>
          <w:marTop w:val="0"/>
          <w:marBottom w:val="0"/>
          <w:divBdr>
            <w:top w:val="none" w:sz="0" w:space="0" w:color="auto"/>
            <w:left w:val="none" w:sz="0" w:space="0" w:color="auto"/>
            <w:bottom w:val="none" w:sz="0" w:space="0" w:color="auto"/>
            <w:right w:val="none" w:sz="0" w:space="0" w:color="auto"/>
          </w:divBdr>
          <w:divsChild>
            <w:div w:id="1676419863">
              <w:marLeft w:val="0"/>
              <w:marRight w:val="0"/>
              <w:marTop w:val="0"/>
              <w:marBottom w:val="0"/>
              <w:divBdr>
                <w:top w:val="none" w:sz="0" w:space="0" w:color="auto"/>
                <w:left w:val="none" w:sz="0" w:space="0" w:color="auto"/>
                <w:bottom w:val="none" w:sz="0" w:space="0" w:color="auto"/>
                <w:right w:val="none" w:sz="0" w:space="0" w:color="auto"/>
              </w:divBdr>
            </w:div>
          </w:divsChild>
        </w:div>
        <w:div w:id="1184053699">
          <w:marLeft w:val="0"/>
          <w:marRight w:val="0"/>
          <w:marTop w:val="0"/>
          <w:marBottom w:val="0"/>
          <w:divBdr>
            <w:top w:val="none" w:sz="0" w:space="0" w:color="auto"/>
            <w:left w:val="none" w:sz="0" w:space="0" w:color="auto"/>
            <w:bottom w:val="none" w:sz="0" w:space="0" w:color="auto"/>
            <w:right w:val="none" w:sz="0" w:space="0" w:color="auto"/>
          </w:divBdr>
          <w:divsChild>
            <w:div w:id="465508148">
              <w:marLeft w:val="0"/>
              <w:marRight w:val="0"/>
              <w:marTop w:val="0"/>
              <w:marBottom w:val="0"/>
              <w:divBdr>
                <w:top w:val="none" w:sz="0" w:space="0" w:color="auto"/>
                <w:left w:val="none" w:sz="0" w:space="0" w:color="auto"/>
                <w:bottom w:val="none" w:sz="0" w:space="0" w:color="auto"/>
                <w:right w:val="none" w:sz="0" w:space="0" w:color="auto"/>
              </w:divBdr>
            </w:div>
          </w:divsChild>
        </w:div>
        <w:div w:id="1187594722">
          <w:marLeft w:val="0"/>
          <w:marRight w:val="0"/>
          <w:marTop w:val="0"/>
          <w:marBottom w:val="0"/>
          <w:divBdr>
            <w:top w:val="none" w:sz="0" w:space="0" w:color="auto"/>
            <w:left w:val="none" w:sz="0" w:space="0" w:color="auto"/>
            <w:bottom w:val="none" w:sz="0" w:space="0" w:color="auto"/>
            <w:right w:val="none" w:sz="0" w:space="0" w:color="auto"/>
          </w:divBdr>
          <w:divsChild>
            <w:div w:id="362098109">
              <w:marLeft w:val="0"/>
              <w:marRight w:val="0"/>
              <w:marTop w:val="0"/>
              <w:marBottom w:val="0"/>
              <w:divBdr>
                <w:top w:val="none" w:sz="0" w:space="0" w:color="auto"/>
                <w:left w:val="none" w:sz="0" w:space="0" w:color="auto"/>
                <w:bottom w:val="none" w:sz="0" w:space="0" w:color="auto"/>
                <w:right w:val="none" w:sz="0" w:space="0" w:color="auto"/>
              </w:divBdr>
            </w:div>
          </w:divsChild>
        </w:div>
        <w:div w:id="1220050774">
          <w:marLeft w:val="0"/>
          <w:marRight w:val="0"/>
          <w:marTop w:val="0"/>
          <w:marBottom w:val="0"/>
          <w:divBdr>
            <w:top w:val="none" w:sz="0" w:space="0" w:color="auto"/>
            <w:left w:val="none" w:sz="0" w:space="0" w:color="auto"/>
            <w:bottom w:val="none" w:sz="0" w:space="0" w:color="auto"/>
            <w:right w:val="none" w:sz="0" w:space="0" w:color="auto"/>
          </w:divBdr>
          <w:divsChild>
            <w:div w:id="390346814">
              <w:marLeft w:val="0"/>
              <w:marRight w:val="0"/>
              <w:marTop w:val="0"/>
              <w:marBottom w:val="0"/>
              <w:divBdr>
                <w:top w:val="none" w:sz="0" w:space="0" w:color="auto"/>
                <w:left w:val="none" w:sz="0" w:space="0" w:color="auto"/>
                <w:bottom w:val="none" w:sz="0" w:space="0" w:color="auto"/>
                <w:right w:val="none" w:sz="0" w:space="0" w:color="auto"/>
              </w:divBdr>
            </w:div>
          </w:divsChild>
        </w:div>
        <w:div w:id="1239170036">
          <w:marLeft w:val="0"/>
          <w:marRight w:val="0"/>
          <w:marTop w:val="0"/>
          <w:marBottom w:val="0"/>
          <w:divBdr>
            <w:top w:val="none" w:sz="0" w:space="0" w:color="auto"/>
            <w:left w:val="none" w:sz="0" w:space="0" w:color="auto"/>
            <w:bottom w:val="none" w:sz="0" w:space="0" w:color="auto"/>
            <w:right w:val="none" w:sz="0" w:space="0" w:color="auto"/>
          </w:divBdr>
          <w:divsChild>
            <w:div w:id="859854702">
              <w:marLeft w:val="0"/>
              <w:marRight w:val="0"/>
              <w:marTop w:val="0"/>
              <w:marBottom w:val="0"/>
              <w:divBdr>
                <w:top w:val="none" w:sz="0" w:space="0" w:color="auto"/>
                <w:left w:val="none" w:sz="0" w:space="0" w:color="auto"/>
                <w:bottom w:val="none" w:sz="0" w:space="0" w:color="auto"/>
                <w:right w:val="none" w:sz="0" w:space="0" w:color="auto"/>
              </w:divBdr>
            </w:div>
          </w:divsChild>
        </w:div>
        <w:div w:id="1269267811">
          <w:marLeft w:val="0"/>
          <w:marRight w:val="0"/>
          <w:marTop w:val="0"/>
          <w:marBottom w:val="0"/>
          <w:divBdr>
            <w:top w:val="none" w:sz="0" w:space="0" w:color="auto"/>
            <w:left w:val="none" w:sz="0" w:space="0" w:color="auto"/>
            <w:bottom w:val="none" w:sz="0" w:space="0" w:color="auto"/>
            <w:right w:val="none" w:sz="0" w:space="0" w:color="auto"/>
          </w:divBdr>
          <w:divsChild>
            <w:div w:id="1076509585">
              <w:marLeft w:val="0"/>
              <w:marRight w:val="0"/>
              <w:marTop w:val="0"/>
              <w:marBottom w:val="0"/>
              <w:divBdr>
                <w:top w:val="none" w:sz="0" w:space="0" w:color="auto"/>
                <w:left w:val="none" w:sz="0" w:space="0" w:color="auto"/>
                <w:bottom w:val="none" w:sz="0" w:space="0" w:color="auto"/>
                <w:right w:val="none" w:sz="0" w:space="0" w:color="auto"/>
              </w:divBdr>
            </w:div>
          </w:divsChild>
        </w:div>
        <w:div w:id="1337924615">
          <w:marLeft w:val="0"/>
          <w:marRight w:val="0"/>
          <w:marTop w:val="0"/>
          <w:marBottom w:val="0"/>
          <w:divBdr>
            <w:top w:val="none" w:sz="0" w:space="0" w:color="auto"/>
            <w:left w:val="none" w:sz="0" w:space="0" w:color="auto"/>
            <w:bottom w:val="none" w:sz="0" w:space="0" w:color="auto"/>
            <w:right w:val="none" w:sz="0" w:space="0" w:color="auto"/>
          </w:divBdr>
          <w:divsChild>
            <w:div w:id="1312564909">
              <w:marLeft w:val="0"/>
              <w:marRight w:val="0"/>
              <w:marTop w:val="0"/>
              <w:marBottom w:val="0"/>
              <w:divBdr>
                <w:top w:val="none" w:sz="0" w:space="0" w:color="auto"/>
                <w:left w:val="none" w:sz="0" w:space="0" w:color="auto"/>
                <w:bottom w:val="none" w:sz="0" w:space="0" w:color="auto"/>
                <w:right w:val="none" w:sz="0" w:space="0" w:color="auto"/>
              </w:divBdr>
            </w:div>
          </w:divsChild>
        </w:div>
        <w:div w:id="1374498557">
          <w:marLeft w:val="0"/>
          <w:marRight w:val="0"/>
          <w:marTop w:val="0"/>
          <w:marBottom w:val="0"/>
          <w:divBdr>
            <w:top w:val="none" w:sz="0" w:space="0" w:color="auto"/>
            <w:left w:val="none" w:sz="0" w:space="0" w:color="auto"/>
            <w:bottom w:val="none" w:sz="0" w:space="0" w:color="auto"/>
            <w:right w:val="none" w:sz="0" w:space="0" w:color="auto"/>
          </w:divBdr>
          <w:divsChild>
            <w:div w:id="225458449">
              <w:marLeft w:val="0"/>
              <w:marRight w:val="0"/>
              <w:marTop w:val="0"/>
              <w:marBottom w:val="0"/>
              <w:divBdr>
                <w:top w:val="none" w:sz="0" w:space="0" w:color="auto"/>
                <w:left w:val="none" w:sz="0" w:space="0" w:color="auto"/>
                <w:bottom w:val="none" w:sz="0" w:space="0" w:color="auto"/>
                <w:right w:val="none" w:sz="0" w:space="0" w:color="auto"/>
              </w:divBdr>
            </w:div>
          </w:divsChild>
        </w:div>
        <w:div w:id="1393192361">
          <w:marLeft w:val="0"/>
          <w:marRight w:val="0"/>
          <w:marTop w:val="0"/>
          <w:marBottom w:val="0"/>
          <w:divBdr>
            <w:top w:val="none" w:sz="0" w:space="0" w:color="auto"/>
            <w:left w:val="none" w:sz="0" w:space="0" w:color="auto"/>
            <w:bottom w:val="none" w:sz="0" w:space="0" w:color="auto"/>
            <w:right w:val="none" w:sz="0" w:space="0" w:color="auto"/>
          </w:divBdr>
          <w:divsChild>
            <w:div w:id="868376448">
              <w:marLeft w:val="0"/>
              <w:marRight w:val="0"/>
              <w:marTop w:val="0"/>
              <w:marBottom w:val="0"/>
              <w:divBdr>
                <w:top w:val="none" w:sz="0" w:space="0" w:color="auto"/>
                <w:left w:val="none" w:sz="0" w:space="0" w:color="auto"/>
                <w:bottom w:val="none" w:sz="0" w:space="0" w:color="auto"/>
                <w:right w:val="none" w:sz="0" w:space="0" w:color="auto"/>
              </w:divBdr>
            </w:div>
          </w:divsChild>
        </w:div>
        <w:div w:id="1401177278">
          <w:marLeft w:val="0"/>
          <w:marRight w:val="0"/>
          <w:marTop w:val="0"/>
          <w:marBottom w:val="0"/>
          <w:divBdr>
            <w:top w:val="none" w:sz="0" w:space="0" w:color="auto"/>
            <w:left w:val="none" w:sz="0" w:space="0" w:color="auto"/>
            <w:bottom w:val="none" w:sz="0" w:space="0" w:color="auto"/>
            <w:right w:val="none" w:sz="0" w:space="0" w:color="auto"/>
          </w:divBdr>
          <w:divsChild>
            <w:div w:id="1216356039">
              <w:marLeft w:val="0"/>
              <w:marRight w:val="0"/>
              <w:marTop w:val="0"/>
              <w:marBottom w:val="0"/>
              <w:divBdr>
                <w:top w:val="none" w:sz="0" w:space="0" w:color="auto"/>
                <w:left w:val="none" w:sz="0" w:space="0" w:color="auto"/>
                <w:bottom w:val="none" w:sz="0" w:space="0" w:color="auto"/>
                <w:right w:val="none" w:sz="0" w:space="0" w:color="auto"/>
              </w:divBdr>
            </w:div>
          </w:divsChild>
        </w:div>
        <w:div w:id="1408653747">
          <w:marLeft w:val="0"/>
          <w:marRight w:val="0"/>
          <w:marTop w:val="0"/>
          <w:marBottom w:val="0"/>
          <w:divBdr>
            <w:top w:val="none" w:sz="0" w:space="0" w:color="auto"/>
            <w:left w:val="none" w:sz="0" w:space="0" w:color="auto"/>
            <w:bottom w:val="none" w:sz="0" w:space="0" w:color="auto"/>
            <w:right w:val="none" w:sz="0" w:space="0" w:color="auto"/>
          </w:divBdr>
          <w:divsChild>
            <w:div w:id="2067531942">
              <w:marLeft w:val="0"/>
              <w:marRight w:val="0"/>
              <w:marTop w:val="0"/>
              <w:marBottom w:val="0"/>
              <w:divBdr>
                <w:top w:val="none" w:sz="0" w:space="0" w:color="auto"/>
                <w:left w:val="none" w:sz="0" w:space="0" w:color="auto"/>
                <w:bottom w:val="none" w:sz="0" w:space="0" w:color="auto"/>
                <w:right w:val="none" w:sz="0" w:space="0" w:color="auto"/>
              </w:divBdr>
            </w:div>
          </w:divsChild>
        </w:div>
        <w:div w:id="1408770675">
          <w:marLeft w:val="0"/>
          <w:marRight w:val="0"/>
          <w:marTop w:val="0"/>
          <w:marBottom w:val="0"/>
          <w:divBdr>
            <w:top w:val="none" w:sz="0" w:space="0" w:color="auto"/>
            <w:left w:val="none" w:sz="0" w:space="0" w:color="auto"/>
            <w:bottom w:val="none" w:sz="0" w:space="0" w:color="auto"/>
            <w:right w:val="none" w:sz="0" w:space="0" w:color="auto"/>
          </w:divBdr>
          <w:divsChild>
            <w:div w:id="1006977671">
              <w:marLeft w:val="0"/>
              <w:marRight w:val="0"/>
              <w:marTop w:val="0"/>
              <w:marBottom w:val="0"/>
              <w:divBdr>
                <w:top w:val="none" w:sz="0" w:space="0" w:color="auto"/>
                <w:left w:val="none" w:sz="0" w:space="0" w:color="auto"/>
                <w:bottom w:val="none" w:sz="0" w:space="0" w:color="auto"/>
                <w:right w:val="none" w:sz="0" w:space="0" w:color="auto"/>
              </w:divBdr>
            </w:div>
          </w:divsChild>
        </w:div>
        <w:div w:id="1464234977">
          <w:marLeft w:val="0"/>
          <w:marRight w:val="0"/>
          <w:marTop w:val="0"/>
          <w:marBottom w:val="0"/>
          <w:divBdr>
            <w:top w:val="none" w:sz="0" w:space="0" w:color="auto"/>
            <w:left w:val="none" w:sz="0" w:space="0" w:color="auto"/>
            <w:bottom w:val="none" w:sz="0" w:space="0" w:color="auto"/>
            <w:right w:val="none" w:sz="0" w:space="0" w:color="auto"/>
          </w:divBdr>
          <w:divsChild>
            <w:div w:id="44643414">
              <w:marLeft w:val="0"/>
              <w:marRight w:val="0"/>
              <w:marTop w:val="0"/>
              <w:marBottom w:val="0"/>
              <w:divBdr>
                <w:top w:val="none" w:sz="0" w:space="0" w:color="auto"/>
                <w:left w:val="none" w:sz="0" w:space="0" w:color="auto"/>
                <w:bottom w:val="none" w:sz="0" w:space="0" w:color="auto"/>
                <w:right w:val="none" w:sz="0" w:space="0" w:color="auto"/>
              </w:divBdr>
            </w:div>
          </w:divsChild>
        </w:div>
        <w:div w:id="1483160280">
          <w:marLeft w:val="0"/>
          <w:marRight w:val="0"/>
          <w:marTop w:val="0"/>
          <w:marBottom w:val="0"/>
          <w:divBdr>
            <w:top w:val="none" w:sz="0" w:space="0" w:color="auto"/>
            <w:left w:val="none" w:sz="0" w:space="0" w:color="auto"/>
            <w:bottom w:val="none" w:sz="0" w:space="0" w:color="auto"/>
            <w:right w:val="none" w:sz="0" w:space="0" w:color="auto"/>
          </w:divBdr>
          <w:divsChild>
            <w:div w:id="405568910">
              <w:marLeft w:val="0"/>
              <w:marRight w:val="0"/>
              <w:marTop w:val="0"/>
              <w:marBottom w:val="0"/>
              <w:divBdr>
                <w:top w:val="none" w:sz="0" w:space="0" w:color="auto"/>
                <w:left w:val="none" w:sz="0" w:space="0" w:color="auto"/>
                <w:bottom w:val="none" w:sz="0" w:space="0" w:color="auto"/>
                <w:right w:val="none" w:sz="0" w:space="0" w:color="auto"/>
              </w:divBdr>
            </w:div>
          </w:divsChild>
        </w:div>
        <w:div w:id="1514614623">
          <w:marLeft w:val="0"/>
          <w:marRight w:val="0"/>
          <w:marTop w:val="0"/>
          <w:marBottom w:val="0"/>
          <w:divBdr>
            <w:top w:val="none" w:sz="0" w:space="0" w:color="auto"/>
            <w:left w:val="none" w:sz="0" w:space="0" w:color="auto"/>
            <w:bottom w:val="none" w:sz="0" w:space="0" w:color="auto"/>
            <w:right w:val="none" w:sz="0" w:space="0" w:color="auto"/>
          </w:divBdr>
          <w:divsChild>
            <w:div w:id="1550262527">
              <w:marLeft w:val="0"/>
              <w:marRight w:val="0"/>
              <w:marTop w:val="0"/>
              <w:marBottom w:val="0"/>
              <w:divBdr>
                <w:top w:val="none" w:sz="0" w:space="0" w:color="auto"/>
                <w:left w:val="none" w:sz="0" w:space="0" w:color="auto"/>
                <w:bottom w:val="none" w:sz="0" w:space="0" w:color="auto"/>
                <w:right w:val="none" w:sz="0" w:space="0" w:color="auto"/>
              </w:divBdr>
            </w:div>
          </w:divsChild>
        </w:div>
        <w:div w:id="1522548194">
          <w:marLeft w:val="0"/>
          <w:marRight w:val="0"/>
          <w:marTop w:val="0"/>
          <w:marBottom w:val="0"/>
          <w:divBdr>
            <w:top w:val="none" w:sz="0" w:space="0" w:color="auto"/>
            <w:left w:val="none" w:sz="0" w:space="0" w:color="auto"/>
            <w:bottom w:val="none" w:sz="0" w:space="0" w:color="auto"/>
            <w:right w:val="none" w:sz="0" w:space="0" w:color="auto"/>
          </w:divBdr>
          <w:divsChild>
            <w:div w:id="375391925">
              <w:marLeft w:val="0"/>
              <w:marRight w:val="0"/>
              <w:marTop w:val="0"/>
              <w:marBottom w:val="0"/>
              <w:divBdr>
                <w:top w:val="none" w:sz="0" w:space="0" w:color="auto"/>
                <w:left w:val="none" w:sz="0" w:space="0" w:color="auto"/>
                <w:bottom w:val="none" w:sz="0" w:space="0" w:color="auto"/>
                <w:right w:val="none" w:sz="0" w:space="0" w:color="auto"/>
              </w:divBdr>
            </w:div>
          </w:divsChild>
        </w:div>
        <w:div w:id="1524245005">
          <w:marLeft w:val="0"/>
          <w:marRight w:val="0"/>
          <w:marTop w:val="0"/>
          <w:marBottom w:val="0"/>
          <w:divBdr>
            <w:top w:val="none" w:sz="0" w:space="0" w:color="auto"/>
            <w:left w:val="none" w:sz="0" w:space="0" w:color="auto"/>
            <w:bottom w:val="none" w:sz="0" w:space="0" w:color="auto"/>
            <w:right w:val="none" w:sz="0" w:space="0" w:color="auto"/>
          </w:divBdr>
          <w:divsChild>
            <w:div w:id="2101178168">
              <w:marLeft w:val="0"/>
              <w:marRight w:val="0"/>
              <w:marTop w:val="0"/>
              <w:marBottom w:val="0"/>
              <w:divBdr>
                <w:top w:val="none" w:sz="0" w:space="0" w:color="auto"/>
                <w:left w:val="none" w:sz="0" w:space="0" w:color="auto"/>
                <w:bottom w:val="none" w:sz="0" w:space="0" w:color="auto"/>
                <w:right w:val="none" w:sz="0" w:space="0" w:color="auto"/>
              </w:divBdr>
            </w:div>
          </w:divsChild>
        </w:div>
        <w:div w:id="1531336986">
          <w:marLeft w:val="0"/>
          <w:marRight w:val="0"/>
          <w:marTop w:val="0"/>
          <w:marBottom w:val="0"/>
          <w:divBdr>
            <w:top w:val="none" w:sz="0" w:space="0" w:color="auto"/>
            <w:left w:val="none" w:sz="0" w:space="0" w:color="auto"/>
            <w:bottom w:val="none" w:sz="0" w:space="0" w:color="auto"/>
            <w:right w:val="none" w:sz="0" w:space="0" w:color="auto"/>
          </w:divBdr>
          <w:divsChild>
            <w:div w:id="1470703307">
              <w:marLeft w:val="0"/>
              <w:marRight w:val="0"/>
              <w:marTop w:val="0"/>
              <w:marBottom w:val="0"/>
              <w:divBdr>
                <w:top w:val="none" w:sz="0" w:space="0" w:color="auto"/>
                <w:left w:val="none" w:sz="0" w:space="0" w:color="auto"/>
                <w:bottom w:val="none" w:sz="0" w:space="0" w:color="auto"/>
                <w:right w:val="none" w:sz="0" w:space="0" w:color="auto"/>
              </w:divBdr>
            </w:div>
          </w:divsChild>
        </w:div>
        <w:div w:id="1554005524">
          <w:marLeft w:val="0"/>
          <w:marRight w:val="0"/>
          <w:marTop w:val="0"/>
          <w:marBottom w:val="0"/>
          <w:divBdr>
            <w:top w:val="none" w:sz="0" w:space="0" w:color="auto"/>
            <w:left w:val="none" w:sz="0" w:space="0" w:color="auto"/>
            <w:bottom w:val="none" w:sz="0" w:space="0" w:color="auto"/>
            <w:right w:val="none" w:sz="0" w:space="0" w:color="auto"/>
          </w:divBdr>
          <w:divsChild>
            <w:div w:id="1990281410">
              <w:marLeft w:val="0"/>
              <w:marRight w:val="0"/>
              <w:marTop w:val="0"/>
              <w:marBottom w:val="0"/>
              <w:divBdr>
                <w:top w:val="none" w:sz="0" w:space="0" w:color="auto"/>
                <w:left w:val="none" w:sz="0" w:space="0" w:color="auto"/>
                <w:bottom w:val="none" w:sz="0" w:space="0" w:color="auto"/>
                <w:right w:val="none" w:sz="0" w:space="0" w:color="auto"/>
              </w:divBdr>
            </w:div>
          </w:divsChild>
        </w:div>
        <w:div w:id="1558466713">
          <w:marLeft w:val="0"/>
          <w:marRight w:val="0"/>
          <w:marTop w:val="0"/>
          <w:marBottom w:val="0"/>
          <w:divBdr>
            <w:top w:val="none" w:sz="0" w:space="0" w:color="auto"/>
            <w:left w:val="none" w:sz="0" w:space="0" w:color="auto"/>
            <w:bottom w:val="none" w:sz="0" w:space="0" w:color="auto"/>
            <w:right w:val="none" w:sz="0" w:space="0" w:color="auto"/>
          </w:divBdr>
          <w:divsChild>
            <w:div w:id="1171260872">
              <w:marLeft w:val="0"/>
              <w:marRight w:val="0"/>
              <w:marTop w:val="0"/>
              <w:marBottom w:val="0"/>
              <w:divBdr>
                <w:top w:val="none" w:sz="0" w:space="0" w:color="auto"/>
                <w:left w:val="none" w:sz="0" w:space="0" w:color="auto"/>
                <w:bottom w:val="none" w:sz="0" w:space="0" w:color="auto"/>
                <w:right w:val="none" w:sz="0" w:space="0" w:color="auto"/>
              </w:divBdr>
            </w:div>
          </w:divsChild>
        </w:div>
        <w:div w:id="1559514825">
          <w:marLeft w:val="0"/>
          <w:marRight w:val="0"/>
          <w:marTop w:val="0"/>
          <w:marBottom w:val="0"/>
          <w:divBdr>
            <w:top w:val="none" w:sz="0" w:space="0" w:color="auto"/>
            <w:left w:val="none" w:sz="0" w:space="0" w:color="auto"/>
            <w:bottom w:val="none" w:sz="0" w:space="0" w:color="auto"/>
            <w:right w:val="none" w:sz="0" w:space="0" w:color="auto"/>
          </w:divBdr>
          <w:divsChild>
            <w:div w:id="208735419">
              <w:marLeft w:val="0"/>
              <w:marRight w:val="0"/>
              <w:marTop w:val="0"/>
              <w:marBottom w:val="0"/>
              <w:divBdr>
                <w:top w:val="none" w:sz="0" w:space="0" w:color="auto"/>
                <w:left w:val="none" w:sz="0" w:space="0" w:color="auto"/>
                <w:bottom w:val="none" w:sz="0" w:space="0" w:color="auto"/>
                <w:right w:val="none" w:sz="0" w:space="0" w:color="auto"/>
              </w:divBdr>
            </w:div>
          </w:divsChild>
        </w:div>
        <w:div w:id="1560093164">
          <w:marLeft w:val="0"/>
          <w:marRight w:val="0"/>
          <w:marTop w:val="0"/>
          <w:marBottom w:val="0"/>
          <w:divBdr>
            <w:top w:val="none" w:sz="0" w:space="0" w:color="auto"/>
            <w:left w:val="none" w:sz="0" w:space="0" w:color="auto"/>
            <w:bottom w:val="none" w:sz="0" w:space="0" w:color="auto"/>
            <w:right w:val="none" w:sz="0" w:space="0" w:color="auto"/>
          </w:divBdr>
          <w:divsChild>
            <w:div w:id="917833661">
              <w:marLeft w:val="0"/>
              <w:marRight w:val="0"/>
              <w:marTop w:val="0"/>
              <w:marBottom w:val="0"/>
              <w:divBdr>
                <w:top w:val="none" w:sz="0" w:space="0" w:color="auto"/>
                <w:left w:val="none" w:sz="0" w:space="0" w:color="auto"/>
                <w:bottom w:val="none" w:sz="0" w:space="0" w:color="auto"/>
                <w:right w:val="none" w:sz="0" w:space="0" w:color="auto"/>
              </w:divBdr>
            </w:div>
          </w:divsChild>
        </w:div>
        <w:div w:id="1569684803">
          <w:marLeft w:val="0"/>
          <w:marRight w:val="0"/>
          <w:marTop w:val="0"/>
          <w:marBottom w:val="0"/>
          <w:divBdr>
            <w:top w:val="none" w:sz="0" w:space="0" w:color="auto"/>
            <w:left w:val="none" w:sz="0" w:space="0" w:color="auto"/>
            <w:bottom w:val="none" w:sz="0" w:space="0" w:color="auto"/>
            <w:right w:val="none" w:sz="0" w:space="0" w:color="auto"/>
          </w:divBdr>
          <w:divsChild>
            <w:div w:id="405611031">
              <w:marLeft w:val="0"/>
              <w:marRight w:val="0"/>
              <w:marTop w:val="0"/>
              <w:marBottom w:val="0"/>
              <w:divBdr>
                <w:top w:val="none" w:sz="0" w:space="0" w:color="auto"/>
                <w:left w:val="none" w:sz="0" w:space="0" w:color="auto"/>
                <w:bottom w:val="none" w:sz="0" w:space="0" w:color="auto"/>
                <w:right w:val="none" w:sz="0" w:space="0" w:color="auto"/>
              </w:divBdr>
            </w:div>
          </w:divsChild>
        </w:div>
        <w:div w:id="1571229430">
          <w:marLeft w:val="0"/>
          <w:marRight w:val="0"/>
          <w:marTop w:val="0"/>
          <w:marBottom w:val="0"/>
          <w:divBdr>
            <w:top w:val="none" w:sz="0" w:space="0" w:color="auto"/>
            <w:left w:val="none" w:sz="0" w:space="0" w:color="auto"/>
            <w:bottom w:val="none" w:sz="0" w:space="0" w:color="auto"/>
            <w:right w:val="none" w:sz="0" w:space="0" w:color="auto"/>
          </w:divBdr>
          <w:divsChild>
            <w:div w:id="922184577">
              <w:marLeft w:val="0"/>
              <w:marRight w:val="0"/>
              <w:marTop w:val="0"/>
              <w:marBottom w:val="0"/>
              <w:divBdr>
                <w:top w:val="none" w:sz="0" w:space="0" w:color="auto"/>
                <w:left w:val="none" w:sz="0" w:space="0" w:color="auto"/>
                <w:bottom w:val="none" w:sz="0" w:space="0" w:color="auto"/>
                <w:right w:val="none" w:sz="0" w:space="0" w:color="auto"/>
              </w:divBdr>
            </w:div>
          </w:divsChild>
        </w:div>
        <w:div w:id="1578007423">
          <w:marLeft w:val="0"/>
          <w:marRight w:val="0"/>
          <w:marTop w:val="0"/>
          <w:marBottom w:val="0"/>
          <w:divBdr>
            <w:top w:val="none" w:sz="0" w:space="0" w:color="auto"/>
            <w:left w:val="none" w:sz="0" w:space="0" w:color="auto"/>
            <w:bottom w:val="none" w:sz="0" w:space="0" w:color="auto"/>
            <w:right w:val="none" w:sz="0" w:space="0" w:color="auto"/>
          </w:divBdr>
          <w:divsChild>
            <w:div w:id="408966229">
              <w:marLeft w:val="0"/>
              <w:marRight w:val="0"/>
              <w:marTop w:val="0"/>
              <w:marBottom w:val="0"/>
              <w:divBdr>
                <w:top w:val="none" w:sz="0" w:space="0" w:color="auto"/>
                <w:left w:val="none" w:sz="0" w:space="0" w:color="auto"/>
                <w:bottom w:val="none" w:sz="0" w:space="0" w:color="auto"/>
                <w:right w:val="none" w:sz="0" w:space="0" w:color="auto"/>
              </w:divBdr>
            </w:div>
          </w:divsChild>
        </w:div>
        <w:div w:id="1602178296">
          <w:marLeft w:val="0"/>
          <w:marRight w:val="0"/>
          <w:marTop w:val="0"/>
          <w:marBottom w:val="0"/>
          <w:divBdr>
            <w:top w:val="none" w:sz="0" w:space="0" w:color="auto"/>
            <w:left w:val="none" w:sz="0" w:space="0" w:color="auto"/>
            <w:bottom w:val="none" w:sz="0" w:space="0" w:color="auto"/>
            <w:right w:val="none" w:sz="0" w:space="0" w:color="auto"/>
          </w:divBdr>
          <w:divsChild>
            <w:div w:id="30955478">
              <w:marLeft w:val="0"/>
              <w:marRight w:val="0"/>
              <w:marTop w:val="0"/>
              <w:marBottom w:val="0"/>
              <w:divBdr>
                <w:top w:val="none" w:sz="0" w:space="0" w:color="auto"/>
                <w:left w:val="none" w:sz="0" w:space="0" w:color="auto"/>
                <w:bottom w:val="none" w:sz="0" w:space="0" w:color="auto"/>
                <w:right w:val="none" w:sz="0" w:space="0" w:color="auto"/>
              </w:divBdr>
            </w:div>
          </w:divsChild>
        </w:div>
        <w:div w:id="1613168887">
          <w:marLeft w:val="0"/>
          <w:marRight w:val="0"/>
          <w:marTop w:val="0"/>
          <w:marBottom w:val="0"/>
          <w:divBdr>
            <w:top w:val="none" w:sz="0" w:space="0" w:color="auto"/>
            <w:left w:val="none" w:sz="0" w:space="0" w:color="auto"/>
            <w:bottom w:val="none" w:sz="0" w:space="0" w:color="auto"/>
            <w:right w:val="none" w:sz="0" w:space="0" w:color="auto"/>
          </w:divBdr>
          <w:divsChild>
            <w:div w:id="453251479">
              <w:marLeft w:val="0"/>
              <w:marRight w:val="0"/>
              <w:marTop w:val="0"/>
              <w:marBottom w:val="0"/>
              <w:divBdr>
                <w:top w:val="none" w:sz="0" w:space="0" w:color="auto"/>
                <w:left w:val="none" w:sz="0" w:space="0" w:color="auto"/>
                <w:bottom w:val="none" w:sz="0" w:space="0" w:color="auto"/>
                <w:right w:val="none" w:sz="0" w:space="0" w:color="auto"/>
              </w:divBdr>
            </w:div>
          </w:divsChild>
        </w:div>
        <w:div w:id="1621182437">
          <w:marLeft w:val="0"/>
          <w:marRight w:val="0"/>
          <w:marTop w:val="0"/>
          <w:marBottom w:val="0"/>
          <w:divBdr>
            <w:top w:val="none" w:sz="0" w:space="0" w:color="auto"/>
            <w:left w:val="none" w:sz="0" w:space="0" w:color="auto"/>
            <w:bottom w:val="none" w:sz="0" w:space="0" w:color="auto"/>
            <w:right w:val="none" w:sz="0" w:space="0" w:color="auto"/>
          </w:divBdr>
          <w:divsChild>
            <w:div w:id="897520150">
              <w:marLeft w:val="0"/>
              <w:marRight w:val="0"/>
              <w:marTop w:val="0"/>
              <w:marBottom w:val="0"/>
              <w:divBdr>
                <w:top w:val="none" w:sz="0" w:space="0" w:color="auto"/>
                <w:left w:val="none" w:sz="0" w:space="0" w:color="auto"/>
                <w:bottom w:val="none" w:sz="0" w:space="0" w:color="auto"/>
                <w:right w:val="none" w:sz="0" w:space="0" w:color="auto"/>
              </w:divBdr>
            </w:div>
          </w:divsChild>
        </w:div>
        <w:div w:id="1624113390">
          <w:marLeft w:val="0"/>
          <w:marRight w:val="0"/>
          <w:marTop w:val="0"/>
          <w:marBottom w:val="0"/>
          <w:divBdr>
            <w:top w:val="none" w:sz="0" w:space="0" w:color="auto"/>
            <w:left w:val="none" w:sz="0" w:space="0" w:color="auto"/>
            <w:bottom w:val="none" w:sz="0" w:space="0" w:color="auto"/>
            <w:right w:val="none" w:sz="0" w:space="0" w:color="auto"/>
          </w:divBdr>
          <w:divsChild>
            <w:div w:id="789398442">
              <w:marLeft w:val="0"/>
              <w:marRight w:val="0"/>
              <w:marTop w:val="0"/>
              <w:marBottom w:val="0"/>
              <w:divBdr>
                <w:top w:val="none" w:sz="0" w:space="0" w:color="auto"/>
                <w:left w:val="none" w:sz="0" w:space="0" w:color="auto"/>
                <w:bottom w:val="none" w:sz="0" w:space="0" w:color="auto"/>
                <w:right w:val="none" w:sz="0" w:space="0" w:color="auto"/>
              </w:divBdr>
            </w:div>
          </w:divsChild>
        </w:div>
        <w:div w:id="1752460174">
          <w:marLeft w:val="0"/>
          <w:marRight w:val="0"/>
          <w:marTop w:val="0"/>
          <w:marBottom w:val="0"/>
          <w:divBdr>
            <w:top w:val="none" w:sz="0" w:space="0" w:color="auto"/>
            <w:left w:val="none" w:sz="0" w:space="0" w:color="auto"/>
            <w:bottom w:val="none" w:sz="0" w:space="0" w:color="auto"/>
            <w:right w:val="none" w:sz="0" w:space="0" w:color="auto"/>
          </w:divBdr>
          <w:divsChild>
            <w:div w:id="1500268074">
              <w:marLeft w:val="0"/>
              <w:marRight w:val="0"/>
              <w:marTop w:val="0"/>
              <w:marBottom w:val="0"/>
              <w:divBdr>
                <w:top w:val="none" w:sz="0" w:space="0" w:color="auto"/>
                <w:left w:val="none" w:sz="0" w:space="0" w:color="auto"/>
                <w:bottom w:val="none" w:sz="0" w:space="0" w:color="auto"/>
                <w:right w:val="none" w:sz="0" w:space="0" w:color="auto"/>
              </w:divBdr>
            </w:div>
          </w:divsChild>
        </w:div>
        <w:div w:id="1795783502">
          <w:marLeft w:val="0"/>
          <w:marRight w:val="0"/>
          <w:marTop w:val="0"/>
          <w:marBottom w:val="0"/>
          <w:divBdr>
            <w:top w:val="none" w:sz="0" w:space="0" w:color="auto"/>
            <w:left w:val="none" w:sz="0" w:space="0" w:color="auto"/>
            <w:bottom w:val="none" w:sz="0" w:space="0" w:color="auto"/>
            <w:right w:val="none" w:sz="0" w:space="0" w:color="auto"/>
          </w:divBdr>
          <w:divsChild>
            <w:div w:id="1295867073">
              <w:marLeft w:val="0"/>
              <w:marRight w:val="0"/>
              <w:marTop w:val="0"/>
              <w:marBottom w:val="0"/>
              <w:divBdr>
                <w:top w:val="none" w:sz="0" w:space="0" w:color="auto"/>
                <w:left w:val="none" w:sz="0" w:space="0" w:color="auto"/>
                <w:bottom w:val="none" w:sz="0" w:space="0" w:color="auto"/>
                <w:right w:val="none" w:sz="0" w:space="0" w:color="auto"/>
              </w:divBdr>
            </w:div>
          </w:divsChild>
        </w:div>
        <w:div w:id="1806435931">
          <w:marLeft w:val="0"/>
          <w:marRight w:val="0"/>
          <w:marTop w:val="0"/>
          <w:marBottom w:val="0"/>
          <w:divBdr>
            <w:top w:val="none" w:sz="0" w:space="0" w:color="auto"/>
            <w:left w:val="none" w:sz="0" w:space="0" w:color="auto"/>
            <w:bottom w:val="none" w:sz="0" w:space="0" w:color="auto"/>
            <w:right w:val="none" w:sz="0" w:space="0" w:color="auto"/>
          </w:divBdr>
          <w:divsChild>
            <w:div w:id="905533943">
              <w:marLeft w:val="0"/>
              <w:marRight w:val="0"/>
              <w:marTop w:val="0"/>
              <w:marBottom w:val="0"/>
              <w:divBdr>
                <w:top w:val="none" w:sz="0" w:space="0" w:color="auto"/>
                <w:left w:val="none" w:sz="0" w:space="0" w:color="auto"/>
                <w:bottom w:val="none" w:sz="0" w:space="0" w:color="auto"/>
                <w:right w:val="none" w:sz="0" w:space="0" w:color="auto"/>
              </w:divBdr>
            </w:div>
          </w:divsChild>
        </w:div>
        <w:div w:id="1815414728">
          <w:marLeft w:val="0"/>
          <w:marRight w:val="0"/>
          <w:marTop w:val="0"/>
          <w:marBottom w:val="0"/>
          <w:divBdr>
            <w:top w:val="none" w:sz="0" w:space="0" w:color="auto"/>
            <w:left w:val="none" w:sz="0" w:space="0" w:color="auto"/>
            <w:bottom w:val="none" w:sz="0" w:space="0" w:color="auto"/>
            <w:right w:val="none" w:sz="0" w:space="0" w:color="auto"/>
          </w:divBdr>
          <w:divsChild>
            <w:div w:id="1281648560">
              <w:marLeft w:val="0"/>
              <w:marRight w:val="0"/>
              <w:marTop w:val="0"/>
              <w:marBottom w:val="0"/>
              <w:divBdr>
                <w:top w:val="none" w:sz="0" w:space="0" w:color="auto"/>
                <w:left w:val="none" w:sz="0" w:space="0" w:color="auto"/>
                <w:bottom w:val="none" w:sz="0" w:space="0" w:color="auto"/>
                <w:right w:val="none" w:sz="0" w:space="0" w:color="auto"/>
              </w:divBdr>
            </w:div>
          </w:divsChild>
        </w:div>
        <w:div w:id="1825047440">
          <w:marLeft w:val="0"/>
          <w:marRight w:val="0"/>
          <w:marTop w:val="0"/>
          <w:marBottom w:val="0"/>
          <w:divBdr>
            <w:top w:val="none" w:sz="0" w:space="0" w:color="auto"/>
            <w:left w:val="none" w:sz="0" w:space="0" w:color="auto"/>
            <w:bottom w:val="none" w:sz="0" w:space="0" w:color="auto"/>
            <w:right w:val="none" w:sz="0" w:space="0" w:color="auto"/>
          </w:divBdr>
          <w:divsChild>
            <w:div w:id="381439251">
              <w:marLeft w:val="0"/>
              <w:marRight w:val="0"/>
              <w:marTop w:val="0"/>
              <w:marBottom w:val="0"/>
              <w:divBdr>
                <w:top w:val="none" w:sz="0" w:space="0" w:color="auto"/>
                <w:left w:val="none" w:sz="0" w:space="0" w:color="auto"/>
                <w:bottom w:val="none" w:sz="0" w:space="0" w:color="auto"/>
                <w:right w:val="none" w:sz="0" w:space="0" w:color="auto"/>
              </w:divBdr>
            </w:div>
          </w:divsChild>
        </w:div>
        <w:div w:id="1856654162">
          <w:marLeft w:val="0"/>
          <w:marRight w:val="0"/>
          <w:marTop w:val="0"/>
          <w:marBottom w:val="0"/>
          <w:divBdr>
            <w:top w:val="none" w:sz="0" w:space="0" w:color="auto"/>
            <w:left w:val="none" w:sz="0" w:space="0" w:color="auto"/>
            <w:bottom w:val="none" w:sz="0" w:space="0" w:color="auto"/>
            <w:right w:val="none" w:sz="0" w:space="0" w:color="auto"/>
          </w:divBdr>
          <w:divsChild>
            <w:div w:id="560289597">
              <w:marLeft w:val="0"/>
              <w:marRight w:val="0"/>
              <w:marTop w:val="0"/>
              <w:marBottom w:val="0"/>
              <w:divBdr>
                <w:top w:val="none" w:sz="0" w:space="0" w:color="auto"/>
                <w:left w:val="none" w:sz="0" w:space="0" w:color="auto"/>
                <w:bottom w:val="none" w:sz="0" w:space="0" w:color="auto"/>
                <w:right w:val="none" w:sz="0" w:space="0" w:color="auto"/>
              </w:divBdr>
            </w:div>
          </w:divsChild>
        </w:div>
        <w:div w:id="1896045146">
          <w:marLeft w:val="0"/>
          <w:marRight w:val="0"/>
          <w:marTop w:val="0"/>
          <w:marBottom w:val="0"/>
          <w:divBdr>
            <w:top w:val="none" w:sz="0" w:space="0" w:color="auto"/>
            <w:left w:val="none" w:sz="0" w:space="0" w:color="auto"/>
            <w:bottom w:val="none" w:sz="0" w:space="0" w:color="auto"/>
            <w:right w:val="none" w:sz="0" w:space="0" w:color="auto"/>
          </w:divBdr>
          <w:divsChild>
            <w:div w:id="1240288448">
              <w:marLeft w:val="0"/>
              <w:marRight w:val="0"/>
              <w:marTop w:val="0"/>
              <w:marBottom w:val="0"/>
              <w:divBdr>
                <w:top w:val="none" w:sz="0" w:space="0" w:color="auto"/>
                <w:left w:val="none" w:sz="0" w:space="0" w:color="auto"/>
                <w:bottom w:val="none" w:sz="0" w:space="0" w:color="auto"/>
                <w:right w:val="none" w:sz="0" w:space="0" w:color="auto"/>
              </w:divBdr>
            </w:div>
          </w:divsChild>
        </w:div>
        <w:div w:id="1905294466">
          <w:marLeft w:val="0"/>
          <w:marRight w:val="0"/>
          <w:marTop w:val="0"/>
          <w:marBottom w:val="0"/>
          <w:divBdr>
            <w:top w:val="none" w:sz="0" w:space="0" w:color="auto"/>
            <w:left w:val="none" w:sz="0" w:space="0" w:color="auto"/>
            <w:bottom w:val="none" w:sz="0" w:space="0" w:color="auto"/>
            <w:right w:val="none" w:sz="0" w:space="0" w:color="auto"/>
          </w:divBdr>
          <w:divsChild>
            <w:div w:id="279338434">
              <w:marLeft w:val="0"/>
              <w:marRight w:val="0"/>
              <w:marTop w:val="0"/>
              <w:marBottom w:val="0"/>
              <w:divBdr>
                <w:top w:val="none" w:sz="0" w:space="0" w:color="auto"/>
                <w:left w:val="none" w:sz="0" w:space="0" w:color="auto"/>
                <w:bottom w:val="none" w:sz="0" w:space="0" w:color="auto"/>
                <w:right w:val="none" w:sz="0" w:space="0" w:color="auto"/>
              </w:divBdr>
            </w:div>
          </w:divsChild>
        </w:div>
        <w:div w:id="1930574047">
          <w:marLeft w:val="0"/>
          <w:marRight w:val="0"/>
          <w:marTop w:val="0"/>
          <w:marBottom w:val="0"/>
          <w:divBdr>
            <w:top w:val="none" w:sz="0" w:space="0" w:color="auto"/>
            <w:left w:val="none" w:sz="0" w:space="0" w:color="auto"/>
            <w:bottom w:val="none" w:sz="0" w:space="0" w:color="auto"/>
            <w:right w:val="none" w:sz="0" w:space="0" w:color="auto"/>
          </w:divBdr>
          <w:divsChild>
            <w:div w:id="1479762270">
              <w:marLeft w:val="0"/>
              <w:marRight w:val="0"/>
              <w:marTop w:val="0"/>
              <w:marBottom w:val="0"/>
              <w:divBdr>
                <w:top w:val="none" w:sz="0" w:space="0" w:color="auto"/>
                <w:left w:val="none" w:sz="0" w:space="0" w:color="auto"/>
                <w:bottom w:val="none" w:sz="0" w:space="0" w:color="auto"/>
                <w:right w:val="none" w:sz="0" w:space="0" w:color="auto"/>
              </w:divBdr>
            </w:div>
          </w:divsChild>
        </w:div>
        <w:div w:id="1965888650">
          <w:marLeft w:val="0"/>
          <w:marRight w:val="0"/>
          <w:marTop w:val="0"/>
          <w:marBottom w:val="0"/>
          <w:divBdr>
            <w:top w:val="none" w:sz="0" w:space="0" w:color="auto"/>
            <w:left w:val="none" w:sz="0" w:space="0" w:color="auto"/>
            <w:bottom w:val="none" w:sz="0" w:space="0" w:color="auto"/>
            <w:right w:val="none" w:sz="0" w:space="0" w:color="auto"/>
          </w:divBdr>
          <w:divsChild>
            <w:div w:id="1857033597">
              <w:marLeft w:val="0"/>
              <w:marRight w:val="0"/>
              <w:marTop w:val="0"/>
              <w:marBottom w:val="0"/>
              <w:divBdr>
                <w:top w:val="none" w:sz="0" w:space="0" w:color="auto"/>
                <w:left w:val="none" w:sz="0" w:space="0" w:color="auto"/>
                <w:bottom w:val="none" w:sz="0" w:space="0" w:color="auto"/>
                <w:right w:val="none" w:sz="0" w:space="0" w:color="auto"/>
              </w:divBdr>
            </w:div>
          </w:divsChild>
        </w:div>
        <w:div w:id="1977178124">
          <w:marLeft w:val="0"/>
          <w:marRight w:val="0"/>
          <w:marTop w:val="0"/>
          <w:marBottom w:val="0"/>
          <w:divBdr>
            <w:top w:val="none" w:sz="0" w:space="0" w:color="auto"/>
            <w:left w:val="none" w:sz="0" w:space="0" w:color="auto"/>
            <w:bottom w:val="none" w:sz="0" w:space="0" w:color="auto"/>
            <w:right w:val="none" w:sz="0" w:space="0" w:color="auto"/>
          </w:divBdr>
          <w:divsChild>
            <w:div w:id="146240767">
              <w:marLeft w:val="0"/>
              <w:marRight w:val="0"/>
              <w:marTop w:val="0"/>
              <w:marBottom w:val="0"/>
              <w:divBdr>
                <w:top w:val="none" w:sz="0" w:space="0" w:color="auto"/>
                <w:left w:val="none" w:sz="0" w:space="0" w:color="auto"/>
                <w:bottom w:val="none" w:sz="0" w:space="0" w:color="auto"/>
                <w:right w:val="none" w:sz="0" w:space="0" w:color="auto"/>
              </w:divBdr>
            </w:div>
          </w:divsChild>
        </w:div>
        <w:div w:id="2008440549">
          <w:marLeft w:val="0"/>
          <w:marRight w:val="0"/>
          <w:marTop w:val="0"/>
          <w:marBottom w:val="0"/>
          <w:divBdr>
            <w:top w:val="none" w:sz="0" w:space="0" w:color="auto"/>
            <w:left w:val="none" w:sz="0" w:space="0" w:color="auto"/>
            <w:bottom w:val="none" w:sz="0" w:space="0" w:color="auto"/>
            <w:right w:val="none" w:sz="0" w:space="0" w:color="auto"/>
          </w:divBdr>
          <w:divsChild>
            <w:div w:id="1031035753">
              <w:marLeft w:val="0"/>
              <w:marRight w:val="0"/>
              <w:marTop w:val="0"/>
              <w:marBottom w:val="0"/>
              <w:divBdr>
                <w:top w:val="none" w:sz="0" w:space="0" w:color="auto"/>
                <w:left w:val="none" w:sz="0" w:space="0" w:color="auto"/>
                <w:bottom w:val="none" w:sz="0" w:space="0" w:color="auto"/>
                <w:right w:val="none" w:sz="0" w:space="0" w:color="auto"/>
              </w:divBdr>
            </w:div>
          </w:divsChild>
        </w:div>
        <w:div w:id="2012561430">
          <w:marLeft w:val="0"/>
          <w:marRight w:val="0"/>
          <w:marTop w:val="0"/>
          <w:marBottom w:val="0"/>
          <w:divBdr>
            <w:top w:val="none" w:sz="0" w:space="0" w:color="auto"/>
            <w:left w:val="none" w:sz="0" w:space="0" w:color="auto"/>
            <w:bottom w:val="none" w:sz="0" w:space="0" w:color="auto"/>
            <w:right w:val="none" w:sz="0" w:space="0" w:color="auto"/>
          </w:divBdr>
          <w:divsChild>
            <w:div w:id="1375229764">
              <w:marLeft w:val="0"/>
              <w:marRight w:val="0"/>
              <w:marTop w:val="0"/>
              <w:marBottom w:val="0"/>
              <w:divBdr>
                <w:top w:val="none" w:sz="0" w:space="0" w:color="auto"/>
                <w:left w:val="none" w:sz="0" w:space="0" w:color="auto"/>
                <w:bottom w:val="none" w:sz="0" w:space="0" w:color="auto"/>
                <w:right w:val="none" w:sz="0" w:space="0" w:color="auto"/>
              </w:divBdr>
            </w:div>
          </w:divsChild>
        </w:div>
        <w:div w:id="2051954584">
          <w:marLeft w:val="0"/>
          <w:marRight w:val="0"/>
          <w:marTop w:val="0"/>
          <w:marBottom w:val="0"/>
          <w:divBdr>
            <w:top w:val="none" w:sz="0" w:space="0" w:color="auto"/>
            <w:left w:val="none" w:sz="0" w:space="0" w:color="auto"/>
            <w:bottom w:val="none" w:sz="0" w:space="0" w:color="auto"/>
            <w:right w:val="none" w:sz="0" w:space="0" w:color="auto"/>
          </w:divBdr>
          <w:divsChild>
            <w:div w:id="1381858503">
              <w:marLeft w:val="0"/>
              <w:marRight w:val="0"/>
              <w:marTop w:val="0"/>
              <w:marBottom w:val="0"/>
              <w:divBdr>
                <w:top w:val="none" w:sz="0" w:space="0" w:color="auto"/>
                <w:left w:val="none" w:sz="0" w:space="0" w:color="auto"/>
                <w:bottom w:val="none" w:sz="0" w:space="0" w:color="auto"/>
                <w:right w:val="none" w:sz="0" w:space="0" w:color="auto"/>
              </w:divBdr>
            </w:div>
          </w:divsChild>
        </w:div>
        <w:div w:id="2063630059">
          <w:marLeft w:val="0"/>
          <w:marRight w:val="0"/>
          <w:marTop w:val="0"/>
          <w:marBottom w:val="0"/>
          <w:divBdr>
            <w:top w:val="none" w:sz="0" w:space="0" w:color="auto"/>
            <w:left w:val="none" w:sz="0" w:space="0" w:color="auto"/>
            <w:bottom w:val="none" w:sz="0" w:space="0" w:color="auto"/>
            <w:right w:val="none" w:sz="0" w:space="0" w:color="auto"/>
          </w:divBdr>
          <w:divsChild>
            <w:div w:id="988050470">
              <w:marLeft w:val="0"/>
              <w:marRight w:val="0"/>
              <w:marTop w:val="0"/>
              <w:marBottom w:val="0"/>
              <w:divBdr>
                <w:top w:val="none" w:sz="0" w:space="0" w:color="auto"/>
                <w:left w:val="none" w:sz="0" w:space="0" w:color="auto"/>
                <w:bottom w:val="none" w:sz="0" w:space="0" w:color="auto"/>
                <w:right w:val="none" w:sz="0" w:space="0" w:color="auto"/>
              </w:divBdr>
            </w:div>
          </w:divsChild>
        </w:div>
        <w:div w:id="2068717458">
          <w:marLeft w:val="0"/>
          <w:marRight w:val="0"/>
          <w:marTop w:val="0"/>
          <w:marBottom w:val="0"/>
          <w:divBdr>
            <w:top w:val="none" w:sz="0" w:space="0" w:color="auto"/>
            <w:left w:val="none" w:sz="0" w:space="0" w:color="auto"/>
            <w:bottom w:val="none" w:sz="0" w:space="0" w:color="auto"/>
            <w:right w:val="none" w:sz="0" w:space="0" w:color="auto"/>
          </w:divBdr>
          <w:divsChild>
            <w:div w:id="1568998980">
              <w:marLeft w:val="0"/>
              <w:marRight w:val="0"/>
              <w:marTop w:val="0"/>
              <w:marBottom w:val="0"/>
              <w:divBdr>
                <w:top w:val="none" w:sz="0" w:space="0" w:color="auto"/>
                <w:left w:val="none" w:sz="0" w:space="0" w:color="auto"/>
                <w:bottom w:val="none" w:sz="0" w:space="0" w:color="auto"/>
                <w:right w:val="none" w:sz="0" w:space="0" w:color="auto"/>
              </w:divBdr>
            </w:div>
          </w:divsChild>
        </w:div>
        <w:div w:id="2078823949">
          <w:marLeft w:val="0"/>
          <w:marRight w:val="0"/>
          <w:marTop w:val="0"/>
          <w:marBottom w:val="0"/>
          <w:divBdr>
            <w:top w:val="none" w:sz="0" w:space="0" w:color="auto"/>
            <w:left w:val="none" w:sz="0" w:space="0" w:color="auto"/>
            <w:bottom w:val="none" w:sz="0" w:space="0" w:color="auto"/>
            <w:right w:val="none" w:sz="0" w:space="0" w:color="auto"/>
          </w:divBdr>
          <w:divsChild>
            <w:div w:id="716584530">
              <w:marLeft w:val="0"/>
              <w:marRight w:val="0"/>
              <w:marTop w:val="0"/>
              <w:marBottom w:val="0"/>
              <w:divBdr>
                <w:top w:val="none" w:sz="0" w:space="0" w:color="auto"/>
                <w:left w:val="none" w:sz="0" w:space="0" w:color="auto"/>
                <w:bottom w:val="none" w:sz="0" w:space="0" w:color="auto"/>
                <w:right w:val="none" w:sz="0" w:space="0" w:color="auto"/>
              </w:divBdr>
            </w:div>
          </w:divsChild>
        </w:div>
        <w:div w:id="2082865776">
          <w:marLeft w:val="0"/>
          <w:marRight w:val="0"/>
          <w:marTop w:val="0"/>
          <w:marBottom w:val="0"/>
          <w:divBdr>
            <w:top w:val="none" w:sz="0" w:space="0" w:color="auto"/>
            <w:left w:val="none" w:sz="0" w:space="0" w:color="auto"/>
            <w:bottom w:val="none" w:sz="0" w:space="0" w:color="auto"/>
            <w:right w:val="none" w:sz="0" w:space="0" w:color="auto"/>
          </w:divBdr>
          <w:divsChild>
            <w:div w:id="1545211881">
              <w:marLeft w:val="0"/>
              <w:marRight w:val="0"/>
              <w:marTop w:val="0"/>
              <w:marBottom w:val="0"/>
              <w:divBdr>
                <w:top w:val="none" w:sz="0" w:space="0" w:color="auto"/>
                <w:left w:val="none" w:sz="0" w:space="0" w:color="auto"/>
                <w:bottom w:val="none" w:sz="0" w:space="0" w:color="auto"/>
                <w:right w:val="none" w:sz="0" w:space="0" w:color="auto"/>
              </w:divBdr>
            </w:div>
          </w:divsChild>
        </w:div>
        <w:div w:id="2102987563">
          <w:marLeft w:val="0"/>
          <w:marRight w:val="0"/>
          <w:marTop w:val="0"/>
          <w:marBottom w:val="0"/>
          <w:divBdr>
            <w:top w:val="none" w:sz="0" w:space="0" w:color="auto"/>
            <w:left w:val="none" w:sz="0" w:space="0" w:color="auto"/>
            <w:bottom w:val="none" w:sz="0" w:space="0" w:color="auto"/>
            <w:right w:val="none" w:sz="0" w:space="0" w:color="auto"/>
          </w:divBdr>
          <w:divsChild>
            <w:div w:id="456220485">
              <w:marLeft w:val="0"/>
              <w:marRight w:val="0"/>
              <w:marTop w:val="0"/>
              <w:marBottom w:val="0"/>
              <w:divBdr>
                <w:top w:val="none" w:sz="0" w:space="0" w:color="auto"/>
                <w:left w:val="none" w:sz="0" w:space="0" w:color="auto"/>
                <w:bottom w:val="none" w:sz="0" w:space="0" w:color="auto"/>
                <w:right w:val="none" w:sz="0" w:space="0" w:color="auto"/>
              </w:divBdr>
            </w:div>
          </w:divsChild>
        </w:div>
        <w:div w:id="2126151262">
          <w:marLeft w:val="0"/>
          <w:marRight w:val="0"/>
          <w:marTop w:val="0"/>
          <w:marBottom w:val="0"/>
          <w:divBdr>
            <w:top w:val="none" w:sz="0" w:space="0" w:color="auto"/>
            <w:left w:val="none" w:sz="0" w:space="0" w:color="auto"/>
            <w:bottom w:val="none" w:sz="0" w:space="0" w:color="auto"/>
            <w:right w:val="none" w:sz="0" w:space="0" w:color="auto"/>
          </w:divBdr>
          <w:divsChild>
            <w:div w:id="1979528499">
              <w:marLeft w:val="0"/>
              <w:marRight w:val="0"/>
              <w:marTop w:val="0"/>
              <w:marBottom w:val="0"/>
              <w:divBdr>
                <w:top w:val="none" w:sz="0" w:space="0" w:color="auto"/>
                <w:left w:val="none" w:sz="0" w:space="0" w:color="auto"/>
                <w:bottom w:val="none" w:sz="0" w:space="0" w:color="auto"/>
                <w:right w:val="none" w:sz="0" w:space="0" w:color="auto"/>
              </w:divBdr>
            </w:div>
          </w:divsChild>
        </w:div>
        <w:div w:id="2134668761">
          <w:marLeft w:val="0"/>
          <w:marRight w:val="0"/>
          <w:marTop w:val="0"/>
          <w:marBottom w:val="0"/>
          <w:divBdr>
            <w:top w:val="none" w:sz="0" w:space="0" w:color="auto"/>
            <w:left w:val="none" w:sz="0" w:space="0" w:color="auto"/>
            <w:bottom w:val="none" w:sz="0" w:space="0" w:color="auto"/>
            <w:right w:val="none" w:sz="0" w:space="0" w:color="auto"/>
          </w:divBdr>
          <w:divsChild>
            <w:div w:id="53152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65317">
      <w:bodyDiv w:val="1"/>
      <w:marLeft w:val="0"/>
      <w:marRight w:val="0"/>
      <w:marTop w:val="0"/>
      <w:marBottom w:val="0"/>
      <w:divBdr>
        <w:top w:val="none" w:sz="0" w:space="0" w:color="auto"/>
        <w:left w:val="none" w:sz="0" w:space="0" w:color="auto"/>
        <w:bottom w:val="none" w:sz="0" w:space="0" w:color="auto"/>
        <w:right w:val="none" w:sz="0" w:space="0" w:color="auto"/>
      </w:divBdr>
    </w:div>
    <w:div w:id="915747701">
      <w:bodyDiv w:val="1"/>
      <w:marLeft w:val="0"/>
      <w:marRight w:val="0"/>
      <w:marTop w:val="0"/>
      <w:marBottom w:val="0"/>
      <w:divBdr>
        <w:top w:val="none" w:sz="0" w:space="0" w:color="auto"/>
        <w:left w:val="none" w:sz="0" w:space="0" w:color="auto"/>
        <w:bottom w:val="none" w:sz="0" w:space="0" w:color="auto"/>
        <w:right w:val="none" w:sz="0" w:space="0" w:color="auto"/>
      </w:divBdr>
    </w:div>
    <w:div w:id="931820846">
      <w:bodyDiv w:val="1"/>
      <w:marLeft w:val="0"/>
      <w:marRight w:val="0"/>
      <w:marTop w:val="0"/>
      <w:marBottom w:val="0"/>
      <w:divBdr>
        <w:top w:val="none" w:sz="0" w:space="0" w:color="auto"/>
        <w:left w:val="none" w:sz="0" w:space="0" w:color="auto"/>
        <w:bottom w:val="none" w:sz="0" w:space="0" w:color="auto"/>
        <w:right w:val="none" w:sz="0" w:space="0" w:color="auto"/>
      </w:divBdr>
    </w:div>
    <w:div w:id="931857547">
      <w:bodyDiv w:val="1"/>
      <w:marLeft w:val="0"/>
      <w:marRight w:val="0"/>
      <w:marTop w:val="0"/>
      <w:marBottom w:val="0"/>
      <w:divBdr>
        <w:top w:val="none" w:sz="0" w:space="0" w:color="auto"/>
        <w:left w:val="none" w:sz="0" w:space="0" w:color="auto"/>
        <w:bottom w:val="none" w:sz="0" w:space="0" w:color="auto"/>
        <w:right w:val="none" w:sz="0" w:space="0" w:color="auto"/>
      </w:divBdr>
    </w:div>
    <w:div w:id="939263212">
      <w:bodyDiv w:val="1"/>
      <w:marLeft w:val="0"/>
      <w:marRight w:val="0"/>
      <w:marTop w:val="0"/>
      <w:marBottom w:val="0"/>
      <w:divBdr>
        <w:top w:val="none" w:sz="0" w:space="0" w:color="auto"/>
        <w:left w:val="none" w:sz="0" w:space="0" w:color="auto"/>
        <w:bottom w:val="none" w:sz="0" w:space="0" w:color="auto"/>
        <w:right w:val="none" w:sz="0" w:space="0" w:color="auto"/>
      </w:divBdr>
    </w:div>
    <w:div w:id="954749828">
      <w:bodyDiv w:val="1"/>
      <w:marLeft w:val="0"/>
      <w:marRight w:val="0"/>
      <w:marTop w:val="0"/>
      <w:marBottom w:val="0"/>
      <w:divBdr>
        <w:top w:val="none" w:sz="0" w:space="0" w:color="auto"/>
        <w:left w:val="none" w:sz="0" w:space="0" w:color="auto"/>
        <w:bottom w:val="none" w:sz="0" w:space="0" w:color="auto"/>
        <w:right w:val="none" w:sz="0" w:space="0" w:color="auto"/>
      </w:divBdr>
    </w:div>
    <w:div w:id="956983874">
      <w:bodyDiv w:val="1"/>
      <w:marLeft w:val="0"/>
      <w:marRight w:val="0"/>
      <w:marTop w:val="0"/>
      <w:marBottom w:val="0"/>
      <w:divBdr>
        <w:top w:val="none" w:sz="0" w:space="0" w:color="auto"/>
        <w:left w:val="none" w:sz="0" w:space="0" w:color="auto"/>
        <w:bottom w:val="none" w:sz="0" w:space="0" w:color="auto"/>
        <w:right w:val="none" w:sz="0" w:space="0" w:color="auto"/>
      </w:divBdr>
    </w:div>
    <w:div w:id="970666807">
      <w:bodyDiv w:val="1"/>
      <w:marLeft w:val="0"/>
      <w:marRight w:val="0"/>
      <w:marTop w:val="0"/>
      <w:marBottom w:val="0"/>
      <w:divBdr>
        <w:top w:val="none" w:sz="0" w:space="0" w:color="auto"/>
        <w:left w:val="none" w:sz="0" w:space="0" w:color="auto"/>
        <w:bottom w:val="none" w:sz="0" w:space="0" w:color="auto"/>
        <w:right w:val="none" w:sz="0" w:space="0" w:color="auto"/>
      </w:divBdr>
    </w:div>
    <w:div w:id="977495925">
      <w:bodyDiv w:val="1"/>
      <w:marLeft w:val="0"/>
      <w:marRight w:val="0"/>
      <w:marTop w:val="0"/>
      <w:marBottom w:val="0"/>
      <w:divBdr>
        <w:top w:val="none" w:sz="0" w:space="0" w:color="auto"/>
        <w:left w:val="none" w:sz="0" w:space="0" w:color="auto"/>
        <w:bottom w:val="none" w:sz="0" w:space="0" w:color="auto"/>
        <w:right w:val="none" w:sz="0" w:space="0" w:color="auto"/>
      </w:divBdr>
    </w:div>
    <w:div w:id="990601478">
      <w:bodyDiv w:val="1"/>
      <w:marLeft w:val="0"/>
      <w:marRight w:val="0"/>
      <w:marTop w:val="0"/>
      <w:marBottom w:val="0"/>
      <w:divBdr>
        <w:top w:val="none" w:sz="0" w:space="0" w:color="auto"/>
        <w:left w:val="none" w:sz="0" w:space="0" w:color="auto"/>
        <w:bottom w:val="none" w:sz="0" w:space="0" w:color="auto"/>
        <w:right w:val="none" w:sz="0" w:space="0" w:color="auto"/>
      </w:divBdr>
      <w:divsChild>
        <w:div w:id="1095511949">
          <w:marLeft w:val="0"/>
          <w:marRight w:val="0"/>
          <w:marTop w:val="0"/>
          <w:marBottom w:val="0"/>
          <w:divBdr>
            <w:top w:val="none" w:sz="0" w:space="0" w:color="auto"/>
            <w:left w:val="none" w:sz="0" w:space="0" w:color="auto"/>
            <w:bottom w:val="none" w:sz="0" w:space="0" w:color="auto"/>
            <w:right w:val="none" w:sz="0" w:space="0" w:color="auto"/>
          </w:divBdr>
        </w:div>
      </w:divsChild>
    </w:div>
    <w:div w:id="990989477">
      <w:bodyDiv w:val="1"/>
      <w:marLeft w:val="0"/>
      <w:marRight w:val="0"/>
      <w:marTop w:val="0"/>
      <w:marBottom w:val="0"/>
      <w:divBdr>
        <w:top w:val="none" w:sz="0" w:space="0" w:color="auto"/>
        <w:left w:val="none" w:sz="0" w:space="0" w:color="auto"/>
        <w:bottom w:val="none" w:sz="0" w:space="0" w:color="auto"/>
        <w:right w:val="none" w:sz="0" w:space="0" w:color="auto"/>
      </w:divBdr>
    </w:div>
    <w:div w:id="997540885">
      <w:bodyDiv w:val="1"/>
      <w:marLeft w:val="0"/>
      <w:marRight w:val="0"/>
      <w:marTop w:val="0"/>
      <w:marBottom w:val="0"/>
      <w:divBdr>
        <w:top w:val="none" w:sz="0" w:space="0" w:color="auto"/>
        <w:left w:val="none" w:sz="0" w:space="0" w:color="auto"/>
        <w:bottom w:val="none" w:sz="0" w:space="0" w:color="auto"/>
        <w:right w:val="none" w:sz="0" w:space="0" w:color="auto"/>
      </w:divBdr>
    </w:div>
    <w:div w:id="999848712">
      <w:bodyDiv w:val="1"/>
      <w:marLeft w:val="0"/>
      <w:marRight w:val="0"/>
      <w:marTop w:val="0"/>
      <w:marBottom w:val="0"/>
      <w:divBdr>
        <w:top w:val="none" w:sz="0" w:space="0" w:color="auto"/>
        <w:left w:val="none" w:sz="0" w:space="0" w:color="auto"/>
        <w:bottom w:val="none" w:sz="0" w:space="0" w:color="auto"/>
        <w:right w:val="none" w:sz="0" w:space="0" w:color="auto"/>
      </w:divBdr>
      <w:divsChild>
        <w:div w:id="45298928">
          <w:marLeft w:val="0"/>
          <w:marRight w:val="0"/>
          <w:marTop w:val="0"/>
          <w:marBottom w:val="0"/>
          <w:divBdr>
            <w:top w:val="none" w:sz="0" w:space="0" w:color="auto"/>
            <w:left w:val="none" w:sz="0" w:space="0" w:color="auto"/>
            <w:bottom w:val="none" w:sz="0" w:space="0" w:color="auto"/>
            <w:right w:val="none" w:sz="0" w:space="0" w:color="auto"/>
          </w:divBdr>
          <w:divsChild>
            <w:div w:id="717360969">
              <w:marLeft w:val="0"/>
              <w:marRight w:val="0"/>
              <w:marTop w:val="0"/>
              <w:marBottom w:val="0"/>
              <w:divBdr>
                <w:top w:val="none" w:sz="0" w:space="0" w:color="auto"/>
                <w:left w:val="none" w:sz="0" w:space="0" w:color="auto"/>
                <w:bottom w:val="none" w:sz="0" w:space="0" w:color="auto"/>
                <w:right w:val="none" w:sz="0" w:space="0" w:color="auto"/>
              </w:divBdr>
            </w:div>
          </w:divsChild>
        </w:div>
        <w:div w:id="52048241">
          <w:marLeft w:val="0"/>
          <w:marRight w:val="0"/>
          <w:marTop w:val="0"/>
          <w:marBottom w:val="0"/>
          <w:divBdr>
            <w:top w:val="none" w:sz="0" w:space="0" w:color="auto"/>
            <w:left w:val="none" w:sz="0" w:space="0" w:color="auto"/>
            <w:bottom w:val="none" w:sz="0" w:space="0" w:color="auto"/>
            <w:right w:val="none" w:sz="0" w:space="0" w:color="auto"/>
          </w:divBdr>
          <w:divsChild>
            <w:div w:id="2062902836">
              <w:marLeft w:val="0"/>
              <w:marRight w:val="0"/>
              <w:marTop w:val="0"/>
              <w:marBottom w:val="0"/>
              <w:divBdr>
                <w:top w:val="none" w:sz="0" w:space="0" w:color="auto"/>
                <w:left w:val="none" w:sz="0" w:space="0" w:color="auto"/>
                <w:bottom w:val="none" w:sz="0" w:space="0" w:color="auto"/>
                <w:right w:val="none" w:sz="0" w:space="0" w:color="auto"/>
              </w:divBdr>
            </w:div>
          </w:divsChild>
        </w:div>
        <w:div w:id="109596865">
          <w:marLeft w:val="0"/>
          <w:marRight w:val="0"/>
          <w:marTop w:val="0"/>
          <w:marBottom w:val="0"/>
          <w:divBdr>
            <w:top w:val="none" w:sz="0" w:space="0" w:color="auto"/>
            <w:left w:val="none" w:sz="0" w:space="0" w:color="auto"/>
            <w:bottom w:val="none" w:sz="0" w:space="0" w:color="auto"/>
            <w:right w:val="none" w:sz="0" w:space="0" w:color="auto"/>
          </w:divBdr>
          <w:divsChild>
            <w:div w:id="18044354">
              <w:marLeft w:val="0"/>
              <w:marRight w:val="0"/>
              <w:marTop w:val="0"/>
              <w:marBottom w:val="0"/>
              <w:divBdr>
                <w:top w:val="none" w:sz="0" w:space="0" w:color="auto"/>
                <w:left w:val="none" w:sz="0" w:space="0" w:color="auto"/>
                <w:bottom w:val="none" w:sz="0" w:space="0" w:color="auto"/>
                <w:right w:val="none" w:sz="0" w:space="0" w:color="auto"/>
              </w:divBdr>
            </w:div>
          </w:divsChild>
        </w:div>
        <w:div w:id="131169378">
          <w:marLeft w:val="0"/>
          <w:marRight w:val="0"/>
          <w:marTop w:val="0"/>
          <w:marBottom w:val="0"/>
          <w:divBdr>
            <w:top w:val="none" w:sz="0" w:space="0" w:color="auto"/>
            <w:left w:val="none" w:sz="0" w:space="0" w:color="auto"/>
            <w:bottom w:val="none" w:sz="0" w:space="0" w:color="auto"/>
            <w:right w:val="none" w:sz="0" w:space="0" w:color="auto"/>
          </w:divBdr>
          <w:divsChild>
            <w:div w:id="1530605848">
              <w:marLeft w:val="0"/>
              <w:marRight w:val="0"/>
              <w:marTop w:val="0"/>
              <w:marBottom w:val="0"/>
              <w:divBdr>
                <w:top w:val="none" w:sz="0" w:space="0" w:color="auto"/>
                <w:left w:val="none" w:sz="0" w:space="0" w:color="auto"/>
                <w:bottom w:val="none" w:sz="0" w:space="0" w:color="auto"/>
                <w:right w:val="none" w:sz="0" w:space="0" w:color="auto"/>
              </w:divBdr>
            </w:div>
          </w:divsChild>
        </w:div>
        <w:div w:id="170342161">
          <w:marLeft w:val="0"/>
          <w:marRight w:val="0"/>
          <w:marTop w:val="0"/>
          <w:marBottom w:val="0"/>
          <w:divBdr>
            <w:top w:val="none" w:sz="0" w:space="0" w:color="auto"/>
            <w:left w:val="none" w:sz="0" w:space="0" w:color="auto"/>
            <w:bottom w:val="none" w:sz="0" w:space="0" w:color="auto"/>
            <w:right w:val="none" w:sz="0" w:space="0" w:color="auto"/>
          </w:divBdr>
          <w:divsChild>
            <w:div w:id="306396591">
              <w:marLeft w:val="0"/>
              <w:marRight w:val="0"/>
              <w:marTop w:val="0"/>
              <w:marBottom w:val="0"/>
              <w:divBdr>
                <w:top w:val="none" w:sz="0" w:space="0" w:color="auto"/>
                <w:left w:val="none" w:sz="0" w:space="0" w:color="auto"/>
                <w:bottom w:val="none" w:sz="0" w:space="0" w:color="auto"/>
                <w:right w:val="none" w:sz="0" w:space="0" w:color="auto"/>
              </w:divBdr>
            </w:div>
          </w:divsChild>
        </w:div>
        <w:div w:id="288249348">
          <w:marLeft w:val="0"/>
          <w:marRight w:val="0"/>
          <w:marTop w:val="0"/>
          <w:marBottom w:val="0"/>
          <w:divBdr>
            <w:top w:val="none" w:sz="0" w:space="0" w:color="auto"/>
            <w:left w:val="none" w:sz="0" w:space="0" w:color="auto"/>
            <w:bottom w:val="none" w:sz="0" w:space="0" w:color="auto"/>
            <w:right w:val="none" w:sz="0" w:space="0" w:color="auto"/>
          </w:divBdr>
          <w:divsChild>
            <w:div w:id="115952062">
              <w:marLeft w:val="0"/>
              <w:marRight w:val="0"/>
              <w:marTop w:val="0"/>
              <w:marBottom w:val="0"/>
              <w:divBdr>
                <w:top w:val="none" w:sz="0" w:space="0" w:color="auto"/>
                <w:left w:val="none" w:sz="0" w:space="0" w:color="auto"/>
                <w:bottom w:val="none" w:sz="0" w:space="0" w:color="auto"/>
                <w:right w:val="none" w:sz="0" w:space="0" w:color="auto"/>
              </w:divBdr>
            </w:div>
          </w:divsChild>
        </w:div>
        <w:div w:id="317464752">
          <w:marLeft w:val="0"/>
          <w:marRight w:val="0"/>
          <w:marTop w:val="0"/>
          <w:marBottom w:val="0"/>
          <w:divBdr>
            <w:top w:val="none" w:sz="0" w:space="0" w:color="auto"/>
            <w:left w:val="none" w:sz="0" w:space="0" w:color="auto"/>
            <w:bottom w:val="none" w:sz="0" w:space="0" w:color="auto"/>
            <w:right w:val="none" w:sz="0" w:space="0" w:color="auto"/>
          </w:divBdr>
          <w:divsChild>
            <w:div w:id="515996447">
              <w:marLeft w:val="0"/>
              <w:marRight w:val="0"/>
              <w:marTop w:val="0"/>
              <w:marBottom w:val="0"/>
              <w:divBdr>
                <w:top w:val="none" w:sz="0" w:space="0" w:color="auto"/>
                <w:left w:val="none" w:sz="0" w:space="0" w:color="auto"/>
                <w:bottom w:val="none" w:sz="0" w:space="0" w:color="auto"/>
                <w:right w:val="none" w:sz="0" w:space="0" w:color="auto"/>
              </w:divBdr>
            </w:div>
          </w:divsChild>
        </w:div>
        <w:div w:id="398481478">
          <w:marLeft w:val="0"/>
          <w:marRight w:val="0"/>
          <w:marTop w:val="0"/>
          <w:marBottom w:val="0"/>
          <w:divBdr>
            <w:top w:val="none" w:sz="0" w:space="0" w:color="auto"/>
            <w:left w:val="none" w:sz="0" w:space="0" w:color="auto"/>
            <w:bottom w:val="none" w:sz="0" w:space="0" w:color="auto"/>
            <w:right w:val="none" w:sz="0" w:space="0" w:color="auto"/>
          </w:divBdr>
          <w:divsChild>
            <w:div w:id="1835996736">
              <w:marLeft w:val="0"/>
              <w:marRight w:val="0"/>
              <w:marTop w:val="0"/>
              <w:marBottom w:val="0"/>
              <w:divBdr>
                <w:top w:val="none" w:sz="0" w:space="0" w:color="auto"/>
                <w:left w:val="none" w:sz="0" w:space="0" w:color="auto"/>
                <w:bottom w:val="none" w:sz="0" w:space="0" w:color="auto"/>
                <w:right w:val="none" w:sz="0" w:space="0" w:color="auto"/>
              </w:divBdr>
            </w:div>
          </w:divsChild>
        </w:div>
        <w:div w:id="434979963">
          <w:marLeft w:val="0"/>
          <w:marRight w:val="0"/>
          <w:marTop w:val="0"/>
          <w:marBottom w:val="0"/>
          <w:divBdr>
            <w:top w:val="none" w:sz="0" w:space="0" w:color="auto"/>
            <w:left w:val="none" w:sz="0" w:space="0" w:color="auto"/>
            <w:bottom w:val="none" w:sz="0" w:space="0" w:color="auto"/>
            <w:right w:val="none" w:sz="0" w:space="0" w:color="auto"/>
          </w:divBdr>
          <w:divsChild>
            <w:div w:id="413169419">
              <w:marLeft w:val="0"/>
              <w:marRight w:val="0"/>
              <w:marTop w:val="0"/>
              <w:marBottom w:val="0"/>
              <w:divBdr>
                <w:top w:val="none" w:sz="0" w:space="0" w:color="auto"/>
                <w:left w:val="none" w:sz="0" w:space="0" w:color="auto"/>
                <w:bottom w:val="none" w:sz="0" w:space="0" w:color="auto"/>
                <w:right w:val="none" w:sz="0" w:space="0" w:color="auto"/>
              </w:divBdr>
            </w:div>
          </w:divsChild>
        </w:div>
        <w:div w:id="540363238">
          <w:marLeft w:val="0"/>
          <w:marRight w:val="0"/>
          <w:marTop w:val="0"/>
          <w:marBottom w:val="0"/>
          <w:divBdr>
            <w:top w:val="none" w:sz="0" w:space="0" w:color="auto"/>
            <w:left w:val="none" w:sz="0" w:space="0" w:color="auto"/>
            <w:bottom w:val="none" w:sz="0" w:space="0" w:color="auto"/>
            <w:right w:val="none" w:sz="0" w:space="0" w:color="auto"/>
          </w:divBdr>
          <w:divsChild>
            <w:div w:id="1755856357">
              <w:marLeft w:val="0"/>
              <w:marRight w:val="0"/>
              <w:marTop w:val="0"/>
              <w:marBottom w:val="0"/>
              <w:divBdr>
                <w:top w:val="none" w:sz="0" w:space="0" w:color="auto"/>
                <w:left w:val="none" w:sz="0" w:space="0" w:color="auto"/>
                <w:bottom w:val="none" w:sz="0" w:space="0" w:color="auto"/>
                <w:right w:val="none" w:sz="0" w:space="0" w:color="auto"/>
              </w:divBdr>
            </w:div>
          </w:divsChild>
        </w:div>
        <w:div w:id="543444681">
          <w:marLeft w:val="0"/>
          <w:marRight w:val="0"/>
          <w:marTop w:val="0"/>
          <w:marBottom w:val="0"/>
          <w:divBdr>
            <w:top w:val="none" w:sz="0" w:space="0" w:color="auto"/>
            <w:left w:val="none" w:sz="0" w:space="0" w:color="auto"/>
            <w:bottom w:val="none" w:sz="0" w:space="0" w:color="auto"/>
            <w:right w:val="none" w:sz="0" w:space="0" w:color="auto"/>
          </w:divBdr>
          <w:divsChild>
            <w:div w:id="476150940">
              <w:marLeft w:val="0"/>
              <w:marRight w:val="0"/>
              <w:marTop w:val="0"/>
              <w:marBottom w:val="0"/>
              <w:divBdr>
                <w:top w:val="none" w:sz="0" w:space="0" w:color="auto"/>
                <w:left w:val="none" w:sz="0" w:space="0" w:color="auto"/>
                <w:bottom w:val="none" w:sz="0" w:space="0" w:color="auto"/>
                <w:right w:val="none" w:sz="0" w:space="0" w:color="auto"/>
              </w:divBdr>
            </w:div>
          </w:divsChild>
        </w:div>
        <w:div w:id="637107233">
          <w:marLeft w:val="0"/>
          <w:marRight w:val="0"/>
          <w:marTop w:val="0"/>
          <w:marBottom w:val="0"/>
          <w:divBdr>
            <w:top w:val="none" w:sz="0" w:space="0" w:color="auto"/>
            <w:left w:val="none" w:sz="0" w:space="0" w:color="auto"/>
            <w:bottom w:val="none" w:sz="0" w:space="0" w:color="auto"/>
            <w:right w:val="none" w:sz="0" w:space="0" w:color="auto"/>
          </w:divBdr>
          <w:divsChild>
            <w:div w:id="1852723360">
              <w:marLeft w:val="0"/>
              <w:marRight w:val="0"/>
              <w:marTop w:val="0"/>
              <w:marBottom w:val="0"/>
              <w:divBdr>
                <w:top w:val="none" w:sz="0" w:space="0" w:color="auto"/>
                <w:left w:val="none" w:sz="0" w:space="0" w:color="auto"/>
                <w:bottom w:val="none" w:sz="0" w:space="0" w:color="auto"/>
                <w:right w:val="none" w:sz="0" w:space="0" w:color="auto"/>
              </w:divBdr>
            </w:div>
          </w:divsChild>
        </w:div>
        <w:div w:id="644552184">
          <w:marLeft w:val="0"/>
          <w:marRight w:val="0"/>
          <w:marTop w:val="0"/>
          <w:marBottom w:val="0"/>
          <w:divBdr>
            <w:top w:val="none" w:sz="0" w:space="0" w:color="auto"/>
            <w:left w:val="none" w:sz="0" w:space="0" w:color="auto"/>
            <w:bottom w:val="none" w:sz="0" w:space="0" w:color="auto"/>
            <w:right w:val="none" w:sz="0" w:space="0" w:color="auto"/>
          </w:divBdr>
          <w:divsChild>
            <w:div w:id="124397752">
              <w:marLeft w:val="0"/>
              <w:marRight w:val="0"/>
              <w:marTop w:val="0"/>
              <w:marBottom w:val="0"/>
              <w:divBdr>
                <w:top w:val="none" w:sz="0" w:space="0" w:color="auto"/>
                <w:left w:val="none" w:sz="0" w:space="0" w:color="auto"/>
                <w:bottom w:val="none" w:sz="0" w:space="0" w:color="auto"/>
                <w:right w:val="none" w:sz="0" w:space="0" w:color="auto"/>
              </w:divBdr>
            </w:div>
          </w:divsChild>
        </w:div>
        <w:div w:id="661085171">
          <w:marLeft w:val="0"/>
          <w:marRight w:val="0"/>
          <w:marTop w:val="0"/>
          <w:marBottom w:val="0"/>
          <w:divBdr>
            <w:top w:val="none" w:sz="0" w:space="0" w:color="auto"/>
            <w:left w:val="none" w:sz="0" w:space="0" w:color="auto"/>
            <w:bottom w:val="none" w:sz="0" w:space="0" w:color="auto"/>
            <w:right w:val="none" w:sz="0" w:space="0" w:color="auto"/>
          </w:divBdr>
          <w:divsChild>
            <w:div w:id="884102444">
              <w:marLeft w:val="0"/>
              <w:marRight w:val="0"/>
              <w:marTop w:val="0"/>
              <w:marBottom w:val="0"/>
              <w:divBdr>
                <w:top w:val="none" w:sz="0" w:space="0" w:color="auto"/>
                <w:left w:val="none" w:sz="0" w:space="0" w:color="auto"/>
                <w:bottom w:val="none" w:sz="0" w:space="0" w:color="auto"/>
                <w:right w:val="none" w:sz="0" w:space="0" w:color="auto"/>
              </w:divBdr>
            </w:div>
          </w:divsChild>
        </w:div>
        <w:div w:id="707265978">
          <w:marLeft w:val="0"/>
          <w:marRight w:val="0"/>
          <w:marTop w:val="0"/>
          <w:marBottom w:val="0"/>
          <w:divBdr>
            <w:top w:val="none" w:sz="0" w:space="0" w:color="auto"/>
            <w:left w:val="none" w:sz="0" w:space="0" w:color="auto"/>
            <w:bottom w:val="none" w:sz="0" w:space="0" w:color="auto"/>
            <w:right w:val="none" w:sz="0" w:space="0" w:color="auto"/>
          </w:divBdr>
          <w:divsChild>
            <w:div w:id="695422792">
              <w:marLeft w:val="0"/>
              <w:marRight w:val="0"/>
              <w:marTop w:val="0"/>
              <w:marBottom w:val="0"/>
              <w:divBdr>
                <w:top w:val="none" w:sz="0" w:space="0" w:color="auto"/>
                <w:left w:val="none" w:sz="0" w:space="0" w:color="auto"/>
                <w:bottom w:val="none" w:sz="0" w:space="0" w:color="auto"/>
                <w:right w:val="none" w:sz="0" w:space="0" w:color="auto"/>
              </w:divBdr>
            </w:div>
          </w:divsChild>
        </w:div>
        <w:div w:id="759444315">
          <w:marLeft w:val="0"/>
          <w:marRight w:val="0"/>
          <w:marTop w:val="0"/>
          <w:marBottom w:val="0"/>
          <w:divBdr>
            <w:top w:val="none" w:sz="0" w:space="0" w:color="auto"/>
            <w:left w:val="none" w:sz="0" w:space="0" w:color="auto"/>
            <w:bottom w:val="none" w:sz="0" w:space="0" w:color="auto"/>
            <w:right w:val="none" w:sz="0" w:space="0" w:color="auto"/>
          </w:divBdr>
          <w:divsChild>
            <w:div w:id="1190292509">
              <w:marLeft w:val="0"/>
              <w:marRight w:val="0"/>
              <w:marTop w:val="0"/>
              <w:marBottom w:val="0"/>
              <w:divBdr>
                <w:top w:val="none" w:sz="0" w:space="0" w:color="auto"/>
                <w:left w:val="none" w:sz="0" w:space="0" w:color="auto"/>
                <w:bottom w:val="none" w:sz="0" w:space="0" w:color="auto"/>
                <w:right w:val="none" w:sz="0" w:space="0" w:color="auto"/>
              </w:divBdr>
            </w:div>
          </w:divsChild>
        </w:div>
        <w:div w:id="797992902">
          <w:marLeft w:val="0"/>
          <w:marRight w:val="0"/>
          <w:marTop w:val="0"/>
          <w:marBottom w:val="0"/>
          <w:divBdr>
            <w:top w:val="none" w:sz="0" w:space="0" w:color="auto"/>
            <w:left w:val="none" w:sz="0" w:space="0" w:color="auto"/>
            <w:bottom w:val="none" w:sz="0" w:space="0" w:color="auto"/>
            <w:right w:val="none" w:sz="0" w:space="0" w:color="auto"/>
          </w:divBdr>
          <w:divsChild>
            <w:div w:id="178861084">
              <w:marLeft w:val="0"/>
              <w:marRight w:val="0"/>
              <w:marTop w:val="0"/>
              <w:marBottom w:val="0"/>
              <w:divBdr>
                <w:top w:val="none" w:sz="0" w:space="0" w:color="auto"/>
                <w:left w:val="none" w:sz="0" w:space="0" w:color="auto"/>
                <w:bottom w:val="none" w:sz="0" w:space="0" w:color="auto"/>
                <w:right w:val="none" w:sz="0" w:space="0" w:color="auto"/>
              </w:divBdr>
            </w:div>
          </w:divsChild>
        </w:div>
        <w:div w:id="852307470">
          <w:marLeft w:val="0"/>
          <w:marRight w:val="0"/>
          <w:marTop w:val="0"/>
          <w:marBottom w:val="0"/>
          <w:divBdr>
            <w:top w:val="none" w:sz="0" w:space="0" w:color="auto"/>
            <w:left w:val="none" w:sz="0" w:space="0" w:color="auto"/>
            <w:bottom w:val="none" w:sz="0" w:space="0" w:color="auto"/>
            <w:right w:val="none" w:sz="0" w:space="0" w:color="auto"/>
          </w:divBdr>
          <w:divsChild>
            <w:div w:id="447745870">
              <w:marLeft w:val="0"/>
              <w:marRight w:val="0"/>
              <w:marTop w:val="0"/>
              <w:marBottom w:val="0"/>
              <w:divBdr>
                <w:top w:val="none" w:sz="0" w:space="0" w:color="auto"/>
                <w:left w:val="none" w:sz="0" w:space="0" w:color="auto"/>
                <w:bottom w:val="none" w:sz="0" w:space="0" w:color="auto"/>
                <w:right w:val="none" w:sz="0" w:space="0" w:color="auto"/>
              </w:divBdr>
            </w:div>
          </w:divsChild>
        </w:div>
        <w:div w:id="885678294">
          <w:marLeft w:val="0"/>
          <w:marRight w:val="0"/>
          <w:marTop w:val="0"/>
          <w:marBottom w:val="0"/>
          <w:divBdr>
            <w:top w:val="none" w:sz="0" w:space="0" w:color="auto"/>
            <w:left w:val="none" w:sz="0" w:space="0" w:color="auto"/>
            <w:bottom w:val="none" w:sz="0" w:space="0" w:color="auto"/>
            <w:right w:val="none" w:sz="0" w:space="0" w:color="auto"/>
          </w:divBdr>
          <w:divsChild>
            <w:div w:id="985085397">
              <w:marLeft w:val="0"/>
              <w:marRight w:val="0"/>
              <w:marTop w:val="0"/>
              <w:marBottom w:val="0"/>
              <w:divBdr>
                <w:top w:val="none" w:sz="0" w:space="0" w:color="auto"/>
                <w:left w:val="none" w:sz="0" w:space="0" w:color="auto"/>
                <w:bottom w:val="none" w:sz="0" w:space="0" w:color="auto"/>
                <w:right w:val="none" w:sz="0" w:space="0" w:color="auto"/>
              </w:divBdr>
            </w:div>
          </w:divsChild>
        </w:div>
        <w:div w:id="895317604">
          <w:marLeft w:val="0"/>
          <w:marRight w:val="0"/>
          <w:marTop w:val="0"/>
          <w:marBottom w:val="0"/>
          <w:divBdr>
            <w:top w:val="none" w:sz="0" w:space="0" w:color="auto"/>
            <w:left w:val="none" w:sz="0" w:space="0" w:color="auto"/>
            <w:bottom w:val="none" w:sz="0" w:space="0" w:color="auto"/>
            <w:right w:val="none" w:sz="0" w:space="0" w:color="auto"/>
          </w:divBdr>
          <w:divsChild>
            <w:div w:id="236941768">
              <w:marLeft w:val="0"/>
              <w:marRight w:val="0"/>
              <w:marTop w:val="0"/>
              <w:marBottom w:val="0"/>
              <w:divBdr>
                <w:top w:val="none" w:sz="0" w:space="0" w:color="auto"/>
                <w:left w:val="none" w:sz="0" w:space="0" w:color="auto"/>
                <w:bottom w:val="none" w:sz="0" w:space="0" w:color="auto"/>
                <w:right w:val="none" w:sz="0" w:space="0" w:color="auto"/>
              </w:divBdr>
            </w:div>
          </w:divsChild>
        </w:div>
        <w:div w:id="938484132">
          <w:marLeft w:val="0"/>
          <w:marRight w:val="0"/>
          <w:marTop w:val="0"/>
          <w:marBottom w:val="0"/>
          <w:divBdr>
            <w:top w:val="none" w:sz="0" w:space="0" w:color="auto"/>
            <w:left w:val="none" w:sz="0" w:space="0" w:color="auto"/>
            <w:bottom w:val="none" w:sz="0" w:space="0" w:color="auto"/>
            <w:right w:val="none" w:sz="0" w:space="0" w:color="auto"/>
          </w:divBdr>
          <w:divsChild>
            <w:div w:id="2010054891">
              <w:marLeft w:val="0"/>
              <w:marRight w:val="0"/>
              <w:marTop w:val="0"/>
              <w:marBottom w:val="0"/>
              <w:divBdr>
                <w:top w:val="none" w:sz="0" w:space="0" w:color="auto"/>
                <w:left w:val="none" w:sz="0" w:space="0" w:color="auto"/>
                <w:bottom w:val="none" w:sz="0" w:space="0" w:color="auto"/>
                <w:right w:val="none" w:sz="0" w:space="0" w:color="auto"/>
              </w:divBdr>
            </w:div>
          </w:divsChild>
        </w:div>
        <w:div w:id="999772123">
          <w:marLeft w:val="0"/>
          <w:marRight w:val="0"/>
          <w:marTop w:val="0"/>
          <w:marBottom w:val="0"/>
          <w:divBdr>
            <w:top w:val="none" w:sz="0" w:space="0" w:color="auto"/>
            <w:left w:val="none" w:sz="0" w:space="0" w:color="auto"/>
            <w:bottom w:val="none" w:sz="0" w:space="0" w:color="auto"/>
            <w:right w:val="none" w:sz="0" w:space="0" w:color="auto"/>
          </w:divBdr>
          <w:divsChild>
            <w:div w:id="1102533376">
              <w:marLeft w:val="0"/>
              <w:marRight w:val="0"/>
              <w:marTop w:val="0"/>
              <w:marBottom w:val="0"/>
              <w:divBdr>
                <w:top w:val="none" w:sz="0" w:space="0" w:color="auto"/>
                <w:left w:val="none" w:sz="0" w:space="0" w:color="auto"/>
                <w:bottom w:val="none" w:sz="0" w:space="0" w:color="auto"/>
                <w:right w:val="none" w:sz="0" w:space="0" w:color="auto"/>
              </w:divBdr>
            </w:div>
          </w:divsChild>
        </w:div>
        <w:div w:id="1171481820">
          <w:marLeft w:val="0"/>
          <w:marRight w:val="0"/>
          <w:marTop w:val="0"/>
          <w:marBottom w:val="0"/>
          <w:divBdr>
            <w:top w:val="none" w:sz="0" w:space="0" w:color="auto"/>
            <w:left w:val="none" w:sz="0" w:space="0" w:color="auto"/>
            <w:bottom w:val="none" w:sz="0" w:space="0" w:color="auto"/>
            <w:right w:val="none" w:sz="0" w:space="0" w:color="auto"/>
          </w:divBdr>
          <w:divsChild>
            <w:div w:id="1096705119">
              <w:marLeft w:val="0"/>
              <w:marRight w:val="0"/>
              <w:marTop w:val="0"/>
              <w:marBottom w:val="0"/>
              <w:divBdr>
                <w:top w:val="none" w:sz="0" w:space="0" w:color="auto"/>
                <w:left w:val="none" w:sz="0" w:space="0" w:color="auto"/>
                <w:bottom w:val="none" w:sz="0" w:space="0" w:color="auto"/>
                <w:right w:val="none" w:sz="0" w:space="0" w:color="auto"/>
              </w:divBdr>
            </w:div>
          </w:divsChild>
        </w:div>
        <w:div w:id="1214078950">
          <w:marLeft w:val="0"/>
          <w:marRight w:val="0"/>
          <w:marTop w:val="0"/>
          <w:marBottom w:val="0"/>
          <w:divBdr>
            <w:top w:val="none" w:sz="0" w:space="0" w:color="auto"/>
            <w:left w:val="none" w:sz="0" w:space="0" w:color="auto"/>
            <w:bottom w:val="none" w:sz="0" w:space="0" w:color="auto"/>
            <w:right w:val="none" w:sz="0" w:space="0" w:color="auto"/>
          </w:divBdr>
          <w:divsChild>
            <w:div w:id="111246860">
              <w:marLeft w:val="0"/>
              <w:marRight w:val="0"/>
              <w:marTop w:val="0"/>
              <w:marBottom w:val="0"/>
              <w:divBdr>
                <w:top w:val="none" w:sz="0" w:space="0" w:color="auto"/>
                <w:left w:val="none" w:sz="0" w:space="0" w:color="auto"/>
                <w:bottom w:val="none" w:sz="0" w:space="0" w:color="auto"/>
                <w:right w:val="none" w:sz="0" w:space="0" w:color="auto"/>
              </w:divBdr>
            </w:div>
          </w:divsChild>
        </w:div>
        <w:div w:id="1237352033">
          <w:marLeft w:val="0"/>
          <w:marRight w:val="0"/>
          <w:marTop w:val="0"/>
          <w:marBottom w:val="0"/>
          <w:divBdr>
            <w:top w:val="none" w:sz="0" w:space="0" w:color="auto"/>
            <w:left w:val="none" w:sz="0" w:space="0" w:color="auto"/>
            <w:bottom w:val="none" w:sz="0" w:space="0" w:color="auto"/>
            <w:right w:val="none" w:sz="0" w:space="0" w:color="auto"/>
          </w:divBdr>
          <w:divsChild>
            <w:div w:id="422185353">
              <w:marLeft w:val="0"/>
              <w:marRight w:val="0"/>
              <w:marTop w:val="0"/>
              <w:marBottom w:val="0"/>
              <w:divBdr>
                <w:top w:val="none" w:sz="0" w:space="0" w:color="auto"/>
                <w:left w:val="none" w:sz="0" w:space="0" w:color="auto"/>
                <w:bottom w:val="none" w:sz="0" w:space="0" w:color="auto"/>
                <w:right w:val="none" w:sz="0" w:space="0" w:color="auto"/>
              </w:divBdr>
            </w:div>
          </w:divsChild>
        </w:div>
        <w:div w:id="1413313763">
          <w:marLeft w:val="0"/>
          <w:marRight w:val="0"/>
          <w:marTop w:val="0"/>
          <w:marBottom w:val="0"/>
          <w:divBdr>
            <w:top w:val="none" w:sz="0" w:space="0" w:color="auto"/>
            <w:left w:val="none" w:sz="0" w:space="0" w:color="auto"/>
            <w:bottom w:val="none" w:sz="0" w:space="0" w:color="auto"/>
            <w:right w:val="none" w:sz="0" w:space="0" w:color="auto"/>
          </w:divBdr>
          <w:divsChild>
            <w:div w:id="1271813799">
              <w:marLeft w:val="0"/>
              <w:marRight w:val="0"/>
              <w:marTop w:val="0"/>
              <w:marBottom w:val="0"/>
              <w:divBdr>
                <w:top w:val="none" w:sz="0" w:space="0" w:color="auto"/>
                <w:left w:val="none" w:sz="0" w:space="0" w:color="auto"/>
                <w:bottom w:val="none" w:sz="0" w:space="0" w:color="auto"/>
                <w:right w:val="none" w:sz="0" w:space="0" w:color="auto"/>
              </w:divBdr>
            </w:div>
          </w:divsChild>
        </w:div>
        <w:div w:id="1431973547">
          <w:marLeft w:val="0"/>
          <w:marRight w:val="0"/>
          <w:marTop w:val="0"/>
          <w:marBottom w:val="0"/>
          <w:divBdr>
            <w:top w:val="none" w:sz="0" w:space="0" w:color="auto"/>
            <w:left w:val="none" w:sz="0" w:space="0" w:color="auto"/>
            <w:bottom w:val="none" w:sz="0" w:space="0" w:color="auto"/>
            <w:right w:val="none" w:sz="0" w:space="0" w:color="auto"/>
          </w:divBdr>
          <w:divsChild>
            <w:div w:id="177618210">
              <w:marLeft w:val="0"/>
              <w:marRight w:val="0"/>
              <w:marTop w:val="0"/>
              <w:marBottom w:val="0"/>
              <w:divBdr>
                <w:top w:val="none" w:sz="0" w:space="0" w:color="auto"/>
                <w:left w:val="none" w:sz="0" w:space="0" w:color="auto"/>
                <w:bottom w:val="none" w:sz="0" w:space="0" w:color="auto"/>
                <w:right w:val="none" w:sz="0" w:space="0" w:color="auto"/>
              </w:divBdr>
            </w:div>
          </w:divsChild>
        </w:div>
        <w:div w:id="1456942525">
          <w:marLeft w:val="0"/>
          <w:marRight w:val="0"/>
          <w:marTop w:val="0"/>
          <w:marBottom w:val="0"/>
          <w:divBdr>
            <w:top w:val="none" w:sz="0" w:space="0" w:color="auto"/>
            <w:left w:val="none" w:sz="0" w:space="0" w:color="auto"/>
            <w:bottom w:val="none" w:sz="0" w:space="0" w:color="auto"/>
            <w:right w:val="none" w:sz="0" w:space="0" w:color="auto"/>
          </w:divBdr>
          <w:divsChild>
            <w:div w:id="379937214">
              <w:marLeft w:val="0"/>
              <w:marRight w:val="0"/>
              <w:marTop w:val="0"/>
              <w:marBottom w:val="0"/>
              <w:divBdr>
                <w:top w:val="none" w:sz="0" w:space="0" w:color="auto"/>
                <w:left w:val="none" w:sz="0" w:space="0" w:color="auto"/>
                <w:bottom w:val="none" w:sz="0" w:space="0" w:color="auto"/>
                <w:right w:val="none" w:sz="0" w:space="0" w:color="auto"/>
              </w:divBdr>
            </w:div>
          </w:divsChild>
        </w:div>
        <w:div w:id="1458990071">
          <w:marLeft w:val="0"/>
          <w:marRight w:val="0"/>
          <w:marTop w:val="0"/>
          <w:marBottom w:val="0"/>
          <w:divBdr>
            <w:top w:val="none" w:sz="0" w:space="0" w:color="auto"/>
            <w:left w:val="none" w:sz="0" w:space="0" w:color="auto"/>
            <w:bottom w:val="none" w:sz="0" w:space="0" w:color="auto"/>
            <w:right w:val="none" w:sz="0" w:space="0" w:color="auto"/>
          </w:divBdr>
          <w:divsChild>
            <w:div w:id="1968395656">
              <w:marLeft w:val="0"/>
              <w:marRight w:val="0"/>
              <w:marTop w:val="0"/>
              <w:marBottom w:val="0"/>
              <w:divBdr>
                <w:top w:val="none" w:sz="0" w:space="0" w:color="auto"/>
                <w:left w:val="none" w:sz="0" w:space="0" w:color="auto"/>
                <w:bottom w:val="none" w:sz="0" w:space="0" w:color="auto"/>
                <w:right w:val="none" w:sz="0" w:space="0" w:color="auto"/>
              </w:divBdr>
            </w:div>
          </w:divsChild>
        </w:div>
        <w:div w:id="1523203987">
          <w:marLeft w:val="0"/>
          <w:marRight w:val="0"/>
          <w:marTop w:val="0"/>
          <w:marBottom w:val="0"/>
          <w:divBdr>
            <w:top w:val="none" w:sz="0" w:space="0" w:color="auto"/>
            <w:left w:val="none" w:sz="0" w:space="0" w:color="auto"/>
            <w:bottom w:val="none" w:sz="0" w:space="0" w:color="auto"/>
            <w:right w:val="none" w:sz="0" w:space="0" w:color="auto"/>
          </w:divBdr>
          <w:divsChild>
            <w:div w:id="1682662316">
              <w:marLeft w:val="0"/>
              <w:marRight w:val="0"/>
              <w:marTop w:val="0"/>
              <w:marBottom w:val="0"/>
              <w:divBdr>
                <w:top w:val="none" w:sz="0" w:space="0" w:color="auto"/>
                <w:left w:val="none" w:sz="0" w:space="0" w:color="auto"/>
                <w:bottom w:val="none" w:sz="0" w:space="0" w:color="auto"/>
                <w:right w:val="none" w:sz="0" w:space="0" w:color="auto"/>
              </w:divBdr>
            </w:div>
          </w:divsChild>
        </w:div>
        <w:div w:id="1574851746">
          <w:marLeft w:val="0"/>
          <w:marRight w:val="0"/>
          <w:marTop w:val="0"/>
          <w:marBottom w:val="0"/>
          <w:divBdr>
            <w:top w:val="none" w:sz="0" w:space="0" w:color="auto"/>
            <w:left w:val="none" w:sz="0" w:space="0" w:color="auto"/>
            <w:bottom w:val="none" w:sz="0" w:space="0" w:color="auto"/>
            <w:right w:val="none" w:sz="0" w:space="0" w:color="auto"/>
          </w:divBdr>
          <w:divsChild>
            <w:div w:id="1701082733">
              <w:marLeft w:val="0"/>
              <w:marRight w:val="0"/>
              <w:marTop w:val="0"/>
              <w:marBottom w:val="0"/>
              <w:divBdr>
                <w:top w:val="none" w:sz="0" w:space="0" w:color="auto"/>
                <w:left w:val="none" w:sz="0" w:space="0" w:color="auto"/>
                <w:bottom w:val="none" w:sz="0" w:space="0" w:color="auto"/>
                <w:right w:val="none" w:sz="0" w:space="0" w:color="auto"/>
              </w:divBdr>
            </w:div>
          </w:divsChild>
        </w:div>
        <w:div w:id="1739085855">
          <w:marLeft w:val="0"/>
          <w:marRight w:val="0"/>
          <w:marTop w:val="0"/>
          <w:marBottom w:val="0"/>
          <w:divBdr>
            <w:top w:val="none" w:sz="0" w:space="0" w:color="auto"/>
            <w:left w:val="none" w:sz="0" w:space="0" w:color="auto"/>
            <w:bottom w:val="none" w:sz="0" w:space="0" w:color="auto"/>
            <w:right w:val="none" w:sz="0" w:space="0" w:color="auto"/>
          </w:divBdr>
          <w:divsChild>
            <w:div w:id="69811150">
              <w:marLeft w:val="0"/>
              <w:marRight w:val="0"/>
              <w:marTop w:val="0"/>
              <w:marBottom w:val="0"/>
              <w:divBdr>
                <w:top w:val="none" w:sz="0" w:space="0" w:color="auto"/>
                <w:left w:val="none" w:sz="0" w:space="0" w:color="auto"/>
                <w:bottom w:val="none" w:sz="0" w:space="0" w:color="auto"/>
                <w:right w:val="none" w:sz="0" w:space="0" w:color="auto"/>
              </w:divBdr>
            </w:div>
          </w:divsChild>
        </w:div>
        <w:div w:id="1739861549">
          <w:marLeft w:val="0"/>
          <w:marRight w:val="0"/>
          <w:marTop w:val="0"/>
          <w:marBottom w:val="0"/>
          <w:divBdr>
            <w:top w:val="none" w:sz="0" w:space="0" w:color="auto"/>
            <w:left w:val="none" w:sz="0" w:space="0" w:color="auto"/>
            <w:bottom w:val="none" w:sz="0" w:space="0" w:color="auto"/>
            <w:right w:val="none" w:sz="0" w:space="0" w:color="auto"/>
          </w:divBdr>
          <w:divsChild>
            <w:div w:id="1558931055">
              <w:marLeft w:val="0"/>
              <w:marRight w:val="0"/>
              <w:marTop w:val="0"/>
              <w:marBottom w:val="0"/>
              <w:divBdr>
                <w:top w:val="none" w:sz="0" w:space="0" w:color="auto"/>
                <w:left w:val="none" w:sz="0" w:space="0" w:color="auto"/>
                <w:bottom w:val="none" w:sz="0" w:space="0" w:color="auto"/>
                <w:right w:val="none" w:sz="0" w:space="0" w:color="auto"/>
              </w:divBdr>
            </w:div>
          </w:divsChild>
        </w:div>
        <w:div w:id="1904829911">
          <w:marLeft w:val="0"/>
          <w:marRight w:val="0"/>
          <w:marTop w:val="0"/>
          <w:marBottom w:val="0"/>
          <w:divBdr>
            <w:top w:val="none" w:sz="0" w:space="0" w:color="auto"/>
            <w:left w:val="none" w:sz="0" w:space="0" w:color="auto"/>
            <w:bottom w:val="none" w:sz="0" w:space="0" w:color="auto"/>
            <w:right w:val="none" w:sz="0" w:space="0" w:color="auto"/>
          </w:divBdr>
          <w:divsChild>
            <w:div w:id="807672933">
              <w:marLeft w:val="0"/>
              <w:marRight w:val="0"/>
              <w:marTop w:val="0"/>
              <w:marBottom w:val="0"/>
              <w:divBdr>
                <w:top w:val="none" w:sz="0" w:space="0" w:color="auto"/>
                <w:left w:val="none" w:sz="0" w:space="0" w:color="auto"/>
                <w:bottom w:val="none" w:sz="0" w:space="0" w:color="auto"/>
                <w:right w:val="none" w:sz="0" w:space="0" w:color="auto"/>
              </w:divBdr>
            </w:div>
          </w:divsChild>
        </w:div>
        <w:div w:id="2045790268">
          <w:marLeft w:val="0"/>
          <w:marRight w:val="0"/>
          <w:marTop w:val="0"/>
          <w:marBottom w:val="0"/>
          <w:divBdr>
            <w:top w:val="none" w:sz="0" w:space="0" w:color="auto"/>
            <w:left w:val="none" w:sz="0" w:space="0" w:color="auto"/>
            <w:bottom w:val="none" w:sz="0" w:space="0" w:color="auto"/>
            <w:right w:val="none" w:sz="0" w:space="0" w:color="auto"/>
          </w:divBdr>
          <w:divsChild>
            <w:div w:id="209002251">
              <w:marLeft w:val="0"/>
              <w:marRight w:val="0"/>
              <w:marTop w:val="0"/>
              <w:marBottom w:val="0"/>
              <w:divBdr>
                <w:top w:val="none" w:sz="0" w:space="0" w:color="auto"/>
                <w:left w:val="none" w:sz="0" w:space="0" w:color="auto"/>
                <w:bottom w:val="none" w:sz="0" w:space="0" w:color="auto"/>
                <w:right w:val="none" w:sz="0" w:space="0" w:color="auto"/>
              </w:divBdr>
            </w:div>
          </w:divsChild>
        </w:div>
        <w:div w:id="2083023588">
          <w:marLeft w:val="0"/>
          <w:marRight w:val="0"/>
          <w:marTop w:val="0"/>
          <w:marBottom w:val="0"/>
          <w:divBdr>
            <w:top w:val="none" w:sz="0" w:space="0" w:color="auto"/>
            <w:left w:val="none" w:sz="0" w:space="0" w:color="auto"/>
            <w:bottom w:val="none" w:sz="0" w:space="0" w:color="auto"/>
            <w:right w:val="none" w:sz="0" w:space="0" w:color="auto"/>
          </w:divBdr>
          <w:divsChild>
            <w:div w:id="11120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17372">
      <w:bodyDiv w:val="1"/>
      <w:marLeft w:val="0"/>
      <w:marRight w:val="0"/>
      <w:marTop w:val="0"/>
      <w:marBottom w:val="0"/>
      <w:divBdr>
        <w:top w:val="none" w:sz="0" w:space="0" w:color="auto"/>
        <w:left w:val="none" w:sz="0" w:space="0" w:color="auto"/>
        <w:bottom w:val="none" w:sz="0" w:space="0" w:color="auto"/>
        <w:right w:val="none" w:sz="0" w:space="0" w:color="auto"/>
      </w:divBdr>
      <w:divsChild>
        <w:div w:id="339353514">
          <w:marLeft w:val="0"/>
          <w:marRight w:val="0"/>
          <w:marTop w:val="0"/>
          <w:marBottom w:val="0"/>
          <w:divBdr>
            <w:top w:val="none" w:sz="0" w:space="0" w:color="auto"/>
            <w:left w:val="none" w:sz="0" w:space="0" w:color="auto"/>
            <w:bottom w:val="none" w:sz="0" w:space="0" w:color="auto"/>
            <w:right w:val="none" w:sz="0" w:space="0" w:color="auto"/>
          </w:divBdr>
        </w:div>
        <w:div w:id="1395469652">
          <w:marLeft w:val="0"/>
          <w:marRight w:val="0"/>
          <w:marTop w:val="0"/>
          <w:marBottom w:val="0"/>
          <w:divBdr>
            <w:top w:val="none" w:sz="0" w:space="0" w:color="auto"/>
            <w:left w:val="none" w:sz="0" w:space="0" w:color="auto"/>
            <w:bottom w:val="none" w:sz="0" w:space="0" w:color="auto"/>
            <w:right w:val="none" w:sz="0" w:space="0" w:color="auto"/>
          </w:divBdr>
        </w:div>
        <w:div w:id="2048481695">
          <w:marLeft w:val="0"/>
          <w:marRight w:val="0"/>
          <w:marTop w:val="0"/>
          <w:marBottom w:val="0"/>
          <w:divBdr>
            <w:top w:val="none" w:sz="0" w:space="0" w:color="auto"/>
            <w:left w:val="none" w:sz="0" w:space="0" w:color="auto"/>
            <w:bottom w:val="none" w:sz="0" w:space="0" w:color="auto"/>
            <w:right w:val="none" w:sz="0" w:space="0" w:color="auto"/>
          </w:divBdr>
        </w:div>
      </w:divsChild>
    </w:div>
    <w:div w:id="1009285294">
      <w:bodyDiv w:val="1"/>
      <w:marLeft w:val="0"/>
      <w:marRight w:val="0"/>
      <w:marTop w:val="0"/>
      <w:marBottom w:val="0"/>
      <w:divBdr>
        <w:top w:val="none" w:sz="0" w:space="0" w:color="auto"/>
        <w:left w:val="none" w:sz="0" w:space="0" w:color="auto"/>
        <w:bottom w:val="none" w:sz="0" w:space="0" w:color="auto"/>
        <w:right w:val="none" w:sz="0" w:space="0" w:color="auto"/>
      </w:divBdr>
    </w:div>
    <w:div w:id="1011638119">
      <w:bodyDiv w:val="1"/>
      <w:marLeft w:val="0"/>
      <w:marRight w:val="0"/>
      <w:marTop w:val="0"/>
      <w:marBottom w:val="0"/>
      <w:divBdr>
        <w:top w:val="none" w:sz="0" w:space="0" w:color="auto"/>
        <w:left w:val="none" w:sz="0" w:space="0" w:color="auto"/>
        <w:bottom w:val="none" w:sz="0" w:space="0" w:color="auto"/>
        <w:right w:val="none" w:sz="0" w:space="0" w:color="auto"/>
      </w:divBdr>
    </w:div>
    <w:div w:id="1016883699">
      <w:bodyDiv w:val="1"/>
      <w:marLeft w:val="0"/>
      <w:marRight w:val="0"/>
      <w:marTop w:val="0"/>
      <w:marBottom w:val="0"/>
      <w:divBdr>
        <w:top w:val="none" w:sz="0" w:space="0" w:color="auto"/>
        <w:left w:val="none" w:sz="0" w:space="0" w:color="auto"/>
        <w:bottom w:val="none" w:sz="0" w:space="0" w:color="auto"/>
        <w:right w:val="none" w:sz="0" w:space="0" w:color="auto"/>
      </w:divBdr>
    </w:div>
    <w:div w:id="1024405868">
      <w:bodyDiv w:val="1"/>
      <w:marLeft w:val="0"/>
      <w:marRight w:val="0"/>
      <w:marTop w:val="0"/>
      <w:marBottom w:val="0"/>
      <w:divBdr>
        <w:top w:val="none" w:sz="0" w:space="0" w:color="auto"/>
        <w:left w:val="none" w:sz="0" w:space="0" w:color="auto"/>
        <w:bottom w:val="none" w:sz="0" w:space="0" w:color="auto"/>
        <w:right w:val="none" w:sz="0" w:space="0" w:color="auto"/>
      </w:divBdr>
    </w:div>
    <w:div w:id="1030185284">
      <w:bodyDiv w:val="1"/>
      <w:marLeft w:val="0"/>
      <w:marRight w:val="0"/>
      <w:marTop w:val="0"/>
      <w:marBottom w:val="0"/>
      <w:divBdr>
        <w:top w:val="none" w:sz="0" w:space="0" w:color="auto"/>
        <w:left w:val="none" w:sz="0" w:space="0" w:color="auto"/>
        <w:bottom w:val="none" w:sz="0" w:space="0" w:color="auto"/>
        <w:right w:val="none" w:sz="0" w:space="0" w:color="auto"/>
      </w:divBdr>
      <w:divsChild>
        <w:div w:id="58020394">
          <w:marLeft w:val="0"/>
          <w:marRight w:val="0"/>
          <w:marTop w:val="0"/>
          <w:marBottom w:val="0"/>
          <w:divBdr>
            <w:top w:val="none" w:sz="0" w:space="0" w:color="auto"/>
            <w:left w:val="none" w:sz="0" w:space="0" w:color="auto"/>
            <w:bottom w:val="none" w:sz="0" w:space="0" w:color="auto"/>
            <w:right w:val="none" w:sz="0" w:space="0" w:color="auto"/>
          </w:divBdr>
        </w:div>
        <w:div w:id="81724738">
          <w:marLeft w:val="0"/>
          <w:marRight w:val="0"/>
          <w:marTop w:val="0"/>
          <w:marBottom w:val="0"/>
          <w:divBdr>
            <w:top w:val="none" w:sz="0" w:space="0" w:color="auto"/>
            <w:left w:val="none" w:sz="0" w:space="0" w:color="auto"/>
            <w:bottom w:val="none" w:sz="0" w:space="0" w:color="auto"/>
            <w:right w:val="none" w:sz="0" w:space="0" w:color="auto"/>
          </w:divBdr>
        </w:div>
        <w:div w:id="98842670">
          <w:marLeft w:val="0"/>
          <w:marRight w:val="0"/>
          <w:marTop w:val="0"/>
          <w:marBottom w:val="0"/>
          <w:divBdr>
            <w:top w:val="none" w:sz="0" w:space="0" w:color="auto"/>
            <w:left w:val="none" w:sz="0" w:space="0" w:color="auto"/>
            <w:bottom w:val="none" w:sz="0" w:space="0" w:color="auto"/>
            <w:right w:val="none" w:sz="0" w:space="0" w:color="auto"/>
          </w:divBdr>
        </w:div>
        <w:div w:id="170146437">
          <w:marLeft w:val="0"/>
          <w:marRight w:val="0"/>
          <w:marTop w:val="0"/>
          <w:marBottom w:val="0"/>
          <w:divBdr>
            <w:top w:val="none" w:sz="0" w:space="0" w:color="auto"/>
            <w:left w:val="none" w:sz="0" w:space="0" w:color="auto"/>
            <w:bottom w:val="none" w:sz="0" w:space="0" w:color="auto"/>
            <w:right w:val="none" w:sz="0" w:space="0" w:color="auto"/>
          </w:divBdr>
        </w:div>
        <w:div w:id="224723132">
          <w:marLeft w:val="0"/>
          <w:marRight w:val="0"/>
          <w:marTop w:val="0"/>
          <w:marBottom w:val="0"/>
          <w:divBdr>
            <w:top w:val="none" w:sz="0" w:space="0" w:color="auto"/>
            <w:left w:val="none" w:sz="0" w:space="0" w:color="auto"/>
            <w:bottom w:val="none" w:sz="0" w:space="0" w:color="auto"/>
            <w:right w:val="none" w:sz="0" w:space="0" w:color="auto"/>
          </w:divBdr>
        </w:div>
        <w:div w:id="232081692">
          <w:marLeft w:val="0"/>
          <w:marRight w:val="0"/>
          <w:marTop w:val="0"/>
          <w:marBottom w:val="0"/>
          <w:divBdr>
            <w:top w:val="none" w:sz="0" w:space="0" w:color="auto"/>
            <w:left w:val="none" w:sz="0" w:space="0" w:color="auto"/>
            <w:bottom w:val="none" w:sz="0" w:space="0" w:color="auto"/>
            <w:right w:val="none" w:sz="0" w:space="0" w:color="auto"/>
          </w:divBdr>
        </w:div>
        <w:div w:id="244342563">
          <w:marLeft w:val="0"/>
          <w:marRight w:val="0"/>
          <w:marTop w:val="0"/>
          <w:marBottom w:val="0"/>
          <w:divBdr>
            <w:top w:val="none" w:sz="0" w:space="0" w:color="auto"/>
            <w:left w:val="none" w:sz="0" w:space="0" w:color="auto"/>
            <w:bottom w:val="none" w:sz="0" w:space="0" w:color="auto"/>
            <w:right w:val="none" w:sz="0" w:space="0" w:color="auto"/>
          </w:divBdr>
          <w:divsChild>
            <w:div w:id="1596211745">
              <w:marLeft w:val="-75"/>
              <w:marRight w:val="0"/>
              <w:marTop w:val="30"/>
              <w:marBottom w:val="30"/>
              <w:divBdr>
                <w:top w:val="none" w:sz="0" w:space="0" w:color="auto"/>
                <w:left w:val="none" w:sz="0" w:space="0" w:color="auto"/>
                <w:bottom w:val="none" w:sz="0" w:space="0" w:color="auto"/>
                <w:right w:val="none" w:sz="0" w:space="0" w:color="auto"/>
              </w:divBdr>
              <w:divsChild>
                <w:div w:id="1518706">
                  <w:marLeft w:val="0"/>
                  <w:marRight w:val="0"/>
                  <w:marTop w:val="0"/>
                  <w:marBottom w:val="0"/>
                  <w:divBdr>
                    <w:top w:val="none" w:sz="0" w:space="0" w:color="auto"/>
                    <w:left w:val="none" w:sz="0" w:space="0" w:color="auto"/>
                    <w:bottom w:val="none" w:sz="0" w:space="0" w:color="auto"/>
                    <w:right w:val="none" w:sz="0" w:space="0" w:color="auto"/>
                  </w:divBdr>
                  <w:divsChild>
                    <w:div w:id="1670866054">
                      <w:marLeft w:val="0"/>
                      <w:marRight w:val="0"/>
                      <w:marTop w:val="0"/>
                      <w:marBottom w:val="0"/>
                      <w:divBdr>
                        <w:top w:val="none" w:sz="0" w:space="0" w:color="auto"/>
                        <w:left w:val="none" w:sz="0" w:space="0" w:color="auto"/>
                        <w:bottom w:val="none" w:sz="0" w:space="0" w:color="auto"/>
                        <w:right w:val="none" w:sz="0" w:space="0" w:color="auto"/>
                      </w:divBdr>
                    </w:div>
                  </w:divsChild>
                </w:div>
                <w:div w:id="1977319">
                  <w:marLeft w:val="0"/>
                  <w:marRight w:val="0"/>
                  <w:marTop w:val="0"/>
                  <w:marBottom w:val="0"/>
                  <w:divBdr>
                    <w:top w:val="none" w:sz="0" w:space="0" w:color="auto"/>
                    <w:left w:val="none" w:sz="0" w:space="0" w:color="auto"/>
                    <w:bottom w:val="none" w:sz="0" w:space="0" w:color="auto"/>
                    <w:right w:val="none" w:sz="0" w:space="0" w:color="auto"/>
                  </w:divBdr>
                  <w:divsChild>
                    <w:div w:id="1075936011">
                      <w:marLeft w:val="0"/>
                      <w:marRight w:val="0"/>
                      <w:marTop w:val="0"/>
                      <w:marBottom w:val="0"/>
                      <w:divBdr>
                        <w:top w:val="none" w:sz="0" w:space="0" w:color="auto"/>
                        <w:left w:val="none" w:sz="0" w:space="0" w:color="auto"/>
                        <w:bottom w:val="none" w:sz="0" w:space="0" w:color="auto"/>
                        <w:right w:val="none" w:sz="0" w:space="0" w:color="auto"/>
                      </w:divBdr>
                    </w:div>
                  </w:divsChild>
                </w:div>
                <w:div w:id="7408820">
                  <w:marLeft w:val="0"/>
                  <w:marRight w:val="0"/>
                  <w:marTop w:val="0"/>
                  <w:marBottom w:val="0"/>
                  <w:divBdr>
                    <w:top w:val="none" w:sz="0" w:space="0" w:color="auto"/>
                    <w:left w:val="none" w:sz="0" w:space="0" w:color="auto"/>
                    <w:bottom w:val="none" w:sz="0" w:space="0" w:color="auto"/>
                    <w:right w:val="none" w:sz="0" w:space="0" w:color="auto"/>
                  </w:divBdr>
                  <w:divsChild>
                    <w:div w:id="175851845">
                      <w:marLeft w:val="0"/>
                      <w:marRight w:val="0"/>
                      <w:marTop w:val="0"/>
                      <w:marBottom w:val="0"/>
                      <w:divBdr>
                        <w:top w:val="none" w:sz="0" w:space="0" w:color="auto"/>
                        <w:left w:val="none" w:sz="0" w:space="0" w:color="auto"/>
                        <w:bottom w:val="none" w:sz="0" w:space="0" w:color="auto"/>
                        <w:right w:val="none" w:sz="0" w:space="0" w:color="auto"/>
                      </w:divBdr>
                    </w:div>
                  </w:divsChild>
                </w:div>
                <w:div w:id="8799483">
                  <w:marLeft w:val="0"/>
                  <w:marRight w:val="0"/>
                  <w:marTop w:val="0"/>
                  <w:marBottom w:val="0"/>
                  <w:divBdr>
                    <w:top w:val="none" w:sz="0" w:space="0" w:color="auto"/>
                    <w:left w:val="none" w:sz="0" w:space="0" w:color="auto"/>
                    <w:bottom w:val="none" w:sz="0" w:space="0" w:color="auto"/>
                    <w:right w:val="none" w:sz="0" w:space="0" w:color="auto"/>
                  </w:divBdr>
                  <w:divsChild>
                    <w:div w:id="179395564">
                      <w:marLeft w:val="0"/>
                      <w:marRight w:val="0"/>
                      <w:marTop w:val="0"/>
                      <w:marBottom w:val="0"/>
                      <w:divBdr>
                        <w:top w:val="none" w:sz="0" w:space="0" w:color="auto"/>
                        <w:left w:val="none" w:sz="0" w:space="0" w:color="auto"/>
                        <w:bottom w:val="none" w:sz="0" w:space="0" w:color="auto"/>
                        <w:right w:val="none" w:sz="0" w:space="0" w:color="auto"/>
                      </w:divBdr>
                    </w:div>
                  </w:divsChild>
                </w:div>
                <w:div w:id="21440821">
                  <w:marLeft w:val="0"/>
                  <w:marRight w:val="0"/>
                  <w:marTop w:val="0"/>
                  <w:marBottom w:val="0"/>
                  <w:divBdr>
                    <w:top w:val="none" w:sz="0" w:space="0" w:color="auto"/>
                    <w:left w:val="none" w:sz="0" w:space="0" w:color="auto"/>
                    <w:bottom w:val="none" w:sz="0" w:space="0" w:color="auto"/>
                    <w:right w:val="none" w:sz="0" w:space="0" w:color="auto"/>
                  </w:divBdr>
                  <w:divsChild>
                    <w:div w:id="1488208490">
                      <w:marLeft w:val="0"/>
                      <w:marRight w:val="0"/>
                      <w:marTop w:val="0"/>
                      <w:marBottom w:val="0"/>
                      <w:divBdr>
                        <w:top w:val="none" w:sz="0" w:space="0" w:color="auto"/>
                        <w:left w:val="none" w:sz="0" w:space="0" w:color="auto"/>
                        <w:bottom w:val="none" w:sz="0" w:space="0" w:color="auto"/>
                        <w:right w:val="none" w:sz="0" w:space="0" w:color="auto"/>
                      </w:divBdr>
                    </w:div>
                  </w:divsChild>
                </w:div>
                <w:div w:id="41176399">
                  <w:marLeft w:val="0"/>
                  <w:marRight w:val="0"/>
                  <w:marTop w:val="0"/>
                  <w:marBottom w:val="0"/>
                  <w:divBdr>
                    <w:top w:val="none" w:sz="0" w:space="0" w:color="auto"/>
                    <w:left w:val="none" w:sz="0" w:space="0" w:color="auto"/>
                    <w:bottom w:val="none" w:sz="0" w:space="0" w:color="auto"/>
                    <w:right w:val="none" w:sz="0" w:space="0" w:color="auto"/>
                  </w:divBdr>
                  <w:divsChild>
                    <w:div w:id="1218592799">
                      <w:marLeft w:val="0"/>
                      <w:marRight w:val="0"/>
                      <w:marTop w:val="0"/>
                      <w:marBottom w:val="0"/>
                      <w:divBdr>
                        <w:top w:val="none" w:sz="0" w:space="0" w:color="auto"/>
                        <w:left w:val="none" w:sz="0" w:space="0" w:color="auto"/>
                        <w:bottom w:val="none" w:sz="0" w:space="0" w:color="auto"/>
                        <w:right w:val="none" w:sz="0" w:space="0" w:color="auto"/>
                      </w:divBdr>
                    </w:div>
                  </w:divsChild>
                </w:div>
                <w:div w:id="47072113">
                  <w:marLeft w:val="0"/>
                  <w:marRight w:val="0"/>
                  <w:marTop w:val="0"/>
                  <w:marBottom w:val="0"/>
                  <w:divBdr>
                    <w:top w:val="none" w:sz="0" w:space="0" w:color="auto"/>
                    <w:left w:val="none" w:sz="0" w:space="0" w:color="auto"/>
                    <w:bottom w:val="none" w:sz="0" w:space="0" w:color="auto"/>
                    <w:right w:val="none" w:sz="0" w:space="0" w:color="auto"/>
                  </w:divBdr>
                  <w:divsChild>
                    <w:div w:id="1122840105">
                      <w:marLeft w:val="0"/>
                      <w:marRight w:val="0"/>
                      <w:marTop w:val="0"/>
                      <w:marBottom w:val="0"/>
                      <w:divBdr>
                        <w:top w:val="none" w:sz="0" w:space="0" w:color="auto"/>
                        <w:left w:val="none" w:sz="0" w:space="0" w:color="auto"/>
                        <w:bottom w:val="none" w:sz="0" w:space="0" w:color="auto"/>
                        <w:right w:val="none" w:sz="0" w:space="0" w:color="auto"/>
                      </w:divBdr>
                    </w:div>
                  </w:divsChild>
                </w:div>
                <w:div w:id="47996217">
                  <w:marLeft w:val="0"/>
                  <w:marRight w:val="0"/>
                  <w:marTop w:val="0"/>
                  <w:marBottom w:val="0"/>
                  <w:divBdr>
                    <w:top w:val="none" w:sz="0" w:space="0" w:color="auto"/>
                    <w:left w:val="none" w:sz="0" w:space="0" w:color="auto"/>
                    <w:bottom w:val="none" w:sz="0" w:space="0" w:color="auto"/>
                    <w:right w:val="none" w:sz="0" w:space="0" w:color="auto"/>
                  </w:divBdr>
                  <w:divsChild>
                    <w:div w:id="1101922631">
                      <w:marLeft w:val="0"/>
                      <w:marRight w:val="0"/>
                      <w:marTop w:val="0"/>
                      <w:marBottom w:val="0"/>
                      <w:divBdr>
                        <w:top w:val="none" w:sz="0" w:space="0" w:color="auto"/>
                        <w:left w:val="none" w:sz="0" w:space="0" w:color="auto"/>
                        <w:bottom w:val="none" w:sz="0" w:space="0" w:color="auto"/>
                        <w:right w:val="none" w:sz="0" w:space="0" w:color="auto"/>
                      </w:divBdr>
                    </w:div>
                  </w:divsChild>
                </w:div>
                <w:div w:id="49966709">
                  <w:marLeft w:val="0"/>
                  <w:marRight w:val="0"/>
                  <w:marTop w:val="0"/>
                  <w:marBottom w:val="0"/>
                  <w:divBdr>
                    <w:top w:val="none" w:sz="0" w:space="0" w:color="auto"/>
                    <w:left w:val="none" w:sz="0" w:space="0" w:color="auto"/>
                    <w:bottom w:val="none" w:sz="0" w:space="0" w:color="auto"/>
                    <w:right w:val="none" w:sz="0" w:space="0" w:color="auto"/>
                  </w:divBdr>
                  <w:divsChild>
                    <w:div w:id="1159882953">
                      <w:marLeft w:val="0"/>
                      <w:marRight w:val="0"/>
                      <w:marTop w:val="0"/>
                      <w:marBottom w:val="0"/>
                      <w:divBdr>
                        <w:top w:val="none" w:sz="0" w:space="0" w:color="auto"/>
                        <w:left w:val="none" w:sz="0" w:space="0" w:color="auto"/>
                        <w:bottom w:val="none" w:sz="0" w:space="0" w:color="auto"/>
                        <w:right w:val="none" w:sz="0" w:space="0" w:color="auto"/>
                      </w:divBdr>
                    </w:div>
                  </w:divsChild>
                </w:div>
                <w:div w:id="53550540">
                  <w:marLeft w:val="0"/>
                  <w:marRight w:val="0"/>
                  <w:marTop w:val="0"/>
                  <w:marBottom w:val="0"/>
                  <w:divBdr>
                    <w:top w:val="none" w:sz="0" w:space="0" w:color="auto"/>
                    <w:left w:val="none" w:sz="0" w:space="0" w:color="auto"/>
                    <w:bottom w:val="none" w:sz="0" w:space="0" w:color="auto"/>
                    <w:right w:val="none" w:sz="0" w:space="0" w:color="auto"/>
                  </w:divBdr>
                  <w:divsChild>
                    <w:div w:id="235088956">
                      <w:marLeft w:val="0"/>
                      <w:marRight w:val="0"/>
                      <w:marTop w:val="0"/>
                      <w:marBottom w:val="0"/>
                      <w:divBdr>
                        <w:top w:val="none" w:sz="0" w:space="0" w:color="auto"/>
                        <w:left w:val="none" w:sz="0" w:space="0" w:color="auto"/>
                        <w:bottom w:val="none" w:sz="0" w:space="0" w:color="auto"/>
                        <w:right w:val="none" w:sz="0" w:space="0" w:color="auto"/>
                      </w:divBdr>
                    </w:div>
                  </w:divsChild>
                </w:div>
                <w:div w:id="64844695">
                  <w:marLeft w:val="0"/>
                  <w:marRight w:val="0"/>
                  <w:marTop w:val="0"/>
                  <w:marBottom w:val="0"/>
                  <w:divBdr>
                    <w:top w:val="none" w:sz="0" w:space="0" w:color="auto"/>
                    <w:left w:val="none" w:sz="0" w:space="0" w:color="auto"/>
                    <w:bottom w:val="none" w:sz="0" w:space="0" w:color="auto"/>
                    <w:right w:val="none" w:sz="0" w:space="0" w:color="auto"/>
                  </w:divBdr>
                  <w:divsChild>
                    <w:div w:id="649284877">
                      <w:marLeft w:val="0"/>
                      <w:marRight w:val="0"/>
                      <w:marTop w:val="0"/>
                      <w:marBottom w:val="0"/>
                      <w:divBdr>
                        <w:top w:val="none" w:sz="0" w:space="0" w:color="auto"/>
                        <w:left w:val="none" w:sz="0" w:space="0" w:color="auto"/>
                        <w:bottom w:val="none" w:sz="0" w:space="0" w:color="auto"/>
                        <w:right w:val="none" w:sz="0" w:space="0" w:color="auto"/>
                      </w:divBdr>
                    </w:div>
                  </w:divsChild>
                </w:div>
                <w:div w:id="81224781">
                  <w:marLeft w:val="0"/>
                  <w:marRight w:val="0"/>
                  <w:marTop w:val="0"/>
                  <w:marBottom w:val="0"/>
                  <w:divBdr>
                    <w:top w:val="none" w:sz="0" w:space="0" w:color="auto"/>
                    <w:left w:val="none" w:sz="0" w:space="0" w:color="auto"/>
                    <w:bottom w:val="none" w:sz="0" w:space="0" w:color="auto"/>
                    <w:right w:val="none" w:sz="0" w:space="0" w:color="auto"/>
                  </w:divBdr>
                  <w:divsChild>
                    <w:div w:id="283007646">
                      <w:marLeft w:val="0"/>
                      <w:marRight w:val="0"/>
                      <w:marTop w:val="0"/>
                      <w:marBottom w:val="0"/>
                      <w:divBdr>
                        <w:top w:val="none" w:sz="0" w:space="0" w:color="auto"/>
                        <w:left w:val="none" w:sz="0" w:space="0" w:color="auto"/>
                        <w:bottom w:val="none" w:sz="0" w:space="0" w:color="auto"/>
                        <w:right w:val="none" w:sz="0" w:space="0" w:color="auto"/>
                      </w:divBdr>
                    </w:div>
                  </w:divsChild>
                </w:div>
                <w:div w:id="82143490">
                  <w:marLeft w:val="0"/>
                  <w:marRight w:val="0"/>
                  <w:marTop w:val="0"/>
                  <w:marBottom w:val="0"/>
                  <w:divBdr>
                    <w:top w:val="none" w:sz="0" w:space="0" w:color="auto"/>
                    <w:left w:val="none" w:sz="0" w:space="0" w:color="auto"/>
                    <w:bottom w:val="none" w:sz="0" w:space="0" w:color="auto"/>
                    <w:right w:val="none" w:sz="0" w:space="0" w:color="auto"/>
                  </w:divBdr>
                  <w:divsChild>
                    <w:div w:id="951596533">
                      <w:marLeft w:val="0"/>
                      <w:marRight w:val="0"/>
                      <w:marTop w:val="0"/>
                      <w:marBottom w:val="0"/>
                      <w:divBdr>
                        <w:top w:val="none" w:sz="0" w:space="0" w:color="auto"/>
                        <w:left w:val="none" w:sz="0" w:space="0" w:color="auto"/>
                        <w:bottom w:val="none" w:sz="0" w:space="0" w:color="auto"/>
                        <w:right w:val="none" w:sz="0" w:space="0" w:color="auto"/>
                      </w:divBdr>
                    </w:div>
                  </w:divsChild>
                </w:div>
                <w:div w:id="90124156">
                  <w:marLeft w:val="0"/>
                  <w:marRight w:val="0"/>
                  <w:marTop w:val="0"/>
                  <w:marBottom w:val="0"/>
                  <w:divBdr>
                    <w:top w:val="none" w:sz="0" w:space="0" w:color="auto"/>
                    <w:left w:val="none" w:sz="0" w:space="0" w:color="auto"/>
                    <w:bottom w:val="none" w:sz="0" w:space="0" w:color="auto"/>
                    <w:right w:val="none" w:sz="0" w:space="0" w:color="auto"/>
                  </w:divBdr>
                  <w:divsChild>
                    <w:div w:id="1963491010">
                      <w:marLeft w:val="0"/>
                      <w:marRight w:val="0"/>
                      <w:marTop w:val="0"/>
                      <w:marBottom w:val="0"/>
                      <w:divBdr>
                        <w:top w:val="none" w:sz="0" w:space="0" w:color="auto"/>
                        <w:left w:val="none" w:sz="0" w:space="0" w:color="auto"/>
                        <w:bottom w:val="none" w:sz="0" w:space="0" w:color="auto"/>
                        <w:right w:val="none" w:sz="0" w:space="0" w:color="auto"/>
                      </w:divBdr>
                    </w:div>
                  </w:divsChild>
                </w:div>
                <w:div w:id="104228562">
                  <w:marLeft w:val="0"/>
                  <w:marRight w:val="0"/>
                  <w:marTop w:val="0"/>
                  <w:marBottom w:val="0"/>
                  <w:divBdr>
                    <w:top w:val="none" w:sz="0" w:space="0" w:color="auto"/>
                    <w:left w:val="none" w:sz="0" w:space="0" w:color="auto"/>
                    <w:bottom w:val="none" w:sz="0" w:space="0" w:color="auto"/>
                    <w:right w:val="none" w:sz="0" w:space="0" w:color="auto"/>
                  </w:divBdr>
                  <w:divsChild>
                    <w:div w:id="1562668950">
                      <w:marLeft w:val="0"/>
                      <w:marRight w:val="0"/>
                      <w:marTop w:val="0"/>
                      <w:marBottom w:val="0"/>
                      <w:divBdr>
                        <w:top w:val="none" w:sz="0" w:space="0" w:color="auto"/>
                        <w:left w:val="none" w:sz="0" w:space="0" w:color="auto"/>
                        <w:bottom w:val="none" w:sz="0" w:space="0" w:color="auto"/>
                        <w:right w:val="none" w:sz="0" w:space="0" w:color="auto"/>
                      </w:divBdr>
                    </w:div>
                  </w:divsChild>
                </w:div>
                <w:div w:id="109789580">
                  <w:marLeft w:val="0"/>
                  <w:marRight w:val="0"/>
                  <w:marTop w:val="0"/>
                  <w:marBottom w:val="0"/>
                  <w:divBdr>
                    <w:top w:val="none" w:sz="0" w:space="0" w:color="auto"/>
                    <w:left w:val="none" w:sz="0" w:space="0" w:color="auto"/>
                    <w:bottom w:val="none" w:sz="0" w:space="0" w:color="auto"/>
                    <w:right w:val="none" w:sz="0" w:space="0" w:color="auto"/>
                  </w:divBdr>
                  <w:divsChild>
                    <w:div w:id="1364936772">
                      <w:marLeft w:val="0"/>
                      <w:marRight w:val="0"/>
                      <w:marTop w:val="0"/>
                      <w:marBottom w:val="0"/>
                      <w:divBdr>
                        <w:top w:val="none" w:sz="0" w:space="0" w:color="auto"/>
                        <w:left w:val="none" w:sz="0" w:space="0" w:color="auto"/>
                        <w:bottom w:val="none" w:sz="0" w:space="0" w:color="auto"/>
                        <w:right w:val="none" w:sz="0" w:space="0" w:color="auto"/>
                      </w:divBdr>
                    </w:div>
                  </w:divsChild>
                </w:div>
                <w:div w:id="110634773">
                  <w:marLeft w:val="0"/>
                  <w:marRight w:val="0"/>
                  <w:marTop w:val="0"/>
                  <w:marBottom w:val="0"/>
                  <w:divBdr>
                    <w:top w:val="none" w:sz="0" w:space="0" w:color="auto"/>
                    <w:left w:val="none" w:sz="0" w:space="0" w:color="auto"/>
                    <w:bottom w:val="none" w:sz="0" w:space="0" w:color="auto"/>
                    <w:right w:val="none" w:sz="0" w:space="0" w:color="auto"/>
                  </w:divBdr>
                  <w:divsChild>
                    <w:div w:id="1923442375">
                      <w:marLeft w:val="0"/>
                      <w:marRight w:val="0"/>
                      <w:marTop w:val="0"/>
                      <w:marBottom w:val="0"/>
                      <w:divBdr>
                        <w:top w:val="none" w:sz="0" w:space="0" w:color="auto"/>
                        <w:left w:val="none" w:sz="0" w:space="0" w:color="auto"/>
                        <w:bottom w:val="none" w:sz="0" w:space="0" w:color="auto"/>
                        <w:right w:val="none" w:sz="0" w:space="0" w:color="auto"/>
                      </w:divBdr>
                    </w:div>
                  </w:divsChild>
                </w:div>
                <w:div w:id="111096619">
                  <w:marLeft w:val="0"/>
                  <w:marRight w:val="0"/>
                  <w:marTop w:val="0"/>
                  <w:marBottom w:val="0"/>
                  <w:divBdr>
                    <w:top w:val="none" w:sz="0" w:space="0" w:color="auto"/>
                    <w:left w:val="none" w:sz="0" w:space="0" w:color="auto"/>
                    <w:bottom w:val="none" w:sz="0" w:space="0" w:color="auto"/>
                    <w:right w:val="none" w:sz="0" w:space="0" w:color="auto"/>
                  </w:divBdr>
                  <w:divsChild>
                    <w:div w:id="1506743000">
                      <w:marLeft w:val="0"/>
                      <w:marRight w:val="0"/>
                      <w:marTop w:val="0"/>
                      <w:marBottom w:val="0"/>
                      <w:divBdr>
                        <w:top w:val="none" w:sz="0" w:space="0" w:color="auto"/>
                        <w:left w:val="none" w:sz="0" w:space="0" w:color="auto"/>
                        <w:bottom w:val="none" w:sz="0" w:space="0" w:color="auto"/>
                        <w:right w:val="none" w:sz="0" w:space="0" w:color="auto"/>
                      </w:divBdr>
                    </w:div>
                  </w:divsChild>
                </w:div>
                <w:div w:id="112024497">
                  <w:marLeft w:val="0"/>
                  <w:marRight w:val="0"/>
                  <w:marTop w:val="0"/>
                  <w:marBottom w:val="0"/>
                  <w:divBdr>
                    <w:top w:val="none" w:sz="0" w:space="0" w:color="auto"/>
                    <w:left w:val="none" w:sz="0" w:space="0" w:color="auto"/>
                    <w:bottom w:val="none" w:sz="0" w:space="0" w:color="auto"/>
                    <w:right w:val="none" w:sz="0" w:space="0" w:color="auto"/>
                  </w:divBdr>
                  <w:divsChild>
                    <w:div w:id="1589118046">
                      <w:marLeft w:val="0"/>
                      <w:marRight w:val="0"/>
                      <w:marTop w:val="0"/>
                      <w:marBottom w:val="0"/>
                      <w:divBdr>
                        <w:top w:val="none" w:sz="0" w:space="0" w:color="auto"/>
                        <w:left w:val="none" w:sz="0" w:space="0" w:color="auto"/>
                        <w:bottom w:val="none" w:sz="0" w:space="0" w:color="auto"/>
                        <w:right w:val="none" w:sz="0" w:space="0" w:color="auto"/>
                      </w:divBdr>
                    </w:div>
                  </w:divsChild>
                </w:div>
                <w:div w:id="122819501">
                  <w:marLeft w:val="0"/>
                  <w:marRight w:val="0"/>
                  <w:marTop w:val="0"/>
                  <w:marBottom w:val="0"/>
                  <w:divBdr>
                    <w:top w:val="none" w:sz="0" w:space="0" w:color="auto"/>
                    <w:left w:val="none" w:sz="0" w:space="0" w:color="auto"/>
                    <w:bottom w:val="none" w:sz="0" w:space="0" w:color="auto"/>
                    <w:right w:val="none" w:sz="0" w:space="0" w:color="auto"/>
                  </w:divBdr>
                  <w:divsChild>
                    <w:div w:id="1785231338">
                      <w:marLeft w:val="0"/>
                      <w:marRight w:val="0"/>
                      <w:marTop w:val="0"/>
                      <w:marBottom w:val="0"/>
                      <w:divBdr>
                        <w:top w:val="none" w:sz="0" w:space="0" w:color="auto"/>
                        <w:left w:val="none" w:sz="0" w:space="0" w:color="auto"/>
                        <w:bottom w:val="none" w:sz="0" w:space="0" w:color="auto"/>
                        <w:right w:val="none" w:sz="0" w:space="0" w:color="auto"/>
                      </w:divBdr>
                    </w:div>
                  </w:divsChild>
                </w:div>
                <w:div w:id="123501725">
                  <w:marLeft w:val="0"/>
                  <w:marRight w:val="0"/>
                  <w:marTop w:val="0"/>
                  <w:marBottom w:val="0"/>
                  <w:divBdr>
                    <w:top w:val="none" w:sz="0" w:space="0" w:color="auto"/>
                    <w:left w:val="none" w:sz="0" w:space="0" w:color="auto"/>
                    <w:bottom w:val="none" w:sz="0" w:space="0" w:color="auto"/>
                    <w:right w:val="none" w:sz="0" w:space="0" w:color="auto"/>
                  </w:divBdr>
                  <w:divsChild>
                    <w:div w:id="475925131">
                      <w:marLeft w:val="0"/>
                      <w:marRight w:val="0"/>
                      <w:marTop w:val="0"/>
                      <w:marBottom w:val="0"/>
                      <w:divBdr>
                        <w:top w:val="none" w:sz="0" w:space="0" w:color="auto"/>
                        <w:left w:val="none" w:sz="0" w:space="0" w:color="auto"/>
                        <w:bottom w:val="none" w:sz="0" w:space="0" w:color="auto"/>
                        <w:right w:val="none" w:sz="0" w:space="0" w:color="auto"/>
                      </w:divBdr>
                    </w:div>
                  </w:divsChild>
                </w:div>
                <w:div w:id="124088545">
                  <w:marLeft w:val="0"/>
                  <w:marRight w:val="0"/>
                  <w:marTop w:val="0"/>
                  <w:marBottom w:val="0"/>
                  <w:divBdr>
                    <w:top w:val="none" w:sz="0" w:space="0" w:color="auto"/>
                    <w:left w:val="none" w:sz="0" w:space="0" w:color="auto"/>
                    <w:bottom w:val="none" w:sz="0" w:space="0" w:color="auto"/>
                    <w:right w:val="none" w:sz="0" w:space="0" w:color="auto"/>
                  </w:divBdr>
                  <w:divsChild>
                    <w:div w:id="1796098937">
                      <w:marLeft w:val="0"/>
                      <w:marRight w:val="0"/>
                      <w:marTop w:val="0"/>
                      <w:marBottom w:val="0"/>
                      <w:divBdr>
                        <w:top w:val="none" w:sz="0" w:space="0" w:color="auto"/>
                        <w:left w:val="none" w:sz="0" w:space="0" w:color="auto"/>
                        <w:bottom w:val="none" w:sz="0" w:space="0" w:color="auto"/>
                        <w:right w:val="none" w:sz="0" w:space="0" w:color="auto"/>
                      </w:divBdr>
                    </w:div>
                  </w:divsChild>
                </w:div>
                <w:div w:id="126627224">
                  <w:marLeft w:val="0"/>
                  <w:marRight w:val="0"/>
                  <w:marTop w:val="0"/>
                  <w:marBottom w:val="0"/>
                  <w:divBdr>
                    <w:top w:val="none" w:sz="0" w:space="0" w:color="auto"/>
                    <w:left w:val="none" w:sz="0" w:space="0" w:color="auto"/>
                    <w:bottom w:val="none" w:sz="0" w:space="0" w:color="auto"/>
                    <w:right w:val="none" w:sz="0" w:space="0" w:color="auto"/>
                  </w:divBdr>
                  <w:divsChild>
                    <w:div w:id="1297180512">
                      <w:marLeft w:val="0"/>
                      <w:marRight w:val="0"/>
                      <w:marTop w:val="0"/>
                      <w:marBottom w:val="0"/>
                      <w:divBdr>
                        <w:top w:val="none" w:sz="0" w:space="0" w:color="auto"/>
                        <w:left w:val="none" w:sz="0" w:space="0" w:color="auto"/>
                        <w:bottom w:val="none" w:sz="0" w:space="0" w:color="auto"/>
                        <w:right w:val="none" w:sz="0" w:space="0" w:color="auto"/>
                      </w:divBdr>
                    </w:div>
                  </w:divsChild>
                </w:div>
                <w:div w:id="129178322">
                  <w:marLeft w:val="0"/>
                  <w:marRight w:val="0"/>
                  <w:marTop w:val="0"/>
                  <w:marBottom w:val="0"/>
                  <w:divBdr>
                    <w:top w:val="none" w:sz="0" w:space="0" w:color="auto"/>
                    <w:left w:val="none" w:sz="0" w:space="0" w:color="auto"/>
                    <w:bottom w:val="none" w:sz="0" w:space="0" w:color="auto"/>
                    <w:right w:val="none" w:sz="0" w:space="0" w:color="auto"/>
                  </w:divBdr>
                  <w:divsChild>
                    <w:div w:id="338627265">
                      <w:marLeft w:val="0"/>
                      <w:marRight w:val="0"/>
                      <w:marTop w:val="0"/>
                      <w:marBottom w:val="0"/>
                      <w:divBdr>
                        <w:top w:val="none" w:sz="0" w:space="0" w:color="auto"/>
                        <w:left w:val="none" w:sz="0" w:space="0" w:color="auto"/>
                        <w:bottom w:val="none" w:sz="0" w:space="0" w:color="auto"/>
                        <w:right w:val="none" w:sz="0" w:space="0" w:color="auto"/>
                      </w:divBdr>
                    </w:div>
                  </w:divsChild>
                </w:div>
                <w:div w:id="180552064">
                  <w:marLeft w:val="0"/>
                  <w:marRight w:val="0"/>
                  <w:marTop w:val="0"/>
                  <w:marBottom w:val="0"/>
                  <w:divBdr>
                    <w:top w:val="none" w:sz="0" w:space="0" w:color="auto"/>
                    <w:left w:val="none" w:sz="0" w:space="0" w:color="auto"/>
                    <w:bottom w:val="none" w:sz="0" w:space="0" w:color="auto"/>
                    <w:right w:val="none" w:sz="0" w:space="0" w:color="auto"/>
                  </w:divBdr>
                  <w:divsChild>
                    <w:div w:id="1549300507">
                      <w:marLeft w:val="0"/>
                      <w:marRight w:val="0"/>
                      <w:marTop w:val="0"/>
                      <w:marBottom w:val="0"/>
                      <w:divBdr>
                        <w:top w:val="none" w:sz="0" w:space="0" w:color="auto"/>
                        <w:left w:val="none" w:sz="0" w:space="0" w:color="auto"/>
                        <w:bottom w:val="none" w:sz="0" w:space="0" w:color="auto"/>
                        <w:right w:val="none" w:sz="0" w:space="0" w:color="auto"/>
                      </w:divBdr>
                    </w:div>
                  </w:divsChild>
                </w:div>
                <w:div w:id="180553808">
                  <w:marLeft w:val="0"/>
                  <w:marRight w:val="0"/>
                  <w:marTop w:val="0"/>
                  <w:marBottom w:val="0"/>
                  <w:divBdr>
                    <w:top w:val="none" w:sz="0" w:space="0" w:color="auto"/>
                    <w:left w:val="none" w:sz="0" w:space="0" w:color="auto"/>
                    <w:bottom w:val="none" w:sz="0" w:space="0" w:color="auto"/>
                    <w:right w:val="none" w:sz="0" w:space="0" w:color="auto"/>
                  </w:divBdr>
                  <w:divsChild>
                    <w:div w:id="1899590621">
                      <w:marLeft w:val="0"/>
                      <w:marRight w:val="0"/>
                      <w:marTop w:val="0"/>
                      <w:marBottom w:val="0"/>
                      <w:divBdr>
                        <w:top w:val="none" w:sz="0" w:space="0" w:color="auto"/>
                        <w:left w:val="none" w:sz="0" w:space="0" w:color="auto"/>
                        <w:bottom w:val="none" w:sz="0" w:space="0" w:color="auto"/>
                        <w:right w:val="none" w:sz="0" w:space="0" w:color="auto"/>
                      </w:divBdr>
                    </w:div>
                  </w:divsChild>
                </w:div>
                <w:div w:id="190074356">
                  <w:marLeft w:val="0"/>
                  <w:marRight w:val="0"/>
                  <w:marTop w:val="0"/>
                  <w:marBottom w:val="0"/>
                  <w:divBdr>
                    <w:top w:val="none" w:sz="0" w:space="0" w:color="auto"/>
                    <w:left w:val="none" w:sz="0" w:space="0" w:color="auto"/>
                    <w:bottom w:val="none" w:sz="0" w:space="0" w:color="auto"/>
                    <w:right w:val="none" w:sz="0" w:space="0" w:color="auto"/>
                  </w:divBdr>
                  <w:divsChild>
                    <w:div w:id="115877621">
                      <w:marLeft w:val="0"/>
                      <w:marRight w:val="0"/>
                      <w:marTop w:val="0"/>
                      <w:marBottom w:val="0"/>
                      <w:divBdr>
                        <w:top w:val="none" w:sz="0" w:space="0" w:color="auto"/>
                        <w:left w:val="none" w:sz="0" w:space="0" w:color="auto"/>
                        <w:bottom w:val="none" w:sz="0" w:space="0" w:color="auto"/>
                        <w:right w:val="none" w:sz="0" w:space="0" w:color="auto"/>
                      </w:divBdr>
                    </w:div>
                  </w:divsChild>
                </w:div>
                <w:div w:id="201478112">
                  <w:marLeft w:val="0"/>
                  <w:marRight w:val="0"/>
                  <w:marTop w:val="0"/>
                  <w:marBottom w:val="0"/>
                  <w:divBdr>
                    <w:top w:val="none" w:sz="0" w:space="0" w:color="auto"/>
                    <w:left w:val="none" w:sz="0" w:space="0" w:color="auto"/>
                    <w:bottom w:val="none" w:sz="0" w:space="0" w:color="auto"/>
                    <w:right w:val="none" w:sz="0" w:space="0" w:color="auto"/>
                  </w:divBdr>
                  <w:divsChild>
                    <w:div w:id="1644459674">
                      <w:marLeft w:val="0"/>
                      <w:marRight w:val="0"/>
                      <w:marTop w:val="0"/>
                      <w:marBottom w:val="0"/>
                      <w:divBdr>
                        <w:top w:val="none" w:sz="0" w:space="0" w:color="auto"/>
                        <w:left w:val="none" w:sz="0" w:space="0" w:color="auto"/>
                        <w:bottom w:val="none" w:sz="0" w:space="0" w:color="auto"/>
                        <w:right w:val="none" w:sz="0" w:space="0" w:color="auto"/>
                      </w:divBdr>
                    </w:div>
                  </w:divsChild>
                </w:div>
                <w:div w:id="217591182">
                  <w:marLeft w:val="0"/>
                  <w:marRight w:val="0"/>
                  <w:marTop w:val="0"/>
                  <w:marBottom w:val="0"/>
                  <w:divBdr>
                    <w:top w:val="none" w:sz="0" w:space="0" w:color="auto"/>
                    <w:left w:val="none" w:sz="0" w:space="0" w:color="auto"/>
                    <w:bottom w:val="none" w:sz="0" w:space="0" w:color="auto"/>
                    <w:right w:val="none" w:sz="0" w:space="0" w:color="auto"/>
                  </w:divBdr>
                  <w:divsChild>
                    <w:div w:id="566959910">
                      <w:marLeft w:val="0"/>
                      <w:marRight w:val="0"/>
                      <w:marTop w:val="0"/>
                      <w:marBottom w:val="0"/>
                      <w:divBdr>
                        <w:top w:val="none" w:sz="0" w:space="0" w:color="auto"/>
                        <w:left w:val="none" w:sz="0" w:space="0" w:color="auto"/>
                        <w:bottom w:val="none" w:sz="0" w:space="0" w:color="auto"/>
                        <w:right w:val="none" w:sz="0" w:space="0" w:color="auto"/>
                      </w:divBdr>
                    </w:div>
                  </w:divsChild>
                </w:div>
                <w:div w:id="218369025">
                  <w:marLeft w:val="0"/>
                  <w:marRight w:val="0"/>
                  <w:marTop w:val="0"/>
                  <w:marBottom w:val="0"/>
                  <w:divBdr>
                    <w:top w:val="none" w:sz="0" w:space="0" w:color="auto"/>
                    <w:left w:val="none" w:sz="0" w:space="0" w:color="auto"/>
                    <w:bottom w:val="none" w:sz="0" w:space="0" w:color="auto"/>
                    <w:right w:val="none" w:sz="0" w:space="0" w:color="auto"/>
                  </w:divBdr>
                  <w:divsChild>
                    <w:div w:id="1679040825">
                      <w:marLeft w:val="0"/>
                      <w:marRight w:val="0"/>
                      <w:marTop w:val="0"/>
                      <w:marBottom w:val="0"/>
                      <w:divBdr>
                        <w:top w:val="none" w:sz="0" w:space="0" w:color="auto"/>
                        <w:left w:val="none" w:sz="0" w:space="0" w:color="auto"/>
                        <w:bottom w:val="none" w:sz="0" w:space="0" w:color="auto"/>
                        <w:right w:val="none" w:sz="0" w:space="0" w:color="auto"/>
                      </w:divBdr>
                    </w:div>
                  </w:divsChild>
                </w:div>
                <w:div w:id="219169418">
                  <w:marLeft w:val="0"/>
                  <w:marRight w:val="0"/>
                  <w:marTop w:val="0"/>
                  <w:marBottom w:val="0"/>
                  <w:divBdr>
                    <w:top w:val="none" w:sz="0" w:space="0" w:color="auto"/>
                    <w:left w:val="none" w:sz="0" w:space="0" w:color="auto"/>
                    <w:bottom w:val="none" w:sz="0" w:space="0" w:color="auto"/>
                    <w:right w:val="none" w:sz="0" w:space="0" w:color="auto"/>
                  </w:divBdr>
                  <w:divsChild>
                    <w:div w:id="324093797">
                      <w:marLeft w:val="0"/>
                      <w:marRight w:val="0"/>
                      <w:marTop w:val="0"/>
                      <w:marBottom w:val="0"/>
                      <w:divBdr>
                        <w:top w:val="none" w:sz="0" w:space="0" w:color="auto"/>
                        <w:left w:val="none" w:sz="0" w:space="0" w:color="auto"/>
                        <w:bottom w:val="none" w:sz="0" w:space="0" w:color="auto"/>
                        <w:right w:val="none" w:sz="0" w:space="0" w:color="auto"/>
                      </w:divBdr>
                    </w:div>
                  </w:divsChild>
                </w:div>
                <w:div w:id="222107723">
                  <w:marLeft w:val="0"/>
                  <w:marRight w:val="0"/>
                  <w:marTop w:val="0"/>
                  <w:marBottom w:val="0"/>
                  <w:divBdr>
                    <w:top w:val="none" w:sz="0" w:space="0" w:color="auto"/>
                    <w:left w:val="none" w:sz="0" w:space="0" w:color="auto"/>
                    <w:bottom w:val="none" w:sz="0" w:space="0" w:color="auto"/>
                    <w:right w:val="none" w:sz="0" w:space="0" w:color="auto"/>
                  </w:divBdr>
                  <w:divsChild>
                    <w:div w:id="909002424">
                      <w:marLeft w:val="0"/>
                      <w:marRight w:val="0"/>
                      <w:marTop w:val="0"/>
                      <w:marBottom w:val="0"/>
                      <w:divBdr>
                        <w:top w:val="none" w:sz="0" w:space="0" w:color="auto"/>
                        <w:left w:val="none" w:sz="0" w:space="0" w:color="auto"/>
                        <w:bottom w:val="none" w:sz="0" w:space="0" w:color="auto"/>
                        <w:right w:val="none" w:sz="0" w:space="0" w:color="auto"/>
                      </w:divBdr>
                    </w:div>
                  </w:divsChild>
                </w:div>
                <w:div w:id="227493742">
                  <w:marLeft w:val="0"/>
                  <w:marRight w:val="0"/>
                  <w:marTop w:val="0"/>
                  <w:marBottom w:val="0"/>
                  <w:divBdr>
                    <w:top w:val="none" w:sz="0" w:space="0" w:color="auto"/>
                    <w:left w:val="none" w:sz="0" w:space="0" w:color="auto"/>
                    <w:bottom w:val="none" w:sz="0" w:space="0" w:color="auto"/>
                    <w:right w:val="none" w:sz="0" w:space="0" w:color="auto"/>
                  </w:divBdr>
                  <w:divsChild>
                    <w:div w:id="1754471790">
                      <w:marLeft w:val="0"/>
                      <w:marRight w:val="0"/>
                      <w:marTop w:val="0"/>
                      <w:marBottom w:val="0"/>
                      <w:divBdr>
                        <w:top w:val="none" w:sz="0" w:space="0" w:color="auto"/>
                        <w:left w:val="none" w:sz="0" w:space="0" w:color="auto"/>
                        <w:bottom w:val="none" w:sz="0" w:space="0" w:color="auto"/>
                        <w:right w:val="none" w:sz="0" w:space="0" w:color="auto"/>
                      </w:divBdr>
                    </w:div>
                  </w:divsChild>
                </w:div>
                <w:div w:id="231234936">
                  <w:marLeft w:val="0"/>
                  <w:marRight w:val="0"/>
                  <w:marTop w:val="0"/>
                  <w:marBottom w:val="0"/>
                  <w:divBdr>
                    <w:top w:val="none" w:sz="0" w:space="0" w:color="auto"/>
                    <w:left w:val="none" w:sz="0" w:space="0" w:color="auto"/>
                    <w:bottom w:val="none" w:sz="0" w:space="0" w:color="auto"/>
                    <w:right w:val="none" w:sz="0" w:space="0" w:color="auto"/>
                  </w:divBdr>
                  <w:divsChild>
                    <w:div w:id="845482996">
                      <w:marLeft w:val="0"/>
                      <w:marRight w:val="0"/>
                      <w:marTop w:val="0"/>
                      <w:marBottom w:val="0"/>
                      <w:divBdr>
                        <w:top w:val="none" w:sz="0" w:space="0" w:color="auto"/>
                        <w:left w:val="none" w:sz="0" w:space="0" w:color="auto"/>
                        <w:bottom w:val="none" w:sz="0" w:space="0" w:color="auto"/>
                        <w:right w:val="none" w:sz="0" w:space="0" w:color="auto"/>
                      </w:divBdr>
                    </w:div>
                  </w:divsChild>
                </w:div>
                <w:div w:id="238101373">
                  <w:marLeft w:val="0"/>
                  <w:marRight w:val="0"/>
                  <w:marTop w:val="0"/>
                  <w:marBottom w:val="0"/>
                  <w:divBdr>
                    <w:top w:val="none" w:sz="0" w:space="0" w:color="auto"/>
                    <w:left w:val="none" w:sz="0" w:space="0" w:color="auto"/>
                    <w:bottom w:val="none" w:sz="0" w:space="0" w:color="auto"/>
                    <w:right w:val="none" w:sz="0" w:space="0" w:color="auto"/>
                  </w:divBdr>
                  <w:divsChild>
                    <w:div w:id="2082437939">
                      <w:marLeft w:val="0"/>
                      <w:marRight w:val="0"/>
                      <w:marTop w:val="0"/>
                      <w:marBottom w:val="0"/>
                      <w:divBdr>
                        <w:top w:val="none" w:sz="0" w:space="0" w:color="auto"/>
                        <w:left w:val="none" w:sz="0" w:space="0" w:color="auto"/>
                        <w:bottom w:val="none" w:sz="0" w:space="0" w:color="auto"/>
                        <w:right w:val="none" w:sz="0" w:space="0" w:color="auto"/>
                      </w:divBdr>
                    </w:div>
                  </w:divsChild>
                </w:div>
                <w:div w:id="240993607">
                  <w:marLeft w:val="0"/>
                  <w:marRight w:val="0"/>
                  <w:marTop w:val="0"/>
                  <w:marBottom w:val="0"/>
                  <w:divBdr>
                    <w:top w:val="none" w:sz="0" w:space="0" w:color="auto"/>
                    <w:left w:val="none" w:sz="0" w:space="0" w:color="auto"/>
                    <w:bottom w:val="none" w:sz="0" w:space="0" w:color="auto"/>
                    <w:right w:val="none" w:sz="0" w:space="0" w:color="auto"/>
                  </w:divBdr>
                  <w:divsChild>
                    <w:div w:id="462697819">
                      <w:marLeft w:val="0"/>
                      <w:marRight w:val="0"/>
                      <w:marTop w:val="0"/>
                      <w:marBottom w:val="0"/>
                      <w:divBdr>
                        <w:top w:val="none" w:sz="0" w:space="0" w:color="auto"/>
                        <w:left w:val="none" w:sz="0" w:space="0" w:color="auto"/>
                        <w:bottom w:val="none" w:sz="0" w:space="0" w:color="auto"/>
                        <w:right w:val="none" w:sz="0" w:space="0" w:color="auto"/>
                      </w:divBdr>
                    </w:div>
                  </w:divsChild>
                </w:div>
                <w:div w:id="248930137">
                  <w:marLeft w:val="0"/>
                  <w:marRight w:val="0"/>
                  <w:marTop w:val="0"/>
                  <w:marBottom w:val="0"/>
                  <w:divBdr>
                    <w:top w:val="none" w:sz="0" w:space="0" w:color="auto"/>
                    <w:left w:val="none" w:sz="0" w:space="0" w:color="auto"/>
                    <w:bottom w:val="none" w:sz="0" w:space="0" w:color="auto"/>
                    <w:right w:val="none" w:sz="0" w:space="0" w:color="auto"/>
                  </w:divBdr>
                  <w:divsChild>
                    <w:div w:id="1228607740">
                      <w:marLeft w:val="0"/>
                      <w:marRight w:val="0"/>
                      <w:marTop w:val="0"/>
                      <w:marBottom w:val="0"/>
                      <w:divBdr>
                        <w:top w:val="none" w:sz="0" w:space="0" w:color="auto"/>
                        <w:left w:val="none" w:sz="0" w:space="0" w:color="auto"/>
                        <w:bottom w:val="none" w:sz="0" w:space="0" w:color="auto"/>
                        <w:right w:val="none" w:sz="0" w:space="0" w:color="auto"/>
                      </w:divBdr>
                    </w:div>
                  </w:divsChild>
                </w:div>
                <w:div w:id="274410238">
                  <w:marLeft w:val="0"/>
                  <w:marRight w:val="0"/>
                  <w:marTop w:val="0"/>
                  <w:marBottom w:val="0"/>
                  <w:divBdr>
                    <w:top w:val="none" w:sz="0" w:space="0" w:color="auto"/>
                    <w:left w:val="none" w:sz="0" w:space="0" w:color="auto"/>
                    <w:bottom w:val="none" w:sz="0" w:space="0" w:color="auto"/>
                    <w:right w:val="none" w:sz="0" w:space="0" w:color="auto"/>
                  </w:divBdr>
                  <w:divsChild>
                    <w:div w:id="890848091">
                      <w:marLeft w:val="0"/>
                      <w:marRight w:val="0"/>
                      <w:marTop w:val="0"/>
                      <w:marBottom w:val="0"/>
                      <w:divBdr>
                        <w:top w:val="none" w:sz="0" w:space="0" w:color="auto"/>
                        <w:left w:val="none" w:sz="0" w:space="0" w:color="auto"/>
                        <w:bottom w:val="none" w:sz="0" w:space="0" w:color="auto"/>
                        <w:right w:val="none" w:sz="0" w:space="0" w:color="auto"/>
                      </w:divBdr>
                    </w:div>
                  </w:divsChild>
                </w:div>
                <w:div w:id="281612438">
                  <w:marLeft w:val="0"/>
                  <w:marRight w:val="0"/>
                  <w:marTop w:val="0"/>
                  <w:marBottom w:val="0"/>
                  <w:divBdr>
                    <w:top w:val="none" w:sz="0" w:space="0" w:color="auto"/>
                    <w:left w:val="none" w:sz="0" w:space="0" w:color="auto"/>
                    <w:bottom w:val="none" w:sz="0" w:space="0" w:color="auto"/>
                    <w:right w:val="none" w:sz="0" w:space="0" w:color="auto"/>
                  </w:divBdr>
                  <w:divsChild>
                    <w:div w:id="1159884271">
                      <w:marLeft w:val="0"/>
                      <w:marRight w:val="0"/>
                      <w:marTop w:val="0"/>
                      <w:marBottom w:val="0"/>
                      <w:divBdr>
                        <w:top w:val="none" w:sz="0" w:space="0" w:color="auto"/>
                        <w:left w:val="none" w:sz="0" w:space="0" w:color="auto"/>
                        <w:bottom w:val="none" w:sz="0" w:space="0" w:color="auto"/>
                        <w:right w:val="none" w:sz="0" w:space="0" w:color="auto"/>
                      </w:divBdr>
                    </w:div>
                  </w:divsChild>
                </w:div>
                <w:div w:id="285427049">
                  <w:marLeft w:val="0"/>
                  <w:marRight w:val="0"/>
                  <w:marTop w:val="0"/>
                  <w:marBottom w:val="0"/>
                  <w:divBdr>
                    <w:top w:val="none" w:sz="0" w:space="0" w:color="auto"/>
                    <w:left w:val="none" w:sz="0" w:space="0" w:color="auto"/>
                    <w:bottom w:val="none" w:sz="0" w:space="0" w:color="auto"/>
                    <w:right w:val="none" w:sz="0" w:space="0" w:color="auto"/>
                  </w:divBdr>
                  <w:divsChild>
                    <w:div w:id="708184118">
                      <w:marLeft w:val="0"/>
                      <w:marRight w:val="0"/>
                      <w:marTop w:val="0"/>
                      <w:marBottom w:val="0"/>
                      <w:divBdr>
                        <w:top w:val="none" w:sz="0" w:space="0" w:color="auto"/>
                        <w:left w:val="none" w:sz="0" w:space="0" w:color="auto"/>
                        <w:bottom w:val="none" w:sz="0" w:space="0" w:color="auto"/>
                        <w:right w:val="none" w:sz="0" w:space="0" w:color="auto"/>
                      </w:divBdr>
                    </w:div>
                  </w:divsChild>
                </w:div>
                <w:div w:id="305624513">
                  <w:marLeft w:val="0"/>
                  <w:marRight w:val="0"/>
                  <w:marTop w:val="0"/>
                  <w:marBottom w:val="0"/>
                  <w:divBdr>
                    <w:top w:val="none" w:sz="0" w:space="0" w:color="auto"/>
                    <w:left w:val="none" w:sz="0" w:space="0" w:color="auto"/>
                    <w:bottom w:val="none" w:sz="0" w:space="0" w:color="auto"/>
                    <w:right w:val="none" w:sz="0" w:space="0" w:color="auto"/>
                  </w:divBdr>
                  <w:divsChild>
                    <w:div w:id="1572495824">
                      <w:marLeft w:val="0"/>
                      <w:marRight w:val="0"/>
                      <w:marTop w:val="0"/>
                      <w:marBottom w:val="0"/>
                      <w:divBdr>
                        <w:top w:val="none" w:sz="0" w:space="0" w:color="auto"/>
                        <w:left w:val="none" w:sz="0" w:space="0" w:color="auto"/>
                        <w:bottom w:val="none" w:sz="0" w:space="0" w:color="auto"/>
                        <w:right w:val="none" w:sz="0" w:space="0" w:color="auto"/>
                      </w:divBdr>
                    </w:div>
                  </w:divsChild>
                </w:div>
                <w:div w:id="317807203">
                  <w:marLeft w:val="0"/>
                  <w:marRight w:val="0"/>
                  <w:marTop w:val="0"/>
                  <w:marBottom w:val="0"/>
                  <w:divBdr>
                    <w:top w:val="none" w:sz="0" w:space="0" w:color="auto"/>
                    <w:left w:val="none" w:sz="0" w:space="0" w:color="auto"/>
                    <w:bottom w:val="none" w:sz="0" w:space="0" w:color="auto"/>
                    <w:right w:val="none" w:sz="0" w:space="0" w:color="auto"/>
                  </w:divBdr>
                  <w:divsChild>
                    <w:div w:id="767821178">
                      <w:marLeft w:val="0"/>
                      <w:marRight w:val="0"/>
                      <w:marTop w:val="0"/>
                      <w:marBottom w:val="0"/>
                      <w:divBdr>
                        <w:top w:val="none" w:sz="0" w:space="0" w:color="auto"/>
                        <w:left w:val="none" w:sz="0" w:space="0" w:color="auto"/>
                        <w:bottom w:val="none" w:sz="0" w:space="0" w:color="auto"/>
                        <w:right w:val="none" w:sz="0" w:space="0" w:color="auto"/>
                      </w:divBdr>
                    </w:div>
                  </w:divsChild>
                </w:div>
                <w:div w:id="320619163">
                  <w:marLeft w:val="0"/>
                  <w:marRight w:val="0"/>
                  <w:marTop w:val="0"/>
                  <w:marBottom w:val="0"/>
                  <w:divBdr>
                    <w:top w:val="none" w:sz="0" w:space="0" w:color="auto"/>
                    <w:left w:val="none" w:sz="0" w:space="0" w:color="auto"/>
                    <w:bottom w:val="none" w:sz="0" w:space="0" w:color="auto"/>
                    <w:right w:val="none" w:sz="0" w:space="0" w:color="auto"/>
                  </w:divBdr>
                  <w:divsChild>
                    <w:div w:id="420029419">
                      <w:marLeft w:val="0"/>
                      <w:marRight w:val="0"/>
                      <w:marTop w:val="0"/>
                      <w:marBottom w:val="0"/>
                      <w:divBdr>
                        <w:top w:val="none" w:sz="0" w:space="0" w:color="auto"/>
                        <w:left w:val="none" w:sz="0" w:space="0" w:color="auto"/>
                        <w:bottom w:val="none" w:sz="0" w:space="0" w:color="auto"/>
                        <w:right w:val="none" w:sz="0" w:space="0" w:color="auto"/>
                      </w:divBdr>
                    </w:div>
                  </w:divsChild>
                </w:div>
                <w:div w:id="326173259">
                  <w:marLeft w:val="0"/>
                  <w:marRight w:val="0"/>
                  <w:marTop w:val="0"/>
                  <w:marBottom w:val="0"/>
                  <w:divBdr>
                    <w:top w:val="none" w:sz="0" w:space="0" w:color="auto"/>
                    <w:left w:val="none" w:sz="0" w:space="0" w:color="auto"/>
                    <w:bottom w:val="none" w:sz="0" w:space="0" w:color="auto"/>
                    <w:right w:val="none" w:sz="0" w:space="0" w:color="auto"/>
                  </w:divBdr>
                  <w:divsChild>
                    <w:div w:id="1787196411">
                      <w:marLeft w:val="0"/>
                      <w:marRight w:val="0"/>
                      <w:marTop w:val="0"/>
                      <w:marBottom w:val="0"/>
                      <w:divBdr>
                        <w:top w:val="none" w:sz="0" w:space="0" w:color="auto"/>
                        <w:left w:val="none" w:sz="0" w:space="0" w:color="auto"/>
                        <w:bottom w:val="none" w:sz="0" w:space="0" w:color="auto"/>
                        <w:right w:val="none" w:sz="0" w:space="0" w:color="auto"/>
                      </w:divBdr>
                    </w:div>
                  </w:divsChild>
                </w:div>
                <w:div w:id="345133594">
                  <w:marLeft w:val="0"/>
                  <w:marRight w:val="0"/>
                  <w:marTop w:val="0"/>
                  <w:marBottom w:val="0"/>
                  <w:divBdr>
                    <w:top w:val="none" w:sz="0" w:space="0" w:color="auto"/>
                    <w:left w:val="none" w:sz="0" w:space="0" w:color="auto"/>
                    <w:bottom w:val="none" w:sz="0" w:space="0" w:color="auto"/>
                    <w:right w:val="none" w:sz="0" w:space="0" w:color="auto"/>
                  </w:divBdr>
                  <w:divsChild>
                    <w:div w:id="484709771">
                      <w:marLeft w:val="0"/>
                      <w:marRight w:val="0"/>
                      <w:marTop w:val="0"/>
                      <w:marBottom w:val="0"/>
                      <w:divBdr>
                        <w:top w:val="none" w:sz="0" w:space="0" w:color="auto"/>
                        <w:left w:val="none" w:sz="0" w:space="0" w:color="auto"/>
                        <w:bottom w:val="none" w:sz="0" w:space="0" w:color="auto"/>
                        <w:right w:val="none" w:sz="0" w:space="0" w:color="auto"/>
                      </w:divBdr>
                    </w:div>
                  </w:divsChild>
                </w:div>
                <w:div w:id="350957523">
                  <w:marLeft w:val="0"/>
                  <w:marRight w:val="0"/>
                  <w:marTop w:val="0"/>
                  <w:marBottom w:val="0"/>
                  <w:divBdr>
                    <w:top w:val="none" w:sz="0" w:space="0" w:color="auto"/>
                    <w:left w:val="none" w:sz="0" w:space="0" w:color="auto"/>
                    <w:bottom w:val="none" w:sz="0" w:space="0" w:color="auto"/>
                    <w:right w:val="none" w:sz="0" w:space="0" w:color="auto"/>
                  </w:divBdr>
                  <w:divsChild>
                    <w:div w:id="631714670">
                      <w:marLeft w:val="0"/>
                      <w:marRight w:val="0"/>
                      <w:marTop w:val="0"/>
                      <w:marBottom w:val="0"/>
                      <w:divBdr>
                        <w:top w:val="none" w:sz="0" w:space="0" w:color="auto"/>
                        <w:left w:val="none" w:sz="0" w:space="0" w:color="auto"/>
                        <w:bottom w:val="none" w:sz="0" w:space="0" w:color="auto"/>
                        <w:right w:val="none" w:sz="0" w:space="0" w:color="auto"/>
                      </w:divBdr>
                    </w:div>
                  </w:divsChild>
                </w:div>
                <w:div w:id="353578314">
                  <w:marLeft w:val="0"/>
                  <w:marRight w:val="0"/>
                  <w:marTop w:val="0"/>
                  <w:marBottom w:val="0"/>
                  <w:divBdr>
                    <w:top w:val="none" w:sz="0" w:space="0" w:color="auto"/>
                    <w:left w:val="none" w:sz="0" w:space="0" w:color="auto"/>
                    <w:bottom w:val="none" w:sz="0" w:space="0" w:color="auto"/>
                    <w:right w:val="none" w:sz="0" w:space="0" w:color="auto"/>
                  </w:divBdr>
                  <w:divsChild>
                    <w:div w:id="1402559722">
                      <w:marLeft w:val="0"/>
                      <w:marRight w:val="0"/>
                      <w:marTop w:val="0"/>
                      <w:marBottom w:val="0"/>
                      <w:divBdr>
                        <w:top w:val="none" w:sz="0" w:space="0" w:color="auto"/>
                        <w:left w:val="none" w:sz="0" w:space="0" w:color="auto"/>
                        <w:bottom w:val="none" w:sz="0" w:space="0" w:color="auto"/>
                        <w:right w:val="none" w:sz="0" w:space="0" w:color="auto"/>
                      </w:divBdr>
                    </w:div>
                  </w:divsChild>
                </w:div>
                <w:div w:id="358167951">
                  <w:marLeft w:val="0"/>
                  <w:marRight w:val="0"/>
                  <w:marTop w:val="0"/>
                  <w:marBottom w:val="0"/>
                  <w:divBdr>
                    <w:top w:val="none" w:sz="0" w:space="0" w:color="auto"/>
                    <w:left w:val="none" w:sz="0" w:space="0" w:color="auto"/>
                    <w:bottom w:val="none" w:sz="0" w:space="0" w:color="auto"/>
                    <w:right w:val="none" w:sz="0" w:space="0" w:color="auto"/>
                  </w:divBdr>
                  <w:divsChild>
                    <w:div w:id="547302924">
                      <w:marLeft w:val="0"/>
                      <w:marRight w:val="0"/>
                      <w:marTop w:val="0"/>
                      <w:marBottom w:val="0"/>
                      <w:divBdr>
                        <w:top w:val="none" w:sz="0" w:space="0" w:color="auto"/>
                        <w:left w:val="none" w:sz="0" w:space="0" w:color="auto"/>
                        <w:bottom w:val="none" w:sz="0" w:space="0" w:color="auto"/>
                        <w:right w:val="none" w:sz="0" w:space="0" w:color="auto"/>
                      </w:divBdr>
                    </w:div>
                  </w:divsChild>
                </w:div>
                <w:div w:id="358706020">
                  <w:marLeft w:val="0"/>
                  <w:marRight w:val="0"/>
                  <w:marTop w:val="0"/>
                  <w:marBottom w:val="0"/>
                  <w:divBdr>
                    <w:top w:val="none" w:sz="0" w:space="0" w:color="auto"/>
                    <w:left w:val="none" w:sz="0" w:space="0" w:color="auto"/>
                    <w:bottom w:val="none" w:sz="0" w:space="0" w:color="auto"/>
                    <w:right w:val="none" w:sz="0" w:space="0" w:color="auto"/>
                  </w:divBdr>
                  <w:divsChild>
                    <w:div w:id="270670757">
                      <w:marLeft w:val="0"/>
                      <w:marRight w:val="0"/>
                      <w:marTop w:val="0"/>
                      <w:marBottom w:val="0"/>
                      <w:divBdr>
                        <w:top w:val="none" w:sz="0" w:space="0" w:color="auto"/>
                        <w:left w:val="none" w:sz="0" w:space="0" w:color="auto"/>
                        <w:bottom w:val="none" w:sz="0" w:space="0" w:color="auto"/>
                        <w:right w:val="none" w:sz="0" w:space="0" w:color="auto"/>
                      </w:divBdr>
                    </w:div>
                  </w:divsChild>
                </w:div>
                <w:div w:id="359474193">
                  <w:marLeft w:val="0"/>
                  <w:marRight w:val="0"/>
                  <w:marTop w:val="0"/>
                  <w:marBottom w:val="0"/>
                  <w:divBdr>
                    <w:top w:val="none" w:sz="0" w:space="0" w:color="auto"/>
                    <w:left w:val="none" w:sz="0" w:space="0" w:color="auto"/>
                    <w:bottom w:val="none" w:sz="0" w:space="0" w:color="auto"/>
                    <w:right w:val="none" w:sz="0" w:space="0" w:color="auto"/>
                  </w:divBdr>
                  <w:divsChild>
                    <w:div w:id="137378470">
                      <w:marLeft w:val="0"/>
                      <w:marRight w:val="0"/>
                      <w:marTop w:val="0"/>
                      <w:marBottom w:val="0"/>
                      <w:divBdr>
                        <w:top w:val="none" w:sz="0" w:space="0" w:color="auto"/>
                        <w:left w:val="none" w:sz="0" w:space="0" w:color="auto"/>
                        <w:bottom w:val="none" w:sz="0" w:space="0" w:color="auto"/>
                        <w:right w:val="none" w:sz="0" w:space="0" w:color="auto"/>
                      </w:divBdr>
                    </w:div>
                  </w:divsChild>
                </w:div>
                <w:div w:id="376121523">
                  <w:marLeft w:val="0"/>
                  <w:marRight w:val="0"/>
                  <w:marTop w:val="0"/>
                  <w:marBottom w:val="0"/>
                  <w:divBdr>
                    <w:top w:val="none" w:sz="0" w:space="0" w:color="auto"/>
                    <w:left w:val="none" w:sz="0" w:space="0" w:color="auto"/>
                    <w:bottom w:val="none" w:sz="0" w:space="0" w:color="auto"/>
                    <w:right w:val="none" w:sz="0" w:space="0" w:color="auto"/>
                  </w:divBdr>
                  <w:divsChild>
                    <w:div w:id="1614096514">
                      <w:marLeft w:val="0"/>
                      <w:marRight w:val="0"/>
                      <w:marTop w:val="0"/>
                      <w:marBottom w:val="0"/>
                      <w:divBdr>
                        <w:top w:val="none" w:sz="0" w:space="0" w:color="auto"/>
                        <w:left w:val="none" w:sz="0" w:space="0" w:color="auto"/>
                        <w:bottom w:val="none" w:sz="0" w:space="0" w:color="auto"/>
                        <w:right w:val="none" w:sz="0" w:space="0" w:color="auto"/>
                      </w:divBdr>
                    </w:div>
                  </w:divsChild>
                </w:div>
                <w:div w:id="387997966">
                  <w:marLeft w:val="0"/>
                  <w:marRight w:val="0"/>
                  <w:marTop w:val="0"/>
                  <w:marBottom w:val="0"/>
                  <w:divBdr>
                    <w:top w:val="none" w:sz="0" w:space="0" w:color="auto"/>
                    <w:left w:val="none" w:sz="0" w:space="0" w:color="auto"/>
                    <w:bottom w:val="none" w:sz="0" w:space="0" w:color="auto"/>
                    <w:right w:val="none" w:sz="0" w:space="0" w:color="auto"/>
                  </w:divBdr>
                  <w:divsChild>
                    <w:div w:id="361176724">
                      <w:marLeft w:val="0"/>
                      <w:marRight w:val="0"/>
                      <w:marTop w:val="0"/>
                      <w:marBottom w:val="0"/>
                      <w:divBdr>
                        <w:top w:val="none" w:sz="0" w:space="0" w:color="auto"/>
                        <w:left w:val="none" w:sz="0" w:space="0" w:color="auto"/>
                        <w:bottom w:val="none" w:sz="0" w:space="0" w:color="auto"/>
                        <w:right w:val="none" w:sz="0" w:space="0" w:color="auto"/>
                      </w:divBdr>
                    </w:div>
                  </w:divsChild>
                </w:div>
                <w:div w:id="398747178">
                  <w:marLeft w:val="0"/>
                  <w:marRight w:val="0"/>
                  <w:marTop w:val="0"/>
                  <w:marBottom w:val="0"/>
                  <w:divBdr>
                    <w:top w:val="none" w:sz="0" w:space="0" w:color="auto"/>
                    <w:left w:val="none" w:sz="0" w:space="0" w:color="auto"/>
                    <w:bottom w:val="none" w:sz="0" w:space="0" w:color="auto"/>
                    <w:right w:val="none" w:sz="0" w:space="0" w:color="auto"/>
                  </w:divBdr>
                  <w:divsChild>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428308106">
                  <w:marLeft w:val="0"/>
                  <w:marRight w:val="0"/>
                  <w:marTop w:val="0"/>
                  <w:marBottom w:val="0"/>
                  <w:divBdr>
                    <w:top w:val="none" w:sz="0" w:space="0" w:color="auto"/>
                    <w:left w:val="none" w:sz="0" w:space="0" w:color="auto"/>
                    <w:bottom w:val="none" w:sz="0" w:space="0" w:color="auto"/>
                    <w:right w:val="none" w:sz="0" w:space="0" w:color="auto"/>
                  </w:divBdr>
                  <w:divsChild>
                    <w:div w:id="847405297">
                      <w:marLeft w:val="0"/>
                      <w:marRight w:val="0"/>
                      <w:marTop w:val="0"/>
                      <w:marBottom w:val="0"/>
                      <w:divBdr>
                        <w:top w:val="none" w:sz="0" w:space="0" w:color="auto"/>
                        <w:left w:val="none" w:sz="0" w:space="0" w:color="auto"/>
                        <w:bottom w:val="none" w:sz="0" w:space="0" w:color="auto"/>
                        <w:right w:val="none" w:sz="0" w:space="0" w:color="auto"/>
                      </w:divBdr>
                    </w:div>
                  </w:divsChild>
                </w:div>
                <w:div w:id="439571511">
                  <w:marLeft w:val="0"/>
                  <w:marRight w:val="0"/>
                  <w:marTop w:val="0"/>
                  <w:marBottom w:val="0"/>
                  <w:divBdr>
                    <w:top w:val="none" w:sz="0" w:space="0" w:color="auto"/>
                    <w:left w:val="none" w:sz="0" w:space="0" w:color="auto"/>
                    <w:bottom w:val="none" w:sz="0" w:space="0" w:color="auto"/>
                    <w:right w:val="none" w:sz="0" w:space="0" w:color="auto"/>
                  </w:divBdr>
                  <w:divsChild>
                    <w:div w:id="2090105602">
                      <w:marLeft w:val="0"/>
                      <w:marRight w:val="0"/>
                      <w:marTop w:val="0"/>
                      <w:marBottom w:val="0"/>
                      <w:divBdr>
                        <w:top w:val="none" w:sz="0" w:space="0" w:color="auto"/>
                        <w:left w:val="none" w:sz="0" w:space="0" w:color="auto"/>
                        <w:bottom w:val="none" w:sz="0" w:space="0" w:color="auto"/>
                        <w:right w:val="none" w:sz="0" w:space="0" w:color="auto"/>
                      </w:divBdr>
                    </w:div>
                  </w:divsChild>
                </w:div>
                <w:div w:id="449517529">
                  <w:marLeft w:val="0"/>
                  <w:marRight w:val="0"/>
                  <w:marTop w:val="0"/>
                  <w:marBottom w:val="0"/>
                  <w:divBdr>
                    <w:top w:val="none" w:sz="0" w:space="0" w:color="auto"/>
                    <w:left w:val="none" w:sz="0" w:space="0" w:color="auto"/>
                    <w:bottom w:val="none" w:sz="0" w:space="0" w:color="auto"/>
                    <w:right w:val="none" w:sz="0" w:space="0" w:color="auto"/>
                  </w:divBdr>
                  <w:divsChild>
                    <w:div w:id="440028816">
                      <w:marLeft w:val="0"/>
                      <w:marRight w:val="0"/>
                      <w:marTop w:val="0"/>
                      <w:marBottom w:val="0"/>
                      <w:divBdr>
                        <w:top w:val="none" w:sz="0" w:space="0" w:color="auto"/>
                        <w:left w:val="none" w:sz="0" w:space="0" w:color="auto"/>
                        <w:bottom w:val="none" w:sz="0" w:space="0" w:color="auto"/>
                        <w:right w:val="none" w:sz="0" w:space="0" w:color="auto"/>
                      </w:divBdr>
                    </w:div>
                  </w:divsChild>
                </w:div>
                <w:div w:id="452938732">
                  <w:marLeft w:val="0"/>
                  <w:marRight w:val="0"/>
                  <w:marTop w:val="0"/>
                  <w:marBottom w:val="0"/>
                  <w:divBdr>
                    <w:top w:val="none" w:sz="0" w:space="0" w:color="auto"/>
                    <w:left w:val="none" w:sz="0" w:space="0" w:color="auto"/>
                    <w:bottom w:val="none" w:sz="0" w:space="0" w:color="auto"/>
                    <w:right w:val="none" w:sz="0" w:space="0" w:color="auto"/>
                  </w:divBdr>
                  <w:divsChild>
                    <w:div w:id="1243949106">
                      <w:marLeft w:val="0"/>
                      <w:marRight w:val="0"/>
                      <w:marTop w:val="0"/>
                      <w:marBottom w:val="0"/>
                      <w:divBdr>
                        <w:top w:val="none" w:sz="0" w:space="0" w:color="auto"/>
                        <w:left w:val="none" w:sz="0" w:space="0" w:color="auto"/>
                        <w:bottom w:val="none" w:sz="0" w:space="0" w:color="auto"/>
                        <w:right w:val="none" w:sz="0" w:space="0" w:color="auto"/>
                      </w:divBdr>
                    </w:div>
                  </w:divsChild>
                </w:div>
                <w:div w:id="456683999">
                  <w:marLeft w:val="0"/>
                  <w:marRight w:val="0"/>
                  <w:marTop w:val="0"/>
                  <w:marBottom w:val="0"/>
                  <w:divBdr>
                    <w:top w:val="none" w:sz="0" w:space="0" w:color="auto"/>
                    <w:left w:val="none" w:sz="0" w:space="0" w:color="auto"/>
                    <w:bottom w:val="none" w:sz="0" w:space="0" w:color="auto"/>
                    <w:right w:val="none" w:sz="0" w:space="0" w:color="auto"/>
                  </w:divBdr>
                  <w:divsChild>
                    <w:div w:id="1966112611">
                      <w:marLeft w:val="0"/>
                      <w:marRight w:val="0"/>
                      <w:marTop w:val="0"/>
                      <w:marBottom w:val="0"/>
                      <w:divBdr>
                        <w:top w:val="none" w:sz="0" w:space="0" w:color="auto"/>
                        <w:left w:val="none" w:sz="0" w:space="0" w:color="auto"/>
                        <w:bottom w:val="none" w:sz="0" w:space="0" w:color="auto"/>
                        <w:right w:val="none" w:sz="0" w:space="0" w:color="auto"/>
                      </w:divBdr>
                    </w:div>
                  </w:divsChild>
                </w:div>
                <w:div w:id="461970561">
                  <w:marLeft w:val="0"/>
                  <w:marRight w:val="0"/>
                  <w:marTop w:val="0"/>
                  <w:marBottom w:val="0"/>
                  <w:divBdr>
                    <w:top w:val="none" w:sz="0" w:space="0" w:color="auto"/>
                    <w:left w:val="none" w:sz="0" w:space="0" w:color="auto"/>
                    <w:bottom w:val="none" w:sz="0" w:space="0" w:color="auto"/>
                    <w:right w:val="none" w:sz="0" w:space="0" w:color="auto"/>
                  </w:divBdr>
                  <w:divsChild>
                    <w:div w:id="1243635569">
                      <w:marLeft w:val="0"/>
                      <w:marRight w:val="0"/>
                      <w:marTop w:val="0"/>
                      <w:marBottom w:val="0"/>
                      <w:divBdr>
                        <w:top w:val="none" w:sz="0" w:space="0" w:color="auto"/>
                        <w:left w:val="none" w:sz="0" w:space="0" w:color="auto"/>
                        <w:bottom w:val="none" w:sz="0" w:space="0" w:color="auto"/>
                        <w:right w:val="none" w:sz="0" w:space="0" w:color="auto"/>
                      </w:divBdr>
                    </w:div>
                  </w:divsChild>
                </w:div>
                <w:div w:id="496238668">
                  <w:marLeft w:val="0"/>
                  <w:marRight w:val="0"/>
                  <w:marTop w:val="0"/>
                  <w:marBottom w:val="0"/>
                  <w:divBdr>
                    <w:top w:val="none" w:sz="0" w:space="0" w:color="auto"/>
                    <w:left w:val="none" w:sz="0" w:space="0" w:color="auto"/>
                    <w:bottom w:val="none" w:sz="0" w:space="0" w:color="auto"/>
                    <w:right w:val="none" w:sz="0" w:space="0" w:color="auto"/>
                  </w:divBdr>
                  <w:divsChild>
                    <w:div w:id="356930346">
                      <w:marLeft w:val="0"/>
                      <w:marRight w:val="0"/>
                      <w:marTop w:val="0"/>
                      <w:marBottom w:val="0"/>
                      <w:divBdr>
                        <w:top w:val="none" w:sz="0" w:space="0" w:color="auto"/>
                        <w:left w:val="none" w:sz="0" w:space="0" w:color="auto"/>
                        <w:bottom w:val="none" w:sz="0" w:space="0" w:color="auto"/>
                        <w:right w:val="none" w:sz="0" w:space="0" w:color="auto"/>
                      </w:divBdr>
                    </w:div>
                  </w:divsChild>
                </w:div>
                <w:div w:id="500707779">
                  <w:marLeft w:val="0"/>
                  <w:marRight w:val="0"/>
                  <w:marTop w:val="0"/>
                  <w:marBottom w:val="0"/>
                  <w:divBdr>
                    <w:top w:val="none" w:sz="0" w:space="0" w:color="auto"/>
                    <w:left w:val="none" w:sz="0" w:space="0" w:color="auto"/>
                    <w:bottom w:val="none" w:sz="0" w:space="0" w:color="auto"/>
                    <w:right w:val="none" w:sz="0" w:space="0" w:color="auto"/>
                  </w:divBdr>
                  <w:divsChild>
                    <w:div w:id="1567492064">
                      <w:marLeft w:val="0"/>
                      <w:marRight w:val="0"/>
                      <w:marTop w:val="0"/>
                      <w:marBottom w:val="0"/>
                      <w:divBdr>
                        <w:top w:val="none" w:sz="0" w:space="0" w:color="auto"/>
                        <w:left w:val="none" w:sz="0" w:space="0" w:color="auto"/>
                        <w:bottom w:val="none" w:sz="0" w:space="0" w:color="auto"/>
                        <w:right w:val="none" w:sz="0" w:space="0" w:color="auto"/>
                      </w:divBdr>
                    </w:div>
                  </w:divsChild>
                </w:div>
                <w:div w:id="510487406">
                  <w:marLeft w:val="0"/>
                  <w:marRight w:val="0"/>
                  <w:marTop w:val="0"/>
                  <w:marBottom w:val="0"/>
                  <w:divBdr>
                    <w:top w:val="none" w:sz="0" w:space="0" w:color="auto"/>
                    <w:left w:val="none" w:sz="0" w:space="0" w:color="auto"/>
                    <w:bottom w:val="none" w:sz="0" w:space="0" w:color="auto"/>
                    <w:right w:val="none" w:sz="0" w:space="0" w:color="auto"/>
                  </w:divBdr>
                  <w:divsChild>
                    <w:div w:id="839541434">
                      <w:marLeft w:val="0"/>
                      <w:marRight w:val="0"/>
                      <w:marTop w:val="0"/>
                      <w:marBottom w:val="0"/>
                      <w:divBdr>
                        <w:top w:val="none" w:sz="0" w:space="0" w:color="auto"/>
                        <w:left w:val="none" w:sz="0" w:space="0" w:color="auto"/>
                        <w:bottom w:val="none" w:sz="0" w:space="0" w:color="auto"/>
                        <w:right w:val="none" w:sz="0" w:space="0" w:color="auto"/>
                      </w:divBdr>
                    </w:div>
                  </w:divsChild>
                </w:div>
                <w:div w:id="519123514">
                  <w:marLeft w:val="0"/>
                  <w:marRight w:val="0"/>
                  <w:marTop w:val="0"/>
                  <w:marBottom w:val="0"/>
                  <w:divBdr>
                    <w:top w:val="none" w:sz="0" w:space="0" w:color="auto"/>
                    <w:left w:val="none" w:sz="0" w:space="0" w:color="auto"/>
                    <w:bottom w:val="none" w:sz="0" w:space="0" w:color="auto"/>
                    <w:right w:val="none" w:sz="0" w:space="0" w:color="auto"/>
                  </w:divBdr>
                  <w:divsChild>
                    <w:div w:id="418797211">
                      <w:marLeft w:val="0"/>
                      <w:marRight w:val="0"/>
                      <w:marTop w:val="0"/>
                      <w:marBottom w:val="0"/>
                      <w:divBdr>
                        <w:top w:val="none" w:sz="0" w:space="0" w:color="auto"/>
                        <w:left w:val="none" w:sz="0" w:space="0" w:color="auto"/>
                        <w:bottom w:val="none" w:sz="0" w:space="0" w:color="auto"/>
                        <w:right w:val="none" w:sz="0" w:space="0" w:color="auto"/>
                      </w:divBdr>
                    </w:div>
                  </w:divsChild>
                </w:div>
                <w:div w:id="543907479">
                  <w:marLeft w:val="0"/>
                  <w:marRight w:val="0"/>
                  <w:marTop w:val="0"/>
                  <w:marBottom w:val="0"/>
                  <w:divBdr>
                    <w:top w:val="none" w:sz="0" w:space="0" w:color="auto"/>
                    <w:left w:val="none" w:sz="0" w:space="0" w:color="auto"/>
                    <w:bottom w:val="none" w:sz="0" w:space="0" w:color="auto"/>
                    <w:right w:val="none" w:sz="0" w:space="0" w:color="auto"/>
                  </w:divBdr>
                  <w:divsChild>
                    <w:div w:id="1929532169">
                      <w:marLeft w:val="0"/>
                      <w:marRight w:val="0"/>
                      <w:marTop w:val="0"/>
                      <w:marBottom w:val="0"/>
                      <w:divBdr>
                        <w:top w:val="none" w:sz="0" w:space="0" w:color="auto"/>
                        <w:left w:val="none" w:sz="0" w:space="0" w:color="auto"/>
                        <w:bottom w:val="none" w:sz="0" w:space="0" w:color="auto"/>
                        <w:right w:val="none" w:sz="0" w:space="0" w:color="auto"/>
                      </w:divBdr>
                    </w:div>
                  </w:divsChild>
                </w:div>
                <w:div w:id="545608805">
                  <w:marLeft w:val="0"/>
                  <w:marRight w:val="0"/>
                  <w:marTop w:val="0"/>
                  <w:marBottom w:val="0"/>
                  <w:divBdr>
                    <w:top w:val="none" w:sz="0" w:space="0" w:color="auto"/>
                    <w:left w:val="none" w:sz="0" w:space="0" w:color="auto"/>
                    <w:bottom w:val="none" w:sz="0" w:space="0" w:color="auto"/>
                    <w:right w:val="none" w:sz="0" w:space="0" w:color="auto"/>
                  </w:divBdr>
                  <w:divsChild>
                    <w:div w:id="614673789">
                      <w:marLeft w:val="0"/>
                      <w:marRight w:val="0"/>
                      <w:marTop w:val="0"/>
                      <w:marBottom w:val="0"/>
                      <w:divBdr>
                        <w:top w:val="none" w:sz="0" w:space="0" w:color="auto"/>
                        <w:left w:val="none" w:sz="0" w:space="0" w:color="auto"/>
                        <w:bottom w:val="none" w:sz="0" w:space="0" w:color="auto"/>
                        <w:right w:val="none" w:sz="0" w:space="0" w:color="auto"/>
                      </w:divBdr>
                    </w:div>
                  </w:divsChild>
                </w:div>
                <w:div w:id="546991100">
                  <w:marLeft w:val="0"/>
                  <w:marRight w:val="0"/>
                  <w:marTop w:val="0"/>
                  <w:marBottom w:val="0"/>
                  <w:divBdr>
                    <w:top w:val="none" w:sz="0" w:space="0" w:color="auto"/>
                    <w:left w:val="none" w:sz="0" w:space="0" w:color="auto"/>
                    <w:bottom w:val="none" w:sz="0" w:space="0" w:color="auto"/>
                    <w:right w:val="none" w:sz="0" w:space="0" w:color="auto"/>
                  </w:divBdr>
                  <w:divsChild>
                    <w:div w:id="2037533855">
                      <w:marLeft w:val="0"/>
                      <w:marRight w:val="0"/>
                      <w:marTop w:val="0"/>
                      <w:marBottom w:val="0"/>
                      <w:divBdr>
                        <w:top w:val="none" w:sz="0" w:space="0" w:color="auto"/>
                        <w:left w:val="none" w:sz="0" w:space="0" w:color="auto"/>
                        <w:bottom w:val="none" w:sz="0" w:space="0" w:color="auto"/>
                        <w:right w:val="none" w:sz="0" w:space="0" w:color="auto"/>
                      </w:divBdr>
                    </w:div>
                  </w:divsChild>
                </w:div>
                <w:div w:id="550045172">
                  <w:marLeft w:val="0"/>
                  <w:marRight w:val="0"/>
                  <w:marTop w:val="0"/>
                  <w:marBottom w:val="0"/>
                  <w:divBdr>
                    <w:top w:val="none" w:sz="0" w:space="0" w:color="auto"/>
                    <w:left w:val="none" w:sz="0" w:space="0" w:color="auto"/>
                    <w:bottom w:val="none" w:sz="0" w:space="0" w:color="auto"/>
                    <w:right w:val="none" w:sz="0" w:space="0" w:color="auto"/>
                  </w:divBdr>
                  <w:divsChild>
                    <w:div w:id="227425849">
                      <w:marLeft w:val="0"/>
                      <w:marRight w:val="0"/>
                      <w:marTop w:val="0"/>
                      <w:marBottom w:val="0"/>
                      <w:divBdr>
                        <w:top w:val="none" w:sz="0" w:space="0" w:color="auto"/>
                        <w:left w:val="none" w:sz="0" w:space="0" w:color="auto"/>
                        <w:bottom w:val="none" w:sz="0" w:space="0" w:color="auto"/>
                        <w:right w:val="none" w:sz="0" w:space="0" w:color="auto"/>
                      </w:divBdr>
                    </w:div>
                  </w:divsChild>
                </w:div>
                <w:div w:id="550070906">
                  <w:marLeft w:val="0"/>
                  <w:marRight w:val="0"/>
                  <w:marTop w:val="0"/>
                  <w:marBottom w:val="0"/>
                  <w:divBdr>
                    <w:top w:val="none" w:sz="0" w:space="0" w:color="auto"/>
                    <w:left w:val="none" w:sz="0" w:space="0" w:color="auto"/>
                    <w:bottom w:val="none" w:sz="0" w:space="0" w:color="auto"/>
                    <w:right w:val="none" w:sz="0" w:space="0" w:color="auto"/>
                  </w:divBdr>
                  <w:divsChild>
                    <w:div w:id="2043699991">
                      <w:marLeft w:val="0"/>
                      <w:marRight w:val="0"/>
                      <w:marTop w:val="0"/>
                      <w:marBottom w:val="0"/>
                      <w:divBdr>
                        <w:top w:val="none" w:sz="0" w:space="0" w:color="auto"/>
                        <w:left w:val="none" w:sz="0" w:space="0" w:color="auto"/>
                        <w:bottom w:val="none" w:sz="0" w:space="0" w:color="auto"/>
                        <w:right w:val="none" w:sz="0" w:space="0" w:color="auto"/>
                      </w:divBdr>
                    </w:div>
                  </w:divsChild>
                </w:div>
                <w:div w:id="557712837">
                  <w:marLeft w:val="0"/>
                  <w:marRight w:val="0"/>
                  <w:marTop w:val="0"/>
                  <w:marBottom w:val="0"/>
                  <w:divBdr>
                    <w:top w:val="none" w:sz="0" w:space="0" w:color="auto"/>
                    <w:left w:val="none" w:sz="0" w:space="0" w:color="auto"/>
                    <w:bottom w:val="none" w:sz="0" w:space="0" w:color="auto"/>
                    <w:right w:val="none" w:sz="0" w:space="0" w:color="auto"/>
                  </w:divBdr>
                  <w:divsChild>
                    <w:div w:id="1661273449">
                      <w:marLeft w:val="0"/>
                      <w:marRight w:val="0"/>
                      <w:marTop w:val="0"/>
                      <w:marBottom w:val="0"/>
                      <w:divBdr>
                        <w:top w:val="none" w:sz="0" w:space="0" w:color="auto"/>
                        <w:left w:val="none" w:sz="0" w:space="0" w:color="auto"/>
                        <w:bottom w:val="none" w:sz="0" w:space="0" w:color="auto"/>
                        <w:right w:val="none" w:sz="0" w:space="0" w:color="auto"/>
                      </w:divBdr>
                    </w:div>
                  </w:divsChild>
                </w:div>
                <w:div w:id="584144550">
                  <w:marLeft w:val="0"/>
                  <w:marRight w:val="0"/>
                  <w:marTop w:val="0"/>
                  <w:marBottom w:val="0"/>
                  <w:divBdr>
                    <w:top w:val="none" w:sz="0" w:space="0" w:color="auto"/>
                    <w:left w:val="none" w:sz="0" w:space="0" w:color="auto"/>
                    <w:bottom w:val="none" w:sz="0" w:space="0" w:color="auto"/>
                    <w:right w:val="none" w:sz="0" w:space="0" w:color="auto"/>
                  </w:divBdr>
                  <w:divsChild>
                    <w:div w:id="1824587807">
                      <w:marLeft w:val="0"/>
                      <w:marRight w:val="0"/>
                      <w:marTop w:val="0"/>
                      <w:marBottom w:val="0"/>
                      <w:divBdr>
                        <w:top w:val="none" w:sz="0" w:space="0" w:color="auto"/>
                        <w:left w:val="none" w:sz="0" w:space="0" w:color="auto"/>
                        <w:bottom w:val="none" w:sz="0" w:space="0" w:color="auto"/>
                        <w:right w:val="none" w:sz="0" w:space="0" w:color="auto"/>
                      </w:divBdr>
                    </w:div>
                  </w:divsChild>
                </w:div>
                <w:div w:id="586694599">
                  <w:marLeft w:val="0"/>
                  <w:marRight w:val="0"/>
                  <w:marTop w:val="0"/>
                  <w:marBottom w:val="0"/>
                  <w:divBdr>
                    <w:top w:val="none" w:sz="0" w:space="0" w:color="auto"/>
                    <w:left w:val="none" w:sz="0" w:space="0" w:color="auto"/>
                    <w:bottom w:val="none" w:sz="0" w:space="0" w:color="auto"/>
                    <w:right w:val="none" w:sz="0" w:space="0" w:color="auto"/>
                  </w:divBdr>
                  <w:divsChild>
                    <w:div w:id="484859217">
                      <w:marLeft w:val="0"/>
                      <w:marRight w:val="0"/>
                      <w:marTop w:val="0"/>
                      <w:marBottom w:val="0"/>
                      <w:divBdr>
                        <w:top w:val="none" w:sz="0" w:space="0" w:color="auto"/>
                        <w:left w:val="none" w:sz="0" w:space="0" w:color="auto"/>
                        <w:bottom w:val="none" w:sz="0" w:space="0" w:color="auto"/>
                        <w:right w:val="none" w:sz="0" w:space="0" w:color="auto"/>
                      </w:divBdr>
                    </w:div>
                  </w:divsChild>
                </w:div>
                <w:div w:id="597258146">
                  <w:marLeft w:val="0"/>
                  <w:marRight w:val="0"/>
                  <w:marTop w:val="0"/>
                  <w:marBottom w:val="0"/>
                  <w:divBdr>
                    <w:top w:val="none" w:sz="0" w:space="0" w:color="auto"/>
                    <w:left w:val="none" w:sz="0" w:space="0" w:color="auto"/>
                    <w:bottom w:val="none" w:sz="0" w:space="0" w:color="auto"/>
                    <w:right w:val="none" w:sz="0" w:space="0" w:color="auto"/>
                  </w:divBdr>
                  <w:divsChild>
                    <w:div w:id="303244451">
                      <w:marLeft w:val="0"/>
                      <w:marRight w:val="0"/>
                      <w:marTop w:val="0"/>
                      <w:marBottom w:val="0"/>
                      <w:divBdr>
                        <w:top w:val="none" w:sz="0" w:space="0" w:color="auto"/>
                        <w:left w:val="none" w:sz="0" w:space="0" w:color="auto"/>
                        <w:bottom w:val="none" w:sz="0" w:space="0" w:color="auto"/>
                        <w:right w:val="none" w:sz="0" w:space="0" w:color="auto"/>
                      </w:divBdr>
                    </w:div>
                  </w:divsChild>
                </w:div>
                <w:div w:id="612984007">
                  <w:marLeft w:val="0"/>
                  <w:marRight w:val="0"/>
                  <w:marTop w:val="0"/>
                  <w:marBottom w:val="0"/>
                  <w:divBdr>
                    <w:top w:val="none" w:sz="0" w:space="0" w:color="auto"/>
                    <w:left w:val="none" w:sz="0" w:space="0" w:color="auto"/>
                    <w:bottom w:val="none" w:sz="0" w:space="0" w:color="auto"/>
                    <w:right w:val="none" w:sz="0" w:space="0" w:color="auto"/>
                  </w:divBdr>
                  <w:divsChild>
                    <w:div w:id="1825274332">
                      <w:marLeft w:val="0"/>
                      <w:marRight w:val="0"/>
                      <w:marTop w:val="0"/>
                      <w:marBottom w:val="0"/>
                      <w:divBdr>
                        <w:top w:val="none" w:sz="0" w:space="0" w:color="auto"/>
                        <w:left w:val="none" w:sz="0" w:space="0" w:color="auto"/>
                        <w:bottom w:val="none" w:sz="0" w:space="0" w:color="auto"/>
                        <w:right w:val="none" w:sz="0" w:space="0" w:color="auto"/>
                      </w:divBdr>
                    </w:div>
                  </w:divsChild>
                </w:div>
                <w:div w:id="616837962">
                  <w:marLeft w:val="0"/>
                  <w:marRight w:val="0"/>
                  <w:marTop w:val="0"/>
                  <w:marBottom w:val="0"/>
                  <w:divBdr>
                    <w:top w:val="none" w:sz="0" w:space="0" w:color="auto"/>
                    <w:left w:val="none" w:sz="0" w:space="0" w:color="auto"/>
                    <w:bottom w:val="none" w:sz="0" w:space="0" w:color="auto"/>
                    <w:right w:val="none" w:sz="0" w:space="0" w:color="auto"/>
                  </w:divBdr>
                  <w:divsChild>
                    <w:div w:id="945886624">
                      <w:marLeft w:val="0"/>
                      <w:marRight w:val="0"/>
                      <w:marTop w:val="0"/>
                      <w:marBottom w:val="0"/>
                      <w:divBdr>
                        <w:top w:val="none" w:sz="0" w:space="0" w:color="auto"/>
                        <w:left w:val="none" w:sz="0" w:space="0" w:color="auto"/>
                        <w:bottom w:val="none" w:sz="0" w:space="0" w:color="auto"/>
                        <w:right w:val="none" w:sz="0" w:space="0" w:color="auto"/>
                      </w:divBdr>
                    </w:div>
                  </w:divsChild>
                </w:div>
                <w:div w:id="620696703">
                  <w:marLeft w:val="0"/>
                  <w:marRight w:val="0"/>
                  <w:marTop w:val="0"/>
                  <w:marBottom w:val="0"/>
                  <w:divBdr>
                    <w:top w:val="none" w:sz="0" w:space="0" w:color="auto"/>
                    <w:left w:val="none" w:sz="0" w:space="0" w:color="auto"/>
                    <w:bottom w:val="none" w:sz="0" w:space="0" w:color="auto"/>
                    <w:right w:val="none" w:sz="0" w:space="0" w:color="auto"/>
                  </w:divBdr>
                  <w:divsChild>
                    <w:div w:id="1668627177">
                      <w:marLeft w:val="0"/>
                      <w:marRight w:val="0"/>
                      <w:marTop w:val="0"/>
                      <w:marBottom w:val="0"/>
                      <w:divBdr>
                        <w:top w:val="none" w:sz="0" w:space="0" w:color="auto"/>
                        <w:left w:val="none" w:sz="0" w:space="0" w:color="auto"/>
                        <w:bottom w:val="none" w:sz="0" w:space="0" w:color="auto"/>
                        <w:right w:val="none" w:sz="0" w:space="0" w:color="auto"/>
                      </w:divBdr>
                    </w:div>
                  </w:divsChild>
                </w:div>
                <w:div w:id="633566779">
                  <w:marLeft w:val="0"/>
                  <w:marRight w:val="0"/>
                  <w:marTop w:val="0"/>
                  <w:marBottom w:val="0"/>
                  <w:divBdr>
                    <w:top w:val="none" w:sz="0" w:space="0" w:color="auto"/>
                    <w:left w:val="none" w:sz="0" w:space="0" w:color="auto"/>
                    <w:bottom w:val="none" w:sz="0" w:space="0" w:color="auto"/>
                    <w:right w:val="none" w:sz="0" w:space="0" w:color="auto"/>
                  </w:divBdr>
                  <w:divsChild>
                    <w:div w:id="1800491685">
                      <w:marLeft w:val="0"/>
                      <w:marRight w:val="0"/>
                      <w:marTop w:val="0"/>
                      <w:marBottom w:val="0"/>
                      <w:divBdr>
                        <w:top w:val="none" w:sz="0" w:space="0" w:color="auto"/>
                        <w:left w:val="none" w:sz="0" w:space="0" w:color="auto"/>
                        <w:bottom w:val="none" w:sz="0" w:space="0" w:color="auto"/>
                        <w:right w:val="none" w:sz="0" w:space="0" w:color="auto"/>
                      </w:divBdr>
                    </w:div>
                  </w:divsChild>
                </w:div>
                <w:div w:id="652493075">
                  <w:marLeft w:val="0"/>
                  <w:marRight w:val="0"/>
                  <w:marTop w:val="0"/>
                  <w:marBottom w:val="0"/>
                  <w:divBdr>
                    <w:top w:val="none" w:sz="0" w:space="0" w:color="auto"/>
                    <w:left w:val="none" w:sz="0" w:space="0" w:color="auto"/>
                    <w:bottom w:val="none" w:sz="0" w:space="0" w:color="auto"/>
                    <w:right w:val="none" w:sz="0" w:space="0" w:color="auto"/>
                  </w:divBdr>
                  <w:divsChild>
                    <w:div w:id="1486125989">
                      <w:marLeft w:val="0"/>
                      <w:marRight w:val="0"/>
                      <w:marTop w:val="0"/>
                      <w:marBottom w:val="0"/>
                      <w:divBdr>
                        <w:top w:val="none" w:sz="0" w:space="0" w:color="auto"/>
                        <w:left w:val="none" w:sz="0" w:space="0" w:color="auto"/>
                        <w:bottom w:val="none" w:sz="0" w:space="0" w:color="auto"/>
                        <w:right w:val="none" w:sz="0" w:space="0" w:color="auto"/>
                      </w:divBdr>
                    </w:div>
                  </w:divsChild>
                </w:div>
                <w:div w:id="653487518">
                  <w:marLeft w:val="0"/>
                  <w:marRight w:val="0"/>
                  <w:marTop w:val="0"/>
                  <w:marBottom w:val="0"/>
                  <w:divBdr>
                    <w:top w:val="none" w:sz="0" w:space="0" w:color="auto"/>
                    <w:left w:val="none" w:sz="0" w:space="0" w:color="auto"/>
                    <w:bottom w:val="none" w:sz="0" w:space="0" w:color="auto"/>
                    <w:right w:val="none" w:sz="0" w:space="0" w:color="auto"/>
                  </w:divBdr>
                  <w:divsChild>
                    <w:div w:id="323166618">
                      <w:marLeft w:val="0"/>
                      <w:marRight w:val="0"/>
                      <w:marTop w:val="0"/>
                      <w:marBottom w:val="0"/>
                      <w:divBdr>
                        <w:top w:val="none" w:sz="0" w:space="0" w:color="auto"/>
                        <w:left w:val="none" w:sz="0" w:space="0" w:color="auto"/>
                        <w:bottom w:val="none" w:sz="0" w:space="0" w:color="auto"/>
                        <w:right w:val="none" w:sz="0" w:space="0" w:color="auto"/>
                      </w:divBdr>
                    </w:div>
                  </w:divsChild>
                </w:div>
                <w:div w:id="669064396">
                  <w:marLeft w:val="0"/>
                  <w:marRight w:val="0"/>
                  <w:marTop w:val="0"/>
                  <w:marBottom w:val="0"/>
                  <w:divBdr>
                    <w:top w:val="none" w:sz="0" w:space="0" w:color="auto"/>
                    <w:left w:val="none" w:sz="0" w:space="0" w:color="auto"/>
                    <w:bottom w:val="none" w:sz="0" w:space="0" w:color="auto"/>
                    <w:right w:val="none" w:sz="0" w:space="0" w:color="auto"/>
                  </w:divBdr>
                  <w:divsChild>
                    <w:div w:id="634457016">
                      <w:marLeft w:val="0"/>
                      <w:marRight w:val="0"/>
                      <w:marTop w:val="0"/>
                      <w:marBottom w:val="0"/>
                      <w:divBdr>
                        <w:top w:val="none" w:sz="0" w:space="0" w:color="auto"/>
                        <w:left w:val="none" w:sz="0" w:space="0" w:color="auto"/>
                        <w:bottom w:val="none" w:sz="0" w:space="0" w:color="auto"/>
                        <w:right w:val="none" w:sz="0" w:space="0" w:color="auto"/>
                      </w:divBdr>
                    </w:div>
                  </w:divsChild>
                </w:div>
                <w:div w:id="676349026">
                  <w:marLeft w:val="0"/>
                  <w:marRight w:val="0"/>
                  <w:marTop w:val="0"/>
                  <w:marBottom w:val="0"/>
                  <w:divBdr>
                    <w:top w:val="none" w:sz="0" w:space="0" w:color="auto"/>
                    <w:left w:val="none" w:sz="0" w:space="0" w:color="auto"/>
                    <w:bottom w:val="none" w:sz="0" w:space="0" w:color="auto"/>
                    <w:right w:val="none" w:sz="0" w:space="0" w:color="auto"/>
                  </w:divBdr>
                  <w:divsChild>
                    <w:div w:id="1330060234">
                      <w:marLeft w:val="0"/>
                      <w:marRight w:val="0"/>
                      <w:marTop w:val="0"/>
                      <w:marBottom w:val="0"/>
                      <w:divBdr>
                        <w:top w:val="none" w:sz="0" w:space="0" w:color="auto"/>
                        <w:left w:val="none" w:sz="0" w:space="0" w:color="auto"/>
                        <w:bottom w:val="none" w:sz="0" w:space="0" w:color="auto"/>
                        <w:right w:val="none" w:sz="0" w:space="0" w:color="auto"/>
                      </w:divBdr>
                    </w:div>
                  </w:divsChild>
                </w:div>
                <w:div w:id="697660410">
                  <w:marLeft w:val="0"/>
                  <w:marRight w:val="0"/>
                  <w:marTop w:val="0"/>
                  <w:marBottom w:val="0"/>
                  <w:divBdr>
                    <w:top w:val="none" w:sz="0" w:space="0" w:color="auto"/>
                    <w:left w:val="none" w:sz="0" w:space="0" w:color="auto"/>
                    <w:bottom w:val="none" w:sz="0" w:space="0" w:color="auto"/>
                    <w:right w:val="none" w:sz="0" w:space="0" w:color="auto"/>
                  </w:divBdr>
                  <w:divsChild>
                    <w:div w:id="402676964">
                      <w:marLeft w:val="0"/>
                      <w:marRight w:val="0"/>
                      <w:marTop w:val="0"/>
                      <w:marBottom w:val="0"/>
                      <w:divBdr>
                        <w:top w:val="none" w:sz="0" w:space="0" w:color="auto"/>
                        <w:left w:val="none" w:sz="0" w:space="0" w:color="auto"/>
                        <w:bottom w:val="none" w:sz="0" w:space="0" w:color="auto"/>
                        <w:right w:val="none" w:sz="0" w:space="0" w:color="auto"/>
                      </w:divBdr>
                    </w:div>
                  </w:divsChild>
                </w:div>
                <w:div w:id="706561245">
                  <w:marLeft w:val="0"/>
                  <w:marRight w:val="0"/>
                  <w:marTop w:val="0"/>
                  <w:marBottom w:val="0"/>
                  <w:divBdr>
                    <w:top w:val="none" w:sz="0" w:space="0" w:color="auto"/>
                    <w:left w:val="none" w:sz="0" w:space="0" w:color="auto"/>
                    <w:bottom w:val="none" w:sz="0" w:space="0" w:color="auto"/>
                    <w:right w:val="none" w:sz="0" w:space="0" w:color="auto"/>
                  </w:divBdr>
                  <w:divsChild>
                    <w:div w:id="665786451">
                      <w:marLeft w:val="0"/>
                      <w:marRight w:val="0"/>
                      <w:marTop w:val="0"/>
                      <w:marBottom w:val="0"/>
                      <w:divBdr>
                        <w:top w:val="none" w:sz="0" w:space="0" w:color="auto"/>
                        <w:left w:val="none" w:sz="0" w:space="0" w:color="auto"/>
                        <w:bottom w:val="none" w:sz="0" w:space="0" w:color="auto"/>
                        <w:right w:val="none" w:sz="0" w:space="0" w:color="auto"/>
                      </w:divBdr>
                    </w:div>
                  </w:divsChild>
                </w:div>
                <w:div w:id="712775783">
                  <w:marLeft w:val="0"/>
                  <w:marRight w:val="0"/>
                  <w:marTop w:val="0"/>
                  <w:marBottom w:val="0"/>
                  <w:divBdr>
                    <w:top w:val="none" w:sz="0" w:space="0" w:color="auto"/>
                    <w:left w:val="none" w:sz="0" w:space="0" w:color="auto"/>
                    <w:bottom w:val="none" w:sz="0" w:space="0" w:color="auto"/>
                    <w:right w:val="none" w:sz="0" w:space="0" w:color="auto"/>
                  </w:divBdr>
                  <w:divsChild>
                    <w:div w:id="2009475419">
                      <w:marLeft w:val="0"/>
                      <w:marRight w:val="0"/>
                      <w:marTop w:val="0"/>
                      <w:marBottom w:val="0"/>
                      <w:divBdr>
                        <w:top w:val="none" w:sz="0" w:space="0" w:color="auto"/>
                        <w:left w:val="none" w:sz="0" w:space="0" w:color="auto"/>
                        <w:bottom w:val="none" w:sz="0" w:space="0" w:color="auto"/>
                        <w:right w:val="none" w:sz="0" w:space="0" w:color="auto"/>
                      </w:divBdr>
                    </w:div>
                  </w:divsChild>
                </w:div>
                <w:div w:id="722339412">
                  <w:marLeft w:val="0"/>
                  <w:marRight w:val="0"/>
                  <w:marTop w:val="0"/>
                  <w:marBottom w:val="0"/>
                  <w:divBdr>
                    <w:top w:val="none" w:sz="0" w:space="0" w:color="auto"/>
                    <w:left w:val="none" w:sz="0" w:space="0" w:color="auto"/>
                    <w:bottom w:val="none" w:sz="0" w:space="0" w:color="auto"/>
                    <w:right w:val="none" w:sz="0" w:space="0" w:color="auto"/>
                  </w:divBdr>
                  <w:divsChild>
                    <w:div w:id="1792285195">
                      <w:marLeft w:val="0"/>
                      <w:marRight w:val="0"/>
                      <w:marTop w:val="0"/>
                      <w:marBottom w:val="0"/>
                      <w:divBdr>
                        <w:top w:val="none" w:sz="0" w:space="0" w:color="auto"/>
                        <w:left w:val="none" w:sz="0" w:space="0" w:color="auto"/>
                        <w:bottom w:val="none" w:sz="0" w:space="0" w:color="auto"/>
                        <w:right w:val="none" w:sz="0" w:space="0" w:color="auto"/>
                      </w:divBdr>
                    </w:div>
                  </w:divsChild>
                </w:div>
                <w:div w:id="731468041">
                  <w:marLeft w:val="0"/>
                  <w:marRight w:val="0"/>
                  <w:marTop w:val="0"/>
                  <w:marBottom w:val="0"/>
                  <w:divBdr>
                    <w:top w:val="none" w:sz="0" w:space="0" w:color="auto"/>
                    <w:left w:val="none" w:sz="0" w:space="0" w:color="auto"/>
                    <w:bottom w:val="none" w:sz="0" w:space="0" w:color="auto"/>
                    <w:right w:val="none" w:sz="0" w:space="0" w:color="auto"/>
                  </w:divBdr>
                  <w:divsChild>
                    <w:div w:id="1866598168">
                      <w:marLeft w:val="0"/>
                      <w:marRight w:val="0"/>
                      <w:marTop w:val="0"/>
                      <w:marBottom w:val="0"/>
                      <w:divBdr>
                        <w:top w:val="none" w:sz="0" w:space="0" w:color="auto"/>
                        <w:left w:val="none" w:sz="0" w:space="0" w:color="auto"/>
                        <w:bottom w:val="none" w:sz="0" w:space="0" w:color="auto"/>
                        <w:right w:val="none" w:sz="0" w:space="0" w:color="auto"/>
                      </w:divBdr>
                    </w:div>
                  </w:divsChild>
                </w:div>
                <w:div w:id="738332750">
                  <w:marLeft w:val="0"/>
                  <w:marRight w:val="0"/>
                  <w:marTop w:val="0"/>
                  <w:marBottom w:val="0"/>
                  <w:divBdr>
                    <w:top w:val="none" w:sz="0" w:space="0" w:color="auto"/>
                    <w:left w:val="none" w:sz="0" w:space="0" w:color="auto"/>
                    <w:bottom w:val="none" w:sz="0" w:space="0" w:color="auto"/>
                    <w:right w:val="none" w:sz="0" w:space="0" w:color="auto"/>
                  </w:divBdr>
                  <w:divsChild>
                    <w:div w:id="491141132">
                      <w:marLeft w:val="0"/>
                      <w:marRight w:val="0"/>
                      <w:marTop w:val="0"/>
                      <w:marBottom w:val="0"/>
                      <w:divBdr>
                        <w:top w:val="none" w:sz="0" w:space="0" w:color="auto"/>
                        <w:left w:val="none" w:sz="0" w:space="0" w:color="auto"/>
                        <w:bottom w:val="none" w:sz="0" w:space="0" w:color="auto"/>
                        <w:right w:val="none" w:sz="0" w:space="0" w:color="auto"/>
                      </w:divBdr>
                    </w:div>
                  </w:divsChild>
                </w:div>
                <w:div w:id="739406284">
                  <w:marLeft w:val="0"/>
                  <w:marRight w:val="0"/>
                  <w:marTop w:val="0"/>
                  <w:marBottom w:val="0"/>
                  <w:divBdr>
                    <w:top w:val="none" w:sz="0" w:space="0" w:color="auto"/>
                    <w:left w:val="none" w:sz="0" w:space="0" w:color="auto"/>
                    <w:bottom w:val="none" w:sz="0" w:space="0" w:color="auto"/>
                    <w:right w:val="none" w:sz="0" w:space="0" w:color="auto"/>
                  </w:divBdr>
                  <w:divsChild>
                    <w:div w:id="1243947792">
                      <w:marLeft w:val="0"/>
                      <w:marRight w:val="0"/>
                      <w:marTop w:val="0"/>
                      <w:marBottom w:val="0"/>
                      <w:divBdr>
                        <w:top w:val="none" w:sz="0" w:space="0" w:color="auto"/>
                        <w:left w:val="none" w:sz="0" w:space="0" w:color="auto"/>
                        <w:bottom w:val="none" w:sz="0" w:space="0" w:color="auto"/>
                        <w:right w:val="none" w:sz="0" w:space="0" w:color="auto"/>
                      </w:divBdr>
                    </w:div>
                  </w:divsChild>
                </w:div>
                <w:div w:id="759563613">
                  <w:marLeft w:val="0"/>
                  <w:marRight w:val="0"/>
                  <w:marTop w:val="0"/>
                  <w:marBottom w:val="0"/>
                  <w:divBdr>
                    <w:top w:val="none" w:sz="0" w:space="0" w:color="auto"/>
                    <w:left w:val="none" w:sz="0" w:space="0" w:color="auto"/>
                    <w:bottom w:val="none" w:sz="0" w:space="0" w:color="auto"/>
                    <w:right w:val="none" w:sz="0" w:space="0" w:color="auto"/>
                  </w:divBdr>
                  <w:divsChild>
                    <w:div w:id="299576267">
                      <w:marLeft w:val="0"/>
                      <w:marRight w:val="0"/>
                      <w:marTop w:val="0"/>
                      <w:marBottom w:val="0"/>
                      <w:divBdr>
                        <w:top w:val="none" w:sz="0" w:space="0" w:color="auto"/>
                        <w:left w:val="none" w:sz="0" w:space="0" w:color="auto"/>
                        <w:bottom w:val="none" w:sz="0" w:space="0" w:color="auto"/>
                        <w:right w:val="none" w:sz="0" w:space="0" w:color="auto"/>
                      </w:divBdr>
                    </w:div>
                  </w:divsChild>
                </w:div>
                <w:div w:id="767385599">
                  <w:marLeft w:val="0"/>
                  <w:marRight w:val="0"/>
                  <w:marTop w:val="0"/>
                  <w:marBottom w:val="0"/>
                  <w:divBdr>
                    <w:top w:val="none" w:sz="0" w:space="0" w:color="auto"/>
                    <w:left w:val="none" w:sz="0" w:space="0" w:color="auto"/>
                    <w:bottom w:val="none" w:sz="0" w:space="0" w:color="auto"/>
                    <w:right w:val="none" w:sz="0" w:space="0" w:color="auto"/>
                  </w:divBdr>
                  <w:divsChild>
                    <w:div w:id="1242762052">
                      <w:marLeft w:val="0"/>
                      <w:marRight w:val="0"/>
                      <w:marTop w:val="0"/>
                      <w:marBottom w:val="0"/>
                      <w:divBdr>
                        <w:top w:val="none" w:sz="0" w:space="0" w:color="auto"/>
                        <w:left w:val="none" w:sz="0" w:space="0" w:color="auto"/>
                        <w:bottom w:val="none" w:sz="0" w:space="0" w:color="auto"/>
                        <w:right w:val="none" w:sz="0" w:space="0" w:color="auto"/>
                      </w:divBdr>
                    </w:div>
                  </w:divsChild>
                </w:div>
                <w:div w:id="797186987">
                  <w:marLeft w:val="0"/>
                  <w:marRight w:val="0"/>
                  <w:marTop w:val="0"/>
                  <w:marBottom w:val="0"/>
                  <w:divBdr>
                    <w:top w:val="none" w:sz="0" w:space="0" w:color="auto"/>
                    <w:left w:val="none" w:sz="0" w:space="0" w:color="auto"/>
                    <w:bottom w:val="none" w:sz="0" w:space="0" w:color="auto"/>
                    <w:right w:val="none" w:sz="0" w:space="0" w:color="auto"/>
                  </w:divBdr>
                  <w:divsChild>
                    <w:div w:id="1678462866">
                      <w:marLeft w:val="0"/>
                      <w:marRight w:val="0"/>
                      <w:marTop w:val="0"/>
                      <w:marBottom w:val="0"/>
                      <w:divBdr>
                        <w:top w:val="none" w:sz="0" w:space="0" w:color="auto"/>
                        <w:left w:val="none" w:sz="0" w:space="0" w:color="auto"/>
                        <w:bottom w:val="none" w:sz="0" w:space="0" w:color="auto"/>
                        <w:right w:val="none" w:sz="0" w:space="0" w:color="auto"/>
                      </w:divBdr>
                    </w:div>
                  </w:divsChild>
                </w:div>
                <w:div w:id="804278478">
                  <w:marLeft w:val="0"/>
                  <w:marRight w:val="0"/>
                  <w:marTop w:val="0"/>
                  <w:marBottom w:val="0"/>
                  <w:divBdr>
                    <w:top w:val="none" w:sz="0" w:space="0" w:color="auto"/>
                    <w:left w:val="none" w:sz="0" w:space="0" w:color="auto"/>
                    <w:bottom w:val="none" w:sz="0" w:space="0" w:color="auto"/>
                    <w:right w:val="none" w:sz="0" w:space="0" w:color="auto"/>
                  </w:divBdr>
                  <w:divsChild>
                    <w:div w:id="584336920">
                      <w:marLeft w:val="0"/>
                      <w:marRight w:val="0"/>
                      <w:marTop w:val="0"/>
                      <w:marBottom w:val="0"/>
                      <w:divBdr>
                        <w:top w:val="none" w:sz="0" w:space="0" w:color="auto"/>
                        <w:left w:val="none" w:sz="0" w:space="0" w:color="auto"/>
                        <w:bottom w:val="none" w:sz="0" w:space="0" w:color="auto"/>
                        <w:right w:val="none" w:sz="0" w:space="0" w:color="auto"/>
                      </w:divBdr>
                    </w:div>
                  </w:divsChild>
                </w:div>
                <w:div w:id="839782371">
                  <w:marLeft w:val="0"/>
                  <w:marRight w:val="0"/>
                  <w:marTop w:val="0"/>
                  <w:marBottom w:val="0"/>
                  <w:divBdr>
                    <w:top w:val="none" w:sz="0" w:space="0" w:color="auto"/>
                    <w:left w:val="none" w:sz="0" w:space="0" w:color="auto"/>
                    <w:bottom w:val="none" w:sz="0" w:space="0" w:color="auto"/>
                    <w:right w:val="none" w:sz="0" w:space="0" w:color="auto"/>
                  </w:divBdr>
                  <w:divsChild>
                    <w:div w:id="1406492430">
                      <w:marLeft w:val="0"/>
                      <w:marRight w:val="0"/>
                      <w:marTop w:val="0"/>
                      <w:marBottom w:val="0"/>
                      <w:divBdr>
                        <w:top w:val="none" w:sz="0" w:space="0" w:color="auto"/>
                        <w:left w:val="none" w:sz="0" w:space="0" w:color="auto"/>
                        <w:bottom w:val="none" w:sz="0" w:space="0" w:color="auto"/>
                        <w:right w:val="none" w:sz="0" w:space="0" w:color="auto"/>
                      </w:divBdr>
                    </w:div>
                  </w:divsChild>
                </w:div>
                <w:div w:id="852646260">
                  <w:marLeft w:val="0"/>
                  <w:marRight w:val="0"/>
                  <w:marTop w:val="0"/>
                  <w:marBottom w:val="0"/>
                  <w:divBdr>
                    <w:top w:val="none" w:sz="0" w:space="0" w:color="auto"/>
                    <w:left w:val="none" w:sz="0" w:space="0" w:color="auto"/>
                    <w:bottom w:val="none" w:sz="0" w:space="0" w:color="auto"/>
                    <w:right w:val="none" w:sz="0" w:space="0" w:color="auto"/>
                  </w:divBdr>
                  <w:divsChild>
                    <w:div w:id="573778458">
                      <w:marLeft w:val="0"/>
                      <w:marRight w:val="0"/>
                      <w:marTop w:val="0"/>
                      <w:marBottom w:val="0"/>
                      <w:divBdr>
                        <w:top w:val="none" w:sz="0" w:space="0" w:color="auto"/>
                        <w:left w:val="none" w:sz="0" w:space="0" w:color="auto"/>
                        <w:bottom w:val="none" w:sz="0" w:space="0" w:color="auto"/>
                        <w:right w:val="none" w:sz="0" w:space="0" w:color="auto"/>
                      </w:divBdr>
                    </w:div>
                  </w:divsChild>
                </w:div>
                <w:div w:id="857277931">
                  <w:marLeft w:val="0"/>
                  <w:marRight w:val="0"/>
                  <w:marTop w:val="0"/>
                  <w:marBottom w:val="0"/>
                  <w:divBdr>
                    <w:top w:val="none" w:sz="0" w:space="0" w:color="auto"/>
                    <w:left w:val="none" w:sz="0" w:space="0" w:color="auto"/>
                    <w:bottom w:val="none" w:sz="0" w:space="0" w:color="auto"/>
                    <w:right w:val="none" w:sz="0" w:space="0" w:color="auto"/>
                  </w:divBdr>
                  <w:divsChild>
                    <w:div w:id="906960989">
                      <w:marLeft w:val="0"/>
                      <w:marRight w:val="0"/>
                      <w:marTop w:val="0"/>
                      <w:marBottom w:val="0"/>
                      <w:divBdr>
                        <w:top w:val="none" w:sz="0" w:space="0" w:color="auto"/>
                        <w:left w:val="none" w:sz="0" w:space="0" w:color="auto"/>
                        <w:bottom w:val="none" w:sz="0" w:space="0" w:color="auto"/>
                        <w:right w:val="none" w:sz="0" w:space="0" w:color="auto"/>
                      </w:divBdr>
                    </w:div>
                  </w:divsChild>
                </w:div>
                <w:div w:id="858591815">
                  <w:marLeft w:val="0"/>
                  <w:marRight w:val="0"/>
                  <w:marTop w:val="0"/>
                  <w:marBottom w:val="0"/>
                  <w:divBdr>
                    <w:top w:val="none" w:sz="0" w:space="0" w:color="auto"/>
                    <w:left w:val="none" w:sz="0" w:space="0" w:color="auto"/>
                    <w:bottom w:val="none" w:sz="0" w:space="0" w:color="auto"/>
                    <w:right w:val="none" w:sz="0" w:space="0" w:color="auto"/>
                  </w:divBdr>
                  <w:divsChild>
                    <w:div w:id="416483156">
                      <w:marLeft w:val="0"/>
                      <w:marRight w:val="0"/>
                      <w:marTop w:val="0"/>
                      <w:marBottom w:val="0"/>
                      <w:divBdr>
                        <w:top w:val="none" w:sz="0" w:space="0" w:color="auto"/>
                        <w:left w:val="none" w:sz="0" w:space="0" w:color="auto"/>
                        <w:bottom w:val="none" w:sz="0" w:space="0" w:color="auto"/>
                        <w:right w:val="none" w:sz="0" w:space="0" w:color="auto"/>
                      </w:divBdr>
                    </w:div>
                  </w:divsChild>
                </w:div>
                <w:div w:id="864488715">
                  <w:marLeft w:val="0"/>
                  <w:marRight w:val="0"/>
                  <w:marTop w:val="0"/>
                  <w:marBottom w:val="0"/>
                  <w:divBdr>
                    <w:top w:val="none" w:sz="0" w:space="0" w:color="auto"/>
                    <w:left w:val="none" w:sz="0" w:space="0" w:color="auto"/>
                    <w:bottom w:val="none" w:sz="0" w:space="0" w:color="auto"/>
                    <w:right w:val="none" w:sz="0" w:space="0" w:color="auto"/>
                  </w:divBdr>
                  <w:divsChild>
                    <w:div w:id="18089685">
                      <w:marLeft w:val="0"/>
                      <w:marRight w:val="0"/>
                      <w:marTop w:val="0"/>
                      <w:marBottom w:val="0"/>
                      <w:divBdr>
                        <w:top w:val="none" w:sz="0" w:space="0" w:color="auto"/>
                        <w:left w:val="none" w:sz="0" w:space="0" w:color="auto"/>
                        <w:bottom w:val="none" w:sz="0" w:space="0" w:color="auto"/>
                        <w:right w:val="none" w:sz="0" w:space="0" w:color="auto"/>
                      </w:divBdr>
                    </w:div>
                  </w:divsChild>
                </w:div>
                <w:div w:id="886139750">
                  <w:marLeft w:val="0"/>
                  <w:marRight w:val="0"/>
                  <w:marTop w:val="0"/>
                  <w:marBottom w:val="0"/>
                  <w:divBdr>
                    <w:top w:val="none" w:sz="0" w:space="0" w:color="auto"/>
                    <w:left w:val="none" w:sz="0" w:space="0" w:color="auto"/>
                    <w:bottom w:val="none" w:sz="0" w:space="0" w:color="auto"/>
                    <w:right w:val="none" w:sz="0" w:space="0" w:color="auto"/>
                  </w:divBdr>
                  <w:divsChild>
                    <w:div w:id="1033655003">
                      <w:marLeft w:val="0"/>
                      <w:marRight w:val="0"/>
                      <w:marTop w:val="0"/>
                      <w:marBottom w:val="0"/>
                      <w:divBdr>
                        <w:top w:val="none" w:sz="0" w:space="0" w:color="auto"/>
                        <w:left w:val="none" w:sz="0" w:space="0" w:color="auto"/>
                        <w:bottom w:val="none" w:sz="0" w:space="0" w:color="auto"/>
                        <w:right w:val="none" w:sz="0" w:space="0" w:color="auto"/>
                      </w:divBdr>
                    </w:div>
                  </w:divsChild>
                </w:div>
                <w:div w:id="887380719">
                  <w:marLeft w:val="0"/>
                  <w:marRight w:val="0"/>
                  <w:marTop w:val="0"/>
                  <w:marBottom w:val="0"/>
                  <w:divBdr>
                    <w:top w:val="none" w:sz="0" w:space="0" w:color="auto"/>
                    <w:left w:val="none" w:sz="0" w:space="0" w:color="auto"/>
                    <w:bottom w:val="none" w:sz="0" w:space="0" w:color="auto"/>
                    <w:right w:val="none" w:sz="0" w:space="0" w:color="auto"/>
                  </w:divBdr>
                  <w:divsChild>
                    <w:div w:id="1844928800">
                      <w:marLeft w:val="0"/>
                      <w:marRight w:val="0"/>
                      <w:marTop w:val="0"/>
                      <w:marBottom w:val="0"/>
                      <w:divBdr>
                        <w:top w:val="none" w:sz="0" w:space="0" w:color="auto"/>
                        <w:left w:val="none" w:sz="0" w:space="0" w:color="auto"/>
                        <w:bottom w:val="none" w:sz="0" w:space="0" w:color="auto"/>
                        <w:right w:val="none" w:sz="0" w:space="0" w:color="auto"/>
                      </w:divBdr>
                    </w:div>
                  </w:divsChild>
                </w:div>
                <w:div w:id="890731636">
                  <w:marLeft w:val="0"/>
                  <w:marRight w:val="0"/>
                  <w:marTop w:val="0"/>
                  <w:marBottom w:val="0"/>
                  <w:divBdr>
                    <w:top w:val="none" w:sz="0" w:space="0" w:color="auto"/>
                    <w:left w:val="none" w:sz="0" w:space="0" w:color="auto"/>
                    <w:bottom w:val="none" w:sz="0" w:space="0" w:color="auto"/>
                    <w:right w:val="none" w:sz="0" w:space="0" w:color="auto"/>
                  </w:divBdr>
                  <w:divsChild>
                    <w:div w:id="308287077">
                      <w:marLeft w:val="0"/>
                      <w:marRight w:val="0"/>
                      <w:marTop w:val="0"/>
                      <w:marBottom w:val="0"/>
                      <w:divBdr>
                        <w:top w:val="none" w:sz="0" w:space="0" w:color="auto"/>
                        <w:left w:val="none" w:sz="0" w:space="0" w:color="auto"/>
                        <w:bottom w:val="none" w:sz="0" w:space="0" w:color="auto"/>
                        <w:right w:val="none" w:sz="0" w:space="0" w:color="auto"/>
                      </w:divBdr>
                    </w:div>
                  </w:divsChild>
                </w:div>
                <w:div w:id="903680061">
                  <w:marLeft w:val="0"/>
                  <w:marRight w:val="0"/>
                  <w:marTop w:val="0"/>
                  <w:marBottom w:val="0"/>
                  <w:divBdr>
                    <w:top w:val="none" w:sz="0" w:space="0" w:color="auto"/>
                    <w:left w:val="none" w:sz="0" w:space="0" w:color="auto"/>
                    <w:bottom w:val="none" w:sz="0" w:space="0" w:color="auto"/>
                    <w:right w:val="none" w:sz="0" w:space="0" w:color="auto"/>
                  </w:divBdr>
                  <w:divsChild>
                    <w:div w:id="2048213168">
                      <w:marLeft w:val="0"/>
                      <w:marRight w:val="0"/>
                      <w:marTop w:val="0"/>
                      <w:marBottom w:val="0"/>
                      <w:divBdr>
                        <w:top w:val="none" w:sz="0" w:space="0" w:color="auto"/>
                        <w:left w:val="none" w:sz="0" w:space="0" w:color="auto"/>
                        <w:bottom w:val="none" w:sz="0" w:space="0" w:color="auto"/>
                        <w:right w:val="none" w:sz="0" w:space="0" w:color="auto"/>
                      </w:divBdr>
                    </w:div>
                  </w:divsChild>
                </w:div>
                <w:div w:id="914822929">
                  <w:marLeft w:val="0"/>
                  <w:marRight w:val="0"/>
                  <w:marTop w:val="0"/>
                  <w:marBottom w:val="0"/>
                  <w:divBdr>
                    <w:top w:val="none" w:sz="0" w:space="0" w:color="auto"/>
                    <w:left w:val="none" w:sz="0" w:space="0" w:color="auto"/>
                    <w:bottom w:val="none" w:sz="0" w:space="0" w:color="auto"/>
                    <w:right w:val="none" w:sz="0" w:space="0" w:color="auto"/>
                  </w:divBdr>
                  <w:divsChild>
                    <w:div w:id="1437863802">
                      <w:marLeft w:val="0"/>
                      <w:marRight w:val="0"/>
                      <w:marTop w:val="0"/>
                      <w:marBottom w:val="0"/>
                      <w:divBdr>
                        <w:top w:val="none" w:sz="0" w:space="0" w:color="auto"/>
                        <w:left w:val="none" w:sz="0" w:space="0" w:color="auto"/>
                        <w:bottom w:val="none" w:sz="0" w:space="0" w:color="auto"/>
                        <w:right w:val="none" w:sz="0" w:space="0" w:color="auto"/>
                      </w:divBdr>
                    </w:div>
                  </w:divsChild>
                </w:div>
                <w:div w:id="925071625">
                  <w:marLeft w:val="0"/>
                  <w:marRight w:val="0"/>
                  <w:marTop w:val="0"/>
                  <w:marBottom w:val="0"/>
                  <w:divBdr>
                    <w:top w:val="none" w:sz="0" w:space="0" w:color="auto"/>
                    <w:left w:val="none" w:sz="0" w:space="0" w:color="auto"/>
                    <w:bottom w:val="none" w:sz="0" w:space="0" w:color="auto"/>
                    <w:right w:val="none" w:sz="0" w:space="0" w:color="auto"/>
                  </w:divBdr>
                  <w:divsChild>
                    <w:div w:id="1073508905">
                      <w:marLeft w:val="0"/>
                      <w:marRight w:val="0"/>
                      <w:marTop w:val="0"/>
                      <w:marBottom w:val="0"/>
                      <w:divBdr>
                        <w:top w:val="none" w:sz="0" w:space="0" w:color="auto"/>
                        <w:left w:val="none" w:sz="0" w:space="0" w:color="auto"/>
                        <w:bottom w:val="none" w:sz="0" w:space="0" w:color="auto"/>
                        <w:right w:val="none" w:sz="0" w:space="0" w:color="auto"/>
                      </w:divBdr>
                    </w:div>
                  </w:divsChild>
                </w:div>
                <w:div w:id="946275338">
                  <w:marLeft w:val="0"/>
                  <w:marRight w:val="0"/>
                  <w:marTop w:val="0"/>
                  <w:marBottom w:val="0"/>
                  <w:divBdr>
                    <w:top w:val="none" w:sz="0" w:space="0" w:color="auto"/>
                    <w:left w:val="none" w:sz="0" w:space="0" w:color="auto"/>
                    <w:bottom w:val="none" w:sz="0" w:space="0" w:color="auto"/>
                    <w:right w:val="none" w:sz="0" w:space="0" w:color="auto"/>
                  </w:divBdr>
                  <w:divsChild>
                    <w:div w:id="1211653892">
                      <w:marLeft w:val="0"/>
                      <w:marRight w:val="0"/>
                      <w:marTop w:val="0"/>
                      <w:marBottom w:val="0"/>
                      <w:divBdr>
                        <w:top w:val="none" w:sz="0" w:space="0" w:color="auto"/>
                        <w:left w:val="none" w:sz="0" w:space="0" w:color="auto"/>
                        <w:bottom w:val="none" w:sz="0" w:space="0" w:color="auto"/>
                        <w:right w:val="none" w:sz="0" w:space="0" w:color="auto"/>
                      </w:divBdr>
                    </w:div>
                  </w:divsChild>
                </w:div>
                <w:div w:id="946886391">
                  <w:marLeft w:val="0"/>
                  <w:marRight w:val="0"/>
                  <w:marTop w:val="0"/>
                  <w:marBottom w:val="0"/>
                  <w:divBdr>
                    <w:top w:val="none" w:sz="0" w:space="0" w:color="auto"/>
                    <w:left w:val="none" w:sz="0" w:space="0" w:color="auto"/>
                    <w:bottom w:val="none" w:sz="0" w:space="0" w:color="auto"/>
                    <w:right w:val="none" w:sz="0" w:space="0" w:color="auto"/>
                  </w:divBdr>
                  <w:divsChild>
                    <w:div w:id="1646928069">
                      <w:marLeft w:val="0"/>
                      <w:marRight w:val="0"/>
                      <w:marTop w:val="0"/>
                      <w:marBottom w:val="0"/>
                      <w:divBdr>
                        <w:top w:val="none" w:sz="0" w:space="0" w:color="auto"/>
                        <w:left w:val="none" w:sz="0" w:space="0" w:color="auto"/>
                        <w:bottom w:val="none" w:sz="0" w:space="0" w:color="auto"/>
                        <w:right w:val="none" w:sz="0" w:space="0" w:color="auto"/>
                      </w:divBdr>
                    </w:div>
                  </w:divsChild>
                </w:div>
                <w:div w:id="951713820">
                  <w:marLeft w:val="0"/>
                  <w:marRight w:val="0"/>
                  <w:marTop w:val="0"/>
                  <w:marBottom w:val="0"/>
                  <w:divBdr>
                    <w:top w:val="none" w:sz="0" w:space="0" w:color="auto"/>
                    <w:left w:val="none" w:sz="0" w:space="0" w:color="auto"/>
                    <w:bottom w:val="none" w:sz="0" w:space="0" w:color="auto"/>
                    <w:right w:val="none" w:sz="0" w:space="0" w:color="auto"/>
                  </w:divBdr>
                  <w:divsChild>
                    <w:div w:id="965891990">
                      <w:marLeft w:val="0"/>
                      <w:marRight w:val="0"/>
                      <w:marTop w:val="0"/>
                      <w:marBottom w:val="0"/>
                      <w:divBdr>
                        <w:top w:val="none" w:sz="0" w:space="0" w:color="auto"/>
                        <w:left w:val="none" w:sz="0" w:space="0" w:color="auto"/>
                        <w:bottom w:val="none" w:sz="0" w:space="0" w:color="auto"/>
                        <w:right w:val="none" w:sz="0" w:space="0" w:color="auto"/>
                      </w:divBdr>
                    </w:div>
                  </w:divsChild>
                </w:div>
                <w:div w:id="960771359">
                  <w:marLeft w:val="0"/>
                  <w:marRight w:val="0"/>
                  <w:marTop w:val="0"/>
                  <w:marBottom w:val="0"/>
                  <w:divBdr>
                    <w:top w:val="none" w:sz="0" w:space="0" w:color="auto"/>
                    <w:left w:val="none" w:sz="0" w:space="0" w:color="auto"/>
                    <w:bottom w:val="none" w:sz="0" w:space="0" w:color="auto"/>
                    <w:right w:val="none" w:sz="0" w:space="0" w:color="auto"/>
                  </w:divBdr>
                  <w:divsChild>
                    <w:div w:id="1817867817">
                      <w:marLeft w:val="0"/>
                      <w:marRight w:val="0"/>
                      <w:marTop w:val="0"/>
                      <w:marBottom w:val="0"/>
                      <w:divBdr>
                        <w:top w:val="none" w:sz="0" w:space="0" w:color="auto"/>
                        <w:left w:val="none" w:sz="0" w:space="0" w:color="auto"/>
                        <w:bottom w:val="none" w:sz="0" w:space="0" w:color="auto"/>
                        <w:right w:val="none" w:sz="0" w:space="0" w:color="auto"/>
                      </w:divBdr>
                    </w:div>
                  </w:divsChild>
                </w:div>
                <w:div w:id="964777744">
                  <w:marLeft w:val="0"/>
                  <w:marRight w:val="0"/>
                  <w:marTop w:val="0"/>
                  <w:marBottom w:val="0"/>
                  <w:divBdr>
                    <w:top w:val="none" w:sz="0" w:space="0" w:color="auto"/>
                    <w:left w:val="none" w:sz="0" w:space="0" w:color="auto"/>
                    <w:bottom w:val="none" w:sz="0" w:space="0" w:color="auto"/>
                    <w:right w:val="none" w:sz="0" w:space="0" w:color="auto"/>
                  </w:divBdr>
                  <w:divsChild>
                    <w:div w:id="2130124200">
                      <w:marLeft w:val="0"/>
                      <w:marRight w:val="0"/>
                      <w:marTop w:val="0"/>
                      <w:marBottom w:val="0"/>
                      <w:divBdr>
                        <w:top w:val="none" w:sz="0" w:space="0" w:color="auto"/>
                        <w:left w:val="none" w:sz="0" w:space="0" w:color="auto"/>
                        <w:bottom w:val="none" w:sz="0" w:space="0" w:color="auto"/>
                        <w:right w:val="none" w:sz="0" w:space="0" w:color="auto"/>
                      </w:divBdr>
                    </w:div>
                  </w:divsChild>
                </w:div>
                <w:div w:id="965156920">
                  <w:marLeft w:val="0"/>
                  <w:marRight w:val="0"/>
                  <w:marTop w:val="0"/>
                  <w:marBottom w:val="0"/>
                  <w:divBdr>
                    <w:top w:val="none" w:sz="0" w:space="0" w:color="auto"/>
                    <w:left w:val="none" w:sz="0" w:space="0" w:color="auto"/>
                    <w:bottom w:val="none" w:sz="0" w:space="0" w:color="auto"/>
                    <w:right w:val="none" w:sz="0" w:space="0" w:color="auto"/>
                  </w:divBdr>
                  <w:divsChild>
                    <w:div w:id="203294972">
                      <w:marLeft w:val="0"/>
                      <w:marRight w:val="0"/>
                      <w:marTop w:val="0"/>
                      <w:marBottom w:val="0"/>
                      <w:divBdr>
                        <w:top w:val="none" w:sz="0" w:space="0" w:color="auto"/>
                        <w:left w:val="none" w:sz="0" w:space="0" w:color="auto"/>
                        <w:bottom w:val="none" w:sz="0" w:space="0" w:color="auto"/>
                        <w:right w:val="none" w:sz="0" w:space="0" w:color="auto"/>
                      </w:divBdr>
                    </w:div>
                  </w:divsChild>
                </w:div>
                <w:div w:id="978609801">
                  <w:marLeft w:val="0"/>
                  <w:marRight w:val="0"/>
                  <w:marTop w:val="0"/>
                  <w:marBottom w:val="0"/>
                  <w:divBdr>
                    <w:top w:val="none" w:sz="0" w:space="0" w:color="auto"/>
                    <w:left w:val="none" w:sz="0" w:space="0" w:color="auto"/>
                    <w:bottom w:val="none" w:sz="0" w:space="0" w:color="auto"/>
                    <w:right w:val="none" w:sz="0" w:space="0" w:color="auto"/>
                  </w:divBdr>
                  <w:divsChild>
                    <w:div w:id="1703899719">
                      <w:marLeft w:val="0"/>
                      <w:marRight w:val="0"/>
                      <w:marTop w:val="0"/>
                      <w:marBottom w:val="0"/>
                      <w:divBdr>
                        <w:top w:val="none" w:sz="0" w:space="0" w:color="auto"/>
                        <w:left w:val="none" w:sz="0" w:space="0" w:color="auto"/>
                        <w:bottom w:val="none" w:sz="0" w:space="0" w:color="auto"/>
                        <w:right w:val="none" w:sz="0" w:space="0" w:color="auto"/>
                      </w:divBdr>
                    </w:div>
                  </w:divsChild>
                </w:div>
                <w:div w:id="993265119">
                  <w:marLeft w:val="0"/>
                  <w:marRight w:val="0"/>
                  <w:marTop w:val="0"/>
                  <w:marBottom w:val="0"/>
                  <w:divBdr>
                    <w:top w:val="none" w:sz="0" w:space="0" w:color="auto"/>
                    <w:left w:val="none" w:sz="0" w:space="0" w:color="auto"/>
                    <w:bottom w:val="none" w:sz="0" w:space="0" w:color="auto"/>
                    <w:right w:val="none" w:sz="0" w:space="0" w:color="auto"/>
                  </w:divBdr>
                  <w:divsChild>
                    <w:div w:id="143006997">
                      <w:marLeft w:val="0"/>
                      <w:marRight w:val="0"/>
                      <w:marTop w:val="0"/>
                      <w:marBottom w:val="0"/>
                      <w:divBdr>
                        <w:top w:val="none" w:sz="0" w:space="0" w:color="auto"/>
                        <w:left w:val="none" w:sz="0" w:space="0" w:color="auto"/>
                        <w:bottom w:val="none" w:sz="0" w:space="0" w:color="auto"/>
                        <w:right w:val="none" w:sz="0" w:space="0" w:color="auto"/>
                      </w:divBdr>
                    </w:div>
                  </w:divsChild>
                </w:div>
                <w:div w:id="1005354024">
                  <w:marLeft w:val="0"/>
                  <w:marRight w:val="0"/>
                  <w:marTop w:val="0"/>
                  <w:marBottom w:val="0"/>
                  <w:divBdr>
                    <w:top w:val="none" w:sz="0" w:space="0" w:color="auto"/>
                    <w:left w:val="none" w:sz="0" w:space="0" w:color="auto"/>
                    <w:bottom w:val="none" w:sz="0" w:space="0" w:color="auto"/>
                    <w:right w:val="none" w:sz="0" w:space="0" w:color="auto"/>
                  </w:divBdr>
                  <w:divsChild>
                    <w:div w:id="2053072104">
                      <w:marLeft w:val="0"/>
                      <w:marRight w:val="0"/>
                      <w:marTop w:val="0"/>
                      <w:marBottom w:val="0"/>
                      <w:divBdr>
                        <w:top w:val="none" w:sz="0" w:space="0" w:color="auto"/>
                        <w:left w:val="none" w:sz="0" w:space="0" w:color="auto"/>
                        <w:bottom w:val="none" w:sz="0" w:space="0" w:color="auto"/>
                        <w:right w:val="none" w:sz="0" w:space="0" w:color="auto"/>
                      </w:divBdr>
                    </w:div>
                  </w:divsChild>
                </w:div>
                <w:div w:id="1009141227">
                  <w:marLeft w:val="0"/>
                  <w:marRight w:val="0"/>
                  <w:marTop w:val="0"/>
                  <w:marBottom w:val="0"/>
                  <w:divBdr>
                    <w:top w:val="none" w:sz="0" w:space="0" w:color="auto"/>
                    <w:left w:val="none" w:sz="0" w:space="0" w:color="auto"/>
                    <w:bottom w:val="none" w:sz="0" w:space="0" w:color="auto"/>
                    <w:right w:val="none" w:sz="0" w:space="0" w:color="auto"/>
                  </w:divBdr>
                  <w:divsChild>
                    <w:div w:id="204677994">
                      <w:marLeft w:val="0"/>
                      <w:marRight w:val="0"/>
                      <w:marTop w:val="0"/>
                      <w:marBottom w:val="0"/>
                      <w:divBdr>
                        <w:top w:val="none" w:sz="0" w:space="0" w:color="auto"/>
                        <w:left w:val="none" w:sz="0" w:space="0" w:color="auto"/>
                        <w:bottom w:val="none" w:sz="0" w:space="0" w:color="auto"/>
                        <w:right w:val="none" w:sz="0" w:space="0" w:color="auto"/>
                      </w:divBdr>
                    </w:div>
                  </w:divsChild>
                </w:div>
                <w:div w:id="1036124849">
                  <w:marLeft w:val="0"/>
                  <w:marRight w:val="0"/>
                  <w:marTop w:val="0"/>
                  <w:marBottom w:val="0"/>
                  <w:divBdr>
                    <w:top w:val="none" w:sz="0" w:space="0" w:color="auto"/>
                    <w:left w:val="none" w:sz="0" w:space="0" w:color="auto"/>
                    <w:bottom w:val="none" w:sz="0" w:space="0" w:color="auto"/>
                    <w:right w:val="none" w:sz="0" w:space="0" w:color="auto"/>
                  </w:divBdr>
                  <w:divsChild>
                    <w:div w:id="1382435790">
                      <w:marLeft w:val="0"/>
                      <w:marRight w:val="0"/>
                      <w:marTop w:val="0"/>
                      <w:marBottom w:val="0"/>
                      <w:divBdr>
                        <w:top w:val="none" w:sz="0" w:space="0" w:color="auto"/>
                        <w:left w:val="none" w:sz="0" w:space="0" w:color="auto"/>
                        <w:bottom w:val="none" w:sz="0" w:space="0" w:color="auto"/>
                        <w:right w:val="none" w:sz="0" w:space="0" w:color="auto"/>
                      </w:divBdr>
                    </w:div>
                  </w:divsChild>
                </w:div>
                <w:div w:id="1044985516">
                  <w:marLeft w:val="0"/>
                  <w:marRight w:val="0"/>
                  <w:marTop w:val="0"/>
                  <w:marBottom w:val="0"/>
                  <w:divBdr>
                    <w:top w:val="none" w:sz="0" w:space="0" w:color="auto"/>
                    <w:left w:val="none" w:sz="0" w:space="0" w:color="auto"/>
                    <w:bottom w:val="none" w:sz="0" w:space="0" w:color="auto"/>
                    <w:right w:val="none" w:sz="0" w:space="0" w:color="auto"/>
                  </w:divBdr>
                  <w:divsChild>
                    <w:div w:id="283464841">
                      <w:marLeft w:val="0"/>
                      <w:marRight w:val="0"/>
                      <w:marTop w:val="0"/>
                      <w:marBottom w:val="0"/>
                      <w:divBdr>
                        <w:top w:val="none" w:sz="0" w:space="0" w:color="auto"/>
                        <w:left w:val="none" w:sz="0" w:space="0" w:color="auto"/>
                        <w:bottom w:val="none" w:sz="0" w:space="0" w:color="auto"/>
                        <w:right w:val="none" w:sz="0" w:space="0" w:color="auto"/>
                      </w:divBdr>
                    </w:div>
                  </w:divsChild>
                </w:div>
                <w:div w:id="1062098833">
                  <w:marLeft w:val="0"/>
                  <w:marRight w:val="0"/>
                  <w:marTop w:val="0"/>
                  <w:marBottom w:val="0"/>
                  <w:divBdr>
                    <w:top w:val="none" w:sz="0" w:space="0" w:color="auto"/>
                    <w:left w:val="none" w:sz="0" w:space="0" w:color="auto"/>
                    <w:bottom w:val="none" w:sz="0" w:space="0" w:color="auto"/>
                    <w:right w:val="none" w:sz="0" w:space="0" w:color="auto"/>
                  </w:divBdr>
                  <w:divsChild>
                    <w:div w:id="1859612868">
                      <w:marLeft w:val="0"/>
                      <w:marRight w:val="0"/>
                      <w:marTop w:val="0"/>
                      <w:marBottom w:val="0"/>
                      <w:divBdr>
                        <w:top w:val="none" w:sz="0" w:space="0" w:color="auto"/>
                        <w:left w:val="none" w:sz="0" w:space="0" w:color="auto"/>
                        <w:bottom w:val="none" w:sz="0" w:space="0" w:color="auto"/>
                        <w:right w:val="none" w:sz="0" w:space="0" w:color="auto"/>
                      </w:divBdr>
                    </w:div>
                  </w:divsChild>
                </w:div>
                <w:div w:id="1065107751">
                  <w:marLeft w:val="0"/>
                  <w:marRight w:val="0"/>
                  <w:marTop w:val="0"/>
                  <w:marBottom w:val="0"/>
                  <w:divBdr>
                    <w:top w:val="none" w:sz="0" w:space="0" w:color="auto"/>
                    <w:left w:val="none" w:sz="0" w:space="0" w:color="auto"/>
                    <w:bottom w:val="none" w:sz="0" w:space="0" w:color="auto"/>
                    <w:right w:val="none" w:sz="0" w:space="0" w:color="auto"/>
                  </w:divBdr>
                  <w:divsChild>
                    <w:div w:id="204953905">
                      <w:marLeft w:val="0"/>
                      <w:marRight w:val="0"/>
                      <w:marTop w:val="0"/>
                      <w:marBottom w:val="0"/>
                      <w:divBdr>
                        <w:top w:val="none" w:sz="0" w:space="0" w:color="auto"/>
                        <w:left w:val="none" w:sz="0" w:space="0" w:color="auto"/>
                        <w:bottom w:val="none" w:sz="0" w:space="0" w:color="auto"/>
                        <w:right w:val="none" w:sz="0" w:space="0" w:color="auto"/>
                      </w:divBdr>
                    </w:div>
                  </w:divsChild>
                </w:div>
                <w:div w:id="1070149720">
                  <w:marLeft w:val="0"/>
                  <w:marRight w:val="0"/>
                  <w:marTop w:val="0"/>
                  <w:marBottom w:val="0"/>
                  <w:divBdr>
                    <w:top w:val="none" w:sz="0" w:space="0" w:color="auto"/>
                    <w:left w:val="none" w:sz="0" w:space="0" w:color="auto"/>
                    <w:bottom w:val="none" w:sz="0" w:space="0" w:color="auto"/>
                    <w:right w:val="none" w:sz="0" w:space="0" w:color="auto"/>
                  </w:divBdr>
                  <w:divsChild>
                    <w:div w:id="1536775776">
                      <w:marLeft w:val="0"/>
                      <w:marRight w:val="0"/>
                      <w:marTop w:val="0"/>
                      <w:marBottom w:val="0"/>
                      <w:divBdr>
                        <w:top w:val="none" w:sz="0" w:space="0" w:color="auto"/>
                        <w:left w:val="none" w:sz="0" w:space="0" w:color="auto"/>
                        <w:bottom w:val="none" w:sz="0" w:space="0" w:color="auto"/>
                        <w:right w:val="none" w:sz="0" w:space="0" w:color="auto"/>
                      </w:divBdr>
                    </w:div>
                  </w:divsChild>
                </w:div>
                <w:div w:id="1072316283">
                  <w:marLeft w:val="0"/>
                  <w:marRight w:val="0"/>
                  <w:marTop w:val="0"/>
                  <w:marBottom w:val="0"/>
                  <w:divBdr>
                    <w:top w:val="none" w:sz="0" w:space="0" w:color="auto"/>
                    <w:left w:val="none" w:sz="0" w:space="0" w:color="auto"/>
                    <w:bottom w:val="none" w:sz="0" w:space="0" w:color="auto"/>
                    <w:right w:val="none" w:sz="0" w:space="0" w:color="auto"/>
                  </w:divBdr>
                  <w:divsChild>
                    <w:div w:id="1067844510">
                      <w:marLeft w:val="0"/>
                      <w:marRight w:val="0"/>
                      <w:marTop w:val="0"/>
                      <w:marBottom w:val="0"/>
                      <w:divBdr>
                        <w:top w:val="none" w:sz="0" w:space="0" w:color="auto"/>
                        <w:left w:val="none" w:sz="0" w:space="0" w:color="auto"/>
                        <w:bottom w:val="none" w:sz="0" w:space="0" w:color="auto"/>
                        <w:right w:val="none" w:sz="0" w:space="0" w:color="auto"/>
                      </w:divBdr>
                    </w:div>
                  </w:divsChild>
                </w:div>
                <w:div w:id="1084186772">
                  <w:marLeft w:val="0"/>
                  <w:marRight w:val="0"/>
                  <w:marTop w:val="0"/>
                  <w:marBottom w:val="0"/>
                  <w:divBdr>
                    <w:top w:val="none" w:sz="0" w:space="0" w:color="auto"/>
                    <w:left w:val="none" w:sz="0" w:space="0" w:color="auto"/>
                    <w:bottom w:val="none" w:sz="0" w:space="0" w:color="auto"/>
                    <w:right w:val="none" w:sz="0" w:space="0" w:color="auto"/>
                  </w:divBdr>
                  <w:divsChild>
                    <w:div w:id="2015061044">
                      <w:marLeft w:val="0"/>
                      <w:marRight w:val="0"/>
                      <w:marTop w:val="0"/>
                      <w:marBottom w:val="0"/>
                      <w:divBdr>
                        <w:top w:val="none" w:sz="0" w:space="0" w:color="auto"/>
                        <w:left w:val="none" w:sz="0" w:space="0" w:color="auto"/>
                        <w:bottom w:val="none" w:sz="0" w:space="0" w:color="auto"/>
                        <w:right w:val="none" w:sz="0" w:space="0" w:color="auto"/>
                      </w:divBdr>
                    </w:div>
                  </w:divsChild>
                </w:div>
                <w:div w:id="1087075568">
                  <w:marLeft w:val="0"/>
                  <w:marRight w:val="0"/>
                  <w:marTop w:val="0"/>
                  <w:marBottom w:val="0"/>
                  <w:divBdr>
                    <w:top w:val="none" w:sz="0" w:space="0" w:color="auto"/>
                    <w:left w:val="none" w:sz="0" w:space="0" w:color="auto"/>
                    <w:bottom w:val="none" w:sz="0" w:space="0" w:color="auto"/>
                    <w:right w:val="none" w:sz="0" w:space="0" w:color="auto"/>
                  </w:divBdr>
                  <w:divsChild>
                    <w:div w:id="560481526">
                      <w:marLeft w:val="0"/>
                      <w:marRight w:val="0"/>
                      <w:marTop w:val="0"/>
                      <w:marBottom w:val="0"/>
                      <w:divBdr>
                        <w:top w:val="none" w:sz="0" w:space="0" w:color="auto"/>
                        <w:left w:val="none" w:sz="0" w:space="0" w:color="auto"/>
                        <w:bottom w:val="none" w:sz="0" w:space="0" w:color="auto"/>
                        <w:right w:val="none" w:sz="0" w:space="0" w:color="auto"/>
                      </w:divBdr>
                    </w:div>
                  </w:divsChild>
                </w:div>
                <w:div w:id="1090203258">
                  <w:marLeft w:val="0"/>
                  <w:marRight w:val="0"/>
                  <w:marTop w:val="0"/>
                  <w:marBottom w:val="0"/>
                  <w:divBdr>
                    <w:top w:val="none" w:sz="0" w:space="0" w:color="auto"/>
                    <w:left w:val="none" w:sz="0" w:space="0" w:color="auto"/>
                    <w:bottom w:val="none" w:sz="0" w:space="0" w:color="auto"/>
                    <w:right w:val="none" w:sz="0" w:space="0" w:color="auto"/>
                  </w:divBdr>
                  <w:divsChild>
                    <w:div w:id="2099323865">
                      <w:marLeft w:val="0"/>
                      <w:marRight w:val="0"/>
                      <w:marTop w:val="0"/>
                      <w:marBottom w:val="0"/>
                      <w:divBdr>
                        <w:top w:val="none" w:sz="0" w:space="0" w:color="auto"/>
                        <w:left w:val="none" w:sz="0" w:space="0" w:color="auto"/>
                        <w:bottom w:val="none" w:sz="0" w:space="0" w:color="auto"/>
                        <w:right w:val="none" w:sz="0" w:space="0" w:color="auto"/>
                      </w:divBdr>
                    </w:div>
                  </w:divsChild>
                </w:div>
                <w:div w:id="1090346451">
                  <w:marLeft w:val="0"/>
                  <w:marRight w:val="0"/>
                  <w:marTop w:val="0"/>
                  <w:marBottom w:val="0"/>
                  <w:divBdr>
                    <w:top w:val="none" w:sz="0" w:space="0" w:color="auto"/>
                    <w:left w:val="none" w:sz="0" w:space="0" w:color="auto"/>
                    <w:bottom w:val="none" w:sz="0" w:space="0" w:color="auto"/>
                    <w:right w:val="none" w:sz="0" w:space="0" w:color="auto"/>
                  </w:divBdr>
                  <w:divsChild>
                    <w:div w:id="1690063099">
                      <w:marLeft w:val="0"/>
                      <w:marRight w:val="0"/>
                      <w:marTop w:val="0"/>
                      <w:marBottom w:val="0"/>
                      <w:divBdr>
                        <w:top w:val="none" w:sz="0" w:space="0" w:color="auto"/>
                        <w:left w:val="none" w:sz="0" w:space="0" w:color="auto"/>
                        <w:bottom w:val="none" w:sz="0" w:space="0" w:color="auto"/>
                        <w:right w:val="none" w:sz="0" w:space="0" w:color="auto"/>
                      </w:divBdr>
                    </w:div>
                  </w:divsChild>
                </w:div>
                <w:div w:id="1091201641">
                  <w:marLeft w:val="0"/>
                  <w:marRight w:val="0"/>
                  <w:marTop w:val="0"/>
                  <w:marBottom w:val="0"/>
                  <w:divBdr>
                    <w:top w:val="none" w:sz="0" w:space="0" w:color="auto"/>
                    <w:left w:val="none" w:sz="0" w:space="0" w:color="auto"/>
                    <w:bottom w:val="none" w:sz="0" w:space="0" w:color="auto"/>
                    <w:right w:val="none" w:sz="0" w:space="0" w:color="auto"/>
                  </w:divBdr>
                  <w:divsChild>
                    <w:div w:id="1162962809">
                      <w:marLeft w:val="0"/>
                      <w:marRight w:val="0"/>
                      <w:marTop w:val="0"/>
                      <w:marBottom w:val="0"/>
                      <w:divBdr>
                        <w:top w:val="none" w:sz="0" w:space="0" w:color="auto"/>
                        <w:left w:val="none" w:sz="0" w:space="0" w:color="auto"/>
                        <w:bottom w:val="none" w:sz="0" w:space="0" w:color="auto"/>
                        <w:right w:val="none" w:sz="0" w:space="0" w:color="auto"/>
                      </w:divBdr>
                    </w:div>
                  </w:divsChild>
                </w:div>
                <w:div w:id="1095514045">
                  <w:marLeft w:val="0"/>
                  <w:marRight w:val="0"/>
                  <w:marTop w:val="0"/>
                  <w:marBottom w:val="0"/>
                  <w:divBdr>
                    <w:top w:val="none" w:sz="0" w:space="0" w:color="auto"/>
                    <w:left w:val="none" w:sz="0" w:space="0" w:color="auto"/>
                    <w:bottom w:val="none" w:sz="0" w:space="0" w:color="auto"/>
                    <w:right w:val="none" w:sz="0" w:space="0" w:color="auto"/>
                  </w:divBdr>
                  <w:divsChild>
                    <w:div w:id="1708408531">
                      <w:marLeft w:val="0"/>
                      <w:marRight w:val="0"/>
                      <w:marTop w:val="0"/>
                      <w:marBottom w:val="0"/>
                      <w:divBdr>
                        <w:top w:val="none" w:sz="0" w:space="0" w:color="auto"/>
                        <w:left w:val="none" w:sz="0" w:space="0" w:color="auto"/>
                        <w:bottom w:val="none" w:sz="0" w:space="0" w:color="auto"/>
                        <w:right w:val="none" w:sz="0" w:space="0" w:color="auto"/>
                      </w:divBdr>
                    </w:div>
                  </w:divsChild>
                </w:div>
                <w:div w:id="1103260899">
                  <w:marLeft w:val="0"/>
                  <w:marRight w:val="0"/>
                  <w:marTop w:val="0"/>
                  <w:marBottom w:val="0"/>
                  <w:divBdr>
                    <w:top w:val="none" w:sz="0" w:space="0" w:color="auto"/>
                    <w:left w:val="none" w:sz="0" w:space="0" w:color="auto"/>
                    <w:bottom w:val="none" w:sz="0" w:space="0" w:color="auto"/>
                    <w:right w:val="none" w:sz="0" w:space="0" w:color="auto"/>
                  </w:divBdr>
                  <w:divsChild>
                    <w:div w:id="1672641536">
                      <w:marLeft w:val="0"/>
                      <w:marRight w:val="0"/>
                      <w:marTop w:val="0"/>
                      <w:marBottom w:val="0"/>
                      <w:divBdr>
                        <w:top w:val="none" w:sz="0" w:space="0" w:color="auto"/>
                        <w:left w:val="none" w:sz="0" w:space="0" w:color="auto"/>
                        <w:bottom w:val="none" w:sz="0" w:space="0" w:color="auto"/>
                        <w:right w:val="none" w:sz="0" w:space="0" w:color="auto"/>
                      </w:divBdr>
                    </w:div>
                  </w:divsChild>
                </w:div>
                <w:div w:id="1112671779">
                  <w:marLeft w:val="0"/>
                  <w:marRight w:val="0"/>
                  <w:marTop w:val="0"/>
                  <w:marBottom w:val="0"/>
                  <w:divBdr>
                    <w:top w:val="none" w:sz="0" w:space="0" w:color="auto"/>
                    <w:left w:val="none" w:sz="0" w:space="0" w:color="auto"/>
                    <w:bottom w:val="none" w:sz="0" w:space="0" w:color="auto"/>
                    <w:right w:val="none" w:sz="0" w:space="0" w:color="auto"/>
                  </w:divBdr>
                  <w:divsChild>
                    <w:div w:id="1426614167">
                      <w:marLeft w:val="0"/>
                      <w:marRight w:val="0"/>
                      <w:marTop w:val="0"/>
                      <w:marBottom w:val="0"/>
                      <w:divBdr>
                        <w:top w:val="none" w:sz="0" w:space="0" w:color="auto"/>
                        <w:left w:val="none" w:sz="0" w:space="0" w:color="auto"/>
                        <w:bottom w:val="none" w:sz="0" w:space="0" w:color="auto"/>
                        <w:right w:val="none" w:sz="0" w:space="0" w:color="auto"/>
                      </w:divBdr>
                    </w:div>
                  </w:divsChild>
                </w:div>
                <w:div w:id="1144665463">
                  <w:marLeft w:val="0"/>
                  <w:marRight w:val="0"/>
                  <w:marTop w:val="0"/>
                  <w:marBottom w:val="0"/>
                  <w:divBdr>
                    <w:top w:val="none" w:sz="0" w:space="0" w:color="auto"/>
                    <w:left w:val="none" w:sz="0" w:space="0" w:color="auto"/>
                    <w:bottom w:val="none" w:sz="0" w:space="0" w:color="auto"/>
                    <w:right w:val="none" w:sz="0" w:space="0" w:color="auto"/>
                  </w:divBdr>
                  <w:divsChild>
                    <w:div w:id="477842983">
                      <w:marLeft w:val="0"/>
                      <w:marRight w:val="0"/>
                      <w:marTop w:val="0"/>
                      <w:marBottom w:val="0"/>
                      <w:divBdr>
                        <w:top w:val="none" w:sz="0" w:space="0" w:color="auto"/>
                        <w:left w:val="none" w:sz="0" w:space="0" w:color="auto"/>
                        <w:bottom w:val="none" w:sz="0" w:space="0" w:color="auto"/>
                        <w:right w:val="none" w:sz="0" w:space="0" w:color="auto"/>
                      </w:divBdr>
                    </w:div>
                  </w:divsChild>
                </w:div>
                <w:div w:id="1176724768">
                  <w:marLeft w:val="0"/>
                  <w:marRight w:val="0"/>
                  <w:marTop w:val="0"/>
                  <w:marBottom w:val="0"/>
                  <w:divBdr>
                    <w:top w:val="none" w:sz="0" w:space="0" w:color="auto"/>
                    <w:left w:val="none" w:sz="0" w:space="0" w:color="auto"/>
                    <w:bottom w:val="none" w:sz="0" w:space="0" w:color="auto"/>
                    <w:right w:val="none" w:sz="0" w:space="0" w:color="auto"/>
                  </w:divBdr>
                  <w:divsChild>
                    <w:div w:id="1090545306">
                      <w:marLeft w:val="0"/>
                      <w:marRight w:val="0"/>
                      <w:marTop w:val="0"/>
                      <w:marBottom w:val="0"/>
                      <w:divBdr>
                        <w:top w:val="none" w:sz="0" w:space="0" w:color="auto"/>
                        <w:left w:val="none" w:sz="0" w:space="0" w:color="auto"/>
                        <w:bottom w:val="none" w:sz="0" w:space="0" w:color="auto"/>
                        <w:right w:val="none" w:sz="0" w:space="0" w:color="auto"/>
                      </w:divBdr>
                    </w:div>
                  </w:divsChild>
                </w:div>
                <w:div w:id="1192262937">
                  <w:marLeft w:val="0"/>
                  <w:marRight w:val="0"/>
                  <w:marTop w:val="0"/>
                  <w:marBottom w:val="0"/>
                  <w:divBdr>
                    <w:top w:val="none" w:sz="0" w:space="0" w:color="auto"/>
                    <w:left w:val="none" w:sz="0" w:space="0" w:color="auto"/>
                    <w:bottom w:val="none" w:sz="0" w:space="0" w:color="auto"/>
                    <w:right w:val="none" w:sz="0" w:space="0" w:color="auto"/>
                  </w:divBdr>
                  <w:divsChild>
                    <w:div w:id="501050871">
                      <w:marLeft w:val="0"/>
                      <w:marRight w:val="0"/>
                      <w:marTop w:val="0"/>
                      <w:marBottom w:val="0"/>
                      <w:divBdr>
                        <w:top w:val="none" w:sz="0" w:space="0" w:color="auto"/>
                        <w:left w:val="none" w:sz="0" w:space="0" w:color="auto"/>
                        <w:bottom w:val="none" w:sz="0" w:space="0" w:color="auto"/>
                        <w:right w:val="none" w:sz="0" w:space="0" w:color="auto"/>
                      </w:divBdr>
                    </w:div>
                  </w:divsChild>
                </w:div>
                <w:div w:id="1197503147">
                  <w:marLeft w:val="0"/>
                  <w:marRight w:val="0"/>
                  <w:marTop w:val="0"/>
                  <w:marBottom w:val="0"/>
                  <w:divBdr>
                    <w:top w:val="none" w:sz="0" w:space="0" w:color="auto"/>
                    <w:left w:val="none" w:sz="0" w:space="0" w:color="auto"/>
                    <w:bottom w:val="none" w:sz="0" w:space="0" w:color="auto"/>
                    <w:right w:val="none" w:sz="0" w:space="0" w:color="auto"/>
                  </w:divBdr>
                  <w:divsChild>
                    <w:div w:id="255752042">
                      <w:marLeft w:val="0"/>
                      <w:marRight w:val="0"/>
                      <w:marTop w:val="0"/>
                      <w:marBottom w:val="0"/>
                      <w:divBdr>
                        <w:top w:val="none" w:sz="0" w:space="0" w:color="auto"/>
                        <w:left w:val="none" w:sz="0" w:space="0" w:color="auto"/>
                        <w:bottom w:val="none" w:sz="0" w:space="0" w:color="auto"/>
                        <w:right w:val="none" w:sz="0" w:space="0" w:color="auto"/>
                      </w:divBdr>
                    </w:div>
                  </w:divsChild>
                </w:div>
                <w:div w:id="1200976889">
                  <w:marLeft w:val="0"/>
                  <w:marRight w:val="0"/>
                  <w:marTop w:val="0"/>
                  <w:marBottom w:val="0"/>
                  <w:divBdr>
                    <w:top w:val="none" w:sz="0" w:space="0" w:color="auto"/>
                    <w:left w:val="none" w:sz="0" w:space="0" w:color="auto"/>
                    <w:bottom w:val="none" w:sz="0" w:space="0" w:color="auto"/>
                    <w:right w:val="none" w:sz="0" w:space="0" w:color="auto"/>
                  </w:divBdr>
                  <w:divsChild>
                    <w:div w:id="1684630968">
                      <w:marLeft w:val="0"/>
                      <w:marRight w:val="0"/>
                      <w:marTop w:val="0"/>
                      <w:marBottom w:val="0"/>
                      <w:divBdr>
                        <w:top w:val="none" w:sz="0" w:space="0" w:color="auto"/>
                        <w:left w:val="none" w:sz="0" w:space="0" w:color="auto"/>
                        <w:bottom w:val="none" w:sz="0" w:space="0" w:color="auto"/>
                        <w:right w:val="none" w:sz="0" w:space="0" w:color="auto"/>
                      </w:divBdr>
                    </w:div>
                  </w:divsChild>
                </w:div>
                <w:div w:id="1221751023">
                  <w:marLeft w:val="0"/>
                  <w:marRight w:val="0"/>
                  <w:marTop w:val="0"/>
                  <w:marBottom w:val="0"/>
                  <w:divBdr>
                    <w:top w:val="none" w:sz="0" w:space="0" w:color="auto"/>
                    <w:left w:val="none" w:sz="0" w:space="0" w:color="auto"/>
                    <w:bottom w:val="none" w:sz="0" w:space="0" w:color="auto"/>
                    <w:right w:val="none" w:sz="0" w:space="0" w:color="auto"/>
                  </w:divBdr>
                  <w:divsChild>
                    <w:div w:id="1554729694">
                      <w:marLeft w:val="0"/>
                      <w:marRight w:val="0"/>
                      <w:marTop w:val="0"/>
                      <w:marBottom w:val="0"/>
                      <w:divBdr>
                        <w:top w:val="none" w:sz="0" w:space="0" w:color="auto"/>
                        <w:left w:val="none" w:sz="0" w:space="0" w:color="auto"/>
                        <w:bottom w:val="none" w:sz="0" w:space="0" w:color="auto"/>
                        <w:right w:val="none" w:sz="0" w:space="0" w:color="auto"/>
                      </w:divBdr>
                    </w:div>
                  </w:divsChild>
                </w:div>
                <w:div w:id="1225527772">
                  <w:marLeft w:val="0"/>
                  <w:marRight w:val="0"/>
                  <w:marTop w:val="0"/>
                  <w:marBottom w:val="0"/>
                  <w:divBdr>
                    <w:top w:val="none" w:sz="0" w:space="0" w:color="auto"/>
                    <w:left w:val="none" w:sz="0" w:space="0" w:color="auto"/>
                    <w:bottom w:val="none" w:sz="0" w:space="0" w:color="auto"/>
                    <w:right w:val="none" w:sz="0" w:space="0" w:color="auto"/>
                  </w:divBdr>
                  <w:divsChild>
                    <w:div w:id="64492644">
                      <w:marLeft w:val="0"/>
                      <w:marRight w:val="0"/>
                      <w:marTop w:val="0"/>
                      <w:marBottom w:val="0"/>
                      <w:divBdr>
                        <w:top w:val="none" w:sz="0" w:space="0" w:color="auto"/>
                        <w:left w:val="none" w:sz="0" w:space="0" w:color="auto"/>
                        <w:bottom w:val="none" w:sz="0" w:space="0" w:color="auto"/>
                        <w:right w:val="none" w:sz="0" w:space="0" w:color="auto"/>
                      </w:divBdr>
                    </w:div>
                  </w:divsChild>
                </w:div>
                <w:div w:id="1233857211">
                  <w:marLeft w:val="0"/>
                  <w:marRight w:val="0"/>
                  <w:marTop w:val="0"/>
                  <w:marBottom w:val="0"/>
                  <w:divBdr>
                    <w:top w:val="none" w:sz="0" w:space="0" w:color="auto"/>
                    <w:left w:val="none" w:sz="0" w:space="0" w:color="auto"/>
                    <w:bottom w:val="none" w:sz="0" w:space="0" w:color="auto"/>
                    <w:right w:val="none" w:sz="0" w:space="0" w:color="auto"/>
                  </w:divBdr>
                  <w:divsChild>
                    <w:div w:id="472136820">
                      <w:marLeft w:val="0"/>
                      <w:marRight w:val="0"/>
                      <w:marTop w:val="0"/>
                      <w:marBottom w:val="0"/>
                      <w:divBdr>
                        <w:top w:val="none" w:sz="0" w:space="0" w:color="auto"/>
                        <w:left w:val="none" w:sz="0" w:space="0" w:color="auto"/>
                        <w:bottom w:val="none" w:sz="0" w:space="0" w:color="auto"/>
                        <w:right w:val="none" w:sz="0" w:space="0" w:color="auto"/>
                      </w:divBdr>
                    </w:div>
                  </w:divsChild>
                </w:div>
                <w:div w:id="1236933684">
                  <w:marLeft w:val="0"/>
                  <w:marRight w:val="0"/>
                  <w:marTop w:val="0"/>
                  <w:marBottom w:val="0"/>
                  <w:divBdr>
                    <w:top w:val="none" w:sz="0" w:space="0" w:color="auto"/>
                    <w:left w:val="none" w:sz="0" w:space="0" w:color="auto"/>
                    <w:bottom w:val="none" w:sz="0" w:space="0" w:color="auto"/>
                    <w:right w:val="none" w:sz="0" w:space="0" w:color="auto"/>
                  </w:divBdr>
                  <w:divsChild>
                    <w:div w:id="1514997539">
                      <w:marLeft w:val="0"/>
                      <w:marRight w:val="0"/>
                      <w:marTop w:val="0"/>
                      <w:marBottom w:val="0"/>
                      <w:divBdr>
                        <w:top w:val="none" w:sz="0" w:space="0" w:color="auto"/>
                        <w:left w:val="none" w:sz="0" w:space="0" w:color="auto"/>
                        <w:bottom w:val="none" w:sz="0" w:space="0" w:color="auto"/>
                        <w:right w:val="none" w:sz="0" w:space="0" w:color="auto"/>
                      </w:divBdr>
                    </w:div>
                  </w:divsChild>
                </w:div>
                <w:div w:id="1239901361">
                  <w:marLeft w:val="0"/>
                  <w:marRight w:val="0"/>
                  <w:marTop w:val="0"/>
                  <w:marBottom w:val="0"/>
                  <w:divBdr>
                    <w:top w:val="none" w:sz="0" w:space="0" w:color="auto"/>
                    <w:left w:val="none" w:sz="0" w:space="0" w:color="auto"/>
                    <w:bottom w:val="none" w:sz="0" w:space="0" w:color="auto"/>
                    <w:right w:val="none" w:sz="0" w:space="0" w:color="auto"/>
                  </w:divBdr>
                  <w:divsChild>
                    <w:div w:id="2015261653">
                      <w:marLeft w:val="0"/>
                      <w:marRight w:val="0"/>
                      <w:marTop w:val="0"/>
                      <w:marBottom w:val="0"/>
                      <w:divBdr>
                        <w:top w:val="none" w:sz="0" w:space="0" w:color="auto"/>
                        <w:left w:val="none" w:sz="0" w:space="0" w:color="auto"/>
                        <w:bottom w:val="none" w:sz="0" w:space="0" w:color="auto"/>
                        <w:right w:val="none" w:sz="0" w:space="0" w:color="auto"/>
                      </w:divBdr>
                    </w:div>
                  </w:divsChild>
                </w:div>
                <w:div w:id="1246378354">
                  <w:marLeft w:val="0"/>
                  <w:marRight w:val="0"/>
                  <w:marTop w:val="0"/>
                  <w:marBottom w:val="0"/>
                  <w:divBdr>
                    <w:top w:val="none" w:sz="0" w:space="0" w:color="auto"/>
                    <w:left w:val="none" w:sz="0" w:space="0" w:color="auto"/>
                    <w:bottom w:val="none" w:sz="0" w:space="0" w:color="auto"/>
                    <w:right w:val="none" w:sz="0" w:space="0" w:color="auto"/>
                  </w:divBdr>
                  <w:divsChild>
                    <w:div w:id="766272784">
                      <w:marLeft w:val="0"/>
                      <w:marRight w:val="0"/>
                      <w:marTop w:val="0"/>
                      <w:marBottom w:val="0"/>
                      <w:divBdr>
                        <w:top w:val="none" w:sz="0" w:space="0" w:color="auto"/>
                        <w:left w:val="none" w:sz="0" w:space="0" w:color="auto"/>
                        <w:bottom w:val="none" w:sz="0" w:space="0" w:color="auto"/>
                        <w:right w:val="none" w:sz="0" w:space="0" w:color="auto"/>
                      </w:divBdr>
                    </w:div>
                  </w:divsChild>
                </w:div>
                <w:div w:id="1252809614">
                  <w:marLeft w:val="0"/>
                  <w:marRight w:val="0"/>
                  <w:marTop w:val="0"/>
                  <w:marBottom w:val="0"/>
                  <w:divBdr>
                    <w:top w:val="none" w:sz="0" w:space="0" w:color="auto"/>
                    <w:left w:val="none" w:sz="0" w:space="0" w:color="auto"/>
                    <w:bottom w:val="none" w:sz="0" w:space="0" w:color="auto"/>
                    <w:right w:val="none" w:sz="0" w:space="0" w:color="auto"/>
                  </w:divBdr>
                  <w:divsChild>
                    <w:div w:id="1086151171">
                      <w:marLeft w:val="0"/>
                      <w:marRight w:val="0"/>
                      <w:marTop w:val="0"/>
                      <w:marBottom w:val="0"/>
                      <w:divBdr>
                        <w:top w:val="none" w:sz="0" w:space="0" w:color="auto"/>
                        <w:left w:val="none" w:sz="0" w:space="0" w:color="auto"/>
                        <w:bottom w:val="none" w:sz="0" w:space="0" w:color="auto"/>
                        <w:right w:val="none" w:sz="0" w:space="0" w:color="auto"/>
                      </w:divBdr>
                    </w:div>
                  </w:divsChild>
                </w:div>
                <w:div w:id="1257323881">
                  <w:marLeft w:val="0"/>
                  <w:marRight w:val="0"/>
                  <w:marTop w:val="0"/>
                  <w:marBottom w:val="0"/>
                  <w:divBdr>
                    <w:top w:val="none" w:sz="0" w:space="0" w:color="auto"/>
                    <w:left w:val="none" w:sz="0" w:space="0" w:color="auto"/>
                    <w:bottom w:val="none" w:sz="0" w:space="0" w:color="auto"/>
                    <w:right w:val="none" w:sz="0" w:space="0" w:color="auto"/>
                  </w:divBdr>
                  <w:divsChild>
                    <w:div w:id="461577807">
                      <w:marLeft w:val="0"/>
                      <w:marRight w:val="0"/>
                      <w:marTop w:val="0"/>
                      <w:marBottom w:val="0"/>
                      <w:divBdr>
                        <w:top w:val="none" w:sz="0" w:space="0" w:color="auto"/>
                        <w:left w:val="none" w:sz="0" w:space="0" w:color="auto"/>
                        <w:bottom w:val="none" w:sz="0" w:space="0" w:color="auto"/>
                        <w:right w:val="none" w:sz="0" w:space="0" w:color="auto"/>
                      </w:divBdr>
                    </w:div>
                  </w:divsChild>
                </w:div>
                <w:div w:id="1262034066">
                  <w:marLeft w:val="0"/>
                  <w:marRight w:val="0"/>
                  <w:marTop w:val="0"/>
                  <w:marBottom w:val="0"/>
                  <w:divBdr>
                    <w:top w:val="none" w:sz="0" w:space="0" w:color="auto"/>
                    <w:left w:val="none" w:sz="0" w:space="0" w:color="auto"/>
                    <w:bottom w:val="none" w:sz="0" w:space="0" w:color="auto"/>
                    <w:right w:val="none" w:sz="0" w:space="0" w:color="auto"/>
                  </w:divBdr>
                  <w:divsChild>
                    <w:div w:id="787239460">
                      <w:marLeft w:val="0"/>
                      <w:marRight w:val="0"/>
                      <w:marTop w:val="0"/>
                      <w:marBottom w:val="0"/>
                      <w:divBdr>
                        <w:top w:val="none" w:sz="0" w:space="0" w:color="auto"/>
                        <w:left w:val="none" w:sz="0" w:space="0" w:color="auto"/>
                        <w:bottom w:val="none" w:sz="0" w:space="0" w:color="auto"/>
                        <w:right w:val="none" w:sz="0" w:space="0" w:color="auto"/>
                      </w:divBdr>
                    </w:div>
                  </w:divsChild>
                </w:div>
                <w:div w:id="1266037467">
                  <w:marLeft w:val="0"/>
                  <w:marRight w:val="0"/>
                  <w:marTop w:val="0"/>
                  <w:marBottom w:val="0"/>
                  <w:divBdr>
                    <w:top w:val="none" w:sz="0" w:space="0" w:color="auto"/>
                    <w:left w:val="none" w:sz="0" w:space="0" w:color="auto"/>
                    <w:bottom w:val="none" w:sz="0" w:space="0" w:color="auto"/>
                    <w:right w:val="none" w:sz="0" w:space="0" w:color="auto"/>
                  </w:divBdr>
                  <w:divsChild>
                    <w:div w:id="687564732">
                      <w:marLeft w:val="0"/>
                      <w:marRight w:val="0"/>
                      <w:marTop w:val="0"/>
                      <w:marBottom w:val="0"/>
                      <w:divBdr>
                        <w:top w:val="none" w:sz="0" w:space="0" w:color="auto"/>
                        <w:left w:val="none" w:sz="0" w:space="0" w:color="auto"/>
                        <w:bottom w:val="none" w:sz="0" w:space="0" w:color="auto"/>
                        <w:right w:val="none" w:sz="0" w:space="0" w:color="auto"/>
                      </w:divBdr>
                    </w:div>
                  </w:divsChild>
                </w:div>
                <w:div w:id="1273902317">
                  <w:marLeft w:val="0"/>
                  <w:marRight w:val="0"/>
                  <w:marTop w:val="0"/>
                  <w:marBottom w:val="0"/>
                  <w:divBdr>
                    <w:top w:val="none" w:sz="0" w:space="0" w:color="auto"/>
                    <w:left w:val="none" w:sz="0" w:space="0" w:color="auto"/>
                    <w:bottom w:val="none" w:sz="0" w:space="0" w:color="auto"/>
                    <w:right w:val="none" w:sz="0" w:space="0" w:color="auto"/>
                  </w:divBdr>
                  <w:divsChild>
                    <w:div w:id="1421372953">
                      <w:marLeft w:val="0"/>
                      <w:marRight w:val="0"/>
                      <w:marTop w:val="0"/>
                      <w:marBottom w:val="0"/>
                      <w:divBdr>
                        <w:top w:val="none" w:sz="0" w:space="0" w:color="auto"/>
                        <w:left w:val="none" w:sz="0" w:space="0" w:color="auto"/>
                        <w:bottom w:val="none" w:sz="0" w:space="0" w:color="auto"/>
                        <w:right w:val="none" w:sz="0" w:space="0" w:color="auto"/>
                      </w:divBdr>
                    </w:div>
                  </w:divsChild>
                </w:div>
                <w:div w:id="1291665693">
                  <w:marLeft w:val="0"/>
                  <w:marRight w:val="0"/>
                  <w:marTop w:val="0"/>
                  <w:marBottom w:val="0"/>
                  <w:divBdr>
                    <w:top w:val="none" w:sz="0" w:space="0" w:color="auto"/>
                    <w:left w:val="none" w:sz="0" w:space="0" w:color="auto"/>
                    <w:bottom w:val="none" w:sz="0" w:space="0" w:color="auto"/>
                    <w:right w:val="none" w:sz="0" w:space="0" w:color="auto"/>
                  </w:divBdr>
                  <w:divsChild>
                    <w:div w:id="1572034648">
                      <w:marLeft w:val="0"/>
                      <w:marRight w:val="0"/>
                      <w:marTop w:val="0"/>
                      <w:marBottom w:val="0"/>
                      <w:divBdr>
                        <w:top w:val="none" w:sz="0" w:space="0" w:color="auto"/>
                        <w:left w:val="none" w:sz="0" w:space="0" w:color="auto"/>
                        <w:bottom w:val="none" w:sz="0" w:space="0" w:color="auto"/>
                        <w:right w:val="none" w:sz="0" w:space="0" w:color="auto"/>
                      </w:divBdr>
                    </w:div>
                  </w:divsChild>
                </w:div>
                <w:div w:id="1292126343">
                  <w:marLeft w:val="0"/>
                  <w:marRight w:val="0"/>
                  <w:marTop w:val="0"/>
                  <w:marBottom w:val="0"/>
                  <w:divBdr>
                    <w:top w:val="none" w:sz="0" w:space="0" w:color="auto"/>
                    <w:left w:val="none" w:sz="0" w:space="0" w:color="auto"/>
                    <w:bottom w:val="none" w:sz="0" w:space="0" w:color="auto"/>
                    <w:right w:val="none" w:sz="0" w:space="0" w:color="auto"/>
                  </w:divBdr>
                  <w:divsChild>
                    <w:div w:id="880937873">
                      <w:marLeft w:val="0"/>
                      <w:marRight w:val="0"/>
                      <w:marTop w:val="0"/>
                      <w:marBottom w:val="0"/>
                      <w:divBdr>
                        <w:top w:val="none" w:sz="0" w:space="0" w:color="auto"/>
                        <w:left w:val="none" w:sz="0" w:space="0" w:color="auto"/>
                        <w:bottom w:val="none" w:sz="0" w:space="0" w:color="auto"/>
                        <w:right w:val="none" w:sz="0" w:space="0" w:color="auto"/>
                      </w:divBdr>
                    </w:div>
                  </w:divsChild>
                </w:div>
                <w:div w:id="1310551467">
                  <w:marLeft w:val="0"/>
                  <w:marRight w:val="0"/>
                  <w:marTop w:val="0"/>
                  <w:marBottom w:val="0"/>
                  <w:divBdr>
                    <w:top w:val="none" w:sz="0" w:space="0" w:color="auto"/>
                    <w:left w:val="none" w:sz="0" w:space="0" w:color="auto"/>
                    <w:bottom w:val="none" w:sz="0" w:space="0" w:color="auto"/>
                    <w:right w:val="none" w:sz="0" w:space="0" w:color="auto"/>
                  </w:divBdr>
                  <w:divsChild>
                    <w:div w:id="3094784">
                      <w:marLeft w:val="0"/>
                      <w:marRight w:val="0"/>
                      <w:marTop w:val="0"/>
                      <w:marBottom w:val="0"/>
                      <w:divBdr>
                        <w:top w:val="none" w:sz="0" w:space="0" w:color="auto"/>
                        <w:left w:val="none" w:sz="0" w:space="0" w:color="auto"/>
                        <w:bottom w:val="none" w:sz="0" w:space="0" w:color="auto"/>
                        <w:right w:val="none" w:sz="0" w:space="0" w:color="auto"/>
                      </w:divBdr>
                    </w:div>
                  </w:divsChild>
                </w:div>
                <w:div w:id="1312712030">
                  <w:marLeft w:val="0"/>
                  <w:marRight w:val="0"/>
                  <w:marTop w:val="0"/>
                  <w:marBottom w:val="0"/>
                  <w:divBdr>
                    <w:top w:val="none" w:sz="0" w:space="0" w:color="auto"/>
                    <w:left w:val="none" w:sz="0" w:space="0" w:color="auto"/>
                    <w:bottom w:val="none" w:sz="0" w:space="0" w:color="auto"/>
                    <w:right w:val="none" w:sz="0" w:space="0" w:color="auto"/>
                  </w:divBdr>
                  <w:divsChild>
                    <w:div w:id="317195606">
                      <w:marLeft w:val="0"/>
                      <w:marRight w:val="0"/>
                      <w:marTop w:val="0"/>
                      <w:marBottom w:val="0"/>
                      <w:divBdr>
                        <w:top w:val="none" w:sz="0" w:space="0" w:color="auto"/>
                        <w:left w:val="none" w:sz="0" w:space="0" w:color="auto"/>
                        <w:bottom w:val="none" w:sz="0" w:space="0" w:color="auto"/>
                        <w:right w:val="none" w:sz="0" w:space="0" w:color="auto"/>
                      </w:divBdr>
                    </w:div>
                  </w:divsChild>
                </w:div>
                <w:div w:id="1332679878">
                  <w:marLeft w:val="0"/>
                  <w:marRight w:val="0"/>
                  <w:marTop w:val="0"/>
                  <w:marBottom w:val="0"/>
                  <w:divBdr>
                    <w:top w:val="none" w:sz="0" w:space="0" w:color="auto"/>
                    <w:left w:val="none" w:sz="0" w:space="0" w:color="auto"/>
                    <w:bottom w:val="none" w:sz="0" w:space="0" w:color="auto"/>
                    <w:right w:val="none" w:sz="0" w:space="0" w:color="auto"/>
                  </w:divBdr>
                  <w:divsChild>
                    <w:div w:id="122693613">
                      <w:marLeft w:val="0"/>
                      <w:marRight w:val="0"/>
                      <w:marTop w:val="0"/>
                      <w:marBottom w:val="0"/>
                      <w:divBdr>
                        <w:top w:val="none" w:sz="0" w:space="0" w:color="auto"/>
                        <w:left w:val="none" w:sz="0" w:space="0" w:color="auto"/>
                        <w:bottom w:val="none" w:sz="0" w:space="0" w:color="auto"/>
                        <w:right w:val="none" w:sz="0" w:space="0" w:color="auto"/>
                      </w:divBdr>
                    </w:div>
                  </w:divsChild>
                </w:div>
                <w:div w:id="1333799153">
                  <w:marLeft w:val="0"/>
                  <w:marRight w:val="0"/>
                  <w:marTop w:val="0"/>
                  <w:marBottom w:val="0"/>
                  <w:divBdr>
                    <w:top w:val="none" w:sz="0" w:space="0" w:color="auto"/>
                    <w:left w:val="none" w:sz="0" w:space="0" w:color="auto"/>
                    <w:bottom w:val="none" w:sz="0" w:space="0" w:color="auto"/>
                    <w:right w:val="none" w:sz="0" w:space="0" w:color="auto"/>
                  </w:divBdr>
                  <w:divsChild>
                    <w:div w:id="1477644698">
                      <w:marLeft w:val="0"/>
                      <w:marRight w:val="0"/>
                      <w:marTop w:val="0"/>
                      <w:marBottom w:val="0"/>
                      <w:divBdr>
                        <w:top w:val="none" w:sz="0" w:space="0" w:color="auto"/>
                        <w:left w:val="none" w:sz="0" w:space="0" w:color="auto"/>
                        <w:bottom w:val="none" w:sz="0" w:space="0" w:color="auto"/>
                        <w:right w:val="none" w:sz="0" w:space="0" w:color="auto"/>
                      </w:divBdr>
                    </w:div>
                  </w:divsChild>
                </w:div>
                <w:div w:id="1342122137">
                  <w:marLeft w:val="0"/>
                  <w:marRight w:val="0"/>
                  <w:marTop w:val="0"/>
                  <w:marBottom w:val="0"/>
                  <w:divBdr>
                    <w:top w:val="none" w:sz="0" w:space="0" w:color="auto"/>
                    <w:left w:val="none" w:sz="0" w:space="0" w:color="auto"/>
                    <w:bottom w:val="none" w:sz="0" w:space="0" w:color="auto"/>
                    <w:right w:val="none" w:sz="0" w:space="0" w:color="auto"/>
                  </w:divBdr>
                  <w:divsChild>
                    <w:div w:id="99181457">
                      <w:marLeft w:val="0"/>
                      <w:marRight w:val="0"/>
                      <w:marTop w:val="0"/>
                      <w:marBottom w:val="0"/>
                      <w:divBdr>
                        <w:top w:val="none" w:sz="0" w:space="0" w:color="auto"/>
                        <w:left w:val="none" w:sz="0" w:space="0" w:color="auto"/>
                        <w:bottom w:val="none" w:sz="0" w:space="0" w:color="auto"/>
                        <w:right w:val="none" w:sz="0" w:space="0" w:color="auto"/>
                      </w:divBdr>
                    </w:div>
                  </w:divsChild>
                </w:div>
                <w:div w:id="1355495656">
                  <w:marLeft w:val="0"/>
                  <w:marRight w:val="0"/>
                  <w:marTop w:val="0"/>
                  <w:marBottom w:val="0"/>
                  <w:divBdr>
                    <w:top w:val="none" w:sz="0" w:space="0" w:color="auto"/>
                    <w:left w:val="none" w:sz="0" w:space="0" w:color="auto"/>
                    <w:bottom w:val="none" w:sz="0" w:space="0" w:color="auto"/>
                    <w:right w:val="none" w:sz="0" w:space="0" w:color="auto"/>
                  </w:divBdr>
                  <w:divsChild>
                    <w:div w:id="113867330">
                      <w:marLeft w:val="0"/>
                      <w:marRight w:val="0"/>
                      <w:marTop w:val="0"/>
                      <w:marBottom w:val="0"/>
                      <w:divBdr>
                        <w:top w:val="none" w:sz="0" w:space="0" w:color="auto"/>
                        <w:left w:val="none" w:sz="0" w:space="0" w:color="auto"/>
                        <w:bottom w:val="none" w:sz="0" w:space="0" w:color="auto"/>
                        <w:right w:val="none" w:sz="0" w:space="0" w:color="auto"/>
                      </w:divBdr>
                    </w:div>
                  </w:divsChild>
                </w:div>
                <w:div w:id="1356687948">
                  <w:marLeft w:val="0"/>
                  <w:marRight w:val="0"/>
                  <w:marTop w:val="0"/>
                  <w:marBottom w:val="0"/>
                  <w:divBdr>
                    <w:top w:val="none" w:sz="0" w:space="0" w:color="auto"/>
                    <w:left w:val="none" w:sz="0" w:space="0" w:color="auto"/>
                    <w:bottom w:val="none" w:sz="0" w:space="0" w:color="auto"/>
                    <w:right w:val="none" w:sz="0" w:space="0" w:color="auto"/>
                  </w:divBdr>
                  <w:divsChild>
                    <w:div w:id="1550844203">
                      <w:marLeft w:val="0"/>
                      <w:marRight w:val="0"/>
                      <w:marTop w:val="0"/>
                      <w:marBottom w:val="0"/>
                      <w:divBdr>
                        <w:top w:val="none" w:sz="0" w:space="0" w:color="auto"/>
                        <w:left w:val="none" w:sz="0" w:space="0" w:color="auto"/>
                        <w:bottom w:val="none" w:sz="0" w:space="0" w:color="auto"/>
                        <w:right w:val="none" w:sz="0" w:space="0" w:color="auto"/>
                      </w:divBdr>
                    </w:div>
                  </w:divsChild>
                </w:div>
                <w:div w:id="1357463532">
                  <w:marLeft w:val="0"/>
                  <w:marRight w:val="0"/>
                  <w:marTop w:val="0"/>
                  <w:marBottom w:val="0"/>
                  <w:divBdr>
                    <w:top w:val="none" w:sz="0" w:space="0" w:color="auto"/>
                    <w:left w:val="none" w:sz="0" w:space="0" w:color="auto"/>
                    <w:bottom w:val="none" w:sz="0" w:space="0" w:color="auto"/>
                    <w:right w:val="none" w:sz="0" w:space="0" w:color="auto"/>
                  </w:divBdr>
                  <w:divsChild>
                    <w:div w:id="1512259757">
                      <w:marLeft w:val="0"/>
                      <w:marRight w:val="0"/>
                      <w:marTop w:val="0"/>
                      <w:marBottom w:val="0"/>
                      <w:divBdr>
                        <w:top w:val="none" w:sz="0" w:space="0" w:color="auto"/>
                        <w:left w:val="none" w:sz="0" w:space="0" w:color="auto"/>
                        <w:bottom w:val="none" w:sz="0" w:space="0" w:color="auto"/>
                        <w:right w:val="none" w:sz="0" w:space="0" w:color="auto"/>
                      </w:divBdr>
                    </w:div>
                  </w:divsChild>
                </w:div>
                <w:div w:id="1359964242">
                  <w:marLeft w:val="0"/>
                  <w:marRight w:val="0"/>
                  <w:marTop w:val="0"/>
                  <w:marBottom w:val="0"/>
                  <w:divBdr>
                    <w:top w:val="none" w:sz="0" w:space="0" w:color="auto"/>
                    <w:left w:val="none" w:sz="0" w:space="0" w:color="auto"/>
                    <w:bottom w:val="none" w:sz="0" w:space="0" w:color="auto"/>
                    <w:right w:val="none" w:sz="0" w:space="0" w:color="auto"/>
                  </w:divBdr>
                  <w:divsChild>
                    <w:div w:id="275523762">
                      <w:marLeft w:val="0"/>
                      <w:marRight w:val="0"/>
                      <w:marTop w:val="0"/>
                      <w:marBottom w:val="0"/>
                      <w:divBdr>
                        <w:top w:val="none" w:sz="0" w:space="0" w:color="auto"/>
                        <w:left w:val="none" w:sz="0" w:space="0" w:color="auto"/>
                        <w:bottom w:val="none" w:sz="0" w:space="0" w:color="auto"/>
                        <w:right w:val="none" w:sz="0" w:space="0" w:color="auto"/>
                      </w:divBdr>
                    </w:div>
                  </w:divsChild>
                </w:div>
                <w:div w:id="1361710677">
                  <w:marLeft w:val="0"/>
                  <w:marRight w:val="0"/>
                  <w:marTop w:val="0"/>
                  <w:marBottom w:val="0"/>
                  <w:divBdr>
                    <w:top w:val="none" w:sz="0" w:space="0" w:color="auto"/>
                    <w:left w:val="none" w:sz="0" w:space="0" w:color="auto"/>
                    <w:bottom w:val="none" w:sz="0" w:space="0" w:color="auto"/>
                    <w:right w:val="none" w:sz="0" w:space="0" w:color="auto"/>
                  </w:divBdr>
                  <w:divsChild>
                    <w:div w:id="1762800392">
                      <w:marLeft w:val="0"/>
                      <w:marRight w:val="0"/>
                      <w:marTop w:val="0"/>
                      <w:marBottom w:val="0"/>
                      <w:divBdr>
                        <w:top w:val="none" w:sz="0" w:space="0" w:color="auto"/>
                        <w:left w:val="none" w:sz="0" w:space="0" w:color="auto"/>
                        <w:bottom w:val="none" w:sz="0" w:space="0" w:color="auto"/>
                        <w:right w:val="none" w:sz="0" w:space="0" w:color="auto"/>
                      </w:divBdr>
                    </w:div>
                  </w:divsChild>
                </w:div>
                <w:div w:id="1362975370">
                  <w:marLeft w:val="0"/>
                  <w:marRight w:val="0"/>
                  <w:marTop w:val="0"/>
                  <w:marBottom w:val="0"/>
                  <w:divBdr>
                    <w:top w:val="none" w:sz="0" w:space="0" w:color="auto"/>
                    <w:left w:val="none" w:sz="0" w:space="0" w:color="auto"/>
                    <w:bottom w:val="none" w:sz="0" w:space="0" w:color="auto"/>
                    <w:right w:val="none" w:sz="0" w:space="0" w:color="auto"/>
                  </w:divBdr>
                  <w:divsChild>
                    <w:div w:id="336424676">
                      <w:marLeft w:val="0"/>
                      <w:marRight w:val="0"/>
                      <w:marTop w:val="0"/>
                      <w:marBottom w:val="0"/>
                      <w:divBdr>
                        <w:top w:val="none" w:sz="0" w:space="0" w:color="auto"/>
                        <w:left w:val="none" w:sz="0" w:space="0" w:color="auto"/>
                        <w:bottom w:val="none" w:sz="0" w:space="0" w:color="auto"/>
                        <w:right w:val="none" w:sz="0" w:space="0" w:color="auto"/>
                      </w:divBdr>
                    </w:div>
                  </w:divsChild>
                </w:div>
                <w:div w:id="1370765558">
                  <w:marLeft w:val="0"/>
                  <w:marRight w:val="0"/>
                  <w:marTop w:val="0"/>
                  <w:marBottom w:val="0"/>
                  <w:divBdr>
                    <w:top w:val="none" w:sz="0" w:space="0" w:color="auto"/>
                    <w:left w:val="none" w:sz="0" w:space="0" w:color="auto"/>
                    <w:bottom w:val="none" w:sz="0" w:space="0" w:color="auto"/>
                    <w:right w:val="none" w:sz="0" w:space="0" w:color="auto"/>
                  </w:divBdr>
                  <w:divsChild>
                    <w:div w:id="1430151600">
                      <w:marLeft w:val="0"/>
                      <w:marRight w:val="0"/>
                      <w:marTop w:val="0"/>
                      <w:marBottom w:val="0"/>
                      <w:divBdr>
                        <w:top w:val="none" w:sz="0" w:space="0" w:color="auto"/>
                        <w:left w:val="none" w:sz="0" w:space="0" w:color="auto"/>
                        <w:bottom w:val="none" w:sz="0" w:space="0" w:color="auto"/>
                        <w:right w:val="none" w:sz="0" w:space="0" w:color="auto"/>
                      </w:divBdr>
                    </w:div>
                  </w:divsChild>
                </w:div>
                <w:div w:id="1372878578">
                  <w:marLeft w:val="0"/>
                  <w:marRight w:val="0"/>
                  <w:marTop w:val="0"/>
                  <w:marBottom w:val="0"/>
                  <w:divBdr>
                    <w:top w:val="none" w:sz="0" w:space="0" w:color="auto"/>
                    <w:left w:val="none" w:sz="0" w:space="0" w:color="auto"/>
                    <w:bottom w:val="none" w:sz="0" w:space="0" w:color="auto"/>
                    <w:right w:val="none" w:sz="0" w:space="0" w:color="auto"/>
                  </w:divBdr>
                  <w:divsChild>
                    <w:div w:id="1433745798">
                      <w:marLeft w:val="0"/>
                      <w:marRight w:val="0"/>
                      <w:marTop w:val="0"/>
                      <w:marBottom w:val="0"/>
                      <w:divBdr>
                        <w:top w:val="none" w:sz="0" w:space="0" w:color="auto"/>
                        <w:left w:val="none" w:sz="0" w:space="0" w:color="auto"/>
                        <w:bottom w:val="none" w:sz="0" w:space="0" w:color="auto"/>
                        <w:right w:val="none" w:sz="0" w:space="0" w:color="auto"/>
                      </w:divBdr>
                    </w:div>
                  </w:divsChild>
                </w:div>
                <w:div w:id="1378360066">
                  <w:marLeft w:val="0"/>
                  <w:marRight w:val="0"/>
                  <w:marTop w:val="0"/>
                  <w:marBottom w:val="0"/>
                  <w:divBdr>
                    <w:top w:val="none" w:sz="0" w:space="0" w:color="auto"/>
                    <w:left w:val="none" w:sz="0" w:space="0" w:color="auto"/>
                    <w:bottom w:val="none" w:sz="0" w:space="0" w:color="auto"/>
                    <w:right w:val="none" w:sz="0" w:space="0" w:color="auto"/>
                  </w:divBdr>
                  <w:divsChild>
                    <w:div w:id="956719600">
                      <w:marLeft w:val="0"/>
                      <w:marRight w:val="0"/>
                      <w:marTop w:val="0"/>
                      <w:marBottom w:val="0"/>
                      <w:divBdr>
                        <w:top w:val="none" w:sz="0" w:space="0" w:color="auto"/>
                        <w:left w:val="none" w:sz="0" w:space="0" w:color="auto"/>
                        <w:bottom w:val="none" w:sz="0" w:space="0" w:color="auto"/>
                        <w:right w:val="none" w:sz="0" w:space="0" w:color="auto"/>
                      </w:divBdr>
                    </w:div>
                  </w:divsChild>
                </w:div>
                <w:div w:id="1393770324">
                  <w:marLeft w:val="0"/>
                  <w:marRight w:val="0"/>
                  <w:marTop w:val="0"/>
                  <w:marBottom w:val="0"/>
                  <w:divBdr>
                    <w:top w:val="none" w:sz="0" w:space="0" w:color="auto"/>
                    <w:left w:val="none" w:sz="0" w:space="0" w:color="auto"/>
                    <w:bottom w:val="none" w:sz="0" w:space="0" w:color="auto"/>
                    <w:right w:val="none" w:sz="0" w:space="0" w:color="auto"/>
                  </w:divBdr>
                  <w:divsChild>
                    <w:div w:id="1655841369">
                      <w:marLeft w:val="0"/>
                      <w:marRight w:val="0"/>
                      <w:marTop w:val="0"/>
                      <w:marBottom w:val="0"/>
                      <w:divBdr>
                        <w:top w:val="none" w:sz="0" w:space="0" w:color="auto"/>
                        <w:left w:val="none" w:sz="0" w:space="0" w:color="auto"/>
                        <w:bottom w:val="none" w:sz="0" w:space="0" w:color="auto"/>
                        <w:right w:val="none" w:sz="0" w:space="0" w:color="auto"/>
                      </w:divBdr>
                    </w:div>
                  </w:divsChild>
                </w:div>
                <w:div w:id="1398438176">
                  <w:marLeft w:val="0"/>
                  <w:marRight w:val="0"/>
                  <w:marTop w:val="0"/>
                  <w:marBottom w:val="0"/>
                  <w:divBdr>
                    <w:top w:val="none" w:sz="0" w:space="0" w:color="auto"/>
                    <w:left w:val="none" w:sz="0" w:space="0" w:color="auto"/>
                    <w:bottom w:val="none" w:sz="0" w:space="0" w:color="auto"/>
                    <w:right w:val="none" w:sz="0" w:space="0" w:color="auto"/>
                  </w:divBdr>
                  <w:divsChild>
                    <w:div w:id="1088815443">
                      <w:marLeft w:val="0"/>
                      <w:marRight w:val="0"/>
                      <w:marTop w:val="0"/>
                      <w:marBottom w:val="0"/>
                      <w:divBdr>
                        <w:top w:val="none" w:sz="0" w:space="0" w:color="auto"/>
                        <w:left w:val="none" w:sz="0" w:space="0" w:color="auto"/>
                        <w:bottom w:val="none" w:sz="0" w:space="0" w:color="auto"/>
                        <w:right w:val="none" w:sz="0" w:space="0" w:color="auto"/>
                      </w:divBdr>
                    </w:div>
                  </w:divsChild>
                </w:div>
                <w:div w:id="1401639760">
                  <w:marLeft w:val="0"/>
                  <w:marRight w:val="0"/>
                  <w:marTop w:val="0"/>
                  <w:marBottom w:val="0"/>
                  <w:divBdr>
                    <w:top w:val="none" w:sz="0" w:space="0" w:color="auto"/>
                    <w:left w:val="none" w:sz="0" w:space="0" w:color="auto"/>
                    <w:bottom w:val="none" w:sz="0" w:space="0" w:color="auto"/>
                    <w:right w:val="none" w:sz="0" w:space="0" w:color="auto"/>
                  </w:divBdr>
                  <w:divsChild>
                    <w:div w:id="819539406">
                      <w:marLeft w:val="0"/>
                      <w:marRight w:val="0"/>
                      <w:marTop w:val="0"/>
                      <w:marBottom w:val="0"/>
                      <w:divBdr>
                        <w:top w:val="none" w:sz="0" w:space="0" w:color="auto"/>
                        <w:left w:val="none" w:sz="0" w:space="0" w:color="auto"/>
                        <w:bottom w:val="none" w:sz="0" w:space="0" w:color="auto"/>
                        <w:right w:val="none" w:sz="0" w:space="0" w:color="auto"/>
                      </w:divBdr>
                    </w:div>
                  </w:divsChild>
                </w:div>
                <w:div w:id="1406760613">
                  <w:marLeft w:val="0"/>
                  <w:marRight w:val="0"/>
                  <w:marTop w:val="0"/>
                  <w:marBottom w:val="0"/>
                  <w:divBdr>
                    <w:top w:val="none" w:sz="0" w:space="0" w:color="auto"/>
                    <w:left w:val="none" w:sz="0" w:space="0" w:color="auto"/>
                    <w:bottom w:val="none" w:sz="0" w:space="0" w:color="auto"/>
                    <w:right w:val="none" w:sz="0" w:space="0" w:color="auto"/>
                  </w:divBdr>
                  <w:divsChild>
                    <w:div w:id="1650094400">
                      <w:marLeft w:val="0"/>
                      <w:marRight w:val="0"/>
                      <w:marTop w:val="0"/>
                      <w:marBottom w:val="0"/>
                      <w:divBdr>
                        <w:top w:val="none" w:sz="0" w:space="0" w:color="auto"/>
                        <w:left w:val="none" w:sz="0" w:space="0" w:color="auto"/>
                        <w:bottom w:val="none" w:sz="0" w:space="0" w:color="auto"/>
                        <w:right w:val="none" w:sz="0" w:space="0" w:color="auto"/>
                      </w:divBdr>
                    </w:div>
                  </w:divsChild>
                </w:div>
                <w:div w:id="1406797861">
                  <w:marLeft w:val="0"/>
                  <w:marRight w:val="0"/>
                  <w:marTop w:val="0"/>
                  <w:marBottom w:val="0"/>
                  <w:divBdr>
                    <w:top w:val="none" w:sz="0" w:space="0" w:color="auto"/>
                    <w:left w:val="none" w:sz="0" w:space="0" w:color="auto"/>
                    <w:bottom w:val="none" w:sz="0" w:space="0" w:color="auto"/>
                    <w:right w:val="none" w:sz="0" w:space="0" w:color="auto"/>
                  </w:divBdr>
                  <w:divsChild>
                    <w:div w:id="2025399884">
                      <w:marLeft w:val="0"/>
                      <w:marRight w:val="0"/>
                      <w:marTop w:val="0"/>
                      <w:marBottom w:val="0"/>
                      <w:divBdr>
                        <w:top w:val="none" w:sz="0" w:space="0" w:color="auto"/>
                        <w:left w:val="none" w:sz="0" w:space="0" w:color="auto"/>
                        <w:bottom w:val="none" w:sz="0" w:space="0" w:color="auto"/>
                        <w:right w:val="none" w:sz="0" w:space="0" w:color="auto"/>
                      </w:divBdr>
                    </w:div>
                  </w:divsChild>
                </w:div>
                <w:div w:id="1408503284">
                  <w:marLeft w:val="0"/>
                  <w:marRight w:val="0"/>
                  <w:marTop w:val="0"/>
                  <w:marBottom w:val="0"/>
                  <w:divBdr>
                    <w:top w:val="none" w:sz="0" w:space="0" w:color="auto"/>
                    <w:left w:val="none" w:sz="0" w:space="0" w:color="auto"/>
                    <w:bottom w:val="none" w:sz="0" w:space="0" w:color="auto"/>
                    <w:right w:val="none" w:sz="0" w:space="0" w:color="auto"/>
                  </w:divBdr>
                  <w:divsChild>
                    <w:div w:id="1990941284">
                      <w:marLeft w:val="0"/>
                      <w:marRight w:val="0"/>
                      <w:marTop w:val="0"/>
                      <w:marBottom w:val="0"/>
                      <w:divBdr>
                        <w:top w:val="none" w:sz="0" w:space="0" w:color="auto"/>
                        <w:left w:val="none" w:sz="0" w:space="0" w:color="auto"/>
                        <w:bottom w:val="none" w:sz="0" w:space="0" w:color="auto"/>
                        <w:right w:val="none" w:sz="0" w:space="0" w:color="auto"/>
                      </w:divBdr>
                    </w:div>
                  </w:divsChild>
                </w:div>
                <w:div w:id="1416437938">
                  <w:marLeft w:val="0"/>
                  <w:marRight w:val="0"/>
                  <w:marTop w:val="0"/>
                  <w:marBottom w:val="0"/>
                  <w:divBdr>
                    <w:top w:val="none" w:sz="0" w:space="0" w:color="auto"/>
                    <w:left w:val="none" w:sz="0" w:space="0" w:color="auto"/>
                    <w:bottom w:val="none" w:sz="0" w:space="0" w:color="auto"/>
                    <w:right w:val="none" w:sz="0" w:space="0" w:color="auto"/>
                  </w:divBdr>
                  <w:divsChild>
                    <w:div w:id="1489009468">
                      <w:marLeft w:val="0"/>
                      <w:marRight w:val="0"/>
                      <w:marTop w:val="0"/>
                      <w:marBottom w:val="0"/>
                      <w:divBdr>
                        <w:top w:val="none" w:sz="0" w:space="0" w:color="auto"/>
                        <w:left w:val="none" w:sz="0" w:space="0" w:color="auto"/>
                        <w:bottom w:val="none" w:sz="0" w:space="0" w:color="auto"/>
                        <w:right w:val="none" w:sz="0" w:space="0" w:color="auto"/>
                      </w:divBdr>
                    </w:div>
                  </w:divsChild>
                </w:div>
                <w:div w:id="1423256013">
                  <w:marLeft w:val="0"/>
                  <w:marRight w:val="0"/>
                  <w:marTop w:val="0"/>
                  <w:marBottom w:val="0"/>
                  <w:divBdr>
                    <w:top w:val="none" w:sz="0" w:space="0" w:color="auto"/>
                    <w:left w:val="none" w:sz="0" w:space="0" w:color="auto"/>
                    <w:bottom w:val="none" w:sz="0" w:space="0" w:color="auto"/>
                    <w:right w:val="none" w:sz="0" w:space="0" w:color="auto"/>
                  </w:divBdr>
                  <w:divsChild>
                    <w:div w:id="1141079104">
                      <w:marLeft w:val="0"/>
                      <w:marRight w:val="0"/>
                      <w:marTop w:val="0"/>
                      <w:marBottom w:val="0"/>
                      <w:divBdr>
                        <w:top w:val="none" w:sz="0" w:space="0" w:color="auto"/>
                        <w:left w:val="none" w:sz="0" w:space="0" w:color="auto"/>
                        <w:bottom w:val="none" w:sz="0" w:space="0" w:color="auto"/>
                        <w:right w:val="none" w:sz="0" w:space="0" w:color="auto"/>
                      </w:divBdr>
                    </w:div>
                  </w:divsChild>
                </w:div>
                <w:div w:id="1423798016">
                  <w:marLeft w:val="0"/>
                  <w:marRight w:val="0"/>
                  <w:marTop w:val="0"/>
                  <w:marBottom w:val="0"/>
                  <w:divBdr>
                    <w:top w:val="none" w:sz="0" w:space="0" w:color="auto"/>
                    <w:left w:val="none" w:sz="0" w:space="0" w:color="auto"/>
                    <w:bottom w:val="none" w:sz="0" w:space="0" w:color="auto"/>
                    <w:right w:val="none" w:sz="0" w:space="0" w:color="auto"/>
                  </w:divBdr>
                  <w:divsChild>
                    <w:div w:id="724766823">
                      <w:marLeft w:val="0"/>
                      <w:marRight w:val="0"/>
                      <w:marTop w:val="0"/>
                      <w:marBottom w:val="0"/>
                      <w:divBdr>
                        <w:top w:val="none" w:sz="0" w:space="0" w:color="auto"/>
                        <w:left w:val="none" w:sz="0" w:space="0" w:color="auto"/>
                        <w:bottom w:val="none" w:sz="0" w:space="0" w:color="auto"/>
                        <w:right w:val="none" w:sz="0" w:space="0" w:color="auto"/>
                      </w:divBdr>
                    </w:div>
                  </w:divsChild>
                </w:div>
                <w:div w:id="1434207970">
                  <w:marLeft w:val="0"/>
                  <w:marRight w:val="0"/>
                  <w:marTop w:val="0"/>
                  <w:marBottom w:val="0"/>
                  <w:divBdr>
                    <w:top w:val="none" w:sz="0" w:space="0" w:color="auto"/>
                    <w:left w:val="none" w:sz="0" w:space="0" w:color="auto"/>
                    <w:bottom w:val="none" w:sz="0" w:space="0" w:color="auto"/>
                    <w:right w:val="none" w:sz="0" w:space="0" w:color="auto"/>
                  </w:divBdr>
                  <w:divsChild>
                    <w:div w:id="378286452">
                      <w:marLeft w:val="0"/>
                      <w:marRight w:val="0"/>
                      <w:marTop w:val="0"/>
                      <w:marBottom w:val="0"/>
                      <w:divBdr>
                        <w:top w:val="none" w:sz="0" w:space="0" w:color="auto"/>
                        <w:left w:val="none" w:sz="0" w:space="0" w:color="auto"/>
                        <w:bottom w:val="none" w:sz="0" w:space="0" w:color="auto"/>
                        <w:right w:val="none" w:sz="0" w:space="0" w:color="auto"/>
                      </w:divBdr>
                    </w:div>
                  </w:divsChild>
                </w:div>
                <w:div w:id="1435637205">
                  <w:marLeft w:val="0"/>
                  <w:marRight w:val="0"/>
                  <w:marTop w:val="0"/>
                  <w:marBottom w:val="0"/>
                  <w:divBdr>
                    <w:top w:val="none" w:sz="0" w:space="0" w:color="auto"/>
                    <w:left w:val="none" w:sz="0" w:space="0" w:color="auto"/>
                    <w:bottom w:val="none" w:sz="0" w:space="0" w:color="auto"/>
                    <w:right w:val="none" w:sz="0" w:space="0" w:color="auto"/>
                  </w:divBdr>
                  <w:divsChild>
                    <w:div w:id="682515131">
                      <w:marLeft w:val="0"/>
                      <w:marRight w:val="0"/>
                      <w:marTop w:val="0"/>
                      <w:marBottom w:val="0"/>
                      <w:divBdr>
                        <w:top w:val="none" w:sz="0" w:space="0" w:color="auto"/>
                        <w:left w:val="none" w:sz="0" w:space="0" w:color="auto"/>
                        <w:bottom w:val="none" w:sz="0" w:space="0" w:color="auto"/>
                        <w:right w:val="none" w:sz="0" w:space="0" w:color="auto"/>
                      </w:divBdr>
                    </w:div>
                  </w:divsChild>
                </w:div>
                <w:div w:id="1452898142">
                  <w:marLeft w:val="0"/>
                  <w:marRight w:val="0"/>
                  <w:marTop w:val="0"/>
                  <w:marBottom w:val="0"/>
                  <w:divBdr>
                    <w:top w:val="none" w:sz="0" w:space="0" w:color="auto"/>
                    <w:left w:val="none" w:sz="0" w:space="0" w:color="auto"/>
                    <w:bottom w:val="none" w:sz="0" w:space="0" w:color="auto"/>
                    <w:right w:val="none" w:sz="0" w:space="0" w:color="auto"/>
                  </w:divBdr>
                  <w:divsChild>
                    <w:div w:id="1756588195">
                      <w:marLeft w:val="0"/>
                      <w:marRight w:val="0"/>
                      <w:marTop w:val="0"/>
                      <w:marBottom w:val="0"/>
                      <w:divBdr>
                        <w:top w:val="none" w:sz="0" w:space="0" w:color="auto"/>
                        <w:left w:val="none" w:sz="0" w:space="0" w:color="auto"/>
                        <w:bottom w:val="none" w:sz="0" w:space="0" w:color="auto"/>
                        <w:right w:val="none" w:sz="0" w:space="0" w:color="auto"/>
                      </w:divBdr>
                    </w:div>
                  </w:divsChild>
                </w:div>
                <w:div w:id="1459228417">
                  <w:marLeft w:val="0"/>
                  <w:marRight w:val="0"/>
                  <w:marTop w:val="0"/>
                  <w:marBottom w:val="0"/>
                  <w:divBdr>
                    <w:top w:val="none" w:sz="0" w:space="0" w:color="auto"/>
                    <w:left w:val="none" w:sz="0" w:space="0" w:color="auto"/>
                    <w:bottom w:val="none" w:sz="0" w:space="0" w:color="auto"/>
                    <w:right w:val="none" w:sz="0" w:space="0" w:color="auto"/>
                  </w:divBdr>
                  <w:divsChild>
                    <w:div w:id="558783593">
                      <w:marLeft w:val="0"/>
                      <w:marRight w:val="0"/>
                      <w:marTop w:val="0"/>
                      <w:marBottom w:val="0"/>
                      <w:divBdr>
                        <w:top w:val="none" w:sz="0" w:space="0" w:color="auto"/>
                        <w:left w:val="none" w:sz="0" w:space="0" w:color="auto"/>
                        <w:bottom w:val="none" w:sz="0" w:space="0" w:color="auto"/>
                        <w:right w:val="none" w:sz="0" w:space="0" w:color="auto"/>
                      </w:divBdr>
                    </w:div>
                  </w:divsChild>
                </w:div>
                <w:div w:id="1460148156">
                  <w:marLeft w:val="0"/>
                  <w:marRight w:val="0"/>
                  <w:marTop w:val="0"/>
                  <w:marBottom w:val="0"/>
                  <w:divBdr>
                    <w:top w:val="none" w:sz="0" w:space="0" w:color="auto"/>
                    <w:left w:val="none" w:sz="0" w:space="0" w:color="auto"/>
                    <w:bottom w:val="none" w:sz="0" w:space="0" w:color="auto"/>
                    <w:right w:val="none" w:sz="0" w:space="0" w:color="auto"/>
                  </w:divBdr>
                  <w:divsChild>
                    <w:div w:id="1267688037">
                      <w:marLeft w:val="0"/>
                      <w:marRight w:val="0"/>
                      <w:marTop w:val="0"/>
                      <w:marBottom w:val="0"/>
                      <w:divBdr>
                        <w:top w:val="none" w:sz="0" w:space="0" w:color="auto"/>
                        <w:left w:val="none" w:sz="0" w:space="0" w:color="auto"/>
                        <w:bottom w:val="none" w:sz="0" w:space="0" w:color="auto"/>
                        <w:right w:val="none" w:sz="0" w:space="0" w:color="auto"/>
                      </w:divBdr>
                    </w:div>
                  </w:divsChild>
                </w:div>
                <w:div w:id="1462842684">
                  <w:marLeft w:val="0"/>
                  <w:marRight w:val="0"/>
                  <w:marTop w:val="0"/>
                  <w:marBottom w:val="0"/>
                  <w:divBdr>
                    <w:top w:val="none" w:sz="0" w:space="0" w:color="auto"/>
                    <w:left w:val="none" w:sz="0" w:space="0" w:color="auto"/>
                    <w:bottom w:val="none" w:sz="0" w:space="0" w:color="auto"/>
                    <w:right w:val="none" w:sz="0" w:space="0" w:color="auto"/>
                  </w:divBdr>
                  <w:divsChild>
                    <w:div w:id="662392796">
                      <w:marLeft w:val="0"/>
                      <w:marRight w:val="0"/>
                      <w:marTop w:val="0"/>
                      <w:marBottom w:val="0"/>
                      <w:divBdr>
                        <w:top w:val="none" w:sz="0" w:space="0" w:color="auto"/>
                        <w:left w:val="none" w:sz="0" w:space="0" w:color="auto"/>
                        <w:bottom w:val="none" w:sz="0" w:space="0" w:color="auto"/>
                        <w:right w:val="none" w:sz="0" w:space="0" w:color="auto"/>
                      </w:divBdr>
                    </w:div>
                  </w:divsChild>
                </w:div>
                <w:div w:id="1470784203">
                  <w:marLeft w:val="0"/>
                  <w:marRight w:val="0"/>
                  <w:marTop w:val="0"/>
                  <w:marBottom w:val="0"/>
                  <w:divBdr>
                    <w:top w:val="none" w:sz="0" w:space="0" w:color="auto"/>
                    <w:left w:val="none" w:sz="0" w:space="0" w:color="auto"/>
                    <w:bottom w:val="none" w:sz="0" w:space="0" w:color="auto"/>
                    <w:right w:val="none" w:sz="0" w:space="0" w:color="auto"/>
                  </w:divBdr>
                  <w:divsChild>
                    <w:div w:id="1262226028">
                      <w:marLeft w:val="0"/>
                      <w:marRight w:val="0"/>
                      <w:marTop w:val="0"/>
                      <w:marBottom w:val="0"/>
                      <w:divBdr>
                        <w:top w:val="none" w:sz="0" w:space="0" w:color="auto"/>
                        <w:left w:val="none" w:sz="0" w:space="0" w:color="auto"/>
                        <w:bottom w:val="none" w:sz="0" w:space="0" w:color="auto"/>
                        <w:right w:val="none" w:sz="0" w:space="0" w:color="auto"/>
                      </w:divBdr>
                    </w:div>
                  </w:divsChild>
                </w:div>
                <w:div w:id="1481998163">
                  <w:marLeft w:val="0"/>
                  <w:marRight w:val="0"/>
                  <w:marTop w:val="0"/>
                  <w:marBottom w:val="0"/>
                  <w:divBdr>
                    <w:top w:val="none" w:sz="0" w:space="0" w:color="auto"/>
                    <w:left w:val="none" w:sz="0" w:space="0" w:color="auto"/>
                    <w:bottom w:val="none" w:sz="0" w:space="0" w:color="auto"/>
                    <w:right w:val="none" w:sz="0" w:space="0" w:color="auto"/>
                  </w:divBdr>
                  <w:divsChild>
                    <w:div w:id="881210784">
                      <w:marLeft w:val="0"/>
                      <w:marRight w:val="0"/>
                      <w:marTop w:val="0"/>
                      <w:marBottom w:val="0"/>
                      <w:divBdr>
                        <w:top w:val="none" w:sz="0" w:space="0" w:color="auto"/>
                        <w:left w:val="none" w:sz="0" w:space="0" w:color="auto"/>
                        <w:bottom w:val="none" w:sz="0" w:space="0" w:color="auto"/>
                        <w:right w:val="none" w:sz="0" w:space="0" w:color="auto"/>
                      </w:divBdr>
                    </w:div>
                  </w:divsChild>
                </w:div>
                <w:div w:id="1482036202">
                  <w:marLeft w:val="0"/>
                  <w:marRight w:val="0"/>
                  <w:marTop w:val="0"/>
                  <w:marBottom w:val="0"/>
                  <w:divBdr>
                    <w:top w:val="none" w:sz="0" w:space="0" w:color="auto"/>
                    <w:left w:val="none" w:sz="0" w:space="0" w:color="auto"/>
                    <w:bottom w:val="none" w:sz="0" w:space="0" w:color="auto"/>
                    <w:right w:val="none" w:sz="0" w:space="0" w:color="auto"/>
                  </w:divBdr>
                  <w:divsChild>
                    <w:div w:id="103774586">
                      <w:marLeft w:val="0"/>
                      <w:marRight w:val="0"/>
                      <w:marTop w:val="0"/>
                      <w:marBottom w:val="0"/>
                      <w:divBdr>
                        <w:top w:val="none" w:sz="0" w:space="0" w:color="auto"/>
                        <w:left w:val="none" w:sz="0" w:space="0" w:color="auto"/>
                        <w:bottom w:val="none" w:sz="0" w:space="0" w:color="auto"/>
                        <w:right w:val="none" w:sz="0" w:space="0" w:color="auto"/>
                      </w:divBdr>
                    </w:div>
                  </w:divsChild>
                </w:div>
                <w:div w:id="1483497449">
                  <w:marLeft w:val="0"/>
                  <w:marRight w:val="0"/>
                  <w:marTop w:val="0"/>
                  <w:marBottom w:val="0"/>
                  <w:divBdr>
                    <w:top w:val="none" w:sz="0" w:space="0" w:color="auto"/>
                    <w:left w:val="none" w:sz="0" w:space="0" w:color="auto"/>
                    <w:bottom w:val="none" w:sz="0" w:space="0" w:color="auto"/>
                    <w:right w:val="none" w:sz="0" w:space="0" w:color="auto"/>
                  </w:divBdr>
                  <w:divsChild>
                    <w:div w:id="1386484156">
                      <w:marLeft w:val="0"/>
                      <w:marRight w:val="0"/>
                      <w:marTop w:val="0"/>
                      <w:marBottom w:val="0"/>
                      <w:divBdr>
                        <w:top w:val="none" w:sz="0" w:space="0" w:color="auto"/>
                        <w:left w:val="none" w:sz="0" w:space="0" w:color="auto"/>
                        <w:bottom w:val="none" w:sz="0" w:space="0" w:color="auto"/>
                        <w:right w:val="none" w:sz="0" w:space="0" w:color="auto"/>
                      </w:divBdr>
                    </w:div>
                  </w:divsChild>
                </w:div>
                <w:div w:id="1498959353">
                  <w:marLeft w:val="0"/>
                  <w:marRight w:val="0"/>
                  <w:marTop w:val="0"/>
                  <w:marBottom w:val="0"/>
                  <w:divBdr>
                    <w:top w:val="none" w:sz="0" w:space="0" w:color="auto"/>
                    <w:left w:val="none" w:sz="0" w:space="0" w:color="auto"/>
                    <w:bottom w:val="none" w:sz="0" w:space="0" w:color="auto"/>
                    <w:right w:val="none" w:sz="0" w:space="0" w:color="auto"/>
                  </w:divBdr>
                  <w:divsChild>
                    <w:div w:id="1092705275">
                      <w:marLeft w:val="0"/>
                      <w:marRight w:val="0"/>
                      <w:marTop w:val="0"/>
                      <w:marBottom w:val="0"/>
                      <w:divBdr>
                        <w:top w:val="none" w:sz="0" w:space="0" w:color="auto"/>
                        <w:left w:val="none" w:sz="0" w:space="0" w:color="auto"/>
                        <w:bottom w:val="none" w:sz="0" w:space="0" w:color="auto"/>
                        <w:right w:val="none" w:sz="0" w:space="0" w:color="auto"/>
                      </w:divBdr>
                    </w:div>
                  </w:divsChild>
                </w:div>
                <w:div w:id="1516071558">
                  <w:marLeft w:val="0"/>
                  <w:marRight w:val="0"/>
                  <w:marTop w:val="0"/>
                  <w:marBottom w:val="0"/>
                  <w:divBdr>
                    <w:top w:val="none" w:sz="0" w:space="0" w:color="auto"/>
                    <w:left w:val="none" w:sz="0" w:space="0" w:color="auto"/>
                    <w:bottom w:val="none" w:sz="0" w:space="0" w:color="auto"/>
                    <w:right w:val="none" w:sz="0" w:space="0" w:color="auto"/>
                  </w:divBdr>
                  <w:divsChild>
                    <w:div w:id="1493837262">
                      <w:marLeft w:val="0"/>
                      <w:marRight w:val="0"/>
                      <w:marTop w:val="0"/>
                      <w:marBottom w:val="0"/>
                      <w:divBdr>
                        <w:top w:val="none" w:sz="0" w:space="0" w:color="auto"/>
                        <w:left w:val="none" w:sz="0" w:space="0" w:color="auto"/>
                        <w:bottom w:val="none" w:sz="0" w:space="0" w:color="auto"/>
                        <w:right w:val="none" w:sz="0" w:space="0" w:color="auto"/>
                      </w:divBdr>
                    </w:div>
                  </w:divsChild>
                </w:div>
                <w:div w:id="1527982275">
                  <w:marLeft w:val="0"/>
                  <w:marRight w:val="0"/>
                  <w:marTop w:val="0"/>
                  <w:marBottom w:val="0"/>
                  <w:divBdr>
                    <w:top w:val="none" w:sz="0" w:space="0" w:color="auto"/>
                    <w:left w:val="none" w:sz="0" w:space="0" w:color="auto"/>
                    <w:bottom w:val="none" w:sz="0" w:space="0" w:color="auto"/>
                    <w:right w:val="none" w:sz="0" w:space="0" w:color="auto"/>
                  </w:divBdr>
                  <w:divsChild>
                    <w:div w:id="1247769497">
                      <w:marLeft w:val="0"/>
                      <w:marRight w:val="0"/>
                      <w:marTop w:val="0"/>
                      <w:marBottom w:val="0"/>
                      <w:divBdr>
                        <w:top w:val="none" w:sz="0" w:space="0" w:color="auto"/>
                        <w:left w:val="none" w:sz="0" w:space="0" w:color="auto"/>
                        <w:bottom w:val="none" w:sz="0" w:space="0" w:color="auto"/>
                        <w:right w:val="none" w:sz="0" w:space="0" w:color="auto"/>
                      </w:divBdr>
                    </w:div>
                  </w:divsChild>
                </w:div>
                <w:div w:id="1537427024">
                  <w:marLeft w:val="0"/>
                  <w:marRight w:val="0"/>
                  <w:marTop w:val="0"/>
                  <w:marBottom w:val="0"/>
                  <w:divBdr>
                    <w:top w:val="none" w:sz="0" w:space="0" w:color="auto"/>
                    <w:left w:val="none" w:sz="0" w:space="0" w:color="auto"/>
                    <w:bottom w:val="none" w:sz="0" w:space="0" w:color="auto"/>
                    <w:right w:val="none" w:sz="0" w:space="0" w:color="auto"/>
                  </w:divBdr>
                  <w:divsChild>
                    <w:div w:id="771390902">
                      <w:marLeft w:val="0"/>
                      <w:marRight w:val="0"/>
                      <w:marTop w:val="0"/>
                      <w:marBottom w:val="0"/>
                      <w:divBdr>
                        <w:top w:val="none" w:sz="0" w:space="0" w:color="auto"/>
                        <w:left w:val="none" w:sz="0" w:space="0" w:color="auto"/>
                        <w:bottom w:val="none" w:sz="0" w:space="0" w:color="auto"/>
                        <w:right w:val="none" w:sz="0" w:space="0" w:color="auto"/>
                      </w:divBdr>
                    </w:div>
                  </w:divsChild>
                </w:div>
                <w:div w:id="1552769204">
                  <w:marLeft w:val="0"/>
                  <w:marRight w:val="0"/>
                  <w:marTop w:val="0"/>
                  <w:marBottom w:val="0"/>
                  <w:divBdr>
                    <w:top w:val="none" w:sz="0" w:space="0" w:color="auto"/>
                    <w:left w:val="none" w:sz="0" w:space="0" w:color="auto"/>
                    <w:bottom w:val="none" w:sz="0" w:space="0" w:color="auto"/>
                    <w:right w:val="none" w:sz="0" w:space="0" w:color="auto"/>
                  </w:divBdr>
                  <w:divsChild>
                    <w:div w:id="813569118">
                      <w:marLeft w:val="0"/>
                      <w:marRight w:val="0"/>
                      <w:marTop w:val="0"/>
                      <w:marBottom w:val="0"/>
                      <w:divBdr>
                        <w:top w:val="none" w:sz="0" w:space="0" w:color="auto"/>
                        <w:left w:val="none" w:sz="0" w:space="0" w:color="auto"/>
                        <w:bottom w:val="none" w:sz="0" w:space="0" w:color="auto"/>
                        <w:right w:val="none" w:sz="0" w:space="0" w:color="auto"/>
                      </w:divBdr>
                    </w:div>
                  </w:divsChild>
                </w:div>
                <w:div w:id="1570262334">
                  <w:marLeft w:val="0"/>
                  <w:marRight w:val="0"/>
                  <w:marTop w:val="0"/>
                  <w:marBottom w:val="0"/>
                  <w:divBdr>
                    <w:top w:val="none" w:sz="0" w:space="0" w:color="auto"/>
                    <w:left w:val="none" w:sz="0" w:space="0" w:color="auto"/>
                    <w:bottom w:val="none" w:sz="0" w:space="0" w:color="auto"/>
                    <w:right w:val="none" w:sz="0" w:space="0" w:color="auto"/>
                  </w:divBdr>
                  <w:divsChild>
                    <w:div w:id="1712729998">
                      <w:marLeft w:val="0"/>
                      <w:marRight w:val="0"/>
                      <w:marTop w:val="0"/>
                      <w:marBottom w:val="0"/>
                      <w:divBdr>
                        <w:top w:val="none" w:sz="0" w:space="0" w:color="auto"/>
                        <w:left w:val="none" w:sz="0" w:space="0" w:color="auto"/>
                        <w:bottom w:val="none" w:sz="0" w:space="0" w:color="auto"/>
                        <w:right w:val="none" w:sz="0" w:space="0" w:color="auto"/>
                      </w:divBdr>
                    </w:div>
                  </w:divsChild>
                </w:div>
                <w:div w:id="1601259459">
                  <w:marLeft w:val="0"/>
                  <w:marRight w:val="0"/>
                  <w:marTop w:val="0"/>
                  <w:marBottom w:val="0"/>
                  <w:divBdr>
                    <w:top w:val="none" w:sz="0" w:space="0" w:color="auto"/>
                    <w:left w:val="none" w:sz="0" w:space="0" w:color="auto"/>
                    <w:bottom w:val="none" w:sz="0" w:space="0" w:color="auto"/>
                    <w:right w:val="none" w:sz="0" w:space="0" w:color="auto"/>
                  </w:divBdr>
                  <w:divsChild>
                    <w:div w:id="1839686549">
                      <w:marLeft w:val="0"/>
                      <w:marRight w:val="0"/>
                      <w:marTop w:val="0"/>
                      <w:marBottom w:val="0"/>
                      <w:divBdr>
                        <w:top w:val="none" w:sz="0" w:space="0" w:color="auto"/>
                        <w:left w:val="none" w:sz="0" w:space="0" w:color="auto"/>
                        <w:bottom w:val="none" w:sz="0" w:space="0" w:color="auto"/>
                        <w:right w:val="none" w:sz="0" w:space="0" w:color="auto"/>
                      </w:divBdr>
                    </w:div>
                  </w:divsChild>
                </w:div>
                <w:div w:id="1612587526">
                  <w:marLeft w:val="0"/>
                  <w:marRight w:val="0"/>
                  <w:marTop w:val="0"/>
                  <w:marBottom w:val="0"/>
                  <w:divBdr>
                    <w:top w:val="none" w:sz="0" w:space="0" w:color="auto"/>
                    <w:left w:val="none" w:sz="0" w:space="0" w:color="auto"/>
                    <w:bottom w:val="none" w:sz="0" w:space="0" w:color="auto"/>
                    <w:right w:val="none" w:sz="0" w:space="0" w:color="auto"/>
                  </w:divBdr>
                  <w:divsChild>
                    <w:div w:id="1353997968">
                      <w:marLeft w:val="0"/>
                      <w:marRight w:val="0"/>
                      <w:marTop w:val="0"/>
                      <w:marBottom w:val="0"/>
                      <w:divBdr>
                        <w:top w:val="none" w:sz="0" w:space="0" w:color="auto"/>
                        <w:left w:val="none" w:sz="0" w:space="0" w:color="auto"/>
                        <w:bottom w:val="none" w:sz="0" w:space="0" w:color="auto"/>
                        <w:right w:val="none" w:sz="0" w:space="0" w:color="auto"/>
                      </w:divBdr>
                    </w:div>
                  </w:divsChild>
                </w:div>
                <w:div w:id="1637028373">
                  <w:marLeft w:val="0"/>
                  <w:marRight w:val="0"/>
                  <w:marTop w:val="0"/>
                  <w:marBottom w:val="0"/>
                  <w:divBdr>
                    <w:top w:val="none" w:sz="0" w:space="0" w:color="auto"/>
                    <w:left w:val="none" w:sz="0" w:space="0" w:color="auto"/>
                    <w:bottom w:val="none" w:sz="0" w:space="0" w:color="auto"/>
                    <w:right w:val="none" w:sz="0" w:space="0" w:color="auto"/>
                  </w:divBdr>
                  <w:divsChild>
                    <w:div w:id="2071077769">
                      <w:marLeft w:val="0"/>
                      <w:marRight w:val="0"/>
                      <w:marTop w:val="0"/>
                      <w:marBottom w:val="0"/>
                      <w:divBdr>
                        <w:top w:val="none" w:sz="0" w:space="0" w:color="auto"/>
                        <w:left w:val="none" w:sz="0" w:space="0" w:color="auto"/>
                        <w:bottom w:val="none" w:sz="0" w:space="0" w:color="auto"/>
                        <w:right w:val="none" w:sz="0" w:space="0" w:color="auto"/>
                      </w:divBdr>
                    </w:div>
                  </w:divsChild>
                </w:div>
                <w:div w:id="1651784499">
                  <w:marLeft w:val="0"/>
                  <w:marRight w:val="0"/>
                  <w:marTop w:val="0"/>
                  <w:marBottom w:val="0"/>
                  <w:divBdr>
                    <w:top w:val="none" w:sz="0" w:space="0" w:color="auto"/>
                    <w:left w:val="none" w:sz="0" w:space="0" w:color="auto"/>
                    <w:bottom w:val="none" w:sz="0" w:space="0" w:color="auto"/>
                    <w:right w:val="none" w:sz="0" w:space="0" w:color="auto"/>
                  </w:divBdr>
                  <w:divsChild>
                    <w:div w:id="1407730552">
                      <w:marLeft w:val="0"/>
                      <w:marRight w:val="0"/>
                      <w:marTop w:val="0"/>
                      <w:marBottom w:val="0"/>
                      <w:divBdr>
                        <w:top w:val="none" w:sz="0" w:space="0" w:color="auto"/>
                        <w:left w:val="none" w:sz="0" w:space="0" w:color="auto"/>
                        <w:bottom w:val="none" w:sz="0" w:space="0" w:color="auto"/>
                        <w:right w:val="none" w:sz="0" w:space="0" w:color="auto"/>
                      </w:divBdr>
                    </w:div>
                  </w:divsChild>
                </w:div>
                <w:div w:id="1655337184">
                  <w:marLeft w:val="0"/>
                  <w:marRight w:val="0"/>
                  <w:marTop w:val="0"/>
                  <w:marBottom w:val="0"/>
                  <w:divBdr>
                    <w:top w:val="none" w:sz="0" w:space="0" w:color="auto"/>
                    <w:left w:val="none" w:sz="0" w:space="0" w:color="auto"/>
                    <w:bottom w:val="none" w:sz="0" w:space="0" w:color="auto"/>
                    <w:right w:val="none" w:sz="0" w:space="0" w:color="auto"/>
                  </w:divBdr>
                  <w:divsChild>
                    <w:div w:id="751047784">
                      <w:marLeft w:val="0"/>
                      <w:marRight w:val="0"/>
                      <w:marTop w:val="0"/>
                      <w:marBottom w:val="0"/>
                      <w:divBdr>
                        <w:top w:val="none" w:sz="0" w:space="0" w:color="auto"/>
                        <w:left w:val="none" w:sz="0" w:space="0" w:color="auto"/>
                        <w:bottom w:val="none" w:sz="0" w:space="0" w:color="auto"/>
                        <w:right w:val="none" w:sz="0" w:space="0" w:color="auto"/>
                      </w:divBdr>
                    </w:div>
                  </w:divsChild>
                </w:div>
                <w:div w:id="1657952656">
                  <w:marLeft w:val="0"/>
                  <w:marRight w:val="0"/>
                  <w:marTop w:val="0"/>
                  <w:marBottom w:val="0"/>
                  <w:divBdr>
                    <w:top w:val="none" w:sz="0" w:space="0" w:color="auto"/>
                    <w:left w:val="none" w:sz="0" w:space="0" w:color="auto"/>
                    <w:bottom w:val="none" w:sz="0" w:space="0" w:color="auto"/>
                    <w:right w:val="none" w:sz="0" w:space="0" w:color="auto"/>
                  </w:divBdr>
                  <w:divsChild>
                    <w:div w:id="1290356707">
                      <w:marLeft w:val="0"/>
                      <w:marRight w:val="0"/>
                      <w:marTop w:val="0"/>
                      <w:marBottom w:val="0"/>
                      <w:divBdr>
                        <w:top w:val="none" w:sz="0" w:space="0" w:color="auto"/>
                        <w:left w:val="none" w:sz="0" w:space="0" w:color="auto"/>
                        <w:bottom w:val="none" w:sz="0" w:space="0" w:color="auto"/>
                        <w:right w:val="none" w:sz="0" w:space="0" w:color="auto"/>
                      </w:divBdr>
                    </w:div>
                  </w:divsChild>
                </w:div>
                <w:div w:id="1658462243">
                  <w:marLeft w:val="0"/>
                  <w:marRight w:val="0"/>
                  <w:marTop w:val="0"/>
                  <w:marBottom w:val="0"/>
                  <w:divBdr>
                    <w:top w:val="none" w:sz="0" w:space="0" w:color="auto"/>
                    <w:left w:val="none" w:sz="0" w:space="0" w:color="auto"/>
                    <w:bottom w:val="none" w:sz="0" w:space="0" w:color="auto"/>
                    <w:right w:val="none" w:sz="0" w:space="0" w:color="auto"/>
                  </w:divBdr>
                  <w:divsChild>
                    <w:div w:id="775059714">
                      <w:marLeft w:val="0"/>
                      <w:marRight w:val="0"/>
                      <w:marTop w:val="0"/>
                      <w:marBottom w:val="0"/>
                      <w:divBdr>
                        <w:top w:val="none" w:sz="0" w:space="0" w:color="auto"/>
                        <w:left w:val="none" w:sz="0" w:space="0" w:color="auto"/>
                        <w:bottom w:val="none" w:sz="0" w:space="0" w:color="auto"/>
                        <w:right w:val="none" w:sz="0" w:space="0" w:color="auto"/>
                      </w:divBdr>
                    </w:div>
                  </w:divsChild>
                </w:div>
                <w:div w:id="1662810162">
                  <w:marLeft w:val="0"/>
                  <w:marRight w:val="0"/>
                  <w:marTop w:val="0"/>
                  <w:marBottom w:val="0"/>
                  <w:divBdr>
                    <w:top w:val="none" w:sz="0" w:space="0" w:color="auto"/>
                    <w:left w:val="none" w:sz="0" w:space="0" w:color="auto"/>
                    <w:bottom w:val="none" w:sz="0" w:space="0" w:color="auto"/>
                    <w:right w:val="none" w:sz="0" w:space="0" w:color="auto"/>
                  </w:divBdr>
                  <w:divsChild>
                    <w:div w:id="1015688968">
                      <w:marLeft w:val="0"/>
                      <w:marRight w:val="0"/>
                      <w:marTop w:val="0"/>
                      <w:marBottom w:val="0"/>
                      <w:divBdr>
                        <w:top w:val="none" w:sz="0" w:space="0" w:color="auto"/>
                        <w:left w:val="none" w:sz="0" w:space="0" w:color="auto"/>
                        <w:bottom w:val="none" w:sz="0" w:space="0" w:color="auto"/>
                        <w:right w:val="none" w:sz="0" w:space="0" w:color="auto"/>
                      </w:divBdr>
                    </w:div>
                  </w:divsChild>
                </w:div>
                <w:div w:id="1670479297">
                  <w:marLeft w:val="0"/>
                  <w:marRight w:val="0"/>
                  <w:marTop w:val="0"/>
                  <w:marBottom w:val="0"/>
                  <w:divBdr>
                    <w:top w:val="none" w:sz="0" w:space="0" w:color="auto"/>
                    <w:left w:val="none" w:sz="0" w:space="0" w:color="auto"/>
                    <w:bottom w:val="none" w:sz="0" w:space="0" w:color="auto"/>
                    <w:right w:val="none" w:sz="0" w:space="0" w:color="auto"/>
                  </w:divBdr>
                  <w:divsChild>
                    <w:div w:id="107551345">
                      <w:marLeft w:val="0"/>
                      <w:marRight w:val="0"/>
                      <w:marTop w:val="0"/>
                      <w:marBottom w:val="0"/>
                      <w:divBdr>
                        <w:top w:val="none" w:sz="0" w:space="0" w:color="auto"/>
                        <w:left w:val="none" w:sz="0" w:space="0" w:color="auto"/>
                        <w:bottom w:val="none" w:sz="0" w:space="0" w:color="auto"/>
                        <w:right w:val="none" w:sz="0" w:space="0" w:color="auto"/>
                      </w:divBdr>
                    </w:div>
                  </w:divsChild>
                </w:div>
                <w:div w:id="1679308616">
                  <w:marLeft w:val="0"/>
                  <w:marRight w:val="0"/>
                  <w:marTop w:val="0"/>
                  <w:marBottom w:val="0"/>
                  <w:divBdr>
                    <w:top w:val="none" w:sz="0" w:space="0" w:color="auto"/>
                    <w:left w:val="none" w:sz="0" w:space="0" w:color="auto"/>
                    <w:bottom w:val="none" w:sz="0" w:space="0" w:color="auto"/>
                    <w:right w:val="none" w:sz="0" w:space="0" w:color="auto"/>
                  </w:divBdr>
                  <w:divsChild>
                    <w:div w:id="1622958002">
                      <w:marLeft w:val="0"/>
                      <w:marRight w:val="0"/>
                      <w:marTop w:val="0"/>
                      <w:marBottom w:val="0"/>
                      <w:divBdr>
                        <w:top w:val="none" w:sz="0" w:space="0" w:color="auto"/>
                        <w:left w:val="none" w:sz="0" w:space="0" w:color="auto"/>
                        <w:bottom w:val="none" w:sz="0" w:space="0" w:color="auto"/>
                        <w:right w:val="none" w:sz="0" w:space="0" w:color="auto"/>
                      </w:divBdr>
                    </w:div>
                  </w:divsChild>
                </w:div>
                <w:div w:id="1694648634">
                  <w:marLeft w:val="0"/>
                  <w:marRight w:val="0"/>
                  <w:marTop w:val="0"/>
                  <w:marBottom w:val="0"/>
                  <w:divBdr>
                    <w:top w:val="none" w:sz="0" w:space="0" w:color="auto"/>
                    <w:left w:val="none" w:sz="0" w:space="0" w:color="auto"/>
                    <w:bottom w:val="none" w:sz="0" w:space="0" w:color="auto"/>
                    <w:right w:val="none" w:sz="0" w:space="0" w:color="auto"/>
                  </w:divBdr>
                  <w:divsChild>
                    <w:div w:id="891380832">
                      <w:marLeft w:val="0"/>
                      <w:marRight w:val="0"/>
                      <w:marTop w:val="0"/>
                      <w:marBottom w:val="0"/>
                      <w:divBdr>
                        <w:top w:val="none" w:sz="0" w:space="0" w:color="auto"/>
                        <w:left w:val="none" w:sz="0" w:space="0" w:color="auto"/>
                        <w:bottom w:val="none" w:sz="0" w:space="0" w:color="auto"/>
                        <w:right w:val="none" w:sz="0" w:space="0" w:color="auto"/>
                      </w:divBdr>
                    </w:div>
                  </w:divsChild>
                </w:div>
                <w:div w:id="1696688195">
                  <w:marLeft w:val="0"/>
                  <w:marRight w:val="0"/>
                  <w:marTop w:val="0"/>
                  <w:marBottom w:val="0"/>
                  <w:divBdr>
                    <w:top w:val="none" w:sz="0" w:space="0" w:color="auto"/>
                    <w:left w:val="none" w:sz="0" w:space="0" w:color="auto"/>
                    <w:bottom w:val="none" w:sz="0" w:space="0" w:color="auto"/>
                    <w:right w:val="none" w:sz="0" w:space="0" w:color="auto"/>
                  </w:divBdr>
                  <w:divsChild>
                    <w:div w:id="1604144346">
                      <w:marLeft w:val="0"/>
                      <w:marRight w:val="0"/>
                      <w:marTop w:val="0"/>
                      <w:marBottom w:val="0"/>
                      <w:divBdr>
                        <w:top w:val="none" w:sz="0" w:space="0" w:color="auto"/>
                        <w:left w:val="none" w:sz="0" w:space="0" w:color="auto"/>
                        <w:bottom w:val="none" w:sz="0" w:space="0" w:color="auto"/>
                        <w:right w:val="none" w:sz="0" w:space="0" w:color="auto"/>
                      </w:divBdr>
                    </w:div>
                  </w:divsChild>
                </w:div>
                <w:div w:id="1697122594">
                  <w:marLeft w:val="0"/>
                  <w:marRight w:val="0"/>
                  <w:marTop w:val="0"/>
                  <w:marBottom w:val="0"/>
                  <w:divBdr>
                    <w:top w:val="none" w:sz="0" w:space="0" w:color="auto"/>
                    <w:left w:val="none" w:sz="0" w:space="0" w:color="auto"/>
                    <w:bottom w:val="none" w:sz="0" w:space="0" w:color="auto"/>
                    <w:right w:val="none" w:sz="0" w:space="0" w:color="auto"/>
                  </w:divBdr>
                  <w:divsChild>
                    <w:div w:id="1456412409">
                      <w:marLeft w:val="0"/>
                      <w:marRight w:val="0"/>
                      <w:marTop w:val="0"/>
                      <w:marBottom w:val="0"/>
                      <w:divBdr>
                        <w:top w:val="none" w:sz="0" w:space="0" w:color="auto"/>
                        <w:left w:val="none" w:sz="0" w:space="0" w:color="auto"/>
                        <w:bottom w:val="none" w:sz="0" w:space="0" w:color="auto"/>
                        <w:right w:val="none" w:sz="0" w:space="0" w:color="auto"/>
                      </w:divBdr>
                    </w:div>
                  </w:divsChild>
                </w:div>
                <w:div w:id="1706444093">
                  <w:marLeft w:val="0"/>
                  <w:marRight w:val="0"/>
                  <w:marTop w:val="0"/>
                  <w:marBottom w:val="0"/>
                  <w:divBdr>
                    <w:top w:val="none" w:sz="0" w:space="0" w:color="auto"/>
                    <w:left w:val="none" w:sz="0" w:space="0" w:color="auto"/>
                    <w:bottom w:val="none" w:sz="0" w:space="0" w:color="auto"/>
                    <w:right w:val="none" w:sz="0" w:space="0" w:color="auto"/>
                  </w:divBdr>
                  <w:divsChild>
                    <w:div w:id="1948347609">
                      <w:marLeft w:val="0"/>
                      <w:marRight w:val="0"/>
                      <w:marTop w:val="0"/>
                      <w:marBottom w:val="0"/>
                      <w:divBdr>
                        <w:top w:val="none" w:sz="0" w:space="0" w:color="auto"/>
                        <w:left w:val="none" w:sz="0" w:space="0" w:color="auto"/>
                        <w:bottom w:val="none" w:sz="0" w:space="0" w:color="auto"/>
                        <w:right w:val="none" w:sz="0" w:space="0" w:color="auto"/>
                      </w:divBdr>
                    </w:div>
                  </w:divsChild>
                </w:div>
                <w:div w:id="1713069028">
                  <w:marLeft w:val="0"/>
                  <w:marRight w:val="0"/>
                  <w:marTop w:val="0"/>
                  <w:marBottom w:val="0"/>
                  <w:divBdr>
                    <w:top w:val="none" w:sz="0" w:space="0" w:color="auto"/>
                    <w:left w:val="none" w:sz="0" w:space="0" w:color="auto"/>
                    <w:bottom w:val="none" w:sz="0" w:space="0" w:color="auto"/>
                    <w:right w:val="none" w:sz="0" w:space="0" w:color="auto"/>
                  </w:divBdr>
                  <w:divsChild>
                    <w:div w:id="1518539156">
                      <w:marLeft w:val="0"/>
                      <w:marRight w:val="0"/>
                      <w:marTop w:val="0"/>
                      <w:marBottom w:val="0"/>
                      <w:divBdr>
                        <w:top w:val="none" w:sz="0" w:space="0" w:color="auto"/>
                        <w:left w:val="none" w:sz="0" w:space="0" w:color="auto"/>
                        <w:bottom w:val="none" w:sz="0" w:space="0" w:color="auto"/>
                        <w:right w:val="none" w:sz="0" w:space="0" w:color="auto"/>
                      </w:divBdr>
                    </w:div>
                  </w:divsChild>
                </w:div>
                <w:div w:id="1715883963">
                  <w:marLeft w:val="0"/>
                  <w:marRight w:val="0"/>
                  <w:marTop w:val="0"/>
                  <w:marBottom w:val="0"/>
                  <w:divBdr>
                    <w:top w:val="none" w:sz="0" w:space="0" w:color="auto"/>
                    <w:left w:val="none" w:sz="0" w:space="0" w:color="auto"/>
                    <w:bottom w:val="none" w:sz="0" w:space="0" w:color="auto"/>
                    <w:right w:val="none" w:sz="0" w:space="0" w:color="auto"/>
                  </w:divBdr>
                  <w:divsChild>
                    <w:div w:id="1306622867">
                      <w:marLeft w:val="0"/>
                      <w:marRight w:val="0"/>
                      <w:marTop w:val="0"/>
                      <w:marBottom w:val="0"/>
                      <w:divBdr>
                        <w:top w:val="none" w:sz="0" w:space="0" w:color="auto"/>
                        <w:left w:val="none" w:sz="0" w:space="0" w:color="auto"/>
                        <w:bottom w:val="none" w:sz="0" w:space="0" w:color="auto"/>
                        <w:right w:val="none" w:sz="0" w:space="0" w:color="auto"/>
                      </w:divBdr>
                    </w:div>
                  </w:divsChild>
                </w:div>
                <w:div w:id="1719084896">
                  <w:marLeft w:val="0"/>
                  <w:marRight w:val="0"/>
                  <w:marTop w:val="0"/>
                  <w:marBottom w:val="0"/>
                  <w:divBdr>
                    <w:top w:val="none" w:sz="0" w:space="0" w:color="auto"/>
                    <w:left w:val="none" w:sz="0" w:space="0" w:color="auto"/>
                    <w:bottom w:val="none" w:sz="0" w:space="0" w:color="auto"/>
                    <w:right w:val="none" w:sz="0" w:space="0" w:color="auto"/>
                  </w:divBdr>
                  <w:divsChild>
                    <w:div w:id="1311986283">
                      <w:marLeft w:val="0"/>
                      <w:marRight w:val="0"/>
                      <w:marTop w:val="0"/>
                      <w:marBottom w:val="0"/>
                      <w:divBdr>
                        <w:top w:val="none" w:sz="0" w:space="0" w:color="auto"/>
                        <w:left w:val="none" w:sz="0" w:space="0" w:color="auto"/>
                        <w:bottom w:val="none" w:sz="0" w:space="0" w:color="auto"/>
                        <w:right w:val="none" w:sz="0" w:space="0" w:color="auto"/>
                      </w:divBdr>
                    </w:div>
                  </w:divsChild>
                </w:div>
                <w:div w:id="1723140127">
                  <w:marLeft w:val="0"/>
                  <w:marRight w:val="0"/>
                  <w:marTop w:val="0"/>
                  <w:marBottom w:val="0"/>
                  <w:divBdr>
                    <w:top w:val="none" w:sz="0" w:space="0" w:color="auto"/>
                    <w:left w:val="none" w:sz="0" w:space="0" w:color="auto"/>
                    <w:bottom w:val="none" w:sz="0" w:space="0" w:color="auto"/>
                    <w:right w:val="none" w:sz="0" w:space="0" w:color="auto"/>
                  </w:divBdr>
                  <w:divsChild>
                    <w:div w:id="1883978215">
                      <w:marLeft w:val="0"/>
                      <w:marRight w:val="0"/>
                      <w:marTop w:val="0"/>
                      <w:marBottom w:val="0"/>
                      <w:divBdr>
                        <w:top w:val="none" w:sz="0" w:space="0" w:color="auto"/>
                        <w:left w:val="none" w:sz="0" w:space="0" w:color="auto"/>
                        <w:bottom w:val="none" w:sz="0" w:space="0" w:color="auto"/>
                        <w:right w:val="none" w:sz="0" w:space="0" w:color="auto"/>
                      </w:divBdr>
                    </w:div>
                  </w:divsChild>
                </w:div>
                <w:div w:id="1756825196">
                  <w:marLeft w:val="0"/>
                  <w:marRight w:val="0"/>
                  <w:marTop w:val="0"/>
                  <w:marBottom w:val="0"/>
                  <w:divBdr>
                    <w:top w:val="none" w:sz="0" w:space="0" w:color="auto"/>
                    <w:left w:val="none" w:sz="0" w:space="0" w:color="auto"/>
                    <w:bottom w:val="none" w:sz="0" w:space="0" w:color="auto"/>
                    <w:right w:val="none" w:sz="0" w:space="0" w:color="auto"/>
                  </w:divBdr>
                  <w:divsChild>
                    <w:div w:id="56055340">
                      <w:marLeft w:val="0"/>
                      <w:marRight w:val="0"/>
                      <w:marTop w:val="0"/>
                      <w:marBottom w:val="0"/>
                      <w:divBdr>
                        <w:top w:val="none" w:sz="0" w:space="0" w:color="auto"/>
                        <w:left w:val="none" w:sz="0" w:space="0" w:color="auto"/>
                        <w:bottom w:val="none" w:sz="0" w:space="0" w:color="auto"/>
                        <w:right w:val="none" w:sz="0" w:space="0" w:color="auto"/>
                      </w:divBdr>
                    </w:div>
                  </w:divsChild>
                </w:div>
                <w:div w:id="1769933791">
                  <w:marLeft w:val="0"/>
                  <w:marRight w:val="0"/>
                  <w:marTop w:val="0"/>
                  <w:marBottom w:val="0"/>
                  <w:divBdr>
                    <w:top w:val="none" w:sz="0" w:space="0" w:color="auto"/>
                    <w:left w:val="none" w:sz="0" w:space="0" w:color="auto"/>
                    <w:bottom w:val="none" w:sz="0" w:space="0" w:color="auto"/>
                    <w:right w:val="none" w:sz="0" w:space="0" w:color="auto"/>
                  </w:divBdr>
                  <w:divsChild>
                    <w:div w:id="646057267">
                      <w:marLeft w:val="0"/>
                      <w:marRight w:val="0"/>
                      <w:marTop w:val="0"/>
                      <w:marBottom w:val="0"/>
                      <w:divBdr>
                        <w:top w:val="none" w:sz="0" w:space="0" w:color="auto"/>
                        <w:left w:val="none" w:sz="0" w:space="0" w:color="auto"/>
                        <w:bottom w:val="none" w:sz="0" w:space="0" w:color="auto"/>
                        <w:right w:val="none" w:sz="0" w:space="0" w:color="auto"/>
                      </w:divBdr>
                    </w:div>
                  </w:divsChild>
                </w:div>
                <w:div w:id="1779177913">
                  <w:marLeft w:val="0"/>
                  <w:marRight w:val="0"/>
                  <w:marTop w:val="0"/>
                  <w:marBottom w:val="0"/>
                  <w:divBdr>
                    <w:top w:val="none" w:sz="0" w:space="0" w:color="auto"/>
                    <w:left w:val="none" w:sz="0" w:space="0" w:color="auto"/>
                    <w:bottom w:val="none" w:sz="0" w:space="0" w:color="auto"/>
                    <w:right w:val="none" w:sz="0" w:space="0" w:color="auto"/>
                  </w:divBdr>
                  <w:divsChild>
                    <w:div w:id="1182008073">
                      <w:marLeft w:val="0"/>
                      <w:marRight w:val="0"/>
                      <w:marTop w:val="0"/>
                      <w:marBottom w:val="0"/>
                      <w:divBdr>
                        <w:top w:val="none" w:sz="0" w:space="0" w:color="auto"/>
                        <w:left w:val="none" w:sz="0" w:space="0" w:color="auto"/>
                        <w:bottom w:val="none" w:sz="0" w:space="0" w:color="auto"/>
                        <w:right w:val="none" w:sz="0" w:space="0" w:color="auto"/>
                      </w:divBdr>
                    </w:div>
                  </w:divsChild>
                </w:div>
                <w:div w:id="1807550352">
                  <w:marLeft w:val="0"/>
                  <w:marRight w:val="0"/>
                  <w:marTop w:val="0"/>
                  <w:marBottom w:val="0"/>
                  <w:divBdr>
                    <w:top w:val="none" w:sz="0" w:space="0" w:color="auto"/>
                    <w:left w:val="none" w:sz="0" w:space="0" w:color="auto"/>
                    <w:bottom w:val="none" w:sz="0" w:space="0" w:color="auto"/>
                    <w:right w:val="none" w:sz="0" w:space="0" w:color="auto"/>
                  </w:divBdr>
                  <w:divsChild>
                    <w:div w:id="1318269384">
                      <w:marLeft w:val="0"/>
                      <w:marRight w:val="0"/>
                      <w:marTop w:val="0"/>
                      <w:marBottom w:val="0"/>
                      <w:divBdr>
                        <w:top w:val="none" w:sz="0" w:space="0" w:color="auto"/>
                        <w:left w:val="none" w:sz="0" w:space="0" w:color="auto"/>
                        <w:bottom w:val="none" w:sz="0" w:space="0" w:color="auto"/>
                        <w:right w:val="none" w:sz="0" w:space="0" w:color="auto"/>
                      </w:divBdr>
                    </w:div>
                  </w:divsChild>
                </w:div>
                <w:div w:id="1809323020">
                  <w:marLeft w:val="0"/>
                  <w:marRight w:val="0"/>
                  <w:marTop w:val="0"/>
                  <w:marBottom w:val="0"/>
                  <w:divBdr>
                    <w:top w:val="none" w:sz="0" w:space="0" w:color="auto"/>
                    <w:left w:val="none" w:sz="0" w:space="0" w:color="auto"/>
                    <w:bottom w:val="none" w:sz="0" w:space="0" w:color="auto"/>
                    <w:right w:val="none" w:sz="0" w:space="0" w:color="auto"/>
                  </w:divBdr>
                  <w:divsChild>
                    <w:div w:id="469517476">
                      <w:marLeft w:val="0"/>
                      <w:marRight w:val="0"/>
                      <w:marTop w:val="0"/>
                      <w:marBottom w:val="0"/>
                      <w:divBdr>
                        <w:top w:val="none" w:sz="0" w:space="0" w:color="auto"/>
                        <w:left w:val="none" w:sz="0" w:space="0" w:color="auto"/>
                        <w:bottom w:val="none" w:sz="0" w:space="0" w:color="auto"/>
                        <w:right w:val="none" w:sz="0" w:space="0" w:color="auto"/>
                      </w:divBdr>
                    </w:div>
                  </w:divsChild>
                </w:div>
                <w:div w:id="1812407977">
                  <w:marLeft w:val="0"/>
                  <w:marRight w:val="0"/>
                  <w:marTop w:val="0"/>
                  <w:marBottom w:val="0"/>
                  <w:divBdr>
                    <w:top w:val="none" w:sz="0" w:space="0" w:color="auto"/>
                    <w:left w:val="none" w:sz="0" w:space="0" w:color="auto"/>
                    <w:bottom w:val="none" w:sz="0" w:space="0" w:color="auto"/>
                    <w:right w:val="none" w:sz="0" w:space="0" w:color="auto"/>
                  </w:divBdr>
                  <w:divsChild>
                    <w:div w:id="245647781">
                      <w:marLeft w:val="0"/>
                      <w:marRight w:val="0"/>
                      <w:marTop w:val="0"/>
                      <w:marBottom w:val="0"/>
                      <w:divBdr>
                        <w:top w:val="none" w:sz="0" w:space="0" w:color="auto"/>
                        <w:left w:val="none" w:sz="0" w:space="0" w:color="auto"/>
                        <w:bottom w:val="none" w:sz="0" w:space="0" w:color="auto"/>
                        <w:right w:val="none" w:sz="0" w:space="0" w:color="auto"/>
                      </w:divBdr>
                    </w:div>
                  </w:divsChild>
                </w:div>
                <w:div w:id="1820657183">
                  <w:marLeft w:val="0"/>
                  <w:marRight w:val="0"/>
                  <w:marTop w:val="0"/>
                  <w:marBottom w:val="0"/>
                  <w:divBdr>
                    <w:top w:val="none" w:sz="0" w:space="0" w:color="auto"/>
                    <w:left w:val="none" w:sz="0" w:space="0" w:color="auto"/>
                    <w:bottom w:val="none" w:sz="0" w:space="0" w:color="auto"/>
                    <w:right w:val="none" w:sz="0" w:space="0" w:color="auto"/>
                  </w:divBdr>
                  <w:divsChild>
                    <w:div w:id="1957327683">
                      <w:marLeft w:val="0"/>
                      <w:marRight w:val="0"/>
                      <w:marTop w:val="0"/>
                      <w:marBottom w:val="0"/>
                      <w:divBdr>
                        <w:top w:val="none" w:sz="0" w:space="0" w:color="auto"/>
                        <w:left w:val="none" w:sz="0" w:space="0" w:color="auto"/>
                        <w:bottom w:val="none" w:sz="0" w:space="0" w:color="auto"/>
                        <w:right w:val="none" w:sz="0" w:space="0" w:color="auto"/>
                      </w:divBdr>
                    </w:div>
                  </w:divsChild>
                </w:div>
                <w:div w:id="1829902560">
                  <w:marLeft w:val="0"/>
                  <w:marRight w:val="0"/>
                  <w:marTop w:val="0"/>
                  <w:marBottom w:val="0"/>
                  <w:divBdr>
                    <w:top w:val="none" w:sz="0" w:space="0" w:color="auto"/>
                    <w:left w:val="none" w:sz="0" w:space="0" w:color="auto"/>
                    <w:bottom w:val="none" w:sz="0" w:space="0" w:color="auto"/>
                    <w:right w:val="none" w:sz="0" w:space="0" w:color="auto"/>
                  </w:divBdr>
                  <w:divsChild>
                    <w:div w:id="10836721">
                      <w:marLeft w:val="0"/>
                      <w:marRight w:val="0"/>
                      <w:marTop w:val="0"/>
                      <w:marBottom w:val="0"/>
                      <w:divBdr>
                        <w:top w:val="none" w:sz="0" w:space="0" w:color="auto"/>
                        <w:left w:val="none" w:sz="0" w:space="0" w:color="auto"/>
                        <w:bottom w:val="none" w:sz="0" w:space="0" w:color="auto"/>
                        <w:right w:val="none" w:sz="0" w:space="0" w:color="auto"/>
                      </w:divBdr>
                    </w:div>
                  </w:divsChild>
                </w:div>
                <w:div w:id="1842617179">
                  <w:marLeft w:val="0"/>
                  <w:marRight w:val="0"/>
                  <w:marTop w:val="0"/>
                  <w:marBottom w:val="0"/>
                  <w:divBdr>
                    <w:top w:val="none" w:sz="0" w:space="0" w:color="auto"/>
                    <w:left w:val="none" w:sz="0" w:space="0" w:color="auto"/>
                    <w:bottom w:val="none" w:sz="0" w:space="0" w:color="auto"/>
                    <w:right w:val="none" w:sz="0" w:space="0" w:color="auto"/>
                  </w:divBdr>
                  <w:divsChild>
                    <w:div w:id="1992518293">
                      <w:marLeft w:val="0"/>
                      <w:marRight w:val="0"/>
                      <w:marTop w:val="0"/>
                      <w:marBottom w:val="0"/>
                      <w:divBdr>
                        <w:top w:val="none" w:sz="0" w:space="0" w:color="auto"/>
                        <w:left w:val="none" w:sz="0" w:space="0" w:color="auto"/>
                        <w:bottom w:val="none" w:sz="0" w:space="0" w:color="auto"/>
                        <w:right w:val="none" w:sz="0" w:space="0" w:color="auto"/>
                      </w:divBdr>
                    </w:div>
                  </w:divsChild>
                </w:div>
                <w:div w:id="1851482299">
                  <w:marLeft w:val="0"/>
                  <w:marRight w:val="0"/>
                  <w:marTop w:val="0"/>
                  <w:marBottom w:val="0"/>
                  <w:divBdr>
                    <w:top w:val="none" w:sz="0" w:space="0" w:color="auto"/>
                    <w:left w:val="none" w:sz="0" w:space="0" w:color="auto"/>
                    <w:bottom w:val="none" w:sz="0" w:space="0" w:color="auto"/>
                    <w:right w:val="none" w:sz="0" w:space="0" w:color="auto"/>
                  </w:divBdr>
                  <w:divsChild>
                    <w:div w:id="761679130">
                      <w:marLeft w:val="0"/>
                      <w:marRight w:val="0"/>
                      <w:marTop w:val="0"/>
                      <w:marBottom w:val="0"/>
                      <w:divBdr>
                        <w:top w:val="none" w:sz="0" w:space="0" w:color="auto"/>
                        <w:left w:val="none" w:sz="0" w:space="0" w:color="auto"/>
                        <w:bottom w:val="none" w:sz="0" w:space="0" w:color="auto"/>
                        <w:right w:val="none" w:sz="0" w:space="0" w:color="auto"/>
                      </w:divBdr>
                    </w:div>
                  </w:divsChild>
                </w:div>
                <w:div w:id="1853717891">
                  <w:marLeft w:val="0"/>
                  <w:marRight w:val="0"/>
                  <w:marTop w:val="0"/>
                  <w:marBottom w:val="0"/>
                  <w:divBdr>
                    <w:top w:val="none" w:sz="0" w:space="0" w:color="auto"/>
                    <w:left w:val="none" w:sz="0" w:space="0" w:color="auto"/>
                    <w:bottom w:val="none" w:sz="0" w:space="0" w:color="auto"/>
                    <w:right w:val="none" w:sz="0" w:space="0" w:color="auto"/>
                  </w:divBdr>
                  <w:divsChild>
                    <w:div w:id="737361640">
                      <w:marLeft w:val="0"/>
                      <w:marRight w:val="0"/>
                      <w:marTop w:val="0"/>
                      <w:marBottom w:val="0"/>
                      <w:divBdr>
                        <w:top w:val="none" w:sz="0" w:space="0" w:color="auto"/>
                        <w:left w:val="none" w:sz="0" w:space="0" w:color="auto"/>
                        <w:bottom w:val="none" w:sz="0" w:space="0" w:color="auto"/>
                        <w:right w:val="none" w:sz="0" w:space="0" w:color="auto"/>
                      </w:divBdr>
                    </w:div>
                  </w:divsChild>
                </w:div>
                <w:div w:id="1864977932">
                  <w:marLeft w:val="0"/>
                  <w:marRight w:val="0"/>
                  <w:marTop w:val="0"/>
                  <w:marBottom w:val="0"/>
                  <w:divBdr>
                    <w:top w:val="none" w:sz="0" w:space="0" w:color="auto"/>
                    <w:left w:val="none" w:sz="0" w:space="0" w:color="auto"/>
                    <w:bottom w:val="none" w:sz="0" w:space="0" w:color="auto"/>
                    <w:right w:val="none" w:sz="0" w:space="0" w:color="auto"/>
                  </w:divBdr>
                  <w:divsChild>
                    <w:div w:id="2099205516">
                      <w:marLeft w:val="0"/>
                      <w:marRight w:val="0"/>
                      <w:marTop w:val="0"/>
                      <w:marBottom w:val="0"/>
                      <w:divBdr>
                        <w:top w:val="none" w:sz="0" w:space="0" w:color="auto"/>
                        <w:left w:val="none" w:sz="0" w:space="0" w:color="auto"/>
                        <w:bottom w:val="none" w:sz="0" w:space="0" w:color="auto"/>
                        <w:right w:val="none" w:sz="0" w:space="0" w:color="auto"/>
                      </w:divBdr>
                    </w:div>
                  </w:divsChild>
                </w:div>
                <w:div w:id="1871255523">
                  <w:marLeft w:val="0"/>
                  <w:marRight w:val="0"/>
                  <w:marTop w:val="0"/>
                  <w:marBottom w:val="0"/>
                  <w:divBdr>
                    <w:top w:val="none" w:sz="0" w:space="0" w:color="auto"/>
                    <w:left w:val="none" w:sz="0" w:space="0" w:color="auto"/>
                    <w:bottom w:val="none" w:sz="0" w:space="0" w:color="auto"/>
                    <w:right w:val="none" w:sz="0" w:space="0" w:color="auto"/>
                  </w:divBdr>
                  <w:divsChild>
                    <w:div w:id="814175588">
                      <w:marLeft w:val="0"/>
                      <w:marRight w:val="0"/>
                      <w:marTop w:val="0"/>
                      <w:marBottom w:val="0"/>
                      <w:divBdr>
                        <w:top w:val="none" w:sz="0" w:space="0" w:color="auto"/>
                        <w:left w:val="none" w:sz="0" w:space="0" w:color="auto"/>
                        <w:bottom w:val="none" w:sz="0" w:space="0" w:color="auto"/>
                        <w:right w:val="none" w:sz="0" w:space="0" w:color="auto"/>
                      </w:divBdr>
                    </w:div>
                  </w:divsChild>
                </w:div>
                <w:div w:id="1871527536">
                  <w:marLeft w:val="0"/>
                  <w:marRight w:val="0"/>
                  <w:marTop w:val="0"/>
                  <w:marBottom w:val="0"/>
                  <w:divBdr>
                    <w:top w:val="none" w:sz="0" w:space="0" w:color="auto"/>
                    <w:left w:val="none" w:sz="0" w:space="0" w:color="auto"/>
                    <w:bottom w:val="none" w:sz="0" w:space="0" w:color="auto"/>
                    <w:right w:val="none" w:sz="0" w:space="0" w:color="auto"/>
                  </w:divBdr>
                  <w:divsChild>
                    <w:div w:id="213195601">
                      <w:marLeft w:val="0"/>
                      <w:marRight w:val="0"/>
                      <w:marTop w:val="0"/>
                      <w:marBottom w:val="0"/>
                      <w:divBdr>
                        <w:top w:val="none" w:sz="0" w:space="0" w:color="auto"/>
                        <w:left w:val="none" w:sz="0" w:space="0" w:color="auto"/>
                        <w:bottom w:val="none" w:sz="0" w:space="0" w:color="auto"/>
                        <w:right w:val="none" w:sz="0" w:space="0" w:color="auto"/>
                      </w:divBdr>
                    </w:div>
                  </w:divsChild>
                </w:div>
                <w:div w:id="1873759780">
                  <w:marLeft w:val="0"/>
                  <w:marRight w:val="0"/>
                  <w:marTop w:val="0"/>
                  <w:marBottom w:val="0"/>
                  <w:divBdr>
                    <w:top w:val="none" w:sz="0" w:space="0" w:color="auto"/>
                    <w:left w:val="none" w:sz="0" w:space="0" w:color="auto"/>
                    <w:bottom w:val="none" w:sz="0" w:space="0" w:color="auto"/>
                    <w:right w:val="none" w:sz="0" w:space="0" w:color="auto"/>
                  </w:divBdr>
                  <w:divsChild>
                    <w:div w:id="1558397149">
                      <w:marLeft w:val="0"/>
                      <w:marRight w:val="0"/>
                      <w:marTop w:val="0"/>
                      <w:marBottom w:val="0"/>
                      <w:divBdr>
                        <w:top w:val="none" w:sz="0" w:space="0" w:color="auto"/>
                        <w:left w:val="none" w:sz="0" w:space="0" w:color="auto"/>
                        <w:bottom w:val="none" w:sz="0" w:space="0" w:color="auto"/>
                        <w:right w:val="none" w:sz="0" w:space="0" w:color="auto"/>
                      </w:divBdr>
                    </w:div>
                  </w:divsChild>
                </w:div>
                <w:div w:id="1876698555">
                  <w:marLeft w:val="0"/>
                  <w:marRight w:val="0"/>
                  <w:marTop w:val="0"/>
                  <w:marBottom w:val="0"/>
                  <w:divBdr>
                    <w:top w:val="none" w:sz="0" w:space="0" w:color="auto"/>
                    <w:left w:val="none" w:sz="0" w:space="0" w:color="auto"/>
                    <w:bottom w:val="none" w:sz="0" w:space="0" w:color="auto"/>
                    <w:right w:val="none" w:sz="0" w:space="0" w:color="auto"/>
                  </w:divBdr>
                  <w:divsChild>
                    <w:div w:id="1325550216">
                      <w:marLeft w:val="0"/>
                      <w:marRight w:val="0"/>
                      <w:marTop w:val="0"/>
                      <w:marBottom w:val="0"/>
                      <w:divBdr>
                        <w:top w:val="none" w:sz="0" w:space="0" w:color="auto"/>
                        <w:left w:val="none" w:sz="0" w:space="0" w:color="auto"/>
                        <w:bottom w:val="none" w:sz="0" w:space="0" w:color="auto"/>
                        <w:right w:val="none" w:sz="0" w:space="0" w:color="auto"/>
                      </w:divBdr>
                    </w:div>
                  </w:divsChild>
                </w:div>
                <w:div w:id="1878157000">
                  <w:marLeft w:val="0"/>
                  <w:marRight w:val="0"/>
                  <w:marTop w:val="0"/>
                  <w:marBottom w:val="0"/>
                  <w:divBdr>
                    <w:top w:val="none" w:sz="0" w:space="0" w:color="auto"/>
                    <w:left w:val="none" w:sz="0" w:space="0" w:color="auto"/>
                    <w:bottom w:val="none" w:sz="0" w:space="0" w:color="auto"/>
                    <w:right w:val="none" w:sz="0" w:space="0" w:color="auto"/>
                  </w:divBdr>
                  <w:divsChild>
                    <w:div w:id="1627589208">
                      <w:marLeft w:val="0"/>
                      <w:marRight w:val="0"/>
                      <w:marTop w:val="0"/>
                      <w:marBottom w:val="0"/>
                      <w:divBdr>
                        <w:top w:val="none" w:sz="0" w:space="0" w:color="auto"/>
                        <w:left w:val="none" w:sz="0" w:space="0" w:color="auto"/>
                        <w:bottom w:val="none" w:sz="0" w:space="0" w:color="auto"/>
                        <w:right w:val="none" w:sz="0" w:space="0" w:color="auto"/>
                      </w:divBdr>
                    </w:div>
                  </w:divsChild>
                </w:div>
                <w:div w:id="1885216350">
                  <w:marLeft w:val="0"/>
                  <w:marRight w:val="0"/>
                  <w:marTop w:val="0"/>
                  <w:marBottom w:val="0"/>
                  <w:divBdr>
                    <w:top w:val="none" w:sz="0" w:space="0" w:color="auto"/>
                    <w:left w:val="none" w:sz="0" w:space="0" w:color="auto"/>
                    <w:bottom w:val="none" w:sz="0" w:space="0" w:color="auto"/>
                    <w:right w:val="none" w:sz="0" w:space="0" w:color="auto"/>
                  </w:divBdr>
                  <w:divsChild>
                    <w:div w:id="1497039221">
                      <w:marLeft w:val="0"/>
                      <w:marRight w:val="0"/>
                      <w:marTop w:val="0"/>
                      <w:marBottom w:val="0"/>
                      <w:divBdr>
                        <w:top w:val="none" w:sz="0" w:space="0" w:color="auto"/>
                        <w:left w:val="none" w:sz="0" w:space="0" w:color="auto"/>
                        <w:bottom w:val="none" w:sz="0" w:space="0" w:color="auto"/>
                        <w:right w:val="none" w:sz="0" w:space="0" w:color="auto"/>
                      </w:divBdr>
                    </w:div>
                  </w:divsChild>
                </w:div>
                <w:div w:id="1893081488">
                  <w:marLeft w:val="0"/>
                  <w:marRight w:val="0"/>
                  <w:marTop w:val="0"/>
                  <w:marBottom w:val="0"/>
                  <w:divBdr>
                    <w:top w:val="none" w:sz="0" w:space="0" w:color="auto"/>
                    <w:left w:val="none" w:sz="0" w:space="0" w:color="auto"/>
                    <w:bottom w:val="none" w:sz="0" w:space="0" w:color="auto"/>
                    <w:right w:val="none" w:sz="0" w:space="0" w:color="auto"/>
                  </w:divBdr>
                  <w:divsChild>
                    <w:div w:id="2111003334">
                      <w:marLeft w:val="0"/>
                      <w:marRight w:val="0"/>
                      <w:marTop w:val="0"/>
                      <w:marBottom w:val="0"/>
                      <w:divBdr>
                        <w:top w:val="none" w:sz="0" w:space="0" w:color="auto"/>
                        <w:left w:val="none" w:sz="0" w:space="0" w:color="auto"/>
                        <w:bottom w:val="none" w:sz="0" w:space="0" w:color="auto"/>
                        <w:right w:val="none" w:sz="0" w:space="0" w:color="auto"/>
                      </w:divBdr>
                    </w:div>
                  </w:divsChild>
                </w:div>
                <w:div w:id="1915971154">
                  <w:marLeft w:val="0"/>
                  <w:marRight w:val="0"/>
                  <w:marTop w:val="0"/>
                  <w:marBottom w:val="0"/>
                  <w:divBdr>
                    <w:top w:val="none" w:sz="0" w:space="0" w:color="auto"/>
                    <w:left w:val="none" w:sz="0" w:space="0" w:color="auto"/>
                    <w:bottom w:val="none" w:sz="0" w:space="0" w:color="auto"/>
                    <w:right w:val="none" w:sz="0" w:space="0" w:color="auto"/>
                  </w:divBdr>
                  <w:divsChild>
                    <w:div w:id="1619724932">
                      <w:marLeft w:val="0"/>
                      <w:marRight w:val="0"/>
                      <w:marTop w:val="0"/>
                      <w:marBottom w:val="0"/>
                      <w:divBdr>
                        <w:top w:val="none" w:sz="0" w:space="0" w:color="auto"/>
                        <w:left w:val="none" w:sz="0" w:space="0" w:color="auto"/>
                        <w:bottom w:val="none" w:sz="0" w:space="0" w:color="auto"/>
                        <w:right w:val="none" w:sz="0" w:space="0" w:color="auto"/>
                      </w:divBdr>
                    </w:div>
                  </w:divsChild>
                </w:div>
                <w:div w:id="1932884239">
                  <w:marLeft w:val="0"/>
                  <w:marRight w:val="0"/>
                  <w:marTop w:val="0"/>
                  <w:marBottom w:val="0"/>
                  <w:divBdr>
                    <w:top w:val="none" w:sz="0" w:space="0" w:color="auto"/>
                    <w:left w:val="none" w:sz="0" w:space="0" w:color="auto"/>
                    <w:bottom w:val="none" w:sz="0" w:space="0" w:color="auto"/>
                    <w:right w:val="none" w:sz="0" w:space="0" w:color="auto"/>
                  </w:divBdr>
                  <w:divsChild>
                    <w:div w:id="1652907117">
                      <w:marLeft w:val="0"/>
                      <w:marRight w:val="0"/>
                      <w:marTop w:val="0"/>
                      <w:marBottom w:val="0"/>
                      <w:divBdr>
                        <w:top w:val="none" w:sz="0" w:space="0" w:color="auto"/>
                        <w:left w:val="none" w:sz="0" w:space="0" w:color="auto"/>
                        <w:bottom w:val="none" w:sz="0" w:space="0" w:color="auto"/>
                        <w:right w:val="none" w:sz="0" w:space="0" w:color="auto"/>
                      </w:divBdr>
                    </w:div>
                  </w:divsChild>
                </w:div>
                <w:div w:id="1946039209">
                  <w:marLeft w:val="0"/>
                  <w:marRight w:val="0"/>
                  <w:marTop w:val="0"/>
                  <w:marBottom w:val="0"/>
                  <w:divBdr>
                    <w:top w:val="none" w:sz="0" w:space="0" w:color="auto"/>
                    <w:left w:val="none" w:sz="0" w:space="0" w:color="auto"/>
                    <w:bottom w:val="none" w:sz="0" w:space="0" w:color="auto"/>
                    <w:right w:val="none" w:sz="0" w:space="0" w:color="auto"/>
                  </w:divBdr>
                  <w:divsChild>
                    <w:div w:id="1907298301">
                      <w:marLeft w:val="0"/>
                      <w:marRight w:val="0"/>
                      <w:marTop w:val="0"/>
                      <w:marBottom w:val="0"/>
                      <w:divBdr>
                        <w:top w:val="none" w:sz="0" w:space="0" w:color="auto"/>
                        <w:left w:val="none" w:sz="0" w:space="0" w:color="auto"/>
                        <w:bottom w:val="none" w:sz="0" w:space="0" w:color="auto"/>
                        <w:right w:val="none" w:sz="0" w:space="0" w:color="auto"/>
                      </w:divBdr>
                    </w:div>
                  </w:divsChild>
                </w:div>
                <w:div w:id="1954824936">
                  <w:marLeft w:val="0"/>
                  <w:marRight w:val="0"/>
                  <w:marTop w:val="0"/>
                  <w:marBottom w:val="0"/>
                  <w:divBdr>
                    <w:top w:val="none" w:sz="0" w:space="0" w:color="auto"/>
                    <w:left w:val="none" w:sz="0" w:space="0" w:color="auto"/>
                    <w:bottom w:val="none" w:sz="0" w:space="0" w:color="auto"/>
                    <w:right w:val="none" w:sz="0" w:space="0" w:color="auto"/>
                  </w:divBdr>
                  <w:divsChild>
                    <w:div w:id="1724520252">
                      <w:marLeft w:val="0"/>
                      <w:marRight w:val="0"/>
                      <w:marTop w:val="0"/>
                      <w:marBottom w:val="0"/>
                      <w:divBdr>
                        <w:top w:val="none" w:sz="0" w:space="0" w:color="auto"/>
                        <w:left w:val="none" w:sz="0" w:space="0" w:color="auto"/>
                        <w:bottom w:val="none" w:sz="0" w:space="0" w:color="auto"/>
                        <w:right w:val="none" w:sz="0" w:space="0" w:color="auto"/>
                      </w:divBdr>
                    </w:div>
                  </w:divsChild>
                </w:div>
                <w:div w:id="1957590344">
                  <w:marLeft w:val="0"/>
                  <w:marRight w:val="0"/>
                  <w:marTop w:val="0"/>
                  <w:marBottom w:val="0"/>
                  <w:divBdr>
                    <w:top w:val="none" w:sz="0" w:space="0" w:color="auto"/>
                    <w:left w:val="none" w:sz="0" w:space="0" w:color="auto"/>
                    <w:bottom w:val="none" w:sz="0" w:space="0" w:color="auto"/>
                    <w:right w:val="none" w:sz="0" w:space="0" w:color="auto"/>
                  </w:divBdr>
                  <w:divsChild>
                    <w:div w:id="1168861281">
                      <w:marLeft w:val="0"/>
                      <w:marRight w:val="0"/>
                      <w:marTop w:val="0"/>
                      <w:marBottom w:val="0"/>
                      <w:divBdr>
                        <w:top w:val="none" w:sz="0" w:space="0" w:color="auto"/>
                        <w:left w:val="none" w:sz="0" w:space="0" w:color="auto"/>
                        <w:bottom w:val="none" w:sz="0" w:space="0" w:color="auto"/>
                        <w:right w:val="none" w:sz="0" w:space="0" w:color="auto"/>
                      </w:divBdr>
                    </w:div>
                  </w:divsChild>
                </w:div>
                <w:div w:id="1996185361">
                  <w:marLeft w:val="0"/>
                  <w:marRight w:val="0"/>
                  <w:marTop w:val="0"/>
                  <w:marBottom w:val="0"/>
                  <w:divBdr>
                    <w:top w:val="none" w:sz="0" w:space="0" w:color="auto"/>
                    <w:left w:val="none" w:sz="0" w:space="0" w:color="auto"/>
                    <w:bottom w:val="none" w:sz="0" w:space="0" w:color="auto"/>
                    <w:right w:val="none" w:sz="0" w:space="0" w:color="auto"/>
                  </w:divBdr>
                  <w:divsChild>
                    <w:div w:id="505097933">
                      <w:marLeft w:val="0"/>
                      <w:marRight w:val="0"/>
                      <w:marTop w:val="0"/>
                      <w:marBottom w:val="0"/>
                      <w:divBdr>
                        <w:top w:val="none" w:sz="0" w:space="0" w:color="auto"/>
                        <w:left w:val="none" w:sz="0" w:space="0" w:color="auto"/>
                        <w:bottom w:val="none" w:sz="0" w:space="0" w:color="auto"/>
                        <w:right w:val="none" w:sz="0" w:space="0" w:color="auto"/>
                      </w:divBdr>
                    </w:div>
                  </w:divsChild>
                </w:div>
                <w:div w:id="2005350444">
                  <w:marLeft w:val="0"/>
                  <w:marRight w:val="0"/>
                  <w:marTop w:val="0"/>
                  <w:marBottom w:val="0"/>
                  <w:divBdr>
                    <w:top w:val="none" w:sz="0" w:space="0" w:color="auto"/>
                    <w:left w:val="none" w:sz="0" w:space="0" w:color="auto"/>
                    <w:bottom w:val="none" w:sz="0" w:space="0" w:color="auto"/>
                    <w:right w:val="none" w:sz="0" w:space="0" w:color="auto"/>
                  </w:divBdr>
                  <w:divsChild>
                    <w:div w:id="243030949">
                      <w:marLeft w:val="0"/>
                      <w:marRight w:val="0"/>
                      <w:marTop w:val="0"/>
                      <w:marBottom w:val="0"/>
                      <w:divBdr>
                        <w:top w:val="none" w:sz="0" w:space="0" w:color="auto"/>
                        <w:left w:val="none" w:sz="0" w:space="0" w:color="auto"/>
                        <w:bottom w:val="none" w:sz="0" w:space="0" w:color="auto"/>
                        <w:right w:val="none" w:sz="0" w:space="0" w:color="auto"/>
                      </w:divBdr>
                    </w:div>
                  </w:divsChild>
                </w:div>
                <w:div w:id="2008359204">
                  <w:marLeft w:val="0"/>
                  <w:marRight w:val="0"/>
                  <w:marTop w:val="0"/>
                  <w:marBottom w:val="0"/>
                  <w:divBdr>
                    <w:top w:val="none" w:sz="0" w:space="0" w:color="auto"/>
                    <w:left w:val="none" w:sz="0" w:space="0" w:color="auto"/>
                    <w:bottom w:val="none" w:sz="0" w:space="0" w:color="auto"/>
                    <w:right w:val="none" w:sz="0" w:space="0" w:color="auto"/>
                  </w:divBdr>
                  <w:divsChild>
                    <w:div w:id="1754549210">
                      <w:marLeft w:val="0"/>
                      <w:marRight w:val="0"/>
                      <w:marTop w:val="0"/>
                      <w:marBottom w:val="0"/>
                      <w:divBdr>
                        <w:top w:val="none" w:sz="0" w:space="0" w:color="auto"/>
                        <w:left w:val="none" w:sz="0" w:space="0" w:color="auto"/>
                        <w:bottom w:val="none" w:sz="0" w:space="0" w:color="auto"/>
                        <w:right w:val="none" w:sz="0" w:space="0" w:color="auto"/>
                      </w:divBdr>
                    </w:div>
                  </w:divsChild>
                </w:div>
                <w:div w:id="2032216453">
                  <w:marLeft w:val="0"/>
                  <w:marRight w:val="0"/>
                  <w:marTop w:val="0"/>
                  <w:marBottom w:val="0"/>
                  <w:divBdr>
                    <w:top w:val="none" w:sz="0" w:space="0" w:color="auto"/>
                    <w:left w:val="none" w:sz="0" w:space="0" w:color="auto"/>
                    <w:bottom w:val="none" w:sz="0" w:space="0" w:color="auto"/>
                    <w:right w:val="none" w:sz="0" w:space="0" w:color="auto"/>
                  </w:divBdr>
                  <w:divsChild>
                    <w:div w:id="1139878134">
                      <w:marLeft w:val="0"/>
                      <w:marRight w:val="0"/>
                      <w:marTop w:val="0"/>
                      <w:marBottom w:val="0"/>
                      <w:divBdr>
                        <w:top w:val="none" w:sz="0" w:space="0" w:color="auto"/>
                        <w:left w:val="none" w:sz="0" w:space="0" w:color="auto"/>
                        <w:bottom w:val="none" w:sz="0" w:space="0" w:color="auto"/>
                        <w:right w:val="none" w:sz="0" w:space="0" w:color="auto"/>
                      </w:divBdr>
                    </w:div>
                  </w:divsChild>
                </w:div>
                <w:div w:id="2035495273">
                  <w:marLeft w:val="0"/>
                  <w:marRight w:val="0"/>
                  <w:marTop w:val="0"/>
                  <w:marBottom w:val="0"/>
                  <w:divBdr>
                    <w:top w:val="none" w:sz="0" w:space="0" w:color="auto"/>
                    <w:left w:val="none" w:sz="0" w:space="0" w:color="auto"/>
                    <w:bottom w:val="none" w:sz="0" w:space="0" w:color="auto"/>
                    <w:right w:val="none" w:sz="0" w:space="0" w:color="auto"/>
                  </w:divBdr>
                  <w:divsChild>
                    <w:div w:id="2033409951">
                      <w:marLeft w:val="0"/>
                      <w:marRight w:val="0"/>
                      <w:marTop w:val="0"/>
                      <w:marBottom w:val="0"/>
                      <w:divBdr>
                        <w:top w:val="none" w:sz="0" w:space="0" w:color="auto"/>
                        <w:left w:val="none" w:sz="0" w:space="0" w:color="auto"/>
                        <w:bottom w:val="none" w:sz="0" w:space="0" w:color="auto"/>
                        <w:right w:val="none" w:sz="0" w:space="0" w:color="auto"/>
                      </w:divBdr>
                    </w:div>
                  </w:divsChild>
                </w:div>
                <w:div w:id="2044205278">
                  <w:marLeft w:val="0"/>
                  <w:marRight w:val="0"/>
                  <w:marTop w:val="0"/>
                  <w:marBottom w:val="0"/>
                  <w:divBdr>
                    <w:top w:val="none" w:sz="0" w:space="0" w:color="auto"/>
                    <w:left w:val="none" w:sz="0" w:space="0" w:color="auto"/>
                    <w:bottom w:val="none" w:sz="0" w:space="0" w:color="auto"/>
                    <w:right w:val="none" w:sz="0" w:space="0" w:color="auto"/>
                  </w:divBdr>
                  <w:divsChild>
                    <w:div w:id="1428768266">
                      <w:marLeft w:val="0"/>
                      <w:marRight w:val="0"/>
                      <w:marTop w:val="0"/>
                      <w:marBottom w:val="0"/>
                      <w:divBdr>
                        <w:top w:val="none" w:sz="0" w:space="0" w:color="auto"/>
                        <w:left w:val="none" w:sz="0" w:space="0" w:color="auto"/>
                        <w:bottom w:val="none" w:sz="0" w:space="0" w:color="auto"/>
                        <w:right w:val="none" w:sz="0" w:space="0" w:color="auto"/>
                      </w:divBdr>
                    </w:div>
                  </w:divsChild>
                </w:div>
                <w:div w:id="2058699489">
                  <w:marLeft w:val="0"/>
                  <w:marRight w:val="0"/>
                  <w:marTop w:val="0"/>
                  <w:marBottom w:val="0"/>
                  <w:divBdr>
                    <w:top w:val="none" w:sz="0" w:space="0" w:color="auto"/>
                    <w:left w:val="none" w:sz="0" w:space="0" w:color="auto"/>
                    <w:bottom w:val="none" w:sz="0" w:space="0" w:color="auto"/>
                    <w:right w:val="none" w:sz="0" w:space="0" w:color="auto"/>
                  </w:divBdr>
                  <w:divsChild>
                    <w:div w:id="23210751">
                      <w:marLeft w:val="0"/>
                      <w:marRight w:val="0"/>
                      <w:marTop w:val="0"/>
                      <w:marBottom w:val="0"/>
                      <w:divBdr>
                        <w:top w:val="none" w:sz="0" w:space="0" w:color="auto"/>
                        <w:left w:val="none" w:sz="0" w:space="0" w:color="auto"/>
                        <w:bottom w:val="none" w:sz="0" w:space="0" w:color="auto"/>
                        <w:right w:val="none" w:sz="0" w:space="0" w:color="auto"/>
                      </w:divBdr>
                    </w:div>
                  </w:divsChild>
                </w:div>
                <w:div w:id="2059819769">
                  <w:marLeft w:val="0"/>
                  <w:marRight w:val="0"/>
                  <w:marTop w:val="0"/>
                  <w:marBottom w:val="0"/>
                  <w:divBdr>
                    <w:top w:val="none" w:sz="0" w:space="0" w:color="auto"/>
                    <w:left w:val="none" w:sz="0" w:space="0" w:color="auto"/>
                    <w:bottom w:val="none" w:sz="0" w:space="0" w:color="auto"/>
                    <w:right w:val="none" w:sz="0" w:space="0" w:color="auto"/>
                  </w:divBdr>
                  <w:divsChild>
                    <w:div w:id="1088388034">
                      <w:marLeft w:val="0"/>
                      <w:marRight w:val="0"/>
                      <w:marTop w:val="0"/>
                      <w:marBottom w:val="0"/>
                      <w:divBdr>
                        <w:top w:val="none" w:sz="0" w:space="0" w:color="auto"/>
                        <w:left w:val="none" w:sz="0" w:space="0" w:color="auto"/>
                        <w:bottom w:val="none" w:sz="0" w:space="0" w:color="auto"/>
                        <w:right w:val="none" w:sz="0" w:space="0" w:color="auto"/>
                      </w:divBdr>
                    </w:div>
                  </w:divsChild>
                </w:div>
                <w:div w:id="2064284709">
                  <w:marLeft w:val="0"/>
                  <w:marRight w:val="0"/>
                  <w:marTop w:val="0"/>
                  <w:marBottom w:val="0"/>
                  <w:divBdr>
                    <w:top w:val="none" w:sz="0" w:space="0" w:color="auto"/>
                    <w:left w:val="none" w:sz="0" w:space="0" w:color="auto"/>
                    <w:bottom w:val="none" w:sz="0" w:space="0" w:color="auto"/>
                    <w:right w:val="none" w:sz="0" w:space="0" w:color="auto"/>
                  </w:divBdr>
                  <w:divsChild>
                    <w:div w:id="1046373213">
                      <w:marLeft w:val="0"/>
                      <w:marRight w:val="0"/>
                      <w:marTop w:val="0"/>
                      <w:marBottom w:val="0"/>
                      <w:divBdr>
                        <w:top w:val="none" w:sz="0" w:space="0" w:color="auto"/>
                        <w:left w:val="none" w:sz="0" w:space="0" w:color="auto"/>
                        <w:bottom w:val="none" w:sz="0" w:space="0" w:color="auto"/>
                        <w:right w:val="none" w:sz="0" w:space="0" w:color="auto"/>
                      </w:divBdr>
                    </w:div>
                  </w:divsChild>
                </w:div>
                <w:div w:id="2094010757">
                  <w:marLeft w:val="0"/>
                  <w:marRight w:val="0"/>
                  <w:marTop w:val="0"/>
                  <w:marBottom w:val="0"/>
                  <w:divBdr>
                    <w:top w:val="none" w:sz="0" w:space="0" w:color="auto"/>
                    <w:left w:val="none" w:sz="0" w:space="0" w:color="auto"/>
                    <w:bottom w:val="none" w:sz="0" w:space="0" w:color="auto"/>
                    <w:right w:val="none" w:sz="0" w:space="0" w:color="auto"/>
                  </w:divBdr>
                  <w:divsChild>
                    <w:div w:id="1808623593">
                      <w:marLeft w:val="0"/>
                      <w:marRight w:val="0"/>
                      <w:marTop w:val="0"/>
                      <w:marBottom w:val="0"/>
                      <w:divBdr>
                        <w:top w:val="none" w:sz="0" w:space="0" w:color="auto"/>
                        <w:left w:val="none" w:sz="0" w:space="0" w:color="auto"/>
                        <w:bottom w:val="none" w:sz="0" w:space="0" w:color="auto"/>
                        <w:right w:val="none" w:sz="0" w:space="0" w:color="auto"/>
                      </w:divBdr>
                    </w:div>
                  </w:divsChild>
                </w:div>
                <w:div w:id="2101874814">
                  <w:marLeft w:val="0"/>
                  <w:marRight w:val="0"/>
                  <w:marTop w:val="0"/>
                  <w:marBottom w:val="0"/>
                  <w:divBdr>
                    <w:top w:val="none" w:sz="0" w:space="0" w:color="auto"/>
                    <w:left w:val="none" w:sz="0" w:space="0" w:color="auto"/>
                    <w:bottom w:val="none" w:sz="0" w:space="0" w:color="auto"/>
                    <w:right w:val="none" w:sz="0" w:space="0" w:color="auto"/>
                  </w:divBdr>
                  <w:divsChild>
                    <w:div w:id="586353474">
                      <w:marLeft w:val="0"/>
                      <w:marRight w:val="0"/>
                      <w:marTop w:val="0"/>
                      <w:marBottom w:val="0"/>
                      <w:divBdr>
                        <w:top w:val="none" w:sz="0" w:space="0" w:color="auto"/>
                        <w:left w:val="none" w:sz="0" w:space="0" w:color="auto"/>
                        <w:bottom w:val="none" w:sz="0" w:space="0" w:color="auto"/>
                        <w:right w:val="none" w:sz="0" w:space="0" w:color="auto"/>
                      </w:divBdr>
                    </w:div>
                  </w:divsChild>
                </w:div>
                <w:div w:id="2107341077">
                  <w:marLeft w:val="0"/>
                  <w:marRight w:val="0"/>
                  <w:marTop w:val="0"/>
                  <w:marBottom w:val="0"/>
                  <w:divBdr>
                    <w:top w:val="none" w:sz="0" w:space="0" w:color="auto"/>
                    <w:left w:val="none" w:sz="0" w:space="0" w:color="auto"/>
                    <w:bottom w:val="none" w:sz="0" w:space="0" w:color="auto"/>
                    <w:right w:val="none" w:sz="0" w:space="0" w:color="auto"/>
                  </w:divBdr>
                  <w:divsChild>
                    <w:div w:id="2027318947">
                      <w:marLeft w:val="0"/>
                      <w:marRight w:val="0"/>
                      <w:marTop w:val="0"/>
                      <w:marBottom w:val="0"/>
                      <w:divBdr>
                        <w:top w:val="none" w:sz="0" w:space="0" w:color="auto"/>
                        <w:left w:val="none" w:sz="0" w:space="0" w:color="auto"/>
                        <w:bottom w:val="none" w:sz="0" w:space="0" w:color="auto"/>
                        <w:right w:val="none" w:sz="0" w:space="0" w:color="auto"/>
                      </w:divBdr>
                    </w:div>
                  </w:divsChild>
                </w:div>
                <w:div w:id="2116442950">
                  <w:marLeft w:val="0"/>
                  <w:marRight w:val="0"/>
                  <w:marTop w:val="0"/>
                  <w:marBottom w:val="0"/>
                  <w:divBdr>
                    <w:top w:val="none" w:sz="0" w:space="0" w:color="auto"/>
                    <w:left w:val="none" w:sz="0" w:space="0" w:color="auto"/>
                    <w:bottom w:val="none" w:sz="0" w:space="0" w:color="auto"/>
                    <w:right w:val="none" w:sz="0" w:space="0" w:color="auto"/>
                  </w:divBdr>
                  <w:divsChild>
                    <w:div w:id="981926005">
                      <w:marLeft w:val="0"/>
                      <w:marRight w:val="0"/>
                      <w:marTop w:val="0"/>
                      <w:marBottom w:val="0"/>
                      <w:divBdr>
                        <w:top w:val="none" w:sz="0" w:space="0" w:color="auto"/>
                        <w:left w:val="none" w:sz="0" w:space="0" w:color="auto"/>
                        <w:bottom w:val="none" w:sz="0" w:space="0" w:color="auto"/>
                        <w:right w:val="none" w:sz="0" w:space="0" w:color="auto"/>
                      </w:divBdr>
                    </w:div>
                  </w:divsChild>
                </w:div>
                <w:div w:id="2145730194">
                  <w:marLeft w:val="0"/>
                  <w:marRight w:val="0"/>
                  <w:marTop w:val="0"/>
                  <w:marBottom w:val="0"/>
                  <w:divBdr>
                    <w:top w:val="none" w:sz="0" w:space="0" w:color="auto"/>
                    <w:left w:val="none" w:sz="0" w:space="0" w:color="auto"/>
                    <w:bottom w:val="none" w:sz="0" w:space="0" w:color="auto"/>
                    <w:right w:val="none" w:sz="0" w:space="0" w:color="auto"/>
                  </w:divBdr>
                  <w:divsChild>
                    <w:div w:id="776172429">
                      <w:marLeft w:val="0"/>
                      <w:marRight w:val="0"/>
                      <w:marTop w:val="0"/>
                      <w:marBottom w:val="0"/>
                      <w:divBdr>
                        <w:top w:val="none" w:sz="0" w:space="0" w:color="auto"/>
                        <w:left w:val="none" w:sz="0" w:space="0" w:color="auto"/>
                        <w:bottom w:val="none" w:sz="0" w:space="0" w:color="auto"/>
                        <w:right w:val="none" w:sz="0" w:space="0" w:color="auto"/>
                      </w:divBdr>
                    </w:div>
                  </w:divsChild>
                </w:div>
                <w:div w:id="2145927450">
                  <w:marLeft w:val="0"/>
                  <w:marRight w:val="0"/>
                  <w:marTop w:val="0"/>
                  <w:marBottom w:val="0"/>
                  <w:divBdr>
                    <w:top w:val="none" w:sz="0" w:space="0" w:color="auto"/>
                    <w:left w:val="none" w:sz="0" w:space="0" w:color="auto"/>
                    <w:bottom w:val="none" w:sz="0" w:space="0" w:color="auto"/>
                    <w:right w:val="none" w:sz="0" w:space="0" w:color="auto"/>
                  </w:divBdr>
                  <w:divsChild>
                    <w:div w:id="18244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22598">
          <w:marLeft w:val="0"/>
          <w:marRight w:val="0"/>
          <w:marTop w:val="0"/>
          <w:marBottom w:val="0"/>
          <w:divBdr>
            <w:top w:val="none" w:sz="0" w:space="0" w:color="auto"/>
            <w:left w:val="none" w:sz="0" w:space="0" w:color="auto"/>
            <w:bottom w:val="none" w:sz="0" w:space="0" w:color="auto"/>
            <w:right w:val="none" w:sz="0" w:space="0" w:color="auto"/>
          </w:divBdr>
        </w:div>
        <w:div w:id="251939859">
          <w:marLeft w:val="0"/>
          <w:marRight w:val="0"/>
          <w:marTop w:val="0"/>
          <w:marBottom w:val="0"/>
          <w:divBdr>
            <w:top w:val="none" w:sz="0" w:space="0" w:color="auto"/>
            <w:left w:val="none" w:sz="0" w:space="0" w:color="auto"/>
            <w:bottom w:val="none" w:sz="0" w:space="0" w:color="auto"/>
            <w:right w:val="none" w:sz="0" w:space="0" w:color="auto"/>
          </w:divBdr>
        </w:div>
        <w:div w:id="257294885">
          <w:marLeft w:val="0"/>
          <w:marRight w:val="0"/>
          <w:marTop w:val="0"/>
          <w:marBottom w:val="0"/>
          <w:divBdr>
            <w:top w:val="none" w:sz="0" w:space="0" w:color="auto"/>
            <w:left w:val="none" w:sz="0" w:space="0" w:color="auto"/>
            <w:bottom w:val="none" w:sz="0" w:space="0" w:color="auto"/>
            <w:right w:val="none" w:sz="0" w:space="0" w:color="auto"/>
          </w:divBdr>
        </w:div>
        <w:div w:id="266893643">
          <w:marLeft w:val="0"/>
          <w:marRight w:val="0"/>
          <w:marTop w:val="0"/>
          <w:marBottom w:val="0"/>
          <w:divBdr>
            <w:top w:val="none" w:sz="0" w:space="0" w:color="auto"/>
            <w:left w:val="none" w:sz="0" w:space="0" w:color="auto"/>
            <w:bottom w:val="none" w:sz="0" w:space="0" w:color="auto"/>
            <w:right w:val="none" w:sz="0" w:space="0" w:color="auto"/>
          </w:divBdr>
          <w:divsChild>
            <w:div w:id="738602675">
              <w:marLeft w:val="-75"/>
              <w:marRight w:val="0"/>
              <w:marTop w:val="30"/>
              <w:marBottom w:val="30"/>
              <w:divBdr>
                <w:top w:val="none" w:sz="0" w:space="0" w:color="auto"/>
                <w:left w:val="none" w:sz="0" w:space="0" w:color="auto"/>
                <w:bottom w:val="none" w:sz="0" w:space="0" w:color="auto"/>
                <w:right w:val="none" w:sz="0" w:space="0" w:color="auto"/>
              </w:divBdr>
              <w:divsChild>
                <w:div w:id="40985119">
                  <w:marLeft w:val="0"/>
                  <w:marRight w:val="0"/>
                  <w:marTop w:val="0"/>
                  <w:marBottom w:val="0"/>
                  <w:divBdr>
                    <w:top w:val="none" w:sz="0" w:space="0" w:color="auto"/>
                    <w:left w:val="none" w:sz="0" w:space="0" w:color="auto"/>
                    <w:bottom w:val="none" w:sz="0" w:space="0" w:color="auto"/>
                    <w:right w:val="none" w:sz="0" w:space="0" w:color="auto"/>
                  </w:divBdr>
                  <w:divsChild>
                    <w:div w:id="1956474374">
                      <w:marLeft w:val="0"/>
                      <w:marRight w:val="0"/>
                      <w:marTop w:val="0"/>
                      <w:marBottom w:val="0"/>
                      <w:divBdr>
                        <w:top w:val="none" w:sz="0" w:space="0" w:color="auto"/>
                        <w:left w:val="none" w:sz="0" w:space="0" w:color="auto"/>
                        <w:bottom w:val="none" w:sz="0" w:space="0" w:color="auto"/>
                        <w:right w:val="none" w:sz="0" w:space="0" w:color="auto"/>
                      </w:divBdr>
                    </w:div>
                  </w:divsChild>
                </w:div>
                <w:div w:id="85734453">
                  <w:marLeft w:val="0"/>
                  <w:marRight w:val="0"/>
                  <w:marTop w:val="0"/>
                  <w:marBottom w:val="0"/>
                  <w:divBdr>
                    <w:top w:val="none" w:sz="0" w:space="0" w:color="auto"/>
                    <w:left w:val="none" w:sz="0" w:space="0" w:color="auto"/>
                    <w:bottom w:val="none" w:sz="0" w:space="0" w:color="auto"/>
                    <w:right w:val="none" w:sz="0" w:space="0" w:color="auto"/>
                  </w:divBdr>
                  <w:divsChild>
                    <w:div w:id="625284134">
                      <w:marLeft w:val="0"/>
                      <w:marRight w:val="0"/>
                      <w:marTop w:val="0"/>
                      <w:marBottom w:val="0"/>
                      <w:divBdr>
                        <w:top w:val="none" w:sz="0" w:space="0" w:color="auto"/>
                        <w:left w:val="none" w:sz="0" w:space="0" w:color="auto"/>
                        <w:bottom w:val="none" w:sz="0" w:space="0" w:color="auto"/>
                        <w:right w:val="none" w:sz="0" w:space="0" w:color="auto"/>
                      </w:divBdr>
                    </w:div>
                  </w:divsChild>
                </w:div>
                <w:div w:id="131604543">
                  <w:marLeft w:val="0"/>
                  <w:marRight w:val="0"/>
                  <w:marTop w:val="0"/>
                  <w:marBottom w:val="0"/>
                  <w:divBdr>
                    <w:top w:val="none" w:sz="0" w:space="0" w:color="auto"/>
                    <w:left w:val="none" w:sz="0" w:space="0" w:color="auto"/>
                    <w:bottom w:val="none" w:sz="0" w:space="0" w:color="auto"/>
                    <w:right w:val="none" w:sz="0" w:space="0" w:color="auto"/>
                  </w:divBdr>
                  <w:divsChild>
                    <w:div w:id="1954291004">
                      <w:marLeft w:val="0"/>
                      <w:marRight w:val="0"/>
                      <w:marTop w:val="0"/>
                      <w:marBottom w:val="0"/>
                      <w:divBdr>
                        <w:top w:val="none" w:sz="0" w:space="0" w:color="auto"/>
                        <w:left w:val="none" w:sz="0" w:space="0" w:color="auto"/>
                        <w:bottom w:val="none" w:sz="0" w:space="0" w:color="auto"/>
                        <w:right w:val="none" w:sz="0" w:space="0" w:color="auto"/>
                      </w:divBdr>
                    </w:div>
                  </w:divsChild>
                </w:div>
                <w:div w:id="140922791">
                  <w:marLeft w:val="0"/>
                  <w:marRight w:val="0"/>
                  <w:marTop w:val="0"/>
                  <w:marBottom w:val="0"/>
                  <w:divBdr>
                    <w:top w:val="none" w:sz="0" w:space="0" w:color="auto"/>
                    <w:left w:val="none" w:sz="0" w:space="0" w:color="auto"/>
                    <w:bottom w:val="none" w:sz="0" w:space="0" w:color="auto"/>
                    <w:right w:val="none" w:sz="0" w:space="0" w:color="auto"/>
                  </w:divBdr>
                  <w:divsChild>
                    <w:div w:id="152528520">
                      <w:marLeft w:val="0"/>
                      <w:marRight w:val="0"/>
                      <w:marTop w:val="0"/>
                      <w:marBottom w:val="0"/>
                      <w:divBdr>
                        <w:top w:val="none" w:sz="0" w:space="0" w:color="auto"/>
                        <w:left w:val="none" w:sz="0" w:space="0" w:color="auto"/>
                        <w:bottom w:val="none" w:sz="0" w:space="0" w:color="auto"/>
                        <w:right w:val="none" w:sz="0" w:space="0" w:color="auto"/>
                      </w:divBdr>
                    </w:div>
                  </w:divsChild>
                </w:div>
                <w:div w:id="170266071">
                  <w:marLeft w:val="0"/>
                  <w:marRight w:val="0"/>
                  <w:marTop w:val="0"/>
                  <w:marBottom w:val="0"/>
                  <w:divBdr>
                    <w:top w:val="none" w:sz="0" w:space="0" w:color="auto"/>
                    <w:left w:val="none" w:sz="0" w:space="0" w:color="auto"/>
                    <w:bottom w:val="none" w:sz="0" w:space="0" w:color="auto"/>
                    <w:right w:val="none" w:sz="0" w:space="0" w:color="auto"/>
                  </w:divBdr>
                  <w:divsChild>
                    <w:div w:id="305935771">
                      <w:marLeft w:val="0"/>
                      <w:marRight w:val="0"/>
                      <w:marTop w:val="0"/>
                      <w:marBottom w:val="0"/>
                      <w:divBdr>
                        <w:top w:val="none" w:sz="0" w:space="0" w:color="auto"/>
                        <w:left w:val="none" w:sz="0" w:space="0" w:color="auto"/>
                        <w:bottom w:val="none" w:sz="0" w:space="0" w:color="auto"/>
                        <w:right w:val="none" w:sz="0" w:space="0" w:color="auto"/>
                      </w:divBdr>
                    </w:div>
                  </w:divsChild>
                </w:div>
                <w:div w:id="337464063">
                  <w:marLeft w:val="0"/>
                  <w:marRight w:val="0"/>
                  <w:marTop w:val="0"/>
                  <w:marBottom w:val="0"/>
                  <w:divBdr>
                    <w:top w:val="none" w:sz="0" w:space="0" w:color="auto"/>
                    <w:left w:val="none" w:sz="0" w:space="0" w:color="auto"/>
                    <w:bottom w:val="none" w:sz="0" w:space="0" w:color="auto"/>
                    <w:right w:val="none" w:sz="0" w:space="0" w:color="auto"/>
                  </w:divBdr>
                  <w:divsChild>
                    <w:div w:id="2061393970">
                      <w:marLeft w:val="0"/>
                      <w:marRight w:val="0"/>
                      <w:marTop w:val="0"/>
                      <w:marBottom w:val="0"/>
                      <w:divBdr>
                        <w:top w:val="none" w:sz="0" w:space="0" w:color="auto"/>
                        <w:left w:val="none" w:sz="0" w:space="0" w:color="auto"/>
                        <w:bottom w:val="none" w:sz="0" w:space="0" w:color="auto"/>
                        <w:right w:val="none" w:sz="0" w:space="0" w:color="auto"/>
                      </w:divBdr>
                    </w:div>
                  </w:divsChild>
                </w:div>
                <w:div w:id="349650194">
                  <w:marLeft w:val="0"/>
                  <w:marRight w:val="0"/>
                  <w:marTop w:val="0"/>
                  <w:marBottom w:val="0"/>
                  <w:divBdr>
                    <w:top w:val="none" w:sz="0" w:space="0" w:color="auto"/>
                    <w:left w:val="none" w:sz="0" w:space="0" w:color="auto"/>
                    <w:bottom w:val="none" w:sz="0" w:space="0" w:color="auto"/>
                    <w:right w:val="none" w:sz="0" w:space="0" w:color="auto"/>
                  </w:divBdr>
                  <w:divsChild>
                    <w:div w:id="1776435258">
                      <w:marLeft w:val="0"/>
                      <w:marRight w:val="0"/>
                      <w:marTop w:val="0"/>
                      <w:marBottom w:val="0"/>
                      <w:divBdr>
                        <w:top w:val="none" w:sz="0" w:space="0" w:color="auto"/>
                        <w:left w:val="none" w:sz="0" w:space="0" w:color="auto"/>
                        <w:bottom w:val="none" w:sz="0" w:space="0" w:color="auto"/>
                        <w:right w:val="none" w:sz="0" w:space="0" w:color="auto"/>
                      </w:divBdr>
                    </w:div>
                  </w:divsChild>
                </w:div>
                <w:div w:id="393313905">
                  <w:marLeft w:val="0"/>
                  <w:marRight w:val="0"/>
                  <w:marTop w:val="0"/>
                  <w:marBottom w:val="0"/>
                  <w:divBdr>
                    <w:top w:val="none" w:sz="0" w:space="0" w:color="auto"/>
                    <w:left w:val="none" w:sz="0" w:space="0" w:color="auto"/>
                    <w:bottom w:val="none" w:sz="0" w:space="0" w:color="auto"/>
                    <w:right w:val="none" w:sz="0" w:space="0" w:color="auto"/>
                  </w:divBdr>
                  <w:divsChild>
                    <w:div w:id="1829443006">
                      <w:marLeft w:val="0"/>
                      <w:marRight w:val="0"/>
                      <w:marTop w:val="0"/>
                      <w:marBottom w:val="0"/>
                      <w:divBdr>
                        <w:top w:val="none" w:sz="0" w:space="0" w:color="auto"/>
                        <w:left w:val="none" w:sz="0" w:space="0" w:color="auto"/>
                        <w:bottom w:val="none" w:sz="0" w:space="0" w:color="auto"/>
                        <w:right w:val="none" w:sz="0" w:space="0" w:color="auto"/>
                      </w:divBdr>
                    </w:div>
                  </w:divsChild>
                </w:div>
                <w:div w:id="398864473">
                  <w:marLeft w:val="0"/>
                  <w:marRight w:val="0"/>
                  <w:marTop w:val="0"/>
                  <w:marBottom w:val="0"/>
                  <w:divBdr>
                    <w:top w:val="none" w:sz="0" w:space="0" w:color="auto"/>
                    <w:left w:val="none" w:sz="0" w:space="0" w:color="auto"/>
                    <w:bottom w:val="none" w:sz="0" w:space="0" w:color="auto"/>
                    <w:right w:val="none" w:sz="0" w:space="0" w:color="auto"/>
                  </w:divBdr>
                  <w:divsChild>
                    <w:div w:id="136069305">
                      <w:marLeft w:val="0"/>
                      <w:marRight w:val="0"/>
                      <w:marTop w:val="0"/>
                      <w:marBottom w:val="0"/>
                      <w:divBdr>
                        <w:top w:val="none" w:sz="0" w:space="0" w:color="auto"/>
                        <w:left w:val="none" w:sz="0" w:space="0" w:color="auto"/>
                        <w:bottom w:val="none" w:sz="0" w:space="0" w:color="auto"/>
                        <w:right w:val="none" w:sz="0" w:space="0" w:color="auto"/>
                      </w:divBdr>
                    </w:div>
                  </w:divsChild>
                </w:div>
                <w:div w:id="437606609">
                  <w:marLeft w:val="0"/>
                  <w:marRight w:val="0"/>
                  <w:marTop w:val="0"/>
                  <w:marBottom w:val="0"/>
                  <w:divBdr>
                    <w:top w:val="none" w:sz="0" w:space="0" w:color="auto"/>
                    <w:left w:val="none" w:sz="0" w:space="0" w:color="auto"/>
                    <w:bottom w:val="none" w:sz="0" w:space="0" w:color="auto"/>
                    <w:right w:val="none" w:sz="0" w:space="0" w:color="auto"/>
                  </w:divBdr>
                  <w:divsChild>
                    <w:div w:id="902645445">
                      <w:marLeft w:val="0"/>
                      <w:marRight w:val="0"/>
                      <w:marTop w:val="0"/>
                      <w:marBottom w:val="0"/>
                      <w:divBdr>
                        <w:top w:val="none" w:sz="0" w:space="0" w:color="auto"/>
                        <w:left w:val="none" w:sz="0" w:space="0" w:color="auto"/>
                        <w:bottom w:val="none" w:sz="0" w:space="0" w:color="auto"/>
                        <w:right w:val="none" w:sz="0" w:space="0" w:color="auto"/>
                      </w:divBdr>
                    </w:div>
                  </w:divsChild>
                </w:div>
                <w:div w:id="472406852">
                  <w:marLeft w:val="0"/>
                  <w:marRight w:val="0"/>
                  <w:marTop w:val="0"/>
                  <w:marBottom w:val="0"/>
                  <w:divBdr>
                    <w:top w:val="none" w:sz="0" w:space="0" w:color="auto"/>
                    <w:left w:val="none" w:sz="0" w:space="0" w:color="auto"/>
                    <w:bottom w:val="none" w:sz="0" w:space="0" w:color="auto"/>
                    <w:right w:val="none" w:sz="0" w:space="0" w:color="auto"/>
                  </w:divBdr>
                  <w:divsChild>
                    <w:div w:id="1669212534">
                      <w:marLeft w:val="0"/>
                      <w:marRight w:val="0"/>
                      <w:marTop w:val="0"/>
                      <w:marBottom w:val="0"/>
                      <w:divBdr>
                        <w:top w:val="none" w:sz="0" w:space="0" w:color="auto"/>
                        <w:left w:val="none" w:sz="0" w:space="0" w:color="auto"/>
                        <w:bottom w:val="none" w:sz="0" w:space="0" w:color="auto"/>
                        <w:right w:val="none" w:sz="0" w:space="0" w:color="auto"/>
                      </w:divBdr>
                    </w:div>
                  </w:divsChild>
                </w:div>
                <w:div w:id="531070380">
                  <w:marLeft w:val="0"/>
                  <w:marRight w:val="0"/>
                  <w:marTop w:val="0"/>
                  <w:marBottom w:val="0"/>
                  <w:divBdr>
                    <w:top w:val="none" w:sz="0" w:space="0" w:color="auto"/>
                    <w:left w:val="none" w:sz="0" w:space="0" w:color="auto"/>
                    <w:bottom w:val="none" w:sz="0" w:space="0" w:color="auto"/>
                    <w:right w:val="none" w:sz="0" w:space="0" w:color="auto"/>
                  </w:divBdr>
                  <w:divsChild>
                    <w:div w:id="847718153">
                      <w:marLeft w:val="0"/>
                      <w:marRight w:val="0"/>
                      <w:marTop w:val="0"/>
                      <w:marBottom w:val="0"/>
                      <w:divBdr>
                        <w:top w:val="none" w:sz="0" w:space="0" w:color="auto"/>
                        <w:left w:val="none" w:sz="0" w:space="0" w:color="auto"/>
                        <w:bottom w:val="none" w:sz="0" w:space="0" w:color="auto"/>
                        <w:right w:val="none" w:sz="0" w:space="0" w:color="auto"/>
                      </w:divBdr>
                    </w:div>
                  </w:divsChild>
                </w:div>
                <w:div w:id="534200362">
                  <w:marLeft w:val="0"/>
                  <w:marRight w:val="0"/>
                  <w:marTop w:val="0"/>
                  <w:marBottom w:val="0"/>
                  <w:divBdr>
                    <w:top w:val="none" w:sz="0" w:space="0" w:color="auto"/>
                    <w:left w:val="none" w:sz="0" w:space="0" w:color="auto"/>
                    <w:bottom w:val="none" w:sz="0" w:space="0" w:color="auto"/>
                    <w:right w:val="none" w:sz="0" w:space="0" w:color="auto"/>
                  </w:divBdr>
                  <w:divsChild>
                    <w:div w:id="2038500967">
                      <w:marLeft w:val="0"/>
                      <w:marRight w:val="0"/>
                      <w:marTop w:val="0"/>
                      <w:marBottom w:val="0"/>
                      <w:divBdr>
                        <w:top w:val="none" w:sz="0" w:space="0" w:color="auto"/>
                        <w:left w:val="none" w:sz="0" w:space="0" w:color="auto"/>
                        <w:bottom w:val="none" w:sz="0" w:space="0" w:color="auto"/>
                        <w:right w:val="none" w:sz="0" w:space="0" w:color="auto"/>
                      </w:divBdr>
                    </w:div>
                  </w:divsChild>
                </w:div>
                <w:div w:id="586961580">
                  <w:marLeft w:val="0"/>
                  <w:marRight w:val="0"/>
                  <w:marTop w:val="0"/>
                  <w:marBottom w:val="0"/>
                  <w:divBdr>
                    <w:top w:val="none" w:sz="0" w:space="0" w:color="auto"/>
                    <w:left w:val="none" w:sz="0" w:space="0" w:color="auto"/>
                    <w:bottom w:val="none" w:sz="0" w:space="0" w:color="auto"/>
                    <w:right w:val="none" w:sz="0" w:space="0" w:color="auto"/>
                  </w:divBdr>
                  <w:divsChild>
                    <w:div w:id="457996464">
                      <w:marLeft w:val="0"/>
                      <w:marRight w:val="0"/>
                      <w:marTop w:val="0"/>
                      <w:marBottom w:val="0"/>
                      <w:divBdr>
                        <w:top w:val="none" w:sz="0" w:space="0" w:color="auto"/>
                        <w:left w:val="none" w:sz="0" w:space="0" w:color="auto"/>
                        <w:bottom w:val="none" w:sz="0" w:space="0" w:color="auto"/>
                        <w:right w:val="none" w:sz="0" w:space="0" w:color="auto"/>
                      </w:divBdr>
                    </w:div>
                  </w:divsChild>
                </w:div>
                <w:div w:id="655426625">
                  <w:marLeft w:val="0"/>
                  <w:marRight w:val="0"/>
                  <w:marTop w:val="0"/>
                  <w:marBottom w:val="0"/>
                  <w:divBdr>
                    <w:top w:val="none" w:sz="0" w:space="0" w:color="auto"/>
                    <w:left w:val="none" w:sz="0" w:space="0" w:color="auto"/>
                    <w:bottom w:val="none" w:sz="0" w:space="0" w:color="auto"/>
                    <w:right w:val="none" w:sz="0" w:space="0" w:color="auto"/>
                  </w:divBdr>
                  <w:divsChild>
                    <w:div w:id="565917400">
                      <w:marLeft w:val="0"/>
                      <w:marRight w:val="0"/>
                      <w:marTop w:val="0"/>
                      <w:marBottom w:val="0"/>
                      <w:divBdr>
                        <w:top w:val="none" w:sz="0" w:space="0" w:color="auto"/>
                        <w:left w:val="none" w:sz="0" w:space="0" w:color="auto"/>
                        <w:bottom w:val="none" w:sz="0" w:space="0" w:color="auto"/>
                        <w:right w:val="none" w:sz="0" w:space="0" w:color="auto"/>
                      </w:divBdr>
                    </w:div>
                  </w:divsChild>
                </w:div>
                <w:div w:id="684786274">
                  <w:marLeft w:val="0"/>
                  <w:marRight w:val="0"/>
                  <w:marTop w:val="0"/>
                  <w:marBottom w:val="0"/>
                  <w:divBdr>
                    <w:top w:val="none" w:sz="0" w:space="0" w:color="auto"/>
                    <w:left w:val="none" w:sz="0" w:space="0" w:color="auto"/>
                    <w:bottom w:val="none" w:sz="0" w:space="0" w:color="auto"/>
                    <w:right w:val="none" w:sz="0" w:space="0" w:color="auto"/>
                  </w:divBdr>
                  <w:divsChild>
                    <w:div w:id="1462379890">
                      <w:marLeft w:val="0"/>
                      <w:marRight w:val="0"/>
                      <w:marTop w:val="0"/>
                      <w:marBottom w:val="0"/>
                      <w:divBdr>
                        <w:top w:val="none" w:sz="0" w:space="0" w:color="auto"/>
                        <w:left w:val="none" w:sz="0" w:space="0" w:color="auto"/>
                        <w:bottom w:val="none" w:sz="0" w:space="0" w:color="auto"/>
                        <w:right w:val="none" w:sz="0" w:space="0" w:color="auto"/>
                      </w:divBdr>
                    </w:div>
                  </w:divsChild>
                </w:div>
                <w:div w:id="695472534">
                  <w:marLeft w:val="0"/>
                  <w:marRight w:val="0"/>
                  <w:marTop w:val="0"/>
                  <w:marBottom w:val="0"/>
                  <w:divBdr>
                    <w:top w:val="none" w:sz="0" w:space="0" w:color="auto"/>
                    <w:left w:val="none" w:sz="0" w:space="0" w:color="auto"/>
                    <w:bottom w:val="none" w:sz="0" w:space="0" w:color="auto"/>
                    <w:right w:val="none" w:sz="0" w:space="0" w:color="auto"/>
                  </w:divBdr>
                  <w:divsChild>
                    <w:div w:id="1943300695">
                      <w:marLeft w:val="0"/>
                      <w:marRight w:val="0"/>
                      <w:marTop w:val="0"/>
                      <w:marBottom w:val="0"/>
                      <w:divBdr>
                        <w:top w:val="none" w:sz="0" w:space="0" w:color="auto"/>
                        <w:left w:val="none" w:sz="0" w:space="0" w:color="auto"/>
                        <w:bottom w:val="none" w:sz="0" w:space="0" w:color="auto"/>
                        <w:right w:val="none" w:sz="0" w:space="0" w:color="auto"/>
                      </w:divBdr>
                    </w:div>
                  </w:divsChild>
                </w:div>
                <w:div w:id="766193124">
                  <w:marLeft w:val="0"/>
                  <w:marRight w:val="0"/>
                  <w:marTop w:val="0"/>
                  <w:marBottom w:val="0"/>
                  <w:divBdr>
                    <w:top w:val="none" w:sz="0" w:space="0" w:color="auto"/>
                    <w:left w:val="none" w:sz="0" w:space="0" w:color="auto"/>
                    <w:bottom w:val="none" w:sz="0" w:space="0" w:color="auto"/>
                    <w:right w:val="none" w:sz="0" w:space="0" w:color="auto"/>
                  </w:divBdr>
                  <w:divsChild>
                    <w:div w:id="1846556563">
                      <w:marLeft w:val="0"/>
                      <w:marRight w:val="0"/>
                      <w:marTop w:val="0"/>
                      <w:marBottom w:val="0"/>
                      <w:divBdr>
                        <w:top w:val="none" w:sz="0" w:space="0" w:color="auto"/>
                        <w:left w:val="none" w:sz="0" w:space="0" w:color="auto"/>
                        <w:bottom w:val="none" w:sz="0" w:space="0" w:color="auto"/>
                        <w:right w:val="none" w:sz="0" w:space="0" w:color="auto"/>
                      </w:divBdr>
                    </w:div>
                  </w:divsChild>
                </w:div>
                <w:div w:id="784277587">
                  <w:marLeft w:val="0"/>
                  <w:marRight w:val="0"/>
                  <w:marTop w:val="0"/>
                  <w:marBottom w:val="0"/>
                  <w:divBdr>
                    <w:top w:val="none" w:sz="0" w:space="0" w:color="auto"/>
                    <w:left w:val="none" w:sz="0" w:space="0" w:color="auto"/>
                    <w:bottom w:val="none" w:sz="0" w:space="0" w:color="auto"/>
                    <w:right w:val="none" w:sz="0" w:space="0" w:color="auto"/>
                  </w:divBdr>
                  <w:divsChild>
                    <w:div w:id="1822575622">
                      <w:marLeft w:val="0"/>
                      <w:marRight w:val="0"/>
                      <w:marTop w:val="0"/>
                      <w:marBottom w:val="0"/>
                      <w:divBdr>
                        <w:top w:val="none" w:sz="0" w:space="0" w:color="auto"/>
                        <w:left w:val="none" w:sz="0" w:space="0" w:color="auto"/>
                        <w:bottom w:val="none" w:sz="0" w:space="0" w:color="auto"/>
                        <w:right w:val="none" w:sz="0" w:space="0" w:color="auto"/>
                      </w:divBdr>
                    </w:div>
                  </w:divsChild>
                </w:div>
                <w:div w:id="784471450">
                  <w:marLeft w:val="0"/>
                  <w:marRight w:val="0"/>
                  <w:marTop w:val="0"/>
                  <w:marBottom w:val="0"/>
                  <w:divBdr>
                    <w:top w:val="none" w:sz="0" w:space="0" w:color="auto"/>
                    <w:left w:val="none" w:sz="0" w:space="0" w:color="auto"/>
                    <w:bottom w:val="none" w:sz="0" w:space="0" w:color="auto"/>
                    <w:right w:val="none" w:sz="0" w:space="0" w:color="auto"/>
                  </w:divBdr>
                  <w:divsChild>
                    <w:div w:id="1501848788">
                      <w:marLeft w:val="0"/>
                      <w:marRight w:val="0"/>
                      <w:marTop w:val="0"/>
                      <w:marBottom w:val="0"/>
                      <w:divBdr>
                        <w:top w:val="none" w:sz="0" w:space="0" w:color="auto"/>
                        <w:left w:val="none" w:sz="0" w:space="0" w:color="auto"/>
                        <w:bottom w:val="none" w:sz="0" w:space="0" w:color="auto"/>
                        <w:right w:val="none" w:sz="0" w:space="0" w:color="auto"/>
                      </w:divBdr>
                    </w:div>
                  </w:divsChild>
                </w:div>
                <w:div w:id="846093471">
                  <w:marLeft w:val="0"/>
                  <w:marRight w:val="0"/>
                  <w:marTop w:val="0"/>
                  <w:marBottom w:val="0"/>
                  <w:divBdr>
                    <w:top w:val="none" w:sz="0" w:space="0" w:color="auto"/>
                    <w:left w:val="none" w:sz="0" w:space="0" w:color="auto"/>
                    <w:bottom w:val="none" w:sz="0" w:space="0" w:color="auto"/>
                    <w:right w:val="none" w:sz="0" w:space="0" w:color="auto"/>
                  </w:divBdr>
                  <w:divsChild>
                    <w:div w:id="1465273044">
                      <w:marLeft w:val="0"/>
                      <w:marRight w:val="0"/>
                      <w:marTop w:val="0"/>
                      <w:marBottom w:val="0"/>
                      <w:divBdr>
                        <w:top w:val="none" w:sz="0" w:space="0" w:color="auto"/>
                        <w:left w:val="none" w:sz="0" w:space="0" w:color="auto"/>
                        <w:bottom w:val="none" w:sz="0" w:space="0" w:color="auto"/>
                        <w:right w:val="none" w:sz="0" w:space="0" w:color="auto"/>
                      </w:divBdr>
                    </w:div>
                  </w:divsChild>
                </w:div>
                <w:div w:id="911936202">
                  <w:marLeft w:val="0"/>
                  <w:marRight w:val="0"/>
                  <w:marTop w:val="0"/>
                  <w:marBottom w:val="0"/>
                  <w:divBdr>
                    <w:top w:val="none" w:sz="0" w:space="0" w:color="auto"/>
                    <w:left w:val="none" w:sz="0" w:space="0" w:color="auto"/>
                    <w:bottom w:val="none" w:sz="0" w:space="0" w:color="auto"/>
                    <w:right w:val="none" w:sz="0" w:space="0" w:color="auto"/>
                  </w:divBdr>
                  <w:divsChild>
                    <w:div w:id="2080638437">
                      <w:marLeft w:val="0"/>
                      <w:marRight w:val="0"/>
                      <w:marTop w:val="0"/>
                      <w:marBottom w:val="0"/>
                      <w:divBdr>
                        <w:top w:val="none" w:sz="0" w:space="0" w:color="auto"/>
                        <w:left w:val="none" w:sz="0" w:space="0" w:color="auto"/>
                        <w:bottom w:val="none" w:sz="0" w:space="0" w:color="auto"/>
                        <w:right w:val="none" w:sz="0" w:space="0" w:color="auto"/>
                      </w:divBdr>
                    </w:div>
                  </w:divsChild>
                </w:div>
                <w:div w:id="934629164">
                  <w:marLeft w:val="0"/>
                  <w:marRight w:val="0"/>
                  <w:marTop w:val="0"/>
                  <w:marBottom w:val="0"/>
                  <w:divBdr>
                    <w:top w:val="none" w:sz="0" w:space="0" w:color="auto"/>
                    <w:left w:val="none" w:sz="0" w:space="0" w:color="auto"/>
                    <w:bottom w:val="none" w:sz="0" w:space="0" w:color="auto"/>
                    <w:right w:val="none" w:sz="0" w:space="0" w:color="auto"/>
                  </w:divBdr>
                  <w:divsChild>
                    <w:div w:id="1584029564">
                      <w:marLeft w:val="0"/>
                      <w:marRight w:val="0"/>
                      <w:marTop w:val="0"/>
                      <w:marBottom w:val="0"/>
                      <w:divBdr>
                        <w:top w:val="none" w:sz="0" w:space="0" w:color="auto"/>
                        <w:left w:val="none" w:sz="0" w:space="0" w:color="auto"/>
                        <w:bottom w:val="none" w:sz="0" w:space="0" w:color="auto"/>
                        <w:right w:val="none" w:sz="0" w:space="0" w:color="auto"/>
                      </w:divBdr>
                    </w:div>
                  </w:divsChild>
                </w:div>
                <w:div w:id="960304739">
                  <w:marLeft w:val="0"/>
                  <w:marRight w:val="0"/>
                  <w:marTop w:val="0"/>
                  <w:marBottom w:val="0"/>
                  <w:divBdr>
                    <w:top w:val="none" w:sz="0" w:space="0" w:color="auto"/>
                    <w:left w:val="none" w:sz="0" w:space="0" w:color="auto"/>
                    <w:bottom w:val="none" w:sz="0" w:space="0" w:color="auto"/>
                    <w:right w:val="none" w:sz="0" w:space="0" w:color="auto"/>
                  </w:divBdr>
                  <w:divsChild>
                    <w:div w:id="1399865266">
                      <w:marLeft w:val="0"/>
                      <w:marRight w:val="0"/>
                      <w:marTop w:val="0"/>
                      <w:marBottom w:val="0"/>
                      <w:divBdr>
                        <w:top w:val="none" w:sz="0" w:space="0" w:color="auto"/>
                        <w:left w:val="none" w:sz="0" w:space="0" w:color="auto"/>
                        <w:bottom w:val="none" w:sz="0" w:space="0" w:color="auto"/>
                        <w:right w:val="none" w:sz="0" w:space="0" w:color="auto"/>
                      </w:divBdr>
                    </w:div>
                  </w:divsChild>
                </w:div>
                <w:div w:id="961349147">
                  <w:marLeft w:val="0"/>
                  <w:marRight w:val="0"/>
                  <w:marTop w:val="0"/>
                  <w:marBottom w:val="0"/>
                  <w:divBdr>
                    <w:top w:val="none" w:sz="0" w:space="0" w:color="auto"/>
                    <w:left w:val="none" w:sz="0" w:space="0" w:color="auto"/>
                    <w:bottom w:val="none" w:sz="0" w:space="0" w:color="auto"/>
                    <w:right w:val="none" w:sz="0" w:space="0" w:color="auto"/>
                  </w:divBdr>
                  <w:divsChild>
                    <w:div w:id="2088764041">
                      <w:marLeft w:val="0"/>
                      <w:marRight w:val="0"/>
                      <w:marTop w:val="0"/>
                      <w:marBottom w:val="0"/>
                      <w:divBdr>
                        <w:top w:val="none" w:sz="0" w:space="0" w:color="auto"/>
                        <w:left w:val="none" w:sz="0" w:space="0" w:color="auto"/>
                        <w:bottom w:val="none" w:sz="0" w:space="0" w:color="auto"/>
                        <w:right w:val="none" w:sz="0" w:space="0" w:color="auto"/>
                      </w:divBdr>
                    </w:div>
                  </w:divsChild>
                </w:div>
                <w:div w:id="1132868973">
                  <w:marLeft w:val="0"/>
                  <w:marRight w:val="0"/>
                  <w:marTop w:val="0"/>
                  <w:marBottom w:val="0"/>
                  <w:divBdr>
                    <w:top w:val="none" w:sz="0" w:space="0" w:color="auto"/>
                    <w:left w:val="none" w:sz="0" w:space="0" w:color="auto"/>
                    <w:bottom w:val="none" w:sz="0" w:space="0" w:color="auto"/>
                    <w:right w:val="none" w:sz="0" w:space="0" w:color="auto"/>
                  </w:divBdr>
                  <w:divsChild>
                    <w:div w:id="742726519">
                      <w:marLeft w:val="0"/>
                      <w:marRight w:val="0"/>
                      <w:marTop w:val="0"/>
                      <w:marBottom w:val="0"/>
                      <w:divBdr>
                        <w:top w:val="none" w:sz="0" w:space="0" w:color="auto"/>
                        <w:left w:val="none" w:sz="0" w:space="0" w:color="auto"/>
                        <w:bottom w:val="none" w:sz="0" w:space="0" w:color="auto"/>
                        <w:right w:val="none" w:sz="0" w:space="0" w:color="auto"/>
                      </w:divBdr>
                    </w:div>
                  </w:divsChild>
                </w:div>
                <w:div w:id="1134712298">
                  <w:marLeft w:val="0"/>
                  <w:marRight w:val="0"/>
                  <w:marTop w:val="0"/>
                  <w:marBottom w:val="0"/>
                  <w:divBdr>
                    <w:top w:val="none" w:sz="0" w:space="0" w:color="auto"/>
                    <w:left w:val="none" w:sz="0" w:space="0" w:color="auto"/>
                    <w:bottom w:val="none" w:sz="0" w:space="0" w:color="auto"/>
                    <w:right w:val="none" w:sz="0" w:space="0" w:color="auto"/>
                  </w:divBdr>
                  <w:divsChild>
                    <w:div w:id="282466821">
                      <w:marLeft w:val="0"/>
                      <w:marRight w:val="0"/>
                      <w:marTop w:val="0"/>
                      <w:marBottom w:val="0"/>
                      <w:divBdr>
                        <w:top w:val="none" w:sz="0" w:space="0" w:color="auto"/>
                        <w:left w:val="none" w:sz="0" w:space="0" w:color="auto"/>
                        <w:bottom w:val="none" w:sz="0" w:space="0" w:color="auto"/>
                        <w:right w:val="none" w:sz="0" w:space="0" w:color="auto"/>
                      </w:divBdr>
                    </w:div>
                  </w:divsChild>
                </w:div>
                <w:div w:id="1149980744">
                  <w:marLeft w:val="0"/>
                  <w:marRight w:val="0"/>
                  <w:marTop w:val="0"/>
                  <w:marBottom w:val="0"/>
                  <w:divBdr>
                    <w:top w:val="none" w:sz="0" w:space="0" w:color="auto"/>
                    <w:left w:val="none" w:sz="0" w:space="0" w:color="auto"/>
                    <w:bottom w:val="none" w:sz="0" w:space="0" w:color="auto"/>
                    <w:right w:val="none" w:sz="0" w:space="0" w:color="auto"/>
                  </w:divBdr>
                  <w:divsChild>
                    <w:div w:id="2138797393">
                      <w:marLeft w:val="0"/>
                      <w:marRight w:val="0"/>
                      <w:marTop w:val="0"/>
                      <w:marBottom w:val="0"/>
                      <w:divBdr>
                        <w:top w:val="none" w:sz="0" w:space="0" w:color="auto"/>
                        <w:left w:val="none" w:sz="0" w:space="0" w:color="auto"/>
                        <w:bottom w:val="none" w:sz="0" w:space="0" w:color="auto"/>
                        <w:right w:val="none" w:sz="0" w:space="0" w:color="auto"/>
                      </w:divBdr>
                    </w:div>
                  </w:divsChild>
                </w:div>
                <w:div w:id="1281304594">
                  <w:marLeft w:val="0"/>
                  <w:marRight w:val="0"/>
                  <w:marTop w:val="0"/>
                  <w:marBottom w:val="0"/>
                  <w:divBdr>
                    <w:top w:val="none" w:sz="0" w:space="0" w:color="auto"/>
                    <w:left w:val="none" w:sz="0" w:space="0" w:color="auto"/>
                    <w:bottom w:val="none" w:sz="0" w:space="0" w:color="auto"/>
                    <w:right w:val="none" w:sz="0" w:space="0" w:color="auto"/>
                  </w:divBdr>
                  <w:divsChild>
                    <w:div w:id="229735648">
                      <w:marLeft w:val="0"/>
                      <w:marRight w:val="0"/>
                      <w:marTop w:val="0"/>
                      <w:marBottom w:val="0"/>
                      <w:divBdr>
                        <w:top w:val="none" w:sz="0" w:space="0" w:color="auto"/>
                        <w:left w:val="none" w:sz="0" w:space="0" w:color="auto"/>
                        <w:bottom w:val="none" w:sz="0" w:space="0" w:color="auto"/>
                        <w:right w:val="none" w:sz="0" w:space="0" w:color="auto"/>
                      </w:divBdr>
                    </w:div>
                  </w:divsChild>
                </w:div>
                <w:div w:id="1354963019">
                  <w:marLeft w:val="0"/>
                  <w:marRight w:val="0"/>
                  <w:marTop w:val="0"/>
                  <w:marBottom w:val="0"/>
                  <w:divBdr>
                    <w:top w:val="none" w:sz="0" w:space="0" w:color="auto"/>
                    <w:left w:val="none" w:sz="0" w:space="0" w:color="auto"/>
                    <w:bottom w:val="none" w:sz="0" w:space="0" w:color="auto"/>
                    <w:right w:val="none" w:sz="0" w:space="0" w:color="auto"/>
                  </w:divBdr>
                  <w:divsChild>
                    <w:div w:id="884364726">
                      <w:marLeft w:val="0"/>
                      <w:marRight w:val="0"/>
                      <w:marTop w:val="0"/>
                      <w:marBottom w:val="0"/>
                      <w:divBdr>
                        <w:top w:val="none" w:sz="0" w:space="0" w:color="auto"/>
                        <w:left w:val="none" w:sz="0" w:space="0" w:color="auto"/>
                        <w:bottom w:val="none" w:sz="0" w:space="0" w:color="auto"/>
                        <w:right w:val="none" w:sz="0" w:space="0" w:color="auto"/>
                      </w:divBdr>
                    </w:div>
                  </w:divsChild>
                </w:div>
                <w:div w:id="1355880533">
                  <w:marLeft w:val="0"/>
                  <w:marRight w:val="0"/>
                  <w:marTop w:val="0"/>
                  <w:marBottom w:val="0"/>
                  <w:divBdr>
                    <w:top w:val="none" w:sz="0" w:space="0" w:color="auto"/>
                    <w:left w:val="none" w:sz="0" w:space="0" w:color="auto"/>
                    <w:bottom w:val="none" w:sz="0" w:space="0" w:color="auto"/>
                    <w:right w:val="none" w:sz="0" w:space="0" w:color="auto"/>
                  </w:divBdr>
                  <w:divsChild>
                    <w:div w:id="885139104">
                      <w:marLeft w:val="0"/>
                      <w:marRight w:val="0"/>
                      <w:marTop w:val="0"/>
                      <w:marBottom w:val="0"/>
                      <w:divBdr>
                        <w:top w:val="none" w:sz="0" w:space="0" w:color="auto"/>
                        <w:left w:val="none" w:sz="0" w:space="0" w:color="auto"/>
                        <w:bottom w:val="none" w:sz="0" w:space="0" w:color="auto"/>
                        <w:right w:val="none" w:sz="0" w:space="0" w:color="auto"/>
                      </w:divBdr>
                    </w:div>
                  </w:divsChild>
                </w:div>
                <w:div w:id="1471285942">
                  <w:marLeft w:val="0"/>
                  <w:marRight w:val="0"/>
                  <w:marTop w:val="0"/>
                  <w:marBottom w:val="0"/>
                  <w:divBdr>
                    <w:top w:val="none" w:sz="0" w:space="0" w:color="auto"/>
                    <w:left w:val="none" w:sz="0" w:space="0" w:color="auto"/>
                    <w:bottom w:val="none" w:sz="0" w:space="0" w:color="auto"/>
                    <w:right w:val="none" w:sz="0" w:space="0" w:color="auto"/>
                  </w:divBdr>
                  <w:divsChild>
                    <w:div w:id="1277061650">
                      <w:marLeft w:val="0"/>
                      <w:marRight w:val="0"/>
                      <w:marTop w:val="0"/>
                      <w:marBottom w:val="0"/>
                      <w:divBdr>
                        <w:top w:val="none" w:sz="0" w:space="0" w:color="auto"/>
                        <w:left w:val="none" w:sz="0" w:space="0" w:color="auto"/>
                        <w:bottom w:val="none" w:sz="0" w:space="0" w:color="auto"/>
                        <w:right w:val="none" w:sz="0" w:space="0" w:color="auto"/>
                      </w:divBdr>
                    </w:div>
                  </w:divsChild>
                </w:div>
                <w:div w:id="1492016041">
                  <w:marLeft w:val="0"/>
                  <w:marRight w:val="0"/>
                  <w:marTop w:val="0"/>
                  <w:marBottom w:val="0"/>
                  <w:divBdr>
                    <w:top w:val="none" w:sz="0" w:space="0" w:color="auto"/>
                    <w:left w:val="none" w:sz="0" w:space="0" w:color="auto"/>
                    <w:bottom w:val="none" w:sz="0" w:space="0" w:color="auto"/>
                    <w:right w:val="none" w:sz="0" w:space="0" w:color="auto"/>
                  </w:divBdr>
                  <w:divsChild>
                    <w:div w:id="1773627762">
                      <w:marLeft w:val="0"/>
                      <w:marRight w:val="0"/>
                      <w:marTop w:val="0"/>
                      <w:marBottom w:val="0"/>
                      <w:divBdr>
                        <w:top w:val="none" w:sz="0" w:space="0" w:color="auto"/>
                        <w:left w:val="none" w:sz="0" w:space="0" w:color="auto"/>
                        <w:bottom w:val="none" w:sz="0" w:space="0" w:color="auto"/>
                        <w:right w:val="none" w:sz="0" w:space="0" w:color="auto"/>
                      </w:divBdr>
                    </w:div>
                  </w:divsChild>
                </w:div>
                <w:div w:id="1559899791">
                  <w:marLeft w:val="0"/>
                  <w:marRight w:val="0"/>
                  <w:marTop w:val="0"/>
                  <w:marBottom w:val="0"/>
                  <w:divBdr>
                    <w:top w:val="none" w:sz="0" w:space="0" w:color="auto"/>
                    <w:left w:val="none" w:sz="0" w:space="0" w:color="auto"/>
                    <w:bottom w:val="none" w:sz="0" w:space="0" w:color="auto"/>
                    <w:right w:val="none" w:sz="0" w:space="0" w:color="auto"/>
                  </w:divBdr>
                  <w:divsChild>
                    <w:div w:id="2099868379">
                      <w:marLeft w:val="0"/>
                      <w:marRight w:val="0"/>
                      <w:marTop w:val="0"/>
                      <w:marBottom w:val="0"/>
                      <w:divBdr>
                        <w:top w:val="none" w:sz="0" w:space="0" w:color="auto"/>
                        <w:left w:val="none" w:sz="0" w:space="0" w:color="auto"/>
                        <w:bottom w:val="none" w:sz="0" w:space="0" w:color="auto"/>
                        <w:right w:val="none" w:sz="0" w:space="0" w:color="auto"/>
                      </w:divBdr>
                    </w:div>
                  </w:divsChild>
                </w:div>
                <w:div w:id="1561676157">
                  <w:marLeft w:val="0"/>
                  <w:marRight w:val="0"/>
                  <w:marTop w:val="0"/>
                  <w:marBottom w:val="0"/>
                  <w:divBdr>
                    <w:top w:val="none" w:sz="0" w:space="0" w:color="auto"/>
                    <w:left w:val="none" w:sz="0" w:space="0" w:color="auto"/>
                    <w:bottom w:val="none" w:sz="0" w:space="0" w:color="auto"/>
                    <w:right w:val="none" w:sz="0" w:space="0" w:color="auto"/>
                  </w:divBdr>
                  <w:divsChild>
                    <w:div w:id="1121610725">
                      <w:marLeft w:val="0"/>
                      <w:marRight w:val="0"/>
                      <w:marTop w:val="0"/>
                      <w:marBottom w:val="0"/>
                      <w:divBdr>
                        <w:top w:val="none" w:sz="0" w:space="0" w:color="auto"/>
                        <w:left w:val="none" w:sz="0" w:space="0" w:color="auto"/>
                        <w:bottom w:val="none" w:sz="0" w:space="0" w:color="auto"/>
                        <w:right w:val="none" w:sz="0" w:space="0" w:color="auto"/>
                      </w:divBdr>
                    </w:div>
                  </w:divsChild>
                </w:div>
                <w:div w:id="1583416234">
                  <w:marLeft w:val="0"/>
                  <w:marRight w:val="0"/>
                  <w:marTop w:val="0"/>
                  <w:marBottom w:val="0"/>
                  <w:divBdr>
                    <w:top w:val="none" w:sz="0" w:space="0" w:color="auto"/>
                    <w:left w:val="none" w:sz="0" w:space="0" w:color="auto"/>
                    <w:bottom w:val="none" w:sz="0" w:space="0" w:color="auto"/>
                    <w:right w:val="none" w:sz="0" w:space="0" w:color="auto"/>
                  </w:divBdr>
                  <w:divsChild>
                    <w:div w:id="1253664958">
                      <w:marLeft w:val="0"/>
                      <w:marRight w:val="0"/>
                      <w:marTop w:val="0"/>
                      <w:marBottom w:val="0"/>
                      <w:divBdr>
                        <w:top w:val="none" w:sz="0" w:space="0" w:color="auto"/>
                        <w:left w:val="none" w:sz="0" w:space="0" w:color="auto"/>
                        <w:bottom w:val="none" w:sz="0" w:space="0" w:color="auto"/>
                        <w:right w:val="none" w:sz="0" w:space="0" w:color="auto"/>
                      </w:divBdr>
                    </w:div>
                  </w:divsChild>
                </w:div>
                <w:div w:id="1622767164">
                  <w:marLeft w:val="0"/>
                  <w:marRight w:val="0"/>
                  <w:marTop w:val="0"/>
                  <w:marBottom w:val="0"/>
                  <w:divBdr>
                    <w:top w:val="none" w:sz="0" w:space="0" w:color="auto"/>
                    <w:left w:val="none" w:sz="0" w:space="0" w:color="auto"/>
                    <w:bottom w:val="none" w:sz="0" w:space="0" w:color="auto"/>
                    <w:right w:val="none" w:sz="0" w:space="0" w:color="auto"/>
                  </w:divBdr>
                  <w:divsChild>
                    <w:div w:id="873155592">
                      <w:marLeft w:val="0"/>
                      <w:marRight w:val="0"/>
                      <w:marTop w:val="0"/>
                      <w:marBottom w:val="0"/>
                      <w:divBdr>
                        <w:top w:val="none" w:sz="0" w:space="0" w:color="auto"/>
                        <w:left w:val="none" w:sz="0" w:space="0" w:color="auto"/>
                        <w:bottom w:val="none" w:sz="0" w:space="0" w:color="auto"/>
                        <w:right w:val="none" w:sz="0" w:space="0" w:color="auto"/>
                      </w:divBdr>
                    </w:div>
                  </w:divsChild>
                </w:div>
                <w:div w:id="1623222389">
                  <w:marLeft w:val="0"/>
                  <w:marRight w:val="0"/>
                  <w:marTop w:val="0"/>
                  <w:marBottom w:val="0"/>
                  <w:divBdr>
                    <w:top w:val="none" w:sz="0" w:space="0" w:color="auto"/>
                    <w:left w:val="none" w:sz="0" w:space="0" w:color="auto"/>
                    <w:bottom w:val="none" w:sz="0" w:space="0" w:color="auto"/>
                    <w:right w:val="none" w:sz="0" w:space="0" w:color="auto"/>
                  </w:divBdr>
                  <w:divsChild>
                    <w:div w:id="2145611866">
                      <w:marLeft w:val="0"/>
                      <w:marRight w:val="0"/>
                      <w:marTop w:val="0"/>
                      <w:marBottom w:val="0"/>
                      <w:divBdr>
                        <w:top w:val="none" w:sz="0" w:space="0" w:color="auto"/>
                        <w:left w:val="none" w:sz="0" w:space="0" w:color="auto"/>
                        <w:bottom w:val="none" w:sz="0" w:space="0" w:color="auto"/>
                        <w:right w:val="none" w:sz="0" w:space="0" w:color="auto"/>
                      </w:divBdr>
                    </w:div>
                  </w:divsChild>
                </w:div>
                <w:div w:id="1712681979">
                  <w:marLeft w:val="0"/>
                  <w:marRight w:val="0"/>
                  <w:marTop w:val="0"/>
                  <w:marBottom w:val="0"/>
                  <w:divBdr>
                    <w:top w:val="none" w:sz="0" w:space="0" w:color="auto"/>
                    <w:left w:val="none" w:sz="0" w:space="0" w:color="auto"/>
                    <w:bottom w:val="none" w:sz="0" w:space="0" w:color="auto"/>
                    <w:right w:val="none" w:sz="0" w:space="0" w:color="auto"/>
                  </w:divBdr>
                  <w:divsChild>
                    <w:div w:id="1125613459">
                      <w:marLeft w:val="0"/>
                      <w:marRight w:val="0"/>
                      <w:marTop w:val="0"/>
                      <w:marBottom w:val="0"/>
                      <w:divBdr>
                        <w:top w:val="none" w:sz="0" w:space="0" w:color="auto"/>
                        <w:left w:val="none" w:sz="0" w:space="0" w:color="auto"/>
                        <w:bottom w:val="none" w:sz="0" w:space="0" w:color="auto"/>
                        <w:right w:val="none" w:sz="0" w:space="0" w:color="auto"/>
                      </w:divBdr>
                    </w:div>
                  </w:divsChild>
                </w:div>
                <w:div w:id="1793327538">
                  <w:marLeft w:val="0"/>
                  <w:marRight w:val="0"/>
                  <w:marTop w:val="0"/>
                  <w:marBottom w:val="0"/>
                  <w:divBdr>
                    <w:top w:val="none" w:sz="0" w:space="0" w:color="auto"/>
                    <w:left w:val="none" w:sz="0" w:space="0" w:color="auto"/>
                    <w:bottom w:val="none" w:sz="0" w:space="0" w:color="auto"/>
                    <w:right w:val="none" w:sz="0" w:space="0" w:color="auto"/>
                  </w:divBdr>
                  <w:divsChild>
                    <w:div w:id="1833182143">
                      <w:marLeft w:val="0"/>
                      <w:marRight w:val="0"/>
                      <w:marTop w:val="0"/>
                      <w:marBottom w:val="0"/>
                      <w:divBdr>
                        <w:top w:val="none" w:sz="0" w:space="0" w:color="auto"/>
                        <w:left w:val="none" w:sz="0" w:space="0" w:color="auto"/>
                        <w:bottom w:val="none" w:sz="0" w:space="0" w:color="auto"/>
                        <w:right w:val="none" w:sz="0" w:space="0" w:color="auto"/>
                      </w:divBdr>
                    </w:div>
                  </w:divsChild>
                </w:div>
                <w:div w:id="1849296190">
                  <w:marLeft w:val="0"/>
                  <w:marRight w:val="0"/>
                  <w:marTop w:val="0"/>
                  <w:marBottom w:val="0"/>
                  <w:divBdr>
                    <w:top w:val="none" w:sz="0" w:space="0" w:color="auto"/>
                    <w:left w:val="none" w:sz="0" w:space="0" w:color="auto"/>
                    <w:bottom w:val="none" w:sz="0" w:space="0" w:color="auto"/>
                    <w:right w:val="none" w:sz="0" w:space="0" w:color="auto"/>
                  </w:divBdr>
                  <w:divsChild>
                    <w:div w:id="391268803">
                      <w:marLeft w:val="0"/>
                      <w:marRight w:val="0"/>
                      <w:marTop w:val="0"/>
                      <w:marBottom w:val="0"/>
                      <w:divBdr>
                        <w:top w:val="none" w:sz="0" w:space="0" w:color="auto"/>
                        <w:left w:val="none" w:sz="0" w:space="0" w:color="auto"/>
                        <w:bottom w:val="none" w:sz="0" w:space="0" w:color="auto"/>
                        <w:right w:val="none" w:sz="0" w:space="0" w:color="auto"/>
                      </w:divBdr>
                    </w:div>
                  </w:divsChild>
                </w:div>
                <w:div w:id="1897617519">
                  <w:marLeft w:val="0"/>
                  <w:marRight w:val="0"/>
                  <w:marTop w:val="0"/>
                  <w:marBottom w:val="0"/>
                  <w:divBdr>
                    <w:top w:val="none" w:sz="0" w:space="0" w:color="auto"/>
                    <w:left w:val="none" w:sz="0" w:space="0" w:color="auto"/>
                    <w:bottom w:val="none" w:sz="0" w:space="0" w:color="auto"/>
                    <w:right w:val="none" w:sz="0" w:space="0" w:color="auto"/>
                  </w:divBdr>
                  <w:divsChild>
                    <w:div w:id="890194365">
                      <w:marLeft w:val="0"/>
                      <w:marRight w:val="0"/>
                      <w:marTop w:val="0"/>
                      <w:marBottom w:val="0"/>
                      <w:divBdr>
                        <w:top w:val="none" w:sz="0" w:space="0" w:color="auto"/>
                        <w:left w:val="none" w:sz="0" w:space="0" w:color="auto"/>
                        <w:bottom w:val="none" w:sz="0" w:space="0" w:color="auto"/>
                        <w:right w:val="none" w:sz="0" w:space="0" w:color="auto"/>
                      </w:divBdr>
                    </w:div>
                  </w:divsChild>
                </w:div>
                <w:div w:id="1933319224">
                  <w:marLeft w:val="0"/>
                  <w:marRight w:val="0"/>
                  <w:marTop w:val="0"/>
                  <w:marBottom w:val="0"/>
                  <w:divBdr>
                    <w:top w:val="none" w:sz="0" w:space="0" w:color="auto"/>
                    <w:left w:val="none" w:sz="0" w:space="0" w:color="auto"/>
                    <w:bottom w:val="none" w:sz="0" w:space="0" w:color="auto"/>
                    <w:right w:val="none" w:sz="0" w:space="0" w:color="auto"/>
                  </w:divBdr>
                  <w:divsChild>
                    <w:div w:id="1089277432">
                      <w:marLeft w:val="0"/>
                      <w:marRight w:val="0"/>
                      <w:marTop w:val="0"/>
                      <w:marBottom w:val="0"/>
                      <w:divBdr>
                        <w:top w:val="none" w:sz="0" w:space="0" w:color="auto"/>
                        <w:left w:val="none" w:sz="0" w:space="0" w:color="auto"/>
                        <w:bottom w:val="none" w:sz="0" w:space="0" w:color="auto"/>
                        <w:right w:val="none" w:sz="0" w:space="0" w:color="auto"/>
                      </w:divBdr>
                    </w:div>
                  </w:divsChild>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2141141733">
                      <w:marLeft w:val="0"/>
                      <w:marRight w:val="0"/>
                      <w:marTop w:val="0"/>
                      <w:marBottom w:val="0"/>
                      <w:divBdr>
                        <w:top w:val="none" w:sz="0" w:space="0" w:color="auto"/>
                        <w:left w:val="none" w:sz="0" w:space="0" w:color="auto"/>
                        <w:bottom w:val="none" w:sz="0" w:space="0" w:color="auto"/>
                        <w:right w:val="none" w:sz="0" w:space="0" w:color="auto"/>
                      </w:divBdr>
                    </w:div>
                  </w:divsChild>
                </w:div>
                <w:div w:id="2083603073">
                  <w:marLeft w:val="0"/>
                  <w:marRight w:val="0"/>
                  <w:marTop w:val="0"/>
                  <w:marBottom w:val="0"/>
                  <w:divBdr>
                    <w:top w:val="none" w:sz="0" w:space="0" w:color="auto"/>
                    <w:left w:val="none" w:sz="0" w:space="0" w:color="auto"/>
                    <w:bottom w:val="none" w:sz="0" w:space="0" w:color="auto"/>
                    <w:right w:val="none" w:sz="0" w:space="0" w:color="auto"/>
                  </w:divBdr>
                  <w:divsChild>
                    <w:div w:id="41891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831048">
          <w:marLeft w:val="0"/>
          <w:marRight w:val="0"/>
          <w:marTop w:val="0"/>
          <w:marBottom w:val="0"/>
          <w:divBdr>
            <w:top w:val="none" w:sz="0" w:space="0" w:color="auto"/>
            <w:left w:val="none" w:sz="0" w:space="0" w:color="auto"/>
            <w:bottom w:val="none" w:sz="0" w:space="0" w:color="auto"/>
            <w:right w:val="none" w:sz="0" w:space="0" w:color="auto"/>
          </w:divBdr>
        </w:div>
        <w:div w:id="287860172">
          <w:marLeft w:val="0"/>
          <w:marRight w:val="0"/>
          <w:marTop w:val="0"/>
          <w:marBottom w:val="0"/>
          <w:divBdr>
            <w:top w:val="none" w:sz="0" w:space="0" w:color="auto"/>
            <w:left w:val="none" w:sz="0" w:space="0" w:color="auto"/>
            <w:bottom w:val="none" w:sz="0" w:space="0" w:color="auto"/>
            <w:right w:val="none" w:sz="0" w:space="0" w:color="auto"/>
          </w:divBdr>
        </w:div>
        <w:div w:id="303896068">
          <w:marLeft w:val="0"/>
          <w:marRight w:val="0"/>
          <w:marTop w:val="0"/>
          <w:marBottom w:val="0"/>
          <w:divBdr>
            <w:top w:val="none" w:sz="0" w:space="0" w:color="auto"/>
            <w:left w:val="none" w:sz="0" w:space="0" w:color="auto"/>
            <w:bottom w:val="none" w:sz="0" w:space="0" w:color="auto"/>
            <w:right w:val="none" w:sz="0" w:space="0" w:color="auto"/>
          </w:divBdr>
        </w:div>
        <w:div w:id="312956012">
          <w:marLeft w:val="0"/>
          <w:marRight w:val="0"/>
          <w:marTop w:val="0"/>
          <w:marBottom w:val="0"/>
          <w:divBdr>
            <w:top w:val="none" w:sz="0" w:space="0" w:color="auto"/>
            <w:left w:val="none" w:sz="0" w:space="0" w:color="auto"/>
            <w:bottom w:val="none" w:sz="0" w:space="0" w:color="auto"/>
            <w:right w:val="none" w:sz="0" w:space="0" w:color="auto"/>
          </w:divBdr>
          <w:divsChild>
            <w:div w:id="126706852">
              <w:marLeft w:val="0"/>
              <w:marRight w:val="0"/>
              <w:marTop w:val="0"/>
              <w:marBottom w:val="0"/>
              <w:divBdr>
                <w:top w:val="none" w:sz="0" w:space="0" w:color="auto"/>
                <w:left w:val="none" w:sz="0" w:space="0" w:color="auto"/>
                <w:bottom w:val="none" w:sz="0" w:space="0" w:color="auto"/>
                <w:right w:val="none" w:sz="0" w:space="0" w:color="auto"/>
              </w:divBdr>
            </w:div>
            <w:div w:id="193664762">
              <w:marLeft w:val="0"/>
              <w:marRight w:val="0"/>
              <w:marTop w:val="0"/>
              <w:marBottom w:val="0"/>
              <w:divBdr>
                <w:top w:val="none" w:sz="0" w:space="0" w:color="auto"/>
                <w:left w:val="none" w:sz="0" w:space="0" w:color="auto"/>
                <w:bottom w:val="none" w:sz="0" w:space="0" w:color="auto"/>
                <w:right w:val="none" w:sz="0" w:space="0" w:color="auto"/>
              </w:divBdr>
            </w:div>
            <w:div w:id="290333322">
              <w:marLeft w:val="0"/>
              <w:marRight w:val="0"/>
              <w:marTop w:val="0"/>
              <w:marBottom w:val="0"/>
              <w:divBdr>
                <w:top w:val="none" w:sz="0" w:space="0" w:color="auto"/>
                <w:left w:val="none" w:sz="0" w:space="0" w:color="auto"/>
                <w:bottom w:val="none" w:sz="0" w:space="0" w:color="auto"/>
                <w:right w:val="none" w:sz="0" w:space="0" w:color="auto"/>
              </w:divBdr>
            </w:div>
            <w:div w:id="968896790">
              <w:marLeft w:val="0"/>
              <w:marRight w:val="0"/>
              <w:marTop w:val="0"/>
              <w:marBottom w:val="0"/>
              <w:divBdr>
                <w:top w:val="none" w:sz="0" w:space="0" w:color="auto"/>
                <w:left w:val="none" w:sz="0" w:space="0" w:color="auto"/>
                <w:bottom w:val="none" w:sz="0" w:space="0" w:color="auto"/>
                <w:right w:val="none" w:sz="0" w:space="0" w:color="auto"/>
              </w:divBdr>
            </w:div>
            <w:div w:id="1356032375">
              <w:marLeft w:val="0"/>
              <w:marRight w:val="0"/>
              <w:marTop w:val="0"/>
              <w:marBottom w:val="0"/>
              <w:divBdr>
                <w:top w:val="none" w:sz="0" w:space="0" w:color="auto"/>
                <w:left w:val="none" w:sz="0" w:space="0" w:color="auto"/>
                <w:bottom w:val="none" w:sz="0" w:space="0" w:color="auto"/>
                <w:right w:val="none" w:sz="0" w:space="0" w:color="auto"/>
              </w:divBdr>
            </w:div>
          </w:divsChild>
        </w:div>
        <w:div w:id="314840478">
          <w:marLeft w:val="0"/>
          <w:marRight w:val="0"/>
          <w:marTop w:val="0"/>
          <w:marBottom w:val="0"/>
          <w:divBdr>
            <w:top w:val="none" w:sz="0" w:space="0" w:color="auto"/>
            <w:left w:val="none" w:sz="0" w:space="0" w:color="auto"/>
            <w:bottom w:val="none" w:sz="0" w:space="0" w:color="auto"/>
            <w:right w:val="none" w:sz="0" w:space="0" w:color="auto"/>
          </w:divBdr>
          <w:divsChild>
            <w:div w:id="1942104141">
              <w:marLeft w:val="-75"/>
              <w:marRight w:val="0"/>
              <w:marTop w:val="30"/>
              <w:marBottom w:val="30"/>
              <w:divBdr>
                <w:top w:val="none" w:sz="0" w:space="0" w:color="auto"/>
                <w:left w:val="none" w:sz="0" w:space="0" w:color="auto"/>
                <w:bottom w:val="none" w:sz="0" w:space="0" w:color="auto"/>
                <w:right w:val="none" w:sz="0" w:space="0" w:color="auto"/>
              </w:divBdr>
              <w:divsChild>
                <w:div w:id="49623399">
                  <w:marLeft w:val="0"/>
                  <w:marRight w:val="0"/>
                  <w:marTop w:val="0"/>
                  <w:marBottom w:val="0"/>
                  <w:divBdr>
                    <w:top w:val="none" w:sz="0" w:space="0" w:color="auto"/>
                    <w:left w:val="none" w:sz="0" w:space="0" w:color="auto"/>
                    <w:bottom w:val="none" w:sz="0" w:space="0" w:color="auto"/>
                    <w:right w:val="none" w:sz="0" w:space="0" w:color="auto"/>
                  </w:divBdr>
                  <w:divsChild>
                    <w:div w:id="1642341152">
                      <w:marLeft w:val="0"/>
                      <w:marRight w:val="0"/>
                      <w:marTop w:val="0"/>
                      <w:marBottom w:val="0"/>
                      <w:divBdr>
                        <w:top w:val="none" w:sz="0" w:space="0" w:color="auto"/>
                        <w:left w:val="none" w:sz="0" w:space="0" w:color="auto"/>
                        <w:bottom w:val="none" w:sz="0" w:space="0" w:color="auto"/>
                        <w:right w:val="none" w:sz="0" w:space="0" w:color="auto"/>
                      </w:divBdr>
                    </w:div>
                  </w:divsChild>
                </w:div>
                <w:div w:id="84956146">
                  <w:marLeft w:val="0"/>
                  <w:marRight w:val="0"/>
                  <w:marTop w:val="0"/>
                  <w:marBottom w:val="0"/>
                  <w:divBdr>
                    <w:top w:val="none" w:sz="0" w:space="0" w:color="auto"/>
                    <w:left w:val="none" w:sz="0" w:space="0" w:color="auto"/>
                    <w:bottom w:val="none" w:sz="0" w:space="0" w:color="auto"/>
                    <w:right w:val="none" w:sz="0" w:space="0" w:color="auto"/>
                  </w:divBdr>
                  <w:divsChild>
                    <w:div w:id="2081437350">
                      <w:marLeft w:val="0"/>
                      <w:marRight w:val="0"/>
                      <w:marTop w:val="0"/>
                      <w:marBottom w:val="0"/>
                      <w:divBdr>
                        <w:top w:val="none" w:sz="0" w:space="0" w:color="auto"/>
                        <w:left w:val="none" w:sz="0" w:space="0" w:color="auto"/>
                        <w:bottom w:val="none" w:sz="0" w:space="0" w:color="auto"/>
                        <w:right w:val="none" w:sz="0" w:space="0" w:color="auto"/>
                      </w:divBdr>
                    </w:div>
                  </w:divsChild>
                </w:div>
                <w:div w:id="142242850">
                  <w:marLeft w:val="0"/>
                  <w:marRight w:val="0"/>
                  <w:marTop w:val="0"/>
                  <w:marBottom w:val="0"/>
                  <w:divBdr>
                    <w:top w:val="none" w:sz="0" w:space="0" w:color="auto"/>
                    <w:left w:val="none" w:sz="0" w:space="0" w:color="auto"/>
                    <w:bottom w:val="none" w:sz="0" w:space="0" w:color="auto"/>
                    <w:right w:val="none" w:sz="0" w:space="0" w:color="auto"/>
                  </w:divBdr>
                  <w:divsChild>
                    <w:div w:id="545915484">
                      <w:marLeft w:val="0"/>
                      <w:marRight w:val="0"/>
                      <w:marTop w:val="0"/>
                      <w:marBottom w:val="0"/>
                      <w:divBdr>
                        <w:top w:val="none" w:sz="0" w:space="0" w:color="auto"/>
                        <w:left w:val="none" w:sz="0" w:space="0" w:color="auto"/>
                        <w:bottom w:val="none" w:sz="0" w:space="0" w:color="auto"/>
                        <w:right w:val="none" w:sz="0" w:space="0" w:color="auto"/>
                      </w:divBdr>
                    </w:div>
                  </w:divsChild>
                </w:div>
                <w:div w:id="186215020">
                  <w:marLeft w:val="0"/>
                  <w:marRight w:val="0"/>
                  <w:marTop w:val="0"/>
                  <w:marBottom w:val="0"/>
                  <w:divBdr>
                    <w:top w:val="none" w:sz="0" w:space="0" w:color="auto"/>
                    <w:left w:val="none" w:sz="0" w:space="0" w:color="auto"/>
                    <w:bottom w:val="none" w:sz="0" w:space="0" w:color="auto"/>
                    <w:right w:val="none" w:sz="0" w:space="0" w:color="auto"/>
                  </w:divBdr>
                  <w:divsChild>
                    <w:div w:id="1166820060">
                      <w:marLeft w:val="0"/>
                      <w:marRight w:val="0"/>
                      <w:marTop w:val="0"/>
                      <w:marBottom w:val="0"/>
                      <w:divBdr>
                        <w:top w:val="none" w:sz="0" w:space="0" w:color="auto"/>
                        <w:left w:val="none" w:sz="0" w:space="0" w:color="auto"/>
                        <w:bottom w:val="none" w:sz="0" w:space="0" w:color="auto"/>
                        <w:right w:val="none" w:sz="0" w:space="0" w:color="auto"/>
                      </w:divBdr>
                    </w:div>
                  </w:divsChild>
                </w:div>
                <w:div w:id="189338184">
                  <w:marLeft w:val="0"/>
                  <w:marRight w:val="0"/>
                  <w:marTop w:val="0"/>
                  <w:marBottom w:val="0"/>
                  <w:divBdr>
                    <w:top w:val="none" w:sz="0" w:space="0" w:color="auto"/>
                    <w:left w:val="none" w:sz="0" w:space="0" w:color="auto"/>
                    <w:bottom w:val="none" w:sz="0" w:space="0" w:color="auto"/>
                    <w:right w:val="none" w:sz="0" w:space="0" w:color="auto"/>
                  </w:divBdr>
                  <w:divsChild>
                    <w:div w:id="1349598906">
                      <w:marLeft w:val="0"/>
                      <w:marRight w:val="0"/>
                      <w:marTop w:val="0"/>
                      <w:marBottom w:val="0"/>
                      <w:divBdr>
                        <w:top w:val="none" w:sz="0" w:space="0" w:color="auto"/>
                        <w:left w:val="none" w:sz="0" w:space="0" w:color="auto"/>
                        <w:bottom w:val="none" w:sz="0" w:space="0" w:color="auto"/>
                        <w:right w:val="none" w:sz="0" w:space="0" w:color="auto"/>
                      </w:divBdr>
                    </w:div>
                  </w:divsChild>
                </w:div>
                <w:div w:id="287051834">
                  <w:marLeft w:val="0"/>
                  <w:marRight w:val="0"/>
                  <w:marTop w:val="0"/>
                  <w:marBottom w:val="0"/>
                  <w:divBdr>
                    <w:top w:val="none" w:sz="0" w:space="0" w:color="auto"/>
                    <w:left w:val="none" w:sz="0" w:space="0" w:color="auto"/>
                    <w:bottom w:val="none" w:sz="0" w:space="0" w:color="auto"/>
                    <w:right w:val="none" w:sz="0" w:space="0" w:color="auto"/>
                  </w:divBdr>
                  <w:divsChild>
                    <w:div w:id="2125728359">
                      <w:marLeft w:val="0"/>
                      <w:marRight w:val="0"/>
                      <w:marTop w:val="0"/>
                      <w:marBottom w:val="0"/>
                      <w:divBdr>
                        <w:top w:val="none" w:sz="0" w:space="0" w:color="auto"/>
                        <w:left w:val="none" w:sz="0" w:space="0" w:color="auto"/>
                        <w:bottom w:val="none" w:sz="0" w:space="0" w:color="auto"/>
                        <w:right w:val="none" w:sz="0" w:space="0" w:color="auto"/>
                      </w:divBdr>
                    </w:div>
                  </w:divsChild>
                </w:div>
                <w:div w:id="293488212">
                  <w:marLeft w:val="0"/>
                  <w:marRight w:val="0"/>
                  <w:marTop w:val="0"/>
                  <w:marBottom w:val="0"/>
                  <w:divBdr>
                    <w:top w:val="none" w:sz="0" w:space="0" w:color="auto"/>
                    <w:left w:val="none" w:sz="0" w:space="0" w:color="auto"/>
                    <w:bottom w:val="none" w:sz="0" w:space="0" w:color="auto"/>
                    <w:right w:val="none" w:sz="0" w:space="0" w:color="auto"/>
                  </w:divBdr>
                  <w:divsChild>
                    <w:div w:id="1400667839">
                      <w:marLeft w:val="0"/>
                      <w:marRight w:val="0"/>
                      <w:marTop w:val="0"/>
                      <w:marBottom w:val="0"/>
                      <w:divBdr>
                        <w:top w:val="none" w:sz="0" w:space="0" w:color="auto"/>
                        <w:left w:val="none" w:sz="0" w:space="0" w:color="auto"/>
                        <w:bottom w:val="none" w:sz="0" w:space="0" w:color="auto"/>
                        <w:right w:val="none" w:sz="0" w:space="0" w:color="auto"/>
                      </w:divBdr>
                    </w:div>
                  </w:divsChild>
                </w:div>
                <w:div w:id="354892337">
                  <w:marLeft w:val="0"/>
                  <w:marRight w:val="0"/>
                  <w:marTop w:val="0"/>
                  <w:marBottom w:val="0"/>
                  <w:divBdr>
                    <w:top w:val="none" w:sz="0" w:space="0" w:color="auto"/>
                    <w:left w:val="none" w:sz="0" w:space="0" w:color="auto"/>
                    <w:bottom w:val="none" w:sz="0" w:space="0" w:color="auto"/>
                    <w:right w:val="none" w:sz="0" w:space="0" w:color="auto"/>
                  </w:divBdr>
                  <w:divsChild>
                    <w:div w:id="48381797">
                      <w:marLeft w:val="0"/>
                      <w:marRight w:val="0"/>
                      <w:marTop w:val="0"/>
                      <w:marBottom w:val="0"/>
                      <w:divBdr>
                        <w:top w:val="none" w:sz="0" w:space="0" w:color="auto"/>
                        <w:left w:val="none" w:sz="0" w:space="0" w:color="auto"/>
                        <w:bottom w:val="none" w:sz="0" w:space="0" w:color="auto"/>
                        <w:right w:val="none" w:sz="0" w:space="0" w:color="auto"/>
                      </w:divBdr>
                    </w:div>
                  </w:divsChild>
                </w:div>
                <w:div w:id="460928950">
                  <w:marLeft w:val="0"/>
                  <w:marRight w:val="0"/>
                  <w:marTop w:val="0"/>
                  <w:marBottom w:val="0"/>
                  <w:divBdr>
                    <w:top w:val="none" w:sz="0" w:space="0" w:color="auto"/>
                    <w:left w:val="none" w:sz="0" w:space="0" w:color="auto"/>
                    <w:bottom w:val="none" w:sz="0" w:space="0" w:color="auto"/>
                    <w:right w:val="none" w:sz="0" w:space="0" w:color="auto"/>
                  </w:divBdr>
                  <w:divsChild>
                    <w:div w:id="1064527276">
                      <w:marLeft w:val="0"/>
                      <w:marRight w:val="0"/>
                      <w:marTop w:val="0"/>
                      <w:marBottom w:val="0"/>
                      <w:divBdr>
                        <w:top w:val="none" w:sz="0" w:space="0" w:color="auto"/>
                        <w:left w:val="none" w:sz="0" w:space="0" w:color="auto"/>
                        <w:bottom w:val="none" w:sz="0" w:space="0" w:color="auto"/>
                        <w:right w:val="none" w:sz="0" w:space="0" w:color="auto"/>
                      </w:divBdr>
                    </w:div>
                  </w:divsChild>
                </w:div>
                <w:div w:id="583953465">
                  <w:marLeft w:val="0"/>
                  <w:marRight w:val="0"/>
                  <w:marTop w:val="0"/>
                  <w:marBottom w:val="0"/>
                  <w:divBdr>
                    <w:top w:val="none" w:sz="0" w:space="0" w:color="auto"/>
                    <w:left w:val="none" w:sz="0" w:space="0" w:color="auto"/>
                    <w:bottom w:val="none" w:sz="0" w:space="0" w:color="auto"/>
                    <w:right w:val="none" w:sz="0" w:space="0" w:color="auto"/>
                  </w:divBdr>
                  <w:divsChild>
                    <w:div w:id="1270233763">
                      <w:marLeft w:val="0"/>
                      <w:marRight w:val="0"/>
                      <w:marTop w:val="0"/>
                      <w:marBottom w:val="0"/>
                      <w:divBdr>
                        <w:top w:val="none" w:sz="0" w:space="0" w:color="auto"/>
                        <w:left w:val="none" w:sz="0" w:space="0" w:color="auto"/>
                        <w:bottom w:val="none" w:sz="0" w:space="0" w:color="auto"/>
                        <w:right w:val="none" w:sz="0" w:space="0" w:color="auto"/>
                      </w:divBdr>
                    </w:div>
                  </w:divsChild>
                </w:div>
                <w:div w:id="638265699">
                  <w:marLeft w:val="0"/>
                  <w:marRight w:val="0"/>
                  <w:marTop w:val="0"/>
                  <w:marBottom w:val="0"/>
                  <w:divBdr>
                    <w:top w:val="none" w:sz="0" w:space="0" w:color="auto"/>
                    <w:left w:val="none" w:sz="0" w:space="0" w:color="auto"/>
                    <w:bottom w:val="none" w:sz="0" w:space="0" w:color="auto"/>
                    <w:right w:val="none" w:sz="0" w:space="0" w:color="auto"/>
                  </w:divBdr>
                  <w:divsChild>
                    <w:div w:id="1512600028">
                      <w:marLeft w:val="0"/>
                      <w:marRight w:val="0"/>
                      <w:marTop w:val="0"/>
                      <w:marBottom w:val="0"/>
                      <w:divBdr>
                        <w:top w:val="none" w:sz="0" w:space="0" w:color="auto"/>
                        <w:left w:val="none" w:sz="0" w:space="0" w:color="auto"/>
                        <w:bottom w:val="none" w:sz="0" w:space="0" w:color="auto"/>
                        <w:right w:val="none" w:sz="0" w:space="0" w:color="auto"/>
                      </w:divBdr>
                    </w:div>
                  </w:divsChild>
                </w:div>
                <w:div w:id="682707342">
                  <w:marLeft w:val="0"/>
                  <w:marRight w:val="0"/>
                  <w:marTop w:val="0"/>
                  <w:marBottom w:val="0"/>
                  <w:divBdr>
                    <w:top w:val="none" w:sz="0" w:space="0" w:color="auto"/>
                    <w:left w:val="none" w:sz="0" w:space="0" w:color="auto"/>
                    <w:bottom w:val="none" w:sz="0" w:space="0" w:color="auto"/>
                    <w:right w:val="none" w:sz="0" w:space="0" w:color="auto"/>
                  </w:divBdr>
                  <w:divsChild>
                    <w:div w:id="535967092">
                      <w:marLeft w:val="0"/>
                      <w:marRight w:val="0"/>
                      <w:marTop w:val="0"/>
                      <w:marBottom w:val="0"/>
                      <w:divBdr>
                        <w:top w:val="none" w:sz="0" w:space="0" w:color="auto"/>
                        <w:left w:val="none" w:sz="0" w:space="0" w:color="auto"/>
                        <w:bottom w:val="none" w:sz="0" w:space="0" w:color="auto"/>
                        <w:right w:val="none" w:sz="0" w:space="0" w:color="auto"/>
                      </w:divBdr>
                    </w:div>
                  </w:divsChild>
                </w:div>
                <w:div w:id="754008600">
                  <w:marLeft w:val="0"/>
                  <w:marRight w:val="0"/>
                  <w:marTop w:val="0"/>
                  <w:marBottom w:val="0"/>
                  <w:divBdr>
                    <w:top w:val="none" w:sz="0" w:space="0" w:color="auto"/>
                    <w:left w:val="none" w:sz="0" w:space="0" w:color="auto"/>
                    <w:bottom w:val="none" w:sz="0" w:space="0" w:color="auto"/>
                    <w:right w:val="none" w:sz="0" w:space="0" w:color="auto"/>
                  </w:divBdr>
                  <w:divsChild>
                    <w:div w:id="428310218">
                      <w:marLeft w:val="0"/>
                      <w:marRight w:val="0"/>
                      <w:marTop w:val="0"/>
                      <w:marBottom w:val="0"/>
                      <w:divBdr>
                        <w:top w:val="none" w:sz="0" w:space="0" w:color="auto"/>
                        <w:left w:val="none" w:sz="0" w:space="0" w:color="auto"/>
                        <w:bottom w:val="none" w:sz="0" w:space="0" w:color="auto"/>
                        <w:right w:val="none" w:sz="0" w:space="0" w:color="auto"/>
                      </w:divBdr>
                    </w:div>
                  </w:divsChild>
                </w:div>
                <w:div w:id="794983652">
                  <w:marLeft w:val="0"/>
                  <w:marRight w:val="0"/>
                  <w:marTop w:val="0"/>
                  <w:marBottom w:val="0"/>
                  <w:divBdr>
                    <w:top w:val="none" w:sz="0" w:space="0" w:color="auto"/>
                    <w:left w:val="none" w:sz="0" w:space="0" w:color="auto"/>
                    <w:bottom w:val="none" w:sz="0" w:space="0" w:color="auto"/>
                    <w:right w:val="none" w:sz="0" w:space="0" w:color="auto"/>
                  </w:divBdr>
                  <w:divsChild>
                    <w:div w:id="971718068">
                      <w:marLeft w:val="0"/>
                      <w:marRight w:val="0"/>
                      <w:marTop w:val="0"/>
                      <w:marBottom w:val="0"/>
                      <w:divBdr>
                        <w:top w:val="none" w:sz="0" w:space="0" w:color="auto"/>
                        <w:left w:val="none" w:sz="0" w:space="0" w:color="auto"/>
                        <w:bottom w:val="none" w:sz="0" w:space="0" w:color="auto"/>
                        <w:right w:val="none" w:sz="0" w:space="0" w:color="auto"/>
                      </w:divBdr>
                    </w:div>
                  </w:divsChild>
                </w:div>
                <w:div w:id="867793546">
                  <w:marLeft w:val="0"/>
                  <w:marRight w:val="0"/>
                  <w:marTop w:val="0"/>
                  <w:marBottom w:val="0"/>
                  <w:divBdr>
                    <w:top w:val="none" w:sz="0" w:space="0" w:color="auto"/>
                    <w:left w:val="none" w:sz="0" w:space="0" w:color="auto"/>
                    <w:bottom w:val="none" w:sz="0" w:space="0" w:color="auto"/>
                    <w:right w:val="none" w:sz="0" w:space="0" w:color="auto"/>
                  </w:divBdr>
                  <w:divsChild>
                    <w:div w:id="1921016243">
                      <w:marLeft w:val="0"/>
                      <w:marRight w:val="0"/>
                      <w:marTop w:val="0"/>
                      <w:marBottom w:val="0"/>
                      <w:divBdr>
                        <w:top w:val="none" w:sz="0" w:space="0" w:color="auto"/>
                        <w:left w:val="none" w:sz="0" w:space="0" w:color="auto"/>
                        <w:bottom w:val="none" w:sz="0" w:space="0" w:color="auto"/>
                        <w:right w:val="none" w:sz="0" w:space="0" w:color="auto"/>
                      </w:divBdr>
                    </w:div>
                  </w:divsChild>
                </w:div>
                <w:div w:id="981497379">
                  <w:marLeft w:val="0"/>
                  <w:marRight w:val="0"/>
                  <w:marTop w:val="0"/>
                  <w:marBottom w:val="0"/>
                  <w:divBdr>
                    <w:top w:val="none" w:sz="0" w:space="0" w:color="auto"/>
                    <w:left w:val="none" w:sz="0" w:space="0" w:color="auto"/>
                    <w:bottom w:val="none" w:sz="0" w:space="0" w:color="auto"/>
                    <w:right w:val="none" w:sz="0" w:space="0" w:color="auto"/>
                  </w:divBdr>
                  <w:divsChild>
                    <w:div w:id="1220050330">
                      <w:marLeft w:val="0"/>
                      <w:marRight w:val="0"/>
                      <w:marTop w:val="0"/>
                      <w:marBottom w:val="0"/>
                      <w:divBdr>
                        <w:top w:val="none" w:sz="0" w:space="0" w:color="auto"/>
                        <w:left w:val="none" w:sz="0" w:space="0" w:color="auto"/>
                        <w:bottom w:val="none" w:sz="0" w:space="0" w:color="auto"/>
                        <w:right w:val="none" w:sz="0" w:space="0" w:color="auto"/>
                      </w:divBdr>
                    </w:div>
                  </w:divsChild>
                </w:div>
                <w:div w:id="1030110894">
                  <w:marLeft w:val="0"/>
                  <w:marRight w:val="0"/>
                  <w:marTop w:val="0"/>
                  <w:marBottom w:val="0"/>
                  <w:divBdr>
                    <w:top w:val="none" w:sz="0" w:space="0" w:color="auto"/>
                    <w:left w:val="none" w:sz="0" w:space="0" w:color="auto"/>
                    <w:bottom w:val="none" w:sz="0" w:space="0" w:color="auto"/>
                    <w:right w:val="none" w:sz="0" w:space="0" w:color="auto"/>
                  </w:divBdr>
                  <w:divsChild>
                    <w:div w:id="1351026900">
                      <w:marLeft w:val="0"/>
                      <w:marRight w:val="0"/>
                      <w:marTop w:val="0"/>
                      <w:marBottom w:val="0"/>
                      <w:divBdr>
                        <w:top w:val="none" w:sz="0" w:space="0" w:color="auto"/>
                        <w:left w:val="none" w:sz="0" w:space="0" w:color="auto"/>
                        <w:bottom w:val="none" w:sz="0" w:space="0" w:color="auto"/>
                        <w:right w:val="none" w:sz="0" w:space="0" w:color="auto"/>
                      </w:divBdr>
                    </w:div>
                  </w:divsChild>
                </w:div>
                <w:div w:id="1034765368">
                  <w:marLeft w:val="0"/>
                  <w:marRight w:val="0"/>
                  <w:marTop w:val="0"/>
                  <w:marBottom w:val="0"/>
                  <w:divBdr>
                    <w:top w:val="none" w:sz="0" w:space="0" w:color="auto"/>
                    <w:left w:val="none" w:sz="0" w:space="0" w:color="auto"/>
                    <w:bottom w:val="none" w:sz="0" w:space="0" w:color="auto"/>
                    <w:right w:val="none" w:sz="0" w:space="0" w:color="auto"/>
                  </w:divBdr>
                  <w:divsChild>
                    <w:div w:id="827936875">
                      <w:marLeft w:val="0"/>
                      <w:marRight w:val="0"/>
                      <w:marTop w:val="0"/>
                      <w:marBottom w:val="0"/>
                      <w:divBdr>
                        <w:top w:val="none" w:sz="0" w:space="0" w:color="auto"/>
                        <w:left w:val="none" w:sz="0" w:space="0" w:color="auto"/>
                        <w:bottom w:val="none" w:sz="0" w:space="0" w:color="auto"/>
                        <w:right w:val="none" w:sz="0" w:space="0" w:color="auto"/>
                      </w:divBdr>
                    </w:div>
                  </w:divsChild>
                </w:div>
                <w:div w:id="1082263013">
                  <w:marLeft w:val="0"/>
                  <w:marRight w:val="0"/>
                  <w:marTop w:val="0"/>
                  <w:marBottom w:val="0"/>
                  <w:divBdr>
                    <w:top w:val="none" w:sz="0" w:space="0" w:color="auto"/>
                    <w:left w:val="none" w:sz="0" w:space="0" w:color="auto"/>
                    <w:bottom w:val="none" w:sz="0" w:space="0" w:color="auto"/>
                    <w:right w:val="none" w:sz="0" w:space="0" w:color="auto"/>
                  </w:divBdr>
                  <w:divsChild>
                    <w:div w:id="1455754603">
                      <w:marLeft w:val="0"/>
                      <w:marRight w:val="0"/>
                      <w:marTop w:val="0"/>
                      <w:marBottom w:val="0"/>
                      <w:divBdr>
                        <w:top w:val="none" w:sz="0" w:space="0" w:color="auto"/>
                        <w:left w:val="none" w:sz="0" w:space="0" w:color="auto"/>
                        <w:bottom w:val="none" w:sz="0" w:space="0" w:color="auto"/>
                        <w:right w:val="none" w:sz="0" w:space="0" w:color="auto"/>
                      </w:divBdr>
                    </w:div>
                  </w:divsChild>
                </w:div>
                <w:div w:id="1179468370">
                  <w:marLeft w:val="0"/>
                  <w:marRight w:val="0"/>
                  <w:marTop w:val="0"/>
                  <w:marBottom w:val="0"/>
                  <w:divBdr>
                    <w:top w:val="none" w:sz="0" w:space="0" w:color="auto"/>
                    <w:left w:val="none" w:sz="0" w:space="0" w:color="auto"/>
                    <w:bottom w:val="none" w:sz="0" w:space="0" w:color="auto"/>
                    <w:right w:val="none" w:sz="0" w:space="0" w:color="auto"/>
                  </w:divBdr>
                  <w:divsChild>
                    <w:div w:id="256713042">
                      <w:marLeft w:val="0"/>
                      <w:marRight w:val="0"/>
                      <w:marTop w:val="0"/>
                      <w:marBottom w:val="0"/>
                      <w:divBdr>
                        <w:top w:val="none" w:sz="0" w:space="0" w:color="auto"/>
                        <w:left w:val="none" w:sz="0" w:space="0" w:color="auto"/>
                        <w:bottom w:val="none" w:sz="0" w:space="0" w:color="auto"/>
                        <w:right w:val="none" w:sz="0" w:space="0" w:color="auto"/>
                      </w:divBdr>
                    </w:div>
                  </w:divsChild>
                </w:div>
                <w:div w:id="1353531477">
                  <w:marLeft w:val="0"/>
                  <w:marRight w:val="0"/>
                  <w:marTop w:val="0"/>
                  <w:marBottom w:val="0"/>
                  <w:divBdr>
                    <w:top w:val="none" w:sz="0" w:space="0" w:color="auto"/>
                    <w:left w:val="none" w:sz="0" w:space="0" w:color="auto"/>
                    <w:bottom w:val="none" w:sz="0" w:space="0" w:color="auto"/>
                    <w:right w:val="none" w:sz="0" w:space="0" w:color="auto"/>
                  </w:divBdr>
                  <w:divsChild>
                    <w:div w:id="1357198241">
                      <w:marLeft w:val="0"/>
                      <w:marRight w:val="0"/>
                      <w:marTop w:val="0"/>
                      <w:marBottom w:val="0"/>
                      <w:divBdr>
                        <w:top w:val="none" w:sz="0" w:space="0" w:color="auto"/>
                        <w:left w:val="none" w:sz="0" w:space="0" w:color="auto"/>
                        <w:bottom w:val="none" w:sz="0" w:space="0" w:color="auto"/>
                        <w:right w:val="none" w:sz="0" w:space="0" w:color="auto"/>
                      </w:divBdr>
                    </w:div>
                  </w:divsChild>
                </w:div>
                <w:div w:id="1419207193">
                  <w:marLeft w:val="0"/>
                  <w:marRight w:val="0"/>
                  <w:marTop w:val="0"/>
                  <w:marBottom w:val="0"/>
                  <w:divBdr>
                    <w:top w:val="none" w:sz="0" w:space="0" w:color="auto"/>
                    <w:left w:val="none" w:sz="0" w:space="0" w:color="auto"/>
                    <w:bottom w:val="none" w:sz="0" w:space="0" w:color="auto"/>
                    <w:right w:val="none" w:sz="0" w:space="0" w:color="auto"/>
                  </w:divBdr>
                  <w:divsChild>
                    <w:div w:id="273445638">
                      <w:marLeft w:val="0"/>
                      <w:marRight w:val="0"/>
                      <w:marTop w:val="0"/>
                      <w:marBottom w:val="0"/>
                      <w:divBdr>
                        <w:top w:val="none" w:sz="0" w:space="0" w:color="auto"/>
                        <w:left w:val="none" w:sz="0" w:space="0" w:color="auto"/>
                        <w:bottom w:val="none" w:sz="0" w:space="0" w:color="auto"/>
                        <w:right w:val="none" w:sz="0" w:space="0" w:color="auto"/>
                      </w:divBdr>
                    </w:div>
                  </w:divsChild>
                </w:div>
                <w:div w:id="1443303882">
                  <w:marLeft w:val="0"/>
                  <w:marRight w:val="0"/>
                  <w:marTop w:val="0"/>
                  <w:marBottom w:val="0"/>
                  <w:divBdr>
                    <w:top w:val="none" w:sz="0" w:space="0" w:color="auto"/>
                    <w:left w:val="none" w:sz="0" w:space="0" w:color="auto"/>
                    <w:bottom w:val="none" w:sz="0" w:space="0" w:color="auto"/>
                    <w:right w:val="none" w:sz="0" w:space="0" w:color="auto"/>
                  </w:divBdr>
                  <w:divsChild>
                    <w:div w:id="642271236">
                      <w:marLeft w:val="0"/>
                      <w:marRight w:val="0"/>
                      <w:marTop w:val="0"/>
                      <w:marBottom w:val="0"/>
                      <w:divBdr>
                        <w:top w:val="none" w:sz="0" w:space="0" w:color="auto"/>
                        <w:left w:val="none" w:sz="0" w:space="0" w:color="auto"/>
                        <w:bottom w:val="none" w:sz="0" w:space="0" w:color="auto"/>
                        <w:right w:val="none" w:sz="0" w:space="0" w:color="auto"/>
                      </w:divBdr>
                    </w:div>
                  </w:divsChild>
                </w:div>
                <w:div w:id="1448815600">
                  <w:marLeft w:val="0"/>
                  <w:marRight w:val="0"/>
                  <w:marTop w:val="0"/>
                  <w:marBottom w:val="0"/>
                  <w:divBdr>
                    <w:top w:val="none" w:sz="0" w:space="0" w:color="auto"/>
                    <w:left w:val="none" w:sz="0" w:space="0" w:color="auto"/>
                    <w:bottom w:val="none" w:sz="0" w:space="0" w:color="auto"/>
                    <w:right w:val="none" w:sz="0" w:space="0" w:color="auto"/>
                  </w:divBdr>
                  <w:divsChild>
                    <w:div w:id="693844878">
                      <w:marLeft w:val="0"/>
                      <w:marRight w:val="0"/>
                      <w:marTop w:val="0"/>
                      <w:marBottom w:val="0"/>
                      <w:divBdr>
                        <w:top w:val="none" w:sz="0" w:space="0" w:color="auto"/>
                        <w:left w:val="none" w:sz="0" w:space="0" w:color="auto"/>
                        <w:bottom w:val="none" w:sz="0" w:space="0" w:color="auto"/>
                        <w:right w:val="none" w:sz="0" w:space="0" w:color="auto"/>
                      </w:divBdr>
                    </w:div>
                  </w:divsChild>
                </w:div>
                <w:div w:id="1456480621">
                  <w:marLeft w:val="0"/>
                  <w:marRight w:val="0"/>
                  <w:marTop w:val="0"/>
                  <w:marBottom w:val="0"/>
                  <w:divBdr>
                    <w:top w:val="none" w:sz="0" w:space="0" w:color="auto"/>
                    <w:left w:val="none" w:sz="0" w:space="0" w:color="auto"/>
                    <w:bottom w:val="none" w:sz="0" w:space="0" w:color="auto"/>
                    <w:right w:val="none" w:sz="0" w:space="0" w:color="auto"/>
                  </w:divBdr>
                  <w:divsChild>
                    <w:div w:id="1554583505">
                      <w:marLeft w:val="0"/>
                      <w:marRight w:val="0"/>
                      <w:marTop w:val="0"/>
                      <w:marBottom w:val="0"/>
                      <w:divBdr>
                        <w:top w:val="none" w:sz="0" w:space="0" w:color="auto"/>
                        <w:left w:val="none" w:sz="0" w:space="0" w:color="auto"/>
                        <w:bottom w:val="none" w:sz="0" w:space="0" w:color="auto"/>
                        <w:right w:val="none" w:sz="0" w:space="0" w:color="auto"/>
                      </w:divBdr>
                    </w:div>
                  </w:divsChild>
                </w:div>
                <w:div w:id="1526557485">
                  <w:marLeft w:val="0"/>
                  <w:marRight w:val="0"/>
                  <w:marTop w:val="0"/>
                  <w:marBottom w:val="0"/>
                  <w:divBdr>
                    <w:top w:val="none" w:sz="0" w:space="0" w:color="auto"/>
                    <w:left w:val="none" w:sz="0" w:space="0" w:color="auto"/>
                    <w:bottom w:val="none" w:sz="0" w:space="0" w:color="auto"/>
                    <w:right w:val="none" w:sz="0" w:space="0" w:color="auto"/>
                  </w:divBdr>
                  <w:divsChild>
                    <w:div w:id="638611850">
                      <w:marLeft w:val="0"/>
                      <w:marRight w:val="0"/>
                      <w:marTop w:val="0"/>
                      <w:marBottom w:val="0"/>
                      <w:divBdr>
                        <w:top w:val="none" w:sz="0" w:space="0" w:color="auto"/>
                        <w:left w:val="none" w:sz="0" w:space="0" w:color="auto"/>
                        <w:bottom w:val="none" w:sz="0" w:space="0" w:color="auto"/>
                        <w:right w:val="none" w:sz="0" w:space="0" w:color="auto"/>
                      </w:divBdr>
                    </w:div>
                  </w:divsChild>
                </w:div>
                <w:div w:id="1548419644">
                  <w:marLeft w:val="0"/>
                  <w:marRight w:val="0"/>
                  <w:marTop w:val="0"/>
                  <w:marBottom w:val="0"/>
                  <w:divBdr>
                    <w:top w:val="none" w:sz="0" w:space="0" w:color="auto"/>
                    <w:left w:val="none" w:sz="0" w:space="0" w:color="auto"/>
                    <w:bottom w:val="none" w:sz="0" w:space="0" w:color="auto"/>
                    <w:right w:val="none" w:sz="0" w:space="0" w:color="auto"/>
                  </w:divBdr>
                  <w:divsChild>
                    <w:div w:id="146212290">
                      <w:marLeft w:val="0"/>
                      <w:marRight w:val="0"/>
                      <w:marTop w:val="0"/>
                      <w:marBottom w:val="0"/>
                      <w:divBdr>
                        <w:top w:val="none" w:sz="0" w:space="0" w:color="auto"/>
                        <w:left w:val="none" w:sz="0" w:space="0" w:color="auto"/>
                        <w:bottom w:val="none" w:sz="0" w:space="0" w:color="auto"/>
                        <w:right w:val="none" w:sz="0" w:space="0" w:color="auto"/>
                      </w:divBdr>
                    </w:div>
                  </w:divsChild>
                </w:div>
                <w:div w:id="1575823699">
                  <w:marLeft w:val="0"/>
                  <w:marRight w:val="0"/>
                  <w:marTop w:val="0"/>
                  <w:marBottom w:val="0"/>
                  <w:divBdr>
                    <w:top w:val="none" w:sz="0" w:space="0" w:color="auto"/>
                    <w:left w:val="none" w:sz="0" w:space="0" w:color="auto"/>
                    <w:bottom w:val="none" w:sz="0" w:space="0" w:color="auto"/>
                    <w:right w:val="none" w:sz="0" w:space="0" w:color="auto"/>
                  </w:divBdr>
                  <w:divsChild>
                    <w:div w:id="1816604614">
                      <w:marLeft w:val="0"/>
                      <w:marRight w:val="0"/>
                      <w:marTop w:val="0"/>
                      <w:marBottom w:val="0"/>
                      <w:divBdr>
                        <w:top w:val="none" w:sz="0" w:space="0" w:color="auto"/>
                        <w:left w:val="none" w:sz="0" w:space="0" w:color="auto"/>
                        <w:bottom w:val="none" w:sz="0" w:space="0" w:color="auto"/>
                        <w:right w:val="none" w:sz="0" w:space="0" w:color="auto"/>
                      </w:divBdr>
                    </w:div>
                  </w:divsChild>
                </w:div>
                <w:div w:id="1654874319">
                  <w:marLeft w:val="0"/>
                  <w:marRight w:val="0"/>
                  <w:marTop w:val="0"/>
                  <w:marBottom w:val="0"/>
                  <w:divBdr>
                    <w:top w:val="none" w:sz="0" w:space="0" w:color="auto"/>
                    <w:left w:val="none" w:sz="0" w:space="0" w:color="auto"/>
                    <w:bottom w:val="none" w:sz="0" w:space="0" w:color="auto"/>
                    <w:right w:val="none" w:sz="0" w:space="0" w:color="auto"/>
                  </w:divBdr>
                  <w:divsChild>
                    <w:div w:id="477763748">
                      <w:marLeft w:val="0"/>
                      <w:marRight w:val="0"/>
                      <w:marTop w:val="0"/>
                      <w:marBottom w:val="0"/>
                      <w:divBdr>
                        <w:top w:val="none" w:sz="0" w:space="0" w:color="auto"/>
                        <w:left w:val="none" w:sz="0" w:space="0" w:color="auto"/>
                        <w:bottom w:val="none" w:sz="0" w:space="0" w:color="auto"/>
                        <w:right w:val="none" w:sz="0" w:space="0" w:color="auto"/>
                      </w:divBdr>
                    </w:div>
                  </w:divsChild>
                </w:div>
                <w:div w:id="1690257926">
                  <w:marLeft w:val="0"/>
                  <w:marRight w:val="0"/>
                  <w:marTop w:val="0"/>
                  <w:marBottom w:val="0"/>
                  <w:divBdr>
                    <w:top w:val="none" w:sz="0" w:space="0" w:color="auto"/>
                    <w:left w:val="none" w:sz="0" w:space="0" w:color="auto"/>
                    <w:bottom w:val="none" w:sz="0" w:space="0" w:color="auto"/>
                    <w:right w:val="none" w:sz="0" w:space="0" w:color="auto"/>
                  </w:divBdr>
                  <w:divsChild>
                    <w:div w:id="1685403357">
                      <w:marLeft w:val="0"/>
                      <w:marRight w:val="0"/>
                      <w:marTop w:val="0"/>
                      <w:marBottom w:val="0"/>
                      <w:divBdr>
                        <w:top w:val="none" w:sz="0" w:space="0" w:color="auto"/>
                        <w:left w:val="none" w:sz="0" w:space="0" w:color="auto"/>
                        <w:bottom w:val="none" w:sz="0" w:space="0" w:color="auto"/>
                        <w:right w:val="none" w:sz="0" w:space="0" w:color="auto"/>
                      </w:divBdr>
                    </w:div>
                  </w:divsChild>
                </w:div>
                <w:div w:id="1795371473">
                  <w:marLeft w:val="0"/>
                  <w:marRight w:val="0"/>
                  <w:marTop w:val="0"/>
                  <w:marBottom w:val="0"/>
                  <w:divBdr>
                    <w:top w:val="none" w:sz="0" w:space="0" w:color="auto"/>
                    <w:left w:val="none" w:sz="0" w:space="0" w:color="auto"/>
                    <w:bottom w:val="none" w:sz="0" w:space="0" w:color="auto"/>
                    <w:right w:val="none" w:sz="0" w:space="0" w:color="auto"/>
                  </w:divBdr>
                  <w:divsChild>
                    <w:div w:id="97678367">
                      <w:marLeft w:val="0"/>
                      <w:marRight w:val="0"/>
                      <w:marTop w:val="0"/>
                      <w:marBottom w:val="0"/>
                      <w:divBdr>
                        <w:top w:val="none" w:sz="0" w:space="0" w:color="auto"/>
                        <w:left w:val="none" w:sz="0" w:space="0" w:color="auto"/>
                        <w:bottom w:val="none" w:sz="0" w:space="0" w:color="auto"/>
                        <w:right w:val="none" w:sz="0" w:space="0" w:color="auto"/>
                      </w:divBdr>
                    </w:div>
                  </w:divsChild>
                </w:div>
                <w:div w:id="1829714569">
                  <w:marLeft w:val="0"/>
                  <w:marRight w:val="0"/>
                  <w:marTop w:val="0"/>
                  <w:marBottom w:val="0"/>
                  <w:divBdr>
                    <w:top w:val="none" w:sz="0" w:space="0" w:color="auto"/>
                    <w:left w:val="none" w:sz="0" w:space="0" w:color="auto"/>
                    <w:bottom w:val="none" w:sz="0" w:space="0" w:color="auto"/>
                    <w:right w:val="none" w:sz="0" w:space="0" w:color="auto"/>
                  </w:divBdr>
                  <w:divsChild>
                    <w:div w:id="1817410678">
                      <w:marLeft w:val="0"/>
                      <w:marRight w:val="0"/>
                      <w:marTop w:val="0"/>
                      <w:marBottom w:val="0"/>
                      <w:divBdr>
                        <w:top w:val="none" w:sz="0" w:space="0" w:color="auto"/>
                        <w:left w:val="none" w:sz="0" w:space="0" w:color="auto"/>
                        <w:bottom w:val="none" w:sz="0" w:space="0" w:color="auto"/>
                        <w:right w:val="none" w:sz="0" w:space="0" w:color="auto"/>
                      </w:divBdr>
                    </w:div>
                  </w:divsChild>
                </w:div>
                <w:div w:id="1895966819">
                  <w:marLeft w:val="0"/>
                  <w:marRight w:val="0"/>
                  <w:marTop w:val="0"/>
                  <w:marBottom w:val="0"/>
                  <w:divBdr>
                    <w:top w:val="none" w:sz="0" w:space="0" w:color="auto"/>
                    <w:left w:val="none" w:sz="0" w:space="0" w:color="auto"/>
                    <w:bottom w:val="none" w:sz="0" w:space="0" w:color="auto"/>
                    <w:right w:val="none" w:sz="0" w:space="0" w:color="auto"/>
                  </w:divBdr>
                  <w:divsChild>
                    <w:div w:id="141847482">
                      <w:marLeft w:val="0"/>
                      <w:marRight w:val="0"/>
                      <w:marTop w:val="0"/>
                      <w:marBottom w:val="0"/>
                      <w:divBdr>
                        <w:top w:val="none" w:sz="0" w:space="0" w:color="auto"/>
                        <w:left w:val="none" w:sz="0" w:space="0" w:color="auto"/>
                        <w:bottom w:val="none" w:sz="0" w:space="0" w:color="auto"/>
                        <w:right w:val="none" w:sz="0" w:space="0" w:color="auto"/>
                      </w:divBdr>
                    </w:div>
                  </w:divsChild>
                </w:div>
                <w:div w:id="1929540810">
                  <w:marLeft w:val="0"/>
                  <w:marRight w:val="0"/>
                  <w:marTop w:val="0"/>
                  <w:marBottom w:val="0"/>
                  <w:divBdr>
                    <w:top w:val="none" w:sz="0" w:space="0" w:color="auto"/>
                    <w:left w:val="none" w:sz="0" w:space="0" w:color="auto"/>
                    <w:bottom w:val="none" w:sz="0" w:space="0" w:color="auto"/>
                    <w:right w:val="none" w:sz="0" w:space="0" w:color="auto"/>
                  </w:divBdr>
                  <w:divsChild>
                    <w:div w:id="336419049">
                      <w:marLeft w:val="0"/>
                      <w:marRight w:val="0"/>
                      <w:marTop w:val="0"/>
                      <w:marBottom w:val="0"/>
                      <w:divBdr>
                        <w:top w:val="none" w:sz="0" w:space="0" w:color="auto"/>
                        <w:left w:val="none" w:sz="0" w:space="0" w:color="auto"/>
                        <w:bottom w:val="none" w:sz="0" w:space="0" w:color="auto"/>
                        <w:right w:val="none" w:sz="0" w:space="0" w:color="auto"/>
                      </w:divBdr>
                    </w:div>
                  </w:divsChild>
                </w:div>
                <w:div w:id="2069374873">
                  <w:marLeft w:val="0"/>
                  <w:marRight w:val="0"/>
                  <w:marTop w:val="0"/>
                  <w:marBottom w:val="0"/>
                  <w:divBdr>
                    <w:top w:val="none" w:sz="0" w:space="0" w:color="auto"/>
                    <w:left w:val="none" w:sz="0" w:space="0" w:color="auto"/>
                    <w:bottom w:val="none" w:sz="0" w:space="0" w:color="auto"/>
                    <w:right w:val="none" w:sz="0" w:space="0" w:color="auto"/>
                  </w:divBdr>
                  <w:divsChild>
                    <w:div w:id="696350261">
                      <w:marLeft w:val="0"/>
                      <w:marRight w:val="0"/>
                      <w:marTop w:val="0"/>
                      <w:marBottom w:val="0"/>
                      <w:divBdr>
                        <w:top w:val="none" w:sz="0" w:space="0" w:color="auto"/>
                        <w:left w:val="none" w:sz="0" w:space="0" w:color="auto"/>
                        <w:bottom w:val="none" w:sz="0" w:space="0" w:color="auto"/>
                        <w:right w:val="none" w:sz="0" w:space="0" w:color="auto"/>
                      </w:divBdr>
                    </w:div>
                  </w:divsChild>
                </w:div>
                <w:div w:id="2098363767">
                  <w:marLeft w:val="0"/>
                  <w:marRight w:val="0"/>
                  <w:marTop w:val="0"/>
                  <w:marBottom w:val="0"/>
                  <w:divBdr>
                    <w:top w:val="none" w:sz="0" w:space="0" w:color="auto"/>
                    <w:left w:val="none" w:sz="0" w:space="0" w:color="auto"/>
                    <w:bottom w:val="none" w:sz="0" w:space="0" w:color="auto"/>
                    <w:right w:val="none" w:sz="0" w:space="0" w:color="auto"/>
                  </w:divBdr>
                  <w:divsChild>
                    <w:div w:id="52540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78299">
          <w:marLeft w:val="0"/>
          <w:marRight w:val="0"/>
          <w:marTop w:val="0"/>
          <w:marBottom w:val="0"/>
          <w:divBdr>
            <w:top w:val="none" w:sz="0" w:space="0" w:color="auto"/>
            <w:left w:val="none" w:sz="0" w:space="0" w:color="auto"/>
            <w:bottom w:val="none" w:sz="0" w:space="0" w:color="auto"/>
            <w:right w:val="none" w:sz="0" w:space="0" w:color="auto"/>
          </w:divBdr>
        </w:div>
        <w:div w:id="324015843">
          <w:marLeft w:val="0"/>
          <w:marRight w:val="0"/>
          <w:marTop w:val="0"/>
          <w:marBottom w:val="0"/>
          <w:divBdr>
            <w:top w:val="none" w:sz="0" w:space="0" w:color="auto"/>
            <w:left w:val="none" w:sz="0" w:space="0" w:color="auto"/>
            <w:bottom w:val="none" w:sz="0" w:space="0" w:color="auto"/>
            <w:right w:val="none" w:sz="0" w:space="0" w:color="auto"/>
          </w:divBdr>
        </w:div>
        <w:div w:id="351959685">
          <w:marLeft w:val="0"/>
          <w:marRight w:val="0"/>
          <w:marTop w:val="0"/>
          <w:marBottom w:val="0"/>
          <w:divBdr>
            <w:top w:val="none" w:sz="0" w:space="0" w:color="auto"/>
            <w:left w:val="none" w:sz="0" w:space="0" w:color="auto"/>
            <w:bottom w:val="none" w:sz="0" w:space="0" w:color="auto"/>
            <w:right w:val="none" w:sz="0" w:space="0" w:color="auto"/>
          </w:divBdr>
        </w:div>
        <w:div w:id="355470091">
          <w:marLeft w:val="0"/>
          <w:marRight w:val="0"/>
          <w:marTop w:val="0"/>
          <w:marBottom w:val="0"/>
          <w:divBdr>
            <w:top w:val="none" w:sz="0" w:space="0" w:color="auto"/>
            <w:left w:val="none" w:sz="0" w:space="0" w:color="auto"/>
            <w:bottom w:val="none" w:sz="0" w:space="0" w:color="auto"/>
            <w:right w:val="none" w:sz="0" w:space="0" w:color="auto"/>
          </w:divBdr>
        </w:div>
        <w:div w:id="357003015">
          <w:marLeft w:val="0"/>
          <w:marRight w:val="0"/>
          <w:marTop w:val="0"/>
          <w:marBottom w:val="0"/>
          <w:divBdr>
            <w:top w:val="none" w:sz="0" w:space="0" w:color="auto"/>
            <w:left w:val="none" w:sz="0" w:space="0" w:color="auto"/>
            <w:bottom w:val="none" w:sz="0" w:space="0" w:color="auto"/>
            <w:right w:val="none" w:sz="0" w:space="0" w:color="auto"/>
          </w:divBdr>
          <w:divsChild>
            <w:div w:id="686370132">
              <w:marLeft w:val="-75"/>
              <w:marRight w:val="0"/>
              <w:marTop w:val="30"/>
              <w:marBottom w:val="30"/>
              <w:divBdr>
                <w:top w:val="none" w:sz="0" w:space="0" w:color="auto"/>
                <w:left w:val="none" w:sz="0" w:space="0" w:color="auto"/>
                <w:bottom w:val="none" w:sz="0" w:space="0" w:color="auto"/>
                <w:right w:val="none" w:sz="0" w:space="0" w:color="auto"/>
              </w:divBdr>
              <w:divsChild>
                <w:div w:id="324363418">
                  <w:marLeft w:val="0"/>
                  <w:marRight w:val="0"/>
                  <w:marTop w:val="0"/>
                  <w:marBottom w:val="0"/>
                  <w:divBdr>
                    <w:top w:val="none" w:sz="0" w:space="0" w:color="auto"/>
                    <w:left w:val="none" w:sz="0" w:space="0" w:color="auto"/>
                    <w:bottom w:val="none" w:sz="0" w:space="0" w:color="auto"/>
                    <w:right w:val="none" w:sz="0" w:space="0" w:color="auto"/>
                  </w:divBdr>
                  <w:divsChild>
                    <w:div w:id="941690578">
                      <w:marLeft w:val="0"/>
                      <w:marRight w:val="0"/>
                      <w:marTop w:val="0"/>
                      <w:marBottom w:val="0"/>
                      <w:divBdr>
                        <w:top w:val="none" w:sz="0" w:space="0" w:color="auto"/>
                        <w:left w:val="none" w:sz="0" w:space="0" w:color="auto"/>
                        <w:bottom w:val="none" w:sz="0" w:space="0" w:color="auto"/>
                        <w:right w:val="none" w:sz="0" w:space="0" w:color="auto"/>
                      </w:divBdr>
                    </w:div>
                  </w:divsChild>
                </w:div>
                <w:div w:id="331760711">
                  <w:marLeft w:val="0"/>
                  <w:marRight w:val="0"/>
                  <w:marTop w:val="0"/>
                  <w:marBottom w:val="0"/>
                  <w:divBdr>
                    <w:top w:val="none" w:sz="0" w:space="0" w:color="auto"/>
                    <w:left w:val="none" w:sz="0" w:space="0" w:color="auto"/>
                    <w:bottom w:val="none" w:sz="0" w:space="0" w:color="auto"/>
                    <w:right w:val="none" w:sz="0" w:space="0" w:color="auto"/>
                  </w:divBdr>
                  <w:divsChild>
                    <w:div w:id="1932229621">
                      <w:marLeft w:val="0"/>
                      <w:marRight w:val="0"/>
                      <w:marTop w:val="0"/>
                      <w:marBottom w:val="0"/>
                      <w:divBdr>
                        <w:top w:val="none" w:sz="0" w:space="0" w:color="auto"/>
                        <w:left w:val="none" w:sz="0" w:space="0" w:color="auto"/>
                        <w:bottom w:val="none" w:sz="0" w:space="0" w:color="auto"/>
                        <w:right w:val="none" w:sz="0" w:space="0" w:color="auto"/>
                      </w:divBdr>
                    </w:div>
                  </w:divsChild>
                </w:div>
                <w:div w:id="580722202">
                  <w:marLeft w:val="0"/>
                  <w:marRight w:val="0"/>
                  <w:marTop w:val="0"/>
                  <w:marBottom w:val="0"/>
                  <w:divBdr>
                    <w:top w:val="none" w:sz="0" w:space="0" w:color="auto"/>
                    <w:left w:val="none" w:sz="0" w:space="0" w:color="auto"/>
                    <w:bottom w:val="none" w:sz="0" w:space="0" w:color="auto"/>
                    <w:right w:val="none" w:sz="0" w:space="0" w:color="auto"/>
                  </w:divBdr>
                  <w:divsChild>
                    <w:div w:id="2017073515">
                      <w:marLeft w:val="0"/>
                      <w:marRight w:val="0"/>
                      <w:marTop w:val="0"/>
                      <w:marBottom w:val="0"/>
                      <w:divBdr>
                        <w:top w:val="none" w:sz="0" w:space="0" w:color="auto"/>
                        <w:left w:val="none" w:sz="0" w:space="0" w:color="auto"/>
                        <w:bottom w:val="none" w:sz="0" w:space="0" w:color="auto"/>
                        <w:right w:val="none" w:sz="0" w:space="0" w:color="auto"/>
                      </w:divBdr>
                    </w:div>
                  </w:divsChild>
                </w:div>
                <w:div w:id="832725307">
                  <w:marLeft w:val="0"/>
                  <w:marRight w:val="0"/>
                  <w:marTop w:val="0"/>
                  <w:marBottom w:val="0"/>
                  <w:divBdr>
                    <w:top w:val="none" w:sz="0" w:space="0" w:color="auto"/>
                    <w:left w:val="none" w:sz="0" w:space="0" w:color="auto"/>
                    <w:bottom w:val="none" w:sz="0" w:space="0" w:color="auto"/>
                    <w:right w:val="none" w:sz="0" w:space="0" w:color="auto"/>
                  </w:divBdr>
                  <w:divsChild>
                    <w:div w:id="1595240514">
                      <w:marLeft w:val="0"/>
                      <w:marRight w:val="0"/>
                      <w:marTop w:val="0"/>
                      <w:marBottom w:val="0"/>
                      <w:divBdr>
                        <w:top w:val="none" w:sz="0" w:space="0" w:color="auto"/>
                        <w:left w:val="none" w:sz="0" w:space="0" w:color="auto"/>
                        <w:bottom w:val="none" w:sz="0" w:space="0" w:color="auto"/>
                        <w:right w:val="none" w:sz="0" w:space="0" w:color="auto"/>
                      </w:divBdr>
                    </w:div>
                  </w:divsChild>
                </w:div>
                <w:div w:id="862938140">
                  <w:marLeft w:val="0"/>
                  <w:marRight w:val="0"/>
                  <w:marTop w:val="0"/>
                  <w:marBottom w:val="0"/>
                  <w:divBdr>
                    <w:top w:val="none" w:sz="0" w:space="0" w:color="auto"/>
                    <w:left w:val="none" w:sz="0" w:space="0" w:color="auto"/>
                    <w:bottom w:val="none" w:sz="0" w:space="0" w:color="auto"/>
                    <w:right w:val="none" w:sz="0" w:space="0" w:color="auto"/>
                  </w:divBdr>
                  <w:divsChild>
                    <w:div w:id="689262819">
                      <w:marLeft w:val="0"/>
                      <w:marRight w:val="0"/>
                      <w:marTop w:val="0"/>
                      <w:marBottom w:val="0"/>
                      <w:divBdr>
                        <w:top w:val="none" w:sz="0" w:space="0" w:color="auto"/>
                        <w:left w:val="none" w:sz="0" w:space="0" w:color="auto"/>
                        <w:bottom w:val="none" w:sz="0" w:space="0" w:color="auto"/>
                        <w:right w:val="none" w:sz="0" w:space="0" w:color="auto"/>
                      </w:divBdr>
                    </w:div>
                  </w:divsChild>
                </w:div>
                <w:div w:id="1046487063">
                  <w:marLeft w:val="0"/>
                  <w:marRight w:val="0"/>
                  <w:marTop w:val="0"/>
                  <w:marBottom w:val="0"/>
                  <w:divBdr>
                    <w:top w:val="none" w:sz="0" w:space="0" w:color="auto"/>
                    <w:left w:val="none" w:sz="0" w:space="0" w:color="auto"/>
                    <w:bottom w:val="none" w:sz="0" w:space="0" w:color="auto"/>
                    <w:right w:val="none" w:sz="0" w:space="0" w:color="auto"/>
                  </w:divBdr>
                  <w:divsChild>
                    <w:div w:id="2365393">
                      <w:marLeft w:val="0"/>
                      <w:marRight w:val="0"/>
                      <w:marTop w:val="0"/>
                      <w:marBottom w:val="0"/>
                      <w:divBdr>
                        <w:top w:val="none" w:sz="0" w:space="0" w:color="auto"/>
                        <w:left w:val="none" w:sz="0" w:space="0" w:color="auto"/>
                        <w:bottom w:val="none" w:sz="0" w:space="0" w:color="auto"/>
                        <w:right w:val="none" w:sz="0" w:space="0" w:color="auto"/>
                      </w:divBdr>
                    </w:div>
                  </w:divsChild>
                </w:div>
                <w:div w:id="1153568303">
                  <w:marLeft w:val="0"/>
                  <w:marRight w:val="0"/>
                  <w:marTop w:val="0"/>
                  <w:marBottom w:val="0"/>
                  <w:divBdr>
                    <w:top w:val="none" w:sz="0" w:space="0" w:color="auto"/>
                    <w:left w:val="none" w:sz="0" w:space="0" w:color="auto"/>
                    <w:bottom w:val="none" w:sz="0" w:space="0" w:color="auto"/>
                    <w:right w:val="none" w:sz="0" w:space="0" w:color="auto"/>
                  </w:divBdr>
                  <w:divsChild>
                    <w:div w:id="1047603832">
                      <w:marLeft w:val="0"/>
                      <w:marRight w:val="0"/>
                      <w:marTop w:val="0"/>
                      <w:marBottom w:val="0"/>
                      <w:divBdr>
                        <w:top w:val="none" w:sz="0" w:space="0" w:color="auto"/>
                        <w:left w:val="none" w:sz="0" w:space="0" w:color="auto"/>
                        <w:bottom w:val="none" w:sz="0" w:space="0" w:color="auto"/>
                        <w:right w:val="none" w:sz="0" w:space="0" w:color="auto"/>
                      </w:divBdr>
                    </w:div>
                  </w:divsChild>
                </w:div>
                <w:div w:id="1267812409">
                  <w:marLeft w:val="0"/>
                  <w:marRight w:val="0"/>
                  <w:marTop w:val="0"/>
                  <w:marBottom w:val="0"/>
                  <w:divBdr>
                    <w:top w:val="none" w:sz="0" w:space="0" w:color="auto"/>
                    <w:left w:val="none" w:sz="0" w:space="0" w:color="auto"/>
                    <w:bottom w:val="none" w:sz="0" w:space="0" w:color="auto"/>
                    <w:right w:val="none" w:sz="0" w:space="0" w:color="auto"/>
                  </w:divBdr>
                  <w:divsChild>
                    <w:div w:id="709574102">
                      <w:marLeft w:val="0"/>
                      <w:marRight w:val="0"/>
                      <w:marTop w:val="0"/>
                      <w:marBottom w:val="0"/>
                      <w:divBdr>
                        <w:top w:val="none" w:sz="0" w:space="0" w:color="auto"/>
                        <w:left w:val="none" w:sz="0" w:space="0" w:color="auto"/>
                        <w:bottom w:val="none" w:sz="0" w:space="0" w:color="auto"/>
                        <w:right w:val="none" w:sz="0" w:space="0" w:color="auto"/>
                      </w:divBdr>
                    </w:div>
                  </w:divsChild>
                </w:div>
                <w:div w:id="1273056873">
                  <w:marLeft w:val="0"/>
                  <w:marRight w:val="0"/>
                  <w:marTop w:val="0"/>
                  <w:marBottom w:val="0"/>
                  <w:divBdr>
                    <w:top w:val="none" w:sz="0" w:space="0" w:color="auto"/>
                    <w:left w:val="none" w:sz="0" w:space="0" w:color="auto"/>
                    <w:bottom w:val="none" w:sz="0" w:space="0" w:color="auto"/>
                    <w:right w:val="none" w:sz="0" w:space="0" w:color="auto"/>
                  </w:divBdr>
                  <w:divsChild>
                    <w:div w:id="1763914551">
                      <w:marLeft w:val="0"/>
                      <w:marRight w:val="0"/>
                      <w:marTop w:val="0"/>
                      <w:marBottom w:val="0"/>
                      <w:divBdr>
                        <w:top w:val="none" w:sz="0" w:space="0" w:color="auto"/>
                        <w:left w:val="none" w:sz="0" w:space="0" w:color="auto"/>
                        <w:bottom w:val="none" w:sz="0" w:space="0" w:color="auto"/>
                        <w:right w:val="none" w:sz="0" w:space="0" w:color="auto"/>
                      </w:divBdr>
                    </w:div>
                  </w:divsChild>
                </w:div>
                <w:div w:id="1352798496">
                  <w:marLeft w:val="0"/>
                  <w:marRight w:val="0"/>
                  <w:marTop w:val="0"/>
                  <w:marBottom w:val="0"/>
                  <w:divBdr>
                    <w:top w:val="none" w:sz="0" w:space="0" w:color="auto"/>
                    <w:left w:val="none" w:sz="0" w:space="0" w:color="auto"/>
                    <w:bottom w:val="none" w:sz="0" w:space="0" w:color="auto"/>
                    <w:right w:val="none" w:sz="0" w:space="0" w:color="auto"/>
                  </w:divBdr>
                  <w:divsChild>
                    <w:div w:id="867377944">
                      <w:marLeft w:val="0"/>
                      <w:marRight w:val="0"/>
                      <w:marTop w:val="0"/>
                      <w:marBottom w:val="0"/>
                      <w:divBdr>
                        <w:top w:val="none" w:sz="0" w:space="0" w:color="auto"/>
                        <w:left w:val="none" w:sz="0" w:space="0" w:color="auto"/>
                        <w:bottom w:val="none" w:sz="0" w:space="0" w:color="auto"/>
                        <w:right w:val="none" w:sz="0" w:space="0" w:color="auto"/>
                      </w:divBdr>
                    </w:div>
                  </w:divsChild>
                </w:div>
                <w:div w:id="1458178316">
                  <w:marLeft w:val="0"/>
                  <w:marRight w:val="0"/>
                  <w:marTop w:val="0"/>
                  <w:marBottom w:val="0"/>
                  <w:divBdr>
                    <w:top w:val="none" w:sz="0" w:space="0" w:color="auto"/>
                    <w:left w:val="none" w:sz="0" w:space="0" w:color="auto"/>
                    <w:bottom w:val="none" w:sz="0" w:space="0" w:color="auto"/>
                    <w:right w:val="none" w:sz="0" w:space="0" w:color="auto"/>
                  </w:divBdr>
                  <w:divsChild>
                    <w:div w:id="1204171555">
                      <w:marLeft w:val="0"/>
                      <w:marRight w:val="0"/>
                      <w:marTop w:val="0"/>
                      <w:marBottom w:val="0"/>
                      <w:divBdr>
                        <w:top w:val="none" w:sz="0" w:space="0" w:color="auto"/>
                        <w:left w:val="none" w:sz="0" w:space="0" w:color="auto"/>
                        <w:bottom w:val="none" w:sz="0" w:space="0" w:color="auto"/>
                        <w:right w:val="none" w:sz="0" w:space="0" w:color="auto"/>
                      </w:divBdr>
                    </w:div>
                  </w:divsChild>
                </w:div>
                <w:div w:id="1507672782">
                  <w:marLeft w:val="0"/>
                  <w:marRight w:val="0"/>
                  <w:marTop w:val="0"/>
                  <w:marBottom w:val="0"/>
                  <w:divBdr>
                    <w:top w:val="none" w:sz="0" w:space="0" w:color="auto"/>
                    <w:left w:val="none" w:sz="0" w:space="0" w:color="auto"/>
                    <w:bottom w:val="none" w:sz="0" w:space="0" w:color="auto"/>
                    <w:right w:val="none" w:sz="0" w:space="0" w:color="auto"/>
                  </w:divBdr>
                  <w:divsChild>
                    <w:div w:id="857236599">
                      <w:marLeft w:val="0"/>
                      <w:marRight w:val="0"/>
                      <w:marTop w:val="0"/>
                      <w:marBottom w:val="0"/>
                      <w:divBdr>
                        <w:top w:val="none" w:sz="0" w:space="0" w:color="auto"/>
                        <w:left w:val="none" w:sz="0" w:space="0" w:color="auto"/>
                        <w:bottom w:val="none" w:sz="0" w:space="0" w:color="auto"/>
                        <w:right w:val="none" w:sz="0" w:space="0" w:color="auto"/>
                      </w:divBdr>
                    </w:div>
                  </w:divsChild>
                </w:div>
                <w:div w:id="1517619587">
                  <w:marLeft w:val="0"/>
                  <w:marRight w:val="0"/>
                  <w:marTop w:val="0"/>
                  <w:marBottom w:val="0"/>
                  <w:divBdr>
                    <w:top w:val="none" w:sz="0" w:space="0" w:color="auto"/>
                    <w:left w:val="none" w:sz="0" w:space="0" w:color="auto"/>
                    <w:bottom w:val="none" w:sz="0" w:space="0" w:color="auto"/>
                    <w:right w:val="none" w:sz="0" w:space="0" w:color="auto"/>
                  </w:divBdr>
                  <w:divsChild>
                    <w:div w:id="706951591">
                      <w:marLeft w:val="0"/>
                      <w:marRight w:val="0"/>
                      <w:marTop w:val="0"/>
                      <w:marBottom w:val="0"/>
                      <w:divBdr>
                        <w:top w:val="none" w:sz="0" w:space="0" w:color="auto"/>
                        <w:left w:val="none" w:sz="0" w:space="0" w:color="auto"/>
                        <w:bottom w:val="none" w:sz="0" w:space="0" w:color="auto"/>
                        <w:right w:val="none" w:sz="0" w:space="0" w:color="auto"/>
                      </w:divBdr>
                    </w:div>
                  </w:divsChild>
                </w:div>
                <w:div w:id="1575361629">
                  <w:marLeft w:val="0"/>
                  <w:marRight w:val="0"/>
                  <w:marTop w:val="0"/>
                  <w:marBottom w:val="0"/>
                  <w:divBdr>
                    <w:top w:val="none" w:sz="0" w:space="0" w:color="auto"/>
                    <w:left w:val="none" w:sz="0" w:space="0" w:color="auto"/>
                    <w:bottom w:val="none" w:sz="0" w:space="0" w:color="auto"/>
                    <w:right w:val="none" w:sz="0" w:space="0" w:color="auto"/>
                  </w:divBdr>
                  <w:divsChild>
                    <w:div w:id="1785343579">
                      <w:marLeft w:val="0"/>
                      <w:marRight w:val="0"/>
                      <w:marTop w:val="0"/>
                      <w:marBottom w:val="0"/>
                      <w:divBdr>
                        <w:top w:val="none" w:sz="0" w:space="0" w:color="auto"/>
                        <w:left w:val="none" w:sz="0" w:space="0" w:color="auto"/>
                        <w:bottom w:val="none" w:sz="0" w:space="0" w:color="auto"/>
                        <w:right w:val="none" w:sz="0" w:space="0" w:color="auto"/>
                      </w:divBdr>
                    </w:div>
                  </w:divsChild>
                </w:div>
                <w:div w:id="1579896807">
                  <w:marLeft w:val="0"/>
                  <w:marRight w:val="0"/>
                  <w:marTop w:val="0"/>
                  <w:marBottom w:val="0"/>
                  <w:divBdr>
                    <w:top w:val="none" w:sz="0" w:space="0" w:color="auto"/>
                    <w:left w:val="none" w:sz="0" w:space="0" w:color="auto"/>
                    <w:bottom w:val="none" w:sz="0" w:space="0" w:color="auto"/>
                    <w:right w:val="none" w:sz="0" w:space="0" w:color="auto"/>
                  </w:divBdr>
                  <w:divsChild>
                    <w:div w:id="618873373">
                      <w:marLeft w:val="0"/>
                      <w:marRight w:val="0"/>
                      <w:marTop w:val="0"/>
                      <w:marBottom w:val="0"/>
                      <w:divBdr>
                        <w:top w:val="none" w:sz="0" w:space="0" w:color="auto"/>
                        <w:left w:val="none" w:sz="0" w:space="0" w:color="auto"/>
                        <w:bottom w:val="none" w:sz="0" w:space="0" w:color="auto"/>
                        <w:right w:val="none" w:sz="0" w:space="0" w:color="auto"/>
                      </w:divBdr>
                    </w:div>
                  </w:divsChild>
                </w:div>
                <w:div w:id="1589119731">
                  <w:marLeft w:val="0"/>
                  <w:marRight w:val="0"/>
                  <w:marTop w:val="0"/>
                  <w:marBottom w:val="0"/>
                  <w:divBdr>
                    <w:top w:val="none" w:sz="0" w:space="0" w:color="auto"/>
                    <w:left w:val="none" w:sz="0" w:space="0" w:color="auto"/>
                    <w:bottom w:val="none" w:sz="0" w:space="0" w:color="auto"/>
                    <w:right w:val="none" w:sz="0" w:space="0" w:color="auto"/>
                  </w:divBdr>
                  <w:divsChild>
                    <w:div w:id="1876573277">
                      <w:marLeft w:val="0"/>
                      <w:marRight w:val="0"/>
                      <w:marTop w:val="0"/>
                      <w:marBottom w:val="0"/>
                      <w:divBdr>
                        <w:top w:val="none" w:sz="0" w:space="0" w:color="auto"/>
                        <w:left w:val="none" w:sz="0" w:space="0" w:color="auto"/>
                        <w:bottom w:val="none" w:sz="0" w:space="0" w:color="auto"/>
                        <w:right w:val="none" w:sz="0" w:space="0" w:color="auto"/>
                      </w:divBdr>
                    </w:div>
                  </w:divsChild>
                </w:div>
                <w:div w:id="1781223183">
                  <w:marLeft w:val="0"/>
                  <w:marRight w:val="0"/>
                  <w:marTop w:val="0"/>
                  <w:marBottom w:val="0"/>
                  <w:divBdr>
                    <w:top w:val="none" w:sz="0" w:space="0" w:color="auto"/>
                    <w:left w:val="none" w:sz="0" w:space="0" w:color="auto"/>
                    <w:bottom w:val="none" w:sz="0" w:space="0" w:color="auto"/>
                    <w:right w:val="none" w:sz="0" w:space="0" w:color="auto"/>
                  </w:divBdr>
                  <w:divsChild>
                    <w:div w:id="2076076185">
                      <w:marLeft w:val="0"/>
                      <w:marRight w:val="0"/>
                      <w:marTop w:val="0"/>
                      <w:marBottom w:val="0"/>
                      <w:divBdr>
                        <w:top w:val="none" w:sz="0" w:space="0" w:color="auto"/>
                        <w:left w:val="none" w:sz="0" w:space="0" w:color="auto"/>
                        <w:bottom w:val="none" w:sz="0" w:space="0" w:color="auto"/>
                        <w:right w:val="none" w:sz="0" w:space="0" w:color="auto"/>
                      </w:divBdr>
                    </w:div>
                  </w:divsChild>
                </w:div>
                <w:div w:id="1821926121">
                  <w:marLeft w:val="0"/>
                  <w:marRight w:val="0"/>
                  <w:marTop w:val="0"/>
                  <w:marBottom w:val="0"/>
                  <w:divBdr>
                    <w:top w:val="none" w:sz="0" w:space="0" w:color="auto"/>
                    <w:left w:val="none" w:sz="0" w:space="0" w:color="auto"/>
                    <w:bottom w:val="none" w:sz="0" w:space="0" w:color="auto"/>
                    <w:right w:val="none" w:sz="0" w:space="0" w:color="auto"/>
                  </w:divBdr>
                  <w:divsChild>
                    <w:div w:id="152263115">
                      <w:marLeft w:val="0"/>
                      <w:marRight w:val="0"/>
                      <w:marTop w:val="0"/>
                      <w:marBottom w:val="0"/>
                      <w:divBdr>
                        <w:top w:val="none" w:sz="0" w:space="0" w:color="auto"/>
                        <w:left w:val="none" w:sz="0" w:space="0" w:color="auto"/>
                        <w:bottom w:val="none" w:sz="0" w:space="0" w:color="auto"/>
                        <w:right w:val="none" w:sz="0" w:space="0" w:color="auto"/>
                      </w:divBdr>
                    </w:div>
                  </w:divsChild>
                </w:div>
                <w:div w:id="1827083799">
                  <w:marLeft w:val="0"/>
                  <w:marRight w:val="0"/>
                  <w:marTop w:val="0"/>
                  <w:marBottom w:val="0"/>
                  <w:divBdr>
                    <w:top w:val="none" w:sz="0" w:space="0" w:color="auto"/>
                    <w:left w:val="none" w:sz="0" w:space="0" w:color="auto"/>
                    <w:bottom w:val="none" w:sz="0" w:space="0" w:color="auto"/>
                    <w:right w:val="none" w:sz="0" w:space="0" w:color="auto"/>
                  </w:divBdr>
                  <w:divsChild>
                    <w:div w:id="1392464207">
                      <w:marLeft w:val="0"/>
                      <w:marRight w:val="0"/>
                      <w:marTop w:val="0"/>
                      <w:marBottom w:val="0"/>
                      <w:divBdr>
                        <w:top w:val="none" w:sz="0" w:space="0" w:color="auto"/>
                        <w:left w:val="none" w:sz="0" w:space="0" w:color="auto"/>
                        <w:bottom w:val="none" w:sz="0" w:space="0" w:color="auto"/>
                        <w:right w:val="none" w:sz="0" w:space="0" w:color="auto"/>
                      </w:divBdr>
                    </w:div>
                  </w:divsChild>
                </w:div>
                <w:div w:id="2093889204">
                  <w:marLeft w:val="0"/>
                  <w:marRight w:val="0"/>
                  <w:marTop w:val="0"/>
                  <w:marBottom w:val="0"/>
                  <w:divBdr>
                    <w:top w:val="none" w:sz="0" w:space="0" w:color="auto"/>
                    <w:left w:val="none" w:sz="0" w:space="0" w:color="auto"/>
                    <w:bottom w:val="none" w:sz="0" w:space="0" w:color="auto"/>
                    <w:right w:val="none" w:sz="0" w:space="0" w:color="auto"/>
                  </w:divBdr>
                  <w:divsChild>
                    <w:div w:id="148518569">
                      <w:marLeft w:val="0"/>
                      <w:marRight w:val="0"/>
                      <w:marTop w:val="0"/>
                      <w:marBottom w:val="0"/>
                      <w:divBdr>
                        <w:top w:val="none" w:sz="0" w:space="0" w:color="auto"/>
                        <w:left w:val="none" w:sz="0" w:space="0" w:color="auto"/>
                        <w:bottom w:val="none" w:sz="0" w:space="0" w:color="auto"/>
                        <w:right w:val="none" w:sz="0" w:space="0" w:color="auto"/>
                      </w:divBdr>
                    </w:div>
                  </w:divsChild>
                </w:div>
                <w:div w:id="2120759036">
                  <w:marLeft w:val="0"/>
                  <w:marRight w:val="0"/>
                  <w:marTop w:val="0"/>
                  <w:marBottom w:val="0"/>
                  <w:divBdr>
                    <w:top w:val="none" w:sz="0" w:space="0" w:color="auto"/>
                    <w:left w:val="none" w:sz="0" w:space="0" w:color="auto"/>
                    <w:bottom w:val="none" w:sz="0" w:space="0" w:color="auto"/>
                    <w:right w:val="none" w:sz="0" w:space="0" w:color="auto"/>
                  </w:divBdr>
                  <w:divsChild>
                    <w:div w:id="81298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18305">
          <w:marLeft w:val="0"/>
          <w:marRight w:val="0"/>
          <w:marTop w:val="0"/>
          <w:marBottom w:val="0"/>
          <w:divBdr>
            <w:top w:val="none" w:sz="0" w:space="0" w:color="auto"/>
            <w:left w:val="none" w:sz="0" w:space="0" w:color="auto"/>
            <w:bottom w:val="none" w:sz="0" w:space="0" w:color="auto"/>
            <w:right w:val="none" w:sz="0" w:space="0" w:color="auto"/>
          </w:divBdr>
        </w:div>
        <w:div w:id="410397987">
          <w:marLeft w:val="0"/>
          <w:marRight w:val="0"/>
          <w:marTop w:val="0"/>
          <w:marBottom w:val="0"/>
          <w:divBdr>
            <w:top w:val="none" w:sz="0" w:space="0" w:color="auto"/>
            <w:left w:val="none" w:sz="0" w:space="0" w:color="auto"/>
            <w:bottom w:val="none" w:sz="0" w:space="0" w:color="auto"/>
            <w:right w:val="none" w:sz="0" w:space="0" w:color="auto"/>
          </w:divBdr>
          <w:divsChild>
            <w:div w:id="960644982">
              <w:marLeft w:val="-75"/>
              <w:marRight w:val="0"/>
              <w:marTop w:val="30"/>
              <w:marBottom w:val="30"/>
              <w:divBdr>
                <w:top w:val="none" w:sz="0" w:space="0" w:color="auto"/>
                <w:left w:val="none" w:sz="0" w:space="0" w:color="auto"/>
                <w:bottom w:val="none" w:sz="0" w:space="0" w:color="auto"/>
                <w:right w:val="none" w:sz="0" w:space="0" w:color="auto"/>
              </w:divBdr>
              <w:divsChild>
                <w:div w:id="2251037">
                  <w:marLeft w:val="0"/>
                  <w:marRight w:val="0"/>
                  <w:marTop w:val="0"/>
                  <w:marBottom w:val="0"/>
                  <w:divBdr>
                    <w:top w:val="none" w:sz="0" w:space="0" w:color="auto"/>
                    <w:left w:val="none" w:sz="0" w:space="0" w:color="auto"/>
                    <w:bottom w:val="none" w:sz="0" w:space="0" w:color="auto"/>
                    <w:right w:val="none" w:sz="0" w:space="0" w:color="auto"/>
                  </w:divBdr>
                  <w:divsChild>
                    <w:div w:id="612175870">
                      <w:marLeft w:val="0"/>
                      <w:marRight w:val="0"/>
                      <w:marTop w:val="0"/>
                      <w:marBottom w:val="0"/>
                      <w:divBdr>
                        <w:top w:val="none" w:sz="0" w:space="0" w:color="auto"/>
                        <w:left w:val="none" w:sz="0" w:space="0" w:color="auto"/>
                        <w:bottom w:val="none" w:sz="0" w:space="0" w:color="auto"/>
                        <w:right w:val="none" w:sz="0" w:space="0" w:color="auto"/>
                      </w:divBdr>
                    </w:div>
                  </w:divsChild>
                </w:div>
                <w:div w:id="28456900">
                  <w:marLeft w:val="0"/>
                  <w:marRight w:val="0"/>
                  <w:marTop w:val="0"/>
                  <w:marBottom w:val="0"/>
                  <w:divBdr>
                    <w:top w:val="none" w:sz="0" w:space="0" w:color="auto"/>
                    <w:left w:val="none" w:sz="0" w:space="0" w:color="auto"/>
                    <w:bottom w:val="none" w:sz="0" w:space="0" w:color="auto"/>
                    <w:right w:val="none" w:sz="0" w:space="0" w:color="auto"/>
                  </w:divBdr>
                  <w:divsChild>
                    <w:div w:id="912400173">
                      <w:marLeft w:val="0"/>
                      <w:marRight w:val="0"/>
                      <w:marTop w:val="0"/>
                      <w:marBottom w:val="0"/>
                      <w:divBdr>
                        <w:top w:val="none" w:sz="0" w:space="0" w:color="auto"/>
                        <w:left w:val="none" w:sz="0" w:space="0" w:color="auto"/>
                        <w:bottom w:val="none" w:sz="0" w:space="0" w:color="auto"/>
                        <w:right w:val="none" w:sz="0" w:space="0" w:color="auto"/>
                      </w:divBdr>
                    </w:div>
                  </w:divsChild>
                </w:div>
                <w:div w:id="40834069">
                  <w:marLeft w:val="0"/>
                  <w:marRight w:val="0"/>
                  <w:marTop w:val="0"/>
                  <w:marBottom w:val="0"/>
                  <w:divBdr>
                    <w:top w:val="none" w:sz="0" w:space="0" w:color="auto"/>
                    <w:left w:val="none" w:sz="0" w:space="0" w:color="auto"/>
                    <w:bottom w:val="none" w:sz="0" w:space="0" w:color="auto"/>
                    <w:right w:val="none" w:sz="0" w:space="0" w:color="auto"/>
                  </w:divBdr>
                  <w:divsChild>
                    <w:div w:id="1385564164">
                      <w:marLeft w:val="0"/>
                      <w:marRight w:val="0"/>
                      <w:marTop w:val="0"/>
                      <w:marBottom w:val="0"/>
                      <w:divBdr>
                        <w:top w:val="none" w:sz="0" w:space="0" w:color="auto"/>
                        <w:left w:val="none" w:sz="0" w:space="0" w:color="auto"/>
                        <w:bottom w:val="none" w:sz="0" w:space="0" w:color="auto"/>
                        <w:right w:val="none" w:sz="0" w:space="0" w:color="auto"/>
                      </w:divBdr>
                    </w:div>
                  </w:divsChild>
                </w:div>
                <w:div w:id="120225176">
                  <w:marLeft w:val="0"/>
                  <w:marRight w:val="0"/>
                  <w:marTop w:val="0"/>
                  <w:marBottom w:val="0"/>
                  <w:divBdr>
                    <w:top w:val="none" w:sz="0" w:space="0" w:color="auto"/>
                    <w:left w:val="none" w:sz="0" w:space="0" w:color="auto"/>
                    <w:bottom w:val="none" w:sz="0" w:space="0" w:color="auto"/>
                    <w:right w:val="none" w:sz="0" w:space="0" w:color="auto"/>
                  </w:divBdr>
                  <w:divsChild>
                    <w:div w:id="48115385">
                      <w:marLeft w:val="0"/>
                      <w:marRight w:val="0"/>
                      <w:marTop w:val="0"/>
                      <w:marBottom w:val="0"/>
                      <w:divBdr>
                        <w:top w:val="none" w:sz="0" w:space="0" w:color="auto"/>
                        <w:left w:val="none" w:sz="0" w:space="0" w:color="auto"/>
                        <w:bottom w:val="none" w:sz="0" w:space="0" w:color="auto"/>
                        <w:right w:val="none" w:sz="0" w:space="0" w:color="auto"/>
                      </w:divBdr>
                    </w:div>
                  </w:divsChild>
                </w:div>
                <w:div w:id="167525744">
                  <w:marLeft w:val="0"/>
                  <w:marRight w:val="0"/>
                  <w:marTop w:val="0"/>
                  <w:marBottom w:val="0"/>
                  <w:divBdr>
                    <w:top w:val="none" w:sz="0" w:space="0" w:color="auto"/>
                    <w:left w:val="none" w:sz="0" w:space="0" w:color="auto"/>
                    <w:bottom w:val="none" w:sz="0" w:space="0" w:color="auto"/>
                    <w:right w:val="none" w:sz="0" w:space="0" w:color="auto"/>
                  </w:divBdr>
                  <w:divsChild>
                    <w:div w:id="52703402">
                      <w:marLeft w:val="0"/>
                      <w:marRight w:val="0"/>
                      <w:marTop w:val="0"/>
                      <w:marBottom w:val="0"/>
                      <w:divBdr>
                        <w:top w:val="none" w:sz="0" w:space="0" w:color="auto"/>
                        <w:left w:val="none" w:sz="0" w:space="0" w:color="auto"/>
                        <w:bottom w:val="none" w:sz="0" w:space="0" w:color="auto"/>
                        <w:right w:val="none" w:sz="0" w:space="0" w:color="auto"/>
                      </w:divBdr>
                    </w:div>
                  </w:divsChild>
                </w:div>
                <w:div w:id="227612175">
                  <w:marLeft w:val="0"/>
                  <w:marRight w:val="0"/>
                  <w:marTop w:val="0"/>
                  <w:marBottom w:val="0"/>
                  <w:divBdr>
                    <w:top w:val="none" w:sz="0" w:space="0" w:color="auto"/>
                    <w:left w:val="none" w:sz="0" w:space="0" w:color="auto"/>
                    <w:bottom w:val="none" w:sz="0" w:space="0" w:color="auto"/>
                    <w:right w:val="none" w:sz="0" w:space="0" w:color="auto"/>
                  </w:divBdr>
                  <w:divsChild>
                    <w:div w:id="1920095902">
                      <w:marLeft w:val="0"/>
                      <w:marRight w:val="0"/>
                      <w:marTop w:val="0"/>
                      <w:marBottom w:val="0"/>
                      <w:divBdr>
                        <w:top w:val="none" w:sz="0" w:space="0" w:color="auto"/>
                        <w:left w:val="none" w:sz="0" w:space="0" w:color="auto"/>
                        <w:bottom w:val="none" w:sz="0" w:space="0" w:color="auto"/>
                        <w:right w:val="none" w:sz="0" w:space="0" w:color="auto"/>
                      </w:divBdr>
                    </w:div>
                  </w:divsChild>
                </w:div>
                <w:div w:id="238562321">
                  <w:marLeft w:val="0"/>
                  <w:marRight w:val="0"/>
                  <w:marTop w:val="0"/>
                  <w:marBottom w:val="0"/>
                  <w:divBdr>
                    <w:top w:val="none" w:sz="0" w:space="0" w:color="auto"/>
                    <w:left w:val="none" w:sz="0" w:space="0" w:color="auto"/>
                    <w:bottom w:val="none" w:sz="0" w:space="0" w:color="auto"/>
                    <w:right w:val="none" w:sz="0" w:space="0" w:color="auto"/>
                  </w:divBdr>
                  <w:divsChild>
                    <w:div w:id="1903173951">
                      <w:marLeft w:val="0"/>
                      <w:marRight w:val="0"/>
                      <w:marTop w:val="0"/>
                      <w:marBottom w:val="0"/>
                      <w:divBdr>
                        <w:top w:val="none" w:sz="0" w:space="0" w:color="auto"/>
                        <w:left w:val="none" w:sz="0" w:space="0" w:color="auto"/>
                        <w:bottom w:val="none" w:sz="0" w:space="0" w:color="auto"/>
                        <w:right w:val="none" w:sz="0" w:space="0" w:color="auto"/>
                      </w:divBdr>
                    </w:div>
                  </w:divsChild>
                </w:div>
                <w:div w:id="258098056">
                  <w:marLeft w:val="0"/>
                  <w:marRight w:val="0"/>
                  <w:marTop w:val="0"/>
                  <w:marBottom w:val="0"/>
                  <w:divBdr>
                    <w:top w:val="none" w:sz="0" w:space="0" w:color="auto"/>
                    <w:left w:val="none" w:sz="0" w:space="0" w:color="auto"/>
                    <w:bottom w:val="none" w:sz="0" w:space="0" w:color="auto"/>
                    <w:right w:val="none" w:sz="0" w:space="0" w:color="auto"/>
                  </w:divBdr>
                  <w:divsChild>
                    <w:div w:id="1454252595">
                      <w:marLeft w:val="0"/>
                      <w:marRight w:val="0"/>
                      <w:marTop w:val="0"/>
                      <w:marBottom w:val="0"/>
                      <w:divBdr>
                        <w:top w:val="none" w:sz="0" w:space="0" w:color="auto"/>
                        <w:left w:val="none" w:sz="0" w:space="0" w:color="auto"/>
                        <w:bottom w:val="none" w:sz="0" w:space="0" w:color="auto"/>
                        <w:right w:val="none" w:sz="0" w:space="0" w:color="auto"/>
                      </w:divBdr>
                    </w:div>
                  </w:divsChild>
                </w:div>
                <w:div w:id="289359186">
                  <w:marLeft w:val="0"/>
                  <w:marRight w:val="0"/>
                  <w:marTop w:val="0"/>
                  <w:marBottom w:val="0"/>
                  <w:divBdr>
                    <w:top w:val="none" w:sz="0" w:space="0" w:color="auto"/>
                    <w:left w:val="none" w:sz="0" w:space="0" w:color="auto"/>
                    <w:bottom w:val="none" w:sz="0" w:space="0" w:color="auto"/>
                    <w:right w:val="none" w:sz="0" w:space="0" w:color="auto"/>
                  </w:divBdr>
                  <w:divsChild>
                    <w:div w:id="1411199567">
                      <w:marLeft w:val="0"/>
                      <w:marRight w:val="0"/>
                      <w:marTop w:val="0"/>
                      <w:marBottom w:val="0"/>
                      <w:divBdr>
                        <w:top w:val="none" w:sz="0" w:space="0" w:color="auto"/>
                        <w:left w:val="none" w:sz="0" w:space="0" w:color="auto"/>
                        <w:bottom w:val="none" w:sz="0" w:space="0" w:color="auto"/>
                        <w:right w:val="none" w:sz="0" w:space="0" w:color="auto"/>
                      </w:divBdr>
                    </w:div>
                  </w:divsChild>
                </w:div>
                <w:div w:id="318732544">
                  <w:marLeft w:val="0"/>
                  <w:marRight w:val="0"/>
                  <w:marTop w:val="0"/>
                  <w:marBottom w:val="0"/>
                  <w:divBdr>
                    <w:top w:val="none" w:sz="0" w:space="0" w:color="auto"/>
                    <w:left w:val="none" w:sz="0" w:space="0" w:color="auto"/>
                    <w:bottom w:val="none" w:sz="0" w:space="0" w:color="auto"/>
                    <w:right w:val="none" w:sz="0" w:space="0" w:color="auto"/>
                  </w:divBdr>
                  <w:divsChild>
                    <w:div w:id="42221102">
                      <w:marLeft w:val="0"/>
                      <w:marRight w:val="0"/>
                      <w:marTop w:val="0"/>
                      <w:marBottom w:val="0"/>
                      <w:divBdr>
                        <w:top w:val="none" w:sz="0" w:space="0" w:color="auto"/>
                        <w:left w:val="none" w:sz="0" w:space="0" w:color="auto"/>
                        <w:bottom w:val="none" w:sz="0" w:space="0" w:color="auto"/>
                        <w:right w:val="none" w:sz="0" w:space="0" w:color="auto"/>
                      </w:divBdr>
                    </w:div>
                  </w:divsChild>
                </w:div>
                <w:div w:id="325861724">
                  <w:marLeft w:val="0"/>
                  <w:marRight w:val="0"/>
                  <w:marTop w:val="0"/>
                  <w:marBottom w:val="0"/>
                  <w:divBdr>
                    <w:top w:val="none" w:sz="0" w:space="0" w:color="auto"/>
                    <w:left w:val="none" w:sz="0" w:space="0" w:color="auto"/>
                    <w:bottom w:val="none" w:sz="0" w:space="0" w:color="auto"/>
                    <w:right w:val="none" w:sz="0" w:space="0" w:color="auto"/>
                  </w:divBdr>
                  <w:divsChild>
                    <w:div w:id="1351762075">
                      <w:marLeft w:val="0"/>
                      <w:marRight w:val="0"/>
                      <w:marTop w:val="0"/>
                      <w:marBottom w:val="0"/>
                      <w:divBdr>
                        <w:top w:val="none" w:sz="0" w:space="0" w:color="auto"/>
                        <w:left w:val="none" w:sz="0" w:space="0" w:color="auto"/>
                        <w:bottom w:val="none" w:sz="0" w:space="0" w:color="auto"/>
                        <w:right w:val="none" w:sz="0" w:space="0" w:color="auto"/>
                      </w:divBdr>
                    </w:div>
                  </w:divsChild>
                </w:div>
                <w:div w:id="453135255">
                  <w:marLeft w:val="0"/>
                  <w:marRight w:val="0"/>
                  <w:marTop w:val="0"/>
                  <w:marBottom w:val="0"/>
                  <w:divBdr>
                    <w:top w:val="none" w:sz="0" w:space="0" w:color="auto"/>
                    <w:left w:val="none" w:sz="0" w:space="0" w:color="auto"/>
                    <w:bottom w:val="none" w:sz="0" w:space="0" w:color="auto"/>
                    <w:right w:val="none" w:sz="0" w:space="0" w:color="auto"/>
                  </w:divBdr>
                  <w:divsChild>
                    <w:div w:id="118037803">
                      <w:marLeft w:val="0"/>
                      <w:marRight w:val="0"/>
                      <w:marTop w:val="0"/>
                      <w:marBottom w:val="0"/>
                      <w:divBdr>
                        <w:top w:val="none" w:sz="0" w:space="0" w:color="auto"/>
                        <w:left w:val="none" w:sz="0" w:space="0" w:color="auto"/>
                        <w:bottom w:val="none" w:sz="0" w:space="0" w:color="auto"/>
                        <w:right w:val="none" w:sz="0" w:space="0" w:color="auto"/>
                      </w:divBdr>
                    </w:div>
                  </w:divsChild>
                </w:div>
                <w:div w:id="480804853">
                  <w:marLeft w:val="0"/>
                  <w:marRight w:val="0"/>
                  <w:marTop w:val="0"/>
                  <w:marBottom w:val="0"/>
                  <w:divBdr>
                    <w:top w:val="none" w:sz="0" w:space="0" w:color="auto"/>
                    <w:left w:val="none" w:sz="0" w:space="0" w:color="auto"/>
                    <w:bottom w:val="none" w:sz="0" w:space="0" w:color="auto"/>
                    <w:right w:val="none" w:sz="0" w:space="0" w:color="auto"/>
                  </w:divBdr>
                  <w:divsChild>
                    <w:div w:id="114838214">
                      <w:marLeft w:val="0"/>
                      <w:marRight w:val="0"/>
                      <w:marTop w:val="0"/>
                      <w:marBottom w:val="0"/>
                      <w:divBdr>
                        <w:top w:val="none" w:sz="0" w:space="0" w:color="auto"/>
                        <w:left w:val="none" w:sz="0" w:space="0" w:color="auto"/>
                        <w:bottom w:val="none" w:sz="0" w:space="0" w:color="auto"/>
                        <w:right w:val="none" w:sz="0" w:space="0" w:color="auto"/>
                      </w:divBdr>
                    </w:div>
                  </w:divsChild>
                </w:div>
                <w:div w:id="564990759">
                  <w:marLeft w:val="0"/>
                  <w:marRight w:val="0"/>
                  <w:marTop w:val="0"/>
                  <w:marBottom w:val="0"/>
                  <w:divBdr>
                    <w:top w:val="none" w:sz="0" w:space="0" w:color="auto"/>
                    <w:left w:val="none" w:sz="0" w:space="0" w:color="auto"/>
                    <w:bottom w:val="none" w:sz="0" w:space="0" w:color="auto"/>
                    <w:right w:val="none" w:sz="0" w:space="0" w:color="auto"/>
                  </w:divBdr>
                  <w:divsChild>
                    <w:div w:id="23286320">
                      <w:marLeft w:val="0"/>
                      <w:marRight w:val="0"/>
                      <w:marTop w:val="0"/>
                      <w:marBottom w:val="0"/>
                      <w:divBdr>
                        <w:top w:val="none" w:sz="0" w:space="0" w:color="auto"/>
                        <w:left w:val="none" w:sz="0" w:space="0" w:color="auto"/>
                        <w:bottom w:val="none" w:sz="0" w:space="0" w:color="auto"/>
                        <w:right w:val="none" w:sz="0" w:space="0" w:color="auto"/>
                      </w:divBdr>
                    </w:div>
                  </w:divsChild>
                </w:div>
                <w:div w:id="572281399">
                  <w:marLeft w:val="0"/>
                  <w:marRight w:val="0"/>
                  <w:marTop w:val="0"/>
                  <w:marBottom w:val="0"/>
                  <w:divBdr>
                    <w:top w:val="none" w:sz="0" w:space="0" w:color="auto"/>
                    <w:left w:val="none" w:sz="0" w:space="0" w:color="auto"/>
                    <w:bottom w:val="none" w:sz="0" w:space="0" w:color="auto"/>
                    <w:right w:val="none" w:sz="0" w:space="0" w:color="auto"/>
                  </w:divBdr>
                  <w:divsChild>
                    <w:div w:id="2091196486">
                      <w:marLeft w:val="0"/>
                      <w:marRight w:val="0"/>
                      <w:marTop w:val="0"/>
                      <w:marBottom w:val="0"/>
                      <w:divBdr>
                        <w:top w:val="none" w:sz="0" w:space="0" w:color="auto"/>
                        <w:left w:val="none" w:sz="0" w:space="0" w:color="auto"/>
                        <w:bottom w:val="none" w:sz="0" w:space="0" w:color="auto"/>
                        <w:right w:val="none" w:sz="0" w:space="0" w:color="auto"/>
                      </w:divBdr>
                    </w:div>
                  </w:divsChild>
                </w:div>
                <w:div w:id="612324166">
                  <w:marLeft w:val="0"/>
                  <w:marRight w:val="0"/>
                  <w:marTop w:val="0"/>
                  <w:marBottom w:val="0"/>
                  <w:divBdr>
                    <w:top w:val="none" w:sz="0" w:space="0" w:color="auto"/>
                    <w:left w:val="none" w:sz="0" w:space="0" w:color="auto"/>
                    <w:bottom w:val="none" w:sz="0" w:space="0" w:color="auto"/>
                    <w:right w:val="none" w:sz="0" w:space="0" w:color="auto"/>
                  </w:divBdr>
                  <w:divsChild>
                    <w:div w:id="566457657">
                      <w:marLeft w:val="0"/>
                      <w:marRight w:val="0"/>
                      <w:marTop w:val="0"/>
                      <w:marBottom w:val="0"/>
                      <w:divBdr>
                        <w:top w:val="none" w:sz="0" w:space="0" w:color="auto"/>
                        <w:left w:val="none" w:sz="0" w:space="0" w:color="auto"/>
                        <w:bottom w:val="none" w:sz="0" w:space="0" w:color="auto"/>
                        <w:right w:val="none" w:sz="0" w:space="0" w:color="auto"/>
                      </w:divBdr>
                    </w:div>
                  </w:divsChild>
                </w:div>
                <w:div w:id="773130216">
                  <w:marLeft w:val="0"/>
                  <w:marRight w:val="0"/>
                  <w:marTop w:val="0"/>
                  <w:marBottom w:val="0"/>
                  <w:divBdr>
                    <w:top w:val="none" w:sz="0" w:space="0" w:color="auto"/>
                    <w:left w:val="none" w:sz="0" w:space="0" w:color="auto"/>
                    <w:bottom w:val="none" w:sz="0" w:space="0" w:color="auto"/>
                    <w:right w:val="none" w:sz="0" w:space="0" w:color="auto"/>
                  </w:divBdr>
                  <w:divsChild>
                    <w:div w:id="1944069387">
                      <w:marLeft w:val="0"/>
                      <w:marRight w:val="0"/>
                      <w:marTop w:val="0"/>
                      <w:marBottom w:val="0"/>
                      <w:divBdr>
                        <w:top w:val="none" w:sz="0" w:space="0" w:color="auto"/>
                        <w:left w:val="none" w:sz="0" w:space="0" w:color="auto"/>
                        <w:bottom w:val="none" w:sz="0" w:space="0" w:color="auto"/>
                        <w:right w:val="none" w:sz="0" w:space="0" w:color="auto"/>
                      </w:divBdr>
                    </w:div>
                  </w:divsChild>
                </w:div>
                <w:div w:id="789520195">
                  <w:marLeft w:val="0"/>
                  <w:marRight w:val="0"/>
                  <w:marTop w:val="0"/>
                  <w:marBottom w:val="0"/>
                  <w:divBdr>
                    <w:top w:val="none" w:sz="0" w:space="0" w:color="auto"/>
                    <w:left w:val="none" w:sz="0" w:space="0" w:color="auto"/>
                    <w:bottom w:val="none" w:sz="0" w:space="0" w:color="auto"/>
                    <w:right w:val="none" w:sz="0" w:space="0" w:color="auto"/>
                  </w:divBdr>
                  <w:divsChild>
                    <w:div w:id="2121102355">
                      <w:marLeft w:val="0"/>
                      <w:marRight w:val="0"/>
                      <w:marTop w:val="0"/>
                      <w:marBottom w:val="0"/>
                      <w:divBdr>
                        <w:top w:val="none" w:sz="0" w:space="0" w:color="auto"/>
                        <w:left w:val="none" w:sz="0" w:space="0" w:color="auto"/>
                        <w:bottom w:val="none" w:sz="0" w:space="0" w:color="auto"/>
                        <w:right w:val="none" w:sz="0" w:space="0" w:color="auto"/>
                      </w:divBdr>
                    </w:div>
                  </w:divsChild>
                </w:div>
                <w:div w:id="792285893">
                  <w:marLeft w:val="0"/>
                  <w:marRight w:val="0"/>
                  <w:marTop w:val="0"/>
                  <w:marBottom w:val="0"/>
                  <w:divBdr>
                    <w:top w:val="none" w:sz="0" w:space="0" w:color="auto"/>
                    <w:left w:val="none" w:sz="0" w:space="0" w:color="auto"/>
                    <w:bottom w:val="none" w:sz="0" w:space="0" w:color="auto"/>
                    <w:right w:val="none" w:sz="0" w:space="0" w:color="auto"/>
                  </w:divBdr>
                  <w:divsChild>
                    <w:div w:id="1350333476">
                      <w:marLeft w:val="0"/>
                      <w:marRight w:val="0"/>
                      <w:marTop w:val="0"/>
                      <w:marBottom w:val="0"/>
                      <w:divBdr>
                        <w:top w:val="none" w:sz="0" w:space="0" w:color="auto"/>
                        <w:left w:val="none" w:sz="0" w:space="0" w:color="auto"/>
                        <w:bottom w:val="none" w:sz="0" w:space="0" w:color="auto"/>
                        <w:right w:val="none" w:sz="0" w:space="0" w:color="auto"/>
                      </w:divBdr>
                    </w:div>
                  </w:divsChild>
                </w:div>
                <w:div w:id="810636702">
                  <w:marLeft w:val="0"/>
                  <w:marRight w:val="0"/>
                  <w:marTop w:val="0"/>
                  <w:marBottom w:val="0"/>
                  <w:divBdr>
                    <w:top w:val="none" w:sz="0" w:space="0" w:color="auto"/>
                    <w:left w:val="none" w:sz="0" w:space="0" w:color="auto"/>
                    <w:bottom w:val="none" w:sz="0" w:space="0" w:color="auto"/>
                    <w:right w:val="none" w:sz="0" w:space="0" w:color="auto"/>
                  </w:divBdr>
                  <w:divsChild>
                    <w:div w:id="965309836">
                      <w:marLeft w:val="0"/>
                      <w:marRight w:val="0"/>
                      <w:marTop w:val="0"/>
                      <w:marBottom w:val="0"/>
                      <w:divBdr>
                        <w:top w:val="none" w:sz="0" w:space="0" w:color="auto"/>
                        <w:left w:val="none" w:sz="0" w:space="0" w:color="auto"/>
                        <w:bottom w:val="none" w:sz="0" w:space="0" w:color="auto"/>
                        <w:right w:val="none" w:sz="0" w:space="0" w:color="auto"/>
                      </w:divBdr>
                    </w:div>
                  </w:divsChild>
                </w:div>
                <w:div w:id="847869065">
                  <w:marLeft w:val="0"/>
                  <w:marRight w:val="0"/>
                  <w:marTop w:val="0"/>
                  <w:marBottom w:val="0"/>
                  <w:divBdr>
                    <w:top w:val="none" w:sz="0" w:space="0" w:color="auto"/>
                    <w:left w:val="none" w:sz="0" w:space="0" w:color="auto"/>
                    <w:bottom w:val="none" w:sz="0" w:space="0" w:color="auto"/>
                    <w:right w:val="none" w:sz="0" w:space="0" w:color="auto"/>
                  </w:divBdr>
                  <w:divsChild>
                    <w:div w:id="953097950">
                      <w:marLeft w:val="0"/>
                      <w:marRight w:val="0"/>
                      <w:marTop w:val="0"/>
                      <w:marBottom w:val="0"/>
                      <w:divBdr>
                        <w:top w:val="none" w:sz="0" w:space="0" w:color="auto"/>
                        <w:left w:val="none" w:sz="0" w:space="0" w:color="auto"/>
                        <w:bottom w:val="none" w:sz="0" w:space="0" w:color="auto"/>
                        <w:right w:val="none" w:sz="0" w:space="0" w:color="auto"/>
                      </w:divBdr>
                    </w:div>
                  </w:divsChild>
                </w:div>
                <w:div w:id="850607423">
                  <w:marLeft w:val="0"/>
                  <w:marRight w:val="0"/>
                  <w:marTop w:val="0"/>
                  <w:marBottom w:val="0"/>
                  <w:divBdr>
                    <w:top w:val="none" w:sz="0" w:space="0" w:color="auto"/>
                    <w:left w:val="none" w:sz="0" w:space="0" w:color="auto"/>
                    <w:bottom w:val="none" w:sz="0" w:space="0" w:color="auto"/>
                    <w:right w:val="none" w:sz="0" w:space="0" w:color="auto"/>
                  </w:divBdr>
                  <w:divsChild>
                    <w:div w:id="452794748">
                      <w:marLeft w:val="0"/>
                      <w:marRight w:val="0"/>
                      <w:marTop w:val="0"/>
                      <w:marBottom w:val="0"/>
                      <w:divBdr>
                        <w:top w:val="none" w:sz="0" w:space="0" w:color="auto"/>
                        <w:left w:val="none" w:sz="0" w:space="0" w:color="auto"/>
                        <w:bottom w:val="none" w:sz="0" w:space="0" w:color="auto"/>
                        <w:right w:val="none" w:sz="0" w:space="0" w:color="auto"/>
                      </w:divBdr>
                    </w:div>
                  </w:divsChild>
                </w:div>
                <w:div w:id="918949515">
                  <w:marLeft w:val="0"/>
                  <w:marRight w:val="0"/>
                  <w:marTop w:val="0"/>
                  <w:marBottom w:val="0"/>
                  <w:divBdr>
                    <w:top w:val="none" w:sz="0" w:space="0" w:color="auto"/>
                    <w:left w:val="none" w:sz="0" w:space="0" w:color="auto"/>
                    <w:bottom w:val="none" w:sz="0" w:space="0" w:color="auto"/>
                    <w:right w:val="none" w:sz="0" w:space="0" w:color="auto"/>
                  </w:divBdr>
                  <w:divsChild>
                    <w:div w:id="814108295">
                      <w:marLeft w:val="0"/>
                      <w:marRight w:val="0"/>
                      <w:marTop w:val="0"/>
                      <w:marBottom w:val="0"/>
                      <w:divBdr>
                        <w:top w:val="none" w:sz="0" w:space="0" w:color="auto"/>
                        <w:left w:val="none" w:sz="0" w:space="0" w:color="auto"/>
                        <w:bottom w:val="none" w:sz="0" w:space="0" w:color="auto"/>
                        <w:right w:val="none" w:sz="0" w:space="0" w:color="auto"/>
                      </w:divBdr>
                    </w:div>
                  </w:divsChild>
                </w:div>
                <w:div w:id="978533607">
                  <w:marLeft w:val="0"/>
                  <w:marRight w:val="0"/>
                  <w:marTop w:val="0"/>
                  <w:marBottom w:val="0"/>
                  <w:divBdr>
                    <w:top w:val="none" w:sz="0" w:space="0" w:color="auto"/>
                    <w:left w:val="none" w:sz="0" w:space="0" w:color="auto"/>
                    <w:bottom w:val="none" w:sz="0" w:space="0" w:color="auto"/>
                    <w:right w:val="none" w:sz="0" w:space="0" w:color="auto"/>
                  </w:divBdr>
                  <w:divsChild>
                    <w:div w:id="1501694731">
                      <w:marLeft w:val="0"/>
                      <w:marRight w:val="0"/>
                      <w:marTop w:val="0"/>
                      <w:marBottom w:val="0"/>
                      <w:divBdr>
                        <w:top w:val="none" w:sz="0" w:space="0" w:color="auto"/>
                        <w:left w:val="none" w:sz="0" w:space="0" w:color="auto"/>
                        <w:bottom w:val="none" w:sz="0" w:space="0" w:color="auto"/>
                        <w:right w:val="none" w:sz="0" w:space="0" w:color="auto"/>
                      </w:divBdr>
                    </w:div>
                  </w:divsChild>
                </w:div>
                <w:div w:id="1155419501">
                  <w:marLeft w:val="0"/>
                  <w:marRight w:val="0"/>
                  <w:marTop w:val="0"/>
                  <w:marBottom w:val="0"/>
                  <w:divBdr>
                    <w:top w:val="none" w:sz="0" w:space="0" w:color="auto"/>
                    <w:left w:val="none" w:sz="0" w:space="0" w:color="auto"/>
                    <w:bottom w:val="none" w:sz="0" w:space="0" w:color="auto"/>
                    <w:right w:val="none" w:sz="0" w:space="0" w:color="auto"/>
                  </w:divBdr>
                  <w:divsChild>
                    <w:div w:id="1145703817">
                      <w:marLeft w:val="0"/>
                      <w:marRight w:val="0"/>
                      <w:marTop w:val="0"/>
                      <w:marBottom w:val="0"/>
                      <w:divBdr>
                        <w:top w:val="none" w:sz="0" w:space="0" w:color="auto"/>
                        <w:left w:val="none" w:sz="0" w:space="0" w:color="auto"/>
                        <w:bottom w:val="none" w:sz="0" w:space="0" w:color="auto"/>
                        <w:right w:val="none" w:sz="0" w:space="0" w:color="auto"/>
                      </w:divBdr>
                    </w:div>
                  </w:divsChild>
                </w:div>
                <w:div w:id="1194808243">
                  <w:marLeft w:val="0"/>
                  <w:marRight w:val="0"/>
                  <w:marTop w:val="0"/>
                  <w:marBottom w:val="0"/>
                  <w:divBdr>
                    <w:top w:val="none" w:sz="0" w:space="0" w:color="auto"/>
                    <w:left w:val="none" w:sz="0" w:space="0" w:color="auto"/>
                    <w:bottom w:val="none" w:sz="0" w:space="0" w:color="auto"/>
                    <w:right w:val="none" w:sz="0" w:space="0" w:color="auto"/>
                  </w:divBdr>
                  <w:divsChild>
                    <w:div w:id="1909068399">
                      <w:marLeft w:val="0"/>
                      <w:marRight w:val="0"/>
                      <w:marTop w:val="0"/>
                      <w:marBottom w:val="0"/>
                      <w:divBdr>
                        <w:top w:val="none" w:sz="0" w:space="0" w:color="auto"/>
                        <w:left w:val="none" w:sz="0" w:space="0" w:color="auto"/>
                        <w:bottom w:val="none" w:sz="0" w:space="0" w:color="auto"/>
                        <w:right w:val="none" w:sz="0" w:space="0" w:color="auto"/>
                      </w:divBdr>
                    </w:div>
                  </w:divsChild>
                </w:div>
                <w:div w:id="1224026002">
                  <w:marLeft w:val="0"/>
                  <w:marRight w:val="0"/>
                  <w:marTop w:val="0"/>
                  <w:marBottom w:val="0"/>
                  <w:divBdr>
                    <w:top w:val="none" w:sz="0" w:space="0" w:color="auto"/>
                    <w:left w:val="none" w:sz="0" w:space="0" w:color="auto"/>
                    <w:bottom w:val="none" w:sz="0" w:space="0" w:color="auto"/>
                    <w:right w:val="none" w:sz="0" w:space="0" w:color="auto"/>
                  </w:divBdr>
                  <w:divsChild>
                    <w:div w:id="422460238">
                      <w:marLeft w:val="0"/>
                      <w:marRight w:val="0"/>
                      <w:marTop w:val="0"/>
                      <w:marBottom w:val="0"/>
                      <w:divBdr>
                        <w:top w:val="none" w:sz="0" w:space="0" w:color="auto"/>
                        <w:left w:val="none" w:sz="0" w:space="0" w:color="auto"/>
                        <w:bottom w:val="none" w:sz="0" w:space="0" w:color="auto"/>
                        <w:right w:val="none" w:sz="0" w:space="0" w:color="auto"/>
                      </w:divBdr>
                    </w:div>
                  </w:divsChild>
                </w:div>
                <w:div w:id="1226644468">
                  <w:marLeft w:val="0"/>
                  <w:marRight w:val="0"/>
                  <w:marTop w:val="0"/>
                  <w:marBottom w:val="0"/>
                  <w:divBdr>
                    <w:top w:val="none" w:sz="0" w:space="0" w:color="auto"/>
                    <w:left w:val="none" w:sz="0" w:space="0" w:color="auto"/>
                    <w:bottom w:val="none" w:sz="0" w:space="0" w:color="auto"/>
                    <w:right w:val="none" w:sz="0" w:space="0" w:color="auto"/>
                  </w:divBdr>
                  <w:divsChild>
                    <w:div w:id="1175538158">
                      <w:marLeft w:val="0"/>
                      <w:marRight w:val="0"/>
                      <w:marTop w:val="0"/>
                      <w:marBottom w:val="0"/>
                      <w:divBdr>
                        <w:top w:val="none" w:sz="0" w:space="0" w:color="auto"/>
                        <w:left w:val="none" w:sz="0" w:space="0" w:color="auto"/>
                        <w:bottom w:val="none" w:sz="0" w:space="0" w:color="auto"/>
                        <w:right w:val="none" w:sz="0" w:space="0" w:color="auto"/>
                      </w:divBdr>
                    </w:div>
                  </w:divsChild>
                </w:div>
                <w:div w:id="1237209948">
                  <w:marLeft w:val="0"/>
                  <w:marRight w:val="0"/>
                  <w:marTop w:val="0"/>
                  <w:marBottom w:val="0"/>
                  <w:divBdr>
                    <w:top w:val="none" w:sz="0" w:space="0" w:color="auto"/>
                    <w:left w:val="none" w:sz="0" w:space="0" w:color="auto"/>
                    <w:bottom w:val="none" w:sz="0" w:space="0" w:color="auto"/>
                    <w:right w:val="none" w:sz="0" w:space="0" w:color="auto"/>
                  </w:divBdr>
                  <w:divsChild>
                    <w:div w:id="2109347893">
                      <w:marLeft w:val="0"/>
                      <w:marRight w:val="0"/>
                      <w:marTop w:val="0"/>
                      <w:marBottom w:val="0"/>
                      <w:divBdr>
                        <w:top w:val="none" w:sz="0" w:space="0" w:color="auto"/>
                        <w:left w:val="none" w:sz="0" w:space="0" w:color="auto"/>
                        <w:bottom w:val="none" w:sz="0" w:space="0" w:color="auto"/>
                        <w:right w:val="none" w:sz="0" w:space="0" w:color="auto"/>
                      </w:divBdr>
                    </w:div>
                  </w:divsChild>
                </w:div>
                <w:div w:id="1243637774">
                  <w:marLeft w:val="0"/>
                  <w:marRight w:val="0"/>
                  <w:marTop w:val="0"/>
                  <w:marBottom w:val="0"/>
                  <w:divBdr>
                    <w:top w:val="none" w:sz="0" w:space="0" w:color="auto"/>
                    <w:left w:val="none" w:sz="0" w:space="0" w:color="auto"/>
                    <w:bottom w:val="none" w:sz="0" w:space="0" w:color="auto"/>
                    <w:right w:val="none" w:sz="0" w:space="0" w:color="auto"/>
                  </w:divBdr>
                  <w:divsChild>
                    <w:div w:id="1736275131">
                      <w:marLeft w:val="0"/>
                      <w:marRight w:val="0"/>
                      <w:marTop w:val="0"/>
                      <w:marBottom w:val="0"/>
                      <w:divBdr>
                        <w:top w:val="none" w:sz="0" w:space="0" w:color="auto"/>
                        <w:left w:val="none" w:sz="0" w:space="0" w:color="auto"/>
                        <w:bottom w:val="none" w:sz="0" w:space="0" w:color="auto"/>
                        <w:right w:val="none" w:sz="0" w:space="0" w:color="auto"/>
                      </w:divBdr>
                    </w:div>
                  </w:divsChild>
                </w:div>
                <w:div w:id="1262568025">
                  <w:marLeft w:val="0"/>
                  <w:marRight w:val="0"/>
                  <w:marTop w:val="0"/>
                  <w:marBottom w:val="0"/>
                  <w:divBdr>
                    <w:top w:val="none" w:sz="0" w:space="0" w:color="auto"/>
                    <w:left w:val="none" w:sz="0" w:space="0" w:color="auto"/>
                    <w:bottom w:val="none" w:sz="0" w:space="0" w:color="auto"/>
                    <w:right w:val="none" w:sz="0" w:space="0" w:color="auto"/>
                  </w:divBdr>
                  <w:divsChild>
                    <w:div w:id="239144359">
                      <w:marLeft w:val="0"/>
                      <w:marRight w:val="0"/>
                      <w:marTop w:val="0"/>
                      <w:marBottom w:val="0"/>
                      <w:divBdr>
                        <w:top w:val="none" w:sz="0" w:space="0" w:color="auto"/>
                        <w:left w:val="none" w:sz="0" w:space="0" w:color="auto"/>
                        <w:bottom w:val="none" w:sz="0" w:space="0" w:color="auto"/>
                        <w:right w:val="none" w:sz="0" w:space="0" w:color="auto"/>
                      </w:divBdr>
                    </w:div>
                  </w:divsChild>
                </w:div>
                <w:div w:id="1286742037">
                  <w:marLeft w:val="0"/>
                  <w:marRight w:val="0"/>
                  <w:marTop w:val="0"/>
                  <w:marBottom w:val="0"/>
                  <w:divBdr>
                    <w:top w:val="none" w:sz="0" w:space="0" w:color="auto"/>
                    <w:left w:val="none" w:sz="0" w:space="0" w:color="auto"/>
                    <w:bottom w:val="none" w:sz="0" w:space="0" w:color="auto"/>
                    <w:right w:val="none" w:sz="0" w:space="0" w:color="auto"/>
                  </w:divBdr>
                  <w:divsChild>
                    <w:div w:id="1444808756">
                      <w:marLeft w:val="0"/>
                      <w:marRight w:val="0"/>
                      <w:marTop w:val="0"/>
                      <w:marBottom w:val="0"/>
                      <w:divBdr>
                        <w:top w:val="none" w:sz="0" w:space="0" w:color="auto"/>
                        <w:left w:val="none" w:sz="0" w:space="0" w:color="auto"/>
                        <w:bottom w:val="none" w:sz="0" w:space="0" w:color="auto"/>
                        <w:right w:val="none" w:sz="0" w:space="0" w:color="auto"/>
                      </w:divBdr>
                    </w:div>
                  </w:divsChild>
                </w:div>
                <w:div w:id="1385371229">
                  <w:marLeft w:val="0"/>
                  <w:marRight w:val="0"/>
                  <w:marTop w:val="0"/>
                  <w:marBottom w:val="0"/>
                  <w:divBdr>
                    <w:top w:val="none" w:sz="0" w:space="0" w:color="auto"/>
                    <w:left w:val="none" w:sz="0" w:space="0" w:color="auto"/>
                    <w:bottom w:val="none" w:sz="0" w:space="0" w:color="auto"/>
                    <w:right w:val="none" w:sz="0" w:space="0" w:color="auto"/>
                  </w:divBdr>
                  <w:divsChild>
                    <w:div w:id="1119910706">
                      <w:marLeft w:val="0"/>
                      <w:marRight w:val="0"/>
                      <w:marTop w:val="0"/>
                      <w:marBottom w:val="0"/>
                      <w:divBdr>
                        <w:top w:val="none" w:sz="0" w:space="0" w:color="auto"/>
                        <w:left w:val="none" w:sz="0" w:space="0" w:color="auto"/>
                        <w:bottom w:val="none" w:sz="0" w:space="0" w:color="auto"/>
                        <w:right w:val="none" w:sz="0" w:space="0" w:color="auto"/>
                      </w:divBdr>
                    </w:div>
                  </w:divsChild>
                </w:div>
                <w:div w:id="1396975017">
                  <w:marLeft w:val="0"/>
                  <w:marRight w:val="0"/>
                  <w:marTop w:val="0"/>
                  <w:marBottom w:val="0"/>
                  <w:divBdr>
                    <w:top w:val="none" w:sz="0" w:space="0" w:color="auto"/>
                    <w:left w:val="none" w:sz="0" w:space="0" w:color="auto"/>
                    <w:bottom w:val="none" w:sz="0" w:space="0" w:color="auto"/>
                    <w:right w:val="none" w:sz="0" w:space="0" w:color="auto"/>
                  </w:divBdr>
                  <w:divsChild>
                    <w:div w:id="176578942">
                      <w:marLeft w:val="0"/>
                      <w:marRight w:val="0"/>
                      <w:marTop w:val="0"/>
                      <w:marBottom w:val="0"/>
                      <w:divBdr>
                        <w:top w:val="none" w:sz="0" w:space="0" w:color="auto"/>
                        <w:left w:val="none" w:sz="0" w:space="0" w:color="auto"/>
                        <w:bottom w:val="none" w:sz="0" w:space="0" w:color="auto"/>
                        <w:right w:val="none" w:sz="0" w:space="0" w:color="auto"/>
                      </w:divBdr>
                    </w:div>
                  </w:divsChild>
                </w:div>
                <w:div w:id="1424915133">
                  <w:marLeft w:val="0"/>
                  <w:marRight w:val="0"/>
                  <w:marTop w:val="0"/>
                  <w:marBottom w:val="0"/>
                  <w:divBdr>
                    <w:top w:val="none" w:sz="0" w:space="0" w:color="auto"/>
                    <w:left w:val="none" w:sz="0" w:space="0" w:color="auto"/>
                    <w:bottom w:val="none" w:sz="0" w:space="0" w:color="auto"/>
                    <w:right w:val="none" w:sz="0" w:space="0" w:color="auto"/>
                  </w:divBdr>
                  <w:divsChild>
                    <w:div w:id="237056816">
                      <w:marLeft w:val="0"/>
                      <w:marRight w:val="0"/>
                      <w:marTop w:val="0"/>
                      <w:marBottom w:val="0"/>
                      <w:divBdr>
                        <w:top w:val="none" w:sz="0" w:space="0" w:color="auto"/>
                        <w:left w:val="none" w:sz="0" w:space="0" w:color="auto"/>
                        <w:bottom w:val="none" w:sz="0" w:space="0" w:color="auto"/>
                        <w:right w:val="none" w:sz="0" w:space="0" w:color="auto"/>
                      </w:divBdr>
                    </w:div>
                  </w:divsChild>
                </w:div>
                <w:div w:id="1474833244">
                  <w:marLeft w:val="0"/>
                  <w:marRight w:val="0"/>
                  <w:marTop w:val="0"/>
                  <w:marBottom w:val="0"/>
                  <w:divBdr>
                    <w:top w:val="none" w:sz="0" w:space="0" w:color="auto"/>
                    <w:left w:val="none" w:sz="0" w:space="0" w:color="auto"/>
                    <w:bottom w:val="none" w:sz="0" w:space="0" w:color="auto"/>
                    <w:right w:val="none" w:sz="0" w:space="0" w:color="auto"/>
                  </w:divBdr>
                  <w:divsChild>
                    <w:div w:id="1666666584">
                      <w:marLeft w:val="0"/>
                      <w:marRight w:val="0"/>
                      <w:marTop w:val="0"/>
                      <w:marBottom w:val="0"/>
                      <w:divBdr>
                        <w:top w:val="none" w:sz="0" w:space="0" w:color="auto"/>
                        <w:left w:val="none" w:sz="0" w:space="0" w:color="auto"/>
                        <w:bottom w:val="none" w:sz="0" w:space="0" w:color="auto"/>
                        <w:right w:val="none" w:sz="0" w:space="0" w:color="auto"/>
                      </w:divBdr>
                    </w:div>
                  </w:divsChild>
                </w:div>
                <w:div w:id="1478449783">
                  <w:marLeft w:val="0"/>
                  <w:marRight w:val="0"/>
                  <w:marTop w:val="0"/>
                  <w:marBottom w:val="0"/>
                  <w:divBdr>
                    <w:top w:val="none" w:sz="0" w:space="0" w:color="auto"/>
                    <w:left w:val="none" w:sz="0" w:space="0" w:color="auto"/>
                    <w:bottom w:val="none" w:sz="0" w:space="0" w:color="auto"/>
                    <w:right w:val="none" w:sz="0" w:space="0" w:color="auto"/>
                  </w:divBdr>
                  <w:divsChild>
                    <w:div w:id="1690258026">
                      <w:marLeft w:val="0"/>
                      <w:marRight w:val="0"/>
                      <w:marTop w:val="0"/>
                      <w:marBottom w:val="0"/>
                      <w:divBdr>
                        <w:top w:val="none" w:sz="0" w:space="0" w:color="auto"/>
                        <w:left w:val="none" w:sz="0" w:space="0" w:color="auto"/>
                        <w:bottom w:val="none" w:sz="0" w:space="0" w:color="auto"/>
                        <w:right w:val="none" w:sz="0" w:space="0" w:color="auto"/>
                      </w:divBdr>
                    </w:div>
                  </w:divsChild>
                </w:div>
                <w:div w:id="1505705781">
                  <w:marLeft w:val="0"/>
                  <w:marRight w:val="0"/>
                  <w:marTop w:val="0"/>
                  <w:marBottom w:val="0"/>
                  <w:divBdr>
                    <w:top w:val="none" w:sz="0" w:space="0" w:color="auto"/>
                    <w:left w:val="none" w:sz="0" w:space="0" w:color="auto"/>
                    <w:bottom w:val="none" w:sz="0" w:space="0" w:color="auto"/>
                    <w:right w:val="none" w:sz="0" w:space="0" w:color="auto"/>
                  </w:divBdr>
                  <w:divsChild>
                    <w:div w:id="1628118714">
                      <w:marLeft w:val="0"/>
                      <w:marRight w:val="0"/>
                      <w:marTop w:val="0"/>
                      <w:marBottom w:val="0"/>
                      <w:divBdr>
                        <w:top w:val="none" w:sz="0" w:space="0" w:color="auto"/>
                        <w:left w:val="none" w:sz="0" w:space="0" w:color="auto"/>
                        <w:bottom w:val="none" w:sz="0" w:space="0" w:color="auto"/>
                        <w:right w:val="none" w:sz="0" w:space="0" w:color="auto"/>
                      </w:divBdr>
                    </w:div>
                  </w:divsChild>
                </w:div>
                <w:div w:id="1506817724">
                  <w:marLeft w:val="0"/>
                  <w:marRight w:val="0"/>
                  <w:marTop w:val="0"/>
                  <w:marBottom w:val="0"/>
                  <w:divBdr>
                    <w:top w:val="none" w:sz="0" w:space="0" w:color="auto"/>
                    <w:left w:val="none" w:sz="0" w:space="0" w:color="auto"/>
                    <w:bottom w:val="none" w:sz="0" w:space="0" w:color="auto"/>
                    <w:right w:val="none" w:sz="0" w:space="0" w:color="auto"/>
                  </w:divBdr>
                  <w:divsChild>
                    <w:div w:id="1466192187">
                      <w:marLeft w:val="0"/>
                      <w:marRight w:val="0"/>
                      <w:marTop w:val="0"/>
                      <w:marBottom w:val="0"/>
                      <w:divBdr>
                        <w:top w:val="none" w:sz="0" w:space="0" w:color="auto"/>
                        <w:left w:val="none" w:sz="0" w:space="0" w:color="auto"/>
                        <w:bottom w:val="none" w:sz="0" w:space="0" w:color="auto"/>
                        <w:right w:val="none" w:sz="0" w:space="0" w:color="auto"/>
                      </w:divBdr>
                    </w:div>
                  </w:divsChild>
                </w:div>
                <w:div w:id="1507204329">
                  <w:marLeft w:val="0"/>
                  <w:marRight w:val="0"/>
                  <w:marTop w:val="0"/>
                  <w:marBottom w:val="0"/>
                  <w:divBdr>
                    <w:top w:val="none" w:sz="0" w:space="0" w:color="auto"/>
                    <w:left w:val="none" w:sz="0" w:space="0" w:color="auto"/>
                    <w:bottom w:val="none" w:sz="0" w:space="0" w:color="auto"/>
                    <w:right w:val="none" w:sz="0" w:space="0" w:color="auto"/>
                  </w:divBdr>
                  <w:divsChild>
                    <w:div w:id="453139381">
                      <w:marLeft w:val="0"/>
                      <w:marRight w:val="0"/>
                      <w:marTop w:val="0"/>
                      <w:marBottom w:val="0"/>
                      <w:divBdr>
                        <w:top w:val="none" w:sz="0" w:space="0" w:color="auto"/>
                        <w:left w:val="none" w:sz="0" w:space="0" w:color="auto"/>
                        <w:bottom w:val="none" w:sz="0" w:space="0" w:color="auto"/>
                        <w:right w:val="none" w:sz="0" w:space="0" w:color="auto"/>
                      </w:divBdr>
                    </w:div>
                  </w:divsChild>
                </w:div>
                <w:div w:id="1557735702">
                  <w:marLeft w:val="0"/>
                  <w:marRight w:val="0"/>
                  <w:marTop w:val="0"/>
                  <w:marBottom w:val="0"/>
                  <w:divBdr>
                    <w:top w:val="none" w:sz="0" w:space="0" w:color="auto"/>
                    <w:left w:val="none" w:sz="0" w:space="0" w:color="auto"/>
                    <w:bottom w:val="none" w:sz="0" w:space="0" w:color="auto"/>
                    <w:right w:val="none" w:sz="0" w:space="0" w:color="auto"/>
                  </w:divBdr>
                  <w:divsChild>
                    <w:div w:id="882329771">
                      <w:marLeft w:val="0"/>
                      <w:marRight w:val="0"/>
                      <w:marTop w:val="0"/>
                      <w:marBottom w:val="0"/>
                      <w:divBdr>
                        <w:top w:val="none" w:sz="0" w:space="0" w:color="auto"/>
                        <w:left w:val="none" w:sz="0" w:space="0" w:color="auto"/>
                        <w:bottom w:val="none" w:sz="0" w:space="0" w:color="auto"/>
                        <w:right w:val="none" w:sz="0" w:space="0" w:color="auto"/>
                      </w:divBdr>
                    </w:div>
                  </w:divsChild>
                </w:div>
                <w:div w:id="1707171596">
                  <w:marLeft w:val="0"/>
                  <w:marRight w:val="0"/>
                  <w:marTop w:val="0"/>
                  <w:marBottom w:val="0"/>
                  <w:divBdr>
                    <w:top w:val="none" w:sz="0" w:space="0" w:color="auto"/>
                    <w:left w:val="none" w:sz="0" w:space="0" w:color="auto"/>
                    <w:bottom w:val="none" w:sz="0" w:space="0" w:color="auto"/>
                    <w:right w:val="none" w:sz="0" w:space="0" w:color="auto"/>
                  </w:divBdr>
                  <w:divsChild>
                    <w:div w:id="1086879545">
                      <w:marLeft w:val="0"/>
                      <w:marRight w:val="0"/>
                      <w:marTop w:val="0"/>
                      <w:marBottom w:val="0"/>
                      <w:divBdr>
                        <w:top w:val="none" w:sz="0" w:space="0" w:color="auto"/>
                        <w:left w:val="none" w:sz="0" w:space="0" w:color="auto"/>
                        <w:bottom w:val="none" w:sz="0" w:space="0" w:color="auto"/>
                        <w:right w:val="none" w:sz="0" w:space="0" w:color="auto"/>
                      </w:divBdr>
                    </w:div>
                  </w:divsChild>
                </w:div>
                <w:div w:id="1730306347">
                  <w:marLeft w:val="0"/>
                  <w:marRight w:val="0"/>
                  <w:marTop w:val="0"/>
                  <w:marBottom w:val="0"/>
                  <w:divBdr>
                    <w:top w:val="none" w:sz="0" w:space="0" w:color="auto"/>
                    <w:left w:val="none" w:sz="0" w:space="0" w:color="auto"/>
                    <w:bottom w:val="none" w:sz="0" w:space="0" w:color="auto"/>
                    <w:right w:val="none" w:sz="0" w:space="0" w:color="auto"/>
                  </w:divBdr>
                  <w:divsChild>
                    <w:div w:id="1625766635">
                      <w:marLeft w:val="0"/>
                      <w:marRight w:val="0"/>
                      <w:marTop w:val="0"/>
                      <w:marBottom w:val="0"/>
                      <w:divBdr>
                        <w:top w:val="none" w:sz="0" w:space="0" w:color="auto"/>
                        <w:left w:val="none" w:sz="0" w:space="0" w:color="auto"/>
                        <w:bottom w:val="none" w:sz="0" w:space="0" w:color="auto"/>
                        <w:right w:val="none" w:sz="0" w:space="0" w:color="auto"/>
                      </w:divBdr>
                    </w:div>
                  </w:divsChild>
                </w:div>
                <w:div w:id="1736587377">
                  <w:marLeft w:val="0"/>
                  <w:marRight w:val="0"/>
                  <w:marTop w:val="0"/>
                  <w:marBottom w:val="0"/>
                  <w:divBdr>
                    <w:top w:val="none" w:sz="0" w:space="0" w:color="auto"/>
                    <w:left w:val="none" w:sz="0" w:space="0" w:color="auto"/>
                    <w:bottom w:val="none" w:sz="0" w:space="0" w:color="auto"/>
                    <w:right w:val="none" w:sz="0" w:space="0" w:color="auto"/>
                  </w:divBdr>
                  <w:divsChild>
                    <w:div w:id="1764645904">
                      <w:marLeft w:val="0"/>
                      <w:marRight w:val="0"/>
                      <w:marTop w:val="0"/>
                      <w:marBottom w:val="0"/>
                      <w:divBdr>
                        <w:top w:val="none" w:sz="0" w:space="0" w:color="auto"/>
                        <w:left w:val="none" w:sz="0" w:space="0" w:color="auto"/>
                        <w:bottom w:val="none" w:sz="0" w:space="0" w:color="auto"/>
                        <w:right w:val="none" w:sz="0" w:space="0" w:color="auto"/>
                      </w:divBdr>
                    </w:div>
                  </w:divsChild>
                </w:div>
                <w:div w:id="1744059830">
                  <w:marLeft w:val="0"/>
                  <w:marRight w:val="0"/>
                  <w:marTop w:val="0"/>
                  <w:marBottom w:val="0"/>
                  <w:divBdr>
                    <w:top w:val="none" w:sz="0" w:space="0" w:color="auto"/>
                    <w:left w:val="none" w:sz="0" w:space="0" w:color="auto"/>
                    <w:bottom w:val="none" w:sz="0" w:space="0" w:color="auto"/>
                    <w:right w:val="none" w:sz="0" w:space="0" w:color="auto"/>
                  </w:divBdr>
                  <w:divsChild>
                    <w:div w:id="1365448178">
                      <w:marLeft w:val="0"/>
                      <w:marRight w:val="0"/>
                      <w:marTop w:val="0"/>
                      <w:marBottom w:val="0"/>
                      <w:divBdr>
                        <w:top w:val="none" w:sz="0" w:space="0" w:color="auto"/>
                        <w:left w:val="none" w:sz="0" w:space="0" w:color="auto"/>
                        <w:bottom w:val="none" w:sz="0" w:space="0" w:color="auto"/>
                        <w:right w:val="none" w:sz="0" w:space="0" w:color="auto"/>
                      </w:divBdr>
                    </w:div>
                  </w:divsChild>
                </w:div>
                <w:div w:id="1749495171">
                  <w:marLeft w:val="0"/>
                  <w:marRight w:val="0"/>
                  <w:marTop w:val="0"/>
                  <w:marBottom w:val="0"/>
                  <w:divBdr>
                    <w:top w:val="none" w:sz="0" w:space="0" w:color="auto"/>
                    <w:left w:val="none" w:sz="0" w:space="0" w:color="auto"/>
                    <w:bottom w:val="none" w:sz="0" w:space="0" w:color="auto"/>
                    <w:right w:val="none" w:sz="0" w:space="0" w:color="auto"/>
                  </w:divBdr>
                  <w:divsChild>
                    <w:div w:id="155919682">
                      <w:marLeft w:val="0"/>
                      <w:marRight w:val="0"/>
                      <w:marTop w:val="0"/>
                      <w:marBottom w:val="0"/>
                      <w:divBdr>
                        <w:top w:val="none" w:sz="0" w:space="0" w:color="auto"/>
                        <w:left w:val="none" w:sz="0" w:space="0" w:color="auto"/>
                        <w:bottom w:val="none" w:sz="0" w:space="0" w:color="auto"/>
                        <w:right w:val="none" w:sz="0" w:space="0" w:color="auto"/>
                      </w:divBdr>
                    </w:div>
                  </w:divsChild>
                </w:div>
                <w:div w:id="1750151477">
                  <w:marLeft w:val="0"/>
                  <w:marRight w:val="0"/>
                  <w:marTop w:val="0"/>
                  <w:marBottom w:val="0"/>
                  <w:divBdr>
                    <w:top w:val="none" w:sz="0" w:space="0" w:color="auto"/>
                    <w:left w:val="none" w:sz="0" w:space="0" w:color="auto"/>
                    <w:bottom w:val="none" w:sz="0" w:space="0" w:color="auto"/>
                    <w:right w:val="none" w:sz="0" w:space="0" w:color="auto"/>
                  </w:divBdr>
                  <w:divsChild>
                    <w:div w:id="1153063555">
                      <w:marLeft w:val="0"/>
                      <w:marRight w:val="0"/>
                      <w:marTop w:val="0"/>
                      <w:marBottom w:val="0"/>
                      <w:divBdr>
                        <w:top w:val="none" w:sz="0" w:space="0" w:color="auto"/>
                        <w:left w:val="none" w:sz="0" w:space="0" w:color="auto"/>
                        <w:bottom w:val="none" w:sz="0" w:space="0" w:color="auto"/>
                        <w:right w:val="none" w:sz="0" w:space="0" w:color="auto"/>
                      </w:divBdr>
                    </w:div>
                  </w:divsChild>
                </w:div>
                <w:div w:id="1762991885">
                  <w:marLeft w:val="0"/>
                  <w:marRight w:val="0"/>
                  <w:marTop w:val="0"/>
                  <w:marBottom w:val="0"/>
                  <w:divBdr>
                    <w:top w:val="none" w:sz="0" w:space="0" w:color="auto"/>
                    <w:left w:val="none" w:sz="0" w:space="0" w:color="auto"/>
                    <w:bottom w:val="none" w:sz="0" w:space="0" w:color="auto"/>
                    <w:right w:val="none" w:sz="0" w:space="0" w:color="auto"/>
                  </w:divBdr>
                  <w:divsChild>
                    <w:div w:id="361707510">
                      <w:marLeft w:val="0"/>
                      <w:marRight w:val="0"/>
                      <w:marTop w:val="0"/>
                      <w:marBottom w:val="0"/>
                      <w:divBdr>
                        <w:top w:val="none" w:sz="0" w:space="0" w:color="auto"/>
                        <w:left w:val="none" w:sz="0" w:space="0" w:color="auto"/>
                        <w:bottom w:val="none" w:sz="0" w:space="0" w:color="auto"/>
                        <w:right w:val="none" w:sz="0" w:space="0" w:color="auto"/>
                      </w:divBdr>
                    </w:div>
                  </w:divsChild>
                </w:div>
                <w:div w:id="1784763455">
                  <w:marLeft w:val="0"/>
                  <w:marRight w:val="0"/>
                  <w:marTop w:val="0"/>
                  <w:marBottom w:val="0"/>
                  <w:divBdr>
                    <w:top w:val="none" w:sz="0" w:space="0" w:color="auto"/>
                    <w:left w:val="none" w:sz="0" w:space="0" w:color="auto"/>
                    <w:bottom w:val="none" w:sz="0" w:space="0" w:color="auto"/>
                    <w:right w:val="none" w:sz="0" w:space="0" w:color="auto"/>
                  </w:divBdr>
                  <w:divsChild>
                    <w:div w:id="557977527">
                      <w:marLeft w:val="0"/>
                      <w:marRight w:val="0"/>
                      <w:marTop w:val="0"/>
                      <w:marBottom w:val="0"/>
                      <w:divBdr>
                        <w:top w:val="none" w:sz="0" w:space="0" w:color="auto"/>
                        <w:left w:val="none" w:sz="0" w:space="0" w:color="auto"/>
                        <w:bottom w:val="none" w:sz="0" w:space="0" w:color="auto"/>
                        <w:right w:val="none" w:sz="0" w:space="0" w:color="auto"/>
                      </w:divBdr>
                    </w:div>
                  </w:divsChild>
                </w:div>
                <w:div w:id="1809277463">
                  <w:marLeft w:val="0"/>
                  <w:marRight w:val="0"/>
                  <w:marTop w:val="0"/>
                  <w:marBottom w:val="0"/>
                  <w:divBdr>
                    <w:top w:val="none" w:sz="0" w:space="0" w:color="auto"/>
                    <w:left w:val="none" w:sz="0" w:space="0" w:color="auto"/>
                    <w:bottom w:val="none" w:sz="0" w:space="0" w:color="auto"/>
                    <w:right w:val="none" w:sz="0" w:space="0" w:color="auto"/>
                  </w:divBdr>
                  <w:divsChild>
                    <w:div w:id="1819836398">
                      <w:marLeft w:val="0"/>
                      <w:marRight w:val="0"/>
                      <w:marTop w:val="0"/>
                      <w:marBottom w:val="0"/>
                      <w:divBdr>
                        <w:top w:val="none" w:sz="0" w:space="0" w:color="auto"/>
                        <w:left w:val="none" w:sz="0" w:space="0" w:color="auto"/>
                        <w:bottom w:val="none" w:sz="0" w:space="0" w:color="auto"/>
                        <w:right w:val="none" w:sz="0" w:space="0" w:color="auto"/>
                      </w:divBdr>
                    </w:div>
                  </w:divsChild>
                </w:div>
                <w:div w:id="1853033767">
                  <w:marLeft w:val="0"/>
                  <w:marRight w:val="0"/>
                  <w:marTop w:val="0"/>
                  <w:marBottom w:val="0"/>
                  <w:divBdr>
                    <w:top w:val="none" w:sz="0" w:space="0" w:color="auto"/>
                    <w:left w:val="none" w:sz="0" w:space="0" w:color="auto"/>
                    <w:bottom w:val="none" w:sz="0" w:space="0" w:color="auto"/>
                    <w:right w:val="none" w:sz="0" w:space="0" w:color="auto"/>
                  </w:divBdr>
                  <w:divsChild>
                    <w:div w:id="1003363146">
                      <w:marLeft w:val="0"/>
                      <w:marRight w:val="0"/>
                      <w:marTop w:val="0"/>
                      <w:marBottom w:val="0"/>
                      <w:divBdr>
                        <w:top w:val="none" w:sz="0" w:space="0" w:color="auto"/>
                        <w:left w:val="none" w:sz="0" w:space="0" w:color="auto"/>
                        <w:bottom w:val="none" w:sz="0" w:space="0" w:color="auto"/>
                        <w:right w:val="none" w:sz="0" w:space="0" w:color="auto"/>
                      </w:divBdr>
                    </w:div>
                  </w:divsChild>
                </w:div>
                <w:div w:id="1880893870">
                  <w:marLeft w:val="0"/>
                  <w:marRight w:val="0"/>
                  <w:marTop w:val="0"/>
                  <w:marBottom w:val="0"/>
                  <w:divBdr>
                    <w:top w:val="none" w:sz="0" w:space="0" w:color="auto"/>
                    <w:left w:val="none" w:sz="0" w:space="0" w:color="auto"/>
                    <w:bottom w:val="none" w:sz="0" w:space="0" w:color="auto"/>
                    <w:right w:val="none" w:sz="0" w:space="0" w:color="auto"/>
                  </w:divBdr>
                  <w:divsChild>
                    <w:div w:id="771054691">
                      <w:marLeft w:val="0"/>
                      <w:marRight w:val="0"/>
                      <w:marTop w:val="0"/>
                      <w:marBottom w:val="0"/>
                      <w:divBdr>
                        <w:top w:val="none" w:sz="0" w:space="0" w:color="auto"/>
                        <w:left w:val="none" w:sz="0" w:space="0" w:color="auto"/>
                        <w:bottom w:val="none" w:sz="0" w:space="0" w:color="auto"/>
                        <w:right w:val="none" w:sz="0" w:space="0" w:color="auto"/>
                      </w:divBdr>
                    </w:div>
                  </w:divsChild>
                </w:div>
                <w:div w:id="1898079000">
                  <w:marLeft w:val="0"/>
                  <w:marRight w:val="0"/>
                  <w:marTop w:val="0"/>
                  <w:marBottom w:val="0"/>
                  <w:divBdr>
                    <w:top w:val="none" w:sz="0" w:space="0" w:color="auto"/>
                    <w:left w:val="none" w:sz="0" w:space="0" w:color="auto"/>
                    <w:bottom w:val="none" w:sz="0" w:space="0" w:color="auto"/>
                    <w:right w:val="none" w:sz="0" w:space="0" w:color="auto"/>
                  </w:divBdr>
                  <w:divsChild>
                    <w:div w:id="343363309">
                      <w:marLeft w:val="0"/>
                      <w:marRight w:val="0"/>
                      <w:marTop w:val="0"/>
                      <w:marBottom w:val="0"/>
                      <w:divBdr>
                        <w:top w:val="none" w:sz="0" w:space="0" w:color="auto"/>
                        <w:left w:val="none" w:sz="0" w:space="0" w:color="auto"/>
                        <w:bottom w:val="none" w:sz="0" w:space="0" w:color="auto"/>
                        <w:right w:val="none" w:sz="0" w:space="0" w:color="auto"/>
                      </w:divBdr>
                    </w:div>
                  </w:divsChild>
                </w:div>
                <w:div w:id="1898468274">
                  <w:marLeft w:val="0"/>
                  <w:marRight w:val="0"/>
                  <w:marTop w:val="0"/>
                  <w:marBottom w:val="0"/>
                  <w:divBdr>
                    <w:top w:val="none" w:sz="0" w:space="0" w:color="auto"/>
                    <w:left w:val="none" w:sz="0" w:space="0" w:color="auto"/>
                    <w:bottom w:val="none" w:sz="0" w:space="0" w:color="auto"/>
                    <w:right w:val="none" w:sz="0" w:space="0" w:color="auto"/>
                  </w:divBdr>
                  <w:divsChild>
                    <w:div w:id="1836218553">
                      <w:marLeft w:val="0"/>
                      <w:marRight w:val="0"/>
                      <w:marTop w:val="0"/>
                      <w:marBottom w:val="0"/>
                      <w:divBdr>
                        <w:top w:val="none" w:sz="0" w:space="0" w:color="auto"/>
                        <w:left w:val="none" w:sz="0" w:space="0" w:color="auto"/>
                        <w:bottom w:val="none" w:sz="0" w:space="0" w:color="auto"/>
                        <w:right w:val="none" w:sz="0" w:space="0" w:color="auto"/>
                      </w:divBdr>
                    </w:div>
                  </w:divsChild>
                </w:div>
                <w:div w:id="1927885454">
                  <w:marLeft w:val="0"/>
                  <w:marRight w:val="0"/>
                  <w:marTop w:val="0"/>
                  <w:marBottom w:val="0"/>
                  <w:divBdr>
                    <w:top w:val="none" w:sz="0" w:space="0" w:color="auto"/>
                    <w:left w:val="none" w:sz="0" w:space="0" w:color="auto"/>
                    <w:bottom w:val="none" w:sz="0" w:space="0" w:color="auto"/>
                    <w:right w:val="none" w:sz="0" w:space="0" w:color="auto"/>
                  </w:divBdr>
                  <w:divsChild>
                    <w:div w:id="1131747049">
                      <w:marLeft w:val="0"/>
                      <w:marRight w:val="0"/>
                      <w:marTop w:val="0"/>
                      <w:marBottom w:val="0"/>
                      <w:divBdr>
                        <w:top w:val="none" w:sz="0" w:space="0" w:color="auto"/>
                        <w:left w:val="none" w:sz="0" w:space="0" w:color="auto"/>
                        <w:bottom w:val="none" w:sz="0" w:space="0" w:color="auto"/>
                        <w:right w:val="none" w:sz="0" w:space="0" w:color="auto"/>
                      </w:divBdr>
                    </w:div>
                  </w:divsChild>
                </w:div>
                <w:div w:id="1948539491">
                  <w:marLeft w:val="0"/>
                  <w:marRight w:val="0"/>
                  <w:marTop w:val="0"/>
                  <w:marBottom w:val="0"/>
                  <w:divBdr>
                    <w:top w:val="none" w:sz="0" w:space="0" w:color="auto"/>
                    <w:left w:val="none" w:sz="0" w:space="0" w:color="auto"/>
                    <w:bottom w:val="none" w:sz="0" w:space="0" w:color="auto"/>
                    <w:right w:val="none" w:sz="0" w:space="0" w:color="auto"/>
                  </w:divBdr>
                  <w:divsChild>
                    <w:div w:id="4137592">
                      <w:marLeft w:val="0"/>
                      <w:marRight w:val="0"/>
                      <w:marTop w:val="0"/>
                      <w:marBottom w:val="0"/>
                      <w:divBdr>
                        <w:top w:val="none" w:sz="0" w:space="0" w:color="auto"/>
                        <w:left w:val="none" w:sz="0" w:space="0" w:color="auto"/>
                        <w:bottom w:val="none" w:sz="0" w:space="0" w:color="auto"/>
                        <w:right w:val="none" w:sz="0" w:space="0" w:color="auto"/>
                      </w:divBdr>
                    </w:div>
                  </w:divsChild>
                </w:div>
                <w:div w:id="1997343800">
                  <w:marLeft w:val="0"/>
                  <w:marRight w:val="0"/>
                  <w:marTop w:val="0"/>
                  <w:marBottom w:val="0"/>
                  <w:divBdr>
                    <w:top w:val="none" w:sz="0" w:space="0" w:color="auto"/>
                    <w:left w:val="none" w:sz="0" w:space="0" w:color="auto"/>
                    <w:bottom w:val="none" w:sz="0" w:space="0" w:color="auto"/>
                    <w:right w:val="none" w:sz="0" w:space="0" w:color="auto"/>
                  </w:divBdr>
                  <w:divsChild>
                    <w:div w:id="299579886">
                      <w:marLeft w:val="0"/>
                      <w:marRight w:val="0"/>
                      <w:marTop w:val="0"/>
                      <w:marBottom w:val="0"/>
                      <w:divBdr>
                        <w:top w:val="none" w:sz="0" w:space="0" w:color="auto"/>
                        <w:left w:val="none" w:sz="0" w:space="0" w:color="auto"/>
                        <w:bottom w:val="none" w:sz="0" w:space="0" w:color="auto"/>
                        <w:right w:val="none" w:sz="0" w:space="0" w:color="auto"/>
                      </w:divBdr>
                    </w:div>
                  </w:divsChild>
                </w:div>
                <w:div w:id="2027511094">
                  <w:marLeft w:val="0"/>
                  <w:marRight w:val="0"/>
                  <w:marTop w:val="0"/>
                  <w:marBottom w:val="0"/>
                  <w:divBdr>
                    <w:top w:val="none" w:sz="0" w:space="0" w:color="auto"/>
                    <w:left w:val="none" w:sz="0" w:space="0" w:color="auto"/>
                    <w:bottom w:val="none" w:sz="0" w:space="0" w:color="auto"/>
                    <w:right w:val="none" w:sz="0" w:space="0" w:color="auto"/>
                  </w:divBdr>
                  <w:divsChild>
                    <w:div w:id="1084914850">
                      <w:marLeft w:val="0"/>
                      <w:marRight w:val="0"/>
                      <w:marTop w:val="0"/>
                      <w:marBottom w:val="0"/>
                      <w:divBdr>
                        <w:top w:val="none" w:sz="0" w:space="0" w:color="auto"/>
                        <w:left w:val="none" w:sz="0" w:space="0" w:color="auto"/>
                        <w:bottom w:val="none" w:sz="0" w:space="0" w:color="auto"/>
                        <w:right w:val="none" w:sz="0" w:space="0" w:color="auto"/>
                      </w:divBdr>
                    </w:div>
                  </w:divsChild>
                </w:div>
                <w:div w:id="2102331939">
                  <w:marLeft w:val="0"/>
                  <w:marRight w:val="0"/>
                  <w:marTop w:val="0"/>
                  <w:marBottom w:val="0"/>
                  <w:divBdr>
                    <w:top w:val="none" w:sz="0" w:space="0" w:color="auto"/>
                    <w:left w:val="none" w:sz="0" w:space="0" w:color="auto"/>
                    <w:bottom w:val="none" w:sz="0" w:space="0" w:color="auto"/>
                    <w:right w:val="none" w:sz="0" w:space="0" w:color="auto"/>
                  </w:divBdr>
                  <w:divsChild>
                    <w:div w:id="1976714545">
                      <w:marLeft w:val="0"/>
                      <w:marRight w:val="0"/>
                      <w:marTop w:val="0"/>
                      <w:marBottom w:val="0"/>
                      <w:divBdr>
                        <w:top w:val="none" w:sz="0" w:space="0" w:color="auto"/>
                        <w:left w:val="none" w:sz="0" w:space="0" w:color="auto"/>
                        <w:bottom w:val="none" w:sz="0" w:space="0" w:color="auto"/>
                        <w:right w:val="none" w:sz="0" w:space="0" w:color="auto"/>
                      </w:divBdr>
                    </w:div>
                  </w:divsChild>
                </w:div>
                <w:div w:id="2136173494">
                  <w:marLeft w:val="0"/>
                  <w:marRight w:val="0"/>
                  <w:marTop w:val="0"/>
                  <w:marBottom w:val="0"/>
                  <w:divBdr>
                    <w:top w:val="none" w:sz="0" w:space="0" w:color="auto"/>
                    <w:left w:val="none" w:sz="0" w:space="0" w:color="auto"/>
                    <w:bottom w:val="none" w:sz="0" w:space="0" w:color="auto"/>
                    <w:right w:val="none" w:sz="0" w:space="0" w:color="auto"/>
                  </w:divBdr>
                  <w:divsChild>
                    <w:div w:id="164419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777119">
          <w:marLeft w:val="0"/>
          <w:marRight w:val="0"/>
          <w:marTop w:val="0"/>
          <w:marBottom w:val="0"/>
          <w:divBdr>
            <w:top w:val="none" w:sz="0" w:space="0" w:color="auto"/>
            <w:left w:val="none" w:sz="0" w:space="0" w:color="auto"/>
            <w:bottom w:val="none" w:sz="0" w:space="0" w:color="auto"/>
            <w:right w:val="none" w:sz="0" w:space="0" w:color="auto"/>
          </w:divBdr>
        </w:div>
        <w:div w:id="425466742">
          <w:marLeft w:val="0"/>
          <w:marRight w:val="0"/>
          <w:marTop w:val="0"/>
          <w:marBottom w:val="0"/>
          <w:divBdr>
            <w:top w:val="none" w:sz="0" w:space="0" w:color="auto"/>
            <w:left w:val="none" w:sz="0" w:space="0" w:color="auto"/>
            <w:bottom w:val="none" w:sz="0" w:space="0" w:color="auto"/>
            <w:right w:val="none" w:sz="0" w:space="0" w:color="auto"/>
          </w:divBdr>
        </w:div>
        <w:div w:id="436023297">
          <w:marLeft w:val="0"/>
          <w:marRight w:val="0"/>
          <w:marTop w:val="0"/>
          <w:marBottom w:val="0"/>
          <w:divBdr>
            <w:top w:val="none" w:sz="0" w:space="0" w:color="auto"/>
            <w:left w:val="none" w:sz="0" w:space="0" w:color="auto"/>
            <w:bottom w:val="none" w:sz="0" w:space="0" w:color="auto"/>
            <w:right w:val="none" w:sz="0" w:space="0" w:color="auto"/>
          </w:divBdr>
        </w:div>
        <w:div w:id="442727997">
          <w:marLeft w:val="0"/>
          <w:marRight w:val="0"/>
          <w:marTop w:val="0"/>
          <w:marBottom w:val="0"/>
          <w:divBdr>
            <w:top w:val="none" w:sz="0" w:space="0" w:color="auto"/>
            <w:left w:val="none" w:sz="0" w:space="0" w:color="auto"/>
            <w:bottom w:val="none" w:sz="0" w:space="0" w:color="auto"/>
            <w:right w:val="none" w:sz="0" w:space="0" w:color="auto"/>
          </w:divBdr>
        </w:div>
        <w:div w:id="453330032">
          <w:marLeft w:val="0"/>
          <w:marRight w:val="0"/>
          <w:marTop w:val="0"/>
          <w:marBottom w:val="0"/>
          <w:divBdr>
            <w:top w:val="none" w:sz="0" w:space="0" w:color="auto"/>
            <w:left w:val="none" w:sz="0" w:space="0" w:color="auto"/>
            <w:bottom w:val="none" w:sz="0" w:space="0" w:color="auto"/>
            <w:right w:val="none" w:sz="0" w:space="0" w:color="auto"/>
          </w:divBdr>
        </w:div>
        <w:div w:id="461001882">
          <w:marLeft w:val="0"/>
          <w:marRight w:val="0"/>
          <w:marTop w:val="0"/>
          <w:marBottom w:val="0"/>
          <w:divBdr>
            <w:top w:val="none" w:sz="0" w:space="0" w:color="auto"/>
            <w:left w:val="none" w:sz="0" w:space="0" w:color="auto"/>
            <w:bottom w:val="none" w:sz="0" w:space="0" w:color="auto"/>
            <w:right w:val="none" w:sz="0" w:space="0" w:color="auto"/>
          </w:divBdr>
          <w:divsChild>
            <w:div w:id="567306822">
              <w:marLeft w:val="-75"/>
              <w:marRight w:val="0"/>
              <w:marTop w:val="30"/>
              <w:marBottom w:val="30"/>
              <w:divBdr>
                <w:top w:val="none" w:sz="0" w:space="0" w:color="auto"/>
                <w:left w:val="none" w:sz="0" w:space="0" w:color="auto"/>
                <w:bottom w:val="none" w:sz="0" w:space="0" w:color="auto"/>
                <w:right w:val="none" w:sz="0" w:space="0" w:color="auto"/>
              </w:divBdr>
              <w:divsChild>
                <w:div w:id="4019231">
                  <w:marLeft w:val="0"/>
                  <w:marRight w:val="0"/>
                  <w:marTop w:val="0"/>
                  <w:marBottom w:val="0"/>
                  <w:divBdr>
                    <w:top w:val="none" w:sz="0" w:space="0" w:color="auto"/>
                    <w:left w:val="none" w:sz="0" w:space="0" w:color="auto"/>
                    <w:bottom w:val="none" w:sz="0" w:space="0" w:color="auto"/>
                    <w:right w:val="none" w:sz="0" w:space="0" w:color="auto"/>
                  </w:divBdr>
                  <w:divsChild>
                    <w:div w:id="483743853">
                      <w:marLeft w:val="0"/>
                      <w:marRight w:val="0"/>
                      <w:marTop w:val="0"/>
                      <w:marBottom w:val="0"/>
                      <w:divBdr>
                        <w:top w:val="none" w:sz="0" w:space="0" w:color="auto"/>
                        <w:left w:val="none" w:sz="0" w:space="0" w:color="auto"/>
                        <w:bottom w:val="none" w:sz="0" w:space="0" w:color="auto"/>
                        <w:right w:val="none" w:sz="0" w:space="0" w:color="auto"/>
                      </w:divBdr>
                    </w:div>
                  </w:divsChild>
                </w:div>
                <w:div w:id="8601720">
                  <w:marLeft w:val="0"/>
                  <w:marRight w:val="0"/>
                  <w:marTop w:val="0"/>
                  <w:marBottom w:val="0"/>
                  <w:divBdr>
                    <w:top w:val="none" w:sz="0" w:space="0" w:color="auto"/>
                    <w:left w:val="none" w:sz="0" w:space="0" w:color="auto"/>
                    <w:bottom w:val="none" w:sz="0" w:space="0" w:color="auto"/>
                    <w:right w:val="none" w:sz="0" w:space="0" w:color="auto"/>
                  </w:divBdr>
                  <w:divsChild>
                    <w:div w:id="158276997">
                      <w:marLeft w:val="0"/>
                      <w:marRight w:val="0"/>
                      <w:marTop w:val="0"/>
                      <w:marBottom w:val="0"/>
                      <w:divBdr>
                        <w:top w:val="none" w:sz="0" w:space="0" w:color="auto"/>
                        <w:left w:val="none" w:sz="0" w:space="0" w:color="auto"/>
                        <w:bottom w:val="none" w:sz="0" w:space="0" w:color="auto"/>
                        <w:right w:val="none" w:sz="0" w:space="0" w:color="auto"/>
                      </w:divBdr>
                    </w:div>
                  </w:divsChild>
                </w:div>
                <w:div w:id="11418220">
                  <w:marLeft w:val="0"/>
                  <w:marRight w:val="0"/>
                  <w:marTop w:val="0"/>
                  <w:marBottom w:val="0"/>
                  <w:divBdr>
                    <w:top w:val="none" w:sz="0" w:space="0" w:color="auto"/>
                    <w:left w:val="none" w:sz="0" w:space="0" w:color="auto"/>
                    <w:bottom w:val="none" w:sz="0" w:space="0" w:color="auto"/>
                    <w:right w:val="none" w:sz="0" w:space="0" w:color="auto"/>
                  </w:divBdr>
                  <w:divsChild>
                    <w:div w:id="1259949889">
                      <w:marLeft w:val="0"/>
                      <w:marRight w:val="0"/>
                      <w:marTop w:val="0"/>
                      <w:marBottom w:val="0"/>
                      <w:divBdr>
                        <w:top w:val="none" w:sz="0" w:space="0" w:color="auto"/>
                        <w:left w:val="none" w:sz="0" w:space="0" w:color="auto"/>
                        <w:bottom w:val="none" w:sz="0" w:space="0" w:color="auto"/>
                        <w:right w:val="none" w:sz="0" w:space="0" w:color="auto"/>
                      </w:divBdr>
                    </w:div>
                  </w:divsChild>
                </w:div>
                <w:div w:id="21246725">
                  <w:marLeft w:val="0"/>
                  <w:marRight w:val="0"/>
                  <w:marTop w:val="0"/>
                  <w:marBottom w:val="0"/>
                  <w:divBdr>
                    <w:top w:val="none" w:sz="0" w:space="0" w:color="auto"/>
                    <w:left w:val="none" w:sz="0" w:space="0" w:color="auto"/>
                    <w:bottom w:val="none" w:sz="0" w:space="0" w:color="auto"/>
                    <w:right w:val="none" w:sz="0" w:space="0" w:color="auto"/>
                  </w:divBdr>
                  <w:divsChild>
                    <w:div w:id="882793118">
                      <w:marLeft w:val="0"/>
                      <w:marRight w:val="0"/>
                      <w:marTop w:val="0"/>
                      <w:marBottom w:val="0"/>
                      <w:divBdr>
                        <w:top w:val="none" w:sz="0" w:space="0" w:color="auto"/>
                        <w:left w:val="none" w:sz="0" w:space="0" w:color="auto"/>
                        <w:bottom w:val="none" w:sz="0" w:space="0" w:color="auto"/>
                        <w:right w:val="none" w:sz="0" w:space="0" w:color="auto"/>
                      </w:divBdr>
                    </w:div>
                  </w:divsChild>
                </w:div>
                <w:div w:id="25567861">
                  <w:marLeft w:val="0"/>
                  <w:marRight w:val="0"/>
                  <w:marTop w:val="0"/>
                  <w:marBottom w:val="0"/>
                  <w:divBdr>
                    <w:top w:val="none" w:sz="0" w:space="0" w:color="auto"/>
                    <w:left w:val="none" w:sz="0" w:space="0" w:color="auto"/>
                    <w:bottom w:val="none" w:sz="0" w:space="0" w:color="auto"/>
                    <w:right w:val="none" w:sz="0" w:space="0" w:color="auto"/>
                  </w:divBdr>
                  <w:divsChild>
                    <w:div w:id="676729991">
                      <w:marLeft w:val="0"/>
                      <w:marRight w:val="0"/>
                      <w:marTop w:val="0"/>
                      <w:marBottom w:val="0"/>
                      <w:divBdr>
                        <w:top w:val="none" w:sz="0" w:space="0" w:color="auto"/>
                        <w:left w:val="none" w:sz="0" w:space="0" w:color="auto"/>
                        <w:bottom w:val="none" w:sz="0" w:space="0" w:color="auto"/>
                        <w:right w:val="none" w:sz="0" w:space="0" w:color="auto"/>
                      </w:divBdr>
                    </w:div>
                  </w:divsChild>
                </w:div>
                <w:div w:id="33118079">
                  <w:marLeft w:val="0"/>
                  <w:marRight w:val="0"/>
                  <w:marTop w:val="0"/>
                  <w:marBottom w:val="0"/>
                  <w:divBdr>
                    <w:top w:val="none" w:sz="0" w:space="0" w:color="auto"/>
                    <w:left w:val="none" w:sz="0" w:space="0" w:color="auto"/>
                    <w:bottom w:val="none" w:sz="0" w:space="0" w:color="auto"/>
                    <w:right w:val="none" w:sz="0" w:space="0" w:color="auto"/>
                  </w:divBdr>
                  <w:divsChild>
                    <w:div w:id="74477983">
                      <w:marLeft w:val="0"/>
                      <w:marRight w:val="0"/>
                      <w:marTop w:val="0"/>
                      <w:marBottom w:val="0"/>
                      <w:divBdr>
                        <w:top w:val="none" w:sz="0" w:space="0" w:color="auto"/>
                        <w:left w:val="none" w:sz="0" w:space="0" w:color="auto"/>
                        <w:bottom w:val="none" w:sz="0" w:space="0" w:color="auto"/>
                        <w:right w:val="none" w:sz="0" w:space="0" w:color="auto"/>
                      </w:divBdr>
                    </w:div>
                  </w:divsChild>
                </w:div>
                <w:div w:id="43674877">
                  <w:marLeft w:val="0"/>
                  <w:marRight w:val="0"/>
                  <w:marTop w:val="0"/>
                  <w:marBottom w:val="0"/>
                  <w:divBdr>
                    <w:top w:val="none" w:sz="0" w:space="0" w:color="auto"/>
                    <w:left w:val="none" w:sz="0" w:space="0" w:color="auto"/>
                    <w:bottom w:val="none" w:sz="0" w:space="0" w:color="auto"/>
                    <w:right w:val="none" w:sz="0" w:space="0" w:color="auto"/>
                  </w:divBdr>
                  <w:divsChild>
                    <w:div w:id="318659160">
                      <w:marLeft w:val="0"/>
                      <w:marRight w:val="0"/>
                      <w:marTop w:val="0"/>
                      <w:marBottom w:val="0"/>
                      <w:divBdr>
                        <w:top w:val="none" w:sz="0" w:space="0" w:color="auto"/>
                        <w:left w:val="none" w:sz="0" w:space="0" w:color="auto"/>
                        <w:bottom w:val="none" w:sz="0" w:space="0" w:color="auto"/>
                        <w:right w:val="none" w:sz="0" w:space="0" w:color="auto"/>
                      </w:divBdr>
                    </w:div>
                  </w:divsChild>
                </w:div>
                <w:div w:id="44061067">
                  <w:marLeft w:val="0"/>
                  <w:marRight w:val="0"/>
                  <w:marTop w:val="0"/>
                  <w:marBottom w:val="0"/>
                  <w:divBdr>
                    <w:top w:val="none" w:sz="0" w:space="0" w:color="auto"/>
                    <w:left w:val="none" w:sz="0" w:space="0" w:color="auto"/>
                    <w:bottom w:val="none" w:sz="0" w:space="0" w:color="auto"/>
                    <w:right w:val="none" w:sz="0" w:space="0" w:color="auto"/>
                  </w:divBdr>
                  <w:divsChild>
                    <w:div w:id="266426254">
                      <w:marLeft w:val="0"/>
                      <w:marRight w:val="0"/>
                      <w:marTop w:val="0"/>
                      <w:marBottom w:val="0"/>
                      <w:divBdr>
                        <w:top w:val="none" w:sz="0" w:space="0" w:color="auto"/>
                        <w:left w:val="none" w:sz="0" w:space="0" w:color="auto"/>
                        <w:bottom w:val="none" w:sz="0" w:space="0" w:color="auto"/>
                        <w:right w:val="none" w:sz="0" w:space="0" w:color="auto"/>
                      </w:divBdr>
                    </w:div>
                  </w:divsChild>
                </w:div>
                <w:div w:id="60253300">
                  <w:marLeft w:val="0"/>
                  <w:marRight w:val="0"/>
                  <w:marTop w:val="0"/>
                  <w:marBottom w:val="0"/>
                  <w:divBdr>
                    <w:top w:val="none" w:sz="0" w:space="0" w:color="auto"/>
                    <w:left w:val="none" w:sz="0" w:space="0" w:color="auto"/>
                    <w:bottom w:val="none" w:sz="0" w:space="0" w:color="auto"/>
                    <w:right w:val="none" w:sz="0" w:space="0" w:color="auto"/>
                  </w:divBdr>
                  <w:divsChild>
                    <w:div w:id="1145859410">
                      <w:marLeft w:val="0"/>
                      <w:marRight w:val="0"/>
                      <w:marTop w:val="0"/>
                      <w:marBottom w:val="0"/>
                      <w:divBdr>
                        <w:top w:val="none" w:sz="0" w:space="0" w:color="auto"/>
                        <w:left w:val="none" w:sz="0" w:space="0" w:color="auto"/>
                        <w:bottom w:val="none" w:sz="0" w:space="0" w:color="auto"/>
                        <w:right w:val="none" w:sz="0" w:space="0" w:color="auto"/>
                      </w:divBdr>
                    </w:div>
                  </w:divsChild>
                </w:div>
                <w:div w:id="65684791">
                  <w:marLeft w:val="0"/>
                  <w:marRight w:val="0"/>
                  <w:marTop w:val="0"/>
                  <w:marBottom w:val="0"/>
                  <w:divBdr>
                    <w:top w:val="none" w:sz="0" w:space="0" w:color="auto"/>
                    <w:left w:val="none" w:sz="0" w:space="0" w:color="auto"/>
                    <w:bottom w:val="none" w:sz="0" w:space="0" w:color="auto"/>
                    <w:right w:val="none" w:sz="0" w:space="0" w:color="auto"/>
                  </w:divBdr>
                  <w:divsChild>
                    <w:div w:id="891113294">
                      <w:marLeft w:val="0"/>
                      <w:marRight w:val="0"/>
                      <w:marTop w:val="0"/>
                      <w:marBottom w:val="0"/>
                      <w:divBdr>
                        <w:top w:val="none" w:sz="0" w:space="0" w:color="auto"/>
                        <w:left w:val="none" w:sz="0" w:space="0" w:color="auto"/>
                        <w:bottom w:val="none" w:sz="0" w:space="0" w:color="auto"/>
                        <w:right w:val="none" w:sz="0" w:space="0" w:color="auto"/>
                      </w:divBdr>
                    </w:div>
                  </w:divsChild>
                </w:div>
                <w:div w:id="66465499">
                  <w:marLeft w:val="0"/>
                  <w:marRight w:val="0"/>
                  <w:marTop w:val="0"/>
                  <w:marBottom w:val="0"/>
                  <w:divBdr>
                    <w:top w:val="none" w:sz="0" w:space="0" w:color="auto"/>
                    <w:left w:val="none" w:sz="0" w:space="0" w:color="auto"/>
                    <w:bottom w:val="none" w:sz="0" w:space="0" w:color="auto"/>
                    <w:right w:val="none" w:sz="0" w:space="0" w:color="auto"/>
                  </w:divBdr>
                  <w:divsChild>
                    <w:div w:id="1662809673">
                      <w:marLeft w:val="0"/>
                      <w:marRight w:val="0"/>
                      <w:marTop w:val="0"/>
                      <w:marBottom w:val="0"/>
                      <w:divBdr>
                        <w:top w:val="none" w:sz="0" w:space="0" w:color="auto"/>
                        <w:left w:val="none" w:sz="0" w:space="0" w:color="auto"/>
                        <w:bottom w:val="none" w:sz="0" w:space="0" w:color="auto"/>
                        <w:right w:val="none" w:sz="0" w:space="0" w:color="auto"/>
                      </w:divBdr>
                    </w:div>
                  </w:divsChild>
                </w:div>
                <w:div w:id="70083926">
                  <w:marLeft w:val="0"/>
                  <w:marRight w:val="0"/>
                  <w:marTop w:val="0"/>
                  <w:marBottom w:val="0"/>
                  <w:divBdr>
                    <w:top w:val="none" w:sz="0" w:space="0" w:color="auto"/>
                    <w:left w:val="none" w:sz="0" w:space="0" w:color="auto"/>
                    <w:bottom w:val="none" w:sz="0" w:space="0" w:color="auto"/>
                    <w:right w:val="none" w:sz="0" w:space="0" w:color="auto"/>
                  </w:divBdr>
                  <w:divsChild>
                    <w:div w:id="2040619475">
                      <w:marLeft w:val="0"/>
                      <w:marRight w:val="0"/>
                      <w:marTop w:val="0"/>
                      <w:marBottom w:val="0"/>
                      <w:divBdr>
                        <w:top w:val="none" w:sz="0" w:space="0" w:color="auto"/>
                        <w:left w:val="none" w:sz="0" w:space="0" w:color="auto"/>
                        <w:bottom w:val="none" w:sz="0" w:space="0" w:color="auto"/>
                        <w:right w:val="none" w:sz="0" w:space="0" w:color="auto"/>
                      </w:divBdr>
                    </w:div>
                  </w:divsChild>
                </w:div>
                <w:div w:id="79955533">
                  <w:marLeft w:val="0"/>
                  <w:marRight w:val="0"/>
                  <w:marTop w:val="0"/>
                  <w:marBottom w:val="0"/>
                  <w:divBdr>
                    <w:top w:val="none" w:sz="0" w:space="0" w:color="auto"/>
                    <w:left w:val="none" w:sz="0" w:space="0" w:color="auto"/>
                    <w:bottom w:val="none" w:sz="0" w:space="0" w:color="auto"/>
                    <w:right w:val="none" w:sz="0" w:space="0" w:color="auto"/>
                  </w:divBdr>
                  <w:divsChild>
                    <w:div w:id="1316912717">
                      <w:marLeft w:val="0"/>
                      <w:marRight w:val="0"/>
                      <w:marTop w:val="0"/>
                      <w:marBottom w:val="0"/>
                      <w:divBdr>
                        <w:top w:val="none" w:sz="0" w:space="0" w:color="auto"/>
                        <w:left w:val="none" w:sz="0" w:space="0" w:color="auto"/>
                        <w:bottom w:val="none" w:sz="0" w:space="0" w:color="auto"/>
                        <w:right w:val="none" w:sz="0" w:space="0" w:color="auto"/>
                      </w:divBdr>
                    </w:div>
                  </w:divsChild>
                </w:div>
                <w:div w:id="80565935">
                  <w:marLeft w:val="0"/>
                  <w:marRight w:val="0"/>
                  <w:marTop w:val="0"/>
                  <w:marBottom w:val="0"/>
                  <w:divBdr>
                    <w:top w:val="none" w:sz="0" w:space="0" w:color="auto"/>
                    <w:left w:val="none" w:sz="0" w:space="0" w:color="auto"/>
                    <w:bottom w:val="none" w:sz="0" w:space="0" w:color="auto"/>
                    <w:right w:val="none" w:sz="0" w:space="0" w:color="auto"/>
                  </w:divBdr>
                  <w:divsChild>
                    <w:div w:id="514732866">
                      <w:marLeft w:val="0"/>
                      <w:marRight w:val="0"/>
                      <w:marTop w:val="0"/>
                      <w:marBottom w:val="0"/>
                      <w:divBdr>
                        <w:top w:val="none" w:sz="0" w:space="0" w:color="auto"/>
                        <w:left w:val="none" w:sz="0" w:space="0" w:color="auto"/>
                        <w:bottom w:val="none" w:sz="0" w:space="0" w:color="auto"/>
                        <w:right w:val="none" w:sz="0" w:space="0" w:color="auto"/>
                      </w:divBdr>
                    </w:div>
                  </w:divsChild>
                </w:div>
                <w:div w:id="90394120">
                  <w:marLeft w:val="0"/>
                  <w:marRight w:val="0"/>
                  <w:marTop w:val="0"/>
                  <w:marBottom w:val="0"/>
                  <w:divBdr>
                    <w:top w:val="none" w:sz="0" w:space="0" w:color="auto"/>
                    <w:left w:val="none" w:sz="0" w:space="0" w:color="auto"/>
                    <w:bottom w:val="none" w:sz="0" w:space="0" w:color="auto"/>
                    <w:right w:val="none" w:sz="0" w:space="0" w:color="auto"/>
                  </w:divBdr>
                  <w:divsChild>
                    <w:div w:id="739788742">
                      <w:marLeft w:val="0"/>
                      <w:marRight w:val="0"/>
                      <w:marTop w:val="0"/>
                      <w:marBottom w:val="0"/>
                      <w:divBdr>
                        <w:top w:val="none" w:sz="0" w:space="0" w:color="auto"/>
                        <w:left w:val="none" w:sz="0" w:space="0" w:color="auto"/>
                        <w:bottom w:val="none" w:sz="0" w:space="0" w:color="auto"/>
                        <w:right w:val="none" w:sz="0" w:space="0" w:color="auto"/>
                      </w:divBdr>
                    </w:div>
                  </w:divsChild>
                </w:div>
                <w:div w:id="105857399">
                  <w:marLeft w:val="0"/>
                  <w:marRight w:val="0"/>
                  <w:marTop w:val="0"/>
                  <w:marBottom w:val="0"/>
                  <w:divBdr>
                    <w:top w:val="none" w:sz="0" w:space="0" w:color="auto"/>
                    <w:left w:val="none" w:sz="0" w:space="0" w:color="auto"/>
                    <w:bottom w:val="none" w:sz="0" w:space="0" w:color="auto"/>
                    <w:right w:val="none" w:sz="0" w:space="0" w:color="auto"/>
                  </w:divBdr>
                  <w:divsChild>
                    <w:div w:id="1469785147">
                      <w:marLeft w:val="0"/>
                      <w:marRight w:val="0"/>
                      <w:marTop w:val="0"/>
                      <w:marBottom w:val="0"/>
                      <w:divBdr>
                        <w:top w:val="none" w:sz="0" w:space="0" w:color="auto"/>
                        <w:left w:val="none" w:sz="0" w:space="0" w:color="auto"/>
                        <w:bottom w:val="none" w:sz="0" w:space="0" w:color="auto"/>
                        <w:right w:val="none" w:sz="0" w:space="0" w:color="auto"/>
                      </w:divBdr>
                    </w:div>
                  </w:divsChild>
                </w:div>
                <w:div w:id="110517278">
                  <w:marLeft w:val="0"/>
                  <w:marRight w:val="0"/>
                  <w:marTop w:val="0"/>
                  <w:marBottom w:val="0"/>
                  <w:divBdr>
                    <w:top w:val="none" w:sz="0" w:space="0" w:color="auto"/>
                    <w:left w:val="none" w:sz="0" w:space="0" w:color="auto"/>
                    <w:bottom w:val="none" w:sz="0" w:space="0" w:color="auto"/>
                    <w:right w:val="none" w:sz="0" w:space="0" w:color="auto"/>
                  </w:divBdr>
                  <w:divsChild>
                    <w:div w:id="968974827">
                      <w:marLeft w:val="0"/>
                      <w:marRight w:val="0"/>
                      <w:marTop w:val="0"/>
                      <w:marBottom w:val="0"/>
                      <w:divBdr>
                        <w:top w:val="none" w:sz="0" w:space="0" w:color="auto"/>
                        <w:left w:val="none" w:sz="0" w:space="0" w:color="auto"/>
                        <w:bottom w:val="none" w:sz="0" w:space="0" w:color="auto"/>
                        <w:right w:val="none" w:sz="0" w:space="0" w:color="auto"/>
                      </w:divBdr>
                    </w:div>
                  </w:divsChild>
                </w:div>
                <w:div w:id="129253633">
                  <w:marLeft w:val="0"/>
                  <w:marRight w:val="0"/>
                  <w:marTop w:val="0"/>
                  <w:marBottom w:val="0"/>
                  <w:divBdr>
                    <w:top w:val="none" w:sz="0" w:space="0" w:color="auto"/>
                    <w:left w:val="none" w:sz="0" w:space="0" w:color="auto"/>
                    <w:bottom w:val="none" w:sz="0" w:space="0" w:color="auto"/>
                    <w:right w:val="none" w:sz="0" w:space="0" w:color="auto"/>
                  </w:divBdr>
                  <w:divsChild>
                    <w:div w:id="743843876">
                      <w:marLeft w:val="0"/>
                      <w:marRight w:val="0"/>
                      <w:marTop w:val="0"/>
                      <w:marBottom w:val="0"/>
                      <w:divBdr>
                        <w:top w:val="none" w:sz="0" w:space="0" w:color="auto"/>
                        <w:left w:val="none" w:sz="0" w:space="0" w:color="auto"/>
                        <w:bottom w:val="none" w:sz="0" w:space="0" w:color="auto"/>
                        <w:right w:val="none" w:sz="0" w:space="0" w:color="auto"/>
                      </w:divBdr>
                    </w:div>
                  </w:divsChild>
                </w:div>
                <w:div w:id="130178281">
                  <w:marLeft w:val="0"/>
                  <w:marRight w:val="0"/>
                  <w:marTop w:val="0"/>
                  <w:marBottom w:val="0"/>
                  <w:divBdr>
                    <w:top w:val="none" w:sz="0" w:space="0" w:color="auto"/>
                    <w:left w:val="none" w:sz="0" w:space="0" w:color="auto"/>
                    <w:bottom w:val="none" w:sz="0" w:space="0" w:color="auto"/>
                    <w:right w:val="none" w:sz="0" w:space="0" w:color="auto"/>
                  </w:divBdr>
                  <w:divsChild>
                    <w:div w:id="1655447194">
                      <w:marLeft w:val="0"/>
                      <w:marRight w:val="0"/>
                      <w:marTop w:val="0"/>
                      <w:marBottom w:val="0"/>
                      <w:divBdr>
                        <w:top w:val="none" w:sz="0" w:space="0" w:color="auto"/>
                        <w:left w:val="none" w:sz="0" w:space="0" w:color="auto"/>
                        <w:bottom w:val="none" w:sz="0" w:space="0" w:color="auto"/>
                        <w:right w:val="none" w:sz="0" w:space="0" w:color="auto"/>
                      </w:divBdr>
                    </w:div>
                  </w:divsChild>
                </w:div>
                <w:div w:id="134182577">
                  <w:marLeft w:val="0"/>
                  <w:marRight w:val="0"/>
                  <w:marTop w:val="0"/>
                  <w:marBottom w:val="0"/>
                  <w:divBdr>
                    <w:top w:val="none" w:sz="0" w:space="0" w:color="auto"/>
                    <w:left w:val="none" w:sz="0" w:space="0" w:color="auto"/>
                    <w:bottom w:val="none" w:sz="0" w:space="0" w:color="auto"/>
                    <w:right w:val="none" w:sz="0" w:space="0" w:color="auto"/>
                  </w:divBdr>
                  <w:divsChild>
                    <w:div w:id="162478044">
                      <w:marLeft w:val="0"/>
                      <w:marRight w:val="0"/>
                      <w:marTop w:val="0"/>
                      <w:marBottom w:val="0"/>
                      <w:divBdr>
                        <w:top w:val="none" w:sz="0" w:space="0" w:color="auto"/>
                        <w:left w:val="none" w:sz="0" w:space="0" w:color="auto"/>
                        <w:bottom w:val="none" w:sz="0" w:space="0" w:color="auto"/>
                        <w:right w:val="none" w:sz="0" w:space="0" w:color="auto"/>
                      </w:divBdr>
                    </w:div>
                  </w:divsChild>
                </w:div>
                <w:div w:id="136458592">
                  <w:marLeft w:val="0"/>
                  <w:marRight w:val="0"/>
                  <w:marTop w:val="0"/>
                  <w:marBottom w:val="0"/>
                  <w:divBdr>
                    <w:top w:val="none" w:sz="0" w:space="0" w:color="auto"/>
                    <w:left w:val="none" w:sz="0" w:space="0" w:color="auto"/>
                    <w:bottom w:val="none" w:sz="0" w:space="0" w:color="auto"/>
                    <w:right w:val="none" w:sz="0" w:space="0" w:color="auto"/>
                  </w:divBdr>
                  <w:divsChild>
                    <w:div w:id="1040398934">
                      <w:marLeft w:val="0"/>
                      <w:marRight w:val="0"/>
                      <w:marTop w:val="0"/>
                      <w:marBottom w:val="0"/>
                      <w:divBdr>
                        <w:top w:val="none" w:sz="0" w:space="0" w:color="auto"/>
                        <w:left w:val="none" w:sz="0" w:space="0" w:color="auto"/>
                        <w:bottom w:val="none" w:sz="0" w:space="0" w:color="auto"/>
                        <w:right w:val="none" w:sz="0" w:space="0" w:color="auto"/>
                      </w:divBdr>
                    </w:div>
                  </w:divsChild>
                </w:div>
                <w:div w:id="137692038">
                  <w:marLeft w:val="0"/>
                  <w:marRight w:val="0"/>
                  <w:marTop w:val="0"/>
                  <w:marBottom w:val="0"/>
                  <w:divBdr>
                    <w:top w:val="none" w:sz="0" w:space="0" w:color="auto"/>
                    <w:left w:val="none" w:sz="0" w:space="0" w:color="auto"/>
                    <w:bottom w:val="none" w:sz="0" w:space="0" w:color="auto"/>
                    <w:right w:val="none" w:sz="0" w:space="0" w:color="auto"/>
                  </w:divBdr>
                  <w:divsChild>
                    <w:div w:id="269436793">
                      <w:marLeft w:val="0"/>
                      <w:marRight w:val="0"/>
                      <w:marTop w:val="0"/>
                      <w:marBottom w:val="0"/>
                      <w:divBdr>
                        <w:top w:val="none" w:sz="0" w:space="0" w:color="auto"/>
                        <w:left w:val="none" w:sz="0" w:space="0" w:color="auto"/>
                        <w:bottom w:val="none" w:sz="0" w:space="0" w:color="auto"/>
                        <w:right w:val="none" w:sz="0" w:space="0" w:color="auto"/>
                      </w:divBdr>
                    </w:div>
                  </w:divsChild>
                </w:div>
                <w:div w:id="150676870">
                  <w:marLeft w:val="0"/>
                  <w:marRight w:val="0"/>
                  <w:marTop w:val="0"/>
                  <w:marBottom w:val="0"/>
                  <w:divBdr>
                    <w:top w:val="none" w:sz="0" w:space="0" w:color="auto"/>
                    <w:left w:val="none" w:sz="0" w:space="0" w:color="auto"/>
                    <w:bottom w:val="none" w:sz="0" w:space="0" w:color="auto"/>
                    <w:right w:val="none" w:sz="0" w:space="0" w:color="auto"/>
                  </w:divBdr>
                  <w:divsChild>
                    <w:div w:id="1199053869">
                      <w:marLeft w:val="0"/>
                      <w:marRight w:val="0"/>
                      <w:marTop w:val="0"/>
                      <w:marBottom w:val="0"/>
                      <w:divBdr>
                        <w:top w:val="none" w:sz="0" w:space="0" w:color="auto"/>
                        <w:left w:val="none" w:sz="0" w:space="0" w:color="auto"/>
                        <w:bottom w:val="none" w:sz="0" w:space="0" w:color="auto"/>
                        <w:right w:val="none" w:sz="0" w:space="0" w:color="auto"/>
                      </w:divBdr>
                    </w:div>
                  </w:divsChild>
                </w:div>
                <w:div w:id="150753076">
                  <w:marLeft w:val="0"/>
                  <w:marRight w:val="0"/>
                  <w:marTop w:val="0"/>
                  <w:marBottom w:val="0"/>
                  <w:divBdr>
                    <w:top w:val="none" w:sz="0" w:space="0" w:color="auto"/>
                    <w:left w:val="none" w:sz="0" w:space="0" w:color="auto"/>
                    <w:bottom w:val="none" w:sz="0" w:space="0" w:color="auto"/>
                    <w:right w:val="none" w:sz="0" w:space="0" w:color="auto"/>
                  </w:divBdr>
                  <w:divsChild>
                    <w:div w:id="560754709">
                      <w:marLeft w:val="0"/>
                      <w:marRight w:val="0"/>
                      <w:marTop w:val="0"/>
                      <w:marBottom w:val="0"/>
                      <w:divBdr>
                        <w:top w:val="none" w:sz="0" w:space="0" w:color="auto"/>
                        <w:left w:val="none" w:sz="0" w:space="0" w:color="auto"/>
                        <w:bottom w:val="none" w:sz="0" w:space="0" w:color="auto"/>
                        <w:right w:val="none" w:sz="0" w:space="0" w:color="auto"/>
                      </w:divBdr>
                    </w:div>
                  </w:divsChild>
                </w:div>
                <w:div w:id="156187595">
                  <w:marLeft w:val="0"/>
                  <w:marRight w:val="0"/>
                  <w:marTop w:val="0"/>
                  <w:marBottom w:val="0"/>
                  <w:divBdr>
                    <w:top w:val="none" w:sz="0" w:space="0" w:color="auto"/>
                    <w:left w:val="none" w:sz="0" w:space="0" w:color="auto"/>
                    <w:bottom w:val="none" w:sz="0" w:space="0" w:color="auto"/>
                    <w:right w:val="none" w:sz="0" w:space="0" w:color="auto"/>
                  </w:divBdr>
                  <w:divsChild>
                    <w:div w:id="590548886">
                      <w:marLeft w:val="0"/>
                      <w:marRight w:val="0"/>
                      <w:marTop w:val="0"/>
                      <w:marBottom w:val="0"/>
                      <w:divBdr>
                        <w:top w:val="none" w:sz="0" w:space="0" w:color="auto"/>
                        <w:left w:val="none" w:sz="0" w:space="0" w:color="auto"/>
                        <w:bottom w:val="none" w:sz="0" w:space="0" w:color="auto"/>
                        <w:right w:val="none" w:sz="0" w:space="0" w:color="auto"/>
                      </w:divBdr>
                    </w:div>
                  </w:divsChild>
                </w:div>
                <w:div w:id="158617159">
                  <w:marLeft w:val="0"/>
                  <w:marRight w:val="0"/>
                  <w:marTop w:val="0"/>
                  <w:marBottom w:val="0"/>
                  <w:divBdr>
                    <w:top w:val="none" w:sz="0" w:space="0" w:color="auto"/>
                    <w:left w:val="none" w:sz="0" w:space="0" w:color="auto"/>
                    <w:bottom w:val="none" w:sz="0" w:space="0" w:color="auto"/>
                    <w:right w:val="none" w:sz="0" w:space="0" w:color="auto"/>
                  </w:divBdr>
                  <w:divsChild>
                    <w:div w:id="1655572554">
                      <w:marLeft w:val="0"/>
                      <w:marRight w:val="0"/>
                      <w:marTop w:val="0"/>
                      <w:marBottom w:val="0"/>
                      <w:divBdr>
                        <w:top w:val="none" w:sz="0" w:space="0" w:color="auto"/>
                        <w:left w:val="none" w:sz="0" w:space="0" w:color="auto"/>
                        <w:bottom w:val="none" w:sz="0" w:space="0" w:color="auto"/>
                        <w:right w:val="none" w:sz="0" w:space="0" w:color="auto"/>
                      </w:divBdr>
                    </w:div>
                  </w:divsChild>
                </w:div>
                <w:div w:id="162934154">
                  <w:marLeft w:val="0"/>
                  <w:marRight w:val="0"/>
                  <w:marTop w:val="0"/>
                  <w:marBottom w:val="0"/>
                  <w:divBdr>
                    <w:top w:val="none" w:sz="0" w:space="0" w:color="auto"/>
                    <w:left w:val="none" w:sz="0" w:space="0" w:color="auto"/>
                    <w:bottom w:val="none" w:sz="0" w:space="0" w:color="auto"/>
                    <w:right w:val="none" w:sz="0" w:space="0" w:color="auto"/>
                  </w:divBdr>
                  <w:divsChild>
                    <w:div w:id="1075859735">
                      <w:marLeft w:val="0"/>
                      <w:marRight w:val="0"/>
                      <w:marTop w:val="0"/>
                      <w:marBottom w:val="0"/>
                      <w:divBdr>
                        <w:top w:val="none" w:sz="0" w:space="0" w:color="auto"/>
                        <w:left w:val="none" w:sz="0" w:space="0" w:color="auto"/>
                        <w:bottom w:val="none" w:sz="0" w:space="0" w:color="auto"/>
                        <w:right w:val="none" w:sz="0" w:space="0" w:color="auto"/>
                      </w:divBdr>
                    </w:div>
                  </w:divsChild>
                </w:div>
                <w:div w:id="164443071">
                  <w:marLeft w:val="0"/>
                  <w:marRight w:val="0"/>
                  <w:marTop w:val="0"/>
                  <w:marBottom w:val="0"/>
                  <w:divBdr>
                    <w:top w:val="none" w:sz="0" w:space="0" w:color="auto"/>
                    <w:left w:val="none" w:sz="0" w:space="0" w:color="auto"/>
                    <w:bottom w:val="none" w:sz="0" w:space="0" w:color="auto"/>
                    <w:right w:val="none" w:sz="0" w:space="0" w:color="auto"/>
                  </w:divBdr>
                  <w:divsChild>
                    <w:div w:id="11345769">
                      <w:marLeft w:val="0"/>
                      <w:marRight w:val="0"/>
                      <w:marTop w:val="0"/>
                      <w:marBottom w:val="0"/>
                      <w:divBdr>
                        <w:top w:val="none" w:sz="0" w:space="0" w:color="auto"/>
                        <w:left w:val="none" w:sz="0" w:space="0" w:color="auto"/>
                        <w:bottom w:val="none" w:sz="0" w:space="0" w:color="auto"/>
                        <w:right w:val="none" w:sz="0" w:space="0" w:color="auto"/>
                      </w:divBdr>
                    </w:div>
                  </w:divsChild>
                </w:div>
                <w:div w:id="166019643">
                  <w:marLeft w:val="0"/>
                  <w:marRight w:val="0"/>
                  <w:marTop w:val="0"/>
                  <w:marBottom w:val="0"/>
                  <w:divBdr>
                    <w:top w:val="none" w:sz="0" w:space="0" w:color="auto"/>
                    <w:left w:val="none" w:sz="0" w:space="0" w:color="auto"/>
                    <w:bottom w:val="none" w:sz="0" w:space="0" w:color="auto"/>
                    <w:right w:val="none" w:sz="0" w:space="0" w:color="auto"/>
                  </w:divBdr>
                  <w:divsChild>
                    <w:div w:id="360277573">
                      <w:marLeft w:val="0"/>
                      <w:marRight w:val="0"/>
                      <w:marTop w:val="0"/>
                      <w:marBottom w:val="0"/>
                      <w:divBdr>
                        <w:top w:val="none" w:sz="0" w:space="0" w:color="auto"/>
                        <w:left w:val="none" w:sz="0" w:space="0" w:color="auto"/>
                        <w:bottom w:val="none" w:sz="0" w:space="0" w:color="auto"/>
                        <w:right w:val="none" w:sz="0" w:space="0" w:color="auto"/>
                      </w:divBdr>
                    </w:div>
                  </w:divsChild>
                </w:div>
                <w:div w:id="168984079">
                  <w:marLeft w:val="0"/>
                  <w:marRight w:val="0"/>
                  <w:marTop w:val="0"/>
                  <w:marBottom w:val="0"/>
                  <w:divBdr>
                    <w:top w:val="none" w:sz="0" w:space="0" w:color="auto"/>
                    <w:left w:val="none" w:sz="0" w:space="0" w:color="auto"/>
                    <w:bottom w:val="none" w:sz="0" w:space="0" w:color="auto"/>
                    <w:right w:val="none" w:sz="0" w:space="0" w:color="auto"/>
                  </w:divBdr>
                  <w:divsChild>
                    <w:div w:id="1199853050">
                      <w:marLeft w:val="0"/>
                      <w:marRight w:val="0"/>
                      <w:marTop w:val="0"/>
                      <w:marBottom w:val="0"/>
                      <w:divBdr>
                        <w:top w:val="none" w:sz="0" w:space="0" w:color="auto"/>
                        <w:left w:val="none" w:sz="0" w:space="0" w:color="auto"/>
                        <w:bottom w:val="none" w:sz="0" w:space="0" w:color="auto"/>
                        <w:right w:val="none" w:sz="0" w:space="0" w:color="auto"/>
                      </w:divBdr>
                    </w:div>
                  </w:divsChild>
                </w:div>
                <w:div w:id="168984110">
                  <w:marLeft w:val="0"/>
                  <w:marRight w:val="0"/>
                  <w:marTop w:val="0"/>
                  <w:marBottom w:val="0"/>
                  <w:divBdr>
                    <w:top w:val="none" w:sz="0" w:space="0" w:color="auto"/>
                    <w:left w:val="none" w:sz="0" w:space="0" w:color="auto"/>
                    <w:bottom w:val="none" w:sz="0" w:space="0" w:color="auto"/>
                    <w:right w:val="none" w:sz="0" w:space="0" w:color="auto"/>
                  </w:divBdr>
                  <w:divsChild>
                    <w:div w:id="1407530992">
                      <w:marLeft w:val="0"/>
                      <w:marRight w:val="0"/>
                      <w:marTop w:val="0"/>
                      <w:marBottom w:val="0"/>
                      <w:divBdr>
                        <w:top w:val="none" w:sz="0" w:space="0" w:color="auto"/>
                        <w:left w:val="none" w:sz="0" w:space="0" w:color="auto"/>
                        <w:bottom w:val="none" w:sz="0" w:space="0" w:color="auto"/>
                        <w:right w:val="none" w:sz="0" w:space="0" w:color="auto"/>
                      </w:divBdr>
                    </w:div>
                  </w:divsChild>
                </w:div>
                <w:div w:id="169375300">
                  <w:marLeft w:val="0"/>
                  <w:marRight w:val="0"/>
                  <w:marTop w:val="0"/>
                  <w:marBottom w:val="0"/>
                  <w:divBdr>
                    <w:top w:val="none" w:sz="0" w:space="0" w:color="auto"/>
                    <w:left w:val="none" w:sz="0" w:space="0" w:color="auto"/>
                    <w:bottom w:val="none" w:sz="0" w:space="0" w:color="auto"/>
                    <w:right w:val="none" w:sz="0" w:space="0" w:color="auto"/>
                  </w:divBdr>
                  <w:divsChild>
                    <w:div w:id="804080082">
                      <w:marLeft w:val="0"/>
                      <w:marRight w:val="0"/>
                      <w:marTop w:val="0"/>
                      <w:marBottom w:val="0"/>
                      <w:divBdr>
                        <w:top w:val="none" w:sz="0" w:space="0" w:color="auto"/>
                        <w:left w:val="none" w:sz="0" w:space="0" w:color="auto"/>
                        <w:bottom w:val="none" w:sz="0" w:space="0" w:color="auto"/>
                        <w:right w:val="none" w:sz="0" w:space="0" w:color="auto"/>
                      </w:divBdr>
                    </w:div>
                  </w:divsChild>
                </w:div>
                <w:div w:id="179468717">
                  <w:marLeft w:val="0"/>
                  <w:marRight w:val="0"/>
                  <w:marTop w:val="0"/>
                  <w:marBottom w:val="0"/>
                  <w:divBdr>
                    <w:top w:val="none" w:sz="0" w:space="0" w:color="auto"/>
                    <w:left w:val="none" w:sz="0" w:space="0" w:color="auto"/>
                    <w:bottom w:val="none" w:sz="0" w:space="0" w:color="auto"/>
                    <w:right w:val="none" w:sz="0" w:space="0" w:color="auto"/>
                  </w:divBdr>
                  <w:divsChild>
                    <w:div w:id="1232929939">
                      <w:marLeft w:val="0"/>
                      <w:marRight w:val="0"/>
                      <w:marTop w:val="0"/>
                      <w:marBottom w:val="0"/>
                      <w:divBdr>
                        <w:top w:val="none" w:sz="0" w:space="0" w:color="auto"/>
                        <w:left w:val="none" w:sz="0" w:space="0" w:color="auto"/>
                        <w:bottom w:val="none" w:sz="0" w:space="0" w:color="auto"/>
                        <w:right w:val="none" w:sz="0" w:space="0" w:color="auto"/>
                      </w:divBdr>
                    </w:div>
                  </w:divsChild>
                </w:div>
                <w:div w:id="184949318">
                  <w:marLeft w:val="0"/>
                  <w:marRight w:val="0"/>
                  <w:marTop w:val="0"/>
                  <w:marBottom w:val="0"/>
                  <w:divBdr>
                    <w:top w:val="none" w:sz="0" w:space="0" w:color="auto"/>
                    <w:left w:val="none" w:sz="0" w:space="0" w:color="auto"/>
                    <w:bottom w:val="none" w:sz="0" w:space="0" w:color="auto"/>
                    <w:right w:val="none" w:sz="0" w:space="0" w:color="auto"/>
                  </w:divBdr>
                  <w:divsChild>
                    <w:div w:id="1769690098">
                      <w:marLeft w:val="0"/>
                      <w:marRight w:val="0"/>
                      <w:marTop w:val="0"/>
                      <w:marBottom w:val="0"/>
                      <w:divBdr>
                        <w:top w:val="none" w:sz="0" w:space="0" w:color="auto"/>
                        <w:left w:val="none" w:sz="0" w:space="0" w:color="auto"/>
                        <w:bottom w:val="none" w:sz="0" w:space="0" w:color="auto"/>
                        <w:right w:val="none" w:sz="0" w:space="0" w:color="auto"/>
                      </w:divBdr>
                    </w:div>
                  </w:divsChild>
                </w:div>
                <w:div w:id="185874124">
                  <w:marLeft w:val="0"/>
                  <w:marRight w:val="0"/>
                  <w:marTop w:val="0"/>
                  <w:marBottom w:val="0"/>
                  <w:divBdr>
                    <w:top w:val="none" w:sz="0" w:space="0" w:color="auto"/>
                    <w:left w:val="none" w:sz="0" w:space="0" w:color="auto"/>
                    <w:bottom w:val="none" w:sz="0" w:space="0" w:color="auto"/>
                    <w:right w:val="none" w:sz="0" w:space="0" w:color="auto"/>
                  </w:divBdr>
                  <w:divsChild>
                    <w:div w:id="1464932134">
                      <w:marLeft w:val="0"/>
                      <w:marRight w:val="0"/>
                      <w:marTop w:val="0"/>
                      <w:marBottom w:val="0"/>
                      <w:divBdr>
                        <w:top w:val="none" w:sz="0" w:space="0" w:color="auto"/>
                        <w:left w:val="none" w:sz="0" w:space="0" w:color="auto"/>
                        <w:bottom w:val="none" w:sz="0" w:space="0" w:color="auto"/>
                        <w:right w:val="none" w:sz="0" w:space="0" w:color="auto"/>
                      </w:divBdr>
                    </w:div>
                  </w:divsChild>
                </w:div>
                <w:div w:id="217015788">
                  <w:marLeft w:val="0"/>
                  <w:marRight w:val="0"/>
                  <w:marTop w:val="0"/>
                  <w:marBottom w:val="0"/>
                  <w:divBdr>
                    <w:top w:val="none" w:sz="0" w:space="0" w:color="auto"/>
                    <w:left w:val="none" w:sz="0" w:space="0" w:color="auto"/>
                    <w:bottom w:val="none" w:sz="0" w:space="0" w:color="auto"/>
                    <w:right w:val="none" w:sz="0" w:space="0" w:color="auto"/>
                  </w:divBdr>
                  <w:divsChild>
                    <w:div w:id="958996993">
                      <w:marLeft w:val="0"/>
                      <w:marRight w:val="0"/>
                      <w:marTop w:val="0"/>
                      <w:marBottom w:val="0"/>
                      <w:divBdr>
                        <w:top w:val="none" w:sz="0" w:space="0" w:color="auto"/>
                        <w:left w:val="none" w:sz="0" w:space="0" w:color="auto"/>
                        <w:bottom w:val="none" w:sz="0" w:space="0" w:color="auto"/>
                        <w:right w:val="none" w:sz="0" w:space="0" w:color="auto"/>
                      </w:divBdr>
                    </w:div>
                  </w:divsChild>
                </w:div>
                <w:div w:id="239562699">
                  <w:marLeft w:val="0"/>
                  <w:marRight w:val="0"/>
                  <w:marTop w:val="0"/>
                  <w:marBottom w:val="0"/>
                  <w:divBdr>
                    <w:top w:val="none" w:sz="0" w:space="0" w:color="auto"/>
                    <w:left w:val="none" w:sz="0" w:space="0" w:color="auto"/>
                    <w:bottom w:val="none" w:sz="0" w:space="0" w:color="auto"/>
                    <w:right w:val="none" w:sz="0" w:space="0" w:color="auto"/>
                  </w:divBdr>
                  <w:divsChild>
                    <w:div w:id="1933389094">
                      <w:marLeft w:val="0"/>
                      <w:marRight w:val="0"/>
                      <w:marTop w:val="0"/>
                      <w:marBottom w:val="0"/>
                      <w:divBdr>
                        <w:top w:val="none" w:sz="0" w:space="0" w:color="auto"/>
                        <w:left w:val="none" w:sz="0" w:space="0" w:color="auto"/>
                        <w:bottom w:val="none" w:sz="0" w:space="0" w:color="auto"/>
                        <w:right w:val="none" w:sz="0" w:space="0" w:color="auto"/>
                      </w:divBdr>
                    </w:div>
                  </w:divsChild>
                </w:div>
                <w:div w:id="244842552">
                  <w:marLeft w:val="0"/>
                  <w:marRight w:val="0"/>
                  <w:marTop w:val="0"/>
                  <w:marBottom w:val="0"/>
                  <w:divBdr>
                    <w:top w:val="none" w:sz="0" w:space="0" w:color="auto"/>
                    <w:left w:val="none" w:sz="0" w:space="0" w:color="auto"/>
                    <w:bottom w:val="none" w:sz="0" w:space="0" w:color="auto"/>
                    <w:right w:val="none" w:sz="0" w:space="0" w:color="auto"/>
                  </w:divBdr>
                  <w:divsChild>
                    <w:div w:id="1064060760">
                      <w:marLeft w:val="0"/>
                      <w:marRight w:val="0"/>
                      <w:marTop w:val="0"/>
                      <w:marBottom w:val="0"/>
                      <w:divBdr>
                        <w:top w:val="none" w:sz="0" w:space="0" w:color="auto"/>
                        <w:left w:val="none" w:sz="0" w:space="0" w:color="auto"/>
                        <w:bottom w:val="none" w:sz="0" w:space="0" w:color="auto"/>
                        <w:right w:val="none" w:sz="0" w:space="0" w:color="auto"/>
                      </w:divBdr>
                    </w:div>
                  </w:divsChild>
                </w:div>
                <w:div w:id="246119122">
                  <w:marLeft w:val="0"/>
                  <w:marRight w:val="0"/>
                  <w:marTop w:val="0"/>
                  <w:marBottom w:val="0"/>
                  <w:divBdr>
                    <w:top w:val="none" w:sz="0" w:space="0" w:color="auto"/>
                    <w:left w:val="none" w:sz="0" w:space="0" w:color="auto"/>
                    <w:bottom w:val="none" w:sz="0" w:space="0" w:color="auto"/>
                    <w:right w:val="none" w:sz="0" w:space="0" w:color="auto"/>
                  </w:divBdr>
                  <w:divsChild>
                    <w:div w:id="1862039114">
                      <w:marLeft w:val="0"/>
                      <w:marRight w:val="0"/>
                      <w:marTop w:val="0"/>
                      <w:marBottom w:val="0"/>
                      <w:divBdr>
                        <w:top w:val="none" w:sz="0" w:space="0" w:color="auto"/>
                        <w:left w:val="none" w:sz="0" w:space="0" w:color="auto"/>
                        <w:bottom w:val="none" w:sz="0" w:space="0" w:color="auto"/>
                        <w:right w:val="none" w:sz="0" w:space="0" w:color="auto"/>
                      </w:divBdr>
                    </w:div>
                  </w:divsChild>
                </w:div>
                <w:div w:id="249511449">
                  <w:marLeft w:val="0"/>
                  <w:marRight w:val="0"/>
                  <w:marTop w:val="0"/>
                  <w:marBottom w:val="0"/>
                  <w:divBdr>
                    <w:top w:val="none" w:sz="0" w:space="0" w:color="auto"/>
                    <w:left w:val="none" w:sz="0" w:space="0" w:color="auto"/>
                    <w:bottom w:val="none" w:sz="0" w:space="0" w:color="auto"/>
                    <w:right w:val="none" w:sz="0" w:space="0" w:color="auto"/>
                  </w:divBdr>
                  <w:divsChild>
                    <w:div w:id="1489899064">
                      <w:marLeft w:val="0"/>
                      <w:marRight w:val="0"/>
                      <w:marTop w:val="0"/>
                      <w:marBottom w:val="0"/>
                      <w:divBdr>
                        <w:top w:val="none" w:sz="0" w:space="0" w:color="auto"/>
                        <w:left w:val="none" w:sz="0" w:space="0" w:color="auto"/>
                        <w:bottom w:val="none" w:sz="0" w:space="0" w:color="auto"/>
                        <w:right w:val="none" w:sz="0" w:space="0" w:color="auto"/>
                      </w:divBdr>
                    </w:div>
                  </w:divsChild>
                </w:div>
                <w:div w:id="262341983">
                  <w:marLeft w:val="0"/>
                  <w:marRight w:val="0"/>
                  <w:marTop w:val="0"/>
                  <w:marBottom w:val="0"/>
                  <w:divBdr>
                    <w:top w:val="none" w:sz="0" w:space="0" w:color="auto"/>
                    <w:left w:val="none" w:sz="0" w:space="0" w:color="auto"/>
                    <w:bottom w:val="none" w:sz="0" w:space="0" w:color="auto"/>
                    <w:right w:val="none" w:sz="0" w:space="0" w:color="auto"/>
                  </w:divBdr>
                  <w:divsChild>
                    <w:div w:id="975640498">
                      <w:marLeft w:val="0"/>
                      <w:marRight w:val="0"/>
                      <w:marTop w:val="0"/>
                      <w:marBottom w:val="0"/>
                      <w:divBdr>
                        <w:top w:val="none" w:sz="0" w:space="0" w:color="auto"/>
                        <w:left w:val="none" w:sz="0" w:space="0" w:color="auto"/>
                        <w:bottom w:val="none" w:sz="0" w:space="0" w:color="auto"/>
                        <w:right w:val="none" w:sz="0" w:space="0" w:color="auto"/>
                      </w:divBdr>
                    </w:div>
                  </w:divsChild>
                </w:div>
                <w:div w:id="273942363">
                  <w:marLeft w:val="0"/>
                  <w:marRight w:val="0"/>
                  <w:marTop w:val="0"/>
                  <w:marBottom w:val="0"/>
                  <w:divBdr>
                    <w:top w:val="none" w:sz="0" w:space="0" w:color="auto"/>
                    <w:left w:val="none" w:sz="0" w:space="0" w:color="auto"/>
                    <w:bottom w:val="none" w:sz="0" w:space="0" w:color="auto"/>
                    <w:right w:val="none" w:sz="0" w:space="0" w:color="auto"/>
                  </w:divBdr>
                  <w:divsChild>
                    <w:div w:id="1830290312">
                      <w:marLeft w:val="0"/>
                      <w:marRight w:val="0"/>
                      <w:marTop w:val="0"/>
                      <w:marBottom w:val="0"/>
                      <w:divBdr>
                        <w:top w:val="none" w:sz="0" w:space="0" w:color="auto"/>
                        <w:left w:val="none" w:sz="0" w:space="0" w:color="auto"/>
                        <w:bottom w:val="none" w:sz="0" w:space="0" w:color="auto"/>
                        <w:right w:val="none" w:sz="0" w:space="0" w:color="auto"/>
                      </w:divBdr>
                    </w:div>
                  </w:divsChild>
                </w:div>
                <w:div w:id="292058192">
                  <w:marLeft w:val="0"/>
                  <w:marRight w:val="0"/>
                  <w:marTop w:val="0"/>
                  <w:marBottom w:val="0"/>
                  <w:divBdr>
                    <w:top w:val="none" w:sz="0" w:space="0" w:color="auto"/>
                    <w:left w:val="none" w:sz="0" w:space="0" w:color="auto"/>
                    <w:bottom w:val="none" w:sz="0" w:space="0" w:color="auto"/>
                    <w:right w:val="none" w:sz="0" w:space="0" w:color="auto"/>
                  </w:divBdr>
                  <w:divsChild>
                    <w:div w:id="587925048">
                      <w:marLeft w:val="0"/>
                      <w:marRight w:val="0"/>
                      <w:marTop w:val="0"/>
                      <w:marBottom w:val="0"/>
                      <w:divBdr>
                        <w:top w:val="none" w:sz="0" w:space="0" w:color="auto"/>
                        <w:left w:val="none" w:sz="0" w:space="0" w:color="auto"/>
                        <w:bottom w:val="none" w:sz="0" w:space="0" w:color="auto"/>
                        <w:right w:val="none" w:sz="0" w:space="0" w:color="auto"/>
                      </w:divBdr>
                    </w:div>
                  </w:divsChild>
                </w:div>
                <w:div w:id="292639169">
                  <w:marLeft w:val="0"/>
                  <w:marRight w:val="0"/>
                  <w:marTop w:val="0"/>
                  <w:marBottom w:val="0"/>
                  <w:divBdr>
                    <w:top w:val="none" w:sz="0" w:space="0" w:color="auto"/>
                    <w:left w:val="none" w:sz="0" w:space="0" w:color="auto"/>
                    <w:bottom w:val="none" w:sz="0" w:space="0" w:color="auto"/>
                    <w:right w:val="none" w:sz="0" w:space="0" w:color="auto"/>
                  </w:divBdr>
                  <w:divsChild>
                    <w:div w:id="66265174">
                      <w:marLeft w:val="0"/>
                      <w:marRight w:val="0"/>
                      <w:marTop w:val="0"/>
                      <w:marBottom w:val="0"/>
                      <w:divBdr>
                        <w:top w:val="none" w:sz="0" w:space="0" w:color="auto"/>
                        <w:left w:val="none" w:sz="0" w:space="0" w:color="auto"/>
                        <w:bottom w:val="none" w:sz="0" w:space="0" w:color="auto"/>
                        <w:right w:val="none" w:sz="0" w:space="0" w:color="auto"/>
                      </w:divBdr>
                    </w:div>
                  </w:divsChild>
                </w:div>
                <w:div w:id="300769000">
                  <w:marLeft w:val="0"/>
                  <w:marRight w:val="0"/>
                  <w:marTop w:val="0"/>
                  <w:marBottom w:val="0"/>
                  <w:divBdr>
                    <w:top w:val="none" w:sz="0" w:space="0" w:color="auto"/>
                    <w:left w:val="none" w:sz="0" w:space="0" w:color="auto"/>
                    <w:bottom w:val="none" w:sz="0" w:space="0" w:color="auto"/>
                    <w:right w:val="none" w:sz="0" w:space="0" w:color="auto"/>
                  </w:divBdr>
                  <w:divsChild>
                    <w:div w:id="905067418">
                      <w:marLeft w:val="0"/>
                      <w:marRight w:val="0"/>
                      <w:marTop w:val="0"/>
                      <w:marBottom w:val="0"/>
                      <w:divBdr>
                        <w:top w:val="none" w:sz="0" w:space="0" w:color="auto"/>
                        <w:left w:val="none" w:sz="0" w:space="0" w:color="auto"/>
                        <w:bottom w:val="none" w:sz="0" w:space="0" w:color="auto"/>
                        <w:right w:val="none" w:sz="0" w:space="0" w:color="auto"/>
                      </w:divBdr>
                    </w:div>
                  </w:divsChild>
                </w:div>
                <w:div w:id="305935806">
                  <w:marLeft w:val="0"/>
                  <w:marRight w:val="0"/>
                  <w:marTop w:val="0"/>
                  <w:marBottom w:val="0"/>
                  <w:divBdr>
                    <w:top w:val="none" w:sz="0" w:space="0" w:color="auto"/>
                    <w:left w:val="none" w:sz="0" w:space="0" w:color="auto"/>
                    <w:bottom w:val="none" w:sz="0" w:space="0" w:color="auto"/>
                    <w:right w:val="none" w:sz="0" w:space="0" w:color="auto"/>
                  </w:divBdr>
                  <w:divsChild>
                    <w:div w:id="1218738118">
                      <w:marLeft w:val="0"/>
                      <w:marRight w:val="0"/>
                      <w:marTop w:val="0"/>
                      <w:marBottom w:val="0"/>
                      <w:divBdr>
                        <w:top w:val="none" w:sz="0" w:space="0" w:color="auto"/>
                        <w:left w:val="none" w:sz="0" w:space="0" w:color="auto"/>
                        <w:bottom w:val="none" w:sz="0" w:space="0" w:color="auto"/>
                        <w:right w:val="none" w:sz="0" w:space="0" w:color="auto"/>
                      </w:divBdr>
                    </w:div>
                  </w:divsChild>
                </w:div>
                <w:div w:id="310907759">
                  <w:marLeft w:val="0"/>
                  <w:marRight w:val="0"/>
                  <w:marTop w:val="0"/>
                  <w:marBottom w:val="0"/>
                  <w:divBdr>
                    <w:top w:val="none" w:sz="0" w:space="0" w:color="auto"/>
                    <w:left w:val="none" w:sz="0" w:space="0" w:color="auto"/>
                    <w:bottom w:val="none" w:sz="0" w:space="0" w:color="auto"/>
                    <w:right w:val="none" w:sz="0" w:space="0" w:color="auto"/>
                  </w:divBdr>
                  <w:divsChild>
                    <w:div w:id="322666342">
                      <w:marLeft w:val="0"/>
                      <w:marRight w:val="0"/>
                      <w:marTop w:val="0"/>
                      <w:marBottom w:val="0"/>
                      <w:divBdr>
                        <w:top w:val="none" w:sz="0" w:space="0" w:color="auto"/>
                        <w:left w:val="none" w:sz="0" w:space="0" w:color="auto"/>
                        <w:bottom w:val="none" w:sz="0" w:space="0" w:color="auto"/>
                        <w:right w:val="none" w:sz="0" w:space="0" w:color="auto"/>
                      </w:divBdr>
                    </w:div>
                  </w:divsChild>
                </w:div>
                <w:div w:id="311564441">
                  <w:marLeft w:val="0"/>
                  <w:marRight w:val="0"/>
                  <w:marTop w:val="0"/>
                  <w:marBottom w:val="0"/>
                  <w:divBdr>
                    <w:top w:val="none" w:sz="0" w:space="0" w:color="auto"/>
                    <w:left w:val="none" w:sz="0" w:space="0" w:color="auto"/>
                    <w:bottom w:val="none" w:sz="0" w:space="0" w:color="auto"/>
                    <w:right w:val="none" w:sz="0" w:space="0" w:color="auto"/>
                  </w:divBdr>
                  <w:divsChild>
                    <w:div w:id="963468378">
                      <w:marLeft w:val="0"/>
                      <w:marRight w:val="0"/>
                      <w:marTop w:val="0"/>
                      <w:marBottom w:val="0"/>
                      <w:divBdr>
                        <w:top w:val="none" w:sz="0" w:space="0" w:color="auto"/>
                        <w:left w:val="none" w:sz="0" w:space="0" w:color="auto"/>
                        <w:bottom w:val="none" w:sz="0" w:space="0" w:color="auto"/>
                        <w:right w:val="none" w:sz="0" w:space="0" w:color="auto"/>
                      </w:divBdr>
                    </w:div>
                  </w:divsChild>
                </w:div>
                <w:div w:id="312568790">
                  <w:marLeft w:val="0"/>
                  <w:marRight w:val="0"/>
                  <w:marTop w:val="0"/>
                  <w:marBottom w:val="0"/>
                  <w:divBdr>
                    <w:top w:val="none" w:sz="0" w:space="0" w:color="auto"/>
                    <w:left w:val="none" w:sz="0" w:space="0" w:color="auto"/>
                    <w:bottom w:val="none" w:sz="0" w:space="0" w:color="auto"/>
                    <w:right w:val="none" w:sz="0" w:space="0" w:color="auto"/>
                  </w:divBdr>
                  <w:divsChild>
                    <w:div w:id="1295333557">
                      <w:marLeft w:val="0"/>
                      <w:marRight w:val="0"/>
                      <w:marTop w:val="0"/>
                      <w:marBottom w:val="0"/>
                      <w:divBdr>
                        <w:top w:val="none" w:sz="0" w:space="0" w:color="auto"/>
                        <w:left w:val="none" w:sz="0" w:space="0" w:color="auto"/>
                        <w:bottom w:val="none" w:sz="0" w:space="0" w:color="auto"/>
                        <w:right w:val="none" w:sz="0" w:space="0" w:color="auto"/>
                      </w:divBdr>
                    </w:div>
                  </w:divsChild>
                </w:div>
                <w:div w:id="315183132">
                  <w:marLeft w:val="0"/>
                  <w:marRight w:val="0"/>
                  <w:marTop w:val="0"/>
                  <w:marBottom w:val="0"/>
                  <w:divBdr>
                    <w:top w:val="none" w:sz="0" w:space="0" w:color="auto"/>
                    <w:left w:val="none" w:sz="0" w:space="0" w:color="auto"/>
                    <w:bottom w:val="none" w:sz="0" w:space="0" w:color="auto"/>
                    <w:right w:val="none" w:sz="0" w:space="0" w:color="auto"/>
                  </w:divBdr>
                  <w:divsChild>
                    <w:div w:id="1757433251">
                      <w:marLeft w:val="0"/>
                      <w:marRight w:val="0"/>
                      <w:marTop w:val="0"/>
                      <w:marBottom w:val="0"/>
                      <w:divBdr>
                        <w:top w:val="none" w:sz="0" w:space="0" w:color="auto"/>
                        <w:left w:val="none" w:sz="0" w:space="0" w:color="auto"/>
                        <w:bottom w:val="none" w:sz="0" w:space="0" w:color="auto"/>
                        <w:right w:val="none" w:sz="0" w:space="0" w:color="auto"/>
                      </w:divBdr>
                    </w:div>
                  </w:divsChild>
                </w:div>
                <w:div w:id="332682287">
                  <w:marLeft w:val="0"/>
                  <w:marRight w:val="0"/>
                  <w:marTop w:val="0"/>
                  <w:marBottom w:val="0"/>
                  <w:divBdr>
                    <w:top w:val="none" w:sz="0" w:space="0" w:color="auto"/>
                    <w:left w:val="none" w:sz="0" w:space="0" w:color="auto"/>
                    <w:bottom w:val="none" w:sz="0" w:space="0" w:color="auto"/>
                    <w:right w:val="none" w:sz="0" w:space="0" w:color="auto"/>
                  </w:divBdr>
                  <w:divsChild>
                    <w:div w:id="1490902583">
                      <w:marLeft w:val="0"/>
                      <w:marRight w:val="0"/>
                      <w:marTop w:val="0"/>
                      <w:marBottom w:val="0"/>
                      <w:divBdr>
                        <w:top w:val="none" w:sz="0" w:space="0" w:color="auto"/>
                        <w:left w:val="none" w:sz="0" w:space="0" w:color="auto"/>
                        <w:bottom w:val="none" w:sz="0" w:space="0" w:color="auto"/>
                        <w:right w:val="none" w:sz="0" w:space="0" w:color="auto"/>
                      </w:divBdr>
                    </w:div>
                  </w:divsChild>
                </w:div>
                <w:div w:id="354426171">
                  <w:marLeft w:val="0"/>
                  <w:marRight w:val="0"/>
                  <w:marTop w:val="0"/>
                  <w:marBottom w:val="0"/>
                  <w:divBdr>
                    <w:top w:val="none" w:sz="0" w:space="0" w:color="auto"/>
                    <w:left w:val="none" w:sz="0" w:space="0" w:color="auto"/>
                    <w:bottom w:val="none" w:sz="0" w:space="0" w:color="auto"/>
                    <w:right w:val="none" w:sz="0" w:space="0" w:color="auto"/>
                  </w:divBdr>
                  <w:divsChild>
                    <w:div w:id="506559951">
                      <w:marLeft w:val="0"/>
                      <w:marRight w:val="0"/>
                      <w:marTop w:val="0"/>
                      <w:marBottom w:val="0"/>
                      <w:divBdr>
                        <w:top w:val="none" w:sz="0" w:space="0" w:color="auto"/>
                        <w:left w:val="none" w:sz="0" w:space="0" w:color="auto"/>
                        <w:bottom w:val="none" w:sz="0" w:space="0" w:color="auto"/>
                        <w:right w:val="none" w:sz="0" w:space="0" w:color="auto"/>
                      </w:divBdr>
                    </w:div>
                  </w:divsChild>
                </w:div>
                <w:div w:id="358119648">
                  <w:marLeft w:val="0"/>
                  <w:marRight w:val="0"/>
                  <w:marTop w:val="0"/>
                  <w:marBottom w:val="0"/>
                  <w:divBdr>
                    <w:top w:val="none" w:sz="0" w:space="0" w:color="auto"/>
                    <w:left w:val="none" w:sz="0" w:space="0" w:color="auto"/>
                    <w:bottom w:val="none" w:sz="0" w:space="0" w:color="auto"/>
                    <w:right w:val="none" w:sz="0" w:space="0" w:color="auto"/>
                  </w:divBdr>
                  <w:divsChild>
                    <w:div w:id="402260379">
                      <w:marLeft w:val="0"/>
                      <w:marRight w:val="0"/>
                      <w:marTop w:val="0"/>
                      <w:marBottom w:val="0"/>
                      <w:divBdr>
                        <w:top w:val="none" w:sz="0" w:space="0" w:color="auto"/>
                        <w:left w:val="none" w:sz="0" w:space="0" w:color="auto"/>
                        <w:bottom w:val="none" w:sz="0" w:space="0" w:color="auto"/>
                        <w:right w:val="none" w:sz="0" w:space="0" w:color="auto"/>
                      </w:divBdr>
                    </w:div>
                  </w:divsChild>
                </w:div>
                <w:div w:id="359169435">
                  <w:marLeft w:val="0"/>
                  <w:marRight w:val="0"/>
                  <w:marTop w:val="0"/>
                  <w:marBottom w:val="0"/>
                  <w:divBdr>
                    <w:top w:val="none" w:sz="0" w:space="0" w:color="auto"/>
                    <w:left w:val="none" w:sz="0" w:space="0" w:color="auto"/>
                    <w:bottom w:val="none" w:sz="0" w:space="0" w:color="auto"/>
                    <w:right w:val="none" w:sz="0" w:space="0" w:color="auto"/>
                  </w:divBdr>
                  <w:divsChild>
                    <w:div w:id="1767144767">
                      <w:marLeft w:val="0"/>
                      <w:marRight w:val="0"/>
                      <w:marTop w:val="0"/>
                      <w:marBottom w:val="0"/>
                      <w:divBdr>
                        <w:top w:val="none" w:sz="0" w:space="0" w:color="auto"/>
                        <w:left w:val="none" w:sz="0" w:space="0" w:color="auto"/>
                        <w:bottom w:val="none" w:sz="0" w:space="0" w:color="auto"/>
                        <w:right w:val="none" w:sz="0" w:space="0" w:color="auto"/>
                      </w:divBdr>
                    </w:div>
                  </w:divsChild>
                </w:div>
                <w:div w:id="369454750">
                  <w:marLeft w:val="0"/>
                  <w:marRight w:val="0"/>
                  <w:marTop w:val="0"/>
                  <w:marBottom w:val="0"/>
                  <w:divBdr>
                    <w:top w:val="none" w:sz="0" w:space="0" w:color="auto"/>
                    <w:left w:val="none" w:sz="0" w:space="0" w:color="auto"/>
                    <w:bottom w:val="none" w:sz="0" w:space="0" w:color="auto"/>
                    <w:right w:val="none" w:sz="0" w:space="0" w:color="auto"/>
                  </w:divBdr>
                  <w:divsChild>
                    <w:div w:id="1712995306">
                      <w:marLeft w:val="0"/>
                      <w:marRight w:val="0"/>
                      <w:marTop w:val="0"/>
                      <w:marBottom w:val="0"/>
                      <w:divBdr>
                        <w:top w:val="none" w:sz="0" w:space="0" w:color="auto"/>
                        <w:left w:val="none" w:sz="0" w:space="0" w:color="auto"/>
                        <w:bottom w:val="none" w:sz="0" w:space="0" w:color="auto"/>
                        <w:right w:val="none" w:sz="0" w:space="0" w:color="auto"/>
                      </w:divBdr>
                    </w:div>
                  </w:divsChild>
                </w:div>
                <w:div w:id="373651334">
                  <w:marLeft w:val="0"/>
                  <w:marRight w:val="0"/>
                  <w:marTop w:val="0"/>
                  <w:marBottom w:val="0"/>
                  <w:divBdr>
                    <w:top w:val="none" w:sz="0" w:space="0" w:color="auto"/>
                    <w:left w:val="none" w:sz="0" w:space="0" w:color="auto"/>
                    <w:bottom w:val="none" w:sz="0" w:space="0" w:color="auto"/>
                    <w:right w:val="none" w:sz="0" w:space="0" w:color="auto"/>
                  </w:divBdr>
                  <w:divsChild>
                    <w:div w:id="1737433404">
                      <w:marLeft w:val="0"/>
                      <w:marRight w:val="0"/>
                      <w:marTop w:val="0"/>
                      <w:marBottom w:val="0"/>
                      <w:divBdr>
                        <w:top w:val="none" w:sz="0" w:space="0" w:color="auto"/>
                        <w:left w:val="none" w:sz="0" w:space="0" w:color="auto"/>
                        <w:bottom w:val="none" w:sz="0" w:space="0" w:color="auto"/>
                        <w:right w:val="none" w:sz="0" w:space="0" w:color="auto"/>
                      </w:divBdr>
                    </w:div>
                  </w:divsChild>
                </w:div>
                <w:div w:id="376318507">
                  <w:marLeft w:val="0"/>
                  <w:marRight w:val="0"/>
                  <w:marTop w:val="0"/>
                  <w:marBottom w:val="0"/>
                  <w:divBdr>
                    <w:top w:val="none" w:sz="0" w:space="0" w:color="auto"/>
                    <w:left w:val="none" w:sz="0" w:space="0" w:color="auto"/>
                    <w:bottom w:val="none" w:sz="0" w:space="0" w:color="auto"/>
                    <w:right w:val="none" w:sz="0" w:space="0" w:color="auto"/>
                  </w:divBdr>
                  <w:divsChild>
                    <w:div w:id="1484815639">
                      <w:marLeft w:val="0"/>
                      <w:marRight w:val="0"/>
                      <w:marTop w:val="0"/>
                      <w:marBottom w:val="0"/>
                      <w:divBdr>
                        <w:top w:val="none" w:sz="0" w:space="0" w:color="auto"/>
                        <w:left w:val="none" w:sz="0" w:space="0" w:color="auto"/>
                        <w:bottom w:val="none" w:sz="0" w:space="0" w:color="auto"/>
                        <w:right w:val="none" w:sz="0" w:space="0" w:color="auto"/>
                      </w:divBdr>
                    </w:div>
                  </w:divsChild>
                </w:div>
                <w:div w:id="376399392">
                  <w:marLeft w:val="0"/>
                  <w:marRight w:val="0"/>
                  <w:marTop w:val="0"/>
                  <w:marBottom w:val="0"/>
                  <w:divBdr>
                    <w:top w:val="none" w:sz="0" w:space="0" w:color="auto"/>
                    <w:left w:val="none" w:sz="0" w:space="0" w:color="auto"/>
                    <w:bottom w:val="none" w:sz="0" w:space="0" w:color="auto"/>
                    <w:right w:val="none" w:sz="0" w:space="0" w:color="auto"/>
                  </w:divBdr>
                  <w:divsChild>
                    <w:div w:id="2049253349">
                      <w:marLeft w:val="0"/>
                      <w:marRight w:val="0"/>
                      <w:marTop w:val="0"/>
                      <w:marBottom w:val="0"/>
                      <w:divBdr>
                        <w:top w:val="none" w:sz="0" w:space="0" w:color="auto"/>
                        <w:left w:val="none" w:sz="0" w:space="0" w:color="auto"/>
                        <w:bottom w:val="none" w:sz="0" w:space="0" w:color="auto"/>
                        <w:right w:val="none" w:sz="0" w:space="0" w:color="auto"/>
                      </w:divBdr>
                    </w:div>
                  </w:divsChild>
                </w:div>
                <w:div w:id="376659109">
                  <w:marLeft w:val="0"/>
                  <w:marRight w:val="0"/>
                  <w:marTop w:val="0"/>
                  <w:marBottom w:val="0"/>
                  <w:divBdr>
                    <w:top w:val="none" w:sz="0" w:space="0" w:color="auto"/>
                    <w:left w:val="none" w:sz="0" w:space="0" w:color="auto"/>
                    <w:bottom w:val="none" w:sz="0" w:space="0" w:color="auto"/>
                    <w:right w:val="none" w:sz="0" w:space="0" w:color="auto"/>
                  </w:divBdr>
                  <w:divsChild>
                    <w:div w:id="25179564">
                      <w:marLeft w:val="0"/>
                      <w:marRight w:val="0"/>
                      <w:marTop w:val="0"/>
                      <w:marBottom w:val="0"/>
                      <w:divBdr>
                        <w:top w:val="none" w:sz="0" w:space="0" w:color="auto"/>
                        <w:left w:val="none" w:sz="0" w:space="0" w:color="auto"/>
                        <w:bottom w:val="none" w:sz="0" w:space="0" w:color="auto"/>
                        <w:right w:val="none" w:sz="0" w:space="0" w:color="auto"/>
                      </w:divBdr>
                    </w:div>
                  </w:divsChild>
                </w:div>
                <w:div w:id="377707419">
                  <w:marLeft w:val="0"/>
                  <w:marRight w:val="0"/>
                  <w:marTop w:val="0"/>
                  <w:marBottom w:val="0"/>
                  <w:divBdr>
                    <w:top w:val="none" w:sz="0" w:space="0" w:color="auto"/>
                    <w:left w:val="none" w:sz="0" w:space="0" w:color="auto"/>
                    <w:bottom w:val="none" w:sz="0" w:space="0" w:color="auto"/>
                    <w:right w:val="none" w:sz="0" w:space="0" w:color="auto"/>
                  </w:divBdr>
                  <w:divsChild>
                    <w:div w:id="910238703">
                      <w:marLeft w:val="0"/>
                      <w:marRight w:val="0"/>
                      <w:marTop w:val="0"/>
                      <w:marBottom w:val="0"/>
                      <w:divBdr>
                        <w:top w:val="none" w:sz="0" w:space="0" w:color="auto"/>
                        <w:left w:val="none" w:sz="0" w:space="0" w:color="auto"/>
                        <w:bottom w:val="none" w:sz="0" w:space="0" w:color="auto"/>
                        <w:right w:val="none" w:sz="0" w:space="0" w:color="auto"/>
                      </w:divBdr>
                    </w:div>
                  </w:divsChild>
                </w:div>
                <w:div w:id="380715619">
                  <w:marLeft w:val="0"/>
                  <w:marRight w:val="0"/>
                  <w:marTop w:val="0"/>
                  <w:marBottom w:val="0"/>
                  <w:divBdr>
                    <w:top w:val="none" w:sz="0" w:space="0" w:color="auto"/>
                    <w:left w:val="none" w:sz="0" w:space="0" w:color="auto"/>
                    <w:bottom w:val="none" w:sz="0" w:space="0" w:color="auto"/>
                    <w:right w:val="none" w:sz="0" w:space="0" w:color="auto"/>
                  </w:divBdr>
                  <w:divsChild>
                    <w:div w:id="345713150">
                      <w:marLeft w:val="0"/>
                      <w:marRight w:val="0"/>
                      <w:marTop w:val="0"/>
                      <w:marBottom w:val="0"/>
                      <w:divBdr>
                        <w:top w:val="none" w:sz="0" w:space="0" w:color="auto"/>
                        <w:left w:val="none" w:sz="0" w:space="0" w:color="auto"/>
                        <w:bottom w:val="none" w:sz="0" w:space="0" w:color="auto"/>
                        <w:right w:val="none" w:sz="0" w:space="0" w:color="auto"/>
                      </w:divBdr>
                    </w:div>
                  </w:divsChild>
                </w:div>
                <w:div w:id="393242746">
                  <w:marLeft w:val="0"/>
                  <w:marRight w:val="0"/>
                  <w:marTop w:val="0"/>
                  <w:marBottom w:val="0"/>
                  <w:divBdr>
                    <w:top w:val="none" w:sz="0" w:space="0" w:color="auto"/>
                    <w:left w:val="none" w:sz="0" w:space="0" w:color="auto"/>
                    <w:bottom w:val="none" w:sz="0" w:space="0" w:color="auto"/>
                    <w:right w:val="none" w:sz="0" w:space="0" w:color="auto"/>
                  </w:divBdr>
                  <w:divsChild>
                    <w:div w:id="511454388">
                      <w:marLeft w:val="0"/>
                      <w:marRight w:val="0"/>
                      <w:marTop w:val="0"/>
                      <w:marBottom w:val="0"/>
                      <w:divBdr>
                        <w:top w:val="none" w:sz="0" w:space="0" w:color="auto"/>
                        <w:left w:val="none" w:sz="0" w:space="0" w:color="auto"/>
                        <w:bottom w:val="none" w:sz="0" w:space="0" w:color="auto"/>
                        <w:right w:val="none" w:sz="0" w:space="0" w:color="auto"/>
                      </w:divBdr>
                    </w:div>
                  </w:divsChild>
                </w:div>
                <w:div w:id="400182052">
                  <w:marLeft w:val="0"/>
                  <w:marRight w:val="0"/>
                  <w:marTop w:val="0"/>
                  <w:marBottom w:val="0"/>
                  <w:divBdr>
                    <w:top w:val="none" w:sz="0" w:space="0" w:color="auto"/>
                    <w:left w:val="none" w:sz="0" w:space="0" w:color="auto"/>
                    <w:bottom w:val="none" w:sz="0" w:space="0" w:color="auto"/>
                    <w:right w:val="none" w:sz="0" w:space="0" w:color="auto"/>
                  </w:divBdr>
                  <w:divsChild>
                    <w:div w:id="31468998">
                      <w:marLeft w:val="0"/>
                      <w:marRight w:val="0"/>
                      <w:marTop w:val="0"/>
                      <w:marBottom w:val="0"/>
                      <w:divBdr>
                        <w:top w:val="none" w:sz="0" w:space="0" w:color="auto"/>
                        <w:left w:val="none" w:sz="0" w:space="0" w:color="auto"/>
                        <w:bottom w:val="none" w:sz="0" w:space="0" w:color="auto"/>
                        <w:right w:val="none" w:sz="0" w:space="0" w:color="auto"/>
                      </w:divBdr>
                    </w:div>
                  </w:divsChild>
                </w:div>
                <w:div w:id="400522681">
                  <w:marLeft w:val="0"/>
                  <w:marRight w:val="0"/>
                  <w:marTop w:val="0"/>
                  <w:marBottom w:val="0"/>
                  <w:divBdr>
                    <w:top w:val="none" w:sz="0" w:space="0" w:color="auto"/>
                    <w:left w:val="none" w:sz="0" w:space="0" w:color="auto"/>
                    <w:bottom w:val="none" w:sz="0" w:space="0" w:color="auto"/>
                    <w:right w:val="none" w:sz="0" w:space="0" w:color="auto"/>
                  </w:divBdr>
                  <w:divsChild>
                    <w:div w:id="1152403695">
                      <w:marLeft w:val="0"/>
                      <w:marRight w:val="0"/>
                      <w:marTop w:val="0"/>
                      <w:marBottom w:val="0"/>
                      <w:divBdr>
                        <w:top w:val="none" w:sz="0" w:space="0" w:color="auto"/>
                        <w:left w:val="none" w:sz="0" w:space="0" w:color="auto"/>
                        <w:bottom w:val="none" w:sz="0" w:space="0" w:color="auto"/>
                        <w:right w:val="none" w:sz="0" w:space="0" w:color="auto"/>
                      </w:divBdr>
                    </w:div>
                  </w:divsChild>
                </w:div>
                <w:div w:id="421611294">
                  <w:marLeft w:val="0"/>
                  <w:marRight w:val="0"/>
                  <w:marTop w:val="0"/>
                  <w:marBottom w:val="0"/>
                  <w:divBdr>
                    <w:top w:val="none" w:sz="0" w:space="0" w:color="auto"/>
                    <w:left w:val="none" w:sz="0" w:space="0" w:color="auto"/>
                    <w:bottom w:val="none" w:sz="0" w:space="0" w:color="auto"/>
                    <w:right w:val="none" w:sz="0" w:space="0" w:color="auto"/>
                  </w:divBdr>
                  <w:divsChild>
                    <w:div w:id="1270354792">
                      <w:marLeft w:val="0"/>
                      <w:marRight w:val="0"/>
                      <w:marTop w:val="0"/>
                      <w:marBottom w:val="0"/>
                      <w:divBdr>
                        <w:top w:val="none" w:sz="0" w:space="0" w:color="auto"/>
                        <w:left w:val="none" w:sz="0" w:space="0" w:color="auto"/>
                        <w:bottom w:val="none" w:sz="0" w:space="0" w:color="auto"/>
                        <w:right w:val="none" w:sz="0" w:space="0" w:color="auto"/>
                      </w:divBdr>
                    </w:div>
                  </w:divsChild>
                </w:div>
                <w:div w:id="435756661">
                  <w:marLeft w:val="0"/>
                  <w:marRight w:val="0"/>
                  <w:marTop w:val="0"/>
                  <w:marBottom w:val="0"/>
                  <w:divBdr>
                    <w:top w:val="none" w:sz="0" w:space="0" w:color="auto"/>
                    <w:left w:val="none" w:sz="0" w:space="0" w:color="auto"/>
                    <w:bottom w:val="none" w:sz="0" w:space="0" w:color="auto"/>
                    <w:right w:val="none" w:sz="0" w:space="0" w:color="auto"/>
                  </w:divBdr>
                  <w:divsChild>
                    <w:div w:id="1236209946">
                      <w:marLeft w:val="0"/>
                      <w:marRight w:val="0"/>
                      <w:marTop w:val="0"/>
                      <w:marBottom w:val="0"/>
                      <w:divBdr>
                        <w:top w:val="none" w:sz="0" w:space="0" w:color="auto"/>
                        <w:left w:val="none" w:sz="0" w:space="0" w:color="auto"/>
                        <w:bottom w:val="none" w:sz="0" w:space="0" w:color="auto"/>
                        <w:right w:val="none" w:sz="0" w:space="0" w:color="auto"/>
                      </w:divBdr>
                    </w:div>
                  </w:divsChild>
                </w:div>
                <w:div w:id="472991236">
                  <w:marLeft w:val="0"/>
                  <w:marRight w:val="0"/>
                  <w:marTop w:val="0"/>
                  <w:marBottom w:val="0"/>
                  <w:divBdr>
                    <w:top w:val="none" w:sz="0" w:space="0" w:color="auto"/>
                    <w:left w:val="none" w:sz="0" w:space="0" w:color="auto"/>
                    <w:bottom w:val="none" w:sz="0" w:space="0" w:color="auto"/>
                    <w:right w:val="none" w:sz="0" w:space="0" w:color="auto"/>
                  </w:divBdr>
                  <w:divsChild>
                    <w:div w:id="1391686424">
                      <w:marLeft w:val="0"/>
                      <w:marRight w:val="0"/>
                      <w:marTop w:val="0"/>
                      <w:marBottom w:val="0"/>
                      <w:divBdr>
                        <w:top w:val="none" w:sz="0" w:space="0" w:color="auto"/>
                        <w:left w:val="none" w:sz="0" w:space="0" w:color="auto"/>
                        <w:bottom w:val="none" w:sz="0" w:space="0" w:color="auto"/>
                        <w:right w:val="none" w:sz="0" w:space="0" w:color="auto"/>
                      </w:divBdr>
                    </w:div>
                  </w:divsChild>
                </w:div>
                <w:div w:id="480271885">
                  <w:marLeft w:val="0"/>
                  <w:marRight w:val="0"/>
                  <w:marTop w:val="0"/>
                  <w:marBottom w:val="0"/>
                  <w:divBdr>
                    <w:top w:val="none" w:sz="0" w:space="0" w:color="auto"/>
                    <w:left w:val="none" w:sz="0" w:space="0" w:color="auto"/>
                    <w:bottom w:val="none" w:sz="0" w:space="0" w:color="auto"/>
                    <w:right w:val="none" w:sz="0" w:space="0" w:color="auto"/>
                  </w:divBdr>
                  <w:divsChild>
                    <w:div w:id="2055080598">
                      <w:marLeft w:val="0"/>
                      <w:marRight w:val="0"/>
                      <w:marTop w:val="0"/>
                      <w:marBottom w:val="0"/>
                      <w:divBdr>
                        <w:top w:val="none" w:sz="0" w:space="0" w:color="auto"/>
                        <w:left w:val="none" w:sz="0" w:space="0" w:color="auto"/>
                        <w:bottom w:val="none" w:sz="0" w:space="0" w:color="auto"/>
                        <w:right w:val="none" w:sz="0" w:space="0" w:color="auto"/>
                      </w:divBdr>
                    </w:div>
                  </w:divsChild>
                </w:div>
                <w:div w:id="489293389">
                  <w:marLeft w:val="0"/>
                  <w:marRight w:val="0"/>
                  <w:marTop w:val="0"/>
                  <w:marBottom w:val="0"/>
                  <w:divBdr>
                    <w:top w:val="none" w:sz="0" w:space="0" w:color="auto"/>
                    <w:left w:val="none" w:sz="0" w:space="0" w:color="auto"/>
                    <w:bottom w:val="none" w:sz="0" w:space="0" w:color="auto"/>
                    <w:right w:val="none" w:sz="0" w:space="0" w:color="auto"/>
                  </w:divBdr>
                  <w:divsChild>
                    <w:div w:id="1369640601">
                      <w:marLeft w:val="0"/>
                      <w:marRight w:val="0"/>
                      <w:marTop w:val="0"/>
                      <w:marBottom w:val="0"/>
                      <w:divBdr>
                        <w:top w:val="none" w:sz="0" w:space="0" w:color="auto"/>
                        <w:left w:val="none" w:sz="0" w:space="0" w:color="auto"/>
                        <w:bottom w:val="none" w:sz="0" w:space="0" w:color="auto"/>
                        <w:right w:val="none" w:sz="0" w:space="0" w:color="auto"/>
                      </w:divBdr>
                    </w:div>
                  </w:divsChild>
                </w:div>
                <w:div w:id="489755658">
                  <w:marLeft w:val="0"/>
                  <w:marRight w:val="0"/>
                  <w:marTop w:val="0"/>
                  <w:marBottom w:val="0"/>
                  <w:divBdr>
                    <w:top w:val="none" w:sz="0" w:space="0" w:color="auto"/>
                    <w:left w:val="none" w:sz="0" w:space="0" w:color="auto"/>
                    <w:bottom w:val="none" w:sz="0" w:space="0" w:color="auto"/>
                    <w:right w:val="none" w:sz="0" w:space="0" w:color="auto"/>
                  </w:divBdr>
                  <w:divsChild>
                    <w:div w:id="1268077371">
                      <w:marLeft w:val="0"/>
                      <w:marRight w:val="0"/>
                      <w:marTop w:val="0"/>
                      <w:marBottom w:val="0"/>
                      <w:divBdr>
                        <w:top w:val="none" w:sz="0" w:space="0" w:color="auto"/>
                        <w:left w:val="none" w:sz="0" w:space="0" w:color="auto"/>
                        <w:bottom w:val="none" w:sz="0" w:space="0" w:color="auto"/>
                        <w:right w:val="none" w:sz="0" w:space="0" w:color="auto"/>
                      </w:divBdr>
                    </w:div>
                  </w:divsChild>
                </w:div>
                <w:div w:id="490216622">
                  <w:marLeft w:val="0"/>
                  <w:marRight w:val="0"/>
                  <w:marTop w:val="0"/>
                  <w:marBottom w:val="0"/>
                  <w:divBdr>
                    <w:top w:val="none" w:sz="0" w:space="0" w:color="auto"/>
                    <w:left w:val="none" w:sz="0" w:space="0" w:color="auto"/>
                    <w:bottom w:val="none" w:sz="0" w:space="0" w:color="auto"/>
                    <w:right w:val="none" w:sz="0" w:space="0" w:color="auto"/>
                  </w:divBdr>
                  <w:divsChild>
                    <w:div w:id="1414594631">
                      <w:marLeft w:val="0"/>
                      <w:marRight w:val="0"/>
                      <w:marTop w:val="0"/>
                      <w:marBottom w:val="0"/>
                      <w:divBdr>
                        <w:top w:val="none" w:sz="0" w:space="0" w:color="auto"/>
                        <w:left w:val="none" w:sz="0" w:space="0" w:color="auto"/>
                        <w:bottom w:val="none" w:sz="0" w:space="0" w:color="auto"/>
                        <w:right w:val="none" w:sz="0" w:space="0" w:color="auto"/>
                      </w:divBdr>
                    </w:div>
                  </w:divsChild>
                </w:div>
                <w:div w:id="493453271">
                  <w:marLeft w:val="0"/>
                  <w:marRight w:val="0"/>
                  <w:marTop w:val="0"/>
                  <w:marBottom w:val="0"/>
                  <w:divBdr>
                    <w:top w:val="none" w:sz="0" w:space="0" w:color="auto"/>
                    <w:left w:val="none" w:sz="0" w:space="0" w:color="auto"/>
                    <w:bottom w:val="none" w:sz="0" w:space="0" w:color="auto"/>
                    <w:right w:val="none" w:sz="0" w:space="0" w:color="auto"/>
                  </w:divBdr>
                  <w:divsChild>
                    <w:div w:id="682515340">
                      <w:marLeft w:val="0"/>
                      <w:marRight w:val="0"/>
                      <w:marTop w:val="0"/>
                      <w:marBottom w:val="0"/>
                      <w:divBdr>
                        <w:top w:val="none" w:sz="0" w:space="0" w:color="auto"/>
                        <w:left w:val="none" w:sz="0" w:space="0" w:color="auto"/>
                        <w:bottom w:val="none" w:sz="0" w:space="0" w:color="auto"/>
                        <w:right w:val="none" w:sz="0" w:space="0" w:color="auto"/>
                      </w:divBdr>
                    </w:div>
                  </w:divsChild>
                </w:div>
                <w:div w:id="502166796">
                  <w:marLeft w:val="0"/>
                  <w:marRight w:val="0"/>
                  <w:marTop w:val="0"/>
                  <w:marBottom w:val="0"/>
                  <w:divBdr>
                    <w:top w:val="none" w:sz="0" w:space="0" w:color="auto"/>
                    <w:left w:val="none" w:sz="0" w:space="0" w:color="auto"/>
                    <w:bottom w:val="none" w:sz="0" w:space="0" w:color="auto"/>
                    <w:right w:val="none" w:sz="0" w:space="0" w:color="auto"/>
                  </w:divBdr>
                  <w:divsChild>
                    <w:div w:id="1502617836">
                      <w:marLeft w:val="0"/>
                      <w:marRight w:val="0"/>
                      <w:marTop w:val="0"/>
                      <w:marBottom w:val="0"/>
                      <w:divBdr>
                        <w:top w:val="none" w:sz="0" w:space="0" w:color="auto"/>
                        <w:left w:val="none" w:sz="0" w:space="0" w:color="auto"/>
                        <w:bottom w:val="none" w:sz="0" w:space="0" w:color="auto"/>
                        <w:right w:val="none" w:sz="0" w:space="0" w:color="auto"/>
                      </w:divBdr>
                    </w:div>
                  </w:divsChild>
                </w:div>
                <w:div w:id="503279811">
                  <w:marLeft w:val="0"/>
                  <w:marRight w:val="0"/>
                  <w:marTop w:val="0"/>
                  <w:marBottom w:val="0"/>
                  <w:divBdr>
                    <w:top w:val="none" w:sz="0" w:space="0" w:color="auto"/>
                    <w:left w:val="none" w:sz="0" w:space="0" w:color="auto"/>
                    <w:bottom w:val="none" w:sz="0" w:space="0" w:color="auto"/>
                    <w:right w:val="none" w:sz="0" w:space="0" w:color="auto"/>
                  </w:divBdr>
                  <w:divsChild>
                    <w:div w:id="1620138802">
                      <w:marLeft w:val="0"/>
                      <w:marRight w:val="0"/>
                      <w:marTop w:val="0"/>
                      <w:marBottom w:val="0"/>
                      <w:divBdr>
                        <w:top w:val="none" w:sz="0" w:space="0" w:color="auto"/>
                        <w:left w:val="none" w:sz="0" w:space="0" w:color="auto"/>
                        <w:bottom w:val="none" w:sz="0" w:space="0" w:color="auto"/>
                        <w:right w:val="none" w:sz="0" w:space="0" w:color="auto"/>
                      </w:divBdr>
                    </w:div>
                  </w:divsChild>
                </w:div>
                <w:div w:id="504630524">
                  <w:marLeft w:val="0"/>
                  <w:marRight w:val="0"/>
                  <w:marTop w:val="0"/>
                  <w:marBottom w:val="0"/>
                  <w:divBdr>
                    <w:top w:val="none" w:sz="0" w:space="0" w:color="auto"/>
                    <w:left w:val="none" w:sz="0" w:space="0" w:color="auto"/>
                    <w:bottom w:val="none" w:sz="0" w:space="0" w:color="auto"/>
                    <w:right w:val="none" w:sz="0" w:space="0" w:color="auto"/>
                  </w:divBdr>
                  <w:divsChild>
                    <w:div w:id="742676290">
                      <w:marLeft w:val="0"/>
                      <w:marRight w:val="0"/>
                      <w:marTop w:val="0"/>
                      <w:marBottom w:val="0"/>
                      <w:divBdr>
                        <w:top w:val="none" w:sz="0" w:space="0" w:color="auto"/>
                        <w:left w:val="none" w:sz="0" w:space="0" w:color="auto"/>
                        <w:bottom w:val="none" w:sz="0" w:space="0" w:color="auto"/>
                        <w:right w:val="none" w:sz="0" w:space="0" w:color="auto"/>
                      </w:divBdr>
                    </w:div>
                  </w:divsChild>
                </w:div>
                <w:div w:id="506560094">
                  <w:marLeft w:val="0"/>
                  <w:marRight w:val="0"/>
                  <w:marTop w:val="0"/>
                  <w:marBottom w:val="0"/>
                  <w:divBdr>
                    <w:top w:val="none" w:sz="0" w:space="0" w:color="auto"/>
                    <w:left w:val="none" w:sz="0" w:space="0" w:color="auto"/>
                    <w:bottom w:val="none" w:sz="0" w:space="0" w:color="auto"/>
                    <w:right w:val="none" w:sz="0" w:space="0" w:color="auto"/>
                  </w:divBdr>
                  <w:divsChild>
                    <w:div w:id="2124691534">
                      <w:marLeft w:val="0"/>
                      <w:marRight w:val="0"/>
                      <w:marTop w:val="0"/>
                      <w:marBottom w:val="0"/>
                      <w:divBdr>
                        <w:top w:val="none" w:sz="0" w:space="0" w:color="auto"/>
                        <w:left w:val="none" w:sz="0" w:space="0" w:color="auto"/>
                        <w:bottom w:val="none" w:sz="0" w:space="0" w:color="auto"/>
                        <w:right w:val="none" w:sz="0" w:space="0" w:color="auto"/>
                      </w:divBdr>
                    </w:div>
                  </w:divsChild>
                </w:div>
                <w:div w:id="508525189">
                  <w:marLeft w:val="0"/>
                  <w:marRight w:val="0"/>
                  <w:marTop w:val="0"/>
                  <w:marBottom w:val="0"/>
                  <w:divBdr>
                    <w:top w:val="none" w:sz="0" w:space="0" w:color="auto"/>
                    <w:left w:val="none" w:sz="0" w:space="0" w:color="auto"/>
                    <w:bottom w:val="none" w:sz="0" w:space="0" w:color="auto"/>
                    <w:right w:val="none" w:sz="0" w:space="0" w:color="auto"/>
                  </w:divBdr>
                  <w:divsChild>
                    <w:div w:id="355353625">
                      <w:marLeft w:val="0"/>
                      <w:marRight w:val="0"/>
                      <w:marTop w:val="0"/>
                      <w:marBottom w:val="0"/>
                      <w:divBdr>
                        <w:top w:val="none" w:sz="0" w:space="0" w:color="auto"/>
                        <w:left w:val="none" w:sz="0" w:space="0" w:color="auto"/>
                        <w:bottom w:val="none" w:sz="0" w:space="0" w:color="auto"/>
                        <w:right w:val="none" w:sz="0" w:space="0" w:color="auto"/>
                      </w:divBdr>
                    </w:div>
                  </w:divsChild>
                </w:div>
                <w:div w:id="512649118">
                  <w:marLeft w:val="0"/>
                  <w:marRight w:val="0"/>
                  <w:marTop w:val="0"/>
                  <w:marBottom w:val="0"/>
                  <w:divBdr>
                    <w:top w:val="none" w:sz="0" w:space="0" w:color="auto"/>
                    <w:left w:val="none" w:sz="0" w:space="0" w:color="auto"/>
                    <w:bottom w:val="none" w:sz="0" w:space="0" w:color="auto"/>
                    <w:right w:val="none" w:sz="0" w:space="0" w:color="auto"/>
                  </w:divBdr>
                  <w:divsChild>
                    <w:div w:id="717823766">
                      <w:marLeft w:val="0"/>
                      <w:marRight w:val="0"/>
                      <w:marTop w:val="0"/>
                      <w:marBottom w:val="0"/>
                      <w:divBdr>
                        <w:top w:val="none" w:sz="0" w:space="0" w:color="auto"/>
                        <w:left w:val="none" w:sz="0" w:space="0" w:color="auto"/>
                        <w:bottom w:val="none" w:sz="0" w:space="0" w:color="auto"/>
                        <w:right w:val="none" w:sz="0" w:space="0" w:color="auto"/>
                      </w:divBdr>
                    </w:div>
                  </w:divsChild>
                </w:div>
                <w:div w:id="516501593">
                  <w:marLeft w:val="0"/>
                  <w:marRight w:val="0"/>
                  <w:marTop w:val="0"/>
                  <w:marBottom w:val="0"/>
                  <w:divBdr>
                    <w:top w:val="none" w:sz="0" w:space="0" w:color="auto"/>
                    <w:left w:val="none" w:sz="0" w:space="0" w:color="auto"/>
                    <w:bottom w:val="none" w:sz="0" w:space="0" w:color="auto"/>
                    <w:right w:val="none" w:sz="0" w:space="0" w:color="auto"/>
                  </w:divBdr>
                  <w:divsChild>
                    <w:div w:id="1706589767">
                      <w:marLeft w:val="0"/>
                      <w:marRight w:val="0"/>
                      <w:marTop w:val="0"/>
                      <w:marBottom w:val="0"/>
                      <w:divBdr>
                        <w:top w:val="none" w:sz="0" w:space="0" w:color="auto"/>
                        <w:left w:val="none" w:sz="0" w:space="0" w:color="auto"/>
                        <w:bottom w:val="none" w:sz="0" w:space="0" w:color="auto"/>
                        <w:right w:val="none" w:sz="0" w:space="0" w:color="auto"/>
                      </w:divBdr>
                    </w:div>
                  </w:divsChild>
                </w:div>
                <w:div w:id="531265173">
                  <w:marLeft w:val="0"/>
                  <w:marRight w:val="0"/>
                  <w:marTop w:val="0"/>
                  <w:marBottom w:val="0"/>
                  <w:divBdr>
                    <w:top w:val="none" w:sz="0" w:space="0" w:color="auto"/>
                    <w:left w:val="none" w:sz="0" w:space="0" w:color="auto"/>
                    <w:bottom w:val="none" w:sz="0" w:space="0" w:color="auto"/>
                    <w:right w:val="none" w:sz="0" w:space="0" w:color="auto"/>
                  </w:divBdr>
                  <w:divsChild>
                    <w:div w:id="756441342">
                      <w:marLeft w:val="0"/>
                      <w:marRight w:val="0"/>
                      <w:marTop w:val="0"/>
                      <w:marBottom w:val="0"/>
                      <w:divBdr>
                        <w:top w:val="none" w:sz="0" w:space="0" w:color="auto"/>
                        <w:left w:val="none" w:sz="0" w:space="0" w:color="auto"/>
                        <w:bottom w:val="none" w:sz="0" w:space="0" w:color="auto"/>
                        <w:right w:val="none" w:sz="0" w:space="0" w:color="auto"/>
                      </w:divBdr>
                    </w:div>
                  </w:divsChild>
                </w:div>
                <w:div w:id="533923535">
                  <w:marLeft w:val="0"/>
                  <w:marRight w:val="0"/>
                  <w:marTop w:val="0"/>
                  <w:marBottom w:val="0"/>
                  <w:divBdr>
                    <w:top w:val="none" w:sz="0" w:space="0" w:color="auto"/>
                    <w:left w:val="none" w:sz="0" w:space="0" w:color="auto"/>
                    <w:bottom w:val="none" w:sz="0" w:space="0" w:color="auto"/>
                    <w:right w:val="none" w:sz="0" w:space="0" w:color="auto"/>
                  </w:divBdr>
                  <w:divsChild>
                    <w:div w:id="516386821">
                      <w:marLeft w:val="0"/>
                      <w:marRight w:val="0"/>
                      <w:marTop w:val="0"/>
                      <w:marBottom w:val="0"/>
                      <w:divBdr>
                        <w:top w:val="none" w:sz="0" w:space="0" w:color="auto"/>
                        <w:left w:val="none" w:sz="0" w:space="0" w:color="auto"/>
                        <w:bottom w:val="none" w:sz="0" w:space="0" w:color="auto"/>
                        <w:right w:val="none" w:sz="0" w:space="0" w:color="auto"/>
                      </w:divBdr>
                    </w:div>
                  </w:divsChild>
                </w:div>
                <w:div w:id="537398678">
                  <w:marLeft w:val="0"/>
                  <w:marRight w:val="0"/>
                  <w:marTop w:val="0"/>
                  <w:marBottom w:val="0"/>
                  <w:divBdr>
                    <w:top w:val="none" w:sz="0" w:space="0" w:color="auto"/>
                    <w:left w:val="none" w:sz="0" w:space="0" w:color="auto"/>
                    <w:bottom w:val="none" w:sz="0" w:space="0" w:color="auto"/>
                    <w:right w:val="none" w:sz="0" w:space="0" w:color="auto"/>
                  </w:divBdr>
                  <w:divsChild>
                    <w:div w:id="1569195666">
                      <w:marLeft w:val="0"/>
                      <w:marRight w:val="0"/>
                      <w:marTop w:val="0"/>
                      <w:marBottom w:val="0"/>
                      <w:divBdr>
                        <w:top w:val="none" w:sz="0" w:space="0" w:color="auto"/>
                        <w:left w:val="none" w:sz="0" w:space="0" w:color="auto"/>
                        <w:bottom w:val="none" w:sz="0" w:space="0" w:color="auto"/>
                        <w:right w:val="none" w:sz="0" w:space="0" w:color="auto"/>
                      </w:divBdr>
                    </w:div>
                  </w:divsChild>
                </w:div>
                <w:div w:id="538051548">
                  <w:marLeft w:val="0"/>
                  <w:marRight w:val="0"/>
                  <w:marTop w:val="0"/>
                  <w:marBottom w:val="0"/>
                  <w:divBdr>
                    <w:top w:val="none" w:sz="0" w:space="0" w:color="auto"/>
                    <w:left w:val="none" w:sz="0" w:space="0" w:color="auto"/>
                    <w:bottom w:val="none" w:sz="0" w:space="0" w:color="auto"/>
                    <w:right w:val="none" w:sz="0" w:space="0" w:color="auto"/>
                  </w:divBdr>
                  <w:divsChild>
                    <w:div w:id="1686902379">
                      <w:marLeft w:val="0"/>
                      <w:marRight w:val="0"/>
                      <w:marTop w:val="0"/>
                      <w:marBottom w:val="0"/>
                      <w:divBdr>
                        <w:top w:val="none" w:sz="0" w:space="0" w:color="auto"/>
                        <w:left w:val="none" w:sz="0" w:space="0" w:color="auto"/>
                        <w:bottom w:val="none" w:sz="0" w:space="0" w:color="auto"/>
                        <w:right w:val="none" w:sz="0" w:space="0" w:color="auto"/>
                      </w:divBdr>
                    </w:div>
                  </w:divsChild>
                </w:div>
                <w:div w:id="548614548">
                  <w:marLeft w:val="0"/>
                  <w:marRight w:val="0"/>
                  <w:marTop w:val="0"/>
                  <w:marBottom w:val="0"/>
                  <w:divBdr>
                    <w:top w:val="none" w:sz="0" w:space="0" w:color="auto"/>
                    <w:left w:val="none" w:sz="0" w:space="0" w:color="auto"/>
                    <w:bottom w:val="none" w:sz="0" w:space="0" w:color="auto"/>
                    <w:right w:val="none" w:sz="0" w:space="0" w:color="auto"/>
                  </w:divBdr>
                  <w:divsChild>
                    <w:div w:id="1319840151">
                      <w:marLeft w:val="0"/>
                      <w:marRight w:val="0"/>
                      <w:marTop w:val="0"/>
                      <w:marBottom w:val="0"/>
                      <w:divBdr>
                        <w:top w:val="none" w:sz="0" w:space="0" w:color="auto"/>
                        <w:left w:val="none" w:sz="0" w:space="0" w:color="auto"/>
                        <w:bottom w:val="none" w:sz="0" w:space="0" w:color="auto"/>
                        <w:right w:val="none" w:sz="0" w:space="0" w:color="auto"/>
                      </w:divBdr>
                    </w:div>
                  </w:divsChild>
                </w:div>
                <w:div w:id="554312985">
                  <w:marLeft w:val="0"/>
                  <w:marRight w:val="0"/>
                  <w:marTop w:val="0"/>
                  <w:marBottom w:val="0"/>
                  <w:divBdr>
                    <w:top w:val="none" w:sz="0" w:space="0" w:color="auto"/>
                    <w:left w:val="none" w:sz="0" w:space="0" w:color="auto"/>
                    <w:bottom w:val="none" w:sz="0" w:space="0" w:color="auto"/>
                    <w:right w:val="none" w:sz="0" w:space="0" w:color="auto"/>
                  </w:divBdr>
                  <w:divsChild>
                    <w:div w:id="1082265385">
                      <w:marLeft w:val="0"/>
                      <w:marRight w:val="0"/>
                      <w:marTop w:val="0"/>
                      <w:marBottom w:val="0"/>
                      <w:divBdr>
                        <w:top w:val="none" w:sz="0" w:space="0" w:color="auto"/>
                        <w:left w:val="none" w:sz="0" w:space="0" w:color="auto"/>
                        <w:bottom w:val="none" w:sz="0" w:space="0" w:color="auto"/>
                        <w:right w:val="none" w:sz="0" w:space="0" w:color="auto"/>
                      </w:divBdr>
                    </w:div>
                  </w:divsChild>
                </w:div>
                <w:div w:id="563367919">
                  <w:marLeft w:val="0"/>
                  <w:marRight w:val="0"/>
                  <w:marTop w:val="0"/>
                  <w:marBottom w:val="0"/>
                  <w:divBdr>
                    <w:top w:val="none" w:sz="0" w:space="0" w:color="auto"/>
                    <w:left w:val="none" w:sz="0" w:space="0" w:color="auto"/>
                    <w:bottom w:val="none" w:sz="0" w:space="0" w:color="auto"/>
                    <w:right w:val="none" w:sz="0" w:space="0" w:color="auto"/>
                  </w:divBdr>
                  <w:divsChild>
                    <w:div w:id="391512695">
                      <w:marLeft w:val="0"/>
                      <w:marRight w:val="0"/>
                      <w:marTop w:val="0"/>
                      <w:marBottom w:val="0"/>
                      <w:divBdr>
                        <w:top w:val="none" w:sz="0" w:space="0" w:color="auto"/>
                        <w:left w:val="none" w:sz="0" w:space="0" w:color="auto"/>
                        <w:bottom w:val="none" w:sz="0" w:space="0" w:color="auto"/>
                        <w:right w:val="none" w:sz="0" w:space="0" w:color="auto"/>
                      </w:divBdr>
                    </w:div>
                  </w:divsChild>
                </w:div>
                <w:div w:id="566916080">
                  <w:marLeft w:val="0"/>
                  <w:marRight w:val="0"/>
                  <w:marTop w:val="0"/>
                  <w:marBottom w:val="0"/>
                  <w:divBdr>
                    <w:top w:val="none" w:sz="0" w:space="0" w:color="auto"/>
                    <w:left w:val="none" w:sz="0" w:space="0" w:color="auto"/>
                    <w:bottom w:val="none" w:sz="0" w:space="0" w:color="auto"/>
                    <w:right w:val="none" w:sz="0" w:space="0" w:color="auto"/>
                  </w:divBdr>
                  <w:divsChild>
                    <w:div w:id="1165364829">
                      <w:marLeft w:val="0"/>
                      <w:marRight w:val="0"/>
                      <w:marTop w:val="0"/>
                      <w:marBottom w:val="0"/>
                      <w:divBdr>
                        <w:top w:val="none" w:sz="0" w:space="0" w:color="auto"/>
                        <w:left w:val="none" w:sz="0" w:space="0" w:color="auto"/>
                        <w:bottom w:val="none" w:sz="0" w:space="0" w:color="auto"/>
                        <w:right w:val="none" w:sz="0" w:space="0" w:color="auto"/>
                      </w:divBdr>
                    </w:div>
                  </w:divsChild>
                </w:div>
                <w:div w:id="567959728">
                  <w:marLeft w:val="0"/>
                  <w:marRight w:val="0"/>
                  <w:marTop w:val="0"/>
                  <w:marBottom w:val="0"/>
                  <w:divBdr>
                    <w:top w:val="none" w:sz="0" w:space="0" w:color="auto"/>
                    <w:left w:val="none" w:sz="0" w:space="0" w:color="auto"/>
                    <w:bottom w:val="none" w:sz="0" w:space="0" w:color="auto"/>
                    <w:right w:val="none" w:sz="0" w:space="0" w:color="auto"/>
                  </w:divBdr>
                  <w:divsChild>
                    <w:div w:id="1856847257">
                      <w:marLeft w:val="0"/>
                      <w:marRight w:val="0"/>
                      <w:marTop w:val="0"/>
                      <w:marBottom w:val="0"/>
                      <w:divBdr>
                        <w:top w:val="none" w:sz="0" w:space="0" w:color="auto"/>
                        <w:left w:val="none" w:sz="0" w:space="0" w:color="auto"/>
                        <w:bottom w:val="none" w:sz="0" w:space="0" w:color="auto"/>
                        <w:right w:val="none" w:sz="0" w:space="0" w:color="auto"/>
                      </w:divBdr>
                    </w:div>
                  </w:divsChild>
                </w:div>
                <w:div w:id="570117076">
                  <w:marLeft w:val="0"/>
                  <w:marRight w:val="0"/>
                  <w:marTop w:val="0"/>
                  <w:marBottom w:val="0"/>
                  <w:divBdr>
                    <w:top w:val="none" w:sz="0" w:space="0" w:color="auto"/>
                    <w:left w:val="none" w:sz="0" w:space="0" w:color="auto"/>
                    <w:bottom w:val="none" w:sz="0" w:space="0" w:color="auto"/>
                    <w:right w:val="none" w:sz="0" w:space="0" w:color="auto"/>
                  </w:divBdr>
                  <w:divsChild>
                    <w:div w:id="1575164577">
                      <w:marLeft w:val="0"/>
                      <w:marRight w:val="0"/>
                      <w:marTop w:val="0"/>
                      <w:marBottom w:val="0"/>
                      <w:divBdr>
                        <w:top w:val="none" w:sz="0" w:space="0" w:color="auto"/>
                        <w:left w:val="none" w:sz="0" w:space="0" w:color="auto"/>
                        <w:bottom w:val="none" w:sz="0" w:space="0" w:color="auto"/>
                        <w:right w:val="none" w:sz="0" w:space="0" w:color="auto"/>
                      </w:divBdr>
                    </w:div>
                  </w:divsChild>
                </w:div>
                <w:div w:id="575365164">
                  <w:marLeft w:val="0"/>
                  <w:marRight w:val="0"/>
                  <w:marTop w:val="0"/>
                  <w:marBottom w:val="0"/>
                  <w:divBdr>
                    <w:top w:val="none" w:sz="0" w:space="0" w:color="auto"/>
                    <w:left w:val="none" w:sz="0" w:space="0" w:color="auto"/>
                    <w:bottom w:val="none" w:sz="0" w:space="0" w:color="auto"/>
                    <w:right w:val="none" w:sz="0" w:space="0" w:color="auto"/>
                  </w:divBdr>
                  <w:divsChild>
                    <w:div w:id="954865580">
                      <w:marLeft w:val="0"/>
                      <w:marRight w:val="0"/>
                      <w:marTop w:val="0"/>
                      <w:marBottom w:val="0"/>
                      <w:divBdr>
                        <w:top w:val="none" w:sz="0" w:space="0" w:color="auto"/>
                        <w:left w:val="none" w:sz="0" w:space="0" w:color="auto"/>
                        <w:bottom w:val="none" w:sz="0" w:space="0" w:color="auto"/>
                        <w:right w:val="none" w:sz="0" w:space="0" w:color="auto"/>
                      </w:divBdr>
                    </w:div>
                  </w:divsChild>
                </w:div>
                <w:div w:id="585457458">
                  <w:marLeft w:val="0"/>
                  <w:marRight w:val="0"/>
                  <w:marTop w:val="0"/>
                  <w:marBottom w:val="0"/>
                  <w:divBdr>
                    <w:top w:val="none" w:sz="0" w:space="0" w:color="auto"/>
                    <w:left w:val="none" w:sz="0" w:space="0" w:color="auto"/>
                    <w:bottom w:val="none" w:sz="0" w:space="0" w:color="auto"/>
                    <w:right w:val="none" w:sz="0" w:space="0" w:color="auto"/>
                  </w:divBdr>
                  <w:divsChild>
                    <w:div w:id="1908223854">
                      <w:marLeft w:val="0"/>
                      <w:marRight w:val="0"/>
                      <w:marTop w:val="0"/>
                      <w:marBottom w:val="0"/>
                      <w:divBdr>
                        <w:top w:val="none" w:sz="0" w:space="0" w:color="auto"/>
                        <w:left w:val="none" w:sz="0" w:space="0" w:color="auto"/>
                        <w:bottom w:val="none" w:sz="0" w:space="0" w:color="auto"/>
                        <w:right w:val="none" w:sz="0" w:space="0" w:color="auto"/>
                      </w:divBdr>
                    </w:div>
                  </w:divsChild>
                </w:div>
                <w:div w:id="609355615">
                  <w:marLeft w:val="0"/>
                  <w:marRight w:val="0"/>
                  <w:marTop w:val="0"/>
                  <w:marBottom w:val="0"/>
                  <w:divBdr>
                    <w:top w:val="none" w:sz="0" w:space="0" w:color="auto"/>
                    <w:left w:val="none" w:sz="0" w:space="0" w:color="auto"/>
                    <w:bottom w:val="none" w:sz="0" w:space="0" w:color="auto"/>
                    <w:right w:val="none" w:sz="0" w:space="0" w:color="auto"/>
                  </w:divBdr>
                  <w:divsChild>
                    <w:div w:id="895357961">
                      <w:marLeft w:val="0"/>
                      <w:marRight w:val="0"/>
                      <w:marTop w:val="0"/>
                      <w:marBottom w:val="0"/>
                      <w:divBdr>
                        <w:top w:val="none" w:sz="0" w:space="0" w:color="auto"/>
                        <w:left w:val="none" w:sz="0" w:space="0" w:color="auto"/>
                        <w:bottom w:val="none" w:sz="0" w:space="0" w:color="auto"/>
                        <w:right w:val="none" w:sz="0" w:space="0" w:color="auto"/>
                      </w:divBdr>
                    </w:div>
                  </w:divsChild>
                </w:div>
                <w:div w:id="618804608">
                  <w:marLeft w:val="0"/>
                  <w:marRight w:val="0"/>
                  <w:marTop w:val="0"/>
                  <w:marBottom w:val="0"/>
                  <w:divBdr>
                    <w:top w:val="none" w:sz="0" w:space="0" w:color="auto"/>
                    <w:left w:val="none" w:sz="0" w:space="0" w:color="auto"/>
                    <w:bottom w:val="none" w:sz="0" w:space="0" w:color="auto"/>
                    <w:right w:val="none" w:sz="0" w:space="0" w:color="auto"/>
                  </w:divBdr>
                  <w:divsChild>
                    <w:div w:id="326519544">
                      <w:marLeft w:val="0"/>
                      <w:marRight w:val="0"/>
                      <w:marTop w:val="0"/>
                      <w:marBottom w:val="0"/>
                      <w:divBdr>
                        <w:top w:val="none" w:sz="0" w:space="0" w:color="auto"/>
                        <w:left w:val="none" w:sz="0" w:space="0" w:color="auto"/>
                        <w:bottom w:val="none" w:sz="0" w:space="0" w:color="auto"/>
                        <w:right w:val="none" w:sz="0" w:space="0" w:color="auto"/>
                      </w:divBdr>
                    </w:div>
                  </w:divsChild>
                </w:div>
                <w:div w:id="622151851">
                  <w:marLeft w:val="0"/>
                  <w:marRight w:val="0"/>
                  <w:marTop w:val="0"/>
                  <w:marBottom w:val="0"/>
                  <w:divBdr>
                    <w:top w:val="none" w:sz="0" w:space="0" w:color="auto"/>
                    <w:left w:val="none" w:sz="0" w:space="0" w:color="auto"/>
                    <w:bottom w:val="none" w:sz="0" w:space="0" w:color="auto"/>
                    <w:right w:val="none" w:sz="0" w:space="0" w:color="auto"/>
                  </w:divBdr>
                  <w:divsChild>
                    <w:div w:id="863708861">
                      <w:marLeft w:val="0"/>
                      <w:marRight w:val="0"/>
                      <w:marTop w:val="0"/>
                      <w:marBottom w:val="0"/>
                      <w:divBdr>
                        <w:top w:val="none" w:sz="0" w:space="0" w:color="auto"/>
                        <w:left w:val="none" w:sz="0" w:space="0" w:color="auto"/>
                        <w:bottom w:val="none" w:sz="0" w:space="0" w:color="auto"/>
                        <w:right w:val="none" w:sz="0" w:space="0" w:color="auto"/>
                      </w:divBdr>
                    </w:div>
                  </w:divsChild>
                </w:div>
                <w:div w:id="651257198">
                  <w:marLeft w:val="0"/>
                  <w:marRight w:val="0"/>
                  <w:marTop w:val="0"/>
                  <w:marBottom w:val="0"/>
                  <w:divBdr>
                    <w:top w:val="none" w:sz="0" w:space="0" w:color="auto"/>
                    <w:left w:val="none" w:sz="0" w:space="0" w:color="auto"/>
                    <w:bottom w:val="none" w:sz="0" w:space="0" w:color="auto"/>
                    <w:right w:val="none" w:sz="0" w:space="0" w:color="auto"/>
                  </w:divBdr>
                  <w:divsChild>
                    <w:div w:id="122618074">
                      <w:marLeft w:val="0"/>
                      <w:marRight w:val="0"/>
                      <w:marTop w:val="0"/>
                      <w:marBottom w:val="0"/>
                      <w:divBdr>
                        <w:top w:val="none" w:sz="0" w:space="0" w:color="auto"/>
                        <w:left w:val="none" w:sz="0" w:space="0" w:color="auto"/>
                        <w:bottom w:val="none" w:sz="0" w:space="0" w:color="auto"/>
                        <w:right w:val="none" w:sz="0" w:space="0" w:color="auto"/>
                      </w:divBdr>
                    </w:div>
                  </w:divsChild>
                </w:div>
                <w:div w:id="652149229">
                  <w:marLeft w:val="0"/>
                  <w:marRight w:val="0"/>
                  <w:marTop w:val="0"/>
                  <w:marBottom w:val="0"/>
                  <w:divBdr>
                    <w:top w:val="none" w:sz="0" w:space="0" w:color="auto"/>
                    <w:left w:val="none" w:sz="0" w:space="0" w:color="auto"/>
                    <w:bottom w:val="none" w:sz="0" w:space="0" w:color="auto"/>
                    <w:right w:val="none" w:sz="0" w:space="0" w:color="auto"/>
                  </w:divBdr>
                  <w:divsChild>
                    <w:div w:id="271982148">
                      <w:marLeft w:val="0"/>
                      <w:marRight w:val="0"/>
                      <w:marTop w:val="0"/>
                      <w:marBottom w:val="0"/>
                      <w:divBdr>
                        <w:top w:val="none" w:sz="0" w:space="0" w:color="auto"/>
                        <w:left w:val="none" w:sz="0" w:space="0" w:color="auto"/>
                        <w:bottom w:val="none" w:sz="0" w:space="0" w:color="auto"/>
                        <w:right w:val="none" w:sz="0" w:space="0" w:color="auto"/>
                      </w:divBdr>
                    </w:div>
                  </w:divsChild>
                </w:div>
                <w:div w:id="653417860">
                  <w:marLeft w:val="0"/>
                  <w:marRight w:val="0"/>
                  <w:marTop w:val="0"/>
                  <w:marBottom w:val="0"/>
                  <w:divBdr>
                    <w:top w:val="none" w:sz="0" w:space="0" w:color="auto"/>
                    <w:left w:val="none" w:sz="0" w:space="0" w:color="auto"/>
                    <w:bottom w:val="none" w:sz="0" w:space="0" w:color="auto"/>
                    <w:right w:val="none" w:sz="0" w:space="0" w:color="auto"/>
                  </w:divBdr>
                  <w:divsChild>
                    <w:div w:id="485249107">
                      <w:marLeft w:val="0"/>
                      <w:marRight w:val="0"/>
                      <w:marTop w:val="0"/>
                      <w:marBottom w:val="0"/>
                      <w:divBdr>
                        <w:top w:val="none" w:sz="0" w:space="0" w:color="auto"/>
                        <w:left w:val="none" w:sz="0" w:space="0" w:color="auto"/>
                        <w:bottom w:val="none" w:sz="0" w:space="0" w:color="auto"/>
                        <w:right w:val="none" w:sz="0" w:space="0" w:color="auto"/>
                      </w:divBdr>
                    </w:div>
                  </w:divsChild>
                </w:div>
                <w:div w:id="654189464">
                  <w:marLeft w:val="0"/>
                  <w:marRight w:val="0"/>
                  <w:marTop w:val="0"/>
                  <w:marBottom w:val="0"/>
                  <w:divBdr>
                    <w:top w:val="none" w:sz="0" w:space="0" w:color="auto"/>
                    <w:left w:val="none" w:sz="0" w:space="0" w:color="auto"/>
                    <w:bottom w:val="none" w:sz="0" w:space="0" w:color="auto"/>
                    <w:right w:val="none" w:sz="0" w:space="0" w:color="auto"/>
                  </w:divBdr>
                  <w:divsChild>
                    <w:div w:id="120464561">
                      <w:marLeft w:val="0"/>
                      <w:marRight w:val="0"/>
                      <w:marTop w:val="0"/>
                      <w:marBottom w:val="0"/>
                      <w:divBdr>
                        <w:top w:val="none" w:sz="0" w:space="0" w:color="auto"/>
                        <w:left w:val="none" w:sz="0" w:space="0" w:color="auto"/>
                        <w:bottom w:val="none" w:sz="0" w:space="0" w:color="auto"/>
                        <w:right w:val="none" w:sz="0" w:space="0" w:color="auto"/>
                      </w:divBdr>
                    </w:div>
                  </w:divsChild>
                </w:div>
                <w:div w:id="672797907">
                  <w:marLeft w:val="0"/>
                  <w:marRight w:val="0"/>
                  <w:marTop w:val="0"/>
                  <w:marBottom w:val="0"/>
                  <w:divBdr>
                    <w:top w:val="none" w:sz="0" w:space="0" w:color="auto"/>
                    <w:left w:val="none" w:sz="0" w:space="0" w:color="auto"/>
                    <w:bottom w:val="none" w:sz="0" w:space="0" w:color="auto"/>
                    <w:right w:val="none" w:sz="0" w:space="0" w:color="auto"/>
                  </w:divBdr>
                  <w:divsChild>
                    <w:div w:id="43527335">
                      <w:marLeft w:val="0"/>
                      <w:marRight w:val="0"/>
                      <w:marTop w:val="0"/>
                      <w:marBottom w:val="0"/>
                      <w:divBdr>
                        <w:top w:val="none" w:sz="0" w:space="0" w:color="auto"/>
                        <w:left w:val="none" w:sz="0" w:space="0" w:color="auto"/>
                        <w:bottom w:val="none" w:sz="0" w:space="0" w:color="auto"/>
                        <w:right w:val="none" w:sz="0" w:space="0" w:color="auto"/>
                      </w:divBdr>
                    </w:div>
                  </w:divsChild>
                </w:div>
                <w:div w:id="673188318">
                  <w:marLeft w:val="0"/>
                  <w:marRight w:val="0"/>
                  <w:marTop w:val="0"/>
                  <w:marBottom w:val="0"/>
                  <w:divBdr>
                    <w:top w:val="none" w:sz="0" w:space="0" w:color="auto"/>
                    <w:left w:val="none" w:sz="0" w:space="0" w:color="auto"/>
                    <w:bottom w:val="none" w:sz="0" w:space="0" w:color="auto"/>
                    <w:right w:val="none" w:sz="0" w:space="0" w:color="auto"/>
                  </w:divBdr>
                  <w:divsChild>
                    <w:div w:id="780879668">
                      <w:marLeft w:val="0"/>
                      <w:marRight w:val="0"/>
                      <w:marTop w:val="0"/>
                      <w:marBottom w:val="0"/>
                      <w:divBdr>
                        <w:top w:val="none" w:sz="0" w:space="0" w:color="auto"/>
                        <w:left w:val="none" w:sz="0" w:space="0" w:color="auto"/>
                        <w:bottom w:val="none" w:sz="0" w:space="0" w:color="auto"/>
                        <w:right w:val="none" w:sz="0" w:space="0" w:color="auto"/>
                      </w:divBdr>
                    </w:div>
                  </w:divsChild>
                </w:div>
                <w:div w:id="673919474">
                  <w:marLeft w:val="0"/>
                  <w:marRight w:val="0"/>
                  <w:marTop w:val="0"/>
                  <w:marBottom w:val="0"/>
                  <w:divBdr>
                    <w:top w:val="none" w:sz="0" w:space="0" w:color="auto"/>
                    <w:left w:val="none" w:sz="0" w:space="0" w:color="auto"/>
                    <w:bottom w:val="none" w:sz="0" w:space="0" w:color="auto"/>
                    <w:right w:val="none" w:sz="0" w:space="0" w:color="auto"/>
                  </w:divBdr>
                  <w:divsChild>
                    <w:div w:id="988217779">
                      <w:marLeft w:val="0"/>
                      <w:marRight w:val="0"/>
                      <w:marTop w:val="0"/>
                      <w:marBottom w:val="0"/>
                      <w:divBdr>
                        <w:top w:val="none" w:sz="0" w:space="0" w:color="auto"/>
                        <w:left w:val="none" w:sz="0" w:space="0" w:color="auto"/>
                        <w:bottom w:val="none" w:sz="0" w:space="0" w:color="auto"/>
                        <w:right w:val="none" w:sz="0" w:space="0" w:color="auto"/>
                      </w:divBdr>
                    </w:div>
                  </w:divsChild>
                </w:div>
                <w:div w:id="686061212">
                  <w:marLeft w:val="0"/>
                  <w:marRight w:val="0"/>
                  <w:marTop w:val="0"/>
                  <w:marBottom w:val="0"/>
                  <w:divBdr>
                    <w:top w:val="none" w:sz="0" w:space="0" w:color="auto"/>
                    <w:left w:val="none" w:sz="0" w:space="0" w:color="auto"/>
                    <w:bottom w:val="none" w:sz="0" w:space="0" w:color="auto"/>
                    <w:right w:val="none" w:sz="0" w:space="0" w:color="auto"/>
                  </w:divBdr>
                  <w:divsChild>
                    <w:div w:id="2101876705">
                      <w:marLeft w:val="0"/>
                      <w:marRight w:val="0"/>
                      <w:marTop w:val="0"/>
                      <w:marBottom w:val="0"/>
                      <w:divBdr>
                        <w:top w:val="none" w:sz="0" w:space="0" w:color="auto"/>
                        <w:left w:val="none" w:sz="0" w:space="0" w:color="auto"/>
                        <w:bottom w:val="none" w:sz="0" w:space="0" w:color="auto"/>
                        <w:right w:val="none" w:sz="0" w:space="0" w:color="auto"/>
                      </w:divBdr>
                    </w:div>
                  </w:divsChild>
                </w:div>
                <w:div w:id="688337976">
                  <w:marLeft w:val="0"/>
                  <w:marRight w:val="0"/>
                  <w:marTop w:val="0"/>
                  <w:marBottom w:val="0"/>
                  <w:divBdr>
                    <w:top w:val="none" w:sz="0" w:space="0" w:color="auto"/>
                    <w:left w:val="none" w:sz="0" w:space="0" w:color="auto"/>
                    <w:bottom w:val="none" w:sz="0" w:space="0" w:color="auto"/>
                    <w:right w:val="none" w:sz="0" w:space="0" w:color="auto"/>
                  </w:divBdr>
                  <w:divsChild>
                    <w:div w:id="530149505">
                      <w:marLeft w:val="0"/>
                      <w:marRight w:val="0"/>
                      <w:marTop w:val="0"/>
                      <w:marBottom w:val="0"/>
                      <w:divBdr>
                        <w:top w:val="none" w:sz="0" w:space="0" w:color="auto"/>
                        <w:left w:val="none" w:sz="0" w:space="0" w:color="auto"/>
                        <w:bottom w:val="none" w:sz="0" w:space="0" w:color="auto"/>
                        <w:right w:val="none" w:sz="0" w:space="0" w:color="auto"/>
                      </w:divBdr>
                    </w:div>
                  </w:divsChild>
                </w:div>
                <w:div w:id="691960707">
                  <w:marLeft w:val="0"/>
                  <w:marRight w:val="0"/>
                  <w:marTop w:val="0"/>
                  <w:marBottom w:val="0"/>
                  <w:divBdr>
                    <w:top w:val="none" w:sz="0" w:space="0" w:color="auto"/>
                    <w:left w:val="none" w:sz="0" w:space="0" w:color="auto"/>
                    <w:bottom w:val="none" w:sz="0" w:space="0" w:color="auto"/>
                    <w:right w:val="none" w:sz="0" w:space="0" w:color="auto"/>
                  </w:divBdr>
                  <w:divsChild>
                    <w:div w:id="1374891452">
                      <w:marLeft w:val="0"/>
                      <w:marRight w:val="0"/>
                      <w:marTop w:val="0"/>
                      <w:marBottom w:val="0"/>
                      <w:divBdr>
                        <w:top w:val="none" w:sz="0" w:space="0" w:color="auto"/>
                        <w:left w:val="none" w:sz="0" w:space="0" w:color="auto"/>
                        <w:bottom w:val="none" w:sz="0" w:space="0" w:color="auto"/>
                        <w:right w:val="none" w:sz="0" w:space="0" w:color="auto"/>
                      </w:divBdr>
                    </w:div>
                  </w:divsChild>
                </w:div>
                <w:div w:id="712196120">
                  <w:marLeft w:val="0"/>
                  <w:marRight w:val="0"/>
                  <w:marTop w:val="0"/>
                  <w:marBottom w:val="0"/>
                  <w:divBdr>
                    <w:top w:val="none" w:sz="0" w:space="0" w:color="auto"/>
                    <w:left w:val="none" w:sz="0" w:space="0" w:color="auto"/>
                    <w:bottom w:val="none" w:sz="0" w:space="0" w:color="auto"/>
                    <w:right w:val="none" w:sz="0" w:space="0" w:color="auto"/>
                  </w:divBdr>
                  <w:divsChild>
                    <w:div w:id="428427026">
                      <w:marLeft w:val="0"/>
                      <w:marRight w:val="0"/>
                      <w:marTop w:val="0"/>
                      <w:marBottom w:val="0"/>
                      <w:divBdr>
                        <w:top w:val="none" w:sz="0" w:space="0" w:color="auto"/>
                        <w:left w:val="none" w:sz="0" w:space="0" w:color="auto"/>
                        <w:bottom w:val="none" w:sz="0" w:space="0" w:color="auto"/>
                        <w:right w:val="none" w:sz="0" w:space="0" w:color="auto"/>
                      </w:divBdr>
                    </w:div>
                  </w:divsChild>
                </w:div>
                <w:div w:id="720785940">
                  <w:marLeft w:val="0"/>
                  <w:marRight w:val="0"/>
                  <w:marTop w:val="0"/>
                  <w:marBottom w:val="0"/>
                  <w:divBdr>
                    <w:top w:val="none" w:sz="0" w:space="0" w:color="auto"/>
                    <w:left w:val="none" w:sz="0" w:space="0" w:color="auto"/>
                    <w:bottom w:val="none" w:sz="0" w:space="0" w:color="auto"/>
                    <w:right w:val="none" w:sz="0" w:space="0" w:color="auto"/>
                  </w:divBdr>
                  <w:divsChild>
                    <w:div w:id="71855042">
                      <w:marLeft w:val="0"/>
                      <w:marRight w:val="0"/>
                      <w:marTop w:val="0"/>
                      <w:marBottom w:val="0"/>
                      <w:divBdr>
                        <w:top w:val="none" w:sz="0" w:space="0" w:color="auto"/>
                        <w:left w:val="none" w:sz="0" w:space="0" w:color="auto"/>
                        <w:bottom w:val="none" w:sz="0" w:space="0" w:color="auto"/>
                        <w:right w:val="none" w:sz="0" w:space="0" w:color="auto"/>
                      </w:divBdr>
                    </w:div>
                  </w:divsChild>
                </w:div>
                <w:div w:id="724916575">
                  <w:marLeft w:val="0"/>
                  <w:marRight w:val="0"/>
                  <w:marTop w:val="0"/>
                  <w:marBottom w:val="0"/>
                  <w:divBdr>
                    <w:top w:val="none" w:sz="0" w:space="0" w:color="auto"/>
                    <w:left w:val="none" w:sz="0" w:space="0" w:color="auto"/>
                    <w:bottom w:val="none" w:sz="0" w:space="0" w:color="auto"/>
                    <w:right w:val="none" w:sz="0" w:space="0" w:color="auto"/>
                  </w:divBdr>
                  <w:divsChild>
                    <w:div w:id="1064985755">
                      <w:marLeft w:val="0"/>
                      <w:marRight w:val="0"/>
                      <w:marTop w:val="0"/>
                      <w:marBottom w:val="0"/>
                      <w:divBdr>
                        <w:top w:val="none" w:sz="0" w:space="0" w:color="auto"/>
                        <w:left w:val="none" w:sz="0" w:space="0" w:color="auto"/>
                        <w:bottom w:val="none" w:sz="0" w:space="0" w:color="auto"/>
                        <w:right w:val="none" w:sz="0" w:space="0" w:color="auto"/>
                      </w:divBdr>
                    </w:div>
                  </w:divsChild>
                </w:div>
                <w:div w:id="727412748">
                  <w:marLeft w:val="0"/>
                  <w:marRight w:val="0"/>
                  <w:marTop w:val="0"/>
                  <w:marBottom w:val="0"/>
                  <w:divBdr>
                    <w:top w:val="none" w:sz="0" w:space="0" w:color="auto"/>
                    <w:left w:val="none" w:sz="0" w:space="0" w:color="auto"/>
                    <w:bottom w:val="none" w:sz="0" w:space="0" w:color="auto"/>
                    <w:right w:val="none" w:sz="0" w:space="0" w:color="auto"/>
                  </w:divBdr>
                  <w:divsChild>
                    <w:div w:id="1593901361">
                      <w:marLeft w:val="0"/>
                      <w:marRight w:val="0"/>
                      <w:marTop w:val="0"/>
                      <w:marBottom w:val="0"/>
                      <w:divBdr>
                        <w:top w:val="none" w:sz="0" w:space="0" w:color="auto"/>
                        <w:left w:val="none" w:sz="0" w:space="0" w:color="auto"/>
                        <w:bottom w:val="none" w:sz="0" w:space="0" w:color="auto"/>
                        <w:right w:val="none" w:sz="0" w:space="0" w:color="auto"/>
                      </w:divBdr>
                    </w:div>
                  </w:divsChild>
                </w:div>
                <w:div w:id="731199098">
                  <w:marLeft w:val="0"/>
                  <w:marRight w:val="0"/>
                  <w:marTop w:val="0"/>
                  <w:marBottom w:val="0"/>
                  <w:divBdr>
                    <w:top w:val="none" w:sz="0" w:space="0" w:color="auto"/>
                    <w:left w:val="none" w:sz="0" w:space="0" w:color="auto"/>
                    <w:bottom w:val="none" w:sz="0" w:space="0" w:color="auto"/>
                    <w:right w:val="none" w:sz="0" w:space="0" w:color="auto"/>
                  </w:divBdr>
                  <w:divsChild>
                    <w:div w:id="317073862">
                      <w:marLeft w:val="0"/>
                      <w:marRight w:val="0"/>
                      <w:marTop w:val="0"/>
                      <w:marBottom w:val="0"/>
                      <w:divBdr>
                        <w:top w:val="none" w:sz="0" w:space="0" w:color="auto"/>
                        <w:left w:val="none" w:sz="0" w:space="0" w:color="auto"/>
                        <w:bottom w:val="none" w:sz="0" w:space="0" w:color="auto"/>
                        <w:right w:val="none" w:sz="0" w:space="0" w:color="auto"/>
                      </w:divBdr>
                    </w:div>
                  </w:divsChild>
                </w:div>
                <w:div w:id="731658107">
                  <w:marLeft w:val="0"/>
                  <w:marRight w:val="0"/>
                  <w:marTop w:val="0"/>
                  <w:marBottom w:val="0"/>
                  <w:divBdr>
                    <w:top w:val="none" w:sz="0" w:space="0" w:color="auto"/>
                    <w:left w:val="none" w:sz="0" w:space="0" w:color="auto"/>
                    <w:bottom w:val="none" w:sz="0" w:space="0" w:color="auto"/>
                    <w:right w:val="none" w:sz="0" w:space="0" w:color="auto"/>
                  </w:divBdr>
                  <w:divsChild>
                    <w:div w:id="364216290">
                      <w:marLeft w:val="0"/>
                      <w:marRight w:val="0"/>
                      <w:marTop w:val="0"/>
                      <w:marBottom w:val="0"/>
                      <w:divBdr>
                        <w:top w:val="none" w:sz="0" w:space="0" w:color="auto"/>
                        <w:left w:val="none" w:sz="0" w:space="0" w:color="auto"/>
                        <w:bottom w:val="none" w:sz="0" w:space="0" w:color="auto"/>
                        <w:right w:val="none" w:sz="0" w:space="0" w:color="auto"/>
                      </w:divBdr>
                    </w:div>
                  </w:divsChild>
                </w:div>
                <w:div w:id="736707009">
                  <w:marLeft w:val="0"/>
                  <w:marRight w:val="0"/>
                  <w:marTop w:val="0"/>
                  <w:marBottom w:val="0"/>
                  <w:divBdr>
                    <w:top w:val="none" w:sz="0" w:space="0" w:color="auto"/>
                    <w:left w:val="none" w:sz="0" w:space="0" w:color="auto"/>
                    <w:bottom w:val="none" w:sz="0" w:space="0" w:color="auto"/>
                    <w:right w:val="none" w:sz="0" w:space="0" w:color="auto"/>
                  </w:divBdr>
                  <w:divsChild>
                    <w:div w:id="1994333968">
                      <w:marLeft w:val="0"/>
                      <w:marRight w:val="0"/>
                      <w:marTop w:val="0"/>
                      <w:marBottom w:val="0"/>
                      <w:divBdr>
                        <w:top w:val="none" w:sz="0" w:space="0" w:color="auto"/>
                        <w:left w:val="none" w:sz="0" w:space="0" w:color="auto"/>
                        <w:bottom w:val="none" w:sz="0" w:space="0" w:color="auto"/>
                        <w:right w:val="none" w:sz="0" w:space="0" w:color="auto"/>
                      </w:divBdr>
                    </w:div>
                  </w:divsChild>
                </w:div>
                <w:div w:id="737019658">
                  <w:marLeft w:val="0"/>
                  <w:marRight w:val="0"/>
                  <w:marTop w:val="0"/>
                  <w:marBottom w:val="0"/>
                  <w:divBdr>
                    <w:top w:val="none" w:sz="0" w:space="0" w:color="auto"/>
                    <w:left w:val="none" w:sz="0" w:space="0" w:color="auto"/>
                    <w:bottom w:val="none" w:sz="0" w:space="0" w:color="auto"/>
                    <w:right w:val="none" w:sz="0" w:space="0" w:color="auto"/>
                  </w:divBdr>
                  <w:divsChild>
                    <w:div w:id="1874152841">
                      <w:marLeft w:val="0"/>
                      <w:marRight w:val="0"/>
                      <w:marTop w:val="0"/>
                      <w:marBottom w:val="0"/>
                      <w:divBdr>
                        <w:top w:val="none" w:sz="0" w:space="0" w:color="auto"/>
                        <w:left w:val="none" w:sz="0" w:space="0" w:color="auto"/>
                        <w:bottom w:val="none" w:sz="0" w:space="0" w:color="auto"/>
                        <w:right w:val="none" w:sz="0" w:space="0" w:color="auto"/>
                      </w:divBdr>
                    </w:div>
                  </w:divsChild>
                </w:div>
                <w:div w:id="741414415">
                  <w:marLeft w:val="0"/>
                  <w:marRight w:val="0"/>
                  <w:marTop w:val="0"/>
                  <w:marBottom w:val="0"/>
                  <w:divBdr>
                    <w:top w:val="none" w:sz="0" w:space="0" w:color="auto"/>
                    <w:left w:val="none" w:sz="0" w:space="0" w:color="auto"/>
                    <w:bottom w:val="none" w:sz="0" w:space="0" w:color="auto"/>
                    <w:right w:val="none" w:sz="0" w:space="0" w:color="auto"/>
                  </w:divBdr>
                  <w:divsChild>
                    <w:div w:id="1911384576">
                      <w:marLeft w:val="0"/>
                      <w:marRight w:val="0"/>
                      <w:marTop w:val="0"/>
                      <w:marBottom w:val="0"/>
                      <w:divBdr>
                        <w:top w:val="none" w:sz="0" w:space="0" w:color="auto"/>
                        <w:left w:val="none" w:sz="0" w:space="0" w:color="auto"/>
                        <w:bottom w:val="none" w:sz="0" w:space="0" w:color="auto"/>
                        <w:right w:val="none" w:sz="0" w:space="0" w:color="auto"/>
                      </w:divBdr>
                    </w:div>
                  </w:divsChild>
                </w:div>
                <w:div w:id="742217677">
                  <w:marLeft w:val="0"/>
                  <w:marRight w:val="0"/>
                  <w:marTop w:val="0"/>
                  <w:marBottom w:val="0"/>
                  <w:divBdr>
                    <w:top w:val="none" w:sz="0" w:space="0" w:color="auto"/>
                    <w:left w:val="none" w:sz="0" w:space="0" w:color="auto"/>
                    <w:bottom w:val="none" w:sz="0" w:space="0" w:color="auto"/>
                    <w:right w:val="none" w:sz="0" w:space="0" w:color="auto"/>
                  </w:divBdr>
                  <w:divsChild>
                    <w:div w:id="1195729518">
                      <w:marLeft w:val="0"/>
                      <w:marRight w:val="0"/>
                      <w:marTop w:val="0"/>
                      <w:marBottom w:val="0"/>
                      <w:divBdr>
                        <w:top w:val="none" w:sz="0" w:space="0" w:color="auto"/>
                        <w:left w:val="none" w:sz="0" w:space="0" w:color="auto"/>
                        <w:bottom w:val="none" w:sz="0" w:space="0" w:color="auto"/>
                        <w:right w:val="none" w:sz="0" w:space="0" w:color="auto"/>
                      </w:divBdr>
                    </w:div>
                  </w:divsChild>
                </w:div>
                <w:div w:id="745567266">
                  <w:marLeft w:val="0"/>
                  <w:marRight w:val="0"/>
                  <w:marTop w:val="0"/>
                  <w:marBottom w:val="0"/>
                  <w:divBdr>
                    <w:top w:val="none" w:sz="0" w:space="0" w:color="auto"/>
                    <w:left w:val="none" w:sz="0" w:space="0" w:color="auto"/>
                    <w:bottom w:val="none" w:sz="0" w:space="0" w:color="auto"/>
                    <w:right w:val="none" w:sz="0" w:space="0" w:color="auto"/>
                  </w:divBdr>
                  <w:divsChild>
                    <w:div w:id="257952129">
                      <w:marLeft w:val="0"/>
                      <w:marRight w:val="0"/>
                      <w:marTop w:val="0"/>
                      <w:marBottom w:val="0"/>
                      <w:divBdr>
                        <w:top w:val="none" w:sz="0" w:space="0" w:color="auto"/>
                        <w:left w:val="none" w:sz="0" w:space="0" w:color="auto"/>
                        <w:bottom w:val="none" w:sz="0" w:space="0" w:color="auto"/>
                        <w:right w:val="none" w:sz="0" w:space="0" w:color="auto"/>
                      </w:divBdr>
                    </w:div>
                  </w:divsChild>
                </w:div>
                <w:div w:id="749349417">
                  <w:marLeft w:val="0"/>
                  <w:marRight w:val="0"/>
                  <w:marTop w:val="0"/>
                  <w:marBottom w:val="0"/>
                  <w:divBdr>
                    <w:top w:val="none" w:sz="0" w:space="0" w:color="auto"/>
                    <w:left w:val="none" w:sz="0" w:space="0" w:color="auto"/>
                    <w:bottom w:val="none" w:sz="0" w:space="0" w:color="auto"/>
                    <w:right w:val="none" w:sz="0" w:space="0" w:color="auto"/>
                  </w:divBdr>
                  <w:divsChild>
                    <w:div w:id="1469785085">
                      <w:marLeft w:val="0"/>
                      <w:marRight w:val="0"/>
                      <w:marTop w:val="0"/>
                      <w:marBottom w:val="0"/>
                      <w:divBdr>
                        <w:top w:val="none" w:sz="0" w:space="0" w:color="auto"/>
                        <w:left w:val="none" w:sz="0" w:space="0" w:color="auto"/>
                        <w:bottom w:val="none" w:sz="0" w:space="0" w:color="auto"/>
                        <w:right w:val="none" w:sz="0" w:space="0" w:color="auto"/>
                      </w:divBdr>
                    </w:div>
                  </w:divsChild>
                </w:div>
                <w:div w:id="749933828">
                  <w:marLeft w:val="0"/>
                  <w:marRight w:val="0"/>
                  <w:marTop w:val="0"/>
                  <w:marBottom w:val="0"/>
                  <w:divBdr>
                    <w:top w:val="none" w:sz="0" w:space="0" w:color="auto"/>
                    <w:left w:val="none" w:sz="0" w:space="0" w:color="auto"/>
                    <w:bottom w:val="none" w:sz="0" w:space="0" w:color="auto"/>
                    <w:right w:val="none" w:sz="0" w:space="0" w:color="auto"/>
                  </w:divBdr>
                  <w:divsChild>
                    <w:div w:id="1675574037">
                      <w:marLeft w:val="0"/>
                      <w:marRight w:val="0"/>
                      <w:marTop w:val="0"/>
                      <w:marBottom w:val="0"/>
                      <w:divBdr>
                        <w:top w:val="none" w:sz="0" w:space="0" w:color="auto"/>
                        <w:left w:val="none" w:sz="0" w:space="0" w:color="auto"/>
                        <w:bottom w:val="none" w:sz="0" w:space="0" w:color="auto"/>
                        <w:right w:val="none" w:sz="0" w:space="0" w:color="auto"/>
                      </w:divBdr>
                    </w:div>
                  </w:divsChild>
                </w:div>
                <w:div w:id="757411073">
                  <w:marLeft w:val="0"/>
                  <w:marRight w:val="0"/>
                  <w:marTop w:val="0"/>
                  <w:marBottom w:val="0"/>
                  <w:divBdr>
                    <w:top w:val="none" w:sz="0" w:space="0" w:color="auto"/>
                    <w:left w:val="none" w:sz="0" w:space="0" w:color="auto"/>
                    <w:bottom w:val="none" w:sz="0" w:space="0" w:color="auto"/>
                    <w:right w:val="none" w:sz="0" w:space="0" w:color="auto"/>
                  </w:divBdr>
                  <w:divsChild>
                    <w:div w:id="1998993663">
                      <w:marLeft w:val="0"/>
                      <w:marRight w:val="0"/>
                      <w:marTop w:val="0"/>
                      <w:marBottom w:val="0"/>
                      <w:divBdr>
                        <w:top w:val="none" w:sz="0" w:space="0" w:color="auto"/>
                        <w:left w:val="none" w:sz="0" w:space="0" w:color="auto"/>
                        <w:bottom w:val="none" w:sz="0" w:space="0" w:color="auto"/>
                        <w:right w:val="none" w:sz="0" w:space="0" w:color="auto"/>
                      </w:divBdr>
                    </w:div>
                  </w:divsChild>
                </w:div>
                <w:div w:id="763066731">
                  <w:marLeft w:val="0"/>
                  <w:marRight w:val="0"/>
                  <w:marTop w:val="0"/>
                  <w:marBottom w:val="0"/>
                  <w:divBdr>
                    <w:top w:val="none" w:sz="0" w:space="0" w:color="auto"/>
                    <w:left w:val="none" w:sz="0" w:space="0" w:color="auto"/>
                    <w:bottom w:val="none" w:sz="0" w:space="0" w:color="auto"/>
                    <w:right w:val="none" w:sz="0" w:space="0" w:color="auto"/>
                  </w:divBdr>
                  <w:divsChild>
                    <w:div w:id="972977141">
                      <w:marLeft w:val="0"/>
                      <w:marRight w:val="0"/>
                      <w:marTop w:val="0"/>
                      <w:marBottom w:val="0"/>
                      <w:divBdr>
                        <w:top w:val="none" w:sz="0" w:space="0" w:color="auto"/>
                        <w:left w:val="none" w:sz="0" w:space="0" w:color="auto"/>
                        <w:bottom w:val="none" w:sz="0" w:space="0" w:color="auto"/>
                        <w:right w:val="none" w:sz="0" w:space="0" w:color="auto"/>
                      </w:divBdr>
                    </w:div>
                  </w:divsChild>
                </w:div>
                <w:div w:id="763384126">
                  <w:marLeft w:val="0"/>
                  <w:marRight w:val="0"/>
                  <w:marTop w:val="0"/>
                  <w:marBottom w:val="0"/>
                  <w:divBdr>
                    <w:top w:val="none" w:sz="0" w:space="0" w:color="auto"/>
                    <w:left w:val="none" w:sz="0" w:space="0" w:color="auto"/>
                    <w:bottom w:val="none" w:sz="0" w:space="0" w:color="auto"/>
                    <w:right w:val="none" w:sz="0" w:space="0" w:color="auto"/>
                  </w:divBdr>
                  <w:divsChild>
                    <w:div w:id="108397719">
                      <w:marLeft w:val="0"/>
                      <w:marRight w:val="0"/>
                      <w:marTop w:val="0"/>
                      <w:marBottom w:val="0"/>
                      <w:divBdr>
                        <w:top w:val="none" w:sz="0" w:space="0" w:color="auto"/>
                        <w:left w:val="none" w:sz="0" w:space="0" w:color="auto"/>
                        <w:bottom w:val="none" w:sz="0" w:space="0" w:color="auto"/>
                        <w:right w:val="none" w:sz="0" w:space="0" w:color="auto"/>
                      </w:divBdr>
                    </w:div>
                  </w:divsChild>
                </w:div>
                <w:div w:id="779178097">
                  <w:marLeft w:val="0"/>
                  <w:marRight w:val="0"/>
                  <w:marTop w:val="0"/>
                  <w:marBottom w:val="0"/>
                  <w:divBdr>
                    <w:top w:val="none" w:sz="0" w:space="0" w:color="auto"/>
                    <w:left w:val="none" w:sz="0" w:space="0" w:color="auto"/>
                    <w:bottom w:val="none" w:sz="0" w:space="0" w:color="auto"/>
                    <w:right w:val="none" w:sz="0" w:space="0" w:color="auto"/>
                  </w:divBdr>
                  <w:divsChild>
                    <w:div w:id="1723628073">
                      <w:marLeft w:val="0"/>
                      <w:marRight w:val="0"/>
                      <w:marTop w:val="0"/>
                      <w:marBottom w:val="0"/>
                      <w:divBdr>
                        <w:top w:val="none" w:sz="0" w:space="0" w:color="auto"/>
                        <w:left w:val="none" w:sz="0" w:space="0" w:color="auto"/>
                        <w:bottom w:val="none" w:sz="0" w:space="0" w:color="auto"/>
                        <w:right w:val="none" w:sz="0" w:space="0" w:color="auto"/>
                      </w:divBdr>
                    </w:div>
                  </w:divsChild>
                </w:div>
                <w:div w:id="799030719">
                  <w:marLeft w:val="0"/>
                  <w:marRight w:val="0"/>
                  <w:marTop w:val="0"/>
                  <w:marBottom w:val="0"/>
                  <w:divBdr>
                    <w:top w:val="none" w:sz="0" w:space="0" w:color="auto"/>
                    <w:left w:val="none" w:sz="0" w:space="0" w:color="auto"/>
                    <w:bottom w:val="none" w:sz="0" w:space="0" w:color="auto"/>
                    <w:right w:val="none" w:sz="0" w:space="0" w:color="auto"/>
                  </w:divBdr>
                  <w:divsChild>
                    <w:div w:id="549802835">
                      <w:marLeft w:val="0"/>
                      <w:marRight w:val="0"/>
                      <w:marTop w:val="0"/>
                      <w:marBottom w:val="0"/>
                      <w:divBdr>
                        <w:top w:val="none" w:sz="0" w:space="0" w:color="auto"/>
                        <w:left w:val="none" w:sz="0" w:space="0" w:color="auto"/>
                        <w:bottom w:val="none" w:sz="0" w:space="0" w:color="auto"/>
                        <w:right w:val="none" w:sz="0" w:space="0" w:color="auto"/>
                      </w:divBdr>
                    </w:div>
                  </w:divsChild>
                </w:div>
                <w:div w:id="800616281">
                  <w:marLeft w:val="0"/>
                  <w:marRight w:val="0"/>
                  <w:marTop w:val="0"/>
                  <w:marBottom w:val="0"/>
                  <w:divBdr>
                    <w:top w:val="none" w:sz="0" w:space="0" w:color="auto"/>
                    <w:left w:val="none" w:sz="0" w:space="0" w:color="auto"/>
                    <w:bottom w:val="none" w:sz="0" w:space="0" w:color="auto"/>
                    <w:right w:val="none" w:sz="0" w:space="0" w:color="auto"/>
                  </w:divBdr>
                  <w:divsChild>
                    <w:div w:id="2134473017">
                      <w:marLeft w:val="0"/>
                      <w:marRight w:val="0"/>
                      <w:marTop w:val="0"/>
                      <w:marBottom w:val="0"/>
                      <w:divBdr>
                        <w:top w:val="none" w:sz="0" w:space="0" w:color="auto"/>
                        <w:left w:val="none" w:sz="0" w:space="0" w:color="auto"/>
                        <w:bottom w:val="none" w:sz="0" w:space="0" w:color="auto"/>
                        <w:right w:val="none" w:sz="0" w:space="0" w:color="auto"/>
                      </w:divBdr>
                    </w:div>
                  </w:divsChild>
                </w:div>
                <w:div w:id="807238859">
                  <w:marLeft w:val="0"/>
                  <w:marRight w:val="0"/>
                  <w:marTop w:val="0"/>
                  <w:marBottom w:val="0"/>
                  <w:divBdr>
                    <w:top w:val="none" w:sz="0" w:space="0" w:color="auto"/>
                    <w:left w:val="none" w:sz="0" w:space="0" w:color="auto"/>
                    <w:bottom w:val="none" w:sz="0" w:space="0" w:color="auto"/>
                    <w:right w:val="none" w:sz="0" w:space="0" w:color="auto"/>
                  </w:divBdr>
                  <w:divsChild>
                    <w:div w:id="1482965718">
                      <w:marLeft w:val="0"/>
                      <w:marRight w:val="0"/>
                      <w:marTop w:val="0"/>
                      <w:marBottom w:val="0"/>
                      <w:divBdr>
                        <w:top w:val="none" w:sz="0" w:space="0" w:color="auto"/>
                        <w:left w:val="none" w:sz="0" w:space="0" w:color="auto"/>
                        <w:bottom w:val="none" w:sz="0" w:space="0" w:color="auto"/>
                        <w:right w:val="none" w:sz="0" w:space="0" w:color="auto"/>
                      </w:divBdr>
                    </w:div>
                  </w:divsChild>
                </w:div>
                <w:div w:id="810250275">
                  <w:marLeft w:val="0"/>
                  <w:marRight w:val="0"/>
                  <w:marTop w:val="0"/>
                  <w:marBottom w:val="0"/>
                  <w:divBdr>
                    <w:top w:val="none" w:sz="0" w:space="0" w:color="auto"/>
                    <w:left w:val="none" w:sz="0" w:space="0" w:color="auto"/>
                    <w:bottom w:val="none" w:sz="0" w:space="0" w:color="auto"/>
                    <w:right w:val="none" w:sz="0" w:space="0" w:color="auto"/>
                  </w:divBdr>
                  <w:divsChild>
                    <w:div w:id="618881042">
                      <w:marLeft w:val="0"/>
                      <w:marRight w:val="0"/>
                      <w:marTop w:val="0"/>
                      <w:marBottom w:val="0"/>
                      <w:divBdr>
                        <w:top w:val="none" w:sz="0" w:space="0" w:color="auto"/>
                        <w:left w:val="none" w:sz="0" w:space="0" w:color="auto"/>
                        <w:bottom w:val="none" w:sz="0" w:space="0" w:color="auto"/>
                        <w:right w:val="none" w:sz="0" w:space="0" w:color="auto"/>
                      </w:divBdr>
                    </w:div>
                  </w:divsChild>
                </w:div>
                <w:div w:id="813760607">
                  <w:marLeft w:val="0"/>
                  <w:marRight w:val="0"/>
                  <w:marTop w:val="0"/>
                  <w:marBottom w:val="0"/>
                  <w:divBdr>
                    <w:top w:val="none" w:sz="0" w:space="0" w:color="auto"/>
                    <w:left w:val="none" w:sz="0" w:space="0" w:color="auto"/>
                    <w:bottom w:val="none" w:sz="0" w:space="0" w:color="auto"/>
                    <w:right w:val="none" w:sz="0" w:space="0" w:color="auto"/>
                  </w:divBdr>
                  <w:divsChild>
                    <w:div w:id="737677037">
                      <w:marLeft w:val="0"/>
                      <w:marRight w:val="0"/>
                      <w:marTop w:val="0"/>
                      <w:marBottom w:val="0"/>
                      <w:divBdr>
                        <w:top w:val="none" w:sz="0" w:space="0" w:color="auto"/>
                        <w:left w:val="none" w:sz="0" w:space="0" w:color="auto"/>
                        <w:bottom w:val="none" w:sz="0" w:space="0" w:color="auto"/>
                        <w:right w:val="none" w:sz="0" w:space="0" w:color="auto"/>
                      </w:divBdr>
                    </w:div>
                  </w:divsChild>
                </w:div>
                <w:div w:id="814184632">
                  <w:marLeft w:val="0"/>
                  <w:marRight w:val="0"/>
                  <w:marTop w:val="0"/>
                  <w:marBottom w:val="0"/>
                  <w:divBdr>
                    <w:top w:val="none" w:sz="0" w:space="0" w:color="auto"/>
                    <w:left w:val="none" w:sz="0" w:space="0" w:color="auto"/>
                    <w:bottom w:val="none" w:sz="0" w:space="0" w:color="auto"/>
                    <w:right w:val="none" w:sz="0" w:space="0" w:color="auto"/>
                  </w:divBdr>
                  <w:divsChild>
                    <w:div w:id="945767427">
                      <w:marLeft w:val="0"/>
                      <w:marRight w:val="0"/>
                      <w:marTop w:val="0"/>
                      <w:marBottom w:val="0"/>
                      <w:divBdr>
                        <w:top w:val="none" w:sz="0" w:space="0" w:color="auto"/>
                        <w:left w:val="none" w:sz="0" w:space="0" w:color="auto"/>
                        <w:bottom w:val="none" w:sz="0" w:space="0" w:color="auto"/>
                        <w:right w:val="none" w:sz="0" w:space="0" w:color="auto"/>
                      </w:divBdr>
                    </w:div>
                  </w:divsChild>
                </w:div>
                <w:div w:id="816147448">
                  <w:marLeft w:val="0"/>
                  <w:marRight w:val="0"/>
                  <w:marTop w:val="0"/>
                  <w:marBottom w:val="0"/>
                  <w:divBdr>
                    <w:top w:val="none" w:sz="0" w:space="0" w:color="auto"/>
                    <w:left w:val="none" w:sz="0" w:space="0" w:color="auto"/>
                    <w:bottom w:val="none" w:sz="0" w:space="0" w:color="auto"/>
                    <w:right w:val="none" w:sz="0" w:space="0" w:color="auto"/>
                  </w:divBdr>
                  <w:divsChild>
                    <w:div w:id="2033261404">
                      <w:marLeft w:val="0"/>
                      <w:marRight w:val="0"/>
                      <w:marTop w:val="0"/>
                      <w:marBottom w:val="0"/>
                      <w:divBdr>
                        <w:top w:val="none" w:sz="0" w:space="0" w:color="auto"/>
                        <w:left w:val="none" w:sz="0" w:space="0" w:color="auto"/>
                        <w:bottom w:val="none" w:sz="0" w:space="0" w:color="auto"/>
                        <w:right w:val="none" w:sz="0" w:space="0" w:color="auto"/>
                      </w:divBdr>
                    </w:div>
                  </w:divsChild>
                </w:div>
                <w:div w:id="823395623">
                  <w:marLeft w:val="0"/>
                  <w:marRight w:val="0"/>
                  <w:marTop w:val="0"/>
                  <w:marBottom w:val="0"/>
                  <w:divBdr>
                    <w:top w:val="none" w:sz="0" w:space="0" w:color="auto"/>
                    <w:left w:val="none" w:sz="0" w:space="0" w:color="auto"/>
                    <w:bottom w:val="none" w:sz="0" w:space="0" w:color="auto"/>
                    <w:right w:val="none" w:sz="0" w:space="0" w:color="auto"/>
                  </w:divBdr>
                  <w:divsChild>
                    <w:div w:id="532156308">
                      <w:marLeft w:val="0"/>
                      <w:marRight w:val="0"/>
                      <w:marTop w:val="0"/>
                      <w:marBottom w:val="0"/>
                      <w:divBdr>
                        <w:top w:val="none" w:sz="0" w:space="0" w:color="auto"/>
                        <w:left w:val="none" w:sz="0" w:space="0" w:color="auto"/>
                        <w:bottom w:val="none" w:sz="0" w:space="0" w:color="auto"/>
                        <w:right w:val="none" w:sz="0" w:space="0" w:color="auto"/>
                      </w:divBdr>
                    </w:div>
                  </w:divsChild>
                </w:div>
                <w:div w:id="829827456">
                  <w:marLeft w:val="0"/>
                  <w:marRight w:val="0"/>
                  <w:marTop w:val="0"/>
                  <w:marBottom w:val="0"/>
                  <w:divBdr>
                    <w:top w:val="none" w:sz="0" w:space="0" w:color="auto"/>
                    <w:left w:val="none" w:sz="0" w:space="0" w:color="auto"/>
                    <w:bottom w:val="none" w:sz="0" w:space="0" w:color="auto"/>
                    <w:right w:val="none" w:sz="0" w:space="0" w:color="auto"/>
                  </w:divBdr>
                  <w:divsChild>
                    <w:div w:id="226452255">
                      <w:marLeft w:val="0"/>
                      <w:marRight w:val="0"/>
                      <w:marTop w:val="0"/>
                      <w:marBottom w:val="0"/>
                      <w:divBdr>
                        <w:top w:val="none" w:sz="0" w:space="0" w:color="auto"/>
                        <w:left w:val="none" w:sz="0" w:space="0" w:color="auto"/>
                        <w:bottom w:val="none" w:sz="0" w:space="0" w:color="auto"/>
                        <w:right w:val="none" w:sz="0" w:space="0" w:color="auto"/>
                      </w:divBdr>
                    </w:div>
                  </w:divsChild>
                </w:div>
                <w:div w:id="831019564">
                  <w:marLeft w:val="0"/>
                  <w:marRight w:val="0"/>
                  <w:marTop w:val="0"/>
                  <w:marBottom w:val="0"/>
                  <w:divBdr>
                    <w:top w:val="none" w:sz="0" w:space="0" w:color="auto"/>
                    <w:left w:val="none" w:sz="0" w:space="0" w:color="auto"/>
                    <w:bottom w:val="none" w:sz="0" w:space="0" w:color="auto"/>
                    <w:right w:val="none" w:sz="0" w:space="0" w:color="auto"/>
                  </w:divBdr>
                  <w:divsChild>
                    <w:div w:id="1917594078">
                      <w:marLeft w:val="0"/>
                      <w:marRight w:val="0"/>
                      <w:marTop w:val="0"/>
                      <w:marBottom w:val="0"/>
                      <w:divBdr>
                        <w:top w:val="none" w:sz="0" w:space="0" w:color="auto"/>
                        <w:left w:val="none" w:sz="0" w:space="0" w:color="auto"/>
                        <w:bottom w:val="none" w:sz="0" w:space="0" w:color="auto"/>
                        <w:right w:val="none" w:sz="0" w:space="0" w:color="auto"/>
                      </w:divBdr>
                    </w:div>
                  </w:divsChild>
                </w:div>
                <w:div w:id="835922993">
                  <w:marLeft w:val="0"/>
                  <w:marRight w:val="0"/>
                  <w:marTop w:val="0"/>
                  <w:marBottom w:val="0"/>
                  <w:divBdr>
                    <w:top w:val="none" w:sz="0" w:space="0" w:color="auto"/>
                    <w:left w:val="none" w:sz="0" w:space="0" w:color="auto"/>
                    <w:bottom w:val="none" w:sz="0" w:space="0" w:color="auto"/>
                    <w:right w:val="none" w:sz="0" w:space="0" w:color="auto"/>
                  </w:divBdr>
                  <w:divsChild>
                    <w:div w:id="298533470">
                      <w:marLeft w:val="0"/>
                      <w:marRight w:val="0"/>
                      <w:marTop w:val="0"/>
                      <w:marBottom w:val="0"/>
                      <w:divBdr>
                        <w:top w:val="none" w:sz="0" w:space="0" w:color="auto"/>
                        <w:left w:val="none" w:sz="0" w:space="0" w:color="auto"/>
                        <w:bottom w:val="none" w:sz="0" w:space="0" w:color="auto"/>
                        <w:right w:val="none" w:sz="0" w:space="0" w:color="auto"/>
                      </w:divBdr>
                    </w:div>
                  </w:divsChild>
                </w:div>
                <w:div w:id="848442873">
                  <w:marLeft w:val="0"/>
                  <w:marRight w:val="0"/>
                  <w:marTop w:val="0"/>
                  <w:marBottom w:val="0"/>
                  <w:divBdr>
                    <w:top w:val="none" w:sz="0" w:space="0" w:color="auto"/>
                    <w:left w:val="none" w:sz="0" w:space="0" w:color="auto"/>
                    <w:bottom w:val="none" w:sz="0" w:space="0" w:color="auto"/>
                    <w:right w:val="none" w:sz="0" w:space="0" w:color="auto"/>
                  </w:divBdr>
                  <w:divsChild>
                    <w:div w:id="1155990579">
                      <w:marLeft w:val="0"/>
                      <w:marRight w:val="0"/>
                      <w:marTop w:val="0"/>
                      <w:marBottom w:val="0"/>
                      <w:divBdr>
                        <w:top w:val="none" w:sz="0" w:space="0" w:color="auto"/>
                        <w:left w:val="none" w:sz="0" w:space="0" w:color="auto"/>
                        <w:bottom w:val="none" w:sz="0" w:space="0" w:color="auto"/>
                        <w:right w:val="none" w:sz="0" w:space="0" w:color="auto"/>
                      </w:divBdr>
                    </w:div>
                  </w:divsChild>
                </w:div>
                <w:div w:id="852257327">
                  <w:marLeft w:val="0"/>
                  <w:marRight w:val="0"/>
                  <w:marTop w:val="0"/>
                  <w:marBottom w:val="0"/>
                  <w:divBdr>
                    <w:top w:val="none" w:sz="0" w:space="0" w:color="auto"/>
                    <w:left w:val="none" w:sz="0" w:space="0" w:color="auto"/>
                    <w:bottom w:val="none" w:sz="0" w:space="0" w:color="auto"/>
                    <w:right w:val="none" w:sz="0" w:space="0" w:color="auto"/>
                  </w:divBdr>
                  <w:divsChild>
                    <w:div w:id="1340157092">
                      <w:marLeft w:val="0"/>
                      <w:marRight w:val="0"/>
                      <w:marTop w:val="0"/>
                      <w:marBottom w:val="0"/>
                      <w:divBdr>
                        <w:top w:val="none" w:sz="0" w:space="0" w:color="auto"/>
                        <w:left w:val="none" w:sz="0" w:space="0" w:color="auto"/>
                        <w:bottom w:val="none" w:sz="0" w:space="0" w:color="auto"/>
                        <w:right w:val="none" w:sz="0" w:space="0" w:color="auto"/>
                      </w:divBdr>
                    </w:div>
                  </w:divsChild>
                </w:div>
                <w:div w:id="855728101">
                  <w:marLeft w:val="0"/>
                  <w:marRight w:val="0"/>
                  <w:marTop w:val="0"/>
                  <w:marBottom w:val="0"/>
                  <w:divBdr>
                    <w:top w:val="none" w:sz="0" w:space="0" w:color="auto"/>
                    <w:left w:val="none" w:sz="0" w:space="0" w:color="auto"/>
                    <w:bottom w:val="none" w:sz="0" w:space="0" w:color="auto"/>
                    <w:right w:val="none" w:sz="0" w:space="0" w:color="auto"/>
                  </w:divBdr>
                  <w:divsChild>
                    <w:div w:id="1894808262">
                      <w:marLeft w:val="0"/>
                      <w:marRight w:val="0"/>
                      <w:marTop w:val="0"/>
                      <w:marBottom w:val="0"/>
                      <w:divBdr>
                        <w:top w:val="none" w:sz="0" w:space="0" w:color="auto"/>
                        <w:left w:val="none" w:sz="0" w:space="0" w:color="auto"/>
                        <w:bottom w:val="none" w:sz="0" w:space="0" w:color="auto"/>
                        <w:right w:val="none" w:sz="0" w:space="0" w:color="auto"/>
                      </w:divBdr>
                    </w:div>
                  </w:divsChild>
                </w:div>
                <w:div w:id="861405764">
                  <w:marLeft w:val="0"/>
                  <w:marRight w:val="0"/>
                  <w:marTop w:val="0"/>
                  <w:marBottom w:val="0"/>
                  <w:divBdr>
                    <w:top w:val="none" w:sz="0" w:space="0" w:color="auto"/>
                    <w:left w:val="none" w:sz="0" w:space="0" w:color="auto"/>
                    <w:bottom w:val="none" w:sz="0" w:space="0" w:color="auto"/>
                    <w:right w:val="none" w:sz="0" w:space="0" w:color="auto"/>
                  </w:divBdr>
                  <w:divsChild>
                    <w:div w:id="1579290056">
                      <w:marLeft w:val="0"/>
                      <w:marRight w:val="0"/>
                      <w:marTop w:val="0"/>
                      <w:marBottom w:val="0"/>
                      <w:divBdr>
                        <w:top w:val="none" w:sz="0" w:space="0" w:color="auto"/>
                        <w:left w:val="none" w:sz="0" w:space="0" w:color="auto"/>
                        <w:bottom w:val="none" w:sz="0" w:space="0" w:color="auto"/>
                        <w:right w:val="none" w:sz="0" w:space="0" w:color="auto"/>
                      </w:divBdr>
                    </w:div>
                  </w:divsChild>
                </w:div>
                <w:div w:id="872379009">
                  <w:marLeft w:val="0"/>
                  <w:marRight w:val="0"/>
                  <w:marTop w:val="0"/>
                  <w:marBottom w:val="0"/>
                  <w:divBdr>
                    <w:top w:val="none" w:sz="0" w:space="0" w:color="auto"/>
                    <w:left w:val="none" w:sz="0" w:space="0" w:color="auto"/>
                    <w:bottom w:val="none" w:sz="0" w:space="0" w:color="auto"/>
                    <w:right w:val="none" w:sz="0" w:space="0" w:color="auto"/>
                  </w:divBdr>
                  <w:divsChild>
                    <w:div w:id="1203053388">
                      <w:marLeft w:val="0"/>
                      <w:marRight w:val="0"/>
                      <w:marTop w:val="0"/>
                      <w:marBottom w:val="0"/>
                      <w:divBdr>
                        <w:top w:val="none" w:sz="0" w:space="0" w:color="auto"/>
                        <w:left w:val="none" w:sz="0" w:space="0" w:color="auto"/>
                        <w:bottom w:val="none" w:sz="0" w:space="0" w:color="auto"/>
                        <w:right w:val="none" w:sz="0" w:space="0" w:color="auto"/>
                      </w:divBdr>
                    </w:div>
                  </w:divsChild>
                </w:div>
                <w:div w:id="873543531">
                  <w:marLeft w:val="0"/>
                  <w:marRight w:val="0"/>
                  <w:marTop w:val="0"/>
                  <w:marBottom w:val="0"/>
                  <w:divBdr>
                    <w:top w:val="none" w:sz="0" w:space="0" w:color="auto"/>
                    <w:left w:val="none" w:sz="0" w:space="0" w:color="auto"/>
                    <w:bottom w:val="none" w:sz="0" w:space="0" w:color="auto"/>
                    <w:right w:val="none" w:sz="0" w:space="0" w:color="auto"/>
                  </w:divBdr>
                  <w:divsChild>
                    <w:div w:id="1850827360">
                      <w:marLeft w:val="0"/>
                      <w:marRight w:val="0"/>
                      <w:marTop w:val="0"/>
                      <w:marBottom w:val="0"/>
                      <w:divBdr>
                        <w:top w:val="none" w:sz="0" w:space="0" w:color="auto"/>
                        <w:left w:val="none" w:sz="0" w:space="0" w:color="auto"/>
                        <w:bottom w:val="none" w:sz="0" w:space="0" w:color="auto"/>
                        <w:right w:val="none" w:sz="0" w:space="0" w:color="auto"/>
                      </w:divBdr>
                    </w:div>
                  </w:divsChild>
                </w:div>
                <w:div w:id="877011495">
                  <w:marLeft w:val="0"/>
                  <w:marRight w:val="0"/>
                  <w:marTop w:val="0"/>
                  <w:marBottom w:val="0"/>
                  <w:divBdr>
                    <w:top w:val="none" w:sz="0" w:space="0" w:color="auto"/>
                    <w:left w:val="none" w:sz="0" w:space="0" w:color="auto"/>
                    <w:bottom w:val="none" w:sz="0" w:space="0" w:color="auto"/>
                    <w:right w:val="none" w:sz="0" w:space="0" w:color="auto"/>
                  </w:divBdr>
                  <w:divsChild>
                    <w:div w:id="424688789">
                      <w:marLeft w:val="0"/>
                      <w:marRight w:val="0"/>
                      <w:marTop w:val="0"/>
                      <w:marBottom w:val="0"/>
                      <w:divBdr>
                        <w:top w:val="none" w:sz="0" w:space="0" w:color="auto"/>
                        <w:left w:val="none" w:sz="0" w:space="0" w:color="auto"/>
                        <w:bottom w:val="none" w:sz="0" w:space="0" w:color="auto"/>
                        <w:right w:val="none" w:sz="0" w:space="0" w:color="auto"/>
                      </w:divBdr>
                    </w:div>
                  </w:divsChild>
                </w:div>
                <w:div w:id="881213111">
                  <w:marLeft w:val="0"/>
                  <w:marRight w:val="0"/>
                  <w:marTop w:val="0"/>
                  <w:marBottom w:val="0"/>
                  <w:divBdr>
                    <w:top w:val="none" w:sz="0" w:space="0" w:color="auto"/>
                    <w:left w:val="none" w:sz="0" w:space="0" w:color="auto"/>
                    <w:bottom w:val="none" w:sz="0" w:space="0" w:color="auto"/>
                    <w:right w:val="none" w:sz="0" w:space="0" w:color="auto"/>
                  </w:divBdr>
                  <w:divsChild>
                    <w:div w:id="1264918912">
                      <w:marLeft w:val="0"/>
                      <w:marRight w:val="0"/>
                      <w:marTop w:val="0"/>
                      <w:marBottom w:val="0"/>
                      <w:divBdr>
                        <w:top w:val="none" w:sz="0" w:space="0" w:color="auto"/>
                        <w:left w:val="none" w:sz="0" w:space="0" w:color="auto"/>
                        <w:bottom w:val="none" w:sz="0" w:space="0" w:color="auto"/>
                        <w:right w:val="none" w:sz="0" w:space="0" w:color="auto"/>
                      </w:divBdr>
                    </w:div>
                  </w:divsChild>
                </w:div>
                <w:div w:id="894395104">
                  <w:marLeft w:val="0"/>
                  <w:marRight w:val="0"/>
                  <w:marTop w:val="0"/>
                  <w:marBottom w:val="0"/>
                  <w:divBdr>
                    <w:top w:val="none" w:sz="0" w:space="0" w:color="auto"/>
                    <w:left w:val="none" w:sz="0" w:space="0" w:color="auto"/>
                    <w:bottom w:val="none" w:sz="0" w:space="0" w:color="auto"/>
                    <w:right w:val="none" w:sz="0" w:space="0" w:color="auto"/>
                  </w:divBdr>
                  <w:divsChild>
                    <w:div w:id="227425222">
                      <w:marLeft w:val="0"/>
                      <w:marRight w:val="0"/>
                      <w:marTop w:val="0"/>
                      <w:marBottom w:val="0"/>
                      <w:divBdr>
                        <w:top w:val="none" w:sz="0" w:space="0" w:color="auto"/>
                        <w:left w:val="none" w:sz="0" w:space="0" w:color="auto"/>
                        <w:bottom w:val="none" w:sz="0" w:space="0" w:color="auto"/>
                        <w:right w:val="none" w:sz="0" w:space="0" w:color="auto"/>
                      </w:divBdr>
                    </w:div>
                  </w:divsChild>
                </w:div>
                <w:div w:id="902299887">
                  <w:marLeft w:val="0"/>
                  <w:marRight w:val="0"/>
                  <w:marTop w:val="0"/>
                  <w:marBottom w:val="0"/>
                  <w:divBdr>
                    <w:top w:val="none" w:sz="0" w:space="0" w:color="auto"/>
                    <w:left w:val="none" w:sz="0" w:space="0" w:color="auto"/>
                    <w:bottom w:val="none" w:sz="0" w:space="0" w:color="auto"/>
                    <w:right w:val="none" w:sz="0" w:space="0" w:color="auto"/>
                  </w:divBdr>
                  <w:divsChild>
                    <w:div w:id="1715421387">
                      <w:marLeft w:val="0"/>
                      <w:marRight w:val="0"/>
                      <w:marTop w:val="0"/>
                      <w:marBottom w:val="0"/>
                      <w:divBdr>
                        <w:top w:val="none" w:sz="0" w:space="0" w:color="auto"/>
                        <w:left w:val="none" w:sz="0" w:space="0" w:color="auto"/>
                        <w:bottom w:val="none" w:sz="0" w:space="0" w:color="auto"/>
                        <w:right w:val="none" w:sz="0" w:space="0" w:color="auto"/>
                      </w:divBdr>
                    </w:div>
                  </w:divsChild>
                </w:div>
                <w:div w:id="903836798">
                  <w:marLeft w:val="0"/>
                  <w:marRight w:val="0"/>
                  <w:marTop w:val="0"/>
                  <w:marBottom w:val="0"/>
                  <w:divBdr>
                    <w:top w:val="none" w:sz="0" w:space="0" w:color="auto"/>
                    <w:left w:val="none" w:sz="0" w:space="0" w:color="auto"/>
                    <w:bottom w:val="none" w:sz="0" w:space="0" w:color="auto"/>
                    <w:right w:val="none" w:sz="0" w:space="0" w:color="auto"/>
                  </w:divBdr>
                  <w:divsChild>
                    <w:div w:id="313415454">
                      <w:marLeft w:val="0"/>
                      <w:marRight w:val="0"/>
                      <w:marTop w:val="0"/>
                      <w:marBottom w:val="0"/>
                      <w:divBdr>
                        <w:top w:val="none" w:sz="0" w:space="0" w:color="auto"/>
                        <w:left w:val="none" w:sz="0" w:space="0" w:color="auto"/>
                        <w:bottom w:val="none" w:sz="0" w:space="0" w:color="auto"/>
                        <w:right w:val="none" w:sz="0" w:space="0" w:color="auto"/>
                      </w:divBdr>
                    </w:div>
                  </w:divsChild>
                </w:div>
                <w:div w:id="909536539">
                  <w:marLeft w:val="0"/>
                  <w:marRight w:val="0"/>
                  <w:marTop w:val="0"/>
                  <w:marBottom w:val="0"/>
                  <w:divBdr>
                    <w:top w:val="none" w:sz="0" w:space="0" w:color="auto"/>
                    <w:left w:val="none" w:sz="0" w:space="0" w:color="auto"/>
                    <w:bottom w:val="none" w:sz="0" w:space="0" w:color="auto"/>
                    <w:right w:val="none" w:sz="0" w:space="0" w:color="auto"/>
                  </w:divBdr>
                  <w:divsChild>
                    <w:div w:id="798257658">
                      <w:marLeft w:val="0"/>
                      <w:marRight w:val="0"/>
                      <w:marTop w:val="0"/>
                      <w:marBottom w:val="0"/>
                      <w:divBdr>
                        <w:top w:val="none" w:sz="0" w:space="0" w:color="auto"/>
                        <w:left w:val="none" w:sz="0" w:space="0" w:color="auto"/>
                        <w:bottom w:val="none" w:sz="0" w:space="0" w:color="auto"/>
                        <w:right w:val="none" w:sz="0" w:space="0" w:color="auto"/>
                      </w:divBdr>
                    </w:div>
                  </w:divsChild>
                </w:div>
                <w:div w:id="914558552">
                  <w:marLeft w:val="0"/>
                  <w:marRight w:val="0"/>
                  <w:marTop w:val="0"/>
                  <w:marBottom w:val="0"/>
                  <w:divBdr>
                    <w:top w:val="none" w:sz="0" w:space="0" w:color="auto"/>
                    <w:left w:val="none" w:sz="0" w:space="0" w:color="auto"/>
                    <w:bottom w:val="none" w:sz="0" w:space="0" w:color="auto"/>
                    <w:right w:val="none" w:sz="0" w:space="0" w:color="auto"/>
                  </w:divBdr>
                  <w:divsChild>
                    <w:div w:id="1039281500">
                      <w:marLeft w:val="0"/>
                      <w:marRight w:val="0"/>
                      <w:marTop w:val="0"/>
                      <w:marBottom w:val="0"/>
                      <w:divBdr>
                        <w:top w:val="none" w:sz="0" w:space="0" w:color="auto"/>
                        <w:left w:val="none" w:sz="0" w:space="0" w:color="auto"/>
                        <w:bottom w:val="none" w:sz="0" w:space="0" w:color="auto"/>
                        <w:right w:val="none" w:sz="0" w:space="0" w:color="auto"/>
                      </w:divBdr>
                    </w:div>
                  </w:divsChild>
                </w:div>
                <w:div w:id="915360321">
                  <w:marLeft w:val="0"/>
                  <w:marRight w:val="0"/>
                  <w:marTop w:val="0"/>
                  <w:marBottom w:val="0"/>
                  <w:divBdr>
                    <w:top w:val="none" w:sz="0" w:space="0" w:color="auto"/>
                    <w:left w:val="none" w:sz="0" w:space="0" w:color="auto"/>
                    <w:bottom w:val="none" w:sz="0" w:space="0" w:color="auto"/>
                    <w:right w:val="none" w:sz="0" w:space="0" w:color="auto"/>
                  </w:divBdr>
                  <w:divsChild>
                    <w:div w:id="1047680808">
                      <w:marLeft w:val="0"/>
                      <w:marRight w:val="0"/>
                      <w:marTop w:val="0"/>
                      <w:marBottom w:val="0"/>
                      <w:divBdr>
                        <w:top w:val="none" w:sz="0" w:space="0" w:color="auto"/>
                        <w:left w:val="none" w:sz="0" w:space="0" w:color="auto"/>
                        <w:bottom w:val="none" w:sz="0" w:space="0" w:color="auto"/>
                        <w:right w:val="none" w:sz="0" w:space="0" w:color="auto"/>
                      </w:divBdr>
                    </w:div>
                  </w:divsChild>
                </w:div>
                <w:div w:id="922762988">
                  <w:marLeft w:val="0"/>
                  <w:marRight w:val="0"/>
                  <w:marTop w:val="0"/>
                  <w:marBottom w:val="0"/>
                  <w:divBdr>
                    <w:top w:val="none" w:sz="0" w:space="0" w:color="auto"/>
                    <w:left w:val="none" w:sz="0" w:space="0" w:color="auto"/>
                    <w:bottom w:val="none" w:sz="0" w:space="0" w:color="auto"/>
                    <w:right w:val="none" w:sz="0" w:space="0" w:color="auto"/>
                  </w:divBdr>
                  <w:divsChild>
                    <w:div w:id="382683429">
                      <w:marLeft w:val="0"/>
                      <w:marRight w:val="0"/>
                      <w:marTop w:val="0"/>
                      <w:marBottom w:val="0"/>
                      <w:divBdr>
                        <w:top w:val="none" w:sz="0" w:space="0" w:color="auto"/>
                        <w:left w:val="none" w:sz="0" w:space="0" w:color="auto"/>
                        <w:bottom w:val="none" w:sz="0" w:space="0" w:color="auto"/>
                        <w:right w:val="none" w:sz="0" w:space="0" w:color="auto"/>
                      </w:divBdr>
                    </w:div>
                  </w:divsChild>
                </w:div>
                <w:div w:id="924193143">
                  <w:marLeft w:val="0"/>
                  <w:marRight w:val="0"/>
                  <w:marTop w:val="0"/>
                  <w:marBottom w:val="0"/>
                  <w:divBdr>
                    <w:top w:val="none" w:sz="0" w:space="0" w:color="auto"/>
                    <w:left w:val="none" w:sz="0" w:space="0" w:color="auto"/>
                    <w:bottom w:val="none" w:sz="0" w:space="0" w:color="auto"/>
                    <w:right w:val="none" w:sz="0" w:space="0" w:color="auto"/>
                  </w:divBdr>
                  <w:divsChild>
                    <w:div w:id="1221749415">
                      <w:marLeft w:val="0"/>
                      <w:marRight w:val="0"/>
                      <w:marTop w:val="0"/>
                      <w:marBottom w:val="0"/>
                      <w:divBdr>
                        <w:top w:val="none" w:sz="0" w:space="0" w:color="auto"/>
                        <w:left w:val="none" w:sz="0" w:space="0" w:color="auto"/>
                        <w:bottom w:val="none" w:sz="0" w:space="0" w:color="auto"/>
                        <w:right w:val="none" w:sz="0" w:space="0" w:color="auto"/>
                      </w:divBdr>
                    </w:div>
                  </w:divsChild>
                </w:div>
                <w:div w:id="942154677">
                  <w:marLeft w:val="0"/>
                  <w:marRight w:val="0"/>
                  <w:marTop w:val="0"/>
                  <w:marBottom w:val="0"/>
                  <w:divBdr>
                    <w:top w:val="none" w:sz="0" w:space="0" w:color="auto"/>
                    <w:left w:val="none" w:sz="0" w:space="0" w:color="auto"/>
                    <w:bottom w:val="none" w:sz="0" w:space="0" w:color="auto"/>
                    <w:right w:val="none" w:sz="0" w:space="0" w:color="auto"/>
                  </w:divBdr>
                  <w:divsChild>
                    <w:div w:id="714626375">
                      <w:marLeft w:val="0"/>
                      <w:marRight w:val="0"/>
                      <w:marTop w:val="0"/>
                      <w:marBottom w:val="0"/>
                      <w:divBdr>
                        <w:top w:val="none" w:sz="0" w:space="0" w:color="auto"/>
                        <w:left w:val="none" w:sz="0" w:space="0" w:color="auto"/>
                        <w:bottom w:val="none" w:sz="0" w:space="0" w:color="auto"/>
                        <w:right w:val="none" w:sz="0" w:space="0" w:color="auto"/>
                      </w:divBdr>
                    </w:div>
                  </w:divsChild>
                </w:div>
                <w:div w:id="963391385">
                  <w:marLeft w:val="0"/>
                  <w:marRight w:val="0"/>
                  <w:marTop w:val="0"/>
                  <w:marBottom w:val="0"/>
                  <w:divBdr>
                    <w:top w:val="none" w:sz="0" w:space="0" w:color="auto"/>
                    <w:left w:val="none" w:sz="0" w:space="0" w:color="auto"/>
                    <w:bottom w:val="none" w:sz="0" w:space="0" w:color="auto"/>
                    <w:right w:val="none" w:sz="0" w:space="0" w:color="auto"/>
                  </w:divBdr>
                  <w:divsChild>
                    <w:div w:id="1564677890">
                      <w:marLeft w:val="0"/>
                      <w:marRight w:val="0"/>
                      <w:marTop w:val="0"/>
                      <w:marBottom w:val="0"/>
                      <w:divBdr>
                        <w:top w:val="none" w:sz="0" w:space="0" w:color="auto"/>
                        <w:left w:val="none" w:sz="0" w:space="0" w:color="auto"/>
                        <w:bottom w:val="none" w:sz="0" w:space="0" w:color="auto"/>
                        <w:right w:val="none" w:sz="0" w:space="0" w:color="auto"/>
                      </w:divBdr>
                    </w:div>
                  </w:divsChild>
                </w:div>
                <w:div w:id="981738796">
                  <w:marLeft w:val="0"/>
                  <w:marRight w:val="0"/>
                  <w:marTop w:val="0"/>
                  <w:marBottom w:val="0"/>
                  <w:divBdr>
                    <w:top w:val="none" w:sz="0" w:space="0" w:color="auto"/>
                    <w:left w:val="none" w:sz="0" w:space="0" w:color="auto"/>
                    <w:bottom w:val="none" w:sz="0" w:space="0" w:color="auto"/>
                    <w:right w:val="none" w:sz="0" w:space="0" w:color="auto"/>
                  </w:divBdr>
                  <w:divsChild>
                    <w:div w:id="624434416">
                      <w:marLeft w:val="0"/>
                      <w:marRight w:val="0"/>
                      <w:marTop w:val="0"/>
                      <w:marBottom w:val="0"/>
                      <w:divBdr>
                        <w:top w:val="none" w:sz="0" w:space="0" w:color="auto"/>
                        <w:left w:val="none" w:sz="0" w:space="0" w:color="auto"/>
                        <w:bottom w:val="none" w:sz="0" w:space="0" w:color="auto"/>
                        <w:right w:val="none" w:sz="0" w:space="0" w:color="auto"/>
                      </w:divBdr>
                    </w:div>
                  </w:divsChild>
                </w:div>
                <w:div w:id="982612937">
                  <w:marLeft w:val="0"/>
                  <w:marRight w:val="0"/>
                  <w:marTop w:val="0"/>
                  <w:marBottom w:val="0"/>
                  <w:divBdr>
                    <w:top w:val="none" w:sz="0" w:space="0" w:color="auto"/>
                    <w:left w:val="none" w:sz="0" w:space="0" w:color="auto"/>
                    <w:bottom w:val="none" w:sz="0" w:space="0" w:color="auto"/>
                    <w:right w:val="none" w:sz="0" w:space="0" w:color="auto"/>
                  </w:divBdr>
                  <w:divsChild>
                    <w:div w:id="1443264649">
                      <w:marLeft w:val="0"/>
                      <w:marRight w:val="0"/>
                      <w:marTop w:val="0"/>
                      <w:marBottom w:val="0"/>
                      <w:divBdr>
                        <w:top w:val="none" w:sz="0" w:space="0" w:color="auto"/>
                        <w:left w:val="none" w:sz="0" w:space="0" w:color="auto"/>
                        <w:bottom w:val="none" w:sz="0" w:space="0" w:color="auto"/>
                        <w:right w:val="none" w:sz="0" w:space="0" w:color="auto"/>
                      </w:divBdr>
                    </w:div>
                  </w:divsChild>
                </w:div>
                <w:div w:id="987784746">
                  <w:marLeft w:val="0"/>
                  <w:marRight w:val="0"/>
                  <w:marTop w:val="0"/>
                  <w:marBottom w:val="0"/>
                  <w:divBdr>
                    <w:top w:val="none" w:sz="0" w:space="0" w:color="auto"/>
                    <w:left w:val="none" w:sz="0" w:space="0" w:color="auto"/>
                    <w:bottom w:val="none" w:sz="0" w:space="0" w:color="auto"/>
                    <w:right w:val="none" w:sz="0" w:space="0" w:color="auto"/>
                  </w:divBdr>
                  <w:divsChild>
                    <w:div w:id="298611071">
                      <w:marLeft w:val="0"/>
                      <w:marRight w:val="0"/>
                      <w:marTop w:val="0"/>
                      <w:marBottom w:val="0"/>
                      <w:divBdr>
                        <w:top w:val="none" w:sz="0" w:space="0" w:color="auto"/>
                        <w:left w:val="none" w:sz="0" w:space="0" w:color="auto"/>
                        <w:bottom w:val="none" w:sz="0" w:space="0" w:color="auto"/>
                        <w:right w:val="none" w:sz="0" w:space="0" w:color="auto"/>
                      </w:divBdr>
                    </w:div>
                  </w:divsChild>
                </w:div>
                <w:div w:id="996416366">
                  <w:marLeft w:val="0"/>
                  <w:marRight w:val="0"/>
                  <w:marTop w:val="0"/>
                  <w:marBottom w:val="0"/>
                  <w:divBdr>
                    <w:top w:val="none" w:sz="0" w:space="0" w:color="auto"/>
                    <w:left w:val="none" w:sz="0" w:space="0" w:color="auto"/>
                    <w:bottom w:val="none" w:sz="0" w:space="0" w:color="auto"/>
                    <w:right w:val="none" w:sz="0" w:space="0" w:color="auto"/>
                  </w:divBdr>
                  <w:divsChild>
                    <w:div w:id="525172339">
                      <w:marLeft w:val="0"/>
                      <w:marRight w:val="0"/>
                      <w:marTop w:val="0"/>
                      <w:marBottom w:val="0"/>
                      <w:divBdr>
                        <w:top w:val="none" w:sz="0" w:space="0" w:color="auto"/>
                        <w:left w:val="none" w:sz="0" w:space="0" w:color="auto"/>
                        <w:bottom w:val="none" w:sz="0" w:space="0" w:color="auto"/>
                        <w:right w:val="none" w:sz="0" w:space="0" w:color="auto"/>
                      </w:divBdr>
                    </w:div>
                  </w:divsChild>
                </w:div>
                <w:div w:id="1014965711">
                  <w:marLeft w:val="0"/>
                  <w:marRight w:val="0"/>
                  <w:marTop w:val="0"/>
                  <w:marBottom w:val="0"/>
                  <w:divBdr>
                    <w:top w:val="none" w:sz="0" w:space="0" w:color="auto"/>
                    <w:left w:val="none" w:sz="0" w:space="0" w:color="auto"/>
                    <w:bottom w:val="none" w:sz="0" w:space="0" w:color="auto"/>
                    <w:right w:val="none" w:sz="0" w:space="0" w:color="auto"/>
                  </w:divBdr>
                  <w:divsChild>
                    <w:div w:id="1077939482">
                      <w:marLeft w:val="0"/>
                      <w:marRight w:val="0"/>
                      <w:marTop w:val="0"/>
                      <w:marBottom w:val="0"/>
                      <w:divBdr>
                        <w:top w:val="none" w:sz="0" w:space="0" w:color="auto"/>
                        <w:left w:val="none" w:sz="0" w:space="0" w:color="auto"/>
                        <w:bottom w:val="none" w:sz="0" w:space="0" w:color="auto"/>
                        <w:right w:val="none" w:sz="0" w:space="0" w:color="auto"/>
                      </w:divBdr>
                    </w:div>
                  </w:divsChild>
                </w:div>
                <w:div w:id="1015351130">
                  <w:marLeft w:val="0"/>
                  <w:marRight w:val="0"/>
                  <w:marTop w:val="0"/>
                  <w:marBottom w:val="0"/>
                  <w:divBdr>
                    <w:top w:val="none" w:sz="0" w:space="0" w:color="auto"/>
                    <w:left w:val="none" w:sz="0" w:space="0" w:color="auto"/>
                    <w:bottom w:val="none" w:sz="0" w:space="0" w:color="auto"/>
                    <w:right w:val="none" w:sz="0" w:space="0" w:color="auto"/>
                  </w:divBdr>
                  <w:divsChild>
                    <w:div w:id="1032919043">
                      <w:marLeft w:val="0"/>
                      <w:marRight w:val="0"/>
                      <w:marTop w:val="0"/>
                      <w:marBottom w:val="0"/>
                      <w:divBdr>
                        <w:top w:val="none" w:sz="0" w:space="0" w:color="auto"/>
                        <w:left w:val="none" w:sz="0" w:space="0" w:color="auto"/>
                        <w:bottom w:val="none" w:sz="0" w:space="0" w:color="auto"/>
                        <w:right w:val="none" w:sz="0" w:space="0" w:color="auto"/>
                      </w:divBdr>
                    </w:div>
                  </w:divsChild>
                </w:div>
                <w:div w:id="1028680552">
                  <w:marLeft w:val="0"/>
                  <w:marRight w:val="0"/>
                  <w:marTop w:val="0"/>
                  <w:marBottom w:val="0"/>
                  <w:divBdr>
                    <w:top w:val="none" w:sz="0" w:space="0" w:color="auto"/>
                    <w:left w:val="none" w:sz="0" w:space="0" w:color="auto"/>
                    <w:bottom w:val="none" w:sz="0" w:space="0" w:color="auto"/>
                    <w:right w:val="none" w:sz="0" w:space="0" w:color="auto"/>
                  </w:divBdr>
                  <w:divsChild>
                    <w:div w:id="483548895">
                      <w:marLeft w:val="0"/>
                      <w:marRight w:val="0"/>
                      <w:marTop w:val="0"/>
                      <w:marBottom w:val="0"/>
                      <w:divBdr>
                        <w:top w:val="none" w:sz="0" w:space="0" w:color="auto"/>
                        <w:left w:val="none" w:sz="0" w:space="0" w:color="auto"/>
                        <w:bottom w:val="none" w:sz="0" w:space="0" w:color="auto"/>
                        <w:right w:val="none" w:sz="0" w:space="0" w:color="auto"/>
                      </w:divBdr>
                    </w:div>
                  </w:divsChild>
                </w:div>
                <w:div w:id="1028875181">
                  <w:marLeft w:val="0"/>
                  <w:marRight w:val="0"/>
                  <w:marTop w:val="0"/>
                  <w:marBottom w:val="0"/>
                  <w:divBdr>
                    <w:top w:val="none" w:sz="0" w:space="0" w:color="auto"/>
                    <w:left w:val="none" w:sz="0" w:space="0" w:color="auto"/>
                    <w:bottom w:val="none" w:sz="0" w:space="0" w:color="auto"/>
                    <w:right w:val="none" w:sz="0" w:space="0" w:color="auto"/>
                  </w:divBdr>
                  <w:divsChild>
                    <w:div w:id="595284342">
                      <w:marLeft w:val="0"/>
                      <w:marRight w:val="0"/>
                      <w:marTop w:val="0"/>
                      <w:marBottom w:val="0"/>
                      <w:divBdr>
                        <w:top w:val="none" w:sz="0" w:space="0" w:color="auto"/>
                        <w:left w:val="none" w:sz="0" w:space="0" w:color="auto"/>
                        <w:bottom w:val="none" w:sz="0" w:space="0" w:color="auto"/>
                        <w:right w:val="none" w:sz="0" w:space="0" w:color="auto"/>
                      </w:divBdr>
                    </w:div>
                  </w:divsChild>
                </w:div>
                <w:div w:id="1048839270">
                  <w:marLeft w:val="0"/>
                  <w:marRight w:val="0"/>
                  <w:marTop w:val="0"/>
                  <w:marBottom w:val="0"/>
                  <w:divBdr>
                    <w:top w:val="none" w:sz="0" w:space="0" w:color="auto"/>
                    <w:left w:val="none" w:sz="0" w:space="0" w:color="auto"/>
                    <w:bottom w:val="none" w:sz="0" w:space="0" w:color="auto"/>
                    <w:right w:val="none" w:sz="0" w:space="0" w:color="auto"/>
                  </w:divBdr>
                  <w:divsChild>
                    <w:div w:id="1587956546">
                      <w:marLeft w:val="0"/>
                      <w:marRight w:val="0"/>
                      <w:marTop w:val="0"/>
                      <w:marBottom w:val="0"/>
                      <w:divBdr>
                        <w:top w:val="none" w:sz="0" w:space="0" w:color="auto"/>
                        <w:left w:val="none" w:sz="0" w:space="0" w:color="auto"/>
                        <w:bottom w:val="none" w:sz="0" w:space="0" w:color="auto"/>
                        <w:right w:val="none" w:sz="0" w:space="0" w:color="auto"/>
                      </w:divBdr>
                    </w:div>
                  </w:divsChild>
                </w:div>
                <w:div w:id="1066146678">
                  <w:marLeft w:val="0"/>
                  <w:marRight w:val="0"/>
                  <w:marTop w:val="0"/>
                  <w:marBottom w:val="0"/>
                  <w:divBdr>
                    <w:top w:val="none" w:sz="0" w:space="0" w:color="auto"/>
                    <w:left w:val="none" w:sz="0" w:space="0" w:color="auto"/>
                    <w:bottom w:val="none" w:sz="0" w:space="0" w:color="auto"/>
                    <w:right w:val="none" w:sz="0" w:space="0" w:color="auto"/>
                  </w:divBdr>
                  <w:divsChild>
                    <w:div w:id="272631673">
                      <w:marLeft w:val="0"/>
                      <w:marRight w:val="0"/>
                      <w:marTop w:val="0"/>
                      <w:marBottom w:val="0"/>
                      <w:divBdr>
                        <w:top w:val="none" w:sz="0" w:space="0" w:color="auto"/>
                        <w:left w:val="none" w:sz="0" w:space="0" w:color="auto"/>
                        <w:bottom w:val="none" w:sz="0" w:space="0" w:color="auto"/>
                        <w:right w:val="none" w:sz="0" w:space="0" w:color="auto"/>
                      </w:divBdr>
                    </w:div>
                  </w:divsChild>
                </w:div>
                <w:div w:id="1066798832">
                  <w:marLeft w:val="0"/>
                  <w:marRight w:val="0"/>
                  <w:marTop w:val="0"/>
                  <w:marBottom w:val="0"/>
                  <w:divBdr>
                    <w:top w:val="none" w:sz="0" w:space="0" w:color="auto"/>
                    <w:left w:val="none" w:sz="0" w:space="0" w:color="auto"/>
                    <w:bottom w:val="none" w:sz="0" w:space="0" w:color="auto"/>
                    <w:right w:val="none" w:sz="0" w:space="0" w:color="auto"/>
                  </w:divBdr>
                  <w:divsChild>
                    <w:div w:id="880943251">
                      <w:marLeft w:val="0"/>
                      <w:marRight w:val="0"/>
                      <w:marTop w:val="0"/>
                      <w:marBottom w:val="0"/>
                      <w:divBdr>
                        <w:top w:val="none" w:sz="0" w:space="0" w:color="auto"/>
                        <w:left w:val="none" w:sz="0" w:space="0" w:color="auto"/>
                        <w:bottom w:val="none" w:sz="0" w:space="0" w:color="auto"/>
                        <w:right w:val="none" w:sz="0" w:space="0" w:color="auto"/>
                      </w:divBdr>
                    </w:div>
                  </w:divsChild>
                </w:div>
                <w:div w:id="1067192574">
                  <w:marLeft w:val="0"/>
                  <w:marRight w:val="0"/>
                  <w:marTop w:val="0"/>
                  <w:marBottom w:val="0"/>
                  <w:divBdr>
                    <w:top w:val="none" w:sz="0" w:space="0" w:color="auto"/>
                    <w:left w:val="none" w:sz="0" w:space="0" w:color="auto"/>
                    <w:bottom w:val="none" w:sz="0" w:space="0" w:color="auto"/>
                    <w:right w:val="none" w:sz="0" w:space="0" w:color="auto"/>
                  </w:divBdr>
                  <w:divsChild>
                    <w:div w:id="868178421">
                      <w:marLeft w:val="0"/>
                      <w:marRight w:val="0"/>
                      <w:marTop w:val="0"/>
                      <w:marBottom w:val="0"/>
                      <w:divBdr>
                        <w:top w:val="none" w:sz="0" w:space="0" w:color="auto"/>
                        <w:left w:val="none" w:sz="0" w:space="0" w:color="auto"/>
                        <w:bottom w:val="none" w:sz="0" w:space="0" w:color="auto"/>
                        <w:right w:val="none" w:sz="0" w:space="0" w:color="auto"/>
                      </w:divBdr>
                    </w:div>
                  </w:divsChild>
                </w:div>
                <w:div w:id="1075589466">
                  <w:marLeft w:val="0"/>
                  <w:marRight w:val="0"/>
                  <w:marTop w:val="0"/>
                  <w:marBottom w:val="0"/>
                  <w:divBdr>
                    <w:top w:val="none" w:sz="0" w:space="0" w:color="auto"/>
                    <w:left w:val="none" w:sz="0" w:space="0" w:color="auto"/>
                    <w:bottom w:val="none" w:sz="0" w:space="0" w:color="auto"/>
                    <w:right w:val="none" w:sz="0" w:space="0" w:color="auto"/>
                  </w:divBdr>
                  <w:divsChild>
                    <w:div w:id="1113207239">
                      <w:marLeft w:val="0"/>
                      <w:marRight w:val="0"/>
                      <w:marTop w:val="0"/>
                      <w:marBottom w:val="0"/>
                      <w:divBdr>
                        <w:top w:val="none" w:sz="0" w:space="0" w:color="auto"/>
                        <w:left w:val="none" w:sz="0" w:space="0" w:color="auto"/>
                        <w:bottom w:val="none" w:sz="0" w:space="0" w:color="auto"/>
                        <w:right w:val="none" w:sz="0" w:space="0" w:color="auto"/>
                      </w:divBdr>
                    </w:div>
                  </w:divsChild>
                </w:div>
                <w:div w:id="1088042042">
                  <w:marLeft w:val="0"/>
                  <w:marRight w:val="0"/>
                  <w:marTop w:val="0"/>
                  <w:marBottom w:val="0"/>
                  <w:divBdr>
                    <w:top w:val="none" w:sz="0" w:space="0" w:color="auto"/>
                    <w:left w:val="none" w:sz="0" w:space="0" w:color="auto"/>
                    <w:bottom w:val="none" w:sz="0" w:space="0" w:color="auto"/>
                    <w:right w:val="none" w:sz="0" w:space="0" w:color="auto"/>
                  </w:divBdr>
                  <w:divsChild>
                    <w:div w:id="1691179813">
                      <w:marLeft w:val="0"/>
                      <w:marRight w:val="0"/>
                      <w:marTop w:val="0"/>
                      <w:marBottom w:val="0"/>
                      <w:divBdr>
                        <w:top w:val="none" w:sz="0" w:space="0" w:color="auto"/>
                        <w:left w:val="none" w:sz="0" w:space="0" w:color="auto"/>
                        <w:bottom w:val="none" w:sz="0" w:space="0" w:color="auto"/>
                        <w:right w:val="none" w:sz="0" w:space="0" w:color="auto"/>
                      </w:divBdr>
                    </w:div>
                  </w:divsChild>
                </w:div>
                <w:div w:id="1109659851">
                  <w:marLeft w:val="0"/>
                  <w:marRight w:val="0"/>
                  <w:marTop w:val="0"/>
                  <w:marBottom w:val="0"/>
                  <w:divBdr>
                    <w:top w:val="none" w:sz="0" w:space="0" w:color="auto"/>
                    <w:left w:val="none" w:sz="0" w:space="0" w:color="auto"/>
                    <w:bottom w:val="none" w:sz="0" w:space="0" w:color="auto"/>
                    <w:right w:val="none" w:sz="0" w:space="0" w:color="auto"/>
                  </w:divBdr>
                  <w:divsChild>
                    <w:div w:id="48305392">
                      <w:marLeft w:val="0"/>
                      <w:marRight w:val="0"/>
                      <w:marTop w:val="0"/>
                      <w:marBottom w:val="0"/>
                      <w:divBdr>
                        <w:top w:val="none" w:sz="0" w:space="0" w:color="auto"/>
                        <w:left w:val="none" w:sz="0" w:space="0" w:color="auto"/>
                        <w:bottom w:val="none" w:sz="0" w:space="0" w:color="auto"/>
                        <w:right w:val="none" w:sz="0" w:space="0" w:color="auto"/>
                      </w:divBdr>
                    </w:div>
                  </w:divsChild>
                </w:div>
                <w:div w:id="1119184673">
                  <w:marLeft w:val="0"/>
                  <w:marRight w:val="0"/>
                  <w:marTop w:val="0"/>
                  <w:marBottom w:val="0"/>
                  <w:divBdr>
                    <w:top w:val="none" w:sz="0" w:space="0" w:color="auto"/>
                    <w:left w:val="none" w:sz="0" w:space="0" w:color="auto"/>
                    <w:bottom w:val="none" w:sz="0" w:space="0" w:color="auto"/>
                    <w:right w:val="none" w:sz="0" w:space="0" w:color="auto"/>
                  </w:divBdr>
                  <w:divsChild>
                    <w:div w:id="1563638049">
                      <w:marLeft w:val="0"/>
                      <w:marRight w:val="0"/>
                      <w:marTop w:val="0"/>
                      <w:marBottom w:val="0"/>
                      <w:divBdr>
                        <w:top w:val="none" w:sz="0" w:space="0" w:color="auto"/>
                        <w:left w:val="none" w:sz="0" w:space="0" w:color="auto"/>
                        <w:bottom w:val="none" w:sz="0" w:space="0" w:color="auto"/>
                        <w:right w:val="none" w:sz="0" w:space="0" w:color="auto"/>
                      </w:divBdr>
                    </w:div>
                  </w:divsChild>
                </w:div>
                <w:div w:id="1128012368">
                  <w:marLeft w:val="0"/>
                  <w:marRight w:val="0"/>
                  <w:marTop w:val="0"/>
                  <w:marBottom w:val="0"/>
                  <w:divBdr>
                    <w:top w:val="none" w:sz="0" w:space="0" w:color="auto"/>
                    <w:left w:val="none" w:sz="0" w:space="0" w:color="auto"/>
                    <w:bottom w:val="none" w:sz="0" w:space="0" w:color="auto"/>
                    <w:right w:val="none" w:sz="0" w:space="0" w:color="auto"/>
                  </w:divBdr>
                  <w:divsChild>
                    <w:div w:id="1986470886">
                      <w:marLeft w:val="0"/>
                      <w:marRight w:val="0"/>
                      <w:marTop w:val="0"/>
                      <w:marBottom w:val="0"/>
                      <w:divBdr>
                        <w:top w:val="none" w:sz="0" w:space="0" w:color="auto"/>
                        <w:left w:val="none" w:sz="0" w:space="0" w:color="auto"/>
                        <w:bottom w:val="none" w:sz="0" w:space="0" w:color="auto"/>
                        <w:right w:val="none" w:sz="0" w:space="0" w:color="auto"/>
                      </w:divBdr>
                    </w:div>
                  </w:divsChild>
                </w:div>
                <w:div w:id="1138037333">
                  <w:marLeft w:val="0"/>
                  <w:marRight w:val="0"/>
                  <w:marTop w:val="0"/>
                  <w:marBottom w:val="0"/>
                  <w:divBdr>
                    <w:top w:val="none" w:sz="0" w:space="0" w:color="auto"/>
                    <w:left w:val="none" w:sz="0" w:space="0" w:color="auto"/>
                    <w:bottom w:val="none" w:sz="0" w:space="0" w:color="auto"/>
                    <w:right w:val="none" w:sz="0" w:space="0" w:color="auto"/>
                  </w:divBdr>
                  <w:divsChild>
                    <w:div w:id="1542090144">
                      <w:marLeft w:val="0"/>
                      <w:marRight w:val="0"/>
                      <w:marTop w:val="0"/>
                      <w:marBottom w:val="0"/>
                      <w:divBdr>
                        <w:top w:val="none" w:sz="0" w:space="0" w:color="auto"/>
                        <w:left w:val="none" w:sz="0" w:space="0" w:color="auto"/>
                        <w:bottom w:val="none" w:sz="0" w:space="0" w:color="auto"/>
                        <w:right w:val="none" w:sz="0" w:space="0" w:color="auto"/>
                      </w:divBdr>
                    </w:div>
                  </w:divsChild>
                </w:div>
                <w:div w:id="1155563424">
                  <w:marLeft w:val="0"/>
                  <w:marRight w:val="0"/>
                  <w:marTop w:val="0"/>
                  <w:marBottom w:val="0"/>
                  <w:divBdr>
                    <w:top w:val="none" w:sz="0" w:space="0" w:color="auto"/>
                    <w:left w:val="none" w:sz="0" w:space="0" w:color="auto"/>
                    <w:bottom w:val="none" w:sz="0" w:space="0" w:color="auto"/>
                    <w:right w:val="none" w:sz="0" w:space="0" w:color="auto"/>
                  </w:divBdr>
                  <w:divsChild>
                    <w:div w:id="324280808">
                      <w:marLeft w:val="0"/>
                      <w:marRight w:val="0"/>
                      <w:marTop w:val="0"/>
                      <w:marBottom w:val="0"/>
                      <w:divBdr>
                        <w:top w:val="none" w:sz="0" w:space="0" w:color="auto"/>
                        <w:left w:val="none" w:sz="0" w:space="0" w:color="auto"/>
                        <w:bottom w:val="none" w:sz="0" w:space="0" w:color="auto"/>
                        <w:right w:val="none" w:sz="0" w:space="0" w:color="auto"/>
                      </w:divBdr>
                    </w:div>
                  </w:divsChild>
                </w:div>
                <w:div w:id="1171218357">
                  <w:marLeft w:val="0"/>
                  <w:marRight w:val="0"/>
                  <w:marTop w:val="0"/>
                  <w:marBottom w:val="0"/>
                  <w:divBdr>
                    <w:top w:val="none" w:sz="0" w:space="0" w:color="auto"/>
                    <w:left w:val="none" w:sz="0" w:space="0" w:color="auto"/>
                    <w:bottom w:val="none" w:sz="0" w:space="0" w:color="auto"/>
                    <w:right w:val="none" w:sz="0" w:space="0" w:color="auto"/>
                  </w:divBdr>
                  <w:divsChild>
                    <w:div w:id="1838959636">
                      <w:marLeft w:val="0"/>
                      <w:marRight w:val="0"/>
                      <w:marTop w:val="0"/>
                      <w:marBottom w:val="0"/>
                      <w:divBdr>
                        <w:top w:val="none" w:sz="0" w:space="0" w:color="auto"/>
                        <w:left w:val="none" w:sz="0" w:space="0" w:color="auto"/>
                        <w:bottom w:val="none" w:sz="0" w:space="0" w:color="auto"/>
                        <w:right w:val="none" w:sz="0" w:space="0" w:color="auto"/>
                      </w:divBdr>
                    </w:div>
                  </w:divsChild>
                </w:div>
                <w:div w:id="1182403192">
                  <w:marLeft w:val="0"/>
                  <w:marRight w:val="0"/>
                  <w:marTop w:val="0"/>
                  <w:marBottom w:val="0"/>
                  <w:divBdr>
                    <w:top w:val="none" w:sz="0" w:space="0" w:color="auto"/>
                    <w:left w:val="none" w:sz="0" w:space="0" w:color="auto"/>
                    <w:bottom w:val="none" w:sz="0" w:space="0" w:color="auto"/>
                    <w:right w:val="none" w:sz="0" w:space="0" w:color="auto"/>
                  </w:divBdr>
                  <w:divsChild>
                    <w:div w:id="1047877246">
                      <w:marLeft w:val="0"/>
                      <w:marRight w:val="0"/>
                      <w:marTop w:val="0"/>
                      <w:marBottom w:val="0"/>
                      <w:divBdr>
                        <w:top w:val="none" w:sz="0" w:space="0" w:color="auto"/>
                        <w:left w:val="none" w:sz="0" w:space="0" w:color="auto"/>
                        <w:bottom w:val="none" w:sz="0" w:space="0" w:color="auto"/>
                        <w:right w:val="none" w:sz="0" w:space="0" w:color="auto"/>
                      </w:divBdr>
                    </w:div>
                  </w:divsChild>
                </w:div>
                <w:div w:id="1193763724">
                  <w:marLeft w:val="0"/>
                  <w:marRight w:val="0"/>
                  <w:marTop w:val="0"/>
                  <w:marBottom w:val="0"/>
                  <w:divBdr>
                    <w:top w:val="none" w:sz="0" w:space="0" w:color="auto"/>
                    <w:left w:val="none" w:sz="0" w:space="0" w:color="auto"/>
                    <w:bottom w:val="none" w:sz="0" w:space="0" w:color="auto"/>
                    <w:right w:val="none" w:sz="0" w:space="0" w:color="auto"/>
                  </w:divBdr>
                  <w:divsChild>
                    <w:div w:id="1182475105">
                      <w:marLeft w:val="0"/>
                      <w:marRight w:val="0"/>
                      <w:marTop w:val="0"/>
                      <w:marBottom w:val="0"/>
                      <w:divBdr>
                        <w:top w:val="none" w:sz="0" w:space="0" w:color="auto"/>
                        <w:left w:val="none" w:sz="0" w:space="0" w:color="auto"/>
                        <w:bottom w:val="none" w:sz="0" w:space="0" w:color="auto"/>
                        <w:right w:val="none" w:sz="0" w:space="0" w:color="auto"/>
                      </w:divBdr>
                    </w:div>
                  </w:divsChild>
                </w:div>
                <w:div w:id="1199470648">
                  <w:marLeft w:val="0"/>
                  <w:marRight w:val="0"/>
                  <w:marTop w:val="0"/>
                  <w:marBottom w:val="0"/>
                  <w:divBdr>
                    <w:top w:val="none" w:sz="0" w:space="0" w:color="auto"/>
                    <w:left w:val="none" w:sz="0" w:space="0" w:color="auto"/>
                    <w:bottom w:val="none" w:sz="0" w:space="0" w:color="auto"/>
                    <w:right w:val="none" w:sz="0" w:space="0" w:color="auto"/>
                  </w:divBdr>
                  <w:divsChild>
                    <w:div w:id="168715196">
                      <w:marLeft w:val="0"/>
                      <w:marRight w:val="0"/>
                      <w:marTop w:val="0"/>
                      <w:marBottom w:val="0"/>
                      <w:divBdr>
                        <w:top w:val="none" w:sz="0" w:space="0" w:color="auto"/>
                        <w:left w:val="none" w:sz="0" w:space="0" w:color="auto"/>
                        <w:bottom w:val="none" w:sz="0" w:space="0" w:color="auto"/>
                        <w:right w:val="none" w:sz="0" w:space="0" w:color="auto"/>
                      </w:divBdr>
                    </w:div>
                  </w:divsChild>
                </w:div>
                <w:div w:id="1205677784">
                  <w:marLeft w:val="0"/>
                  <w:marRight w:val="0"/>
                  <w:marTop w:val="0"/>
                  <w:marBottom w:val="0"/>
                  <w:divBdr>
                    <w:top w:val="none" w:sz="0" w:space="0" w:color="auto"/>
                    <w:left w:val="none" w:sz="0" w:space="0" w:color="auto"/>
                    <w:bottom w:val="none" w:sz="0" w:space="0" w:color="auto"/>
                    <w:right w:val="none" w:sz="0" w:space="0" w:color="auto"/>
                  </w:divBdr>
                  <w:divsChild>
                    <w:div w:id="1359311565">
                      <w:marLeft w:val="0"/>
                      <w:marRight w:val="0"/>
                      <w:marTop w:val="0"/>
                      <w:marBottom w:val="0"/>
                      <w:divBdr>
                        <w:top w:val="none" w:sz="0" w:space="0" w:color="auto"/>
                        <w:left w:val="none" w:sz="0" w:space="0" w:color="auto"/>
                        <w:bottom w:val="none" w:sz="0" w:space="0" w:color="auto"/>
                        <w:right w:val="none" w:sz="0" w:space="0" w:color="auto"/>
                      </w:divBdr>
                    </w:div>
                  </w:divsChild>
                </w:div>
                <w:div w:id="1210724023">
                  <w:marLeft w:val="0"/>
                  <w:marRight w:val="0"/>
                  <w:marTop w:val="0"/>
                  <w:marBottom w:val="0"/>
                  <w:divBdr>
                    <w:top w:val="none" w:sz="0" w:space="0" w:color="auto"/>
                    <w:left w:val="none" w:sz="0" w:space="0" w:color="auto"/>
                    <w:bottom w:val="none" w:sz="0" w:space="0" w:color="auto"/>
                    <w:right w:val="none" w:sz="0" w:space="0" w:color="auto"/>
                  </w:divBdr>
                  <w:divsChild>
                    <w:div w:id="1654987606">
                      <w:marLeft w:val="0"/>
                      <w:marRight w:val="0"/>
                      <w:marTop w:val="0"/>
                      <w:marBottom w:val="0"/>
                      <w:divBdr>
                        <w:top w:val="none" w:sz="0" w:space="0" w:color="auto"/>
                        <w:left w:val="none" w:sz="0" w:space="0" w:color="auto"/>
                        <w:bottom w:val="none" w:sz="0" w:space="0" w:color="auto"/>
                        <w:right w:val="none" w:sz="0" w:space="0" w:color="auto"/>
                      </w:divBdr>
                    </w:div>
                  </w:divsChild>
                </w:div>
                <w:div w:id="1211452414">
                  <w:marLeft w:val="0"/>
                  <w:marRight w:val="0"/>
                  <w:marTop w:val="0"/>
                  <w:marBottom w:val="0"/>
                  <w:divBdr>
                    <w:top w:val="none" w:sz="0" w:space="0" w:color="auto"/>
                    <w:left w:val="none" w:sz="0" w:space="0" w:color="auto"/>
                    <w:bottom w:val="none" w:sz="0" w:space="0" w:color="auto"/>
                    <w:right w:val="none" w:sz="0" w:space="0" w:color="auto"/>
                  </w:divBdr>
                  <w:divsChild>
                    <w:div w:id="1273587818">
                      <w:marLeft w:val="0"/>
                      <w:marRight w:val="0"/>
                      <w:marTop w:val="0"/>
                      <w:marBottom w:val="0"/>
                      <w:divBdr>
                        <w:top w:val="none" w:sz="0" w:space="0" w:color="auto"/>
                        <w:left w:val="none" w:sz="0" w:space="0" w:color="auto"/>
                        <w:bottom w:val="none" w:sz="0" w:space="0" w:color="auto"/>
                        <w:right w:val="none" w:sz="0" w:space="0" w:color="auto"/>
                      </w:divBdr>
                    </w:div>
                  </w:divsChild>
                </w:div>
                <w:div w:id="1219709132">
                  <w:marLeft w:val="0"/>
                  <w:marRight w:val="0"/>
                  <w:marTop w:val="0"/>
                  <w:marBottom w:val="0"/>
                  <w:divBdr>
                    <w:top w:val="none" w:sz="0" w:space="0" w:color="auto"/>
                    <w:left w:val="none" w:sz="0" w:space="0" w:color="auto"/>
                    <w:bottom w:val="none" w:sz="0" w:space="0" w:color="auto"/>
                    <w:right w:val="none" w:sz="0" w:space="0" w:color="auto"/>
                  </w:divBdr>
                  <w:divsChild>
                    <w:div w:id="1820422587">
                      <w:marLeft w:val="0"/>
                      <w:marRight w:val="0"/>
                      <w:marTop w:val="0"/>
                      <w:marBottom w:val="0"/>
                      <w:divBdr>
                        <w:top w:val="none" w:sz="0" w:space="0" w:color="auto"/>
                        <w:left w:val="none" w:sz="0" w:space="0" w:color="auto"/>
                        <w:bottom w:val="none" w:sz="0" w:space="0" w:color="auto"/>
                        <w:right w:val="none" w:sz="0" w:space="0" w:color="auto"/>
                      </w:divBdr>
                    </w:div>
                  </w:divsChild>
                </w:div>
                <w:div w:id="1220751519">
                  <w:marLeft w:val="0"/>
                  <w:marRight w:val="0"/>
                  <w:marTop w:val="0"/>
                  <w:marBottom w:val="0"/>
                  <w:divBdr>
                    <w:top w:val="none" w:sz="0" w:space="0" w:color="auto"/>
                    <w:left w:val="none" w:sz="0" w:space="0" w:color="auto"/>
                    <w:bottom w:val="none" w:sz="0" w:space="0" w:color="auto"/>
                    <w:right w:val="none" w:sz="0" w:space="0" w:color="auto"/>
                  </w:divBdr>
                  <w:divsChild>
                    <w:div w:id="1878543470">
                      <w:marLeft w:val="0"/>
                      <w:marRight w:val="0"/>
                      <w:marTop w:val="0"/>
                      <w:marBottom w:val="0"/>
                      <w:divBdr>
                        <w:top w:val="none" w:sz="0" w:space="0" w:color="auto"/>
                        <w:left w:val="none" w:sz="0" w:space="0" w:color="auto"/>
                        <w:bottom w:val="none" w:sz="0" w:space="0" w:color="auto"/>
                        <w:right w:val="none" w:sz="0" w:space="0" w:color="auto"/>
                      </w:divBdr>
                    </w:div>
                  </w:divsChild>
                </w:div>
                <w:div w:id="1224870883">
                  <w:marLeft w:val="0"/>
                  <w:marRight w:val="0"/>
                  <w:marTop w:val="0"/>
                  <w:marBottom w:val="0"/>
                  <w:divBdr>
                    <w:top w:val="none" w:sz="0" w:space="0" w:color="auto"/>
                    <w:left w:val="none" w:sz="0" w:space="0" w:color="auto"/>
                    <w:bottom w:val="none" w:sz="0" w:space="0" w:color="auto"/>
                    <w:right w:val="none" w:sz="0" w:space="0" w:color="auto"/>
                  </w:divBdr>
                  <w:divsChild>
                    <w:div w:id="620846228">
                      <w:marLeft w:val="0"/>
                      <w:marRight w:val="0"/>
                      <w:marTop w:val="0"/>
                      <w:marBottom w:val="0"/>
                      <w:divBdr>
                        <w:top w:val="none" w:sz="0" w:space="0" w:color="auto"/>
                        <w:left w:val="none" w:sz="0" w:space="0" w:color="auto"/>
                        <w:bottom w:val="none" w:sz="0" w:space="0" w:color="auto"/>
                        <w:right w:val="none" w:sz="0" w:space="0" w:color="auto"/>
                      </w:divBdr>
                    </w:div>
                  </w:divsChild>
                </w:div>
                <w:div w:id="1230458730">
                  <w:marLeft w:val="0"/>
                  <w:marRight w:val="0"/>
                  <w:marTop w:val="0"/>
                  <w:marBottom w:val="0"/>
                  <w:divBdr>
                    <w:top w:val="none" w:sz="0" w:space="0" w:color="auto"/>
                    <w:left w:val="none" w:sz="0" w:space="0" w:color="auto"/>
                    <w:bottom w:val="none" w:sz="0" w:space="0" w:color="auto"/>
                    <w:right w:val="none" w:sz="0" w:space="0" w:color="auto"/>
                  </w:divBdr>
                  <w:divsChild>
                    <w:div w:id="106631905">
                      <w:marLeft w:val="0"/>
                      <w:marRight w:val="0"/>
                      <w:marTop w:val="0"/>
                      <w:marBottom w:val="0"/>
                      <w:divBdr>
                        <w:top w:val="none" w:sz="0" w:space="0" w:color="auto"/>
                        <w:left w:val="none" w:sz="0" w:space="0" w:color="auto"/>
                        <w:bottom w:val="none" w:sz="0" w:space="0" w:color="auto"/>
                        <w:right w:val="none" w:sz="0" w:space="0" w:color="auto"/>
                      </w:divBdr>
                    </w:div>
                  </w:divsChild>
                </w:div>
                <w:div w:id="1236282906">
                  <w:marLeft w:val="0"/>
                  <w:marRight w:val="0"/>
                  <w:marTop w:val="0"/>
                  <w:marBottom w:val="0"/>
                  <w:divBdr>
                    <w:top w:val="none" w:sz="0" w:space="0" w:color="auto"/>
                    <w:left w:val="none" w:sz="0" w:space="0" w:color="auto"/>
                    <w:bottom w:val="none" w:sz="0" w:space="0" w:color="auto"/>
                    <w:right w:val="none" w:sz="0" w:space="0" w:color="auto"/>
                  </w:divBdr>
                  <w:divsChild>
                    <w:div w:id="1267419713">
                      <w:marLeft w:val="0"/>
                      <w:marRight w:val="0"/>
                      <w:marTop w:val="0"/>
                      <w:marBottom w:val="0"/>
                      <w:divBdr>
                        <w:top w:val="none" w:sz="0" w:space="0" w:color="auto"/>
                        <w:left w:val="none" w:sz="0" w:space="0" w:color="auto"/>
                        <w:bottom w:val="none" w:sz="0" w:space="0" w:color="auto"/>
                        <w:right w:val="none" w:sz="0" w:space="0" w:color="auto"/>
                      </w:divBdr>
                    </w:div>
                  </w:divsChild>
                </w:div>
                <w:div w:id="1244489346">
                  <w:marLeft w:val="0"/>
                  <w:marRight w:val="0"/>
                  <w:marTop w:val="0"/>
                  <w:marBottom w:val="0"/>
                  <w:divBdr>
                    <w:top w:val="none" w:sz="0" w:space="0" w:color="auto"/>
                    <w:left w:val="none" w:sz="0" w:space="0" w:color="auto"/>
                    <w:bottom w:val="none" w:sz="0" w:space="0" w:color="auto"/>
                    <w:right w:val="none" w:sz="0" w:space="0" w:color="auto"/>
                  </w:divBdr>
                  <w:divsChild>
                    <w:div w:id="719793010">
                      <w:marLeft w:val="0"/>
                      <w:marRight w:val="0"/>
                      <w:marTop w:val="0"/>
                      <w:marBottom w:val="0"/>
                      <w:divBdr>
                        <w:top w:val="none" w:sz="0" w:space="0" w:color="auto"/>
                        <w:left w:val="none" w:sz="0" w:space="0" w:color="auto"/>
                        <w:bottom w:val="none" w:sz="0" w:space="0" w:color="auto"/>
                        <w:right w:val="none" w:sz="0" w:space="0" w:color="auto"/>
                      </w:divBdr>
                    </w:div>
                  </w:divsChild>
                </w:div>
                <w:div w:id="1252858462">
                  <w:marLeft w:val="0"/>
                  <w:marRight w:val="0"/>
                  <w:marTop w:val="0"/>
                  <w:marBottom w:val="0"/>
                  <w:divBdr>
                    <w:top w:val="none" w:sz="0" w:space="0" w:color="auto"/>
                    <w:left w:val="none" w:sz="0" w:space="0" w:color="auto"/>
                    <w:bottom w:val="none" w:sz="0" w:space="0" w:color="auto"/>
                    <w:right w:val="none" w:sz="0" w:space="0" w:color="auto"/>
                  </w:divBdr>
                  <w:divsChild>
                    <w:div w:id="954754134">
                      <w:marLeft w:val="0"/>
                      <w:marRight w:val="0"/>
                      <w:marTop w:val="0"/>
                      <w:marBottom w:val="0"/>
                      <w:divBdr>
                        <w:top w:val="none" w:sz="0" w:space="0" w:color="auto"/>
                        <w:left w:val="none" w:sz="0" w:space="0" w:color="auto"/>
                        <w:bottom w:val="none" w:sz="0" w:space="0" w:color="auto"/>
                        <w:right w:val="none" w:sz="0" w:space="0" w:color="auto"/>
                      </w:divBdr>
                    </w:div>
                  </w:divsChild>
                </w:div>
                <w:div w:id="1254775827">
                  <w:marLeft w:val="0"/>
                  <w:marRight w:val="0"/>
                  <w:marTop w:val="0"/>
                  <w:marBottom w:val="0"/>
                  <w:divBdr>
                    <w:top w:val="none" w:sz="0" w:space="0" w:color="auto"/>
                    <w:left w:val="none" w:sz="0" w:space="0" w:color="auto"/>
                    <w:bottom w:val="none" w:sz="0" w:space="0" w:color="auto"/>
                    <w:right w:val="none" w:sz="0" w:space="0" w:color="auto"/>
                  </w:divBdr>
                  <w:divsChild>
                    <w:div w:id="135227431">
                      <w:marLeft w:val="0"/>
                      <w:marRight w:val="0"/>
                      <w:marTop w:val="0"/>
                      <w:marBottom w:val="0"/>
                      <w:divBdr>
                        <w:top w:val="none" w:sz="0" w:space="0" w:color="auto"/>
                        <w:left w:val="none" w:sz="0" w:space="0" w:color="auto"/>
                        <w:bottom w:val="none" w:sz="0" w:space="0" w:color="auto"/>
                        <w:right w:val="none" w:sz="0" w:space="0" w:color="auto"/>
                      </w:divBdr>
                    </w:div>
                  </w:divsChild>
                </w:div>
                <w:div w:id="1267425086">
                  <w:marLeft w:val="0"/>
                  <w:marRight w:val="0"/>
                  <w:marTop w:val="0"/>
                  <w:marBottom w:val="0"/>
                  <w:divBdr>
                    <w:top w:val="none" w:sz="0" w:space="0" w:color="auto"/>
                    <w:left w:val="none" w:sz="0" w:space="0" w:color="auto"/>
                    <w:bottom w:val="none" w:sz="0" w:space="0" w:color="auto"/>
                    <w:right w:val="none" w:sz="0" w:space="0" w:color="auto"/>
                  </w:divBdr>
                  <w:divsChild>
                    <w:div w:id="1565525611">
                      <w:marLeft w:val="0"/>
                      <w:marRight w:val="0"/>
                      <w:marTop w:val="0"/>
                      <w:marBottom w:val="0"/>
                      <w:divBdr>
                        <w:top w:val="none" w:sz="0" w:space="0" w:color="auto"/>
                        <w:left w:val="none" w:sz="0" w:space="0" w:color="auto"/>
                        <w:bottom w:val="none" w:sz="0" w:space="0" w:color="auto"/>
                        <w:right w:val="none" w:sz="0" w:space="0" w:color="auto"/>
                      </w:divBdr>
                    </w:div>
                  </w:divsChild>
                </w:div>
                <w:div w:id="1271623191">
                  <w:marLeft w:val="0"/>
                  <w:marRight w:val="0"/>
                  <w:marTop w:val="0"/>
                  <w:marBottom w:val="0"/>
                  <w:divBdr>
                    <w:top w:val="none" w:sz="0" w:space="0" w:color="auto"/>
                    <w:left w:val="none" w:sz="0" w:space="0" w:color="auto"/>
                    <w:bottom w:val="none" w:sz="0" w:space="0" w:color="auto"/>
                    <w:right w:val="none" w:sz="0" w:space="0" w:color="auto"/>
                  </w:divBdr>
                  <w:divsChild>
                    <w:div w:id="718091793">
                      <w:marLeft w:val="0"/>
                      <w:marRight w:val="0"/>
                      <w:marTop w:val="0"/>
                      <w:marBottom w:val="0"/>
                      <w:divBdr>
                        <w:top w:val="none" w:sz="0" w:space="0" w:color="auto"/>
                        <w:left w:val="none" w:sz="0" w:space="0" w:color="auto"/>
                        <w:bottom w:val="none" w:sz="0" w:space="0" w:color="auto"/>
                        <w:right w:val="none" w:sz="0" w:space="0" w:color="auto"/>
                      </w:divBdr>
                    </w:div>
                  </w:divsChild>
                </w:div>
                <w:div w:id="1273778198">
                  <w:marLeft w:val="0"/>
                  <w:marRight w:val="0"/>
                  <w:marTop w:val="0"/>
                  <w:marBottom w:val="0"/>
                  <w:divBdr>
                    <w:top w:val="none" w:sz="0" w:space="0" w:color="auto"/>
                    <w:left w:val="none" w:sz="0" w:space="0" w:color="auto"/>
                    <w:bottom w:val="none" w:sz="0" w:space="0" w:color="auto"/>
                    <w:right w:val="none" w:sz="0" w:space="0" w:color="auto"/>
                  </w:divBdr>
                  <w:divsChild>
                    <w:div w:id="94176468">
                      <w:marLeft w:val="0"/>
                      <w:marRight w:val="0"/>
                      <w:marTop w:val="0"/>
                      <w:marBottom w:val="0"/>
                      <w:divBdr>
                        <w:top w:val="none" w:sz="0" w:space="0" w:color="auto"/>
                        <w:left w:val="none" w:sz="0" w:space="0" w:color="auto"/>
                        <w:bottom w:val="none" w:sz="0" w:space="0" w:color="auto"/>
                        <w:right w:val="none" w:sz="0" w:space="0" w:color="auto"/>
                      </w:divBdr>
                    </w:div>
                  </w:divsChild>
                </w:div>
                <w:div w:id="1275212585">
                  <w:marLeft w:val="0"/>
                  <w:marRight w:val="0"/>
                  <w:marTop w:val="0"/>
                  <w:marBottom w:val="0"/>
                  <w:divBdr>
                    <w:top w:val="none" w:sz="0" w:space="0" w:color="auto"/>
                    <w:left w:val="none" w:sz="0" w:space="0" w:color="auto"/>
                    <w:bottom w:val="none" w:sz="0" w:space="0" w:color="auto"/>
                    <w:right w:val="none" w:sz="0" w:space="0" w:color="auto"/>
                  </w:divBdr>
                  <w:divsChild>
                    <w:div w:id="1155296696">
                      <w:marLeft w:val="0"/>
                      <w:marRight w:val="0"/>
                      <w:marTop w:val="0"/>
                      <w:marBottom w:val="0"/>
                      <w:divBdr>
                        <w:top w:val="none" w:sz="0" w:space="0" w:color="auto"/>
                        <w:left w:val="none" w:sz="0" w:space="0" w:color="auto"/>
                        <w:bottom w:val="none" w:sz="0" w:space="0" w:color="auto"/>
                        <w:right w:val="none" w:sz="0" w:space="0" w:color="auto"/>
                      </w:divBdr>
                    </w:div>
                  </w:divsChild>
                </w:div>
                <w:div w:id="1285503765">
                  <w:marLeft w:val="0"/>
                  <w:marRight w:val="0"/>
                  <w:marTop w:val="0"/>
                  <w:marBottom w:val="0"/>
                  <w:divBdr>
                    <w:top w:val="none" w:sz="0" w:space="0" w:color="auto"/>
                    <w:left w:val="none" w:sz="0" w:space="0" w:color="auto"/>
                    <w:bottom w:val="none" w:sz="0" w:space="0" w:color="auto"/>
                    <w:right w:val="none" w:sz="0" w:space="0" w:color="auto"/>
                  </w:divBdr>
                  <w:divsChild>
                    <w:div w:id="212425626">
                      <w:marLeft w:val="0"/>
                      <w:marRight w:val="0"/>
                      <w:marTop w:val="0"/>
                      <w:marBottom w:val="0"/>
                      <w:divBdr>
                        <w:top w:val="none" w:sz="0" w:space="0" w:color="auto"/>
                        <w:left w:val="none" w:sz="0" w:space="0" w:color="auto"/>
                        <w:bottom w:val="none" w:sz="0" w:space="0" w:color="auto"/>
                        <w:right w:val="none" w:sz="0" w:space="0" w:color="auto"/>
                      </w:divBdr>
                    </w:div>
                  </w:divsChild>
                </w:div>
                <w:div w:id="1288782668">
                  <w:marLeft w:val="0"/>
                  <w:marRight w:val="0"/>
                  <w:marTop w:val="0"/>
                  <w:marBottom w:val="0"/>
                  <w:divBdr>
                    <w:top w:val="none" w:sz="0" w:space="0" w:color="auto"/>
                    <w:left w:val="none" w:sz="0" w:space="0" w:color="auto"/>
                    <w:bottom w:val="none" w:sz="0" w:space="0" w:color="auto"/>
                    <w:right w:val="none" w:sz="0" w:space="0" w:color="auto"/>
                  </w:divBdr>
                  <w:divsChild>
                    <w:div w:id="878665760">
                      <w:marLeft w:val="0"/>
                      <w:marRight w:val="0"/>
                      <w:marTop w:val="0"/>
                      <w:marBottom w:val="0"/>
                      <w:divBdr>
                        <w:top w:val="none" w:sz="0" w:space="0" w:color="auto"/>
                        <w:left w:val="none" w:sz="0" w:space="0" w:color="auto"/>
                        <w:bottom w:val="none" w:sz="0" w:space="0" w:color="auto"/>
                        <w:right w:val="none" w:sz="0" w:space="0" w:color="auto"/>
                      </w:divBdr>
                    </w:div>
                  </w:divsChild>
                </w:div>
                <w:div w:id="1295254380">
                  <w:marLeft w:val="0"/>
                  <w:marRight w:val="0"/>
                  <w:marTop w:val="0"/>
                  <w:marBottom w:val="0"/>
                  <w:divBdr>
                    <w:top w:val="none" w:sz="0" w:space="0" w:color="auto"/>
                    <w:left w:val="none" w:sz="0" w:space="0" w:color="auto"/>
                    <w:bottom w:val="none" w:sz="0" w:space="0" w:color="auto"/>
                    <w:right w:val="none" w:sz="0" w:space="0" w:color="auto"/>
                  </w:divBdr>
                  <w:divsChild>
                    <w:div w:id="386992671">
                      <w:marLeft w:val="0"/>
                      <w:marRight w:val="0"/>
                      <w:marTop w:val="0"/>
                      <w:marBottom w:val="0"/>
                      <w:divBdr>
                        <w:top w:val="none" w:sz="0" w:space="0" w:color="auto"/>
                        <w:left w:val="none" w:sz="0" w:space="0" w:color="auto"/>
                        <w:bottom w:val="none" w:sz="0" w:space="0" w:color="auto"/>
                        <w:right w:val="none" w:sz="0" w:space="0" w:color="auto"/>
                      </w:divBdr>
                    </w:div>
                  </w:divsChild>
                </w:div>
                <w:div w:id="1320958257">
                  <w:marLeft w:val="0"/>
                  <w:marRight w:val="0"/>
                  <w:marTop w:val="0"/>
                  <w:marBottom w:val="0"/>
                  <w:divBdr>
                    <w:top w:val="none" w:sz="0" w:space="0" w:color="auto"/>
                    <w:left w:val="none" w:sz="0" w:space="0" w:color="auto"/>
                    <w:bottom w:val="none" w:sz="0" w:space="0" w:color="auto"/>
                    <w:right w:val="none" w:sz="0" w:space="0" w:color="auto"/>
                  </w:divBdr>
                  <w:divsChild>
                    <w:div w:id="83499429">
                      <w:marLeft w:val="0"/>
                      <w:marRight w:val="0"/>
                      <w:marTop w:val="0"/>
                      <w:marBottom w:val="0"/>
                      <w:divBdr>
                        <w:top w:val="none" w:sz="0" w:space="0" w:color="auto"/>
                        <w:left w:val="none" w:sz="0" w:space="0" w:color="auto"/>
                        <w:bottom w:val="none" w:sz="0" w:space="0" w:color="auto"/>
                        <w:right w:val="none" w:sz="0" w:space="0" w:color="auto"/>
                      </w:divBdr>
                    </w:div>
                  </w:divsChild>
                </w:div>
                <w:div w:id="1323125127">
                  <w:marLeft w:val="0"/>
                  <w:marRight w:val="0"/>
                  <w:marTop w:val="0"/>
                  <w:marBottom w:val="0"/>
                  <w:divBdr>
                    <w:top w:val="none" w:sz="0" w:space="0" w:color="auto"/>
                    <w:left w:val="none" w:sz="0" w:space="0" w:color="auto"/>
                    <w:bottom w:val="none" w:sz="0" w:space="0" w:color="auto"/>
                    <w:right w:val="none" w:sz="0" w:space="0" w:color="auto"/>
                  </w:divBdr>
                  <w:divsChild>
                    <w:div w:id="2071145250">
                      <w:marLeft w:val="0"/>
                      <w:marRight w:val="0"/>
                      <w:marTop w:val="0"/>
                      <w:marBottom w:val="0"/>
                      <w:divBdr>
                        <w:top w:val="none" w:sz="0" w:space="0" w:color="auto"/>
                        <w:left w:val="none" w:sz="0" w:space="0" w:color="auto"/>
                        <w:bottom w:val="none" w:sz="0" w:space="0" w:color="auto"/>
                        <w:right w:val="none" w:sz="0" w:space="0" w:color="auto"/>
                      </w:divBdr>
                    </w:div>
                  </w:divsChild>
                </w:div>
                <w:div w:id="1325668002">
                  <w:marLeft w:val="0"/>
                  <w:marRight w:val="0"/>
                  <w:marTop w:val="0"/>
                  <w:marBottom w:val="0"/>
                  <w:divBdr>
                    <w:top w:val="none" w:sz="0" w:space="0" w:color="auto"/>
                    <w:left w:val="none" w:sz="0" w:space="0" w:color="auto"/>
                    <w:bottom w:val="none" w:sz="0" w:space="0" w:color="auto"/>
                    <w:right w:val="none" w:sz="0" w:space="0" w:color="auto"/>
                  </w:divBdr>
                  <w:divsChild>
                    <w:div w:id="2019036403">
                      <w:marLeft w:val="0"/>
                      <w:marRight w:val="0"/>
                      <w:marTop w:val="0"/>
                      <w:marBottom w:val="0"/>
                      <w:divBdr>
                        <w:top w:val="none" w:sz="0" w:space="0" w:color="auto"/>
                        <w:left w:val="none" w:sz="0" w:space="0" w:color="auto"/>
                        <w:bottom w:val="none" w:sz="0" w:space="0" w:color="auto"/>
                        <w:right w:val="none" w:sz="0" w:space="0" w:color="auto"/>
                      </w:divBdr>
                    </w:div>
                  </w:divsChild>
                </w:div>
                <w:div w:id="1325861880">
                  <w:marLeft w:val="0"/>
                  <w:marRight w:val="0"/>
                  <w:marTop w:val="0"/>
                  <w:marBottom w:val="0"/>
                  <w:divBdr>
                    <w:top w:val="none" w:sz="0" w:space="0" w:color="auto"/>
                    <w:left w:val="none" w:sz="0" w:space="0" w:color="auto"/>
                    <w:bottom w:val="none" w:sz="0" w:space="0" w:color="auto"/>
                    <w:right w:val="none" w:sz="0" w:space="0" w:color="auto"/>
                  </w:divBdr>
                  <w:divsChild>
                    <w:div w:id="1347905438">
                      <w:marLeft w:val="0"/>
                      <w:marRight w:val="0"/>
                      <w:marTop w:val="0"/>
                      <w:marBottom w:val="0"/>
                      <w:divBdr>
                        <w:top w:val="none" w:sz="0" w:space="0" w:color="auto"/>
                        <w:left w:val="none" w:sz="0" w:space="0" w:color="auto"/>
                        <w:bottom w:val="none" w:sz="0" w:space="0" w:color="auto"/>
                        <w:right w:val="none" w:sz="0" w:space="0" w:color="auto"/>
                      </w:divBdr>
                    </w:div>
                  </w:divsChild>
                </w:div>
                <w:div w:id="1349017632">
                  <w:marLeft w:val="0"/>
                  <w:marRight w:val="0"/>
                  <w:marTop w:val="0"/>
                  <w:marBottom w:val="0"/>
                  <w:divBdr>
                    <w:top w:val="none" w:sz="0" w:space="0" w:color="auto"/>
                    <w:left w:val="none" w:sz="0" w:space="0" w:color="auto"/>
                    <w:bottom w:val="none" w:sz="0" w:space="0" w:color="auto"/>
                    <w:right w:val="none" w:sz="0" w:space="0" w:color="auto"/>
                  </w:divBdr>
                  <w:divsChild>
                    <w:div w:id="996956458">
                      <w:marLeft w:val="0"/>
                      <w:marRight w:val="0"/>
                      <w:marTop w:val="0"/>
                      <w:marBottom w:val="0"/>
                      <w:divBdr>
                        <w:top w:val="none" w:sz="0" w:space="0" w:color="auto"/>
                        <w:left w:val="none" w:sz="0" w:space="0" w:color="auto"/>
                        <w:bottom w:val="none" w:sz="0" w:space="0" w:color="auto"/>
                        <w:right w:val="none" w:sz="0" w:space="0" w:color="auto"/>
                      </w:divBdr>
                    </w:div>
                  </w:divsChild>
                </w:div>
                <w:div w:id="1364288164">
                  <w:marLeft w:val="0"/>
                  <w:marRight w:val="0"/>
                  <w:marTop w:val="0"/>
                  <w:marBottom w:val="0"/>
                  <w:divBdr>
                    <w:top w:val="none" w:sz="0" w:space="0" w:color="auto"/>
                    <w:left w:val="none" w:sz="0" w:space="0" w:color="auto"/>
                    <w:bottom w:val="none" w:sz="0" w:space="0" w:color="auto"/>
                    <w:right w:val="none" w:sz="0" w:space="0" w:color="auto"/>
                  </w:divBdr>
                  <w:divsChild>
                    <w:div w:id="234121756">
                      <w:marLeft w:val="0"/>
                      <w:marRight w:val="0"/>
                      <w:marTop w:val="0"/>
                      <w:marBottom w:val="0"/>
                      <w:divBdr>
                        <w:top w:val="none" w:sz="0" w:space="0" w:color="auto"/>
                        <w:left w:val="none" w:sz="0" w:space="0" w:color="auto"/>
                        <w:bottom w:val="none" w:sz="0" w:space="0" w:color="auto"/>
                        <w:right w:val="none" w:sz="0" w:space="0" w:color="auto"/>
                      </w:divBdr>
                    </w:div>
                  </w:divsChild>
                </w:div>
                <w:div w:id="1376585505">
                  <w:marLeft w:val="0"/>
                  <w:marRight w:val="0"/>
                  <w:marTop w:val="0"/>
                  <w:marBottom w:val="0"/>
                  <w:divBdr>
                    <w:top w:val="none" w:sz="0" w:space="0" w:color="auto"/>
                    <w:left w:val="none" w:sz="0" w:space="0" w:color="auto"/>
                    <w:bottom w:val="none" w:sz="0" w:space="0" w:color="auto"/>
                    <w:right w:val="none" w:sz="0" w:space="0" w:color="auto"/>
                  </w:divBdr>
                  <w:divsChild>
                    <w:div w:id="114101408">
                      <w:marLeft w:val="0"/>
                      <w:marRight w:val="0"/>
                      <w:marTop w:val="0"/>
                      <w:marBottom w:val="0"/>
                      <w:divBdr>
                        <w:top w:val="none" w:sz="0" w:space="0" w:color="auto"/>
                        <w:left w:val="none" w:sz="0" w:space="0" w:color="auto"/>
                        <w:bottom w:val="none" w:sz="0" w:space="0" w:color="auto"/>
                        <w:right w:val="none" w:sz="0" w:space="0" w:color="auto"/>
                      </w:divBdr>
                    </w:div>
                  </w:divsChild>
                </w:div>
                <w:div w:id="1379433841">
                  <w:marLeft w:val="0"/>
                  <w:marRight w:val="0"/>
                  <w:marTop w:val="0"/>
                  <w:marBottom w:val="0"/>
                  <w:divBdr>
                    <w:top w:val="none" w:sz="0" w:space="0" w:color="auto"/>
                    <w:left w:val="none" w:sz="0" w:space="0" w:color="auto"/>
                    <w:bottom w:val="none" w:sz="0" w:space="0" w:color="auto"/>
                    <w:right w:val="none" w:sz="0" w:space="0" w:color="auto"/>
                  </w:divBdr>
                  <w:divsChild>
                    <w:div w:id="797455439">
                      <w:marLeft w:val="0"/>
                      <w:marRight w:val="0"/>
                      <w:marTop w:val="0"/>
                      <w:marBottom w:val="0"/>
                      <w:divBdr>
                        <w:top w:val="none" w:sz="0" w:space="0" w:color="auto"/>
                        <w:left w:val="none" w:sz="0" w:space="0" w:color="auto"/>
                        <w:bottom w:val="none" w:sz="0" w:space="0" w:color="auto"/>
                        <w:right w:val="none" w:sz="0" w:space="0" w:color="auto"/>
                      </w:divBdr>
                    </w:div>
                  </w:divsChild>
                </w:div>
                <w:div w:id="1380664314">
                  <w:marLeft w:val="0"/>
                  <w:marRight w:val="0"/>
                  <w:marTop w:val="0"/>
                  <w:marBottom w:val="0"/>
                  <w:divBdr>
                    <w:top w:val="none" w:sz="0" w:space="0" w:color="auto"/>
                    <w:left w:val="none" w:sz="0" w:space="0" w:color="auto"/>
                    <w:bottom w:val="none" w:sz="0" w:space="0" w:color="auto"/>
                    <w:right w:val="none" w:sz="0" w:space="0" w:color="auto"/>
                  </w:divBdr>
                  <w:divsChild>
                    <w:div w:id="1464689800">
                      <w:marLeft w:val="0"/>
                      <w:marRight w:val="0"/>
                      <w:marTop w:val="0"/>
                      <w:marBottom w:val="0"/>
                      <w:divBdr>
                        <w:top w:val="none" w:sz="0" w:space="0" w:color="auto"/>
                        <w:left w:val="none" w:sz="0" w:space="0" w:color="auto"/>
                        <w:bottom w:val="none" w:sz="0" w:space="0" w:color="auto"/>
                        <w:right w:val="none" w:sz="0" w:space="0" w:color="auto"/>
                      </w:divBdr>
                    </w:div>
                  </w:divsChild>
                </w:div>
                <w:div w:id="1380670241">
                  <w:marLeft w:val="0"/>
                  <w:marRight w:val="0"/>
                  <w:marTop w:val="0"/>
                  <w:marBottom w:val="0"/>
                  <w:divBdr>
                    <w:top w:val="none" w:sz="0" w:space="0" w:color="auto"/>
                    <w:left w:val="none" w:sz="0" w:space="0" w:color="auto"/>
                    <w:bottom w:val="none" w:sz="0" w:space="0" w:color="auto"/>
                    <w:right w:val="none" w:sz="0" w:space="0" w:color="auto"/>
                  </w:divBdr>
                  <w:divsChild>
                    <w:div w:id="62917551">
                      <w:marLeft w:val="0"/>
                      <w:marRight w:val="0"/>
                      <w:marTop w:val="0"/>
                      <w:marBottom w:val="0"/>
                      <w:divBdr>
                        <w:top w:val="none" w:sz="0" w:space="0" w:color="auto"/>
                        <w:left w:val="none" w:sz="0" w:space="0" w:color="auto"/>
                        <w:bottom w:val="none" w:sz="0" w:space="0" w:color="auto"/>
                        <w:right w:val="none" w:sz="0" w:space="0" w:color="auto"/>
                      </w:divBdr>
                    </w:div>
                  </w:divsChild>
                </w:div>
                <w:div w:id="1395545071">
                  <w:marLeft w:val="0"/>
                  <w:marRight w:val="0"/>
                  <w:marTop w:val="0"/>
                  <w:marBottom w:val="0"/>
                  <w:divBdr>
                    <w:top w:val="none" w:sz="0" w:space="0" w:color="auto"/>
                    <w:left w:val="none" w:sz="0" w:space="0" w:color="auto"/>
                    <w:bottom w:val="none" w:sz="0" w:space="0" w:color="auto"/>
                    <w:right w:val="none" w:sz="0" w:space="0" w:color="auto"/>
                  </w:divBdr>
                  <w:divsChild>
                    <w:div w:id="155805272">
                      <w:marLeft w:val="0"/>
                      <w:marRight w:val="0"/>
                      <w:marTop w:val="0"/>
                      <w:marBottom w:val="0"/>
                      <w:divBdr>
                        <w:top w:val="none" w:sz="0" w:space="0" w:color="auto"/>
                        <w:left w:val="none" w:sz="0" w:space="0" w:color="auto"/>
                        <w:bottom w:val="none" w:sz="0" w:space="0" w:color="auto"/>
                        <w:right w:val="none" w:sz="0" w:space="0" w:color="auto"/>
                      </w:divBdr>
                    </w:div>
                  </w:divsChild>
                </w:div>
                <w:div w:id="1404642527">
                  <w:marLeft w:val="0"/>
                  <w:marRight w:val="0"/>
                  <w:marTop w:val="0"/>
                  <w:marBottom w:val="0"/>
                  <w:divBdr>
                    <w:top w:val="none" w:sz="0" w:space="0" w:color="auto"/>
                    <w:left w:val="none" w:sz="0" w:space="0" w:color="auto"/>
                    <w:bottom w:val="none" w:sz="0" w:space="0" w:color="auto"/>
                    <w:right w:val="none" w:sz="0" w:space="0" w:color="auto"/>
                  </w:divBdr>
                  <w:divsChild>
                    <w:div w:id="1369255237">
                      <w:marLeft w:val="0"/>
                      <w:marRight w:val="0"/>
                      <w:marTop w:val="0"/>
                      <w:marBottom w:val="0"/>
                      <w:divBdr>
                        <w:top w:val="none" w:sz="0" w:space="0" w:color="auto"/>
                        <w:left w:val="none" w:sz="0" w:space="0" w:color="auto"/>
                        <w:bottom w:val="none" w:sz="0" w:space="0" w:color="auto"/>
                        <w:right w:val="none" w:sz="0" w:space="0" w:color="auto"/>
                      </w:divBdr>
                    </w:div>
                  </w:divsChild>
                </w:div>
                <w:div w:id="1413501127">
                  <w:marLeft w:val="0"/>
                  <w:marRight w:val="0"/>
                  <w:marTop w:val="0"/>
                  <w:marBottom w:val="0"/>
                  <w:divBdr>
                    <w:top w:val="none" w:sz="0" w:space="0" w:color="auto"/>
                    <w:left w:val="none" w:sz="0" w:space="0" w:color="auto"/>
                    <w:bottom w:val="none" w:sz="0" w:space="0" w:color="auto"/>
                    <w:right w:val="none" w:sz="0" w:space="0" w:color="auto"/>
                  </w:divBdr>
                  <w:divsChild>
                    <w:div w:id="1312563471">
                      <w:marLeft w:val="0"/>
                      <w:marRight w:val="0"/>
                      <w:marTop w:val="0"/>
                      <w:marBottom w:val="0"/>
                      <w:divBdr>
                        <w:top w:val="none" w:sz="0" w:space="0" w:color="auto"/>
                        <w:left w:val="none" w:sz="0" w:space="0" w:color="auto"/>
                        <w:bottom w:val="none" w:sz="0" w:space="0" w:color="auto"/>
                        <w:right w:val="none" w:sz="0" w:space="0" w:color="auto"/>
                      </w:divBdr>
                    </w:div>
                  </w:divsChild>
                </w:div>
                <w:div w:id="1415323375">
                  <w:marLeft w:val="0"/>
                  <w:marRight w:val="0"/>
                  <w:marTop w:val="0"/>
                  <w:marBottom w:val="0"/>
                  <w:divBdr>
                    <w:top w:val="none" w:sz="0" w:space="0" w:color="auto"/>
                    <w:left w:val="none" w:sz="0" w:space="0" w:color="auto"/>
                    <w:bottom w:val="none" w:sz="0" w:space="0" w:color="auto"/>
                    <w:right w:val="none" w:sz="0" w:space="0" w:color="auto"/>
                  </w:divBdr>
                  <w:divsChild>
                    <w:div w:id="1002464689">
                      <w:marLeft w:val="0"/>
                      <w:marRight w:val="0"/>
                      <w:marTop w:val="0"/>
                      <w:marBottom w:val="0"/>
                      <w:divBdr>
                        <w:top w:val="none" w:sz="0" w:space="0" w:color="auto"/>
                        <w:left w:val="none" w:sz="0" w:space="0" w:color="auto"/>
                        <w:bottom w:val="none" w:sz="0" w:space="0" w:color="auto"/>
                        <w:right w:val="none" w:sz="0" w:space="0" w:color="auto"/>
                      </w:divBdr>
                    </w:div>
                  </w:divsChild>
                </w:div>
                <w:div w:id="1417361141">
                  <w:marLeft w:val="0"/>
                  <w:marRight w:val="0"/>
                  <w:marTop w:val="0"/>
                  <w:marBottom w:val="0"/>
                  <w:divBdr>
                    <w:top w:val="none" w:sz="0" w:space="0" w:color="auto"/>
                    <w:left w:val="none" w:sz="0" w:space="0" w:color="auto"/>
                    <w:bottom w:val="none" w:sz="0" w:space="0" w:color="auto"/>
                    <w:right w:val="none" w:sz="0" w:space="0" w:color="auto"/>
                  </w:divBdr>
                  <w:divsChild>
                    <w:div w:id="1897155875">
                      <w:marLeft w:val="0"/>
                      <w:marRight w:val="0"/>
                      <w:marTop w:val="0"/>
                      <w:marBottom w:val="0"/>
                      <w:divBdr>
                        <w:top w:val="none" w:sz="0" w:space="0" w:color="auto"/>
                        <w:left w:val="none" w:sz="0" w:space="0" w:color="auto"/>
                        <w:bottom w:val="none" w:sz="0" w:space="0" w:color="auto"/>
                        <w:right w:val="none" w:sz="0" w:space="0" w:color="auto"/>
                      </w:divBdr>
                    </w:div>
                  </w:divsChild>
                </w:div>
                <w:div w:id="1434280770">
                  <w:marLeft w:val="0"/>
                  <w:marRight w:val="0"/>
                  <w:marTop w:val="0"/>
                  <w:marBottom w:val="0"/>
                  <w:divBdr>
                    <w:top w:val="none" w:sz="0" w:space="0" w:color="auto"/>
                    <w:left w:val="none" w:sz="0" w:space="0" w:color="auto"/>
                    <w:bottom w:val="none" w:sz="0" w:space="0" w:color="auto"/>
                    <w:right w:val="none" w:sz="0" w:space="0" w:color="auto"/>
                  </w:divBdr>
                  <w:divsChild>
                    <w:div w:id="1673293540">
                      <w:marLeft w:val="0"/>
                      <w:marRight w:val="0"/>
                      <w:marTop w:val="0"/>
                      <w:marBottom w:val="0"/>
                      <w:divBdr>
                        <w:top w:val="none" w:sz="0" w:space="0" w:color="auto"/>
                        <w:left w:val="none" w:sz="0" w:space="0" w:color="auto"/>
                        <w:bottom w:val="none" w:sz="0" w:space="0" w:color="auto"/>
                        <w:right w:val="none" w:sz="0" w:space="0" w:color="auto"/>
                      </w:divBdr>
                    </w:div>
                  </w:divsChild>
                </w:div>
                <w:div w:id="1438982389">
                  <w:marLeft w:val="0"/>
                  <w:marRight w:val="0"/>
                  <w:marTop w:val="0"/>
                  <w:marBottom w:val="0"/>
                  <w:divBdr>
                    <w:top w:val="none" w:sz="0" w:space="0" w:color="auto"/>
                    <w:left w:val="none" w:sz="0" w:space="0" w:color="auto"/>
                    <w:bottom w:val="none" w:sz="0" w:space="0" w:color="auto"/>
                    <w:right w:val="none" w:sz="0" w:space="0" w:color="auto"/>
                  </w:divBdr>
                  <w:divsChild>
                    <w:div w:id="891230669">
                      <w:marLeft w:val="0"/>
                      <w:marRight w:val="0"/>
                      <w:marTop w:val="0"/>
                      <w:marBottom w:val="0"/>
                      <w:divBdr>
                        <w:top w:val="none" w:sz="0" w:space="0" w:color="auto"/>
                        <w:left w:val="none" w:sz="0" w:space="0" w:color="auto"/>
                        <w:bottom w:val="none" w:sz="0" w:space="0" w:color="auto"/>
                        <w:right w:val="none" w:sz="0" w:space="0" w:color="auto"/>
                      </w:divBdr>
                    </w:div>
                  </w:divsChild>
                </w:div>
                <w:div w:id="1446387429">
                  <w:marLeft w:val="0"/>
                  <w:marRight w:val="0"/>
                  <w:marTop w:val="0"/>
                  <w:marBottom w:val="0"/>
                  <w:divBdr>
                    <w:top w:val="none" w:sz="0" w:space="0" w:color="auto"/>
                    <w:left w:val="none" w:sz="0" w:space="0" w:color="auto"/>
                    <w:bottom w:val="none" w:sz="0" w:space="0" w:color="auto"/>
                    <w:right w:val="none" w:sz="0" w:space="0" w:color="auto"/>
                  </w:divBdr>
                  <w:divsChild>
                    <w:div w:id="41442212">
                      <w:marLeft w:val="0"/>
                      <w:marRight w:val="0"/>
                      <w:marTop w:val="0"/>
                      <w:marBottom w:val="0"/>
                      <w:divBdr>
                        <w:top w:val="none" w:sz="0" w:space="0" w:color="auto"/>
                        <w:left w:val="none" w:sz="0" w:space="0" w:color="auto"/>
                        <w:bottom w:val="none" w:sz="0" w:space="0" w:color="auto"/>
                        <w:right w:val="none" w:sz="0" w:space="0" w:color="auto"/>
                      </w:divBdr>
                    </w:div>
                  </w:divsChild>
                </w:div>
                <w:div w:id="1454252682">
                  <w:marLeft w:val="0"/>
                  <w:marRight w:val="0"/>
                  <w:marTop w:val="0"/>
                  <w:marBottom w:val="0"/>
                  <w:divBdr>
                    <w:top w:val="none" w:sz="0" w:space="0" w:color="auto"/>
                    <w:left w:val="none" w:sz="0" w:space="0" w:color="auto"/>
                    <w:bottom w:val="none" w:sz="0" w:space="0" w:color="auto"/>
                    <w:right w:val="none" w:sz="0" w:space="0" w:color="auto"/>
                  </w:divBdr>
                  <w:divsChild>
                    <w:div w:id="1435980001">
                      <w:marLeft w:val="0"/>
                      <w:marRight w:val="0"/>
                      <w:marTop w:val="0"/>
                      <w:marBottom w:val="0"/>
                      <w:divBdr>
                        <w:top w:val="none" w:sz="0" w:space="0" w:color="auto"/>
                        <w:left w:val="none" w:sz="0" w:space="0" w:color="auto"/>
                        <w:bottom w:val="none" w:sz="0" w:space="0" w:color="auto"/>
                        <w:right w:val="none" w:sz="0" w:space="0" w:color="auto"/>
                      </w:divBdr>
                    </w:div>
                  </w:divsChild>
                </w:div>
                <w:div w:id="1456828120">
                  <w:marLeft w:val="0"/>
                  <w:marRight w:val="0"/>
                  <w:marTop w:val="0"/>
                  <w:marBottom w:val="0"/>
                  <w:divBdr>
                    <w:top w:val="none" w:sz="0" w:space="0" w:color="auto"/>
                    <w:left w:val="none" w:sz="0" w:space="0" w:color="auto"/>
                    <w:bottom w:val="none" w:sz="0" w:space="0" w:color="auto"/>
                    <w:right w:val="none" w:sz="0" w:space="0" w:color="auto"/>
                  </w:divBdr>
                  <w:divsChild>
                    <w:div w:id="1242373765">
                      <w:marLeft w:val="0"/>
                      <w:marRight w:val="0"/>
                      <w:marTop w:val="0"/>
                      <w:marBottom w:val="0"/>
                      <w:divBdr>
                        <w:top w:val="none" w:sz="0" w:space="0" w:color="auto"/>
                        <w:left w:val="none" w:sz="0" w:space="0" w:color="auto"/>
                        <w:bottom w:val="none" w:sz="0" w:space="0" w:color="auto"/>
                        <w:right w:val="none" w:sz="0" w:space="0" w:color="auto"/>
                      </w:divBdr>
                    </w:div>
                  </w:divsChild>
                </w:div>
                <w:div w:id="1459955577">
                  <w:marLeft w:val="0"/>
                  <w:marRight w:val="0"/>
                  <w:marTop w:val="0"/>
                  <w:marBottom w:val="0"/>
                  <w:divBdr>
                    <w:top w:val="none" w:sz="0" w:space="0" w:color="auto"/>
                    <w:left w:val="none" w:sz="0" w:space="0" w:color="auto"/>
                    <w:bottom w:val="none" w:sz="0" w:space="0" w:color="auto"/>
                    <w:right w:val="none" w:sz="0" w:space="0" w:color="auto"/>
                  </w:divBdr>
                  <w:divsChild>
                    <w:div w:id="322438010">
                      <w:marLeft w:val="0"/>
                      <w:marRight w:val="0"/>
                      <w:marTop w:val="0"/>
                      <w:marBottom w:val="0"/>
                      <w:divBdr>
                        <w:top w:val="none" w:sz="0" w:space="0" w:color="auto"/>
                        <w:left w:val="none" w:sz="0" w:space="0" w:color="auto"/>
                        <w:bottom w:val="none" w:sz="0" w:space="0" w:color="auto"/>
                        <w:right w:val="none" w:sz="0" w:space="0" w:color="auto"/>
                      </w:divBdr>
                    </w:div>
                  </w:divsChild>
                </w:div>
                <w:div w:id="1475223052">
                  <w:marLeft w:val="0"/>
                  <w:marRight w:val="0"/>
                  <w:marTop w:val="0"/>
                  <w:marBottom w:val="0"/>
                  <w:divBdr>
                    <w:top w:val="none" w:sz="0" w:space="0" w:color="auto"/>
                    <w:left w:val="none" w:sz="0" w:space="0" w:color="auto"/>
                    <w:bottom w:val="none" w:sz="0" w:space="0" w:color="auto"/>
                    <w:right w:val="none" w:sz="0" w:space="0" w:color="auto"/>
                  </w:divBdr>
                  <w:divsChild>
                    <w:div w:id="1223058498">
                      <w:marLeft w:val="0"/>
                      <w:marRight w:val="0"/>
                      <w:marTop w:val="0"/>
                      <w:marBottom w:val="0"/>
                      <w:divBdr>
                        <w:top w:val="none" w:sz="0" w:space="0" w:color="auto"/>
                        <w:left w:val="none" w:sz="0" w:space="0" w:color="auto"/>
                        <w:bottom w:val="none" w:sz="0" w:space="0" w:color="auto"/>
                        <w:right w:val="none" w:sz="0" w:space="0" w:color="auto"/>
                      </w:divBdr>
                    </w:div>
                  </w:divsChild>
                </w:div>
                <w:div w:id="1482691572">
                  <w:marLeft w:val="0"/>
                  <w:marRight w:val="0"/>
                  <w:marTop w:val="0"/>
                  <w:marBottom w:val="0"/>
                  <w:divBdr>
                    <w:top w:val="none" w:sz="0" w:space="0" w:color="auto"/>
                    <w:left w:val="none" w:sz="0" w:space="0" w:color="auto"/>
                    <w:bottom w:val="none" w:sz="0" w:space="0" w:color="auto"/>
                    <w:right w:val="none" w:sz="0" w:space="0" w:color="auto"/>
                  </w:divBdr>
                  <w:divsChild>
                    <w:div w:id="754322385">
                      <w:marLeft w:val="0"/>
                      <w:marRight w:val="0"/>
                      <w:marTop w:val="0"/>
                      <w:marBottom w:val="0"/>
                      <w:divBdr>
                        <w:top w:val="none" w:sz="0" w:space="0" w:color="auto"/>
                        <w:left w:val="none" w:sz="0" w:space="0" w:color="auto"/>
                        <w:bottom w:val="none" w:sz="0" w:space="0" w:color="auto"/>
                        <w:right w:val="none" w:sz="0" w:space="0" w:color="auto"/>
                      </w:divBdr>
                    </w:div>
                  </w:divsChild>
                </w:div>
                <w:div w:id="1485242749">
                  <w:marLeft w:val="0"/>
                  <w:marRight w:val="0"/>
                  <w:marTop w:val="0"/>
                  <w:marBottom w:val="0"/>
                  <w:divBdr>
                    <w:top w:val="none" w:sz="0" w:space="0" w:color="auto"/>
                    <w:left w:val="none" w:sz="0" w:space="0" w:color="auto"/>
                    <w:bottom w:val="none" w:sz="0" w:space="0" w:color="auto"/>
                    <w:right w:val="none" w:sz="0" w:space="0" w:color="auto"/>
                  </w:divBdr>
                  <w:divsChild>
                    <w:div w:id="152063961">
                      <w:marLeft w:val="0"/>
                      <w:marRight w:val="0"/>
                      <w:marTop w:val="0"/>
                      <w:marBottom w:val="0"/>
                      <w:divBdr>
                        <w:top w:val="none" w:sz="0" w:space="0" w:color="auto"/>
                        <w:left w:val="none" w:sz="0" w:space="0" w:color="auto"/>
                        <w:bottom w:val="none" w:sz="0" w:space="0" w:color="auto"/>
                        <w:right w:val="none" w:sz="0" w:space="0" w:color="auto"/>
                      </w:divBdr>
                    </w:div>
                  </w:divsChild>
                </w:div>
                <w:div w:id="1495804768">
                  <w:marLeft w:val="0"/>
                  <w:marRight w:val="0"/>
                  <w:marTop w:val="0"/>
                  <w:marBottom w:val="0"/>
                  <w:divBdr>
                    <w:top w:val="none" w:sz="0" w:space="0" w:color="auto"/>
                    <w:left w:val="none" w:sz="0" w:space="0" w:color="auto"/>
                    <w:bottom w:val="none" w:sz="0" w:space="0" w:color="auto"/>
                    <w:right w:val="none" w:sz="0" w:space="0" w:color="auto"/>
                  </w:divBdr>
                  <w:divsChild>
                    <w:div w:id="896863949">
                      <w:marLeft w:val="0"/>
                      <w:marRight w:val="0"/>
                      <w:marTop w:val="0"/>
                      <w:marBottom w:val="0"/>
                      <w:divBdr>
                        <w:top w:val="none" w:sz="0" w:space="0" w:color="auto"/>
                        <w:left w:val="none" w:sz="0" w:space="0" w:color="auto"/>
                        <w:bottom w:val="none" w:sz="0" w:space="0" w:color="auto"/>
                        <w:right w:val="none" w:sz="0" w:space="0" w:color="auto"/>
                      </w:divBdr>
                    </w:div>
                  </w:divsChild>
                </w:div>
                <w:div w:id="1501506618">
                  <w:marLeft w:val="0"/>
                  <w:marRight w:val="0"/>
                  <w:marTop w:val="0"/>
                  <w:marBottom w:val="0"/>
                  <w:divBdr>
                    <w:top w:val="none" w:sz="0" w:space="0" w:color="auto"/>
                    <w:left w:val="none" w:sz="0" w:space="0" w:color="auto"/>
                    <w:bottom w:val="none" w:sz="0" w:space="0" w:color="auto"/>
                    <w:right w:val="none" w:sz="0" w:space="0" w:color="auto"/>
                  </w:divBdr>
                  <w:divsChild>
                    <w:div w:id="1378237960">
                      <w:marLeft w:val="0"/>
                      <w:marRight w:val="0"/>
                      <w:marTop w:val="0"/>
                      <w:marBottom w:val="0"/>
                      <w:divBdr>
                        <w:top w:val="none" w:sz="0" w:space="0" w:color="auto"/>
                        <w:left w:val="none" w:sz="0" w:space="0" w:color="auto"/>
                        <w:bottom w:val="none" w:sz="0" w:space="0" w:color="auto"/>
                        <w:right w:val="none" w:sz="0" w:space="0" w:color="auto"/>
                      </w:divBdr>
                    </w:div>
                  </w:divsChild>
                </w:div>
                <w:div w:id="1510825993">
                  <w:marLeft w:val="0"/>
                  <w:marRight w:val="0"/>
                  <w:marTop w:val="0"/>
                  <w:marBottom w:val="0"/>
                  <w:divBdr>
                    <w:top w:val="none" w:sz="0" w:space="0" w:color="auto"/>
                    <w:left w:val="none" w:sz="0" w:space="0" w:color="auto"/>
                    <w:bottom w:val="none" w:sz="0" w:space="0" w:color="auto"/>
                    <w:right w:val="none" w:sz="0" w:space="0" w:color="auto"/>
                  </w:divBdr>
                  <w:divsChild>
                    <w:div w:id="2025286109">
                      <w:marLeft w:val="0"/>
                      <w:marRight w:val="0"/>
                      <w:marTop w:val="0"/>
                      <w:marBottom w:val="0"/>
                      <w:divBdr>
                        <w:top w:val="none" w:sz="0" w:space="0" w:color="auto"/>
                        <w:left w:val="none" w:sz="0" w:space="0" w:color="auto"/>
                        <w:bottom w:val="none" w:sz="0" w:space="0" w:color="auto"/>
                        <w:right w:val="none" w:sz="0" w:space="0" w:color="auto"/>
                      </w:divBdr>
                    </w:div>
                  </w:divsChild>
                </w:div>
                <w:div w:id="1518499017">
                  <w:marLeft w:val="0"/>
                  <w:marRight w:val="0"/>
                  <w:marTop w:val="0"/>
                  <w:marBottom w:val="0"/>
                  <w:divBdr>
                    <w:top w:val="none" w:sz="0" w:space="0" w:color="auto"/>
                    <w:left w:val="none" w:sz="0" w:space="0" w:color="auto"/>
                    <w:bottom w:val="none" w:sz="0" w:space="0" w:color="auto"/>
                    <w:right w:val="none" w:sz="0" w:space="0" w:color="auto"/>
                  </w:divBdr>
                  <w:divsChild>
                    <w:div w:id="1260455698">
                      <w:marLeft w:val="0"/>
                      <w:marRight w:val="0"/>
                      <w:marTop w:val="0"/>
                      <w:marBottom w:val="0"/>
                      <w:divBdr>
                        <w:top w:val="none" w:sz="0" w:space="0" w:color="auto"/>
                        <w:left w:val="none" w:sz="0" w:space="0" w:color="auto"/>
                        <w:bottom w:val="none" w:sz="0" w:space="0" w:color="auto"/>
                        <w:right w:val="none" w:sz="0" w:space="0" w:color="auto"/>
                      </w:divBdr>
                    </w:div>
                  </w:divsChild>
                </w:div>
                <w:div w:id="1539930104">
                  <w:marLeft w:val="0"/>
                  <w:marRight w:val="0"/>
                  <w:marTop w:val="0"/>
                  <w:marBottom w:val="0"/>
                  <w:divBdr>
                    <w:top w:val="none" w:sz="0" w:space="0" w:color="auto"/>
                    <w:left w:val="none" w:sz="0" w:space="0" w:color="auto"/>
                    <w:bottom w:val="none" w:sz="0" w:space="0" w:color="auto"/>
                    <w:right w:val="none" w:sz="0" w:space="0" w:color="auto"/>
                  </w:divBdr>
                  <w:divsChild>
                    <w:div w:id="1111510597">
                      <w:marLeft w:val="0"/>
                      <w:marRight w:val="0"/>
                      <w:marTop w:val="0"/>
                      <w:marBottom w:val="0"/>
                      <w:divBdr>
                        <w:top w:val="none" w:sz="0" w:space="0" w:color="auto"/>
                        <w:left w:val="none" w:sz="0" w:space="0" w:color="auto"/>
                        <w:bottom w:val="none" w:sz="0" w:space="0" w:color="auto"/>
                        <w:right w:val="none" w:sz="0" w:space="0" w:color="auto"/>
                      </w:divBdr>
                    </w:div>
                  </w:divsChild>
                </w:div>
                <w:div w:id="1544975031">
                  <w:marLeft w:val="0"/>
                  <w:marRight w:val="0"/>
                  <w:marTop w:val="0"/>
                  <w:marBottom w:val="0"/>
                  <w:divBdr>
                    <w:top w:val="none" w:sz="0" w:space="0" w:color="auto"/>
                    <w:left w:val="none" w:sz="0" w:space="0" w:color="auto"/>
                    <w:bottom w:val="none" w:sz="0" w:space="0" w:color="auto"/>
                    <w:right w:val="none" w:sz="0" w:space="0" w:color="auto"/>
                  </w:divBdr>
                  <w:divsChild>
                    <w:div w:id="647780727">
                      <w:marLeft w:val="0"/>
                      <w:marRight w:val="0"/>
                      <w:marTop w:val="0"/>
                      <w:marBottom w:val="0"/>
                      <w:divBdr>
                        <w:top w:val="none" w:sz="0" w:space="0" w:color="auto"/>
                        <w:left w:val="none" w:sz="0" w:space="0" w:color="auto"/>
                        <w:bottom w:val="none" w:sz="0" w:space="0" w:color="auto"/>
                        <w:right w:val="none" w:sz="0" w:space="0" w:color="auto"/>
                      </w:divBdr>
                    </w:div>
                  </w:divsChild>
                </w:div>
                <w:div w:id="1549342148">
                  <w:marLeft w:val="0"/>
                  <w:marRight w:val="0"/>
                  <w:marTop w:val="0"/>
                  <w:marBottom w:val="0"/>
                  <w:divBdr>
                    <w:top w:val="none" w:sz="0" w:space="0" w:color="auto"/>
                    <w:left w:val="none" w:sz="0" w:space="0" w:color="auto"/>
                    <w:bottom w:val="none" w:sz="0" w:space="0" w:color="auto"/>
                    <w:right w:val="none" w:sz="0" w:space="0" w:color="auto"/>
                  </w:divBdr>
                  <w:divsChild>
                    <w:div w:id="1906838651">
                      <w:marLeft w:val="0"/>
                      <w:marRight w:val="0"/>
                      <w:marTop w:val="0"/>
                      <w:marBottom w:val="0"/>
                      <w:divBdr>
                        <w:top w:val="none" w:sz="0" w:space="0" w:color="auto"/>
                        <w:left w:val="none" w:sz="0" w:space="0" w:color="auto"/>
                        <w:bottom w:val="none" w:sz="0" w:space="0" w:color="auto"/>
                        <w:right w:val="none" w:sz="0" w:space="0" w:color="auto"/>
                      </w:divBdr>
                    </w:div>
                  </w:divsChild>
                </w:div>
                <w:div w:id="1572346203">
                  <w:marLeft w:val="0"/>
                  <w:marRight w:val="0"/>
                  <w:marTop w:val="0"/>
                  <w:marBottom w:val="0"/>
                  <w:divBdr>
                    <w:top w:val="none" w:sz="0" w:space="0" w:color="auto"/>
                    <w:left w:val="none" w:sz="0" w:space="0" w:color="auto"/>
                    <w:bottom w:val="none" w:sz="0" w:space="0" w:color="auto"/>
                    <w:right w:val="none" w:sz="0" w:space="0" w:color="auto"/>
                  </w:divBdr>
                  <w:divsChild>
                    <w:div w:id="1216889012">
                      <w:marLeft w:val="0"/>
                      <w:marRight w:val="0"/>
                      <w:marTop w:val="0"/>
                      <w:marBottom w:val="0"/>
                      <w:divBdr>
                        <w:top w:val="none" w:sz="0" w:space="0" w:color="auto"/>
                        <w:left w:val="none" w:sz="0" w:space="0" w:color="auto"/>
                        <w:bottom w:val="none" w:sz="0" w:space="0" w:color="auto"/>
                        <w:right w:val="none" w:sz="0" w:space="0" w:color="auto"/>
                      </w:divBdr>
                    </w:div>
                  </w:divsChild>
                </w:div>
                <w:div w:id="1573006859">
                  <w:marLeft w:val="0"/>
                  <w:marRight w:val="0"/>
                  <w:marTop w:val="0"/>
                  <w:marBottom w:val="0"/>
                  <w:divBdr>
                    <w:top w:val="none" w:sz="0" w:space="0" w:color="auto"/>
                    <w:left w:val="none" w:sz="0" w:space="0" w:color="auto"/>
                    <w:bottom w:val="none" w:sz="0" w:space="0" w:color="auto"/>
                    <w:right w:val="none" w:sz="0" w:space="0" w:color="auto"/>
                  </w:divBdr>
                  <w:divsChild>
                    <w:div w:id="230846477">
                      <w:marLeft w:val="0"/>
                      <w:marRight w:val="0"/>
                      <w:marTop w:val="0"/>
                      <w:marBottom w:val="0"/>
                      <w:divBdr>
                        <w:top w:val="none" w:sz="0" w:space="0" w:color="auto"/>
                        <w:left w:val="none" w:sz="0" w:space="0" w:color="auto"/>
                        <w:bottom w:val="none" w:sz="0" w:space="0" w:color="auto"/>
                        <w:right w:val="none" w:sz="0" w:space="0" w:color="auto"/>
                      </w:divBdr>
                    </w:div>
                  </w:divsChild>
                </w:div>
                <w:div w:id="1582988578">
                  <w:marLeft w:val="0"/>
                  <w:marRight w:val="0"/>
                  <w:marTop w:val="0"/>
                  <w:marBottom w:val="0"/>
                  <w:divBdr>
                    <w:top w:val="none" w:sz="0" w:space="0" w:color="auto"/>
                    <w:left w:val="none" w:sz="0" w:space="0" w:color="auto"/>
                    <w:bottom w:val="none" w:sz="0" w:space="0" w:color="auto"/>
                    <w:right w:val="none" w:sz="0" w:space="0" w:color="auto"/>
                  </w:divBdr>
                  <w:divsChild>
                    <w:div w:id="812909214">
                      <w:marLeft w:val="0"/>
                      <w:marRight w:val="0"/>
                      <w:marTop w:val="0"/>
                      <w:marBottom w:val="0"/>
                      <w:divBdr>
                        <w:top w:val="none" w:sz="0" w:space="0" w:color="auto"/>
                        <w:left w:val="none" w:sz="0" w:space="0" w:color="auto"/>
                        <w:bottom w:val="none" w:sz="0" w:space="0" w:color="auto"/>
                        <w:right w:val="none" w:sz="0" w:space="0" w:color="auto"/>
                      </w:divBdr>
                    </w:div>
                  </w:divsChild>
                </w:div>
                <w:div w:id="1593978218">
                  <w:marLeft w:val="0"/>
                  <w:marRight w:val="0"/>
                  <w:marTop w:val="0"/>
                  <w:marBottom w:val="0"/>
                  <w:divBdr>
                    <w:top w:val="none" w:sz="0" w:space="0" w:color="auto"/>
                    <w:left w:val="none" w:sz="0" w:space="0" w:color="auto"/>
                    <w:bottom w:val="none" w:sz="0" w:space="0" w:color="auto"/>
                    <w:right w:val="none" w:sz="0" w:space="0" w:color="auto"/>
                  </w:divBdr>
                  <w:divsChild>
                    <w:div w:id="872107916">
                      <w:marLeft w:val="0"/>
                      <w:marRight w:val="0"/>
                      <w:marTop w:val="0"/>
                      <w:marBottom w:val="0"/>
                      <w:divBdr>
                        <w:top w:val="none" w:sz="0" w:space="0" w:color="auto"/>
                        <w:left w:val="none" w:sz="0" w:space="0" w:color="auto"/>
                        <w:bottom w:val="none" w:sz="0" w:space="0" w:color="auto"/>
                        <w:right w:val="none" w:sz="0" w:space="0" w:color="auto"/>
                      </w:divBdr>
                    </w:div>
                  </w:divsChild>
                </w:div>
                <w:div w:id="1597011701">
                  <w:marLeft w:val="0"/>
                  <w:marRight w:val="0"/>
                  <w:marTop w:val="0"/>
                  <w:marBottom w:val="0"/>
                  <w:divBdr>
                    <w:top w:val="none" w:sz="0" w:space="0" w:color="auto"/>
                    <w:left w:val="none" w:sz="0" w:space="0" w:color="auto"/>
                    <w:bottom w:val="none" w:sz="0" w:space="0" w:color="auto"/>
                    <w:right w:val="none" w:sz="0" w:space="0" w:color="auto"/>
                  </w:divBdr>
                  <w:divsChild>
                    <w:div w:id="1834880620">
                      <w:marLeft w:val="0"/>
                      <w:marRight w:val="0"/>
                      <w:marTop w:val="0"/>
                      <w:marBottom w:val="0"/>
                      <w:divBdr>
                        <w:top w:val="none" w:sz="0" w:space="0" w:color="auto"/>
                        <w:left w:val="none" w:sz="0" w:space="0" w:color="auto"/>
                        <w:bottom w:val="none" w:sz="0" w:space="0" w:color="auto"/>
                        <w:right w:val="none" w:sz="0" w:space="0" w:color="auto"/>
                      </w:divBdr>
                    </w:div>
                  </w:divsChild>
                </w:div>
                <w:div w:id="1597975808">
                  <w:marLeft w:val="0"/>
                  <w:marRight w:val="0"/>
                  <w:marTop w:val="0"/>
                  <w:marBottom w:val="0"/>
                  <w:divBdr>
                    <w:top w:val="none" w:sz="0" w:space="0" w:color="auto"/>
                    <w:left w:val="none" w:sz="0" w:space="0" w:color="auto"/>
                    <w:bottom w:val="none" w:sz="0" w:space="0" w:color="auto"/>
                    <w:right w:val="none" w:sz="0" w:space="0" w:color="auto"/>
                  </w:divBdr>
                  <w:divsChild>
                    <w:div w:id="2127188977">
                      <w:marLeft w:val="0"/>
                      <w:marRight w:val="0"/>
                      <w:marTop w:val="0"/>
                      <w:marBottom w:val="0"/>
                      <w:divBdr>
                        <w:top w:val="none" w:sz="0" w:space="0" w:color="auto"/>
                        <w:left w:val="none" w:sz="0" w:space="0" w:color="auto"/>
                        <w:bottom w:val="none" w:sz="0" w:space="0" w:color="auto"/>
                        <w:right w:val="none" w:sz="0" w:space="0" w:color="auto"/>
                      </w:divBdr>
                    </w:div>
                  </w:divsChild>
                </w:div>
                <w:div w:id="1607078809">
                  <w:marLeft w:val="0"/>
                  <w:marRight w:val="0"/>
                  <w:marTop w:val="0"/>
                  <w:marBottom w:val="0"/>
                  <w:divBdr>
                    <w:top w:val="none" w:sz="0" w:space="0" w:color="auto"/>
                    <w:left w:val="none" w:sz="0" w:space="0" w:color="auto"/>
                    <w:bottom w:val="none" w:sz="0" w:space="0" w:color="auto"/>
                    <w:right w:val="none" w:sz="0" w:space="0" w:color="auto"/>
                  </w:divBdr>
                  <w:divsChild>
                    <w:div w:id="1336886129">
                      <w:marLeft w:val="0"/>
                      <w:marRight w:val="0"/>
                      <w:marTop w:val="0"/>
                      <w:marBottom w:val="0"/>
                      <w:divBdr>
                        <w:top w:val="none" w:sz="0" w:space="0" w:color="auto"/>
                        <w:left w:val="none" w:sz="0" w:space="0" w:color="auto"/>
                        <w:bottom w:val="none" w:sz="0" w:space="0" w:color="auto"/>
                        <w:right w:val="none" w:sz="0" w:space="0" w:color="auto"/>
                      </w:divBdr>
                    </w:div>
                  </w:divsChild>
                </w:div>
                <w:div w:id="1616137338">
                  <w:marLeft w:val="0"/>
                  <w:marRight w:val="0"/>
                  <w:marTop w:val="0"/>
                  <w:marBottom w:val="0"/>
                  <w:divBdr>
                    <w:top w:val="none" w:sz="0" w:space="0" w:color="auto"/>
                    <w:left w:val="none" w:sz="0" w:space="0" w:color="auto"/>
                    <w:bottom w:val="none" w:sz="0" w:space="0" w:color="auto"/>
                    <w:right w:val="none" w:sz="0" w:space="0" w:color="auto"/>
                  </w:divBdr>
                  <w:divsChild>
                    <w:div w:id="584729133">
                      <w:marLeft w:val="0"/>
                      <w:marRight w:val="0"/>
                      <w:marTop w:val="0"/>
                      <w:marBottom w:val="0"/>
                      <w:divBdr>
                        <w:top w:val="none" w:sz="0" w:space="0" w:color="auto"/>
                        <w:left w:val="none" w:sz="0" w:space="0" w:color="auto"/>
                        <w:bottom w:val="none" w:sz="0" w:space="0" w:color="auto"/>
                        <w:right w:val="none" w:sz="0" w:space="0" w:color="auto"/>
                      </w:divBdr>
                    </w:div>
                  </w:divsChild>
                </w:div>
                <w:div w:id="1624848953">
                  <w:marLeft w:val="0"/>
                  <w:marRight w:val="0"/>
                  <w:marTop w:val="0"/>
                  <w:marBottom w:val="0"/>
                  <w:divBdr>
                    <w:top w:val="none" w:sz="0" w:space="0" w:color="auto"/>
                    <w:left w:val="none" w:sz="0" w:space="0" w:color="auto"/>
                    <w:bottom w:val="none" w:sz="0" w:space="0" w:color="auto"/>
                    <w:right w:val="none" w:sz="0" w:space="0" w:color="auto"/>
                  </w:divBdr>
                  <w:divsChild>
                    <w:div w:id="1824196691">
                      <w:marLeft w:val="0"/>
                      <w:marRight w:val="0"/>
                      <w:marTop w:val="0"/>
                      <w:marBottom w:val="0"/>
                      <w:divBdr>
                        <w:top w:val="none" w:sz="0" w:space="0" w:color="auto"/>
                        <w:left w:val="none" w:sz="0" w:space="0" w:color="auto"/>
                        <w:bottom w:val="none" w:sz="0" w:space="0" w:color="auto"/>
                        <w:right w:val="none" w:sz="0" w:space="0" w:color="auto"/>
                      </w:divBdr>
                    </w:div>
                  </w:divsChild>
                </w:div>
                <w:div w:id="1626961487">
                  <w:marLeft w:val="0"/>
                  <w:marRight w:val="0"/>
                  <w:marTop w:val="0"/>
                  <w:marBottom w:val="0"/>
                  <w:divBdr>
                    <w:top w:val="none" w:sz="0" w:space="0" w:color="auto"/>
                    <w:left w:val="none" w:sz="0" w:space="0" w:color="auto"/>
                    <w:bottom w:val="none" w:sz="0" w:space="0" w:color="auto"/>
                    <w:right w:val="none" w:sz="0" w:space="0" w:color="auto"/>
                  </w:divBdr>
                  <w:divsChild>
                    <w:div w:id="855195468">
                      <w:marLeft w:val="0"/>
                      <w:marRight w:val="0"/>
                      <w:marTop w:val="0"/>
                      <w:marBottom w:val="0"/>
                      <w:divBdr>
                        <w:top w:val="none" w:sz="0" w:space="0" w:color="auto"/>
                        <w:left w:val="none" w:sz="0" w:space="0" w:color="auto"/>
                        <w:bottom w:val="none" w:sz="0" w:space="0" w:color="auto"/>
                        <w:right w:val="none" w:sz="0" w:space="0" w:color="auto"/>
                      </w:divBdr>
                    </w:div>
                  </w:divsChild>
                </w:div>
                <w:div w:id="1641882047">
                  <w:marLeft w:val="0"/>
                  <w:marRight w:val="0"/>
                  <w:marTop w:val="0"/>
                  <w:marBottom w:val="0"/>
                  <w:divBdr>
                    <w:top w:val="none" w:sz="0" w:space="0" w:color="auto"/>
                    <w:left w:val="none" w:sz="0" w:space="0" w:color="auto"/>
                    <w:bottom w:val="none" w:sz="0" w:space="0" w:color="auto"/>
                    <w:right w:val="none" w:sz="0" w:space="0" w:color="auto"/>
                  </w:divBdr>
                  <w:divsChild>
                    <w:div w:id="1503621828">
                      <w:marLeft w:val="0"/>
                      <w:marRight w:val="0"/>
                      <w:marTop w:val="0"/>
                      <w:marBottom w:val="0"/>
                      <w:divBdr>
                        <w:top w:val="none" w:sz="0" w:space="0" w:color="auto"/>
                        <w:left w:val="none" w:sz="0" w:space="0" w:color="auto"/>
                        <w:bottom w:val="none" w:sz="0" w:space="0" w:color="auto"/>
                        <w:right w:val="none" w:sz="0" w:space="0" w:color="auto"/>
                      </w:divBdr>
                    </w:div>
                  </w:divsChild>
                </w:div>
                <w:div w:id="1644889868">
                  <w:marLeft w:val="0"/>
                  <w:marRight w:val="0"/>
                  <w:marTop w:val="0"/>
                  <w:marBottom w:val="0"/>
                  <w:divBdr>
                    <w:top w:val="none" w:sz="0" w:space="0" w:color="auto"/>
                    <w:left w:val="none" w:sz="0" w:space="0" w:color="auto"/>
                    <w:bottom w:val="none" w:sz="0" w:space="0" w:color="auto"/>
                    <w:right w:val="none" w:sz="0" w:space="0" w:color="auto"/>
                  </w:divBdr>
                  <w:divsChild>
                    <w:div w:id="17119722">
                      <w:marLeft w:val="0"/>
                      <w:marRight w:val="0"/>
                      <w:marTop w:val="0"/>
                      <w:marBottom w:val="0"/>
                      <w:divBdr>
                        <w:top w:val="none" w:sz="0" w:space="0" w:color="auto"/>
                        <w:left w:val="none" w:sz="0" w:space="0" w:color="auto"/>
                        <w:bottom w:val="none" w:sz="0" w:space="0" w:color="auto"/>
                        <w:right w:val="none" w:sz="0" w:space="0" w:color="auto"/>
                      </w:divBdr>
                    </w:div>
                  </w:divsChild>
                </w:div>
                <w:div w:id="1648049528">
                  <w:marLeft w:val="0"/>
                  <w:marRight w:val="0"/>
                  <w:marTop w:val="0"/>
                  <w:marBottom w:val="0"/>
                  <w:divBdr>
                    <w:top w:val="none" w:sz="0" w:space="0" w:color="auto"/>
                    <w:left w:val="none" w:sz="0" w:space="0" w:color="auto"/>
                    <w:bottom w:val="none" w:sz="0" w:space="0" w:color="auto"/>
                    <w:right w:val="none" w:sz="0" w:space="0" w:color="auto"/>
                  </w:divBdr>
                  <w:divsChild>
                    <w:div w:id="1701515464">
                      <w:marLeft w:val="0"/>
                      <w:marRight w:val="0"/>
                      <w:marTop w:val="0"/>
                      <w:marBottom w:val="0"/>
                      <w:divBdr>
                        <w:top w:val="none" w:sz="0" w:space="0" w:color="auto"/>
                        <w:left w:val="none" w:sz="0" w:space="0" w:color="auto"/>
                        <w:bottom w:val="none" w:sz="0" w:space="0" w:color="auto"/>
                        <w:right w:val="none" w:sz="0" w:space="0" w:color="auto"/>
                      </w:divBdr>
                    </w:div>
                  </w:divsChild>
                </w:div>
                <w:div w:id="1653559860">
                  <w:marLeft w:val="0"/>
                  <w:marRight w:val="0"/>
                  <w:marTop w:val="0"/>
                  <w:marBottom w:val="0"/>
                  <w:divBdr>
                    <w:top w:val="none" w:sz="0" w:space="0" w:color="auto"/>
                    <w:left w:val="none" w:sz="0" w:space="0" w:color="auto"/>
                    <w:bottom w:val="none" w:sz="0" w:space="0" w:color="auto"/>
                    <w:right w:val="none" w:sz="0" w:space="0" w:color="auto"/>
                  </w:divBdr>
                  <w:divsChild>
                    <w:div w:id="244847053">
                      <w:marLeft w:val="0"/>
                      <w:marRight w:val="0"/>
                      <w:marTop w:val="0"/>
                      <w:marBottom w:val="0"/>
                      <w:divBdr>
                        <w:top w:val="none" w:sz="0" w:space="0" w:color="auto"/>
                        <w:left w:val="none" w:sz="0" w:space="0" w:color="auto"/>
                        <w:bottom w:val="none" w:sz="0" w:space="0" w:color="auto"/>
                        <w:right w:val="none" w:sz="0" w:space="0" w:color="auto"/>
                      </w:divBdr>
                    </w:div>
                  </w:divsChild>
                </w:div>
                <w:div w:id="1677611037">
                  <w:marLeft w:val="0"/>
                  <w:marRight w:val="0"/>
                  <w:marTop w:val="0"/>
                  <w:marBottom w:val="0"/>
                  <w:divBdr>
                    <w:top w:val="none" w:sz="0" w:space="0" w:color="auto"/>
                    <w:left w:val="none" w:sz="0" w:space="0" w:color="auto"/>
                    <w:bottom w:val="none" w:sz="0" w:space="0" w:color="auto"/>
                    <w:right w:val="none" w:sz="0" w:space="0" w:color="auto"/>
                  </w:divBdr>
                  <w:divsChild>
                    <w:div w:id="1802115096">
                      <w:marLeft w:val="0"/>
                      <w:marRight w:val="0"/>
                      <w:marTop w:val="0"/>
                      <w:marBottom w:val="0"/>
                      <w:divBdr>
                        <w:top w:val="none" w:sz="0" w:space="0" w:color="auto"/>
                        <w:left w:val="none" w:sz="0" w:space="0" w:color="auto"/>
                        <w:bottom w:val="none" w:sz="0" w:space="0" w:color="auto"/>
                        <w:right w:val="none" w:sz="0" w:space="0" w:color="auto"/>
                      </w:divBdr>
                    </w:div>
                  </w:divsChild>
                </w:div>
                <w:div w:id="1688747768">
                  <w:marLeft w:val="0"/>
                  <w:marRight w:val="0"/>
                  <w:marTop w:val="0"/>
                  <w:marBottom w:val="0"/>
                  <w:divBdr>
                    <w:top w:val="none" w:sz="0" w:space="0" w:color="auto"/>
                    <w:left w:val="none" w:sz="0" w:space="0" w:color="auto"/>
                    <w:bottom w:val="none" w:sz="0" w:space="0" w:color="auto"/>
                    <w:right w:val="none" w:sz="0" w:space="0" w:color="auto"/>
                  </w:divBdr>
                  <w:divsChild>
                    <w:div w:id="892888621">
                      <w:marLeft w:val="0"/>
                      <w:marRight w:val="0"/>
                      <w:marTop w:val="0"/>
                      <w:marBottom w:val="0"/>
                      <w:divBdr>
                        <w:top w:val="none" w:sz="0" w:space="0" w:color="auto"/>
                        <w:left w:val="none" w:sz="0" w:space="0" w:color="auto"/>
                        <w:bottom w:val="none" w:sz="0" w:space="0" w:color="auto"/>
                        <w:right w:val="none" w:sz="0" w:space="0" w:color="auto"/>
                      </w:divBdr>
                    </w:div>
                  </w:divsChild>
                </w:div>
                <w:div w:id="1689796065">
                  <w:marLeft w:val="0"/>
                  <w:marRight w:val="0"/>
                  <w:marTop w:val="0"/>
                  <w:marBottom w:val="0"/>
                  <w:divBdr>
                    <w:top w:val="none" w:sz="0" w:space="0" w:color="auto"/>
                    <w:left w:val="none" w:sz="0" w:space="0" w:color="auto"/>
                    <w:bottom w:val="none" w:sz="0" w:space="0" w:color="auto"/>
                    <w:right w:val="none" w:sz="0" w:space="0" w:color="auto"/>
                  </w:divBdr>
                  <w:divsChild>
                    <w:div w:id="1632319611">
                      <w:marLeft w:val="0"/>
                      <w:marRight w:val="0"/>
                      <w:marTop w:val="0"/>
                      <w:marBottom w:val="0"/>
                      <w:divBdr>
                        <w:top w:val="none" w:sz="0" w:space="0" w:color="auto"/>
                        <w:left w:val="none" w:sz="0" w:space="0" w:color="auto"/>
                        <w:bottom w:val="none" w:sz="0" w:space="0" w:color="auto"/>
                        <w:right w:val="none" w:sz="0" w:space="0" w:color="auto"/>
                      </w:divBdr>
                    </w:div>
                  </w:divsChild>
                </w:div>
                <w:div w:id="1698115993">
                  <w:marLeft w:val="0"/>
                  <w:marRight w:val="0"/>
                  <w:marTop w:val="0"/>
                  <w:marBottom w:val="0"/>
                  <w:divBdr>
                    <w:top w:val="none" w:sz="0" w:space="0" w:color="auto"/>
                    <w:left w:val="none" w:sz="0" w:space="0" w:color="auto"/>
                    <w:bottom w:val="none" w:sz="0" w:space="0" w:color="auto"/>
                    <w:right w:val="none" w:sz="0" w:space="0" w:color="auto"/>
                  </w:divBdr>
                  <w:divsChild>
                    <w:div w:id="1998336273">
                      <w:marLeft w:val="0"/>
                      <w:marRight w:val="0"/>
                      <w:marTop w:val="0"/>
                      <w:marBottom w:val="0"/>
                      <w:divBdr>
                        <w:top w:val="none" w:sz="0" w:space="0" w:color="auto"/>
                        <w:left w:val="none" w:sz="0" w:space="0" w:color="auto"/>
                        <w:bottom w:val="none" w:sz="0" w:space="0" w:color="auto"/>
                        <w:right w:val="none" w:sz="0" w:space="0" w:color="auto"/>
                      </w:divBdr>
                    </w:div>
                  </w:divsChild>
                </w:div>
                <w:div w:id="1698309887">
                  <w:marLeft w:val="0"/>
                  <w:marRight w:val="0"/>
                  <w:marTop w:val="0"/>
                  <w:marBottom w:val="0"/>
                  <w:divBdr>
                    <w:top w:val="none" w:sz="0" w:space="0" w:color="auto"/>
                    <w:left w:val="none" w:sz="0" w:space="0" w:color="auto"/>
                    <w:bottom w:val="none" w:sz="0" w:space="0" w:color="auto"/>
                    <w:right w:val="none" w:sz="0" w:space="0" w:color="auto"/>
                  </w:divBdr>
                  <w:divsChild>
                    <w:div w:id="1466007353">
                      <w:marLeft w:val="0"/>
                      <w:marRight w:val="0"/>
                      <w:marTop w:val="0"/>
                      <w:marBottom w:val="0"/>
                      <w:divBdr>
                        <w:top w:val="none" w:sz="0" w:space="0" w:color="auto"/>
                        <w:left w:val="none" w:sz="0" w:space="0" w:color="auto"/>
                        <w:bottom w:val="none" w:sz="0" w:space="0" w:color="auto"/>
                        <w:right w:val="none" w:sz="0" w:space="0" w:color="auto"/>
                      </w:divBdr>
                    </w:div>
                  </w:divsChild>
                </w:div>
                <w:div w:id="1702511953">
                  <w:marLeft w:val="0"/>
                  <w:marRight w:val="0"/>
                  <w:marTop w:val="0"/>
                  <w:marBottom w:val="0"/>
                  <w:divBdr>
                    <w:top w:val="none" w:sz="0" w:space="0" w:color="auto"/>
                    <w:left w:val="none" w:sz="0" w:space="0" w:color="auto"/>
                    <w:bottom w:val="none" w:sz="0" w:space="0" w:color="auto"/>
                    <w:right w:val="none" w:sz="0" w:space="0" w:color="auto"/>
                  </w:divBdr>
                  <w:divsChild>
                    <w:div w:id="1361584366">
                      <w:marLeft w:val="0"/>
                      <w:marRight w:val="0"/>
                      <w:marTop w:val="0"/>
                      <w:marBottom w:val="0"/>
                      <w:divBdr>
                        <w:top w:val="none" w:sz="0" w:space="0" w:color="auto"/>
                        <w:left w:val="none" w:sz="0" w:space="0" w:color="auto"/>
                        <w:bottom w:val="none" w:sz="0" w:space="0" w:color="auto"/>
                        <w:right w:val="none" w:sz="0" w:space="0" w:color="auto"/>
                      </w:divBdr>
                    </w:div>
                  </w:divsChild>
                </w:div>
                <w:div w:id="1709721514">
                  <w:marLeft w:val="0"/>
                  <w:marRight w:val="0"/>
                  <w:marTop w:val="0"/>
                  <w:marBottom w:val="0"/>
                  <w:divBdr>
                    <w:top w:val="none" w:sz="0" w:space="0" w:color="auto"/>
                    <w:left w:val="none" w:sz="0" w:space="0" w:color="auto"/>
                    <w:bottom w:val="none" w:sz="0" w:space="0" w:color="auto"/>
                    <w:right w:val="none" w:sz="0" w:space="0" w:color="auto"/>
                  </w:divBdr>
                  <w:divsChild>
                    <w:div w:id="85541588">
                      <w:marLeft w:val="0"/>
                      <w:marRight w:val="0"/>
                      <w:marTop w:val="0"/>
                      <w:marBottom w:val="0"/>
                      <w:divBdr>
                        <w:top w:val="none" w:sz="0" w:space="0" w:color="auto"/>
                        <w:left w:val="none" w:sz="0" w:space="0" w:color="auto"/>
                        <w:bottom w:val="none" w:sz="0" w:space="0" w:color="auto"/>
                        <w:right w:val="none" w:sz="0" w:space="0" w:color="auto"/>
                      </w:divBdr>
                    </w:div>
                  </w:divsChild>
                </w:div>
                <w:div w:id="1713191300">
                  <w:marLeft w:val="0"/>
                  <w:marRight w:val="0"/>
                  <w:marTop w:val="0"/>
                  <w:marBottom w:val="0"/>
                  <w:divBdr>
                    <w:top w:val="none" w:sz="0" w:space="0" w:color="auto"/>
                    <w:left w:val="none" w:sz="0" w:space="0" w:color="auto"/>
                    <w:bottom w:val="none" w:sz="0" w:space="0" w:color="auto"/>
                    <w:right w:val="none" w:sz="0" w:space="0" w:color="auto"/>
                  </w:divBdr>
                  <w:divsChild>
                    <w:div w:id="1240603736">
                      <w:marLeft w:val="0"/>
                      <w:marRight w:val="0"/>
                      <w:marTop w:val="0"/>
                      <w:marBottom w:val="0"/>
                      <w:divBdr>
                        <w:top w:val="none" w:sz="0" w:space="0" w:color="auto"/>
                        <w:left w:val="none" w:sz="0" w:space="0" w:color="auto"/>
                        <w:bottom w:val="none" w:sz="0" w:space="0" w:color="auto"/>
                        <w:right w:val="none" w:sz="0" w:space="0" w:color="auto"/>
                      </w:divBdr>
                    </w:div>
                  </w:divsChild>
                </w:div>
                <w:div w:id="1713460449">
                  <w:marLeft w:val="0"/>
                  <w:marRight w:val="0"/>
                  <w:marTop w:val="0"/>
                  <w:marBottom w:val="0"/>
                  <w:divBdr>
                    <w:top w:val="none" w:sz="0" w:space="0" w:color="auto"/>
                    <w:left w:val="none" w:sz="0" w:space="0" w:color="auto"/>
                    <w:bottom w:val="none" w:sz="0" w:space="0" w:color="auto"/>
                    <w:right w:val="none" w:sz="0" w:space="0" w:color="auto"/>
                  </w:divBdr>
                  <w:divsChild>
                    <w:div w:id="1801730498">
                      <w:marLeft w:val="0"/>
                      <w:marRight w:val="0"/>
                      <w:marTop w:val="0"/>
                      <w:marBottom w:val="0"/>
                      <w:divBdr>
                        <w:top w:val="none" w:sz="0" w:space="0" w:color="auto"/>
                        <w:left w:val="none" w:sz="0" w:space="0" w:color="auto"/>
                        <w:bottom w:val="none" w:sz="0" w:space="0" w:color="auto"/>
                        <w:right w:val="none" w:sz="0" w:space="0" w:color="auto"/>
                      </w:divBdr>
                    </w:div>
                  </w:divsChild>
                </w:div>
                <w:div w:id="1747342972">
                  <w:marLeft w:val="0"/>
                  <w:marRight w:val="0"/>
                  <w:marTop w:val="0"/>
                  <w:marBottom w:val="0"/>
                  <w:divBdr>
                    <w:top w:val="none" w:sz="0" w:space="0" w:color="auto"/>
                    <w:left w:val="none" w:sz="0" w:space="0" w:color="auto"/>
                    <w:bottom w:val="none" w:sz="0" w:space="0" w:color="auto"/>
                    <w:right w:val="none" w:sz="0" w:space="0" w:color="auto"/>
                  </w:divBdr>
                  <w:divsChild>
                    <w:div w:id="768546313">
                      <w:marLeft w:val="0"/>
                      <w:marRight w:val="0"/>
                      <w:marTop w:val="0"/>
                      <w:marBottom w:val="0"/>
                      <w:divBdr>
                        <w:top w:val="none" w:sz="0" w:space="0" w:color="auto"/>
                        <w:left w:val="none" w:sz="0" w:space="0" w:color="auto"/>
                        <w:bottom w:val="none" w:sz="0" w:space="0" w:color="auto"/>
                        <w:right w:val="none" w:sz="0" w:space="0" w:color="auto"/>
                      </w:divBdr>
                    </w:div>
                  </w:divsChild>
                </w:div>
                <w:div w:id="1759717526">
                  <w:marLeft w:val="0"/>
                  <w:marRight w:val="0"/>
                  <w:marTop w:val="0"/>
                  <w:marBottom w:val="0"/>
                  <w:divBdr>
                    <w:top w:val="none" w:sz="0" w:space="0" w:color="auto"/>
                    <w:left w:val="none" w:sz="0" w:space="0" w:color="auto"/>
                    <w:bottom w:val="none" w:sz="0" w:space="0" w:color="auto"/>
                    <w:right w:val="none" w:sz="0" w:space="0" w:color="auto"/>
                  </w:divBdr>
                  <w:divsChild>
                    <w:div w:id="1387141441">
                      <w:marLeft w:val="0"/>
                      <w:marRight w:val="0"/>
                      <w:marTop w:val="0"/>
                      <w:marBottom w:val="0"/>
                      <w:divBdr>
                        <w:top w:val="none" w:sz="0" w:space="0" w:color="auto"/>
                        <w:left w:val="none" w:sz="0" w:space="0" w:color="auto"/>
                        <w:bottom w:val="none" w:sz="0" w:space="0" w:color="auto"/>
                        <w:right w:val="none" w:sz="0" w:space="0" w:color="auto"/>
                      </w:divBdr>
                    </w:div>
                  </w:divsChild>
                </w:div>
                <w:div w:id="1760520547">
                  <w:marLeft w:val="0"/>
                  <w:marRight w:val="0"/>
                  <w:marTop w:val="0"/>
                  <w:marBottom w:val="0"/>
                  <w:divBdr>
                    <w:top w:val="none" w:sz="0" w:space="0" w:color="auto"/>
                    <w:left w:val="none" w:sz="0" w:space="0" w:color="auto"/>
                    <w:bottom w:val="none" w:sz="0" w:space="0" w:color="auto"/>
                    <w:right w:val="none" w:sz="0" w:space="0" w:color="auto"/>
                  </w:divBdr>
                  <w:divsChild>
                    <w:div w:id="1917549466">
                      <w:marLeft w:val="0"/>
                      <w:marRight w:val="0"/>
                      <w:marTop w:val="0"/>
                      <w:marBottom w:val="0"/>
                      <w:divBdr>
                        <w:top w:val="none" w:sz="0" w:space="0" w:color="auto"/>
                        <w:left w:val="none" w:sz="0" w:space="0" w:color="auto"/>
                        <w:bottom w:val="none" w:sz="0" w:space="0" w:color="auto"/>
                        <w:right w:val="none" w:sz="0" w:space="0" w:color="auto"/>
                      </w:divBdr>
                    </w:div>
                  </w:divsChild>
                </w:div>
                <w:div w:id="1761633821">
                  <w:marLeft w:val="0"/>
                  <w:marRight w:val="0"/>
                  <w:marTop w:val="0"/>
                  <w:marBottom w:val="0"/>
                  <w:divBdr>
                    <w:top w:val="none" w:sz="0" w:space="0" w:color="auto"/>
                    <w:left w:val="none" w:sz="0" w:space="0" w:color="auto"/>
                    <w:bottom w:val="none" w:sz="0" w:space="0" w:color="auto"/>
                    <w:right w:val="none" w:sz="0" w:space="0" w:color="auto"/>
                  </w:divBdr>
                  <w:divsChild>
                    <w:div w:id="1703090390">
                      <w:marLeft w:val="0"/>
                      <w:marRight w:val="0"/>
                      <w:marTop w:val="0"/>
                      <w:marBottom w:val="0"/>
                      <w:divBdr>
                        <w:top w:val="none" w:sz="0" w:space="0" w:color="auto"/>
                        <w:left w:val="none" w:sz="0" w:space="0" w:color="auto"/>
                        <w:bottom w:val="none" w:sz="0" w:space="0" w:color="auto"/>
                        <w:right w:val="none" w:sz="0" w:space="0" w:color="auto"/>
                      </w:divBdr>
                    </w:div>
                  </w:divsChild>
                </w:div>
                <w:div w:id="1764448181">
                  <w:marLeft w:val="0"/>
                  <w:marRight w:val="0"/>
                  <w:marTop w:val="0"/>
                  <w:marBottom w:val="0"/>
                  <w:divBdr>
                    <w:top w:val="none" w:sz="0" w:space="0" w:color="auto"/>
                    <w:left w:val="none" w:sz="0" w:space="0" w:color="auto"/>
                    <w:bottom w:val="none" w:sz="0" w:space="0" w:color="auto"/>
                    <w:right w:val="none" w:sz="0" w:space="0" w:color="auto"/>
                  </w:divBdr>
                  <w:divsChild>
                    <w:div w:id="2008900127">
                      <w:marLeft w:val="0"/>
                      <w:marRight w:val="0"/>
                      <w:marTop w:val="0"/>
                      <w:marBottom w:val="0"/>
                      <w:divBdr>
                        <w:top w:val="none" w:sz="0" w:space="0" w:color="auto"/>
                        <w:left w:val="none" w:sz="0" w:space="0" w:color="auto"/>
                        <w:bottom w:val="none" w:sz="0" w:space="0" w:color="auto"/>
                        <w:right w:val="none" w:sz="0" w:space="0" w:color="auto"/>
                      </w:divBdr>
                    </w:div>
                  </w:divsChild>
                </w:div>
                <w:div w:id="1777367154">
                  <w:marLeft w:val="0"/>
                  <w:marRight w:val="0"/>
                  <w:marTop w:val="0"/>
                  <w:marBottom w:val="0"/>
                  <w:divBdr>
                    <w:top w:val="none" w:sz="0" w:space="0" w:color="auto"/>
                    <w:left w:val="none" w:sz="0" w:space="0" w:color="auto"/>
                    <w:bottom w:val="none" w:sz="0" w:space="0" w:color="auto"/>
                    <w:right w:val="none" w:sz="0" w:space="0" w:color="auto"/>
                  </w:divBdr>
                  <w:divsChild>
                    <w:div w:id="1052535545">
                      <w:marLeft w:val="0"/>
                      <w:marRight w:val="0"/>
                      <w:marTop w:val="0"/>
                      <w:marBottom w:val="0"/>
                      <w:divBdr>
                        <w:top w:val="none" w:sz="0" w:space="0" w:color="auto"/>
                        <w:left w:val="none" w:sz="0" w:space="0" w:color="auto"/>
                        <w:bottom w:val="none" w:sz="0" w:space="0" w:color="auto"/>
                        <w:right w:val="none" w:sz="0" w:space="0" w:color="auto"/>
                      </w:divBdr>
                    </w:div>
                  </w:divsChild>
                </w:div>
                <w:div w:id="1780831412">
                  <w:marLeft w:val="0"/>
                  <w:marRight w:val="0"/>
                  <w:marTop w:val="0"/>
                  <w:marBottom w:val="0"/>
                  <w:divBdr>
                    <w:top w:val="none" w:sz="0" w:space="0" w:color="auto"/>
                    <w:left w:val="none" w:sz="0" w:space="0" w:color="auto"/>
                    <w:bottom w:val="none" w:sz="0" w:space="0" w:color="auto"/>
                    <w:right w:val="none" w:sz="0" w:space="0" w:color="auto"/>
                  </w:divBdr>
                  <w:divsChild>
                    <w:div w:id="846554532">
                      <w:marLeft w:val="0"/>
                      <w:marRight w:val="0"/>
                      <w:marTop w:val="0"/>
                      <w:marBottom w:val="0"/>
                      <w:divBdr>
                        <w:top w:val="none" w:sz="0" w:space="0" w:color="auto"/>
                        <w:left w:val="none" w:sz="0" w:space="0" w:color="auto"/>
                        <w:bottom w:val="none" w:sz="0" w:space="0" w:color="auto"/>
                        <w:right w:val="none" w:sz="0" w:space="0" w:color="auto"/>
                      </w:divBdr>
                    </w:div>
                  </w:divsChild>
                </w:div>
                <w:div w:id="1793133323">
                  <w:marLeft w:val="0"/>
                  <w:marRight w:val="0"/>
                  <w:marTop w:val="0"/>
                  <w:marBottom w:val="0"/>
                  <w:divBdr>
                    <w:top w:val="none" w:sz="0" w:space="0" w:color="auto"/>
                    <w:left w:val="none" w:sz="0" w:space="0" w:color="auto"/>
                    <w:bottom w:val="none" w:sz="0" w:space="0" w:color="auto"/>
                    <w:right w:val="none" w:sz="0" w:space="0" w:color="auto"/>
                  </w:divBdr>
                  <w:divsChild>
                    <w:div w:id="1015809237">
                      <w:marLeft w:val="0"/>
                      <w:marRight w:val="0"/>
                      <w:marTop w:val="0"/>
                      <w:marBottom w:val="0"/>
                      <w:divBdr>
                        <w:top w:val="none" w:sz="0" w:space="0" w:color="auto"/>
                        <w:left w:val="none" w:sz="0" w:space="0" w:color="auto"/>
                        <w:bottom w:val="none" w:sz="0" w:space="0" w:color="auto"/>
                        <w:right w:val="none" w:sz="0" w:space="0" w:color="auto"/>
                      </w:divBdr>
                    </w:div>
                  </w:divsChild>
                </w:div>
                <w:div w:id="1814374025">
                  <w:marLeft w:val="0"/>
                  <w:marRight w:val="0"/>
                  <w:marTop w:val="0"/>
                  <w:marBottom w:val="0"/>
                  <w:divBdr>
                    <w:top w:val="none" w:sz="0" w:space="0" w:color="auto"/>
                    <w:left w:val="none" w:sz="0" w:space="0" w:color="auto"/>
                    <w:bottom w:val="none" w:sz="0" w:space="0" w:color="auto"/>
                    <w:right w:val="none" w:sz="0" w:space="0" w:color="auto"/>
                  </w:divBdr>
                  <w:divsChild>
                    <w:div w:id="2137598721">
                      <w:marLeft w:val="0"/>
                      <w:marRight w:val="0"/>
                      <w:marTop w:val="0"/>
                      <w:marBottom w:val="0"/>
                      <w:divBdr>
                        <w:top w:val="none" w:sz="0" w:space="0" w:color="auto"/>
                        <w:left w:val="none" w:sz="0" w:space="0" w:color="auto"/>
                        <w:bottom w:val="none" w:sz="0" w:space="0" w:color="auto"/>
                        <w:right w:val="none" w:sz="0" w:space="0" w:color="auto"/>
                      </w:divBdr>
                    </w:div>
                  </w:divsChild>
                </w:div>
                <w:div w:id="1817064610">
                  <w:marLeft w:val="0"/>
                  <w:marRight w:val="0"/>
                  <w:marTop w:val="0"/>
                  <w:marBottom w:val="0"/>
                  <w:divBdr>
                    <w:top w:val="none" w:sz="0" w:space="0" w:color="auto"/>
                    <w:left w:val="none" w:sz="0" w:space="0" w:color="auto"/>
                    <w:bottom w:val="none" w:sz="0" w:space="0" w:color="auto"/>
                    <w:right w:val="none" w:sz="0" w:space="0" w:color="auto"/>
                  </w:divBdr>
                  <w:divsChild>
                    <w:div w:id="1987512944">
                      <w:marLeft w:val="0"/>
                      <w:marRight w:val="0"/>
                      <w:marTop w:val="0"/>
                      <w:marBottom w:val="0"/>
                      <w:divBdr>
                        <w:top w:val="none" w:sz="0" w:space="0" w:color="auto"/>
                        <w:left w:val="none" w:sz="0" w:space="0" w:color="auto"/>
                        <w:bottom w:val="none" w:sz="0" w:space="0" w:color="auto"/>
                        <w:right w:val="none" w:sz="0" w:space="0" w:color="auto"/>
                      </w:divBdr>
                    </w:div>
                  </w:divsChild>
                </w:div>
                <w:div w:id="1831628033">
                  <w:marLeft w:val="0"/>
                  <w:marRight w:val="0"/>
                  <w:marTop w:val="0"/>
                  <w:marBottom w:val="0"/>
                  <w:divBdr>
                    <w:top w:val="none" w:sz="0" w:space="0" w:color="auto"/>
                    <w:left w:val="none" w:sz="0" w:space="0" w:color="auto"/>
                    <w:bottom w:val="none" w:sz="0" w:space="0" w:color="auto"/>
                    <w:right w:val="none" w:sz="0" w:space="0" w:color="auto"/>
                  </w:divBdr>
                  <w:divsChild>
                    <w:div w:id="361173073">
                      <w:marLeft w:val="0"/>
                      <w:marRight w:val="0"/>
                      <w:marTop w:val="0"/>
                      <w:marBottom w:val="0"/>
                      <w:divBdr>
                        <w:top w:val="none" w:sz="0" w:space="0" w:color="auto"/>
                        <w:left w:val="none" w:sz="0" w:space="0" w:color="auto"/>
                        <w:bottom w:val="none" w:sz="0" w:space="0" w:color="auto"/>
                        <w:right w:val="none" w:sz="0" w:space="0" w:color="auto"/>
                      </w:divBdr>
                    </w:div>
                  </w:divsChild>
                </w:div>
                <w:div w:id="1837304459">
                  <w:marLeft w:val="0"/>
                  <w:marRight w:val="0"/>
                  <w:marTop w:val="0"/>
                  <w:marBottom w:val="0"/>
                  <w:divBdr>
                    <w:top w:val="none" w:sz="0" w:space="0" w:color="auto"/>
                    <w:left w:val="none" w:sz="0" w:space="0" w:color="auto"/>
                    <w:bottom w:val="none" w:sz="0" w:space="0" w:color="auto"/>
                    <w:right w:val="none" w:sz="0" w:space="0" w:color="auto"/>
                  </w:divBdr>
                  <w:divsChild>
                    <w:div w:id="626006074">
                      <w:marLeft w:val="0"/>
                      <w:marRight w:val="0"/>
                      <w:marTop w:val="0"/>
                      <w:marBottom w:val="0"/>
                      <w:divBdr>
                        <w:top w:val="none" w:sz="0" w:space="0" w:color="auto"/>
                        <w:left w:val="none" w:sz="0" w:space="0" w:color="auto"/>
                        <w:bottom w:val="none" w:sz="0" w:space="0" w:color="auto"/>
                        <w:right w:val="none" w:sz="0" w:space="0" w:color="auto"/>
                      </w:divBdr>
                    </w:div>
                  </w:divsChild>
                </w:div>
                <w:div w:id="1838496053">
                  <w:marLeft w:val="0"/>
                  <w:marRight w:val="0"/>
                  <w:marTop w:val="0"/>
                  <w:marBottom w:val="0"/>
                  <w:divBdr>
                    <w:top w:val="none" w:sz="0" w:space="0" w:color="auto"/>
                    <w:left w:val="none" w:sz="0" w:space="0" w:color="auto"/>
                    <w:bottom w:val="none" w:sz="0" w:space="0" w:color="auto"/>
                    <w:right w:val="none" w:sz="0" w:space="0" w:color="auto"/>
                  </w:divBdr>
                  <w:divsChild>
                    <w:div w:id="663899261">
                      <w:marLeft w:val="0"/>
                      <w:marRight w:val="0"/>
                      <w:marTop w:val="0"/>
                      <w:marBottom w:val="0"/>
                      <w:divBdr>
                        <w:top w:val="none" w:sz="0" w:space="0" w:color="auto"/>
                        <w:left w:val="none" w:sz="0" w:space="0" w:color="auto"/>
                        <w:bottom w:val="none" w:sz="0" w:space="0" w:color="auto"/>
                        <w:right w:val="none" w:sz="0" w:space="0" w:color="auto"/>
                      </w:divBdr>
                    </w:div>
                  </w:divsChild>
                </w:div>
                <w:div w:id="1851094290">
                  <w:marLeft w:val="0"/>
                  <w:marRight w:val="0"/>
                  <w:marTop w:val="0"/>
                  <w:marBottom w:val="0"/>
                  <w:divBdr>
                    <w:top w:val="none" w:sz="0" w:space="0" w:color="auto"/>
                    <w:left w:val="none" w:sz="0" w:space="0" w:color="auto"/>
                    <w:bottom w:val="none" w:sz="0" w:space="0" w:color="auto"/>
                    <w:right w:val="none" w:sz="0" w:space="0" w:color="auto"/>
                  </w:divBdr>
                  <w:divsChild>
                    <w:div w:id="1246644178">
                      <w:marLeft w:val="0"/>
                      <w:marRight w:val="0"/>
                      <w:marTop w:val="0"/>
                      <w:marBottom w:val="0"/>
                      <w:divBdr>
                        <w:top w:val="none" w:sz="0" w:space="0" w:color="auto"/>
                        <w:left w:val="none" w:sz="0" w:space="0" w:color="auto"/>
                        <w:bottom w:val="none" w:sz="0" w:space="0" w:color="auto"/>
                        <w:right w:val="none" w:sz="0" w:space="0" w:color="auto"/>
                      </w:divBdr>
                    </w:div>
                  </w:divsChild>
                </w:div>
                <w:div w:id="1858544180">
                  <w:marLeft w:val="0"/>
                  <w:marRight w:val="0"/>
                  <w:marTop w:val="0"/>
                  <w:marBottom w:val="0"/>
                  <w:divBdr>
                    <w:top w:val="none" w:sz="0" w:space="0" w:color="auto"/>
                    <w:left w:val="none" w:sz="0" w:space="0" w:color="auto"/>
                    <w:bottom w:val="none" w:sz="0" w:space="0" w:color="auto"/>
                    <w:right w:val="none" w:sz="0" w:space="0" w:color="auto"/>
                  </w:divBdr>
                  <w:divsChild>
                    <w:div w:id="1557230930">
                      <w:marLeft w:val="0"/>
                      <w:marRight w:val="0"/>
                      <w:marTop w:val="0"/>
                      <w:marBottom w:val="0"/>
                      <w:divBdr>
                        <w:top w:val="none" w:sz="0" w:space="0" w:color="auto"/>
                        <w:left w:val="none" w:sz="0" w:space="0" w:color="auto"/>
                        <w:bottom w:val="none" w:sz="0" w:space="0" w:color="auto"/>
                        <w:right w:val="none" w:sz="0" w:space="0" w:color="auto"/>
                      </w:divBdr>
                    </w:div>
                  </w:divsChild>
                </w:div>
                <w:div w:id="1865708772">
                  <w:marLeft w:val="0"/>
                  <w:marRight w:val="0"/>
                  <w:marTop w:val="0"/>
                  <w:marBottom w:val="0"/>
                  <w:divBdr>
                    <w:top w:val="none" w:sz="0" w:space="0" w:color="auto"/>
                    <w:left w:val="none" w:sz="0" w:space="0" w:color="auto"/>
                    <w:bottom w:val="none" w:sz="0" w:space="0" w:color="auto"/>
                    <w:right w:val="none" w:sz="0" w:space="0" w:color="auto"/>
                  </w:divBdr>
                  <w:divsChild>
                    <w:div w:id="1276015247">
                      <w:marLeft w:val="0"/>
                      <w:marRight w:val="0"/>
                      <w:marTop w:val="0"/>
                      <w:marBottom w:val="0"/>
                      <w:divBdr>
                        <w:top w:val="none" w:sz="0" w:space="0" w:color="auto"/>
                        <w:left w:val="none" w:sz="0" w:space="0" w:color="auto"/>
                        <w:bottom w:val="none" w:sz="0" w:space="0" w:color="auto"/>
                        <w:right w:val="none" w:sz="0" w:space="0" w:color="auto"/>
                      </w:divBdr>
                    </w:div>
                  </w:divsChild>
                </w:div>
                <w:div w:id="1869290233">
                  <w:marLeft w:val="0"/>
                  <w:marRight w:val="0"/>
                  <w:marTop w:val="0"/>
                  <w:marBottom w:val="0"/>
                  <w:divBdr>
                    <w:top w:val="none" w:sz="0" w:space="0" w:color="auto"/>
                    <w:left w:val="none" w:sz="0" w:space="0" w:color="auto"/>
                    <w:bottom w:val="none" w:sz="0" w:space="0" w:color="auto"/>
                    <w:right w:val="none" w:sz="0" w:space="0" w:color="auto"/>
                  </w:divBdr>
                  <w:divsChild>
                    <w:div w:id="1936742132">
                      <w:marLeft w:val="0"/>
                      <w:marRight w:val="0"/>
                      <w:marTop w:val="0"/>
                      <w:marBottom w:val="0"/>
                      <w:divBdr>
                        <w:top w:val="none" w:sz="0" w:space="0" w:color="auto"/>
                        <w:left w:val="none" w:sz="0" w:space="0" w:color="auto"/>
                        <w:bottom w:val="none" w:sz="0" w:space="0" w:color="auto"/>
                        <w:right w:val="none" w:sz="0" w:space="0" w:color="auto"/>
                      </w:divBdr>
                    </w:div>
                  </w:divsChild>
                </w:div>
                <w:div w:id="1869634995">
                  <w:marLeft w:val="0"/>
                  <w:marRight w:val="0"/>
                  <w:marTop w:val="0"/>
                  <w:marBottom w:val="0"/>
                  <w:divBdr>
                    <w:top w:val="none" w:sz="0" w:space="0" w:color="auto"/>
                    <w:left w:val="none" w:sz="0" w:space="0" w:color="auto"/>
                    <w:bottom w:val="none" w:sz="0" w:space="0" w:color="auto"/>
                    <w:right w:val="none" w:sz="0" w:space="0" w:color="auto"/>
                  </w:divBdr>
                  <w:divsChild>
                    <w:div w:id="736829478">
                      <w:marLeft w:val="0"/>
                      <w:marRight w:val="0"/>
                      <w:marTop w:val="0"/>
                      <w:marBottom w:val="0"/>
                      <w:divBdr>
                        <w:top w:val="none" w:sz="0" w:space="0" w:color="auto"/>
                        <w:left w:val="none" w:sz="0" w:space="0" w:color="auto"/>
                        <w:bottom w:val="none" w:sz="0" w:space="0" w:color="auto"/>
                        <w:right w:val="none" w:sz="0" w:space="0" w:color="auto"/>
                      </w:divBdr>
                    </w:div>
                  </w:divsChild>
                </w:div>
                <w:div w:id="1904562982">
                  <w:marLeft w:val="0"/>
                  <w:marRight w:val="0"/>
                  <w:marTop w:val="0"/>
                  <w:marBottom w:val="0"/>
                  <w:divBdr>
                    <w:top w:val="none" w:sz="0" w:space="0" w:color="auto"/>
                    <w:left w:val="none" w:sz="0" w:space="0" w:color="auto"/>
                    <w:bottom w:val="none" w:sz="0" w:space="0" w:color="auto"/>
                    <w:right w:val="none" w:sz="0" w:space="0" w:color="auto"/>
                  </w:divBdr>
                  <w:divsChild>
                    <w:div w:id="1166702336">
                      <w:marLeft w:val="0"/>
                      <w:marRight w:val="0"/>
                      <w:marTop w:val="0"/>
                      <w:marBottom w:val="0"/>
                      <w:divBdr>
                        <w:top w:val="none" w:sz="0" w:space="0" w:color="auto"/>
                        <w:left w:val="none" w:sz="0" w:space="0" w:color="auto"/>
                        <w:bottom w:val="none" w:sz="0" w:space="0" w:color="auto"/>
                        <w:right w:val="none" w:sz="0" w:space="0" w:color="auto"/>
                      </w:divBdr>
                    </w:div>
                  </w:divsChild>
                </w:div>
                <w:div w:id="1912037575">
                  <w:marLeft w:val="0"/>
                  <w:marRight w:val="0"/>
                  <w:marTop w:val="0"/>
                  <w:marBottom w:val="0"/>
                  <w:divBdr>
                    <w:top w:val="none" w:sz="0" w:space="0" w:color="auto"/>
                    <w:left w:val="none" w:sz="0" w:space="0" w:color="auto"/>
                    <w:bottom w:val="none" w:sz="0" w:space="0" w:color="auto"/>
                    <w:right w:val="none" w:sz="0" w:space="0" w:color="auto"/>
                  </w:divBdr>
                  <w:divsChild>
                    <w:div w:id="484981123">
                      <w:marLeft w:val="0"/>
                      <w:marRight w:val="0"/>
                      <w:marTop w:val="0"/>
                      <w:marBottom w:val="0"/>
                      <w:divBdr>
                        <w:top w:val="none" w:sz="0" w:space="0" w:color="auto"/>
                        <w:left w:val="none" w:sz="0" w:space="0" w:color="auto"/>
                        <w:bottom w:val="none" w:sz="0" w:space="0" w:color="auto"/>
                        <w:right w:val="none" w:sz="0" w:space="0" w:color="auto"/>
                      </w:divBdr>
                    </w:div>
                  </w:divsChild>
                </w:div>
                <w:div w:id="1921139514">
                  <w:marLeft w:val="0"/>
                  <w:marRight w:val="0"/>
                  <w:marTop w:val="0"/>
                  <w:marBottom w:val="0"/>
                  <w:divBdr>
                    <w:top w:val="none" w:sz="0" w:space="0" w:color="auto"/>
                    <w:left w:val="none" w:sz="0" w:space="0" w:color="auto"/>
                    <w:bottom w:val="none" w:sz="0" w:space="0" w:color="auto"/>
                    <w:right w:val="none" w:sz="0" w:space="0" w:color="auto"/>
                  </w:divBdr>
                  <w:divsChild>
                    <w:div w:id="568661937">
                      <w:marLeft w:val="0"/>
                      <w:marRight w:val="0"/>
                      <w:marTop w:val="0"/>
                      <w:marBottom w:val="0"/>
                      <w:divBdr>
                        <w:top w:val="none" w:sz="0" w:space="0" w:color="auto"/>
                        <w:left w:val="none" w:sz="0" w:space="0" w:color="auto"/>
                        <w:bottom w:val="none" w:sz="0" w:space="0" w:color="auto"/>
                        <w:right w:val="none" w:sz="0" w:space="0" w:color="auto"/>
                      </w:divBdr>
                    </w:div>
                  </w:divsChild>
                </w:div>
                <w:div w:id="1928343403">
                  <w:marLeft w:val="0"/>
                  <w:marRight w:val="0"/>
                  <w:marTop w:val="0"/>
                  <w:marBottom w:val="0"/>
                  <w:divBdr>
                    <w:top w:val="none" w:sz="0" w:space="0" w:color="auto"/>
                    <w:left w:val="none" w:sz="0" w:space="0" w:color="auto"/>
                    <w:bottom w:val="none" w:sz="0" w:space="0" w:color="auto"/>
                    <w:right w:val="none" w:sz="0" w:space="0" w:color="auto"/>
                  </w:divBdr>
                  <w:divsChild>
                    <w:div w:id="992491870">
                      <w:marLeft w:val="0"/>
                      <w:marRight w:val="0"/>
                      <w:marTop w:val="0"/>
                      <w:marBottom w:val="0"/>
                      <w:divBdr>
                        <w:top w:val="none" w:sz="0" w:space="0" w:color="auto"/>
                        <w:left w:val="none" w:sz="0" w:space="0" w:color="auto"/>
                        <w:bottom w:val="none" w:sz="0" w:space="0" w:color="auto"/>
                        <w:right w:val="none" w:sz="0" w:space="0" w:color="auto"/>
                      </w:divBdr>
                    </w:div>
                  </w:divsChild>
                </w:div>
                <w:div w:id="1928691504">
                  <w:marLeft w:val="0"/>
                  <w:marRight w:val="0"/>
                  <w:marTop w:val="0"/>
                  <w:marBottom w:val="0"/>
                  <w:divBdr>
                    <w:top w:val="none" w:sz="0" w:space="0" w:color="auto"/>
                    <w:left w:val="none" w:sz="0" w:space="0" w:color="auto"/>
                    <w:bottom w:val="none" w:sz="0" w:space="0" w:color="auto"/>
                    <w:right w:val="none" w:sz="0" w:space="0" w:color="auto"/>
                  </w:divBdr>
                  <w:divsChild>
                    <w:div w:id="998269268">
                      <w:marLeft w:val="0"/>
                      <w:marRight w:val="0"/>
                      <w:marTop w:val="0"/>
                      <w:marBottom w:val="0"/>
                      <w:divBdr>
                        <w:top w:val="none" w:sz="0" w:space="0" w:color="auto"/>
                        <w:left w:val="none" w:sz="0" w:space="0" w:color="auto"/>
                        <w:bottom w:val="none" w:sz="0" w:space="0" w:color="auto"/>
                        <w:right w:val="none" w:sz="0" w:space="0" w:color="auto"/>
                      </w:divBdr>
                    </w:div>
                  </w:divsChild>
                </w:div>
                <w:div w:id="1941329433">
                  <w:marLeft w:val="0"/>
                  <w:marRight w:val="0"/>
                  <w:marTop w:val="0"/>
                  <w:marBottom w:val="0"/>
                  <w:divBdr>
                    <w:top w:val="none" w:sz="0" w:space="0" w:color="auto"/>
                    <w:left w:val="none" w:sz="0" w:space="0" w:color="auto"/>
                    <w:bottom w:val="none" w:sz="0" w:space="0" w:color="auto"/>
                    <w:right w:val="none" w:sz="0" w:space="0" w:color="auto"/>
                  </w:divBdr>
                  <w:divsChild>
                    <w:div w:id="469716764">
                      <w:marLeft w:val="0"/>
                      <w:marRight w:val="0"/>
                      <w:marTop w:val="0"/>
                      <w:marBottom w:val="0"/>
                      <w:divBdr>
                        <w:top w:val="none" w:sz="0" w:space="0" w:color="auto"/>
                        <w:left w:val="none" w:sz="0" w:space="0" w:color="auto"/>
                        <w:bottom w:val="none" w:sz="0" w:space="0" w:color="auto"/>
                        <w:right w:val="none" w:sz="0" w:space="0" w:color="auto"/>
                      </w:divBdr>
                    </w:div>
                  </w:divsChild>
                </w:div>
                <w:div w:id="1950577878">
                  <w:marLeft w:val="0"/>
                  <w:marRight w:val="0"/>
                  <w:marTop w:val="0"/>
                  <w:marBottom w:val="0"/>
                  <w:divBdr>
                    <w:top w:val="none" w:sz="0" w:space="0" w:color="auto"/>
                    <w:left w:val="none" w:sz="0" w:space="0" w:color="auto"/>
                    <w:bottom w:val="none" w:sz="0" w:space="0" w:color="auto"/>
                    <w:right w:val="none" w:sz="0" w:space="0" w:color="auto"/>
                  </w:divBdr>
                  <w:divsChild>
                    <w:div w:id="1579098221">
                      <w:marLeft w:val="0"/>
                      <w:marRight w:val="0"/>
                      <w:marTop w:val="0"/>
                      <w:marBottom w:val="0"/>
                      <w:divBdr>
                        <w:top w:val="none" w:sz="0" w:space="0" w:color="auto"/>
                        <w:left w:val="none" w:sz="0" w:space="0" w:color="auto"/>
                        <w:bottom w:val="none" w:sz="0" w:space="0" w:color="auto"/>
                        <w:right w:val="none" w:sz="0" w:space="0" w:color="auto"/>
                      </w:divBdr>
                    </w:div>
                  </w:divsChild>
                </w:div>
                <w:div w:id="1950625077">
                  <w:marLeft w:val="0"/>
                  <w:marRight w:val="0"/>
                  <w:marTop w:val="0"/>
                  <w:marBottom w:val="0"/>
                  <w:divBdr>
                    <w:top w:val="none" w:sz="0" w:space="0" w:color="auto"/>
                    <w:left w:val="none" w:sz="0" w:space="0" w:color="auto"/>
                    <w:bottom w:val="none" w:sz="0" w:space="0" w:color="auto"/>
                    <w:right w:val="none" w:sz="0" w:space="0" w:color="auto"/>
                  </w:divBdr>
                  <w:divsChild>
                    <w:div w:id="909272391">
                      <w:marLeft w:val="0"/>
                      <w:marRight w:val="0"/>
                      <w:marTop w:val="0"/>
                      <w:marBottom w:val="0"/>
                      <w:divBdr>
                        <w:top w:val="none" w:sz="0" w:space="0" w:color="auto"/>
                        <w:left w:val="none" w:sz="0" w:space="0" w:color="auto"/>
                        <w:bottom w:val="none" w:sz="0" w:space="0" w:color="auto"/>
                        <w:right w:val="none" w:sz="0" w:space="0" w:color="auto"/>
                      </w:divBdr>
                    </w:div>
                  </w:divsChild>
                </w:div>
                <w:div w:id="1954894851">
                  <w:marLeft w:val="0"/>
                  <w:marRight w:val="0"/>
                  <w:marTop w:val="0"/>
                  <w:marBottom w:val="0"/>
                  <w:divBdr>
                    <w:top w:val="none" w:sz="0" w:space="0" w:color="auto"/>
                    <w:left w:val="none" w:sz="0" w:space="0" w:color="auto"/>
                    <w:bottom w:val="none" w:sz="0" w:space="0" w:color="auto"/>
                    <w:right w:val="none" w:sz="0" w:space="0" w:color="auto"/>
                  </w:divBdr>
                  <w:divsChild>
                    <w:div w:id="1378235979">
                      <w:marLeft w:val="0"/>
                      <w:marRight w:val="0"/>
                      <w:marTop w:val="0"/>
                      <w:marBottom w:val="0"/>
                      <w:divBdr>
                        <w:top w:val="none" w:sz="0" w:space="0" w:color="auto"/>
                        <w:left w:val="none" w:sz="0" w:space="0" w:color="auto"/>
                        <w:bottom w:val="none" w:sz="0" w:space="0" w:color="auto"/>
                        <w:right w:val="none" w:sz="0" w:space="0" w:color="auto"/>
                      </w:divBdr>
                    </w:div>
                  </w:divsChild>
                </w:div>
                <w:div w:id="1968658082">
                  <w:marLeft w:val="0"/>
                  <w:marRight w:val="0"/>
                  <w:marTop w:val="0"/>
                  <w:marBottom w:val="0"/>
                  <w:divBdr>
                    <w:top w:val="none" w:sz="0" w:space="0" w:color="auto"/>
                    <w:left w:val="none" w:sz="0" w:space="0" w:color="auto"/>
                    <w:bottom w:val="none" w:sz="0" w:space="0" w:color="auto"/>
                    <w:right w:val="none" w:sz="0" w:space="0" w:color="auto"/>
                  </w:divBdr>
                  <w:divsChild>
                    <w:div w:id="843125190">
                      <w:marLeft w:val="0"/>
                      <w:marRight w:val="0"/>
                      <w:marTop w:val="0"/>
                      <w:marBottom w:val="0"/>
                      <w:divBdr>
                        <w:top w:val="none" w:sz="0" w:space="0" w:color="auto"/>
                        <w:left w:val="none" w:sz="0" w:space="0" w:color="auto"/>
                        <w:bottom w:val="none" w:sz="0" w:space="0" w:color="auto"/>
                        <w:right w:val="none" w:sz="0" w:space="0" w:color="auto"/>
                      </w:divBdr>
                    </w:div>
                  </w:divsChild>
                </w:div>
                <w:div w:id="1972395904">
                  <w:marLeft w:val="0"/>
                  <w:marRight w:val="0"/>
                  <w:marTop w:val="0"/>
                  <w:marBottom w:val="0"/>
                  <w:divBdr>
                    <w:top w:val="none" w:sz="0" w:space="0" w:color="auto"/>
                    <w:left w:val="none" w:sz="0" w:space="0" w:color="auto"/>
                    <w:bottom w:val="none" w:sz="0" w:space="0" w:color="auto"/>
                    <w:right w:val="none" w:sz="0" w:space="0" w:color="auto"/>
                  </w:divBdr>
                  <w:divsChild>
                    <w:div w:id="1363945511">
                      <w:marLeft w:val="0"/>
                      <w:marRight w:val="0"/>
                      <w:marTop w:val="0"/>
                      <w:marBottom w:val="0"/>
                      <w:divBdr>
                        <w:top w:val="none" w:sz="0" w:space="0" w:color="auto"/>
                        <w:left w:val="none" w:sz="0" w:space="0" w:color="auto"/>
                        <w:bottom w:val="none" w:sz="0" w:space="0" w:color="auto"/>
                        <w:right w:val="none" w:sz="0" w:space="0" w:color="auto"/>
                      </w:divBdr>
                    </w:div>
                  </w:divsChild>
                </w:div>
                <w:div w:id="1976138061">
                  <w:marLeft w:val="0"/>
                  <w:marRight w:val="0"/>
                  <w:marTop w:val="0"/>
                  <w:marBottom w:val="0"/>
                  <w:divBdr>
                    <w:top w:val="none" w:sz="0" w:space="0" w:color="auto"/>
                    <w:left w:val="none" w:sz="0" w:space="0" w:color="auto"/>
                    <w:bottom w:val="none" w:sz="0" w:space="0" w:color="auto"/>
                    <w:right w:val="none" w:sz="0" w:space="0" w:color="auto"/>
                  </w:divBdr>
                  <w:divsChild>
                    <w:div w:id="1785924328">
                      <w:marLeft w:val="0"/>
                      <w:marRight w:val="0"/>
                      <w:marTop w:val="0"/>
                      <w:marBottom w:val="0"/>
                      <w:divBdr>
                        <w:top w:val="none" w:sz="0" w:space="0" w:color="auto"/>
                        <w:left w:val="none" w:sz="0" w:space="0" w:color="auto"/>
                        <w:bottom w:val="none" w:sz="0" w:space="0" w:color="auto"/>
                        <w:right w:val="none" w:sz="0" w:space="0" w:color="auto"/>
                      </w:divBdr>
                    </w:div>
                  </w:divsChild>
                </w:div>
                <w:div w:id="1980842676">
                  <w:marLeft w:val="0"/>
                  <w:marRight w:val="0"/>
                  <w:marTop w:val="0"/>
                  <w:marBottom w:val="0"/>
                  <w:divBdr>
                    <w:top w:val="none" w:sz="0" w:space="0" w:color="auto"/>
                    <w:left w:val="none" w:sz="0" w:space="0" w:color="auto"/>
                    <w:bottom w:val="none" w:sz="0" w:space="0" w:color="auto"/>
                    <w:right w:val="none" w:sz="0" w:space="0" w:color="auto"/>
                  </w:divBdr>
                  <w:divsChild>
                    <w:div w:id="1203664063">
                      <w:marLeft w:val="0"/>
                      <w:marRight w:val="0"/>
                      <w:marTop w:val="0"/>
                      <w:marBottom w:val="0"/>
                      <w:divBdr>
                        <w:top w:val="none" w:sz="0" w:space="0" w:color="auto"/>
                        <w:left w:val="none" w:sz="0" w:space="0" w:color="auto"/>
                        <w:bottom w:val="none" w:sz="0" w:space="0" w:color="auto"/>
                        <w:right w:val="none" w:sz="0" w:space="0" w:color="auto"/>
                      </w:divBdr>
                    </w:div>
                  </w:divsChild>
                </w:div>
                <w:div w:id="1988170664">
                  <w:marLeft w:val="0"/>
                  <w:marRight w:val="0"/>
                  <w:marTop w:val="0"/>
                  <w:marBottom w:val="0"/>
                  <w:divBdr>
                    <w:top w:val="none" w:sz="0" w:space="0" w:color="auto"/>
                    <w:left w:val="none" w:sz="0" w:space="0" w:color="auto"/>
                    <w:bottom w:val="none" w:sz="0" w:space="0" w:color="auto"/>
                    <w:right w:val="none" w:sz="0" w:space="0" w:color="auto"/>
                  </w:divBdr>
                  <w:divsChild>
                    <w:div w:id="2010517121">
                      <w:marLeft w:val="0"/>
                      <w:marRight w:val="0"/>
                      <w:marTop w:val="0"/>
                      <w:marBottom w:val="0"/>
                      <w:divBdr>
                        <w:top w:val="none" w:sz="0" w:space="0" w:color="auto"/>
                        <w:left w:val="none" w:sz="0" w:space="0" w:color="auto"/>
                        <w:bottom w:val="none" w:sz="0" w:space="0" w:color="auto"/>
                        <w:right w:val="none" w:sz="0" w:space="0" w:color="auto"/>
                      </w:divBdr>
                    </w:div>
                  </w:divsChild>
                </w:div>
                <w:div w:id="1993169985">
                  <w:marLeft w:val="0"/>
                  <w:marRight w:val="0"/>
                  <w:marTop w:val="0"/>
                  <w:marBottom w:val="0"/>
                  <w:divBdr>
                    <w:top w:val="none" w:sz="0" w:space="0" w:color="auto"/>
                    <w:left w:val="none" w:sz="0" w:space="0" w:color="auto"/>
                    <w:bottom w:val="none" w:sz="0" w:space="0" w:color="auto"/>
                    <w:right w:val="none" w:sz="0" w:space="0" w:color="auto"/>
                  </w:divBdr>
                  <w:divsChild>
                    <w:div w:id="1614435374">
                      <w:marLeft w:val="0"/>
                      <w:marRight w:val="0"/>
                      <w:marTop w:val="0"/>
                      <w:marBottom w:val="0"/>
                      <w:divBdr>
                        <w:top w:val="none" w:sz="0" w:space="0" w:color="auto"/>
                        <w:left w:val="none" w:sz="0" w:space="0" w:color="auto"/>
                        <w:bottom w:val="none" w:sz="0" w:space="0" w:color="auto"/>
                        <w:right w:val="none" w:sz="0" w:space="0" w:color="auto"/>
                      </w:divBdr>
                    </w:div>
                  </w:divsChild>
                </w:div>
                <w:div w:id="2017877598">
                  <w:marLeft w:val="0"/>
                  <w:marRight w:val="0"/>
                  <w:marTop w:val="0"/>
                  <w:marBottom w:val="0"/>
                  <w:divBdr>
                    <w:top w:val="none" w:sz="0" w:space="0" w:color="auto"/>
                    <w:left w:val="none" w:sz="0" w:space="0" w:color="auto"/>
                    <w:bottom w:val="none" w:sz="0" w:space="0" w:color="auto"/>
                    <w:right w:val="none" w:sz="0" w:space="0" w:color="auto"/>
                  </w:divBdr>
                  <w:divsChild>
                    <w:div w:id="840588634">
                      <w:marLeft w:val="0"/>
                      <w:marRight w:val="0"/>
                      <w:marTop w:val="0"/>
                      <w:marBottom w:val="0"/>
                      <w:divBdr>
                        <w:top w:val="none" w:sz="0" w:space="0" w:color="auto"/>
                        <w:left w:val="none" w:sz="0" w:space="0" w:color="auto"/>
                        <w:bottom w:val="none" w:sz="0" w:space="0" w:color="auto"/>
                        <w:right w:val="none" w:sz="0" w:space="0" w:color="auto"/>
                      </w:divBdr>
                    </w:div>
                  </w:divsChild>
                </w:div>
                <w:div w:id="2024042113">
                  <w:marLeft w:val="0"/>
                  <w:marRight w:val="0"/>
                  <w:marTop w:val="0"/>
                  <w:marBottom w:val="0"/>
                  <w:divBdr>
                    <w:top w:val="none" w:sz="0" w:space="0" w:color="auto"/>
                    <w:left w:val="none" w:sz="0" w:space="0" w:color="auto"/>
                    <w:bottom w:val="none" w:sz="0" w:space="0" w:color="auto"/>
                    <w:right w:val="none" w:sz="0" w:space="0" w:color="auto"/>
                  </w:divBdr>
                  <w:divsChild>
                    <w:div w:id="1354070368">
                      <w:marLeft w:val="0"/>
                      <w:marRight w:val="0"/>
                      <w:marTop w:val="0"/>
                      <w:marBottom w:val="0"/>
                      <w:divBdr>
                        <w:top w:val="none" w:sz="0" w:space="0" w:color="auto"/>
                        <w:left w:val="none" w:sz="0" w:space="0" w:color="auto"/>
                        <w:bottom w:val="none" w:sz="0" w:space="0" w:color="auto"/>
                        <w:right w:val="none" w:sz="0" w:space="0" w:color="auto"/>
                      </w:divBdr>
                    </w:div>
                  </w:divsChild>
                </w:div>
                <w:div w:id="2069105587">
                  <w:marLeft w:val="0"/>
                  <w:marRight w:val="0"/>
                  <w:marTop w:val="0"/>
                  <w:marBottom w:val="0"/>
                  <w:divBdr>
                    <w:top w:val="none" w:sz="0" w:space="0" w:color="auto"/>
                    <w:left w:val="none" w:sz="0" w:space="0" w:color="auto"/>
                    <w:bottom w:val="none" w:sz="0" w:space="0" w:color="auto"/>
                    <w:right w:val="none" w:sz="0" w:space="0" w:color="auto"/>
                  </w:divBdr>
                  <w:divsChild>
                    <w:div w:id="897322265">
                      <w:marLeft w:val="0"/>
                      <w:marRight w:val="0"/>
                      <w:marTop w:val="0"/>
                      <w:marBottom w:val="0"/>
                      <w:divBdr>
                        <w:top w:val="none" w:sz="0" w:space="0" w:color="auto"/>
                        <w:left w:val="none" w:sz="0" w:space="0" w:color="auto"/>
                        <w:bottom w:val="none" w:sz="0" w:space="0" w:color="auto"/>
                        <w:right w:val="none" w:sz="0" w:space="0" w:color="auto"/>
                      </w:divBdr>
                    </w:div>
                  </w:divsChild>
                </w:div>
                <w:div w:id="2070961261">
                  <w:marLeft w:val="0"/>
                  <w:marRight w:val="0"/>
                  <w:marTop w:val="0"/>
                  <w:marBottom w:val="0"/>
                  <w:divBdr>
                    <w:top w:val="none" w:sz="0" w:space="0" w:color="auto"/>
                    <w:left w:val="none" w:sz="0" w:space="0" w:color="auto"/>
                    <w:bottom w:val="none" w:sz="0" w:space="0" w:color="auto"/>
                    <w:right w:val="none" w:sz="0" w:space="0" w:color="auto"/>
                  </w:divBdr>
                  <w:divsChild>
                    <w:div w:id="1904608129">
                      <w:marLeft w:val="0"/>
                      <w:marRight w:val="0"/>
                      <w:marTop w:val="0"/>
                      <w:marBottom w:val="0"/>
                      <w:divBdr>
                        <w:top w:val="none" w:sz="0" w:space="0" w:color="auto"/>
                        <w:left w:val="none" w:sz="0" w:space="0" w:color="auto"/>
                        <w:bottom w:val="none" w:sz="0" w:space="0" w:color="auto"/>
                        <w:right w:val="none" w:sz="0" w:space="0" w:color="auto"/>
                      </w:divBdr>
                    </w:div>
                  </w:divsChild>
                </w:div>
                <w:div w:id="2082019593">
                  <w:marLeft w:val="0"/>
                  <w:marRight w:val="0"/>
                  <w:marTop w:val="0"/>
                  <w:marBottom w:val="0"/>
                  <w:divBdr>
                    <w:top w:val="none" w:sz="0" w:space="0" w:color="auto"/>
                    <w:left w:val="none" w:sz="0" w:space="0" w:color="auto"/>
                    <w:bottom w:val="none" w:sz="0" w:space="0" w:color="auto"/>
                    <w:right w:val="none" w:sz="0" w:space="0" w:color="auto"/>
                  </w:divBdr>
                  <w:divsChild>
                    <w:div w:id="1672635609">
                      <w:marLeft w:val="0"/>
                      <w:marRight w:val="0"/>
                      <w:marTop w:val="0"/>
                      <w:marBottom w:val="0"/>
                      <w:divBdr>
                        <w:top w:val="none" w:sz="0" w:space="0" w:color="auto"/>
                        <w:left w:val="none" w:sz="0" w:space="0" w:color="auto"/>
                        <w:bottom w:val="none" w:sz="0" w:space="0" w:color="auto"/>
                        <w:right w:val="none" w:sz="0" w:space="0" w:color="auto"/>
                      </w:divBdr>
                    </w:div>
                  </w:divsChild>
                </w:div>
                <w:div w:id="2085368750">
                  <w:marLeft w:val="0"/>
                  <w:marRight w:val="0"/>
                  <w:marTop w:val="0"/>
                  <w:marBottom w:val="0"/>
                  <w:divBdr>
                    <w:top w:val="none" w:sz="0" w:space="0" w:color="auto"/>
                    <w:left w:val="none" w:sz="0" w:space="0" w:color="auto"/>
                    <w:bottom w:val="none" w:sz="0" w:space="0" w:color="auto"/>
                    <w:right w:val="none" w:sz="0" w:space="0" w:color="auto"/>
                  </w:divBdr>
                  <w:divsChild>
                    <w:div w:id="436370297">
                      <w:marLeft w:val="0"/>
                      <w:marRight w:val="0"/>
                      <w:marTop w:val="0"/>
                      <w:marBottom w:val="0"/>
                      <w:divBdr>
                        <w:top w:val="none" w:sz="0" w:space="0" w:color="auto"/>
                        <w:left w:val="none" w:sz="0" w:space="0" w:color="auto"/>
                        <w:bottom w:val="none" w:sz="0" w:space="0" w:color="auto"/>
                        <w:right w:val="none" w:sz="0" w:space="0" w:color="auto"/>
                      </w:divBdr>
                    </w:div>
                  </w:divsChild>
                </w:div>
                <w:div w:id="2095781338">
                  <w:marLeft w:val="0"/>
                  <w:marRight w:val="0"/>
                  <w:marTop w:val="0"/>
                  <w:marBottom w:val="0"/>
                  <w:divBdr>
                    <w:top w:val="none" w:sz="0" w:space="0" w:color="auto"/>
                    <w:left w:val="none" w:sz="0" w:space="0" w:color="auto"/>
                    <w:bottom w:val="none" w:sz="0" w:space="0" w:color="auto"/>
                    <w:right w:val="none" w:sz="0" w:space="0" w:color="auto"/>
                  </w:divBdr>
                  <w:divsChild>
                    <w:div w:id="419181264">
                      <w:marLeft w:val="0"/>
                      <w:marRight w:val="0"/>
                      <w:marTop w:val="0"/>
                      <w:marBottom w:val="0"/>
                      <w:divBdr>
                        <w:top w:val="none" w:sz="0" w:space="0" w:color="auto"/>
                        <w:left w:val="none" w:sz="0" w:space="0" w:color="auto"/>
                        <w:bottom w:val="none" w:sz="0" w:space="0" w:color="auto"/>
                        <w:right w:val="none" w:sz="0" w:space="0" w:color="auto"/>
                      </w:divBdr>
                    </w:div>
                  </w:divsChild>
                </w:div>
                <w:div w:id="2119331276">
                  <w:marLeft w:val="0"/>
                  <w:marRight w:val="0"/>
                  <w:marTop w:val="0"/>
                  <w:marBottom w:val="0"/>
                  <w:divBdr>
                    <w:top w:val="none" w:sz="0" w:space="0" w:color="auto"/>
                    <w:left w:val="none" w:sz="0" w:space="0" w:color="auto"/>
                    <w:bottom w:val="none" w:sz="0" w:space="0" w:color="auto"/>
                    <w:right w:val="none" w:sz="0" w:space="0" w:color="auto"/>
                  </w:divBdr>
                  <w:divsChild>
                    <w:div w:id="642269665">
                      <w:marLeft w:val="0"/>
                      <w:marRight w:val="0"/>
                      <w:marTop w:val="0"/>
                      <w:marBottom w:val="0"/>
                      <w:divBdr>
                        <w:top w:val="none" w:sz="0" w:space="0" w:color="auto"/>
                        <w:left w:val="none" w:sz="0" w:space="0" w:color="auto"/>
                        <w:bottom w:val="none" w:sz="0" w:space="0" w:color="auto"/>
                        <w:right w:val="none" w:sz="0" w:space="0" w:color="auto"/>
                      </w:divBdr>
                    </w:div>
                  </w:divsChild>
                </w:div>
                <w:div w:id="2143300982">
                  <w:marLeft w:val="0"/>
                  <w:marRight w:val="0"/>
                  <w:marTop w:val="0"/>
                  <w:marBottom w:val="0"/>
                  <w:divBdr>
                    <w:top w:val="none" w:sz="0" w:space="0" w:color="auto"/>
                    <w:left w:val="none" w:sz="0" w:space="0" w:color="auto"/>
                    <w:bottom w:val="none" w:sz="0" w:space="0" w:color="auto"/>
                    <w:right w:val="none" w:sz="0" w:space="0" w:color="auto"/>
                  </w:divBdr>
                  <w:divsChild>
                    <w:div w:id="1762485639">
                      <w:marLeft w:val="0"/>
                      <w:marRight w:val="0"/>
                      <w:marTop w:val="0"/>
                      <w:marBottom w:val="0"/>
                      <w:divBdr>
                        <w:top w:val="none" w:sz="0" w:space="0" w:color="auto"/>
                        <w:left w:val="none" w:sz="0" w:space="0" w:color="auto"/>
                        <w:bottom w:val="none" w:sz="0" w:space="0" w:color="auto"/>
                        <w:right w:val="none" w:sz="0" w:space="0" w:color="auto"/>
                      </w:divBdr>
                    </w:div>
                  </w:divsChild>
                </w:div>
                <w:div w:id="2145342249">
                  <w:marLeft w:val="0"/>
                  <w:marRight w:val="0"/>
                  <w:marTop w:val="0"/>
                  <w:marBottom w:val="0"/>
                  <w:divBdr>
                    <w:top w:val="none" w:sz="0" w:space="0" w:color="auto"/>
                    <w:left w:val="none" w:sz="0" w:space="0" w:color="auto"/>
                    <w:bottom w:val="none" w:sz="0" w:space="0" w:color="auto"/>
                    <w:right w:val="none" w:sz="0" w:space="0" w:color="auto"/>
                  </w:divBdr>
                  <w:divsChild>
                    <w:div w:id="17624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05394">
          <w:marLeft w:val="0"/>
          <w:marRight w:val="0"/>
          <w:marTop w:val="0"/>
          <w:marBottom w:val="0"/>
          <w:divBdr>
            <w:top w:val="none" w:sz="0" w:space="0" w:color="auto"/>
            <w:left w:val="none" w:sz="0" w:space="0" w:color="auto"/>
            <w:bottom w:val="none" w:sz="0" w:space="0" w:color="auto"/>
            <w:right w:val="none" w:sz="0" w:space="0" w:color="auto"/>
          </w:divBdr>
        </w:div>
        <w:div w:id="492377306">
          <w:marLeft w:val="0"/>
          <w:marRight w:val="0"/>
          <w:marTop w:val="0"/>
          <w:marBottom w:val="0"/>
          <w:divBdr>
            <w:top w:val="none" w:sz="0" w:space="0" w:color="auto"/>
            <w:left w:val="none" w:sz="0" w:space="0" w:color="auto"/>
            <w:bottom w:val="none" w:sz="0" w:space="0" w:color="auto"/>
            <w:right w:val="none" w:sz="0" w:space="0" w:color="auto"/>
          </w:divBdr>
        </w:div>
        <w:div w:id="541675407">
          <w:marLeft w:val="0"/>
          <w:marRight w:val="0"/>
          <w:marTop w:val="0"/>
          <w:marBottom w:val="0"/>
          <w:divBdr>
            <w:top w:val="none" w:sz="0" w:space="0" w:color="auto"/>
            <w:left w:val="none" w:sz="0" w:space="0" w:color="auto"/>
            <w:bottom w:val="none" w:sz="0" w:space="0" w:color="auto"/>
            <w:right w:val="none" w:sz="0" w:space="0" w:color="auto"/>
          </w:divBdr>
        </w:div>
        <w:div w:id="543907218">
          <w:marLeft w:val="0"/>
          <w:marRight w:val="0"/>
          <w:marTop w:val="0"/>
          <w:marBottom w:val="0"/>
          <w:divBdr>
            <w:top w:val="none" w:sz="0" w:space="0" w:color="auto"/>
            <w:left w:val="none" w:sz="0" w:space="0" w:color="auto"/>
            <w:bottom w:val="none" w:sz="0" w:space="0" w:color="auto"/>
            <w:right w:val="none" w:sz="0" w:space="0" w:color="auto"/>
          </w:divBdr>
        </w:div>
        <w:div w:id="545067832">
          <w:marLeft w:val="0"/>
          <w:marRight w:val="0"/>
          <w:marTop w:val="0"/>
          <w:marBottom w:val="0"/>
          <w:divBdr>
            <w:top w:val="none" w:sz="0" w:space="0" w:color="auto"/>
            <w:left w:val="none" w:sz="0" w:space="0" w:color="auto"/>
            <w:bottom w:val="none" w:sz="0" w:space="0" w:color="auto"/>
            <w:right w:val="none" w:sz="0" w:space="0" w:color="auto"/>
          </w:divBdr>
        </w:div>
        <w:div w:id="549996942">
          <w:marLeft w:val="0"/>
          <w:marRight w:val="0"/>
          <w:marTop w:val="0"/>
          <w:marBottom w:val="0"/>
          <w:divBdr>
            <w:top w:val="none" w:sz="0" w:space="0" w:color="auto"/>
            <w:left w:val="none" w:sz="0" w:space="0" w:color="auto"/>
            <w:bottom w:val="none" w:sz="0" w:space="0" w:color="auto"/>
            <w:right w:val="none" w:sz="0" w:space="0" w:color="auto"/>
          </w:divBdr>
        </w:div>
        <w:div w:id="560797513">
          <w:marLeft w:val="0"/>
          <w:marRight w:val="0"/>
          <w:marTop w:val="0"/>
          <w:marBottom w:val="0"/>
          <w:divBdr>
            <w:top w:val="none" w:sz="0" w:space="0" w:color="auto"/>
            <w:left w:val="none" w:sz="0" w:space="0" w:color="auto"/>
            <w:bottom w:val="none" w:sz="0" w:space="0" w:color="auto"/>
            <w:right w:val="none" w:sz="0" w:space="0" w:color="auto"/>
          </w:divBdr>
          <w:divsChild>
            <w:div w:id="698896871">
              <w:marLeft w:val="0"/>
              <w:marRight w:val="0"/>
              <w:marTop w:val="0"/>
              <w:marBottom w:val="0"/>
              <w:divBdr>
                <w:top w:val="none" w:sz="0" w:space="0" w:color="auto"/>
                <w:left w:val="none" w:sz="0" w:space="0" w:color="auto"/>
                <w:bottom w:val="none" w:sz="0" w:space="0" w:color="auto"/>
                <w:right w:val="none" w:sz="0" w:space="0" w:color="auto"/>
              </w:divBdr>
            </w:div>
            <w:div w:id="763065925">
              <w:marLeft w:val="0"/>
              <w:marRight w:val="0"/>
              <w:marTop w:val="0"/>
              <w:marBottom w:val="0"/>
              <w:divBdr>
                <w:top w:val="none" w:sz="0" w:space="0" w:color="auto"/>
                <w:left w:val="none" w:sz="0" w:space="0" w:color="auto"/>
                <w:bottom w:val="none" w:sz="0" w:space="0" w:color="auto"/>
                <w:right w:val="none" w:sz="0" w:space="0" w:color="auto"/>
              </w:divBdr>
            </w:div>
            <w:div w:id="994456441">
              <w:marLeft w:val="0"/>
              <w:marRight w:val="0"/>
              <w:marTop w:val="0"/>
              <w:marBottom w:val="0"/>
              <w:divBdr>
                <w:top w:val="none" w:sz="0" w:space="0" w:color="auto"/>
                <w:left w:val="none" w:sz="0" w:space="0" w:color="auto"/>
                <w:bottom w:val="none" w:sz="0" w:space="0" w:color="auto"/>
                <w:right w:val="none" w:sz="0" w:space="0" w:color="auto"/>
              </w:divBdr>
            </w:div>
            <w:div w:id="1272321547">
              <w:marLeft w:val="0"/>
              <w:marRight w:val="0"/>
              <w:marTop w:val="0"/>
              <w:marBottom w:val="0"/>
              <w:divBdr>
                <w:top w:val="none" w:sz="0" w:space="0" w:color="auto"/>
                <w:left w:val="none" w:sz="0" w:space="0" w:color="auto"/>
                <w:bottom w:val="none" w:sz="0" w:space="0" w:color="auto"/>
                <w:right w:val="none" w:sz="0" w:space="0" w:color="auto"/>
              </w:divBdr>
            </w:div>
            <w:div w:id="1316645045">
              <w:marLeft w:val="0"/>
              <w:marRight w:val="0"/>
              <w:marTop w:val="0"/>
              <w:marBottom w:val="0"/>
              <w:divBdr>
                <w:top w:val="none" w:sz="0" w:space="0" w:color="auto"/>
                <w:left w:val="none" w:sz="0" w:space="0" w:color="auto"/>
                <w:bottom w:val="none" w:sz="0" w:space="0" w:color="auto"/>
                <w:right w:val="none" w:sz="0" w:space="0" w:color="auto"/>
              </w:divBdr>
            </w:div>
          </w:divsChild>
        </w:div>
        <w:div w:id="575672604">
          <w:marLeft w:val="0"/>
          <w:marRight w:val="0"/>
          <w:marTop w:val="0"/>
          <w:marBottom w:val="0"/>
          <w:divBdr>
            <w:top w:val="none" w:sz="0" w:space="0" w:color="auto"/>
            <w:left w:val="none" w:sz="0" w:space="0" w:color="auto"/>
            <w:bottom w:val="none" w:sz="0" w:space="0" w:color="auto"/>
            <w:right w:val="none" w:sz="0" w:space="0" w:color="auto"/>
          </w:divBdr>
        </w:div>
        <w:div w:id="584807093">
          <w:marLeft w:val="0"/>
          <w:marRight w:val="0"/>
          <w:marTop w:val="0"/>
          <w:marBottom w:val="0"/>
          <w:divBdr>
            <w:top w:val="none" w:sz="0" w:space="0" w:color="auto"/>
            <w:left w:val="none" w:sz="0" w:space="0" w:color="auto"/>
            <w:bottom w:val="none" w:sz="0" w:space="0" w:color="auto"/>
            <w:right w:val="none" w:sz="0" w:space="0" w:color="auto"/>
          </w:divBdr>
        </w:div>
        <w:div w:id="588393519">
          <w:marLeft w:val="0"/>
          <w:marRight w:val="0"/>
          <w:marTop w:val="0"/>
          <w:marBottom w:val="0"/>
          <w:divBdr>
            <w:top w:val="none" w:sz="0" w:space="0" w:color="auto"/>
            <w:left w:val="none" w:sz="0" w:space="0" w:color="auto"/>
            <w:bottom w:val="none" w:sz="0" w:space="0" w:color="auto"/>
            <w:right w:val="none" w:sz="0" w:space="0" w:color="auto"/>
          </w:divBdr>
          <w:divsChild>
            <w:div w:id="1168864478">
              <w:marLeft w:val="-75"/>
              <w:marRight w:val="0"/>
              <w:marTop w:val="30"/>
              <w:marBottom w:val="30"/>
              <w:divBdr>
                <w:top w:val="none" w:sz="0" w:space="0" w:color="auto"/>
                <w:left w:val="none" w:sz="0" w:space="0" w:color="auto"/>
                <w:bottom w:val="none" w:sz="0" w:space="0" w:color="auto"/>
                <w:right w:val="none" w:sz="0" w:space="0" w:color="auto"/>
              </w:divBdr>
              <w:divsChild>
                <w:div w:id="6946828">
                  <w:marLeft w:val="0"/>
                  <w:marRight w:val="0"/>
                  <w:marTop w:val="0"/>
                  <w:marBottom w:val="0"/>
                  <w:divBdr>
                    <w:top w:val="none" w:sz="0" w:space="0" w:color="auto"/>
                    <w:left w:val="none" w:sz="0" w:space="0" w:color="auto"/>
                    <w:bottom w:val="none" w:sz="0" w:space="0" w:color="auto"/>
                    <w:right w:val="none" w:sz="0" w:space="0" w:color="auto"/>
                  </w:divBdr>
                  <w:divsChild>
                    <w:div w:id="1726761202">
                      <w:marLeft w:val="0"/>
                      <w:marRight w:val="0"/>
                      <w:marTop w:val="0"/>
                      <w:marBottom w:val="0"/>
                      <w:divBdr>
                        <w:top w:val="none" w:sz="0" w:space="0" w:color="auto"/>
                        <w:left w:val="none" w:sz="0" w:space="0" w:color="auto"/>
                        <w:bottom w:val="none" w:sz="0" w:space="0" w:color="auto"/>
                        <w:right w:val="none" w:sz="0" w:space="0" w:color="auto"/>
                      </w:divBdr>
                    </w:div>
                  </w:divsChild>
                </w:div>
                <w:div w:id="23673681">
                  <w:marLeft w:val="0"/>
                  <w:marRight w:val="0"/>
                  <w:marTop w:val="0"/>
                  <w:marBottom w:val="0"/>
                  <w:divBdr>
                    <w:top w:val="none" w:sz="0" w:space="0" w:color="auto"/>
                    <w:left w:val="none" w:sz="0" w:space="0" w:color="auto"/>
                    <w:bottom w:val="none" w:sz="0" w:space="0" w:color="auto"/>
                    <w:right w:val="none" w:sz="0" w:space="0" w:color="auto"/>
                  </w:divBdr>
                  <w:divsChild>
                    <w:div w:id="1285112850">
                      <w:marLeft w:val="0"/>
                      <w:marRight w:val="0"/>
                      <w:marTop w:val="0"/>
                      <w:marBottom w:val="0"/>
                      <w:divBdr>
                        <w:top w:val="none" w:sz="0" w:space="0" w:color="auto"/>
                        <w:left w:val="none" w:sz="0" w:space="0" w:color="auto"/>
                        <w:bottom w:val="none" w:sz="0" w:space="0" w:color="auto"/>
                        <w:right w:val="none" w:sz="0" w:space="0" w:color="auto"/>
                      </w:divBdr>
                    </w:div>
                  </w:divsChild>
                </w:div>
                <w:div w:id="30960609">
                  <w:marLeft w:val="0"/>
                  <w:marRight w:val="0"/>
                  <w:marTop w:val="0"/>
                  <w:marBottom w:val="0"/>
                  <w:divBdr>
                    <w:top w:val="none" w:sz="0" w:space="0" w:color="auto"/>
                    <w:left w:val="none" w:sz="0" w:space="0" w:color="auto"/>
                    <w:bottom w:val="none" w:sz="0" w:space="0" w:color="auto"/>
                    <w:right w:val="none" w:sz="0" w:space="0" w:color="auto"/>
                  </w:divBdr>
                  <w:divsChild>
                    <w:div w:id="2055538268">
                      <w:marLeft w:val="0"/>
                      <w:marRight w:val="0"/>
                      <w:marTop w:val="0"/>
                      <w:marBottom w:val="0"/>
                      <w:divBdr>
                        <w:top w:val="none" w:sz="0" w:space="0" w:color="auto"/>
                        <w:left w:val="none" w:sz="0" w:space="0" w:color="auto"/>
                        <w:bottom w:val="none" w:sz="0" w:space="0" w:color="auto"/>
                        <w:right w:val="none" w:sz="0" w:space="0" w:color="auto"/>
                      </w:divBdr>
                    </w:div>
                  </w:divsChild>
                </w:div>
                <w:div w:id="35547320">
                  <w:marLeft w:val="0"/>
                  <w:marRight w:val="0"/>
                  <w:marTop w:val="0"/>
                  <w:marBottom w:val="0"/>
                  <w:divBdr>
                    <w:top w:val="none" w:sz="0" w:space="0" w:color="auto"/>
                    <w:left w:val="none" w:sz="0" w:space="0" w:color="auto"/>
                    <w:bottom w:val="none" w:sz="0" w:space="0" w:color="auto"/>
                    <w:right w:val="none" w:sz="0" w:space="0" w:color="auto"/>
                  </w:divBdr>
                  <w:divsChild>
                    <w:div w:id="1480883435">
                      <w:marLeft w:val="0"/>
                      <w:marRight w:val="0"/>
                      <w:marTop w:val="0"/>
                      <w:marBottom w:val="0"/>
                      <w:divBdr>
                        <w:top w:val="none" w:sz="0" w:space="0" w:color="auto"/>
                        <w:left w:val="none" w:sz="0" w:space="0" w:color="auto"/>
                        <w:bottom w:val="none" w:sz="0" w:space="0" w:color="auto"/>
                        <w:right w:val="none" w:sz="0" w:space="0" w:color="auto"/>
                      </w:divBdr>
                    </w:div>
                  </w:divsChild>
                </w:div>
                <w:div w:id="53697130">
                  <w:marLeft w:val="0"/>
                  <w:marRight w:val="0"/>
                  <w:marTop w:val="0"/>
                  <w:marBottom w:val="0"/>
                  <w:divBdr>
                    <w:top w:val="none" w:sz="0" w:space="0" w:color="auto"/>
                    <w:left w:val="none" w:sz="0" w:space="0" w:color="auto"/>
                    <w:bottom w:val="none" w:sz="0" w:space="0" w:color="auto"/>
                    <w:right w:val="none" w:sz="0" w:space="0" w:color="auto"/>
                  </w:divBdr>
                  <w:divsChild>
                    <w:div w:id="869221317">
                      <w:marLeft w:val="0"/>
                      <w:marRight w:val="0"/>
                      <w:marTop w:val="0"/>
                      <w:marBottom w:val="0"/>
                      <w:divBdr>
                        <w:top w:val="none" w:sz="0" w:space="0" w:color="auto"/>
                        <w:left w:val="none" w:sz="0" w:space="0" w:color="auto"/>
                        <w:bottom w:val="none" w:sz="0" w:space="0" w:color="auto"/>
                        <w:right w:val="none" w:sz="0" w:space="0" w:color="auto"/>
                      </w:divBdr>
                    </w:div>
                  </w:divsChild>
                </w:div>
                <w:div w:id="77144627">
                  <w:marLeft w:val="0"/>
                  <w:marRight w:val="0"/>
                  <w:marTop w:val="0"/>
                  <w:marBottom w:val="0"/>
                  <w:divBdr>
                    <w:top w:val="none" w:sz="0" w:space="0" w:color="auto"/>
                    <w:left w:val="none" w:sz="0" w:space="0" w:color="auto"/>
                    <w:bottom w:val="none" w:sz="0" w:space="0" w:color="auto"/>
                    <w:right w:val="none" w:sz="0" w:space="0" w:color="auto"/>
                  </w:divBdr>
                  <w:divsChild>
                    <w:div w:id="966550632">
                      <w:marLeft w:val="0"/>
                      <w:marRight w:val="0"/>
                      <w:marTop w:val="0"/>
                      <w:marBottom w:val="0"/>
                      <w:divBdr>
                        <w:top w:val="none" w:sz="0" w:space="0" w:color="auto"/>
                        <w:left w:val="none" w:sz="0" w:space="0" w:color="auto"/>
                        <w:bottom w:val="none" w:sz="0" w:space="0" w:color="auto"/>
                        <w:right w:val="none" w:sz="0" w:space="0" w:color="auto"/>
                      </w:divBdr>
                    </w:div>
                  </w:divsChild>
                </w:div>
                <w:div w:id="78328412">
                  <w:marLeft w:val="0"/>
                  <w:marRight w:val="0"/>
                  <w:marTop w:val="0"/>
                  <w:marBottom w:val="0"/>
                  <w:divBdr>
                    <w:top w:val="none" w:sz="0" w:space="0" w:color="auto"/>
                    <w:left w:val="none" w:sz="0" w:space="0" w:color="auto"/>
                    <w:bottom w:val="none" w:sz="0" w:space="0" w:color="auto"/>
                    <w:right w:val="none" w:sz="0" w:space="0" w:color="auto"/>
                  </w:divBdr>
                  <w:divsChild>
                    <w:div w:id="1216235849">
                      <w:marLeft w:val="0"/>
                      <w:marRight w:val="0"/>
                      <w:marTop w:val="0"/>
                      <w:marBottom w:val="0"/>
                      <w:divBdr>
                        <w:top w:val="none" w:sz="0" w:space="0" w:color="auto"/>
                        <w:left w:val="none" w:sz="0" w:space="0" w:color="auto"/>
                        <w:bottom w:val="none" w:sz="0" w:space="0" w:color="auto"/>
                        <w:right w:val="none" w:sz="0" w:space="0" w:color="auto"/>
                      </w:divBdr>
                    </w:div>
                  </w:divsChild>
                </w:div>
                <w:div w:id="88157532">
                  <w:marLeft w:val="0"/>
                  <w:marRight w:val="0"/>
                  <w:marTop w:val="0"/>
                  <w:marBottom w:val="0"/>
                  <w:divBdr>
                    <w:top w:val="none" w:sz="0" w:space="0" w:color="auto"/>
                    <w:left w:val="none" w:sz="0" w:space="0" w:color="auto"/>
                    <w:bottom w:val="none" w:sz="0" w:space="0" w:color="auto"/>
                    <w:right w:val="none" w:sz="0" w:space="0" w:color="auto"/>
                  </w:divBdr>
                  <w:divsChild>
                    <w:div w:id="36586684">
                      <w:marLeft w:val="0"/>
                      <w:marRight w:val="0"/>
                      <w:marTop w:val="0"/>
                      <w:marBottom w:val="0"/>
                      <w:divBdr>
                        <w:top w:val="none" w:sz="0" w:space="0" w:color="auto"/>
                        <w:left w:val="none" w:sz="0" w:space="0" w:color="auto"/>
                        <w:bottom w:val="none" w:sz="0" w:space="0" w:color="auto"/>
                        <w:right w:val="none" w:sz="0" w:space="0" w:color="auto"/>
                      </w:divBdr>
                    </w:div>
                  </w:divsChild>
                </w:div>
                <w:div w:id="92633860">
                  <w:marLeft w:val="0"/>
                  <w:marRight w:val="0"/>
                  <w:marTop w:val="0"/>
                  <w:marBottom w:val="0"/>
                  <w:divBdr>
                    <w:top w:val="none" w:sz="0" w:space="0" w:color="auto"/>
                    <w:left w:val="none" w:sz="0" w:space="0" w:color="auto"/>
                    <w:bottom w:val="none" w:sz="0" w:space="0" w:color="auto"/>
                    <w:right w:val="none" w:sz="0" w:space="0" w:color="auto"/>
                  </w:divBdr>
                  <w:divsChild>
                    <w:div w:id="1581478023">
                      <w:marLeft w:val="0"/>
                      <w:marRight w:val="0"/>
                      <w:marTop w:val="0"/>
                      <w:marBottom w:val="0"/>
                      <w:divBdr>
                        <w:top w:val="none" w:sz="0" w:space="0" w:color="auto"/>
                        <w:left w:val="none" w:sz="0" w:space="0" w:color="auto"/>
                        <w:bottom w:val="none" w:sz="0" w:space="0" w:color="auto"/>
                        <w:right w:val="none" w:sz="0" w:space="0" w:color="auto"/>
                      </w:divBdr>
                    </w:div>
                  </w:divsChild>
                </w:div>
                <w:div w:id="105125611">
                  <w:marLeft w:val="0"/>
                  <w:marRight w:val="0"/>
                  <w:marTop w:val="0"/>
                  <w:marBottom w:val="0"/>
                  <w:divBdr>
                    <w:top w:val="none" w:sz="0" w:space="0" w:color="auto"/>
                    <w:left w:val="none" w:sz="0" w:space="0" w:color="auto"/>
                    <w:bottom w:val="none" w:sz="0" w:space="0" w:color="auto"/>
                    <w:right w:val="none" w:sz="0" w:space="0" w:color="auto"/>
                  </w:divBdr>
                  <w:divsChild>
                    <w:div w:id="452790950">
                      <w:marLeft w:val="0"/>
                      <w:marRight w:val="0"/>
                      <w:marTop w:val="0"/>
                      <w:marBottom w:val="0"/>
                      <w:divBdr>
                        <w:top w:val="none" w:sz="0" w:space="0" w:color="auto"/>
                        <w:left w:val="none" w:sz="0" w:space="0" w:color="auto"/>
                        <w:bottom w:val="none" w:sz="0" w:space="0" w:color="auto"/>
                        <w:right w:val="none" w:sz="0" w:space="0" w:color="auto"/>
                      </w:divBdr>
                    </w:div>
                  </w:divsChild>
                </w:div>
                <w:div w:id="123547291">
                  <w:marLeft w:val="0"/>
                  <w:marRight w:val="0"/>
                  <w:marTop w:val="0"/>
                  <w:marBottom w:val="0"/>
                  <w:divBdr>
                    <w:top w:val="none" w:sz="0" w:space="0" w:color="auto"/>
                    <w:left w:val="none" w:sz="0" w:space="0" w:color="auto"/>
                    <w:bottom w:val="none" w:sz="0" w:space="0" w:color="auto"/>
                    <w:right w:val="none" w:sz="0" w:space="0" w:color="auto"/>
                  </w:divBdr>
                  <w:divsChild>
                    <w:div w:id="1409960655">
                      <w:marLeft w:val="0"/>
                      <w:marRight w:val="0"/>
                      <w:marTop w:val="0"/>
                      <w:marBottom w:val="0"/>
                      <w:divBdr>
                        <w:top w:val="none" w:sz="0" w:space="0" w:color="auto"/>
                        <w:left w:val="none" w:sz="0" w:space="0" w:color="auto"/>
                        <w:bottom w:val="none" w:sz="0" w:space="0" w:color="auto"/>
                        <w:right w:val="none" w:sz="0" w:space="0" w:color="auto"/>
                      </w:divBdr>
                    </w:div>
                  </w:divsChild>
                </w:div>
                <w:div w:id="130905386">
                  <w:marLeft w:val="0"/>
                  <w:marRight w:val="0"/>
                  <w:marTop w:val="0"/>
                  <w:marBottom w:val="0"/>
                  <w:divBdr>
                    <w:top w:val="none" w:sz="0" w:space="0" w:color="auto"/>
                    <w:left w:val="none" w:sz="0" w:space="0" w:color="auto"/>
                    <w:bottom w:val="none" w:sz="0" w:space="0" w:color="auto"/>
                    <w:right w:val="none" w:sz="0" w:space="0" w:color="auto"/>
                  </w:divBdr>
                  <w:divsChild>
                    <w:div w:id="1619530947">
                      <w:marLeft w:val="0"/>
                      <w:marRight w:val="0"/>
                      <w:marTop w:val="0"/>
                      <w:marBottom w:val="0"/>
                      <w:divBdr>
                        <w:top w:val="none" w:sz="0" w:space="0" w:color="auto"/>
                        <w:left w:val="none" w:sz="0" w:space="0" w:color="auto"/>
                        <w:bottom w:val="none" w:sz="0" w:space="0" w:color="auto"/>
                        <w:right w:val="none" w:sz="0" w:space="0" w:color="auto"/>
                      </w:divBdr>
                    </w:div>
                  </w:divsChild>
                </w:div>
                <w:div w:id="153883491">
                  <w:marLeft w:val="0"/>
                  <w:marRight w:val="0"/>
                  <w:marTop w:val="0"/>
                  <w:marBottom w:val="0"/>
                  <w:divBdr>
                    <w:top w:val="none" w:sz="0" w:space="0" w:color="auto"/>
                    <w:left w:val="none" w:sz="0" w:space="0" w:color="auto"/>
                    <w:bottom w:val="none" w:sz="0" w:space="0" w:color="auto"/>
                    <w:right w:val="none" w:sz="0" w:space="0" w:color="auto"/>
                  </w:divBdr>
                  <w:divsChild>
                    <w:div w:id="479544325">
                      <w:marLeft w:val="0"/>
                      <w:marRight w:val="0"/>
                      <w:marTop w:val="0"/>
                      <w:marBottom w:val="0"/>
                      <w:divBdr>
                        <w:top w:val="none" w:sz="0" w:space="0" w:color="auto"/>
                        <w:left w:val="none" w:sz="0" w:space="0" w:color="auto"/>
                        <w:bottom w:val="none" w:sz="0" w:space="0" w:color="auto"/>
                        <w:right w:val="none" w:sz="0" w:space="0" w:color="auto"/>
                      </w:divBdr>
                    </w:div>
                  </w:divsChild>
                </w:div>
                <w:div w:id="169218348">
                  <w:marLeft w:val="0"/>
                  <w:marRight w:val="0"/>
                  <w:marTop w:val="0"/>
                  <w:marBottom w:val="0"/>
                  <w:divBdr>
                    <w:top w:val="none" w:sz="0" w:space="0" w:color="auto"/>
                    <w:left w:val="none" w:sz="0" w:space="0" w:color="auto"/>
                    <w:bottom w:val="none" w:sz="0" w:space="0" w:color="auto"/>
                    <w:right w:val="none" w:sz="0" w:space="0" w:color="auto"/>
                  </w:divBdr>
                  <w:divsChild>
                    <w:div w:id="793014527">
                      <w:marLeft w:val="0"/>
                      <w:marRight w:val="0"/>
                      <w:marTop w:val="0"/>
                      <w:marBottom w:val="0"/>
                      <w:divBdr>
                        <w:top w:val="none" w:sz="0" w:space="0" w:color="auto"/>
                        <w:left w:val="none" w:sz="0" w:space="0" w:color="auto"/>
                        <w:bottom w:val="none" w:sz="0" w:space="0" w:color="auto"/>
                        <w:right w:val="none" w:sz="0" w:space="0" w:color="auto"/>
                      </w:divBdr>
                    </w:div>
                  </w:divsChild>
                </w:div>
                <w:div w:id="185295648">
                  <w:marLeft w:val="0"/>
                  <w:marRight w:val="0"/>
                  <w:marTop w:val="0"/>
                  <w:marBottom w:val="0"/>
                  <w:divBdr>
                    <w:top w:val="none" w:sz="0" w:space="0" w:color="auto"/>
                    <w:left w:val="none" w:sz="0" w:space="0" w:color="auto"/>
                    <w:bottom w:val="none" w:sz="0" w:space="0" w:color="auto"/>
                    <w:right w:val="none" w:sz="0" w:space="0" w:color="auto"/>
                  </w:divBdr>
                  <w:divsChild>
                    <w:div w:id="246350258">
                      <w:marLeft w:val="0"/>
                      <w:marRight w:val="0"/>
                      <w:marTop w:val="0"/>
                      <w:marBottom w:val="0"/>
                      <w:divBdr>
                        <w:top w:val="none" w:sz="0" w:space="0" w:color="auto"/>
                        <w:left w:val="none" w:sz="0" w:space="0" w:color="auto"/>
                        <w:bottom w:val="none" w:sz="0" w:space="0" w:color="auto"/>
                        <w:right w:val="none" w:sz="0" w:space="0" w:color="auto"/>
                      </w:divBdr>
                    </w:div>
                  </w:divsChild>
                </w:div>
                <w:div w:id="192770459">
                  <w:marLeft w:val="0"/>
                  <w:marRight w:val="0"/>
                  <w:marTop w:val="0"/>
                  <w:marBottom w:val="0"/>
                  <w:divBdr>
                    <w:top w:val="none" w:sz="0" w:space="0" w:color="auto"/>
                    <w:left w:val="none" w:sz="0" w:space="0" w:color="auto"/>
                    <w:bottom w:val="none" w:sz="0" w:space="0" w:color="auto"/>
                    <w:right w:val="none" w:sz="0" w:space="0" w:color="auto"/>
                  </w:divBdr>
                  <w:divsChild>
                    <w:div w:id="1959869348">
                      <w:marLeft w:val="0"/>
                      <w:marRight w:val="0"/>
                      <w:marTop w:val="0"/>
                      <w:marBottom w:val="0"/>
                      <w:divBdr>
                        <w:top w:val="none" w:sz="0" w:space="0" w:color="auto"/>
                        <w:left w:val="none" w:sz="0" w:space="0" w:color="auto"/>
                        <w:bottom w:val="none" w:sz="0" w:space="0" w:color="auto"/>
                        <w:right w:val="none" w:sz="0" w:space="0" w:color="auto"/>
                      </w:divBdr>
                    </w:div>
                  </w:divsChild>
                </w:div>
                <w:div w:id="203518145">
                  <w:marLeft w:val="0"/>
                  <w:marRight w:val="0"/>
                  <w:marTop w:val="0"/>
                  <w:marBottom w:val="0"/>
                  <w:divBdr>
                    <w:top w:val="none" w:sz="0" w:space="0" w:color="auto"/>
                    <w:left w:val="none" w:sz="0" w:space="0" w:color="auto"/>
                    <w:bottom w:val="none" w:sz="0" w:space="0" w:color="auto"/>
                    <w:right w:val="none" w:sz="0" w:space="0" w:color="auto"/>
                  </w:divBdr>
                  <w:divsChild>
                    <w:div w:id="587465852">
                      <w:marLeft w:val="0"/>
                      <w:marRight w:val="0"/>
                      <w:marTop w:val="0"/>
                      <w:marBottom w:val="0"/>
                      <w:divBdr>
                        <w:top w:val="none" w:sz="0" w:space="0" w:color="auto"/>
                        <w:left w:val="none" w:sz="0" w:space="0" w:color="auto"/>
                        <w:bottom w:val="none" w:sz="0" w:space="0" w:color="auto"/>
                        <w:right w:val="none" w:sz="0" w:space="0" w:color="auto"/>
                      </w:divBdr>
                    </w:div>
                  </w:divsChild>
                </w:div>
                <w:div w:id="208879840">
                  <w:marLeft w:val="0"/>
                  <w:marRight w:val="0"/>
                  <w:marTop w:val="0"/>
                  <w:marBottom w:val="0"/>
                  <w:divBdr>
                    <w:top w:val="none" w:sz="0" w:space="0" w:color="auto"/>
                    <w:left w:val="none" w:sz="0" w:space="0" w:color="auto"/>
                    <w:bottom w:val="none" w:sz="0" w:space="0" w:color="auto"/>
                    <w:right w:val="none" w:sz="0" w:space="0" w:color="auto"/>
                  </w:divBdr>
                  <w:divsChild>
                    <w:div w:id="2095012907">
                      <w:marLeft w:val="0"/>
                      <w:marRight w:val="0"/>
                      <w:marTop w:val="0"/>
                      <w:marBottom w:val="0"/>
                      <w:divBdr>
                        <w:top w:val="none" w:sz="0" w:space="0" w:color="auto"/>
                        <w:left w:val="none" w:sz="0" w:space="0" w:color="auto"/>
                        <w:bottom w:val="none" w:sz="0" w:space="0" w:color="auto"/>
                        <w:right w:val="none" w:sz="0" w:space="0" w:color="auto"/>
                      </w:divBdr>
                    </w:div>
                  </w:divsChild>
                </w:div>
                <w:div w:id="210266716">
                  <w:marLeft w:val="0"/>
                  <w:marRight w:val="0"/>
                  <w:marTop w:val="0"/>
                  <w:marBottom w:val="0"/>
                  <w:divBdr>
                    <w:top w:val="none" w:sz="0" w:space="0" w:color="auto"/>
                    <w:left w:val="none" w:sz="0" w:space="0" w:color="auto"/>
                    <w:bottom w:val="none" w:sz="0" w:space="0" w:color="auto"/>
                    <w:right w:val="none" w:sz="0" w:space="0" w:color="auto"/>
                  </w:divBdr>
                  <w:divsChild>
                    <w:div w:id="1290671573">
                      <w:marLeft w:val="0"/>
                      <w:marRight w:val="0"/>
                      <w:marTop w:val="0"/>
                      <w:marBottom w:val="0"/>
                      <w:divBdr>
                        <w:top w:val="none" w:sz="0" w:space="0" w:color="auto"/>
                        <w:left w:val="none" w:sz="0" w:space="0" w:color="auto"/>
                        <w:bottom w:val="none" w:sz="0" w:space="0" w:color="auto"/>
                        <w:right w:val="none" w:sz="0" w:space="0" w:color="auto"/>
                      </w:divBdr>
                    </w:div>
                  </w:divsChild>
                </w:div>
                <w:div w:id="248348447">
                  <w:marLeft w:val="0"/>
                  <w:marRight w:val="0"/>
                  <w:marTop w:val="0"/>
                  <w:marBottom w:val="0"/>
                  <w:divBdr>
                    <w:top w:val="none" w:sz="0" w:space="0" w:color="auto"/>
                    <w:left w:val="none" w:sz="0" w:space="0" w:color="auto"/>
                    <w:bottom w:val="none" w:sz="0" w:space="0" w:color="auto"/>
                    <w:right w:val="none" w:sz="0" w:space="0" w:color="auto"/>
                  </w:divBdr>
                  <w:divsChild>
                    <w:div w:id="325330417">
                      <w:marLeft w:val="0"/>
                      <w:marRight w:val="0"/>
                      <w:marTop w:val="0"/>
                      <w:marBottom w:val="0"/>
                      <w:divBdr>
                        <w:top w:val="none" w:sz="0" w:space="0" w:color="auto"/>
                        <w:left w:val="none" w:sz="0" w:space="0" w:color="auto"/>
                        <w:bottom w:val="none" w:sz="0" w:space="0" w:color="auto"/>
                        <w:right w:val="none" w:sz="0" w:space="0" w:color="auto"/>
                      </w:divBdr>
                    </w:div>
                  </w:divsChild>
                </w:div>
                <w:div w:id="251205514">
                  <w:marLeft w:val="0"/>
                  <w:marRight w:val="0"/>
                  <w:marTop w:val="0"/>
                  <w:marBottom w:val="0"/>
                  <w:divBdr>
                    <w:top w:val="none" w:sz="0" w:space="0" w:color="auto"/>
                    <w:left w:val="none" w:sz="0" w:space="0" w:color="auto"/>
                    <w:bottom w:val="none" w:sz="0" w:space="0" w:color="auto"/>
                    <w:right w:val="none" w:sz="0" w:space="0" w:color="auto"/>
                  </w:divBdr>
                  <w:divsChild>
                    <w:div w:id="2110739168">
                      <w:marLeft w:val="0"/>
                      <w:marRight w:val="0"/>
                      <w:marTop w:val="0"/>
                      <w:marBottom w:val="0"/>
                      <w:divBdr>
                        <w:top w:val="none" w:sz="0" w:space="0" w:color="auto"/>
                        <w:left w:val="none" w:sz="0" w:space="0" w:color="auto"/>
                        <w:bottom w:val="none" w:sz="0" w:space="0" w:color="auto"/>
                        <w:right w:val="none" w:sz="0" w:space="0" w:color="auto"/>
                      </w:divBdr>
                    </w:div>
                  </w:divsChild>
                </w:div>
                <w:div w:id="253510978">
                  <w:marLeft w:val="0"/>
                  <w:marRight w:val="0"/>
                  <w:marTop w:val="0"/>
                  <w:marBottom w:val="0"/>
                  <w:divBdr>
                    <w:top w:val="none" w:sz="0" w:space="0" w:color="auto"/>
                    <w:left w:val="none" w:sz="0" w:space="0" w:color="auto"/>
                    <w:bottom w:val="none" w:sz="0" w:space="0" w:color="auto"/>
                    <w:right w:val="none" w:sz="0" w:space="0" w:color="auto"/>
                  </w:divBdr>
                  <w:divsChild>
                    <w:div w:id="1274089253">
                      <w:marLeft w:val="0"/>
                      <w:marRight w:val="0"/>
                      <w:marTop w:val="0"/>
                      <w:marBottom w:val="0"/>
                      <w:divBdr>
                        <w:top w:val="none" w:sz="0" w:space="0" w:color="auto"/>
                        <w:left w:val="none" w:sz="0" w:space="0" w:color="auto"/>
                        <w:bottom w:val="none" w:sz="0" w:space="0" w:color="auto"/>
                        <w:right w:val="none" w:sz="0" w:space="0" w:color="auto"/>
                      </w:divBdr>
                    </w:div>
                  </w:divsChild>
                </w:div>
                <w:div w:id="254480612">
                  <w:marLeft w:val="0"/>
                  <w:marRight w:val="0"/>
                  <w:marTop w:val="0"/>
                  <w:marBottom w:val="0"/>
                  <w:divBdr>
                    <w:top w:val="none" w:sz="0" w:space="0" w:color="auto"/>
                    <w:left w:val="none" w:sz="0" w:space="0" w:color="auto"/>
                    <w:bottom w:val="none" w:sz="0" w:space="0" w:color="auto"/>
                    <w:right w:val="none" w:sz="0" w:space="0" w:color="auto"/>
                  </w:divBdr>
                  <w:divsChild>
                    <w:div w:id="1244418291">
                      <w:marLeft w:val="0"/>
                      <w:marRight w:val="0"/>
                      <w:marTop w:val="0"/>
                      <w:marBottom w:val="0"/>
                      <w:divBdr>
                        <w:top w:val="none" w:sz="0" w:space="0" w:color="auto"/>
                        <w:left w:val="none" w:sz="0" w:space="0" w:color="auto"/>
                        <w:bottom w:val="none" w:sz="0" w:space="0" w:color="auto"/>
                        <w:right w:val="none" w:sz="0" w:space="0" w:color="auto"/>
                      </w:divBdr>
                    </w:div>
                  </w:divsChild>
                </w:div>
                <w:div w:id="326396717">
                  <w:marLeft w:val="0"/>
                  <w:marRight w:val="0"/>
                  <w:marTop w:val="0"/>
                  <w:marBottom w:val="0"/>
                  <w:divBdr>
                    <w:top w:val="none" w:sz="0" w:space="0" w:color="auto"/>
                    <w:left w:val="none" w:sz="0" w:space="0" w:color="auto"/>
                    <w:bottom w:val="none" w:sz="0" w:space="0" w:color="auto"/>
                    <w:right w:val="none" w:sz="0" w:space="0" w:color="auto"/>
                  </w:divBdr>
                  <w:divsChild>
                    <w:div w:id="1429034170">
                      <w:marLeft w:val="0"/>
                      <w:marRight w:val="0"/>
                      <w:marTop w:val="0"/>
                      <w:marBottom w:val="0"/>
                      <w:divBdr>
                        <w:top w:val="none" w:sz="0" w:space="0" w:color="auto"/>
                        <w:left w:val="none" w:sz="0" w:space="0" w:color="auto"/>
                        <w:bottom w:val="none" w:sz="0" w:space="0" w:color="auto"/>
                        <w:right w:val="none" w:sz="0" w:space="0" w:color="auto"/>
                      </w:divBdr>
                    </w:div>
                  </w:divsChild>
                </w:div>
                <w:div w:id="328408081">
                  <w:marLeft w:val="0"/>
                  <w:marRight w:val="0"/>
                  <w:marTop w:val="0"/>
                  <w:marBottom w:val="0"/>
                  <w:divBdr>
                    <w:top w:val="none" w:sz="0" w:space="0" w:color="auto"/>
                    <w:left w:val="none" w:sz="0" w:space="0" w:color="auto"/>
                    <w:bottom w:val="none" w:sz="0" w:space="0" w:color="auto"/>
                    <w:right w:val="none" w:sz="0" w:space="0" w:color="auto"/>
                  </w:divBdr>
                  <w:divsChild>
                    <w:div w:id="1897744049">
                      <w:marLeft w:val="0"/>
                      <w:marRight w:val="0"/>
                      <w:marTop w:val="0"/>
                      <w:marBottom w:val="0"/>
                      <w:divBdr>
                        <w:top w:val="none" w:sz="0" w:space="0" w:color="auto"/>
                        <w:left w:val="none" w:sz="0" w:space="0" w:color="auto"/>
                        <w:bottom w:val="none" w:sz="0" w:space="0" w:color="auto"/>
                        <w:right w:val="none" w:sz="0" w:space="0" w:color="auto"/>
                      </w:divBdr>
                    </w:div>
                  </w:divsChild>
                </w:div>
                <w:div w:id="352541118">
                  <w:marLeft w:val="0"/>
                  <w:marRight w:val="0"/>
                  <w:marTop w:val="0"/>
                  <w:marBottom w:val="0"/>
                  <w:divBdr>
                    <w:top w:val="none" w:sz="0" w:space="0" w:color="auto"/>
                    <w:left w:val="none" w:sz="0" w:space="0" w:color="auto"/>
                    <w:bottom w:val="none" w:sz="0" w:space="0" w:color="auto"/>
                    <w:right w:val="none" w:sz="0" w:space="0" w:color="auto"/>
                  </w:divBdr>
                  <w:divsChild>
                    <w:div w:id="1554658104">
                      <w:marLeft w:val="0"/>
                      <w:marRight w:val="0"/>
                      <w:marTop w:val="0"/>
                      <w:marBottom w:val="0"/>
                      <w:divBdr>
                        <w:top w:val="none" w:sz="0" w:space="0" w:color="auto"/>
                        <w:left w:val="none" w:sz="0" w:space="0" w:color="auto"/>
                        <w:bottom w:val="none" w:sz="0" w:space="0" w:color="auto"/>
                        <w:right w:val="none" w:sz="0" w:space="0" w:color="auto"/>
                      </w:divBdr>
                    </w:div>
                  </w:divsChild>
                </w:div>
                <w:div w:id="395973855">
                  <w:marLeft w:val="0"/>
                  <w:marRight w:val="0"/>
                  <w:marTop w:val="0"/>
                  <w:marBottom w:val="0"/>
                  <w:divBdr>
                    <w:top w:val="none" w:sz="0" w:space="0" w:color="auto"/>
                    <w:left w:val="none" w:sz="0" w:space="0" w:color="auto"/>
                    <w:bottom w:val="none" w:sz="0" w:space="0" w:color="auto"/>
                    <w:right w:val="none" w:sz="0" w:space="0" w:color="auto"/>
                  </w:divBdr>
                  <w:divsChild>
                    <w:div w:id="352388744">
                      <w:marLeft w:val="0"/>
                      <w:marRight w:val="0"/>
                      <w:marTop w:val="0"/>
                      <w:marBottom w:val="0"/>
                      <w:divBdr>
                        <w:top w:val="none" w:sz="0" w:space="0" w:color="auto"/>
                        <w:left w:val="none" w:sz="0" w:space="0" w:color="auto"/>
                        <w:bottom w:val="none" w:sz="0" w:space="0" w:color="auto"/>
                        <w:right w:val="none" w:sz="0" w:space="0" w:color="auto"/>
                      </w:divBdr>
                    </w:div>
                  </w:divsChild>
                </w:div>
                <w:div w:id="456341009">
                  <w:marLeft w:val="0"/>
                  <w:marRight w:val="0"/>
                  <w:marTop w:val="0"/>
                  <w:marBottom w:val="0"/>
                  <w:divBdr>
                    <w:top w:val="none" w:sz="0" w:space="0" w:color="auto"/>
                    <w:left w:val="none" w:sz="0" w:space="0" w:color="auto"/>
                    <w:bottom w:val="none" w:sz="0" w:space="0" w:color="auto"/>
                    <w:right w:val="none" w:sz="0" w:space="0" w:color="auto"/>
                  </w:divBdr>
                  <w:divsChild>
                    <w:div w:id="2145732480">
                      <w:marLeft w:val="0"/>
                      <w:marRight w:val="0"/>
                      <w:marTop w:val="0"/>
                      <w:marBottom w:val="0"/>
                      <w:divBdr>
                        <w:top w:val="none" w:sz="0" w:space="0" w:color="auto"/>
                        <w:left w:val="none" w:sz="0" w:space="0" w:color="auto"/>
                        <w:bottom w:val="none" w:sz="0" w:space="0" w:color="auto"/>
                        <w:right w:val="none" w:sz="0" w:space="0" w:color="auto"/>
                      </w:divBdr>
                    </w:div>
                  </w:divsChild>
                </w:div>
                <w:div w:id="456534776">
                  <w:marLeft w:val="0"/>
                  <w:marRight w:val="0"/>
                  <w:marTop w:val="0"/>
                  <w:marBottom w:val="0"/>
                  <w:divBdr>
                    <w:top w:val="none" w:sz="0" w:space="0" w:color="auto"/>
                    <w:left w:val="none" w:sz="0" w:space="0" w:color="auto"/>
                    <w:bottom w:val="none" w:sz="0" w:space="0" w:color="auto"/>
                    <w:right w:val="none" w:sz="0" w:space="0" w:color="auto"/>
                  </w:divBdr>
                  <w:divsChild>
                    <w:div w:id="1954481793">
                      <w:marLeft w:val="0"/>
                      <w:marRight w:val="0"/>
                      <w:marTop w:val="0"/>
                      <w:marBottom w:val="0"/>
                      <w:divBdr>
                        <w:top w:val="none" w:sz="0" w:space="0" w:color="auto"/>
                        <w:left w:val="none" w:sz="0" w:space="0" w:color="auto"/>
                        <w:bottom w:val="none" w:sz="0" w:space="0" w:color="auto"/>
                        <w:right w:val="none" w:sz="0" w:space="0" w:color="auto"/>
                      </w:divBdr>
                    </w:div>
                  </w:divsChild>
                </w:div>
                <w:div w:id="458574413">
                  <w:marLeft w:val="0"/>
                  <w:marRight w:val="0"/>
                  <w:marTop w:val="0"/>
                  <w:marBottom w:val="0"/>
                  <w:divBdr>
                    <w:top w:val="none" w:sz="0" w:space="0" w:color="auto"/>
                    <w:left w:val="none" w:sz="0" w:space="0" w:color="auto"/>
                    <w:bottom w:val="none" w:sz="0" w:space="0" w:color="auto"/>
                    <w:right w:val="none" w:sz="0" w:space="0" w:color="auto"/>
                  </w:divBdr>
                  <w:divsChild>
                    <w:div w:id="1403479645">
                      <w:marLeft w:val="0"/>
                      <w:marRight w:val="0"/>
                      <w:marTop w:val="0"/>
                      <w:marBottom w:val="0"/>
                      <w:divBdr>
                        <w:top w:val="none" w:sz="0" w:space="0" w:color="auto"/>
                        <w:left w:val="none" w:sz="0" w:space="0" w:color="auto"/>
                        <w:bottom w:val="none" w:sz="0" w:space="0" w:color="auto"/>
                        <w:right w:val="none" w:sz="0" w:space="0" w:color="auto"/>
                      </w:divBdr>
                    </w:div>
                  </w:divsChild>
                </w:div>
                <w:div w:id="467287915">
                  <w:marLeft w:val="0"/>
                  <w:marRight w:val="0"/>
                  <w:marTop w:val="0"/>
                  <w:marBottom w:val="0"/>
                  <w:divBdr>
                    <w:top w:val="none" w:sz="0" w:space="0" w:color="auto"/>
                    <w:left w:val="none" w:sz="0" w:space="0" w:color="auto"/>
                    <w:bottom w:val="none" w:sz="0" w:space="0" w:color="auto"/>
                    <w:right w:val="none" w:sz="0" w:space="0" w:color="auto"/>
                  </w:divBdr>
                  <w:divsChild>
                    <w:div w:id="708188629">
                      <w:marLeft w:val="0"/>
                      <w:marRight w:val="0"/>
                      <w:marTop w:val="0"/>
                      <w:marBottom w:val="0"/>
                      <w:divBdr>
                        <w:top w:val="none" w:sz="0" w:space="0" w:color="auto"/>
                        <w:left w:val="none" w:sz="0" w:space="0" w:color="auto"/>
                        <w:bottom w:val="none" w:sz="0" w:space="0" w:color="auto"/>
                        <w:right w:val="none" w:sz="0" w:space="0" w:color="auto"/>
                      </w:divBdr>
                    </w:div>
                  </w:divsChild>
                </w:div>
                <w:div w:id="484127195">
                  <w:marLeft w:val="0"/>
                  <w:marRight w:val="0"/>
                  <w:marTop w:val="0"/>
                  <w:marBottom w:val="0"/>
                  <w:divBdr>
                    <w:top w:val="none" w:sz="0" w:space="0" w:color="auto"/>
                    <w:left w:val="none" w:sz="0" w:space="0" w:color="auto"/>
                    <w:bottom w:val="none" w:sz="0" w:space="0" w:color="auto"/>
                    <w:right w:val="none" w:sz="0" w:space="0" w:color="auto"/>
                  </w:divBdr>
                  <w:divsChild>
                    <w:div w:id="1887523323">
                      <w:marLeft w:val="0"/>
                      <w:marRight w:val="0"/>
                      <w:marTop w:val="0"/>
                      <w:marBottom w:val="0"/>
                      <w:divBdr>
                        <w:top w:val="none" w:sz="0" w:space="0" w:color="auto"/>
                        <w:left w:val="none" w:sz="0" w:space="0" w:color="auto"/>
                        <w:bottom w:val="none" w:sz="0" w:space="0" w:color="auto"/>
                        <w:right w:val="none" w:sz="0" w:space="0" w:color="auto"/>
                      </w:divBdr>
                    </w:div>
                  </w:divsChild>
                </w:div>
                <w:div w:id="518856515">
                  <w:marLeft w:val="0"/>
                  <w:marRight w:val="0"/>
                  <w:marTop w:val="0"/>
                  <w:marBottom w:val="0"/>
                  <w:divBdr>
                    <w:top w:val="none" w:sz="0" w:space="0" w:color="auto"/>
                    <w:left w:val="none" w:sz="0" w:space="0" w:color="auto"/>
                    <w:bottom w:val="none" w:sz="0" w:space="0" w:color="auto"/>
                    <w:right w:val="none" w:sz="0" w:space="0" w:color="auto"/>
                  </w:divBdr>
                  <w:divsChild>
                    <w:div w:id="2025401595">
                      <w:marLeft w:val="0"/>
                      <w:marRight w:val="0"/>
                      <w:marTop w:val="0"/>
                      <w:marBottom w:val="0"/>
                      <w:divBdr>
                        <w:top w:val="none" w:sz="0" w:space="0" w:color="auto"/>
                        <w:left w:val="none" w:sz="0" w:space="0" w:color="auto"/>
                        <w:bottom w:val="none" w:sz="0" w:space="0" w:color="auto"/>
                        <w:right w:val="none" w:sz="0" w:space="0" w:color="auto"/>
                      </w:divBdr>
                    </w:div>
                  </w:divsChild>
                </w:div>
                <w:div w:id="527063419">
                  <w:marLeft w:val="0"/>
                  <w:marRight w:val="0"/>
                  <w:marTop w:val="0"/>
                  <w:marBottom w:val="0"/>
                  <w:divBdr>
                    <w:top w:val="none" w:sz="0" w:space="0" w:color="auto"/>
                    <w:left w:val="none" w:sz="0" w:space="0" w:color="auto"/>
                    <w:bottom w:val="none" w:sz="0" w:space="0" w:color="auto"/>
                    <w:right w:val="none" w:sz="0" w:space="0" w:color="auto"/>
                  </w:divBdr>
                  <w:divsChild>
                    <w:div w:id="1715544838">
                      <w:marLeft w:val="0"/>
                      <w:marRight w:val="0"/>
                      <w:marTop w:val="0"/>
                      <w:marBottom w:val="0"/>
                      <w:divBdr>
                        <w:top w:val="none" w:sz="0" w:space="0" w:color="auto"/>
                        <w:left w:val="none" w:sz="0" w:space="0" w:color="auto"/>
                        <w:bottom w:val="none" w:sz="0" w:space="0" w:color="auto"/>
                        <w:right w:val="none" w:sz="0" w:space="0" w:color="auto"/>
                      </w:divBdr>
                    </w:div>
                  </w:divsChild>
                </w:div>
                <w:div w:id="536742415">
                  <w:marLeft w:val="0"/>
                  <w:marRight w:val="0"/>
                  <w:marTop w:val="0"/>
                  <w:marBottom w:val="0"/>
                  <w:divBdr>
                    <w:top w:val="none" w:sz="0" w:space="0" w:color="auto"/>
                    <w:left w:val="none" w:sz="0" w:space="0" w:color="auto"/>
                    <w:bottom w:val="none" w:sz="0" w:space="0" w:color="auto"/>
                    <w:right w:val="none" w:sz="0" w:space="0" w:color="auto"/>
                  </w:divBdr>
                  <w:divsChild>
                    <w:div w:id="498270679">
                      <w:marLeft w:val="0"/>
                      <w:marRight w:val="0"/>
                      <w:marTop w:val="0"/>
                      <w:marBottom w:val="0"/>
                      <w:divBdr>
                        <w:top w:val="none" w:sz="0" w:space="0" w:color="auto"/>
                        <w:left w:val="none" w:sz="0" w:space="0" w:color="auto"/>
                        <w:bottom w:val="none" w:sz="0" w:space="0" w:color="auto"/>
                        <w:right w:val="none" w:sz="0" w:space="0" w:color="auto"/>
                      </w:divBdr>
                    </w:div>
                  </w:divsChild>
                </w:div>
                <w:div w:id="556939053">
                  <w:marLeft w:val="0"/>
                  <w:marRight w:val="0"/>
                  <w:marTop w:val="0"/>
                  <w:marBottom w:val="0"/>
                  <w:divBdr>
                    <w:top w:val="none" w:sz="0" w:space="0" w:color="auto"/>
                    <w:left w:val="none" w:sz="0" w:space="0" w:color="auto"/>
                    <w:bottom w:val="none" w:sz="0" w:space="0" w:color="auto"/>
                    <w:right w:val="none" w:sz="0" w:space="0" w:color="auto"/>
                  </w:divBdr>
                  <w:divsChild>
                    <w:div w:id="1610579454">
                      <w:marLeft w:val="0"/>
                      <w:marRight w:val="0"/>
                      <w:marTop w:val="0"/>
                      <w:marBottom w:val="0"/>
                      <w:divBdr>
                        <w:top w:val="none" w:sz="0" w:space="0" w:color="auto"/>
                        <w:left w:val="none" w:sz="0" w:space="0" w:color="auto"/>
                        <w:bottom w:val="none" w:sz="0" w:space="0" w:color="auto"/>
                        <w:right w:val="none" w:sz="0" w:space="0" w:color="auto"/>
                      </w:divBdr>
                    </w:div>
                  </w:divsChild>
                </w:div>
                <w:div w:id="575019816">
                  <w:marLeft w:val="0"/>
                  <w:marRight w:val="0"/>
                  <w:marTop w:val="0"/>
                  <w:marBottom w:val="0"/>
                  <w:divBdr>
                    <w:top w:val="none" w:sz="0" w:space="0" w:color="auto"/>
                    <w:left w:val="none" w:sz="0" w:space="0" w:color="auto"/>
                    <w:bottom w:val="none" w:sz="0" w:space="0" w:color="auto"/>
                    <w:right w:val="none" w:sz="0" w:space="0" w:color="auto"/>
                  </w:divBdr>
                  <w:divsChild>
                    <w:div w:id="743986289">
                      <w:marLeft w:val="0"/>
                      <w:marRight w:val="0"/>
                      <w:marTop w:val="0"/>
                      <w:marBottom w:val="0"/>
                      <w:divBdr>
                        <w:top w:val="none" w:sz="0" w:space="0" w:color="auto"/>
                        <w:left w:val="none" w:sz="0" w:space="0" w:color="auto"/>
                        <w:bottom w:val="none" w:sz="0" w:space="0" w:color="auto"/>
                        <w:right w:val="none" w:sz="0" w:space="0" w:color="auto"/>
                      </w:divBdr>
                    </w:div>
                  </w:divsChild>
                </w:div>
                <w:div w:id="650408443">
                  <w:marLeft w:val="0"/>
                  <w:marRight w:val="0"/>
                  <w:marTop w:val="0"/>
                  <w:marBottom w:val="0"/>
                  <w:divBdr>
                    <w:top w:val="none" w:sz="0" w:space="0" w:color="auto"/>
                    <w:left w:val="none" w:sz="0" w:space="0" w:color="auto"/>
                    <w:bottom w:val="none" w:sz="0" w:space="0" w:color="auto"/>
                    <w:right w:val="none" w:sz="0" w:space="0" w:color="auto"/>
                  </w:divBdr>
                  <w:divsChild>
                    <w:div w:id="736825156">
                      <w:marLeft w:val="0"/>
                      <w:marRight w:val="0"/>
                      <w:marTop w:val="0"/>
                      <w:marBottom w:val="0"/>
                      <w:divBdr>
                        <w:top w:val="none" w:sz="0" w:space="0" w:color="auto"/>
                        <w:left w:val="none" w:sz="0" w:space="0" w:color="auto"/>
                        <w:bottom w:val="none" w:sz="0" w:space="0" w:color="auto"/>
                        <w:right w:val="none" w:sz="0" w:space="0" w:color="auto"/>
                      </w:divBdr>
                    </w:div>
                  </w:divsChild>
                </w:div>
                <w:div w:id="671032367">
                  <w:marLeft w:val="0"/>
                  <w:marRight w:val="0"/>
                  <w:marTop w:val="0"/>
                  <w:marBottom w:val="0"/>
                  <w:divBdr>
                    <w:top w:val="none" w:sz="0" w:space="0" w:color="auto"/>
                    <w:left w:val="none" w:sz="0" w:space="0" w:color="auto"/>
                    <w:bottom w:val="none" w:sz="0" w:space="0" w:color="auto"/>
                    <w:right w:val="none" w:sz="0" w:space="0" w:color="auto"/>
                  </w:divBdr>
                  <w:divsChild>
                    <w:div w:id="1471170609">
                      <w:marLeft w:val="0"/>
                      <w:marRight w:val="0"/>
                      <w:marTop w:val="0"/>
                      <w:marBottom w:val="0"/>
                      <w:divBdr>
                        <w:top w:val="none" w:sz="0" w:space="0" w:color="auto"/>
                        <w:left w:val="none" w:sz="0" w:space="0" w:color="auto"/>
                        <w:bottom w:val="none" w:sz="0" w:space="0" w:color="auto"/>
                        <w:right w:val="none" w:sz="0" w:space="0" w:color="auto"/>
                      </w:divBdr>
                    </w:div>
                  </w:divsChild>
                </w:div>
                <w:div w:id="706224807">
                  <w:marLeft w:val="0"/>
                  <w:marRight w:val="0"/>
                  <w:marTop w:val="0"/>
                  <w:marBottom w:val="0"/>
                  <w:divBdr>
                    <w:top w:val="none" w:sz="0" w:space="0" w:color="auto"/>
                    <w:left w:val="none" w:sz="0" w:space="0" w:color="auto"/>
                    <w:bottom w:val="none" w:sz="0" w:space="0" w:color="auto"/>
                    <w:right w:val="none" w:sz="0" w:space="0" w:color="auto"/>
                  </w:divBdr>
                  <w:divsChild>
                    <w:div w:id="209074918">
                      <w:marLeft w:val="0"/>
                      <w:marRight w:val="0"/>
                      <w:marTop w:val="0"/>
                      <w:marBottom w:val="0"/>
                      <w:divBdr>
                        <w:top w:val="none" w:sz="0" w:space="0" w:color="auto"/>
                        <w:left w:val="none" w:sz="0" w:space="0" w:color="auto"/>
                        <w:bottom w:val="none" w:sz="0" w:space="0" w:color="auto"/>
                        <w:right w:val="none" w:sz="0" w:space="0" w:color="auto"/>
                      </w:divBdr>
                    </w:div>
                  </w:divsChild>
                </w:div>
                <w:div w:id="711927761">
                  <w:marLeft w:val="0"/>
                  <w:marRight w:val="0"/>
                  <w:marTop w:val="0"/>
                  <w:marBottom w:val="0"/>
                  <w:divBdr>
                    <w:top w:val="none" w:sz="0" w:space="0" w:color="auto"/>
                    <w:left w:val="none" w:sz="0" w:space="0" w:color="auto"/>
                    <w:bottom w:val="none" w:sz="0" w:space="0" w:color="auto"/>
                    <w:right w:val="none" w:sz="0" w:space="0" w:color="auto"/>
                  </w:divBdr>
                  <w:divsChild>
                    <w:div w:id="1089499482">
                      <w:marLeft w:val="0"/>
                      <w:marRight w:val="0"/>
                      <w:marTop w:val="0"/>
                      <w:marBottom w:val="0"/>
                      <w:divBdr>
                        <w:top w:val="none" w:sz="0" w:space="0" w:color="auto"/>
                        <w:left w:val="none" w:sz="0" w:space="0" w:color="auto"/>
                        <w:bottom w:val="none" w:sz="0" w:space="0" w:color="auto"/>
                        <w:right w:val="none" w:sz="0" w:space="0" w:color="auto"/>
                      </w:divBdr>
                    </w:div>
                  </w:divsChild>
                </w:div>
                <w:div w:id="722674106">
                  <w:marLeft w:val="0"/>
                  <w:marRight w:val="0"/>
                  <w:marTop w:val="0"/>
                  <w:marBottom w:val="0"/>
                  <w:divBdr>
                    <w:top w:val="none" w:sz="0" w:space="0" w:color="auto"/>
                    <w:left w:val="none" w:sz="0" w:space="0" w:color="auto"/>
                    <w:bottom w:val="none" w:sz="0" w:space="0" w:color="auto"/>
                    <w:right w:val="none" w:sz="0" w:space="0" w:color="auto"/>
                  </w:divBdr>
                  <w:divsChild>
                    <w:div w:id="409931811">
                      <w:marLeft w:val="0"/>
                      <w:marRight w:val="0"/>
                      <w:marTop w:val="0"/>
                      <w:marBottom w:val="0"/>
                      <w:divBdr>
                        <w:top w:val="none" w:sz="0" w:space="0" w:color="auto"/>
                        <w:left w:val="none" w:sz="0" w:space="0" w:color="auto"/>
                        <w:bottom w:val="none" w:sz="0" w:space="0" w:color="auto"/>
                        <w:right w:val="none" w:sz="0" w:space="0" w:color="auto"/>
                      </w:divBdr>
                    </w:div>
                  </w:divsChild>
                </w:div>
                <w:div w:id="727536167">
                  <w:marLeft w:val="0"/>
                  <w:marRight w:val="0"/>
                  <w:marTop w:val="0"/>
                  <w:marBottom w:val="0"/>
                  <w:divBdr>
                    <w:top w:val="none" w:sz="0" w:space="0" w:color="auto"/>
                    <w:left w:val="none" w:sz="0" w:space="0" w:color="auto"/>
                    <w:bottom w:val="none" w:sz="0" w:space="0" w:color="auto"/>
                    <w:right w:val="none" w:sz="0" w:space="0" w:color="auto"/>
                  </w:divBdr>
                  <w:divsChild>
                    <w:div w:id="357968229">
                      <w:marLeft w:val="0"/>
                      <w:marRight w:val="0"/>
                      <w:marTop w:val="0"/>
                      <w:marBottom w:val="0"/>
                      <w:divBdr>
                        <w:top w:val="none" w:sz="0" w:space="0" w:color="auto"/>
                        <w:left w:val="none" w:sz="0" w:space="0" w:color="auto"/>
                        <w:bottom w:val="none" w:sz="0" w:space="0" w:color="auto"/>
                        <w:right w:val="none" w:sz="0" w:space="0" w:color="auto"/>
                      </w:divBdr>
                    </w:div>
                  </w:divsChild>
                </w:div>
                <w:div w:id="728915854">
                  <w:marLeft w:val="0"/>
                  <w:marRight w:val="0"/>
                  <w:marTop w:val="0"/>
                  <w:marBottom w:val="0"/>
                  <w:divBdr>
                    <w:top w:val="none" w:sz="0" w:space="0" w:color="auto"/>
                    <w:left w:val="none" w:sz="0" w:space="0" w:color="auto"/>
                    <w:bottom w:val="none" w:sz="0" w:space="0" w:color="auto"/>
                    <w:right w:val="none" w:sz="0" w:space="0" w:color="auto"/>
                  </w:divBdr>
                  <w:divsChild>
                    <w:div w:id="1569881628">
                      <w:marLeft w:val="0"/>
                      <w:marRight w:val="0"/>
                      <w:marTop w:val="0"/>
                      <w:marBottom w:val="0"/>
                      <w:divBdr>
                        <w:top w:val="none" w:sz="0" w:space="0" w:color="auto"/>
                        <w:left w:val="none" w:sz="0" w:space="0" w:color="auto"/>
                        <w:bottom w:val="none" w:sz="0" w:space="0" w:color="auto"/>
                        <w:right w:val="none" w:sz="0" w:space="0" w:color="auto"/>
                      </w:divBdr>
                    </w:div>
                  </w:divsChild>
                </w:div>
                <w:div w:id="751775733">
                  <w:marLeft w:val="0"/>
                  <w:marRight w:val="0"/>
                  <w:marTop w:val="0"/>
                  <w:marBottom w:val="0"/>
                  <w:divBdr>
                    <w:top w:val="none" w:sz="0" w:space="0" w:color="auto"/>
                    <w:left w:val="none" w:sz="0" w:space="0" w:color="auto"/>
                    <w:bottom w:val="none" w:sz="0" w:space="0" w:color="auto"/>
                    <w:right w:val="none" w:sz="0" w:space="0" w:color="auto"/>
                  </w:divBdr>
                  <w:divsChild>
                    <w:div w:id="2045593689">
                      <w:marLeft w:val="0"/>
                      <w:marRight w:val="0"/>
                      <w:marTop w:val="0"/>
                      <w:marBottom w:val="0"/>
                      <w:divBdr>
                        <w:top w:val="none" w:sz="0" w:space="0" w:color="auto"/>
                        <w:left w:val="none" w:sz="0" w:space="0" w:color="auto"/>
                        <w:bottom w:val="none" w:sz="0" w:space="0" w:color="auto"/>
                        <w:right w:val="none" w:sz="0" w:space="0" w:color="auto"/>
                      </w:divBdr>
                    </w:div>
                  </w:divsChild>
                </w:div>
                <w:div w:id="791436782">
                  <w:marLeft w:val="0"/>
                  <w:marRight w:val="0"/>
                  <w:marTop w:val="0"/>
                  <w:marBottom w:val="0"/>
                  <w:divBdr>
                    <w:top w:val="none" w:sz="0" w:space="0" w:color="auto"/>
                    <w:left w:val="none" w:sz="0" w:space="0" w:color="auto"/>
                    <w:bottom w:val="none" w:sz="0" w:space="0" w:color="auto"/>
                    <w:right w:val="none" w:sz="0" w:space="0" w:color="auto"/>
                  </w:divBdr>
                  <w:divsChild>
                    <w:div w:id="1284195881">
                      <w:marLeft w:val="0"/>
                      <w:marRight w:val="0"/>
                      <w:marTop w:val="0"/>
                      <w:marBottom w:val="0"/>
                      <w:divBdr>
                        <w:top w:val="none" w:sz="0" w:space="0" w:color="auto"/>
                        <w:left w:val="none" w:sz="0" w:space="0" w:color="auto"/>
                        <w:bottom w:val="none" w:sz="0" w:space="0" w:color="auto"/>
                        <w:right w:val="none" w:sz="0" w:space="0" w:color="auto"/>
                      </w:divBdr>
                    </w:div>
                  </w:divsChild>
                </w:div>
                <w:div w:id="820275276">
                  <w:marLeft w:val="0"/>
                  <w:marRight w:val="0"/>
                  <w:marTop w:val="0"/>
                  <w:marBottom w:val="0"/>
                  <w:divBdr>
                    <w:top w:val="none" w:sz="0" w:space="0" w:color="auto"/>
                    <w:left w:val="none" w:sz="0" w:space="0" w:color="auto"/>
                    <w:bottom w:val="none" w:sz="0" w:space="0" w:color="auto"/>
                    <w:right w:val="none" w:sz="0" w:space="0" w:color="auto"/>
                  </w:divBdr>
                  <w:divsChild>
                    <w:div w:id="1754620132">
                      <w:marLeft w:val="0"/>
                      <w:marRight w:val="0"/>
                      <w:marTop w:val="0"/>
                      <w:marBottom w:val="0"/>
                      <w:divBdr>
                        <w:top w:val="none" w:sz="0" w:space="0" w:color="auto"/>
                        <w:left w:val="none" w:sz="0" w:space="0" w:color="auto"/>
                        <w:bottom w:val="none" w:sz="0" w:space="0" w:color="auto"/>
                        <w:right w:val="none" w:sz="0" w:space="0" w:color="auto"/>
                      </w:divBdr>
                    </w:div>
                  </w:divsChild>
                </w:div>
                <w:div w:id="823663793">
                  <w:marLeft w:val="0"/>
                  <w:marRight w:val="0"/>
                  <w:marTop w:val="0"/>
                  <w:marBottom w:val="0"/>
                  <w:divBdr>
                    <w:top w:val="none" w:sz="0" w:space="0" w:color="auto"/>
                    <w:left w:val="none" w:sz="0" w:space="0" w:color="auto"/>
                    <w:bottom w:val="none" w:sz="0" w:space="0" w:color="auto"/>
                    <w:right w:val="none" w:sz="0" w:space="0" w:color="auto"/>
                  </w:divBdr>
                  <w:divsChild>
                    <w:div w:id="1612586945">
                      <w:marLeft w:val="0"/>
                      <w:marRight w:val="0"/>
                      <w:marTop w:val="0"/>
                      <w:marBottom w:val="0"/>
                      <w:divBdr>
                        <w:top w:val="none" w:sz="0" w:space="0" w:color="auto"/>
                        <w:left w:val="none" w:sz="0" w:space="0" w:color="auto"/>
                        <w:bottom w:val="none" w:sz="0" w:space="0" w:color="auto"/>
                        <w:right w:val="none" w:sz="0" w:space="0" w:color="auto"/>
                      </w:divBdr>
                    </w:div>
                  </w:divsChild>
                </w:div>
                <w:div w:id="832993717">
                  <w:marLeft w:val="0"/>
                  <w:marRight w:val="0"/>
                  <w:marTop w:val="0"/>
                  <w:marBottom w:val="0"/>
                  <w:divBdr>
                    <w:top w:val="none" w:sz="0" w:space="0" w:color="auto"/>
                    <w:left w:val="none" w:sz="0" w:space="0" w:color="auto"/>
                    <w:bottom w:val="none" w:sz="0" w:space="0" w:color="auto"/>
                    <w:right w:val="none" w:sz="0" w:space="0" w:color="auto"/>
                  </w:divBdr>
                  <w:divsChild>
                    <w:div w:id="1749112549">
                      <w:marLeft w:val="0"/>
                      <w:marRight w:val="0"/>
                      <w:marTop w:val="0"/>
                      <w:marBottom w:val="0"/>
                      <w:divBdr>
                        <w:top w:val="none" w:sz="0" w:space="0" w:color="auto"/>
                        <w:left w:val="none" w:sz="0" w:space="0" w:color="auto"/>
                        <w:bottom w:val="none" w:sz="0" w:space="0" w:color="auto"/>
                        <w:right w:val="none" w:sz="0" w:space="0" w:color="auto"/>
                      </w:divBdr>
                    </w:div>
                  </w:divsChild>
                </w:div>
                <w:div w:id="863633811">
                  <w:marLeft w:val="0"/>
                  <w:marRight w:val="0"/>
                  <w:marTop w:val="0"/>
                  <w:marBottom w:val="0"/>
                  <w:divBdr>
                    <w:top w:val="none" w:sz="0" w:space="0" w:color="auto"/>
                    <w:left w:val="none" w:sz="0" w:space="0" w:color="auto"/>
                    <w:bottom w:val="none" w:sz="0" w:space="0" w:color="auto"/>
                    <w:right w:val="none" w:sz="0" w:space="0" w:color="auto"/>
                  </w:divBdr>
                  <w:divsChild>
                    <w:div w:id="790902716">
                      <w:marLeft w:val="0"/>
                      <w:marRight w:val="0"/>
                      <w:marTop w:val="0"/>
                      <w:marBottom w:val="0"/>
                      <w:divBdr>
                        <w:top w:val="none" w:sz="0" w:space="0" w:color="auto"/>
                        <w:left w:val="none" w:sz="0" w:space="0" w:color="auto"/>
                        <w:bottom w:val="none" w:sz="0" w:space="0" w:color="auto"/>
                        <w:right w:val="none" w:sz="0" w:space="0" w:color="auto"/>
                      </w:divBdr>
                    </w:div>
                  </w:divsChild>
                </w:div>
                <w:div w:id="902717862">
                  <w:marLeft w:val="0"/>
                  <w:marRight w:val="0"/>
                  <w:marTop w:val="0"/>
                  <w:marBottom w:val="0"/>
                  <w:divBdr>
                    <w:top w:val="none" w:sz="0" w:space="0" w:color="auto"/>
                    <w:left w:val="none" w:sz="0" w:space="0" w:color="auto"/>
                    <w:bottom w:val="none" w:sz="0" w:space="0" w:color="auto"/>
                    <w:right w:val="none" w:sz="0" w:space="0" w:color="auto"/>
                  </w:divBdr>
                  <w:divsChild>
                    <w:div w:id="261232713">
                      <w:marLeft w:val="0"/>
                      <w:marRight w:val="0"/>
                      <w:marTop w:val="0"/>
                      <w:marBottom w:val="0"/>
                      <w:divBdr>
                        <w:top w:val="none" w:sz="0" w:space="0" w:color="auto"/>
                        <w:left w:val="none" w:sz="0" w:space="0" w:color="auto"/>
                        <w:bottom w:val="none" w:sz="0" w:space="0" w:color="auto"/>
                        <w:right w:val="none" w:sz="0" w:space="0" w:color="auto"/>
                      </w:divBdr>
                    </w:div>
                  </w:divsChild>
                </w:div>
                <w:div w:id="919605500">
                  <w:marLeft w:val="0"/>
                  <w:marRight w:val="0"/>
                  <w:marTop w:val="0"/>
                  <w:marBottom w:val="0"/>
                  <w:divBdr>
                    <w:top w:val="none" w:sz="0" w:space="0" w:color="auto"/>
                    <w:left w:val="none" w:sz="0" w:space="0" w:color="auto"/>
                    <w:bottom w:val="none" w:sz="0" w:space="0" w:color="auto"/>
                    <w:right w:val="none" w:sz="0" w:space="0" w:color="auto"/>
                  </w:divBdr>
                  <w:divsChild>
                    <w:div w:id="995494834">
                      <w:marLeft w:val="0"/>
                      <w:marRight w:val="0"/>
                      <w:marTop w:val="0"/>
                      <w:marBottom w:val="0"/>
                      <w:divBdr>
                        <w:top w:val="none" w:sz="0" w:space="0" w:color="auto"/>
                        <w:left w:val="none" w:sz="0" w:space="0" w:color="auto"/>
                        <w:bottom w:val="none" w:sz="0" w:space="0" w:color="auto"/>
                        <w:right w:val="none" w:sz="0" w:space="0" w:color="auto"/>
                      </w:divBdr>
                    </w:div>
                  </w:divsChild>
                </w:div>
                <w:div w:id="1013531072">
                  <w:marLeft w:val="0"/>
                  <w:marRight w:val="0"/>
                  <w:marTop w:val="0"/>
                  <w:marBottom w:val="0"/>
                  <w:divBdr>
                    <w:top w:val="none" w:sz="0" w:space="0" w:color="auto"/>
                    <w:left w:val="none" w:sz="0" w:space="0" w:color="auto"/>
                    <w:bottom w:val="none" w:sz="0" w:space="0" w:color="auto"/>
                    <w:right w:val="none" w:sz="0" w:space="0" w:color="auto"/>
                  </w:divBdr>
                  <w:divsChild>
                    <w:div w:id="641622398">
                      <w:marLeft w:val="0"/>
                      <w:marRight w:val="0"/>
                      <w:marTop w:val="0"/>
                      <w:marBottom w:val="0"/>
                      <w:divBdr>
                        <w:top w:val="none" w:sz="0" w:space="0" w:color="auto"/>
                        <w:left w:val="none" w:sz="0" w:space="0" w:color="auto"/>
                        <w:bottom w:val="none" w:sz="0" w:space="0" w:color="auto"/>
                        <w:right w:val="none" w:sz="0" w:space="0" w:color="auto"/>
                      </w:divBdr>
                    </w:div>
                  </w:divsChild>
                </w:div>
                <w:div w:id="1032877091">
                  <w:marLeft w:val="0"/>
                  <w:marRight w:val="0"/>
                  <w:marTop w:val="0"/>
                  <w:marBottom w:val="0"/>
                  <w:divBdr>
                    <w:top w:val="none" w:sz="0" w:space="0" w:color="auto"/>
                    <w:left w:val="none" w:sz="0" w:space="0" w:color="auto"/>
                    <w:bottom w:val="none" w:sz="0" w:space="0" w:color="auto"/>
                    <w:right w:val="none" w:sz="0" w:space="0" w:color="auto"/>
                  </w:divBdr>
                  <w:divsChild>
                    <w:div w:id="2081098804">
                      <w:marLeft w:val="0"/>
                      <w:marRight w:val="0"/>
                      <w:marTop w:val="0"/>
                      <w:marBottom w:val="0"/>
                      <w:divBdr>
                        <w:top w:val="none" w:sz="0" w:space="0" w:color="auto"/>
                        <w:left w:val="none" w:sz="0" w:space="0" w:color="auto"/>
                        <w:bottom w:val="none" w:sz="0" w:space="0" w:color="auto"/>
                        <w:right w:val="none" w:sz="0" w:space="0" w:color="auto"/>
                      </w:divBdr>
                    </w:div>
                  </w:divsChild>
                </w:div>
                <w:div w:id="1044676021">
                  <w:marLeft w:val="0"/>
                  <w:marRight w:val="0"/>
                  <w:marTop w:val="0"/>
                  <w:marBottom w:val="0"/>
                  <w:divBdr>
                    <w:top w:val="none" w:sz="0" w:space="0" w:color="auto"/>
                    <w:left w:val="none" w:sz="0" w:space="0" w:color="auto"/>
                    <w:bottom w:val="none" w:sz="0" w:space="0" w:color="auto"/>
                    <w:right w:val="none" w:sz="0" w:space="0" w:color="auto"/>
                  </w:divBdr>
                  <w:divsChild>
                    <w:div w:id="1587304853">
                      <w:marLeft w:val="0"/>
                      <w:marRight w:val="0"/>
                      <w:marTop w:val="0"/>
                      <w:marBottom w:val="0"/>
                      <w:divBdr>
                        <w:top w:val="none" w:sz="0" w:space="0" w:color="auto"/>
                        <w:left w:val="none" w:sz="0" w:space="0" w:color="auto"/>
                        <w:bottom w:val="none" w:sz="0" w:space="0" w:color="auto"/>
                        <w:right w:val="none" w:sz="0" w:space="0" w:color="auto"/>
                      </w:divBdr>
                    </w:div>
                  </w:divsChild>
                </w:div>
                <w:div w:id="1051731324">
                  <w:marLeft w:val="0"/>
                  <w:marRight w:val="0"/>
                  <w:marTop w:val="0"/>
                  <w:marBottom w:val="0"/>
                  <w:divBdr>
                    <w:top w:val="none" w:sz="0" w:space="0" w:color="auto"/>
                    <w:left w:val="none" w:sz="0" w:space="0" w:color="auto"/>
                    <w:bottom w:val="none" w:sz="0" w:space="0" w:color="auto"/>
                    <w:right w:val="none" w:sz="0" w:space="0" w:color="auto"/>
                  </w:divBdr>
                  <w:divsChild>
                    <w:div w:id="1519464573">
                      <w:marLeft w:val="0"/>
                      <w:marRight w:val="0"/>
                      <w:marTop w:val="0"/>
                      <w:marBottom w:val="0"/>
                      <w:divBdr>
                        <w:top w:val="none" w:sz="0" w:space="0" w:color="auto"/>
                        <w:left w:val="none" w:sz="0" w:space="0" w:color="auto"/>
                        <w:bottom w:val="none" w:sz="0" w:space="0" w:color="auto"/>
                        <w:right w:val="none" w:sz="0" w:space="0" w:color="auto"/>
                      </w:divBdr>
                    </w:div>
                  </w:divsChild>
                </w:div>
                <w:div w:id="1052533048">
                  <w:marLeft w:val="0"/>
                  <w:marRight w:val="0"/>
                  <w:marTop w:val="0"/>
                  <w:marBottom w:val="0"/>
                  <w:divBdr>
                    <w:top w:val="none" w:sz="0" w:space="0" w:color="auto"/>
                    <w:left w:val="none" w:sz="0" w:space="0" w:color="auto"/>
                    <w:bottom w:val="none" w:sz="0" w:space="0" w:color="auto"/>
                    <w:right w:val="none" w:sz="0" w:space="0" w:color="auto"/>
                  </w:divBdr>
                  <w:divsChild>
                    <w:div w:id="183516483">
                      <w:marLeft w:val="0"/>
                      <w:marRight w:val="0"/>
                      <w:marTop w:val="0"/>
                      <w:marBottom w:val="0"/>
                      <w:divBdr>
                        <w:top w:val="none" w:sz="0" w:space="0" w:color="auto"/>
                        <w:left w:val="none" w:sz="0" w:space="0" w:color="auto"/>
                        <w:bottom w:val="none" w:sz="0" w:space="0" w:color="auto"/>
                        <w:right w:val="none" w:sz="0" w:space="0" w:color="auto"/>
                      </w:divBdr>
                    </w:div>
                  </w:divsChild>
                </w:div>
                <w:div w:id="1052925731">
                  <w:marLeft w:val="0"/>
                  <w:marRight w:val="0"/>
                  <w:marTop w:val="0"/>
                  <w:marBottom w:val="0"/>
                  <w:divBdr>
                    <w:top w:val="none" w:sz="0" w:space="0" w:color="auto"/>
                    <w:left w:val="none" w:sz="0" w:space="0" w:color="auto"/>
                    <w:bottom w:val="none" w:sz="0" w:space="0" w:color="auto"/>
                    <w:right w:val="none" w:sz="0" w:space="0" w:color="auto"/>
                  </w:divBdr>
                  <w:divsChild>
                    <w:div w:id="1589189756">
                      <w:marLeft w:val="0"/>
                      <w:marRight w:val="0"/>
                      <w:marTop w:val="0"/>
                      <w:marBottom w:val="0"/>
                      <w:divBdr>
                        <w:top w:val="none" w:sz="0" w:space="0" w:color="auto"/>
                        <w:left w:val="none" w:sz="0" w:space="0" w:color="auto"/>
                        <w:bottom w:val="none" w:sz="0" w:space="0" w:color="auto"/>
                        <w:right w:val="none" w:sz="0" w:space="0" w:color="auto"/>
                      </w:divBdr>
                    </w:div>
                  </w:divsChild>
                </w:div>
                <w:div w:id="1057507991">
                  <w:marLeft w:val="0"/>
                  <w:marRight w:val="0"/>
                  <w:marTop w:val="0"/>
                  <w:marBottom w:val="0"/>
                  <w:divBdr>
                    <w:top w:val="none" w:sz="0" w:space="0" w:color="auto"/>
                    <w:left w:val="none" w:sz="0" w:space="0" w:color="auto"/>
                    <w:bottom w:val="none" w:sz="0" w:space="0" w:color="auto"/>
                    <w:right w:val="none" w:sz="0" w:space="0" w:color="auto"/>
                  </w:divBdr>
                  <w:divsChild>
                    <w:div w:id="1621690864">
                      <w:marLeft w:val="0"/>
                      <w:marRight w:val="0"/>
                      <w:marTop w:val="0"/>
                      <w:marBottom w:val="0"/>
                      <w:divBdr>
                        <w:top w:val="none" w:sz="0" w:space="0" w:color="auto"/>
                        <w:left w:val="none" w:sz="0" w:space="0" w:color="auto"/>
                        <w:bottom w:val="none" w:sz="0" w:space="0" w:color="auto"/>
                        <w:right w:val="none" w:sz="0" w:space="0" w:color="auto"/>
                      </w:divBdr>
                    </w:div>
                  </w:divsChild>
                </w:div>
                <w:div w:id="1066563539">
                  <w:marLeft w:val="0"/>
                  <w:marRight w:val="0"/>
                  <w:marTop w:val="0"/>
                  <w:marBottom w:val="0"/>
                  <w:divBdr>
                    <w:top w:val="none" w:sz="0" w:space="0" w:color="auto"/>
                    <w:left w:val="none" w:sz="0" w:space="0" w:color="auto"/>
                    <w:bottom w:val="none" w:sz="0" w:space="0" w:color="auto"/>
                    <w:right w:val="none" w:sz="0" w:space="0" w:color="auto"/>
                  </w:divBdr>
                  <w:divsChild>
                    <w:div w:id="1824151680">
                      <w:marLeft w:val="0"/>
                      <w:marRight w:val="0"/>
                      <w:marTop w:val="0"/>
                      <w:marBottom w:val="0"/>
                      <w:divBdr>
                        <w:top w:val="none" w:sz="0" w:space="0" w:color="auto"/>
                        <w:left w:val="none" w:sz="0" w:space="0" w:color="auto"/>
                        <w:bottom w:val="none" w:sz="0" w:space="0" w:color="auto"/>
                        <w:right w:val="none" w:sz="0" w:space="0" w:color="auto"/>
                      </w:divBdr>
                    </w:div>
                  </w:divsChild>
                </w:div>
                <w:div w:id="1084759429">
                  <w:marLeft w:val="0"/>
                  <w:marRight w:val="0"/>
                  <w:marTop w:val="0"/>
                  <w:marBottom w:val="0"/>
                  <w:divBdr>
                    <w:top w:val="none" w:sz="0" w:space="0" w:color="auto"/>
                    <w:left w:val="none" w:sz="0" w:space="0" w:color="auto"/>
                    <w:bottom w:val="none" w:sz="0" w:space="0" w:color="auto"/>
                    <w:right w:val="none" w:sz="0" w:space="0" w:color="auto"/>
                  </w:divBdr>
                  <w:divsChild>
                    <w:div w:id="643894555">
                      <w:marLeft w:val="0"/>
                      <w:marRight w:val="0"/>
                      <w:marTop w:val="0"/>
                      <w:marBottom w:val="0"/>
                      <w:divBdr>
                        <w:top w:val="none" w:sz="0" w:space="0" w:color="auto"/>
                        <w:left w:val="none" w:sz="0" w:space="0" w:color="auto"/>
                        <w:bottom w:val="none" w:sz="0" w:space="0" w:color="auto"/>
                        <w:right w:val="none" w:sz="0" w:space="0" w:color="auto"/>
                      </w:divBdr>
                    </w:div>
                  </w:divsChild>
                </w:div>
                <w:div w:id="1088504916">
                  <w:marLeft w:val="0"/>
                  <w:marRight w:val="0"/>
                  <w:marTop w:val="0"/>
                  <w:marBottom w:val="0"/>
                  <w:divBdr>
                    <w:top w:val="none" w:sz="0" w:space="0" w:color="auto"/>
                    <w:left w:val="none" w:sz="0" w:space="0" w:color="auto"/>
                    <w:bottom w:val="none" w:sz="0" w:space="0" w:color="auto"/>
                    <w:right w:val="none" w:sz="0" w:space="0" w:color="auto"/>
                  </w:divBdr>
                  <w:divsChild>
                    <w:div w:id="1143277927">
                      <w:marLeft w:val="0"/>
                      <w:marRight w:val="0"/>
                      <w:marTop w:val="0"/>
                      <w:marBottom w:val="0"/>
                      <w:divBdr>
                        <w:top w:val="none" w:sz="0" w:space="0" w:color="auto"/>
                        <w:left w:val="none" w:sz="0" w:space="0" w:color="auto"/>
                        <w:bottom w:val="none" w:sz="0" w:space="0" w:color="auto"/>
                        <w:right w:val="none" w:sz="0" w:space="0" w:color="auto"/>
                      </w:divBdr>
                    </w:div>
                  </w:divsChild>
                </w:div>
                <w:div w:id="1121149008">
                  <w:marLeft w:val="0"/>
                  <w:marRight w:val="0"/>
                  <w:marTop w:val="0"/>
                  <w:marBottom w:val="0"/>
                  <w:divBdr>
                    <w:top w:val="none" w:sz="0" w:space="0" w:color="auto"/>
                    <w:left w:val="none" w:sz="0" w:space="0" w:color="auto"/>
                    <w:bottom w:val="none" w:sz="0" w:space="0" w:color="auto"/>
                    <w:right w:val="none" w:sz="0" w:space="0" w:color="auto"/>
                  </w:divBdr>
                  <w:divsChild>
                    <w:div w:id="1678534575">
                      <w:marLeft w:val="0"/>
                      <w:marRight w:val="0"/>
                      <w:marTop w:val="0"/>
                      <w:marBottom w:val="0"/>
                      <w:divBdr>
                        <w:top w:val="none" w:sz="0" w:space="0" w:color="auto"/>
                        <w:left w:val="none" w:sz="0" w:space="0" w:color="auto"/>
                        <w:bottom w:val="none" w:sz="0" w:space="0" w:color="auto"/>
                        <w:right w:val="none" w:sz="0" w:space="0" w:color="auto"/>
                      </w:divBdr>
                    </w:div>
                  </w:divsChild>
                </w:div>
                <w:div w:id="1125274477">
                  <w:marLeft w:val="0"/>
                  <w:marRight w:val="0"/>
                  <w:marTop w:val="0"/>
                  <w:marBottom w:val="0"/>
                  <w:divBdr>
                    <w:top w:val="none" w:sz="0" w:space="0" w:color="auto"/>
                    <w:left w:val="none" w:sz="0" w:space="0" w:color="auto"/>
                    <w:bottom w:val="none" w:sz="0" w:space="0" w:color="auto"/>
                    <w:right w:val="none" w:sz="0" w:space="0" w:color="auto"/>
                  </w:divBdr>
                  <w:divsChild>
                    <w:div w:id="61563639">
                      <w:marLeft w:val="0"/>
                      <w:marRight w:val="0"/>
                      <w:marTop w:val="0"/>
                      <w:marBottom w:val="0"/>
                      <w:divBdr>
                        <w:top w:val="none" w:sz="0" w:space="0" w:color="auto"/>
                        <w:left w:val="none" w:sz="0" w:space="0" w:color="auto"/>
                        <w:bottom w:val="none" w:sz="0" w:space="0" w:color="auto"/>
                        <w:right w:val="none" w:sz="0" w:space="0" w:color="auto"/>
                      </w:divBdr>
                    </w:div>
                  </w:divsChild>
                </w:div>
                <w:div w:id="1127506434">
                  <w:marLeft w:val="0"/>
                  <w:marRight w:val="0"/>
                  <w:marTop w:val="0"/>
                  <w:marBottom w:val="0"/>
                  <w:divBdr>
                    <w:top w:val="none" w:sz="0" w:space="0" w:color="auto"/>
                    <w:left w:val="none" w:sz="0" w:space="0" w:color="auto"/>
                    <w:bottom w:val="none" w:sz="0" w:space="0" w:color="auto"/>
                    <w:right w:val="none" w:sz="0" w:space="0" w:color="auto"/>
                  </w:divBdr>
                  <w:divsChild>
                    <w:div w:id="292516290">
                      <w:marLeft w:val="0"/>
                      <w:marRight w:val="0"/>
                      <w:marTop w:val="0"/>
                      <w:marBottom w:val="0"/>
                      <w:divBdr>
                        <w:top w:val="none" w:sz="0" w:space="0" w:color="auto"/>
                        <w:left w:val="none" w:sz="0" w:space="0" w:color="auto"/>
                        <w:bottom w:val="none" w:sz="0" w:space="0" w:color="auto"/>
                        <w:right w:val="none" w:sz="0" w:space="0" w:color="auto"/>
                      </w:divBdr>
                    </w:div>
                  </w:divsChild>
                </w:div>
                <w:div w:id="1143037332">
                  <w:marLeft w:val="0"/>
                  <w:marRight w:val="0"/>
                  <w:marTop w:val="0"/>
                  <w:marBottom w:val="0"/>
                  <w:divBdr>
                    <w:top w:val="none" w:sz="0" w:space="0" w:color="auto"/>
                    <w:left w:val="none" w:sz="0" w:space="0" w:color="auto"/>
                    <w:bottom w:val="none" w:sz="0" w:space="0" w:color="auto"/>
                    <w:right w:val="none" w:sz="0" w:space="0" w:color="auto"/>
                  </w:divBdr>
                  <w:divsChild>
                    <w:div w:id="447161098">
                      <w:marLeft w:val="0"/>
                      <w:marRight w:val="0"/>
                      <w:marTop w:val="0"/>
                      <w:marBottom w:val="0"/>
                      <w:divBdr>
                        <w:top w:val="none" w:sz="0" w:space="0" w:color="auto"/>
                        <w:left w:val="none" w:sz="0" w:space="0" w:color="auto"/>
                        <w:bottom w:val="none" w:sz="0" w:space="0" w:color="auto"/>
                        <w:right w:val="none" w:sz="0" w:space="0" w:color="auto"/>
                      </w:divBdr>
                    </w:div>
                  </w:divsChild>
                </w:div>
                <w:div w:id="1165819964">
                  <w:marLeft w:val="0"/>
                  <w:marRight w:val="0"/>
                  <w:marTop w:val="0"/>
                  <w:marBottom w:val="0"/>
                  <w:divBdr>
                    <w:top w:val="none" w:sz="0" w:space="0" w:color="auto"/>
                    <w:left w:val="none" w:sz="0" w:space="0" w:color="auto"/>
                    <w:bottom w:val="none" w:sz="0" w:space="0" w:color="auto"/>
                    <w:right w:val="none" w:sz="0" w:space="0" w:color="auto"/>
                  </w:divBdr>
                  <w:divsChild>
                    <w:div w:id="1585607199">
                      <w:marLeft w:val="0"/>
                      <w:marRight w:val="0"/>
                      <w:marTop w:val="0"/>
                      <w:marBottom w:val="0"/>
                      <w:divBdr>
                        <w:top w:val="none" w:sz="0" w:space="0" w:color="auto"/>
                        <w:left w:val="none" w:sz="0" w:space="0" w:color="auto"/>
                        <w:bottom w:val="none" w:sz="0" w:space="0" w:color="auto"/>
                        <w:right w:val="none" w:sz="0" w:space="0" w:color="auto"/>
                      </w:divBdr>
                    </w:div>
                  </w:divsChild>
                </w:div>
                <w:div w:id="1218391822">
                  <w:marLeft w:val="0"/>
                  <w:marRight w:val="0"/>
                  <w:marTop w:val="0"/>
                  <w:marBottom w:val="0"/>
                  <w:divBdr>
                    <w:top w:val="none" w:sz="0" w:space="0" w:color="auto"/>
                    <w:left w:val="none" w:sz="0" w:space="0" w:color="auto"/>
                    <w:bottom w:val="none" w:sz="0" w:space="0" w:color="auto"/>
                    <w:right w:val="none" w:sz="0" w:space="0" w:color="auto"/>
                  </w:divBdr>
                  <w:divsChild>
                    <w:div w:id="1511527834">
                      <w:marLeft w:val="0"/>
                      <w:marRight w:val="0"/>
                      <w:marTop w:val="0"/>
                      <w:marBottom w:val="0"/>
                      <w:divBdr>
                        <w:top w:val="none" w:sz="0" w:space="0" w:color="auto"/>
                        <w:left w:val="none" w:sz="0" w:space="0" w:color="auto"/>
                        <w:bottom w:val="none" w:sz="0" w:space="0" w:color="auto"/>
                        <w:right w:val="none" w:sz="0" w:space="0" w:color="auto"/>
                      </w:divBdr>
                    </w:div>
                  </w:divsChild>
                </w:div>
                <w:div w:id="1245187647">
                  <w:marLeft w:val="0"/>
                  <w:marRight w:val="0"/>
                  <w:marTop w:val="0"/>
                  <w:marBottom w:val="0"/>
                  <w:divBdr>
                    <w:top w:val="none" w:sz="0" w:space="0" w:color="auto"/>
                    <w:left w:val="none" w:sz="0" w:space="0" w:color="auto"/>
                    <w:bottom w:val="none" w:sz="0" w:space="0" w:color="auto"/>
                    <w:right w:val="none" w:sz="0" w:space="0" w:color="auto"/>
                  </w:divBdr>
                  <w:divsChild>
                    <w:div w:id="361982338">
                      <w:marLeft w:val="0"/>
                      <w:marRight w:val="0"/>
                      <w:marTop w:val="0"/>
                      <w:marBottom w:val="0"/>
                      <w:divBdr>
                        <w:top w:val="none" w:sz="0" w:space="0" w:color="auto"/>
                        <w:left w:val="none" w:sz="0" w:space="0" w:color="auto"/>
                        <w:bottom w:val="none" w:sz="0" w:space="0" w:color="auto"/>
                        <w:right w:val="none" w:sz="0" w:space="0" w:color="auto"/>
                      </w:divBdr>
                    </w:div>
                  </w:divsChild>
                </w:div>
                <w:div w:id="1249120758">
                  <w:marLeft w:val="0"/>
                  <w:marRight w:val="0"/>
                  <w:marTop w:val="0"/>
                  <w:marBottom w:val="0"/>
                  <w:divBdr>
                    <w:top w:val="none" w:sz="0" w:space="0" w:color="auto"/>
                    <w:left w:val="none" w:sz="0" w:space="0" w:color="auto"/>
                    <w:bottom w:val="none" w:sz="0" w:space="0" w:color="auto"/>
                    <w:right w:val="none" w:sz="0" w:space="0" w:color="auto"/>
                  </w:divBdr>
                  <w:divsChild>
                    <w:div w:id="46269806">
                      <w:marLeft w:val="0"/>
                      <w:marRight w:val="0"/>
                      <w:marTop w:val="0"/>
                      <w:marBottom w:val="0"/>
                      <w:divBdr>
                        <w:top w:val="none" w:sz="0" w:space="0" w:color="auto"/>
                        <w:left w:val="none" w:sz="0" w:space="0" w:color="auto"/>
                        <w:bottom w:val="none" w:sz="0" w:space="0" w:color="auto"/>
                        <w:right w:val="none" w:sz="0" w:space="0" w:color="auto"/>
                      </w:divBdr>
                    </w:div>
                  </w:divsChild>
                </w:div>
                <w:div w:id="1276718334">
                  <w:marLeft w:val="0"/>
                  <w:marRight w:val="0"/>
                  <w:marTop w:val="0"/>
                  <w:marBottom w:val="0"/>
                  <w:divBdr>
                    <w:top w:val="none" w:sz="0" w:space="0" w:color="auto"/>
                    <w:left w:val="none" w:sz="0" w:space="0" w:color="auto"/>
                    <w:bottom w:val="none" w:sz="0" w:space="0" w:color="auto"/>
                    <w:right w:val="none" w:sz="0" w:space="0" w:color="auto"/>
                  </w:divBdr>
                  <w:divsChild>
                    <w:div w:id="254678126">
                      <w:marLeft w:val="0"/>
                      <w:marRight w:val="0"/>
                      <w:marTop w:val="0"/>
                      <w:marBottom w:val="0"/>
                      <w:divBdr>
                        <w:top w:val="none" w:sz="0" w:space="0" w:color="auto"/>
                        <w:left w:val="none" w:sz="0" w:space="0" w:color="auto"/>
                        <w:bottom w:val="none" w:sz="0" w:space="0" w:color="auto"/>
                        <w:right w:val="none" w:sz="0" w:space="0" w:color="auto"/>
                      </w:divBdr>
                    </w:div>
                  </w:divsChild>
                </w:div>
                <w:div w:id="1288200092">
                  <w:marLeft w:val="0"/>
                  <w:marRight w:val="0"/>
                  <w:marTop w:val="0"/>
                  <w:marBottom w:val="0"/>
                  <w:divBdr>
                    <w:top w:val="none" w:sz="0" w:space="0" w:color="auto"/>
                    <w:left w:val="none" w:sz="0" w:space="0" w:color="auto"/>
                    <w:bottom w:val="none" w:sz="0" w:space="0" w:color="auto"/>
                    <w:right w:val="none" w:sz="0" w:space="0" w:color="auto"/>
                  </w:divBdr>
                  <w:divsChild>
                    <w:div w:id="1952544258">
                      <w:marLeft w:val="0"/>
                      <w:marRight w:val="0"/>
                      <w:marTop w:val="0"/>
                      <w:marBottom w:val="0"/>
                      <w:divBdr>
                        <w:top w:val="none" w:sz="0" w:space="0" w:color="auto"/>
                        <w:left w:val="none" w:sz="0" w:space="0" w:color="auto"/>
                        <w:bottom w:val="none" w:sz="0" w:space="0" w:color="auto"/>
                        <w:right w:val="none" w:sz="0" w:space="0" w:color="auto"/>
                      </w:divBdr>
                    </w:div>
                  </w:divsChild>
                </w:div>
                <w:div w:id="1291786677">
                  <w:marLeft w:val="0"/>
                  <w:marRight w:val="0"/>
                  <w:marTop w:val="0"/>
                  <w:marBottom w:val="0"/>
                  <w:divBdr>
                    <w:top w:val="none" w:sz="0" w:space="0" w:color="auto"/>
                    <w:left w:val="none" w:sz="0" w:space="0" w:color="auto"/>
                    <w:bottom w:val="none" w:sz="0" w:space="0" w:color="auto"/>
                    <w:right w:val="none" w:sz="0" w:space="0" w:color="auto"/>
                  </w:divBdr>
                  <w:divsChild>
                    <w:div w:id="884100901">
                      <w:marLeft w:val="0"/>
                      <w:marRight w:val="0"/>
                      <w:marTop w:val="0"/>
                      <w:marBottom w:val="0"/>
                      <w:divBdr>
                        <w:top w:val="none" w:sz="0" w:space="0" w:color="auto"/>
                        <w:left w:val="none" w:sz="0" w:space="0" w:color="auto"/>
                        <w:bottom w:val="none" w:sz="0" w:space="0" w:color="auto"/>
                        <w:right w:val="none" w:sz="0" w:space="0" w:color="auto"/>
                      </w:divBdr>
                    </w:div>
                  </w:divsChild>
                </w:div>
                <w:div w:id="1310599170">
                  <w:marLeft w:val="0"/>
                  <w:marRight w:val="0"/>
                  <w:marTop w:val="0"/>
                  <w:marBottom w:val="0"/>
                  <w:divBdr>
                    <w:top w:val="none" w:sz="0" w:space="0" w:color="auto"/>
                    <w:left w:val="none" w:sz="0" w:space="0" w:color="auto"/>
                    <w:bottom w:val="none" w:sz="0" w:space="0" w:color="auto"/>
                    <w:right w:val="none" w:sz="0" w:space="0" w:color="auto"/>
                  </w:divBdr>
                  <w:divsChild>
                    <w:div w:id="269974065">
                      <w:marLeft w:val="0"/>
                      <w:marRight w:val="0"/>
                      <w:marTop w:val="0"/>
                      <w:marBottom w:val="0"/>
                      <w:divBdr>
                        <w:top w:val="none" w:sz="0" w:space="0" w:color="auto"/>
                        <w:left w:val="none" w:sz="0" w:space="0" w:color="auto"/>
                        <w:bottom w:val="none" w:sz="0" w:space="0" w:color="auto"/>
                        <w:right w:val="none" w:sz="0" w:space="0" w:color="auto"/>
                      </w:divBdr>
                    </w:div>
                  </w:divsChild>
                </w:div>
                <w:div w:id="1328166313">
                  <w:marLeft w:val="0"/>
                  <w:marRight w:val="0"/>
                  <w:marTop w:val="0"/>
                  <w:marBottom w:val="0"/>
                  <w:divBdr>
                    <w:top w:val="none" w:sz="0" w:space="0" w:color="auto"/>
                    <w:left w:val="none" w:sz="0" w:space="0" w:color="auto"/>
                    <w:bottom w:val="none" w:sz="0" w:space="0" w:color="auto"/>
                    <w:right w:val="none" w:sz="0" w:space="0" w:color="auto"/>
                  </w:divBdr>
                  <w:divsChild>
                    <w:div w:id="195120682">
                      <w:marLeft w:val="0"/>
                      <w:marRight w:val="0"/>
                      <w:marTop w:val="0"/>
                      <w:marBottom w:val="0"/>
                      <w:divBdr>
                        <w:top w:val="none" w:sz="0" w:space="0" w:color="auto"/>
                        <w:left w:val="none" w:sz="0" w:space="0" w:color="auto"/>
                        <w:bottom w:val="none" w:sz="0" w:space="0" w:color="auto"/>
                        <w:right w:val="none" w:sz="0" w:space="0" w:color="auto"/>
                      </w:divBdr>
                    </w:div>
                  </w:divsChild>
                </w:div>
                <w:div w:id="1340037587">
                  <w:marLeft w:val="0"/>
                  <w:marRight w:val="0"/>
                  <w:marTop w:val="0"/>
                  <w:marBottom w:val="0"/>
                  <w:divBdr>
                    <w:top w:val="none" w:sz="0" w:space="0" w:color="auto"/>
                    <w:left w:val="none" w:sz="0" w:space="0" w:color="auto"/>
                    <w:bottom w:val="none" w:sz="0" w:space="0" w:color="auto"/>
                    <w:right w:val="none" w:sz="0" w:space="0" w:color="auto"/>
                  </w:divBdr>
                  <w:divsChild>
                    <w:div w:id="355547175">
                      <w:marLeft w:val="0"/>
                      <w:marRight w:val="0"/>
                      <w:marTop w:val="0"/>
                      <w:marBottom w:val="0"/>
                      <w:divBdr>
                        <w:top w:val="none" w:sz="0" w:space="0" w:color="auto"/>
                        <w:left w:val="none" w:sz="0" w:space="0" w:color="auto"/>
                        <w:bottom w:val="none" w:sz="0" w:space="0" w:color="auto"/>
                        <w:right w:val="none" w:sz="0" w:space="0" w:color="auto"/>
                      </w:divBdr>
                    </w:div>
                  </w:divsChild>
                </w:div>
                <w:div w:id="1371033193">
                  <w:marLeft w:val="0"/>
                  <w:marRight w:val="0"/>
                  <w:marTop w:val="0"/>
                  <w:marBottom w:val="0"/>
                  <w:divBdr>
                    <w:top w:val="none" w:sz="0" w:space="0" w:color="auto"/>
                    <w:left w:val="none" w:sz="0" w:space="0" w:color="auto"/>
                    <w:bottom w:val="none" w:sz="0" w:space="0" w:color="auto"/>
                    <w:right w:val="none" w:sz="0" w:space="0" w:color="auto"/>
                  </w:divBdr>
                  <w:divsChild>
                    <w:div w:id="2113890730">
                      <w:marLeft w:val="0"/>
                      <w:marRight w:val="0"/>
                      <w:marTop w:val="0"/>
                      <w:marBottom w:val="0"/>
                      <w:divBdr>
                        <w:top w:val="none" w:sz="0" w:space="0" w:color="auto"/>
                        <w:left w:val="none" w:sz="0" w:space="0" w:color="auto"/>
                        <w:bottom w:val="none" w:sz="0" w:space="0" w:color="auto"/>
                        <w:right w:val="none" w:sz="0" w:space="0" w:color="auto"/>
                      </w:divBdr>
                    </w:div>
                  </w:divsChild>
                </w:div>
                <w:div w:id="1390957111">
                  <w:marLeft w:val="0"/>
                  <w:marRight w:val="0"/>
                  <w:marTop w:val="0"/>
                  <w:marBottom w:val="0"/>
                  <w:divBdr>
                    <w:top w:val="none" w:sz="0" w:space="0" w:color="auto"/>
                    <w:left w:val="none" w:sz="0" w:space="0" w:color="auto"/>
                    <w:bottom w:val="none" w:sz="0" w:space="0" w:color="auto"/>
                    <w:right w:val="none" w:sz="0" w:space="0" w:color="auto"/>
                  </w:divBdr>
                  <w:divsChild>
                    <w:div w:id="153424763">
                      <w:marLeft w:val="0"/>
                      <w:marRight w:val="0"/>
                      <w:marTop w:val="0"/>
                      <w:marBottom w:val="0"/>
                      <w:divBdr>
                        <w:top w:val="none" w:sz="0" w:space="0" w:color="auto"/>
                        <w:left w:val="none" w:sz="0" w:space="0" w:color="auto"/>
                        <w:bottom w:val="none" w:sz="0" w:space="0" w:color="auto"/>
                        <w:right w:val="none" w:sz="0" w:space="0" w:color="auto"/>
                      </w:divBdr>
                    </w:div>
                  </w:divsChild>
                </w:div>
                <w:div w:id="1436899731">
                  <w:marLeft w:val="0"/>
                  <w:marRight w:val="0"/>
                  <w:marTop w:val="0"/>
                  <w:marBottom w:val="0"/>
                  <w:divBdr>
                    <w:top w:val="none" w:sz="0" w:space="0" w:color="auto"/>
                    <w:left w:val="none" w:sz="0" w:space="0" w:color="auto"/>
                    <w:bottom w:val="none" w:sz="0" w:space="0" w:color="auto"/>
                    <w:right w:val="none" w:sz="0" w:space="0" w:color="auto"/>
                  </w:divBdr>
                  <w:divsChild>
                    <w:div w:id="568804726">
                      <w:marLeft w:val="0"/>
                      <w:marRight w:val="0"/>
                      <w:marTop w:val="0"/>
                      <w:marBottom w:val="0"/>
                      <w:divBdr>
                        <w:top w:val="none" w:sz="0" w:space="0" w:color="auto"/>
                        <w:left w:val="none" w:sz="0" w:space="0" w:color="auto"/>
                        <w:bottom w:val="none" w:sz="0" w:space="0" w:color="auto"/>
                        <w:right w:val="none" w:sz="0" w:space="0" w:color="auto"/>
                      </w:divBdr>
                    </w:div>
                  </w:divsChild>
                </w:div>
                <w:div w:id="1444425383">
                  <w:marLeft w:val="0"/>
                  <w:marRight w:val="0"/>
                  <w:marTop w:val="0"/>
                  <w:marBottom w:val="0"/>
                  <w:divBdr>
                    <w:top w:val="none" w:sz="0" w:space="0" w:color="auto"/>
                    <w:left w:val="none" w:sz="0" w:space="0" w:color="auto"/>
                    <w:bottom w:val="none" w:sz="0" w:space="0" w:color="auto"/>
                    <w:right w:val="none" w:sz="0" w:space="0" w:color="auto"/>
                  </w:divBdr>
                  <w:divsChild>
                    <w:div w:id="1351881775">
                      <w:marLeft w:val="0"/>
                      <w:marRight w:val="0"/>
                      <w:marTop w:val="0"/>
                      <w:marBottom w:val="0"/>
                      <w:divBdr>
                        <w:top w:val="none" w:sz="0" w:space="0" w:color="auto"/>
                        <w:left w:val="none" w:sz="0" w:space="0" w:color="auto"/>
                        <w:bottom w:val="none" w:sz="0" w:space="0" w:color="auto"/>
                        <w:right w:val="none" w:sz="0" w:space="0" w:color="auto"/>
                      </w:divBdr>
                    </w:div>
                  </w:divsChild>
                </w:div>
                <w:div w:id="1456875563">
                  <w:marLeft w:val="0"/>
                  <w:marRight w:val="0"/>
                  <w:marTop w:val="0"/>
                  <w:marBottom w:val="0"/>
                  <w:divBdr>
                    <w:top w:val="none" w:sz="0" w:space="0" w:color="auto"/>
                    <w:left w:val="none" w:sz="0" w:space="0" w:color="auto"/>
                    <w:bottom w:val="none" w:sz="0" w:space="0" w:color="auto"/>
                    <w:right w:val="none" w:sz="0" w:space="0" w:color="auto"/>
                  </w:divBdr>
                  <w:divsChild>
                    <w:div w:id="2037848875">
                      <w:marLeft w:val="0"/>
                      <w:marRight w:val="0"/>
                      <w:marTop w:val="0"/>
                      <w:marBottom w:val="0"/>
                      <w:divBdr>
                        <w:top w:val="none" w:sz="0" w:space="0" w:color="auto"/>
                        <w:left w:val="none" w:sz="0" w:space="0" w:color="auto"/>
                        <w:bottom w:val="none" w:sz="0" w:space="0" w:color="auto"/>
                        <w:right w:val="none" w:sz="0" w:space="0" w:color="auto"/>
                      </w:divBdr>
                    </w:div>
                  </w:divsChild>
                </w:div>
                <w:div w:id="1465149381">
                  <w:marLeft w:val="0"/>
                  <w:marRight w:val="0"/>
                  <w:marTop w:val="0"/>
                  <w:marBottom w:val="0"/>
                  <w:divBdr>
                    <w:top w:val="none" w:sz="0" w:space="0" w:color="auto"/>
                    <w:left w:val="none" w:sz="0" w:space="0" w:color="auto"/>
                    <w:bottom w:val="none" w:sz="0" w:space="0" w:color="auto"/>
                    <w:right w:val="none" w:sz="0" w:space="0" w:color="auto"/>
                  </w:divBdr>
                  <w:divsChild>
                    <w:div w:id="935408192">
                      <w:marLeft w:val="0"/>
                      <w:marRight w:val="0"/>
                      <w:marTop w:val="0"/>
                      <w:marBottom w:val="0"/>
                      <w:divBdr>
                        <w:top w:val="none" w:sz="0" w:space="0" w:color="auto"/>
                        <w:left w:val="none" w:sz="0" w:space="0" w:color="auto"/>
                        <w:bottom w:val="none" w:sz="0" w:space="0" w:color="auto"/>
                        <w:right w:val="none" w:sz="0" w:space="0" w:color="auto"/>
                      </w:divBdr>
                    </w:div>
                  </w:divsChild>
                </w:div>
                <w:div w:id="1471552894">
                  <w:marLeft w:val="0"/>
                  <w:marRight w:val="0"/>
                  <w:marTop w:val="0"/>
                  <w:marBottom w:val="0"/>
                  <w:divBdr>
                    <w:top w:val="none" w:sz="0" w:space="0" w:color="auto"/>
                    <w:left w:val="none" w:sz="0" w:space="0" w:color="auto"/>
                    <w:bottom w:val="none" w:sz="0" w:space="0" w:color="auto"/>
                    <w:right w:val="none" w:sz="0" w:space="0" w:color="auto"/>
                  </w:divBdr>
                  <w:divsChild>
                    <w:div w:id="2004237141">
                      <w:marLeft w:val="0"/>
                      <w:marRight w:val="0"/>
                      <w:marTop w:val="0"/>
                      <w:marBottom w:val="0"/>
                      <w:divBdr>
                        <w:top w:val="none" w:sz="0" w:space="0" w:color="auto"/>
                        <w:left w:val="none" w:sz="0" w:space="0" w:color="auto"/>
                        <w:bottom w:val="none" w:sz="0" w:space="0" w:color="auto"/>
                        <w:right w:val="none" w:sz="0" w:space="0" w:color="auto"/>
                      </w:divBdr>
                    </w:div>
                  </w:divsChild>
                </w:div>
                <w:div w:id="1536456145">
                  <w:marLeft w:val="0"/>
                  <w:marRight w:val="0"/>
                  <w:marTop w:val="0"/>
                  <w:marBottom w:val="0"/>
                  <w:divBdr>
                    <w:top w:val="none" w:sz="0" w:space="0" w:color="auto"/>
                    <w:left w:val="none" w:sz="0" w:space="0" w:color="auto"/>
                    <w:bottom w:val="none" w:sz="0" w:space="0" w:color="auto"/>
                    <w:right w:val="none" w:sz="0" w:space="0" w:color="auto"/>
                  </w:divBdr>
                  <w:divsChild>
                    <w:div w:id="604506258">
                      <w:marLeft w:val="0"/>
                      <w:marRight w:val="0"/>
                      <w:marTop w:val="0"/>
                      <w:marBottom w:val="0"/>
                      <w:divBdr>
                        <w:top w:val="none" w:sz="0" w:space="0" w:color="auto"/>
                        <w:left w:val="none" w:sz="0" w:space="0" w:color="auto"/>
                        <w:bottom w:val="none" w:sz="0" w:space="0" w:color="auto"/>
                        <w:right w:val="none" w:sz="0" w:space="0" w:color="auto"/>
                      </w:divBdr>
                    </w:div>
                  </w:divsChild>
                </w:div>
                <w:div w:id="1537502866">
                  <w:marLeft w:val="0"/>
                  <w:marRight w:val="0"/>
                  <w:marTop w:val="0"/>
                  <w:marBottom w:val="0"/>
                  <w:divBdr>
                    <w:top w:val="none" w:sz="0" w:space="0" w:color="auto"/>
                    <w:left w:val="none" w:sz="0" w:space="0" w:color="auto"/>
                    <w:bottom w:val="none" w:sz="0" w:space="0" w:color="auto"/>
                    <w:right w:val="none" w:sz="0" w:space="0" w:color="auto"/>
                  </w:divBdr>
                  <w:divsChild>
                    <w:div w:id="1769277059">
                      <w:marLeft w:val="0"/>
                      <w:marRight w:val="0"/>
                      <w:marTop w:val="0"/>
                      <w:marBottom w:val="0"/>
                      <w:divBdr>
                        <w:top w:val="none" w:sz="0" w:space="0" w:color="auto"/>
                        <w:left w:val="none" w:sz="0" w:space="0" w:color="auto"/>
                        <w:bottom w:val="none" w:sz="0" w:space="0" w:color="auto"/>
                        <w:right w:val="none" w:sz="0" w:space="0" w:color="auto"/>
                      </w:divBdr>
                    </w:div>
                  </w:divsChild>
                </w:div>
                <w:div w:id="1542010269">
                  <w:marLeft w:val="0"/>
                  <w:marRight w:val="0"/>
                  <w:marTop w:val="0"/>
                  <w:marBottom w:val="0"/>
                  <w:divBdr>
                    <w:top w:val="none" w:sz="0" w:space="0" w:color="auto"/>
                    <w:left w:val="none" w:sz="0" w:space="0" w:color="auto"/>
                    <w:bottom w:val="none" w:sz="0" w:space="0" w:color="auto"/>
                    <w:right w:val="none" w:sz="0" w:space="0" w:color="auto"/>
                  </w:divBdr>
                  <w:divsChild>
                    <w:div w:id="1105347601">
                      <w:marLeft w:val="0"/>
                      <w:marRight w:val="0"/>
                      <w:marTop w:val="0"/>
                      <w:marBottom w:val="0"/>
                      <w:divBdr>
                        <w:top w:val="none" w:sz="0" w:space="0" w:color="auto"/>
                        <w:left w:val="none" w:sz="0" w:space="0" w:color="auto"/>
                        <w:bottom w:val="none" w:sz="0" w:space="0" w:color="auto"/>
                        <w:right w:val="none" w:sz="0" w:space="0" w:color="auto"/>
                      </w:divBdr>
                    </w:div>
                  </w:divsChild>
                </w:div>
                <w:div w:id="1562862080">
                  <w:marLeft w:val="0"/>
                  <w:marRight w:val="0"/>
                  <w:marTop w:val="0"/>
                  <w:marBottom w:val="0"/>
                  <w:divBdr>
                    <w:top w:val="none" w:sz="0" w:space="0" w:color="auto"/>
                    <w:left w:val="none" w:sz="0" w:space="0" w:color="auto"/>
                    <w:bottom w:val="none" w:sz="0" w:space="0" w:color="auto"/>
                    <w:right w:val="none" w:sz="0" w:space="0" w:color="auto"/>
                  </w:divBdr>
                  <w:divsChild>
                    <w:div w:id="1379891458">
                      <w:marLeft w:val="0"/>
                      <w:marRight w:val="0"/>
                      <w:marTop w:val="0"/>
                      <w:marBottom w:val="0"/>
                      <w:divBdr>
                        <w:top w:val="none" w:sz="0" w:space="0" w:color="auto"/>
                        <w:left w:val="none" w:sz="0" w:space="0" w:color="auto"/>
                        <w:bottom w:val="none" w:sz="0" w:space="0" w:color="auto"/>
                        <w:right w:val="none" w:sz="0" w:space="0" w:color="auto"/>
                      </w:divBdr>
                    </w:div>
                  </w:divsChild>
                </w:div>
                <w:div w:id="1604916463">
                  <w:marLeft w:val="0"/>
                  <w:marRight w:val="0"/>
                  <w:marTop w:val="0"/>
                  <w:marBottom w:val="0"/>
                  <w:divBdr>
                    <w:top w:val="none" w:sz="0" w:space="0" w:color="auto"/>
                    <w:left w:val="none" w:sz="0" w:space="0" w:color="auto"/>
                    <w:bottom w:val="none" w:sz="0" w:space="0" w:color="auto"/>
                    <w:right w:val="none" w:sz="0" w:space="0" w:color="auto"/>
                  </w:divBdr>
                  <w:divsChild>
                    <w:div w:id="1562516624">
                      <w:marLeft w:val="0"/>
                      <w:marRight w:val="0"/>
                      <w:marTop w:val="0"/>
                      <w:marBottom w:val="0"/>
                      <w:divBdr>
                        <w:top w:val="none" w:sz="0" w:space="0" w:color="auto"/>
                        <w:left w:val="none" w:sz="0" w:space="0" w:color="auto"/>
                        <w:bottom w:val="none" w:sz="0" w:space="0" w:color="auto"/>
                        <w:right w:val="none" w:sz="0" w:space="0" w:color="auto"/>
                      </w:divBdr>
                    </w:div>
                  </w:divsChild>
                </w:div>
                <w:div w:id="1610813388">
                  <w:marLeft w:val="0"/>
                  <w:marRight w:val="0"/>
                  <w:marTop w:val="0"/>
                  <w:marBottom w:val="0"/>
                  <w:divBdr>
                    <w:top w:val="none" w:sz="0" w:space="0" w:color="auto"/>
                    <w:left w:val="none" w:sz="0" w:space="0" w:color="auto"/>
                    <w:bottom w:val="none" w:sz="0" w:space="0" w:color="auto"/>
                    <w:right w:val="none" w:sz="0" w:space="0" w:color="auto"/>
                  </w:divBdr>
                  <w:divsChild>
                    <w:div w:id="1918856662">
                      <w:marLeft w:val="0"/>
                      <w:marRight w:val="0"/>
                      <w:marTop w:val="0"/>
                      <w:marBottom w:val="0"/>
                      <w:divBdr>
                        <w:top w:val="none" w:sz="0" w:space="0" w:color="auto"/>
                        <w:left w:val="none" w:sz="0" w:space="0" w:color="auto"/>
                        <w:bottom w:val="none" w:sz="0" w:space="0" w:color="auto"/>
                        <w:right w:val="none" w:sz="0" w:space="0" w:color="auto"/>
                      </w:divBdr>
                    </w:div>
                  </w:divsChild>
                </w:div>
                <w:div w:id="1618557591">
                  <w:marLeft w:val="0"/>
                  <w:marRight w:val="0"/>
                  <w:marTop w:val="0"/>
                  <w:marBottom w:val="0"/>
                  <w:divBdr>
                    <w:top w:val="none" w:sz="0" w:space="0" w:color="auto"/>
                    <w:left w:val="none" w:sz="0" w:space="0" w:color="auto"/>
                    <w:bottom w:val="none" w:sz="0" w:space="0" w:color="auto"/>
                    <w:right w:val="none" w:sz="0" w:space="0" w:color="auto"/>
                  </w:divBdr>
                  <w:divsChild>
                    <w:div w:id="589388779">
                      <w:marLeft w:val="0"/>
                      <w:marRight w:val="0"/>
                      <w:marTop w:val="0"/>
                      <w:marBottom w:val="0"/>
                      <w:divBdr>
                        <w:top w:val="none" w:sz="0" w:space="0" w:color="auto"/>
                        <w:left w:val="none" w:sz="0" w:space="0" w:color="auto"/>
                        <w:bottom w:val="none" w:sz="0" w:space="0" w:color="auto"/>
                        <w:right w:val="none" w:sz="0" w:space="0" w:color="auto"/>
                      </w:divBdr>
                    </w:div>
                  </w:divsChild>
                </w:div>
                <w:div w:id="1646351367">
                  <w:marLeft w:val="0"/>
                  <w:marRight w:val="0"/>
                  <w:marTop w:val="0"/>
                  <w:marBottom w:val="0"/>
                  <w:divBdr>
                    <w:top w:val="none" w:sz="0" w:space="0" w:color="auto"/>
                    <w:left w:val="none" w:sz="0" w:space="0" w:color="auto"/>
                    <w:bottom w:val="none" w:sz="0" w:space="0" w:color="auto"/>
                    <w:right w:val="none" w:sz="0" w:space="0" w:color="auto"/>
                  </w:divBdr>
                  <w:divsChild>
                    <w:div w:id="1760711605">
                      <w:marLeft w:val="0"/>
                      <w:marRight w:val="0"/>
                      <w:marTop w:val="0"/>
                      <w:marBottom w:val="0"/>
                      <w:divBdr>
                        <w:top w:val="none" w:sz="0" w:space="0" w:color="auto"/>
                        <w:left w:val="none" w:sz="0" w:space="0" w:color="auto"/>
                        <w:bottom w:val="none" w:sz="0" w:space="0" w:color="auto"/>
                        <w:right w:val="none" w:sz="0" w:space="0" w:color="auto"/>
                      </w:divBdr>
                    </w:div>
                  </w:divsChild>
                </w:div>
                <w:div w:id="1648196729">
                  <w:marLeft w:val="0"/>
                  <w:marRight w:val="0"/>
                  <w:marTop w:val="0"/>
                  <w:marBottom w:val="0"/>
                  <w:divBdr>
                    <w:top w:val="none" w:sz="0" w:space="0" w:color="auto"/>
                    <w:left w:val="none" w:sz="0" w:space="0" w:color="auto"/>
                    <w:bottom w:val="none" w:sz="0" w:space="0" w:color="auto"/>
                    <w:right w:val="none" w:sz="0" w:space="0" w:color="auto"/>
                  </w:divBdr>
                  <w:divsChild>
                    <w:div w:id="958075307">
                      <w:marLeft w:val="0"/>
                      <w:marRight w:val="0"/>
                      <w:marTop w:val="0"/>
                      <w:marBottom w:val="0"/>
                      <w:divBdr>
                        <w:top w:val="none" w:sz="0" w:space="0" w:color="auto"/>
                        <w:left w:val="none" w:sz="0" w:space="0" w:color="auto"/>
                        <w:bottom w:val="none" w:sz="0" w:space="0" w:color="auto"/>
                        <w:right w:val="none" w:sz="0" w:space="0" w:color="auto"/>
                      </w:divBdr>
                    </w:div>
                  </w:divsChild>
                </w:div>
                <w:div w:id="1677077051">
                  <w:marLeft w:val="0"/>
                  <w:marRight w:val="0"/>
                  <w:marTop w:val="0"/>
                  <w:marBottom w:val="0"/>
                  <w:divBdr>
                    <w:top w:val="none" w:sz="0" w:space="0" w:color="auto"/>
                    <w:left w:val="none" w:sz="0" w:space="0" w:color="auto"/>
                    <w:bottom w:val="none" w:sz="0" w:space="0" w:color="auto"/>
                    <w:right w:val="none" w:sz="0" w:space="0" w:color="auto"/>
                  </w:divBdr>
                  <w:divsChild>
                    <w:div w:id="318733750">
                      <w:marLeft w:val="0"/>
                      <w:marRight w:val="0"/>
                      <w:marTop w:val="0"/>
                      <w:marBottom w:val="0"/>
                      <w:divBdr>
                        <w:top w:val="none" w:sz="0" w:space="0" w:color="auto"/>
                        <w:left w:val="none" w:sz="0" w:space="0" w:color="auto"/>
                        <w:bottom w:val="none" w:sz="0" w:space="0" w:color="auto"/>
                        <w:right w:val="none" w:sz="0" w:space="0" w:color="auto"/>
                      </w:divBdr>
                    </w:div>
                  </w:divsChild>
                </w:div>
                <w:div w:id="1700397823">
                  <w:marLeft w:val="0"/>
                  <w:marRight w:val="0"/>
                  <w:marTop w:val="0"/>
                  <w:marBottom w:val="0"/>
                  <w:divBdr>
                    <w:top w:val="none" w:sz="0" w:space="0" w:color="auto"/>
                    <w:left w:val="none" w:sz="0" w:space="0" w:color="auto"/>
                    <w:bottom w:val="none" w:sz="0" w:space="0" w:color="auto"/>
                    <w:right w:val="none" w:sz="0" w:space="0" w:color="auto"/>
                  </w:divBdr>
                  <w:divsChild>
                    <w:div w:id="1285962415">
                      <w:marLeft w:val="0"/>
                      <w:marRight w:val="0"/>
                      <w:marTop w:val="0"/>
                      <w:marBottom w:val="0"/>
                      <w:divBdr>
                        <w:top w:val="none" w:sz="0" w:space="0" w:color="auto"/>
                        <w:left w:val="none" w:sz="0" w:space="0" w:color="auto"/>
                        <w:bottom w:val="none" w:sz="0" w:space="0" w:color="auto"/>
                        <w:right w:val="none" w:sz="0" w:space="0" w:color="auto"/>
                      </w:divBdr>
                    </w:div>
                  </w:divsChild>
                </w:div>
                <w:div w:id="1709916320">
                  <w:marLeft w:val="0"/>
                  <w:marRight w:val="0"/>
                  <w:marTop w:val="0"/>
                  <w:marBottom w:val="0"/>
                  <w:divBdr>
                    <w:top w:val="none" w:sz="0" w:space="0" w:color="auto"/>
                    <w:left w:val="none" w:sz="0" w:space="0" w:color="auto"/>
                    <w:bottom w:val="none" w:sz="0" w:space="0" w:color="auto"/>
                    <w:right w:val="none" w:sz="0" w:space="0" w:color="auto"/>
                  </w:divBdr>
                  <w:divsChild>
                    <w:div w:id="323553286">
                      <w:marLeft w:val="0"/>
                      <w:marRight w:val="0"/>
                      <w:marTop w:val="0"/>
                      <w:marBottom w:val="0"/>
                      <w:divBdr>
                        <w:top w:val="none" w:sz="0" w:space="0" w:color="auto"/>
                        <w:left w:val="none" w:sz="0" w:space="0" w:color="auto"/>
                        <w:bottom w:val="none" w:sz="0" w:space="0" w:color="auto"/>
                        <w:right w:val="none" w:sz="0" w:space="0" w:color="auto"/>
                      </w:divBdr>
                    </w:div>
                  </w:divsChild>
                </w:div>
                <w:div w:id="1758600638">
                  <w:marLeft w:val="0"/>
                  <w:marRight w:val="0"/>
                  <w:marTop w:val="0"/>
                  <w:marBottom w:val="0"/>
                  <w:divBdr>
                    <w:top w:val="none" w:sz="0" w:space="0" w:color="auto"/>
                    <w:left w:val="none" w:sz="0" w:space="0" w:color="auto"/>
                    <w:bottom w:val="none" w:sz="0" w:space="0" w:color="auto"/>
                    <w:right w:val="none" w:sz="0" w:space="0" w:color="auto"/>
                  </w:divBdr>
                  <w:divsChild>
                    <w:div w:id="459231988">
                      <w:marLeft w:val="0"/>
                      <w:marRight w:val="0"/>
                      <w:marTop w:val="0"/>
                      <w:marBottom w:val="0"/>
                      <w:divBdr>
                        <w:top w:val="none" w:sz="0" w:space="0" w:color="auto"/>
                        <w:left w:val="none" w:sz="0" w:space="0" w:color="auto"/>
                        <w:bottom w:val="none" w:sz="0" w:space="0" w:color="auto"/>
                        <w:right w:val="none" w:sz="0" w:space="0" w:color="auto"/>
                      </w:divBdr>
                    </w:div>
                  </w:divsChild>
                </w:div>
                <w:div w:id="1760903362">
                  <w:marLeft w:val="0"/>
                  <w:marRight w:val="0"/>
                  <w:marTop w:val="0"/>
                  <w:marBottom w:val="0"/>
                  <w:divBdr>
                    <w:top w:val="none" w:sz="0" w:space="0" w:color="auto"/>
                    <w:left w:val="none" w:sz="0" w:space="0" w:color="auto"/>
                    <w:bottom w:val="none" w:sz="0" w:space="0" w:color="auto"/>
                    <w:right w:val="none" w:sz="0" w:space="0" w:color="auto"/>
                  </w:divBdr>
                  <w:divsChild>
                    <w:div w:id="38669219">
                      <w:marLeft w:val="0"/>
                      <w:marRight w:val="0"/>
                      <w:marTop w:val="0"/>
                      <w:marBottom w:val="0"/>
                      <w:divBdr>
                        <w:top w:val="none" w:sz="0" w:space="0" w:color="auto"/>
                        <w:left w:val="none" w:sz="0" w:space="0" w:color="auto"/>
                        <w:bottom w:val="none" w:sz="0" w:space="0" w:color="auto"/>
                        <w:right w:val="none" w:sz="0" w:space="0" w:color="auto"/>
                      </w:divBdr>
                    </w:div>
                  </w:divsChild>
                </w:div>
                <w:div w:id="1779181900">
                  <w:marLeft w:val="0"/>
                  <w:marRight w:val="0"/>
                  <w:marTop w:val="0"/>
                  <w:marBottom w:val="0"/>
                  <w:divBdr>
                    <w:top w:val="none" w:sz="0" w:space="0" w:color="auto"/>
                    <w:left w:val="none" w:sz="0" w:space="0" w:color="auto"/>
                    <w:bottom w:val="none" w:sz="0" w:space="0" w:color="auto"/>
                    <w:right w:val="none" w:sz="0" w:space="0" w:color="auto"/>
                  </w:divBdr>
                  <w:divsChild>
                    <w:div w:id="800463977">
                      <w:marLeft w:val="0"/>
                      <w:marRight w:val="0"/>
                      <w:marTop w:val="0"/>
                      <w:marBottom w:val="0"/>
                      <w:divBdr>
                        <w:top w:val="none" w:sz="0" w:space="0" w:color="auto"/>
                        <w:left w:val="none" w:sz="0" w:space="0" w:color="auto"/>
                        <w:bottom w:val="none" w:sz="0" w:space="0" w:color="auto"/>
                        <w:right w:val="none" w:sz="0" w:space="0" w:color="auto"/>
                      </w:divBdr>
                    </w:div>
                  </w:divsChild>
                </w:div>
                <w:div w:id="1781993746">
                  <w:marLeft w:val="0"/>
                  <w:marRight w:val="0"/>
                  <w:marTop w:val="0"/>
                  <w:marBottom w:val="0"/>
                  <w:divBdr>
                    <w:top w:val="none" w:sz="0" w:space="0" w:color="auto"/>
                    <w:left w:val="none" w:sz="0" w:space="0" w:color="auto"/>
                    <w:bottom w:val="none" w:sz="0" w:space="0" w:color="auto"/>
                    <w:right w:val="none" w:sz="0" w:space="0" w:color="auto"/>
                  </w:divBdr>
                  <w:divsChild>
                    <w:div w:id="1355184132">
                      <w:marLeft w:val="0"/>
                      <w:marRight w:val="0"/>
                      <w:marTop w:val="0"/>
                      <w:marBottom w:val="0"/>
                      <w:divBdr>
                        <w:top w:val="none" w:sz="0" w:space="0" w:color="auto"/>
                        <w:left w:val="none" w:sz="0" w:space="0" w:color="auto"/>
                        <w:bottom w:val="none" w:sz="0" w:space="0" w:color="auto"/>
                        <w:right w:val="none" w:sz="0" w:space="0" w:color="auto"/>
                      </w:divBdr>
                    </w:div>
                  </w:divsChild>
                </w:div>
                <w:div w:id="1789466033">
                  <w:marLeft w:val="0"/>
                  <w:marRight w:val="0"/>
                  <w:marTop w:val="0"/>
                  <w:marBottom w:val="0"/>
                  <w:divBdr>
                    <w:top w:val="none" w:sz="0" w:space="0" w:color="auto"/>
                    <w:left w:val="none" w:sz="0" w:space="0" w:color="auto"/>
                    <w:bottom w:val="none" w:sz="0" w:space="0" w:color="auto"/>
                    <w:right w:val="none" w:sz="0" w:space="0" w:color="auto"/>
                  </w:divBdr>
                  <w:divsChild>
                    <w:div w:id="2060548167">
                      <w:marLeft w:val="0"/>
                      <w:marRight w:val="0"/>
                      <w:marTop w:val="0"/>
                      <w:marBottom w:val="0"/>
                      <w:divBdr>
                        <w:top w:val="none" w:sz="0" w:space="0" w:color="auto"/>
                        <w:left w:val="none" w:sz="0" w:space="0" w:color="auto"/>
                        <w:bottom w:val="none" w:sz="0" w:space="0" w:color="auto"/>
                        <w:right w:val="none" w:sz="0" w:space="0" w:color="auto"/>
                      </w:divBdr>
                    </w:div>
                  </w:divsChild>
                </w:div>
                <w:div w:id="1808624427">
                  <w:marLeft w:val="0"/>
                  <w:marRight w:val="0"/>
                  <w:marTop w:val="0"/>
                  <w:marBottom w:val="0"/>
                  <w:divBdr>
                    <w:top w:val="none" w:sz="0" w:space="0" w:color="auto"/>
                    <w:left w:val="none" w:sz="0" w:space="0" w:color="auto"/>
                    <w:bottom w:val="none" w:sz="0" w:space="0" w:color="auto"/>
                    <w:right w:val="none" w:sz="0" w:space="0" w:color="auto"/>
                  </w:divBdr>
                  <w:divsChild>
                    <w:div w:id="1548839079">
                      <w:marLeft w:val="0"/>
                      <w:marRight w:val="0"/>
                      <w:marTop w:val="0"/>
                      <w:marBottom w:val="0"/>
                      <w:divBdr>
                        <w:top w:val="none" w:sz="0" w:space="0" w:color="auto"/>
                        <w:left w:val="none" w:sz="0" w:space="0" w:color="auto"/>
                        <w:bottom w:val="none" w:sz="0" w:space="0" w:color="auto"/>
                        <w:right w:val="none" w:sz="0" w:space="0" w:color="auto"/>
                      </w:divBdr>
                    </w:div>
                  </w:divsChild>
                </w:div>
                <w:div w:id="1830903165">
                  <w:marLeft w:val="0"/>
                  <w:marRight w:val="0"/>
                  <w:marTop w:val="0"/>
                  <w:marBottom w:val="0"/>
                  <w:divBdr>
                    <w:top w:val="none" w:sz="0" w:space="0" w:color="auto"/>
                    <w:left w:val="none" w:sz="0" w:space="0" w:color="auto"/>
                    <w:bottom w:val="none" w:sz="0" w:space="0" w:color="auto"/>
                    <w:right w:val="none" w:sz="0" w:space="0" w:color="auto"/>
                  </w:divBdr>
                  <w:divsChild>
                    <w:div w:id="1637486479">
                      <w:marLeft w:val="0"/>
                      <w:marRight w:val="0"/>
                      <w:marTop w:val="0"/>
                      <w:marBottom w:val="0"/>
                      <w:divBdr>
                        <w:top w:val="none" w:sz="0" w:space="0" w:color="auto"/>
                        <w:left w:val="none" w:sz="0" w:space="0" w:color="auto"/>
                        <w:bottom w:val="none" w:sz="0" w:space="0" w:color="auto"/>
                        <w:right w:val="none" w:sz="0" w:space="0" w:color="auto"/>
                      </w:divBdr>
                    </w:div>
                  </w:divsChild>
                </w:div>
                <w:div w:id="1890603969">
                  <w:marLeft w:val="0"/>
                  <w:marRight w:val="0"/>
                  <w:marTop w:val="0"/>
                  <w:marBottom w:val="0"/>
                  <w:divBdr>
                    <w:top w:val="none" w:sz="0" w:space="0" w:color="auto"/>
                    <w:left w:val="none" w:sz="0" w:space="0" w:color="auto"/>
                    <w:bottom w:val="none" w:sz="0" w:space="0" w:color="auto"/>
                    <w:right w:val="none" w:sz="0" w:space="0" w:color="auto"/>
                  </w:divBdr>
                  <w:divsChild>
                    <w:div w:id="1650287099">
                      <w:marLeft w:val="0"/>
                      <w:marRight w:val="0"/>
                      <w:marTop w:val="0"/>
                      <w:marBottom w:val="0"/>
                      <w:divBdr>
                        <w:top w:val="none" w:sz="0" w:space="0" w:color="auto"/>
                        <w:left w:val="none" w:sz="0" w:space="0" w:color="auto"/>
                        <w:bottom w:val="none" w:sz="0" w:space="0" w:color="auto"/>
                        <w:right w:val="none" w:sz="0" w:space="0" w:color="auto"/>
                      </w:divBdr>
                    </w:div>
                  </w:divsChild>
                </w:div>
                <w:div w:id="1930649896">
                  <w:marLeft w:val="0"/>
                  <w:marRight w:val="0"/>
                  <w:marTop w:val="0"/>
                  <w:marBottom w:val="0"/>
                  <w:divBdr>
                    <w:top w:val="none" w:sz="0" w:space="0" w:color="auto"/>
                    <w:left w:val="none" w:sz="0" w:space="0" w:color="auto"/>
                    <w:bottom w:val="none" w:sz="0" w:space="0" w:color="auto"/>
                    <w:right w:val="none" w:sz="0" w:space="0" w:color="auto"/>
                  </w:divBdr>
                  <w:divsChild>
                    <w:div w:id="157163038">
                      <w:marLeft w:val="0"/>
                      <w:marRight w:val="0"/>
                      <w:marTop w:val="0"/>
                      <w:marBottom w:val="0"/>
                      <w:divBdr>
                        <w:top w:val="none" w:sz="0" w:space="0" w:color="auto"/>
                        <w:left w:val="none" w:sz="0" w:space="0" w:color="auto"/>
                        <w:bottom w:val="none" w:sz="0" w:space="0" w:color="auto"/>
                        <w:right w:val="none" w:sz="0" w:space="0" w:color="auto"/>
                      </w:divBdr>
                    </w:div>
                  </w:divsChild>
                </w:div>
                <w:div w:id="1933662568">
                  <w:marLeft w:val="0"/>
                  <w:marRight w:val="0"/>
                  <w:marTop w:val="0"/>
                  <w:marBottom w:val="0"/>
                  <w:divBdr>
                    <w:top w:val="none" w:sz="0" w:space="0" w:color="auto"/>
                    <w:left w:val="none" w:sz="0" w:space="0" w:color="auto"/>
                    <w:bottom w:val="none" w:sz="0" w:space="0" w:color="auto"/>
                    <w:right w:val="none" w:sz="0" w:space="0" w:color="auto"/>
                  </w:divBdr>
                  <w:divsChild>
                    <w:div w:id="1245987911">
                      <w:marLeft w:val="0"/>
                      <w:marRight w:val="0"/>
                      <w:marTop w:val="0"/>
                      <w:marBottom w:val="0"/>
                      <w:divBdr>
                        <w:top w:val="none" w:sz="0" w:space="0" w:color="auto"/>
                        <w:left w:val="none" w:sz="0" w:space="0" w:color="auto"/>
                        <w:bottom w:val="none" w:sz="0" w:space="0" w:color="auto"/>
                        <w:right w:val="none" w:sz="0" w:space="0" w:color="auto"/>
                      </w:divBdr>
                    </w:div>
                  </w:divsChild>
                </w:div>
                <w:div w:id="1965381958">
                  <w:marLeft w:val="0"/>
                  <w:marRight w:val="0"/>
                  <w:marTop w:val="0"/>
                  <w:marBottom w:val="0"/>
                  <w:divBdr>
                    <w:top w:val="none" w:sz="0" w:space="0" w:color="auto"/>
                    <w:left w:val="none" w:sz="0" w:space="0" w:color="auto"/>
                    <w:bottom w:val="none" w:sz="0" w:space="0" w:color="auto"/>
                    <w:right w:val="none" w:sz="0" w:space="0" w:color="auto"/>
                  </w:divBdr>
                  <w:divsChild>
                    <w:div w:id="1990591361">
                      <w:marLeft w:val="0"/>
                      <w:marRight w:val="0"/>
                      <w:marTop w:val="0"/>
                      <w:marBottom w:val="0"/>
                      <w:divBdr>
                        <w:top w:val="none" w:sz="0" w:space="0" w:color="auto"/>
                        <w:left w:val="none" w:sz="0" w:space="0" w:color="auto"/>
                        <w:bottom w:val="none" w:sz="0" w:space="0" w:color="auto"/>
                        <w:right w:val="none" w:sz="0" w:space="0" w:color="auto"/>
                      </w:divBdr>
                    </w:div>
                  </w:divsChild>
                </w:div>
                <w:div w:id="1992367066">
                  <w:marLeft w:val="0"/>
                  <w:marRight w:val="0"/>
                  <w:marTop w:val="0"/>
                  <w:marBottom w:val="0"/>
                  <w:divBdr>
                    <w:top w:val="none" w:sz="0" w:space="0" w:color="auto"/>
                    <w:left w:val="none" w:sz="0" w:space="0" w:color="auto"/>
                    <w:bottom w:val="none" w:sz="0" w:space="0" w:color="auto"/>
                    <w:right w:val="none" w:sz="0" w:space="0" w:color="auto"/>
                  </w:divBdr>
                  <w:divsChild>
                    <w:div w:id="138421747">
                      <w:marLeft w:val="0"/>
                      <w:marRight w:val="0"/>
                      <w:marTop w:val="0"/>
                      <w:marBottom w:val="0"/>
                      <w:divBdr>
                        <w:top w:val="none" w:sz="0" w:space="0" w:color="auto"/>
                        <w:left w:val="none" w:sz="0" w:space="0" w:color="auto"/>
                        <w:bottom w:val="none" w:sz="0" w:space="0" w:color="auto"/>
                        <w:right w:val="none" w:sz="0" w:space="0" w:color="auto"/>
                      </w:divBdr>
                    </w:div>
                  </w:divsChild>
                </w:div>
                <w:div w:id="1998800314">
                  <w:marLeft w:val="0"/>
                  <w:marRight w:val="0"/>
                  <w:marTop w:val="0"/>
                  <w:marBottom w:val="0"/>
                  <w:divBdr>
                    <w:top w:val="none" w:sz="0" w:space="0" w:color="auto"/>
                    <w:left w:val="none" w:sz="0" w:space="0" w:color="auto"/>
                    <w:bottom w:val="none" w:sz="0" w:space="0" w:color="auto"/>
                    <w:right w:val="none" w:sz="0" w:space="0" w:color="auto"/>
                  </w:divBdr>
                  <w:divsChild>
                    <w:div w:id="907961220">
                      <w:marLeft w:val="0"/>
                      <w:marRight w:val="0"/>
                      <w:marTop w:val="0"/>
                      <w:marBottom w:val="0"/>
                      <w:divBdr>
                        <w:top w:val="none" w:sz="0" w:space="0" w:color="auto"/>
                        <w:left w:val="none" w:sz="0" w:space="0" w:color="auto"/>
                        <w:bottom w:val="none" w:sz="0" w:space="0" w:color="auto"/>
                        <w:right w:val="none" w:sz="0" w:space="0" w:color="auto"/>
                      </w:divBdr>
                    </w:div>
                  </w:divsChild>
                </w:div>
                <w:div w:id="2007778316">
                  <w:marLeft w:val="0"/>
                  <w:marRight w:val="0"/>
                  <w:marTop w:val="0"/>
                  <w:marBottom w:val="0"/>
                  <w:divBdr>
                    <w:top w:val="none" w:sz="0" w:space="0" w:color="auto"/>
                    <w:left w:val="none" w:sz="0" w:space="0" w:color="auto"/>
                    <w:bottom w:val="none" w:sz="0" w:space="0" w:color="auto"/>
                    <w:right w:val="none" w:sz="0" w:space="0" w:color="auto"/>
                  </w:divBdr>
                  <w:divsChild>
                    <w:div w:id="1259750721">
                      <w:marLeft w:val="0"/>
                      <w:marRight w:val="0"/>
                      <w:marTop w:val="0"/>
                      <w:marBottom w:val="0"/>
                      <w:divBdr>
                        <w:top w:val="none" w:sz="0" w:space="0" w:color="auto"/>
                        <w:left w:val="none" w:sz="0" w:space="0" w:color="auto"/>
                        <w:bottom w:val="none" w:sz="0" w:space="0" w:color="auto"/>
                        <w:right w:val="none" w:sz="0" w:space="0" w:color="auto"/>
                      </w:divBdr>
                    </w:div>
                  </w:divsChild>
                </w:div>
                <w:div w:id="2009556284">
                  <w:marLeft w:val="0"/>
                  <w:marRight w:val="0"/>
                  <w:marTop w:val="0"/>
                  <w:marBottom w:val="0"/>
                  <w:divBdr>
                    <w:top w:val="none" w:sz="0" w:space="0" w:color="auto"/>
                    <w:left w:val="none" w:sz="0" w:space="0" w:color="auto"/>
                    <w:bottom w:val="none" w:sz="0" w:space="0" w:color="auto"/>
                    <w:right w:val="none" w:sz="0" w:space="0" w:color="auto"/>
                  </w:divBdr>
                  <w:divsChild>
                    <w:div w:id="585849275">
                      <w:marLeft w:val="0"/>
                      <w:marRight w:val="0"/>
                      <w:marTop w:val="0"/>
                      <w:marBottom w:val="0"/>
                      <w:divBdr>
                        <w:top w:val="none" w:sz="0" w:space="0" w:color="auto"/>
                        <w:left w:val="none" w:sz="0" w:space="0" w:color="auto"/>
                        <w:bottom w:val="none" w:sz="0" w:space="0" w:color="auto"/>
                        <w:right w:val="none" w:sz="0" w:space="0" w:color="auto"/>
                      </w:divBdr>
                    </w:div>
                  </w:divsChild>
                </w:div>
                <w:div w:id="2018847285">
                  <w:marLeft w:val="0"/>
                  <w:marRight w:val="0"/>
                  <w:marTop w:val="0"/>
                  <w:marBottom w:val="0"/>
                  <w:divBdr>
                    <w:top w:val="none" w:sz="0" w:space="0" w:color="auto"/>
                    <w:left w:val="none" w:sz="0" w:space="0" w:color="auto"/>
                    <w:bottom w:val="none" w:sz="0" w:space="0" w:color="auto"/>
                    <w:right w:val="none" w:sz="0" w:space="0" w:color="auto"/>
                  </w:divBdr>
                  <w:divsChild>
                    <w:div w:id="972950408">
                      <w:marLeft w:val="0"/>
                      <w:marRight w:val="0"/>
                      <w:marTop w:val="0"/>
                      <w:marBottom w:val="0"/>
                      <w:divBdr>
                        <w:top w:val="none" w:sz="0" w:space="0" w:color="auto"/>
                        <w:left w:val="none" w:sz="0" w:space="0" w:color="auto"/>
                        <w:bottom w:val="none" w:sz="0" w:space="0" w:color="auto"/>
                        <w:right w:val="none" w:sz="0" w:space="0" w:color="auto"/>
                      </w:divBdr>
                    </w:div>
                  </w:divsChild>
                </w:div>
                <w:div w:id="2035887284">
                  <w:marLeft w:val="0"/>
                  <w:marRight w:val="0"/>
                  <w:marTop w:val="0"/>
                  <w:marBottom w:val="0"/>
                  <w:divBdr>
                    <w:top w:val="none" w:sz="0" w:space="0" w:color="auto"/>
                    <w:left w:val="none" w:sz="0" w:space="0" w:color="auto"/>
                    <w:bottom w:val="none" w:sz="0" w:space="0" w:color="auto"/>
                    <w:right w:val="none" w:sz="0" w:space="0" w:color="auto"/>
                  </w:divBdr>
                  <w:divsChild>
                    <w:div w:id="71968570">
                      <w:marLeft w:val="0"/>
                      <w:marRight w:val="0"/>
                      <w:marTop w:val="0"/>
                      <w:marBottom w:val="0"/>
                      <w:divBdr>
                        <w:top w:val="none" w:sz="0" w:space="0" w:color="auto"/>
                        <w:left w:val="none" w:sz="0" w:space="0" w:color="auto"/>
                        <w:bottom w:val="none" w:sz="0" w:space="0" w:color="auto"/>
                        <w:right w:val="none" w:sz="0" w:space="0" w:color="auto"/>
                      </w:divBdr>
                    </w:div>
                  </w:divsChild>
                </w:div>
                <w:div w:id="2058165074">
                  <w:marLeft w:val="0"/>
                  <w:marRight w:val="0"/>
                  <w:marTop w:val="0"/>
                  <w:marBottom w:val="0"/>
                  <w:divBdr>
                    <w:top w:val="none" w:sz="0" w:space="0" w:color="auto"/>
                    <w:left w:val="none" w:sz="0" w:space="0" w:color="auto"/>
                    <w:bottom w:val="none" w:sz="0" w:space="0" w:color="auto"/>
                    <w:right w:val="none" w:sz="0" w:space="0" w:color="auto"/>
                  </w:divBdr>
                  <w:divsChild>
                    <w:div w:id="611977253">
                      <w:marLeft w:val="0"/>
                      <w:marRight w:val="0"/>
                      <w:marTop w:val="0"/>
                      <w:marBottom w:val="0"/>
                      <w:divBdr>
                        <w:top w:val="none" w:sz="0" w:space="0" w:color="auto"/>
                        <w:left w:val="none" w:sz="0" w:space="0" w:color="auto"/>
                        <w:bottom w:val="none" w:sz="0" w:space="0" w:color="auto"/>
                        <w:right w:val="none" w:sz="0" w:space="0" w:color="auto"/>
                      </w:divBdr>
                    </w:div>
                  </w:divsChild>
                </w:div>
                <w:div w:id="2068138536">
                  <w:marLeft w:val="0"/>
                  <w:marRight w:val="0"/>
                  <w:marTop w:val="0"/>
                  <w:marBottom w:val="0"/>
                  <w:divBdr>
                    <w:top w:val="none" w:sz="0" w:space="0" w:color="auto"/>
                    <w:left w:val="none" w:sz="0" w:space="0" w:color="auto"/>
                    <w:bottom w:val="none" w:sz="0" w:space="0" w:color="auto"/>
                    <w:right w:val="none" w:sz="0" w:space="0" w:color="auto"/>
                  </w:divBdr>
                  <w:divsChild>
                    <w:div w:id="1937667644">
                      <w:marLeft w:val="0"/>
                      <w:marRight w:val="0"/>
                      <w:marTop w:val="0"/>
                      <w:marBottom w:val="0"/>
                      <w:divBdr>
                        <w:top w:val="none" w:sz="0" w:space="0" w:color="auto"/>
                        <w:left w:val="none" w:sz="0" w:space="0" w:color="auto"/>
                        <w:bottom w:val="none" w:sz="0" w:space="0" w:color="auto"/>
                        <w:right w:val="none" w:sz="0" w:space="0" w:color="auto"/>
                      </w:divBdr>
                    </w:div>
                  </w:divsChild>
                </w:div>
                <w:div w:id="2085570228">
                  <w:marLeft w:val="0"/>
                  <w:marRight w:val="0"/>
                  <w:marTop w:val="0"/>
                  <w:marBottom w:val="0"/>
                  <w:divBdr>
                    <w:top w:val="none" w:sz="0" w:space="0" w:color="auto"/>
                    <w:left w:val="none" w:sz="0" w:space="0" w:color="auto"/>
                    <w:bottom w:val="none" w:sz="0" w:space="0" w:color="auto"/>
                    <w:right w:val="none" w:sz="0" w:space="0" w:color="auto"/>
                  </w:divBdr>
                  <w:divsChild>
                    <w:div w:id="41949713">
                      <w:marLeft w:val="0"/>
                      <w:marRight w:val="0"/>
                      <w:marTop w:val="0"/>
                      <w:marBottom w:val="0"/>
                      <w:divBdr>
                        <w:top w:val="none" w:sz="0" w:space="0" w:color="auto"/>
                        <w:left w:val="none" w:sz="0" w:space="0" w:color="auto"/>
                        <w:bottom w:val="none" w:sz="0" w:space="0" w:color="auto"/>
                        <w:right w:val="none" w:sz="0" w:space="0" w:color="auto"/>
                      </w:divBdr>
                    </w:div>
                  </w:divsChild>
                </w:div>
                <w:div w:id="2089690115">
                  <w:marLeft w:val="0"/>
                  <w:marRight w:val="0"/>
                  <w:marTop w:val="0"/>
                  <w:marBottom w:val="0"/>
                  <w:divBdr>
                    <w:top w:val="none" w:sz="0" w:space="0" w:color="auto"/>
                    <w:left w:val="none" w:sz="0" w:space="0" w:color="auto"/>
                    <w:bottom w:val="none" w:sz="0" w:space="0" w:color="auto"/>
                    <w:right w:val="none" w:sz="0" w:space="0" w:color="auto"/>
                  </w:divBdr>
                  <w:divsChild>
                    <w:div w:id="1869097276">
                      <w:marLeft w:val="0"/>
                      <w:marRight w:val="0"/>
                      <w:marTop w:val="0"/>
                      <w:marBottom w:val="0"/>
                      <w:divBdr>
                        <w:top w:val="none" w:sz="0" w:space="0" w:color="auto"/>
                        <w:left w:val="none" w:sz="0" w:space="0" w:color="auto"/>
                        <w:bottom w:val="none" w:sz="0" w:space="0" w:color="auto"/>
                        <w:right w:val="none" w:sz="0" w:space="0" w:color="auto"/>
                      </w:divBdr>
                    </w:div>
                  </w:divsChild>
                </w:div>
                <w:div w:id="2090418555">
                  <w:marLeft w:val="0"/>
                  <w:marRight w:val="0"/>
                  <w:marTop w:val="0"/>
                  <w:marBottom w:val="0"/>
                  <w:divBdr>
                    <w:top w:val="none" w:sz="0" w:space="0" w:color="auto"/>
                    <w:left w:val="none" w:sz="0" w:space="0" w:color="auto"/>
                    <w:bottom w:val="none" w:sz="0" w:space="0" w:color="auto"/>
                    <w:right w:val="none" w:sz="0" w:space="0" w:color="auto"/>
                  </w:divBdr>
                  <w:divsChild>
                    <w:div w:id="1651712853">
                      <w:marLeft w:val="0"/>
                      <w:marRight w:val="0"/>
                      <w:marTop w:val="0"/>
                      <w:marBottom w:val="0"/>
                      <w:divBdr>
                        <w:top w:val="none" w:sz="0" w:space="0" w:color="auto"/>
                        <w:left w:val="none" w:sz="0" w:space="0" w:color="auto"/>
                        <w:bottom w:val="none" w:sz="0" w:space="0" w:color="auto"/>
                        <w:right w:val="none" w:sz="0" w:space="0" w:color="auto"/>
                      </w:divBdr>
                    </w:div>
                  </w:divsChild>
                </w:div>
                <w:div w:id="2114394442">
                  <w:marLeft w:val="0"/>
                  <w:marRight w:val="0"/>
                  <w:marTop w:val="0"/>
                  <w:marBottom w:val="0"/>
                  <w:divBdr>
                    <w:top w:val="none" w:sz="0" w:space="0" w:color="auto"/>
                    <w:left w:val="none" w:sz="0" w:space="0" w:color="auto"/>
                    <w:bottom w:val="none" w:sz="0" w:space="0" w:color="auto"/>
                    <w:right w:val="none" w:sz="0" w:space="0" w:color="auto"/>
                  </w:divBdr>
                  <w:divsChild>
                    <w:div w:id="891884375">
                      <w:marLeft w:val="0"/>
                      <w:marRight w:val="0"/>
                      <w:marTop w:val="0"/>
                      <w:marBottom w:val="0"/>
                      <w:divBdr>
                        <w:top w:val="none" w:sz="0" w:space="0" w:color="auto"/>
                        <w:left w:val="none" w:sz="0" w:space="0" w:color="auto"/>
                        <w:bottom w:val="none" w:sz="0" w:space="0" w:color="auto"/>
                        <w:right w:val="none" w:sz="0" w:space="0" w:color="auto"/>
                      </w:divBdr>
                    </w:div>
                  </w:divsChild>
                </w:div>
                <w:div w:id="2116902839">
                  <w:marLeft w:val="0"/>
                  <w:marRight w:val="0"/>
                  <w:marTop w:val="0"/>
                  <w:marBottom w:val="0"/>
                  <w:divBdr>
                    <w:top w:val="none" w:sz="0" w:space="0" w:color="auto"/>
                    <w:left w:val="none" w:sz="0" w:space="0" w:color="auto"/>
                    <w:bottom w:val="none" w:sz="0" w:space="0" w:color="auto"/>
                    <w:right w:val="none" w:sz="0" w:space="0" w:color="auto"/>
                  </w:divBdr>
                  <w:divsChild>
                    <w:div w:id="111101026">
                      <w:marLeft w:val="0"/>
                      <w:marRight w:val="0"/>
                      <w:marTop w:val="0"/>
                      <w:marBottom w:val="0"/>
                      <w:divBdr>
                        <w:top w:val="none" w:sz="0" w:space="0" w:color="auto"/>
                        <w:left w:val="none" w:sz="0" w:space="0" w:color="auto"/>
                        <w:bottom w:val="none" w:sz="0" w:space="0" w:color="auto"/>
                        <w:right w:val="none" w:sz="0" w:space="0" w:color="auto"/>
                      </w:divBdr>
                    </w:div>
                  </w:divsChild>
                </w:div>
                <w:div w:id="2134861486">
                  <w:marLeft w:val="0"/>
                  <w:marRight w:val="0"/>
                  <w:marTop w:val="0"/>
                  <w:marBottom w:val="0"/>
                  <w:divBdr>
                    <w:top w:val="none" w:sz="0" w:space="0" w:color="auto"/>
                    <w:left w:val="none" w:sz="0" w:space="0" w:color="auto"/>
                    <w:bottom w:val="none" w:sz="0" w:space="0" w:color="auto"/>
                    <w:right w:val="none" w:sz="0" w:space="0" w:color="auto"/>
                  </w:divBdr>
                  <w:divsChild>
                    <w:div w:id="7936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50691">
          <w:marLeft w:val="0"/>
          <w:marRight w:val="0"/>
          <w:marTop w:val="0"/>
          <w:marBottom w:val="0"/>
          <w:divBdr>
            <w:top w:val="none" w:sz="0" w:space="0" w:color="auto"/>
            <w:left w:val="none" w:sz="0" w:space="0" w:color="auto"/>
            <w:bottom w:val="none" w:sz="0" w:space="0" w:color="auto"/>
            <w:right w:val="none" w:sz="0" w:space="0" w:color="auto"/>
          </w:divBdr>
        </w:div>
        <w:div w:id="628508473">
          <w:marLeft w:val="0"/>
          <w:marRight w:val="0"/>
          <w:marTop w:val="0"/>
          <w:marBottom w:val="0"/>
          <w:divBdr>
            <w:top w:val="none" w:sz="0" w:space="0" w:color="auto"/>
            <w:left w:val="none" w:sz="0" w:space="0" w:color="auto"/>
            <w:bottom w:val="none" w:sz="0" w:space="0" w:color="auto"/>
            <w:right w:val="none" w:sz="0" w:space="0" w:color="auto"/>
          </w:divBdr>
        </w:div>
        <w:div w:id="642350317">
          <w:marLeft w:val="0"/>
          <w:marRight w:val="0"/>
          <w:marTop w:val="0"/>
          <w:marBottom w:val="0"/>
          <w:divBdr>
            <w:top w:val="none" w:sz="0" w:space="0" w:color="auto"/>
            <w:left w:val="none" w:sz="0" w:space="0" w:color="auto"/>
            <w:bottom w:val="none" w:sz="0" w:space="0" w:color="auto"/>
            <w:right w:val="none" w:sz="0" w:space="0" w:color="auto"/>
          </w:divBdr>
        </w:div>
        <w:div w:id="680397910">
          <w:marLeft w:val="0"/>
          <w:marRight w:val="0"/>
          <w:marTop w:val="0"/>
          <w:marBottom w:val="0"/>
          <w:divBdr>
            <w:top w:val="none" w:sz="0" w:space="0" w:color="auto"/>
            <w:left w:val="none" w:sz="0" w:space="0" w:color="auto"/>
            <w:bottom w:val="none" w:sz="0" w:space="0" w:color="auto"/>
            <w:right w:val="none" w:sz="0" w:space="0" w:color="auto"/>
          </w:divBdr>
        </w:div>
        <w:div w:id="680471340">
          <w:marLeft w:val="0"/>
          <w:marRight w:val="0"/>
          <w:marTop w:val="0"/>
          <w:marBottom w:val="0"/>
          <w:divBdr>
            <w:top w:val="none" w:sz="0" w:space="0" w:color="auto"/>
            <w:left w:val="none" w:sz="0" w:space="0" w:color="auto"/>
            <w:bottom w:val="none" w:sz="0" w:space="0" w:color="auto"/>
            <w:right w:val="none" w:sz="0" w:space="0" w:color="auto"/>
          </w:divBdr>
        </w:div>
        <w:div w:id="721290913">
          <w:marLeft w:val="0"/>
          <w:marRight w:val="0"/>
          <w:marTop w:val="0"/>
          <w:marBottom w:val="0"/>
          <w:divBdr>
            <w:top w:val="none" w:sz="0" w:space="0" w:color="auto"/>
            <w:left w:val="none" w:sz="0" w:space="0" w:color="auto"/>
            <w:bottom w:val="none" w:sz="0" w:space="0" w:color="auto"/>
            <w:right w:val="none" w:sz="0" w:space="0" w:color="auto"/>
          </w:divBdr>
        </w:div>
        <w:div w:id="725758393">
          <w:marLeft w:val="0"/>
          <w:marRight w:val="0"/>
          <w:marTop w:val="0"/>
          <w:marBottom w:val="0"/>
          <w:divBdr>
            <w:top w:val="none" w:sz="0" w:space="0" w:color="auto"/>
            <w:left w:val="none" w:sz="0" w:space="0" w:color="auto"/>
            <w:bottom w:val="none" w:sz="0" w:space="0" w:color="auto"/>
            <w:right w:val="none" w:sz="0" w:space="0" w:color="auto"/>
          </w:divBdr>
        </w:div>
        <w:div w:id="757866053">
          <w:marLeft w:val="0"/>
          <w:marRight w:val="0"/>
          <w:marTop w:val="0"/>
          <w:marBottom w:val="0"/>
          <w:divBdr>
            <w:top w:val="none" w:sz="0" w:space="0" w:color="auto"/>
            <w:left w:val="none" w:sz="0" w:space="0" w:color="auto"/>
            <w:bottom w:val="none" w:sz="0" w:space="0" w:color="auto"/>
            <w:right w:val="none" w:sz="0" w:space="0" w:color="auto"/>
          </w:divBdr>
        </w:div>
        <w:div w:id="788090915">
          <w:marLeft w:val="0"/>
          <w:marRight w:val="0"/>
          <w:marTop w:val="0"/>
          <w:marBottom w:val="0"/>
          <w:divBdr>
            <w:top w:val="none" w:sz="0" w:space="0" w:color="auto"/>
            <w:left w:val="none" w:sz="0" w:space="0" w:color="auto"/>
            <w:bottom w:val="none" w:sz="0" w:space="0" w:color="auto"/>
            <w:right w:val="none" w:sz="0" w:space="0" w:color="auto"/>
          </w:divBdr>
        </w:div>
        <w:div w:id="792947888">
          <w:marLeft w:val="0"/>
          <w:marRight w:val="0"/>
          <w:marTop w:val="0"/>
          <w:marBottom w:val="0"/>
          <w:divBdr>
            <w:top w:val="none" w:sz="0" w:space="0" w:color="auto"/>
            <w:left w:val="none" w:sz="0" w:space="0" w:color="auto"/>
            <w:bottom w:val="none" w:sz="0" w:space="0" w:color="auto"/>
            <w:right w:val="none" w:sz="0" w:space="0" w:color="auto"/>
          </w:divBdr>
        </w:div>
        <w:div w:id="796530278">
          <w:marLeft w:val="0"/>
          <w:marRight w:val="0"/>
          <w:marTop w:val="0"/>
          <w:marBottom w:val="0"/>
          <w:divBdr>
            <w:top w:val="none" w:sz="0" w:space="0" w:color="auto"/>
            <w:left w:val="none" w:sz="0" w:space="0" w:color="auto"/>
            <w:bottom w:val="none" w:sz="0" w:space="0" w:color="auto"/>
            <w:right w:val="none" w:sz="0" w:space="0" w:color="auto"/>
          </w:divBdr>
        </w:div>
        <w:div w:id="815803315">
          <w:marLeft w:val="0"/>
          <w:marRight w:val="0"/>
          <w:marTop w:val="0"/>
          <w:marBottom w:val="0"/>
          <w:divBdr>
            <w:top w:val="none" w:sz="0" w:space="0" w:color="auto"/>
            <w:left w:val="none" w:sz="0" w:space="0" w:color="auto"/>
            <w:bottom w:val="none" w:sz="0" w:space="0" w:color="auto"/>
            <w:right w:val="none" w:sz="0" w:space="0" w:color="auto"/>
          </w:divBdr>
        </w:div>
        <w:div w:id="817889465">
          <w:marLeft w:val="0"/>
          <w:marRight w:val="0"/>
          <w:marTop w:val="0"/>
          <w:marBottom w:val="0"/>
          <w:divBdr>
            <w:top w:val="none" w:sz="0" w:space="0" w:color="auto"/>
            <w:left w:val="none" w:sz="0" w:space="0" w:color="auto"/>
            <w:bottom w:val="none" w:sz="0" w:space="0" w:color="auto"/>
            <w:right w:val="none" w:sz="0" w:space="0" w:color="auto"/>
          </w:divBdr>
          <w:divsChild>
            <w:div w:id="1255897398">
              <w:marLeft w:val="-75"/>
              <w:marRight w:val="0"/>
              <w:marTop w:val="30"/>
              <w:marBottom w:val="30"/>
              <w:divBdr>
                <w:top w:val="none" w:sz="0" w:space="0" w:color="auto"/>
                <w:left w:val="none" w:sz="0" w:space="0" w:color="auto"/>
                <w:bottom w:val="none" w:sz="0" w:space="0" w:color="auto"/>
                <w:right w:val="none" w:sz="0" w:space="0" w:color="auto"/>
              </w:divBdr>
              <w:divsChild>
                <w:div w:id="106892537">
                  <w:marLeft w:val="0"/>
                  <w:marRight w:val="0"/>
                  <w:marTop w:val="0"/>
                  <w:marBottom w:val="0"/>
                  <w:divBdr>
                    <w:top w:val="none" w:sz="0" w:space="0" w:color="auto"/>
                    <w:left w:val="none" w:sz="0" w:space="0" w:color="auto"/>
                    <w:bottom w:val="none" w:sz="0" w:space="0" w:color="auto"/>
                    <w:right w:val="none" w:sz="0" w:space="0" w:color="auto"/>
                  </w:divBdr>
                  <w:divsChild>
                    <w:div w:id="881787110">
                      <w:marLeft w:val="0"/>
                      <w:marRight w:val="0"/>
                      <w:marTop w:val="0"/>
                      <w:marBottom w:val="0"/>
                      <w:divBdr>
                        <w:top w:val="none" w:sz="0" w:space="0" w:color="auto"/>
                        <w:left w:val="none" w:sz="0" w:space="0" w:color="auto"/>
                        <w:bottom w:val="none" w:sz="0" w:space="0" w:color="auto"/>
                        <w:right w:val="none" w:sz="0" w:space="0" w:color="auto"/>
                      </w:divBdr>
                    </w:div>
                  </w:divsChild>
                </w:div>
                <w:div w:id="137843364">
                  <w:marLeft w:val="0"/>
                  <w:marRight w:val="0"/>
                  <w:marTop w:val="0"/>
                  <w:marBottom w:val="0"/>
                  <w:divBdr>
                    <w:top w:val="none" w:sz="0" w:space="0" w:color="auto"/>
                    <w:left w:val="none" w:sz="0" w:space="0" w:color="auto"/>
                    <w:bottom w:val="none" w:sz="0" w:space="0" w:color="auto"/>
                    <w:right w:val="none" w:sz="0" w:space="0" w:color="auto"/>
                  </w:divBdr>
                  <w:divsChild>
                    <w:div w:id="1507983530">
                      <w:marLeft w:val="0"/>
                      <w:marRight w:val="0"/>
                      <w:marTop w:val="0"/>
                      <w:marBottom w:val="0"/>
                      <w:divBdr>
                        <w:top w:val="none" w:sz="0" w:space="0" w:color="auto"/>
                        <w:left w:val="none" w:sz="0" w:space="0" w:color="auto"/>
                        <w:bottom w:val="none" w:sz="0" w:space="0" w:color="auto"/>
                        <w:right w:val="none" w:sz="0" w:space="0" w:color="auto"/>
                      </w:divBdr>
                    </w:div>
                  </w:divsChild>
                </w:div>
                <w:div w:id="148641921">
                  <w:marLeft w:val="0"/>
                  <w:marRight w:val="0"/>
                  <w:marTop w:val="0"/>
                  <w:marBottom w:val="0"/>
                  <w:divBdr>
                    <w:top w:val="none" w:sz="0" w:space="0" w:color="auto"/>
                    <w:left w:val="none" w:sz="0" w:space="0" w:color="auto"/>
                    <w:bottom w:val="none" w:sz="0" w:space="0" w:color="auto"/>
                    <w:right w:val="none" w:sz="0" w:space="0" w:color="auto"/>
                  </w:divBdr>
                  <w:divsChild>
                    <w:div w:id="448622560">
                      <w:marLeft w:val="0"/>
                      <w:marRight w:val="0"/>
                      <w:marTop w:val="0"/>
                      <w:marBottom w:val="0"/>
                      <w:divBdr>
                        <w:top w:val="none" w:sz="0" w:space="0" w:color="auto"/>
                        <w:left w:val="none" w:sz="0" w:space="0" w:color="auto"/>
                        <w:bottom w:val="none" w:sz="0" w:space="0" w:color="auto"/>
                        <w:right w:val="none" w:sz="0" w:space="0" w:color="auto"/>
                      </w:divBdr>
                    </w:div>
                  </w:divsChild>
                </w:div>
                <w:div w:id="162935117">
                  <w:marLeft w:val="0"/>
                  <w:marRight w:val="0"/>
                  <w:marTop w:val="0"/>
                  <w:marBottom w:val="0"/>
                  <w:divBdr>
                    <w:top w:val="none" w:sz="0" w:space="0" w:color="auto"/>
                    <w:left w:val="none" w:sz="0" w:space="0" w:color="auto"/>
                    <w:bottom w:val="none" w:sz="0" w:space="0" w:color="auto"/>
                    <w:right w:val="none" w:sz="0" w:space="0" w:color="auto"/>
                  </w:divBdr>
                  <w:divsChild>
                    <w:div w:id="1994673875">
                      <w:marLeft w:val="0"/>
                      <w:marRight w:val="0"/>
                      <w:marTop w:val="0"/>
                      <w:marBottom w:val="0"/>
                      <w:divBdr>
                        <w:top w:val="none" w:sz="0" w:space="0" w:color="auto"/>
                        <w:left w:val="none" w:sz="0" w:space="0" w:color="auto"/>
                        <w:bottom w:val="none" w:sz="0" w:space="0" w:color="auto"/>
                        <w:right w:val="none" w:sz="0" w:space="0" w:color="auto"/>
                      </w:divBdr>
                    </w:div>
                  </w:divsChild>
                </w:div>
                <w:div w:id="178012080">
                  <w:marLeft w:val="0"/>
                  <w:marRight w:val="0"/>
                  <w:marTop w:val="0"/>
                  <w:marBottom w:val="0"/>
                  <w:divBdr>
                    <w:top w:val="none" w:sz="0" w:space="0" w:color="auto"/>
                    <w:left w:val="none" w:sz="0" w:space="0" w:color="auto"/>
                    <w:bottom w:val="none" w:sz="0" w:space="0" w:color="auto"/>
                    <w:right w:val="none" w:sz="0" w:space="0" w:color="auto"/>
                  </w:divBdr>
                  <w:divsChild>
                    <w:div w:id="894193653">
                      <w:marLeft w:val="0"/>
                      <w:marRight w:val="0"/>
                      <w:marTop w:val="0"/>
                      <w:marBottom w:val="0"/>
                      <w:divBdr>
                        <w:top w:val="none" w:sz="0" w:space="0" w:color="auto"/>
                        <w:left w:val="none" w:sz="0" w:space="0" w:color="auto"/>
                        <w:bottom w:val="none" w:sz="0" w:space="0" w:color="auto"/>
                        <w:right w:val="none" w:sz="0" w:space="0" w:color="auto"/>
                      </w:divBdr>
                    </w:div>
                  </w:divsChild>
                </w:div>
                <w:div w:id="277221286">
                  <w:marLeft w:val="0"/>
                  <w:marRight w:val="0"/>
                  <w:marTop w:val="0"/>
                  <w:marBottom w:val="0"/>
                  <w:divBdr>
                    <w:top w:val="none" w:sz="0" w:space="0" w:color="auto"/>
                    <w:left w:val="none" w:sz="0" w:space="0" w:color="auto"/>
                    <w:bottom w:val="none" w:sz="0" w:space="0" w:color="auto"/>
                    <w:right w:val="none" w:sz="0" w:space="0" w:color="auto"/>
                  </w:divBdr>
                  <w:divsChild>
                    <w:div w:id="764229736">
                      <w:marLeft w:val="0"/>
                      <w:marRight w:val="0"/>
                      <w:marTop w:val="0"/>
                      <w:marBottom w:val="0"/>
                      <w:divBdr>
                        <w:top w:val="none" w:sz="0" w:space="0" w:color="auto"/>
                        <w:left w:val="none" w:sz="0" w:space="0" w:color="auto"/>
                        <w:bottom w:val="none" w:sz="0" w:space="0" w:color="auto"/>
                        <w:right w:val="none" w:sz="0" w:space="0" w:color="auto"/>
                      </w:divBdr>
                    </w:div>
                  </w:divsChild>
                </w:div>
                <w:div w:id="311833339">
                  <w:marLeft w:val="0"/>
                  <w:marRight w:val="0"/>
                  <w:marTop w:val="0"/>
                  <w:marBottom w:val="0"/>
                  <w:divBdr>
                    <w:top w:val="none" w:sz="0" w:space="0" w:color="auto"/>
                    <w:left w:val="none" w:sz="0" w:space="0" w:color="auto"/>
                    <w:bottom w:val="none" w:sz="0" w:space="0" w:color="auto"/>
                    <w:right w:val="none" w:sz="0" w:space="0" w:color="auto"/>
                  </w:divBdr>
                  <w:divsChild>
                    <w:div w:id="1253661042">
                      <w:marLeft w:val="0"/>
                      <w:marRight w:val="0"/>
                      <w:marTop w:val="0"/>
                      <w:marBottom w:val="0"/>
                      <w:divBdr>
                        <w:top w:val="none" w:sz="0" w:space="0" w:color="auto"/>
                        <w:left w:val="none" w:sz="0" w:space="0" w:color="auto"/>
                        <w:bottom w:val="none" w:sz="0" w:space="0" w:color="auto"/>
                        <w:right w:val="none" w:sz="0" w:space="0" w:color="auto"/>
                      </w:divBdr>
                    </w:div>
                  </w:divsChild>
                </w:div>
                <w:div w:id="317810826">
                  <w:marLeft w:val="0"/>
                  <w:marRight w:val="0"/>
                  <w:marTop w:val="0"/>
                  <w:marBottom w:val="0"/>
                  <w:divBdr>
                    <w:top w:val="none" w:sz="0" w:space="0" w:color="auto"/>
                    <w:left w:val="none" w:sz="0" w:space="0" w:color="auto"/>
                    <w:bottom w:val="none" w:sz="0" w:space="0" w:color="auto"/>
                    <w:right w:val="none" w:sz="0" w:space="0" w:color="auto"/>
                  </w:divBdr>
                  <w:divsChild>
                    <w:div w:id="633945726">
                      <w:marLeft w:val="0"/>
                      <w:marRight w:val="0"/>
                      <w:marTop w:val="0"/>
                      <w:marBottom w:val="0"/>
                      <w:divBdr>
                        <w:top w:val="none" w:sz="0" w:space="0" w:color="auto"/>
                        <w:left w:val="none" w:sz="0" w:space="0" w:color="auto"/>
                        <w:bottom w:val="none" w:sz="0" w:space="0" w:color="auto"/>
                        <w:right w:val="none" w:sz="0" w:space="0" w:color="auto"/>
                      </w:divBdr>
                    </w:div>
                  </w:divsChild>
                </w:div>
                <w:div w:id="346292760">
                  <w:marLeft w:val="0"/>
                  <w:marRight w:val="0"/>
                  <w:marTop w:val="0"/>
                  <w:marBottom w:val="0"/>
                  <w:divBdr>
                    <w:top w:val="none" w:sz="0" w:space="0" w:color="auto"/>
                    <w:left w:val="none" w:sz="0" w:space="0" w:color="auto"/>
                    <w:bottom w:val="none" w:sz="0" w:space="0" w:color="auto"/>
                    <w:right w:val="none" w:sz="0" w:space="0" w:color="auto"/>
                  </w:divBdr>
                  <w:divsChild>
                    <w:div w:id="525799996">
                      <w:marLeft w:val="0"/>
                      <w:marRight w:val="0"/>
                      <w:marTop w:val="0"/>
                      <w:marBottom w:val="0"/>
                      <w:divBdr>
                        <w:top w:val="none" w:sz="0" w:space="0" w:color="auto"/>
                        <w:left w:val="none" w:sz="0" w:space="0" w:color="auto"/>
                        <w:bottom w:val="none" w:sz="0" w:space="0" w:color="auto"/>
                        <w:right w:val="none" w:sz="0" w:space="0" w:color="auto"/>
                      </w:divBdr>
                    </w:div>
                  </w:divsChild>
                </w:div>
                <w:div w:id="551506014">
                  <w:marLeft w:val="0"/>
                  <w:marRight w:val="0"/>
                  <w:marTop w:val="0"/>
                  <w:marBottom w:val="0"/>
                  <w:divBdr>
                    <w:top w:val="none" w:sz="0" w:space="0" w:color="auto"/>
                    <w:left w:val="none" w:sz="0" w:space="0" w:color="auto"/>
                    <w:bottom w:val="none" w:sz="0" w:space="0" w:color="auto"/>
                    <w:right w:val="none" w:sz="0" w:space="0" w:color="auto"/>
                  </w:divBdr>
                  <w:divsChild>
                    <w:div w:id="1181512082">
                      <w:marLeft w:val="0"/>
                      <w:marRight w:val="0"/>
                      <w:marTop w:val="0"/>
                      <w:marBottom w:val="0"/>
                      <w:divBdr>
                        <w:top w:val="none" w:sz="0" w:space="0" w:color="auto"/>
                        <w:left w:val="none" w:sz="0" w:space="0" w:color="auto"/>
                        <w:bottom w:val="none" w:sz="0" w:space="0" w:color="auto"/>
                        <w:right w:val="none" w:sz="0" w:space="0" w:color="auto"/>
                      </w:divBdr>
                    </w:div>
                  </w:divsChild>
                </w:div>
                <w:div w:id="556865518">
                  <w:marLeft w:val="0"/>
                  <w:marRight w:val="0"/>
                  <w:marTop w:val="0"/>
                  <w:marBottom w:val="0"/>
                  <w:divBdr>
                    <w:top w:val="none" w:sz="0" w:space="0" w:color="auto"/>
                    <w:left w:val="none" w:sz="0" w:space="0" w:color="auto"/>
                    <w:bottom w:val="none" w:sz="0" w:space="0" w:color="auto"/>
                    <w:right w:val="none" w:sz="0" w:space="0" w:color="auto"/>
                  </w:divBdr>
                  <w:divsChild>
                    <w:div w:id="1511488051">
                      <w:marLeft w:val="0"/>
                      <w:marRight w:val="0"/>
                      <w:marTop w:val="0"/>
                      <w:marBottom w:val="0"/>
                      <w:divBdr>
                        <w:top w:val="none" w:sz="0" w:space="0" w:color="auto"/>
                        <w:left w:val="none" w:sz="0" w:space="0" w:color="auto"/>
                        <w:bottom w:val="none" w:sz="0" w:space="0" w:color="auto"/>
                        <w:right w:val="none" w:sz="0" w:space="0" w:color="auto"/>
                      </w:divBdr>
                    </w:div>
                  </w:divsChild>
                </w:div>
                <w:div w:id="586619250">
                  <w:marLeft w:val="0"/>
                  <w:marRight w:val="0"/>
                  <w:marTop w:val="0"/>
                  <w:marBottom w:val="0"/>
                  <w:divBdr>
                    <w:top w:val="none" w:sz="0" w:space="0" w:color="auto"/>
                    <w:left w:val="none" w:sz="0" w:space="0" w:color="auto"/>
                    <w:bottom w:val="none" w:sz="0" w:space="0" w:color="auto"/>
                    <w:right w:val="none" w:sz="0" w:space="0" w:color="auto"/>
                  </w:divBdr>
                  <w:divsChild>
                    <w:div w:id="271015023">
                      <w:marLeft w:val="0"/>
                      <w:marRight w:val="0"/>
                      <w:marTop w:val="0"/>
                      <w:marBottom w:val="0"/>
                      <w:divBdr>
                        <w:top w:val="none" w:sz="0" w:space="0" w:color="auto"/>
                        <w:left w:val="none" w:sz="0" w:space="0" w:color="auto"/>
                        <w:bottom w:val="none" w:sz="0" w:space="0" w:color="auto"/>
                        <w:right w:val="none" w:sz="0" w:space="0" w:color="auto"/>
                      </w:divBdr>
                    </w:div>
                  </w:divsChild>
                </w:div>
                <w:div w:id="711076210">
                  <w:marLeft w:val="0"/>
                  <w:marRight w:val="0"/>
                  <w:marTop w:val="0"/>
                  <w:marBottom w:val="0"/>
                  <w:divBdr>
                    <w:top w:val="none" w:sz="0" w:space="0" w:color="auto"/>
                    <w:left w:val="none" w:sz="0" w:space="0" w:color="auto"/>
                    <w:bottom w:val="none" w:sz="0" w:space="0" w:color="auto"/>
                    <w:right w:val="none" w:sz="0" w:space="0" w:color="auto"/>
                  </w:divBdr>
                  <w:divsChild>
                    <w:div w:id="262882927">
                      <w:marLeft w:val="0"/>
                      <w:marRight w:val="0"/>
                      <w:marTop w:val="0"/>
                      <w:marBottom w:val="0"/>
                      <w:divBdr>
                        <w:top w:val="none" w:sz="0" w:space="0" w:color="auto"/>
                        <w:left w:val="none" w:sz="0" w:space="0" w:color="auto"/>
                        <w:bottom w:val="none" w:sz="0" w:space="0" w:color="auto"/>
                        <w:right w:val="none" w:sz="0" w:space="0" w:color="auto"/>
                      </w:divBdr>
                    </w:div>
                  </w:divsChild>
                </w:div>
                <w:div w:id="722339344">
                  <w:marLeft w:val="0"/>
                  <w:marRight w:val="0"/>
                  <w:marTop w:val="0"/>
                  <w:marBottom w:val="0"/>
                  <w:divBdr>
                    <w:top w:val="none" w:sz="0" w:space="0" w:color="auto"/>
                    <w:left w:val="none" w:sz="0" w:space="0" w:color="auto"/>
                    <w:bottom w:val="none" w:sz="0" w:space="0" w:color="auto"/>
                    <w:right w:val="none" w:sz="0" w:space="0" w:color="auto"/>
                  </w:divBdr>
                  <w:divsChild>
                    <w:div w:id="2098818907">
                      <w:marLeft w:val="0"/>
                      <w:marRight w:val="0"/>
                      <w:marTop w:val="0"/>
                      <w:marBottom w:val="0"/>
                      <w:divBdr>
                        <w:top w:val="none" w:sz="0" w:space="0" w:color="auto"/>
                        <w:left w:val="none" w:sz="0" w:space="0" w:color="auto"/>
                        <w:bottom w:val="none" w:sz="0" w:space="0" w:color="auto"/>
                        <w:right w:val="none" w:sz="0" w:space="0" w:color="auto"/>
                      </w:divBdr>
                    </w:div>
                  </w:divsChild>
                </w:div>
                <w:div w:id="763185319">
                  <w:marLeft w:val="0"/>
                  <w:marRight w:val="0"/>
                  <w:marTop w:val="0"/>
                  <w:marBottom w:val="0"/>
                  <w:divBdr>
                    <w:top w:val="none" w:sz="0" w:space="0" w:color="auto"/>
                    <w:left w:val="none" w:sz="0" w:space="0" w:color="auto"/>
                    <w:bottom w:val="none" w:sz="0" w:space="0" w:color="auto"/>
                    <w:right w:val="none" w:sz="0" w:space="0" w:color="auto"/>
                  </w:divBdr>
                  <w:divsChild>
                    <w:div w:id="1083066804">
                      <w:marLeft w:val="0"/>
                      <w:marRight w:val="0"/>
                      <w:marTop w:val="0"/>
                      <w:marBottom w:val="0"/>
                      <w:divBdr>
                        <w:top w:val="none" w:sz="0" w:space="0" w:color="auto"/>
                        <w:left w:val="none" w:sz="0" w:space="0" w:color="auto"/>
                        <w:bottom w:val="none" w:sz="0" w:space="0" w:color="auto"/>
                        <w:right w:val="none" w:sz="0" w:space="0" w:color="auto"/>
                      </w:divBdr>
                    </w:div>
                  </w:divsChild>
                </w:div>
                <w:div w:id="868838199">
                  <w:marLeft w:val="0"/>
                  <w:marRight w:val="0"/>
                  <w:marTop w:val="0"/>
                  <w:marBottom w:val="0"/>
                  <w:divBdr>
                    <w:top w:val="none" w:sz="0" w:space="0" w:color="auto"/>
                    <w:left w:val="none" w:sz="0" w:space="0" w:color="auto"/>
                    <w:bottom w:val="none" w:sz="0" w:space="0" w:color="auto"/>
                    <w:right w:val="none" w:sz="0" w:space="0" w:color="auto"/>
                  </w:divBdr>
                  <w:divsChild>
                    <w:div w:id="1644889099">
                      <w:marLeft w:val="0"/>
                      <w:marRight w:val="0"/>
                      <w:marTop w:val="0"/>
                      <w:marBottom w:val="0"/>
                      <w:divBdr>
                        <w:top w:val="none" w:sz="0" w:space="0" w:color="auto"/>
                        <w:left w:val="none" w:sz="0" w:space="0" w:color="auto"/>
                        <w:bottom w:val="none" w:sz="0" w:space="0" w:color="auto"/>
                        <w:right w:val="none" w:sz="0" w:space="0" w:color="auto"/>
                      </w:divBdr>
                    </w:div>
                  </w:divsChild>
                </w:div>
                <w:div w:id="879903575">
                  <w:marLeft w:val="0"/>
                  <w:marRight w:val="0"/>
                  <w:marTop w:val="0"/>
                  <w:marBottom w:val="0"/>
                  <w:divBdr>
                    <w:top w:val="none" w:sz="0" w:space="0" w:color="auto"/>
                    <w:left w:val="none" w:sz="0" w:space="0" w:color="auto"/>
                    <w:bottom w:val="none" w:sz="0" w:space="0" w:color="auto"/>
                    <w:right w:val="none" w:sz="0" w:space="0" w:color="auto"/>
                  </w:divBdr>
                  <w:divsChild>
                    <w:div w:id="99617177">
                      <w:marLeft w:val="0"/>
                      <w:marRight w:val="0"/>
                      <w:marTop w:val="0"/>
                      <w:marBottom w:val="0"/>
                      <w:divBdr>
                        <w:top w:val="none" w:sz="0" w:space="0" w:color="auto"/>
                        <w:left w:val="none" w:sz="0" w:space="0" w:color="auto"/>
                        <w:bottom w:val="none" w:sz="0" w:space="0" w:color="auto"/>
                        <w:right w:val="none" w:sz="0" w:space="0" w:color="auto"/>
                      </w:divBdr>
                    </w:div>
                  </w:divsChild>
                </w:div>
                <w:div w:id="948855559">
                  <w:marLeft w:val="0"/>
                  <w:marRight w:val="0"/>
                  <w:marTop w:val="0"/>
                  <w:marBottom w:val="0"/>
                  <w:divBdr>
                    <w:top w:val="none" w:sz="0" w:space="0" w:color="auto"/>
                    <w:left w:val="none" w:sz="0" w:space="0" w:color="auto"/>
                    <w:bottom w:val="none" w:sz="0" w:space="0" w:color="auto"/>
                    <w:right w:val="none" w:sz="0" w:space="0" w:color="auto"/>
                  </w:divBdr>
                  <w:divsChild>
                    <w:div w:id="494222502">
                      <w:marLeft w:val="0"/>
                      <w:marRight w:val="0"/>
                      <w:marTop w:val="0"/>
                      <w:marBottom w:val="0"/>
                      <w:divBdr>
                        <w:top w:val="none" w:sz="0" w:space="0" w:color="auto"/>
                        <w:left w:val="none" w:sz="0" w:space="0" w:color="auto"/>
                        <w:bottom w:val="none" w:sz="0" w:space="0" w:color="auto"/>
                        <w:right w:val="none" w:sz="0" w:space="0" w:color="auto"/>
                      </w:divBdr>
                    </w:div>
                  </w:divsChild>
                </w:div>
                <w:div w:id="1003388190">
                  <w:marLeft w:val="0"/>
                  <w:marRight w:val="0"/>
                  <w:marTop w:val="0"/>
                  <w:marBottom w:val="0"/>
                  <w:divBdr>
                    <w:top w:val="none" w:sz="0" w:space="0" w:color="auto"/>
                    <w:left w:val="none" w:sz="0" w:space="0" w:color="auto"/>
                    <w:bottom w:val="none" w:sz="0" w:space="0" w:color="auto"/>
                    <w:right w:val="none" w:sz="0" w:space="0" w:color="auto"/>
                  </w:divBdr>
                  <w:divsChild>
                    <w:div w:id="1718040655">
                      <w:marLeft w:val="0"/>
                      <w:marRight w:val="0"/>
                      <w:marTop w:val="0"/>
                      <w:marBottom w:val="0"/>
                      <w:divBdr>
                        <w:top w:val="none" w:sz="0" w:space="0" w:color="auto"/>
                        <w:left w:val="none" w:sz="0" w:space="0" w:color="auto"/>
                        <w:bottom w:val="none" w:sz="0" w:space="0" w:color="auto"/>
                        <w:right w:val="none" w:sz="0" w:space="0" w:color="auto"/>
                      </w:divBdr>
                    </w:div>
                  </w:divsChild>
                </w:div>
                <w:div w:id="1033110722">
                  <w:marLeft w:val="0"/>
                  <w:marRight w:val="0"/>
                  <w:marTop w:val="0"/>
                  <w:marBottom w:val="0"/>
                  <w:divBdr>
                    <w:top w:val="none" w:sz="0" w:space="0" w:color="auto"/>
                    <w:left w:val="none" w:sz="0" w:space="0" w:color="auto"/>
                    <w:bottom w:val="none" w:sz="0" w:space="0" w:color="auto"/>
                    <w:right w:val="none" w:sz="0" w:space="0" w:color="auto"/>
                  </w:divBdr>
                  <w:divsChild>
                    <w:div w:id="1318536472">
                      <w:marLeft w:val="0"/>
                      <w:marRight w:val="0"/>
                      <w:marTop w:val="0"/>
                      <w:marBottom w:val="0"/>
                      <w:divBdr>
                        <w:top w:val="none" w:sz="0" w:space="0" w:color="auto"/>
                        <w:left w:val="none" w:sz="0" w:space="0" w:color="auto"/>
                        <w:bottom w:val="none" w:sz="0" w:space="0" w:color="auto"/>
                        <w:right w:val="none" w:sz="0" w:space="0" w:color="auto"/>
                      </w:divBdr>
                    </w:div>
                  </w:divsChild>
                </w:div>
                <w:div w:id="1036738367">
                  <w:marLeft w:val="0"/>
                  <w:marRight w:val="0"/>
                  <w:marTop w:val="0"/>
                  <w:marBottom w:val="0"/>
                  <w:divBdr>
                    <w:top w:val="none" w:sz="0" w:space="0" w:color="auto"/>
                    <w:left w:val="none" w:sz="0" w:space="0" w:color="auto"/>
                    <w:bottom w:val="none" w:sz="0" w:space="0" w:color="auto"/>
                    <w:right w:val="none" w:sz="0" w:space="0" w:color="auto"/>
                  </w:divBdr>
                  <w:divsChild>
                    <w:div w:id="691610324">
                      <w:marLeft w:val="0"/>
                      <w:marRight w:val="0"/>
                      <w:marTop w:val="0"/>
                      <w:marBottom w:val="0"/>
                      <w:divBdr>
                        <w:top w:val="none" w:sz="0" w:space="0" w:color="auto"/>
                        <w:left w:val="none" w:sz="0" w:space="0" w:color="auto"/>
                        <w:bottom w:val="none" w:sz="0" w:space="0" w:color="auto"/>
                        <w:right w:val="none" w:sz="0" w:space="0" w:color="auto"/>
                      </w:divBdr>
                    </w:div>
                  </w:divsChild>
                </w:div>
                <w:div w:id="1065834123">
                  <w:marLeft w:val="0"/>
                  <w:marRight w:val="0"/>
                  <w:marTop w:val="0"/>
                  <w:marBottom w:val="0"/>
                  <w:divBdr>
                    <w:top w:val="none" w:sz="0" w:space="0" w:color="auto"/>
                    <w:left w:val="none" w:sz="0" w:space="0" w:color="auto"/>
                    <w:bottom w:val="none" w:sz="0" w:space="0" w:color="auto"/>
                    <w:right w:val="none" w:sz="0" w:space="0" w:color="auto"/>
                  </w:divBdr>
                  <w:divsChild>
                    <w:div w:id="42490744">
                      <w:marLeft w:val="0"/>
                      <w:marRight w:val="0"/>
                      <w:marTop w:val="0"/>
                      <w:marBottom w:val="0"/>
                      <w:divBdr>
                        <w:top w:val="none" w:sz="0" w:space="0" w:color="auto"/>
                        <w:left w:val="none" w:sz="0" w:space="0" w:color="auto"/>
                        <w:bottom w:val="none" w:sz="0" w:space="0" w:color="auto"/>
                        <w:right w:val="none" w:sz="0" w:space="0" w:color="auto"/>
                      </w:divBdr>
                    </w:div>
                  </w:divsChild>
                </w:div>
                <w:div w:id="1122921926">
                  <w:marLeft w:val="0"/>
                  <w:marRight w:val="0"/>
                  <w:marTop w:val="0"/>
                  <w:marBottom w:val="0"/>
                  <w:divBdr>
                    <w:top w:val="none" w:sz="0" w:space="0" w:color="auto"/>
                    <w:left w:val="none" w:sz="0" w:space="0" w:color="auto"/>
                    <w:bottom w:val="none" w:sz="0" w:space="0" w:color="auto"/>
                    <w:right w:val="none" w:sz="0" w:space="0" w:color="auto"/>
                  </w:divBdr>
                  <w:divsChild>
                    <w:div w:id="862669217">
                      <w:marLeft w:val="0"/>
                      <w:marRight w:val="0"/>
                      <w:marTop w:val="0"/>
                      <w:marBottom w:val="0"/>
                      <w:divBdr>
                        <w:top w:val="none" w:sz="0" w:space="0" w:color="auto"/>
                        <w:left w:val="none" w:sz="0" w:space="0" w:color="auto"/>
                        <w:bottom w:val="none" w:sz="0" w:space="0" w:color="auto"/>
                        <w:right w:val="none" w:sz="0" w:space="0" w:color="auto"/>
                      </w:divBdr>
                    </w:div>
                  </w:divsChild>
                </w:div>
                <w:div w:id="1142230325">
                  <w:marLeft w:val="0"/>
                  <w:marRight w:val="0"/>
                  <w:marTop w:val="0"/>
                  <w:marBottom w:val="0"/>
                  <w:divBdr>
                    <w:top w:val="none" w:sz="0" w:space="0" w:color="auto"/>
                    <w:left w:val="none" w:sz="0" w:space="0" w:color="auto"/>
                    <w:bottom w:val="none" w:sz="0" w:space="0" w:color="auto"/>
                    <w:right w:val="none" w:sz="0" w:space="0" w:color="auto"/>
                  </w:divBdr>
                  <w:divsChild>
                    <w:div w:id="375082188">
                      <w:marLeft w:val="0"/>
                      <w:marRight w:val="0"/>
                      <w:marTop w:val="0"/>
                      <w:marBottom w:val="0"/>
                      <w:divBdr>
                        <w:top w:val="none" w:sz="0" w:space="0" w:color="auto"/>
                        <w:left w:val="none" w:sz="0" w:space="0" w:color="auto"/>
                        <w:bottom w:val="none" w:sz="0" w:space="0" w:color="auto"/>
                        <w:right w:val="none" w:sz="0" w:space="0" w:color="auto"/>
                      </w:divBdr>
                    </w:div>
                  </w:divsChild>
                </w:div>
                <w:div w:id="1447121473">
                  <w:marLeft w:val="0"/>
                  <w:marRight w:val="0"/>
                  <w:marTop w:val="0"/>
                  <w:marBottom w:val="0"/>
                  <w:divBdr>
                    <w:top w:val="none" w:sz="0" w:space="0" w:color="auto"/>
                    <w:left w:val="none" w:sz="0" w:space="0" w:color="auto"/>
                    <w:bottom w:val="none" w:sz="0" w:space="0" w:color="auto"/>
                    <w:right w:val="none" w:sz="0" w:space="0" w:color="auto"/>
                  </w:divBdr>
                  <w:divsChild>
                    <w:div w:id="1714304520">
                      <w:marLeft w:val="0"/>
                      <w:marRight w:val="0"/>
                      <w:marTop w:val="0"/>
                      <w:marBottom w:val="0"/>
                      <w:divBdr>
                        <w:top w:val="none" w:sz="0" w:space="0" w:color="auto"/>
                        <w:left w:val="none" w:sz="0" w:space="0" w:color="auto"/>
                        <w:bottom w:val="none" w:sz="0" w:space="0" w:color="auto"/>
                        <w:right w:val="none" w:sz="0" w:space="0" w:color="auto"/>
                      </w:divBdr>
                    </w:div>
                  </w:divsChild>
                </w:div>
                <w:div w:id="1579364799">
                  <w:marLeft w:val="0"/>
                  <w:marRight w:val="0"/>
                  <w:marTop w:val="0"/>
                  <w:marBottom w:val="0"/>
                  <w:divBdr>
                    <w:top w:val="none" w:sz="0" w:space="0" w:color="auto"/>
                    <w:left w:val="none" w:sz="0" w:space="0" w:color="auto"/>
                    <w:bottom w:val="none" w:sz="0" w:space="0" w:color="auto"/>
                    <w:right w:val="none" w:sz="0" w:space="0" w:color="auto"/>
                  </w:divBdr>
                  <w:divsChild>
                    <w:div w:id="1319268516">
                      <w:marLeft w:val="0"/>
                      <w:marRight w:val="0"/>
                      <w:marTop w:val="0"/>
                      <w:marBottom w:val="0"/>
                      <w:divBdr>
                        <w:top w:val="none" w:sz="0" w:space="0" w:color="auto"/>
                        <w:left w:val="none" w:sz="0" w:space="0" w:color="auto"/>
                        <w:bottom w:val="none" w:sz="0" w:space="0" w:color="auto"/>
                        <w:right w:val="none" w:sz="0" w:space="0" w:color="auto"/>
                      </w:divBdr>
                    </w:div>
                  </w:divsChild>
                </w:div>
                <w:div w:id="1603683647">
                  <w:marLeft w:val="0"/>
                  <w:marRight w:val="0"/>
                  <w:marTop w:val="0"/>
                  <w:marBottom w:val="0"/>
                  <w:divBdr>
                    <w:top w:val="none" w:sz="0" w:space="0" w:color="auto"/>
                    <w:left w:val="none" w:sz="0" w:space="0" w:color="auto"/>
                    <w:bottom w:val="none" w:sz="0" w:space="0" w:color="auto"/>
                    <w:right w:val="none" w:sz="0" w:space="0" w:color="auto"/>
                  </w:divBdr>
                  <w:divsChild>
                    <w:div w:id="175269771">
                      <w:marLeft w:val="0"/>
                      <w:marRight w:val="0"/>
                      <w:marTop w:val="0"/>
                      <w:marBottom w:val="0"/>
                      <w:divBdr>
                        <w:top w:val="none" w:sz="0" w:space="0" w:color="auto"/>
                        <w:left w:val="none" w:sz="0" w:space="0" w:color="auto"/>
                        <w:bottom w:val="none" w:sz="0" w:space="0" w:color="auto"/>
                        <w:right w:val="none" w:sz="0" w:space="0" w:color="auto"/>
                      </w:divBdr>
                    </w:div>
                  </w:divsChild>
                </w:div>
                <w:div w:id="1767800095">
                  <w:marLeft w:val="0"/>
                  <w:marRight w:val="0"/>
                  <w:marTop w:val="0"/>
                  <w:marBottom w:val="0"/>
                  <w:divBdr>
                    <w:top w:val="none" w:sz="0" w:space="0" w:color="auto"/>
                    <w:left w:val="none" w:sz="0" w:space="0" w:color="auto"/>
                    <w:bottom w:val="none" w:sz="0" w:space="0" w:color="auto"/>
                    <w:right w:val="none" w:sz="0" w:space="0" w:color="auto"/>
                  </w:divBdr>
                  <w:divsChild>
                    <w:div w:id="1817527747">
                      <w:marLeft w:val="0"/>
                      <w:marRight w:val="0"/>
                      <w:marTop w:val="0"/>
                      <w:marBottom w:val="0"/>
                      <w:divBdr>
                        <w:top w:val="none" w:sz="0" w:space="0" w:color="auto"/>
                        <w:left w:val="none" w:sz="0" w:space="0" w:color="auto"/>
                        <w:bottom w:val="none" w:sz="0" w:space="0" w:color="auto"/>
                        <w:right w:val="none" w:sz="0" w:space="0" w:color="auto"/>
                      </w:divBdr>
                    </w:div>
                  </w:divsChild>
                </w:div>
                <w:div w:id="1789858333">
                  <w:marLeft w:val="0"/>
                  <w:marRight w:val="0"/>
                  <w:marTop w:val="0"/>
                  <w:marBottom w:val="0"/>
                  <w:divBdr>
                    <w:top w:val="none" w:sz="0" w:space="0" w:color="auto"/>
                    <w:left w:val="none" w:sz="0" w:space="0" w:color="auto"/>
                    <w:bottom w:val="none" w:sz="0" w:space="0" w:color="auto"/>
                    <w:right w:val="none" w:sz="0" w:space="0" w:color="auto"/>
                  </w:divBdr>
                  <w:divsChild>
                    <w:div w:id="2136822856">
                      <w:marLeft w:val="0"/>
                      <w:marRight w:val="0"/>
                      <w:marTop w:val="0"/>
                      <w:marBottom w:val="0"/>
                      <w:divBdr>
                        <w:top w:val="none" w:sz="0" w:space="0" w:color="auto"/>
                        <w:left w:val="none" w:sz="0" w:space="0" w:color="auto"/>
                        <w:bottom w:val="none" w:sz="0" w:space="0" w:color="auto"/>
                        <w:right w:val="none" w:sz="0" w:space="0" w:color="auto"/>
                      </w:divBdr>
                    </w:div>
                  </w:divsChild>
                </w:div>
                <w:div w:id="1934510783">
                  <w:marLeft w:val="0"/>
                  <w:marRight w:val="0"/>
                  <w:marTop w:val="0"/>
                  <w:marBottom w:val="0"/>
                  <w:divBdr>
                    <w:top w:val="none" w:sz="0" w:space="0" w:color="auto"/>
                    <w:left w:val="none" w:sz="0" w:space="0" w:color="auto"/>
                    <w:bottom w:val="none" w:sz="0" w:space="0" w:color="auto"/>
                    <w:right w:val="none" w:sz="0" w:space="0" w:color="auto"/>
                  </w:divBdr>
                  <w:divsChild>
                    <w:div w:id="67121886">
                      <w:marLeft w:val="0"/>
                      <w:marRight w:val="0"/>
                      <w:marTop w:val="0"/>
                      <w:marBottom w:val="0"/>
                      <w:divBdr>
                        <w:top w:val="none" w:sz="0" w:space="0" w:color="auto"/>
                        <w:left w:val="none" w:sz="0" w:space="0" w:color="auto"/>
                        <w:bottom w:val="none" w:sz="0" w:space="0" w:color="auto"/>
                        <w:right w:val="none" w:sz="0" w:space="0" w:color="auto"/>
                      </w:divBdr>
                    </w:div>
                  </w:divsChild>
                </w:div>
                <w:div w:id="2062945435">
                  <w:marLeft w:val="0"/>
                  <w:marRight w:val="0"/>
                  <w:marTop w:val="0"/>
                  <w:marBottom w:val="0"/>
                  <w:divBdr>
                    <w:top w:val="none" w:sz="0" w:space="0" w:color="auto"/>
                    <w:left w:val="none" w:sz="0" w:space="0" w:color="auto"/>
                    <w:bottom w:val="none" w:sz="0" w:space="0" w:color="auto"/>
                    <w:right w:val="none" w:sz="0" w:space="0" w:color="auto"/>
                  </w:divBdr>
                  <w:divsChild>
                    <w:div w:id="1630892750">
                      <w:marLeft w:val="0"/>
                      <w:marRight w:val="0"/>
                      <w:marTop w:val="0"/>
                      <w:marBottom w:val="0"/>
                      <w:divBdr>
                        <w:top w:val="none" w:sz="0" w:space="0" w:color="auto"/>
                        <w:left w:val="none" w:sz="0" w:space="0" w:color="auto"/>
                        <w:bottom w:val="none" w:sz="0" w:space="0" w:color="auto"/>
                        <w:right w:val="none" w:sz="0" w:space="0" w:color="auto"/>
                      </w:divBdr>
                    </w:div>
                  </w:divsChild>
                </w:div>
                <w:div w:id="2113159801">
                  <w:marLeft w:val="0"/>
                  <w:marRight w:val="0"/>
                  <w:marTop w:val="0"/>
                  <w:marBottom w:val="0"/>
                  <w:divBdr>
                    <w:top w:val="none" w:sz="0" w:space="0" w:color="auto"/>
                    <w:left w:val="none" w:sz="0" w:space="0" w:color="auto"/>
                    <w:bottom w:val="none" w:sz="0" w:space="0" w:color="auto"/>
                    <w:right w:val="none" w:sz="0" w:space="0" w:color="auto"/>
                  </w:divBdr>
                  <w:divsChild>
                    <w:div w:id="46192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00270">
          <w:marLeft w:val="0"/>
          <w:marRight w:val="0"/>
          <w:marTop w:val="0"/>
          <w:marBottom w:val="0"/>
          <w:divBdr>
            <w:top w:val="none" w:sz="0" w:space="0" w:color="auto"/>
            <w:left w:val="none" w:sz="0" w:space="0" w:color="auto"/>
            <w:bottom w:val="none" w:sz="0" w:space="0" w:color="auto"/>
            <w:right w:val="none" w:sz="0" w:space="0" w:color="auto"/>
          </w:divBdr>
        </w:div>
        <w:div w:id="830218987">
          <w:marLeft w:val="0"/>
          <w:marRight w:val="0"/>
          <w:marTop w:val="0"/>
          <w:marBottom w:val="0"/>
          <w:divBdr>
            <w:top w:val="none" w:sz="0" w:space="0" w:color="auto"/>
            <w:left w:val="none" w:sz="0" w:space="0" w:color="auto"/>
            <w:bottom w:val="none" w:sz="0" w:space="0" w:color="auto"/>
            <w:right w:val="none" w:sz="0" w:space="0" w:color="auto"/>
          </w:divBdr>
        </w:div>
        <w:div w:id="899944478">
          <w:marLeft w:val="0"/>
          <w:marRight w:val="0"/>
          <w:marTop w:val="0"/>
          <w:marBottom w:val="0"/>
          <w:divBdr>
            <w:top w:val="none" w:sz="0" w:space="0" w:color="auto"/>
            <w:left w:val="none" w:sz="0" w:space="0" w:color="auto"/>
            <w:bottom w:val="none" w:sz="0" w:space="0" w:color="auto"/>
            <w:right w:val="none" w:sz="0" w:space="0" w:color="auto"/>
          </w:divBdr>
        </w:div>
        <w:div w:id="914751598">
          <w:marLeft w:val="0"/>
          <w:marRight w:val="0"/>
          <w:marTop w:val="0"/>
          <w:marBottom w:val="0"/>
          <w:divBdr>
            <w:top w:val="none" w:sz="0" w:space="0" w:color="auto"/>
            <w:left w:val="none" w:sz="0" w:space="0" w:color="auto"/>
            <w:bottom w:val="none" w:sz="0" w:space="0" w:color="auto"/>
            <w:right w:val="none" w:sz="0" w:space="0" w:color="auto"/>
          </w:divBdr>
        </w:div>
        <w:div w:id="950283907">
          <w:marLeft w:val="0"/>
          <w:marRight w:val="0"/>
          <w:marTop w:val="0"/>
          <w:marBottom w:val="0"/>
          <w:divBdr>
            <w:top w:val="none" w:sz="0" w:space="0" w:color="auto"/>
            <w:left w:val="none" w:sz="0" w:space="0" w:color="auto"/>
            <w:bottom w:val="none" w:sz="0" w:space="0" w:color="auto"/>
            <w:right w:val="none" w:sz="0" w:space="0" w:color="auto"/>
          </w:divBdr>
        </w:div>
        <w:div w:id="955719613">
          <w:marLeft w:val="0"/>
          <w:marRight w:val="0"/>
          <w:marTop w:val="0"/>
          <w:marBottom w:val="0"/>
          <w:divBdr>
            <w:top w:val="none" w:sz="0" w:space="0" w:color="auto"/>
            <w:left w:val="none" w:sz="0" w:space="0" w:color="auto"/>
            <w:bottom w:val="none" w:sz="0" w:space="0" w:color="auto"/>
            <w:right w:val="none" w:sz="0" w:space="0" w:color="auto"/>
          </w:divBdr>
        </w:div>
        <w:div w:id="977225017">
          <w:marLeft w:val="0"/>
          <w:marRight w:val="0"/>
          <w:marTop w:val="0"/>
          <w:marBottom w:val="0"/>
          <w:divBdr>
            <w:top w:val="none" w:sz="0" w:space="0" w:color="auto"/>
            <w:left w:val="none" w:sz="0" w:space="0" w:color="auto"/>
            <w:bottom w:val="none" w:sz="0" w:space="0" w:color="auto"/>
            <w:right w:val="none" w:sz="0" w:space="0" w:color="auto"/>
          </w:divBdr>
        </w:div>
        <w:div w:id="985665084">
          <w:marLeft w:val="0"/>
          <w:marRight w:val="0"/>
          <w:marTop w:val="0"/>
          <w:marBottom w:val="0"/>
          <w:divBdr>
            <w:top w:val="none" w:sz="0" w:space="0" w:color="auto"/>
            <w:left w:val="none" w:sz="0" w:space="0" w:color="auto"/>
            <w:bottom w:val="none" w:sz="0" w:space="0" w:color="auto"/>
            <w:right w:val="none" w:sz="0" w:space="0" w:color="auto"/>
          </w:divBdr>
          <w:divsChild>
            <w:div w:id="1616015306">
              <w:marLeft w:val="-75"/>
              <w:marRight w:val="0"/>
              <w:marTop w:val="30"/>
              <w:marBottom w:val="30"/>
              <w:divBdr>
                <w:top w:val="none" w:sz="0" w:space="0" w:color="auto"/>
                <w:left w:val="none" w:sz="0" w:space="0" w:color="auto"/>
                <w:bottom w:val="none" w:sz="0" w:space="0" w:color="auto"/>
                <w:right w:val="none" w:sz="0" w:space="0" w:color="auto"/>
              </w:divBdr>
              <w:divsChild>
                <w:div w:id="147290941">
                  <w:marLeft w:val="0"/>
                  <w:marRight w:val="0"/>
                  <w:marTop w:val="0"/>
                  <w:marBottom w:val="0"/>
                  <w:divBdr>
                    <w:top w:val="none" w:sz="0" w:space="0" w:color="auto"/>
                    <w:left w:val="none" w:sz="0" w:space="0" w:color="auto"/>
                    <w:bottom w:val="none" w:sz="0" w:space="0" w:color="auto"/>
                    <w:right w:val="none" w:sz="0" w:space="0" w:color="auto"/>
                  </w:divBdr>
                  <w:divsChild>
                    <w:div w:id="395130033">
                      <w:marLeft w:val="0"/>
                      <w:marRight w:val="0"/>
                      <w:marTop w:val="0"/>
                      <w:marBottom w:val="0"/>
                      <w:divBdr>
                        <w:top w:val="none" w:sz="0" w:space="0" w:color="auto"/>
                        <w:left w:val="none" w:sz="0" w:space="0" w:color="auto"/>
                        <w:bottom w:val="none" w:sz="0" w:space="0" w:color="auto"/>
                        <w:right w:val="none" w:sz="0" w:space="0" w:color="auto"/>
                      </w:divBdr>
                    </w:div>
                  </w:divsChild>
                </w:div>
                <w:div w:id="596788725">
                  <w:marLeft w:val="0"/>
                  <w:marRight w:val="0"/>
                  <w:marTop w:val="0"/>
                  <w:marBottom w:val="0"/>
                  <w:divBdr>
                    <w:top w:val="none" w:sz="0" w:space="0" w:color="auto"/>
                    <w:left w:val="none" w:sz="0" w:space="0" w:color="auto"/>
                    <w:bottom w:val="none" w:sz="0" w:space="0" w:color="auto"/>
                    <w:right w:val="none" w:sz="0" w:space="0" w:color="auto"/>
                  </w:divBdr>
                  <w:divsChild>
                    <w:div w:id="2090038408">
                      <w:marLeft w:val="0"/>
                      <w:marRight w:val="0"/>
                      <w:marTop w:val="0"/>
                      <w:marBottom w:val="0"/>
                      <w:divBdr>
                        <w:top w:val="none" w:sz="0" w:space="0" w:color="auto"/>
                        <w:left w:val="none" w:sz="0" w:space="0" w:color="auto"/>
                        <w:bottom w:val="none" w:sz="0" w:space="0" w:color="auto"/>
                        <w:right w:val="none" w:sz="0" w:space="0" w:color="auto"/>
                      </w:divBdr>
                    </w:div>
                  </w:divsChild>
                </w:div>
                <w:div w:id="644968328">
                  <w:marLeft w:val="0"/>
                  <w:marRight w:val="0"/>
                  <w:marTop w:val="0"/>
                  <w:marBottom w:val="0"/>
                  <w:divBdr>
                    <w:top w:val="none" w:sz="0" w:space="0" w:color="auto"/>
                    <w:left w:val="none" w:sz="0" w:space="0" w:color="auto"/>
                    <w:bottom w:val="none" w:sz="0" w:space="0" w:color="auto"/>
                    <w:right w:val="none" w:sz="0" w:space="0" w:color="auto"/>
                  </w:divBdr>
                  <w:divsChild>
                    <w:div w:id="1336348958">
                      <w:marLeft w:val="0"/>
                      <w:marRight w:val="0"/>
                      <w:marTop w:val="0"/>
                      <w:marBottom w:val="0"/>
                      <w:divBdr>
                        <w:top w:val="none" w:sz="0" w:space="0" w:color="auto"/>
                        <w:left w:val="none" w:sz="0" w:space="0" w:color="auto"/>
                        <w:bottom w:val="none" w:sz="0" w:space="0" w:color="auto"/>
                        <w:right w:val="none" w:sz="0" w:space="0" w:color="auto"/>
                      </w:divBdr>
                    </w:div>
                  </w:divsChild>
                </w:div>
                <w:div w:id="660237139">
                  <w:marLeft w:val="0"/>
                  <w:marRight w:val="0"/>
                  <w:marTop w:val="0"/>
                  <w:marBottom w:val="0"/>
                  <w:divBdr>
                    <w:top w:val="none" w:sz="0" w:space="0" w:color="auto"/>
                    <w:left w:val="none" w:sz="0" w:space="0" w:color="auto"/>
                    <w:bottom w:val="none" w:sz="0" w:space="0" w:color="auto"/>
                    <w:right w:val="none" w:sz="0" w:space="0" w:color="auto"/>
                  </w:divBdr>
                  <w:divsChild>
                    <w:div w:id="1434017262">
                      <w:marLeft w:val="0"/>
                      <w:marRight w:val="0"/>
                      <w:marTop w:val="0"/>
                      <w:marBottom w:val="0"/>
                      <w:divBdr>
                        <w:top w:val="none" w:sz="0" w:space="0" w:color="auto"/>
                        <w:left w:val="none" w:sz="0" w:space="0" w:color="auto"/>
                        <w:bottom w:val="none" w:sz="0" w:space="0" w:color="auto"/>
                        <w:right w:val="none" w:sz="0" w:space="0" w:color="auto"/>
                      </w:divBdr>
                    </w:div>
                  </w:divsChild>
                </w:div>
                <w:div w:id="736169462">
                  <w:marLeft w:val="0"/>
                  <w:marRight w:val="0"/>
                  <w:marTop w:val="0"/>
                  <w:marBottom w:val="0"/>
                  <w:divBdr>
                    <w:top w:val="none" w:sz="0" w:space="0" w:color="auto"/>
                    <w:left w:val="none" w:sz="0" w:space="0" w:color="auto"/>
                    <w:bottom w:val="none" w:sz="0" w:space="0" w:color="auto"/>
                    <w:right w:val="none" w:sz="0" w:space="0" w:color="auto"/>
                  </w:divBdr>
                  <w:divsChild>
                    <w:div w:id="744840143">
                      <w:marLeft w:val="0"/>
                      <w:marRight w:val="0"/>
                      <w:marTop w:val="0"/>
                      <w:marBottom w:val="0"/>
                      <w:divBdr>
                        <w:top w:val="none" w:sz="0" w:space="0" w:color="auto"/>
                        <w:left w:val="none" w:sz="0" w:space="0" w:color="auto"/>
                        <w:bottom w:val="none" w:sz="0" w:space="0" w:color="auto"/>
                        <w:right w:val="none" w:sz="0" w:space="0" w:color="auto"/>
                      </w:divBdr>
                    </w:div>
                  </w:divsChild>
                </w:div>
                <w:div w:id="818885204">
                  <w:marLeft w:val="0"/>
                  <w:marRight w:val="0"/>
                  <w:marTop w:val="0"/>
                  <w:marBottom w:val="0"/>
                  <w:divBdr>
                    <w:top w:val="none" w:sz="0" w:space="0" w:color="auto"/>
                    <w:left w:val="none" w:sz="0" w:space="0" w:color="auto"/>
                    <w:bottom w:val="none" w:sz="0" w:space="0" w:color="auto"/>
                    <w:right w:val="none" w:sz="0" w:space="0" w:color="auto"/>
                  </w:divBdr>
                  <w:divsChild>
                    <w:div w:id="1520776597">
                      <w:marLeft w:val="0"/>
                      <w:marRight w:val="0"/>
                      <w:marTop w:val="0"/>
                      <w:marBottom w:val="0"/>
                      <w:divBdr>
                        <w:top w:val="none" w:sz="0" w:space="0" w:color="auto"/>
                        <w:left w:val="none" w:sz="0" w:space="0" w:color="auto"/>
                        <w:bottom w:val="none" w:sz="0" w:space="0" w:color="auto"/>
                        <w:right w:val="none" w:sz="0" w:space="0" w:color="auto"/>
                      </w:divBdr>
                    </w:div>
                  </w:divsChild>
                </w:div>
                <w:div w:id="1210652253">
                  <w:marLeft w:val="0"/>
                  <w:marRight w:val="0"/>
                  <w:marTop w:val="0"/>
                  <w:marBottom w:val="0"/>
                  <w:divBdr>
                    <w:top w:val="none" w:sz="0" w:space="0" w:color="auto"/>
                    <w:left w:val="none" w:sz="0" w:space="0" w:color="auto"/>
                    <w:bottom w:val="none" w:sz="0" w:space="0" w:color="auto"/>
                    <w:right w:val="none" w:sz="0" w:space="0" w:color="auto"/>
                  </w:divBdr>
                  <w:divsChild>
                    <w:div w:id="1891068220">
                      <w:marLeft w:val="0"/>
                      <w:marRight w:val="0"/>
                      <w:marTop w:val="0"/>
                      <w:marBottom w:val="0"/>
                      <w:divBdr>
                        <w:top w:val="none" w:sz="0" w:space="0" w:color="auto"/>
                        <w:left w:val="none" w:sz="0" w:space="0" w:color="auto"/>
                        <w:bottom w:val="none" w:sz="0" w:space="0" w:color="auto"/>
                        <w:right w:val="none" w:sz="0" w:space="0" w:color="auto"/>
                      </w:divBdr>
                    </w:div>
                  </w:divsChild>
                </w:div>
                <w:div w:id="1388146146">
                  <w:marLeft w:val="0"/>
                  <w:marRight w:val="0"/>
                  <w:marTop w:val="0"/>
                  <w:marBottom w:val="0"/>
                  <w:divBdr>
                    <w:top w:val="none" w:sz="0" w:space="0" w:color="auto"/>
                    <w:left w:val="none" w:sz="0" w:space="0" w:color="auto"/>
                    <w:bottom w:val="none" w:sz="0" w:space="0" w:color="auto"/>
                    <w:right w:val="none" w:sz="0" w:space="0" w:color="auto"/>
                  </w:divBdr>
                  <w:divsChild>
                    <w:div w:id="1580864776">
                      <w:marLeft w:val="0"/>
                      <w:marRight w:val="0"/>
                      <w:marTop w:val="0"/>
                      <w:marBottom w:val="0"/>
                      <w:divBdr>
                        <w:top w:val="none" w:sz="0" w:space="0" w:color="auto"/>
                        <w:left w:val="none" w:sz="0" w:space="0" w:color="auto"/>
                        <w:bottom w:val="none" w:sz="0" w:space="0" w:color="auto"/>
                        <w:right w:val="none" w:sz="0" w:space="0" w:color="auto"/>
                      </w:divBdr>
                    </w:div>
                  </w:divsChild>
                </w:div>
                <w:div w:id="1465391786">
                  <w:marLeft w:val="0"/>
                  <w:marRight w:val="0"/>
                  <w:marTop w:val="0"/>
                  <w:marBottom w:val="0"/>
                  <w:divBdr>
                    <w:top w:val="none" w:sz="0" w:space="0" w:color="auto"/>
                    <w:left w:val="none" w:sz="0" w:space="0" w:color="auto"/>
                    <w:bottom w:val="none" w:sz="0" w:space="0" w:color="auto"/>
                    <w:right w:val="none" w:sz="0" w:space="0" w:color="auto"/>
                  </w:divBdr>
                  <w:divsChild>
                    <w:div w:id="752314958">
                      <w:marLeft w:val="0"/>
                      <w:marRight w:val="0"/>
                      <w:marTop w:val="0"/>
                      <w:marBottom w:val="0"/>
                      <w:divBdr>
                        <w:top w:val="none" w:sz="0" w:space="0" w:color="auto"/>
                        <w:left w:val="none" w:sz="0" w:space="0" w:color="auto"/>
                        <w:bottom w:val="none" w:sz="0" w:space="0" w:color="auto"/>
                        <w:right w:val="none" w:sz="0" w:space="0" w:color="auto"/>
                      </w:divBdr>
                    </w:div>
                  </w:divsChild>
                </w:div>
                <w:div w:id="1547527842">
                  <w:marLeft w:val="0"/>
                  <w:marRight w:val="0"/>
                  <w:marTop w:val="0"/>
                  <w:marBottom w:val="0"/>
                  <w:divBdr>
                    <w:top w:val="none" w:sz="0" w:space="0" w:color="auto"/>
                    <w:left w:val="none" w:sz="0" w:space="0" w:color="auto"/>
                    <w:bottom w:val="none" w:sz="0" w:space="0" w:color="auto"/>
                    <w:right w:val="none" w:sz="0" w:space="0" w:color="auto"/>
                  </w:divBdr>
                  <w:divsChild>
                    <w:div w:id="429667437">
                      <w:marLeft w:val="0"/>
                      <w:marRight w:val="0"/>
                      <w:marTop w:val="0"/>
                      <w:marBottom w:val="0"/>
                      <w:divBdr>
                        <w:top w:val="none" w:sz="0" w:space="0" w:color="auto"/>
                        <w:left w:val="none" w:sz="0" w:space="0" w:color="auto"/>
                        <w:bottom w:val="none" w:sz="0" w:space="0" w:color="auto"/>
                        <w:right w:val="none" w:sz="0" w:space="0" w:color="auto"/>
                      </w:divBdr>
                    </w:div>
                  </w:divsChild>
                </w:div>
                <w:div w:id="1639533024">
                  <w:marLeft w:val="0"/>
                  <w:marRight w:val="0"/>
                  <w:marTop w:val="0"/>
                  <w:marBottom w:val="0"/>
                  <w:divBdr>
                    <w:top w:val="none" w:sz="0" w:space="0" w:color="auto"/>
                    <w:left w:val="none" w:sz="0" w:space="0" w:color="auto"/>
                    <w:bottom w:val="none" w:sz="0" w:space="0" w:color="auto"/>
                    <w:right w:val="none" w:sz="0" w:space="0" w:color="auto"/>
                  </w:divBdr>
                  <w:divsChild>
                    <w:div w:id="1907497181">
                      <w:marLeft w:val="0"/>
                      <w:marRight w:val="0"/>
                      <w:marTop w:val="0"/>
                      <w:marBottom w:val="0"/>
                      <w:divBdr>
                        <w:top w:val="none" w:sz="0" w:space="0" w:color="auto"/>
                        <w:left w:val="none" w:sz="0" w:space="0" w:color="auto"/>
                        <w:bottom w:val="none" w:sz="0" w:space="0" w:color="auto"/>
                        <w:right w:val="none" w:sz="0" w:space="0" w:color="auto"/>
                      </w:divBdr>
                    </w:div>
                  </w:divsChild>
                </w:div>
                <w:div w:id="1659382091">
                  <w:marLeft w:val="0"/>
                  <w:marRight w:val="0"/>
                  <w:marTop w:val="0"/>
                  <w:marBottom w:val="0"/>
                  <w:divBdr>
                    <w:top w:val="none" w:sz="0" w:space="0" w:color="auto"/>
                    <w:left w:val="none" w:sz="0" w:space="0" w:color="auto"/>
                    <w:bottom w:val="none" w:sz="0" w:space="0" w:color="auto"/>
                    <w:right w:val="none" w:sz="0" w:space="0" w:color="auto"/>
                  </w:divBdr>
                  <w:divsChild>
                    <w:div w:id="2140802035">
                      <w:marLeft w:val="0"/>
                      <w:marRight w:val="0"/>
                      <w:marTop w:val="0"/>
                      <w:marBottom w:val="0"/>
                      <w:divBdr>
                        <w:top w:val="none" w:sz="0" w:space="0" w:color="auto"/>
                        <w:left w:val="none" w:sz="0" w:space="0" w:color="auto"/>
                        <w:bottom w:val="none" w:sz="0" w:space="0" w:color="auto"/>
                        <w:right w:val="none" w:sz="0" w:space="0" w:color="auto"/>
                      </w:divBdr>
                    </w:div>
                  </w:divsChild>
                </w:div>
                <w:div w:id="1849516858">
                  <w:marLeft w:val="0"/>
                  <w:marRight w:val="0"/>
                  <w:marTop w:val="0"/>
                  <w:marBottom w:val="0"/>
                  <w:divBdr>
                    <w:top w:val="none" w:sz="0" w:space="0" w:color="auto"/>
                    <w:left w:val="none" w:sz="0" w:space="0" w:color="auto"/>
                    <w:bottom w:val="none" w:sz="0" w:space="0" w:color="auto"/>
                    <w:right w:val="none" w:sz="0" w:space="0" w:color="auto"/>
                  </w:divBdr>
                  <w:divsChild>
                    <w:div w:id="398751328">
                      <w:marLeft w:val="0"/>
                      <w:marRight w:val="0"/>
                      <w:marTop w:val="0"/>
                      <w:marBottom w:val="0"/>
                      <w:divBdr>
                        <w:top w:val="none" w:sz="0" w:space="0" w:color="auto"/>
                        <w:left w:val="none" w:sz="0" w:space="0" w:color="auto"/>
                        <w:bottom w:val="none" w:sz="0" w:space="0" w:color="auto"/>
                        <w:right w:val="none" w:sz="0" w:space="0" w:color="auto"/>
                      </w:divBdr>
                    </w:div>
                  </w:divsChild>
                </w:div>
                <w:div w:id="2033145076">
                  <w:marLeft w:val="0"/>
                  <w:marRight w:val="0"/>
                  <w:marTop w:val="0"/>
                  <w:marBottom w:val="0"/>
                  <w:divBdr>
                    <w:top w:val="none" w:sz="0" w:space="0" w:color="auto"/>
                    <w:left w:val="none" w:sz="0" w:space="0" w:color="auto"/>
                    <w:bottom w:val="none" w:sz="0" w:space="0" w:color="auto"/>
                    <w:right w:val="none" w:sz="0" w:space="0" w:color="auto"/>
                  </w:divBdr>
                  <w:divsChild>
                    <w:div w:id="238910759">
                      <w:marLeft w:val="0"/>
                      <w:marRight w:val="0"/>
                      <w:marTop w:val="0"/>
                      <w:marBottom w:val="0"/>
                      <w:divBdr>
                        <w:top w:val="none" w:sz="0" w:space="0" w:color="auto"/>
                        <w:left w:val="none" w:sz="0" w:space="0" w:color="auto"/>
                        <w:bottom w:val="none" w:sz="0" w:space="0" w:color="auto"/>
                        <w:right w:val="none" w:sz="0" w:space="0" w:color="auto"/>
                      </w:divBdr>
                    </w:div>
                  </w:divsChild>
                </w:div>
                <w:div w:id="2037657960">
                  <w:marLeft w:val="0"/>
                  <w:marRight w:val="0"/>
                  <w:marTop w:val="0"/>
                  <w:marBottom w:val="0"/>
                  <w:divBdr>
                    <w:top w:val="none" w:sz="0" w:space="0" w:color="auto"/>
                    <w:left w:val="none" w:sz="0" w:space="0" w:color="auto"/>
                    <w:bottom w:val="none" w:sz="0" w:space="0" w:color="auto"/>
                    <w:right w:val="none" w:sz="0" w:space="0" w:color="auto"/>
                  </w:divBdr>
                  <w:divsChild>
                    <w:div w:id="72379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14295">
          <w:marLeft w:val="0"/>
          <w:marRight w:val="0"/>
          <w:marTop w:val="0"/>
          <w:marBottom w:val="0"/>
          <w:divBdr>
            <w:top w:val="none" w:sz="0" w:space="0" w:color="auto"/>
            <w:left w:val="none" w:sz="0" w:space="0" w:color="auto"/>
            <w:bottom w:val="none" w:sz="0" w:space="0" w:color="auto"/>
            <w:right w:val="none" w:sz="0" w:space="0" w:color="auto"/>
          </w:divBdr>
        </w:div>
        <w:div w:id="1030496556">
          <w:marLeft w:val="0"/>
          <w:marRight w:val="0"/>
          <w:marTop w:val="0"/>
          <w:marBottom w:val="0"/>
          <w:divBdr>
            <w:top w:val="none" w:sz="0" w:space="0" w:color="auto"/>
            <w:left w:val="none" w:sz="0" w:space="0" w:color="auto"/>
            <w:bottom w:val="none" w:sz="0" w:space="0" w:color="auto"/>
            <w:right w:val="none" w:sz="0" w:space="0" w:color="auto"/>
          </w:divBdr>
          <w:divsChild>
            <w:div w:id="377126002">
              <w:marLeft w:val="-75"/>
              <w:marRight w:val="0"/>
              <w:marTop w:val="30"/>
              <w:marBottom w:val="30"/>
              <w:divBdr>
                <w:top w:val="none" w:sz="0" w:space="0" w:color="auto"/>
                <w:left w:val="none" w:sz="0" w:space="0" w:color="auto"/>
                <w:bottom w:val="none" w:sz="0" w:space="0" w:color="auto"/>
                <w:right w:val="none" w:sz="0" w:space="0" w:color="auto"/>
              </w:divBdr>
              <w:divsChild>
                <w:div w:id="17589891">
                  <w:marLeft w:val="0"/>
                  <w:marRight w:val="0"/>
                  <w:marTop w:val="0"/>
                  <w:marBottom w:val="0"/>
                  <w:divBdr>
                    <w:top w:val="none" w:sz="0" w:space="0" w:color="auto"/>
                    <w:left w:val="none" w:sz="0" w:space="0" w:color="auto"/>
                    <w:bottom w:val="none" w:sz="0" w:space="0" w:color="auto"/>
                    <w:right w:val="none" w:sz="0" w:space="0" w:color="auto"/>
                  </w:divBdr>
                  <w:divsChild>
                    <w:div w:id="710303857">
                      <w:marLeft w:val="0"/>
                      <w:marRight w:val="0"/>
                      <w:marTop w:val="0"/>
                      <w:marBottom w:val="0"/>
                      <w:divBdr>
                        <w:top w:val="none" w:sz="0" w:space="0" w:color="auto"/>
                        <w:left w:val="none" w:sz="0" w:space="0" w:color="auto"/>
                        <w:bottom w:val="none" w:sz="0" w:space="0" w:color="auto"/>
                        <w:right w:val="none" w:sz="0" w:space="0" w:color="auto"/>
                      </w:divBdr>
                    </w:div>
                  </w:divsChild>
                </w:div>
                <w:div w:id="102119792">
                  <w:marLeft w:val="0"/>
                  <w:marRight w:val="0"/>
                  <w:marTop w:val="0"/>
                  <w:marBottom w:val="0"/>
                  <w:divBdr>
                    <w:top w:val="none" w:sz="0" w:space="0" w:color="auto"/>
                    <w:left w:val="none" w:sz="0" w:space="0" w:color="auto"/>
                    <w:bottom w:val="none" w:sz="0" w:space="0" w:color="auto"/>
                    <w:right w:val="none" w:sz="0" w:space="0" w:color="auto"/>
                  </w:divBdr>
                  <w:divsChild>
                    <w:div w:id="785664002">
                      <w:marLeft w:val="0"/>
                      <w:marRight w:val="0"/>
                      <w:marTop w:val="0"/>
                      <w:marBottom w:val="0"/>
                      <w:divBdr>
                        <w:top w:val="none" w:sz="0" w:space="0" w:color="auto"/>
                        <w:left w:val="none" w:sz="0" w:space="0" w:color="auto"/>
                        <w:bottom w:val="none" w:sz="0" w:space="0" w:color="auto"/>
                        <w:right w:val="none" w:sz="0" w:space="0" w:color="auto"/>
                      </w:divBdr>
                    </w:div>
                  </w:divsChild>
                </w:div>
                <w:div w:id="108017206">
                  <w:marLeft w:val="0"/>
                  <w:marRight w:val="0"/>
                  <w:marTop w:val="0"/>
                  <w:marBottom w:val="0"/>
                  <w:divBdr>
                    <w:top w:val="none" w:sz="0" w:space="0" w:color="auto"/>
                    <w:left w:val="none" w:sz="0" w:space="0" w:color="auto"/>
                    <w:bottom w:val="none" w:sz="0" w:space="0" w:color="auto"/>
                    <w:right w:val="none" w:sz="0" w:space="0" w:color="auto"/>
                  </w:divBdr>
                  <w:divsChild>
                    <w:div w:id="1133447005">
                      <w:marLeft w:val="0"/>
                      <w:marRight w:val="0"/>
                      <w:marTop w:val="0"/>
                      <w:marBottom w:val="0"/>
                      <w:divBdr>
                        <w:top w:val="none" w:sz="0" w:space="0" w:color="auto"/>
                        <w:left w:val="none" w:sz="0" w:space="0" w:color="auto"/>
                        <w:bottom w:val="none" w:sz="0" w:space="0" w:color="auto"/>
                        <w:right w:val="none" w:sz="0" w:space="0" w:color="auto"/>
                      </w:divBdr>
                    </w:div>
                  </w:divsChild>
                </w:div>
                <w:div w:id="142046392">
                  <w:marLeft w:val="0"/>
                  <w:marRight w:val="0"/>
                  <w:marTop w:val="0"/>
                  <w:marBottom w:val="0"/>
                  <w:divBdr>
                    <w:top w:val="none" w:sz="0" w:space="0" w:color="auto"/>
                    <w:left w:val="none" w:sz="0" w:space="0" w:color="auto"/>
                    <w:bottom w:val="none" w:sz="0" w:space="0" w:color="auto"/>
                    <w:right w:val="none" w:sz="0" w:space="0" w:color="auto"/>
                  </w:divBdr>
                  <w:divsChild>
                    <w:div w:id="1557429931">
                      <w:marLeft w:val="0"/>
                      <w:marRight w:val="0"/>
                      <w:marTop w:val="0"/>
                      <w:marBottom w:val="0"/>
                      <w:divBdr>
                        <w:top w:val="none" w:sz="0" w:space="0" w:color="auto"/>
                        <w:left w:val="none" w:sz="0" w:space="0" w:color="auto"/>
                        <w:bottom w:val="none" w:sz="0" w:space="0" w:color="auto"/>
                        <w:right w:val="none" w:sz="0" w:space="0" w:color="auto"/>
                      </w:divBdr>
                    </w:div>
                  </w:divsChild>
                </w:div>
                <w:div w:id="184056360">
                  <w:marLeft w:val="0"/>
                  <w:marRight w:val="0"/>
                  <w:marTop w:val="0"/>
                  <w:marBottom w:val="0"/>
                  <w:divBdr>
                    <w:top w:val="none" w:sz="0" w:space="0" w:color="auto"/>
                    <w:left w:val="none" w:sz="0" w:space="0" w:color="auto"/>
                    <w:bottom w:val="none" w:sz="0" w:space="0" w:color="auto"/>
                    <w:right w:val="none" w:sz="0" w:space="0" w:color="auto"/>
                  </w:divBdr>
                  <w:divsChild>
                    <w:div w:id="1546404091">
                      <w:marLeft w:val="0"/>
                      <w:marRight w:val="0"/>
                      <w:marTop w:val="0"/>
                      <w:marBottom w:val="0"/>
                      <w:divBdr>
                        <w:top w:val="none" w:sz="0" w:space="0" w:color="auto"/>
                        <w:left w:val="none" w:sz="0" w:space="0" w:color="auto"/>
                        <w:bottom w:val="none" w:sz="0" w:space="0" w:color="auto"/>
                        <w:right w:val="none" w:sz="0" w:space="0" w:color="auto"/>
                      </w:divBdr>
                    </w:div>
                  </w:divsChild>
                </w:div>
                <w:div w:id="348412330">
                  <w:marLeft w:val="0"/>
                  <w:marRight w:val="0"/>
                  <w:marTop w:val="0"/>
                  <w:marBottom w:val="0"/>
                  <w:divBdr>
                    <w:top w:val="none" w:sz="0" w:space="0" w:color="auto"/>
                    <w:left w:val="none" w:sz="0" w:space="0" w:color="auto"/>
                    <w:bottom w:val="none" w:sz="0" w:space="0" w:color="auto"/>
                    <w:right w:val="none" w:sz="0" w:space="0" w:color="auto"/>
                  </w:divBdr>
                  <w:divsChild>
                    <w:div w:id="455680680">
                      <w:marLeft w:val="0"/>
                      <w:marRight w:val="0"/>
                      <w:marTop w:val="0"/>
                      <w:marBottom w:val="0"/>
                      <w:divBdr>
                        <w:top w:val="none" w:sz="0" w:space="0" w:color="auto"/>
                        <w:left w:val="none" w:sz="0" w:space="0" w:color="auto"/>
                        <w:bottom w:val="none" w:sz="0" w:space="0" w:color="auto"/>
                        <w:right w:val="none" w:sz="0" w:space="0" w:color="auto"/>
                      </w:divBdr>
                    </w:div>
                  </w:divsChild>
                </w:div>
                <w:div w:id="435828844">
                  <w:marLeft w:val="0"/>
                  <w:marRight w:val="0"/>
                  <w:marTop w:val="0"/>
                  <w:marBottom w:val="0"/>
                  <w:divBdr>
                    <w:top w:val="none" w:sz="0" w:space="0" w:color="auto"/>
                    <w:left w:val="none" w:sz="0" w:space="0" w:color="auto"/>
                    <w:bottom w:val="none" w:sz="0" w:space="0" w:color="auto"/>
                    <w:right w:val="none" w:sz="0" w:space="0" w:color="auto"/>
                  </w:divBdr>
                  <w:divsChild>
                    <w:div w:id="470907876">
                      <w:marLeft w:val="0"/>
                      <w:marRight w:val="0"/>
                      <w:marTop w:val="0"/>
                      <w:marBottom w:val="0"/>
                      <w:divBdr>
                        <w:top w:val="none" w:sz="0" w:space="0" w:color="auto"/>
                        <w:left w:val="none" w:sz="0" w:space="0" w:color="auto"/>
                        <w:bottom w:val="none" w:sz="0" w:space="0" w:color="auto"/>
                        <w:right w:val="none" w:sz="0" w:space="0" w:color="auto"/>
                      </w:divBdr>
                    </w:div>
                  </w:divsChild>
                </w:div>
                <w:div w:id="457457166">
                  <w:marLeft w:val="0"/>
                  <w:marRight w:val="0"/>
                  <w:marTop w:val="0"/>
                  <w:marBottom w:val="0"/>
                  <w:divBdr>
                    <w:top w:val="none" w:sz="0" w:space="0" w:color="auto"/>
                    <w:left w:val="none" w:sz="0" w:space="0" w:color="auto"/>
                    <w:bottom w:val="none" w:sz="0" w:space="0" w:color="auto"/>
                    <w:right w:val="none" w:sz="0" w:space="0" w:color="auto"/>
                  </w:divBdr>
                  <w:divsChild>
                    <w:div w:id="1134326659">
                      <w:marLeft w:val="0"/>
                      <w:marRight w:val="0"/>
                      <w:marTop w:val="0"/>
                      <w:marBottom w:val="0"/>
                      <w:divBdr>
                        <w:top w:val="none" w:sz="0" w:space="0" w:color="auto"/>
                        <w:left w:val="none" w:sz="0" w:space="0" w:color="auto"/>
                        <w:bottom w:val="none" w:sz="0" w:space="0" w:color="auto"/>
                        <w:right w:val="none" w:sz="0" w:space="0" w:color="auto"/>
                      </w:divBdr>
                    </w:div>
                  </w:divsChild>
                </w:div>
                <w:div w:id="537087414">
                  <w:marLeft w:val="0"/>
                  <w:marRight w:val="0"/>
                  <w:marTop w:val="0"/>
                  <w:marBottom w:val="0"/>
                  <w:divBdr>
                    <w:top w:val="none" w:sz="0" w:space="0" w:color="auto"/>
                    <w:left w:val="none" w:sz="0" w:space="0" w:color="auto"/>
                    <w:bottom w:val="none" w:sz="0" w:space="0" w:color="auto"/>
                    <w:right w:val="none" w:sz="0" w:space="0" w:color="auto"/>
                  </w:divBdr>
                  <w:divsChild>
                    <w:div w:id="599266009">
                      <w:marLeft w:val="0"/>
                      <w:marRight w:val="0"/>
                      <w:marTop w:val="0"/>
                      <w:marBottom w:val="0"/>
                      <w:divBdr>
                        <w:top w:val="none" w:sz="0" w:space="0" w:color="auto"/>
                        <w:left w:val="none" w:sz="0" w:space="0" w:color="auto"/>
                        <w:bottom w:val="none" w:sz="0" w:space="0" w:color="auto"/>
                        <w:right w:val="none" w:sz="0" w:space="0" w:color="auto"/>
                      </w:divBdr>
                    </w:div>
                  </w:divsChild>
                </w:div>
                <w:div w:id="551504732">
                  <w:marLeft w:val="0"/>
                  <w:marRight w:val="0"/>
                  <w:marTop w:val="0"/>
                  <w:marBottom w:val="0"/>
                  <w:divBdr>
                    <w:top w:val="none" w:sz="0" w:space="0" w:color="auto"/>
                    <w:left w:val="none" w:sz="0" w:space="0" w:color="auto"/>
                    <w:bottom w:val="none" w:sz="0" w:space="0" w:color="auto"/>
                    <w:right w:val="none" w:sz="0" w:space="0" w:color="auto"/>
                  </w:divBdr>
                  <w:divsChild>
                    <w:div w:id="765658600">
                      <w:marLeft w:val="0"/>
                      <w:marRight w:val="0"/>
                      <w:marTop w:val="0"/>
                      <w:marBottom w:val="0"/>
                      <w:divBdr>
                        <w:top w:val="none" w:sz="0" w:space="0" w:color="auto"/>
                        <w:left w:val="none" w:sz="0" w:space="0" w:color="auto"/>
                        <w:bottom w:val="none" w:sz="0" w:space="0" w:color="auto"/>
                        <w:right w:val="none" w:sz="0" w:space="0" w:color="auto"/>
                      </w:divBdr>
                    </w:div>
                  </w:divsChild>
                </w:div>
                <w:div w:id="577011709">
                  <w:marLeft w:val="0"/>
                  <w:marRight w:val="0"/>
                  <w:marTop w:val="0"/>
                  <w:marBottom w:val="0"/>
                  <w:divBdr>
                    <w:top w:val="none" w:sz="0" w:space="0" w:color="auto"/>
                    <w:left w:val="none" w:sz="0" w:space="0" w:color="auto"/>
                    <w:bottom w:val="none" w:sz="0" w:space="0" w:color="auto"/>
                    <w:right w:val="none" w:sz="0" w:space="0" w:color="auto"/>
                  </w:divBdr>
                  <w:divsChild>
                    <w:div w:id="1747724885">
                      <w:marLeft w:val="0"/>
                      <w:marRight w:val="0"/>
                      <w:marTop w:val="0"/>
                      <w:marBottom w:val="0"/>
                      <w:divBdr>
                        <w:top w:val="none" w:sz="0" w:space="0" w:color="auto"/>
                        <w:left w:val="none" w:sz="0" w:space="0" w:color="auto"/>
                        <w:bottom w:val="none" w:sz="0" w:space="0" w:color="auto"/>
                        <w:right w:val="none" w:sz="0" w:space="0" w:color="auto"/>
                      </w:divBdr>
                    </w:div>
                  </w:divsChild>
                </w:div>
                <w:div w:id="602419731">
                  <w:marLeft w:val="0"/>
                  <w:marRight w:val="0"/>
                  <w:marTop w:val="0"/>
                  <w:marBottom w:val="0"/>
                  <w:divBdr>
                    <w:top w:val="none" w:sz="0" w:space="0" w:color="auto"/>
                    <w:left w:val="none" w:sz="0" w:space="0" w:color="auto"/>
                    <w:bottom w:val="none" w:sz="0" w:space="0" w:color="auto"/>
                    <w:right w:val="none" w:sz="0" w:space="0" w:color="auto"/>
                  </w:divBdr>
                  <w:divsChild>
                    <w:div w:id="837502985">
                      <w:marLeft w:val="0"/>
                      <w:marRight w:val="0"/>
                      <w:marTop w:val="0"/>
                      <w:marBottom w:val="0"/>
                      <w:divBdr>
                        <w:top w:val="none" w:sz="0" w:space="0" w:color="auto"/>
                        <w:left w:val="none" w:sz="0" w:space="0" w:color="auto"/>
                        <w:bottom w:val="none" w:sz="0" w:space="0" w:color="auto"/>
                        <w:right w:val="none" w:sz="0" w:space="0" w:color="auto"/>
                      </w:divBdr>
                    </w:div>
                  </w:divsChild>
                </w:div>
                <w:div w:id="608776522">
                  <w:marLeft w:val="0"/>
                  <w:marRight w:val="0"/>
                  <w:marTop w:val="0"/>
                  <w:marBottom w:val="0"/>
                  <w:divBdr>
                    <w:top w:val="none" w:sz="0" w:space="0" w:color="auto"/>
                    <w:left w:val="none" w:sz="0" w:space="0" w:color="auto"/>
                    <w:bottom w:val="none" w:sz="0" w:space="0" w:color="auto"/>
                    <w:right w:val="none" w:sz="0" w:space="0" w:color="auto"/>
                  </w:divBdr>
                  <w:divsChild>
                    <w:div w:id="983049149">
                      <w:marLeft w:val="0"/>
                      <w:marRight w:val="0"/>
                      <w:marTop w:val="0"/>
                      <w:marBottom w:val="0"/>
                      <w:divBdr>
                        <w:top w:val="none" w:sz="0" w:space="0" w:color="auto"/>
                        <w:left w:val="none" w:sz="0" w:space="0" w:color="auto"/>
                        <w:bottom w:val="none" w:sz="0" w:space="0" w:color="auto"/>
                        <w:right w:val="none" w:sz="0" w:space="0" w:color="auto"/>
                      </w:divBdr>
                    </w:div>
                  </w:divsChild>
                </w:div>
                <w:div w:id="638071730">
                  <w:marLeft w:val="0"/>
                  <w:marRight w:val="0"/>
                  <w:marTop w:val="0"/>
                  <w:marBottom w:val="0"/>
                  <w:divBdr>
                    <w:top w:val="none" w:sz="0" w:space="0" w:color="auto"/>
                    <w:left w:val="none" w:sz="0" w:space="0" w:color="auto"/>
                    <w:bottom w:val="none" w:sz="0" w:space="0" w:color="auto"/>
                    <w:right w:val="none" w:sz="0" w:space="0" w:color="auto"/>
                  </w:divBdr>
                  <w:divsChild>
                    <w:div w:id="1506214556">
                      <w:marLeft w:val="0"/>
                      <w:marRight w:val="0"/>
                      <w:marTop w:val="0"/>
                      <w:marBottom w:val="0"/>
                      <w:divBdr>
                        <w:top w:val="none" w:sz="0" w:space="0" w:color="auto"/>
                        <w:left w:val="none" w:sz="0" w:space="0" w:color="auto"/>
                        <w:bottom w:val="none" w:sz="0" w:space="0" w:color="auto"/>
                        <w:right w:val="none" w:sz="0" w:space="0" w:color="auto"/>
                      </w:divBdr>
                    </w:div>
                  </w:divsChild>
                </w:div>
                <w:div w:id="670526405">
                  <w:marLeft w:val="0"/>
                  <w:marRight w:val="0"/>
                  <w:marTop w:val="0"/>
                  <w:marBottom w:val="0"/>
                  <w:divBdr>
                    <w:top w:val="none" w:sz="0" w:space="0" w:color="auto"/>
                    <w:left w:val="none" w:sz="0" w:space="0" w:color="auto"/>
                    <w:bottom w:val="none" w:sz="0" w:space="0" w:color="auto"/>
                    <w:right w:val="none" w:sz="0" w:space="0" w:color="auto"/>
                  </w:divBdr>
                  <w:divsChild>
                    <w:div w:id="948851122">
                      <w:marLeft w:val="0"/>
                      <w:marRight w:val="0"/>
                      <w:marTop w:val="0"/>
                      <w:marBottom w:val="0"/>
                      <w:divBdr>
                        <w:top w:val="none" w:sz="0" w:space="0" w:color="auto"/>
                        <w:left w:val="none" w:sz="0" w:space="0" w:color="auto"/>
                        <w:bottom w:val="none" w:sz="0" w:space="0" w:color="auto"/>
                        <w:right w:val="none" w:sz="0" w:space="0" w:color="auto"/>
                      </w:divBdr>
                    </w:div>
                  </w:divsChild>
                </w:div>
                <w:div w:id="672269611">
                  <w:marLeft w:val="0"/>
                  <w:marRight w:val="0"/>
                  <w:marTop w:val="0"/>
                  <w:marBottom w:val="0"/>
                  <w:divBdr>
                    <w:top w:val="none" w:sz="0" w:space="0" w:color="auto"/>
                    <w:left w:val="none" w:sz="0" w:space="0" w:color="auto"/>
                    <w:bottom w:val="none" w:sz="0" w:space="0" w:color="auto"/>
                    <w:right w:val="none" w:sz="0" w:space="0" w:color="auto"/>
                  </w:divBdr>
                  <w:divsChild>
                    <w:div w:id="1199898642">
                      <w:marLeft w:val="0"/>
                      <w:marRight w:val="0"/>
                      <w:marTop w:val="0"/>
                      <w:marBottom w:val="0"/>
                      <w:divBdr>
                        <w:top w:val="none" w:sz="0" w:space="0" w:color="auto"/>
                        <w:left w:val="none" w:sz="0" w:space="0" w:color="auto"/>
                        <w:bottom w:val="none" w:sz="0" w:space="0" w:color="auto"/>
                        <w:right w:val="none" w:sz="0" w:space="0" w:color="auto"/>
                      </w:divBdr>
                    </w:div>
                  </w:divsChild>
                </w:div>
                <w:div w:id="679047293">
                  <w:marLeft w:val="0"/>
                  <w:marRight w:val="0"/>
                  <w:marTop w:val="0"/>
                  <w:marBottom w:val="0"/>
                  <w:divBdr>
                    <w:top w:val="none" w:sz="0" w:space="0" w:color="auto"/>
                    <w:left w:val="none" w:sz="0" w:space="0" w:color="auto"/>
                    <w:bottom w:val="none" w:sz="0" w:space="0" w:color="auto"/>
                    <w:right w:val="none" w:sz="0" w:space="0" w:color="auto"/>
                  </w:divBdr>
                  <w:divsChild>
                    <w:div w:id="717122251">
                      <w:marLeft w:val="0"/>
                      <w:marRight w:val="0"/>
                      <w:marTop w:val="0"/>
                      <w:marBottom w:val="0"/>
                      <w:divBdr>
                        <w:top w:val="none" w:sz="0" w:space="0" w:color="auto"/>
                        <w:left w:val="none" w:sz="0" w:space="0" w:color="auto"/>
                        <w:bottom w:val="none" w:sz="0" w:space="0" w:color="auto"/>
                        <w:right w:val="none" w:sz="0" w:space="0" w:color="auto"/>
                      </w:divBdr>
                    </w:div>
                  </w:divsChild>
                </w:div>
                <w:div w:id="699160473">
                  <w:marLeft w:val="0"/>
                  <w:marRight w:val="0"/>
                  <w:marTop w:val="0"/>
                  <w:marBottom w:val="0"/>
                  <w:divBdr>
                    <w:top w:val="none" w:sz="0" w:space="0" w:color="auto"/>
                    <w:left w:val="none" w:sz="0" w:space="0" w:color="auto"/>
                    <w:bottom w:val="none" w:sz="0" w:space="0" w:color="auto"/>
                    <w:right w:val="none" w:sz="0" w:space="0" w:color="auto"/>
                  </w:divBdr>
                  <w:divsChild>
                    <w:div w:id="948587476">
                      <w:marLeft w:val="0"/>
                      <w:marRight w:val="0"/>
                      <w:marTop w:val="0"/>
                      <w:marBottom w:val="0"/>
                      <w:divBdr>
                        <w:top w:val="none" w:sz="0" w:space="0" w:color="auto"/>
                        <w:left w:val="none" w:sz="0" w:space="0" w:color="auto"/>
                        <w:bottom w:val="none" w:sz="0" w:space="0" w:color="auto"/>
                        <w:right w:val="none" w:sz="0" w:space="0" w:color="auto"/>
                      </w:divBdr>
                    </w:div>
                  </w:divsChild>
                </w:div>
                <w:div w:id="726760831">
                  <w:marLeft w:val="0"/>
                  <w:marRight w:val="0"/>
                  <w:marTop w:val="0"/>
                  <w:marBottom w:val="0"/>
                  <w:divBdr>
                    <w:top w:val="none" w:sz="0" w:space="0" w:color="auto"/>
                    <w:left w:val="none" w:sz="0" w:space="0" w:color="auto"/>
                    <w:bottom w:val="none" w:sz="0" w:space="0" w:color="auto"/>
                    <w:right w:val="none" w:sz="0" w:space="0" w:color="auto"/>
                  </w:divBdr>
                  <w:divsChild>
                    <w:div w:id="1694578119">
                      <w:marLeft w:val="0"/>
                      <w:marRight w:val="0"/>
                      <w:marTop w:val="0"/>
                      <w:marBottom w:val="0"/>
                      <w:divBdr>
                        <w:top w:val="none" w:sz="0" w:space="0" w:color="auto"/>
                        <w:left w:val="none" w:sz="0" w:space="0" w:color="auto"/>
                        <w:bottom w:val="none" w:sz="0" w:space="0" w:color="auto"/>
                        <w:right w:val="none" w:sz="0" w:space="0" w:color="auto"/>
                      </w:divBdr>
                    </w:div>
                  </w:divsChild>
                </w:div>
                <w:div w:id="798113236">
                  <w:marLeft w:val="0"/>
                  <w:marRight w:val="0"/>
                  <w:marTop w:val="0"/>
                  <w:marBottom w:val="0"/>
                  <w:divBdr>
                    <w:top w:val="none" w:sz="0" w:space="0" w:color="auto"/>
                    <w:left w:val="none" w:sz="0" w:space="0" w:color="auto"/>
                    <w:bottom w:val="none" w:sz="0" w:space="0" w:color="auto"/>
                    <w:right w:val="none" w:sz="0" w:space="0" w:color="auto"/>
                  </w:divBdr>
                  <w:divsChild>
                    <w:div w:id="1906334924">
                      <w:marLeft w:val="0"/>
                      <w:marRight w:val="0"/>
                      <w:marTop w:val="0"/>
                      <w:marBottom w:val="0"/>
                      <w:divBdr>
                        <w:top w:val="none" w:sz="0" w:space="0" w:color="auto"/>
                        <w:left w:val="none" w:sz="0" w:space="0" w:color="auto"/>
                        <w:bottom w:val="none" w:sz="0" w:space="0" w:color="auto"/>
                        <w:right w:val="none" w:sz="0" w:space="0" w:color="auto"/>
                      </w:divBdr>
                    </w:div>
                  </w:divsChild>
                </w:div>
                <w:div w:id="882209197">
                  <w:marLeft w:val="0"/>
                  <w:marRight w:val="0"/>
                  <w:marTop w:val="0"/>
                  <w:marBottom w:val="0"/>
                  <w:divBdr>
                    <w:top w:val="none" w:sz="0" w:space="0" w:color="auto"/>
                    <w:left w:val="none" w:sz="0" w:space="0" w:color="auto"/>
                    <w:bottom w:val="none" w:sz="0" w:space="0" w:color="auto"/>
                    <w:right w:val="none" w:sz="0" w:space="0" w:color="auto"/>
                  </w:divBdr>
                  <w:divsChild>
                    <w:div w:id="65420240">
                      <w:marLeft w:val="0"/>
                      <w:marRight w:val="0"/>
                      <w:marTop w:val="0"/>
                      <w:marBottom w:val="0"/>
                      <w:divBdr>
                        <w:top w:val="none" w:sz="0" w:space="0" w:color="auto"/>
                        <w:left w:val="none" w:sz="0" w:space="0" w:color="auto"/>
                        <w:bottom w:val="none" w:sz="0" w:space="0" w:color="auto"/>
                        <w:right w:val="none" w:sz="0" w:space="0" w:color="auto"/>
                      </w:divBdr>
                    </w:div>
                  </w:divsChild>
                </w:div>
                <w:div w:id="977690404">
                  <w:marLeft w:val="0"/>
                  <w:marRight w:val="0"/>
                  <w:marTop w:val="0"/>
                  <w:marBottom w:val="0"/>
                  <w:divBdr>
                    <w:top w:val="none" w:sz="0" w:space="0" w:color="auto"/>
                    <w:left w:val="none" w:sz="0" w:space="0" w:color="auto"/>
                    <w:bottom w:val="none" w:sz="0" w:space="0" w:color="auto"/>
                    <w:right w:val="none" w:sz="0" w:space="0" w:color="auto"/>
                  </w:divBdr>
                  <w:divsChild>
                    <w:div w:id="541020554">
                      <w:marLeft w:val="0"/>
                      <w:marRight w:val="0"/>
                      <w:marTop w:val="0"/>
                      <w:marBottom w:val="0"/>
                      <w:divBdr>
                        <w:top w:val="none" w:sz="0" w:space="0" w:color="auto"/>
                        <w:left w:val="none" w:sz="0" w:space="0" w:color="auto"/>
                        <w:bottom w:val="none" w:sz="0" w:space="0" w:color="auto"/>
                        <w:right w:val="none" w:sz="0" w:space="0" w:color="auto"/>
                      </w:divBdr>
                    </w:div>
                  </w:divsChild>
                </w:div>
                <w:div w:id="995255745">
                  <w:marLeft w:val="0"/>
                  <w:marRight w:val="0"/>
                  <w:marTop w:val="0"/>
                  <w:marBottom w:val="0"/>
                  <w:divBdr>
                    <w:top w:val="none" w:sz="0" w:space="0" w:color="auto"/>
                    <w:left w:val="none" w:sz="0" w:space="0" w:color="auto"/>
                    <w:bottom w:val="none" w:sz="0" w:space="0" w:color="auto"/>
                    <w:right w:val="none" w:sz="0" w:space="0" w:color="auto"/>
                  </w:divBdr>
                  <w:divsChild>
                    <w:div w:id="850678541">
                      <w:marLeft w:val="0"/>
                      <w:marRight w:val="0"/>
                      <w:marTop w:val="0"/>
                      <w:marBottom w:val="0"/>
                      <w:divBdr>
                        <w:top w:val="none" w:sz="0" w:space="0" w:color="auto"/>
                        <w:left w:val="none" w:sz="0" w:space="0" w:color="auto"/>
                        <w:bottom w:val="none" w:sz="0" w:space="0" w:color="auto"/>
                        <w:right w:val="none" w:sz="0" w:space="0" w:color="auto"/>
                      </w:divBdr>
                    </w:div>
                  </w:divsChild>
                </w:div>
                <w:div w:id="1051072444">
                  <w:marLeft w:val="0"/>
                  <w:marRight w:val="0"/>
                  <w:marTop w:val="0"/>
                  <w:marBottom w:val="0"/>
                  <w:divBdr>
                    <w:top w:val="none" w:sz="0" w:space="0" w:color="auto"/>
                    <w:left w:val="none" w:sz="0" w:space="0" w:color="auto"/>
                    <w:bottom w:val="none" w:sz="0" w:space="0" w:color="auto"/>
                    <w:right w:val="none" w:sz="0" w:space="0" w:color="auto"/>
                  </w:divBdr>
                  <w:divsChild>
                    <w:div w:id="1448162729">
                      <w:marLeft w:val="0"/>
                      <w:marRight w:val="0"/>
                      <w:marTop w:val="0"/>
                      <w:marBottom w:val="0"/>
                      <w:divBdr>
                        <w:top w:val="none" w:sz="0" w:space="0" w:color="auto"/>
                        <w:left w:val="none" w:sz="0" w:space="0" w:color="auto"/>
                        <w:bottom w:val="none" w:sz="0" w:space="0" w:color="auto"/>
                        <w:right w:val="none" w:sz="0" w:space="0" w:color="auto"/>
                      </w:divBdr>
                    </w:div>
                  </w:divsChild>
                </w:div>
                <w:div w:id="1106541523">
                  <w:marLeft w:val="0"/>
                  <w:marRight w:val="0"/>
                  <w:marTop w:val="0"/>
                  <w:marBottom w:val="0"/>
                  <w:divBdr>
                    <w:top w:val="none" w:sz="0" w:space="0" w:color="auto"/>
                    <w:left w:val="none" w:sz="0" w:space="0" w:color="auto"/>
                    <w:bottom w:val="none" w:sz="0" w:space="0" w:color="auto"/>
                    <w:right w:val="none" w:sz="0" w:space="0" w:color="auto"/>
                  </w:divBdr>
                  <w:divsChild>
                    <w:div w:id="1029255747">
                      <w:marLeft w:val="0"/>
                      <w:marRight w:val="0"/>
                      <w:marTop w:val="0"/>
                      <w:marBottom w:val="0"/>
                      <w:divBdr>
                        <w:top w:val="none" w:sz="0" w:space="0" w:color="auto"/>
                        <w:left w:val="none" w:sz="0" w:space="0" w:color="auto"/>
                        <w:bottom w:val="none" w:sz="0" w:space="0" w:color="auto"/>
                        <w:right w:val="none" w:sz="0" w:space="0" w:color="auto"/>
                      </w:divBdr>
                    </w:div>
                  </w:divsChild>
                </w:div>
                <w:div w:id="1153985532">
                  <w:marLeft w:val="0"/>
                  <w:marRight w:val="0"/>
                  <w:marTop w:val="0"/>
                  <w:marBottom w:val="0"/>
                  <w:divBdr>
                    <w:top w:val="none" w:sz="0" w:space="0" w:color="auto"/>
                    <w:left w:val="none" w:sz="0" w:space="0" w:color="auto"/>
                    <w:bottom w:val="none" w:sz="0" w:space="0" w:color="auto"/>
                    <w:right w:val="none" w:sz="0" w:space="0" w:color="auto"/>
                  </w:divBdr>
                  <w:divsChild>
                    <w:div w:id="1090812825">
                      <w:marLeft w:val="0"/>
                      <w:marRight w:val="0"/>
                      <w:marTop w:val="0"/>
                      <w:marBottom w:val="0"/>
                      <w:divBdr>
                        <w:top w:val="none" w:sz="0" w:space="0" w:color="auto"/>
                        <w:left w:val="none" w:sz="0" w:space="0" w:color="auto"/>
                        <w:bottom w:val="none" w:sz="0" w:space="0" w:color="auto"/>
                        <w:right w:val="none" w:sz="0" w:space="0" w:color="auto"/>
                      </w:divBdr>
                    </w:div>
                  </w:divsChild>
                </w:div>
                <w:div w:id="1234510998">
                  <w:marLeft w:val="0"/>
                  <w:marRight w:val="0"/>
                  <w:marTop w:val="0"/>
                  <w:marBottom w:val="0"/>
                  <w:divBdr>
                    <w:top w:val="none" w:sz="0" w:space="0" w:color="auto"/>
                    <w:left w:val="none" w:sz="0" w:space="0" w:color="auto"/>
                    <w:bottom w:val="none" w:sz="0" w:space="0" w:color="auto"/>
                    <w:right w:val="none" w:sz="0" w:space="0" w:color="auto"/>
                  </w:divBdr>
                  <w:divsChild>
                    <w:div w:id="110252436">
                      <w:marLeft w:val="0"/>
                      <w:marRight w:val="0"/>
                      <w:marTop w:val="0"/>
                      <w:marBottom w:val="0"/>
                      <w:divBdr>
                        <w:top w:val="none" w:sz="0" w:space="0" w:color="auto"/>
                        <w:left w:val="none" w:sz="0" w:space="0" w:color="auto"/>
                        <w:bottom w:val="none" w:sz="0" w:space="0" w:color="auto"/>
                        <w:right w:val="none" w:sz="0" w:space="0" w:color="auto"/>
                      </w:divBdr>
                    </w:div>
                  </w:divsChild>
                </w:div>
                <w:div w:id="1267150005">
                  <w:marLeft w:val="0"/>
                  <w:marRight w:val="0"/>
                  <w:marTop w:val="0"/>
                  <w:marBottom w:val="0"/>
                  <w:divBdr>
                    <w:top w:val="none" w:sz="0" w:space="0" w:color="auto"/>
                    <w:left w:val="none" w:sz="0" w:space="0" w:color="auto"/>
                    <w:bottom w:val="none" w:sz="0" w:space="0" w:color="auto"/>
                    <w:right w:val="none" w:sz="0" w:space="0" w:color="auto"/>
                  </w:divBdr>
                  <w:divsChild>
                    <w:div w:id="731272403">
                      <w:marLeft w:val="0"/>
                      <w:marRight w:val="0"/>
                      <w:marTop w:val="0"/>
                      <w:marBottom w:val="0"/>
                      <w:divBdr>
                        <w:top w:val="none" w:sz="0" w:space="0" w:color="auto"/>
                        <w:left w:val="none" w:sz="0" w:space="0" w:color="auto"/>
                        <w:bottom w:val="none" w:sz="0" w:space="0" w:color="auto"/>
                        <w:right w:val="none" w:sz="0" w:space="0" w:color="auto"/>
                      </w:divBdr>
                    </w:div>
                  </w:divsChild>
                </w:div>
                <w:div w:id="1272931797">
                  <w:marLeft w:val="0"/>
                  <w:marRight w:val="0"/>
                  <w:marTop w:val="0"/>
                  <w:marBottom w:val="0"/>
                  <w:divBdr>
                    <w:top w:val="none" w:sz="0" w:space="0" w:color="auto"/>
                    <w:left w:val="none" w:sz="0" w:space="0" w:color="auto"/>
                    <w:bottom w:val="none" w:sz="0" w:space="0" w:color="auto"/>
                    <w:right w:val="none" w:sz="0" w:space="0" w:color="auto"/>
                  </w:divBdr>
                  <w:divsChild>
                    <w:div w:id="1969046638">
                      <w:marLeft w:val="0"/>
                      <w:marRight w:val="0"/>
                      <w:marTop w:val="0"/>
                      <w:marBottom w:val="0"/>
                      <w:divBdr>
                        <w:top w:val="none" w:sz="0" w:space="0" w:color="auto"/>
                        <w:left w:val="none" w:sz="0" w:space="0" w:color="auto"/>
                        <w:bottom w:val="none" w:sz="0" w:space="0" w:color="auto"/>
                        <w:right w:val="none" w:sz="0" w:space="0" w:color="auto"/>
                      </w:divBdr>
                    </w:div>
                  </w:divsChild>
                </w:div>
                <w:div w:id="1315791753">
                  <w:marLeft w:val="0"/>
                  <w:marRight w:val="0"/>
                  <w:marTop w:val="0"/>
                  <w:marBottom w:val="0"/>
                  <w:divBdr>
                    <w:top w:val="none" w:sz="0" w:space="0" w:color="auto"/>
                    <w:left w:val="none" w:sz="0" w:space="0" w:color="auto"/>
                    <w:bottom w:val="none" w:sz="0" w:space="0" w:color="auto"/>
                    <w:right w:val="none" w:sz="0" w:space="0" w:color="auto"/>
                  </w:divBdr>
                  <w:divsChild>
                    <w:div w:id="1040277579">
                      <w:marLeft w:val="0"/>
                      <w:marRight w:val="0"/>
                      <w:marTop w:val="0"/>
                      <w:marBottom w:val="0"/>
                      <w:divBdr>
                        <w:top w:val="none" w:sz="0" w:space="0" w:color="auto"/>
                        <w:left w:val="none" w:sz="0" w:space="0" w:color="auto"/>
                        <w:bottom w:val="none" w:sz="0" w:space="0" w:color="auto"/>
                        <w:right w:val="none" w:sz="0" w:space="0" w:color="auto"/>
                      </w:divBdr>
                    </w:div>
                  </w:divsChild>
                </w:div>
                <w:div w:id="1322542176">
                  <w:marLeft w:val="0"/>
                  <w:marRight w:val="0"/>
                  <w:marTop w:val="0"/>
                  <w:marBottom w:val="0"/>
                  <w:divBdr>
                    <w:top w:val="none" w:sz="0" w:space="0" w:color="auto"/>
                    <w:left w:val="none" w:sz="0" w:space="0" w:color="auto"/>
                    <w:bottom w:val="none" w:sz="0" w:space="0" w:color="auto"/>
                    <w:right w:val="none" w:sz="0" w:space="0" w:color="auto"/>
                  </w:divBdr>
                  <w:divsChild>
                    <w:div w:id="829639567">
                      <w:marLeft w:val="0"/>
                      <w:marRight w:val="0"/>
                      <w:marTop w:val="0"/>
                      <w:marBottom w:val="0"/>
                      <w:divBdr>
                        <w:top w:val="none" w:sz="0" w:space="0" w:color="auto"/>
                        <w:left w:val="none" w:sz="0" w:space="0" w:color="auto"/>
                        <w:bottom w:val="none" w:sz="0" w:space="0" w:color="auto"/>
                        <w:right w:val="none" w:sz="0" w:space="0" w:color="auto"/>
                      </w:divBdr>
                    </w:div>
                  </w:divsChild>
                </w:div>
                <w:div w:id="1337342134">
                  <w:marLeft w:val="0"/>
                  <w:marRight w:val="0"/>
                  <w:marTop w:val="0"/>
                  <w:marBottom w:val="0"/>
                  <w:divBdr>
                    <w:top w:val="none" w:sz="0" w:space="0" w:color="auto"/>
                    <w:left w:val="none" w:sz="0" w:space="0" w:color="auto"/>
                    <w:bottom w:val="none" w:sz="0" w:space="0" w:color="auto"/>
                    <w:right w:val="none" w:sz="0" w:space="0" w:color="auto"/>
                  </w:divBdr>
                  <w:divsChild>
                    <w:div w:id="434131776">
                      <w:marLeft w:val="0"/>
                      <w:marRight w:val="0"/>
                      <w:marTop w:val="0"/>
                      <w:marBottom w:val="0"/>
                      <w:divBdr>
                        <w:top w:val="none" w:sz="0" w:space="0" w:color="auto"/>
                        <w:left w:val="none" w:sz="0" w:space="0" w:color="auto"/>
                        <w:bottom w:val="none" w:sz="0" w:space="0" w:color="auto"/>
                        <w:right w:val="none" w:sz="0" w:space="0" w:color="auto"/>
                      </w:divBdr>
                    </w:div>
                  </w:divsChild>
                </w:div>
                <w:div w:id="1342976211">
                  <w:marLeft w:val="0"/>
                  <w:marRight w:val="0"/>
                  <w:marTop w:val="0"/>
                  <w:marBottom w:val="0"/>
                  <w:divBdr>
                    <w:top w:val="none" w:sz="0" w:space="0" w:color="auto"/>
                    <w:left w:val="none" w:sz="0" w:space="0" w:color="auto"/>
                    <w:bottom w:val="none" w:sz="0" w:space="0" w:color="auto"/>
                    <w:right w:val="none" w:sz="0" w:space="0" w:color="auto"/>
                  </w:divBdr>
                  <w:divsChild>
                    <w:div w:id="1311249204">
                      <w:marLeft w:val="0"/>
                      <w:marRight w:val="0"/>
                      <w:marTop w:val="0"/>
                      <w:marBottom w:val="0"/>
                      <w:divBdr>
                        <w:top w:val="none" w:sz="0" w:space="0" w:color="auto"/>
                        <w:left w:val="none" w:sz="0" w:space="0" w:color="auto"/>
                        <w:bottom w:val="none" w:sz="0" w:space="0" w:color="auto"/>
                        <w:right w:val="none" w:sz="0" w:space="0" w:color="auto"/>
                      </w:divBdr>
                    </w:div>
                  </w:divsChild>
                </w:div>
                <w:div w:id="1354961445">
                  <w:marLeft w:val="0"/>
                  <w:marRight w:val="0"/>
                  <w:marTop w:val="0"/>
                  <w:marBottom w:val="0"/>
                  <w:divBdr>
                    <w:top w:val="none" w:sz="0" w:space="0" w:color="auto"/>
                    <w:left w:val="none" w:sz="0" w:space="0" w:color="auto"/>
                    <w:bottom w:val="none" w:sz="0" w:space="0" w:color="auto"/>
                    <w:right w:val="none" w:sz="0" w:space="0" w:color="auto"/>
                  </w:divBdr>
                  <w:divsChild>
                    <w:div w:id="322902920">
                      <w:marLeft w:val="0"/>
                      <w:marRight w:val="0"/>
                      <w:marTop w:val="0"/>
                      <w:marBottom w:val="0"/>
                      <w:divBdr>
                        <w:top w:val="none" w:sz="0" w:space="0" w:color="auto"/>
                        <w:left w:val="none" w:sz="0" w:space="0" w:color="auto"/>
                        <w:bottom w:val="none" w:sz="0" w:space="0" w:color="auto"/>
                        <w:right w:val="none" w:sz="0" w:space="0" w:color="auto"/>
                      </w:divBdr>
                    </w:div>
                  </w:divsChild>
                </w:div>
                <w:div w:id="1360860502">
                  <w:marLeft w:val="0"/>
                  <w:marRight w:val="0"/>
                  <w:marTop w:val="0"/>
                  <w:marBottom w:val="0"/>
                  <w:divBdr>
                    <w:top w:val="none" w:sz="0" w:space="0" w:color="auto"/>
                    <w:left w:val="none" w:sz="0" w:space="0" w:color="auto"/>
                    <w:bottom w:val="none" w:sz="0" w:space="0" w:color="auto"/>
                    <w:right w:val="none" w:sz="0" w:space="0" w:color="auto"/>
                  </w:divBdr>
                  <w:divsChild>
                    <w:div w:id="933519499">
                      <w:marLeft w:val="0"/>
                      <w:marRight w:val="0"/>
                      <w:marTop w:val="0"/>
                      <w:marBottom w:val="0"/>
                      <w:divBdr>
                        <w:top w:val="none" w:sz="0" w:space="0" w:color="auto"/>
                        <w:left w:val="none" w:sz="0" w:space="0" w:color="auto"/>
                        <w:bottom w:val="none" w:sz="0" w:space="0" w:color="auto"/>
                        <w:right w:val="none" w:sz="0" w:space="0" w:color="auto"/>
                      </w:divBdr>
                    </w:div>
                  </w:divsChild>
                </w:div>
                <w:div w:id="1411467874">
                  <w:marLeft w:val="0"/>
                  <w:marRight w:val="0"/>
                  <w:marTop w:val="0"/>
                  <w:marBottom w:val="0"/>
                  <w:divBdr>
                    <w:top w:val="none" w:sz="0" w:space="0" w:color="auto"/>
                    <w:left w:val="none" w:sz="0" w:space="0" w:color="auto"/>
                    <w:bottom w:val="none" w:sz="0" w:space="0" w:color="auto"/>
                    <w:right w:val="none" w:sz="0" w:space="0" w:color="auto"/>
                  </w:divBdr>
                  <w:divsChild>
                    <w:div w:id="402219110">
                      <w:marLeft w:val="0"/>
                      <w:marRight w:val="0"/>
                      <w:marTop w:val="0"/>
                      <w:marBottom w:val="0"/>
                      <w:divBdr>
                        <w:top w:val="none" w:sz="0" w:space="0" w:color="auto"/>
                        <w:left w:val="none" w:sz="0" w:space="0" w:color="auto"/>
                        <w:bottom w:val="none" w:sz="0" w:space="0" w:color="auto"/>
                        <w:right w:val="none" w:sz="0" w:space="0" w:color="auto"/>
                      </w:divBdr>
                    </w:div>
                  </w:divsChild>
                </w:div>
                <w:div w:id="1425879038">
                  <w:marLeft w:val="0"/>
                  <w:marRight w:val="0"/>
                  <w:marTop w:val="0"/>
                  <w:marBottom w:val="0"/>
                  <w:divBdr>
                    <w:top w:val="none" w:sz="0" w:space="0" w:color="auto"/>
                    <w:left w:val="none" w:sz="0" w:space="0" w:color="auto"/>
                    <w:bottom w:val="none" w:sz="0" w:space="0" w:color="auto"/>
                    <w:right w:val="none" w:sz="0" w:space="0" w:color="auto"/>
                  </w:divBdr>
                  <w:divsChild>
                    <w:div w:id="1755274899">
                      <w:marLeft w:val="0"/>
                      <w:marRight w:val="0"/>
                      <w:marTop w:val="0"/>
                      <w:marBottom w:val="0"/>
                      <w:divBdr>
                        <w:top w:val="none" w:sz="0" w:space="0" w:color="auto"/>
                        <w:left w:val="none" w:sz="0" w:space="0" w:color="auto"/>
                        <w:bottom w:val="none" w:sz="0" w:space="0" w:color="auto"/>
                        <w:right w:val="none" w:sz="0" w:space="0" w:color="auto"/>
                      </w:divBdr>
                    </w:div>
                  </w:divsChild>
                </w:div>
                <w:div w:id="1451708983">
                  <w:marLeft w:val="0"/>
                  <w:marRight w:val="0"/>
                  <w:marTop w:val="0"/>
                  <w:marBottom w:val="0"/>
                  <w:divBdr>
                    <w:top w:val="none" w:sz="0" w:space="0" w:color="auto"/>
                    <w:left w:val="none" w:sz="0" w:space="0" w:color="auto"/>
                    <w:bottom w:val="none" w:sz="0" w:space="0" w:color="auto"/>
                    <w:right w:val="none" w:sz="0" w:space="0" w:color="auto"/>
                  </w:divBdr>
                  <w:divsChild>
                    <w:div w:id="308479352">
                      <w:marLeft w:val="0"/>
                      <w:marRight w:val="0"/>
                      <w:marTop w:val="0"/>
                      <w:marBottom w:val="0"/>
                      <w:divBdr>
                        <w:top w:val="none" w:sz="0" w:space="0" w:color="auto"/>
                        <w:left w:val="none" w:sz="0" w:space="0" w:color="auto"/>
                        <w:bottom w:val="none" w:sz="0" w:space="0" w:color="auto"/>
                        <w:right w:val="none" w:sz="0" w:space="0" w:color="auto"/>
                      </w:divBdr>
                    </w:div>
                  </w:divsChild>
                </w:div>
                <w:div w:id="1472021598">
                  <w:marLeft w:val="0"/>
                  <w:marRight w:val="0"/>
                  <w:marTop w:val="0"/>
                  <w:marBottom w:val="0"/>
                  <w:divBdr>
                    <w:top w:val="none" w:sz="0" w:space="0" w:color="auto"/>
                    <w:left w:val="none" w:sz="0" w:space="0" w:color="auto"/>
                    <w:bottom w:val="none" w:sz="0" w:space="0" w:color="auto"/>
                    <w:right w:val="none" w:sz="0" w:space="0" w:color="auto"/>
                  </w:divBdr>
                  <w:divsChild>
                    <w:div w:id="651713882">
                      <w:marLeft w:val="0"/>
                      <w:marRight w:val="0"/>
                      <w:marTop w:val="0"/>
                      <w:marBottom w:val="0"/>
                      <w:divBdr>
                        <w:top w:val="none" w:sz="0" w:space="0" w:color="auto"/>
                        <w:left w:val="none" w:sz="0" w:space="0" w:color="auto"/>
                        <w:bottom w:val="none" w:sz="0" w:space="0" w:color="auto"/>
                        <w:right w:val="none" w:sz="0" w:space="0" w:color="auto"/>
                      </w:divBdr>
                    </w:div>
                  </w:divsChild>
                </w:div>
                <w:div w:id="1490175550">
                  <w:marLeft w:val="0"/>
                  <w:marRight w:val="0"/>
                  <w:marTop w:val="0"/>
                  <w:marBottom w:val="0"/>
                  <w:divBdr>
                    <w:top w:val="none" w:sz="0" w:space="0" w:color="auto"/>
                    <w:left w:val="none" w:sz="0" w:space="0" w:color="auto"/>
                    <w:bottom w:val="none" w:sz="0" w:space="0" w:color="auto"/>
                    <w:right w:val="none" w:sz="0" w:space="0" w:color="auto"/>
                  </w:divBdr>
                  <w:divsChild>
                    <w:div w:id="1930889936">
                      <w:marLeft w:val="0"/>
                      <w:marRight w:val="0"/>
                      <w:marTop w:val="0"/>
                      <w:marBottom w:val="0"/>
                      <w:divBdr>
                        <w:top w:val="none" w:sz="0" w:space="0" w:color="auto"/>
                        <w:left w:val="none" w:sz="0" w:space="0" w:color="auto"/>
                        <w:bottom w:val="none" w:sz="0" w:space="0" w:color="auto"/>
                        <w:right w:val="none" w:sz="0" w:space="0" w:color="auto"/>
                      </w:divBdr>
                    </w:div>
                  </w:divsChild>
                </w:div>
                <w:div w:id="1504123720">
                  <w:marLeft w:val="0"/>
                  <w:marRight w:val="0"/>
                  <w:marTop w:val="0"/>
                  <w:marBottom w:val="0"/>
                  <w:divBdr>
                    <w:top w:val="none" w:sz="0" w:space="0" w:color="auto"/>
                    <w:left w:val="none" w:sz="0" w:space="0" w:color="auto"/>
                    <w:bottom w:val="none" w:sz="0" w:space="0" w:color="auto"/>
                    <w:right w:val="none" w:sz="0" w:space="0" w:color="auto"/>
                  </w:divBdr>
                  <w:divsChild>
                    <w:div w:id="2106029844">
                      <w:marLeft w:val="0"/>
                      <w:marRight w:val="0"/>
                      <w:marTop w:val="0"/>
                      <w:marBottom w:val="0"/>
                      <w:divBdr>
                        <w:top w:val="none" w:sz="0" w:space="0" w:color="auto"/>
                        <w:left w:val="none" w:sz="0" w:space="0" w:color="auto"/>
                        <w:bottom w:val="none" w:sz="0" w:space="0" w:color="auto"/>
                        <w:right w:val="none" w:sz="0" w:space="0" w:color="auto"/>
                      </w:divBdr>
                    </w:div>
                  </w:divsChild>
                </w:div>
                <w:div w:id="1506438746">
                  <w:marLeft w:val="0"/>
                  <w:marRight w:val="0"/>
                  <w:marTop w:val="0"/>
                  <w:marBottom w:val="0"/>
                  <w:divBdr>
                    <w:top w:val="none" w:sz="0" w:space="0" w:color="auto"/>
                    <w:left w:val="none" w:sz="0" w:space="0" w:color="auto"/>
                    <w:bottom w:val="none" w:sz="0" w:space="0" w:color="auto"/>
                    <w:right w:val="none" w:sz="0" w:space="0" w:color="auto"/>
                  </w:divBdr>
                  <w:divsChild>
                    <w:div w:id="122120328">
                      <w:marLeft w:val="0"/>
                      <w:marRight w:val="0"/>
                      <w:marTop w:val="0"/>
                      <w:marBottom w:val="0"/>
                      <w:divBdr>
                        <w:top w:val="none" w:sz="0" w:space="0" w:color="auto"/>
                        <w:left w:val="none" w:sz="0" w:space="0" w:color="auto"/>
                        <w:bottom w:val="none" w:sz="0" w:space="0" w:color="auto"/>
                        <w:right w:val="none" w:sz="0" w:space="0" w:color="auto"/>
                      </w:divBdr>
                    </w:div>
                  </w:divsChild>
                </w:div>
                <w:div w:id="1521043394">
                  <w:marLeft w:val="0"/>
                  <w:marRight w:val="0"/>
                  <w:marTop w:val="0"/>
                  <w:marBottom w:val="0"/>
                  <w:divBdr>
                    <w:top w:val="none" w:sz="0" w:space="0" w:color="auto"/>
                    <w:left w:val="none" w:sz="0" w:space="0" w:color="auto"/>
                    <w:bottom w:val="none" w:sz="0" w:space="0" w:color="auto"/>
                    <w:right w:val="none" w:sz="0" w:space="0" w:color="auto"/>
                  </w:divBdr>
                  <w:divsChild>
                    <w:div w:id="1942955273">
                      <w:marLeft w:val="0"/>
                      <w:marRight w:val="0"/>
                      <w:marTop w:val="0"/>
                      <w:marBottom w:val="0"/>
                      <w:divBdr>
                        <w:top w:val="none" w:sz="0" w:space="0" w:color="auto"/>
                        <w:left w:val="none" w:sz="0" w:space="0" w:color="auto"/>
                        <w:bottom w:val="none" w:sz="0" w:space="0" w:color="auto"/>
                        <w:right w:val="none" w:sz="0" w:space="0" w:color="auto"/>
                      </w:divBdr>
                    </w:div>
                  </w:divsChild>
                </w:div>
                <w:div w:id="1522892335">
                  <w:marLeft w:val="0"/>
                  <w:marRight w:val="0"/>
                  <w:marTop w:val="0"/>
                  <w:marBottom w:val="0"/>
                  <w:divBdr>
                    <w:top w:val="none" w:sz="0" w:space="0" w:color="auto"/>
                    <w:left w:val="none" w:sz="0" w:space="0" w:color="auto"/>
                    <w:bottom w:val="none" w:sz="0" w:space="0" w:color="auto"/>
                    <w:right w:val="none" w:sz="0" w:space="0" w:color="auto"/>
                  </w:divBdr>
                  <w:divsChild>
                    <w:div w:id="677460548">
                      <w:marLeft w:val="0"/>
                      <w:marRight w:val="0"/>
                      <w:marTop w:val="0"/>
                      <w:marBottom w:val="0"/>
                      <w:divBdr>
                        <w:top w:val="none" w:sz="0" w:space="0" w:color="auto"/>
                        <w:left w:val="none" w:sz="0" w:space="0" w:color="auto"/>
                        <w:bottom w:val="none" w:sz="0" w:space="0" w:color="auto"/>
                        <w:right w:val="none" w:sz="0" w:space="0" w:color="auto"/>
                      </w:divBdr>
                    </w:div>
                  </w:divsChild>
                </w:div>
                <w:div w:id="1574510658">
                  <w:marLeft w:val="0"/>
                  <w:marRight w:val="0"/>
                  <w:marTop w:val="0"/>
                  <w:marBottom w:val="0"/>
                  <w:divBdr>
                    <w:top w:val="none" w:sz="0" w:space="0" w:color="auto"/>
                    <w:left w:val="none" w:sz="0" w:space="0" w:color="auto"/>
                    <w:bottom w:val="none" w:sz="0" w:space="0" w:color="auto"/>
                    <w:right w:val="none" w:sz="0" w:space="0" w:color="auto"/>
                  </w:divBdr>
                  <w:divsChild>
                    <w:div w:id="135993431">
                      <w:marLeft w:val="0"/>
                      <w:marRight w:val="0"/>
                      <w:marTop w:val="0"/>
                      <w:marBottom w:val="0"/>
                      <w:divBdr>
                        <w:top w:val="none" w:sz="0" w:space="0" w:color="auto"/>
                        <w:left w:val="none" w:sz="0" w:space="0" w:color="auto"/>
                        <w:bottom w:val="none" w:sz="0" w:space="0" w:color="auto"/>
                        <w:right w:val="none" w:sz="0" w:space="0" w:color="auto"/>
                      </w:divBdr>
                    </w:div>
                  </w:divsChild>
                </w:div>
                <w:div w:id="1711226550">
                  <w:marLeft w:val="0"/>
                  <w:marRight w:val="0"/>
                  <w:marTop w:val="0"/>
                  <w:marBottom w:val="0"/>
                  <w:divBdr>
                    <w:top w:val="none" w:sz="0" w:space="0" w:color="auto"/>
                    <w:left w:val="none" w:sz="0" w:space="0" w:color="auto"/>
                    <w:bottom w:val="none" w:sz="0" w:space="0" w:color="auto"/>
                    <w:right w:val="none" w:sz="0" w:space="0" w:color="auto"/>
                  </w:divBdr>
                  <w:divsChild>
                    <w:div w:id="1038162368">
                      <w:marLeft w:val="0"/>
                      <w:marRight w:val="0"/>
                      <w:marTop w:val="0"/>
                      <w:marBottom w:val="0"/>
                      <w:divBdr>
                        <w:top w:val="none" w:sz="0" w:space="0" w:color="auto"/>
                        <w:left w:val="none" w:sz="0" w:space="0" w:color="auto"/>
                        <w:bottom w:val="none" w:sz="0" w:space="0" w:color="auto"/>
                        <w:right w:val="none" w:sz="0" w:space="0" w:color="auto"/>
                      </w:divBdr>
                    </w:div>
                  </w:divsChild>
                </w:div>
                <w:div w:id="1725135466">
                  <w:marLeft w:val="0"/>
                  <w:marRight w:val="0"/>
                  <w:marTop w:val="0"/>
                  <w:marBottom w:val="0"/>
                  <w:divBdr>
                    <w:top w:val="none" w:sz="0" w:space="0" w:color="auto"/>
                    <w:left w:val="none" w:sz="0" w:space="0" w:color="auto"/>
                    <w:bottom w:val="none" w:sz="0" w:space="0" w:color="auto"/>
                    <w:right w:val="none" w:sz="0" w:space="0" w:color="auto"/>
                  </w:divBdr>
                  <w:divsChild>
                    <w:div w:id="1001853776">
                      <w:marLeft w:val="0"/>
                      <w:marRight w:val="0"/>
                      <w:marTop w:val="0"/>
                      <w:marBottom w:val="0"/>
                      <w:divBdr>
                        <w:top w:val="none" w:sz="0" w:space="0" w:color="auto"/>
                        <w:left w:val="none" w:sz="0" w:space="0" w:color="auto"/>
                        <w:bottom w:val="none" w:sz="0" w:space="0" w:color="auto"/>
                        <w:right w:val="none" w:sz="0" w:space="0" w:color="auto"/>
                      </w:divBdr>
                    </w:div>
                  </w:divsChild>
                </w:div>
                <w:div w:id="1744985183">
                  <w:marLeft w:val="0"/>
                  <w:marRight w:val="0"/>
                  <w:marTop w:val="0"/>
                  <w:marBottom w:val="0"/>
                  <w:divBdr>
                    <w:top w:val="none" w:sz="0" w:space="0" w:color="auto"/>
                    <w:left w:val="none" w:sz="0" w:space="0" w:color="auto"/>
                    <w:bottom w:val="none" w:sz="0" w:space="0" w:color="auto"/>
                    <w:right w:val="none" w:sz="0" w:space="0" w:color="auto"/>
                  </w:divBdr>
                  <w:divsChild>
                    <w:div w:id="587084306">
                      <w:marLeft w:val="0"/>
                      <w:marRight w:val="0"/>
                      <w:marTop w:val="0"/>
                      <w:marBottom w:val="0"/>
                      <w:divBdr>
                        <w:top w:val="none" w:sz="0" w:space="0" w:color="auto"/>
                        <w:left w:val="none" w:sz="0" w:space="0" w:color="auto"/>
                        <w:bottom w:val="none" w:sz="0" w:space="0" w:color="auto"/>
                        <w:right w:val="none" w:sz="0" w:space="0" w:color="auto"/>
                      </w:divBdr>
                    </w:div>
                  </w:divsChild>
                </w:div>
                <w:div w:id="1784953666">
                  <w:marLeft w:val="0"/>
                  <w:marRight w:val="0"/>
                  <w:marTop w:val="0"/>
                  <w:marBottom w:val="0"/>
                  <w:divBdr>
                    <w:top w:val="none" w:sz="0" w:space="0" w:color="auto"/>
                    <w:left w:val="none" w:sz="0" w:space="0" w:color="auto"/>
                    <w:bottom w:val="none" w:sz="0" w:space="0" w:color="auto"/>
                    <w:right w:val="none" w:sz="0" w:space="0" w:color="auto"/>
                  </w:divBdr>
                  <w:divsChild>
                    <w:div w:id="1334337832">
                      <w:marLeft w:val="0"/>
                      <w:marRight w:val="0"/>
                      <w:marTop w:val="0"/>
                      <w:marBottom w:val="0"/>
                      <w:divBdr>
                        <w:top w:val="none" w:sz="0" w:space="0" w:color="auto"/>
                        <w:left w:val="none" w:sz="0" w:space="0" w:color="auto"/>
                        <w:bottom w:val="none" w:sz="0" w:space="0" w:color="auto"/>
                        <w:right w:val="none" w:sz="0" w:space="0" w:color="auto"/>
                      </w:divBdr>
                    </w:div>
                  </w:divsChild>
                </w:div>
                <w:div w:id="1823934115">
                  <w:marLeft w:val="0"/>
                  <w:marRight w:val="0"/>
                  <w:marTop w:val="0"/>
                  <w:marBottom w:val="0"/>
                  <w:divBdr>
                    <w:top w:val="none" w:sz="0" w:space="0" w:color="auto"/>
                    <w:left w:val="none" w:sz="0" w:space="0" w:color="auto"/>
                    <w:bottom w:val="none" w:sz="0" w:space="0" w:color="auto"/>
                    <w:right w:val="none" w:sz="0" w:space="0" w:color="auto"/>
                  </w:divBdr>
                  <w:divsChild>
                    <w:div w:id="690761537">
                      <w:marLeft w:val="0"/>
                      <w:marRight w:val="0"/>
                      <w:marTop w:val="0"/>
                      <w:marBottom w:val="0"/>
                      <w:divBdr>
                        <w:top w:val="none" w:sz="0" w:space="0" w:color="auto"/>
                        <w:left w:val="none" w:sz="0" w:space="0" w:color="auto"/>
                        <w:bottom w:val="none" w:sz="0" w:space="0" w:color="auto"/>
                        <w:right w:val="none" w:sz="0" w:space="0" w:color="auto"/>
                      </w:divBdr>
                    </w:div>
                  </w:divsChild>
                </w:div>
                <w:div w:id="1830560418">
                  <w:marLeft w:val="0"/>
                  <w:marRight w:val="0"/>
                  <w:marTop w:val="0"/>
                  <w:marBottom w:val="0"/>
                  <w:divBdr>
                    <w:top w:val="none" w:sz="0" w:space="0" w:color="auto"/>
                    <w:left w:val="none" w:sz="0" w:space="0" w:color="auto"/>
                    <w:bottom w:val="none" w:sz="0" w:space="0" w:color="auto"/>
                    <w:right w:val="none" w:sz="0" w:space="0" w:color="auto"/>
                  </w:divBdr>
                  <w:divsChild>
                    <w:div w:id="1756168408">
                      <w:marLeft w:val="0"/>
                      <w:marRight w:val="0"/>
                      <w:marTop w:val="0"/>
                      <w:marBottom w:val="0"/>
                      <w:divBdr>
                        <w:top w:val="none" w:sz="0" w:space="0" w:color="auto"/>
                        <w:left w:val="none" w:sz="0" w:space="0" w:color="auto"/>
                        <w:bottom w:val="none" w:sz="0" w:space="0" w:color="auto"/>
                        <w:right w:val="none" w:sz="0" w:space="0" w:color="auto"/>
                      </w:divBdr>
                    </w:div>
                  </w:divsChild>
                </w:div>
                <w:div w:id="1877430555">
                  <w:marLeft w:val="0"/>
                  <w:marRight w:val="0"/>
                  <w:marTop w:val="0"/>
                  <w:marBottom w:val="0"/>
                  <w:divBdr>
                    <w:top w:val="none" w:sz="0" w:space="0" w:color="auto"/>
                    <w:left w:val="none" w:sz="0" w:space="0" w:color="auto"/>
                    <w:bottom w:val="none" w:sz="0" w:space="0" w:color="auto"/>
                    <w:right w:val="none" w:sz="0" w:space="0" w:color="auto"/>
                  </w:divBdr>
                  <w:divsChild>
                    <w:div w:id="897324944">
                      <w:marLeft w:val="0"/>
                      <w:marRight w:val="0"/>
                      <w:marTop w:val="0"/>
                      <w:marBottom w:val="0"/>
                      <w:divBdr>
                        <w:top w:val="none" w:sz="0" w:space="0" w:color="auto"/>
                        <w:left w:val="none" w:sz="0" w:space="0" w:color="auto"/>
                        <w:bottom w:val="none" w:sz="0" w:space="0" w:color="auto"/>
                        <w:right w:val="none" w:sz="0" w:space="0" w:color="auto"/>
                      </w:divBdr>
                    </w:div>
                  </w:divsChild>
                </w:div>
                <w:div w:id="1946113569">
                  <w:marLeft w:val="0"/>
                  <w:marRight w:val="0"/>
                  <w:marTop w:val="0"/>
                  <w:marBottom w:val="0"/>
                  <w:divBdr>
                    <w:top w:val="none" w:sz="0" w:space="0" w:color="auto"/>
                    <w:left w:val="none" w:sz="0" w:space="0" w:color="auto"/>
                    <w:bottom w:val="none" w:sz="0" w:space="0" w:color="auto"/>
                    <w:right w:val="none" w:sz="0" w:space="0" w:color="auto"/>
                  </w:divBdr>
                  <w:divsChild>
                    <w:div w:id="270284997">
                      <w:marLeft w:val="0"/>
                      <w:marRight w:val="0"/>
                      <w:marTop w:val="0"/>
                      <w:marBottom w:val="0"/>
                      <w:divBdr>
                        <w:top w:val="none" w:sz="0" w:space="0" w:color="auto"/>
                        <w:left w:val="none" w:sz="0" w:space="0" w:color="auto"/>
                        <w:bottom w:val="none" w:sz="0" w:space="0" w:color="auto"/>
                        <w:right w:val="none" w:sz="0" w:space="0" w:color="auto"/>
                      </w:divBdr>
                    </w:div>
                  </w:divsChild>
                </w:div>
                <w:div w:id="1982467008">
                  <w:marLeft w:val="0"/>
                  <w:marRight w:val="0"/>
                  <w:marTop w:val="0"/>
                  <w:marBottom w:val="0"/>
                  <w:divBdr>
                    <w:top w:val="none" w:sz="0" w:space="0" w:color="auto"/>
                    <w:left w:val="none" w:sz="0" w:space="0" w:color="auto"/>
                    <w:bottom w:val="none" w:sz="0" w:space="0" w:color="auto"/>
                    <w:right w:val="none" w:sz="0" w:space="0" w:color="auto"/>
                  </w:divBdr>
                  <w:divsChild>
                    <w:div w:id="545676347">
                      <w:marLeft w:val="0"/>
                      <w:marRight w:val="0"/>
                      <w:marTop w:val="0"/>
                      <w:marBottom w:val="0"/>
                      <w:divBdr>
                        <w:top w:val="none" w:sz="0" w:space="0" w:color="auto"/>
                        <w:left w:val="none" w:sz="0" w:space="0" w:color="auto"/>
                        <w:bottom w:val="none" w:sz="0" w:space="0" w:color="auto"/>
                        <w:right w:val="none" w:sz="0" w:space="0" w:color="auto"/>
                      </w:divBdr>
                    </w:div>
                  </w:divsChild>
                </w:div>
                <w:div w:id="1998680276">
                  <w:marLeft w:val="0"/>
                  <w:marRight w:val="0"/>
                  <w:marTop w:val="0"/>
                  <w:marBottom w:val="0"/>
                  <w:divBdr>
                    <w:top w:val="none" w:sz="0" w:space="0" w:color="auto"/>
                    <w:left w:val="none" w:sz="0" w:space="0" w:color="auto"/>
                    <w:bottom w:val="none" w:sz="0" w:space="0" w:color="auto"/>
                    <w:right w:val="none" w:sz="0" w:space="0" w:color="auto"/>
                  </w:divBdr>
                  <w:divsChild>
                    <w:div w:id="429736434">
                      <w:marLeft w:val="0"/>
                      <w:marRight w:val="0"/>
                      <w:marTop w:val="0"/>
                      <w:marBottom w:val="0"/>
                      <w:divBdr>
                        <w:top w:val="none" w:sz="0" w:space="0" w:color="auto"/>
                        <w:left w:val="none" w:sz="0" w:space="0" w:color="auto"/>
                        <w:bottom w:val="none" w:sz="0" w:space="0" w:color="auto"/>
                        <w:right w:val="none" w:sz="0" w:space="0" w:color="auto"/>
                      </w:divBdr>
                    </w:div>
                  </w:divsChild>
                </w:div>
                <w:div w:id="2018652128">
                  <w:marLeft w:val="0"/>
                  <w:marRight w:val="0"/>
                  <w:marTop w:val="0"/>
                  <w:marBottom w:val="0"/>
                  <w:divBdr>
                    <w:top w:val="none" w:sz="0" w:space="0" w:color="auto"/>
                    <w:left w:val="none" w:sz="0" w:space="0" w:color="auto"/>
                    <w:bottom w:val="none" w:sz="0" w:space="0" w:color="auto"/>
                    <w:right w:val="none" w:sz="0" w:space="0" w:color="auto"/>
                  </w:divBdr>
                  <w:divsChild>
                    <w:div w:id="768234081">
                      <w:marLeft w:val="0"/>
                      <w:marRight w:val="0"/>
                      <w:marTop w:val="0"/>
                      <w:marBottom w:val="0"/>
                      <w:divBdr>
                        <w:top w:val="none" w:sz="0" w:space="0" w:color="auto"/>
                        <w:left w:val="none" w:sz="0" w:space="0" w:color="auto"/>
                        <w:bottom w:val="none" w:sz="0" w:space="0" w:color="auto"/>
                        <w:right w:val="none" w:sz="0" w:space="0" w:color="auto"/>
                      </w:divBdr>
                    </w:div>
                  </w:divsChild>
                </w:div>
                <w:div w:id="2029213920">
                  <w:marLeft w:val="0"/>
                  <w:marRight w:val="0"/>
                  <w:marTop w:val="0"/>
                  <w:marBottom w:val="0"/>
                  <w:divBdr>
                    <w:top w:val="none" w:sz="0" w:space="0" w:color="auto"/>
                    <w:left w:val="none" w:sz="0" w:space="0" w:color="auto"/>
                    <w:bottom w:val="none" w:sz="0" w:space="0" w:color="auto"/>
                    <w:right w:val="none" w:sz="0" w:space="0" w:color="auto"/>
                  </w:divBdr>
                  <w:divsChild>
                    <w:div w:id="1146971276">
                      <w:marLeft w:val="0"/>
                      <w:marRight w:val="0"/>
                      <w:marTop w:val="0"/>
                      <w:marBottom w:val="0"/>
                      <w:divBdr>
                        <w:top w:val="none" w:sz="0" w:space="0" w:color="auto"/>
                        <w:left w:val="none" w:sz="0" w:space="0" w:color="auto"/>
                        <w:bottom w:val="none" w:sz="0" w:space="0" w:color="auto"/>
                        <w:right w:val="none" w:sz="0" w:space="0" w:color="auto"/>
                      </w:divBdr>
                    </w:div>
                  </w:divsChild>
                </w:div>
                <w:div w:id="2034263081">
                  <w:marLeft w:val="0"/>
                  <w:marRight w:val="0"/>
                  <w:marTop w:val="0"/>
                  <w:marBottom w:val="0"/>
                  <w:divBdr>
                    <w:top w:val="none" w:sz="0" w:space="0" w:color="auto"/>
                    <w:left w:val="none" w:sz="0" w:space="0" w:color="auto"/>
                    <w:bottom w:val="none" w:sz="0" w:space="0" w:color="auto"/>
                    <w:right w:val="none" w:sz="0" w:space="0" w:color="auto"/>
                  </w:divBdr>
                  <w:divsChild>
                    <w:div w:id="1966693642">
                      <w:marLeft w:val="0"/>
                      <w:marRight w:val="0"/>
                      <w:marTop w:val="0"/>
                      <w:marBottom w:val="0"/>
                      <w:divBdr>
                        <w:top w:val="none" w:sz="0" w:space="0" w:color="auto"/>
                        <w:left w:val="none" w:sz="0" w:space="0" w:color="auto"/>
                        <w:bottom w:val="none" w:sz="0" w:space="0" w:color="auto"/>
                        <w:right w:val="none" w:sz="0" w:space="0" w:color="auto"/>
                      </w:divBdr>
                    </w:div>
                  </w:divsChild>
                </w:div>
                <w:div w:id="2099212611">
                  <w:marLeft w:val="0"/>
                  <w:marRight w:val="0"/>
                  <w:marTop w:val="0"/>
                  <w:marBottom w:val="0"/>
                  <w:divBdr>
                    <w:top w:val="none" w:sz="0" w:space="0" w:color="auto"/>
                    <w:left w:val="none" w:sz="0" w:space="0" w:color="auto"/>
                    <w:bottom w:val="none" w:sz="0" w:space="0" w:color="auto"/>
                    <w:right w:val="none" w:sz="0" w:space="0" w:color="auto"/>
                  </w:divBdr>
                  <w:divsChild>
                    <w:div w:id="384451615">
                      <w:marLeft w:val="0"/>
                      <w:marRight w:val="0"/>
                      <w:marTop w:val="0"/>
                      <w:marBottom w:val="0"/>
                      <w:divBdr>
                        <w:top w:val="none" w:sz="0" w:space="0" w:color="auto"/>
                        <w:left w:val="none" w:sz="0" w:space="0" w:color="auto"/>
                        <w:bottom w:val="none" w:sz="0" w:space="0" w:color="auto"/>
                        <w:right w:val="none" w:sz="0" w:space="0" w:color="auto"/>
                      </w:divBdr>
                    </w:div>
                  </w:divsChild>
                </w:div>
                <w:div w:id="2115241994">
                  <w:marLeft w:val="0"/>
                  <w:marRight w:val="0"/>
                  <w:marTop w:val="0"/>
                  <w:marBottom w:val="0"/>
                  <w:divBdr>
                    <w:top w:val="none" w:sz="0" w:space="0" w:color="auto"/>
                    <w:left w:val="none" w:sz="0" w:space="0" w:color="auto"/>
                    <w:bottom w:val="none" w:sz="0" w:space="0" w:color="auto"/>
                    <w:right w:val="none" w:sz="0" w:space="0" w:color="auto"/>
                  </w:divBdr>
                  <w:divsChild>
                    <w:div w:id="104760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421186">
          <w:marLeft w:val="0"/>
          <w:marRight w:val="0"/>
          <w:marTop w:val="0"/>
          <w:marBottom w:val="0"/>
          <w:divBdr>
            <w:top w:val="none" w:sz="0" w:space="0" w:color="auto"/>
            <w:left w:val="none" w:sz="0" w:space="0" w:color="auto"/>
            <w:bottom w:val="none" w:sz="0" w:space="0" w:color="auto"/>
            <w:right w:val="none" w:sz="0" w:space="0" w:color="auto"/>
          </w:divBdr>
        </w:div>
        <w:div w:id="1037007719">
          <w:marLeft w:val="0"/>
          <w:marRight w:val="0"/>
          <w:marTop w:val="0"/>
          <w:marBottom w:val="0"/>
          <w:divBdr>
            <w:top w:val="none" w:sz="0" w:space="0" w:color="auto"/>
            <w:left w:val="none" w:sz="0" w:space="0" w:color="auto"/>
            <w:bottom w:val="none" w:sz="0" w:space="0" w:color="auto"/>
            <w:right w:val="none" w:sz="0" w:space="0" w:color="auto"/>
          </w:divBdr>
        </w:div>
        <w:div w:id="1051079604">
          <w:marLeft w:val="0"/>
          <w:marRight w:val="0"/>
          <w:marTop w:val="0"/>
          <w:marBottom w:val="0"/>
          <w:divBdr>
            <w:top w:val="none" w:sz="0" w:space="0" w:color="auto"/>
            <w:left w:val="none" w:sz="0" w:space="0" w:color="auto"/>
            <w:bottom w:val="none" w:sz="0" w:space="0" w:color="auto"/>
            <w:right w:val="none" w:sz="0" w:space="0" w:color="auto"/>
          </w:divBdr>
        </w:div>
        <w:div w:id="1054813905">
          <w:marLeft w:val="0"/>
          <w:marRight w:val="0"/>
          <w:marTop w:val="0"/>
          <w:marBottom w:val="0"/>
          <w:divBdr>
            <w:top w:val="none" w:sz="0" w:space="0" w:color="auto"/>
            <w:left w:val="none" w:sz="0" w:space="0" w:color="auto"/>
            <w:bottom w:val="none" w:sz="0" w:space="0" w:color="auto"/>
            <w:right w:val="none" w:sz="0" w:space="0" w:color="auto"/>
          </w:divBdr>
        </w:div>
        <w:div w:id="1055080388">
          <w:marLeft w:val="0"/>
          <w:marRight w:val="0"/>
          <w:marTop w:val="0"/>
          <w:marBottom w:val="0"/>
          <w:divBdr>
            <w:top w:val="none" w:sz="0" w:space="0" w:color="auto"/>
            <w:left w:val="none" w:sz="0" w:space="0" w:color="auto"/>
            <w:bottom w:val="none" w:sz="0" w:space="0" w:color="auto"/>
            <w:right w:val="none" w:sz="0" w:space="0" w:color="auto"/>
          </w:divBdr>
        </w:div>
        <w:div w:id="1055394095">
          <w:marLeft w:val="0"/>
          <w:marRight w:val="0"/>
          <w:marTop w:val="0"/>
          <w:marBottom w:val="0"/>
          <w:divBdr>
            <w:top w:val="none" w:sz="0" w:space="0" w:color="auto"/>
            <w:left w:val="none" w:sz="0" w:space="0" w:color="auto"/>
            <w:bottom w:val="none" w:sz="0" w:space="0" w:color="auto"/>
            <w:right w:val="none" w:sz="0" w:space="0" w:color="auto"/>
          </w:divBdr>
        </w:div>
        <w:div w:id="1080522660">
          <w:marLeft w:val="0"/>
          <w:marRight w:val="0"/>
          <w:marTop w:val="0"/>
          <w:marBottom w:val="0"/>
          <w:divBdr>
            <w:top w:val="none" w:sz="0" w:space="0" w:color="auto"/>
            <w:left w:val="none" w:sz="0" w:space="0" w:color="auto"/>
            <w:bottom w:val="none" w:sz="0" w:space="0" w:color="auto"/>
            <w:right w:val="none" w:sz="0" w:space="0" w:color="auto"/>
          </w:divBdr>
        </w:div>
        <w:div w:id="1087729815">
          <w:marLeft w:val="0"/>
          <w:marRight w:val="0"/>
          <w:marTop w:val="0"/>
          <w:marBottom w:val="0"/>
          <w:divBdr>
            <w:top w:val="none" w:sz="0" w:space="0" w:color="auto"/>
            <w:left w:val="none" w:sz="0" w:space="0" w:color="auto"/>
            <w:bottom w:val="none" w:sz="0" w:space="0" w:color="auto"/>
            <w:right w:val="none" w:sz="0" w:space="0" w:color="auto"/>
          </w:divBdr>
          <w:divsChild>
            <w:div w:id="513344344">
              <w:marLeft w:val="0"/>
              <w:marRight w:val="0"/>
              <w:marTop w:val="0"/>
              <w:marBottom w:val="0"/>
              <w:divBdr>
                <w:top w:val="none" w:sz="0" w:space="0" w:color="auto"/>
                <w:left w:val="none" w:sz="0" w:space="0" w:color="auto"/>
                <w:bottom w:val="none" w:sz="0" w:space="0" w:color="auto"/>
                <w:right w:val="none" w:sz="0" w:space="0" w:color="auto"/>
              </w:divBdr>
            </w:div>
            <w:div w:id="531653169">
              <w:marLeft w:val="0"/>
              <w:marRight w:val="0"/>
              <w:marTop w:val="0"/>
              <w:marBottom w:val="0"/>
              <w:divBdr>
                <w:top w:val="none" w:sz="0" w:space="0" w:color="auto"/>
                <w:left w:val="none" w:sz="0" w:space="0" w:color="auto"/>
                <w:bottom w:val="none" w:sz="0" w:space="0" w:color="auto"/>
                <w:right w:val="none" w:sz="0" w:space="0" w:color="auto"/>
              </w:divBdr>
            </w:div>
            <w:div w:id="835193381">
              <w:marLeft w:val="0"/>
              <w:marRight w:val="0"/>
              <w:marTop w:val="0"/>
              <w:marBottom w:val="0"/>
              <w:divBdr>
                <w:top w:val="none" w:sz="0" w:space="0" w:color="auto"/>
                <w:left w:val="none" w:sz="0" w:space="0" w:color="auto"/>
                <w:bottom w:val="none" w:sz="0" w:space="0" w:color="auto"/>
                <w:right w:val="none" w:sz="0" w:space="0" w:color="auto"/>
              </w:divBdr>
            </w:div>
            <w:div w:id="1232160848">
              <w:marLeft w:val="0"/>
              <w:marRight w:val="0"/>
              <w:marTop w:val="0"/>
              <w:marBottom w:val="0"/>
              <w:divBdr>
                <w:top w:val="none" w:sz="0" w:space="0" w:color="auto"/>
                <w:left w:val="none" w:sz="0" w:space="0" w:color="auto"/>
                <w:bottom w:val="none" w:sz="0" w:space="0" w:color="auto"/>
                <w:right w:val="none" w:sz="0" w:space="0" w:color="auto"/>
              </w:divBdr>
            </w:div>
            <w:div w:id="2116123088">
              <w:marLeft w:val="0"/>
              <w:marRight w:val="0"/>
              <w:marTop w:val="0"/>
              <w:marBottom w:val="0"/>
              <w:divBdr>
                <w:top w:val="none" w:sz="0" w:space="0" w:color="auto"/>
                <w:left w:val="none" w:sz="0" w:space="0" w:color="auto"/>
                <w:bottom w:val="none" w:sz="0" w:space="0" w:color="auto"/>
                <w:right w:val="none" w:sz="0" w:space="0" w:color="auto"/>
              </w:divBdr>
            </w:div>
          </w:divsChild>
        </w:div>
        <w:div w:id="1091197889">
          <w:marLeft w:val="0"/>
          <w:marRight w:val="0"/>
          <w:marTop w:val="0"/>
          <w:marBottom w:val="0"/>
          <w:divBdr>
            <w:top w:val="none" w:sz="0" w:space="0" w:color="auto"/>
            <w:left w:val="none" w:sz="0" w:space="0" w:color="auto"/>
            <w:bottom w:val="none" w:sz="0" w:space="0" w:color="auto"/>
            <w:right w:val="none" w:sz="0" w:space="0" w:color="auto"/>
          </w:divBdr>
        </w:div>
        <w:div w:id="1097678467">
          <w:marLeft w:val="0"/>
          <w:marRight w:val="0"/>
          <w:marTop w:val="0"/>
          <w:marBottom w:val="0"/>
          <w:divBdr>
            <w:top w:val="none" w:sz="0" w:space="0" w:color="auto"/>
            <w:left w:val="none" w:sz="0" w:space="0" w:color="auto"/>
            <w:bottom w:val="none" w:sz="0" w:space="0" w:color="auto"/>
            <w:right w:val="none" w:sz="0" w:space="0" w:color="auto"/>
          </w:divBdr>
        </w:div>
        <w:div w:id="1119761402">
          <w:marLeft w:val="0"/>
          <w:marRight w:val="0"/>
          <w:marTop w:val="0"/>
          <w:marBottom w:val="0"/>
          <w:divBdr>
            <w:top w:val="none" w:sz="0" w:space="0" w:color="auto"/>
            <w:left w:val="none" w:sz="0" w:space="0" w:color="auto"/>
            <w:bottom w:val="none" w:sz="0" w:space="0" w:color="auto"/>
            <w:right w:val="none" w:sz="0" w:space="0" w:color="auto"/>
          </w:divBdr>
        </w:div>
        <w:div w:id="1128815902">
          <w:marLeft w:val="0"/>
          <w:marRight w:val="0"/>
          <w:marTop w:val="0"/>
          <w:marBottom w:val="0"/>
          <w:divBdr>
            <w:top w:val="none" w:sz="0" w:space="0" w:color="auto"/>
            <w:left w:val="none" w:sz="0" w:space="0" w:color="auto"/>
            <w:bottom w:val="none" w:sz="0" w:space="0" w:color="auto"/>
            <w:right w:val="none" w:sz="0" w:space="0" w:color="auto"/>
          </w:divBdr>
        </w:div>
        <w:div w:id="1139884688">
          <w:marLeft w:val="0"/>
          <w:marRight w:val="0"/>
          <w:marTop w:val="0"/>
          <w:marBottom w:val="0"/>
          <w:divBdr>
            <w:top w:val="none" w:sz="0" w:space="0" w:color="auto"/>
            <w:left w:val="none" w:sz="0" w:space="0" w:color="auto"/>
            <w:bottom w:val="none" w:sz="0" w:space="0" w:color="auto"/>
            <w:right w:val="none" w:sz="0" w:space="0" w:color="auto"/>
          </w:divBdr>
        </w:div>
        <w:div w:id="1190265727">
          <w:marLeft w:val="0"/>
          <w:marRight w:val="0"/>
          <w:marTop w:val="0"/>
          <w:marBottom w:val="0"/>
          <w:divBdr>
            <w:top w:val="none" w:sz="0" w:space="0" w:color="auto"/>
            <w:left w:val="none" w:sz="0" w:space="0" w:color="auto"/>
            <w:bottom w:val="none" w:sz="0" w:space="0" w:color="auto"/>
            <w:right w:val="none" w:sz="0" w:space="0" w:color="auto"/>
          </w:divBdr>
        </w:div>
        <w:div w:id="1202939281">
          <w:marLeft w:val="0"/>
          <w:marRight w:val="0"/>
          <w:marTop w:val="0"/>
          <w:marBottom w:val="0"/>
          <w:divBdr>
            <w:top w:val="none" w:sz="0" w:space="0" w:color="auto"/>
            <w:left w:val="none" w:sz="0" w:space="0" w:color="auto"/>
            <w:bottom w:val="none" w:sz="0" w:space="0" w:color="auto"/>
            <w:right w:val="none" w:sz="0" w:space="0" w:color="auto"/>
          </w:divBdr>
        </w:div>
        <w:div w:id="1210990507">
          <w:marLeft w:val="0"/>
          <w:marRight w:val="0"/>
          <w:marTop w:val="0"/>
          <w:marBottom w:val="0"/>
          <w:divBdr>
            <w:top w:val="none" w:sz="0" w:space="0" w:color="auto"/>
            <w:left w:val="none" w:sz="0" w:space="0" w:color="auto"/>
            <w:bottom w:val="none" w:sz="0" w:space="0" w:color="auto"/>
            <w:right w:val="none" w:sz="0" w:space="0" w:color="auto"/>
          </w:divBdr>
        </w:div>
        <w:div w:id="1219366469">
          <w:marLeft w:val="0"/>
          <w:marRight w:val="0"/>
          <w:marTop w:val="0"/>
          <w:marBottom w:val="0"/>
          <w:divBdr>
            <w:top w:val="none" w:sz="0" w:space="0" w:color="auto"/>
            <w:left w:val="none" w:sz="0" w:space="0" w:color="auto"/>
            <w:bottom w:val="none" w:sz="0" w:space="0" w:color="auto"/>
            <w:right w:val="none" w:sz="0" w:space="0" w:color="auto"/>
          </w:divBdr>
          <w:divsChild>
            <w:div w:id="298656442">
              <w:marLeft w:val="-75"/>
              <w:marRight w:val="0"/>
              <w:marTop w:val="30"/>
              <w:marBottom w:val="30"/>
              <w:divBdr>
                <w:top w:val="none" w:sz="0" w:space="0" w:color="auto"/>
                <w:left w:val="none" w:sz="0" w:space="0" w:color="auto"/>
                <w:bottom w:val="none" w:sz="0" w:space="0" w:color="auto"/>
                <w:right w:val="none" w:sz="0" w:space="0" w:color="auto"/>
              </w:divBdr>
              <w:divsChild>
                <w:div w:id="66613009">
                  <w:marLeft w:val="0"/>
                  <w:marRight w:val="0"/>
                  <w:marTop w:val="0"/>
                  <w:marBottom w:val="0"/>
                  <w:divBdr>
                    <w:top w:val="none" w:sz="0" w:space="0" w:color="auto"/>
                    <w:left w:val="none" w:sz="0" w:space="0" w:color="auto"/>
                    <w:bottom w:val="none" w:sz="0" w:space="0" w:color="auto"/>
                    <w:right w:val="none" w:sz="0" w:space="0" w:color="auto"/>
                  </w:divBdr>
                  <w:divsChild>
                    <w:div w:id="1357006579">
                      <w:marLeft w:val="0"/>
                      <w:marRight w:val="0"/>
                      <w:marTop w:val="0"/>
                      <w:marBottom w:val="0"/>
                      <w:divBdr>
                        <w:top w:val="none" w:sz="0" w:space="0" w:color="auto"/>
                        <w:left w:val="none" w:sz="0" w:space="0" w:color="auto"/>
                        <w:bottom w:val="none" w:sz="0" w:space="0" w:color="auto"/>
                        <w:right w:val="none" w:sz="0" w:space="0" w:color="auto"/>
                      </w:divBdr>
                    </w:div>
                  </w:divsChild>
                </w:div>
                <w:div w:id="92289071">
                  <w:marLeft w:val="0"/>
                  <w:marRight w:val="0"/>
                  <w:marTop w:val="0"/>
                  <w:marBottom w:val="0"/>
                  <w:divBdr>
                    <w:top w:val="none" w:sz="0" w:space="0" w:color="auto"/>
                    <w:left w:val="none" w:sz="0" w:space="0" w:color="auto"/>
                    <w:bottom w:val="none" w:sz="0" w:space="0" w:color="auto"/>
                    <w:right w:val="none" w:sz="0" w:space="0" w:color="auto"/>
                  </w:divBdr>
                  <w:divsChild>
                    <w:div w:id="1894349449">
                      <w:marLeft w:val="0"/>
                      <w:marRight w:val="0"/>
                      <w:marTop w:val="0"/>
                      <w:marBottom w:val="0"/>
                      <w:divBdr>
                        <w:top w:val="none" w:sz="0" w:space="0" w:color="auto"/>
                        <w:left w:val="none" w:sz="0" w:space="0" w:color="auto"/>
                        <w:bottom w:val="none" w:sz="0" w:space="0" w:color="auto"/>
                        <w:right w:val="none" w:sz="0" w:space="0" w:color="auto"/>
                      </w:divBdr>
                    </w:div>
                  </w:divsChild>
                </w:div>
                <w:div w:id="197742806">
                  <w:marLeft w:val="0"/>
                  <w:marRight w:val="0"/>
                  <w:marTop w:val="0"/>
                  <w:marBottom w:val="0"/>
                  <w:divBdr>
                    <w:top w:val="none" w:sz="0" w:space="0" w:color="auto"/>
                    <w:left w:val="none" w:sz="0" w:space="0" w:color="auto"/>
                    <w:bottom w:val="none" w:sz="0" w:space="0" w:color="auto"/>
                    <w:right w:val="none" w:sz="0" w:space="0" w:color="auto"/>
                  </w:divBdr>
                  <w:divsChild>
                    <w:div w:id="812260134">
                      <w:marLeft w:val="0"/>
                      <w:marRight w:val="0"/>
                      <w:marTop w:val="0"/>
                      <w:marBottom w:val="0"/>
                      <w:divBdr>
                        <w:top w:val="none" w:sz="0" w:space="0" w:color="auto"/>
                        <w:left w:val="none" w:sz="0" w:space="0" w:color="auto"/>
                        <w:bottom w:val="none" w:sz="0" w:space="0" w:color="auto"/>
                        <w:right w:val="none" w:sz="0" w:space="0" w:color="auto"/>
                      </w:divBdr>
                    </w:div>
                  </w:divsChild>
                </w:div>
                <w:div w:id="198863522">
                  <w:marLeft w:val="0"/>
                  <w:marRight w:val="0"/>
                  <w:marTop w:val="0"/>
                  <w:marBottom w:val="0"/>
                  <w:divBdr>
                    <w:top w:val="none" w:sz="0" w:space="0" w:color="auto"/>
                    <w:left w:val="none" w:sz="0" w:space="0" w:color="auto"/>
                    <w:bottom w:val="none" w:sz="0" w:space="0" w:color="auto"/>
                    <w:right w:val="none" w:sz="0" w:space="0" w:color="auto"/>
                  </w:divBdr>
                  <w:divsChild>
                    <w:div w:id="2144082225">
                      <w:marLeft w:val="0"/>
                      <w:marRight w:val="0"/>
                      <w:marTop w:val="0"/>
                      <w:marBottom w:val="0"/>
                      <w:divBdr>
                        <w:top w:val="none" w:sz="0" w:space="0" w:color="auto"/>
                        <w:left w:val="none" w:sz="0" w:space="0" w:color="auto"/>
                        <w:bottom w:val="none" w:sz="0" w:space="0" w:color="auto"/>
                        <w:right w:val="none" w:sz="0" w:space="0" w:color="auto"/>
                      </w:divBdr>
                    </w:div>
                  </w:divsChild>
                </w:div>
                <w:div w:id="514811383">
                  <w:marLeft w:val="0"/>
                  <w:marRight w:val="0"/>
                  <w:marTop w:val="0"/>
                  <w:marBottom w:val="0"/>
                  <w:divBdr>
                    <w:top w:val="none" w:sz="0" w:space="0" w:color="auto"/>
                    <w:left w:val="none" w:sz="0" w:space="0" w:color="auto"/>
                    <w:bottom w:val="none" w:sz="0" w:space="0" w:color="auto"/>
                    <w:right w:val="none" w:sz="0" w:space="0" w:color="auto"/>
                  </w:divBdr>
                  <w:divsChild>
                    <w:div w:id="883716495">
                      <w:marLeft w:val="0"/>
                      <w:marRight w:val="0"/>
                      <w:marTop w:val="0"/>
                      <w:marBottom w:val="0"/>
                      <w:divBdr>
                        <w:top w:val="none" w:sz="0" w:space="0" w:color="auto"/>
                        <w:left w:val="none" w:sz="0" w:space="0" w:color="auto"/>
                        <w:bottom w:val="none" w:sz="0" w:space="0" w:color="auto"/>
                        <w:right w:val="none" w:sz="0" w:space="0" w:color="auto"/>
                      </w:divBdr>
                    </w:div>
                  </w:divsChild>
                </w:div>
                <w:div w:id="564412117">
                  <w:marLeft w:val="0"/>
                  <w:marRight w:val="0"/>
                  <w:marTop w:val="0"/>
                  <w:marBottom w:val="0"/>
                  <w:divBdr>
                    <w:top w:val="none" w:sz="0" w:space="0" w:color="auto"/>
                    <w:left w:val="none" w:sz="0" w:space="0" w:color="auto"/>
                    <w:bottom w:val="none" w:sz="0" w:space="0" w:color="auto"/>
                    <w:right w:val="none" w:sz="0" w:space="0" w:color="auto"/>
                  </w:divBdr>
                  <w:divsChild>
                    <w:div w:id="1233809467">
                      <w:marLeft w:val="0"/>
                      <w:marRight w:val="0"/>
                      <w:marTop w:val="0"/>
                      <w:marBottom w:val="0"/>
                      <w:divBdr>
                        <w:top w:val="none" w:sz="0" w:space="0" w:color="auto"/>
                        <w:left w:val="none" w:sz="0" w:space="0" w:color="auto"/>
                        <w:bottom w:val="none" w:sz="0" w:space="0" w:color="auto"/>
                        <w:right w:val="none" w:sz="0" w:space="0" w:color="auto"/>
                      </w:divBdr>
                    </w:div>
                  </w:divsChild>
                </w:div>
                <w:div w:id="650259539">
                  <w:marLeft w:val="0"/>
                  <w:marRight w:val="0"/>
                  <w:marTop w:val="0"/>
                  <w:marBottom w:val="0"/>
                  <w:divBdr>
                    <w:top w:val="none" w:sz="0" w:space="0" w:color="auto"/>
                    <w:left w:val="none" w:sz="0" w:space="0" w:color="auto"/>
                    <w:bottom w:val="none" w:sz="0" w:space="0" w:color="auto"/>
                    <w:right w:val="none" w:sz="0" w:space="0" w:color="auto"/>
                  </w:divBdr>
                  <w:divsChild>
                    <w:div w:id="2064404266">
                      <w:marLeft w:val="0"/>
                      <w:marRight w:val="0"/>
                      <w:marTop w:val="0"/>
                      <w:marBottom w:val="0"/>
                      <w:divBdr>
                        <w:top w:val="none" w:sz="0" w:space="0" w:color="auto"/>
                        <w:left w:val="none" w:sz="0" w:space="0" w:color="auto"/>
                        <w:bottom w:val="none" w:sz="0" w:space="0" w:color="auto"/>
                        <w:right w:val="none" w:sz="0" w:space="0" w:color="auto"/>
                      </w:divBdr>
                    </w:div>
                  </w:divsChild>
                </w:div>
                <w:div w:id="657074797">
                  <w:marLeft w:val="0"/>
                  <w:marRight w:val="0"/>
                  <w:marTop w:val="0"/>
                  <w:marBottom w:val="0"/>
                  <w:divBdr>
                    <w:top w:val="none" w:sz="0" w:space="0" w:color="auto"/>
                    <w:left w:val="none" w:sz="0" w:space="0" w:color="auto"/>
                    <w:bottom w:val="none" w:sz="0" w:space="0" w:color="auto"/>
                    <w:right w:val="none" w:sz="0" w:space="0" w:color="auto"/>
                  </w:divBdr>
                  <w:divsChild>
                    <w:div w:id="1873301390">
                      <w:marLeft w:val="0"/>
                      <w:marRight w:val="0"/>
                      <w:marTop w:val="0"/>
                      <w:marBottom w:val="0"/>
                      <w:divBdr>
                        <w:top w:val="none" w:sz="0" w:space="0" w:color="auto"/>
                        <w:left w:val="none" w:sz="0" w:space="0" w:color="auto"/>
                        <w:bottom w:val="none" w:sz="0" w:space="0" w:color="auto"/>
                        <w:right w:val="none" w:sz="0" w:space="0" w:color="auto"/>
                      </w:divBdr>
                    </w:div>
                  </w:divsChild>
                </w:div>
                <w:div w:id="662585485">
                  <w:marLeft w:val="0"/>
                  <w:marRight w:val="0"/>
                  <w:marTop w:val="0"/>
                  <w:marBottom w:val="0"/>
                  <w:divBdr>
                    <w:top w:val="none" w:sz="0" w:space="0" w:color="auto"/>
                    <w:left w:val="none" w:sz="0" w:space="0" w:color="auto"/>
                    <w:bottom w:val="none" w:sz="0" w:space="0" w:color="auto"/>
                    <w:right w:val="none" w:sz="0" w:space="0" w:color="auto"/>
                  </w:divBdr>
                  <w:divsChild>
                    <w:div w:id="1962573000">
                      <w:marLeft w:val="0"/>
                      <w:marRight w:val="0"/>
                      <w:marTop w:val="0"/>
                      <w:marBottom w:val="0"/>
                      <w:divBdr>
                        <w:top w:val="none" w:sz="0" w:space="0" w:color="auto"/>
                        <w:left w:val="none" w:sz="0" w:space="0" w:color="auto"/>
                        <w:bottom w:val="none" w:sz="0" w:space="0" w:color="auto"/>
                        <w:right w:val="none" w:sz="0" w:space="0" w:color="auto"/>
                      </w:divBdr>
                    </w:div>
                  </w:divsChild>
                </w:div>
                <w:div w:id="699865179">
                  <w:marLeft w:val="0"/>
                  <w:marRight w:val="0"/>
                  <w:marTop w:val="0"/>
                  <w:marBottom w:val="0"/>
                  <w:divBdr>
                    <w:top w:val="none" w:sz="0" w:space="0" w:color="auto"/>
                    <w:left w:val="none" w:sz="0" w:space="0" w:color="auto"/>
                    <w:bottom w:val="none" w:sz="0" w:space="0" w:color="auto"/>
                    <w:right w:val="none" w:sz="0" w:space="0" w:color="auto"/>
                  </w:divBdr>
                  <w:divsChild>
                    <w:div w:id="1794985273">
                      <w:marLeft w:val="0"/>
                      <w:marRight w:val="0"/>
                      <w:marTop w:val="0"/>
                      <w:marBottom w:val="0"/>
                      <w:divBdr>
                        <w:top w:val="none" w:sz="0" w:space="0" w:color="auto"/>
                        <w:left w:val="none" w:sz="0" w:space="0" w:color="auto"/>
                        <w:bottom w:val="none" w:sz="0" w:space="0" w:color="auto"/>
                        <w:right w:val="none" w:sz="0" w:space="0" w:color="auto"/>
                      </w:divBdr>
                    </w:div>
                  </w:divsChild>
                </w:div>
                <w:div w:id="706029527">
                  <w:marLeft w:val="0"/>
                  <w:marRight w:val="0"/>
                  <w:marTop w:val="0"/>
                  <w:marBottom w:val="0"/>
                  <w:divBdr>
                    <w:top w:val="none" w:sz="0" w:space="0" w:color="auto"/>
                    <w:left w:val="none" w:sz="0" w:space="0" w:color="auto"/>
                    <w:bottom w:val="none" w:sz="0" w:space="0" w:color="auto"/>
                    <w:right w:val="none" w:sz="0" w:space="0" w:color="auto"/>
                  </w:divBdr>
                  <w:divsChild>
                    <w:div w:id="410734158">
                      <w:marLeft w:val="0"/>
                      <w:marRight w:val="0"/>
                      <w:marTop w:val="0"/>
                      <w:marBottom w:val="0"/>
                      <w:divBdr>
                        <w:top w:val="none" w:sz="0" w:space="0" w:color="auto"/>
                        <w:left w:val="none" w:sz="0" w:space="0" w:color="auto"/>
                        <w:bottom w:val="none" w:sz="0" w:space="0" w:color="auto"/>
                        <w:right w:val="none" w:sz="0" w:space="0" w:color="auto"/>
                      </w:divBdr>
                    </w:div>
                  </w:divsChild>
                </w:div>
                <w:div w:id="888148862">
                  <w:marLeft w:val="0"/>
                  <w:marRight w:val="0"/>
                  <w:marTop w:val="0"/>
                  <w:marBottom w:val="0"/>
                  <w:divBdr>
                    <w:top w:val="none" w:sz="0" w:space="0" w:color="auto"/>
                    <w:left w:val="none" w:sz="0" w:space="0" w:color="auto"/>
                    <w:bottom w:val="none" w:sz="0" w:space="0" w:color="auto"/>
                    <w:right w:val="none" w:sz="0" w:space="0" w:color="auto"/>
                  </w:divBdr>
                  <w:divsChild>
                    <w:div w:id="1858542622">
                      <w:marLeft w:val="0"/>
                      <w:marRight w:val="0"/>
                      <w:marTop w:val="0"/>
                      <w:marBottom w:val="0"/>
                      <w:divBdr>
                        <w:top w:val="none" w:sz="0" w:space="0" w:color="auto"/>
                        <w:left w:val="none" w:sz="0" w:space="0" w:color="auto"/>
                        <w:bottom w:val="none" w:sz="0" w:space="0" w:color="auto"/>
                        <w:right w:val="none" w:sz="0" w:space="0" w:color="auto"/>
                      </w:divBdr>
                    </w:div>
                  </w:divsChild>
                </w:div>
                <w:div w:id="938023801">
                  <w:marLeft w:val="0"/>
                  <w:marRight w:val="0"/>
                  <w:marTop w:val="0"/>
                  <w:marBottom w:val="0"/>
                  <w:divBdr>
                    <w:top w:val="none" w:sz="0" w:space="0" w:color="auto"/>
                    <w:left w:val="none" w:sz="0" w:space="0" w:color="auto"/>
                    <w:bottom w:val="none" w:sz="0" w:space="0" w:color="auto"/>
                    <w:right w:val="none" w:sz="0" w:space="0" w:color="auto"/>
                  </w:divBdr>
                  <w:divsChild>
                    <w:div w:id="18704993">
                      <w:marLeft w:val="0"/>
                      <w:marRight w:val="0"/>
                      <w:marTop w:val="0"/>
                      <w:marBottom w:val="0"/>
                      <w:divBdr>
                        <w:top w:val="none" w:sz="0" w:space="0" w:color="auto"/>
                        <w:left w:val="none" w:sz="0" w:space="0" w:color="auto"/>
                        <w:bottom w:val="none" w:sz="0" w:space="0" w:color="auto"/>
                        <w:right w:val="none" w:sz="0" w:space="0" w:color="auto"/>
                      </w:divBdr>
                    </w:div>
                  </w:divsChild>
                </w:div>
                <w:div w:id="965625851">
                  <w:marLeft w:val="0"/>
                  <w:marRight w:val="0"/>
                  <w:marTop w:val="0"/>
                  <w:marBottom w:val="0"/>
                  <w:divBdr>
                    <w:top w:val="none" w:sz="0" w:space="0" w:color="auto"/>
                    <w:left w:val="none" w:sz="0" w:space="0" w:color="auto"/>
                    <w:bottom w:val="none" w:sz="0" w:space="0" w:color="auto"/>
                    <w:right w:val="none" w:sz="0" w:space="0" w:color="auto"/>
                  </w:divBdr>
                  <w:divsChild>
                    <w:div w:id="1534147293">
                      <w:marLeft w:val="0"/>
                      <w:marRight w:val="0"/>
                      <w:marTop w:val="0"/>
                      <w:marBottom w:val="0"/>
                      <w:divBdr>
                        <w:top w:val="none" w:sz="0" w:space="0" w:color="auto"/>
                        <w:left w:val="none" w:sz="0" w:space="0" w:color="auto"/>
                        <w:bottom w:val="none" w:sz="0" w:space="0" w:color="auto"/>
                        <w:right w:val="none" w:sz="0" w:space="0" w:color="auto"/>
                      </w:divBdr>
                    </w:div>
                  </w:divsChild>
                </w:div>
                <w:div w:id="1249728757">
                  <w:marLeft w:val="0"/>
                  <w:marRight w:val="0"/>
                  <w:marTop w:val="0"/>
                  <w:marBottom w:val="0"/>
                  <w:divBdr>
                    <w:top w:val="none" w:sz="0" w:space="0" w:color="auto"/>
                    <w:left w:val="none" w:sz="0" w:space="0" w:color="auto"/>
                    <w:bottom w:val="none" w:sz="0" w:space="0" w:color="auto"/>
                    <w:right w:val="none" w:sz="0" w:space="0" w:color="auto"/>
                  </w:divBdr>
                  <w:divsChild>
                    <w:div w:id="1988705883">
                      <w:marLeft w:val="0"/>
                      <w:marRight w:val="0"/>
                      <w:marTop w:val="0"/>
                      <w:marBottom w:val="0"/>
                      <w:divBdr>
                        <w:top w:val="none" w:sz="0" w:space="0" w:color="auto"/>
                        <w:left w:val="none" w:sz="0" w:space="0" w:color="auto"/>
                        <w:bottom w:val="none" w:sz="0" w:space="0" w:color="auto"/>
                        <w:right w:val="none" w:sz="0" w:space="0" w:color="auto"/>
                      </w:divBdr>
                    </w:div>
                  </w:divsChild>
                </w:div>
                <w:div w:id="1312634707">
                  <w:marLeft w:val="0"/>
                  <w:marRight w:val="0"/>
                  <w:marTop w:val="0"/>
                  <w:marBottom w:val="0"/>
                  <w:divBdr>
                    <w:top w:val="none" w:sz="0" w:space="0" w:color="auto"/>
                    <w:left w:val="none" w:sz="0" w:space="0" w:color="auto"/>
                    <w:bottom w:val="none" w:sz="0" w:space="0" w:color="auto"/>
                    <w:right w:val="none" w:sz="0" w:space="0" w:color="auto"/>
                  </w:divBdr>
                  <w:divsChild>
                    <w:div w:id="1856843">
                      <w:marLeft w:val="0"/>
                      <w:marRight w:val="0"/>
                      <w:marTop w:val="0"/>
                      <w:marBottom w:val="0"/>
                      <w:divBdr>
                        <w:top w:val="none" w:sz="0" w:space="0" w:color="auto"/>
                        <w:left w:val="none" w:sz="0" w:space="0" w:color="auto"/>
                        <w:bottom w:val="none" w:sz="0" w:space="0" w:color="auto"/>
                        <w:right w:val="none" w:sz="0" w:space="0" w:color="auto"/>
                      </w:divBdr>
                    </w:div>
                  </w:divsChild>
                </w:div>
                <w:div w:id="1328443016">
                  <w:marLeft w:val="0"/>
                  <w:marRight w:val="0"/>
                  <w:marTop w:val="0"/>
                  <w:marBottom w:val="0"/>
                  <w:divBdr>
                    <w:top w:val="none" w:sz="0" w:space="0" w:color="auto"/>
                    <w:left w:val="none" w:sz="0" w:space="0" w:color="auto"/>
                    <w:bottom w:val="none" w:sz="0" w:space="0" w:color="auto"/>
                    <w:right w:val="none" w:sz="0" w:space="0" w:color="auto"/>
                  </w:divBdr>
                  <w:divsChild>
                    <w:div w:id="23406420">
                      <w:marLeft w:val="0"/>
                      <w:marRight w:val="0"/>
                      <w:marTop w:val="0"/>
                      <w:marBottom w:val="0"/>
                      <w:divBdr>
                        <w:top w:val="none" w:sz="0" w:space="0" w:color="auto"/>
                        <w:left w:val="none" w:sz="0" w:space="0" w:color="auto"/>
                        <w:bottom w:val="none" w:sz="0" w:space="0" w:color="auto"/>
                        <w:right w:val="none" w:sz="0" w:space="0" w:color="auto"/>
                      </w:divBdr>
                    </w:div>
                  </w:divsChild>
                </w:div>
                <w:div w:id="1537234177">
                  <w:marLeft w:val="0"/>
                  <w:marRight w:val="0"/>
                  <w:marTop w:val="0"/>
                  <w:marBottom w:val="0"/>
                  <w:divBdr>
                    <w:top w:val="none" w:sz="0" w:space="0" w:color="auto"/>
                    <w:left w:val="none" w:sz="0" w:space="0" w:color="auto"/>
                    <w:bottom w:val="none" w:sz="0" w:space="0" w:color="auto"/>
                    <w:right w:val="none" w:sz="0" w:space="0" w:color="auto"/>
                  </w:divBdr>
                  <w:divsChild>
                    <w:div w:id="1971475464">
                      <w:marLeft w:val="0"/>
                      <w:marRight w:val="0"/>
                      <w:marTop w:val="0"/>
                      <w:marBottom w:val="0"/>
                      <w:divBdr>
                        <w:top w:val="none" w:sz="0" w:space="0" w:color="auto"/>
                        <w:left w:val="none" w:sz="0" w:space="0" w:color="auto"/>
                        <w:bottom w:val="none" w:sz="0" w:space="0" w:color="auto"/>
                        <w:right w:val="none" w:sz="0" w:space="0" w:color="auto"/>
                      </w:divBdr>
                    </w:div>
                  </w:divsChild>
                </w:div>
                <w:div w:id="1667396484">
                  <w:marLeft w:val="0"/>
                  <w:marRight w:val="0"/>
                  <w:marTop w:val="0"/>
                  <w:marBottom w:val="0"/>
                  <w:divBdr>
                    <w:top w:val="none" w:sz="0" w:space="0" w:color="auto"/>
                    <w:left w:val="none" w:sz="0" w:space="0" w:color="auto"/>
                    <w:bottom w:val="none" w:sz="0" w:space="0" w:color="auto"/>
                    <w:right w:val="none" w:sz="0" w:space="0" w:color="auto"/>
                  </w:divBdr>
                  <w:divsChild>
                    <w:div w:id="1628781785">
                      <w:marLeft w:val="0"/>
                      <w:marRight w:val="0"/>
                      <w:marTop w:val="0"/>
                      <w:marBottom w:val="0"/>
                      <w:divBdr>
                        <w:top w:val="none" w:sz="0" w:space="0" w:color="auto"/>
                        <w:left w:val="none" w:sz="0" w:space="0" w:color="auto"/>
                        <w:bottom w:val="none" w:sz="0" w:space="0" w:color="auto"/>
                        <w:right w:val="none" w:sz="0" w:space="0" w:color="auto"/>
                      </w:divBdr>
                    </w:div>
                  </w:divsChild>
                </w:div>
                <w:div w:id="1699969866">
                  <w:marLeft w:val="0"/>
                  <w:marRight w:val="0"/>
                  <w:marTop w:val="0"/>
                  <w:marBottom w:val="0"/>
                  <w:divBdr>
                    <w:top w:val="none" w:sz="0" w:space="0" w:color="auto"/>
                    <w:left w:val="none" w:sz="0" w:space="0" w:color="auto"/>
                    <w:bottom w:val="none" w:sz="0" w:space="0" w:color="auto"/>
                    <w:right w:val="none" w:sz="0" w:space="0" w:color="auto"/>
                  </w:divBdr>
                  <w:divsChild>
                    <w:div w:id="148711970">
                      <w:marLeft w:val="0"/>
                      <w:marRight w:val="0"/>
                      <w:marTop w:val="0"/>
                      <w:marBottom w:val="0"/>
                      <w:divBdr>
                        <w:top w:val="none" w:sz="0" w:space="0" w:color="auto"/>
                        <w:left w:val="none" w:sz="0" w:space="0" w:color="auto"/>
                        <w:bottom w:val="none" w:sz="0" w:space="0" w:color="auto"/>
                        <w:right w:val="none" w:sz="0" w:space="0" w:color="auto"/>
                      </w:divBdr>
                    </w:div>
                  </w:divsChild>
                </w:div>
                <w:div w:id="1819305467">
                  <w:marLeft w:val="0"/>
                  <w:marRight w:val="0"/>
                  <w:marTop w:val="0"/>
                  <w:marBottom w:val="0"/>
                  <w:divBdr>
                    <w:top w:val="none" w:sz="0" w:space="0" w:color="auto"/>
                    <w:left w:val="none" w:sz="0" w:space="0" w:color="auto"/>
                    <w:bottom w:val="none" w:sz="0" w:space="0" w:color="auto"/>
                    <w:right w:val="none" w:sz="0" w:space="0" w:color="auto"/>
                  </w:divBdr>
                  <w:divsChild>
                    <w:div w:id="1837643342">
                      <w:marLeft w:val="0"/>
                      <w:marRight w:val="0"/>
                      <w:marTop w:val="0"/>
                      <w:marBottom w:val="0"/>
                      <w:divBdr>
                        <w:top w:val="none" w:sz="0" w:space="0" w:color="auto"/>
                        <w:left w:val="none" w:sz="0" w:space="0" w:color="auto"/>
                        <w:bottom w:val="none" w:sz="0" w:space="0" w:color="auto"/>
                        <w:right w:val="none" w:sz="0" w:space="0" w:color="auto"/>
                      </w:divBdr>
                    </w:div>
                  </w:divsChild>
                </w:div>
                <w:div w:id="1871188799">
                  <w:marLeft w:val="0"/>
                  <w:marRight w:val="0"/>
                  <w:marTop w:val="0"/>
                  <w:marBottom w:val="0"/>
                  <w:divBdr>
                    <w:top w:val="none" w:sz="0" w:space="0" w:color="auto"/>
                    <w:left w:val="none" w:sz="0" w:space="0" w:color="auto"/>
                    <w:bottom w:val="none" w:sz="0" w:space="0" w:color="auto"/>
                    <w:right w:val="none" w:sz="0" w:space="0" w:color="auto"/>
                  </w:divBdr>
                  <w:divsChild>
                    <w:div w:id="312180361">
                      <w:marLeft w:val="0"/>
                      <w:marRight w:val="0"/>
                      <w:marTop w:val="0"/>
                      <w:marBottom w:val="0"/>
                      <w:divBdr>
                        <w:top w:val="none" w:sz="0" w:space="0" w:color="auto"/>
                        <w:left w:val="none" w:sz="0" w:space="0" w:color="auto"/>
                        <w:bottom w:val="none" w:sz="0" w:space="0" w:color="auto"/>
                        <w:right w:val="none" w:sz="0" w:space="0" w:color="auto"/>
                      </w:divBdr>
                    </w:div>
                  </w:divsChild>
                </w:div>
                <w:div w:id="1915815781">
                  <w:marLeft w:val="0"/>
                  <w:marRight w:val="0"/>
                  <w:marTop w:val="0"/>
                  <w:marBottom w:val="0"/>
                  <w:divBdr>
                    <w:top w:val="none" w:sz="0" w:space="0" w:color="auto"/>
                    <w:left w:val="none" w:sz="0" w:space="0" w:color="auto"/>
                    <w:bottom w:val="none" w:sz="0" w:space="0" w:color="auto"/>
                    <w:right w:val="none" w:sz="0" w:space="0" w:color="auto"/>
                  </w:divBdr>
                  <w:divsChild>
                    <w:div w:id="949051285">
                      <w:marLeft w:val="0"/>
                      <w:marRight w:val="0"/>
                      <w:marTop w:val="0"/>
                      <w:marBottom w:val="0"/>
                      <w:divBdr>
                        <w:top w:val="none" w:sz="0" w:space="0" w:color="auto"/>
                        <w:left w:val="none" w:sz="0" w:space="0" w:color="auto"/>
                        <w:bottom w:val="none" w:sz="0" w:space="0" w:color="auto"/>
                        <w:right w:val="none" w:sz="0" w:space="0" w:color="auto"/>
                      </w:divBdr>
                    </w:div>
                  </w:divsChild>
                </w:div>
                <w:div w:id="1934165912">
                  <w:marLeft w:val="0"/>
                  <w:marRight w:val="0"/>
                  <w:marTop w:val="0"/>
                  <w:marBottom w:val="0"/>
                  <w:divBdr>
                    <w:top w:val="none" w:sz="0" w:space="0" w:color="auto"/>
                    <w:left w:val="none" w:sz="0" w:space="0" w:color="auto"/>
                    <w:bottom w:val="none" w:sz="0" w:space="0" w:color="auto"/>
                    <w:right w:val="none" w:sz="0" w:space="0" w:color="auto"/>
                  </w:divBdr>
                  <w:divsChild>
                    <w:div w:id="148231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3310">
          <w:marLeft w:val="0"/>
          <w:marRight w:val="0"/>
          <w:marTop w:val="0"/>
          <w:marBottom w:val="0"/>
          <w:divBdr>
            <w:top w:val="none" w:sz="0" w:space="0" w:color="auto"/>
            <w:left w:val="none" w:sz="0" w:space="0" w:color="auto"/>
            <w:bottom w:val="none" w:sz="0" w:space="0" w:color="auto"/>
            <w:right w:val="none" w:sz="0" w:space="0" w:color="auto"/>
          </w:divBdr>
        </w:div>
        <w:div w:id="1236626264">
          <w:marLeft w:val="0"/>
          <w:marRight w:val="0"/>
          <w:marTop w:val="0"/>
          <w:marBottom w:val="0"/>
          <w:divBdr>
            <w:top w:val="none" w:sz="0" w:space="0" w:color="auto"/>
            <w:left w:val="none" w:sz="0" w:space="0" w:color="auto"/>
            <w:bottom w:val="none" w:sz="0" w:space="0" w:color="auto"/>
            <w:right w:val="none" w:sz="0" w:space="0" w:color="auto"/>
          </w:divBdr>
        </w:div>
        <w:div w:id="1249190863">
          <w:marLeft w:val="0"/>
          <w:marRight w:val="0"/>
          <w:marTop w:val="0"/>
          <w:marBottom w:val="0"/>
          <w:divBdr>
            <w:top w:val="none" w:sz="0" w:space="0" w:color="auto"/>
            <w:left w:val="none" w:sz="0" w:space="0" w:color="auto"/>
            <w:bottom w:val="none" w:sz="0" w:space="0" w:color="auto"/>
            <w:right w:val="none" w:sz="0" w:space="0" w:color="auto"/>
          </w:divBdr>
        </w:div>
        <w:div w:id="1264144200">
          <w:marLeft w:val="0"/>
          <w:marRight w:val="0"/>
          <w:marTop w:val="0"/>
          <w:marBottom w:val="0"/>
          <w:divBdr>
            <w:top w:val="none" w:sz="0" w:space="0" w:color="auto"/>
            <w:left w:val="none" w:sz="0" w:space="0" w:color="auto"/>
            <w:bottom w:val="none" w:sz="0" w:space="0" w:color="auto"/>
            <w:right w:val="none" w:sz="0" w:space="0" w:color="auto"/>
          </w:divBdr>
        </w:div>
        <w:div w:id="1273509842">
          <w:marLeft w:val="0"/>
          <w:marRight w:val="0"/>
          <w:marTop w:val="0"/>
          <w:marBottom w:val="0"/>
          <w:divBdr>
            <w:top w:val="none" w:sz="0" w:space="0" w:color="auto"/>
            <w:left w:val="none" w:sz="0" w:space="0" w:color="auto"/>
            <w:bottom w:val="none" w:sz="0" w:space="0" w:color="auto"/>
            <w:right w:val="none" w:sz="0" w:space="0" w:color="auto"/>
          </w:divBdr>
        </w:div>
        <w:div w:id="1283224639">
          <w:marLeft w:val="0"/>
          <w:marRight w:val="0"/>
          <w:marTop w:val="0"/>
          <w:marBottom w:val="0"/>
          <w:divBdr>
            <w:top w:val="none" w:sz="0" w:space="0" w:color="auto"/>
            <w:left w:val="none" w:sz="0" w:space="0" w:color="auto"/>
            <w:bottom w:val="none" w:sz="0" w:space="0" w:color="auto"/>
            <w:right w:val="none" w:sz="0" w:space="0" w:color="auto"/>
          </w:divBdr>
        </w:div>
        <w:div w:id="1310093128">
          <w:marLeft w:val="0"/>
          <w:marRight w:val="0"/>
          <w:marTop w:val="0"/>
          <w:marBottom w:val="0"/>
          <w:divBdr>
            <w:top w:val="none" w:sz="0" w:space="0" w:color="auto"/>
            <w:left w:val="none" w:sz="0" w:space="0" w:color="auto"/>
            <w:bottom w:val="none" w:sz="0" w:space="0" w:color="auto"/>
            <w:right w:val="none" w:sz="0" w:space="0" w:color="auto"/>
          </w:divBdr>
        </w:div>
        <w:div w:id="1329677393">
          <w:marLeft w:val="0"/>
          <w:marRight w:val="0"/>
          <w:marTop w:val="0"/>
          <w:marBottom w:val="0"/>
          <w:divBdr>
            <w:top w:val="none" w:sz="0" w:space="0" w:color="auto"/>
            <w:left w:val="none" w:sz="0" w:space="0" w:color="auto"/>
            <w:bottom w:val="none" w:sz="0" w:space="0" w:color="auto"/>
            <w:right w:val="none" w:sz="0" w:space="0" w:color="auto"/>
          </w:divBdr>
        </w:div>
        <w:div w:id="1332833998">
          <w:marLeft w:val="0"/>
          <w:marRight w:val="0"/>
          <w:marTop w:val="0"/>
          <w:marBottom w:val="0"/>
          <w:divBdr>
            <w:top w:val="none" w:sz="0" w:space="0" w:color="auto"/>
            <w:left w:val="none" w:sz="0" w:space="0" w:color="auto"/>
            <w:bottom w:val="none" w:sz="0" w:space="0" w:color="auto"/>
            <w:right w:val="none" w:sz="0" w:space="0" w:color="auto"/>
          </w:divBdr>
        </w:div>
        <w:div w:id="1344548439">
          <w:marLeft w:val="0"/>
          <w:marRight w:val="0"/>
          <w:marTop w:val="0"/>
          <w:marBottom w:val="0"/>
          <w:divBdr>
            <w:top w:val="none" w:sz="0" w:space="0" w:color="auto"/>
            <w:left w:val="none" w:sz="0" w:space="0" w:color="auto"/>
            <w:bottom w:val="none" w:sz="0" w:space="0" w:color="auto"/>
            <w:right w:val="none" w:sz="0" w:space="0" w:color="auto"/>
          </w:divBdr>
        </w:div>
        <w:div w:id="1353260425">
          <w:marLeft w:val="0"/>
          <w:marRight w:val="0"/>
          <w:marTop w:val="0"/>
          <w:marBottom w:val="0"/>
          <w:divBdr>
            <w:top w:val="none" w:sz="0" w:space="0" w:color="auto"/>
            <w:left w:val="none" w:sz="0" w:space="0" w:color="auto"/>
            <w:bottom w:val="none" w:sz="0" w:space="0" w:color="auto"/>
            <w:right w:val="none" w:sz="0" w:space="0" w:color="auto"/>
          </w:divBdr>
          <w:divsChild>
            <w:div w:id="182788051">
              <w:marLeft w:val="0"/>
              <w:marRight w:val="0"/>
              <w:marTop w:val="0"/>
              <w:marBottom w:val="0"/>
              <w:divBdr>
                <w:top w:val="none" w:sz="0" w:space="0" w:color="auto"/>
                <w:left w:val="none" w:sz="0" w:space="0" w:color="auto"/>
                <w:bottom w:val="none" w:sz="0" w:space="0" w:color="auto"/>
                <w:right w:val="none" w:sz="0" w:space="0" w:color="auto"/>
              </w:divBdr>
            </w:div>
            <w:div w:id="392313033">
              <w:marLeft w:val="0"/>
              <w:marRight w:val="0"/>
              <w:marTop w:val="0"/>
              <w:marBottom w:val="0"/>
              <w:divBdr>
                <w:top w:val="none" w:sz="0" w:space="0" w:color="auto"/>
                <w:left w:val="none" w:sz="0" w:space="0" w:color="auto"/>
                <w:bottom w:val="none" w:sz="0" w:space="0" w:color="auto"/>
                <w:right w:val="none" w:sz="0" w:space="0" w:color="auto"/>
              </w:divBdr>
            </w:div>
            <w:div w:id="571428879">
              <w:marLeft w:val="0"/>
              <w:marRight w:val="0"/>
              <w:marTop w:val="0"/>
              <w:marBottom w:val="0"/>
              <w:divBdr>
                <w:top w:val="none" w:sz="0" w:space="0" w:color="auto"/>
                <w:left w:val="none" w:sz="0" w:space="0" w:color="auto"/>
                <w:bottom w:val="none" w:sz="0" w:space="0" w:color="auto"/>
                <w:right w:val="none" w:sz="0" w:space="0" w:color="auto"/>
              </w:divBdr>
            </w:div>
            <w:div w:id="1907034883">
              <w:marLeft w:val="0"/>
              <w:marRight w:val="0"/>
              <w:marTop w:val="0"/>
              <w:marBottom w:val="0"/>
              <w:divBdr>
                <w:top w:val="none" w:sz="0" w:space="0" w:color="auto"/>
                <w:left w:val="none" w:sz="0" w:space="0" w:color="auto"/>
                <w:bottom w:val="none" w:sz="0" w:space="0" w:color="auto"/>
                <w:right w:val="none" w:sz="0" w:space="0" w:color="auto"/>
              </w:divBdr>
            </w:div>
            <w:div w:id="2104448595">
              <w:marLeft w:val="0"/>
              <w:marRight w:val="0"/>
              <w:marTop w:val="0"/>
              <w:marBottom w:val="0"/>
              <w:divBdr>
                <w:top w:val="none" w:sz="0" w:space="0" w:color="auto"/>
                <w:left w:val="none" w:sz="0" w:space="0" w:color="auto"/>
                <w:bottom w:val="none" w:sz="0" w:space="0" w:color="auto"/>
                <w:right w:val="none" w:sz="0" w:space="0" w:color="auto"/>
              </w:divBdr>
            </w:div>
          </w:divsChild>
        </w:div>
        <w:div w:id="1365861123">
          <w:marLeft w:val="0"/>
          <w:marRight w:val="0"/>
          <w:marTop w:val="0"/>
          <w:marBottom w:val="0"/>
          <w:divBdr>
            <w:top w:val="none" w:sz="0" w:space="0" w:color="auto"/>
            <w:left w:val="none" w:sz="0" w:space="0" w:color="auto"/>
            <w:bottom w:val="none" w:sz="0" w:space="0" w:color="auto"/>
            <w:right w:val="none" w:sz="0" w:space="0" w:color="auto"/>
          </w:divBdr>
        </w:div>
        <w:div w:id="1371952550">
          <w:marLeft w:val="0"/>
          <w:marRight w:val="0"/>
          <w:marTop w:val="0"/>
          <w:marBottom w:val="0"/>
          <w:divBdr>
            <w:top w:val="none" w:sz="0" w:space="0" w:color="auto"/>
            <w:left w:val="none" w:sz="0" w:space="0" w:color="auto"/>
            <w:bottom w:val="none" w:sz="0" w:space="0" w:color="auto"/>
            <w:right w:val="none" w:sz="0" w:space="0" w:color="auto"/>
          </w:divBdr>
        </w:div>
        <w:div w:id="1391686870">
          <w:marLeft w:val="0"/>
          <w:marRight w:val="0"/>
          <w:marTop w:val="0"/>
          <w:marBottom w:val="0"/>
          <w:divBdr>
            <w:top w:val="none" w:sz="0" w:space="0" w:color="auto"/>
            <w:left w:val="none" w:sz="0" w:space="0" w:color="auto"/>
            <w:bottom w:val="none" w:sz="0" w:space="0" w:color="auto"/>
            <w:right w:val="none" w:sz="0" w:space="0" w:color="auto"/>
          </w:divBdr>
          <w:divsChild>
            <w:div w:id="1082138441">
              <w:marLeft w:val="-75"/>
              <w:marRight w:val="0"/>
              <w:marTop w:val="30"/>
              <w:marBottom w:val="30"/>
              <w:divBdr>
                <w:top w:val="none" w:sz="0" w:space="0" w:color="auto"/>
                <w:left w:val="none" w:sz="0" w:space="0" w:color="auto"/>
                <w:bottom w:val="none" w:sz="0" w:space="0" w:color="auto"/>
                <w:right w:val="none" w:sz="0" w:space="0" w:color="auto"/>
              </w:divBdr>
              <w:divsChild>
                <w:div w:id="34278547">
                  <w:marLeft w:val="0"/>
                  <w:marRight w:val="0"/>
                  <w:marTop w:val="0"/>
                  <w:marBottom w:val="0"/>
                  <w:divBdr>
                    <w:top w:val="none" w:sz="0" w:space="0" w:color="auto"/>
                    <w:left w:val="none" w:sz="0" w:space="0" w:color="auto"/>
                    <w:bottom w:val="none" w:sz="0" w:space="0" w:color="auto"/>
                    <w:right w:val="none" w:sz="0" w:space="0" w:color="auto"/>
                  </w:divBdr>
                  <w:divsChild>
                    <w:div w:id="1317761239">
                      <w:marLeft w:val="0"/>
                      <w:marRight w:val="0"/>
                      <w:marTop w:val="0"/>
                      <w:marBottom w:val="0"/>
                      <w:divBdr>
                        <w:top w:val="none" w:sz="0" w:space="0" w:color="auto"/>
                        <w:left w:val="none" w:sz="0" w:space="0" w:color="auto"/>
                        <w:bottom w:val="none" w:sz="0" w:space="0" w:color="auto"/>
                        <w:right w:val="none" w:sz="0" w:space="0" w:color="auto"/>
                      </w:divBdr>
                    </w:div>
                  </w:divsChild>
                </w:div>
                <w:div w:id="186719747">
                  <w:marLeft w:val="0"/>
                  <w:marRight w:val="0"/>
                  <w:marTop w:val="0"/>
                  <w:marBottom w:val="0"/>
                  <w:divBdr>
                    <w:top w:val="none" w:sz="0" w:space="0" w:color="auto"/>
                    <w:left w:val="none" w:sz="0" w:space="0" w:color="auto"/>
                    <w:bottom w:val="none" w:sz="0" w:space="0" w:color="auto"/>
                    <w:right w:val="none" w:sz="0" w:space="0" w:color="auto"/>
                  </w:divBdr>
                  <w:divsChild>
                    <w:div w:id="678196663">
                      <w:marLeft w:val="0"/>
                      <w:marRight w:val="0"/>
                      <w:marTop w:val="0"/>
                      <w:marBottom w:val="0"/>
                      <w:divBdr>
                        <w:top w:val="none" w:sz="0" w:space="0" w:color="auto"/>
                        <w:left w:val="none" w:sz="0" w:space="0" w:color="auto"/>
                        <w:bottom w:val="none" w:sz="0" w:space="0" w:color="auto"/>
                        <w:right w:val="none" w:sz="0" w:space="0" w:color="auto"/>
                      </w:divBdr>
                    </w:div>
                  </w:divsChild>
                </w:div>
                <w:div w:id="331683064">
                  <w:marLeft w:val="0"/>
                  <w:marRight w:val="0"/>
                  <w:marTop w:val="0"/>
                  <w:marBottom w:val="0"/>
                  <w:divBdr>
                    <w:top w:val="none" w:sz="0" w:space="0" w:color="auto"/>
                    <w:left w:val="none" w:sz="0" w:space="0" w:color="auto"/>
                    <w:bottom w:val="none" w:sz="0" w:space="0" w:color="auto"/>
                    <w:right w:val="none" w:sz="0" w:space="0" w:color="auto"/>
                  </w:divBdr>
                  <w:divsChild>
                    <w:div w:id="1460957199">
                      <w:marLeft w:val="0"/>
                      <w:marRight w:val="0"/>
                      <w:marTop w:val="0"/>
                      <w:marBottom w:val="0"/>
                      <w:divBdr>
                        <w:top w:val="none" w:sz="0" w:space="0" w:color="auto"/>
                        <w:left w:val="none" w:sz="0" w:space="0" w:color="auto"/>
                        <w:bottom w:val="none" w:sz="0" w:space="0" w:color="auto"/>
                        <w:right w:val="none" w:sz="0" w:space="0" w:color="auto"/>
                      </w:divBdr>
                    </w:div>
                  </w:divsChild>
                </w:div>
                <w:div w:id="363405341">
                  <w:marLeft w:val="0"/>
                  <w:marRight w:val="0"/>
                  <w:marTop w:val="0"/>
                  <w:marBottom w:val="0"/>
                  <w:divBdr>
                    <w:top w:val="none" w:sz="0" w:space="0" w:color="auto"/>
                    <w:left w:val="none" w:sz="0" w:space="0" w:color="auto"/>
                    <w:bottom w:val="none" w:sz="0" w:space="0" w:color="auto"/>
                    <w:right w:val="none" w:sz="0" w:space="0" w:color="auto"/>
                  </w:divBdr>
                  <w:divsChild>
                    <w:div w:id="1708681964">
                      <w:marLeft w:val="0"/>
                      <w:marRight w:val="0"/>
                      <w:marTop w:val="0"/>
                      <w:marBottom w:val="0"/>
                      <w:divBdr>
                        <w:top w:val="none" w:sz="0" w:space="0" w:color="auto"/>
                        <w:left w:val="none" w:sz="0" w:space="0" w:color="auto"/>
                        <w:bottom w:val="none" w:sz="0" w:space="0" w:color="auto"/>
                        <w:right w:val="none" w:sz="0" w:space="0" w:color="auto"/>
                      </w:divBdr>
                    </w:div>
                  </w:divsChild>
                </w:div>
                <w:div w:id="381249588">
                  <w:marLeft w:val="0"/>
                  <w:marRight w:val="0"/>
                  <w:marTop w:val="0"/>
                  <w:marBottom w:val="0"/>
                  <w:divBdr>
                    <w:top w:val="none" w:sz="0" w:space="0" w:color="auto"/>
                    <w:left w:val="none" w:sz="0" w:space="0" w:color="auto"/>
                    <w:bottom w:val="none" w:sz="0" w:space="0" w:color="auto"/>
                    <w:right w:val="none" w:sz="0" w:space="0" w:color="auto"/>
                  </w:divBdr>
                  <w:divsChild>
                    <w:div w:id="214631608">
                      <w:marLeft w:val="0"/>
                      <w:marRight w:val="0"/>
                      <w:marTop w:val="0"/>
                      <w:marBottom w:val="0"/>
                      <w:divBdr>
                        <w:top w:val="none" w:sz="0" w:space="0" w:color="auto"/>
                        <w:left w:val="none" w:sz="0" w:space="0" w:color="auto"/>
                        <w:bottom w:val="none" w:sz="0" w:space="0" w:color="auto"/>
                        <w:right w:val="none" w:sz="0" w:space="0" w:color="auto"/>
                      </w:divBdr>
                    </w:div>
                  </w:divsChild>
                </w:div>
                <w:div w:id="404881630">
                  <w:marLeft w:val="0"/>
                  <w:marRight w:val="0"/>
                  <w:marTop w:val="0"/>
                  <w:marBottom w:val="0"/>
                  <w:divBdr>
                    <w:top w:val="none" w:sz="0" w:space="0" w:color="auto"/>
                    <w:left w:val="none" w:sz="0" w:space="0" w:color="auto"/>
                    <w:bottom w:val="none" w:sz="0" w:space="0" w:color="auto"/>
                    <w:right w:val="none" w:sz="0" w:space="0" w:color="auto"/>
                  </w:divBdr>
                  <w:divsChild>
                    <w:div w:id="155650813">
                      <w:marLeft w:val="0"/>
                      <w:marRight w:val="0"/>
                      <w:marTop w:val="0"/>
                      <w:marBottom w:val="0"/>
                      <w:divBdr>
                        <w:top w:val="none" w:sz="0" w:space="0" w:color="auto"/>
                        <w:left w:val="none" w:sz="0" w:space="0" w:color="auto"/>
                        <w:bottom w:val="none" w:sz="0" w:space="0" w:color="auto"/>
                        <w:right w:val="none" w:sz="0" w:space="0" w:color="auto"/>
                      </w:divBdr>
                    </w:div>
                  </w:divsChild>
                </w:div>
                <w:div w:id="646210198">
                  <w:marLeft w:val="0"/>
                  <w:marRight w:val="0"/>
                  <w:marTop w:val="0"/>
                  <w:marBottom w:val="0"/>
                  <w:divBdr>
                    <w:top w:val="none" w:sz="0" w:space="0" w:color="auto"/>
                    <w:left w:val="none" w:sz="0" w:space="0" w:color="auto"/>
                    <w:bottom w:val="none" w:sz="0" w:space="0" w:color="auto"/>
                    <w:right w:val="none" w:sz="0" w:space="0" w:color="auto"/>
                  </w:divBdr>
                  <w:divsChild>
                    <w:div w:id="57410691">
                      <w:marLeft w:val="0"/>
                      <w:marRight w:val="0"/>
                      <w:marTop w:val="0"/>
                      <w:marBottom w:val="0"/>
                      <w:divBdr>
                        <w:top w:val="none" w:sz="0" w:space="0" w:color="auto"/>
                        <w:left w:val="none" w:sz="0" w:space="0" w:color="auto"/>
                        <w:bottom w:val="none" w:sz="0" w:space="0" w:color="auto"/>
                        <w:right w:val="none" w:sz="0" w:space="0" w:color="auto"/>
                      </w:divBdr>
                    </w:div>
                  </w:divsChild>
                </w:div>
                <w:div w:id="748962052">
                  <w:marLeft w:val="0"/>
                  <w:marRight w:val="0"/>
                  <w:marTop w:val="0"/>
                  <w:marBottom w:val="0"/>
                  <w:divBdr>
                    <w:top w:val="none" w:sz="0" w:space="0" w:color="auto"/>
                    <w:left w:val="none" w:sz="0" w:space="0" w:color="auto"/>
                    <w:bottom w:val="none" w:sz="0" w:space="0" w:color="auto"/>
                    <w:right w:val="none" w:sz="0" w:space="0" w:color="auto"/>
                  </w:divBdr>
                  <w:divsChild>
                    <w:div w:id="2040660930">
                      <w:marLeft w:val="0"/>
                      <w:marRight w:val="0"/>
                      <w:marTop w:val="0"/>
                      <w:marBottom w:val="0"/>
                      <w:divBdr>
                        <w:top w:val="none" w:sz="0" w:space="0" w:color="auto"/>
                        <w:left w:val="none" w:sz="0" w:space="0" w:color="auto"/>
                        <w:bottom w:val="none" w:sz="0" w:space="0" w:color="auto"/>
                        <w:right w:val="none" w:sz="0" w:space="0" w:color="auto"/>
                      </w:divBdr>
                    </w:div>
                  </w:divsChild>
                </w:div>
                <w:div w:id="758986955">
                  <w:marLeft w:val="0"/>
                  <w:marRight w:val="0"/>
                  <w:marTop w:val="0"/>
                  <w:marBottom w:val="0"/>
                  <w:divBdr>
                    <w:top w:val="none" w:sz="0" w:space="0" w:color="auto"/>
                    <w:left w:val="none" w:sz="0" w:space="0" w:color="auto"/>
                    <w:bottom w:val="none" w:sz="0" w:space="0" w:color="auto"/>
                    <w:right w:val="none" w:sz="0" w:space="0" w:color="auto"/>
                  </w:divBdr>
                  <w:divsChild>
                    <w:div w:id="1283079050">
                      <w:marLeft w:val="0"/>
                      <w:marRight w:val="0"/>
                      <w:marTop w:val="0"/>
                      <w:marBottom w:val="0"/>
                      <w:divBdr>
                        <w:top w:val="none" w:sz="0" w:space="0" w:color="auto"/>
                        <w:left w:val="none" w:sz="0" w:space="0" w:color="auto"/>
                        <w:bottom w:val="none" w:sz="0" w:space="0" w:color="auto"/>
                        <w:right w:val="none" w:sz="0" w:space="0" w:color="auto"/>
                      </w:divBdr>
                    </w:div>
                  </w:divsChild>
                </w:div>
                <w:div w:id="763500377">
                  <w:marLeft w:val="0"/>
                  <w:marRight w:val="0"/>
                  <w:marTop w:val="0"/>
                  <w:marBottom w:val="0"/>
                  <w:divBdr>
                    <w:top w:val="none" w:sz="0" w:space="0" w:color="auto"/>
                    <w:left w:val="none" w:sz="0" w:space="0" w:color="auto"/>
                    <w:bottom w:val="none" w:sz="0" w:space="0" w:color="auto"/>
                    <w:right w:val="none" w:sz="0" w:space="0" w:color="auto"/>
                  </w:divBdr>
                  <w:divsChild>
                    <w:div w:id="399139197">
                      <w:marLeft w:val="0"/>
                      <w:marRight w:val="0"/>
                      <w:marTop w:val="0"/>
                      <w:marBottom w:val="0"/>
                      <w:divBdr>
                        <w:top w:val="none" w:sz="0" w:space="0" w:color="auto"/>
                        <w:left w:val="none" w:sz="0" w:space="0" w:color="auto"/>
                        <w:bottom w:val="none" w:sz="0" w:space="0" w:color="auto"/>
                        <w:right w:val="none" w:sz="0" w:space="0" w:color="auto"/>
                      </w:divBdr>
                    </w:div>
                  </w:divsChild>
                </w:div>
                <w:div w:id="770735511">
                  <w:marLeft w:val="0"/>
                  <w:marRight w:val="0"/>
                  <w:marTop w:val="0"/>
                  <w:marBottom w:val="0"/>
                  <w:divBdr>
                    <w:top w:val="none" w:sz="0" w:space="0" w:color="auto"/>
                    <w:left w:val="none" w:sz="0" w:space="0" w:color="auto"/>
                    <w:bottom w:val="none" w:sz="0" w:space="0" w:color="auto"/>
                    <w:right w:val="none" w:sz="0" w:space="0" w:color="auto"/>
                  </w:divBdr>
                  <w:divsChild>
                    <w:div w:id="1758213098">
                      <w:marLeft w:val="0"/>
                      <w:marRight w:val="0"/>
                      <w:marTop w:val="0"/>
                      <w:marBottom w:val="0"/>
                      <w:divBdr>
                        <w:top w:val="none" w:sz="0" w:space="0" w:color="auto"/>
                        <w:left w:val="none" w:sz="0" w:space="0" w:color="auto"/>
                        <w:bottom w:val="none" w:sz="0" w:space="0" w:color="auto"/>
                        <w:right w:val="none" w:sz="0" w:space="0" w:color="auto"/>
                      </w:divBdr>
                    </w:div>
                  </w:divsChild>
                </w:div>
                <w:div w:id="839465868">
                  <w:marLeft w:val="0"/>
                  <w:marRight w:val="0"/>
                  <w:marTop w:val="0"/>
                  <w:marBottom w:val="0"/>
                  <w:divBdr>
                    <w:top w:val="none" w:sz="0" w:space="0" w:color="auto"/>
                    <w:left w:val="none" w:sz="0" w:space="0" w:color="auto"/>
                    <w:bottom w:val="none" w:sz="0" w:space="0" w:color="auto"/>
                    <w:right w:val="none" w:sz="0" w:space="0" w:color="auto"/>
                  </w:divBdr>
                  <w:divsChild>
                    <w:div w:id="1119490771">
                      <w:marLeft w:val="0"/>
                      <w:marRight w:val="0"/>
                      <w:marTop w:val="0"/>
                      <w:marBottom w:val="0"/>
                      <w:divBdr>
                        <w:top w:val="none" w:sz="0" w:space="0" w:color="auto"/>
                        <w:left w:val="none" w:sz="0" w:space="0" w:color="auto"/>
                        <w:bottom w:val="none" w:sz="0" w:space="0" w:color="auto"/>
                        <w:right w:val="none" w:sz="0" w:space="0" w:color="auto"/>
                      </w:divBdr>
                    </w:div>
                  </w:divsChild>
                </w:div>
                <w:div w:id="886995253">
                  <w:marLeft w:val="0"/>
                  <w:marRight w:val="0"/>
                  <w:marTop w:val="0"/>
                  <w:marBottom w:val="0"/>
                  <w:divBdr>
                    <w:top w:val="none" w:sz="0" w:space="0" w:color="auto"/>
                    <w:left w:val="none" w:sz="0" w:space="0" w:color="auto"/>
                    <w:bottom w:val="none" w:sz="0" w:space="0" w:color="auto"/>
                    <w:right w:val="none" w:sz="0" w:space="0" w:color="auto"/>
                  </w:divBdr>
                  <w:divsChild>
                    <w:div w:id="307440818">
                      <w:marLeft w:val="0"/>
                      <w:marRight w:val="0"/>
                      <w:marTop w:val="0"/>
                      <w:marBottom w:val="0"/>
                      <w:divBdr>
                        <w:top w:val="none" w:sz="0" w:space="0" w:color="auto"/>
                        <w:left w:val="none" w:sz="0" w:space="0" w:color="auto"/>
                        <w:bottom w:val="none" w:sz="0" w:space="0" w:color="auto"/>
                        <w:right w:val="none" w:sz="0" w:space="0" w:color="auto"/>
                      </w:divBdr>
                    </w:div>
                  </w:divsChild>
                </w:div>
                <w:div w:id="1020863023">
                  <w:marLeft w:val="0"/>
                  <w:marRight w:val="0"/>
                  <w:marTop w:val="0"/>
                  <w:marBottom w:val="0"/>
                  <w:divBdr>
                    <w:top w:val="none" w:sz="0" w:space="0" w:color="auto"/>
                    <w:left w:val="none" w:sz="0" w:space="0" w:color="auto"/>
                    <w:bottom w:val="none" w:sz="0" w:space="0" w:color="auto"/>
                    <w:right w:val="none" w:sz="0" w:space="0" w:color="auto"/>
                  </w:divBdr>
                  <w:divsChild>
                    <w:div w:id="1557467983">
                      <w:marLeft w:val="0"/>
                      <w:marRight w:val="0"/>
                      <w:marTop w:val="0"/>
                      <w:marBottom w:val="0"/>
                      <w:divBdr>
                        <w:top w:val="none" w:sz="0" w:space="0" w:color="auto"/>
                        <w:left w:val="none" w:sz="0" w:space="0" w:color="auto"/>
                        <w:bottom w:val="none" w:sz="0" w:space="0" w:color="auto"/>
                        <w:right w:val="none" w:sz="0" w:space="0" w:color="auto"/>
                      </w:divBdr>
                    </w:div>
                  </w:divsChild>
                </w:div>
                <w:div w:id="1111047330">
                  <w:marLeft w:val="0"/>
                  <w:marRight w:val="0"/>
                  <w:marTop w:val="0"/>
                  <w:marBottom w:val="0"/>
                  <w:divBdr>
                    <w:top w:val="none" w:sz="0" w:space="0" w:color="auto"/>
                    <w:left w:val="none" w:sz="0" w:space="0" w:color="auto"/>
                    <w:bottom w:val="none" w:sz="0" w:space="0" w:color="auto"/>
                    <w:right w:val="none" w:sz="0" w:space="0" w:color="auto"/>
                  </w:divBdr>
                  <w:divsChild>
                    <w:div w:id="1791583988">
                      <w:marLeft w:val="0"/>
                      <w:marRight w:val="0"/>
                      <w:marTop w:val="0"/>
                      <w:marBottom w:val="0"/>
                      <w:divBdr>
                        <w:top w:val="none" w:sz="0" w:space="0" w:color="auto"/>
                        <w:left w:val="none" w:sz="0" w:space="0" w:color="auto"/>
                        <w:bottom w:val="none" w:sz="0" w:space="0" w:color="auto"/>
                        <w:right w:val="none" w:sz="0" w:space="0" w:color="auto"/>
                      </w:divBdr>
                    </w:div>
                  </w:divsChild>
                </w:div>
                <w:div w:id="1112021122">
                  <w:marLeft w:val="0"/>
                  <w:marRight w:val="0"/>
                  <w:marTop w:val="0"/>
                  <w:marBottom w:val="0"/>
                  <w:divBdr>
                    <w:top w:val="none" w:sz="0" w:space="0" w:color="auto"/>
                    <w:left w:val="none" w:sz="0" w:space="0" w:color="auto"/>
                    <w:bottom w:val="none" w:sz="0" w:space="0" w:color="auto"/>
                    <w:right w:val="none" w:sz="0" w:space="0" w:color="auto"/>
                  </w:divBdr>
                  <w:divsChild>
                    <w:div w:id="821459771">
                      <w:marLeft w:val="0"/>
                      <w:marRight w:val="0"/>
                      <w:marTop w:val="0"/>
                      <w:marBottom w:val="0"/>
                      <w:divBdr>
                        <w:top w:val="none" w:sz="0" w:space="0" w:color="auto"/>
                        <w:left w:val="none" w:sz="0" w:space="0" w:color="auto"/>
                        <w:bottom w:val="none" w:sz="0" w:space="0" w:color="auto"/>
                        <w:right w:val="none" w:sz="0" w:space="0" w:color="auto"/>
                      </w:divBdr>
                    </w:div>
                  </w:divsChild>
                </w:div>
                <w:div w:id="1139611359">
                  <w:marLeft w:val="0"/>
                  <w:marRight w:val="0"/>
                  <w:marTop w:val="0"/>
                  <w:marBottom w:val="0"/>
                  <w:divBdr>
                    <w:top w:val="none" w:sz="0" w:space="0" w:color="auto"/>
                    <w:left w:val="none" w:sz="0" w:space="0" w:color="auto"/>
                    <w:bottom w:val="none" w:sz="0" w:space="0" w:color="auto"/>
                    <w:right w:val="none" w:sz="0" w:space="0" w:color="auto"/>
                  </w:divBdr>
                  <w:divsChild>
                    <w:div w:id="1225407714">
                      <w:marLeft w:val="0"/>
                      <w:marRight w:val="0"/>
                      <w:marTop w:val="0"/>
                      <w:marBottom w:val="0"/>
                      <w:divBdr>
                        <w:top w:val="none" w:sz="0" w:space="0" w:color="auto"/>
                        <w:left w:val="none" w:sz="0" w:space="0" w:color="auto"/>
                        <w:bottom w:val="none" w:sz="0" w:space="0" w:color="auto"/>
                        <w:right w:val="none" w:sz="0" w:space="0" w:color="auto"/>
                      </w:divBdr>
                    </w:div>
                  </w:divsChild>
                </w:div>
                <w:div w:id="1182473254">
                  <w:marLeft w:val="0"/>
                  <w:marRight w:val="0"/>
                  <w:marTop w:val="0"/>
                  <w:marBottom w:val="0"/>
                  <w:divBdr>
                    <w:top w:val="none" w:sz="0" w:space="0" w:color="auto"/>
                    <w:left w:val="none" w:sz="0" w:space="0" w:color="auto"/>
                    <w:bottom w:val="none" w:sz="0" w:space="0" w:color="auto"/>
                    <w:right w:val="none" w:sz="0" w:space="0" w:color="auto"/>
                  </w:divBdr>
                  <w:divsChild>
                    <w:div w:id="2039701065">
                      <w:marLeft w:val="0"/>
                      <w:marRight w:val="0"/>
                      <w:marTop w:val="0"/>
                      <w:marBottom w:val="0"/>
                      <w:divBdr>
                        <w:top w:val="none" w:sz="0" w:space="0" w:color="auto"/>
                        <w:left w:val="none" w:sz="0" w:space="0" w:color="auto"/>
                        <w:bottom w:val="none" w:sz="0" w:space="0" w:color="auto"/>
                        <w:right w:val="none" w:sz="0" w:space="0" w:color="auto"/>
                      </w:divBdr>
                    </w:div>
                  </w:divsChild>
                </w:div>
                <w:div w:id="1249390229">
                  <w:marLeft w:val="0"/>
                  <w:marRight w:val="0"/>
                  <w:marTop w:val="0"/>
                  <w:marBottom w:val="0"/>
                  <w:divBdr>
                    <w:top w:val="none" w:sz="0" w:space="0" w:color="auto"/>
                    <w:left w:val="none" w:sz="0" w:space="0" w:color="auto"/>
                    <w:bottom w:val="none" w:sz="0" w:space="0" w:color="auto"/>
                    <w:right w:val="none" w:sz="0" w:space="0" w:color="auto"/>
                  </w:divBdr>
                  <w:divsChild>
                    <w:div w:id="400717614">
                      <w:marLeft w:val="0"/>
                      <w:marRight w:val="0"/>
                      <w:marTop w:val="0"/>
                      <w:marBottom w:val="0"/>
                      <w:divBdr>
                        <w:top w:val="none" w:sz="0" w:space="0" w:color="auto"/>
                        <w:left w:val="none" w:sz="0" w:space="0" w:color="auto"/>
                        <w:bottom w:val="none" w:sz="0" w:space="0" w:color="auto"/>
                        <w:right w:val="none" w:sz="0" w:space="0" w:color="auto"/>
                      </w:divBdr>
                    </w:div>
                  </w:divsChild>
                </w:div>
                <w:div w:id="1404989114">
                  <w:marLeft w:val="0"/>
                  <w:marRight w:val="0"/>
                  <w:marTop w:val="0"/>
                  <w:marBottom w:val="0"/>
                  <w:divBdr>
                    <w:top w:val="none" w:sz="0" w:space="0" w:color="auto"/>
                    <w:left w:val="none" w:sz="0" w:space="0" w:color="auto"/>
                    <w:bottom w:val="none" w:sz="0" w:space="0" w:color="auto"/>
                    <w:right w:val="none" w:sz="0" w:space="0" w:color="auto"/>
                  </w:divBdr>
                  <w:divsChild>
                    <w:div w:id="1690179631">
                      <w:marLeft w:val="0"/>
                      <w:marRight w:val="0"/>
                      <w:marTop w:val="0"/>
                      <w:marBottom w:val="0"/>
                      <w:divBdr>
                        <w:top w:val="none" w:sz="0" w:space="0" w:color="auto"/>
                        <w:left w:val="none" w:sz="0" w:space="0" w:color="auto"/>
                        <w:bottom w:val="none" w:sz="0" w:space="0" w:color="auto"/>
                        <w:right w:val="none" w:sz="0" w:space="0" w:color="auto"/>
                      </w:divBdr>
                    </w:div>
                  </w:divsChild>
                </w:div>
                <w:div w:id="1634561244">
                  <w:marLeft w:val="0"/>
                  <w:marRight w:val="0"/>
                  <w:marTop w:val="0"/>
                  <w:marBottom w:val="0"/>
                  <w:divBdr>
                    <w:top w:val="none" w:sz="0" w:space="0" w:color="auto"/>
                    <w:left w:val="none" w:sz="0" w:space="0" w:color="auto"/>
                    <w:bottom w:val="none" w:sz="0" w:space="0" w:color="auto"/>
                    <w:right w:val="none" w:sz="0" w:space="0" w:color="auto"/>
                  </w:divBdr>
                  <w:divsChild>
                    <w:div w:id="16781339">
                      <w:marLeft w:val="0"/>
                      <w:marRight w:val="0"/>
                      <w:marTop w:val="0"/>
                      <w:marBottom w:val="0"/>
                      <w:divBdr>
                        <w:top w:val="none" w:sz="0" w:space="0" w:color="auto"/>
                        <w:left w:val="none" w:sz="0" w:space="0" w:color="auto"/>
                        <w:bottom w:val="none" w:sz="0" w:space="0" w:color="auto"/>
                        <w:right w:val="none" w:sz="0" w:space="0" w:color="auto"/>
                      </w:divBdr>
                    </w:div>
                  </w:divsChild>
                </w:div>
                <w:div w:id="1686517931">
                  <w:marLeft w:val="0"/>
                  <w:marRight w:val="0"/>
                  <w:marTop w:val="0"/>
                  <w:marBottom w:val="0"/>
                  <w:divBdr>
                    <w:top w:val="none" w:sz="0" w:space="0" w:color="auto"/>
                    <w:left w:val="none" w:sz="0" w:space="0" w:color="auto"/>
                    <w:bottom w:val="none" w:sz="0" w:space="0" w:color="auto"/>
                    <w:right w:val="none" w:sz="0" w:space="0" w:color="auto"/>
                  </w:divBdr>
                  <w:divsChild>
                    <w:div w:id="602734968">
                      <w:marLeft w:val="0"/>
                      <w:marRight w:val="0"/>
                      <w:marTop w:val="0"/>
                      <w:marBottom w:val="0"/>
                      <w:divBdr>
                        <w:top w:val="none" w:sz="0" w:space="0" w:color="auto"/>
                        <w:left w:val="none" w:sz="0" w:space="0" w:color="auto"/>
                        <w:bottom w:val="none" w:sz="0" w:space="0" w:color="auto"/>
                        <w:right w:val="none" w:sz="0" w:space="0" w:color="auto"/>
                      </w:divBdr>
                    </w:div>
                  </w:divsChild>
                </w:div>
                <w:div w:id="1735467756">
                  <w:marLeft w:val="0"/>
                  <w:marRight w:val="0"/>
                  <w:marTop w:val="0"/>
                  <w:marBottom w:val="0"/>
                  <w:divBdr>
                    <w:top w:val="none" w:sz="0" w:space="0" w:color="auto"/>
                    <w:left w:val="none" w:sz="0" w:space="0" w:color="auto"/>
                    <w:bottom w:val="none" w:sz="0" w:space="0" w:color="auto"/>
                    <w:right w:val="none" w:sz="0" w:space="0" w:color="auto"/>
                  </w:divBdr>
                  <w:divsChild>
                    <w:div w:id="1155024900">
                      <w:marLeft w:val="0"/>
                      <w:marRight w:val="0"/>
                      <w:marTop w:val="0"/>
                      <w:marBottom w:val="0"/>
                      <w:divBdr>
                        <w:top w:val="none" w:sz="0" w:space="0" w:color="auto"/>
                        <w:left w:val="none" w:sz="0" w:space="0" w:color="auto"/>
                        <w:bottom w:val="none" w:sz="0" w:space="0" w:color="auto"/>
                        <w:right w:val="none" w:sz="0" w:space="0" w:color="auto"/>
                      </w:divBdr>
                    </w:div>
                  </w:divsChild>
                </w:div>
                <w:div w:id="1833715439">
                  <w:marLeft w:val="0"/>
                  <w:marRight w:val="0"/>
                  <w:marTop w:val="0"/>
                  <w:marBottom w:val="0"/>
                  <w:divBdr>
                    <w:top w:val="none" w:sz="0" w:space="0" w:color="auto"/>
                    <w:left w:val="none" w:sz="0" w:space="0" w:color="auto"/>
                    <w:bottom w:val="none" w:sz="0" w:space="0" w:color="auto"/>
                    <w:right w:val="none" w:sz="0" w:space="0" w:color="auto"/>
                  </w:divBdr>
                  <w:divsChild>
                    <w:div w:id="2009289797">
                      <w:marLeft w:val="0"/>
                      <w:marRight w:val="0"/>
                      <w:marTop w:val="0"/>
                      <w:marBottom w:val="0"/>
                      <w:divBdr>
                        <w:top w:val="none" w:sz="0" w:space="0" w:color="auto"/>
                        <w:left w:val="none" w:sz="0" w:space="0" w:color="auto"/>
                        <w:bottom w:val="none" w:sz="0" w:space="0" w:color="auto"/>
                        <w:right w:val="none" w:sz="0" w:space="0" w:color="auto"/>
                      </w:divBdr>
                    </w:div>
                  </w:divsChild>
                </w:div>
                <w:div w:id="1905722966">
                  <w:marLeft w:val="0"/>
                  <w:marRight w:val="0"/>
                  <w:marTop w:val="0"/>
                  <w:marBottom w:val="0"/>
                  <w:divBdr>
                    <w:top w:val="none" w:sz="0" w:space="0" w:color="auto"/>
                    <w:left w:val="none" w:sz="0" w:space="0" w:color="auto"/>
                    <w:bottom w:val="none" w:sz="0" w:space="0" w:color="auto"/>
                    <w:right w:val="none" w:sz="0" w:space="0" w:color="auto"/>
                  </w:divBdr>
                  <w:divsChild>
                    <w:div w:id="35959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7853">
          <w:marLeft w:val="0"/>
          <w:marRight w:val="0"/>
          <w:marTop w:val="0"/>
          <w:marBottom w:val="0"/>
          <w:divBdr>
            <w:top w:val="none" w:sz="0" w:space="0" w:color="auto"/>
            <w:left w:val="none" w:sz="0" w:space="0" w:color="auto"/>
            <w:bottom w:val="none" w:sz="0" w:space="0" w:color="auto"/>
            <w:right w:val="none" w:sz="0" w:space="0" w:color="auto"/>
          </w:divBdr>
          <w:divsChild>
            <w:div w:id="6911333">
              <w:marLeft w:val="-75"/>
              <w:marRight w:val="0"/>
              <w:marTop w:val="30"/>
              <w:marBottom w:val="30"/>
              <w:divBdr>
                <w:top w:val="none" w:sz="0" w:space="0" w:color="auto"/>
                <w:left w:val="none" w:sz="0" w:space="0" w:color="auto"/>
                <w:bottom w:val="none" w:sz="0" w:space="0" w:color="auto"/>
                <w:right w:val="none" w:sz="0" w:space="0" w:color="auto"/>
              </w:divBdr>
              <w:divsChild>
                <w:div w:id="30998899">
                  <w:marLeft w:val="0"/>
                  <w:marRight w:val="0"/>
                  <w:marTop w:val="0"/>
                  <w:marBottom w:val="0"/>
                  <w:divBdr>
                    <w:top w:val="none" w:sz="0" w:space="0" w:color="auto"/>
                    <w:left w:val="none" w:sz="0" w:space="0" w:color="auto"/>
                    <w:bottom w:val="none" w:sz="0" w:space="0" w:color="auto"/>
                    <w:right w:val="none" w:sz="0" w:space="0" w:color="auto"/>
                  </w:divBdr>
                  <w:divsChild>
                    <w:div w:id="273827043">
                      <w:marLeft w:val="0"/>
                      <w:marRight w:val="0"/>
                      <w:marTop w:val="0"/>
                      <w:marBottom w:val="0"/>
                      <w:divBdr>
                        <w:top w:val="none" w:sz="0" w:space="0" w:color="auto"/>
                        <w:left w:val="none" w:sz="0" w:space="0" w:color="auto"/>
                        <w:bottom w:val="none" w:sz="0" w:space="0" w:color="auto"/>
                        <w:right w:val="none" w:sz="0" w:space="0" w:color="auto"/>
                      </w:divBdr>
                    </w:div>
                    <w:div w:id="682055281">
                      <w:marLeft w:val="0"/>
                      <w:marRight w:val="0"/>
                      <w:marTop w:val="0"/>
                      <w:marBottom w:val="0"/>
                      <w:divBdr>
                        <w:top w:val="none" w:sz="0" w:space="0" w:color="auto"/>
                        <w:left w:val="none" w:sz="0" w:space="0" w:color="auto"/>
                        <w:bottom w:val="none" w:sz="0" w:space="0" w:color="auto"/>
                        <w:right w:val="none" w:sz="0" w:space="0" w:color="auto"/>
                      </w:divBdr>
                    </w:div>
                    <w:div w:id="1174153093">
                      <w:marLeft w:val="0"/>
                      <w:marRight w:val="0"/>
                      <w:marTop w:val="0"/>
                      <w:marBottom w:val="0"/>
                      <w:divBdr>
                        <w:top w:val="none" w:sz="0" w:space="0" w:color="auto"/>
                        <w:left w:val="none" w:sz="0" w:space="0" w:color="auto"/>
                        <w:bottom w:val="none" w:sz="0" w:space="0" w:color="auto"/>
                        <w:right w:val="none" w:sz="0" w:space="0" w:color="auto"/>
                      </w:divBdr>
                    </w:div>
                    <w:div w:id="1441757880">
                      <w:marLeft w:val="0"/>
                      <w:marRight w:val="0"/>
                      <w:marTop w:val="0"/>
                      <w:marBottom w:val="0"/>
                      <w:divBdr>
                        <w:top w:val="none" w:sz="0" w:space="0" w:color="auto"/>
                        <w:left w:val="none" w:sz="0" w:space="0" w:color="auto"/>
                        <w:bottom w:val="none" w:sz="0" w:space="0" w:color="auto"/>
                        <w:right w:val="none" w:sz="0" w:space="0" w:color="auto"/>
                      </w:divBdr>
                    </w:div>
                  </w:divsChild>
                </w:div>
                <w:div w:id="61877721">
                  <w:marLeft w:val="0"/>
                  <w:marRight w:val="0"/>
                  <w:marTop w:val="0"/>
                  <w:marBottom w:val="0"/>
                  <w:divBdr>
                    <w:top w:val="none" w:sz="0" w:space="0" w:color="auto"/>
                    <w:left w:val="none" w:sz="0" w:space="0" w:color="auto"/>
                    <w:bottom w:val="none" w:sz="0" w:space="0" w:color="auto"/>
                    <w:right w:val="none" w:sz="0" w:space="0" w:color="auto"/>
                  </w:divBdr>
                  <w:divsChild>
                    <w:div w:id="584388035">
                      <w:marLeft w:val="0"/>
                      <w:marRight w:val="0"/>
                      <w:marTop w:val="0"/>
                      <w:marBottom w:val="0"/>
                      <w:divBdr>
                        <w:top w:val="none" w:sz="0" w:space="0" w:color="auto"/>
                        <w:left w:val="none" w:sz="0" w:space="0" w:color="auto"/>
                        <w:bottom w:val="none" w:sz="0" w:space="0" w:color="auto"/>
                        <w:right w:val="none" w:sz="0" w:space="0" w:color="auto"/>
                      </w:divBdr>
                    </w:div>
                  </w:divsChild>
                </w:div>
                <w:div w:id="105004466">
                  <w:marLeft w:val="0"/>
                  <w:marRight w:val="0"/>
                  <w:marTop w:val="0"/>
                  <w:marBottom w:val="0"/>
                  <w:divBdr>
                    <w:top w:val="none" w:sz="0" w:space="0" w:color="auto"/>
                    <w:left w:val="none" w:sz="0" w:space="0" w:color="auto"/>
                    <w:bottom w:val="none" w:sz="0" w:space="0" w:color="auto"/>
                    <w:right w:val="none" w:sz="0" w:space="0" w:color="auto"/>
                  </w:divBdr>
                  <w:divsChild>
                    <w:div w:id="18048217">
                      <w:marLeft w:val="0"/>
                      <w:marRight w:val="0"/>
                      <w:marTop w:val="0"/>
                      <w:marBottom w:val="0"/>
                      <w:divBdr>
                        <w:top w:val="none" w:sz="0" w:space="0" w:color="auto"/>
                        <w:left w:val="none" w:sz="0" w:space="0" w:color="auto"/>
                        <w:bottom w:val="none" w:sz="0" w:space="0" w:color="auto"/>
                        <w:right w:val="none" w:sz="0" w:space="0" w:color="auto"/>
                      </w:divBdr>
                    </w:div>
                    <w:div w:id="1441795473">
                      <w:marLeft w:val="0"/>
                      <w:marRight w:val="0"/>
                      <w:marTop w:val="0"/>
                      <w:marBottom w:val="0"/>
                      <w:divBdr>
                        <w:top w:val="none" w:sz="0" w:space="0" w:color="auto"/>
                        <w:left w:val="none" w:sz="0" w:space="0" w:color="auto"/>
                        <w:bottom w:val="none" w:sz="0" w:space="0" w:color="auto"/>
                        <w:right w:val="none" w:sz="0" w:space="0" w:color="auto"/>
                      </w:divBdr>
                    </w:div>
                    <w:div w:id="2070565904">
                      <w:marLeft w:val="0"/>
                      <w:marRight w:val="0"/>
                      <w:marTop w:val="0"/>
                      <w:marBottom w:val="0"/>
                      <w:divBdr>
                        <w:top w:val="none" w:sz="0" w:space="0" w:color="auto"/>
                        <w:left w:val="none" w:sz="0" w:space="0" w:color="auto"/>
                        <w:bottom w:val="none" w:sz="0" w:space="0" w:color="auto"/>
                        <w:right w:val="none" w:sz="0" w:space="0" w:color="auto"/>
                      </w:divBdr>
                    </w:div>
                  </w:divsChild>
                </w:div>
                <w:div w:id="132137086">
                  <w:marLeft w:val="0"/>
                  <w:marRight w:val="0"/>
                  <w:marTop w:val="0"/>
                  <w:marBottom w:val="0"/>
                  <w:divBdr>
                    <w:top w:val="none" w:sz="0" w:space="0" w:color="auto"/>
                    <w:left w:val="none" w:sz="0" w:space="0" w:color="auto"/>
                    <w:bottom w:val="none" w:sz="0" w:space="0" w:color="auto"/>
                    <w:right w:val="none" w:sz="0" w:space="0" w:color="auto"/>
                  </w:divBdr>
                  <w:divsChild>
                    <w:div w:id="489904525">
                      <w:marLeft w:val="0"/>
                      <w:marRight w:val="0"/>
                      <w:marTop w:val="0"/>
                      <w:marBottom w:val="0"/>
                      <w:divBdr>
                        <w:top w:val="none" w:sz="0" w:space="0" w:color="auto"/>
                        <w:left w:val="none" w:sz="0" w:space="0" w:color="auto"/>
                        <w:bottom w:val="none" w:sz="0" w:space="0" w:color="auto"/>
                        <w:right w:val="none" w:sz="0" w:space="0" w:color="auto"/>
                      </w:divBdr>
                    </w:div>
                  </w:divsChild>
                </w:div>
                <w:div w:id="147288528">
                  <w:marLeft w:val="0"/>
                  <w:marRight w:val="0"/>
                  <w:marTop w:val="0"/>
                  <w:marBottom w:val="0"/>
                  <w:divBdr>
                    <w:top w:val="none" w:sz="0" w:space="0" w:color="auto"/>
                    <w:left w:val="none" w:sz="0" w:space="0" w:color="auto"/>
                    <w:bottom w:val="none" w:sz="0" w:space="0" w:color="auto"/>
                    <w:right w:val="none" w:sz="0" w:space="0" w:color="auto"/>
                  </w:divBdr>
                  <w:divsChild>
                    <w:div w:id="96172357">
                      <w:marLeft w:val="0"/>
                      <w:marRight w:val="0"/>
                      <w:marTop w:val="0"/>
                      <w:marBottom w:val="0"/>
                      <w:divBdr>
                        <w:top w:val="none" w:sz="0" w:space="0" w:color="auto"/>
                        <w:left w:val="none" w:sz="0" w:space="0" w:color="auto"/>
                        <w:bottom w:val="none" w:sz="0" w:space="0" w:color="auto"/>
                        <w:right w:val="none" w:sz="0" w:space="0" w:color="auto"/>
                      </w:divBdr>
                    </w:div>
                  </w:divsChild>
                </w:div>
                <w:div w:id="152836289">
                  <w:marLeft w:val="0"/>
                  <w:marRight w:val="0"/>
                  <w:marTop w:val="0"/>
                  <w:marBottom w:val="0"/>
                  <w:divBdr>
                    <w:top w:val="none" w:sz="0" w:space="0" w:color="auto"/>
                    <w:left w:val="none" w:sz="0" w:space="0" w:color="auto"/>
                    <w:bottom w:val="none" w:sz="0" w:space="0" w:color="auto"/>
                    <w:right w:val="none" w:sz="0" w:space="0" w:color="auto"/>
                  </w:divBdr>
                  <w:divsChild>
                    <w:div w:id="1269504072">
                      <w:marLeft w:val="0"/>
                      <w:marRight w:val="0"/>
                      <w:marTop w:val="0"/>
                      <w:marBottom w:val="0"/>
                      <w:divBdr>
                        <w:top w:val="none" w:sz="0" w:space="0" w:color="auto"/>
                        <w:left w:val="none" w:sz="0" w:space="0" w:color="auto"/>
                        <w:bottom w:val="none" w:sz="0" w:space="0" w:color="auto"/>
                        <w:right w:val="none" w:sz="0" w:space="0" w:color="auto"/>
                      </w:divBdr>
                    </w:div>
                  </w:divsChild>
                </w:div>
                <w:div w:id="206995051">
                  <w:marLeft w:val="0"/>
                  <w:marRight w:val="0"/>
                  <w:marTop w:val="0"/>
                  <w:marBottom w:val="0"/>
                  <w:divBdr>
                    <w:top w:val="none" w:sz="0" w:space="0" w:color="auto"/>
                    <w:left w:val="none" w:sz="0" w:space="0" w:color="auto"/>
                    <w:bottom w:val="none" w:sz="0" w:space="0" w:color="auto"/>
                    <w:right w:val="none" w:sz="0" w:space="0" w:color="auto"/>
                  </w:divBdr>
                  <w:divsChild>
                    <w:div w:id="1453282664">
                      <w:marLeft w:val="0"/>
                      <w:marRight w:val="0"/>
                      <w:marTop w:val="0"/>
                      <w:marBottom w:val="0"/>
                      <w:divBdr>
                        <w:top w:val="none" w:sz="0" w:space="0" w:color="auto"/>
                        <w:left w:val="none" w:sz="0" w:space="0" w:color="auto"/>
                        <w:bottom w:val="none" w:sz="0" w:space="0" w:color="auto"/>
                        <w:right w:val="none" w:sz="0" w:space="0" w:color="auto"/>
                      </w:divBdr>
                    </w:div>
                  </w:divsChild>
                </w:div>
                <w:div w:id="259216779">
                  <w:marLeft w:val="0"/>
                  <w:marRight w:val="0"/>
                  <w:marTop w:val="0"/>
                  <w:marBottom w:val="0"/>
                  <w:divBdr>
                    <w:top w:val="none" w:sz="0" w:space="0" w:color="auto"/>
                    <w:left w:val="none" w:sz="0" w:space="0" w:color="auto"/>
                    <w:bottom w:val="none" w:sz="0" w:space="0" w:color="auto"/>
                    <w:right w:val="none" w:sz="0" w:space="0" w:color="auto"/>
                  </w:divBdr>
                  <w:divsChild>
                    <w:div w:id="3286963">
                      <w:marLeft w:val="0"/>
                      <w:marRight w:val="0"/>
                      <w:marTop w:val="0"/>
                      <w:marBottom w:val="0"/>
                      <w:divBdr>
                        <w:top w:val="none" w:sz="0" w:space="0" w:color="auto"/>
                        <w:left w:val="none" w:sz="0" w:space="0" w:color="auto"/>
                        <w:bottom w:val="none" w:sz="0" w:space="0" w:color="auto"/>
                        <w:right w:val="none" w:sz="0" w:space="0" w:color="auto"/>
                      </w:divBdr>
                    </w:div>
                    <w:div w:id="153958484">
                      <w:marLeft w:val="0"/>
                      <w:marRight w:val="0"/>
                      <w:marTop w:val="0"/>
                      <w:marBottom w:val="0"/>
                      <w:divBdr>
                        <w:top w:val="none" w:sz="0" w:space="0" w:color="auto"/>
                        <w:left w:val="none" w:sz="0" w:space="0" w:color="auto"/>
                        <w:bottom w:val="none" w:sz="0" w:space="0" w:color="auto"/>
                        <w:right w:val="none" w:sz="0" w:space="0" w:color="auto"/>
                      </w:divBdr>
                    </w:div>
                    <w:div w:id="895118318">
                      <w:marLeft w:val="0"/>
                      <w:marRight w:val="0"/>
                      <w:marTop w:val="0"/>
                      <w:marBottom w:val="0"/>
                      <w:divBdr>
                        <w:top w:val="none" w:sz="0" w:space="0" w:color="auto"/>
                        <w:left w:val="none" w:sz="0" w:space="0" w:color="auto"/>
                        <w:bottom w:val="none" w:sz="0" w:space="0" w:color="auto"/>
                        <w:right w:val="none" w:sz="0" w:space="0" w:color="auto"/>
                      </w:divBdr>
                    </w:div>
                    <w:div w:id="1109160968">
                      <w:marLeft w:val="0"/>
                      <w:marRight w:val="0"/>
                      <w:marTop w:val="0"/>
                      <w:marBottom w:val="0"/>
                      <w:divBdr>
                        <w:top w:val="none" w:sz="0" w:space="0" w:color="auto"/>
                        <w:left w:val="none" w:sz="0" w:space="0" w:color="auto"/>
                        <w:bottom w:val="none" w:sz="0" w:space="0" w:color="auto"/>
                        <w:right w:val="none" w:sz="0" w:space="0" w:color="auto"/>
                      </w:divBdr>
                    </w:div>
                  </w:divsChild>
                </w:div>
                <w:div w:id="270555014">
                  <w:marLeft w:val="0"/>
                  <w:marRight w:val="0"/>
                  <w:marTop w:val="0"/>
                  <w:marBottom w:val="0"/>
                  <w:divBdr>
                    <w:top w:val="none" w:sz="0" w:space="0" w:color="auto"/>
                    <w:left w:val="none" w:sz="0" w:space="0" w:color="auto"/>
                    <w:bottom w:val="none" w:sz="0" w:space="0" w:color="auto"/>
                    <w:right w:val="none" w:sz="0" w:space="0" w:color="auto"/>
                  </w:divBdr>
                  <w:divsChild>
                    <w:div w:id="311645023">
                      <w:marLeft w:val="0"/>
                      <w:marRight w:val="0"/>
                      <w:marTop w:val="0"/>
                      <w:marBottom w:val="0"/>
                      <w:divBdr>
                        <w:top w:val="none" w:sz="0" w:space="0" w:color="auto"/>
                        <w:left w:val="none" w:sz="0" w:space="0" w:color="auto"/>
                        <w:bottom w:val="none" w:sz="0" w:space="0" w:color="auto"/>
                        <w:right w:val="none" w:sz="0" w:space="0" w:color="auto"/>
                      </w:divBdr>
                    </w:div>
                  </w:divsChild>
                </w:div>
                <w:div w:id="322390912">
                  <w:marLeft w:val="0"/>
                  <w:marRight w:val="0"/>
                  <w:marTop w:val="0"/>
                  <w:marBottom w:val="0"/>
                  <w:divBdr>
                    <w:top w:val="none" w:sz="0" w:space="0" w:color="auto"/>
                    <w:left w:val="none" w:sz="0" w:space="0" w:color="auto"/>
                    <w:bottom w:val="none" w:sz="0" w:space="0" w:color="auto"/>
                    <w:right w:val="none" w:sz="0" w:space="0" w:color="auto"/>
                  </w:divBdr>
                  <w:divsChild>
                    <w:div w:id="1182937469">
                      <w:marLeft w:val="0"/>
                      <w:marRight w:val="0"/>
                      <w:marTop w:val="0"/>
                      <w:marBottom w:val="0"/>
                      <w:divBdr>
                        <w:top w:val="none" w:sz="0" w:space="0" w:color="auto"/>
                        <w:left w:val="none" w:sz="0" w:space="0" w:color="auto"/>
                        <w:bottom w:val="none" w:sz="0" w:space="0" w:color="auto"/>
                        <w:right w:val="none" w:sz="0" w:space="0" w:color="auto"/>
                      </w:divBdr>
                    </w:div>
                  </w:divsChild>
                </w:div>
                <w:div w:id="326522011">
                  <w:marLeft w:val="0"/>
                  <w:marRight w:val="0"/>
                  <w:marTop w:val="0"/>
                  <w:marBottom w:val="0"/>
                  <w:divBdr>
                    <w:top w:val="none" w:sz="0" w:space="0" w:color="auto"/>
                    <w:left w:val="none" w:sz="0" w:space="0" w:color="auto"/>
                    <w:bottom w:val="none" w:sz="0" w:space="0" w:color="auto"/>
                    <w:right w:val="none" w:sz="0" w:space="0" w:color="auto"/>
                  </w:divBdr>
                  <w:divsChild>
                    <w:div w:id="1891333382">
                      <w:marLeft w:val="0"/>
                      <w:marRight w:val="0"/>
                      <w:marTop w:val="0"/>
                      <w:marBottom w:val="0"/>
                      <w:divBdr>
                        <w:top w:val="none" w:sz="0" w:space="0" w:color="auto"/>
                        <w:left w:val="none" w:sz="0" w:space="0" w:color="auto"/>
                        <w:bottom w:val="none" w:sz="0" w:space="0" w:color="auto"/>
                        <w:right w:val="none" w:sz="0" w:space="0" w:color="auto"/>
                      </w:divBdr>
                    </w:div>
                  </w:divsChild>
                </w:div>
                <w:div w:id="411438589">
                  <w:marLeft w:val="0"/>
                  <w:marRight w:val="0"/>
                  <w:marTop w:val="0"/>
                  <w:marBottom w:val="0"/>
                  <w:divBdr>
                    <w:top w:val="none" w:sz="0" w:space="0" w:color="auto"/>
                    <w:left w:val="none" w:sz="0" w:space="0" w:color="auto"/>
                    <w:bottom w:val="none" w:sz="0" w:space="0" w:color="auto"/>
                    <w:right w:val="none" w:sz="0" w:space="0" w:color="auto"/>
                  </w:divBdr>
                  <w:divsChild>
                    <w:div w:id="411510704">
                      <w:marLeft w:val="0"/>
                      <w:marRight w:val="0"/>
                      <w:marTop w:val="0"/>
                      <w:marBottom w:val="0"/>
                      <w:divBdr>
                        <w:top w:val="none" w:sz="0" w:space="0" w:color="auto"/>
                        <w:left w:val="none" w:sz="0" w:space="0" w:color="auto"/>
                        <w:bottom w:val="none" w:sz="0" w:space="0" w:color="auto"/>
                        <w:right w:val="none" w:sz="0" w:space="0" w:color="auto"/>
                      </w:divBdr>
                    </w:div>
                  </w:divsChild>
                </w:div>
                <w:div w:id="413010251">
                  <w:marLeft w:val="0"/>
                  <w:marRight w:val="0"/>
                  <w:marTop w:val="0"/>
                  <w:marBottom w:val="0"/>
                  <w:divBdr>
                    <w:top w:val="none" w:sz="0" w:space="0" w:color="auto"/>
                    <w:left w:val="none" w:sz="0" w:space="0" w:color="auto"/>
                    <w:bottom w:val="none" w:sz="0" w:space="0" w:color="auto"/>
                    <w:right w:val="none" w:sz="0" w:space="0" w:color="auto"/>
                  </w:divBdr>
                  <w:divsChild>
                    <w:div w:id="2071421973">
                      <w:marLeft w:val="0"/>
                      <w:marRight w:val="0"/>
                      <w:marTop w:val="0"/>
                      <w:marBottom w:val="0"/>
                      <w:divBdr>
                        <w:top w:val="none" w:sz="0" w:space="0" w:color="auto"/>
                        <w:left w:val="none" w:sz="0" w:space="0" w:color="auto"/>
                        <w:bottom w:val="none" w:sz="0" w:space="0" w:color="auto"/>
                        <w:right w:val="none" w:sz="0" w:space="0" w:color="auto"/>
                      </w:divBdr>
                    </w:div>
                  </w:divsChild>
                </w:div>
                <w:div w:id="501431260">
                  <w:marLeft w:val="0"/>
                  <w:marRight w:val="0"/>
                  <w:marTop w:val="0"/>
                  <w:marBottom w:val="0"/>
                  <w:divBdr>
                    <w:top w:val="none" w:sz="0" w:space="0" w:color="auto"/>
                    <w:left w:val="none" w:sz="0" w:space="0" w:color="auto"/>
                    <w:bottom w:val="none" w:sz="0" w:space="0" w:color="auto"/>
                    <w:right w:val="none" w:sz="0" w:space="0" w:color="auto"/>
                  </w:divBdr>
                  <w:divsChild>
                    <w:div w:id="796145075">
                      <w:marLeft w:val="0"/>
                      <w:marRight w:val="0"/>
                      <w:marTop w:val="0"/>
                      <w:marBottom w:val="0"/>
                      <w:divBdr>
                        <w:top w:val="none" w:sz="0" w:space="0" w:color="auto"/>
                        <w:left w:val="none" w:sz="0" w:space="0" w:color="auto"/>
                        <w:bottom w:val="none" w:sz="0" w:space="0" w:color="auto"/>
                        <w:right w:val="none" w:sz="0" w:space="0" w:color="auto"/>
                      </w:divBdr>
                    </w:div>
                  </w:divsChild>
                </w:div>
                <w:div w:id="586043104">
                  <w:marLeft w:val="0"/>
                  <w:marRight w:val="0"/>
                  <w:marTop w:val="0"/>
                  <w:marBottom w:val="0"/>
                  <w:divBdr>
                    <w:top w:val="none" w:sz="0" w:space="0" w:color="auto"/>
                    <w:left w:val="none" w:sz="0" w:space="0" w:color="auto"/>
                    <w:bottom w:val="none" w:sz="0" w:space="0" w:color="auto"/>
                    <w:right w:val="none" w:sz="0" w:space="0" w:color="auto"/>
                  </w:divBdr>
                  <w:divsChild>
                    <w:div w:id="618872640">
                      <w:marLeft w:val="0"/>
                      <w:marRight w:val="0"/>
                      <w:marTop w:val="0"/>
                      <w:marBottom w:val="0"/>
                      <w:divBdr>
                        <w:top w:val="none" w:sz="0" w:space="0" w:color="auto"/>
                        <w:left w:val="none" w:sz="0" w:space="0" w:color="auto"/>
                        <w:bottom w:val="none" w:sz="0" w:space="0" w:color="auto"/>
                        <w:right w:val="none" w:sz="0" w:space="0" w:color="auto"/>
                      </w:divBdr>
                    </w:div>
                  </w:divsChild>
                </w:div>
                <w:div w:id="596249355">
                  <w:marLeft w:val="0"/>
                  <w:marRight w:val="0"/>
                  <w:marTop w:val="0"/>
                  <w:marBottom w:val="0"/>
                  <w:divBdr>
                    <w:top w:val="none" w:sz="0" w:space="0" w:color="auto"/>
                    <w:left w:val="none" w:sz="0" w:space="0" w:color="auto"/>
                    <w:bottom w:val="none" w:sz="0" w:space="0" w:color="auto"/>
                    <w:right w:val="none" w:sz="0" w:space="0" w:color="auto"/>
                  </w:divBdr>
                  <w:divsChild>
                    <w:div w:id="1455058299">
                      <w:marLeft w:val="0"/>
                      <w:marRight w:val="0"/>
                      <w:marTop w:val="0"/>
                      <w:marBottom w:val="0"/>
                      <w:divBdr>
                        <w:top w:val="none" w:sz="0" w:space="0" w:color="auto"/>
                        <w:left w:val="none" w:sz="0" w:space="0" w:color="auto"/>
                        <w:bottom w:val="none" w:sz="0" w:space="0" w:color="auto"/>
                        <w:right w:val="none" w:sz="0" w:space="0" w:color="auto"/>
                      </w:divBdr>
                    </w:div>
                  </w:divsChild>
                </w:div>
                <w:div w:id="642975350">
                  <w:marLeft w:val="0"/>
                  <w:marRight w:val="0"/>
                  <w:marTop w:val="0"/>
                  <w:marBottom w:val="0"/>
                  <w:divBdr>
                    <w:top w:val="none" w:sz="0" w:space="0" w:color="auto"/>
                    <w:left w:val="none" w:sz="0" w:space="0" w:color="auto"/>
                    <w:bottom w:val="none" w:sz="0" w:space="0" w:color="auto"/>
                    <w:right w:val="none" w:sz="0" w:space="0" w:color="auto"/>
                  </w:divBdr>
                  <w:divsChild>
                    <w:div w:id="211385083">
                      <w:marLeft w:val="0"/>
                      <w:marRight w:val="0"/>
                      <w:marTop w:val="0"/>
                      <w:marBottom w:val="0"/>
                      <w:divBdr>
                        <w:top w:val="none" w:sz="0" w:space="0" w:color="auto"/>
                        <w:left w:val="none" w:sz="0" w:space="0" w:color="auto"/>
                        <w:bottom w:val="none" w:sz="0" w:space="0" w:color="auto"/>
                        <w:right w:val="none" w:sz="0" w:space="0" w:color="auto"/>
                      </w:divBdr>
                    </w:div>
                  </w:divsChild>
                </w:div>
                <w:div w:id="644551798">
                  <w:marLeft w:val="0"/>
                  <w:marRight w:val="0"/>
                  <w:marTop w:val="0"/>
                  <w:marBottom w:val="0"/>
                  <w:divBdr>
                    <w:top w:val="none" w:sz="0" w:space="0" w:color="auto"/>
                    <w:left w:val="none" w:sz="0" w:space="0" w:color="auto"/>
                    <w:bottom w:val="none" w:sz="0" w:space="0" w:color="auto"/>
                    <w:right w:val="none" w:sz="0" w:space="0" w:color="auto"/>
                  </w:divBdr>
                  <w:divsChild>
                    <w:div w:id="2017147535">
                      <w:marLeft w:val="0"/>
                      <w:marRight w:val="0"/>
                      <w:marTop w:val="0"/>
                      <w:marBottom w:val="0"/>
                      <w:divBdr>
                        <w:top w:val="none" w:sz="0" w:space="0" w:color="auto"/>
                        <w:left w:val="none" w:sz="0" w:space="0" w:color="auto"/>
                        <w:bottom w:val="none" w:sz="0" w:space="0" w:color="auto"/>
                        <w:right w:val="none" w:sz="0" w:space="0" w:color="auto"/>
                      </w:divBdr>
                    </w:div>
                  </w:divsChild>
                </w:div>
                <w:div w:id="687098960">
                  <w:marLeft w:val="0"/>
                  <w:marRight w:val="0"/>
                  <w:marTop w:val="0"/>
                  <w:marBottom w:val="0"/>
                  <w:divBdr>
                    <w:top w:val="none" w:sz="0" w:space="0" w:color="auto"/>
                    <w:left w:val="none" w:sz="0" w:space="0" w:color="auto"/>
                    <w:bottom w:val="none" w:sz="0" w:space="0" w:color="auto"/>
                    <w:right w:val="none" w:sz="0" w:space="0" w:color="auto"/>
                  </w:divBdr>
                  <w:divsChild>
                    <w:div w:id="1912423493">
                      <w:marLeft w:val="0"/>
                      <w:marRight w:val="0"/>
                      <w:marTop w:val="0"/>
                      <w:marBottom w:val="0"/>
                      <w:divBdr>
                        <w:top w:val="none" w:sz="0" w:space="0" w:color="auto"/>
                        <w:left w:val="none" w:sz="0" w:space="0" w:color="auto"/>
                        <w:bottom w:val="none" w:sz="0" w:space="0" w:color="auto"/>
                        <w:right w:val="none" w:sz="0" w:space="0" w:color="auto"/>
                      </w:divBdr>
                    </w:div>
                  </w:divsChild>
                </w:div>
                <w:div w:id="813370308">
                  <w:marLeft w:val="0"/>
                  <w:marRight w:val="0"/>
                  <w:marTop w:val="0"/>
                  <w:marBottom w:val="0"/>
                  <w:divBdr>
                    <w:top w:val="none" w:sz="0" w:space="0" w:color="auto"/>
                    <w:left w:val="none" w:sz="0" w:space="0" w:color="auto"/>
                    <w:bottom w:val="none" w:sz="0" w:space="0" w:color="auto"/>
                    <w:right w:val="none" w:sz="0" w:space="0" w:color="auto"/>
                  </w:divBdr>
                  <w:divsChild>
                    <w:div w:id="890533377">
                      <w:marLeft w:val="0"/>
                      <w:marRight w:val="0"/>
                      <w:marTop w:val="0"/>
                      <w:marBottom w:val="0"/>
                      <w:divBdr>
                        <w:top w:val="none" w:sz="0" w:space="0" w:color="auto"/>
                        <w:left w:val="none" w:sz="0" w:space="0" w:color="auto"/>
                        <w:bottom w:val="none" w:sz="0" w:space="0" w:color="auto"/>
                        <w:right w:val="none" w:sz="0" w:space="0" w:color="auto"/>
                      </w:divBdr>
                    </w:div>
                  </w:divsChild>
                </w:div>
                <w:div w:id="821316234">
                  <w:marLeft w:val="0"/>
                  <w:marRight w:val="0"/>
                  <w:marTop w:val="0"/>
                  <w:marBottom w:val="0"/>
                  <w:divBdr>
                    <w:top w:val="none" w:sz="0" w:space="0" w:color="auto"/>
                    <w:left w:val="none" w:sz="0" w:space="0" w:color="auto"/>
                    <w:bottom w:val="none" w:sz="0" w:space="0" w:color="auto"/>
                    <w:right w:val="none" w:sz="0" w:space="0" w:color="auto"/>
                  </w:divBdr>
                  <w:divsChild>
                    <w:div w:id="907493125">
                      <w:marLeft w:val="0"/>
                      <w:marRight w:val="0"/>
                      <w:marTop w:val="0"/>
                      <w:marBottom w:val="0"/>
                      <w:divBdr>
                        <w:top w:val="none" w:sz="0" w:space="0" w:color="auto"/>
                        <w:left w:val="none" w:sz="0" w:space="0" w:color="auto"/>
                        <w:bottom w:val="none" w:sz="0" w:space="0" w:color="auto"/>
                        <w:right w:val="none" w:sz="0" w:space="0" w:color="auto"/>
                      </w:divBdr>
                    </w:div>
                  </w:divsChild>
                </w:div>
                <w:div w:id="850265007">
                  <w:marLeft w:val="0"/>
                  <w:marRight w:val="0"/>
                  <w:marTop w:val="0"/>
                  <w:marBottom w:val="0"/>
                  <w:divBdr>
                    <w:top w:val="none" w:sz="0" w:space="0" w:color="auto"/>
                    <w:left w:val="none" w:sz="0" w:space="0" w:color="auto"/>
                    <w:bottom w:val="none" w:sz="0" w:space="0" w:color="auto"/>
                    <w:right w:val="none" w:sz="0" w:space="0" w:color="auto"/>
                  </w:divBdr>
                  <w:divsChild>
                    <w:div w:id="376897841">
                      <w:marLeft w:val="0"/>
                      <w:marRight w:val="0"/>
                      <w:marTop w:val="0"/>
                      <w:marBottom w:val="0"/>
                      <w:divBdr>
                        <w:top w:val="none" w:sz="0" w:space="0" w:color="auto"/>
                        <w:left w:val="none" w:sz="0" w:space="0" w:color="auto"/>
                        <w:bottom w:val="none" w:sz="0" w:space="0" w:color="auto"/>
                        <w:right w:val="none" w:sz="0" w:space="0" w:color="auto"/>
                      </w:divBdr>
                    </w:div>
                    <w:div w:id="708529565">
                      <w:marLeft w:val="0"/>
                      <w:marRight w:val="0"/>
                      <w:marTop w:val="0"/>
                      <w:marBottom w:val="0"/>
                      <w:divBdr>
                        <w:top w:val="none" w:sz="0" w:space="0" w:color="auto"/>
                        <w:left w:val="none" w:sz="0" w:space="0" w:color="auto"/>
                        <w:bottom w:val="none" w:sz="0" w:space="0" w:color="auto"/>
                        <w:right w:val="none" w:sz="0" w:space="0" w:color="auto"/>
                      </w:divBdr>
                    </w:div>
                    <w:div w:id="1942713356">
                      <w:marLeft w:val="0"/>
                      <w:marRight w:val="0"/>
                      <w:marTop w:val="0"/>
                      <w:marBottom w:val="0"/>
                      <w:divBdr>
                        <w:top w:val="none" w:sz="0" w:space="0" w:color="auto"/>
                        <w:left w:val="none" w:sz="0" w:space="0" w:color="auto"/>
                        <w:bottom w:val="none" w:sz="0" w:space="0" w:color="auto"/>
                        <w:right w:val="none" w:sz="0" w:space="0" w:color="auto"/>
                      </w:divBdr>
                    </w:div>
                  </w:divsChild>
                </w:div>
                <w:div w:id="854728083">
                  <w:marLeft w:val="0"/>
                  <w:marRight w:val="0"/>
                  <w:marTop w:val="0"/>
                  <w:marBottom w:val="0"/>
                  <w:divBdr>
                    <w:top w:val="none" w:sz="0" w:space="0" w:color="auto"/>
                    <w:left w:val="none" w:sz="0" w:space="0" w:color="auto"/>
                    <w:bottom w:val="none" w:sz="0" w:space="0" w:color="auto"/>
                    <w:right w:val="none" w:sz="0" w:space="0" w:color="auto"/>
                  </w:divBdr>
                  <w:divsChild>
                    <w:div w:id="1541822618">
                      <w:marLeft w:val="0"/>
                      <w:marRight w:val="0"/>
                      <w:marTop w:val="0"/>
                      <w:marBottom w:val="0"/>
                      <w:divBdr>
                        <w:top w:val="none" w:sz="0" w:space="0" w:color="auto"/>
                        <w:left w:val="none" w:sz="0" w:space="0" w:color="auto"/>
                        <w:bottom w:val="none" w:sz="0" w:space="0" w:color="auto"/>
                        <w:right w:val="none" w:sz="0" w:space="0" w:color="auto"/>
                      </w:divBdr>
                    </w:div>
                  </w:divsChild>
                </w:div>
                <w:div w:id="861166928">
                  <w:marLeft w:val="0"/>
                  <w:marRight w:val="0"/>
                  <w:marTop w:val="0"/>
                  <w:marBottom w:val="0"/>
                  <w:divBdr>
                    <w:top w:val="none" w:sz="0" w:space="0" w:color="auto"/>
                    <w:left w:val="none" w:sz="0" w:space="0" w:color="auto"/>
                    <w:bottom w:val="none" w:sz="0" w:space="0" w:color="auto"/>
                    <w:right w:val="none" w:sz="0" w:space="0" w:color="auto"/>
                  </w:divBdr>
                  <w:divsChild>
                    <w:div w:id="1902137111">
                      <w:marLeft w:val="0"/>
                      <w:marRight w:val="0"/>
                      <w:marTop w:val="0"/>
                      <w:marBottom w:val="0"/>
                      <w:divBdr>
                        <w:top w:val="none" w:sz="0" w:space="0" w:color="auto"/>
                        <w:left w:val="none" w:sz="0" w:space="0" w:color="auto"/>
                        <w:bottom w:val="none" w:sz="0" w:space="0" w:color="auto"/>
                        <w:right w:val="none" w:sz="0" w:space="0" w:color="auto"/>
                      </w:divBdr>
                    </w:div>
                  </w:divsChild>
                </w:div>
                <w:div w:id="961155815">
                  <w:marLeft w:val="0"/>
                  <w:marRight w:val="0"/>
                  <w:marTop w:val="0"/>
                  <w:marBottom w:val="0"/>
                  <w:divBdr>
                    <w:top w:val="none" w:sz="0" w:space="0" w:color="auto"/>
                    <w:left w:val="none" w:sz="0" w:space="0" w:color="auto"/>
                    <w:bottom w:val="none" w:sz="0" w:space="0" w:color="auto"/>
                    <w:right w:val="none" w:sz="0" w:space="0" w:color="auto"/>
                  </w:divBdr>
                  <w:divsChild>
                    <w:div w:id="858081630">
                      <w:marLeft w:val="0"/>
                      <w:marRight w:val="0"/>
                      <w:marTop w:val="0"/>
                      <w:marBottom w:val="0"/>
                      <w:divBdr>
                        <w:top w:val="none" w:sz="0" w:space="0" w:color="auto"/>
                        <w:left w:val="none" w:sz="0" w:space="0" w:color="auto"/>
                        <w:bottom w:val="none" w:sz="0" w:space="0" w:color="auto"/>
                        <w:right w:val="none" w:sz="0" w:space="0" w:color="auto"/>
                      </w:divBdr>
                    </w:div>
                  </w:divsChild>
                </w:div>
                <w:div w:id="963849670">
                  <w:marLeft w:val="0"/>
                  <w:marRight w:val="0"/>
                  <w:marTop w:val="0"/>
                  <w:marBottom w:val="0"/>
                  <w:divBdr>
                    <w:top w:val="none" w:sz="0" w:space="0" w:color="auto"/>
                    <w:left w:val="none" w:sz="0" w:space="0" w:color="auto"/>
                    <w:bottom w:val="none" w:sz="0" w:space="0" w:color="auto"/>
                    <w:right w:val="none" w:sz="0" w:space="0" w:color="auto"/>
                  </w:divBdr>
                  <w:divsChild>
                    <w:div w:id="1661539528">
                      <w:marLeft w:val="0"/>
                      <w:marRight w:val="0"/>
                      <w:marTop w:val="0"/>
                      <w:marBottom w:val="0"/>
                      <w:divBdr>
                        <w:top w:val="none" w:sz="0" w:space="0" w:color="auto"/>
                        <w:left w:val="none" w:sz="0" w:space="0" w:color="auto"/>
                        <w:bottom w:val="none" w:sz="0" w:space="0" w:color="auto"/>
                        <w:right w:val="none" w:sz="0" w:space="0" w:color="auto"/>
                      </w:divBdr>
                    </w:div>
                  </w:divsChild>
                </w:div>
                <w:div w:id="969748333">
                  <w:marLeft w:val="0"/>
                  <w:marRight w:val="0"/>
                  <w:marTop w:val="0"/>
                  <w:marBottom w:val="0"/>
                  <w:divBdr>
                    <w:top w:val="none" w:sz="0" w:space="0" w:color="auto"/>
                    <w:left w:val="none" w:sz="0" w:space="0" w:color="auto"/>
                    <w:bottom w:val="none" w:sz="0" w:space="0" w:color="auto"/>
                    <w:right w:val="none" w:sz="0" w:space="0" w:color="auto"/>
                  </w:divBdr>
                  <w:divsChild>
                    <w:div w:id="797527143">
                      <w:marLeft w:val="0"/>
                      <w:marRight w:val="0"/>
                      <w:marTop w:val="0"/>
                      <w:marBottom w:val="0"/>
                      <w:divBdr>
                        <w:top w:val="none" w:sz="0" w:space="0" w:color="auto"/>
                        <w:left w:val="none" w:sz="0" w:space="0" w:color="auto"/>
                        <w:bottom w:val="none" w:sz="0" w:space="0" w:color="auto"/>
                        <w:right w:val="none" w:sz="0" w:space="0" w:color="auto"/>
                      </w:divBdr>
                    </w:div>
                  </w:divsChild>
                </w:div>
                <w:div w:id="1060132589">
                  <w:marLeft w:val="0"/>
                  <w:marRight w:val="0"/>
                  <w:marTop w:val="0"/>
                  <w:marBottom w:val="0"/>
                  <w:divBdr>
                    <w:top w:val="none" w:sz="0" w:space="0" w:color="auto"/>
                    <w:left w:val="none" w:sz="0" w:space="0" w:color="auto"/>
                    <w:bottom w:val="none" w:sz="0" w:space="0" w:color="auto"/>
                    <w:right w:val="none" w:sz="0" w:space="0" w:color="auto"/>
                  </w:divBdr>
                  <w:divsChild>
                    <w:div w:id="1807353768">
                      <w:marLeft w:val="0"/>
                      <w:marRight w:val="0"/>
                      <w:marTop w:val="0"/>
                      <w:marBottom w:val="0"/>
                      <w:divBdr>
                        <w:top w:val="none" w:sz="0" w:space="0" w:color="auto"/>
                        <w:left w:val="none" w:sz="0" w:space="0" w:color="auto"/>
                        <w:bottom w:val="none" w:sz="0" w:space="0" w:color="auto"/>
                        <w:right w:val="none" w:sz="0" w:space="0" w:color="auto"/>
                      </w:divBdr>
                    </w:div>
                  </w:divsChild>
                </w:div>
                <w:div w:id="1061713627">
                  <w:marLeft w:val="0"/>
                  <w:marRight w:val="0"/>
                  <w:marTop w:val="0"/>
                  <w:marBottom w:val="0"/>
                  <w:divBdr>
                    <w:top w:val="none" w:sz="0" w:space="0" w:color="auto"/>
                    <w:left w:val="none" w:sz="0" w:space="0" w:color="auto"/>
                    <w:bottom w:val="none" w:sz="0" w:space="0" w:color="auto"/>
                    <w:right w:val="none" w:sz="0" w:space="0" w:color="auto"/>
                  </w:divBdr>
                  <w:divsChild>
                    <w:div w:id="991788639">
                      <w:marLeft w:val="0"/>
                      <w:marRight w:val="0"/>
                      <w:marTop w:val="0"/>
                      <w:marBottom w:val="0"/>
                      <w:divBdr>
                        <w:top w:val="none" w:sz="0" w:space="0" w:color="auto"/>
                        <w:left w:val="none" w:sz="0" w:space="0" w:color="auto"/>
                        <w:bottom w:val="none" w:sz="0" w:space="0" w:color="auto"/>
                        <w:right w:val="none" w:sz="0" w:space="0" w:color="auto"/>
                      </w:divBdr>
                    </w:div>
                  </w:divsChild>
                </w:div>
                <w:div w:id="1152062512">
                  <w:marLeft w:val="0"/>
                  <w:marRight w:val="0"/>
                  <w:marTop w:val="0"/>
                  <w:marBottom w:val="0"/>
                  <w:divBdr>
                    <w:top w:val="none" w:sz="0" w:space="0" w:color="auto"/>
                    <w:left w:val="none" w:sz="0" w:space="0" w:color="auto"/>
                    <w:bottom w:val="none" w:sz="0" w:space="0" w:color="auto"/>
                    <w:right w:val="none" w:sz="0" w:space="0" w:color="auto"/>
                  </w:divBdr>
                  <w:divsChild>
                    <w:div w:id="1901793032">
                      <w:marLeft w:val="0"/>
                      <w:marRight w:val="0"/>
                      <w:marTop w:val="0"/>
                      <w:marBottom w:val="0"/>
                      <w:divBdr>
                        <w:top w:val="none" w:sz="0" w:space="0" w:color="auto"/>
                        <w:left w:val="none" w:sz="0" w:space="0" w:color="auto"/>
                        <w:bottom w:val="none" w:sz="0" w:space="0" w:color="auto"/>
                        <w:right w:val="none" w:sz="0" w:space="0" w:color="auto"/>
                      </w:divBdr>
                    </w:div>
                  </w:divsChild>
                </w:div>
                <w:div w:id="1197542006">
                  <w:marLeft w:val="0"/>
                  <w:marRight w:val="0"/>
                  <w:marTop w:val="0"/>
                  <w:marBottom w:val="0"/>
                  <w:divBdr>
                    <w:top w:val="none" w:sz="0" w:space="0" w:color="auto"/>
                    <w:left w:val="none" w:sz="0" w:space="0" w:color="auto"/>
                    <w:bottom w:val="none" w:sz="0" w:space="0" w:color="auto"/>
                    <w:right w:val="none" w:sz="0" w:space="0" w:color="auto"/>
                  </w:divBdr>
                  <w:divsChild>
                    <w:div w:id="1895582153">
                      <w:marLeft w:val="0"/>
                      <w:marRight w:val="0"/>
                      <w:marTop w:val="0"/>
                      <w:marBottom w:val="0"/>
                      <w:divBdr>
                        <w:top w:val="none" w:sz="0" w:space="0" w:color="auto"/>
                        <w:left w:val="none" w:sz="0" w:space="0" w:color="auto"/>
                        <w:bottom w:val="none" w:sz="0" w:space="0" w:color="auto"/>
                        <w:right w:val="none" w:sz="0" w:space="0" w:color="auto"/>
                      </w:divBdr>
                    </w:div>
                  </w:divsChild>
                </w:div>
                <w:div w:id="1205143397">
                  <w:marLeft w:val="0"/>
                  <w:marRight w:val="0"/>
                  <w:marTop w:val="0"/>
                  <w:marBottom w:val="0"/>
                  <w:divBdr>
                    <w:top w:val="none" w:sz="0" w:space="0" w:color="auto"/>
                    <w:left w:val="none" w:sz="0" w:space="0" w:color="auto"/>
                    <w:bottom w:val="none" w:sz="0" w:space="0" w:color="auto"/>
                    <w:right w:val="none" w:sz="0" w:space="0" w:color="auto"/>
                  </w:divBdr>
                  <w:divsChild>
                    <w:div w:id="1827280639">
                      <w:marLeft w:val="0"/>
                      <w:marRight w:val="0"/>
                      <w:marTop w:val="0"/>
                      <w:marBottom w:val="0"/>
                      <w:divBdr>
                        <w:top w:val="none" w:sz="0" w:space="0" w:color="auto"/>
                        <w:left w:val="none" w:sz="0" w:space="0" w:color="auto"/>
                        <w:bottom w:val="none" w:sz="0" w:space="0" w:color="auto"/>
                        <w:right w:val="none" w:sz="0" w:space="0" w:color="auto"/>
                      </w:divBdr>
                    </w:div>
                  </w:divsChild>
                </w:div>
                <w:div w:id="1205290817">
                  <w:marLeft w:val="0"/>
                  <w:marRight w:val="0"/>
                  <w:marTop w:val="0"/>
                  <w:marBottom w:val="0"/>
                  <w:divBdr>
                    <w:top w:val="none" w:sz="0" w:space="0" w:color="auto"/>
                    <w:left w:val="none" w:sz="0" w:space="0" w:color="auto"/>
                    <w:bottom w:val="none" w:sz="0" w:space="0" w:color="auto"/>
                    <w:right w:val="none" w:sz="0" w:space="0" w:color="auto"/>
                  </w:divBdr>
                  <w:divsChild>
                    <w:div w:id="1519006879">
                      <w:marLeft w:val="0"/>
                      <w:marRight w:val="0"/>
                      <w:marTop w:val="0"/>
                      <w:marBottom w:val="0"/>
                      <w:divBdr>
                        <w:top w:val="none" w:sz="0" w:space="0" w:color="auto"/>
                        <w:left w:val="none" w:sz="0" w:space="0" w:color="auto"/>
                        <w:bottom w:val="none" w:sz="0" w:space="0" w:color="auto"/>
                        <w:right w:val="none" w:sz="0" w:space="0" w:color="auto"/>
                      </w:divBdr>
                    </w:div>
                  </w:divsChild>
                </w:div>
                <w:div w:id="1210000179">
                  <w:marLeft w:val="0"/>
                  <w:marRight w:val="0"/>
                  <w:marTop w:val="0"/>
                  <w:marBottom w:val="0"/>
                  <w:divBdr>
                    <w:top w:val="none" w:sz="0" w:space="0" w:color="auto"/>
                    <w:left w:val="none" w:sz="0" w:space="0" w:color="auto"/>
                    <w:bottom w:val="none" w:sz="0" w:space="0" w:color="auto"/>
                    <w:right w:val="none" w:sz="0" w:space="0" w:color="auto"/>
                  </w:divBdr>
                  <w:divsChild>
                    <w:div w:id="1957522825">
                      <w:marLeft w:val="0"/>
                      <w:marRight w:val="0"/>
                      <w:marTop w:val="0"/>
                      <w:marBottom w:val="0"/>
                      <w:divBdr>
                        <w:top w:val="none" w:sz="0" w:space="0" w:color="auto"/>
                        <w:left w:val="none" w:sz="0" w:space="0" w:color="auto"/>
                        <w:bottom w:val="none" w:sz="0" w:space="0" w:color="auto"/>
                        <w:right w:val="none" w:sz="0" w:space="0" w:color="auto"/>
                      </w:divBdr>
                    </w:div>
                  </w:divsChild>
                </w:div>
                <w:div w:id="1273511956">
                  <w:marLeft w:val="0"/>
                  <w:marRight w:val="0"/>
                  <w:marTop w:val="0"/>
                  <w:marBottom w:val="0"/>
                  <w:divBdr>
                    <w:top w:val="none" w:sz="0" w:space="0" w:color="auto"/>
                    <w:left w:val="none" w:sz="0" w:space="0" w:color="auto"/>
                    <w:bottom w:val="none" w:sz="0" w:space="0" w:color="auto"/>
                    <w:right w:val="none" w:sz="0" w:space="0" w:color="auto"/>
                  </w:divBdr>
                  <w:divsChild>
                    <w:div w:id="855734996">
                      <w:marLeft w:val="0"/>
                      <w:marRight w:val="0"/>
                      <w:marTop w:val="0"/>
                      <w:marBottom w:val="0"/>
                      <w:divBdr>
                        <w:top w:val="none" w:sz="0" w:space="0" w:color="auto"/>
                        <w:left w:val="none" w:sz="0" w:space="0" w:color="auto"/>
                        <w:bottom w:val="none" w:sz="0" w:space="0" w:color="auto"/>
                        <w:right w:val="none" w:sz="0" w:space="0" w:color="auto"/>
                      </w:divBdr>
                    </w:div>
                  </w:divsChild>
                </w:div>
                <w:div w:id="1319192916">
                  <w:marLeft w:val="0"/>
                  <w:marRight w:val="0"/>
                  <w:marTop w:val="0"/>
                  <w:marBottom w:val="0"/>
                  <w:divBdr>
                    <w:top w:val="none" w:sz="0" w:space="0" w:color="auto"/>
                    <w:left w:val="none" w:sz="0" w:space="0" w:color="auto"/>
                    <w:bottom w:val="none" w:sz="0" w:space="0" w:color="auto"/>
                    <w:right w:val="none" w:sz="0" w:space="0" w:color="auto"/>
                  </w:divBdr>
                  <w:divsChild>
                    <w:div w:id="1002583873">
                      <w:marLeft w:val="0"/>
                      <w:marRight w:val="0"/>
                      <w:marTop w:val="0"/>
                      <w:marBottom w:val="0"/>
                      <w:divBdr>
                        <w:top w:val="none" w:sz="0" w:space="0" w:color="auto"/>
                        <w:left w:val="none" w:sz="0" w:space="0" w:color="auto"/>
                        <w:bottom w:val="none" w:sz="0" w:space="0" w:color="auto"/>
                        <w:right w:val="none" w:sz="0" w:space="0" w:color="auto"/>
                      </w:divBdr>
                    </w:div>
                  </w:divsChild>
                </w:div>
                <w:div w:id="1361398599">
                  <w:marLeft w:val="0"/>
                  <w:marRight w:val="0"/>
                  <w:marTop w:val="0"/>
                  <w:marBottom w:val="0"/>
                  <w:divBdr>
                    <w:top w:val="none" w:sz="0" w:space="0" w:color="auto"/>
                    <w:left w:val="none" w:sz="0" w:space="0" w:color="auto"/>
                    <w:bottom w:val="none" w:sz="0" w:space="0" w:color="auto"/>
                    <w:right w:val="none" w:sz="0" w:space="0" w:color="auto"/>
                  </w:divBdr>
                  <w:divsChild>
                    <w:div w:id="1688406028">
                      <w:marLeft w:val="0"/>
                      <w:marRight w:val="0"/>
                      <w:marTop w:val="0"/>
                      <w:marBottom w:val="0"/>
                      <w:divBdr>
                        <w:top w:val="none" w:sz="0" w:space="0" w:color="auto"/>
                        <w:left w:val="none" w:sz="0" w:space="0" w:color="auto"/>
                        <w:bottom w:val="none" w:sz="0" w:space="0" w:color="auto"/>
                        <w:right w:val="none" w:sz="0" w:space="0" w:color="auto"/>
                      </w:divBdr>
                    </w:div>
                  </w:divsChild>
                </w:div>
                <w:div w:id="1410233067">
                  <w:marLeft w:val="0"/>
                  <w:marRight w:val="0"/>
                  <w:marTop w:val="0"/>
                  <w:marBottom w:val="0"/>
                  <w:divBdr>
                    <w:top w:val="none" w:sz="0" w:space="0" w:color="auto"/>
                    <w:left w:val="none" w:sz="0" w:space="0" w:color="auto"/>
                    <w:bottom w:val="none" w:sz="0" w:space="0" w:color="auto"/>
                    <w:right w:val="none" w:sz="0" w:space="0" w:color="auto"/>
                  </w:divBdr>
                  <w:divsChild>
                    <w:div w:id="123234634">
                      <w:marLeft w:val="0"/>
                      <w:marRight w:val="0"/>
                      <w:marTop w:val="0"/>
                      <w:marBottom w:val="0"/>
                      <w:divBdr>
                        <w:top w:val="none" w:sz="0" w:space="0" w:color="auto"/>
                        <w:left w:val="none" w:sz="0" w:space="0" w:color="auto"/>
                        <w:bottom w:val="none" w:sz="0" w:space="0" w:color="auto"/>
                        <w:right w:val="none" w:sz="0" w:space="0" w:color="auto"/>
                      </w:divBdr>
                    </w:div>
                  </w:divsChild>
                </w:div>
                <w:div w:id="1510367202">
                  <w:marLeft w:val="0"/>
                  <w:marRight w:val="0"/>
                  <w:marTop w:val="0"/>
                  <w:marBottom w:val="0"/>
                  <w:divBdr>
                    <w:top w:val="none" w:sz="0" w:space="0" w:color="auto"/>
                    <w:left w:val="none" w:sz="0" w:space="0" w:color="auto"/>
                    <w:bottom w:val="none" w:sz="0" w:space="0" w:color="auto"/>
                    <w:right w:val="none" w:sz="0" w:space="0" w:color="auto"/>
                  </w:divBdr>
                  <w:divsChild>
                    <w:div w:id="147475839">
                      <w:marLeft w:val="0"/>
                      <w:marRight w:val="0"/>
                      <w:marTop w:val="0"/>
                      <w:marBottom w:val="0"/>
                      <w:divBdr>
                        <w:top w:val="none" w:sz="0" w:space="0" w:color="auto"/>
                        <w:left w:val="none" w:sz="0" w:space="0" w:color="auto"/>
                        <w:bottom w:val="none" w:sz="0" w:space="0" w:color="auto"/>
                        <w:right w:val="none" w:sz="0" w:space="0" w:color="auto"/>
                      </w:divBdr>
                    </w:div>
                    <w:div w:id="537205621">
                      <w:marLeft w:val="0"/>
                      <w:marRight w:val="0"/>
                      <w:marTop w:val="0"/>
                      <w:marBottom w:val="0"/>
                      <w:divBdr>
                        <w:top w:val="none" w:sz="0" w:space="0" w:color="auto"/>
                        <w:left w:val="none" w:sz="0" w:space="0" w:color="auto"/>
                        <w:bottom w:val="none" w:sz="0" w:space="0" w:color="auto"/>
                        <w:right w:val="none" w:sz="0" w:space="0" w:color="auto"/>
                      </w:divBdr>
                    </w:div>
                    <w:div w:id="549653638">
                      <w:marLeft w:val="0"/>
                      <w:marRight w:val="0"/>
                      <w:marTop w:val="0"/>
                      <w:marBottom w:val="0"/>
                      <w:divBdr>
                        <w:top w:val="none" w:sz="0" w:space="0" w:color="auto"/>
                        <w:left w:val="none" w:sz="0" w:space="0" w:color="auto"/>
                        <w:bottom w:val="none" w:sz="0" w:space="0" w:color="auto"/>
                        <w:right w:val="none" w:sz="0" w:space="0" w:color="auto"/>
                      </w:divBdr>
                    </w:div>
                    <w:div w:id="1625424210">
                      <w:marLeft w:val="0"/>
                      <w:marRight w:val="0"/>
                      <w:marTop w:val="0"/>
                      <w:marBottom w:val="0"/>
                      <w:divBdr>
                        <w:top w:val="none" w:sz="0" w:space="0" w:color="auto"/>
                        <w:left w:val="none" w:sz="0" w:space="0" w:color="auto"/>
                        <w:bottom w:val="none" w:sz="0" w:space="0" w:color="auto"/>
                        <w:right w:val="none" w:sz="0" w:space="0" w:color="auto"/>
                      </w:divBdr>
                    </w:div>
                    <w:div w:id="1963073574">
                      <w:marLeft w:val="0"/>
                      <w:marRight w:val="0"/>
                      <w:marTop w:val="0"/>
                      <w:marBottom w:val="0"/>
                      <w:divBdr>
                        <w:top w:val="none" w:sz="0" w:space="0" w:color="auto"/>
                        <w:left w:val="none" w:sz="0" w:space="0" w:color="auto"/>
                        <w:bottom w:val="none" w:sz="0" w:space="0" w:color="auto"/>
                        <w:right w:val="none" w:sz="0" w:space="0" w:color="auto"/>
                      </w:divBdr>
                    </w:div>
                    <w:div w:id="2095927951">
                      <w:marLeft w:val="0"/>
                      <w:marRight w:val="0"/>
                      <w:marTop w:val="0"/>
                      <w:marBottom w:val="0"/>
                      <w:divBdr>
                        <w:top w:val="none" w:sz="0" w:space="0" w:color="auto"/>
                        <w:left w:val="none" w:sz="0" w:space="0" w:color="auto"/>
                        <w:bottom w:val="none" w:sz="0" w:space="0" w:color="auto"/>
                        <w:right w:val="none" w:sz="0" w:space="0" w:color="auto"/>
                      </w:divBdr>
                    </w:div>
                  </w:divsChild>
                </w:div>
                <w:div w:id="1513715175">
                  <w:marLeft w:val="0"/>
                  <w:marRight w:val="0"/>
                  <w:marTop w:val="0"/>
                  <w:marBottom w:val="0"/>
                  <w:divBdr>
                    <w:top w:val="none" w:sz="0" w:space="0" w:color="auto"/>
                    <w:left w:val="none" w:sz="0" w:space="0" w:color="auto"/>
                    <w:bottom w:val="none" w:sz="0" w:space="0" w:color="auto"/>
                    <w:right w:val="none" w:sz="0" w:space="0" w:color="auto"/>
                  </w:divBdr>
                  <w:divsChild>
                    <w:div w:id="321084445">
                      <w:marLeft w:val="0"/>
                      <w:marRight w:val="0"/>
                      <w:marTop w:val="0"/>
                      <w:marBottom w:val="0"/>
                      <w:divBdr>
                        <w:top w:val="none" w:sz="0" w:space="0" w:color="auto"/>
                        <w:left w:val="none" w:sz="0" w:space="0" w:color="auto"/>
                        <w:bottom w:val="none" w:sz="0" w:space="0" w:color="auto"/>
                        <w:right w:val="none" w:sz="0" w:space="0" w:color="auto"/>
                      </w:divBdr>
                    </w:div>
                    <w:div w:id="732200722">
                      <w:marLeft w:val="0"/>
                      <w:marRight w:val="0"/>
                      <w:marTop w:val="0"/>
                      <w:marBottom w:val="0"/>
                      <w:divBdr>
                        <w:top w:val="none" w:sz="0" w:space="0" w:color="auto"/>
                        <w:left w:val="none" w:sz="0" w:space="0" w:color="auto"/>
                        <w:bottom w:val="none" w:sz="0" w:space="0" w:color="auto"/>
                        <w:right w:val="none" w:sz="0" w:space="0" w:color="auto"/>
                      </w:divBdr>
                    </w:div>
                    <w:div w:id="2005665212">
                      <w:marLeft w:val="0"/>
                      <w:marRight w:val="0"/>
                      <w:marTop w:val="0"/>
                      <w:marBottom w:val="0"/>
                      <w:divBdr>
                        <w:top w:val="none" w:sz="0" w:space="0" w:color="auto"/>
                        <w:left w:val="none" w:sz="0" w:space="0" w:color="auto"/>
                        <w:bottom w:val="none" w:sz="0" w:space="0" w:color="auto"/>
                        <w:right w:val="none" w:sz="0" w:space="0" w:color="auto"/>
                      </w:divBdr>
                    </w:div>
                  </w:divsChild>
                </w:div>
                <w:div w:id="1647928013">
                  <w:marLeft w:val="0"/>
                  <w:marRight w:val="0"/>
                  <w:marTop w:val="0"/>
                  <w:marBottom w:val="0"/>
                  <w:divBdr>
                    <w:top w:val="none" w:sz="0" w:space="0" w:color="auto"/>
                    <w:left w:val="none" w:sz="0" w:space="0" w:color="auto"/>
                    <w:bottom w:val="none" w:sz="0" w:space="0" w:color="auto"/>
                    <w:right w:val="none" w:sz="0" w:space="0" w:color="auto"/>
                  </w:divBdr>
                  <w:divsChild>
                    <w:div w:id="643318628">
                      <w:marLeft w:val="0"/>
                      <w:marRight w:val="0"/>
                      <w:marTop w:val="0"/>
                      <w:marBottom w:val="0"/>
                      <w:divBdr>
                        <w:top w:val="none" w:sz="0" w:space="0" w:color="auto"/>
                        <w:left w:val="none" w:sz="0" w:space="0" w:color="auto"/>
                        <w:bottom w:val="none" w:sz="0" w:space="0" w:color="auto"/>
                        <w:right w:val="none" w:sz="0" w:space="0" w:color="auto"/>
                      </w:divBdr>
                    </w:div>
                    <w:div w:id="1041399780">
                      <w:marLeft w:val="0"/>
                      <w:marRight w:val="0"/>
                      <w:marTop w:val="0"/>
                      <w:marBottom w:val="0"/>
                      <w:divBdr>
                        <w:top w:val="none" w:sz="0" w:space="0" w:color="auto"/>
                        <w:left w:val="none" w:sz="0" w:space="0" w:color="auto"/>
                        <w:bottom w:val="none" w:sz="0" w:space="0" w:color="auto"/>
                        <w:right w:val="none" w:sz="0" w:space="0" w:color="auto"/>
                      </w:divBdr>
                    </w:div>
                    <w:div w:id="1931890147">
                      <w:marLeft w:val="0"/>
                      <w:marRight w:val="0"/>
                      <w:marTop w:val="0"/>
                      <w:marBottom w:val="0"/>
                      <w:divBdr>
                        <w:top w:val="none" w:sz="0" w:space="0" w:color="auto"/>
                        <w:left w:val="none" w:sz="0" w:space="0" w:color="auto"/>
                        <w:bottom w:val="none" w:sz="0" w:space="0" w:color="auto"/>
                        <w:right w:val="none" w:sz="0" w:space="0" w:color="auto"/>
                      </w:divBdr>
                    </w:div>
                  </w:divsChild>
                </w:div>
                <w:div w:id="1657802254">
                  <w:marLeft w:val="0"/>
                  <w:marRight w:val="0"/>
                  <w:marTop w:val="0"/>
                  <w:marBottom w:val="0"/>
                  <w:divBdr>
                    <w:top w:val="none" w:sz="0" w:space="0" w:color="auto"/>
                    <w:left w:val="none" w:sz="0" w:space="0" w:color="auto"/>
                    <w:bottom w:val="none" w:sz="0" w:space="0" w:color="auto"/>
                    <w:right w:val="none" w:sz="0" w:space="0" w:color="auto"/>
                  </w:divBdr>
                  <w:divsChild>
                    <w:div w:id="1734502526">
                      <w:marLeft w:val="0"/>
                      <w:marRight w:val="0"/>
                      <w:marTop w:val="0"/>
                      <w:marBottom w:val="0"/>
                      <w:divBdr>
                        <w:top w:val="none" w:sz="0" w:space="0" w:color="auto"/>
                        <w:left w:val="none" w:sz="0" w:space="0" w:color="auto"/>
                        <w:bottom w:val="none" w:sz="0" w:space="0" w:color="auto"/>
                        <w:right w:val="none" w:sz="0" w:space="0" w:color="auto"/>
                      </w:divBdr>
                    </w:div>
                  </w:divsChild>
                </w:div>
                <w:div w:id="1668629119">
                  <w:marLeft w:val="0"/>
                  <w:marRight w:val="0"/>
                  <w:marTop w:val="0"/>
                  <w:marBottom w:val="0"/>
                  <w:divBdr>
                    <w:top w:val="none" w:sz="0" w:space="0" w:color="auto"/>
                    <w:left w:val="none" w:sz="0" w:space="0" w:color="auto"/>
                    <w:bottom w:val="none" w:sz="0" w:space="0" w:color="auto"/>
                    <w:right w:val="none" w:sz="0" w:space="0" w:color="auto"/>
                  </w:divBdr>
                  <w:divsChild>
                    <w:div w:id="277681806">
                      <w:marLeft w:val="0"/>
                      <w:marRight w:val="0"/>
                      <w:marTop w:val="0"/>
                      <w:marBottom w:val="0"/>
                      <w:divBdr>
                        <w:top w:val="none" w:sz="0" w:space="0" w:color="auto"/>
                        <w:left w:val="none" w:sz="0" w:space="0" w:color="auto"/>
                        <w:bottom w:val="none" w:sz="0" w:space="0" w:color="auto"/>
                        <w:right w:val="none" w:sz="0" w:space="0" w:color="auto"/>
                      </w:divBdr>
                    </w:div>
                  </w:divsChild>
                </w:div>
                <w:div w:id="1737703396">
                  <w:marLeft w:val="0"/>
                  <w:marRight w:val="0"/>
                  <w:marTop w:val="0"/>
                  <w:marBottom w:val="0"/>
                  <w:divBdr>
                    <w:top w:val="none" w:sz="0" w:space="0" w:color="auto"/>
                    <w:left w:val="none" w:sz="0" w:space="0" w:color="auto"/>
                    <w:bottom w:val="none" w:sz="0" w:space="0" w:color="auto"/>
                    <w:right w:val="none" w:sz="0" w:space="0" w:color="auto"/>
                  </w:divBdr>
                  <w:divsChild>
                    <w:div w:id="2042855005">
                      <w:marLeft w:val="0"/>
                      <w:marRight w:val="0"/>
                      <w:marTop w:val="0"/>
                      <w:marBottom w:val="0"/>
                      <w:divBdr>
                        <w:top w:val="none" w:sz="0" w:space="0" w:color="auto"/>
                        <w:left w:val="none" w:sz="0" w:space="0" w:color="auto"/>
                        <w:bottom w:val="none" w:sz="0" w:space="0" w:color="auto"/>
                        <w:right w:val="none" w:sz="0" w:space="0" w:color="auto"/>
                      </w:divBdr>
                    </w:div>
                  </w:divsChild>
                </w:div>
                <w:div w:id="1763840542">
                  <w:marLeft w:val="0"/>
                  <w:marRight w:val="0"/>
                  <w:marTop w:val="0"/>
                  <w:marBottom w:val="0"/>
                  <w:divBdr>
                    <w:top w:val="none" w:sz="0" w:space="0" w:color="auto"/>
                    <w:left w:val="none" w:sz="0" w:space="0" w:color="auto"/>
                    <w:bottom w:val="none" w:sz="0" w:space="0" w:color="auto"/>
                    <w:right w:val="none" w:sz="0" w:space="0" w:color="auto"/>
                  </w:divBdr>
                  <w:divsChild>
                    <w:div w:id="1059550956">
                      <w:marLeft w:val="0"/>
                      <w:marRight w:val="0"/>
                      <w:marTop w:val="0"/>
                      <w:marBottom w:val="0"/>
                      <w:divBdr>
                        <w:top w:val="none" w:sz="0" w:space="0" w:color="auto"/>
                        <w:left w:val="none" w:sz="0" w:space="0" w:color="auto"/>
                        <w:bottom w:val="none" w:sz="0" w:space="0" w:color="auto"/>
                        <w:right w:val="none" w:sz="0" w:space="0" w:color="auto"/>
                      </w:divBdr>
                    </w:div>
                  </w:divsChild>
                </w:div>
                <w:div w:id="1805734311">
                  <w:marLeft w:val="0"/>
                  <w:marRight w:val="0"/>
                  <w:marTop w:val="0"/>
                  <w:marBottom w:val="0"/>
                  <w:divBdr>
                    <w:top w:val="none" w:sz="0" w:space="0" w:color="auto"/>
                    <w:left w:val="none" w:sz="0" w:space="0" w:color="auto"/>
                    <w:bottom w:val="none" w:sz="0" w:space="0" w:color="auto"/>
                    <w:right w:val="none" w:sz="0" w:space="0" w:color="auto"/>
                  </w:divBdr>
                  <w:divsChild>
                    <w:div w:id="157694392">
                      <w:marLeft w:val="0"/>
                      <w:marRight w:val="0"/>
                      <w:marTop w:val="0"/>
                      <w:marBottom w:val="0"/>
                      <w:divBdr>
                        <w:top w:val="none" w:sz="0" w:space="0" w:color="auto"/>
                        <w:left w:val="none" w:sz="0" w:space="0" w:color="auto"/>
                        <w:bottom w:val="none" w:sz="0" w:space="0" w:color="auto"/>
                        <w:right w:val="none" w:sz="0" w:space="0" w:color="auto"/>
                      </w:divBdr>
                    </w:div>
                  </w:divsChild>
                </w:div>
                <w:div w:id="1879777919">
                  <w:marLeft w:val="0"/>
                  <w:marRight w:val="0"/>
                  <w:marTop w:val="0"/>
                  <w:marBottom w:val="0"/>
                  <w:divBdr>
                    <w:top w:val="none" w:sz="0" w:space="0" w:color="auto"/>
                    <w:left w:val="none" w:sz="0" w:space="0" w:color="auto"/>
                    <w:bottom w:val="none" w:sz="0" w:space="0" w:color="auto"/>
                    <w:right w:val="none" w:sz="0" w:space="0" w:color="auto"/>
                  </w:divBdr>
                  <w:divsChild>
                    <w:div w:id="1191800476">
                      <w:marLeft w:val="0"/>
                      <w:marRight w:val="0"/>
                      <w:marTop w:val="0"/>
                      <w:marBottom w:val="0"/>
                      <w:divBdr>
                        <w:top w:val="none" w:sz="0" w:space="0" w:color="auto"/>
                        <w:left w:val="none" w:sz="0" w:space="0" w:color="auto"/>
                        <w:bottom w:val="none" w:sz="0" w:space="0" w:color="auto"/>
                        <w:right w:val="none" w:sz="0" w:space="0" w:color="auto"/>
                      </w:divBdr>
                    </w:div>
                  </w:divsChild>
                </w:div>
                <w:div w:id="1898317148">
                  <w:marLeft w:val="0"/>
                  <w:marRight w:val="0"/>
                  <w:marTop w:val="0"/>
                  <w:marBottom w:val="0"/>
                  <w:divBdr>
                    <w:top w:val="none" w:sz="0" w:space="0" w:color="auto"/>
                    <w:left w:val="none" w:sz="0" w:space="0" w:color="auto"/>
                    <w:bottom w:val="none" w:sz="0" w:space="0" w:color="auto"/>
                    <w:right w:val="none" w:sz="0" w:space="0" w:color="auto"/>
                  </w:divBdr>
                  <w:divsChild>
                    <w:div w:id="1234202811">
                      <w:marLeft w:val="0"/>
                      <w:marRight w:val="0"/>
                      <w:marTop w:val="0"/>
                      <w:marBottom w:val="0"/>
                      <w:divBdr>
                        <w:top w:val="none" w:sz="0" w:space="0" w:color="auto"/>
                        <w:left w:val="none" w:sz="0" w:space="0" w:color="auto"/>
                        <w:bottom w:val="none" w:sz="0" w:space="0" w:color="auto"/>
                        <w:right w:val="none" w:sz="0" w:space="0" w:color="auto"/>
                      </w:divBdr>
                    </w:div>
                  </w:divsChild>
                </w:div>
                <w:div w:id="1898932678">
                  <w:marLeft w:val="0"/>
                  <w:marRight w:val="0"/>
                  <w:marTop w:val="0"/>
                  <w:marBottom w:val="0"/>
                  <w:divBdr>
                    <w:top w:val="none" w:sz="0" w:space="0" w:color="auto"/>
                    <w:left w:val="none" w:sz="0" w:space="0" w:color="auto"/>
                    <w:bottom w:val="none" w:sz="0" w:space="0" w:color="auto"/>
                    <w:right w:val="none" w:sz="0" w:space="0" w:color="auto"/>
                  </w:divBdr>
                  <w:divsChild>
                    <w:div w:id="1655838528">
                      <w:marLeft w:val="0"/>
                      <w:marRight w:val="0"/>
                      <w:marTop w:val="0"/>
                      <w:marBottom w:val="0"/>
                      <w:divBdr>
                        <w:top w:val="none" w:sz="0" w:space="0" w:color="auto"/>
                        <w:left w:val="none" w:sz="0" w:space="0" w:color="auto"/>
                        <w:bottom w:val="none" w:sz="0" w:space="0" w:color="auto"/>
                        <w:right w:val="none" w:sz="0" w:space="0" w:color="auto"/>
                      </w:divBdr>
                    </w:div>
                  </w:divsChild>
                </w:div>
                <w:div w:id="1900824322">
                  <w:marLeft w:val="0"/>
                  <w:marRight w:val="0"/>
                  <w:marTop w:val="0"/>
                  <w:marBottom w:val="0"/>
                  <w:divBdr>
                    <w:top w:val="none" w:sz="0" w:space="0" w:color="auto"/>
                    <w:left w:val="none" w:sz="0" w:space="0" w:color="auto"/>
                    <w:bottom w:val="none" w:sz="0" w:space="0" w:color="auto"/>
                    <w:right w:val="none" w:sz="0" w:space="0" w:color="auto"/>
                  </w:divBdr>
                  <w:divsChild>
                    <w:div w:id="268124627">
                      <w:marLeft w:val="0"/>
                      <w:marRight w:val="0"/>
                      <w:marTop w:val="0"/>
                      <w:marBottom w:val="0"/>
                      <w:divBdr>
                        <w:top w:val="none" w:sz="0" w:space="0" w:color="auto"/>
                        <w:left w:val="none" w:sz="0" w:space="0" w:color="auto"/>
                        <w:bottom w:val="none" w:sz="0" w:space="0" w:color="auto"/>
                        <w:right w:val="none" w:sz="0" w:space="0" w:color="auto"/>
                      </w:divBdr>
                    </w:div>
                    <w:div w:id="1343237349">
                      <w:marLeft w:val="0"/>
                      <w:marRight w:val="0"/>
                      <w:marTop w:val="0"/>
                      <w:marBottom w:val="0"/>
                      <w:divBdr>
                        <w:top w:val="none" w:sz="0" w:space="0" w:color="auto"/>
                        <w:left w:val="none" w:sz="0" w:space="0" w:color="auto"/>
                        <w:bottom w:val="none" w:sz="0" w:space="0" w:color="auto"/>
                        <w:right w:val="none" w:sz="0" w:space="0" w:color="auto"/>
                      </w:divBdr>
                    </w:div>
                    <w:div w:id="1374842233">
                      <w:marLeft w:val="0"/>
                      <w:marRight w:val="0"/>
                      <w:marTop w:val="0"/>
                      <w:marBottom w:val="0"/>
                      <w:divBdr>
                        <w:top w:val="none" w:sz="0" w:space="0" w:color="auto"/>
                        <w:left w:val="none" w:sz="0" w:space="0" w:color="auto"/>
                        <w:bottom w:val="none" w:sz="0" w:space="0" w:color="auto"/>
                        <w:right w:val="none" w:sz="0" w:space="0" w:color="auto"/>
                      </w:divBdr>
                    </w:div>
                    <w:div w:id="1455520640">
                      <w:marLeft w:val="0"/>
                      <w:marRight w:val="0"/>
                      <w:marTop w:val="0"/>
                      <w:marBottom w:val="0"/>
                      <w:divBdr>
                        <w:top w:val="none" w:sz="0" w:space="0" w:color="auto"/>
                        <w:left w:val="none" w:sz="0" w:space="0" w:color="auto"/>
                        <w:bottom w:val="none" w:sz="0" w:space="0" w:color="auto"/>
                        <w:right w:val="none" w:sz="0" w:space="0" w:color="auto"/>
                      </w:divBdr>
                    </w:div>
                  </w:divsChild>
                </w:div>
                <w:div w:id="1946378826">
                  <w:marLeft w:val="0"/>
                  <w:marRight w:val="0"/>
                  <w:marTop w:val="0"/>
                  <w:marBottom w:val="0"/>
                  <w:divBdr>
                    <w:top w:val="none" w:sz="0" w:space="0" w:color="auto"/>
                    <w:left w:val="none" w:sz="0" w:space="0" w:color="auto"/>
                    <w:bottom w:val="none" w:sz="0" w:space="0" w:color="auto"/>
                    <w:right w:val="none" w:sz="0" w:space="0" w:color="auto"/>
                  </w:divBdr>
                  <w:divsChild>
                    <w:div w:id="1914048262">
                      <w:marLeft w:val="0"/>
                      <w:marRight w:val="0"/>
                      <w:marTop w:val="0"/>
                      <w:marBottom w:val="0"/>
                      <w:divBdr>
                        <w:top w:val="none" w:sz="0" w:space="0" w:color="auto"/>
                        <w:left w:val="none" w:sz="0" w:space="0" w:color="auto"/>
                        <w:bottom w:val="none" w:sz="0" w:space="0" w:color="auto"/>
                        <w:right w:val="none" w:sz="0" w:space="0" w:color="auto"/>
                      </w:divBdr>
                    </w:div>
                  </w:divsChild>
                </w:div>
                <w:div w:id="2016493514">
                  <w:marLeft w:val="0"/>
                  <w:marRight w:val="0"/>
                  <w:marTop w:val="0"/>
                  <w:marBottom w:val="0"/>
                  <w:divBdr>
                    <w:top w:val="none" w:sz="0" w:space="0" w:color="auto"/>
                    <w:left w:val="none" w:sz="0" w:space="0" w:color="auto"/>
                    <w:bottom w:val="none" w:sz="0" w:space="0" w:color="auto"/>
                    <w:right w:val="none" w:sz="0" w:space="0" w:color="auto"/>
                  </w:divBdr>
                  <w:divsChild>
                    <w:div w:id="339159206">
                      <w:marLeft w:val="0"/>
                      <w:marRight w:val="0"/>
                      <w:marTop w:val="0"/>
                      <w:marBottom w:val="0"/>
                      <w:divBdr>
                        <w:top w:val="none" w:sz="0" w:space="0" w:color="auto"/>
                        <w:left w:val="none" w:sz="0" w:space="0" w:color="auto"/>
                        <w:bottom w:val="none" w:sz="0" w:space="0" w:color="auto"/>
                        <w:right w:val="none" w:sz="0" w:space="0" w:color="auto"/>
                      </w:divBdr>
                    </w:div>
                  </w:divsChild>
                </w:div>
                <w:div w:id="2018263753">
                  <w:marLeft w:val="0"/>
                  <w:marRight w:val="0"/>
                  <w:marTop w:val="0"/>
                  <w:marBottom w:val="0"/>
                  <w:divBdr>
                    <w:top w:val="none" w:sz="0" w:space="0" w:color="auto"/>
                    <w:left w:val="none" w:sz="0" w:space="0" w:color="auto"/>
                    <w:bottom w:val="none" w:sz="0" w:space="0" w:color="auto"/>
                    <w:right w:val="none" w:sz="0" w:space="0" w:color="auto"/>
                  </w:divBdr>
                  <w:divsChild>
                    <w:div w:id="240532837">
                      <w:marLeft w:val="0"/>
                      <w:marRight w:val="0"/>
                      <w:marTop w:val="0"/>
                      <w:marBottom w:val="0"/>
                      <w:divBdr>
                        <w:top w:val="none" w:sz="0" w:space="0" w:color="auto"/>
                        <w:left w:val="none" w:sz="0" w:space="0" w:color="auto"/>
                        <w:bottom w:val="none" w:sz="0" w:space="0" w:color="auto"/>
                        <w:right w:val="none" w:sz="0" w:space="0" w:color="auto"/>
                      </w:divBdr>
                    </w:div>
                  </w:divsChild>
                </w:div>
                <w:div w:id="2140342306">
                  <w:marLeft w:val="0"/>
                  <w:marRight w:val="0"/>
                  <w:marTop w:val="0"/>
                  <w:marBottom w:val="0"/>
                  <w:divBdr>
                    <w:top w:val="none" w:sz="0" w:space="0" w:color="auto"/>
                    <w:left w:val="none" w:sz="0" w:space="0" w:color="auto"/>
                    <w:bottom w:val="none" w:sz="0" w:space="0" w:color="auto"/>
                    <w:right w:val="none" w:sz="0" w:space="0" w:color="auto"/>
                  </w:divBdr>
                  <w:divsChild>
                    <w:div w:id="148616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92297">
          <w:marLeft w:val="0"/>
          <w:marRight w:val="0"/>
          <w:marTop w:val="0"/>
          <w:marBottom w:val="0"/>
          <w:divBdr>
            <w:top w:val="none" w:sz="0" w:space="0" w:color="auto"/>
            <w:left w:val="none" w:sz="0" w:space="0" w:color="auto"/>
            <w:bottom w:val="none" w:sz="0" w:space="0" w:color="auto"/>
            <w:right w:val="none" w:sz="0" w:space="0" w:color="auto"/>
          </w:divBdr>
        </w:div>
        <w:div w:id="1456094972">
          <w:marLeft w:val="0"/>
          <w:marRight w:val="0"/>
          <w:marTop w:val="0"/>
          <w:marBottom w:val="0"/>
          <w:divBdr>
            <w:top w:val="none" w:sz="0" w:space="0" w:color="auto"/>
            <w:left w:val="none" w:sz="0" w:space="0" w:color="auto"/>
            <w:bottom w:val="none" w:sz="0" w:space="0" w:color="auto"/>
            <w:right w:val="none" w:sz="0" w:space="0" w:color="auto"/>
          </w:divBdr>
        </w:div>
        <w:div w:id="1473329875">
          <w:marLeft w:val="0"/>
          <w:marRight w:val="0"/>
          <w:marTop w:val="0"/>
          <w:marBottom w:val="0"/>
          <w:divBdr>
            <w:top w:val="none" w:sz="0" w:space="0" w:color="auto"/>
            <w:left w:val="none" w:sz="0" w:space="0" w:color="auto"/>
            <w:bottom w:val="none" w:sz="0" w:space="0" w:color="auto"/>
            <w:right w:val="none" w:sz="0" w:space="0" w:color="auto"/>
          </w:divBdr>
        </w:div>
        <w:div w:id="1500389764">
          <w:marLeft w:val="0"/>
          <w:marRight w:val="0"/>
          <w:marTop w:val="0"/>
          <w:marBottom w:val="0"/>
          <w:divBdr>
            <w:top w:val="none" w:sz="0" w:space="0" w:color="auto"/>
            <w:left w:val="none" w:sz="0" w:space="0" w:color="auto"/>
            <w:bottom w:val="none" w:sz="0" w:space="0" w:color="auto"/>
            <w:right w:val="none" w:sz="0" w:space="0" w:color="auto"/>
          </w:divBdr>
        </w:div>
        <w:div w:id="1549611945">
          <w:marLeft w:val="0"/>
          <w:marRight w:val="0"/>
          <w:marTop w:val="0"/>
          <w:marBottom w:val="0"/>
          <w:divBdr>
            <w:top w:val="none" w:sz="0" w:space="0" w:color="auto"/>
            <w:left w:val="none" w:sz="0" w:space="0" w:color="auto"/>
            <w:bottom w:val="none" w:sz="0" w:space="0" w:color="auto"/>
            <w:right w:val="none" w:sz="0" w:space="0" w:color="auto"/>
          </w:divBdr>
        </w:div>
        <w:div w:id="1595747305">
          <w:marLeft w:val="0"/>
          <w:marRight w:val="0"/>
          <w:marTop w:val="0"/>
          <w:marBottom w:val="0"/>
          <w:divBdr>
            <w:top w:val="none" w:sz="0" w:space="0" w:color="auto"/>
            <w:left w:val="none" w:sz="0" w:space="0" w:color="auto"/>
            <w:bottom w:val="none" w:sz="0" w:space="0" w:color="auto"/>
            <w:right w:val="none" w:sz="0" w:space="0" w:color="auto"/>
          </w:divBdr>
        </w:div>
        <w:div w:id="1642079224">
          <w:marLeft w:val="0"/>
          <w:marRight w:val="0"/>
          <w:marTop w:val="0"/>
          <w:marBottom w:val="0"/>
          <w:divBdr>
            <w:top w:val="none" w:sz="0" w:space="0" w:color="auto"/>
            <w:left w:val="none" w:sz="0" w:space="0" w:color="auto"/>
            <w:bottom w:val="none" w:sz="0" w:space="0" w:color="auto"/>
            <w:right w:val="none" w:sz="0" w:space="0" w:color="auto"/>
          </w:divBdr>
          <w:divsChild>
            <w:div w:id="39521461">
              <w:marLeft w:val="0"/>
              <w:marRight w:val="0"/>
              <w:marTop w:val="0"/>
              <w:marBottom w:val="0"/>
              <w:divBdr>
                <w:top w:val="none" w:sz="0" w:space="0" w:color="auto"/>
                <w:left w:val="none" w:sz="0" w:space="0" w:color="auto"/>
                <w:bottom w:val="none" w:sz="0" w:space="0" w:color="auto"/>
                <w:right w:val="none" w:sz="0" w:space="0" w:color="auto"/>
              </w:divBdr>
            </w:div>
            <w:div w:id="144203825">
              <w:marLeft w:val="0"/>
              <w:marRight w:val="0"/>
              <w:marTop w:val="0"/>
              <w:marBottom w:val="0"/>
              <w:divBdr>
                <w:top w:val="none" w:sz="0" w:space="0" w:color="auto"/>
                <w:left w:val="none" w:sz="0" w:space="0" w:color="auto"/>
                <w:bottom w:val="none" w:sz="0" w:space="0" w:color="auto"/>
                <w:right w:val="none" w:sz="0" w:space="0" w:color="auto"/>
              </w:divBdr>
            </w:div>
            <w:div w:id="156842392">
              <w:marLeft w:val="0"/>
              <w:marRight w:val="0"/>
              <w:marTop w:val="0"/>
              <w:marBottom w:val="0"/>
              <w:divBdr>
                <w:top w:val="none" w:sz="0" w:space="0" w:color="auto"/>
                <w:left w:val="none" w:sz="0" w:space="0" w:color="auto"/>
                <w:bottom w:val="none" w:sz="0" w:space="0" w:color="auto"/>
                <w:right w:val="none" w:sz="0" w:space="0" w:color="auto"/>
              </w:divBdr>
            </w:div>
            <w:div w:id="453643198">
              <w:marLeft w:val="0"/>
              <w:marRight w:val="0"/>
              <w:marTop w:val="0"/>
              <w:marBottom w:val="0"/>
              <w:divBdr>
                <w:top w:val="none" w:sz="0" w:space="0" w:color="auto"/>
                <w:left w:val="none" w:sz="0" w:space="0" w:color="auto"/>
                <w:bottom w:val="none" w:sz="0" w:space="0" w:color="auto"/>
                <w:right w:val="none" w:sz="0" w:space="0" w:color="auto"/>
              </w:divBdr>
            </w:div>
            <w:div w:id="2012683026">
              <w:marLeft w:val="0"/>
              <w:marRight w:val="0"/>
              <w:marTop w:val="0"/>
              <w:marBottom w:val="0"/>
              <w:divBdr>
                <w:top w:val="none" w:sz="0" w:space="0" w:color="auto"/>
                <w:left w:val="none" w:sz="0" w:space="0" w:color="auto"/>
                <w:bottom w:val="none" w:sz="0" w:space="0" w:color="auto"/>
                <w:right w:val="none" w:sz="0" w:space="0" w:color="auto"/>
              </w:divBdr>
            </w:div>
          </w:divsChild>
        </w:div>
        <w:div w:id="1650596080">
          <w:marLeft w:val="0"/>
          <w:marRight w:val="0"/>
          <w:marTop w:val="0"/>
          <w:marBottom w:val="0"/>
          <w:divBdr>
            <w:top w:val="none" w:sz="0" w:space="0" w:color="auto"/>
            <w:left w:val="none" w:sz="0" w:space="0" w:color="auto"/>
            <w:bottom w:val="none" w:sz="0" w:space="0" w:color="auto"/>
            <w:right w:val="none" w:sz="0" w:space="0" w:color="auto"/>
          </w:divBdr>
        </w:div>
        <w:div w:id="1658264290">
          <w:marLeft w:val="0"/>
          <w:marRight w:val="0"/>
          <w:marTop w:val="0"/>
          <w:marBottom w:val="0"/>
          <w:divBdr>
            <w:top w:val="none" w:sz="0" w:space="0" w:color="auto"/>
            <w:left w:val="none" w:sz="0" w:space="0" w:color="auto"/>
            <w:bottom w:val="none" w:sz="0" w:space="0" w:color="auto"/>
            <w:right w:val="none" w:sz="0" w:space="0" w:color="auto"/>
          </w:divBdr>
          <w:divsChild>
            <w:div w:id="504052349">
              <w:marLeft w:val="0"/>
              <w:marRight w:val="0"/>
              <w:marTop w:val="0"/>
              <w:marBottom w:val="0"/>
              <w:divBdr>
                <w:top w:val="none" w:sz="0" w:space="0" w:color="auto"/>
                <w:left w:val="none" w:sz="0" w:space="0" w:color="auto"/>
                <w:bottom w:val="none" w:sz="0" w:space="0" w:color="auto"/>
                <w:right w:val="none" w:sz="0" w:space="0" w:color="auto"/>
              </w:divBdr>
            </w:div>
            <w:div w:id="1110786103">
              <w:marLeft w:val="0"/>
              <w:marRight w:val="0"/>
              <w:marTop w:val="0"/>
              <w:marBottom w:val="0"/>
              <w:divBdr>
                <w:top w:val="none" w:sz="0" w:space="0" w:color="auto"/>
                <w:left w:val="none" w:sz="0" w:space="0" w:color="auto"/>
                <w:bottom w:val="none" w:sz="0" w:space="0" w:color="auto"/>
                <w:right w:val="none" w:sz="0" w:space="0" w:color="auto"/>
              </w:divBdr>
            </w:div>
            <w:div w:id="1429429744">
              <w:marLeft w:val="0"/>
              <w:marRight w:val="0"/>
              <w:marTop w:val="0"/>
              <w:marBottom w:val="0"/>
              <w:divBdr>
                <w:top w:val="none" w:sz="0" w:space="0" w:color="auto"/>
                <w:left w:val="none" w:sz="0" w:space="0" w:color="auto"/>
                <w:bottom w:val="none" w:sz="0" w:space="0" w:color="auto"/>
                <w:right w:val="none" w:sz="0" w:space="0" w:color="auto"/>
              </w:divBdr>
            </w:div>
            <w:div w:id="1554847484">
              <w:marLeft w:val="0"/>
              <w:marRight w:val="0"/>
              <w:marTop w:val="0"/>
              <w:marBottom w:val="0"/>
              <w:divBdr>
                <w:top w:val="none" w:sz="0" w:space="0" w:color="auto"/>
                <w:left w:val="none" w:sz="0" w:space="0" w:color="auto"/>
                <w:bottom w:val="none" w:sz="0" w:space="0" w:color="auto"/>
                <w:right w:val="none" w:sz="0" w:space="0" w:color="auto"/>
              </w:divBdr>
            </w:div>
            <w:div w:id="1956671311">
              <w:marLeft w:val="0"/>
              <w:marRight w:val="0"/>
              <w:marTop w:val="0"/>
              <w:marBottom w:val="0"/>
              <w:divBdr>
                <w:top w:val="none" w:sz="0" w:space="0" w:color="auto"/>
                <w:left w:val="none" w:sz="0" w:space="0" w:color="auto"/>
                <w:bottom w:val="none" w:sz="0" w:space="0" w:color="auto"/>
                <w:right w:val="none" w:sz="0" w:space="0" w:color="auto"/>
              </w:divBdr>
            </w:div>
          </w:divsChild>
        </w:div>
        <w:div w:id="1662613119">
          <w:marLeft w:val="0"/>
          <w:marRight w:val="0"/>
          <w:marTop w:val="0"/>
          <w:marBottom w:val="0"/>
          <w:divBdr>
            <w:top w:val="none" w:sz="0" w:space="0" w:color="auto"/>
            <w:left w:val="none" w:sz="0" w:space="0" w:color="auto"/>
            <w:bottom w:val="none" w:sz="0" w:space="0" w:color="auto"/>
            <w:right w:val="none" w:sz="0" w:space="0" w:color="auto"/>
          </w:divBdr>
        </w:div>
        <w:div w:id="1669015354">
          <w:marLeft w:val="0"/>
          <w:marRight w:val="0"/>
          <w:marTop w:val="0"/>
          <w:marBottom w:val="0"/>
          <w:divBdr>
            <w:top w:val="none" w:sz="0" w:space="0" w:color="auto"/>
            <w:left w:val="none" w:sz="0" w:space="0" w:color="auto"/>
            <w:bottom w:val="none" w:sz="0" w:space="0" w:color="auto"/>
            <w:right w:val="none" w:sz="0" w:space="0" w:color="auto"/>
          </w:divBdr>
          <w:divsChild>
            <w:div w:id="555163441">
              <w:marLeft w:val="0"/>
              <w:marRight w:val="0"/>
              <w:marTop w:val="0"/>
              <w:marBottom w:val="0"/>
              <w:divBdr>
                <w:top w:val="none" w:sz="0" w:space="0" w:color="auto"/>
                <w:left w:val="none" w:sz="0" w:space="0" w:color="auto"/>
                <w:bottom w:val="none" w:sz="0" w:space="0" w:color="auto"/>
                <w:right w:val="none" w:sz="0" w:space="0" w:color="auto"/>
              </w:divBdr>
            </w:div>
            <w:div w:id="659499355">
              <w:marLeft w:val="0"/>
              <w:marRight w:val="0"/>
              <w:marTop w:val="0"/>
              <w:marBottom w:val="0"/>
              <w:divBdr>
                <w:top w:val="none" w:sz="0" w:space="0" w:color="auto"/>
                <w:left w:val="none" w:sz="0" w:space="0" w:color="auto"/>
                <w:bottom w:val="none" w:sz="0" w:space="0" w:color="auto"/>
                <w:right w:val="none" w:sz="0" w:space="0" w:color="auto"/>
              </w:divBdr>
            </w:div>
            <w:div w:id="876891397">
              <w:marLeft w:val="0"/>
              <w:marRight w:val="0"/>
              <w:marTop w:val="0"/>
              <w:marBottom w:val="0"/>
              <w:divBdr>
                <w:top w:val="none" w:sz="0" w:space="0" w:color="auto"/>
                <w:left w:val="none" w:sz="0" w:space="0" w:color="auto"/>
                <w:bottom w:val="none" w:sz="0" w:space="0" w:color="auto"/>
                <w:right w:val="none" w:sz="0" w:space="0" w:color="auto"/>
              </w:divBdr>
            </w:div>
            <w:div w:id="1312783982">
              <w:marLeft w:val="0"/>
              <w:marRight w:val="0"/>
              <w:marTop w:val="0"/>
              <w:marBottom w:val="0"/>
              <w:divBdr>
                <w:top w:val="none" w:sz="0" w:space="0" w:color="auto"/>
                <w:left w:val="none" w:sz="0" w:space="0" w:color="auto"/>
                <w:bottom w:val="none" w:sz="0" w:space="0" w:color="auto"/>
                <w:right w:val="none" w:sz="0" w:space="0" w:color="auto"/>
              </w:divBdr>
            </w:div>
            <w:div w:id="2068188702">
              <w:marLeft w:val="0"/>
              <w:marRight w:val="0"/>
              <w:marTop w:val="0"/>
              <w:marBottom w:val="0"/>
              <w:divBdr>
                <w:top w:val="none" w:sz="0" w:space="0" w:color="auto"/>
                <w:left w:val="none" w:sz="0" w:space="0" w:color="auto"/>
                <w:bottom w:val="none" w:sz="0" w:space="0" w:color="auto"/>
                <w:right w:val="none" w:sz="0" w:space="0" w:color="auto"/>
              </w:divBdr>
            </w:div>
          </w:divsChild>
        </w:div>
        <w:div w:id="1698773136">
          <w:marLeft w:val="0"/>
          <w:marRight w:val="0"/>
          <w:marTop w:val="0"/>
          <w:marBottom w:val="0"/>
          <w:divBdr>
            <w:top w:val="none" w:sz="0" w:space="0" w:color="auto"/>
            <w:left w:val="none" w:sz="0" w:space="0" w:color="auto"/>
            <w:bottom w:val="none" w:sz="0" w:space="0" w:color="auto"/>
            <w:right w:val="none" w:sz="0" w:space="0" w:color="auto"/>
          </w:divBdr>
        </w:div>
        <w:div w:id="1714229085">
          <w:marLeft w:val="0"/>
          <w:marRight w:val="0"/>
          <w:marTop w:val="0"/>
          <w:marBottom w:val="0"/>
          <w:divBdr>
            <w:top w:val="none" w:sz="0" w:space="0" w:color="auto"/>
            <w:left w:val="none" w:sz="0" w:space="0" w:color="auto"/>
            <w:bottom w:val="none" w:sz="0" w:space="0" w:color="auto"/>
            <w:right w:val="none" w:sz="0" w:space="0" w:color="auto"/>
          </w:divBdr>
        </w:div>
        <w:div w:id="1732263397">
          <w:marLeft w:val="0"/>
          <w:marRight w:val="0"/>
          <w:marTop w:val="0"/>
          <w:marBottom w:val="0"/>
          <w:divBdr>
            <w:top w:val="none" w:sz="0" w:space="0" w:color="auto"/>
            <w:left w:val="none" w:sz="0" w:space="0" w:color="auto"/>
            <w:bottom w:val="none" w:sz="0" w:space="0" w:color="auto"/>
            <w:right w:val="none" w:sz="0" w:space="0" w:color="auto"/>
          </w:divBdr>
        </w:div>
        <w:div w:id="1743672180">
          <w:marLeft w:val="0"/>
          <w:marRight w:val="0"/>
          <w:marTop w:val="0"/>
          <w:marBottom w:val="0"/>
          <w:divBdr>
            <w:top w:val="none" w:sz="0" w:space="0" w:color="auto"/>
            <w:left w:val="none" w:sz="0" w:space="0" w:color="auto"/>
            <w:bottom w:val="none" w:sz="0" w:space="0" w:color="auto"/>
            <w:right w:val="none" w:sz="0" w:space="0" w:color="auto"/>
          </w:divBdr>
          <w:divsChild>
            <w:div w:id="1984699567">
              <w:marLeft w:val="-75"/>
              <w:marRight w:val="0"/>
              <w:marTop w:val="30"/>
              <w:marBottom w:val="30"/>
              <w:divBdr>
                <w:top w:val="none" w:sz="0" w:space="0" w:color="auto"/>
                <w:left w:val="none" w:sz="0" w:space="0" w:color="auto"/>
                <w:bottom w:val="none" w:sz="0" w:space="0" w:color="auto"/>
                <w:right w:val="none" w:sz="0" w:space="0" w:color="auto"/>
              </w:divBdr>
              <w:divsChild>
                <w:div w:id="120268742">
                  <w:marLeft w:val="0"/>
                  <w:marRight w:val="0"/>
                  <w:marTop w:val="0"/>
                  <w:marBottom w:val="0"/>
                  <w:divBdr>
                    <w:top w:val="none" w:sz="0" w:space="0" w:color="auto"/>
                    <w:left w:val="none" w:sz="0" w:space="0" w:color="auto"/>
                    <w:bottom w:val="none" w:sz="0" w:space="0" w:color="auto"/>
                    <w:right w:val="none" w:sz="0" w:space="0" w:color="auto"/>
                  </w:divBdr>
                  <w:divsChild>
                    <w:div w:id="746851462">
                      <w:marLeft w:val="0"/>
                      <w:marRight w:val="0"/>
                      <w:marTop w:val="0"/>
                      <w:marBottom w:val="0"/>
                      <w:divBdr>
                        <w:top w:val="none" w:sz="0" w:space="0" w:color="auto"/>
                        <w:left w:val="none" w:sz="0" w:space="0" w:color="auto"/>
                        <w:bottom w:val="none" w:sz="0" w:space="0" w:color="auto"/>
                        <w:right w:val="none" w:sz="0" w:space="0" w:color="auto"/>
                      </w:divBdr>
                    </w:div>
                  </w:divsChild>
                </w:div>
                <w:div w:id="131678616">
                  <w:marLeft w:val="0"/>
                  <w:marRight w:val="0"/>
                  <w:marTop w:val="0"/>
                  <w:marBottom w:val="0"/>
                  <w:divBdr>
                    <w:top w:val="none" w:sz="0" w:space="0" w:color="auto"/>
                    <w:left w:val="none" w:sz="0" w:space="0" w:color="auto"/>
                    <w:bottom w:val="none" w:sz="0" w:space="0" w:color="auto"/>
                    <w:right w:val="none" w:sz="0" w:space="0" w:color="auto"/>
                  </w:divBdr>
                  <w:divsChild>
                    <w:div w:id="223175730">
                      <w:marLeft w:val="0"/>
                      <w:marRight w:val="0"/>
                      <w:marTop w:val="0"/>
                      <w:marBottom w:val="0"/>
                      <w:divBdr>
                        <w:top w:val="none" w:sz="0" w:space="0" w:color="auto"/>
                        <w:left w:val="none" w:sz="0" w:space="0" w:color="auto"/>
                        <w:bottom w:val="none" w:sz="0" w:space="0" w:color="auto"/>
                        <w:right w:val="none" w:sz="0" w:space="0" w:color="auto"/>
                      </w:divBdr>
                    </w:div>
                  </w:divsChild>
                </w:div>
                <w:div w:id="134376093">
                  <w:marLeft w:val="0"/>
                  <w:marRight w:val="0"/>
                  <w:marTop w:val="0"/>
                  <w:marBottom w:val="0"/>
                  <w:divBdr>
                    <w:top w:val="none" w:sz="0" w:space="0" w:color="auto"/>
                    <w:left w:val="none" w:sz="0" w:space="0" w:color="auto"/>
                    <w:bottom w:val="none" w:sz="0" w:space="0" w:color="auto"/>
                    <w:right w:val="none" w:sz="0" w:space="0" w:color="auto"/>
                  </w:divBdr>
                  <w:divsChild>
                    <w:div w:id="427232801">
                      <w:marLeft w:val="0"/>
                      <w:marRight w:val="0"/>
                      <w:marTop w:val="0"/>
                      <w:marBottom w:val="0"/>
                      <w:divBdr>
                        <w:top w:val="none" w:sz="0" w:space="0" w:color="auto"/>
                        <w:left w:val="none" w:sz="0" w:space="0" w:color="auto"/>
                        <w:bottom w:val="none" w:sz="0" w:space="0" w:color="auto"/>
                        <w:right w:val="none" w:sz="0" w:space="0" w:color="auto"/>
                      </w:divBdr>
                    </w:div>
                  </w:divsChild>
                </w:div>
                <w:div w:id="183708879">
                  <w:marLeft w:val="0"/>
                  <w:marRight w:val="0"/>
                  <w:marTop w:val="0"/>
                  <w:marBottom w:val="0"/>
                  <w:divBdr>
                    <w:top w:val="none" w:sz="0" w:space="0" w:color="auto"/>
                    <w:left w:val="none" w:sz="0" w:space="0" w:color="auto"/>
                    <w:bottom w:val="none" w:sz="0" w:space="0" w:color="auto"/>
                    <w:right w:val="none" w:sz="0" w:space="0" w:color="auto"/>
                  </w:divBdr>
                  <w:divsChild>
                    <w:div w:id="989552644">
                      <w:marLeft w:val="0"/>
                      <w:marRight w:val="0"/>
                      <w:marTop w:val="0"/>
                      <w:marBottom w:val="0"/>
                      <w:divBdr>
                        <w:top w:val="none" w:sz="0" w:space="0" w:color="auto"/>
                        <w:left w:val="none" w:sz="0" w:space="0" w:color="auto"/>
                        <w:bottom w:val="none" w:sz="0" w:space="0" w:color="auto"/>
                        <w:right w:val="none" w:sz="0" w:space="0" w:color="auto"/>
                      </w:divBdr>
                    </w:div>
                  </w:divsChild>
                </w:div>
                <w:div w:id="282225529">
                  <w:marLeft w:val="0"/>
                  <w:marRight w:val="0"/>
                  <w:marTop w:val="0"/>
                  <w:marBottom w:val="0"/>
                  <w:divBdr>
                    <w:top w:val="none" w:sz="0" w:space="0" w:color="auto"/>
                    <w:left w:val="none" w:sz="0" w:space="0" w:color="auto"/>
                    <w:bottom w:val="none" w:sz="0" w:space="0" w:color="auto"/>
                    <w:right w:val="none" w:sz="0" w:space="0" w:color="auto"/>
                  </w:divBdr>
                  <w:divsChild>
                    <w:div w:id="728267471">
                      <w:marLeft w:val="0"/>
                      <w:marRight w:val="0"/>
                      <w:marTop w:val="0"/>
                      <w:marBottom w:val="0"/>
                      <w:divBdr>
                        <w:top w:val="none" w:sz="0" w:space="0" w:color="auto"/>
                        <w:left w:val="none" w:sz="0" w:space="0" w:color="auto"/>
                        <w:bottom w:val="none" w:sz="0" w:space="0" w:color="auto"/>
                        <w:right w:val="none" w:sz="0" w:space="0" w:color="auto"/>
                      </w:divBdr>
                    </w:div>
                  </w:divsChild>
                </w:div>
                <w:div w:id="321472937">
                  <w:marLeft w:val="0"/>
                  <w:marRight w:val="0"/>
                  <w:marTop w:val="0"/>
                  <w:marBottom w:val="0"/>
                  <w:divBdr>
                    <w:top w:val="none" w:sz="0" w:space="0" w:color="auto"/>
                    <w:left w:val="none" w:sz="0" w:space="0" w:color="auto"/>
                    <w:bottom w:val="none" w:sz="0" w:space="0" w:color="auto"/>
                    <w:right w:val="none" w:sz="0" w:space="0" w:color="auto"/>
                  </w:divBdr>
                  <w:divsChild>
                    <w:div w:id="1576087636">
                      <w:marLeft w:val="0"/>
                      <w:marRight w:val="0"/>
                      <w:marTop w:val="0"/>
                      <w:marBottom w:val="0"/>
                      <w:divBdr>
                        <w:top w:val="none" w:sz="0" w:space="0" w:color="auto"/>
                        <w:left w:val="none" w:sz="0" w:space="0" w:color="auto"/>
                        <w:bottom w:val="none" w:sz="0" w:space="0" w:color="auto"/>
                        <w:right w:val="none" w:sz="0" w:space="0" w:color="auto"/>
                      </w:divBdr>
                    </w:div>
                  </w:divsChild>
                </w:div>
                <w:div w:id="348217643">
                  <w:marLeft w:val="0"/>
                  <w:marRight w:val="0"/>
                  <w:marTop w:val="0"/>
                  <w:marBottom w:val="0"/>
                  <w:divBdr>
                    <w:top w:val="none" w:sz="0" w:space="0" w:color="auto"/>
                    <w:left w:val="none" w:sz="0" w:space="0" w:color="auto"/>
                    <w:bottom w:val="none" w:sz="0" w:space="0" w:color="auto"/>
                    <w:right w:val="none" w:sz="0" w:space="0" w:color="auto"/>
                  </w:divBdr>
                  <w:divsChild>
                    <w:div w:id="720984758">
                      <w:marLeft w:val="0"/>
                      <w:marRight w:val="0"/>
                      <w:marTop w:val="0"/>
                      <w:marBottom w:val="0"/>
                      <w:divBdr>
                        <w:top w:val="none" w:sz="0" w:space="0" w:color="auto"/>
                        <w:left w:val="none" w:sz="0" w:space="0" w:color="auto"/>
                        <w:bottom w:val="none" w:sz="0" w:space="0" w:color="auto"/>
                        <w:right w:val="none" w:sz="0" w:space="0" w:color="auto"/>
                      </w:divBdr>
                    </w:div>
                  </w:divsChild>
                </w:div>
                <w:div w:id="353187224">
                  <w:marLeft w:val="0"/>
                  <w:marRight w:val="0"/>
                  <w:marTop w:val="0"/>
                  <w:marBottom w:val="0"/>
                  <w:divBdr>
                    <w:top w:val="none" w:sz="0" w:space="0" w:color="auto"/>
                    <w:left w:val="none" w:sz="0" w:space="0" w:color="auto"/>
                    <w:bottom w:val="none" w:sz="0" w:space="0" w:color="auto"/>
                    <w:right w:val="none" w:sz="0" w:space="0" w:color="auto"/>
                  </w:divBdr>
                  <w:divsChild>
                    <w:div w:id="751271248">
                      <w:marLeft w:val="0"/>
                      <w:marRight w:val="0"/>
                      <w:marTop w:val="0"/>
                      <w:marBottom w:val="0"/>
                      <w:divBdr>
                        <w:top w:val="none" w:sz="0" w:space="0" w:color="auto"/>
                        <w:left w:val="none" w:sz="0" w:space="0" w:color="auto"/>
                        <w:bottom w:val="none" w:sz="0" w:space="0" w:color="auto"/>
                        <w:right w:val="none" w:sz="0" w:space="0" w:color="auto"/>
                      </w:divBdr>
                    </w:div>
                  </w:divsChild>
                </w:div>
                <w:div w:id="397553935">
                  <w:marLeft w:val="0"/>
                  <w:marRight w:val="0"/>
                  <w:marTop w:val="0"/>
                  <w:marBottom w:val="0"/>
                  <w:divBdr>
                    <w:top w:val="none" w:sz="0" w:space="0" w:color="auto"/>
                    <w:left w:val="none" w:sz="0" w:space="0" w:color="auto"/>
                    <w:bottom w:val="none" w:sz="0" w:space="0" w:color="auto"/>
                    <w:right w:val="none" w:sz="0" w:space="0" w:color="auto"/>
                  </w:divBdr>
                  <w:divsChild>
                    <w:div w:id="1106921040">
                      <w:marLeft w:val="0"/>
                      <w:marRight w:val="0"/>
                      <w:marTop w:val="0"/>
                      <w:marBottom w:val="0"/>
                      <w:divBdr>
                        <w:top w:val="none" w:sz="0" w:space="0" w:color="auto"/>
                        <w:left w:val="none" w:sz="0" w:space="0" w:color="auto"/>
                        <w:bottom w:val="none" w:sz="0" w:space="0" w:color="auto"/>
                        <w:right w:val="none" w:sz="0" w:space="0" w:color="auto"/>
                      </w:divBdr>
                    </w:div>
                  </w:divsChild>
                </w:div>
                <w:div w:id="415371240">
                  <w:marLeft w:val="0"/>
                  <w:marRight w:val="0"/>
                  <w:marTop w:val="0"/>
                  <w:marBottom w:val="0"/>
                  <w:divBdr>
                    <w:top w:val="none" w:sz="0" w:space="0" w:color="auto"/>
                    <w:left w:val="none" w:sz="0" w:space="0" w:color="auto"/>
                    <w:bottom w:val="none" w:sz="0" w:space="0" w:color="auto"/>
                    <w:right w:val="none" w:sz="0" w:space="0" w:color="auto"/>
                  </w:divBdr>
                  <w:divsChild>
                    <w:div w:id="1929459283">
                      <w:marLeft w:val="0"/>
                      <w:marRight w:val="0"/>
                      <w:marTop w:val="0"/>
                      <w:marBottom w:val="0"/>
                      <w:divBdr>
                        <w:top w:val="none" w:sz="0" w:space="0" w:color="auto"/>
                        <w:left w:val="none" w:sz="0" w:space="0" w:color="auto"/>
                        <w:bottom w:val="none" w:sz="0" w:space="0" w:color="auto"/>
                        <w:right w:val="none" w:sz="0" w:space="0" w:color="auto"/>
                      </w:divBdr>
                    </w:div>
                  </w:divsChild>
                </w:div>
                <w:div w:id="628626665">
                  <w:marLeft w:val="0"/>
                  <w:marRight w:val="0"/>
                  <w:marTop w:val="0"/>
                  <w:marBottom w:val="0"/>
                  <w:divBdr>
                    <w:top w:val="none" w:sz="0" w:space="0" w:color="auto"/>
                    <w:left w:val="none" w:sz="0" w:space="0" w:color="auto"/>
                    <w:bottom w:val="none" w:sz="0" w:space="0" w:color="auto"/>
                    <w:right w:val="none" w:sz="0" w:space="0" w:color="auto"/>
                  </w:divBdr>
                  <w:divsChild>
                    <w:div w:id="1904873921">
                      <w:marLeft w:val="0"/>
                      <w:marRight w:val="0"/>
                      <w:marTop w:val="0"/>
                      <w:marBottom w:val="0"/>
                      <w:divBdr>
                        <w:top w:val="none" w:sz="0" w:space="0" w:color="auto"/>
                        <w:left w:val="none" w:sz="0" w:space="0" w:color="auto"/>
                        <w:bottom w:val="none" w:sz="0" w:space="0" w:color="auto"/>
                        <w:right w:val="none" w:sz="0" w:space="0" w:color="auto"/>
                      </w:divBdr>
                    </w:div>
                  </w:divsChild>
                </w:div>
                <w:div w:id="727803987">
                  <w:marLeft w:val="0"/>
                  <w:marRight w:val="0"/>
                  <w:marTop w:val="0"/>
                  <w:marBottom w:val="0"/>
                  <w:divBdr>
                    <w:top w:val="none" w:sz="0" w:space="0" w:color="auto"/>
                    <w:left w:val="none" w:sz="0" w:space="0" w:color="auto"/>
                    <w:bottom w:val="none" w:sz="0" w:space="0" w:color="auto"/>
                    <w:right w:val="none" w:sz="0" w:space="0" w:color="auto"/>
                  </w:divBdr>
                  <w:divsChild>
                    <w:div w:id="480469080">
                      <w:marLeft w:val="0"/>
                      <w:marRight w:val="0"/>
                      <w:marTop w:val="0"/>
                      <w:marBottom w:val="0"/>
                      <w:divBdr>
                        <w:top w:val="none" w:sz="0" w:space="0" w:color="auto"/>
                        <w:left w:val="none" w:sz="0" w:space="0" w:color="auto"/>
                        <w:bottom w:val="none" w:sz="0" w:space="0" w:color="auto"/>
                        <w:right w:val="none" w:sz="0" w:space="0" w:color="auto"/>
                      </w:divBdr>
                    </w:div>
                  </w:divsChild>
                </w:div>
                <w:div w:id="811603522">
                  <w:marLeft w:val="0"/>
                  <w:marRight w:val="0"/>
                  <w:marTop w:val="0"/>
                  <w:marBottom w:val="0"/>
                  <w:divBdr>
                    <w:top w:val="none" w:sz="0" w:space="0" w:color="auto"/>
                    <w:left w:val="none" w:sz="0" w:space="0" w:color="auto"/>
                    <w:bottom w:val="none" w:sz="0" w:space="0" w:color="auto"/>
                    <w:right w:val="none" w:sz="0" w:space="0" w:color="auto"/>
                  </w:divBdr>
                  <w:divsChild>
                    <w:div w:id="1655449254">
                      <w:marLeft w:val="0"/>
                      <w:marRight w:val="0"/>
                      <w:marTop w:val="0"/>
                      <w:marBottom w:val="0"/>
                      <w:divBdr>
                        <w:top w:val="none" w:sz="0" w:space="0" w:color="auto"/>
                        <w:left w:val="none" w:sz="0" w:space="0" w:color="auto"/>
                        <w:bottom w:val="none" w:sz="0" w:space="0" w:color="auto"/>
                        <w:right w:val="none" w:sz="0" w:space="0" w:color="auto"/>
                      </w:divBdr>
                    </w:div>
                  </w:divsChild>
                </w:div>
                <w:div w:id="874997571">
                  <w:marLeft w:val="0"/>
                  <w:marRight w:val="0"/>
                  <w:marTop w:val="0"/>
                  <w:marBottom w:val="0"/>
                  <w:divBdr>
                    <w:top w:val="none" w:sz="0" w:space="0" w:color="auto"/>
                    <w:left w:val="none" w:sz="0" w:space="0" w:color="auto"/>
                    <w:bottom w:val="none" w:sz="0" w:space="0" w:color="auto"/>
                    <w:right w:val="none" w:sz="0" w:space="0" w:color="auto"/>
                  </w:divBdr>
                  <w:divsChild>
                    <w:div w:id="408697468">
                      <w:marLeft w:val="0"/>
                      <w:marRight w:val="0"/>
                      <w:marTop w:val="0"/>
                      <w:marBottom w:val="0"/>
                      <w:divBdr>
                        <w:top w:val="none" w:sz="0" w:space="0" w:color="auto"/>
                        <w:left w:val="none" w:sz="0" w:space="0" w:color="auto"/>
                        <w:bottom w:val="none" w:sz="0" w:space="0" w:color="auto"/>
                        <w:right w:val="none" w:sz="0" w:space="0" w:color="auto"/>
                      </w:divBdr>
                    </w:div>
                  </w:divsChild>
                </w:div>
                <w:div w:id="940990790">
                  <w:marLeft w:val="0"/>
                  <w:marRight w:val="0"/>
                  <w:marTop w:val="0"/>
                  <w:marBottom w:val="0"/>
                  <w:divBdr>
                    <w:top w:val="none" w:sz="0" w:space="0" w:color="auto"/>
                    <w:left w:val="none" w:sz="0" w:space="0" w:color="auto"/>
                    <w:bottom w:val="none" w:sz="0" w:space="0" w:color="auto"/>
                    <w:right w:val="none" w:sz="0" w:space="0" w:color="auto"/>
                  </w:divBdr>
                  <w:divsChild>
                    <w:div w:id="567688888">
                      <w:marLeft w:val="0"/>
                      <w:marRight w:val="0"/>
                      <w:marTop w:val="0"/>
                      <w:marBottom w:val="0"/>
                      <w:divBdr>
                        <w:top w:val="none" w:sz="0" w:space="0" w:color="auto"/>
                        <w:left w:val="none" w:sz="0" w:space="0" w:color="auto"/>
                        <w:bottom w:val="none" w:sz="0" w:space="0" w:color="auto"/>
                        <w:right w:val="none" w:sz="0" w:space="0" w:color="auto"/>
                      </w:divBdr>
                    </w:div>
                  </w:divsChild>
                </w:div>
                <w:div w:id="949360165">
                  <w:marLeft w:val="0"/>
                  <w:marRight w:val="0"/>
                  <w:marTop w:val="0"/>
                  <w:marBottom w:val="0"/>
                  <w:divBdr>
                    <w:top w:val="none" w:sz="0" w:space="0" w:color="auto"/>
                    <w:left w:val="none" w:sz="0" w:space="0" w:color="auto"/>
                    <w:bottom w:val="none" w:sz="0" w:space="0" w:color="auto"/>
                    <w:right w:val="none" w:sz="0" w:space="0" w:color="auto"/>
                  </w:divBdr>
                  <w:divsChild>
                    <w:div w:id="1714580526">
                      <w:marLeft w:val="0"/>
                      <w:marRight w:val="0"/>
                      <w:marTop w:val="0"/>
                      <w:marBottom w:val="0"/>
                      <w:divBdr>
                        <w:top w:val="none" w:sz="0" w:space="0" w:color="auto"/>
                        <w:left w:val="none" w:sz="0" w:space="0" w:color="auto"/>
                        <w:bottom w:val="none" w:sz="0" w:space="0" w:color="auto"/>
                        <w:right w:val="none" w:sz="0" w:space="0" w:color="auto"/>
                      </w:divBdr>
                    </w:div>
                  </w:divsChild>
                </w:div>
                <w:div w:id="984548848">
                  <w:marLeft w:val="0"/>
                  <w:marRight w:val="0"/>
                  <w:marTop w:val="0"/>
                  <w:marBottom w:val="0"/>
                  <w:divBdr>
                    <w:top w:val="none" w:sz="0" w:space="0" w:color="auto"/>
                    <w:left w:val="none" w:sz="0" w:space="0" w:color="auto"/>
                    <w:bottom w:val="none" w:sz="0" w:space="0" w:color="auto"/>
                    <w:right w:val="none" w:sz="0" w:space="0" w:color="auto"/>
                  </w:divBdr>
                  <w:divsChild>
                    <w:div w:id="1868135261">
                      <w:marLeft w:val="0"/>
                      <w:marRight w:val="0"/>
                      <w:marTop w:val="0"/>
                      <w:marBottom w:val="0"/>
                      <w:divBdr>
                        <w:top w:val="none" w:sz="0" w:space="0" w:color="auto"/>
                        <w:left w:val="none" w:sz="0" w:space="0" w:color="auto"/>
                        <w:bottom w:val="none" w:sz="0" w:space="0" w:color="auto"/>
                        <w:right w:val="none" w:sz="0" w:space="0" w:color="auto"/>
                      </w:divBdr>
                    </w:div>
                  </w:divsChild>
                </w:div>
                <w:div w:id="1031955823">
                  <w:marLeft w:val="0"/>
                  <w:marRight w:val="0"/>
                  <w:marTop w:val="0"/>
                  <w:marBottom w:val="0"/>
                  <w:divBdr>
                    <w:top w:val="none" w:sz="0" w:space="0" w:color="auto"/>
                    <w:left w:val="none" w:sz="0" w:space="0" w:color="auto"/>
                    <w:bottom w:val="none" w:sz="0" w:space="0" w:color="auto"/>
                    <w:right w:val="none" w:sz="0" w:space="0" w:color="auto"/>
                  </w:divBdr>
                  <w:divsChild>
                    <w:div w:id="1961371606">
                      <w:marLeft w:val="0"/>
                      <w:marRight w:val="0"/>
                      <w:marTop w:val="0"/>
                      <w:marBottom w:val="0"/>
                      <w:divBdr>
                        <w:top w:val="none" w:sz="0" w:space="0" w:color="auto"/>
                        <w:left w:val="none" w:sz="0" w:space="0" w:color="auto"/>
                        <w:bottom w:val="none" w:sz="0" w:space="0" w:color="auto"/>
                        <w:right w:val="none" w:sz="0" w:space="0" w:color="auto"/>
                      </w:divBdr>
                    </w:div>
                  </w:divsChild>
                </w:div>
                <w:div w:id="1070157674">
                  <w:marLeft w:val="0"/>
                  <w:marRight w:val="0"/>
                  <w:marTop w:val="0"/>
                  <w:marBottom w:val="0"/>
                  <w:divBdr>
                    <w:top w:val="none" w:sz="0" w:space="0" w:color="auto"/>
                    <w:left w:val="none" w:sz="0" w:space="0" w:color="auto"/>
                    <w:bottom w:val="none" w:sz="0" w:space="0" w:color="auto"/>
                    <w:right w:val="none" w:sz="0" w:space="0" w:color="auto"/>
                  </w:divBdr>
                  <w:divsChild>
                    <w:div w:id="1449009002">
                      <w:marLeft w:val="0"/>
                      <w:marRight w:val="0"/>
                      <w:marTop w:val="0"/>
                      <w:marBottom w:val="0"/>
                      <w:divBdr>
                        <w:top w:val="none" w:sz="0" w:space="0" w:color="auto"/>
                        <w:left w:val="none" w:sz="0" w:space="0" w:color="auto"/>
                        <w:bottom w:val="none" w:sz="0" w:space="0" w:color="auto"/>
                        <w:right w:val="none" w:sz="0" w:space="0" w:color="auto"/>
                      </w:divBdr>
                    </w:div>
                  </w:divsChild>
                </w:div>
                <w:div w:id="1079526499">
                  <w:marLeft w:val="0"/>
                  <w:marRight w:val="0"/>
                  <w:marTop w:val="0"/>
                  <w:marBottom w:val="0"/>
                  <w:divBdr>
                    <w:top w:val="none" w:sz="0" w:space="0" w:color="auto"/>
                    <w:left w:val="none" w:sz="0" w:space="0" w:color="auto"/>
                    <w:bottom w:val="none" w:sz="0" w:space="0" w:color="auto"/>
                    <w:right w:val="none" w:sz="0" w:space="0" w:color="auto"/>
                  </w:divBdr>
                  <w:divsChild>
                    <w:div w:id="1230775250">
                      <w:marLeft w:val="0"/>
                      <w:marRight w:val="0"/>
                      <w:marTop w:val="0"/>
                      <w:marBottom w:val="0"/>
                      <w:divBdr>
                        <w:top w:val="none" w:sz="0" w:space="0" w:color="auto"/>
                        <w:left w:val="none" w:sz="0" w:space="0" w:color="auto"/>
                        <w:bottom w:val="none" w:sz="0" w:space="0" w:color="auto"/>
                        <w:right w:val="none" w:sz="0" w:space="0" w:color="auto"/>
                      </w:divBdr>
                    </w:div>
                  </w:divsChild>
                </w:div>
                <w:div w:id="1085225448">
                  <w:marLeft w:val="0"/>
                  <w:marRight w:val="0"/>
                  <w:marTop w:val="0"/>
                  <w:marBottom w:val="0"/>
                  <w:divBdr>
                    <w:top w:val="none" w:sz="0" w:space="0" w:color="auto"/>
                    <w:left w:val="none" w:sz="0" w:space="0" w:color="auto"/>
                    <w:bottom w:val="none" w:sz="0" w:space="0" w:color="auto"/>
                    <w:right w:val="none" w:sz="0" w:space="0" w:color="auto"/>
                  </w:divBdr>
                  <w:divsChild>
                    <w:div w:id="1715232853">
                      <w:marLeft w:val="0"/>
                      <w:marRight w:val="0"/>
                      <w:marTop w:val="0"/>
                      <w:marBottom w:val="0"/>
                      <w:divBdr>
                        <w:top w:val="none" w:sz="0" w:space="0" w:color="auto"/>
                        <w:left w:val="none" w:sz="0" w:space="0" w:color="auto"/>
                        <w:bottom w:val="none" w:sz="0" w:space="0" w:color="auto"/>
                        <w:right w:val="none" w:sz="0" w:space="0" w:color="auto"/>
                      </w:divBdr>
                    </w:div>
                  </w:divsChild>
                </w:div>
                <w:div w:id="1114179921">
                  <w:marLeft w:val="0"/>
                  <w:marRight w:val="0"/>
                  <w:marTop w:val="0"/>
                  <w:marBottom w:val="0"/>
                  <w:divBdr>
                    <w:top w:val="none" w:sz="0" w:space="0" w:color="auto"/>
                    <w:left w:val="none" w:sz="0" w:space="0" w:color="auto"/>
                    <w:bottom w:val="none" w:sz="0" w:space="0" w:color="auto"/>
                    <w:right w:val="none" w:sz="0" w:space="0" w:color="auto"/>
                  </w:divBdr>
                  <w:divsChild>
                    <w:div w:id="2003072844">
                      <w:marLeft w:val="0"/>
                      <w:marRight w:val="0"/>
                      <w:marTop w:val="0"/>
                      <w:marBottom w:val="0"/>
                      <w:divBdr>
                        <w:top w:val="none" w:sz="0" w:space="0" w:color="auto"/>
                        <w:left w:val="none" w:sz="0" w:space="0" w:color="auto"/>
                        <w:bottom w:val="none" w:sz="0" w:space="0" w:color="auto"/>
                        <w:right w:val="none" w:sz="0" w:space="0" w:color="auto"/>
                      </w:divBdr>
                    </w:div>
                  </w:divsChild>
                </w:div>
                <w:div w:id="1128208959">
                  <w:marLeft w:val="0"/>
                  <w:marRight w:val="0"/>
                  <w:marTop w:val="0"/>
                  <w:marBottom w:val="0"/>
                  <w:divBdr>
                    <w:top w:val="none" w:sz="0" w:space="0" w:color="auto"/>
                    <w:left w:val="none" w:sz="0" w:space="0" w:color="auto"/>
                    <w:bottom w:val="none" w:sz="0" w:space="0" w:color="auto"/>
                    <w:right w:val="none" w:sz="0" w:space="0" w:color="auto"/>
                  </w:divBdr>
                  <w:divsChild>
                    <w:div w:id="1019506190">
                      <w:marLeft w:val="0"/>
                      <w:marRight w:val="0"/>
                      <w:marTop w:val="0"/>
                      <w:marBottom w:val="0"/>
                      <w:divBdr>
                        <w:top w:val="none" w:sz="0" w:space="0" w:color="auto"/>
                        <w:left w:val="none" w:sz="0" w:space="0" w:color="auto"/>
                        <w:bottom w:val="none" w:sz="0" w:space="0" w:color="auto"/>
                        <w:right w:val="none" w:sz="0" w:space="0" w:color="auto"/>
                      </w:divBdr>
                    </w:div>
                  </w:divsChild>
                </w:div>
                <w:div w:id="1225066178">
                  <w:marLeft w:val="0"/>
                  <w:marRight w:val="0"/>
                  <w:marTop w:val="0"/>
                  <w:marBottom w:val="0"/>
                  <w:divBdr>
                    <w:top w:val="none" w:sz="0" w:space="0" w:color="auto"/>
                    <w:left w:val="none" w:sz="0" w:space="0" w:color="auto"/>
                    <w:bottom w:val="none" w:sz="0" w:space="0" w:color="auto"/>
                    <w:right w:val="none" w:sz="0" w:space="0" w:color="auto"/>
                  </w:divBdr>
                  <w:divsChild>
                    <w:div w:id="1126512179">
                      <w:marLeft w:val="0"/>
                      <w:marRight w:val="0"/>
                      <w:marTop w:val="0"/>
                      <w:marBottom w:val="0"/>
                      <w:divBdr>
                        <w:top w:val="none" w:sz="0" w:space="0" w:color="auto"/>
                        <w:left w:val="none" w:sz="0" w:space="0" w:color="auto"/>
                        <w:bottom w:val="none" w:sz="0" w:space="0" w:color="auto"/>
                        <w:right w:val="none" w:sz="0" w:space="0" w:color="auto"/>
                      </w:divBdr>
                    </w:div>
                  </w:divsChild>
                </w:div>
                <w:div w:id="1241018282">
                  <w:marLeft w:val="0"/>
                  <w:marRight w:val="0"/>
                  <w:marTop w:val="0"/>
                  <w:marBottom w:val="0"/>
                  <w:divBdr>
                    <w:top w:val="none" w:sz="0" w:space="0" w:color="auto"/>
                    <w:left w:val="none" w:sz="0" w:space="0" w:color="auto"/>
                    <w:bottom w:val="none" w:sz="0" w:space="0" w:color="auto"/>
                    <w:right w:val="none" w:sz="0" w:space="0" w:color="auto"/>
                  </w:divBdr>
                  <w:divsChild>
                    <w:div w:id="2081321503">
                      <w:marLeft w:val="0"/>
                      <w:marRight w:val="0"/>
                      <w:marTop w:val="0"/>
                      <w:marBottom w:val="0"/>
                      <w:divBdr>
                        <w:top w:val="none" w:sz="0" w:space="0" w:color="auto"/>
                        <w:left w:val="none" w:sz="0" w:space="0" w:color="auto"/>
                        <w:bottom w:val="none" w:sz="0" w:space="0" w:color="auto"/>
                        <w:right w:val="none" w:sz="0" w:space="0" w:color="auto"/>
                      </w:divBdr>
                    </w:div>
                  </w:divsChild>
                </w:div>
                <w:div w:id="1282959181">
                  <w:marLeft w:val="0"/>
                  <w:marRight w:val="0"/>
                  <w:marTop w:val="0"/>
                  <w:marBottom w:val="0"/>
                  <w:divBdr>
                    <w:top w:val="none" w:sz="0" w:space="0" w:color="auto"/>
                    <w:left w:val="none" w:sz="0" w:space="0" w:color="auto"/>
                    <w:bottom w:val="none" w:sz="0" w:space="0" w:color="auto"/>
                    <w:right w:val="none" w:sz="0" w:space="0" w:color="auto"/>
                  </w:divBdr>
                  <w:divsChild>
                    <w:div w:id="1031344521">
                      <w:marLeft w:val="0"/>
                      <w:marRight w:val="0"/>
                      <w:marTop w:val="0"/>
                      <w:marBottom w:val="0"/>
                      <w:divBdr>
                        <w:top w:val="none" w:sz="0" w:space="0" w:color="auto"/>
                        <w:left w:val="none" w:sz="0" w:space="0" w:color="auto"/>
                        <w:bottom w:val="none" w:sz="0" w:space="0" w:color="auto"/>
                        <w:right w:val="none" w:sz="0" w:space="0" w:color="auto"/>
                      </w:divBdr>
                    </w:div>
                  </w:divsChild>
                </w:div>
                <w:div w:id="1383795018">
                  <w:marLeft w:val="0"/>
                  <w:marRight w:val="0"/>
                  <w:marTop w:val="0"/>
                  <w:marBottom w:val="0"/>
                  <w:divBdr>
                    <w:top w:val="none" w:sz="0" w:space="0" w:color="auto"/>
                    <w:left w:val="none" w:sz="0" w:space="0" w:color="auto"/>
                    <w:bottom w:val="none" w:sz="0" w:space="0" w:color="auto"/>
                    <w:right w:val="none" w:sz="0" w:space="0" w:color="auto"/>
                  </w:divBdr>
                  <w:divsChild>
                    <w:div w:id="1486236894">
                      <w:marLeft w:val="0"/>
                      <w:marRight w:val="0"/>
                      <w:marTop w:val="0"/>
                      <w:marBottom w:val="0"/>
                      <w:divBdr>
                        <w:top w:val="none" w:sz="0" w:space="0" w:color="auto"/>
                        <w:left w:val="none" w:sz="0" w:space="0" w:color="auto"/>
                        <w:bottom w:val="none" w:sz="0" w:space="0" w:color="auto"/>
                        <w:right w:val="none" w:sz="0" w:space="0" w:color="auto"/>
                      </w:divBdr>
                    </w:div>
                  </w:divsChild>
                </w:div>
                <w:div w:id="1394502260">
                  <w:marLeft w:val="0"/>
                  <w:marRight w:val="0"/>
                  <w:marTop w:val="0"/>
                  <w:marBottom w:val="0"/>
                  <w:divBdr>
                    <w:top w:val="none" w:sz="0" w:space="0" w:color="auto"/>
                    <w:left w:val="none" w:sz="0" w:space="0" w:color="auto"/>
                    <w:bottom w:val="none" w:sz="0" w:space="0" w:color="auto"/>
                    <w:right w:val="none" w:sz="0" w:space="0" w:color="auto"/>
                  </w:divBdr>
                  <w:divsChild>
                    <w:div w:id="621615218">
                      <w:marLeft w:val="0"/>
                      <w:marRight w:val="0"/>
                      <w:marTop w:val="0"/>
                      <w:marBottom w:val="0"/>
                      <w:divBdr>
                        <w:top w:val="none" w:sz="0" w:space="0" w:color="auto"/>
                        <w:left w:val="none" w:sz="0" w:space="0" w:color="auto"/>
                        <w:bottom w:val="none" w:sz="0" w:space="0" w:color="auto"/>
                        <w:right w:val="none" w:sz="0" w:space="0" w:color="auto"/>
                      </w:divBdr>
                    </w:div>
                  </w:divsChild>
                </w:div>
                <w:div w:id="1447578248">
                  <w:marLeft w:val="0"/>
                  <w:marRight w:val="0"/>
                  <w:marTop w:val="0"/>
                  <w:marBottom w:val="0"/>
                  <w:divBdr>
                    <w:top w:val="none" w:sz="0" w:space="0" w:color="auto"/>
                    <w:left w:val="none" w:sz="0" w:space="0" w:color="auto"/>
                    <w:bottom w:val="none" w:sz="0" w:space="0" w:color="auto"/>
                    <w:right w:val="none" w:sz="0" w:space="0" w:color="auto"/>
                  </w:divBdr>
                  <w:divsChild>
                    <w:div w:id="1774665348">
                      <w:marLeft w:val="0"/>
                      <w:marRight w:val="0"/>
                      <w:marTop w:val="0"/>
                      <w:marBottom w:val="0"/>
                      <w:divBdr>
                        <w:top w:val="none" w:sz="0" w:space="0" w:color="auto"/>
                        <w:left w:val="none" w:sz="0" w:space="0" w:color="auto"/>
                        <w:bottom w:val="none" w:sz="0" w:space="0" w:color="auto"/>
                        <w:right w:val="none" w:sz="0" w:space="0" w:color="auto"/>
                      </w:divBdr>
                    </w:div>
                  </w:divsChild>
                </w:div>
                <w:div w:id="1454130619">
                  <w:marLeft w:val="0"/>
                  <w:marRight w:val="0"/>
                  <w:marTop w:val="0"/>
                  <w:marBottom w:val="0"/>
                  <w:divBdr>
                    <w:top w:val="none" w:sz="0" w:space="0" w:color="auto"/>
                    <w:left w:val="none" w:sz="0" w:space="0" w:color="auto"/>
                    <w:bottom w:val="none" w:sz="0" w:space="0" w:color="auto"/>
                    <w:right w:val="none" w:sz="0" w:space="0" w:color="auto"/>
                  </w:divBdr>
                  <w:divsChild>
                    <w:div w:id="713579175">
                      <w:marLeft w:val="0"/>
                      <w:marRight w:val="0"/>
                      <w:marTop w:val="0"/>
                      <w:marBottom w:val="0"/>
                      <w:divBdr>
                        <w:top w:val="none" w:sz="0" w:space="0" w:color="auto"/>
                        <w:left w:val="none" w:sz="0" w:space="0" w:color="auto"/>
                        <w:bottom w:val="none" w:sz="0" w:space="0" w:color="auto"/>
                        <w:right w:val="none" w:sz="0" w:space="0" w:color="auto"/>
                      </w:divBdr>
                    </w:div>
                  </w:divsChild>
                </w:div>
                <w:div w:id="1468468574">
                  <w:marLeft w:val="0"/>
                  <w:marRight w:val="0"/>
                  <w:marTop w:val="0"/>
                  <w:marBottom w:val="0"/>
                  <w:divBdr>
                    <w:top w:val="none" w:sz="0" w:space="0" w:color="auto"/>
                    <w:left w:val="none" w:sz="0" w:space="0" w:color="auto"/>
                    <w:bottom w:val="none" w:sz="0" w:space="0" w:color="auto"/>
                    <w:right w:val="none" w:sz="0" w:space="0" w:color="auto"/>
                  </w:divBdr>
                  <w:divsChild>
                    <w:div w:id="1793090052">
                      <w:marLeft w:val="0"/>
                      <w:marRight w:val="0"/>
                      <w:marTop w:val="0"/>
                      <w:marBottom w:val="0"/>
                      <w:divBdr>
                        <w:top w:val="none" w:sz="0" w:space="0" w:color="auto"/>
                        <w:left w:val="none" w:sz="0" w:space="0" w:color="auto"/>
                        <w:bottom w:val="none" w:sz="0" w:space="0" w:color="auto"/>
                        <w:right w:val="none" w:sz="0" w:space="0" w:color="auto"/>
                      </w:divBdr>
                    </w:div>
                  </w:divsChild>
                </w:div>
                <w:div w:id="1521701917">
                  <w:marLeft w:val="0"/>
                  <w:marRight w:val="0"/>
                  <w:marTop w:val="0"/>
                  <w:marBottom w:val="0"/>
                  <w:divBdr>
                    <w:top w:val="none" w:sz="0" w:space="0" w:color="auto"/>
                    <w:left w:val="none" w:sz="0" w:space="0" w:color="auto"/>
                    <w:bottom w:val="none" w:sz="0" w:space="0" w:color="auto"/>
                    <w:right w:val="none" w:sz="0" w:space="0" w:color="auto"/>
                  </w:divBdr>
                  <w:divsChild>
                    <w:div w:id="1897083746">
                      <w:marLeft w:val="0"/>
                      <w:marRight w:val="0"/>
                      <w:marTop w:val="0"/>
                      <w:marBottom w:val="0"/>
                      <w:divBdr>
                        <w:top w:val="none" w:sz="0" w:space="0" w:color="auto"/>
                        <w:left w:val="none" w:sz="0" w:space="0" w:color="auto"/>
                        <w:bottom w:val="none" w:sz="0" w:space="0" w:color="auto"/>
                        <w:right w:val="none" w:sz="0" w:space="0" w:color="auto"/>
                      </w:divBdr>
                    </w:div>
                  </w:divsChild>
                </w:div>
                <w:div w:id="1542669833">
                  <w:marLeft w:val="0"/>
                  <w:marRight w:val="0"/>
                  <w:marTop w:val="0"/>
                  <w:marBottom w:val="0"/>
                  <w:divBdr>
                    <w:top w:val="none" w:sz="0" w:space="0" w:color="auto"/>
                    <w:left w:val="none" w:sz="0" w:space="0" w:color="auto"/>
                    <w:bottom w:val="none" w:sz="0" w:space="0" w:color="auto"/>
                    <w:right w:val="none" w:sz="0" w:space="0" w:color="auto"/>
                  </w:divBdr>
                  <w:divsChild>
                    <w:div w:id="102455945">
                      <w:marLeft w:val="0"/>
                      <w:marRight w:val="0"/>
                      <w:marTop w:val="0"/>
                      <w:marBottom w:val="0"/>
                      <w:divBdr>
                        <w:top w:val="none" w:sz="0" w:space="0" w:color="auto"/>
                        <w:left w:val="none" w:sz="0" w:space="0" w:color="auto"/>
                        <w:bottom w:val="none" w:sz="0" w:space="0" w:color="auto"/>
                        <w:right w:val="none" w:sz="0" w:space="0" w:color="auto"/>
                      </w:divBdr>
                    </w:div>
                  </w:divsChild>
                </w:div>
                <w:div w:id="1553929040">
                  <w:marLeft w:val="0"/>
                  <w:marRight w:val="0"/>
                  <w:marTop w:val="0"/>
                  <w:marBottom w:val="0"/>
                  <w:divBdr>
                    <w:top w:val="none" w:sz="0" w:space="0" w:color="auto"/>
                    <w:left w:val="none" w:sz="0" w:space="0" w:color="auto"/>
                    <w:bottom w:val="none" w:sz="0" w:space="0" w:color="auto"/>
                    <w:right w:val="none" w:sz="0" w:space="0" w:color="auto"/>
                  </w:divBdr>
                  <w:divsChild>
                    <w:div w:id="1486705812">
                      <w:marLeft w:val="0"/>
                      <w:marRight w:val="0"/>
                      <w:marTop w:val="0"/>
                      <w:marBottom w:val="0"/>
                      <w:divBdr>
                        <w:top w:val="none" w:sz="0" w:space="0" w:color="auto"/>
                        <w:left w:val="none" w:sz="0" w:space="0" w:color="auto"/>
                        <w:bottom w:val="none" w:sz="0" w:space="0" w:color="auto"/>
                        <w:right w:val="none" w:sz="0" w:space="0" w:color="auto"/>
                      </w:divBdr>
                    </w:div>
                  </w:divsChild>
                </w:div>
                <w:div w:id="1712461610">
                  <w:marLeft w:val="0"/>
                  <w:marRight w:val="0"/>
                  <w:marTop w:val="0"/>
                  <w:marBottom w:val="0"/>
                  <w:divBdr>
                    <w:top w:val="none" w:sz="0" w:space="0" w:color="auto"/>
                    <w:left w:val="none" w:sz="0" w:space="0" w:color="auto"/>
                    <w:bottom w:val="none" w:sz="0" w:space="0" w:color="auto"/>
                    <w:right w:val="none" w:sz="0" w:space="0" w:color="auto"/>
                  </w:divBdr>
                  <w:divsChild>
                    <w:div w:id="1608388435">
                      <w:marLeft w:val="0"/>
                      <w:marRight w:val="0"/>
                      <w:marTop w:val="0"/>
                      <w:marBottom w:val="0"/>
                      <w:divBdr>
                        <w:top w:val="none" w:sz="0" w:space="0" w:color="auto"/>
                        <w:left w:val="none" w:sz="0" w:space="0" w:color="auto"/>
                        <w:bottom w:val="none" w:sz="0" w:space="0" w:color="auto"/>
                        <w:right w:val="none" w:sz="0" w:space="0" w:color="auto"/>
                      </w:divBdr>
                    </w:div>
                  </w:divsChild>
                </w:div>
                <w:div w:id="1725105347">
                  <w:marLeft w:val="0"/>
                  <w:marRight w:val="0"/>
                  <w:marTop w:val="0"/>
                  <w:marBottom w:val="0"/>
                  <w:divBdr>
                    <w:top w:val="none" w:sz="0" w:space="0" w:color="auto"/>
                    <w:left w:val="none" w:sz="0" w:space="0" w:color="auto"/>
                    <w:bottom w:val="none" w:sz="0" w:space="0" w:color="auto"/>
                    <w:right w:val="none" w:sz="0" w:space="0" w:color="auto"/>
                  </w:divBdr>
                  <w:divsChild>
                    <w:div w:id="1887256843">
                      <w:marLeft w:val="0"/>
                      <w:marRight w:val="0"/>
                      <w:marTop w:val="0"/>
                      <w:marBottom w:val="0"/>
                      <w:divBdr>
                        <w:top w:val="none" w:sz="0" w:space="0" w:color="auto"/>
                        <w:left w:val="none" w:sz="0" w:space="0" w:color="auto"/>
                        <w:bottom w:val="none" w:sz="0" w:space="0" w:color="auto"/>
                        <w:right w:val="none" w:sz="0" w:space="0" w:color="auto"/>
                      </w:divBdr>
                    </w:div>
                  </w:divsChild>
                </w:div>
                <w:div w:id="1793746867">
                  <w:marLeft w:val="0"/>
                  <w:marRight w:val="0"/>
                  <w:marTop w:val="0"/>
                  <w:marBottom w:val="0"/>
                  <w:divBdr>
                    <w:top w:val="none" w:sz="0" w:space="0" w:color="auto"/>
                    <w:left w:val="none" w:sz="0" w:space="0" w:color="auto"/>
                    <w:bottom w:val="none" w:sz="0" w:space="0" w:color="auto"/>
                    <w:right w:val="none" w:sz="0" w:space="0" w:color="auto"/>
                  </w:divBdr>
                  <w:divsChild>
                    <w:div w:id="1153793005">
                      <w:marLeft w:val="0"/>
                      <w:marRight w:val="0"/>
                      <w:marTop w:val="0"/>
                      <w:marBottom w:val="0"/>
                      <w:divBdr>
                        <w:top w:val="none" w:sz="0" w:space="0" w:color="auto"/>
                        <w:left w:val="none" w:sz="0" w:space="0" w:color="auto"/>
                        <w:bottom w:val="none" w:sz="0" w:space="0" w:color="auto"/>
                        <w:right w:val="none" w:sz="0" w:space="0" w:color="auto"/>
                      </w:divBdr>
                    </w:div>
                  </w:divsChild>
                </w:div>
                <w:div w:id="1806461471">
                  <w:marLeft w:val="0"/>
                  <w:marRight w:val="0"/>
                  <w:marTop w:val="0"/>
                  <w:marBottom w:val="0"/>
                  <w:divBdr>
                    <w:top w:val="none" w:sz="0" w:space="0" w:color="auto"/>
                    <w:left w:val="none" w:sz="0" w:space="0" w:color="auto"/>
                    <w:bottom w:val="none" w:sz="0" w:space="0" w:color="auto"/>
                    <w:right w:val="none" w:sz="0" w:space="0" w:color="auto"/>
                  </w:divBdr>
                  <w:divsChild>
                    <w:div w:id="539322672">
                      <w:marLeft w:val="0"/>
                      <w:marRight w:val="0"/>
                      <w:marTop w:val="0"/>
                      <w:marBottom w:val="0"/>
                      <w:divBdr>
                        <w:top w:val="none" w:sz="0" w:space="0" w:color="auto"/>
                        <w:left w:val="none" w:sz="0" w:space="0" w:color="auto"/>
                        <w:bottom w:val="none" w:sz="0" w:space="0" w:color="auto"/>
                        <w:right w:val="none" w:sz="0" w:space="0" w:color="auto"/>
                      </w:divBdr>
                    </w:div>
                  </w:divsChild>
                </w:div>
                <w:div w:id="1807234682">
                  <w:marLeft w:val="0"/>
                  <w:marRight w:val="0"/>
                  <w:marTop w:val="0"/>
                  <w:marBottom w:val="0"/>
                  <w:divBdr>
                    <w:top w:val="none" w:sz="0" w:space="0" w:color="auto"/>
                    <w:left w:val="none" w:sz="0" w:space="0" w:color="auto"/>
                    <w:bottom w:val="none" w:sz="0" w:space="0" w:color="auto"/>
                    <w:right w:val="none" w:sz="0" w:space="0" w:color="auto"/>
                  </w:divBdr>
                  <w:divsChild>
                    <w:div w:id="203830842">
                      <w:marLeft w:val="0"/>
                      <w:marRight w:val="0"/>
                      <w:marTop w:val="0"/>
                      <w:marBottom w:val="0"/>
                      <w:divBdr>
                        <w:top w:val="none" w:sz="0" w:space="0" w:color="auto"/>
                        <w:left w:val="none" w:sz="0" w:space="0" w:color="auto"/>
                        <w:bottom w:val="none" w:sz="0" w:space="0" w:color="auto"/>
                        <w:right w:val="none" w:sz="0" w:space="0" w:color="auto"/>
                      </w:divBdr>
                    </w:div>
                  </w:divsChild>
                </w:div>
                <w:div w:id="1829900922">
                  <w:marLeft w:val="0"/>
                  <w:marRight w:val="0"/>
                  <w:marTop w:val="0"/>
                  <w:marBottom w:val="0"/>
                  <w:divBdr>
                    <w:top w:val="none" w:sz="0" w:space="0" w:color="auto"/>
                    <w:left w:val="none" w:sz="0" w:space="0" w:color="auto"/>
                    <w:bottom w:val="none" w:sz="0" w:space="0" w:color="auto"/>
                    <w:right w:val="none" w:sz="0" w:space="0" w:color="auto"/>
                  </w:divBdr>
                  <w:divsChild>
                    <w:div w:id="490565235">
                      <w:marLeft w:val="0"/>
                      <w:marRight w:val="0"/>
                      <w:marTop w:val="0"/>
                      <w:marBottom w:val="0"/>
                      <w:divBdr>
                        <w:top w:val="none" w:sz="0" w:space="0" w:color="auto"/>
                        <w:left w:val="none" w:sz="0" w:space="0" w:color="auto"/>
                        <w:bottom w:val="none" w:sz="0" w:space="0" w:color="auto"/>
                        <w:right w:val="none" w:sz="0" w:space="0" w:color="auto"/>
                      </w:divBdr>
                    </w:div>
                  </w:divsChild>
                </w:div>
                <w:div w:id="1889607664">
                  <w:marLeft w:val="0"/>
                  <w:marRight w:val="0"/>
                  <w:marTop w:val="0"/>
                  <w:marBottom w:val="0"/>
                  <w:divBdr>
                    <w:top w:val="none" w:sz="0" w:space="0" w:color="auto"/>
                    <w:left w:val="none" w:sz="0" w:space="0" w:color="auto"/>
                    <w:bottom w:val="none" w:sz="0" w:space="0" w:color="auto"/>
                    <w:right w:val="none" w:sz="0" w:space="0" w:color="auto"/>
                  </w:divBdr>
                  <w:divsChild>
                    <w:div w:id="1324552306">
                      <w:marLeft w:val="0"/>
                      <w:marRight w:val="0"/>
                      <w:marTop w:val="0"/>
                      <w:marBottom w:val="0"/>
                      <w:divBdr>
                        <w:top w:val="none" w:sz="0" w:space="0" w:color="auto"/>
                        <w:left w:val="none" w:sz="0" w:space="0" w:color="auto"/>
                        <w:bottom w:val="none" w:sz="0" w:space="0" w:color="auto"/>
                        <w:right w:val="none" w:sz="0" w:space="0" w:color="auto"/>
                      </w:divBdr>
                    </w:div>
                  </w:divsChild>
                </w:div>
                <w:div w:id="1909924399">
                  <w:marLeft w:val="0"/>
                  <w:marRight w:val="0"/>
                  <w:marTop w:val="0"/>
                  <w:marBottom w:val="0"/>
                  <w:divBdr>
                    <w:top w:val="none" w:sz="0" w:space="0" w:color="auto"/>
                    <w:left w:val="none" w:sz="0" w:space="0" w:color="auto"/>
                    <w:bottom w:val="none" w:sz="0" w:space="0" w:color="auto"/>
                    <w:right w:val="none" w:sz="0" w:space="0" w:color="auto"/>
                  </w:divBdr>
                  <w:divsChild>
                    <w:div w:id="366104411">
                      <w:marLeft w:val="0"/>
                      <w:marRight w:val="0"/>
                      <w:marTop w:val="0"/>
                      <w:marBottom w:val="0"/>
                      <w:divBdr>
                        <w:top w:val="none" w:sz="0" w:space="0" w:color="auto"/>
                        <w:left w:val="none" w:sz="0" w:space="0" w:color="auto"/>
                        <w:bottom w:val="none" w:sz="0" w:space="0" w:color="auto"/>
                        <w:right w:val="none" w:sz="0" w:space="0" w:color="auto"/>
                      </w:divBdr>
                    </w:div>
                  </w:divsChild>
                </w:div>
                <w:div w:id="1978412410">
                  <w:marLeft w:val="0"/>
                  <w:marRight w:val="0"/>
                  <w:marTop w:val="0"/>
                  <w:marBottom w:val="0"/>
                  <w:divBdr>
                    <w:top w:val="none" w:sz="0" w:space="0" w:color="auto"/>
                    <w:left w:val="none" w:sz="0" w:space="0" w:color="auto"/>
                    <w:bottom w:val="none" w:sz="0" w:space="0" w:color="auto"/>
                    <w:right w:val="none" w:sz="0" w:space="0" w:color="auto"/>
                  </w:divBdr>
                  <w:divsChild>
                    <w:div w:id="2031251510">
                      <w:marLeft w:val="0"/>
                      <w:marRight w:val="0"/>
                      <w:marTop w:val="0"/>
                      <w:marBottom w:val="0"/>
                      <w:divBdr>
                        <w:top w:val="none" w:sz="0" w:space="0" w:color="auto"/>
                        <w:left w:val="none" w:sz="0" w:space="0" w:color="auto"/>
                        <w:bottom w:val="none" w:sz="0" w:space="0" w:color="auto"/>
                        <w:right w:val="none" w:sz="0" w:space="0" w:color="auto"/>
                      </w:divBdr>
                    </w:div>
                  </w:divsChild>
                </w:div>
                <w:div w:id="1986159005">
                  <w:marLeft w:val="0"/>
                  <w:marRight w:val="0"/>
                  <w:marTop w:val="0"/>
                  <w:marBottom w:val="0"/>
                  <w:divBdr>
                    <w:top w:val="none" w:sz="0" w:space="0" w:color="auto"/>
                    <w:left w:val="none" w:sz="0" w:space="0" w:color="auto"/>
                    <w:bottom w:val="none" w:sz="0" w:space="0" w:color="auto"/>
                    <w:right w:val="none" w:sz="0" w:space="0" w:color="auto"/>
                  </w:divBdr>
                  <w:divsChild>
                    <w:div w:id="920530486">
                      <w:marLeft w:val="0"/>
                      <w:marRight w:val="0"/>
                      <w:marTop w:val="0"/>
                      <w:marBottom w:val="0"/>
                      <w:divBdr>
                        <w:top w:val="none" w:sz="0" w:space="0" w:color="auto"/>
                        <w:left w:val="none" w:sz="0" w:space="0" w:color="auto"/>
                        <w:bottom w:val="none" w:sz="0" w:space="0" w:color="auto"/>
                        <w:right w:val="none" w:sz="0" w:space="0" w:color="auto"/>
                      </w:divBdr>
                    </w:div>
                  </w:divsChild>
                </w:div>
                <w:div w:id="1988245194">
                  <w:marLeft w:val="0"/>
                  <w:marRight w:val="0"/>
                  <w:marTop w:val="0"/>
                  <w:marBottom w:val="0"/>
                  <w:divBdr>
                    <w:top w:val="none" w:sz="0" w:space="0" w:color="auto"/>
                    <w:left w:val="none" w:sz="0" w:space="0" w:color="auto"/>
                    <w:bottom w:val="none" w:sz="0" w:space="0" w:color="auto"/>
                    <w:right w:val="none" w:sz="0" w:space="0" w:color="auto"/>
                  </w:divBdr>
                  <w:divsChild>
                    <w:div w:id="714888655">
                      <w:marLeft w:val="0"/>
                      <w:marRight w:val="0"/>
                      <w:marTop w:val="0"/>
                      <w:marBottom w:val="0"/>
                      <w:divBdr>
                        <w:top w:val="none" w:sz="0" w:space="0" w:color="auto"/>
                        <w:left w:val="none" w:sz="0" w:space="0" w:color="auto"/>
                        <w:bottom w:val="none" w:sz="0" w:space="0" w:color="auto"/>
                        <w:right w:val="none" w:sz="0" w:space="0" w:color="auto"/>
                      </w:divBdr>
                    </w:div>
                  </w:divsChild>
                </w:div>
                <w:div w:id="2025739511">
                  <w:marLeft w:val="0"/>
                  <w:marRight w:val="0"/>
                  <w:marTop w:val="0"/>
                  <w:marBottom w:val="0"/>
                  <w:divBdr>
                    <w:top w:val="none" w:sz="0" w:space="0" w:color="auto"/>
                    <w:left w:val="none" w:sz="0" w:space="0" w:color="auto"/>
                    <w:bottom w:val="none" w:sz="0" w:space="0" w:color="auto"/>
                    <w:right w:val="none" w:sz="0" w:space="0" w:color="auto"/>
                  </w:divBdr>
                  <w:divsChild>
                    <w:div w:id="685643227">
                      <w:marLeft w:val="0"/>
                      <w:marRight w:val="0"/>
                      <w:marTop w:val="0"/>
                      <w:marBottom w:val="0"/>
                      <w:divBdr>
                        <w:top w:val="none" w:sz="0" w:space="0" w:color="auto"/>
                        <w:left w:val="none" w:sz="0" w:space="0" w:color="auto"/>
                        <w:bottom w:val="none" w:sz="0" w:space="0" w:color="auto"/>
                        <w:right w:val="none" w:sz="0" w:space="0" w:color="auto"/>
                      </w:divBdr>
                    </w:div>
                  </w:divsChild>
                </w:div>
                <w:div w:id="2054963122">
                  <w:marLeft w:val="0"/>
                  <w:marRight w:val="0"/>
                  <w:marTop w:val="0"/>
                  <w:marBottom w:val="0"/>
                  <w:divBdr>
                    <w:top w:val="none" w:sz="0" w:space="0" w:color="auto"/>
                    <w:left w:val="none" w:sz="0" w:space="0" w:color="auto"/>
                    <w:bottom w:val="none" w:sz="0" w:space="0" w:color="auto"/>
                    <w:right w:val="none" w:sz="0" w:space="0" w:color="auto"/>
                  </w:divBdr>
                  <w:divsChild>
                    <w:div w:id="609356317">
                      <w:marLeft w:val="0"/>
                      <w:marRight w:val="0"/>
                      <w:marTop w:val="0"/>
                      <w:marBottom w:val="0"/>
                      <w:divBdr>
                        <w:top w:val="none" w:sz="0" w:space="0" w:color="auto"/>
                        <w:left w:val="none" w:sz="0" w:space="0" w:color="auto"/>
                        <w:bottom w:val="none" w:sz="0" w:space="0" w:color="auto"/>
                        <w:right w:val="none" w:sz="0" w:space="0" w:color="auto"/>
                      </w:divBdr>
                    </w:div>
                  </w:divsChild>
                </w:div>
                <w:div w:id="2090273687">
                  <w:marLeft w:val="0"/>
                  <w:marRight w:val="0"/>
                  <w:marTop w:val="0"/>
                  <w:marBottom w:val="0"/>
                  <w:divBdr>
                    <w:top w:val="none" w:sz="0" w:space="0" w:color="auto"/>
                    <w:left w:val="none" w:sz="0" w:space="0" w:color="auto"/>
                    <w:bottom w:val="none" w:sz="0" w:space="0" w:color="auto"/>
                    <w:right w:val="none" w:sz="0" w:space="0" w:color="auto"/>
                  </w:divBdr>
                  <w:divsChild>
                    <w:div w:id="91929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468614">
          <w:marLeft w:val="0"/>
          <w:marRight w:val="0"/>
          <w:marTop w:val="0"/>
          <w:marBottom w:val="0"/>
          <w:divBdr>
            <w:top w:val="none" w:sz="0" w:space="0" w:color="auto"/>
            <w:left w:val="none" w:sz="0" w:space="0" w:color="auto"/>
            <w:bottom w:val="none" w:sz="0" w:space="0" w:color="auto"/>
            <w:right w:val="none" w:sz="0" w:space="0" w:color="auto"/>
          </w:divBdr>
        </w:div>
        <w:div w:id="1786385901">
          <w:marLeft w:val="0"/>
          <w:marRight w:val="0"/>
          <w:marTop w:val="0"/>
          <w:marBottom w:val="0"/>
          <w:divBdr>
            <w:top w:val="none" w:sz="0" w:space="0" w:color="auto"/>
            <w:left w:val="none" w:sz="0" w:space="0" w:color="auto"/>
            <w:bottom w:val="none" w:sz="0" w:space="0" w:color="auto"/>
            <w:right w:val="none" w:sz="0" w:space="0" w:color="auto"/>
          </w:divBdr>
          <w:divsChild>
            <w:div w:id="1799646652">
              <w:marLeft w:val="-75"/>
              <w:marRight w:val="0"/>
              <w:marTop w:val="30"/>
              <w:marBottom w:val="30"/>
              <w:divBdr>
                <w:top w:val="none" w:sz="0" w:space="0" w:color="auto"/>
                <w:left w:val="none" w:sz="0" w:space="0" w:color="auto"/>
                <w:bottom w:val="none" w:sz="0" w:space="0" w:color="auto"/>
                <w:right w:val="none" w:sz="0" w:space="0" w:color="auto"/>
              </w:divBdr>
              <w:divsChild>
                <w:div w:id="9839885">
                  <w:marLeft w:val="0"/>
                  <w:marRight w:val="0"/>
                  <w:marTop w:val="0"/>
                  <w:marBottom w:val="0"/>
                  <w:divBdr>
                    <w:top w:val="none" w:sz="0" w:space="0" w:color="auto"/>
                    <w:left w:val="none" w:sz="0" w:space="0" w:color="auto"/>
                    <w:bottom w:val="none" w:sz="0" w:space="0" w:color="auto"/>
                    <w:right w:val="none" w:sz="0" w:space="0" w:color="auto"/>
                  </w:divBdr>
                  <w:divsChild>
                    <w:div w:id="1223760854">
                      <w:marLeft w:val="0"/>
                      <w:marRight w:val="0"/>
                      <w:marTop w:val="0"/>
                      <w:marBottom w:val="0"/>
                      <w:divBdr>
                        <w:top w:val="none" w:sz="0" w:space="0" w:color="auto"/>
                        <w:left w:val="none" w:sz="0" w:space="0" w:color="auto"/>
                        <w:bottom w:val="none" w:sz="0" w:space="0" w:color="auto"/>
                        <w:right w:val="none" w:sz="0" w:space="0" w:color="auto"/>
                      </w:divBdr>
                    </w:div>
                  </w:divsChild>
                </w:div>
                <w:div w:id="49498176">
                  <w:marLeft w:val="0"/>
                  <w:marRight w:val="0"/>
                  <w:marTop w:val="0"/>
                  <w:marBottom w:val="0"/>
                  <w:divBdr>
                    <w:top w:val="none" w:sz="0" w:space="0" w:color="auto"/>
                    <w:left w:val="none" w:sz="0" w:space="0" w:color="auto"/>
                    <w:bottom w:val="none" w:sz="0" w:space="0" w:color="auto"/>
                    <w:right w:val="none" w:sz="0" w:space="0" w:color="auto"/>
                  </w:divBdr>
                  <w:divsChild>
                    <w:div w:id="639460859">
                      <w:marLeft w:val="0"/>
                      <w:marRight w:val="0"/>
                      <w:marTop w:val="0"/>
                      <w:marBottom w:val="0"/>
                      <w:divBdr>
                        <w:top w:val="none" w:sz="0" w:space="0" w:color="auto"/>
                        <w:left w:val="none" w:sz="0" w:space="0" w:color="auto"/>
                        <w:bottom w:val="none" w:sz="0" w:space="0" w:color="auto"/>
                        <w:right w:val="none" w:sz="0" w:space="0" w:color="auto"/>
                      </w:divBdr>
                    </w:div>
                  </w:divsChild>
                </w:div>
                <w:div w:id="59258788">
                  <w:marLeft w:val="0"/>
                  <w:marRight w:val="0"/>
                  <w:marTop w:val="0"/>
                  <w:marBottom w:val="0"/>
                  <w:divBdr>
                    <w:top w:val="none" w:sz="0" w:space="0" w:color="auto"/>
                    <w:left w:val="none" w:sz="0" w:space="0" w:color="auto"/>
                    <w:bottom w:val="none" w:sz="0" w:space="0" w:color="auto"/>
                    <w:right w:val="none" w:sz="0" w:space="0" w:color="auto"/>
                  </w:divBdr>
                  <w:divsChild>
                    <w:div w:id="756177369">
                      <w:marLeft w:val="0"/>
                      <w:marRight w:val="0"/>
                      <w:marTop w:val="0"/>
                      <w:marBottom w:val="0"/>
                      <w:divBdr>
                        <w:top w:val="none" w:sz="0" w:space="0" w:color="auto"/>
                        <w:left w:val="none" w:sz="0" w:space="0" w:color="auto"/>
                        <w:bottom w:val="none" w:sz="0" w:space="0" w:color="auto"/>
                        <w:right w:val="none" w:sz="0" w:space="0" w:color="auto"/>
                      </w:divBdr>
                    </w:div>
                  </w:divsChild>
                </w:div>
                <w:div w:id="62794888">
                  <w:marLeft w:val="0"/>
                  <w:marRight w:val="0"/>
                  <w:marTop w:val="0"/>
                  <w:marBottom w:val="0"/>
                  <w:divBdr>
                    <w:top w:val="none" w:sz="0" w:space="0" w:color="auto"/>
                    <w:left w:val="none" w:sz="0" w:space="0" w:color="auto"/>
                    <w:bottom w:val="none" w:sz="0" w:space="0" w:color="auto"/>
                    <w:right w:val="none" w:sz="0" w:space="0" w:color="auto"/>
                  </w:divBdr>
                  <w:divsChild>
                    <w:div w:id="1819877678">
                      <w:marLeft w:val="0"/>
                      <w:marRight w:val="0"/>
                      <w:marTop w:val="0"/>
                      <w:marBottom w:val="0"/>
                      <w:divBdr>
                        <w:top w:val="none" w:sz="0" w:space="0" w:color="auto"/>
                        <w:left w:val="none" w:sz="0" w:space="0" w:color="auto"/>
                        <w:bottom w:val="none" w:sz="0" w:space="0" w:color="auto"/>
                        <w:right w:val="none" w:sz="0" w:space="0" w:color="auto"/>
                      </w:divBdr>
                    </w:div>
                  </w:divsChild>
                </w:div>
                <w:div w:id="69474434">
                  <w:marLeft w:val="0"/>
                  <w:marRight w:val="0"/>
                  <w:marTop w:val="0"/>
                  <w:marBottom w:val="0"/>
                  <w:divBdr>
                    <w:top w:val="none" w:sz="0" w:space="0" w:color="auto"/>
                    <w:left w:val="none" w:sz="0" w:space="0" w:color="auto"/>
                    <w:bottom w:val="none" w:sz="0" w:space="0" w:color="auto"/>
                    <w:right w:val="none" w:sz="0" w:space="0" w:color="auto"/>
                  </w:divBdr>
                  <w:divsChild>
                    <w:div w:id="1098909476">
                      <w:marLeft w:val="0"/>
                      <w:marRight w:val="0"/>
                      <w:marTop w:val="0"/>
                      <w:marBottom w:val="0"/>
                      <w:divBdr>
                        <w:top w:val="none" w:sz="0" w:space="0" w:color="auto"/>
                        <w:left w:val="none" w:sz="0" w:space="0" w:color="auto"/>
                        <w:bottom w:val="none" w:sz="0" w:space="0" w:color="auto"/>
                        <w:right w:val="none" w:sz="0" w:space="0" w:color="auto"/>
                      </w:divBdr>
                    </w:div>
                  </w:divsChild>
                </w:div>
                <w:div w:id="79102883">
                  <w:marLeft w:val="0"/>
                  <w:marRight w:val="0"/>
                  <w:marTop w:val="0"/>
                  <w:marBottom w:val="0"/>
                  <w:divBdr>
                    <w:top w:val="none" w:sz="0" w:space="0" w:color="auto"/>
                    <w:left w:val="none" w:sz="0" w:space="0" w:color="auto"/>
                    <w:bottom w:val="none" w:sz="0" w:space="0" w:color="auto"/>
                    <w:right w:val="none" w:sz="0" w:space="0" w:color="auto"/>
                  </w:divBdr>
                  <w:divsChild>
                    <w:div w:id="1689718521">
                      <w:marLeft w:val="0"/>
                      <w:marRight w:val="0"/>
                      <w:marTop w:val="0"/>
                      <w:marBottom w:val="0"/>
                      <w:divBdr>
                        <w:top w:val="none" w:sz="0" w:space="0" w:color="auto"/>
                        <w:left w:val="none" w:sz="0" w:space="0" w:color="auto"/>
                        <w:bottom w:val="none" w:sz="0" w:space="0" w:color="auto"/>
                        <w:right w:val="none" w:sz="0" w:space="0" w:color="auto"/>
                      </w:divBdr>
                    </w:div>
                  </w:divsChild>
                </w:div>
                <w:div w:id="79647538">
                  <w:marLeft w:val="0"/>
                  <w:marRight w:val="0"/>
                  <w:marTop w:val="0"/>
                  <w:marBottom w:val="0"/>
                  <w:divBdr>
                    <w:top w:val="none" w:sz="0" w:space="0" w:color="auto"/>
                    <w:left w:val="none" w:sz="0" w:space="0" w:color="auto"/>
                    <w:bottom w:val="none" w:sz="0" w:space="0" w:color="auto"/>
                    <w:right w:val="none" w:sz="0" w:space="0" w:color="auto"/>
                  </w:divBdr>
                  <w:divsChild>
                    <w:div w:id="1481771502">
                      <w:marLeft w:val="0"/>
                      <w:marRight w:val="0"/>
                      <w:marTop w:val="0"/>
                      <w:marBottom w:val="0"/>
                      <w:divBdr>
                        <w:top w:val="none" w:sz="0" w:space="0" w:color="auto"/>
                        <w:left w:val="none" w:sz="0" w:space="0" w:color="auto"/>
                        <w:bottom w:val="none" w:sz="0" w:space="0" w:color="auto"/>
                        <w:right w:val="none" w:sz="0" w:space="0" w:color="auto"/>
                      </w:divBdr>
                    </w:div>
                  </w:divsChild>
                </w:div>
                <w:div w:id="81922756">
                  <w:marLeft w:val="0"/>
                  <w:marRight w:val="0"/>
                  <w:marTop w:val="0"/>
                  <w:marBottom w:val="0"/>
                  <w:divBdr>
                    <w:top w:val="none" w:sz="0" w:space="0" w:color="auto"/>
                    <w:left w:val="none" w:sz="0" w:space="0" w:color="auto"/>
                    <w:bottom w:val="none" w:sz="0" w:space="0" w:color="auto"/>
                    <w:right w:val="none" w:sz="0" w:space="0" w:color="auto"/>
                  </w:divBdr>
                  <w:divsChild>
                    <w:div w:id="1753969409">
                      <w:marLeft w:val="0"/>
                      <w:marRight w:val="0"/>
                      <w:marTop w:val="0"/>
                      <w:marBottom w:val="0"/>
                      <w:divBdr>
                        <w:top w:val="none" w:sz="0" w:space="0" w:color="auto"/>
                        <w:left w:val="none" w:sz="0" w:space="0" w:color="auto"/>
                        <w:bottom w:val="none" w:sz="0" w:space="0" w:color="auto"/>
                        <w:right w:val="none" w:sz="0" w:space="0" w:color="auto"/>
                      </w:divBdr>
                    </w:div>
                  </w:divsChild>
                </w:div>
                <w:div w:id="102843380">
                  <w:marLeft w:val="0"/>
                  <w:marRight w:val="0"/>
                  <w:marTop w:val="0"/>
                  <w:marBottom w:val="0"/>
                  <w:divBdr>
                    <w:top w:val="none" w:sz="0" w:space="0" w:color="auto"/>
                    <w:left w:val="none" w:sz="0" w:space="0" w:color="auto"/>
                    <w:bottom w:val="none" w:sz="0" w:space="0" w:color="auto"/>
                    <w:right w:val="none" w:sz="0" w:space="0" w:color="auto"/>
                  </w:divBdr>
                  <w:divsChild>
                    <w:div w:id="1824155505">
                      <w:marLeft w:val="0"/>
                      <w:marRight w:val="0"/>
                      <w:marTop w:val="0"/>
                      <w:marBottom w:val="0"/>
                      <w:divBdr>
                        <w:top w:val="none" w:sz="0" w:space="0" w:color="auto"/>
                        <w:left w:val="none" w:sz="0" w:space="0" w:color="auto"/>
                        <w:bottom w:val="none" w:sz="0" w:space="0" w:color="auto"/>
                        <w:right w:val="none" w:sz="0" w:space="0" w:color="auto"/>
                      </w:divBdr>
                    </w:div>
                  </w:divsChild>
                </w:div>
                <w:div w:id="165051273">
                  <w:marLeft w:val="0"/>
                  <w:marRight w:val="0"/>
                  <w:marTop w:val="0"/>
                  <w:marBottom w:val="0"/>
                  <w:divBdr>
                    <w:top w:val="none" w:sz="0" w:space="0" w:color="auto"/>
                    <w:left w:val="none" w:sz="0" w:space="0" w:color="auto"/>
                    <w:bottom w:val="none" w:sz="0" w:space="0" w:color="auto"/>
                    <w:right w:val="none" w:sz="0" w:space="0" w:color="auto"/>
                  </w:divBdr>
                  <w:divsChild>
                    <w:div w:id="473445473">
                      <w:marLeft w:val="0"/>
                      <w:marRight w:val="0"/>
                      <w:marTop w:val="0"/>
                      <w:marBottom w:val="0"/>
                      <w:divBdr>
                        <w:top w:val="none" w:sz="0" w:space="0" w:color="auto"/>
                        <w:left w:val="none" w:sz="0" w:space="0" w:color="auto"/>
                        <w:bottom w:val="none" w:sz="0" w:space="0" w:color="auto"/>
                        <w:right w:val="none" w:sz="0" w:space="0" w:color="auto"/>
                      </w:divBdr>
                    </w:div>
                  </w:divsChild>
                </w:div>
                <w:div w:id="170218605">
                  <w:marLeft w:val="0"/>
                  <w:marRight w:val="0"/>
                  <w:marTop w:val="0"/>
                  <w:marBottom w:val="0"/>
                  <w:divBdr>
                    <w:top w:val="none" w:sz="0" w:space="0" w:color="auto"/>
                    <w:left w:val="none" w:sz="0" w:space="0" w:color="auto"/>
                    <w:bottom w:val="none" w:sz="0" w:space="0" w:color="auto"/>
                    <w:right w:val="none" w:sz="0" w:space="0" w:color="auto"/>
                  </w:divBdr>
                  <w:divsChild>
                    <w:div w:id="326638811">
                      <w:marLeft w:val="0"/>
                      <w:marRight w:val="0"/>
                      <w:marTop w:val="0"/>
                      <w:marBottom w:val="0"/>
                      <w:divBdr>
                        <w:top w:val="none" w:sz="0" w:space="0" w:color="auto"/>
                        <w:left w:val="none" w:sz="0" w:space="0" w:color="auto"/>
                        <w:bottom w:val="none" w:sz="0" w:space="0" w:color="auto"/>
                        <w:right w:val="none" w:sz="0" w:space="0" w:color="auto"/>
                      </w:divBdr>
                    </w:div>
                  </w:divsChild>
                </w:div>
                <w:div w:id="171146187">
                  <w:marLeft w:val="0"/>
                  <w:marRight w:val="0"/>
                  <w:marTop w:val="0"/>
                  <w:marBottom w:val="0"/>
                  <w:divBdr>
                    <w:top w:val="none" w:sz="0" w:space="0" w:color="auto"/>
                    <w:left w:val="none" w:sz="0" w:space="0" w:color="auto"/>
                    <w:bottom w:val="none" w:sz="0" w:space="0" w:color="auto"/>
                    <w:right w:val="none" w:sz="0" w:space="0" w:color="auto"/>
                  </w:divBdr>
                  <w:divsChild>
                    <w:div w:id="320305898">
                      <w:marLeft w:val="0"/>
                      <w:marRight w:val="0"/>
                      <w:marTop w:val="0"/>
                      <w:marBottom w:val="0"/>
                      <w:divBdr>
                        <w:top w:val="none" w:sz="0" w:space="0" w:color="auto"/>
                        <w:left w:val="none" w:sz="0" w:space="0" w:color="auto"/>
                        <w:bottom w:val="none" w:sz="0" w:space="0" w:color="auto"/>
                        <w:right w:val="none" w:sz="0" w:space="0" w:color="auto"/>
                      </w:divBdr>
                    </w:div>
                  </w:divsChild>
                </w:div>
                <w:div w:id="171915125">
                  <w:marLeft w:val="0"/>
                  <w:marRight w:val="0"/>
                  <w:marTop w:val="0"/>
                  <w:marBottom w:val="0"/>
                  <w:divBdr>
                    <w:top w:val="none" w:sz="0" w:space="0" w:color="auto"/>
                    <w:left w:val="none" w:sz="0" w:space="0" w:color="auto"/>
                    <w:bottom w:val="none" w:sz="0" w:space="0" w:color="auto"/>
                    <w:right w:val="none" w:sz="0" w:space="0" w:color="auto"/>
                  </w:divBdr>
                  <w:divsChild>
                    <w:div w:id="543098050">
                      <w:marLeft w:val="0"/>
                      <w:marRight w:val="0"/>
                      <w:marTop w:val="0"/>
                      <w:marBottom w:val="0"/>
                      <w:divBdr>
                        <w:top w:val="none" w:sz="0" w:space="0" w:color="auto"/>
                        <w:left w:val="none" w:sz="0" w:space="0" w:color="auto"/>
                        <w:bottom w:val="none" w:sz="0" w:space="0" w:color="auto"/>
                        <w:right w:val="none" w:sz="0" w:space="0" w:color="auto"/>
                      </w:divBdr>
                    </w:div>
                  </w:divsChild>
                </w:div>
                <w:div w:id="179128934">
                  <w:marLeft w:val="0"/>
                  <w:marRight w:val="0"/>
                  <w:marTop w:val="0"/>
                  <w:marBottom w:val="0"/>
                  <w:divBdr>
                    <w:top w:val="none" w:sz="0" w:space="0" w:color="auto"/>
                    <w:left w:val="none" w:sz="0" w:space="0" w:color="auto"/>
                    <w:bottom w:val="none" w:sz="0" w:space="0" w:color="auto"/>
                    <w:right w:val="none" w:sz="0" w:space="0" w:color="auto"/>
                  </w:divBdr>
                  <w:divsChild>
                    <w:div w:id="269825939">
                      <w:marLeft w:val="0"/>
                      <w:marRight w:val="0"/>
                      <w:marTop w:val="0"/>
                      <w:marBottom w:val="0"/>
                      <w:divBdr>
                        <w:top w:val="none" w:sz="0" w:space="0" w:color="auto"/>
                        <w:left w:val="none" w:sz="0" w:space="0" w:color="auto"/>
                        <w:bottom w:val="none" w:sz="0" w:space="0" w:color="auto"/>
                        <w:right w:val="none" w:sz="0" w:space="0" w:color="auto"/>
                      </w:divBdr>
                    </w:div>
                  </w:divsChild>
                </w:div>
                <w:div w:id="179206369">
                  <w:marLeft w:val="0"/>
                  <w:marRight w:val="0"/>
                  <w:marTop w:val="0"/>
                  <w:marBottom w:val="0"/>
                  <w:divBdr>
                    <w:top w:val="none" w:sz="0" w:space="0" w:color="auto"/>
                    <w:left w:val="none" w:sz="0" w:space="0" w:color="auto"/>
                    <w:bottom w:val="none" w:sz="0" w:space="0" w:color="auto"/>
                    <w:right w:val="none" w:sz="0" w:space="0" w:color="auto"/>
                  </w:divBdr>
                  <w:divsChild>
                    <w:div w:id="45957612">
                      <w:marLeft w:val="0"/>
                      <w:marRight w:val="0"/>
                      <w:marTop w:val="0"/>
                      <w:marBottom w:val="0"/>
                      <w:divBdr>
                        <w:top w:val="none" w:sz="0" w:space="0" w:color="auto"/>
                        <w:left w:val="none" w:sz="0" w:space="0" w:color="auto"/>
                        <w:bottom w:val="none" w:sz="0" w:space="0" w:color="auto"/>
                        <w:right w:val="none" w:sz="0" w:space="0" w:color="auto"/>
                      </w:divBdr>
                    </w:div>
                  </w:divsChild>
                </w:div>
                <w:div w:id="188108864">
                  <w:marLeft w:val="0"/>
                  <w:marRight w:val="0"/>
                  <w:marTop w:val="0"/>
                  <w:marBottom w:val="0"/>
                  <w:divBdr>
                    <w:top w:val="none" w:sz="0" w:space="0" w:color="auto"/>
                    <w:left w:val="none" w:sz="0" w:space="0" w:color="auto"/>
                    <w:bottom w:val="none" w:sz="0" w:space="0" w:color="auto"/>
                    <w:right w:val="none" w:sz="0" w:space="0" w:color="auto"/>
                  </w:divBdr>
                  <w:divsChild>
                    <w:div w:id="1741369744">
                      <w:marLeft w:val="0"/>
                      <w:marRight w:val="0"/>
                      <w:marTop w:val="0"/>
                      <w:marBottom w:val="0"/>
                      <w:divBdr>
                        <w:top w:val="none" w:sz="0" w:space="0" w:color="auto"/>
                        <w:left w:val="none" w:sz="0" w:space="0" w:color="auto"/>
                        <w:bottom w:val="none" w:sz="0" w:space="0" w:color="auto"/>
                        <w:right w:val="none" w:sz="0" w:space="0" w:color="auto"/>
                      </w:divBdr>
                    </w:div>
                  </w:divsChild>
                </w:div>
                <w:div w:id="201555395">
                  <w:marLeft w:val="0"/>
                  <w:marRight w:val="0"/>
                  <w:marTop w:val="0"/>
                  <w:marBottom w:val="0"/>
                  <w:divBdr>
                    <w:top w:val="none" w:sz="0" w:space="0" w:color="auto"/>
                    <w:left w:val="none" w:sz="0" w:space="0" w:color="auto"/>
                    <w:bottom w:val="none" w:sz="0" w:space="0" w:color="auto"/>
                    <w:right w:val="none" w:sz="0" w:space="0" w:color="auto"/>
                  </w:divBdr>
                  <w:divsChild>
                    <w:div w:id="1393655720">
                      <w:marLeft w:val="0"/>
                      <w:marRight w:val="0"/>
                      <w:marTop w:val="0"/>
                      <w:marBottom w:val="0"/>
                      <w:divBdr>
                        <w:top w:val="none" w:sz="0" w:space="0" w:color="auto"/>
                        <w:left w:val="none" w:sz="0" w:space="0" w:color="auto"/>
                        <w:bottom w:val="none" w:sz="0" w:space="0" w:color="auto"/>
                        <w:right w:val="none" w:sz="0" w:space="0" w:color="auto"/>
                      </w:divBdr>
                    </w:div>
                  </w:divsChild>
                </w:div>
                <w:div w:id="203373628">
                  <w:marLeft w:val="0"/>
                  <w:marRight w:val="0"/>
                  <w:marTop w:val="0"/>
                  <w:marBottom w:val="0"/>
                  <w:divBdr>
                    <w:top w:val="none" w:sz="0" w:space="0" w:color="auto"/>
                    <w:left w:val="none" w:sz="0" w:space="0" w:color="auto"/>
                    <w:bottom w:val="none" w:sz="0" w:space="0" w:color="auto"/>
                    <w:right w:val="none" w:sz="0" w:space="0" w:color="auto"/>
                  </w:divBdr>
                  <w:divsChild>
                    <w:div w:id="892276304">
                      <w:marLeft w:val="0"/>
                      <w:marRight w:val="0"/>
                      <w:marTop w:val="0"/>
                      <w:marBottom w:val="0"/>
                      <w:divBdr>
                        <w:top w:val="none" w:sz="0" w:space="0" w:color="auto"/>
                        <w:left w:val="none" w:sz="0" w:space="0" w:color="auto"/>
                        <w:bottom w:val="none" w:sz="0" w:space="0" w:color="auto"/>
                        <w:right w:val="none" w:sz="0" w:space="0" w:color="auto"/>
                      </w:divBdr>
                    </w:div>
                  </w:divsChild>
                </w:div>
                <w:div w:id="206181509">
                  <w:marLeft w:val="0"/>
                  <w:marRight w:val="0"/>
                  <w:marTop w:val="0"/>
                  <w:marBottom w:val="0"/>
                  <w:divBdr>
                    <w:top w:val="none" w:sz="0" w:space="0" w:color="auto"/>
                    <w:left w:val="none" w:sz="0" w:space="0" w:color="auto"/>
                    <w:bottom w:val="none" w:sz="0" w:space="0" w:color="auto"/>
                    <w:right w:val="none" w:sz="0" w:space="0" w:color="auto"/>
                  </w:divBdr>
                  <w:divsChild>
                    <w:div w:id="449593423">
                      <w:marLeft w:val="0"/>
                      <w:marRight w:val="0"/>
                      <w:marTop w:val="0"/>
                      <w:marBottom w:val="0"/>
                      <w:divBdr>
                        <w:top w:val="none" w:sz="0" w:space="0" w:color="auto"/>
                        <w:left w:val="none" w:sz="0" w:space="0" w:color="auto"/>
                        <w:bottom w:val="none" w:sz="0" w:space="0" w:color="auto"/>
                        <w:right w:val="none" w:sz="0" w:space="0" w:color="auto"/>
                      </w:divBdr>
                    </w:div>
                    <w:div w:id="658311295">
                      <w:marLeft w:val="0"/>
                      <w:marRight w:val="0"/>
                      <w:marTop w:val="0"/>
                      <w:marBottom w:val="0"/>
                      <w:divBdr>
                        <w:top w:val="none" w:sz="0" w:space="0" w:color="auto"/>
                        <w:left w:val="none" w:sz="0" w:space="0" w:color="auto"/>
                        <w:bottom w:val="none" w:sz="0" w:space="0" w:color="auto"/>
                        <w:right w:val="none" w:sz="0" w:space="0" w:color="auto"/>
                      </w:divBdr>
                    </w:div>
                    <w:div w:id="1327434980">
                      <w:marLeft w:val="0"/>
                      <w:marRight w:val="0"/>
                      <w:marTop w:val="0"/>
                      <w:marBottom w:val="0"/>
                      <w:divBdr>
                        <w:top w:val="none" w:sz="0" w:space="0" w:color="auto"/>
                        <w:left w:val="none" w:sz="0" w:space="0" w:color="auto"/>
                        <w:bottom w:val="none" w:sz="0" w:space="0" w:color="auto"/>
                        <w:right w:val="none" w:sz="0" w:space="0" w:color="auto"/>
                      </w:divBdr>
                    </w:div>
                    <w:div w:id="1613438680">
                      <w:marLeft w:val="0"/>
                      <w:marRight w:val="0"/>
                      <w:marTop w:val="0"/>
                      <w:marBottom w:val="0"/>
                      <w:divBdr>
                        <w:top w:val="none" w:sz="0" w:space="0" w:color="auto"/>
                        <w:left w:val="none" w:sz="0" w:space="0" w:color="auto"/>
                        <w:bottom w:val="none" w:sz="0" w:space="0" w:color="auto"/>
                        <w:right w:val="none" w:sz="0" w:space="0" w:color="auto"/>
                      </w:divBdr>
                    </w:div>
                  </w:divsChild>
                </w:div>
                <w:div w:id="212235675">
                  <w:marLeft w:val="0"/>
                  <w:marRight w:val="0"/>
                  <w:marTop w:val="0"/>
                  <w:marBottom w:val="0"/>
                  <w:divBdr>
                    <w:top w:val="none" w:sz="0" w:space="0" w:color="auto"/>
                    <w:left w:val="none" w:sz="0" w:space="0" w:color="auto"/>
                    <w:bottom w:val="none" w:sz="0" w:space="0" w:color="auto"/>
                    <w:right w:val="none" w:sz="0" w:space="0" w:color="auto"/>
                  </w:divBdr>
                  <w:divsChild>
                    <w:div w:id="151023922">
                      <w:marLeft w:val="0"/>
                      <w:marRight w:val="0"/>
                      <w:marTop w:val="0"/>
                      <w:marBottom w:val="0"/>
                      <w:divBdr>
                        <w:top w:val="none" w:sz="0" w:space="0" w:color="auto"/>
                        <w:left w:val="none" w:sz="0" w:space="0" w:color="auto"/>
                        <w:bottom w:val="none" w:sz="0" w:space="0" w:color="auto"/>
                        <w:right w:val="none" w:sz="0" w:space="0" w:color="auto"/>
                      </w:divBdr>
                    </w:div>
                    <w:div w:id="976566518">
                      <w:marLeft w:val="0"/>
                      <w:marRight w:val="0"/>
                      <w:marTop w:val="0"/>
                      <w:marBottom w:val="0"/>
                      <w:divBdr>
                        <w:top w:val="none" w:sz="0" w:space="0" w:color="auto"/>
                        <w:left w:val="none" w:sz="0" w:space="0" w:color="auto"/>
                        <w:bottom w:val="none" w:sz="0" w:space="0" w:color="auto"/>
                        <w:right w:val="none" w:sz="0" w:space="0" w:color="auto"/>
                      </w:divBdr>
                    </w:div>
                    <w:div w:id="1522815205">
                      <w:marLeft w:val="0"/>
                      <w:marRight w:val="0"/>
                      <w:marTop w:val="0"/>
                      <w:marBottom w:val="0"/>
                      <w:divBdr>
                        <w:top w:val="none" w:sz="0" w:space="0" w:color="auto"/>
                        <w:left w:val="none" w:sz="0" w:space="0" w:color="auto"/>
                        <w:bottom w:val="none" w:sz="0" w:space="0" w:color="auto"/>
                        <w:right w:val="none" w:sz="0" w:space="0" w:color="auto"/>
                      </w:divBdr>
                    </w:div>
                  </w:divsChild>
                </w:div>
                <w:div w:id="221983693">
                  <w:marLeft w:val="0"/>
                  <w:marRight w:val="0"/>
                  <w:marTop w:val="0"/>
                  <w:marBottom w:val="0"/>
                  <w:divBdr>
                    <w:top w:val="none" w:sz="0" w:space="0" w:color="auto"/>
                    <w:left w:val="none" w:sz="0" w:space="0" w:color="auto"/>
                    <w:bottom w:val="none" w:sz="0" w:space="0" w:color="auto"/>
                    <w:right w:val="none" w:sz="0" w:space="0" w:color="auto"/>
                  </w:divBdr>
                  <w:divsChild>
                    <w:div w:id="13193215">
                      <w:marLeft w:val="0"/>
                      <w:marRight w:val="0"/>
                      <w:marTop w:val="0"/>
                      <w:marBottom w:val="0"/>
                      <w:divBdr>
                        <w:top w:val="none" w:sz="0" w:space="0" w:color="auto"/>
                        <w:left w:val="none" w:sz="0" w:space="0" w:color="auto"/>
                        <w:bottom w:val="none" w:sz="0" w:space="0" w:color="auto"/>
                        <w:right w:val="none" w:sz="0" w:space="0" w:color="auto"/>
                      </w:divBdr>
                    </w:div>
                    <w:div w:id="432744381">
                      <w:marLeft w:val="0"/>
                      <w:marRight w:val="0"/>
                      <w:marTop w:val="0"/>
                      <w:marBottom w:val="0"/>
                      <w:divBdr>
                        <w:top w:val="none" w:sz="0" w:space="0" w:color="auto"/>
                        <w:left w:val="none" w:sz="0" w:space="0" w:color="auto"/>
                        <w:bottom w:val="none" w:sz="0" w:space="0" w:color="auto"/>
                        <w:right w:val="none" w:sz="0" w:space="0" w:color="auto"/>
                      </w:divBdr>
                    </w:div>
                    <w:div w:id="1339963026">
                      <w:marLeft w:val="0"/>
                      <w:marRight w:val="0"/>
                      <w:marTop w:val="0"/>
                      <w:marBottom w:val="0"/>
                      <w:divBdr>
                        <w:top w:val="none" w:sz="0" w:space="0" w:color="auto"/>
                        <w:left w:val="none" w:sz="0" w:space="0" w:color="auto"/>
                        <w:bottom w:val="none" w:sz="0" w:space="0" w:color="auto"/>
                        <w:right w:val="none" w:sz="0" w:space="0" w:color="auto"/>
                      </w:divBdr>
                    </w:div>
                  </w:divsChild>
                </w:div>
                <w:div w:id="247816105">
                  <w:marLeft w:val="0"/>
                  <w:marRight w:val="0"/>
                  <w:marTop w:val="0"/>
                  <w:marBottom w:val="0"/>
                  <w:divBdr>
                    <w:top w:val="none" w:sz="0" w:space="0" w:color="auto"/>
                    <w:left w:val="none" w:sz="0" w:space="0" w:color="auto"/>
                    <w:bottom w:val="none" w:sz="0" w:space="0" w:color="auto"/>
                    <w:right w:val="none" w:sz="0" w:space="0" w:color="auto"/>
                  </w:divBdr>
                  <w:divsChild>
                    <w:div w:id="377970385">
                      <w:marLeft w:val="0"/>
                      <w:marRight w:val="0"/>
                      <w:marTop w:val="0"/>
                      <w:marBottom w:val="0"/>
                      <w:divBdr>
                        <w:top w:val="none" w:sz="0" w:space="0" w:color="auto"/>
                        <w:left w:val="none" w:sz="0" w:space="0" w:color="auto"/>
                        <w:bottom w:val="none" w:sz="0" w:space="0" w:color="auto"/>
                        <w:right w:val="none" w:sz="0" w:space="0" w:color="auto"/>
                      </w:divBdr>
                    </w:div>
                  </w:divsChild>
                </w:div>
                <w:div w:id="253242748">
                  <w:marLeft w:val="0"/>
                  <w:marRight w:val="0"/>
                  <w:marTop w:val="0"/>
                  <w:marBottom w:val="0"/>
                  <w:divBdr>
                    <w:top w:val="none" w:sz="0" w:space="0" w:color="auto"/>
                    <w:left w:val="none" w:sz="0" w:space="0" w:color="auto"/>
                    <w:bottom w:val="none" w:sz="0" w:space="0" w:color="auto"/>
                    <w:right w:val="none" w:sz="0" w:space="0" w:color="auto"/>
                  </w:divBdr>
                  <w:divsChild>
                    <w:div w:id="1089347750">
                      <w:marLeft w:val="0"/>
                      <w:marRight w:val="0"/>
                      <w:marTop w:val="0"/>
                      <w:marBottom w:val="0"/>
                      <w:divBdr>
                        <w:top w:val="none" w:sz="0" w:space="0" w:color="auto"/>
                        <w:left w:val="none" w:sz="0" w:space="0" w:color="auto"/>
                        <w:bottom w:val="none" w:sz="0" w:space="0" w:color="auto"/>
                        <w:right w:val="none" w:sz="0" w:space="0" w:color="auto"/>
                      </w:divBdr>
                    </w:div>
                  </w:divsChild>
                </w:div>
                <w:div w:id="261450364">
                  <w:marLeft w:val="0"/>
                  <w:marRight w:val="0"/>
                  <w:marTop w:val="0"/>
                  <w:marBottom w:val="0"/>
                  <w:divBdr>
                    <w:top w:val="none" w:sz="0" w:space="0" w:color="auto"/>
                    <w:left w:val="none" w:sz="0" w:space="0" w:color="auto"/>
                    <w:bottom w:val="none" w:sz="0" w:space="0" w:color="auto"/>
                    <w:right w:val="none" w:sz="0" w:space="0" w:color="auto"/>
                  </w:divBdr>
                  <w:divsChild>
                    <w:div w:id="1769618610">
                      <w:marLeft w:val="0"/>
                      <w:marRight w:val="0"/>
                      <w:marTop w:val="0"/>
                      <w:marBottom w:val="0"/>
                      <w:divBdr>
                        <w:top w:val="none" w:sz="0" w:space="0" w:color="auto"/>
                        <w:left w:val="none" w:sz="0" w:space="0" w:color="auto"/>
                        <w:bottom w:val="none" w:sz="0" w:space="0" w:color="auto"/>
                        <w:right w:val="none" w:sz="0" w:space="0" w:color="auto"/>
                      </w:divBdr>
                    </w:div>
                  </w:divsChild>
                </w:div>
                <w:div w:id="274295296">
                  <w:marLeft w:val="0"/>
                  <w:marRight w:val="0"/>
                  <w:marTop w:val="0"/>
                  <w:marBottom w:val="0"/>
                  <w:divBdr>
                    <w:top w:val="none" w:sz="0" w:space="0" w:color="auto"/>
                    <w:left w:val="none" w:sz="0" w:space="0" w:color="auto"/>
                    <w:bottom w:val="none" w:sz="0" w:space="0" w:color="auto"/>
                    <w:right w:val="none" w:sz="0" w:space="0" w:color="auto"/>
                  </w:divBdr>
                  <w:divsChild>
                    <w:div w:id="1662077037">
                      <w:marLeft w:val="0"/>
                      <w:marRight w:val="0"/>
                      <w:marTop w:val="0"/>
                      <w:marBottom w:val="0"/>
                      <w:divBdr>
                        <w:top w:val="none" w:sz="0" w:space="0" w:color="auto"/>
                        <w:left w:val="none" w:sz="0" w:space="0" w:color="auto"/>
                        <w:bottom w:val="none" w:sz="0" w:space="0" w:color="auto"/>
                        <w:right w:val="none" w:sz="0" w:space="0" w:color="auto"/>
                      </w:divBdr>
                    </w:div>
                  </w:divsChild>
                </w:div>
                <w:div w:id="277228279">
                  <w:marLeft w:val="0"/>
                  <w:marRight w:val="0"/>
                  <w:marTop w:val="0"/>
                  <w:marBottom w:val="0"/>
                  <w:divBdr>
                    <w:top w:val="none" w:sz="0" w:space="0" w:color="auto"/>
                    <w:left w:val="none" w:sz="0" w:space="0" w:color="auto"/>
                    <w:bottom w:val="none" w:sz="0" w:space="0" w:color="auto"/>
                    <w:right w:val="none" w:sz="0" w:space="0" w:color="auto"/>
                  </w:divBdr>
                  <w:divsChild>
                    <w:div w:id="623925775">
                      <w:marLeft w:val="0"/>
                      <w:marRight w:val="0"/>
                      <w:marTop w:val="0"/>
                      <w:marBottom w:val="0"/>
                      <w:divBdr>
                        <w:top w:val="none" w:sz="0" w:space="0" w:color="auto"/>
                        <w:left w:val="none" w:sz="0" w:space="0" w:color="auto"/>
                        <w:bottom w:val="none" w:sz="0" w:space="0" w:color="auto"/>
                        <w:right w:val="none" w:sz="0" w:space="0" w:color="auto"/>
                      </w:divBdr>
                    </w:div>
                  </w:divsChild>
                </w:div>
                <w:div w:id="278074130">
                  <w:marLeft w:val="0"/>
                  <w:marRight w:val="0"/>
                  <w:marTop w:val="0"/>
                  <w:marBottom w:val="0"/>
                  <w:divBdr>
                    <w:top w:val="none" w:sz="0" w:space="0" w:color="auto"/>
                    <w:left w:val="none" w:sz="0" w:space="0" w:color="auto"/>
                    <w:bottom w:val="none" w:sz="0" w:space="0" w:color="auto"/>
                    <w:right w:val="none" w:sz="0" w:space="0" w:color="auto"/>
                  </w:divBdr>
                  <w:divsChild>
                    <w:div w:id="171185914">
                      <w:marLeft w:val="0"/>
                      <w:marRight w:val="0"/>
                      <w:marTop w:val="0"/>
                      <w:marBottom w:val="0"/>
                      <w:divBdr>
                        <w:top w:val="none" w:sz="0" w:space="0" w:color="auto"/>
                        <w:left w:val="none" w:sz="0" w:space="0" w:color="auto"/>
                        <w:bottom w:val="none" w:sz="0" w:space="0" w:color="auto"/>
                        <w:right w:val="none" w:sz="0" w:space="0" w:color="auto"/>
                      </w:divBdr>
                    </w:div>
                  </w:divsChild>
                </w:div>
                <w:div w:id="315187173">
                  <w:marLeft w:val="0"/>
                  <w:marRight w:val="0"/>
                  <w:marTop w:val="0"/>
                  <w:marBottom w:val="0"/>
                  <w:divBdr>
                    <w:top w:val="none" w:sz="0" w:space="0" w:color="auto"/>
                    <w:left w:val="none" w:sz="0" w:space="0" w:color="auto"/>
                    <w:bottom w:val="none" w:sz="0" w:space="0" w:color="auto"/>
                    <w:right w:val="none" w:sz="0" w:space="0" w:color="auto"/>
                  </w:divBdr>
                  <w:divsChild>
                    <w:div w:id="149908274">
                      <w:marLeft w:val="0"/>
                      <w:marRight w:val="0"/>
                      <w:marTop w:val="0"/>
                      <w:marBottom w:val="0"/>
                      <w:divBdr>
                        <w:top w:val="none" w:sz="0" w:space="0" w:color="auto"/>
                        <w:left w:val="none" w:sz="0" w:space="0" w:color="auto"/>
                        <w:bottom w:val="none" w:sz="0" w:space="0" w:color="auto"/>
                        <w:right w:val="none" w:sz="0" w:space="0" w:color="auto"/>
                      </w:divBdr>
                    </w:div>
                    <w:div w:id="537353243">
                      <w:marLeft w:val="0"/>
                      <w:marRight w:val="0"/>
                      <w:marTop w:val="0"/>
                      <w:marBottom w:val="0"/>
                      <w:divBdr>
                        <w:top w:val="none" w:sz="0" w:space="0" w:color="auto"/>
                        <w:left w:val="none" w:sz="0" w:space="0" w:color="auto"/>
                        <w:bottom w:val="none" w:sz="0" w:space="0" w:color="auto"/>
                        <w:right w:val="none" w:sz="0" w:space="0" w:color="auto"/>
                      </w:divBdr>
                    </w:div>
                    <w:div w:id="1944681411">
                      <w:marLeft w:val="0"/>
                      <w:marRight w:val="0"/>
                      <w:marTop w:val="0"/>
                      <w:marBottom w:val="0"/>
                      <w:divBdr>
                        <w:top w:val="none" w:sz="0" w:space="0" w:color="auto"/>
                        <w:left w:val="none" w:sz="0" w:space="0" w:color="auto"/>
                        <w:bottom w:val="none" w:sz="0" w:space="0" w:color="auto"/>
                        <w:right w:val="none" w:sz="0" w:space="0" w:color="auto"/>
                      </w:divBdr>
                    </w:div>
                  </w:divsChild>
                </w:div>
                <w:div w:id="315229227">
                  <w:marLeft w:val="0"/>
                  <w:marRight w:val="0"/>
                  <w:marTop w:val="0"/>
                  <w:marBottom w:val="0"/>
                  <w:divBdr>
                    <w:top w:val="none" w:sz="0" w:space="0" w:color="auto"/>
                    <w:left w:val="none" w:sz="0" w:space="0" w:color="auto"/>
                    <w:bottom w:val="none" w:sz="0" w:space="0" w:color="auto"/>
                    <w:right w:val="none" w:sz="0" w:space="0" w:color="auto"/>
                  </w:divBdr>
                  <w:divsChild>
                    <w:div w:id="1862936165">
                      <w:marLeft w:val="0"/>
                      <w:marRight w:val="0"/>
                      <w:marTop w:val="0"/>
                      <w:marBottom w:val="0"/>
                      <w:divBdr>
                        <w:top w:val="none" w:sz="0" w:space="0" w:color="auto"/>
                        <w:left w:val="none" w:sz="0" w:space="0" w:color="auto"/>
                        <w:bottom w:val="none" w:sz="0" w:space="0" w:color="auto"/>
                        <w:right w:val="none" w:sz="0" w:space="0" w:color="auto"/>
                      </w:divBdr>
                    </w:div>
                  </w:divsChild>
                </w:div>
                <w:div w:id="317732476">
                  <w:marLeft w:val="0"/>
                  <w:marRight w:val="0"/>
                  <w:marTop w:val="0"/>
                  <w:marBottom w:val="0"/>
                  <w:divBdr>
                    <w:top w:val="none" w:sz="0" w:space="0" w:color="auto"/>
                    <w:left w:val="none" w:sz="0" w:space="0" w:color="auto"/>
                    <w:bottom w:val="none" w:sz="0" w:space="0" w:color="auto"/>
                    <w:right w:val="none" w:sz="0" w:space="0" w:color="auto"/>
                  </w:divBdr>
                  <w:divsChild>
                    <w:div w:id="1258710017">
                      <w:marLeft w:val="0"/>
                      <w:marRight w:val="0"/>
                      <w:marTop w:val="0"/>
                      <w:marBottom w:val="0"/>
                      <w:divBdr>
                        <w:top w:val="none" w:sz="0" w:space="0" w:color="auto"/>
                        <w:left w:val="none" w:sz="0" w:space="0" w:color="auto"/>
                        <w:bottom w:val="none" w:sz="0" w:space="0" w:color="auto"/>
                        <w:right w:val="none" w:sz="0" w:space="0" w:color="auto"/>
                      </w:divBdr>
                    </w:div>
                  </w:divsChild>
                </w:div>
                <w:div w:id="333921829">
                  <w:marLeft w:val="0"/>
                  <w:marRight w:val="0"/>
                  <w:marTop w:val="0"/>
                  <w:marBottom w:val="0"/>
                  <w:divBdr>
                    <w:top w:val="none" w:sz="0" w:space="0" w:color="auto"/>
                    <w:left w:val="none" w:sz="0" w:space="0" w:color="auto"/>
                    <w:bottom w:val="none" w:sz="0" w:space="0" w:color="auto"/>
                    <w:right w:val="none" w:sz="0" w:space="0" w:color="auto"/>
                  </w:divBdr>
                  <w:divsChild>
                    <w:div w:id="301859417">
                      <w:marLeft w:val="0"/>
                      <w:marRight w:val="0"/>
                      <w:marTop w:val="0"/>
                      <w:marBottom w:val="0"/>
                      <w:divBdr>
                        <w:top w:val="none" w:sz="0" w:space="0" w:color="auto"/>
                        <w:left w:val="none" w:sz="0" w:space="0" w:color="auto"/>
                        <w:bottom w:val="none" w:sz="0" w:space="0" w:color="auto"/>
                        <w:right w:val="none" w:sz="0" w:space="0" w:color="auto"/>
                      </w:divBdr>
                    </w:div>
                  </w:divsChild>
                </w:div>
                <w:div w:id="334306412">
                  <w:marLeft w:val="0"/>
                  <w:marRight w:val="0"/>
                  <w:marTop w:val="0"/>
                  <w:marBottom w:val="0"/>
                  <w:divBdr>
                    <w:top w:val="none" w:sz="0" w:space="0" w:color="auto"/>
                    <w:left w:val="none" w:sz="0" w:space="0" w:color="auto"/>
                    <w:bottom w:val="none" w:sz="0" w:space="0" w:color="auto"/>
                    <w:right w:val="none" w:sz="0" w:space="0" w:color="auto"/>
                  </w:divBdr>
                  <w:divsChild>
                    <w:div w:id="511183673">
                      <w:marLeft w:val="0"/>
                      <w:marRight w:val="0"/>
                      <w:marTop w:val="0"/>
                      <w:marBottom w:val="0"/>
                      <w:divBdr>
                        <w:top w:val="none" w:sz="0" w:space="0" w:color="auto"/>
                        <w:left w:val="none" w:sz="0" w:space="0" w:color="auto"/>
                        <w:bottom w:val="none" w:sz="0" w:space="0" w:color="auto"/>
                        <w:right w:val="none" w:sz="0" w:space="0" w:color="auto"/>
                      </w:divBdr>
                    </w:div>
                  </w:divsChild>
                </w:div>
                <w:div w:id="338166667">
                  <w:marLeft w:val="0"/>
                  <w:marRight w:val="0"/>
                  <w:marTop w:val="0"/>
                  <w:marBottom w:val="0"/>
                  <w:divBdr>
                    <w:top w:val="none" w:sz="0" w:space="0" w:color="auto"/>
                    <w:left w:val="none" w:sz="0" w:space="0" w:color="auto"/>
                    <w:bottom w:val="none" w:sz="0" w:space="0" w:color="auto"/>
                    <w:right w:val="none" w:sz="0" w:space="0" w:color="auto"/>
                  </w:divBdr>
                  <w:divsChild>
                    <w:div w:id="2071072876">
                      <w:marLeft w:val="0"/>
                      <w:marRight w:val="0"/>
                      <w:marTop w:val="0"/>
                      <w:marBottom w:val="0"/>
                      <w:divBdr>
                        <w:top w:val="none" w:sz="0" w:space="0" w:color="auto"/>
                        <w:left w:val="none" w:sz="0" w:space="0" w:color="auto"/>
                        <w:bottom w:val="none" w:sz="0" w:space="0" w:color="auto"/>
                        <w:right w:val="none" w:sz="0" w:space="0" w:color="auto"/>
                      </w:divBdr>
                    </w:div>
                  </w:divsChild>
                </w:div>
                <w:div w:id="356782161">
                  <w:marLeft w:val="0"/>
                  <w:marRight w:val="0"/>
                  <w:marTop w:val="0"/>
                  <w:marBottom w:val="0"/>
                  <w:divBdr>
                    <w:top w:val="none" w:sz="0" w:space="0" w:color="auto"/>
                    <w:left w:val="none" w:sz="0" w:space="0" w:color="auto"/>
                    <w:bottom w:val="none" w:sz="0" w:space="0" w:color="auto"/>
                    <w:right w:val="none" w:sz="0" w:space="0" w:color="auto"/>
                  </w:divBdr>
                  <w:divsChild>
                    <w:div w:id="414060839">
                      <w:marLeft w:val="0"/>
                      <w:marRight w:val="0"/>
                      <w:marTop w:val="0"/>
                      <w:marBottom w:val="0"/>
                      <w:divBdr>
                        <w:top w:val="none" w:sz="0" w:space="0" w:color="auto"/>
                        <w:left w:val="none" w:sz="0" w:space="0" w:color="auto"/>
                        <w:bottom w:val="none" w:sz="0" w:space="0" w:color="auto"/>
                        <w:right w:val="none" w:sz="0" w:space="0" w:color="auto"/>
                      </w:divBdr>
                    </w:div>
                  </w:divsChild>
                </w:div>
                <w:div w:id="367339811">
                  <w:marLeft w:val="0"/>
                  <w:marRight w:val="0"/>
                  <w:marTop w:val="0"/>
                  <w:marBottom w:val="0"/>
                  <w:divBdr>
                    <w:top w:val="none" w:sz="0" w:space="0" w:color="auto"/>
                    <w:left w:val="none" w:sz="0" w:space="0" w:color="auto"/>
                    <w:bottom w:val="none" w:sz="0" w:space="0" w:color="auto"/>
                    <w:right w:val="none" w:sz="0" w:space="0" w:color="auto"/>
                  </w:divBdr>
                  <w:divsChild>
                    <w:div w:id="1336765648">
                      <w:marLeft w:val="0"/>
                      <w:marRight w:val="0"/>
                      <w:marTop w:val="0"/>
                      <w:marBottom w:val="0"/>
                      <w:divBdr>
                        <w:top w:val="none" w:sz="0" w:space="0" w:color="auto"/>
                        <w:left w:val="none" w:sz="0" w:space="0" w:color="auto"/>
                        <w:bottom w:val="none" w:sz="0" w:space="0" w:color="auto"/>
                        <w:right w:val="none" w:sz="0" w:space="0" w:color="auto"/>
                      </w:divBdr>
                    </w:div>
                  </w:divsChild>
                </w:div>
                <w:div w:id="377558619">
                  <w:marLeft w:val="0"/>
                  <w:marRight w:val="0"/>
                  <w:marTop w:val="0"/>
                  <w:marBottom w:val="0"/>
                  <w:divBdr>
                    <w:top w:val="none" w:sz="0" w:space="0" w:color="auto"/>
                    <w:left w:val="none" w:sz="0" w:space="0" w:color="auto"/>
                    <w:bottom w:val="none" w:sz="0" w:space="0" w:color="auto"/>
                    <w:right w:val="none" w:sz="0" w:space="0" w:color="auto"/>
                  </w:divBdr>
                  <w:divsChild>
                    <w:div w:id="85006301">
                      <w:marLeft w:val="0"/>
                      <w:marRight w:val="0"/>
                      <w:marTop w:val="0"/>
                      <w:marBottom w:val="0"/>
                      <w:divBdr>
                        <w:top w:val="none" w:sz="0" w:space="0" w:color="auto"/>
                        <w:left w:val="none" w:sz="0" w:space="0" w:color="auto"/>
                        <w:bottom w:val="none" w:sz="0" w:space="0" w:color="auto"/>
                        <w:right w:val="none" w:sz="0" w:space="0" w:color="auto"/>
                      </w:divBdr>
                    </w:div>
                  </w:divsChild>
                </w:div>
                <w:div w:id="379280184">
                  <w:marLeft w:val="0"/>
                  <w:marRight w:val="0"/>
                  <w:marTop w:val="0"/>
                  <w:marBottom w:val="0"/>
                  <w:divBdr>
                    <w:top w:val="none" w:sz="0" w:space="0" w:color="auto"/>
                    <w:left w:val="none" w:sz="0" w:space="0" w:color="auto"/>
                    <w:bottom w:val="none" w:sz="0" w:space="0" w:color="auto"/>
                    <w:right w:val="none" w:sz="0" w:space="0" w:color="auto"/>
                  </w:divBdr>
                  <w:divsChild>
                    <w:div w:id="315955019">
                      <w:marLeft w:val="0"/>
                      <w:marRight w:val="0"/>
                      <w:marTop w:val="0"/>
                      <w:marBottom w:val="0"/>
                      <w:divBdr>
                        <w:top w:val="none" w:sz="0" w:space="0" w:color="auto"/>
                        <w:left w:val="none" w:sz="0" w:space="0" w:color="auto"/>
                        <w:bottom w:val="none" w:sz="0" w:space="0" w:color="auto"/>
                        <w:right w:val="none" w:sz="0" w:space="0" w:color="auto"/>
                      </w:divBdr>
                    </w:div>
                  </w:divsChild>
                </w:div>
                <w:div w:id="383257611">
                  <w:marLeft w:val="0"/>
                  <w:marRight w:val="0"/>
                  <w:marTop w:val="0"/>
                  <w:marBottom w:val="0"/>
                  <w:divBdr>
                    <w:top w:val="none" w:sz="0" w:space="0" w:color="auto"/>
                    <w:left w:val="none" w:sz="0" w:space="0" w:color="auto"/>
                    <w:bottom w:val="none" w:sz="0" w:space="0" w:color="auto"/>
                    <w:right w:val="none" w:sz="0" w:space="0" w:color="auto"/>
                  </w:divBdr>
                  <w:divsChild>
                    <w:div w:id="1894391891">
                      <w:marLeft w:val="0"/>
                      <w:marRight w:val="0"/>
                      <w:marTop w:val="0"/>
                      <w:marBottom w:val="0"/>
                      <w:divBdr>
                        <w:top w:val="none" w:sz="0" w:space="0" w:color="auto"/>
                        <w:left w:val="none" w:sz="0" w:space="0" w:color="auto"/>
                        <w:bottom w:val="none" w:sz="0" w:space="0" w:color="auto"/>
                        <w:right w:val="none" w:sz="0" w:space="0" w:color="auto"/>
                      </w:divBdr>
                    </w:div>
                  </w:divsChild>
                </w:div>
                <w:div w:id="389424664">
                  <w:marLeft w:val="0"/>
                  <w:marRight w:val="0"/>
                  <w:marTop w:val="0"/>
                  <w:marBottom w:val="0"/>
                  <w:divBdr>
                    <w:top w:val="none" w:sz="0" w:space="0" w:color="auto"/>
                    <w:left w:val="none" w:sz="0" w:space="0" w:color="auto"/>
                    <w:bottom w:val="none" w:sz="0" w:space="0" w:color="auto"/>
                    <w:right w:val="none" w:sz="0" w:space="0" w:color="auto"/>
                  </w:divBdr>
                  <w:divsChild>
                    <w:div w:id="645472526">
                      <w:marLeft w:val="0"/>
                      <w:marRight w:val="0"/>
                      <w:marTop w:val="0"/>
                      <w:marBottom w:val="0"/>
                      <w:divBdr>
                        <w:top w:val="none" w:sz="0" w:space="0" w:color="auto"/>
                        <w:left w:val="none" w:sz="0" w:space="0" w:color="auto"/>
                        <w:bottom w:val="none" w:sz="0" w:space="0" w:color="auto"/>
                        <w:right w:val="none" w:sz="0" w:space="0" w:color="auto"/>
                      </w:divBdr>
                    </w:div>
                  </w:divsChild>
                </w:div>
                <w:div w:id="389770952">
                  <w:marLeft w:val="0"/>
                  <w:marRight w:val="0"/>
                  <w:marTop w:val="0"/>
                  <w:marBottom w:val="0"/>
                  <w:divBdr>
                    <w:top w:val="none" w:sz="0" w:space="0" w:color="auto"/>
                    <w:left w:val="none" w:sz="0" w:space="0" w:color="auto"/>
                    <w:bottom w:val="none" w:sz="0" w:space="0" w:color="auto"/>
                    <w:right w:val="none" w:sz="0" w:space="0" w:color="auto"/>
                  </w:divBdr>
                  <w:divsChild>
                    <w:div w:id="89378">
                      <w:marLeft w:val="0"/>
                      <w:marRight w:val="0"/>
                      <w:marTop w:val="0"/>
                      <w:marBottom w:val="0"/>
                      <w:divBdr>
                        <w:top w:val="none" w:sz="0" w:space="0" w:color="auto"/>
                        <w:left w:val="none" w:sz="0" w:space="0" w:color="auto"/>
                        <w:bottom w:val="none" w:sz="0" w:space="0" w:color="auto"/>
                        <w:right w:val="none" w:sz="0" w:space="0" w:color="auto"/>
                      </w:divBdr>
                    </w:div>
                  </w:divsChild>
                </w:div>
                <w:div w:id="406804213">
                  <w:marLeft w:val="0"/>
                  <w:marRight w:val="0"/>
                  <w:marTop w:val="0"/>
                  <w:marBottom w:val="0"/>
                  <w:divBdr>
                    <w:top w:val="none" w:sz="0" w:space="0" w:color="auto"/>
                    <w:left w:val="none" w:sz="0" w:space="0" w:color="auto"/>
                    <w:bottom w:val="none" w:sz="0" w:space="0" w:color="auto"/>
                    <w:right w:val="none" w:sz="0" w:space="0" w:color="auto"/>
                  </w:divBdr>
                  <w:divsChild>
                    <w:div w:id="368259530">
                      <w:marLeft w:val="0"/>
                      <w:marRight w:val="0"/>
                      <w:marTop w:val="0"/>
                      <w:marBottom w:val="0"/>
                      <w:divBdr>
                        <w:top w:val="none" w:sz="0" w:space="0" w:color="auto"/>
                        <w:left w:val="none" w:sz="0" w:space="0" w:color="auto"/>
                        <w:bottom w:val="none" w:sz="0" w:space="0" w:color="auto"/>
                        <w:right w:val="none" w:sz="0" w:space="0" w:color="auto"/>
                      </w:divBdr>
                    </w:div>
                  </w:divsChild>
                </w:div>
                <w:div w:id="411465689">
                  <w:marLeft w:val="0"/>
                  <w:marRight w:val="0"/>
                  <w:marTop w:val="0"/>
                  <w:marBottom w:val="0"/>
                  <w:divBdr>
                    <w:top w:val="none" w:sz="0" w:space="0" w:color="auto"/>
                    <w:left w:val="none" w:sz="0" w:space="0" w:color="auto"/>
                    <w:bottom w:val="none" w:sz="0" w:space="0" w:color="auto"/>
                    <w:right w:val="none" w:sz="0" w:space="0" w:color="auto"/>
                  </w:divBdr>
                  <w:divsChild>
                    <w:div w:id="2117797035">
                      <w:marLeft w:val="0"/>
                      <w:marRight w:val="0"/>
                      <w:marTop w:val="0"/>
                      <w:marBottom w:val="0"/>
                      <w:divBdr>
                        <w:top w:val="none" w:sz="0" w:space="0" w:color="auto"/>
                        <w:left w:val="none" w:sz="0" w:space="0" w:color="auto"/>
                        <w:bottom w:val="none" w:sz="0" w:space="0" w:color="auto"/>
                        <w:right w:val="none" w:sz="0" w:space="0" w:color="auto"/>
                      </w:divBdr>
                    </w:div>
                  </w:divsChild>
                </w:div>
                <w:div w:id="433866501">
                  <w:marLeft w:val="0"/>
                  <w:marRight w:val="0"/>
                  <w:marTop w:val="0"/>
                  <w:marBottom w:val="0"/>
                  <w:divBdr>
                    <w:top w:val="none" w:sz="0" w:space="0" w:color="auto"/>
                    <w:left w:val="none" w:sz="0" w:space="0" w:color="auto"/>
                    <w:bottom w:val="none" w:sz="0" w:space="0" w:color="auto"/>
                    <w:right w:val="none" w:sz="0" w:space="0" w:color="auto"/>
                  </w:divBdr>
                  <w:divsChild>
                    <w:div w:id="621572134">
                      <w:marLeft w:val="0"/>
                      <w:marRight w:val="0"/>
                      <w:marTop w:val="0"/>
                      <w:marBottom w:val="0"/>
                      <w:divBdr>
                        <w:top w:val="none" w:sz="0" w:space="0" w:color="auto"/>
                        <w:left w:val="none" w:sz="0" w:space="0" w:color="auto"/>
                        <w:bottom w:val="none" w:sz="0" w:space="0" w:color="auto"/>
                        <w:right w:val="none" w:sz="0" w:space="0" w:color="auto"/>
                      </w:divBdr>
                    </w:div>
                  </w:divsChild>
                </w:div>
                <w:div w:id="444421651">
                  <w:marLeft w:val="0"/>
                  <w:marRight w:val="0"/>
                  <w:marTop w:val="0"/>
                  <w:marBottom w:val="0"/>
                  <w:divBdr>
                    <w:top w:val="none" w:sz="0" w:space="0" w:color="auto"/>
                    <w:left w:val="none" w:sz="0" w:space="0" w:color="auto"/>
                    <w:bottom w:val="none" w:sz="0" w:space="0" w:color="auto"/>
                    <w:right w:val="none" w:sz="0" w:space="0" w:color="auto"/>
                  </w:divBdr>
                  <w:divsChild>
                    <w:div w:id="706835468">
                      <w:marLeft w:val="0"/>
                      <w:marRight w:val="0"/>
                      <w:marTop w:val="0"/>
                      <w:marBottom w:val="0"/>
                      <w:divBdr>
                        <w:top w:val="none" w:sz="0" w:space="0" w:color="auto"/>
                        <w:left w:val="none" w:sz="0" w:space="0" w:color="auto"/>
                        <w:bottom w:val="none" w:sz="0" w:space="0" w:color="auto"/>
                        <w:right w:val="none" w:sz="0" w:space="0" w:color="auto"/>
                      </w:divBdr>
                    </w:div>
                  </w:divsChild>
                </w:div>
                <w:div w:id="459568058">
                  <w:marLeft w:val="0"/>
                  <w:marRight w:val="0"/>
                  <w:marTop w:val="0"/>
                  <w:marBottom w:val="0"/>
                  <w:divBdr>
                    <w:top w:val="none" w:sz="0" w:space="0" w:color="auto"/>
                    <w:left w:val="none" w:sz="0" w:space="0" w:color="auto"/>
                    <w:bottom w:val="none" w:sz="0" w:space="0" w:color="auto"/>
                    <w:right w:val="none" w:sz="0" w:space="0" w:color="auto"/>
                  </w:divBdr>
                  <w:divsChild>
                    <w:div w:id="1638100053">
                      <w:marLeft w:val="0"/>
                      <w:marRight w:val="0"/>
                      <w:marTop w:val="0"/>
                      <w:marBottom w:val="0"/>
                      <w:divBdr>
                        <w:top w:val="none" w:sz="0" w:space="0" w:color="auto"/>
                        <w:left w:val="none" w:sz="0" w:space="0" w:color="auto"/>
                        <w:bottom w:val="none" w:sz="0" w:space="0" w:color="auto"/>
                        <w:right w:val="none" w:sz="0" w:space="0" w:color="auto"/>
                      </w:divBdr>
                    </w:div>
                  </w:divsChild>
                </w:div>
                <w:div w:id="465975314">
                  <w:marLeft w:val="0"/>
                  <w:marRight w:val="0"/>
                  <w:marTop w:val="0"/>
                  <w:marBottom w:val="0"/>
                  <w:divBdr>
                    <w:top w:val="none" w:sz="0" w:space="0" w:color="auto"/>
                    <w:left w:val="none" w:sz="0" w:space="0" w:color="auto"/>
                    <w:bottom w:val="none" w:sz="0" w:space="0" w:color="auto"/>
                    <w:right w:val="none" w:sz="0" w:space="0" w:color="auto"/>
                  </w:divBdr>
                  <w:divsChild>
                    <w:div w:id="2047753351">
                      <w:marLeft w:val="0"/>
                      <w:marRight w:val="0"/>
                      <w:marTop w:val="0"/>
                      <w:marBottom w:val="0"/>
                      <w:divBdr>
                        <w:top w:val="none" w:sz="0" w:space="0" w:color="auto"/>
                        <w:left w:val="none" w:sz="0" w:space="0" w:color="auto"/>
                        <w:bottom w:val="none" w:sz="0" w:space="0" w:color="auto"/>
                        <w:right w:val="none" w:sz="0" w:space="0" w:color="auto"/>
                      </w:divBdr>
                    </w:div>
                  </w:divsChild>
                </w:div>
                <w:div w:id="470831497">
                  <w:marLeft w:val="0"/>
                  <w:marRight w:val="0"/>
                  <w:marTop w:val="0"/>
                  <w:marBottom w:val="0"/>
                  <w:divBdr>
                    <w:top w:val="none" w:sz="0" w:space="0" w:color="auto"/>
                    <w:left w:val="none" w:sz="0" w:space="0" w:color="auto"/>
                    <w:bottom w:val="none" w:sz="0" w:space="0" w:color="auto"/>
                    <w:right w:val="none" w:sz="0" w:space="0" w:color="auto"/>
                  </w:divBdr>
                  <w:divsChild>
                    <w:div w:id="2036080339">
                      <w:marLeft w:val="0"/>
                      <w:marRight w:val="0"/>
                      <w:marTop w:val="0"/>
                      <w:marBottom w:val="0"/>
                      <w:divBdr>
                        <w:top w:val="none" w:sz="0" w:space="0" w:color="auto"/>
                        <w:left w:val="none" w:sz="0" w:space="0" w:color="auto"/>
                        <w:bottom w:val="none" w:sz="0" w:space="0" w:color="auto"/>
                        <w:right w:val="none" w:sz="0" w:space="0" w:color="auto"/>
                      </w:divBdr>
                    </w:div>
                  </w:divsChild>
                </w:div>
                <w:div w:id="487744592">
                  <w:marLeft w:val="0"/>
                  <w:marRight w:val="0"/>
                  <w:marTop w:val="0"/>
                  <w:marBottom w:val="0"/>
                  <w:divBdr>
                    <w:top w:val="none" w:sz="0" w:space="0" w:color="auto"/>
                    <w:left w:val="none" w:sz="0" w:space="0" w:color="auto"/>
                    <w:bottom w:val="none" w:sz="0" w:space="0" w:color="auto"/>
                    <w:right w:val="none" w:sz="0" w:space="0" w:color="auto"/>
                  </w:divBdr>
                  <w:divsChild>
                    <w:div w:id="1835759441">
                      <w:marLeft w:val="0"/>
                      <w:marRight w:val="0"/>
                      <w:marTop w:val="0"/>
                      <w:marBottom w:val="0"/>
                      <w:divBdr>
                        <w:top w:val="none" w:sz="0" w:space="0" w:color="auto"/>
                        <w:left w:val="none" w:sz="0" w:space="0" w:color="auto"/>
                        <w:bottom w:val="none" w:sz="0" w:space="0" w:color="auto"/>
                        <w:right w:val="none" w:sz="0" w:space="0" w:color="auto"/>
                      </w:divBdr>
                    </w:div>
                  </w:divsChild>
                </w:div>
                <w:div w:id="498426784">
                  <w:marLeft w:val="0"/>
                  <w:marRight w:val="0"/>
                  <w:marTop w:val="0"/>
                  <w:marBottom w:val="0"/>
                  <w:divBdr>
                    <w:top w:val="none" w:sz="0" w:space="0" w:color="auto"/>
                    <w:left w:val="none" w:sz="0" w:space="0" w:color="auto"/>
                    <w:bottom w:val="none" w:sz="0" w:space="0" w:color="auto"/>
                    <w:right w:val="none" w:sz="0" w:space="0" w:color="auto"/>
                  </w:divBdr>
                  <w:divsChild>
                    <w:div w:id="1523518155">
                      <w:marLeft w:val="0"/>
                      <w:marRight w:val="0"/>
                      <w:marTop w:val="0"/>
                      <w:marBottom w:val="0"/>
                      <w:divBdr>
                        <w:top w:val="none" w:sz="0" w:space="0" w:color="auto"/>
                        <w:left w:val="none" w:sz="0" w:space="0" w:color="auto"/>
                        <w:bottom w:val="none" w:sz="0" w:space="0" w:color="auto"/>
                        <w:right w:val="none" w:sz="0" w:space="0" w:color="auto"/>
                      </w:divBdr>
                    </w:div>
                  </w:divsChild>
                </w:div>
                <w:div w:id="504171164">
                  <w:marLeft w:val="0"/>
                  <w:marRight w:val="0"/>
                  <w:marTop w:val="0"/>
                  <w:marBottom w:val="0"/>
                  <w:divBdr>
                    <w:top w:val="none" w:sz="0" w:space="0" w:color="auto"/>
                    <w:left w:val="none" w:sz="0" w:space="0" w:color="auto"/>
                    <w:bottom w:val="none" w:sz="0" w:space="0" w:color="auto"/>
                    <w:right w:val="none" w:sz="0" w:space="0" w:color="auto"/>
                  </w:divBdr>
                  <w:divsChild>
                    <w:div w:id="559485093">
                      <w:marLeft w:val="0"/>
                      <w:marRight w:val="0"/>
                      <w:marTop w:val="0"/>
                      <w:marBottom w:val="0"/>
                      <w:divBdr>
                        <w:top w:val="none" w:sz="0" w:space="0" w:color="auto"/>
                        <w:left w:val="none" w:sz="0" w:space="0" w:color="auto"/>
                        <w:bottom w:val="none" w:sz="0" w:space="0" w:color="auto"/>
                        <w:right w:val="none" w:sz="0" w:space="0" w:color="auto"/>
                      </w:divBdr>
                    </w:div>
                    <w:div w:id="2049059537">
                      <w:marLeft w:val="0"/>
                      <w:marRight w:val="0"/>
                      <w:marTop w:val="0"/>
                      <w:marBottom w:val="0"/>
                      <w:divBdr>
                        <w:top w:val="none" w:sz="0" w:space="0" w:color="auto"/>
                        <w:left w:val="none" w:sz="0" w:space="0" w:color="auto"/>
                        <w:bottom w:val="none" w:sz="0" w:space="0" w:color="auto"/>
                        <w:right w:val="none" w:sz="0" w:space="0" w:color="auto"/>
                      </w:divBdr>
                    </w:div>
                  </w:divsChild>
                </w:div>
                <w:div w:id="509486758">
                  <w:marLeft w:val="0"/>
                  <w:marRight w:val="0"/>
                  <w:marTop w:val="0"/>
                  <w:marBottom w:val="0"/>
                  <w:divBdr>
                    <w:top w:val="none" w:sz="0" w:space="0" w:color="auto"/>
                    <w:left w:val="none" w:sz="0" w:space="0" w:color="auto"/>
                    <w:bottom w:val="none" w:sz="0" w:space="0" w:color="auto"/>
                    <w:right w:val="none" w:sz="0" w:space="0" w:color="auto"/>
                  </w:divBdr>
                  <w:divsChild>
                    <w:div w:id="1962033274">
                      <w:marLeft w:val="0"/>
                      <w:marRight w:val="0"/>
                      <w:marTop w:val="0"/>
                      <w:marBottom w:val="0"/>
                      <w:divBdr>
                        <w:top w:val="none" w:sz="0" w:space="0" w:color="auto"/>
                        <w:left w:val="none" w:sz="0" w:space="0" w:color="auto"/>
                        <w:bottom w:val="none" w:sz="0" w:space="0" w:color="auto"/>
                        <w:right w:val="none" w:sz="0" w:space="0" w:color="auto"/>
                      </w:divBdr>
                    </w:div>
                  </w:divsChild>
                </w:div>
                <w:div w:id="515772922">
                  <w:marLeft w:val="0"/>
                  <w:marRight w:val="0"/>
                  <w:marTop w:val="0"/>
                  <w:marBottom w:val="0"/>
                  <w:divBdr>
                    <w:top w:val="none" w:sz="0" w:space="0" w:color="auto"/>
                    <w:left w:val="none" w:sz="0" w:space="0" w:color="auto"/>
                    <w:bottom w:val="none" w:sz="0" w:space="0" w:color="auto"/>
                    <w:right w:val="none" w:sz="0" w:space="0" w:color="auto"/>
                  </w:divBdr>
                  <w:divsChild>
                    <w:div w:id="444740088">
                      <w:marLeft w:val="0"/>
                      <w:marRight w:val="0"/>
                      <w:marTop w:val="0"/>
                      <w:marBottom w:val="0"/>
                      <w:divBdr>
                        <w:top w:val="none" w:sz="0" w:space="0" w:color="auto"/>
                        <w:left w:val="none" w:sz="0" w:space="0" w:color="auto"/>
                        <w:bottom w:val="none" w:sz="0" w:space="0" w:color="auto"/>
                        <w:right w:val="none" w:sz="0" w:space="0" w:color="auto"/>
                      </w:divBdr>
                    </w:div>
                  </w:divsChild>
                </w:div>
                <w:div w:id="519857540">
                  <w:marLeft w:val="0"/>
                  <w:marRight w:val="0"/>
                  <w:marTop w:val="0"/>
                  <w:marBottom w:val="0"/>
                  <w:divBdr>
                    <w:top w:val="none" w:sz="0" w:space="0" w:color="auto"/>
                    <w:left w:val="none" w:sz="0" w:space="0" w:color="auto"/>
                    <w:bottom w:val="none" w:sz="0" w:space="0" w:color="auto"/>
                    <w:right w:val="none" w:sz="0" w:space="0" w:color="auto"/>
                  </w:divBdr>
                  <w:divsChild>
                    <w:div w:id="1551116632">
                      <w:marLeft w:val="0"/>
                      <w:marRight w:val="0"/>
                      <w:marTop w:val="0"/>
                      <w:marBottom w:val="0"/>
                      <w:divBdr>
                        <w:top w:val="none" w:sz="0" w:space="0" w:color="auto"/>
                        <w:left w:val="none" w:sz="0" w:space="0" w:color="auto"/>
                        <w:bottom w:val="none" w:sz="0" w:space="0" w:color="auto"/>
                        <w:right w:val="none" w:sz="0" w:space="0" w:color="auto"/>
                      </w:divBdr>
                    </w:div>
                  </w:divsChild>
                </w:div>
                <w:div w:id="522397761">
                  <w:marLeft w:val="0"/>
                  <w:marRight w:val="0"/>
                  <w:marTop w:val="0"/>
                  <w:marBottom w:val="0"/>
                  <w:divBdr>
                    <w:top w:val="none" w:sz="0" w:space="0" w:color="auto"/>
                    <w:left w:val="none" w:sz="0" w:space="0" w:color="auto"/>
                    <w:bottom w:val="none" w:sz="0" w:space="0" w:color="auto"/>
                    <w:right w:val="none" w:sz="0" w:space="0" w:color="auto"/>
                  </w:divBdr>
                  <w:divsChild>
                    <w:div w:id="637303110">
                      <w:marLeft w:val="0"/>
                      <w:marRight w:val="0"/>
                      <w:marTop w:val="0"/>
                      <w:marBottom w:val="0"/>
                      <w:divBdr>
                        <w:top w:val="none" w:sz="0" w:space="0" w:color="auto"/>
                        <w:left w:val="none" w:sz="0" w:space="0" w:color="auto"/>
                        <w:bottom w:val="none" w:sz="0" w:space="0" w:color="auto"/>
                        <w:right w:val="none" w:sz="0" w:space="0" w:color="auto"/>
                      </w:divBdr>
                    </w:div>
                  </w:divsChild>
                </w:div>
                <w:div w:id="526211192">
                  <w:marLeft w:val="0"/>
                  <w:marRight w:val="0"/>
                  <w:marTop w:val="0"/>
                  <w:marBottom w:val="0"/>
                  <w:divBdr>
                    <w:top w:val="none" w:sz="0" w:space="0" w:color="auto"/>
                    <w:left w:val="none" w:sz="0" w:space="0" w:color="auto"/>
                    <w:bottom w:val="none" w:sz="0" w:space="0" w:color="auto"/>
                    <w:right w:val="none" w:sz="0" w:space="0" w:color="auto"/>
                  </w:divBdr>
                  <w:divsChild>
                    <w:div w:id="1029525574">
                      <w:marLeft w:val="0"/>
                      <w:marRight w:val="0"/>
                      <w:marTop w:val="0"/>
                      <w:marBottom w:val="0"/>
                      <w:divBdr>
                        <w:top w:val="none" w:sz="0" w:space="0" w:color="auto"/>
                        <w:left w:val="none" w:sz="0" w:space="0" w:color="auto"/>
                        <w:bottom w:val="none" w:sz="0" w:space="0" w:color="auto"/>
                        <w:right w:val="none" w:sz="0" w:space="0" w:color="auto"/>
                      </w:divBdr>
                    </w:div>
                  </w:divsChild>
                </w:div>
                <w:div w:id="528296043">
                  <w:marLeft w:val="0"/>
                  <w:marRight w:val="0"/>
                  <w:marTop w:val="0"/>
                  <w:marBottom w:val="0"/>
                  <w:divBdr>
                    <w:top w:val="none" w:sz="0" w:space="0" w:color="auto"/>
                    <w:left w:val="none" w:sz="0" w:space="0" w:color="auto"/>
                    <w:bottom w:val="none" w:sz="0" w:space="0" w:color="auto"/>
                    <w:right w:val="none" w:sz="0" w:space="0" w:color="auto"/>
                  </w:divBdr>
                  <w:divsChild>
                    <w:div w:id="2096434271">
                      <w:marLeft w:val="0"/>
                      <w:marRight w:val="0"/>
                      <w:marTop w:val="0"/>
                      <w:marBottom w:val="0"/>
                      <w:divBdr>
                        <w:top w:val="none" w:sz="0" w:space="0" w:color="auto"/>
                        <w:left w:val="none" w:sz="0" w:space="0" w:color="auto"/>
                        <w:bottom w:val="none" w:sz="0" w:space="0" w:color="auto"/>
                        <w:right w:val="none" w:sz="0" w:space="0" w:color="auto"/>
                      </w:divBdr>
                    </w:div>
                  </w:divsChild>
                </w:div>
                <w:div w:id="528880018">
                  <w:marLeft w:val="0"/>
                  <w:marRight w:val="0"/>
                  <w:marTop w:val="0"/>
                  <w:marBottom w:val="0"/>
                  <w:divBdr>
                    <w:top w:val="none" w:sz="0" w:space="0" w:color="auto"/>
                    <w:left w:val="none" w:sz="0" w:space="0" w:color="auto"/>
                    <w:bottom w:val="none" w:sz="0" w:space="0" w:color="auto"/>
                    <w:right w:val="none" w:sz="0" w:space="0" w:color="auto"/>
                  </w:divBdr>
                  <w:divsChild>
                    <w:div w:id="764693066">
                      <w:marLeft w:val="0"/>
                      <w:marRight w:val="0"/>
                      <w:marTop w:val="0"/>
                      <w:marBottom w:val="0"/>
                      <w:divBdr>
                        <w:top w:val="none" w:sz="0" w:space="0" w:color="auto"/>
                        <w:left w:val="none" w:sz="0" w:space="0" w:color="auto"/>
                        <w:bottom w:val="none" w:sz="0" w:space="0" w:color="auto"/>
                        <w:right w:val="none" w:sz="0" w:space="0" w:color="auto"/>
                      </w:divBdr>
                    </w:div>
                  </w:divsChild>
                </w:div>
                <w:div w:id="529027106">
                  <w:marLeft w:val="0"/>
                  <w:marRight w:val="0"/>
                  <w:marTop w:val="0"/>
                  <w:marBottom w:val="0"/>
                  <w:divBdr>
                    <w:top w:val="none" w:sz="0" w:space="0" w:color="auto"/>
                    <w:left w:val="none" w:sz="0" w:space="0" w:color="auto"/>
                    <w:bottom w:val="none" w:sz="0" w:space="0" w:color="auto"/>
                    <w:right w:val="none" w:sz="0" w:space="0" w:color="auto"/>
                  </w:divBdr>
                  <w:divsChild>
                    <w:div w:id="1783499968">
                      <w:marLeft w:val="0"/>
                      <w:marRight w:val="0"/>
                      <w:marTop w:val="0"/>
                      <w:marBottom w:val="0"/>
                      <w:divBdr>
                        <w:top w:val="none" w:sz="0" w:space="0" w:color="auto"/>
                        <w:left w:val="none" w:sz="0" w:space="0" w:color="auto"/>
                        <w:bottom w:val="none" w:sz="0" w:space="0" w:color="auto"/>
                        <w:right w:val="none" w:sz="0" w:space="0" w:color="auto"/>
                      </w:divBdr>
                    </w:div>
                  </w:divsChild>
                </w:div>
                <w:div w:id="530536995">
                  <w:marLeft w:val="0"/>
                  <w:marRight w:val="0"/>
                  <w:marTop w:val="0"/>
                  <w:marBottom w:val="0"/>
                  <w:divBdr>
                    <w:top w:val="none" w:sz="0" w:space="0" w:color="auto"/>
                    <w:left w:val="none" w:sz="0" w:space="0" w:color="auto"/>
                    <w:bottom w:val="none" w:sz="0" w:space="0" w:color="auto"/>
                    <w:right w:val="none" w:sz="0" w:space="0" w:color="auto"/>
                  </w:divBdr>
                  <w:divsChild>
                    <w:div w:id="2057050281">
                      <w:marLeft w:val="0"/>
                      <w:marRight w:val="0"/>
                      <w:marTop w:val="0"/>
                      <w:marBottom w:val="0"/>
                      <w:divBdr>
                        <w:top w:val="none" w:sz="0" w:space="0" w:color="auto"/>
                        <w:left w:val="none" w:sz="0" w:space="0" w:color="auto"/>
                        <w:bottom w:val="none" w:sz="0" w:space="0" w:color="auto"/>
                        <w:right w:val="none" w:sz="0" w:space="0" w:color="auto"/>
                      </w:divBdr>
                    </w:div>
                  </w:divsChild>
                </w:div>
                <w:div w:id="539047895">
                  <w:marLeft w:val="0"/>
                  <w:marRight w:val="0"/>
                  <w:marTop w:val="0"/>
                  <w:marBottom w:val="0"/>
                  <w:divBdr>
                    <w:top w:val="none" w:sz="0" w:space="0" w:color="auto"/>
                    <w:left w:val="none" w:sz="0" w:space="0" w:color="auto"/>
                    <w:bottom w:val="none" w:sz="0" w:space="0" w:color="auto"/>
                    <w:right w:val="none" w:sz="0" w:space="0" w:color="auto"/>
                  </w:divBdr>
                  <w:divsChild>
                    <w:div w:id="858929614">
                      <w:marLeft w:val="0"/>
                      <w:marRight w:val="0"/>
                      <w:marTop w:val="0"/>
                      <w:marBottom w:val="0"/>
                      <w:divBdr>
                        <w:top w:val="none" w:sz="0" w:space="0" w:color="auto"/>
                        <w:left w:val="none" w:sz="0" w:space="0" w:color="auto"/>
                        <w:bottom w:val="none" w:sz="0" w:space="0" w:color="auto"/>
                        <w:right w:val="none" w:sz="0" w:space="0" w:color="auto"/>
                      </w:divBdr>
                    </w:div>
                  </w:divsChild>
                </w:div>
                <w:div w:id="541594411">
                  <w:marLeft w:val="0"/>
                  <w:marRight w:val="0"/>
                  <w:marTop w:val="0"/>
                  <w:marBottom w:val="0"/>
                  <w:divBdr>
                    <w:top w:val="none" w:sz="0" w:space="0" w:color="auto"/>
                    <w:left w:val="none" w:sz="0" w:space="0" w:color="auto"/>
                    <w:bottom w:val="none" w:sz="0" w:space="0" w:color="auto"/>
                    <w:right w:val="none" w:sz="0" w:space="0" w:color="auto"/>
                  </w:divBdr>
                  <w:divsChild>
                    <w:div w:id="1412848934">
                      <w:marLeft w:val="0"/>
                      <w:marRight w:val="0"/>
                      <w:marTop w:val="0"/>
                      <w:marBottom w:val="0"/>
                      <w:divBdr>
                        <w:top w:val="none" w:sz="0" w:space="0" w:color="auto"/>
                        <w:left w:val="none" w:sz="0" w:space="0" w:color="auto"/>
                        <w:bottom w:val="none" w:sz="0" w:space="0" w:color="auto"/>
                        <w:right w:val="none" w:sz="0" w:space="0" w:color="auto"/>
                      </w:divBdr>
                    </w:div>
                  </w:divsChild>
                </w:div>
                <w:div w:id="548765095">
                  <w:marLeft w:val="0"/>
                  <w:marRight w:val="0"/>
                  <w:marTop w:val="0"/>
                  <w:marBottom w:val="0"/>
                  <w:divBdr>
                    <w:top w:val="none" w:sz="0" w:space="0" w:color="auto"/>
                    <w:left w:val="none" w:sz="0" w:space="0" w:color="auto"/>
                    <w:bottom w:val="none" w:sz="0" w:space="0" w:color="auto"/>
                    <w:right w:val="none" w:sz="0" w:space="0" w:color="auto"/>
                  </w:divBdr>
                  <w:divsChild>
                    <w:div w:id="1260990391">
                      <w:marLeft w:val="0"/>
                      <w:marRight w:val="0"/>
                      <w:marTop w:val="0"/>
                      <w:marBottom w:val="0"/>
                      <w:divBdr>
                        <w:top w:val="none" w:sz="0" w:space="0" w:color="auto"/>
                        <w:left w:val="none" w:sz="0" w:space="0" w:color="auto"/>
                        <w:bottom w:val="none" w:sz="0" w:space="0" w:color="auto"/>
                        <w:right w:val="none" w:sz="0" w:space="0" w:color="auto"/>
                      </w:divBdr>
                    </w:div>
                  </w:divsChild>
                </w:div>
                <w:div w:id="555507318">
                  <w:marLeft w:val="0"/>
                  <w:marRight w:val="0"/>
                  <w:marTop w:val="0"/>
                  <w:marBottom w:val="0"/>
                  <w:divBdr>
                    <w:top w:val="none" w:sz="0" w:space="0" w:color="auto"/>
                    <w:left w:val="none" w:sz="0" w:space="0" w:color="auto"/>
                    <w:bottom w:val="none" w:sz="0" w:space="0" w:color="auto"/>
                    <w:right w:val="none" w:sz="0" w:space="0" w:color="auto"/>
                  </w:divBdr>
                  <w:divsChild>
                    <w:div w:id="471943848">
                      <w:marLeft w:val="0"/>
                      <w:marRight w:val="0"/>
                      <w:marTop w:val="0"/>
                      <w:marBottom w:val="0"/>
                      <w:divBdr>
                        <w:top w:val="none" w:sz="0" w:space="0" w:color="auto"/>
                        <w:left w:val="none" w:sz="0" w:space="0" w:color="auto"/>
                        <w:bottom w:val="none" w:sz="0" w:space="0" w:color="auto"/>
                        <w:right w:val="none" w:sz="0" w:space="0" w:color="auto"/>
                      </w:divBdr>
                    </w:div>
                  </w:divsChild>
                </w:div>
                <w:div w:id="574125554">
                  <w:marLeft w:val="0"/>
                  <w:marRight w:val="0"/>
                  <w:marTop w:val="0"/>
                  <w:marBottom w:val="0"/>
                  <w:divBdr>
                    <w:top w:val="none" w:sz="0" w:space="0" w:color="auto"/>
                    <w:left w:val="none" w:sz="0" w:space="0" w:color="auto"/>
                    <w:bottom w:val="none" w:sz="0" w:space="0" w:color="auto"/>
                    <w:right w:val="none" w:sz="0" w:space="0" w:color="auto"/>
                  </w:divBdr>
                  <w:divsChild>
                    <w:div w:id="1461001182">
                      <w:marLeft w:val="0"/>
                      <w:marRight w:val="0"/>
                      <w:marTop w:val="0"/>
                      <w:marBottom w:val="0"/>
                      <w:divBdr>
                        <w:top w:val="none" w:sz="0" w:space="0" w:color="auto"/>
                        <w:left w:val="none" w:sz="0" w:space="0" w:color="auto"/>
                        <w:bottom w:val="none" w:sz="0" w:space="0" w:color="auto"/>
                        <w:right w:val="none" w:sz="0" w:space="0" w:color="auto"/>
                      </w:divBdr>
                    </w:div>
                  </w:divsChild>
                </w:div>
                <w:div w:id="578253317">
                  <w:marLeft w:val="0"/>
                  <w:marRight w:val="0"/>
                  <w:marTop w:val="0"/>
                  <w:marBottom w:val="0"/>
                  <w:divBdr>
                    <w:top w:val="none" w:sz="0" w:space="0" w:color="auto"/>
                    <w:left w:val="none" w:sz="0" w:space="0" w:color="auto"/>
                    <w:bottom w:val="none" w:sz="0" w:space="0" w:color="auto"/>
                    <w:right w:val="none" w:sz="0" w:space="0" w:color="auto"/>
                  </w:divBdr>
                  <w:divsChild>
                    <w:div w:id="862060661">
                      <w:marLeft w:val="0"/>
                      <w:marRight w:val="0"/>
                      <w:marTop w:val="0"/>
                      <w:marBottom w:val="0"/>
                      <w:divBdr>
                        <w:top w:val="none" w:sz="0" w:space="0" w:color="auto"/>
                        <w:left w:val="none" w:sz="0" w:space="0" w:color="auto"/>
                        <w:bottom w:val="none" w:sz="0" w:space="0" w:color="auto"/>
                        <w:right w:val="none" w:sz="0" w:space="0" w:color="auto"/>
                      </w:divBdr>
                    </w:div>
                  </w:divsChild>
                </w:div>
                <w:div w:id="588008339">
                  <w:marLeft w:val="0"/>
                  <w:marRight w:val="0"/>
                  <w:marTop w:val="0"/>
                  <w:marBottom w:val="0"/>
                  <w:divBdr>
                    <w:top w:val="none" w:sz="0" w:space="0" w:color="auto"/>
                    <w:left w:val="none" w:sz="0" w:space="0" w:color="auto"/>
                    <w:bottom w:val="none" w:sz="0" w:space="0" w:color="auto"/>
                    <w:right w:val="none" w:sz="0" w:space="0" w:color="auto"/>
                  </w:divBdr>
                  <w:divsChild>
                    <w:div w:id="702906235">
                      <w:marLeft w:val="0"/>
                      <w:marRight w:val="0"/>
                      <w:marTop w:val="0"/>
                      <w:marBottom w:val="0"/>
                      <w:divBdr>
                        <w:top w:val="none" w:sz="0" w:space="0" w:color="auto"/>
                        <w:left w:val="none" w:sz="0" w:space="0" w:color="auto"/>
                        <w:bottom w:val="none" w:sz="0" w:space="0" w:color="auto"/>
                        <w:right w:val="none" w:sz="0" w:space="0" w:color="auto"/>
                      </w:divBdr>
                    </w:div>
                    <w:div w:id="739793676">
                      <w:marLeft w:val="0"/>
                      <w:marRight w:val="0"/>
                      <w:marTop w:val="0"/>
                      <w:marBottom w:val="0"/>
                      <w:divBdr>
                        <w:top w:val="none" w:sz="0" w:space="0" w:color="auto"/>
                        <w:left w:val="none" w:sz="0" w:space="0" w:color="auto"/>
                        <w:bottom w:val="none" w:sz="0" w:space="0" w:color="auto"/>
                        <w:right w:val="none" w:sz="0" w:space="0" w:color="auto"/>
                      </w:divBdr>
                    </w:div>
                    <w:div w:id="1226985358">
                      <w:marLeft w:val="0"/>
                      <w:marRight w:val="0"/>
                      <w:marTop w:val="0"/>
                      <w:marBottom w:val="0"/>
                      <w:divBdr>
                        <w:top w:val="none" w:sz="0" w:space="0" w:color="auto"/>
                        <w:left w:val="none" w:sz="0" w:space="0" w:color="auto"/>
                        <w:bottom w:val="none" w:sz="0" w:space="0" w:color="auto"/>
                        <w:right w:val="none" w:sz="0" w:space="0" w:color="auto"/>
                      </w:divBdr>
                    </w:div>
                    <w:div w:id="2014646698">
                      <w:marLeft w:val="0"/>
                      <w:marRight w:val="0"/>
                      <w:marTop w:val="0"/>
                      <w:marBottom w:val="0"/>
                      <w:divBdr>
                        <w:top w:val="none" w:sz="0" w:space="0" w:color="auto"/>
                        <w:left w:val="none" w:sz="0" w:space="0" w:color="auto"/>
                        <w:bottom w:val="none" w:sz="0" w:space="0" w:color="auto"/>
                        <w:right w:val="none" w:sz="0" w:space="0" w:color="auto"/>
                      </w:divBdr>
                    </w:div>
                  </w:divsChild>
                </w:div>
                <w:div w:id="594245722">
                  <w:marLeft w:val="0"/>
                  <w:marRight w:val="0"/>
                  <w:marTop w:val="0"/>
                  <w:marBottom w:val="0"/>
                  <w:divBdr>
                    <w:top w:val="none" w:sz="0" w:space="0" w:color="auto"/>
                    <w:left w:val="none" w:sz="0" w:space="0" w:color="auto"/>
                    <w:bottom w:val="none" w:sz="0" w:space="0" w:color="auto"/>
                    <w:right w:val="none" w:sz="0" w:space="0" w:color="auto"/>
                  </w:divBdr>
                  <w:divsChild>
                    <w:div w:id="913979393">
                      <w:marLeft w:val="0"/>
                      <w:marRight w:val="0"/>
                      <w:marTop w:val="0"/>
                      <w:marBottom w:val="0"/>
                      <w:divBdr>
                        <w:top w:val="none" w:sz="0" w:space="0" w:color="auto"/>
                        <w:left w:val="none" w:sz="0" w:space="0" w:color="auto"/>
                        <w:bottom w:val="none" w:sz="0" w:space="0" w:color="auto"/>
                        <w:right w:val="none" w:sz="0" w:space="0" w:color="auto"/>
                      </w:divBdr>
                    </w:div>
                  </w:divsChild>
                </w:div>
                <w:div w:id="599990729">
                  <w:marLeft w:val="0"/>
                  <w:marRight w:val="0"/>
                  <w:marTop w:val="0"/>
                  <w:marBottom w:val="0"/>
                  <w:divBdr>
                    <w:top w:val="none" w:sz="0" w:space="0" w:color="auto"/>
                    <w:left w:val="none" w:sz="0" w:space="0" w:color="auto"/>
                    <w:bottom w:val="none" w:sz="0" w:space="0" w:color="auto"/>
                    <w:right w:val="none" w:sz="0" w:space="0" w:color="auto"/>
                  </w:divBdr>
                  <w:divsChild>
                    <w:div w:id="1074165863">
                      <w:marLeft w:val="0"/>
                      <w:marRight w:val="0"/>
                      <w:marTop w:val="0"/>
                      <w:marBottom w:val="0"/>
                      <w:divBdr>
                        <w:top w:val="none" w:sz="0" w:space="0" w:color="auto"/>
                        <w:left w:val="none" w:sz="0" w:space="0" w:color="auto"/>
                        <w:bottom w:val="none" w:sz="0" w:space="0" w:color="auto"/>
                        <w:right w:val="none" w:sz="0" w:space="0" w:color="auto"/>
                      </w:divBdr>
                    </w:div>
                  </w:divsChild>
                </w:div>
                <w:div w:id="600987724">
                  <w:marLeft w:val="0"/>
                  <w:marRight w:val="0"/>
                  <w:marTop w:val="0"/>
                  <w:marBottom w:val="0"/>
                  <w:divBdr>
                    <w:top w:val="none" w:sz="0" w:space="0" w:color="auto"/>
                    <w:left w:val="none" w:sz="0" w:space="0" w:color="auto"/>
                    <w:bottom w:val="none" w:sz="0" w:space="0" w:color="auto"/>
                    <w:right w:val="none" w:sz="0" w:space="0" w:color="auto"/>
                  </w:divBdr>
                  <w:divsChild>
                    <w:div w:id="1588690176">
                      <w:marLeft w:val="0"/>
                      <w:marRight w:val="0"/>
                      <w:marTop w:val="0"/>
                      <w:marBottom w:val="0"/>
                      <w:divBdr>
                        <w:top w:val="none" w:sz="0" w:space="0" w:color="auto"/>
                        <w:left w:val="none" w:sz="0" w:space="0" w:color="auto"/>
                        <w:bottom w:val="none" w:sz="0" w:space="0" w:color="auto"/>
                        <w:right w:val="none" w:sz="0" w:space="0" w:color="auto"/>
                      </w:divBdr>
                    </w:div>
                  </w:divsChild>
                </w:div>
                <w:div w:id="603731443">
                  <w:marLeft w:val="0"/>
                  <w:marRight w:val="0"/>
                  <w:marTop w:val="0"/>
                  <w:marBottom w:val="0"/>
                  <w:divBdr>
                    <w:top w:val="none" w:sz="0" w:space="0" w:color="auto"/>
                    <w:left w:val="none" w:sz="0" w:space="0" w:color="auto"/>
                    <w:bottom w:val="none" w:sz="0" w:space="0" w:color="auto"/>
                    <w:right w:val="none" w:sz="0" w:space="0" w:color="auto"/>
                  </w:divBdr>
                  <w:divsChild>
                    <w:div w:id="1895971258">
                      <w:marLeft w:val="0"/>
                      <w:marRight w:val="0"/>
                      <w:marTop w:val="0"/>
                      <w:marBottom w:val="0"/>
                      <w:divBdr>
                        <w:top w:val="none" w:sz="0" w:space="0" w:color="auto"/>
                        <w:left w:val="none" w:sz="0" w:space="0" w:color="auto"/>
                        <w:bottom w:val="none" w:sz="0" w:space="0" w:color="auto"/>
                        <w:right w:val="none" w:sz="0" w:space="0" w:color="auto"/>
                      </w:divBdr>
                    </w:div>
                  </w:divsChild>
                </w:div>
                <w:div w:id="612203548">
                  <w:marLeft w:val="0"/>
                  <w:marRight w:val="0"/>
                  <w:marTop w:val="0"/>
                  <w:marBottom w:val="0"/>
                  <w:divBdr>
                    <w:top w:val="none" w:sz="0" w:space="0" w:color="auto"/>
                    <w:left w:val="none" w:sz="0" w:space="0" w:color="auto"/>
                    <w:bottom w:val="none" w:sz="0" w:space="0" w:color="auto"/>
                    <w:right w:val="none" w:sz="0" w:space="0" w:color="auto"/>
                  </w:divBdr>
                  <w:divsChild>
                    <w:div w:id="1343581633">
                      <w:marLeft w:val="0"/>
                      <w:marRight w:val="0"/>
                      <w:marTop w:val="0"/>
                      <w:marBottom w:val="0"/>
                      <w:divBdr>
                        <w:top w:val="none" w:sz="0" w:space="0" w:color="auto"/>
                        <w:left w:val="none" w:sz="0" w:space="0" w:color="auto"/>
                        <w:bottom w:val="none" w:sz="0" w:space="0" w:color="auto"/>
                        <w:right w:val="none" w:sz="0" w:space="0" w:color="auto"/>
                      </w:divBdr>
                    </w:div>
                  </w:divsChild>
                </w:div>
                <w:div w:id="618756681">
                  <w:marLeft w:val="0"/>
                  <w:marRight w:val="0"/>
                  <w:marTop w:val="0"/>
                  <w:marBottom w:val="0"/>
                  <w:divBdr>
                    <w:top w:val="none" w:sz="0" w:space="0" w:color="auto"/>
                    <w:left w:val="none" w:sz="0" w:space="0" w:color="auto"/>
                    <w:bottom w:val="none" w:sz="0" w:space="0" w:color="auto"/>
                    <w:right w:val="none" w:sz="0" w:space="0" w:color="auto"/>
                  </w:divBdr>
                  <w:divsChild>
                    <w:div w:id="1263759582">
                      <w:marLeft w:val="0"/>
                      <w:marRight w:val="0"/>
                      <w:marTop w:val="0"/>
                      <w:marBottom w:val="0"/>
                      <w:divBdr>
                        <w:top w:val="none" w:sz="0" w:space="0" w:color="auto"/>
                        <w:left w:val="none" w:sz="0" w:space="0" w:color="auto"/>
                        <w:bottom w:val="none" w:sz="0" w:space="0" w:color="auto"/>
                        <w:right w:val="none" w:sz="0" w:space="0" w:color="auto"/>
                      </w:divBdr>
                    </w:div>
                  </w:divsChild>
                </w:div>
                <w:div w:id="623779401">
                  <w:marLeft w:val="0"/>
                  <w:marRight w:val="0"/>
                  <w:marTop w:val="0"/>
                  <w:marBottom w:val="0"/>
                  <w:divBdr>
                    <w:top w:val="none" w:sz="0" w:space="0" w:color="auto"/>
                    <w:left w:val="none" w:sz="0" w:space="0" w:color="auto"/>
                    <w:bottom w:val="none" w:sz="0" w:space="0" w:color="auto"/>
                    <w:right w:val="none" w:sz="0" w:space="0" w:color="auto"/>
                  </w:divBdr>
                  <w:divsChild>
                    <w:div w:id="591478502">
                      <w:marLeft w:val="0"/>
                      <w:marRight w:val="0"/>
                      <w:marTop w:val="0"/>
                      <w:marBottom w:val="0"/>
                      <w:divBdr>
                        <w:top w:val="none" w:sz="0" w:space="0" w:color="auto"/>
                        <w:left w:val="none" w:sz="0" w:space="0" w:color="auto"/>
                        <w:bottom w:val="none" w:sz="0" w:space="0" w:color="auto"/>
                        <w:right w:val="none" w:sz="0" w:space="0" w:color="auto"/>
                      </w:divBdr>
                    </w:div>
                  </w:divsChild>
                </w:div>
                <w:div w:id="623853198">
                  <w:marLeft w:val="0"/>
                  <w:marRight w:val="0"/>
                  <w:marTop w:val="0"/>
                  <w:marBottom w:val="0"/>
                  <w:divBdr>
                    <w:top w:val="none" w:sz="0" w:space="0" w:color="auto"/>
                    <w:left w:val="none" w:sz="0" w:space="0" w:color="auto"/>
                    <w:bottom w:val="none" w:sz="0" w:space="0" w:color="auto"/>
                    <w:right w:val="none" w:sz="0" w:space="0" w:color="auto"/>
                  </w:divBdr>
                  <w:divsChild>
                    <w:div w:id="1914319189">
                      <w:marLeft w:val="0"/>
                      <w:marRight w:val="0"/>
                      <w:marTop w:val="0"/>
                      <w:marBottom w:val="0"/>
                      <w:divBdr>
                        <w:top w:val="none" w:sz="0" w:space="0" w:color="auto"/>
                        <w:left w:val="none" w:sz="0" w:space="0" w:color="auto"/>
                        <w:bottom w:val="none" w:sz="0" w:space="0" w:color="auto"/>
                        <w:right w:val="none" w:sz="0" w:space="0" w:color="auto"/>
                      </w:divBdr>
                    </w:div>
                  </w:divsChild>
                </w:div>
                <w:div w:id="643004380">
                  <w:marLeft w:val="0"/>
                  <w:marRight w:val="0"/>
                  <w:marTop w:val="0"/>
                  <w:marBottom w:val="0"/>
                  <w:divBdr>
                    <w:top w:val="none" w:sz="0" w:space="0" w:color="auto"/>
                    <w:left w:val="none" w:sz="0" w:space="0" w:color="auto"/>
                    <w:bottom w:val="none" w:sz="0" w:space="0" w:color="auto"/>
                    <w:right w:val="none" w:sz="0" w:space="0" w:color="auto"/>
                  </w:divBdr>
                  <w:divsChild>
                    <w:div w:id="1854489219">
                      <w:marLeft w:val="0"/>
                      <w:marRight w:val="0"/>
                      <w:marTop w:val="0"/>
                      <w:marBottom w:val="0"/>
                      <w:divBdr>
                        <w:top w:val="none" w:sz="0" w:space="0" w:color="auto"/>
                        <w:left w:val="none" w:sz="0" w:space="0" w:color="auto"/>
                        <w:bottom w:val="none" w:sz="0" w:space="0" w:color="auto"/>
                        <w:right w:val="none" w:sz="0" w:space="0" w:color="auto"/>
                      </w:divBdr>
                    </w:div>
                  </w:divsChild>
                </w:div>
                <w:div w:id="649870606">
                  <w:marLeft w:val="0"/>
                  <w:marRight w:val="0"/>
                  <w:marTop w:val="0"/>
                  <w:marBottom w:val="0"/>
                  <w:divBdr>
                    <w:top w:val="none" w:sz="0" w:space="0" w:color="auto"/>
                    <w:left w:val="none" w:sz="0" w:space="0" w:color="auto"/>
                    <w:bottom w:val="none" w:sz="0" w:space="0" w:color="auto"/>
                    <w:right w:val="none" w:sz="0" w:space="0" w:color="auto"/>
                  </w:divBdr>
                  <w:divsChild>
                    <w:div w:id="1318025409">
                      <w:marLeft w:val="0"/>
                      <w:marRight w:val="0"/>
                      <w:marTop w:val="0"/>
                      <w:marBottom w:val="0"/>
                      <w:divBdr>
                        <w:top w:val="none" w:sz="0" w:space="0" w:color="auto"/>
                        <w:left w:val="none" w:sz="0" w:space="0" w:color="auto"/>
                        <w:bottom w:val="none" w:sz="0" w:space="0" w:color="auto"/>
                        <w:right w:val="none" w:sz="0" w:space="0" w:color="auto"/>
                      </w:divBdr>
                    </w:div>
                  </w:divsChild>
                </w:div>
                <w:div w:id="655768949">
                  <w:marLeft w:val="0"/>
                  <w:marRight w:val="0"/>
                  <w:marTop w:val="0"/>
                  <w:marBottom w:val="0"/>
                  <w:divBdr>
                    <w:top w:val="none" w:sz="0" w:space="0" w:color="auto"/>
                    <w:left w:val="none" w:sz="0" w:space="0" w:color="auto"/>
                    <w:bottom w:val="none" w:sz="0" w:space="0" w:color="auto"/>
                    <w:right w:val="none" w:sz="0" w:space="0" w:color="auto"/>
                  </w:divBdr>
                  <w:divsChild>
                    <w:div w:id="1895237957">
                      <w:marLeft w:val="0"/>
                      <w:marRight w:val="0"/>
                      <w:marTop w:val="0"/>
                      <w:marBottom w:val="0"/>
                      <w:divBdr>
                        <w:top w:val="none" w:sz="0" w:space="0" w:color="auto"/>
                        <w:left w:val="none" w:sz="0" w:space="0" w:color="auto"/>
                        <w:bottom w:val="none" w:sz="0" w:space="0" w:color="auto"/>
                        <w:right w:val="none" w:sz="0" w:space="0" w:color="auto"/>
                      </w:divBdr>
                    </w:div>
                  </w:divsChild>
                </w:div>
                <w:div w:id="662778640">
                  <w:marLeft w:val="0"/>
                  <w:marRight w:val="0"/>
                  <w:marTop w:val="0"/>
                  <w:marBottom w:val="0"/>
                  <w:divBdr>
                    <w:top w:val="none" w:sz="0" w:space="0" w:color="auto"/>
                    <w:left w:val="none" w:sz="0" w:space="0" w:color="auto"/>
                    <w:bottom w:val="none" w:sz="0" w:space="0" w:color="auto"/>
                    <w:right w:val="none" w:sz="0" w:space="0" w:color="auto"/>
                  </w:divBdr>
                  <w:divsChild>
                    <w:div w:id="1293899169">
                      <w:marLeft w:val="0"/>
                      <w:marRight w:val="0"/>
                      <w:marTop w:val="0"/>
                      <w:marBottom w:val="0"/>
                      <w:divBdr>
                        <w:top w:val="none" w:sz="0" w:space="0" w:color="auto"/>
                        <w:left w:val="none" w:sz="0" w:space="0" w:color="auto"/>
                        <w:bottom w:val="none" w:sz="0" w:space="0" w:color="auto"/>
                        <w:right w:val="none" w:sz="0" w:space="0" w:color="auto"/>
                      </w:divBdr>
                    </w:div>
                  </w:divsChild>
                </w:div>
                <w:div w:id="667634834">
                  <w:marLeft w:val="0"/>
                  <w:marRight w:val="0"/>
                  <w:marTop w:val="0"/>
                  <w:marBottom w:val="0"/>
                  <w:divBdr>
                    <w:top w:val="none" w:sz="0" w:space="0" w:color="auto"/>
                    <w:left w:val="none" w:sz="0" w:space="0" w:color="auto"/>
                    <w:bottom w:val="none" w:sz="0" w:space="0" w:color="auto"/>
                    <w:right w:val="none" w:sz="0" w:space="0" w:color="auto"/>
                  </w:divBdr>
                  <w:divsChild>
                    <w:div w:id="1562016007">
                      <w:marLeft w:val="0"/>
                      <w:marRight w:val="0"/>
                      <w:marTop w:val="0"/>
                      <w:marBottom w:val="0"/>
                      <w:divBdr>
                        <w:top w:val="none" w:sz="0" w:space="0" w:color="auto"/>
                        <w:left w:val="none" w:sz="0" w:space="0" w:color="auto"/>
                        <w:bottom w:val="none" w:sz="0" w:space="0" w:color="auto"/>
                        <w:right w:val="none" w:sz="0" w:space="0" w:color="auto"/>
                      </w:divBdr>
                    </w:div>
                  </w:divsChild>
                </w:div>
                <w:div w:id="695473093">
                  <w:marLeft w:val="0"/>
                  <w:marRight w:val="0"/>
                  <w:marTop w:val="0"/>
                  <w:marBottom w:val="0"/>
                  <w:divBdr>
                    <w:top w:val="none" w:sz="0" w:space="0" w:color="auto"/>
                    <w:left w:val="none" w:sz="0" w:space="0" w:color="auto"/>
                    <w:bottom w:val="none" w:sz="0" w:space="0" w:color="auto"/>
                    <w:right w:val="none" w:sz="0" w:space="0" w:color="auto"/>
                  </w:divBdr>
                  <w:divsChild>
                    <w:div w:id="1447188978">
                      <w:marLeft w:val="0"/>
                      <w:marRight w:val="0"/>
                      <w:marTop w:val="0"/>
                      <w:marBottom w:val="0"/>
                      <w:divBdr>
                        <w:top w:val="none" w:sz="0" w:space="0" w:color="auto"/>
                        <w:left w:val="none" w:sz="0" w:space="0" w:color="auto"/>
                        <w:bottom w:val="none" w:sz="0" w:space="0" w:color="auto"/>
                        <w:right w:val="none" w:sz="0" w:space="0" w:color="auto"/>
                      </w:divBdr>
                    </w:div>
                  </w:divsChild>
                </w:div>
                <w:div w:id="702828392">
                  <w:marLeft w:val="0"/>
                  <w:marRight w:val="0"/>
                  <w:marTop w:val="0"/>
                  <w:marBottom w:val="0"/>
                  <w:divBdr>
                    <w:top w:val="none" w:sz="0" w:space="0" w:color="auto"/>
                    <w:left w:val="none" w:sz="0" w:space="0" w:color="auto"/>
                    <w:bottom w:val="none" w:sz="0" w:space="0" w:color="auto"/>
                    <w:right w:val="none" w:sz="0" w:space="0" w:color="auto"/>
                  </w:divBdr>
                  <w:divsChild>
                    <w:div w:id="1978562820">
                      <w:marLeft w:val="0"/>
                      <w:marRight w:val="0"/>
                      <w:marTop w:val="0"/>
                      <w:marBottom w:val="0"/>
                      <w:divBdr>
                        <w:top w:val="none" w:sz="0" w:space="0" w:color="auto"/>
                        <w:left w:val="none" w:sz="0" w:space="0" w:color="auto"/>
                        <w:bottom w:val="none" w:sz="0" w:space="0" w:color="auto"/>
                        <w:right w:val="none" w:sz="0" w:space="0" w:color="auto"/>
                      </w:divBdr>
                    </w:div>
                  </w:divsChild>
                </w:div>
                <w:div w:id="703822915">
                  <w:marLeft w:val="0"/>
                  <w:marRight w:val="0"/>
                  <w:marTop w:val="0"/>
                  <w:marBottom w:val="0"/>
                  <w:divBdr>
                    <w:top w:val="none" w:sz="0" w:space="0" w:color="auto"/>
                    <w:left w:val="none" w:sz="0" w:space="0" w:color="auto"/>
                    <w:bottom w:val="none" w:sz="0" w:space="0" w:color="auto"/>
                    <w:right w:val="none" w:sz="0" w:space="0" w:color="auto"/>
                  </w:divBdr>
                  <w:divsChild>
                    <w:div w:id="1798253215">
                      <w:marLeft w:val="0"/>
                      <w:marRight w:val="0"/>
                      <w:marTop w:val="0"/>
                      <w:marBottom w:val="0"/>
                      <w:divBdr>
                        <w:top w:val="none" w:sz="0" w:space="0" w:color="auto"/>
                        <w:left w:val="none" w:sz="0" w:space="0" w:color="auto"/>
                        <w:bottom w:val="none" w:sz="0" w:space="0" w:color="auto"/>
                        <w:right w:val="none" w:sz="0" w:space="0" w:color="auto"/>
                      </w:divBdr>
                    </w:div>
                  </w:divsChild>
                </w:div>
                <w:div w:id="723335969">
                  <w:marLeft w:val="0"/>
                  <w:marRight w:val="0"/>
                  <w:marTop w:val="0"/>
                  <w:marBottom w:val="0"/>
                  <w:divBdr>
                    <w:top w:val="none" w:sz="0" w:space="0" w:color="auto"/>
                    <w:left w:val="none" w:sz="0" w:space="0" w:color="auto"/>
                    <w:bottom w:val="none" w:sz="0" w:space="0" w:color="auto"/>
                    <w:right w:val="none" w:sz="0" w:space="0" w:color="auto"/>
                  </w:divBdr>
                  <w:divsChild>
                    <w:div w:id="1294364474">
                      <w:marLeft w:val="0"/>
                      <w:marRight w:val="0"/>
                      <w:marTop w:val="0"/>
                      <w:marBottom w:val="0"/>
                      <w:divBdr>
                        <w:top w:val="none" w:sz="0" w:space="0" w:color="auto"/>
                        <w:left w:val="none" w:sz="0" w:space="0" w:color="auto"/>
                        <w:bottom w:val="none" w:sz="0" w:space="0" w:color="auto"/>
                        <w:right w:val="none" w:sz="0" w:space="0" w:color="auto"/>
                      </w:divBdr>
                    </w:div>
                  </w:divsChild>
                </w:div>
                <w:div w:id="735861737">
                  <w:marLeft w:val="0"/>
                  <w:marRight w:val="0"/>
                  <w:marTop w:val="0"/>
                  <w:marBottom w:val="0"/>
                  <w:divBdr>
                    <w:top w:val="none" w:sz="0" w:space="0" w:color="auto"/>
                    <w:left w:val="none" w:sz="0" w:space="0" w:color="auto"/>
                    <w:bottom w:val="none" w:sz="0" w:space="0" w:color="auto"/>
                    <w:right w:val="none" w:sz="0" w:space="0" w:color="auto"/>
                  </w:divBdr>
                  <w:divsChild>
                    <w:div w:id="1619529530">
                      <w:marLeft w:val="0"/>
                      <w:marRight w:val="0"/>
                      <w:marTop w:val="0"/>
                      <w:marBottom w:val="0"/>
                      <w:divBdr>
                        <w:top w:val="none" w:sz="0" w:space="0" w:color="auto"/>
                        <w:left w:val="none" w:sz="0" w:space="0" w:color="auto"/>
                        <w:bottom w:val="none" w:sz="0" w:space="0" w:color="auto"/>
                        <w:right w:val="none" w:sz="0" w:space="0" w:color="auto"/>
                      </w:divBdr>
                    </w:div>
                  </w:divsChild>
                </w:div>
                <w:div w:id="747117611">
                  <w:marLeft w:val="0"/>
                  <w:marRight w:val="0"/>
                  <w:marTop w:val="0"/>
                  <w:marBottom w:val="0"/>
                  <w:divBdr>
                    <w:top w:val="none" w:sz="0" w:space="0" w:color="auto"/>
                    <w:left w:val="none" w:sz="0" w:space="0" w:color="auto"/>
                    <w:bottom w:val="none" w:sz="0" w:space="0" w:color="auto"/>
                    <w:right w:val="none" w:sz="0" w:space="0" w:color="auto"/>
                  </w:divBdr>
                  <w:divsChild>
                    <w:div w:id="688675150">
                      <w:marLeft w:val="0"/>
                      <w:marRight w:val="0"/>
                      <w:marTop w:val="0"/>
                      <w:marBottom w:val="0"/>
                      <w:divBdr>
                        <w:top w:val="none" w:sz="0" w:space="0" w:color="auto"/>
                        <w:left w:val="none" w:sz="0" w:space="0" w:color="auto"/>
                        <w:bottom w:val="none" w:sz="0" w:space="0" w:color="auto"/>
                        <w:right w:val="none" w:sz="0" w:space="0" w:color="auto"/>
                      </w:divBdr>
                    </w:div>
                  </w:divsChild>
                </w:div>
                <w:div w:id="755130714">
                  <w:marLeft w:val="0"/>
                  <w:marRight w:val="0"/>
                  <w:marTop w:val="0"/>
                  <w:marBottom w:val="0"/>
                  <w:divBdr>
                    <w:top w:val="none" w:sz="0" w:space="0" w:color="auto"/>
                    <w:left w:val="none" w:sz="0" w:space="0" w:color="auto"/>
                    <w:bottom w:val="none" w:sz="0" w:space="0" w:color="auto"/>
                    <w:right w:val="none" w:sz="0" w:space="0" w:color="auto"/>
                  </w:divBdr>
                  <w:divsChild>
                    <w:div w:id="354620825">
                      <w:marLeft w:val="0"/>
                      <w:marRight w:val="0"/>
                      <w:marTop w:val="0"/>
                      <w:marBottom w:val="0"/>
                      <w:divBdr>
                        <w:top w:val="none" w:sz="0" w:space="0" w:color="auto"/>
                        <w:left w:val="none" w:sz="0" w:space="0" w:color="auto"/>
                        <w:bottom w:val="none" w:sz="0" w:space="0" w:color="auto"/>
                        <w:right w:val="none" w:sz="0" w:space="0" w:color="auto"/>
                      </w:divBdr>
                    </w:div>
                  </w:divsChild>
                </w:div>
                <w:div w:id="762073086">
                  <w:marLeft w:val="0"/>
                  <w:marRight w:val="0"/>
                  <w:marTop w:val="0"/>
                  <w:marBottom w:val="0"/>
                  <w:divBdr>
                    <w:top w:val="none" w:sz="0" w:space="0" w:color="auto"/>
                    <w:left w:val="none" w:sz="0" w:space="0" w:color="auto"/>
                    <w:bottom w:val="none" w:sz="0" w:space="0" w:color="auto"/>
                    <w:right w:val="none" w:sz="0" w:space="0" w:color="auto"/>
                  </w:divBdr>
                  <w:divsChild>
                    <w:div w:id="24336968">
                      <w:marLeft w:val="0"/>
                      <w:marRight w:val="0"/>
                      <w:marTop w:val="0"/>
                      <w:marBottom w:val="0"/>
                      <w:divBdr>
                        <w:top w:val="none" w:sz="0" w:space="0" w:color="auto"/>
                        <w:left w:val="none" w:sz="0" w:space="0" w:color="auto"/>
                        <w:bottom w:val="none" w:sz="0" w:space="0" w:color="auto"/>
                        <w:right w:val="none" w:sz="0" w:space="0" w:color="auto"/>
                      </w:divBdr>
                    </w:div>
                  </w:divsChild>
                </w:div>
                <w:div w:id="766732875">
                  <w:marLeft w:val="0"/>
                  <w:marRight w:val="0"/>
                  <w:marTop w:val="0"/>
                  <w:marBottom w:val="0"/>
                  <w:divBdr>
                    <w:top w:val="none" w:sz="0" w:space="0" w:color="auto"/>
                    <w:left w:val="none" w:sz="0" w:space="0" w:color="auto"/>
                    <w:bottom w:val="none" w:sz="0" w:space="0" w:color="auto"/>
                    <w:right w:val="none" w:sz="0" w:space="0" w:color="auto"/>
                  </w:divBdr>
                  <w:divsChild>
                    <w:div w:id="2119181869">
                      <w:marLeft w:val="0"/>
                      <w:marRight w:val="0"/>
                      <w:marTop w:val="0"/>
                      <w:marBottom w:val="0"/>
                      <w:divBdr>
                        <w:top w:val="none" w:sz="0" w:space="0" w:color="auto"/>
                        <w:left w:val="none" w:sz="0" w:space="0" w:color="auto"/>
                        <w:bottom w:val="none" w:sz="0" w:space="0" w:color="auto"/>
                        <w:right w:val="none" w:sz="0" w:space="0" w:color="auto"/>
                      </w:divBdr>
                    </w:div>
                  </w:divsChild>
                </w:div>
                <w:div w:id="770008702">
                  <w:marLeft w:val="0"/>
                  <w:marRight w:val="0"/>
                  <w:marTop w:val="0"/>
                  <w:marBottom w:val="0"/>
                  <w:divBdr>
                    <w:top w:val="none" w:sz="0" w:space="0" w:color="auto"/>
                    <w:left w:val="none" w:sz="0" w:space="0" w:color="auto"/>
                    <w:bottom w:val="none" w:sz="0" w:space="0" w:color="auto"/>
                    <w:right w:val="none" w:sz="0" w:space="0" w:color="auto"/>
                  </w:divBdr>
                  <w:divsChild>
                    <w:div w:id="523132082">
                      <w:marLeft w:val="0"/>
                      <w:marRight w:val="0"/>
                      <w:marTop w:val="0"/>
                      <w:marBottom w:val="0"/>
                      <w:divBdr>
                        <w:top w:val="none" w:sz="0" w:space="0" w:color="auto"/>
                        <w:left w:val="none" w:sz="0" w:space="0" w:color="auto"/>
                        <w:bottom w:val="none" w:sz="0" w:space="0" w:color="auto"/>
                        <w:right w:val="none" w:sz="0" w:space="0" w:color="auto"/>
                      </w:divBdr>
                    </w:div>
                  </w:divsChild>
                </w:div>
                <w:div w:id="771900884">
                  <w:marLeft w:val="0"/>
                  <w:marRight w:val="0"/>
                  <w:marTop w:val="0"/>
                  <w:marBottom w:val="0"/>
                  <w:divBdr>
                    <w:top w:val="none" w:sz="0" w:space="0" w:color="auto"/>
                    <w:left w:val="none" w:sz="0" w:space="0" w:color="auto"/>
                    <w:bottom w:val="none" w:sz="0" w:space="0" w:color="auto"/>
                    <w:right w:val="none" w:sz="0" w:space="0" w:color="auto"/>
                  </w:divBdr>
                  <w:divsChild>
                    <w:div w:id="1751661763">
                      <w:marLeft w:val="0"/>
                      <w:marRight w:val="0"/>
                      <w:marTop w:val="0"/>
                      <w:marBottom w:val="0"/>
                      <w:divBdr>
                        <w:top w:val="none" w:sz="0" w:space="0" w:color="auto"/>
                        <w:left w:val="none" w:sz="0" w:space="0" w:color="auto"/>
                        <w:bottom w:val="none" w:sz="0" w:space="0" w:color="auto"/>
                        <w:right w:val="none" w:sz="0" w:space="0" w:color="auto"/>
                      </w:divBdr>
                    </w:div>
                    <w:div w:id="2061513287">
                      <w:marLeft w:val="0"/>
                      <w:marRight w:val="0"/>
                      <w:marTop w:val="0"/>
                      <w:marBottom w:val="0"/>
                      <w:divBdr>
                        <w:top w:val="none" w:sz="0" w:space="0" w:color="auto"/>
                        <w:left w:val="none" w:sz="0" w:space="0" w:color="auto"/>
                        <w:bottom w:val="none" w:sz="0" w:space="0" w:color="auto"/>
                        <w:right w:val="none" w:sz="0" w:space="0" w:color="auto"/>
                      </w:divBdr>
                    </w:div>
                  </w:divsChild>
                </w:div>
                <w:div w:id="774321984">
                  <w:marLeft w:val="0"/>
                  <w:marRight w:val="0"/>
                  <w:marTop w:val="0"/>
                  <w:marBottom w:val="0"/>
                  <w:divBdr>
                    <w:top w:val="none" w:sz="0" w:space="0" w:color="auto"/>
                    <w:left w:val="none" w:sz="0" w:space="0" w:color="auto"/>
                    <w:bottom w:val="none" w:sz="0" w:space="0" w:color="auto"/>
                    <w:right w:val="none" w:sz="0" w:space="0" w:color="auto"/>
                  </w:divBdr>
                  <w:divsChild>
                    <w:div w:id="1740588755">
                      <w:marLeft w:val="0"/>
                      <w:marRight w:val="0"/>
                      <w:marTop w:val="0"/>
                      <w:marBottom w:val="0"/>
                      <w:divBdr>
                        <w:top w:val="none" w:sz="0" w:space="0" w:color="auto"/>
                        <w:left w:val="none" w:sz="0" w:space="0" w:color="auto"/>
                        <w:bottom w:val="none" w:sz="0" w:space="0" w:color="auto"/>
                        <w:right w:val="none" w:sz="0" w:space="0" w:color="auto"/>
                      </w:divBdr>
                    </w:div>
                  </w:divsChild>
                </w:div>
                <w:div w:id="782462529">
                  <w:marLeft w:val="0"/>
                  <w:marRight w:val="0"/>
                  <w:marTop w:val="0"/>
                  <w:marBottom w:val="0"/>
                  <w:divBdr>
                    <w:top w:val="none" w:sz="0" w:space="0" w:color="auto"/>
                    <w:left w:val="none" w:sz="0" w:space="0" w:color="auto"/>
                    <w:bottom w:val="none" w:sz="0" w:space="0" w:color="auto"/>
                    <w:right w:val="none" w:sz="0" w:space="0" w:color="auto"/>
                  </w:divBdr>
                  <w:divsChild>
                    <w:div w:id="10835488">
                      <w:marLeft w:val="0"/>
                      <w:marRight w:val="0"/>
                      <w:marTop w:val="0"/>
                      <w:marBottom w:val="0"/>
                      <w:divBdr>
                        <w:top w:val="none" w:sz="0" w:space="0" w:color="auto"/>
                        <w:left w:val="none" w:sz="0" w:space="0" w:color="auto"/>
                        <w:bottom w:val="none" w:sz="0" w:space="0" w:color="auto"/>
                        <w:right w:val="none" w:sz="0" w:space="0" w:color="auto"/>
                      </w:divBdr>
                    </w:div>
                  </w:divsChild>
                </w:div>
                <w:div w:id="790249770">
                  <w:marLeft w:val="0"/>
                  <w:marRight w:val="0"/>
                  <w:marTop w:val="0"/>
                  <w:marBottom w:val="0"/>
                  <w:divBdr>
                    <w:top w:val="none" w:sz="0" w:space="0" w:color="auto"/>
                    <w:left w:val="none" w:sz="0" w:space="0" w:color="auto"/>
                    <w:bottom w:val="none" w:sz="0" w:space="0" w:color="auto"/>
                    <w:right w:val="none" w:sz="0" w:space="0" w:color="auto"/>
                  </w:divBdr>
                  <w:divsChild>
                    <w:div w:id="1394739068">
                      <w:marLeft w:val="0"/>
                      <w:marRight w:val="0"/>
                      <w:marTop w:val="0"/>
                      <w:marBottom w:val="0"/>
                      <w:divBdr>
                        <w:top w:val="none" w:sz="0" w:space="0" w:color="auto"/>
                        <w:left w:val="none" w:sz="0" w:space="0" w:color="auto"/>
                        <w:bottom w:val="none" w:sz="0" w:space="0" w:color="auto"/>
                        <w:right w:val="none" w:sz="0" w:space="0" w:color="auto"/>
                      </w:divBdr>
                    </w:div>
                  </w:divsChild>
                </w:div>
                <w:div w:id="790369233">
                  <w:marLeft w:val="0"/>
                  <w:marRight w:val="0"/>
                  <w:marTop w:val="0"/>
                  <w:marBottom w:val="0"/>
                  <w:divBdr>
                    <w:top w:val="none" w:sz="0" w:space="0" w:color="auto"/>
                    <w:left w:val="none" w:sz="0" w:space="0" w:color="auto"/>
                    <w:bottom w:val="none" w:sz="0" w:space="0" w:color="auto"/>
                    <w:right w:val="none" w:sz="0" w:space="0" w:color="auto"/>
                  </w:divBdr>
                  <w:divsChild>
                    <w:div w:id="870218205">
                      <w:marLeft w:val="0"/>
                      <w:marRight w:val="0"/>
                      <w:marTop w:val="0"/>
                      <w:marBottom w:val="0"/>
                      <w:divBdr>
                        <w:top w:val="none" w:sz="0" w:space="0" w:color="auto"/>
                        <w:left w:val="none" w:sz="0" w:space="0" w:color="auto"/>
                        <w:bottom w:val="none" w:sz="0" w:space="0" w:color="auto"/>
                        <w:right w:val="none" w:sz="0" w:space="0" w:color="auto"/>
                      </w:divBdr>
                    </w:div>
                  </w:divsChild>
                </w:div>
                <w:div w:id="798455310">
                  <w:marLeft w:val="0"/>
                  <w:marRight w:val="0"/>
                  <w:marTop w:val="0"/>
                  <w:marBottom w:val="0"/>
                  <w:divBdr>
                    <w:top w:val="none" w:sz="0" w:space="0" w:color="auto"/>
                    <w:left w:val="none" w:sz="0" w:space="0" w:color="auto"/>
                    <w:bottom w:val="none" w:sz="0" w:space="0" w:color="auto"/>
                    <w:right w:val="none" w:sz="0" w:space="0" w:color="auto"/>
                  </w:divBdr>
                  <w:divsChild>
                    <w:div w:id="1151019886">
                      <w:marLeft w:val="0"/>
                      <w:marRight w:val="0"/>
                      <w:marTop w:val="0"/>
                      <w:marBottom w:val="0"/>
                      <w:divBdr>
                        <w:top w:val="none" w:sz="0" w:space="0" w:color="auto"/>
                        <w:left w:val="none" w:sz="0" w:space="0" w:color="auto"/>
                        <w:bottom w:val="none" w:sz="0" w:space="0" w:color="auto"/>
                        <w:right w:val="none" w:sz="0" w:space="0" w:color="auto"/>
                      </w:divBdr>
                    </w:div>
                  </w:divsChild>
                </w:div>
                <w:div w:id="801659063">
                  <w:marLeft w:val="0"/>
                  <w:marRight w:val="0"/>
                  <w:marTop w:val="0"/>
                  <w:marBottom w:val="0"/>
                  <w:divBdr>
                    <w:top w:val="none" w:sz="0" w:space="0" w:color="auto"/>
                    <w:left w:val="none" w:sz="0" w:space="0" w:color="auto"/>
                    <w:bottom w:val="none" w:sz="0" w:space="0" w:color="auto"/>
                    <w:right w:val="none" w:sz="0" w:space="0" w:color="auto"/>
                  </w:divBdr>
                  <w:divsChild>
                    <w:div w:id="827137377">
                      <w:marLeft w:val="0"/>
                      <w:marRight w:val="0"/>
                      <w:marTop w:val="0"/>
                      <w:marBottom w:val="0"/>
                      <w:divBdr>
                        <w:top w:val="none" w:sz="0" w:space="0" w:color="auto"/>
                        <w:left w:val="none" w:sz="0" w:space="0" w:color="auto"/>
                        <w:bottom w:val="none" w:sz="0" w:space="0" w:color="auto"/>
                        <w:right w:val="none" w:sz="0" w:space="0" w:color="auto"/>
                      </w:divBdr>
                    </w:div>
                  </w:divsChild>
                </w:div>
                <w:div w:id="805897956">
                  <w:marLeft w:val="0"/>
                  <w:marRight w:val="0"/>
                  <w:marTop w:val="0"/>
                  <w:marBottom w:val="0"/>
                  <w:divBdr>
                    <w:top w:val="none" w:sz="0" w:space="0" w:color="auto"/>
                    <w:left w:val="none" w:sz="0" w:space="0" w:color="auto"/>
                    <w:bottom w:val="none" w:sz="0" w:space="0" w:color="auto"/>
                    <w:right w:val="none" w:sz="0" w:space="0" w:color="auto"/>
                  </w:divBdr>
                  <w:divsChild>
                    <w:div w:id="266037306">
                      <w:marLeft w:val="0"/>
                      <w:marRight w:val="0"/>
                      <w:marTop w:val="0"/>
                      <w:marBottom w:val="0"/>
                      <w:divBdr>
                        <w:top w:val="none" w:sz="0" w:space="0" w:color="auto"/>
                        <w:left w:val="none" w:sz="0" w:space="0" w:color="auto"/>
                        <w:bottom w:val="none" w:sz="0" w:space="0" w:color="auto"/>
                        <w:right w:val="none" w:sz="0" w:space="0" w:color="auto"/>
                      </w:divBdr>
                    </w:div>
                  </w:divsChild>
                </w:div>
                <w:div w:id="815029902">
                  <w:marLeft w:val="0"/>
                  <w:marRight w:val="0"/>
                  <w:marTop w:val="0"/>
                  <w:marBottom w:val="0"/>
                  <w:divBdr>
                    <w:top w:val="none" w:sz="0" w:space="0" w:color="auto"/>
                    <w:left w:val="none" w:sz="0" w:space="0" w:color="auto"/>
                    <w:bottom w:val="none" w:sz="0" w:space="0" w:color="auto"/>
                    <w:right w:val="none" w:sz="0" w:space="0" w:color="auto"/>
                  </w:divBdr>
                  <w:divsChild>
                    <w:div w:id="1946113668">
                      <w:marLeft w:val="0"/>
                      <w:marRight w:val="0"/>
                      <w:marTop w:val="0"/>
                      <w:marBottom w:val="0"/>
                      <w:divBdr>
                        <w:top w:val="none" w:sz="0" w:space="0" w:color="auto"/>
                        <w:left w:val="none" w:sz="0" w:space="0" w:color="auto"/>
                        <w:bottom w:val="none" w:sz="0" w:space="0" w:color="auto"/>
                        <w:right w:val="none" w:sz="0" w:space="0" w:color="auto"/>
                      </w:divBdr>
                    </w:div>
                  </w:divsChild>
                </w:div>
                <w:div w:id="815948404">
                  <w:marLeft w:val="0"/>
                  <w:marRight w:val="0"/>
                  <w:marTop w:val="0"/>
                  <w:marBottom w:val="0"/>
                  <w:divBdr>
                    <w:top w:val="none" w:sz="0" w:space="0" w:color="auto"/>
                    <w:left w:val="none" w:sz="0" w:space="0" w:color="auto"/>
                    <w:bottom w:val="none" w:sz="0" w:space="0" w:color="auto"/>
                    <w:right w:val="none" w:sz="0" w:space="0" w:color="auto"/>
                  </w:divBdr>
                  <w:divsChild>
                    <w:div w:id="320626516">
                      <w:marLeft w:val="0"/>
                      <w:marRight w:val="0"/>
                      <w:marTop w:val="0"/>
                      <w:marBottom w:val="0"/>
                      <w:divBdr>
                        <w:top w:val="none" w:sz="0" w:space="0" w:color="auto"/>
                        <w:left w:val="none" w:sz="0" w:space="0" w:color="auto"/>
                        <w:bottom w:val="none" w:sz="0" w:space="0" w:color="auto"/>
                        <w:right w:val="none" w:sz="0" w:space="0" w:color="auto"/>
                      </w:divBdr>
                    </w:div>
                  </w:divsChild>
                </w:div>
                <w:div w:id="826480819">
                  <w:marLeft w:val="0"/>
                  <w:marRight w:val="0"/>
                  <w:marTop w:val="0"/>
                  <w:marBottom w:val="0"/>
                  <w:divBdr>
                    <w:top w:val="none" w:sz="0" w:space="0" w:color="auto"/>
                    <w:left w:val="none" w:sz="0" w:space="0" w:color="auto"/>
                    <w:bottom w:val="none" w:sz="0" w:space="0" w:color="auto"/>
                    <w:right w:val="none" w:sz="0" w:space="0" w:color="auto"/>
                  </w:divBdr>
                  <w:divsChild>
                    <w:div w:id="1979532267">
                      <w:marLeft w:val="0"/>
                      <w:marRight w:val="0"/>
                      <w:marTop w:val="0"/>
                      <w:marBottom w:val="0"/>
                      <w:divBdr>
                        <w:top w:val="none" w:sz="0" w:space="0" w:color="auto"/>
                        <w:left w:val="none" w:sz="0" w:space="0" w:color="auto"/>
                        <w:bottom w:val="none" w:sz="0" w:space="0" w:color="auto"/>
                        <w:right w:val="none" w:sz="0" w:space="0" w:color="auto"/>
                      </w:divBdr>
                    </w:div>
                  </w:divsChild>
                </w:div>
                <w:div w:id="833765475">
                  <w:marLeft w:val="0"/>
                  <w:marRight w:val="0"/>
                  <w:marTop w:val="0"/>
                  <w:marBottom w:val="0"/>
                  <w:divBdr>
                    <w:top w:val="none" w:sz="0" w:space="0" w:color="auto"/>
                    <w:left w:val="none" w:sz="0" w:space="0" w:color="auto"/>
                    <w:bottom w:val="none" w:sz="0" w:space="0" w:color="auto"/>
                    <w:right w:val="none" w:sz="0" w:space="0" w:color="auto"/>
                  </w:divBdr>
                  <w:divsChild>
                    <w:div w:id="900796348">
                      <w:marLeft w:val="0"/>
                      <w:marRight w:val="0"/>
                      <w:marTop w:val="0"/>
                      <w:marBottom w:val="0"/>
                      <w:divBdr>
                        <w:top w:val="none" w:sz="0" w:space="0" w:color="auto"/>
                        <w:left w:val="none" w:sz="0" w:space="0" w:color="auto"/>
                        <w:bottom w:val="none" w:sz="0" w:space="0" w:color="auto"/>
                        <w:right w:val="none" w:sz="0" w:space="0" w:color="auto"/>
                      </w:divBdr>
                    </w:div>
                  </w:divsChild>
                </w:div>
                <w:div w:id="837765362">
                  <w:marLeft w:val="0"/>
                  <w:marRight w:val="0"/>
                  <w:marTop w:val="0"/>
                  <w:marBottom w:val="0"/>
                  <w:divBdr>
                    <w:top w:val="none" w:sz="0" w:space="0" w:color="auto"/>
                    <w:left w:val="none" w:sz="0" w:space="0" w:color="auto"/>
                    <w:bottom w:val="none" w:sz="0" w:space="0" w:color="auto"/>
                    <w:right w:val="none" w:sz="0" w:space="0" w:color="auto"/>
                  </w:divBdr>
                  <w:divsChild>
                    <w:div w:id="499930052">
                      <w:marLeft w:val="0"/>
                      <w:marRight w:val="0"/>
                      <w:marTop w:val="0"/>
                      <w:marBottom w:val="0"/>
                      <w:divBdr>
                        <w:top w:val="none" w:sz="0" w:space="0" w:color="auto"/>
                        <w:left w:val="none" w:sz="0" w:space="0" w:color="auto"/>
                        <w:bottom w:val="none" w:sz="0" w:space="0" w:color="auto"/>
                        <w:right w:val="none" w:sz="0" w:space="0" w:color="auto"/>
                      </w:divBdr>
                    </w:div>
                  </w:divsChild>
                </w:div>
                <w:div w:id="844980604">
                  <w:marLeft w:val="0"/>
                  <w:marRight w:val="0"/>
                  <w:marTop w:val="0"/>
                  <w:marBottom w:val="0"/>
                  <w:divBdr>
                    <w:top w:val="none" w:sz="0" w:space="0" w:color="auto"/>
                    <w:left w:val="none" w:sz="0" w:space="0" w:color="auto"/>
                    <w:bottom w:val="none" w:sz="0" w:space="0" w:color="auto"/>
                    <w:right w:val="none" w:sz="0" w:space="0" w:color="auto"/>
                  </w:divBdr>
                  <w:divsChild>
                    <w:div w:id="1304962262">
                      <w:marLeft w:val="0"/>
                      <w:marRight w:val="0"/>
                      <w:marTop w:val="0"/>
                      <w:marBottom w:val="0"/>
                      <w:divBdr>
                        <w:top w:val="none" w:sz="0" w:space="0" w:color="auto"/>
                        <w:left w:val="none" w:sz="0" w:space="0" w:color="auto"/>
                        <w:bottom w:val="none" w:sz="0" w:space="0" w:color="auto"/>
                        <w:right w:val="none" w:sz="0" w:space="0" w:color="auto"/>
                      </w:divBdr>
                    </w:div>
                  </w:divsChild>
                </w:div>
                <w:div w:id="846946777">
                  <w:marLeft w:val="0"/>
                  <w:marRight w:val="0"/>
                  <w:marTop w:val="0"/>
                  <w:marBottom w:val="0"/>
                  <w:divBdr>
                    <w:top w:val="none" w:sz="0" w:space="0" w:color="auto"/>
                    <w:left w:val="none" w:sz="0" w:space="0" w:color="auto"/>
                    <w:bottom w:val="none" w:sz="0" w:space="0" w:color="auto"/>
                    <w:right w:val="none" w:sz="0" w:space="0" w:color="auto"/>
                  </w:divBdr>
                  <w:divsChild>
                    <w:div w:id="1373458616">
                      <w:marLeft w:val="0"/>
                      <w:marRight w:val="0"/>
                      <w:marTop w:val="0"/>
                      <w:marBottom w:val="0"/>
                      <w:divBdr>
                        <w:top w:val="none" w:sz="0" w:space="0" w:color="auto"/>
                        <w:left w:val="none" w:sz="0" w:space="0" w:color="auto"/>
                        <w:bottom w:val="none" w:sz="0" w:space="0" w:color="auto"/>
                        <w:right w:val="none" w:sz="0" w:space="0" w:color="auto"/>
                      </w:divBdr>
                    </w:div>
                  </w:divsChild>
                </w:div>
                <w:div w:id="852379959">
                  <w:marLeft w:val="0"/>
                  <w:marRight w:val="0"/>
                  <w:marTop w:val="0"/>
                  <w:marBottom w:val="0"/>
                  <w:divBdr>
                    <w:top w:val="none" w:sz="0" w:space="0" w:color="auto"/>
                    <w:left w:val="none" w:sz="0" w:space="0" w:color="auto"/>
                    <w:bottom w:val="none" w:sz="0" w:space="0" w:color="auto"/>
                    <w:right w:val="none" w:sz="0" w:space="0" w:color="auto"/>
                  </w:divBdr>
                  <w:divsChild>
                    <w:div w:id="1592153739">
                      <w:marLeft w:val="0"/>
                      <w:marRight w:val="0"/>
                      <w:marTop w:val="0"/>
                      <w:marBottom w:val="0"/>
                      <w:divBdr>
                        <w:top w:val="none" w:sz="0" w:space="0" w:color="auto"/>
                        <w:left w:val="none" w:sz="0" w:space="0" w:color="auto"/>
                        <w:bottom w:val="none" w:sz="0" w:space="0" w:color="auto"/>
                        <w:right w:val="none" w:sz="0" w:space="0" w:color="auto"/>
                      </w:divBdr>
                    </w:div>
                  </w:divsChild>
                </w:div>
                <w:div w:id="853305735">
                  <w:marLeft w:val="0"/>
                  <w:marRight w:val="0"/>
                  <w:marTop w:val="0"/>
                  <w:marBottom w:val="0"/>
                  <w:divBdr>
                    <w:top w:val="none" w:sz="0" w:space="0" w:color="auto"/>
                    <w:left w:val="none" w:sz="0" w:space="0" w:color="auto"/>
                    <w:bottom w:val="none" w:sz="0" w:space="0" w:color="auto"/>
                    <w:right w:val="none" w:sz="0" w:space="0" w:color="auto"/>
                  </w:divBdr>
                  <w:divsChild>
                    <w:div w:id="246234311">
                      <w:marLeft w:val="0"/>
                      <w:marRight w:val="0"/>
                      <w:marTop w:val="0"/>
                      <w:marBottom w:val="0"/>
                      <w:divBdr>
                        <w:top w:val="none" w:sz="0" w:space="0" w:color="auto"/>
                        <w:left w:val="none" w:sz="0" w:space="0" w:color="auto"/>
                        <w:bottom w:val="none" w:sz="0" w:space="0" w:color="auto"/>
                        <w:right w:val="none" w:sz="0" w:space="0" w:color="auto"/>
                      </w:divBdr>
                    </w:div>
                  </w:divsChild>
                </w:div>
                <w:div w:id="855460000">
                  <w:marLeft w:val="0"/>
                  <w:marRight w:val="0"/>
                  <w:marTop w:val="0"/>
                  <w:marBottom w:val="0"/>
                  <w:divBdr>
                    <w:top w:val="none" w:sz="0" w:space="0" w:color="auto"/>
                    <w:left w:val="none" w:sz="0" w:space="0" w:color="auto"/>
                    <w:bottom w:val="none" w:sz="0" w:space="0" w:color="auto"/>
                    <w:right w:val="none" w:sz="0" w:space="0" w:color="auto"/>
                  </w:divBdr>
                  <w:divsChild>
                    <w:div w:id="385681883">
                      <w:marLeft w:val="0"/>
                      <w:marRight w:val="0"/>
                      <w:marTop w:val="0"/>
                      <w:marBottom w:val="0"/>
                      <w:divBdr>
                        <w:top w:val="none" w:sz="0" w:space="0" w:color="auto"/>
                        <w:left w:val="none" w:sz="0" w:space="0" w:color="auto"/>
                        <w:bottom w:val="none" w:sz="0" w:space="0" w:color="auto"/>
                        <w:right w:val="none" w:sz="0" w:space="0" w:color="auto"/>
                      </w:divBdr>
                    </w:div>
                  </w:divsChild>
                </w:div>
                <w:div w:id="884676705">
                  <w:marLeft w:val="0"/>
                  <w:marRight w:val="0"/>
                  <w:marTop w:val="0"/>
                  <w:marBottom w:val="0"/>
                  <w:divBdr>
                    <w:top w:val="none" w:sz="0" w:space="0" w:color="auto"/>
                    <w:left w:val="none" w:sz="0" w:space="0" w:color="auto"/>
                    <w:bottom w:val="none" w:sz="0" w:space="0" w:color="auto"/>
                    <w:right w:val="none" w:sz="0" w:space="0" w:color="auto"/>
                  </w:divBdr>
                  <w:divsChild>
                    <w:div w:id="964698898">
                      <w:marLeft w:val="0"/>
                      <w:marRight w:val="0"/>
                      <w:marTop w:val="0"/>
                      <w:marBottom w:val="0"/>
                      <w:divBdr>
                        <w:top w:val="none" w:sz="0" w:space="0" w:color="auto"/>
                        <w:left w:val="none" w:sz="0" w:space="0" w:color="auto"/>
                        <w:bottom w:val="none" w:sz="0" w:space="0" w:color="auto"/>
                        <w:right w:val="none" w:sz="0" w:space="0" w:color="auto"/>
                      </w:divBdr>
                    </w:div>
                    <w:div w:id="1441683393">
                      <w:marLeft w:val="0"/>
                      <w:marRight w:val="0"/>
                      <w:marTop w:val="0"/>
                      <w:marBottom w:val="0"/>
                      <w:divBdr>
                        <w:top w:val="none" w:sz="0" w:space="0" w:color="auto"/>
                        <w:left w:val="none" w:sz="0" w:space="0" w:color="auto"/>
                        <w:bottom w:val="none" w:sz="0" w:space="0" w:color="auto"/>
                        <w:right w:val="none" w:sz="0" w:space="0" w:color="auto"/>
                      </w:divBdr>
                    </w:div>
                    <w:div w:id="1994790879">
                      <w:marLeft w:val="0"/>
                      <w:marRight w:val="0"/>
                      <w:marTop w:val="0"/>
                      <w:marBottom w:val="0"/>
                      <w:divBdr>
                        <w:top w:val="none" w:sz="0" w:space="0" w:color="auto"/>
                        <w:left w:val="none" w:sz="0" w:space="0" w:color="auto"/>
                        <w:bottom w:val="none" w:sz="0" w:space="0" w:color="auto"/>
                        <w:right w:val="none" w:sz="0" w:space="0" w:color="auto"/>
                      </w:divBdr>
                    </w:div>
                  </w:divsChild>
                </w:div>
                <w:div w:id="893583444">
                  <w:marLeft w:val="0"/>
                  <w:marRight w:val="0"/>
                  <w:marTop w:val="0"/>
                  <w:marBottom w:val="0"/>
                  <w:divBdr>
                    <w:top w:val="none" w:sz="0" w:space="0" w:color="auto"/>
                    <w:left w:val="none" w:sz="0" w:space="0" w:color="auto"/>
                    <w:bottom w:val="none" w:sz="0" w:space="0" w:color="auto"/>
                    <w:right w:val="none" w:sz="0" w:space="0" w:color="auto"/>
                  </w:divBdr>
                  <w:divsChild>
                    <w:div w:id="499657656">
                      <w:marLeft w:val="0"/>
                      <w:marRight w:val="0"/>
                      <w:marTop w:val="0"/>
                      <w:marBottom w:val="0"/>
                      <w:divBdr>
                        <w:top w:val="none" w:sz="0" w:space="0" w:color="auto"/>
                        <w:left w:val="none" w:sz="0" w:space="0" w:color="auto"/>
                        <w:bottom w:val="none" w:sz="0" w:space="0" w:color="auto"/>
                        <w:right w:val="none" w:sz="0" w:space="0" w:color="auto"/>
                      </w:divBdr>
                    </w:div>
                  </w:divsChild>
                </w:div>
                <w:div w:id="909541204">
                  <w:marLeft w:val="0"/>
                  <w:marRight w:val="0"/>
                  <w:marTop w:val="0"/>
                  <w:marBottom w:val="0"/>
                  <w:divBdr>
                    <w:top w:val="none" w:sz="0" w:space="0" w:color="auto"/>
                    <w:left w:val="none" w:sz="0" w:space="0" w:color="auto"/>
                    <w:bottom w:val="none" w:sz="0" w:space="0" w:color="auto"/>
                    <w:right w:val="none" w:sz="0" w:space="0" w:color="auto"/>
                  </w:divBdr>
                  <w:divsChild>
                    <w:div w:id="743531281">
                      <w:marLeft w:val="0"/>
                      <w:marRight w:val="0"/>
                      <w:marTop w:val="0"/>
                      <w:marBottom w:val="0"/>
                      <w:divBdr>
                        <w:top w:val="none" w:sz="0" w:space="0" w:color="auto"/>
                        <w:left w:val="none" w:sz="0" w:space="0" w:color="auto"/>
                        <w:bottom w:val="none" w:sz="0" w:space="0" w:color="auto"/>
                        <w:right w:val="none" w:sz="0" w:space="0" w:color="auto"/>
                      </w:divBdr>
                    </w:div>
                  </w:divsChild>
                </w:div>
                <w:div w:id="914975303">
                  <w:marLeft w:val="0"/>
                  <w:marRight w:val="0"/>
                  <w:marTop w:val="0"/>
                  <w:marBottom w:val="0"/>
                  <w:divBdr>
                    <w:top w:val="none" w:sz="0" w:space="0" w:color="auto"/>
                    <w:left w:val="none" w:sz="0" w:space="0" w:color="auto"/>
                    <w:bottom w:val="none" w:sz="0" w:space="0" w:color="auto"/>
                    <w:right w:val="none" w:sz="0" w:space="0" w:color="auto"/>
                  </w:divBdr>
                  <w:divsChild>
                    <w:div w:id="662662643">
                      <w:marLeft w:val="0"/>
                      <w:marRight w:val="0"/>
                      <w:marTop w:val="0"/>
                      <w:marBottom w:val="0"/>
                      <w:divBdr>
                        <w:top w:val="none" w:sz="0" w:space="0" w:color="auto"/>
                        <w:left w:val="none" w:sz="0" w:space="0" w:color="auto"/>
                        <w:bottom w:val="none" w:sz="0" w:space="0" w:color="auto"/>
                        <w:right w:val="none" w:sz="0" w:space="0" w:color="auto"/>
                      </w:divBdr>
                    </w:div>
                  </w:divsChild>
                </w:div>
                <w:div w:id="925920329">
                  <w:marLeft w:val="0"/>
                  <w:marRight w:val="0"/>
                  <w:marTop w:val="0"/>
                  <w:marBottom w:val="0"/>
                  <w:divBdr>
                    <w:top w:val="none" w:sz="0" w:space="0" w:color="auto"/>
                    <w:left w:val="none" w:sz="0" w:space="0" w:color="auto"/>
                    <w:bottom w:val="none" w:sz="0" w:space="0" w:color="auto"/>
                    <w:right w:val="none" w:sz="0" w:space="0" w:color="auto"/>
                  </w:divBdr>
                  <w:divsChild>
                    <w:div w:id="1441871030">
                      <w:marLeft w:val="0"/>
                      <w:marRight w:val="0"/>
                      <w:marTop w:val="0"/>
                      <w:marBottom w:val="0"/>
                      <w:divBdr>
                        <w:top w:val="none" w:sz="0" w:space="0" w:color="auto"/>
                        <w:left w:val="none" w:sz="0" w:space="0" w:color="auto"/>
                        <w:bottom w:val="none" w:sz="0" w:space="0" w:color="auto"/>
                        <w:right w:val="none" w:sz="0" w:space="0" w:color="auto"/>
                      </w:divBdr>
                    </w:div>
                  </w:divsChild>
                </w:div>
                <w:div w:id="938636377">
                  <w:marLeft w:val="0"/>
                  <w:marRight w:val="0"/>
                  <w:marTop w:val="0"/>
                  <w:marBottom w:val="0"/>
                  <w:divBdr>
                    <w:top w:val="none" w:sz="0" w:space="0" w:color="auto"/>
                    <w:left w:val="none" w:sz="0" w:space="0" w:color="auto"/>
                    <w:bottom w:val="none" w:sz="0" w:space="0" w:color="auto"/>
                    <w:right w:val="none" w:sz="0" w:space="0" w:color="auto"/>
                  </w:divBdr>
                  <w:divsChild>
                    <w:div w:id="561796046">
                      <w:marLeft w:val="0"/>
                      <w:marRight w:val="0"/>
                      <w:marTop w:val="0"/>
                      <w:marBottom w:val="0"/>
                      <w:divBdr>
                        <w:top w:val="none" w:sz="0" w:space="0" w:color="auto"/>
                        <w:left w:val="none" w:sz="0" w:space="0" w:color="auto"/>
                        <w:bottom w:val="none" w:sz="0" w:space="0" w:color="auto"/>
                        <w:right w:val="none" w:sz="0" w:space="0" w:color="auto"/>
                      </w:divBdr>
                    </w:div>
                  </w:divsChild>
                </w:div>
                <w:div w:id="941651229">
                  <w:marLeft w:val="0"/>
                  <w:marRight w:val="0"/>
                  <w:marTop w:val="0"/>
                  <w:marBottom w:val="0"/>
                  <w:divBdr>
                    <w:top w:val="none" w:sz="0" w:space="0" w:color="auto"/>
                    <w:left w:val="none" w:sz="0" w:space="0" w:color="auto"/>
                    <w:bottom w:val="none" w:sz="0" w:space="0" w:color="auto"/>
                    <w:right w:val="none" w:sz="0" w:space="0" w:color="auto"/>
                  </w:divBdr>
                  <w:divsChild>
                    <w:div w:id="556164738">
                      <w:marLeft w:val="0"/>
                      <w:marRight w:val="0"/>
                      <w:marTop w:val="0"/>
                      <w:marBottom w:val="0"/>
                      <w:divBdr>
                        <w:top w:val="none" w:sz="0" w:space="0" w:color="auto"/>
                        <w:left w:val="none" w:sz="0" w:space="0" w:color="auto"/>
                        <w:bottom w:val="none" w:sz="0" w:space="0" w:color="auto"/>
                        <w:right w:val="none" w:sz="0" w:space="0" w:color="auto"/>
                      </w:divBdr>
                    </w:div>
                  </w:divsChild>
                </w:div>
                <w:div w:id="944389884">
                  <w:marLeft w:val="0"/>
                  <w:marRight w:val="0"/>
                  <w:marTop w:val="0"/>
                  <w:marBottom w:val="0"/>
                  <w:divBdr>
                    <w:top w:val="none" w:sz="0" w:space="0" w:color="auto"/>
                    <w:left w:val="none" w:sz="0" w:space="0" w:color="auto"/>
                    <w:bottom w:val="none" w:sz="0" w:space="0" w:color="auto"/>
                    <w:right w:val="none" w:sz="0" w:space="0" w:color="auto"/>
                  </w:divBdr>
                  <w:divsChild>
                    <w:div w:id="1515220054">
                      <w:marLeft w:val="0"/>
                      <w:marRight w:val="0"/>
                      <w:marTop w:val="0"/>
                      <w:marBottom w:val="0"/>
                      <w:divBdr>
                        <w:top w:val="none" w:sz="0" w:space="0" w:color="auto"/>
                        <w:left w:val="none" w:sz="0" w:space="0" w:color="auto"/>
                        <w:bottom w:val="none" w:sz="0" w:space="0" w:color="auto"/>
                        <w:right w:val="none" w:sz="0" w:space="0" w:color="auto"/>
                      </w:divBdr>
                    </w:div>
                  </w:divsChild>
                </w:div>
                <w:div w:id="972177016">
                  <w:marLeft w:val="0"/>
                  <w:marRight w:val="0"/>
                  <w:marTop w:val="0"/>
                  <w:marBottom w:val="0"/>
                  <w:divBdr>
                    <w:top w:val="none" w:sz="0" w:space="0" w:color="auto"/>
                    <w:left w:val="none" w:sz="0" w:space="0" w:color="auto"/>
                    <w:bottom w:val="none" w:sz="0" w:space="0" w:color="auto"/>
                    <w:right w:val="none" w:sz="0" w:space="0" w:color="auto"/>
                  </w:divBdr>
                  <w:divsChild>
                    <w:div w:id="680819722">
                      <w:marLeft w:val="0"/>
                      <w:marRight w:val="0"/>
                      <w:marTop w:val="0"/>
                      <w:marBottom w:val="0"/>
                      <w:divBdr>
                        <w:top w:val="none" w:sz="0" w:space="0" w:color="auto"/>
                        <w:left w:val="none" w:sz="0" w:space="0" w:color="auto"/>
                        <w:bottom w:val="none" w:sz="0" w:space="0" w:color="auto"/>
                        <w:right w:val="none" w:sz="0" w:space="0" w:color="auto"/>
                      </w:divBdr>
                    </w:div>
                  </w:divsChild>
                </w:div>
                <w:div w:id="999818074">
                  <w:marLeft w:val="0"/>
                  <w:marRight w:val="0"/>
                  <w:marTop w:val="0"/>
                  <w:marBottom w:val="0"/>
                  <w:divBdr>
                    <w:top w:val="none" w:sz="0" w:space="0" w:color="auto"/>
                    <w:left w:val="none" w:sz="0" w:space="0" w:color="auto"/>
                    <w:bottom w:val="none" w:sz="0" w:space="0" w:color="auto"/>
                    <w:right w:val="none" w:sz="0" w:space="0" w:color="auto"/>
                  </w:divBdr>
                  <w:divsChild>
                    <w:div w:id="1735086404">
                      <w:marLeft w:val="0"/>
                      <w:marRight w:val="0"/>
                      <w:marTop w:val="0"/>
                      <w:marBottom w:val="0"/>
                      <w:divBdr>
                        <w:top w:val="none" w:sz="0" w:space="0" w:color="auto"/>
                        <w:left w:val="none" w:sz="0" w:space="0" w:color="auto"/>
                        <w:bottom w:val="none" w:sz="0" w:space="0" w:color="auto"/>
                        <w:right w:val="none" w:sz="0" w:space="0" w:color="auto"/>
                      </w:divBdr>
                    </w:div>
                  </w:divsChild>
                </w:div>
                <w:div w:id="1000933764">
                  <w:marLeft w:val="0"/>
                  <w:marRight w:val="0"/>
                  <w:marTop w:val="0"/>
                  <w:marBottom w:val="0"/>
                  <w:divBdr>
                    <w:top w:val="none" w:sz="0" w:space="0" w:color="auto"/>
                    <w:left w:val="none" w:sz="0" w:space="0" w:color="auto"/>
                    <w:bottom w:val="none" w:sz="0" w:space="0" w:color="auto"/>
                    <w:right w:val="none" w:sz="0" w:space="0" w:color="auto"/>
                  </w:divBdr>
                  <w:divsChild>
                    <w:div w:id="346369639">
                      <w:marLeft w:val="0"/>
                      <w:marRight w:val="0"/>
                      <w:marTop w:val="0"/>
                      <w:marBottom w:val="0"/>
                      <w:divBdr>
                        <w:top w:val="none" w:sz="0" w:space="0" w:color="auto"/>
                        <w:left w:val="none" w:sz="0" w:space="0" w:color="auto"/>
                        <w:bottom w:val="none" w:sz="0" w:space="0" w:color="auto"/>
                        <w:right w:val="none" w:sz="0" w:space="0" w:color="auto"/>
                      </w:divBdr>
                    </w:div>
                  </w:divsChild>
                </w:div>
                <w:div w:id="1002008256">
                  <w:marLeft w:val="0"/>
                  <w:marRight w:val="0"/>
                  <w:marTop w:val="0"/>
                  <w:marBottom w:val="0"/>
                  <w:divBdr>
                    <w:top w:val="none" w:sz="0" w:space="0" w:color="auto"/>
                    <w:left w:val="none" w:sz="0" w:space="0" w:color="auto"/>
                    <w:bottom w:val="none" w:sz="0" w:space="0" w:color="auto"/>
                    <w:right w:val="none" w:sz="0" w:space="0" w:color="auto"/>
                  </w:divBdr>
                  <w:divsChild>
                    <w:div w:id="2105300122">
                      <w:marLeft w:val="0"/>
                      <w:marRight w:val="0"/>
                      <w:marTop w:val="0"/>
                      <w:marBottom w:val="0"/>
                      <w:divBdr>
                        <w:top w:val="none" w:sz="0" w:space="0" w:color="auto"/>
                        <w:left w:val="none" w:sz="0" w:space="0" w:color="auto"/>
                        <w:bottom w:val="none" w:sz="0" w:space="0" w:color="auto"/>
                        <w:right w:val="none" w:sz="0" w:space="0" w:color="auto"/>
                      </w:divBdr>
                    </w:div>
                  </w:divsChild>
                </w:div>
                <w:div w:id="1010260041">
                  <w:marLeft w:val="0"/>
                  <w:marRight w:val="0"/>
                  <w:marTop w:val="0"/>
                  <w:marBottom w:val="0"/>
                  <w:divBdr>
                    <w:top w:val="none" w:sz="0" w:space="0" w:color="auto"/>
                    <w:left w:val="none" w:sz="0" w:space="0" w:color="auto"/>
                    <w:bottom w:val="none" w:sz="0" w:space="0" w:color="auto"/>
                    <w:right w:val="none" w:sz="0" w:space="0" w:color="auto"/>
                  </w:divBdr>
                  <w:divsChild>
                    <w:div w:id="1373650503">
                      <w:marLeft w:val="0"/>
                      <w:marRight w:val="0"/>
                      <w:marTop w:val="0"/>
                      <w:marBottom w:val="0"/>
                      <w:divBdr>
                        <w:top w:val="none" w:sz="0" w:space="0" w:color="auto"/>
                        <w:left w:val="none" w:sz="0" w:space="0" w:color="auto"/>
                        <w:bottom w:val="none" w:sz="0" w:space="0" w:color="auto"/>
                        <w:right w:val="none" w:sz="0" w:space="0" w:color="auto"/>
                      </w:divBdr>
                    </w:div>
                  </w:divsChild>
                </w:div>
                <w:div w:id="1021126913">
                  <w:marLeft w:val="0"/>
                  <w:marRight w:val="0"/>
                  <w:marTop w:val="0"/>
                  <w:marBottom w:val="0"/>
                  <w:divBdr>
                    <w:top w:val="none" w:sz="0" w:space="0" w:color="auto"/>
                    <w:left w:val="none" w:sz="0" w:space="0" w:color="auto"/>
                    <w:bottom w:val="none" w:sz="0" w:space="0" w:color="auto"/>
                    <w:right w:val="none" w:sz="0" w:space="0" w:color="auto"/>
                  </w:divBdr>
                  <w:divsChild>
                    <w:div w:id="121658526">
                      <w:marLeft w:val="0"/>
                      <w:marRight w:val="0"/>
                      <w:marTop w:val="0"/>
                      <w:marBottom w:val="0"/>
                      <w:divBdr>
                        <w:top w:val="none" w:sz="0" w:space="0" w:color="auto"/>
                        <w:left w:val="none" w:sz="0" w:space="0" w:color="auto"/>
                        <w:bottom w:val="none" w:sz="0" w:space="0" w:color="auto"/>
                        <w:right w:val="none" w:sz="0" w:space="0" w:color="auto"/>
                      </w:divBdr>
                    </w:div>
                  </w:divsChild>
                </w:div>
                <w:div w:id="1039161609">
                  <w:marLeft w:val="0"/>
                  <w:marRight w:val="0"/>
                  <w:marTop w:val="0"/>
                  <w:marBottom w:val="0"/>
                  <w:divBdr>
                    <w:top w:val="none" w:sz="0" w:space="0" w:color="auto"/>
                    <w:left w:val="none" w:sz="0" w:space="0" w:color="auto"/>
                    <w:bottom w:val="none" w:sz="0" w:space="0" w:color="auto"/>
                    <w:right w:val="none" w:sz="0" w:space="0" w:color="auto"/>
                  </w:divBdr>
                  <w:divsChild>
                    <w:div w:id="88237130">
                      <w:marLeft w:val="0"/>
                      <w:marRight w:val="0"/>
                      <w:marTop w:val="0"/>
                      <w:marBottom w:val="0"/>
                      <w:divBdr>
                        <w:top w:val="none" w:sz="0" w:space="0" w:color="auto"/>
                        <w:left w:val="none" w:sz="0" w:space="0" w:color="auto"/>
                        <w:bottom w:val="none" w:sz="0" w:space="0" w:color="auto"/>
                        <w:right w:val="none" w:sz="0" w:space="0" w:color="auto"/>
                      </w:divBdr>
                    </w:div>
                    <w:div w:id="333069208">
                      <w:marLeft w:val="0"/>
                      <w:marRight w:val="0"/>
                      <w:marTop w:val="0"/>
                      <w:marBottom w:val="0"/>
                      <w:divBdr>
                        <w:top w:val="none" w:sz="0" w:space="0" w:color="auto"/>
                        <w:left w:val="none" w:sz="0" w:space="0" w:color="auto"/>
                        <w:bottom w:val="none" w:sz="0" w:space="0" w:color="auto"/>
                        <w:right w:val="none" w:sz="0" w:space="0" w:color="auto"/>
                      </w:divBdr>
                    </w:div>
                    <w:div w:id="1967155774">
                      <w:marLeft w:val="0"/>
                      <w:marRight w:val="0"/>
                      <w:marTop w:val="0"/>
                      <w:marBottom w:val="0"/>
                      <w:divBdr>
                        <w:top w:val="none" w:sz="0" w:space="0" w:color="auto"/>
                        <w:left w:val="none" w:sz="0" w:space="0" w:color="auto"/>
                        <w:bottom w:val="none" w:sz="0" w:space="0" w:color="auto"/>
                        <w:right w:val="none" w:sz="0" w:space="0" w:color="auto"/>
                      </w:divBdr>
                    </w:div>
                  </w:divsChild>
                </w:div>
                <w:div w:id="1047141502">
                  <w:marLeft w:val="0"/>
                  <w:marRight w:val="0"/>
                  <w:marTop w:val="0"/>
                  <w:marBottom w:val="0"/>
                  <w:divBdr>
                    <w:top w:val="none" w:sz="0" w:space="0" w:color="auto"/>
                    <w:left w:val="none" w:sz="0" w:space="0" w:color="auto"/>
                    <w:bottom w:val="none" w:sz="0" w:space="0" w:color="auto"/>
                    <w:right w:val="none" w:sz="0" w:space="0" w:color="auto"/>
                  </w:divBdr>
                  <w:divsChild>
                    <w:div w:id="1436361175">
                      <w:marLeft w:val="0"/>
                      <w:marRight w:val="0"/>
                      <w:marTop w:val="0"/>
                      <w:marBottom w:val="0"/>
                      <w:divBdr>
                        <w:top w:val="none" w:sz="0" w:space="0" w:color="auto"/>
                        <w:left w:val="none" w:sz="0" w:space="0" w:color="auto"/>
                        <w:bottom w:val="none" w:sz="0" w:space="0" w:color="auto"/>
                        <w:right w:val="none" w:sz="0" w:space="0" w:color="auto"/>
                      </w:divBdr>
                    </w:div>
                  </w:divsChild>
                </w:div>
                <w:div w:id="1052928184">
                  <w:marLeft w:val="0"/>
                  <w:marRight w:val="0"/>
                  <w:marTop w:val="0"/>
                  <w:marBottom w:val="0"/>
                  <w:divBdr>
                    <w:top w:val="none" w:sz="0" w:space="0" w:color="auto"/>
                    <w:left w:val="none" w:sz="0" w:space="0" w:color="auto"/>
                    <w:bottom w:val="none" w:sz="0" w:space="0" w:color="auto"/>
                    <w:right w:val="none" w:sz="0" w:space="0" w:color="auto"/>
                  </w:divBdr>
                  <w:divsChild>
                    <w:div w:id="311637414">
                      <w:marLeft w:val="0"/>
                      <w:marRight w:val="0"/>
                      <w:marTop w:val="0"/>
                      <w:marBottom w:val="0"/>
                      <w:divBdr>
                        <w:top w:val="none" w:sz="0" w:space="0" w:color="auto"/>
                        <w:left w:val="none" w:sz="0" w:space="0" w:color="auto"/>
                        <w:bottom w:val="none" w:sz="0" w:space="0" w:color="auto"/>
                        <w:right w:val="none" w:sz="0" w:space="0" w:color="auto"/>
                      </w:divBdr>
                    </w:div>
                  </w:divsChild>
                </w:div>
                <w:div w:id="1073238155">
                  <w:marLeft w:val="0"/>
                  <w:marRight w:val="0"/>
                  <w:marTop w:val="0"/>
                  <w:marBottom w:val="0"/>
                  <w:divBdr>
                    <w:top w:val="none" w:sz="0" w:space="0" w:color="auto"/>
                    <w:left w:val="none" w:sz="0" w:space="0" w:color="auto"/>
                    <w:bottom w:val="none" w:sz="0" w:space="0" w:color="auto"/>
                    <w:right w:val="none" w:sz="0" w:space="0" w:color="auto"/>
                  </w:divBdr>
                  <w:divsChild>
                    <w:div w:id="1012491353">
                      <w:marLeft w:val="0"/>
                      <w:marRight w:val="0"/>
                      <w:marTop w:val="0"/>
                      <w:marBottom w:val="0"/>
                      <w:divBdr>
                        <w:top w:val="none" w:sz="0" w:space="0" w:color="auto"/>
                        <w:left w:val="none" w:sz="0" w:space="0" w:color="auto"/>
                        <w:bottom w:val="none" w:sz="0" w:space="0" w:color="auto"/>
                        <w:right w:val="none" w:sz="0" w:space="0" w:color="auto"/>
                      </w:divBdr>
                    </w:div>
                  </w:divsChild>
                </w:div>
                <w:div w:id="1073551973">
                  <w:marLeft w:val="0"/>
                  <w:marRight w:val="0"/>
                  <w:marTop w:val="0"/>
                  <w:marBottom w:val="0"/>
                  <w:divBdr>
                    <w:top w:val="none" w:sz="0" w:space="0" w:color="auto"/>
                    <w:left w:val="none" w:sz="0" w:space="0" w:color="auto"/>
                    <w:bottom w:val="none" w:sz="0" w:space="0" w:color="auto"/>
                    <w:right w:val="none" w:sz="0" w:space="0" w:color="auto"/>
                  </w:divBdr>
                  <w:divsChild>
                    <w:div w:id="1412505767">
                      <w:marLeft w:val="0"/>
                      <w:marRight w:val="0"/>
                      <w:marTop w:val="0"/>
                      <w:marBottom w:val="0"/>
                      <w:divBdr>
                        <w:top w:val="none" w:sz="0" w:space="0" w:color="auto"/>
                        <w:left w:val="none" w:sz="0" w:space="0" w:color="auto"/>
                        <w:bottom w:val="none" w:sz="0" w:space="0" w:color="auto"/>
                        <w:right w:val="none" w:sz="0" w:space="0" w:color="auto"/>
                      </w:divBdr>
                    </w:div>
                  </w:divsChild>
                </w:div>
                <w:div w:id="1085495962">
                  <w:marLeft w:val="0"/>
                  <w:marRight w:val="0"/>
                  <w:marTop w:val="0"/>
                  <w:marBottom w:val="0"/>
                  <w:divBdr>
                    <w:top w:val="none" w:sz="0" w:space="0" w:color="auto"/>
                    <w:left w:val="none" w:sz="0" w:space="0" w:color="auto"/>
                    <w:bottom w:val="none" w:sz="0" w:space="0" w:color="auto"/>
                    <w:right w:val="none" w:sz="0" w:space="0" w:color="auto"/>
                  </w:divBdr>
                  <w:divsChild>
                    <w:div w:id="931475995">
                      <w:marLeft w:val="0"/>
                      <w:marRight w:val="0"/>
                      <w:marTop w:val="0"/>
                      <w:marBottom w:val="0"/>
                      <w:divBdr>
                        <w:top w:val="none" w:sz="0" w:space="0" w:color="auto"/>
                        <w:left w:val="none" w:sz="0" w:space="0" w:color="auto"/>
                        <w:bottom w:val="none" w:sz="0" w:space="0" w:color="auto"/>
                        <w:right w:val="none" w:sz="0" w:space="0" w:color="auto"/>
                      </w:divBdr>
                    </w:div>
                  </w:divsChild>
                </w:div>
                <w:div w:id="1086924775">
                  <w:marLeft w:val="0"/>
                  <w:marRight w:val="0"/>
                  <w:marTop w:val="0"/>
                  <w:marBottom w:val="0"/>
                  <w:divBdr>
                    <w:top w:val="none" w:sz="0" w:space="0" w:color="auto"/>
                    <w:left w:val="none" w:sz="0" w:space="0" w:color="auto"/>
                    <w:bottom w:val="none" w:sz="0" w:space="0" w:color="auto"/>
                    <w:right w:val="none" w:sz="0" w:space="0" w:color="auto"/>
                  </w:divBdr>
                  <w:divsChild>
                    <w:div w:id="1674528191">
                      <w:marLeft w:val="0"/>
                      <w:marRight w:val="0"/>
                      <w:marTop w:val="0"/>
                      <w:marBottom w:val="0"/>
                      <w:divBdr>
                        <w:top w:val="none" w:sz="0" w:space="0" w:color="auto"/>
                        <w:left w:val="none" w:sz="0" w:space="0" w:color="auto"/>
                        <w:bottom w:val="none" w:sz="0" w:space="0" w:color="auto"/>
                        <w:right w:val="none" w:sz="0" w:space="0" w:color="auto"/>
                      </w:divBdr>
                    </w:div>
                  </w:divsChild>
                </w:div>
                <w:div w:id="1088381660">
                  <w:marLeft w:val="0"/>
                  <w:marRight w:val="0"/>
                  <w:marTop w:val="0"/>
                  <w:marBottom w:val="0"/>
                  <w:divBdr>
                    <w:top w:val="none" w:sz="0" w:space="0" w:color="auto"/>
                    <w:left w:val="none" w:sz="0" w:space="0" w:color="auto"/>
                    <w:bottom w:val="none" w:sz="0" w:space="0" w:color="auto"/>
                    <w:right w:val="none" w:sz="0" w:space="0" w:color="auto"/>
                  </w:divBdr>
                  <w:divsChild>
                    <w:div w:id="135877268">
                      <w:marLeft w:val="0"/>
                      <w:marRight w:val="0"/>
                      <w:marTop w:val="0"/>
                      <w:marBottom w:val="0"/>
                      <w:divBdr>
                        <w:top w:val="none" w:sz="0" w:space="0" w:color="auto"/>
                        <w:left w:val="none" w:sz="0" w:space="0" w:color="auto"/>
                        <w:bottom w:val="none" w:sz="0" w:space="0" w:color="auto"/>
                        <w:right w:val="none" w:sz="0" w:space="0" w:color="auto"/>
                      </w:divBdr>
                    </w:div>
                    <w:div w:id="622927512">
                      <w:marLeft w:val="0"/>
                      <w:marRight w:val="0"/>
                      <w:marTop w:val="0"/>
                      <w:marBottom w:val="0"/>
                      <w:divBdr>
                        <w:top w:val="none" w:sz="0" w:space="0" w:color="auto"/>
                        <w:left w:val="none" w:sz="0" w:space="0" w:color="auto"/>
                        <w:bottom w:val="none" w:sz="0" w:space="0" w:color="auto"/>
                        <w:right w:val="none" w:sz="0" w:space="0" w:color="auto"/>
                      </w:divBdr>
                    </w:div>
                  </w:divsChild>
                </w:div>
                <w:div w:id="1089230740">
                  <w:marLeft w:val="0"/>
                  <w:marRight w:val="0"/>
                  <w:marTop w:val="0"/>
                  <w:marBottom w:val="0"/>
                  <w:divBdr>
                    <w:top w:val="none" w:sz="0" w:space="0" w:color="auto"/>
                    <w:left w:val="none" w:sz="0" w:space="0" w:color="auto"/>
                    <w:bottom w:val="none" w:sz="0" w:space="0" w:color="auto"/>
                    <w:right w:val="none" w:sz="0" w:space="0" w:color="auto"/>
                  </w:divBdr>
                  <w:divsChild>
                    <w:div w:id="860437690">
                      <w:marLeft w:val="0"/>
                      <w:marRight w:val="0"/>
                      <w:marTop w:val="0"/>
                      <w:marBottom w:val="0"/>
                      <w:divBdr>
                        <w:top w:val="none" w:sz="0" w:space="0" w:color="auto"/>
                        <w:left w:val="none" w:sz="0" w:space="0" w:color="auto"/>
                        <w:bottom w:val="none" w:sz="0" w:space="0" w:color="auto"/>
                        <w:right w:val="none" w:sz="0" w:space="0" w:color="auto"/>
                      </w:divBdr>
                    </w:div>
                  </w:divsChild>
                </w:div>
                <w:div w:id="1098017224">
                  <w:marLeft w:val="0"/>
                  <w:marRight w:val="0"/>
                  <w:marTop w:val="0"/>
                  <w:marBottom w:val="0"/>
                  <w:divBdr>
                    <w:top w:val="none" w:sz="0" w:space="0" w:color="auto"/>
                    <w:left w:val="none" w:sz="0" w:space="0" w:color="auto"/>
                    <w:bottom w:val="none" w:sz="0" w:space="0" w:color="auto"/>
                    <w:right w:val="none" w:sz="0" w:space="0" w:color="auto"/>
                  </w:divBdr>
                  <w:divsChild>
                    <w:div w:id="1522552482">
                      <w:marLeft w:val="0"/>
                      <w:marRight w:val="0"/>
                      <w:marTop w:val="0"/>
                      <w:marBottom w:val="0"/>
                      <w:divBdr>
                        <w:top w:val="none" w:sz="0" w:space="0" w:color="auto"/>
                        <w:left w:val="none" w:sz="0" w:space="0" w:color="auto"/>
                        <w:bottom w:val="none" w:sz="0" w:space="0" w:color="auto"/>
                        <w:right w:val="none" w:sz="0" w:space="0" w:color="auto"/>
                      </w:divBdr>
                    </w:div>
                  </w:divsChild>
                </w:div>
                <w:div w:id="1102262946">
                  <w:marLeft w:val="0"/>
                  <w:marRight w:val="0"/>
                  <w:marTop w:val="0"/>
                  <w:marBottom w:val="0"/>
                  <w:divBdr>
                    <w:top w:val="none" w:sz="0" w:space="0" w:color="auto"/>
                    <w:left w:val="none" w:sz="0" w:space="0" w:color="auto"/>
                    <w:bottom w:val="none" w:sz="0" w:space="0" w:color="auto"/>
                    <w:right w:val="none" w:sz="0" w:space="0" w:color="auto"/>
                  </w:divBdr>
                  <w:divsChild>
                    <w:div w:id="408505207">
                      <w:marLeft w:val="0"/>
                      <w:marRight w:val="0"/>
                      <w:marTop w:val="0"/>
                      <w:marBottom w:val="0"/>
                      <w:divBdr>
                        <w:top w:val="none" w:sz="0" w:space="0" w:color="auto"/>
                        <w:left w:val="none" w:sz="0" w:space="0" w:color="auto"/>
                        <w:bottom w:val="none" w:sz="0" w:space="0" w:color="auto"/>
                        <w:right w:val="none" w:sz="0" w:space="0" w:color="auto"/>
                      </w:divBdr>
                    </w:div>
                  </w:divsChild>
                </w:div>
                <w:div w:id="1122648562">
                  <w:marLeft w:val="0"/>
                  <w:marRight w:val="0"/>
                  <w:marTop w:val="0"/>
                  <w:marBottom w:val="0"/>
                  <w:divBdr>
                    <w:top w:val="none" w:sz="0" w:space="0" w:color="auto"/>
                    <w:left w:val="none" w:sz="0" w:space="0" w:color="auto"/>
                    <w:bottom w:val="none" w:sz="0" w:space="0" w:color="auto"/>
                    <w:right w:val="none" w:sz="0" w:space="0" w:color="auto"/>
                  </w:divBdr>
                  <w:divsChild>
                    <w:div w:id="1377241187">
                      <w:marLeft w:val="0"/>
                      <w:marRight w:val="0"/>
                      <w:marTop w:val="0"/>
                      <w:marBottom w:val="0"/>
                      <w:divBdr>
                        <w:top w:val="none" w:sz="0" w:space="0" w:color="auto"/>
                        <w:left w:val="none" w:sz="0" w:space="0" w:color="auto"/>
                        <w:bottom w:val="none" w:sz="0" w:space="0" w:color="auto"/>
                        <w:right w:val="none" w:sz="0" w:space="0" w:color="auto"/>
                      </w:divBdr>
                    </w:div>
                  </w:divsChild>
                </w:div>
                <w:div w:id="1128933701">
                  <w:marLeft w:val="0"/>
                  <w:marRight w:val="0"/>
                  <w:marTop w:val="0"/>
                  <w:marBottom w:val="0"/>
                  <w:divBdr>
                    <w:top w:val="none" w:sz="0" w:space="0" w:color="auto"/>
                    <w:left w:val="none" w:sz="0" w:space="0" w:color="auto"/>
                    <w:bottom w:val="none" w:sz="0" w:space="0" w:color="auto"/>
                    <w:right w:val="none" w:sz="0" w:space="0" w:color="auto"/>
                  </w:divBdr>
                  <w:divsChild>
                    <w:div w:id="1069613538">
                      <w:marLeft w:val="0"/>
                      <w:marRight w:val="0"/>
                      <w:marTop w:val="0"/>
                      <w:marBottom w:val="0"/>
                      <w:divBdr>
                        <w:top w:val="none" w:sz="0" w:space="0" w:color="auto"/>
                        <w:left w:val="none" w:sz="0" w:space="0" w:color="auto"/>
                        <w:bottom w:val="none" w:sz="0" w:space="0" w:color="auto"/>
                        <w:right w:val="none" w:sz="0" w:space="0" w:color="auto"/>
                      </w:divBdr>
                    </w:div>
                  </w:divsChild>
                </w:div>
                <w:div w:id="1155951035">
                  <w:marLeft w:val="0"/>
                  <w:marRight w:val="0"/>
                  <w:marTop w:val="0"/>
                  <w:marBottom w:val="0"/>
                  <w:divBdr>
                    <w:top w:val="none" w:sz="0" w:space="0" w:color="auto"/>
                    <w:left w:val="none" w:sz="0" w:space="0" w:color="auto"/>
                    <w:bottom w:val="none" w:sz="0" w:space="0" w:color="auto"/>
                    <w:right w:val="none" w:sz="0" w:space="0" w:color="auto"/>
                  </w:divBdr>
                  <w:divsChild>
                    <w:div w:id="2037735679">
                      <w:marLeft w:val="0"/>
                      <w:marRight w:val="0"/>
                      <w:marTop w:val="0"/>
                      <w:marBottom w:val="0"/>
                      <w:divBdr>
                        <w:top w:val="none" w:sz="0" w:space="0" w:color="auto"/>
                        <w:left w:val="none" w:sz="0" w:space="0" w:color="auto"/>
                        <w:bottom w:val="none" w:sz="0" w:space="0" w:color="auto"/>
                        <w:right w:val="none" w:sz="0" w:space="0" w:color="auto"/>
                      </w:divBdr>
                    </w:div>
                  </w:divsChild>
                </w:div>
                <w:div w:id="1165776407">
                  <w:marLeft w:val="0"/>
                  <w:marRight w:val="0"/>
                  <w:marTop w:val="0"/>
                  <w:marBottom w:val="0"/>
                  <w:divBdr>
                    <w:top w:val="none" w:sz="0" w:space="0" w:color="auto"/>
                    <w:left w:val="none" w:sz="0" w:space="0" w:color="auto"/>
                    <w:bottom w:val="none" w:sz="0" w:space="0" w:color="auto"/>
                    <w:right w:val="none" w:sz="0" w:space="0" w:color="auto"/>
                  </w:divBdr>
                  <w:divsChild>
                    <w:div w:id="1214347821">
                      <w:marLeft w:val="0"/>
                      <w:marRight w:val="0"/>
                      <w:marTop w:val="0"/>
                      <w:marBottom w:val="0"/>
                      <w:divBdr>
                        <w:top w:val="none" w:sz="0" w:space="0" w:color="auto"/>
                        <w:left w:val="none" w:sz="0" w:space="0" w:color="auto"/>
                        <w:bottom w:val="none" w:sz="0" w:space="0" w:color="auto"/>
                        <w:right w:val="none" w:sz="0" w:space="0" w:color="auto"/>
                      </w:divBdr>
                    </w:div>
                  </w:divsChild>
                </w:div>
                <w:div w:id="1165828390">
                  <w:marLeft w:val="0"/>
                  <w:marRight w:val="0"/>
                  <w:marTop w:val="0"/>
                  <w:marBottom w:val="0"/>
                  <w:divBdr>
                    <w:top w:val="none" w:sz="0" w:space="0" w:color="auto"/>
                    <w:left w:val="none" w:sz="0" w:space="0" w:color="auto"/>
                    <w:bottom w:val="none" w:sz="0" w:space="0" w:color="auto"/>
                    <w:right w:val="none" w:sz="0" w:space="0" w:color="auto"/>
                  </w:divBdr>
                  <w:divsChild>
                    <w:div w:id="562134327">
                      <w:marLeft w:val="0"/>
                      <w:marRight w:val="0"/>
                      <w:marTop w:val="0"/>
                      <w:marBottom w:val="0"/>
                      <w:divBdr>
                        <w:top w:val="none" w:sz="0" w:space="0" w:color="auto"/>
                        <w:left w:val="none" w:sz="0" w:space="0" w:color="auto"/>
                        <w:bottom w:val="none" w:sz="0" w:space="0" w:color="auto"/>
                        <w:right w:val="none" w:sz="0" w:space="0" w:color="auto"/>
                      </w:divBdr>
                    </w:div>
                  </w:divsChild>
                </w:div>
                <w:div w:id="1189757018">
                  <w:marLeft w:val="0"/>
                  <w:marRight w:val="0"/>
                  <w:marTop w:val="0"/>
                  <w:marBottom w:val="0"/>
                  <w:divBdr>
                    <w:top w:val="none" w:sz="0" w:space="0" w:color="auto"/>
                    <w:left w:val="none" w:sz="0" w:space="0" w:color="auto"/>
                    <w:bottom w:val="none" w:sz="0" w:space="0" w:color="auto"/>
                    <w:right w:val="none" w:sz="0" w:space="0" w:color="auto"/>
                  </w:divBdr>
                  <w:divsChild>
                    <w:div w:id="600452748">
                      <w:marLeft w:val="0"/>
                      <w:marRight w:val="0"/>
                      <w:marTop w:val="0"/>
                      <w:marBottom w:val="0"/>
                      <w:divBdr>
                        <w:top w:val="none" w:sz="0" w:space="0" w:color="auto"/>
                        <w:left w:val="none" w:sz="0" w:space="0" w:color="auto"/>
                        <w:bottom w:val="none" w:sz="0" w:space="0" w:color="auto"/>
                        <w:right w:val="none" w:sz="0" w:space="0" w:color="auto"/>
                      </w:divBdr>
                    </w:div>
                  </w:divsChild>
                </w:div>
                <w:div w:id="1197080643">
                  <w:marLeft w:val="0"/>
                  <w:marRight w:val="0"/>
                  <w:marTop w:val="0"/>
                  <w:marBottom w:val="0"/>
                  <w:divBdr>
                    <w:top w:val="none" w:sz="0" w:space="0" w:color="auto"/>
                    <w:left w:val="none" w:sz="0" w:space="0" w:color="auto"/>
                    <w:bottom w:val="none" w:sz="0" w:space="0" w:color="auto"/>
                    <w:right w:val="none" w:sz="0" w:space="0" w:color="auto"/>
                  </w:divBdr>
                  <w:divsChild>
                    <w:div w:id="1658921808">
                      <w:marLeft w:val="0"/>
                      <w:marRight w:val="0"/>
                      <w:marTop w:val="0"/>
                      <w:marBottom w:val="0"/>
                      <w:divBdr>
                        <w:top w:val="none" w:sz="0" w:space="0" w:color="auto"/>
                        <w:left w:val="none" w:sz="0" w:space="0" w:color="auto"/>
                        <w:bottom w:val="none" w:sz="0" w:space="0" w:color="auto"/>
                        <w:right w:val="none" w:sz="0" w:space="0" w:color="auto"/>
                      </w:divBdr>
                    </w:div>
                  </w:divsChild>
                </w:div>
                <w:div w:id="1211265003">
                  <w:marLeft w:val="0"/>
                  <w:marRight w:val="0"/>
                  <w:marTop w:val="0"/>
                  <w:marBottom w:val="0"/>
                  <w:divBdr>
                    <w:top w:val="none" w:sz="0" w:space="0" w:color="auto"/>
                    <w:left w:val="none" w:sz="0" w:space="0" w:color="auto"/>
                    <w:bottom w:val="none" w:sz="0" w:space="0" w:color="auto"/>
                    <w:right w:val="none" w:sz="0" w:space="0" w:color="auto"/>
                  </w:divBdr>
                  <w:divsChild>
                    <w:div w:id="1268850408">
                      <w:marLeft w:val="0"/>
                      <w:marRight w:val="0"/>
                      <w:marTop w:val="0"/>
                      <w:marBottom w:val="0"/>
                      <w:divBdr>
                        <w:top w:val="none" w:sz="0" w:space="0" w:color="auto"/>
                        <w:left w:val="none" w:sz="0" w:space="0" w:color="auto"/>
                        <w:bottom w:val="none" w:sz="0" w:space="0" w:color="auto"/>
                        <w:right w:val="none" w:sz="0" w:space="0" w:color="auto"/>
                      </w:divBdr>
                    </w:div>
                  </w:divsChild>
                </w:div>
                <w:div w:id="1226523205">
                  <w:marLeft w:val="0"/>
                  <w:marRight w:val="0"/>
                  <w:marTop w:val="0"/>
                  <w:marBottom w:val="0"/>
                  <w:divBdr>
                    <w:top w:val="none" w:sz="0" w:space="0" w:color="auto"/>
                    <w:left w:val="none" w:sz="0" w:space="0" w:color="auto"/>
                    <w:bottom w:val="none" w:sz="0" w:space="0" w:color="auto"/>
                    <w:right w:val="none" w:sz="0" w:space="0" w:color="auto"/>
                  </w:divBdr>
                  <w:divsChild>
                    <w:div w:id="1695838224">
                      <w:marLeft w:val="0"/>
                      <w:marRight w:val="0"/>
                      <w:marTop w:val="0"/>
                      <w:marBottom w:val="0"/>
                      <w:divBdr>
                        <w:top w:val="none" w:sz="0" w:space="0" w:color="auto"/>
                        <w:left w:val="none" w:sz="0" w:space="0" w:color="auto"/>
                        <w:bottom w:val="none" w:sz="0" w:space="0" w:color="auto"/>
                        <w:right w:val="none" w:sz="0" w:space="0" w:color="auto"/>
                      </w:divBdr>
                    </w:div>
                  </w:divsChild>
                </w:div>
                <w:div w:id="1238368733">
                  <w:marLeft w:val="0"/>
                  <w:marRight w:val="0"/>
                  <w:marTop w:val="0"/>
                  <w:marBottom w:val="0"/>
                  <w:divBdr>
                    <w:top w:val="none" w:sz="0" w:space="0" w:color="auto"/>
                    <w:left w:val="none" w:sz="0" w:space="0" w:color="auto"/>
                    <w:bottom w:val="none" w:sz="0" w:space="0" w:color="auto"/>
                    <w:right w:val="none" w:sz="0" w:space="0" w:color="auto"/>
                  </w:divBdr>
                  <w:divsChild>
                    <w:div w:id="1507279745">
                      <w:marLeft w:val="0"/>
                      <w:marRight w:val="0"/>
                      <w:marTop w:val="0"/>
                      <w:marBottom w:val="0"/>
                      <w:divBdr>
                        <w:top w:val="none" w:sz="0" w:space="0" w:color="auto"/>
                        <w:left w:val="none" w:sz="0" w:space="0" w:color="auto"/>
                        <w:bottom w:val="none" w:sz="0" w:space="0" w:color="auto"/>
                        <w:right w:val="none" w:sz="0" w:space="0" w:color="auto"/>
                      </w:divBdr>
                    </w:div>
                  </w:divsChild>
                </w:div>
                <w:div w:id="1251161244">
                  <w:marLeft w:val="0"/>
                  <w:marRight w:val="0"/>
                  <w:marTop w:val="0"/>
                  <w:marBottom w:val="0"/>
                  <w:divBdr>
                    <w:top w:val="none" w:sz="0" w:space="0" w:color="auto"/>
                    <w:left w:val="none" w:sz="0" w:space="0" w:color="auto"/>
                    <w:bottom w:val="none" w:sz="0" w:space="0" w:color="auto"/>
                    <w:right w:val="none" w:sz="0" w:space="0" w:color="auto"/>
                  </w:divBdr>
                  <w:divsChild>
                    <w:div w:id="856037573">
                      <w:marLeft w:val="0"/>
                      <w:marRight w:val="0"/>
                      <w:marTop w:val="0"/>
                      <w:marBottom w:val="0"/>
                      <w:divBdr>
                        <w:top w:val="none" w:sz="0" w:space="0" w:color="auto"/>
                        <w:left w:val="none" w:sz="0" w:space="0" w:color="auto"/>
                        <w:bottom w:val="none" w:sz="0" w:space="0" w:color="auto"/>
                        <w:right w:val="none" w:sz="0" w:space="0" w:color="auto"/>
                      </w:divBdr>
                    </w:div>
                  </w:divsChild>
                </w:div>
                <w:div w:id="1266576140">
                  <w:marLeft w:val="0"/>
                  <w:marRight w:val="0"/>
                  <w:marTop w:val="0"/>
                  <w:marBottom w:val="0"/>
                  <w:divBdr>
                    <w:top w:val="none" w:sz="0" w:space="0" w:color="auto"/>
                    <w:left w:val="none" w:sz="0" w:space="0" w:color="auto"/>
                    <w:bottom w:val="none" w:sz="0" w:space="0" w:color="auto"/>
                    <w:right w:val="none" w:sz="0" w:space="0" w:color="auto"/>
                  </w:divBdr>
                  <w:divsChild>
                    <w:div w:id="1574700748">
                      <w:marLeft w:val="0"/>
                      <w:marRight w:val="0"/>
                      <w:marTop w:val="0"/>
                      <w:marBottom w:val="0"/>
                      <w:divBdr>
                        <w:top w:val="none" w:sz="0" w:space="0" w:color="auto"/>
                        <w:left w:val="none" w:sz="0" w:space="0" w:color="auto"/>
                        <w:bottom w:val="none" w:sz="0" w:space="0" w:color="auto"/>
                        <w:right w:val="none" w:sz="0" w:space="0" w:color="auto"/>
                      </w:divBdr>
                    </w:div>
                  </w:divsChild>
                </w:div>
                <w:div w:id="1271819266">
                  <w:marLeft w:val="0"/>
                  <w:marRight w:val="0"/>
                  <w:marTop w:val="0"/>
                  <w:marBottom w:val="0"/>
                  <w:divBdr>
                    <w:top w:val="none" w:sz="0" w:space="0" w:color="auto"/>
                    <w:left w:val="none" w:sz="0" w:space="0" w:color="auto"/>
                    <w:bottom w:val="none" w:sz="0" w:space="0" w:color="auto"/>
                    <w:right w:val="none" w:sz="0" w:space="0" w:color="auto"/>
                  </w:divBdr>
                  <w:divsChild>
                    <w:div w:id="1631083014">
                      <w:marLeft w:val="0"/>
                      <w:marRight w:val="0"/>
                      <w:marTop w:val="0"/>
                      <w:marBottom w:val="0"/>
                      <w:divBdr>
                        <w:top w:val="none" w:sz="0" w:space="0" w:color="auto"/>
                        <w:left w:val="none" w:sz="0" w:space="0" w:color="auto"/>
                        <w:bottom w:val="none" w:sz="0" w:space="0" w:color="auto"/>
                        <w:right w:val="none" w:sz="0" w:space="0" w:color="auto"/>
                      </w:divBdr>
                    </w:div>
                  </w:divsChild>
                </w:div>
                <w:div w:id="1281648566">
                  <w:marLeft w:val="0"/>
                  <w:marRight w:val="0"/>
                  <w:marTop w:val="0"/>
                  <w:marBottom w:val="0"/>
                  <w:divBdr>
                    <w:top w:val="none" w:sz="0" w:space="0" w:color="auto"/>
                    <w:left w:val="none" w:sz="0" w:space="0" w:color="auto"/>
                    <w:bottom w:val="none" w:sz="0" w:space="0" w:color="auto"/>
                    <w:right w:val="none" w:sz="0" w:space="0" w:color="auto"/>
                  </w:divBdr>
                  <w:divsChild>
                    <w:div w:id="1444686716">
                      <w:marLeft w:val="0"/>
                      <w:marRight w:val="0"/>
                      <w:marTop w:val="0"/>
                      <w:marBottom w:val="0"/>
                      <w:divBdr>
                        <w:top w:val="none" w:sz="0" w:space="0" w:color="auto"/>
                        <w:left w:val="none" w:sz="0" w:space="0" w:color="auto"/>
                        <w:bottom w:val="none" w:sz="0" w:space="0" w:color="auto"/>
                        <w:right w:val="none" w:sz="0" w:space="0" w:color="auto"/>
                      </w:divBdr>
                    </w:div>
                  </w:divsChild>
                </w:div>
                <w:div w:id="1282032881">
                  <w:marLeft w:val="0"/>
                  <w:marRight w:val="0"/>
                  <w:marTop w:val="0"/>
                  <w:marBottom w:val="0"/>
                  <w:divBdr>
                    <w:top w:val="none" w:sz="0" w:space="0" w:color="auto"/>
                    <w:left w:val="none" w:sz="0" w:space="0" w:color="auto"/>
                    <w:bottom w:val="none" w:sz="0" w:space="0" w:color="auto"/>
                    <w:right w:val="none" w:sz="0" w:space="0" w:color="auto"/>
                  </w:divBdr>
                  <w:divsChild>
                    <w:div w:id="887572234">
                      <w:marLeft w:val="0"/>
                      <w:marRight w:val="0"/>
                      <w:marTop w:val="0"/>
                      <w:marBottom w:val="0"/>
                      <w:divBdr>
                        <w:top w:val="none" w:sz="0" w:space="0" w:color="auto"/>
                        <w:left w:val="none" w:sz="0" w:space="0" w:color="auto"/>
                        <w:bottom w:val="none" w:sz="0" w:space="0" w:color="auto"/>
                        <w:right w:val="none" w:sz="0" w:space="0" w:color="auto"/>
                      </w:divBdr>
                    </w:div>
                    <w:div w:id="1013648977">
                      <w:marLeft w:val="0"/>
                      <w:marRight w:val="0"/>
                      <w:marTop w:val="0"/>
                      <w:marBottom w:val="0"/>
                      <w:divBdr>
                        <w:top w:val="none" w:sz="0" w:space="0" w:color="auto"/>
                        <w:left w:val="none" w:sz="0" w:space="0" w:color="auto"/>
                        <w:bottom w:val="none" w:sz="0" w:space="0" w:color="auto"/>
                        <w:right w:val="none" w:sz="0" w:space="0" w:color="auto"/>
                      </w:divBdr>
                    </w:div>
                    <w:div w:id="1463233145">
                      <w:marLeft w:val="0"/>
                      <w:marRight w:val="0"/>
                      <w:marTop w:val="0"/>
                      <w:marBottom w:val="0"/>
                      <w:divBdr>
                        <w:top w:val="none" w:sz="0" w:space="0" w:color="auto"/>
                        <w:left w:val="none" w:sz="0" w:space="0" w:color="auto"/>
                        <w:bottom w:val="none" w:sz="0" w:space="0" w:color="auto"/>
                        <w:right w:val="none" w:sz="0" w:space="0" w:color="auto"/>
                      </w:divBdr>
                    </w:div>
                    <w:div w:id="1809125809">
                      <w:marLeft w:val="0"/>
                      <w:marRight w:val="0"/>
                      <w:marTop w:val="0"/>
                      <w:marBottom w:val="0"/>
                      <w:divBdr>
                        <w:top w:val="none" w:sz="0" w:space="0" w:color="auto"/>
                        <w:left w:val="none" w:sz="0" w:space="0" w:color="auto"/>
                        <w:bottom w:val="none" w:sz="0" w:space="0" w:color="auto"/>
                        <w:right w:val="none" w:sz="0" w:space="0" w:color="auto"/>
                      </w:divBdr>
                    </w:div>
                  </w:divsChild>
                </w:div>
                <w:div w:id="1289818594">
                  <w:marLeft w:val="0"/>
                  <w:marRight w:val="0"/>
                  <w:marTop w:val="0"/>
                  <w:marBottom w:val="0"/>
                  <w:divBdr>
                    <w:top w:val="none" w:sz="0" w:space="0" w:color="auto"/>
                    <w:left w:val="none" w:sz="0" w:space="0" w:color="auto"/>
                    <w:bottom w:val="none" w:sz="0" w:space="0" w:color="auto"/>
                    <w:right w:val="none" w:sz="0" w:space="0" w:color="auto"/>
                  </w:divBdr>
                  <w:divsChild>
                    <w:div w:id="305597345">
                      <w:marLeft w:val="0"/>
                      <w:marRight w:val="0"/>
                      <w:marTop w:val="0"/>
                      <w:marBottom w:val="0"/>
                      <w:divBdr>
                        <w:top w:val="none" w:sz="0" w:space="0" w:color="auto"/>
                        <w:left w:val="none" w:sz="0" w:space="0" w:color="auto"/>
                        <w:bottom w:val="none" w:sz="0" w:space="0" w:color="auto"/>
                        <w:right w:val="none" w:sz="0" w:space="0" w:color="auto"/>
                      </w:divBdr>
                    </w:div>
                    <w:div w:id="860818845">
                      <w:marLeft w:val="0"/>
                      <w:marRight w:val="0"/>
                      <w:marTop w:val="0"/>
                      <w:marBottom w:val="0"/>
                      <w:divBdr>
                        <w:top w:val="none" w:sz="0" w:space="0" w:color="auto"/>
                        <w:left w:val="none" w:sz="0" w:space="0" w:color="auto"/>
                        <w:bottom w:val="none" w:sz="0" w:space="0" w:color="auto"/>
                        <w:right w:val="none" w:sz="0" w:space="0" w:color="auto"/>
                      </w:divBdr>
                    </w:div>
                    <w:div w:id="1200967734">
                      <w:marLeft w:val="0"/>
                      <w:marRight w:val="0"/>
                      <w:marTop w:val="0"/>
                      <w:marBottom w:val="0"/>
                      <w:divBdr>
                        <w:top w:val="none" w:sz="0" w:space="0" w:color="auto"/>
                        <w:left w:val="none" w:sz="0" w:space="0" w:color="auto"/>
                        <w:bottom w:val="none" w:sz="0" w:space="0" w:color="auto"/>
                        <w:right w:val="none" w:sz="0" w:space="0" w:color="auto"/>
                      </w:divBdr>
                    </w:div>
                  </w:divsChild>
                </w:div>
                <w:div w:id="1289892510">
                  <w:marLeft w:val="0"/>
                  <w:marRight w:val="0"/>
                  <w:marTop w:val="0"/>
                  <w:marBottom w:val="0"/>
                  <w:divBdr>
                    <w:top w:val="none" w:sz="0" w:space="0" w:color="auto"/>
                    <w:left w:val="none" w:sz="0" w:space="0" w:color="auto"/>
                    <w:bottom w:val="none" w:sz="0" w:space="0" w:color="auto"/>
                    <w:right w:val="none" w:sz="0" w:space="0" w:color="auto"/>
                  </w:divBdr>
                  <w:divsChild>
                    <w:div w:id="564682217">
                      <w:marLeft w:val="0"/>
                      <w:marRight w:val="0"/>
                      <w:marTop w:val="0"/>
                      <w:marBottom w:val="0"/>
                      <w:divBdr>
                        <w:top w:val="none" w:sz="0" w:space="0" w:color="auto"/>
                        <w:left w:val="none" w:sz="0" w:space="0" w:color="auto"/>
                        <w:bottom w:val="none" w:sz="0" w:space="0" w:color="auto"/>
                        <w:right w:val="none" w:sz="0" w:space="0" w:color="auto"/>
                      </w:divBdr>
                    </w:div>
                  </w:divsChild>
                </w:div>
                <w:div w:id="1294291389">
                  <w:marLeft w:val="0"/>
                  <w:marRight w:val="0"/>
                  <w:marTop w:val="0"/>
                  <w:marBottom w:val="0"/>
                  <w:divBdr>
                    <w:top w:val="none" w:sz="0" w:space="0" w:color="auto"/>
                    <w:left w:val="none" w:sz="0" w:space="0" w:color="auto"/>
                    <w:bottom w:val="none" w:sz="0" w:space="0" w:color="auto"/>
                    <w:right w:val="none" w:sz="0" w:space="0" w:color="auto"/>
                  </w:divBdr>
                  <w:divsChild>
                    <w:div w:id="2028946589">
                      <w:marLeft w:val="0"/>
                      <w:marRight w:val="0"/>
                      <w:marTop w:val="0"/>
                      <w:marBottom w:val="0"/>
                      <w:divBdr>
                        <w:top w:val="none" w:sz="0" w:space="0" w:color="auto"/>
                        <w:left w:val="none" w:sz="0" w:space="0" w:color="auto"/>
                        <w:bottom w:val="none" w:sz="0" w:space="0" w:color="auto"/>
                        <w:right w:val="none" w:sz="0" w:space="0" w:color="auto"/>
                      </w:divBdr>
                    </w:div>
                  </w:divsChild>
                </w:div>
                <w:div w:id="1300459665">
                  <w:marLeft w:val="0"/>
                  <w:marRight w:val="0"/>
                  <w:marTop w:val="0"/>
                  <w:marBottom w:val="0"/>
                  <w:divBdr>
                    <w:top w:val="none" w:sz="0" w:space="0" w:color="auto"/>
                    <w:left w:val="none" w:sz="0" w:space="0" w:color="auto"/>
                    <w:bottom w:val="none" w:sz="0" w:space="0" w:color="auto"/>
                    <w:right w:val="none" w:sz="0" w:space="0" w:color="auto"/>
                  </w:divBdr>
                  <w:divsChild>
                    <w:div w:id="1897693168">
                      <w:marLeft w:val="0"/>
                      <w:marRight w:val="0"/>
                      <w:marTop w:val="0"/>
                      <w:marBottom w:val="0"/>
                      <w:divBdr>
                        <w:top w:val="none" w:sz="0" w:space="0" w:color="auto"/>
                        <w:left w:val="none" w:sz="0" w:space="0" w:color="auto"/>
                        <w:bottom w:val="none" w:sz="0" w:space="0" w:color="auto"/>
                        <w:right w:val="none" w:sz="0" w:space="0" w:color="auto"/>
                      </w:divBdr>
                    </w:div>
                  </w:divsChild>
                </w:div>
                <w:div w:id="1302879817">
                  <w:marLeft w:val="0"/>
                  <w:marRight w:val="0"/>
                  <w:marTop w:val="0"/>
                  <w:marBottom w:val="0"/>
                  <w:divBdr>
                    <w:top w:val="none" w:sz="0" w:space="0" w:color="auto"/>
                    <w:left w:val="none" w:sz="0" w:space="0" w:color="auto"/>
                    <w:bottom w:val="none" w:sz="0" w:space="0" w:color="auto"/>
                    <w:right w:val="none" w:sz="0" w:space="0" w:color="auto"/>
                  </w:divBdr>
                  <w:divsChild>
                    <w:div w:id="177545250">
                      <w:marLeft w:val="0"/>
                      <w:marRight w:val="0"/>
                      <w:marTop w:val="0"/>
                      <w:marBottom w:val="0"/>
                      <w:divBdr>
                        <w:top w:val="none" w:sz="0" w:space="0" w:color="auto"/>
                        <w:left w:val="none" w:sz="0" w:space="0" w:color="auto"/>
                        <w:bottom w:val="none" w:sz="0" w:space="0" w:color="auto"/>
                        <w:right w:val="none" w:sz="0" w:space="0" w:color="auto"/>
                      </w:divBdr>
                    </w:div>
                  </w:divsChild>
                </w:div>
                <w:div w:id="1307667556">
                  <w:marLeft w:val="0"/>
                  <w:marRight w:val="0"/>
                  <w:marTop w:val="0"/>
                  <w:marBottom w:val="0"/>
                  <w:divBdr>
                    <w:top w:val="none" w:sz="0" w:space="0" w:color="auto"/>
                    <w:left w:val="none" w:sz="0" w:space="0" w:color="auto"/>
                    <w:bottom w:val="none" w:sz="0" w:space="0" w:color="auto"/>
                    <w:right w:val="none" w:sz="0" w:space="0" w:color="auto"/>
                  </w:divBdr>
                  <w:divsChild>
                    <w:div w:id="729839733">
                      <w:marLeft w:val="0"/>
                      <w:marRight w:val="0"/>
                      <w:marTop w:val="0"/>
                      <w:marBottom w:val="0"/>
                      <w:divBdr>
                        <w:top w:val="none" w:sz="0" w:space="0" w:color="auto"/>
                        <w:left w:val="none" w:sz="0" w:space="0" w:color="auto"/>
                        <w:bottom w:val="none" w:sz="0" w:space="0" w:color="auto"/>
                        <w:right w:val="none" w:sz="0" w:space="0" w:color="auto"/>
                      </w:divBdr>
                    </w:div>
                  </w:divsChild>
                </w:div>
                <w:div w:id="1326208195">
                  <w:marLeft w:val="0"/>
                  <w:marRight w:val="0"/>
                  <w:marTop w:val="0"/>
                  <w:marBottom w:val="0"/>
                  <w:divBdr>
                    <w:top w:val="none" w:sz="0" w:space="0" w:color="auto"/>
                    <w:left w:val="none" w:sz="0" w:space="0" w:color="auto"/>
                    <w:bottom w:val="none" w:sz="0" w:space="0" w:color="auto"/>
                    <w:right w:val="none" w:sz="0" w:space="0" w:color="auto"/>
                  </w:divBdr>
                  <w:divsChild>
                    <w:div w:id="1383945274">
                      <w:marLeft w:val="0"/>
                      <w:marRight w:val="0"/>
                      <w:marTop w:val="0"/>
                      <w:marBottom w:val="0"/>
                      <w:divBdr>
                        <w:top w:val="none" w:sz="0" w:space="0" w:color="auto"/>
                        <w:left w:val="none" w:sz="0" w:space="0" w:color="auto"/>
                        <w:bottom w:val="none" w:sz="0" w:space="0" w:color="auto"/>
                        <w:right w:val="none" w:sz="0" w:space="0" w:color="auto"/>
                      </w:divBdr>
                    </w:div>
                  </w:divsChild>
                </w:div>
                <w:div w:id="1355157015">
                  <w:marLeft w:val="0"/>
                  <w:marRight w:val="0"/>
                  <w:marTop w:val="0"/>
                  <w:marBottom w:val="0"/>
                  <w:divBdr>
                    <w:top w:val="none" w:sz="0" w:space="0" w:color="auto"/>
                    <w:left w:val="none" w:sz="0" w:space="0" w:color="auto"/>
                    <w:bottom w:val="none" w:sz="0" w:space="0" w:color="auto"/>
                    <w:right w:val="none" w:sz="0" w:space="0" w:color="auto"/>
                  </w:divBdr>
                  <w:divsChild>
                    <w:div w:id="1914468696">
                      <w:marLeft w:val="0"/>
                      <w:marRight w:val="0"/>
                      <w:marTop w:val="0"/>
                      <w:marBottom w:val="0"/>
                      <w:divBdr>
                        <w:top w:val="none" w:sz="0" w:space="0" w:color="auto"/>
                        <w:left w:val="none" w:sz="0" w:space="0" w:color="auto"/>
                        <w:bottom w:val="none" w:sz="0" w:space="0" w:color="auto"/>
                        <w:right w:val="none" w:sz="0" w:space="0" w:color="auto"/>
                      </w:divBdr>
                    </w:div>
                  </w:divsChild>
                </w:div>
                <w:div w:id="1359964384">
                  <w:marLeft w:val="0"/>
                  <w:marRight w:val="0"/>
                  <w:marTop w:val="0"/>
                  <w:marBottom w:val="0"/>
                  <w:divBdr>
                    <w:top w:val="none" w:sz="0" w:space="0" w:color="auto"/>
                    <w:left w:val="none" w:sz="0" w:space="0" w:color="auto"/>
                    <w:bottom w:val="none" w:sz="0" w:space="0" w:color="auto"/>
                    <w:right w:val="none" w:sz="0" w:space="0" w:color="auto"/>
                  </w:divBdr>
                  <w:divsChild>
                    <w:div w:id="330376994">
                      <w:marLeft w:val="0"/>
                      <w:marRight w:val="0"/>
                      <w:marTop w:val="0"/>
                      <w:marBottom w:val="0"/>
                      <w:divBdr>
                        <w:top w:val="none" w:sz="0" w:space="0" w:color="auto"/>
                        <w:left w:val="none" w:sz="0" w:space="0" w:color="auto"/>
                        <w:bottom w:val="none" w:sz="0" w:space="0" w:color="auto"/>
                        <w:right w:val="none" w:sz="0" w:space="0" w:color="auto"/>
                      </w:divBdr>
                    </w:div>
                  </w:divsChild>
                </w:div>
                <w:div w:id="1363676402">
                  <w:marLeft w:val="0"/>
                  <w:marRight w:val="0"/>
                  <w:marTop w:val="0"/>
                  <w:marBottom w:val="0"/>
                  <w:divBdr>
                    <w:top w:val="none" w:sz="0" w:space="0" w:color="auto"/>
                    <w:left w:val="none" w:sz="0" w:space="0" w:color="auto"/>
                    <w:bottom w:val="none" w:sz="0" w:space="0" w:color="auto"/>
                    <w:right w:val="none" w:sz="0" w:space="0" w:color="auto"/>
                  </w:divBdr>
                  <w:divsChild>
                    <w:div w:id="1638799724">
                      <w:marLeft w:val="0"/>
                      <w:marRight w:val="0"/>
                      <w:marTop w:val="0"/>
                      <w:marBottom w:val="0"/>
                      <w:divBdr>
                        <w:top w:val="none" w:sz="0" w:space="0" w:color="auto"/>
                        <w:left w:val="none" w:sz="0" w:space="0" w:color="auto"/>
                        <w:bottom w:val="none" w:sz="0" w:space="0" w:color="auto"/>
                        <w:right w:val="none" w:sz="0" w:space="0" w:color="auto"/>
                      </w:divBdr>
                    </w:div>
                  </w:divsChild>
                </w:div>
                <w:div w:id="1370691898">
                  <w:marLeft w:val="0"/>
                  <w:marRight w:val="0"/>
                  <w:marTop w:val="0"/>
                  <w:marBottom w:val="0"/>
                  <w:divBdr>
                    <w:top w:val="none" w:sz="0" w:space="0" w:color="auto"/>
                    <w:left w:val="none" w:sz="0" w:space="0" w:color="auto"/>
                    <w:bottom w:val="none" w:sz="0" w:space="0" w:color="auto"/>
                    <w:right w:val="none" w:sz="0" w:space="0" w:color="auto"/>
                  </w:divBdr>
                  <w:divsChild>
                    <w:div w:id="967013143">
                      <w:marLeft w:val="0"/>
                      <w:marRight w:val="0"/>
                      <w:marTop w:val="0"/>
                      <w:marBottom w:val="0"/>
                      <w:divBdr>
                        <w:top w:val="none" w:sz="0" w:space="0" w:color="auto"/>
                        <w:left w:val="none" w:sz="0" w:space="0" w:color="auto"/>
                        <w:bottom w:val="none" w:sz="0" w:space="0" w:color="auto"/>
                        <w:right w:val="none" w:sz="0" w:space="0" w:color="auto"/>
                      </w:divBdr>
                    </w:div>
                  </w:divsChild>
                </w:div>
                <w:div w:id="1371497144">
                  <w:marLeft w:val="0"/>
                  <w:marRight w:val="0"/>
                  <w:marTop w:val="0"/>
                  <w:marBottom w:val="0"/>
                  <w:divBdr>
                    <w:top w:val="none" w:sz="0" w:space="0" w:color="auto"/>
                    <w:left w:val="none" w:sz="0" w:space="0" w:color="auto"/>
                    <w:bottom w:val="none" w:sz="0" w:space="0" w:color="auto"/>
                    <w:right w:val="none" w:sz="0" w:space="0" w:color="auto"/>
                  </w:divBdr>
                  <w:divsChild>
                    <w:div w:id="169149849">
                      <w:marLeft w:val="0"/>
                      <w:marRight w:val="0"/>
                      <w:marTop w:val="0"/>
                      <w:marBottom w:val="0"/>
                      <w:divBdr>
                        <w:top w:val="none" w:sz="0" w:space="0" w:color="auto"/>
                        <w:left w:val="none" w:sz="0" w:space="0" w:color="auto"/>
                        <w:bottom w:val="none" w:sz="0" w:space="0" w:color="auto"/>
                        <w:right w:val="none" w:sz="0" w:space="0" w:color="auto"/>
                      </w:divBdr>
                    </w:div>
                  </w:divsChild>
                </w:div>
                <w:div w:id="1372801825">
                  <w:marLeft w:val="0"/>
                  <w:marRight w:val="0"/>
                  <w:marTop w:val="0"/>
                  <w:marBottom w:val="0"/>
                  <w:divBdr>
                    <w:top w:val="none" w:sz="0" w:space="0" w:color="auto"/>
                    <w:left w:val="none" w:sz="0" w:space="0" w:color="auto"/>
                    <w:bottom w:val="none" w:sz="0" w:space="0" w:color="auto"/>
                    <w:right w:val="none" w:sz="0" w:space="0" w:color="auto"/>
                  </w:divBdr>
                  <w:divsChild>
                    <w:div w:id="56634016">
                      <w:marLeft w:val="0"/>
                      <w:marRight w:val="0"/>
                      <w:marTop w:val="0"/>
                      <w:marBottom w:val="0"/>
                      <w:divBdr>
                        <w:top w:val="none" w:sz="0" w:space="0" w:color="auto"/>
                        <w:left w:val="none" w:sz="0" w:space="0" w:color="auto"/>
                        <w:bottom w:val="none" w:sz="0" w:space="0" w:color="auto"/>
                        <w:right w:val="none" w:sz="0" w:space="0" w:color="auto"/>
                      </w:divBdr>
                    </w:div>
                  </w:divsChild>
                </w:div>
                <w:div w:id="1396976809">
                  <w:marLeft w:val="0"/>
                  <w:marRight w:val="0"/>
                  <w:marTop w:val="0"/>
                  <w:marBottom w:val="0"/>
                  <w:divBdr>
                    <w:top w:val="none" w:sz="0" w:space="0" w:color="auto"/>
                    <w:left w:val="none" w:sz="0" w:space="0" w:color="auto"/>
                    <w:bottom w:val="none" w:sz="0" w:space="0" w:color="auto"/>
                    <w:right w:val="none" w:sz="0" w:space="0" w:color="auto"/>
                  </w:divBdr>
                  <w:divsChild>
                    <w:div w:id="450899299">
                      <w:marLeft w:val="0"/>
                      <w:marRight w:val="0"/>
                      <w:marTop w:val="0"/>
                      <w:marBottom w:val="0"/>
                      <w:divBdr>
                        <w:top w:val="none" w:sz="0" w:space="0" w:color="auto"/>
                        <w:left w:val="none" w:sz="0" w:space="0" w:color="auto"/>
                        <w:bottom w:val="none" w:sz="0" w:space="0" w:color="auto"/>
                        <w:right w:val="none" w:sz="0" w:space="0" w:color="auto"/>
                      </w:divBdr>
                    </w:div>
                  </w:divsChild>
                </w:div>
                <w:div w:id="1409615637">
                  <w:marLeft w:val="0"/>
                  <w:marRight w:val="0"/>
                  <w:marTop w:val="0"/>
                  <w:marBottom w:val="0"/>
                  <w:divBdr>
                    <w:top w:val="none" w:sz="0" w:space="0" w:color="auto"/>
                    <w:left w:val="none" w:sz="0" w:space="0" w:color="auto"/>
                    <w:bottom w:val="none" w:sz="0" w:space="0" w:color="auto"/>
                    <w:right w:val="none" w:sz="0" w:space="0" w:color="auto"/>
                  </w:divBdr>
                  <w:divsChild>
                    <w:div w:id="1504855704">
                      <w:marLeft w:val="0"/>
                      <w:marRight w:val="0"/>
                      <w:marTop w:val="0"/>
                      <w:marBottom w:val="0"/>
                      <w:divBdr>
                        <w:top w:val="none" w:sz="0" w:space="0" w:color="auto"/>
                        <w:left w:val="none" w:sz="0" w:space="0" w:color="auto"/>
                        <w:bottom w:val="none" w:sz="0" w:space="0" w:color="auto"/>
                        <w:right w:val="none" w:sz="0" w:space="0" w:color="auto"/>
                      </w:divBdr>
                    </w:div>
                  </w:divsChild>
                </w:div>
                <w:div w:id="1411583417">
                  <w:marLeft w:val="0"/>
                  <w:marRight w:val="0"/>
                  <w:marTop w:val="0"/>
                  <w:marBottom w:val="0"/>
                  <w:divBdr>
                    <w:top w:val="none" w:sz="0" w:space="0" w:color="auto"/>
                    <w:left w:val="none" w:sz="0" w:space="0" w:color="auto"/>
                    <w:bottom w:val="none" w:sz="0" w:space="0" w:color="auto"/>
                    <w:right w:val="none" w:sz="0" w:space="0" w:color="auto"/>
                  </w:divBdr>
                  <w:divsChild>
                    <w:div w:id="1194541136">
                      <w:marLeft w:val="0"/>
                      <w:marRight w:val="0"/>
                      <w:marTop w:val="0"/>
                      <w:marBottom w:val="0"/>
                      <w:divBdr>
                        <w:top w:val="none" w:sz="0" w:space="0" w:color="auto"/>
                        <w:left w:val="none" w:sz="0" w:space="0" w:color="auto"/>
                        <w:bottom w:val="none" w:sz="0" w:space="0" w:color="auto"/>
                        <w:right w:val="none" w:sz="0" w:space="0" w:color="auto"/>
                      </w:divBdr>
                    </w:div>
                  </w:divsChild>
                </w:div>
                <w:div w:id="1424759792">
                  <w:marLeft w:val="0"/>
                  <w:marRight w:val="0"/>
                  <w:marTop w:val="0"/>
                  <w:marBottom w:val="0"/>
                  <w:divBdr>
                    <w:top w:val="none" w:sz="0" w:space="0" w:color="auto"/>
                    <w:left w:val="none" w:sz="0" w:space="0" w:color="auto"/>
                    <w:bottom w:val="none" w:sz="0" w:space="0" w:color="auto"/>
                    <w:right w:val="none" w:sz="0" w:space="0" w:color="auto"/>
                  </w:divBdr>
                  <w:divsChild>
                    <w:div w:id="85658427">
                      <w:marLeft w:val="0"/>
                      <w:marRight w:val="0"/>
                      <w:marTop w:val="0"/>
                      <w:marBottom w:val="0"/>
                      <w:divBdr>
                        <w:top w:val="none" w:sz="0" w:space="0" w:color="auto"/>
                        <w:left w:val="none" w:sz="0" w:space="0" w:color="auto"/>
                        <w:bottom w:val="none" w:sz="0" w:space="0" w:color="auto"/>
                        <w:right w:val="none" w:sz="0" w:space="0" w:color="auto"/>
                      </w:divBdr>
                    </w:div>
                  </w:divsChild>
                </w:div>
                <w:div w:id="1444110606">
                  <w:marLeft w:val="0"/>
                  <w:marRight w:val="0"/>
                  <w:marTop w:val="0"/>
                  <w:marBottom w:val="0"/>
                  <w:divBdr>
                    <w:top w:val="none" w:sz="0" w:space="0" w:color="auto"/>
                    <w:left w:val="none" w:sz="0" w:space="0" w:color="auto"/>
                    <w:bottom w:val="none" w:sz="0" w:space="0" w:color="auto"/>
                    <w:right w:val="none" w:sz="0" w:space="0" w:color="auto"/>
                  </w:divBdr>
                  <w:divsChild>
                    <w:div w:id="1233076674">
                      <w:marLeft w:val="0"/>
                      <w:marRight w:val="0"/>
                      <w:marTop w:val="0"/>
                      <w:marBottom w:val="0"/>
                      <w:divBdr>
                        <w:top w:val="none" w:sz="0" w:space="0" w:color="auto"/>
                        <w:left w:val="none" w:sz="0" w:space="0" w:color="auto"/>
                        <w:bottom w:val="none" w:sz="0" w:space="0" w:color="auto"/>
                        <w:right w:val="none" w:sz="0" w:space="0" w:color="auto"/>
                      </w:divBdr>
                    </w:div>
                  </w:divsChild>
                </w:div>
                <w:div w:id="1445229257">
                  <w:marLeft w:val="0"/>
                  <w:marRight w:val="0"/>
                  <w:marTop w:val="0"/>
                  <w:marBottom w:val="0"/>
                  <w:divBdr>
                    <w:top w:val="none" w:sz="0" w:space="0" w:color="auto"/>
                    <w:left w:val="none" w:sz="0" w:space="0" w:color="auto"/>
                    <w:bottom w:val="none" w:sz="0" w:space="0" w:color="auto"/>
                    <w:right w:val="none" w:sz="0" w:space="0" w:color="auto"/>
                  </w:divBdr>
                  <w:divsChild>
                    <w:div w:id="1132288902">
                      <w:marLeft w:val="0"/>
                      <w:marRight w:val="0"/>
                      <w:marTop w:val="0"/>
                      <w:marBottom w:val="0"/>
                      <w:divBdr>
                        <w:top w:val="none" w:sz="0" w:space="0" w:color="auto"/>
                        <w:left w:val="none" w:sz="0" w:space="0" w:color="auto"/>
                        <w:bottom w:val="none" w:sz="0" w:space="0" w:color="auto"/>
                        <w:right w:val="none" w:sz="0" w:space="0" w:color="auto"/>
                      </w:divBdr>
                    </w:div>
                  </w:divsChild>
                </w:div>
                <w:div w:id="1454863539">
                  <w:marLeft w:val="0"/>
                  <w:marRight w:val="0"/>
                  <w:marTop w:val="0"/>
                  <w:marBottom w:val="0"/>
                  <w:divBdr>
                    <w:top w:val="none" w:sz="0" w:space="0" w:color="auto"/>
                    <w:left w:val="none" w:sz="0" w:space="0" w:color="auto"/>
                    <w:bottom w:val="none" w:sz="0" w:space="0" w:color="auto"/>
                    <w:right w:val="none" w:sz="0" w:space="0" w:color="auto"/>
                  </w:divBdr>
                  <w:divsChild>
                    <w:div w:id="1050615172">
                      <w:marLeft w:val="0"/>
                      <w:marRight w:val="0"/>
                      <w:marTop w:val="0"/>
                      <w:marBottom w:val="0"/>
                      <w:divBdr>
                        <w:top w:val="none" w:sz="0" w:space="0" w:color="auto"/>
                        <w:left w:val="none" w:sz="0" w:space="0" w:color="auto"/>
                        <w:bottom w:val="none" w:sz="0" w:space="0" w:color="auto"/>
                        <w:right w:val="none" w:sz="0" w:space="0" w:color="auto"/>
                      </w:divBdr>
                    </w:div>
                    <w:div w:id="1401825432">
                      <w:marLeft w:val="0"/>
                      <w:marRight w:val="0"/>
                      <w:marTop w:val="0"/>
                      <w:marBottom w:val="0"/>
                      <w:divBdr>
                        <w:top w:val="none" w:sz="0" w:space="0" w:color="auto"/>
                        <w:left w:val="none" w:sz="0" w:space="0" w:color="auto"/>
                        <w:bottom w:val="none" w:sz="0" w:space="0" w:color="auto"/>
                        <w:right w:val="none" w:sz="0" w:space="0" w:color="auto"/>
                      </w:divBdr>
                    </w:div>
                    <w:div w:id="1537083031">
                      <w:marLeft w:val="0"/>
                      <w:marRight w:val="0"/>
                      <w:marTop w:val="0"/>
                      <w:marBottom w:val="0"/>
                      <w:divBdr>
                        <w:top w:val="none" w:sz="0" w:space="0" w:color="auto"/>
                        <w:left w:val="none" w:sz="0" w:space="0" w:color="auto"/>
                        <w:bottom w:val="none" w:sz="0" w:space="0" w:color="auto"/>
                        <w:right w:val="none" w:sz="0" w:space="0" w:color="auto"/>
                      </w:divBdr>
                    </w:div>
                  </w:divsChild>
                </w:div>
                <w:div w:id="1461412125">
                  <w:marLeft w:val="0"/>
                  <w:marRight w:val="0"/>
                  <w:marTop w:val="0"/>
                  <w:marBottom w:val="0"/>
                  <w:divBdr>
                    <w:top w:val="none" w:sz="0" w:space="0" w:color="auto"/>
                    <w:left w:val="none" w:sz="0" w:space="0" w:color="auto"/>
                    <w:bottom w:val="none" w:sz="0" w:space="0" w:color="auto"/>
                    <w:right w:val="none" w:sz="0" w:space="0" w:color="auto"/>
                  </w:divBdr>
                  <w:divsChild>
                    <w:div w:id="1532569001">
                      <w:marLeft w:val="0"/>
                      <w:marRight w:val="0"/>
                      <w:marTop w:val="0"/>
                      <w:marBottom w:val="0"/>
                      <w:divBdr>
                        <w:top w:val="none" w:sz="0" w:space="0" w:color="auto"/>
                        <w:left w:val="none" w:sz="0" w:space="0" w:color="auto"/>
                        <w:bottom w:val="none" w:sz="0" w:space="0" w:color="auto"/>
                        <w:right w:val="none" w:sz="0" w:space="0" w:color="auto"/>
                      </w:divBdr>
                    </w:div>
                  </w:divsChild>
                </w:div>
                <w:div w:id="1482653419">
                  <w:marLeft w:val="0"/>
                  <w:marRight w:val="0"/>
                  <w:marTop w:val="0"/>
                  <w:marBottom w:val="0"/>
                  <w:divBdr>
                    <w:top w:val="none" w:sz="0" w:space="0" w:color="auto"/>
                    <w:left w:val="none" w:sz="0" w:space="0" w:color="auto"/>
                    <w:bottom w:val="none" w:sz="0" w:space="0" w:color="auto"/>
                    <w:right w:val="none" w:sz="0" w:space="0" w:color="auto"/>
                  </w:divBdr>
                  <w:divsChild>
                    <w:div w:id="568617753">
                      <w:marLeft w:val="0"/>
                      <w:marRight w:val="0"/>
                      <w:marTop w:val="0"/>
                      <w:marBottom w:val="0"/>
                      <w:divBdr>
                        <w:top w:val="none" w:sz="0" w:space="0" w:color="auto"/>
                        <w:left w:val="none" w:sz="0" w:space="0" w:color="auto"/>
                        <w:bottom w:val="none" w:sz="0" w:space="0" w:color="auto"/>
                        <w:right w:val="none" w:sz="0" w:space="0" w:color="auto"/>
                      </w:divBdr>
                    </w:div>
                    <w:div w:id="1253706627">
                      <w:marLeft w:val="0"/>
                      <w:marRight w:val="0"/>
                      <w:marTop w:val="0"/>
                      <w:marBottom w:val="0"/>
                      <w:divBdr>
                        <w:top w:val="none" w:sz="0" w:space="0" w:color="auto"/>
                        <w:left w:val="none" w:sz="0" w:space="0" w:color="auto"/>
                        <w:bottom w:val="none" w:sz="0" w:space="0" w:color="auto"/>
                        <w:right w:val="none" w:sz="0" w:space="0" w:color="auto"/>
                      </w:divBdr>
                    </w:div>
                    <w:div w:id="2086100660">
                      <w:marLeft w:val="0"/>
                      <w:marRight w:val="0"/>
                      <w:marTop w:val="0"/>
                      <w:marBottom w:val="0"/>
                      <w:divBdr>
                        <w:top w:val="none" w:sz="0" w:space="0" w:color="auto"/>
                        <w:left w:val="none" w:sz="0" w:space="0" w:color="auto"/>
                        <w:bottom w:val="none" w:sz="0" w:space="0" w:color="auto"/>
                        <w:right w:val="none" w:sz="0" w:space="0" w:color="auto"/>
                      </w:divBdr>
                    </w:div>
                  </w:divsChild>
                </w:div>
                <w:div w:id="1483619534">
                  <w:marLeft w:val="0"/>
                  <w:marRight w:val="0"/>
                  <w:marTop w:val="0"/>
                  <w:marBottom w:val="0"/>
                  <w:divBdr>
                    <w:top w:val="none" w:sz="0" w:space="0" w:color="auto"/>
                    <w:left w:val="none" w:sz="0" w:space="0" w:color="auto"/>
                    <w:bottom w:val="none" w:sz="0" w:space="0" w:color="auto"/>
                    <w:right w:val="none" w:sz="0" w:space="0" w:color="auto"/>
                  </w:divBdr>
                  <w:divsChild>
                    <w:div w:id="2120371908">
                      <w:marLeft w:val="0"/>
                      <w:marRight w:val="0"/>
                      <w:marTop w:val="0"/>
                      <w:marBottom w:val="0"/>
                      <w:divBdr>
                        <w:top w:val="none" w:sz="0" w:space="0" w:color="auto"/>
                        <w:left w:val="none" w:sz="0" w:space="0" w:color="auto"/>
                        <w:bottom w:val="none" w:sz="0" w:space="0" w:color="auto"/>
                        <w:right w:val="none" w:sz="0" w:space="0" w:color="auto"/>
                      </w:divBdr>
                    </w:div>
                  </w:divsChild>
                </w:div>
                <w:div w:id="1495755960">
                  <w:marLeft w:val="0"/>
                  <w:marRight w:val="0"/>
                  <w:marTop w:val="0"/>
                  <w:marBottom w:val="0"/>
                  <w:divBdr>
                    <w:top w:val="none" w:sz="0" w:space="0" w:color="auto"/>
                    <w:left w:val="none" w:sz="0" w:space="0" w:color="auto"/>
                    <w:bottom w:val="none" w:sz="0" w:space="0" w:color="auto"/>
                    <w:right w:val="none" w:sz="0" w:space="0" w:color="auto"/>
                  </w:divBdr>
                  <w:divsChild>
                    <w:div w:id="1775049722">
                      <w:marLeft w:val="0"/>
                      <w:marRight w:val="0"/>
                      <w:marTop w:val="0"/>
                      <w:marBottom w:val="0"/>
                      <w:divBdr>
                        <w:top w:val="none" w:sz="0" w:space="0" w:color="auto"/>
                        <w:left w:val="none" w:sz="0" w:space="0" w:color="auto"/>
                        <w:bottom w:val="none" w:sz="0" w:space="0" w:color="auto"/>
                        <w:right w:val="none" w:sz="0" w:space="0" w:color="auto"/>
                      </w:divBdr>
                    </w:div>
                  </w:divsChild>
                </w:div>
                <w:div w:id="1495876082">
                  <w:marLeft w:val="0"/>
                  <w:marRight w:val="0"/>
                  <w:marTop w:val="0"/>
                  <w:marBottom w:val="0"/>
                  <w:divBdr>
                    <w:top w:val="none" w:sz="0" w:space="0" w:color="auto"/>
                    <w:left w:val="none" w:sz="0" w:space="0" w:color="auto"/>
                    <w:bottom w:val="none" w:sz="0" w:space="0" w:color="auto"/>
                    <w:right w:val="none" w:sz="0" w:space="0" w:color="auto"/>
                  </w:divBdr>
                  <w:divsChild>
                    <w:div w:id="699089507">
                      <w:marLeft w:val="0"/>
                      <w:marRight w:val="0"/>
                      <w:marTop w:val="0"/>
                      <w:marBottom w:val="0"/>
                      <w:divBdr>
                        <w:top w:val="none" w:sz="0" w:space="0" w:color="auto"/>
                        <w:left w:val="none" w:sz="0" w:space="0" w:color="auto"/>
                        <w:bottom w:val="none" w:sz="0" w:space="0" w:color="auto"/>
                        <w:right w:val="none" w:sz="0" w:space="0" w:color="auto"/>
                      </w:divBdr>
                    </w:div>
                  </w:divsChild>
                </w:div>
                <w:div w:id="1503810667">
                  <w:marLeft w:val="0"/>
                  <w:marRight w:val="0"/>
                  <w:marTop w:val="0"/>
                  <w:marBottom w:val="0"/>
                  <w:divBdr>
                    <w:top w:val="none" w:sz="0" w:space="0" w:color="auto"/>
                    <w:left w:val="none" w:sz="0" w:space="0" w:color="auto"/>
                    <w:bottom w:val="none" w:sz="0" w:space="0" w:color="auto"/>
                    <w:right w:val="none" w:sz="0" w:space="0" w:color="auto"/>
                  </w:divBdr>
                  <w:divsChild>
                    <w:div w:id="930551658">
                      <w:marLeft w:val="0"/>
                      <w:marRight w:val="0"/>
                      <w:marTop w:val="0"/>
                      <w:marBottom w:val="0"/>
                      <w:divBdr>
                        <w:top w:val="none" w:sz="0" w:space="0" w:color="auto"/>
                        <w:left w:val="none" w:sz="0" w:space="0" w:color="auto"/>
                        <w:bottom w:val="none" w:sz="0" w:space="0" w:color="auto"/>
                        <w:right w:val="none" w:sz="0" w:space="0" w:color="auto"/>
                      </w:divBdr>
                    </w:div>
                  </w:divsChild>
                </w:div>
                <w:div w:id="1518808809">
                  <w:marLeft w:val="0"/>
                  <w:marRight w:val="0"/>
                  <w:marTop w:val="0"/>
                  <w:marBottom w:val="0"/>
                  <w:divBdr>
                    <w:top w:val="none" w:sz="0" w:space="0" w:color="auto"/>
                    <w:left w:val="none" w:sz="0" w:space="0" w:color="auto"/>
                    <w:bottom w:val="none" w:sz="0" w:space="0" w:color="auto"/>
                    <w:right w:val="none" w:sz="0" w:space="0" w:color="auto"/>
                  </w:divBdr>
                  <w:divsChild>
                    <w:div w:id="764109059">
                      <w:marLeft w:val="0"/>
                      <w:marRight w:val="0"/>
                      <w:marTop w:val="0"/>
                      <w:marBottom w:val="0"/>
                      <w:divBdr>
                        <w:top w:val="none" w:sz="0" w:space="0" w:color="auto"/>
                        <w:left w:val="none" w:sz="0" w:space="0" w:color="auto"/>
                        <w:bottom w:val="none" w:sz="0" w:space="0" w:color="auto"/>
                        <w:right w:val="none" w:sz="0" w:space="0" w:color="auto"/>
                      </w:divBdr>
                    </w:div>
                  </w:divsChild>
                </w:div>
                <w:div w:id="1538926131">
                  <w:marLeft w:val="0"/>
                  <w:marRight w:val="0"/>
                  <w:marTop w:val="0"/>
                  <w:marBottom w:val="0"/>
                  <w:divBdr>
                    <w:top w:val="none" w:sz="0" w:space="0" w:color="auto"/>
                    <w:left w:val="none" w:sz="0" w:space="0" w:color="auto"/>
                    <w:bottom w:val="none" w:sz="0" w:space="0" w:color="auto"/>
                    <w:right w:val="none" w:sz="0" w:space="0" w:color="auto"/>
                  </w:divBdr>
                  <w:divsChild>
                    <w:div w:id="2752878">
                      <w:marLeft w:val="0"/>
                      <w:marRight w:val="0"/>
                      <w:marTop w:val="0"/>
                      <w:marBottom w:val="0"/>
                      <w:divBdr>
                        <w:top w:val="none" w:sz="0" w:space="0" w:color="auto"/>
                        <w:left w:val="none" w:sz="0" w:space="0" w:color="auto"/>
                        <w:bottom w:val="none" w:sz="0" w:space="0" w:color="auto"/>
                        <w:right w:val="none" w:sz="0" w:space="0" w:color="auto"/>
                      </w:divBdr>
                    </w:div>
                    <w:div w:id="1847404326">
                      <w:marLeft w:val="0"/>
                      <w:marRight w:val="0"/>
                      <w:marTop w:val="0"/>
                      <w:marBottom w:val="0"/>
                      <w:divBdr>
                        <w:top w:val="none" w:sz="0" w:space="0" w:color="auto"/>
                        <w:left w:val="none" w:sz="0" w:space="0" w:color="auto"/>
                        <w:bottom w:val="none" w:sz="0" w:space="0" w:color="auto"/>
                        <w:right w:val="none" w:sz="0" w:space="0" w:color="auto"/>
                      </w:divBdr>
                    </w:div>
                    <w:div w:id="2086144721">
                      <w:marLeft w:val="0"/>
                      <w:marRight w:val="0"/>
                      <w:marTop w:val="0"/>
                      <w:marBottom w:val="0"/>
                      <w:divBdr>
                        <w:top w:val="none" w:sz="0" w:space="0" w:color="auto"/>
                        <w:left w:val="none" w:sz="0" w:space="0" w:color="auto"/>
                        <w:bottom w:val="none" w:sz="0" w:space="0" w:color="auto"/>
                        <w:right w:val="none" w:sz="0" w:space="0" w:color="auto"/>
                      </w:divBdr>
                    </w:div>
                  </w:divsChild>
                </w:div>
                <w:div w:id="1547909550">
                  <w:marLeft w:val="0"/>
                  <w:marRight w:val="0"/>
                  <w:marTop w:val="0"/>
                  <w:marBottom w:val="0"/>
                  <w:divBdr>
                    <w:top w:val="none" w:sz="0" w:space="0" w:color="auto"/>
                    <w:left w:val="none" w:sz="0" w:space="0" w:color="auto"/>
                    <w:bottom w:val="none" w:sz="0" w:space="0" w:color="auto"/>
                    <w:right w:val="none" w:sz="0" w:space="0" w:color="auto"/>
                  </w:divBdr>
                  <w:divsChild>
                    <w:div w:id="1652556943">
                      <w:marLeft w:val="0"/>
                      <w:marRight w:val="0"/>
                      <w:marTop w:val="0"/>
                      <w:marBottom w:val="0"/>
                      <w:divBdr>
                        <w:top w:val="none" w:sz="0" w:space="0" w:color="auto"/>
                        <w:left w:val="none" w:sz="0" w:space="0" w:color="auto"/>
                        <w:bottom w:val="none" w:sz="0" w:space="0" w:color="auto"/>
                        <w:right w:val="none" w:sz="0" w:space="0" w:color="auto"/>
                      </w:divBdr>
                    </w:div>
                  </w:divsChild>
                </w:div>
                <w:div w:id="1555774326">
                  <w:marLeft w:val="0"/>
                  <w:marRight w:val="0"/>
                  <w:marTop w:val="0"/>
                  <w:marBottom w:val="0"/>
                  <w:divBdr>
                    <w:top w:val="none" w:sz="0" w:space="0" w:color="auto"/>
                    <w:left w:val="none" w:sz="0" w:space="0" w:color="auto"/>
                    <w:bottom w:val="none" w:sz="0" w:space="0" w:color="auto"/>
                    <w:right w:val="none" w:sz="0" w:space="0" w:color="auto"/>
                  </w:divBdr>
                  <w:divsChild>
                    <w:div w:id="2145535650">
                      <w:marLeft w:val="0"/>
                      <w:marRight w:val="0"/>
                      <w:marTop w:val="0"/>
                      <w:marBottom w:val="0"/>
                      <w:divBdr>
                        <w:top w:val="none" w:sz="0" w:space="0" w:color="auto"/>
                        <w:left w:val="none" w:sz="0" w:space="0" w:color="auto"/>
                        <w:bottom w:val="none" w:sz="0" w:space="0" w:color="auto"/>
                        <w:right w:val="none" w:sz="0" w:space="0" w:color="auto"/>
                      </w:divBdr>
                    </w:div>
                  </w:divsChild>
                </w:div>
                <w:div w:id="1572617412">
                  <w:marLeft w:val="0"/>
                  <w:marRight w:val="0"/>
                  <w:marTop w:val="0"/>
                  <w:marBottom w:val="0"/>
                  <w:divBdr>
                    <w:top w:val="none" w:sz="0" w:space="0" w:color="auto"/>
                    <w:left w:val="none" w:sz="0" w:space="0" w:color="auto"/>
                    <w:bottom w:val="none" w:sz="0" w:space="0" w:color="auto"/>
                    <w:right w:val="none" w:sz="0" w:space="0" w:color="auto"/>
                  </w:divBdr>
                  <w:divsChild>
                    <w:div w:id="418991028">
                      <w:marLeft w:val="0"/>
                      <w:marRight w:val="0"/>
                      <w:marTop w:val="0"/>
                      <w:marBottom w:val="0"/>
                      <w:divBdr>
                        <w:top w:val="none" w:sz="0" w:space="0" w:color="auto"/>
                        <w:left w:val="none" w:sz="0" w:space="0" w:color="auto"/>
                        <w:bottom w:val="none" w:sz="0" w:space="0" w:color="auto"/>
                        <w:right w:val="none" w:sz="0" w:space="0" w:color="auto"/>
                      </w:divBdr>
                    </w:div>
                  </w:divsChild>
                </w:div>
                <w:div w:id="1575168452">
                  <w:marLeft w:val="0"/>
                  <w:marRight w:val="0"/>
                  <w:marTop w:val="0"/>
                  <w:marBottom w:val="0"/>
                  <w:divBdr>
                    <w:top w:val="none" w:sz="0" w:space="0" w:color="auto"/>
                    <w:left w:val="none" w:sz="0" w:space="0" w:color="auto"/>
                    <w:bottom w:val="none" w:sz="0" w:space="0" w:color="auto"/>
                    <w:right w:val="none" w:sz="0" w:space="0" w:color="auto"/>
                  </w:divBdr>
                  <w:divsChild>
                    <w:div w:id="458689306">
                      <w:marLeft w:val="0"/>
                      <w:marRight w:val="0"/>
                      <w:marTop w:val="0"/>
                      <w:marBottom w:val="0"/>
                      <w:divBdr>
                        <w:top w:val="none" w:sz="0" w:space="0" w:color="auto"/>
                        <w:left w:val="none" w:sz="0" w:space="0" w:color="auto"/>
                        <w:bottom w:val="none" w:sz="0" w:space="0" w:color="auto"/>
                        <w:right w:val="none" w:sz="0" w:space="0" w:color="auto"/>
                      </w:divBdr>
                    </w:div>
                  </w:divsChild>
                </w:div>
                <w:div w:id="1579095809">
                  <w:marLeft w:val="0"/>
                  <w:marRight w:val="0"/>
                  <w:marTop w:val="0"/>
                  <w:marBottom w:val="0"/>
                  <w:divBdr>
                    <w:top w:val="none" w:sz="0" w:space="0" w:color="auto"/>
                    <w:left w:val="none" w:sz="0" w:space="0" w:color="auto"/>
                    <w:bottom w:val="none" w:sz="0" w:space="0" w:color="auto"/>
                    <w:right w:val="none" w:sz="0" w:space="0" w:color="auto"/>
                  </w:divBdr>
                  <w:divsChild>
                    <w:div w:id="879318354">
                      <w:marLeft w:val="0"/>
                      <w:marRight w:val="0"/>
                      <w:marTop w:val="0"/>
                      <w:marBottom w:val="0"/>
                      <w:divBdr>
                        <w:top w:val="none" w:sz="0" w:space="0" w:color="auto"/>
                        <w:left w:val="none" w:sz="0" w:space="0" w:color="auto"/>
                        <w:bottom w:val="none" w:sz="0" w:space="0" w:color="auto"/>
                        <w:right w:val="none" w:sz="0" w:space="0" w:color="auto"/>
                      </w:divBdr>
                    </w:div>
                    <w:div w:id="1036857843">
                      <w:marLeft w:val="0"/>
                      <w:marRight w:val="0"/>
                      <w:marTop w:val="0"/>
                      <w:marBottom w:val="0"/>
                      <w:divBdr>
                        <w:top w:val="none" w:sz="0" w:space="0" w:color="auto"/>
                        <w:left w:val="none" w:sz="0" w:space="0" w:color="auto"/>
                        <w:bottom w:val="none" w:sz="0" w:space="0" w:color="auto"/>
                        <w:right w:val="none" w:sz="0" w:space="0" w:color="auto"/>
                      </w:divBdr>
                    </w:div>
                  </w:divsChild>
                </w:div>
                <w:div w:id="1587498289">
                  <w:marLeft w:val="0"/>
                  <w:marRight w:val="0"/>
                  <w:marTop w:val="0"/>
                  <w:marBottom w:val="0"/>
                  <w:divBdr>
                    <w:top w:val="none" w:sz="0" w:space="0" w:color="auto"/>
                    <w:left w:val="none" w:sz="0" w:space="0" w:color="auto"/>
                    <w:bottom w:val="none" w:sz="0" w:space="0" w:color="auto"/>
                    <w:right w:val="none" w:sz="0" w:space="0" w:color="auto"/>
                  </w:divBdr>
                  <w:divsChild>
                    <w:div w:id="54008466">
                      <w:marLeft w:val="0"/>
                      <w:marRight w:val="0"/>
                      <w:marTop w:val="0"/>
                      <w:marBottom w:val="0"/>
                      <w:divBdr>
                        <w:top w:val="none" w:sz="0" w:space="0" w:color="auto"/>
                        <w:left w:val="none" w:sz="0" w:space="0" w:color="auto"/>
                        <w:bottom w:val="none" w:sz="0" w:space="0" w:color="auto"/>
                        <w:right w:val="none" w:sz="0" w:space="0" w:color="auto"/>
                      </w:divBdr>
                    </w:div>
                  </w:divsChild>
                </w:div>
                <w:div w:id="1593589208">
                  <w:marLeft w:val="0"/>
                  <w:marRight w:val="0"/>
                  <w:marTop w:val="0"/>
                  <w:marBottom w:val="0"/>
                  <w:divBdr>
                    <w:top w:val="none" w:sz="0" w:space="0" w:color="auto"/>
                    <w:left w:val="none" w:sz="0" w:space="0" w:color="auto"/>
                    <w:bottom w:val="none" w:sz="0" w:space="0" w:color="auto"/>
                    <w:right w:val="none" w:sz="0" w:space="0" w:color="auto"/>
                  </w:divBdr>
                  <w:divsChild>
                    <w:div w:id="335350487">
                      <w:marLeft w:val="0"/>
                      <w:marRight w:val="0"/>
                      <w:marTop w:val="0"/>
                      <w:marBottom w:val="0"/>
                      <w:divBdr>
                        <w:top w:val="none" w:sz="0" w:space="0" w:color="auto"/>
                        <w:left w:val="none" w:sz="0" w:space="0" w:color="auto"/>
                        <w:bottom w:val="none" w:sz="0" w:space="0" w:color="auto"/>
                        <w:right w:val="none" w:sz="0" w:space="0" w:color="auto"/>
                      </w:divBdr>
                    </w:div>
                  </w:divsChild>
                </w:div>
                <w:div w:id="1616862375">
                  <w:marLeft w:val="0"/>
                  <w:marRight w:val="0"/>
                  <w:marTop w:val="0"/>
                  <w:marBottom w:val="0"/>
                  <w:divBdr>
                    <w:top w:val="none" w:sz="0" w:space="0" w:color="auto"/>
                    <w:left w:val="none" w:sz="0" w:space="0" w:color="auto"/>
                    <w:bottom w:val="none" w:sz="0" w:space="0" w:color="auto"/>
                    <w:right w:val="none" w:sz="0" w:space="0" w:color="auto"/>
                  </w:divBdr>
                  <w:divsChild>
                    <w:div w:id="681780442">
                      <w:marLeft w:val="0"/>
                      <w:marRight w:val="0"/>
                      <w:marTop w:val="0"/>
                      <w:marBottom w:val="0"/>
                      <w:divBdr>
                        <w:top w:val="none" w:sz="0" w:space="0" w:color="auto"/>
                        <w:left w:val="none" w:sz="0" w:space="0" w:color="auto"/>
                        <w:bottom w:val="none" w:sz="0" w:space="0" w:color="auto"/>
                        <w:right w:val="none" w:sz="0" w:space="0" w:color="auto"/>
                      </w:divBdr>
                    </w:div>
                  </w:divsChild>
                </w:div>
                <w:div w:id="1627924743">
                  <w:marLeft w:val="0"/>
                  <w:marRight w:val="0"/>
                  <w:marTop w:val="0"/>
                  <w:marBottom w:val="0"/>
                  <w:divBdr>
                    <w:top w:val="none" w:sz="0" w:space="0" w:color="auto"/>
                    <w:left w:val="none" w:sz="0" w:space="0" w:color="auto"/>
                    <w:bottom w:val="none" w:sz="0" w:space="0" w:color="auto"/>
                    <w:right w:val="none" w:sz="0" w:space="0" w:color="auto"/>
                  </w:divBdr>
                  <w:divsChild>
                    <w:div w:id="2075619989">
                      <w:marLeft w:val="0"/>
                      <w:marRight w:val="0"/>
                      <w:marTop w:val="0"/>
                      <w:marBottom w:val="0"/>
                      <w:divBdr>
                        <w:top w:val="none" w:sz="0" w:space="0" w:color="auto"/>
                        <w:left w:val="none" w:sz="0" w:space="0" w:color="auto"/>
                        <w:bottom w:val="none" w:sz="0" w:space="0" w:color="auto"/>
                        <w:right w:val="none" w:sz="0" w:space="0" w:color="auto"/>
                      </w:divBdr>
                    </w:div>
                  </w:divsChild>
                </w:div>
                <w:div w:id="1633708714">
                  <w:marLeft w:val="0"/>
                  <w:marRight w:val="0"/>
                  <w:marTop w:val="0"/>
                  <w:marBottom w:val="0"/>
                  <w:divBdr>
                    <w:top w:val="none" w:sz="0" w:space="0" w:color="auto"/>
                    <w:left w:val="none" w:sz="0" w:space="0" w:color="auto"/>
                    <w:bottom w:val="none" w:sz="0" w:space="0" w:color="auto"/>
                    <w:right w:val="none" w:sz="0" w:space="0" w:color="auto"/>
                  </w:divBdr>
                  <w:divsChild>
                    <w:div w:id="401298747">
                      <w:marLeft w:val="0"/>
                      <w:marRight w:val="0"/>
                      <w:marTop w:val="0"/>
                      <w:marBottom w:val="0"/>
                      <w:divBdr>
                        <w:top w:val="none" w:sz="0" w:space="0" w:color="auto"/>
                        <w:left w:val="none" w:sz="0" w:space="0" w:color="auto"/>
                        <w:bottom w:val="none" w:sz="0" w:space="0" w:color="auto"/>
                        <w:right w:val="none" w:sz="0" w:space="0" w:color="auto"/>
                      </w:divBdr>
                    </w:div>
                  </w:divsChild>
                </w:div>
                <w:div w:id="1638531733">
                  <w:marLeft w:val="0"/>
                  <w:marRight w:val="0"/>
                  <w:marTop w:val="0"/>
                  <w:marBottom w:val="0"/>
                  <w:divBdr>
                    <w:top w:val="none" w:sz="0" w:space="0" w:color="auto"/>
                    <w:left w:val="none" w:sz="0" w:space="0" w:color="auto"/>
                    <w:bottom w:val="none" w:sz="0" w:space="0" w:color="auto"/>
                    <w:right w:val="none" w:sz="0" w:space="0" w:color="auto"/>
                  </w:divBdr>
                  <w:divsChild>
                    <w:div w:id="1578054992">
                      <w:marLeft w:val="0"/>
                      <w:marRight w:val="0"/>
                      <w:marTop w:val="0"/>
                      <w:marBottom w:val="0"/>
                      <w:divBdr>
                        <w:top w:val="none" w:sz="0" w:space="0" w:color="auto"/>
                        <w:left w:val="none" w:sz="0" w:space="0" w:color="auto"/>
                        <w:bottom w:val="none" w:sz="0" w:space="0" w:color="auto"/>
                        <w:right w:val="none" w:sz="0" w:space="0" w:color="auto"/>
                      </w:divBdr>
                    </w:div>
                    <w:div w:id="1595699544">
                      <w:marLeft w:val="0"/>
                      <w:marRight w:val="0"/>
                      <w:marTop w:val="0"/>
                      <w:marBottom w:val="0"/>
                      <w:divBdr>
                        <w:top w:val="none" w:sz="0" w:space="0" w:color="auto"/>
                        <w:left w:val="none" w:sz="0" w:space="0" w:color="auto"/>
                        <w:bottom w:val="none" w:sz="0" w:space="0" w:color="auto"/>
                        <w:right w:val="none" w:sz="0" w:space="0" w:color="auto"/>
                      </w:divBdr>
                    </w:div>
                  </w:divsChild>
                </w:div>
                <w:div w:id="1643534437">
                  <w:marLeft w:val="0"/>
                  <w:marRight w:val="0"/>
                  <w:marTop w:val="0"/>
                  <w:marBottom w:val="0"/>
                  <w:divBdr>
                    <w:top w:val="none" w:sz="0" w:space="0" w:color="auto"/>
                    <w:left w:val="none" w:sz="0" w:space="0" w:color="auto"/>
                    <w:bottom w:val="none" w:sz="0" w:space="0" w:color="auto"/>
                    <w:right w:val="none" w:sz="0" w:space="0" w:color="auto"/>
                  </w:divBdr>
                  <w:divsChild>
                    <w:div w:id="1357081987">
                      <w:marLeft w:val="0"/>
                      <w:marRight w:val="0"/>
                      <w:marTop w:val="0"/>
                      <w:marBottom w:val="0"/>
                      <w:divBdr>
                        <w:top w:val="none" w:sz="0" w:space="0" w:color="auto"/>
                        <w:left w:val="none" w:sz="0" w:space="0" w:color="auto"/>
                        <w:bottom w:val="none" w:sz="0" w:space="0" w:color="auto"/>
                        <w:right w:val="none" w:sz="0" w:space="0" w:color="auto"/>
                      </w:divBdr>
                    </w:div>
                  </w:divsChild>
                </w:div>
                <w:div w:id="1660234463">
                  <w:marLeft w:val="0"/>
                  <w:marRight w:val="0"/>
                  <w:marTop w:val="0"/>
                  <w:marBottom w:val="0"/>
                  <w:divBdr>
                    <w:top w:val="none" w:sz="0" w:space="0" w:color="auto"/>
                    <w:left w:val="none" w:sz="0" w:space="0" w:color="auto"/>
                    <w:bottom w:val="none" w:sz="0" w:space="0" w:color="auto"/>
                    <w:right w:val="none" w:sz="0" w:space="0" w:color="auto"/>
                  </w:divBdr>
                  <w:divsChild>
                    <w:div w:id="752629219">
                      <w:marLeft w:val="0"/>
                      <w:marRight w:val="0"/>
                      <w:marTop w:val="0"/>
                      <w:marBottom w:val="0"/>
                      <w:divBdr>
                        <w:top w:val="none" w:sz="0" w:space="0" w:color="auto"/>
                        <w:left w:val="none" w:sz="0" w:space="0" w:color="auto"/>
                        <w:bottom w:val="none" w:sz="0" w:space="0" w:color="auto"/>
                        <w:right w:val="none" w:sz="0" w:space="0" w:color="auto"/>
                      </w:divBdr>
                    </w:div>
                  </w:divsChild>
                </w:div>
                <w:div w:id="1662275703">
                  <w:marLeft w:val="0"/>
                  <w:marRight w:val="0"/>
                  <w:marTop w:val="0"/>
                  <w:marBottom w:val="0"/>
                  <w:divBdr>
                    <w:top w:val="none" w:sz="0" w:space="0" w:color="auto"/>
                    <w:left w:val="none" w:sz="0" w:space="0" w:color="auto"/>
                    <w:bottom w:val="none" w:sz="0" w:space="0" w:color="auto"/>
                    <w:right w:val="none" w:sz="0" w:space="0" w:color="auto"/>
                  </w:divBdr>
                  <w:divsChild>
                    <w:div w:id="90198224">
                      <w:marLeft w:val="0"/>
                      <w:marRight w:val="0"/>
                      <w:marTop w:val="0"/>
                      <w:marBottom w:val="0"/>
                      <w:divBdr>
                        <w:top w:val="none" w:sz="0" w:space="0" w:color="auto"/>
                        <w:left w:val="none" w:sz="0" w:space="0" w:color="auto"/>
                        <w:bottom w:val="none" w:sz="0" w:space="0" w:color="auto"/>
                        <w:right w:val="none" w:sz="0" w:space="0" w:color="auto"/>
                      </w:divBdr>
                    </w:div>
                  </w:divsChild>
                </w:div>
                <w:div w:id="1694920815">
                  <w:marLeft w:val="0"/>
                  <w:marRight w:val="0"/>
                  <w:marTop w:val="0"/>
                  <w:marBottom w:val="0"/>
                  <w:divBdr>
                    <w:top w:val="none" w:sz="0" w:space="0" w:color="auto"/>
                    <w:left w:val="none" w:sz="0" w:space="0" w:color="auto"/>
                    <w:bottom w:val="none" w:sz="0" w:space="0" w:color="auto"/>
                    <w:right w:val="none" w:sz="0" w:space="0" w:color="auto"/>
                  </w:divBdr>
                  <w:divsChild>
                    <w:div w:id="1934046274">
                      <w:marLeft w:val="0"/>
                      <w:marRight w:val="0"/>
                      <w:marTop w:val="0"/>
                      <w:marBottom w:val="0"/>
                      <w:divBdr>
                        <w:top w:val="none" w:sz="0" w:space="0" w:color="auto"/>
                        <w:left w:val="none" w:sz="0" w:space="0" w:color="auto"/>
                        <w:bottom w:val="none" w:sz="0" w:space="0" w:color="auto"/>
                        <w:right w:val="none" w:sz="0" w:space="0" w:color="auto"/>
                      </w:divBdr>
                    </w:div>
                  </w:divsChild>
                </w:div>
                <w:div w:id="1709598762">
                  <w:marLeft w:val="0"/>
                  <w:marRight w:val="0"/>
                  <w:marTop w:val="0"/>
                  <w:marBottom w:val="0"/>
                  <w:divBdr>
                    <w:top w:val="none" w:sz="0" w:space="0" w:color="auto"/>
                    <w:left w:val="none" w:sz="0" w:space="0" w:color="auto"/>
                    <w:bottom w:val="none" w:sz="0" w:space="0" w:color="auto"/>
                    <w:right w:val="none" w:sz="0" w:space="0" w:color="auto"/>
                  </w:divBdr>
                  <w:divsChild>
                    <w:div w:id="951084735">
                      <w:marLeft w:val="0"/>
                      <w:marRight w:val="0"/>
                      <w:marTop w:val="0"/>
                      <w:marBottom w:val="0"/>
                      <w:divBdr>
                        <w:top w:val="none" w:sz="0" w:space="0" w:color="auto"/>
                        <w:left w:val="none" w:sz="0" w:space="0" w:color="auto"/>
                        <w:bottom w:val="none" w:sz="0" w:space="0" w:color="auto"/>
                        <w:right w:val="none" w:sz="0" w:space="0" w:color="auto"/>
                      </w:divBdr>
                    </w:div>
                  </w:divsChild>
                </w:div>
                <w:div w:id="1709908927">
                  <w:marLeft w:val="0"/>
                  <w:marRight w:val="0"/>
                  <w:marTop w:val="0"/>
                  <w:marBottom w:val="0"/>
                  <w:divBdr>
                    <w:top w:val="none" w:sz="0" w:space="0" w:color="auto"/>
                    <w:left w:val="none" w:sz="0" w:space="0" w:color="auto"/>
                    <w:bottom w:val="none" w:sz="0" w:space="0" w:color="auto"/>
                    <w:right w:val="none" w:sz="0" w:space="0" w:color="auto"/>
                  </w:divBdr>
                  <w:divsChild>
                    <w:div w:id="155923282">
                      <w:marLeft w:val="0"/>
                      <w:marRight w:val="0"/>
                      <w:marTop w:val="0"/>
                      <w:marBottom w:val="0"/>
                      <w:divBdr>
                        <w:top w:val="none" w:sz="0" w:space="0" w:color="auto"/>
                        <w:left w:val="none" w:sz="0" w:space="0" w:color="auto"/>
                        <w:bottom w:val="none" w:sz="0" w:space="0" w:color="auto"/>
                        <w:right w:val="none" w:sz="0" w:space="0" w:color="auto"/>
                      </w:divBdr>
                    </w:div>
                    <w:div w:id="709958118">
                      <w:marLeft w:val="0"/>
                      <w:marRight w:val="0"/>
                      <w:marTop w:val="0"/>
                      <w:marBottom w:val="0"/>
                      <w:divBdr>
                        <w:top w:val="none" w:sz="0" w:space="0" w:color="auto"/>
                        <w:left w:val="none" w:sz="0" w:space="0" w:color="auto"/>
                        <w:bottom w:val="none" w:sz="0" w:space="0" w:color="auto"/>
                        <w:right w:val="none" w:sz="0" w:space="0" w:color="auto"/>
                      </w:divBdr>
                    </w:div>
                  </w:divsChild>
                </w:div>
                <w:div w:id="1712194704">
                  <w:marLeft w:val="0"/>
                  <w:marRight w:val="0"/>
                  <w:marTop w:val="0"/>
                  <w:marBottom w:val="0"/>
                  <w:divBdr>
                    <w:top w:val="none" w:sz="0" w:space="0" w:color="auto"/>
                    <w:left w:val="none" w:sz="0" w:space="0" w:color="auto"/>
                    <w:bottom w:val="none" w:sz="0" w:space="0" w:color="auto"/>
                    <w:right w:val="none" w:sz="0" w:space="0" w:color="auto"/>
                  </w:divBdr>
                  <w:divsChild>
                    <w:div w:id="442381805">
                      <w:marLeft w:val="0"/>
                      <w:marRight w:val="0"/>
                      <w:marTop w:val="0"/>
                      <w:marBottom w:val="0"/>
                      <w:divBdr>
                        <w:top w:val="none" w:sz="0" w:space="0" w:color="auto"/>
                        <w:left w:val="none" w:sz="0" w:space="0" w:color="auto"/>
                        <w:bottom w:val="none" w:sz="0" w:space="0" w:color="auto"/>
                        <w:right w:val="none" w:sz="0" w:space="0" w:color="auto"/>
                      </w:divBdr>
                    </w:div>
                  </w:divsChild>
                </w:div>
                <w:div w:id="1716660398">
                  <w:marLeft w:val="0"/>
                  <w:marRight w:val="0"/>
                  <w:marTop w:val="0"/>
                  <w:marBottom w:val="0"/>
                  <w:divBdr>
                    <w:top w:val="none" w:sz="0" w:space="0" w:color="auto"/>
                    <w:left w:val="none" w:sz="0" w:space="0" w:color="auto"/>
                    <w:bottom w:val="none" w:sz="0" w:space="0" w:color="auto"/>
                    <w:right w:val="none" w:sz="0" w:space="0" w:color="auto"/>
                  </w:divBdr>
                  <w:divsChild>
                    <w:div w:id="384065759">
                      <w:marLeft w:val="0"/>
                      <w:marRight w:val="0"/>
                      <w:marTop w:val="0"/>
                      <w:marBottom w:val="0"/>
                      <w:divBdr>
                        <w:top w:val="none" w:sz="0" w:space="0" w:color="auto"/>
                        <w:left w:val="none" w:sz="0" w:space="0" w:color="auto"/>
                        <w:bottom w:val="none" w:sz="0" w:space="0" w:color="auto"/>
                        <w:right w:val="none" w:sz="0" w:space="0" w:color="auto"/>
                      </w:divBdr>
                    </w:div>
                    <w:div w:id="1648968972">
                      <w:marLeft w:val="0"/>
                      <w:marRight w:val="0"/>
                      <w:marTop w:val="0"/>
                      <w:marBottom w:val="0"/>
                      <w:divBdr>
                        <w:top w:val="none" w:sz="0" w:space="0" w:color="auto"/>
                        <w:left w:val="none" w:sz="0" w:space="0" w:color="auto"/>
                        <w:bottom w:val="none" w:sz="0" w:space="0" w:color="auto"/>
                        <w:right w:val="none" w:sz="0" w:space="0" w:color="auto"/>
                      </w:divBdr>
                    </w:div>
                    <w:div w:id="1849054176">
                      <w:marLeft w:val="0"/>
                      <w:marRight w:val="0"/>
                      <w:marTop w:val="0"/>
                      <w:marBottom w:val="0"/>
                      <w:divBdr>
                        <w:top w:val="none" w:sz="0" w:space="0" w:color="auto"/>
                        <w:left w:val="none" w:sz="0" w:space="0" w:color="auto"/>
                        <w:bottom w:val="none" w:sz="0" w:space="0" w:color="auto"/>
                        <w:right w:val="none" w:sz="0" w:space="0" w:color="auto"/>
                      </w:divBdr>
                    </w:div>
                  </w:divsChild>
                </w:div>
                <w:div w:id="1725444693">
                  <w:marLeft w:val="0"/>
                  <w:marRight w:val="0"/>
                  <w:marTop w:val="0"/>
                  <w:marBottom w:val="0"/>
                  <w:divBdr>
                    <w:top w:val="none" w:sz="0" w:space="0" w:color="auto"/>
                    <w:left w:val="none" w:sz="0" w:space="0" w:color="auto"/>
                    <w:bottom w:val="none" w:sz="0" w:space="0" w:color="auto"/>
                    <w:right w:val="none" w:sz="0" w:space="0" w:color="auto"/>
                  </w:divBdr>
                  <w:divsChild>
                    <w:div w:id="1314944117">
                      <w:marLeft w:val="0"/>
                      <w:marRight w:val="0"/>
                      <w:marTop w:val="0"/>
                      <w:marBottom w:val="0"/>
                      <w:divBdr>
                        <w:top w:val="none" w:sz="0" w:space="0" w:color="auto"/>
                        <w:left w:val="none" w:sz="0" w:space="0" w:color="auto"/>
                        <w:bottom w:val="none" w:sz="0" w:space="0" w:color="auto"/>
                        <w:right w:val="none" w:sz="0" w:space="0" w:color="auto"/>
                      </w:divBdr>
                    </w:div>
                  </w:divsChild>
                </w:div>
                <w:div w:id="1728990774">
                  <w:marLeft w:val="0"/>
                  <w:marRight w:val="0"/>
                  <w:marTop w:val="0"/>
                  <w:marBottom w:val="0"/>
                  <w:divBdr>
                    <w:top w:val="none" w:sz="0" w:space="0" w:color="auto"/>
                    <w:left w:val="none" w:sz="0" w:space="0" w:color="auto"/>
                    <w:bottom w:val="none" w:sz="0" w:space="0" w:color="auto"/>
                    <w:right w:val="none" w:sz="0" w:space="0" w:color="auto"/>
                  </w:divBdr>
                  <w:divsChild>
                    <w:div w:id="1851483482">
                      <w:marLeft w:val="0"/>
                      <w:marRight w:val="0"/>
                      <w:marTop w:val="0"/>
                      <w:marBottom w:val="0"/>
                      <w:divBdr>
                        <w:top w:val="none" w:sz="0" w:space="0" w:color="auto"/>
                        <w:left w:val="none" w:sz="0" w:space="0" w:color="auto"/>
                        <w:bottom w:val="none" w:sz="0" w:space="0" w:color="auto"/>
                        <w:right w:val="none" w:sz="0" w:space="0" w:color="auto"/>
                      </w:divBdr>
                    </w:div>
                  </w:divsChild>
                </w:div>
                <w:div w:id="1730154190">
                  <w:marLeft w:val="0"/>
                  <w:marRight w:val="0"/>
                  <w:marTop w:val="0"/>
                  <w:marBottom w:val="0"/>
                  <w:divBdr>
                    <w:top w:val="none" w:sz="0" w:space="0" w:color="auto"/>
                    <w:left w:val="none" w:sz="0" w:space="0" w:color="auto"/>
                    <w:bottom w:val="none" w:sz="0" w:space="0" w:color="auto"/>
                    <w:right w:val="none" w:sz="0" w:space="0" w:color="auto"/>
                  </w:divBdr>
                  <w:divsChild>
                    <w:div w:id="1682197555">
                      <w:marLeft w:val="0"/>
                      <w:marRight w:val="0"/>
                      <w:marTop w:val="0"/>
                      <w:marBottom w:val="0"/>
                      <w:divBdr>
                        <w:top w:val="none" w:sz="0" w:space="0" w:color="auto"/>
                        <w:left w:val="none" w:sz="0" w:space="0" w:color="auto"/>
                        <w:bottom w:val="none" w:sz="0" w:space="0" w:color="auto"/>
                        <w:right w:val="none" w:sz="0" w:space="0" w:color="auto"/>
                      </w:divBdr>
                    </w:div>
                  </w:divsChild>
                </w:div>
                <w:div w:id="1749812855">
                  <w:marLeft w:val="0"/>
                  <w:marRight w:val="0"/>
                  <w:marTop w:val="0"/>
                  <w:marBottom w:val="0"/>
                  <w:divBdr>
                    <w:top w:val="none" w:sz="0" w:space="0" w:color="auto"/>
                    <w:left w:val="none" w:sz="0" w:space="0" w:color="auto"/>
                    <w:bottom w:val="none" w:sz="0" w:space="0" w:color="auto"/>
                    <w:right w:val="none" w:sz="0" w:space="0" w:color="auto"/>
                  </w:divBdr>
                  <w:divsChild>
                    <w:div w:id="1196580673">
                      <w:marLeft w:val="0"/>
                      <w:marRight w:val="0"/>
                      <w:marTop w:val="0"/>
                      <w:marBottom w:val="0"/>
                      <w:divBdr>
                        <w:top w:val="none" w:sz="0" w:space="0" w:color="auto"/>
                        <w:left w:val="none" w:sz="0" w:space="0" w:color="auto"/>
                        <w:bottom w:val="none" w:sz="0" w:space="0" w:color="auto"/>
                        <w:right w:val="none" w:sz="0" w:space="0" w:color="auto"/>
                      </w:divBdr>
                    </w:div>
                  </w:divsChild>
                </w:div>
                <w:div w:id="1762289895">
                  <w:marLeft w:val="0"/>
                  <w:marRight w:val="0"/>
                  <w:marTop w:val="0"/>
                  <w:marBottom w:val="0"/>
                  <w:divBdr>
                    <w:top w:val="none" w:sz="0" w:space="0" w:color="auto"/>
                    <w:left w:val="none" w:sz="0" w:space="0" w:color="auto"/>
                    <w:bottom w:val="none" w:sz="0" w:space="0" w:color="auto"/>
                    <w:right w:val="none" w:sz="0" w:space="0" w:color="auto"/>
                  </w:divBdr>
                  <w:divsChild>
                    <w:div w:id="2098863102">
                      <w:marLeft w:val="0"/>
                      <w:marRight w:val="0"/>
                      <w:marTop w:val="0"/>
                      <w:marBottom w:val="0"/>
                      <w:divBdr>
                        <w:top w:val="none" w:sz="0" w:space="0" w:color="auto"/>
                        <w:left w:val="none" w:sz="0" w:space="0" w:color="auto"/>
                        <w:bottom w:val="none" w:sz="0" w:space="0" w:color="auto"/>
                        <w:right w:val="none" w:sz="0" w:space="0" w:color="auto"/>
                      </w:divBdr>
                    </w:div>
                  </w:divsChild>
                </w:div>
                <w:div w:id="1772772392">
                  <w:marLeft w:val="0"/>
                  <w:marRight w:val="0"/>
                  <w:marTop w:val="0"/>
                  <w:marBottom w:val="0"/>
                  <w:divBdr>
                    <w:top w:val="none" w:sz="0" w:space="0" w:color="auto"/>
                    <w:left w:val="none" w:sz="0" w:space="0" w:color="auto"/>
                    <w:bottom w:val="none" w:sz="0" w:space="0" w:color="auto"/>
                    <w:right w:val="none" w:sz="0" w:space="0" w:color="auto"/>
                  </w:divBdr>
                  <w:divsChild>
                    <w:div w:id="569771294">
                      <w:marLeft w:val="0"/>
                      <w:marRight w:val="0"/>
                      <w:marTop w:val="0"/>
                      <w:marBottom w:val="0"/>
                      <w:divBdr>
                        <w:top w:val="none" w:sz="0" w:space="0" w:color="auto"/>
                        <w:left w:val="none" w:sz="0" w:space="0" w:color="auto"/>
                        <w:bottom w:val="none" w:sz="0" w:space="0" w:color="auto"/>
                        <w:right w:val="none" w:sz="0" w:space="0" w:color="auto"/>
                      </w:divBdr>
                    </w:div>
                    <w:div w:id="898976825">
                      <w:marLeft w:val="0"/>
                      <w:marRight w:val="0"/>
                      <w:marTop w:val="0"/>
                      <w:marBottom w:val="0"/>
                      <w:divBdr>
                        <w:top w:val="none" w:sz="0" w:space="0" w:color="auto"/>
                        <w:left w:val="none" w:sz="0" w:space="0" w:color="auto"/>
                        <w:bottom w:val="none" w:sz="0" w:space="0" w:color="auto"/>
                        <w:right w:val="none" w:sz="0" w:space="0" w:color="auto"/>
                      </w:divBdr>
                    </w:div>
                    <w:div w:id="1039889390">
                      <w:marLeft w:val="0"/>
                      <w:marRight w:val="0"/>
                      <w:marTop w:val="0"/>
                      <w:marBottom w:val="0"/>
                      <w:divBdr>
                        <w:top w:val="none" w:sz="0" w:space="0" w:color="auto"/>
                        <w:left w:val="none" w:sz="0" w:space="0" w:color="auto"/>
                        <w:bottom w:val="none" w:sz="0" w:space="0" w:color="auto"/>
                        <w:right w:val="none" w:sz="0" w:space="0" w:color="auto"/>
                      </w:divBdr>
                    </w:div>
                    <w:div w:id="2093164942">
                      <w:marLeft w:val="0"/>
                      <w:marRight w:val="0"/>
                      <w:marTop w:val="0"/>
                      <w:marBottom w:val="0"/>
                      <w:divBdr>
                        <w:top w:val="none" w:sz="0" w:space="0" w:color="auto"/>
                        <w:left w:val="none" w:sz="0" w:space="0" w:color="auto"/>
                        <w:bottom w:val="none" w:sz="0" w:space="0" w:color="auto"/>
                        <w:right w:val="none" w:sz="0" w:space="0" w:color="auto"/>
                      </w:divBdr>
                    </w:div>
                  </w:divsChild>
                </w:div>
                <w:div w:id="1777559712">
                  <w:marLeft w:val="0"/>
                  <w:marRight w:val="0"/>
                  <w:marTop w:val="0"/>
                  <w:marBottom w:val="0"/>
                  <w:divBdr>
                    <w:top w:val="none" w:sz="0" w:space="0" w:color="auto"/>
                    <w:left w:val="none" w:sz="0" w:space="0" w:color="auto"/>
                    <w:bottom w:val="none" w:sz="0" w:space="0" w:color="auto"/>
                    <w:right w:val="none" w:sz="0" w:space="0" w:color="auto"/>
                  </w:divBdr>
                  <w:divsChild>
                    <w:div w:id="73624409">
                      <w:marLeft w:val="0"/>
                      <w:marRight w:val="0"/>
                      <w:marTop w:val="0"/>
                      <w:marBottom w:val="0"/>
                      <w:divBdr>
                        <w:top w:val="none" w:sz="0" w:space="0" w:color="auto"/>
                        <w:left w:val="none" w:sz="0" w:space="0" w:color="auto"/>
                        <w:bottom w:val="none" w:sz="0" w:space="0" w:color="auto"/>
                        <w:right w:val="none" w:sz="0" w:space="0" w:color="auto"/>
                      </w:divBdr>
                    </w:div>
                  </w:divsChild>
                </w:div>
                <w:div w:id="1779793256">
                  <w:marLeft w:val="0"/>
                  <w:marRight w:val="0"/>
                  <w:marTop w:val="0"/>
                  <w:marBottom w:val="0"/>
                  <w:divBdr>
                    <w:top w:val="none" w:sz="0" w:space="0" w:color="auto"/>
                    <w:left w:val="none" w:sz="0" w:space="0" w:color="auto"/>
                    <w:bottom w:val="none" w:sz="0" w:space="0" w:color="auto"/>
                    <w:right w:val="none" w:sz="0" w:space="0" w:color="auto"/>
                  </w:divBdr>
                  <w:divsChild>
                    <w:div w:id="1124806849">
                      <w:marLeft w:val="0"/>
                      <w:marRight w:val="0"/>
                      <w:marTop w:val="0"/>
                      <w:marBottom w:val="0"/>
                      <w:divBdr>
                        <w:top w:val="none" w:sz="0" w:space="0" w:color="auto"/>
                        <w:left w:val="none" w:sz="0" w:space="0" w:color="auto"/>
                        <w:bottom w:val="none" w:sz="0" w:space="0" w:color="auto"/>
                        <w:right w:val="none" w:sz="0" w:space="0" w:color="auto"/>
                      </w:divBdr>
                    </w:div>
                  </w:divsChild>
                </w:div>
                <w:div w:id="1800295731">
                  <w:marLeft w:val="0"/>
                  <w:marRight w:val="0"/>
                  <w:marTop w:val="0"/>
                  <w:marBottom w:val="0"/>
                  <w:divBdr>
                    <w:top w:val="none" w:sz="0" w:space="0" w:color="auto"/>
                    <w:left w:val="none" w:sz="0" w:space="0" w:color="auto"/>
                    <w:bottom w:val="none" w:sz="0" w:space="0" w:color="auto"/>
                    <w:right w:val="none" w:sz="0" w:space="0" w:color="auto"/>
                  </w:divBdr>
                  <w:divsChild>
                    <w:div w:id="444010143">
                      <w:marLeft w:val="0"/>
                      <w:marRight w:val="0"/>
                      <w:marTop w:val="0"/>
                      <w:marBottom w:val="0"/>
                      <w:divBdr>
                        <w:top w:val="none" w:sz="0" w:space="0" w:color="auto"/>
                        <w:left w:val="none" w:sz="0" w:space="0" w:color="auto"/>
                        <w:bottom w:val="none" w:sz="0" w:space="0" w:color="auto"/>
                        <w:right w:val="none" w:sz="0" w:space="0" w:color="auto"/>
                      </w:divBdr>
                    </w:div>
                    <w:div w:id="1808820067">
                      <w:marLeft w:val="0"/>
                      <w:marRight w:val="0"/>
                      <w:marTop w:val="0"/>
                      <w:marBottom w:val="0"/>
                      <w:divBdr>
                        <w:top w:val="none" w:sz="0" w:space="0" w:color="auto"/>
                        <w:left w:val="none" w:sz="0" w:space="0" w:color="auto"/>
                        <w:bottom w:val="none" w:sz="0" w:space="0" w:color="auto"/>
                        <w:right w:val="none" w:sz="0" w:space="0" w:color="auto"/>
                      </w:divBdr>
                    </w:div>
                  </w:divsChild>
                </w:div>
                <w:div w:id="1808233407">
                  <w:marLeft w:val="0"/>
                  <w:marRight w:val="0"/>
                  <w:marTop w:val="0"/>
                  <w:marBottom w:val="0"/>
                  <w:divBdr>
                    <w:top w:val="none" w:sz="0" w:space="0" w:color="auto"/>
                    <w:left w:val="none" w:sz="0" w:space="0" w:color="auto"/>
                    <w:bottom w:val="none" w:sz="0" w:space="0" w:color="auto"/>
                    <w:right w:val="none" w:sz="0" w:space="0" w:color="auto"/>
                  </w:divBdr>
                  <w:divsChild>
                    <w:div w:id="1890922859">
                      <w:marLeft w:val="0"/>
                      <w:marRight w:val="0"/>
                      <w:marTop w:val="0"/>
                      <w:marBottom w:val="0"/>
                      <w:divBdr>
                        <w:top w:val="none" w:sz="0" w:space="0" w:color="auto"/>
                        <w:left w:val="none" w:sz="0" w:space="0" w:color="auto"/>
                        <w:bottom w:val="none" w:sz="0" w:space="0" w:color="auto"/>
                        <w:right w:val="none" w:sz="0" w:space="0" w:color="auto"/>
                      </w:divBdr>
                    </w:div>
                  </w:divsChild>
                </w:div>
                <w:div w:id="1819302600">
                  <w:marLeft w:val="0"/>
                  <w:marRight w:val="0"/>
                  <w:marTop w:val="0"/>
                  <w:marBottom w:val="0"/>
                  <w:divBdr>
                    <w:top w:val="none" w:sz="0" w:space="0" w:color="auto"/>
                    <w:left w:val="none" w:sz="0" w:space="0" w:color="auto"/>
                    <w:bottom w:val="none" w:sz="0" w:space="0" w:color="auto"/>
                    <w:right w:val="none" w:sz="0" w:space="0" w:color="auto"/>
                  </w:divBdr>
                  <w:divsChild>
                    <w:div w:id="1785735203">
                      <w:marLeft w:val="0"/>
                      <w:marRight w:val="0"/>
                      <w:marTop w:val="0"/>
                      <w:marBottom w:val="0"/>
                      <w:divBdr>
                        <w:top w:val="none" w:sz="0" w:space="0" w:color="auto"/>
                        <w:left w:val="none" w:sz="0" w:space="0" w:color="auto"/>
                        <w:bottom w:val="none" w:sz="0" w:space="0" w:color="auto"/>
                        <w:right w:val="none" w:sz="0" w:space="0" w:color="auto"/>
                      </w:divBdr>
                    </w:div>
                  </w:divsChild>
                </w:div>
                <w:div w:id="1823228741">
                  <w:marLeft w:val="0"/>
                  <w:marRight w:val="0"/>
                  <w:marTop w:val="0"/>
                  <w:marBottom w:val="0"/>
                  <w:divBdr>
                    <w:top w:val="none" w:sz="0" w:space="0" w:color="auto"/>
                    <w:left w:val="none" w:sz="0" w:space="0" w:color="auto"/>
                    <w:bottom w:val="none" w:sz="0" w:space="0" w:color="auto"/>
                    <w:right w:val="none" w:sz="0" w:space="0" w:color="auto"/>
                  </w:divBdr>
                  <w:divsChild>
                    <w:div w:id="173303908">
                      <w:marLeft w:val="0"/>
                      <w:marRight w:val="0"/>
                      <w:marTop w:val="0"/>
                      <w:marBottom w:val="0"/>
                      <w:divBdr>
                        <w:top w:val="none" w:sz="0" w:space="0" w:color="auto"/>
                        <w:left w:val="none" w:sz="0" w:space="0" w:color="auto"/>
                        <w:bottom w:val="none" w:sz="0" w:space="0" w:color="auto"/>
                        <w:right w:val="none" w:sz="0" w:space="0" w:color="auto"/>
                      </w:divBdr>
                    </w:div>
                  </w:divsChild>
                </w:div>
                <w:div w:id="1827433899">
                  <w:marLeft w:val="0"/>
                  <w:marRight w:val="0"/>
                  <w:marTop w:val="0"/>
                  <w:marBottom w:val="0"/>
                  <w:divBdr>
                    <w:top w:val="none" w:sz="0" w:space="0" w:color="auto"/>
                    <w:left w:val="none" w:sz="0" w:space="0" w:color="auto"/>
                    <w:bottom w:val="none" w:sz="0" w:space="0" w:color="auto"/>
                    <w:right w:val="none" w:sz="0" w:space="0" w:color="auto"/>
                  </w:divBdr>
                  <w:divsChild>
                    <w:div w:id="318509267">
                      <w:marLeft w:val="0"/>
                      <w:marRight w:val="0"/>
                      <w:marTop w:val="0"/>
                      <w:marBottom w:val="0"/>
                      <w:divBdr>
                        <w:top w:val="none" w:sz="0" w:space="0" w:color="auto"/>
                        <w:left w:val="none" w:sz="0" w:space="0" w:color="auto"/>
                        <w:bottom w:val="none" w:sz="0" w:space="0" w:color="auto"/>
                        <w:right w:val="none" w:sz="0" w:space="0" w:color="auto"/>
                      </w:divBdr>
                    </w:div>
                    <w:div w:id="1447457512">
                      <w:marLeft w:val="0"/>
                      <w:marRight w:val="0"/>
                      <w:marTop w:val="0"/>
                      <w:marBottom w:val="0"/>
                      <w:divBdr>
                        <w:top w:val="none" w:sz="0" w:space="0" w:color="auto"/>
                        <w:left w:val="none" w:sz="0" w:space="0" w:color="auto"/>
                        <w:bottom w:val="none" w:sz="0" w:space="0" w:color="auto"/>
                        <w:right w:val="none" w:sz="0" w:space="0" w:color="auto"/>
                      </w:divBdr>
                    </w:div>
                    <w:div w:id="1727147688">
                      <w:marLeft w:val="0"/>
                      <w:marRight w:val="0"/>
                      <w:marTop w:val="0"/>
                      <w:marBottom w:val="0"/>
                      <w:divBdr>
                        <w:top w:val="none" w:sz="0" w:space="0" w:color="auto"/>
                        <w:left w:val="none" w:sz="0" w:space="0" w:color="auto"/>
                        <w:bottom w:val="none" w:sz="0" w:space="0" w:color="auto"/>
                        <w:right w:val="none" w:sz="0" w:space="0" w:color="auto"/>
                      </w:divBdr>
                    </w:div>
                    <w:div w:id="2123260738">
                      <w:marLeft w:val="0"/>
                      <w:marRight w:val="0"/>
                      <w:marTop w:val="0"/>
                      <w:marBottom w:val="0"/>
                      <w:divBdr>
                        <w:top w:val="none" w:sz="0" w:space="0" w:color="auto"/>
                        <w:left w:val="none" w:sz="0" w:space="0" w:color="auto"/>
                        <w:bottom w:val="none" w:sz="0" w:space="0" w:color="auto"/>
                        <w:right w:val="none" w:sz="0" w:space="0" w:color="auto"/>
                      </w:divBdr>
                    </w:div>
                  </w:divsChild>
                </w:div>
                <w:div w:id="1845129184">
                  <w:marLeft w:val="0"/>
                  <w:marRight w:val="0"/>
                  <w:marTop w:val="0"/>
                  <w:marBottom w:val="0"/>
                  <w:divBdr>
                    <w:top w:val="none" w:sz="0" w:space="0" w:color="auto"/>
                    <w:left w:val="none" w:sz="0" w:space="0" w:color="auto"/>
                    <w:bottom w:val="none" w:sz="0" w:space="0" w:color="auto"/>
                    <w:right w:val="none" w:sz="0" w:space="0" w:color="auto"/>
                  </w:divBdr>
                  <w:divsChild>
                    <w:div w:id="1555458742">
                      <w:marLeft w:val="0"/>
                      <w:marRight w:val="0"/>
                      <w:marTop w:val="0"/>
                      <w:marBottom w:val="0"/>
                      <w:divBdr>
                        <w:top w:val="none" w:sz="0" w:space="0" w:color="auto"/>
                        <w:left w:val="none" w:sz="0" w:space="0" w:color="auto"/>
                        <w:bottom w:val="none" w:sz="0" w:space="0" w:color="auto"/>
                        <w:right w:val="none" w:sz="0" w:space="0" w:color="auto"/>
                      </w:divBdr>
                    </w:div>
                  </w:divsChild>
                </w:div>
                <w:div w:id="1848329868">
                  <w:marLeft w:val="0"/>
                  <w:marRight w:val="0"/>
                  <w:marTop w:val="0"/>
                  <w:marBottom w:val="0"/>
                  <w:divBdr>
                    <w:top w:val="none" w:sz="0" w:space="0" w:color="auto"/>
                    <w:left w:val="none" w:sz="0" w:space="0" w:color="auto"/>
                    <w:bottom w:val="none" w:sz="0" w:space="0" w:color="auto"/>
                    <w:right w:val="none" w:sz="0" w:space="0" w:color="auto"/>
                  </w:divBdr>
                  <w:divsChild>
                    <w:div w:id="2126774355">
                      <w:marLeft w:val="0"/>
                      <w:marRight w:val="0"/>
                      <w:marTop w:val="0"/>
                      <w:marBottom w:val="0"/>
                      <w:divBdr>
                        <w:top w:val="none" w:sz="0" w:space="0" w:color="auto"/>
                        <w:left w:val="none" w:sz="0" w:space="0" w:color="auto"/>
                        <w:bottom w:val="none" w:sz="0" w:space="0" w:color="auto"/>
                        <w:right w:val="none" w:sz="0" w:space="0" w:color="auto"/>
                      </w:divBdr>
                    </w:div>
                  </w:divsChild>
                </w:div>
                <w:div w:id="1850874716">
                  <w:marLeft w:val="0"/>
                  <w:marRight w:val="0"/>
                  <w:marTop w:val="0"/>
                  <w:marBottom w:val="0"/>
                  <w:divBdr>
                    <w:top w:val="none" w:sz="0" w:space="0" w:color="auto"/>
                    <w:left w:val="none" w:sz="0" w:space="0" w:color="auto"/>
                    <w:bottom w:val="none" w:sz="0" w:space="0" w:color="auto"/>
                    <w:right w:val="none" w:sz="0" w:space="0" w:color="auto"/>
                  </w:divBdr>
                  <w:divsChild>
                    <w:div w:id="516117246">
                      <w:marLeft w:val="0"/>
                      <w:marRight w:val="0"/>
                      <w:marTop w:val="0"/>
                      <w:marBottom w:val="0"/>
                      <w:divBdr>
                        <w:top w:val="none" w:sz="0" w:space="0" w:color="auto"/>
                        <w:left w:val="none" w:sz="0" w:space="0" w:color="auto"/>
                        <w:bottom w:val="none" w:sz="0" w:space="0" w:color="auto"/>
                        <w:right w:val="none" w:sz="0" w:space="0" w:color="auto"/>
                      </w:divBdr>
                    </w:div>
                  </w:divsChild>
                </w:div>
                <w:div w:id="1858615186">
                  <w:marLeft w:val="0"/>
                  <w:marRight w:val="0"/>
                  <w:marTop w:val="0"/>
                  <w:marBottom w:val="0"/>
                  <w:divBdr>
                    <w:top w:val="none" w:sz="0" w:space="0" w:color="auto"/>
                    <w:left w:val="none" w:sz="0" w:space="0" w:color="auto"/>
                    <w:bottom w:val="none" w:sz="0" w:space="0" w:color="auto"/>
                    <w:right w:val="none" w:sz="0" w:space="0" w:color="auto"/>
                  </w:divBdr>
                  <w:divsChild>
                    <w:div w:id="105737910">
                      <w:marLeft w:val="0"/>
                      <w:marRight w:val="0"/>
                      <w:marTop w:val="0"/>
                      <w:marBottom w:val="0"/>
                      <w:divBdr>
                        <w:top w:val="none" w:sz="0" w:space="0" w:color="auto"/>
                        <w:left w:val="none" w:sz="0" w:space="0" w:color="auto"/>
                        <w:bottom w:val="none" w:sz="0" w:space="0" w:color="auto"/>
                        <w:right w:val="none" w:sz="0" w:space="0" w:color="auto"/>
                      </w:divBdr>
                    </w:div>
                  </w:divsChild>
                </w:div>
                <w:div w:id="1866746415">
                  <w:marLeft w:val="0"/>
                  <w:marRight w:val="0"/>
                  <w:marTop w:val="0"/>
                  <w:marBottom w:val="0"/>
                  <w:divBdr>
                    <w:top w:val="none" w:sz="0" w:space="0" w:color="auto"/>
                    <w:left w:val="none" w:sz="0" w:space="0" w:color="auto"/>
                    <w:bottom w:val="none" w:sz="0" w:space="0" w:color="auto"/>
                    <w:right w:val="none" w:sz="0" w:space="0" w:color="auto"/>
                  </w:divBdr>
                  <w:divsChild>
                    <w:div w:id="1131291550">
                      <w:marLeft w:val="0"/>
                      <w:marRight w:val="0"/>
                      <w:marTop w:val="0"/>
                      <w:marBottom w:val="0"/>
                      <w:divBdr>
                        <w:top w:val="none" w:sz="0" w:space="0" w:color="auto"/>
                        <w:left w:val="none" w:sz="0" w:space="0" w:color="auto"/>
                        <w:bottom w:val="none" w:sz="0" w:space="0" w:color="auto"/>
                        <w:right w:val="none" w:sz="0" w:space="0" w:color="auto"/>
                      </w:divBdr>
                    </w:div>
                    <w:div w:id="1221596408">
                      <w:marLeft w:val="0"/>
                      <w:marRight w:val="0"/>
                      <w:marTop w:val="0"/>
                      <w:marBottom w:val="0"/>
                      <w:divBdr>
                        <w:top w:val="none" w:sz="0" w:space="0" w:color="auto"/>
                        <w:left w:val="none" w:sz="0" w:space="0" w:color="auto"/>
                        <w:bottom w:val="none" w:sz="0" w:space="0" w:color="auto"/>
                        <w:right w:val="none" w:sz="0" w:space="0" w:color="auto"/>
                      </w:divBdr>
                    </w:div>
                    <w:div w:id="1801798704">
                      <w:marLeft w:val="0"/>
                      <w:marRight w:val="0"/>
                      <w:marTop w:val="0"/>
                      <w:marBottom w:val="0"/>
                      <w:divBdr>
                        <w:top w:val="none" w:sz="0" w:space="0" w:color="auto"/>
                        <w:left w:val="none" w:sz="0" w:space="0" w:color="auto"/>
                        <w:bottom w:val="none" w:sz="0" w:space="0" w:color="auto"/>
                        <w:right w:val="none" w:sz="0" w:space="0" w:color="auto"/>
                      </w:divBdr>
                    </w:div>
                    <w:div w:id="2006663608">
                      <w:marLeft w:val="0"/>
                      <w:marRight w:val="0"/>
                      <w:marTop w:val="0"/>
                      <w:marBottom w:val="0"/>
                      <w:divBdr>
                        <w:top w:val="none" w:sz="0" w:space="0" w:color="auto"/>
                        <w:left w:val="none" w:sz="0" w:space="0" w:color="auto"/>
                        <w:bottom w:val="none" w:sz="0" w:space="0" w:color="auto"/>
                        <w:right w:val="none" w:sz="0" w:space="0" w:color="auto"/>
                      </w:divBdr>
                    </w:div>
                  </w:divsChild>
                </w:div>
                <w:div w:id="1868130615">
                  <w:marLeft w:val="0"/>
                  <w:marRight w:val="0"/>
                  <w:marTop w:val="0"/>
                  <w:marBottom w:val="0"/>
                  <w:divBdr>
                    <w:top w:val="none" w:sz="0" w:space="0" w:color="auto"/>
                    <w:left w:val="none" w:sz="0" w:space="0" w:color="auto"/>
                    <w:bottom w:val="none" w:sz="0" w:space="0" w:color="auto"/>
                    <w:right w:val="none" w:sz="0" w:space="0" w:color="auto"/>
                  </w:divBdr>
                  <w:divsChild>
                    <w:div w:id="417361550">
                      <w:marLeft w:val="0"/>
                      <w:marRight w:val="0"/>
                      <w:marTop w:val="0"/>
                      <w:marBottom w:val="0"/>
                      <w:divBdr>
                        <w:top w:val="none" w:sz="0" w:space="0" w:color="auto"/>
                        <w:left w:val="none" w:sz="0" w:space="0" w:color="auto"/>
                        <w:bottom w:val="none" w:sz="0" w:space="0" w:color="auto"/>
                        <w:right w:val="none" w:sz="0" w:space="0" w:color="auto"/>
                      </w:divBdr>
                    </w:div>
                  </w:divsChild>
                </w:div>
                <w:div w:id="1878349890">
                  <w:marLeft w:val="0"/>
                  <w:marRight w:val="0"/>
                  <w:marTop w:val="0"/>
                  <w:marBottom w:val="0"/>
                  <w:divBdr>
                    <w:top w:val="none" w:sz="0" w:space="0" w:color="auto"/>
                    <w:left w:val="none" w:sz="0" w:space="0" w:color="auto"/>
                    <w:bottom w:val="none" w:sz="0" w:space="0" w:color="auto"/>
                    <w:right w:val="none" w:sz="0" w:space="0" w:color="auto"/>
                  </w:divBdr>
                  <w:divsChild>
                    <w:div w:id="584194950">
                      <w:marLeft w:val="0"/>
                      <w:marRight w:val="0"/>
                      <w:marTop w:val="0"/>
                      <w:marBottom w:val="0"/>
                      <w:divBdr>
                        <w:top w:val="none" w:sz="0" w:space="0" w:color="auto"/>
                        <w:left w:val="none" w:sz="0" w:space="0" w:color="auto"/>
                        <w:bottom w:val="none" w:sz="0" w:space="0" w:color="auto"/>
                        <w:right w:val="none" w:sz="0" w:space="0" w:color="auto"/>
                      </w:divBdr>
                    </w:div>
                  </w:divsChild>
                </w:div>
                <w:div w:id="1883132145">
                  <w:marLeft w:val="0"/>
                  <w:marRight w:val="0"/>
                  <w:marTop w:val="0"/>
                  <w:marBottom w:val="0"/>
                  <w:divBdr>
                    <w:top w:val="none" w:sz="0" w:space="0" w:color="auto"/>
                    <w:left w:val="none" w:sz="0" w:space="0" w:color="auto"/>
                    <w:bottom w:val="none" w:sz="0" w:space="0" w:color="auto"/>
                    <w:right w:val="none" w:sz="0" w:space="0" w:color="auto"/>
                  </w:divBdr>
                  <w:divsChild>
                    <w:div w:id="444350131">
                      <w:marLeft w:val="0"/>
                      <w:marRight w:val="0"/>
                      <w:marTop w:val="0"/>
                      <w:marBottom w:val="0"/>
                      <w:divBdr>
                        <w:top w:val="none" w:sz="0" w:space="0" w:color="auto"/>
                        <w:left w:val="none" w:sz="0" w:space="0" w:color="auto"/>
                        <w:bottom w:val="none" w:sz="0" w:space="0" w:color="auto"/>
                        <w:right w:val="none" w:sz="0" w:space="0" w:color="auto"/>
                      </w:divBdr>
                    </w:div>
                  </w:divsChild>
                </w:div>
                <w:div w:id="1893149845">
                  <w:marLeft w:val="0"/>
                  <w:marRight w:val="0"/>
                  <w:marTop w:val="0"/>
                  <w:marBottom w:val="0"/>
                  <w:divBdr>
                    <w:top w:val="none" w:sz="0" w:space="0" w:color="auto"/>
                    <w:left w:val="none" w:sz="0" w:space="0" w:color="auto"/>
                    <w:bottom w:val="none" w:sz="0" w:space="0" w:color="auto"/>
                    <w:right w:val="none" w:sz="0" w:space="0" w:color="auto"/>
                  </w:divBdr>
                  <w:divsChild>
                    <w:div w:id="1247035433">
                      <w:marLeft w:val="0"/>
                      <w:marRight w:val="0"/>
                      <w:marTop w:val="0"/>
                      <w:marBottom w:val="0"/>
                      <w:divBdr>
                        <w:top w:val="none" w:sz="0" w:space="0" w:color="auto"/>
                        <w:left w:val="none" w:sz="0" w:space="0" w:color="auto"/>
                        <w:bottom w:val="none" w:sz="0" w:space="0" w:color="auto"/>
                        <w:right w:val="none" w:sz="0" w:space="0" w:color="auto"/>
                      </w:divBdr>
                    </w:div>
                  </w:divsChild>
                </w:div>
                <w:div w:id="1897819305">
                  <w:marLeft w:val="0"/>
                  <w:marRight w:val="0"/>
                  <w:marTop w:val="0"/>
                  <w:marBottom w:val="0"/>
                  <w:divBdr>
                    <w:top w:val="none" w:sz="0" w:space="0" w:color="auto"/>
                    <w:left w:val="none" w:sz="0" w:space="0" w:color="auto"/>
                    <w:bottom w:val="none" w:sz="0" w:space="0" w:color="auto"/>
                    <w:right w:val="none" w:sz="0" w:space="0" w:color="auto"/>
                  </w:divBdr>
                  <w:divsChild>
                    <w:div w:id="973607576">
                      <w:marLeft w:val="0"/>
                      <w:marRight w:val="0"/>
                      <w:marTop w:val="0"/>
                      <w:marBottom w:val="0"/>
                      <w:divBdr>
                        <w:top w:val="none" w:sz="0" w:space="0" w:color="auto"/>
                        <w:left w:val="none" w:sz="0" w:space="0" w:color="auto"/>
                        <w:bottom w:val="none" w:sz="0" w:space="0" w:color="auto"/>
                        <w:right w:val="none" w:sz="0" w:space="0" w:color="auto"/>
                      </w:divBdr>
                    </w:div>
                  </w:divsChild>
                </w:div>
                <w:div w:id="1907252718">
                  <w:marLeft w:val="0"/>
                  <w:marRight w:val="0"/>
                  <w:marTop w:val="0"/>
                  <w:marBottom w:val="0"/>
                  <w:divBdr>
                    <w:top w:val="none" w:sz="0" w:space="0" w:color="auto"/>
                    <w:left w:val="none" w:sz="0" w:space="0" w:color="auto"/>
                    <w:bottom w:val="none" w:sz="0" w:space="0" w:color="auto"/>
                    <w:right w:val="none" w:sz="0" w:space="0" w:color="auto"/>
                  </w:divBdr>
                  <w:divsChild>
                    <w:div w:id="310141174">
                      <w:marLeft w:val="0"/>
                      <w:marRight w:val="0"/>
                      <w:marTop w:val="0"/>
                      <w:marBottom w:val="0"/>
                      <w:divBdr>
                        <w:top w:val="none" w:sz="0" w:space="0" w:color="auto"/>
                        <w:left w:val="none" w:sz="0" w:space="0" w:color="auto"/>
                        <w:bottom w:val="none" w:sz="0" w:space="0" w:color="auto"/>
                        <w:right w:val="none" w:sz="0" w:space="0" w:color="auto"/>
                      </w:divBdr>
                    </w:div>
                    <w:div w:id="368990617">
                      <w:marLeft w:val="0"/>
                      <w:marRight w:val="0"/>
                      <w:marTop w:val="0"/>
                      <w:marBottom w:val="0"/>
                      <w:divBdr>
                        <w:top w:val="none" w:sz="0" w:space="0" w:color="auto"/>
                        <w:left w:val="none" w:sz="0" w:space="0" w:color="auto"/>
                        <w:bottom w:val="none" w:sz="0" w:space="0" w:color="auto"/>
                        <w:right w:val="none" w:sz="0" w:space="0" w:color="auto"/>
                      </w:divBdr>
                    </w:div>
                    <w:div w:id="1362585590">
                      <w:marLeft w:val="0"/>
                      <w:marRight w:val="0"/>
                      <w:marTop w:val="0"/>
                      <w:marBottom w:val="0"/>
                      <w:divBdr>
                        <w:top w:val="none" w:sz="0" w:space="0" w:color="auto"/>
                        <w:left w:val="none" w:sz="0" w:space="0" w:color="auto"/>
                        <w:bottom w:val="none" w:sz="0" w:space="0" w:color="auto"/>
                        <w:right w:val="none" w:sz="0" w:space="0" w:color="auto"/>
                      </w:divBdr>
                    </w:div>
                    <w:div w:id="1553156589">
                      <w:marLeft w:val="0"/>
                      <w:marRight w:val="0"/>
                      <w:marTop w:val="0"/>
                      <w:marBottom w:val="0"/>
                      <w:divBdr>
                        <w:top w:val="none" w:sz="0" w:space="0" w:color="auto"/>
                        <w:left w:val="none" w:sz="0" w:space="0" w:color="auto"/>
                        <w:bottom w:val="none" w:sz="0" w:space="0" w:color="auto"/>
                        <w:right w:val="none" w:sz="0" w:space="0" w:color="auto"/>
                      </w:divBdr>
                    </w:div>
                  </w:divsChild>
                </w:div>
                <w:div w:id="1916083877">
                  <w:marLeft w:val="0"/>
                  <w:marRight w:val="0"/>
                  <w:marTop w:val="0"/>
                  <w:marBottom w:val="0"/>
                  <w:divBdr>
                    <w:top w:val="none" w:sz="0" w:space="0" w:color="auto"/>
                    <w:left w:val="none" w:sz="0" w:space="0" w:color="auto"/>
                    <w:bottom w:val="none" w:sz="0" w:space="0" w:color="auto"/>
                    <w:right w:val="none" w:sz="0" w:space="0" w:color="auto"/>
                  </w:divBdr>
                  <w:divsChild>
                    <w:div w:id="466096345">
                      <w:marLeft w:val="0"/>
                      <w:marRight w:val="0"/>
                      <w:marTop w:val="0"/>
                      <w:marBottom w:val="0"/>
                      <w:divBdr>
                        <w:top w:val="none" w:sz="0" w:space="0" w:color="auto"/>
                        <w:left w:val="none" w:sz="0" w:space="0" w:color="auto"/>
                        <w:bottom w:val="none" w:sz="0" w:space="0" w:color="auto"/>
                        <w:right w:val="none" w:sz="0" w:space="0" w:color="auto"/>
                      </w:divBdr>
                    </w:div>
                  </w:divsChild>
                </w:div>
                <w:div w:id="1932004559">
                  <w:marLeft w:val="0"/>
                  <w:marRight w:val="0"/>
                  <w:marTop w:val="0"/>
                  <w:marBottom w:val="0"/>
                  <w:divBdr>
                    <w:top w:val="none" w:sz="0" w:space="0" w:color="auto"/>
                    <w:left w:val="none" w:sz="0" w:space="0" w:color="auto"/>
                    <w:bottom w:val="none" w:sz="0" w:space="0" w:color="auto"/>
                    <w:right w:val="none" w:sz="0" w:space="0" w:color="auto"/>
                  </w:divBdr>
                  <w:divsChild>
                    <w:div w:id="2019385837">
                      <w:marLeft w:val="0"/>
                      <w:marRight w:val="0"/>
                      <w:marTop w:val="0"/>
                      <w:marBottom w:val="0"/>
                      <w:divBdr>
                        <w:top w:val="none" w:sz="0" w:space="0" w:color="auto"/>
                        <w:left w:val="none" w:sz="0" w:space="0" w:color="auto"/>
                        <w:bottom w:val="none" w:sz="0" w:space="0" w:color="auto"/>
                        <w:right w:val="none" w:sz="0" w:space="0" w:color="auto"/>
                      </w:divBdr>
                    </w:div>
                  </w:divsChild>
                </w:div>
                <w:div w:id="1939021996">
                  <w:marLeft w:val="0"/>
                  <w:marRight w:val="0"/>
                  <w:marTop w:val="0"/>
                  <w:marBottom w:val="0"/>
                  <w:divBdr>
                    <w:top w:val="none" w:sz="0" w:space="0" w:color="auto"/>
                    <w:left w:val="none" w:sz="0" w:space="0" w:color="auto"/>
                    <w:bottom w:val="none" w:sz="0" w:space="0" w:color="auto"/>
                    <w:right w:val="none" w:sz="0" w:space="0" w:color="auto"/>
                  </w:divBdr>
                  <w:divsChild>
                    <w:div w:id="1930116473">
                      <w:marLeft w:val="0"/>
                      <w:marRight w:val="0"/>
                      <w:marTop w:val="0"/>
                      <w:marBottom w:val="0"/>
                      <w:divBdr>
                        <w:top w:val="none" w:sz="0" w:space="0" w:color="auto"/>
                        <w:left w:val="none" w:sz="0" w:space="0" w:color="auto"/>
                        <w:bottom w:val="none" w:sz="0" w:space="0" w:color="auto"/>
                        <w:right w:val="none" w:sz="0" w:space="0" w:color="auto"/>
                      </w:divBdr>
                    </w:div>
                  </w:divsChild>
                </w:div>
                <w:div w:id="1940134259">
                  <w:marLeft w:val="0"/>
                  <w:marRight w:val="0"/>
                  <w:marTop w:val="0"/>
                  <w:marBottom w:val="0"/>
                  <w:divBdr>
                    <w:top w:val="none" w:sz="0" w:space="0" w:color="auto"/>
                    <w:left w:val="none" w:sz="0" w:space="0" w:color="auto"/>
                    <w:bottom w:val="none" w:sz="0" w:space="0" w:color="auto"/>
                    <w:right w:val="none" w:sz="0" w:space="0" w:color="auto"/>
                  </w:divBdr>
                  <w:divsChild>
                    <w:div w:id="2010281195">
                      <w:marLeft w:val="0"/>
                      <w:marRight w:val="0"/>
                      <w:marTop w:val="0"/>
                      <w:marBottom w:val="0"/>
                      <w:divBdr>
                        <w:top w:val="none" w:sz="0" w:space="0" w:color="auto"/>
                        <w:left w:val="none" w:sz="0" w:space="0" w:color="auto"/>
                        <w:bottom w:val="none" w:sz="0" w:space="0" w:color="auto"/>
                        <w:right w:val="none" w:sz="0" w:space="0" w:color="auto"/>
                      </w:divBdr>
                    </w:div>
                  </w:divsChild>
                </w:div>
                <w:div w:id="1940332018">
                  <w:marLeft w:val="0"/>
                  <w:marRight w:val="0"/>
                  <w:marTop w:val="0"/>
                  <w:marBottom w:val="0"/>
                  <w:divBdr>
                    <w:top w:val="none" w:sz="0" w:space="0" w:color="auto"/>
                    <w:left w:val="none" w:sz="0" w:space="0" w:color="auto"/>
                    <w:bottom w:val="none" w:sz="0" w:space="0" w:color="auto"/>
                    <w:right w:val="none" w:sz="0" w:space="0" w:color="auto"/>
                  </w:divBdr>
                  <w:divsChild>
                    <w:div w:id="345058440">
                      <w:marLeft w:val="0"/>
                      <w:marRight w:val="0"/>
                      <w:marTop w:val="0"/>
                      <w:marBottom w:val="0"/>
                      <w:divBdr>
                        <w:top w:val="none" w:sz="0" w:space="0" w:color="auto"/>
                        <w:left w:val="none" w:sz="0" w:space="0" w:color="auto"/>
                        <w:bottom w:val="none" w:sz="0" w:space="0" w:color="auto"/>
                        <w:right w:val="none" w:sz="0" w:space="0" w:color="auto"/>
                      </w:divBdr>
                    </w:div>
                  </w:divsChild>
                </w:div>
                <w:div w:id="1958294742">
                  <w:marLeft w:val="0"/>
                  <w:marRight w:val="0"/>
                  <w:marTop w:val="0"/>
                  <w:marBottom w:val="0"/>
                  <w:divBdr>
                    <w:top w:val="none" w:sz="0" w:space="0" w:color="auto"/>
                    <w:left w:val="none" w:sz="0" w:space="0" w:color="auto"/>
                    <w:bottom w:val="none" w:sz="0" w:space="0" w:color="auto"/>
                    <w:right w:val="none" w:sz="0" w:space="0" w:color="auto"/>
                  </w:divBdr>
                  <w:divsChild>
                    <w:div w:id="138157184">
                      <w:marLeft w:val="0"/>
                      <w:marRight w:val="0"/>
                      <w:marTop w:val="0"/>
                      <w:marBottom w:val="0"/>
                      <w:divBdr>
                        <w:top w:val="none" w:sz="0" w:space="0" w:color="auto"/>
                        <w:left w:val="none" w:sz="0" w:space="0" w:color="auto"/>
                        <w:bottom w:val="none" w:sz="0" w:space="0" w:color="auto"/>
                        <w:right w:val="none" w:sz="0" w:space="0" w:color="auto"/>
                      </w:divBdr>
                    </w:div>
                  </w:divsChild>
                </w:div>
                <w:div w:id="1958440079">
                  <w:marLeft w:val="0"/>
                  <w:marRight w:val="0"/>
                  <w:marTop w:val="0"/>
                  <w:marBottom w:val="0"/>
                  <w:divBdr>
                    <w:top w:val="none" w:sz="0" w:space="0" w:color="auto"/>
                    <w:left w:val="none" w:sz="0" w:space="0" w:color="auto"/>
                    <w:bottom w:val="none" w:sz="0" w:space="0" w:color="auto"/>
                    <w:right w:val="none" w:sz="0" w:space="0" w:color="auto"/>
                  </w:divBdr>
                  <w:divsChild>
                    <w:div w:id="888347523">
                      <w:marLeft w:val="0"/>
                      <w:marRight w:val="0"/>
                      <w:marTop w:val="0"/>
                      <w:marBottom w:val="0"/>
                      <w:divBdr>
                        <w:top w:val="none" w:sz="0" w:space="0" w:color="auto"/>
                        <w:left w:val="none" w:sz="0" w:space="0" w:color="auto"/>
                        <w:bottom w:val="none" w:sz="0" w:space="0" w:color="auto"/>
                        <w:right w:val="none" w:sz="0" w:space="0" w:color="auto"/>
                      </w:divBdr>
                    </w:div>
                  </w:divsChild>
                </w:div>
                <w:div w:id="1959289468">
                  <w:marLeft w:val="0"/>
                  <w:marRight w:val="0"/>
                  <w:marTop w:val="0"/>
                  <w:marBottom w:val="0"/>
                  <w:divBdr>
                    <w:top w:val="none" w:sz="0" w:space="0" w:color="auto"/>
                    <w:left w:val="none" w:sz="0" w:space="0" w:color="auto"/>
                    <w:bottom w:val="none" w:sz="0" w:space="0" w:color="auto"/>
                    <w:right w:val="none" w:sz="0" w:space="0" w:color="auto"/>
                  </w:divBdr>
                  <w:divsChild>
                    <w:div w:id="1223561594">
                      <w:marLeft w:val="0"/>
                      <w:marRight w:val="0"/>
                      <w:marTop w:val="0"/>
                      <w:marBottom w:val="0"/>
                      <w:divBdr>
                        <w:top w:val="none" w:sz="0" w:space="0" w:color="auto"/>
                        <w:left w:val="none" w:sz="0" w:space="0" w:color="auto"/>
                        <w:bottom w:val="none" w:sz="0" w:space="0" w:color="auto"/>
                        <w:right w:val="none" w:sz="0" w:space="0" w:color="auto"/>
                      </w:divBdr>
                    </w:div>
                  </w:divsChild>
                </w:div>
                <w:div w:id="1982609142">
                  <w:marLeft w:val="0"/>
                  <w:marRight w:val="0"/>
                  <w:marTop w:val="0"/>
                  <w:marBottom w:val="0"/>
                  <w:divBdr>
                    <w:top w:val="none" w:sz="0" w:space="0" w:color="auto"/>
                    <w:left w:val="none" w:sz="0" w:space="0" w:color="auto"/>
                    <w:bottom w:val="none" w:sz="0" w:space="0" w:color="auto"/>
                    <w:right w:val="none" w:sz="0" w:space="0" w:color="auto"/>
                  </w:divBdr>
                  <w:divsChild>
                    <w:div w:id="1576553293">
                      <w:marLeft w:val="0"/>
                      <w:marRight w:val="0"/>
                      <w:marTop w:val="0"/>
                      <w:marBottom w:val="0"/>
                      <w:divBdr>
                        <w:top w:val="none" w:sz="0" w:space="0" w:color="auto"/>
                        <w:left w:val="none" w:sz="0" w:space="0" w:color="auto"/>
                        <w:bottom w:val="none" w:sz="0" w:space="0" w:color="auto"/>
                        <w:right w:val="none" w:sz="0" w:space="0" w:color="auto"/>
                      </w:divBdr>
                    </w:div>
                  </w:divsChild>
                </w:div>
                <w:div w:id="1985044929">
                  <w:marLeft w:val="0"/>
                  <w:marRight w:val="0"/>
                  <w:marTop w:val="0"/>
                  <w:marBottom w:val="0"/>
                  <w:divBdr>
                    <w:top w:val="none" w:sz="0" w:space="0" w:color="auto"/>
                    <w:left w:val="none" w:sz="0" w:space="0" w:color="auto"/>
                    <w:bottom w:val="none" w:sz="0" w:space="0" w:color="auto"/>
                    <w:right w:val="none" w:sz="0" w:space="0" w:color="auto"/>
                  </w:divBdr>
                  <w:divsChild>
                    <w:div w:id="1974491">
                      <w:marLeft w:val="0"/>
                      <w:marRight w:val="0"/>
                      <w:marTop w:val="0"/>
                      <w:marBottom w:val="0"/>
                      <w:divBdr>
                        <w:top w:val="none" w:sz="0" w:space="0" w:color="auto"/>
                        <w:left w:val="none" w:sz="0" w:space="0" w:color="auto"/>
                        <w:bottom w:val="none" w:sz="0" w:space="0" w:color="auto"/>
                        <w:right w:val="none" w:sz="0" w:space="0" w:color="auto"/>
                      </w:divBdr>
                    </w:div>
                  </w:divsChild>
                </w:div>
                <w:div w:id="1994944548">
                  <w:marLeft w:val="0"/>
                  <w:marRight w:val="0"/>
                  <w:marTop w:val="0"/>
                  <w:marBottom w:val="0"/>
                  <w:divBdr>
                    <w:top w:val="none" w:sz="0" w:space="0" w:color="auto"/>
                    <w:left w:val="none" w:sz="0" w:space="0" w:color="auto"/>
                    <w:bottom w:val="none" w:sz="0" w:space="0" w:color="auto"/>
                    <w:right w:val="none" w:sz="0" w:space="0" w:color="auto"/>
                  </w:divBdr>
                  <w:divsChild>
                    <w:div w:id="525871360">
                      <w:marLeft w:val="0"/>
                      <w:marRight w:val="0"/>
                      <w:marTop w:val="0"/>
                      <w:marBottom w:val="0"/>
                      <w:divBdr>
                        <w:top w:val="none" w:sz="0" w:space="0" w:color="auto"/>
                        <w:left w:val="none" w:sz="0" w:space="0" w:color="auto"/>
                        <w:bottom w:val="none" w:sz="0" w:space="0" w:color="auto"/>
                        <w:right w:val="none" w:sz="0" w:space="0" w:color="auto"/>
                      </w:divBdr>
                    </w:div>
                  </w:divsChild>
                </w:div>
                <w:div w:id="2003046653">
                  <w:marLeft w:val="0"/>
                  <w:marRight w:val="0"/>
                  <w:marTop w:val="0"/>
                  <w:marBottom w:val="0"/>
                  <w:divBdr>
                    <w:top w:val="none" w:sz="0" w:space="0" w:color="auto"/>
                    <w:left w:val="none" w:sz="0" w:space="0" w:color="auto"/>
                    <w:bottom w:val="none" w:sz="0" w:space="0" w:color="auto"/>
                    <w:right w:val="none" w:sz="0" w:space="0" w:color="auto"/>
                  </w:divBdr>
                  <w:divsChild>
                    <w:div w:id="2092460606">
                      <w:marLeft w:val="0"/>
                      <w:marRight w:val="0"/>
                      <w:marTop w:val="0"/>
                      <w:marBottom w:val="0"/>
                      <w:divBdr>
                        <w:top w:val="none" w:sz="0" w:space="0" w:color="auto"/>
                        <w:left w:val="none" w:sz="0" w:space="0" w:color="auto"/>
                        <w:bottom w:val="none" w:sz="0" w:space="0" w:color="auto"/>
                        <w:right w:val="none" w:sz="0" w:space="0" w:color="auto"/>
                      </w:divBdr>
                    </w:div>
                  </w:divsChild>
                </w:div>
                <w:div w:id="2008513903">
                  <w:marLeft w:val="0"/>
                  <w:marRight w:val="0"/>
                  <w:marTop w:val="0"/>
                  <w:marBottom w:val="0"/>
                  <w:divBdr>
                    <w:top w:val="none" w:sz="0" w:space="0" w:color="auto"/>
                    <w:left w:val="none" w:sz="0" w:space="0" w:color="auto"/>
                    <w:bottom w:val="none" w:sz="0" w:space="0" w:color="auto"/>
                    <w:right w:val="none" w:sz="0" w:space="0" w:color="auto"/>
                  </w:divBdr>
                  <w:divsChild>
                    <w:div w:id="1261722430">
                      <w:marLeft w:val="0"/>
                      <w:marRight w:val="0"/>
                      <w:marTop w:val="0"/>
                      <w:marBottom w:val="0"/>
                      <w:divBdr>
                        <w:top w:val="none" w:sz="0" w:space="0" w:color="auto"/>
                        <w:left w:val="none" w:sz="0" w:space="0" w:color="auto"/>
                        <w:bottom w:val="none" w:sz="0" w:space="0" w:color="auto"/>
                        <w:right w:val="none" w:sz="0" w:space="0" w:color="auto"/>
                      </w:divBdr>
                    </w:div>
                  </w:divsChild>
                </w:div>
                <w:div w:id="2038849460">
                  <w:marLeft w:val="0"/>
                  <w:marRight w:val="0"/>
                  <w:marTop w:val="0"/>
                  <w:marBottom w:val="0"/>
                  <w:divBdr>
                    <w:top w:val="none" w:sz="0" w:space="0" w:color="auto"/>
                    <w:left w:val="none" w:sz="0" w:space="0" w:color="auto"/>
                    <w:bottom w:val="none" w:sz="0" w:space="0" w:color="auto"/>
                    <w:right w:val="none" w:sz="0" w:space="0" w:color="auto"/>
                  </w:divBdr>
                  <w:divsChild>
                    <w:div w:id="704673089">
                      <w:marLeft w:val="0"/>
                      <w:marRight w:val="0"/>
                      <w:marTop w:val="0"/>
                      <w:marBottom w:val="0"/>
                      <w:divBdr>
                        <w:top w:val="none" w:sz="0" w:space="0" w:color="auto"/>
                        <w:left w:val="none" w:sz="0" w:space="0" w:color="auto"/>
                        <w:bottom w:val="none" w:sz="0" w:space="0" w:color="auto"/>
                        <w:right w:val="none" w:sz="0" w:space="0" w:color="auto"/>
                      </w:divBdr>
                    </w:div>
                  </w:divsChild>
                </w:div>
                <w:div w:id="2044860344">
                  <w:marLeft w:val="0"/>
                  <w:marRight w:val="0"/>
                  <w:marTop w:val="0"/>
                  <w:marBottom w:val="0"/>
                  <w:divBdr>
                    <w:top w:val="none" w:sz="0" w:space="0" w:color="auto"/>
                    <w:left w:val="none" w:sz="0" w:space="0" w:color="auto"/>
                    <w:bottom w:val="none" w:sz="0" w:space="0" w:color="auto"/>
                    <w:right w:val="none" w:sz="0" w:space="0" w:color="auto"/>
                  </w:divBdr>
                  <w:divsChild>
                    <w:div w:id="1751266517">
                      <w:marLeft w:val="0"/>
                      <w:marRight w:val="0"/>
                      <w:marTop w:val="0"/>
                      <w:marBottom w:val="0"/>
                      <w:divBdr>
                        <w:top w:val="none" w:sz="0" w:space="0" w:color="auto"/>
                        <w:left w:val="none" w:sz="0" w:space="0" w:color="auto"/>
                        <w:bottom w:val="none" w:sz="0" w:space="0" w:color="auto"/>
                        <w:right w:val="none" w:sz="0" w:space="0" w:color="auto"/>
                      </w:divBdr>
                    </w:div>
                  </w:divsChild>
                </w:div>
                <w:div w:id="2059162941">
                  <w:marLeft w:val="0"/>
                  <w:marRight w:val="0"/>
                  <w:marTop w:val="0"/>
                  <w:marBottom w:val="0"/>
                  <w:divBdr>
                    <w:top w:val="none" w:sz="0" w:space="0" w:color="auto"/>
                    <w:left w:val="none" w:sz="0" w:space="0" w:color="auto"/>
                    <w:bottom w:val="none" w:sz="0" w:space="0" w:color="auto"/>
                    <w:right w:val="none" w:sz="0" w:space="0" w:color="auto"/>
                  </w:divBdr>
                  <w:divsChild>
                    <w:div w:id="702485505">
                      <w:marLeft w:val="0"/>
                      <w:marRight w:val="0"/>
                      <w:marTop w:val="0"/>
                      <w:marBottom w:val="0"/>
                      <w:divBdr>
                        <w:top w:val="none" w:sz="0" w:space="0" w:color="auto"/>
                        <w:left w:val="none" w:sz="0" w:space="0" w:color="auto"/>
                        <w:bottom w:val="none" w:sz="0" w:space="0" w:color="auto"/>
                        <w:right w:val="none" w:sz="0" w:space="0" w:color="auto"/>
                      </w:divBdr>
                    </w:div>
                  </w:divsChild>
                </w:div>
                <w:div w:id="2062512193">
                  <w:marLeft w:val="0"/>
                  <w:marRight w:val="0"/>
                  <w:marTop w:val="0"/>
                  <w:marBottom w:val="0"/>
                  <w:divBdr>
                    <w:top w:val="none" w:sz="0" w:space="0" w:color="auto"/>
                    <w:left w:val="none" w:sz="0" w:space="0" w:color="auto"/>
                    <w:bottom w:val="none" w:sz="0" w:space="0" w:color="auto"/>
                    <w:right w:val="none" w:sz="0" w:space="0" w:color="auto"/>
                  </w:divBdr>
                  <w:divsChild>
                    <w:div w:id="541016595">
                      <w:marLeft w:val="0"/>
                      <w:marRight w:val="0"/>
                      <w:marTop w:val="0"/>
                      <w:marBottom w:val="0"/>
                      <w:divBdr>
                        <w:top w:val="none" w:sz="0" w:space="0" w:color="auto"/>
                        <w:left w:val="none" w:sz="0" w:space="0" w:color="auto"/>
                        <w:bottom w:val="none" w:sz="0" w:space="0" w:color="auto"/>
                        <w:right w:val="none" w:sz="0" w:space="0" w:color="auto"/>
                      </w:divBdr>
                    </w:div>
                  </w:divsChild>
                </w:div>
                <w:div w:id="2074769155">
                  <w:marLeft w:val="0"/>
                  <w:marRight w:val="0"/>
                  <w:marTop w:val="0"/>
                  <w:marBottom w:val="0"/>
                  <w:divBdr>
                    <w:top w:val="none" w:sz="0" w:space="0" w:color="auto"/>
                    <w:left w:val="none" w:sz="0" w:space="0" w:color="auto"/>
                    <w:bottom w:val="none" w:sz="0" w:space="0" w:color="auto"/>
                    <w:right w:val="none" w:sz="0" w:space="0" w:color="auto"/>
                  </w:divBdr>
                  <w:divsChild>
                    <w:div w:id="465466062">
                      <w:marLeft w:val="0"/>
                      <w:marRight w:val="0"/>
                      <w:marTop w:val="0"/>
                      <w:marBottom w:val="0"/>
                      <w:divBdr>
                        <w:top w:val="none" w:sz="0" w:space="0" w:color="auto"/>
                        <w:left w:val="none" w:sz="0" w:space="0" w:color="auto"/>
                        <w:bottom w:val="none" w:sz="0" w:space="0" w:color="auto"/>
                        <w:right w:val="none" w:sz="0" w:space="0" w:color="auto"/>
                      </w:divBdr>
                    </w:div>
                  </w:divsChild>
                </w:div>
                <w:div w:id="2085950016">
                  <w:marLeft w:val="0"/>
                  <w:marRight w:val="0"/>
                  <w:marTop w:val="0"/>
                  <w:marBottom w:val="0"/>
                  <w:divBdr>
                    <w:top w:val="none" w:sz="0" w:space="0" w:color="auto"/>
                    <w:left w:val="none" w:sz="0" w:space="0" w:color="auto"/>
                    <w:bottom w:val="none" w:sz="0" w:space="0" w:color="auto"/>
                    <w:right w:val="none" w:sz="0" w:space="0" w:color="auto"/>
                  </w:divBdr>
                  <w:divsChild>
                    <w:div w:id="71585967">
                      <w:marLeft w:val="0"/>
                      <w:marRight w:val="0"/>
                      <w:marTop w:val="0"/>
                      <w:marBottom w:val="0"/>
                      <w:divBdr>
                        <w:top w:val="none" w:sz="0" w:space="0" w:color="auto"/>
                        <w:left w:val="none" w:sz="0" w:space="0" w:color="auto"/>
                        <w:bottom w:val="none" w:sz="0" w:space="0" w:color="auto"/>
                        <w:right w:val="none" w:sz="0" w:space="0" w:color="auto"/>
                      </w:divBdr>
                    </w:div>
                  </w:divsChild>
                </w:div>
                <w:div w:id="2090348598">
                  <w:marLeft w:val="0"/>
                  <w:marRight w:val="0"/>
                  <w:marTop w:val="0"/>
                  <w:marBottom w:val="0"/>
                  <w:divBdr>
                    <w:top w:val="none" w:sz="0" w:space="0" w:color="auto"/>
                    <w:left w:val="none" w:sz="0" w:space="0" w:color="auto"/>
                    <w:bottom w:val="none" w:sz="0" w:space="0" w:color="auto"/>
                    <w:right w:val="none" w:sz="0" w:space="0" w:color="auto"/>
                  </w:divBdr>
                  <w:divsChild>
                    <w:div w:id="952978988">
                      <w:marLeft w:val="0"/>
                      <w:marRight w:val="0"/>
                      <w:marTop w:val="0"/>
                      <w:marBottom w:val="0"/>
                      <w:divBdr>
                        <w:top w:val="none" w:sz="0" w:space="0" w:color="auto"/>
                        <w:left w:val="none" w:sz="0" w:space="0" w:color="auto"/>
                        <w:bottom w:val="none" w:sz="0" w:space="0" w:color="auto"/>
                        <w:right w:val="none" w:sz="0" w:space="0" w:color="auto"/>
                      </w:divBdr>
                    </w:div>
                  </w:divsChild>
                </w:div>
                <w:div w:id="2099011472">
                  <w:marLeft w:val="0"/>
                  <w:marRight w:val="0"/>
                  <w:marTop w:val="0"/>
                  <w:marBottom w:val="0"/>
                  <w:divBdr>
                    <w:top w:val="none" w:sz="0" w:space="0" w:color="auto"/>
                    <w:left w:val="none" w:sz="0" w:space="0" w:color="auto"/>
                    <w:bottom w:val="none" w:sz="0" w:space="0" w:color="auto"/>
                    <w:right w:val="none" w:sz="0" w:space="0" w:color="auto"/>
                  </w:divBdr>
                  <w:divsChild>
                    <w:div w:id="1829175589">
                      <w:marLeft w:val="0"/>
                      <w:marRight w:val="0"/>
                      <w:marTop w:val="0"/>
                      <w:marBottom w:val="0"/>
                      <w:divBdr>
                        <w:top w:val="none" w:sz="0" w:space="0" w:color="auto"/>
                        <w:left w:val="none" w:sz="0" w:space="0" w:color="auto"/>
                        <w:bottom w:val="none" w:sz="0" w:space="0" w:color="auto"/>
                        <w:right w:val="none" w:sz="0" w:space="0" w:color="auto"/>
                      </w:divBdr>
                    </w:div>
                  </w:divsChild>
                </w:div>
                <w:div w:id="2102291325">
                  <w:marLeft w:val="0"/>
                  <w:marRight w:val="0"/>
                  <w:marTop w:val="0"/>
                  <w:marBottom w:val="0"/>
                  <w:divBdr>
                    <w:top w:val="none" w:sz="0" w:space="0" w:color="auto"/>
                    <w:left w:val="none" w:sz="0" w:space="0" w:color="auto"/>
                    <w:bottom w:val="none" w:sz="0" w:space="0" w:color="auto"/>
                    <w:right w:val="none" w:sz="0" w:space="0" w:color="auto"/>
                  </w:divBdr>
                  <w:divsChild>
                    <w:div w:id="855467092">
                      <w:marLeft w:val="0"/>
                      <w:marRight w:val="0"/>
                      <w:marTop w:val="0"/>
                      <w:marBottom w:val="0"/>
                      <w:divBdr>
                        <w:top w:val="none" w:sz="0" w:space="0" w:color="auto"/>
                        <w:left w:val="none" w:sz="0" w:space="0" w:color="auto"/>
                        <w:bottom w:val="none" w:sz="0" w:space="0" w:color="auto"/>
                        <w:right w:val="none" w:sz="0" w:space="0" w:color="auto"/>
                      </w:divBdr>
                    </w:div>
                  </w:divsChild>
                </w:div>
                <w:div w:id="2108766426">
                  <w:marLeft w:val="0"/>
                  <w:marRight w:val="0"/>
                  <w:marTop w:val="0"/>
                  <w:marBottom w:val="0"/>
                  <w:divBdr>
                    <w:top w:val="none" w:sz="0" w:space="0" w:color="auto"/>
                    <w:left w:val="none" w:sz="0" w:space="0" w:color="auto"/>
                    <w:bottom w:val="none" w:sz="0" w:space="0" w:color="auto"/>
                    <w:right w:val="none" w:sz="0" w:space="0" w:color="auto"/>
                  </w:divBdr>
                  <w:divsChild>
                    <w:div w:id="215166022">
                      <w:marLeft w:val="0"/>
                      <w:marRight w:val="0"/>
                      <w:marTop w:val="0"/>
                      <w:marBottom w:val="0"/>
                      <w:divBdr>
                        <w:top w:val="none" w:sz="0" w:space="0" w:color="auto"/>
                        <w:left w:val="none" w:sz="0" w:space="0" w:color="auto"/>
                        <w:bottom w:val="none" w:sz="0" w:space="0" w:color="auto"/>
                        <w:right w:val="none" w:sz="0" w:space="0" w:color="auto"/>
                      </w:divBdr>
                    </w:div>
                  </w:divsChild>
                </w:div>
                <w:div w:id="2119718958">
                  <w:marLeft w:val="0"/>
                  <w:marRight w:val="0"/>
                  <w:marTop w:val="0"/>
                  <w:marBottom w:val="0"/>
                  <w:divBdr>
                    <w:top w:val="none" w:sz="0" w:space="0" w:color="auto"/>
                    <w:left w:val="none" w:sz="0" w:space="0" w:color="auto"/>
                    <w:bottom w:val="none" w:sz="0" w:space="0" w:color="auto"/>
                    <w:right w:val="none" w:sz="0" w:space="0" w:color="auto"/>
                  </w:divBdr>
                  <w:divsChild>
                    <w:div w:id="972827771">
                      <w:marLeft w:val="0"/>
                      <w:marRight w:val="0"/>
                      <w:marTop w:val="0"/>
                      <w:marBottom w:val="0"/>
                      <w:divBdr>
                        <w:top w:val="none" w:sz="0" w:space="0" w:color="auto"/>
                        <w:left w:val="none" w:sz="0" w:space="0" w:color="auto"/>
                        <w:bottom w:val="none" w:sz="0" w:space="0" w:color="auto"/>
                        <w:right w:val="none" w:sz="0" w:space="0" w:color="auto"/>
                      </w:divBdr>
                    </w:div>
                  </w:divsChild>
                </w:div>
                <w:div w:id="2125885092">
                  <w:marLeft w:val="0"/>
                  <w:marRight w:val="0"/>
                  <w:marTop w:val="0"/>
                  <w:marBottom w:val="0"/>
                  <w:divBdr>
                    <w:top w:val="none" w:sz="0" w:space="0" w:color="auto"/>
                    <w:left w:val="none" w:sz="0" w:space="0" w:color="auto"/>
                    <w:bottom w:val="none" w:sz="0" w:space="0" w:color="auto"/>
                    <w:right w:val="none" w:sz="0" w:space="0" w:color="auto"/>
                  </w:divBdr>
                  <w:divsChild>
                    <w:div w:id="911429691">
                      <w:marLeft w:val="0"/>
                      <w:marRight w:val="0"/>
                      <w:marTop w:val="0"/>
                      <w:marBottom w:val="0"/>
                      <w:divBdr>
                        <w:top w:val="none" w:sz="0" w:space="0" w:color="auto"/>
                        <w:left w:val="none" w:sz="0" w:space="0" w:color="auto"/>
                        <w:bottom w:val="none" w:sz="0" w:space="0" w:color="auto"/>
                        <w:right w:val="none" w:sz="0" w:space="0" w:color="auto"/>
                      </w:divBdr>
                    </w:div>
                  </w:divsChild>
                </w:div>
                <w:div w:id="2126806097">
                  <w:marLeft w:val="0"/>
                  <w:marRight w:val="0"/>
                  <w:marTop w:val="0"/>
                  <w:marBottom w:val="0"/>
                  <w:divBdr>
                    <w:top w:val="none" w:sz="0" w:space="0" w:color="auto"/>
                    <w:left w:val="none" w:sz="0" w:space="0" w:color="auto"/>
                    <w:bottom w:val="none" w:sz="0" w:space="0" w:color="auto"/>
                    <w:right w:val="none" w:sz="0" w:space="0" w:color="auto"/>
                  </w:divBdr>
                  <w:divsChild>
                    <w:div w:id="703792615">
                      <w:marLeft w:val="0"/>
                      <w:marRight w:val="0"/>
                      <w:marTop w:val="0"/>
                      <w:marBottom w:val="0"/>
                      <w:divBdr>
                        <w:top w:val="none" w:sz="0" w:space="0" w:color="auto"/>
                        <w:left w:val="none" w:sz="0" w:space="0" w:color="auto"/>
                        <w:bottom w:val="none" w:sz="0" w:space="0" w:color="auto"/>
                        <w:right w:val="none" w:sz="0" w:space="0" w:color="auto"/>
                      </w:divBdr>
                    </w:div>
                  </w:divsChild>
                </w:div>
                <w:div w:id="2140344038">
                  <w:marLeft w:val="0"/>
                  <w:marRight w:val="0"/>
                  <w:marTop w:val="0"/>
                  <w:marBottom w:val="0"/>
                  <w:divBdr>
                    <w:top w:val="none" w:sz="0" w:space="0" w:color="auto"/>
                    <w:left w:val="none" w:sz="0" w:space="0" w:color="auto"/>
                    <w:bottom w:val="none" w:sz="0" w:space="0" w:color="auto"/>
                    <w:right w:val="none" w:sz="0" w:space="0" w:color="auto"/>
                  </w:divBdr>
                  <w:divsChild>
                    <w:div w:id="173619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136108">
          <w:marLeft w:val="0"/>
          <w:marRight w:val="0"/>
          <w:marTop w:val="0"/>
          <w:marBottom w:val="0"/>
          <w:divBdr>
            <w:top w:val="none" w:sz="0" w:space="0" w:color="auto"/>
            <w:left w:val="none" w:sz="0" w:space="0" w:color="auto"/>
            <w:bottom w:val="none" w:sz="0" w:space="0" w:color="auto"/>
            <w:right w:val="none" w:sz="0" w:space="0" w:color="auto"/>
          </w:divBdr>
        </w:div>
        <w:div w:id="1800493921">
          <w:marLeft w:val="0"/>
          <w:marRight w:val="0"/>
          <w:marTop w:val="0"/>
          <w:marBottom w:val="0"/>
          <w:divBdr>
            <w:top w:val="none" w:sz="0" w:space="0" w:color="auto"/>
            <w:left w:val="none" w:sz="0" w:space="0" w:color="auto"/>
            <w:bottom w:val="none" w:sz="0" w:space="0" w:color="auto"/>
            <w:right w:val="none" w:sz="0" w:space="0" w:color="auto"/>
          </w:divBdr>
        </w:div>
        <w:div w:id="1812090669">
          <w:marLeft w:val="0"/>
          <w:marRight w:val="0"/>
          <w:marTop w:val="0"/>
          <w:marBottom w:val="0"/>
          <w:divBdr>
            <w:top w:val="none" w:sz="0" w:space="0" w:color="auto"/>
            <w:left w:val="none" w:sz="0" w:space="0" w:color="auto"/>
            <w:bottom w:val="none" w:sz="0" w:space="0" w:color="auto"/>
            <w:right w:val="none" w:sz="0" w:space="0" w:color="auto"/>
          </w:divBdr>
        </w:div>
        <w:div w:id="1834880874">
          <w:marLeft w:val="0"/>
          <w:marRight w:val="0"/>
          <w:marTop w:val="0"/>
          <w:marBottom w:val="0"/>
          <w:divBdr>
            <w:top w:val="none" w:sz="0" w:space="0" w:color="auto"/>
            <w:left w:val="none" w:sz="0" w:space="0" w:color="auto"/>
            <w:bottom w:val="none" w:sz="0" w:space="0" w:color="auto"/>
            <w:right w:val="none" w:sz="0" w:space="0" w:color="auto"/>
          </w:divBdr>
        </w:div>
        <w:div w:id="1844008518">
          <w:marLeft w:val="0"/>
          <w:marRight w:val="0"/>
          <w:marTop w:val="0"/>
          <w:marBottom w:val="0"/>
          <w:divBdr>
            <w:top w:val="none" w:sz="0" w:space="0" w:color="auto"/>
            <w:left w:val="none" w:sz="0" w:space="0" w:color="auto"/>
            <w:bottom w:val="none" w:sz="0" w:space="0" w:color="auto"/>
            <w:right w:val="none" w:sz="0" w:space="0" w:color="auto"/>
          </w:divBdr>
        </w:div>
        <w:div w:id="1860315921">
          <w:marLeft w:val="0"/>
          <w:marRight w:val="0"/>
          <w:marTop w:val="0"/>
          <w:marBottom w:val="0"/>
          <w:divBdr>
            <w:top w:val="none" w:sz="0" w:space="0" w:color="auto"/>
            <w:left w:val="none" w:sz="0" w:space="0" w:color="auto"/>
            <w:bottom w:val="none" w:sz="0" w:space="0" w:color="auto"/>
            <w:right w:val="none" w:sz="0" w:space="0" w:color="auto"/>
          </w:divBdr>
        </w:div>
        <w:div w:id="1881090472">
          <w:marLeft w:val="0"/>
          <w:marRight w:val="0"/>
          <w:marTop w:val="0"/>
          <w:marBottom w:val="0"/>
          <w:divBdr>
            <w:top w:val="none" w:sz="0" w:space="0" w:color="auto"/>
            <w:left w:val="none" w:sz="0" w:space="0" w:color="auto"/>
            <w:bottom w:val="none" w:sz="0" w:space="0" w:color="auto"/>
            <w:right w:val="none" w:sz="0" w:space="0" w:color="auto"/>
          </w:divBdr>
        </w:div>
        <w:div w:id="1915699594">
          <w:marLeft w:val="0"/>
          <w:marRight w:val="0"/>
          <w:marTop w:val="0"/>
          <w:marBottom w:val="0"/>
          <w:divBdr>
            <w:top w:val="none" w:sz="0" w:space="0" w:color="auto"/>
            <w:left w:val="none" w:sz="0" w:space="0" w:color="auto"/>
            <w:bottom w:val="none" w:sz="0" w:space="0" w:color="auto"/>
            <w:right w:val="none" w:sz="0" w:space="0" w:color="auto"/>
          </w:divBdr>
        </w:div>
        <w:div w:id="1954702355">
          <w:marLeft w:val="0"/>
          <w:marRight w:val="0"/>
          <w:marTop w:val="0"/>
          <w:marBottom w:val="0"/>
          <w:divBdr>
            <w:top w:val="none" w:sz="0" w:space="0" w:color="auto"/>
            <w:left w:val="none" w:sz="0" w:space="0" w:color="auto"/>
            <w:bottom w:val="none" w:sz="0" w:space="0" w:color="auto"/>
            <w:right w:val="none" w:sz="0" w:space="0" w:color="auto"/>
          </w:divBdr>
        </w:div>
        <w:div w:id="1960532426">
          <w:marLeft w:val="0"/>
          <w:marRight w:val="0"/>
          <w:marTop w:val="0"/>
          <w:marBottom w:val="0"/>
          <w:divBdr>
            <w:top w:val="none" w:sz="0" w:space="0" w:color="auto"/>
            <w:left w:val="none" w:sz="0" w:space="0" w:color="auto"/>
            <w:bottom w:val="none" w:sz="0" w:space="0" w:color="auto"/>
            <w:right w:val="none" w:sz="0" w:space="0" w:color="auto"/>
          </w:divBdr>
        </w:div>
        <w:div w:id="1976640127">
          <w:marLeft w:val="0"/>
          <w:marRight w:val="0"/>
          <w:marTop w:val="0"/>
          <w:marBottom w:val="0"/>
          <w:divBdr>
            <w:top w:val="none" w:sz="0" w:space="0" w:color="auto"/>
            <w:left w:val="none" w:sz="0" w:space="0" w:color="auto"/>
            <w:bottom w:val="none" w:sz="0" w:space="0" w:color="auto"/>
            <w:right w:val="none" w:sz="0" w:space="0" w:color="auto"/>
          </w:divBdr>
        </w:div>
        <w:div w:id="1997030802">
          <w:marLeft w:val="0"/>
          <w:marRight w:val="0"/>
          <w:marTop w:val="0"/>
          <w:marBottom w:val="0"/>
          <w:divBdr>
            <w:top w:val="none" w:sz="0" w:space="0" w:color="auto"/>
            <w:left w:val="none" w:sz="0" w:space="0" w:color="auto"/>
            <w:bottom w:val="none" w:sz="0" w:space="0" w:color="auto"/>
            <w:right w:val="none" w:sz="0" w:space="0" w:color="auto"/>
          </w:divBdr>
          <w:divsChild>
            <w:div w:id="656765595">
              <w:marLeft w:val="0"/>
              <w:marRight w:val="0"/>
              <w:marTop w:val="0"/>
              <w:marBottom w:val="0"/>
              <w:divBdr>
                <w:top w:val="none" w:sz="0" w:space="0" w:color="auto"/>
                <w:left w:val="none" w:sz="0" w:space="0" w:color="auto"/>
                <w:bottom w:val="none" w:sz="0" w:space="0" w:color="auto"/>
                <w:right w:val="none" w:sz="0" w:space="0" w:color="auto"/>
              </w:divBdr>
            </w:div>
            <w:div w:id="1159619780">
              <w:marLeft w:val="0"/>
              <w:marRight w:val="0"/>
              <w:marTop w:val="0"/>
              <w:marBottom w:val="0"/>
              <w:divBdr>
                <w:top w:val="none" w:sz="0" w:space="0" w:color="auto"/>
                <w:left w:val="none" w:sz="0" w:space="0" w:color="auto"/>
                <w:bottom w:val="none" w:sz="0" w:space="0" w:color="auto"/>
                <w:right w:val="none" w:sz="0" w:space="0" w:color="auto"/>
              </w:divBdr>
            </w:div>
            <w:div w:id="1291326832">
              <w:marLeft w:val="0"/>
              <w:marRight w:val="0"/>
              <w:marTop w:val="0"/>
              <w:marBottom w:val="0"/>
              <w:divBdr>
                <w:top w:val="none" w:sz="0" w:space="0" w:color="auto"/>
                <w:left w:val="none" w:sz="0" w:space="0" w:color="auto"/>
                <w:bottom w:val="none" w:sz="0" w:space="0" w:color="auto"/>
                <w:right w:val="none" w:sz="0" w:space="0" w:color="auto"/>
              </w:divBdr>
            </w:div>
            <w:div w:id="1726487114">
              <w:marLeft w:val="0"/>
              <w:marRight w:val="0"/>
              <w:marTop w:val="0"/>
              <w:marBottom w:val="0"/>
              <w:divBdr>
                <w:top w:val="none" w:sz="0" w:space="0" w:color="auto"/>
                <w:left w:val="none" w:sz="0" w:space="0" w:color="auto"/>
                <w:bottom w:val="none" w:sz="0" w:space="0" w:color="auto"/>
                <w:right w:val="none" w:sz="0" w:space="0" w:color="auto"/>
              </w:divBdr>
            </w:div>
            <w:div w:id="1968049921">
              <w:marLeft w:val="0"/>
              <w:marRight w:val="0"/>
              <w:marTop w:val="0"/>
              <w:marBottom w:val="0"/>
              <w:divBdr>
                <w:top w:val="none" w:sz="0" w:space="0" w:color="auto"/>
                <w:left w:val="none" w:sz="0" w:space="0" w:color="auto"/>
                <w:bottom w:val="none" w:sz="0" w:space="0" w:color="auto"/>
                <w:right w:val="none" w:sz="0" w:space="0" w:color="auto"/>
              </w:divBdr>
            </w:div>
          </w:divsChild>
        </w:div>
        <w:div w:id="2007433879">
          <w:marLeft w:val="0"/>
          <w:marRight w:val="0"/>
          <w:marTop w:val="0"/>
          <w:marBottom w:val="0"/>
          <w:divBdr>
            <w:top w:val="none" w:sz="0" w:space="0" w:color="auto"/>
            <w:left w:val="none" w:sz="0" w:space="0" w:color="auto"/>
            <w:bottom w:val="none" w:sz="0" w:space="0" w:color="auto"/>
            <w:right w:val="none" w:sz="0" w:space="0" w:color="auto"/>
          </w:divBdr>
        </w:div>
        <w:div w:id="2021810376">
          <w:marLeft w:val="0"/>
          <w:marRight w:val="0"/>
          <w:marTop w:val="0"/>
          <w:marBottom w:val="0"/>
          <w:divBdr>
            <w:top w:val="none" w:sz="0" w:space="0" w:color="auto"/>
            <w:left w:val="none" w:sz="0" w:space="0" w:color="auto"/>
            <w:bottom w:val="none" w:sz="0" w:space="0" w:color="auto"/>
            <w:right w:val="none" w:sz="0" w:space="0" w:color="auto"/>
          </w:divBdr>
        </w:div>
        <w:div w:id="2040664980">
          <w:marLeft w:val="0"/>
          <w:marRight w:val="0"/>
          <w:marTop w:val="0"/>
          <w:marBottom w:val="0"/>
          <w:divBdr>
            <w:top w:val="none" w:sz="0" w:space="0" w:color="auto"/>
            <w:left w:val="none" w:sz="0" w:space="0" w:color="auto"/>
            <w:bottom w:val="none" w:sz="0" w:space="0" w:color="auto"/>
            <w:right w:val="none" w:sz="0" w:space="0" w:color="auto"/>
          </w:divBdr>
        </w:div>
        <w:div w:id="2048485634">
          <w:marLeft w:val="0"/>
          <w:marRight w:val="0"/>
          <w:marTop w:val="0"/>
          <w:marBottom w:val="0"/>
          <w:divBdr>
            <w:top w:val="none" w:sz="0" w:space="0" w:color="auto"/>
            <w:left w:val="none" w:sz="0" w:space="0" w:color="auto"/>
            <w:bottom w:val="none" w:sz="0" w:space="0" w:color="auto"/>
            <w:right w:val="none" w:sz="0" w:space="0" w:color="auto"/>
          </w:divBdr>
        </w:div>
        <w:div w:id="2060088366">
          <w:marLeft w:val="0"/>
          <w:marRight w:val="0"/>
          <w:marTop w:val="0"/>
          <w:marBottom w:val="0"/>
          <w:divBdr>
            <w:top w:val="none" w:sz="0" w:space="0" w:color="auto"/>
            <w:left w:val="none" w:sz="0" w:space="0" w:color="auto"/>
            <w:bottom w:val="none" w:sz="0" w:space="0" w:color="auto"/>
            <w:right w:val="none" w:sz="0" w:space="0" w:color="auto"/>
          </w:divBdr>
        </w:div>
        <w:div w:id="2065566524">
          <w:marLeft w:val="0"/>
          <w:marRight w:val="0"/>
          <w:marTop w:val="0"/>
          <w:marBottom w:val="0"/>
          <w:divBdr>
            <w:top w:val="none" w:sz="0" w:space="0" w:color="auto"/>
            <w:left w:val="none" w:sz="0" w:space="0" w:color="auto"/>
            <w:bottom w:val="none" w:sz="0" w:space="0" w:color="auto"/>
            <w:right w:val="none" w:sz="0" w:space="0" w:color="auto"/>
          </w:divBdr>
        </w:div>
        <w:div w:id="2069111700">
          <w:marLeft w:val="0"/>
          <w:marRight w:val="0"/>
          <w:marTop w:val="0"/>
          <w:marBottom w:val="0"/>
          <w:divBdr>
            <w:top w:val="none" w:sz="0" w:space="0" w:color="auto"/>
            <w:left w:val="none" w:sz="0" w:space="0" w:color="auto"/>
            <w:bottom w:val="none" w:sz="0" w:space="0" w:color="auto"/>
            <w:right w:val="none" w:sz="0" w:space="0" w:color="auto"/>
          </w:divBdr>
        </w:div>
        <w:div w:id="2086298908">
          <w:marLeft w:val="0"/>
          <w:marRight w:val="0"/>
          <w:marTop w:val="0"/>
          <w:marBottom w:val="0"/>
          <w:divBdr>
            <w:top w:val="none" w:sz="0" w:space="0" w:color="auto"/>
            <w:left w:val="none" w:sz="0" w:space="0" w:color="auto"/>
            <w:bottom w:val="none" w:sz="0" w:space="0" w:color="auto"/>
            <w:right w:val="none" w:sz="0" w:space="0" w:color="auto"/>
          </w:divBdr>
        </w:div>
        <w:div w:id="2088073664">
          <w:marLeft w:val="0"/>
          <w:marRight w:val="0"/>
          <w:marTop w:val="0"/>
          <w:marBottom w:val="0"/>
          <w:divBdr>
            <w:top w:val="none" w:sz="0" w:space="0" w:color="auto"/>
            <w:left w:val="none" w:sz="0" w:space="0" w:color="auto"/>
            <w:bottom w:val="none" w:sz="0" w:space="0" w:color="auto"/>
            <w:right w:val="none" w:sz="0" w:space="0" w:color="auto"/>
          </w:divBdr>
        </w:div>
        <w:div w:id="2096856650">
          <w:marLeft w:val="0"/>
          <w:marRight w:val="0"/>
          <w:marTop w:val="0"/>
          <w:marBottom w:val="0"/>
          <w:divBdr>
            <w:top w:val="none" w:sz="0" w:space="0" w:color="auto"/>
            <w:left w:val="none" w:sz="0" w:space="0" w:color="auto"/>
            <w:bottom w:val="none" w:sz="0" w:space="0" w:color="auto"/>
            <w:right w:val="none" w:sz="0" w:space="0" w:color="auto"/>
          </w:divBdr>
        </w:div>
        <w:div w:id="2097438061">
          <w:marLeft w:val="0"/>
          <w:marRight w:val="0"/>
          <w:marTop w:val="0"/>
          <w:marBottom w:val="0"/>
          <w:divBdr>
            <w:top w:val="none" w:sz="0" w:space="0" w:color="auto"/>
            <w:left w:val="none" w:sz="0" w:space="0" w:color="auto"/>
            <w:bottom w:val="none" w:sz="0" w:space="0" w:color="auto"/>
            <w:right w:val="none" w:sz="0" w:space="0" w:color="auto"/>
          </w:divBdr>
        </w:div>
        <w:div w:id="2134126765">
          <w:marLeft w:val="0"/>
          <w:marRight w:val="0"/>
          <w:marTop w:val="0"/>
          <w:marBottom w:val="0"/>
          <w:divBdr>
            <w:top w:val="none" w:sz="0" w:space="0" w:color="auto"/>
            <w:left w:val="none" w:sz="0" w:space="0" w:color="auto"/>
            <w:bottom w:val="none" w:sz="0" w:space="0" w:color="auto"/>
            <w:right w:val="none" w:sz="0" w:space="0" w:color="auto"/>
          </w:divBdr>
        </w:div>
        <w:div w:id="2143571761">
          <w:marLeft w:val="0"/>
          <w:marRight w:val="0"/>
          <w:marTop w:val="0"/>
          <w:marBottom w:val="0"/>
          <w:divBdr>
            <w:top w:val="none" w:sz="0" w:space="0" w:color="auto"/>
            <w:left w:val="none" w:sz="0" w:space="0" w:color="auto"/>
            <w:bottom w:val="none" w:sz="0" w:space="0" w:color="auto"/>
            <w:right w:val="none" w:sz="0" w:space="0" w:color="auto"/>
          </w:divBdr>
        </w:div>
      </w:divsChild>
    </w:div>
    <w:div w:id="1034381379">
      <w:bodyDiv w:val="1"/>
      <w:marLeft w:val="0"/>
      <w:marRight w:val="0"/>
      <w:marTop w:val="0"/>
      <w:marBottom w:val="0"/>
      <w:divBdr>
        <w:top w:val="none" w:sz="0" w:space="0" w:color="auto"/>
        <w:left w:val="none" w:sz="0" w:space="0" w:color="auto"/>
        <w:bottom w:val="none" w:sz="0" w:space="0" w:color="auto"/>
        <w:right w:val="none" w:sz="0" w:space="0" w:color="auto"/>
      </w:divBdr>
    </w:div>
    <w:div w:id="1036392271">
      <w:bodyDiv w:val="1"/>
      <w:marLeft w:val="0"/>
      <w:marRight w:val="0"/>
      <w:marTop w:val="0"/>
      <w:marBottom w:val="0"/>
      <w:divBdr>
        <w:top w:val="none" w:sz="0" w:space="0" w:color="auto"/>
        <w:left w:val="none" w:sz="0" w:space="0" w:color="auto"/>
        <w:bottom w:val="none" w:sz="0" w:space="0" w:color="auto"/>
        <w:right w:val="none" w:sz="0" w:space="0" w:color="auto"/>
      </w:divBdr>
    </w:div>
    <w:div w:id="1038817121">
      <w:bodyDiv w:val="1"/>
      <w:marLeft w:val="0"/>
      <w:marRight w:val="0"/>
      <w:marTop w:val="0"/>
      <w:marBottom w:val="0"/>
      <w:divBdr>
        <w:top w:val="none" w:sz="0" w:space="0" w:color="auto"/>
        <w:left w:val="none" w:sz="0" w:space="0" w:color="auto"/>
        <w:bottom w:val="none" w:sz="0" w:space="0" w:color="auto"/>
        <w:right w:val="none" w:sz="0" w:space="0" w:color="auto"/>
      </w:divBdr>
    </w:div>
    <w:div w:id="1045452546">
      <w:bodyDiv w:val="1"/>
      <w:marLeft w:val="0"/>
      <w:marRight w:val="0"/>
      <w:marTop w:val="0"/>
      <w:marBottom w:val="0"/>
      <w:divBdr>
        <w:top w:val="none" w:sz="0" w:space="0" w:color="auto"/>
        <w:left w:val="none" w:sz="0" w:space="0" w:color="auto"/>
        <w:bottom w:val="none" w:sz="0" w:space="0" w:color="auto"/>
        <w:right w:val="none" w:sz="0" w:space="0" w:color="auto"/>
      </w:divBdr>
    </w:div>
    <w:div w:id="1051810106">
      <w:bodyDiv w:val="1"/>
      <w:marLeft w:val="0"/>
      <w:marRight w:val="0"/>
      <w:marTop w:val="0"/>
      <w:marBottom w:val="0"/>
      <w:divBdr>
        <w:top w:val="none" w:sz="0" w:space="0" w:color="auto"/>
        <w:left w:val="none" w:sz="0" w:space="0" w:color="auto"/>
        <w:bottom w:val="none" w:sz="0" w:space="0" w:color="auto"/>
        <w:right w:val="none" w:sz="0" w:space="0" w:color="auto"/>
      </w:divBdr>
    </w:div>
    <w:div w:id="1070227058">
      <w:bodyDiv w:val="1"/>
      <w:marLeft w:val="0"/>
      <w:marRight w:val="0"/>
      <w:marTop w:val="0"/>
      <w:marBottom w:val="0"/>
      <w:divBdr>
        <w:top w:val="none" w:sz="0" w:space="0" w:color="auto"/>
        <w:left w:val="none" w:sz="0" w:space="0" w:color="auto"/>
        <w:bottom w:val="none" w:sz="0" w:space="0" w:color="auto"/>
        <w:right w:val="none" w:sz="0" w:space="0" w:color="auto"/>
      </w:divBdr>
    </w:div>
    <w:div w:id="1071460490">
      <w:bodyDiv w:val="1"/>
      <w:marLeft w:val="0"/>
      <w:marRight w:val="0"/>
      <w:marTop w:val="0"/>
      <w:marBottom w:val="0"/>
      <w:divBdr>
        <w:top w:val="none" w:sz="0" w:space="0" w:color="auto"/>
        <w:left w:val="none" w:sz="0" w:space="0" w:color="auto"/>
        <w:bottom w:val="none" w:sz="0" w:space="0" w:color="auto"/>
        <w:right w:val="none" w:sz="0" w:space="0" w:color="auto"/>
      </w:divBdr>
      <w:divsChild>
        <w:div w:id="264577140">
          <w:marLeft w:val="0"/>
          <w:marRight w:val="0"/>
          <w:marTop w:val="0"/>
          <w:marBottom w:val="0"/>
          <w:divBdr>
            <w:top w:val="none" w:sz="0" w:space="0" w:color="auto"/>
            <w:left w:val="none" w:sz="0" w:space="0" w:color="auto"/>
            <w:bottom w:val="none" w:sz="0" w:space="0" w:color="auto"/>
            <w:right w:val="none" w:sz="0" w:space="0" w:color="auto"/>
          </w:divBdr>
        </w:div>
        <w:div w:id="488719190">
          <w:marLeft w:val="0"/>
          <w:marRight w:val="0"/>
          <w:marTop w:val="0"/>
          <w:marBottom w:val="0"/>
          <w:divBdr>
            <w:top w:val="none" w:sz="0" w:space="0" w:color="auto"/>
            <w:left w:val="none" w:sz="0" w:space="0" w:color="auto"/>
            <w:bottom w:val="none" w:sz="0" w:space="0" w:color="auto"/>
            <w:right w:val="none" w:sz="0" w:space="0" w:color="auto"/>
          </w:divBdr>
        </w:div>
        <w:div w:id="882787989">
          <w:marLeft w:val="0"/>
          <w:marRight w:val="0"/>
          <w:marTop w:val="0"/>
          <w:marBottom w:val="0"/>
          <w:divBdr>
            <w:top w:val="none" w:sz="0" w:space="0" w:color="auto"/>
            <w:left w:val="none" w:sz="0" w:space="0" w:color="auto"/>
            <w:bottom w:val="none" w:sz="0" w:space="0" w:color="auto"/>
            <w:right w:val="none" w:sz="0" w:space="0" w:color="auto"/>
          </w:divBdr>
        </w:div>
        <w:div w:id="963730154">
          <w:marLeft w:val="0"/>
          <w:marRight w:val="0"/>
          <w:marTop w:val="0"/>
          <w:marBottom w:val="0"/>
          <w:divBdr>
            <w:top w:val="none" w:sz="0" w:space="0" w:color="auto"/>
            <w:left w:val="none" w:sz="0" w:space="0" w:color="auto"/>
            <w:bottom w:val="none" w:sz="0" w:space="0" w:color="auto"/>
            <w:right w:val="none" w:sz="0" w:space="0" w:color="auto"/>
          </w:divBdr>
        </w:div>
        <w:div w:id="1126385607">
          <w:marLeft w:val="0"/>
          <w:marRight w:val="0"/>
          <w:marTop w:val="0"/>
          <w:marBottom w:val="0"/>
          <w:divBdr>
            <w:top w:val="none" w:sz="0" w:space="0" w:color="auto"/>
            <w:left w:val="none" w:sz="0" w:space="0" w:color="auto"/>
            <w:bottom w:val="none" w:sz="0" w:space="0" w:color="auto"/>
            <w:right w:val="none" w:sz="0" w:space="0" w:color="auto"/>
          </w:divBdr>
        </w:div>
        <w:div w:id="1164007740">
          <w:marLeft w:val="0"/>
          <w:marRight w:val="0"/>
          <w:marTop w:val="0"/>
          <w:marBottom w:val="0"/>
          <w:divBdr>
            <w:top w:val="none" w:sz="0" w:space="0" w:color="auto"/>
            <w:left w:val="none" w:sz="0" w:space="0" w:color="auto"/>
            <w:bottom w:val="none" w:sz="0" w:space="0" w:color="auto"/>
            <w:right w:val="none" w:sz="0" w:space="0" w:color="auto"/>
          </w:divBdr>
        </w:div>
        <w:div w:id="1359501249">
          <w:marLeft w:val="0"/>
          <w:marRight w:val="0"/>
          <w:marTop w:val="0"/>
          <w:marBottom w:val="0"/>
          <w:divBdr>
            <w:top w:val="none" w:sz="0" w:space="0" w:color="auto"/>
            <w:left w:val="none" w:sz="0" w:space="0" w:color="auto"/>
            <w:bottom w:val="none" w:sz="0" w:space="0" w:color="auto"/>
            <w:right w:val="none" w:sz="0" w:space="0" w:color="auto"/>
          </w:divBdr>
        </w:div>
        <w:div w:id="1445222929">
          <w:marLeft w:val="0"/>
          <w:marRight w:val="0"/>
          <w:marTop w:val="0"/>
          <w:marBottom w:val="0"/>
          <w:divBdr>
            <w:top w:val="none" w:sz="0" w:space="0" w:color="auto"/>
            <w:left w:val="none" w:sz="0" w:space="0" w:color="auto"/>
            <w:bottom w:val="none" w:sz="0" w:space="0" w:color="auto"/>
            <w:right w:val="none" w:sz="0" w:space="0" w:color="auto"/>
          </w:divBdr>
        </w:div>
        <w:div w:id="1575555047">
          <w:marLeft w:val="0"/>
          <w:marRight w:val="0"/>
          <w:marTop w:val="0"/>
          <w:marBottom w:val="0"/>
          <w:divBdr>
            <w:top w:val="none" w:sz="0" w:space="0" w:color="auto"/>
            <w:left w:val="none" w:sz="0" w:space="0" w:color="auto"/>
            <w:bottom w:val="none" w:sz="0" w:space="0" w:color="auto"/>
            <w:right w:val="none" w:sz="0" w:space="0" w:color="auto"/>
          </w:divBdr>
        </w:div>
        <w:div w:id="1650284746">
          <w:marLeft w:val="0"/>
          <w:marRight w:val="0"/>
          <w:marTop w:val="0"/>
          <w:marBottom w:val="0"/>
          <w:divBdr>
            <w:top w:val="none" w:sz="0" w:space="0" w:color="auto"/>
            <w:left w:val="none" w:sz="0" w:space="0" w:color="auto"/>
            <w:bottom w:val="none" w:sz="0" w:space="0" w:color="auto"/>
            <w:right w:val="none" w:sz="0" w:space="0" w:color="auto"/>
          </w:divBdr>
        </w:div>
        <w:div w:id="1793939172">
          <w:marLeft w:val="0"/>
          <w:marRight w:val="0"/>
          <w:marTop w:val="0"/>
          <w:marBottom w:val="0"/>
          <w:divBdr>
            <w:top w:val="none" w:sz="0" w:space="0" w:color="auto"/>
            <w:left w:val="none" w:sz="0" w:space="0" w:color="auto"/>
            <w:bottom w:val="none" w:sz="0" w:space="0" w:color="auto"/>
            <w:right w:val="none" w:sz="0" w:space="0" w:color="auto"/>
          </w:divBdr>
        </w:div>
        <w:div w:id="1797916838">
          <w:marLeft w:val="0"/>
          <w:marRight w:val="0"/>
          <w:marTop w:val="0"/>
          <w:marBottom w:val="0"/>
          <w:divBdr>
            <w:top w:val="none" w:sz="0" w:space="0" w:color="auto"/>
            <w:left w:val="none" w:sz="0" w:space="0" w:color="auto"/>
            <w:bottom w:val="none" w:sz="0" w:space="0" w:color="auto"/>
            <w:right w:val="none" w:sz="0" w:space="0" w:color="auto"/>
          </w:divBdr>
        </w:div>
        <w:div w:id="1898663080">
          <w:marLeft w:val="0"/>
          <w:marRight w:val="0"/>
          <w:marTop w:val="0"/>
          <w:marBottom w:val="0"/>
          <w:divBdr>
            <w:top w:val="none" w:sz="0" w:space="0" w:color="auto"/>
            <w:left w:val="none" w:sz="0" w:space="0" w:color="auto"/>
            <w:bottom w:val="none" w:sz="0" w:space="0" w:color="auto"/>
            <w:right w:val="none" w:sz="0" w:space="0" w:color="auto"/>
          </w:divBdr>
        </w:div>
      </w:divsChild>
    </w:div>
    <w:div w:id="1078286556">
      <w:bodyDiv w:val="1"/>
      <w:marLeft w:val="0"/>
      <w:marRight w:val="0"/>
      <w:marTop w:val="0"/>
      <w:marBottom w:val="0"/>
      <w:divBdr>
        <w:top w:val="none" w:sz="0" w:space="0" w:color="auto"/>
        <w:left w:val="none" w:sz="0" w:space="0" w:color="auto"/>
        <w:bottom w:val="none" w:sz="0" w:space="0" w:color="auto"/>
        <w:right w:val="none" w:sz="0" w:space="0" w:color="auto"/>
      </w:divBdr>
    </w:div>
    <w:div w:id="1081831440">
      <w:bodyDiv w:val="1"/>
      <w:marLeft w:val="0"/>
      <w:marRight w:val="0"/>
      <w:marTop w:val="0"/>
      <w:marBottom w:val="0"/>
      <w:divBdr>
        <w:top w:val="none" w:sz="0" w:space="0" w:color="auto"/>
        <w:left w:val="none" w:sz="0" w:space="0" w:color="auto"/>
        <w:bottom w:val="none" w:sz="0" w:space="0" w:color="auto"/>
        <w:right w:val="none" w:sz="0" w:space="0" w:color="auto"/>
      </w:divBdr>
    </w:div>
    <w:div w:id="1090587535">
      <w:bodyDiv w:val="1"/>
      <w:marLeft w:val="0"/>
      <w:marRight w:val="0"/>
      <w:marTop w:val="0"/>
      <w:marBottom w:val="0"/>
      <w:divBdr>
        <w:top w:val="none" w:sz="0" w:space="0" w:color="auto"/>
        <w:left w:val="none" w:sz="0" w:space="0" w:color="auto"/>
        <w:bottom w:val="none" w:sz="0" w:space="0" w:color="auto"/>
        <w:right w:val="none" w:sz="0" w:space="0" w:color="auto"/>
      </w:divBdr>
    </w:div>
    <w:div w:id="1095175441">
      <w:bodyDiv w:val="1"/>
      <w:marLeft w:val="0"/>
      <w:marRight w:val="0"/>
      <w:marTop w:val="0"/>
      <w:marBottom w:val="0"/>
      <w:divBdr>
        <w:top w:val="none" w:sz="0" w:space="0" w:color="auto"/>
        <w:left w:val="none" w:sz="0" w:space="0" w:color="auto"/>
        <w:bottom w:val="none" w:sz="0" w:space="0" w:color="auto"/>
        <w:right w:val="none" w:sz="0" w:space="0" w:color="auto"/>
      </w:divBdr>
    </w:div>
    <w:div w:id="1096750143">
      <w:bodyDiv w:val="1"/>
      <w:marLeft w:val="0"/>
      <w:marRight w:val="0"/>
      <w:marTop w:val="0"/>
      <w:marBottom w:val="0"/>
      <w:divBdr>
        <w:top w:val="none" w:sz="0" w:space="0" w:color="auto"/>
        <w:left w:val="none" w:sz="0" w:space="0" w:color="auto"/>
        <w:bottom w:val="none" w:sz="0" w:space="0" w:color="auto"/>
        <w:right w:val="none" w:sz="0" w:space="0" w:color="auto"/>
      </w:divBdr>
    </w:div>
    <w:div w:id="1097600001">
      <w:bodyDiv w:val="1"/>
      <w:marLeft w:val="0"/>
      <w:marRight w:val="0"/>
      <w:marTop w:val="0"/>
      <w:marBottom w:val="0"/>
      <w:divBdr>
        <w:top w:val="none" w:sz="0" w:space="0" w:color="auto"/>
        <w:left w:val="none" w:sz="0" w:space="0" w:color="auto"/>
        <w:bottom w:val="none" w:sz="0" w:space="0" w:color="auto"/>
        <w:right w:val="none" w:sz="0" w:space="0" w:color="auto"/>
      </w:divBdr>
    </w:div>
    <w:div w:id="1101535966">
      <w:bodyDiv w:val="1"/>
      <w:marLeft w:val="0"/>
      <w:marRight w:val="0"/>
      <w:marTop w:val="0"/>
      <w:marBottom w:val="0"/>
      <w:divBdr>
        <w:top w:val="none" w:sz="0" w:space="0" w:color="auto"/>
        <w:left w:val="none" w:sz="0" w:space="0" w:color="auto"/>
        <w:bottom w:val="none" w:sz="0" w:space="0" w:color="auto"/>
        <w:right w:val="none" w:sz="0" w:space="0" w:color="auto"/>
      </w:divBdr>
    </w:div>
    <w:div w:id="1125545970">
      <w:bodyDiv w:val="1"/>
      <w:marLeft w:val="0"/>
      <w:marRight w:val="0"/>
      <w:marTop w:val="0"/>
      <w:marBottom w:val="0"/>
      <w:divBdr>
        <w:top w:val="none" w:sz="0" w:space="0" w:color="auto"/>
        <w:left w:val="none" w:sz="0" w:space="0" w:color="auto"/>
        <w:bottom w:val="none" w:sz="0" w:space="0" w:color="auto"/>
        <w:right w:val="none" w:sz="0" w:space="0" w:color="auto"/>
      </w:divBdr>
      <w:divsChild>
        <w:div w:id="11498740">
          <w:marLeft w:val="0"/>
          <w:marRight w:val="0"/>
          <w:marTop w:val="0"/>
          <w:marBottom w:val="0"/>
          <w:divBdr>
            <w:top w:val="none" w:sz="0" w:space="0" w:color="auto"/>
            <w:left w:val="none" w:sz="0" w:space="0" w:color="auto"/>
            <w:bottom w:val="none" w:sz="0" w:space="0" w:color="auto"/>
            <w:right w:val="none" w:sz="0" w:space="0" w:color="auto"/>
          </w:divBdr>
          <w:divsChild>
            <w:div w:id="1714037449">
              <w:marLeft w:val="0"/>
              <w:marRight w:val="0"/>
              <w:marTop w:val="0"/>
              <w:marBottom w:val="0"/>
              <w:divBdr>
                <w:top w:val="none" w:sz="0" w:space="0" w:color="auto"/>
                <w:left w:val="none" w:sz="0" w:space="0" w:color="auto"/>
                <w:bottom w:val="none" w:sz="0" w:space="0" w:color="auto"/>
                <w:right w:val="none" w:sz="0" w:space="0" w:color="auto"/>
              </w:divBdr>
            </w:div>
          </w:divsChild>
        </w:div>
        <w:div w:id="27145213">
          <w:marLeft w:val="0"/>
          <w:marRight w:val="0"/>
          <w:marTop w:val="0"/>
          <w:marBottom w:val="0"/>
          <w:divBdr>
            <w:top w:val="none" w:sz="0" w:space="0" w:color="auto"/>
            <w:left w:val="none" w:sz="0" w:space="0" w:color="auto"/>
            <w:bottom w:val="none" w:sz="0" w:space="0" w:color="auto"/>
            <w:right w:val="none" w:sz="0" w:space="0" w:color="auto"/>
          </w:divBdr>
          <w:divsChild>
            <w:div w:id="495998288">
              <w:marLeft w:val="0"/>
              <w:marRight w:val="0"/>
              <w:marTop w:val="0"/>
              <w:marBottom w:val="0"/>
              <w:divBdr>
                <w:top w:val="none" w:sz="0" w:space="0" w:color="auto"/>
                <w:left w:val="none" w:sz="0" w:space="0" w:color="auto"/>
                <w:bottom w:val="none" w:sz="0" w:space="0" w:color="auto"/>
                <w:right w:val="none" w:sz="0" w:space="0" w:color="auto"/>
              </w:divBdr>
            </w:div>
          </w:divsChild>
        </w:div>
        <w:div w:id="58942949">
          <w:marLeft w:val="0"/>
          <w:marRight w:val="0"/>
          <w:marTop w:val="0"/>
          <w:marBottom w:val="0"/>
          <w:divBdr>
            <w:top w:val="none" w:sz="0" w:space="0" w:color="auto"/>
            <w:left w:val="none" w:sz="0" w:space="0" w:color="auto"/>
            <w:bottom w:val="none" w:sz="0" w:space="0" w:color="auto"/>
            <w:right w:val="none" w:sz="0" w:space="0" w:color="auto"/>
          </w:divBdr>
          <w:divsChild>
            <w:div w:id="1301770001">
              <w:marLeft w:val="0"/>
              <w:marRight w:val="0"/>
              <w:marTop w:val="0"/>
              <w:marBottom w:val="0"/>
              <w:divBdr>
                <w:top w:val="none" w:sz="0" w:space="0" w:color="auto"/>
                <w:left w:val="none" w:sz="0" w:space="0" w:color="auto"/>
                <w:bottom w:val="none" w:sz="0" w:space="0" w:color="auto"/>
                <w:right w:val="none" w:sz="0" w:space="0" w:color="auto"/>
              </w:divBdr>
            </w:div>
          </w:divsChild>
        </w:div>
        <w:div w:id="69012458">
          <w:marLeft w:val="0"/>
          <w:marRight w:val="0"/>
          <w:marTop w:val="0"/>
          <w:marBottom w:val="0"/>
          <w:divBdr>
            <w:top w:val="none" w:sz="0" w:space="0" w:color="auto"/>
            <w:left w:val="none" w:sz="0" w:space="0" w:color="auto"/>
            <w:bottom w:val="none" w:sz="0" w:space="0" w:color="auto"/>
            <w:right w:val="none" w:sz="0" w:space="0" w:color="auto"/>
          </w:divBdr>
          <w:divsChild>
            <w:div w:id="2069986743">
              <w:marLeft w:val="0"/>
              <w:marRight w:val="0"/>
              <w:marTop w:val="0"/>
              <w:marBottom w:val="0"/>
              <w:divBdr>
                <w:top w:val="none" w:sz="0" w:space="0" w:color="auto"/>
                <w:left w:val="none" w:sz="0" w:space="0" w:color="auto"/>
                <w:bottom w:val="none" w:sz="0" w:space="0" w:color="auto"/>
                <w:right w:val="none" w:sz="0" w:space="0" w:color="auto"/>
              </w:divBdr>
            </w:div>
          </w:divsChild>
        </w:div>
        <w:div w:id="78527431">
          <w:marLeft w:val="0"/>
          <w:marRight w:val="0"/>
          <w:marTop w:val="0"/>
          <w:marBottom w:val="0"/>
          <w:divBdr>
            <w:top w:val="none" w:sz="0" w:space="0" w:color="auto"/>
            <w:left w:val="none" w:sz="0" w:space="0" w:color="auto"/>
            <w:bottom w:val="none" w:sz="0" w:space="0" w:color="auto"/>
            <w:right w:val="none" w:sz="0" w:space="0" w:color="auto"/>
          </w:divBdr>
          <w:divsChild>
            <w:div w:id="1385760325">
              <w:marLeft w:val="0"/>
              <w:marRight w:val="0"/>
              <w:marTop w:val="0"/>
              <w:marBottom w:val="0"/>
              <w:divBdr>
                <w:top w:val="none" w:sz="0" w:space="0" w:color="auto"/>
                <w:left w:val="none" w:sz="0" w:space="0" w:color="auto"/>
                <w:bottom w:val="none" w:sz="0" w:space="0" w:color="auto"/>
                <w:right w:val="none" w:sz="0" w:space="0" w:color="auto"/>
              </w:divBdr>
            </w:div>
          </w:divsChild>
        </w:div>
        <w:div w:id="101148572">
          <w:marLeft w:val="0"/>
          <w:marRight w:val="0"/>
          <w:marTop w:val="0"/>
          <w:marBottom w:val="0"/>
          <w:divBdr>
            <w:top w:val="none" w:sz="0" w:space="0" w:color="auto"/>
            <w:left w:val="none" w:sz="0" w:space="0" w:color="auto"/>
            <w:bottom w:val="none" w:sz="0" w:space="0" w:color="auto"/>
            <w:right w:val="none" w:sz="0" w:space="0" w:color="auto"/>
          </w:divBdr>
          <w:divsChild>
            <w:div w:id="1385134188">
              <w:marLeft w:val="0"/>
              <w:marRight w:val="0"/>
              <w:marTop w:val="0"/>
              <w:marBottom w:val="0"/>
              <w:divBdr>
                <w:top w:val="none" w:sz="0" w:space="0" w:color="auto"/>
                <w:left w:val="none" w:sz="0" w:space="0" w:color="auto"/>
                <w:bottom w:val="none" w:sz="0" w:space="0" w:color="auto"/>
                <w:right w:val="none" w:sz="0" w:space="0" w:color="auto"/>
              </w:divBdr>
            </w:div>
          </w:divsChild>
        </w:div>
        <w:div w:id="114102054">
          <w:marLeft w:val="0"/>
          <w:marRight w:val="0"/>
          <w:marTop w:val="0"/>
          <w:marBottom w:val="0"/>
          <w:divBdr>
            <w:top w:val="none" w:sz="0" w:space="0" w:color="auto"/>
            <w:left w:val="none" w:sz="0" w:space="0" w:color="auto"/>
            <w:bottom w:val="none" w:sz="0" w:space="0" w:color="auto"/>
            <w:right w:val="none" w:sz="0" w:space="0" w:color="auto"/>
          </w:divBdr>
          <w:divsChild>
            <w:div w:id="1465150805">
              <w:marLeft w:val="0"/>
              <w:marRight w:val="0"/>
              <w:marTop w:val="0"/>
              <w:marBottom w:val="0"/>
              <w:divBdr>
                <w:top w:val="none" w:sz="0" w:space="0" w:color="auto"/>
                <w:left w:val="none" w:sz="0" w:space="0" w:color="auto"/>
                <w:bottom w:val="none" w:sz="0" w:space="0" w:color="auto"/>
                <w:right w:val="none" w:sz="0" w:space="0" w:color="auto"/>
              </w:divBdr>
            </w:div>
          </w:divsChild>
        </w:div>
        <w:div w:id="123891821">
          <w:marLeft w:val="0"/>
          <w:marRight w:val="0"/>
          <w:marTop w:val="0"/>
          <w:marBottom w:val="0"/>
          <w:divBdr>
            <w:top w:val="none" w:sz="0" w:space="0" w:color="auto"/>
            <w:left w:val="none" w:sz="0" w:space="0" w:color="auto"/>
            <w:bottom w:val="none" w:sz="0" w:space="0" w:color="auto"/>
            <w:right w:val="none" w:sz="0" w:space="0" w:color="auto"/>
          </w:divBdr>
          <w:divsChild>
            <w:div w:id="1515532488">
              <w:marLeft w:val="0"/>
              <w:marRight w:val="0"/>
              <w:marTop w:val="0"/>
              <w:marBottom w:val="0"/>
              <w:divBdr>
                <w:top w:val="none" w:sz="0" w:space="0" w:color="auto"/>
                <w:left w:val="none" w:sz="0" w:space="0" w:color="auto"/>
                <w:bottom w:val="none" w:sz="0" w:space="0" w:color="auto"/>
                <w:right w:val="none" w:sz="0" w:space="0" w:color="auto"/>
              </w:divBdr>
            </w:div>
          </w:divsChild>
        </w:div>
        <w:div w:id="124592855">
          <w:marLeft w:val="0"/>
          <w:marRight w:val="0"/>
          <w:marTop w:val="0"/>
          <w:marBottom w:val="0"/>
          <w:divBdr>
            <w:top w:val="none" w:sz="0" w:space="0" w:color="auto"/>
            <w:left w:val="none" w:sz="0" w:space="0" w:color="auto"/>
            <w:bottom w:val="none" w:sz="0" w:space="0" w:color="auto"/>
            <w:right w:val="none" w:sz="0" w:space="0" w:color="auto"/>
          </w:divBdr>
          <w:divsChild>
            <w:div w:id="1456755508">
              <w:marLeft w:val="0"/>
              <w:marRight w:val="0"/>
              <w:marTop w:val="0"/>
              <w:marBottom w:val="0"/>
              <w:divBdr>
                <w:top w:val="none" w:sz="0" w:space="0" w:color="auto"/>
                <w:left w:val="none" w:sz="0" w:space="0" w:color="auto"/>
                <w:bottom w:val="none" w:sz="0" w:space="0" w:color="auto"/>
                <w:right w:val="none" w:sz="0" w:space="0" w:color="auto"/>
              </w:divBdr>
            </w:div>
          </w:divsChild>
        </w:div>
        <w:div w:id="125394705">
          <w:marLeft w:val="0"/>
          <w:marRight w:val="0"/>
          <w:marTop w:val="0"/>
          <w:marBottom w:val="0"/>
          <w:divBdr>
            <w:top w:val="none" w:sz="0" w:space="0" w:color="auto"/>
            <w:left w:val="none" w:sz="0" w:space="0" w:color="auto"/>
            <w:bottom w:val="none" w:sz="0" w:space="0" w:color="auto"/>
            <w:right w:val="none" w:sz="0" w:space="0" w:color="auto"/>
          </w:divBdr>
          <w:divsChild>
            <w:div w:id="1281184527">
              <w:marLeft w:val="0"/>
              <w:marRight w:val="0"/>
              <w:marTop w:val="0"/>
              <w:marBottom w:val="0"/>
              <w:divBdr>
                <w:top w:val="none" w:sz="0" w:space="0" w:color="auto"/>
                <w:left w:val="none" w:sz="0" w:space="0" w:color="auto"/>
                <w:bottom w:val="none" w:sz="0" w:space="0" w:color="auto"/>
                <w:right w:val="none" w:sz="0" w:space="0" w:color="auto"/>
              </w:divBdr>
            </w:div>
          </w:divsChild>
        </w:div>
        <w:div w:id="152720200">
          <w:marLeft w:val="0"/>
          <w:marRight w:val="0"/>
          <w:marTop w:val="0"/>
          <w:marBottom w:val="0"/>
          <w:divBdr>
            <w:top w:val="none" w:sz="0" w:space="0" w:color="auto"/>
            <w:left w:val="none" w:sz="0" w:space="0" w:color="auto"/>
            <w:bottom w:val="none" w:sz="0" w:space="0" w:color="auto"/>
            <w:right w:val="none" w:sz="0" w:space="0" w:color="auto"/>
          </w:divBdr>
          <w:divsChild>
            <w:div w:id="1830827706">
              <w:marLeft w:val="0"/>
              <w:marRight w:val="0"/>
              <w:marTop w:val="0"/>
              <w:marBottom w:val="0"/>
              <w:divBdr>
                <w:top w:val="none" w:sz="0" w:space="0" w:color="auto"/>
                <w:left w:val="none" w:sz="0" w:space="0" w:color="auto"/>
                <w:bottom w:val="none" w:sz="0" w:space="0" w:color="auto"/>
                <w:right w:val="none" w:sz="0" w:space="0" w:color="auto"/>
              </w:divBdr>
            </w:div>
          </w:divsChild>
        </w:div>
        <w:div w:id="152987894">
          <w:marLeft w:val="0"/>
          <w:marRight w:val="0"/>
          <w:marTop w:val="0"/>
          <w:marBottom w:val="0"/>
          <w:divBdr>
            <w:top w:val="none" w:sz="0" w:space="0" w:color="auto"/>
            <w:left w:val="none" w:sz="0" w:space="0" w:color="auto"/>
            <w:bottom w:val="none" w:sz="0" w:space="0" w:color="auto"/>
            <w:right w:val="none" w:sz="0" w:space="0" w:color="auto"/>
          </w:divBdr>
          <w:divsChild>
            <w:div w:id="1406338672">
              <w:marLeft w:val="0"/>
              <w:marRight w:val="0"/>
              <w:marTop w:val="0"/>
              <w:marBottom w:val="0"/>
              <w:divBdr>
                <w:top w:val="none" w:sz="0" w:space="0" w:color="auto"/>
                <w:left w:val="none" w:sz="0" w:space="0" w:color="auto"/>
                <w:bottom w:val="none" w:sz="0" w:space="0" w:color="auto"/>
                <w:right w:val="none" w:sz="0" w:space="0" w:color="auto"/>
              </w:divBdr>
            </w:div>
          </w:divsChild>
        </w:div>
        <w:div w:id="159854997">
          <w:marLeft w:val="0"/>
          <w:marRight w:val="0"/>
          <w:marTop w:val="0"/>
          <w:marBottom w:val="0"/>
          <w:divBdr>
            <w:top w:val="none" w:sz="0" w:space="0" w:color="auto"/>
            <w:left w:val="none" w:sz="0" w:space="0" w:color="auto"/>
            <w:bottom w:val="none" w:sz="0" w:space="0" w:color="auto"/>
            <w:right w:val="none" w:sz="0" w:space="0" w:color="auto"/>
          </w:divBdr>
          <w:divsChild>
            <w:div w:id="1396275719">
              <w:marLeft w:val="0"/>
              <w:marRight w:val="0"/>
              <w:marTop w:val="0"/>
              <w:marBottom w:val="0"/>
              <w:divBdr>
                <w:top w:val="none" w:sz="0" w:space="0" w:color="auto"/>
                <w:left w:val="none" w:sz="0" w:space="0" w:color="auto"/>
                <w:bottom w:val="none" w:sz="0" w:space="0" w:color="auto"/>
                <w:right w:val="none" w:sz="0" w:space="0" w:color="auto"/>
              </w:divBdr>
            </w:div>
          </w:divsChild>
        </w:div>
        <w:div w:id="164980775">
          <w:marLeft w:val="0"/>
          <w:marRight w:val="0"/>
          <w:marTop w:val="0"/>
          <w:marBottom w:val="0"/>
          <w:divBdr>
            <w:top w:val="none" w:sz="0" w:space="0" w:color="auto"/>
            <w:left w:val="none" w:sz="0" w:space="0" w:color="auto"/>
            <w:bottom w:val="none" w:sz="0" w:space="0" w:color="auto"/>
            <w:right w:val="none" w:sz="0" w:space="0" w:color="auto"/>
          </w:divBdr>
          <w:divsChild>
            <w:div w:id="1652446871">
              <w:marLeft w:val="0"/>
              <w:marRight w:val="0"/>
              <w:marTop w:val="0"/>
              <w:marBottom w:val="0"/>
              <w:divBdr>
                <w:top w:val="none" w:sz="0" w:space="0" w:color="auto"/>
                <w:left w:val="none" w:sz="0" w:space="0" w:color="auto"/>
                <w:bottom w:val="none" w:sz="0" w:space="0" w:color="auto"/>
                <w:right w:val="none" w:sz="0" w:space="0" w:color="auto"/>
              </w:divBdr>
            </w:div>
          </w:divsChild>
        </w:div>
        <w:div w:id="180363700">
          <w:marLeft w:val="0"/>
          <w:marRight w:val="0"/>
          <w:marTop w:val="0"/>
          <w:marBottom w:val="0"/>
          <w:divBdr>
            <w:top w:val="none" w:sz="0" w:space="0" w:color="auto"/>
            <w:left w:val="none" w:sz="0" w:space="0" w:color="auto"/>
            <w:bottom w:val="none" w:sz="0" w:space="0" w:color="auto"/>
            <w:right w:val="none" w:sz="0" w:space="0" w:color="auto"/>
          </w:divBdr>
          <w:divsChild>
            <w:div w:id="1645161772">
              <w:marLeft w:val="0"/>
              <w:marRight w:val="0"/>
              <w:marTop w:val="0"/>
              <w:marBottom w:val="0"/>
              <w:divBdr>
                <w:top w:val="none" w:sz="0" w:space="0" w:color="auto"/>
                <w:left w:val="none" w:sz="0" w:space="0" w:color="auto"/>
                <w:bottom w:val="none" w:sz="0" w:space="0" w:color="auto"/>
                <w:right w:val="none" w:sz="0" w:space="0" w:color="auto"/>
              </w:divBdr>
            </w:div>
          </w:divsChild>
        </w:div>
        <w:div w:id="182480088">
          <w:marLeft w:val="0"/>
          <w:marRight w:val="0"/>
          <w:marTop w:val="0"/>
          <w:marBottom w:val="0"/>
          <w:divBdr>
            <w:top w:val="none" w:sz="0" w:space="0" w:color="auto"/>
            <w:left w:val="none" w:sz="0" w:space="0" w:color="auto"/>
            <w:bottom w:val="none" w:sz="0" w:space="0" w:color="auto"/>
            <w:right w:val="none" w:sz="0" w:space="0" w:color="auto"/>
          </w:divBdr>
          <w:divsChild>
            <w:div w:id="155145706">
              <w:marLeft w:val="0"/>
              <w:marRight w:val="0"/>
              <w:marTop w:val="0"/>
              <w:marBottom w:val="0"/>
              <w:divBdr>
                <w:top w:val="none" w:sz="0" w:space="0" w:color="auto"/>
                <w:left w:val="none" w:sz="0" w:space="0" w:color="auto"/>
                <w:bottom w:val="none" w:sz="0" w:space="0" w:color="auto"/>
                <w:right w:val="none" w:sz="0" w:space="0" w:color="auto"/>
              </w:divBdr>
            </w:div>
          </w:divsChild>
        </w:div>
        <w:div w:id="185751900">
          <w:marLeft w:val="0"/>
          <w:marRight w:val="0"/>
          <w:marTop w:val="0"/>
          <w:marBottom w:val="0"/>
          <w:divBdr>
            <w:top w:val="none" w:sz="0" w:space="0" w:color="auto"/>
            <w:left w:val="none" w:sz="0" w:space="0" w:color="auto"/>
            <w:bottom w:val="none" w:sz="0" w:space="0" w:color="auto"/>
            <w:right w:val="none" w:sz="0" w:space="0" w:color="auto"/>
          </w:divBdr>
          <w:divsChild>
            <w:div w:id="1511749420">
              <w:marLeft w:val="0"/>
              <w:marRight w:val="0"/>
              <w:marTop w:val="0"/>
              <w:marBottom w:val="0"/>
              <w:divBdr>
                <w:top w:val="none" w:sz="0" w:space="0" w:color="auto"/>
                <w:left w:val="none" w:sz="0" w:space="0" w:color="auto"/>
                <w:bottom w:val="none" w:sz="0" w:space="0" w:color="auto"/>
                <w:right w:val="none" w:sz="0" w:space="0" w:color="auto"/>
              </w:divBdr>
            </w:div>
          </w:divsChild>
        </w:div>
        <w:div w:id="187182617">
          <w:marLeft w:val="0"/>
          <w:marRight w:val="0"/>
          <w:marTop w:val="0"/>
          <w:marBottom w:val="0"/>
          <w:divBdr>
            <w:top w:val="none" w:sz="0" w:space="0" w:color="auto"/>
            <w:left w:val="none" w:sz="0" w:space="0" w:color="auto"/>
            <w:bottom w:val="none" w:sz="0" w:space="0" w:color="auto"/>
            <w:right w:val="none" w:sz="0" w:space="0" w:color="auto"/>
          </w:divBdr>
          <w:divsChild>
            <w:div w:id="87239623">
              <w:marLeft w:val="0"/>
              <w:marRight w:val="0"/>
              <w:marTop w:val="0"/>
              <w:marBottom w:val="0"/>
              <w:divBdr>
                <w:top w:val="none" w:sz="0" w:space="0" w:color="auto"/>
                <w:left w:val="none" w:sz="0" w:space="0" w:color="auto"/>
                <w:bottom w:val="none" w:sz="0" w:space="0" w:color="auto"/>
                <w:right w:val="none" w:sz="0" w:space="0" w:color="auto"/>
              </w:divBdr>
            </w:div>
          </w:divsChild>
        </w:div>
        <w:div w:id="212884643">
          <w:marLeft w:val="0"/>
          <w:marRight w:val="0"/>
          <w:marTop w:val="0"/>
          <w:marBottom w:val="0"/>
          <w:divBdr>
            <w:top w:val="none" w:sz="0" w:space="0" w:color="auto"/>
            <w:left w:val="none" w:sz="0" w:space="0" w:color="auto"/>
            <w:bottom w:val="none" w:sz="0" w:space="0" w:color="auto"/>
            <w:right w:val="none" w:sz="0" w:space="0" w:color="auto"/>
          </w:divBdr>
          <w:divsChild>
            <w:div w:id="2105178791">
              <w:marLeft w:val="0"/>
              <w:marRight w:val="0"/>
              <w:marTop w:val="0"/>
              <w:marBottom w:val="0"/>
              <w:divBdr>
                <w:top w:val="none" w:sz="0" w:space="0" w:color="auto"/>
                <w:left w:val="none" w:sz="0" w:space="0" w:color="auto"/>
                <w:bottom w:val="none" w:sz="0" w:space="0" w:color="auto"/>
                <w:right w:val="none" w:sz="0" w:space="0" w:color="auto"/>
              </w:divBdr>
            </w:div>
          </w:divsChild>
        </w:div>
        <w:div w:id="217517048">
          <w:marLeft w:val="0"/>
          <w:marRight w:val="0"/>
          <w:marTop w:val="0"/>
          <w:marBottom w:val="0"/>
          <w:divBdr>
            <w:top w:val="none" w:sz="0" w:space="0" w:color="auto"/>
            <w:left w:val="none" w:sz="0" w:space="0" w:color="auto"/>
            <w:bottom w:val="none" w:sz="0" w:space="0" w:color="auto"/>
            <w:right w:val="none" w:sz="0" w:space="0" w:color="auto"/>
          </w:divBdr>
          <w:divsChild>
            <w:div w:id="615645715">
              <w:marLeft w:val="0"/>
              <w:marRight w:val="0"/>
              <w:marTop w:val="0"/>
              <w:marBottom w:val="0"/>
              <w:divBdr>
                <w:top w:val="none" w:sz="0" w:space="0" w:color="auto"/>
                <w:left w:val="none" w:sz="0" w:space="0" w:color="auto"/>
                <w:bottom w:val="none" w:sz="0" w:space="0" w:color="auto"/>
                <w:right w:val="none" w:sz="0" w:space="0" w:color="auto"/>
              </w:divBdr>
            </w:div>
          </w:divsChild>
        </w:div>
        <w:div w:id="221328544">
          <w:marLeft w:val="0"/>
          <w:marRight w:val="0"/>
          <w:marTop w:val="0"/>
          <w:marBottom w:val="0"/>
          <w:divBdr>
            <w:top w:val="none" w:sz="0" w:space="0" w:color="auto"/>
            <w:left w:val="none" w:sz="0" w:space="0" w:color="auto"/>
            <w:bottom w:val="none" w:sz="0" w:space="0" w:color="auto"/>
            <w:right w:val="none" w:sz="0" w:space="0" w:color="auto"/>
          </w:divBdr>
          <w:divsChild>
            <w:div w:id="240332693">
              <w:marLeft w:val="0"/>
              <w:marRight w:val="0"/>
              <w:marTop w:val="0"/>
              <w:marBottom w:val="0"/>
              <w:divBdr>
                <w:top w:val="none" w:sz="0" w:space="0" w:color="auto"/>
                <w:left w:val="none" w:sz="0" w:space="0" w:color="auto"/>
                <w:bottom w:val="none" w:sz="0" w:space="0" w:color="auto"/>
                <w:right w:val="none" w:sz="0" w:space="0" w:color="auto"/>
              </w:divBdr>
            </w:div>
          </w:divsChild>
        </w:div>
        <w:div w:id="232005690">
          <w:marLeft w:val="0"/>
          <w:marRight w:val="0"/>
          <w:marTop w:val="0"/>
          <w:marBottom w:val="0"/>
          <w:divBdr>
            <w:top w:val="none" w:sz="0" w:space="0" w:color="auto"/>
            <w:left w:val="none" w:sz="0" w:space="0" w:color="auto"/>
            <w:bottom w:val="none" w:sz="0" w:space="0" w:color="auto"/>
            <w:right w:val="none" w:sz="0" w:space="0" w:color="auto"/>
          </w:divBdr>
          <w:divsChild>
            <w:div w:id="338505014">
              <w:marLeft w:val="0"/>
              <w:marRight w:val="0"/>
              <w:marTop w:val="0"/>
              <w:marBottom w:val="0"/>
              <w:divBdr>
                <w:top w:val="none" w:sz="0" w:space="0" w:color="auto"/>
                <w:left w:val="none" w:sz="0" w:space="0" w:color="auto"/>
                <w:bottom w:val="none" w:sz="0" w:space="0" w:color="auto"/>
                <w:right w:val="none" w:sz="0" w:space="0" w:color="auto"/>
              </w:divBdr>
            </w:div>
          </w:divsChild>
        </w:div>
        <w:div w:id="240337006">
          <w:marLeft w:val="0"/>
          <w:marRight w:val="0"/>
          <w:marTop w:val="0"/>
          <w:marBottom w:val="0"/>
          <w:divBdr>
            <w:top w:val="none" w:sz="0" w:space="0" w:color="auto"/>
            <w:left w:val="none" w:sz="0" w:space="0" w:color="auto"/>
            <w:bottom w:val="none" w:sz="0" w:space="0" w:color="auto"/>
            <w:right w:val="none" w:sz="0" w:space="0" w:color="auto"/>
          </w:divBdr>
          <w:divsChild>
            <w:div w:id="1337919025">
              <w:marLeft w:val="0"/>
              <w:marRight w:val="0"/>
              <w:marTop w:val="0"/>
              <w:marBottom w:val="0"/>
              <w:divBdr>
                <w:top w:val="none" w:sz="0" w:space="0" w:color="auto"/>
                <w:left w:val="none" w:sz="0" w:space="0" w:color="auto"/>
                <w:bottom w:val="none" w:sz="0" w:space="0" w:color="auto"/>
                <w:right w:val="none" w:sz="0" w:space="0" w:color="auto"/>
              </w:divBdr>
            </w:div>
          </w:divsChild>
        </w:div>
        <w:div w:id="251669482">
          <w:marLeft w:val="0"/>
          <w:marRight w:val="0"/>
          <w:marTop w:val="0"/>
          <w:marBottom w:val="0"/>
          <w:divBdr>
            <w:top w:val="none" w:sz="0" w:space="0" w:color="auto"/>
            <w:left w:val="none" w:sz="0" w:space="0" w:color="auto"/>
            <w:bottom w:val="none" w:sz="0" w:space="0" w:color="auto"/>
            <w:right w:val="none" w:sz="0" w:space="0" w:color="auto"/>
          </w:divBdr>
          <w:divsChild>
            <w:div w:id="552235820">
              <w:marLeft w:val="0"/>
              <w:marRight w:val="0"/>
              <w:marTop w:val="0"/>
              <w:marBottom w:val="0"/>
              <w:divBdr>
                <w:top w:val="none" w:sz="0" w:space="0" w:color="auto"/>
                <w:left w:val="none" w:sz="0" w:space="0" w:color="auto"/>
                <w:bottom w:val="none" w:sz="0" w:space="0" w:color="auto"/>
                <w:right w:val="none" w:sz="0" w:space="0" w:color="auto"/>
              </w:divBdr>
            </w:div>
          </w:divsChild>
        </w:div>
        <w:div w:id="268508272">
          <w:marLeft w:val="0"/>
          <w:marRight w:val="0"/>
          <w:marTop w:val="0"/>
          <w:marBottom w:val="0"/>
          <w:divBdr>
            <w:top w:val="none" w:sz="0" w:space="0" w:color="auto"/>
            <w:left w:val="none" w:sz="0" w:space="0" w:color="auto"/>
            <w:bottom w:val="none" w:sz="0" w:space="0" w:color="auto"/>
            <w:right w:val="none" w:sz="0" w:space="0" w:color="auto"/>
          </w:divBdr>
          <w:divsChild>
            <w:div w:id="1415084498">
              <w:marLeft w:val="0"/>
              <w:marRight w:val="0"/>
              <w:marTop w:val="0"/>
              <w:marBottom w:val="0"/>
              <w:divBdr>
                <w:top w:val="none" w:sz="0" w:space="0" w:color="auto"/>
                <w:left w:val="none" w:sz="0" w:space="0" w:color="auto"/>
                <w:bottom w:val="none" w:sz="0" w:space="0" w:color="auto"/>
                <w:right w:val="none" w:sz="0" w:space="0" w:color="auto"/>
              </w:divBdr>
            </w:div>
          </w:divsChild>
        </w:div>
        <w:div w:id="268591021">
          <w:marLeft w:val="0"/>
          <w:marRight w:val="0"/>
          <w:marTop w:val="0"/>
          <w:marBottom w:val="0"/>
          <w:divBdr>
            <w:top w:val="none" w:sz="0" w:space="0" w:color="auto"/>
            <w:left w:val="none" w:sz="0" w:space="0" w:color="auto"/>
            <w:bottom w:val="none" w:sz="0" w:space="0" w:color="auto"/>
            <w:right w:val="none" w:sz="0" w:space="0" w:color="auto"/>
          </w:divBdr>
          <w:divsChild>
            <w:div w:id="1490486923">
              <w:marLeft w:val="0"/>
              <w:marRight w:val="0"/>
              <w:marTop w:val="0"/>
              <w:marBottom w:val="0"/>
              <w:divBdr>
                <w:top w:val="none" w:sz="0" w:space="0" w:color="auto"/>
                <w:left w:val="none" w:sz="0" w:space="0" w:color="auto"/>
                <w:bottom w:val="none" w:sz="0" w:space="0" w:color="auto"/>
                <w:right w:val="none" w:sz="0" w:space="0" w:color="auto"/>
              </w:divBdr>
            </w:div>
          </w:divsChild>
        </w:div>
        <w:div w:id="283197083">
          <w:marLeft w:val="0"/>
          <w:marRight w:val="0"/>
          <w:marTop w:val="0"/>
          <w:marBottom w:val="0"/>
          <w:divBdr>
            <w:top w:val="none" w:sz="0" w:space="0" w:color="auto"/>
            <w:left w:val="none" w:sz="0" w:space="0" w:color="auto"/>
            <w:bottom w:val="none" w:sz="0" w:space="0" w:color="auto"/>
            <w:right w:val="none" w:sz="0" w:space="0" w:color="auto"/>
          </w:divBdr>
          <w:divsChild>
            <w:div w:id="1022241675">
              <w:marLeft w:val="0"/>
              <w:marRight w:val="0"/>
              <w:marTop w:val="0"/>
              <w:marBottom w:val="0"/>
              <w:divBdr>
                <w:top w:val="none" w:sz="0" w:space="0" w:color="auto"/>
                <w:left w:val="none" w:sz="0" w:space="0" w:color="auto"/>
                <w:bottom w:val="none" w:sz="0" w:space="0" w:color="auto"/>
                <w:right w:val="none" w:sz="0" w:space="0" w:color="auto"/>
              </w:divBdr>
            </w:div>
          </w:divsChild>
        </w:div>
        <w:div w:id="284311049">
          <w:marLeft w:val="0"/>
          <w:marRight w:val="0"/>
          <w:marTop w:val="0"/>
          <w:marBottom w:val="0"/>
          <w:divBdr>
            <w:top w:val="none" w:sz="0" w:space="0" w:color="auto"/>
            <w:left w:val="none" w:sz="0" w:space="0" w:color="auto"/>
            <w:bottom w:val="none" w:sz="0" w:space="0" w:color="auto"/>
            <w:right w:val="none" w:sz="0" w:space="0" w:color="auto"/>
          </w:divBdr>
          <w:divsChild>
            <w:div w:id="1977223933">
              <w:marLeft w:val="0"/>
              <w:marRight w:val="0"/>
              <w:marTop w:val="0"/>
              <w:marBottom w:val="0"/>
              <w:divBdr>
                <w:top w:val="none" w:sz="0" w:space="0" w:color="auto"/>
                <w:left w:val="none" w:sz="0" w:space="0" w:color="auto"/>
                <w:bottom w:val="none" w:sz="0" w:space="0" w:color="auto"/>
                <w:right w:val="none" w:sz="0" w:space="0" w:color="auto"/>
              </w:divBdr>
            </w:div>
          </w:divsChild>
        </w:div>
        <w:div w:id="299463456">
          <w:marLeft w:val="0"/>
          <w:marRight w:val="0"/>
          <w:marTop w:val="0"/>
          <w:marBottom w:val="0"/>
          <w:divBdr>
            <w:top w:val="none" w:sz="0" w:space="0" w:color="auto"/>
            <w:left w:val="none" w:sz="0" w:space="0" w:color="auto"/>
            <w:bottom w:val="none" w:sz="0" w:space="0" w:color="auto"/>
            <w:right w:val="none" w:sz="0" w:space="0" w:color="auto"/>
          </w:divBdr>
          <w:divsChild>
            <w:div w:id="839077177">
              <w:marLeft w:val="0"/>
              <w:marRight w:val="0"/>
              <w:marTop w:val="0"/>
              <w:marBottom w:val="0"/>
              <w:divBdr>
                <w:top w:val="none" w:sz="0" w:space="0" w:color="auto"/>
                <w:left w:val="none" w:sz="0" w:space="0" w:color="auto"/>
                <w:bottom w:val="none" w:sz="0" w:space="0" w:color="auto"/>
                <w:right w:val="none" w:sz="0" w:space="0" w:color="auto"/>
              </w:divBdr>
            </w:div>
          </w:divsChild>
        </w:div>
        <w:div w:id="300303772">
          <w:marLeft w:val="0"/>
          <w:marRight w:val="0"/>
          <w:marTop w:val="0"/>
          <w:marBottom w:val="0"/>
          <w:divBdr>
            <w:top w:val="none" w:sz="0" w:space="0" w:color="auto"/>
            <w:left w:val="none" w:sz="0" w:space="0" w:color="auto"/>
            <w:bottom w:val="none" w:sz="0" w:space="0" w:color="auto"/>
            <w:right w:val="none" w:sz="0" w:space="0" w:color="auto"/>
          </w:divBdr>
          <w:divsChild>
            <w:div w:id="624966444">
              <w:marLeft w:val="0"/>
              <w:marRight w:val="0"/>
              <w:marTop w:val="0"/>
              <w:marBottom w:val="0"/>
              <w:divBdr>
                <w:top w:val="none" w:sz="0" w:space="0" w:color="auto"/>
                <w:left w:val="none" w:sz="0" w:space="0" w:color="auto"/>
                <w:bottom w:val="none" w:sz="0" w:space="0" w:color="auto"/>
                <w:right w:val="none" w:sz="0" w:space="0" w:color="auto"/>
              </w:divBdr>
            </w:div>
          </w:divsChild>
        </w:div>
        <w:div w:id="303658695">
          <w:marLeft w:val="0"/>
          <w:marRight w:val="0"/>
          <w:marTop w:val="0"/>
          <w:marBottom w:val="0"/>
          <w:divBdr>
            <w:top w:val="none" w:sz="0" w:space="0" w:color="auto"/>
            <w:left w:val="none" w:sz="0" w:space="0" w:color="auto"/>
            <w:bottom w:val="none" w:sz="0" w:space="0" w:color="auto"/>
            <w:right w:val="none" w:sz="0" w:space="0" w:color="auto"/>
          </w:divBdr>
          <w:divsChild>
            <w:div w:id="1606961905">
              <w:marLeft w:val="0"/>
              <w:marRight w:val="0"/>
              <w:marTop w:val="0"/>
              <w:marBottom w:val="0"/>
              <w:divBdr>
                <w:top w:val="none" w:sz="0" w:space="0" w:color="auto"/>
                <w:left w:val="none" w:sz="0" w:space="0" w:color="auto"/>
                <w:bottom w:val="none" w:sz="0" w:space="0" w:color="auto"/>
                <w:right w:val="none" w:sz="0" w:space="0" w:color="auto"/>
              </w:divBdr>
            </w:div>
          </w:divsChild>
        </w:div>
        <w:div w:id="324632289">
          <w:marLeft w:val="0"/>
          <w:marRight w:val="0"/>
          <w:marTop w:val="0"/>
          <w:marBottom w:val="0"/>
          <w:divBdr>
            <w:top w:val="none" w:sz="0" w:space="0" w:color="auto"/>
            <w:left w:val="none" w:sz="0" w:space="0" w:color="auto"/>
            <w:bottom w:val="none" w:sz="0" w:space="0" w:color="auto"/>
            <w:right w:val="none" w:sz="0" w:space="0" w:color="auto"/>
          </w:divBdr>
          <w:divsChild>
            <w:div w:id="610818241">
              <w:marLeft w:val="0"/>
              <w:marRight w:val="0"/>
              <w:marTop w:val="0"/>
              <w:marBottom w:val="0"/>
              <w:divBdr>
                <w:top w:val="none" w:sz="0" w:space="0" w:color="auto"/>
                <w:left w:val="none" w:sz="0" w:space="0" w:color="auto"/>
                <w:bottom w:val="none" w:sz="0" w:space="0" w:color="auto"/>
                <w:right w:val="none" w:sz="0" w:space="0" w:color="auto"/>
              </w:divBdr>
            </w:div>
          </w:divsChild>
        </w:div>
        <w:div w:id="330067545">
          <w:marLeft w:val="0"/>
          <w:marRight w:val="0"/>
          <w:marTop w:val="0"/>
          <w:marBottom w:val="0"/>
          <w:divBdr>
            <w:top w:val="none" w:sz="0" w:space="0" w:color="auto"/>
            <w:left w:val="none" w:sz="0" w:space="0" w:color="auto"/>
            <w:bottom w:val="none" w:sz="0" w:space="0" w:color="auto"/>
            <w:right w:val="none" w:sz="0" w:space="0" w:color="auto"/>
          </w:divBdr>
          <w:divsChild>
            <w:div w:id="1472795593">
              <w:marLeft w:val="0"/>
              <w:marRight w:val="0"/>
              <w:marTop w:val="0"/>
              <w:marBottom w:val="0"/>
              <w:divBdr>
                <w:top w:val="none" w:sz="0" w:space="0" w:color="auto"/>
                <w:left w:val="none" w:sz="0" w:space="0" w:color="auto"/>
                <w:bottom w:val="none" w:sz="0" w:space="0" w:color="auto"/>
                <w:right w:val="none" w:sz="0" w:space="0" w:color="auto"/>
              </w:divBdr>
            </w:div>
          </w:divsChild>
        </w:div>
        <w:div w:id="331177171">
          <w:marLeft w:val="0"/>
          <w:marRight w:val="0"/>
          <w:marTop w:val="0"/>
          <w:marBottom w:val="0"/>
          <w:divBdr>
            <w:top w:val="none" w:sz="0" w:space="0" w:color="auto"/>
            <w:left w:val="none" w:sz="0" w:space="0" w:color="auto"/>
            <w:bottom w:val="none" w:sz="0" w:space="0" w:color="auto"/>
            <w:right w:val="none" w:sz="0" w:space="0" w:color="auto"/>
          </w:divBdr>
          <w:divsChild>
            <w:div w:id="718822657">
              <w:marLeft w:val="0"/>
              <w:marRight w:val="0"/>
              <w:marTop w:val="0"/>
              <w:marBottom w:val="0"/>
              <w:divBdr>
                <w:top w:val="none" w:sz="0" w:space="0" w:color="auto"/>
                <w:left w:val="none" w:sz="0" w:space="0" w:color="auto"/>
                <w:bottom w:val="none" w:sz="0" w:space="0" w:color="auto"/>
                <w:right w:val="none" w:sz="0" w:space="0" w:color="auto"/>
              </w:divBdr>
            </w:div>
          </w:divsChild>
        </w:div>
        <w:div w:id="334264400">
          <w:marLeft w:val="0"/>
          <w:marRight w:val="0"/>
          <w:marTop w:val="0"/>
          <w:marBottom w:val="0"/>
          <w:divBdr>
            <w:top w:val="none" w:sz="0" w:space="0" w:color="auto"/>
            <w:left w:val="none" w:sz="0" w:space="0" w:color="auto"/>
            <w:bottom w:val="none" w:sz="0" w:space="0" w:color="auto"/>
            <w:right w:val="none" w:sz="0" w:space="0" w:color="auto"/>
          </w:divBdr>
          <w:divsChild>
            <w:div w:id="1176767579">
              <w:marLeft w:val="0"/>
              <w:marRight w:val="0"/>
              <w:marTop w:val="0"/>
              <w:marBottom w:val="0"/>
              <w:divBdr>
                <w:top w:val="none" w:sz="0" w:space="0" w:color="auto"/>
                <w:left w:val="none" w:sz="0" w:space="0" w:color="auto"/>
                <w:bottom w:val="none" w:sz="0" w:space="0" w:color="auto"/>
                <w:right w:val="none" w:sz="0" w:space="0" w:color="auto"/>
              </w:divBdr>
            </w:div>
          </w:divsChild>
        </w:div>
        <w:div w:id="338000510">
          <w:marLeft w:val="0"/>
          <w:marRight w:val="0"/>
          <w:marTop w:val="0"/>
          <w:marBottom w:val="0"/>
          <w:divBdr>
            <w:top w:val="none" w:sz="0" w:space="0" w:color="auto"/>
            <w:left w:val="none" w:sz="0" w:space="0" w:color="auto"/>
            <w:bottom w:val="none" w:sz="0" w:space="0" w:color="auto"/>
            <w:right w:val="none" w:sz="0" w:space="0" w:color="auto"/>
          </w:divBdr>
          <w:divsChild>
            <w:div w:id="687828293">
              <w:marLeft w:val="0"/>
              <w:marRight w:val="0"/>
              <w:marTop w:val="0"/>
              <w:marBottom w:val="0"/>
              <w:divBdr>
                <w:top w:val="none" w:sz="0" w:space="0" w:color="auto"/>
                <w:left w:val="none" w:sz="0" w:space="0" w:color="auto"/>
                <w:bottom w:val="none" w:sz="0" w:space="0" w:color="auto"/>
                <w:right w:val="none" w:sz="0" w:space="0" w:color="auto"/>
              </w:divBdr>
            </w:div>
          </w:divsChild>
        </w:div>
        <w:div w:id="344022993">
          <w:marLeft w:val="0"/>
          <w:marRight w:val="0"/>
          <w:marTop w:val="0"/>
          <w:marBottom w:val="0"/>
          <w:divBdr>
            <w:top w:val="none" w:sz="0" w:space="0" w:color="auto"/>
            <w:left w:val="none" w:sz="0" w:space="0" w:color="auto"/>
            <w:bottom w:val="none" w:sz="0" w:space="0" w:color="auto"/>
            <w:right w:val="none" w:sz="0" w:space="0" w:color="auto"/>
          </w:divBdr>
          <w:divsChild>
            <w:div w:id="136537102">
              <w:marLeft w:val="0"/>
              <w:marRight w:val="0"/>
              <w:marTop w:val="0"/>
              <w:marBottom w:val="0"/>
              <w:divBdr>
                <w:top w:val="none" w:sz="0" w:space="0" w:color="auto"/>
                <w:left w:val="none" w:sz="0" w:space="0" w:color="auto"/>
                <w:bottom w:val="none" w:sz="0" w:space="0" w:color="auto"/>
                <w:right w:val="none" w:sz="0" w:space="0" w:color="auto"/>
              </w:divBdr>
            </w:div>
          </w:divsChild>
        </w:div>
        <w:div w:id="351952171">
          <w:marLeft w:val="0"/>
          <w:marRight w:val="0"/>
          <w:marTop w:val="0"/>
          <w:marBottom w:val="0"/>
          <w:divBdr>
            <w:top w:val="none" w:sz="0" w:space="0" w:color="auto"/>
            <w:left w:val="none" w:sz="0" w:space="0" w:color="auto"/>
            <w:bottom w:val="none" w:sz="0" w:space="0" w:color="auto"/>
            <w:right w:val="none" w:sz="0" w:space="0" w:color="auto"/>
          </w:divBdr>
          <w:divsChild>
            <w:div w:id="632060613">
              <w:marLeft w:val="0"/>
              <w:marRight w:val="0"/>
              <w:marTop w:val="0"/>
              <w:marBottom w:val="0"/>
              <w:divBdr>
                <w:top w:val="none" w:sz="0" w:space="0" w:color="auto"/>
                <w:left w:val="none" w:sz="0" w:space="0" w:color="auto"/>
                <w:bottom w:val="none" w:sz="0" w:space="0" w:color="auto"/>
                <w:right w:val="none" w:sz="0" w:space="0" w:color="auto"/>
              </w:divBdr>
            </w:div>
          </w:divsChild>
        </w:div>
        <w:div w:id="391386674">
          <w:marLeft w:val="0"/>
          <w:marRight w:val="0"/>
          <w:marTop w:val="0"/>
          <w:marBottom w:val="0"/>
          <w:divBdr>
            <w:top w:val="none" w:sz="0" w:space="0" w:color="auto"/>
            <w:left w:val="none" w:sz="0" w:space="0" w:color="auto"/>
            <w:bottom w:val="none" w:sz="0" w:space="0" w:color="auto"/>
            <w:right w:val="none" w:sz="0" w:space="0" w:color="auto"/>
          </w:divBdr>
          <w:divsChild>
            <w:div w:id="673384839">
              <w:marLeft w:val="0"/>
              <w:marRight w:val="0"/>
              <w:marTop w:val="0"/>
              <w:marBottom w:val="0"/>
              <w:divBdr>
                <w:top w:val="none" w:sz="0" w:space="0" w:color="auto"/>
                <w:left w:val="none" w:sz="0" w:space="0" w:color="auto"/>
                <w:bottom w:val="none" w:sz="0" w:space="0" w:color="auto"/>
                <w:right w:val="none" w:sz="0" w:space="0" w:color="auto"/>
              </w:divBdr>
            </w:div>
          </w:divsChild>
        </w:div>
        <w:div w:id="392049078">
          <w:marLeft w:val="0"/>
          <w:marRight w:val="0"/>
          <w:marTop w:val="0"/>
          <w:marBottom w:val="0"/>
          <w:divBdr>
            <w:top w:val="none" w:sz="0" w:space="0" w:color="auto"/>
            <w:left w:val="none" w:sz="0" w:space="0" w:color="auto"/>
            <w:bottom w:val="none" w:sz="0" w:space="0" w:color="auto"/>
            <w:right w:val="none" w:sz="0" w:space="0" w:color="auto"/>
          </w:divBdr>
          <w:divsChild>
            <w:div w:id="743256391">
              <w:marLeft w:val="0"/>
              <w:marRight w:val="0"/>
              <w:marTop w:val="0"/>
              <w:marBottom w:val="0"/>
              <w:divBdr>
                <w:top w:val="none" w:sz="0" w:space="0" w:color="auto"/>
                <w:left w:val="none" w:sz="0" w:space="0" w:color="auto"/>
                <w:bottom w:val="none" w:sz="0" w:space="0" w:color="auto"/>
                <w:right w:val="none" w:sz="0" w:space="0" w:color="auto"/>
              </w:divBdr>
            </w:div>
          </w:divsChild>
        </w:div>
        <w:div w:id="411127058">
          <w:marLeft w:val="0"/>
          <w:marRight w:val="0"/>
          <w:marTop w:val="0"/>
          <w:marBottom w:val="0"/>
          <w:divBdr>
            <w:top w:val="none" w:sz="0" w:space="0" w:color="auto"/>
            <w:left w:val="none" w:sz="0" w:space="0" w:color="auto"/>
            <w:bottom w:val="none" w:sz="0" w:space="0" w:color="auto"/>
            <w:right w:val="none" w:sz="0" w:space="0" w:color="auto"/>
          </w:divBdr>
          <w:divsChild>
            <w:div w:id="395009445">
              <w:marLeft w:val="0"/>
              <w:marRight w:val="0"/>
              <w:marTop w:val="0"/>
              <w:marBottom w:val="0"/>
              <w:divBdr>
                <w:top w:val="none" w:sz="0" w:space="0" w:color="auto"/>
                <w:left w:val="none" w:sz="0" w:space="0" w:color="auto"/>
                <w:bottom w:val="none" w:sz="0" w:space="0" w:color="auto"/>
                <w:right w:val="none" w:sz="0" w:space="0" w:color="auto"/>
              </w:divBdr>
            </w:div>
          </w:divsChild>
        </w:div>
        <w:div w:id="428548330">
          <w:marLeft w:val="0"/>
          <w:marRight w:val="0"/>
          <w:marTop w:val="0"/>
          <w:marBottom w:val="0"/>
          <w:divBdr>
            <w:top w:val="none" w:sz="0" w:space="0" w:color="auto"/>
            <w:left w:val="none" w:sz="0" w:space="0" w:color="auto"/>
            <w:bottom w:val="none" w:sz="0" w:space="0" w:color="auto"/>
            <w:right w:val="none" w:sz="0" w:space="0" w:color="auto"/>
          </w:divBdr>
          <w:divsChild>
            <w:div w:id="1844012166">
              <w:marLeft w:val="0"/>
              <w:marRight w:val="0"/>
              <w:marTop w:val="0"/>
              <w:marBottom w:val="0"/>
              <w:divBdr>
                <w:top w:val="none" w:sz="0" w:space="0" w:color="auto"/>
                <w:left w:val="none" w:sz="0" w:space="0" w:color="auto"/>
                <w:bottom w:val="none" w:sz="0" w:space="0" w:color="auto"/>
                <w:right w:val="none" w:sz="0" w:space="0" w:color="auto"/>
              </w:divBdr>
            </w:div>
          </w:divsChild>
        </w:div>
        <w:div w:id="433287917">
          <w:marLeft w:val="0"/>
          <w:marRight w:val="0"/>
          <w:marTop w:val="0"/>
          <w:marBottom w:val="0"/>
          <w:divBdr>
            <w:top w:val="none" w:sz="0" w:space="0" w:color="auto"/>
            <w:left w:val="none" w:sz="0" w:space="0" w:color="auto"/>
            <w:bottom w:val="none" w:sz="0" w:space="0" w:color="auto"/>
            <w:right w:val="none" w:sz="0" w:space="0" w:color="auto"/>
          </w:divBdr>
          <w:divsChild>
            <w:div w:id="580412897">
              <w:marLeft w:val="0"/>
              <w:marRight w:val="0"/>
              <w:marTop w:val="0"/>
              <w:marBottom w:val="0"/>
              <w:divBdr>
                <w:top w:val="none" w:sz="0" w:space="0" w:color="auto"/>
                <w:left w:val="none" w:sz="0" w:space="0" w:color="auto"/>
                <w:bottom w:val="none" w:sz="0" w:space="0" w:color="auto"/>
                <w:right w:val="none" w:sz="0" w:space="0" w:color="auto"/>
              </w:divBdr>
            </w:div>
          </w:divsChild>
        </w:div>
        <w:div w:id="449709829">
          <w:marLeft w:val="0"/>
          <w:marRight w:val="0"/>
          <w:marTop w:val="0"/>
          <w:marBottom w:val="0"/>
          <w:divBdr>
            <w:top w:val="none" w:sz="0" w:space="0" w:color="auto"/>
            <w:left w:val="none" w:sz="0" w:space="0" w:color="auto"/>
            <w:bottom w:val="none" w:sz="0" w:space="0" w:color="auto"/>
            <w:right w:val="none" w:sz="0" w:space="0" w:color="auto"/>
          </w:divBdr>
          <w:divsChild>
            <w:div w:id="1198004566">
              <w:marLeft w:val="0"/>
              <w:marRight w:val="0"/>
              <w:marTop w:val="0"/>
              <w:marBottom w:val="0"/>
              <w:divBdr>
                <w:top w:val="none" w:sz="0" w:space="0" w:color="auto"/>
                <w:left w:val="none" w:sz="0" w:space="0" w:color="auto"/>
                <w:bottom w:val="none" w:sz="0" w:space="0" w:color="auto"/>
                <w:right w:val="none" w:sz="0" w:space="0" w:color="auto"/>
              </w:divBdr>
            </w:div>
          </w:divsChild>
        </w:div>
        <w:div w:id="463890289">
          <w:marLeft w:val="0"/>
          <w:marRight w:val="0"/>
          <w:marTop w:val="0"/>
          <w:marBottom w:val="0"/>
          <w:divBdr>
            <w:top w:val="none" w:sz="0" w:space="0" w:color="auto"/>
            <w:left w:val="none" w:sz="0" w:space="0" w:color="auto"/>
            <w:bottom w:val="none" w:sz="0" w:space="0" w:color="auto"/>
            <w:right w:val="none" w:sz="0" w:space="0" w:color="auto"/>
          </w:divBdr>
          <w:divsChild>
            <w:div w:id="869951713">
              <w:marLeft w:val="0"/>
              <w:marRight w:val="0"/>
              <w:marTop w:val="0"/>
              <w:marBottom w:val="0"/>
              <w:divBdr>
                <w:top w:val="none" w:sz="0" w:space="0" w:color="auto"/>
                <w:left w:val="none" w:sz="0" w:space="0" w:color="auto"/>
                <w:bottom w:val="none" w:sz="0" w:space="0" w:color="auto"/>
                <w:right w:val="none" w:sz="0" w:space="0" w:color="auto"/>
              </w:divBdr>
            </w:div>
          </w:divsChild>
        </w:div>
        <w:div w:id="477960549">
          <w:marLeft w:val="0"/>
          <w:marRight w:val="0"/>
          <w:marTop w:val="0"/>
          <w:marBottom w:val="0"/>
          <w:divBdr>
            <w:top w:val="none" w:sz="0" w:space="0" w:color="auto"/>
            <w:left w:val="none" w:sz="0" w:space="0" w:color="auto"/>
            <w:bottom w:val="none" w:sz="0" w:space="0" w:color="auto"/>
            <w:right w:val="none" w:sz="0" w:space="0" w:color="auto"/>
          </w:divBdr>
          <w:divsChild>
            <w:div w:id="478379511">
              <w:marLeft w:val="0"/>
              <w:marRight w:val="0"/>
              <w:marTop w:val="0"/>
              <w:marBottom w:val="0"/>
              <w:divBdr>
                <w:top w:val="none" w:sz="0" w:space="0" w:color="auto"/>
                <w:left w:val="none" w:sz="0" w:space="0" w:color="auto"/>
                <w:bottom w:val="none" w:sz="0" w:space="0" w:color="auto"/>
                <w:right w:val="none" w:sz="0" w:space="0" w:color="auto"/>
              </w:divBdr>
            </w:div>
          </w:divsChild>
        </w:div>
        <w:div w:id="481242562">
          <w:marLeft w:val="0"/>
          <w:marRight w:val="0"/>
          <w:marTop w:val="0"/>
          <w:marBottom w:val="0"/>
          <w:divBdr>
            <w:top w:val="none" w:sz="0" w:space="0" w:color="auto"/>
            <w:left w:val="none" w:sz="0" w:space="0" w:color="auto"/>
            <w:bottom w:val="none" w:sz="0" w:space="0" w:color="auto"/>
            <w:right w:val="none" w:sz="0" w:space="0" w:color="auto"/>
          </w:divBdr>
          <w:divsChild>
            <w:div w:id="1698776323">
              <w:marLeft w:val="0"/>
              <w:marRight w:val="0"/>
              <w:marTop w:val="0"/>
              <w:marBottom w:val="0"/>
              <w:divBdr>
                <w:top w:val="none" w:sz="0" w:space="0" w:color="auto"/>
                <w:left w:val="none" w:sz="0" w:space="0" w:color="auto"/>
                <w:bottom w:val="none" w:sz="0" w:space="0" w:color="auto"/>
                <w:right w:val="none" w:sz="0" w:space="0" w:color="auto"/>
              </w:divBdr>
            </w:div>
          </w:divsChild>
        </w:div>
        <w:div w:id="481850613">
          <w:marLeft w:val="0"/>
          <w:marRight w:val="0"/>
          <w:marTop w:val="0"/>
          <w:marBottom w:val="0"/>
          <w:divBdr>
            <w:top w:val="none" w:sz="0" w:space="0" w:color="auto"/>
            <w:left w:val="none" w:sz="0" w:space="0" w:color="auto"/>
            <w:bottom w:val="none" w:sz="0" w:space="0" w:color="auto"/>
            <w:right w:val="none" w:sz="0" w:space="0" w:color="auto"/>
          </w:divBdr>
          <w:divsChild>
            <w:div w:id="1038316466">
              <w:marLeft w:val="0"/>
              <w:marRight w:val="0"/>
              <w:marTop w:val="0"/>
              <w:marBottom w:val="0"/>
              <w:divBdr>
                <w:top w:val="none" w:sz="0" w:space="0" w:color="auto"/>
                <w:left w:val="none" w:sz="0" w:space="0" w:color="auto"/>
                <w:bottom w:val="none" w:sz="0" w:space="0" w:color="auto"/>
                <w:right w:val="none" w:sz="0" w:space="0" w:color="auto"/>
              </w:divBdr>
            </w:div>
          </w:divsChild>
        </w:div>
        <w:div w:id="490869105">
          <w:marLeft w:val="0"/>
          <w:marRight w:val="0"/>
          <w:marTop w:val="0"/>
          <w:marBottom w:val="0"/>
          <w:divBdr>
            <w:top w:val="none" w:sz="0" w:space="0" w:color="auto"/>
            <w:left w:val="none" w:sz="0" w:space="0" w:color="auto"/>
            <w:bottom w:val="none" w:sz="0" w:space="0" w:color="auto"/>
            <w:right w:val="none" w:sz="0" w:space="0" w:color="auto"/>
          </w:divBdr>
          <w:divsChild>
            <w:div w:id="16733811">
              <w:marLeft w:val="0"/>
              <w:marRight w:val="0"/>
              <w:marTop w:val="0"/>
              <w:marBottom w:val="0"/>
              <w:divBdr>
                <w:top w:val="none" w:sz="0" w:space="0" w:color="auto"/>
                <w:left w:val="none" w:sz="0" w:space="0" w:color="auto"/>
                <w:bottom w:val="none" w:sz="0" w:space="0" w:color="auto"/>
                <w:right w:val="none" w:sz="0" w:space="0" w:color="auto"/>
              </w:divBdr>
            </w:div>
          </w:divsChild>
        </w:div>
        <w:div w:id="494497566">
          <w:marLeft w:val="0"/>
          <w:marRight w:val="0"/>
          <w:marTop w:val="0"/>
          <w:marBottom w:val="0"/>
          <w:divBdr>
            <w:top w:val="none" w:sz="0" w:space="0" w:color="auto"/>
            <w:left w:val="none" w:sz="0" w:space="0" w:color="auto"/>
            <w:bottom w:val="none" w:sz="0" w:space="0" w:color="auto"/>
            <w:right w:val="none" w:sz="0" w:space="0" w:color="auto"/>
          </w:divBdr>
          <w:divsChild>
            <w:div w:id="622273953">
              <w:marLeft w:val="0"/>
              <w:marRight w:val="0"/>
              <w:marTop w:val="0"/>
              <w:marBottom w:val="0"/>
              <w:divBdr>
                <w:top w:val="none" w:sz="0" w:space="0" w:color="auto"/>
                <w:left w:val="none" w:sz="0" w:space="0" w:color="auto"/>
                <w:bottom w:val="none" w:sz="0" w:space="0" w:color="auto"/>
                <w:right w:val="none" w:sz="0" w:space="0" w:color="auto"/>
              </w:divBdr>
            </w:div>
          </w:divsChild>
        </w:div>
        <w:div w:id="510265356">
          <w:marLeft w:val="0"/>
          <w:marRight w:val="0"/>
          <w:marTop w:val="0"/>
          <w:marBottom w:val="0"/>
          <w:divBdr>
            <w:top w:val="none" w:sz="0" w:space="0" w:color="auto"/>
            <w:left w:val="none" w:sz="0" w:space="0" w:color="auto"/>
            <w:bottom w:val="none" w:sz="0" w:space="0" w:color="auto"/>
            <w:right w:val="none" w:sz="0" w:space="0" w:color="auto"/>
          </w:divBdr>
          <w:divsChild>
            <w:div w:id="446969273">
              <w:marLeft w:val="0"/>
              <w:marRight w:val="0"/>
              <w:marTop w:val="0"/>
              <w:marBottom w:val="0"/>
              <w:divBdr>
                <w:top w:val="none" w:sz="0" w:space="0" w:color="auto"/>
                <w:left w:val="none" w:sz="0" w:space="0" w:color="auto"/>
                <w:bottom w:val="none" w:sz="0" w:space="0" w:color="auto"/>
                <w:right w:val="none" w:sz="0" w:space="0" w:color="auto"/>
              </w:divBdr>
            </w:div>
          </w:divsChild>
        </w:div>
        <w:div w:id="516772838">
          <w:marLeft w:val="0"/>
          <w:marRight w:val="0"/>
          <w:marTop w:val="0"/>
          <w:marBottom w:val="0"/>
          <w:divBdr>
            <w:top w:val="none" w:sz="0" w:space="0" w:color="auto"/>
            <w:left w:val="none" w:sz="0" w:space="0" w:color="auto"/>
            <w:bottom w:val="none" w:sz="0" w:space="0" w:color="auto"/>
            <w:right w:val="none" w:sz="0" w:space="0" w:color="auto"/>
          </w:divBdr>
          <w:divsChild>
            <w:div w:id="825633322">
              <w:marLeft w:val="0"/>
              <w:marRight w:val="0"/>
              <w:marTop w:val="0"/>
              <w:marBottom w:val="0"/>
              <w:divBdr>
                <w:top w:val="none" w:sz="0" w:space="0" w:color="auto"/>
                <w:left w:val="none" w:sz="0" w:space="0" w:color="auto"/>
                <w:bottom w:val="none" w:sz="0" w:space="0" w:color="auto"/>
                <w:right w:val="none" w:sz="0" w:space="0" w:color="auto"/>
              </w:divBdr>
            </w:div>
          </w:divsChild>
        </w:div>
        <w:div w:id="518397843">
          <w:marLeft w:val="0"/>
          <w:marRight w:val="0"/>
          <w:marTop w:val="0"/>
          <w:marBottom w:val="0"/>
          <w:divBdr>
            <w:top w:val="none" w:sz="0" w:space="0" w:color="auto"/>
            <w:left w:val="none" w:sz="0" w:space="0" w:color="auto"/>
            <w:bottom w:val="none" w:sz="0" w:space="0" w:color="auto"/>
            <w:right w:val="none" w:sz="0" w:space="0" w:color="auto"/>
          </w:divBdr>
          <w:divsChild>
            <w:div w:id="172846826">
              <w:marLeft w:val="0"/>
              <w:marRight w:val="0"/>
              <w:marTop w:val="0"/>
              <w:marBottom w:val="0"/>
              <w:divBdr>
                <w:top w:val="none" w:sz="0" w:space="0" w:color="auto"/>
                <w:left w:val="none" w:sz="0" w:space="0" w:color="auto"/>
                <w:bottom w:val="none" w:sz="0" w:space="0" w:color="auto"/>
                <w:right w:val="none" w:sz="0" w:space="0" w:color="auto"/>
              </w:divBdr>
            </w:div>
          </w:divsChild>
        </w:div>
        <w:div w:id="527335326">
          <w:marLeft w:val="0"/>
          <w:marRight w:val="0"/>
          <w:marTop w:val="0"/>
          <w:marBottom w:val="0"/>
          <w:divBdr>
            <w:top w:val="none" w:sz="0" w:space="0" w:color="auto"/>
            <w:left w:val="none" w:sz="0" w:space="0" w:color="auto"/>
            <w:bottom w:val="none" w:sz="0" w:space="0" w:color="auto"/>
            <w:right w:val="none" w:sz="0" w:space="0" w:color="auto"/>
          </w:divBdr>
          <w:divsChild>
            <w:div w:id="281109065">
              <w:marLeft w:val="0"/>
              <w:marRight w:val="0"/>
              <w:marTop w:val="0"/>
              <w:marBottom w:val="0"/>
              <w:divBdr>
                <w:top w:val="none" w:sz="0" w:space="0" w:color="auto"/>
                <w:left w:val="none" w:sz="0" w:space="0" w:color="auto"/>
                <w:bottom w:val="none" w:sz="0" w:space="0" w:color="auto"/>
                <w:right w:val="none" w:sz="0" w:space="0" w:color="auto"/>
              </w:divBdr>
            </w:div>
          </w:divsChild>
        </w:div>
        <w:div w:id="528645414">
          <w:marLeft w:val="0"/>
          <w:marRight w:val="0"/>
          <w:marTop w:val="0"/>
          <w:marBottom w:val="0"/>
          <w:divBdr>
            <w:top w:val="none" w:sz="0" w:space="0" w:color="auto"/>
            <w:left w:val="none" w:sz="0" w:space="0" w:color="auto"/>
            <w:bottom w:val="none" w:sz="0" w:space="0" w:color="auto"/>
            <w:right w:val="none" w:sz="0" w:space="0" w:color="auto"/>
          </w:divBdr>
          <w:divsChild>
            <w:div w:id="1631781879">
              <w:marLeft w:val="0"/>
              <w:marRight w:val="0"/>
              <w:marTop w:val="0"/>
              <w:marBottom w:val="0"/>
              <w:divBdr>
                <w:top w:val="none" w:sz="0" w:space="0" w:color="auto"/>
                <w:left w:val="none" w:sz="0" w:space="0" w:color="auto"/>
                <w:bottom w:val="none" w:sz="0" w:space="0" w:color="auto"/>
                <w:right w:val="none" w:sz="0" w:space="0" w:color="auto"/>
              </w:divBdr>
            </w:div>
          </w:divsChild>
        </w:div>
        <w:div w:id="530384635">
          <w:marLeft w:val="0"/>
          <w:marRight w:val="0"/>
          <w:marTop w:val="0"/>
          <w:marBottom w:val="0"/>
          <w:divBdr>
            <w:top w:val="none" w:sz="0" w:space="0" w:color="auto"/>
            <w:left w:val="none" w:sz="0" w:space="0" w:color="auto"/>
            <w:bottom w:val="none" w:sz="0" w:space="0" w:color="auto"/>
            <w:right w:val="none" w:sz="0" w:space="0" w:color="auto"/>
          </w:divBdr>
          <w:divsChild>
            <w:div w:id="195698454">
              <w:marLeft w:val="0"/>
              <w:marRight w:val="0"/>
              <w:marTop w:val="0"/>
              <w:marBottom w:val="0"/>
              <w:divBdr>
                <w:top w:val="none" w:sz="0" w:space="0" w:color="auto"/>
                <w:left w:val="none" w:sz="0" w:space="0" w:color="auto"/>
                <w:bottom w:val="none" w:sz="0" w:space="0" w:color="auto"/>
                <w:right w:val="none" w:sz="0" w:space="0" w:color="auto"/>
              </w:divBdr>
            </w:div>
          </w:divsChild>
        </w:div>
        <w:div w:id="538587066">
          <w:marLeft w:val="0"/>
          <w:marRight w:val="0"/>
          <w:marTop w:val="0"/>
          <w:marBottom w:val="0"/>
          <w:divBdr>
            <w:top w:val="none" w:sz="0" w:space="0" w:color="auto"/>
            <w:left w:val="none" w:sz="0" w:space="0" w:color="auto"/>
            <w:bottom w:val="none" w:sz="0" w:space="0" w:color="auto"/>
            <w:right w:val="none" w:sz="0" w:space="0" w:color="auto"/>
          </w:divBdr>
          <w:divsChild>
            <w:div w:id="406735321">
              <w:marLeft w:val="0"/>
              <w:marRight w:val="0"/>
              <w:marTop w:val="0"/>
              <w:marBottom w:val="0"/>
              <w:divBdr>
                <w:top w:val="none" w:sz="0" w:space="0" w:color="auto"/>
                <w:left w:val="none" w:sz="0" w:space="0" w:color="auto"/>
                <w:bottom w:val="none" w:sz="0" w:space="0" w:color="auto"/>
                <w:right w:val="none" w:sz="0" w:space="0" w:color="auto"/>
              </w:divBdr>
            </w:div>
          </w:divsChild>
        </w:div>
        <w:div w:id="541941100">
          <w:marLeft w:val="0"/>
          <w:marRight w:val="0"/>
          <w:marTop w:val="0"/>
          <w:marBottom w:val="0"/>
          <w:divBdr>
            <w:top w:val="none" w:sz="0" w:space="0" w:color="auto"/>
            <w:left w:val="none" w:sz="0" w:space="0" w:color="auto"/>
            <w:bottom w:val="none" w:sz="0" w:space="0" w:color="auto"/>
            <w:right w:val="none" w:sz="0" w:space="0" w:color="auto"/>
          </w:divBdr>
          <w:divsChild>
            <w:div w:id="2087535445">
              <w:marLeft w:val="0"/>
              <w:marRight w:val="0"/>
              <w:marTop w:val="0"/>
              <w:marBottom w:val="0"/>
              <w:divBdr>
                <w:top w:val="none" w:sz="0" w:space="0" w:color="auto"/>
                <w:left w:val="none" w:sz="0" w:space="0" w:color="auto"/>
                <w:bottom w:val="none" w:sz="0" w:space="0" w:color="auto"/>
                <w:right w:val="none" w:sz="0" w:space="0" w:color="auto"/>
              </w:divBdr>
            </w:div>
          </w:divsChild>
        </w:div>
        <w:div w:id="550658201">
          <w:marLeft w:val="0"/>
          <w:marRight w:val="0"/>
          <w:marTop w:val="0"/>
          <w:marBottom w:val="0"/>
          <w:divBdr>
            <w:top w:val="none" w:sz="0" w:space="0" w:color="auto"/>
            <w:left w:val="none" w:sz="0" w:space="0" w:color="auto"/>
            <w:bottom w:val="none" w:sz="0" w:space="0" w:color="auto"/>
            <w:right w:val="none" w:sz="0" w:space="0" w:color="auto"/>
          </w:divBdr>
          <w:divsChild>
            <w:div w:id="419372622">
              <w:marLeft w:val="0"/>
              <w:marRight w:val="0"/>
              <w:marTop w:val="0"/>
              <w:marBottom w:val="0"/>
              <w:divBdr>
                <w:top w:val="none" w:sz="0" w:space="0" w:color="auto"/>
                <w:left w:val="none" w:sz="0" w:space="0" w:color="auto"/>
                <w:bottom w:val="none" w:sz="0" w:space="0" w:color="auto"/>
                <w:right w:val="none" w:sz="0" w:space="0" w:color="auto"/>
              </w:divBdr>
            </w:div>
          </w:divsChild>
        </w:div>
        <w:div w:id="561795434">
          <w:marLeft w:val="0"/>
          <w:marRight w:val="0"/>
          <w:marTop w:val="0"/>
          <w:marBottom w:val="0"/>
          <w:divBdr>
            <w:top w:val="none" w:sz="0" w:space="0" w:color="auto"/>
            <w:left w:val="none" w:sz="0" w:space="0" w:color="auto"/>
            <w:bottom w:val="none" w:sz="0" w:space="0" w:color="auto"/>
            <w:right w:val="none" w:sz="0" w:space="0" w:color="auto"/>
          </w:divBdr>
          <w:divsChild>
            <w:div w:id="1432313777">
              <w:marLeft w:val="0"/>
              <w:marRight w:val="0"/>
              <w:marTop w:val="0"/>
              <w:marBottom w:val="0"/>
              <w:divBdr>
                <w:top w:val="none" w:sz="0" w:space="0" w:color="auto"/>
                <w:left w:val="none" w:sz="0" w:space="0" w:color="auto"/>
                <w:bottom w:val="none" w:sz="0" w:space="0" w:color="auto"/>
                <w:right w:val="none" w:sz="0" w:space="0" w:color="auto"/>
              </w:divBdr>
            </w:div>
          </w:divsChild>
        </w:div>
        <w:div w:id="572663828">
          <w:marLeft w:val="0"/>
          <w:marRight w:val="0"/>
          <w:marTop w:val="0"/>
          <w:marBottom w:val="0"/>
          <w:divBdr>
            <w:top w:val="none" w:sz="0" w:space="0" w:color="auto"/>
            <w:left w:val="none" w:sz="0" w:space="0" w:color="auto"/>
            <w:bottom w:val="none" w:sz="0" w:space="0" w:color="auto"/>
            <w:right w:val="none" w:sz="0" w:space="0" w:color="auto"/>
          </w:divBdr>
          <w:divsChild>
            <w:div w:id="17850242">
              <w:marLeft w:val="0"/>
              <w:marRight w:val="0"/>
              <w:marTop w:val="0"/>
              <w:marBottom w:val="0"/>
              <w:divBdr>
                <w:top w:val="none" w:sz="0" w:space="0" w:color="auto"/>
                <w:left w:val="none" w:sz="0" w:space="0" w:color="auto"/>
                <w:bottom w:val="none" w:sz="0" w:space="0" w:color="auto"/>
                <w:right w:val="none" w:sz="0" w:space="0" w:color="auto"/>
              </w:divBdr>
            </w:div>
          </w:divsChild>
        </w:div>
        <w:div w:id="577400802">
          <w:marLeft w:val="0"/>
          <w:marRight w:val="0"/>
          <w:marTop w:val="0"/>
          <w:marBottom w:val="0"/>
          <w:divBdr>
            <w:top w:val="none" w:sz="0" w:space="0" w:color="auto"/>
            <w:left w:val="none" w:sz="0" w:space="0" w:color="auto"/>
            <w:bottom w:val="none" w:sz="0" w:space="0" w:color="auto"/>
            <w:right w:val="none" w:sz="0" w:space="0" w:color="auto"/>
          </w:divBdr>
          <w:divsChild>
            <w:div w:id="1410274246">
              <w:marLeft w:val="0"/>
              <w:marRight w:val="0"/>
              <w:marTop w:val="0"/>
              <w:marBottom w:val="0"/>
              <w:divBdr>
                <w:top w:val="none" w:sz="0" w:space="0" w:color="auto"/>
                <w:left w:val="none" w:sz="0" w:space="0" w:color="auto"/>
                <w:bottom w:val="none" w:sz="0" w:space="0" w:color="auto"/>
                <w:right w:val="none" w:sz="0" w:space="0" w:color="auto"/>
              </w:divBdr>
            </w:div>
          </w:divsChild>
        </w:div>
        <w:div w:id="579406104">
          <w:marLeft w:val="0"/>
          <w:marRight w:val="0"/>
          <w:marTop w:val="0"/>
          <w:marBottom w:val="0"/>
          <w:divBdr>
            <w:top w:val="none" w:sz="0" w:space="0" w:color="auto"/>
            <w:left w:val="none" w:sz="0" w:space="0" w:color="auto"/>
            <w:bottom w:val="none" w:sz="0" w:space="0" w:color="auto"/>
            <w:right w:val="none" w:sz="0" w:space="0" w:color="auto"/>
          </w:divBdr>
          <w:divsChild>
            <w:div w:id="1348481378">
              <w:marLeft w:val="0"/>
              <w:marRight w:val="0"/>
              <w:marTop w:val="0"/>
              <w:marBottom w:val="0"/>
              <w:divBdr>
                <w:top w:val="none" w:sz="0" w:space="0" w:color="auto"/>
                <w:left w:val="none" w:sz="0" w:space="0" w:color="auto"/>
                <w:bottom w:val="none" w:sz="0" w:space="0" w:color="auto"/>
                <w:right w:val="none" w:sz="0" w:space="0" w:color="auto"/>
              </w:divBdr>
            </w:div>
          </w:divsChild>
        </w:div>
        <w:div w:id="583876279">
          <w:marLeft w:val="0"/>
          <w:marRight w:val="0"/>
          <w:marTop w:val="0"/>
          <w:marBottom w:val="0"/>
          <w:divBdr>
            <w:top w:val="none" w:sz="0" w:space="0" w:color="auto"/>
            <w:left w:val="none" w:sz="0" w:space="0" w:color="auto"/>
            <w:bottom w:val="none" w:sz="0" w:space="0" w:color="auto"/>
            <w:right w:val="none" w:sz="0" w:space="0" w:color="auto"/>
          </w:divBdr>
          <w:divsChild>
            <w:div w:id="2087334296">
              <w:marLeft w:val="0"/>
              <w:marRight w:val="0"/>
              <w:marTop w:val="0"/>
              <w:marBottom w:val="0"/>
              <w:divBdr>
                <w:top w:val="none" w:sz="0" w:space="0" w:color="auto"/>
                <w:left w:val="none" w:sz="0" w:space="0" w:color="auto"/>
                <w:bottom w:val="none" w:sz="0" w:space="0" w:color="auto"/>
                <w:right w:val="none" w:sz="0" w:space="0" w:color="auto"/>
              </w:divBdr>
            </w:div>
          </w:divsChild>
        </w:div>
        <w:div w:id="596256317">
          <w:marLeft w:val="0"/>
          <w:marRight w:val="0"/>
          <w:marTop w:val="0"/>
          <w:marBottom w:val="0"/>
          <w:divBdr>
            <w:top w:val="none" w:sz="0" w:space="0" w:color="auto"/>
            <w:left w:val="none" w:sz="0" w:space="0" w:color="auto"/>
            <w:bottom w:val="none" w:sz="0" w:space="0" w:color="auto"/>
            <w:right w:val="none" w:sz="0" w:space="0" w:color="auto"/>
          </w:divBdr>
          <w:divsChild>
            <w:div w:id="1565408241">
              <w:marLeft w:val="0"/>
              <w:marRight w:val="0"/>
              <w:marTop w:val="0"/>
              <w:marBottom w:val="0"/>
              <w:divBdr>
                <w:top w:val="none" w:sz="0" w:space="0" w:color="auto"/>
                <w:left w:val="none" w:sz="0" w:space="0" w:color="auto"/>
                <w:bottom w:val="none" w:sz="0" w:space="0" w:color="auto"/>
                <w:right w:val="none" w:sz="0" w:space="0" w:color="auto"/>
              </w:divBdr>
            </w:div>
          </w:divsChild>
        </w:div>
        <w:div w:id="597757045">
          <w:marLeft w:val="0"/>
          <w:marRight w:val="0"/>
          <w:marTop w:val="0"/>
          <w:marBottom w:val="0"/>
          <w:divBdr>
            <w:top w:val="none" w:sz="0" w:space="0" w:color="auto"/>
            <w:left w:val="none" w:sz="0" w:space="0" w:color="auto"/>
            <w:bottom w:val="none" w:sz="0" w:space="0" w:color="auto"/>
            <w:right w:val="none" w:sz="0" w:space="0" w:color="auto"/>
          </w:divBdr>
          <w:divsChild>
            <w:div w:id="899827361">
              <w:marLeft w:val="0"/>
              <w:marRight w:val="0"/>
              <w:marTop w:val="0"/>
              <w:marBottom w:val="0"/>
              <w:divBdr>
                <w:top w:val="none" w:sz="0" w:space="0" w:color="auto"/>
                <w:left w:val="none" w:sz="0" w:space="0" w:color="auto"/>
                <w:bottom w:val="none" w:sz="0" w:space="0" w:color="auto"/>
                <w:right w:val="none" w:sz="0" w:space="0" w:color="auto"/>
              </w:divBdr>
            </w:div>
          </w:divsChild>
        </w:div>
        <w:div w:id="607931936">
          <w:marLeft w:val="0"/>
          <w:marRight w:val="0"/>
          <w:marTop w:val="0"/>
          <w:marBottom w:val="0"/>
          <w:divBdr>
            <w:top w:val="none" w:sz="0" w:space="0" w:color="auto"/>
            <w:left w:val="none" w:sz="0" w:space="0" w:color="auto"/>
            <w:bottom w:val="none" w:sz="0" w:space="0" w:color="auto"/>
            <w:right w:val="none" w:sz="0" w:space="0" w:color="auto"/>
          </w:divBdr>
          <w:divsChild>
            <w:div w:id="884678576">
              <w:marLeft w:val="0"/>
              <w:marRight w:val="0"/>
              <w:marTop w:val="0"/>
              <w:marBottom w:val="0"/>
              <w:divBdr>
                <w:top w:val="none" w:sz="0" w:space="0" w:color="auto"/>
                <w:left w:val="none" w:sz="0" w:space="0" w:color="auto"/>
                <w:bottom w:val="none" w:sz="0" w:space="0" w:color="auto"/>
                <w:right w:val="none" w:sz="0" w:space="0" w:color="auto"/>
              </w:divBdr>
            </w:div>
          </w:divsChild>
        </w:div>
        <w:div w:id="608322218">
          <w:marLeft w:val="0"/>
          <w:marRight w:val="0"/>
          <w:marTop w:val="0"/>
          <w:marBottom w:val="0"/>
          <w:divBdr>
            <w:top w:val="none" w:sz="0" w:space="0" w:color="auto"/>
            <w:left w:val="none" w:sz="0" w:space="0" w:color="auto"/>
            <w:bottom w:val="none" w:sz="0" w:space="0" w:color="auto"/>
            <w:right w:val="none" w:sz="0" w:space="0" w:color="auto"/>
          </w:divBdr>
          <w:divsChild>
            <w:div w:id="1351566492">
              <w:marLeft w:val="0"/>
              <w:marRight w:val="0"/>
              <w:marTop w:val="0"/>
              <w:marBottom w:val="0"/>
              <w:divBdr>
                <w:top w:val="none" w:sz="0" w:space="0" w:color="auto"/>
                <w:left w:val="none" w:sz="0" w:space="0" w:color="auto"/>
                <w:bottom w:val="none" w:sz="0" w:space="0" w:color="auto"/>
                <w:right w:val="none" w:sz="0" w:space="0" w:color="auto"/>
              </w:divBdr>
            </w:div>
          </w:divsChild>
        </w:div>
        <w:div w:id="612443035">
          <w:marLeft w:val="0"/>
          <w:marRight w:val="0"/>
          <w:marTop w:val="0"/>
          <w:marBottom w:val="0"/>
          <w:divBdr>
            <w:top w:val="none" w:sz="0" w:space="0" w:color="auto"/>
            <w:left w:val="none" w:sz="0" w:space="0" w:color="auto"/>
            <w:bottom w:val="none" w:sz="0" w:space="0" w:color="auto"/>
            <w:right w:val="none" w:sz="0" w:space="0" w:color="auto"/>
          </w:divBdr>
          <w:divsChild>
            <w:div w:id="1659072544">
              <w:marLeft w:val="0"/>
              <w:marRight w:val="0"/>
              <w:marTop w:val="0"/>
              <w:marBottom w:val="0"/>
              <w:divBdr>
                <w:top w:val="none" w:sz="0" w:space="0" w:color="auto"/>
                <w:left w:val="none" w:sz="0" w:space="0" w:color="auto"/>
                <w:bottom w:val="none" w:sz="0" w:space="0" w:color="auto"/>
                <w:right w:val="none" w:sz="0" w:space="0" w:color="auto"/>
              </w:divBdr>
            </w:div>
          </w:divsChild>
        </w:div>
        <w:div w:id="623075599">
          <w:marLeft w:val="0"/>
          <w:marRight w:val="0"/>
          <w:marTop w:val="0"/>
          <w:marBottom w:val="0"/>
          <w:divBdr>
            <w:top w:val="none" w:sz="0" w:space="0" w:color="auto"/>
            <w:left w:val="none" w:sz="0" w:space="0" w:color="auto"/>
            <w:bottom w:val="none" w:sz="0" w:space="0" w:color="auto"/>
            <w:right w:val="none" w:sz="0" w:space="0" w:color="auto"/>
          </w:divBdr>
          <w:divsChild>
            <w:div w:id="99376549">
              <w:marLeft w:val="0"/>
              <w:marRight w:val="0"/>
              <w:marTop w:val="0"/>
              <w:marBottom w:val="0"/>
              <w:divBdr>
                <w:top w:val="none" w:sz="0" w:space="0" w:color="auto"/>
                <w:left w:val="none" w:sz="0" w:space="0" w:color="auto"/>
                <w:bottom w:val="none" w:sz="0" w:space="0" w:color="auto"/>
                <w:right w:val="none" w:sz="0" w:space="0" w:color="auto"/>
              </w:divBdr>
            </w:div>
          </w:divsChild>
        </w:div>
        <w:div w:id="645352653">
          <w:marLeft w:val="0"/>
          <w:marRight w:val="0"/>
          <w:marTop w:val="0"/>
          <w:marBottom w:val="0"/>
          <w:divBdr>
            <w:top w:val="none" w:sz="0" w:space="0" w:color="auto"/>
            <w:left w:val="none" w:sz="0" w:space="0" w:color="auto"/>
            <w:bottom w:val="none" w:sz="0" w:space="0" w:color="auto"/>
            <w:right w:val="none" w:sz="0" w:space="0" w:color="auto"/>
          </w:divBdr>
          <w:divsChild>
            <w:div w:id="597720120">
              <w:marLeft w:val="0"/>
              <w:marRight w:val="0"/>
              <w:marTop w:val="0"/>
              <w:marBottom w:val="0"/>
              <w:divBdr>
                <w:top w:val="none" w:sz="0" w:space="0" w:color="auto"/>
                <w:left w:val="none" w:sz="0" w:space="0" w:color="auto"/>
                <w:bottom w:val="none" w:sz="0" w:space="0" w:color="auto"/>
                <w:right w:val="none" w:sz="0" w:space="0" w:color="auto"/>
              </w:divBdr>
            </w:div>
          </w:divsChild>
        </w:div>
        <w:div w:id="650405308">
          <w:marLeft w:val="0"/>
          <w:marRight w:val="0"/>
          <w:marTop w:val="0"/>
          <w:marBottom w:val="0"/>
          <w:divBdr>
            <w:top w:val="none" w:sz="0" w:space="0" w:color="auto"/>
            <w:left w:val="none" w:sz="0" w:space="0" w:color="auto"/>
            <w:bottom w:val="none" w:sz="0" w:space="0" w:color="auto"/>
            <w:right w:val="none" w:sz="0" w:space="0" w:color="auto"/>
          </w:divBdr>
          <w:divsChild>
            <w:div w:id="1768886381">
              <w:marLeft w:val="0"/>
              <w:marRight w:val="0"/>
              <w:marTop w:val="0"/>
              <w:marBottom w:val="0"/>
              <w:divBdr>
                <w:top w:val="none" w:sz="0" w:space="0" w:color="auto"/>
                <w:left w:val="none" w:sz="0" w:space="0" w:color="auto"/>
                <w:bottom w:val="none" w:sz="0" w:space="0" w:color="auto"/>
                <w:right w:val="none" w:sz="0" w:space="0" w:color="auto"/>
              </w:divBdr>
            </w:div>
          </w:divsChild>
        </w:div>
        <w:div w:id="651102749">
          <w:marLeft w:val="0"/>
          <w:marRight w:val="0"/>
          <w:marTop w:val="0"/>
          <w:marBottom w:val="0"/>
          <w:divBdr>
            <w:top w:val="none" w:sz="0" w:space="0" w:color="auto"/>
            <w:left w:val="none" w:sz="0" w:space="0" w:color="auto"/>
            <w:bottom w:val="none" w:sz="0" w:space="0" w:color="auto"/>
            <w:right w:val="none" w:sz="0" w:space="0" w:color="auto"/>
          </w:divBdr>
          <w:divsChild>
            <w:div w:id="1108696241">
              <w:marLeft w:val="0"/>
              <w:marRight w:val="0"/>
              <w:marTop w:val="0"/>
              <w:marBottom w:val="0"/>
              <w:divBdr>
                <w:top w:val="none" w:sz="0" w:space="0" w:color="auto"/>
                <w:left w:val="none" w:sz="0" w:space="0" w:color="auto"/>
                <w:bottom w:val="none" w:sz="0" w:space="0" w:color="auto"/>
                <w:right w:val="none" w:sz="0" w:space="0" w:color="auto"/>
              </w:divBdr>
            </w:div>
          </w:divsChild>
        </w:div>
        <w:div w:id="660236044">
          <w:marLeft w:val="0"/>
          <w:marRight w:val="0"/>
          <w:marTop w:val="0"/>
          <w:marBottom w:val="0"/>
          <w:divBdr>
            <w:top w:val="none" w:sz="0" w:space="0" w:color="auto"/>
            <w:left w:val="none" w:sz="0" w:space="0" w:color="auto"/>
            <w:bottom w:val="none" w:sz="0" w:space="0" w:color="auto"/>
            <w:right w:val="none" w:sz="0" w:space="0" w:color="auto"/>
          </w:divBdr>
          <w:divsChild>
            <w:div w:id="1470712308">
              <w:marLeft w:val="0"/>
              <w:marRight w:val="0"/>
              <w:marTop w:val="0"/>
              <w:marBottom w:val="0"/>
              <w:divBdr>
                <w:top w:val="none" w:sz="0" w:space="0" w:color="auto"/>
                <w:left w:val="none" w:sz="0" w:space="0" w:color="auto"/>
                <w:bottom w:val="none" w:sz="0" w:space="0" w:color="auto"/>
                <w:right w:val="none" w:sz="0" w:space="0" w:color="auto"/>
              </w:divBdr>
            </w:div>
          </w:divsChild>
        </w:div>
        <w:div w:id="660498918">
          <w:marLeft w:val="0"/>
          <w:marRight w:val="0"/>
          <w:marTop w:val="0"/>
          <w:marBottom w:val="0"/>
          <w:divBdr>
            <w:top w:val="none" w:sz="0" w:space="0" w:color="auto"/>
            <w:left w:val="none" w:sz="0" w:space="0" w:color="auto"/>
            <w:bottom w:val="none" w:sz="0" w:space="0" w:color="auto"/>
            <w:right w:val="none" w:sz="0" w:space="0" w:color="auto"/>
          </w:divBdr>
          <w:divsChild>
            <w:div w:id="1412502814">
              <w:marLeft w:val="0"/>
              <w:marRight w:val="0"/>
              <w:marTop w:val="0"/>
              <w:marBottom w:val="0"/>
              <w:divBdr>
                <w:top w:val="none" w:sz="0" w:space="0" w:color="auto"/>
                <w:left w:val="none" w:sz="0" w:space="0" w:color="auto"/>
                <w:bottom w:val="none" w:sz="0" w:space="0" w:color="auto"/>
                <w:right w:val="none" w:sz="0" w:space="0" w:color="auto"/>
              </w:divBdr>
            </w:div>
          </w:divsChild>
        </w:div>
        <w:div w:id="682517955">
          <w:marLeft w:val="0"/>
          <w:marRight w:val="0"/>
          <w:marTop w:val="0"/>
          <w:marBottom w:val="0"/>
          <w:divBdr>
            <w:top w:val="none" w:sz="0" w:space="0" w:color="auto"/>
            <w:left w:val="none" w:sz="0" w:space="0" w:color="auto"/>
            <w:bottom w:val="none" w:sz="0" w:space="0" w:color="auto"/>
            <w:right w:val="none" w:sz="0" w:space="0" w:color="auto"/>
          </w:divBdr>
          <w:divsChild>
            <w:div w:id="1633706042">
              <w:marLeft w:val="0"/>
              <w:marRight w:val="0"/>
              <w:marTop w:val="0"/>
              <w:marBottom w:val="0"/>
              <w:divBdr>
                <w:top w:val="none" w:sz="0" w:space="0" w:color="auto"/>
                <w:left w:val="none" w:sz="0" w:space="0" w:color="auto"/>
                <w:bottom w:val="none" w:sz="0" w:space="0" w:color="auto"/>
                <w:right w:val="none" w:sz="0" w:space="0" w:color="auto"/>
              </w:divBdr>
            </w:div>
          </w:divsChild>
        </w:div>
        <w:div w:id="688920054">
          <w:marLeft w:val="0"/>
          <w:marRight w:val="0"/>
          <w:marTop w:val="0"/>
          <w:marBottom w:val="0"/>
          <w:divBdr>
            <w:top w:val="none" w:sz="0" w:space="0" w:color="auto"/>
            <w:left w:val="none" w:sz="0" w:space="0" w:color="auto"/>
            <w:bottom w:val="none" w:sz="0" w:space="0" w:color="auto"/>
            <w:right w:val="none" w:sz="0" w:space="0" w:color="auto"/>
          </w:divBdr>
          <w:divsChild>
            <w:div w:id="1263146230">
              <w:marLeft w:val="0"/>
              <w:marRight w:val="0"/>
              <w:marTop w:val="0"/>
              <w:marBottom w:val="0"/>
              <w:divBdr>
                <w:top w:val="none" w:sz="0" w:space="0" w:color="auto"/>
                <w:left w:val="none" w:sz="0" w:space="0" w:color="auto"/>
                <w:bottom w:val="none" w:sz="0" w:space="0" w:color="auto"/>
                <w:right w:val="none" w:sz="0" w:space="0" w:color="auto"/>
              </w:divBdr>
            </w:div>
          </w:divsChild>
        </w:div>
        <w:div w:id="722364587">
          <w:marLeft w:val="0"/>
          <w:marRight w:val="0"/>
          <w:marTop w:val="0"/>
          <w:marBottom w:val="0"/>
          <w:divBdr>
            <w:top w:val="none" w:sz="0" w:space="0" w:color="auto"/>
            <w:left w:val="none" w:sz="0" w:space="0" w:color="auto"/>
            <w:bottom w:val="none" w:sz="0" w:space="0" w:color="auto"/>
            <w:right w:val="none" w:sz="0" w:space="0" w:color="auto"/>
          </w:divBdr>
          <w:divsChild>
            <w:div w:id="1502891395">
              <w:marLeft w:val="0"/>
              <w:marRight w:val="0"/>
              <w:marTop w:val="0"/>
              <w:marBottom w:val="0"/>
              <w:divBdr>
                <w:top w:val="none" w:sz="0" w:space="0" w:color="auto"/>
                <w:left w:val="none" w:sz="0" w:space="0" w:color="auto"/>
                <w:bottom w:val="none" w:sz="0" w:space="0" w:color="auto"/>
                <w:right w:val="none" w:sz="0" w:space="0" w:color="auto"/>
              </w:divBdr>
            </w:div>
          </w:divsChild>
        </w:div>
        <w:div w:id="731847988">
          <w:marLeft w:val="0"/>
          <w:marRight w:val="0"/>
          <w:marTop w:val="0"/>
          <w:marBottom w:val="0"/>
          <w:divBdr>
            <w:top w:val="none" w:sz="0" w:space="0" w:color="auto"/>
            <w:left w:val="none" w:sz="0" w:space="0" w:color="auto"/>
            <w:bottom w:val="none" w:sz="0" w:space="0" w:color="auto"/>
            <w:right w:val="none" w:sz="0" w:space="0" w:color="auto"/>
          </w:divBdr>
          <w:divsChild>
            <w:div w:id="1033846426">
              <w:marLeft w:val="0"/>
              <w:marRight w:val="0"/>
              <w:marTop w:val="0"/>
              <w:marBottom w:val="0"/>
              <w:divBdr>
                <w:top w:val="none" w:sz="0" w:space="0" w:color="auto"/>
                <w:left w:val="none" w:sz="0" w:space="0" w:color="auto"/>
                <w:bottom w:val="none" w:sz="0" w:space="0" w:color="auto"/>
                <w:right w:val="none" w:sz="0" w:space="0" w:color="auto"/>
              </w:divBdr>
            </w:div>
          </w:divsChild>
        </w:div>
        <w:div w:id="741484944">
          <w:marLeft w:val="0"/>
          <w:marRight w:val="0"/>
          <w:marTop w:val="0"/>
          <w:marBottom w:val="0"/>
          <w:divBdr>
            <w:top w:val="none" w:sz="0" w:space="0" w:color="auto"/>
            <w:left w:val="none" w:sz="0" w:space="0" w:color="auto"/>
            <w:bottom w:val="none" w:sz="0" w:space="0" w:color="auto"/>
            <w:right w:val="none" w:sz="0" w:space="0" w:color="auto"/>
          </w:divBdr>
          <w:divsChild>
            <w:div w:id="805708120">
              <w:marLeft w:val="0"/>
              <w:marRight w:val="0"/>
              <w:marTop w:val="0"/>
              <w:marBottom w:val="0"/>
              <w:divBdr>
                <w:top w:val="none" w:sz="0" w:space="0" w:color="auto"/>
                <w:left w:val="none" w:sz="0" w:space="0" w:color="auto"/>
                <w:bottom w:val="none" w:sz="0" w:space="0" w:color="auto"/>
                <w:right w:val="none" w:sz="0" w:space="0" w:color="auto"/>
              </w:divBdr>
            </w:div>
          </w:divsChild>
        </w:div>
        <w:div w:id="747583080">
          <w:marLeft w:val="0"/>
          <w:marRight w:val="0"/>
          <w:marTop w:val="0"/>
          <w:marBottom w:val="0"/>
          <w:divBdr>
            <w:top w:val="none" w:sz="0" w:space="0" w:color="auto"/>
            <w:left w:val="none" w:sz="0" w:space="0" w:color="auto"/>
            <w:bottom w:val="none" w:sz="0" w:space="0" w:color="auto"/>
            <w:right w:val="none" w:sz="0" w:space="0" w:color="auto"/>
          </w:divBdr>
          <w:divsChild>
            <w:div w:id="112094046">
              <w:marLeft w:val="0"/>
              <w:marRight w:val="0"/>
              <w:marTop w:val="0"/>
              <w:marBottom w:val="0"/>
              <w:divBdr>
                <w:top w:val="none" w:sz="0" w:space="0" w:color="auto"/>
                <w:left w:val="none" w:sz="0" w:space="0" w:color="auto"/>
                <w:bottom w:val="none" w:sz="0" w:space="0" w:color="auto"/>
                <w:right w:val="none" w:sz="0" w:space="0" w:color="auto"/>
              </w:divBdr>
            </w:div>
          </w:divsChild>
        </w:div>
        <w:div w:id="760956982">
          <w:marLeft w:val="0"/>
          <w:marRight w:val="0"/>
          <w:marTop w:val="0"/>
          <w:marBottom w:val="0"/>
          <w:divBdr>
            <w:top w:val="none" w:sz="0" w:space="0" w:color="auto"/>
            <w:left w:val="none" w:sz="0" w:space="0" w:color="auto"/>
            <w:bottom w:val="none" w:sz="0" w:space="0" w:color="auto"/>
            <w:right w:val="none" w:sz="0" w:space="0" w:color="auto"/>
          </w:divBdr>
          <w:divsChild>
            <w:div w:id="1241910057">
              <w:marLeft w:val="0"/>
              <w:marRight w:val="0"/>
              <w:marTop w:val="0"/>
              <w:marBottom w:val="0"/>
              <w:divBdr>
                <w:top w:val="none" w:sz="0" w:space="0" w:color="auto"/>
                <w:left w:val="none" w:sz="0" w:space="0" w:color="auto"/>
                <w:bottom w:val="none" w:sz="0" w:space="0" w:color="auto"/>
                <w:right w:val="none" w:sz="0" w:space="0" w:color="auto"/>
              </w:divBdr>
            </w:div>
          </w:divsChild>
        </w:div>
        <w:div w:id="761492602">
          <w:marLeft w:val="0"/>
          <w:marRight w:val="0"/>
          <w:marTop w:val="0"/>
          <w:marBottom w:val="0"/>
          <w:divBdr>
            <w:top w:val="none" w:sz="0" w:space="0" w:color="auto"/>
            <w:left w:val="none" w:sz="0" w:space="0" w:color="auto"/>
            <w:bottom w:val="none" w:sz="0" w:space="0" w:color="auto"/>
            <w:right w:val="none" w:sz="0" w:space="0" w:color="auto"/>
          </w:divBdr>
          <w:divsChild>
            <w:div w:id="2065983686">
              <w:marLeft w:val="0"/>
              <w:marRight w:val="0"/>
              <w:marTop w:val="0"/>
              <w:marBottom w:val="0"/>
              <w:divBdr>
                <w:top w:val="none" w:sz="0" w:space="0" w:color="auto"/>
                <w:left w:val="none" w:sz="0" w:space="0" w:color="auto"/>
                <w:bottom w:val="none" w:sz="0" w:space="0" w:color="auto"/>
                <w:right w:val="none" w:sz="0" w:space="0" w:color="auto"/>
              </w:divBdr>
            </w:div>
          </w:divsChild>
        </w:div>
        <w:div w:id="768701439">
          <w:marLeft w:val="0"/>
          <w:marRight w:val="0"/>
          <w:marTop w:val="0"/>
          <w:marBottom w:val="0"/>
          <w:divBdr>
            <w:top w:val="none" w:sz="0" w:space="0" w:color="auto"/>
            <w:left w:val="none" w:sz="0" w:space="0" w:color="auto"/>
            <w:bottom w:val="none" w:sz="0" w:space="0" w:color="auto"/>
            <w:right w:val="none" w:sz="0" w:space="0" w:color="auto"/>
          </w:divBdr>
          <w:divsChild>
            <w:div w:id="396361752">
              <w:marLeft w:val="0"/>
              <w:marRight w:val="0"/>
              <w:marTop w:val="0"/>
              <w:marBottom w:val="0"/>
              <w:divBdr>
                <w:top w:val="none" w:sz="0" w:space="0" w:color="auto"/>
                <w:left w:val="none" w:sz="0" w:space="0" w:color="auto"/>
                <w:bottom w:val="none" w:sz="0" w:space="0" w:color="auto"/>
                <w:right w:val="none" w:sz="0" w:space="0" w:color="auto"/>
              </w:divBdr>
            </w:div>
          </w:divsChild>
        </w:div>
        <w:div w:id="775372936">
          <w:marLeft w:val="0"/>
          <w:marRight w:val="0"/>
          <w:marTop w:val="0"/>
          <w:marBottom w:val="0"/>
          <w:divBdr>
            <w:top w:val="none" w:sz="0" w:space="0" w:color="auto"/>
            <w:left w:val="none" w:sz="0" w:space="0" w:color="auto"/>
            <w:bottom w:val="none" w:sz="0" w:space="0" w:color="auto"/>
            <w:right w:val="none" w:sz="0" w:space="0" w:color="auto"/>
          </w:divBdr>
          <w:divsChild>
            <w:div w:id="399249544">
              <w:marLeft w:val="0"/>
              <w:marRight w:val="0"/>
              <w:marTop w:val="0"/>
              <w:marBottom w:val="0"/>
              <w:divBdr>
                <w:top w:val="none" w:sz="0" w:space="0" w:color="auto"/>
                <w:left w:val="none" w:sz="0" w:space="0" w:color="auto"/>
                <w:bottom w:val="none" w:sz="0" w:space="0" w:color="auto"/>
                <w:right w:val="none" w:sz="0" w:space="0" w:color="auto"/>
              </w:divBdr>
            </w:div>
          </w:divsChild>
        </w:div>
        <w:div w:id="775907106">
          <w:marLeft w:val="0"/>
          <w:marRight w:val="0"/>
          <w:marTop w:val="0"/>
          <w:marBottom w:val="0"/>
          <w:divBdr>
            <w:top w:val="none" w:sz="0" w:space="0" w:color="auto"/>
            <w:left w:val="none" w:sz="0" w:space="0" w:color="auto"/>
            <w:bottom w:val="none" w:sz="0" w:space="0" w:color="auto"/>
            <w:right w:val="none" w:sz="0" w:space="0" w:color="auto"/>
          </w:divBdr>
          <w:divsChild>
            <w:div w:id="2031947288">
              <w:marLeft w:val="0"/>
              <w:marRight w:val="0"/>
              <w:marTop w:val="0"/>
              <w:marBottom w:val="0"/>
              <w:divBdr>
                <w:top w:val="none" w:sz="0" w:space="0" w:color="auto"/>
                <w:left w:val="none" w:sz="0" w:space="0" w:color="auto"/>
                <w:bottom w:val="none" w:sz="0" w:space="0" w:color="auto"/>
                <w:right w:val="none" w:sz="0" w:space="0" w:color="auto"/>
              </w:divBdr>
            </w:div>
          </w:divsChild>
        </w:div>
        <w:div w:id="778448219">
          <w:marLeft w:val="0"/>
          <w:marRight w:val="0"/>
          <w:marTop w:val="0"/>
          <w:marBottom w:val="0"/>
          <w:divBdr>
            <w:top w:val="none" w:sz="0" w:space="0" w:color="auto"/>
            <w:left w:val="none" w:sz="0" w:space="0" w:color="auto"/>
            <w:bottom w:val="none" w:sz="0" w:space="0" w:color="auto"/>
            <w:right w:val="none" w:sz="0" w:space="0" w:color="auto"/>
          </w:divBdr>
          <w:divsChild>
            <w:div w:id="44566209">
              <w:marLeft w:val="0"/>
              <w:marRight w:val="0"/>
              <w:marTop w:val="0"/>
              <w:marBottom w:val="0"/>
              <w:divBdr>
                <w:top w:val="none" w:sz="0" w:space="0" w:color="auto"/>
                <w:left w:val="none" w:sz="0" w:space="0" w:color="auto"/>
                <w:bottom w:val="none" w:sz="0" w:space="0" w:color="auto"/>
                <w:right w:val="none" w:sz="0" w:space="0" w:color="auto"/>
              </w:divBdr>
            </w:div>
          </w:divsChild>
        </w:div>
        <w:div w:id="782922952">
          <w:marLeft w:val="0"/>
          <w:marRight w:val="0"/>
          <w:marTop w:val="0"/>
          <w:marBottom w:val="0"/>
          <w:divBdr>
            <w:top w:val="none" w:sz="0" w:space="0" w:color="auto"/>
            <w:left w:val="none" w:sz="0" w:space="0" w:color="auto"/>
            <w:bottom w:val="none" w:sz="0" w:space="0" w:color="auto"/>
            <w:right w:val="none" w:sz="0" w:space="0" w:color="auto"/>
          </w:divBdr>
          <w:divsChild>
            <w:div w:id="898714283">
              <w:marLeft w:val="0"/>
              <w:marRight w:val="0"/>
              <w:marTop w:val="0"/>
              <w:marBottom w:val="0"/>
              <w:divBdr>
                <w:top w:val="none" w:sz="0" w:space="0" w:color="auto"/>
                <w:left w:val="none" w:sz="0" w:space="0" w:color="auto"/>
                <w:bottom w:val="none" w:sz="0" w:space="0" w:color="auto"/>
                <w:right w:val="none" w:sz="0" w:space="0" w:color="auto"/>
              </w:divBdr>
            </w:div>
          </w:divsChild>
        </w:div>
        <w:div w:id="785656877">
          <w:marLeft w:val="0"/>
          <w:marRight w:val="0"/>
          <w:marTop w:val="0"/>
          <w:marBottom w:val="0"/>
          <w:divBdr>
            <w:top w:val="none" w:sz="0" w:space="0" w:color="auto"/>
            <w:left w:val="none" w:sz="0" w:space="0" w:color="auto"/>
            <w:bottom w:val="none" w:sz="0" w:space="0" w:color="auto"/>
            <w:right w:val="none" w:sz="0" w:space="0" w:color="auto"/>
          </w:divBdr>
          <w:divsChild>
            <w:div w:id="462965446">
              <w:marLeft w:val="0"/>
              <w:marRight w:val="0"/>
              <w:marTop w:val="0"/>
              <w:marBottom w:val="0"/>
              <w:divBdr>
                <w:top w:val="none" w:sz="0" w:space="0" w:color="auto"/>
                <w:left w:val="none" w:sz="0" w:space="0" w:color="auto"/>
                <w:bottom w:val="none" w:sz="0" w:space="0" w:color="auto"/>
                <w:right w:val="none" w:sz="0" w:space="0" w:color="auto"/>
              </w:divBdr>
            </w:div>
          </w:divsChild>
        </w:div>
        <w:div w:id="810445638">
          <w:marLeft w:val="0"/>
          <w:marRight w:val="0"/>
          <w:marTop w:val="0"/>
          <w:marBottom w:val="0"/>
          <w:divBdr>
            <w:top w:val="none" w:sz="0" w:space="0" w:color="auto"/>
            <w:left w:val="none" w:sz="0" w:space="0" w:color="auto"/>
            <w:bottom w:val="none" w:sz="0" w:space="0" w:color="auto"/>
            <w:right w:val="none" w:sz="0" w:space="0" w:color="auto"/>
          </w:divBdr>
          <w:divsChild>
            <w:div w:id="1717391737">
              <w:marLeft w:val="0"/>
              <w:marRight w:val="0"/>
              <w:marTop w:val="0"/>
              <w:marBottom w:val="0"/>
              <w:divBdr>
                <w:top w:val="none" w:sz="0" w:space="0" w:color="auto"/>
                <w:left w:val="none" w:sz="0" w:space="0" w:color="auto"/>
                <w:bottom w:val="none" w:sz="0" w:space="0" w:color="auto"/>
                <w:right w:val="none" w:sz="0" w:space="0" w:color="auto"/>
              </w:divBdr>
            </w:div>
          </w:divsChild>
        </w:div>
        <w:div w:id="810825605">
          <w:marLeft w:val="0"/>
          <w:marRight w:val="0"/>
          <w:marTop w:val="0"/>
          <w:marBottom w:val="0"/>
          <w:divBdr>
            <w:top w:val="none" w:sz="0" w:space="0" w:color="auto"/>
            <w:left w:val="none" w:sz="0" w:space="0" w:color="auto"/>
            <w:bottom w:val="none" w:sz="0" w:space="0" w:color="auto"/>
            <w:right w:val="none" w:sz="0" w:space="0" w:color="auto"/>
          </w:divBdr>
          <w:divsChild>
            <w:div w:id="681398052">
              <w:marLeft w:val="0"/>
              <w:marRight w:val="0"/>
              <w:marTop w:val="0"/>
              <w:marBottom w:val="0"/>
              <w:divBdr>
                <w:top w:val="none" w:sz="0" w:space="0" w:color="auto"/>
                <w:left w:val="none" w:sz="0" w:space="0" w:color="auto"/>
                <w:bottom w:val="none" w:sz="0" w:space="0" w:color="auto"/>
                <w:right w:val="none" w:sz="0" w:space="0" w:color="auto"/>
              </w:divBdr>
            </w:div>
          </w:divsChild>
        </w:div>
        <w:div w:id="815998381">
          <w:marLeft w:val="0"/>
          <w:marRight w:val="0"/>
          <w:marTop w:val="0"/>
          <w:marBottom w:val="0"/>
          <w:divBdr>
            <w:top w:val="none" w:sz="0" w:space="0" w:color="auto"/>
            <w:left w:val="none" w:sz="0" w:space="0" w:color="auto"/>
            <w:bottom w:val="none" w:sz="0" w:space="0" w:color="auto"/>
            <w:right w:val="none" w:sz="0" w:space="0" w:color="auto"/>
          </w:divBdr>
          <w:divsChild>
            <w:div w:id="872617229">
              <w:marLeft w:val="0"/>
              <w:marRight w:val="0"/>
              <w:marTop w:val="0"/>
              <w:marBottom w:val="0"/>
              <w:divBdr>
                <w:top w:val="none" w:sz="0" w:space="0" w:color="auto"/>
                <w:left w:val="none" w:sz="0" w:space="0" w:color="auto"/>
                <w:bottom w:val="none" w:sz="0" w:space="0" w:color="auto"/>
                <w:right w:val="none" w:sz="0" w:space="0" w:color="auto"/>
              </w:divBdr>
            </w:div>
          </w:divsChild>
        </w:div>
        <w:div w:id="820270528">
          <w:marLeft w:val="0"/>
          <w:marRight w:val="0"/>
          <w:marTop w:val="0"/>
          <w:marBottom w:val="0"/>
          <w:divBdr>
            <w:top w:val="none" w:sz="0" w:space="0" w:color="auto"/>
            <w:left w:val="none" w:sz="0" w:space="0" w:color="auto"/>
            <w:bottom w:val="none" w:sz="0" w:space="0" w:color="auto"/>
            <w:right w:val="none" w:sz="0" w:space="0" w:color="auto"/>
          </w:divBdr>
          <w:divsChild>
            <w:div w:id="403066433">
              <w:marLeft w:val="0"/>
              <w:marRight w:val="0"/>
              <w:marTop w:val="0"/>
              <w:marBottom w:val="0"/>
              <w:divBdr>
                <w:top w:val="none" w:sz="0" w:space="0" w:color="auto"/>
                <w:left w:val="none" w:sz="0" w:space="0" w:color="auto"/>
                <w:bottom w:val="none" w:sz="0" w:space="0" w:color="auto"/>
                <w:right w:val="none" w:sz="0" w:space="0" w:color="auto"/>
              </w:divBdr>
            </w:div>
          </w:divsChild>
        </w:div>
        <w:div w:id="827130873">
          <w:marLeft w:val="0"/>
          <w:marRight w:val="0"/>
          <w:marTop w:val="0"/>
          <w:marBottom w:val="0"/>
          <w:divBdr>
            <w:top w:val="none" w:sz="0" w:space="0" w:color="auto"/>
            <w:left w:val="none" w:sz="0" w:space="0" w:color="auto"/>
            <w:bottom w:val="none" w:sz="0" w:space="0" w:color="auto"/>
            <w:right w:val="none" w:sz="0" w:space="0" w:color="auto"/>
          </w:divBdr>
          <w:divsChild>
            <w:div w:id="254827267">
              <w:marLeft w:val="0"/>
              <w:marRight w:val="0"/>
              <w:marTop w:val="0"/>
              <w:marBottom w:val="0"/>
              <w:divBdr>
                <w:top w:val="none" w:sz="0" w:space="0" w:color="auto"/>
                <w:left w:val="none" w:sz="0" w:space="0" w:color="auto"/>
                <w:bottom w:val="none" w:sz="0" w:space="0" w:color="auto"/>
                <w:right w:val="none" w:sz="0" w:space="0" w:color="auto"/>
              </w:divBdr>
            </w:div>
          </w:divsChild>
        </w:div>
        <w:div w:id="837692685">
          <w:marLeft w:val="0"/>
          <w:marRight w:val="0"/>
          <w:marTop w:val="0"/>
          <w:marBottom w:val="0"/>
          <w:divBdr>
            <w:top w:val="none" w:sz="0" w:space="0" w:color="auto"/>
            <w:left w:val="none" w:sz="0" w:space="0" w:color="auto"/>
            <w:bottom w:val="none" w:sz="0" w:space="0" w:color="auto"/>
            <w:right w:val="none" w:sz="0" w:space="0" w:color="auto"/>
          </w:divBdr>
          <w:divsChild>
            <w:div w:id="541291306">
              <w:marLeft w:val="0"/>
              <w:marRight w:val="0"/>
              <w:marTop w:val="0"/>
              <w:marBottom w:val="0"/>
              <w:divBdr>
                <w:top w:val="none" w:sz="0" w:space="0" w:color="auto"/>
                <w:left w:val="none" w:sz="0" w:space="0" w:color="auto"/>
                <w:bottom w:val="none" w:sz="0" w:space="0" w:color="auto"/>
                <w:right w:val="none" w:sz="0" w:space="0" w:color="auto"/>
              </w:divBdr>
            </w:div>
          </w:divsChild>
        </w:div>
        <w:div w:id="846213359">
          <w:marLeft w:val="0"/>
          <w:marRight w:val="0"/>
          <w:marTop w:val="0"/>
          <w:marBottom w:val="0"/>
          <w:divBdr>
            <w:top w:val="none" w:sz="0" w:space="0" w:color="auto"/>
            <w:left w:val="none" w:sz="0" w:space="0" w:color="auto"/>
            <w:bottom w:val="none" w:sz="0" w:space="0" w:color="auto"/>
            <w:right w:val="none" w:sz="0" w:space="0" w:color="auto"/>
          </w:divBdr>
          <w:divsChild>
            <w:div w:id="508183751">
              <w:marLeft w:val="0"/>
              <w:marRight w:val="0"/>
              <w:marTop w:val="0"/>
              <w:marBottom w:val="0"/>
              <w:divBdr>
                <w:top w:val="none" w:sz="0" w:space="0" w:color="auto"/>
                <w:left w:val="none" w:sz="0" w:space="0" w:color="auto"/>
                <w:bottom w:val="none" w:sz="0" w:space="0" w:color="auto"/>
                <w:right w:val="none" w:sz="0" w:space="0" w:color="auto"/>
              </w:divBdr>
            </w:div>
          </w:divsChild>
        </w:div>
        <w:div w:id="848982265">
          <w:marLeft w:val="0"/>
          <w:marRight w:val="0"/>
          <w:marTop w:val="0"/>
          <w:marBottom w:val="0"/>
          <w:divBdr>
            <w:top w:val="none" w:sz="0" w:space="0" w:color="auto"/>
            <w:left w:val="none" w:sz="0" w:space="0" w:color="auto"/>
            <w:bottom w:val="none" w:sz="0" w:space="0" w:color="auto"/>
            <w:right w:val="none" w:sz="0" w:space="0" w:color="auto"/>
          </w:divBdr>
          <w:divsChild>
            <w:div w:id="885222909">
              <w:marLeft w:val="0"/>
              <w:marRight w:val="0"/>
              <w:marTop w:val="0"/>
              <w:marBottom w:val="0"/>
              <w:divBdr>
                <w:top w:val="none" w:sz="0" w:space="0" w:color="auto"/>
                <w:left w:val="none" w:sz="0" w:space="0" w:color="auto"/>
                <w:bottom w:val="none" w:sz="0" w:space="0" w:color="auto"/>
                <w:right w:val="none" w:sz="0" w:space="0" w:color="auto"/>
              </w:divBdr>
            </w:div>
          </w:divsChild>
        </w:div>
        <w:div w:id="855733852">
          <w:marLeft w:val="0"/>
          <w:marRight w:val="0"/>
          <w:marTop w:val="0"/>
          <w:marBottom w:val="0"/>
          <w:divBdr>
            <w:top w:val="none" w:sz="0" w:space="0" w:color="auto"/>
            <w:left w:val="none" w:sz="0" w:space="0" w:color="auto"/>
            <w:bottom w:val="none" w:sz="0" w:space="0" w:color="auto"/>
            <w:right w:val="none" w:sz="0" w:space="0" w:color="auto"/>
          </w:divBdr>
          <w:divsChild>
            <w:div w:id="916550869">
              <w:marLeft w:val="0"/>
              <w:marRight w:val="0"/>
              <w:marTop w:val="0"/>
              <w:marBottom w:val="0"/>
              <w:divBdr>
                <w:top w:val="none" w:sz="0" w:space="0" w:color="auto"/>
                <w:left w:val="none" w:sz="0" w:space="0" w:color="auto"/>
                <w:bottom w:val="none" w:sz="0" w:space="0" w:color="auto"/>
                <w:right w:val="none" w:sz="0" w:space="0" w:color="auto"/>
              </w:divBdr>
            </w:div>
          </w:divsChild>
        </w:div>
        <w:div w:id="859587492">
          <w:marLeft w:val="0"/>
          <w:marRight w:val="0"/>
          <w:marTop w:val="0"/>
          <w:marBottom w:val="0"/>
          <w:divBdr>
            <w:top w:val="none" w:sz="0" w:space="0" w:color="auto"/>
            <w:left w:val="none" w:sz="0" w:space="0" w:color="auto"/>
            <w:bottom w:val="none" w:sz="0" w:space="0" w:color="auto"/>
            <w:right w:val="none" w:sz="0" w:space="0" w:color="auto"/>
          </w:divBdr>
          <w:divsChild>
            <w:div w:id="1881017012">
              <w:marLeft w:val="0"/>
              <w:marRight w:val="0"/>
              <w:marTop w:val="0"/>
              <w:marBottom w:val="0"/>
              <w:divBdr>
                <w:top w:val="none" w:sz="0" w:space="0" w:color="auto"/>
                <w:left w:val="none" w:sz="0" w:space="0" w:color="auto"/>
                <w:bottom w:val="none" w:sz="0" w:space="0" w:color="auto"/>
                <w:right w:val="none" w:sz="0" w:space="0" w:color="auto"/>
              </w:divBdr>
            </w:div>
          </w:divsChild>
        </w:div>
        <w:div w:id="863330128">
          <w:marLeft w:val="0"/>
          <w:marRight w:val="0"/>
          <w:marTop w:val="0"/>
          <w:marBottom w:val="0"/>
          <w:divBdr>
            <w:top w:val="none" w:sz="0" w:space="0" w:color="auto"/>
            <w:left w:val="none" w:sz="0" w:space="0" w:color="auto"/>
            <w:bottom w:val="none" w:sz="0" w:space="0" w:color="auto"/>
            <w:right w:val="none" w:sz="0" w:space="0" w:color="auto"/>
          </w:divBdr>
          <w:divsChild>
            <w:div w:id="444469714">
              <w:marLeft w:val="0"/>
              <w:marRight w:val="0"/>
              <w:marTop w:val="0"/>
              <w:marBottom w:val="0"/>
              <w:divBdr>
                <w:top w:val="none" w:sz="0" w:space="0" w:color="auto"/>
                <w:left w:val="none" w:sz="0" w:space="0" w:color="auto"/>
                <w:bottom w:val="none" w:sz="0" w:space="0" w:color="auto"/>
                <w:right w:val="none" w:sz="0" w:space="0" w:color="auto"/>
              </w:divBdr>
            </w:div>
          </w:divsChild>
        </w:div>
        <w:div w:id="870846360">
          <w:marLeft w:val="0"/>
          <w:marRight w:val="0"/>
          <w:marTop w:val="0"/>
          <w:marBottom w:val="0"/>
          <w:divBdr>
            <w:top w:val="none" w:sz="0" w:space="0" w:color="auto"/>
            <w:left w:val="none" w:sz="0" w:space="0" w:color="auto"/>
            <w:bottom w:val="none" w:sz="0" w:space="0" w:color="auto"/>
            <w:right w:val="none" w:sz="0" w:space="0" w:color="auto"/>
          </w:divBdr>
          <w:divsChild>
            <w:div w:id="977415733">
              <w:marLeft w:val="0"/>
              <w:marRight w:val="0"/>
              <w:marTop w:val="0"/>
              <w:marBottom w:val="0"/>
              <w:divBdr>
                <w:top w:val="none" w:sz="0" w:space="0" w:color="auto"/>
                <w:left w:val="none" w:sz="0" w:space="0" w:color="auto"/>
                <w:bottom w:val="none" w:sz="0" w:space="0" w:color="auto"/>
                <w:right w:val="none" w:sz="0" w:space="0" w:color="auto"/>
              </w:divBdr>
            </w:div>
          </w:divsChild>
        </w:div>
        <w:div w:id="875847407">
          <w:marLeft w:val="0"/>
          <w:marRight w:val="0"/>
          <w:marTop w:val="0"/>
          <w:marBottom w:val="0"/>
          <w:divBdr>
            <w:top w:val="none" w:sz="0" w:space="0" w:color="auto"/>
            <w:left w:val="none" w:sz="0" w:space="0" w:color="auto"/>
            <w:bottom w:val="none" w:sz="0" w:space="0" w:color="auto"/>
            <w:right w:val="none" w:sz="0" w:space="0" w:color="auto"/>
          </w:divBdr>
          <w:divsChild>
            <w:div w:id="1720402413">
              <w:marLeft w:val="0"/>
              <w:marRight w:val="0"/>
              <w:marTop w:val="0"/>
              <w:marBottom w:val="0"/>
              <w:divBdr>
                <w:top w:val="none" w:sz="0" w:space="0" w:color="auto"/>
                <w:left w:val="none" w:sz="0" w:space="0" w:color="auto"/>
                <w:bottom w:val="none" w:sz="0" w:space="0" w:color="auto"/>
                <w:right w:val="none" w:sz="0" w:space="0" w:color="auto"/>
              </w:divBdr>
            </w:div>
          </w:divsChild>
        </w:div>
        <w:div w:id="882862538">
          <w:marLeft w:val="0"/>
          <w:marRight w:val="0"/>
          <w:marTop w:val="0"/>
          <w:marBottom w:val="0"/>
          <w:divBdr>
            <w:top w:val="none" w:sz="0" w:space="0" w:color="auto"/>
            <w:left w:val="none" w:sz="0" w:space="0" w:color="auto"/>
            <w:bottom w:val="none" w:sz="0" w:space="0" w:color="auto"/>
            <w:right w:val="none" w:sz="0" w:space="0" w:color="auto"/>
          </w:divBdr>
          <w:divsChild>
            <w:div w:id="1890871244">
              <w:marLeft w:val="0"/>
              <w:marRight w:val="0"/>
              <w:marTop w:val="0"/>
              <w:marBottom w:val="0"/>
              <w:divBdr>
                <w:top w:val="none" w:sz="0" w:space="0" w:color="auto"/>
                <w:left w:val="none" w:sz="0" w:space="0" w:color="auto"/>
                <w:bottom w:val="none" w:sz="0" w:space="0" w:color="auto"/>
                <w:right w:val="none" w:sz="0" w:space="0" w:color="auto"/>
              </w:divBdr>
            </w:div>
          </w:divsChild>
        </w:div>
        <w:div w:id="886571736">
          <w:marLeft w:val="0"/>
          <w:marRight w:val="0"/>
          <w:marTop w:val="0"/>
          <w:marBottom w:val="0"/>
          <w:divBdr>
            <w:top w:val="none" w:sz="0" w:space="0" w:color="auto"/>
            <w:left w:val="none" w:sz="0" w:space="0" w:color="auto"/>
            <w:bottom w:val="none" w:sz="0" w:space="0" w:color="auto"/>
            <w:right w:val="none" w:sz="0" w:space="0" w:color="auto"/>
          </w:divBdr>
          <w:divsChild>
            <w:div w:id="510685850">
              <w:marLeft w:val="0"/>
              <w:marRight w:val="0"/>
              <w:marTop w:val="0"/>
              <w:marBottom w:val="0"/>
              <w:divBdr>
                <w:top w:val="none" w:sz="0" w:space="0" w:color="auto"/>
                <w:left w:val="none" w:sz="0" w:space="0" w:color="auto"/>
                <w:bottom w:val="none" w:sz="0" w:space="0" w:color="auto"/>
                <w:right w:val="none" w:sz="0" w:space="0" w:color="auto"/>
              </w:divBdr>
            </w:div>
          </w:divsChild>
        </w:div>
        <w:div w:id="889808108">
          <w:marLeft w:val="0"/>
          <w:marRight w:val="0"/>
          <w:marTop w:val="0"/>
          <w:marBottom w:val="0"/>
          <w:divBdr>
            <w:top w:val="none" w:sz="0" w:space="0" w:color="auto"/>
            <w:left w:val="none" w:sz="0" w:space="0" w:color="auto"/>
            <w:bottom w:val="none" w:sz="0" w:space="0" w:color="auto"/>
            <w:right w:val="none" w:sz="0" w:space="0" w:color="auto"/>
          </w:divBdr>
          <w:divsChild>
            <w:div w:id="1225603704">
              <w:marLeft w:val="0"/>
              <w:marRight w:val="0"/>
              <w:marTop w:val="0"/>
              <w:marBottom w:val="0"/>
              <w:divBdr>
                <w:top w:val="none" w:sz="0" w:space="0" w:color="auto"/>
                <w:left w:val="none" w:sz="0" w:space="0" w:color="auto"/>
                <w:bottom w:val="none" w:sz="0" w:space="0" w:color="auto"/>
                <w:right w:val="none" w:sz="0" w:space="0" w:color="auto"/>
              </w:divBdr>
            </w:div>
          </w:divsChild>
        </w:div>
        <w:div w:id="896866060">
          <w:marLeft w:val="0"/>
          <w:marRight w:val="0"/>
          <w:marTop w:val="0"/>
          <w:marBottom w:val="0"/>
          <w:divBdr>
            <w:top w:val="none" w:sz="0" w:space="0" w:color="auto"/>
            <w:left w:val="none" w:sz="0" w:space="0" w:color="auto"/>
            <w:bottom w:val="none" w:sz="0" w:space="0" w:color="auto"/>
            <w:right w:val="none" w:sz="0" w:space="0" w:color="auto"/>
          </w:divBdr>
          <w:divsChild>
            <w:div w:id="363528393">
              <w:marLeft w:val="0"/>
              <w:marRight w:val="0"/>
              <w:marTop w:val="0"/>
              <w:marBottom w:val="0"/>
              <w:divBdr>
                <w:top w:val="none" w:sz="0" w:space="0" w:color="auto"/>
                <w:left w:val="none" w:sz="0" w:space="0" w:color="auto"/>
                <w:bottom w:val="none" w:sz="0" w:space="0" w:color="auto"/>
                <w:right w:val="none" w:sz="0" w:space="0" w:color="auto"/>
              </w:divBdr>
            </w:div>
          </w:divsChild>
        </w:div>
        <w:div w:id="923413288">
          <w:marLeft w:val="0"/>
          <w:marRight w:val="0"/>
          <w:marTop w:val="0"/>
          <w:marBottom w:val="0"/>
          <w:divBdr>
            <w:top w:val="none" w:sz="0" w:space="0" w:color="auto"/>
            <w:left w:val="none" w:sz="0" w:space="0" w:color="auto"/>
            <w:bottom w:val="none" w:sz="0" w:space="0" w:color="auto"/>
            <w:right w:val="none" w:sz="0" w:space="0" w:color="auto"/>
          </w:divBdr>
          <w:divsChild>
            <w:div w:id="555354851">
              <w:marLeft w:val="0"/>
              <w:marRight w:val="0"/>
              <w:marTop w:val="0"/>
              <w:marBottom w:val="0"/>
              <w:divBdr>
                <w:top w:val="none" w:sz="0" w:space="0" w:color="auto"/>
                <w:left w:val="none" w:sz="0" w:space="0" w:color="auto"/>
                <w:bottom w:val="none" w:sz="0" w:space="0" w:color="auto"/>
                <w:right w:val="none" w:sz="0" w:space="0" w:color="auto"/>
              </w:divBdr>
            </w:div>
          </w:divsChild>
        </w:div>
        <w:div w:id="927882929">
          <w:marLeft w:val="0"/>
          <w:marRight w:val="0"/>
          <w:marTop w:val="0"/>
          <w:marBottom w:val="0"/>
          <w:divBdr>
            <w:top w:val="none" w:sz="0" w:space="0" w:color="auto"/>
            <w:left w:val="none" w:sz="0" w:space="0" w:color="auto"/>
            <w:bottom w:val="none" w:sz="0" w:space="0" w:color="auto"/>
            <w:right w:val="none" w:sz="0" w:space="0" w:color="auto"/>
          </w:divBdr>
          <w:divsChild>
            <w:div w:id="1913079607">
              <w:marLeft w:val="0"/>
              <w:marRight w:val="0"/>
              <w:marTop w:val="0"/>
              <w:marBottom w:val="0"/>
              <w:divBdr>
                <w:top w:val="none" w:sz="0" w:space="0" w:color="auto"/>
                <w:left w:val="none" w:sz="0" w:space="0" w:color="auto"/>
                <w:bottom w:val="none" w:sz="0" w:space="0" w:color="auto"/>
                <w:right w:val="none" w:sz="0" w:space="0" w:color="auto"/>
              </w:divBdr>
            </w:div>
          </w:divsChild>
        </w:div>
        <w:div w:id="935599814">
          <w:marLeft w:val="0"/>
          <w:marRight w:val="0"/>
          <w:marTop w:val="0"/>
          <w:marBottom w:val="0"/>
          <w:divBdr>
            <w:top w:val="none" w:sz="0" w:space="0" w:color="auto"/>
            <w:left w:val="none" w:sz="0" w:space="0" w:color="auto"/>
            <w:bottom w:val="none" w:sz="0" w:space="0" w:color="auto"/>
            <w:right w:val="none" w:sz="0" w:space="0" w:color="auto"/>
          </w:divBdr>
          <w:divsChild>
            <w:div w:id="1879975136">
              <w:marLeft w:val="0"/>
              <w:marRight w:val="0"/>
              <w:marTop w:val="0"/>
              <w:marBottom w:val="0"/>
              <w:divBdr>
                <w:top w:val="none" w:sz="0" w:space="0" w:color="auto"/>
                <w:left w:val="none" w:sz="0" w:space="0" w:color="auto"/>
                <w:bottom w:val="none" w:sz="0" w:space="0" w:color="auto"/>
                <w:right w:val="none" w:sz="0" w:space="0" w:color="auto"/>
              </w:divBdr>
            </w:div>
          </w:divsChild>
        </w:div>
        <w:div w:id="936838456">
          <w:marLeft w:val="0"/>
          <w:marRight w:val="0"/>
          <w:marTop w:val="0"/>
          <w:marBottom w:val="0"/>
          <w:divBdr>
            <w:top w:val="none" w:sz="0" w:space="0" w:color="auto"/>
            <w:left w:val="none" w:sz="0" w:space="0" w:color="auto"/>
            <w:bottom w:val="none" w:sz="0" w:space="0" w:color="auto"/>
            <w:right w:val="none" w:sz="0" w:space="0" w:color="auto"/>
          </w:divBdr>
          <w:divsChild>
            <w:div w:id="847599480">
              <w:marLeft w:val="0"/>
              <w:marRight w:val="0"/>
              <w:marTop w:val="0"/>
              <w:marBottom w:val="0"/>
              <w:divBdr>
                <w:top w:val="none" w:sz="0" w:space="0" w:color="auto"/>
                <w:left w:val="none" w:sz="0" w:space="0" w:color="auto"/>
                <w:bottom w:val="none" w:sz="0" w:space="0" w:color="auto"/>
                <w:right w:val="none" w:sz="0" w:space="0" w:color="auto"/>
              </w:divBdr>
            </w:div>
          </w:divsChild>
        </w:div>
        <w:div w:id="940604122">
          <w:marLeft w:val="0"/>
          <w:marRight w:val="0"/>
          <w:marTop w:val="0"/>
          <w:marBottom w:val="0"/>
          <w:divBdr>
            <w:top w:val="none" w:sz="0" w:space="0" w:color="auto"/>
            <w:left w:val="none" w:sz="0" w:space="0" w:color="auto"/>
            <w:bottom w:val="none" w:sz="0" w:space="0" w:color="auto"/>
            <w:right w:val="none" w:sz="0" w:space="0" w:color="auto"/>
          </w:divBdr>
          <w:divsChild>
            <w:div w:id="1678263375">
              <w:marLeft w:val="0"/>
              <w:marRight w:val="0"/>
              <w:marTop w:val="0"/>
              <w:marBottom w:val="0"/>
              <w:divBdr>
                <w:top w:val="none" w:sz="0" w:space="0" w:color="auto"/>
                <w:left w:val="none" w:sz="0" w:space="0" w:color="auto"/>
                <w:bottom w:val="none" w:sz="0" w:space="0" w:color="auto"/>
                <w:right w:val="none" w:sz="0" w:space="0" w:color="auto"/>
              </w:divBdr>
            </w:div>
          </w:divsChild>
        </w:div>
        <w:div w:id="943153705">
          <w:marLeft w:val="0"/>
          <w:marRight w:val="0"/>
          <w:marTop w:val="0"/>
          <w:marBottom w:val="0"/>
          <w:divBdr>
            <w:top w:val="none" w:sz="0" w:space="0" w:color="auto"/>
            <w:left w:val="none" w:sz="0" w:space="0" w:color="auto"/>
            <w:bottom w:val="none" w:sz="0" w:space="0" w:color="auto"/>
            <w:right w:val="none" w:sz="0" w:space="0" w:color="auto"/>
          </w:divBdr>
          <w:divsChild>
            <w:div w:id="256134401">
              <w:marLeft w:val="0"/>
              <w:marRight w:val="0"/>
              <w:marTop w:val="0"/>
              <w:marBottom w:val="0"/>
              <w:divBdr>
                <w:top w:val="none" w:sz="0" w:space="0" w:color="auto"/>
                <w:left w:val="none" w:sz="0" w:space="0" w:color="auto"/>
                <w:bottom w:val="none" w:sz="0" w:space="0" w:color="auto"/>
                <w:right w:val="none" w:sz="0" w:space="0" w:color="auto"/>
              </w:divBdr>
            </w:div>
          </w:divsChild>
        </w:div>
        <w:div w:id="943730088">
          <w:marLeft w:val="0"/>
          <w:marRight w:val="0"/>
          <w:marTop w:val="0"/>
          <w:marBottom w:val="0"/>
          <w:divBdr>
            <w:top w:val="none" w:sz="0" w:space="0" w:color="auto"/>
            <w:left w:val="none" w:sz="0" w:space="0" w:color="auto"/>
            <w:bottom w:val="none" w:sz="0" w:space="0" w:color="auto"/>
            <w:right w:val="none" w:sz="0" w:space="0" w:color="auto"/>
          </w:divBdr>
          <w:divsChild>
            <w:div w:id="1341809549">
              <w:marLeft w:val="0"/>
              <w:marRight w:val="0"/>
              <w:marTop w:val="0"/>
              <w:marBottom w:val="0"/>
              <w:divBdr>
                <w:top w:val="none" w:sz="0" w:space="0" w:color="auto"/>
                <w:left w:val="none" w:sz="0" w:space="0" w:color="auto"/>
                <w:bottom w:val="none" w:sz="0" w:space="0" w:color="auto"/>
                <w:right w:val="none" w:sz="0" w:space="0" w:color="auto"/>
              </w:divBdr>
            </w:div>
          </w:divsChild>
        </w:div>
        <w:div w:id="951984395">
          <w:marLeft w:val="0"/>
          <w:marRight w:val="0"/>
          <w:marTop w:val="0"/>
          <w:marBottom w:val="0"/>
          <w:divBdr>
            <w:top w:val="none" w:sz="0" w:space="0" w:color="auto"/>
            <w:left w:val="none" w:sz="0" w:space="0" w:color="auto"/>
            <w:bottom w:val="none" w:sz="0" w:space="0" w:color="auto"/>
            <w:right w:val="none" w:sz="0" w:space="0" w:color="auto"/>
          </w:divBdr>
          <w:divsChild>
            <w:div w:id="246809114">
              <w:marLeft w:val="0"/>
              <w:marRight w:val="0"/>
              <w:marTop w:val="0"/>
              <w:marBottom w:val="0"/>
              <w:divBdr>
                <w:top w:val="none" w:sz="0" w:space="0" w:color="auto"/>
                <w:left w:val="none" w:sz="0" w:space="0" w:color="auto"/>
                <w:bottom w:val="none" w:sz="0" w:space="0" w:color="auto"/>
                <w:right w:val="none" w:sz="0" w:space="0" w:color="auto"/>
              </w:divBdr>
            </w:div>
          </w:divsChild>
        </w:div>
        <w:div w:id="956714527">
          <w:marLeft w:val="0"/>
          <w:marRight w:val="0"/>
          <w:marTop w:val="0"/>
          <w:marBottom w:val="0"/>
          <w:divBdr>
            <w:top w:val="none" w:sz="0" w:space="0" w:color="auto"/>
            <w:left w:val="none" w:sz="0" w:space="0" w:color="auto"/>
            <w:bottom w:val="none" w:sz="0" w:space="0" w:color="auto"/>
            <w:right w:val="none" w:sz="0" w:space="0" w:color="auto"/>
          </w:divBdr>
          <w:divsChild>
            <w:div w:id="87193716">
              <w:marLeft w:val="0"/>
              <w:marRight w:val="0"/>
              <w:marTop w:val="0"/>
              <w:marBottom w:val="0"/>
              <w:divBdr>
                <w:top w:val="none" w:sz="0" w:space="0" w:color="auto"/>
                <w:left w:val="none" w:sz="0" w:space="0" w:color="auto"/>
                <w:bottom w:val="none" w:sz="0" w:space="0" w:color="auto"/>
                <w:right w:val="none" w:sz="0" w:space="0" w:color="auto"/>
              </w:divBdr>
            </w:div>
          </w:divsChild>
        </w:div>
        <w:div w:id="962418175">
          <w:marLeft w:val="0"/>
          <w:marRight w:val="0"/>
          <w:marTop w:val="0"/>
          <w:marBottom w:val="0"/>
          <w:divBdr>
            <w:top w:val="none" w:sz="0" w:space="0" w:color="auto"/>
            <w:left w:val="none" w:sz="0" w:space="0" w:color="auto"/>
            <w:bottom w:val="none" w:sz="0" w:space="0" w:color="auto"/>
            <w:right w:val="none" w:sz="0" w:space="0" w:color="auto"/>
          </w:divBdr>
          <w:divsChild>
            <w:div w:id="321390661">
              <w:marLeft w:val="0"/>
              <w:marRight w:val="0"/>
              <w:marTop w:val="0"/>
              <w:marBottom w:val="0"/>
              <w:divBdr>
                <w:top w:val="none" w:sz="0" w:space="0" w:color="auto"/>
                <w:left w:val="none" w:sz="0" w:space="0" w:color="auto"/>
                <w:bottom w:val="none" w:sz="0" w:space="0" w:color="auto"/>
                <w:right w:val="none" w:sz="0" w:space="0" w:color="auto"/>
              </w:divBdr>
            </w:div>
          </w:divsChild>
        </w:div>
        <w:div w:id="969631214">
          <w:marLeft w:val="0"/>
          <w:marRight w:val="0"/>
          <w:marTop w:val="0"/>
          <w:marBottom w:val="0"/>
          <w:divBdr>
            <w:top w:val="none" w:sz="0" w:space="0" w:color="auto"/>
            <w:left w:val="none" w:sz="0" w:space="0" w:color="auto"/>
            <w:bottom w:val="none" w:sz="0" w:space="0" w:color="auto"/>
            <w:right w:val="none" w:sz="0" w:space="0" w:color="auto"/>
          </w:divBdr>
          <w:divsChild>
            <w:div w:id="645160324">
              <w:marLeft w:val="0"/>
              <w:marRight w:val="0"/>
              <w:marTop w:val="0"/>
              <w:marBottom w:val="0"/>
              <w:divBdr>
                <w:top w:val="none" w:sz="0" w:space="0" w:color="auto"/>
                <w:left w:val="none" w:sz="0" w:space="0" w:color="auto"/>
                <w:bottom w:val="none" w:sz="0" w:space="0" w:color="auto"/>
                <w:right w:val="none" w:sz="0" w:space="0" w:color="auto"/>
              </w:divBdr>
            </w:div>
          </w:divsChild>
        </w:div>
        <w:div w:id="989285019">
          <w:marLeft w:val="0"/>
          <w:marRight w:val="0"/>
          <w:marTop w:val="0"/>
          <w:marBottom w:val="0"/>
          <w:divBdr>
            <w:top w:val="none" w:sz="0" w:space="0" w:color="auto"/>
            <w:left w:val="none" w:sz="0" w:space="0" w:color="auto"/>
            <w:bottom w:val="none" w:sz="0" w:space="0" w:color="auto"/>
            <w:right w:val="none" w:sz="0" w:space="0" w:color="auto"/>
          </w:divBdr>
          <w:divsChild>
            <w:div w:id="867452361">
              <w:marLeft w:val="0"/>
              <w:marRight w:val="0"/>
              <w:marTop w:val="0"/>
              <w:marBottom w:val="0"/>
              <w:divBdr>
                <w:top w:val="none" w:sz="0" w:space="0" w:color="auto"/>
                <w:left w:val="none" w:sz="0" w:space="0" w:color="auto"/>
                <w:bottom w:val="none" w:sz="0" w:space="0" w:color="auto"/>
                <w:right w:val="none" w:sz="0" w:space="0" w:color="auto"/>
              </w:divBdr>
            </w:div>
          </w:divsChild>
        </w:div>
        <w:div w:id="996610867">
          <w:marLeft w:val="0"/>
          <w:marRight w:val="0"/>
          <w:marTop w:val="0"/>
          <w:marBottom w:val="0"/>
          <w:divBdr>
            <w:top w:val="none" w:sz="0" w:space="0" w:color="auto"/>
            <w:left w:val="none" w:sz="0" w:space="0" w:color="auto"/>
            <w:bottom w:val="none" w:sz="0" w:space="0" w:color="auto"/>
            <w:right w:val="none" w:sz="0" w:space="0" w:color="auto"/>
          </w:divBdr>
          <w:divsChild>
            <w:div w:id="1999916826">
              <w:marLeft w:val="0"/>
              <w:marRight w:val="0"/>
              <w:marTop w:val="0"/>
              <w:marBottom w:val="0"/>
              <w:divBdr>
                <w:top w:val="none" w:sz="0" w:space="0" w:color="auto"/>
                <w:left w:val="none" w:sz="0" w:space="0" w:color="auto"/>
                <w:bottom w:val="none" w:sz="0" w:space="0" w:color="auto"/>
                <w:right w:val="none" w:sz="0" w:space="0" w:color="auto"/>
              </w:divBdr>
            </w:div>
          </w:divsChild>
        </w:div>
        <w:div w:id="1003435239">
          <w:marLeft w:val="0"/>
          <w:marRight w:val="0"/>
          <w:marTop w:val="0"/>
          <w:marBottom w:val="0"/>
          <w:divBdr>
            <w:top w:val="none" w:sz="0" w:space="0" w:color="auto"/>
            <w:left w:val="none" w:sz="0" w:space="0" w:color="auto"/>
            <w:bottom w:val="none" w:sz="0" w:space="0" w:color="auto"/>
            <w:right w:val="none" w:sz="0" w:space="0" w:color="auto"/>
          </w:divBdr>
          <w:divsChild>
            <w:div w:id="1857232359">
              <w:marLeft w:val="0"/>
              <w:marRight w:val="0"/>
              <w:marTop w:val="0"/>
              <w:marBottom w:val="0"/>
              <w:divBdr>
                <w:top w:val="none" w:sz="0" w:space="0" w:color="auto"/>
                <w:left w:val="none" w:sz="0" w:space="0" w:color="auto"/>
                <w:bottom w:val="none" w:sz="0" w:space="0" w:color="auto"/>
                <w:right w:val="none" w:sz="0" w:space="0" w:color="auto"/>
              </w:divBdr>
            </w:div>
          </w:divsChild>
        </w:div>
        <w:div w:id="1006325472">
          <w:marLeft w:val="0"/>
          <w:marRight w:val="0"/>
          <w:marTop w:val="0"/>
          <w:marBottom w:val="0"/>
          <w:divBdr>
            <w:top w:val="none" w:sz="0" w:space="0" w:color="auto"/>
            <w:left w:val="none" w:sz="0" w:space="0" w:color="auto"/>
            <w:bottom w:val="none" w:sz="0" w:space="0" w:color="auto"/>
            <w:right w:val="none" w:sz="0" w:space="0" w:color="auto"/>
          </w:divBdr>
          <w:divsChild>
            <w:div w:id="2074545258">
              <w:marLeft w:val="0"/>
              <w:marRight w:val="0"/>
              <w:marTop w:val="0"/>
              <w:marBottom w:val="0"/>
              <w:divBdr>
                <w:top w:val="none" w:sz="0" w:space="0" w:color="auto"/>
                <w:left w:val="none" w:sz="0" w:space="0" w:color="auto"/>
                <w:bottom w:val="none" w:sz="0" w:space="0" w:color="auto"/>
                <w:right w:val="none" w:sz="0" w:space="0" w:color="auto"/>
              </w:divBdr>
            </w:div>
          </w:divsChild>
        </w:div>
        <w:div w:id="1007173670">
          <w:marLeft w:val="0"/>
          <w:marRight w:val="0"/>
          <w:marTop w:val="0"/>
          <w:marBottom w:val="0"/>
          <w:divBdr>
            <w:top w:val="none" w:sz="0" w:space="0" w:color="auto"/>
            <w:left w:val="none" w:sz="0" w:space="0" w:color="auto"/>
            <w:bottom w:val="none" w:sz="0" w:space="0" w:color="auto"/>
            <w:right w:val="none" w:sz="0" w:space="0" w:color="auto"/>
          </w:divBdr>
          <w:divsChild>
            <w:div w:id="757211847">
              <w:marLeft w:val="0"/>
              <w:marRight w:val="0"/>
              <w:marTop w:val="0"/>
              <w:marBottom w:val="0"/>
              <w:divBdr>
                <w:top w:val="none" w:sz="0" w:space="0" w:color="auto"/>
                <w:left w:val="none" w:sz="0" w:space="0" w:color="auto"/>
                <w:bottom w:val="none" w:sz="0" w:space="0" w:color="auto"/>
                <w:right w:val="none" w:sz="0" w:space="0" w:color="auto"/>
              </w:divBdr>
            </w:div>
          </w:divsChild>
        </w:div>
        <w:div w:id="1007827950">
          <w:marLeft w:val="0"/>
          <w:marRight w:val="0"/>
          <w:marTop w:val="0"/>
          <w:marBottom w:val="0"/>
          <w:divBdr>
            <w:top w:val="none" w:sz="0" w:space="0" w:color="auto"/>
            <w:left w:val="none" w:sz="0" w:space="0" w:color="auto"/>
            <w:bottom w:val="none" w:sz="0" w:space="0" w:color="auto"/>
            <w:right w:val="none" w:sz="0" w:space="0" w:color="auto"/>
          </w:divBdr>
          <w:divsChild>
            <w:div w:id="1497113661">
              <w:marLeft w:val="0"/>
              <w:marRight w:val="0"/>
              <w:marTop w:val="0"/>
              <w:marBottom w:val="0"/>
              <w:divBdr>
                <w:top w:val="none" w:sz="0" w:space="0" w:color="auto"/>
                <w:left w:val="none" w:sz="0" w:space="0" w:color="auto"/>
                <w:bottom w:val="none" w:sz="0" w:space="0" w:color="auto"/>
                <w:right w:val="none" w:sz="0" w:space="0" w:color="auto"/>
              </w:divBdr>
            </w:div>
          </w:divsChild>
        </w:div>
        <w:div w:id="1009254540">
          <w:marLeft w:val="0"/>
          <w:marRight w:val="0"/>
          <w:marTop w:val="0"/>
          <w:marBottom w:val="0"/>
          <w:divBdr>
            <w:top w:val="none" w:sz="0" w:space="0" w:color="auto"/>
            <w:left w:val="none" w:sz="0" w:space="0" w:color="auto"/>
            <w:bottom w:val="none" w:sz="0" w:space="0" w:color="auto"/>
            <w:right w:val="none" w:sz="0" w:space="0" w:color="auto"/>
          </w:divBdr>
          <w:divsChild>
            <w:div w:id="1244220459">
              <w:marLeft w:val="0"/>
              <w:marRight w:val="0"/>
              <w:marTop w:val="0"/>
              <w:marBottom w:val="0"/>
              <w:divBdr>
                <w:top w:val="none" w:sz="0" w:space="0" w:color="auto"/>
                <w:left w:val="none" w:sz="0" w:space="0" w:color="auto"/>
                <w:bottom w:val="none" w:sz="0" w:space="0" w:color="auto"/>
                <w:right w:val="none" w:sz="0" w:space="0" w:color="auto"/>
              </w:divBdr>
            </w:div>
          </w:divsChild>
        </w:div>
        <w:div w:id="1012104247">
          <w:marLeft w:val="0"/>
          <w:marRight w:val="0"/>
          <w:marTop w:val="0"/>
          <w:marBottom w:val="0"/>
          <w:divBdr>
            <w:top w:val="none" w:sz="0" w:space="0" w:color="auto"/>
            <w:left w:val="none" w:sz="0" w:space="0" w:color="auto"/>
            <w:bottom w:val="none" w:sz="0" w:space="0" w:color="auto"/>
            <w:right w:val="none" w:sz="0" w:space="0" w:color="auto"/>
          </w:divBdr>
          <w:divsChild>
            <w:div w:id="118232584">
              <w:marLeft w:val="0"/>
              <w:marRight w:val="0"/>
              <w:marTop w:val="0"/>
              <w:marBottom w:val="0"/>
              <w:divBdr>
                <w:top w:val="none" w:sz="0" w:space="0" w:color="auto"/>
                <w:left w:val="none" w:sz="0" w:space="0" w:color="auto"/>
                <w:bottom w:val="none" w:sz="0" w:space="0" w:color="auto"/>
                <w:right w:val="none" w:sz="0" w:space="0" w:color="auto"/>
              </w:divBdr>
            </w:div>
          </w:divsChild>
        </w:div>
        <w:div w:id="1012757166">
          <w:marLeft w:val="0"/>
          <w:marRight w:val="0"/>
          <w:marTop w:val="0"/>
          <w:marBottom w:val="0"/>
          <w:divBdr>
            <w:top w:val="none" w:sz="0" w:space="0" w:color="auto"/>
            <w:left w:val="none" w:sz="0" w:space="0" w:color="auto"/>
            <w:bottom w:val="none" w:sz="0" w:space="0" w:color="auto"/>
            <w:right w:val="none" w:sz="0" w:space="0" w:color="auto"/>
          </w:divBdr>
          <w:divsChild>
            <w:div w:id="2145078512">
              <w:marLeft w:val="0"/>
              <w:marRight w:val="0"/>
              <w:marTop w:val="0"/>
              <w:marBottom w:val="0"/>
              <w:divBdr>
                <w:top w:val="none" w:sz="0" w:space="0" w:color="auto"/>
                <w:left w:val="none" w:sz="0" w:space="0" w:color="auto"/>
                <w:bottom w:val="none" w:sz="0" w:space="0" w:color="auto"/>
                <w:right w:val="none" w:sz="0" w:space="0" w:color="auto"/>
              </w:divBdr>
            </w:div>
          </w:divsChild>
        </w:div>
        <w:div w:id="1023243405">
          <w:marLeft w:val="0"/>
          <w:marRight w:val="0"/>
          <w:marTop w:val="0"/>
          <w:marBottom w:val="0"/>
          <w:divBdr>
            <w:top w:val="none" w:sz="0" w:space="0" w:color="auto"/>
            <w:left w:val="none" w:sz="0" w:space="0" w:color="auto"/>
            <w:bottom w:val="none" w:sz="0" w:space="0" w:color="auto"/>
            <w:right w:val="none" w:sz="0" w:space="0" w:color="auto"/>
          </w:divBdr>
          <w:divsChild>
            <w:div w:id="1775514556">
              <w:marLeft w:val="0"/>
              <w:marRight w:val="0"/>
              <w:marTop w:val="0"/>
              <w:marBottom w:val="0"/>
              <w:divBdr>
                <w:top w:val="none" w:sz="0" w:space="0" w:color="auto"/>
                <w:left w:val="none" w:sz="0" w:space="0" w:color="auto"/>
                <w:bottom w:val="none" w:sz="0" w:space="0" w:color="auto"/>
                <w:right w:val="none" w:sz="0" w:space="0" w:color="auto"/>
              </w:divBdr>
            </w:div>
          </w:divsChild>
        </w:div>
        <w:div w:id="1025984301">
          <w:marLeft w:val="0"/>
          <w:marRight w:val="0"/>
          <w:marTop w:val="0"/>
          <w:marBottom w:val="0"/>
          <w:divBdr>
            <w:top w:val="none" w:sz="0" w:space="0" w:color="auto"/>
            <w:left w:val="none" w:sz="0" w:space="0" w:color="auto"/>
            <w:bottom w:val="none" w:sz="0" w:space="0" w:color="auto"/>
            <w:right w:val="none" w:sz="0" w:space="0" w:color="auto"/>
          </w:divBdr>
          <w:divsChild>
            <w:div w:id="1175731713">
              <w:marLeft w:val="0"/>
              <w:marRight w:val="0"/>
              <w:marTop w:val="0"/>
              <w:marBottom w:val="0"/>
              <w:divBdr>
                <w:top w:val="none" w:sz="0" w:space="0" w:color="auto"/>
                <w:left w:val="none" w:sz="0" w:space="0" w:color="auto"/>
                <w:bottom w:val="none" w:sz="0" w:space="0" w:color="auto"/>
                <w:right w:val="none" w:sz="0" w:space="0" w:color="auto"/>
              </w:divBdr>
            </w:div>
          </w:divsChild>
        </w:div>
        <w:div w:id="1035275920">
          <w:marLeft w:val="0"/>
          <w:marRight w:val="0"/>
          <w:marTop w:val="0"/>
          <w:marBottom w:val="0"/>
          <w:divBdr>
            <w:top w:val="none" w:sz="0" w:space="0" w:color="auto"/>
            <w:left w:val="none" w:sz="0" w:space="0" w:color="auto"/>
            <w:bottom w:val="none" w:sz="0" w:space="0" w:color="auto"/>
            <w:right w:val="none" w:sz="0" w:space="0" w:color="auto"/>
          </w:divBdr>
          <w:divsChild>
            <w:div w:id="171993601">
              <w:marLeft w:val="0"/>
              <w:marRight w:val="0"/>
              <w:marTop w:val="0"/>
              <w:marBottom w:val="0"/>
              <w:divBdr>
                <w:top w:val="none" w:sz="0" w:space="0" w:color="auto"/>
                <w:left w:val="none" w:sz="0" w:space="0" w:color="auto"/>
                <w:bottom w:val="none" w:sz="0" w:space="0" w:color="auto"/>
                <w:right w:val="none" w:sz="0" w:space="0" w:color="auto"/>
              </w:divBdr>
            </w:div>
          </w:divsChild>
        </w:div>
        <w:div w:id="1050155730">
          <w:marLeft w:val="0"/>
          <w:marRight w:val="0"/>
          <w:marTop w:val="0"/>
          <w:marBottom w:val="0"/>
          <w:divBdr>
            <w:top w:val="none" w:sz="0" w:space="0" w:color="auto"/>
            <w:left w:val="none" w:sz="0" w:space="0" w:color="auto"/>
            <w:bottom w:val="none" w:sz="0" w:space="0" w:color="auto"/>
            <w:right w:val="none" w:sz="0" w:space="0" w:color="auto"/>
          </w:divBdr>
          <w:divsChild>
            <w:div w:id="1044596379">
              <w:marLeft w:val="0"/>
              <w:marRight w:val="0"/>
              <w:marTop w:val="0"/>
              <w:marBottom w:val="0"/>
              <w:divBdr>
                <w:top w:val="none" w:sz="0" w:space="0" w:color="auto"/>
                <w:left w:val="none" w:sz="0" w:space="0" w:color="auto"/>
                <w:bottom w:val="none" w:sz="0" w:space="0" w:color="auto"/>
                <w:right w:val="none" w:sz="0" w:space="0" w:color="auto"/>
              </w:divBdr>
            </w:div>
          </w:divsChild>
        </w:div>
        <w:div w:id="1056322826">
          <w:marLeft w:val="0"/>
          <w:marRight w:val="0"/>
          <w:marTop w:val="0"/>
          <w:marBottom w:val="0"/>
          <w:divBdr>
            <w:top w:val="none" w:sz="0" w:space="0" w:color="auto"/>
            <w:left w:val="none" w:sz="0" w:space="0" w:color="auto"/>
            <w:bottom w:val="none" w:sz="0" w:space="0" w:color="auto"/>
            <w:right w:val="none" w:sz="0" w:space="0" w:color="auto"/>
          </w:divBdr>
          <w:divsChild>
            <w:div w:id="1564245746">
              <w:marLeft w:val="0"/>
              <w:marRight w:val="0"/>
              <w:marTop w:val="0"/>
              <w:marBottom w:val="0"/>
              <w:divBdr>
                <w:top w:val="none" w:sz="0" w:space="0" w:color="auto"/>
                <w:left w:val="none" w:sz="0" w:space="0" w:color="auto"/>
                <w:bottom w:val="none" w:sz="0" w:space="0" w:color="auto"/>
                <w:right w:val="none" w:sz="0" w:space="0" w:color="auto"/>
              </w:divBdr>
            </w:div>
          </w:divsChild>
        </w:div>
        <w:div w:id="1079405681">
          <w:marLeft w:val="0"/>
          <w:marRight w:val="0"/>
          <w:marTop w:val="0"/>
          <w:marBottom w:val="0"/>
          <w:divBdr>
            <w:top w:val="none" w:sz="0" w:space="0" w:color="auto"/>
            <w:left w:val="none" w:sz="0" w:space="0" w:color="auto"/>
            <w:bottom w:val="none" w:sz="0" w:space="0" w:color="auto"/>
            <w:right w:val="none" w:sz="0" w:space="0" w:color="auto"/>
          </w:divBdr>
          <w:divsChild>
            <w:div w:id="1670518480">
              <w:marLeft w:val="0"/>
              <w:marRight w:val="0"/>
              <w:marTop w:val="0"/>
              <w:marBottom w:val="0"/>
              <w:divBdr>
                <w:top w:val="none" w:sz="0" w:space="0" w:color="auto"/>
                <w:left w:val="none" w:sz="0" w:space="0" w:color="auto"/>
                <w:bottom w:val="none" w:sz="0" w:space="0" w:color="auto"/>
                <w:right w:val="none" w:sz="0" w:space="0" w:color="auto"/>
              </w:divBdr>
            </w:div>
          </w:divsChild>
        </w:div>
        <w:div w:id="1094742228">
          <w:marLeft w:val="0"/>
          <w:marRight w:val="0"/>
          <w:marTop w:val="0"/>
          <w:marBottom w:val="0"/>
          <w:divBdr>
            <w:top w:val="none" w:sz="0" w:space="0" w:color="auto"/>
            <w:left w:val="none" w:sz="0" w:space="0" w:color="auto"/>
            <w:bottom w:val="none" w:sz="0" w:space="0" w:color="auto"/>
            <w:right w:val="none" w:sz="0" w:space="0" w:color="auto"/>
          </w:divBdr>
          <w:divsChild>
            <w:div w:id="757989811">
              <w:marLeft w:val="0"/>
              <w:marRight w:val="0"/>
              <w:marTop w:val="0"/>
              <w:marBottom w:val="0"/>
              <w:divBdr>
                <w:top w:val="none" w:sz="0" w:space="0" w:color="auto"/>
                <w:left w:val="none" w:sz="0" w:space="0" w:color="auto"/>
                <w:bottom w:val="none" w:sz="0" w:space="0" w:color="auto"/>
                <w:right w:val="none" w:sz="0" w:space="0" w:color="auto"/>
              </w:divBdr>
            </w:div>
          </w:divsChild>
        </w:div>
        <w:div w:id="1116830452">
          <w:marLeft w:val="0"/>
          <w:marRight w:val="0"/>
          <w:marTop w:val="0"/>
          <w:marBottom w:val="0"/>
          <w:divBdr>
            <w:top w:val="none" w:sz="0" w:space="0" w:color="auto"/>
            <w:left w:val="none" w:sz="0" w:space="0" w:color="auto"/>
            <w:bottom w:val="none" w:sz="0" w:space="0" w:color="auto"/>
            <w:right w:val="none" w:sz="0" w:space="0" w:color="auto"/>
          </w:divBdr>
          <w:divsChild>
            <w:div w:id="526143385">
              <w:marLeft w:val="0"/>
              <w:marRight w:val="0"/>
              <w:marTop w:val="0"/>
              <w:marBottom w:val="0"/>
              <w:divBdr>
                <w:top w:val="none" w:sz="0" w:space="0" w:color="auto"/>
                <w:left w:val="none" w:sz="0" w:space="0" w:color="auto"/>
                <w:bottom w:val="none" w:sz="0" w:space="0" w:color="auto"/>
                <w:right w:val="none" w:sz="0" w:space="0" w:color="auto"/>
              </w:divBdr>
            </w:div>
          </w:divsChild>
        </w:div>
        <w:div w:id="1125465814">
          <w:marLeft w:val="0"/>
          <w:marRight w:val="0"/>
          <w:marTop w:val="0"/>
          <w:marBottom w:val="0"/>
          <w:divBdr>
            <w:top w:val="none" w:sz="0" w:space="0" w:color="auto"/>
            <w:left w:val="none" w:sz="0" w:space="0" w:color="auto"/>
            <w:bottom w:val="none" w:sz="0" w:space="0" w:color="auto"/>
            <w:right w:val="none" w:sz="0" w:space="0" w:color="auto"/>
          </w:divBdr>
          <w:divsChild>
            <w:div w:id="1560901762">
              <w:marLeft w:val="0"/>
              <w:marRight w:val="0"/>
              <w:marTop w:val="0"/>
              <w:marBottom w:val="0"/>
              <w:divBdr>
                <w:top w:val="none" w:sz="0" w:space="0" w:color="auto"/>
                <w:left w:val="none" w:sz="0" w:space="0" w:color="auto"/>
                <w:bottom w:val="none" w:sz="0" w:space="0" w:color="auto"/>
                <w:right w:val="none" w:sz="0" w:space="0" w:color="auto"/>
              </w:divBdr>
            </w:div>
          </w:divsChild>
        </w:div>
        <w:div w:id="1140686243">
          <w:marLeft w:val="0"/>
          <w:marRight w:val="0"/>
          <w:marTop w:val="0"/>
          <w:marBottom w:val="0"/>
          <w:divBdr>
            <w:top w:val="none" w:sz="0" w:space="0" w:color="auto"/>
            <w:left w:val="none" w:sz="0" w:space="0" w:color="auto"/>
            <w:bottom w:val="none" w:sz="0" w:space="0" w:color="auto"/>
            <w:right w:val="none" w:sz="0" w:space="0" w:color="auto"/>
          </w:divBdr>
          <w:divsChild>
            <w:div w:id="735399026">
              <w:marLeft w:val="0"/>
              <w:marRight w:val="0"/>
              <w:marTop w:val="0"/>
              <w:marBottom w:val="0"/>
              <w:divBdr>
                <w:top w:val="none" w:sz="0" w:space="0" w:color="auto"/>
                <w:left w:val="none" w:sz="0" w:space="0" w:color="auto"/>
                <w:bottom w:val="none" w:sz="0" w:space="0" w:color="auto"/>
                <w:right w:val="none" w:sz="0" w:space="0" w:color="auto"/>
              </w:divBdr>
            </w:div>
          </w:divsChild>
        </w:div>
        <w:div w:id="1145854462">
          <w:marLeft w:val="0"/>
          <w:marRight w:val="0"/>
          <w:marTop w:val="0"/>
          <w:marBottom w:val="0"/>
          <w:divBdr>
            <w:top w:val="none" w:sz="0" w:space="0" w:color="auto"/>
            <w:left w:val="none" w:sz="0" w:space="0" w:color="auto"/>
            <w:bottom w:val="none" w:sz="0" w:space="0" w:color="auto"/>
            <w:right w:val="none" w:sz="0" w:space="0" w:color="auto"/>
          </w:divBdr>
          <w:divsChild>
            <w:div w:id="726996368">
              <w:marLeft w:val="0"/>
              <w:marRight w:val="0"/>
              <w:marTop w:val="0"/>
              <w:marBottom w:val="0"/>
              <w:divBdr>
                <w:top w:val="none" w:sz="0" w:space="0" w:color="auto"/>
                <w:left w:val="none" w:sz="0" w:space="0" w:color="auto"/>
                <w:bottom w:val="none" w:sz="0" w:space="0" w:color="auto"/>
                <w:right w:val="none" w:sz="0" w:space="0" w:color="auto"/>
              </w:divBdr>
            </w:div>
          </w:divsChild>
        </w:div>
        <w:div w:id="1150175817">
          <w:marLeft w:val="0"/>
          <w:marRight w:val="0"/>
          <w:marTop w:val="0"/>
          <w:marBottom w:val="0"/>
          <w:divBdr>
            <w:top w:val="none" w:sz="0" w:space="0" w:color="auto"/>
            <w:left w:val="none" w:sz="0" w:space="0" w:color="auto"/>
            <w:bottom w:val="none" w:sz="0" w:space="0" w:color="auto"/>
            <w:right w:val="none" w:sz="0" w:space="0" w:color="auto"/>
          </w:divBdr>
          <w:divsChild>
            <w:div w:id="2066485044">
              <w:marLeft w:val="0"/>
              <w:marRight w:val="0"/>
              <w:marTop w:val="0"/>
              <w:marBottom w:val="0"/>
              <w:divBdr>
                <w:top w:val="none" w:sz="0" w:space="0" w:color="auto"/>
                <w:left w:val="none" w:sz="0" w:space="0" w:color="auto"/>
                <w:bottom w:val="none" w:sz="0" w:space="0" w:color="auto"/>
                <w:right w:val="none" w:sz="0" w:space="0" w:color="auto"/>
              </w:divBdr>
            </w:div>
          </w:divsChild>
        </w:div>
        <w:div w:id="1151556637">
          <w:marLeft w:val="0"/>
          <w:marRight w:val="0"/>
          <w:marTop w:val="0"/>
          <w:marBottom w:val="0"/>
          <w:divBdr>
            <w:top w:val="none" w:sz="0" w:space="0" w:color="auto"/>
            <w:left w:val="none" w:sz="0" w:space="0" w:color="auto"/>
            <w:bottom w:val="none" w:sz="0" w:space="0" w:color="auto"/>
            <w:right w:val="none" w:sz="0" w:space="0" w:color="auto"/>
          </w:divBdr>
          <w:divsChild>
            <w:div w:id="1577737454">
              <w:marLeft w:val="0"/>
              <w:marRight w:val="0"/>
              <w:marTop w:val="0"/>
              <w:marBottom w:val="0"/>
              <w:divBdr>
                <w:top w:val="none" w:sz="0" w:space="0" w:color="auto"/>
                <w:left w:val="none" w:sz="0" w:space="0" w:color="auto"/>
                <w:bottom w:val="none" w:sz="0" w:space="0" w:color="auto"/>
                <w:right w:val="none" w:sz="0" w:space="0" w:color="auto"/>
              </w:divBdr>
            </w:div>
          </w:divsChild>
        </w:div>
        <w:div w:id="1163860154">
          <w:marLeft w:val="0"/>
          <w:marRight w:val="0"/>
          <w:marTop w:val="0"/>
          <w:marBottom w:val="0"/>
          <w:divBdr>
            <w:top w:val="none" w:sz="0" w:space="0" w:color="auto"/>
            <w:left w:val="none" w:sz="0" w:space="0" w:color="auto"/>
            <w:bottom w:val="none" w:sz="0" w:space="0" w:color="auto"/>
            <w:right w:val="none" w:sz="0" w:space="0" w:color="auto"/>
          </w:divBdr>
          <w:divsChild>
            <w:div w:id="762528674">
              <w:marLeft w:val="0"/>
              <w:marRight w:val="0"/>
              <w:marTop w:val="0"/>
              <w:marBottom w:val="0"/>
              <w:divBdr>
                <w:top w:val="none" w:sz="0" w:space="0" w:color="auto"/>
                <w:left w:val="none" w:sz="0" w:space="0" w:color="auto"/>
                <w:bottom w:val="none" w:sz="0" w:space="0" w:color="auto"/>
                <w:right w:val="none" w:sz="0" w:space="0" w:color="auto"/>
              </w:divBdr>
            </w:div>
          </w:divsChild>
        </w:div>
        <w:div w:id="1170295033">
          <w:marLeft w:val="0"/>
          <w:marRight w:val="0"/>
          <w:marTop w:val="0"/>
          <w:marBottom w:val="0"/>
          <w:divBdr>
            <w:top w:val="none" w:sz="0" w:space="0" w:color="auto"/>
            <w:left w:val="none" w:sz="0" w:space="0" w:color="auto"/>
            <w:bottom w:val="none" w:sz="0" w:space="0" w:color="auto"/>
            <w:right w:val="none" w:sz="0" w:space="0" w:color="auto"/>
          </w:divBdr>
          <w:divsChild>
            <w:div w:id="1229850189">
              <w:marLeft w:val="0"/>
              <w:marRight w:val="0"/>
              <w:marTop w:val="0"/>
              <w:marBottom w:val="0"/>
              <w:divBdr>
                <w:top w:val="none" w:sz="0" w:space="0" w:color="auto"/>
                <w:left w:val="none" w:sz="0" w:space="0" w:color="auto"/>
                <w:bottom w:val="none" w:sz="0" w:space="0" w:color="auto"/>
                <w:right w:val="none" w:sz="0" w:space="0" w:color="auto"/>
              </w:divBdr>
            </w:div>
          </w:divsChild>
        </w:div>
        <w:div w:id="1176460137">
          <w:marLeft w:val="0"/>
          <w:marRight w:val="0"/>
          <w:marTop w:val="0"/>
          <w:marBottom w:val="0"/>
          <w:divBdr>
            <w:top w:val="none" w:sz="0" w:space="0" w:color="auto"/>
            <w:left w:val="none" w:sz="0" w:space="0" w:color="auto"/>
            <w:bottom w:val="none" w:sz="0" w:space="0" w:color="auto"/>
            <w:right w:val="none" w:sz="0" w:space="0" w:color="auto"/>
          </w:divBdr>
          <w:divsChild>
            <w:div w:id="1777749943">
              <w:marLeft w:val="0"/>
              <w:marRight w:val="0"/>
              <w:marTop w:val="0"/>
              <w:marBottom w:val="0"/>
              <w:divBdr>
                <w:top w:val="none" w:sz="0" w:space="0" w:color="auto"/>
                <w:left w:val="none" w:sz="0" w:space="0" w:color="auto"/>
                <w:bottom w:val="none" w:sz="0" w:space="0" w:color="auto"/>
                <w:right w:val="none" w:sz="0" w:space="0" w:color="auto"/>
              </w:divBdr>
            </w:div>
          </w:divsChild>
        </w:div>
        <w:div w:id="1185943281">
          <w:marLeft w:val="0"/>
          <w:marRight w:val="0"/>
          <w:marTop w:val="0"/>
          <w:marBottom w:val="0"/>
          <w:divBdr>
            <w:top w:val="none" w:sz="0" w:space="0" w:color="auto"/>
            <w:left w:val="none" w:sz="0" w:space="0" w:color="auto"/>
            <w:bottom w:val="none" w:sz="0" w:space="0" w:color="auto"/>
            <w:right w:val="none" w:sz="0" w:space="0" w:color="auto"/>
          </w:divBdr>
          <w:divsChild>
            <w:div w:id="1100488321">
              <w:marLeft w:val="0"/>
              <w:marRight w:val="0"/>
              <w:marTop w:val="0"/>
              <w:marBottom w:val="0"/>
              <w:divBdr>
                <w:top w:val="none" w:sz="0" w:space="0" w:color="auto"/>
                <w:left w:val="none" w:sz="0" w:space="0" w:color="auto"/>
                <w:bottom w:val="none" w:sz="0" w:space="0" w:color="auto"/>
                <w:right w:val="none" w:sz="0" w:space="0" w:color="auto"/>
              </w:divBdr>
            </w:div>
          </w:divsChild>
        </w:div>
        <w:div w:id="1188517782">
          <w:marLeft w:val="0"/>
          <w:marRight w:val="0"/>
          <w:marTop w:val="0"/>
          <w:marBottom w:val="0"/>
          <w:divBdr>
            <w:top w:val="none" w:sz="0" w:space="0" w:color="auto"/>
            <w:left w:val="none" w:sz="0" w:space="0" w:color="auto"/>
            <w:bottom w:val="none" w:sz="0" w:space="0" w:color="auto"/>
            <w:right w:val="none" w:sz="0" w:space="0" w:color="auto"/>
          </w:divBdr>
          <w:divsChild>
            <w:div w:id="426267669">
              <w:marLeft w:val="0"/>
              <w:marRight w:val="0"/>
              <w:marTop w:val="0"/>
              <w:marBottom w:val="0"/>
              <w:divBdr>
                <w:top w:val="none" w:sz="0" w:space="0" w:color="auto"/>
                <w:left w:val="none" w:sz="0" w:space="0" w:color="auto"/>
                <w:bottom w:val="none" w:sz="0" w:space="0" w:color="auto"/>
                <w:right w:val="none" w:sz="0" w:space="0" w:color="auto"/>
              </w:divBdr>
            </w:div>
          </w:divsChild>
        </w:div>
        <w:div w:id="1190332644">
          <w:marLeft w:val="0"/>
          <w:marRight w:val="0"/>
          <w:marTop w:val="0"/>
          <w:marBottom w:val="0"/>
          <w:divBdr>
            <w:top w:val="none" w:sz="0" w:space="0" w:color="auto"/>
            <w:left w:val="none" w:sz="0" w:space="0" w:color="auto"/>
            <w:bottom w:val="none" w:sz="0" w:space="0" w:color="auto"/>
            <w:right w:val="none" w:sz="0" w:space="0" w:color="auto"/>
          </w:divBdr>
          <w:divsChild>
            <w:div w:id="1607495539">
              <w:marLeft w:val="0"/>
              <w:marRight w:val="0"/>
              <w:marTop w:val="0"/>
              <w:marBottom w:val="0"/>
              <w:divBdr>
                <w:top w:val="none" w:sz="0" w:space="0" w:color="auto"/>
                <w:left w:val="none" w:sz="0" w:space="0" w:color="auto"/>
                <w:bottom w:val="none" w:sz="0" w:space="0" w:color="auto"/>
                <w:right w:val="none" w:sz="0" w:space="0" w:color="auto"/>
              </w:divBdr>
            </w:div>
          </w:divsChild>
        </w:div>
        <w:div w:id="1199591486">
          <w:marLeft w:val="0"/>
          <w:marRight w:val="0"/>
          <w:marTop w:val="0"/>
          <w:marBottom w:val="0"/>
          <w:divBdr>
            <w:top w:val="none" w:sz="0" w:space="0" w:color="auto"/>
            <w:left w:val="none" w:sz="0" w:space="0" w:color="auto"/>
            <w:bottom w:val="none" w:sz="0" w:space="0" w:color="auto"/>
            <w:right w:val="none" w:sz="0" w:space="0" w:color="auto"/>
          </w:divBdr>
          <w:divsChild>
            <w:div w:id="1416434084">
              <w:marLeft w:val="0"/>
              <w:marRight w:val="0"/>
              <w:marTop w:val="0"/>
              <w:marBottom w:val="0"/>
              <w:divBdr>
                <w:top w:val="none" w:sz="0" w:space="0" w:color="auto"/>
                <w:left w:val="none" w:sz="0" w:space="0" w:color="auto"/>
                <w:bottom w:val="none" w:sz="0" w:space="0" w:color="auto"/>
                <w:right w:val="none" w:sz="0" w:space="0" w:color="auto"/>
              </w:divBdr>
            </w:div>
          </w:divsChild>
        </w:div>
        <w:div w:id="1201744394">
          <w:marLeft w:val="0"/>
          <w:marRight w:val="0"/>
          <w:marTop w:val="0"/>
          <w:marBottom w:val="0"/>
          <w:divBdr>
            <w:top w:val="none" w:sz="0" w:space="0" w:color="auto"/>
            <w:left w:val="none" w:sz="0" w:space="0" w:color="auto"/>
            <w:bottom w:val="none" w:sz="0" w:space="0" w:color="auto"/>
            <w:right w:val="none" w:sz="0" w:space="0" w:color="auto"/>
          </w:divBdr>
          <w:divsChild>
            <w:div w:id="647781037">
              <w:marLeft w:val="0"/>
              <w:marRight w:val="0"/>
              <w:marTop w:val="0"/>
              <w:marBottom w:val="0"/>
              <w:divBdr>
                <w:top w:val="none" w:sz="0" w:space="0" w:color="auto"/>
                <w:left w:val="none" w:sz="0" w:space="0" w:color="auto"/>
                <w:bottom w:val="none" w:sz="0" w:space="0" w:color="auto"/>
                <w:right w:val="none" w:sz="0" w:space="0" w:color="auto"/>
              </w:divBdr>
            </w:div>
          </w:divsChild>
        </w:div>
        <w:div w:id="1202287680">
          <w:marLeft w:val="0"/>
          <w:marRight w:val="0"/>
          <w:marTop w:val="0"/>
          <w:marBottom w:val="0"/>
          <w:divBdr>
            <w:top w:val="none" w:sz="0" w:space="0" w:color="auto"/>
            <w:left w:val="none" w:sz="0" w:space="0" w:color="auto"/>
            <w:bottom w:val="none" w:sz="0" w:space="0" w:color="auto"/>
            <w:right w:val="none" w:sz="0" w:space="0" w:color="auto"/>
          </w:divBdr>
          <w:divsChild>
            <w:div w:id="1835878981">
              <w:marLeft w:val="0"/>
              <w:marRight w:val="0"/>
              <w:marTop w:val="0"/>
              <w:marBottom w:val="0"/>
              <w:divBdr>
                <w:top w:val="none" w:sz="0" w:space="0" w:color="auto"/>
                <w:left w:val="none" w:sz="0" w:space="0" w:color="auto"/>
                <w:bottom w:val="none" w:sz="0" w:space="0" w:color="auto"/>
                <w:right w:val="none" w:sz="0" w:space="0" w:color="auto"/>
              </w:divBdr>
            </w:div>
          </w:divsChild>
        </w:div>
        <w:div w:id="1227305802">
          <w:marLeft w:val="0"/>
          <w:marRight w:val="0"/>
          <w:marTop w:val="0"/>
          <w:marBottom w:val="0"/>
          <w:divBdr>
            <w:top w:val="none" w:sz="0" w:space="0" w:color="auto"/>
            <w:left w:val="none" w:sz="0" w:space="0" w:color="auto"/>
            <w:bottom w:val="none" w:sz="0" w:space="0" w:color="auto"/>
            <w:right w:val="none" w:sz="0" w:space="0" w:color="auto"/>
          </w:divBdr>
          <w:divsChild>
            <w:div w:id="302586026">
              <w:marLeft w:val="0"/>
              <w:marRight w:val="0"/>
              <w:marTop w:val="0"/>
              <w:marBottom w:val="0"/>
              <w:divBdr>
                <w:top w:val="none" w:sz="0" w:space="0" w:color="auto"/>
                <w:left w:val="none" w:sz="0" w:space="0" w:color="auto"/>
                <w:bottom w:val="none" w:sz="0" w:space="0" w:color="auto"/>
                <w:right w:val="none" w:sz="0" w:space="0" w:color="auto"/>
              </w:divBdr>
            </w:div>
          </w:divsChild>
        </w:div>
        <w:div w:id="1235510938">
          <w:marLeft w:val="0"/>
          <w:marRight w:val="0"/>
          <w:marTop w:val="0"/>
          <w:marBottom w:val="0"/>
          <w:divBdr>
            <w:top w:val="none" w:sz="0" w:space="0" w:color="auto"/>
            <w:left w:val="none" w:sz="0" w:space="0" w:color="auto"/>
            <w:bottom w:val="none" w:sz="0" w:space="0" w:color="auto"/>
            <w:right w:val="none" w:sz="0" w:space="0" w:color="auto"/>
          </w:divBdr>
          <w:divsChild>
            <w:div w:id="252935949">
              <w:marLeft w:val="0"/>
              <w:marRight w:val="0"/>
              <w:marTop w:val="0"/>
              <w:marBottom w:val="0"/>
              <w:divBdr>
                <w:top w:val="none" w:sz="0" w:space="0" w:color="auto"/>
                <w:left w:val="none" w:sz="0" w:space="0" w:color="auto"/>
                <w:bottom w:val="none" w:sz="0" w:space="0" w:color="auto"/>
                <w:right w:val="none" w:sz="0" w:space="0" w:color="auto"/>
              </w:divBdr>
            </w:div>
          </w:divsChild>
        </w:div>
        <w:div w:id="1249265452">
          <w:marLeft w:val="0"/>
          <w:marRight w:val="0"/>
          <w:marTop w:val="0"/>
          <w:marBottom w:val="0"/>
          <w:divBdr>
            <w:top w:val="none" w:sz="0" w:space="0" w:color="auto"/>
            <w:left w:val="none" w:sz="0" w:space="0" w:color="auto"/>
            <w:bottom w:val="none" w:sz="0" w:space="0" w:color="auto"/>
            <w:right w:val="none" w:sz="0" w:space="0" w:color="auto"/>
          </w:divBdr>
          <w:divsChild>
            <w:div w:id="1877934846">
              <w:marLeft w:val="0"/>
              <w:marRight w:val="0"/>
              <w:marTop w:val="0"/>
              <w:marBottom w:val="0"/>
              <w:divBdr>
                <w:top w:val="none" w:sz="0" w:space="0" w:color="auto"/>
                <w:left w:val="none" w:sz="0" w:space="0" w:color="auto"/>
                <w:bottom w:val="none" w:sz="0" w:space="0" w:color="auto"/>
                <w:right w:val="none" w:sz="0" w:space="0" w:color="auto"/>
              </w:divBdr>
            </w:div>
          </w:divsChild>
        </w:div>
        <w:div w:id="1250655089">
          <w:marLeft w:val="0"/>
          <w:marRight w:val="0"/>
          <w:marTop w:val="0"/>
          <w:marBottom w:val="0"/>
          <w:divBdr>
            <w:top w:val="none" w:sz="0" w:space="0" w:color="auto"/>
            <w:left w:val="none" w:sz="0" w:space="0" w:color="auto"/>
            <w:bottom w:val="none" w:sz="0" w:space="0" w:color="auto"/>
            <w:right w:val="none" w:sz="0" w:space="0" w:color="auto"/>
          </w:divBdr>
          <w:divsChild>
            <w:div w:id="1348824450">
              <w:marLeft w:val="0"/>
              <w:marRight w:val="0"/>
              <w:marTop w:val="0"/>
              <w:marBottom w:val="0"/>
              <w:divBdr>
                <w:top w:val="none" w:sz="0" w:space="0" w:color="auto"/>
                <w:left w:val="none" w:sz="0" w:space="0" w:color="auto"/>
                <w:bottom w:val="none" w:sz="0" w:space="0" w:color="auto"/>
                <w:right w:val="none" w:sz="0" w:space="0" w:color="auto"/>
              </w:divBdr>
            </w:div>
          </w:divsChild>
        </w:div>
        <w:div w:id="1253323150">
          <w:marLeft w:val="0"/>
          <w:marRight w:val="0"/>
          <w:marTop w:val="0"/>
          <w:marBottom w:val="0"/>
          <w:divBdr>
            <w:top w:val="none" w:sz="0" w:space="0" w:color="auto"/>
            <w:left w:val="none" w:sz="0" w:space="0" w:color="auto"/>
            <w:bottom w:val="none" w:sz="0" w:space="0" w:color="auto"/>
            <w:right w:val="none" w:sz="0" w:space="0" w:color="auto"/>
          </w:divBdr>
          <w:divsChild>
            <w:div w:id="1526013989">
              <w:marLeft w:val="0"/>
              <w:marRight w:val="0"/>
              <w:marTop w:val="0"/>
              <w:marBottom w:val="0"/>
              <w:divBdr>
                <w:top w:val="none" w:sz="0" w:space="0" w:color="auto"/>
                <w:left w:val="none" w:sz="0" w:space="0" w:color="auto"/>
                <w:bottom w:val="none" w:sz="0" w:space="0" w:color="auto"/>
                <w:right w:val="none" w:sz="0" w:space="0" w:color="auto"/>
              </w:divBdr>
            </w:div>
          </w:divsChild>
        </w:div>
        <w:div w:id="1263489651">
          <w:marLeft w:val="0"/>
          <w:marRight w:val="0"/>
          <w:marTop w:val="0"/>
          <w:marBottom w:val="0"/>
          <w:divBdr>
            <w:top w:val="none" w:sz="0" w:space="0" w:color="auto"/>
            <w:left w:val="none" w:sz="0" w:space="0" w:color="auto"/>
            <w:bottom w:val="none" w:sz="0" w:space="0" w:color="auto"/>
            <w:right w:val="none" w:sz="0" w:space="0" w:color="auto"/>
          </w:divBdr>
          <w:divsChild>
            <w:div w:id="1858151942">
              <w:marLeft w:val="0"/>
              <w:marRight w:val="0"/>
              <w:marTop w:val="0"/>
              <w:marBottom w:val="0"/>
              <w:divBdr>
                <w:top w:val="none" w:sz="0" w:space="0" w:color="auto"/>
                <w:left w:val="none" w:sz="0" w:space="0" w:color="auto"/>
                <w:bottom w:val="none" w:sz="0" w:space="0" w:color="auto"/>
                <w:right w:val="none" w:sz="0" w:space="0" w:color="auto"/>
              </w:divBdr>
            </w:div>
          </w:divsChild>
        </w:div>
        <w:div w:id="1264387612">
          <w:marLeft w:val="0"/>
          <w:marRight w:val="0"/>
          <w:marTop w:val="0"/>
          <w:marBottom w:val="0"/>
          <w:divBdr>
            <w:top w:val="none" w:sz="0" w:space="0" w:color="auto"/>
            <w:left w:val="none" w:sz="0" w:space="0" w:color="auto"/>
            <w:bottom w:val="none" w:sz="0" w:space="0" w:color="auto"/>
            <w:right w:val="none" w:sz="0" w:space="0" w:color="auto"/>
          </w:divBdr>
          <w:divsChild>
            <w:div w:id="970289655">
              <w:marLeft w:val="0"/>
              <w:marRight w:val="0"/>
              <w:marTop w:val="0"/>
              <w:marBottom w:val="0"/>
              <w:divBdr>
                <w:top w:val="none" w:sz="0" w:space="0" w:color="auto"/>
                <w:left w:val="none" w:sz="0" w:space="0" w:color="auto"/>
                <w:bottom w:val="none" w:sz="0" w:space="0" w:color="auto"/>
                <w:right w:val="none" w:sz="0" w:space="0" w:color="auto"/>
              </w:divBdr>
            </w:div>
          </w:divsChild>
        </w:div>
        <w:div w:id="1269393723">
          <w:marLeft w:val="0"/>
          <w:marRight w:val="0"/>
          <w:marTop w:val="0"/>
          <w:marBottom w:val="0"/>
          <w:divBdr>
            <w:top w:val="none" w:sz="0" w:space="0" w:color="auto"/>
            <w:left w:val="none" w:sz="0" w:space="0" w:color="auto"/>
            <w:bottom w:val="none" w:sz="0" w:space="0" w:color="auto"/>
            <w:right w:val="none" w:sz="0" w:space="0" w:color="auto"/>
          </w:divBdr>
          <w:divsChild>
            <w:div w:id="1219433499">
              <w:marLeft w:val="0"/>
              <w:marRight w:val="0"/>
              <w:marTop w:val="0"/>
              <w:marBottom w:val="0"/>
              <w:divBdr>
                <w:top w:val="none" w:sz="0" w:space="0" w:color="auto"/>
                <w:left w:val="none" w:sz="0" w:space="0" w:color="auto"/>
                <w:bottom w:val="none" w:sz="0" w:space="0" w:color="auto"/>
                <w:right w:val="none" w:sz="0" w:space="0" w:color="auto"/>
              </w:divBdr>
            </w:div>
          </w:divsChild>
        </w:div>
        <w:div w:id="1278949032">
          <w:marLeft w:val="0"/>
          <w:marRight w:val="0"/>
          <w:marTop w:val="0"/>
          <w:marBottom w:val="0"/>
          <w:divBdr>
            <w:top w:val="none" w:sz="0" w:space="0" w:color="auto"/>
            <w:left w:val="none" w:sz="0" w:space="0" w:color="auto"/>
            <w:bottom w:val="none" w:sz="0" w:space="0" w:color="auto"/>
            <w:right w:val="none" w:sz="0" w:space="0" w:color="auto"/>
          </w:divBdr>
          <w:divsChild>
            <w:div w:id="534199893">
              <w:marLeft w:val="0"/>
              <w:marRight w:val="0"/>
              <w:marTop w:val="0"/>
              <w:marBottom w:val="0"/>
              <w:divBdr>
                <w:top w:val="none" w:sz="0" w:space="0" w:color="auto"/>
                <w:left w:val="none" w:sz="0" w:space="0" w:color="auto"/>
                <w:bottom w:val="none" w:sz="0" w:space="0" w:color="auto"/>
                <w:right w:val="none" w:sz="0" w:space="0" w:color="auto"/>
              </w:divBdr>
            </w:div>
          </w:divsChild>
        </w:div>
        <w:div w:id="1283075258">
          <w:marLeft w:val="0"/>
          <w:marRight w:val="0"/>
          <w:marTop w:val="0"/>
          <w:marBottom w:val="0"/>
          <w:divBdr>
            <w:top w:val="none" w:sz="0" w:space="0" w:color="auto"/>
            <w:left w:val="none" w:sz="0" w:space="0" w:color="auto"/>
            <w:bottom w:val="none" w:sz="0" w:space="0" w:color="auto"/>
            <w:right w:val="none" w:sz="0" w:space="0" w:color="auto"/>
          </w:divBdr>
          <w:divsChild>
            <w:div w:id="2054767406">
              <w:marLeft w:val="0"/>
              <w:marRight w:val="0"/>
              <w:marTop w:val="0"/>
              <w:marBottom w:val="0"/>
              <w:divBdr>
                <w:top w:val="none" w:sz="0" w:space="0" w:color="auto"/>
                <w:left w:val="none" w:sz="0" w:space="0" w:color="auto"/>
                <w:bottom w:val="none" w:sz="0" w:space="0" w:color="auto"/>
                <w:right w:val="none" w:sz="0" w:space="0" w:color="auto"/>
              </w:divBdr>
            </w:div>
          </w:divsChild>
        </w:div>
        <w:div w:id="1283540903">
          <w:marLeft w:val="0"/>
          <w:marRight w:val="0"/>
          <w:marTop w:val="0"/>
          <w:marBottom w:val="0"/>
          <w:divBdr>
            <w:top w:val="none" w:sz="0" w:space="0" w:color="auto"/>
            <w:left w:val="none" w:sz="0" w:space="0" w:color="auto"/>
            <w:bottom w:val="none" w:sz="0" w:space="0" w:color="auto"/>
            <w:right w:val="none" w:sz="0" w:space="0" w:color="auto"/>
          </w:divBdr>
          <w:divsChild>
            <w:div w:id="118375351">
              <w:marLeft w:val="0"/>
              <w:marRight w:val="0"/>
              <w:marTop w:val="0"/>
              <w:marBottom w:val="0"/>
              <w:divBdr>
                <w:top w:val="none" w:sz="0" w:space="0" w:color="auto"/>
                <w:left w:val="none" w:sz="0" w:space="0" w:color="auto"/>
                <w:bottom w:val="none" w:sz="0" w:space="0" w:color="auto"/>
                <w:right w:val="none" w:sz="0" w:space="0" w:color="auto"/>
              </w:divBdr>
            </w:div>
          </w:divsChild>
        </w:div>
        <w:div w:id="1291087276">
          <w:marLeft w:val="0"/>
          <w:marRight w:val="0"/>
          <w:marTop w:val="0"/>
          <w:marBottom w:val="0"/>
          <w:divBdr>
            <w:top w:val="none" w:sz="0" w:space="0" w:color="auto"/>
            <w:left w:val="none" w:sz="0" w:space="0" w:color="auto"/>
            <w:bottom w:val="none" w:sz="0" w:space="0" w:color="auto"/>
            <w:right w:val="none" w:sz="0" w:space="0" w:color="auto"/>
          </w:divBdr>
          <w:divsChild>
            <w:div w:id="1656371292">
              <w:marLeft w:val="0"/>
              <w:marRight w:val="0"/>
              <w:marTop w:val="0"/>
              <w:marBottom w:val="0"/>
              <w:divBdr>
                <w:top w:val="none" w:sz="0" w:space="0" w:color="auto"/>
                <w:left w:val="none" w:sz="0" w:space="0" w:color="auto"/>
                <w:bottom w:val="none" w:sz="0" w:space="0" w:color="auto"/>
                <w:right w:val="none" w:sz="0" w:space="0" w:color="auto"/>
              </w:divBdr>
            </w:div>
          </w:divsChild>
        </w:div>
        <w:div w:id="1331522922">
          <w:marLeft w:val="0"/>
          <w:marRight w:val="0"/>
          <w:marTop w:val="0"/>
          <w:marBottom w:val="0"/>
          <w:divBdr>
            <w:top w:val="none" w:sz="0" w:space="0" w:color="auto"/>
            <w:left w:val="none" w:sz="0" w:space="0" w:color="auto"/>
            <w:bottom w:val="none" w:sz="0" w:space="0" w:color="auto"/>
            <w:right w:val="none" w:sz="0" w:space="0" w:color="auto"/>
          </w:divBdr>
          <w:divsChild>
            <w:div w:id="1200319437">
              <w:marLeft w:val="0"/>
              <w:marRight w:val="0"/>
              <w:marTop w:val="0"/>
              <w:marBottom w:val="0"/>
              <w:divBdr>
                <w:top w:val="none" w:sz="0" w:space="0" w:color="auto"/>
                <w:left w:val="none" w:sz="0" w:space="0" w:color="auto"/>
                <w:bottom w:val="none" w:sz="0" w:space="0" w:color="auto"/>
                <w:right w:val="none" w:sz="0" w:space="0" w:color="auto"/>
              </w:divBdr>
            </w:div>
          </w:divsChild>
        </w:div>
        <w:div w:id="1335376764">
          <w:marLeft w:val="0"/>
          <w:marRight w:val="0"/>
          <w:marTop w:val="0"/>
          <w:marBottom w:val="0"/>
          <w:divBdr>
            <w:top w:val="none" w:sz="0" w:space="0" w:color="auto"/>
            <w:left w:val="none" w:sz="0" w:space="0" w:color="auto"/>
            <w:bottom w:val="none" w:sz="0" w:space="0" w:color="auto"/>
            <w:right w:val="none" w:sz="0" w:space="0" w:color="auto"/>
          </w:divBdr>
          <w:divsChild>
            <w:div w:id="2112387549">
              <w:marLeft w:val="0"/>
              <w:marRight w:val="0"/>
              <w:marTop w:val="0"/>
              <w:marBottom w:val="0"/>
              <w:divBdr>
                <w:top w:val="none" w:sz="0" w:space="0" w:color="auto"/>
                <w:left w:val="none" w:sz="0" w:space="0" w:color="auto"/>
                <w:bottom w:val="none" w:sz="0" w:space="0" w:color="auto"/>
                <w:right w:val="none" w:sz="0" w:space="0" w:color="auto"/>
              </w:divBdr>
            </w:div>
          </w:divsChild>
        </w:div>
        <w:div w:id="1337223449">
          <w:marLeft w:val="0"/>
          <w:marRight w:val="0"/>
          <w:marTop w:val="0"/>
          <w:marBottom w:val="0"/>
          <w:divBdr>
            <w:top w:val="none" w:sz="0" w:space="0" w:color="auto"/>
            <w:left w:val="none" w:sz="0" w:space="0" w:color="auto"/>
            <w:bottom w:val="none" w:sz="0" w:space="0" w:color="auto"/>
            <w:right w:val="none" w:sz="0" w:space="0" w:color="auto"/>
          </w:divBdr>
          <w:divsChild>
            <w:div w:id="232202524">
              <w:marLeft w:val="0"/>
              <w:marRight w:val="0"/>
              <w:marTop w:val="0"/>
              <w:marBottom w:val="0"/>
              <w:divBdr>
                <w:top w:val="none" w:sz="0" w:space="0" w:color="auto"/>
                <w:left w:val="none" w:sz="0" w:space="0" w:color="auto"/>
                <w:bottom w:val="none" w:sz="0" w:space="0" w:color="auto"/>
                <w:right w:val="none" w:sz="0" w:space="0" w:color="auto"/>
              </w:divBdr>
            </w:div>
          </w:divsChild>
        </w:div>
        <w:div w:id="1343388672">
          <w:marLeft w:val="0"/>
          <w:marRight w:val="0"/>
          <w:marTop w:val="0"/>
          <w:marBottom w:val="0"/>
          <w:divBdr>
            <w:top w:val="none" w:sz="0" w:space="0" w:color="auto"/>
            <w:left w:val="none" w:sz="0" w:space="0" w:color="auto"/>
            <w:bottom w:val="none" w:sz="0" w:space="0" w:color="auto"/>
            <w:right w:val="none" w:sz="0" w:space="0" w:color="auto"/>
          </w:divBdr>
          <w:divsChild>
            <w:div w:id="1861431541">
              <w:marLeft w:val="0"/>
              <w:marRight w:val="0"/>
              <w:marTop w:val="0"/>
              <w:marBottom w:val="0"/>
              <w:divBdr>
                <w:top w:val="none" w:sz="0" w:space="0" w:color="auto"/>
                <w:left w:val="none" w:sz="0" w:space="0" w:color="auto"/>
                <w:bottom w:val="none" w:sz="0" w:space="0" w:color="auto"/>
                <w:right w:val="none" w:sz="0" w:space="0" w:color="auto"/>
              </w:divBdr>
            </w:div>
          </w:divsChild>
        </w:div>
        <w:div w:id="1345129182">
          <w:marLeft w:val="0"/>
          <w:marRight w:val="0"/>
          <w:marTop w:val="0"/>
          <w:marBottom w:val="0"/>
          <w:divBdr>
            <w:top w:val="none" w:sz="0" w:space="0" w:color="auto"/>
            <w:left w:val="none" w:sz="0" w:space="0" w:color="auto"/>
            <w:bottom w:val="none" w:sz="0" w:space="0" w:color="auto"/>
            <w:right w:val="none" w:sz="0" w:space="0" w:color="auto"/>
          </w:divBdr>
          <w:divsChild>
            <w:div w:id="204025147">
              <w:marLeft w:val="0"/>
              <w:marRight w:val="0"/>
              <w:marTop w:val="0"/>
              <w:marBottom w:val="0"/>
              <w:divBdr>
                <w:top w:val="none" w:sz="0" w:space="0" w:color="auto"/>
                <w:left w:val="none" w:sz="0" w:space="0" w:color="auto"/>
                <w:bottom w:val="none" w:sz="0" w:space="0" w:color="auto"/>
                <w:right w:val="none" w:sz="0" w:space="0" w:color="auto"/>
              </w:divBdr>
            </w:div>
          </w:divsChild>
        </w:div>
        <w:div w:id="1357541287">
          <w:marLeft w:val="0"/>
          <w:marRight w:val="0"/>
          <w:marTop w:val="0"/>
          <w:marBottom w:val="0"/>
          <w:divBdr>
            <w:top w:val="none" w:sz="0" w:space="0" w:color="auto"/>
            <w:left w:val="none" w:sz="0" w:space="0" w:color="auto"/>
            <w:bottom w:val="none" w:sz="0" w:space="0" w:color="auto"/>
            <w:right w:val="none" w:sz="0" w:space="0" w:color="auto"/>
          </w:divBdr>
          <w:divsChild>
            <w:div w:id="1977560313">
              <w:marLeft w:val="0"/>
              <w:marRight w:val="0"/>
              <w:marTop w:val="0"/>
              <w:marBottom w:val="0"/>
              <w:divBdr>
                <w:top w:val="none" w:sz="0" w:space="0" w:color="auto"/>
                <w:left w:val="none" w:sz="0" w:space="0" w:color="auto"/>
                <w:bottom w:val="none" w:sz="0" w:space="0" w:color="auto"/>
                <w:right w:val="none" w:sz="0" w:space="0" w:color="auto"/>
              </w:divBdr>
            </w:div>
          </w:divsChild>
        </w:div>
        <w:div w:id="1357779676">
          <w:marLeft w:val="0"/>
          <w:marRight w:val="0"/>
          <w:marTop w:val="0"/>
          <w:marBottom w:val="0"/>
          <w:divBdr>
            <w:top w:val="none" w:sz="0" w:space="0" w:color="auto"/>
            <w:left w:val="none" w:sz="0" w:space="0" w:color="auto"/>
            <w:bottom w:val="none" w:sz="0" w:space="0" w:color="auto"/>
            <w:right w:val="none" w:sz="0" w:space="0" w:color="auto"/>
          </w:divBdr>
          <w:divsChild>
            <w:div w:id="2062439135">
              <w:marLeft w:val="0"/>
              <w:marRight w:val="0"/>
              <w:marTop w:val="0"/>
              <w:marBottom w:val="0"/>
              <w:divBdr>
                <w:top w:val="none" w:sz="0" w:space="0" w:color="auto"/>
                <w:left w:val="none" w:sz="0" w:space="0" w:color="auto"/>
                <w:bottom w:val="none" w:sz="0" w:space="0" w:color="auto"/>
                <w:right w:val="none" w:sz="0" w:space="0" w:color="auto"/>
              </w:divBdr>
            </w:div>
          </w:divsChild>
        </w:div>
        <w:div w:id="1363898421">
          <w:marLeft w:val="0"/>
          <w:marRight w:val="0"/>
          <w:marTop w:val="0"/>
          <w:marBottom w:val="0"/>
          <w:divBdr>
            <w:top w:val="none" w:sz="0" w:space="0" w:color="auto"/>
            <w:left w:val="none" w:sz="0" w:space="0" w:color="auto"/>
            <w:bottom w:val="none" w:sz="0" w:space="0" w:color="auto"/>
            <w:right w:val="none" w:sz="0" w:space="0" w:color="auto"/>
          </w:divBdr>
          <w:divsChild>
            <w:div w:id="811794607">
              <w:marLeft w:val="0"/>
              <w:marRight w:val="0"/>
              <w:marTop w:val="0"/>
              <w:marBottom w:val="0"/>
              <w:divBdr>
                <w:top w:val="none" w:sz="0" w:space="0" w:color="auto"/>
                <w:left w:val="none" w:sz="0" w:space="0" w:color="auto"/>
                <w:bottom w:val="none" w:sz="0" w:space="0" w:color="auto"/>
                <w:right w:val="none" w:sz="0" w:space="0" w:color="auto"/>
              </w:divBdr>
            </w:div>
          </w:divsChild>
        </w:div>
        <w:div w:id="1368483729">
          <w:marLeft w:val="0"/>
          <w:marRight w:val="0"/>
          <w:marTop w:val="0"/>
          <w:marBottom w:val="0"/>
          <w:divBdr>
            <w:top w:val="none" w:sz="0" w:space="0" w:color="auto"/>
            <w:left w:val="none" w:sz="0" w:space="0" w:color="auto"/>
            <w:bottom w:val="none" w:sz="0" w:space="0" w:color="auto"/>
            <w:right w:val="none" w:sz="0" w:space="0" w:color="auto"/>
          </w:divBdr>
          <w:divsChild>
            <w:div w:id="628557516">
              <w:marLeft w:val="0"/>
              <w:marRight w:val="0"/>
              <w:marTop w:val="0"/>
              <w:marBottom w:val="0"/>
              <w:divBdr>
                <w:top w:val="none" w:sz="0" w:space="0" w:color="auto"/>
                <w:left w:val="none" w:sz="0" w:space="0" w:color="auto"/>
                <w:bottom w:val="none" w:sz="0" w:space="0" w:color="auto"/>
                <w:right w:val="none" w:sz="0" w:space="0" w:color="auto"/>
              </w:divBdr>
            </w:div>
          </w:divsChild>
        </w:div>
        <w:div w:id="1375809425">
          <w:marLeft w:val="0"/>
          <w:marRight w:val="0"/>
          <w:marTop w:val="0"/>
          <w:marBottom w:val="0"/>
          <w:divBdr>
            <w:top w:val="none" w:sz="0" w:space="0" w:color="auto"/>
            <w:left w:val="none" w:sz="0" w:space="0" w:color="auto"/>
            <w:bottom w:val="none" w:sz="0" w:space="0" w:color="auto"/>
            <w:right w:val="none" w:sz="0" w:space="0" w:color="auto"/>
          </w:divBdr>
          <w:divsChild>
            <w:div w:id="1224829524">
              <w:marLeft w:val="0"/>
              <w:marRight w:val="0"/>
              <w:marTop w:val="0"/>
              <w:marBottom w:val="0"/>
              <w:divBdr>
                <w:top w:val="none" w:sz="0" w:space="0" w:color="auto"/>
                <w:left w:val="none" w:sz="0" w:space="0" w:color="auto"/>
                <w:bottom w:val="none" w:sz="0" w:space="0" w:color="auto"/>
                <w:right w:val="none" w:sz="0" w:space="0" w:color="auto"/>
              </w:divBdr>
            </w:div>
          </w:divsChild>
        </w:div>
        <w:div w:id="1380082275">
          <w:marLeft w:val="0"/>
          <w:marRight w:val="0"/>
          <w:marTop w:val="0"/>
          <w:marBottom w:val="0"/>
          <w:divBdr>
            <w:top w:val="none" w:sz="0" w:space="0" w:color="auto"/>
            <w:left w:val="none" w:sz="0" w:space="0" w:color="auto"/>
            <w:bottom w:val="none" w:sz="0" w:space="0" w:color="auto"/>
            <w:right w:val="none" w:sz="0" w:space="0" w:color="auto"/>
          </w:divBdr>
          <w:divsChild>
            <w:div w:id="29503547">
              <w:marLeft w:val="0"/>
              <w:marRight w:val="0"/>
              <w:marTop w:val="0"/>
              <w:marBottom w:val="0"/>
              <w:divBdr>
                <w:top w:val="none" w:sz="0" w:space="0" w:color="auto"/>
                <w:left w:val="none" w:sz="0" w:space="0" w:color="auto"/>
                <w:bottom w:val="none" w:sz="0" w:space="0" w:color="auto"/>
                <w:right w:val="none" w:sz="0" w:space="0" w:color="auto"/>
              </w:divBdr>
            </w:div>
          </w:divsChild>
        </w:div>
        <w:div w:id="1386178122">
          <w:marLeft w:val="0"/>
          <w:marRight w:val="0"/>
          <w:marTop w:val="0"/>
          <w:marBottom w:val="0"/>
          <w:divBdr>
            <w:top w:val="none" w:sz="0" w:space="0" w:color="auto"/>
            <w:left w:val="none" w:sz="0" w:space="0" w:color="auto"/>
            <w:bottom w:val="none" w:sz="0" w:space="0" w:color="auto"/>
            <w:right w:val="none" w:sz="0" w:space="0" w:color="auto"/>
          </w:divBdr>
          <w:divsChild>
            <w:div w:id="98721651">
              <w:marLeft w:val="0"/>
              <w:marRight w:val="0"/>
              <w:marTop w:val="0"/>
              <w:marBottom w:val="0"/>
              <w:divBdr>
                <w:top w:val="none" w:sz="0" w:space="0" w:color="auto"/>
                <w:left w:val="none" w:sz="0" w:space="0" w:color="auto"/>
                <w:bottom w:val="none" w:sz="0" w:space="0" w:color="auto"/>
                <w:right w:val="none" w:sz="0" w:space="0" w:color="auto"/>
              </w:divBdr>
            </w:div>
          </w:divsChild>
        </w:div>
        <w:div w:id="1388408914">
          <w:marLeft w:val="0"/>
          <w:marRight w:val="0"/>
          <w:marTop w:val="0"/>
          <w:marBottom w:val="0"/>
          <w:divBdr>
            <w:top w:val="none" w:sz="0" w:space="0" w:color="auto"/>
            <w:left w:val="none" w:sz="0" w:space="0" w:color="auto"/>
            <w:bottom w:val="none" w:sz="0" w:space="0" w:color="auto"/>
            <w:right w:val="none" w:sz="0" w:space="0" w:color="auto"/>
          </w:divBdr>
          <w:divsChild>
            <w:div w:id="120460004">
              <w:marLeft w:val="0"/>
              <w:marRight w:val="0"/>
              <w:marTop w:val="0"/>
              <w:marBottom w:val="0"/>
              <w:divBdr>
                <w:top w:val="none" w:sz="0" w:space="0" w:color="auto"/>
                <w:left w:val="none" w:sz="0" w:space="0" w:color="auto"/>
                <w:bottom w:val="none" w:sz="0" w:space="0" w:color="auto"/>
                <w:right w:val="none" w:sz="0" w:space="0" w:color="auto"/>
              </w:divBdr>
            </w:div>
          </w:divsChild>
        </w:div>
        <w:div w:id="1395470129">
          <w:marLeft w:val="0"/>
          <w:marRight w:val="0"/>
          <w:marTop w:val="0"/>
          <w:marBottom w:val="0"/>
          <w:divBdr>
            <w:top w:val="none" w:sz="0" w:space="0" w:color="auto"/>
            <w:left w:val="none" w:sz="0" w:space="0" w:color="auto"/>
            <w:bottom w:val="none" w:sz="0" w:space="0" w:color="auto"/>
            <w:right w:val="none" w:sz="0" w:space="0" w:color="auto"/>
          </w:divBdr>
          <w:divsChild>
            <w:div w:id="1422677190">
              <w:marLeft w:val="0"/>
              <w:marRight w:val="0"/>
              <w:marTop w:val="0"/>
              <w:marBottom w:val="0"/>
              <w:divBdr>
                <w:top w:val="none" w:sz="0" w:space="0" w:color="auto"/>
                <w:left w:val="none" w:sz="0" w:space="0" w:color="auto"/>
                <w:bottom w:val="none" w:sz="0" w:space="0" w:color="auto"/>
                <w:right w:val="none" w:sz="0" w:space="0" w:color="auto"/>
              </w:divBdr>
            </w:div>
          </w:divsChild>
        </w:div>
        <w:div w:id="1406954380">
          <w:marLeft w:val="0"/>
          <w:marRight w:val="0"/>
          <w:marTop w:val="0"/>
          <w:marBottom w:val="0"/>
          <w:divBdr>
            <w:top w:val="none" w:sz="0" w:space="0" w:color="auto"/>
            <w:left w:val="none" w:sz="0" w:space="0" w:color="auto"/>
            <w:bottom w:val="none" w:sz="0" w:space="0" w:color="auto"/>
            <w:right w:val="none" w:sz="0" w:space="0" w:color="auto"/>
          </w:divBdr>
          <w:divsChild>
            <w:div w:id="999768591">
              <w:marLeft w:val="0"/>
              <w:marRight w:val="0"/>
              <w:marTop w:val="0"/>
              <w:marBottom w:val="0"/>
              <w:divBdr>
                <w:top w:val="none" w:sz="0" w:space="0" w:color="auto"/>
                <w:left w:val="none" w:sz="0" w:space="0" w:color="auto"/>
                <w:bottom w:val="none" w:sz="0" w:space="0" w:color="auto"/>
                <w:right w:val="none" w:sz="0" w:space="0" w:color="auto"/>
              </w:divBdr>
            </w:div>
          </w:divsChild>
        </w:div>
        <w:div w:id="1409426034">
          <w:marLeft w:val="0"/>
          <w:marRight w:val="0"/>
          <w:marTop w:val="0"/>
          <w:marBottom w:val="0"/>
          <w:divBdr>
            <w:top w:val="none" w:sz="0" w:space="0" w:color="auto"/>
            <w:left w:val="none" w:sz="0" w:space="0" w:color="auto"/>
            <w:bottom w:val="none" w:sz="0" w:space="0" w:color="auto"/>
            <w:right w:val="none" w:sz="0" w:space="0" w:color="auto"/>
          </w:divBdr>
          <w:divsChild>
            <w:div w:id="178812024">
              <w:marLeft w:val="0"/>
              <w:marRight w:val="0"/>
              <w:marTop w:val="0"/>
              <w:marBottom w:val="0"/>
              <w:divBdr>
                <w:top w:val="none" w:sz="0" w:space="0" w:color="auto"/>
                <w:left w:val="none" w:sz="0" w:space="0" w:color="auto"/>
                <w:bottom w:val="none" w:sz="0" w:space="0" w:color="auto"/>
                <w:right w:val="none" w:sz="0" w:space="0" w:color="auto"/>
              </w:divBdr>
            </w:div>
          </w:divsChild>
        </w:div>
        <w:div w:id="1419521137">
          <w:marLeft w:val="0"/>
          <w:marRight w:val="0"/>
          <w:marTop w:val="0"/>
          <w:marBottom w:val="0"/>
          <w:divBdr>
            <w:top w:val="none" w:sz="0" w:space="0" w:color="auto"/>
            <w:left w:val="none" w:sz="0" w:space="0" w:color="auto"/>
            <w:bottom w:val="none" w:sz="0" w:space="0" w:color="auto"/>
            <w:right w:val="none" w:sz="0" w:space="0" w:color="auto"/>
          </w:divBdr>
          <w:divsChild>
            <w:div w:id="1640572986">
              <w:marLeft w:val="0"/>
              <w:marRight w:val="0"/>
              <w:marTop w:val="0"/>
              <w:marBottom w:val="0"/>
              <w:divBdr>
                <w:top w:val="none" w:sz="0" w:space="0" w:color="auto"/>
                <w:left w:val="none" w:sz="0" w:space="0" w:color="auto"/>
                <w:bottom w:val="none" w:sz="0" w:space="0" w:color="auto"/>
                <w:right w:val="none" w:sz="0" w:space="0" w:color="auto"/>
              </w:divBdr>
            </w:div>
          </w:divsChild>
        </w:div>
        <w:div w:id="1425881349">
          <w:marLeft w:val="0"/>
          <w:marRight w:val="0"/>
          <w:marTop w:val="0"/>
          <w:marBottom w:val="0"/>
          <w:divBdr>
            <w:top w:val="none" w:sz="0" w:space="0" w:color="auto"/>
            <w:left w:val="none" w:sz="0" w:space="0" w:color="auto"/>
            <w:bottom w:val="none" w:sz="0" w:space="0" w:color="auto"/>
            <w:right w:val="none" w:sz="0" w:space="0" w:color="auto"/>
          </w:divBdr>
          <w:divsChild>
            <w:div w:id="1518697436">
              <w:marLeft w:val="0"/>
              <w:marRight w:val="0"/>
              <w:marTop w:val="0"/>
              <w:marBottom w:val="0"/>
              <w:divBdr>
                <w:top w:val="none" w:sz="0" w:space="0" w:color="auto"/>
                <w:left w:val="none" w:sz="0" w:space="0" w:color="auto"/>
                <w:bottom w:val="none" w:sz="0" w:space="0" w:color="auto"/>
                <w:right w:val="none" w:sz="0" w:space="0" w:color="auto"/>
              </w:divBdr>
            </w:div>
          </w:divsChild>
        </w:div>
        <w:div w:id="1435395967">
          <w:marLeft w:val="0"/>
          <w:marRight w:val="0"/>
          <w:marTop w:val="0"/>
          <w:marBottom w:val="0"/>
          <w:divBdr>
            <w:top w:val="none" w:sz="0" w:space="0" w:color="auto"/>
            <w:left w:val="none" w:sz="0" w:space="0" w:color="auto"/>
            <w:bottom w:val="none" w:sz="0" w:space="0" w:color="auto"/>
            <w:right w:val="none" w:sz="0" w:space="0" w:color="auto"/>
          </w:divBdr>
          <w:divsChild>
            <w:div w:id="243997273">
              <w:marLeft w:val="0"/>
              <w:marRight w:val="0"/>
              <w:marTop w:val="0"/>
              <w:marBottom w:val="0"/>
              <w:divBdr>
                <w:top w:val="none" w:sz="0" w:space="0" w:color="auto"/>
                <w:left w:val="none" w:sz="0" w:space="0" w:color="auto"/>
                <w:bottom w:val="none" w:sz="0" w:space="0" w:color="auto"/>
                <w:right w:val="none" w:sz="0" w:space="0" w:color="auto"/>
              </w:divBdr>
            </w:div>
          </w:divsChild>
        </w:div>
        <w:div w:id="1439636543">
          <w:marLeft w:val="0"/>
          <w:marRight w:val="0"/>
          <w:marTop w:val="0"/>
          <w:marBottom w:val="0"/>
          <w:divBdr>
            <w:top w:val="none" w:sz="0" w:space="0" w:color="auto"/>
            <w:left w:val="none" w:sz="0" w:space="0" w:color="auto"/>
            <w:bottom w:val="none" w:sz="0" w:space="0" w:color="auto"/>
            <w:right w:val="none" w:sz="0" w:space="0" w:color="auto"/>
          </w:divBdr>
          <w:divsChild>
            <w:div w:id="1139609166">
              <w:marLeft w:val="0"/>
              <w:marRight w:val="0"/>
              <w:marTop w:val="0"/>
              <w:marBottom w:val="0"/>
              <w:divBdr>
                <w:top w:val="none" w:sz="0" w:space="0" w:color="auto"/>
                <w:left w:val="none" w:sz="0" w:space="0" w:color="auto"/>
                <w:bottom w:val="none" w:sz="0" w:space="0" w:color="auto"/>
                <w:right w:val="none" w:sz="0" w:space="0" w:color="auto"/>
              </w:divBdr>
            </w:div>
          </w:divsChild>
        </w:div>
        <w:div w:id="1456102583">
          <w:marLeft w:val="0"/>
          <w:marRight w:val="0"/>
          <w:marTop w:val="0"/>
          <w:marBottom w:val="0"/>
          <w:divBdr>
            <w:top w:val="none" w:sz="0" w:space="0" w:color="auto"/>
            <w:left w:val="none" w:sz="0" w:space="0" w:color="auto"/>
            <w:bottom w:val="none" w:sz="0" w:space="0" w:color="auto"/>
            <w:right w:val="none" w:sz="0" w:space="0" w:color="auto"/>
          </w:divBdr>
          <w:divsChild>
            <w:div w:id="394741237">
              <w:marLeft w:val="0"/>
              <w:marRight w:val="0"/>
              <w:marTop w:val="0"/>
              <w:marBottom w:val="0"/>
              <w:divBdr>
                <w:top w:val="none" w:sz="0" w:space="0" w:color="auto"/>
                <w:left w:val="none" w:sz="0" w:space="0" w:color="auto"/>
                <w:bottom w:val="none" w:sz="0" w:space="0" w:color="auto"/>
                <w:right w:val="none" w:sz="0" w:space="0" w:color="auto"/>
              </w:divBdr>
            </w:div>
          </w:divsChild>
        </w:div>
        <w:div w:id="1456558402">
          <w:marLeft w:val="0"/>
          <w:marRight w:val="0"/>
          <w:marTop w:val="0"/>
          <w:marBottom w:val="0"/>
          <w:divBdr>
            <w:top w:val="none" w:sz="0" w:space="0" w:color="auto"/>
            <w:left w:val="none" w:sz="0" w:space="0" w:color="auto"/>
            <w:bottom w:val="none" w:sz="0" w:space="0" w:color="auto"/>
            <w:right w:val="none" w:sz="0" w:space="0" w:color="auto"/>
          </w:divBdr>
          <w:divsChild>
            <w:div w:id="1930962515">
              <w:marLeft w:val="0"/>
              <w:marRight w:val="0"/>
              <w:marTop w:val="0"/>
              <w:marBottom w:val="0"/>
              <w:divBdr>
                <w:top w:val="none" w:sz="0" w:space="0" w:color="auto"/>
                <w:left w:val="none" w:sz="0" w:space="0" w:color="auto"/>
                <w:bottom w:val="none" w:sz="0" w:space="0" w:color="auto"/>
                <w:right w:val="none" w:sz="0" w:space="0" w:color="auto"/>
              </w:divBdr>
            </w:div>
          </w:divsChild>
        </w:div>
        <w:div w:id="1459685206">
          <w:marLeft w:val="0"/>
          <w:marRight w:val="0"/>
          <w:marTop w:val="0"/>
          <w:marBottom w:val="0"/>
          <w:divBdr>
            <w:top w:val="none" w:sz="0" w:space="0" w:color="auto"/>
            <w:left w:val="none" w:sz="0" w:space="0" w:color="auto"/>
            <w:bottom w:val="none" w:sz="0" w:space="0" w:color="auto"/>
            <w:right w:val="none" w:sz="0" w:space="0" w:color="auto"/>
          </w:divBdr>
          <w:divsChild>
            <w:div w:id="2085490067">
              <w:marLeft w:val="0"/>
              <w:marRight w:val="0"/>
              <w:marTop w:val="0"/>
              <w:marBottom w:val="0"/>
              <w:divBdr>
                <w:top w:val="none" w:sz="0" w:space="0" w:color="auto"/>
                <w:left w:val="none" w:sz="0" w:space="0" w:color="auto"/>
                <w:bottom w:val="none" w:sz="0" w:space="0" w:color="auto"/>
                <w:right w:val="none" w:sz="0" w:space="0" w:color="auto"/>
              </w:divBdr>
            </w:div>
          </w:divsChild>
        </w:div>
        <w:div w:id="1468281099">
          <w:marLeft w:val="0"/>
          <w:marRight w:val="0"/>
          <w:marTop w:val="0"/>
          <w:marBottom w:val="0"/>
          <w:divBdr>
            <w:top w:val="none" w:sz="0" w:space="0" w:color="auto"/>
            <w:left w:val="none" w:sz="0" w:space="0" w:color="auto"/>
            <w:bottom w:val="none" w:sz="0" w:space="0" w:color="auto"/>
            <w:right w:val="none" w:sz="0" w:space="0" w:color="auto"/>
          </w:divBdr>
          <w:divsChild>
            <w:div w:id="1907373132">
              <w:marLeft w:val="0"/>
              <w:marRight w:val="0"/>
              <w:marTop w:val="0"/>
              <w:marBottom w:val="0"/>
              <w:divBdr>
                <w:top w:val="none" w:sz="0" w:space="0" w:color="auto"/>
                <w:left w:val="none" w:sz="0" w:space="0" w:color="auto"/>
                <w:bottom w:val="none" w:sz="0" w:space="0" w:color="auto"/>
                <w:right w:val="none" w:sz="0" w:space="0" w:color="auto"/>
              </w:divBdr>
            </w:div>
          </w:divsChild>
        </w:div>
        <w:div w:id="1472404588">
          <w:marLeft w:val="0"/>
          <w:marRight w:val="0"/>
          <w:marTop w:val="0"/>
          <w:marBottom w:val="0"/>
          <w:divBdr>
            <w:top w:val="none" w:sz="0" w:space="0" w:color="auto"/>
            <w:left w:val="none" w:sz="0" w:space="0" w:color="auto"/>
            <w:bottom w:val="none" w:sz="0" w:space="0" w:color="auto"/>
            <w:right w:val="none" w:sz="0" w:space="0" w:color="auto"/>
          </w:divBdr>
          <w:divsChild>
            <w:div w:id="176818726">
              <w:marLeft w:val="0"/>
              <w:marRight w:val="0"/>
              <w:marTop w:val="0"/>
              <w:marBottom w:val="0"/>
              <w:divBdr>
                <w:top w:val="none" w:sz="0" w:space="0" w:color="auto"/>
                <w:left w:val="none" w:sz="0" w:space="0" w:color="auto"/>
                <w:bottom w:val="none" w:sz="0" w:space="0" w:color="auto"/>
                <w:right w:val="none" w:sz="0" w:space="0" w:color="auto"/>
              </w:divBdr>
            </w:div>
          </w:divsChild>
        </w:div>
        <w:div w:id="1478374810">
          <w:marLeft w:val="0"/>
          <w:marRight w:val="0"/>
          <w:marTop w:val="0"/>
          <w:marBottom w:val="0"/>
          <w:divBdr>
            <w:top w:val="none" w:sz="0" w:space="0" w:color="auto"/>
            <w:left w:val="none" w:sz="0" w:space="0" w:color="auto"/>
            <w:bottom w:val="none" w:sz="0" w:space="0" w:color="auto"/>
            <w:right w:val="none" w:sz="0" w:space="0" w:color="auto"/>
          </w:divBdr>
          <w:divsChild>
            <w:div w:id="814840359">
              <w:marLeft w:val="0"/>
              <w:marRight w:val="0"/>
              <w:marTop w:val="0"/>
              <w:marBottom w:val="0"/>
              <w:divBdr>
                <w:top w:val="none" w:sz="0" w:space="0" w:color="auto"/>
                <w:left w:val="none" w:sz="0" w:space="0" w:color="auto"/>
                <w:bottom w:val="none" w:sz="0" w:space="0" w:color="auto"/>
                <w:right w:val="none" w:sz="0" w:space="0" w:color="auto"/>
              </w:divBdr>
            </w:div>
          </w:divsChild>
        </w:div>
        <w:div w:id="1508592601">
          <w:marLeft w:val="0"/>
          <w:marRight w:val="0"/>
          <w:marTop w:val="0"/>
          <w:marBottom w:val="0"/>
          <w:divBdr>
            <w:top w:val="none" w:sz="0" w:space="0" w:color="auto"/>
            <w:left w:val="none" w:sz="0" w:space="0" w:color="auto"/>
            <w:bottom w:val="none" w:sz="0" w:space="0" w:color="auto"/>
            <w:right w:val="none" w:sz="0" w:space="0" w:color="auto"/>
          </w:divBdr>
          <w:divsChild>
            <w:div w:id="1709261971">
              <w:marLeft w:val="0"/>
              <w:marRight w:val="0"/>
              <w:marTop w:val="0"/>
              <w:marBottom w:val="0"/>
              <w:divBdr>
                <w:top w:val="none" w:sz="0" w:space="0" w:color="auto"/>
                <w:left w:val="none" w:sz="0" w:space="0" w:color="auto"/>
                <w:bottom w:val="none" w:sz="0" w:space="0" w:color="auto"/>
                <w:right w:val="none" w:sz="0" w:space="0" w:color="auto"/>
              </w:divBdr>
            </w:div>
          </w:divsChild>
        </w:div>
        <w:div w:id="1509052505">
          <w:marLeft w:val="0"/>
          <w:marRight w:val="0"/>
          <w:marTop w:val="0"/>
          <w:marBottom w:val="0"/>
          <w:divBdr>
            <w:top w:val="none" w:sz="0" w:space="0" w:color="auto"/>
            <w:left w:val="none" w:sz="0" w:space="0" w:color="auto"/>
            <w:bottom w:val="none" w:sz="0" w:space="0" w:color="auto"/>
            <w:right w:val="none" w:sz="0" w:space="0" w:color="auto"/>
          </w:divBdr>
          <w:divsChild>
            <w:div w:id="1245072131">
              <w:marLeft w:val="0"/>
              <w:marRight w:val="0"/>
              <w:marTop w:val="0"/>
              <w:marBottom w:val="0"/>
              <w:divBdr>
                <w:top w:val="none" w:sz="0" w:space="0" w:color="auto"/>
                <w:left w:val="none" w:sz="0" w:space="0" w:color="auto"/>
                <w:bottom w:val="none" w:sz="0" w:space="0" w:color="auto"/>
                <w:right w:val="none" w:sz="0" w:space="0" w:color="auto"/>
              </w:divBdr>
            </w:div>
          </w:divsChild>
        </w:div>
        <w:div w:id="1509129613">
          <w:marLeft w:val="0"/>
          <w:marRight w:val="0"/>
          <w:marTop w:val="0"/>
          <w:marBottom w:val="0"/>
          <w:divBdr>
            <w:top w:val="none" w:sz="0" w:space="0" w:color="auto"/>
            <w:left w:val="none" w:sz="0" w:space="0" w:color="auto"/>
            <w:bottom w:val="none" w:sz="0" w:space="0" w:color="auto"/>
            <w:right w:val="none" w:sz="0" w:space="0" w:color="auto"/>
          </w:divBdr>
          <w:divsChild>
            <w:div w:id="270863803">
              <w:marLeft w:val="0"/>
              <w:marRight w:val="0"/>
              <w:marTop w:val="0"/>
              <w:marBottom w:val="0"/>
              <w:divBdr>
                <w:top w:val="none" w:sz="0" w:space="0" w:color="auto"/>
                <w:left w:val="none" w:sz="0" w:space="0" w:color="auto"/>
                <w:bottom w:val="none" w:sz="0" w:space="0" w:color="auto"/>
                <w:right w:val="none" w:sz="0" w:space="0" w:color="auto"/>
              </w:divBdr>
            </w:div>
          </w:divsChild>
        </w:div>
        <w:div w:id="1509558061">
          <w:marLeft w:val="0"/>
          <w:marRight w:val="0"/>
          <w:marTop w:val="0"/>
          <w:marBottom w:val="0"/>
          <w:divBdr>
            <w:top w:val="none" w:sz="0" w:space="0" w:color="auto"/>
            <w:left w:val="none" w:sz="0" w:space="0" w:color="auto"/>
            <w:bottom w:val="none" w:sz="0" w:space="0" w:color="auto"/>
            <w:right w:val="none" w:sz="0" w:space="0" w:color="auto"/>
          </w:divBdr>
          <w:divsChild>
            <w:div w:id="1197356115">
              <w:marLeft w:val="0"/>
              <w:marRight w:val="0"/>
              <w:marTop w:val="0"/>
              <w:marBottom w:val="0"/>
              <w:divBdr>
                <w:top w:val="none" w:sz="0" w:space="0" w:color="auto"/>
                <w:left w:val="none" w:sz="0" w:space="0" w:color="auto"/>
                <w:bottom w:val="none" w:sz="0" w:space="0" w:color="auto"/>
                <w:right w:val="none" w:sz="0" w:space="0" w:color="auto"/>
              </w:divBdr>
            </w:div>
          </w:divsChild>
        </w:div>
        <w:div w:id="1515341741">
          <w:marLeft w:val="0"/>
          <w:marRight w:val="0"/>
          <w:marTop w:val="0"/>
          <w:marBottom w:val="0"/>
          <w:divBdr>
            <w:top w:val="none" w:sz="0" w:space="0" w:color="auto"/>
            <w:left w:val="none" w:sz="0" w:space="0" w:color="auto"/>
            <w:bottom w:val="none" w:sz="0" w:space="0" w:color="auto"/>
            <w:right w:val="none" w:sz="0" w:space="0" w:color="auto"/>
          </w:divBdr>
          <w:divsChild>
            <w:div w:id="340860829">
              <w:marLeft w:val="0"/>
              <w:marRight w:val="0"/>
              <w:marTop w:val="0"/>
              <w:marBottom w:val="0"/>
              <w:divBdr>
                <w:top w:val="none" w:sz="0" w:space="0" w:color="auto"/>
                <w:left w:val="none" w:sz="0" w:space="0" w:color="auto"/>
                <w:bottom w:val="none" w:sz="0" w:space="0" w:color="auto"/>
                <w:right w:val="none" w:sz="0" w:space="0" w:color="auto"/>
              </w:divBdr>
            </w:div>
          </w:divsChild>
        </w:div>
        <w:div w:id="1524705838">
          <w:marLeft w:val="0"/>
          <w:marRight w:val="0"/>
          <w:marTop w:val="0"/>
          <w:marBottom w:val="0"/>
          <w:divBdr>
            <w:top w:val="none" w:sz="0" w:space="0" w:color="auto"/>
            <w:left w:val="none" w:sz="0" w:space="0" w:color="auto"/>
            <w:bottom w:val="none" w:sz="0" w:space="0" w:color="auto"/>
            <w:right w:val="none" w:sz="0" w:space="0" w:color="auto"/>
          </w:divBdr>
          <w:divsChild>
            <w:div w:id="842620793">
              <w:marLeft w:val="0"/>
              <w:marRight w:val="0"/>
              <w:marTop w:val="0"/>
              <w:marBottom w:val="0"/>
              <w:divBdr>
                <w:top w:val="none" w:sz="0" w:space="0" w:color="auto"/>
                <w:left w:val="none" w:sz="0" w:space="0" w:color="auto"/>
                <w:bottom w:val="none" w:sz="0" w:space="0" w:color="auto"/>
                <w:right w:val="none" w:sz="0" w:space="0" w:color="auto"/>
              </w:divBdr>
            </w:div>
          </w:divsChild>
        </w:div>
        <w:div w:id="1534802876">
          <w:marLeft w:val="0"/>
          <w:marRight w:val="0"/>
          <w:marTop w:val="0"/>
          <w:marBottom w:val="0"/>
          <w:divBdr>
            <w:top w:val="none" w:sz="0" w:space="0" w:color="auto"/>
            <w:left w:val="none" w:sz="0" w:space="0" w:color="auto"/>
            <w:bottom w:val="none" w:sz="0" w:space="0" w:color="auto"/>
            <w:right w:val="none" w:sz="0" w:space="0" w:color="auto"/>
          </w:divBdr>
          <w:divsChild>
            <w:div w:id="104007102">
              <w:marLeft w:val="0"/>
              <w:marRight w:val="0"/>
              <w:marTop w:val="0"/>
              <w:marBottom w:val="0"/>
              <w:divBdr>
                <w:top w:val="none" w:sz="0" w:space="0" w:color="auto"/>
                <w:left w:val="none" w:sz="0" w:space="0" w:color="auto"/>
                <w:bottom w:val="none" w:sz="0" w:space="0" w:color="auto"/>
                <w:right w:val="none" w:sz="0" w:space="0" w:color="auto"/>
              </w:divBdr>
            </w:div>
          </w:divsChild>
        </w:div>
        <w:div w:id="1539929535">
          <w:marLeft w:val="0"/>
          <w:marRight w:val="0"/>
          <w:marTop w:val="0"/>
          <w:marBottom w:val="0"/>
          <w:divBdr>
            <w:top w:val="none" w:sz="0" w:space="0" w:color="auto"/>
            <w:left w:val="none" w:sz="0" w:space="0" w:color="auto"/>
            <w:bottom w:val="none" w:sz="0" w:space="0" w:color="auto"/>
            <w:right w:val="none" w:sz="0" w:space="0" w:color="auto"/>
          </w:divBdr>
          <w:divsChild>
            <w:div w:id="2138720403">
              <w:marLeft w:val="0"/>
              <w:marRight w:val="0"/>
              <w:marTop w:val="0"/>
              <w:marBottom w:val="0"/>
              <w:divBdr>
                <w:top w:val="none" w:sz="0" w:space="0" w:color="auto"/>
                <w:left w:val="none" w:sz="0" w:space="0" w:color="auto"/>
                <w:bottom w:val="none" w:sz="0" w:space="0" w:color="auto"/>
                <w:right w:val="none" w:sz="0" w:space="0" w:color="auto"/>
              </w:divBdr>
            </w:div>
          </w:divsChild>
        </w:div>
        <w:div w:id="1545603361">
          <w:marLeft w:val="0"/>
          <w:marRight w:val="0"/>
          <w:marTop w:val="0"/>
          <w:marBottom w:val="0"/>
          <w:divBdr>
            <w:top w:val="none" w:sz="0" w:space="0" w:color="auto"/>
            <w:left w:val="none" w:sz="0" w:space="0" w:color="auto"/>
            <w:bottom w:val="none" w:sz="0" w:space="0" w:color="auto"/>
            <w:right w:val="none" w:sz="0" w:space="0" w:color="auto"/>
          </w:divBdr>
          <w:divsChild>
            <w:div w:id="341788382">
              <w:marLeft w:val="0"/>
              <w:marRight w:val="0"/>
              <w:marTop w:val="0"/>
              <w:marBottom w:val="0"/>
              <w:divBdr>
                <w:top w:val="none" w:sz="0" w:space="0" w:color="auto"/>
                <w:left w:val="none" w:sz="0" w:space="0" w:color="auto"/>
                <w:bottom w:val="none" w:sz="0" w:space="0" w:color="auto"/>
                <w:right w:val="none" w:sz="0" w:space="0" w:color="auto"/>
              </w:divBdr>
            </w:div>
          </w:divsChild>
        </w:div>
        <w:div w:id="1547329304">
          <w:marLeft w:val="0"/>
          <w:marRight w:val="0"/>
          <w:marTop w:val="0"/>
          <w:marBottom w:val="0"/>
          <w:divBdr>
            <w:top w:val="none" w:sz="0" w:space="0" w:color="auto"/>
            <w:left w:val="none" w:sz="0" w:space="0" w:color="auto"/>
            <w:bottom w:val="none" w:sz="0" w:space="0" w:color="auto"/>
            <w:right w:val="none" w:sz="0" w:space="0" w:color="auto"/>
          </w:divBdr>
          <w:divsChild>
            <w:div w:id="5181877">
              <w:marLeft w:val="0"/>
              <w:marRight w:val="0"/>
              <w:marTop w:val="0"/>
              <w:marBottom w:val="0"/>
              <w:divBdr>
                <w:top w:val="none" w:sz="0" w:space="0" w:color="auto"/>
                <w:left w:val="none" w:sz="0" w:space="0" w:color="auto"/>
                <w:bottom w:val="none" w:sz="0" w:space="0" w:color="auto"/>
                <w:right w:val="none" w:sz="0" w:space="0" w:color="auto"/>
              </w:divBdr>
            </w:div>
          </w:divsChild>
        </w:div>
        <w:div w:id="1547401870">
          <w:marLeft w:val="0"/>
          <w:marRight w:val="0"/>
          <w:marTop w:val="0"/>
          <w:marBottom w:val="0"/>
          <w:divBdr>
            <w:top w:val="none" w:sz="0" w:space="0" w:color="auto"/>
            <w:left w:val="none" w:sz="0" w:space="0" w:color="auto"/>
            <w:bottom w:val="none" w:sz="0" w:space="0" w:color="auto"/>
            <w:right w:val="none" w:sz="0" w:space="0" w:color="auto"/>
          </w:divBdr>
          <w:divsChild>
            <w:div w:id="1778283824">
              <w:marLeft w:val="0"/>
              <w:marRight w:val="0"/>
              <w:marTop w:val="0"/>
              <w:marBottom w:val="0"/>
              <w:divBdr>
                <w:top w:val="none" w:sz="0" w:space="0" w:color="auto"/>
                <w:left w:val="none" w:sz="0" w:space="0" w:color="auto"/>
                <w:bottom w:val="none" w:sz="0" w:space="0" w:color="auto"/>
                <w:right w:val="none" w:sz="0" w:space="0" w:color="auto"/>
              </w:divBdr>
            </w:div>
          </w:divsChild>
        </w:div>
        <w:div w:id="1547446210">
          <w:marLeft w:val="0"/>
          <w:marRight w:val="0"/>
          <w:marTop w:val="0"/>
          <w:marBottom w:val="0"/>
          <w:divBdr>
            <w:top w:val="none" w:sz="0" w:space="0" w:color="auto"/>
            <w:left w:val="none" w:sz="0" w:space="0" w:color="auto"/>
            <w:bottom w:val="none" w:sz="0" w:space="0" w:color="auto"/>
            <w:right w:val="none" w:sz="0" w:space="0" w:color="auto"/>
          </w:divBdr>
          <w:divsChild>
            <w:div w:id="722411351">
              <w:marLeft w:val="0"/>
              <w:marRight w:val="0"/>
              <w:marTop w:val="0"/>
              <w:marBottom w:val="0"/>
              <w:divBdr>
                <w:top w:val="none" w:sz="0" w:space="0" w:color="auto"/>
                <w:left w:val="none" w:sz="0" w:space="0" w:color="auto"/>
                <w:bottom w:val="none" w:sz="0" w:space="0" w:color="auto"/>
                <w:right w:val="none" w:sz="0" w:space="0" w:color="auto"/>
              </w:divBdr>
            </w:div>
          </w:divsChild>
        </w:div>
        <w:div w:id="1551188319">
          <w:marLeft w:val="0"/>
          <w:marRight w:val="0"/>
          <w:marTop w:val="0"/>
          <w:marBottom w:val="0"/>
          <w:divBdr>
            <w:top w:val="none" w:sz="0" w:space="0" w:color="auto"/>
            <w:left w:val="none" w:sz="0" w:space="0" w:color="auto"/>
            <w:bottom w:val="none" w:sz="0" w:space="0" w:color="auto"/>
            <w:right w:val="none" w:sz="0" w:space="0" w:color="auto"/>
          </w:divBdr>
          <w:divsChild>
            <w:div w:id="193809709">
              <w:marLeft w:val="0"/>
              <w:marRight w:val="0"/>
              <w:marTop w:val="0"/>
              <w:marBottom w:val="0"/>
              <w:divBdr>
                <w:top w:val="none" w:sz="0" w:space="0" w:color="auto"/>
                <w:left w:val="none" w:sz="0" w:space="0" w:color="auto"/>
                <w:bottom w:val="none" w:sz="0" w:space="0" w:color="auto"/>
                <w:right w:val="none" w:sz="0" w:space="0" w:color="auto"/>
              </w:divBdr>
            </w:div>
          </w:divsChild>
        </w:div>
        <w:div w:id="1552494720">
          <w:marLeft w:val="0"/>
          <w:marRight w:val="0"/>
          <w:marTop w:val="0"/>
          <w:marBottom w:val="0"/>
          <w:divBdr>
            <w:top w:val="none" w:sz="0" w:space="0" w:color="auto"/>
            <w:left w:val="none" w:sz="0" w:space="0" w:color="auto"/>
            <w:bottom w:val="none" w:sz="0" w:space="0" w:color="auto"/>
            <w:right w:val="none" w:sz="0" w:space="0" w:color="auto"/>
          </w:divBdr>
          <w:divsChild>
            <w:div w:id="687751145">
              <w:marLeft w:val="0"/>
              <w:marRight w:val="0"/>
              <w:marTop w:val="0"/>
              <w:marBottom w:val="0"/>
              <w:divBdr>
                <w:top w:val="none" w:sz="0" w:space="0" w:color="auto"/>
                <w:left w:val="none" w:sz="0" w:space="0" w:color="auto"/>
                <w:bottom w:val="none" w:sz="0" w:space="0" w:color="auto"/>
                <w:right w:val="none" w:sz="0" w:space="0" w:color="auto"/>
              </w:divBdr>
            </w:div>
          </w:divsChild>
        </w:div>
        <w:div w:id="1563907925">
          <w:marLeft w:val="0"/>
          <w:marRight w:val="0"/>
          <w:marTop w:val="0"/>
          <w:marBottom w:val="0"/>
          <w:divBdr>
            <w:top w:val="none" w:sz="0" w:space="0" w:color="auto"/>
            <w:left w:val="none" w:sz="0" w:space="0" w:color="auto"/>
            <w:bottom w:val="none" w:sz="0" w:space="0" w:color="auto"/>
            <w:right w:val="none" w:sz="0" w:space="0" w:color="auto"/>
          </w:divBdr>
          <w:divsChild>
            <w:div w:id="1838837850">
              <w:marLeft w:val="0"/>
              <w:marRight w:val="0"/>
              <w:marTop w:val="0"/>
              <w:marBottom w:val="0"/>
              <w:divBdr>
                <w:top w:val="none" w:sz="0" w:space="0" w:color="auto"/>
                <w:left w:val="none" w:sz="0" w:space="0" w:color="auto"/>
                <w:bottom w:val="none" w:sz="0" w:space="0" w:color="auto"/>
                <w:right w:val="none" w:sz="0" w:space="0" w:color="auto"/>
              </w:divBdr>
            </w:div>
          </w:divsChild>
        </w:div>
        <w:div w:id="1568833126">
          <w:marLeft w:val="0"/>
          <w:marRight w:val="0"/>
          <w:marTop w:val="0"/>
          <w:marBottom w:val="0"/>
          <w:divBdr>
            <w:top w:val="none" w:sz="0" w:space="0" w:color="auto"/>
            <w:left w:val="none" w:sz="0" w:space="0" w:color="auto"/>
            <w:bottom w:val="none" w:sz="0" w:space="0" w:color="auto"/>
            <w:right w:val="none" w:sz="0" w:space="0" w:color="auto"/>
          </w:divBdr>
          <w:divsChild>
            <w:div w:id="159011218">
              <w:marLeft w:val="0"/>
              <w:marRight w:val="0"/>
              <w:marTop w:val="0"/>
              <w:marBottom w:val="0"/>
              <w:divBdr>
                <w:top w:val="none" w:sz="0" w:space="0" w:color="auto"/>
                <w:left w:val="none" w:sz="0" w:space="0" w:color="auto"/>
                <w:bottom w:val="none" w:sz="0" w:space="0" w:color="auto"/>
                <w:right w:val="none" w:sz="0" w:space="0" w:color="auto"/>
              </w:divBdr>
            </w:div>
          </w:divsChild>
        </w:div>
        <w:div w:id="1571816299">
          <w:marLeft w:val="0"/>
          <w:marRight w:val="0"/>
          <w:marTop w:val="0"/>
          <w:marBottom w:val="0"/>
          <w:divBdr>
            <w:top w:val="none" w:sz="0" w:space="0" w:color="auto"/>
            <w:left w:val="none" w:sz="0" w:space="0" w:color="auto"/>
            <w:bottom w:val="none" w:sz="0" w:space="0" w:color="auto"/>
            <w:right w:val="none" w:sz="0" w:space="0" w:color="auto"/>
          </w:divBdr>
          <w:divsChild>
            <w:div w:id="373509508">
              <w:marLeft w:val="0"/>
              <w:marRight w:val="0"/>
              <w:marTop w:val="0"/>
              <w:marBottom w:val="0"/>
              <w:divBdr>
                <w:top w:val="none" w:sz="0" w:space="0" w:color="auto"/>
                <w:left w:val="none" w:sz="0" w:space="0" w:color="auto"/>
                <w:bottom w:val="none" w:sz="0" w:space="0" w:color="auto"/>
                <w:right w:val="none" w:sz="0" w:space="0" w:color="auto"/>
              </w:divBdr>
            </w:div>
          </w:divsChild>
        </w:div>
        <w:div w:id="1574122022">
          <w:marLeft w:val="0"/>
          <w:marRight w:val="0"/>
          <w:marTop w:val="0"/>
          <w:marBottom w:val="0"/>
          <w:divBdr>
            <w:top w:val="none" w:sz="0" w:space="0" w:color="auto"/>
            <w:left w:val="none" w:sz="0" w:space="0" w:color="auto"/>
            <w:bottom w:val="none" w:sz="0" w:space="0" w:color="auto"/>
            <w:right w:val="none" w:sz="0" w:space="0" w:color="auto"/>
          </w:divBdr>
          <w:divsChild>
            <w:div w:id="549341939">
              <w:marLeft w:val="0"/>
              <w:marRight w:val="0"/>
              <w:marTop w:val="0"/>
              <w:marBottom w:val="0"/>
              <w:divBdr>
                <w:top w:val="none" w:sz="0" w:space="0" w:color="auto"/>
                <w:left w:val="none" w:sz="0" w:space="0" w:color="auto"/>
                <w:bottom w:val="none" w:sz="0" w:space="0" w:color="auto"/>
                <w:right w:val="none" w:sz="0" w:space="0" w:color="auto"/>
              </w:divBdr>
            </w:div>
          </w:divsChild>
        </w:div>
        <w:div w:id="1574316219">
          <w:marLeft w:val="0"/>
          <w:marRight w:val="0"/>
          <w:marTop w:val="0"/>
          <w:marBottom w:val="0"/>
          <w:divBdr>
            <w:top w:val="none" w:sz="0" w:space="0" w:color="auto"/>
            <w:left w:val="none" w:sz="0" w:space="0" w:color="auto"/>
            <w:bottom w:val="none" w:sz="0" w:space="0" w:color="auto"/>
            <w:right w:val="none" w:sz="0" w:space="0" w:color="auto"/>
          </w:divBdr>
          <w:divsChild>
            <w:div w:id="609556337">
              <w:marLeft w:val="0"/>
              <w:marRight w:val="0"/>
              <w:marTop w:val="0"/>
              <w:marBottom w:val="0"/>
              <w:divBdr>
                <w:top w:val="none" w:sz="0" w:space="0" w:color="auto"/>
                <w:left w:val="none" w:sz="0" w:space="0" w:color="auto"/>
                <w:bottom w:val="none" w:sz="0" w:space="0" w:color="auto"/>
                <w:right w:val="none" w:sz="0" w:space="0" w:color="auto"/>
              </w:divBdr>
            </w:div>
          </w:divsChild>
        </w:div>
        <w:div w:id="1578396557">
          <w:marLeft w:val="0"/>
          <w:marRight w:val="0"/>
          <w:marTop w:val="0"/>
          <w:marBottom w:val="0"/>
          <w:divBdr>
            <w:top w:val="none" w:sz="0" w:space="0" w:color="auto"/>
            <w:left w:val="none" w:sz="0" w:space="0" w:color="auto"/>
            <w:bottom w:val="none" w:sz="0" w:space="0" w:color="auto"/>
            <w:right w:val="none" w:sz="0" w:space="0" w:color="auto"/>
          </w:divBdr>
          <w:divsChild>
            <w:div w:id="702512543">
              <w:marLeft w:val="0"/>
              <w:marRight w:val="0"/>
              <w:marTop w:val="0"/>
              <w:marBottom w:val="0"/>
              <w:divBdr>
                <w:top w:val="none" w:sz="0" w:space="0" w:color="auto"/>
                <w:left w:val="none" w:sz="0" w:space="0" w:color="auto"/>
                <w:bottom w:val="none" w:sz="0" w:space="0" w:color="auto"/>
                <w:right w:val="none" w:sz="0" w:space="0" w:color="auto"/>
              </w:divBdr>
            </w:div>
          </w:divsChild>
        </w:div>
        <w:div w:id="1579830596">
          <w:marLeft w:val="0"/>
          <w:marRight w:val="0"/>
          <w:marTop w:val="0"/>
          <w:marBottom w:val="0"/>
          <w:divBdr>
            <w:top w:val="none" w:sz="0" w:space="0" w:color="auto"/>
            <w:left w:val="none" w:sz="0" w:space="0" w:color="auto"/>
            <w:bottom w:val="none" w:sz="0" w:space="0" w:color="auto"/>
            <w:right w:val="none" w:sz="0" w:space="0" w:color="auto"/>
          </w:divBdr>
          <w:divsChild>
            <w:div w:id="167990961">
              <w:marLeft w:val="0"/>
              <w:marRight w:val="0"/>
              <w:marTop w:val="0"/>
              <w:marBottom w:val="0"/>
              <w:divBdr>
                <w:top w:val="none" w:sz="0" w:space="0" w:color="auto"/>
                <w:left w:val="none" w:sz="0" w:space="0" w:color="auto"/>
                <w:bottom w:val="none" w:sz="0" w:space="0" w:color="auto"/>
                <w:right w:val="none" w:sz="0" w:space="0" w:color="auto"/>
              </w:divBdr>
            </w:div>
          </w:divsChild>
        </w:div>
        <w:div w:id="1596093847">
          <w:marLeft w:val="0"/>
          <w:marRight w:val="0"/>
          <w:marTop w:val="0"/>
          <w:marBottom w:val="0"/>
          <w:divBdr>
            <w:top w:val="none" w:sz="0" w:space="0" w:color="auto"/>
            <w:left w:val="none" w:sz="0" w:space="0" w:color="auto"/>
            <w:bottom w:val="none" w:sz="0" w:space="0" w:color="auto"/>
            <w:right w:val="none" w:sz="0" w:space="0" w:color="auto"/>
          </w:divBdr>
          <w:divsChild>
            <w:div w:id="1763138932">
              <w:marLeft w:val="0"/>
              <w:marRight w:val="0"/>
              <w:marTop w:val="0"/>
              <w:marBottom w:val="0"/>
              <w:divBdr>
                <w:top w:val="none" w:sz="0" w:space="0" w:color="auto"/>
                <w:left w:val="none" w:sz="0" w:space="0" w:color="auto"/>
                <w:bottom w:val="none" w:sz="0" w:space="0" w:color="auto"/>
                <w:right w:val="none" w:sz="0" w:space="0" w:color="auto"/>
              </w:divBdr>
            </w:div>
          </w:divsChild>
        </w:div>
        <w:div w:id="1602762069">
          <w:marLeft w:val="0"/>
          <w:marRight w:val="0"/>
          <w:marTop w:val="0"/>
          <w:marBottom w:val="0"/>
          <w:divBdr>
            <w:top w:val="none" w:sz="0" w:space="0" w:color="auto"/>
            <w:left w:val="none" w:sz="0" w:space="0" w:color="auto"/>
            <w:bottom w:val="none" w:sz="0" w:space="0" w:color="auto"/>
            <w:right w:val="none" w:sz="0" w:space="0" w:color="auto"/>
          </w:divBdr>
          <w:divsChild>
            <w:div w:id="54663412">
              <w:marLeft w:val="0"/>
              <w:marRight w:val="0"/>
              <w:marTop w:val="0"/>
              <w:marBottom w:val="0"/>
              <w:divBdr>
                <w:top w:val="none" w:sz="0" w:space="0" w:color="auto"/>
                <w:left w:val="none" w:sz="0" w:space="0" w:color="auto"/>
                <w:bottom w:val="none" w:sz="0" w:space="0" w:color="auto"/>
                <w:right w:val="none" w:sz="0" w:space="0" w:color="auto"/>
              </w:divBdr>
            </w:div>
          </w:divsChild>
        </w:div>
        <w:div w:id="1613627451">
          <w:marLeft w:val="0"/>
          <w:marRight w:val="0"/>
          <w:marTop w:val="0"/>
          <w:marBottom w:val="0"/>
          <w:divBdr>
            <w:top w:val="none" w:sz="0" w:space="0" w:color="auto"/>
            <w:left w:val="none" w:sz="0" w:space="0" w:color="auto"/>
            <w:bottom w:val="none" w:sz="0" w:space="0" w:color="auto"/>
            <w:right w:val="none" w:sz="0" w:space="0" w:color="auto"/>
          </w:divBdr>
          <w:divsChild>
            <w:div w:id="920139465">
              <w:marLeft w:val="0"/>
              <w:marRight w:val="0"/>
              <w:marTop w:val="0"/>
              <w:marBottom w:val="0"/>
              <w:divBdr>
                <w:top w:val="none" w:sz="0" w:space="0" w:color="auto"/>
                <w:left w:val="none" w:sz="0" w:space="0" w:color="auto"/>
                <w:bottom w:val="none" w:sz="0" w:space="0" w:color="auto"/>
                <w:right w:val="none" w:sz="0" w:space="0" w:color="auto"/>
              </w:divBdr>
            </w:div>
          </w:divsChild>
        </w:div>
        <w:div w:id="1624189117">
          <w:marLeft w:val="0"/>
          <w:marRight w:val="0"/>
          <w:marTop w:val="0"/>
          <w:marBottom w:val="0"/>
          <w:divBdr>
            <w:top w:val="none" w:sz="0" w:space="0" w:color="auto"/>
            <w:left w:val="none" w:sz="0" w:space="0" w:color="auto"/>
            <w:bottom w:val="none" w:sz="0" w:space="0" w:color="auto"/>
            <w:right w:val="none" w:sz="0" w:space="0" w:color="auto"/>
          </w:divBdr>
          <w:divsChild>
            <w:div w:id="1772974290">
              <w:marLeft w:val="0"/>
              <w:marRight w:val="0"/>
              <w:marTop w:val="0"/>
              <w:marBottom w:val="0"/>
              <w:divBdr>
                <w:top w:val="none" w:sz="0" w:space="0" w:color="auto"/>
                <w:left w:val="none" w:sz="0" w:space="0" w:color="auto"/>
                <w:bottom w:val="none" w:sz="0" w:space="0" w:color="auto"/>
                <w:right w:val="none" w:sz="0" w:space="0" w:color="auto"/>
              </w:divBdr>
            </w:div>
          </w:divsChild>
        </w:div>
        <w:div w:id="1654018981">
          <w:marLeft w:val="0"/>
          <w:marRight w:val="0"/>
          <w:marTop w:val="0"/>
          <w:marBottom w:val="0"/>
          <w:divBdr>
            <w:top w:val="none" w:sz="0" w:space="0" w:color="auto"/>
            <w:left w:val="none" w:sz="0" w:space="0" w:color="auto"/>
            <w:bottom w:val="none" w:sz="0" w:space="0" w:color="auto"/>
            <w:right w:val="none" w:sz="0" w:space="0" w:color="auto"/>
          </w:divBdr>
          <w:divsChild>
            <w:div w:id="1839810024">
              <w:marLeft w:val="0"/>
              <w:marRight w:val="0"/>
              <w:marTop w:val="0"/>
              <w:marBottom w:val="0"/>
              <w:divBdr>
                <w:top w:val="none" w:sz="0" w:space="0" w:color="auto"/>
                <w:left w:val="none" w:sz="0" w:space="0" w:color="auto"/>
                <w:bottom w:val="none" w:sz="0" w:space="0" w:color="auto"/>
                <w:right w:val="none" w:sz="0" w:space="0" w:color="auto"/>
              </w:divBdr>
            </w:div>
          </w:divsChild>
        </w:div>
        <w:div w:id="1656956518">
          <w:marLeft w:val="0"/>
          <w:marRight w:val="0"/>
          <w:marTop w:val="0"/>
          <w:marBottom w:val="0"/>
          <w:divBdr>
            <w:top w:val="none" w:sz="0" w:space="0" w:color="auto"/>
            <w:left w:val="none" w:sz="0" w:space="0" w:color="auto"/>
            <w:bottom w:val="none" w:sz="0" w:space="0" w:color="auto"/>
            <w:right w:val="none" w:sz="0" w:space="0" w:color="auto"/>
          </w:divBdr>
          <w:divsChild>
            <w:div w:id="1966426220">
              <w:marLeft w:val="0"/>
              <w:marRight w:val="0"/>
              <w:marTop w:val="0"/>
              <w:marBottom w:val="0"/>
              <w:divBdr>
                <w:top w:val="none" w:sz="0" w:space="0" w:color="auto"/>
                <w:left w:val="none" w:sz="0" w:space="0" w:color="auto"/>
                <w:bottom w:val="none" w:sz="0" w:space="0" w:color="auto"/>
                <w:right w:val="none" w:sz="0" w:space="0" w:color="auto"/>
              </w:divBdr>
            </w:div>
          </w:divsChild>
        </w:div>
        <w:div w:id="1657997296">
          <w:marLeft w:val="0"/>
          <w:marRight w:val="0"/>
          <w:marTop w:val="0"/>
          <w:marBottom w:val="0"/>
          <w:divBdr>
            <w:top w:val="none" w:sz="0" w:space="0" w:color="auto"/>
            <w:left w:val="none" w:sz="0" w:space="0" w:color="auto"/>
            <w:bottom w:val="none" w:sz="0" w:space="0" w:color="auto"/>
            <w:right w:val="none" w:sz="0" w:space="0" w:color="auto"/>
          </w:divBdr>
          <w:divsChild>
            <w:div w:id="652291825">
              <w:marLeft w:val="0"/>
              <w:marRight w:val="0"/>
              <w:marTop w:val="0"/>
              <w:marBottom w:val="0"/>
              <w:divBdr>
                <w:top w:val="none" w:sz="0" w:space="0" w:color="auto"/>
                <w:left w:val="none" w:sz="0" w:space="0" w:color="auto"/>
                <w:bottom w:val="none" w:sz="0" w:space="0" w:color="auto"/>
                <w:right w:val="none" w:sz="0" w:space="0" w:color="auto"/>
              </w:divBdr>
            </w:div>
          </w:divsChild>
        </w:div>
        <w:div w:id="1661040804">
          <w:marLeft w:val="0"/>
          <w:marRight w:val="0"/>
          <w:marTop w:val="0"/>
          <w:marBottom w:val="0"/>
          <w:divBdr>
            <w:top w:val="none" w:sz="0" w:space="0" w:color="auto"/>
            <w:left w:val="none" w:sz="0" w:space="0" w:color="auto"/>
            <w:bottom w:val="none" w:sz="0" w:space="0" w:color="auto"/>
            <w:right w:val="none" w:sz="0" w:space="0" w:color="auto"/>
          </w:divBdr>
          <w:divsChild>
            <w:div w:id="3368049">
              <w:marLeft w:val="0"/>
              <w:marRight w:val="0"/>
              <w:marTop w:val="0"/>
              <w:marBottom w:val="0"/>
              <w:divBdr>
                <w:top w:val="none" w:sz="0" w:space="0" w:color="auto"/>
                <w:left w:val="none" w:sz="0" w:space="0" w:color="auto"/>
                <w:bottom w:val="none" w:sz="0" w:space="0" w:color="auto"/>
                <w:right w:val="none" w:sz="0" w:space="0" w:color="auto"/>
              </w:divBdr>
            </w:div>
          </w:divsChild>
        </w:div>
        <w:div w:id="1667440139">
          <w:marLeft w:val="0"/>
          <w:marRight w:val="0"/>
          <w:marTop w:val="0"/>
          <w:marBottom w:val="0"/>
          <w:divBdr>
            <w:top w:val="none" w:sz="0" w:space="0" w:color="auto"/>
            <w:left w:val="none" w:sz="0" w:space="0" w:color="auto"/>
            <w:bottom w:val="none" w:sz="0" w:space="0" w:color="auto"/>
            <w:right w:val="none" w:sz="0" w:space="0" w:color="auto"/>
          </w:divBdr>
          <w:divsChild>
            <w:div w:id="915672051">
              <w:marLeft w:val="0"/>
              <w:marRight w:val="0"/>
              <w:marTop w:val="0"/>
              <w:marBottom w:val="0"/>
              <w:divBdr>
                <w:top w:val="none" w:sz="0" w:space="0" w:color="auto"/>
                <w:left w:val="none" w:sz="0" w:space="0" w:color="auto"/>
                <w:bottom w:val="none" w:sz="0" w:space="0" w:color="auto"/>
                <w:right w:val="none" w:sz="0" w:space="0" w:color="auto"/>
              </w:divBdr>
            </w:div>
          </w:divsChild>
        </w:div>
        <w:div w:id="1678186956">
          <w:marLeft w:val="0"/>
          <w:marRight w:val="0"/>
          <w:marTop w:val="0"/>
          <w:marBottom w:val="0"/>
          <w:divBdr>
            <w:top w:val="none" w:sz="0" w:space="0" w:color="auto"/>
            <w:left w:val="none" w:sz="0" w:space="0" w:color="auto"/>
            <w:bottom w:val="none" w:sz="0" w:space="0" w:color="auto"/>
            <w:right w:val="none" w:sz="0" w:space="0" w:color="auto"/>
          </w:divBdr>
          <w:divsChild>
            <w:div w:id="19480279">
              <w:marLeft w:val="0"/>
              <w:marRight w:val="0"/>
              <w:marTop w:val="0"/>
              <w:marBottom w:val="0"/>
              <w:divBdr>
                <w:top w:val="none" w:sz="0" w:space="0" w:color="auto"/>
                <w:left w:val="none" w:sz="0" w:space="0" w:color="auto"/>
                <w:bottom w:val="none" w:sz="0" w:space="0" w:color="auto"/>
                <w:right w:val="none" w:sz="0" w:space="0" w:color="auto"/>
              </w:divBdr>
            </w:div>
          </w:divsChild>
        </w:div>
        <w:div w:id="1690789218">
          <w:marLeft w:val="0"/>
          <w:marRight w:val="0"/>
          <w:marTop w:val="0"/>
          <w:marBottom w:val="0"/>
          <w:divBdr>
            <w:top w:val="none" w:sz="0" w:space="0" w:color="auto"/>
            <w:left w:val="none" w:sz="0" w:space="0" w:color="auto"/>
            <w:bottom w:val="none" w:sz="0" w:space="0" w:color="auto"/>
            <w:right w:val="none" w:sz="0" w:space="0" w:color="auto"/>
          </w:divBdr>
          <w:divsChild>
            <w:div w:id="432632943">
              <w:marLeft w:val="0"/>
              <w:marRight w:val="0"/>
              <w:marTop w:val="0"/>
              <w:marBottom w:val="0"/>
              <w:divBdr>
                <w:top w:val="none" w:sz="0" w:space="0" w:color="auto"/>
                <w:left w:val="none" w:sz="0" w:space="0" w:color="auto"/>
                <w:bottom w:val="none" w:sz="0" w:space="0" w:color="auto"/>
                <w:right w:val="none" w:sz="0" w:space="0" w:color="auto"/>
              </w:divBdr>
            </w:div>
          </w:divsChild>
        </w:div>
        <w:div w:id="1711301611">
          <w:marLeft w:val="0"/>
          <w:marRight w:val="0"/>
          <w:marTop w:val="0"/>
          <w:marBottom w:val="0"/>
          <w:divBdr>
            <w:top w:val="none" w:sz="0" w:space="0" w:color="auto"/>
            <w:left w:val="none" w:sz="0" w:space="0" w:color="auto"/>
            <w:bottom w:val="none" w:sz="0" w:space="0" w:color="auto"/>
            <w:right w:val="none" w:sz="0" w:space="0" w:color="auto"/>
          </w:divBdr>
          <w:divsChild>
            <w:div w:id="964969770">
              <w:marLeft w:val="0"/>
              <w:marRight w:val="0"/>
              <w:marTop w:val="0"/>
              <w:marBottom w:val="0"/>
              <w:divBdr>
                <w:top w:val="none" w:sz="0" w:space="0" w:color="auto"/>
                <w:left w:val="none" w:sz="0" w:space="0" w:color="auto"/>
                <w:bottom w:val="none" w:sz="0" w:space="0" w:color="auto"/>
                <w:right w:val="none" w:sz="0" w:space="0" w:color="auto"/>
              </w:divBdr>
            </w:div>
          </w:divsChild>
        </w:div>
        <w:div w:id="1713260206">
          <w:marLeft w:val="0"/>
          <w:marRight w:val="0"/>
          <w:marTop w:val="0"/>
          <w:marBottom w:val="0"/>
          <w:divBdr>
            <w:top w:val="none" w:sz="0" w:space="0" w:color="auto"/>
            <w:left w:val="none" w:sz="0" w:space="0" w:color="auto"/>
            <w:bottom w:val="none" w:sz="0" w:space="0" w:color="auto"/>
            <w:right w:val="none" w:sz="0" w:space="0" w:color="auto"/>
          </w:divBdr>
          <w:divsChild>
            <w:div w:id="2089960282">
              <w:marLeft w:val="0"/>
              <w:marRight w:val="0"/>
              <w:marTop w:val="0"/>
              <w:marBottom w:val="0"/>
              <w:divBdr>
                <w:top w:val="none" w:sz="0" w:space="0" w:color="auto"/>
                <w:left w:val="none" w:sz="0" w:space="0" w:color="auto"/>
                <w:bottom w:val="none" w:sz="0" w:space="0" w:color="auto"/>
                <w:right w:val="none" w:sz="0" w:space="0" w:color="auto"/>
              </w:divBdr>
            </w:div>
          </w:divsChild>
        </w:div>
        <w:div w:id="1716461302">
          <w:marLeft w:val="0"/>
          <w:marRight w:val="0"/>
          <w:marTop w:val="0"/>
          <w:marBottom w:val="0"/>
          <w:divBdr>
            <w:top w:val="none" w:sz="0" w:space="0" w:color="auto"/>
            <w:left w:val="none" w:sz="0" w:space="0" w:color="auto"/>
            <w:bottom w:val="none" w:sz="0" w:space="0" w:color="auto"/>
            <w:right w:val="none" w:sz="0" w:space="0" w:color="auto"/>
          </w:divBdr>
          <w:divsChild>
            <w:div w:id="637078254">
              <w:marLeft w:val="0"/>
              <w:marRight w:val="0"/>
              <w:marTop w:val="0"/>
              <w:marBottom w:val="0"/>
              <w:divBdr>
                <w:top w:val="none" w:sz="0" w:space="0" w:color="auto"/>
                <w:left w:val="none" w:sz="0" w:space="0" w:color="auto"/>
                <w:bottom w:val="none" w:sz="0" w:space="0" w:color="auto"/>
                <w:right w:val="none" w:sz="0" w:space="0" w:color="auto"/>
              </w:divBdr>
            </w:div>
          </w:divsChild>
        </w:div>
        <w:div w:id="1724866324">
          <w:marLeft w:val="0"/>
          <w:marRight w:val="0"/>
          <w:marTop w:val="0"/>
          <w:marBottom w:val="0"/>
          <w:divBdr>
            <w:top w:val="none" w:sz="0" w:space="0" w:color="auto"/>
            <w:left w:val="none" w:sz="0" w:space="0" w:color="auto"/>
            <w:bottom w:val="none" w:sz="0" w:space="0" w:color="auto"/>
            <w:right w:val="none" w:sz="0" w:space="0" w:color="auto"/>
          </w:divBdr>
          <w:divsChild>
            <w:div w:id="846528534">
              <w:marLeft w:val="0"/>
              <w:marRight w:val="0"/>
              <w:marTop w:val="0"/>
              <w:marBottom w:val="0"/>
              <w:divBdr>
                <w:top w:val="none" w:sz="0" w:space="0" w:color="auto"/>
                <w:left w:val="none" w:sz="0" w:space="0" w:color="auto"/>
                <w:bottom w:val="none" w:sz="0" w:space="0" w:color="auto"/>
                <w:right w:val="none" w:sz="0" w:space="0" w:color="auto"/>
              </w:divBdr>
            </w:div>
          </w:divsChild>
        </w:div>
        <w:div w:id="1728069580">
          <w:marLeft w:val="0"/>
          <w:marRight w:val="0"/>
          <w:marTop w:val="0"/>
          <w:marBottom w:val="0"/>
          <w:divBdr>
            <w:top w:val="none" w:sz="0" w:space="0" w:color="auto"/>
            <w:left w:val="none" w:sz="0" w:space="0" w:color="auto"/>
            <w:bottom w:val="none" w:sz="0" w:space="0" w:color="auto"/>
            <w:right w:val="none" w:sz="0" w:space="0" w:color="auto"/>
          </w:divBdr>
          <w:divsChild>
            <w:div w:id="1407606907">
              <w:marLeft w:val="0"/>
              <w:marRight w:val="0"/>
              <w:marTop w:val="0"/>
              <w:marBottom w:val="0"/>
              <w:divBdr>
                <w:top w:val="none" w:sz="0" w:space="0" w:color="auto"/>
                <w:left w:val="none" w:sz="0" w:space="0" w:color="auto"/>
                <w:bottom w:val="none" w:sz="0" w:space="0" w:color="auto"/>
                <w:right w:val="none" w:sz="0" w:space="0" w:color="auto"/>
              </w:divBdr>
            </w:div>
          </w:divsChild>
        </w:div>
        <w:div w:id="1745445351">
          <w:marLeft w:val="0"/>
          <w:marRight w:val="0"/>
          <w:marTop w:val="0"/>
          <w:marBottom w:val="0"/>
          <w:divBdr>
            <w:top w:val="none" w:sz="0" w:space="0" w:color="auto"/>
            <w:left w:val="none" w:sz="0" w:space="0" w:color="auto"/>
            <w:bottom w:val="none" w:sz="0" w:space="0" w:color="auto"/>
            <w:right w:val="none" w:sz="0" w:space="0" w:color="auto"/>
          </w:divBdr>
          <w:divsChild>
            <w:div w:id="704674637">
              <w:marLeft w:val="0"/>
              <w:marRight w:val="0"/>
              <w:marTop w:val="0"/>
              <w:marBottom w:val="0"/>
              <w:divBdr>
                <w:top w:val="none" w:sz="0" w:space="0" w:color="auto"/>
                <w:left w:val="none" w:sz="0" w:space="0" w:color="auto"/>
                <w:bottom w:val="none" w:sz="0" w:space="0" w:color="auto"/>
                <w:right w:val="none" w:sz="0" w:space="0" w:color="auto"/>
              </w:divBdr>
            </w:div>
          </w:divsChild>
        </w:div>
        <w:div w:id="1753428638">
          <w:marLeft w:val="0"/>
          <w:marRight w:val="0"/>
          <w:marTop w:val="0"/>
          <w:marBottom w:val="0"/>
          <w:divBdr>
            <w:top w:val="none" w:sz="0" w:space="0" w:color="auto"/>
            <w:left w:val="none" w:sz="0" w:space="0" w:color="auto"/>
            <w:bottom w:val="none" w:sz="0" w:space="0" w:color="auto"/>
            <w:right w:val="none" w:sz="0" w:space="0" w:color="auto"/>
          </w:divBdr>
          <w:divsChild>
            <w:div w:id="1687058406">
              <w:marLeft w:val="0"/>
              <w:marRight w:val="0"/>
              <w:marTop w:val="0"/>
              <w:marBottom w:val="0"/>
              <w:divBdr>
                <w:top w:val="none" w:sz="0" w:space="0" w:color="auto"/>
                <w:left w:val="none" w:sz="0" w:space="0" w:color="auto"/>
                <w:bottom w:val="none" w:sz="0" w:space="0" w:color="auto"/>
                <w:right w:val="none" w:sz="0" w:space="0" w:color="auto"/>
              </w:divBdr>
            </w:div>
          </w:divsChild>
        </w:div>
        <w:div w:id="1755545251">
          <w:marLeft w:val="0"/>
          <w:marRight w:val="0"/>
          <w:marTop w:val="0"/>
          <w:marBottom w:val="0"/>
          <w:divBdr>
            <w:top w:val="none" w:sz="0" w:space="0" w:color="auto"/>
            <w:left w:val="none" w:sz="0" w:space="0" w:color="auto"/>
            <w:bottom w:val="none" w:sz="0" w:space="0" w:color="auto"/>
            <w:right w:val="none" w:sz="0" w:space="0" w:color="auto"/>
          </w:divBdr>
          <w:divsChild>
            <w:div w:id="116996286">
              <w:marLeft w:val="0"/>
              <w:marRight w:val="0"/>
              <w:marTop w:val="0"/>
              <w:marBottom w:val="0"/>
              <w:divBdr>
                <w:top w:val="none" w:sz="0" w:space="0" w:color="auto"/>
                <w:left w:val="none" w:sz="0" w:space="0" w:color="auto"/>
                <w:bottom w:val="none" w:sz="0" w:space="0" w:color="auto"/>
                <w:right w:val="none" w:sz="0" w:space="0" w:color="auto"/>
              </w:divBdr>
            </w:div>
          </w:divsChild>
        </w:div>
        <w:div w:id="1779106641">
          <w:marLeft w:val="0"/>
          <w:marRight w:val="0"/>
          <w:marTop w:val="0"/>
          <w:marBottom w:val="0"/>
          <w:divBdr>
            <w:top w:val="none" w:sz="0" w:space="0" w:color="auto"/>
            <w:left w:val="none" w:sz="0" w:space="0" w:color="auto"/>
            <w:bottom w:val="none" w:sz="0" w:space="0" w:color="auto"/>
            <w:right w:val="none" w:sz="0" w:space="0" w:color="auto"/>
          </w:divBdr>
          <w:divsChild>
            <w:div w:id="1948848916">
              <w:marLeft w:val="0"/>
              <w:marRight w:val="0"/>
              <w:marTop w:val="0"/>
              <w:marBottom w:val="0"/>
              <w:divBdr>
                <w:top w:val="none" w:sz="0" w:space="0" w:color="auto"/>
                <w:left w:val="none" w:sz="0" w:space="0" w:color="auto"/>
                <w:bottom w:val="none" w:sz="0" w:space="0" w:color="auto"/>
                <w:right w:val="none" w:sz="0" w:space="0" w:color="auto"/>
              </w:divBdr>
            </w:div>
          </w:divsChild>
        </w:div>
        <w:div w:id="1780248336">
          <w:marLeft w:val="0"/>
          <w:marRight w:val="0"/>
          <w:marTop w:val="0"/>
          <w:marBottom w:val="0"/>
          <w:divBdr>
            <w:top w:val="none" w:sz="0" w:space="0" w:color="auto"/>
            <w:left w:val="none" w:sz="0" w:space="0" w:color="auto"/>
            <w:bottom w:val="none" w:sz="0" w:space="0" w:color="auto"/>
            <w:right w:val="none" w:sz="0" w:space="0" w:color="auto"/>
          </w:divBdr>
          <w:divsChild>
            <w:div w:id="629284805">
              <w:marLeft w:val="0"/>
              <w:marRight w:val="0"/>
              <w:marTop w:val="0"/>
              <w:marBottom w:val="0"/>
              <w:divBdr>
                <w:top w:val="none" w:sz="0" w:space="0" w:color="auto"/>
                <w:left w:val="none" w:sz="0" w:space="0" w:color="auto"/>
                <w:bottom w:val="none" w:sz="0" w:space="0" w:color="auto"/>
                <w:right w:val="none" w:sz="0" w:space="0" w:color="auto"/>
              </w:divBdr>
            </w:div>
          </w:divsChild>
        </w:div>
        <w:div w:id="1786347243">
          <w:marLeft w:val="0"/>
          <w:marRight w:val="0"/>
          <w:marTop w:val="0"/>
          <w:marBottom w:val="0"/>
          <w:divBdr>
            <w:top w:val="none" w:sz="0" w:space="0" w:color="auto"/>
            <w:left w:val="none" w:sz="0" w:space="0" w:color="auto"/>
            <w:bottom w:val="none" w:sz="0" w:space="0" w:color="auto"/>
            <w:right w:val="none" w:sz="0" w:space="0" w:color="auto"/>
          </w:divBdr>
          <w:divsChild>
            <w:div w:id="1201864763">
              <w:marLeft w:val="0"/>
              <w:marRight w:val="0"/>
              <w:marTop w:val="0"/>
              <w:marBottom w:val="0"/>
              <w:divBdr>
                <w:top w:val="none" w:sz="0" w:space="0" w:color="auto"/>
                <w:left w:val="none" w:sz="0" w:space="0" w:color="auto"/>
                <w:bottom w:val="none" w:sz="0" w:space="0" w:color="auto"/>
                <w:right w:val="none" w:sz="0" w:space="0" w:color="auto"/>
              </w:divBdr>
            </w:div>
          </w:divsChild>
        </w:div>
        <w:div w:id="1788161615">
          <w:marLeft w:val="0"/>
          <w:marRight w:val="0"/>
          <w:marTop w:val="0"/>
          <w:marBottom w:val="0"/>
          <w:divBdr>
            <w:top w:val="none" w:sz="0" w:space="0" w:color="auto"/>
            <w:left w:val="none" w:sz="0" w:space="0" w:color="auto"/>
            <w:bottom w:val="none" w:sz="0" w:space="0" w:color="auto"/>
            <w:right w:val="none" w:sz="0" w:space="0" w:color="auto"/>
          </w:divBdr>
          <w:divsChild>
            <w:div w:id="1669362302">
              <w:marLeft w:val="0"/>
              <w:marRight w:val="0"/>
              <w:marTop w:val="0"/>
              <w:marBottom w:val="0"/>
              <w:divBdr>
                <w:top w:val="none" w:sz="0" w:space="0" w:color="auto"/>
                <w:left w:val="none" w:sz="0" w:space="0" w:color="auto"/>
                <w:bottom w:val="none" w:sz="0" w:space="0" w:color="auto"/>
                <w:right w:val="none" w:sz="0" w:space="0" w:color="auto"/>
              </w:divBdr>
            </w:div>
          </w:divsChild>
        </w:div>
        <w:div w:id="1794014046">
          <w:marLeft w:val="0"/>
          <w:marRight w:val="0"/>
          <w:marTop w:val="0"/>
          <w:marBottom w:val="0"/>
          <w:divBdr>
            <w:top w:val="none" w:sz="0" w:space="0" w:color="auto"/>
            <w:left w:val="none" w:sz="0" w:space="0" w:color="auto"/>
            <w:bottom w:val="none" w:sz="0" w:space="0" w:color="auto"/>
            <w:right w:val="none" w:sz="0" w:space="0" w:color="auto"/>
          </w:divBdr>
          <w:divsChild>
            <w:div w:id="1554846530">
              <w:marLeft w:val="0"/>
              <w:marRight w:val="0"/>
              <w:marTop w:val="0"/>
              <w:marBottom w:val="0"/>
              <w:divBdr>
                <w:top w:val="none" w:sz="0" w:space="0" w:color="auto"/>
                <w:left w:val="none" w:sz="0" w:space="0" w:color="auto"/>
                <w:bottom w:val="none" w:sz="0" w:space="0" w:color="auto"/>
                <w:right w:val="none" w:sz="0" w:space="0" w:color="auto"/>
              </w:divBdr>
            </w:div>
          </w:divsChild>
        </w:div>
        <w:div w:id="1797527088">
          <w:marLeft w:val="0"/>
          <w:marRight w:val="0"/>
          <w:marTop w:val="0"/>
          <w:marBottom w:val="0"/>
          <w:divBdr>
            <w:top w:val="none" w:sz="0" w:space="0" w:color="auto"/>
            <w:left w:val="none" w:sz="0" w:space="0" w:color="auto"/>
            <w:bottom w:val="none" w:sz="0" w:space="0" w:color="auto"/>
            <w:right w:val="none" w:sz="0" w:space="0" w:color="auto"/>
          </w:divBdr>
          <w:divsChild>
            <w:div w:id="92870770">
              <w:marLeft w:val="0"/>
              <w:marRight w:val="0"/>
              <w:marTop w:val="0"/>
              <w:marBottom w:val="0"/>
              <w:divBdr>
                <w:top w:val="none" w:sz="0" w:space="0" w:color="auto"/>
                <w:left w:val="none" w:sz="0" w:space="0" w:color="auto"/>
                <w:bottom w:val="none" w:sz="0" w:space="0" w:color="auto"/>
                <w:right w:val="none" w:sz="0" w:space="0" w:color="auto"/>
              </w:divBdr>
            </w:div>
          </w:divsChild>
        </w:div>
        <w:div w:id="1798453392">
          <w:marLeft w:val="0"/>
          <w:marRight w:val="0"/>
          <w:marTop w:val="0"/>
          <w:marBottom w:val="0"/>
          <w:divBdr>
            <w:top w:val="none" w:sz="0" w:space="0" w:color="auto"/>
            <w:left w:val="none" w:sz="0" w:space="0" w:color="auto"/>
            <w:bottom w:val="none" w:sz="0" w:space="0" w:color="auto"/>
            <w:right w:val="none" w:sz="0" w:space="0" w:color="auto"/>
          </w:divBdr>
          <w:divsChild>
            <w:div w:id="1155680631">
              <w:marLeft w:val="0"/>
              <w:marRight w:val="0"/>
              <w:marTop w:val="0"/>
              <w:marBottom w:val="0"/>
              <w:divBdr>
                <w:top w:val="none" w:sz="0" w:space="0" w:color="auto"/>
                <w:left w:val="none" w:sz="0" w:space="0" w:color="auto"/>
                <w:bottom w:val="none" w:sz="0" w:space="0" w:color="auto"/>
                <w:right w:val="none" w:sz="0" w:space="0" w:color="auto"/>
              </w:divBdr>
            </w:div>
          </w:divsChild>
        </w:div>
        <w:div w:id="1800877844">
          <w:marLeft w:val="0"/>
          <w:marRight w:val="0"/>
          <w:marTop w:val="0"/>
          <w:marBottom w:val="0"/>
          <w:divBdr>
            <w:top w:val="none" w:sz="0" w:space="0" w:color="auto"/>
            <w:left w:val="none" w:sz="0" w:space="0" w:color="auto"/>
            <w:bottom w:val="none" w:sz="0" w:space="0" w:color="auto"/>
            <w:right w:val="none" w:sz="0" w:space="0" w:color="auto"/>
          </w:divBdr>
          <w:divsChild>
            <w:div w:id="1002929384">
              <w:marLeft w:val="0"/>
              <w:marRight w:val="0"/>
              <w:marTop w:val="0"/>
              <w:marBottom w:val="0"/>
              <w:divBdr>
                <w:top w:val="none" w:sz="0" w:space="0" w:color="auto"/>
                <w:left w:val="none" w:sz="0" w:space="0" w:color="auto"/>
                <w:bottom w:val="none" w:sz="0" w:space="0" w:color="auto"/>
                <w:right w:val="none" w:sz="0" w:space="0" w:color="auto"/>
              </w:divBdr>
            </w:div>
          </w:divsChild>
        </w:div>
        <w:div w:id="1803689645">
          <w:marLeft w:val="0"/>
          <w:marRight w:val="0"/>
          <w:marTop w:val="0"/>
          <w:marBottom w:val="0"/>
          <w:divBdr>
            <w:top w:val="none" w:sz="0" w:space="0" w:color="auto"/>
            <w:left w:val="none" w:sz="0" w:space="0" w:color="auto"/>
            <w:bottom w:val="none" w:sz="0" w:space="0" w:color="auto"/>
            <w:right w:val="none" w:sz="0" w:space="0" w:color="auto"/>
          </w:divBdr>
          <w:divsChild>
            <w:div w:id="2004701686">
              <w:marLeft w:val="0"/>
              <w:marRight w:val="0"/>
              <w:marTop w:val="0"/>
              <w:marBottom w:val="0"/>
              <w:divBdr>
                <w:top w:val="none" w:sz="0" w:space="0" w:color="auto"/>
                <w:left w:val="none" w:sz="0" w:space="0" w:color="auto"/>
                <w:bottom w:val="none" w:sz="0" w:space="0" w:color="auto"/>
                <w:right w:val="none" w:sz="0" w:space="0" w:color="auto"/>
              </w:divBdr>
            </w:div>
          </w:divsChild>
        </w:div>
        <w:div w:id="1806510860">
          <w:marLeft w:val="0"/>
          <w:marRight w:val="0"/>
          <w:marTop w:val="0"/>
          <w:marBottom w:val="0"/>
          <w:divBdr>
            <w:top w:val="none" w:sz="0" w:space="0" w:color="auto"/>
            <w:left w:val="none" w:sz="0" w:space="0" w:color="auto"/>
            <w:bottom w:val="none" w:sz="0" w:space="0" w:color="auto"/>
            <w:right w:val="none" w:sz="0" w:space="0" w:color="auto"/>
          </w:divBdr>
          <w:divsChild>
            <w:div w:id="1331106426">
              <w:marLeft w:val="0"/>
              <w:marRight w:val="0"/>
              <w:marTop w:val="0"/>
              <w:marBottom w:val="0"/>
              <w:divBdr>
                <w:top w:val="none" w:sz="0" w:space="0" w:color="auto"/>
                <w:left w:val="none" w:sz="0" w:space="0" w:color="auto"/>
                <w:bottom w:val="none" w:sz="0" w:space="0" w:color="auto"/>
                <w:right w:val="none" w:sz="0" w:space="0" w:color="auto"/>
              </w:divBdr>
            </w:div>
          </w:divsChild>
        </w:div>
        <w:div w:id="1807120458">
          <w:marLeft w:val="0"/>
          <w:marRight w:val="0"/>
          <w:marTop w:val="0"/>
          <w:marBottom w:val="0"/>
          <w:divBdr>
            <w:top w:val="none" w:sz="0" w:space="0" w:color="auto"/>
            <w:left w:val="none" w:sz="0" w:space="0" w:color="auto"/>
            <w:bottom w:val="none" w:sz="0" w:space="0" w:color="auto"/>
            <w:right w:val="none" w:sz="0" w:space="0" w:color="auto"/>
          </w:divBdr>
          <w:divsChild>
            <w:div w:id="1043401711">
              <w:marLeft w:val="0"/>
              <w:marRight w:val="0"/>
              <w:marTop w:val="0"/>
              <w:marBottom w:val="0"/>
              <w:divBdr>
                <w:top w:val="none" w:sz="0" w:space="0" w:color="auto"/>
                <w:left w:val="none" w:sz="0" w:space="0" w:color="auto"/>
                <w:bottom w:val="none" w:sz="0" w:space="0" w:color="auto"/>
                <w:right w:val="none" w:sz="0" w:space="0" w:color="auto"/>
              </w:divBdr>
            </w:div>
          </w:divsChild>
        </w:div>
        <w:div w:id="1819955376">
          <w:marLeft w:val="0"/>
          <w:marRight w:val="0"/>
          <w:marTop w:val="0"/>
          <w:marBottom w:val="0"/>
          <w:divBdr>
            <w:top w:val="none" w:sz="0" w:space="0" w:color="auto"/>
            <w:left w:val="none" w:sz="0" w:space="0" w:color="auto"/>
            <w:bottom w:val="none" w:sz="0" w:space="0" w:color="auto"/>
            <w:right w:val="none" w:sz="0" w:space="0" w:color="auto"/>
          </w:divBdr>
          <w:divsChild>
            <w:div w:id="108358373">
              <w:marLeft w:val="0"/>
              <w:marRight w:val="0"/>
              <w:marTop w:val="0"/>
              <w:marBottom w:val="0"/>
              <w:divBdr>
                <w:top w:val="none" w:sz="0" w:space="0" w:color="auto"/>
                <w:left w:val="none" w:sz="0" w:space="0" w:color="auto"/>
                <w:bottom w:val="none" w:sz="0" w:space="0" w:color="auto"/>
                <w:right w:val="none" w:sz="0" w:space="0" w:color="auto"/>
              </w:divBdr>
            </w:div>
          </w:divsChild>
        </w:div>
        <w:div w:id="1848671404">
          <w:marLeft w:val="0"/>
          <w:marRight w:val="0"/>
          <w:marTop w:val="0"/>
          <w:marBottom w:val="0"/>
          <w:divBdr>
            <w:top w:val="none" w:sz="0" w:space="0" w:color="auto"/>
            <w:left w:val="none" w:sz="0" w:space="0" w:color="auto"/>
            <w:bottom w:val="none" w:sz="0" w:space="0" w:color="auto"/>
            <w:right w:val="none" w:sz="0" w:space="0" w:color="auto"/>
          </w:divBdr>
          <w:divsChild>
            <w:div w:id="1589340437">
              <w:marLeft w:val="0"/>
              <w:marRight w:val="0"/>
              <w:marTop w:val="0"/>
              <w:marBottom w:val="0"/>
              <w:divBdr>
                <w:top w:val="none" w:sz="0" w:space="0" w:color="auto"/>
                <w:left w:val="none" w:sz="0" w:space="0" w:color="auto"/>
                <w:bottom w:val="none" w:sz="0" w:space="0" w:color="auto"/>
                <w:right w:val="none" w:sz="0" w:space="0" w:color="auto"/>
              </w:divBdr>
            </w:div>
          </w:divsChild>
        </w:div>
        <w:div w:id="1850748792">
          <w:marLeft w:val="0"/>
          <w:marRight w:val="0"/>
          <w:marTop w:val="0"/>
          <w:marBottom w:val="0"/>
          <w:divBdr>
            <w:top w:val="none" w:sz="0" w:space="0" w:color="auto"/>
            <w:left w:val="none" w:sz="0" w:space="0" w:color="auto"/>
            <w:bottom w:val="none" w:sz="0" w:space="0" w:color="auto"/>
            <w:right w:val="none" w:sz="0" w:space="0" w:color="auto"/>
          </w:divBdr>
          <w:divsChild>
            <w:div w:id="1068187131">
              <w:marLeft w:val="0"/>
              <w:marRight w:val="0"/>
              <w:marTop w:val="0"/>
              <w:marBottom w:val="0"/>
              <w:divBdr>
                <w:top w:val="none" w:sz="0" w:space="0" w:color="auto"/>
                <w:left w:val="none" w:sz="0" w:space="0" w:color="auto"/>
                <w:bottom w:val="none" w:sz="0" w:space="0" w:color="auto"/>
                <w:right w:val="none" w:sz="0" w:space="0" w:color="auto"/>
              </w:divBdr>
            </w:div>
          </w:divsChild>
        </w:div>
        <w:div w:id="1851328678">
          <w:marLeft w:val="0"/>
          <w:marRight w:val="0"/>
          <w:marTop w:val="0"/>
          <w:marBottom w:val="0"/>
          <w:divBdr>
            <w:top w:val="none" w:sz="0" w:space="0" w:color="auto"/>
            <w:left w:val="none" w:sz="0" w:space="0" w:color="auto"/>
            <w:bottom w:val="none" w:sz="0" w:space="0" w:color="auto"/>
            <w:right w:val="none" w:sz="0" w:space="0" w:color="auto"/>
          </w:divBdr>
          <w:divsChild>
            <w:div w:id="501118213">
              <w:marLeft w:val="0"/>
              <w:marRight w:val="0"/>
              <w:marTop w:val="0"/>
              <w:marBottom w:val="0"/>
              <w:divBdr>
                <w:top w:val="none" w:sz="0" w:space="0" w:color="auto"/>
                <w:left w:val="none" w:sz="0" w:space="0" w:color="auto"/>
                <w:bottom w:val="none" w:sz="0" w:space="0" w:color="auto"/>
                <w:right w:val="none" w:sz="0" w:space="0" w:color="auto"/>
              </w:divBdr>
            </w:div>
          </w:divsChild>
        </w:div>
        <w:div w:id="1851987785">
          <w:marLeft w:val="0"/>
          <w:marRight w:val="0"/>
          <w:marTop w:val="0"/>
          <w:marBottom w:val="0"/>
          <w:divBdr>
            <w:top w:val="none" w:sz="0" w:space="0" w:color="auto"/>
            <w:left w:val="none" w:sz="0" w:space="0" w:color="auto"/>
            <w:bottom w:val="none" w:sz="0" w:space="0" w:color="auto"/>
            <w:right w:val="none" w:sz="0" w:space="0" w:color="auto"/>
          </w:divBdr>
          <w:divsChild>
            <w:div w:id="795829478">
              <w:marLeft w:val="0"/>
              <w:marRight w:val="0"/>
              <w:marTop w:val="0"/>
              <w:marBottom w:val="0"/>
              <w:divBdr>
                <w:top w:val="none" w:sz="0" w:space="0" w:color="auto"/>
                <w:left w:val="none" w:sz="0" w:space="0" w:color="auto"/>
                <w:bottom w:val="none" w:sz="0" w:space="0" w:color="auto"/>
                <w:right w:val="none" w:sz="0" w:space="0" w:color="auto"/>
              </w:divBdr>
            </w:div>
          </w:divsChild>
        </w:div>
        <w:div w:id="1854176597">
          <w:marLeft w:val="0"/>
          <w:marRight w:val="0"/>
          <w:marTop w:val="0"/>
          <w:marBottom w:val="0"/>
          <w:divBdr>
            <w:top w:val="none" w:sz="0" w:space="0" w:color="auto"/>
            <w:left w:val="none" w:sz="0" w:space="0" w:color="auto"/>
            <w:bottom w:val="none" w:sz="0" w:space="0" w:color="auto"/>
            <w:right w:val="none" w:sz="0" w:space="0" w:color="auto"/>
          </w:divBdr>
          <w:divsChild>
            <w:div w:id="820267980">
              <w:marLeft w:val="0"/>
              <w:marRight w:val="0"/>
              <w:marTop w:val="0"/>
              <w:marBottom w:val="0"/>
              <w:divBdr>
                <w:top w:val="none" w:sz="0" w:space="0" w:color="auto"/>
                <w:left w:val="none" w:sz="0" w:space="0" w:color="auto"/>
                <w:bottom w:val="none" w:sz="0" w:space="0" w:color="auto"/>
                <w:right w:val="none" w:sz="0" w:space="0" w:color="auto"/>
              </w:divBdr>
            </w:div>
          </w:divsChild>
        </w:div>
        <w:div w:id="1858614752">
          <w:marLeft w:val="0"/>
          <w:marRight w:val="0"/>
          <w:marTop w:val="0"/>
          <w:marBottom w:val="0"/>
          <w:divBdr>
            <w:top w:val="none" w:sz="0" w:space="0" w:color="auto"/>
            <w:left w:val="none" w:sz="0" w:space="0" w:color="auto"/>
            <w:bottom w:val="none" w:sz="0" w:space="0" w:color="auto"/>
            <w:right w:val="none" w:sz="0" w:space="0" w:color="auto"/>
          </w:divBdr>
          <w:divsChild>
            <w:div w:id="425268909">
              <w:marLeft w:val="0"/>
              <w:marRight w:val="0"/>
              <w:marTop w:val="0"/>
              <w:marBottom w:val="0"/>
              <w:divBdr>
                <w:top w:val="none" w:sz="0" w:space="0" w:color="auto"/>
                <w:left w:val="none" w:sz="0" w:space="0" w:color="auto"/>
                <w:bottom w:val="none" w:sz="0" w:space="0" w:color="auto"/>
                <w:right w:val="none" w:sz="0" w:space="0" w:color="auto"/>
              </w:divBdr>
            </w:div>
          </w:divsChild>
        </w:div>
        <w:div w:id="1869105100">
          <w:marLeft w:val="0"/>
          <w:marRight w:val="0"/>
          <w:marTop w:val="0"/>
          <w:marBottom w:val="0"/>
          <w:divBdr>
            <w:top w:val="none" w:sz="0" w:space="0" w:color="auto"/>
            <w:left w:val="none" w:sz="0" w:space="0" w:color="auto"/>
            <w:bottom w:val="none" w:sz="0" w:space="0" w:color="auto"/>
            <w:right w:val="none" w:sz="0" w:space="0" w:color="auto"/>
          </w:divBdr>
          <w:divsChild>
            <w:div w:id="444230346">
              <w:marLeft w:val="0"/>
              <w:marRight w:val="0"/>
              <w:marTop w:val="0"/>
              <w:marBottom w:val="0"/>
              <w:divBdr>
                <w:top w:val="none" w:sz="0" w:space="0" w:color="auto"/>
                <w:left w:val="none" w:sz="0" w:space="0" w:color="auto"/>
                <w:bottom w:val="none" w:sz="0" w:space="0" w:color="auto"/>
                <w:right w:val="none" w:sz="0" w:space="0" w:color="auto"/>
              </w:divBdr>
            </w:div>
          </w:divsChild>
        </w:div>
        <w:div w:id="1869217831">
          <w:marLeft w:val="0"/>
          <w:marRight w:val="0"/>
          <w:marTop w:val="0"/>
          <w:marBottom w:val="0"/>
          <w:divBdr>
            <w:top w:val="none" w:sz="0" w:space="0" w:color="auto"/>
            <w:left w:val="none" w:sz="0" w:space="0" w:color="auto"/>
            <w:bottom w:val="none" w:sz="0" w:space="0" w:color="auto"/>
            <w:right w:val="none" w:sz="0" w:space="0" w:color="auto"/>
          </w:divBdr>
          <w:divsChild>
            <w:div w:id="1697852061">
              <w:marLeft w:val="0"/>
              <w:marRight w:val="0"/>
              <w:marTop w:val="0"/>
              <w:marBottom w:val="0"/>
              <w:divBdr>
                <w:top w:val="none" w:sz="0" w:space="0" w:color="auto"/>
                <w:left w:val="none" w:sz="0" w:space="0" w:color="auto"/>
                <w:bottom w:val="none" w:sz="0" w:space="0" w:color="auto"/>
                <w:right w:val="none" w:sz="0" w:space="0" w:color="auto"/>
              </w:divBdr>
            </w:div>
          </w:divsChild>
        </w:div>
        <w:div w:id="1873109844">
          <w:marLeft w:val="0"/>
          <w:marRight w:val="0"/>
          <w:marTop w:val="0"/>
          <w:marBottom w:val="0"/>
          <w:divBdr>
            <w:top w:val="none" w:sz="0" w:space="0" w:color="auto"/>
            <w:left w:val="none" w:sz="0" w:space="0" w:color="auto"/>
            <w:bottom w:val="none" w:sz="0" w:space="0" w:color="auto"/>
            <w:right w:val="none" w:sz="0" w:space="0" w:color="auto"/>
          </w:divBdr>
          <w:divsChild>
            <w:div w:id="1236741203">
              <w:marLeft w:val="0"/>
              <w:marRight w:val="0"/>
              <w:marTop w:val="0"/>
              <w:marBottom w:val="0"/>
              <w:divBdr>
                <w:top w:val="none" w:sz="0" w:space="0" w:color="auto"/>
                <w:left w:val="none" w:sz="0" w:space="0" w:color="auto"/>
                <w:bottom w:val="none" w:sz="0" w:space="0" w:color="auto"/>
                <w:right w:val="none" w:sz="0" w:space="0" w:color="auto"/>
              </w:divBdr>
            </w:div>
          </w:divsChild>
        </w:div>
        <w:div w:id="1889678989">
          <w:marLeft w:val="0"/>
          <w:marRight w:val="0"/>
          <w:marTop w:val="0"/>
          <w:marBottom w:val="0"/>
          <w:divBdr>
            <w:top w:val="none" w:sz="0" w:space="0" w:color="auto"/>
            <w:left w:val="none" w:sz="0" w:space="0" w:color="auto"/>
            <w:bottom w:val="none" w:sz="0" w:space="0" w:color="auto"/>
            <w:right w:val="none" w:sz="0" w:space="0" w:color="auto"/>
          </w:divBdr>
          <w:divsChild>
            <w:div w:id="1973706705">
              <w:marLeft w:val="0"/>
              <w:marRight w:val="0"/>
              <w:marTop w:val="0"/>
              <w:marBottom w:val="0"/>
              <w:divBdr>
                <w:top w:val="none" w:sz="0" w:space="0" w:color="auto"/>
                <w:left w:val="none" w:sz="0" w:space="0" w:color="auto"/>
                <w:bottom w:val="none" w:sz="0" w:space="0" w:color="auto"/>
                <w:right w:val="none" w:sz="0" w:space="0" w:color="auto"/>
              </w:divBdr>
            </w:div>
          </w:divsChild>
        </w:div>
        <w:div w:id="1903321322">
          <w:marLeft w:val="0"/>
          <w:marRight w:val="0"/>
          <w:marTop w:val="0"/>
          <w:marBottom w:val="0"/>
          <w:divBdr>
            <w:top w:val="none" w:sz="0" w:space="0" w:color="auto"/>
            <w:left w:val="none" w:sz="0" w:space="0" w:color="auto"/>
            <w:bottom w:val="none" w:sz="0" w:space="0" w:color="auto"/>
            <w:right w:val="none" w:sz="0" w:space="0" w:color="auto"/>
          </w:divBdr>
          <w:divsChild>
            <w:div w:id="1396709220">
              <w:marLeft w:val="0"/>
              <w:marRight w:val="0"/>
              <w:marTop w:val="0"/>
              <w:marBottom w:val="0"/>
              <w:divBdr>
                <w:top w:val="none" w:sz="0" w:space="0" w:color="auto"/>
                <w:left w:val="none" w:sz="0" w:space="0" w:color="auto"/>
                <w:bottom w:val="none" w:sz="0" w:space="0" w:color="auto"/>
                <w:right w:val="none" w:sz="0" w:space="0" w:color="auto"/>
              </w:divBdr>
            </w:div>
          </w:divsChild>
        </w:div>
        <w:div w:id="1906181523">
          <w:marLeft w:val="0"/>
          <w:marRight w:val="0"/>
          <w:marTop w:val="0"/>
          <w:marBottom w:val="0"/>
          <w:divBdr>
            <w:top w:val="none" w:sz="0" w:space="0" w:color="auto"/>
            <w:left w:val="none" w:sz="0" w:space="0" w:color="auto"/>
            <w:bottom w:val="none" w:sz="0" w:space="0" w:color="auto"/>
            <w:right w:val="none" w:sz="0" w:space="0" w:color="auto"/>
          </w:divBdr>
          <w:divsChild>
            <w:div w:id="2039775064">
              <w:marLeft w:val="0"/>
              <w:marRight w:val="0"/>
              <w:marTop w:val="0"/>
              <w:marBottom w:val="0"/>
              <w:divBdr>
                <w:top w:val="none" w:sz="0" w:space="0" w:color="auto"/>
                <w:left w:val="none" w:sz="0" w:space="0" w:color="auto"/>
                <w:bottom w:val="none" w:sz="0" w:space="0" w:color="auto"/>
                <w:right w:val="none" w:sz="0" w:space="0" w:color="auto"/>
              </w:divBdr>
            </w:div>
          </w:divsChild>
        </w:div>
        <w:div w:id="1917979001">
          <w:marLeft w:val="0"/>
          <w:marRight w:val="0"/>
          <w:marTop w:val="0"/>
          <w:marBottom w:val="0"/>
          <w:divBdr>
            <w:top w:val="none" w:sz="0" w:space="0" w:color="auto"/>
            <w:left w:val="none" w:sz="0" w:space="0" w:color="auto"/>
            <w:bottom w:val="none" w:sz="0" w:space="0" w:color="auto"/>
            <w:right w:val="none" w:sz="0" w:space="0" w:color="auto"/>
          </w:divBdr>
          <w:divsChild>
            <w:div w:id="1187020612">
              <w:marLeft w:val="0"/>
              <w:marRight w:val="0"/>
              <w:marTop w:val="0"/>
              <w:marBottom w:val="0"/>
              <w:divBdr>
                <w:top w:val="none" w:sz="0" w:space="0" w:color="auto"/>
                <w:left w:val="none" w:sz="0" w:space="0" w:color="auto"/>
                <w:bottom w:val="none" w:sz="0" w:space="0" w:color="auto"/>
                <w:right w:val="none" w:sz="0" w:space="0" w:color="auto"/>
              </w:divBdr>
            </w:div>
          </w:divsChild>
        </w:div>
        <w:div w:id="1919318405">
          <w:marLeft w:val="0"/>
          <w:marRight w:val="0"/>
          <w:marTop w:val="0"/>
          <w:marBottom w:val="0"/>
          <w:divBdr>
            <w:top w:val="none" w:sz="0" w:space="0" w:color="auto"/>
            <w:left w:val="none" w:sz="0" w:space="0" w:color="auto"/>
            <w:bottom w:val="none" w:sz="0" w:space="0" w:color="auto"/>
            <w:right w:val="none" w:sz="0" w:space="0" w:color="auto"/>
          </w:divBdr>
          <w:divsChild>
            <w:div w:id="115609160">
              <w:marLeft w:val="0"/>
              <w:marRight w:val="0"/>
              <w:marTop w:val="0"/>
              <w:marBottom w:val="0"/>
              <w:divBdr>
                <w:top w:val="none" w:sz="0" w:space="0" w:color="auto"/>
                <w:left w:val="none" w:sz="0" w:space="0" w:color="auto"/>
                <w:bottom w:val="none" w:sz="0" w:space="0" w:color="auto"/>
                <w:right w:val="none" w:sz="0" w:space="0" w:color="auto"/>
              </w:divBdr>
            </w:div>
          </w:divsChild>
        </w:div>
        <w:div w:id="1927490766">
          <w:marLeft w:val="0"/>
          <w:marRight w:val="0"/>
          <w:marTop w:val="0"/>
          <w:marBottom w:val="0"/>
          <w:divBdr>
            <w:top w:val="none" w:sz="0" w:space="0" w:color="auto"/>
            <w:left w:val="none" w:sz="0" w:space="0" w:color="auto"/>
            <w:bottom w:val="none" w:sz="0" w:space="0" w:color="auto"/>
            <w:right w:val="none" w:sz="0" w:space="0" w:color="auto"/>
          </w:divBdr>
          <w:divsChild>
            <w:div w:id="957106804">
              <w:marLeft w:val="0"/>
              <w:marRight w:val="0"/>
              <w:marTop w:val="0"/>
              <w:marBottom w:val="0"/>
              <w:divBdr>
                <w:top w:val="none" w:sz="0" w:space="0" w:color="auto"/>
                <w:left w:val="none" w:sz="0" w:space="0" w:color="auto"/>
                <w:bottom w:val="none" w:sz="0" w:space="0" w:color="auto"/>
                <w:right w:val="none" w:sz="0" w:space="0" w:color="auto"/>
              </w:divBdr>
            </w:div>
          </w:divsChild>
        </w:div>
        <w:div w:id="1930851813">
          <w:marLeft w:val="0"/>
          <w:marRight w:val="0"/>
          <w:marTop w:val="0"/>
          <w:marBottom w:val="0"/>
          <w:divBdr>
            <w:top w:val="none" w:sz="0" w:space="0" w:color="auto"/>
            <w:left w:val="none" w:sz="0" w:space="0" w:color="auto"/>
            <w:bottom w:val="none" w:sz="0" w:space="0" w:color="auto"/>
            <w:right w:val="none" w:sz="0" w:space="0" w:color="auto"/>
          </w:divBdr>
          <w:divsChild>
            <w:div w:id="134690029">
              <w:marLeft w:val="0"/>
              <w:marRight w:val="0"/>
              <w:marTop w:val="0"/>
              <w:marBottom w:val="0"/>
              <w:divBdr>
                <w:top w:val="none" w:sz="0" w:space="0" w:color="auto"/>
                <w:left w:val="none" w:sz="0" w:space="0" w:color="auto"/>
                <w:bottom w:val="none" w:sz="0" w:space="0" w:color="auto"/>
                <w:right w:val="none" w:sz="0" w:space="0" w:color="auto"/>
              </w:divBdr>
            </w:div>
          </w:divsChild>
        </w:div>
        <w:div w:id="1936817361">
          <w:marLeft w:val="0"/>
          <w:marRight w:val="0"/>
          <w:marTop w:val="0"/>
          <w:marBottom w:val="0"/>
          <w:divBdr>
            <w:top w:val="none" w:sz="0" w:space="0" w:color="auto"/>
            <w:left w:val="none" w:sz="0" w:space="0" w:color="auto"/>
            <w:bottom w:val="none" w:sz="0" w:space="0" w:color="auto"/>
            <w:right w:val="none" w:sz="0" w:space="0" w:color="auto"/>
          </w:divBdr>
          <w:divsChild>
            <w:div w:id="127019661">
              <w:marLeft w:val="0"/>
              <w:marRight w:val="0"/>
              <w:marTop w:val="0"/>
              <w:marBottom w:val="0"/>
              <w:divBdr>
                <w:top w:val="none" w:sz="0" w:space="0" w:color="auto"/>
                <w:left w:val="none" w:sz="0" w:space="0" w:color="auto"/>
                <w:bottom w:val="none" w:sz="0" w:space="0" w:color="auto"/>
                <w:right w:val="none" w:sz="0" w:space="0" w:color="auto"/>
              </w:divBdr>
            </w:div>
          </w:divsChild>
        </w:div>
        <w:div w:id="1941254172">
          <w:marLeft w:val="0"/>
          <w:marRight w:val="0"/>
          <w:marTop w:val="0"/>
          <w:marBottom w:val="0"/>
          <w:divBdr>
            <w:top w:val="none" w:sz="0" w:space="0" w:color="auto"/>
            <w:left w:val="none" w:sz="0" w:space="0" w:color="auto"/>
            <w:bottom w:val="none" w:sz="0" w:space="0" w:color="auto"/>
            <w:right w:val="none" w:sz="0" w:space="0" w:color="auto"/>
          </w:divBdr>
          <w:divsChild>
            <w:div w:id="1164515029">
              <w:marLeft w:val="0"/>
              <w:marRight w:val="0"/>
              <w:marTop w:val="0"/>
              <w:marBottom w:val="0"/>
              <w:divBdr>
                <w:top w:val="none" w:sz="0" w:space="0" w:color="auto"/>
                <w:left w:val="none" w:sz="0" w:space="0" w:color="auto"/>
                <w:bottom w:val="none" w:sz="0" w:space="0" w:color="auto"/>
                <w:right w:val="none" w:sz="0" w:space="0" w:color="auto"/>
              </w:divBdr>
            </w:div>
          </w:divsChild>
        </w:div>
        <w:div w:id="1966112561">
          <w:marLeft w:val="0"/>
          <w:marRight w:val="0"/>
          <w:marTop w:val="0"/>
          <w:marBottom w:val="0"/>
          <w:divBdr>
            <w:top w:val="none" w:sz="0" w:space="0" w:color="auto"/>
            <w:left w:val="none" w:sz="0" w:space="0" w:color="auto"/>
            <w:bottom w:val="none" w:sz="0" w:space="0" w:color="auto"/>
            <w:right w:val="none" w:sz="0" w:space="0" w:color="auto"/>
          </w:divBdr>
          <w:divsChild>
            <w:div w:id="968130008">
              <w:marLeft w:val="0"/>
              <w:marRight w:val="0"/>
              <w:marTop w:val="0"/>
              <w:marBottom w:val="0"/>
              <w:divBdr>
                <w:top w:val="none" w:sz="0" w:space="0" w:color="auto"/>
                <w:left w:val="none" w:sz="0" w:space="0" w:color="auto"/>
                <w:bottom w:val="none" w:sz="0" w:space="0" w:color="auto"/>
                <w:right w:val="none" w:sz="0" w:space="0" w:color="auto"/>
              </w:divBdr>
            </w:div>
          </w:divsChild>
        </w:div>
        <w:div w:id="1968971892">
          <w:marLeft w:val="0"/>
          <w:marRight w:val="0"/>
          <w:marTop w:val="0"/>
          <w:marBottom w:val="0"/>
          <w:divBdr>
            <w:top w:val="none" w:sz="0" w:space="0" w:color="auto"/>
            <w:left w:val="none" w:sz="0" w:space="0" w:color="auto"/>
            <w:bottom w:val="none" w:sz="0" w:space="0" w:color="auto"/>
            <w:right w:val="none" w:sz="0" w:space="0" w:color="auto"/>
          </w:divBdr>
          <w:divsChild>
            <w:div w:id="1170364442">
              <w:marLeft w:val="0"/>
              <w:marRight w:val="0"/>
              <w:marTop w:val="0"/>
              <w:marBottom w:val="0"/>
              <w:divBdr>
                <w:top w:val="none" w:sz="0" w:space="0" w:color="auto"/>
                <w:left w:val="none" w:sz="0" w:space="0" w:color="auto"/>
                <w:bottom w:val="none" w:sz="0" w:space="0" w:color="auto"/>
                <w:right w:val="none" w:sz="0" w:space="0" w:color="auto"/>
              </w:divBdr>
            </w:div>
          </w:divsChild>
        </w:div>
        <w:div w:id="1970667646">
          <w:marLeft w:val="0"/>
          <w:marRight w:val="0"/>
          <w:marTop w:val="0"/>
          <w:marBottom w:val="0"/>
          <w:divBdr>
            <w:top w:val="none" w:sz="0" w:space="0" w:color="auto"/>
            <w:left w:val="none" w:sz="0" w:space="0" w:color="auto"/>
            <w:bottom w:val="none" w:sz="0" w:space="0" w:color="auto"/>
            <w:right w:val="none" w:sz="0" w:space="0" w:color="auto"/>
          </w:divBdr>
          <w:divsChild>
            <w:div w:id="285157775">
              <w:marLeft w:val="0"/>
              <w:marRight w:val="0"/>
              <w:marTop w:val="0"/>
              <w:marBottom w:val="0"/>
              <w:divBdr>
                <w:top w:val="none" w:sz="0" w:space="0" w:color="auto"/>
                <w:left w:val="none" w:sz="0" w:space="0" w:color="auto"/>
                <w:bottom w:val="none" w:sz="0" w:space="0" w:color="auto"/>
                <w:right w:val="none" w:sz="0" w:space="0" w:color="auto"/>
              </w:divBdr>
            </w:div>
          </w:divsChild>
        </w:div>
        <w:div w:id="1977637389">
          <w:marLeft w:val="0"/>
          <w:marRight w:val="0"/>
          <w:marTop w:val="0"/>
          <w:marBottom w:val="0"/>
          <w:divBdr>
            <w:top w:val="none" w:sz="0" w:space="0" w:color="auto"/>
            <w:left w:val="none" w:sz="0" w:space="0" w:color="auto"/>
            <w:bottom w:val="none" w:sz="0" w:space="0" w:color="auto"/>
            <w:right w:val="none" w:sz="0" w:space="0" w:color="auto"/>
          </w:divBdr>
          <w:divsChild>
            <w:div w:id="1674644227">
              <w:marLeft w:val="0"/>
              <w:marRight w:val="0"/>
              <w:marTop w:val="0"/>
              <w:marBottom w:val="0"/>
              <w:divBdr>
                <w:top w:val="none" w:sz="0" w:space="0" w:color="auto"/>
                <w:left w:val="none" w:sz="0" w:space="0" w:color="auto"/>
                <w:bottom w:val="none" w:sz="0" w:space="0" w:color="auto"/>
                <w:right w:val="none" w:sz="0" w:space="0" w:color="auto"/>
              </w:divBdr>
            </w:div>
          </w:divsChild>
        </w:div>
        <w:div w:id="1984309908">
          <w:marLeft w:val="0"/>
          <w:marRight w:val="0"/>
          <w:marTop w:val="0"/>
          <w:marBottom w:val="0"/>
          <w:divBdr>
            <w:top w:val="none" w:sz="0" w:space="0" w:color="auto"/>
            <w:left w:val="none" w:sz="0" w:space="0" w:color="auto"/>
            <w:bottom w:val="none" w:sz="0" w:space="0" w:color="auto"/>
            <w:right w:val="none" w:sz="0" w:space="0" w:color="auto"/>
          </w:divBdr>
          <w:divsChild>
            <w:div w:id="51999278">
              <w:marLeft w:val="0"/>
              <w:marRight w:val="0"/>
              <w:marTop w:val="0"/>
              <w:marBottom w:val="0"/>
              <w:divBdr>
                <w:top w:val="none" w:sz="0" w:space="0" w:color="auto"/>
                <w:left w:val="none" w:sz="0" w:space="0" w:color="auto"/>
                <w:bottom w:val="none" w:sz="0" w:space="0" w:color="auto"/>
                <w:right w:val="none" w:sz="0" w:space="0" w:color="auto"/>
              </w:divBdr>
            </w:div>
          </w:divsChild>
        </w:div>
        <w:div w:id="1985162327">
          <w:marLeft w:val="0"/>
          <w:marRight w:val="0"/>
          <w:marTop w:val="0"/>
          <w:marBottom w:val="0"/>
          <w:divBdr>
            <w:top w:val="none" w:sz="0" w:space="0" w:color="auto"/>
            <w:left w:val="none" w:sz="0" w:space="0" w:color="auto"/>
            <w:bottom w:val="none" w:sz="0" w:space="0" w:color="auto"/>
            <w:right w:val="none" w:sz="0" w:space="0" w:color="auto"/>
          </w:divBdr>
          <w:divsChild>
            <w:div w:id="2117171398">
              <w:marLeft w:val="0"/>
              <w:marRight w:val="0"/>
              <w:marTop w:val="0"/>
              <w:marBottom w:val="0"/>
              <w:divBdr>
                <w:top w:val="none" w:sz="0" w:space="0" w:color="auto"/>
                <w:left w:val="none" w:sz="0" w:space="0" w:color="auto"/>
                <w:bottom w:val="none" w:sz="0" w:space="0" w:color="auto"/>
                <w:right w:val="none" w:sz="0" w:space="0" w:color="auto"/>
              </w:divBdr>
            </w:div>
          </w:divsChild>
        </w:div>
        <w:div w:id="1992709220">
          <w:marLeft w:val="0"/>
          <w:marRight w:val="0"/>
          <w:marTop w:val="0"/>
          <w:marBottom w:val="0"/>
          <w:divBdr>
            <w:top w:val="none" w:sz="0" w:space="0" w:color="auto"/>
            <w:left w:val="none" w:sz="0" w:space="0" w:color="auto"/>
            <w:bottom w:val="none" w:sz="0" w:space="0" w:color="auto"/>
            <w:right w:val="none" w:sz="0" w:space="0" w:color="auto"/>
          </w:divBdr>
          <w:divsChild>
            <w:div w:id="407266060">
              <w:marLeft w:val="0"/>
              <w:marRight w:val="0"/>
              <w:marTop w:val="0"/>
              <w:marBottom w:val="0"/>
              <w:divBdr>
                <w:top w:val="none" w:sz="0" w:space="0" w:color="auto"/>
                <w:left w:val="none" w:sz="0" w:space="0" w:color="auto"/>
                <w:bottom w:val="none" w:sz="0" w:space="0" w:color="auto"/>
                <w:right w:val="none" w:sz="0" w:space="0" w:color="auto"/>
              </w:divBdr>
            </w:div>
          </w:divsChild>
        </w:div>
        <w:div w:id="1995835712">
          <w:marLeft w:val="0"/>
          <w:marRight w:val="0"/>
          <w:marTop w:val="0"/>
          <w:marBottom w:val="0"/>
          <w:divBdr>
            <w:top w:val="none" w:sz="0" w:space="0" w:color="auto"/>
            <w:left w:val="none" w:sz="0" w:space="0" w:color="auto"/>
            <w:bottom w:val="none" w:sz="0" w:space="0" w:color="auto"/>
            <w:right w:val="none" w:sz="0" w:space="0" w:color="auto"/>
          </w:divBdr>
          <w:divsChild>
            <w:div w:id="384648427">
              <w:marLeft w:val="0"/>
              <w:marRight w:val="0"/>
              <w:marTop w:val="0"/>
              <w:marBottom w:val="0"/>
              <w:divBdr>
                <w:top w:val="none" w:sz="0" w:space="0" w:color="auto"/>
                <w:left w:val="none" w:sz="0" w:space="0" w:color="auto"/>
                <w:bottom w:val="none" w:sz="0" w:space="0" w:color="auto"/>
                <w:right w:val="none" w:sz="0" w:space="0" w:color="auto"/>
              </w:divBdr>
            </w:div>
          </w:divsChild>
        </w:div>
        <w:div w:id="1996060109">
          <w:marLeft w:val="0"/>
          <w:marRight w:val="0"/>
          <w:marTop w:val="0"/>
          <w:marBottom w:val="0"/>
          <w:divBdr>
            <w:top w:val="none" w:sz="0" w:space="0" w:color="auto"/>
            <w:left w:val="none" w:sz="0" w:space="0" w:color="auto"/>
            <w:bottom w:val="none" w:sz="0" w:space="0" w:color="auto"/>
            <w:right w:val="none" w:sz="0" w:space="0" w:color="auto"/>
          </w:divBdr>
          <w:divsChild>
            <w:div w:id="24989384">
              <w:marLeft w:val="0"/>
              <w:marRight w:val="0"/>
              <w:marTop w:val="0"/>
              <w:marBottom w:val="0"/>
              <w:divBdr>
                <w:top w:val="none" w:sz="0" w:space="0" w:color="auto"/>
                <w:left w:val="none" w:sz="0" w:space="0" w:color="auto"/>
                <w:bottom w:val="none" w:sz="0" w:space="0" w:color="auto"/>
                <w:right w:val="none" w:sz="0" w:space="0" w:color="auto"/>
              </w:divBdr>
            </w:div>
          </w:divsChild>
        </w:div>
        <w:div w:id="2004353623">
          <w:marLeft w:val="0"/>
          <w:marRight w:val="0"/>
          <w:marTop w:val="0"/>
          <w:marBottom w:val="0"/>
          <w:divBdr>
            <w:top w:val="none" w:sz="0" w:space="0" w:color="auto"/>
            <w:left w:val="none" w:sz="0" w:space="0" w:color="auto"/>
            <w:bottom w:val="none" w:sz="0" w:space="0" w:color="auto"/>
            <w:right w:val="none" w:sz="0" w:space="0" w:color="auto"/>
          </w:divBdr>
          <w:divsChild>
            <w:div w:id="1239367067">
              <w:marLeft w:val="0"/>
              <w:marRight w:val="0"/>
              <w:marTop w:val="0"/>
              <w:marBottom w:val="0"/>
              <w:divBdr>
                <w:top w:val="none" w:sz="0" w:space="0" w:color="auto"/>
                <w:left w:val="none" w:sz="0" w:space="0" w:color="auto"/>
                <w:bottom w:val="none" w:sz="0" w:space="0" w:color="auto"/>
                <w:right w:val="none" w:sz="0" w:space="0" w:color="auto"/>
              </w:divBdr>
            </w:div>
          </w:divsChild>
        </w:div>
        <w:div w:id="2008901546">
          <w:marLeft w:val="0"/>
          <w:marRight w:val="0"/>
          <w:marTop w:val="0"/>
          <w:marBottom w:val="0"/>
          <w:divBdr>
            <w:top w:val="none" w:sz="0" w:space="0" w:color="auto"/>
            <w:left w:val="none" w:sz="0" w:space="0" w:color="auto"/>
            <w:bottom w:val="none" w:sz="0" w:space="0" w:color="auto"/>
            <w:right w:val="none" w:sz="0" w:space="0" w:color="auto"/>
          </w:divBdr>
          <w:divsChild>
            <w:div w:id="891692094">
              <w:marLeft w:val="0"/>
              <w:marRight w:val="0"/>
              <w:marTop w:val="0"/>
              <w:marBottom w:val="0"/>
              <w:divBdr>
                <w:top w:val="none" w:sz="0" w:space="0" w:color="auto"/>
                <w:left w:val="none" w:sz="0" w:space="0" w:color="auto"/>
                <w:bottom w:val="none" w:sz="0" w:space="0" w:color="auto"/>
                <w:right w:val="none" w:sz="0" w:space="0" w:color="auto"/>
              </w:divBdr>
            </w:div>
          </w:divsChild>
        </w:div>
        <w:div w:id="2015641822">
          <w:marLeft w:val="0"/>
          <w:marRight w:val="0"/>
          <w:marTop w:val="0"/>
          <w:marBottom w:val="0"/>
          <w:divBdr>
            <w:top w:val="none" w:sz="0" w:space="0" w:color="auto"/>
            <w:left w:val="none" w:sz="0" w:space="0" w:color="auto"/>
            <w:bottom w:val="none" w:sz="0" w:space="0" w:color="auto"/>
            <w:right w:val="none" w:sz="0" w:space="0" w:color="auto"/>
          </w:divBdr>
          <w:divsChild>
            <w:div w:id="1428306044">
              <w:marLeft w:val="0"/>
              <w:marRight w:val="0"/>
              <w:marTop w:val="0"/>
              <w:marBottom w:val="0"/>
              <w:divBdr>
                <w:top w:val="none" w:sz="0" w:space="0" w:color="auto"/>
                <w:left w:val="none" w:sz="0" w:space="0" w:color="auto"/>
                <w:bottom w:val="none" w:sz="0" w:space="0" w:color="auto"/>
                <w:right w:val="none" w:sz="0" w:space="0" w:color="auto"/>
              </w:divBdr>
            </w:div>
          </w:divsChild>
        </w:div>
        <w:div w:id="2017727508">
          <w:marLeft w:val="0"/>
          <w:marRight w:val="0"/>
          <w:marTop w:val="0"/>
          <w:marBottom w:val="0"/>
          <w:divBdr>
            <w:top w:val="none" w:sz="0" w:space="0" w:color="auto"/>
            <w:left w:val="none" w:sz="0" w:space="0" w:color="auto"/>
            <w:bottom w:val="none" w:sz="0" w:space="0" w:color="auto"/>
            <w:right w:val="none" w:sz="0" w:space="0" w:color="auto"/>
          </w:divBdr>
          <w:divsChild>
            <w:div w:id="1260597948">
              <w:marLeft w:val="0"/>
              <w:marRight w:val="0"/>
              <w:marTop w:val="0"/>
              <w:marBottom w:val="0"/>
              <w:divBdr>
                <w:top w:val="none" w:sz="0" w:space="0" w:color="auto"/>
                <w:left w:val="none" w:sz="0" w:space="0" w:color="auto"/>
                <w:bottom w:val="none" w:sz="0" w:space="0" w:color="auto"/>
                <w:right w:val="none" w:sz="0" w:space="0" w:color="auto"/>
              </w:divBdr>
            </w:div>
          </w:divsChild>
        </w:div>
        <w:div w:id="2019036318">
          <w:marLeft w:val="0"/>
          <w:marRight w:val="0"/>
          <w:marTop w:val="0"/>
          <w:marBottom w:val="0"/>
          <w:divBdr>
            <w:top w:val="none" w:sz="0" w:space="0" w:color="auto"/>
            <w:left w:val="none" w:sz="0" w:space="0" w:color="auto"/>
            <w:bottom w:val="none" w:sz="0" w:space="0" w:color="auto"/>
            <w:right w:val="none" w:sz="0" w:space="0" w:color="auto"/>
          </w:divBdr>
          <w:divsChild>
            <w:div w:id="1217206357">
              <w:marLeft w:val="0"/>
              <w:marRight w:val="0"/>
              <w:marTop w:val="0"/>
              <w:marBottom w:val="0"/>
              <w:divBdr>
                <w:top w:val="none" w:sz="0" w:space="0" w:color="auto"/>
                <w:left w:val="none" w:sz="0" w:space="0" w:color="auto"/>
                <w:bottom w:val="none" w:sz="0" w:space="0" w:color="auto"/>
                <w:right w:val="none" w:sz="0" w:space="0" w:color="auto"/>
              </w:divBdr>
            </w:div>
          </w:divsChild>
        </w:div>
        <w:div w:id="2022394376">
          <w:marLeft w:val="0"/>
          <w:marRight w:val="0"/>
          <w:marTop w:val="0"/>
          <w:marBottom w:val="0"/>
          <w:divBdr>
            <w:top w:val="none" w:sz="0" w:space="0" w:color="auto"/>
            <w:left w:val="none" w:sz="0" w:space="0" w:color="auto"/>
            <w:bottom w:val="none" w:sz="0" w:space="0" w:color="auto"/>
            <w:right w:val="none" w:sz="0" w:space="0" w:color="auto"/>
          </w:divBdr>
          <w:divsChild>
            <w:div w:id="733939235">
              <w:marLeft w:val="0"/>
              <w:marRight w:val="0"/>
              <w:marTop w:val="0"/>
              <w:marBottom w:val="0"/>
              <w:divBdr>
                <w:top w:val="none" w:sz="0" w:space="0" w:color="auto"/>
                <w:left w:val="none" w:sz="0" w:space="0" w:color="auto"/>
                <w:bottom w:val="none" w:sz="0" w:space="0" w:color="auto"/>
                <w:right w:val="none" w:sz="0" w:space="0" w:color="auto"/>
              </w:divBdr>
            </w:div>
          </w:divsChild>
        </w:div>
        <w:div w:id="2024087923">
          <w:marLeft w:val="0"/>
          <w:marRight w:val="0"/>
          <w:marTop w:val="0"/>
          <w:marBottom w:val="0"/>
          <w:divBdr>
            <w:top w:val="none" w:sz="0" w:space="0" w:color="auto"/>
            <w:left w:val="none" w:sz="0" w:space="0" w:color="auto"/>
            <w:bottom w:val="none" w:sz="0" w:space="0" w:color="auto"/>
            <w:right w:val="none" w:sz="0" w:space="0" w:color="auto"/>
          </w:divBdr>
          <w:divsChild>
            <w:div w:id="927617780">
              <w:marLeft w:val="0"/>
              <w:marRight w:val="0"/>
              <w:marTop w:val="0"/>
              <w:marBottom w:val="0"/>
              <w:divBdr>
                <w:top w:val="none" w:sz="0" w:space="0" w:color="auto"/>
                <w:left w:val="none" w:sz="0" w:space="0" w:color="auto"/>
                <w:bottom w:val="none" w:sz="0" w:space="0" w:color="auto"/>
                <w:right w:val="none" w:sz="0" w:space="0" w:color="auto"/>
              </w:divBdr>
            </w:div>
          </w:divsChild>
        </w:div>
        <w:div w:id="2035687838">
          <w:marLeft w:val="0"/>
          <w:marRight w:val="0"/>
          <w:marTop w:val="0"/>
          <w:marBottom w:val="0"/>
          <w:divBdr>
            <w:top w:val="none" w:sz="0" w:space="0" w:color="auto"/>
            <w:left w:val="none" w:sz="0" w:space="0" w:color="auto"/>
            <w:bottom w:val="none" w:sz="0" w:space="0" w:color="auto"/>
            <w:right w:val="none" w:sz="0" w:space="0" w:color="auto"/>
          </w:divBdr>
          <w:divsChild>
            <w:div w:id="768543234">
              <w:marLeft w:val="0"/>
              <w:marRight w:val="0"/>
              <w:marTop w:val="0"/>
              <w:marBottom w:val="0"/>
              <w:divBdr>
                <w:top w:val="none" w:sz="0" w:space="0" w:color="auto"/>
                <w:left w:val="none" w:sz="0" w:space="0" w:color="auto"/>
                <w:bottom w:val="none" w:sz="0" w:space="0" w:color="auto"/>
                <w:right w:val="none" w:sz="0" w:space="0" w:color="auto"/>
              </w:divBdr>
            </w:div>
          </w:divsChild>
        </w:div>
        <w:div w:id="2044210772">
          <w:marLeft w:val="0"/>
          <w:marRight w:val="0"/>
          <w:marTop w:val="0"/>
          <w:marBottom w:val="0"/>
          <w:divBdr>
            <w:top w:val="none" w:sz="0" w:space="0" w:color="auto"/>
            <w:left w:val="none" w:sz="0" w:space="0" w:color="auto"/>
            <w:bottom w:val="none" w:sz="0" w:space="0" w:color="auto"/>
            <w:right w:val="none" w:sz="0" w:space="0" w:color="auto"/>
          </w:divBdr>
          <w:divsChild>
            <w:div w:id="184364118">
              <w:marLeft w:val="0"/>
              <w:marRight w:val="0"/>
              <w:marTop w:val="0"/>
              <w:marBottom w:val="0"/>
              <w:divBdr>
                <w:top w:val="none" w:sz="0" w:space="0" w:color="auto"/>
                <w:left w:val="none" w:sz="0" w:space="0" w:color="auto"/>
                <w:bottom w:val="none" w:sz="0" w:space="0" w:color="auto"/>
                <w:right w:val="none" w:sz="0" w:space="0" w:color="auto"/>
              </w:divBdr>
            </w:div>
          </w:divsChild>
        </w:div>
        <w:div w:id="2048332538">
          <w:marLeft w:val="0"/>
          <w:marRight w:val="0"/>
          <w:marTop w:val="0"/>
          <w:marBottom w:val="0"/>
          <w:divBdr>
            <w:top w:val="none" w:sz="0" w:space="0" w:color="auto"/>
            <w:left w:val="none" w:sz="0" w:space="0" w:color="auto"/>
            <w:bottom w:val="none" w:sz="0" w:space="0" w:color="auto"/>
            <w:right w:val="none" w:sz="0" w:space="0" w:color="auto"/>
          </w:divBdr>
          <w:divsChild>
            <w:div w:id="426385517">
              <w:marLeft w:val="0"/>
              <w:marRight w:val="0"/>
              <w:marTop w:val="0"/>
              <w:marBottom w:val="0"/>
              <w:divBdr>
                <w:top w:val="none" w:sz="0" w:space="0" w:color="auto"/>
                <w:left w:val="none" w:sz="0" w:space="0" w:color="auto"/>
                <w:bottom w:val="none" w:sz="0" w:space="0" w:color="auto"/>
                <w:right w:val="none" w:sz="0" w:space="0" w:color="auto"/>
              </w:divBdr>
            </w:div>
          </w:divsChild>
        </w:div>
        <w:div w:id="2050060727">
          <w:marLeft w:val="0"/>
          <w:marRight w:val="0"/>
          <w:marTop w:val="0"/>
          <w:marBottom w:val="0"/>
          <w:divBdr>
            <w:top w:val="none" w:sz="0" w:space="0" w:color="auto"/>
            <w:left w:val="none" w:sz="0" w:space="0" w:color="auto"/>
            <w:bottom w:val="none" w:sz="0" w:space="0" w:color="auto"/>
            <w:right w:val="none" w:sz="0" w:space="0" w:color="auto"/>
          </w:divBdr>
          <w:divsChild>
            <w:div w:id="451284486">
              <w:marLeft w:val="0"/>
              <w:marRight w:val="0"/>
              <w:marTop w:val="0"/>
              <w:marBottom w:val="0"/>
              <w:divBdr>
                <w:top w:val="none" w:sz="0" w:space="0" w:color="auto"/>
                <w:left w:val="none" w:sz="0" w:space="0" w:color="auto"/>
                <w:bottom w:val="none" w:sz="0" w:space="0" w:color="auto"/>
                <w:right w:val="none" w:sz="0" w:space="0" w:color="auto"/>
              </w:divBdr>
            </w:div>
          </w:divsChild>
        </w:div>
        <w:div w:id="2072649896">
          <w:marLeft w:val="0"/>
          <w:marRight w:val="0"/>
          <w:marTop w:val="0"/>
          <w:marBottom w:val="0"/>
          <w:divBdr>
            <w:top w:val="none" w:sz="0" w:space="0" w:color="auto"/>
            <w:left w:val="none" w:sz="0" w:space="0" w:color="auto"/>
            <w:bottom w:val="none" w:sz="0" w:space="0" w:color="auto"/>
            <w:right w:val="none" w:sz="0" w:space="0" w:color="auto"/>
          </w:divBdr>
          <w:divsChild>
            <w:div w:id="906645022">
              <w:marLeft w:val="0"/>
              <w:marRight w:val="0"/>
              <w:marTop w:val="0"/>
              <w:marBottom w:val="0"/>
              <w:divBdr>
                <w:top w:val="none" w:sz="0" w:space="0" w:color="auto"/>
                <w:left w:val="none" w:sz="0" w:space="0" w:color="auto"/>
                <w:bottom w:val="none" w:sz="0" w:space="0" w:color="auto"/>
                <w:right w:val="none" w:sz="0" w:space="0" w:color="auto"/>
              </w:divBdr>
            </w:div>
          </w:divsChild>
        </w:div>
        <w:div w:id="2072927094">
          <w:marLeft w:val="0"/>
          <w:marRight w:val="0"/>
          <w:marTop w:val="0"/>
          <w:marBottom w:val="0"/>
          <w:divBdr>
            <w:top w:val="none" w:sz="0" w:space="0" w:color="auto"/>
            <w:left w:val="none" w:sz="0" w:space="0" w:color="auto"/>
            <w:bottom w:val="none" w:sz="0" w:space="0" w:color="auto"/>
            <w:right w:val="none" w:sz="0" w:space="0" w:color="auto"/>
          </w:divBdr>
          <w:divsChild>
            <w:div w:id="52395043">
              <w:marLeft w:val="0"/>
              <w:marRight w:val="0"/>
              <w:marTop w:val="0"/>
              <w:marBottom w:val="0"/>
              <w:divBdr>
                <w:top w:val="none" w:sz="0" w:space="0" w:color="auto"/>
                <w:left w:val="none" w:sz="0" w:space="0" w:color="auto"/>
                <w:bottom w:val="none" w:sz="0" w:space="0" w:color="auto"/>
                <w:right w:val="none" w:sz="0" w:space="0" w:color="auto"/>
              </w:divBdr>
            </w:div>
          </w:divsChild>
        </w:div>
        <w:div w:id="2075201435">
          <w:marLeft w:val="0"/>
          <w:marRight w:val="0"/>
          <w:marTop w:val="0"/>
          <w:marBottom w:val="0"/>
          <w:divBdr>
            <w:top w:val="none" w:sz="0" w:space="0" w:color="auto"/>
            <w:left w:val="none" w:sz="0" w:space="0" w:color="auto"/>
            <w:bottom w:val="none" w:sz="0" w:space="0" w:color="auto"/>
            <w:right w:val="none" w:sz="0" w:space="0" w:color="auto"/>
          </w:divBdr>
          <w:divsChild>
            <w:div w:id="269509252">
              <w:marLeft w:val="0"/>
              <w:marRight w:val="0"/>
              <w:marTop w:val="0"/>
              <w:marBottom w:val="0"/>
              <w:divBdr>
                <w:top w:val="none" w:sz="0" w:space="0" w:color="auto"/>
                <w:left w:val="none" w:sz="0" w:space="0" w:color="auto"/>
                <w:bottom w:val="none" w:sz="0" w:space="0" w:color="auto"/>
                <w:right w:val="none" w:sz="0" w:space="0" w:color="auto"/>
              </w:divBdr>
            </w:div>
          </w:divsChild>
        </w:div>
        <w:div w:id="2083478282">
          <w:marLeft w:val="0"/>
          <w:marRight w:val="0"/>
          <w:marTop w:val="0"/>
          <w:marBottom w:val="0"/>
          <w:divBdr>
            <w:top w:val="none" w:sz="0" w:space="0" w:color="auto"/>
            <w:left w:val="none" w:sz="0" w:space="0" w:color="auto"/>
            <w:bottom w:val="none" w:sz="0" w:space="0" w:color="auto"/>
            <w:right w:val="none" w:sz="0" w:space="0" w:color="auto"/>
          </w:divBdr>
          <w:divsChild>
            <w:div w:id="432361861">
              <w:marLeft w:val="0"/>
              <w:marRight w:val="0"/>
              <w:marTop w:val="0"/>
              <w:marBottom w:val="0"/>
              <w:divBdr>
                <w:top w:val="none" w:sz="0" w:space="0" w:color="auto"/>
                <w:left w:val="none" w:sz="0" w:space="0" w:color="auto"/>
                <w:bottom w:val="none" w:sz="0" w:space="0" w:color="auto"/>
                <w:right w:val="none" w:sz="0" w:space="0" w:color="auto"/>
              </w:divBdr>
            </w:div>
          </w:divsChild>
        </w:div>
        <w:div w:id="2086564360">
          <w:marLeft w:val="0"/>
          <w:marRight w:val="0"/>
          <w:marTop w:val="0"/>
          <w:marBottom w:val="0"/>
          <w:divBdr>
            <w:top w:val="none" w:sz="0" w:space="0" w:color="auto"/>
            <w:left w:val="none" w:sz="0" w:space="0" w:color="auto"/>
            <w:bottom w:val="none" w:sz="0" w:space="0" w:color="auto"/>
            <w:right w:val="none" w:sz="0" w:space="0" w:color="auto"/>
          </w:divBdr>
          <w:divsChild>
            <w:div w:id="728647048">
              <w:marLeft w:val="0"/>
              <w:marRight w:val="0"/>
              <w:marTop w:val="0"/>
              <w:marBottom w:val="0"/>
              <w:divBdr>
                <w:top w:val="none" w:sz="0" w:space="0" w:color="auto"/>
                <w:left w:val="none" w:sz="0" w:space="0" w:color="auto"/>
                <w:bottom w:val="none" w:sz="0" w:space="0" w:color="auto"/>
                <w:right w:val="none" w:sz="0" w:space="0" w:color="auto"/>
              </w:divBdr>
            </w:div>
          </w:divsChild>
        </w:div>
        <w:div w:id="2090694627">
          <w:marLeft w:val="0"/>
          <w:marRight w:val="0"/>
          <w:marTop w:val="0"/>
          <w:marBottom w:val="0"/>
          <w:divBdr>
            <w:top w:val="none" w:sz="0" w:space="0" w:color="auto"/>
            <w:left w:val="none" w:sz="0" w:space="0" w:color="auto"/>
            <w:bottom w:val="none" w:sz="0" w:space="0" w:color="auto"/>
            <w:right w:val="none" w:sz="0" w:space="0" w:color="auto"/>
          </w:divBdr>
          <w:divsChild>
            <w:div w:id="1047491105">
              <w:marLeft w:val="0"/>
              <w:marRight w:val="0"/>
              <w:marTop w:val="0"/>
              <w:marBottom w:val="0"/>
              <w:divBdr>
                <w:top w:val="none" w:sz="0" w:space="0" w:color="auto"/>
                <w:left w:val="none" w:sz="0" w:space="0" w:color="auto"/>
                <w:bottom w:val="none" w:sz="0" w:space="0" w:color="auto"/>
                <w:right w:val="none" w:sz="0" w:space="0" w:color="auto"/>
              </w:divBdr>
            </w:div>
          </w:divsChild>
        </w:div>
        <w:div w:id="2123497484">
          <w:marLeft w:val="0"/>
          <w:marRight w:val="0"/>
          <w:marTop w:val="0"/>
          <w:marBottom w:val="0"/>
          <w:divBdr>
            <w:top w:val="none" w:sz="0" w:space="0" w:color="auto"/>
            <w:left w:val="none" w:sz="0" w:space="0" w:color="auto"/>
            <w:bottom w:val="none" w:sz="0" w:space="0" w:color="auto"/>
            <w:right w:val="none" w:sz="0" w:space="0" w:color="auto"/>
          </w:divBdr>
          <w:divsChild>
            <w:div w:id="1622299874">
              <w:marLeft w:val="0"/>
              <w:marRight w:val="0"/>
              <w:marTop w:val="0"/>
              <w:marBottom w:val="0"/>
              <w:divBdr>
                <w:top w:val="none" w:sz="0" w:space="0" w:color="auto"/>
                <w:left w:val="none" w:sz="0" w:space="0" w:color="auto"/>
                <w:bottom w:val="none" w:sz="0" w:space="0" w:color="auto"/>
                <w:right w:val="none" w:sz="0" w:space="0" w:color="auto"/>
              </w:divBdr>
            </w:div>
          </w:divsChild>
        </w:div>
        <w:div w:id="2124028966">
          <w:marLeft w:val="0"/>
          <w:marRight w:val="0"/>
          <w:marTop w:val="0"/>
          <w:marBottom w:val="0"/>
          <w:divBdr>
            <w:top w:val="none" w:sz="0" w:space="0" w:color="auto"/>
            <w:left w:val="none" w:sz="0" w:space="0" w:color="auto"/>
            <w:bottom w:val="none" w:sz="0" w:space="0" w:color="auto"/>
            <w:right w:val="none" w:sz="0" w:space="0" w:color="auto"/>
          </w:divBdr>
          <w:divsChild>
            <w:div w:id="1699895609">
              <w:marLeft w:val="0"/>
              <w:marRight w:val="0"/>
              <w:marTop w:val="0"/>
              <w:marBottom w:val="0"/>
              <w:divBdr>
                <w:top w:val="none" w:sz="0" w:space="0" w:color="auto"/>
                <w:left w:val="none" w:sz="0" w:space="0" w:color="auto"/>
                <w:bottom w:val="none" w:sz="0" w:space="0" w:color="auto"/>
                <w:right w:val="none" w:sz="0" w:space="0" w:color="auto"/>
              </w:divBdr>
            </w:div>
          </w:divsChild>
        </w:div>
        <w:div w:id="2124614131">
          <w:marLeft w:val="0"/>
          <w:marRight w:val="0"/>
          <w:marTop w:val="0"/>
          <w:marBottom w:val="0"/>
          <w:divBdr>
            <w:top w:val="none" w:sz="0" w:space="0" w:color="auto"/>
            <w:left w:val="none" w:sz="0" w:space="0" w:color="auto"/>
            <w:bottom w:val="none" w:sz="0" w:space="0" w:color="auto"/>
            <w:right w:val="none" w:sz="0" w:space="0" w:color="auto"/>
          </w:divBdr>
          <w:divsChild>
            <w:div w:id="1235580716">
              <w:marLeft w:val="0"/>
              <w:marRight w:val="0"/>
              <w:marTop w:val="0"/>
              <w:marBottom w:val="0"/>
              <w:divBdr>
                <w:top w:val="none" w:sz="0" w:space="0" w:color="auto"/>
                <w:left w:val="none" w:sz="0" w:space="0" w:color="auto"/>
                <w:bottom w:val="none" w:sz="0" w:space="0" w:color="auto"/>
                <w:right w:val="none" w:sz="0" w:space="0" w:color="auto"/>
              </w:divBdr>
            </w:div>
          </w:divsChild>
        </w:div>
        <w:div w:id="2141069657">
          <w:marLeft w:val="0"/>
          <w:marRight w:val="0"/>
          <w:marTop w:val="0"/>
          <w:marBottom w:val="0"/>
          <w:divBdr>
            <w:top w:val="none" w:sz="0" w:space="0" w:color="auto"/>
            <w:left w:val="none" w:sz="0" w:space="0" w:color="auto"/>
            <w:bottom w:val="none" w:sz="0" w:space="0" w:color="auto"/>
            <w:right w:val="none" w:sz="0" w:space="0" w:color="auto"/>
          </w:divBdr>
          <w:divsChild>
            <w:div w:id="559169280">
              <w:marLeft w:val="0"/>
              <w:marRight w:val="0"/>
              <w:marTop w:val="0"/>
              <w:marBottom w:val="0"/>
              <w:divBdr>
                <w:top w:val="none" w:sz="0" w:space="0" w:color="auto"/>
                <w:left w:val="none" w:sz="0" w:space="0" w:color="auto"/>
                <w:bottom w:val="none" w:sz="0" w:space="0" w:color="auto"/>
                <w:right w:val="none" w:sz="0" w:space="0" w:color="auto"/>
              </w:divBdr>
            </w:div>
          </w:divsChild>
        </w:div>
        <w:div w:id="2144929790">
          <w:marLeft w:val="0"/>
          <w:marRight w:val="0"/>
          <w:marTop w:val="0"/>
          <w:marBottom w:val="0"/>
          <w:divBdr>
            <w:top w:val="none" w:sz="0" w:space="0" w:color="auto"/>
            <w:left w:val="none" w:sz="0" w:space="0" w:color="auto"/>
            <w:bottom w:val="none" w:sz="0" w:space="0" w:color="auto"/>
            <w:right w:val="none" w:sz="0" w:space="0" w:color="auto"/>
          </w:divBdr>
          <w:divsChild>
            <w:div w:id="1979870346">
              <w:marLeft w:val="0"/>
              <w:marRight w:val="0"/>
              <w:marTop w:val="0"/>
              <w:marBottom w:val="0"/>
              <w:divBdr>
                <w:top w:val="none" w:sz="0" w:space="0" w:color="auto"/>
                <w:left w:val="none" w:sz="0" w:space="0" w:color="auto"/>
                <w:bottom w:val="none" w:sz="0" w:space="0" w:color="auto"/>
                <w:right w:val="none" w:sz="0" w:space="0" w:color="auto"/>
              </w:divBdr>
            </w:div>
          </w:divsChild>
        </w:div>
        <w:div w:id="2146268438">
          <w:marLeft w:val="0"/>
          <w:marRight w:val="0"/>
          <w:marTop w:val="0"/>
          <w:marBottom w:val="0"/>
          <w:divBdr>
            <w:top w:val="none" w:sz="0" w:space="0" w:color="auto"/>
            <w:left w:val="none" w:sz="0" w:space="0" w:color="auto"/>
            <w:bottom w:val="none" w:sz="0" w:space="0" w:color="auto"/>
            <w:right w:val="none" w:sz="0" w:space="0" w:color="auto"/>
          </w:divBdr>
          <w:divsChild>
            <w:div w:id="81036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41973">
      <w:bodyDiv w:val="1"/>
      <w:marLeft w:val="0"/>
      <w:marRight w:val="0"/>
      <w:marTop w:val="0"/>
      <w:marBottom w:val="0"/>
      <w:divBdr>
        <w:top w:val="none" w:sz="0" w:space="0" w:color="auto"/>
        <w:left w:val="none" w:sz="0" w:space="0" w:color="auto"/>
        <w:bottom w:val="none" w:sz="0" w:space="0" w:color="auto"/>
        <w:right w:val="none" w:sz="0" w:space="0" w:color="auto"/>
      </w:divBdr>
    </w:div>
    <w:div w:id="1142574881">
      <w:bodyDiv w:val="1"/>
      <w:marLeft w:val="0"/>
      <w:marRight w:val="0"/>
      <w:marTop w:val="0"/>
      <w:marBottom w:val="0"/>
      <w:divBdr>
        <w:top w:val="none" w:sz="0" w:space="0" w:color="auto"/>
        <w:left w:val="none" w:sz="0" w:space="0" w:color="auto"/>
        <w:bottom w:val="none" w:sz="0" w:space="0" w:color="auto"/>
        <w:right w:val="none" w:sz="0" w:space="0" w:color="auto"/>
      </w:divBdr>
    </w:div>
    <w:div w:id="1152596664">
      <w:bodyDiv w:val="1"/>
      <w:marLeft w:val="0"/>
      <w:marRight w:val="0"/>
      <w:marTop w:val="0"/>
      <w:marBottom w:val="0"/>
      <w:divBdr>
        <w:top w:val="none" w:sz="0" w:space="0" w:color="auto"/>
        <w:left w:val="none" w:sz="0" w:space="0" w:color="auto"/>
        <w:bottom w:val="none" w:sz="0" w:space="0" w:color="auto"/>
        <w:right w:val="none" w:sz="0" w:space="0" w:color="auto"/>
      </w:divBdr>
    </w:div>
    <w:div w:id="1155150273">
      <w:bodyDiv w:val="1"/>
      <w:marLeft w:val="0"/>
      <w:marRight w:val="0"/>
      <w:marTop w:val="0"/>
      <w:marBottom w:val="0"/>
      <w:divBdr>
        <w:top w:val="none" w:sz="0" w:space="0" w:color="auto"/>
        <w:left w:val="none" w:sz="0" w:space="0" w:color="auto"/>
        <w:bottom w:val="none" w:sz="0" w:space="0" w:color="auto"/>
        <w:right w:val="none" w:sz="0" w:space="0" w:color="auto"/>
      </w:divBdr>
    </w:div>
    <w:div w:id="1173909448">
      <w:bodyDiv w:val="1"/>
      <w:marLeft w:val="0"/>
      <w:marRight w:val="0"/>
      <w:marTop w:val="0"/>
      <w:marBottom w:val="0"/>
      <w:divBdr>
        <w:top w:val="none" w:sz="0" w:space="0" w:color="auto"/>
        <w:left w:val="none" w:sz="0" w:space="0" w:color="auto"/>
        <w:bottom w:val="none" w:sz="0" w:space="0" w:color="auto"/>
        <w:right w:val="none" w:sz="0" w:space="0" w:color="auto"/>
      </w:divBdr>
    </w:div>
    <w:div w:id="1179077134">
      <w:bodyDiv w:val="1"/>
      <w:marLeft w:val="0"/>
      <w:marRight w:val="0"/>
      <w:marTop w:val="0"/>
      <w:marBottom w:val="0"/>
      <w:divBdr>
        <w:top w:val="none" w:sz="0" w:space="0" w:color="auto"/>
        <w:left w:val="none" w:sz="0" w:space="0" w:color="auto"/>
        <w:bottom w:val="none" w:sz="0" w:space="0" w:color="auto"/>
        <w:right w:val="none" w:sz="0" w:space="0" w:color="auto"/>
      </w:divBdr>
    </w:div>
    <w:div w:id="1190097773">
      <w:bodyDiv w:val="1"/>
      <w:marLeft w:val="0"/>
      <w:marRight w:val="0"/>
      <w:marTop w:val="0"/>
      <w:marBottom w:val="0"/>
      <w:divBdr>
        <w:top w:val="none" w:sz="0" w:space="0" w:color="auto"/>
        <w:left w:val="none" w:sz="0" w:space="0" w:color="auto"/>
        <w:bottom w:val="none" w:sz="0" w:space="0" w:color="auto"/>
        <w:right w:val="none" w:sz="0" w:space="0" w:color="auto"/>
      </w:divBdr>
    </w:div>
    <w:div w:id="1204367666">
      <w:bodyDiv w:val="1"/>
      <w:marLeft w:val="0"/>
      <w:marRight w:val="0"/>
      <w:marTop w:val="0"/>
      <w:marBottom w:val="0"/>
      <w:divBdr>
        <w:top w:val="none" w:sz="0" w:space="0" w:color="auto"/>
        <w:left w:val="none" w:sz="0" w:space="0" w:color="auto"/>
        <w:bottom w:val="none" w:sz="0" w:space="0" w:color="auto"/>
        <w:right w:val="none" w:sz="0" w:space="0" w:color="auto"/>
      </w:divBdr>
    </w:div>
    <w:div w:id="1210605251">
      <w:bodyDiv w:val="1"/>
      <w:marLeft w:val="0"/>
      <w:marRight w:val="0"/>
      <w:marTop w:val="0"/>
      <w:marBottom w:val="0"/>
      <w:divBdr>
        <w:top w:val="none" w:sz="0" w:space="0" w:color="auto"/>
        <w:left w:val="none" w:sz="0" w:space="0" w:color="auto"/>
        <w:bottom w:val="none" w:sz="0" w:space="0" w:color="auto"/>
        <w:right w:val="none" w:sz="0" w:space="0" w:color="auto"/>
      </w:divBdr>
    </w:div>
    <w:div w:id="1214536671">
      <w:bodyDiv w:val="1"/>
      <w:marLeft w:val="0"/>
      <w:marRight w:val="0"/>
      <w:marTop w:val="0"/>
      <w:marBottom w:val="0"/>
      <w:divBdr>
        <w:top w:val="none" w:sz="0" w:space="0" w:color="auto"/>
        <w:left w:val="none" w:sz="0" w:space="0" w:color="auto"/>
        <w:bottom w:val="none" w:sz="0" w:space="0" w:color="auto"/>
        <w:right w:val="none" w:sz="0" w:space="0" w:color="auto"/>
      </w:divBdr>
    </w:div>
    <w:div w:id="1214929415">
      <w:bodyDiv w:val="1"/>
      <w:marLeft w:val="0"/>
      <w:marRight w:val="0"/>
      <w:marTop w:val="0"/>
      <w:marBottom w:val="0"/>
      <w:divBdr>
        <w:top w:val="none" w:sz="0" w:space="0" w:color="auto"/>
        <w:left w:val="none" w:sz="0" w:space="0" w:color="auto"/>
        <w:bottom w:val="none" w:sz="0" w:space="0" w:color="auto"/>
        <w:right w:val="none" w:sz="0" w:space="0" w:color="auto"/>
      </w:divBdr>
      <w:divsChild>
        <w:div w:id="609288791">
          <w:marLeft w:val="0"/>
          <w:marRight w:val="0"/>
          <w:marTop w:val="240"/>
          <w:marBottom w:val="480"/>
          <w:divBdr>
            <w:top w:val="none" w:sz="0" w:space="0" w:color="auto"/>
            <w:left w:val="none" w:sz="0" w:space="0" w:color="auto"/>
            <w:bottom w:val="none" w:sz="0" w:space="0" w:color="auto"/>
            <w:right w:val="none" w:sz="0" w:space="0" w:color="auto"/>
          </w:divBdr>
        </w:div>
        <w:div w:id="1630277197">
          <w:marLeft w:val="0"/>
          <w:marRight w:val="0"/>
          <w:marTop w:val="240"/>
          <w:marBottom w:val="480"/>
          <w:divBdr>
            <w:top w:val="none" w:sz="0" w:space="0" w:color="auto"/>
            <w:left w:val="none" w:sz="0" w:space="0" w:color="auto"/>
            <w:bottom w:val="none" w:sz="0" w:space="0" w:color="auto"/>
            <w:right w:val="none" w:sz="0" w:space="0" w:color="auto"/>
          </w:divBdr>
          <w:divsChild>
            <w:div w:id="2845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64529">
      <w:bodyDiv w:val="1"/>
      <w:marLeft w:val="0"/>
      <w:marRight w:val="0"/>
      <w:marTop w:val="0"/>
      <w:marBottom w:val="0"/>
      <w:divBdr>
        <w:top w:val="none" w:sz="0" w:space="0" w:color="auto"/>
        <w:left w:val="none" w:sz="0" w:space="0" w:color="auto"/>
        <w:bottom w:val="none" w:sz="0" w:space="0" w:color="auto"/>
        <w:right w:val="none" w:sz="0" w:space="0" w:color="auto"/>
      </w:divBdr>
    </w:div>
    <w:div w:id="1223253622">
      <w:bodyDiv w:val="1"/>
      <w:marLeft w:val="0"/>
      <w:marRight w:val="0"/>
      <w:marTop w:val="0"/>
      <w:marBottom w:val="0"/>
      <w:divBdr>
        <w:top w:val="none" w:sz="0" w:space="0" w:color="auto"/>
        <w:left w:val="none" w:sz="0" w:space="0" w:color="auto"/>
        <w:bottom w:val="none" w:sz="0" w:space="0" w:color="auto"/>
        <w:right w:val="none" w:sz="0" w:space="0" w:color="auto"/>
      </w:divBdr>
      <w:divsChild>
        <w:div w:id="32662168">
          <w:marLeft w:val="0"/>
          <w:marRight w:val="0"/>
          <w:marTop w:val="0"/>
          <w:marBottom w:val="0"/>
          <w:divBdr>
            <w:top w:val="none" w:sz="0" w:space="0" w:color="auto"/>
            <w:left w:val="none" w:sz="0" w:space="0" w:color="auto"/>
            <w:bottom w:val="none" w:sz="0" w:space="0" w:color="auto"/>
            <w:right w:val="none" w:sz="0" w:space="0" w:color="auto"/>
          </w:divBdr>
        </w:div>
      </w:divsChild>
    </w:div>
    <w:div w:id="1246959713">
      <w:bodyDiv w:val="1"/>
      <w:marLeft w:val="0"/>
      <w:marRight w:val="0"/>
      <w:marTop w:val="0"/>
      <w:marBottom w:val="0"/>
      <w:divBdr>
        <w:top w:val="none" w:sz="0" w:space="0" w:color="auto"/>
        <w:left w:val="none" w:sz="0" w:space="0" w:color="auto"/>
        <w:bottom w:val="none" w:sz="0" w:space="0" w:color="auto"/>
        <w:right w:val="none" w:sz="0" w:space="0" w:color="auto"/>
      </w:divBdr>
    </w:div>
    <w:div w:id="1248225966">
      <w:bodyDiv w:val="1"/>
      <w:marLeft w:val="0"/>
      <w:marRight w:val="0"/>
      <w:marTop w:val="0"/>
      <w:marBottom w:val="0"/>
      <w:divBdr>
        <w:top w:val="none" w:sz="0" w:space="0" w:color="auto"/>
        <w:left w:val="none" w:sz="0" w:space="0" w:color="auto"/>
        <w:bottom w:val="none" w:sz="0" w:space="0" w:color="auto"/>
        <w:right w:val="none" w:sz="0" w:space="0" w:color="auto"/>
      </w:divBdr>
      <w:divsChild>
        <w:div w:id="628584878">
          <w:marLeft w:val="547"/>
          <w:marRight w:val="0"/>
          <w:marTop w:val="0"/>
          <w:marBottom w:val="0"/>
          <w:divBdr>
            <w:top w:val="none" w:sz="0" w:space="0" w:color="auto"/>
            <w:left w:val="none" w:sz="0" w:space="0" w:color="auto"/>
            <w:bottom w:val="none" w:sz="0" w:space="0" w:color="auto"/>
            <w:right w:val="none" w:sz="0" w:space="0" w:color="auto"/>
          </w:divBdr>
        </w:div>
        <w:div w:id="1057701116">
          <w:marLeft w:val="547"/>
          <w:marRight w:val="0"/>
          <w:marTop w:val="0"/>
          <w:marBottom w:val="0"/>
          <w:divBdr>
            <w:top w:val="none" w:sz="0" w:space="0" w:color="auto"/>
            <w:left w:val="none" w:sz="0" w:space="0" w:color="auto"/>
            <w:bottom w:val="none" w:sz="0" w:space="0" w:color="auto"/>
            <w:right w:val="none" w:sz="0" w:space="0" w:color="auto"/>
          </w:divBdr>
        </w:div>
        <w:div w:id="1172643240">
          <w:marLeft w:val="547"/>
          <w:marRight w:val="0"/>
          <w:marTop w:val="0"/>
          <w:marBottom w:val="0"/>
          <w:divBdr>
            <w:top w:val="none" w:sz="0" w:space="0" w:color="auto"/>
            <w:left w:val="none" w:sz="0" w:space="0" w:color="auto"/>
            <w:bottom w:val="none" w:sz="0" w:space="0" w:color="auto"/>
            <w:right w:val="none" w:sz="0" w:space="0" w:color="auto"/>
          </w:divBdr>
        </w:div>
      </w:divsChild>
    </w:div>
    <w:div w:id="1251086545">
      <w:bodyDiv w:val="1"/>
      <w:marLeft w:val="0"/>
      <w:marRight w:val="0"/>
      <w:marTop w:val="0"/>
      <w:marBottom w:val="0"/>
      <w:divBdr>
        <w:top w:val="none" w:sz="0" w:space="0" w:color="auto"/>
        <w:left w:val="none" w:sz="0" w:space="0" w:color="auto"/>
        <w:bottom w:val="none" w:sz="0" w:space="0" w:color="auto"/>
        <w:right w:val="none" w:sz="0" w:space="0" w:color="auto"/>
      </w:divBdr>
    </w:div>
    <w:div w:id="1257908209">
      <w:bodyDiv w:val="1"/>
      <w:marLeft w:val="0"/>
      <w:marRight w:val="0"/>
      <w:marTop w:val="0"/>
      <w:marBottom w:val="0"/>
      <w:divBdr>
        <w:top w:val="none" w:sz="0" w:space="0" w:color="auto"/>
        <w:left w:val="none" w:sz="0" w:space="0" w:color="auto"/>
        <w:bottom w:val="none" w:sz="0" w:space="0" w:color="auto"/>
        <w:right w:val="none" w:sz="0" w:space="0" w:color="auto"/>
      </w:divBdr>
    </w:div>
    <w:div w:id="1257983813">
      <w:bodyDiv w:val="1"/>
      <w:marLeft w:val="0"/>
      <w:marRight w:val="0"/>
      <w:marTop w:val="0"/>
      <w:marBottom w:val="0"/>
      <w:divBdr>
        <w:top w:val="none" w:sz="0" w:space="0" w:color="auto"/>
        <w:left w:val="none" w:sz="0" w:space="0" w:color="auto"/>
        <w:bottom w:val="none" w:sz="0" w:space="0" w:color="auto"/>
        <w:right w:val="none" w:sz="0" w:space="0" w:color="auto"/>
      </w:divBdr>
    </w:div>
    <w:div w:id="1263805088">
      <w:bodyDiv w:val="1"/>
      <w:marLeft w:val="0"/>
      <w:marRight w:val="0"/>
      <w:marTop w:val="0"/>
      <w:marBottom w:val="0"/>
      <w:divBdr>
        <w:top w:val="none" w:sz="0" w:space="0" w:color="auto"/>
        <w:left w:val="none" w:sz="0" w:space="0" w:color="auto"/>
        <w:bottom w:val="none" w:sz="0" w:space="0" w:color="auto"/>
        <w:right w:val="none" w:sz="0" w:space="0" w:color="auto"/>
      </w:divBdr>
    </w:div>
    <w:div w:id="1273593134">
      <w:bodyDiv w:val="1"/>
      <w:marLeft w:val="0"/>
      <w:marRight w:val="0"/>
      <w:marTop w:val="0"/>
      <w:marBottom w:val="0"/>
      <w:divBdr>
        <w:top w:val="none" w:sz="0" w:space="0" w:color="auto"/>
        <w:left w:val="none" w:sz="0" w:space="0" w:color="auto"/>
        <w:bottom w:val="none" w:sz="0" w:space="0" w:color="auto"/>
        <w:right w:val="none" w:sz="0" w:space="0" w:color="auto"/>
      </w:divBdr>
    </w:div>
    <w:div w:id="1275870230">
      <w:bodyDiv w:val="1"/>
      <w:marLeft w:val="0"/>
      <w:marRight w:val="0"/>
      <w:marTop w:val="0"/>
      <w:marBottom w:val="0"/>
      <w:divBdr>
        <w:top w:val="none" w:sz="0" w:space="0" w:color="auto"/>
        <w:left w:val="none" w:sz="0" w:space="0" w:color="auto"/>
        <w:bottom w:val="none" w:sz="0" w:space="0" w:color="auto"/>
        <w:right w:val="none" w:sz="0" w:space="0" w:color="auto"/>
      </w:divBdr>
      <w:divsChild>
        <w:div w:id="70124313">
          <w:marLeft w:val="0"/>
          <w:marRight w:val="0"/>
          <w:marTop w:val="0"/>
          <w:marBottom w:val="0"/>
          <w:divBdr>
            <w:top w:val="none" w:sz="0" w:space="0" w:color="auto"/>
            <w:left w:val="none" w:sz="0" w:space="0" w:color="auto"/>
            <w:bottom w:val="none" w:sz="0" w:space="0" w:color="auto"/>
            <w:right w:val="none" w:sz="0" w:space="0" w:color="auto"/>
          </w:divBdr>
          <w:divsChild>
            <w:div w:id="2046637583">
              <w:marLeft w:val="0"/>
              <w:marRight w:val="0"/>
              <w:marTop w:val="0"/>
              <w:marBottom w:val="0"/>
              <w:divBdr>
                <w:top w:val="none" w:sz="0" w:space="0" w:color="auto"/>
                <w:left w:val="none" w:sz="0" w:space="0" w:color="auto"/>
                <w:bottom w:val="none" w:sz="0" w:space="0" w:color="auto"/>
                <w:right w:val="none" w:sz="0" w:space="0" w:color="auto"/>
              </w:divBdr>
            </w:div>
          </w:divsChild>
        </w:div>
        <w:div w:id="151800225">
          <w:marLeft w:val="0"/>
          <w:marRight w:val="0"/>
          <w:marTop w:val="0"/>
          <w:marBottom w:val="0"/>
          <w:divBdr>
            <w:top w:val="none" w:sz="0" w:space="0" w:color="auto"/>
            <w:left w:val="none" w:sz="0" w:space="0" w:color="auto"/>
            <w:bottom w:val="none" w:sz="0" w:space="0" w:color="auto"/>
            <w:right w:val="none" w:sz="0" w:space="0" w:color="auto"/>
          </w:divBdr>
          <w:divsChild>
            <w:div w:id="2005009388">
              <w:marLeft w:val="0"/>
              <w:marRight w:val="0"/>
              <w:marTop w:val="0"/>
              <w:marBottom w:val="0"/>
              <w:divBdr>
                <w:top w:val="none" w:sz="0" w:space="0" w:color="auto"/>
                <w:left w:val="none" w:sz="0" w:space="0" w:color="auto"/>
                <w:bottom w:val="none" w:sz="0" w:space="0" w:color="auto"/>
                <w:right w:val="none" w:sz="0" w:space="0" w:color="auto"/>
              </w:divBdr>
            </w:div>
          </w:divsChild>
        </w:div>
        <w:div w:id="221911158">
          <w:marLeft w:val="0"/>
          <w:marRight w:val="0"/>
          <w:marTop w:val="0"/>
          <w:marBottom w:val="0"/>
          <w:divBdr>
            <w:top w:val="none" w:sz="0" w:space="0" w:color="auto"/>
            <w:left w:val="none" w:sz="0" w:space="0" w:color="auto"/>
            <w:bottom w:val="none" w:sz="0" w:space="0" w:color="auto"/>
            <w:right w:val="none" w:sz="0" w:space="0" w:color="auto"/>
          </w:divBdr>
          <w:divsChild>
            <w:div w:id="1717119426">
              <w:marLeft w:val="0"/>
              <w:marRight w:val="0"/>
              <w:marTop w:val="0"/>
              <w:marBottom w:val="0"/>
              <w:divBdr>
                <w:top w:val="none" w:sz="0" w:space="0" w:color="auto"/>
                <w:left w:val="none" w:sz="0" w:space="0" w:color="auto"/>
                <w:bottom w:val="none" w:sz="0" w:space="0" w:color="auto"/>
                <w:right w:val="none" w:sz="0" w:space="0" w:color="auto"/>
              </w:divBdr>
            </w:div>
          </w:divsChild>
        </w:div>
        <w:div w:id="504900379">
          <w:marLeft w:val="0"/>
          <w:marRight w:val="0"/>
          <w:marTop w:val="0"/>
          <w:marBottom w:val="0"/>
          <w:divBdr>
            <w:top w:val="none" w:sz="0" w:space="0" w:color="auto"/>
            <w:left w:val="none" w:sz="0" w:space="0" w:color="auto"/>
            <w:bottom w:val="none" w:sz="0" w:space="0" w:color="auto"/>
            <w:right w:val="none" w:sz="0" w:space="0" w:color="auto"/>
          </w:divBdr>
          <w:divsChild>
            <w:div w:id="397022343">
              <w:marLeft w:val="0"/>
              <w:marRight w:val="0"/>
              <w:marTop w:val="0"/>
              <w:marBottom w:val="0"/>
              <w:divBdr>
                <w:top w:val="none" w:sz="0" w:space="0" w:color="auto"/>
                <w:left w:val="none" w:sz="0" w:space="0" w:color="auto"/>
                <w:bottom w:val="none" w:sz="0" w:space="0" w:color="auto"/>
                <w:right w:val="none" w:sz="0" w:space="0" w:color="auto"/>
              </w:divBdr>
            </w:div>
          </w:divsChild>
        </w:div>
        <w:div w:id="553004556">
          <w:marLeft w:val="0"/>
          <w:marRight w:val="0"/>
          <w:marTop w:val="0"/>
          <w:marBottom w:val="0"/>
          <w:divBdr>
            <w:top w:val="none" w:sz="0" w:space="0" w:color="auto"/>
            <w:left w:val="none" w:sz="0" w:space="0" w:color="auto"/>
            <w:bottom w:val="none" w:sz="0" w:space="0" w:color="auto"/>
            <w:right w:val="none" w:sz="0" w:space="0" w:color="auto"/>
          </w:divBdr>
          <w:divsChild>
            <w:div w:id="2007245497">
              <w:marLeft w:val="0"/>
              <w:marRight w:val="0"/>
              <w:marTop w:val="0"/>
              <w:marBottom w:val="0"/>
              <w:divBdr>
                <w:top w:val="none" w:sz="0" w:space="0" w:color="auto"/>
                <w:left w:val="none" w:sz="0" w:space="0" w:color="auto"/>
                <w:bottom w:val="none" w:sz="0" w:space="0" w:color="auto"/>
                <w:right w:val="none" w:sz="0" w:space="0" w:color="auto"/>
              </w:divBdr>
            </w:div>
          </w:divsChild>
        </w:div>
        <w:div w:id="605430915">
          <w:marLeft w:val="0"/>
          <w:marRight w:val="0"/>
          <w:marTop w:val="0"/>
          <w:marBottom w:val="0"/>
          <w:divBdr>
            <w:top w:val="none" w:sz="0" w:space="0" w:color="auto"/>
            <w:left w:val="none" w:sz="0" w:space="0" w:color="auto"/>
            <w:bottom w:val="none" w:sz="0" w:space="0" w:color="auto"/>
            <w:right w:val="none" w:sz="0" w:space="0" w:color="auto"/>
          </w:divBdr>
          <w:divsChild>
            <w:div w:id="1037117957">
              <w:marLeft w:val="0"/>
              <w:marRight w:val="0"/>
              <w:marTop w:val="0"/>
              <w:marBottom w:val="0"/>
              <w:divBdr>
                <w:top w:val="none" w:sz="0" w:space="0" w:color="auto"/>
                <w:left w:val="none" w:sz="0" w:space="0" w:color="auto"/>
                <w:bottom w:val="none" w:sz="0" w:space="0" w:color="auto"/>
                <w:right w:val="none" w:sz="0" w:space="0" w:color="auto"/>
              </w:divBdr>
            </w:div>
          </w:divsChild>
        </w:div>
        <w:div w:id="742071241">
          <w:marLeft w:val="0"/>
          <w:marRight w:val="0"/>
          <w:marTop w:val="0"/>
          <w:marBottom w:val="0"/>
          <w:divBdr>
            <w:top w:val="none" w:sz="0" w:space="0" w:color="auto"/>
            <w:left w:val="none" w:sz="0" w:space="0" w:color="auto"/>
            <w:bottom w:val="none" w:sz="0" w:space="0" w:color="auto"/>
            <w:right w:val="none" w:sz="0" w:space="0" w:color="auto"/>
          </w:divBdr>
          <w:divsChild>
            <w:div w:id="20518000">
              <w:marLeft w:val="0"/>
              <w:marRight w:val="0"/>
              <w:marTop w:val="0"/>
              <w:marBottom w:val="0"/>
              <w:divBdr>
                <w:top w:val="none" w:sz="0" w:space="0" w:color="auto"/>
                <w:left w:val="none" w:sz="0" w:space="0" w:color="auto"/>
                <w:bottom w:val="none" w:sz="0" w:space="0" w:color="auto"/>
                <w:right w:val="none" w:sz="0" w:space="0" w:color="auto"/>
              </w:divBdr>
            </w:div>
          </w:divsChild>
        </w:div>
        <w:div w:id="838354446">
          <w:marLeft w:val="0"/>
          <w:marRight w:val="0"/>
          <w:marTop w:val="0"/>
          <w:marBottom w:val="0"/>
          <w:divBdr>
            <w:top w:val="none" w:sz="0" w:space="0" w:color="auto"/>
            <w:left w:val="none" w:sz="0" w:space="0" w:color="auto"/>
            <w:bottom w:val="none" w:sz="0" w:space="0" w:color="auto"/>
            <w:right w:val="none" w:sz="0" w:space="0" w:color="auto"/>
          </w:divBdr>
          <w:divsChild>
            <w:div w:id="1172989280">
              <w:marLeft w:val="0"/>
              <w:marRight w:val="0"/>
              <w:marTop w:val="0"/>
              <w:marBottom w:val="0"/>
              <w:divBdr>
                <w:top w:val="none" w:sz="0" w:space="0" w:color="auto"/>
                <w:left w:val="none" w:sz="0" w:space="0" w:color="auto"/>
                <w:bottom w:val="none" w:sz="0" w:space="0" w:color="auto"/>
                <w:right w:val="none" w:sz="0" w:space="0" w:color="auto"/>
              </w:divBdr>
            </w:div>
          </w:divsChild>
        </w:div>
        <w:div w:id="973406961">
          <w:marLeft w:val="0"/>
          <w:marRight w:val="0"/>
          <w:marTop w:val="0"/>
          <w:marBottom w:val="0"/>
          <w:divBdr>
            <w:top w:val="none" w:sz="0" w:space="0" w:color="auto"/>
            <w:left w:val="none" w:sz="0" w:space="0" w:color="auto"/>
            <w:bottom w:val="none" w:sz="0" w:space="0" w:color="auto"/>
            <w:right w:val="none" w:sz="0" w:space="0" w:color="auto"/>
          </w:divBdr>
          <w:divsChild>
            <w:div w:id="1961766923">
              <w:marLeft w:val="0"/>
              <w:marRight w:val="0"/>
              <w:marTop w:val="0"/>
              <w:marBottom w:val="0"/>
              <w:divBdr>
                <w:top w:val="none" w:sz="0" w:space="0" w:color="auto"/>
                <w:left w:val="none" w:sz="0" w:space="0" w:color="auto"/>
                <w:bottom w:val="none" w:sz="0" w:space="0" w:color="auto"/>
                <w:right w:val="none" w:sz="0" w:space="0" w:color="auto"/>
              </w:divBdr>
            </w:div>
          </w:divsChild>
        </w:div>
        <w:div w:id="1050029733">
          <w:marLeft w:val="0"/>
          <w:marRight w:val="0"/>
          <w:marTop w:val="0"/>
          <w:marBottom w:val="0"/>
          <w:divBdr>
            <w:top w:val="none" w:sz="0" w:space="0" w:color="auto"/>
            <w:left w:val="none" w:sz="0" w:space="0" w:color="auto"/>
            <w:bottom w:val="none" w:sz="0" w:space="0" w:color="auto"/>
            <w:right w:val="none" w:sz="0" w:space="0" w:color="auto"/>
          </w:divBdr>
          <w:divsChild>
            <w:div w:id="2073693130">
              <w:marLeft w:val="0"/>
              <w:marRight w:val="0"/>
              <w:marTop w:val="0"/>
              <w:marBottom w:val="0"/>
              <w:divBdr>
                <w:top w:val="none" w:sz="0" w:space="0" w:color="auto"/>
                <w:left w:val="none" w:sz="0" w:space="0" w:color="auto"/>
                <w:bottom w:val="none" w:sz="0" w:space="0" w:color="auto"/>
                <w:right w:val="none" w:sz="0" w:space="0" w:color="auto"/>
              </w:divBdr>
            </w:div>
          </w:divsChild>
        </w:div>
        <w:div w:id="1051072960">
          <w:marLeft w:val="0"/>
          <w:marRight w:val="0"/>
          <w:marTop w:val="0"/>
          <w:marBottom w:val="0"/>
          <w:divBdr>
            <w:top w:val="none" w:sz="0" w:space="0" w:color="auto"/>
            <w:left w:val="none" w:sz="0" w:space="0" w:color="auto"/>
            <w:bottom w:val="none" w:sz="0" w:space="0" w:color="auto"/>
            <w:right w:val="none" w:sz="0" w:space="0" w:color="auto"/>
          </w:divBdr>
          <w:divsChild>
            <w:div w:id="44525977">
              <w:marLeft w:val="0"/>
              <w:marRight w:val="0"/>
              <w:marTop w:val="0"/>
              <w:marBottom w:val="0"/>
              <w:divBdr>
                <w:top w:val="none" w:sz="0" w:space="0" w:color="auto"/>
                <w:left w:val="none" w:sz="0" w:space="0" w:color="auto"/>
                <w:bottom w:val="none" w:sz="0" w:space="0" w:color="auto"/>
                <w:right w:val="none" w:sz="0" w:space="0" w:color="auto"/>
              </w:divBdr>
            </w:div>
          </w:divsChild>
        </w:div>
        <w:div w:id="1349021039">
          <w:marLeft w:val="0"/>
          <w:marRight w:val="0"/>
          <w:marTop w:val="0"/>
          <w:marBottom w:val="0"/>
          <w:divBdr>
            <w:top w:val="none" w:sz="0" w:space="0" w:color="auto"/>
            <w:left w:val="none" w:sz="0" w:space="0" w:color="auto"/>
            <w:bottom w:val="none" w:sz="0" w:space="0" w:color="auto"/>
            <w:right w:val="none" w:sz="0" w:space="0" w:color="auto"/>
          </w:divBdr>
          <w:divsChild>
            <w:div w:id="1116484400">
              <w:marLeft w:val="0"/>
              <w:marRight w:val="0"/>
              <w:marTop w:val="0"/>
              <w:marBottom w:val="0"/>
              <w:divBdr>
                <w:top w:val="none" w:sz="0" w:space="0" w:color="auto"/>
                <w:left w:val="none" w:sz="0" w:space="0" w:color="auto"/>
                <w:bottom w:val="none" w:sz="0" w:space="0" w:color="auto"/>
                <w:right w:val="none" w:sz="0" w:space="0" w:color="auto"/>
              </w:divBdr>
            </w:div>
          </w:divsChild>
        </w:div>
        <w:div w:id="1448740158">
          <w:marLeft w:val="0"/>
          <w:marRight w:val="0"/>
          <w:marTop w:val="0"/>
          <w:marBottom w:val="0"/>
          <w:divBdr>
            <w:top w:val="none" w:sz="0" w:space="0" w:color="auto"/>
            <w:left w:val="none" w:sz="0" w:space="0" w:color="auto"/>
            <w:bottom w:val="none" w:sz="0" w:space="0" w:color="auto"/>
            <w:right w:val="none" w:sz="0" w:space="0" w:color="auto"/>
          </w:divBdr>
          <w:divsChild>
            <w:div w:id="727845621">
              <w:marLeft w:val="0"/>
              <w:marRight w:val="0"/>
              <w:marTop w:val="0"/>
              <w:marBottom w:val="0"/>
              <w:divBdr>
                <w:top w:val="none" w:sz="0" w:space="0" w:color="auto"/>
                <w:left w:val="none" w:sz="0" w:space="0" w:color="auto"/>
                <w:bottom w:val="none" w:sz="0" w:space="0" w:color="auto"/>
                <w:right w:val="none" w:sz="0" w:space="0" w:color="auto"/>
              </w:divBdr>
            </w:div>
          </w:divsChild>
        </w:div>
        <w:div w:id="1498768821">
          <w:marLeft w:val="0"/>
          <w:marRight w:val="0"/>
          <w:marTop w:val="0"/>
          <w:marBottom w:val="0"/>
          <w:divBdr>
            <w:top w:val="none" w:sz="0" w:space="0" w:color="auto"/>
            <w:left w:val="none" w:sz="0" w:space="0" w:color="auto"/>
            <w:bottom w:val="none" w:sz="0" w:space="0" w:color="auto"/>
            <w:right w:val="none" w:sz="0" w:space="0" w:color="auto"/>
          </w:divBdr>
          <w:divsChild>
            <w:div w:id="1155032594">
              <w:marLeft w:val="0"/>
              <w:marRight w:val="0"/>
              <w:marTop w:val="0"/>
              <w:marBottom w:val="0"/>
              <w:divBdr>
                <w:top w:val="none" w:sz="0" w:space="0" w:color="auto"/>
                <w:left w:val="none" w:sz="0" w:space="0" w:color="auto"/>
                <w:bottom w:val="none" w:sz="0" w:space="0" w:color="auto"/>
                <w:right w:val="none" w:sz="0" w:space="0" w:color="auto"/>
              </w:divBdr>
            </w:div>
          </w:divsChild>
        </w:div>
        <w:div w:id="1555390492">
          <w:marLeft w:val="0"/>
          <w:marRight w:val="0"/>
          <w:marTop w:val="0"/>
          <w:marBottom w:val="0"/>
          <w:divBdr>
            <w:top w:val="none" w:sz="0" w:space="0" w:color="auto"/>
            <w:left w:val="none" w:sz="0" w:space="0" w:color="auto"/>
            <w:bottom w:val="none" w:sz="0" w:space="0" w:color="auto"/>
            <w:right w:val="none" w:sz="0" w:space="0" w:color="auto"/>
          </w:divBdr>
          <w:divsChild>
            <w:div w:id="604650606">
              <w:marLeft w:val="0"/>
              <w:marRight w:val="0"/>
              <w:marTop w:val="0"/>
              <w:marBottom w:val="0"/>
              <w:divBdr>
                <w:top w:val="none" w:sz="0" w:space="0" w:color="auto"/>
                <w:left w:val="none" w:sz="0" w:space="0" w:color="auto"/>
                <w:bottom w:val="none" w:sz="0" w:space="0" w:color="auto"/>
                <w:right w:val="none" w:sz="0" w:space="0" w:color="auto"/>
              </w:divBdr>
            </w:div>
          </w:divsChild>
        </w:div>
        <w:div w:id="1681813787">
          <w:marLeft w:val="0"/>
          <w:marRight w:val="0"/>
          <w:marTop w:val="0"/>
          <w:marBottom w:val="0"/>
          <w:divBdr>
            <w:top w:val="none" w:sz="0" w:space="0" w:color="auto"/>
            <w:left w:val="none" w:sz="0" w:space="0" w:color="auto"/>
            <w:bottom w:val="none" w:sz="0" w:space="0" w:color="auto"/>
            <w:right w:val="none" w:sz="0" w:space="0" w:color="auto"/>
          </w:divBdr>
          <w:divsChild>
            <w:div w:id="397168578">
              <w:marLeft w:val="0"/>
              <w:marRight w:val="0"/>
              <w:marTop w:val="0"/>
              <w:marBottom w:val="0"/>
              <w:divBdr>
                <w:top w:val="none" w:sz="0" w:space="0" w:color="auto"/>
                <w:left w:val="none" w:sz="0" w:space="0" w:color="auto"/>
                <w:bottom w:val="none" w:sz="0" w:space="0" w:color="auto"/>
                <w:right w:val="none" w:sz="0" w:space="0" w:color="auto"/>
              </w:divBdr>
            </w:div>
          </w:divsChild>
        </w:div>
        <w:div w:id="1694066838">
          <w:marLeft w:val="0"/>
          <w:marRight w:val="0"/>
          <w:marTop w:val="0"/>
          <w:marBottom w:val="0"/>
          <w:divBdr>
            <w:top w:val="none" w:sz="0" w:space="0" w:color="auto"/>
            <w:left w:val="none" w:sz="0" w:space="0" w:color="auto"/>
            <w:bottom w:val="none" w:sz="0" w:space="0" w:color="auto"/>
            <w:right w:val="none" w:sz="0" w:space="0" w:color="auto"/>
          </w:divBdr>
          <w:divsChild>
            <w:div w:id="1542088834">
              <w:marLeft w:val="0"/>
              <w:marRight w:val="0"/>
              <w:marTop w:val="0"/>
              <w:marBottom w:val="0"/>
              <w:divBdr>
                <w:top w:val="none" w:sz="0" w:space="0" w:color="auto"/>
                <w:left w:val="none" w:sz="0" w:space="0" w:color="auto"/>
                <w:bottom w:val="none" w:sz="0" w:space="0" w:color="auto"/>
                <w:right w:val="none" w:sz="0" w:space="0" w:color="auto"/>
              </w:divBdr>
            </w:div>
          </w:divsChild>
        </w:div>
        <w:div w:id="1764640861">
          <w:marLeft w:val="0"/>
          <w:marRight w:val="0"/>
          <w:marTop w:val="0"/>
          <w:marBottom w:val="0"/>
          <w:divBdr>
            <w:top w:val="none" w:sz="0" w:space="0" w:color="auto"/>
            <w:left w:val="none" w:sz="0" w:space="0" w:color="auto"/>
            <w:bottom w:val="none" w:sz="0" w:space="0" w:color="auto"/>
            <w:right w:val="none" w:sz="0" w:space="0" w:color="auto"/>
          </w:divBdr>
          <w:divsChild>
            <w:div w:id="882139285">
              <w:marLeft w:val="0"/>
              <w:marRight w:val="0"/>
              <w:marTop w:val="0"/>
              <w:marBottom w:val="0"/>
              <w:divBdr>
                <w:top w:val="none" w:sz="0" w:space="0" w:color="auto"/>
                <w:left w:val="none" w:sz="0" w:space="0" w:color="auto"/>
                <w:bottom w:val="none" w:sz="0" w:space="0" w:color="auto"/>
                <w:right w:val="none" w:sz="0" w:space="0" w:color="auto"/>
              </w:divBdr>
            </w:div>
          </w:divsChild>
        </w:div>
        <w:div w:id="1764762641">
          <w:marLeft w:val="0"/>
          <w:marRight w:val="0"/>
          <w:marTop w:val="0"/>
          <w:marBottom w:val="0"/>
          <w:divBdr>
            <w:top w:val="none" w:sz="0" w:space="0" w:color="auto"/>
            <w:left w:val="none" w:sz="0" w:space="0" w:color="auto"/>
            <w:bottom w:val="none" w:sz="0" w:space="0" w:color="auto"/>
            <w:right w:val="none" w:sz="0" w:space="0" w:color="auto"/>
          </w:divBdr>
          <w:divsChild>
            <w:div w:id="1944527580">
              <w:marLeft w:val="0"/>
              <w:marRight w:val="0"/>
              <w:marTop w:val="0"/>
              <w:marBottom w:val="0"/>
              <w:divBdr>
                <w:top w:val="none" w:sz="0" w:space="0" w:color="auto"/>
                <w:left w:val="none" w:sz="0" w:space="0" w:color="auto"/>
                <w:bottom w:val="none" w:sz="0" w:space="0" w:color="auto"/>
                <w:right w:val="none" w:sz="0" w:space="0" w:color="auto"/>
              </w:divBdr>
            </w:div>
          </w:divsChild>
        </w:div>
        <w:div w:id="1884519064">
          <w:marLeft w:val="0"/>
          <w:marRight w:val="0"/>
          <w:marTop w:val="0"/>
          <w:marBottom w:val="0"/>
          <w:divBdr>
            <w:top w:val="none" w:sz="0" w:space="0" w:color="auto"/>
            <w:left w:val="none" w:sz="0" w:space="0" w:color="auto"/>
            <w:bottom w:val="none" w:sz="0" w:space="0" w:color="auto"/>
            <w:right w:val="none" w:sz="0" w:space="0" w:color="auto"/>
          </w:divBdr>
          <w:divsChild>
            <w:div w:id="1445463140">
              <w:marLeft w:val="0"/>
              <w:marRight w:val="0"/>
              <w:marTop w:val="0"/>
              <w:marBottom w:val="0"/>
              <w:divBdr>
                <w:top w:val="none" w:sz="0" w:space="0" w:color="auto"/>
                <w:left w:val="none" w:sz="0" w:space="0" w:color="auto"/>
                <w:bottom w:val="none" w:sz="0" w:space="0" w:color="auto"/>
                <w:right w:val="none" w:sz="0" w:space="0" w:color="auto"/>
              </w:divBdr>
            </w:div>
          </w:divsChild>
        </w:div>
        <w:div w:id="1995647353">
          <w:marLeft w:val="0"/>
          <w:marRight w:val="0"/>
          <w:marTop w:val="0"/>
          <w:marBottom w:val="0"/>
          <w:divBdr>
            <w:top w:val="none" w:sz="0" w:space="0" w:color="auto"/>
            <w:left w:val="none" w:sz="0" w:space="0" w:color="auto"/>
            <w:bottom w:val="none" w:sz="0" w:space="0" w:color="auto"/>
            <w:right w:val="none" w:sz="0" w:space="0" w:color="auto"/>
          </w:divBdr>
          <w:divsChild>
            <w:div w:id="1197546407">
              <w:marLeft w:val="0"/>
              <w:marRight w:val="0"/>
              <w:marTop w:val="0"/>
              <w:marBottom w:val="0"/>
              <w:divBdr>
                <w:top w:val="none" w:sz="0" w:space="0" w:color="auto"/>
                <w:left w:val="none" w:sz="0" w:space="0" w:color="auto"/>
                <w:bottom w:val="none" w:sz="0" w:space="0" w:color="auto"/>
                <w:right w:val="none" w:sz="0" w:space="0" w:color="auto"/>
              </w:divBdr>
            </w:div>
          </w:divsChild>
        </w:div>
        <w:div w:id="2060544918">
          <w:marLeft w:val="0"/>
          <w:marRight w:val="0"/>
          <w:marTop w:val="0"/>
          <w:marBottom w:val="0"/>
          <w:divBdr>
            <w:top w:val="none" w:sz="0" w:space="0" w:color="auto"/>
            <w:left w:val="none" w:sz="0" w:space="0" w:color="auto"/>
            <w:bottom w:val="none" w:sz="0" w:space="0" w:color="auto"/>
            <w:right w:val="none" w:sz="0" w:space="0" w:color="auto"/>
          </w:divBdr>
          <w:divsChild>
            <w:div w:id="1121072115">
              <w:marLeft w:val="0"/>
              <w:marRight w:val="0"/>
              <w:marTop w:val="0"/>
              <w:marBottom w:val="0"/>
              <w:divBdr>
                <w:top w:val="none" w:sz="0" w:space="0" w:color="auto"/>
                <w:left w:val="none" w:sz="0" w:space="0" w:color="auto"/>
                <w:bottom w:val="none" w:sz="0" w:space="0" w:color="auto"/>
                <w:right w:val="none" w:sz="0" w:space="0" w:color="auto"/>
              </w:divBdr>
            </w:div>
          </w:divsChild>
        </w:div>
        <w:div w:id="2121289740">
          <w:marLeft w:val="0"/>
          <w:marRight w:val="0"/>
          <w:marTop w:val="0"/>
          <w:marBottom w:val="0"/>
          <w:divBdr>
            <w:top w:val="none" w:sz="0" w:space="0" w:color="auto"/>
            <w:left w:val="none" w:sz="0" w:space="0" w:color="auto"/>
            <w:bottom w:val="none" w:sz="0" w:space="0" w:color="auto"/>
            <w:right w:val="none" w:sz="0" w:space="0" w:color="auto"/>
          </w:divBdr>
          <w:divsChild>
            <w:div w:id="446969042">
              <w:marLeft w:val="0"/>
              <w:marRight w:val="0"/>
              <w:marTop w:val="0"/>
              <w:marBottom w:val="0"/>
              <w:divBdr>
                <w:top w:val="none" w:sz="0" w:space="0" w:color="auto"/>
                <w:left w:val="none" w:sz="0" w:space="0" w:color="auto"/>
                <w:bottom w:val="none" w:sz="0" w:space="0" w:color="auto"/>
                <w:right w:val="none" w:sz="0" w:space="0" w:color="auto"/>
              </w:divBdr>
            </w:div>
          </w:divsChild>
        </w:div>
        <w:div w:id="2127893914">
          <w:marLeft w:val="0"/>
          <w:marRight w:val="0"/>
          <w:marTop w:val="0"/>
          <w:marBottom w:val="0"/>
          <w:divBdr>
            <w:top w:val="none" w:sz="0" w:space="0" w:color="auto"/>
            <w:left w:val="none" w:sz="0" w:space="0" w:color="auto"/>
            <w:bottom w:val="none" w:sz="0" w:space="0" w:color="auto"/>
            <w:right w:val="none" w:sz="0" w:space="0" w:color="auto"/>
          </w:divBdr>
          <w:divsChild>
            <w:div w:id="9460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94499">
      <w:bodyDiv w:val="1"/>
      <w:marLeft w:val="0"/>
      <w:marRight w:val="0"/>
      <w:marTop w:val="0"/>
      <w:marBottom w:val="0"/>
      <w:divBdr>
        <w:top w:val="none" w:sz="0" w:space="0" w:color="auto"/>
        <w:left w:val="none" w:sz="0" w:space="0" w:color="auto"/>
        <w:bottom w:val="none" w:sz="0" w:space="0" w:color="auto"/>
        <w:right w:val="none" w:sz="0" w:space="0" w:color="auto"/>
      </w:divBdr>
      <w:divsChild>
        <w:div w:id="39595352">
          <w:marLeft w:val="0"/>
          <w:marRight w:val="0"/>
          <w:marTop w:val="0"/>
          <w:marBottom w:val="0"/>
          <w:divBdr>
            <w:top w:val="none" w:sz="0" w:space="0" w:color="auto"/>
            <w:left w:val="none" w:sz="0" w:space="0" w:color="auto"/>
            <w:bottom w:val="none" w:sz="0" w:space="0" w:color="auto"/>
            <w:right w:val="none" w:sz="0" w:space="0" w:color="auto"/>
          </w:divBdr>
        </w:div>
        <w:div w:id="203829802">
          <w:marLeft w:val="0"/>
          <w:marRight w:val="0"/>
          <w:marTop w:val="0"/>
          <w:marBottom w:val="0"/>
          <w:divBdr>
            <w:top w:val="none" w:sz="0" w:space="0" w:color="auto"/>
            <w:left w:val="none" w:sz="0" w:space="0" w:color="auto"/>
            <w:bottom w:val="none" w:sz="0" w:space="0" w:color="auto"/>
            <w:right w:val="none" w:sz="0" w:space="0" w:color="auto"/>
          </w:divBdr>
        </w:div>
        <w:div w:id="2082629414">
          <w:marLeft w:val="0"/>
          <w:marRight w:val="0"/>
          <w:marTop w:val="0"/>
          <w:marBottom w:val="0"/>
          <w:divBdr>
            <w:top w:val="none" w:sz="0" w:space="0" w:color="auto"/>
            <w:left w:val="none" w:sz="0" w:space="0" w:color="auto"/>
            <w:bottom w:val="none" w:sz="0" w:space="0" w:color="auto"/>
            <w:right w:val="none" w:sz="0" w:space="0" w:color="auto"/>
          </w:divBdr>
        </w:div>
      </w:divsChild>
    </w:div>
    <w:div w:id="1278294966">
      <w:bodyDiv w:val="1"/>
      <w:marLeft w:val="0"/>
      <w:marRight w:val="0"/>
      <w:marTop w:val="0"/>
      <w:marBottom w:val="0"/>
      <w:divBdr>
        <w:top w:val="none" w:sz="0" w:space="0" w:color="auto"/>
        <w:left w:val="none" w:sz="0" w:space="0" w:color="auto"/>
        <w:bottom w:val="none" w:sz="0" w:space="0" w:color="auto"/>
        <w:right w:val="none" w:sz="0" w:space="0" w:color="auto"/>
      </w:divBdr>
    </w:div>
    <w:div w:id="1281717892">
      <w:bodyDiv w:val="1"/>
      <w:marLeft w:val="0"/>
      <w:marRight w:val="0"/>
      <w:marTop w:val="0"/>
      <w:marBottom w:val="0"/>
      <w:divBdr>
        <w:top w:val="none" w:sz="0" w:space="0" w:color="auto"/>
        <w:left w:val="none" w:sz="0" w:space="0" w:color="auto"/>
        <w:bottom w:val="none" w:sz="0" w:space="0" w:color="auto"/>
        <w:right w:val="none" w:sz="0" w:space="0" w:color="auto"/>
      </w:divBdr>
    </w:div>
    <w:div w:id="1283997635">
      <w:bodyDiv w:val="1"/>
      <w:marLeft w:val="0"/>
      <w:marRight w:val="0"/>
      <w:marTop w:val="0"/>
      <w:marBottom w:val="0"/>
      <w:divBdr>
        <w:top w:val="none" w:sz="0" w:space="0" w:color="auto"/>
        <w:left w:val="none" w:sz="0" w:space="0" w:color="auto"/>
        <w:bottom w:val="none" w:sz="0" w:space="0" w:color="auto"/>
        <w:right w:val="none" w:sz="0" w:space="0" w:color="auto"/>
      </w:divBdr>
      <w:divsChild>
        <w:div w:id="2048157">
          <w:marLeft w:val="0"/>
          <w:marRight w:val="0"/>
          <w:marTop w:val="0"/>
          <w:marBottom w:val="0"/>
          <w:divBdr>
            <w:top w:val="none" w:sz="0" w:space="0" w:color="auto"/>
            <w:left w:val="none" w:sz="0" w:space="0" w:color="auto"/>
            <w:bottom w:val="none" w:sz="0" w:space="0" w:color="auto"/>
            <w:right w:val="none" w:sz="0" w:space="0" w:color="auto"/>
          </w:divBdr>
          <w:divsChild>
            <w:div w:id="2070028300">
              <w:marLeft w:val="0"/>
              <w:marRight w:val="0"/>
              <w:marTop w:val="0"/>
              <w:marBottom w:val="0"/>
              <w:divBdr>
                <w:top w:val="none" w:sz="0" w:space="0" w:color="auto"/>
                <w:left w:val="none" w:sz="0" w:space="0" w:color="auto"/>
                <w:bottom w:val="none" w:sz="0" w:space="0" w:color="auto"/>
                <w:right w:val="none" w:sz="0" w:space="0" w:color="auto"/>
              </w:divBdr>
            </w:div>
          </w:divsChild>
        </w:div>
        <w:div w:id="19480270">
          <w:marLeft w:val="0"/>
          <w:marRight w:val="0"/>
          <w:marTop w:val="0"/>
          <w:marBottom w:val="0"/>
          <w:divBdr>
            <w:top w:val="none" w:sz="0" w:space="0" w:color="auto"/>
            <w:left w:val="none" w:sz="0" w:space="0" w:color="auto"/>
            <w:bottom w:val="none" w:sz="0" w:space="0" w:color="auto"/>
            <w:right w:val="none" w:sz="0" w:space="0" w:color="auto"/>
          </w:divBdr>
          <w:divsChild>
            <w:div w:id="727144230">
              <w:marLeft w:val="0"/>
              <w:marRight w:val="0"/>
              <w:marTop w:val="0"/>
              <w:marBottom w:val="0"/>
              <w:divBdr>
                <w:top w:val="none" w:sz="0" w:space="0" w:color="auto"/>
                <w:left w:val="none" w:sz="0" w:space="0" w:color="auto"/>
                <w:bottom w:val="none" w:sz="0" w:space="0" w:color="auto"/>
                <w:right w:val="none" w:sz="0" w:space="0" w:color="auto"/>
              </w:divBdr>
            </w:div>
          </w:divsChild>
        </w:div>
        <w:div w:id="34159842">
          <w:marLeft w:val="0"/>
          <w:marRight w:val="0"/>
          <w:marTop w:val="0"/>
          <w:marBottom w:val="0"/>
          <w:divBdr>
            <w:top w:val="none" w:sz="0" w:space="0" w:color="auto"/>
            <w:left w:val="none" w:sz="0" w:space="0" w:color="auto"/>
            <w:bottom w:val="none" w:sz="0" w:space="0" w:color="auto"/>
            <w:right w:val="none" w:sz="0" w:space="0" w:color="auto"/>
          </w:divBdr>
          <w:divsChild>
            <w:div w:id="555555508">
              <w:marLeft w:val="0"/>
              <w:marRight w:val="0"/>
              <w:marTop w:val="0"/>
              <w:marBottom w:val="0"/>
              <w:divBdr>
                <w:top w:val="none" w:sz="0" w:space="0" w:color="auto"/>
                <w:left w:val="none" w:sz="0" w:space="0" w:color="auto"/>
                <w:bottom w:val="none" w:sz="0" w:space="0" w:color="auto"/>
                <w:right w:val="none" w:sz="0" w:space="0" w:color="auto"/>
              </w:divBdr>
            </w:div>
          </w:divsChild>
        </w:div>
        <w:div w:id="34549058">
          <w:marLeft w:val="0"/>
          <w:marRight w:val="0"/>
          <w:marTop w:val="0"/>
          <w:marBottom w:val="0"/>
          <w:divBdr>
            <w:top w:val="none" w:sz="0" w:space="0" w:color="auto"/>
            <w:left w:val="none" w:sz="0" w:space="0" w:color="auto"/>
            <w:bottom w:val="none" w:sz="0" w:space="0" w:color="auto"/>
            <w:right w:val="none" w:sz="0" w:space="0" w:color="auto"/>
          </w:divBdr>
          <w:divsChild>
            <w:div w:id="1799714290">
              <w:marLeft w:val="0"/>
              <w:marRight w:val="0"/>
              <w:marTop w:val="0"/>
              <w:marBottom w:val="0"/>
              <w:divBdr>
                <w:top w:val="none" w:sz="0" w:space="0" w:color="auto"/>
                <w:left w:val="none" w:sz="0" w:space="0" w:color="auto"/>
                <w:bottom w:val="none" w:sz="0" w:space="0" w:color="auto"/>
                <w:right w:val="none" w:sz="0" w:space="0" w:color="auto"/>
              </w:divBdr>
            </w:div>
          </w:divsChild>
        </w:div>
        <w:div w:id="39595285">
          <w:marLeft w:val="0"/>
          <w:marRight w:val="0"/>
          <w:marTop w:val="0"/>
          <w:marBottom w:val="0"/>
          <w:divBdr>
            <w:top w:val="none" w:sz="0" w:space="0" w:color="auto"/>
            <w:left w:val="none" w:sz="0" w:space="0" w:color="auto"/>
            <w:bottom w:val="none" w:sz="0" w:space="0" w:color="auto"/>
            <w:right w:val="none" w:sz="0" w:space="0" w:color="auto"/>
          </w:divBdr>
          <w:divsChild>
            <w:div w:id="586768461">
              <w:marLeft w:val="0"/>
              <w:marRight w:val="0"/>
              <w:marTop w:val="0"/>
              <w:marBottom w:val="0"/>
              <w:divBdr>
                <w:top w:val="none" w:sz="0" w:space="0" w:color="auto"/>
                <w:left w:val="none" w:sz="0" w:space="0" w:color="auto"/>
                <w:bottom w:val="none" w:sz="0" w:space="0" w:color="auto"/>
                <w:right w:val="none" w:sz="0" w:space="0" w:color="auto"/>
              </w:divBdr>
            </w:div>
          </w:divsChild>
        </w:div>
        <w:div w:id="42144946">
          <w:marLeft w:val="0"/>
          <w:marRight w:val="0"/>
          <w:marTop w:val="0"/>
          <w:marBottom w:val="0"/>
          <w:divBdr>
            <w:top w:val="none" w:sz="0" w:space="0" w:color="auto"/>
            <w:left w:val="none" w:sz="0" w:space="0" w:color="auto"/>
            <w:bottom w:val="none" w:sz="0" w:space="0" w:color="auto"/>
            <w:right w:val="none" w:sz="0" w:space="0" w:color="auto"/>
          </w:divBdr>
          <w:divsChild>
            <w:div w:id="1676302963">
              <w:marLeft w:val="0"/>
              <w:marRight w:val="0"/>
              <w:marTop w:val="0"/>
              <w:marBottom w:val="0"/>
              <w:divBdr>
                <w:top w:val="none" w:sz="0" w:space="0" w:color="auto"/>
                <w:left w:val="none" w:sz="0" w:space="0" w:color="auto"/>
                <w:bottom w:val="none" w:sz="0" w:space="0" w:color="auto"/>
                <w:right w:val="none" w:sz="0" w:space="0" w:color="auto"/>
              </w:divBdr>
            </w:div>
          </w:divsChild>
        </w:div>
        <w:div w:id="55131144">
          <w:marLeft w:val="0"/>
          <w:marRight w:val="0"/>
          <w:marTop w:val="0"/>
          <w:marBottom w:val="0"/>
          <w:divBdr>
            <w:top w:val="none" w:sz="0" w:space="0" w:color="auto"/>
            <w:left w:val="none" w:sz="0" w:space="0" w:color="auto"/>
            <w:bottom w:val="none" w:sz="0" w:space="0" w:color="auto"/>
            <w:right w:val="none" w:sz="0" w:space="0" w:color="auto"/>
          </w:divBdr>
          <w:divsChild>
            <w:div w:id="1751928637">
              <w:marLeft w:val="0"/>
              <w:marRight w:val="0"/>
              <w:marTop w:val="0"/>
              <w:marBottom w:val="0"/>
              <w:divBdr>
                <w:top w:val="none" w:sz="0" w:space="0" w:color="auto"/>
                <w:left w:val="none" w:sz="0" w:space="0" w:color="auto"/>
                <w:bottom w:val="none" w:sz="0" w:space="0" w:color="auto"/>
                <w:right w:val="none" w:sz="0" w:space="0" w:color="auto"/>
              </w:divBdr>
            </w:div>
          </w:divsChild>
        </w:div>
        <w:div w:id="58133400">
          <w:marLeft w:val="0"/>
          <w:marRight w:val="0"/>
          <w:marTop w:val="0"/>
          <w:marBottom w:val="0"/>
          <w:divBdr>
            <w:top w:val="none" w:sz="0" w:space="0" w:color="auto"/>
            <w:left w:val="none" w:sz="0" w:space="0" w:color="auto"/>
            <w:bottom w:val="none" w:sz="0" w:space="0" w:color="auto"/>
            <w:right w:val="none" w:sz="0" w:space="0" w:color="auto"/>
          </w:divBdr>
          <w:divsChild>
            <w:div w:id="1702124700">
              <w:marLeft w:val="0"/>
              <w:marRight w:val="0"/>
              <w:marTop w:val="0"/>
              <w:marBottom w:val="0"/>
              <w:divBdr>
                <w:top w:val="none" w:sz="0" w:space="0" w:color="auto"/>
                <w:left w:val="none" w:sz="0" w:space="0" w:color="auto"/>
                <w:bottom w:val="none" w:sz="0" w:space="0" w:color="auto"/>
                <w:right w:val="none" w:sz="0" w:space="0" w:color="auto"/>
              </w:divBdr>
            </w:div>
          </w:divsChild>
        </w:div>
        <w:div w:id="59334655">
          <w:marLeft w:val="0"/>
          <w:marRight w:val="0"/>
          <w:marTop w:val="0"/>
          <w:marBottom w:val="0"/>
          <w:divBdr>
            <w:top w:val="none" w:sz="0" w:space="0" w:color="auto"/>
            <w:left w:val="none" w:sz="0" w:space="0" w:color="auto"/>
            <w:bottom w:val="none" w:sz="0" w:space="0" w:color="auto"/>
            <w:right w:val="none" w:sz="0" w:space="0" w:color="auto"/>
          </w:divBdr>
          <w:divsChild>
            <w:div w:id="446313973">
              <w:marLeft w:val="0"/>
              <w:marRight w:val="0"/>
              <w:marTop w:val="0"/>
              <w:marBottom w:val="0"/>
              <w:divBdr>
                <w:top w:val="none" w:sz="0" w:space="0" w:color="auto"/>
                <w:left w:val="none" w:sz="0" w:space="0" w:color="auto"/>
                <w:bottom w:val="none" w:sz="0" w:space="0" w:color="auto"/>
                <w:right w:val="none" w:sz="0" w:space="0" w:color="auto"/>
              </w:divBdr>
            </w:div>
          </w:divsChild>
        </w:div>
        <w:div w:id="59990173">
          <w:marLeft w:val="0"/>
          <w:marRight w:val="0"/>
          <w:marTop w:val="0"/>
          <w:marBottom w:val="0"/>
          <w:divBdr>
            <w:top w:val="none" w:sz="0" w:space="0" w:color="auto"/>
            <w:left w:val="none" w:sz="0" w:space="0" w:color="auto"/>
            <w:bottom w:val="none" w:sz="0" w:space="0" w:color="auto"/>
            <w:right w:val="none" w:sz="0" w:space="0" w:color="auto"/>
          </w:divBdr>
          <w:divsChild>
            <w:div w:id="390932119">
              <w:marLeft w:val="0"/>
              <w:marRight w:val="0"/>
              <w:marTop w:val="0"/>
              <w:marBottom w:val="0"/>
              <w:divBdr>
                <w:top w:val="none" w:sz="0" w:space="0" w:color="auto"/>
                <w:left w:val="none" w:sz="0" w:space="0" w:color="auto"/>
                <w:bottom w:val="none" w:sz="0" w:space="0" w:color="auto"/>
                <w:right w:val="none" w:sz="0" w:space="0" w:color="auto"/>
              </w:divBdr>
            </w:div>
          </w:divsChild>
        </w:div>
        <w:div w:id="63264186">
          <w:marLeft w:val="0"/>
          <w:marRight w:val="0"/>
          <w:marTop w:val="0"/>
          <w:marBottom w:val="0"/>
          <w:divBdr>
            <w:top w:val="none" w:sz="0" w:space="0" w:color="auto"/>
            <w:left w:val="none" w:sz="0" w:space="0" w:color="auto"/>
            <w:bottom w:val="none" w:sz="0" w:space="0" w:color="auto"/>
            <w:right w:val="none" w:sz="0" w:space="0" w:color="auto"/>
          </w:divBdr>
          <w:divsChild>
            <w:div w:id="1206484971">
              <w:marLeft w:val="0"/>
              <w:marRight w:val="0"/>
              <w:marTop w:val="0"/>
              <w:marBottom w:val="0"/>
              <w:divBdr>
                <w:top w:val="none" w:sz="0" w:space="0" w:color="auto"/>
                <w:left w:val="none" w:sz="0" w:space="0" w:color="auto"/>
                <w:bottom w:val="none" w:sz="0" w:space="0" w:color="auto"/>
                <w:right w:val="none" w:sz="0" w:space="0" w:color="auto"/>
              </w:divBdr>
            </w:div>
          </w:divsChild>
        </w:div>
        <w:div w:id="67653909">
          <w:marLeft w:val="0"/>
          <w:marRight w:val="0"/>
          <w:marTop w:val="0"/>
          <w:marBottom w:val="0"/>
          <w:divBdr>
            <w:top w:val="none" w:sz="0" w:space="0" w:color="auto"/>
            <w:left w:val="none" w:sz="0" w:space="0" w:color="auto"/>
            <w:bottom w:val="none" w:sz="0" w:space="0" w:color="auto"/>
            <w:right w:val="none" w:sz="0" w:space="0" w:color="auto"/>
          </w:divBdr>
          <w:divsChild>
            <w:div w:id="173299528">
              <w:marLeft w:val="0"/>
              <w:marRight w:val="0"/>
              <w:marTop w:val="0"/>
              <w:marBottom w:val="0"/>
              <w:divBdr>
                <w:top w:val="none" w:sz="0" w:space="0" w:color="auto"/>
                <w:left w:val="none" w:sz="0" w:space="0" w:color="auto"/>
                <w:bottom w:val="none" w:sz="0" w:space="0" w:color="auto"/>
                <w:right w:val="none" w:sz="0" w:space="0" w:color="auto"/>
              </w:divBdr>
            </w:div>
          </w:divsChild>
        </w:div>
        <w:div w:id="81606327">
          <w:marLeft w:val="0"/>
          <w:marRight w:val="0"/>
          <w:marTop w:val="0"/>
          <w:marBottom w:val="0"/>
          <w:divBdr>
            <w:top w:val="none" w:sz="0" w:space="0" w:color="auto"/>
            <w:left w:val="none" w:sz="0" w:space="0" w:color="auto"/>
            <w:bottom w:val="none" w:sz="0" w:space="0" w:color="auto"/>
            <w:right w:val="none" w:sz="0" w:space="0" w:color="auto"/>
          </w:divBdr>
          <w:divsChild>
            <w:div w:id="152570804">
              <w:marLeft w:val="0"/>
              <w:marRight w:val="0"/>
              <w:marTop w:val="0"/>
              <w:marBottom w:val="0"/>
              <w:divBdr>
                <w:top w:val="none" w:sz="0" w:space="0" w:color="auto"/>
                <w:left w:val="none" w:sz="0" w:space="0" w:color="auto"/>
                <w:bottom w:val="none" w:sz="0" w:space="0" w:color="auto"/>
                <w:right w:val="none" w:sz="0" w:space="0" w:color="auto"/>
              </w:divBdr>
            </w:div>
          </w:divsChild>
        </w:div>
        <w:div w:id="86315596">
          <w:marLeft w:val="0"/>
          <w:marRight w:val="0"/>
          <w:marTop w:val="0"/>
          <w:marBottom w:val="0"/>
          <w:divBdr>
            <w:top w:val="none" w:sz="0" w:space="0" w:color="auto"/>
            <w:left w:val="none" w:sz="0" w:space="0" w:color="auto"/>
            <w:bottom w:val="none" w:sz="0" w:space="0" w:color="auto"/>
            <w:right w:val="none" w:sz="0" w:space="0" w:color="auto"/>
          </w:divBdr>
          <w:divsChild>
            <w:div w:id="609551937">
              <w:marLeft w:val="0"/>
              <w:marRight w:val="0"/>
              <w:marTop w:val="0"/>
              <w:marBottom w:val="0"/>
              <w:divBdr>
                <w:top w:val="none" w:sz="0" w:space="0" w:color="auto"/>
                <w:left w:val="none" w:sz="0" w:space="0" w:color="auto"/>
                <w:bottom w:val="none" w:sz="0" w:space="0" w:color="auto"/>
                <w:right w:val="none" w:sz="0" w:space="0" w:color="auto"/>
              </w:divBdr>
            </w:div>
          </w:divsChild>
        </w:div>
        <w:div w:id="107942697">
          <w:marLeft w:val="0"/>
          <w:marRight w:val="0"/>
          <w:marTop w:val="0"/>
          <w:marBottom w:val="0"/>
          <w:divBdr>
            <w:top w:val="none" w:sz="0" w:space="0" w:color="auto"/>
            <w:left w:val="none" w:sz="0" w:space="0" w:color="auto"/>
            <w:bottom w:val="none" w:sz="0" w:space="0" w:color="auto"/>
            <w:right w:val="none" w:sz="0" w:space="0" w:color="auto"/>
          </w:divBdr>
          <w:divsChild>
            <w:div w:id="518274940">
              <w:marLeft w:val="0"/>
              <w:marRight w:val="0"/>
              <w:marTop w:val="0"/>
              <w:marBottom w:val="0"/>
              <w:divBdr>
                <w:top w:val="none" w:sz="0" w:space="0" w:color="auto"/>
                <w:left w:val="none" w:sz="0" w:space="0" w:color="auto"/>
                <w:bottom w:val="none" w:sz="0" w:space="0" w:color="auto"/>
                <w:right w:val="none" w:sz="0" w:space="0" w:color="auto"/>
              </w:divBdr>
            </w:div>
          </w:divsChild>
        </w:div>
        <w:div w:id="117067730">
          <w:marLeft w:val="0"/>
          <w:marRight w:val="0"/>
          <w:marTop w:val="0"/>
          <w:marBottom w:val="0"/>
          <w:divBdr>
            <w:top w:val="none" w:sz="0" w:space="0" w:color="auto"/>
            <w:left w:val="none" w:sz="0" w:space="0" w:color="auto"/>
            <w:bottom w:val="none" w:sz="0" w:space="0" w:color="auto"/>
            <w:right w:val="none" w:sz="0" w:space="0" w:color="auto"/>
          </w:divBdr>
          <w:divsChild>
            <w:div w:id="968163658">
              <w:marLeft w:val="0"/>
              <w:marRight w:val="0"/>
              <w:marTop w:val="0"/>
              <w:marBottom w:val="0"/>
              <w:divBdr>
                <w:top w:val="none" w:sz="0" w:space="0" w:color="auto"/>
                <w:left w:val="none" w:sz="0" w:space="0" w:color="auto"/>
                <w:bottom w:val="none" w:sz="0" w:space="0" w:color="auto"/>
                <w:right w:val="none" w:sz="0" w:space="0" w:color="auto"/>
              </w:divBdr>
            </w:div>
          </w:divsChild>
        </w:div>
        <w:div w:id="118572641">
          <w:marLeft w:val="0"/>
          <w:marRight w:val="0"/>
          <w:marTop w:val="0"/>
          <w:marBottom w:val="0"/>
          <w:divBdr>
            <w:top w:val="none" w:sz="0" w:space="0" w:color="auto"/>
            <w:left w:val="none" w:sz="0" w:space="0" w:color="auto"/>
            <w:bottom w:val="none" w:sz="0" w:space="0" w:color="auto"/>
            <w:right w:val="none" w:sz="0" w:space="0" w:color="auto"/>
          </w:divBdr>
          <w:divsChild>
            <w:div w:id="346446371">
              <w:marLeft w:val="0"/>
              <w:marRight w:val="0"/>
              <w:marTop w:val="0"/>
              <w:marBottom w:val="0"/>
              <w:divBdr>
                <w:top w:val="none" w:sz="0" w:space="0" w:color="auto"/>
                <w:left w:val="none" w:sz="0" w:space="0" w:color="auto"/>
                <w:bottom w:val="none" w:sz="0" w:space="0" w:color="auto"/>
                <w:right w:val="none" w:sz="0" w:space="0" w:color="auto"/>
              </w:divBdr>
            </w:div>
          </w:divsChild>
        </w:div>
        <w:div w:id="125780041">
          <w:marLeft w:val="0"/>
          <w:marRight w:val="0"/>
          <w:marTop w:val="0"/>
          <w:marBottom w:val="0"/>
          <w:divBdr>
            <w:top w:val="none" w:sz="0" w:space="0" w:color="auto"/>
            <w:left w:val="none" w:sz="0" w:space="0" w:color="auto"/>
            <w:bottom w:val="none" w:sz="0" w:space="0" w:color="auto"/>
            <w:right w:val="none" w:sz="0" w:space="0" w:color="auto"/>
          </w:divBdr>
          <w:divsChild>
            <w:div w:id="1180242251">
              <w:marLeft w:val="0"/>
              <w:marRight w:val="0"/>
              <w:marTop w:val="0"/>
              <w:marBottom w:val="0"/>
              <w:divBdr>
                <w:top w:val="none" w:sz="0" w:space="0" w:color="auto"/>
                <w:left w:val="none" w:sz="0" w:space="0" w:color="auto"/>
                <w:bottom w:val="none" w:sz="0" w:space="0" w:color="auto"/>
                <w:right w:val="none" w:sz="0" w:space="0" w:color="auto"/>
              </w:divBdr>
            </w:div>
          </w:divsChild>
        </w:div>
        <w:div w:id="139541303">
          <w:marLeft w:val="0"/>
          <w:marRight w:val="0"/>
          <w:marTop w:val="0"/>
          <w:marBottom w:val="0"/>
          <w:divBdr>
            <w:top w:val="none" w:sz="0" w:space="0" w:color="auto"/>
            <w:left w:val="none" w:sz="0" w:space="0" w:color="auto"/>
            <w:bottom w:val="none" w:sz="0" w:space="0" w:color="auto"/>
            <w:right w:val="none" w:sz="0" w:space="0" w:color="auto"/>
          </w:divBdr>
          <w:divsChild>
            <w:div w:id="456070646">
              <w:marLeft w:val="0"/>
              <w:marRight w:val="0"/>
              <w:marTop w:val="0"/>
              <w:marBottom w:val="0"/>
              <w:divBdr>
                <w:top w:val="none" w:sz="0" w:space="0" w:color="auto"/>
                <w:left w:val="none" w:sz="0" w:space="0" w:color="auto"/>
                <w:bottom w:val="none" w:sz="0" w:space="0" w:color="auto"/>
                <w:right w:val="none" w:sz="0" w:space="0" w:color="auto"/>
              </w:divBdr>
            </w:div>
          </w:divsChild>
        </w:div>
        <w:div w:id="140849645">
          <w:marLeft w:val="0"/>
          <w:marRight w:val="0"/>
          <w:marTop w:val="0"/>
          <w:marBottom w:val="0"/>
          <w:divBdr>
            <w:top w:val="none" w:sz="0" w:space="0" w:color="auto"/>
            <w:left w:val="none" w:sz="0" w:space="0" w:color="auto"/>
            <w:bottom w:val="none" w:sz="0" w:space="0" w:color="auto"/>
            <w:right w:val="none" w:sz="0" w:space="0" w:color="auto"/>
          </w:divBdr>
          <w:divsChild>
            <w:div w:id="2084375092">
              <w:marLeft w:val="0"/>
              <w:marRight w:val="0"/>
              <w:marTop w:val="0"/>
              <w:marBottom w:val="0"/>
              <w:divBdr>
                <w:top w:val="none" w:sz="0" w:space="0" w:color="auto"/>
                <w:left w:val="none" w:sz="0" w:space="0" w:color="auto"/>
                <w:bottom w:val="none" w:sz="0" w:space="0" w:color="auto"/>
                <w:right w:val="none" w:sz="0" w:space="0" w:color="auto"/>
              </w:divBdr>
            </w:div>
          </w:divsChild>
        </w:div>
        <w:div w:id="141776908">
          <w:marLeft w:val="0"/>
          <w:marRight w:val="0"/>
          <w:marTop w:val="0"/>
          <w:marBottom w:val="0"/>
          <w:divBdr>
            <w:top w:val="none" w:sz="0" w:space="0" w:color="auto"/>
            <w:left w:val="none" w:sz="0" w:space="0" w:color="auto"/>
            <w:bottom w:val="none" w:sz="0" w:space="0" w:color="auto"/>
            <w:right w:val="none" w:sz="0" w:space="0" w:color="auto"/>
          </w:divBdr>
          <w:divsChild>
            <w:div w:id="1002775484">
              <w:marLeft w:val="0"/>
              <w:marRight w:val="0"/>
              <w:marTop w:val="0"/>
              <w:marBottom w:val="0"/>
              <w:divBdr>
                <w:top w:val="none" w:sz="0" w:space="0" w:color="auto"/>
                <w:left w:val="none" w:sz="0" w:space="0" w:color="auto"/>
                <w:bottom w:val="none" w:sz="0" w:space="0" w:color="auto"/>
                <w:right w:val="none" w:sz="0" w:space="0" w:color="auto"/>
              </w:divBdr>
            </w:div>
          </w:divsChild>
        </w:div>
        <w:div w:id="152453438">
          <w:marLeft w:val="0"/>
          <w:marRight w:val="0"/>
          <w:marTop w:val="0"/>
          <w:marBottom w:val="0"/>
          <w:divBdr>
            <w:top w:val="none" w:sz="0" w:space="0" w:color="auto"/>
            <w:left w:val="none" w:sz="0" w:space="0" w:color="auto"/>
            <w:bottom w:val="none" w:sz="0" w:space="0" w:color="auto"/>
            <w:right w:val="none" w:sz="0" w:space="0" w:color="auto"/>
          </w:divBdr>
          <w:divsChild>
            <w:div w:id="1160274324">
              <w:marLeft w:val="0"/>
              <w:marRight w:val="0"/>
              <w:marTop w:val="0"/>
              <w:marBottom w:val="0"/>
              <w:divBdr>
                <w:top w:val="none" w:sz="0" w:space="0" w:color="auto"/>
                <w:left w:val="none" w:sz="0" w:space="0" w:color="auto"/>
                <w:bottom w:val="none" w:sz="0" w:space="0" w:color="auto"/>
                <w:right w:val="none" w:sz="0" w:space="0" w:color="auto"/>
              </w:divBdr>
            </w:div>
          </w:divsChild>
        </w:div>
        <w:div w:id="154612091">
          <w:marLeft w:val="0"/>
          <w:marRight w:val="0"/>
          <w:marTop w:val="0"/>
          <w:marBottom w:val="0"/>
          <w:divBdr>
            <w:top w:val="none" w:sz="0" w:space="0" w:color="auto"/>
            <w:left w:val="none" w:sz="0" w:space="0" w:color="auto"/>
            <w:bottom w:val="none" w:sz="0" w:space="0" w:color="auto"/>
            <w:right w:val="none" w:sz="0" w:space="0" w:color="auto"/>
          </w:divBdr>
          <w:divsChild>
            <w:div w:id="913467840">
              <w:marLeft w:val="0"/>
              <w:marRight w:val="0"/>
              <w:marTop w:val="0"/>
              <w:marBottom w:val="0"/>
              <w:divBdr>
                <w:top w:val="none" w:sz="0" w:space="0" w:color="auto"/>
                <w:left w:val="none" w:sz="0" w:space="0" w:color="auto"/>
                <w:bottom w:val="none" w:sz="0" w:space="0" w:color="auto"/>
                <w:right w:val="none" w:sz="0" w:space="0" w:color="auto"/>
              </w:divBdr>
            </w:div>
          </w:divsChild>
        </w:div>
        <w:div w:id="155271523">
          <w:marLeft w:val="0"/>
          <w:marRight w:val="0"/>
          <w:marTop w:val="0"/>
          <w:marBottom w:val="0"/>
          <w:divBdr>
            <w:top w:val="none" w:sz="0" w:space="0" w:color="auto"/>
            <w:left w:val="none" w:sz="0" w:space="0" w:color="auto"/>
            <w:bottom w:val="none" w:sz="0" w:space="0" w:color="auto"/>
            <w:right w:val="none" w:sz="0" w:space="0" w:color="auto"/>
          </w:divBdr>
          <w:divsChild>
            <w:div w:id="921139452">
              <w:marLeft w:val="0"/>
              <w:marRight w:val="0"/>
              <w:marTop w:val="0"/>
              <w:marBottom w:val="0"/>
              <w:divBdr>
                <w:top w:val="none" w:sz="0" w:space="0" w:color="auto"/>
                <w:left w:val="none" w:sz="0" w:space="0" w:color="auto"/>
                <w:bottom w:val="none" w:sz="0" w:space="0" w:color="auto"/>
                <w:right w:val="none" w:sz="0" w:space="0" w:color="auto"/>
              </w:divBdr>
            </w:div>
          </w:divsChild>
        </w:div>
        <w:div w:id="158811925">
          <w:marLeft w:val="0"/>
          <w:marRight w:val="0"/>
          <w:marTop w:val="0"/>
          <w:marBottom w:val="0"/>
          <w:divBdr>
            <w:top w:val="none" w:sz="0" w:space="0" w:color="auto"/>
            <w:left w:val="none" w:sz="0" w:space="0" w:color="auto"/>
            <w:bottom w:val="none" w:sz="0" w:space="0" w:color="auto"/>
            <w:right w:val="none" w:sz="0" w:space="0" w:color="auto"/>
          </w:divBdr>
          <w:divsChild>
            <w:div w:id="547448406">
              <w:marLeft w:val="0"/>
              <w:marRight w:val="0"/>
              <w:marTop w:val="0"/>
              <w:marBottom w:val="0"/>
              <w:divBdr>
                <w:top w:val="none" w:sz="0" w:space="0" w:color="auto"/>
                <w:left w:val="none" w:sz="0" w:space="0" w:color="auto"/>
                <w:bottom w:val="none" w:sz="0" w:space="0" w:color="auto"/>
                <w:right w:val="none" w:sz="0" w:space="0" w:color="auto"/>
              </w:divBdr>
            </w:div>
          </w:divsChild>
        </w:div>
        <w:div w:id="173426632">
          <w:marLeft w:val="0"/>
          <w:marRight w:val="0"/>
          <w:marTop w:val="0"/>
          <w:marBottom w:val="0"/>
          <w:divBdr>
            <w:top w:val="none" w:sz="0" w:space="0" w:color="auto"/>
            <w:left w:val="none" w:sz="0" w:space="0" w:color="auto"/>
            <w:bottom w:val="none" w:sz="0" w:space="0" w:color="auto"/>
            <w:right w:val="none" w:sz="0" w:space="0" w:color="auto"/>
          </w:divBdr>
          <w:divsChild>
            <w:div w:id="2032758035">
              <w:marLeft w:val="0"/>
              <w:marRight w:val="0"/>
              <w:marTop w:val="0"/>
              <w:marBottom w:val="0"/>
              <w:divBdr>
                <w:top w:val="none" w:sz="0" w:space="0" w:color="auto"/>
                <w:left w:val="none" w:sz="0" w:space="0" w:color="auto"/>
                <w:bottom w:val="none" w:sz="0" w:space="0" w:color="auto"/>
                <w:right w:val="none" w:sz="0" w:space="0" w:color="auto"/>
              </w:divBdr>
            </w:div>
          </w:divsChild>
        </w:div>
        <w:div w:id="201872094">
          <w:marLeft w:val="0"/>
          <w:marRight w:val="0"/>
          <w:marTop w:val="0"/>
          <w:marBottom w:val="0"/>
          <w:divBdr>
            <w:top w:val="none" w:sz="0" w:space="0" w:color="auto"/>
            <w:left w:val="none" w:sz="0" w:space="0" w:color="auto"/>
            <w:bottom w:val="none" w:sz="0" w:space="0" w:color="auto"/>
            <w:right w:val="none" w:sz="0" w:space="0" w:color="auto"/>
          </w:divBdr>
          <w:divsChild>
            <w:div w:id="1694723293">
              <w:marLeft w:val="0"/>
              <w:marRight w:val="0"/>
              <w:marTop w:val="0"/>
              <w:marBottom w:val="0"/>
              <w:divBdr>
                <w:top w:val="none" w:sz="0" w:space="0" w:color="auto"/>
                <w:left w:val="none" w:sz="0" w:space="0" w:color="auto"/>
                <w:bottom w:val="none" w:sz="0" w:space="0" w:color="auto"/>
                <w:right w:val="none" w:sz="0" w:space="0" w:color="auto"/>
              </w:divBdr>
            </w:div>
          </w:divsChild>
        </w:div>
        <w:div w:id="202249933">
          <w:marLeft w:val="0"/>
          <w:marRight w:val="0"/>
          <w:marTop w:val="0"/>
          <w:marBottom w:val="0"/>
          <w:divBdr>
            <w:top w:val="none" w:sz="0" w:space="0" w:color="auto"/>
            <w:left w:val="none" w:sz="0" w:space="0" w:color="auto"/>
            <w:bottom w:val="none" w:sz="0" w:space="0" w:color="auto"/>
            <w:right w:val="none" w:sz="0" w:space="0" w:color="auto"/>
          </w:divBdr>
          <w:divsChild>
            <w:div w:id="1999383068">
              <w:marLeft w:val="0"/>
              <w:marRight w:val="0"/>
              <w:marTop w:val="0"/>
              <w:marBottom w:val="0"/>
              <w:divBdr>
                <w:top w:val="none" w:sz="0" w:space="0" w:color="auto"/>
                <w:left w:val="none" w:sz="0" w:space="0" w:color="auto"/>
                <w:bottom w:val="none" w:sz="0" w:space="0" w:color="auto"/>
                <w:right w:val="none" w:sz="0" w:space="0" w:color="auto"/>
              </w:divBdr>
            </w:div>
          </w:divsChild>
        </w:div>
        <w:div w:id="217404031">
          <w:marLeft w:val="0"/>
          <w:marRight w:val="0"/>
          <w:marTop w:val="0"/>
          <w:marBottom w:val="0"/>
          <w:divBdr>
            <w:top w:val="none" w:sz="0" w:space="0" w:color="auto"/>
            <w:left w:val="none" w:sz="0" w:space="0" w:color="auto"/>
            <w:bottom w:val="none" w:sz="0" w:space="0" w:color="auto"/>
            <w:right w:val="none" w:sz="0" w:space="0" w:color="auto"/>
          </w:divBdr>
          <w:divsChild>
            <w:div w:id="788013989">
              <w:marLeft w:val="0"/>
              <w:marRight w:val="0"/>
              <w:marTop w:val="0"/>
              <w:marBottom w:val="0"/>
              <w:divBdr>
                <w:top w:val="none" w:sz="0" w:space="0" w:color="auto"/>
                <w:left w:val="none" w:sz="0" w:space="0" w:color="auto"/>
                <w:bottom w:val="none" w:sz="0" w:space="0" w:color="auto"/>
                <w:right w:val="none" w:sz="0" w:space="0" w:color="auto"/>
              </w:divBdr>
            </w:div>
          </w:divsChild>
        </w:div>
        <w:div w:id="247009634">
          <w:marLeft w:val="0"/>
          <w:marRight w:val="0"/>
          <w:marTop w:val="0"/>
          <w:marBottom w:val="0"/>
          <w:divBdr>
            <w:top w:val="none" w:sz="0" w:space="0" w:color="auto"/>
            <w:left w:val="none" w:sz="0" w:space="0" w:color="auto"/>
            <w:bottom w:val="none" w:sz="0" w:space="0" w:color="auto"/>
            <w:right w:val="none" w:sz="0" w:space="0" w:color="auto"/>
          </w:divBdr>
          <w:divsChild>
            <w:div w:id="1973754582">
              <w:marLeft w:val="0"/>
              <w:marRight w:val="0"/>
              <w:marTop w:val="0"/>
              <w:marBottom w:val="0"/>
              <w:divBdr>
                <w:top w:val="none" w:sz="0" w:space="0" w:color="auto"/>
                <w:left w:val="none" w:sz="0" w:space="0" w:color="auto"/>
                <w:bottom w:val="none" w:sz="0" w:space="0" w:color="auto"/>
                <w:right w:val="none" w:sz="0" w:space="0" w:color="auto"/>
              </w:divBdr>
            </w:div>
          </w:divsChild>
        </w:div>
        <w:div w:id="254751452">
          <w:marLeft w:val="0"/>
          <w:marRight w:val="0"/>
          <w:marTop w:val="0"/>
          <w:marBottom w:val="0"/>
          <w:divBdr>
            <w:top w:val="none" w:sz="0" w:space="0" w:color="auto"/>
            <w:left w:val="none" w:sz="0" w:space="0" w:color="auto"/>
            <w:bottom w:val="none" w:sz="0" w:space="0" w:color="auto"/>
            <w:right w:val="none" w:sz="0" w:space="0" w:color="auto"/>
          </w:divBdr>
          <w:divsChild>
            <w:div w:id="1816145633">
              <w:marLeft w:val="0"/>
              <w:marRight w:val="0"/>
              <w:marTop w:val="0"/>
              <w:marBottom w:val="0"/>
              <w:divBdr>
                <w:top w:val="none" w:sz="0" w:space="0" w:color="auto"/>
                <w:left w:val="none" w:sz="0" w:space="0" w:color="auto"/>
                <w:bottom w:val="none" w:sz="0" w:space="0" w:color="auto"/>
                <w:right w:val="none" w:sz="0" w:space="0" w:color="auto"/>
              </w:divBdr>
            </w:div>
          </w:divsChild>
        </w:div>
        <w:div w:id="255403988">
          <w:marLeft w:val="0"/>
          <w:marRight w:val="0"/>
          <w:marTop w:val="0"/>
          <w:marBottom w:val="0"/>
          <w:divBdr>
            <w:top w:val="none" w:sz="0" w:space="0" w:color="auto"/>
            <w:left w:val="none" w:sz="0" w:space="0" w:color="auto"/>
            <w:bottom w:val="none" w:sz="0" w:space="0" w:color="auto"/>
            <w:right w:val="none" w:sz="0" w:space="0" w:color="auto"/>
          </w:divBdr>
          <w:divsChild>
            <w:div w:id="496575354">
              <w:marLeft w:val="0"/>
              <w:marRight w:val="0"/>
              <w:marTop w:val="0"/>
              <w:marBottom w:val="0"/>
              <w:divBdr>
                <w:top w:val="none" w:sz="0" w:space="0" w:color="auto"/>
                <w:left w:val="none" w:sz="0" w:space="0" w:color="auto"/>
                <w:bottom w:val="none" w:sz="0" w:space="0" w:color="auto"/>
                <w:right w:val="none" w:sz="0" w:space="0" w:color="auto"/>
              </w:divBdr>
            </w:div>
          </w:divsChild>
        </w:div>
        <w:div w:id="257106550">
          <w:marLeft w:val="0"/>
          <w:marRight w:val="0"/>
          <w:marTop w:val="0"/>
          <w:marBottom w:val="0"/>
          <w:divBdr>
            <w:top w:val="none" w:sz="0" w:space="0" w:color="auto"/>
            <w:left w:val="none" w:sz="0" w:space="0" w:color="auto"/>
            <w:bottom w:val="none" w:sz="0" w:space="0" w:color="auto"/>
            <w:right w:val="none" w:sz="0" w:space="0" w:color="auto"/>
          </w:divBdr>
          <w:divsChild>
            <w:div w:id="853416869">
              <w:marLeft w:val="0"/>
              <w:marRight w:val="0"/>
              <w:marTop w:val="0"/>
              <w:marBottom w:val="0"/>
              <w:divBdr>
                <w:top w:val="none" w:sz="0" w:space="0" w:color="auto"/>
                <w:left w:val="none" w:sz="0" w:space="0" w:color="auto"/>
                <w:bottom w:val="none" w:sz="0" w:space="0" w:color="auto"/>
                <w:right w:val="none" w:sz="0" w:space="0" w:color="auto"/>
              </w:divBdr>
            </w:div>
          </w:divsChild>
        </w:div>
        <w:div w:id="271784315">
          <w:marLeft w:val="0"/>
          <w:marRight w:val="0"/>
          <w:marTop w:val="0"/>
          <w:marBottom w:val="0"/>
          <w:divBdr>
            <w:top w:val="none" w:sz="0" w:space="0" w:color="auto"/>
            <w:left w:val="none" w:sz="0" w:space="0" w:color="auto"/>
            <w:bottom w:val="none" w:sz="0" w:space="0" w:color="auto"/>
            <w:right w:val="none" w:sz="0" w:space="0" w:color="auto"/>
          </w:divBdr>
          <w:divsChild>
            <w:div w:id="52897495">
              <w:marLeft w:val="0"/>
              <w:marRight w:val="0"/>
              <w:marTop w:val="0"/>
              <w:marBottom w:val="0"/>
              <w:divBdr>
                <w:top w:val="none" w:sz="0" w:space="0" w:color="auto"/>
                <w:left w:val="none" w:sz="0" w:space="0" w:color="auto"/>
                <w:bottom w:val="none" w:sz="0" w:space="0" w:color="auto"/>
                <w:right w:val="none" w:sz="0" w:space="0" w:color="auto"/>
              </w:divBdr>
            </w:div>
          </w:divsChild>
        </w:div>
        <w:div w:id="286275315">
          <w:marLeft w:val="0"/>
          <w:marRight w:val="0"/>
          <w:marTop w:val="0"/>
          <w:marBottom w:val="0"/>
          <w:divBdr>
            <w:top w:val="none" w:sz="0" w:space="0" w:color="auto"/>
            <w:left w:val="none" w:sz="0" w:space="0" w:color="auto"/>
            <w:bottom w:val="none" w:sz="0" w:space="0" w:color="auto"/>
            <w:right w:val="none" w:sz="0" w:space="0" w:color="auto"/>
          </w:divBdr>
          <w:divsChild>
            <w:div w:id="2090342932">
              <w:marLeft w:val="0"/>
              <w:marRight w:val="0"/>
              <w:marTop w:val="0"/>
              <w:marBottom w:val="0"/>
              <w:divBdr>
                <w:top w:val="none" w:sz="0" w:space="0" w:color="auto"/>
                <w:left w:val="none" w:sz="0" w:space="0" w:color="auto"/>
                <w:bottom w:val="none" w:sz="0" w:space="0" w:color="auto"/>
                <w:right w:val="none" w:sz="0" w:space="0" w:color="auto"/>
              </w:divBdr>
            </w:div>
          </w:divsChild>
        </w:div>
        <w:div w:id="326520126">
          <w:marLeft w:val="0"/>
          <w:marRight w:val="0"/>
          <w:marTop w:val="0"/>
          <w:marBottom w:val="0"/>
          <w:divBdr>
            <w:top w:val="none" w:sz="0" w:space="0" w:color="auto"/>
            <w:left w:val="none" w:sz="0" w:space="0" w:color="auto"/>
            <w:bottom w:val="none" w:sz="0" w:space="0" w:color="auto"/>
            <w:right w:val="none" w:sz="0" w:space="0" w:color="auto"/>
          </w:divBdr>
          <w:divsChild>
            <w:div w:id="359085107">
              <w:marLeft w:val="0"/>
              <w:marRight w:val="0"/>
              <w:marTop w:val="0"/>
              <w:marBottom w:val="0"/>
              <w:divBdr>
                <w:top w:val="none" w:sz="0" w:space="0" w:color="auto"/>
                <w:left w:val="none" w:sz="0" w:space="0" w:color="auto"/>
                <w:bottom w:val="none" w:sz="0" w:space="0" w:color="auto"/>
                <w:right w:val="none" w:sz="0" w:space="0" w:color="auto"/>
              </w:divBdr>
            </w:div>
          </w:divsChild>
        </w:div>
        <w:div w:id="347144706">
          <w:marLeft w:val="0"/>
          <w:marRight w:val="0"/>
          <w:marTop w:val="0"/>
          <w:marBottom w:val="0"/>
          <w:divBdr>
            <w:top w:val="none" w:sz="0" w:space="0" w:color="auto"/>
            <w:left w:val="none" w:sz="0" w:space="0" w:color="auto"/>
            <w:bottom w:val="none" w:sz="0" w:space="0" w:color="auto"/>
            <w:right w:val="none" w:sz="0" w:space="0" w:color="auto"/>
          </w:divBdr>
          <w:divsChild>
            <w:div w:id="1352562353">
              <w:marLeft w:val="0"/>
              <w:marRight w:val="0"/>
              <w:marTop w:val="0"/>
              <w:marBottom w:val="0"/>
              <w:divBdr>
                <w:top w:val="none" w:sz="0" w:space="0" w:color="auto"/>
                <w:left w:val="none" w:sz="0" w:space="0" w:color="auto"/>
                <w:bottom w:val="none" w:sz="0" w:space="0" w:color="auto"/>
                <w:right w:val="none" w:sz="0" w:space="0" w:color="auto"/>
              </w:divBdr>
            </w:div>
          </w:divsChild>
        </w:div>
        <w:div w:id="348213989">
          <w:marLeft w:val="0"/>
          <w:marRight w:val="0"/>
          <w:marTop w:val="0"/>
          <w:marBottom w:val="0"/>
          <w:divBdr>
            <w:top w:val="none" w:sz="0" w:space="0" w:color="auto"/>
            <w:left w:val="none" w:sz="0" w:space="0" w:color="auto"/>
            <w:bottom w:val="none" w:sz="0" w:space="0" w:color="auto"/>
            <w:right w:val="none" w:sz="0" w:space="0" w:color="auto"/>
          </w:divBdr>
          <w:divsChild>
            <w:div w:id="1320813999">
              <w:marLeft w:val="0"/>
              <w:marRight w:val="0"/>
              <w:marTop w:val="0"/>
              <w:marBottom w:val="0"/>
              <w:divBdr>
                <w:top w:val="none" w:sz="0" w:space="0" w:color="auto"/>
                <w:left w:val="none" w:sz="0" w:space="0" w:color="auto"/>
                <w:bottom w:val="none" w:sz="0" w:space="0" w:color="auto"/>
                <w:right w:val="none" w:sz="0" w:space="0" w:color="auto"/>
              </w:divBdr>
            </w:div>
          </w:divsChild>
        </w:div>
        <w:div w:id="348607326">
          <w:marLeft w:val="0"/>
          <w:marRight w:val="0"/>
          <w:marTop w:val="0"/>
          <w:marBottom w:val="0"/>
          <w:divBdr>
            <w:top w:val="none" w:sz="0" w:space="0" w:color="auto"/>
            <w:left w:val="none" w:sz="0" w:space="0" w:color="auto"/>
            <w:bottom w:val="none" w:sz="0" w:space="0" w:color="auto"/>
            <w:right w:val="none" w:sz="0" w:space="0" w:color="auto"/>
          </w:divBdr>
          <w:divsChild>
            <w:div w:id="1380592056">
              <w:marLeft w:val="0"/>
              <w:marRight w:val="0"/>
              <w:marTop w:val="0"/>
              <w:marBottom w:val="0"/>
              <w:divBdr>
                <w:top w:val="none" w:sz="0" w:space="0" w:color="auto"/>
                <w:left w:val="none" w:sz="0" w:space="0" w:color="auto"/>
                <w:bottom w:val="none" w:sz="0" w:space="0" w:color="auto"/>
                <w:right w:val="none" w:sz="0" w:space="0" w:color="auto"/>
              </w:divBdr>
            </w:div>
          </w:divsChild>
        </w:div>
        <w:div w:id="358699578">
          <w:marLeft w:val="0"/>
          <w:marRight w:val="0"/>
          <w:marTop w:val="0"/>
          <w:marBottom w:val="0"/>
          <w:divBdr>
            <w:top w:val="none" w:sz="0" w:space="0" w:color="auto"/>
            <w:left w:val="none" w:sz="0" w:space="0" w:color="auto"/>
            <w:bottom w:val="none" w:sz="0" w:space="0" w:color="auto"/>
            <w:right w:val="none" w:sz="0" w:space="0" w:color="auto"/>
          </w:divBdr>
          <w:divsChild>
            <w:div w:id="848300947">
              <w:marLeft w:val="0"/>
              <w:marRight w:val="0"/>
              <w:marTop w:val="0"/>
              <w:marBottom w:val="0"/>
              <w:divBdr>
                <w:top w:val="none" w:sz="0" w:space="0" w:color="auto"/>
                <w:left w:val="none" w:sz="0" w:space="0" w:color="auto"/>
                <w:bottom w:val="none" w:sz="0" w:space="0" w:color="auto"/>
                <w:right w:val="none" w:sz="0" w:space="0" w:color="auto"/>
              </w:divBdr>
            </w:div>
          </w:divsChild>
        </w:div>
        <w:div w:id="360130036">
          <w:marLeft w:val="0"/>
          <w:marRight w:val="0"/>
          <w:marTop w:val="0"/>
          <w:marBottom w:val="0"/>
          <w:divBdr>
            <w:top w:val="none" w:sz="0" w:space="0" w:color="auto"/>
            <w:left w:val="none" w:sz="0" w:space="0" w:color="auto"/>
            <w:bottom w:val="none" w:sz="0" w:space="0" w:color="auto"/>
            <w:right w:val="none" w:sz="0" w:space="0" w:color="auto"/>
          </w:divBdr>
          <w:divsChild>
            <w:div w:id="793329856">
              <w:marLeft w:val="0"/>
              <w:marRight w:val="0"/>
              <w:marTop w:val="0"/>
              <w:marBottom w:val="0"/>
              <w:divBdr>
                <w:top w:val="none" w:sz="0" w:space="0" w:color="auto"/>
                <w:left w:val="none" w:sz="0" w:space="0" w:color="auto"/>
                <w:bottom w:val="none" w:sz="0" w:space="0" w:color="auto"/>
                <w:right w:val="none" w:sz="0" w:space="0" w:color="auto"/>
              </w:divBdr>
            </w:div>
          </w:divsChild>
        </w:div>
        <w:div w:id="362706728">
          <w:marLeft w:val="0"/>
          <w:marRight w:val="0"/>
          <w:marTop w:val="0"/>
          <w:marBottom w:val="0"/>
          <w:divBdr>
            <w:top w:val="none" w:sz="0" w:space="0" w:color="auto"/>
            <w:left w:val="none" w:sz="0" w:space="0" w:color="auto"/>
            <w:bottom w:val="none" w:sz="0" w:space="0" w:color="auto"/>
            <w:right w:val="none" w:sz="0" w:space="0" w:color="auto"/>
          </w:divBdr>
          <w:divsChild>
            <w:div w:id="2039890772">
              <w:marLeft w:val="0"/>
              <w:marRight w:val="0"/>
              <w:marTop w:val="0"/>
              <w:marBottom w:val="0"/>
              <w:divBdr>
                <w:top w:val="none" w:sz="0" w:space="0" w:color="auto"/>
                <w:left w:val="none" w:sz="0" w:space="0" w:color="auto"/>
                <w:bottom w:val="none" w:sz="0" w:space="0" w:color="auto"/>
                <w:right w:val="none" w:sz="0" w:space="0" w:color="auto"/>
              </w:divBdr>
            </w:div>
          </w:divsChild>
        </w:div>
        <w:div w:id="365059575">
          <w:marLeft w:val="0"/>
          <w:marRight w:val="0"/>
          <w:marTop w:val="0"/>
          <w:marBottom w:val="0"/>
          <w:divBdr>
            <w:top w:val="none" w:sz="0" w:space="0" w:color="auto"/>
            <w:left w:val="none" w:sz="0" w:space="0" w:color="auto"/>
            <w:bottom w:val="none" w:sz="0" w:space="0" w:color="auto"/>
            <w:right w:val="none" w:sz="0" w:space="0" w:color="auto"/>
          </w:divBdr>
          <w:divsChild>
            <w:div w:id="225144300">
              <w:marLeft w:val="0"/>
              <w:marRight w:val="0"/>
              <w:marTop w:val="0"/>
              <w:marBottom w:val="0"/>
              <w:divBdr>
                <w:top w:val="none" w:sz="0" w:space="0" w:color="auto"/>
                <w:left w:val="none" w:sz="0" w:space="0" w:color="auto"/>
                <w:bottom w:val="none" w:sz="0" w:space="0" w:color="auto"/>
                <w:right w:val="none" w:sz="0" w:space="0" w:color="auto"/>
              </w:divBdr>
            </w:div>
          </w:divsChild>
        </w:div>
        <w:div w:id="367723969">
          <w:marLeft w:val="0"/>
          <w:marRight w:val="0"/>
          <w:marTop w:val="0"/>
          <w:marBottom w:val="0"/>
          <w:divBdr>
            <w:top w:val="none" w:sz="0" w:space="0" w:color="auto"/>
            <w:left w:val="none" w:sz="0" w:space="0" w:color="auto"/>
            <w:bottom w:val="none" w:sz="0" w:space="0" w:color="auto"/>
            <w:right w:val="none" w:sz="0" w:space="0" w:color="auto"/>
          </w:divBdr>
          <w:divsChild>
            <w:div w:id="454178016">
              <w:marLeft w:val="0"/>
              <w:marRight w:val="0"/>
              <w:marTop w:val="0"/>
              <w:marBottom w:val="0"/>
              <w:divBdr>
                <w:top w:val="none" w:sz="0" w:space="0" w:color="auto"/>
                <w:left w:val="none" w:sz="0" w:space="0" w:color="auto"/>
                <w:bottom w:val="none" w:sz="0" w:space="0" w:color="auto"/>
                <w:right w:val="none" w:sz="0" w:space="0" w:color="auto"/>
              </w:divBdr>
            </w:div>
          </w:divsChild>
        </w:div>
        <w:div w:id="373237531">
          <w:marLeft w:val="0"/>
          <w:marRight w:val="0"/>
          <w:marTop w:val="0"/>
          <w:marBottom w:val="0"/>
          <w:divBdr>
            <w:top w:val="none" w:sz="0" w:space="0" w:color="auto"/>
            <w:left w:val="none" w:sz="0" w:space="0" w:color="auto"/>
            <w:bottom w:val="none" w:sz="0" w:space="0" w:color="auto"/>
            <w:right w:val="none" w:sz="0" w:space="0" w:color="auto"/>
          </w:divBdr>
          <w:divsChild>
            <w:div w:id="366025954">
              <w:marLeft w:val="0"/>
              <w:marRight w:val="0"/>
              <w:marTop w:val="0"/>
              <w:marBottom w:val="0"/>
              <w:divBdr>
                <w:top w:val="none" w:sz="0" w:space="0" w:color="auto"/>
                <w:left w:val="none" w:sz="0" w:space="0" w:color="auto"/>
                <w:bottom w:val="none" w:sz="0" w:space="0" w:color="auto"/>
                <w:right w:val="none" w:sz="0" w:space="0" w:color="auto"/>
              </w:divBdr>
            </w:div>
          </w:divsChild>
        </w:div>
        <w:div w:id="375130186">
          <w:marLeft w:val="0"/>
          <w:marRight w:val="0"/>
          <w:marTop w:val="0"/>
          <w:marBottom w:val="0"/>
          <w:divBdr>
            <w:top w:val="none" w:sz="0" w:space="0" w:color="auto"/>
            <w:left w:val="none" w:sz="0" w:space="0" w:color="auto"/>
            <w:bottom w:val="none" w:sz="0" w:space="0" w:color="auto"/>
            <w:right w:val="none" w:sz="0" w:space="0" w:color="auto"/>
          </w:divBdr>
          <w:divsChild>
            <w:div w:id="1227641806">
              <w:marLeft w:val="0"/>
              <w:marRight w:val="0"/>
              <w:marTop w:val="0"/>
              <w:marBottom w:val="0"/>
              <w:divBdr>
                <w:top w:val="none" w:sz="0" w:space="0" w:color="auto"/>
                <w:left w:val="none" w:sz="0" w:space="0" w:color="auto"/>
                <w:bottom w:val="none" w:sz="0" w:space="0" w:color="auto"/>
                <w:right w:val="none" w:sz="0" w:space="0" w:color="auto"/>
              </w:divBdr>
            </w:div>
          </w:divsChild>
        </w:div>
        <w:div w:id="375203669">
          <w:marLeft w:val="0"/>
          <w:marRight w:val="0"/>
          <w:marTop w:val="0"/>
          <w:marBottom w:val="0"/>
          <w:divBdr>
            <w:top w:val="none" w:sz="0" w:space="0" w:color="auto"/>
            <w:left w:val="none" w:sz="0" w:space="0" w:color="auto"/>
            <w:bottom w:val="none" w:sz="0" w:space="0" w:color="auto"/>
            <w:right w:val="none" w:sz="0" w:space="0" w:color="auto"/>
          </w:divBdr>
          <w:divsChild>
            <w:div w:id="1633365953">
              <w:marLeft w:val="0"/>
              <w:marRight w:val="0"/>
              <w:marTop w:val="0"/>
              <w:marBottom w:val="0"/>
              <w:divBdr>
                <w:top w:val="none" w:sz="0" w:space="0" w:color="auto"/>
                <w:left w:val="none" w:sz="0" w:space="0" w:color="auto"/>
                <w:bottom w:val="none" w:sz="0" w:space="0" w:color="auto"/>
                <w:right w:val="none" w:sz="0" w:space="0" w:color="auto"/>
              </w:divBdr>
            </w:div>
          </w:divsChild>
        </w:div>
        <w:div w:id="383607827">
          <w:marLeft w:val="0"/>
          <w:marRight w:val="0"/>
          <w:marTop w:val="0"/>
          <w:marBottom w:val="0"/>
          <w:divBdr>
            <w:top w:val="none" w:sz="0" w:space="0" w:color="auto"/>
            <w:left w:val="none" w:sz="0" w:space="0" w:color="auto"/>
            <w:bottom w:val="none" w:sz="0" w:space="0" w:color="auto"/>
            <w:right w:val="none" w:sz="0" w:space="0" w:color="auto"/>
          </w:divBdr>
          <w:divsChild>
            <w:div w:id="1031954539">
              <w:marLeft w:val="0"/>
              <w:marRight w:val="0"/>
              <w:marTop w:val="0"/>
              <w:marBottom w:val="0"/>
              <w:divBdr>
                <w:top w:val="none" w:sz="0" w:space="0" w:color="auto"/>
                <w:left w:val="none" w:sz="0" w:space="0" w:color="auto"/>
                <w:bottom w:val="none" w:sz="0" w:space="0" w:color="auto"/>
                <w:right w:val="none" w:sz="0" w:space="0" w:color="auto"/>
              </w:divBdr>
            </w:div>
          </w:divsChild>
        </w:div>
        <w:div w:id="390353292">
          <w:marLeft w:val="0"/>
          <w:marRight w:val="0"/>
          <w:marTop w:val="0"/>
          <w:marBottom w:val="0"/>
          <w:divBdr>
            <w:top w:val="none" w:sz="0" w:space="0" w:color="auto"/>
            <w:left w:val="none" w:sz="0" w:space="0" w:color="auto"/>
            <w:bottom w:val="none" w:sz="0" w:space="0" w:color="auto"/>
            <w:right w:val="none" w:sz="0" w:space="0" w:color="auto"/>
          </w:divBdr>
          <w:divsChild>
            <w:div w:id="109320164">
              <w:marLeft w:val="0"/>
              <w:marRight w:val="0"/>
              <w:marTop w:val="0"/>
              <w:marBottom w:val="0"/>
              <w:divBdr>
                <w:top w:val="none" w:sz="0" w:space="0" w:color="auto"/>
                <w:left w:val="none" w:sz="0" w:space="0" w:color="auto"/>
                <w:bottom w:val="none" w:sz="0" w:space="0" w:color="auto"/>
                <w:right w:val="none" w:sz="0" w:space="0" w:color="auto"/>
              </w:divBdr>
            </w:div>
          </w:divsChild>
        </w:div>
        <w:div w:id="396436667">
          <w:marLeft w:val="0"/>
          <w:marRight w:val="0"/>
          <w:marTop w:val="0"/>
          <w:marBottom w:val="0"/>
          <w:divBdr>
            <w:top w:val="none" w:sz="0" w:space="0" w:color="auto"/>
            <w:left w:val="none" w:sz="0" w:space="0" w:color="auto"/>
            <w:bottom w:val="none" w:sz="0" w:space="0" w:color="auto"/>
            <w:right w:val="none" w:sz="0" w:space="0" w:color="auto"/>
          </w:divBdr>
          <w:divsChild>
            <w:div w:id="172302282">
              <w:marLeft w:val="0"/>
              <w:marRight w:val="0"/>
              <w:marTop w:val="0"/>
              <w:marBottom w:val="0"/>
              <w:divBdr>
                <w:top w:val="none" w:sz="0" w:space="0" w:color="auto"/>
                <w:left w:val="none" w:sz="0" w:space="0" w:color="auto"/>
                <w:bottom w:val="none" w:sz="0" w:space="0" w:color="auto"/>
                <w:right w:val="none" w:sz="0" w:space="0" w:color="auto"/>
              </w:divBdr>
            </w:div>
          </w:divsChild>
        </w:div>
        <w:div w:id="398405179">
          <w:marLeft w:val="0"/>
          <w:marRight w:val="0"/>
          <w:marTop w:val="0"/>
          <w:marBottom w:val="0"/>
          <w:divBdr>
            <w:top w:val="none" w:sz="0" w:space="0" w:color="auto"/>
            <w:left w:val="none" w:sz="0" w:space="0" w:color="auto"/>
            <w:bottom w:val="none" w:sz="0" w:space="0" w:color="auto"/>
            <w:right w:val="none" w:sz="0" w:space="0" w:color="auto"/>
          </w:divBdr>
          <w:divsChild>
            <w:div w:id="371349247">
              <w:marLeft w:val="0"/>
              <w:marRight w:val="0"/>
              <w:marTop w:val="0"/>
              <w:marBottom w:val="0"/>
              <w:divBdr>
                <w:top w:val="none" w:sz="0" w:space="0" w:color="auto"/>
                <w:left w:val="none" w:sz="0" w:space="0" w:color="auto"/>
                <w:bottom w:val="none" w:sz="0" w:space="0" w:color="auto"/>
                <w:right w:val="none" w:sz="0" w:space="0" w:color="auto"/>
              </w:divBdr>
            </w:div>
          </w:divsChild>
        </w:div>
        <w:div w:id="404450702">
          <w:marLeft w:val="0"/>
          <w:marRight w:val="0"/>
          <w:marTop w:val="0"/>
          <w:marBottom w:val="0"/>
          <w:divBdr>
            <w:top w:val="none" w:sz="0" w:space="0" w:color="auto"/>
            <w:left w:val="none" w:sz="0" w:space="0" w:color="auto"/>
            <w:bottom w:val="none" w:sz="0" w:space="0" w:color="auto"/>
            <w:right w:val="none" w:sz="0" w:space="0" w:color="auto"/>
          </w:divBdr>
          <w:divsChild>
            <w:div w:id="81529200">
              <w:marLeft w:val="0"/>
              <w:marRight w:val="0"/>
              <w:marTop w:val="0"/>
              <w:marBottom w:val="0"/>
              <w:divBdr>
                <w:top w:val="none" w:sz="0" w:space="0" w:color="auto"/>
                <w:left w:val="none" w:sz="0" w:space="0" w:color="auto"/>
                <w:bottom w:val="none" w:sz="0" w:space="0" w:color="auto"/>
                <w:right w:val="none" w:sz="0" w:space="0" w:color="auto"/>
              </w:divBdr>
            </w:div>
          </w:divsChild>
        </w:div>
        <w:div w:id="404886444">
          <w:marLeft w:val="0"/>
          <w:marRight w:val="0"/>
          <w:marTop w:val="0"/>
          <w:marBottom w:val="0"/>
          <w:divBdr>
            <w:top w:val="none" w:sz="0" w:space="0" w:color="auto"/>
            <w:left w:val="none" w:sz="0" w:space="0" w:color="auto"/>
            <w:bottom w:val="none" w:sz="0" w:space="0" w:color="auto"/>
            <w:right w:val="none" w:sz="0" w:space="0" w:color="auto"/>
          </w:divBdr>
          <w:divsChild>
            <w:div w:id="1190684383">
              <w:marLeft w:val="0"/>
              <w:marRight w:val="0"/>
              <w:marTop w:val="0"/>
              <w:marBottom w:val="0"/>
              <w:divBdr>
                <w:top w:val="none" w:sz="0" w:space="0" w:color="auto"/>
                <w:left w:val="none" w:sz="0" w:space="0" w:color="auto"/>
                <w:bottom w:val="none" w:sz="0" w:space="0" w:color="auto"/>
                <w:right w:val="none" w:sz="0" w:space="0" w:color="auto"/>
              </w:divBdr>
            </w:div>
          </w:divsChild>
        </w:div>
        <w:div w:id="414790255">
          <w:marLeft w:val="0"/>
          <w:marRight w:val="0"/>
          <w:marTop w:val="0"/>
          <w:marBottom w:val="0"/>
          <w:divBdr>
            <w:top w:val="none" w:sz="0" w:space="0" w:color="auto"/>
            <w:left w:val="none" w:sz="0" w:space="0" w:color="auto"/>
            <w:bottom w:val="none" w:sz="0" w:space="0" w:color="auto"/>
            <w:right w:val="none" w:sz="0" w:space="0" w:color="auto"/>
          </w:divBdr>
          <w:divsChild>
            <w:div w:id="259025381">
              <w:marLeft w:val="0"/>
              <w:marRight w:val="0"/>
              <w:marTop w:val="0"/>
              <w:marBottom w:val="0"/>
              <w:divBdr>
                <w:top w:val="none" w:sz="0" w:space="0" w:color="auto"/>
                <w:left w:val="none" w:sz="0" w:space="0" w:color="auto"/>
                <w:bottom w:val="none" w:sz="0" w:space="0" w:color="auto"/>
                <w:right w:val="none" w:sz="0" w:space="0" w:color="auto"/>
              </w:divBdr>
            </w:div>
          </w:divsChild>
        </w:div>
        <w:div w:id="425031817">
          <w:marLeft w:val="0"/>
          <w:marRight w:val="0"/>
          <w:marTop w:val="0"/>
          <w:marBottom w:val="0"/>
          <w:divBdr>
            <w:top w:val="none" w:sz="0" w:space="0" w:color="auto"/>
            <w:left w:val="none" w:sz="0" w:space="0" w:color="auto"/>
            <w:bottom w:val="none" w:sz="0" w:space="0" w:color="auto"/>
            <w:right w:val="none" w:sz="0" w:space="0" w:color="auto"/>
          </w:divBdr>
          <w:divsChild>
            <w:div w:id="1146819095">
              <w:marLeft w:val="0"/>
              <w:marRight w:val="0"/>
              <w:marTop w:val="0"/>
              <w:marBottom w:val="0"/>
              <w:divBdr>
                <w:top w:val="none" w:sz="0" w:space="0" w:color="auto"/>
                <w:left w:val="none" w:sz="0" w:space="0" w:color="auto"/>
                <w:bottom w:val="none" w:sz="0" w:space="0" w:color="auto"/>
                <w:right w:val="none" w:sz="0" w:space="0" w:color="auto"/>
              </w:divBdr>
            </w:div>
          </w:divsChild>
        </w:div>
        <w:div w:id="426268837">
          <w:marLeft w:val="0"/>
          <w:marRight w:val="0"/>
          <w:marTop w:val="0"/>
          <w:marBottom w:val="0"/>
          <w:divBdr>
            <w:top w:val="none" w:sz="0" w:space="0" w:color="auto"/>
            <w:left w:val="none" w:sz="0" w:space="0" w:color="auto"/>
            <w:bottom w:val="none" w:sz="0" w:space="0" w:color="auto"/>
            <w:right w:val="none" w:sz="0" w:space="0" w:color="auto"/>
          </w:divBdr>
          <w:divsChild>
            <w:div w:id="308362615">
              <w:marLeft w:val="0"/>
              <w:marRight w:val="0"/>
              <w:marTop w:val="0"/>
              <w:marBottom w:val="0"/>
              <w:divBdr>
                <w:top w:val="none" w:sz="0" w:space="0" w:color="auto"/>
                <w:left w:val="none" w:sz="0" w:space="0" w:color="auto"/>
                <w:bottom w:val="none" w:sz="0" w:space="0" w:color="auto"/>
                <w:right w:val="none" w:sz="0" w:space="0" w:color="auto"/>
              </w:divBdr>
            </w:div>
          </w:divsChild>
        </w:div>
        <w:div w:id="429742603">
          <w:marLeft w:val="0"/>
          <w:marRight w:val="0"/>
          <w:marTop w:val="0"/>
          <w:marBottom w:val="0"/>
          <w:divBdr>
            <w:top w:val="none" w:sz="0" w:space="0" w:color="auto"/>
            <w:left w:val="none" w:sz="0" w:space="0" w:color="auto"/>
            <w:bottom w:val="none" w:sz="0" w:space="0" w:color="auto"/>
            <w:right w:val="none" w:sz="0" w:space="0" w:color="auto"/>
          </w:divBdr>
          <w:divsChild>
            <w:div w:id="1709915888">
              <w:marLeft w:val="0"/>
              <w:marRight w:val="0"/>
              <w:marTop w:val="0"/>
              <w:marBottom w:val="0"/>
              <w:divBdr>
                <w:top w:val="none" w:sz="0" w:space="0" w:color="auto"/>
                <w:left w:val="none" w:sz="0" w:space="0" w:color="auto"/>
                <w:bottom w:val="none" w:sz="0" w:space="0" w:color="auto"/>
                <w:right w:val="none" w:sz="0" w:space="0" w:color="auto"/>
              </w:divBdr>
            </w:div>
          </w:divsChild>
        </w:div>
        <w:div w:id="439103772">
          <w:marLeft w:val="0"/>
          <w:marRight w:val="0"/>
          <w:marTop w:val="0"/>
          <w:marBottom w:val="0"/>
          <w:divBdr>
            <w:top w:val="none" w:sz="0" w:space="0" w:color="auto"/>
            <w:left w:val="none" w:sz="0" w:space="0" w:color="auto"/>
            <w:bottom w:val="none" w:sz="0" w:space="0" w:color="auto"/>
            <w:right w:val="none" w:sz="0" w:space="0" w:color="auto"/>
          </w:divBdr>
          <w:divsChild>
            <w:div w:id="1134519577">
              <w:marLeft w:val="0"/>
              <w:marRight w:val="0"/>
              <w:marTop w:val="0"/>
              <w:marBottom w:val="0"/>
              <w:divBdr>
                <w:top w:val="none" w:sz="0" w:space="0" w:color="auto"/>
                <w:left w:val="none" w:sz="0" w:space="0" w:color="auto"/>
                <w:bottom w:val="none" w:sz="0" w:space="0" w:color="auto"/>
                <w:right w:val="none" w:sz="0" w:space="0" w:color="auto"/>
              </w:divBdr>
            </w:div>
          </w:divsChild>
        </w:div>
        <w:div w:id="450443581">
          <w:marLeft w:val="0"/>
          <w:marRight w:val="0"/>
          <w:marTop w:val="0"/>
          <w:marBottom w:val="0"/>
          <w:divBdr>
            <w:top w:val="none" w:sz="0" w:space="0" w:color="auto"/>
            <w:left w:val="none" w:sz="0" w:space="0" w:color="auto"/>
            <w:bottom w:val="none" w:sz="0" w:space="0" w:color="auto"/>
            <w:right w:val="none" w:sz="0" w:space="0" w:color="auto"/>
          </w:divBdr>
          <w:divsChild>
            <w:div w:id="1911307612">
              <w:marLeft w:val="0"/>
              <w:marRight w:val="0"/>
              <w:marTop w:val="0"/>
              <w:marBottom w:val="0"/>
              <w:divBdr>
                <w:top w:val="none" w:sz="0" w:space="0" w:color="auto"/>
                <w:left w:val="none" w:sz="0" w:space="0" w:color="auto"/>
                <w:bottom w:val="none" w:sz="0" w:space="0" w:color="auto"/>
                <w:right w:val="none" w:sz="0" w:space="0" w:color="auto"/>
              </w:divBdr>
            </w:div>
          </w:divsChild>
        </w:div>
        <w:div w:id="463625242">
          <w:marLeft w:val="0"/>
          <w:marRight w:val="0"/>
          <w:marTop w:val="0"/>
          <w:marBottom w:val="0"/>
          <w:divBdr>
            <w:top w:val="none" w:sz="0" w:space="0" w:color="auto"/>
            <w:left w:val="none" w:sz="0" w:space="0" w:color="auto"/>
            <w:bottom w:val="none" w:sz="0" w:space="0" w:color="auto"/>
            <w:right w:val="none" w:sz="0" w:space="0" w:color="auto"/>
          </w:divBdr>
          <w:divsChild>
            <w:div w:id="1160660834">
              <w:marLeft w:val="0"/>
              <w:marRight w:val="0"/>
              <w:marTop w:val="0"/>
              <w:marBottom w:val="0"/>
              <w:divBdr>
                <w:top w:val="none" w:sz="0" w:space="0" w:color="auto"/>
                <w:left w:val="none" w:sz="0" w:space="0" w:color="auto"/>
                <w:bottom w:val="none" w:sz="0" w:space="0" w:color="auto"/>
                <w:right w:val="none" w:sz="0" w:space="0" w:color="auto"/>
              </w:divBdr>
            </w:div>
          </w:divsChild>
        </w:div>
        <w:div w:id="465397713">
          <w:marLeft w:val="0"/>
          <w:marRight w:val="0"/>
          <w:marTop w:val="0"/>
          <w:marBottom w:val="0"/>
          <w:divBdr>
            <w:top w:val="none" w:sz="0" w:space="0" w:color="auto"/>
            <w:left w:val="none" w:sz="0" w:space="0" w:color="auto"/>
            <w:bottom w:val="none" w:sz="0" w:space="0" w:color="auto"/>
            <w:right w:val="none" w:sz="0" w:space="0" w:color="auto"/>
          </w:divBdr>
          <w:divsChild>
            <w:div w:id="1605068274">
              <w:marLeft w:val="0"/>
              <w:marRight w:val="0"/>
              <w:marTop w:val="0"/>
              <w:marBottom w:val="0"/>
              <w:divBdr>
                <w:top w:val="none" w:sz="0" w:space="0" w:color="auto"/>
                <w:left w:val="none" w:sz="0" w:space="0" w:color="auto"/>
                <w:bottom w:val="none" w:sz="0" w:space="0" w:color="auto"/>
                <w:right w:val="none" w:sz="0" w:space="0" w:color="auto"/>
              </w:divBdr>
            </w:div>
          </w:divsChild>
        </w:div>
        <w:div w:id="524908705">
          <w:marLeft w:val="0"/>
          <w:marRight w:val="0"/>
          <w:marTop w:val="0"/>
          <w:marBottom w:val="0"/>
          <w:divBdr>
            <w:top w:val="none" w:sz="0" w:space="0" w:color="auto"/>
            <w:left w:val="none" w:sz="0" w:space="0" w:color="auto"/>
            <w:bottom w:val="none" w:sz="0" w:space="0" w:color="auto"/>
            <w:right w:val="none" w:sz="0" w:space="0" w:color="auto"/>
          </w:divBdr>
          <w:divsChild>
            <w:div w:id="1834104430">
              <w:marLeft w:val="0"/>
              <w:marRight w:val="0"/>
              <w:marTop w:val="0"/>
              <w:marBottom w:val="0"/>
              <w:divBdr>
                <w:top w:val="none" w:sz="0" w:space="0" w:color="auto"/>
                <w:left w:val="none" w:sz="0" w:space="0" w:color="auto"/>
                <w:bottom w:val="none" w:sz="0" w:space="0" w:color="auto"/>
                <w:right w:val="none" w:sz="0" w:space="0" w:color="auto"/>
              </w:divBdr>
            </w:div>
          </w:divsChild>
        </w:div>
        <w:div w:id="526410865">
          <w:marLeft w:val="0"/>
          <w:marRight w:val="0"/>
          <w:marTop w:val="0"/>
          <w:marBottom w:val="0"/>
          <w:divBdr>
            <w:top w:val="none" w:sz="0" w:space="0" w:color="auto"/>
            <w:left w:val="none" w:sz="0" w:space="0" w:color="auto"/>
            <w:bottom w:val="none" w:sz="0" w:space="0" w:color="auto"/>
            <w:right w:val="none" w:sz="0" w:space="0" w:color="auto"/>
          </w:divBdr>
          <w:divsChild>
            <w:div w:id="1370836508">
              <w:marLeft w:val="0"/>
              <w:marRight w:val="0"/>
              <w:marTop w:val="0"/>
              <w:marBottom w:val="0"/>
              <w:divBdr>
                <w:top w:val="none" w:sz="0" w:space="0" w:color="auto"/>
                <w:left w:val="none" w:sz="0" w:space="0" w:color="auto"/>
                <w:bottom w:val="none" w:sz="0" w:space="0" w:color="auto"/>
                <w:right w:val="none" w:sz="0" w:space="0" w:color="auto"/>
              </w:divBdr>
            </w:div>
          </w:divsChild>
        </w:div>
        <w:div w:id="530001254">
          <w:marLeft w:val="0"/>
          <w:marRight w:val="0"/>
          <w:marTop w:val="0"/>
          <w:marBottom w:val="0"/>
          <w:divBdr>
            <w:top w:val="none" w:sz="0" w:space="0" w:color="auto"/>
            <w:left w:val="none" w:sz="0" w:space="0" w:color="auto"/>
            <w:bottom w:val="none" w:sz="0" w:space="0" w:color="auto"/>
            <w:right w:val="none" w:sz="0" w:space="0" w:color="auto"/>
          </w:divBdr>
          <w:divsChild>
            <w:div w:id="1688602231">
              <w:marLeft w:val="0"/>
              <w:marRight w:val="0"/>
              <w:marTop w:val="0"/>
              <w:marBottom w:val="0"/>
              <w:divBdr>
                <w:top w:val="none" w:sz="0" w:space="0" w:color="auto"/>
                <w:left w:val="none" w:sz="0" w:space="0" w:color="auto"/>
                <w:bottom w:val="none" w:sz="0" w:space="0" w:color="auto"/>
                <w:right w:val="none" w:sz="0" w:space="0" w:color="auto"/>
              </w:divBdr>
            </w:div>
          </w:divsChild>
        </w:div>
        <w:div w:id="530001584">
          <w:marLeft w:val="0"/>
          <w:marRight w:val="0"/>
          <w:marTop w:val="0"/>
          <w:marBottom w:val="0"/>
          <w:divBdr>
            <w:top w:val="none" w:sz="0" w:space="0" w:color="auto"/>
            <w:left w:val="none" w:sz="0" w:space="0" w:color="auto"/>
            <w:bottom w:val="none" w:sz="0" w:space="0" w:color="auto"/>
            <w:right w:val="none" w:sz="0" w:space="0" w:color="auto"/>
          </w:divBdr>
          <w:divsChild>
            <w:div w:id="1399550064">
              <w:marLeft w:val="0"/>
              <w:marRight w:val="0"/>
              <w:marTop w:val="0"/>
              <w:marBottom w:val="0"/>
              <w:divBdr>
                <w:top w:val="none" w:sz="0" w:space="0" w:color="auto"/>
                <w:left w:val="none" w:sz="0" w:space="0" w:color="auto"/>
                <w:bottom w:val="none" w:sz="0" w:space="0" w:color="auto"/>
                <w:right w:val="none" w:sz="0" w:space="0" w:color="auto"/>
              </w:divBdr>
            </w:div>
          </w:divsChild>
        </w:div>
        <w:div w:id="530149677">
          <w:marLeft w:val="0"/>
          <w:marRight w:val="0"/>
          <w:marTop w:val="0"/>
          <w:marBottom w:val="0"/>
          <w:divBdr>
            <w:top w:val="none" w:sz="0" w:space="0" w:color="auto"/>
            <w:left w:val="none" w:sz="0" w:space="0" w:color="auto"/>
            <w:bottom w:val="none" w:sz="0" w:space="0" w:color="auto"/>
            <w:right w:val="none" w:sz="0" w:space="0" w:color="auto"/>
          </w:divBdr>
          <w:divsChild>
            <w:div w:id="295381820">
              <w:marLeft w:val="0"/>
              <w:marRight w:val="0"/>
              <w:marTop w:val="0"/>
              <w:marBottom w:val="0"/>
              <w:divBdr>
                <w:top w:val="none" w:sz="0" w:space="0" w:color="auto"/>
                <w:left w:val="none" w:sz="0" w:space="0" w:color="auto"/>
                <w:bottom w:val="none" w:sz="0" w:space="0" w:color="auto"/>
                <w:right w:val="none" w:sz="0" w:space="0" w:color="auto"/>
              </w:divBdr>
            </w:div>
          </w:divsChild>
        </w:div>
        <w:div w:id="532887263">
          <w:marLeft w:val="0"/>
          <w:marRight w:val="0"/>
          <w:marTop w:val="0"/>
          <w:marBottom w:val="0"/>
          <w:divBdr>
            <w:top w:val="none" w:sz="0" w:space="0" w:color="auto"/>
            <w:left w:val="none" w:sz="0" w:space="0" w:color="auto"/>
            <w:bottom w:val="none" w:sz="0" w:space="0" w:color="auto"/>
            <w:right w:val="none" w:sz="0" w:space="0" w:color="auto"/>
          </w:divBdr>
          <w:divsChild>
            <w:div w:id="62487818">
              <w:marLeft w:val="0"/>
              <w:marRight w:val="0"/>
              <w:marTop w:val="0"/>
              <w:marBottom w:val="0"/>
              <w:divBdr>
                <w:top w:val="none" w:sz="0" w:space="0" w:color="auto"/>
                <w:left w:val="none" w:sz="0" w:space="0" w:color="auto"/>
                <w:bottom w:val="none" w:sz="0" w:space="0" w:color="auto"/>
                <w:right w:val="none" w:sz="0" w:space="0" w:color="auto"/>
              </w:divBdr>
            </w:div>
          </w:divsChild>
        </w:div>
        <w:div w:id="561990138">
          <w:marLeft w:val="0"/>
          <w:marRight w:val="0"/>
          <w:marTop w:val="0"/>
          <w:marBottom w:val="0"/>
          <w:divBdr>
            <w:top w:val="none" w:sz="0" w:space="0" w:color="auto"/>
            <w:left w:val="none" w:sz="0" w:space="0" w:color="auto"/>
            <w:bottom w:val="none" w:sz="0" w:space="0" w:color="auto"/>
            <w:right w:val="none" w:sz="0" w:space="0" w:color="auto"/>
          </w:divBdr>
          <w:divsChild>
            <w:div w:id="1546020932">
              <w:marLeft w:val="0"/>
              <w:marRight w:val="0"/>
              <w:marTop w:val="0"/>
              <w:marBottom w:val="0"/>
              <w:divBdr>
                <w:top w:val="none" w:sz="0" w:space="0" w:color="auto"/>
                <w:left w:val="none" w:sz="0" w:space="0" w:color="auto"/>
                <w:bottom w:val="none" w:sz="0" w:space="0" w:color="auto"/>
                <w:right w:val="none" w:sz="0" w:space="0" w:color="auto"/>
              </w:divBdr>
            </w:div>
          </w:divsChild>
        </w:div>
        <w:div w:id="580218457">
          <w:marLeft w:val="0"/>
          <w:marRight w:val="0"/>
          <w:marTop w:val="0"/>
          <w:marBottom w:val="0"/>
          <w:divBdr>
            <w:top w:val="none" w:sz="0" w:space="0" w:color="auto"/>
            <w:left w:val="none" w:sz="0" w:space="0" w:color="auto"/>
            <w:bottom w:val="none" w:sz="0" w:space="0" w:color="auto"/>
            <w:right w:val="none" w:sz="0" w:space="0" w:color="auto"/>
          </w:divBdr>
          <w:divsChild>
            <w:div w:id="1760518862">
              <w:marLeft w:val="0"/>
              <w:marRight w:val="0"/>
              <w:marTop w:val="0"/>
              <w:marBottom w:val="0"/>
              <w:divBdr>
                <w:top w:val="none" w:sz="0" w:space="0" w:color="auto"/>
                <w:left w:val="none" w:sz="0" w:space="0" w:color="auto"/>
                <w:bottom w:val="none" w:sz="0" w:space="0" w:color="auto"/>
                <w:right w:val="none" w:sz="0" w:space="0" w:color="auto"/>
              </w:divBdr>
            </w:div>
          </w:divsChild>
        </w:div>
        <w:div w:id="580339054">
          <w:marLeft w:val="0"/>
          <w:marRight w:val="0"/>
          <w:marTop w:val="0"/>
          <w:marBottom w:val="0"/>
          <w:divBdr>
            <w:top w:val="none" w:sz="0" w:space="0" w:color="auto"/>
            <w:left w:val="none" w:sz="0" w:space="0" w:color="auto"/>
            <w:bottom w:val="none" w:sz="0" w:space="0" w:color="auto"/>
            <w:right w:val="none" w:sz="0" w:space="0" w:color="auto"/>
          </w:divBdr>
          <w:divsChild>
            <w:div w:id="1186095699">
              <w:marLeft w:val="0"/>
              <w:marRight w:val="0"/>
              <w:marTop w:val="0"/>
              <w:marBottom w:val="0"/>
              <w:divBdr>
                <w:top w:val="none" w:sz="0" w:space="0" w:color="auto"/>
                <w:left w:val="none" w:sz="0" w:space="0" w:color="auto"/>
                <w:bottom w:val="none" w:sz="0" w:space="0" w:color="auto"/>
                <w:right w:val="none" w:sz="0" w:space="0" w:color="auto"/>
              </w:divBdr>
            </w:div>
          </w:divsChild>
        </w:div>
        <w:div w:id="588583947">
          <w:marLeft w:val="0"/>
          <w:marRight w:val="0"/>
          <w:marTop w:val="0"/>
          <w:marBottom w:val="0"/>
          <w:divBdr>
            <w:top w:val="none" w:sz="0" w:space="0" w:color="auto"/>
            <w:left w:val="none" w:sz="0" w:space="0" w:color="auto"/>
            <w:bottom w:val="none" w:sz="0" w:space="0" w:color="auto"/>
            <w:right w:val="none" w:sz="0" w:space="0" w:color="auto"/>
          </w:divBdr>
          <w:divsChild>
            <w:div w:id="1990161387">
              <w:marLeft w:val="0"/>
              <w:marRight w:val="0"/>
              <w:marTop w:val="0"/>
              <w:marBottom w:val="0"/>
              <w:divBdr>
                <w:top w:val="none" w:sz="0" w:space="0" w:color="auto"/>
                <w:left w:val="none" w:sz="0" w:space="0" w:color="auto"/>
                <w:bottom w:val="none" w:sz="0" w:space="0" w:color="auto"/>
                <w:right w:val="none" w:sz="0" w:space="0" w:color="auto"/>
              </w:divBdr>
            </w:div>
          </w:divsChild>
        </w:div>
        <w:div w:id="595599101">
          <w:marLeft w:val="0"/>
          <w:marRight w:val="0"/>
          <w:marTop w:val="0"/>
          <w:marBottom w:val="0"/>
          <w:divBdr>
            <w:top w:val="none" w:sz="0" w:space="0" w:color="auto"/>
            <w:left w:val="none" w:sz="0" w:space="0" w:color="auto"/>
            <w:bottom w:val="none" w:sz="0" w:space="0" w:color="auto"/>
            <w:right w:val="none" w:sz="0" w:space="0" w:color="auto"/>
          </w:divBdr>
          <w:divsChild>
            <w:div w:id="985084772">
              <w:marLeft w:val="0"/>
              <w:marRight w:val="0"/>
              <w:marTop w:val="0"/>
              <w:marBottom w:val="0"/>
              <w:divBdr>
                <w:top w:val="none" w:sz="0" w:space="0" w:color="auto"/>
                <w:left w:val="none" w:sz="0" w:space="0" w:color="auto"/>
                <w:bottom w:val="none" w:sz="0" w:space="0" w:color="auto"/>
                <w:right w:val="none" w:sz="0" w:space="0" w:color="auto"/>
              </w:divBdr>
            </w:div>
          </w:divsChild>
        </w:div>
        <w:div w:id="600188145">
          <w:marLeft w:val="0"/>
          <w:marRight w:val="0"/>
          <w:marTop w:val="0"/>
          <w:marBottom w:val="0"/>
          <w:divBdr>
            <w:top w:val="none" w:sz="0" w:space="0" w:color="auto"/>
            <w:left w:val="none" w:sz="0" w:space="0" w:color="auto"/>
            <w:bottom w:val="none" w:sz="0" w:space="0" w:color="auto"/>
            <w:right w:val="none" w:sz="0" w:space="0" w:color="auto"/>
          </w:divBdr>
          <w:divsChild>
            <w:div w:id="1819036341">
              <w:marLeft w:val="0"/>
              <w:marRight w:val="0"/>
              <w:marTop w:val="0"/>
              <w:marBottom w:val="0"/>
              <w:divBdr>
                <w:top w:val="none" w:sz="0" w:space="0" w:color="auto"/>
                <w:left w:val="none" w:sz="0" w:space="0" w:color="auto"/>
                <w:bottom w:val="none" w:sz="0" w:space="0" w:color="auto"/>
                <w:right w:val="none" w:sz="0" w:space="0" w:color="auto"/>
              </w:divBdr>
            </w:div>
          </w:divsChild>
        </w:div>
        <w:div w:id="617223010">
          <w:marLeft w:val="0"/>
          <w:marRight w:val="0"/>
          <w:marTop w:val="0"/>
          <w:marBottom w:val="0"/>
          <w:divBdr>
            <w:top w:val="none" w:sz="0" w:space="0" w:color="auto"/>
            <w:left w:val="none" w:sz="0" w:space="0" w:color="auto"/>
            <w:bottom w:val="none" w:sz="0" w:space="0" w:color="auto"/>
            <w:right w:val="none" w:sz="0" w:space="0" w:color="auto"/>
          </w:divBdr>
          <w:divsChild>
            <w:div w:id="584993211">
              <w:marLeft w:val="0"/>
              <w:marRight w:val="0"/>
              <w:marTop w:val="0"/>
              <w:marBottom w:val="0"/>
              <w:divBdr>
                <w:top w:val="none" w:sz="0" w:space="0" w:color="auto"/>
                <w:left w:val="none" w:sz="0" w:space="0" w:color="auto"/>
                <w:bottom w:val="none" w:sz="0" w:space="0" w:color="auto"/>
                <w:right w:val="none" w:sz="0" w:space="0" w:color="auto"/>
              </w:divBdr>
            </w:div>
          </w:divsChild>
        </w:div>
        <w:div w:id="644431762">
          <w:marLeft w:val="0"/>
          <w:marRight w:val="0"/>
          <w:marTop w:val="0"/>
          <w:marBottom w:val="0"/>
          <w:divBdr>
            <w:top w:val="none" w:sz="0" w:space="0" w:color="auto"/>
            <w:left w:val="none" w:sz="0" w:space="0" w:color="auto"/>
            <w:bottom w:val="none" w:sz="0" w:space="0" w:color="auto"/>
            <w:right w:val="none" w:sz="0" w:space="0" w:color="auto"/>
          </w:divBdr>
          <w:divsChild>
            <w:div w:id="1067193106">
              <w:marLeft w:val="0"/>
              <w:marRight w:val="0"/>
              <w:marTop w:val="0"/>
              <w:marBottom w:val="0"/>
              <w:divBdr>
                <w:top w:val="none" w:sz="0" w:space="0" w:color="auto"/>
                <w:left w:val="none" w:sz="0" w:space="0" w:color="auto"/>
                <w:bottom w:val="none" w:sz="0" w:space="0" w:color="auto"/>
                <w:right w:val="none" w:sz="0" w:space="0" w:color="auto"/>
              </w:divBdr>
            </w:div>
          </w:divsChild>
        </w:div>
        <w:div w:id="654795056">
          <w:marLeft w:val="0"/>
          <w:marRight w:val="0"/>
          <w:marTop w:val="0"/>
          <w:marBottom w:val="0"/>
          <w:divBdr>
            <w:top w:val="none" w:sz="0" w:space="0" w:color="auto"/>
            <w:left w:val="none" w:sz="0" w:space="0" w:color="auto"/>
            <w:bottom w:val="none" w:sz="0" w:space="0" w:color="auto"/>
            <w:right w:val="none" w:sz="0" w:space="0" w:color="auto"/>
          </w:divBdr>
          <w:divsChild>
            <w:div w:id="1076440722">
              <w:marLeft w:val="0"/>
              <w:marRight w:val="0"/>
              <w:marTop w:val="0"/>
              <w:marBottom w:val="0"/>
              <w:divBdr>
                <w:top w:val="none" w:sz="0" w:space="0" w:color="auto"/>
                <w:left w:val="none" w:sz="0" w:space="0" w:color="auto"/>
                <w:bottom w:val="none" w:sz="0" w:space="0" w:color="auto"/>
                <w:right w:val="none" w:sz="0" w:space="0" w:color="auto"/>
              </w:divBdr>
            </w:div>
          </w:divsChild>
        </w:div>
        <w:div w:id="658458367">
          <w:marLeft w:val="0"/>
          <w:marRight w:val="0"/>
          <w:marTop w:val="0"/>
          <w:marBottom w:val="0"/>
          <w:divBdr>
            <w:top w:val="none" w:sz="0" w:space="0" w:color="auto"/>
            <w:left w:val="none" w:sz="0" w:space="0" w:color="auto"/>
            <w:bottom w:val="none" w:sz="0" w:space="0" w:color="auto"/>
            <w:right w:val="none" w:sz="0" w:space="0" w:color="auto"/>
          </w:divBdr>
          <w:divsChild>
            <w:div w:id="1331834861">
              <w:marLeft w:val="0"/>
              <w:marRight w:val="0"/>
              <w:marTop w:val="0"/>
              <w:marBottom w:val="0"/>
              <w:divBdr>
                <w:top w:val="none" w:sz="0" w:space="0" w:color="auto"/>
                <w:left w:val="none" w:sz="0" w:space="0" w:color="auto"/>
                <w:bottom w:val="none" w:sz="0" w:space="0" w:color="auto"/>
                <w:right w:val="none" w:sz="0" w:space="0" w:color="auto"/>
              </w:divBdr>
            </w:div>
          </w:divsChild>
        </w:div>
        <w:div w:id="669067640">
          <w:marLeft w:val="0"/>
          <w:marRight w:val="0"/>
          <w:marTop w:val="0"/>
          <w:marBottom w:val="0"/>
          <w:divBdr>
            <w:top w:val="none" w:sz="0" w:space="0" w:color="auto"/>
            <w:left w:val="none" w:sz="0" w:space="0" w:color="auto"/>
            <w:bottom w:val="none" w:sz="0" w:space="0" w:color="auto"/>
            <w:right w:val="none" w:sz="0" w:space="0" w:color="auto"/>
          </w:divBdr>
          <w:divsChild>
            <w:div w:id="207881027">
              <w:marLeft w:val="0"/>
              <w:marRight w:val="0"/>
              <w:marTop w:val="0"/>
              <w:marBottom w:val="0"/>
              <w:divBdr>
                <w:top w:val="none" w:sz="0" w:space="0" w:color="auto"/>
                <w:left w:val="none" w:sz="0" w:space="0" w:color="auto"/>
                <w:bottom w:val="none" w:sz="0" w:space="0" w:color="auto"/>
                <w:right w:val="none" w:sz="0" w:space="0" w:color="auto"/>
              </w:divBdr>
            </w:div>
          </w:divsChild>
        </w:div>
        <w:div w:id="698820335">
          <w:marLeft w:val="0"/>
          <w:marRight w:val="0"/>
          <w:marTop w:val="0"/>
          <w:marBottom w:val="0"/>
          <w:divBdr>
            <w:top w:val="none" w:sz="0" w:space="0" w:color="auto"/>
            <w:left w:val="none" w:sz="0" w:space="0" w:color="auto"/>
            <w:bottom w:val="none" w:sz="0" w:space="0" w:color="auto"/>
            <w:right w:val="none" w:sz="0" w:space="0" w:color="auto"/>
          </w:divBdr>
          <w:divsChild>
            <w:div w:id="1717388224">
              <w:marLeft w:val="0"/>
              <w:marRight w:val="0"/>
              <w:marTop w:val="0"/>
              <w:marBottom w:val="0"/>
              <w:divBdr>
                <w:top w:val="none" w:sz="0" w:space="0" w:color="auto"/>
                <w:left w:val="none" w:sz="0" w:space="0" w:color="auto"/>
                <w:bottom w:val="none" w:sz="0" w:space="0" w:color="auto"/>
                <w:right w:val="none" w:sz="0" w:space="0" w:color="auto"/>
              </w:divBdr>
            </w:div>
          </w:divsChild>
        </w:div>
        <w:div w:id="706413741">
          <w:marLeft w:val="0"/>
          <w:marRight w:val="0"/>
          <w:marTop w:val="0"/>
          <w:marBottom w:val="0"/>
          <w:divBdr>
            <w:top w:val="none" w:sz="0" w:space="0" w:color="auto"/>
            <w:left w:val="none" w:sz="0" w:space="0" w:color="auto"/>
            <w:bottom w:val="none" w:sz="0" w:space="0" w:color="auto"/>
            <w:right w:val="none" w:sz="0" w:space="0" w:color="auto"/>
          </w:divBdr>
          <w:divsChild>
            <w:div w:id="1332416394">
              <w:marLeft w:val="0"/>
              <w:marRight w:val="0"/>
              <w:marTop w:val="0"/>
              <w:marBottom w:val="0"/>
              <w:divBdr>
                <w:top w:val="none" w:sz="0" w:space="0" w:color="auto"/>
                <w:left w:val="none" w:sz="0" w:space="0" w:color="auto"/>
                <w:bottom w:val="none" w:sz="0" w:space="0" w:color="auto"/>
                <w:right w:val="none" w:sz="0" w:space="0" w:color="auto"/>
              </w:divBdr>
            </w:div>
          </w:divsChild>
        </w:div>
        <w:div w:id="721245482">
          <w:marLeft w:val="0"/>
          <w:marRight w:val="0"/>
          <w:marTop w:val="0"/>
          <w:marBottom w:val="0"/>
          <w:divBdr>
            <w:top w:val="none" w:sz="0" w:space="0" w:color="auto"/>
            <w:left w:val="none" w:sz="0" w:space="0" w:color="auto"/>
            <w:bottom w:val="none" w:sz="0" w:space="0" w:color="auto"/>
            <w:right w:val="none" w:sz="0" w:space="0" w:color="auto"/>
          </w:divBdr>
          <w:divsChild>
            <w:div w:id="241987963">
              <w:marLeft w:val="0"/>
              <w:marRight w:val="0"/>
              <w:marTop w:val="0"/>
              <w:marBottom w:val="0"/>
              <w:divBdr>
                <w:top w:val="none" w:sz="0" w:space="0" w:color="auto"/>
                <w:left w:val="none" w:sz="0" w:space="0" w:color="auto"/>
                <w:bottom w:val="none" w:sz="0" w:space="0" w:color="auto"/>
                <w:right w:val="none" w:sz="0" w:space="0" w:color="auto"/>
              </w:divBdr>
            </w:div>
          </w:divsChild>
        </w:div>
        <w:div w:id="723676170">
          <w:marLeft w:val="0"/>
          <w:marRight w:val="0"/>
          <w:marTop w:val="0"/>
          <w:marBottom w:val="0"/>
          <w:divBdr>
            <w:top w:val="none" w:sz="0" w:space="0" w:color="auto"/>
            <w:left w:val="none" w:sz="0" w:space="0" w:color="auto"/>
            <w:bottom w:val="none" w:sz="0" w:space="0" w:color="auto"/>
            <w:right w:val="none" w:sz="0" w:space="0" w:color="auto"/>
          </w:divBdr>
          <w:divsChild>
            <w:div w:id="149639231">
              <w:marLeft w:val="0"/>
              <w:marRight w:val="0"/>
              <w:marTop w:val="0"/>
              <w:marBottom w:val="0"/>
              <w:divBdr>
                <w:top w:val="none" w:sz="0" w:space="0" w:color="auto"/>
                <w:left w:val="none" w:sz="0" w:space="0" w:color="auto"/>
                <w:bottom w:val="none" w:sz="0" w:space="0" w:color="auto"/>
                <w:right w:val="none" w:sz="0" w:space="0" w:color="auto"/>
              </w:divBdr>
            </w:div>
          </w:divsChild>
        </w:div>
        <w:div w:id="725371033">
          <w:marLeft w:val="0"/>
          <w:marRight w:val="0"/>
          <w:marTop w:val="0"/>
          <w:marBottom w:val="0"/>
          <w:divBdr>
            <w:top w:val="none" w:sz="0" w:space="0" w:color="auto"/>
            <w:left w:val="none" w:sz="0" w:space="0" w:color="auto"/>
            <w:bottom w:val="none" w:sz="0" w:space="0" w:color="auto"/>
            <w:right w:val="none" w:sz="0" w:space="0" w:color="auto"/>
          </w:divBdr>
          <w:divsChild>
            <w:div w:id="48456572">
              <w:marLeft w:val="0"/>
              <w:marRight w:val="0"/>
              <w:marTop w:val="0"/>
              <w:marBottom w:val="0"/>
              <w:divBdr>
                <w:top w:val="none" w:sz="0" w:space="0" w:color="auto"/>
                <w:left w:val="none" w:sz="0" w:space="0" w:color="auto"/>
                <w:bottom w:val="none" w:sz="0" w:space="0" w:color="auto"/>
                <w:right w:val="none" w:sz="0" w:space="0" w:color="auto"/>
              </w:divBdr>
            </w:div>
          </w:divsChild>
        </w:div>
        <w:div w:id="725447863">
          <w:marLeft w:val="0"/>
          <w:marRight w:val="0"/>
          <w:marTop w:val="0"/>
          <w:marBottom w:val="0"/>
          <w:divBdr>
            <w:top w:val="none" w:sz="0" w:space="0" w:color="auto"/>
            <w:left w:val="none" w:sz="0" w:space="0" w:color="auto"/>
            <w:bottom w:val="none" w:sz="0" w:space="0" w:color="auto"/>
            <w:right w:val="none" w:sz="0" w:space="0" w:color="auto"/>
          </w:divBdr>
          <w:divsChild>
            <w:div w:id="1044061430">
              <w:marLeft w:val="0"/>
              <w:marRight w:val="0"/>
              <w:marTop w:val="0"/>
              <w:marBottom w:val="0"/>
              <w:divBdr>
                <w:top w:val="none" w:sz="0" w:space="0" w:color="auto"/>
                <w:left w:val="none" w:sz="0" w:space="0" w:color="auto"/>
                <w:bottom w:val="none" w:sz="0" w:space="0" w:color="auto"/>
                <w:right w:val="none" w:sz="0" w:space="0" w:color="auto"/>
              </w:divBdr>
            </w:div>
          </w:divsChild>
        </w:div>
        <w:div w:id="727995328">
          <w:marLeft w:val="0"/>
          <w:marRight w:val="0"/>
          <w:marTop w:val="0"/>
          <w:marBottom w:val="0"/>
          <w:divBdr>
            <w:top w:val="none" w:sz="0" w:space="0" w:color="auto"/>
            <w:left w:val="none" w:sz="0" w:space="0" w:color="auto"/>
            <w:bottom w:val="none" w:sz="0" w:space="0" w:color="auto"/>
            <w:right w:val="none" w:sz="0" w:space="0" w:color="auto"/>
          </w:divBdr>
          <w:divsChild>
            <w:div w:id="975833830">
              <w:marLeft w:val="0"/>
              <w:marRight w:val="0"/>
              <w:marTop w:val="0"/>
              <w:marBottom w:val="0"/>
              <w:divBdr>
                <w:top w:val="none" w:sz="0" w:space="0" w:color="auto"/>
                <w:left w:val="none" w:sz="0" w:space="0" w:color="auto"/>
                <w:bottom w:val="none" w:sz="0" w:space="0" w:color="auto"/>
                <w:right w:val="none" w:sz="0" w:space="0" w:color="auto"/>
              </w:divBdr>
            </w:div>
          </w:divsChild>
        </w:div>
        <w:div w:id="730662292">
          <w:marLeft w:val="0"/>
          <w:marRight w:val="0"/>
          <w:marTop w:val="0"/>
          <w:marBottom w:val="0"/>
          <w:divBdr>
            <w:top w:val="none" w:sz="0" w:space="0" w:color="auto"/>
            <w:left w:val="none" w:sz="0" w:space="0" w:color="auto"/>
            <w:bottom w:val="none" w:sz="0" w:space="0" w:color="auto"/>
            <w:right w:val="none" w:sz="0" w:space="0" w:color="auto"/>
          </w:divBdr>
          <w:divsChild>
            <w:div w:id="669790676">
              <w:marLeft w:val="0"/>
              <w:marRight w:val="0"/>
              <w:marTop w:val="0"/>
              <w:marBottom w:val="0"/>
              <w:divBdr>
                <w:top w:val="none" w:sz="0" w:space="0" w:color="auto"/>
                <w:left w:val="none" w:sz="0" w:space="0" w:color="auto"/>
                <w:bottom w:val="none" w:sz="0" w:space="0" w:color="auto"/>
                <w:right w:val="none" w:sz="0" w:space="0" w:color="auto"/>
              </w:divBdr>
            </w:div>
          </w:divsChild>
        </w:div>
        <w:div w:id="748619404">
          <w:marLeft w:val="0"/>
          <w:marRight w:val="0"/>
          <w:marTop w:val="0"/>
          <w:marBottom w:val="0"/>
          <w:divBdr>
            <w:top w:val="none" w:sz="0" w:space="0" w:color="auto"/>
            <w:left w:val="none" w:sz="0" w:space="0" w:color="auto"/>
            <w:bottom w:val="none" w:sz="0" w:space="0" w:color="auto"/>
            <w:right w:val="none" w:sz="0" w:space="0" w:color="auto"/>
          </w:divBdr>
          <w:divsChild>
            <w:div w:id="1705903039">
              <w:marLeft w:val="0"/>
              <w:marRight w:val="0"/>
              <w:marTop w:val="0"/>
              <w:marBottom w:val="0"/>
              <w:divBdr>
                <w:top w:val="none" w:sz="0" w:space="0" w:color="auto"/>
                <w:left w:val="none" w:sz="0" w:space="0" w:color="auto"/>
                <w:bottom w:val="none" w:sz="0" w:space="0" w:color="auto"/>
                <w:right w:val="none" w:sz="0" w:space="0" w:color="auto"/>
              </w:divBdr>
            </w:div>
          </w:divsChild>
        </w:div>
        <w:div w:id="749735697">
          <w:marLeft w:val="0"/>
          <w:marRight w:val="0"/>
          <w:marTop w:val="0"/>
          <w:marBottom w:val="0"/>
          <w:divBdr>
            <w:top w:val="none" w:sz="0" w:space="0" w:color="auto"/>
            <w:left w:val="none" w:sz="0" w:space="0" w:color="auto"/>
            <w:bottom w:val="none" w:sz="0" w:space="0" w:color="auto"/>
            <w:right w:val="none" w:sz="0" w:space="0" w:color="auto"/>
          </w:divBdr>
          <w:divsChild>
            <w:div w:id="940530809">
              <w:marLeft w:val="0"/>
              <w:marRight w:val="0"/>
              <w:marTop w:val="0"/>
              <w:marBottom w:val="0"/>
              <w:divBdr>
                <w:top w:val="none" w:sz="0" w:space="0" w:color="auto"/>
                <w:left w:val="none" w:sz="0" w:space="0" w:color="auto"/>
                <w:bottom w:val="none" w:sz="0" w:space="0" w:color="auto"/>
                <w:right w:val="none" w:sz="0" w:space="0" w:color="auto"/>
              </w:divBdr>
            </w:div>
          </w:divsChild>
        </w:div>
        <w:div w:id="753624182">
          <w:marLeft w:val="0"/>
          <w:marRight w:val="0"/>
          <w:marTop w:val="0"/>
          <w:marBottom w:val="0"/>
          <w:divBdr>
            <w:top w:val="none" w:sz="0" w:space="0" w:color="auto"/>
            <w:left w:val="none" w:sz="0" w:space="0" w:color="auto"/>
            <w:bottom w:val="none" w:sz="0" w:space="0" w:color="auto"/>
            <w:right w:val="none" w:sz="0" w:space="0" w:color="auto"/>
          </w:divBdr>
          <w:divsChild>
            <w:div w:id="1409814754">
              <w:marLeft w:val="0"/>
              <w:marRight w:val="0"/>
              <w:marTop w:val="0"/>
              <w:marBottom w:val="0"/>
              <w:divBdr>
                <w:top w:val="none" w:sz="0" w:space="0" w:color="auto"/>
                <w:left w:val="none" w:sz="0" w:space="0" w:color="auto"/>
                <w:bottom w:val="none" w:sz="0" w:space="0" w:color="auto"/>
                <w:right w:val="none" w:sz="0" w:space="0" w:color="auto"/>
              </w:divBdr>
            </w:div>
          </w:divsChild>
        </w:div>
        <w:div w:id="765425036">
          <w:marLeft w:val="0"/>
          <w:marRight w:val="0"/>
          <w:marTop w:val="0"/>
          <w:marBottom w:val="0"/>
          <w:divBdr>
            <w:top w:val="none" w:sz="0" w:space="0" w:color="auto"/>
            <w:left w:val="none" w:sz="0" w:space="0" w:color="auto"/>
            <w:bottom w:val="none" w:sz="0" w:space="0" w:color="auto"/>
            <w:right w:val="none" w:sz="0" w:space="0" w:color="auto"/>
          </w:divBdr>
          <w:divsChild>
            <w:div w:id="421492575">
              <w:marLeft w:val="0"/>
              <w:marRight w:val="0"/>
              <w:marTop w:val="0"/>
              <w:marBottom w:val="0"/>
              <w:divBdr>
                <w:top w:val="none" w:sz="0" w:space="0" w:color="auto"/>
                <w:left w:val="none" w:sz="0" w:space="0" w:color="auto"/>
                <w:bottom w:val="none" w:sz="0" w:space="0" w:color="auto"/>
                <w:right w:val="none" w:sz="0" w:space="0" w:color="auto"/>
              </w:divBdr>
            </w:div>
          </w:divsChild>
        </w:div>
        <w:div w:id="768114611">
          <w:marLeft w:val="0"/>
          <w:marRight w:val="0"/>
          <w:marTop w:val="0"/>
          <w:marBottom w:val="0"/>
          <w:divBdr>
            <w:top w:val="none" w:sz="0" w:space="0" w:color="auto"/>
            <w:left w:val="none" w:sz="0" w:space="0" w:color="auto"/>
            <w:bottom w:val="none" w:sz="0" w:space="0" w:color="auto"/>
            <w:right w:val="none" w:sz="0" w:space="0" w:color="auto"/>
          </w:divBdr>
          <w:divsChild>
            <w:div w:id="1196233223">
              <w:marLeft w:val="0"/>
              <w:marRight w:val="0"/>
              <w:marTop w:val="0"/>
              <w:marBottom w:val="0"/>
              <w:divBdr>
                <w:top w:val="none" w:sz="0" w:space="0" w:color="auto"/>
                <w:left w:val="none" w:sz="0" w:space="0" w:color="auto"/>
                <w:bottom w:val="none" w:sz="0" w:space="0" w:color="auto"/>
                <w:right w:val="none" w:sz="0" w:space="0" w:color="auto"/>
              </w:divBdr>
            </w:div>
          </w:divsChild>
        </w:div>
        <w:div w:id="769473705">
          <w:marLeft w:val="0"/>
          <w:marRight w:val="0"/>
          <w:marTop w:val="0"/>
          <w:marBottom w:val="0"/>
          <w:divBdr>
            <w:top w:val="none" w:sz="0" w:space="0" w:color="auto"/>
            <w:left w:val="none" w:sz="0" w:space="0" w:color="auto"/>
            <w:bottom w:val="none" w:sz="0" w:space="0" w:color="auto"/>
            <w:right w:val="none" w:sz="0" w:space="0" w:color="auto"/>
          </w:divBdr>
          <w:divsChild>
            <w:div w:id="1112743709">
              <w:marLeft w:val="0"/>
              <w:marRight w:val="0"/>
              <w:marTop w:val="0"/>
              <w:marBottom w:val="0"/>
              <w:divBdr>
                <w:top w:val="none" w:sz="0" w:space="0" w:color="auto"/>
                <w:left w:val="none" w:sz="0" w:space="0" w:color="auto"/>
                <w:bottom w:val="none" w:sz="0" w:space="0" w:color="auto"/>
                <w:right w:val="none" w:sz="0" w:space="0" w:color="auto"/>
              </w:divBdr>
            </w:div>
          </w:divsChild>
        </w:div>
        <w:div w:id="787816919">
          <w:marLeft w:val="0"/>
          <w:marRight w:val="0"/>
          <w:marTop w:val="0"/>
          <w:marBottom w:val="0"/>
          <w:divBdr>
            <w:top w:val="none" w:sz="0" w:space="0" w:color="auto"/>
            <w:left w:val="none" w:sz="0" w:space="0" w:color="auto"/>
            <w:bottom w:val="none" w:sz="0" w:space="0" w:color="auto"/>
            <w:right w:val="none" w:sz="0" w:space="0" w:color="auto"/>
          </w:divBdr>
          <w:divsChild>
            <w:div w:id="1992563461">
              <w:marLeft w:val="0"/>
              <w:marRight w:val="0"/>
              <w:marTop w:val="0"/>
              <w:marBottom w:val="0"/>
              <w:divBdr>
                <w:top w:val="none" w:sz="0" w:space="0" w:color="auto"/>
                <w:left w:val="none" w:sz="0" w:space="0" w:color="auto"/>
                <w:bottom w:val="none" w:sz="0" w:space="0" w:color="auto"/>
                <w:right w:val="none" w:sz="0" w:space="0" w:color="auto"/>
              </w:divBdr>
            </w:div>
          </w:divsChild>
        </w:div>
        <w:div w:id="796293447">
          <w:marLeft w:val="0"/>
          <w:marRight w:val="0"/>
          <w:marTop w:val="0"/>
          <w:marBottom w:val="0"/>
          <w:divBdr>
            <w:top w:val="none" w:sz="0" w:space="0" w:color="auto"/>
            <w:left w:val="none" w:sz="0" w:space="0" w:color="auto"/>
            <w:bottom w:val="none" w:sz="0" w:space="0" w:color="auto"/>
            <w:right w:val="none" w:sz="0" w:space="0" w:color="auto"/>
          </w:divBdr>
          <w:divsChild>
            <w:div w:id="585110454">
              <w:marLeft w:val="0"/>
              <w:marRight w:val="0"/>
              <w:marTop w:val="0"/>
              <w:marBottom w:val="0"/>
              <w:divBdr>
                <w:top w:val="none" w:sz="0" w:space="0" w:color="auto"/>
                <w:left w:val="none" w:sz="0" w:space="0" w:color="auto"/>
                <w:bottom w:val="none" w:sz="0" w:space="0" w:color="auto"/>
                <w:right w:val="none" w:sz="0" w:space="0" w:color="auto"/>
              </w:divBdr>
            </w:div>
          </w:divsChild>
        </w:div>
        <w:div w:id="800418348">
          <w:marLeft w:val="0"/>
          <w:marRight w:val="0"/>
          <w:marTop w:val="0"/>
          <w:marBottom w:val="0"/>
          <w:divBdr>
            <w:top w:val="none" w:sz="0" w:space="0" w:color="auto"/>
            <w:left w:val="none" w:sz="0" w:space="0" w:color="auto"/>
            <w:bottom w:val="none" w:sz="0" w:space="0" w:color="auto"/>
            <w:right w:val="none" w:sz="0" w:space="0" w:color="auto"/>
          </w:divBdr>
          <w:divsChild>
            <w:div w:id="79647821">
              <w:marLeft w:val="0"/>
              <w:marRight w:val="0"/>
              <w:marTop w:val="0"/>
              <w:marBottom w:val="0"/>
              <w:divBdr>
                <w:top w:val="none" w:sz="0" w:space="0" w:color="auto"/>
                <w:left w:val="none" w:sz="0" w:space="0" w:color="auto"/>
                <w:bottom w:val="none" w:sz="0" w:space="0" w:color="auto"/>
                <w:right w:val="none" w:sz="0" w:space="0" w:color="auto"/>
              </w:divBdr>
            </w:div>
          </w:divsChild>
        </w:div>
        <w:div w:id="814686198">
          <w:marLeft w:val="0"/>
          <w:marRight w:val="0"/>
          <w:marTop w:val="0"/>
          <w:marBottom w:val="0"/>
          <w:divBdr>
            <w:top w:val="none" w:sz="0" w:space="0" w:color="auto"/>
            <w:left w:val="none" w:sz="0" w:space="0" w:color="auto"/>
            <w:bottom w:val="none" w:sz="0" w:space="0" w:color="auto"/>
            <w:right w:val="none" w:sz="0" w:space="0" w:color="auto"/>
          </w:divBdr>
          <w:divsChild>
            <w:div w:id="1668820863">
              <w:marLeft w:val="0"/>
              <w:marRight w:val="0"/>
              <w:marTop w:val="0"/>
              <w:marBottom w:val="0"/>
              <w:divBdr>
                <w:top w:val="none" w:sz="0" w:space="0" w:color="auto"/>
                <w:left w:val="none" w:sz="0" w:space="0" w:color="auto"/>
                <w:bottom w:val="none" w:sz="0" w:space="0" w:color="auto"/>
                <w:right w:val="none" w:sz="0" w:space="0" w:color="auto"/>
              </w:divBdr>
            </w:div>
          </w:divsChild>
        </w:div>
        <w:div w:id="817113121">
          <w:marLeft w:val="0"/>
          <w:marRight w:val="0"/>
          <w:marTop w:val="0"/>
          <w:marBottom w:val="0"/>
          <w:divBdr>
            <w:top w:val="none" w:sz="0" w:space="0" w:color="auto"/>
            <w:left w:val="none" w:sz="0" w:space="0" w:color="auto"/>
            <w:bottom w:val="none" w:sz="0" w:space="0" w:color="auto"/>
            <w:right w:val="none" w:sz="0" w:space="0" w:color="auto"/>
          </w:divBdr>
          <w:divsChild>
            <w:div w:id="1264648483">
              <w:marLeft w:val="0"/>
              <w:marRight w:val="0"/>
              <w:marTop w:val="0"/>
              <w:marBottom w:val="0"/>
              <w:divBdr>
                <w:top w:val="none" w:sz="0" w:space="0" w:color="auto"/>
                <w:left w:val="none" w:sz="0" w:space="0" w:color="auto"/>
                <w:bottom w:val="none" w:sz="0" w:space="0" w:color="auto"/>
                <w:right w:val="none" w:sz="0" w:space="0" w:color="auto"/>
              </w:divBdr>
            </w:div>
          </w:divsChild>
        </w:div>
        <w:div w:id="824248406">
          <w:marLeft w:val="0"/>
          <w:marRight w:val="0"/>
          <w:marTop w:val="0"/>
          <w:marBottom w:val="0"/>
          <w:divBdr>
            <w:top w:val="none" w:sz="0" w:space="0" w:color="auto"/>
            <w:left w:val="none" w:sz="0" w:space="0" w:color="auto"/>
            <w:bottom w:val="none" w:sz="0" w:space="0" w:color="auto"/>
            <w:right w:val="none" w:sz="0" w:space="0" w:color="auto"/>
          </w:divBdr>
          <w:divsChild>
            <w:div w:id="1266691810">
              <w:marLeft w:val="0"/>
              <w:marRight w:val="0"/>
              <w:marTop w:val="0"/>
              <w:marBottom w:val="0"/>
              <w:divBdr>
                <w:top w:val="none" w:sz="0" w:space="0" w:color="auto"/>
                <w:left w:val="none" w:sz="0" w:space="0" w:color="auto"/>
                <w:bottom w:val="none" w:sz="0" w:space="0" w:color="auto"/>
                <w:right w:val="none" w:sz="0" w:space="0" w:color="auto"/>
              </w:divBdr>
            </w:div>
          </w:divsChild>
        </w:div>
        <w:div w:id="825822774">
          <w:marLeft w:val="0"/>
          <w:marRight w:val="0"/>
          <w:marTop w:val="0"/>
          <w:marBottom w:val="0"/>
          <w:divBdr>
            <w:top w:val="none" w:sz="0" w:space="0" w:color="auto"/>
            <w:left w:val="none" w:sz="0" w:space="0" w:color="auto"/>
            <w:bottom w:val="none" w:sz="0" w:space="0" w:color="auto"/>
            <w:right w:val="none" w:sz="0" w:space="0" w:color="auto"/>
          </w:divBdr>
          <w:divsChild>
            <w:div w:id="218059499">
              <w:marLeft w:val="0"/>
              <w:marRight w:val="0"/>
              <w:marTop w:val="0"/>
              <w:marBottom w:val="0"/>
              <w:divBdr>
                <w:top w:val="none" w:sz="0" w:space="0" w:color="auto"/>
                <w:left w:val="none" w:sz="0" w:space="0" w:color="auto"/>
                <w:bottom w:val="none" w:sz="0" w:space="0" w:color="auto"/>
                <w:right w:val="none" w:sz="0" w:space="0" w:color="auto"/>
              </w:divBdr>
            </w:div>
          </w:divsChild>
        </w:div>
        <w:div w:id="835919540">
          <w:marLeft w:val="0"/>
          <w:marRight w:val="0"/>
          <w:marTop w:val="0"/>
          <w:marBottom w:val="0"/>
          <w:divBdr>
            <w:top w:val="none" w:sz="0" w:space="0" w:color="auto"/>
            <w:left w:val="none" w:sz="0" w:space="0" w:color="auto"/>
            <w:bottom w:val="none" w:sz="0" w:space="0" w:color="auto"/>
            <w:right w:val="none" w:sz="0" w:space="0" w:color="auto"/>
          </w:divBdr>
          <w:divsChild>
            <w:div w:id="643775870">
              <w:marLeft w:val="0"/>
              <w:marRight w:val="0"/>
              <w:marTop w:val="0"/>
              <w:marBottom w:val="0"/>
              <w:divBdr>
                <w:top w:val="none" w:sz="0" w:space="0" w:color="auto"/>
                <w:left w:val="none" w:sz="0" w:space="0" w:color="auto"/>
                <w:bottom w:val="none" w:sz="0" w:space="0" w:color="auto"/>
                <w:right w:val="none" w:sz="0" w:space="0" w:color="auto"/>
              </w:divBdr>
            </w:div>
          </w:divsChild>
        </w:div>
        <w:div w:id="857622381">
          <w:marLeft w:val="0"/>
          <w:marRight w:val="0"/>
          <w:marTop w:val="0"/>
          <w:marBottom w:val="0"/>
          <w:divBdr>
            <w:top w:val="none" w:sz="0" w:space="0" w:color="auto"/>
            <w:left w:val="none" w:sz="0" w:space="0" w:color="auto"/>
            <w:bottom w:val="none" w:sz="0" w:space="0" w:color="auto"/>
            <w:right w:val="none" w:sz="0" w:space="0" w:color="auto"/>
          </w:divBdr>
          <w:divsChild>
            <w:div w:id="1160459399">
              <w:marLeft w:val="0"/>
              <w:marRight w:val="0"/>
              <w:marTop w:val="0"/>
              <w:marBottom w:val="0"/>
              <w:divBdr>
                <w:top w:val="none" w:sz="0" w:space="0" w:color="auto"/>
                <w:left w:val="none" w:sz="0" w:space="0" w:color="auto"/>
                <w:bottom w:val="none" w:sz="0" w:space="0" w:color="auto"/>
                <w:right w:val="none" w:sz="0" w:space="0" w:color="auto"/>
              </w:divBdr>
            </w:div>
          </w:divsChild>
        </w:div>
        <w:div w:id="876624447">
          <w:marLeft w:val="0"/>
          <w:marRight w:val="0"/>
          <w:marTop w:val="0"/>
          <w:marBottom w:val="0"/>
          <w:divBdr>
            <w:top w:val="none" w:sz="0" w:space="0" w:color="auto"/>
            <w:left w:val="none" w:sz="0" w:space="0" w:color="auto"/>
            <w:bottom w:val="none" w:sz="0" w:space="0" w:color="auto"/>
            <w:right w:val="none" w:sz="0" w:space="0" w:color="auto"/>
          </w:divBdr>
          <w:divsChild>
            <w:div w:id="1922064075">
              <w:marLeft w:val="0"/>
              <w:marRight w:val="0"/>
              <w:marTop w:val="0"/>
              <w:marBottom w:val="0"/>
              <w:divBdr>
                <w:top w:val="none" w:sz="0" w:space="0" w:color="auto"/>
                <w:left w:val="none" w:sz="0" w:space="0" w:color="auto"/>
                <w:bottom w:val="none" w:sz="0" w:space="0" w:color="auto"/>
                <w:right w:val="none" w:sz="0" w:space="0" w:color="auto"/>
              </w:divBdr>
            </w:div>
          </w:divsChild>
        </w:div>
        <w:div w:id="877012912">
          <w:marLeft w:val="0"/>
          <w:marRight w:val="0"/>
          <w:marTop w:val="0"/>
          <w:marBottom w:val="0"/>
          <w:divBdr>
            <w:top w:val="none" w:sz="0" w:space="0" w:color="auto"/>
            <w:left w:val="none" w:sz="0" w:space="0" w:color="auto"/>
            <w:bottom w:val="none" w:sz="0" w:space="0" w:color="auto"/>
            <w:right w:val="none" w:sz="0" w:space="0" w:color="auto"/>
          </w:divBdr>
          <w:divsChild>
            <w:div w:id="278419590">
              <w:marLeft w:val="0"/>
              <w:marRight w:val="0"/>
              <w:marTop w:val="0"/>
              <w:marBottom w:val="0"/>
              <w:divBdr>
                <w:top w:val="none" w:sz="0" w:space="0" w:color="auto"/>
                <w:left w:val="none" w:sz="0" w:space="0" w:color="auto"/>
                <w:bottom w:val="none" w:sz="0" w:space="0" w:color="auto"/>
                <w:right w:val="none" w:sz="0" w:space="0" w:color="auto"/>
              </w:divBdr>
            </w:div>
          </w:divsChild>
        </w:div>
        <w:div w:id="885484139">
          <w:marLeft w:val="0"/>
          <w:marRight w:val="0"/>
          <w:marTop w:val="0"/>
          <w:marBottom w:val="0"/>
          <w:divBdr>
            <w:top w:val="none" w:sz="0" w:space="0" w:color="auto"/>
            <w:left w:val="none" w:sz="0" w:space="0" w:color="auto"/>
            <w:bottom w:val="none" w:sz="0" w:space="0" w:color="auto"/>
            <w:right w:val="none" w:sz="0" w:space="0" w:color="auto"/>
          </w:divBdr>
          <w:divsChild>
            <w:div w:id="1328483120">
              <w:marLeft w:val="0"/>
              <w:marRight w:val="0"/>
              <w:marTop w:val="0"/>
              <w:marBottom w:val="0"/>
              <w:divBdr>
                <w:top w:val="none" w:sz="0" w:space="0" w:color="auto"/>
                <w:left w:val="none" w:sz="0" w:space="0" w:color="auto"/>
                <w:bottom w:val="none" w:sz="0" w:space="0" w:color="auto"/>
                <w:right w:val="none" w:sz="0" w:space="0" w:color="auto"/>
              </w:divBdr>
            </w:div>
          </w:divsChild>
        </w:div>
        <w:div w:id="893154027">
          <w:marLeft w:val="0"/>
          <w:marRight w:val="0"/>
          <w:marTop w:val="0"/>
          <w:marBottom w:val="0"/>
          <w:divBdr>
            <w:top w:val="none" w:sz="0" w:space="0" w:color="auto"/>
            <w:left w:val="none" w:sz="0" w:space="0" w:color="auto"/>
            <w:bottom w:val="none" w:sz="0" w:space="0" w:color="auto"/>
            <w:right w:val="none" w:sz="0" w:space="0" w:color="auto"/>
          </w:divBdr>
          <w:divsChild>
            <w:div w:id="2045978882">
              <w:marLeft w:val="0"/>
              <w:marRight w:val="0"/>
              <w:marTop w:val="0"/>
              <w:marBottom w:val="0"/>
              <w:divBdr>
                <w:top w:val="none" w:sz="0" w:space="0" w:color="auto"/>
                <w:left w:val="none" w:sz="0" w:space="0" w:color="auto"/>
                <w:bottom w:val="none" w:sz="0" w:space="0" w:color="auto"/>
                <w:right w:val="none" w:sz="0" w:space="0" w:color="auto"/>
              </w:divBdr>
            </w:div>
          </w:divsChild>
        </w:div>
        <w:div w:id="897516057">
          <w:marLeft w:val="0"/>
          <w:marRight w:val="0"/>
          <w:marTop w:val="0"/>
          <w:marBottom w:val="0"/>
          <w:divBdr>
            <w:top w:val="none" w:sz="0" w:space="0" w:color="auto"/>
            <w:left w:val="none" w:sz="0" w:space="0" w:color="auto"/>
            <w:bottom w:val="none" w:sz="0" w:space="0" w:color="auto"/>
            <w:right w:val="none" w:sz="0" w:space="0" w:color="auto"/>
          </w:divBdr>
          <w:divsChild>
            <w:div w:id="466820930">
              <w:marLeft w:val="0"/>
              <w:marRight w:val="0"/>
              <w:marTop w:val="0"/>
              <w:marBottom w:val="0"/>
              <w:divBdr>
                <w:top w:val="none" w:sz="0" w:space="0" w:color="auto"/>
                <w:left w:val="none" w:sz="0" w:space="0" w:color="auto"/>
                <w:bottom w:val="none" w:sz="0" w:space="0" w:color="auto"/>
                <w:right w:val="none" w:sz="0" w:space="0" w:color="auto"/>
              </w:divBdr>
            </w:div>
          </w:divsChild>
        </w:div>
        <w:div w:id="897862535">
          <w:marLeft w:val="0"/>
          <w:marRight w:val="0"/>
          <w:marTop w:val="0"/>
          <w:marBottom w:val="0"/>
          <w:divBdr>
            <w:top w:val="none" w:sz="0" w:space="0" w:color="auto"/>
            <w:left w:val="none" w:sz="0" w:space="0" w:color="auto"/>
            <w:bottom w:val="none" w:sz="0" w:space="0" w:color="auto"/>
            <w:right w:val="none" w:sz="0" w:space="0" w:color="auto"/>
          </w:divBdr>
          <w:divsChild>
            <w:div w:id="686902819">
              <w:marLeft w:val="0"/>
              <w:marRight w:val="0"/>
              <w:marTop w:val="0"/>
              <w:marBottom w:val="0"/>
              <w:divBdr>
                <w:top w:val="none" w:sz="0" w:space="0" w:color="auto"/>
                <w:left w:val="none" w:sz="0" w:space="0" w:color="auto"/>
                <w:bottom w:val="none" w:sz="0" w:space="0" w:color="auto"/>
                <w:right w:val="none" w:sz="0" w:space="0" w:color="auto"/>
              </w:divBdr>
            </w:div>
          </w:divsChild>
        </w:div>
        <w:div w:id="905799464">
          <w:marLeft w:val="0"/>
          <w:marRight w:val="0"/>
          <w:marTop w:val="0"/>
          <w:marBottom w:val="0"/>
          <w:divBdr>
            <w:top w:val="none" w:sz="0" w:space="0" w:color="auto"/>
            <w:left w:val="none" w:sz="0" w:space="0" w:color="auto"/>
            <w:bottom w:val="none" w:sz="0" w:space="0" w:color="auto"/>
            <w:right w:val="none" w:sz="0" w:space="0" w:color="auto"/>
          </w:divBdr>
          <w:divsChild>
            <w:div w:id="1093432713">
              <w:marLeft w:val="0"/>
              <w:marRight w:val="0"/>
              <w:marTop w:val="0"/>
              <w:marBottom w:val="0"/>
              <w:divBdr>
                <w:top w:val="none" w:sz="0" w:space="0" w:color="auto"/>
                <w:left w:val="none" w:sz="0" w:space="0" w:color="auto"/>
                <w:bottom w:val="none" w:sz="0" w:space="0" w:color="auto"/>
                <w:right w:val="none" w:sz="0" w:space="0" w:color="auto"/>
              </w:divBdr>
            </w:div>
          </w:divsChild>
        </w:div>
        <w:div w:id="913315272">
          <w:marLeft w:val="0"/>
          <w:marRight w:val="0"/>
          <w:marTop w:val="0"/>
          <w:marBottom w:val="0"/>
          <w:divBdr>
            <w:top w:val="none" w:sz="0" w:space="0" w:color="auto"/>
            <w:left w:val="none" w:sz="0" w:space="0" w:color="auto"/>
            <w:bottom w:val="none" w:sz="0" w:space="0" w:color="auto"/>
            <w:right w:val="none" w:sz="0" w:space="0" w:color="auto"/>
          </w:divBdr>
          <w:divsChild>
            <w:div w:id="827206357">
              <w:marLeft w:val="0"/>
              <w:marRight w:val="0"/>
              <w:marTop w:val="0"/>
              <w:marBottom w:val="0"/>
              <w:divBdr>
                <w:top w:val="none" w:sz="0" w:space="0" w:color="auto"/>
                <w:left w:val="none" w:sz="0" w:space="0" w:color="auto"/>
                <w:bottom w:val="none" w:sz="0" w:space="0" w:color="auto"/>
                <w:right w:val="none" w:sz="0" w:space="0" w:color="auto"/>
              </w:divBdr>
            </w:div>
          </w:divsChild>
        </w:div>
        <w:div w:id="914172591">
          <w:marLeft w:val="0"/>
          <w:marRight w:val="0"/>
          <w:marTop w:val="0"/>
          <w:marBottom w:val="0"/>
          <w:divBdr>
            <w:top w:val="none" w:sz="0" w:space="0" w:color="auto"/>
            <w:left w:val="none" w:sz="0" w:space="0" w:color="auto"/>
            <w:bottom w:val="none" w:sz="0" w:space="0" w:color="auto"/>
            <w:right w:val="none" w:sz="0" w:space="0" w:color="auto"/>
          </w:divBdr>
          <w:divsChild>
            <w:div w:id="1163542430">
              <w:marLeft w:val="0"/>
              <w:marRight w:val="0"/>
              <w:marTop w:val="0"/>
              <w:marBottom w:val="0"/>
              <w:divBdr>
                <w:top w:val="none" w:sz="0" w:space="0" w:color="auto"/>
                <w:left w:val="none" w:sz="0" w:space="0" w:color="auto"/>
                <w:bottom w:val="none" w:sz="0" w:space="0" w:color="auto"/>
                <w:right w:val="none" w:sz="0" w:space="0" w:color="auto"/>
              </w:divBdr>
            </w:div>
          </w:divsChild>
        </w:div>
        <w:div w:id="918976372">
          <w:marLeft w:val="0"/>
          <w:marRight w:val="0"/>
          <w:marTop w:val="0"/>
          <w:marBottom w:val="0"/>
          <w:divBdr>
            <w:top w:val="none" w:sz="0" w:space="0" w:color="auto"/>
            <w:left w:val="none" w:sz="0" w:space="0" w:color="auto"/>
            <w:bottom w:val="none" w:sz="0" w:space="0" w:color="auto"/>
            <w:right w:val="none" w:sz="0" w:space="0" w:color="auto"/>
          </w:divBdr>
          <w:divsChild>
            <w:div w:id="1671593284">
              <w:marLeft w:val="0"/>
              <w:marRight w:val="0"/>
              <w:marTop w:val="0"/>
              <w:marBottom w:val="0"/>
              <w:divBdr>
                <w:top w:val="none" w:sz="0" w:space="0" w:color="auto"/>
                <w:left w:val="none" w:sz="0" w:space="0" w:color="auto"/>
                <w:bottom w:val="none" w:sz="0" w:space="0" w:color="auto"/>
                <w:right w:val="none" w:sz="0" w:space="0" w:color="auto"/>
              </w:divBdr>
            </w:div>
          </w:divsChild>
        </w:div>
        <w:div w:id="920791139">
          <w:marLeft w:val="0"/>
          <w:marRight w:val="0"/>
          <w:marTop w:val="0"/>
          <w:marBottom w:val="0"/>
          <w:divBdr>
            <w:top w:val="none" w:sz="0" w:space="0" w:color="auto"/>
            <w:left w:val="none" w:sz="0" w:space="0" w:color="auto"/>
            <w:bottom w:val="none" w:sz="0" w:space="0" w:color="auto"/>
            <w:right w:val="none" w:sz="0" w:space="0" w:color="auto"/>
          </w:divBdr>
          <w:divsChild>
            <w:div w:id="728454868">
              <w:marLeft w:val="0"/>
              <w:marRight w:val="0"/>
              <w:marTop w:val="0"/>
              <w:marBottom w:val="0"/>
              <w:divBdr>
                <w:top w:val="none" w:sz="0" w:space="0" w:color="auto"/>
                <w:left w:val="none" w:sz="0" w:space="0" w:color="auto"/>
                <w:bottom w:val="none" w:sz="0" w:space="0" w:color="auto"/>
                <w:right w:val="none" w:sz="0" w:space="0" w:color="auto"/>
              </w:divBdr>
            </w:div>
          </w:divsChild>
        </w:div>
        <w:div w:id="929002273">
          <w:marLeft w:val="0"/>
          <w:marRight w:val="0"/>
          <w:marTop w:val="0"/>
          <w:marBottom w:val="0"/>
          <w:divBdr>
            <w:top w:val="none" w:sz="0" w:space="0" w:color="auto"/>
            <w:left w:val="none" w:sz="0" w:space="0" w:color="auto"/>
            <w:bottom w:val="none" w:sz="0" w:space="0" w:color="auto"/>
            <w:right w:val="none" w:sz="0" w:space="0" w:color="auto"/>
          </w:divBdr>
          <w:divsChild>
            <w:div w:id="1023365787">
              <w:marLeft w:val="0"/>
              <w:marRight w:val="0"/>
              <w:marTop w:val="0"/>
              <w:marBottom w:val="0"/>
              <w:divBdr>
                <w:top w:val="none" w:sz="0" w:space="0" w:color="auto"/>
                <w:left w:val="none" w:sz="0" w:space="0" w:color="auto"/>
                <w:bottom w:val="none" w:sz="0" w:space="0" w:color="auto"/>
                <w:right w:val="none" w:sz="0" w:space="0" w:color="auto"/>
              </w:divBdr>
            </w:div>
          </w:divsChild>
        </w:div>
        <w:div w:id="935209409">
          <w:marLeft w:val="0"/>
          <w:marRight w:val="0"/>
          <w:marTop w:val="0"/>
          <w:marBottom w:val="0"/>
          <w:divBdr>
            <w:top w:val="none" w:sz="0" w:space="0" w:color="auto"/>
            <w:left w:val="none" w:sz="0" w:space="0" w:color="auto"/>
            <w:bottom w:val="none" w:sz="0" w:space="0" w:color="auto"/>
            <w:right w:val="none" w:sz="0" w:space="0" w:color="auto"/>
          </w:divBdr>
          <w:divsChild>
            <w:div w:id="384446812">
              <w:marLeft w:val="0"/>
              <w:marRight w:val="0"/>
              <w:marTop w:val="0"/>
              <w:marBottom w:val="0"/>
              <w:divBdr>
                <w:top w:val="none" w:sz="0" w:space="0" w:color="auto"/>
                <w:left w:val="none" w:sz="0" w:space="0" w:color="auto"/>
                <w:bottom w:val="none" w:sz="0" w:space="0" w:color="auto"/>
                <w:right w:val="none" w:sz="0" w:space="0" w:color="auto"/>
              </w:divBdr>
            </w:div>
          </w:divsChild>
        </w:div>
        <w:div w:id="950013422">
          <w:marLeft w:val="0"/>
          <w:marRight w:val="0"/>
          <w:marTop w:val="0"/>
          <w:marBottom w:val="0"/>
          <w:divBdr>
            <w:top w:val="none" w:sz="0" w:space="0" w:color="auto"/>
            <w:left w:val="none" w:sz="0" w:space="0" w:color="auto"/>
            <w:bottom w:val="none" w:sz="0" w:space="0" w:color="auto"/>
            <w:right w:val="none" w:sz="0" w:space="0" w:color="auto"/>
          </w:divBdr>
          <w:divsChild>
            <w:div w:id="935670882">
              <w:marLeft w:val="0"/>
              <w:marRight w:val="0"/>
              <w:marTop w:val="0"/>
              <w:marBottom w:val="0"/>
              <w:divBdr>
                <w:top w:val="none" w:sz="0" w:space="0" w:color="auto"/>
                <w:left w:val="none" w:sz="0" w:space="0" w:color="auto"/>
                <w:bottom w:val="none" w:sz="0" w:space="0" w:color="auto"/>
                <w:right w:val="none" w:sz="0" w:space="0" w:color="auto"/>
              </w:divBdr>
            </w:div>
          </w:divsChild>
        </w:div>
        <w:div w:id="953483895">
          <w:marLeft w:val="0"/>
          <w:marRight w:val="0"/>
          <w:marTop w:val="0"/>
          <w:marBottom w:val="0"/>
          <w:divBdr>
            <w:top w:val="none" w:sz="0" w:space="0" w:color="auto"/>
            <w:left w:val="none" w:sz="0" w:space="0" w:color="auto"/>
            <w:bottom w:val="none" w:sz="0" w:space="0" w:color="auto"/>
            <w:right w:val="none" w:sz="0" w:space="0" w:color="auto"/>
          </w:divBdr>
          <w:divsChild>
            <w:div w:id="1373192224">
              <w:marLeft w:val="0"/>
              <w:marRight w:val="0"/>
              <w:marTop w:val="0"/>
              <w:marBottom w:val="0"/>
              <w:divBdr>
                <w:top w:val="none" w:sz="0" w:space="0" w:color="auto"/>
                <w:left w:val="none" w:sz="0" w:space="0" w:color="auto"/>
                <w:bottom w:val="none" w:sz="0" w:space="0" w:color="auto"/>
                <w:right w:val="none" w:sz="0" w:space="0" w:color="auto"/>
              </w:divBdr>
            </w:div>
          </w:divsChild>
        </w:div>
        <w:div w:id="953707867">
          <w:marLeft w:val="0"/>
          <w:marRight w:val="0"/>
          <w:marTop w:val="0"/>
          <w:marBottom w:val="0"/>
          <w:divBdr>
            <w:top w:val="none" w:sz="0" w:space="0" w:color="auto"/>
            <w:left w:val="none" w:sz="0" w:space="0" w:color="auto"/>
            <w:bottom w:val="none" w:sz="0" w:space="0" w:color="auto"/>
            <w:right w:val="none" w:sz="0" w:space="0" w:color="auto"/>
          </w:divBdr>
          <w:divsChild>
            <w:div w:id="1236817574">
              <w:marLeft w:val="0"/>
              <w:marRight w:val="0"/>
              <w:marTop w:val="0"/>
              <w:marBottom w:val="0"/>
              <w:divBdr>
                <w:top w:val="none" w:sz="0" w:space="0" w:color="auto"/>
                <w:left w:val="none" w:sz="0" w:space="0" w:color="auto"/>
                <w:bottom w:val="none" w:sz="0" w:space="0" w:color="auto"/>
                <w:right w:val="none" w:sz="0" w:space="0" w:color="auto"/>
              </w:divBdr>
            </w:div>
          </w:divsChild>
        </w:div>
        <w:div w:id="976453369">
          <w:marLeft w:val="0"/>
          <w:marRight w:val="0"/>
          <w:marTop w:val="0"/>
          <w:marBottom w:val="0"/>
          <w:divBdr>
            <w:top w:val="none" w:sz="0" w:space="0" w:color="auto"/>
            <w:left w:val="none" w:sz="0" w:space="0" w:color="auto"/>
            <w:bottom w:val="none" w:sz="0" w:space="0" w:color="auto"/>
            <w:right w:val="none" w:sz="0" w:space="0" w:color="auto"/>
          </w:divBdr>
          <w:divsChild>
            <w:div w:id="1987279705">
              <w:marLeft w:val="0"/>
              <w:marRight w:val="0"/>
              <w:marTop w:val="0"/>
              <w:marBottom w:val="0"/>
              <w:divBdr>
                <w:top w:val="none" w:sz="0" w:space="0" w:color="auto"/>
                <w:left w:val="none" w:sz="0" w:space="0" w:color="auto"/>
                <w:bottom w:val="none" w:sz="0" w:space="0" w:color="auto"/>
                <w:right w:val="none" w:sz="0" w:space="0" w:color="auto"/>
              </w:divBdr>
            </w:div>
          </w:divsChild>
        </w:div>
        <w:div w:id="983777473">
          <w:marLeft w:val="0"/>
          <w:marRight w:val="0"/>
          <w:marTop w:val="0"/>
          <w:marBottom w:val="0"/>
          <w:divBdr>
            <w:top w:val="none" w:sz="0" w:space="0" w:color="auto"/>
            <w:left w:val="none" w:sz="0" w:space="0" w:color="auto"/>
            <w:bottom w:val="none" w:sz="0" w:space="0" w:color="auto"/>
            <w:right w:val="none" w:sz="0" w:space="0" w:color="auto"/>
          </w:divBdr>
          <w:divsChild>
            <w:div w:id="1892888798">
              <w:marLeft w:val="0"/>
              <w:marRight w:val="0"/>
              <w:marTop w:val="0"/>
              <w:marBottom w:val="0"/>
              <w:divBdr>
                <w:top w:val="none" w:sz="0" w:space="0" w:color="auto"/>
                <w:left w:val="none" w:sz="0" w:space="0" w:color="auto"/>
                <w:bottom w:val="none" w:sz="0" w:space="0" w:color="auto"/>
                <w:right w:val="none" w:sz="0" w:space="0" w:color="auto"/>
              </w:divBdr>
            </w:div>
          </w:divsChild>
        </w:div>
        <w:div w:id="985400589">
          <w:marLeft w:val="0"/>
          <w:marRight w:val="0"/>
          <w:marTop w:val="0"/>
          <w:marBottom w:val="0"/>
          <w:divBdr>
            <w:top w:val="none" w:sz="0" w:space="0" w:color="auto"/>
            <w:left w:val="none" w:sz="0" w:space="0" w:color="auto"/>
            <w:bottom w:val="none" w:sz="0" w:space="0" w:color="auto"/>
            <w:right w:val="none" w:sz="0" w:space="0" w:color="auto"/>
          </w:divBdr>
          <w:divsChild>
            <w:div w:id="1047606894">
              <w:marLeft w:val="0"/>
              <w:marRight w:val="0"/>
              <w:marTop w:val="0"/>
              <w:marBottom w:val="0"/>
              <w:divBdr>
                <w:top w:val="none" w:sz="0" w:space="0" w:color="auto"/>
                <w:left w:val="none" w:sz="0" w:space="0" w:color="auto"/>
                <w:bottom w:val="none" w:sz="0" w:space="0" w:color="auto"/>
                <w:right w:val="none" w:sz="0" w:space="0" w:color="auto"/>
              </w:divBdr>
            </w:div>
          </w:divsChild>
        </w:div>
        <w:div w:id="989746958">
          <w:marLeft w:val="0"/>
          <w:marRight w:val="0"/>
          <w:marTop w:val="0"/>
          <w:marBottom w:val="0"/>
          <w:divBdr>
            <w:top w:val="none" w:sz="0" w:space="0" w:color="auto"/>
            <w:left w:val="none" w:sz="0" w:space="0" w:color="auto"/>
            <w:bottom w:val="none" w:sz="0" w:space="0" w:color="auto"/>
            <w:right w:val="none" w:sz="0" w:space="0" w:color="auto"/>
          </w:divBdr>
          <w:divsChild>
            <w:div w:id="1805662824">
              <w:marLeft w:val="0"/>
              <w:marRight w:val="0"/>
              <w:marTop w:val="0"/>
              <w:marBottom w:val="0"/>
              <w:divBdr>
                <w:top w:val="none" w:sz="0" w:space="0" w:color="auto"/>
                <w:left w:val="none" w:sz="0" w:space="0" w:color="auto"/>
                <w:bottom w:val="none" w:sz="0" w:space="0" w:color="auto"/>
                <w:right w:val="none" w:sz="0" w:space="0" w:color="auto"/>
              </w:divBdr>
            </w:div>
          </w:divsChild>
        </w:div>
        <w:div w:id="991181329">
          <w:marLeft w:val="0"/>
          <w:marRight w:val="0"/>
          <w:marTop w:val="0"/>
          <w:marBottom w:val="0"/>
          <w:divBdr>
            <w:top w:val="none" w:sz="0" w:space="0" w:color="auto"/>
            <w:left w:val="none" w:sz="0" w:space="0" w:color="auto"/>
            <w:bottom w:val="none" w:sz="0" w:space="0" w:color="auto"/>
            <w:right w:val="none" w:sz="0" w:space="0" w:color="auto"/>
          </w:divBdr>
          <w:divsChild>
            <w:div w:id="179395952">
              <w:marLeft w:val="0"/>
              <w:marRight w:val="0"/>
              <w:marTop w:val="0"/>
              <w:marBottom w:val="0"/>
              <w:divBdr>
                <w:top w:val="none" w:sz="0" w:space="0" w:color="auto"/>
                <w:left w:val="none" w:sz="0" w:space="0" w:color="auto"/>
                <w:bottom w:val="none" w:sz="0" w:space="0" w:color="auto"/>
                <w:right w:val="none" w:sz="0" w:space="0" w:color="auto"/>
              </w:divBdr>
            </w:div>
          </w:divsChild>
        </w:div>
        <w:div w:id="998845651">
          <w:marLeft w:val="0"/>
          <w:marRight w:val="0"/>
          <w:marTop w:val="0"/>
          <w:marBottom w:val="0"/>
          <w:divBdr>
            <w:top w:val="none" w:sz="0" w:space="0" w:color="auto"/>
            <w:left w:val="none" w:sz="0" w:space="0" w:color="auto"/>
            <w:bottom w:val="none" w:sz="0" w:space="0" w:color="auto"/>
            <w:right w:val="none" w:sz="0" w:space="0" w:color="auto"/>
          </w:divBdr>
          <w:divsChild>
            <w:div w:id="382563491">
              <w:marLeft w:val="0"/>
              <w:marRight w:val="0"/>
              <w:marTop w:val="0"/>
              <w:marBottom w:val="0"/>
              <w:divBdr>
                <w:top w:val="none" w:sz="0" w:space="0" w:color="auto"/>
                <w:left w:val="none" w:sz="0" w:space="0" w:color="auto"/>
                <w:bottom w:val="none" w:sz="0" w:space="0" w:color="auto"/>
                <w:right w:val="none" w:sz="0" w:space="0" w:color="auto"/>
              </w:divBdr>
            </w:div>
          </w:divsChild>
        </w:div>
        <w:div w:id="1001860024">
          <w:marLeft w:val="0"/>
          <w:marRight w:val="0"/>
          <w:marTop w:val="0"/>
          <w:marBottom w:val="0"/>
          <w:divBdr>
            <w:top w:val="none" w:sz="0" w:space="0" w:color="auto"/>
            <w:left w:val="none" w:sz="0" w:space="0" w:color="auto"/>
            <w:bottom w:val="none" w:sz="0" w:space="0" w:color="auto"/>
            <w:right w:val="none" w:sz="0" w:space="0" w:color="auto"/>
          </w:divBdr>
          <w:divsChild>
            <w:div w:id="1957372548">
              <w:marLeft w:val="0"/>
              <w:marRight w:val="0"/>
              <w:marTop w:val="0"/>
              <w:marBottom w:val="0"/>
              <w:divBdr>
                <w:top w:val="none" w:sz="0" w:space="0" w:color="auto"/>
                <w:left w:val="none" w:sz="0" w:space="0" w:color="auto"/>
                <w:bottom w:val="none" w:sz="0" w:space="0" w:color="auto"/>
                <w:right w:val="none" w:sz="0" w:space="0" w:color="auto"/>
              </w:divBdr>
            </w:div>
          </w:divsChild>
        </w:div>
        <w:div w:id="1002707661">
          <w:marLeft w:val="0"/>
          <w:marRight w:val="0"/>
          <w:marTop w:val="0"/>
          <w:marBottom w:val="0"/>
          <w:divBdr>
            <w:top w:val="none" w:sz="0" w:space="0" w:color="auto"/>
            <w:left w:val="none" w:sz="0" w:space="0" w:color="auto"/>
            <w:bottom w:val="none" w:sz="0" w:space="0" w:color="auto"/>
            <w:right w:val="none" w:sz="0" w:space="0" w:color="auto"/>
          </w:divBdr>
          <w:divsChild>
            <w:div w:id="343551588">
              <w:marLeft w:val="0"/>
              <w:marRight w:val="0"/>
              <w:marTop w:val="0"/>
              <w:marBottom w:val="0"/>
              <w:divBdr>
                <w:top w:val="none" w:sz="0" w:space="0" w:color="auto"/>
                <w:left w:val="none" w:sz="0" w:space="0" w:color="auto"/>
                <w:bottom w:val="none" w:sz="0" w:space="0" w:color="auto"/>
                <w:right w:val="none" w:sz="0" w:space="0" w:color="auto"/>
              </w:divBdr>
            </w:div>
          </w:divsChild>
        </w:div>
        <w:div w:id="1042293407">
          <w:marLeft w:val="0"/>
          <w:marRight w:val="0"/>
          <w:marTop w:val="0"/>
          <w:marBottom w:val="0"/>
          <w:divBdr>
            <w:top w:val="none" w:sz="0" w:space="0" w:color="auto"/>
            <w:left w:val="none" w:sz="0" w:space="0" w:color="auto"/>
            <w:bottom w:val="none" w:sz="0" w:space="0" w:color="auto"/>
            <w:right w:val="none" w:sz="0" w:space="0" w:color="auto"/>
          </w:divBdr>
          <w:divsChild>
            <w:div w:id="1906449925">
              <w:marLeft w:val="0"/>
              <w:marRight w:val="0"/>
              <w:marTop w:val="0"/>
              <w:marBottom w:val="0"/>
              <w:divBdr>
                <w:top w:val="none" w:sz="0" w:space="0" w:color="auto"/>
                <w:left w:val="none" w:sz="0" w:space="0" w:color="auto"/>
                <w:bottom w:val="none" w:sz="0" w:space="0" w:color="auto"/>
                <w:right w:val="none" w:sz="0" w:space="0" w:color="auto"/>
              </w:divBdr>
            </w:div>
          </w:divsChild>
        </w:div>
        <w:div w:id="1047417977">
          <w:marLeft w:val="0"/>
          <w:marRight w:val="0"/>
          <w:marTop w:val="0"/>
          <w:marBottom w:val="0"/>
          <w:divBdr>
            <w:top w:val="none" w:sz="0" w:space="0" w:color="auto"/>
            <w:left w:val="none" w:sz="0" w:space="0" w:color="auto"/>
            <w:bottom w:val="none" w:sz="0" w:space="0" w:color="auto"/>
            <w:right w:val="none" w:sz="0" w:space="0" w:color="auto"/>
          </w:divBdr>
          <w:divsChild>
            <w:div w:id="506336502">
              <w:marLeft w:val="0"/>
              <w:marRight w:val="0"/>
              <w:marTop w:val="0"/>
              <w:marBottom w:val="0"/>
              <w:divBdr>
                <w:top w:val="none" w:sz="0" w:space="0" w:color="auto"/>
                <w:left w:val="none" w:sz="0" w:space="0" w:color="auto"/>
                <w:bottom w:val="none" w:sz="0" w:space="0" w:color="auto"/>
                <w:right w:val="none" w:sz="0" w:space="0" w:color="auto"/>
              </w:divBdr>
            </w:div>
          </w:divsChild>
        </w:div>
        <w:div w:id="1054503300">
          <w:marLeft w:val="0"/>
          <w:marRight w:val="0"/>
          <w:marTop w:val="0"/>
          <w:marBottom w:val="0"/>
          <w:divBdr>
            <w:top w:val="none" w:sz="0" w:space="0" w:color="auto"/>
            <w:left w:val="none" w:sz="0" w:space="0" w:color="auto"/>
            <w:bottom w:val="none" w:sz="0" w:space="0" w:color="auto"/>
            <w:right w:val="none" w:sz="0" w:space="0" w:color="auto"/>
          </w:divBdr>
          <w:divsChild>
            <w:div w:id="1856529056">
              <w:marLeft w:val="0"/>
              <w:marRight w:val="0"/>
              <w:marTop w:val="0"/>
              <w:marBottom w:val="0"/>
              <w:divBdr>
                <w:top w:val="none" w:sz="0" w:space="0" w:color="auto"/>
                <w:left w:val="none" w:sz="0" w:space="0" w:color="auto"/>
                <w:bottom w:val="none" w:sz="0" w:space="0" w:color="auto"/>
                <w:right w:val="none" w:sz="0" w:space="0" w:color="auto"/>
              </w:divBdr>
            </w:div>
          </w:divsChild>
        </w:div>
        <w:div w:id="1072846579">
          <w:marLeft w:val="0"/>
          <w:marRight w:val="0"/>
          <w:marTop w:val="0"/>
          <w:marBottom w:val="0"/>
          <w:divBdr>
            <w:top w:val="none" w:sz="0" w:space="0" w:color="auto"/>
            <w:left w:val="none" w:sz="0" w:space="0" w:color="auto"/>
            <w:bottom w:val="none" w:sz="0" w:space="0" w:color="auto"/>
            <w:right w:val="none" w:sz="0" w:space="0" w:color="auto"/>
          </w:divBdr>
          <w:divsChild>
            <w:div w:id="585726696">
              <w:marLeft w:val="0"/>
              <w:marRight w:val="0"/>
              <w:marTop w:val="0"/>
              <w:marBottom w:val="0"/>
              <w:divBdr>
                <w:top w:val="none" w:sz="0" w:space="0" w:color="auto"/>
                <w:left w:val="none" w:sz="0" w:space="0" w:color="auto"/>
                <w:bottom w:val="none" w:sz="0" w:space="0" w:color="auto"/>
                <w:right w:val="none" w:sz="0" w:space="0" w:color="auto"/>
              </w:divBdr>
            </w:div>
          </w:divsChild>
        </w:div>
        <w:div w:id="1074475252">
          <w:marLeft w:val="0"/>
          <w:marRight w:val="0"/>
          <w:marTop w:val="0"/>
          <w:marBottom w:val="0"/>
          <w:divBdr>
            <w:top w:val="none" w:sz="0" w:space="0" w:color="auto"/>
            <w:left w:val="none" w:sz="0" w:space="0" w:color="auto"/>
            <w:bottom w:val="none" w:sz="0" w:space="0" w:color="auto"/>
            <w:right w:val="none" w:sz="0" w:space="0" w:color="auto"/>
          </w:divBdr>
          <w:divsChild>
            <w:div w:id="1500077131">
              <w:marLeft w:val="0"/>
              <w:marRight w:val="0"/>
              <w:marTop w:val="0"/>
              <w:marBottom w:val="0"/>
              <w:divBdr>
                <w:top w:val="none" w:sz="0" w:space="0" w:color="auto"/>
                <w:left w:val="none" w:sz="0" w:space="0" w:color="auto"/>
                <w:bottom w:val="none" w:sz="0" w:space="0" w:color="auto"/>
                <w:right w:val="none" w:sz="0" w:space="0" w:color="auto"/>
              </w:divBdr>
            </w:div>
          </w:divsChild>
        </w:div>
        <w:div w:id="1082413088">
          <w:marLeft w:val="0"/>
          <w:marRight w:val="0"/>
          <w:marTop w:val="0"/>
          <w:marBottom w:val="0"/>
          <w:divBdr>
            <w:top w:val="none" w:sz="0" w:space="0" w:color="auto"/>
            <w:left w:val="none" w:sz="0" w:space="0" w:color="auto"/>
            <w:bottom w:val="none" w:sz="0" w:space="0" w:color="auto"/>
            <w:right w:val="none" w:sz="0" w:space="0" w:color="auto"/>
          </w:divBdr>
          <w:divsChild>
            <w:div w:id="1131561356">
              <w:marLeft w:val="0"/>
              <w:marRight w:val="0"/>
              <w:marTop w:val="0"/>
              <w:marBottom w:val="0"/>
              <w:divBdr>
                <w:top w:val="none" w:sz="0" w:space="0" w:color="auto"/>
                <w:left w:val="none" w:sz="0" w:space="0" w:color="auto"/>
                <w:bottom w:val="none" w:sz="0" w:space="0" w:color="auto"/>
                <w:right w:val="none" w:sz="0" w:space="0" w:color="auto"/>
              </w:divBdr>
            </w:div>
          </w:divsChild>
        </w:div>
        <w:div w:id="1083912427">
          <w:marLeft w:val="0"/>
          <w:marRight w:val="0"/>
          <w:marTop w:val="0"/>
          <w:marBottom w:val="0"/>
          <w:divBdr>
            <w:top w:val="none" w:sz="0" w:space="0" w:color="auto"/>
            <w:left w:val="none" w:sz="0" w:space="0" w:color="auto"/>
            <w:bottom w:val="none" w:sz="0" w:space="0" w:color="auto"/>
            <w:right w:val="none" w:sz="0" w:space="0" w:color="auto"/>
          </w:divBdr>
          <w:divsChild>
            <w:div w:id="1419911278">
              <w:marLeft w:val="0"/>
              <w:marRight w:val="0"/>
              <w:marTop w:val="0"/>
              <w:marBottom w:val="0"/>
              <w:divBdr>
                <w:top w:val="none" w:sz="0" w:space="0" w:color="auto"/>
                <w:left w:val="none" w:sz="0" w:space="0" w:color="auto"/>
                <w:bottom w:val="none" w:sz="0" w:space="0" w:color="auto"/>
                <w:right w:val="none" w:sz="0" w:space="0" w:color="auto"/>
              </w:divBdr>
            </w:div>
          </w:divsChild>
        </w:div>
        <w:div w:id="1085033825">
          <w:marLeft w:val="0"/>
          <w:marRight w:val="0"/>
          <w:marTop w:val="0"/>
          <w:marBottom w:val="0"/>
          <w:divBdr>
            <w:top w:val="none" w:sz="0" w:space="0" w:color="auto"/>
            <w:left w:val="none" w:sz="0" w:space="0" w:color="auto"/>
            <w:bottom w:val="none" w:sz="0" w:space="0" w:color="auto"/>
            <w:right w:val="none" w:sz="0" w:space="0" w:color="auto"/>
          </w:divBdr>
          <w:divsChild>
            <w:div w:id="1736659942">
              <w:marLeft w:val="0"/>
              <w:marRight w:val="0"/>
              <w:marTop w:val="0"/>
              <w:marBottom w:val="0"/>
              <w:divBdr>
                <w:top w:val="none" w:sz="0" w:space="0" w:color="auto"/>
                <w:left w:val="none" w:sz="0" w:space="0" w:color="auto"/>
                <w:bottom w:val="none" w:sz="0" w:space="0" w:color="auto"/>
                <w:right w:val="none" w:sz="0" w:space="0" w:color="auto"/>
              </w:divBdr>
            </w:div>
          </w:divsChild>
        </w:div>
        <w:div w:id="1087458698">
          <w:marLeft w:val="0"/>
          <w:marRight w:val="0"/>
          <w:marTop w:val="0"/>
          <w:marBottom w:val="0"/>
          <w:divBdr>
            <w:top w:val="none" w:sz="0" w:space="0" w:color="auto"/>
            <w:left w:val="none" w:sz="0" w:space="0" w:color="auto"/>
            <w:bottom w:val="none" w:sz="0" w:space="0" w:color="auto"/>
            <w:right w:val="none" w:sz="0" w:space="0" w:color="auto"/>
          </w:divBdr>
          <w:divsChild>
            <w:div w:id="843058912">
              <w:marLeft w:val="0"/>
              <w:marRight w:val="0"/>
              <w:marTop w:val="0"/>
              <w:marBottom w:val="0"/>
              <w:divBdr>
                <w:top w:val="none" w:sz="0" w:space="0" w:color="auto"/>
                <w:left w:val="none" w:sz="0" w:space="0" w:color="auto"/>
                <w:bottom w:val="none" w:sz="0" w:space="0" w:color="auto"/>
                <w:right w:val="none" w:sz="0" w:space="0" w:color="auto"/>
              </w:divBdr>
            </w:div>
          </w:divsChild>
        </w:div>
        <w:div w:id="1103496172">
          <w:marLeft w:val="0"/>
          <w:marRight w:val="0"/>
          <w:marTop w:val="0"/>
          <w:marBottom w:val="0"/>
          <w:divBdr>
            <w:top w:val="none" w:sz="0" w:space="0" w:color="auto"/>
            <w:left w:val="none" w:sz="0" w:space="0" w:color="auto"/>
            <w:bottom w:val="none" w:sz="0" w:space="0" w:color="auto"/>
            <w:right w:val="none" w:sz="0" w:space="0" w:color="auto"/>
          </w:divBdr>
          <w:divsChild>
            <w:div w:id="2124228529">
              <w:marLeft w:val="0"/>
              <w:marRight w:val="0"/>
              <w:marTop w:val="0"/>
              <w:marBottom w:val="0"/>
              <w:divBdr>
                <w:top w:val="none" w:sz="0" w:space="0" w:color="auto"/>
                <w:left w:val="none" w:sz="0" w:space="0" w:color="auto"/>
                <w:bottom w:val="none" w:sz="0" w:space="0" w:color="auto"/>
                <w:right w:val="none" w:sz="0" w:space="0" w:color="auto"/>
              </w:divBdr>
            </w:div>
          </w:divsChild>
        </w:div>
        <w:div w:id="1123425675">
          <w:marLeft w:val="0"/>
          <w:marRight w:val="0"/>
          <w:marTop w:val="0"/>
          <w:marBottom w:val="0"/>
          <w:divBdr>
            <w:top w:val="none" w:sz="0" w:space="0" w:color="auto"/>
            <w:left w:val="none" w:sz="0" w:space="0" w:color="auto"/>
            <w:bottom w:val="none" w:sz="0" w:space="0" w:color="auto"/>
            <w:right w:val="none" w:sz="0" w:space="0" w:color="auto"/>
          </w:divBdr>
          <w:divsChild>
            <w:div w:id="365568981">
              <w:marLeft w:val="0"/>
              <w:marRight w:val="0"/>
              <w:marTop w:val="0"/>
              <w:marBottom w:val="0"/>
              <w:divBdr>
                <w:top w:val="none" w:sz="0" w:space="0" w:color="auto"/>
                <w:left w:val="none" w:sz="0" w:space="0" w:color="auto"/>
                <w:bottom w:val="none" w:sz="0" w:space="0" w:color="auto"/>
                <w:right w:val="none" w:sz="0" w:space="0" w:color="auto"/>
              </w:divBdr>
            </w:div>
          </w:divsChild>
        </w:div>
        <w:div w:id="1127316101">
          <w:marLeft w:val="0"/>
          <w:marRight w:val="0"/>
          <w:marTop w:val="0"/>
          <w:marBottom w:val="0"/>
          <w:divBdr>
            <w:top w:val="none" w:sz="0" w:space="0" w:color="auto"/>
            <w:left w:val="none" w:sz="0" w:space="0" w:color="auto"/>
            <w:bottom w:val="none" w:sz="0" w:space="0" w:color="auto"/>
            <w:right w:val="none" w:sz="0" w:space="0" w:color="auto"/>
          </w:divBdr>
          <w:divsChild>
            <w:div w:id="809128283">
              <w:marLeft w:val="0"/>
              <w:marRight w:val="0"/>
              <w:marTop w:val="0"/>
              <w:marBottom w:val="0"/>
              <w:divBdr>
                <w:top w:val="none" w:sz="0" w:space="0" w:color="auto"/>
                <w:left w:val="none" w:sz="0" w:space="0" w:color="auto"/>
                <w:bottom w:val="none" w:sz="0" w:space="0" w:color="auto"/>
                <w:right w:val="none" w:sz="0" w:space="0" w:color="auto"/>
              </w:divBdr>
            </w:div>
          </w:divsChild>
        </w:div>
        <w:div w:id="1135677347">
          <w:marLeft w:val="0"/>
          <w:marRight w:val="0"/>
          <w:marTop w:val="0"/>
          <w:marBottom w:val="0"/>
          <w:divBdr>
            <w:top w:val="none" w:sz="0" w:space="0" w:color="auto"/>
            <w:left w:val="none" w:sz="0" w:space="0" w:color="auto"/>
            <w:bottom w:val="none" w:sz="0" w:space="0" w:color="auto"/>
            <w:right w:val="none" w:sz="0" w:space="0" w:color="auto"/>
          </w:divBdr>
          <w:divsChild>
            <w:div w:id="1162312871">
              <w:marLeft w:val="0"/>
              <w:marRight w:val="0"/>
              <w:marTop w:val="0"/>
              <w:marBottom w:val="0"/>
              <w:divBdr>
                <w:top w:val="none" w:sz="0" w:space="0" w:color="auto"/>
                <w:left w:val="none" w:sz="0" w:space="0" w:color="auto"/>
                <w:bottom w:val="none" w:sz="0" w:space="0" w:color="auto"/>
                <w:right w:val="none" w:sz="0" w:space="0" w:color="auto"/>
              </w:divBdr>
            </w:div>
          </w:divsChild>
        </w:div>
        <w:div w:id="1144196841">
          <w:marLeft w:val="0"/>
          <w:marRight w:val="0"/>
          <w:marTop w:val="0"/>
          <w:marBottom w:val="0"/>
          <w:divBdr>
            <w:top w:val="none" w:sz="0" w:space="0" w:color="auto"/>
            <w:left w:val="none" w:sz="0" w:space="0" w:color="auto"/>
            <w:bottom w:val="none" w:sz="0" w:space="0" w:color="auto"/>
            <w:right w:val="none" w:sz="0" w:space="0" w:color="auto"/>
          </w:divBdr>
          <w:divsChild>
            <w:div w:id="40516517">
              <w:marLeft w:val="0"/>
              <w:marRight w:val="0"/>
              <w:marTop w:val="0"/>
              <w:marBottom w:val="0"/>
              <w:divBdr>
                <w:top w:val="none" w:sz="0" w:space="0" w:color="auto"/>
                <w:left w:val="none" w:sz="0" w:space="0" w:color="auto"/>
                <w:bottom w:val="none" w:sz="0" w:space="0" w:color="auto"/>
                <w:right w:val="none" w:sz="0" w:space="0" w:color="auto"/>
              </w:divBdr>
            </w:div>
          </w:divsChild>
        </w:div>
        <w:div w:id="1150832460">
          <w:marLeft w:val="0"/>
          <w:marRight w:val="0"/>
          <w:marTop w:val="0"/>
          <w:marBottom w:val="0"/>
          <w:divBdr>
            <w:top w:val="none" w:sz="0" w:space="0" w:color="auto"/>
            <w:left w:val="none" w:sz="0" w:space="0" w:color="auto"/>
            <w:bottom w:val="none" w:sz="0" w:space="0" w:color="auto"/>
            <w:right w:val="none" w:sz="0" w:space="0" w:color="auto"/>
          </w:divBdr>
          <w:divsChild>
            <w:div w:id="1550414958">
              <w:marLeft w:val="0"/>
              <w:marRight w:val="0"/>
              <w:marTop w:val="0"/>
              <w:marBottom w:val="0"/>
              <w:divBdr>
                <w:top w:val="none" w:sz="0" w:space="0" w:color="auto"/>
                <w:left w:val="none" w:sz="0" w:space="0" w:color="auto"/>
                <w:bottom w:val="none" w:sz="0" w:space="0" w:color="auto"/>
                <w:right w:val="none" w:sz="0" w:space="0" w:color="auto"/>
              </w:divBdr>
            </w:div>
          </w:divsChild>
        </w:div>
        <w:div w:id="1151824632">
          <w:marLeft w:val="0"/>
          <w:marRight w:val="0"/>
          <w:marTop w:val="0"/>
          <w:marBottom w:val="0"/>
          <w:divBdr>
            <w:top w:val="none" w:sz="0" w:space="0" w:color="auto"/>
            <w:left w:val="none" w:sz="0" w:space="0" w:color="auto"/>
            <w:bottom w:val="none" w:sz="0" w:space="0" w:color="auto"/>
            <w:right w:val="none" w:sz="0" w:space="0" w:color="auto"/>
          </w:divBdr>
          <w:divsChild>
            <w:div w:id="870799047">
              <w:marLeft w:val="0"/>
              <w:marRight w:val="0"/>
              <w:marTop w:val="0"/>
              <w:marBottom w:val="0"/>
              <w:divBdr>
                <w:top w:val="none" w:sz="0" w:space="0" w:color="auto"/>
                <w:left w:val="none" w:sz="0" w:space="0" w:color="auto"/>
                <w:bottom w:val="none" w:sz="0" w:space="0" w:color="auto"/>
                <w:right w:val="none" w:sz="0" w:space="0" w:color="auto"/>
              </w:divBdr>
            </w:div>
          </w:divsChild>
        </w:div>
        <w:div w:id="1166169062">
          <w:marLeft w:val="0"/>
          <w:marRight w:val="0"/>
          <w:marTop w:val="0"/>
          <w:marBottom w:val="0"/>
          <w:divBdr>
            <w:top w:val="none" w:sz="0" w:space="0" w:color="auto"/>
            <w:left w:val="none" w:sz="0" w:space="0" w:color="auto"/>
            <w:bottom w:val="none" w:sz="0" w:space="0" w:color="auto"/>
            <w:right w:val="none" w:sz="0" w:space="0" w:color="auto"/>
          </w:divBdr>
          <w:divsChild>
            <w:div w:id="303438611">
              <w:marLeft w:val="0"/>
              <w:marRight w:val="0"/>
              <w:marTop w:val="0"/>
              <w:marBottom w:val="0"/>
              <w:divBdr>
                <w:top w:val="none" w:sz="0" w:space="0" w:color="auto"/>
                <w:left w:val="none" w:sz="0" w:space="0" w:color="auto"/>
                <w:bottom w:val="none" w:sz="0" w:space="0" w:color="auto"/>
                <w:right w:val="none" w:sz="0" w:space="0" w:color="auto"/>
              </w:divBdr>
            </w:div>
          </w:divsChild>
        </w:div>
        <w:div w:id="1185091830">
          <w:marLeft w:val="0"/>
          <w:marRight w:val="0"/>
          <w:marTop w:val="0"/>
          <w:marBottom w:val="0"/>
          <w:divBdr>
            <w:top w:val="none" w:sz="0" w:space="0" w:color="auto"/>
            <w:left w:val="none" w:sz="0" w:space="0" w:color="auto"/>
            <w:bottom w:val="none" w:sz="0" w:space="0" w:color="auto"/>
            <w:right w:val="none" w:sz="0" w:space="0" w:color="auto"/>
          </w:divBdr>
          <w:divsChild>
            <w:div w:id="671418584">
              <w:marLeft w:val="0"/>
              <w:marRight w:val="0"/>
              <w:marTop w:val="0"/>
              <w:marBottom w:val="0"/>
              <w:divBdr>
                <w:top w:val="none" w:sz="0" w:space="0" w:color="auto"/>
                <w:left w:val="none" w:sz="0" w:space="0" w:color="auto"/>
                <w:bottom w:val="none" w:sz="0" w:space="0" w:color="auto"/>
                <w:right w:val="none" w:sz="0" w:space="0" w:color="auto"/>
              </w:divBdr>
            </w:div>
          </w:divsChild>
        </w:div>
        <w:div w:id="1189416391">
          <w:marLeft w:val="0"/>
          <w:marRight w:val="0"/>
          <w:marTop w:val="0"/>
          <w:marBottom w:val="0"/>
          <w:divBdr>
            <w:top w:val="none" w:sz="0" w:space="0" w:color="auto"/>
            <w:left w:val="none" w:sz="0" w:space="0" w:color="auto"/>
            <w:bottom w:val="none" w:sz="0" w:space="0" w:color="auto"/>
            <w:right w:val="none" w:sz="0" w:space="0" w:color="auto"/>
          </w:divBdr>
          <w:divsChild>
            <w:div w:id="947354117">
              <w:marLeft w:val="0"/>
              <w:marRight w:val="0"/>
              <w:marTop w:val="0"/>
              <w:marBottom w:val="0"/>
              <w:divBdr>
                <w:top w:val="none" w:sz="0" w:space="0" w:color="auto"/>
                <w:left w:val="none" w:sz="0" w:space="0" w:color="auto"/>
                <w:bottom w:val="none" w:sz="0" w:space="0" w:color="auto"/>
                <w:right w:val="none" w:sz="0" w:space="0" w:color="auto"/>
              </w:divBdr>
            </w:div>
          </w:divsChild>
        </w:div>
        <w:div w:id="1198158688">
          <w:marLeft w:val="0"/>
          <w:marRight w:val="0"/>
          <w:marTop w:val="0"/>
          <w:marBottom w:val="0"/>
          <w:divBdr>
            <w:top w:val="none" w:sz="0" w:space="0" w:color="auto"/>
            <w:left w:val="none" w:sz="0" w:space="0" w:color="auto"/>
            <w:bottom w:val="none" w:sz="0" w:space="0" w:color="auto"/>
            <w:right w:val="none" w:sz="0" w:space="0" w:color="auto"/>
          </w:divBdr>
          <w:divsChild>
            <w:div w:id="773476333">
              <w:marLeft w:val="0"/>
              <w:marRight w:val="0"/>
              <w:marTop w:val="0"/>
              <w:marBottom w:val="0"/>
              <w:divBdr>
                <w:top w:val="none" w:sz="0" w:space="0" w:color="auto"/>
                <w:left w:val="none" w:sz="0" w:space="0" w:color="auto"/>
                <w:bottom w:val="none" w:sz="0" w:space="0" w:color="auto"/>
                <w:right w:val="none" w:sz="0" w:space="0" w:color="auto"/>
              </w:divBdr>
            </w:div>
          </w:divsChild>
        </w:div>
        <w:div w:id="1222524121">
          <w:marLeft w:val="0"/>
          <w:marRight w:val="0"/>
          <w:marTop w:val="0"/>
          <w:marBottom w:val="0"/>
          <w:divBdr>
            <w:top w:val="none" w:sz="0" w:space="0" w:color="auto"/>
            <w:left w:val="none" w:sz="0" w:space="0" w:color="auto"/>
            <w:bottom w:val="none" w:sz="0" w:space="0" w:color="auto"/>
            <w:right w:val="none" w:sz="0" w:space="0" w:color="auto"/>
          </w:divBdr>
          <w:divsChild>
            <w:div w:id="249654875">
              <w:marLeft w:val="0"/>
              <w:marRight w:val="0"/>
              <w:marTop w:val="0"/>
              <w:marBottom w:val="0"/>
              <w:divBdr>
                <w:top w:val="none" w:sz="0" w:space="0" w:color="auto"/>
                <w:left w:val="none" w:sz="0" w:space="0" w:color="auto"/>
                <w:bottom w:val="none" w:sz="0" w:space="0" w:color="auto"/>
                <w:right w:val="none" w:sz="0" w:space="0" w:color="auto"/>
              </w:divBdr>
            </w:div>
          </w:divsChild>
        </w:div>
        <w:div w:id="1225877292">
          <w:marLeft w:val="0"/>
          <w:marRight w:val="0"/>
          <w:marTop w:val="0"/>
          <w:marBottom w:val="0"/>
          <w:divBdr>
            <w:top w:val="none" w:sz="0" w:space="0" w:color="auto"/>
            <w:left w:val="none" w:sz="0" w:space="0" w:color="auto"/>
            <w:bottom w:val="none" w:sz="0" w:space="0" w:color="auto"/>
            <w:right w:val="none" w:sz="0" w:space="0" w:color="auto"/>
          </w:divBdr>
          <w:divsChild>
            <w:div w:id="1312127934">
              <w:marLeft w:val="0"/>
              <w:marRight w:val="0"/>
              <w:marTop w:val="0"/>
              <w:marBottom w:val="0"/>
              <w:divBdr>
                <w:top w:val="none" w:sz="0" w:space="0" w:color="auto"/>
                <w:left w:val="none" w:sz="0" w:space="0" w:color="auto"/>
                <w:bottom w:val="none" w:sz="0" w:space="0" w:color="auto"/>
                <w:right w:val="none" w:sz="0" w:space="0" w:color="auto"/>
              </w:divBdr>
            </w:div>
          </w:divsChild>
        </w:div>
        <w:div w:id="1235703635">
          <w:marLeft w:val="0"/>
          <w:marRight w:val="0"/>
          <w:marTop w:val="0"/>
          <w:marBottom w:val="0"/>
          <w:divBdr>
            <w:top w:val="none" w:sz="0" w:space="0" w:color="auto"/>
            <w:left w:val="none" w:sz="0" w:space="0" w:color="auto"/>
            <w:bottom w:val="none" w:sz="0" w:space="0" w:color="auto"/>
            <w:right w:val="none" w:sz="0" w:space="0" w:color="auto"/>
          </w:divBdr>
          <w:divsChild>
            <w:div w:id="1651444368">
              <w:marLeft w:val="0"/>
              <w:marRight w:val="0"/>
              <w:marTop w:val="0"/>
              <w:marBottom w:val="0"/>
              <w:divBdr>
                <w:top w:val="none" w:sz="0" w:space="0" w:color="auto"/>
                <w:left w:val="none" w:sz="0" w:space="0" w:color="auto"/>
                <w:bottom w:val="none" w:sz="0" w:space="0" w:color="auto"/>
                <w:right w:val="none" w:sz="0" w:space="0" w:color="auto"/>
              </w:divBdr>
            </w:div>
          </w:divsChild>
        </w:div>
        <w:div w:id="1235970094">
          <w:marLeft w:val="0"/>
          <w:marRight w:val="0"/>
          <w:marTop w:val="0"/>
          <w:marBottom w:val="0"/>
          <w:divBdr>
            <w:top w:val="none" w:sz="0" w:space="0" w:color="auto"/>
            <w:left w:val="none" w:sz="0" w:space="0" w:color="auto"/>
            <w:bottom w:val="none" w:sz="0" w:space="0" w:color="auto"/>
            <w:right w:val="none" w:sz="0" w:space="0" w:color="auto"/>
          </w:divBdr>
          <w:divsChild>
            <w:div w:id="1275789934">
              <w:marLeft w:val="0"/>
              <w:marRight w:val="0"/>
              <w:marTop w:val="0"/>
              <w:marBottom w:val="0"/>
              <w:divBdr>
                <w:top w:val="none" w:sz="0" w:space="0" w:color="auto"/>
                <w:left w:val="none" w:sz="0" w:space="0" w:color="auto"/>
                <w:bottom w:val="none" w:sz="0" w:space="0" w:color="auto"/>
                <w:right w:val="none" w:sz="0" w:space="0" w:color="auto"/>
              </w:divBdr>
            </w:div>
          </w:divsChild>
        </w:div>
        <w:div w:id="1252008461">
          <w:marLeft w:val="0"/>
          <w:marRight w:val="0"/>
          <w:marTop w:val="0"/>
          <w:marBottom w:val="0"/>
          <w:divBdr>
            <w:top w:val="none" w:sz="0" w:space="0" w:color="auto"/>
            <w:left w:val="none" w:sz="0" w:space="0" w:color="auto"/>
            <w:bottom w:val="none" w:sz="0" w:space="0" w:color="auto"/>
            <w:right w:val="none" w:sz="0" w:space="0" w:color="auto"/>
          </w:divBdr>
          <w:divsChild>
            <w:div w:id="1460025376">
              <w:marLeft w:val="0"/>
              <w:marRight w:val="0"/>
              <w:marTop w:val="0"/>
              <w:marBottom w:val="0"/>
              <w:divBdr>
                <w:top w:val="none" w:sz="0" w:space="0" w:color="auto"/>
                <w:left w:val="none" w:sz="0" w:space="0" w:color="auto"/>
                <w:bottom w:val="none" w:sz="0" w:space="0" w:color="auto"/>
                <w:right w:val="none" w:sz="0" w:space="0" w:color="auto"/>
              </w:divBdr>
            </w:div>
          </w:divsChild>
        </w:div>
        <w:div w:id="1256789657">
          <w:marLeft w:val="0"/>
          <w:marRight w:val="0"/>
          <w:marTop w:val="0"/>
          <w:marBottom w:val="0"/>
          <w:divBdr>
            <w:top w:val="none" w:sz="0" w:space="0" w:color="auto"/>
            <w:left w:val="none" w:sz="0" w:space="0" w:color="auto"/>
            <w:bottom w:val="none" w:sz="0" w:space="0" w:color="auto"/>
            <w:right w:val="none" w:sz="0" w:space="0" w:color="auto"/>
          </w:divBdr>
          <w:divsChild>
            <w:div w:id="1540314020">
              <w:marLeft w:val="0"/>
              <w:marRight w:val="0"/>
              <w:marTop w:val="0"/>
              <w:marBottom w:val="0"/>
              <w:divBdr>
                <w:top w:val="none" w:sz="0" w:space="0" w:color="auto"/>
                <w:left w:val="none" w:sz="0" w:space="0" w:color="auto"/>
                <w:bottom w:val="none" w:sz="0" w:space="0" w:color="auto"/>
                <w:right w:val="none" w:sz="0" w:space="0" w:color="auto"/>
              </w:divBdr>
            </w:div>
          </w:divsChild>
        </w:div>
        <w:div w:id="1260917041">
          <w:marLeft w:val="0"/>
          <w:marRight w:val="0"/>
          <w:marTop w:val="0"/>
          <w:marBottom w:val="0"/>
          <w:divBdr>
            <w:top w:val="none" w:sz="0" w:space="0" w:color="auto"/>
            <w:left w:val="none" w:sz="0" w:space="0" w:color="auto"/>
            <w:bottom w:val="none" w:sz="0" w:space="0" w:color="auto"/>
            <w:right w:val="none" w:sz="0" w:space="0" w:color="auto"/>
          </w:divBdr>
          <w:divsChild>
            <w:div w:id="704982551">
              <w:marLeft w:val="0"/>
              <w:marRight w:val="0"/>
              <w:marTop w:val="0"/>
              <w:marBottom w:val="0"/>
              <w:divBdr>
                <w:top w:val="none" w:sz="0" w:space="0" w:color="auto"/>
                <w:left w:val="none" w:sz="0" w:space="0" w:color="auto"/>
                <w:bottom w:val="none" w:sz="0" w:space="0" w:color="auto"/>
                <w:right w:val="none" w:sz="0" w:space="0" w:color="auto"/>
              </w:divBdr>
            </w:div>
          </w:divsChild>
        </w:div>
        <w:div w:id="1270890329">
          <w:marLeft w:val="0"/>
          <w:marRight w:val="0"/>
          <w:marTop w:val="0"/>
          <w:marBottom w:val="0"/>
          <w:divBdr>
            <w:top w:val="none" w:sz="0" w:space="0" w:color="auto"/>
            <w:left w:val="none" w:sz="0" w:space="0" w:color="auto"/>
            <w:bottom w:val="none" w:sz="0" w:space="0" w:color="auto"/>
            <w:right w:val="none" w:sz="0" w:space="0" w:color="auto"/>
          </w:divBdr>
          <w:divsChild>
            <w:div w:id="300353912">
              <w:marLeft w:val="0"/>
              <w:marRight w:val="0"/>
              <w:marTop w:val="0"/>
              <w:marBottom w:val="0"/>
              <w:divBdr>
                <w:top w:val="none" w:sz="0" w:space="0" w:color="auto"/>
                <w:left w:val="none" w:sz="0" w:space="0" w:color="auto"/>
                <w:bottom w:val="none" w:sz="0" w:space="0" w:color="auto"/>
                <w:right w:val="none" w:sz="0" w:space="0" w:color="auto"/>
              </w:divBdr>
            </w:div>
          </w:divsChild>
        </w:div>
        <w:div w:id="1278413580">
          <w:marLeft w:val="0"/>
          <w:marRight w:val="0"/>
          <w:marTop w:val="0"/>
          <w:marBottom w:val="0"/>
          <w:divBdr>
            <w:top w:val="none" w:sz="0" w:space="0" w:color="auto"/>
            <w:left w:val="none" w:sz="0" w:space="0" w:color="auto"/>
            <w:bottom w:val="none" w:sz="0" w:space="0" w:color="auto"/>
            <w:right w:val="none" w:sz="0" w:space="0" w:color="auto"/>
          </w:divBdr>
          <w:divsChild>
            <w:div w:id="949774529">
              <w:marLeft w:val="0"/>
              <w:marRight w:val="0"/>
              <w:marTop w:val="0"/>
              <w:marBottom w:val="0"/>
              <w:divBdr>
                <w:top w:val="none" w:sz="0" w:space="0" w:color="auto"/>
                <w:left w:val="none" w:sz="0" w:space="0" w:color="auto"/>
                <w:bottom w:val="none" w:sz="0" w:space="0" w:color="auto"/>
                <w:right w:val="none" w:sz="0" w:space="0" w:color="auto"/>
              </w:divBdr>
            </w:div>
          </w:divsChild>
        </w:div>
        <w:div w:id="1288974433">
          <w:marLeft w:val="0"/>
          <w:marRight w:val="0"/>
          <w:marTop w:val="0"/>
          <w:marBottom w:val="0"/>
          <w:divBdr>
            <w:top w:val="none" w:sz="0" w:space="0" w:color="auto"/>
            <w:left w:val="none" w:sz="0" w:space="0" w:color="auto"/>
            <w:bottom w:val="none" w:sz="0" w:space="0" w:color="auto"/>
            <w:right w:val="none" w:sz="0" w:space="0" w:color="auto"/>
          </w:divBdr>
          <w:divsChild>
            <w:div w:id="40133761">
              <w:marLeft w:val="0"/>
              <w:marRight w:val="0"/>
              <w:marTop w:val="0"/>
              <w:marBottom w:val="0"/>
              <w:divBdr>
                <w:top w:val="none" w:sz="0" w:space="0" w:color="auto"/>
                <w:left w:val="none" w:sz="0" w:space="0" w:color="auto"/>
                <w:bottom w:val="none" w:sz="0" w:space="0" w:color="auto"/>
                <w:right w:val="none" w:sz="0" w:space="0" w:color="auto"/>
              </w:divBdr>
            </w:div>
          </w:divsChild>
        </w:div>
        <w:div w:id="1290043194">
          <w:marLeft w:val="0"/>
          <w:marRight w:val="0"/>
          <w:marTop w:val="0"/>
          <w:marBottom w:val="0"/>
          <w:divBdr>
            <w:top w:val="none" w:sz="0" w:space="0" w:color="auto"/>
            <w:left w:val="none" w:sz="0" w:space="0" w:color="auto"/>
            <w:bottom w:val="none" w:sz="0" w:space="0" w:color="auto"/>
            <w:right w:val="none" w:sz="0" w:space="0" w:color="auto"/>
          </w:divBdr>
          <w:divsChild>
            <w:div w:id="1343124567">
              <w:marLeft w:val="0"/>
              <w:marRight w:val="0"/>
              <w:marTop w:val="0"/>
              <w:marBottom w:val="0"/>
              <w:divBdr>
                <w:top w:val="none" w:sz="0" w:space="0" w:color="auto"/>
                <w:left w:val="none" w:sz="0" w:space="0" w:color="auto"/>
                <w:bottom w:val="none" w:sz="0" w:space="0" w:color="auto"/>
                <w:right w:val="none" w:sz="0" w:space="0" w:color="auto"/>
              </w:divBdr>
            </w:div>
          </w:divsChild>
        </w:div>
        <w:div w:id="1296259449">
          <w:marLeft w:val="0"/>
          <w:marRight w:val="0"/>
          <w:marTop w:val="0"/>
          <w:marBottom w:val="0"/>
          <w:divBdr>
            <w:top w:val="none" w:sz="0" w:space="0" w:color="auto"/>
            <w:left w:val="none" w:sz="0" w:space="0" w:color="auto"/>
            <w:bottom w:val="none" w:sz="0" w:space="0" w:color="auto"/>
            <w:right w:val="none" w:sz="0" w:space="0" w:color="auto"/>
          </w:divBdr>
          <w:divsChild>
            <w:div w:id="1374035021">
              <w:marLeft w:val="0"/>
              <w:marRight w:val="0"/>
              <w:marTop w:val="0"/>
              <w:marBottom w:val="0"/>
              <w:divBdr>
                <w:top w:val="none" w:sz="0" w:space="0" w:color="auto"/>
                <w:left w:val="none" w:sz="0" w:space="0" w:color="auto"/>
                <w:bottom w:val="none" w:sz="0" w:space="0" w:color="auto"/>
                <w:right w:val="none" w:sz="0" w:space="0" w:color="auto"/>
              </w:divBdr>
            </w:div>
          </w:divsChild>
        </w:div>
        <w:div w:id="1333488046">
          <w:marLeft w:val="0"/>
          <w:marRight w:val="0"/>
          <w:marTop w:val="0"/>
          <w:marBottom w:val="0"/>
          <w:divBdr>
            <w:top w:val="none" w:sz="0" w:space="0" w:color="auto"/>
            <w:left w:val="none" w:sz="0" w:space="0" w:color="auto"/>
            <w:bottom w:val="none" w:sz="0" w:space="0" w:color="auto"/>
            <w:right w:val="none" w:sz="0" w:space="0" w:color="auto"/>
          </w:divBdr>
          <w:divsChild>
            <w:div w:id="375741078">
              <w:marLeft w:val="0"/>
              <w:marRight w:val="0"/>
              <w:marTop w:val="0"/>
              <w:marBottom w:val="0"/>
              <w:divBdr>
                <w:top w:val="none" w:sz="0" w:space="0" w:color="auto"/>
                <w:left w:val="none" w:sz="0" w:space="0" w:color="auto"/>
                <w:bottom w:val="none" w:sz="0" w:space="0" w:color="auto"/>
                <w:right w:val="none" w:sz="0" w:space="0" w:color="auto"/>
              </w:divBdr>
            </w:div>
          </w:divsChild>
        </w:div>
        <w:div w:id="1339192791">
          <w:marLeft w:val="0"/>
          <w:marRight w:val="0"/>
          <w:marTop w:val="0"/>
          <w:marBottom w:val="0"/>
          <w:divBdr>
            <w:top w:val="none" w:sz="0" w:space="0" w:color="auto"/>
            <w:left w:val="none" w:sz="0" w:space="0" w:color="auto"/>
            <w:bottom w:val="none" w:sz="0" w:space="0" w:color="auto"/>
            <w:right w:val="none" w:sz="0" w:space="0" w:color="auto"/>
          </w:divBdr>
          <w:divsChild>
            <w:div w:id="1607351726">
              <w:marLeft w:val="0"/>
              <w:marRight w:val="0"/>
              <w:marTop w:val="0"/>
              <w:marBottom w:val="0"/>
              <w:divBdr>
                <w:top w:val="none" w:sz="0" w:space="0" w:color="auto"/>
                <w:left w:val="none" w:sz="0" w:space="0" w:color="auto"/>
                <w:bottom w:val="none" w:sz="0" w:space="0" w:color="auto"/>
                <w:right w:val="none" w:sz="0" w:space="0" w:color="auto"/>
              </w:divBdr>
            </w:div>
          </w:divsChild>
        </w:div>
        <w:div w:id="1360810774">
          <w:marLeft w:val="0"/>
          <w:marRight w:val="0"/>
          <w:marTop w:val="0"/>
          <w:marBottom w:val="0"/>
          <w:divBdr>
            <w:top w:val="none" w:sz="0" w:space="0" w:color="auto"/>
            <w:left w:val="none" w:sz="0" w:space="0" w:color="auto"/>
            <w:bottom w:val="none" w:sz="0" w:space="0" w:color="auto"/>
            <w:right w:val="none" w:sz="0" w:space="0" w:color="auto"/>
          </w:divBdr>
          <w:divsChild>
            <w:div w:id="2115709430">
              <w:marLeft w:val="0"/>
              <w:marRight w:val="0"/>
              <w:marTop w:val="0"/>
              <w:marBottom w:val="0"/>
              <w:divBdr>
                <w:top w:val="none" w:sz="0" w:space="0" w:color="auto"/>
                <w:left w:val="none" w:sz="0" w:space="0" w:color="auto"/>
                <w:bottom w:val="none" w:sz="0" w:space="0" w:color="auto"/>
                <w:right w:val="none" w:sz="0" w:space="0" w:color="auto"/>
              </w:divBdr>
            </w:div>
          </w:divsChild>
        </w:div>
        <w:div w:id="1365445794">
          <w:marLeft w:val="0"/>
          <w:marRight w:val="0"/>
          <w:marTop w:val="0"/>
          <w:marBottom w:val="0"/>
          <w:divBdr>
            <w:top w:val="none" w:sz="0" w:space="0" w:color="auto"/>
            <w:left w:val="none" w:sz="0" w:space="0" w:color="auto"/>
            <w:bottom w:val="none" w:sz="0" w:space="0" w:color="auto"/>
            <w:right w:val="none" w:sz="0" w:space="0" w:color="auto"/>
          </w:divBdr>
          <w:divsChild>
            <w:div w:id="478619226">
              <w:marLeft w:val="0"/>
              <w:marRight w:val="0"/>
              <w:marTop w:val="0"/>
              <w:marBottom w:val="0"/>
              <w:divBdr>
                <w:top w:val="none" w:sz="0" w:space="0" w:color="auto"/>
                <w:left w:val="none" w:sz="0" w:space="0" w:color="auto"/>
                <w:bottom w:val="none" w:sz="0" w:space="0" w:color="auto"/>
                <w:right w:val="none" w:sz="0" w:space="0" w:color="auto"/>
              </w:divBdr>
            </w:div>
          </w:divsChild>
        </w:div>
        <w:div w:id="1368750123">
          <w:marLeft w:val="0"/>
          <w:marRight w:val="0"/>
          <w:marTop w:val="0"/>
          <w:marBottom w:val="0"/>
          <w:divBdr>
            <w:top w:val="none" w:sz="0" w:space="0" w:color="auto"/>
            <w:left w:val="none" w:sz="0" w:space="0" w:color="auto"/>
            <w:bottom w:val="none" w:sz="0" w:space="0" w:color="auto"/>
            <w:right w:val="none" w:sz="0" w:space="0" w:color="auto"/>
          </w:divBdr>
          <w:divsChild>
            <w:div w:id="1428967055">
              <w:marLeft w:val="0"/>
              <w:marRight w:val="0"/>
              <w:marTop w:val="0"/>
              <w:marBottom w:val="0"/>
              <w:divBdr>
                <w:top w:val="none" w:sz="0" w:space="0" w:color="auto"/>
                <w:left w:val="none" w:sz="0" w:space="0" w:color="auto"/>
                <w:bottom w:val="none" w:sz="0" w:space="0" w:color="auto"/>
                <w:right w:val="none" w:sz="0" w:space="0" w:color="auto"/>
              </w:divBdr>
            </w:div>
          </w:divsChild>
        </w:div>
        <w:div w:id="1377313859">
          <w:marLeft w:val="0"/>
          <w:marRight w:val="0"/>
          <w:marTop w:val="0"/>
          <w:marBottom w:val="0"/>
          <w:divBdr>
            <w:top w:val="none" w:sz="0" w:space="0" w:color="auto"/>
            <w:left w:val="none" w:sz="0" w:space="0" w:color="auto"/>
            <w:bottom w:val="none" w:sz="0" w:space="0" w:color="auto"/>
            <w:right w:val="none" w:sz="0" w:space="0" w:color="auto"/>
          </w:divBdr>
          <w:divsChild>
            <w:div w:id="528252332">
              <w:marLeft w:val="0"/>
              <w:marRight w:val="0"/>
              <w:marTop w:val="0"/>
              <w:marBottom w:val="0"/>
              <w:divBdr>
                <w:top w:val="none" w:sz="0" w:space="0" w:color="auto"/>
                <w:left w:val="none" w:sz="0" w:space="0" w:color="auto"/>
                <w:bottom w:val="none" w:sz="0" w:space="0" w:color="auto"/>
                <w:right w:val="none" w:sz="0" w:space="0" w:color="auto"/>
              </w:divBdr>
            </w:div>
          </w:divsChild>
        </w:div>
        <w:div w:id="1382055082">
          <w:marLeft w:val="0"/>
          <w:marRight w:val="0"/>
          <w:marTop w:val="0"/>
          <w:marBottom w:val="0"/>
          <w:divBdr>
            <w:top w:val="none" w:sz="0" w:space="0" w:color="auto"/>
            <w:left w:val="none" w:sz="0" w:space="0" w:color="auto"/>
            <w:bottom w:val="none" w:sz="0" w:space="0" w:color="auto"/>
            <w:right w:val="none" w:sz="0" w:space="0" w:color="auto"/>
          </w:divBdr>
          <w:divsChild>
            <w:div w:id="1533767820">
              <w:marLeft w:val="0"/>
              <w:marRight w:val="0"/>
              <w:marTop w:val="0"/>
              <w:marBottom w:val="0"/>
              <w:divBdr>
                <w:top w:val="none" w:sz="0" w:space="0" w:color="auto"/>
                <w:left w:val="none" w:sz="0" w:space="0" w:color="auto"/>
                <w:bottom w:val="none" w:sz="0" w:space="0" w:color="auto"/>
                <w:right w:val="none" w:sz="0" w:space="0" w:color="auto"/>
              </w:divBdr>
            </w:div>
          </w:divsChild>
        </w:div>
        <w:div w:id="1392120318">
          <w:marLeft w:val="0"/>
          <w:marRight w:val="0"/>
          <w:marTop w:val="0"/>
          <w:marBottom w:val="0"/>
          <w:divBdr>
            <w:top w:val="none" w:sz="0" w:space="0" w:color="auto"/>
            <w:left w:val="none" w:sz="0" w:space="0" w:color="auto"/>
            <w:bottom w:val="none" w:sz="0" w:space="0" w:color="auto"/>
            <w:right w:val="none" w:sz="0" w:space="0" w:color="auto"/>
          </w:divBdr>
          <w:divsChild>
            <w:div w:id="1313949122">
              <w:marLeft w:val="0"/>
              <w:marRight w:val="0"/>
              <w:marTop w:val="0"/>
              <w:marBottom w:val="0"/>
              <w:divBdr>
                <w:top w:val="none" w:sz="0" w:space="0" w:color="auto"/>
                <w:left w:val="none" w:sz="0" w:space="0" w:color="auto"/>
                <w:bottom w:val="none" w:sz="0" w:space="0" w:color="auto"/>
                <w:right w:val="none" w:sz="0" w:space="0" w:color="auto"/>
              </w:divBdr>
            </w:div>
          </w:divsChild>
        </w:div>
        <w:div w:id="1426072870">
          <w:marLeft w:val="0"/>
          <w:marRight w:val="0"/>
          <w:marTop w:val="0"/>
          <w:marBottom w:val="0"/>
          <w:divBdr>
            <w:top w:val="none" w:sz="0" w:space="0" w:color="auto"/>
            <w:left w:val="none" w:sz="0" w:space="0" w:color="auto"/>
            <w:bottom w:val="none" w:sz="0" w:space="0" w:color="auto"/>
            <w:right w:val="none" w:sz="0" w:space="0" w:color="auto"/>
          </w:divBdr>
          <w:divsChild>
            <w:div w:id="1575772983">
              <w:marLeft w:val="0"/>
              <w:marRight w:val="0"/>
              <w:marTop w:val="0"/>
              <w:marBottom w:val="0"/>
              <w:divBdr>
                <w:top w:val="none" w:sz="0" w:space="0" w:color="auto"/>
                <w:left w:val="none" w:sz="0" w:space="0" w:color="auto"/>
                <w:bottom w:val="none" w:sz="0" w:space="0" w:color="auto"/>
                <w:right w:val="none" w:sz="0" w:space="0" w:color="auto"/>
              </w:divBdr>
            </w:div>
          </w:divsChild>
        </w:div>
        <w:div w:id="1437747464">
          <w:marLeft w:val="0"/>
          <w:marRight w:val="0"/>
          <w:marTop w:val="0"/>
          <w:marBottom w:val="0"/>
          <w:divBdr>
            <w:top w:val="none" w:sz="0" w:space="0" w:color="auto"/>
            <w:left w:val="none" w:sz="0" w:space="0" w:color="auto"/>
            <w:bottom w:val="none" w:sz="0" w:space="0" w:color="auto"/>
            <w:right w:val="none" w:sz="0" w:space="0" w:color="auto"/>
          </w:divBdr>
          <w:divsChild>
            <w:div w:id="1857038451">
              <w:marLeft w:val="0"/>
              <w:marRight w:val="0"/>
              <w:marTop w:val="0"/>
              <w:marBottom w:val="0"/>
              <w:divBdr>
                <w:top w:val="none" w:sz="0" w:space="0" w:color="auto"/>
                <w:left w:val="none" w:sz="0" w:space="0" w:color="auto"/>
                <w:bottom w:val="none" w:sz="0" w:space="0" w:color="auto"/>
                <w:right w:val="none" w:sz="0" w:space="0" w:color="auto"/>
              </w:divBdr>
            </w:div>
          </w:divsChild>
        </w:div>
        <w:div w:id="1442725037">
          <w:marLeft w:val="0"/>
          <w:marRight w:val="0"/>
          <w:marTop w:val="0"/>
          <w:marBottom w:val="0"/>
          <w:divBdr>
            <w:top w:val="none" w:sz="0" w:space="0" w:color="auto"/>
            <w:left w:val="none" w:sz="0" w:space="0" w:color="auto"/>
            <w:bottom w:val="none" w:sz="0" w:space="0" w:color="auto"/>
            <w:right w:val="none" w:sz="0" w:space="0" w:color="auto"/>
          </w:divBdr>
          <w:divsChild>
            <w:div w:id="372192966">
              <w:marLeft w:val="0"/>
              <w:marRight w:val="0"/>
              <w:marTop w:val="0"/>
              <w:marBottom w:val="0"/>
              <w:divBdr>
                <w:top w:val="none" w:sz="0" w:space="0" w:color="auto"/>
                <w:left w:val="none" w:sz="0" w:space="0" w:color="auto"/>
                <w:bottom w:val="none" w:sz="0" w:space="0" w:color="auto"/>
                <w:right w:val="none" w:sz="0" w:space="0" w:color="auto"/>
              </w:divBdr>
            </w:div>
          </w:divsChild>
        </w:div>
        <w:div w:id="1448500437">
          <w:marLeft w:val="0"/>
          <w:marRight w:val="0"/>
          <w:marTop w:val="0"/>
          <w:marBottom w:val="0"/>
          <w:divBdr>
            <w:top w:val="none" w:sz="0" w:space="0" w:color="auto"/>
            <w:left w:val="none" w:sz="0" w:space="0" w:color="auto"/>
            <w:bottom w:val="none" w:sz="0" w:space="0" w:color="auto"/>
            <w:right w:val="none" w:sz="0" w:space="0" w:color="auto"/>
          </w:divBdr>
          <w:divsChild>
            <w:div w:id="770050668">
              <w:marLeft w:val="0"/>
              <w:marRight w:val="0"/>
              <w:marTop w:val="0"/>
              <w:marBottom w:val="0"/>
              <w:divBdr>
                <w:top w:val="none" w:sz="0" w:space="0" w:color="auto"/>
                <w:left w:val="none" w:sz="0" w:space="0" w:color="auto"/>
                <w:bottom w:val="none" w:sz="0" w:space="0" w:color="auto"/>
                <w:right w:val="none" w:sz="0" w:space="0" w:color="auto"/>
              </w:divBdr>
            </w:div>
          </w:divsChild>
        </w:div>
        <w:div w:id="1449010051">
          <w:marLeft w:val="0"/>
          <w:marRight w:val="0"/>
          <w:marTop w:val="0"/>
          <w:marBottom w:val="0"/>
          <w:divBdr>
            <w:top w:val="none" w:sz="0" w:space="0" w:color="auto"/>
            <w:left w:val="none" w:sz="0" w:space="0" w:color="auto"/>
            <w:bottom w:val="none" w:sz="0" w:space="0" w:color="auto"/>
            <w:right w:val="none" w:sz="0" w:space="0" w:color="auto"/>
          </w:divBdr>
          <w:divsChild>
            <w:div w:id="1230725366">
              <w:marLeft w:val="0"/>
              <w:marRight w:val="0"/>
              <w:marTop w:val="0"/>
              <w:marBottom w:val="0"/>
              <w:divBdr>
                <w:top w:val="none" w:sz="0" w:space="0" w:color="auto"/>
                <w:left w:val="none" w:sz="0" w:space="0" w:color="auto"/>
                <w:bottom w:val="none" w:sz="0" w:space="0" w:color="auto"/>
                <w:right w:val="none" w:sz="0" w:space="0" w:color="auto"/>
              </w:divBdr>
            </w:div>
          </w:divsChild>
        </w:div>
        <w:div w:id="1455370639">
          <w:marLeft w:val="0"/>
          <w:marRight w:val="0"/>
          <w:marTop w:val="0"/>
          <w:marBottom w:val="0"/>
          <w:divBdr>
            <w:top w:val="none" w:sz="0" w:space="0" w:color="auto"/>
            <w:left w:val="none" w:sz="0" w:space="0" w:color="auto"/>
            <w:bottom w:val="none" w:sz="0" w:space="0" w:color="auto"/>
            <w:right w:val="none" w:sz="0" w:space="0" w:color="auto"/>
          </w:divBdr>
          <w:divsChild>
            <w:div w:id="1534422923">
              <w:marLeft w:val="0"/>
              <w:marRight w:val="0"/>
              <w:marTop w:val="0"/>
              <w:marBottom w:val="0"/>
              <w:divBdr>
                <w:top w:val="none" w:sz="0" w:space="0" w:color="auto"/>
                <w:left w:val="none" w:sz="0" w:space="0" w:color="auto"/>
                <w:bottom w:val="none" w:sz="0" w:space="0" w:color="auto"/>
                <w:right w:val="none" w:sz="0" w:space="0" w:color="auto"/>
              </w:divBdr>
            </w:div>
          </w:divsChild>
        </w:div>
        <w:div w:id="1461337793">
          <w:marLeft w:val="0"/>
          <w:marRight w:val="0"/>
          <w:marTop w:val="0"/>
          <w:marBottom w:val="0"/>
          <w:divBdr>
            <w:top w:val="none" w:sz="0" w:space="0" w:color="auto"/>
            <w:left w:val="none" w:sz="0" w:space="0" w:color="auto"/>
            <w:bottom w:val="none" w:sz="0" w:space="0" w:color="auto"/>
            <w:right w:val="none" w:sz="0" w:space="0" w:color="auto"/>
          </w:divBdr>
          <w:divsChild>
            <w:div w:id="1644120155">
              <w:marLeft w:val="0"/>
              <w:marRight w:val="0"/>
              <w:marTop w:val="0"/>
              <w:marBottom w:val="0"/>
              <w:divBdr>
                <w:top w:val="none" w:sz="0" w:space="0" w:color="auto"/>
                <w:left w:val="none" w:sz="0" w:space="0" w:color="auto"/>
                <w:bottom w:val="none" w:sz="0" w:space="0" w:color="auto"/>
                <w:right w:val="none" w:sz="0" w:space="0" w:color="auto"/>
              </w:divBdr>
            </w:div>
          </w:divsChild>
        </w:div>
        <w:div w:id="1471702233">
          <w:marLeft w:val="0"/>
          <w:marRight w:val="0"/>
          <w:marTop w:val="0"/>
          <w:marBottom w:val="0"/>
          <w:divBdr>
            <w:top w:val="none" w:sz="0" w:space="0" w:color="auto"/>
            <w:left w:val="none" w:sz="0" w:space="0" w:color="auto"/>
            <w:bottom w:val="none" w:sz="0" w:space="0" w:color="auto"/>
            <w:right w:val="none" w:sz="0" w:space="0" w:color="auto"/>
          </w:divBdr>
          <w:divsChild>
            <w:div w:id="1179463635">
              <w:marLeft w:val="0"/>
              <w:marRight w:val="0"/>
              <w:marTop w:val="0"/>
              <w:marBottom w:val="0"/>
              <w:divBdr>
                <w:top w:val="none" w:sz="0" w:space="0" w:color="auto"/>
                <w:left w:val="none" w:sz="0" w:space="0" w:color="auto"/>
                <w:bottom w:val="none" w:sz="0" w:space="0" w:color="auto"/>
                <w:right w:val="none" w:sz="0" w:space="0" w:color="auto"/>
              </w:divBdr>
            </w:div>
          </w:divsChild>
        </w:div>
        <w:div w:id="1475370168">
          <w:marLeft w:val="0"/>
          <w:marRight w:val="0"/>
          <w:marTop w:val="0"/>
          <w:marBottom w:val="0"/>
          <w:divBdr>
            <w:top w:val="none" w:sz="0" w:space="0" w:color="auto"/>
            <w:left w:val="none" w:sz="0" w:space="0" w:color="auto"/>
            <w:bottom w:val="none" w:sz="0" w:space="0" w:color="auto"/>
            <w:right w:val="none" w:sz="0" w:space="0" w:color="auto"/>
          </w:divBdr>
          <w:divsChild>
            <w:div w:id="1888226017">
              <w:marLeft w:val="0"/>
              <w:marRight w:val="0"/>
              <w:marTop w:val="0"/>
              <w:marBottom w:val="0"/>
              <w:divBdr>
                <w:top w:val="none" w:sz="0" w:space="0" w:color="auto"/>
                <w:left w:val="none" w:sz="0" w:space="0" w:color="auto"/>
                <w:bottom w:val="none" w:sz="0" w:space="0" w:color="auto"/>
                <w:right w:val="none" w:sz="0" w:space="0" w:color="auto"/>
              </w:divBdr>
            </w:div>
          </w:divsChild>
        </w:div>
        <w:div w:id="1485198960">
          <w:marLeft w:val="0"/>
          <w:marRight w:val="0"/>
          <w:marTop w:val="0"/>
          <w:marBottom w:val="0"/>
          <w:divBdr>
            <w:top w:val="none" w:sz="0" w:space="0" w:color="auto"/>
            <w:left w:val="none" w:sz="0" w:space="0" w:color="auto"/>
            <w:bottom w:val="none" w:sz="0" w:space="0" w:color="auto"/>
            <w:right w:val="none" w:sz="0" w:space="0" w:color="auto"/>
          </w:divBdr>
          <w:divsChild>
            <w:div w:id="579212495">
              <w:marLeft w:val="0"/>
              <w:marRight w:val="0"/>
              <w:marTop w:val="0"/>
              <w:marBottom w:val="0"/>
              <w:divBdr>
                <w:top w:val="none" w:sz="0" w:space="0" w:color="auto"/>
                <w:left w:val="none" w:sz="0" w:space="0" w:color="auto"/>
                <w:bottom w:val="none" w:sz="0" w:space="0" w:color="auto"/>
                <w:right w:val="none" w:sz="0" w:space="0" w:color="auto"/>
              </w:divBdr>
            </w:div>
          </w:divsChild>
        </w:div>
        <w:div w:id="1497500860">
          <w:marLeft w:val="0"/>
          <w:marRight w:val="0"/>
          <w:marTop w:val="0"/>
          <w:marBottom w:val="0"/>
          <w:divBdr>
            <w:top w:val="none" w:sz="0" w:space="0" w:color="auto"/>
            <w:left w:val="none" w:sz="0" w:space="0" w:color="auto"/>
            <w:bottom w:val="none" w:sz="0" w:space="0" w:color="auto"/>
            <w:right w:val="none" w:sz="0" w:space="0" w:color="auto"/>
          </w:divBdr>
          <w:divsChild>
            <w:div w:id="817502385">
              <w:marLeft w:val="0"/>
              <w:marRight w:val="0"/>
              <w:marTop w:val="0"/>
              <w:marBottom w:val="0"/>
              <w:divBdr>
                <w:top w:val="none" w:sz="0" w:space="0" w:color="auto"/>
                <w:left w:val="none" w:sz="0" w:space="0" w:color="auto"/>
                <w:bottom w:val="none" w:sz="0" w:space="0" w:color="auto"/>
                <w:right w:val="none" w:sz="0" w:space="0" w:color="auto"/>
              </w:divBdr>
            </w:div>
          </w:divsChild>
        </w:div>
        <w:div w:id="1508405820">
          <w:marLeft w:val="0"/>
          <w:marRight w:val="0"/>
          <w:marTop w:val="0"/>
          <w:marBottom w:val="0"/>
          <w:divBdr>
            <w:top w:val="none" w:sz="0" w:space="0" w:color="auto"/>
            <w:left w:val="none" w:sz="0" w:space="0" w:color="auto"/>
            <w:bottom w:val="none" w:sz="0" w:space="0" w:color="auto"/>
            <w:right w:val="none" w:sz="0" w:space="0" w:color="auto"/>
          </w:divBdr>
          <w:divsChild>
            <w:div w:id="1859152309">
              <w:marLeft w:val="0"/>
              <w:marRight w:val="0"/>
              <w:marTop w:val="0"/>
              <w:marBottom w:val="0"/>
              <w:divBdr>
                <w:top w:val="none" w:sz="0" w:space="0" w:color="auto"/>
                <w:left w:val="none" w:sz="0" w:space="0" w:color="auto"/>
                <w:bottom w:val="none" w:sz="0" w:space="0" w:color="auto"/>
                <w:right w:val="none" w:sz="0" w:space="0" w:color="auto"/>
              </w:divBdr>
            </w:div>
          </w:divsChild>
        </w:div>
        <w:div w:id="1516074098">
          <w:marLeft w:val="0"/>
          <w:marRight w:val="0"/>
          <w:marTop w:val="0"/>
          <w:marBottom w:val="0"/>
          <w:divBdr>
            <w:top w:val="none" w:sz="0" w:space="0" w:color="auto"/>
            <w:left w:val="none" w:sz="0" w:space="0" w:color="auto"/>
            <w:bottom w:val="none" w:sz="0" w:space="0" w:color="auto"/>
            <w:right w:val="none" w:sz="0" w:space="0" w:color="auto"/>
          </w:divBdr>
          <w:divsChild>
            <w:div w:id="900753224">
              <w:marLeft w:val="0"/>
              <w:marRight w:val="0"/>
              <w:marTop w:val="0"/>
              <w:marBottom w:val="0"/>
              <w:divBdr>
                <w:top w:val="none" w:sz="0" w:space="0" w:color="auto"/>
                <w:left w:val="none" w:sz="0" w:space="0" w:color="auto"/>
                <w:bottom w:val="none" w:sz="0" w:space="0" w:color="auto"/>
                <w:right w:val="none" w:sz="0" w:space="0" w:color="auto"/>
              </w:divBdr>
            </w:div>
          </w:divsChild>
        </w:div>
        <w:div w:id="1522355822">
          <w:marLeft w:val="0"/>
          <w:marRight w:val="0"/>
          <w:marTop w:val="0"/>
          <w:marBottom w:val="0"/>
          <w:divBdr>
            <w:top w:val="none" w:sz="0" w:space="0" w:color="auto"/>
            <w:left w:val="none" w:sz="0" w:space="0" w:color="auto"/>
            <w:bottom w:val="none" w:sz="0" w:space="0" w:color="auto"/>
            <w:right w:val="none" w:sz="0" w:space="0" w:color="auto"/>
          </w:divBdr>
          <w:divsChild>
            <w:div w:id="1608539628">
              <w:marLeft w:val="0"/>
              <w:marRight w:val="0"/>
              <w:marTop w:val="0"/>
              <w:marBottom w:val="0"/>
              <w:divBdr>
                <w:top w:val="none" w:sz="0" w:space="0" w:color="auto"/>
                <w:left w:val="none" w:sz="0" w:space="0" w:color="auto"/>
                <w:bottom w:val="none" w:sz="0" w:space="0" w:color="auto"/>
                <w:right w:val="none" w:sz="0" w:space="0" w:color="auto"/>
              </w:divBdr>
            </w:div>
          </w:divsChild>
        </w:div>
        <w:div w:id="1537041717">
          <w:marLeft w:val="0"/>
          <w:marRight w:val="0"/>
          <w:marTop w:val="0"/>
          <w:marBottom w:val="0"/>
          <w:divBdr>
            <w:top w:val="none" w:sz="0" w:space="0" w:color="auto"/>
            <w:left w:val="none" w:sz="0" w:space="0" w:color="auto"/>
            <w:bottom w:val="none" w:sz="0" w:space="0" w:color="auto"/>
            <w:right w:val="none" w:sz="0" w:space="0" w:color="auto"/>
          </w:divBdr>
          <w:divsChild>
            <w:div w:id="317078885">
              <w:marLeft w:val="0"/>
              <w:marRight w:val="0"/>
              <w:marTop w:val="0"/>
              <w:marBottom w:val="0"/>
              <w:divBdr>
                <w:top w:val="none" w:sz="0" w:space="0" w:color="auto"/>
                <w:left w:val="none" w:sz="0" w:space="0" w:color="auto"/>
                <w:bottom w:val="none" w:sz="0" w:space="0" w:color="auto"/>
                <w:right w:val="none" w:sz="0" w:space="0" w:color="auto"/>
              </w:divBdr>
            </w:div>
          </w:divsChild>
        </w:div>
        <w:div w:id="1540359685">
          <w:marLeft w:val="0"/>
          <w:marRight w:val="0"/>
          <w:marTop w:val="0"/>
          <w:marBottom w:val="0"/>
          <w:divBdr>
            <w:top w:val="none" w:sz="0" w:space="0" w:color="auto"/>
            <w:left w:val="none" w:sz="0" w:space="0" w:color="auto"/>
            <w:bottom w:val="none" w:sz="0" w:space="0" w:color="auto"/>
            <w:right w:val="none" w:sz="0" w:space="0" w:color="auto"/>
          </w:divBdr>
          <w:divsChild>
            <w:div w:id="695038342">
              <w:marLeft w:val="0"/>
              <w:marRight w:val="0"/>
              <w:marTop w:val="0"/>
              <w:marBottom w:val="0"/>
              <w:divBdr>
                <w:top w:val="none" w:sz="0" w:space="0" w:color="auto"/>
                <w:left w:val="none" w:sz="0" w:space="0" w:color="auto"/>
                <w:bottom w:val="none" w:sz="0" w:space="0" w:color="auto"/>
                <w:right w:val="none" w:sz="0" w:space="0" w:color="auto"/>
              </w:divBdr>
            </w:div>
          </w:divsChild>
        </w:div>
        <w:div w:id="1541165937">
          <w:marLeft w:val="0"/>
          <w:marRight w:val="0"/>
          <w:marTop w:val="0"/>
          <w:marBottom w:val="0"/>
          <w:divBdr>
            <w:top w:val="none" w:sz="0" w:space="0" w:color="auto"/>
            <w:left w:val="none" w:sz="0" w:space="0" w:color="auto"/>
            <w:bottom w:val="none" w:sz="0" w:space="0" w:color="auto"/>
            <w:right w:val="none" w:sz="0" w:space="0" w:color="auto"/>
          </w:divBdr>
          <w:divsChild>
            <w:div w:id="2091340691">
              <w:marLeft w:val="0"/>
              <w:marRight w:val="0"/>
              <w:marTop w:val="0"/>
              <w:marBottom w:val="0"/>
              <w:divBdr>
                <w:top w:val="none" w:sz="0" w:space="0" w:color="auto"/>
                <w:left w:val="none" w:sz="0" w:space="0" w:color="auto"/>
                <w:bottom w:val="none" w:sz="0" w:space="0" w:color="auto"/>
                <w:right w:val="none" w:sz="0" w:space="0" w:color="auto"/>
              </w:divBdr>
            </w:div>
          </w:divsChild>
        </w:div>
        <w:div w:id="1554317491">
          <w:marLeft w:val="0"/>
          <w:marRight w:val="0"/>
          <w:marTop w:val="0"/>
          <w:marBottom w:val="0"/>
          <w:divBdr>
            <w:top w:val="none" w:sz="0" w:space="0" w:color="auto"/>
            <w:left w:val="none" w:sz="0" w:space="0" w:color="auto"/>
            <w:bottom w:val="none" w:sz="0" w:space="0" w:color="auto"/>
            <w:right w:val="none" w:sz="0" w:space="0" w:color="auto"/>
          </w:divBdr>
          <w:divsChild>
            <w:div w:id="1878853164">
              <w:marLeft w:val="0"/>
              <w:marRight w:val="0"/>
              <w:marTop w:val="0"/>
              <w:marBottom w:val="0"/>
              <w:divBdr>
                <w:top w:val="none" w:sz="0" w:space="0" w:color="auto"/>
                <w:left w:val="none" w:sz="0" w:space="0" w:color="auto"/>
                <w:bottom w:val="none" w:sz="0" w:space="0" w:color="auto"/>
                <w:right w:val="none" w:sz="0" w:space="0" w:color="auto"/>
              </w:divBdr>
            </w:div>
          </w:divsChild>
        </w:div>
        <w:div w:id="1560626460">
          <w:marLeft w:val="0"/>
          <w:marRight w:val="0"/>
          <w:marTop w:val="0"/>
          <w:marBottom w:val="0"/>
          <w:divBdr>
            <w:top w:val="none" w:sz="0" w:space="0" w:color="auto"/>
            <w:left w:val="none" w:sz="0" w:space="0" w:color="auto"/>
            <w:bottom w:val="none" w:sz="0" w:space="0" w:color="auto"/>
            <w:right w:val="none" w:sz="0" w:space="0" w:color="auto"/>
          </w:divBdr>
          <w:divsChild>
            <w:div w:id="1880780396">
              <w:marLeft w:val="0"/>
              <w:marRight w:val="0"/>
              <w:marTop w:val="0"/>
              <w:marBottom w:val="0"/>
              <w:divBdr>
                <w:top w:val="none" w:sz="0" w:space="0" w:color="auto"/>
                <w:left w:val="none" w:sz="0" w:space="0" w:color="auto"/>
                <w:bottom w:val="none" w:sz="0" w:space="0" w:color="auto"/>
                <w:right w:val="none" w:sz="0" w:space="0" w:color="auto"/>
              </w:divBdr>
            </w:div>
          </w:divsChild>
        </w:div>
        <w:div w:id="1568608343">
          <w:marLeft w:val="0"/>
          <w:marRight w:val="0"/>
          <w:marTop w:val="0"/>
          <w:marBottom w:val="0"/>
          <w:divBdr>
            <w:top w:val="none" w:sz="0" w:space="0" w:color="auto"/>
            <w:left w:val="none" w:sz="0" w:space="0" w:color="auto"/>
            <w:bottom w:val="none" w:sz="0" w:space="0" w:color="auto"/>
            <w:right w:val="none" w:sz="0" w:space="0" w:color="auto"/>
          </w:divBdr>
          <w:divsChild>
            <w:div w:id="432045507">
              <w:marLeft w:val="0"/>
              <w:marRight w:val="0"/>
              <w:marTop w:val="0"/>
              <w:marBottom w:val="0"/>
              <w:divBdr>
                <w:top w:val="none" w:sz="0" w:space="0" w:color="auto"/>
                <w:left w:val="none" w:sz="0" w:space="0" w:color="auto"/>
                <w:bottom w:val="none" w:sz="0" w:space="0" w:color="auto"/>
                <w:right w:val="none" w:sz="0" w:space="0" w:color="auto"/>
              </w:divBdr>
            </w:div>
          </w:divsChild>
        </w:div>
        <w:div w:id="1571619353">
          <w:marLeft w:val="0"/>
          <w:marRight w:val="0"/>
          <w:marTop w:val="0"/>
          <w:marBottom w:val="0"/>
          <w:divBdr>
            <w:top w:val="none" w:sz="0" w:space="0" w:color="auto"/>
            <w:left w:val="none" w:sz="0" w:space="0" w:color="auto"/>
            <w:bottom w:val="none" w:sz="0" w:space="0" w:color="auto"/>
            <w:right w:val="none" w:sz="0" w:space="0" w:color="auto"/>
          </w:divBdr>
          <w:divsChild>
            <w:div w:id="843936128">
              <w:marLeft w:val="0"/>
              <w:marRight w:val="0"/>
              <w:marTop w:val="0"/>
              <w:marBottom w:val="0"/>
              <w:divBdr>
                <w:top w:val="none" w:sz="0" w:space="0" w:color="auto"/>
                <w:left w:val="none" w:sz="0" w:space="0" w:color="auto"/>
                <w:bottom w:val="none" w:sz="0" w:space="0" w:color="auto"/>
                <w:right w:val="none" w:sz="0" w:space="0" w:color="auto"/>
              </w:divBdr>
            </w:div>
          </w:divsChild>
        </w:div>
        <w:div w:id="1585069446">
          <w:marLeft w:val="0"/>
          <w:marRight w:val="0"/>
          <w:marTop w:val="0"/>
          <w:marBottom w:val="0"/>
          <w:divBdr>
            <w:top w:val="none" w:sz="0" w:space="0" w:color="auto"/>
            <w:left w:val="none" w:sz="0" w:space="0" w:color="auto"/>
            <w:bottom w:val="none" w:sz="0" w:space="0" w:color="auto"/>
            <w:right w:val="none" w:sz="0" w:space="0" w:color="auto"/>
          </w:divBdr>
          <w:divsChild>
            <w:div w:id="1878469561">
              <w:marLeft w:val="0"/>
              <w:marRight w:val="0"/>
              <w:marTop w:val="0"/>
              <w:marBottom w:val="0"/>
              <w:divBdr>
                <w:top w:val="none" w:sz="0" w:space="0" w:color="auto"/>
                <w:left w:val="none" w:sz="0" w:space="0" w:color="auto"/>
                <w:bottom w:val="none" w:sz="0" w:space="0" w:color="auto"/>
                <w:right w:val="none" w:sz="0" w:space="0" w:color="auto"/>
              </w:divBdr>
            </w:div>
          </w:divsChild>
        </w:div>
        <w:div w:id="1589390826">
          <w:marLeft w:val="0"/>
          <w:marRight w:val="0"/>
          <w:marTop w:val="0"/>
          <w:marBottom w:val="0"/>
          <w:divBdr>
            <w:top w:val="none" w:sz="0" w:space="0" w:color="auto"/>
            <w:left w:val="none" w:sz="0" w:space="0" w:color="auto"/>
            <w:bottom w:val="none" w:sz="0" w:space="0" w:color="auto"/>
            <w:right w:val="none" w:sz="0" w:space="0" w:color="auto"/>
          </w:divBdr>
          <w:divsChild>
            <w:div w:id="404687355">
              <w:marLeft w:val="0"/>
              <w:marRight w:val="0"/>
              <w:marTop w:val="0"/>
              <w:marBottom w:val="0"/>
              <w:divBdr>
                <w:top w:val="none" w:sz="0" w:space="0" w:color="auto"/>
                <w:left w:val="none" w:sz="0" w:space="0" w:color="auto"/>
                <w:bottom w:val="none" w:sz="0" w:space="0" w:color="auto"/>
                <w:right w:val="none" w:sz="0" w:space="0" w:color="auto"/>
              </w:divBdr>
            </w:div>
          </w:divsChild>
        </w:div>
        <w:div w:id="1595047004">
          <w:marLeft w:val="0"/>
          <w:marRight w:val="0"/>
          <w:marTop w:val="0"/>
          <w:marBottom w:val="0"/>
          <w:divBdr>
            <w:top w:val="none" w:sz="0" w:space="0" w:color="auto"/>
            <w:left w:val="none" w:sz="0" w:space="0" w:color="auto"/>
            <w:bottom w:val="none" w:sz="0" w:space="0" w:color="auto"/>
            <w:right w:val="none" w:sz="0" w:space="0" w:color="auto"/>
          </w:divBdr>
          <w:divsChild>
            <w:div w:id="1045909218">
              <w:marLeft w:val="0"/>
              <w:marRight w:val="0"/>
              <w:marTop w:val="0"/>
              <w:marBottom w:val="0"/>
              <w:divBdr>
                <w:top w:val="none" w:sz="0" w:space="0" w:color="auto"/>
                <w:left w:val="none" w:sz="0" w:space="0" w:color="auto"/>
                <w:bottom w:val="none" w:sz="0" w:space="0" w:color="auto"/>
                <w:right w:val="none" w:sz="0" w:space="0" w:color="auto"/>
              </w:divBdr>
            </w:div>
          </w:divsChild>
        </w:div>
        <w:div w:id="1646861141">
          <w:marLeft w:val="0"/>
          <w:marRight w:val="0"/>
          <w:marTop w:val="0"/>
          <w:marBottom w:val="0"/>
          <w:divBdr>
            <w:top w:val="none" w:sz="0" w:space="0" w:color="auto"/>
            <w:left w:val="none" w:sz="0" w:space="0" w:color="auto"/>
            <w:bottom w:val="none" w:sz="0" w:space="0" w:color="auto"/>
            <w:right w:val="none" w:sz="0" w:space="0" w:color="auto"/>
          </w:divBdr>
          <w:divsChild>
            <w:div w:id="2103524702">
              <w:marLeft w:val="0"/>
              <w:marRight w:val="0"/>
              <w:marTop w:val="0"/>
              <w:marBottom w:val="0"/>
              <w:divBdr>
                <w:top w:val="none" w:sz="0" w:space="0" w:color="auto"/>
                <w:left w:val="none" w:sz="0" w:space="0" w:color="auto"/>
                <w:bottom w:val="none" w:sz="0" w:space="0" w:color="auto"/>
                <w:right w:val="none" w:sz="0" w:space="0" w:color="auto"/>
              </w:divBdr>
            </w:div>
          </w:divsChild>
        </w:div>
        <w:div w:id="1649360864">
          <w:marLeft w:val="0"/>
          <w:marRight w:val="0"/>
          <w:marTop w:val="0"/>
          <w:marBottom w:val="0"/>
          <w:divBdr>
            <w:top w:val="none" w:sz="0" w:space="0" w:color="auto"/>
            <w:left w:val="none" w:sz="0" w:space="0" w:color="auto"/>
            <w:bottom w:val="none" w:sz="0" w:space="0" w:color="auto"/>
            <w:right w:val="none" w:sz="0" w:space="0" w:color="auto"/>
          </w:divBdr>
          <w:divsChild>
            <w:div w:id="976181700">
              <w:marLeft w:val="0"/>
              <w:marRight w:val="0"/>
              <w:marTop w:val="0"/>
              <w:marBottom w:val="0"/>
              <w:divBdr>
                <w:top w:val="none" w:sz="0" w:space="0" w:color="auto"/>
                <w:left w:val="none" w:sz="0" w:space="0" w:color="auto"/>
                <w:bottom w:val="none" w:sz="0" w:space="0" w:color="auto"/>
                <w:right w:val="none" w:sz="0" w:space="0" w:color="auto"/>
              </w:divBdr>
            </w:div>
          </w:divsChild>
        </w:div>
        <w:div w:id="1655330875">
          <w:marLeft w:val="0"/>
          <w:marRight w:val="0"/>
          <w:marTop w:val="0"/>
          <w:marBottom w:val="0"/>
          <w:divBdr>
            <w:top w:val="none" w:sz="0" w:space="0" w:color="auto"/>
            <w:left w:val="none" w:sz="0" w:space="0" w:color="auto"/>
            <w:bottom w:val="none" w:sz="0" w:space="0" w:color="auto"/>
            <w:right w:val="none" w:sz="0" w:space="0" w:color="auto"/>
          </w:divBdr>
          <w:divsChild>
            <w:div w:id="1487162643">
              <w:marLeft w:val="0"/>
              <w:marRight w:val="0"/>
              <w:marTop w:val="0"/>
              <w:marBottom w:val="0"/>
              <w:divBdr>
                <w:top w:val="none" w:sz="0" w:space="0" w:color="auto"/>
                <w:left w:val="none" w:sz="0" w:space="0" w:color="auto"/>
                <w:bottom w:val="none" w:sz="0" w:space="0" w:color="auto"/>
                <w:right w:val="none" w:sz="0" w:space="0" w:color="auto"/>
              </w:divBdr>
            </w:div>
          </w:divsChild>
        </w:div>
        <w:div w:id="1675837587">
          <w:marLeft w:val="0"/>
          <w:marRight w:val="0"/>
          <w:marTop w:val="0"/>
          <w:marBottom w:val="0"/>
          <w:divBdr>
            <w:top w:val="none" w:sz="0" w:space="0" w:color="auto"/>
            <w:left w:val="none" w:sz="0" w:space="0" w:color="auto"/>
            <w:bottom w:val="none" w:sz="0" w:space="0" w:color="auto"/>
            <w:right w:val="none" w:sz="0" w:space="0" w:color="auto"/>
          </w:divBdr>
          <w:divsChild>
            <w:div w:id="37248096">
              <w:marLeft w:val="0"/>
              <w:marRight w:val="0"/>
              <w:marTop w:val="0"/>
              <w:marBottom w:val="0"/>
              <w:divBdr>
                <w:top w:val="none" w:sz="0" w:space="0" w:color="auto"/>
                <w:left w:val="none" w:sz="0" w:space="0" w:color="auto"/>
                <w:bottom w:val="none" w:sz="0" w:space="0" w:color="auto"/>
                <w:right w:val="none" w:sz="0" w:space="0" w:color="auto"/>
              </w:divBdr>
            </w:div>
          </w:divsChild>
        </w:div>
        <w:div w:id="1679850098">
          <w:marLeft w:val="0"/>
          <w:marRight w:val="0"/>
          <w:marTop w:val="0"/>
          <w:marBottom w:val="0"/>
          <w:divBdr>
            <w:top w:val="none" w:sz="0" w:space="0" w:color="auto"/>
            <w:left w:val="none" w:sz="0" w:space="0" w:color="auto"/>
            <w:bottom w:val="none" w:sz="0" w:space="0" w:color="auto"/>
            <w:right w:val="none" w:sz="0" w:space="0" w:color="auto"/>
          </w:divBdr>
          <w:divsChild>
            <w:div w:id="181477364">
              <w:marLeft w:val="0"/>
              <w:marRight w:val="0"/>
              <w:marTop w:val="0"/>
              <w:marBottom w:val="0"/>
              <w:divBdr>
                <w:top w:val="none" w:sz="0" w:space="0" w:color="auto"/>
                <w:left w:val="none" w:sz="0" w:space="0" w:color="auto"/>
                <w:bottom w:val="none" w:sz="0" w:space="0" w:color="auto"/>
                <w:right w:val="none" w:sz="0" w:space="0" w:color="auto"/>
              </w:divBdr>
            </w:div>
          </w:divsChild>
        </w:div>
        <w:div w:id="1688096008">
          <w:marLeft w:val="0"/>
          <w:marRight w:val="0"/>
          <w:marTop w:val="0"/>
          <w:marBottom w:val="0"/>
          <w:divBdr>
            <w:top w:val="none" w:sz="0" w:space="0" w:color="auto"/>
            <w:left w:val="none" w:sz="0" w:space="0" w:color="auto"/>
            <w:bottom w:val="none" w:sz="0" w:space="0" w:color="auto"/>
            <w:right w:val="none" w:sz="0" w:space="0" w:color="auto"/>
          </w:divBdr>
          <w:divsChild>
            <w:div w:id="575743545">
              <w:marLeft w:val="0"/>
              <w:marRight w:val="0"/>
              <w:marTop w:val="0"/>
              <w:marBottom w:val="0"/>
              <w:divBdr>
                <w:top w:val="none" w:sz="0" w:space="0" w:color="auto"/>
                <w:left w:val="none" w:sz="0" w:space="0" w:color="auto"/>
                <w:bottom w:val="none" w:sz="0" w:space="0" w:color="auto"/>
                <w:right w:val="none" w:sz="0" w:space="0" w:color="auto"/>
              </w:divBdr>
            </w:div>
          </w:divsChild>
        </w:div>
        <w:div w:id="1696423043">
          <w:marLeft w:val="0"/>
          <w:marRight w:val="0"/>
          <w:marTop w:val="0"/>
          <w:marBottom w:val="0"/>
          <w:divBdr>
            <w:top w:val="none" w:sz="0" w:space="0" w:color="auto"/>
            <w:left w:val="none" w:sz="0" w:space="0" w:color="auto"/>
            <w:bottom w:val="none" w:sz="0" w:space="0" w:color="auto"/>
            <w:right w:val="none" w:sz="0" w:space="0" w:color="auto"/>
          </w:divBdr>
          <w:divsChild>
            <w:div w:id="1732002586">
              <w:marLeft w:val="0"/>
              <w:marRight w:val="0"/>
              <w:marTop w:val="0"/>
              <w:marBottom w:val="0"/>
              <w:divBdr>
                <w:top w:val="none" w:sz="0" w:space="0" w:color="auto"/>
                <w:left w:val="none" w:sz="0" w:space="0" w:color="auto"/>
                <w:bottom w:val="none" w:sz="0" w:space="0" w:color="auto"/>
                <w:right w:val="none" w:sz="0" w:space="0" w:color="auto"/>
              </w:divBdr>
            </w:div>
          </w:divsChild>
        </w:div>
        <w:div w:id="1728215157">
          <w:marLeft w:val="0"/>
          <w:marRight w:val="0"/>
          <w:marTop w:val="0"/>
          <w:marBottom w:val="0"/>
          <w:divBdr>
            <w:top w:val="none" w:sz="0" w:space="0" w:color="auto"/>
            <w:left w:val="none" w:sz="0" w:space="0" w:color="auto"/>
            <w:bottom w:val="none" w:sz="0" w:space="0" w:color="auto"/>
            <w:right w:val="none" w:sz="0" w:space="0" w:color="auto"/>
          </w:divBdr>
          <w:divsChild>
            <w:div w:id="1966234750">
              <w:marLeft w:val="0"/>
              <w:marRight w:val="0"/>
              <w:marTop w:val="0"/>
              <w:marBottom w:val="0"/>
              <w:divBdr>
                <w:top w:val="none" w:sz="0" w:space="0" w:color="auto"/>
                <w:left w:val="none" w:sz="0" w:space="0" w:color="auto"/>
                <w:bottom w:val="none" w:sz="0" w:space="0" w:color="auto"/>
                <w:right w:val="none" w:sz="0" w:space="0" w:color="auto"/>
              </w:divBdr>
            </w:div>
          </w:divsChild>
        </w:div>
        <w:div w:id="1729307527">
          <w:marLeft w:val="0"/>
          <w:marRight w:val="0"/>
          <w:marTop w:val="0"/>
          <w:marBottom w:val="0"/>
          <w:divBdr>
            <w:top w:val="none" w:sz="0" w:space="0" w:color="auto"/>
            <w:left w:val="none" w:sz="0" w:space="0" w:color="auto"/>
            <w:bottom w:val="none" w:sz="0" w:space="0" w:color="auto"/>
            <w:right w:val="none" w:sz="0" w:space="0" w:color="auto"/>
          </w:divBdr>
          <w:divsChild>
            <w:div w:id="1490294902">
              <w:marLeft w:val="0"/>
              <w:marRight w:val="0"/>
              <w:marTop w:val="0"/>
              <w:marBottom w:val="0"/>
              <w:divBdr>
                <w:top w:val="none" w:sz="0" w:space="0" w:color="auto"/>
                <w:left w:val="none" w:sz="0" w:space="0" w:color="auto"/>
                <w:bottom w:val="none" w:sz="0" w:space="0" w:color="auto"/>
                <w:right w:val="none" w:sz="0" w:space="0" w:color="auto"/>
              </w:divBdr>
            </w:div>
          </w:divsChild>
        </w:div>
        <w:div w:id="1735425515">
          <w:marLeft w:val="0"/>
          <w:marRight w:val="0"/>
          <w:marTop w:val="0"/>
          <w:marBottom w:val="0"/>
          <w:divBdr>
            <w:top w:val="none" w:sz="0" w:space="0" w:color="auto"/>
            <w:left w:val="none" w:sz="0" w:space="0" w:color="auto"/>
            <w:bottom w:val="none" w:sz="0" w:space="0" w:color="auto"/>
            <w:right w:val="none" w:sz="0" w:space="0" w:color="auto"/>
          </w:divBdr>
          <w:divsChild>
            <w:div w:id="247663689">
              <w:marLeft w:val="0"/>
              <w:marRight w:val="0"/>
              <w:marTop w:val="0"/>
              <w:marBottom w:val="0"/>
              <w:divBdr>
                <w:top w:val="none" w:sz="0" w:space="0" w:color="auto"/>
                <w:left w:val="none" w:sz="0" w:space="0" w:color="auto"/>
                <w:bottom w:val="none" w:sz="0" w:space="0" w:color="auto"/>
                <w:right w:val="none" w:sz="0" w:space="0" w:color="auto"/>
              </w:divBdr>
            </w:div>
          </w:divsChild>
        </w:div>
        <w:div w:id="1748073445">
          <w:marLeft w:val="0"/>
          <w:marRight w:val="0"/>
          <w:marTop w:val="0"/>
          <w:marBottom w:val="0"/>
          <w:divBdr>
            <w:top w:val="none" w:sz="0" w:space="0" w:color="auto"/>
            <w:left w:val="none" w:sz="0" w:space="0" w:color="auto"/>
            <w:bottom w:val="none" w:sz="0" w:space="0" w:color="auto"/>
            <w:right w:val="none" w:sz="0" w:space="0" w:color="auto"/>
          </w:divBdr>
          <w:divsChild>
            <w:div w:id="838010483">
              <w:marLeft w:val="0"/>
              <w:marRight w:val="0"/>
              <w:marTop w:val="0"/>
              <w:marBottom w:val="0"/>
              <w:divBdr>
                <w:top w:val="none" w:sz="0" w:space="0" w:color="auto"/>
                <w:left w:val="none" w:sz="0" w:space="0" w:color="auto"/>
                <w:bottom w:val="none" w:sz="0" w:space="0" w:color="auto"/>
                <w:right w:val="none" w:sz="0" w:space="0" w:color="auto"/>
              </w:divBdr>
            </w:div>
          </w:divsChild>
        </w:div>
        <w:div w:id="1756824898">
          <w:marLeft w:val="0"/>
          <w:marRight w:val="0"/>
          <w:marTop w:val="0"/>
          <w:marBottom w:val="0"/>
          <w:divBdr>
            <w:top w:val="none" w:sz="0" w:space="0" w:color="auto"/>
            <w:left w:val="none" w:sz="0" w:space="0" w:color="auto"/>
            <w:bottom w:val="none" w:sz="0" w:space="0" w:color="auto"/>
            <w:right w:val="none" w:sz="0" w:space="0" w:color="auto"/>
          </w:divBdr>
          <w:divsChild>
            <w:div w:id="1395854316">
              <w:marLeft w:val="0"/>
              <w:marRight w:val="0"/>
              <w:marTop w:val="0"/>
              <w:marBottom w:val="0"/>
              <w:divBdr>
                <w:top w:val="none" w:sz="0" w:space="0" w:color="auto"/>
                <w:left w:val="none" w:sz="0" w:space="0" w:color="auto"/>
                <w:bottom w:val="none" w:sz="0" w:space="0" w:color="auto"/>
                <w:right w:val="none" w:sz="0" w:space="0" w:color="auto"/>
              </w:divBdr>
            </w:div>
          </w:divsChild>
        </w:div>
        <w:div w:id="1763523001">
          <w:marLeft w:val="0"/>
          <w:marRight w:val="0"/>
          <w:marTop w:val="0"/>
          <w:marBottom w:val="0"/>
          <w:divBdr>
            <w:top w:val="none" w:sz="0" w:space="0" w:color="auto"/>
            <w:left w:val="none" w:sz="0" w:space="0" w:color="auto"/>
            <w:bottom w:val="none" w:sz="0" w:space="0" w:color="auto"/>
            <w:right w:val="none" w:sz="0" w:space="0" w:color="auto"/>
          </w:divBdr>
          <w:divsChild>
            <w:div w:id="1529685618">
              <w:marLeft w:val="0"/>
              <w:marRight w:val="0"/>
              <w:marTop w:val="0"/>
              <w:marBottom w:val="0"/>
              <w:divBdr>
                <w:top w:val="none" w:sz="0" w:space="0" w:color="auto"/>
                <w:left w:val="none" w:sz="0" w:space="0" w:color="auto"/>
                <w:bottom w:val="none" w:sz="0" w:space="0" w:color="auto"/>
                <w:right w:val="none" w:sz="0" w:space="0" w:color="auto"/>
              </w:divBdr>
            </w:div>
          </w:divsChild>
        </w:div>
        <w:div w:id="1765415175">
          <w:marLeft w:val="0"/>
          <w:marRight w:val="0"/>
          <w:marTop w:val="0"/>
          <w:marBottom w:val="0"/>
          <w:divBdr>
            <w:top w:val="none" w:sz="0" w:space="0" w:color="auto"/>
            <w:left w:val="none" w:sz="0" w:space="0" w:color="auto"/>
            <w:bottom w:val="none" w:sz="0" w:space="0" w:color="auto"/>
            <w:right w:val="none" w:sz="0" w:space="0" w:color="auto"/>
          </w:divBdr>
          <w:divsChild>
            <w:div w:id="756751348">
              <w:marLeft w:val="0"/>
              <w:marRight w:val="0"/>
              <w:marTop w:val="0"/>
              <w:marBottom w:val="0"/>
              <w:divBdr>
                <w:top w:val="none" w:sz="0" w:space="0" w:color="auto"/>
                <w:left w:val="none" w:sz="0" w:space="0" w:color="auto"/>
                <w:bottom w:val="none" w:sz="0" w:space="0" w:color="auto"/>
                <w:right w:val="none" w:sz="0" w:space="0" w:color="auto"/>
              </w:divBdr>
            </w:div>
          </w:divsChild>
        </w:div>
        <w:div w:id="1777016149">
          <w:marLeft w:val="0"/>
          <w:marRight w:val="0"/>
          <w:marTop w:val="0"/>
          <w:marBottom w:val="0"/>
          <w:divBdr>
            <w:top w:val="none" w:sz="0" w:space="0" w:color="auto"/>
            <w:left w:val="none" w:sz="0" w:space="0" w:color="auto"/>
            <w:bottom w:val="none" w:sz="0" w:space="0" w:color="auto"/>
            <w:right w:val="none" w:sz="0" w:space="0" w:color="auto"/>
          </w:divBdr>
          <w:divsChild>
            <w:div w:id="1179856745">
              <w:marLeft w:val="0"/>
              <w:marRight w:val="0"/>
              <w:marTop w:val="0"/>
              <w:marBottom w:val="0"/>
              <w:divBdr>
                <w:top w:val="none" w:sz="0" w:space="0" w:color="auto"/>
                <w:left w:val="none" w:sz="0" w:space="0" w:color="auto"/>
                <w:bottom w:val="none" w:sz="0" w:space="0" w:color="auto"/>
                <w:right w:val="none" w:sz="0" w:space="0" w:color="auto"/>
              </w:divBdr>
            </w:div>
          </w:divsChild>
        </w:div>
        <w:div w:id="1782454130">
          <w:marLeft w:val="0"/>
          <w:marRight w:val="0"/>
          <w:marTop w:val="0"/>
          <w:marBottom w:val="0"/>
          <w:divBdr>
            <w:top w:val="none" w:sz="0" w:space="0" w:color="auto"/>
            <w:left w:val="none" w:sz="0" w:space="0" w:color="auto"/>
            <w:bottom w:val="none" w:sz="0" w:space="0" w:color="auto"/>
            <w:right w:val="none" w:sz="0" w:space="0" w:color="auto"/>
          </w:divBdr>
          <w:divsChild>
            <w:div w:id="768813639">
              <w:marLeft w:val="0"/>
              <w:marRight w:val="0"/>
              <w:marTop w:val="0"/>
              <w:marBottom w:val="0"/>
              <w:divBdr>
                <w:top w:val="none" w:sz="0" w:space="0" w:color="auto"/>
                <w:left w:val="none" w:sz="0" w:space="0" w:color="auto"/>
                <w:bottom w:val="none" w:sz="0" w:space="0" w:color="auto"/>
                <w:right w:val="none" w:sz="0" w:space="0" w:color="auto"/>
              </w:divBdr>
            </w:div>
          </w:divsChild>
        </w:div>
        <w:div w:id="1784492754">
          <w:marLeft w:val="0"/>
          <w:marRight w:val="0"/>
          <w:marTop w:val="0"/>
          <w:marBottom w:val="0"/>
          <w:divBdr>
            <w:top w:val="none" w:sz="0" w:space="0" w:color="auto"/>
            <w:left w:val="none" w:sz="0" w:space="0" w:color="auto"/>
            <w:bottom w:val="none" w:sz="0" w:space="0" w:color="auto"/>
            <w:right w:val="none" w:sz="0" w:space="0" w:color="auto"/>
          </w:divBdr>
          <w:divsChild>
            <w:div w:id="1072240271">
              <w:marLeft w:val="0"/>
              <w:marRight w:val="0"/>
              <w:marTop w:val="0"/>
              <w:marBottom w:val="0"/>
              <w:divBdr>
                <w:top w:val="none" w:sz="0" w:space="0" w:color="auto"/>
                <w:left w:val="none" w:sz="0" w:space="0" w:color="auto"/>
                <w:bottom w:val="none" w:sz="0" w:space="0" w:color="auto"/>
                <w:right w:val="none" w:sz="0" w:space="0" w:color="auto"/>
              </w:divBdr>
            </w:div>
          </w:divsChild>
        </w:div>
        <w:div w:id="1789540684">
          <w:marLeft w:val="0"/>
          <w:marRight w:val="0"/>
          <w:marTop w:val="0"/>
          <w:marBottom w:val="0"/>
          <w:divBdr>
            <w:top w:val="none" w:sz="0" w:space="0" w:color="auto"/>
            <w:left w:val="none" w:sz="0" w:space="0" w:color="auto"/>
            <w:bottom w:val="none" w:sz="0" w:space="0" w:color="auto"/>
            <w:right w:val="none" w:sz="0" w:space="0" w:color="auto"/>
          </w:divBdr>
          <w:divsChild>
            <w:div w:id="2142190962">
              <w:marLeft w:val="0"/>
              <w:marRight w:val="0"/>
              <w:marTop w:val="0"/>
              <w:marBottom w:val="0"/>
              <w:divBdr>
                <w:top w:val="none" w:sz="0" w:space="0" w:color="auto"/>
                <w:left w:val="none" w:sz="0" w:space="0" w:color="auto"/>
                <w:bottom w:val="none" w:sz="0" w:space="0" w:color="auto"/>
                <w:right w:val="none" w:sz="0" w:space="0" w:color="auto"/>
              </w:divBdr>
            </w:div>
          </w:divsChild>
        </w:div>
        <w:div w:id="1795442039">
          <w:marLeft w:val="0"/>
          <w:marRight w:val="0"/>
          <w:marTop w:val="0"/>
          <w:marBottom w:val="0"/>
          <w:divBdr>
            <w:top w:val="none" w:sz="0" w:space="0" w:color="auto"/>
            <w:left w:val="none" w:sz="0" w:space="0" w:color="auto"/>
            <w:bottom w:val="none" w:sz="0" w:space="0" w:color="auto"/>
            <w:right w:val="none" w:sz="0" w:space="0" w:color="auto"/>
          </w:divBdr>
          <w:divsChild>
            <w:div w:id="2087453359">
              <w:marLeft w:val="0"/>
              <w:marRight w:val="0"/>
              <w:marTop w:val="0"/>
              <w:marBottom w:val="0"/>
              <w:divBdr>
                <w:top w:val="none" w:sz="0" w:space="0" w:color="auto"/>
                <w:left w:val="none" w:sz="0" w:space="0" w:color="auto"/>
                <w:bottom w:val="none" w:sz="0" w:space="0" w:color="auto"/>
                <w:right w:val="none" w:sz="0" w:space="0" w:color="auto"/>
              </w:divBdr>
            </w:div>
          </w:divsChild>
        </w:div>
        <w:div w:id="1799950110">
          <w:marLeft w:val="0"/>
          <w:marRight w:val="0"/>
          <w:marTop w:val="0"/>
          <w:marBottom w:val="0"/>
          <w:divBdr>
            <w:top w:val="none" w:sz="0" w:space="0" w:color="auto"/>
            <w:left w:val="none" w:sz="0" w:space="0" w:color="auto"/>
            <w:bottom w:val="none" w:sz="0" w:space="0" w:color="auto"/>
            <w:right w:val="none" w:sz="0" w:space="0" w:color="auto"/>
          </w:divBdr>
          <w:divsChild>
            <w:div w:id="712196767">
              <w:marLeft w:val="0"/>
              <w:marRight w:val="0"/>
              <w:marTop w:val="0"/>
              <w:marBottom w:val="0"/>
              <w:divBdr>
                <w:top w:val="none" w:sz="0" w:space="0" w:color="auto"/>
                <w:left w:val="none" w:sz="0" w:space="0" w:color="auto"/>
                <w:bottom w:val="none" w:sz="0" w:space="0" w:color="auto"/>
                <w:right w:val="none" w:sz="0" w:space="0" w:color="auto"/>
              </w:divBdr>
            </w:div>
          </w:divsChild>
        </w:div>
        <w:div w:id="1802573066">
          <w:marLeft w:val="0"/>
          <w:marRight w:val="0"/>
          <w:marTop w:val="0"/>
          <w:marBottom w:val="0"/>
          <w:divBdr>
            <w:top w:val="none" w:sz="0" w:space="0" w:color="auto"/>
            <w:left w:val="none" w:sz="0" w:space="0" w:color="auto"/>
            <w:bottom w:val="none" w:sz="0" w:space="0" w:color="auto"/>
            <w:right w:val="none" w:sz="0" w:space="0" w:color="auto"/>
          </w:divBdr>
          <w:divsChild>
            <w:div w:id="852308611">
              <w:marLeft w:val="0"/>
              <w:marRight w:val="0"/>
              <w:marTop w:val="0"/>
              <w:marBottom w:val="0"/>
              <w:divBdr>
                <w:top w:val="none" w:sz="0" w:space="0" w:color="auto"/>
                <w:left w:val="none" w:sz="0" w:space="0" w:color="auto"/>
                <w:bottom w:val="none" w:sz="0" w:space="0" w:color="auto"/>
                <w:right w:val="none" w:sz="0" w:space="0" w:color="auto"/>
              </w:divBdr>
            </w:div>
          </w:divsChild>
        </w:div>
        <w:div w:id="1809588844">
          <w:marLeft w:val="0"/>
          <w:marRight w:val="0"/>
          <w:marTop w:val="0"/>
          <w:marBottom w:val="0"/>
          <w:divBdr>
            <w:top w:val="none" w:sz="0" w:space="0" w:color="auto"/>
            <w:left w:val="none" w:sz="0" w:space="0" w:color="auto"/>
            <w:bottom w:val="none" w:sz="0" w:space="0" w:color="auto"/>
            <w:right w:val="none" w:sz="0" w:space="0" w:color="auto"/>
          </w:divBdr>
          <w:divsChild>
            <w:div w:id="1219515377">
              <w:marLeft w:val="0"/>
              <w:marRight w:val="0"/>
              <w:marTop w:val="0"/>
              <w:marBottom w:val="0"/>
              <w:divBdr>
                <w:top w:val="none" w:sz="0" w:space="0" w:color="auto"/>
                <w:left w:val="none" w:sz="0" w:space="0" w:color="auto"/>
                <w:bottom w:val="none" w:sz="0" w:space="0" w:color="auto"/>
                <w:right w:val="none" w:sz="0" w:space="0" w:color="auto"/>
              </w:divBdr>
            </w:div>
          </w:divsChild>
        </w:div>
        <w:div w:id="1819298160">
          <w:marLeft w:val="0"/>
          <w:marRight w:val="0"/>
          <w:marTop w:val="0"/>
          <w:marBottom w:val="0"/>
          <w:divBdr>
            <w:top w:val="none" w:sz="0" w:space="0" w:color="auto"/>
            <w:left w:val="none" w:sz="0" w:space="0" w:color="auto"/>
            <w:bottom w:val="none" w:sz="0" w:space="0" w:color="auto"/>
            <w:right w:val="none" w:sz="0" w:space="0" w:color="auto"/>
          </w:divBdr>
          <w:divsChild>
            <w:div w:id="1934122237">
              <w:marLeft w:val="0"/>
              <w:marRight w:val="0"/>
              <w:marTop w:val="0"/>
              <w:marBottom w:val="0"/>
              <w:divBdr>
                <w:top w:val="none" w:sz="0" w:space="0" w:color="auto"/>
                <w:left w:val="none" w:sz="0" w:space="0" w:color="auto"/>
                <w:bottom w:val="none" w:sz="0" w:space="0" w:color="auto"/>
                <w:right w:val="none" w:sz="0" w:space="0" w:color="auto"/>
              </w:divBdr>
            </w:div>
          </w:divsChild>
        </w:div>
        <w:div w:id="1829519365">
          <w:marLeft w:val="0"/>
          <w:marRight w:val="0"/>
          <w:marTop w:val="0"/>
          <w:marBottom w:val="0"/>
          <w:divBdr>
            <w:top w:val="none" w:sz="0" w:space="0" w:color="auto"/>
            <w:left w:val="none" w:sz="0" w:space="0" w:color="auto"/>
            <w:bottom w:val="none" w:sz="0" w:space="0" w:color="auto"/>
            <w:right w:val="none" w:sz="0" w:space="0" w:color="auto"/>
          </w:divBdr>
          <w:divsChild>
            <w:div w:id="1634022967">
              <w:marLeft w:val="0"/>
              <w:marRight w:val="0"/>
              <w:marTop w:val="0"/>
              <w:marBottom w:val="0"/>
              <w:divBdr>
                <w:top w:val="none" w:sz="0" w:space="0" w:color="auto"/>
                <w:left w:val="none" w:sz="0" w:space="0" w:color="auto"/>
                <w:bottom w:val="none" w:sz="0" w:space="0" w:color="auto"/>
                <w:right w:val="none" w:sz="0" w:space="0" w:color="auto"/>
              </w:divBdr>
            </w:div>
          </w:divsChild>
        </w:div>
        <w:div w:id="1835801972">
          <w:marLeft w:val="0"/>
          <w:marRight w:val="0"/>
          <w:marTop w:val="0"/>
          <w:marBottom w:val="0"/>
          <w:divBdr>
            <w:top w:val="none" w:sz="0" w:space="0" w:color="auto"/>
            <w:left w:val="none" w:sz="0" w:space="0" w:color="auto"/>
            <w:bottom w:val="none" w:sz="0" w:space="0" w:color="auto"/>
            <w:right w:val="none" w:sz="0" w:space="0" w:color="auto"/>
          </w:divBdr>
          <w:divsChild>
            <w:div w:id="515117967">
              <w:marLeft w:val="0"/>
              <w:marRight w:val="0"/>
              <w:marTop w:val="0"/>
              <w:marBottom w:val="0"/>
              <w:divBdr>
                <w:top w:val="none" w:sz="0" w:space="0" w:color="auto"/>
                <w:left w:val="none" w:sz="0" w:space="0" w:color="auto"/>
                <w:bottom w:val="none" w:sz="0" w:space="0" w:color="auto"/>
                <w:right w:val="none" w:sz="0" w:space="0" w:color="auto"/>
              </w:divBdr>
            </w:div>
          </w:divsChild>
        </w:div>
        <w:div w:id="1862282748">
          <w:marLeft w:val="0"/>
          <w:marRight w:val="0"/>
          <w:marTop w:val="0"/>
          <w:marBottom w:val="0"/>
          <w:divBdr>
            <w:top w:val="none" w:sz="0" w:space="0" w:color="auto"/>
            <w:left w:val="none" w:sz="0" w:space="0" w:color="auto"/>
            <w:bottom w:val="none" w:sz="0" w:space="0" w:color="auto"/>
            <w:right w:val="none" w:sz="0" w:space="0" w:color="auto"/>
          </w:divBdr>
          <w:divsChild>
            <w:div w:id="394281047">
              <w:marLeft w:val="0"/>
              <w:marRight w:val="0"/>
              <w:marTop w:val="0"/>
              <w:marBottom w:val="0"/>
              <w:divBdr>
                <w:top w:val="none" w:sz="0" w:space="0" w:color="auto"/>
                <w:left w:val="none" w:sz="0" w:space="0" w:color="auto"/>
                <w:bottom w:val="none" w:sz="0" w:space="0" w:color="auto"/>
                <w:right w:val="none" w:sz="0" w:space="0" w:color="auto"/>
              </w:divBdr>
            </w:div>
          </w:divsChild>
        </w:div>
        <w:div w:id="1878468792">
          <w:marLeft w:val="0"/>
          <w:marRight w:val="0"/>
          <w:marTop w:val="0"/>
          <w:marBottom w:val="0"/>
          <w:divBdr>
            <w:top w:val="none" w:sz="0" w:space="0" w:color="auto"/>
            <w:left w:val="none" w:sz="0" w:space="0" w:color="auto"/>
            <w:bottom w:val="none" w:sz="0" w:space="0" w:color="auto"/>
            <w:right w:val="none" w:sz="0" w:space="0" w:color="auto"/>
          </w:divBdr>
          <w:divsChild>
            <w:div w:id="1221018591">
              <w:marLeft w:val="0"/>
              <w:marRight w:val="0"/>
              <w:marTop w:val="0"/>
              <w:marBottom w:val="0"/>
              <w:divBdr>
                <w:top w:val="none" w:sz="0" w:space="0" w:color="auto"/>
                <w:left w:val="none" w:sz="0" w:space="0" w:color="auto"/>
                <w:bottom w:val="none" w:sz="0" w:space="0" w:color="auto"/>
                <w:right w:val="none" w:sz="0" w:space="0" w:color="auto"/>
              </w:divBdr>
            </w:div>
          </w:divsChild>
        </w:div>
        <w:div w:id="1902475682">
          <w:marLeft w:val="0"/>
          <w:marRight w:val="0"/>
          <w:marTop w:val="0"/>
          <w:marBottom w:val="0"/>
          <w:divBdr>
            <w:top w:val="none" w:sz="0" w:space="0" w:color="auto"/>
            <w:left w:val="none" w:sz="0" w:space="0" w:color="auto"/>
            <w:bottom w:val="none" w:sz="0" w:space="0" w:color="auto"/>
            <w:right w:val="none" w:sz="0" w:space="0" w:color="auto"/>
          </w:divBdr>
          <w:divsChild>
            <w:div w:id="1035933237">
              <w:marLeft w:val="0"/>
              <w:marRight w:val="0"/>
              <w:marTop w:val="0"/>
              <w:marBottom w:val="0"/>
              <w:divBdr>
                <w:top w:val="none" w:sz="0" w:space="0" w:color="auto"/>
                <w:left w:val="none" w:sz="0" w:space="0" w:color="auto"/>
                <w:bottom w:val="none" w:sz="0" w:space="0" w:color="auto"/>
                <w:right w:val="none" w:sz="0" w:space="0" w:color="auto"/>
              </w:divBdr>
            </w:div>
          </w:divsChild>
        </w:div>
        <w:div w:id="1903981911">
          <w:marLeft w:val="0"/>
          <w:marRight w:val="0"/>
          <w:marTop w:val="0"/>
          <w:marBottom w:val="0"/>
          <w:divBdr>
            <w:top w:val="none" w:sz="0" w:space="0" w:color="auto"/>
            <w:left w:val="none" w:sz="0" w:space="0" w:color="auto"/>
            <w:bottom w:val="none" w:sz="0" w:space="0" w:color="auto"/>
            <w:right w:val="none" w:sz="0" w:space="0" w:color="auto"/>
          </w:divBdr>
          <w:divsChild>
            <w:div w:id="1345522528">
              <w:marLeft w:val="0"/>
              <w:marRight w:val="0"/>
              <w:marTop w:val="0"/>
              <w:marBottom w:val="0"/>
              <w:divBdr>
                <w:top w:val="none" w:sz="0" w:space="0" w:color="auto"/>
                <w:left w:val="none" w:sz="0" w:space="0" w:color="auto"/>
                <w:bottom w:val="none" w:sz="0" w:space="0" w:color="auto"/>
                <w:right w:val="none" w:sz="0" w:space="0" w:color="auto"/>
              </w:divBdr>
            </w:div>
          </w:divsChild>
        </w:div>
        <w:div w:id="1945108935">
          <w:marLeft w:val="0"/>
          <w:marRight w:val="0"/>
          <w:marTop w:val="0"/>
          <w:marBottom w:val="0"/>
          <w:divBdr>
            <w:top w:val="none" w:sz="0" w:space="0" w:color="auto"/>
            <w:left w:val="none" w:sz="0" w:space="0" w:color="auto"/>
            <w:bottom w:val="none" w:sz="0" w:space="0" w:color="auto"/>
            <w:right w:val="none" w:sz="0" w:space="0" w:color="auto"/>
          </w:divBdr>
          <w:divsChild>
            <w:div w:id="1653752653">
              <w:marLeft w:val="0"/>
              <w:marRight w:val="0"/>
              <w:marTop w:val="0"/>
              <w:marBottom w:val="0"/>
              <w:divBdr>
                <w:top w:val="none" w:sz="0" w:space="0" w:color="auto"/>
                <w:left w:val="none" w:sz="0" w:space="0" w:color="auto"/>
                <w:bottom w:val="none" w:sz="0" w:space="0" w:color="auto"/>
                <w:right w:val="none" w:sz="0" w:space="0" w:color="auto"/>
              </w:divBdr>
            </w:div>
          </w:divsChild>
        </w:div>
        <w:div w:id="1947737882">
          <w:marLeft w:val="0"/>
          <w:marRight w:val="0"/>
          <w:marTop w:val="0"/>
          <w:marBottom w:val="0"/>
          <w:divBdr>
            <w:top w:val="none" w:sz="0" w:space="0" w:color="auto"/>
            <w:left w:val="none" w:sz="0" w:space="0" w:color="auto"/>
            <w:bottom w:val="none" w:sz="0" w:space="0" w:color="auto"/>
            <w:right w:val="none" w:sz="0" w:space="0" w:color="auto"/>
          </w:divBdr>
          <w:divsChild>
            <w:div w:id="1540122110">
              <w:marLeft w:val="0"/>
              <w:marRight w:val="0"/>
              <w:marTop w:val="0"/>
              <w:marBottom w:val="0"/>
              <w:divBdr>
                <w:top w:val="none" w:sz="0" w:space="0" w:color="auto"/>
                <w:left w:val="none" w:sz="0" w:space="0" w:color="auto"/>
                <w:bottom w:val="none" w:sz="0" w:space="0" w:color="auto"/>
                <w:right w:val="none" w:sz="0" w:space="0" w:color="auto"/>
              </w:divBdr>
            </w:div>
          </w:divsChild>
        </w:div>
        <w:div w:id="1957102125">
          <w:marLeft w:val="0"/>
          <w:marRight w:val="0"/>
          <w:marTop w:val="0"/>
          <w:marBottom w:val="0"/>
          <w:divBdr>
            <w:top w:val="none" w:sz="0" w:space="0" w:color="auto"/>
            <w:left w:val="none" w:sz="0" w:space="0" w:color="auto"/>
            <w:bottom w:val="none" w:sz="0" w:space="0" w:color="auto"/>
            <w:right w:val="none" w:sz="0" w:space="0" w:color="auto"/>
          </w:divBdr>
          <w:divsChild>
            <w:div w:id="1323774482">
              <w:marLeft w:val="0"/>
              <w:marRight w:val="0"/>
              <w:marTop w:val="0"/>
              <w:marBottom w:val="0"/>
              <w:divBdr>
                <w:top w:val="none" w:sz="0" w:space="0" w:color="auto"/>
                <w:left w:val="none" w:sz="0" w:space="0" w:color="auto"/>
                <w:bottom w:val="none" w:sz="0" w:space="0" w:color="auto"/>
                <w:right w:val="none" w:sz="0" w:space="0" w:color="auto"/>
              </w:divBdr>
            </w:div>
          </w:divsChild>
        </w:div>
        <w:div w:id="1957175780">
          <w:marLeft w:val="0"/>
          <w:marRight w:val="0"/>
          <w:marTop w:val="0"/>
          <w:marBottom w:val="0"/>
          <w:divBdr>
            <w:top w:val="none" w:sz="0" w:space="0" w:color="auto"/>
            <w:left w:val="none" w:sz="0" w:space="0" w:color="auto"/>
            <w:bottom w:val="none" w:sz="0" w:space="0" w:color="auto"/>
            <w:right w:val="none" w:sz="0" w:space="0" w:color="auto"/>
          </w:divBdr>
          <w:divsChild>
            <w:div w:id="1842819452">
              <w:marLeft w:val="0"/>
              <w:marRight w:val="0"/>
              <w:marTop w:val="0"/>
              <w:marBottom w:val="0"/>
              <w:divBdr>
                <w:top w:val="none" w:sz="0" w:space="0" w:color="auto"/>
                <w:left w:val="none" w:sz="0" w:space="0" w:color="auto"/>
                <w:bottom w:val="none" w:sz="0" w:space="0" w:color="auto"/>
                <w:right w:val="none" w:sz="0" w:space="0" w:color="auto"/>
              </w:divBdr>
            </w:div>
          </w:divsChild>
        </w:div>
        <w:div w:id="1963422120">
          <w:marLeft w:val="0"/>
          <w:marRight w:val="0"/>
          <w:marTop w:val="0"/>
          <w:marBottom w:val="0"/>
          <w:divBdr>
            <w:top w:val="none" w:sz="0" w:space="0" w:color="auto"/>
            <w:left w:val="none" w:sz="0" w:space="0" w:color="auto"/>
            <w:bottom w:val="none" w:sz="0" w:space="0" w:color="auto"/>
            <w:right w:val="none" w:sz="0" w:space="0" w:color="auto"/>
          </w:divBdr>
          <w:divsChild>
            <w:div w:id="1511067498">
              <w:marLeft w:val="0"/>
              <w:marRight w:val="0"/>
              <w:marTop w:val="0"/>
              <w:marBottom w:val="0"/>
              <w:divBdr>
                <w:top w:val="none" w:sz="0" w:space="0" w:color="auto"/>
                <w:left w:val="none" w:sz="0" w:space="0" w:color="auto"/>
                <w:bottom w:val="none" w:sz="0" w:space="0" w:color="auto"/>
                <w:right w:val="none" w:sz="0" w:space="0" w:color="auto"/>
              </w:divBdr>
            </w:div>
          </w:divsChild>
        </w:div>
        <w:div w:id="1993825845">
          <w:marLeft w:val="0"/>
          <w:marRight w:val="0"/>
          <w:marTop w:val="0"/>
          <w:marBottom w:val="0"/>
          <w:divBdr>
            <w:top w:val="none" w:sz="0" w:space="0" w:color="auto"/>
            <w:left w:val="none" w:sz="0" w:space="0" w:color="auto"/>
            <w:bottom w:val="none" w:sz="0" w:space="0" w:color="auto"/>
            <w:right w:val="none" w:sz="0" w:space="0" w:color="auto"/>
          </w:divBdr>
          <w:divsChild>
            <w:div w:id="1111587838">
              <w:marLeft w:val="0"/>
              <w:marRight w:val="0"/>
              <w:marTop w:val="0"/>
              <w:marBottom w:val="0"/>
              <w:divBdr>
                <w:top w:val="none" w:sz="0" w:space="0" w:color="auto"/>
                <w:left w:val="none" w:sz="0" w:space="0" w:color="auto"/>
                <w:bottom w:val="none" w:sz="0" w:space="0" w:color="auto"/>
                <w:right w:val="none" w:sz="0" w:space="0" w:color="auto"/>
              </w:divBdr>
            </w:div>
          </w:divsChild>
        </w:div>
        <w:div w:id="2016300047">
          <w:marLeft w:val="0"/>
          <w:marRight w:val="0"/>
          <w:marTop w:val="0"/>
          <w:marBottom w:val="0"/>
          <w:divBdr>
            <w:top w:val="none" w:sz="0" w:space="0" w:color="auto"/>
            <w:left w:val="none" w:sz="0" w:space="0" w:color="auto"/>
            <w:bottom w:val="none" w:sz="0" w:space="0" w:color="auto"/>
            <w:right w:val="none" w:sz="0" w:space="0" w:color="auto"/>
          </w:divBdr>
          <w:divsChild>
            <w:div w:id="562302780">
              <w:marLeft w:val="0"/>
              <w:marRight w:val="0"/>
              <w:marTop w:val="0"/>
              <w:marBottom w:val="0"/>
              <w:divBdr>
                <w:top w:val="none" w:sz="0" w:space="0" w:color="auto"/>
                <w:left w:val="none" w:sz="0" w:space="0" w:color="auto"/>
                <w:bottom w:val="none" w:sz="0" w:space="0" w:color="auto"/>
                <w:right w:val="none" w:sz="0" w:space="0" w:color="auto"/>
              </w:divBdr>
            </w:div>
          </w:divsChild>
        </w:div>
        <w:div w:id="2017532269">
          <w:marLeft w:val="0"/>
          <w:marRight w:val="0"/>
          <w:marTop w:val="0"/>
          <w:marBottom w:val="0"/>
          <w:divBdr>
            <w:top w:val="none" w:sz="0" w:space="0" w:color="auto"/>
            <w:left w:val="none" w:sz="0" w:space="0" w:color="auto"/>
            <w:bottom w:val="none" w:sz="0" w:space="0" w:color="auto"/>
            <w:right w:val="none" w:sz="0" w:space="0" w:color="auto"/>
          </w:divBdr>
          <w:divsChild>
            <w:div w:id="104234830">
              <w:marLeft w:val="0"/>
              <w:marRight w:val="0"/>
              <w:marTop w:val="0"/>
              <w:marBottom w:val="0"/>
              <w:divBdr>
                <w:top w:val="none" w:sz="0" w:space="0" w:color="auto"/>
                <w:left w:val="none" w:sz="0" w:space="0" w:color="auto"/>
                <w:bottom w:val="none" w:sz="0" w:space="0" w:color="auto"/>
                <w:right w:val="none" w:sz="0" w:space="0" w:color="auto"/>
              </w:divBdr>
            </w:div>
          </w:divsChild>
        </w:div>
        <w:div w:id="2023119840">
          <w:marLeft w:val="0"/>
          <w:marRight w:val="0"/>
          <w:marTop w:val="0"/>
          <w:marBottom w:val="0"/>
          <w:divBdr>
            <w:top w:val="none" w:sz="0" w:space="0" w:color="auto"/>
            <w:left w:val="none" w:sz="0" w:space="0" w:color="auto"/>
            <w:bottom w:val="none" w:sz="0" w:space="0" w:color="auto"/>
            <w:right w:val="none" w:sz="0" w:space="0" w:color="auto"/>
          </w:divBdr>
          <w:divsChild>
            <w:div w:id="2057662608">
              <w:marLeft w:val="0"/>
              <w:marRight w:val="0"/>
              <w:marTop w:val="0"/>
              <w:marBottom w:val="0"/>
              <w:divBdr>
                <w:top w:val="none" w:sz="0" w:space="0" w:color="auto"/>
                <w:left w:val="none" w:sz="0" w:space="0" w:color="auto"/>
                <w:bottom w:val="none" w:sz="0" w:space="0" w:color="auto"/>
                <w:right w:val="none" w:sz="0" w:space="0" w:color="auto"/>
              </w:divBdr>
            </w:div>
          </w:divsChild>
        </w:div>
        <w:div w:id="2026320308">
          <w:marLeft w:val="0"/>
          <w:marRight w:val="0"/>
          <w:marTop w:val="0"/>
          <w:marBottom w:val="0"/>
          <w:divBdr>
            <w:top w:val="none" w:sz="0" w:space="0" w:color="auto"/>
            <w:left w:val="none" w:sz="0" w:space="0" w:color="auto"/>
            <w:bottom w:val="none" w:sz="0" w:space="0" w:color="auto"/>
            <w:right w:val="none" w:sz="0" w:space="0" w:color="auto"/>
          </w:divBdr>
          <w:divsChild>
            <w:div w:id="170341289">
              <w:marLeft w:val="0"/>
              <w:marRight w:val="0"/>
              <w:marTop w:val="0"/>
              <w:marBottom w:val="0"/>
              <w:divBdr>
                <w:top w:val="none" w:sz="0" w:space="0" w:color="auto"/>
                <w:left w:val="none" w:sz="0" w:space="0" w:color="auto"/>
                <w:bottom w:val="none" w:sz="0" w:space="0" w:color="auto"/>
                <w:right w:val="none" w:sz="0" w:space="0" w:color="auto"/>
              </w:divBdr>
            </w:div>
          </w:divsChild>
        </w:div>
        <w:div w:id="2040734485">
          <w:marLeft w:val="0"/>
          <w:marRight w:val="0"/>
          <w:marTop w:val="0"/>
          <w:marBottom w:val="0"/>
          <w:divBdr>
            <w:top w:val="none" w:sz="0" w:space="0" w:color="auto"/>
            <w:left w:val="none" w:sz="0" w:space="0" w:color="auto"/>
            <w:bottom w:val="none" w:sz="0" w:space="0" w:color="auto"/>
            <w:right w:val="none" w:sz="0" w:space="0" w:color="auto"/>
          </w:divBdr>
          <w:divsChild>
            <w:div w:id="1719474124">
              <w:marLeft w:val="0"/>
              <w:marRight w:val="0"/>
              <w:marTop w:val="0"/>
              <w:marBottom w:val="0"/>
              <w:divBdr>
                <w:top w:val="none" w:sz="0" w:space="0" w:color="auto"/>
                <w:left w:val="none" w:sz="0" w:space="0" w:color="auto"/>
                <w:bottom w:val="none" w:sz="0" w:space="0" w:color="auto"/>
                <w:right w:val="none" w:sz="0" w:space="0" w:color="auto"/>
              </w:divBdr>
            </w:div>
          </w:divsChild>
        </w:div>
        <w:div w:id="2085373555">
          <w:marLeft w:val="0"/>
          <w:marRight w:val="0"/>
          <w:marTop w:val="0"/>
          <w:marBottom w:val="0"/>
          <w:divBdr>
            <w:top w:val="none" w:sz="0" w:space="0" w:color="auto"/>
            <w:left w:val="none" w:sz="0" w:space="0" w:color="auto"/>
            <w:bottom w:val="none" w:sz="0" w:space="0" w:color="auto"/>
            <w:right w:val="none" w:sz="0" w:space="0" w:color="auto"/>
          </w:divBdr>
          <w:divsChild>
            <w:div w:id="1860387104">
              <w:marLeft w:val="0"/>
              <w:marRight w:val="0"/>
              <w:marTop w:val="0"/>
              <w:marBottom w:val="0"/>
              <w:divBdr>
                <w:top w:val="none" w:sz="0" w:space="0" w:color="auto"/>
                <w:left w:val="none" w:sz="0" w:space="0" w:color="auto"/>
                <w:bottom w:val="none" w:sz="0" w:space="0" w:color="auto"/>
                <w:right w:val="none" w:sz="0" w:space="0" w:color="auto"/>
              </w:divBdr>
            </w:div>
          </w:divsChild>
        </w:div>
        <w:div w:id="2087800026">
          <w:marLeft w:val="0"/>
          <w:marRight w:val="0"/>
          <w:marTop w:val="0"/>
          <w:marBottom w:val="0"/>
          <w:divBdr>
            <w:top w:val="none" w:sz="0" w:space="0" w:color="auto"/>
            <w:left w:val="none" w:sz="0" w:space="0" w:color="auto"/>
            <w:bottom w:val="none" w:sz="0" w:space="0" w:color="auto"/>
            <w:right w:val="none" w:sz="0" w:space="0" w:color="auto"/>
          </w:divBdr>
          <w:divsChild>
            <w:div w:id="170536820">
              <w:marLeft w:val="0"/>
              <w:marRight w:val="0"/>
              <w:marTop w:val="0"/>
              <w:marBottom w:val="0"/>
              <w:divBdr>
                <w:top w:val="none" w:sz="0" w:space="0" w:color="auto"/>
                <w:left w:val="none" w:sz="0" w:space="0" w:color="auto"/>
                <w:bottom w:val="none" w:sz="0" w:space="0" w:color="auto"/>
                <w:right w:val="none" w:sz="0" w:space="0" w:color="auto"/>
              </w:divBdr>
            </w:div>
          </w:divsChild>
        </w:div>
        <w:div w:id="2092652082">
          <w:marLeft w:val="0"/>
          <w:marRight w:val="0"/>
          <w:marTop w:val="0"/>
          <w:marBottom w:val="0"/>
          <w:divBdr>
            <w:top w:val="none" w:sz="0" w:space="0" w:color="auto"/>
            <w:left w:val="none" w:sz="0" w:space="0" w:color="auto"/>
            <w:bottom w:val="none" w:sz="0" w:space="0" w:color="auto"/>
            <w:right w:val="none" w:sz="0" w:space="0" w:color="auto"/>
          </w:divBdr>
          <w:divsChild>
            <w:div w:id="2089568107">
              <w:marLeft w:val="0"/>
              <w:marRight w:val="0"/>
              <w:marTop w:val="0"/>
              <w:marBottom w:val="0"/>
              <w:divBdr>
                <w:top w:val="none" w:sz="0" w:space="0" w:color="auto"/>
                <w:left w:val="none" w:sz="0" w:space="0" w:color="auto"/>
                <w:bottom w:val="none" w:sz="0" w:space="0" w:color="auto"/>
                <w:right w:val="none" w:sz="0" w:space="0" w:color="auto"/>
              </w:divBdr>
            </w:div>
          </w:divsChild>
        </w:div>
        <w:div w:id="2093968745">
          <w:marLeft w:val="0"/>
          <w:marRight w:val="0"/>
          <w:marTop w:val="0"/>
          <w:marBottom w:val="0"/>
          <w:divBdr>
            <w:top w:val="none" w:sz="0" w:space="0" w:color="auto"/>
            <w:left w:val="none" w:sz="0" w:space="0" w:color="auto"/>
            <w:bottom w:val="none" w:sz="0" w:space="0" w:color="auto"/>
            <w:right w:val="none" w:sz="0" w:space="0" w:color="auto"/>
          </w:divBdr>
          <w:divsChild>
            <w:div w:id="1143741385">
              <w:marLeft w:val="0"/>
              <w:marRight w:val="0"/>
              <w:marTop w:val="0"/>
              <w:marBottom w:val="0"/>
              <w:divBdr>
                <w:top w:val="none" w:sz="0" w:space="0" w:color="auto"/>
                <w:left w:val="none" w:sz="0" w:space="0" w:color="auto"/>
                <w:bottom w:val="none" w:sz="0" w:space="0" w:color="auto"/>
                <w:right w:val="none" w:sz="0" w:space="0" w:color="auto"/>
              </w:divBdr>
            </w:div>
          </w:divsChild>
        </w:div>
        <w:div w:id="2100248846">
          <w:marLeft w:val="0"/>
          <w:marRight w:val="0"/>
          <w:marTop w:val="0"/>
          <w:marBottom w:val="0"/>
          <w:divBdr>
            <w:top w:val="none" w:sz="0" w:space="0" w:color="auto"/>
            <w:left w:val="none" w:sz="0" w:space="0" w:color="auto"/>
            <w:bottom w:val="none" w:sz="0" w:space="0" w:color="auto"/>
            <w:right w:val="none" w:sz="0" w:space="0" w:color="auto"/>
          </w:divBdr>
          <w:divsChild>
            <w:div w:id="2132553060">
              <w:marLeft w:val="0"/>
              <w:marRight w:val="0"/>
              <w:marTop w:val="0"/>
              <w:marBottom w:val="0"/>
              <w:divBdr>
                <w:top w:val="none" w:sz="0" w:space="0" w:color="auto"/>
                <w:left w:val="none" w:sz="0" w:space="0" w:color="auto"/>
                <w:bottom w:val="none" w:sz="0" w:space="0" w:color="auto"/>
                <w:right w:val="none" w:sz="0" w:space="0" w:color="auto"/>
              </w:divBdr>
            </w:div>
          </w:divsChild>
        </w:div>
        <w:div w:id="2101369300">
          <w:marLeft w:val="0"/>
          <w:marRight w:val="0"/>
          <w:marTop w:val="0"/>
          <w:marBottom w:val="0"/>
          <w:divBdr>
            <w:top w:val="none" w:sz="0" w:space="0" w:color="auto"/>
            <w:left w:val="none" w:sz="0" w:space="0" w:color="auto"/>
            <w:bottom w:val="none" w:sz="0" w:space="0" w:color="auto"/>
            <w:right w:val="none" w:sz="0" w:space="0" w:color="auto"/>
          </w:divBdr>
          <w:divsChild>
            <w:div w:id="607389039">
              <w:marLeft w:val="0"/>
              <w:marRight w:val="0"/>
              <w:marTop w:val="0"/>
              <w:marBottom w:val="0"/>
              <w:divBdr>
                <w:top w:val="none" w:sz="0" w:space="0" w:color="auto"/>
                <w:left w:val="none" w:sz="0" w:space="0" w:color="auto"/>
                <w:bottom w:val="none" w:sz="0" w:space="0" w:color="auto"/>
                <w:right w:val="none" w:sz="0" w:space="0" w:color="auto"/>
              </w:divBdr>
            </w:div>
          </w:divsChild>
        </w:div>
        <w:div w:id="2113431522">
          <w:marLeft w:val="0"/>
          <w:marRight w:val="0"/>
          <w:marTop w:val="0"/>
          <w:marBottom w:val="0"/>
          <w:divBdr>
            <w:top w:val="none" w:sz="0" w:space="0" w:color="auto"/>
            <w:left w:val="none" w:sz="0" w:space="0" w:color="auto"/>
            <w:bottom w:val="none" w:sz="0" w:space="0" w:color="auto"/>
            <w:right w:val="none" w:sz="0" w:space="0" w:color="auto"/>
          </w:divBdr>
          <w:divsChild>
            <w:div w:id="494758596">
              <w:marLeft w:val="0"/>
              <w:marRight w:val="0"/>
              <w:marTop w:val="0"/>
              <w:marBottom w:val="0"/>
              <w:divBdr>
                <w:top w:val="none" w:sz="0" w:space="0" w:color="auto"/>
                <w:left w:val="none" w:sz="0" w:space="0" w:color="auto"/>
                <w:bottom w:val="none" w:sz="0" w:space="0" w:color="auto"/>
                <w:right w:val="none" w:sz="0" w:space="0" w:color="auto"/>
              </w:divBdr>
            </w:div>
          </w:divsChild>
        </w:div>
        <w:div w:id="2127044546">
          <w:marLeft w:val="0"/>
          <w:marRight w:val="0"/>
          <w:marTop w:val="0"/>
          <w:marBottom w:val="0"/>
          <w:divBdr>
            <w:top w:val="none" w:sz="0" w:space="0" w:color="auto"/>
            <w:left w:val="none" w:sz="0" w:space="0" w:color="auto"/>
            <w:bottom w:val="none" w:sz="0" w:space="0" w:color="auto"/>
            <w:right w:val="none" w:sz="0" w:space="0" w:color="auto"/>
          </w:divBdr>
          <w:divsChild>
            <w:div w:id="1115444076">
              <w:marLeft w:val="0"/>
              <w:marRight w:val="0"/>
              <w:marTop w:val="0"/>
              <w:marBottom w:val="0"/>
              <w:divBdr>
                <w:top w:val="none" w:sz="0" w:space="0" w:color="auto"/>
                <w:left w:val="none" w:sz="0" w:space="0" w:color="auto"/>
                <w:bottom w:val="none" w:sz="0" w:space="0" w:color="auto"/>
                <w:right w:val="none" w:sz="0" w:space="0" w:color="auto"/>
              </w:divBdr>
            </w:div>
          </w:divsChild>
        </w:div>
        <w:div w:id="2129932826">
          <w:marLeft w:val="0"/>
          <w:marRight w:val="0"/>
          <w:marTop w:val="0"/>
          <w:marBottom w:val="0"/>
          <w:divBdr>
            <w:top w:val="none" w:sz="0" w:space="0" w:color="auto"/>
            <w:left w:val="none" w:sz="0" w:space="0" w:color="auto"/>
            <w:bottom w:val="none" w:sz="0" w:space="0" w:color="auto"/>
            <w:right w:val="none" w:sz="0" w:space="0" w:color="auto"/>
          </w:divBdr>
          <w:divsChild>
            <w:div w:id="670988593">
              <w:marLeft w:val="0"/>
              <w:marRight w:val="0"/>
              <w:marTop w:val="0"/>
              <w:marBottom w:val="0"/>
              <w:divBdr>
                <w:top w:val="none" w:sz="0" w:space="0" w:color="auto"/>
                <w:left w:val="none" w:sz="0" w:space="0" w:color="auto"/>
                <w:bottom w:val="none" w:sz="0" w:space="0" w:color="auto"/>
                <w:right w:val="none" w:sz="0" w:space="0" w:color="auto"/>
              </w:divBdr>
            </w:div>
          </w:divsChild>
        </w:div>
        <w:div w:id="2137721810">
          <w:marLeft w:val="0"/>
          <w:marRight w:val="0"/>
          <w:marTop w:val="0"/>
          <w:marBottom w:val="0"/>
          <w:divBdr>
            <w:top w:val="none" w:sz="0" w:space="0" w:color="auto"/>
            <w:left w:val="none" w:sz="0" w:space="0" w:color="auto"/>
            <w:bottom w:val="none" w:sz="0" w:space="0" w:color="auto"/>
            <w:right w:val="none" w:sz="0" w:space="0" w:color="auto"/>
          </w:divBdr>
          <w:divsChild>
            <w:div w:id="925696851">
              <w:marLeft w:val="0"/>
              <w:marRight w:val="0"/>
              <w:marTop w:val="0"/>
              <w:marBottom w:val="0"/>
              <w:divBdr>
                <w:top w:val="none" w:sz="0" w:space="0" w:color="auto"/>
                <w:left w:val="none" w:sz="0" w:space="0" w:color="auto"/>
                <w:bottom w:val="none" w:sz="0" w:space="0" w:color="auto"/>
                <w:right w:val="none" w:sz="0" w:space="0" w:color="auto"/>
              </w:divBdr>
            </w:div>
          </w:divsChild>
        </w:div>
        <w:div w:id="2141456466">
          <w:marLeft w:val="0"/>
          <w:marRight w:val="0"/>
          <w:marTop w:val="0"/>
          <w:marBottom w:val="0"/>
          <w:divBdr>
            <w:top w:val="none" w:sz="0" w:space="0" w:color="auto"/>
            <w:left w:val="none" w:sz="0" w:space="0" w:color="auto"/>
            <w:bottom w:val="none" w:sz="0" w:space="0" w:color="auto"/>
            <w:right w:val="none" w:sz="0" w:space="0" w:color="auto"/>
          </w:divBdr>
          <w:divsChild>
            <w:div w:id="10949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40772">
      <w:bodyDiv w:val="1"/>
      <w:marLeft w:val="0"/>
      <w:marRight w:val="0"/>
      <w:marTop w:val="0"/>
      <w:marBottom w:val="0"/>
      <w:divBdr>
        <w:top w:val="none" w:sz="0" w:space="0" w:color="auto"/>
        <w:left w:val="none" w:sz="0" w:space="0" w:color="auto"/>
        <w:bottom w:val="none" w:sz="0" w:space="0" w:color="auto"/>
        <w:right w:val="none" w:sz="0" w:space="0" w:color="auto"/>
      </w:divBdr>
    </w:div>
    <w:div w:id="1296639485">
      <w:bodyDiv w:val="1"/>
      <w:marLeft w:val="0"/>
      <w:marRight w:val="0"/>
      <w:marTop w:val="0"/>
      <w:marBottom w:val="0"/>
      <w:divBdr>
        <w:top w:val="none" w:sz="0" w:space="0" w:color="auto"/>
        <w:left w:val="none" w:sz="0" w:space="0" w:color="auto"/>
        <w:bottom w:val="none" w:sz="0" w:space="0" w:color="auto"/>
        <w:right w:val="none" w:sz="0" w:space="0" w:color="auto"/>
      </w:divBdr>
    </w:div>
    <w:div w:id="1299217025">
      <w:bodyDiv w:val="1"/>
      <w:marLeft w:val="0"/>
      <w:marRight w:val="0"/>
      <w:marTop w:val="0"/>
      <w:marBottom w:val="0"/>
      <w:divBdr>
        <w:top w:val="none" w:sz="0" w:space="0" w:color="auto"/>
        <w:left w:val="none" w:sz="0" w:space="0" w:color="auto"/>
        <w:bottom w:val="none" w:sz="0" w:space="0" w:color="auto"/>
        <w:right w:val="none" w:sz="0" w:space="0" w:color="auto"/>
      </w:divBdr>
      <w:divsChild>
        <w:div w:id="11688655">
          <w:marLeft w:val="0"/>
          <w:marRight w:val="0"/>
          <w:marTop w:val="0"/>
          <w:marBottom w:val="0"/>
          <w:divBdr>
            <w:top w:val="none" w:sz="0" w:space="0" w:color="auto"/>
            <w:left w:val="none" w:sz="0" w:space="0" w:color="auto"/>
            <w:bottom w:val="none" w:sz="0" w:space="0" w:color="auto"/>
            <w:right w:val="none" w:sz="0" w:space="0" w:color="auto"/>
          </w:divBdr>
          <w:divsChild>
            <w:div w:id="1379008962">
              <w:marLeft w:val="0"/>
              <w:marRight w:val="0"/>
              <w:marTop w:val="0"/>
              <w:marBottom w:val="0"/>
              <w:divBdr>
                <w:top w:val="none" w:sz="0" w:space="0" w:color="auto"/>
                <w:left w:val="none" w:sz="0" w:space="0" w:color="auto"/>
                <w:bottom w:val="none" w:sz="0" w:space="0" w:color="auto"/>
                <w:right w:val="none" w:sz="0" w:space="0" w:color="auto"/>
              </w:divBdr>
            </w:div>
          </w:divsChild>
        </w:div>
        <w:div w:id="13771320">
          <w:marLeft w:val="0"/>
          <w:marRight w:val="0"/>
          <w:marTop w:val="0"/>
          <w:marBottom w:val="0"/>
          <w:divBdr>
            <w:top w:val="none" w:sz="0" w:space="0" w:color="auto"/>
            <w:left w:val="none" w:sz="0" w:space="0" w:color="auto"/>
            <w:bottom w:val="none" w:sz="0" w:space="0" w:color="auto"/>
            <w:right w:val="none" w:sz="0" w:space="0" w:color="auto"/>
          </w:divBdr>
          <w:divsChild>
            <w:div w:id="893201528">
              <w:marLeft w:val="0"/>
              <w:marRight w:val="0"/>
              <w:marTop w:val="0"/>
              <w:marBottom w:val="0"/>
              <w:divBdr>
                <w:top w:val="none" w:sz="0" w:space="0" w:color="auto"/>
                <w:left w:val="none" w:sz="0" w:space="0" w:color="auto"/>
                <w:bottom w:val="none" w:sz="0" w:space="0" w:color="auto"/>
                <w:right w:val="none" w:sz="0" w:space="0" w:color="auto"/>
              </w:divBdr>
            </w:div>
          </w:divsChild>
        </w:div>
        <w:div w:id="27492080">
          <w:marLeft w:val="0"/>
          <w:marRight w:val="0"/>
          <w:marTop w:val="0"/>
          <w:marBottom w:val="0"/>
          <w:divBdr>
            <w:top w:val="none" w:sz="0" w:space="0" w:color="auto"/>
            <w:left w:val="none" w:sz="0" w:space="0" w:color="auto"/>
            <w:bottom w:val="none" w:sz="0" w:space="0" w:color="auto"/>
            <w:right w:val="none" w:sz="0" w:space="0" w:color="auto"/>
          </w:divBdr>
          <w:divsChild>
            <w:div w:id="160826201">
              <w:marLeft w:val="0"/>
              <w:marRight w:val="0"/>
              <w:marTop w:val="0"/>
              <w:marBottom w:val="0"/>
              <w:divBdr>
                <w:top w:val="none" w:sz="0" w:space="0" w:color="auto"/>
                <w:left w:val="none" w:sz="0" w:space="0" w:color="auto"/>
                <w:bottom w:val="none" w:sz="0" w:space="0" w:color="auto"/>
                <w:right w:val="none" w:sz="0" w:space="0" w:color="auto"/>
              </w:divBdr>
            </w:div>
          </w:divsChild>
        </w:div>
        <w:div w:id="32965408">
          <w:marLeft w:val="0"/>
          <w:marRight w:val="0"/>
          <w:marTop w:val="0"/>
          <w:marBottom w:val="0"/>
          <w:divBdr>
            <w:top w:val="none" w:sz="0" w:space="0" w:color="auto"/>
            <w:left w:val="none" w:sz="0" w:space="0" w:color="auto"/>
            <w:bottom w:val="none" w:sz="0" w:space="0" w:color="auto"/>
            <w:right w:val="none" w:sz="0" w:space="0" w:color="auto"/>
          </w:divBdr>
          <w:divsChild>
            <w:div w:id="194541259">
              <w:marLeft w:val="0"/>
              <w:marRight w:val="0"/>
              <w:marTop w:val="0"/>
              <w:marBottom w:val="0"/>
              <w:divBdr>
                <w:top w:val="none" w:sz="0" w:space="0" w:color="auto"/>
                <w:left w:val="none" w:sz="0" w:space="0" w:color="auto"/>
                <w:bottom w:val="none" w:sz="0" w:space="0" w:color="auto"/>
                <w:right w:val="none" w:sz="0" w:space="0" w:color="auto"/>
              </w:divBdr>
            </w:div>
          </w:divsChild>
        </w:div>
        <w:div w:id="41253838">
          <w:marLeft w:val="0"/>
          <w:marRight w:val="0"/>
          <w:marTop w:val="0"/>
          <w:marBottom w:val="0"/>
          <w:divBdr>
            <w:top w:val="none" w:sz="0" w:space="0" w:color="auto"/>
            <w:left w:val="none" w:sz="0" w:space="0" w:color="auto"/>
            <w:bottom w:val="none" w:sz="0" w:space="0" w:color="auto"/>
            <w:right w:val="none" w:sz="0" w:space="0" w:color="auto"/>
          </w:divBdr>
          <w:divsChild>
            <w:div w:id="2039501246">
              <w:marLeft w:val="0"/>
              <w:marRight w:val="0"/>
              <w:marTop w:val="0"/>
              <w:marBottom w:val="0"/>
              <w:divBdr>
                <w:top w:val="none" w:sz="0" w:space="0" w:color="auto"/>
                <w:left w:val="none" w:sz="0" w:space="0" w:color="auto"/>
                <w:bottom w:val="none" w:sz="0" w:space="0" w:color="auto"/>
                <w:right w:val="none" w:sz="0" w:space="0" w:color="auto"/>
              </w:divBdr>
            </w:div>
          </w:divsChild>
        </w:div>
        <w:div w:id="48457086">
          <w:marLeft w:val="0"/>
          <w:marRight w:val="0"/>
          <w:marTop w:val="0"/>
          <w:marBottom w:val="0"/>
          <w:divBdr>
            <w:top w:val="none" w:sz="0" w:space="0" w:color="auto"/>
            <w:left w:val="none" w:sz="0" w:space="0" w:color="auto"/>
            <w:bottom w:val="none" w:sz="0" w:space="0" w:color="auto"/>
            <w:right w:val="none" w:sz="0" w:space="0" w:color="auto"/>
          </w:divBdr>
          <w:divsChild>
            <w:div w:id="531267393">
              <w:marLeft w:val="0"/>
              <w:marRight w:val="0"/>
              <w:marTop w:val="0"/>
              <w:marBottom w:val="0"/>
              <w:divBdr>
                <w:top w:val="none" w:sz="0" w:space="0" w:color="auto"/>
                <w:left w:val="none" w:sz="0" w:space="0" w:color="auto"/>
                <w:bottom w:val="none" w:sz="0" w:space="0" w:color="auto"/>
                <w:right w:val="none" w:sz="0" w:space="0" w:color="auto"/>
              </w:divBdr>
            </w:div>
          </w:divsChild>
        </w:div>
        <w:div w:id="49380120">
          <w:marLeft w:val="0"/>
          <w:marRight w:val="0"/>
          <w:marTop w:val="0"/>
          <w:marBottom w:val="0"/>
          <w:divBdr>
            <w:top w:val="none" w:sz="0" w:space="0" w:color="auto"/>
            <w:left w:val="none" w:sz="0" w:space="0" w:color="auto"/>
            <w:bottom w:val="none" w:sz="0" w:space="0" w:color="auto"/>
            <w:right w:val="none" w:sz="0" w:space="0" w:color="auto"/>
          </w:divBdr>
          <w:divsChild>
            <w:div w:id="672950593">
              <w:marLeft w:val="0"/>
              <w:marRight w:val="0"/>
              <w:marTop w:val="0"/>
              <w:marBottom w:val="0"/>
              <w:divBdr>
                <w:top w:val="none" w:sz="0" w:space="0" w:color="auto"/>
                <w:left w:val="none" w:sz="0" w:space="0" w:color="auto"/>
                <w:bottom w:val="none" w:sz="0" w:space="0" w:color="auto"/>
                <w:right w:val="none" w:sz="0" w:space="0" w:color="auto"/>
              </w:divBdr>
            </w:div>
          </w:divsChild>
        </w:div>
        <w:div w:id="55706600">
          <w:marLeft w:val="0"/>
          <w:marRight w:val="0"/>
          <w:marTop w:val="0"/>
          <w:marBottom w:val="0"/>
          <w:divBdr>
            <w:top w:val="none" w:sz="0" w:space="0" w:color="auto"/>
            <w:left w:val="none" w:sz="0" w:space="0" w:color="auto"/>
            <w:bottom w:val="none" w:sz="0" w:space="0" w:color="auto"/>
            <w:right w:val="none" w:sz="0" w:space="0" w:color="auto"/>
          </w:divBdr>
          <w:divsChild>
            <w:div w:id="1645086190">
              <w:marLeft w:val="0"/>
              <w:marRight w:val="0"/>
              <w:marTop w:val="0"/>
              <w:marBottom w:val="0"/>
              <w:divBdr>
                <w:top w:val="none" w:sz="0" w:space="0" w:color="auto"/>
                <w:left w:val="none" w:sz="0" w:space="0" w:color="auto"/>
                <w:bottom w:val="none" w:sz="0" w:space="0" w:color="auto"/>
                <w:right w:val="none" w:sz="0" w:space="0" w:color="auto"/>
              </w:divBdr>
            </w:div>
          </w:divsChild>
        </w:div>
        <w:div w:id="64769752">
          <w:marLeft w:val="0"/>
          <w:marRight w:val="0"/>
          <w:marTop w:val="0"/>
          <w:marBottom w:val="0"/>
          <w:divBdr>
            <w:top w:val="none" w:sz="0" w:space="0" w:color="auto"/>
            <w:left w:val="none" w:sz="0" w:space="0" w:color="auto"/>
            <w:bottom w:val="none" w:sz="0" w:space="0" w:color="auto"/>
            <w:right w:val="none" w:sz="0" w:space="0" w:color="auto"/>
          </w:divBdr>
          <w:divsChild>
            <w:div w:id="137040477">
              <w:marLeft w:val="0"/>
              <w:marRight w:val="0"/>
              <w:marTop w:val="0"/>
              <w:marBottom w:val="0"/>
              <w:divBdr>
                <w:top w:val="none" w:sz="0" w:space="0" w:color="auto"/>
                <w:left w:val="none" w:sz="0" w:space="0" w:color="auto"/>
                <w:bottom w:val="none" w:sz="0" w:space="0" w:color="auto"/>
                <w:right w:val="none" w:sz="0" w:space="0" w:color="auto"/>
              </w:divBdr>
            </w:div>
          </w:divsChild>
        </w:div>
        <w:div w:id="65155714">
          <w:marLeft w:val="0"/>
          <w:marRight w:val="0"/>
          <w:marTop w:val="0"/>
          <w:marBottom w:val="0"/>
          <w:divBdr>
            <w:top w:val="none" w:sz="0" w:space="0" w:color="auto"/>
            <w:left w:val="none" w:sz="0" w:space="0" w:color="auto"/>
            <w:bottom w:val="none" w:sz="0" w:space="0" w:color="auto"/>
            <w:right w:val="none" w:sz="0" w:space="0" w:color="auto"/>
          </w:divBdr>
          <w:divsChild>
            <w:div w:id="1773624250">
              <w:marLeft w:val="0"/>
              <w:marRight w:val="0"/>
              <w:marTop w:val="0"/>
              <w:marBottom w:val="0"/>
              <w:divBdr>
                <w:top w:val="none" w:sz="0" w:space="0" w:color="auto"/>
                <w:left w:val="none" w:sz="0" w:space="0" w:color="auto"/>
                <w:bottom w:val="none" w:sz="0" w:space="0" w:color="auto"/>
                <w:right w:val="none" w:sz="0" w:space="0" w:color="auto"/>
              </w:divBdr>
            </w:div>
          </w:divsChild>
        </w:div>
        <w:div w:id="72630109">
          <w:marLeft w:val="0"/>
          <w:marRight w:val="0"/>
          <w:marTop w:val="0"/>
          <w:marBottom w:val="0"/>
          <w:divBdr>
            <w:top w:val="none" w:sz="0" w:space="0" w:color="auto"/>
            <w:left w:val="none" w:sz="0" w:space="0" w:color="auto"/>
            <w:bottom w:val="none" w:sz="0" w:space="0" w:color="auto"/>
            <w:right w:val="none" w:sz="0" w:space="0" w:color="auto"/>
          </w:divBdr>
          <w:divsChild>
            <w:div w:id="653266754">
              <w:marLeft w:val="0"/>
              <w:marRight w:val="0"/>
              <w:marTop w:val="0"/>
              <w:marBottom w:val="0"/>
              <w:divBdr>
                <w:top w:val="none" w:sz="0" w:space="0" w:color="auto"/>
                <w:left w:val="none" w:sz="0" w:space="0" w:color="auto"/>
                <w:bottom w:val="none" w:sz="0" w:space="0" w:color="auto"/>
                <w:right w:val="none" w:sz="0" w:space="0" w:color="auto"/>
              </w:divBdr>
            </w:div>
            <w:div w:id="1750926407">
              <w:marLeft w:val="0"/>
              <w:marRight w:val="0"/>
              <w:marTop w:val="0"/>
              <w:marBottom w:val="0"/>
              <w:divBdr>
                <w:top w:val="none" w:sz="0" w:space="0" w:color="auto"/>
                <w:left w:val="none" w:sz="0" w:space="0" w:color="auto"/>
                <w:bottom w:val="none" w:sz="0" w:space="0" w:color="auto"/>
                <w:right w:val="none" w:sz="0" w:space="0" w:color="auto"/>
              </w:divBdr>
            </w:div>
            <w:div w:id="1884754765">
              <w:marLeft w:val="0"/>
              <w:marRight w:val="0"/>
              <w:marTop w:val="0"/>
              <w:marBottom w:val="0"/>
              <w:divBdr>
                <w:top w:val="none" w:sz="0" w:space="0" w:color="auto"/>
                <w:left w:val="none" w:sz="0" w:space="0" w:color="auto"/>
                <w:bottom w:val="none" w:sz="0" w:space="0" w:color="auto"/>
                <w:right w:val="none" w:sz="0" w:space="0" w:color="auto"/>
              </w:divBdr>
            </w:div>
          </w:divsChild>
        </w:div>
        <w:div w:id="74937332">
          <w:marLeft w:val="0"/>
          <w:marRight w:val="0"/>
          <w:marTop w:val="0"/>
          <w:marBottom w:val="0"/>
          <w:divBdr>
            <w:top w:val="none" w:sz="0" w:space="0" w:color="auto"/>
            <w:left w:val="none" w:sz="0" w:space="0" w:color="auto"/>
            <w:bottom w:val="none" w:sz="0" w:space="0" w:color="auto"/>
            <w:right w:val="none" w:sz="0" w:space="0" w:color="auto"/>
          </w:divBdr>
          <w:divsChild>
            <w:div w:id="1651595230">
              <w:marLeft w:val="0"/>
              <w:marRight w:val="0"/>
              <w:marTop w:val="0"/>
              <w:marBottom w:val="0"/>
              <w:divBdr>
                <w:top w:val="none" w:sz="0" w:space="0" w:color="auto"/>
                <w:left w:val="none" w:sz="0" w:space="0" w:color="auto"/>
                <w:bottom w:val="none" w:sz="0" w:space="0" w:color="auto"/>
                <w:right w:val="none" w:sz="0" w:space="0" w:color="auto"/>
              </w:divBdr>
            </w:div>
          </w:divsChild>
        </w:div>
        <w:div w:id="81493481">
          <w:marLeft w:val="0"/>
          <w:marRight w:val="0"/>
          <w:marTop w:val="0"/>
          <w:marBottom w:val="0"/>
          <w:divBdr>
            <w:top w:val="none" w:sz="0" w:space="0" w:color="auto"/>
            <w:left w:val="none" w:sz="0" w:space="0" w:color="auto"/>
            <w:bottom w:val="none" w:sz="0" w:space="0" w:color="auto"/>
            <w:right w:val="none" w:sz="0" w:space="0" w:color="auto"/>
          </w:divBdr>
          <w:divsChild>
            <w:div w:id="1836146458">
              <w:marLeft w:val="0"/>
              <w:marRight w:val="0"/>
              <w:marTop w:val="0"/>
              <w:marBottom w:val="0"/>
              <w:divBdr>
                <w:top w:val="none" w:sz="0" w:space="0" w:color="auto"/>
                <w:left w:val="none" w:sz="0" w:space="0" w:color="auto"/>
                <w:bottom w:val="none" w:sz="0" w:space="0" w:color="auto"/>
                <w:right w:val="none" w:sz="0" w:space="0" w:color="auto"/>
              </w:divBdr>
            </w:div>
          </w:divsChild>
        </w:div>
        <w:div w:id="104809878">
          <w:marLeft w:val="0"/>
          <w:marRight w:val="0"/>
          <w:marTop w:val="0"/>
          <w:marBottom w:val="0"/>
          <w:divBdr>
            <w:top w:val="none" w:sz="0" w:space="0" w:color="auto"/>
            <w:left w:val="none" w:sz="0" w:space="0" w:color="auto"/>
            <w:bottom w:val="none" w:sz="0" w:space="0" w:color="auto"/>
            <w:right w:val="none" w:sz="0" w:space="0" w:color="auto"/>
          </w:divBdr>
          <w:divsChild>
            <w:div w:id="368650636">
              <w:marLeft w:val="0"/>
              <w:marRight w:val="0"/>
              <w:marTop w:val="0"/>
              <w:marBottom w:val="0"/>
              <w:divBdr>
                <w:top w:val="none" w:sz="0" w:space="0" w:color="auto"/>
                <w:left w:val="none" w:sz="0" w:space="0" w:color="auto"/>
                <w:bottom w:val="none" w:sz="0" w:space="0" w:color="auto"/>
                <w:right w:val="none" w:sz="0" w:space="0" w:color="auto"/>
              </w:divBdr>
            </w:div>
          </w:divsChild>
        </w:div>
        <w:div w:id="105269664">
          <w:marLeft w:val="0"/>
          <w:marRight w:val="0"/>
          <w:marTop w:val="0"/>
          <w:marBottom w:val="0"/>
          <w:divBdr>
            <w:top w:val="none" w:sz="0" w:space="0" w:color="auto"/>
            <w:left w:val="none" w:sz="0" w:space="0" w:color="auto"/>
            <w:bottom w:val="none" w:sz="0" w:space="0" w:color="auto"/>
            <w:right w:val="none" w:sz="0" w:space="0" w:color="auto"/>
          </w:divBdr>
          <w:divsChild>
            <w:div w:id="1043558281">
              <w:marLeft w:val="0"/>
              <w:marRight w:val="0"/>
              <w:marTop w:val="0"/>
              <w:marBottom w:val="0"/>
              <w:divBdr>
                <w:top w:val="none" w:sz="0" w:space="0" w:color="auto"/>
                <w:left w:val="none" w:sz="0" w:space="0" w:color="auto"/>
                <w:bottom w:val="none" w:sz="0" w:space="0" w:color="auto"/>
                <w:right w:val="none" w:sz="0" w:space="0" w:color="auto"/>
              </w:divBdr>
            </w:div>
          </w:divsChild>
        </w:div>
        <w:div w:id="108209390">
          <w:marLeft w:val="0"/>
          <w:marRight w:val="0"/>
          <w:marTop w:val="0"/>
          <w:marBottom w:val="0"/>
          <w:divBdr>
            <w:top w:val="none" w:sz="0" w:space="0" w:color="auto"/>
            <w:left w:val="none" w:sz="0" w:space="0" w:color="auto"/>
            <w:bottom w:val="none" w:sz="0" w:space="0" w:color="auto"/>
            <w:right w:val="none" w:sz="0" w:space="0" w:color="auto"/>
          </w:divBdr>
          <w:divsChild>
            <w:div w:id="412245392">
              <w:marLeft w:val="0"/>
              <w:marRight w:val="0"/>
              <w:marTop w:val="0"/>
              <w:marBottom w:val="0"/>
              <w:divBdr>
                <w:top w:val="none" w:sz="0" w:space="0" w:color="auto"/>
                <w:left w:val="none" w:sz="0" w:space="0" w:color="auto"/>
                <w:bottom w:val="none" w:sz="0" w:space="0" w:color="auto"/>
                <w:right w:val="none" w:sz="0" w:space="0" w:color="auto"/>
              </w:divBdr>
            </w:div>
          </w:divsChild>
        </w:div>
        <w:div w:id="116460862">
          <w:marLeft w:val="0"/>
          <w:marRight w:val="0"/>
          <w:marTop w:val="0"/>
          <w:marBottom w:val="0"/>
          <w:divBdr>
            <w:top w:val="none" w:sz="0" w:space="0" w:color="auto"/>
            <w:left w:val="none" w:sz="0" w:space="0" w:color="auto"/>
            <w:bottom w:val="none" w:sz="0" w:space="0" w:color="auto"/>
            <w:right w:val="none" w:sz="0" w:space="0" w:color="auto"/>
          </w:divBdr>
          <w:divsChild>
            <w:div w:id="2123263794">
              <w:marLeft w:val="0"/>
              <w:marRight w:val="0"/>
              <w:marTop w:val="0"/>
              <w:marBottom w:val="0"/>
              <w:divBdr>
                <w:top w:val="none" w:sz="0" w:space="0" w:color="auto"/>
                <w:left w:val="none" w:sz="0" w:space="0" w:color="auto"/>
                <w:bottom w:val="none" w:sz="0" w:space="0" w:color="auto"/>
                <w:right w:val="none" w:sz="0" w:space="0" w:color="auto"/>
              </w:divBdr>
            </w:div>
          </w:divsChild>
        </w:div>
        <w:div w:id="138155192">
          <w:marLeft w:val="0"/>
          <w:marRight w:val="0"/>
          <w:marTop w:val="0"/>
          <w:marBottom w:val="0"/>
          <w:divBdr>
            <w:top w:val="none" w:sz="0" w:space="0" w:color="auto"/>
            <w:left w:val="none" w:sz="0" w:space="0" w:color="auto"/>
            <w:bottom w:val="none" w:sz="0" w:space="0" w:color="auto"/>
            <w:right w:val="none" w:sz="0" w:space="0" w:color="auto"/>
          </w:divBdr>
          <w:divsChild>
            <w:div w:id="1620992944">
              <w:marLeft w:val="0"/>
              <w:marRight w:val="0"/>
              <w:marTop w:val="0"/>
              <w:marBottom w:val="0"/>
              <w:divBdr>
                <w:top w:val="none" w:sz="0" w:space="0" w:color="auto"/>
                <w:left w:val="none" w:sz="0" w:space="0" w:color="auto"/>
                <w:bottom w:val="none" w:sz="0" w:space="0" w:color="auto"/>
                <w:right w:val="none" w:sz="0" w:space="0" w:color="auto"/>
              </w:divBdr>
            </w:div>
          </w:divsChild>
        </w:div>
        <w:div w:id="138889541">
          <w:marLeft w:val="0"/>
          <w:marRight w:val="0"/>
          <w:marTop w:val="0"/>
          <w:marBottom w:val="0"/>
          <w:divBdr>
            <w:top w:val="none" w:sz="0" w:space="0" w:color="auto"/>
            <w:left w:val="none" w:sz="0" w:space="0" w:color="auto"/>
            <w:bottom w:val="none" w:sz="0" w:space="0" w:color="auto"/>
            <w:right w:val="none" w:sz="0" w:space="0" w:color="auto"/>
          </w:divBdr>
          <w:divsChild>
            <w:div w:id="361446448">
              <w:marLeft w:val="0"/>
              <w:marRight w:val="0"/>
              <w:marTop w:val="0"/>
              <w:marBottom w:val="0"/>
              <w:divBdr>
                <w:top w:val="none" w:sz="0" w:space="0" w:color="auto"/>
                <w:left w:val="none" w:sz="0" w:space="0" w:color="auto"/>
                <w:bottom w:val="none" w:sz="0" w:space="0" w:color="auto"/>
                <w:right w:val="none" w:sz="0" w:space="0" w:color="auto"/>
              </w:divBdr>
            </w:div>
          </w:divsChild>
        </w:div>
        <w:div w:id="162669917">
          <w:marLeft w:val="0"/>
          <w:marRight w:val="0"/>
          <w:marTop w:val="0"/>
          <w:marBottom w:val="0"/>
          <w:divBdr>
            <w:top w:val="none" w:sz="0" w:space="0" w:color="auto"/>
            <w:left w:val="none" w:sz="0" w:space="0" w:color="auto"/>
            <w:bottom w:val="none" w:sz="0" w:space="0" w:color="auto"/>
            <w:right w:val="none" w:sz="0" w:space="0" w:color="auto"/>
          </w:divBdr>
          <w:divsChild>
            <w:div w:id="1699357221">
              <w:marLeft w:val="0"/>
              <w:marRight w:val="0"/>
              <w:marTop w:val="0"/>
              <w:marBottom w:val="0"/>
              <w:divBdr>
                <w:top w:val="none" w:sz="0" w:space="0" w:color="auto"/>
                <w:left w:val="none" w:sz="0" w:space="0" w:color="auto"/>
                <w:bottom w:val="none" w:sz="0" w:space="0" w:color="auto"/>
                <w:right w:val="none" w:sz="0" w:space="0" w:color="auto"/>
              </w:divBdr>
            </w:div>
          </w:divsChild>
        </w:div>
        <w:div w:id="165176024">
          <w:marLeft w:val="0"/>
          <w:marRight w:val="0"/>
          <w:marTop w:val="0"/>
          <w:marBottom w:val="0"/>
          <w:divBdr>
            <w:top w:val="none" w:sz="0" w:space="0" w:color="auto"/>
            <w:left w:val="none" w:sz="0" w:space="0" w:color="auto"/>
            <w:bottom w:val="none" w:sz="0" w:space="0" w:color="auto"/>
            <w:right w:val="none" w:sz="0" w:space="0" w:color="auto"/>
          </w:divBdr>
          <w:divsChild>
            <w:div w:id="824974578">
              <w:marLeft w:val="0"/>
              <w:marRight w:val="0"/>
              <w:marTop w:val="0"/>
              <w:marBottom w:val="0"/>
              <w:divBdr>
                <w:top w:val="none" w:sz="0" w:space="0" w:color="auto"/>
                <w:left w:val="none" w:sz="0" w:space="0" w:color="auto"/>
                <w:bottom w:val="none" w:sz="0" w:space="0" w:color="auto"/>
                <w:right w:val="none" w:sz="0" w:space="0" w:color="auto"/>
              </w:divBdr>
            </w:div>
          </w:divsChild>
        </w:div>
        <w:div w:id="167525358">
          <w:marLeft w:val="0"/>
          <w:marRight w:val="0"/>
          <w:marTop w:val="0"/>
          <w:marBottom w:val="0"/>
          <w:divBdr>
            <w:top w:val="none" w:sz="0" w:space="0" w:color="auto"/>
            <w:left w:val="none" w:sz="0" w:space="0" w:color="auto"/>
            <w:bottom w:val="none" w:sz="0" w:space="0" w:color="auto"/>
            <w:right w:val="none" w:sz="0" w:space="0" w:color="auto"/>
          </w:divBdr>
          <w:divsChild>
            <w:div w:id="1363630547">
              <w:marLeft w:val="0"/>
              <w:marRight w:val="0"/>
              <w:marTop w:val="0"/>
              <w:marBottom w:val="0"/>
              <w:divBdr>
                <w:top w:val="none" w:sz="0" w:space="0" w:color="auto"/>
                <w:left w:val="none" w:sz="0" w:space="0" w:color="auto"/>
                <w:bottom w:val="none" w:sz="0" w:space="0" w:color="auto"/>
                <w:right w:val="none" w:sz="0" w:space="0" w:color="auto"/>
              </w:divBdr>
            </w:div>
          </w:divsChild>
        </w:div>
        <w:div w:id="167911234">
          <w:marLeft w:val="0"/>
          <w:marRight w:val="0"/>
          <w:marTop w:val="0"/>
          <w:marBottom w:val="0"/>
          <w:divBdr>
            <w:top w:val="none" w:sz="0" w:space="0" w:color="auto"/>
            <w:left w:val="none" w:sz="0" w:space="0" w:color="auto"/>
            <w:bottom w:val="none" w:sz="0" w:space="0" w:color="auto"/>
            <w:right w:val="none" w:sz="0" w:space="0" w:color="auto"/>
          </w:divBdr>
          <w:divsChild>
            <w:div w:id="567572445">
              <w:marLeft w:val="0"/>
              <w:marRight w:val="0"/>
              <w:marTop w:val="0"/>
              <w:marBottom w:val="0"/>
              <w:divBdr>
                <w:top w:val="none" w:sz="0" w:space="0" w:color="auto"/>
                <w:left w:val="none" w:sz="0" w:space="0" w:color="auto"/>
                <w:bottom w:val="none" w:sz="0" w:space="0" w:color="auto"/>
                <w:right w:val="none" w:sz="0" w:space="0" w:color="auto"/>
              </w:divBdr>
            </w:div>
          </w:divsChild>
        </w:div>
        <w:div w:id="182524340">
          <w:marLeft w:val="0"/>
          <w:marRight w:val="0"/>
          <w:marTop w:val="0"/>
          <w:marBottom w:val="0"/>
          <w:divBdr>
            <w:top w:val="none" w:sz="0" w:space="0" w:color="auto"/>
            <w:left w:val="none" w:sz="0" w:space="0" w:color="auto"/>
            <w:bottom w:val="none" w:sz="0" w:space="0" w:color="auto"/>
            <w:right w:val="none" w:sz="0" w:space="0" w:color="auto"/>
          </w:divBdr>
          <w:divsChild>
            <w:div w:id="1655990109">
              <w:marLeft w:val="0"/>
              <w:marRight w:val="0"/>
              <w:marTop w:val="0"/>
              <w:marBottom w:val="0"/>
              <w:divBdr>
                <w:top w:val="none" w:sz="0" w:space="0" w:color="auto"/>
                <w:left w:val="none" w:sz="0" w:space="0" w:color="auto"/>
                <w:bottom w:val="none" w:sz="0" w:space="0" w:color="auto"/>
                <w:right w:val="none" w:sz="0" w:space="0" w:color="auto"/>
              </w:divBdr>
            </w:div>
          </w:divsChild>
        </w:div>
        <w:div w:id="183371506">
          <w:marLeft w:val="0"/>
          <w:marRight w:val="0"/>
          <w:marTop w:val="0"/>
          <w:marBottom w:val="0"/>
          <w:divBdr>
            <w:top w:val="none" w:sz="0" w:space="0" w:color="auto"/>
            <w:left w:val="none" w:sz="0" w:space="0" w:color="auto"/>
            <w:bottom w:val="none" w:sz="0" w:space="0" w:color="auto"/>
            <w:right w:val="none" w:sz="0" w:space="0" w:color="auto"/>
          </w:divBdr>
          <w:divsChild>
            <w:div w:id="528495496">
              <w:marLeft w:val="0"/>
              <w:marRight w:val="0"/>
              <w:marTop w:val="0"/>
              <w:marBottom w:val="0"/>
              <w:divBdr>
                <w:top w:val="none" w:sz="0" w:space="0" w:color="auto"/>
                <w:left w:val="none" w:sz="0" w:space="0" w:color="auto"/>
                <w:bottom w:val="none" w:sz="0" w:space="0" w:color="auto"/>
                <w:right w:val="none" w:sz="0" w:space="0" w:color="auto"/>
              </w:divBdr>
            </w:div>
          </w:divsChild>
        </w:div>
        <w:div w:id="202254891">
          <w:marLeft w:val="0"/>
          <w:marRight w:val="0"/>
          <w:marTop w:val="0"/>
          <w:marBottom w:val="0"/>
          <w:divBdr>
            <w:top w:val="none" w:sz="0" w:space="0" w:color="auto"/>
            <w:left w:val="none" w:sz="0" w:space="0" w:color="auto"/>
            <w:bottom w:val="none" w:sz="0" w:space="0" w:color="auto"/>
            <w:right w:val="none" w:sz="0" w:space="0" w:color="auto"/>
          </w:divBdr>
          <w:divsChild>
            <w:div w:id="1277711960">
              <w:marLeft w:val="0"/>
              <w:marRight w:val="0"/>
              <w:marTop w:val="0"/>
              <w:marBottom w:val="0"/>
              <w:divBdr>
                <w:top w:val="none" w:sz="0" w:space="0" w:color="auto"/>
                <w:left w:val="none" w:sz="0" w:space="0" w:color="auto"/>
                <w:bottom w:val="none" w:sz="0" w:space="0" w:color="auto"/>
                <w:right w:val="none" w:sz="0" w:space="0" w:color="auto"/>
              </w:divBdr>
            </w:div>
          </w:divsChild>
        </w:div>
        <w:div w:id="202525801">
          <w:marLeft w:val="0"/>
          <w:marRight w:val="0"/>
          <w:marTop w:val="0"/>
          <w:marBottom w:val="0"/>
          <w:divBdr>
            <w:top w:val="none" w:sz="0" w:space="0" w:color="auto"/>
            <w:left w:val="none" w:sz="0" w:space="0" w:color="auto"/>
            <w:bottom w:val="none" w:sz="0" w:space="0" w:color="auto"/>
            <w:right w:val="none" w:sz="0" w:space="0" w:color="auto"/>
          </w:divBdr>
          <w:divsChild>
            <w:div w:id="199519697">
              <w:marLeft w:val="0"/>
              <w:marRight w:val="0"/>
              <w:marTop w:val="0"/>
              <w:marBottom w:val="0"/>
              <w:divBdr>
                <w:top w:val="none" w:sz="0" w:space="0" w:color="auto"/>
                <w:left w:val="none" w:sz="0" w:space="0" w:color="auto"/>
                <w:bottom w:val="none" w:sz="0" w:space="0" w:color="auto"/>
                <w:right w:val="none" w:sz="0" w:space="0" w:color="auto"/>
              </w:divBdr>
            </w:div>
          </w:divsChild>
        </w:div>
        <w:div w:id="203639790">
          <w:marLeft w:val="0"/>
          <w:marRight w:val="0"/>
          <w:marTop w:val="0"/>
          <w:marBottom w:val="0"/>
          <w:divBdr>
            <w:top w:val="none" w:sz="0" w:space="0" w:color="auto"/>
            <w:left w:val="none" w:sz="0" w:space="0" w:color="auto"/>
            <w:bottom w:val="none" w:sz="0" w:space="0" w:color="auto"/>
            <w:right w:val="none" w:sz="0" w:space="0" w:color="auto"/>
          </w:divBdr>
          <w:divsChild>
            <w:div w:id="1532107341">
              <w:marLeft w:val="0"/>
              <w:marRight w:val="0"/>
              <w:marTop w:val="0"/>
              <w:marBottom w:val="0"/>
              <w:divBdr>
                <w:top w:val="none" w:sz="0" w:space="0" w:color="auto"/>
                <w:left w:val="none" w:sz="0" w:space="0" w:color="auto"/>
                <w:bottom w:val="none" w:sz="0" w:space="0" w:color="auto"/>
                <w:right w:val="none" w:sz="0" w:space="0" w:color="auto"/>
              </w:divBdr>
            </w:div>
          </w:divsChild>
        </w:div>
        <w:div w:id="205335995">
          <w:marLeft w:val="0"/>
          <w:marRight w:val="0"/>
          <w:marTop w:val="0"/>
          <w:marBottom w:val="0"/>
          <w:divBdr>
            <w:top w:val="none" w:sz="0" w:space="0" w:color="auto"/>
            <w:left w:val="none" w:sz="0" w:space="0" w:color="auto"/>
            <w:bottom w:val="none" w:sz="0" w:space="0" w:color="auto"/>
            <w:right w:val="none" w:sz="0" w:space="0" w:color="auto"/>
          </w:divBdr>
          <w:divsChild>
            <w:div w:id="963273972">
              <w:marLeft w:val="0"/>
              <w:marRight w:val="0"/>
              <w:marTop w:val="0"/>
              <w:marBottom w:val="0"/>
              <w:divBdr>
                <w:top w:val="none" w:sz="0" w:space="0" w:color="auto"/>
                <w:left w:val="none" w:sz="0" w:space="0" w:color="auto"/>
                <w:bottom w:val="none" w:sz="0" w:space="0" w:color="auto"/>
                <w:right w:val="none" w:sz="0" w:space="0" w:color="auto"/>
              </w:divBdr>
            </w:div>
          </w:divsChild>
        </w:div>
        <w:div w:id="208542325">
          <w:marLeft w:val="0"/>
          <w:marRight w:val="0"/>
          <w:marTop w:val="0"/>
          <w:marBottom w:val="0"/>
          <w:divBdr>
            <w:top w:val="none" w:sz="0" w:space="0" w:color="auto"/>
            <w:left w:val="none" w:sz="0" w:space="0" w:color="auto"/>
            <w:bottom w:val="none" w:sz="0" w:space="0" w:color="auto"/>
            <w:right w:val="none" w:sz="0" w:space="0" w:color="auto"/>
          </w:divBdr>
          <w:divsChild>
            <w:div w:id="326134124">
              <w:marLeft w:val="0"/>
              <w:marRight w:val="0"/>
              <w:marTop w:val="0"/>
              <w:marBottom w:val="0"/>
              <w:divBdr>
                <w:top w:val="none" w:sz="0" w:space="0" w:color="auto"/>
                <w:left w:val="none" w:sz="0" w:space="0" w:color="auto"/>
                <w:bottom w:val="none" w:sz="0" w:space="0" w:color="auto"/>
                <w:right w:val="none" w:sz="0" w:space="0" w:color="auto"/>
              </w:divBdr>
            </w:div>
          </w:divsChild>
        </w:div>
        <w:div w:id="212278540">
          <w:marLeft w:val="0"/>
          <w:marRight w:val="0"/>
          <w:marTop w:val="0"/>
          <w:marBottom w:val="0"/>
          <w:divBdr>
            <w:top w:val="none" w:sz="0" w:space="0" w:color="auto"/>
            <w:left w:val="none" w:sz="0" w:space="0" w:color="auto"/>
            <w:bottom w:val="none" w:sz="0" w:space="0" w:color="auto"/>
            <w:right w:val="none" w:sz="0" w:space="0" w:color="auto"/>
          </w:divBdr>
          <w:divsChild>
            <w:div w:id="987710099">
              <w:marLeft w:val="0"/>
              <w:marRight w:val="0"/>
              <w:marTop w:val="0"/>
              <w:marBottom w:val="0"/>
              <w:divBdr>
                <w:top w:val="none" w:sz="0" w:space="0" w:color="auto"/>
                <w:left w:val="none" w:sz="0" w:space="0" w:color="auto"/>
                <w:bottom w:val="none" w:sz="0" w:space="0" w:color="auto"/>
                <w:right w:val="none" w:sz="0" w:space="0" w:color="auto"/>
              </w:divBdr>
            </w:div>
            <w:div w:id="1544368877">
              <w:marLeft w:val="0"/>
              <w:marRight w:val="0"/>
              <w:marTop w:val="0"/>
              <w:marBottom w:val="0"/>
              <w:divBdr>
                <w:top w:val="none" w:sz="0" w:space="0" w:color="auto"/>
                <w:left w:val="none" w:sz="0" w:space="0" w:color="auto"/>
                <w:bottom w:val="none" w:sz="0" w:space="0" w:color="auto"/>
                <w:right w:val="none" w:sz="0" w:space="0" w:color="auto"/>
              </w:divBdr>
            </w:div>
          </w:divsChild>
        </w:div>
        <w:div w:id="230964906">
          <w:marLeft w:val="0"/>
          <w:marRight w:val="0"/>
          <w:marTop w:val="0"/>
          <w:marBottom w:val="0"/>
          <w:divBdr>
            <w:top w:val="none" w:sz="0" w:space="0" w:color="auto"/>
            <w:left w:val="none" w:sz="0" w:space="0" w:color="auto"/>
            <w:bottom w:val="none" w:sz="0" w:space="0" w:color="auto"/>
            <w:right w:val="none" w:sz="0" w:space="0" w:color="auto"/>
          </w:divBdr>
          <w:divsChild>
            <w:div w:id="69693168">
              <w:marLeft w:val="0"/>
              <w:marRight w:val="0"/>
              <w:marTop w:val="0"/>
              <w:marBottom w:val="0"/>
              <w:divBdr>
                <w:top w:val="none" w:sz="0" w:space="0" w:color="auto"/>
                <w:left w:val="none" w:sz="0" w:space="0" w:color="auto"/>
                <w:bottom w:val="none" w:sz="0" w:space="0" w:color="auto"/>
                <w:right w:val="none" w:sz="0" w:space="0" w:color="auto"/>
              </w:divBdr>
            </w:div>
          </w:divsChild>
        </w:div>
        <w:div w:id="236794673">
          <w:marLeft w:val="0"/>
          <w:marRight w:val="0"/>
          <w:marTop w:val="0"/>
          <w:marBottom w:val="0"/>
          <w:divBdr>
            <w:top w:val="none" w:sz="0" w:space="0" w:color="auto"/>
            <w:left w:val="none" w:sz="0" w:space="0" w:color="auto"/>
            <w:bottom w:val="none" w:sz="0" w:space="0" w:color="auto"/>
            <w:right w:val="none" w:sz="0" w:space="0" w:color="auto"/>
          </w:divBdr>
          <w:divsChild>
            <w:div w:id="19744653">
              <w:marLeft w:val="0"/>
              <w:marRight w:val="0"/>
              <w:marTop w:val="0"/>
              <w:marBottom w:val="0"/>
              <w:divBdr>
                <w:top w:val="none" w:sz="0" w:space="0" w:color="auto"/>
                <w:left w:val="none" w:sz="0" w:space="0" w:color="auto"/>
                <w:bottom w:val="none" w:sz="0" w:space="0" w:color="auto"/>
                <w:right w:val="none" w:sz="0" w:space="0" w:color="auto"/>
              </w:divBdr>
            </w:div>
          </w:divsChild>
        </w:div>
        <w:div w:id="260794388">
          <w:marLeft w:val="0"/>
          <w:marRight w:val="0"/>
          <w:marTop w:val="0"/>
          <w:marBottom w:val="0"/>
          <w:divBdr>
            <w:top w:val="none" w:sz="0" w:space="0" w:color="auto"/>
            <w:left w:val="none" w:sz="0" w:space="0" w:color="auto"/>
            <w:bottom w:val="none" w:sz="0" w:space="0" w:color="auto"/>
            <w:right w:val="none" w:sz="0" w:space="0" w:color="auto"/>
          </w:divBdr>
          <w:divsChild>
            <w:div w:id="1833063550">
              <w:marLeft w:val="0"/>
              <w:marRight w:val="0"/>
              <w:marTop w:val="0"/>
              <w:marBottom w:val="0"/>
              <w:divBdr>
                <w:top w:val="none" w:sz="0" w:space="0" w:color="auto"/>
                <w:left w:val="none" w:sz="0" w:space="0" w:color="auto"/>
                <w:bottom w:val="none" w:sz="0" w:space="0" w:color="auto"/>
                <w:right w:val="none" w:sz="0" w:space="0" w:color="auto"/>
              </w:divBdr>
            </w:div>
          </w:divsChild>
        </w:div>
        <w:div w:id="274018987">
          <w:marLeft w:val="0"/>
          <w:marRight w:val="0"/>
          <w:marTop w:val="0"/>
          <w:marBottom w:val="0"/>
          <w:divBdr>
            <w:top w:val="none" w:sz="0" w:space="0" w:color="auto"/>
            <w:left w:val="none" w:sz="0" w:space="0" w:color="auto"/>
            <w:bottom w:val="none" w:sz="0" w:space="0" w:color="auto"/>
            <w:right w:val="none" w:sz="0" w:space="0" w:color="auto"/>
          </w:divBdr>
          <w:divsChild>
            <w:div w:id="1837187527">
              <w:marLeft w:val="0"/>
              <w:marRight w:val="0"/>
              <w:marTop w:val="0"/>
              <w:marBottom w:val="0"/>
              <w:divBdr>
                <w:top w:val="none" w:sz="0" w:space="0" w:color="auto"/>
                <w:left w:val="none" w:sz="0" w:space="0" w:color="auto"/>
                <w:bottom w:val="none" w:sz="0" w:space="0" w:color="auto"/>
                <w:right w:val="none" w:sz="0" w:space="0" w:color="auto"/>
              </w:divBdr>
            </w:div>
          </w:divsChild>
        </w:div>
        <w:div w:id="289946485">
          <w:marLeft w:val="0"/>
          <w:marRight w:val="0"/>
          <w:marTop w:val="0"/>
          <w:marBottom w:val="0"/>
          <w:divBdr>
            <w:top w:val="none" w:sz="0" w:space="0" w:color="auto"/>
            <w:left w:val="none" w:sz="0" w:space="0" w:color="auto"/>
            <w:bottom w:val="none" w:sz="0" w:space="0" w:color="auto"/>
            <w:right w:val="none" w:sz="0" w:space="0" w:color="auto"/>
          </w:divBdr>
          <w:divsChild>
            <w:div w:id="1361468686">
              <w:marLeft w:val="0"/>
              <w:marRight w:val="0"/>
              <w:marTop w:val="0"/>
              <w:marBottom w:val="0"/>
              <w:divBdr>
                <w:top w:val="none" w:sz="0" w:space="0" w:color="auto"/>
                <w:left w:val="none" w:sz="0" w:space="0" w:color="auto"/>
                <w:bottom w:val="none" w:sz="0" w:space="0" w:color="auto"/>
                <w:right w:val="none" w:sz="0" w:space="0" w:color="auto"/>
              </w:divBdr>
            </w:div>
          </w:divsChild>
        </w:div>
        <w:div w:id="291785866">
          <w:marLeft w:val="0"/>
          <w:marRight w:val="0"/>
          <w:marTop w:val="0"/>
          <w:marBottom w:val="0"/>
          <w:divBdr>
            <w:top w:val="none" w:sz="0" w:space="0" w:color="auto"/>
            <w:left w:val="none" w:sz="0" w:space="0" w:color="auto"/>
            <w:bottom w:val="none" w:sz="0" w:space="0" w:color="auto"/>
            <w:right w:val="none" w:sz="0" w:space="0" w:color="auto"/>
          </w:divBdr>
          <w:divsChild>
            <w:div w:id="157969009">
              <w:marLeft w:val="0"/>
              <w:marRight w:val="0"/>
              <w:marTop w:val="0"/>
              <w:marBottom w:val="0"/>
              <w:divBdr>
                <w:top w:val="none" w:sz="0" w:space="0" w:color="auto"/>
                <w:left w:val="none" w:sz="0" w:space="0" w:color="auto"/>
                <w:bottom w:val="none" w:sz="0" w:space="0" w:color="auto"/>
                <w:right w:val="none" w:sz="0" w:space="0" w:color="auto"/>
              </w:divBdr>
            </w:div>
          </w:divsChild>
        </w:div>
        <w:div w:id="292055164">
          <w:marLeft w:val="0"/>
          <w:marRight w:val="0"/>
          <w:marTop w:val="0"/>
          <w:marBottom w:val="0"/>
          <w:divBdr>
            <w:top w:val="none" w:sz="0" w:space="0" w:color="auto"/>
            <w:left w:val="none" w:sz="0" w:space="0" w:color="auto"/>
            <w:bottom w:val="none" w:sz="0" w:space="0" w:color="auto"/>
            <w:right w:val="none" w:sz="0" w:space="0" w:color="auto"/>
          </w:divBdr>
          <w:divsChild>
            <w:div w:id="2068604318">
              <w:marLeft w:val="0"/>
              <w:marRight w:val="0"/>
              <w:marTop w:val="0"/>
              <w:marBottom w:val="0"/>
              <w:divBdr>
                <w:top w:val="none" w:sz="0" w:space="0" w:color="auto"/>
                <w:left w:val="none" w:sz="0" w:space="0" w:color="auto"/>
                <w:bottom w:val="none" w:sz="0" w:space="0" w:color="auto"/>
                <w:right w:val="none" w:sz="0" w:space="0" w:color="auto"/>
              </w:divBdr>
            </w:div>
          </w:divsChild>
        </w:div>
        <w:div w:id="299463708">
          <w:marLeft w:val="0"/>
          <w:marRight w:val="0"/>
          <w:marTop w:val="0"/>
          <w:marBottom w:val="0"/>
          <w:divBdr>
            <w:top w:val="none" w:sz="0" w:space="0" w:color="auto"/>
            <w:left w:val="none" w:sz="0" w:space="0" w:color="auto"/>
            <w:bottom w:val="none" w:sz="0" w:space="0" w:color="auto"/>
            <w:right w:val="none" w:sz="0" w:space="0" w:color="auto"/>
          </w:divBdr>
          <w:divsChild>
            <w:div w:id="818228261">
              <w:marLeft w:val="0"/>
              <w:marRight w:val="0"/>
              <w:marTop w:val="0"/>
              <w:marBottom w:val="0"/>
              <w:divBdr>
                <w:top w:val="none" w:sz="0" w:space="0" w:color="auto"/>
                <w:left w:val="none" w:sz="0" w:space="0" w:color="auto"/>
                <w:bottom w:val="none" w:sz="0" w:space="0" w:color="auto"/>
                <w:right w:val="none" w:sz="0" w:space="0" w:color="auto"/>
              </w:divBdr>
            </w:div>
          </w:divsChild>
        </w:div>
        <w:div w:id="299893332">
          <w:marLeft w:val="0"/>
          <w:marRight w:val="0"/>
          <w:marTop w:val="0"/>
          <w:marBottom w:val="0"/>
          <w:divBdr>
            <w:top w:val="none" w:sz="0" w:space="0" w:color="auto"/>
            <w:left w:val="none" w:sz="0" w:space="0" w:color="auto"/>
            <w:bottom w:val="none" w:sz="0" w:space="0" w:color="auto"/>
            <w:right w:val="none" w:sz="0" w:space="0" w:color="auto"/>
          </w:divBdr>
          <w:divsChild>
            <w:div w:id="1603955513">
              <w:marLeft w:val="0"/>
              <w:marRight w:val="0"/>
              <w:marTop w:val="0"/>
              <w:marBottom w:val="0"/>
              <w:divBdr>
                <w:top w:val="none" w:sz="0" w:space="0" w:color="auto"/>
                <w:left w:val="none" w:sz="0" w:space="0" w:color="auto"/>
                <w:bottom w:val="none" w:sz="0" w:space="0" w:color="auto"/>
                <w:right w:val="none" w:sz="0" w:space="0" w:color="auto"/>
              </w:divBdr>
            </w:div>
          </w:divsChild>
        </w:div>
        <w:div w:id="312410466">
          <w:marLeft w:val="0"/>
          <w:marRight w:val="0"/>
          <w:marTop w:val="0"/>
          <w:marBottom w:val="0"/>
          <w:divBdr>
            <w:top w:val="none" w:sz="0" w:space="0" w:color="auto"/>
            <w:left w:val="none" w:sz="0" w:space="0" w:color="auto"/>
            <w:bottom w:val="none" w:sz="0" w:space="0" w:color="auto"/>
            <w:right w:val="none" w:sz="0" w:space="0" w:color="auto"/>
          </w:divBdr>
          <w:divsChild>
            <w:div w:id="1690640640">
              <w:marLeft w:val="0"/>
              <w:marRight w:val="0"/>
              <w:marTop w:val="0"/>
              <w:marBottom w:val="0"/>
              <w:divBdr>
                <w:top w:val="none" w:sz="0" w:space="0" w:color="auto"/>
                <w:left w:val="none" w:sz="0" w:space="0" w:color="auto"/>
                <w:bottom w:val="none" w:sz="0" w:space="0" w:color="auto"/>
                <w:right w:val="none" w:sz="0" w:space="0" w:color="auto"/>
              </w:divBdr>
            </w:div>
          </w:divsChild>
        </w:div>
        <w:div w:id="313068973">
          <w:marLeft w:val="0"/>
          <w:marRight w:val="0"/>
          <w:marTop w:val="0"/>
          <w:marBottom w:val="0"/>
          <w:divBdr>
            <w:top w:val="none" w:sz="0" w:space="0" w:color="auto"/>
            <w:left w:val="none" w:sz="0" w:space="0" w:color="auto"/>
            <w:bottom w:val="none" w:sz="0" w:space="0" w:color="auto"/>
            <w:right w:val="none" w:sz="0" w:space="0" w:color="auto"/>
          </w:divBdr>
          <w:divsChild>
            <w:div w:id="1500851587">
              <w:marLeft w:val="0"/>
              <w:marRight w:val="0"/>
              <w:marTop w:val="0"/>
              <w:marBottom w:val="0"/>
              <w:divBdr>
                <w:top w:val="none" w:sz="0" w:space="0" w:color="auto"/>
                <w:left w:val="none" w:sz="0" w:space="0" w:color="auto"/>
                <w:bottom w:val="none" w:sz="0" w:space="0" w:color="auto"/>
                <w:right w:val="none" w:sz="0" w:space="0" w:color="auto"/>
              </w:divBdr>
            </w:div>
          </w:divsChild>
        </w:div>
        <w:div w:id="318310582">
          <w:marLeft w:val="0"/>
          <w:marRight w:val="0"/>
          <w:marTop w:val="0"/>
          <w:marBottom w:val="0"/>
          <w:divBdr>
            <w:top w:val="none" w:sz="0" w:space="0" w:color="auto"/>
            <w:left w:val="none" w:sz="0" w:space="0" w:color="auto"/>
            <w:bottom w:val="none" w:sz="0" w:space="0" w:color="auto"/>
            <w:right w:val="none" w:sz="0" w:space="0" w:color="auto"/>
          </w:divBdr>
          <w:divsChild>
            <w:div w:id="282004721">
              <w:marLeft w:val="0"/>
              <w:marRight w:val="0"/>
              <w:marTop w:val="0"/>
              <w:marBottom w:val="0"/>
              <w:divBdr>
                <w:top w:val="none" w:sz="0" w:space="0" w:color="auto"/>
                <w:left w:val="none" w:sz="0" w:space="0" w:color="auto"/>
                <w:bottom w:val="none" w:sz="0" w:space="0" w:color="auto"/>
                <w:right w:val="none" w:sz="0" w:space="0" w:color="auto"/>
              </w:divBdr>
            </w:div>
          </w:divsChild>
        </w:div>
        <w:div w:id="322587422">
          <w:marLeft w:val="0"/>
          <w:marRight w:val="0"/>
          <w:marTop w:val="0"/>
          <w:marBottom w:val="0"/>
          <w:divBdr>
            <w:top w:val="none" w:sz="0" w:space="0" w:color="auto"/>
            <w:left w:val="none" w:sz="0" w:space="0" w:color="auto"/>
            <w:bottom w:val="none" w:sz="0" w:space="0" w:color="auto"/>
            <w:right w:val="none" w:sz="0" w:space="0" w:color="auto"/>
          </w:divBdr>
          <w:divsChild>
            <w:div w:id="1564368710">
              <w:marLeft w:val="0"/>
              <w:marRight w:val="0"/>
              <w:marTop w:val="0"/>
              <w:marBottom w:val="0"/>
              <w:divBdr>
                <w:top w:val="none" w:sz="0" w:space="0" w:color="auto"/>
                <w:left w:val="none" w:sz="0" w:space="0" w:color="auto"/>
                <w:bottom w:val="none" w:sz="0" w:space="0" w:color="auto"/>
                <w:right w:val="none" w:sz="0" w:space="0" w:color="auto"/>
              </w:divBdr>
            </w:div>
          </w:divsChild>
        </w:div>
        <w:div w:id="337074366">
          <w:marLeft w:val="0"/>
          <w:marRight w:val="0"/>
          <w:marTop w:val="0"/>
          <w:marBottom w:val="0"/>
          <w:divBdr>
            <w:top w:val="none" w:sz="0" w:space="0" w:color="auto"/>
            <w:left w:val="none" w:sz="0" w:space="0" w:color="auto"/>
            <w:bottom w:val="none" w:sz="0" w:space="0" w:color="auto"/>
            <w:right w:val="none" w:sz="0" w:space="0" w:color="auto"/>
          </w:divBdr>
          <w:divsChild>
            <w:div w:id="101462457">
              <w:marLeft w:val="0"/>
              <w:marRight w:val="0"/>
              <w:marTop w:val="0"/>
              <w:marBottom w:val="0"/>
              <w:divBdr>
                <w:top w:val="none" w:sz="0" w:space="0" w:color="auto"/>
                <w:left w:val="none" w:sz="0" w:space="0" w:color="auto"/>
                <w:bottom w:val="none" w:sz="0" w:space="0" w:color="auto"/>
                <w:right w:val="none" w:sz="0" w:space="0" w:color="auto"/>
              </w:divBdr>
            </w:div>
          </w:divsChild>
        </w:div>
        <w:div w:id="338195541">
          <w:marLeft w:val="0"/>
          <w:marRight w:val="0"/>
          <w:marTop w:val="0"/>
          <w:marBottom w:val="0"/>
          <w:divBdr>
            <w:top w:val="none" w:sz="0" w:space="0" w:color="auto"/>
            <w:left w:val="none" w:sz="0" w:space="0" w:color="auto"/>
            <w:bottom w:val="none" w:sz="0" w:space="0" w:color="auto"/>
            <w:right w:val="none" w:sz="0" w:space="0" w:color="auto"/>
          </w:divBdr>
          <w:divsChild>
            <w:div w:id="1588735743">
              <w:marLeft w:val="0"/>
              <w:marRight w:val="0"/>
              <w:marTop w:val="0"/>
              <w:marBottom w:val="0"/>
              <w:divBdr>
                <w:top w:val="none" w:sz="0" w:space="0" w:color="auto"/>
                <w:left w:val="none" w:sz="0" w:space="0" w:color="auto"/>
                <w:bottom w:val="none" w:sz="0" w:space="0" w:color="auto"/>
                <w:right w:val="none" w:sz="0" w:space="0" w:color="auto"/>
              </w:divBdr>
            </w:div>
          </w:divsChild>
        </w:div>
        <w:div w:id="347292979">
          <w:marLeft w:val="0"/>
          <w:marRight w:val="0"/>
          <w:marTop w:val="0"/>
          <w:marBottom w:val="0"/>
          <w:divBdr>
            <w:top w:val="none" w:sz="0" w:space="0" w:color="auto"/>
            <w:left w:val="none" w:sz="0" w:space="0" w:color="auto"/>
            <w:bottom w:val="none" w:sz="0" w:space="0" w:color="auto"/>
            <w:right w:val="none" w:sz="0" w:space="0" w:color="auto"/>
          </w:divBdr>
          <w:divsChild>
            <w:div w:id="1051542840">
              <w:marLeft w:val="0"/>
              <w:marRight w:val="0"/>
              <w:marTop w:val="0"/>
              <w:marBottom w:val="0"/>
              <w:divBdr>
                <w:top w:val="none" w:sz="0" w:space="0" w:color="auto"/>
                <w:left w:val="none" w:sz="0" w:space="0" w:color="auto"/>
                <w:bottom w:val="none" w:sz="0" w:space="0" w:color="auto"/>
                <w:right w:val="none" w:sz="0" w:space="0" w:color="auto"/>
              </w:divBdr>
            </w:div>
          </w:divsChild>
        </w:div>
        <w:div w:id="358049641">
          <w:marLeft w:val="0"/>
          <w:marRight w:val="0"/>
          <w:marTop w:val="0"/>
          <w:marBottom w:val="0"/>
          <w:divBdr>
            <w:top w:val="none" w:sz="0" w:space="0" w:color="auto"/>
            <w:left w:val="none" w:sz="0" w:space="0" w:color="auto"/>
            <w:bottom w:val="none" w:sz="0" w:space="0" w:color="auto"/>
            <w:right w:val="none" w:sz="0" w:space="0" w:color="auto"/>
          </w:divBdr>
          <w:divsChild>
            <w:div w:id="915015047">
              <w:marLeft w:val="0"/>
              <w:marRight w:val="0"/>
              <w:marTop w:val="0"/>
              <w:marBottom w:val="0"/>
              <w:divBdr>
                <w:top w:val="none" w:sz="0" w:space="0" w:color="auto"/>
                <w:left w:val="none" w:sz="0" w:space="0" w:color="auto"/>
                <w:bottom w:val="none" w:sz="0" w:space="0" w:color="auto"/>
                <w:right w:val="none" w:sz="0" w:space="0" w:color="auto"/>
              </w:divBdr>
            </w:div>
          </w:divsChild>
        </w:div>
        <w:div w:id="360591199">
          <w:marLeft w:val="0"/>
          <w:marRight w:val="0"/>
          <w:marTop w:val="0"/>
          <w:marBottom w:val="0"/>
          <w:divBdr>
            <w:top w:val="none" w:sz="0" w:space="0" w:color="auto"/>
            <w:left w:val="none" w:sz="0" w:space="0" w:color="auto"/>
            <w:bottom w:val="none" w:sz="0" w:space="0" w:color="auto"/>
            <w:right w:val="none" w:sz="0" w:space="0" w:color="auto"/>
          </w:divBdr>
          <w:divsChild>
            <w:div w:id="607201694">
              <w:marLeft w:val="0"/>
              <w:marRight w:val="0"/>
              <w:marTop w:val="0"/>
              <w:marBottom w:val="0"/>
              <w:divBdr>
                <w:top w:val="none" w:sz="0" w:space="0" w:color="auto"/>
                <w:left w:val="none" w:sz="0" w:space="0" w:color="auto"/>
                <w:bottom w:val="none" w:sz="0" w:space="0" w:color="auto"/>
                <w:right w:val="none" w:sz="0" w:space="0" w:color="auto"/>
              </w:divBdr>
            </w:div>
          </w:divsChild>
        </w:div>
        <w:div w:id="362748459">
          <w:marLeft w:val="0"/>
          <w:marRight w:val="0"/>
          <w:marTop w:val="0"/>
          <w:marBottom w:val="0"/>
          <w:divBdr>
            <w:top w:val="none" w:sz="0" w:space="0" w:color="auto"/>
            <w:left w:val="none" w:sz="0" w:space="0" w:color="auto"/>
            <w:bottom w:val="none" w:sz="0" w:space="0" w:color="auto"/>
            <w:right w:val="none" w:sz="0" w:space="0" w:color="auto"/>
          </w:divBdr>
          <w:divsChild>
            <w:div w:id="1724791996">
              <w:marLeft w:val="0"/>
              <w:marRight w:val="0"/>
              <w:marTop w:val="0"/>
              <w:marBottom w:val="0"/>
              <w:divBdr>
                <w:top w:val="none" w:sz="0" w:space="0" w:color="auto"/>
                <w:left w:val="none" w:sz="0" w:space="0" w:color="auto"/>
                <w:bottom w:val="none" w:sz="0" w:space="0" w:color="auto"/>
                <w:right w:val="none" w:sz="0" w:space="0" w:color="auto"/>
              </w:divBdr>
            </w:div>
          </w:divsChild>
        </w:div>
        <w:div w:id="377509120">
          <w:marLeft w:val="0"/>
          <w:marRight w:val="0"/>
          <w:marTop w:val="0"/>
          <w:marBottom w:val="0"/>
          <w:divBdr>
            <w:top w:val="none" w:sz="0" w:space="0" w:color="auto"/>
            <w:left w:val="none" w:sz="0" w:space="0" w:color="auto"/>
            <w:bottom w:val="none" w:sz="0" w:space="0" w:color="auto"/>
            <w:right w:val="none" w:sz="0" w:space="0" w:color="auto"/>
          </w:divBdr>
          <w:divsChild>
            <w:div w:id="1478720197">
              <w:marLeft w:val="0"/>
              <w:marRight w:val="0"/>
              <w:marTop w:val="0"/>
              <w:marBottom w:val="0"/>
              <w:divBdr>
                <w:top w:val="none" w:sz="0" w:space="0" w:color="auto"/>
                <w:left w:val="none" w:sz="0" w:space="0" w:color="auto"/>
                <w:bottom w:val="none" w:sz="0" w:space="0" w:color="auto"/>
                <w:right w:val="none" w:sz="0" w:space="0" w:color="auto"/>
              </w:divBdr>
            </w:div>
          </w:divsChild>
        </w:div>
        <w:div w:id="394818470">
          <w:marLeft w:val="0"/>
          <w:marRight w:val="0"/>
          <w:marTop w:val="0"/>
          <w:marBottom w:val="0"/>
          <w:divBdr>
            <w:top w:val="none" w:sz="0" w:space="0" w:color="auto"/>
            <w:left w:val="none" w:sz="0" w:space="0" w:color="auto"/>
            <w:bottom w:val="none" w:sz="0" w:space="0" w:color="auto"/>
            <w:right w:val="none" w:sz="0" w:space="0" w:color="auto"/>
          </w:divBdr>
          <w:divsChild>
            <w:div w:id="516162481">
              <w:marLeft w:val="0"/>
              <w:marRight w:val="0"/>
              <w:marTop w:val="0"/>
              <w:marBottom w:val="0"/>
              <w:divBdr>
                <w:top w:val="none" w:sz="0" w:space="0" w:color="auto"/>
                <w:left w:val="none" w:sz="0" w:space="0" w:color="auto"/>
                <w:bottom w:val="none" w:sz="0" w:space="0" w:color="auto"/>
                <w:right w:val="none" w:sz="0" w:space="0" w:color="auto"/>
              </w:divBdr>
            </w:div>
          </w:divsChild>
        </w:div>
        <w:div w:id="406994875">
          <w:marLeft w:val="0"/>
          <w:marRight w:val="0"/>
          <w:marTop w:val="0"/>
          <w:marBottom w:val="0"/>
          <w:divBdr>
            <w:top w:val="none" w:sz="0" w:space="0" w:color="auto"/>
            <w:left w:val="none" w:sz="0" w:space="0" w:color="auto"/>
            <w:bottom w:val="none" w:sz="0" w:space="0" w:color="auto"/>
            <w:right w:val="none" w:sz="0" w:space="0" w:color="auto"/>
          </w:divBdr>
          <w:divsChild>
            <w:div w:id="1369183165">
              <w:marLeft w:val="0"/>
              <w:marRight w:val="0"/>
              <w:marTop w:val="0"/>
              <w:marBottom w:val="0"/>
              <w:divBdr>
                <w:top w:val="none" w:sz="0" w:space="0" w:color="auto"/>
                <w:left w:val="none" w:sz="0" w:space="0" w:color="auto"/>
                <w:bottom w:val="none" w:sz="0" w:space="0" w:color="auto"/>
                <w:right w:val="none" w:sz="0" w:space="0" w:color="auto"/>
              </w:divBdr>
            </w:div>
            <w:div w:id="1505507382">
              <w:marLeft w:val="0"/>
              <w:marRight w:val="0"/>
              <w:marTop w:val="0"/>
              <w:marBottom w:val="0"/>
              <w:divBdr>
                <w:top w:val="none" w:sz="0" w:space="0" w:color="auto"/>
                <w:left w:val="none" w:sz="0" w:space="0" w:color="auto"/>
                <w:bottom w:val="none" w:sz="0" w:space="0" w:color="auto"/>
                <w:right w:val="none" w:sz="0" w:space="0" w:color="auto"/>
              </w:divBdr>
            </w:div>
            <w:div w:id="1572538998">
              <w:marLeft w:val="0"/>
              <w:marRight w:val="0"/>
              <w:marTop w:val="0"/>
              <w:marBottom w:val="0"/>
              <w:divBdr>
                <w:top w:val="none" w:sz="0" w:space="0" w:color="auto"/>
                <w:left w:val="none" w:sz="0" w:space="0" w:color="auto"/>
                <w:bottom w:val="none" w:sz="0" w:space="0" w:color="auto"/>
                <w:right w:val="none" w:sz="0" w:space="0" w:color="auto"/>
              </w:divBdr>
            </w:div>
          </w:divsChild>
        </w:div>
        <w:div w:id="420225910">
          <w:marLeft w:val="0"/>
          <w:marRight w:val="0"/>
          <w:marTop w:val="0"/>
          <w:marBottom w:val="0"/>
          <w:divBdr>
            <w:top w:val="none" w:sz="0" w:space="0" w:color="auto"/>
            <w:left w:val="none" w:sz="0" w:space="0" w:color="auto"/>
            <w:bottom w:val="none" w:sz="0" w:space="0" w:color="auto"/>
            <w:right w:val="none" w:sz="0" w:space="0" w:color="auto"/>
          </w:divBdr>
          <w:divsChild>
            <w:div w:id="1777603202">
              <w:marLeft w:val="0"/>
              <w:marRight w:val="0"/>
              <w:marTop w:val="0"/>
              <w:marBottom w:val="0"/>
              <w:divBdr>
                <w:top w:val="none" w:sz="0" w:space="0" w:color="auto"/>
                <w:left w:val="none" w:sz="0" w:space="0" w:color="auto"/>
                <w:bottom w:val="none" w:sz="0" w:space="0" w:color="auto"/>
                <w:right w:val="none" w:sz="0" w:space="0" w:color="auto"/>
              </w:divBdr>
            </w:div>
          </w:divsChild>
        </w:div>
        <w:div w:id="422261962">
          <w:marLeft w:val="0"/>
          <w:marRight w:val="0"/>
          <w:marTop w:val="0"/>
          <w:marBottom w:val="0"/>
          <w:divBdr>
            <w:top w:val="none" w:sz="0" w:space="0" w:color="auto"/>
            <w:left w:val="none" w:sz="0" w:space="0" w:color="auto"/>
            <w:bottom w:val="none" w:sz="0" w:space="0" w:color="auto"/>
            <w:right w:val="none" w:sz="0" w:space="0" w:color="auto"/>
          </w:divBdr>
          <w:divsChild>
            <w:div w:id="1406801805">
              <w:marLeft w:val="0"/>
              <w:marRight w:val="0"/>
              <w:marTop w:val="0"/>
              <w:marBottom w:val="0"/>
              <w:divBdr>
                <w:top w:val="none" w:sz="0" w:space="0" w:color="auto"/>
                <w:left w:val="none" w:sz="0" w:space="0" w:color="auto"/>
                <w:bottom w:val="none" w:sz="0" w:space="0" w:color="auto"/>
                <w:right w:val="none" w:sz="0" w:space="0" w:color="auto"/>
              </w:divBdr>
            </w:div>
          </w:divsChild>
        </w:div>
        <w:div w:id="438791959">
          <w:marLeft w:val="0"/>
          <w:marRight w:val="0"/>
          <w:marTop w:val="0"/>
          <w:marBottom w:val="0"/>
          <w:divBdr>
            <w:top w:val="none" w:sz="0" w:space="0" w:color="auto"/>
            <w:left w:val="none" w:sz="0" w:space="0" w:color="auto"/>
            <w:bottom w:val="none" w:sz="0" w:space="0" w:color="auto"/>
            <w:right w:val="none" w:sz="0" w:space="0" w:color="auto"/>
          </w:divBdr>
          <w:divsChild>
            <w:div w:id="2047291539">
              <w:marLeft w:val="0"/>
              <w:marRight w:val="0"/>
              <w:marTop w:val="0"/>
              <w:marBottom w:val="0"/>
              <w:divBdr>
                <w:top w:val="none" w:sz="0" w:space="0" w:color="auto"/>
                <w:left w:val="none" w:sz="0" w:space="0" w:color="auto"/>
                <w:bottom w:val="none" w:sz="0" w:space="0" w:color="auto"/>
                <w:right w:val="none" w:sz="0" w:space="0" w:color="auto"/>
              </w:divBdr>
            </w:div>
          </w:divsChild>
        </w:div>
        <w:div w:id="439376400">
          <w:marLeft w:val="0"/>
          <w:marRight w:val="0"/>
          <w:marTop w:val="0"/>
          <w:marBottom w:val="0"/>
          <w:divBdr>
            <w:top w:val="none" w:sz="0" w:space="0" w:color="auto"/>
            <w:left w:val="none" w:sz="0" w:space="0" w:color="auto"/>
            <w:bottom w:val="none" w:sz="0" w:space="0" w:color="auto"/>
            <w:right w:val="none" w:sz="0" w:space="0" w:color="auto"/>
          </w:divBdr>
          <w:divsChild>
            <w:div w:id="846555235">
              <w:marLeft w:val="0"/>
              <w:marRight w:val="0"/>
              <w:marTop w:val="0"/>
              <w:marBottom w:val="0"/>
              <w:divBdr>
                <w:top w:val="none" w:sz="0" w:space="0" w:color="auto"/>
                <w:left w:val="none" w:sz="0" w:space="0" w:color="auto"/>
                <w:bottom w:val="none" w:sz="0" w:space="0" w:color="auto"/>
                <w:right w:val="none" w:sz="0" w:space="0" w:color="auto"/>
              </w:divBdr>
            </w:div>
            <w:div w:id="1314986135">
              <w:marLeft w:val="0"/>
              <w:marRight w:val="0"/>
              <w:marTop w:val="0"/>
              <w:marBottom w:val="0"/>
              <w:divBdr>
                <w:top w:val="none" w:sz="0" w:space="0" w:color="auto"/>
                <w:left w:val="none" w:sz="0" w:space="0" w:color="auto"/>
                <w:bottom w:val="none" w:sz="0" w:space="0" w:color="auto"/>
                <w:right w:val="none" w:sz="0" w:space="0" w:color="auto"/>
              </w:divBdr>
            </w:div>
            <w:div w:id="1428381056">
              <w:marLeft w:val="0"/>
              <w:marRight w:val="0"/>
              <w:marTop w:val="0"/>
              <w:marBottom w:val="0"/>
              <w:divBdr>
                <w:top w:val="none" w:sz="0" w:space="0" w:color="auto"/>
                <w:left w:val="none" w:sz="0" w:space="0" w:color="auto"/>
                <w:bottom w:val="none" w:sz="0" w:space="0" w:color="auto"/>
                <w:right w:val="none" w:sz="0" w:space="0" w:color="auto"/>
              </w:divBdr>
            </w:div>
            <w:div w:id="1562474069">
              <w:marLeft w:val="0"/>
              <w:marRight w:val="0"/>
              <w:marTop w:val="0"/>
              <w:marBottom w:val="0"/>
              <w:divBdr>
                <w:top w:val="none" w:sz="0" w:space="0" w:color="auto"/>
                <w:left w:val="none" w:sz="0" w:space="0" w:color="auto"/>
                <w:bottom w:val="none" w:sz="0" w:space="0" w:color="auto"/>
                <w:right w:val="none" w:sz="0" w:space="0" w:color="auto"/>
              </w:divBdr>
            </w:div>
          </w:divsChild>
        </w:div>
        <w:div w:id="445737242">
          <w:marLeft w:val="0"/>
          <w:marRight w:val="0"/>
          <w:marTop w:val="0"/>
          <w:marBottom w:val="0"/>
          <w:divBdr>
            <w:top w:val="none" w:sz="0" w:space="0" w:color="auto"/>
            <w:left w:val="none" w:sz="0" w:space="0" w:color="auto"/>
            <w:bottom w:val="none" w:sz="0" w:space="0" w:color="auto"/>
            <w:right w:val="none" w:sz="0" w:space="0" w:color="auto"/>
          </w:divBdr>
          <w:divsChild>
            <w:div w:id="1121723031">
              <w:marLeft w:val="0"/>
              <w:marRight w:val="0"/>
              <w:marTop w:val="0"/>
              <w:marBottom w:val="0"/>
              <w:divBdr>
                <w:top w:val="none" w:sz="0" w:space="0" w:color="auto"/>
                <w:left w:val="none" w:sz="0" w:space="0" w:color="auto"/>
                <w:bottom w:val="none" w:sz="0" w:space="0" w:color="auto"/>
                <w:right w:val="none" w:sz="0" w:space="0" w:color="auto"/>
              </w:divBdr>
            </w:div>
          </w:divsChild>
        </w:div>
        <w:div w:id="447549724">
          <w:marLeft w:val="0"/>
          <w:marRight w:val="0"/>
          <w:marTop w:val="0"/>
          <w:marBottom w:val="0"/>
          <w:divBdr>
            <w:top w:val="none" w:sz="0" w:space="0" w:color="auto"/>
            <w:left w:val="none" w:sz="0" w:space="0" w:color="auto"/>
            <w:bottom w:val="none" w:sz="0" w:space="0" w:color="auto"/>
            <w:right w:val="none" w:sz="0" w:space="0" w:color="auto"/>
          </w:divBdr>
          <w:divsChild>
            <w:div w:id="789207544">
              <w:marLeft w:val="0"/>
              <w:marRight w:val="0"/>
              <w:marTop w:val="0"/>
              <w:marBottom w:val="0"/>
              <w:divBdr>
                <w:top w:val="none" w:sz="0" w:space="0" w:color="auto"/>
                <w:left w:val="none" w:sz="0" w:space="0" w:color="auto"/>
                <w:bottom w:val="none" w:sz="0" w:space="0" w:color="auto"/>
                <w:right w:val="none" w:sz="0" w:space="0" w:color="auto"/>
              </w:divBdr>
            </w:div>
          </w:divsChild>
        </w:div>
        <w:div w:id="455370604">
          <w:marLeft w:val="0"/>
          <w:marRight w:val="0"/>
          <w:marTop w:val="0"/>
          <w:marBottom w:val="0"/>
          <w:divBdr>
            <w:top w:val="none" w:sz="0" w:space="0" w:color="auto"/>
            <w:left w:val="none" w:sz="0" w:space="0" w:color="auto"/>
            <w:bottom w:val="none" w:sz="0" w:space="0" w:color="auto"/>
            <w:right w:val="none" w:sz="0" w:space="0" w:color="auto"/>
          </w:divBdr>
          <w:divsChild>
            <w:div w:id="24990466">
              <w:marLeft w:val="0"/>
              <w:marRight w:val="0"/>
              <w:marTop w:val="0"/>
              <w:marBottom w:val="0"/>
              <w:divBdr>
                <w:top w:val="none" w:sz="0" w:space="0" w:color="auto"/>
                <w:left w:val="none" w:sz="0" w:space="0" w:color="auto"/>
                <w:bottom w:val="none" w:sz="0" w:space="0" w:color="auto"/>
                <w:right w:val="none" w:sz="0" w:space="0" w:color="auto"/>
              </w:divBdr>
            </w:div>
          </w:divsChild>
        </w:div>
        <w:div w:id="455371042">
          <w:marLeft w:val="0"/>
          <w:marRight w:val="0"/>
          <w:marTop w:val="0"/>
          <w:marBottom w:val="0"/>
          <w:divBdr>
            <w:top w:val="none" w:sz="0" w:space="0" w:color="auto"/>
            <w:left w:val="none" w:sz="0" w:space="0" w:color="auto"/>
            <w:bottom w:val="none" w:sz="0" w:space="0" w:color="auto"/>
            <w:right w:val="none" w:sz="0" w:space="0" w:color="auto"/>
          </w:divBdr>
          <w:divsChild>
            <w:div w:id="1782332207">
              <w:marLeft w:val="0"/>
              <w:marRight w:val="0"/>
              <w:marTop w:val="0"/>
              <w:marBottom w:val="0"/>
              <w:divBdr>
                <w:top w:val="none" w:sz="0" w:space="0" w:color="auto"/>
                <w:left w:val="none" w:sz="0" w:space="0" w:color="auto"/>
                <w:bottom w:val="none" w:sz="0" w:space="0" w:color="auto"/>
                <w:right w:val="none" w:sz="0" w:space="0" w:color="auto"/>
              </w:divBdr>
            </w:div>
          </w:divsChild>
        </w:div>
        <w:div w:id="457722645">
          <w:marLeft w:val="0"/>
          <w:marRight w:val="0"/>
          <w:marTop w:val="0"/>
          <w:marBottom w:val="0"/>
          <w:divBdr>
            <w:top w:val="none" w:sz="0" w:space="0" w:color="auto"/>
            <w:left w:val="none" w:sz="0" w:space="0" w:color="auto"/>
            <w:bottom w:val="none" w:sz="0" w:space="0" w:color="auto"/>
            <w:right w:val="none" w:sz="0" w:space="0" w:color="auto"/>
          </w:divBdr>
          <w:divsChild>
            <w:div w:id="1917667871">
              <w:marLeft w:val="0"/>
              <w:marRight w:val="0"/>
              <w:marTop w:val="0"/>
              <w:marBottom w:val="0"/>
              <w:divBdr>
                <w:top w:val="none" w:sz="0" w:space="0" w:color="auto"/>
                <w:left w:val="none" w:sz="0" w:space="0" w:color="auto"/>
                <w:bottom w:val="none" w:sz="0" w:space="0" w:color="auto"/>
                <w:right w:val="none" w:sz="0" w:space="0" w:color="auto"/>
              </w:divBdr>
            </w:div>
          </w:divsChild>
        </w:div>
        <w:div w:id="461851861">
          <w:marLeft w:val="0"/>
          <w:marRight w:val="0"/>
          <w:marTop w:val="0"/>
          <w:marBottom w:val="0"/>
          <w:divBdr>
            <w:top w:val="none" w:sz="0" w:space="0" w:color="auto"/>
            <w:left w:val="none" w:sz="0" w:space="0" w:color="auto"/>
            <w:bottom w:val="none" w:sz="0" w:space="0" w:color="auto"/>
            <w:right w:val="none" w:sz="0" w:space="0" w:color="auto"/>
          </w:divBdr>
          <w:divsChild>
            <w:div w:id="225920929">
              <w:marLeft w:val="0"/>
              <w:marRight w:val="0"/>
              <w:marTop w:val="0"/>
              <w:marBottom w:val="0"/>
              <w:divBdr>
                <w:top w:val="none" w:sz="0" w:space="0" w:color="auto"/>
                <w:left w:val="none" w:sz="0" w:space="0" w:color="auto"/>
                <w:bottom w:val="none" w:sz="0" w:space="0" w:color="auto"/>
                <w:right w:val="none" w:sz="0" w:space="0" w:color="auto"/>
              </w:divBdr>
            </w:div>
            <w:div w:id="246159333">
              <w:marLeft w:val="0"/>
              <w:marRight w:val="0"/>
              <w:marTop w:val="0"/>
              <w:marBottom w:val="0"/>
              <w:divBdr>
                <w:top w:val="none" w:sz="0" w:space="0" w:color="auto"/>
                <w:left w:val="none" w:sz="0" w:space="0" w:color="auto"/>
                <w:bottom w:val="none" w:sz="0" w:space="0" w:color="auto"/>
                <w:right w:val="none" w:sz="0" w:space="0" w:color="auto"/>
              </w:divBdr>
            </w:div>
            <w:div w:id="1114860298">
              <w:marLeft w:val="0"/>
              <w:marRight w:val="0"/>
              <w:marTop w:val="0"/>
              <w:marBottom w:val="0"/>
              <w:divBdr>
                <w:top w:val="none" w:sz="0" w:space="0" w:color="auto"/>
                <w:left w:val="none" w:sz="0" w:space="0" w:color="auto"/>
                <w:bottom w:val="none" w:sz="0" w:space="0" w:color="auto"/>
                <w:right w:val="none" w:sz="0" w:space="0" w:color="auto"/>
              </w:divBdr>
            </w:div>
            <w:div w:id="1948075273">
              <w:marLeft w:val="0"/>
              <w:marRight w:val="0"/>
              <w:marTop w:val="0"/>
              <w:marBottom w:val="0"/>
              <w:divBdr>
                <w:top w:val="none" w:sz="0" w:space="0" w:color="auto"/>
                <w:left w:val="none" w:sz="0" w:space="0" w:color="auto"/>
                <w:bottom w:val="none" w:sz="0" w:space="0" w:color="auto"/>
                <w:right w:val="none" w:sz="0" w:space="0" w:color="auto"/>
              </w:divBdr>
            </w:div>
          </w:divsChild>
        </w:div>
        <w:div w:id="470679909">
          <w:marLeft w:val="0"/>
          <w:marRight w:val="0"/>
          <w:marTop w:val="0"/>
          <w:marBottom w:val="0"/>
          <w:divBdr>
            <w:top w:val="none" w:sz="0" w:space="0" w:color="auto"/>
            <w:left w:val="none" w:sz="0" w:space="0" w:color="auto"/>
            <w:bottom w:val="none" w:sz="0" w:space="0" w:color="auto"/>
            <w:right w:val="none" w:sz="0" w:space="0" w:color="auto"/>
          </w:divBdr>
          <w:divsChild>
            <w:div w:id="262494855">
              <w:marLeft w:val="0"/>
              <w:marRight w:val="0"/>
              <w:marTop w:val="0"/>
              <w:marBottom w:val="0"/>
              <w:divBdr>
                <w:top w:val="none" w:sz="0" w:space="0" w:color="auto"/>
                <w:left w:val="none" w:sz="0" w:space="0" w:color="auto"/>
                <w:bottom w:val="none" w:sz="0" w:space="0" w:color="auto"/>
                <w:right w:val="none" w:sz="0" w:space="0" w:color="auto"/>
              </w:divBdr>
            </w:div>
          </w:divsChild>
        </w:div>
        <w:div w:id="481890670">
          <w:marLeft w:val="0"/>
          <w:marRight w:val="0"/>
          <w:marTop w:val="0"/>
          <w:marBottom w:val="0"/>
          <w:divBdr>
            <w:top w:val="none" w:sz="0" w:space="0" w:color="auto"/>
            <w:left w:val="none" w:sz="0" w:space="0" w:color="auto"/>
            <w:bottom w:val="none" w:sz="0" w:space="0" w:color="auto"/>
            <w:right w:val="none" w:sz="0" w:space="0" w:color="auto"/>
          </w:divBdr>
          <w:divsChild>
            <w:div w:id="148521537">
              <w:marLeft w:val="0"/>
              <w:marRight w:val="0"/>
              <w:marTop w:val="0"/>
              <w:marBottom w:val="0"/>
              <w:divBdr>
                <w:top w:val="none" w:sz="0" w:space="0" w:color="auto"/>
                <w:left w:val="none" w:sz="0" w:space="0" w:color="auto"/>
                <w:bottom w:val="none" w:sz="0" w:space="0" w:color="auto"/>
                <w:right w:val="none" w:sz="0" w:space="0" w:color="auto"/>
              </w:divBdr>
            </w:div>
            <w:div w:id="1190678172">
              <w:marLeft w:val="0"/>
              <w:marRight w:val="0"/>
              <w:marTop w:val="0"/>
              <w:marBottom w:val="0"/>
              <w:divBdr>
                <w:top w:val="none" w:sz="0" w:space="0" w:color="auto"/>
                <w:left w:val="none" w:sz="0" w:space="0" w:color="auto"/>
                <w:bottom w:val="none" w:sz="0" w:space="0" w:color="auto"/>
                <w:right w:val="none" w:sz="0" w:space="0" w:color="auto"/>
              </w:divBdr>
            </w:div>
            <w:div w:id="1429958601">
              <w:marLeft w:val="0"/>
              <w:marRight w:val="0"/>
              <w:marTop w:val="0"/>
              <w:marBottom w:val="0"/>
              <w:divBdr>
                <w:top w:val="none" w:sz="0" w:space="0" w:color="auto"/>
                <w:left w:val="none" w:sz="0" w:space="0" w:color="auto"/>
                <w:bottom w:val="none" w:sz="0" w:space="0" w:color="auto"/>
                <w:right w:val="none" w:sz="0" w:space="0" w:color="auto"/>
              </w:divBdr>
            </w:div>
            <w:div w:id="1536506483">
              <w:marLeft w:val="0"/>
              <w:marRight w:val="0"/>
              <w:marTop w:val="0"/>
              <w:marBottom w:val="0"/>
              <w:divBdr>
                <w:top w:val="none" w:sz="0" w:space="0" w:color="auto"/>
                <w:left w:val="none" w:sz="0" w:space="0" w:color="auto"/>
                <w:bottom w:val="none" w:sz="0" w:space="0" w:color="auto"/>
                <w:right w:val="none" w:sz="0" w:space="0" w:color="auto"/>
              </w:divBdr>
            </w:div>
          </w:divsChild>
        </w:div>
        <w:div w:id="494953428">
          <w:marLeft w:val="0"/>
          <w:marRight w:val="0"/>
          <w:marTop w:val="0"/>
          <w:marBottom w:val="0"/>
          <w:divBdr>
            <w:top w:val="none" w:sz="0" w:space="0" w:color="auto"/>
            <w:left w:val="none" w:sz="0" w:space="0" w:color="auto"/>
            <w:bottom w:val="none" w:sz="0" w:space="0" w:color="auto"/>
            <w:right w:val="none" w:sz="0" w:space="0" w:color="auto"/>
          </w:divBdr>
          <w:divsChild>
            <w:div w:id="1760053664">
              <w:marLeft w:val="0"/>
              <w:marRight w:val="0"/>
              <w:marTop w:val="0"/>
              <w:marBottom w:val="0"/>
              <w:divBdr>
                <w:top w:val="none" w:sz="0" w:space="0" w:color="auto"/>
                <w:left w:val="none" w:sz="0" w:space="0" w:color="auto"/>
                <w:bottom w:val="none" w:sz="0" w:space="0" w:color="auto"/>
                <w:right w:val="none" w:sz="0" w:space="0" w:color="auto"/>
              </w:divBdr>
            </w:div>
          </w:divsChild>
        </w:div>
        <w:div w:id="496729395">
          <w:marLeft w:val="0"/>
          <w:marRight w:val="0"/>
          <w:marTop w:val="0"/>
          <w:marBottom w:val="0"/>
          <w:divBdr>
            <w:top w:val="none" w:sz="0" w:space="0" w:color="auto"/>
            <w:left w:val="none" w:sz="0" w:space="0" w:color="auto"/>
            <w:bottom w:val="none" w:sz="0" w:space="0" w:color="auto"/>
            <w:right w:val="none" w:sz="0" w:space="0" w:color="auto"/>
          </w:divBdr>
          <w:divsChild>
            <w:div w:id="522595505">
              <w:marLeft w:val="0"/>
              <w:marRight w:val="0"/>
              <w:marTop w:val="0"/>
              <w:marBottom w:val="0"/>
              <w:divBdr>
                <w:top w:val="none" w:sz="0" w:space="0" w:color="auto"/>
                <w:left w:val="none" w:sz="0" w:space="0" w:color="auto"/>
                <w:bottom w:val="none" w:sz="0" w:space="0" w:color="auto"/>
                <w:right w:val="none" w:sz="0" w:space="0" w:color="auto"/>
              </w:divBdr>
            </w:div>
          </w:divsChild>
        </w:div>
        <w:div w:id="497581682">
          <w:marLeft w:val="0"/>
          <w:marRight w:val="0"/>
          <w:marTop w:val="0"/>
          <w:marBottom w:val="0"/>
          <w:divBdr>
            <w:top w:val="none" w:sz="0" w:space="0" w:color="auto"/>
            <w:left w:val="none" w:sz="0" w:space="0" w:color="auto"/>
            <w:bottom w:val="none" w:sz="0" w:space="0" w:color="auto"/>
            <w:right w:val="none" w:sz="0" w:space="0" w:color="auto"/>
          </w:divBdr>
          <w:divsChild>
            <w:div w:id="1380780163">
              <w:marLeft w:val="0"/>
              <w:marRight w:val="0"/>
              <w:marTop w:val="0"/>
              <w:marBottom w:val="0"/>
              <w:divBdr>
                <w:top w:val="none" w:sz="0" w:space="0" w:color="auto"/>
                <w:left w:val="none" w:sz="0" w:space="0" w:color="auto"/>
                <w:bottom w:val="none" w:sz="0" w:space="0" w:color="auto"/>
                <w:right w:val="none" w:sz="0" w:space="0" w:color="auto"/>
              </w:divBdr>
            </w:div>
          </w:divsChild>
        </w:div>
        <w:div w:id="499392915">
          <w:marLeft w:val="0"/>
          <w:marRight w:val="0"/>
          <w:marTop w:val="0"/>
          <w:marBottom w:val="0"/>
          <w:divBdr>
            <w:top w:val="none" w:sz="0" w:space="0" w:color="auto"/>
            <w:left w:val="none" w:sz="0" w:space="0" w:color="auto"/>
            <w:bottom w:val="none" w:sz="0" w:space="0" w:color="auto"/>
            <w:right w:val="none" w:sz="0" w:space="0" w:color="auto"/>
          </w:divBdr>
          <w:divsChild>
            <w:div w:id="1019241400">
              <w:marLeft w:val="0"/>
              <w:marRight w:val="0"/>
              <w:marTop w:val="0"/>
              <w:marBottom w:val="0"/>
              <w:divBdr>
                <w:top w:val="none" w:sz="0" w:space="0" w:color="auto"/>
                <w:left w:val="none" w:sz="0" w:space="0" w:color="auto"/>
                <w:bottom w:val="none" w:sz="0" w:space="0" w:color="auto"/>
                <w:right w:val="none" w:sz="0" w:space="0" w:color="auto"/>
              </w:divBdr>
            </w:div>
          </w:divsChild>
        </w:div>
        <w:div w:id="503205460">
          <w:marLeft w:val="0"/>
          <w:marRight w:val="0"/>
          <w:marTop w:val="0"/>
          <w:marBottom w:val="0"/>
          <w:divBdr>
            <w:top w:val="none" w:sz="0" w:space="0" w:color="auto"/>
            <w:left w:val="none" w:sz="0" w:space="0" w:color="auto"/>
            <w:bottom w:val="none" w:sz="0" w:space="0" w:color="auto"/>
            <w:right w:val="none" w:sz="0" w:space="0" w:color="auto"/>
          </w:divBdr>
          <w:divsChild>
            <w:div w:id="1722822210">
              <w:marLeft w:val="0"/>
              <w:marRight w:val="0"/>
              <w:marTop w:val="0"/>
              <w:marBottom w:val="0"/>
              <w:divBdr>
                <w:top w:val="none" w:sz="0" w:space="0" w:color="auto"/>
                <w:left w:val="none" w:sz="0" w:space="0" w:color="auto"/>
                <w:bottom w:val="none" w:sz="0" w:space="0" w:color="auto"/>
                <w:right w:val="none" w:sz="0" w:space="0" w:color="auto"/>
              </w:divBdr>
            </w:div>
          </w:divsChild>
        </w:div>
        <w:div w:id="504395482">
          <w:marLeft w:val="0"/>
          <w:marRight w:val="0"/>
          <w:marTop w:val="0"/>
          <w:marBottom w:val="0"/>
          <w:divBdr>
            <w:top w:val="none" w:sz="0" w:space="0" w:color="auto"/>
            <w:left w:val="none" w:sz="0" w:space="0" w:color="auto"/>
            <w:bottom w:val="none" w:sz="0" w:space="0" w:color="auto"/>
            <w:right w:val="none" w:sz="0" w:space="0" w:color="auto"/>
          </w:divBdr>
          <w:divsChild>
            <w:div w:id="1273855276">
              <w:marLeft w:val="0"/>
              <w:marRight w:val="0"/>
              <w:marTop w:val="0"/>
              <w:marBottom w:val="0"/>
              <w:divBdr>
                <w:top w:val="none" w:sz="0" w:space="0" w:color="auto"/>
                <w:left w:val="none" w:sz="0" w:space="0" w:color="auto"/>
                <w:bottom w:val="none" w:sz="0" w:space="0" w:color="auto"/>
                <w:right w:val="none" w:sz="0" w:space="0" w:color="auto"/>
              </w:divBdr>
            </w:div>
          </w:divsChild>
        </w:div>
        <w:div w:id="513304982">
          <w:marLeft w:val="0"/>
          <w:marRight w:val="0"/>
          <w:marTop w:val="0"/>
          <w:marBottom w:val="0"/>
          <w:divBdr>
            <w:top w:val="none" w:sz="0" w:space="0" w:color="auto"/>
            <w:left w:val="none" w:sz="0" w:space="0" w:color="auto"/>
            <w:bottom w:val="none" w:sz="0" w:space="0" w:color="auto"/>
            <w:right w:val="none" w:sz="0" w:space="0" w:color="auto"/>
          </w:divBdr>
          <w:divsChild>
            <w:div w:id="1234466868">
              <w:marLeft w:val="0"/>
              <w:marRight w:val="0"/>
              <w:marTop w:val="0"/>
              <w:marBottom w:val="0"/>
              <w:divBdr>
                <w:top w:val="none" w:sz="0" w:space="0" w:color="auto"/>
                <w:left w:val="none" w:sz="0" w:space="0" w:color="auto"/>
                <w:bottom w:val="none" w:sz="0" w:space="0" w:color="auto"/>
                <w:right w:val="none" w:sz="0" w:space="0" w:color="auto"/>
              </w:divBdr>
            </w:div>
          </w:divsChild>
        </w:div>
        <w:div w:id="514347201">
          <w:marLeft w:val="0"/>
          <w:marRight w:val="0"/>
          <w:marTop w:val="0"/>
          <w:marBottom w:val="0"/>
          <w:divBdr>
            <w:top w:val="none" w:sz="0" w:space="0" w:color="auto"/>
            <w:left w:val="none" w:sz="0" w:space="0" w:color="auto"/>
            <w:bottom w:val="none" w:sz="0" w:space="0" w:color="auto"/>
            <w:right w:val="none" w:sz="0" w:space="0" w:color="auto"/>
          </w:divBdr>
          <w:divsChild>
            <w:div w:id="677848604">
              <w:marLeft w:val="0"/>
              <w:marRight w:val="0"/>
              <w:marTop w:val="0"/>
              <w:marBottom w:val="0"/>
              <w:divBdr>
                <w:top w:val="none" w:sz="0" w:space="0" w:color="auto"/>
                <w:left w:val="none" w:sz="0" w:space="0" w:color="auto"/>
                <w:bottom w:val="none" w:sz="0" w:space="0" w:color="auto"/>
                <w:right w:val="none" w:sz="0" w:space="0" w:color="auto"/>
              </w:divBdr>
            </w:div>
          </w:divsChild>
        </w:div>
        <w:div w:id="523521646">
          <w:marLeft w:val="0"/>
          <w:marRight w:val="0"/>
          <w:marTop w:val="0"/>
          <w:marBottom w:val="0"/>
          <w:divBdr>
            <w:top w:val="none" w:sz="0" w:space="0" w:color="auto"/>
            <w:left w:val="none" w:sz="0" w:space="0" w:color="auto"/>
            <w:bottom w:val="none" w:sz="0" w:space="0" w:color="auto"/>
            <w:right w:val="none" w:sz="0" w:space="0" w:color="auto"/>
          </w:divBdr>
          <w:divsChild>
            <w:div w:id="118383003">
              <w:marLeft w:val="0"/>
              <w:marRight w:val="0"/>
              <w:marTop w:val="0"/>
              <w:marBottom w:val="0"/>
              <w:divBdr>
                <w:top w:val="none" w:sz="0" w:space="0" w:color="auto"/>
                <w:left w:val="none" w:sz="0" w:space="0" w:color="auto"/>
                <w:bottom w:val="none" w:sz="0" w:space="0" w:color="auto"/>
                <w:right w:val="none" w:sz="0" w:space="0" w:color="auto"/>
              </w:divBdr>
            </w:div>
          </w:divsChild>
        </w:div>
        <w:div w:id="542255902">
          <w:marLeft w:val="0"/>
          <w:marRight w:val="0"/>
          <w:marTop w:val="0"/>
          <w:marBottom w:val="0"/>
          <w:divBdr>
            <w:top w:val="none" w:sz="0" w:space="0" w:color="auto"/>
            <w:left w:val="none" w:sz="0" w:space="0" w:color="auto"/>
            <w:bottom w:val="none" w:sz="0" w:space="0" w:color="auto"/>
            <w:right w:val="none" w:sz="0" w:space="0" w:color="auto"/>
          </w:divBdr>
          <w:divsChild>
            <w:div w:id="901449412">
              <w:marLeft w:val="0"/>
              <w:marRight w:val="0"/>
              <w:marTop w:val="0"/>
              <w:marBottom w:val="0"/>
              <w:divBdr>
                <w:top w:val="none" w:sz="0" w:space="0" w:color="auto"/>
                <w:left w:val="none" w:sz="0" w:space="0" w:color="auto"/>
                <w:bottom w:val="none" w:sz="0" w:space="0" w:color="auto"/>
                <w:right w:val="none" w:sz="0" w:space="0" w:color="auto"/>
              </w:divBdr>
            </w:div>
          </w:divsChild>
        </w:div>
        <w:div w:id="544291041">
          <w:marLeft w:val="0"/>
          <w:marRight w:val="0"/>
          <w:marTop w:val="0"/>
          <w:marBottom w:val="0"/>
          <w:divBdr>
            <w:top w:val="none" w:sz="0" w:space="0" w:color="auto"/>
            <w:left w:val="none" w:sz="0" w:space="0" w:color="auto"/>
            <w:bottom w:val="none" w:sz="0" w:space="0" w:color="auto"/>
            <w:right w:val="none" w:sz="0" w:space="0" w:color="auto"/>
          </w:divBdr>
          <w:divsChild>
            <w:div w:id="1470586354">
              <w:marLeft w:val="0"/>
              <w:marRight w:val="0"/>
              <w:marTop w:val="0"/>
              <w:marBottom w:val="0"/>
              <w:divBdr>
                <w:top w:val="none" w:sz="0" w:space="0" w:color="auto"/>
                <w:left w:val="none" w:sz="0" w:space="0" w:color="auto"/>
                <w:bottom w:val="none" w:sz="0" w:space="0" w:color="auto"/>
                <w:right w:val="none" w:sz="0" w:space="0" w:color="auto"/>
              </w:divBdr>
            </w:div>
          </w:divsChild>
        </w:div>
        <w:div w:id="546069671">
          <w:marLeft w:val="0"/>
          <w:marRight w:val="0"/>
          <w:marTop w:val="0"/>
          <w:marBottom w:val="0"/>
          <w:divBdr>
            <w:top w:val="none" w:sz="0" w:space="0" w:color="auto"/>
            <w:left w:val="none" w:sz="0" w:space="0" w:color="auto"/>
            <w:bottom w:val="none" w:sz="0" w:space="0" w:color="auto"/>
            <w:right w:val="none" w:sz="0" w:space="0" w:color="auto"/>
          </w:divBdr>
          <w:divsChild>
            <w:div w:id="820660340">
              <w:marLeft w:val="0"/>
              <w:marRight w:val="0"/>
              <w:marTop w:val="0"/>
              <w:marBottom w:val="0"/>
              <w:divBdr>
                <w:top w:val="none" w:sz="0" w:space="0" w:color="auto"/>
                <w:left w:val="none" w:sz="0" w:space="0" w:color="auto"/>
                <w:bottom w:val="none" w:sz="0" w:space="0" w:color="auto"/>
                <w:right w:val="none" w:sz="0" w:space="0" w:color="auto"/>
              </w:divBdr>
            </w:div>
            <w:div w:id="1561748660">
              <w:marLeft w:val="0"/>
              <w:marRight w:val="0"/>
              <w:marTop w:val="0"/>
              <w:marBottom w:val="0"/>
              <w:divBdr>
                <w:top w:val="none" w:sz="0" w:space="0" w:color="auto"/>
                <w:left w:val="none" w:sz="0" w:space="0" w:color="auto"/>
                <w:bottom w:val="none" w:sz="0" w:space="0" w:color="auto"/>
                <w:right w:val="none" w:sz="0" w:space="0" w:color="auto"/>
              </w:divBdr>
            </w:div>
            <w:div w:id="1571579657">
              <w:marLeft w:val="0"/>
              <w:marRight w:val="0"/>
              <w:marTop w:val="0"/>
              <w:marBottom w:val="0"/>
              <w:divBdr>
                <w:top w:val="none" w:sz="0" w:space="0" w:color="auto"/>
                <w:left w:val="none" w:sz="0" w:space="0" w:color="auto"/>
                <w:bottom w:val="none" w:sz="0" w:space="0" w:color="auto"/>
                <w:right w:val="none" w:sz="0" w:space="0" w:color="auto"/>
              </w:divBdr>
            </w:div>
            <w:div w:id="2082287103">
              <w:marLeft w:val="0"/>
              <w:marRight w:val="0"/>
              <w:marTop w:val="0"/>
              <w:marBottom w:val="0"/>
              <w:divBdr>
                <w:top w:val="none" w:sz="0" w:space="0" w:color="auto"/>
                <w:left w:val="none" w:sz="0" w:space="0" w:color="auto"/>
                <w:bottom w:val="none" w:sz="0" w:space="0" w:color="auto"/>
                <w:right w:val="none" w:sz="0" w:space="0" w:color="auto"/>
              </w:divBdr>
            </w:div>
          </w:divsChild>
        </w:div>
        <w:div w:id="547884869">
          <w:marLeft w:val="0"/>
          <w:marRight w:val="0"/>
          <w:marTop w:val="0"/>
          <w:marBottom w:val="0"/>
          <w:divBdr>
            <w:top w:val="none" w:sz="0" w:space="0" w:color="auto"/>
            <w:left w:val="none" w:sz="0" w:space="0" w:color="auto"/>
            <w:bottom w:val="none" w:sz="0" w:space="0" w:color="auto"/>
            <w:right w:val="none" w:sz="0" w:space="0" w:color="auto"/>
          </w:divBdr>
          <w:divsChild>
            <w:div w:id="1264260357">
              <w:marLeft w:val="0"/>
              <w:marRight w:val="0"/>
              <w:marTop w:val="0"/>
              <w:marBottom w:val="0"/>
              <w:divBdr>
                <w:top w:val="none" w:sz="0" w:space="0" w:color="auto"/>
                <w:left w:val="none" w:sz="0" w:space="0" w:color="auto"/>
                <w:bottom w:val="none" w:sz="0" w:space="0" w:color="auto"/>
                <w:right w:val="none" w:sz="0" w:space="0" w:color="auto"/>
              </w:divBdr>
            </w:div>
            <w:div w:id="1772969856">
              <w:marLeft w:val="0"/>
              <w:marRight w:val="0"/>
              <w:marTop w:val="0"/>
              <w:marBottom w:val="0"/>
              <w:divBdr>
                <w:top w:val="none" w:sz="0" w:space="0" w:color="auto"/>
                <w:left w:val="none" w:sz="0" w:space="0" w:color="auto"/>
                <w:bottom w:val="none" w:sz="0" w:space="0" w:color="auto"/>
                <w:right w:val="none" w:sz="0" w:space="0" w:color="auto"/>
              </w:divBdr>
            </w:div>
            <w:div w:id="1776712835">
              <w:marLeft w:val="0"/>
              <w:marRight w:val="0"/>
              <w:marTop w:val="0"/>
              <w:marBottom w:val="0"/>
              <w:divBdr>
                <w:top w:val="none" w:sz="0" w:space="0" w:color="auto"/>
                <w:left w:val="none" w:sz="0" w:space="0" w:color="auto"/>
                <w:bottom w:val="none" w:sz="0" w:space="0" w:color="auto"/>
                <w:right w:val="none" w:sz="0" w:space="0" w:color="auto"/>
              </w:divBdr>
            </w:div>
            <w:div w:id="1960140460">
              <w:marLeft w:val="0"/>
              <w:marRight w:val="0"/>
              <w:marTop w:val="0"/>
              <w:marBottom w:val="0"/>
              <w:divBdr>
                <w:top w:val="none" w:sz="0" w:space="0" w:color="auto"/>
                <w:left w:val="none" w:sz="0" w:space="0" w:color="auto"/>
                <w:bottom w:val="none" w:sz="0" w:space="0" w:color="auto"/>
                <w:right w:val="none" w:sz="0" w:space="0" w:color="auto"/>
              </w:divBdr>
            </w:div>
          </w:divsChild>
        </w:div>
        <w:div w:id="553660749">
          <w:marLeft w:val="0"/>
          <w:marRight w:val="0"/>
          <w:marTop w:val="0"/>
          <w:marBottom w:val="0"/>
          <w:divBdr>
            <w:top w:val="none" w:sz="0" w:space="0" w:color="auto"/>
            <w:left w:val="none" w:sz="0" w:space="0" w:color="auto"/>
            <w:bottom w:val="none" w:sz="0" w:space="0" w:color="auto"/>
            <w:right w:val="none" w:sz="0" w:space="0" w:color="auto"/>
          </w:divBdr>
          <w:divsChild>
            <w:div w:id="314337421">
              <w:marLeft w:val="0"/>
              <w:marRight w:val="0"/>
              <w:marTop w:val="0"/>
              <w:marBottom w:val="0"/>
              <w:divBdr>
                <w:top w:val="none" w:sz="0" w:space="0" w:color="auto"/>
                <w:left w:val="none" w:sz="0" w:space="0" w:color="auto"/>
                <w:bottom w:val="none" w:sz="0" w:space="0" w:color="auto"/>
                <w:right w:val="none" w:sz="0" w:space="0" w:color="auto"/>
              </w:divBdr>
            </w:div>
          </w:divsChild>
        </w:div>
        <w:div w:id="558439433">
          <w:marLeft w:val="0"/>
          <w:marRight w:val="0"/>
          <w:marTop w:val="0"/>
          <w:marBottom w:val="0"/>
          <w:divBdr>
            <w:top w:val="none" w:sz="0" w:space="0" w:color="auto"/>
            <w:left w:val="none" w:sz="0" w:space="0" w:color="auto"/>
            <w:bottom w:val="none" w:sz="0" w:space="0" w:color="auto"/>
            <w:right w:val="none" w:sz="0" w:space="0" w:color="auto"/>
          </w:divBdr>
          <w:divsChild>
            <w:div w:id="224032390">
              <w:marLeft w:val="0"/>
              <w:marRight w:val="0"/>
              <w:marTop w:val="0"/>
              <w:marBottom w:val="0"/>
              <w:divBdr>
                <w:top w:val="none" w:sz="0" w:space="0" w:color="auto"/>
                <w:left w:val="none" w:sz="0" w:space="0" w:color="auto"/>
                <w:bottom w:val="none" w:sz="0" w:space="0" w:color="auto"/>
                <w:right w:val="none" w:sz="0" w:space="0" w:color="auto"/>
              </w:divBdr>
            </w:div>
          </w:divsChild>
        </w:div>
        <w:div w:id="560868887">
          <w:marLeft w:val="0"/>
          <w:marRight w:val="0"/>
          <w:marTop w:val="0"/>
          <w:marBottom w:val="0"/>
          <w:divBdr>
            <w:top w:val="none" w:sz="0" w:space="0" w:color="auto"/>
            <w:left w:val="none" w:sz="0" w:space="0" w:color="auto"/>
            <w:bottom w:val="none" w:sz="0" w:space="0" w:color="auto"/>
            <w:right w:val="none" w:sz="0" w:space="0" w:color="auto"/>
          </w:divBdr>
          <w:divsChild>
            <w:div w:id="529298237">
              <w:marLeft w:val="0"/>
              <w:marRight w:val="0"/>
              <w:marTop w:val="0"/>
              <w:marBottom w:val="0"/>
              <w:divBdr>
                <w:top w:val="none" w:sz="0" w:space="0" w:color="auto"/>
                <w:left w:val="none" w:sz="0" w:space="0" w:color="auto"/>
                <w:bottom w:val="none" w:sz="0" w:space="0" w:color="auto"/>
                <w:right w:val="none" w:sz="0" w:space="0" w:color="auto"/>
              </w:divBdr>
            </w:div>
          </w:divsChild>
        </w:div>
        <w:div w:id="562179443">
          <w:marLeft w:val="0"/>
          <w:marRight w:val="0"/>
          <w:marTop w:val="0"/>
          <w:marBottom w:val="0"/>
          <w:divBdr>
            <w:top w:val="none" w:sz="0" w:space="0" w:color="auto"/>
            <w:left w:val="none" w:sz="0" w:space="0" w:color="auto"/>
            <w:bottom w:val="none" w:sz="0" w:space="0" w:color="auto"/>
            <w:right w:val="none" w:sz="0" w:space="0" w:color="auto"/>
          </w:divBdr>
          <w:divsChild>
            <w:div w:id="390807798">
              <w:marLeft w:val="0"/>
              <w:marRight w:val="0"/>
              <w:marTop w:val="0"/>
              <w:marBottom w:val="0"/>
              <w:divBdr>
                <w:top w:val="none" w:sz="0" w:space="0" w:color="auto"/>
                <w:left w:val="none" w:sz="0" w:space="0" w:color="auto"/>
                <w:bottom w:val="none" w:sz="0" w:space="0" w:color="auto"/>
                <w:right w:val="none" w:sz="0" w:space="0" w:color="auto"/>
              </w:divBdr>
            </w:div>
            <w:div w:id="826437294">
              <w:marLeft w:val="0"/>
              <w:marRight w:val="0"/>
              <w:marTop w:val="0"/>
              <w:marBottom w:val="0"/>
              <w:divBdr>
                <w:top w:val="none" w:sz="0" w:space="0" w:color="auto"/>
                <w:left w:val="none" w:sz="0" w:space="0" w:color="auto"/>
                <w:bottom w:val="none" w:sz="0" w:space="0" w:color="auto"/>
                <w:right w:val="none" w:sz="0" w:space="0" w:color="auto"/>
              </w:divBdr>
            </w:div>
          </w:divsChild>
        </w:div>
        <w:div w:id="568342418">
          <w:marLeft w:val="0"/>
          <w:marRight w:val="0"/>
          <w:marTop w:val="0"/>
          <w:marBottom w:val="0"/>
          <w:divBdr>
            <w:top w:val="none" w:sz="0" w:space="0" w:color="auto"/>
            <w:left w:val="none" w:sz="0" w:space="0" w:color="auto"/>
            <w:bottom w:val="none" w:sz="0" w:space="0" w:color="auto"/>
            <w:right w:val="none" w:sz="0" w:space="0" w:color="auto"/>
          </w:divBdr>
          <w:divsChild>
            <w:div w:id="354036379">
              <w:marLeft w:val="0"/>
              <w:marRight w:val="0"/>
              <w:marTop w:val="0"/>
              <w:marBottom w:val="0"/>
              <w:divBdr>
                <w:top w:val="none" w:sz="0" w:space="0" w:color="auto"/>
                <w:left w:val="none" w:sz="0" w:space="0" w:color="auto"/>
                <w:bottom w:val="none" w:sz="0" w:space="0" w:color="auto"/>
                <w:right w:val="none" w:sz="0" w:space="0" w:color="auto"/>
              </w:divBdr>
            </w:div>
            <w:div w:id="1446926222">
              <w:marLeft w:val="0"/>
              <w:marRight w:val="0"/>
              <w:marTop w:val="0"/>
              <w:marBottom w:val="0"/>
              <w:divBdr>
                <w:top w:val="none" w:sz="0" w:space="0" w:color="auto"/>
                <w:left w:val="none" w:sz="0" w:space="0" w:color="auto"/>
                <w:bottom w:val="none" w:sz="0" w:space="0" w:color="auto"/>
                <w:right w:val="none" w:sz="0" w:space="0" w:color="auto"/>
              </w:divBdr>
            </w:div>
            <w:div w:id="1862888665">
              <w:marLeft w:val="0"/>
              <w:marRight w:val="0"/>
              <w:marTop w:val="0"/>
              <w:marBottom w:val="0"/>
              <w:divBdr>
                <w:top w:val="none" w:sz="0" w:space="0" w:color="auto"/>
                <w:left w:val="none" w:sz="0" w:space="0" w:color="auto"/>
                <w:bottom w:val="none" w:sz="0" w:space="0" w:color="auto"/>
                <w:right w:val="none" w:sz="0" w:space="0" w:color="auto"/>
              </w:divBdr>
            </w:div>
          </w:divsChild>
        </w:div>
        <w:div w:id="573054598">
          <w:marLeft w:val="0"/>
          <w:marRight w:val="0"/>
          <w:marTop w:val="0"/>
          <w:marBottom w:val="0"/>
          <w:divBdr>
            <w:top w:val="none" w:sz="0" w:space="0" w:color="auto"/>
            <w:left w:val="none" w:sz="0" w:space="0" w:color="auto"/>
            <w:bottom w:val="none" w:sz="0" w:space="0" w:color="auto"/>
            <w:right w:val="none" w:sz="0" w:space="0" w:color="auto"/>
          </w:divBdr>
          <w:divsChild>
            <w:div w:id="1357853674">
              <w:marLeft w:val="0"/>
              <w:marRight w:val="0"/>
              <w:marTop w:val="0"/>
              <w:marBottom w:val="0"/>
              <w:divBdr>
                <w:top w:val="none" w:sz="0" w:space="0" w:color="auto"/>
                <w:left w:val="none" w:sz="0" w:space="0" w:color="auto"/>
                <w:bottom w:val="none" w:sz="0" w:space="0" w:color="auto"/>
                <w:right w:val="none" w:sz="0" w:space="0" w:color="auto"/>
              </w:divBdr>
            </w:div>
          </w:divsChild>
        </w:div>
        <w:div w:id="580063421">
          <w:marLeft w:val="0"/>
          <w:marRight w:val="0"/>
          <w:marTop w:val="0"/>
          <w:marBottom w:val="0"/>
          <w:divBdr>
            <w:top w:val="none" w:sz="0" w:space="0" w:color="auto"/>
            <w:left w:val="none" w:sz="0" w:space="0" w:color="auto"/>
            <w:bottom w:val="none" w:sz="0" w:space="0" w:color="auto"/>
            <w:right w:val="none" w:sz="0" w:space="0" w:color="auto"/>
          </w:divBdr>
          <w:divsChild>
            <w:div w:id="1071972446">
              <w:marLeft w:val="0"/>
              <w:marRight w:val="0"/>
              <w:marTop w:val="0"/>
              <w:marBottom w:val="0"/>
              <w:divBdr>
                <w:top w:val="none" w:sz="0" w:space="0" w:color="auto"/>
                <w:left w:val="none" w:sz="0" w:space="0" w:color="auto"/>
                <w:bottom w:val="none" w:sz="0" w:space="0" w:color="auto"/>
                <w:right w:val="none" w:sz="0" w:space="0" w:color="auto"/>
              </w:divBdr>
            </w:div>
            <w:div w:id="1073427828">
              <w:marLeft w:val="0"/>
              <w:marRight w:val="0"/>
              <w:marTop w:val="0"/>
              <w:marBottom w:val="0"/>
              <w:divBdr>
                <w:top w:val="none" w:sz="0" w:space="0" w:color="auto"/>
                <w:left w:val="none" w:sz="0" w:space="0" w:color="auto"/>
                <w:bottom w:val="none" w:sz="0" w:space="0" w:color="auto"/>
                <w:right w:val="none" w:sz="0" w:space="0" w:color="auto"/>
              </w:divBdr>
            </w:div>
          </w:divsChild>
        </w:div>
        <w:div w:id="596141152">
          <w:marLeft w:val="0"/>
          <w:marRight w:val="0"/>
          <w:marTop w:val="0"/>
          <w:marBottom w:val="0"/>
          <w:divBdr>
            <w:top w:val="none" w:sz="0" w:space="0" w:color="auto"/>
            <w:left w:val="none" w:sz="0" w:space="0" w:color="auto"/>
            <w:bottom w:val="none" w:sz="0" w:space="0" w:color="auto"/>
            <w:right w:val="none" w:sz="0" w:space="0" w:color="auto"/>
          </w:divBdr>
          <w:divsChild>
            <w:div w:id="467750071">
              <w:marLeft w:val="0"/>
              <w:marRight w:val="0"/>
              <w:marTop w:val="0"/>
              <w:marBottom w:val="0"/>
              <w:divBdr>
                <w:top w:val="none" w:sz="0" w:space="0" w:color="auto"/>
                <w:left w:val="none" w:sz="0" w:space="0" w:color="auto"/>
                <w:bottom w:val="none" w:sz="0" w:space="0" w:color="auto"/>
                <w:right w:val="none" w:sz="0" w:space="0" w:color="auto"/>
              </w:divBdr>
            </w:div>
          </w:divsChild>
        </w:div>
        <w:div w:id="598831487">
          <w:marLeft w:val="0"/>
          <w:marRight w:val="0"/>
          <w:marTop w:val="0"/>
          <w:marBottom w:val="0"/>
          <w:divBdr>
            <w:top w:val="none" w:sz="0" w:space="0" w:color="auto"/>
            <w:left w:val="none" w:sz="0" w:space="0" w:color="auto"/>
            <w:bottom w:val="none" w:sz="0" w:space="0" w:color="auto"/>
            <w:right w:val="none" w:sz="0" w:space="0" w:color="auto"/>
          </w:divBdr>
          <w:divsChild>
            <w:div w:id="1318076238">
              <w:marLeft w:val="0"/>
              <w:marRight w:val="0"/>
              <w:marTop w:val="0"/>
              <w:marBottom w:val="0"/>
              <w:divBdr>
                <w:top w:val="none" w:sz="0" w:space="0" w:color="auto"/>
                <w:left w:val="none" w:sz="0" w:space="0" w:color="auto"/>
                <w:bottom w:val="none" w:sz="0" w:space="0" w:color="auto"/>
                <w:right w:val="none" w:sz="0" w:space="0" w:color="auto"/>
              </w:divBdr>
            </w:div>
          </w:divsChild>
        </w:div>
        <w:div w:id="626201688">
          <w:marLeft w:val="0"/>
          <w:marRight w:val="0"/>
          <w:marTop w:val="0"/>
          <w:marBottom w:val="0"/>
          <w:divBdr>
            <w:top w:val="none" w:sz="0" w:space="0" w:color="auto"/>
            <w:left w:val="none" w:sz="0" w:space="0" w:color="auto"/>
            <w:bottom w:val="none" w:sz="0" w:space="0" w:color="auto"/>
            <w:right w:val="none" w:sz="0" w:space="0" w:color="auto"/>
          </w:divBdr>
          <w:divsChild>
            <w:div w:id="1180046652">
              <w:marLeft w:val="0"/>
              <w:marRight w:val="0"/>
              <w:marTop w:val="0"/>
              <w:marBottom w:val="0"/>
              <w:divBdr>
                <w:top w:val="none" w:sz="0" w:space="0" w:color="auto"/>
                <w:left w:val="none" w:sz="0" w:space="0" w:color="auto"/>
                <w:bottom w:val="none" w:sz="0" w:space="0" w:color="auto"/>
                <w:right w:val="none" w:sz="0" w:space="0" w:color="auto"/>
              </w:divBdr>
            </w:div>
            <w:div w:id="2120446212">
              <w:marLeft w:val="0"/>
              <w:marRight w:val="0"/>
              <w:marTop w:val="0"/>
              <w:marBottom w:val="0"/>
              <w:divBdr>
                <w:top w:val="none" w:sz="0" w:space="0" w:color="auto"/>
                <w:left w:val="none" w:sz="0" w:space="0" w:color="auto"/>
                <w:bottom w:val="none" w:sz="0" w:space="0" w:color="auto"/>
                <w:right w:val="none" w:sz="0" w:space="0" w:color="auto"/>
              </w:divBdr>
            </w:div>
          </w:divsChild>
        </w:div>
        <w:div w:id="628168509">
          <w:marLeft w:val="0"/>
          <w:marRight w:val="0"/>
          <w:marTop w:val="0"/>
          <w:marBottom w:val="0"/>
          <w:divBdr>
            <w:top w:val="none" w:sz="0" w:space="0" w:color="auto"/>
            <w:left w:val="none" w:sz="0" w:space="0" w:color="auto"/>
            <w:bottom w:val="none" w:sz="0" w:space="0" w:color="auto"/>
            <w:right w:val="none" w:sz="0" w:space="0" w:color="auto"/>
          </w:divBdr>
          <w:divsChild>
            <w:div w:id="1625846523">
              <w:marLeft w:val="0"/>
              <w:marRight w:val="0"/>
              <w:marTop w:val="0"/>
              <w:marBottom w:val="0"/>
              <w:divBdr>
                <w:top w:val="none" w:sz="0" w:space="0" w:color="auto"/>
                <w:left w:val="none" w:sz="0" w:space="0" w:color="auto"/>
                <w:bottom w:val="none" w:sz="0" w:space="0" w:color="auto"/>
                <w:right w:val="none" w:sz="0" w:space="0" w:color="auto"/>
              </w:divBdr>
            </w:div>
          </w:divsChild>
        </w:div>
        <w:div w:id="628819638">
          <w:marLeft w:val="0"/>
          <w:marRight w:val="0"/>
          <w:marTop w:val="0"/>
          <w:marBottom w:val="0"/>
          <w:divBdr>
            <w:top w:val="none" w:sz="0" w:space="0" w:color="auto"/>
            <w:left w:val="none" w:sz="0" w:space="0" w:color="auto"/>
            <w:bottom w:val="none" w:sz="0" w:space="0" w:color="auto"/>
            <w:right w:val="none" w:sz="0" w:space="0" w:color="auto"/>
          </w:divBdr>
          <w:divsChild>
            <w:div w:id="575752398">
              <w:marLeft w:val="0"/>
              <w:marRight w:val="0"/>
              <w:marTop w:val="0"/>
              <w:marBottom w:val="0"/>
              <w:divBdr>
                <w:top w:val="none" w:sz="0" w:space="0" w:color="auto"/>
                <w:left w:val="none" w:sz="0" w:space="0" w:color="auto"/>
                <w:bottom w:val="none" w:sz="0" w:space="0" w:color="auto"/>
                <w:right w:val="none" w:sz="0" w:space="0" w:color="auto"/>
              </w:divBdr>
            </w:div>
          </w:divsChild>
        </w:div>
        <w:div w:id="656684885">
          <w:marLeft w:val="0"/>
          <w:marRight w:val="0"/>
          <w:marTop w:val="0"/>
          <w:marBottom w:val="0"/>
          <w:divBdr>
            <w:top w:val="none" w:sz="0" w:space="0" w:color="auto"/>
            <w:left w:val="none" w:sz="0" w:space="0" w:color="auto"/>
            <w:bottom w:val="none" w:sz="0" w:space="0" w:color="auto"/>
            <w:right w:val="none" w:sz="0" w:space="0" w:color="auto"/>
          </w:divBdr>
          <w:divsChild>
            <w:div w:id="2088384427">
              <w:marLeft w:val="0"/>
              <w:marRight w:val="0"/>
              <w:marTop w:val="0"/>
              <w:marBottom w:val="0"/>
              <w:divBdr>
                <w:top w:val="none" w:sz="0" w:space="0" w:color="auto"/>
                <w:left w:val="none" w:sz="0" w:space="0" w:color="auto"/>
                <w:bottom w:val="none" w:sz="0" w:space="0" w:color="auto"/>
                <w:right w:val="none" w:sz="0" w:space="0" w:color="auto"/>
              </w:divBdr>
            </w:div>
          </w:divsChild>
        </w:div>
        <w:div w:id="665979069">
          <w:marLeft w:val="0"/>
          <w:marRight w:val="0"/>
          <w:marTop w:val="0"/>
          <w:marBottom w:val="0"/>
          <w:divBdr>
            <w:top w:val="none" w:sz="0" w:space="0" w:color="auto"/>
            <w:left w:val="none" w:sz="0" w:space="0" w:color="auto"/>
            <w:bottom w:val="none" w:sz="0" w:space="0" w:color="auto"/>
            <w:right w:val="none" w:sz="0" w:space="0" w:color="auto"/>
          </w:divBdr>
          <w:divsChild>
            <w:div w:id="393434686">
              <w:marLeft w:val="0"/>
              <w:marRight w:val="0"/>
              <w:marTop w:val="0"/>
              <w:marBottom w:val="0"/>
              <w:divBdr>
                <w:top w:val="none" w:sz="0" w:space="0" w:color="auto"/>
                <w:left w:val="none" w:sz="0" w:space="0" w:color="auto"/>
                <w:bottom w:val="none" w:sz="0" w:space="0" w:color="auto"/>
                <w:right w:val="none" w:sz="0" w:space="0" w:color="auto"/>
              </w:divBdr>
            </w:div>
          </w:divsChild>
        </w:div>
        <w:div w:id="673529927">
          <w:marLeft w:val="0"/>
          <w:marRight w:val="0"/>
          <w:marTop w:val="0"/>
          <w:marBottom w:val="0"/>
          <w:divBdr>
            <w:top w:val="none" w:sz="0" w:space="0" w:color="auto"/>
            <w:left w:val="none" w:sz="0" w:space="0" w:color="auto"/>
            <w:bottom w:val="none" w:sz="0" w:space="0" w:color="auto"/>
            <w:right w:val="none" w:sz="0" w:space="0" w:color="auto"/>
          </w:divBdr>
          <w:divsChild>
            <w:div w:id="2009285638">
              <w:marLeft w:val="0"/>
              <w:marRight w:val="0"/>
              <w:marTop w:val="0"/>
              <w:marBottom w:val="0"/>
              <w:divBdr>
                <w:top w:val="none" w:sz="0" w:space="0" w:color="auto"/>
                <w:left w:val="none" w:sz="0" w:space="0" w:color="auto"/>
                <w:bottom w:val="none" w:sz="0" w:space="0" w:color="auto"/>
                <w:right w:val="none" w:sz="0" w:space="0" w:color="auto"/>
              </w:divBdr>
            </w:div>
          </w:divsChild>
        </w:div>
        <w:div w:id="699937889">
          <w:marLeft w:val="0"/>
          <w:marRight w:val="0"/>
          <w:marTop w:val="0"/>
          <w:marBottom w:val="0"/>
          <w:divBdr>
            <w:top w:val="none" w:sz="0" w:space="0" w:color="auto"/>
            <w:left w:val="none" w:sz="0" w:space="0" w:color="auto"/>
            <w:bottom w:val="none" w:sz="0" w:space="0" w:color="auto"/>
            <w:right w:val="none" w:sz="0" w:space="0" w:color="auto"/>
          </w:divBdr>
          <w:divsChild>
            <w:div w:id="523634039">
              <w:marLeft w:val="0"/>
              <w:marRight w:val="0"/>
              <w:marTop w:val="0"/>
              <w:marBottom w:val="0"/>
              <w:divBdr>
                <w:top w:val="none" w:sz="0" w:space="0" w:color="auto"/>
                <w:left w:val="none" w:sz="0" w:space="0" w:color="auto"/>
                <w:bottom w:val="none" w:sz="0" w:space="0" w:color="auto"/>
                <w:right w:val="none" w:sz="0" w:space="0" w:color="auto"/>
              </w:divBdr>
            </w:div>
          </w:divsChild>
        </w:div>
        <w:div w:id="700666756">
          <w:marLeft w:val="0"/>
          <w:marRight w:val="0"/>
          <w:marTop w:val="0"/>
          <w:marBottom w:val="0"/>
          <w:divBdr>
            <w:top w:val="none" w:sz="0" w:space="0" w:color="auto"/>
            <w:left w:val="none" w:sz="0" w:space="0" w:color="auto"/>
            <w:bottom w:val="none" w:sz="0" w:space="0" w:color="auto"/>
            <w:right w:val="none" w:sz="0" w:space="0" w:color="auto"/>
          </w:divBdr>
          <w:divsChild>
            <w:div w:id="1242980360">
              <w:marLeft w:val="0"/>
              <w:marRight w:val="0"/>
              <w:marTop w:val="0"/>
              <w:marBottom w:val="0"/>
              <w:divBdr>
                <w:top w:val="none" w:sz="0" w:space="0" w:color="auto"/>
                <w:left w:val="none" w:sz="0" w:space="0" w:color="auto"/>
                <w:bottom w:val="none" w:sz="0" w:space="0" w:color="auto"/>
                <w:right w:val="none" w:sz="0" w:space="0" w:color="auto"/>
              </w:divBdr>
            </w:div>
          </w:divsChild>
        </w:div>
        <w:div w:id="704989334">
          <w:marLeft w:val="0"/>
          <w:marRight w:val="0"/>
          <w:marTop w:val="0"/>
          <w:marBottom w:val="0"/>
          <w:divBdr>
            <w:top w:val="none" w:sz="0" w:space="0" w:color="auto"/>
            <w:left w:val="none" w:sz="0" w:space="0" w:color="auto"/>
            <w:bottom w:val="none" w:sz="0" w:space="0" w:color="auto"/>
            <w:right w:val="none" w:sz="0" w:space="0" w:color="auto"/>
          </w:divBdr>
          <w:divsChild>
            <w:div w:id="1255675283">
              <w:marLeft w:val="0"/>
              <w:marRight w:val="0"/>
              <w:marTop w:val="0"/>
              <w:marBottom w:val="0"/>
              <w:divBdr>
                <w:top w:val="none" w:sz="0" w:space="0" w:color="auto"/>
                <w:left w:val="none" w:sz="0" w:space="0" w:color="auto"/>
                <w:bottom w:val="none" w:sz="0" w:space="0" w:color="auto"/>
                <w:right w:val="none" w:sz="0" w:space="0" w:color="auto"/>
              </w:divBdr>
            </w:div>
          </w:divsChild>
        </w:div>
        <w:div w:id="706299302">
          <w:marLeft w:val="0"/>
          <w:marRight w:val="0"/>
          <w:marTop w:val="0"/>
          <w:marBottom w:val="0"/>
          <w:divBdr>
            <w:top w:val="none" w:sz="0" w:space="0" w:color="auto"/>
            <w:left w:val="none" w:sz="0" w:space="0" w:color="auto"/>
            <w:bottom w:val="none" w:sz="0" w:space="0" w:color="auto"/>
            <w:right w:val="none" w:sz="0" w:space="0" w:color="auto"/>
          </w:divBdr>
          <w:divsChild>
            <w:div w:id="1692611392">
              <w:marLeft w:val="0"/>
              <w:marRight w:val="0"/>
              <w:marTop w:val="0"/>
              <w:marBottom w:val="0"/>
              <w:divBdr>
                <w:top w:val="none" w:sz="0" w:space="0" w:color="auto"/>
                <w:left w:val="none" w:sz="0" w:space="0" w:color="auto"/>
                <w:bottom w:val="none" w:sz="0" w:space="0" w:color="auto"/>
                <w:right w:val="none" w:sz="0" w:space="0" w:color="auto"/>
              </w:divBdr>
            </w:div>
          </w:divsChild>
        </w:div>
        <w:div w:id="748430528">
          <w:marLeft w:val="0"/>
          <w:marRight w:val="0"/>
          <w:marTop w:val="0"/>
          <w:marBottom w:val="0"/>
          <w:divBdr>
            <w:top w:val="none" w:sz="0" w:space="0" w:color="auto"/>
            <w:left w:val="none" w:sz="0" w:space="0" w:color="auto"/>
            <w:bottom w:val="none" w:sz="0" w:space="0" w:color="auto"/>
            <w:right w:val="none" w:sz="0" w:space="0" w:color="auto"/>
          </w:divBdr>
          <w:divsChild>
            <w:div w:id="120224868">
              <w:marLeft w:val="0"/>
              <w:marRight w:val="0"/>
              <w:marTop w:val="0"/>
              <w:marBottom w:val="0"/>
              <w:divBdr>
                <w:top w:val="none" w:sz="0" w:space="0" w:color="auto"/>
                <w:left w:val="none" w:sz="0" w:space="0" w:color="auto"/>
                <w:bottom w:val="none" w:sz="0" w:space="0" w:color="auto"/>
                <w:right w:val="none" w:sz="0" w:space="0" w:color="auto"/>
              </w:divBdr>
            </w:div>
          </w:divsChild>
        </w:div>
        <w:div w:id="761757639">
          <w:marLeft w:val="0"/>
          <w:marRight w:val="0"/>
          <w:marTop w:val="0"/>
          <w:marBottom w:val="0"/>
          <w:divBdr>
            <w:top w:val="none" w:sz="0" w:space="0" w:color="auto"/>
            <w:left w:val="none" w:sz="0" w:space="0" w:color="auto"/>
            <w:bottom w:val="none" w:sz="0" w:space="0" w:color="auto"/>
            <w:right w:val="none" w:sz="0" w:space="0" w:color="auto"/>
          </w:divBdr>
          <w:divsChild>
            <w:div w:id="1528711985">
              <w:marLeft w:val="0"/>
              <w:marRight w:val="0"/>
              <w:marTop w:val="0"/>
              <w:marBottom w:val="0"/>
              <w:divBdr>
                <w:top w:val="none" w:sz="0" w:space="0" w:color="auto"/>
                <w:left w:val="none" w:sz="0" w:space="0" w:color="auto"/>
                <w:bottom w:val="none" w:sz="0" w:space="0" w:color="auto"/>
                <w:right w:val="none" w:sz="0" w:space="0" w:color="auto"/>
              </w:divBdr>
            </w:div>
          </w:divsChild>
        </w:div>
        <w:div w:id="772559225">
          <w:marLeft w:val="0"/>
          <w:marRight w:val="0"/>
          <w:marTop w:val="0"/>
          <w:marBottom w:val="0"/>
          <w:divBdr>
            <w:top w:val="none" w:sz="0" w:space="0" w:color="auto"/>
            <w:left w:val="none" w:sz="0" w:space="0" w:color="auto"/>
            <w:bottom w:val="none" w:sz="0" w:space="0" w:color="auto"/>
            <w:right w:val="none" w:sz="0" w:space="0" w:color="auto"/>
          </w:divBdr>
          <w:divsChild>
            <w:div w:id="1673727598">
              <w:marLeft w:val="0"/>
              <w:marRight w:val="0"/>
              <w:marTop w:val="0"/>
              <w:marBottom w:val="0"/>
              <w:divBdr>
                <w:top w:val="none" w:sz="0" w:space="0" w:color="auto"/>
                <w:left w:val="none" w:sz="0" w:space="0" w:color="auto"/>
                <w:bottom w:val="none" w:sz="0" w:space="0" w:color="auto"/>
                <w:right w:val="none" w:sz="0" w:space="0" w:color="auto"/>
              </w:divBdr>
            </w:div>
          </w:divsChild>
        </w:div>
        <w:div w:id="774331065">
          <w:marLeft w:val="0"/>
          <w:marRight w:val="0"/>
          <w:marTop w:val="0"/>
          <w:marBottom w:val="0"/>
          <w:divBdr>
            <w:top w:val="none" w:sz="0" w:space="0" w:color="auto"/>
            <w:left w:val="none" w:sz="0" w:space="0" w:color="auto"/>
            <w:bottom w:val="none" w:sz="0" w:space="0" w:color="auto"/>
            <w:right w:val="none" w:sz="0" w:space="0" w:color="auto"/>
          </w:divBdr>
          <w:divsChild>
            <w:div w:id="1762750116">
              <w:marLeft w:val="0"/>
              <w:marRight w:val="0"/>
              <w:marTop w:val="0"/>
              <w:marBottom w:val="0"/>
              <w:divBdr>
                <w:top w:val="none" w:sz="0" w:space="0" w:color="auto"/>
                <w:left w:val="none" w:sz="0" w:space="0" w:color="auto"/>
                <w:bottom w:val="none" w:sz="0" w:space="0" w:color="auto"/>
                <w:right w:val="none" w:sz="0" w:space="0" w:color="auto"/>
              </w:divBdr>
            </w:div>
          </w:divsChild>
        </w:div>
        <w:div w:id="808668820">
          <w:marLeft w:val="0"/>
          <w:marRight w:val="0"/>
          <w:marTop w:val="0"/>
          <w:marBottom w:val="0"/>
          <w:divBdr>
            <w:top w:val="none" w:sz="0" w:space="0" w:color="auto"/>
            <w:left w:val="none" w:sz="0" w:space="0" w:color="auto"/>
            <w:bottom w:val="none" w:sz="0" w:space="0" w:color="auto"/>
            <w:right w:val="none" w:sz="0" w:space="0" w:color="auto"/>
          </w:divBdr>
          <w:divsChild>
            <w:div w:id="1795976304">
              <w:marLeft w:val="0"/>
              <w:marRight w:val="0"/>
              <w:marTop w:val="0"/>
              <w:marBottom w:val="0"/>
              <w:divBdr>
                <w:top w:val="none" w:sz="0" w:space="0" w:color="auto"/>
                <w:left w:val="none" w:sz="0" w:space="0" w:color="auto"/>
                <w:bottom w:val="none" w:sz="0" w:space="0" w:color="auto"/>
                <w:right w:val="none" w:sz="0" w:space="0" w:color="auto"/>
              </w:divBdr>
            </w:div>
          </w:divsChild>
        </w:div>
        <w:div w:id="815492372">
          <w:marLeft w:val="0"/>
          <w:marRight w:val="0"/>
          <w:marTop w:val="0"/>
          <w:marBottom w:val="0"/>
          <w:divBdr>
            <w:top w:val="none" w:sz="0" w:space="0" w:color="auto"/>
            <w:left w:val="none" w:sz="0" w:space="0" w:color="auto"/>
            <w:bottom w:val="none" w:sz="0" w:space="0" w:color="auto"/>
            <w:right w:val="none" w:sz="0" w:space="0" w:color="auto"/>
          </w:divBdr>
          <w:divsChild>
            <w:div w:id="1803229951">
              <w:marLeft w:val="0"/>
              <w:marRight w:val="0"/>
              <w:marTop w:val="0"/>
              <w:marBottom w:val="0"/>
              <w:divBdr>
                <w:top w:val="none" w:sz="0" w:space="0" w:color="auto"/>
                <w:left w:val="none" w:sz="0" w:space="0" w:color="auto"/>
                <w:bottom w:val="none" w:sz="0" w:space="0" w:color="auto"/>
                <w:right w:val="none" w:sz="0" w:space="0" w:color="auto"/>
              </w:divBdr>
            </w:div>
          </w:divsChild>
        </w:div>
        <w:div w:id="829910618">
          <w:marLeft w:val="0"/>
          <w:marRight w:val="0"/>
          <w:marTop w:val="0"/>
          <w:marBottom w:val="0"/>
          <w:divBdr>
            <w:top w:val="none" w:sz="0" w:space="0" w:color="auto"/>
            <w:left w:val="none" w:sz="0" w:space="0" w:color="auto"/>
            <w:bottom w:val="none" w:sz="0" w:space="0" w:color="auto"/>
            <w:right w:val="none" w:sz="0" w:space="0" w:color="auto"/>
          </w:divBdr>
          <w:divsChild>
            <w:div w:id="1380518654">
              <w:marLeft w:val="0"/>
              <w:marRight w:val="0"/>
              <w:marTop w:val="0"/>
              <w:marBottom w:val="0"/>
              <w:divBdr>
                <w:top w:val="none" w:sz="0" w:space="0" w:color="auto"/>
                <w:left w:val="none" w:sz="0" w:space="0" w:color="auto"/>
                <w:bottom w:val="none" w:sz="0" w:space="0" w:color="auto"/>
                <w:right w:val="none" w:sz="0" w:space="0" w:color="auto"/>
              </w:divBdr>
            </w:div>
          </w:divsChild>
        </w:div>
        <w:div w:id="845829456">
          <w:marLeft w:val="0"/>
          <w:marRight w:val="0"/>
          <w:marTop w:val="0"/>
          <w:marBottom w:val="0"/>
          <w:divBdr>
            <w:top w:val="none" w:sz="0" w:space="0" w:color="auto"/>
            <w:left w:val="none" w:sz="0" w:space="0" w:color="auto"/>
            <w:bottom w:val="none" w:sz="0" w:space="0" w:color="auto"/>
            <w:right w:val="none" w:sz="0" w:space="0" w:color="auto"/>
          </w:divBdr>
          <w:divsChild>
            <w:div w:id="2071540224">
              <w:marLeft w:val="0"/>
              <w:marRight w:val="0"/>
              <w:marTop w:val="0"/>
              <w:marBottom w:val="0"/>
              <w:divBdr>
                <w:top w:val="none" w:sz="0" w:space="0" w:color="auto"/>
                <w:left w:val="none" w:sz="0" w:space="0" w:color="auto"/>
                <w:bottom w:val="none" w:sz="0" w:space="0" w:color="auto"/>
                <w:right w:val="none" w:sz="0" w:space="0" w:color="auto"/>
              </w:divBdr>
            </w:div>
          </w:divsChild>
        </w:div>
        <w:div w:id="848102392">
          <w:marLeft w:val="0"/>
          <w:marRight w:val="0"/>
          <w:marTop w:val="0"/>
          <w:marBottom w:val="0"/>
          <w:divBdr>
            <w:top w:val="none" w:sz="0" w:space="0" w:color="auto"/>
            <w:left w:val="none" w:sz="0" w:space="0" w:color="auto"/>
            <w:bottom w:val="none" w:sz="0" w:space="0" w:color="auto"/>
            <w:right w:val="none" w:sz="0" w:space="0" w:color="auto"/>
          </w:divBdr>
          <w:divsChild>
            <w:div w:id="966351493">
              <w:marLeft w:val="0"/>
              <w:marRight w:val="0"/>
              <w:marTop w:val="0"/>
              <w:marBottom w:val="0"/>
              <w:divBdr>
                <w:top w:val="none" w:sz="0" w:space="0" w:color="auto"/>
                <w:left w:val="none" w:sz="0" w:space="0" w:color="auto"/>
                <w:bottom w:val="none" w:sz="0" w:space="0" w:color="auto"/>
                <w:right w:val="none" w:sz="0" w:space="0" w:color="auto"/>
              </w:divBdr>
            </w:div>
          </w:divsChild>
        </w:div>
        <w:div w:id="858934900">
          <w:marLeft w:val="0"/>
          <w:marRight w:val="0"/>
          <w:marTop w:val="0"/>
          <w:marBottom w:val="0"/>
          <w:divBdr>
            <w:top w:val="none" w:sz="0" w:space="0" w:color="auto"/>
            <w:left w:val="none" w:sz="0" w:space="0" w:color="auto"/>
            <w:bottom w:val="none" w:sz="0" w:space="0" w:color="auto"/>
            <w:right w:val="none" w:sz="0" w:space="0" w:color="auto"/>
          </w:divBdr>
          <w:divsChild>
            <w:div w:id="454057586">
              <w:marLeft w:val="0"/>
              <w:marRight w:val="0"/>
              <w:marTop w:val="0"/>
              <w:marBottom w:val="0"/>
              <w:divBdr>
                <w:top w:val="none" w:sz="0" w:space="0" w:color="auto"/>
                <w:left w:val="none" w:sz="0" w:space="0" w:color="auto"/>
                <w:bottom w:val="none" w:sz="0" w:space="0" w:color="auto"/>
                <w:right w:val="none" w:sz="0" w:space="0" w:color="auto"/>
              </w:divBdr>
            </w:div>
            <w:div w:id="876551101">
              <w:marLeft w:val="0"/>
              <w:marRight w:val="0"/>
              <w:marTop w:val="0"/>
              <w:marBottom w:val="0"/>
              <w:divBdr>
                <w:top w:val="none" w:sz="0" w:space="0" w:color="auto"/>
                <w:left w:val="none" w:sz="0" w:space="0" w:color="auto"/>
                <w:bottom w:val="none" w:sz="0" w:space="0" w:color="auto"/>
                <w:right w:val="none" w:sz="0" w:space="0" w:color="auto"/>
              </w:divBdr>
            </w:div>
            <w:div w:id="1411343376">
              <w:marLeft w:val="0"/>
              <w:marRight w:val="0"/>
              <w:marTop w:val="0"/>
              <w:marBottom w:val="0"/>
              <w:divBdr>
                <w:top w:val="none" w:sz="0" w:space="0" w:color="auto"/>
                <w:left w:val="none" w:sz="0" w:space="0" w:color="auto"/>
                <w:bottom w:val="none" w:sz="0" w:space="0" w:color="auto"/>
                <w:right w:val="none" w:sz="0" w:space="0" w:color="auto"/>
              </w:divBdr>
            </w:div>
            <w:div w:id="1846244361">
              <w:marLeft w:val="0"/>
              <w:marRight w:val="0"/>
              <w:marTop w:val="0"/>
              <w:marBottom w:val="0"/>
              <w:divBdr>
                <w:top w:val="none" w:sz="0" w:space="0" w:color="auto"/>
                <w:left w:val="none" w:sz="0" w:space="0" w:color="auto"/>
                <w:bottom w:val="none" w:sz="0" w:space="0" w:color="auto"/>
                <w:right w:val="none" w:sz="0" w:space="0" w:color="auto"/>
              </w:divBdr>
            </w:div>
          </w:divsChild>
        </w:div>
        <w:div w:id="873688285">
          <w:marLeft w:val="0"/>
          <w:marRight w:val="0"/>
          <w:marTop w:val="0"/>
          <w:marBottom w:val="0"/>
          <w:divBdr>
            <w:top w:val="none" w:sz="0" w:space="0" w:color="auto"/>
            <w:left w:val="none" w:sz="0" w:space="0" w:color="auto"/>
            <w:bottom w:val="none" w:sz="0" w:space="0" w:color="auto"/>
            <w:right w:val="none" w:sz="0" w:space="0" w:color="auto"/>
          </w:divBdr>
          <w:divsChild>
            <w:div w:id="821122299">
              <w:marLeft w:val="0"/>
              <w:marRight w:val="0"/>
              <w:marTop w:val="0"/>
              <w:marBottom w:val="0"/>
              <w:divBdr>
                <w:top w:val="none" w:sz="0" w:space="0" w:color="auto"/>
                <w:left w:val="none" w:sz="0" w:space="0" w:color="auto"/>
                <w:bottom w:val="none" w:sz="0" w:space="0" w:color="auto"/>
                <w:right w:val="none" w:sz="0" w:space="0" w:color="auto"/>
              </w:divBdr>
            </w:div>
            <w:div w:id="1233806706">
              <w:marLeft w:val="0"/>
              <w:marRight w:val="0"/>
              <w:marTop w:val="0"/>
              <w:marBottom w:val="0"/>
              <w:divBdr>
                <w:top w:val="none" w:sz="0" w:space="0" w:color="auto"/>
                <w:left w:val="none" w:sz="0" w:space="0" w:color="auto"/>
                <w:bottom w:val="none" w:sz="0" w:space="0" w:color="auto"/>
                <w:right w:val="none" w:sz="0" w:space="0" w:color="auto"/>
              </w:divBdr>
            </w:div>
            <w:div w:id="2005936959">
              <w:marLeft w:val="0"/>
              <w:marRight w:val="0"/>
              <w:marTop w:val="0"/>
              <w:marBottom w:val="0"/>
              <w:divBdr>
                <w:top w:val="none" w:sz="0" w:space="0" w:color="auto"/>
                <w:left w:val="none" w:sz="0" w:space="0" w:color="auto"/>
                <w:bottom w:val="none" w:sz="0" w:space="0" w:color="auto"/>
                <w:right w:val="none" w:sz="0" w:space="0" w:color="auto"/>
              </w:divBdr>
            </w:div>
          </w:divsChild>
        </w:div>
        <w:div w:id="873927587">
          <w:marLeft w:val="0"/>
          <w:marRight w:val="0"/>
          <w:marTop w:val="0"/>
          <w:marBottom w:val="0"/>
          <w:divBdr>
            <w:top w:val="none" w:sz="0" w:space="0" w:color="auto"/>
            <w:left w:val="none" w:sz="0" w:space="0" w:color="auto"/>
            <w:bottom w:val="none" w:sz="0" w:space="0" w:color="auto"/>
            <w:right w:val="none" w:sz="0" w:space="0" w:color="auto"/>
          </w:divBdr>
          <w:divsChild>
            <w:div w:id="1942955789">
              <w:marLeft w:val="0"/>
              <w:marRight w:val="0"/>
              <w:marTop w:val="0"/>
              <w:marBottom w:val="0"/>
              <w:divBdr>
                <w:top w:val="none" w:sz="0" w:space="0" w:color="auto"/>
                <w:left w:val="none" w:sz="0" w:space="0" w:color="auto"/>
                <w:bottom w:val="none" w:sz="0" w:space="0" w:color="auto"/>
                <w:right w:val="none" w:sz="0" w:space="0" w:color="auto"/>
              </w:divBdr>
            </w:div>
          </w:divsChild>
        </w:div>
        <w:div w:id="880433544">
          <w:marLeft w:val="0"/>
          <w:marRight w:val="0"/>
          <w:marTop w:val="0"/>
          <w:marBottom w:val="0"/>
          <w:divBdr>
            <w:top w:val="none" w:sz="0" w:space="0" w:color="auto"/>
            <w:left w:val="none" w:sz="0" w:space="0" w:color="auto"/>
            <w:bottom w:val="none" w:sz="0" w:space="0" w:color="auto"/>
            <w:right w:val="none" w:sz="0" w:space="0" w:color="auto"/>
          </w:divBdr>
          <w:divsChild>
            <w:div w:id="676737526">
              <w:marLeft w:val="0"/>
              <w:marRight w:val="0"/>
              <w:marTop w:val="0"/>
              <w:marBottom w:val="0"/>
              <w:divBdr>
                <w:top w:val="none" w:sz="0" w:space="0" w:color="auto"/>
                <w:left w:val="none" w:sz="0" w:space="0" w:color="auto"/>
                <w:bottom w:val="none" w:sz="0" w:space="0" w:color="auto"/>
                <w:right w:val="none" w:sz="0" w:space="0" w:color="auto"/>
              </w:divBdr>
            </w:div>
          </w:divsChild>
        </w:div>
        <w:div w:id="888761689">
          <w:marLeft w:val="0"/>
          <w:marRight w:val="0"/>
          <w:marTop w:val="0"/>
          <w:marBottom w:val="0"/>
          <w:divBdr>
            <w:top w:val="none" w:sz="0" w:space="0" w:color="auto"/>
            <w:left w:val="none" w:sz="0" w:space="0" w:color="auto"/>
            <w:bottom w:val="none" w:sz="0" w:space="0" w:color="auto"/>
            <w:right w:val="none" w:sz="0" w:space="0" w:color="auto"/>
          </w:divBdr>
          <w:divsChild>
            <w:div w:id="1895576154">
              <w:marLeft w:val="0"/>
              <w:marRight w:val="0"/>
              <w:marTop w:val="0"/>
              <w:marBottom w:val="0"/>
              <w:divBdr>
                <w:top w:val="none" w:sz="0" w:space="0" w:color="auto"/>
                <w:left w:val="none" w:sz="0" w:space="0" w:color="auto"/>
                <w:bottom w:val="none" w:sz="0" w:space="0" w:color="auto"/>
                <w:right w:val="none" w:sz="0" w:space="0" w:color="auto"/>
              </w:divBdr>
            </w:div>
          </w:divsChild>
        </w:div>
        <w:div w:id="896160469">
          <w:marLeft w:val="0"/>
          <w:marRight w:val="0"/>
          <w:marTop w:val="0"/>
          <w:marBottom w:val="0"/>
          <w:divBdr>
            <w:top w:val="none" w:sz="0" w:space="0" w:color="auto"/>
            <w:left w:val="none" w:sz="0" w:space="0" w:color="auto"/>
            <w:bottom w:val="none" w:sz="0" w:space="0" w:color="auto"/>
            <w:right w:val="none" w:sz="0" w:space="0" w:color="auto"/>
          </w:divBdr>
          <w:divsChild>
            <w:div w:id="412551046">
              <w:marLeft w:val="0"/>
              <w:marRight w:val="0"/>
              <w:marTop w:val="0"/>
              <w:marBottom w:val="0"/>
              <w:divBdr>
                <w:top w:val="none" w:sz="0" w:space="0" w:color="auto"/>
                <w:left w:val="none" w:sz="0" w:space="0" w:color="auto"/>
                <w:bottom w:val="none" w:sz="0" w:space="0" w:color="auto"/>
                <w:right w:val="none" w:sz="0" w:space="0" w:color="auto"/>
              </w:divBdr>
            </w:div>
          </w:divsChild>
        </w:div>
        <w:div w:id="896670844">
          <w:marLeft w:val="0"/>
          <w:marRight w:val="0"/>
          <w:marTop w:val="0"/>
          <w:marBottom w:val="0"/>
          <w:divBdr>
            <w:top w:val="none" w:sz="0" w:space="0" w:color="auto"/>
            <w:left w:val="none" w:sz="0" w:space="0" w:color="auto"/>
            <w:bottom w:val="none" w:sz="0" w:space="0" w:color="auto"/>
            <w:right w:val="none" w:sz="0" w:space="0" w:color="auto"/>
          </w:divBdr>
          <w:divsChild>
            <w:div w:id="1046220569">
              <w:marLeft w:val="0"/>
              <w:marRight w:val="0"/>
              <w:marTop w:val="0"/>
              <w:marBottom w:val="0"/>
              <w:divBdr>
                <w:top w:val="none" w:sz="0" w:space="0" w:color="auto"/>
                <w:left w:val="none" w:sz="0" w:space="0" w:color="auto"/>
                <w:bottom w:val="none" w:sz="0" w:space="0" w:color="auto"/>
                <w:right w:val="none" w:sz="0" w:space="0" w:color="auto"/>
              </w:divBdr>
            </w:div>
          </w:divsChild>
        </w:div>
        <w:div w:id="900214796">
          <w:marLeft w:val="0"/>
          <w:marRight w:val="0"/>
          <w:marTop w:val="0"/>
          <w:marBottom w:val="0"/>
          <w:divBdr>
            <w:top w:val="none" w:sz="0" w:space="0" w:color="auto"/>
            <w:left w:val="none" w:sz="0" w:space="0" w:color="auto"/>
            <w:bottom w:val="none" w:sz="0" w:space="0" w:color="auto"/>
            <w:right w:val="none" w:sz="0" w:space="0" w:color="auto"/>
          </w:divBdr>
          <w:divsChild>
            <w:div w:id="2003385803">
              <w:marLeft w:val="0"/>
              <w:marRight w:val="0"/>
              <w:marTop w:val="0"/>
              <w:marBottom w:val="0"/>
              <w:divBdr>
                <w:top w:val="none" w:sz="0" w:space="0" w:color="auto"/>
                <w:left w:val="none" w:sz="0" w:space="0" w:color="auto"/>
                <w:bottom w:val="none" w:sz="0" w:space="0" w:color="auto"/>
                <w:right w:val="none" w:sz="0" w:space="0" w:color="auto"/>
              </w:divBdr>
            </w:div>
          </w:divsChild>
        </w:div>
        <w:div w:id="903375781">
          <w:marLeft w:val="0"/>
          <w:marRight w:val="0"/>
          <w:marTop w:val="0"/>
          <w:marBottom w:val="0"/>
          <w:divBdr>
            <w:top w:val="none" w:sz="0" w:space="0" w:color="auto"/>
            <w:left w:val="none" w:sz="0" w:space="0" w:color="auto"/>
            <w:bottom w:val="none" w:sz="0" w:space="0" w:color="auto"/>
            <w:right w:val="none" w:sz="0" w:space="0" w:color="auto"/>
          </w:divBdr>
          <w:divsChild>
            <w:div w:id="1435518862">
              <w:marLeft w:val="0"/>
              <w:marRight w:val="0"/>
              <w:marTop w:val="0"/>
              <w:marBottom w:val="0"/>
              <w:divBdr>
                <w:top w:val="none" w:sz="0" w:space="0" w:color="auto"/>
                <w:left w:val="none" w:sz="0" w:space="0" w:color="auto"/>
                <w:bottom w:val="none" w:sz="0" w:space="0" w:color="auto"/>
                <w:right w:val="none" w:sz="0" w:space="0" w:color="auto"/>
              </w:divBdr>
            </w:div>
            <w:div w:id="1618873581">
              <w:marLeft w:val="0"/>
              <w:marRight w:val="0"/>
              <w:marTop w:val="0"/>
              <w:marBottom w:val="0"/>
              <w:divBdr>
                <w:top w:val="none" w:sz="0" w:space="0" w:color="auto"/>
                <w:left w:val="none" w:sz="0" w:space="0" w:color="auto"/>
                <w:bottom w:val="none" w:sz="0" w:space="0" w:color="auto"/>
                <w:right w:val="none" w:sz="0" w:space="0" w:color="auto"/>
              </w:divBdr>
            </w:div>
            <w:div w:id="1958221020">
              <w:marLeft w:val="0"/>
              <w:marRight w:val="0"/>
              <w:marTop w:val="0"/>
              <w:marBottom w:val="0"/>
              <w:divBdr>
                <w:top w:val="none" w:sz="0" w:space="0" w:color="auto"/>
                <w:left w:val="none" w:sz="0" w:space="0" w:color="auto"/>
                <w:bottom w:val="none" w:sz="0" w:space="0" w:color="auto"/>
                <w:right w:val="none" w:sz="0" w:space="0" w:color="auto"/>
              </w:divBdr>
            </w:div>
          </w:divsChild>
        </w:div>
        <w:div w:id="912666534">
          <w:marLeft w:val="0"/>
          <w:marRight w:val="0"/>
          <w:marTop w:val="0"/>
          <w:marBottom w:val="0"/>
          <w:divBdr>
            <w:top w:val="none" w:sz="0" w:space="0" w:color="auto"/>
            <w:left w:val="none" w:sz="0" w:space="0" w:color="auto"/>
            <w:bottom w:val="none" w:sz="0" w:space="0" w:color="auto"/>
            <w:right w:val="none" w:sz="0" w:space="0" w:color="auto"/>
          </w:divBdr>
          <w:divsChild>
            <w:div w:id="1529491654">
              <w:marLeft w:val="0"/>
              <w:marRight w:val="0"/>
              <w:marTop w:val="0"/>
              <w:marBottom w:val="0"/>
              <w:divBdr>
                <w:top w:val="none" w:sz="0" w:space="0" w:color="auto"/>
                <w:left w:val="none" w:sz="0" w:space="0" w:color="auto"/>
                <w:bottom w:val="none" w:sz="0" w:space="0" w:color="auto"/>
                <w:right w:val="none" w:sz="0" w:space="0" w:color="auto"/>
              </w:divBdr>
            </w:div>
          </w:divsChild>
        </w:div>
        <w:div w:id="918246580">
          <w:marLeft w:val="0"/>
          <w:marRight w:val="0"/>
          <w:marTop w:val="0"/>
          <w:marBottom w:val="0"/>
          <w:divBdr>
            <w:top w:val="none" w:sz="0" w:space="0" w:color="auto"/>
            <w:left w:val="none" w:sz="0" w:space="0" w:color="auto"/>
            <w:bottom w:val="none" w:sz="0" w:space="0" w:color="auto"/>
            <w:right w:val="none" w:sz="0" w:space="0" w:color="auto"/>
          </w:divBdr>
          <w:divsChild>
            <w:div w:id="63376143">
              <w:marLeft w:val="0"/>
              <w:marRight w:val="0"/>
              <w:marTop w:val="0"/>
              <w:marBottom w:val="0"/>
              <w:divBdr>
                <w:top w:val="none" w:sz="0" w:space="0" w:color="auto"/>
                <w:left w:val="none" w:sz="0" w:space="0" w:color="auto"/>
                <w:bottom w:val="none" w:sz="0" w:space="0" w:color="auto"/>
                <w:right w:val="none" w:sz="0" w:space="0" w:color="auto"/>
              </w:divBdr>
            </w:div>
          </w:divsChild>
        </w:div>
        <w:div w:id="932595003">
          <w:marLeft w:val="0"/>
          <w:marRight w:val="0"/>
          <w:marTop w:val="0"/>
          <w:marBottom w:val="0"/>
          <w:divBdr>
            <w:top w:val="none" w:sz="0" w:space="0" w:color="auto"/>
            <w:left w:val="none" w:sz="0" w:space="0" w:color="auto"/>
            <w:bottom w:val="none" w:sz="0" w:space="0" w:color="auto"/>
            <w:right w:val="none" w:sz="0" w:space="0" w:color="auto"/>
          </w:divBdr>
          <w:divsChild>
            <w:div w:id="958535433">
              <w:marLeft w:val="0"/>
              <w:marRight w:val="0"/>
              <w:marTop w:val="0"/>
              <w:marBottom w:val="0"/>
              <w:divBdr>
                <w:top w:val="none" w:sz="0" w:space="0" w:color="auto"/>
                <w:left w:val="none" w:sz="0" w:space="0" w:color="auto"/>
                <w:bottom w:val="none" w:sz="0" w:space="0" w:color="auto"/>
                <w:right w:val="none" w:sz="0" w:space="0" w:color="auto"/>
              </w:divBdr>
            </w:div>
          </w:divsChild>
        </w:div>
        <w:div w:id="940911130">
          <w:marLeft w:val="0"/>
          <w:marRight w:val="0"/>
          <w:marTop w:val="0"/>
          <w:marBottom w:val="0"/>
          <w:divBdr>
            <w:top w:val="none" w:sz="0" w:space="0" w:color="auto"/>
            <w:left w:val="none" w:sz="0" w:space="0" w:color="auto"/>
            <w:bottom w:val="none" w:sz="0" w:space="0" w:color="auto"/>
            <w:right w:val="none" w:sz="0" w:space="0" w:color="auto"/>
          </w:divBdr>
          <w:divsChild>
            <w:div w:id="978264024">
              <w:marLeft w:val="0"/>
              <w:marRight w:val="0"/>
              <w:marTop w:val="0"/>
              <w:marBottom w:val="0"/>
              <w:divBdr>
                <w:top w:val="none" w:sz="0" w:space="0" w:color="auto"/>
                <w:left w:val="none" w:sz="0" w:space="0" w:color="auto"/>
                <w:bottom w:val="none" w:sz="0" w:space="0" w:color="auto"/>
                <w:right w:val="none" w:sz="0" w:space="0" w:color="auto"/>
              </w:divBdr>
            </w:div>
            <w:div w:id="1907912837">
              <w:marLeft w:val="0"/>
              <w:marRight w:val="0"/>
              <w:marTop w:val="0"/>
              <w:marBottom w:val="0"/>
              <w:divBdr>
                <w:top w:val="none" w:sz="0" w:space="0" w:color="auto"/>
                <w:left w:val="none" w:sz="0" w:space="0" w:color="auto"/>
                <w:bottom w:val="none" w:sz="0" w:space="0" w:color="auto"/>
                <w:right w:val="none" w:sz="0" w:space="0" w:color="auto"/>
              </w:divBdr>
            </w:div>
          </w:divsChild>
        </w:div>
        <w:div w:id="963845464">
          <w:marLeft w:val="0"/>
          <w:marRight w:val="0"/>
          <w:marTop w:val="0"/>
          <w:marBottom w:val="0"/>
          <w:divBdr>
            <w:top w:val="none" w:sz="0" w:space="0" w:color="auto"/>
            <w:left w:val="none" w:sz="0" w:space="0" w:color="auto"/>
            <w:bottom w:val="none" w:sz="0" w:space="0" w:color="auto"/>
            <w:right w:val="none" w:sz="0" w:space="0" w:color="auto"/>
          </w:divBdr>
          <w:divsChild>
            <w:div w:id="1288588131">
              <w:marLeft w:val="0"/>
              <w:marRight w:val="0"/>
              <w:marTop w:val="0"/>
              <w:marBottom w:val="0"/>
              <w:divBdr>
                <w:top w:val="none" w:sz="0" w:space="0" w:color="auto"/>
                <w:left w:val="none" w:sz="0" w:space="0" w:color="auto"/>
                <w:bottom w:val="none" w:sz="0" w:space="0" w:color="auto"/>
                <w:right w:val="none" w:sz="0" w:space="0" w:color="auto"/>
              </w:divBdr>
            </w:div>
          </w:divsChild>
        </w:div>
        <w:div w:id="969743858">
          <w:marLeft w:val="0"/>
          <w:marRight w:val="0"/>
          <w:marTop w:val="0"/>
          <w:marBottom w:val="0"/>
          <w:divBdr>
            <w:top w:val="none" w:sz="0" w:space="0" w:color="auto"/>
            <w:left w:val="none" w:sz="0" w:space="0" w:color="auto"/>
            <w:bottom w:val="none" w:sz="0" w:space="0" w:color="auto"/>
            <w:right w:val="none" w:sz="0" w:space="0" w:color="auto"/>
          </w:divBdr>
          <w:divsChild>
            <w:div w:id="731344595">
              <w:marLeft w:val="0"/>
              <w:marRight w:val="0"/>
              <w:marTop w:val="0"/>
              <w:marBottom w:val="0"/>
              <w:divBdr>
                <w:top w:val="none" w:sz="0" w:space="0" w:color="auto"/>
                <w:left w:val="none" w:sz="0" w:space="0" w:color="auto"/>
                <w:bottom w:val="none" w:sz="0" w:space="0" w:color="auto"/>
                <w:right w:val="none" w:sz="0" w:space="0" w:color="auto"/>
              </w:divBdr>
            </w:div>
          </w:divsChild>
        </w:div>
        <w:div w:id="979919122">
          <w:marLeft w:val="0"/>
          <w:marRight w:val="0"/>
          <w:marTop w:val="0"/>
          <w:marBottom w:val="0"/>
          <w:divBdr>
            <w:top w:val="none" w:sz="0" w:space="0" w:color="auto"/>
            <w:left w:val="none" w:sz="0" w:space="0" w:color="auto"/>
            <w:bottom w:val="none" w:sz="0" w:space="0" w:color="auto"/>
            <w:right w:val="none" w:sz="0" w:space="0" w:color="auto"/>
          </w:divBdr>
          <w:divsChild>
            <w:div w:id="1058168056">
              <w:marLeft w:val="0"/>
              <w:marRight w:val="0"/>
              <w:marTop w:val="0"/>
              <w:marBottom w:val="0"/>
              <w:divBdr>
                <w:top w:val="none" w:sz="0" w:space="0" w:color="auto"/>
                <w:left w:val="none" w:sz="0" w:space="0" w:color="auto"/>
                <w:bottom w:val="none" w:sz="0" w:space="0" w:color="auto"/>
                <w:right w:val="none" w:sz="0" w:space="0" w:color="auto"/>
              </w:divBdr>
            </w:div>
          </w:divsChild>
        </w:div>
        <w:div w:id="981079921">
          <w:marLeft w:val="0"/>
          <w:marRight w:val="0"/>
          <w:marTop w:val="0"/>
          <w:marBottom w:val="0"/>
          <w:divBdr>
            <w:top w:val="none" w:sz="0" w:space="0" w:color="auto"/>
            <w:left w:val="none" w:sz="0" w:space="0" w:color="auto"/>
            <w:bottom w:val="none" w:sz="0" w:space="0" w:color="auto"/>
            <w:right w:val="none" w:sz="0" w:space="0" w:color="auto"/>
          </w:divBdr>
          <w:divsChild>
            <w:div w:id="936838156">
              <w:marLeft w:val="0"/>
              <w:marRight w:val="0"/>
              <w:marTop w:val="0"/>
              <w:marBottom w:val="0"/>
              <w:divBdr>
                <w:top w:val="none" w:sz="0" w:space="0" w:color="auto"/>
                <w:left w:val="none" w:sz="0" w:space="0" w:color="auto"/>
                <w:bottom w:val="none" w:sz="0" w:space="0" w:color="auto"/>
                <w:right w:val="none" w:sz="0" w:space="0" w:color="auto"/>
              </w:divBdr>
            </w:div>
          </w:divsChild>
        </w:div>
        <w:div w:id="987128337">
          <w:marLeft w:val="0"/>
          <w:marRight w:val="0"/>
          <w:marTop w:val="0"/>
          <w:marBottom w:val="0"/>
          <w:divBdr>
            <w:top w:val="none" w:sz="0" w:space="0" w:color="auto"/>
            <w:left w:val="none" w:sz="0" w:space="0" w:color="auto"/>
            <w:bottom w:val="none" w:sz="0" w:space="0" w:color="auto"/>
            <w:right w:val="none" w:sz="0" w:space="0" w:color="auto"/>
          </w:divBdr>
          <w:divsChild>
            <w:div w:id="466511190">
              <w:marLeft w:val="0"/>
              <w:marRight w:val="0"/>
              <w:marTop w:val="0"/>
              <w:marBottom w:val="0"/>
              <w:divBdr>
                <w:top w:val="none" w:sz="0" w:space="0" w:color="auto"/>
                <w:left w:val="none" w:sz="0" w:space="0" w:color="auto"/>
                <w:bottom w:val="none" w:sz="0" w:space="0" w:color="auto"/>
                <w:right w:val="none" w:sz="0" w:space="0" w:color="auto"/>
              </w:divBdr>
            </w:div>
          </w:divsChild>
        </w:div>
        <w:div w:id="989016965">
          <w:marLeft w:val="0"/>
          <w:marRight w:val="0"/>
          <w:marTop w:val="0"/>
          <w:marBottom w:val="0"/>
          <w:divBdr>
            <w:top w:val="none" w:sz="0" w:space="0" w:color="auto"/>
            <w:left w:val="none" w:sz="0" w:space="0" w:color="auto"/>
            <w:bottom w:val="none" w:sz="0" w:space="0" w:color="auto"/>
            <w:right w:val="none" w:sz="0" w:space="0" w:color="auto"/>
          </w:divBdr>
          <w:divsChild>
            <w:div w:id="1494296140">
              <w:marLeft w:val="0"/>
              <w:marRight w:val="0"/>
              <w:marTop w:val="0"/>
              <w:marBottom w:val="0"/>
              <w:divBdr>
                <w:top w:val="none" w:sz="0" w:space="0" w:color="auto"/>
                <w:left w:val="none" w:sz="0" w:space="0" w:color="auto"/>
                <w:bottom w:val="none" w:sz="0" w:space="0" w:color="auto"/>
                <w:right w:val="none" w:sz="0" w:space="0" w:color="auto"/>
              </w:divBdr>
            </w:div>
          </w:divsChild>
        </w:div>
        <w:div w:id="992754157">
          <w:marLeft w:val="0"/>
          <w:marRight w:val="0"/>
          <w:marTop w:val="0"/>
          <w:marBottom w:val="0"/>
          <w:divBdr>
            <w:top w:val="none" w:sz="0" w:space="0" w:color="auto"/>
            <w:left w:val="none" w:sz="0" w:space="0" w:color="auto"/>
            <w:bottom w:val="none" w:sz="0" w:space="0" w:color="auto"/>
            <w:right w:val="none" w:sz="0" w:space="0" w:color="auto"/>
          </w:divBdr>
          <w:divsChild>
            <w:div w:id="826482835">
              <w:marLeft w:val="0"/>
              <w:marRight w:val="0"/>
              <w:marTop w:val="0"/>
              <w:marBottom w:val="0"/>
              <w:divBdr>
                <w:top w:val="none" w:sz="0" w:space="0" w:color="auto"/>
                <w:left w:val="none" w:sz="0" w:space="0" w:color="auto"/>
                <w:bottom w:val="none" w:sz="0" w:space="0" w:color="auto"/>
                <w:right w:val="none" w:sz="0" w:space="0" w:color="auto"/>
              </w:divBdr>
            </w:div>
          </w:divsChild>
        </w:div>
        <w:div w:id="997805504">
          <w:marLeft w:val="0"/>
          <w:marRight w:val="0"/>
          <w:marTop w:val="0"/>
          <w:marBottom w:val="0"/>
          <w:divBdr>
            <w:top w:val="none" w:sz="0" w:space="0" w:color="auto"/>
            <w:left w:val="none" w:sz="0" w:space="0" w:color="auto"/>
            <w:bottom w:val="none" w:sz="0" w:space="0" w:color="auto"/>
            <w:right w:val="none" w:sz="0" w:space="0" w:color="auto"/>
          </w:divBdr>
          <w:divsChild>
            <w:div w:id="371000328">
              <w:marLeft w:val="0"/>
              <w:marRight w:val="0"/>
              <w:marTop w:val="0"/>
              <w:marBottom w:val="0"/>
              <w:divBdr>
                <w:top w:val="none" w:sz="0" w:space="0" w:color="auto"/>
                <w:left w:val="none" w:sz="0" w:space="0" w:color="auto"/>
                <w:bottom w:val="none" w:sz="0" w:space="0" w:color="auto"/>
                <w:right w:val="none" w:sz="0" w:space="0" w:color="auto"/>
              </w:divBdr>
            </w:div>
          </w:divsChild>
        </w:div>
        <w:div w:id="1024479672">
          <w:marLeft w:val="0"/>
          <w:marRight w:val="0"/>
          <w:marTop w:val="0"/>
          <w:marBottom w:val="0"/>
          <w:divBdr>
            <w:top w:val="none" w:sz="0" w:space="0" w:color="auto"/>
            <w:left w:val="none" w:sz="0" w:space="0" w:color="auto"/>
            <w:bottom w:val="none" w:sz="0" w:space="0" w:color="auto"/>
            <w:right w:val="none" w:sz="0" w:space="0" w:color="auto"/>
          </w:divBdr>
          <w:divsChild>
            <w:div w:id="2033220381">
              <w:marLeft w:val="0"/>
              <w:marRight w:val="0"/>
              <w:marTop w:val="0"/>
              <w:marBottom w:val="0"/>
              <w:divBdr>
                <w:top w:val="none" w:sz="0" w:space="0" w:color="auto"/>
                <w:left w:val="none" w:sz="0" w:space="0" w:color="auto"/>
                <w:bottom w:val="none" w:sz="0" w:space="0" w:color="auto"/>
                <w:right w:val="none" w:sz="0" w:space="0" w:color="auto"/>
              </w:divBdr>
            </w:div>
          </w:divsChild>
        </w:div>
        <w:div w:id="1026102289">
          <w:marLeft w:val="0"/>
          <w:marRight w:val="0"/>
          <w:marTop w:val="0"/>
          <w:marBottom w:val="0"/>
          <w:divBdr>
            <w:top w:val="none" w:sz="0" w:space="0" w:color="auto"/>
            <w:left w:val="none" w:sz="0" w:space="0" w:color="auto"/>
            <w:bottom w:val="none" w:sz="0" w:space="0" w:color="auto"/>
            <w:right w:val="none" w:sz="0" w:space="0" w:color="auto"/>
          </w:divBdr>
          <w:divsChild>
            <w:div w:id="1878816738">
              <w:marLeft w:val="0"/>
              <w:marRight w:val="0"/>
              <w:marTop w:val="0"/>
              <w:marBottom w:val="0"/>
              <w:divBdr>
                <w:top w:val="none" w:sz="0" w:space="0" w:color="auto"/>
                <w:left w:val="none" w:sz="0" w:space="0" w:color="auto"/>
                <w:bottom w:val="none" w:sz="0" w:space="0" w:color="auto"/>
                <w:right w:val="none" w:sz="0" w:space="0" w:color="auto"/>
              </w:divBdr>
            </w:div>
          </w:divsChild>
        </w:div>
        <w:div w:id="1047796369">
          <w:marLeft w:val="0"/>
          <w:marRight w:val="0"/>
          <w:marTop w:val="0"/>
          <w:marBottom w:val="0"/>
          <w:divBdr>
            <w:top w:val="none" w:sz="0" w:space="0" w:color="auto"/>
            <w:left w:val="none" w:sz="0" w:space="0" w:color="auto"/>
            <w:bottom w:val="none" w:sz="0" w:space="0" w:color="auto"/>
            <w:right w:val="none" w:sz="0" w:space="0" w:color="auto"/>
          </w:divBdr>
          <w:divsChild>
            <w:div w:id="999119049">
              <w:marLeft w:val="0"/>
              <w:marRight w:val="0"/>
              <w:marTop w:val="0"/>
              <w:marBottom w:val="0"/>
              <w:divBdr>
                <w:top w:val="none" w:sz="0" w:space="0" w:color="auto"/>
                <w:left w:val="none" w:sz="0" w:space="0" w:color="auto"/>
                <w:bottom w:val="none" w:sz="0" w:space="0" w:color="auto"/>
                <w:right w:val="none" w:sz="0" w:space="0" w:color="auto"/>
              </w:divBdr>
            </w:div>
          </w:divsChild>
        </w:div>
        <w:div w:id="1065953971">
          <w:marLeft w:val="0"/>
          <w:marRight w:val="0"/>
          <w:marTop w:val="0"/>
          <w:marBottom w:val="0"/>
          <w:divBdr>
            <w:top w:val="none" w:sz="0" w:space="0" w:color="auto"/>
            <w:left w:val="none" w:sz="0" w:space="0" w:color="auto"/>
            <w:bottom w:val="none" w:sz="0" w:space="0" w:color="auto"/>
            <w:right w:val="none" w:sz="0" w:space="0" w:color="auto"/>
          </w:divBdr>
          <w:divsChild>
            <w:div w:id="1000086078">
              <w:marLeft w:val="0"/>
              <w:marRight w:val="0"/>
              <w:marTop w:val="0"/>
              <w:marBottom w:val="0"/>
              <w:divBdr>
                <w:top w:val="none" w:sz="0" w:space="0" w:color="auto"/>
                <w:left w:val="none" w:sz="0" w:space="0" w:color="auto"/>
                <w:bottom w:val="none" w:sz="0" w:space="0" w:color="auto"/>
                <w:right w:val="none" w:sz="0" w:space="0" w:color="auto"/>
              </w:divBdr>
            </w:div>
          </w:divsChild>
        </w:div>
        <w:div w:id="1091583203">
          <w:marLeft w:val="0"/>
          <w:marRight w:val="0"/>
          <w:marTop w:val="0"/>
          <w:marBottom w:val="0"/>
          <w:divBdr>
            <w:top w:val="none" w:sz="0" w:space="0" w:color="auto"/>
            <w:left w:val="none" w:sz="0" w:space="0" w:color="auto"/>
            <w:bottom w:val="none" w:sz="0" w:space="0" w:color="auto"/>
            <w:right w:val="none" w:sz="0" w:space="0" w:color="auto"/>
          </w:divBdr>
          <w:divsChild>
            <w:div w:id="1214317630">
              <w:marLeft w:val="0"/>
              <w:marRight w:val="0"/>
              <w:marTop w:val="0"/>
              <w:marBottom w:val="0"/>
              <w:divBdr>
                <w:top w:val="none" w:sz="0" w:space="0" w:color="auto"/>
                <w:left w:val="none" w:sz="0" w:space="0" w:color="auto"/>
                <w:bottom w:val="none" w:sz="0" w:space="0" w:color="auto"/>
                <w:right w:val="none" w:sz="0" w:space="0" w:color="auto"/>
              </w:divBdr>
            </w:div>
          </w:divsChild>
        </w:div>
        <w:div w:id="1100418879">
          <w:marLeft w:val="0"/>
          <w:marRight w:val="0"/>
          <w:marTop w:val="0"/>
          <w:marBottom w:val="0"/>
          <w:divBdr>
            <w:top w:val="none" w:sz="0" w:space="0" w:color="auto"/>
            <w:left w:val="none" w:sz="0" w:space="0" w:color="auto"/>
            <w:bottom w:val="none" w:sz="0" w:space="0" w:color="auto"/>
            <w:right w:val="none" w:sz="0" w:space="0" w:color="auto"/>
          </w:divBdr>
          <w:divsChild>
            <w:div w:id="134875158">
              <w:marLeft w:val="0"/>
              <w:marRight w:val="0"/>
              <w:marTop w:val="0"/>
              <w:marBottom w:val="0"/>
              <w:divBdr>
                <w:top w:val="none" w:sz="0" w:space="0" w:color="auto"/>
                <w:left w:val="none" w:sz="0" w:space="0" w:color="auto"/>
                <w:bottom w:val="none" w:sz="0" w:space="0" w:color="auto"/>
                <w:right w:val="none" w:sz="0" w:space="0" w:color="auto"/>
              </w:divBdr>
            </w:div>
          </w:divsChild>
        </w:div>
        <w:div w:id="1102871465">
          <w:marLeft w:val="0"/>
          <w:marRight w:val="0"/>
          <w:marTop w:val="0"/>
          <w:marBottom w:val="0"/>
          <w:divBdr>
            <w:top w:val="none" w:sz="0" w:space="0" w:color="auto"/>
            <w:left w:val="none" w:sz="0" w:space="0" w:color="auto"/>
            <w:bottom w:val="none" w:sz="0" w:space="0" w:color="auto"/>
            <w:right w:val="none" w:sz="0" w:space="0" w:color="auto"/>
          </w:divBdr>
          <w:divsChild>
            <w:div w:id="724719657">
              <w:marLeft w:val="0"/>
              <w:marRight w:val="0"/>
              <w:marTop w:val="0"/>
              <w:marBottom w:val="0"/>
              <w:divBdr>
                <w:top w:val="none" w:sz="0" w:space="0" w:color="auto"/>
                <w:left w:val="none" w:sz="0" w:space="0" w:color="auto"/>
                <w:bottom w:val="none" w:sz="0" w:space="0" w:color="auto"/>
                <w:right w:val="none" w:sz="0" w:space="0" w:color="auto"/>
              </w:divBdr>
            </w:div>
          </w:divsChild>
        </w:div>
        <w:div w:id="1110585440">
          <w:marLeft w:val="0"/>
          <w:marRight w:val="0"/>
          <w:marTop w:val="0"/>
          <w:marBottom w:val="0"/>
          <w:divBdr>
            <w:top w:val="none" w:sz="0" w:space="0" w:color="auto"/>
            <w:left w:val="none" w:sz="0" w:space="0" w:color="auto"/>
            <w:bottom w:val="none" w:sz="0" w:space="0" w:color="auto"/>
            <w:right w:val="none" w:sz="0" w:space="0" w:color="auto"/>
          </w:divBdr>
          <w:divsChild>
            <w:div w:id="717171550">
              <w:marLeft w:val="0"/>
              <w:marRight w:val="0"/>
              <w:marTop w:val="0"/>
              <w:marBottom w:val="0"/>
              <w:divBdr>
                <w:top w:val="none" w:sz="0" w:space="0" w:color="auto"/>
                <w:left w:val="none" w:sz="0" w:space="0" w:color="auto"/>
                <w:bottom w:val="none" w:sz="0" w:space="0" w:color="auto"/>
                <w:right w:val="none" w:sz="0" w:space="0" w:color="auto"/>
              </w:divBdr>
            </w:div>
          </w:divsChild>
        </w:div>
        <w:div w:id="1110704407">
          <w:marLeft w:val="0"/>
          <w:marRight w:val="0"/>
          <w:marTop w:val="0"/>
          <w:marBottom w:val="0"/>
          <w:divBdr>
            <w:top w:val="none" w:sz="0" w:space="0" w:color="auto"/>
            <w:left w:val="none" w:sz="0" w:space="0" w:color="auto"/>
            <w:bottom w:val="none" w:sz="0" w:space="0" w:color="auto"/>
            <w:right w:val="none" w:sz="0" w:space="0" w:color="auto"/>
          </w:divBdr>
          <w:divsChild>
            <w:div w:id="1658193872">
              <w:marLeft w:val="0"/>
              <w:marRight w:val="0"/>
              <w:marTop w:val="0"/>
              <w:marBottom w:val="0"/>
              <w:divBdr>
                <w:top w:val="none" w:sz="0" w:space="0" w:color="auto"/>
                <w:left w:val="none" w:sz="0" w:space="0" w:color="auto"/>
                <w:bottom w:val="none" w:sz="0" w:space="0" w:color="auto"/>
                <w:right w:val="none" w:sz="0" w:space="0" w:color="auto"/>
              </w:divBdr>
            </w:div>
          </w:divsChild>
        </w:div>
        <w:div w:id="1117330956">
          <w:marLeft w:val="0"/>
          <w:marRight w:val="0"/>
          <w:marTop w:val="0"/>
          <w:marBottom w:val="0"/>
          <w:divBdr>
            <w:top w:val="none" w:sz="0" w:space="0" w:color="auto"/>
            <w:left w:val="none" w:sz="0" w:space="0" w:color="auto"/>
            <w:bottom w:val="none" w:sz="0" w:space="0" w:color="auto"/>
            <w:right w:val="none" w:sz="0" w:space="0" w:color="auto"/>
          </w:divBdr>
          <w:divsChild>
            <w:div w:id="313141896">
              <w:marLeft w:val="0"/>
              <w:marRight w:val="0"/>
              <w:marTop w:val="0"/>
              <w:marBottom w:val="0"/>
              <w:divBdr>
                <w:top w:val="none" w:sz="0" w:space="0" w:color="auto"/>
                <w:left w:val="none" w:sz="0" w:space="0" w:color="auto"/>
                <w:bottom w:val="none" w:sz="0" w:space="0" w:color="auto"/>
                <w:right w:val="none" w:sz="0" w:space="0" w:color="auto"/>
              </w:divBdr>
            </w:div>
          </w:divsChild>
        </w:div>
        <w:div w:id="1118329814">
          <w:marLeft w:val="0"/>
          <w:marRight w:val="0"/>
          <w:marTop w:val="0"/>
          <w:marBottom w:val="0"/>
          <w:divBdr>
            <w:top w:val="none" w:sz="0" w:space="0" w:color="auto"/>
            <w:left w:val="none" w:sz="0" w:space="0" w:color="auto"/>
            <w:bottom w:val="none" w:sz="0" w:space="0" w:color="auto"/>
            <w:right w:val="none" w:sz="0" w:space="0" w:color="auto"/>
          </w:divBdr>
          <w:divsChild>
            <w:div w:id="198907027">
              <w:marLeft w:val="0"/>
              <w:marRight w:val="0"/>
              <w:marTop w:val="0"/>
              <w:marBottom w:val="0"/>
              <w:divBdr>
                <w:top w:val="none" w:sz="0" w:space="0" w:color="auto"/>
                <w:left w:val="none" w:sz="0" w:space="0" w:color="auto"/>
                <w:bottom w:val="none" w:sz="0" w:space="0" w:color="auto"/>
                <w:right w:val="none" w:sz="0" w:space="0" w:color="auto"/>
              </w:divBdr>
            </w:div>
            <w:div w:id="411322498">
              <w:marLeft w:val="0"/>
              <w:marRight w:val="0"/>
              <w:marTop w:val="0"/>
              <w:marBottom w:val="0"/>
              <w:divBdr>
                <w:top w:val="none" w:sz="0" w:space="0" w:color="auto"/>
                <w:left w:val="none" w:sz="0" w:space="0" w:color="auto"/>
                <w:bottom w:val="none" w:sz="0" w:space="0" w:color="auto"/>
                <w:right w:val="none" w:sz="0" w:space="0" w:color="auto"/>
              </w:divBdr>
            </w:div>
            <w:div w:id="1772309803">
              <w:marLeft w:val="0"/>
              <w:marRight w:val="0"/>
              <w:marTop w:val="0"/>
              <w:marBottom w:val="0"/>
              <w:divBdr>
                <w:top w:val="none" w:sz="0" w:space="0" w:color="auto"/>
                <w:left w:val="none" w:sz="0" w:space="0" w:color="auto"/>
                <w:bottom w:val="none" w:sz="0" w:space="0" w:color="auto"/>
                <w:right w:val="none" w:sz="0" w:space="0" w:color="auto"/>
              </w:divBdr>
            </w:div>
          </w:divsChild>
        </w:div>
        <w:div w:id="1132476262">
          <w:marLeft w:val="0"/>
          <w:marRight w:val="0"/>
          <w:marTop w:val="0"/>
          <w:marBottom w:val="0"/>
          <w:divBdr>
            <w:top w:val="none" w:sz="0" w:space="0" w:color="auto"/>
            <w:left w:val="none" w:sz="0" w:space="0" w:color="auto"/>
            <w:bottom w:val="none" w:sz="0" w:space="0" w:color="auto"/>
            <w:right w:val="none" w:sz="0" w:space="0" w:color="auto"/>
          </w:divBdr>
          <w:divsChild>
            <w:div w:id="676032268">
              <w:marLeft w:val="0"/>
              <w:marRight w:val="0"/>
              <w:marTop w:val="0"/>
              <w:marBottom w:val="0"/>
              <w:divBdr>
                <w:top w:val="none" w:sz="0" w:space="0" w:color="auto"/>
                <w:left w:val="none" w:sz="0" w:space="0" w:color="auto"/>
                <w:bottom w:val="none" w:sz="0" w:space="0" w:color="auto"/>
                <w:right w:val="none" w:sz="0" w:space="0" w:color="auto"/>
              </w:divBdr>
            </w:div>
          </w:divsChild>
        </w:div>
        <w:div w:id="1136139185">
          <w:marLeft w:val="0"/>
          <w:marRight w:val="0"/>
          <w:marTop w:val="0"/>
          <w:marBottom w:val="0"/>
          <w:divBdr>
            <w:top w:val="none" w:sz="0" w:space="0" w:color="auto"/>
            <w:left w:val="none" w:sz="0" w:space="0" w:color="auto"/>
            <w:bottom w:val="none" w:sz="0" w:space="0" w:color="auto"/>
            <w:right w:val="none" w:sz="0" w:space="0" w:color="auto"/>
          </w:divBdr>
          <w:divsChild>
            <w:div w:id="734939706">
              <w:marLeft w:val="0"/>
              <w:marRight w:val="0"/>
              <w:marTop w:val="0"/>
              <w:marBottom w:val="0"/>
              <w:divBdr>
                <w:top w:val="none" w:sz="0" w:space="0" w:color="auto"/>
                <w:left w:val="none" w:sz="0" w:space="0" w:color="auto"/>
                <w:bottom w:val="none" w:sz="0" w:space="0" w:color="auto"/>
                <w:right w:val="none" w:sz="0" w:space="0" w:color="auto"/>
              </w:divBdr>
            </w:div>
            <w:div w:id="783891518">
              <w:marLeft w:val="0"/>
              <w:marRight w:val="0"/>
              <w:marTop w:val="0"/>
              <w:marBottom w:val="0"/>
              <w:divBdr>
                <w:top w:val="none" w:sz="0" w:space="0" w:color="auto"/>
                <w:left w:val="none" w:sz="0" w:space="0" w:color="auto"/>
                <w:bottom w:val="none" w:sz="0" w:space="0" w:color="auto"/>
                <w:right w:val="none" w:sz="0" w:space="0" w:color="auto"/>
              </w:divBdr>
            </w:div>
          </w:divsChild>
        </w:div>
        <w:div w:id="1142582221">
          <w:marLeft w:val="0"/>
          <w:marRight w:val="0"/>
          <w:marTop w:val="0"/>
          <w:marBottom w:val="0"/>
          <w:divBdr>
            <w:top w:val="none" w:sz="0" w:space="0" w:color="auto"/>
            <w:left w:val="none" w:sz="0" w:space="0" w:color="auto"/>
            <w:bottom w:val="none" w:sz="0" w:space="0" w:color="auto"/>
            <w:right w:val="none" w:sz="0" w:space="0" w:color="auto"/>
          </w:divBdr>
          <w:divsChild>
            <w:div w:id="104347914">
              <w:marLeft w:val="0"/>
              <w:marRight w:val="0"/>
              <w:marTop w:val="0"/>
              <w:marBottom w:val="0"/>
              <w:divBdr>
                <w:top w:val="none" w:sz="0" w:space="0" w:color="auto"/>
                <w:left w:val="none" w:sz="0" w:space="0" w:color="auto"/>
                <w:bottom w:val="none" w:sz="0" w:space="0" w:color="auto"/>
                <w:right w:val="none" w:sz="0" w:space="0" w:color="auto"/>
              </w:divBdr>
            </w:div>
          </w:divsChild>
        </w:div>
        <w:div w:id="1159613481">
          <w:marLeft w:val="0"/>
          <w:marRight w:val="0"/>
          <w:marTop w:val="0"/>
          <w:marBottom w:val="0"/>
          <w:divBdr>
            <w:top w:val="none" w:sz="0" w:space="0" w:color="auto"/>
            <w:left w:val="none" w:sz="0" w:space="0" w:color="auto"/>
            <w:bottom w:val="none" w:sz="0" w:space="0" w:color="auto"/>
            <w:right w:val="none" w:sz="0" w:space="0" w:color="auto"/>
          </w:divBdr>
          <w:divsChild>
            <w:div w:id="976644589">
              <w:marLeft w:val="0"/>
              <w:marRight w:val="0"/>
              <w:marTop w:val="0"/>
              <w:marBottom w:val="0"/>
              <w:divBdr>
                <w:top w:val="none" w:sz="0" w:space="0" w:color="auto"/>
                <w:left w:val="none" w:sz="0" w:space="0" w:color="auto"/>
                <w:bottom w:val="none" w:sz="0" w:space="0" w:color="auto"/>
                <w:right w:val="none" w:sz="0" w:space="0" w:color="auto"/>
              </w:divBdr>
            </w:div>
          </w:divsChild>
        </w:div>
        <w:div w:id="1160583702">
          <w:marLeft w:val="0"/>
          <w:marRight w:val="0"/>
          <w:marTop w:val="0"/>
          <w:marBottom w:val="0"/>
          <w:divBdr>
            <w:top w:val="none" w:sz="0" w:space="0" w:color="auto"/>
            <w:left w:val="none" w:sz="0" w:space="0" w:color="auto"/>
            <w:bottom w:val="none" w:sz="0" w:space="0" w:color="auto"/>
            <w:right w:val="none" w:sz="0" w:space="0" w:color="auto"/>
          </w:divBdr>
          <w:divsChild>
            <w:div w:id="42407682">
              <w:marLeft w:val="0"/>
              <w:marRight w:val="0"/>
              <w:marTop w:val="0"/>
              <w:marBottom w:val="0"/>
              <w:divBdr>
                <w:top w:val="none" w:sz="0" w:space="0" w:color="auto"/>
                <w:left w:val="none" w:sz="0" w:space="0" w:color="auto"/>
                <w:bottom w:val="none" w:sz="0" w:space="0" w:color="auto"/>
                <w:right w:val="none" w:sz="0" w:space="0" w:color="auto"/>
              </w:divBdr>
            </w:div>
          </w:divsChild>
        </w:div>
        <w:div w:id="1173953139">
          <w:marLeft w:val="0"/>
          <w:marRight w:val="0"/>
          <w:marTop w:val="0"/>
          <w:marBottom w:val="0"/>
          <w:divBdr>
            <w:top w:val="none" w:sz="0" w:space="0" w:color="auto"/>
            <w:left w:val="none" w:sz="0" w:space="0" w:color="auto"/>
            <w:bottom w:val="none" w:sz="0" w:space="0" w:color="auto"/>
            <w:right w:val="none" w:sz="0" w:space="0" w:color="auto"/>
          </w:divBdr>
          <w:divsChild>
            <w:div w:id="551621225">
              <w:marLeft w:val="0"/>
              <w:marRight w:val="0"/>
              <w:marTop w:val="0"/>
              <w:marBottom w:val="0"/>
              <w:divBdr>
                <w:top w:val="none" w:sz="0" w:space="0" w:color="auto"/>
                <w:left w:val="none" w:sz="0" w:space="0" w:color="auto"/>
                <w:bottom w:val="none" w:sz="0" w:space="0" w:color="auto"/>
                <w:right w:val="none" w:sz="0" w:space="0" w:color="auto"/>
              </w:divBdr>
            </w:div>
          </w:divsChild>
        </w:div>
        <w:div w:id="1188834927">
          <w:marLeft w:val="0"/>
          <w:marRight w:val="0"/>
          <w:marTop w:val="0"/>
          <w:marBottom w:val="0"/>
          <w:divBdr>
            <w:top w:val="none" w:sz="0" w:space="0" w:color="auto"/>
            <w:left w:val="none" w:sz="0" w:space="0" w:color="auto"/>
            <w:bottom w:val="none" w:sz="0" w:space="0" w:color="auto"/>
            <w:right w:val="none" w:sz="0" w:space="0" w:color="auto"/>
          </w:divBdr>
          <w:divsChild>
            <w:div w:id="944388852">
              <w:marLeft w:val="0"/>
              <w:marRight w:val="0"/>
              <w:marTop w:val="0"/>
              <w:marBottom w:val="0"/>
              <w:divBdr>
                <w:top w:val="none" w:sz="0" w:space="0" w:color="auto"/>
                <w:left w:val="none" w:sz="0" w:space="0" w:color="auto"/>
                <w:bottom w:val="none" w:sz="0" w:space="0" w:color="auto"/>
                <w:right w:val="none" w:sz="0" w:space="0" w:color="auto"/>
              </w:divBdr>
            </w:div>
          </w:divsChild>
        </w:div>
        <w:div w:id="1200977204">
          <w:marLeft w:val="0"/>
          <w:marRight w:val="0"/>
          <w:marTop w:val="0"/>
          <w:marBottom w:val="0"/>
          <w:divBdr>
            <w:top w:val="none" w:sz="0" w:space="0" w:color="auto"/>
            <w:left w:val="none" w:sz="0" w:space="0" w:color="auto"/>
            <w:bottom w:val="none" w:sz="0" w:space="0" w:color="auto"/>
            <w:right w:val="none" w:sz="0" w:space="0" w:color="auto"/>
          </w:divBdr>
          <w:divsChild>
            <w:div w:id="882405866">
              <w:marLeft w:val="0"/>
              <w:marRight w:val="0"/>
              <w:marTop w:val="0"/>
              <w:marBottom w:val="0"/>
              <w:divBdr>
                <w:top w:val="none" w:sz="0" w:space="0" w:color="auto"/>
                <w:left w:val="none" w:sz="0" w:space="0" w:color="auto"/>
                <w:bottom w:val="none" w:sz="0" w:space="0" w:color="auto"/>
                <w:right w:val="none" w:sz="0" w:space="0" w:color="auto"/>
              </w:divBdr>
            </w:div>
          </w:divsChild>
        </w:div>
        <w:div w:id="1214121886">
          <w:marLeft w:val="0"/>
          <w:marRight w:val="0"/>
          <w:marTop w:val="0"/>
          <w:marBottom w:val="0"/>
          <w:divBdr>
            <w:top w:val="none" w:sz="0" w:space="0" w:color="auto"/>
            <w:left w:val="none" w:sz="0" w:space="0" w:color="auto"/>
            <w:bottom w:val="none" w:sz="0" w:space="0" w:color="auto"/>
            <w:right w:val="none" w:sz="0" w:space="0" w:color="auto"/>
          </w:divBdr>
          <w:divsChild>
            <w:div w:id="674499713">
              <w:marLeft w:val="0"/>
              <w:marRight w:val="0"/>
              <w:marTop w:val="0"/>
              <w:marBottom w:val="0"/>
              <w:divBdr>
                <w:top w:val="none" w:sz="0" w:space="0" w:color="auto"/>
                <w:left w:val="none" w:sz="0" w:space="0" w:color="auto"/>
                <w:bottom w:val="none" w:sz="0" w:space="0" w:color="auto"/>
                <w:right w:val="none" w:sz="0" w:space="0" w:color="auto"/>
              </w:divBdr>
            </w:div>
          </w:divsChild>
        </w:div>
        <w:div w:id="1216549670">
          <w:marLeft w:val="0"/>
          <w:marRight w:val="0"/>
          <w:marTop w:val="0"/>
          <w:marBottom w:val="0"/>
          <w:divBdr>
            <w:top w:val="none" w:sz="0" w:space="0" w:color="auto"/>
            <w:left w:val="none" w:sz="0" w:space="0" w:color="auto"/>
            <w:bottom w:val="none" w:sz="0" w:space="0" w:color="auto"/>
            <w:right w:val="none" w:sz="0" w:space="0" w:color="auto"/>
          </w:divBdr>
          <w:divsChild>
            <w:div w:id="111169587">
              <w:marLeft w:val="0"/>
              <w:marRight w:val="0"/>
              <w:marTop w:val="0"/>
              <w:marBottom w:val="0"/>
              <w:divBdr>
                <w:top w:val="none" w:sz="0" w:space="0" w:color="auto"/>
                <w:left w:val="none" w:sz="0" w:space="0" w:color="auto"/>
                <w:bottom w:val="none" w:sz="0" w:space="0" w:color="auto"/>
                <w:right w:val="none" w:sz="0" w:space="0" w:color="auto"/>
              </w:divBdr>
            </w:div>
          </w:divsChild>
        </w:div>
        <w:div w:id="1228952272">
          <w:marLeft w:val="0"/>
          <w:marRight w:val="0"/>
          <w:marTop w:val="0"/>
          <w:marBottom w:val="0"/>
          <w:divBdr>
            <w:top w:val="none" w:sz="0" w:space="0" w:color="auto"/>
            <w:left w:val="none" w:sz="0" w:space="0" w:color="auto"/>
            <w:bottom w:val="none" w:sz="0" w:space="0" w:color="auto"/>
            <w:right w:val="none" w:sz="0" w:space="0" w:color="auto"/>
          </w:divBdr>
          <w:divsChild>
            <w:div w:id="245501054">
              <w:marLeft w:val="0"/>
              <w:marRight w:val="0"/>
              <w:marTop w:val="0"/>
              <w:marBottom w:val="0"/>
              <w:divBdr>
                <w:top w:val="none" w:sz="0" w:space="0" w:color="auto"/>
                <w:left w:val="none" w:sz="0" w:space="0" w:color="auto"/>
                <w:bottom w:val="none" w:sz="0" w:space="0" w:color="auto"/>
                <w:right w:val="none" w:sz="0" w:space="0" w:color="auto"/>
              </w:divBdr>
            </w:div>
          </w:divsChild>
        </w:div>
        <w:div w:id="1259168688">
          <w:marLeft w:val="0"/>
          <w:marRight w:val="0"/>
          <w:marTop w:val="0"/>
          <w:marBottom w:val="0"/>
          <w:divBdr>
            <w:top w:val="none" w:sz="0" w:space="0" w:color="auto"/>
            <w:left w:val="none" w:sz="0" w:space="0" w:color="auto"/>
            <w:bottom w:val="none" w:sz="0" w:space="0" w:color="auto"/>
            <w:right w:val="none" w:sz="0" w:space="0" w:color="auto"/>
          </w:divBdr>
          <w:divsChild>
            <w:div w:id="1247157342">
              <w:marLeft w:val="0"/>
              <w:marRight w:val="0"/>
              <w:marTop w:val="0"/>
              <w:marBottom w:val="0"/>
              <w:divBdr>
                <w:top w:val="none" w:sz="0" w:space="0" w:color="auto"/>
                <w:left w:val="none" w:sz="0" w:space="0" w:color="auto"/>
                <w:bottom w:val="none" w:sz="0" w:space="0" w:color="auto"/>
                <w:right w:val="none" w:sz="0" w:space="0" w:color="auto"/>
              </w:divBdr>
            </w:div>
          </w:divsChild>
        </w:div>
        <w:div w:id="1275863647">
          <w:marLeft w:val="0"/>
          <w:marRight w:val="0"/>
          <w:marTop w:val="0"/>
          <w:marBottom w:val="0"/>
          <w:divBdr>
            <w:top w:val="none" w:sz="0" w:space="0" w:color="auto"/>
            <w:left w:val="none" w:sz="0" w:space="0" w:color="auto"/>
            <w:bottom w:val="none" w:sz="0" w:space="0" w:color="auto"/>
            <w:right w:val="none" w:sz="0" w:space="0" w:color="auto"/>
          </w:divBdr>
          <w:divsChild>
            <w:div w:id="672151778">
              <w:marLeft w:val="0"/>
              <w:marRight w:val="0"/>
              <w:marTop w:val="0"/>
              <w:marBottom w:val="0"/>
              <w:divBdr>
                <w:top w:val="none" w:sz="0" w:space="0" w:color="auto"/>
                <w:left w:val="none" w:sz="0" w:space="0" w:color="auto"/>
                <w:bottom w:val="none" w:sz="0" w:space="0" w:color="auto"/>
                <w:right w:val="none" w:sz="0" w:space="0" w:color="auto"/>
              </w:divBdr>
            </w:div>
          </w:divsChild>
        </w:div>
        <w:div w:id="1281300733">
          <w:marLeft w:val="0"/>
          <w:marRight w:val="0"/>
          <w:marTop w:val="0"/>
          <w:marBottom w:val="0"/>
          <w:divBdr>
            <w:top w:val="none" w:sz="0" w:space="0" w:color="auto"/>
            <w:left w:val="none" w:sz="0" w:space="0" w:color="auto"/>
            <w:bottom w:val="none" w:sz="0" w:space="0" w:color="auto"/>
            <w:right w:val="none" w:sz="0" w:space="0" w:color="auto"/>
          </w:divBdr>
          <w:divsChild>
            <w:div w:id="1410543284">
              <w:marLeft w:val="0"/>
              <w:marRight w:val="0"/>
              <w:marTop w:val="0"/>
              <w:marBottom w:val="0"/>
              <w:divBdr>
                <w:top w:val="none" w:sz="0" w:space="0" w:color="auto"/>
                <w:left w:val="none" w:sz="0" w:space="0" w:color="auto"/>
                <w:bottom w:val="none" w:sz="0" w:space="0" w:color="auto"/>
                <w:right w:val="none" w:sz="0" w:space="0" w:color="auto"/>
              </w:divBdr>
            </w:div>
          </w:divsChild>
        </w:div>
        <w:div w:id="1284582079">
          <w:marLeft w:val="0"/>
          <w:marRight w:val="0"/>
          <w:marTop w:val="0"/>
          <w:marBottom w:val="0"/>
          <w:divBdr>
            <w:top w:val="none" w:sz="0" w:space="0" w:color="auto"/>
            <w:left w:val="none" w:sz="0" w:space="0" w:color="auto"/>
            <w:bottom w:val="none" w:sz="0" w:space="0" w:color="auto"/>
            <w:right w:val="none" w:sz="0" w:space="0" w:color="auto"/>
          </w:divBdr>
          <w:divsChild>
            <w:div w:id="1854876580">
              <w:marLeft w:val="0"/>
              <w:marRight w:val="0"/>
              <w:marTop w:val="0"/>
              <w:marBottom w:val="0"/>
              <w:divBdr>
                <w:top w:val="none" w:sz="0" w:space="0" w:color="auto"/>
                <w:left w:val="none" w:sz="0" w:space="0" w:color="auto"/>
                <w:bottom w:val="none" w:sz="0" w:space="0" w:color="auto"/>
                <w:right w:val="none" w:sz="0" w:space="0" w:color="auto"/>
              </w:divBdr>
            </w:div>
          </w:divsChild>
        </w:div>
        <w:div w:id="1313292574">
          <w:marLeft w:val="0"/>
          <w:marRight w:val="0"/>
          <w:marTop w:val="0"/>
          <w:marBottom w:val="0"/>
          <w:divBdr>
            <w:top w:val="none" w:sz="0" w:space="0" w:color="auto"/>
            <w:left w:val="none" w:sz="0" w:space="0" w:color="auto"/>
            <w:bottom w:val="none" w:sz="0" w:space="0" w:color="auto"/>
            <w:right w:val="none" w:sz="0" w:space="0" w:color="auto"/>
          </w:divBdr>
          <w:divsChild>
            <w:div w:id="1826359258">
              <w:marLeft w:val="0"/>
              <w:marRight w:val="0"/>
              <w:marTop w:val="0"/>
              <w:marBottom w:val="0"/>
              <w:divBdr>
                <w:top w:val="none" w:sz="0" w:space="0" w:color="auto"/>
                <w:left w:val="none" w:sz="0" w:space="0" w:color="auto"/>
                <w:bottom w:val="none" w:sz="0" w:space="0" w:color="auto"/>
                <w:right w:val="none" w:sz="0" w:space="0" w:color="auto"/>
              </w:divBdr>
            </w:div>
          </w:divsChild>
        </w:div>
        <w:div w:id="1326743550">
          <w:marLeft w:val="0"/>
          <w:marRight w:val="0"/>
          <w:marTop w:val="0"/>
          <w:marBottom w:val="0"/>
          <w:divBdr>
            <w:top w:val="none" w:sz="0" w:space="0" w:color="auto"/>
            <w:left w:val="none" w:sz="0" w:space="0" w:color="auto"/>
            <w:bottom w:val="none" w:sz="0" w:space="0" w:color="auto"/>
            <w:right w:val="none" w:sz="0" w:space="0" w:color="auto"/>
          </w:divBdr>
          <w:divsChild>
            <w:div w:id="652805029">
              <w:marLeft w:val="0"/>
              <w:marRight w:val="0"/>
              <w:marTop w:val="0"/>
              <w:marBottom w:val="0"/>
              <w:divBdr>
                <w:top w:val="none" w:sz="0" w:space="0" w:color="auto"/>
                <w:left w:val="none" w:sz="0" w:space="0" w:color="auto"/>
                <w:bottom w:val="none" w:sz="0" w:space="0" w:color="auto"/>
                <w:right w:val="none" w:sz="0" w:space="0" w:color="auto"/>
              </w:divBdr>
            </w:div>
          </w:divsChild>
        </w:div>
        <w:div w:id="1332023814">
          <w:marLeft w:val="0"/>
          <w:marRight w:val="0"/>
          <w:marTop w:val="0"/>
          <w:marBottom w:val="0"/>
          <w:divBdr>
            <w:top w:val="none" w:sz="0" w:space="0" w:color="auto"/>
            <w:left w:val="none" w:sz="0" w:space="0" w:color="auto"/>
            <w:bottom w:val="none" w:sz="0" w:space="0" w:color="auto"/>
            <w:right w:val="none" w:sz="0" w:space="0" w:color="auto"/>
          </w:divBdr>
          <w:divsChild>
            <w:div w:id="871965670">
              <w:marLeft w:val="0"/>
              <w:marRight w:val="0"/>
              <w:marTop w:val="0"/>
              <w:marBottom w:val="0"/>
              <w:divBdr>
                <w:top w:val="none" w:sz="0" w:space="0" w:color="auto"/>
                <w:left w:val="none" w:sz="0" w:space="0" w:color="auto"/>
                <w:bottom w:val="none" w:sz="0" w:space="0" w:color="auto"/>
                <w:right w:val="none" w:sz="0" w:space="0" w:color="auto"/>
              </w:divBdr>
            </w:div>
          </w:divsChild>
        </w:div>
        <w:div w:id="1358771763">
          <w:marLeft w:val="0"/>
          <w:marRight w:val="0"/>
          <w:marTop w:val="0"/>
          <w:marBottom w:val="0"/>
          <w:divBdr>
            <w:top w:val="none" w:sz="0" w:space="0" w:color="auto"/>
            <w:left w:val="none" w:sz="0" w:space="0" w:color="auto"/>
            <w:bottom w:val="none" w:sz="0" w:space="0" w:color="auto"/>
            <w:right w:val="none" w:sz="0" w:space="0" w:color="auto"/>
          </w:divBdr>
          <w:divsChild>
            <w:div w:id="1549804865">
              <w:marLeft w:val="0"/>
              <w:marRight w:val="0"/>
              <w:marTop w:val="0"/>
              <w:marBottom w:val="0"/>
              <w:divBdr>
                <w:top w:val="none" w:sz="0" w:space="0" w:color="auto"/>
                <w:left w:val="none" w:sz="0" w:space="0" w:color="auto"/>
                <w:bottom w:val="none" w:sz="0" w:space="0" w:color="auto"/>
                <w:right w:val="none" w:sz="0" w:space="0" w:color="auto"/>
              </w:divBdr>
            </w:div>
          </w:divsChild>
        </w:div>
        <w:div w:id="1359351694">
          <w:marLeft w:val="0"/>
          <w:marRight w:val="0"/>
          <w:marTop w:val="0"/>
          <w:marBottom w:val="0"/>
          <w:divBdr>
            <w:top w:val="none" w:sz="0" w:space="0" w:color="auto"/>
            <w:left w:val="none" w:sz="0" w:space="0" w:color="auto"/>
            <w:bottom w:val="none" w:sz="0" w:space="0" w:color="auto"/>
            <w:right w:val="none" w:sz="0" w:space="0" w:color="auto"/>
          </w:divBdr>
          <w:divsChild>
            <w:div w:id="742408886">
              <w:marLeft w:val="0"/>
              <w:marRight w:val="0"/>
              <w:marTop w:val="0"/>
              <w:marBottom w:val="0"/>
              <w:divBdr>
                <w:top w:val="none" w:sz="0" w:space="0" w:color="auto"/>
                <w:left w:val="none" w:sz="0" w:space="0" w:color="auto"/>
                <w:bottom w:val="none" w:sz="0" w:space="0" w:color="auto"/>
                <w:right w:val="none" w:sz="0" w:space="0" w:color="auto"/>
              </w:divBdr>
            </w:div>
          </w:divsChild>
        </w:div>
        <w:div w:id="1370036517">
          <w:marLeft w:val="0"/>
          <w:marRight w:val="0"/>
          <w:marTop w:val="0"/>
          <w:marBottom w:val="0"/>
          <w:divBdr>
            <w:top w:val="none" w:sz="0" w:space="0" w:color="auto"/>
            <w:left w:val="none" w:sz="0" w:space="0" w:color="auto"/>
            <w:bottom w:val="none" w:sz="0" w:space="0" w:color="auto"/>
            <w:right w:val="none" w:sz="0" w:space="0" w:color="auto"/>
          </w:divBdr>
          <w:divsChild>
            <w:div w:id="2089844343">
              <w:marLeft w:val="0"/>
              <w:marRight w:val="0"/>
              <w:marTop w:val="0"/>
              <w:marBottom w:val="0"/>
              <w:divBdr>
                <w:top w:val="none" w:sz="0" w:space="0" w:color="auto"/>
                <w:left w:val="none" w:sz="0" w:space="0" w:color="auto"/>
                <w:bottom w:val="none" w:sz="0" w:space="0" w:color="auto"/>
                <w:right w:val="none" w:sz="0" w:space="0" w:color="auto"/>
              </w:divBdr>
            </w:div>
          </w:divsChild>
        </w:div>
        <w:div w:id="1387609826">
          <w:marLeft w:val="0"/>
          <w:marRight w:val="0"/>
          <w:marTop w:val="0"/>
          <w:marBottom w:val="0"/>
          <w:divBdr>
            <w:top w:val="none" w:sz="0" w:space="0" w:color="auto"/>
            <w:left w:val="none" w:sz="0" w:space="0" w:color="auto"/>
            <w:bottom w:val="none" w:sz="0" w:space="0" w:color="auto"/>
            <w:right w:val="none" w:sz="0" w:space="0" w:color="auto"/>
          </w:divBdr>
          <w:divsChild>
            <w:div w:id="2003459968">
              <w:marLeft w:val="0"/>
              <w:marRight w:val="0"/>
              <w:marTop w:val="0"/>
              <w:marBottom w:val="0"/>
              <w:divBdr>
                <w:top w:val="none" w:sz="0" w:space="0" w:color="auto"/>
                <w:left w:val="none" w:sz="0" w:space="0" w:color="auto"/>
                <w:bottom w:val="none" w:sz="0" w:space="0" w:color="auto"/>
                <w:right w:val="none" w:sz="0" w:space="0" w:color="auto"/>
              </w:divBdr>
            </w:div>
          </w:divsChild>
        </w:div>
        <w:div w:id="1422294962">
          <w:marLeft w:val="0"/>
          <w:marRight w:val="0"/>
          <w:marTop w:val="0"/>
          <w:marBottom w:val="0"/>
          <w:divBdr>
            <w:top w:val="none" w:sz="0" w:space="0" w:color="auto"/>
            <w:left w:val="none" w:sz="0" w:space="0" w:color="auto"/>
            <w:bottom w:val="none" w:sz="0" w:space="0" w:color="auto"/>
            <w:right w:val="none" w:sz="0" w:space="0" w:color="auto"/>
          </w:divBdr>
          <w:divsChild>
            <w:div w:id="1033075055">
              <w:marLeft w:val="0"/>
              <w:marRight w:val="0"/>
              <w:marTop w:val="0"/>
              <w:marBottom w:val="0"/>
              <w:divBdr>
                <w:top w:val="none" w:sz="0" w:space="0" w:color="auto"/>
                <w:left w:val="none" w:sz="0" w:space="0" w:color="auto"/>
                <w:bottom w:val="none" w:sz="0" w:space="0" w:color="auto"/>
                <w:right w:val="none" w:sz="0" w:space="0" w:color="auto"/>
              </w:divBdr>
            </w:div>
          </w:divsChild>
        </w:div>
        <w:div w:id="1428113965">
          <w:marLeft w:val="0"/>
          <w:marRight w:val="0"/>
          <w:marTop w:val="0"/>
          <w:marBottom w:val="0"/>
          <w:divBdr>
            <w:top w:val="none" w:sz="0" w:space="0" w:color="auto"/>
            <w:left w:val="none" w:sz="0" w:space="0" w:color="auto"/>
            <w:bottom w:val="none" w:sz="0" w:space="0" w:color="auto"/>
            <w:right w:val="none" w:sz="0" w:space="0" w:color="auto"/>
          </w:divBdr>
          <w:divsChild>
            <w:div w:id="2051421080">
              <w:marLeft w:val="0"/>
              <w:marRight w:val="0"/>
              <w:marTop w:val="0"/>
              <w:marBottom w:val="0"/>
              <w:divBdr>
                <w:top w:val="none" w:sz="0" w:space="0" w:color="auto"/>
                <w:left w:val="none" w:sz="0" w:space="0" w:color="auto"/>
                <w:bottom w:val="none" w:sz="0" w:space="0" w:color="auto"/>
                <w:right w:val="none" w:sz="0" w:space="0" w:color="auto"/>
              </w:divBdr>
            </w:div>
          </w:divsChild>
        </w:div>
        <w:div w:id="1429738849">
          <w:marLeft w:val="0"/>
          <w:marRight w:val="0"/>
          <w:marTop w:val="0"/>
          <w:marBottom w:val="0"/>
          <w:divBdr>
            <w:top w:val="none" w:sz="0" w:space="0" w:color="auto"/>
            <w:left w:val="none" w:sz="0" w:space="0" w:color="auto"/>
            <w:bottom w:val="none" w:sz="0" w:space="0" w:color="auto"/>
            <w:right w:val="none" w:sz="0" w:space="0" w:color="auto"/>
          </w:divBdr>
          <w:divsChild>
            <w:div w:id="1834445864">
              <w:marLeft w:val="0"/>
              <w:marRight w:val="0"/>
              <w:marTop w:val="0"/>
              <w:marBottom w:val="0"/>
              <w:divBdr>
                <w:top w:val="none" w:sz="0" w:space="0" w:color="auto"/>
                <w:left w:val="none" w:sz="0" w:space="0" w:color="auto"/>
                <w:bottom w:val="none" w:sz="0" w:space="0" w:color="auto"/>
                <w:right w:val="none" w:sz="0" w:space="0" w:color="auto"/>
              </w:divBdr>
            </w:div>
          </w:divsChild>
        </w:div>
        <w:div w:id="1434352206">
          <w:marLeft w:val="0"/>
          <w:marRight w:val="0"/>
          <w:marTop w:val="0"/>
          <w:marBottom w:val="0"/>
          <w:divBdr>
            <w:top w:val="none" w:sz="0" w:space="0" w:color="auto"/>
            <w:left w:val="none" w:sz="0" w:space="0" w:color="auto"/>
            <w:bottom w:val="none" w:sz="0" w:space="0" w:color="auto"/>
            <w:right w:val="none" w:sz="0" w:space="0" w:color="auto"/>
          </w:divBdr>
          <w:divsChild>
            <w:div w:id="835918979">
              <w:marLeft w:val="0"/>
              <w:marRight w:val="0"/>
              <w:marTop w:val="0"/>
              <w:marBottom w:val="0"/>
              <w:divBdr>
                <w:top w:val="none" w:sz="0" w:space="0" w:color="auto"/>
                <w:left w:val="none" w:sz="0" w:space="0" w:color="auto"/>
                <w:bottom w:val="none" w:sz="0" w:space="0" w:color="auto"/>
                <w:right w:val="none" w:sz="0" w:space="0" w:color="auto"/>
              </w:divBdr>
            </w:div>
          </w:divsChild>
        </w:div>
        <w:div w:id="1465123043">
          <w:marLeft w:val="0"/>
          <w:marRight w:val="0"/>
          <w:marTop w:val="0"/>
          <w:marBottom w:val="0"/>
          <w:divBdr>
            <w:top w:val="none" w:sz="0" w:space="0" w:color="auto"/>
            <w:left w:val="none" w:sz="0" w:space="0" w:color="auto"/>
            <w:bottom w:val="none" w:sz="0" w:space="0" w:color="auto"/>
            <w:right w:val="none" w:sz="0" w:space="0" w:color="auto"/>
          </w:divBdr>
          <w:divsChild>
            <w:div w:id="969631947">
              <w:marLeft w:val="0"/>
              <w:marRight w:val="0"/>
              <w:marTop w:val="0"/>
              <w:marBottom w:val="0"/>
              <w:divBdr>
                <w:top w:val="none" w:sz="0" w:space="0" w:color="auto"/>
                <w:left w:val="none" w:sz="0" w:space="0" w:color="auto"/>
                <w:bottom w:val="none" w:sz="0" w:space="0" w:color="auto"/>
                <w:right w:val="none" w:sz="0" w:space="0" w:color="auto"/>
              </w:divBdr>
            </w:div>
          </w:divsChild>
        </w:div>
        <w:div w:id="1481994481">
          <w:marLeft w:val="0"/>
          <w:marRight w:val="0"/>
          <w:marTop w:val="0"/>
          <w:marBottom w:val="0"/>
          <w:divBdr>
            <w:top w:val="none" w:sz="0" w:space="0" w:color="auto"/>
            <w:left w:val="none" w:sz="0" w:space="0" w:color="auto"/>
            <w:bottom w:val="none" w:sz="0" w:space="0" w:color="auto"/>
            <w:right w:val="none" w:sz="0" w:space="0" w:color="auto"/>
          </w:divBdr>
          <w:divsChild>
            <w:div w:id="1129200333">
              <w:marLeft w:val="0"/>
              <w:marRight w:val="0"/>
              <w:marTop w:val="0"/>
              <w:marBottom w:val="0"/>
              <w:divBdr>
                <w:top w:val="none" w:sz="0" w:space="0" w:color="auto"/>
                <w:left w:val="none" w:sz="0" w:space="0" w:color="auto"/>
                <w:bottom w:val="none" w:sz="0" w:space="0" w:color="auto"/>
                <w:right w:val="none" w:sz="0" w:space="0" w:color="auto"/>
              </w:divBdr>
            </w:div>
          </w:divsChild>
        </w:div>
        <w:div w:id="1488863371">
          <w:marLeft w:val="0"/>
          <w:marRight w:val="0"/>
          <w:marTop w:val="0"/>
          <w:marBottom w:val="0"/>
          <w:divBdr>
            <w:top w:val="none" w:sz="0" w:space="0" w:color="auto"/>
            <w:left w:val="none" w:sz="0" w:space="0" w:color="auto"/>
            <w:bottom w:val="none" w:sz="0" w:space="0" w:color="auto"/>
            <w:right w:val="none" w:sz="0" w:space="0" w:color="auto"/>
          </w:divBdr>
          <w:divsChild>
            <w:div w:id="1727800101">
              <w:marLeft w:val="0"/>
              <w:marRight w:val="0"/>
              <w:marTop w:val="0"/>
              <w:marBottom w:val="0"/>
              <w:divBdr>
                <w:top w:val="none" w:sz="0" w:space="0" w:color="auto"/>
                <w:left w:val="none" w:sz="0" w:space="0" w:color="auto"/>
                <w:bottom w:val="none" w:sz="0" w:space="0" w:color="auto"/>
                <w:right w:val="none" w:sz="0" w:space="0" w:color="auto"/>
              </w:divBdr>
            </w:div>
          </w:divsChild>
        </w:div>
        <w:div w:id="1493251322">
          <w:marLeft w:val="0"/>
          <w:marRight w:val="0"/>
          <w:marTop w:val="0"/>
          <w:marBottom w:val="0"/>
          <w:divBdr>
            <w:top w:val="none" w:sz="0" w:space="0" w:color="auto"/>
            <w:left w:val="none" w:sz="0" w:space="0" w:color="auto"/>
            <w:bottom w:val="none" w:sz="0" w:space="0" w:color="auto"/>
            <w:right w:val="none" w:sz="0" w:space="0" w:color="auto"/>
          </w:divBdr>
          <w:divsChild>
            <w:div w:id="126899155">
              <w:marLeft w:val="0"/>
              <w:marRight w:val="0"/>
              <w:marTop w:val="0"/>
              <w:marBottom w:val="0"/>
              <w:divBdr>
                <w:top w:val="none" w:sz="0" w:space="0" w:color="auto"/>
                <w:left w:val="none" w:sz="0" w:space="0" w:color="auto"/>
                <w:bottom w:val="none" w:sz="0" w:space="0" w:color="auto"/>
                <w:right w:val="none" w:sz="0" w:space="0" w:color="auto"/>
              </w:divBdr>
            </w:div>
          </w:divsChild>
        </w:div>
        <w:div w:id="1494955032">
          <w:marLeft w:val="0"/>
          <w:marRight w:val="0"/>
          <w:marTop w:val="0"/>
          <w:marBottom w:val="0"/>
          <w:divBdr>
            <w:top w:val="none" w:sz="0" w:space="0" w:color="auto"/>
            <w:left w:val="none" w:sz="0" w:space="0" w:color="auto"/>
            <w:bottom w:val="none" w:sz="0" w:space="0" w:color="auto"/>
            <w:right w:val="none" w:sz="0" w:space="0" w:color="auto"/>
          </w:divBdr>
          <w:divsChild>
            <w:div w:id="329404867">
              <w:marLeft w:val="0"/>
              <w:marRight w:val="0"/>
              <w:marTop w:val="0"/>
              <w:marBottom w:val="0"/>
              <w:divBdr>
                <w:top w:val="none" w:sz="0" w:space="0" w:color="auto"/>
                <w:left w:val="none" w:sz="0" w:space="0" w:color="auto"/>
                <w:bottom w:val="none" w:sz="0" w:space="0" w:color="auto"/>
                <w:right w:val="none" w:sz="0" w:space="0" w:color="auto"/>
              </w:divBdr>
            </w:div>
          </w:divsChild>
        </w:div>
        <w:div w:id="1497069019">
          <w:marLeft w:val="0"/>
          <w:marRight w:val="0"/>
          <w:marTop w:val="0"/>
          <w:marBottom w:val="0"/>
          <w:divBdr>
            <w:top w:val="none" w:sz="0" w:space="0" w:color="auto"/>
            <w:left w:val="none" w:sz="0" w:space="0" w:color="auto"/>
            <w:bottom w:val="none" w:sz="0" w:space="0" w:color="auto"/>
            <w:right w:val="none" w:sz="0" w:space="0" w:color="auto"/>
          </w:divBdr>
          <w:divsChild>
            <w:div w:id="455375169">
              <w:marLeft w:val="0"/>
              <w:marRight w:val="0"/>
              <w:marTop w:val="0"/>
              <w:marBottom w:val="0"/>
              <w:divBdr>
                <w:top w:val="none" w:sz="0" w:space="0" w:color="auto"/>
                <w:left w:val="none" w:sz="0" w:space="0" w:color="auto"/>
                <w:bottom w:val="none" w:sz="0" w:space="0" w:color="auto"/>
                <w:right w:val="none" w:sz="0" w:space="0" w:color="auto"/>
              </w:divBdr>
            </w:div>
          </w:divsChild>
        </w:div>
        <w:div w:id="1513646589">
          <w:marLeft w:val="0"/>
          <w:marRight w:val="0"/>
          <w:marTop w:val="0"/>
          <w:marBottom w:val="0"/>
          <w:divBdr>
            <w:top w:val="none" w:sz="0" w:space="0" w:color="auto"/>
            <w:left w:val="none" w:sz="0" w:space="0" w:color="auto"/>
            <w:bottom w:val="none" w:sz="0" w:space="0" w:color="auto"/>
            <w:right w:val="none" w:sz="0" w:space="0" w:color="auto"/>
          </w:divBdr>
          <w:divsChild>
            <w:div w:id="48501667">
              <w:marLeft w:val="0"/>
              <w:marRight w:val="0"/>
              <w:marTop w:val="0"/>
              <w:marBottom w:val="0"/>
              <w:divBdr>
                <w:top w:val="none" w:sz="0" w:space="0" w:color="auto"/>
                <w:left w:val="none" w:sz="0" w:space="0" w:color="auto"/>
                <w:bottom w:val="none" w:sz="0" w:space="0" w:color="auto"/>
                <w:right w:val="none" w:sz="0" w:space="0" w:color="auto"/>
              </w:divBdr>
            </w:div>
          </w:divsChild>
        </w:div>
        <w:div w:id="1521897246">
          <w:marLeft w:val="0"/>
          <w:marRight w:val="0"/>
          <w:marTop w:val="0"/>
          <w:marBottom w:val="0"/>
          <w:divBdr>
            <w:top w:val="none" w:sz="0" w:space="0" w:color="auto"/>
            <w:left w:val="none" w:sz="0" w:space="0" w:color="auto"/>
            <w:bottom w:val="none" w:sz="0" w:space="0" w:color="auto"/>
            <w:right w:val="none" w:sz="0" w:space="0" w:color="auto"/>
          </w:divBdr>
          <w:divsChild>
            <w:div w:id="404911488">
              <w:marLeft w:val="0"/>
              <w:marRight w:val="0"/>
              <w:marTop w:val="0"/>
              <w:marBottom w:val="0"/>
              <w:divBdr>
                <w:top w:val="none" w:sz="0" w:space="0" w:color="auto"/>
                <w:left w:val="none" w:sz="0" w:space="0" w:color="auto"/>
                <w:bottom w:val="none" w:sz="0" w:space="0" w:color="auto"/>
                <w:right w:val="none" w:sz="0" w:space="0" w:color="auto"/>
              </w:divBdr>
            </w:div>
          </w:divsChild>
        </w:div>
        <w:div w:id="1526291920">
          <w:marLeft w:val="0"/>
          <w:marRight w:val="0"/>
          <w:marTop w:val="0"/>
          <w:marBottom w:val="0"/>
          <w:divBdr>
            <w:top w:val="none" w:sz="0" w:space="0" w:color="auto"/>
            <w:left w:val="none" w:sz="0" w:space="0" w:color="auto"/>
            <w:bottom w:val="none" w:sz="0" w:space="0" w:color="auto"/>
            <w:right w:val="none" w:sz="0" w:space="0" w:color="auto"/>
          </w:divBdr>
          <w:divsChild>
            <w:div w:id="1197964906">
              <w:marLeft w:val="0"/>
              <w:marRight w:val="0"/>
              <w:marTop w:val="0"/>
              <w:marBottom w:val="0"/>
              <w:divBdr>
                <w:top w:val="none" w:sz="0" w:space="0" w:color="auto"/>
                <w:left w:val="none" w:sz="0" w:space="0" w:color="auto"/>
                <w:bottom w:val="none" w:sz="0" w:space="0" w:color="auto"/>
                <w:right w:val="none" w:sz="0" w:space="0" w:color="auto"/>
              </w:divBdr>
            </w:div>
          </w:divsChild>
        </w:div>
        <w:div w:id="1531645366">
          <w:marLeft w:val="0"/>
          <w:marRight w:val="0"/>
          <w:marTop w:val="0"/>
          <w:marBottom w:val="0"/>
          <w:divBdr>
            <w:top w:val="none" w:sz="0" w:space="0" w:color="auto"/>
            <w:left w:val="none" w:sz="0" w:space="0" w:color="auto"/>
            <w:bottom w:val="none" w:sz="0" w:space="0" w:color="auto"/>
            <w:right w:val="none" w:sz="0" w:space="0" w:color="auto"/>
          </w:divBdr>
          <w:divsChild>
            <w:div w:id="1355115790">
              <w:marLeft w:val="0"/>
              <w:marRight w:val="0"/>
              <w:marTop w:val="0"/>
              <w:marBottom w:val="0"/>
              <w:divBdr>
                <w:top w:val="none" w:sz="0" w:space="0" w:color="auto"/>
                <w:left w:val="none" w:sz="0" w:space="0" w:color="auto"/>
                <w:bottom w:val="none" w:sz="0" w:space="0" w:color="auto"/>
                <w:right w:val="none" w:sz="0" w:space="0" w:color="auto"/>
              </w:divBdr>
            </w:div>
          </w:divsChild>
        </w:div>
        <w:div w:id="1541550047">
          <w:marLeft w:val="0"/>
          <w:marRight w:val="0"/>
          <w:marTop w:val="0"/>
          <w:marBottom w:val="0"/>
          <w:divBdr>
            <w:top w:val="none" w:sz="0" w:space="0" w:color="auto"/>
            <w:left w:val="none" w:sz="0" w:space="0" w:color="auto"/>
            <w:bottom w:val="none" w:sz="0" w:space="0" w:color="auto"/>
            <w:right w:val="none" w:sz="0" w:space="0" w:color="auto"/>
          </w:divBdr>
          <w:divsChild>
            <w:div w:id="1189490053">
              <w:marLeft w:val="0"/>
              <w:marRight w:val="0"/>
              <w:marTop w:val="0"/>
              <w:marBottom w:val="0"/>
              <w:divBdr>
                <w:top w:val="none" w:sz="0" w:space="0" w:color="auto"/>
                <w:left w:val="none" w:sz="0" w:space="0" w:color="auto"/>
                <w:bottom w:val="none" w:sz="0" w:space="0" w:color="auto"/>
                <w:right w:val="none" w:sz="0" w:space="0" w:color="auto"/>
              </w:divBdr>
            </w:div>
          </w:divsChild>
        </w:div>
        <w:div w:id="1541626191">
          <w:marLeft w:val="0"/>
          <w:marRight w:val="0"/>
          <w:marTop w:val="0"/>
          <w:marBottom w:val="0"/>
          <w:divBdr>
            <w:top w:val="none" w:sz="0" w:space="0" w:color="auto"/>
            <w:left w:val="none" w:sz="0" w:space="0" w:color="auto"/>
            <w:bottom w:val="none" w:sz="0" w:space="0" w:color="auto"/>
            <w:right w:val="none" w:sz="0" w:space="0" w:color="auto"/>
          </w:divBdr>
          <w:divsChild>
            <w:div w:id="987171479">
              <w:marLeft w:val="0"/>
              <w:marRight w:val="0"/>
              <w:marTop w:val="0"/>
              <w:marBottom w:val="0"/>
              <w:divBdr>
                <w:top w:val="none" w:sz="0" w:space="0" w:color="auto"/>
                <w:left w:val="none" w:sz="0" w:space="0" w:color="auto"/>
                <w:bottom w:val="none" w:sz="0" w:space="0" w:color="auto"/>
                <w:right w:val="none" w:sz="0" w:space="0" w:color="auto"/>
              </w:divBdr>
            </w:div>
          </w:divsChild>
        </w:div>
        <w:div w:id="1553350813">
          <w:marLeft w:val="0"/>
          <w:marRight w:val="0"/>
          <w:marTop w:val="0"/>
          <w:marBottom w:val="0"/>
          <w:divBdr>
            <w:top w:val="none" w:sz="0" w:space="0" w:color="auto"/>
            <w:left w:val="none" w:sz="0" w:space="0" w:color="auto"/>
            <w:bottom w:val="none" w:sz="0" w:space="0" w:color="auto"/>
            <w:right w:val="none" w:sz="0" w:space="0" w:color="auto"/>
          </w:divBdr>
          <w:divsChild>
            <w:div w:id="784155755">
              <w:marLeft w:val="0"/>
              <w:marRight w:val="0"/>
              <w:marTop w:val="0"/>
              <w:marBottom w:val="0"/>
              <w:divBdr>
                <w:top w:val="none" w:sz="0" w:space="0" w:color="auto"/>
                <w:left w:val="none" w:sz="0" w:space="0" w:color="auto"/>
                <w:bottom w:val="none" w:sz="0" w:space="0" w:color="auto"/>
                <w:right w:val="none" w:sz="0" w:space="0" w:color="auto"/>
              </w:divBdr>
            </w:div>
          </w:divsChild>
        </w:div>
        <w:div w:id="1556160347">
          <w:marLeft w:val="0"/>
          <w:marRight w:val="0"/>
          <w:marTop w:val="0"/>
          <w:marBottom w:val="0"/>
          <w:divBdr>
            <w:top w:val="none" w:sz="0" w:space="0" w:color="auto"/>
            <w:left w:val="none" w:sz="0" w:space="0" w:color="auto"/>
            <w:bottom w:val="none" w:sz="0" w:space="0" w:color="auto"/>
            <w:right w:val="none" w:sz="0" w:space="0" w:color="auto"/>
          </w:divBdr>
          <w:divsChild>
            <w:div w:id="104155690">
              <w:marLeft w:val="0"/>
              <w:marRight w:val="0"/>
              <w:marTop w:val="0"/>
              <w:marBottom w:val="0"/>
              <w:divBdr>
                <w:top w:val="none" w:sz="0" w:space="0" w:color="auto"/>
                <w:left w:val="none" w:sz="0" w:space="0" w:color="auto"/>
                <w:bottom w:val="none" w:sz="0" w:space="0" w:color="auto"/>
                <w:right w:val="none" w:sz="0" w:space="0" w:color="auto"/>
              </w:divBdr>
            </w:div>
          </w:divsChild>
        </w:div>
        <w:div w:id="1565065831">
          <w:marLeft w:val="0"/>
          <w:marRight w:val="0"/>
          <w:marTop w:val="0"/>
          <w:marBottom w:val="0"/>
          <w:divBdr>
            <w:top w:val="none" w:sz="0" w:space="0" w:color="auto"/>
            <w:left w:val="none" w:sz="0" w:space="0" w:color="auto"/>
            <w:bottom w:val="none" w:sz="0" w:space="0" w:color="auto"/>
            <w:right w:val="none" w:sz="0" w:space="0" w:color="auto"/>
          </w:divBdr>
          <w:divsChild>
            <w:div w:id="159274292">
              <w:marLeft w:val="0"/>
              <w:marRight w:val="0"/>
              <w:marTop w:val="0"/>
              <w:marBottom w:val="0"/>
              <w:divBdr>
                <w:top w:val="none" w:sz="0" w:space="0" w:color="auto"/>
                <w:left w:val="none" w:sz="0" w:space="0" w:color="auto"/>
                <w:bottom w:val="none" w:sz="0" w:space="0" w:color="auto"/>
                <w:right w:val="none" w:sz="0" w:space="0" w:color="auto"/>
              </w:divBdr>
            </w:div>
          </w:divsChild>
        </w:div>
        <w:div w:id="1568372181">
          <w:marLeft w:val="0"/>
          <w:marRight w:val="0"/>
          <w:marTop w:val="0"/>
          <w:marBottom w:val="0"/>
          <w:divBdr>
            <w:top w:val="none" w:sz="0" w:space="0" w:color="auto"/>
            <w:left w:val="none" w:sz="0" w:space="0" w:color="auto"/>
            <w:bottom w:val="none" w:sz="0" w:space="0" w:color="auto"/>
            <w:right w:val="none" w:sz="0" w:space="0" w:color="auto"/>
          </w:divBdr>
          <w:divsChild>
            <w:div w:id="1812554778">
              <w:marLeft w:val="0"/>
              <w:marRight w:val="0"/>
              <w:marTop w:val="0"/>
              <w:marBottom w:val="0"/>
              <w:divBdr>
                <w:top w:val="none" w:sz="0" w:space="0" w:color="auto"/>
                <w:left w:val="none" w:sz="0" w:space="0" w:color="auto"/>
                <w:bottom w:val="none" w:sz="0" w:space="0" w:color="auto"/>
                <w:right w:val="none" w:sz="0" w:space="0" w:color="auto"/>
              </w:divBdr>
            </w:div>
          </w:divsChild>
        </w:div>
        <w:div w:id="1569879162">
          <w:marLeft w:val="0"/>
          <w:marRight w:val="0"/>
          <w:marTop w:val="0"/>
          <w:marBottom w:val="0"/>
          <w:divBdr>
            <w:top w:val="none" w:sz="0" w:space="0" w:color="auto"/>
            <w:left w:val="none" w:sz="0" w:space="0" w:color="auto"/>
            <w:bottom w:val="none" w:sz="0" w:space="0" w:color="auto"/>
            <w:right w:val="none" w:sz="0" w:space="0" w:color="auto"/>
          </w:divBdr>
          <w:divsChild>
            <w:div w:id="1347293488">
              <w:marLeft w:val="0"/>
              <w:marRight w:val="0"/>
              <w:marTop w:val="0"/>
              <w:marBottom w:val="0"/>
              <w:divBdr>
                <w:top w:val="none" w:sz="0" w:space="0" w:color="auto"/>
                <w:left w:val="none" w:sz="0" w:space="0" w:color="auto"/>
                <w:bottom w:val="none" w:sz="0" w:space="0" w:color="auto"/>
                <w:right w:val="none" w:sz="0" w:space="0" w:color="auto"/>
              </w:divBdr>
            </w:div>
          </w:divsChild>
        </w:div>
        <w:div w:id="1570340576">
          <w:marLeft w:val="0"/>
          <w:marRight w:val="0"/>
          <w:marTop w:val="0"/>
          <w:marBottom w:val="0"/>
          <w:divBdr>
            <w:top w:val="none" w:sz="0" w:space="0" w:color="auto"/>
            <w:left w:val="none" w:sz="0" w:space="0" w:color="auto"/>
            <w:bottom w:val="none" w:sz="0" w:space="0" w:color="auto"/>
            <w:right w:val="none" w:sz="0" w:space="0" w:color="auto"/>
          </w:divBdr>
          <w:divsChild>
            <w:div w:id="989868148">
              <w:marLeft w:val="0"/>
              <w:marRight w:val="0"/>
              <w:marTop w:val="0"/>
              <w:marBottom w:val="0"/>
              <w:divBdr>
                <w:top w:val="none" w:sz="0" w:space="0" w:color="auto"/>
                <w:left w:val="none" w:sz="0" w:space="0" w:color="auto"/>
                <w:bottom w:val="none" w:sz="0" w:space="0" w:color="auto"/>
                <w:right w:val="none" w:sz="0" w:space="0" w:color="auto"/>
              </w:divBdr>
            </w:div>
          </w:divsChild>
        </w:div>
        <w:div w:id="1577518246">
          <w:marLeft w:val="0"/>
          <w:marRight w:val="0"/>
          <w:marTop w:val="0"/>
          <w:marBottom w:val="0"/>
          <w:divBdr>
            <w:top w:val="none" w:sz="0" w:space="0" w:color="auto"/>
            <w:left w:val="none" w:sz="0" w:space="0" w:color="auto"/>
            <w:bottom w:val="none" w:sz="0" w:space="0" w:color="auto"/>
            <w:right w:val="none" w:sz="0" w:space="0" w:color="auto"/>
          </w:divBdr>
          <w:divsChild>
            <w:div w:id="414783682">
              <w:marLeft w:val="0"/>
              <w:marRight w:val="0"/>
              <w:marTop w:val="0"/>
              <w:marBottom w:val="0"/>
              <w:divBdr>
                <w:top w:val="none" w:sz="0" w:space="0" w:color="auto"/>
                <w:left w:val="none" w:sz="0" w:space="0" w:color="auto"/>
                <w:bottom w:val="none" w:sz="0" w:space="0" w:color="auto"/>
                <w:right w:val="none" w:sz="0" w:space="0" w:color="auto"/>
              </w:divBdr>
            </w:div>
          </w:divsChild>
        </w:div>
        <w:div w:id="1581870999">
          <w:marLeft w:val="0"/>
          <w:marRight w:val="0"/>
          <w:marTop w:val="0"/>
          <w:marBottom w:val="0"/>
          <w:divBdr>
            <w:top w:val="none" w:sz="0" w:space="0" w:color="auto"/>
            <w:left w:val="none" w:sz="0" w:space="0" w:color="auto"/>
            <w:bottom w:val="none" w:sz="0" w:space="0" w:color="auto"/>
            <w:right w:val="none" w:sz="0" w:space="0" w:color="auto"/>
          </w:divBdr>
          <w:divsChild>
            <w:div w:id="544945125">
              <w:marLeft w:val="0"/>
              <w:marRight w:val="0"/>
              <w:marTop w:val="0"/>
              <w:marBottom w:val="0"/>
              <w:divBdr>
                <w:top w:val="none" w:sz="0" w:space="0" w:color="auto"/>
                <w:left w:val="none" w:sz="0" w:space="0" w:color="auto"/>
                <w:bottom w:val="none" w:sz="0" w:space="0" w:color="auto"/>
                <w:right w:val="none" w:sz="0" w:space="0" w:color="auto"/>
              </w:divBdr>
            </w:div>
            <w:div w:id="620113700">
              <w:marLeft w:val="0"/>
              <w:marRight w:val="0"/>
              <w:marTop w:val="0"/>
              <w:marBottom w:val="0"/>
              <w:divBdr>
                <w:top w:val="none" w:sz="0" w:space="0" w:color="auto"/>
                <w:left w:val="none" w:sz="0" w:space="0" w:color="auto"/>
                <w:bottom w:val="none" w:sz="0" w:space="0" w:color="auto"/>
                <w:right w:val="none" w:sz="0" w:space="0" w:color="auto"/>
              </w:divBdr>
            </w:div>
            <w:div w:id="1217742260">
              <w:marLeft w:val="0"/>
              <w:marRight w:val="0"/>
              <w:marTop w:val="0"/>
              <w:marBottom w:val="0"/>
              <w:divBdr>
                <w:top w:val="none" w:sz="0" w:space="0" w:color="auto"/>
                <w:left w:val="none" w:sz="0" w:space="0" w:color="auto"/>
                <w:bottom w:val="none" w:sz="0" w:space="0" w:color="auto"/>
                <w:right w:val="none" w:sz="0" w:space="0" w:color="auto"/>
              </w:divBdr>
            </w:div>
          </w:divsChild>
        </w:div>
        <w:div w:id="1590313075">
          <w:marLeft w:val="0"/>
          <w:marRight w:val="0"/>
          <w:marTop w:val="0"/>
          <w:marBottom w:val="0"/>
          <w:divBdr>
            <w:top w:val="none" w:sz="0" w:space="0" w:color="auto"/>
            <w:left w:val="none" w:sz="0" w:space="0" w:color="auto"/>
            <w:bottom w:val="none" w:sz="0" w:space="0" w:color="auto"/>
            <w:right w:val="none" w:sz="0" w:space="0" w:color="auto"/>
          </w:divBdr>
          <w:divsChild>
            <w:div w:id="1153641624">
              <w:marLeft w:val="0"/>
              <w:marRight w:val="0"/>
              <w:marTop w:val="0"/>
              <w:marBottom w:val="0"/>
              <w:divBdr>
                <w:top w:val="none" w:sz="0" w:space="0" w:color="auto"/>
                <w:left w:val="none" w:sz="0" w:space="0" w:color="auto"/>
                <w:bottom w:val="none" w:sz="0" w:space="0" w:color="auto"/>
                <w:right w:val="none" w:sz="0" w:space="0" w:color="auto"/>
              </w:divBdr>
            </w:div>
          </w:divsChild>
        </w:div>
        <w:div w:id="1599407752">
          <w:marLeft w:val="0"/>
          <w:marRight w:val="0"/>
          <w:marTop w:val="0"/>
          <w:marBottom w:val="0"/>
          <w:divBdr>
            <w:top w:val="none" w:sz="0" w:space="0" w:color="auto"/>
            <w:left w:val="none" w:sz="0" w:space="0" w:color="auto"/>
            <w:bottom w:val="none" w:sz="0" w:space="0" w:color="auto"/>
            <w:right w:val="none" w:sz="0" w:space="0" w:color="auto"/>
          </w:divBdr>
          <w:divsChild>
            <w:div w:id="785542748">
              <w:marLeft w:val="0"/>
              <w:marRight w:val="0"/>
              <w:marTop w:val="0"/>
              <w:marBottom w:val="0"/>
              <w:divBdr>
                <w:top w:val="none" w:sz="0" w:space="0" w:color="auto"/>
                <w:left w:val="none" w:sz="0" w:space="0" w:color="auto"/>
                <w:bottom w:val="none" w:sz="0" w:space="0" w:color="auto"/>
                <w:right w:val="none" w:sz="0" w:space="0" w:color="auto"/>
              </w:divBdr>
            </w:div>
          </w:divsChild>
        </w:div>
        <w:div w:id="1604724708">
          <w:marLeft w:val="0"/>
          <w:marRight w:val="0"/>
          <w:marTop w:val="0"/>
          <w:marBottom w:val="0"/>
          <w:divBdr>
            <w:top w:val="none" w:sz="0" w:space="0" w:color="auto"/>
            <w:left w:val="none" w:sz="0" w:space="0" w:color="auto"/>
            <w:bottom w:val="none" w:sz="0" w:space="0" w:color="auto"/>
            <w:right w:val="none" w:sz="0" w:space="0" w:color="auto"/>
          </w:divBdr>
          <w:divsChild>
            <w:div w:id="435057171">
              <w:marLeft w:val="0"/>
              <w:marRight w:val="0"/>
              <w:marTop w:val="0"/>
              <w:marBottom w:val="0"/>
              <w:divBdr>
                <w:top w:val="none" w:sz="0" w:space="0" w:color="auto"/>
                <w:left w:val="none" w:sz="0" w:space="0" w:color="auto"/>
                <w:bottom w:val="none" w:sz="0" w:space="0" w:color="auto"/>
                <w:right w:val="none" w:sz="0" w:space="0" w:color="auto"/>
              </w:divBdr>
            </w:div>
          </w:divsChild>
        </w:div>
        <w:div w:id="1609241911">
          <w:marLeft w:val="0"/>
          <w:marRight w:val="0"/>
          <w:marTop w:val="0"/>
          <w:marBottom w:val="0"/>
          <w:divBdr>
            <w:top w:val="none" w:sz="0" w:space="0" w:color="auto"/>
            <w:left w:val="none" w:sz="0" w:space="0" w:color="auto"/>
            <w:bottom w:val="none" w:sz="0" w:space="0" w:color="auto"/>
            <w:right w:val="none" w:sz="0" w:space="0" w:color="auto"/>
          </w:divBdr>
          <w:divsChild>
            <w:div w:id="55322829">
              <w:marLeft w:val="0"/>
              <w:marRight w:val="0"/>
              <w:marTop w:val="0"/>
              <w:marBottom w:val="0"/>
              <w:divBdr>
                <w:top w:val="none" w:sz="0" w:space="0" w:color="auto"/>
                <w:left w:val="none" w:sz="0" w:space="0" w:color="auto"/>
                <w:bottom w:val="none" w:sz="0" w:space="0" w:color="auto"/>
                <w:right w:val="none" w:sz="0" w:space="0" w:color="auto"/>
              </w:divBdr>
            </w:div>
          </w:divsChild>
        </w:div>
        <w:div w:id="1613169661">
          <w:marLeft w:val="0"/>
          <w:marRight w:val="0"/>
          <w:marTop w:val="0"/>
          <w:marBottom w:val="0"/>
          <w:divBdr>
            <w:top w:val="none" w:sz="0" w:space="0" w:color="auto"/>
            <w:left w:val="none" w:sz="0" w:space="0" w:color="auto"/>
            <w:bottom w:val="none" w:sz="0" w:space="0" w:color="auto"/>
            <w:right w:val="none" w:sz="0" w:space="0" w:color="auto"/>
          </w:divBdr>
          <w:divsChild>
            <w:div w:id="1396976582">
              <w:marLeft w:val="0"/>
              <w:marRight w:val="0"/>
              <w:marTop w:val="0"/>
              <w:marBottom w:val="0"/>
              <w:divBdr>
                <w:top w:val="none" w:sz="0" w:space="0" w:color="auto"/>
                <w:left w:val="none" w:sz="0" w:space="0" w:color="auto"/>
                <w:bottom w:val="none" w:sz="0" w:space="0" w:color="auto"/>
                <w:right w:val="none" w:sz="0" w:space="0" w:color="auto"/>
              </w:divBdr>
            </w:div>
          </w:divsChild>
        </w:div>
        <w:div w:id="1625577721">
          <w:marLeft w:val="0"/>
          <w:marRight w:val="0"/>
          <w:marTop w:val="0"/>
          <w:marBottom w:val="0"/>
          <w:divBdr>
            <w:top w:val="none" w:sz="0" w:space="0" w:color="auto"/>
            <w:left w:val="none" w:sz="0" w:space="0" w:color="auto"/>
            <w:bottom w:val="none" w:sz="0" w:space="0" w:color="auto"/>
            <w:right w:val="none" w:sz="0" w:space="0" w:color="auto"/>
          </w:divBdr>
          <w:divsChild>
            <w:div w:id="1622878260">
              <w:marLeft w:val="0"/>
              <w:marRight w:val="0"/>
              <w:marTop w:val="0"/>
              <w:marBottom w:val="0"/>
              <w:divBdr>
                <w:top w:val="none" w:sz="0" w:space="0" w:color="auto"/>
                <w:left w:val="none" w:sz="0" w:space="0" w:color="auto"/>
                <w:bottom w:val="none" w:sz="0" w:space="0" w:color="auto"/>
                <w:right w:val="none" w:sz="0" w:space="0" w:color="auto"/>
              </w:divBdr>
            </w:div>
          </w:divsChild>
        </w:div>
        <w:div w:id="1627195423">
          <w:marLeft w:val="0"/>
          <w:marRight w:val="0"/>
          <w:marTop w:val="0"/>
          <w:marBottom w:val="0"/>
          <w:divBdr>
            <w:top w:val="none" w:sz="0" w:space="0" w:color="auto"/>
            <w:left w:val="none" w:sz="0" w:space="0" w:color="auto"/>
            <w:bottom w:val="none" w:sz="0" w:space="0" w:color="auto"/>
            <w:right w:val="none" w:sz="0" w:space="0" w:color="auto"/>
          </w:divBdr>
          <w:divsChild>
            <w:div w:id="75247939">
              <w:marLeft w:val="0"/>
              <w:marRight w:val="0"/>
              <w:marTop w:val="0"/>
              <w:marBottom w:val="0"/>
              <w:divBdr>
                <w:top w:val="none" w:sz="0" w:space="0" w:color="auto"/>
                <w:left w:val="none" w:sz="0" w:space="0" w:color="auto"/>
                <w:bottom w:val="none" w:sz="0" w:space="0" w:color="auto"/>
                <w:right w:val="none" w:sz="0" w:space="0" w:color="auto"/>
              </w:divBdr>
            </w:div>
          </w:divsChild>
        </w:div>
        <w:div w:id="1629044206">
          <w:marLeft w:val="0"/>
          <w:marRight w:val="0"/>
          <w:marTop w:val="0"/>
          <w:marBottom w:val="0"/>
          <w:divBdr>
            <w:top w:val="none" w:sz="0" w:space="0" w:color="auto"/>
            <w:left w:val="none" w:sz="0" w:space="0" w:color="auto"/>
            <w:bottom w:val="none" w:sz="0" w:space="0" w:color="auto"/>
            <w:right w:val="none" w:sz="0" w:space="0" w:color="auto"/>
          </w:divBdr>
          <w:divsChild>
            <w:div w:id="1732339752">
              <w:marLeft w:val="0"/>
              <w:marRight w:val="0"/>
              <w:marTop w:val="0"/>
              <w:marBottom w:val="0"/>
              <w:divBdr>
                <w:top w:val="none" w:sz="0" w:space="0" w:color="auto"/>
                <w:left w:val="none" w:sz="0" w:space="0" w:color="auto"/>
                <w:bottom w:val="none" w:sz="0" w:space="0" w:color="auto"/>
                <w:right w:val="none" w:sz="0" w:space="0" w:color="auto"/>
              </w:divBdr>
            </w:div>
          </w:divsChild>
        </w:div>
        <w:div w:id="1676689856">
          <w:marLeft w:val="0"/>
          <w:marRight w:val="0"/>
          <w:marTop w:val="0"/>
          <w:marBottom w:val="0"/>
          <w:divBdr>
            <w:top w:val="none" w:sz="0" w:space="0" w:color="auto"/>
            <w:left w:val="none" w:sz="0" w:space="0" w:color="auto"/>
            <w:bottom w:val="none" w:sz="0" w:space="0" w:color="auto"/>
            <w:right w:val="none" w:sz="0" w:space="0" w:color="auto"/>
          </w:divBdr>
          <w:divsChild>
            <w:div w:id="2081948575">
              <w:marLeft w:val="0"/>
              <w:marRight w:val="0"/>
              <w:marTop w:val="0"/>
              <w:marBottom w:val="0"/>
              <w:divBdr>
                <w:top w:val="none" w:sz="0" w:space="0" w:color="auto"/>
                <w:left w:val="none" w:sz="0" w:space="0" w:color="auto"/>
                <w:bottom w:val="none" w:sz="0" w:space="0" w:color="auto"/>
                <w:right w:val="none" w:sz="0" w:space="0" w:color="auto"/>
              </w:divBdr>
            </w:div>
          </w:divsChild>
        </w:div>
        <w:div w:id="1687636742">
          <w:marLeft w:val="0"/>
          <w:marRight w:val="0"/>
          <w:marTop w:val="0"/>
          <w:marBottom w:val="0"/>
          <w:divBdr>
            <w:top w:val="none" w:sz="0" w:space="0" w:color="auto"/>
            <w:left w:val="none" w:sz="0" w:space="0" w:color="auto"/>
            <w:bottom w:val="none" w:sz="0" w:space="0" w:color="auto"/>
            <w:right w:val="none" w:sz="0" w:space="0" w:color="auto"/>
          </w:divBdr>
          <w:divsChild>
            <w:div w:id="1439566314">
              <w:marLeft w:val="0"/>
              <w:marRight w:val="0"/>
              <w:marTop w:val="0"/>
              <w:marBottom w:val="0"/>
              <w:divBdr>
                <w:top w:val="none" w:sz="0" w:space="0" w:color="auto"/>
                <w:left w:val="none" w:sz="0" w:space="0" w:color="auto"/>
                <w:bottom w:val="none" w:sz="0" w:space="0" w:color="auto"/>
                <w:right w:val="none" w:sz="0" w:space="0" w:color="auto"/>
              </w:divBdr>
            </w:div>
          </w:divsChild>
        </w:div>
        <w:div w:id="1698701583">
          <w:marLeft w:val="0"/>
          <w:marRight w:val="0"/>
          <w:marTop w:val="0"/>
          <w:marBottom w:val="0"/>
          <w:divBdr>
            <w:top w:val="none" w:sz="0" w:space="0" w:color="auto"/>
            <w:left w:val="none" w:sz="0" w:space="0" w:color="auto"/>
            <w:bottom w:val="none" w:sz="0" w:space="0" w:color="auto"/>
            <w:right w:val="none" w:sz="0" w:space="0" w:color="auto"/>
          </w:divBdr>
          <w:divsChild>
            <w:div w:id="914318099">
              <w:marLeft w:val="0"/>
              <w:marRight w:val="0"/>
              <w:marTop w:val="0"/>
              <w:marBottom w:val="0"/>
              <w:divBdr>
                <w:top w:val="none" w:sz="0" w:space="0" w:color="auto"/>
                <w:left w:val="none" w:sz="0" w:space="0" w:color="auto"/>
                <w:bottom w:val="none" w:sz="0" w:space="0" w:color="auto"/>
                <w:right w:val="none" w:sz="0" w:space="0" w:color="auto"/>
              </w:divBdr>
            </w:div>
          </w:divsChild>
        </w:div>
        <w:div w:id="1715957567">
          <w:marLeft w:val="0"/>
          <w:marRight w:val="0"/>
          <w:marTop w:val="0"/>
          <w:marBottom w:val="0"/>
          <w:divBdr>
            <w:top w:val="none" w:sz="0" w:space="0" w:color="auto"/>
            <w:left w:val="none" w:sz="0" w:space="0" w:color="auto"/>
            <w:bottom w:val="none" w:sz="0" w:space="0" w:color="auto"/>
            <w:right w:val="none" w:sz="0" w:space="0" w:color="auto"/>
          </w:divBdr>
          <w:divsChild>
            <w:div w:id="1837500346">
              <w:marLeft w:val="0"/>
              <w:marRight w:val="0"/>
              <w:marTop w:val="0"/>
              <w:marBottom w:val="0"/>
              <w:divBdr>
                <w:top w:val="none" w:sz="0" w:space="0" w:color="auto"/>
                <w:left w:val="none" w:sz="0" w:space="0" w:color="auto"/>
                <w:bottom w:val="none" w:sz="0" w:space="0" w:color="auto"/>
                <w:right w:val="none" w:sz="0" w:space="0" w:color="auto"/>
              </w:divBdr>
            </w:div>
          </w:divsChild>
        </w:div>
        <w:div w:id="1731801633">
          <w:marLeft w:val="0"/>
          <w:marRight w:val="0"/>
          <w:marTop w:val="0"/>
          <w:marBottom w:val="0"/>
          <w:divBdr>
            <w:top w:val="none" w:sz="0" w:space="0" w:color="auto"/>
            <w:left w:val="none" w:sz="0" w:space="0" w:color="auto"/>
            <w:bottom w:val="none" w:sz="0" w:space="0" w:color="auto"/>
            <w:right w:val="none" w:sz="0" w:space="0" w:color="auto"/>
          </w:divBdr>
          <w:divsChild>
            <w:div w:id="732240624">
              <w:marLeft w:val="0"/>
              <w:marRight w:val="0"/>
              <w:marTop w:val="0"/>
              <w:marBottom w:val="0"/>
              <w:divBdr>
                <w:top w:val="none" w:sz="0" w:space="0" w:color="auto"/>
                <w:left w:val="none" w:sz="0" w:space="0" w:color="auto"/>
                <w:bottom w:val="none" w:sz="0" w:space="0" w:color="auto"/>
                <w:right w:val="none" w:sz="0" w:space="0" w:color="auto"/>
              </w:divBdr>
            </w:div>
          </w:divsChild>
        </w:div>
        <w:div w:id="1735350651">
          <w:marLeft w:val="0"/>
          <w:marRight w:val="0"/>
          <w:marTop w:val="0"/>
          <w:marBottom w:val="0"/>
          <w:divBdr>
            <w:top w:val="none" w:sz="0" w:space="0" w:color="auto"/>
            <w:left w:val="none" w:sz="0" w:space="0" w:color="auto"/>
            <w:bottom w:val="none" w:sz="0" w:space="0" w:color="auto"/>
            <w:right w:val="none" w:sz="0" w:space="0" w:color="auto"/>
          </w:divBdr>
          <w:divsChild>
            <w:div w:id="195506966">
              <w:marLeft w:val="0"/>
              <w:marRight w:val="0"/>
              <w:marTop w:val="0"/>
              <w:marBottom w:val="0"/>
              <w:divBdr>
                <w:top w:val="none" w:sz="0" w:space="0" w:color="auto"/>
                <w:left w:val="none" w:sz="0" w:space="0" w:color="auto"/>
                <w:bottom w:val="none" w:sz="0" w:space="0" w:color="auto"/>
                <w:right w:val="none" w:sz="0" w:space="0" w:color="auto"/>
              </w:divBdr>
            </w:div>
          </w:divsChild>
        </w:div>
        <w:div w:id="1738243568">
          <w:marLeft w:val="0"/>
          <w:marRight w:val="0"/>
          <w:marTop w:val="0"/>
          <w:marBottom w:val="0"/>
          <w:divBdr>
            <w:top w:val="none" w:sz="0" w:space="0" w:color="auto"/>
            <w:left w:val="none" w:sz="0" w:space="0" w:color="auto"/>
            <w:bottom w:val="none" w:sz="0" w:space="0" w:color="auto"/>
            <w:right w:val="none" w:sz="0" w:space="0" w:color="auto"/>
          </w:divBdr>
          <w:divsChild>
            <w:div w:id="843008468">
              <w:marLeft w:val="0"/>
              <w:marRight w:val="0"/>
              <w:marTop w:val="0"/>
              <w:marBottom w:val="0"/>
              <w:divBdr>
                <w:top w:val="none" w:sz="0" w:space="0" w:color="auto"/>
                <w:left w:val="none" w:sz="0" w:space="0" w:color="auto"/>
                <w:bottom w:val="none" w:sz="0" w:space="0" w:color="auto"/>
                <w:right w:val="none" w:sz="0" w:space="0" w:color="auto"/>
              </w:divBdr>
            </w:div>
          </w:divsChild>
        </w:div>
        <w:div w:id="1744141680">
          <w:marLeft w:val="0"/>
          <w:marRight w:val="0"/>
          <w:marTop w:val="0"/>
          <w:marBottom w:val="0"/>
          <w:divBdr>
            <w:top w:val="none" w:sz="0" w:space="0" w:color="auto"/>
            <w:left w:val="none" w:sz="0" w:space="0" w:color="auto"/>
            <w:bottom w:val="none" w:sz="0" w:space="0" w:color="auto"/>
            <w:right w:val="none" w:sz="0" w:space="0" w:color="auto"/>
          </w:divBdr>
          <w:divsChild>
            <w:div w:id="187262315">
              <w:marLeft w:val="0"/>
              <w:marRight w:val="0"/>
              <w:marTop w:val="0"/>
              <w:marBottom w:val="0"/>
              <w:divBdr>
                <w:top w:val="none" w:sz="0" w:space="0" w:color="auto"/>
                <w:left w:val="none" w:sz="0" w:space="0" w:color="auto"/>
                <w:bottom w:val="none" w:sz="0" w:space="0" w:color="auto"/>
                <w:right w:val="none" w:sz="0" w:space="0" w:color="auto"/>
              </w:divBdr>
            </w:div>
          </w:divsChild>
        </w:div>
        <w:div w:id="1768234935">
          <w:marLeft w:val="0"/>
          <w:marRight w:val="0"/>
          <w:marTop w:val="0"/>
          <w:marBottom w:val="0"/>
          <w:divBdr>
            <w:top w:val="none" w:sz="0" w:space="0" w:color="auto"/>
            <w:left w:val="none" w:sz="0" w:space="0" w:color="auto"/>
            <w:bottom w:val="none" w:sz="0" w:space="0" w:color="auto"/>
            <w:right w:val="none" w:sz="0" w:space="0" w:color="auto"/>
          </w:divBdr>
          <w:divsChild>
            <w:div w:id="1021322495">
              <w:marLeft w:val="0"/>
              <w:marRight w:val="0"/>
              <w:marTop w:val="0"/>
              <w:marBottom w:val="0"/>
              <w:divBdr>
                <w:top w:val="none" w:sz="0" w:space="0" w:color="auto"/>
                <w:left w:val="none" w:sz="0" w:space="0" w:color="auto"/>
                <w:bottom w:val="none" w:sz="0" w:space="0" w:color="auto"/>
                <w:right w:val="none" w:sz="0" w:space="0" w:color="auto"/>
              </w:divBdr>
            </w:div>
          </w:divsChild>
        </w:div>
        <w:div w:id="1781603961">
          <w:marLeft w:val="0"/>
          <w:marRight w:val="0"/>
          <w:marTop w:val="0"/>
          <w:marBottom w:val="0"/>
          <w:divBdr>
            <w:top w:val="none" w:sz="0" w:space="0" w:color="auto"/>
            <w:left w:val="none" w:sz="0" w:space="0" w:color="auto"/>
            <w:bottom w:val="none" w:sz="0" w:space="0" w:color="auto"/>
            <w:right w:val="none" w:sz="0" w:space="0" w:color="auto"/>
          </w:divBdr>
          <w:divsChild>
            <w:div w:id="253630762">
              <w:marLeft w:val="0"/>
              <w:marRight w:val="0"/>
              <w:marTop w:val="0"/>
              <w:marBottom w:val="0"/>
              <w:divBdr>
                <w:top w:val="none" w:sz="0" w:space="0" w:color="auto"/>
                <w:left w:val="none" w:sz="0" w:space="0" w:color="auto"/>
                <w:bottom w:val="none" w:sz="0" w:space="0" w:color="auto"/>
                <w:right w:val="none" w:sz="0" w:space="0" w:color="auto"/>
              </w:divBdr>
            </w:div>
            <w:div w:id="489178547">
              <w:marLeft w:val="0"/>
              <w:marRight w:val="0"/>
              <w:marTop w:val="0"/>
              <w:marBottom w:val="0"/>
              <w:divBdr>
                <w:top w:val="none" w:sz="0" w:space="0" w:color="auto"/>
                <w:left w:val="none" w:sz="0" w:space="0" w:color="auto"/>
                <w:bottom w:val="none" w:sz="0" w:space="0" w:color="auto"/>
                <w:right w:val="none" w:sz="0" w:space="0" w:color="auto"/>
              </w:divBdr>
            </w:div>
            <w:div w:id="1667515182">
              <w:marLeft w:val="0"/>
              <w:marRight w:val="0"/>
              <w:marTop w:val="0"/>
              <w:marBottom w:val="0"/>
              <w:divBdr>
                <w:top w:val="none" w:sz="0" w:space="0" w:color="auto"/>
                <w:left w:val="none" w:sz="0" w:space="0" w:color="auto"/>
                <w:bottom w:val="none" w:sz="0" w:space="0" w:color="auto"/>
                <w:right w:val="none" w:sz="0" w:space="0" w:color="auto"/>
              </w:divBdr>
            </w:div>
          </w:divsChild>
        </w:div>
        <w:div w:id="1791704319">
          <w:marLeft w:val="0"/>
          <w:marRight w:val="0"/>
          <w:marTop w:val="0"/>
          <w:marBottom w:val="0"/>
          <w:divBdr>
            <w:top w:val="none" w:sz="0" w:space="0" w:color="auto"/>
            <w:left w:val="none" w:sz="0" w:space="0" w:color="auto"/>
            <w:bottom w:val="none" w:sz="0" w:space="0" w:color="auto"/>
            <w:right w:val="none" w:sz="0" w:space="0" w:color="auto"/>
          </w:divBdr>
          <w:divsChild>
            <w:div w:id="1632325870">
              <w:marLeft w:val="0"/>
              <w:marRight w:val="0"/>
              <w:marTop w:val="0"/>
              <w:marBottom w:val="0"/>
              <w:divBdr>
                <w:top w:val="none" w:sz="0" w:space="0" w:color="auto"/>
                <w:left w:val="none" w:sz="0" w:space="0" w:color="auto"/>
                <w:bottom w:val="none" w:sz="0" w:space="0" w:color="auto"/>
                <w:right w:val="none" w:sz="0" w:space="0" w:color="auto"/>
              </w:divBdr>
            </w:div>
          </w:divsChild>
        </w:div>
        <w:div w:id="1810856354">
          <w:marLeft w:val="0"/>
          <w:marRight w:val="0"/>
          <w:marTop w:val="0"/>
          <w:marBottom w:val="0"/>
          <w:divBdr>
            <w:top w:val="none" w:sz="0" w:space="0" w:color="auto"/>
            <w:left w:val="none" w:sz="0" w:space="0" w:color="auto"/>
            <w:bottom w:val="none" w:sz="0" w:space="0" w:color="auto"/>
            <w:right w:val="none" w:sz="0" w:space="0" w:color="auto"/>
          </w:divBdr>
          <w:divsChild>
            <w:div w:id="1296061031">
              <w:marLeft w:val="0"/>
              <w:marRight w:val="0"/>
              <w:marTop w:val="0"/>
              <w:marBottom w:val="0"/>
              <w:divBdr>
                <w:top w:val="none" w:sz="0" w:space="0" w:color="auto"/>
                <w:left w:val="none" w:sz="0" w:space="0" w:color="auto"/>
                <w:bottom w:val="none" w:sz="0" w:space="0" w:color="auto"/>
                <w:right w:val="none" w:sz="0" w:space="0" w:color="auto"/>
              </w:divBdr>
            </w:div>
          </w:divsChild>
        </w:div>
        <w:div w:id="1811557512">
          <w:marLeft w:val="0"/>
          <w:marRight w:val="0"/>
          <w:marTop w:val="0"/>
          <w:marBottom w:val="0"/>
          <w:divBdr>
            <w:top w:val="none" w:sz="0" w:space="0" w:color="auto"/>
            <w:left w:val="none" w:sz="0" w:space="0" w:color="auto"/>
            <w:bottom w:val="none" w:sz="0" w:space="0" w:color="auto"/>
            <w:right w:val="none" w:sz="0" w:space="0" w:color="auto"/>
          </w:divBdr>
          <w:divsChild>
            <w:div w:id="126821487">
              <w:marLeft w:val="0"/>
              <w:marRight w:val="0"/>
              <w:marTop w:val="0"/>
              <w:marBottom w:val="0"/>
              <w:divBdr>
                <w:top w:val="none" w:sz="0" w:space="0" w:color="auto"/>
                <w:left w:val="none" w:sz="0" w:space="0" w:color="auto"/>
                <w:bottom w:val="none" w:sz="0" w:space="0" w:color="auto"/>
                <w:right w:val="none" w:sz="0" w:space="0" w:color="auto"/>
              </w:divBdr>
            </w:div>
            <w:div w:id="1148745716">
              <w:marLeft w:val="0"/>
              <w:marRight w:val="0"/>
              <w:marTop w:val="0"/>
              <w:marBottom w:val="0"/>
              <w:divBdr>
                <w:top w:val="none" w:sz="0" w:space="0" w:color="auto"/>
                <w:left w:val="none" w:sz="0" w:space="0" w:color="auto"/>
                <w:bottom w:val="none" w:sz="0" w:space="0" w:color="auto"/>
                <w:right w:val="none" w:sz="0" w:space="0" w:color="auto"/>
              </w:divBdr>
            </w:div>
          </w:divsChild>
        </w:div>
        <w:div w:id="1821924599">
          <w:marLeft w:val="0"/>
          <w:marRight w:val="0"/>
          <w:marTop w:val="0"/>
          <w:marBottom w:val="0"/>
          <w:divBdr>
            <w:top w:val="none" w:sz="0" w:space="0" w:color="auto"/>
            <w:left w:val="none" w:sz="0" w:space="0" w:color="auto"/>
            <w:bottom w:val="none" w:sz="0" w:space="0" w:color="auto"/>
            <w:right w:val="none" w:sz="0" w:space="0" w:color="auto"/>
          </w:divBdr>
          <w:divsChild>
            <w:div w:id="548228351">
              <w:marLeft w:val="0"/>
              <w:marRight w:val="0"/>
              <w:marTop w:val="0"/>
              <w:marBottom w:val="0"/>
              <w:divBdr>
                <w:top w:val="none" w:sz="0" w:space="0" w:color="auto"/>
                <w:left w:val="none" w:sz="0" w:space="0" w:color="auto"/>
                <w:bottom w:val="none" w:sz="0" w:space="0" w:color="auto"/>
                <w:right w:val="none" w:sz="0" w:space="0" w:color="auto"/>
              </w:divBdr>
            </w:div>
          </w:divsChild>
        </w:div>
        <w:div w:id="1846095632">
          <w:marLeft w:val="0"/>
          <w:marRight w:val="0"/>
          <w:marTop w:val="0"/>
          <w:marBottom w:val="0"/>
          <w:divBdr>
            <w:top w:val="none" w:sz="0" w:space="0" w:color="auto"/>
            <w:left w:val="none" w:sz="0" w:space="0" w:color="auto"/>
            <w:bottom w:val="none" w:sz="0" w:space="0" w:color="auto"/>
            <w:right w:val="none" w:sz="0" w:space="0" w:color="auto"/>
          </w:divBdr>
          <w:divsChild>
            <w:div w:id="1743063047">
              <w:marLeft w:val="0"/>
              <w:marRight w:val="0"/>
              <w:marTop w:val="0"/>
              <w:marBottom w:val="0"/>
              <w:divBdr>
                <w:top w:val="none" w:sz="0" w:space="0" w:color="auto"/>
                <w:left w:val="none" w:sz="0" w:space="0" w:color="auto"/>
                <w:bottom w:val="none" w:sz="0" w:space="0" w:color="auto"/>
                <w:right w:val="none" w:sz="0" w:space="0" w:color="auto"/>
              </w:divBdr>
            </w:div>
          </w:divsChild>
        </w:div>
        <w:div w:id="1860392031">
          <w:marLeft w:val="0"/>
          <w:marRight w:val="0"/>
          <w:marTop w:val="0"/>
          <w:marBottom w:val="0"/>
          <w:divBdr>
            <w:top w:val="none" w:sz="0" w:space="0" w:color="auto"/>
            <w:left w:val="none" w:sz="0" w:space="0" w:color="auto"/>
            <w:bottom w:val="none" w:sz="0" w:space="0" w:color="auto"/>
            <w:right w:val="none" w:sz="0" w:space="0" w:color="auto"/>
          </w:divBdr>
          <w:divsChild>
            <w:div w:id="355736419">
              <w:marLeft w:val="0"/>
              <w:marRight w:val="0"/>
              <w:marTop w:val="0"/>
              <w:marBottom w:val="0"/>
              <w:divBdr>
                <w:top w:val="none" w:sz="0" w:space="0" w:color="auto"/>
                <w:left w:val="none" w:sz="0" w:space="0" w:color="auto"/>
                <w:bottom w:val="none" w:sz="0" w:space="0" w:color="auto"/>
                <w:right w:val="none" w:sz="0" w:space="0" w:color="auto"/>
              </w:divBdr>
            </w:div>
            <w:div w:id="698749101">
              <w:marLeft w:val="0"/>
              <w:marRight w:val="0"/>
              <w:marTop w:val="0"/>
              <w:marBottom w:val="0"/>
              <w:divBdr>
                <w:top w:val="none" w:sz="0" w:space="0" w:color="auto"/>
                <w:left w:val="none" w:sz="0" w:space="0" w:color="auto"/>
                <w:bottom w:val="none" w:sz="0" w:space="0" w:color="auto"/>
                <w:right w:val="none" w:sz="0" w:space="0" w:color="auto"/>
              </w:divBdr>
            </w:div>
            <w:div w:id="1225678410">
              <w:marLeft w:val="0"/>
              <w:marRight w:val="0"/>
              <w:marTop w:val="0"/>
              <w:marBottom w:val="0"/>
              <w:divBdr>
                <w:top w:val="none" w:sz="0" w:space="0" w:color="auto"/>
                <w:left w:val="none" w:sz="0" w:space="0" w:color="auto"/>
                <w:bottom w:val="none" w:sz="0" w:space="0" w:color="auto"/>
                <w:right w:val="none" w:sz="0" w:space="0" w:color="auto"/>
              </w:divBdr>
            </w:div>
          </w:divsChild>
        </w:div>
        <w:div w:id="1861774585">
          <w:marLeft w:val="0"/>
          <w:marRight w:val="0"/>
          <w:marTop w:val="0"/>
          <w:marBottom w:val="0"/>
          <w:divBdr>
            <w:top w:val="none" w:sz="0" w:space="0" w:color="auto"/>
            <w:left w:val="none" w:sz="0" w:space="0" w:color="auto"/>
            <w:bottom w:val="none" w:sz="0" w:space="0" w:color="auto"/>
            <w:right w:val="none" w:sz="0" w:space="0" w:color="auto"/>
          </w:divBdr>
          <w:divsChild>
            <w:div w:id="766313505">
              <w:marLeft w:val="0"/>
              <w:marRight w:val="0"/>
              <w:marTop w:val="0"/>
              <w:marBottom w:val="0"/>
              <w:divBdr>
                <w:top w:val="none" w:sz="0" w:space="0" w:color="auto"/>
                <w:left w:val="none" w:sz="0" w:space="0" w:color="auto"/>
                <w:bottom w:val="none" w:sz="0" w:space="0" w:color="auto"/>
                <w:right w:val="none" w:sz="0" w:space="0" w:color="auto"/>
              </w:divBdr>
            </w:div>
          </w:divsChild>
        </w:div>
        <w:div w:id="1874609390">
          <w:marLeft w:val="0"/>
          <w:marRight w:val="0"/>
          <w:marTop w:val="0"/>
          <w:marBottom w:val="0"/>
          <w:divBdr>
            <w:top w:val="none" w:sz="0" w:space="0" w:color="auto"/>
            <w:left w:val="none" w:sz="0" w:space="0" w:color="auto"/>
            <w:bottom w:val="none" w:sz="0" w:space="0" w:color="auto"/>
            <w:right w:val="none" w:sz="0" w:space="0" w:color="auto"/>
          </w:divBdr>
          <w:divsChild>
            <w:div w:id="1861045543">
              <w:marLeft w:val="0"/>
              <w:marRight w:val="0"/>
              <w:marTop w:val="0"/>
              <w:marBottom w:val="0"/>
              <w:divBdr>
                <w:top w:val="none" w:sz="0" w:space="0" w:color="auto"/>
                <w:left w:val="none" w:sz="0" w:space="0" w:color="auto"/>
                <w:bottom w:val="none" w:sz="0" w:space="0" w:color="auto"/>
                <w:right w:val="none" w:sz="0" w:space="0" w:color="auto"/>
              </w:divBdr>
            </w:div>
          </w:divsChild>
        </w:div>
        <w:div w:id="1881623156">
          <w:marLeft w:val="0"/>
          <w:marRight w:val="0"/>
          <w:marTop w:val="0"/>
          <w:marBottom w:val="0"/>
          <w:divBdr>
            <w:top w:val="none" w:sz="0" w:space="0" w:color="auto"/>
            <w:left w:val="none" w:sz="0" w:space="0" w:color="auto"/>
            <w:bottom w:val="none" w:sz="0" w:space="0" w:color="auto"/>
            <w:right w:val="none" w:sz="0" w:space="0" w:color="auto"/>
          </w:divBdr>
          <w:divsChild>
            <w:div w:id="1900895685">
              <w:marLeft w:val="0"/>
              <w:marRight w:val="0"/>
              <w:marTop w:val="0"/>
              <w:marBottom w:val="0"/>
              <w:divBdr>
                <w:top w:val="none" w:sz="0" w:space="0" w:color="auto"/>
                <w:left w:val="none" w:sz="0" w:space="0" w:color="auto"/>
                <w:bottom w:val="none" w:sz="0" w:space="0" w:color="auto"/>
                <w:right w:val="none" w:sz="0" w:space="0" w:color="auto"/>
              </w:divBdr>
            </w:div>
          </w:divsChild>
        </w:div>
        <w:div w:id="1890339393">
          <w:marLeft w:val="0"/>
          <w:marRight w:val="0"/>
          <w:marTop w:val="0"/>
          <w:marBottom w:val="0"/>
          <w:divBdr>
            <w:top w:val="none" w:sz="0" w:space="0" w:color="auto"/>
            <w:left w:val="none" w:sz="0" w:space="0" w:color="auto"/>
            <w:bottom w:val="none" w:sz="0" w:space="0" w:color="auto"/>
            <w:right w:val="none" w:sz="0" w:space="0" w:color="auto"/>
          </w:divBdr>
          <w:divsChild>
            <w:div w:id="436025817">
              <w:marLeft w:val="0"/>
              <w:marRight w:val="0"/>
              <w:marTop w:val="0"/>
              <w:marBottom w:val="0"/>
              <w:divBdr>
                <w:top w:val="none" w:sz="0" w:space="0" w:color="auto"/>
                <w:left w:val="none" w:sz="0" w:space="0" w:color="auto"/>
                <w:bottom w:val="none" w:sz="0" w:space="0" w:color="auto"/>
                <w:right w:val="none" w:sz="0" w:space="0" w:color="auto"/>
              </w:divBdr>
            </w:div>
            <w:div w:id="529956221">
              <w:marLeft w:val="0"/>
              <w:marRight w:val="0"/>
              <w:marTop w:val="0"/>
              <w:marBottom w:val="0"/>
              <w:divBdr>
                <w:top w:val="none" w:sz="0" w:space="0" w:color="auto"/>
                <w:left w:val="none" w:sz="0" w:space="0" w:color="auto"/>
                <w:bottom w:val="none" w:sz="0" w:space="0" w:color="auto"/>
                <w:right w:val="none" w:sz="0" w:space="0" w:color="auto"/>
              </w:divBdr>
            </w:div>
            <w:div w:id="1188179765">
              <w:marLeft w:val="0"/>
              <w:marRight w:val="0"/>
              <w:marTop w:val="0"/>
              <w:marBottom w:val="0"/>
              <w:divBdr>
                <w:top w:val="none" w:sz="0" w:space="0" w:color="auto"/>
                <w:left w:val="none" w:sz="0" w:space="0" w:color="auto"/>
                <w:bottom w:val="none" w:sz="0" w:space="0" w:color="auto"/>
                <w:right w:val="none" w:sz="0" w:space="0" w:color="auto"/>
              </w:divBdr>
            </w:div>
            <w:div w:id="1260260783">
              <w:marLeft w:val="0"/>
              <w:marRight w:val="0"/>
              <w:marTop w:val="0"/>
              <w:marBottom w:val="0"/>
              <w:divBdr>
                <w:top w:val="none" w:sz="0" w:space="0" w:color="auto"/>
                <w:left w:val="none" w:sz="0" w:space="0" w:color="auto"/>
                <w:bottom w:val="none" w:sz="0" w:space="0" w:color="auto"/>
                <w:right w:val="none" w:sz="0" w:space="0" w:color="auto"/>
              </w:divBdr>
            </w:div>
          </w:divsChild>
        </w:div>
        <w:div w:id="1891575024">
          <w:marLeft w:val="0"/>
          <w:marRight w:val="0"/>
          <w:marTop w:val="0"/>
          <w:marBottom w:val="0"/>
          <w:divBdr>
            <w:top w:val="none" w:sz="0" w:space="0" w:color="auto"/>
            <w:left w:val="none" w:sz="0" w:space="0" w:color="auto"/>
            <w:bottom w:val="none" w:sz="0" w:space="0" w:color="auto"/>
            <w:right w:val="none" w:sz="0" w:space="0" w:color="auto"/>
          </w:divBdr>
          <w:divsChild>
            <w:div w:id="1802457307">
              <w:marLeft w:val="0"/>
              <w:marRight w:val="0"/>
              <w:marTop w:val="0"/>
              <w:marBottom w:val="0"/>
              <w:divBdr>
                <w:top w:val="none" w:sz="0" w:space="0" w:color="auto"/>
                <w:left w:val="none" w:sz="0" w:space="0" w:color="auto"/>
                <w:bottom w:val="none" w:sz="0" w:space="0" w:color="auto"/>
                <w:right w:val="none" w:sz="0" w:space="0" w:color="auto"/>
              </w:divBdr>
            </w:div>
          </w:divsChild>
        </w:div>
        <w:div w:id="1906451203">
          <w:marLeft w:val="0"/>
          <w:marRight w:val="0"/>
          <w:marTop w:val="0"/>
          <w:marBottom w:val="0"/>
          <w:divBdr>
            <w:top w:val="none" w:sz="0" w:space="0" w:color="auto"/>
            <w:left w:val="none" w:sz="0" w:space="0" w:color="auto"/>
            <w:bottom w:val="none" w:sz="0" w:space="0" w:color="auto"/>
            <w:right w:val="none" w:sz="0" w:space="0" w:color="auto"/>
          </w:divBdr>
          <w:divsChild>
            <w:div w:id="1635061721">
              <w:marLeft w:val="0"/>
              <w:marRight w:val="0"/>
              <w:marTop w:val="0"/>
              <w:marBottom w:val="0"/>
              <w:divBdr>
                <w:top w:val="none" w:sz="0" w:space="0" w:color="auto"/>
                <w:left w:val="none" w:sz="0" w:space="0" w:color="auto"/>
                <w:bottom w:val="none" w:sz="0" w:space="0" w:color="auto"/>
                <w:right w:val="none" w:sz="0" w:space="0" w:color="auto"/>
              </w:divBdr>
            </w:div>
          </w:divsChild>
        </w:div>
        <w:div w:id="1916478502">
          <w:marLeft w:val="0"/>
          <w:marRight w:val="0"/>
          <w:marTop w:val="0"/>
          <w:marBottom w:val="0"/>
          <w:divBdr>
            <w:top w:val="none" w:sz="0" w:space="0" w:color="auto"/>
            <w:left w:val="none" w:sz="0" w:space="0" w:color="auto"/>
            <w:bottom w:val="none" w:sz="0" w:space="0" w:color="auto"/>
            <w:right w:val="none" w:sz="0" w:space="0" w:color="auto"/>
          </w:divBdr>
          <w:divsChild>
            <w:div w:id="890580995">
              <w:marLeft w:val="0"/>
              <w:marRight w:val="0"/>
              <w:marTop w:val="0"/>
              <w:marBottom w:val="0"/>
              <w:divBdr>
                <w:top w:val="none" w:sz="0" w:space="0" w:color="auto"/>
                <w:left w:val="none" w:sz="0" w:space="0" w:color="auto"/>
                <w:bottom w:val="none" w:sz="0" w:space="0" w:color="auto"/>
                <w:right w:val="none" w:sz="0" w:space="0" w:color="auto"/>
              </w:divBdr>
            </w:div>
          </w:divsChild>
        </w:div>
        <w:div w:id="1942178377">
          <w:marLeft w:val="0"/>
          <w:marRight w:val="0"/>
          <w:marTop w:val="0"/>
          <w:marBottom w:val="0"/>
          <w:divBdr>
            <w:top w:val="none" w:sz="0" w:space="0" w:color="auto"/>
            <w:left w:val="none" w:sz="0" w:space="0" w:color="auto"/>
            <w:bottom w:val="none" w:sz="0" w:space="0" w:color="auto"/>
            <w:right w:val="none" w:sz="0" w:space="0" w:color="auto"/>
          </w:divBdr>
          <w:divsChild>
            <w:div w:id="1295065577">
              <w:marLeft w:val="0"/>
              <w:marRight w:val="0"/>
              <w:marTop w:val="0"/>
              <w:marBottom w:val="0"/>
              <w:divBdr>
                <w:top w:val="none" w:sz="0" w:space="0" w:color="auto"/>
                <w:left w:val="none" w:sz="0" w:space="0" w:color="auto"/>
                <w:bottom w:val="none" w:sz="0" w:space="0" w:color="auto"/>
                <w:right w:val="none" w:sz="0" w:space="0" w:color="auto"/>
              </w:divBdr>
            </w:div>
          </w:divsChild>
        </w:div>
        <w:div w:id="1957642589">
          <w:marLeft w:val="0"/>
          <w:marRight w:val="0"/>
          <w:marTop w:val="0"/>
          <w:marBottom w:val="0"/>
          <w:divBdr>
            <w:top w:val="none" w:sz="0" w:space="0" w:color="auto"/>
            <w:left w:val="none" w:sz="0" w:space="0" w:color="auto"/>
            <w:bottom w:val="none" w:sz="0" w:space="0" w:color="auto"/>
            <w:right w:val="none" w:sz="0" w:space="0" w:color="auto"/>
          </w:divBdr>
          <w:divsChild>
            <w:div w:id="892618143">
              <w:marLeft w:val="0"/>
              <w:marRight w:val="0"/>
              <w:marTop w:val="0"/>
              <w:marBottom w:val="0"/>
              <w:divBdr>
                <w:top w:val="none" w:sz="0" w:space="0" w:color="auto"/>
                <w:left w:val="none" w:sz="0" w:space="0" w:color="auto"/>
                <w:bottom w:val="none" w:sz="0" w:space="0" w:color="auto"/>
                <w:right w:val="none" w:sz="0" w:space="0" w:color="auto"/>
              </w:divBdr>
            </w:div>
          </w:divsChild>
        </w:div>
        <w:div w:id="1960337719">
          <w:marLeft w:val="0"/>
          <w:marRight w:val="0"/>
          <w:marTop w:val="0"/>
          <w:marBottom w:val="0"/>
          <w:divBdr>
            <w:top w:val="none" w:sz="0" w:space="0" w:color="auto"/>
            <w:left w:val="none" w:sz="0" w:space="0" w:color="auto"/>
            <w:bottom w:val="none" w:sz="0" w:space="0" w:color="auto"/>
            <w:right w:val="none" w:sz="0" w:space="0" w:color="auto"/>
          </w:divBdr>
          <w:divsChild>
            <w:div w:id="1561551508">
              <w:marLeft w:val="0"/>
              <w:marRight w:val="0"/>
              <w:marTop w:val="0"/>
              <w:marBottom w:val="0"/>
              <w:divBdr>
                <w:top w:val="none" w:sz="0" w:space="0" w:color="auto"/>
                <w:left w:val="none" w:sz="0" w:space="0" w:color="auto"/>
                <w:bottom w:val="none" w:sz="0" w:space="0" w:color="auto"/>
                <w:right w:val="none" w:sz="0" w:space="0" w:color="auto"/>
              </w:divBdr>
            </w:div>
          </w:divsChild>
        </w:div>
        <w:div w:id="1960647067">
          <w:marLeft w:val="0"/>
          <w:marRight w:val="0"/>
          <w:marTop w:val="0"/>
          <w:marBottom w:val="0"/>
          <w:divBdr>
            <w:top w:val="none" w:sz="0" w:space="0" w:color="auto"/>
            <w:left w:val="none" w:sz="0" w:space="0" w:color="auto"/>
            <w:bottom w:val="none" w:sz="0" w:space="0" w:color="auto"/>
            <w:right w:val="none" w:sz="0" w:space="0" w:color="auto"/>
          </w:divBdr>
          <w:divsChild>
            <w:div w:id="1064256093">
              <w:marLeft w:val="0"/>
              <w:marRight w:val="0"/>
              <w:marTop w:val="0"/>
              <w:marBottom w:val="0"/>
              <w:divBdr>
                <w:top w:val="none" w:sz="0" w:space="0" w:color="auto"/>
                <w:left w:val="none" w:sz="0" w:space="0" w:color="auto"/>
                <w:bottom w:val="none" w:sz="0" w:space="0" w:color="auto"/>
                <w:right w:val="none" w:sz="0" w:space="0" w:color="auto"/>
              </w:divBdr>
            </w:div>
          </w:divsChild>
        </w:div>
        <w:div w:id="1969627423">
          <w:marLeft w:val="0"/>
          <w:marRight w:val="0"/>
          <w:marTop w:val="0"/>
          <w:marBottom w:val="0"/>
          <w:divBdr>
            <w:top w:val="none" w:sz="0" w:space="0" w:color="auto"/>
            <w:left w:val="none" w:sz="0" w:space="0" w:color="auto"/>
            <w:bottom w:val="none" w:sz="0" w:space="0" w:color="auto"/>
            <w:right w:val="none" w:sz="0" w:space="0" w:color="auto"/>
          </w:divBdr>
          <w:divsChild>
            <w:div w:id="1679573700">
              <w:marLeft w:val="0"/>
              <w:marRight w:val="0"/>
              <w:marTop w:val="0"/>
              <w:marBottom w:val="0"/>
              <w:divBdr>
                <w:top w:val="none" w:sz="0" w:space="0" w:color="auto"/>
                <w:left w:val="none" w:sz="0" w:space="0" w:color="auto"/>
                <w:bottom w:val="none" w:sz="0" w:space="0" w:color="auto"/>
                <w:right w:val="none" w:sz="0" w:space="0" w:color="auto"/>
              </w:divBdr>
            </w:div>
          </w:divsChild>
        </w:div>
        <w:div w:id="1970281775">
          <w:marLeft w:val="0"/>
          <w:marRight w:val="0"/>
          <w:marTop w:val="0"/>
          <w:marBottom w:val="0"/>
          <w:divBdr>
            <w:top w:val="none" w:sz="0" w:space="0" w:color="auto"/>
            <w:left w:val="none" w:sz="0" w:space="0" w:color="auto"/>
            <w:bottom w:val="none" w:sz="0" w:space="0" w:color="auto"/>
            <w:right w:val="none" w:sz="0" w:space="0" w:color="auto"/>
          </w:divBdr>
          <w:divsChild>
            <w:div w:id="387075948">
              <w:marLeft w:val="0"/>
              <w:marRight w:val="0"/>
              <w:marTop w:val="0"/>
              <w:marBottom w:val="0"/>
              <w:divBdr>
                <w:top w:val="none" w:sz="0" w:space="0" w:color="auto"/>
                <w:left w:val="none" w:sz="0" w:space="0" w:color="auto"/>
                <w:bottom w:val="none" w:sz="0" w:space="0" w:color="auto"/>
                <w:right w:val="none" w:sz="0" w:space="0" w:color="auto"/>
              </w:divBdr>
            </w:div>
          </w:divsChild>
        </w:div>
        <w:div w:id="1976135497">
          <w:marLeft w:val="0"/>
          <w:marRight w:val="0"/>
          <w:marTop w:val="0"/>
          <w:marBottom w:val="0"/>
          <w:divBdr>
            <w:top w:val="none" w:sz="0" w:space="0" w:color="auto"/>
            <w:left w:val="none" w:sz="0" w:space="0" w:color="auto"/>
            <w:bottom w:val="none" w:sz="0" w:space="0" w:color="auto"/>
            <w:right w:val="none" w:sz="0" w:space="0" w:color="auto"/>
          </w:divBdr>
          <w:divsChild>
            <w:div w:id="2077239692">
              <w:marLeft w:val="0"/>
              <w:marRight w:val="0"/>
              <w:marTop w:val="0"/>
              <w:marBottom w:val="0"/>
              <w:divBdr>
                <w:top w:val="none" w:sz="0" w:space="0" w:color="auto"/>
                <w:left w:val="none" w:sz="0" w:space="0" w:color="auto"/>
                <w:bottom w:val="none" w:sz="0" w:space="0" w:color="auto"/>
                <w:right w:val="none" w:sz="0" w:space="0" w:color="auto"/>
              </w:divBdr>
            </w:div>
          </w:divsChild>
        </w:div>
        <w:div w:id="1989942289">
          <w:marLeft w:val="0"/>
          <w:marRight w:val="0"/>
          <w:marTop w:val="0"/>
          <w:marBottom w:val="0"/>
          <w:divBdr>
            <w:top w:val="none" w:sz="0" w:space="0" w:color="auto"/>
            <w:left w:val="none" w:sz="0" w:space="0" w:color="auto"/>
            <w:bottom w:val="none" w:sz="0" w:space="0" w:color="auto"/>
            <w:right w:val="none" w:sz="0" w:space="0" w:color="auto"/>
          </w:divBdr>
          <w:divsChild>
            <w:div w:id="15468995">
              <w:marLeft w:val="0"/>
              <w:marRight w:val="0"/>
              <w:marTop w:val="0"/>
              <w:marBottom w:val="0"/>
              <w:divBdr>
                <w:top w:val="none" w:sz="0" w:space="0" w:color="auto"/>
                <w:left w:val="none" w:sz="0" w:space="0" w:color="auto"/>
                <w:bottom w:val="none" w:sz="0" w:space="0" w:color="auto"/>
                <w:right w:val="none" w:sz="0" w:space="0" w:color="auto"/>
              </w:divBdr>
            </w:div>
          </w:divsChild>
        </w:div>
        <w:div w:id="1991442959">
          <w:marLeft w:val="0"/>
          <w:marRight w:val="0"/>
          <w:marTop w:val="0"/>
          <w:marBottom w:val="0"/>
          <w:divBdr>
            <w:top w:val="none" w:sz="0" w:space="0" w:color="auto"/>
            <w:left w:val="none" w:sz="0" w:space="0" w:color="auto"/>
            <w:bottom w:val="none" w:sz="0" w:space="0" w:color="auto"/>
            <w:right w:val="none" w:sz="0" w:space="0" w:color="auto"/>
          </w:divBdr>
          <w:divsChild>
            <w:div w:id="757289889">
              <w:marLeft w:val="0"/>
              <w:marRight w:val="0"/>
              <w:marTop w:val="0"/>
              <w:marBottom w:val="0"/>
              <w:divBdr>
                <w:top w:val="none" w:sz="0" w:space="0" w:color="auto"/>
                <w:left w:val="none" w:sz="0" w:space="0" w:color="auto"/>
                <w:bottom w:val="none" w:sz="0" w:space="0" w:color="auto"/>
                <w:right w:val="none" w:sz="0" w:space="0" w:color="auto"/>
              </w:divBdr>
            </w:div>
          </w:divsChild>
        </w:div>
        <w:div w:id="1997415550">
          <w:marLeft w:val="0"/>
          <w:marRight w:val="0"/>
          <w:marTop w:val="0"/>
          <w:marBottom w:val="0"/>
          <w:divBdr>
            <w:top w:val="none" w:sz="0" w:space="0" w:color="auto"/>
            <w:left w:val="none" w:sz="0" w:space="0" w:color="auto"/>
            <w:bottom w:val="none" w:sz="0" w:space="0" w:color="auto"/>
            <w:right w:val="none" w:sz="0" w:space="0" w:color="auto"/>
          </w:divBdr>
          <w:divsChild>
            <w:div w:id="2135783786">
              <w:marLeft w:val="0"/>
              <w:marRight w:val="0"/>
              <w:marTop w:val="0"/>
              <w:marBottom w:val="0"/>
              <w:divBdr>
                <w:top w:val="none" w:sz="0" w:space="0" w:color="auto"/>
                <w:left w:val="none" w:sz="0" w:space="0" w:color="auto"/>
                <w:bottom w:val="none" w:sz="0" w:space="0" w:color="auto"/>
                <w:right w:val="none" w:sz="0" w:space="0" w:color="auto"/>
              </w:divBdr>
            </w:div>
          </w:divsChild>
        </w:div>
        <w:div w:id="2002271502">
          <w:marLeft w:val="0"/>
          <w:marRight w:val="0"/>
          <w:marTop w:val="0"/>
          <w:marBottom w:val="0"/>
          <w:divBdr>
            <w:top w:val="none" w:sz="0" w:space="0" w:color="auto"/>
            <w:left w:val="none" w:sz="0" w:space="0" w:color="auto"/>
            <w:bottom w:val="none" w:sz="0" w:space="0" w:color="auto"/>
            <w:right w:val="none" w:sz="0" w:space="0" w:color="auto"/>
          </w:divBdr>
          <w:divsChild>
            <w:div w:id="1076127898">
              <w:marLeft w:val="0"/>
              <w:marRight w:val="0"/>
              <w:marTop w:val="0"/>
              <w:marBottom w:val="0"/>
              <w:divBdr>
                <w:top w:val="none" w:sz="0" w:space="0" w:color="auto"/>
                <w:left w:val="none" w:sz="0" w:space="0" w:color="auto"/>
                <w:bottom w:val="none" w:sz="0" w:space="0" w:color="auto"/>
                <w:right w:val="none" w:sz="0" w:space="0" w:color="auto"/>
              </w:divBdr>
            </w:div>
          </w:divsChild>
        </w:div>
        <w:div w:id="2002659192">
          <w:marLeft w:val="0"/>
          <w:marRight w:val="0"/>
          <w:marTop w:val="0"/>
          <w:marBottom w:val="0"/>
          <w:divBdr>
            <w:top w:val="none" w:sz="0" w:space="0" w:color="auto"/>
            <w:left w:val="none" w:sz="0" w:space="0" w:color="auto"/>
            <w:bottom w:val="none" w:sz="0" w:space="0" w:color="auto"/>
            <w:right w:val="none" w:sz="0" w:space="0" w:color="auto"/>
          </w:divBdr>
          <w:divsChild>
            <w:div w:id="1860242793">
              <w:marLeft w:val="0"/>
              <w:marRight w:val="0"/>
              <w:marTop w:val="0"/>
              <w:marBottom w:val="0"/>
              <w:divBdr>
                <w:top w:val="none" w:sz="0" w:space="0" w:color="auto"/>
                <w:left w:val="none" w:sz="0" w:space="0" w:color="auto"/>
                <w:bottom w:val="none" w:sz="0" w:space="0" w:color="auto"/>
                <w:right w:val="none" w:sz="0" w:space="0" w:color="auto"/>
              </w:divBdr>
            </w:div>
          </w:divsChild>
        </w:div>
        <w:div w:id="2003242799">
          <w:marLeft w:val="0"/>
          <w:marRight w:val="0"/>
          <w:marTop w:val="0"/>
          <w:marBottom w:val="0"/>
          <w:divBdr>
            <w:top w:val="none" w:sz="0" w:space="0" w:color="auto"/>
            <w:left w:val="none" w:sz="0" w:space="0" w:color="auto"/>
            <w:bottom w:val="none" w:sz="0" w:space="0" w:color="auto"/>
            <w:right w:val="none" w:sz="0" w:space="0" w:color="auto"/>
          </w:divBdr>
          <w:divsChild>
            <w:div w:id="1872646596">
              <w:marLeft w:val="0"/>
              <w:marRight w:val="0"/>
              <w:marTop w:val="0"/>
              <w:marBottom w:val="0"/>
              <w:divBdr>
                <w:top w:val="none" w:sz="0" w:space="0" w:color="auto"/>
                <w:left w:val="none" w:sz="0" w:space="0" w:color="auto"/>
                <w:bottom w:val="none" w:sz="0" w:space="0" w:color="auto"/>
                <w:right w:val="none" w:sz="0" w:space="0" w:color="auto"/>
              </w:divBdr>
            </w:div>
          </w:divsChild>
        </w:div>
        <w:div w:id="2014142839">
          <w:marLeft w:val="0"/>
          <w:marRight w:val="0"/>
          <w:marTop w:val="0"/>
          <w:marBottom w:val="0"/>
          <w:divBdr>
            <w:top w:val="none" w:sz="0" w:space="0" w:color="auto"/>
            <w:left w:val="none" w:sz="0" w:space="0" w:color="auto"/>
            <w:bottom w:val="none" w:sz="0" w:space="0" w:color="auto"/>
            <w:right w:val="none" w:sz="0" w:space="0" w:color="auto"/>
          </w:divBdr>
          <w:divsChild>
            <w:div w:id="441415404">
              <w:marLeft w:val="0"/>
              <w:marRight w:val="0"/>
              <w:marTop w:val="0"/>
              <w:marBottom w:val="0"/>
              <w:divBdr>
                <w:top w:val="none" w:sz="0" w:space="0" w:color="auto"/>
                <w:left w:val="none" w:sz="0" w:space="0" w:color="auto"/>
                <w:bottom w:val="none" w:sz="0" w:space="0" w:color="auto"/>
                <w:right w:val="none" w:sz="0" w:space="0" w:color="auto"/>
              </w:divBdr>
            </w:div>
          </w:divsChild>
        </w:div>
        <w:div w:id="2023821823">
          <w:marLeft w:val="0"/>
          <w:marRight w:val="0"/>
          <w:marTop w:val="0"/>
          <w:marBottom w:val="0"/>
          <w:divBdr>
            <w:top w:val="none" w:sz="0" w:space="0" w:color="auto"/>
            <w:left w:val="none" w:sz="0" w:space="0" w:color="auto"/>
            <w:bottom w:val="none" w:sz="0" w:space="0" w:color="auto"/>
            <w:right w:val="none" w:sz="0" w:space="0" w:color="auto"/>
          </w:divBdr>
          <w:divsChild>
            <w:div w:id="602034492">
              <w:marLeft w:val="0"/>
              <w:marRight w:val="0"/>
              <w:marTop w:val="0"/>
              <w:marBottom w:val="0"/>
              <w:divBdr>
                <w:top w:val="none" w:sz="0" w:space="0" w:color="auto"/>
                <w:left w:val="none" w:sz="0" w:space="0" w:color="auto"/>
                <w:bottom w:val="none" w:sz="0" w:space="0" w:color="auto"/>
                <w:right w:val="none" w:sz="0" w:space="0" w:color="auto"/>
              </w:divBdr>
            </w:div>
          </w:divsChild>
        </w:div>
        <w:div w:id="2027245168">
          <w:marLeft w:val="0"/>
          <w:marRight w:val="0"/>
          <w:marTop w:val="0"/>
          <w:marBottom w:val="0"/>
          <w:divBdr>
            <w:top w:val="none" w:sz="0" w:space="0" w:color="auto"/>
            <w:left w:val="none" w:sz="0" w:space="0" w:color="auto"/>
            <w:bottom w:val="none" w:sz="0" w:space="0" w:color="auto"/>
            <w:right w:val="none" w:sz="0" w:space="0" w:color="auto"/>
          </w:divBdr>
          <w:divsChild>
            <w:div w:id="126822272">
              <w:marLeft w:val="0"/>
              <w:marRight w:val="0"/>
              <w:marTop w:val="0"/>
              <w:marBottom w:val="0"/>
              <w:divBdr>
                <w:top w:val="none" w:sz="0" w:space="0" w:color="auto"/>
                <w:left w:val="none" w:sz="0" w:space="0" w:color="auto"/>
                <w:bottom w:val="none" w:sz="0" w:space="0" w:color="auto"/>
                <w:right w:val="none" w:sz="0" w:space="0" w:color="auto"/>
              </w:divBdr>
            </w:div>
          </w:divsChild>
        </w:div>
        <w:div w:id="2030330530">
          <w:marLeft w:val="0"/>
          <w:marRight w:val="0"/>
          <w:marTop w:val="0"/>
          <w:marBottom w:val="0"/>
          <w:divBdr>
            <w:top w:val="none" w:sz="0" w:space="0" w:color="auto"/>
            <w:left w:val="none" w:sz="0" w:space="0" w:color="auto"/>
            <w:bottom w:val="none" w:sz="0" w:space="0" w:color="auto"/>
            <w:right w:val="none" w:sz="0" w:space="0" w:color="auto"/>
          </w:divBdr>
          <w:divsChild>
            <w:div w:id="347828839">
              <w:marLeft w:val="0"/>
              <w:marRight w:val="0"/>
              <w:marTop w:val="0"/>
              <w:marBottom w:val="0"/>
              <w:divBdr>
                <w:top w:val="none" w:sz="0" w:space="0" w:color="auto"/>
                <w:left w:val="none" w:sz="0" w:space="0" w:color="auto"/>
                <w:bottom w:val="none" w:sz="0" w:space="0" w:color="auto"/>
                <w:right w:val="none" w:sz="0" w:space="0" w:color="auto"/>
              </w:divBdr>
            </w:div>
          </w:divsChild>
        </w:div>
        <w:div w:id="2032416687">
          <w:marLeft w:val="0"/>
          <w:marRight w:val="0"/>
          <w:marTop w:val="0"/>
          <w:marBottom w:val="0"/>
          <w:divBdr>
            <w:top w:val="none" w:sz="0" w:space="0" w:color="auto"/>
            <w:left w:val="none" w:sz="0" w:space="0" w:color="auto"/>
            <w:bottom w:val="none" w:sz="0" w:space="0" w:color="auto"/>
            <w:right w:val="none" w:sz="0" w:space="0" w:color="auto"/>
          </w:divBdr>
          <w:divsChild>
            <w:div w:id="2084986302">
              <w:marLeft w:val="0"/>
              <w:marRight w:val="0"/>
              <w:marTop w:val="0"/>
              <w:marBottom w:val="0"/>
              <w:divBdr>
                <w:top w:val="none" w:sz="0" w:space="0" w:color="auto"/>
                <w:left w:val="none" w:sz="0" w:space="0" w:color="auto"/>
                <w:bottom w:val="none" w:sz="0" w:space="0" w:color="auto"/>
                <w:right w:val="none" w:sz="0" w:space="0" w:color="auto"/>
              </w:divBdr>
            </w:div>
          </w:divsChild>
        </w:div>
        <w:div w:id="2040083856">
          <w:marLeft w:val="0"/>
          <w:marRight w:val="0"/>
          <w:marTop w:val="0"/>
          <w:marBottom w:val="0"/>
          <w:divBdr>
            <w:top w:val="none" w:sz="0" w:space="0" w:color="auto"/>
            <w:left w:val="none" w:sz="0" w:space="0" w:color="auto"/>
            <w:bottom w:val="none" w:sz="0" w:space="0" w:color="auto"/>
            <w:right w:val="none" w:sz="0" w:space="0" w:color="auto"/>
          </w:divBdr>
          <w:divsChild>
            <w:div w:id="474563348">
              <w:marLeft w:val="0"/>
              <w:marRight w:val="0"/>
              <w:marTop w:val="0"/>
              <w:marBottom w:val="0"/>
              <w:divBdr>
                <w:top w:val="none" w:sz="0" w:space="0" w:color="auto"/>
                <w:left w:val="none" w:sz="0" w:space="0" w:color="auto"/>
                <w:bottom w:val="none" w:sz="0" w:space="0" w:color="auto"/>
                <w:right w:val="none" w:sz="0" w:space="0" w:color="auto"/>
              </w:divBdr>
            </w:div>
          </w:divsChild>
        </w:div>
        <w:div w:id="2043365002">
          <w:marLeft w:val="0"/>
          <w:marRight w:val="0"/>
          <w:marTop w:val="0"/>
          <w:marBottom w:val="0"/>
          <w:divBdr>
            <w:top w:val="none" w:sz="0" w:space="0" w:color="auto"/>
            <w:left w:val="none" w:sz="0" w:space="0" w:color="auto"/>
            <w:bottom w:val="none" w:sz="0" w:space="0" w:color="auto"/>
            <w:right w:val="none" w:sz="0" w:space="0" w:color="auto"/>
          </w:divBdr>
          <w:divsChild>
            <w:div w:id="450323209">
              <w:marLeft w:val="0"/>
              <w:marRight w:val="0"/>
              <w:marTop w:val="0"/>
              <w:marBottom w:val="0"/>
              <w:divBdr>
                <w:top w:val="none" w:sz="0" w:space="0" w:color="auto"/>
                <w:left w:val="none" w:sz="0" w:space="0" w:color="auto"/>
                <w:bottom w:val="none" w:sz="0" w:space="0" w:color="auto"/>
                <w:right w:val="none" w:sz="0" w:space="0" w:color="auto"/>
              </w:divBdr>
            </w:div>
          </w:divsChild>
        </w:div>
        <w:div w:id="2048021862">
          <w:marLeft w:val="0"/>
          <w:marRight w:val="0"/>
          <w:marTop w:val="0"/>
          <w:marBottom w:val="0"/>
          <w:divBdr>
            <w:top w:val="none" w:sz="0" w:space="0" w:color="auto"/>
            <w:left w:val="none" w:sz="0" w:space="0" w:color="auto"/>
            <w:bottom w:val="none" w:sz="0" w:space="0" w:color="auto"/>
            <w:right w:val="none" w:sz="0" w:space="0" w:color="auto"/>
          </w:divBdr>
          <w:divsChild>
            <w:div w:id="1417481737">
              <w:marLeft w:val="0"/>
              <w:marRight w:val="0"/>
              <w:marTop w:val="0"/>
              <w:marBottom w:val="0"/>
              <w:divBdr>
                <w:top w:val="none" w:sz="0" w:space="0" w:color="auto"/>
                <w:left w:val="none" w:sz="0" w:space="0" w:color="auto"/>
                <w:bottom w:val="none" w:sz="0" w:space="0" w:color="auto"/>
                <w:right w:val="none" w:sz="0" w:space="0" w:color="auto"/>
              </w:divBdr>
            </w:div>
          </w:divsChild>
        </w:div>
        <w:div w:id="2054187971">
          <w:marLeft w:val="0"/>
          <w:marRight w:val="0"/>
          <w:marTop w:val="0"/>
          <w:marBottom w:val="0"/>
          <w:divBdr>
            <w:top w:val="none" w:sz="0" w:space="0" w:color="auto"/>
            <w:left w:val="none" w:sz="0" w:space="0" w:color="auto"/>
            <w:bottom w:val="none" w:sz="0" w:space="0" w:color="auto"/>
            <w:right w:val="none" w:sz="0" w:space="0" w:color="auto"/>
          </w:divBdr>
          <w:divsChild>
            <w:div w:id="727337242">
              <w:marLeft w:val="0"/>
              <w:marRight w:val="0"/>
              <w:marTop w:val="0"/>
              <w:marBottom w:val="0"/>
              <w:divBdr>
                <w:top w:val="none" w:sz="0" w:space="0" w:color="auto"/>
                <w:left w:val="none" w:sz="0" w:space="0" w:color="auto"/>
                <w:bottom w:val="none" w:sz="0" w:space="0" w:color="auto"/>
                <w:right w:val="none" w:sz="0" w:space="0" w:color="auto"/>
              </w:divBdr>
            </w:div>
          </w:divsChild>
        </w:div>
        <w:div w:id="2067676490">
          <w:marLeft w:val="0"/>
          <w:marRight w:val="0"/>
          <w:marTop w:val="0"/>
          <w:marBottom w:val="0"/>
          <w:divBdr>
            <w:top w:val="none" w:sz="0" w:space="0" w:color="auto"/>
            <w:left w:val="none" w:sz="0" w:space="0" w:color="auto"/>
            <w:bottom w:val="none" w:sz="0" w:space="0" w:color="auto"/>
            <w:right w:val="none" w:sz="0" w:space="0" w:color="auto"/>
          </w:divBdr>
          <w:divsChild>
            <w:div w:id="1920165768">
              <w:marLeft w:val="0"/>
              <w:marRight w:val="0"/>
              <w:marTop w:val="0"/>
              <w:marBottom w:val="0"/>
              <w:divBdr>
                <w:top w:val="none" w:sz="0" w:space="0" w:color="auto"/>
                <w:left w:val="none" w:sz="0" w:space="0" w:color="auto"/>
                <w:bottom w:val="none" w:sz="0" w:space="0" w:color="auto"/>
                <w:right w:val="none" w:sz="0" w:space="0" w:color="auto"/>
              </w:divBdr>
            </w:div>
          </w:divsChild>
        </w:div>
        <w:div w:id="2082406994">
          <w:marLeft w:val="0"/>
          <w:marRight w:val="0"/>
          <w:marTop w:val="0"/>
          <w:marBottom w:val="0"/>
          <w:divBdr>
            <w:top w:val="none" w:sz="0" w:space="0" w:color="auto"/>
            <w:left w:val="none" w:sz="0" w:space="0" w:color="auto"/>
            <w:bottom w:val="none" w:sz="0" w:space="0" w:color="auto"/>
            <w:right w:val="none" w:sz="0" w:space="0" w:color="auto"/>
          </w:divBdr>
          <w:divsChild>
            <w:div w:id="390076741">
              <w:marLeft w:val="0"/>
              <w:marRight w:val="0"/>
              <w:marTop w:val="0"/>
              <w:marBottom w:val="0"/>
              <w:divBdr>
                <w:top w:val="none" w:sz="0" w:space="0" w:color="auto"/>
                <w:left w:val="none" w:sz="0" w:space="0" w:color="auto"/>
                <w:bottom w:val="none" w:sz="0" w:space="0" w:color="auto"/>
                <w:right w:val="none" w:sz="0" w:space="0" w:color="auto"/>
              </w:divBdr>
            </w:div>
          </w:divsChild>
        </w:div>
        <w:div w:id="2101639980">
          <w:marLeft w:val="0"/>
          <w:marRight w:val="0"/>
          <w:marTop w:val="0"/>
          <w:marBottom w:val="0"/>
          <w:divBdr>
            <w:top w:val="none" w:sz="0" w:space="0" w:color="auto"/>
            <w:left w:val="none" w:sz="0" w:space="0" w:color="auto"/>
            <w:bottom w:val="none" w:sz="0" w:space="0" w:color="auto"/>
            <w:right w:val="none" w:sz="0" w:space="0" w:color="auto"/>
          </w:divBdr>
          <w:divsChild>
            <w:div w:id="1812869347">
              <w:marLeft w:val="0"/>
              <w:marRight w:val="0"/>
              <w:marTop w:val="0"/>
              <w:marBottom w:val="0"/>
              <w:divBdr>
                <w:top w:val="none" w:sz="0" w:space="0" w:color="auto"/>
                <w:left w:val="none" w:sz="0" w:space="0" w:color="auto"/>
                <w:bottom w:val="none" w:sz="0" w:space="0" w:color="auto"/>
                <w:right w:val="none" w:sz="0" w:space="0" w:color="auto"/>
              </w:divBdr>
            </w:div>
          </w:divsChild>
        </w:div>
        <w:div w:id="2126076192">
          <w:marLeft w:val="0"/>
          <w:marRight w:val="0"/>
          <w:marTop w:val="0"/>
          <w:marBottom w:val="0"/>
          <w:divBdr>
            <w:top w:val="none" w:sz="0" w:space="0" w:color="auto"/>
            <w:left w:val="none" w:sz="0" w:space="0" w:color="auto"/>
            <w:bottom w:val="none" w:sz="0" w:space="0" w:color="auto"/>
            <w:right w:val="none" w:sz="0" w:space="0" w:color="auto"/>
          </w:divBdr>
          <w:divsChild>
            <w:div w:id="1290865358">
              <w:marLeft w:val="0"/>
              <w:marRight w:val="0"/>
              <w:marTop w:val="0"/>
              <w:marBottom w:val="0"/>
              <w:divBdr>
                <w:top w:val="none" w:sz="0" w:space="0" w:color="auto"/>
                <w:left w:val="none" w:sz="0" w:space="0" w:color="auto"/>
                <w:bottom w:val="none" w:sz="0" w:space="0" w:color="auto"/>
                <w:right w:val="none" w:sz="0" w:space="0" w:color="auto"/>
              </w:divBdr>
            </w:div>
          </w:divsChild>
        </w:div>
        <w:div w:id="2126847407">
          <w:marLeft w:val="0"/>
          <w:marRight w:val="0"/>
          <w:marTop w:val="0"/>
          <w:marBottom w:val="0"/>
          <w:divBdr>
            <w:top w:val="none" w:sz="0" w:space="0" w:color="auto"/>
            <w:left w:val="none" w:sz="0" w:space="0" w:color="auto"/>
            <w:bottom w:val="none" w:sz="0" w:space="0" w:color="auto"/>
            <w:right w:val="none" w:sz="0" w:space="0" w:color="auto"/>
          </w:divBdr>
          <w:divsChild>
            <w:div w:id="1849364574">
              <w:marLeft w:val="0"/>
              <w:marRight w:val="0"/>
              <w:marTop w:val="0"/>
              <w:marBottom w:val="0"/>
              <w:divBdr>
                <w:top w:val="none" w:sz="0" w:space="0" w:color="auto"/>
                <w:left w:val="none" w:sz="0" w:space="0" w:color="auto"/>
                <w:bottom w:val="none" w:sz="0" w:space="0" w:color="auto"/>
                <w:right w:val="none" w:sz="0" w:space="0" w:color="auto"/>
              </w:divBdr>
            </w:div>
          </w:divsChild>
        </w:div>
        <w:div w:id="2130272969">
          <w:marLeft w:val="0"/>
          <w:marRight w:val="0"/>
          <w:marTop w:val="0"/>
          <w:marBottom w:val="0"/>
          <w:divBdr>
            <w:top w:val="none" w:sz="0" w:space="0" w:color="auto"/>
            <w:left w:val="none" w:sz="0" w:space="0" w:color="auto"/>
            <w:bottom w:val="none" w:sz="0" w:space="0" w:color="auto"/>
            <w:right w:val="none" w:sz="0" w:space="0" w:color="auto"/>
          </w:divBdr>
          <w:divsChild>
            <w:div w:id="719744887">
              <w:marLeft w:val="0"/>
              <w:marRight w:val="0"/>
              <w:marTop w:val="0"/>
              <w:marBottom w:val="0"/>
              <w:divBdr>
                <w:top w:val="none" w:sz="0" w:space="0" w:color="auto"/>
                <w:left w:val="none" w:sz="0" w:space="0" w:color="auto"/>
                <w:bottom w:val="none" w:sz="0" w:space="0" w:color="auto"/>
                <w:right w:val="none" w:sz="0" w:space="0" w:color="auto"/>
              </w:divBdr>
            </w:div>
            <w:div w:id="1234513439">
              <w:marLeft w:val="0"/>
              <w:marRight w:val="0"/>
              <w:marTop w:val="0"/>
              <w:marBottom w:val="0"/>
              <w:divBdr>
                <w:top w:val="none" w:sz="0" w:space="0" w:color="auto"/>
                <w:left w:val="none" w:sz="0" w:space="0" w:color="auto"/>
                <w:bottom w:val="none" w:sz="0" w:space="0" w:color="auto"/>
                <w:right w:val="none" w:sz="0" w:space="0" w:color="auto"/>
              </w:divBdr>
            </w:div>
            <w:div w:id="1795053508">
              <w:marLeft w:val="0"/>
              <w:marRight w:val="0"/>
              <w:marTop w:val="0"/>
              <w:marBottom w:val="0"/>
              <w:divBdr>
                <w:top w:val="none" w:sz="0" w:space="0" w:color="auto"/>
                <w:left w:val="none" w:sz="0" w:space="0" w:color="auto"/>
                <w:bottom w:val="none" w:sz="0" w:space="0" w:color="auto"/>
                <w:right w:val="none" w:sz="0" w:space="0" w:color="auto"/>
              </w:divBdr>
            </w:div>
          </w:divsChild>
        </w:div>
        <w:div w:id="2139489917">
          <w:marLeft w:val="0"/>
          <w:marRight w:val="0"/>
          <w:marTop w:val="0"/>
          <w:marBottom w:val="0"/>
          <w:divBdr>
            <w:top w:val="none" w:sz="0" w:space="0" w:color="auto"/>
            <w:left w:val="none" w:sz="0" w:space="0" w:color="auto"/>
            <w:bottom w:val="none" w:sz="0" w:space="0" w:color="auto"/>
            <w:right w:val="none" w:sz="0" w:space="0" w:color="auto"/>
          </w:divBdr>
          <w:divsChild>
            <w:div w:id="387843165">
              <w:marLeft w:val="0"/>
              <w:marRight w:val="0"/>
              <w:marTop w:val="0"/>
              <w:marBottom w:val="0"/>
              <w:divBdr>
                <w:top w:val="none" w:sz="0" w:space="0" w:color="auto"/>
                <w:left w:val="none" w:sz="0" w:space="0" w:color="auto"/>
                <w:bottom w:val="none" w:sz="0" w:space="0" w:color="auto"/>
                <w:right w:val="none" w:sz="0" w:space="0" w:color="auto"/>
              </w:divBdr>
            </w:div>
          </w:divsChild>
        </w:div>
        <w:div w:id="2139912537">
          <w:marLeft w:val="0"/>
          <w:marRight w:val="0"/>
          <w:marTop w:val="0"/>
          <w:marBottom w:val="0"/>
          <w:divBdr>
            <w:top w:val="none" w:sz="0" w:space="0" w:color="auto"/>
            <w:left w:val="none" w:sz="0" w:space="0" w:color="auto"/>
            <w:bottom w:val="none" w:sz="0" w:space="0" w:color="auto"/>
            <w:right w:val="none" w:sz="0" w:space="0" w:color="auto"/>
          </w:divBdr>
          <w:divsChild>
            <w:div w:id="124899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5849">
      <w:bodyDiv w:val="1"/>
      <w:marLeft w:val="0"/>
      <w:marRight w:val="0"/>
      <w:marTop w:val="0"/>
      <w:marBottom w:val="0"/>
      <w:divBdr>
        <w:top w:val="none" w:sz="0" w:space="0" w:color="auto"/>
        <w:left w:val="none" w:sz="0" w:space="0" w:color="auto"/>
        <w:bottom w:val="none" w:sz="0" w:space="0" w:color="auto"/>
        <w:right w:val="none" w:sz="0" w:space="0" w:color="auto"/>
      </w:divBdr>
    </w:div>
    <w:div w:id="1310597099">
      <w:bodyDiv w:val="1"/>
      <w:marLeft w:val="0"/>
      <w:marRight w:val="0"/>
      <w:marTop w:val="0"/>
      <w:marBottom w:val="0"/>
      <w:divBdr>
        <w:top w:val="none" w:sz="0" w:space="0" w:color="auto"/>
        <w:left w:val="none" w:sz="0" w:space="0" w:color="auto"/>
        <w:bottom w:val="none" w:sz="0" w:space="0" w:color="auto"/>
        <w:right w:val="none" w:sz="0" w:space="0" w:color="auto"/>
      </w:divBdr>
    </w:div>
    <w:div w:id="1340962406">
      <w:bodyDiv w:val="1"/>
      <w:marLeft w:val="0"/>
      <w:marRight w:val="0"/>
      <w:marTop w:val="0"/>
      <w:marBottom w:val="0"/>
      <w:divBdr>
        <w:top w:val="none" w:sz="0" w:space="0" w:color="auto"/>
        <w:left w:val="none" w:sz="0" w:space="0" w:color="auto"/>
        <w:bottom w:val="none" w:sz="0" w:space="0" w:color="auto"/>
        <w:right w:val="none" w:sz="0" w:space="0" w:color="auto"/>
      </w:divBdr>
    </w:div>
    <w:div w:id="1351882320">
      <w:bodyDiv w:val="1"/>
      <w:marLeft w:val="0"/>
      <w:marRight w:val="0"/>
      <w:marTop w:val="0"/>
      <w:marBottom w:val="0"/>
      <w:divBdr>
        <w:top w:val="none" w:sz="0" w:space="0" w:color="auto"/>
        <w:left w:val="none" w:sz="0" w:space="0" w:color="auto"/>
        <w:bottom w:val="none" w:sz="0" w:space="0" w:color="auto"/>
        <w:right w:val="none" w:sz="0" w:space="0" w:color="auto"/>
      </w:divBdr>
    </w:div>
    <w:div w:id="1365792483">
      <w:bodyDiv w:val="1"/>
      <w:marLeft w:val="0"/>
      <w:marRight w:val="0"/>
      <w:marTop w:val="0"/>
      <w:marBottom w:val="0"/>
      <w:divBdr>
        <w:top w:val="none" w:sz="0" w:space="0" w:color="auto"/>
        <w:left w:val="none" w:sz="0" w:space="0" w:color="auto"/>
        <w:bottom w:val="none" w:sz="0" w:space="0" w:color="auto"/>
        <w:right w:val="none" w:sz="0" w:space="0" w:color="auto"/>
      </w:divBdr>
    </w:div>
    <w:div w:id="1371372842">
      <w:bodyDiv w:val="1"/>
      <w:marLeft w:val="0"/>
      <w:marRight w:val="0"/>
      <w:marTop w:val="0"/>
      <w:marBottom w:val="0"/>
      <w:divBdr>
        <w:top w:val="none" w:sz="0" w:space="0" w:color="auto"/>
        <w:left w:val="none" w:sz="0" w:space="0" w:color="auto"/>
        <w:bottom w:val="none" w:sz="0" w:space="0" w:color="auto"/>
        <w:right w:val="none" w:sz="0" w:space="0" w:color="auto"/>
      </w:divBdr>
    </w:div>
    <w:div w:id="1372536784">
      <w:bodyDiv w:val="1"/>
      <w:marLeft w:val="0"/>
      <w:marRight w:val="0"/>
      <w:marTop w:val="0"/>
      <w:marBottom w:val="0"/>
      <w:divBdr>
        <w:top w:val="none" w:sz="0" w:space="0" w:color="auto"/>
        <w:left w:val="none" w:sz="0" w:space="0" w:color="auto"/>
        <w:bottom w:val="none" w:sz="0" w:space="0" w:color="auto"/>
        <w:right w:val="none" w:sz="0" w:space="0" w:color="auto"/>
      </w:divBdr>
    </w:div>
    <w:div w:id="1378772555">
      <w:bodyDiv w:val="1"/>
      <w:marLeft w:val="0"/>
      <w:marRight w:val="0"/>
      <w:marTop w:val="0"/>
      <w:marBottom w:val="0"/>
      <w:divBdr>
        <w:top w:val="none" w:sz="0" w:space="0" w:color="auto"/>
        <w:left w:val="none" w:sz="0" w:space="0" w:color="auto"/>
        <w:bottom w:val="none" w:sz="0" w:space="0" w:color="auto"/>
        <w:right w:val="none" w:sz="0" w:space="0" w:color="auto"/>
      </w:divBdr>
    </w:div>
    <w:div w:id="1380589361">
      <w:bodyDiv w:val="1"/>
      <w:marLeft w:val="0"/>
      <w:marRight w:val="0"/>
      <w:marTop w:val="0"/>
      <w:marBottom w:val="0"/>
      <w:divBdr>
        <w:top w:val="none" w:sz="0" w:space="0" w:color="auto"/>
        <w:left w:val="none" w:sz="0" w:space="0" w:color="auto"/>
        <w:bottom w:val="none" w:sz="0" w:space="0" w:color="auto"/>
        <w:right w:val="none" w:sz="0" w:space="0" w:color="auto"/>
      </w:divBdr>
    </w:div>
    <w:div w:id="1384257656">
      <w:bodyDiv w:val="1"/>
      <w:marLeft w:val="0"/>
      <w:marRight w:val="0"/>
      <w:marTop w:val="0"/>
      <w:marBottom w:val="0"/>
      <w:divBdr>
        <w:top w:val="none" w:sz="0" w:space="0" w:color="auto"/>
        <w:left w:val="none" w:sz="0" w:space="0" w:color="auto"/>
        <w:bottom w:val="none" w:sz="0" w:space="0" w:color="auto"/>
        <w:right w:val="none" w:sz="0" w:space="0" w:color="auto"/>
      </w:divBdr>
    </w:div>
    <w:div w:id="1386022387">
      <w:bodyDiv w:val="1"/>
      <w:marLeft w:val="0"/>
      <w:marRight w:val="0"/>
      <w:marTop w:val="0"/>
      <w:marBottom w:val="0"/>
      <w:divBdr>
        <w:top w:val="none" w:sz="0" w:space="0" w:color="auto"/>
        <w:left w:val="none" w:sz="0" w:space="0" w:color="auto"/>
        <w:bottom w:val="none" w:sz="0" w:space="0" w:color="auto"/>
        <w:right w:val="none" w:sz="0" w:space="0" w:color="auto"/>
      </w:divBdr>
    </w:div>
    <w:div w:id="1389914183">
      <w:bodyDiv w:val="1"/>
      <w:marLeft w:val="0"/>
      <w:marRight w:val="0"/>
      <w:marTop w:val="0"/>
      <w:marBottom w:val="0"/>
      <w:divBdr>
        <w:top w:val="none" w:sz="0" w:space="0" w:color="auto"/>
        <w:left w:val="none" w:sz="0" w:space="0" w:color="auto"/>
        <w:bottom w:val="none" w:sz="0" w:space="0" w:color="auto"/>
        <w:right w:val="none" w:sz="0" w:space="0" w:color="auto"/>
      </w:divBdr>
    </w:div>
    <w:div w:id="1394112805">
      <w:bodyDiv w:val="1"/>
      <w:marLeft w:val="0"/>
      <w:marRight w:val="0"/>
      <w:marTop w:val="0"/>
      <w:marBottom w:val="0"/>
      <w:divBdr>
        <w:top w:val="none" w:sz="0" w:space="0" w:color="auto"/>
        <w:left w:val="none" w:sz="0" w:space="0" w:color="auto"/>
        <w:bottom w:val="none" w:sz="0" w:space="0" w:color="auto"/>
        <w:right w:val="none" w:sz="0" w:space="0" w:color="auto"/>
      </w:divBdr>
    </w:div>
    <w:div w:id="1430813288">
      <w:bodyDiv w:val="1"/>
      <w:marLeft w:val="0"/>
      <w:marRight w:val="0"/>
      <w:marTop w:val="0"/>
      <w:marBottom w:val="0"/>
      <w:divBdr>
        <w:top w:val="none" w:sz="0" w:space="0" w:color="auto"/>
        <w:left w:val="none" w:sz="0" w:space="0" w:color="auto"/>
        <w:bottom w:val="none" w:sz="0" w:space="0" w:color="auto"/>
        <w:right w:val="none" w:sz="0" w:space="0" w:color="auto"/>
      </w:divBdr>
    </w:div>
    <w:div w:id="1433159422">
      <w:bodyDiv w:val="1"/>
      <w:marLeft w:val="0"/>
      <w:marRight w:val="0"/>
      <w:marTop w:val="0"/>
      <w:marBottom w:val="0"/>
      <w:divBdr>
        <w:top w:val="none" w:sz="0" w:space="0" w:color="auto"/>
        <w:left w:val="none" w:sz="0" w:space="0" w:color="auto"/>
        <w:bottom w:val="none" w:sz="0" w:space="0" w:color="auto"/>
        <w:right w:val="none" w:sz="0" w:space="0" w:color="auto"/>
      </w:divBdr>
    </w:div>
    <w:div w:id="1436756214">
      <w:bodyDiv w:val="1"/>
      <w:marLeft w:val="0"/>
      <w:marRight w:val="0"/>
      <w:marTop w:val="0"/>
      <w:marBottom w:val="0"/>
      <w:divBdr>
        <w:top w:val="none" w:sz="0" w:space="0" w:color="auto"/>
        <w:left w:val="none" w:sz="0" w:space="0" w:color="auto"/>
        <w:bottom w:val="none" w:sz="0" w:space="0" w:color="auto"/>
        <w:right w:val="none" w:sz="0" w:space="0" w:color="auto"/>
      </w:divBdr>
    </w:div>
    <w:div w:id="1453551199">
      <w:bodyDiv w:val="1"/>
      <w:marLeft w:val="0"/>
      <w:marRight w:val="0"/>
      <w:marTop w:val="0"/>
      <w:marBottom w:val="0"/>
      <w:divBdr>
        <w:top w:val="none" w:sz="0" w:space="0" w:color="auto"/>
        <w:left w:val="none" w:sz="0" w:space="0" w:color="auto"/>
        <w:bottom w:val="none" w:sz="0" w:space="0" w:color="auto"/>
        <w:right w:val="none" w:sz="0" w:space="0" w:color="auto"/>
      </w:divBdr>
      <w:divsChild>
        <w:div w:id="346637446">
          <w:marLeft w:val="0"/>
          <w:marRight w:val="0"/>
          <w:marTop w:val="0"/>
          <w:marBottom w:val="0"/>
          <w:divBdr>
            <w:top w:val="none" w:sz="0" w:space="0" w:color="auto"/>
            <w:left w:val="none" w:sz="0" w:space="0" w:color="auto"/>
            <w:bottom w:val="none" w:sz="0" w:space="0" w:color="auto"/>
            <w:right w:val="none" w:sz="0" w:space="0" w:color="auto"/>
          </w:divBdr>
        </w:div>
        <w:div w:id="482086193">
          <w:marLeft w:val="0"/>
          <w:marRight w:val="0"/>
          <w:marTop w:val="0"/>
          <w:marBottom w:val="0"/>
          <w:divBdr>
            <w:top w:val="none" w:sz="0" w:space="0" w:color="auto"/>
            <w:left w:val="none" w:sz="0" w:space="0" w:color="auto"/>
            <w:bottom w:val="none" w:sz="0" w:space="0" w:color="auto"/>
            <w:right w:val="none" w:sz="0" w:space="0" w:color="auto"/>
          </w:divBdr>
        </w:div>
        <w:div w:id="671643323">
          <w:marLeft w:val="0"/>
          <w:marRight w:val="0"/>
          <w:marTop w:val="0"/>
          <w:marBottom w:val="0"/>
          <w:divBdr>
            <w:top w:val="none" w:sz="0" w:space="0" w:color="auto"/>
            <w:left w:val="none" w:sz="0" w:space="0" w:color="auto"/>
            <w:bottom w:val="none" w:sz="0" w:space="0" w:color="auto"/>
            <w:right w:val="none" w:sz="0" w:space="0" w:color="auto"/>
          </w:divBdr>
        </w:div>
      </w:divsChild>
    </w:div>
    <w:div w:id="1471901467">
      <w:bodyDiv w:val="1"/>
      <w:marLeft w:val="0"/>
      <w:marRight w:val="0"/>
      <w:marTop w:val="0"/>
      <w:marBottom w:val="0"/>
      <w:divBdr>
        <w:top w:val="none" w:sz="0" w:space="0" w:color="auto"/>
        <w:left w:val="none" w:sz="0" w:space="0" w:color="auto"/>
        <w:bottom w:val="none" w:sz="0" w:space="0" w:color="auto"/>
        <w:right w:val="none" w:sz="0" w:space="0" w:color="auto"/>
      </w:divBdr>
    </w:div>
    <w:div w:id="1483042159">
      <w:bodyDiv w:val="1"/>
      <w:marLeft w:val="0"/>
      <w:marRight w:val="0"/>
      <w:marTop w:val="0"/>
      <w:marBottom w:val="0"/>
      <w:divBdr>
        <w:top w:val="none" w:sz="0" w:space="0" w:color="auto"/>
        <w:left w:val="none" w:sz="0" w:space="0" w:color="auto"/>
        <w:bottom w:val="none" w:sz="0" w:space="0" w:color="auto"/>
        <w:right w:val="none" w:sz="0" w:space="0" w:color="auto"/>
      </w:divBdr>
    </w:div>
    <w:div w:id="1499274337">
      <w:bodyDiv w:val="1"/>
      <w:marLeft w:val="0"/>
      <w:marRight w:val="0"/>
      <w:marTop w:val="0"/>
      <w:marBottom w:val="0"/>
      <w:divBdr>
        <w:top w:val="none" w:sz="0" w:space="0" w:color="auto"/>
        <w:left w:val="none" w:sz="0" w:space="0" w:color="auto"/>
        <w:bottom w:val="none" w:sz="0" w:space="0" w:color="auto"/>
        <w:right w:val="none" w:sz="0" w:space="0" w:color="auto"/>
      </w:divBdr>
    </w:div>
    <w:div w:id="1501191294">
      <w:bodyDiv w:val="1"/>
      <w:marLeft w:val="0"/>
      <w:marRight w:val="0"/>
      <w:marTop w:val="0"/>
      <w:marBottom w:val="0"/>
      <w:divBdr>
        <w:top w:val="none" w:sz="0" w:space="0" w:color="auto"/>
        <w:left w:val="none" w:sz="0" w:space="0" w:color="auto"/>
        <w:bottom w:val="none" w:sz="0" w:space="0" w:color="auto"/>
        <w:right w:val="none" w:sz="0" w:space="0" w:color="auto"/>
      </w:divBdr>
    </w:div>
    <w:div w:id="1505122565">
      <w:bodyDiv w:val="1"/>
      <w:marLeft w:val="0"/>
      <w:marRight w:val="0"/>
      <w:marTop w:val="0"/>
      <w:marBottom w:val="0"/>
      <w:divBdr>
        <w:top w:val="none" w:sz="0" w:space="0" w:color="auto"/>
        <w:left w:val="none" w:sz="0" w:space="0" w:color="auto"/>
        <w:bottom w:val="none" w:sz="0" w:space="0" w:color="auto"/>
        <w:right w:val="none" w:sz="0" w:space="0" w:color="auto"/>
      </w:divBdr>
    </w:div>
    <w:div w:id="1509981283">
      <w:bodyDiv w:val="1"/>
      <w:marLeft w:val="0"/>
      <w:marRight w:val="0"/>
      <w:marTop w:val="0"/>
      <w:marBottom w:val="0"/>
      <w:divBdr>
        <w:top w:val="none" w:sz="0" w:space="0" w:color="auto"/>
        <w:left w:val="none" w:sz="0" w:space="0" w:color="auto"/>
        <w:bottom w:val="none" w:sz="0" w:space="0" w:color="auto"/>
        <w:right w:val="none" w:sz="0" w:space="0" w:color="auto"/>
      </w:divBdr>
    </w:div>
    <w:div w:id="1516847109">
      <w:bodyDiv w:val="1"/>
      <w:marLeft w:val="0"/>
      <w:marRight w:val="0"/>
      <w:marTop w:val="0"/>
      <w:marBottom w:val="0"/>
      <w:divBdr>
        <w:top w:val="none" w:sz="0" w:space="0" w:color="auto"/>
        <w:left w:val="none" w:sz="0" w:space="0" w:color="auto"/>
        <w:bottom w:val="none" w:sz="0" w:space="0" w:color="auto"/>
        <w:right w:val="none" w:sz="0" w:space="0" w:color="auto"/>
      </w:divBdr>
    </w:div>
    <w:div w:id="1520003169">
      <w:bodyDiv w:val="1"/>
      <w:marLeft w:val="0"/>
      <w:marRight w:val="0"/>
      <w:marTop w:val="0"/>
      <w:marBottom w:val="0"/>
      <w:divBdr>
        <w:top w:val="none" w:sz="0" w:space="0" w:color="auto"/>
        <w:left w:val="none" w:sz="0" w:space="0" w:color="auto"/>
        <w:bottom w:val="none" w:sz="0" w:space="0" w:color="auto"/>
        <w:right w:val="none" w:sz="0" w:space="0" w:color="auto"/>
      </w:divBdr>
    </w:div>
    <w:div w:id="1525052297">
      <w:bodyDiv w:val="1"/>
      <w:marLeft w:val="0"/>
      <w:marRight w:val="0"/>
      <w:marTop w:val="0"/>
      <w:marBottom w:val="0"/>
      <w:divBdr>
        <w:top w:val="none" w:sz="0" w:space="0" w:color="auto"/>
        <w:left w:val="none" w:sz="0" w:space="0" w:color="auto"/>
        <w:bottom w:val="none" w:sz="0" w:space="0" w:color="auto"/>
        <w:right w:val="none" w:sz="0" w:space="0" w:color="auto"/>
      </w:divBdr>
    </w:div>
    <w:div w:id="1544563022">
      <w:bodyDiv w:val="1"/>
      <w:marLeft w:val="0"/>
      <w:marRight w:val="0"/>
      <w:marTop w:val="0"/>
      <w:marBottom w:val="0"/>
      <w:divBdr>
        <w:top w:val="none" w:sz="0" w:space="0" w:color="auto"/>
        <w:left w:val="none" w:sz="0" w:space="0" w:color="auto"/>
        <w:bottom w:val="none" w:sz="0" w:space="0" w:color="auto"/>
        <w:right w:val="none" w:sz="0" w:space="0" w:color="auto"/>
      </w:divBdr>
    </w:div>
    <w:div w:id="1574967488">
      <w:bodyDiv w:val="1"/>
      <w:marLeft w:val="0"/>
      <w:marRight w:val="0"/>
      <w:marTop w:val="0"/>
      <w:marBottom w:val="0"/>
      <w:divBdr>
        <w:top w:val="none" w:sz="0" w:space="0" w:color="auto"/>
        <w:left w:val="none" w:sz="0" w:space="0" w:color="auto"/>
        <w:bottom w:val="none" w:sz="0" w:space="0" w:color="auto"/>
        <w:right w:val="none" w:sz="0" w:space="0" w:color="auto"/>
      </w:divBdr>
      <w:divsChild>
        <w:div w:id="749273556">
          <w:marLeft w:val="0"/>
          <w:marRight w:val="0"/>
          <w:marTop w:val="0"/>
          <w:marBottom w:val="0"/>
          <w:divBdr>
            <w:top w:val="none" w:sz="0" w:space="0" w:color="auto"/>
            <w:left w:val="none" w:sz="0" w:space="0" w:color="auto"/>
            <w:bottom w:val="none" w:sz="0" w:space="0" w:color="auto"/>
            <w:right w:val="none" w:sz="0" w:space="0" w:color="auto"/>
          </w:divBdr>
        </w:div>
        <w:div w:id="922951497">
          <w:marLeft w:val="0"/>
          <w:marRight w:val="0"/>
          <w:marTop w:val="0"/>
          <w:marBottom w:val="0"/>
          <w:divBdr>
            <w:top w:val="none" w:sz="0" w:space="0" w:color="auto"/>
            <w:left w:val="none" w:sz="0" w:space="0" w:color="auto"/>
            <w:bottom w:val="none" w:sz="0" w:space="0" w:color="auto"/>
            <w:right w:val="none" w:sz="0" w:space="0" w:color="auto"/>
          </w:divBdr>
        </w:div>
        <w:div w:id="1340234544">
          <w:marLeft w:val="0"/>
          <w:marRight w:val="0"/>
          <w:marTop w:val="0"/>
          <w:marBottom w:val="0"/>
          <w:divBdr>
            <w:top w:val="none" w:sz="0" w:space="0" w:color="auto"/>
            <w:left w:val="none" w:sz="0" w:space="0" w:color="auto"/>
            <w:bottom w:val="none" w:sz="0" w:space="0" w:color="auto"/>
            <w:right w:val="none" w:sz="0" w:space="0" w:color="auto"/>
          </w:divBdr>
        </w:div>
      </w:divsChild>
    </w:div>
    <w:div w:id="1575512553">
      <w:bodyDiv w:val="1"/>
      <w:marLeft w:val="0"/>
      <w:marRight w:val="0"/>
      <w:marTop w:val="0"/>
      <w:marBottom w:val="0"/>
      <w:divBdr>
        <w:top w:val="none" w:sz="0" w:space="0" w:color="auto"/>
        <w:left w:val="none" w:sz="0" w:space="0" w:color="auto"/>
        <w:bottom w:val="none" w:sz="0" w:space="0" w:color="auto"/>
        <w:right w:val="none" w:sz="0" w:space="0" w:color="auto"/>
      </w:divBdr>
      <w:divsChild>
        <w:div w:id="145703012">
          <w:marLeft w:val="547"/>
          <w:marRight w:val="0"/>
          <w:marTop w:val="0"/>
          <w:marBottom w:val="0"/>
          <w:divBdr>
            <w:top w:val="none" w:sz="0" w:space="0" w:color="auto"/>
            <w:left w:val="none" w:sz="0" w:space="0" w:color="auto"/>
            <w:bottom w:val="none" w:sz="0" w:space="0" w:color="auto"/>
            <w:right w:val="none" w:sz="0" w:space="0" w:color="auto"/>
          </w:divBdr>
        </w:div>
        <w:div w:id="1743021710">
          <w:marLeft w:val="547"/>
          <w:marRight w:val="0"/>
          <w:marTop w:val="0"/>
          <w:marBottom w:val="0"/>
          <w:divBdr>
            <w:top w:val="none" w:sz="0" w:space="0" w:color="auto"/>
            <w:left w:val="none" w:sz="0" w:space="0" w:color="auto"/>
            <w:bottom w:val="none" w:sz="0" w:space="0" w:color="auto"/>
            <w:right w:val="none" w:sz="0" w:space="0" w:color="auto"/>
          </w:divBdr>
        </w:div>
      </w:divsChild>
    </w:div>
    <w:div w:id="1585258575">
      <w:bodyDiv w:val="1"/>
      <w:marLeft w:val="0"/>
      <w:marRight w:val="0"/>
      <w:marTop w:val="0"/>
      <w:marBottom w:val="0"/>
      <w:divBdr>
        <w:top w:val="none" w:sz="0" w:space="0" w:color="auto"/>
        <w:left w:val="none" w:sz="0" w:space="0" w:color="auto"/>
        <w:bottom w:val="none" w:sz="0" w:space="0" w:color="auto"/>
        <w:right w:val="none" w:sz="0" w:space="0" w:color="auto"/>
      </w:divBdr>
    </w:div>
    <w:div w:id="1591547654">
      <w:bodyDiv w:val="1"/>
      <w:marLeft w:val="0"/>
      <w:marRight w:val="0"/>
      <w:marTop w:val="0"/>
      <w:marBottom w:val="0"/>
      <w:divBdr>
        <w:top w:val="none" w:sz="0" w:space="0" w:color="auto"/>
        <w:left w:val="none" w:sz="0" w:space="0" w:color="auto"/>
        <w:bottom w:val="none" w:sz="0" w:space="0" w:color="auto"/>
        <w:right w:val="none" w:sz="0" w:space="0" w:color="auto"/>
      </w:divBdr>
    </w:div>
    <w:div w:id="1597985195">
      <w:bodyDiv w:val="1"/>
      <w:marLeft w:val="0"/>
      <w:marRight w:val="0"/>
      <w:marTop w:val="0"/>
      <w:marBottom w:val="0"/>
      <w:divBdr>
        <w:top w:val="none" w:sz="0" w:space="0" w:color="auto"/>
        <w:left w:val="none" w:sz="0" w:space="0" w:color="auto"/>
        <w:bottom w:val="none" w:sz="0" w:space="0" w:color="auto"/>
        <w:right w:val="none" w:sz="0" w:space="0" w:color="auto"/>
      </w:divBdr>
    </w:div>
    <w:div w:id="1598171497">
      <w:bodyDiv w:val="1"/>
      <w:marLeft w:val="0"/>
      <w:marRight w:val="0"/>
      <w:marTop w:val="0"/>
      <w:marBottom w:val="0"/>
      <w:divBdr>
        <w:top w:val="none" w:sz="0" w:space="0" w:color="auto"/>
        <w:left w:val="none" w:sz="0" w:space="0" w:color="auto"/>
        <w:bottom w:val="none" w:sz="0" w:space="0" w:color="auto"/>
        <w:right w:val="none" w:sz="0" w:space="0" w:color="auto"/>
      </w:divBdr>
    </w:div>
    <w:div w:id="1599022705">
      <w:bodyDiv w:val="1"/>
      <w:marLeft w:val="0"/>
      <w:marRight w:val="0"/>
      <w:marTop w:val="0"/>
      <w:marBottom w:val="0"/>
      <w:divBdr>
        <w:top w:val="none" w:sz="0" w:space="0" w:color="auto"/>
        <w:left w:val="none" w:sz="0" w:space="0" w:color="auto"/>
        <w:bottom w:val="none" w:sz="0" w:space="0" w:color="auto"/>
        <w:right w:val="none" w:sz="0" w:space="0" w:color="auto"/>
      </w:divBdr>
      <w:divsChild>
        <w:div w:id="1156264045">
          <w:marLeft w:val="0"/>
          <w:marRight w:val="0"/>
          <w:marTop w:val="0"/>
          <w:marBottom w:val="0"/>
          <w:divBdr>
            <w:top w:val="none" w:sz="0" w:space="0" w:color="auto"/>
            <w:left w:val="none" w:sz="0" w:space="0" w:color="auto"/>
            <w:bottom w:val="none" w:sz="0" w:space="0" w:color="auto"/>
            <w:right w:val="none" w:sz="0" w:space="0" w:color="auto"/>
          </w:divBdr>
        </w:div>
        <w:div w:id="1961261747">
          <w:marLeft w:val="0"/>
          <w:marRight w:val="0"/>
          <w:marTop w:val="0"/>
          <w:marBottom w:val="0"/>
          <w:divBdr>
            <w:top w:val="none" w:sz="0" w:space="0" w:color="auto"/>
            <w:left w:val="none" w:sz="0" w:space="0" w:color="auto"/>
            <w:bottom w:val="none" w:sz="0" w:space="0" w:color="auto"/>
            <w:right w:val="none" w:sz="0" w:space="0" w:color="auto"/>
          </w:divBdr>
        </w:div>
      </w:divsChild>
    </w:div>
    <w:div w:id="1603302020">
      <w:bodyDiv w:val="1"/>
      <w:marLeft w:val="0"/>
      <w:marRight w:val="0"/>
      <w:marTop w:val="0"/>
      <w:marBottom w:val="0"/>
      <w:divBdr>
        <w:top w:val="none" w:sz="0" w:space="0" w:color="auto"/>
        <w:left w:val="none" w:sz="0" w:space="0" w:color="auto"/>
        <w:bottom w:val="none" w:sz="0" w:space="0" w:color="auto"/>
        <w:right w:val="none" w:sz="0" w:space="0" w:color="auto"/>
      </w:divBdr>
    </w:div>
    <w:div w:id="1605185187">
      <w:bodyDiv w:val="1"/>
      <w:marLeft w:val="0"/>
      <w:marRight w:val="0"/>
      <w:marTop w:val="0"/>
      <w:marBottom w:val="0"/>
      <w:divBdr>
        <w:top w:val="none" w:sz="0" w:space="0" w:color="auto"/>
        <w:left w:val="none" w:sz="0" w:space="0" w:color="auto"/>
        <w:bottom w:val="none" w:sz="0" w:space="0" w:color="auto"/>
        <w:right w:val="none" w:sz="0" w:space="0" w:color="auto"/>
      </w:divBdr>
    </w:div>
    <w:div w:id="1614631428">
      <w:bodyDiv w:val="1"/>
      <w:marLeft w:val="0"/>
      <w:marRight w:val="0"/>
      <w:marTop w:val="0"/>
      <w:marBottom w:val="0"/>
      <w:divBdr>
        <w:top w:val="none" w:sz="0" w:space="0" w:color="auto"/>
        <w:left w:val="none" w:sz="0" w:space="0" w:color="auto"/>
        <w:bottom w:val="none" w:sz="0" w:space="0" w:color="auto"/>
        <w:right w:val="none" w:sz="0" w:space="0" w:color="auto"/>
      </w:divBdr>
    </w:div>
    <w:div w:id="1643340075">
      <w:bodyDiv w:val="1"/>
      <w:marLeft w:val="0"/>
      <w:marRight w:val="0"/>
      <w:marTop w:val="0"/>
      <w:marBottom w:val="0"/>
      <w:divBdr>
        <w:top w:val="none" w:sz="0" w:space="0" w:color="auto"/>
        <w:left w:val="none" w:sz="0" w:space="0" w:color="auto"/>
        <w:bottom w:val="none" w:sz="0" w:space="0" w:color="auto"/>
        <w:right w:val="none" w:sz="0" w:space="0" w:color="auto"/>
      </w:divBdr>
    </w:div>
    <w:div w:id="1644000580">
      <w:bodyDiv w:val="1"/>
      <w:marLeft w:val="0"/>
      <w:marRight w:val="0"/>
      <w:marTop w:val="0"/>
      <w:marBottom w:val="0"/>
      <w:divBdr>
        <w:top w:val="none" w:sz="0" w:space="0" w:color="auto"/>
        <w:left w:val="none" w:sz="0" w:space="0" w:color="auto"/>
        <w:bottom w:val="none" w:sz="0" w:space="0" w:color="auto"/>
        <w:right w:val="none" w:sz="0" w:space="0" w:color="auto"/>
      </w:divBdr>
      <w:divsChild>
        <w:div w:id="267936189">
          <w:marLeft w:val="0"/>
          <w:marRight w:val="0"/>
          <w:marTop w:val="0"/>
          <w:marBottom w:val="0"/>
          <w:divBdr>
            <w:top w:val="none" w:sz="0" w:space="0" w:color="auto"/>
            <w:left w:val="none" w:sz="0" w:space="0" w:color="auto"/>
            <w:bottom w:val="none" w:sz="0" w:space="0" w:color="auto"/>
            <w:right w:val="none" w:sz="0" w:space="0" w:color="auto"/>
          </w:divBdr>
        </w:div>
        <w:div w:id="625358815">
          <w:marLeft w:val="0"/>
          <w:marRight w:val="0"/>
          <w:marTop w:val="0"/>
          <w:marBottom w:val="0"/>
          <w:divBdr>
            <w:top w:val="none" w:sz="0" w:space="0" w:color="auto"/>
            <w:left w:val="none" w:sz="0" w:space="0" w:color="auto"/>
            <w:bottom w:val="none" w:sz="0" w:space="0" w:color="auto"/>
            <w:right w:val="none" w:sz="0" w:space="0" w:color="auto"/>
          </w:divBdr>
        </w:div>
        <w:div w:id="1834637861">
          <w:marLeft w:val="0"/>
          <w:marRight w:val="0"/>
          <w:marTop w:val="0"/>
          <w:marBottom w:val="0"/>
          <w:divBdr>
            <w:top w:val="none" w:sz="0" w:space="0" w:color="auto"/>
            <w:left w:val="none" w:sz="0" w:space="0" w:color="auto"/>
            <w:bottom w:val="none" w:sz="0" w:space="0" w:color="auto"/>
            <w:right w:val="none" w:sz="0" w:space="0" w:color="auto"/>
          </w:divBdr>
        </w:div>
      </w:divsChild>
    </w:div>
    <w:div w:id="1644113635">
      <w:bodyDiv w:val="1"/>
      <w:marLeft w:val="0"/>
      <w:marRight w:val="0"/>
      <w:marTop w:val="0"/>
      <w:marBottom w:val="0"/>
      <w:divBdr>
        <w:top w:val="none" w:sz="0" w:space="0" w:color="auto"/>
        <w:left w:val="none" w:sz="0" w:space="0" w:color="auto"/>
        <w:bottom w:val="none" w:sz="0" w:space="0" w:color="auto"/>
        <w:right w:val="none" w:sz="0" w:space="0" w:color="auto"/>
      </w:divBdr>
    </w:div>
    <w:div w:id="1646276889">
      <w:bodyDiv w:val="1"/>
      <w:marLeft w:val="0"/>
      <w:marRight w:val="0"/>
      <w:marTop w:val="0"/>
      <w:marBottom w:val="0"/>
      <w:divBdr>
        <w:top w:val="none" w:sz="0" w:space="0" w:color="auto"/>
        <w:left w:val="none" w:sz="0" w:space="0" w:color="auto"/>
        <w:bottom w:val="none" w:sz="0" w:space="0" w:color="auto"/>
        <w:right w:val="none" w:sz="0" w:space="0" w:color="auto"/>
      </w:divBdr>
    </w:div>
    <w:div w:id="1651397350">
      <w:bodyDiv w:val="1"/>
      <w:marLeft w:val="0"/>
      <w:marRight w:val="0"/>
      <w:marTop w:val="0"/>
      <w:marBottom w:val="0"/>
      <w:divBdr>
        <w:top w:val="none" w:sz="0" w:space="0" w:color="auto"/>
        <w:left w:val="none" w:sz="0" w:space="0" w:color="auto"/>
        <w:bottom w:val="none" w:sz="0" w:space="0" w:color="auto"/>
        <w:right w:val="none" w:sz="0" w:space="0" w:color="auto"/>
      </w:divBdr>
    </w:div>
    <w:div w:id="1666663048">
      <w:bodyDiv w:val="1"/>
      <w:marLeft w:val="0"/>
      <w:marRight w:val="0"/>
      <w:marTop w:val="0"/>
      <w:marBottom w:val="0"/>
      <w:divBdr>
        <w:top w:val="none" w:sz="0" w:space="0" w:color="auto"/>
        <w:left w:val="none" w:sz="0" w:space="0" w:color="auto"/>
        <w:bottom w:val="none" w:sz="0" w:space="0" w:color="auto"/>
        <w:right w:val="none" w:sz="0" w:space="0" w:color="auto"/>
      </w:divBdr>
    </w:div>
    <w:div w:id="1666779848">
      <w:bodyDiv w:val="1"/>
      <w:marLeft w:val="0"/>
      <w:marRight w:val="0"/>
      <w:marTop w:val="0"/>
      <w:marBottom w:val="0"/>
      <w:divBdr>
        <w:top w:val="none" w:sz="0" w:space="0" w:color="auto"/>
        <w:left w:val="none" w:sz="0" w:space="0" w:color="auto"/>
        <w:bottom w:val="none" w:sz="0" w:space="0" w:color="auto"/>
        <w:right w:val="none" w:sz="0" w:space="0" w:color="auto"/>
      </w:divBdr>
    </w:div>
    <w:div w:id="1673877964">
      <w:bodyDiv w:val="1"/>
      <w:marLeft w:val="0"/>
      <w:marRight w:val="0"/>
      <w:marTop w:val="0"/>
      <w:marBottom w:val="0"/>
      <w:divBdr>
        <w:top w:val="none" w:sz="0" w:space="0" w:color="auto"/>
        <w:left w:val="none" w:sz="0" w:space="0" w:color="auto"/>
        <w:bottom w:val="none" w:sz="0" w:space="0" w:color="auto"/>
        <w:right w:val="none" w:sz="0" w:space="0" w:color="auto"/>
      </w:divBdr>
    </w:div>
    <w:div w:id="1686319629">
      <w:bodyDiv w:val="1"/>
      <w:marLeft w:val="0"/>
      <w:marRight w:val="0"/>
      <w:marTop w:val="0"/>
      <w:marBottom w:val="0"/>
      <w:divBdr>
        <w:top w:val="none" w:sz="0" w:space="0" w:color="auto"/>
        <w:left w:val="none" w:sz="0" w:space="0" w:color="auto"/>
        <w:bottom w:val="none" w:sz="0" w:space="0" w:color="auto"/>
        <w:right w:val="none" w:sz="0" w:space="0" w:color="auto"/>
      </w:divBdr>
    </w:div>
    <w:div w:id="1686395849">
      <w:bodyDiv w:val="1"/>
      <w:marLeft w:val="0"/>
      <w:marRight w:val="0"/>
      <w:marTop w:val="0"/>
      <w:marBottom w:val="0"/>
      <w:divBdr>
        <w:top w:val="none" w:sz="0" w:space="0" w:color="auto"/>
        <w:left w:val="none" w:sz="0" w:space="0" w:color="auto"/>
        <w:bottom w:val="none" w:sz="0" w:space="0" w:color="auto"/>
        <w:right w:val="none" w:sz="0" w:space="0" w:color="auto"/>
      </w:divBdr>
    </w:div>
    <w:div w:id="1693528412">
      <w:bodyDiv w:val="1"/>
      <w:marLeft w:val="0"/>
      <w:marRight w:val="0"/>
      <w:marTop w:val="0"/>
      <w:marBottom w:val="0"/>
      <w:divBdr>
        <w:top w:val="none" w:sz="0" w:space="0" w:color="auto"/>
        <w:left w:val="none" w:sz="0" w:space="0" w:color="auto"/>
        <w:bottom w:val="none" w:sz="0" w:space="0" w:color="auto"/>
        <w:right w:val="none" w:sz="0" w:space="0" w:color="auto"/>
      </w:divBdr>
    </w:div>
    <w:div w:id="1693914808">
      <w:bodyDiv w:val="1"/>
      <w:marLeft w:val="0"/>
      <w:marRight w:val="0"/>
      <w:marTop w:val="0"/>
      <w:marBottom w:val="0"/>
      <w:divBdr>
        <w:top w:val="none" w:sz="0" w:space="0" w:color="auto"/>
        <w:left w:val="none" w:sz="0" w:space="0" w:color="auto"/>
        <w:bottom w:val="none" w:sz="0" w:space="0" w:color="auto"/>
        <w:right w:val="none" w:sz="0" w:space="0" w:color="auto"/>
      </w:divBdr>
      <w:divsChild>
        <w:div w:id="86312382">
          <w:marLeft w:val="547"/>
          <w:marRight w:val="0"/>
          <w:marTop w:val="0"/>
          <w:marBottom w:val="0"/>
          <w:divBdr>
            <w:top w:val="none" w:sz="0" w:space="0" w:color="auto"/>
            <w:left w:val="none" w:sz="0" w:space="0" w:color="auto"/>
            <w:bottom w:val="none" w:sz="0" w:space="0" w:color="auto"/>
            <w:right w:val="none" w:sz="0" w:space="0" w:color="auto"/>
          </w:divBdr>
        </w:div>
        <w:div w:id="272370307">
          <w:marLeft w:val="547"/>
          <w:marRight w:val="0"/>
          <w:marTop w:val="0"/>
          <w:marBottom w:val="0"/>
          <w:divBdr>
            <w:top w:val="none" w:sz="0" w:space="0" w:color="auto"/>
            <w:left w:val="none" w:sz="0" w:space="0" w:color="auto"/>
            <w:bottom w:val="none" w:sz="0" w:space="0" w:color="auto"/>
            <w:right w:val="none" w:sz="0" w:space="0" w:color="auto"/>
          </w:divBdr>
        </w:div>
        <w:div w:id="360475621">
          <w:marLeft w:val="547"/>
          <w:marRight w:val="0"/>
          <w:marTop w:val="0"/>
          <w:marBottom w:val="0"/>
          <w:divBdr>
            <w:top w:val="none" w:sz="0" w:space="0" w:color="auto"/>
            <w:left w:val="none" w:sz="0" w:space="0" w:color="auto"/>
            <w:bottom w:val="none" w:sz="0" w:space="0" w:color="auto"/>
            <w:right w:val="none" w:sz="0" w:space="0" w:color="auto"/>
          </w:divBdr>
        </w:div>
      </w:divsChild>
    </w:div>
    <w:div w:id="1694920350">
      <w:bodyDiv w:val="1"/>
      <w:marLeft w:val="0"/>
      <w:marRight w:val="0"/>
      <w:marTop w:val="0"/>
      <w:marBottom w:val="0"/>
      <w:divBdr>
        <w:top w:val="none" w:sz="0" w:space="0" w:color="auto"/>
        <w:left w:val="none" w:sz="0" w:space="0" w:color="auto"/>
        <w:bottom w:val="none" w:sz="0" w:space="0" w:color="auto"/>
        <w:right w:val="none" w:sz="0" w:space="0" w:color="auto"/>
      </w:divBdr>
    </w:div>
    <w:div w:id="1695695073">
      <w:bodyDiv w:val="1"/>
      <w:marLeft w:val="0"/>
      <w:marRight w:val="0"/>
      <w:marTop w:val="0"/>
      <w:marBottom w:val="0"/>
      <w:divBdr>
        <w:top w:val="none" w:sz="0" w:space="0" w:color="auto"/>
        <w:left w:val="none" w:sz="0" w:space="0" w:color="auto"/>
        <w:bottom w:val="none" w:sz="0" w:space="0" w:color="auto"/>
        <w:right w:val="none" w:sz="0" w:space="0" w:color="auto"/>
      </w:divBdr>
    </w:div>
    <w:div w:id="1695769433">
      <w:bodyDiv w:val="1"/>
      <w:marLeft w:val="0"/>
      <w:marRight w:val="0"/>
      <w:marTop w:val="0"/>
      <w:marBottom w:val="0"/>
      <w:divBdr>
        <w:top w:val="none" w:sz="0" w:space="0" w:color="auto"/>
        <w:left w:val="none" w:sz="0" w:space="0" w:color="auto"/>
        <w:bottom w:val="none" w:sz="0" w:space="0" w:color="auto"/>
        <w:right w:val="none" w:sz="0" w:space="0" w:color="auto"/>
      </w:divBdr>
    </w:div>
    <w:div w:id="1700619943">
      <w:bodyDiv w:val="1"/>
      <w:marLeft w:val="0"/>
      <w:marRight w:val="0"/>
      <w:marTop w:val="0"/>
      <w:marBottom w:val="0"/>
      <w:divBdr>
        <w:top w:val="none" w:sz="0" w:space="0" w:color="auto"/>
        <w:left w:val="none" w:sz="0" w:space="0" w:color="auto"/>
        <w:bottom w:val="none" w:sz="0" w:space="0" w:color="auto"/>
        <w:right w:val="none" w:sz="0" w:space="0" w:color="auto"/>
      </w:divBdr>
      <w:divsChild>
        <w:div w:id="1839224574">
          <w:marLeft w:val="0"/>
          <w:marRight w:val="0"/>
          <w:marTop w:val="0"/>
          <w:marBottom w:val="0"/>
          <w:divBdr>
            <w:top w:val="none" w:sz="0" w:space="0" w:color="auto"/>
            <w:left w:val="none" w:sz="0" w:space="0" w:color="auto"/>
            <w:bottom w:val="none" w:sz="0" w:space="0" w:color="auto"/>
            <w:right w:val="none" w:sz="0" w:space="0" w:color="auto"/>
          </w:divBdr>
        </w:div>
      </w:divsChild>
    </w:div>
    <w:div w:id="1715617849">
      <w:bodyDiv w:val="1"/>
      <w:marLeft w:val="0"/>
      <w:marRight w:val="0"/>
      <w:marTop w:val="0"/>
      <w:marBottom w:val="0"/>
      <w:divBdr>
        <w:top w:val="none" w:sz="0" w:space="0" w:color="auto"/>
        <w:left w:val="none" w:sz="0" w:space="0" w:color="auto"/>
        <w:bottom w:val="none" w:sz="0" w:space="0" w:color="auto"/>
        <w:right w:val="none" w:sz="0" w:space="0" w:color="auto"/>
      </w:divBdr>
    </w:div>
    <w:div w:id="1715809014">
      <w:bodyDiv w:val="1"/>
      <w:marLeft w:val="0"/>
      <w:marRight w:val="0"/>
      <w:marTop w:val="0"/>
      <w:marBottom w:val="0"/>
      <w:divBdr>
        <w:top w:val="none" w:sz="0" w:space="0" w:color="auto"/>
        <w:left w:val="none" w:sz="0" w:space="0" w:color="auto"/>
        <w:bottom w:val="none" w:sz="0" w:space="0" w:color="auto"/>
        <w:right w:val="none" w:sz="0" w:space="0" w:color="auto"/>
      </w:divBdr>
    </w:div>
    <w:div w:id="1722024098">
      <w:bodyDiv w:val="1"/>
      <w:marLeft w:val="0"/>
      <w:marRight w:val="0"/>
      <w:marTop w:val="0"/>
      <w:marBottom w:val="0"/>
      <w:divBdr>
        <w:top w:val="none" w:sz="0" w:space="0" w:color="auto"/>
        <w:left w:val="none" w:sz="0" w:space="0" w:color="auto"/>
        <w:bottom w:val="none" w:sz="0" w:space="0" w:color="auto"/>
        <w:right w:val="none" w:sz="0" w:space="0" w:color="auto"/>
      </w:divBdr>
    </w:div>
    <w:div w:id="1727146877">
      <w:bodyDiv w:val="1"/>
      <w:marLeft w:val="0"/>
      <w:marRight w:val="0"/>
      <w:marTop w:val="0"/>
      <w:marBottom w:val="0"/>
      <w:divBdr>
        <w:top w:val="none" w:sz="0" w:space="0" w:color="auto"/>
        <w:left w:val="none" w:sz="0" w:space="0" w:color="auto"/>
        <w:bottom w:val="none" w:sz="0" w:space="0" w:color="auto"/>
        <w:right w:val="none" w:sz="0" w:space="0" w:color="auto"/>
      </w:divBdr>
    </w:div>
    <w:div w:id="1733772747">
      <w:bodyDiv w:val="1"/>
      <w:marLeft w:val="0"/>
      <w:marRight w:val="0"/>
      <w:marTop w:val="0"/>
      <w:marBottom w:val="0"/>
      <w:divBdr>
        <w:top w:val="none" w:sz="0" w:space="0" w:color="auto"/>
        <w:left w:val="none" w:sz="0" w:space="0" w:color="auto"/>
        <w:bottom w:val="none" w:sz="0" w:space="0" w:color="auto"/>
        <w:right w:val="none" w:sz="0" w:space="0" w:color="auto"/>
      </w:divBdr>
      <w:divsChild>
        <w:div w:id="14236651">
          <w:marLeft w:val="0"/>
          <w:marRight w:val="0"/>
          <w:marTop w:val="0"/>
          <w:marBottom w:val="0"/>
          <w:divBdr>
            <w:top w:val="none" w:sz="0" w:space="0" w:color="auto"/>
            <w:left w:val="none" w:sz="0" w:space="0" w:color="auto"/>
            <w:bottom w:val="none" w:sz="0" w:space="0" w:color="auto"/>
            <w:right w:val="none" w:sz="0" w:space="0" w:color="auto"/>
          </w:divBdr>
          <w:divsChild>
            <w:div w:id="1408844955">
              <w:marLeft w:val="0"/>
              <w:marRight w:val="0"/>
              <w:marTop w:val="0"/>
              <w:marBottom w:val="0"/>
              <w:divBdr>
                <w:top w:val="none" w:sz="0" w:space="0" w:color="auto"/>
                <w:left w:val="none" w:sz="0" w:space="0" w:color="auto"/>
                <w:bottom w:val="none" w:sz="0" w:space="0" w:color="auto"/>
                <w:right w:val="none" w:sz="0" w:space="0" w:color="auto"/>
              </w:divBdr>
            </w:div>
          </w:divsChild>
        </w:div>
        <w:div w:id="70662871">
          <w:marLeft w:val="0"/>
          <w:marRight w:val="0"/>
          <w:marTop w:val="0"/>
          <w:marBottom w:val="0"/>
          <w:divBdr>
            <w:top w:val="none" w:sz="0" w:space="0" w:color="auto"/>
            <w:left w:val="none" w:sz="0" w:space="0" w:color="auto"/>
            <w:bottom w:val="none" w:sz="0" w:space="0" w:color="auto"/>
            <w:right w:val="none" w:sz="0" w:space="0" w:color="auto"/>
          </w:divBdr>
          <w:divsChild>
            <w:div w:id="1708331870">
              <w:marLeft w:val="0"/>
              <w:marRight w:val="0"/>
              <w:marTop w:val="0"/>
              <w:marBottom w:val="0"/>
              <w:divBdr>
                <w:top w:val="none" w:sz="0" w:space="0" w:color="auto"/>
                <w:left w:val="none" w:sz="0" w:space="0" w:color="auto"/>
                <w:bottom w:val="none" w:sz="0" w:space="0" w:color="auto"/>
                <w:right w:val="none" w:sz="0" w:space="0" w:color="auto"/>
              </w:divBdr>
            </w:div>
          </w:divsChild>
        </w:div>
        <w:div w:id="114981803">
          <w:marLeft w:val="0"/>
          <w:marRight w:val="0"/>
          <w:marTop w:val="0"/>
          <w:marBottom w:val="0"/>
          <w:divBdr>
            <w:top w:val="none" w:sz="0" w:space="0" w:color="auto"/>
            <w:left w:val="none" w:sz="0" w:space="0" w:color="auto"/>
            <w:bottom w:val="none" w:sz="0" w:space="0" w:color="auto"/>
            <w:right w:val="none" w:sz="0" w:space="0" w:color="auto"/>
          </w:divBdr>
          <w:divsChild>
            <w:div w:id="1886989659">
              <w:marLeft w:val="0"/>
              <w:marRight w:val="0"/>
              <w:marTop w:val="0"/>
              <w:marBottom w:val="0"/>
              <w:divBdr>
                <w:top w:val="none" w:sz="0" w:space="0" w:color="auto"/>
                <w:left w:val="none" w:sz="0" w:space="0" w:color="auto"/>
                <w:bottom w:val="none" w:sz="0" w:space="0" w:color="auto"/>
                <w:right w:val="none" w:sz="0" w:space="0" w:color="auto"/>
              </w:divBdr>
            </w:div>
          </w:divsChild>
        </w:div>
        <w:div w:id="160968055">
          <w:marLeft w:val="0"/>
          <w:marRight w:val="0"/>
          <w:marTop w:val="0"/>
          <w:marBottom w:val="0"/>
          <w:divBdr>
            <w:top w:val="none" w:sz="0" w:space="0" w:color="auto"/>
            <w:left w:val="none" w:sz="0" w:space="0" w:color="auto"/>
            <w:bottom w:val="none" w:sz="0" w:space="0" w:color="auto"/>
            <w:right w:val="none" w:sz="0" w:space="0" w:color="auto"/>
          </w:divBdr>
          <w:divsChild>
            <w:div w:id="1276785584">
              <w:marLeft w:val="0"/>
              <w:marRight w:val="0"/>
              <w:marTop w:val="0"/>
              <w:marBottom w:val="0"/>
              <w:divBdr>
                <w:top w:val="none" w:sz="0" w:space="0" w:color="auto"/>
                <w:left w:val="none" w:sz="0" w:space="0" w:color="auto"/>
                <w:bottom w:val="none" w:sz="0" w:space="0" w:color="auto"/>
                <w:right w:val="none" w:sz="0" w:space="0" w:color="auto"/>
              </w:divBdr>
            </w:div>
          </w:divsChild>
        </w:div>
        <w:div w:id="165636970">
          <w:marLeft w:val="0"/>
          <w:marRight w:val="0"/>
          <w:marTop w:val="0"/>
          <w:marBottom w:val="0"/>
          <w:divBdr>
            <w:top w:val="none" w:sz="0" w:space="0" w:color="auto"/>
            <w:left w:val="none" w:sz="0" w:space="0" w:color="auto"/>
            <w:bottom w:val="none" w:sz="0" w:space="0" w:color="auto"/>
            <w:right w:val="none" w:sz="0" w:space="0" w:color="auto"/>
          </w:divBdr>
          <w:divsChild>
            <w:div w:id="342320649">
              <w:marLeft w:val="0"/>
              <w:marRight w:val="0"/>
              <w:marTop w:val="0"/>
              <w:marBottom w:val="0"/>
              <w:divBdr>
                <w:top w:val="none" w:sz="0" w:space="0" w:color="auto"/>
                <w:left w:val="none" w:sz="0" w:space="0" w:color="auto"/>
                <w:bottom w:val="none" w:sz="0" w:space="0" w:color="auto"/>
                <w:right w:val="none" w:sz="0" w:space="0" w:color="auto"/>
              </w:divBdr>
            </w:div>
          </w:divsChild>
        </w:div>
        <w:div w:id="196893256">
          <w:marLeft w:val="0"/>
          <w:marRight w:val="0"/>
          <w:marTop w:val="0"/>
          <w:marBottom w:val="0"/>
          <w:divBdr>
            <w:top w:val="none" w:sz="0" w:space="0" w:color="auto"/>
            <w:left w:val="none" w:sz="0" w:space="0" w:color="auto"/>
            <w:bottom w:val="none" w:sz="0" w:space="0" w:color="auto"/>
            <w:right w:val="none" w:sz="0" w:space="0" w:color="auto"/>
          </w:divBdr>
          <w:divsChild>
            <w:div w:id="1720281222">
              <w:marLeft w:val="0"/>
              <w:marRight w:val="0"/>
              <w:marTop w:val="0"/>
              <w:marBottom w:val="0"/>
              <w:divBdr>
                <w:top w:val="none" w:sz="0" w:space="0" w:color="auto"/>
                <w:left w:val="none" w:sz="0" w:space="0" w:color="auto"/>
                <w:bottom w:val="none" w:sz="0" w:space="0" w:color="auto"/>
                <w:right w:val="none" w:sz="0" w:space="0" w:color="auto"/>
              </w:divBdr>
            </w:div>
          </w:divsChild>
        </w:div>
        <w:div w:id="243998778">
          <w:marLeft w:val="0"/>
          <w:marRight w:val="0"/>
          <w:marTop w:val="0"/>
          <w:marBottom w:val="0"/>
          <w:divBdr>
            <w:top w:val="none" w:sz="0" w:space="0" w:color="auto"/>
            <w:left w:val="none" w:sz="0" w:space="0" w:color="auto"/>
            <w:bottom w:val="none" w:sz="0" w:space="0" w:color="auto"/>
            <w:right w:val="none" w:sz="0" w:space="0" w:color="auto"/>
          </w:divBdr>
          <w:divsChild>
            <w:div w:id="194581706">
              <w:marLeft w:val="0"/>
              <w:marRight w:val="0"/>
              <w:marTop w:val="0"/>
              <w:marBottom w:val="0"/>
              <w:divBdr>
                <w:top w:val="none" w:sz="0" w:space="0" w:color="auto"/>
                <w:left w:val="none" w:sz="0" w:space="0" w:color="auto"/>
                <w:bottom w:val="none" w:sz="0" w:space="0" w:color="auto"/>
                <w:right w:val="none" w:sz="0" w:space="0" w:color="auto"/>
              </w:divBdr>
            </w:div>
          </w:divsChild>
        </w:div>
        <w:div w:id="289745083">
          <w:marLeft w:val="0"/>
          <w:marRight w:val="0"/>
          <w:marTop w:val="0"/>
          <w:marBottom w:val="0"/>
          <w:divBdr>
            <w:top w:val="none" w:sz="0" w:space="0" w:color="auto"/>
            <w:left w:val="none" w:sz="0" w:space="0" w:color="auto"/>
            <w:bottom w:val="none" w:sz="0" w:space="0" w:color="auto"/>
            <w:right w:val="none" w:sz="0" w:space="0" w:color="auto"/>
          </w:divBdr>
          <w:divsChild>
            <w:div w:id="1475219918">
              <w:marLeft w:val="0"/>
              <w:marRight w:val="0"/>
              <w:marTop w:val="0"/>
              <w:marBottom w:val="0"/>
              <w:divBdr>
                <w:top w:val="none" w:sz="0" w:space="0" w:color="auto"/>
                <w:left w:val="none" w:sz="0" w:space="0" w:color="auto"/>
                <w:bottom w:val="none" w:sz="0" w:space="0" w:color="auto"/>
                <w:right w:val="none" w:sz="0" w:space="0" w:color="auto"/>
              </w:divBdr>
            </w:div>
          </w:divsChild>
        </w:div>
        <w:div w:id="313946824">
          <w:marLeft w:val="0"/>
          <w:marRight w:val="0"/>
          <w:marTop w:val="0"/>
          <w:marBottom w:val="0"/>
          <w:divBdr>
            <w:top w:val="none" w:sz="0" w:space="0" w:color="auto"/>
            <w:left w:val="none" w:sz="0" w:space="0" w:color="auto"/>
            <w:bottom w:val="none" w:sz="0" w:space="0" w:color="auto"/>
            <w:right w:val="none" w:sz="0" w:space="0" w:color="auto"/>
          </w:divBdr>
          <w:divsChild>
            <w:div w:id="1534489759">
              <w:marLeft w:val="0"/>
              <w:marRight w:val="0"/>
              <w:marTop w:val="0"/>
              <w:marBottom w:val="0"/>
              <w:divBdr>
                <w:top w:val="none" w:sz="0" w:space="0" w:color="auto"/>
                <w:left w:val="none" w:sz="0" w:space="0" w:color="auto"/>
                <w:bottom w:val="none" w:sz="0" w:space="0" w:color="auto"/>
                <w:right w:val="none" w:sz="0" w:space="0" w:color="auto"/>
              </w:divBdr>
            </w:div>
          </w:divsChild>
        </w:div>
        <w:div w:id="330644827">
          <w:marLeft w:val="0"/>
          <w:marRight w:val="0"/>
          <w:marTop w:val="0"/>
          <w:marBottom w:val="0"/>
          <w:divBdr>
            <w:top w:val="none" w:sz="0" w:space="0" w:color="auto"/>
            <w:left w:val="none" w:sz="0" w:space="0" w:color="auto"/>
            <w:bottom w:val="none" w:sz="0" w:space="0" w:color="auto"/>
            <w:right w:val="none" w:sz="0" w:space="0" w:color="auto"/>
          </w:divBdr>
          <w:divsChild>
            <w:div w:id="401567782">
              <w:marLeft w:val="0"/>
              <w:marRight w:val="0"/>
              <w:marTop w:val="0"/>
              <w:marBottom w:val="0"/>
              <w:divBdr>
                <w:top w:val="none" w:sz="0" w:space="0" w:color="auto"/>
                <w:left w:val="none" w:sz="0" w:space="0" w:color="auto"/>
                <w:bottom w:val="none" w:sz="0" w:space="0" w:color="auto"/>
                <w:right w:val="none" w:sz="0" w:space="0" w:color="auto"/>
              </w:divBdr>
            </w:div>
          </w:divsChild>
        </w:div>
        <w:div w:id="371852084">
          <w:marLeft w:val="0"/>
          <w:marRight w:val="0"/>
          <w:marTop w:val="0"/>
          <w:marBottom w:val="0"/>
          <w:divBdr>
            <w:top w:val="none" w:sz="0" w:space="0" w:color="auto"/>
            <w:left w:val="none" w:sz="0" w:space="0" w:color="auto"/>
            <w:bottom w:val="none" w:sz="0" w:space="0" w:color="auto"/>
            <w:right w:val="none" w:sz="0" w:space="0" w:color="auto"/>
          </w:divBdr>
          <w:divsChild>
            <w:div w:id="1509981780">
              <w:marLeft w:val="0"/>
              <w:marRight w:val="0"/>
              <w:marTop w:val="0"/>
              <w:marBottom w:val="0"/>
              <w:divBdr>
                <w:top w:val="none" w:sz="0" w:space="0" w:color="auto"/>
                <w:left w:val="none" w:sz="0" w:space="0" w:color="auto"/>
                <w:bottom w:val="none" w:sz="0" w:space="0" w:color="auto"/>
                <w:right w:val="none" w:sz="0" w:space="0" w:color="auto"/>
              </w:divBdr>
            </w:div>
          </w:divsChild>
        </w:div>
        <w:div w:id="493648614">
          <w:marLeft w:val="0"/>
          <w:marRight w:val="0"/>
          <w:marTop w:val="0"/>
          <w:marBottom w:val="0"/>
          <w:divBdr>
            <w:top w:val="none" w:sz="0" w:space="0" w:color="auto"/>
            <w:left w:val="none" w:sz="0" w:space="0" w:color="auto"/>
            <w:bottom w:val="none" w:sz="0" w:space="0" w:color="auto"/>
            <w:right w:val="none" w:sz="0" w:space="0" w:color="auto"/>
          </w:divBdr>
          <w:divsChild>
            <w:div w:id="2000108829">
              <w:marLeft w:val="0"/>
              <w:marRight w:val="0"/>
              <w:marTop w:val="0"/>
              <w:marBottom w:val="0"/>
              <w:divBdr>
                <w:top w:val="none" w:sz="0" w:space="0" w:color="auto"/>
                <w:left w:val="none" w:sz="0" w:space="0" w:color="auto"/>
                <w:bottom w:val="none" w:sz="0" w:space="0" w:color="auto"/>
                <w:right w:val="none" w:sz="0" w:space="0" w:color="auto"/>
              </w:divBdr>
            </w:div>
          </w:divsChild>
        </w:div>
        <w:div w:id="538781104">
          <w:marLeft w:val="0"/>
          <w:marRight w:val="0"/>
          <w:marTop w:val="0"/>
          <w:marBottom w:val="0"/>
          <w:divBdr>
            <w:top w:val="none" w:sz="0" w:space="0" w:color="auto"/>
            <w:left w:val="none" w:sz="0" w:space="0" w:color="auto"/>
            <w:bottom w:val="none" w:sz="0" w:space="0" w:color="auto"/>
            <w:right w:val="none" w:sz="0" w:space="0" w:color="auto"/>
          </w:divBdr>
          <w:divsChild>
            <w:div w:id="1210800989">
              <w:marLeft w:val="0"/>
              <w:marRight w:val="0"/>
              <w:marTop w:val="0"/>
              <w:marBottom w:val="0"/>
              <w:divBdr>
                <w:top w:val="none" w:sz="0" w:space="0" w:color="auto"/>
                <w:left w:val="none" w:sz="0" w:space="0" w:color="auto"/>
                <w:bottom w:val="none" w:sz="0" w:space="0" w:color="auto"/>
                <w:right w:val="none" w:sz="0" w:space="0" w:color="auto"/>
              </w:divBdr>
            </w:div>
          </w:divsChild>
        </w:div>
        <w:div w:id="581722003">
          <w:marLeft w:val="0"/>
          <w:marRight w:val="0"/>
          <w:marTop w:val="0"/>
          <w:marBottom w:val="0"/>
          <w:divBdr>
            <w:top w:val="none" w:sz="0" w:space="0" w:color="auto"/>
            <w:left w:val="none" w:sz="0" w:space="0" w:color="auto"/>
            <w:bottom w:val="none" w:sz="0" w:space="0" w:color="auto"/>
            <w:right w:val="none" w:sz="0" w:space="0" w:color="auto"/>
          </w:divBdr>
          <w:divsChild>
            <w:div w:id="1937323526">
              <w:marLeft w:val="0"/>
              <w:marRight w:val="0"/>
              <w:marTop w:val="0"/>
              <w:marBottom w:val="0"/>
              <w:divBdr>
                <w:top w:val="none" w:sz="0" w:space="0" w:color="auto"/>
                <w:left w:val="none" w:sz="0" w:space="0" w:color="auto"/>
                <w:bottom w:val="none" w:sz="0" w:space="0" w:color="auto"/>
                <w:right w:val="none" w:sz="0" w:space="0" w:color="auto"/>
              </w:divBdr>
            </w:div>
          </w:divsChild>
        </w:div>
        <w:div w:id="624582739">
          <w:marLeft w:val="0"/>
          <w:marRight w:val="0"/>
          <w:marTop w:val="0"/>
          <w:marBottom w:val="0"/>
          <w:divBdr>
            <w:top w:val="none" w:sz="0" w:space="0" w:color="auto"/>
            <w:left w:val="none" w:sz="0" w:space="0" w:color="auto"/>
            <w:bottom w:val="none" w:sz="0" w:space="0" w:color="auto"/>
            <w:right w:val="none" w:sz="0" w:space="0" w:color="auto"/>
          </w:divBdr>
          <w:divsChild>
            <w:div w:id="1051002074">
              <w:marLeft w:val="0"/>
              <w:marRight w:val="0"/>
              <w:marTop w:val="0"/>
              <w:marBottom w:val="0"/>
              <w:divBdr>
                <w:top w:val="none" w:sz="0" w:space="0" w:color="auto"/>
                <w:left w:val="none" w:sz="0" w:space="0" w:color="auto"/>
                <w:bottom w:val="none" w:sz="0" w:space="0" w:color="auto"/>
                <w:right w:val="none" w:sz="0" w:space="0" w:color="auto"/>
              </w:divBdr>
            </w:div>
          </w:divsChild>
        </w:div>
        <w:div w:id="752243696">
          <w:marLeft w:val="0"/>
          <w:marRight w:val="0"/>
          <w:marTop w:val="0"/>
          <w:marBottom w:val="0"/>
          <w:divBdr>
            <w:top w:val="none" w:sz="0" w:space="0" w:color="auto"/>
            <w:left w:val="none" w:sz="0" w:space="0" w:color="auto"/>
            <w:bottom w:val="none" w:sz="0" w:space="0" w:color="auto"/>
            <w:right w:val="none" w:sz="0" w:space="0" w:color="auto"/>
          </w:divBdr>
          <w:divsChild>
            <w:div w:id="377553494">
              <w:marLeft w:val="0"/>
              <w:marRight w:val="0"/>
              <w:marTop w:val="0"/>
              <w:marBottom w:val="0"/>
              <w:divBdr>
                <w:top w:val="none" w:sz="0" w:space="0" w:color="auto"/>
                <w:left w:val="none" w:sz="0" w:space="0" w:color="auto"/>
                <w:bottom w:val="none" w:sz="0" w:space="0" w:color="auto"/>
                <w:right w:val="none" w:sz="0" w:space="0" w:color="auto"/>
              </w:divBdr>
            </w:div>
          </w:divsChild>
        </w:div>
        <w:div w:id="801387316">
          <w:marLeft w:val="0"/>
          <w:marRight w:val="0"/>
          <w:marTop w:val="0"/>
          <w:marBottom w:val="0"/>
          <w:divBdr>
            <w:top w:val="none" w:sz="0" w:space="0" w:color="auto"/>
            <w:left w:val="none" w:sz="0" w:space="0" w:color="auto"/>
            <w:bottom w:val="none" w:sz="0" w:space="0" w:color="auto"/>
            <w:right w:val="none" w:sz="0" w:space="0" w:color="auto"/>
          </w:divBdr>
          <w:divsChild>
            <w:div w:id="547881451">
              <w:marLeft w:val="0"/>
              <w:marRight w:val="0"/>
              <w:marTop w:val="0"/>
              <w:marBottom w:val="0"/>
              <w:divBdr>
                <w:top w:val="none" w:sz="0" w:space="0" w:color="auto"/>
                <w:left w:val="none" w:sz="0" w:space="0" w:color="auto"/>
                <w:bottom w:val="none" w:sz="0" w:space="0" w:color="auto"/>
                <w:right w:val="none" w:sz="0" w:space="0" w:color="auto"/>
              </w:divBdr>
            </w:div>
          </w:divsChild>
        </w:div>
        <w:div w:id="828325719">
          <w:marLeft w:val="0"/>
          <w:marRight w:val="0"/>
          <w:marTop w:val="0"/>
          <w:marBottom w:val="0"/>
          <w:divBdr>
            <w:top w:val="none" w:sz="0" w:space="0" w:color="auto"/>
            <w:left w:val="none" w:sz="0" w:space="0" w:color="auto"/>
            <w:bottom w:val="none" w:sz="0" w:space="0" w:color="auto"/>
            <w:right w:val="none" w:sz="0" w:space="0" w:color="auto"/>
          </w:divBdr>
          <w:divsChild>
            <w:div w:id="879048239">
              <w:marLeft w:val="0"/>
              <w:marRight w:val="0"/>
              <w:marTop w:val="0"/>
              <w:marBottom w:val="0"/>
              <w:divBdr>
                <w:top w:val="none" w:sz="0" w:space="0" w:color="auto"/>
                <w:left w:val="none" w:sz="0" w:space="0" w:color="auto"/>
                <w:bottom w:val="none" w:sz="0" w:space="0" w:color="auto"/>
                <w:right w:val="none" w:sz="0" w:space="0" w:color="auto"/>
              </w:divBdr>
            </w:div>
          </w:divsChild>
        </w:div>
        <w:div w:id="1034311312">
          <w:marLeft w:val="0"/>
          <w:marRight w:val="0"/>
          <w:marTop w:val="0"/>
          <w:marBottom w:val="0"/>
          <w:divBdr>
            <w:top w:val="none" w:sz="0" w:space="0" w:color="auto"/>
            <w:left w:val="none" w:sz="0" w:space="0" w:color="auto"/>
            <w:bottom w:val="none" w:sz="0" w:space="0" w:color="auto"/>
            <w:right w:val="none" w:sz="0" w:space="0" w:color="auto"/>
          </w:divBdr>
          <w:divsChild>
            <w:div w:id="1126705120">
              <w:marLeft w:val="0"/>
              <w:marRight w:val="0"/>
              <w:marTop w:val="0"/>
              <w:marBottom w:val="0"/>
              <w:divBdr>
                <w:top w:val="none" w:sz="0" w:space="0" w:color="auto"/>
                <w:left w:val="none" w:sz="0" w:space="0" w:color="auto"/>
                <w:bottom w:val="none" w:sz="0" w:space="0" w:color="auto"/>
                <w:right w:val="none" w:sz="0" w:space="0" w:color="auto"/>
              </w:divBdr>
            </w:div>
          </w:divsChild>
        </w:div>
        <w:div w:id="1152254225">
          <w:marLeft w:val="0"/>
          <w:marRight w:val="0"/>
          <w:marTop w:val="0"/>
          <w:marBottom w:val="0"/>
          <w:divBdr>
            <w:top w:val="none" w:sz="0" w:space="0" w:color="auto"/>
            <w:left w:val="none" w:sz="0" w:space="0" w:color="auto"/>
            <w:bottom w:val="none" w:sz="0" w:space="0" w:color="auto"/>
            <w:right w:val="none" w:sz="0" w:space="0" w:color="auto"/>
          </w:divBdr>
          <w:divsChild>
            <w:div w:id="1275285007">
              <w:marLeft w:val="0"/>
              <w:marRight w:val="0"/>
              <w:marTop w:val="0"/>
              <w:marBottom w:val="0"/>
              <w:divBdr>
                <w:top w:val="none" w:sz="0" w:space="0" w:color="auto"/>
                <w:left w:val="none" w:sz="0" w:space="0" w:color="auto"/>
                <w:bottom w:val="none" w:sz="0" w:space="0" w:color="auto"/>
                <w:right w:val="none" w:sz="0" w:space="0" w:color="auto"/>
              </w:divBdr>
            </w:div>
          </w:divsChild>
        </w:div>
        <w:div w:id="1167524083">
          <w:marLeft w:val="0"/>
          <w:marRight w:val="0"/>
          <w:marTop w:val="0"/>
          <w:marBottom w:val="0"/>
          <w:divBdr>
            <w:top w:val="none" w:sz="0" w:space="0" w:color="auto"/>
            <w:left w:val="none" w:sz="0" w:space="0" w:color="auto"/>
            <w:bottom w:val="none" w:sz="0" w:space="0" w:color="auto"/>
            <w:right w:val="none" w:sz="0" w:space="0" w:color="auto"/>
          </w:divBdr>
          <w:divsChild>
            <w:div w:id="1754274896">
              <w:marLeft w:val="0"/>
              <w:marRight w:val="0"/>
              <w:marTop w:val="0"/>
              <w:marBottom w:val="0"/>
              <w:divBdr>
                <w:top w:val="none" w:sz="0" w:space="0" w:color="auto"/>
                <w:left w:val="none" w:sz="0" w:space="0" w:color="auto"/>
                <w:bottom w:val="none" w:sz="0" w:space="0" w:color="auto"/>
                <w:right w:val="none" w:sz="0" w:space="0" w:color="auto"/>
              </w:divBdr>
            </w:div>
          </w:divsChild>
        </w:div>
        <w:div w:id="1430662127">
          <w:marLeft w:val="0"/>
          <w:marRight w:val="0"/>
          <w:marTop w:val="0"/>
          <w:marBottom w:val="0"/>
          <w:divBdr>
            <w:top w:val="none" w:sz="0" w:space="0" w:color="auto"/>
            <w:left w:val="none" w:sz="0" w:space="0" w:color="auto"/>
            <w:bottom w:val="none" w:sz="0" w:space="0" w:color="auto"/>
            <w:right w:val="none" w:sz="0" w:space="0" w:color="auto"/>
          </w:divBdr>
          <w:divsChild>
            <w:div w:id="1682462645">
              <w:marLeft w:val="0"/>
              <w:marRight w:val="0"/>
              <w:marTop w:val="0"/>
              <w:marBottom w:val="0"/>
              <w:divBdr>
                <w:top w:val="none" w:sz="0" w:space="0" w:color="auto"/>
                <w:left w:val="none" w:sz="0" w:space="0" w:color="auto"/>
                <w:bottom w:val="none" w:sz="0" w:space="0" w:color="auto"/>
                <w:right w:val="none" w:sz="0" w:space="0" w:color="auto"/>
              </w:divBdr>
            </w:div>
          </w:divsChild>
        </w:div>
        <w:div w:id="1477917293">
          <w:marLeft w:val="0"/>
          <w:marRight w:val="0"/>
          <w:marTop w:val="0"/>
          <w:marBottom w:val="0"/>
          <w:divBdr>
            <w:top w:val="none" w:sz="0" w:space="0" w:color="auto"/>
            <w:left w:val="none" w:sz="0" w:space="0" w:color="auto"/>
            <w:bottom w:val="none" w:sz="0" w:space="0" w:color="auto"/>
            <w:right w:val="none" w:sz="0" w:space="0" w:color="auto"/>
          </w:divBdr>
          <w:divsChild>
            <w:div w:id="1180588668">
              <w:marLeft w:val="0"/>
              <w:marRight w:val="0"/>
              <w:marTop w:val="0"/>
              <w:marBottom w:val="0"/>
              <w:divBdr>
                <w:top w:val="none" w:sz="0" w:space="0" w:color="auto"/>
                <w:left w:val="none" w:sz="0" w:space="0" w:color="auto"/>
                <w:bottom w:val="none" w:sz="0" w:space="0" w:color="auto"/>
                <w:right w:val="none" w:sz="0" w:space="0" w:color="auto"/>
              </w:divBdr>
            </w:div>
          </w:divsChild>
        </w:div>
        <w:div w:id="1599557069">
          <w:marLeft w:val="0"/>
          <w:marRight w:val="0"/>
          <w:marTop w:val="0"/>
          <w:marBottom w:val="0"/>
          <w:divBdr>
            <w:top w:val="none" w:sz="0" w:space="0" w:color="auto"/>
            <w:left w:val="none" w:sz="0" w:space="0" w:color="auto"/>
            <w:bottom w:val="none" w:sz="0" w:space="0" w:color="auto"/>
            <w:right w:val="none" w:sz="0" w:space="0" w:color="auto"/>
          </w:divBdr>
          <w:divsChild>
            <w:div w:id="270432624">
              <w:marLeft w:val="0"/>
              <w:marRight w:val="0"/>
              <w:marTop w:val="0"/>
              <w:marBottom w:val="0"/>
              <w:divBdr>
                <w:top w:val="none" w:sz="0" w:space="0" w:color="auto"/>
                <w:left w:val="none" w:sz="0" w:space="0" w:color="auto"/>
                <w:bottom w:val="none" w:sz="0" w:space="0" w:color="auto"/>
                <w:right w:val="none" w:sz="0" w:space="0" w:color="auto"/>
              </w:divBdr>
            </w:div>
          </w:divsChild>
        </w:div>
        <w:div w:id="1607538249">
          <w:marLeft w:val="0"/>
          <w:marRight w:val="0"/>
          <w:marTop w:val="0"/>
          <w:marBottom w:val="0"/>
          <w:divBdr>
            <w:top w:val="none" w:sz="0" w:space="0" w:color="auto"/>
            <w:left w:val="none" w:sz="0" w:space="0" w:color="auto"/>
            <w:bottom w:val="none" w:sz="0" w:space="0" w:color="auto"/>
            <w:right w:val="none" w:sz="0" w:space="0" w:color="auto"/>
          </w:divBdr>
          <w:divsChild>
            <w:div w:id="1895853747">
              <w:marLeft w:val="0"/>
              <w:marRight w:val="0"/>
              <w:marTop w:val="0"/>
              <w:marBottom w:val="0"/>
              <w:divBdr>
                <w:top w:val="none" w:sz="0" w:space="0" w:color="auto"/>
                <w:left w:val="none" w:sz="0" w:space="0" w:color="auto"/>
                <w:bottom w:val="none" w:sz="0" w:space="0" w:color="auto"/>
                <w:right w:val="none" w:sz="0" w:space="0" w:color="auto"/>
              </w:divBdr>
            </w:div>
          </w:divsChild>
        </w:div>
        <w:div w:id="1710642669">
          <w:marLeft w:val="0"/>
          <w:marRight w:val="0"/>
          <w:marTop w:val="0"/>
          <w:marBottom w:val="0"/>
          <w:divBdr>
            <w:top w:val="none" w:sz="0" w:space="0" w:color="auto"/>
            <w:left w:val="none" w:sz="0" w:space="0" w:color="auto"/>
            <w:bottom w:val="none" w:sz="0" w:space="0" w:color="auto"/>
            <w:right w:val="none" w:sz="0" w:space="0" w:color="auto"/>
          </w:divBdr>
          <w:divsChild>
            <w:div w:id="1662853882">
              <w:marLeft w:val="0"/>
              <w:marRight w:val="0"/>
              <w:marTop w:val="0"/>
              <w:marBottom w:val="0"/>
              <w:divBdr>
                <w:top w:val="none" w:sz="0" w:space="0" w:color="auto"/>
                <w:left w:val="none" w:sz="0" w:space="0" w:color="auto"/>
                <w:bottom w:val="none" w:sz="0" w:space="0" w:color="auto"/>
                <w:right w:val="none" w:sz="0" w:space="0" w:color="auto"/>
              </w:divBdr>
            </w:div>
          </w:divsChild>
        </w:div>
        <w:div w:id="1717656100">
          <w:marLeft w:val="0"/>
          <w:marRight w:val="0"/>
          <w:marTop w:val="0"/>
          <w:marBottom w:val="0"/>
          <w:divBdr>
            <w:top w:val="none" w:sz="0" w:space="0" w:color="auto"/>
            <w:left w:val="none" w:sz="0" w:space="0" w:color="auto"/>
            <w:bottom w:val="none" w:sz="0" w:space="0" w:color="auto"/>
            <w:right w:val="none" w:sz="0" w:space="0" w:color="auto"/>
          </w:divBdr>
          <w:divsChild>
            <w:div w:id="2115246985">
              <w:marLeft w:val="0"/>
              <w:marRight w:val="0"/>
              <w:marTop w:val="0"/>
              <w:marBottom w:val="0"/>
              <w:divBdr>
                <w:top w:val="none" w:sz="0" w:space="0" w:color="auto"/>
                <w:left w:val="none" w:sz="0" w:space="0" w:color="auto"/>
                <w:bottom w:val="none" w:sz="0" w:space="0" w:color="auto"/>
                <w:right w:val="none" w:sz="0" w:space="0" w:color="auto"/>
              </w:divBdr>
            </w:div>
          </w:divsChild>
        </w:div>
        <w:div w:id="1769689933">
          <w:marLeft w:val="0"/>
          <w:marRight w:val="0"/>
          <w:marTop w:val="0"/>
          <w:marBottom w:val="0"/>
          <w:divBdr>
            <w:top w:val="none" w:sz="0" w:space="0" w:color="auto"/>
            <w:left w:val="none" w:sz="0" w:space="0" w:color="auto"/>
            <w:bottom w:val="none" w:sz="0" w:space="0" w:color="auto"/>
            <w:right w:val="none" w:sz="0" w:space="0" w:color="auto"/>
          </w:divBdr>
          <w:divsChild>
            <w:div w:id="2175169">
              <w:marLeft w:val="0"/>
              <w:marRight w:val="0"/>
              <w:marTop w:val="0"/>
              <w:marBottom w:val="0"/>
              <w:divBdr>
                <w:top w:val="none" w:sz="0" w:space="0" w:color="auto"/>
                <w:left w:val="none" w:sz="0" w:space="0" w:color="auto"/>
                <w:bottom w:val="none" w:sz="0" w:space="0" w:color="auto"/>
                <w:right w:val="none" w:sz="0" w:space="0" w:color="auto"/>
              </w:divBdr>
            </w:div>
          </w:divsChild>
        </w:div>
        <w:div w:id="1863473087">
          <w:marLeft w:val="0"/>
          <w:marRight w:val="0"/>
          <w:marTop w:val="0"/>
          <w:marBottom w:val="0"/>
          <w:divBdr>
            <w:top w:val="none" w:sz="0" w:space="0" w:color="auto"/>
            <w:left w:val="none" w:sz="0" w:space="0" w:color="auto"/>
            <w:bottom w:val="none" w:sz="0" w:space="0" w:color="auto"/>
            <w:right w:val="none" w:sz="0" w:space="0" w:color="auto"/>
          </w:divBdr>
          <w:divsChild>
            <w:div w:id="686711427">
              <w:marLeft w:val="0"/>
              <w:marRight w:val="0"/>
              <w:marTop w:val="0"/>
              <w:marBottom w:val="0"/>
              <w:divBdr>
                <w:top w:val="none" w:sz="0" w:space="0" w:color="auto"/>
                <w:left w:val="none" w:sz="0" w:space="0" w:color="auto"/>
                <w:bottom w:val="none" w:sz="0" w:space="0" w:color="auto"/>
                <w:right w:val="none" w:sz="0" w:space="0" w:color="auto"/>
              </w:divBdr>
            </w:div>
          </w:divsChild>
        </w:div>
        <w:div w:id="2034110169">
          <w:marLeft w:val="0"/>
          <w:marRight w:val="0"/>
          <w:marTop w:val="0"/>
          <w:marBottom w:val="0"/>
          <w:divBdr>
            <w:top w:val="none" w:sz="0" w:space="0" w:color="auto"/>
            <w:left w:val="none" w:sz="0" w:space="0" w:color="auto"/>
            <w:bottom w:val="none" w:sz="0" w:space="0" w:color="auto"/>
            <w:right w:val="none" w:sz="0" w:space="0" w:color="auto"/>
          </w:divBdr>
          <w:divsChild>
            <w:div w:id="1692490558">
              <w:marLeft w:val="0"/>
              <w:marRight w:val="0"/>
              <w:marTop w:val="0"/>
              <w:marBottom w:val="0"/>
              <w:divBdr>
                <w:top w:val="none" w:sz="0" w:space="0" w:color="auto"/>
                <w:left w:val="none" w:sz="0" w:space="0" w:color="auto"/>
                <w:bottom w:val="none" w:sz="0" w:space="0" w:color="auto"/>
                <w:right w:val="none" w:sz="0" w:space="0" w:color="auto"/>
              </w:divBdr>
            </w:div>
          </w:divsChild>
        </w:div>
        <w:div w:id="2082822082">
          <w:marLeft w:val="0"/>
          <w:marRight w:val="0"/>
          <w:marTop w:val="0"/>
          <w:marBottom w:val="0"/>
          <w:divBdr>
            <w:top w:val="none" w:sz="0" w:space="0" w:color="auto"/>
            <w:left w:val="none" w:sz="0" w:space="0" w:color="auto"/>
            <w:bottom w:val="none" w:sz="0" w:space="0" w:color="auto"/>
            <w:right w:val="none" w:sz="0" w:space="0" w:color="auto"/>
          </w:divBdr>
          <w:divsChild>
            <w:div w:id="1936018500">
              <w:marLeft w:val="0"/>
              <w:marRight w:val="0"/>
              <w:marTop w:val="0"/>
              <w:marBottom w:val="0"/>
              <w:divBdr>
                <w:top w:val="none" w:sz="0" w:space="0" w:color="auto"/>
                <w:left w:val="none" w:sz="0" w:space="0" w:color="auto"/>
                <w:bottom w:val="none" w:sz="0" w:space="0" w:color="auto"/>
                <w:right w:val="none" w:sz="0" w:space="0" w:color="auto"/>
              </w:divBdr>
            </w:div>
          </w:divsChild>
        </w:div>
        <w:div w:id="2119793285">
          <w:marLeft w:val="0"/>
          <w:marRight w:val="0"/>
          <w:marTop w:val="0"/>
          <w:marBottom w:val="0"/>
          <w:divBdr>
            <w:top w:val="none" w:sz="0" w:space="0" w:color="auto"/>
            <w:left w:val="none" w:sz="0" w:space="0" w:color="auto"/>
            <w:bottom w:val="none" w:sz="0" w:space="0" w:color="auto"/>
            <w:right w:val="none" w:sz="0" w:space="0" w:color="auto"/>
          </w:divBdr>
          <w:divsChild>
            <w:div w:id="39335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14929">
      <w:bodyDiv w:val="1"/>
      <w:marLeft w:val="0"/>
      <w:marRight w:val="0"/>
      <w:marTop w:val="0"/>
      <w:marBottom w:val="0"/>
      <w:divBdr>
        <w:top w:val="none" w:sz="0" w:space="0" w:color="auto"/>
        <w:left w:val="none" w:sz="0" w:space="0" w:color="auto"/>
        <w:bottom w:val="none" w:sz="0" w:space="0" w:color="auto"/>
        <w:right w:val="none" w:sz="0" w:space="0" w:color="auto"/>
      </w:divBdr>
    </w:div>
    <w:div w:id="1738554405">
      <w:bodyDiv w:val="1"/>
      <w:marLeft w:val="0"/>
      <w:marRight w:val="0"/>
      <w:marTop w:val="0"/>
      <w:marBottom w:val="0"/>
      <w:divBdr>
        <w:top w:val="none" w:sz="0" w:space="0" w:color="auto"/>
        <w:left w:val="none" w:sz="0" w:space="0" w:color="auto"/>
        <w:bottom w:val="none" w:sz="0" w:space="0" w:color="auto"/>
        <w:right w:val="none" w:sz="0" w:space="0" w:color="auto"/>
      </w:divBdr>
    </w:div>
    <w:div w:id="1755325062">
      <w:bodyDiv w:val="1"/>
      <w:marLeft w:val="0"/>
      <w:marRight w:val="0"/>
      <w:marTop w:val="0"/>
      <w:marBottom w:val="0"/>
      <w:divBdr>
        <w:top w:val="none" w:sz="0" w:space="0" w:color="auto"/>
        <w:left w:val="none" w:sz="0" w:space="0" w:color="auto"/>
        <w:bottom w:val="none" w:sz="0" w:space="0" w:color="auto"/>
        <w:right w:val="none" w:sz="0" w:space="0" w:color="auto"/>
      </w:divBdr>
    </w:div>
    <w:div w:id="1763138405">
      <w:bodyDiv w:val="1"/>
      <w:marLeft w:val="0"/>
      <w:marRight w:val="0"/>
      <w:marTop w:val="0"/>
      <w:marBottom w:val="0"/>
      <w:divBdr>
        <w:top w:val="none" w:sz="0" w:space="0" w:color="auto"/>
        <w:left w:val="none" w:sz="0" w:space="0" w:color="auto"/>
        <w:bottom w:val="none" w:sz="0" w:space="0" w:color="auto"/>
        <w:right w:val="none" w:sz="0" w:space="0" w:color="auto"/>
      </w:divBdr>
    </w:div>
    <w:div w:id="1781802542">
      <w:bodyDiv w:val="1"/>
      <w:marLeft w:val="0"/>
      <w:marRight w:val="0"/>
      <w:marTop w:val="0"/>
      <w:marBottom w:val="0"/>
      <w:divBdr>
        <w:top w:val="none" w:sz="0" w:space="0" w:color="auto"/>
        <w:left w:val="none" w:sz="0" w:space="0" w:color="auto"/>
        <w:bottom w:val="none" w:sz="0" w:space="0" w:color="auto"/>
        <w:right w:val="none" w:sz="0" w:space="0" w:color="auto"/>
      </w:divBdr>
    </w:div>
    <w:div w:id="1785927836">
      <w:bodyDiv w:val="1"/>
      <w:marLeft w:val="0"/>
      <w:marRight w:val="0"/>
      <w:marTop w:val="0"/>
      <w:marBottom w:val="0"/>
      <w:divBdr>
        <w:top w:val="none" w:sz="0" w:space="0" w:color="auto"/>
        <w:left w:val="none" w:sz="0" w:space="0" w:color="auto"/>
        <w:bottom w:val="none" w:sz="0" w:space="0" w:color="auto"/>
        <w:right w:val="none" w:sz="0" w:space="0" w:color="auto"/>
      </w:divBdr>
      <w:divsChild>
        <w:div w:id="824124384">
          <w:marLeft w:val="0"/>
          <w:marRight w:val="0"/>
          <w:marTop w:val="0"/>
          <w:marBottom w:val="0"/>
          <w:divBdr>
            <w:top w:val="none" w:sz="0" w:space="0" w:color="auto"/>
            <w:left w:val="none" w:sz="0" w:space="0" w:color="auto"/>
            <w:bottom w:val="none" w:sz="0" w:space="0" w:color="auto"/>
            <w:right w:val="none" w:sz="0" w:space="0" w:color="auto"/>
          </w:divBdr>
        </w:div>
        <w:div w:id="1174995529">
          <w:marLeft w:val="0"/>
          <w:marRight w:val="0"/>
          <w:marTop w:val="0"/>
          <w:marBottom w:val="0"/>
          <w:divBdr>
            <w:top w:val="none" w:sz="0" w:space="0" w:color="auto"/>
            <w:left w:val="none" w:sz="0" w:space="0" w:color="auto"/>
            <w:bottom w:val="none" w:sz="0" w:space="0" w:color="auto"/>
            <w:right w:val="none" w:sz="0" w:space="0" w:color="auto"/>
          </w:divBdr>
        </w:div>
      </w:divsChild>
    </w:div>
    <w:div w:id="1797021464">
      <w:bodyDiv w:val="1"/>
      <w:marLeft w:val="0"/>
      <w:marRight w:val="0"/>
      <w:marTop w:val="0"/>
      <w:marBottom w:val="0"/>
      <w:divBdr>
        <w:top w:val="none" w:sz="0" w:space="0" w:color="auto"/>
        <w:left w:val="none" w:sz="0" w:space="0" w:color="auto"/>
        <w:bottom w:val="none" w:sz="0" w:space="0" w:color="auto"/>
        <w:right w:val="none" w:sz="0" w:space="0" w:color="auto"/>
      </w:divBdr>
    </w:div>
    <w:div w:id="1805342511">
      <w:bodyDiv w:val="1"/>
      <w:marLeft w:val="0"/>
      <w:marRight w:val="0"/>
      <w:marTop w:val="0"/>
      <w:marBottom w:val="0"/>
      <w:divBdr>
        <w:top w:val="none" w:sz="0" w:space="0" w:color="auto"/>
        <w:left w:val="none" w:sz="0" w:space="0" w:color="auto"/>
        <w:bottom w:val="none" w:sz="0" w:space="0" w:color="auto"/>
        <w:right w:val="none" w:sz="0" w:space="0" w:color="auto"/>
      </w:divBdr>
    </w:div>
    <w:div w:id="1811436722">
      <w:bodyDiv w:val="1"/>
      <w:marLeft w:val="0"/>
      <w:marRight w:val="0"/>
      <w:marTop w:val="0"/>
      <w:marBottom w:val="0"/>
      <w:divBdr>
        <w:top w:val="none" w:sz="0" w:space="0" w:color="auto"/>
        <w:left w:val="none" w:sz="0" w:space="0" w:color="auto"/>
        <w:bottom w:val="none" w:sz="0" w:space="0" w:color="auto"/>
        <w:right w:val="none" w:sz="0" w:space="0" w:color="auto"/>
      </w:divBdr>
    </w:div>
    <w:div w:id="1822305863">
      <w:bodyDiv w:val="1"/>
      <w:marLeft w:val="0"/>
      <w:marRight w:val="0"/>
      <w:marTop w:val="0"/>
      <w:marBottom w:val="0"/>
      <w:divBdr>
        <w:top w:val="none" w:sz="0" w:space="0" w:color="auto"/>
        <w:left w:val="none" w:sz="0" w:space="0" w:color="auto"/>
        <w:bottom w:val="none" w:sz="0" w:space="0" w:color="auto"/>
        <w:right w:val="none" w:sz="0" w:space="0" w:color="auto"/>
      </w:divBdr>
    </w:div>
    <w:div w:id="1836456298">
      <w:bodyDiv w:val="1"/>
      <w:marLeft w:val="0"/>
      <w:marRight w:val="0"/>
      <w:marTop w:val="0"/>
      <w:marBottom w:val="0"/>
      <w:divBdr>
        <w:top w:val="none" w:sz="0" w:space="0" w:color="auto"/>
        <w:left w:val="none" w:sz="0" w:space="0" w:color="auto"/>
        <w:bottom w:val="none" w:sz="0" w:space="0" w:color="auto"/>
        <w:right w:val="none" w:sz="0" w:space="0" w:color="auto"/>
      </w:divBdr>
    </w:div>
    <w:div w:id="1839808393">
      <w:bodyDiv w:val="1"/>
      <w:marLeft w:val="0"/>
      <w:marRight w:val="0"/>
      <w:marTop w:val="0"/>
      <w:marBottom w:val="0"/>
      <w:divBdr>
        <w:top w:val="none" w:sz="0" w:space="0" w:color="auto"/>
        <w:left w:val="none" w:sz="0" w:space="0" w:color="auto"/>
        <w:bottom w:val="none" w:sz="0" w:space="0" w:color="auto"/>
        <w:right w:val="none" w:sz="0" w:space="0" w:color="auto"/>
      </w:divBdr>
    </w:div>
    <w:div w:id="1847818686">
      <w:bodyDiv w:val="1"/>
      <w:marLeft w:val="0"/>
      <w:marRight w:val="0"/>
      <w:marTop w:val="0"/>
      <w:marBottom w:val="0"/>
      <w:divBdr>
        <w:top w:val="none" w:sz="0" w:space="0" w:color="auto"/>
        <w:left w:val="none" w:sz="0" w:space="0" w:color="auto"/>
        <w:bottom w:val="none" w:sz="0" w:space="0" w:color="auto"/>
        <w:right w:val="none" w:sz="0" w:space="0" w:color="auto"/>
      </w:divBdr>
    </w:div>
    <w:div w:id="1856075326">
      <w:bodyDiv w:val="1"/>
      <w:marLeft w:val="0"/>
      <w:marRight w:val="0"/>
      <w:marTop w:val="0"/>
      <w:marBottom w:val="0"/>
      <w:divBdr>
        <w:top w:val="none" w:sz="0" w:space="0" w:color="auto"/>
        <w:left w:val="none" w:sz="0" w:space="0" w:color="auto"/>
        <w:bottom w:val="none" w:sz="0" w:space="0" w:color="auto"/>
        <w:right w:val="none" w:sz="0" w:space="0" w:color="auto"/>
      </w:divBdr>
    </w:div>
    <w:div w:id="1865508812">
      <w:bodyDiv w:val="1"/>
      <w:marLeft w:val="0"/>
      <w:marRight w:val="0"/>
      <w:marTop w:val="0"/>
      <w:marBottom w:val="0"/>
      <w:divBdr>
        <w:top w:val="none" w:sz="0" w:space="0" w:color="auto"/>
        <w:left w:val="none" w:sz="0" w:space="0" w:color="auto"/>
        <w:bottom w:val="none" w:sz="0" w:space="0" w:color="auto"/>
        <w:right w:val="none" w:sz="0" w:space="0" w:color="auto"/>
      </w:divBdr>
    </w:div>
    <w:div w:id="1888754459">
      <w:bodyDiv w:val="1"/>
      <w:marLeft w:val="0"/>
      <w:marRight w:val="0"/>
      <w:marTop w:val="0"/>
      <w:marBottom w:val="0"/>
      <w:divBdr>
        <w:top w:val="none" w:sz="0" w:space="0" w:color="auto"/>
        <w:left w:val="none" w:sz="0" w:space="0" w:color="auto"/>
        <w:bottom w:val="none" w:sz="0" w:space="0" w:color="auto"/>
        <w:right w:val="none" w:sz="0" w:space="0" w:color="auto"/>
      </w:divBdr>
    </w:div>
    <w:div w:id="1906799076">
      <w:bodyDiv w:val="1"/>
      <w:marLeft w:val="0"/>
      <w:marRight w:val="0"/>
      <w:marTop w:val="0"/>
      <w:marBottom w:val="0"/>
      <w:divBdr>
        <w:top w:val="none" w:sz="0" w:space="0" w:color="auto"/>
        <w:left w:val="none" w:sz="0" w:space="0" w:color="auto"/>
        <w:bottom w:val="none" w:sz="0" w:space="0" w:color="auto"/>
        <w:right w:val="none" w:sz="0" w:space="0" w:color="auto"/>
      </w:divBdr>
    </w:div>
    <w:div w:id="1917587093">
      <w:bodyDiv w:val="1"/>
      <w:marLeft w:val="0"/>
      <w:marRight w:val="0"/>
      <w:marTop w:val="0"/>
      <w:marBottom w:val="0"/>
      <w:divBdr>
        <w:top w:val="none" w:sz="0" w:space="0" w:color="auto"/>
        <w:left w:val="none" w:sz="0" w:space="0" w:color="auto"/>
        <w:bottom w:val="none" w:sz="0" w:space="0" w:color="auto"/>
        <w:right w:val="none" w:sz="0" w:space="0" w:color="auto"/>
      </w:divBdr>
    </w:div>
    <w:div w:id="1941059688">
      <w:bodyDiv w:val="1"/>
      <w:marLeft w:val="0"/>
      <w:marRight w:val="0"/>
      <w:marTop w:val="0"/>
      <w:marBottom w:val="0"/>
      <w:divBdr>
        <w:top w:val="none" w:sz="0" w:space="0" w:color="auto"/>
        <w:left w:val="none" w:sz="0" w:space="0" w:color="auto"/>
        <w:bottom w:val="none" w:sz="0" w:space="0" w:color="auto"/>
        <w:right w:val="none" w:sz="0" w:space="0" w:color="auto"/>
      </w:divBdr>
    </w:div>
    <w:div w:id="1944457605">
      <w:bodyDiv w:val="1"/>
      <w:marLeft w:val="0"/>
      <w:marRight w:val="0"/>
      <w:marTop w:val="0"/>
      <w:marBottom w:val="0"/>
      <w:divBdr>
        <w:top w:val="none" w:sz="0" w:space="0" w:color="auto"/>
        <w:left w:val="none" w:sz="0" w:space="0" w:color="auto"/>
        <w:bottom w:val="none" w:sz="0" w:space="0" w:color="auto"/>
        <w:right w:val="none" w:sz="0" w:space="0" w:color="auto"/>
      </w:divBdr>
    </w:div>
    <w:div w:id="1948930236">
      <w:bodyDiv w:val="1"/>
      <w:marLeft w:val="0"/>
      <w:marRight w:val="0"/>
      <w:marTop w:val="0"/>
      <w:marBottom w:val="0"/>
      <w:divBdr>
        <w:top w:val="none" w:sz="0" w:space="0" w:color="auto"/>
        <w:left w:val="none" w:sz="0" w:space="0" w:color="auto"/>
        <w:bottom w:val="none" w:sz="0" w:space="0" w:color="auto"/>
        <w:right w:val="none" w:sz="0" w:space="0" w:color="auto"/>
      </w:divBdr>
    </w:div>
    <w:div w:id="1949893251">
      <w:bodyDiv w:val="1"/>
      <w:marLeft w:val="0"/>
      <w:marRight w:val="0"/>
      <w:marTop w:val="0"/>
      <w:marBottom w:val="0"/>
      <w:divBdr>
        <w:top w:val="none" w:sz="0" w:space="0" w:color="auto"/>
        <w:left w:val="none" w:sz="0" w:space="0" w:color="auto"/>
        <w:bottom w:val="none" w:sz="0" w:space="0" w:color="auto"/>
        <w:right w:val="none" w:sz="0" w:space="0" w:color="auto"/>
      </w:divBdr>
    </w:div>
    <w:div w:id="1970697332">
      <w:bodyDiv w:val="1"/>
      <w:marLeft w:val="0"/>
      <w:marRight w:val="0"/>
      <w:marTop w:val="0"/>
      <w:marBottom w:val="0"/>
      <w:divBdr>
        <w:top w:val="none" w:sz="0" w:space="0" w:color="auto"/>
        <w:left w:val="none" w:sz="0" w:space="0" w:color="auto"/>
        <w:bottom w:val="none" w:sz="0" w:space="0" w:color="auto"/>
        <w:right w:val="none" w:sz="0" w:space="0" w:color="auto"/>
      </w:divBdr>
      <w:divsChild>
        <w:div w:id="354694665">
          <w:marLeft w:val="0"/>
          <w:marRight w:val="0"/>
          <w:marTop w:val="0"/>
          <w:marBottom w:val="0"/>
          <w:divBdr>
            <w:top w:val="none" w:sz="0" w:space="0" w:color="auto"/>
            <w:left w:val="none" w:sz="0" w:space="0" w:color="auto"/>
            <w:bottom w:val="none" w:sz="0" w:space="0" w:color="auto"/>
            <w:right w:val="none" w:sz="0" w:space="0" w:color="auto"/>
          </w:divBdr>
          <w:divsChild>
            <w:div w:id="2079664608">
              <w:marLeft w:val="-75"/>
              <w:marRight w:val="0"/>
              <w:marTop w:val="30"/>
              <w:marBottom w:val="30"/>
              <w:divBdr>
                <w:top w:val="none" w:sz="0" w:space="0" w:color="auto"/>
                <w:left w:val="none" w:sz="0" w:space="0" w:color="auto"/>
                <w:bottom w:val="none" w:sz="0" w:space="0" w:color="auto"/>
                <w:right w:val="none" w:sz="0" w:space="0" w:color="auto"/>
              </w:divBdr>
              <w:divsChild>
                <w:div w:id="3019016">
                  <w:marLeft w:val="0"/>
                  <w:marRight w:val="0"/>
                  <w:marTop w:val="0"/>
                  <w:marBottom w:val="0"/>
                  <w:divBdr>
                    <w:top w:val="none" w:sz="0" w:space="0" w:color="auto"/>
                    <w:left w:val="none" w:sz="0" w:space="0" w:color="auto"/>
                    <w:bottom w:val="none" w:sz="0" w:space="0" w:color="auto"/>
                    <w:right w:val="none" w:sz="0" w:space="0" w:color="auto"/>
                  </w:divBdr>
                  <w:divsChild>
                    <w:div w:id="293143952">
                      <w:marLeft w:val="0"/>
                      <w:marRight w:val="0"/>
                      <w:marTop w:val="0"/>
                      <w:marBottom w:val="0"/>
                      <w:divBdr>
                        <w:top w:val="none" w:sz="0" w:space="0" w:color="auto"/>
                        <w:left w:val="none" w:sz="0" w:space="0" w:color="auto"/>
                        <w:bottom w:val="none" w:sz="0" w:space="0" w:color="auto"/>
                        <w:right w:val="none" w:sz="0" w:space="0" w:color="auto"/>
                      </w:divBdr>
                    </w:div>
                  </w:divsChild>
                </w:div>
                <w:div w:id="30571501">
                  <w:marLeft w:val="0"/>
                  <w:marRight w:val="0"/>
                  <w:marTop w:val="0"/>
                  <w:marBottom w:val="0"/>
                  <w:divBdr>
                    <w:top w:val="none" w:sz="0" w:space="0" w:color="auto"/>
                    <w:left w:val="none" w:sz="0" w:space="0" w:color="auto"/>
                    <w:bottom w:val="none" w:sz="0" w:space="0" w:color="auto"/>
                    <w:right w:val="none" w:sz="0" w:space="0" w:color="auto"/>
                  </w:divBdr>
                  <w:divsChild>
                    <w:div w:id="1591507449">
                      <w:marLeft w:val="0"/>
                      <w:marRight w:val="0"/>
                      <w:marTop w:val="0"/>
                      <w:marBottom w:val="0"/>
                      <w:divBdr>
                        <w:top w:val="none" w:sz="0" w:space="0" w:color="auto"/>
                        <w:left w:val="none" w:sz="0" w:space="0" w:color="auto"/>
                        <w:bottom w:val="none" w:sz="0" w:space="0" w:color="auto"/>
                        <w:right w:val="none" w:sz="0" w:space="0" w:color="auto"/>
                      </w:divBdr>
                    </w:div>
                  </w:divsChild>
                </w:div>
                <w:div w:id="40793985">
                  <w:marLeft w:val="0"/>
                  <w:marRight w:val="0"/>
                  <w:marTop w:val="0"/>
                  <w:marBottom w:val="0"/>
                  <w:divBdr>
                    <w:top w:val="none" w:sz="0" w:space="0" w:color="auto"/>
                    <w:left w:val="none" w:sz="0" w:space="0" w:color="auto"/>
                    <w:bottom w:val="none" w:sz="0" w:space="0" w:color="auto"/>
                    <w:right w:val="none" w:sz="0" w:space="0" w:color="auto"/>
                  </w:divBdr>
                  <w:divsChild>
                    <w:div w:id="775641598">
                      <w:marLeft w:val="0"/>
                      <w:marRight w:val="0"/>
                      <w:marTop w:val="0"/>
                      <w:marBottom w:val="0"/>
                      <w:divBdr>
                        <w:top w:val="none" w:sz="0" w:space="0" w:color="auto"/>
                        <w:left w:val="none" w:sz="0" w:space="0" w:color="auto"/>
                        <w:bottom w:val="none" w:sz="0" w:space="0" w:color="auto"/>
                        <w:right w:val="none" w:sz="0" w:space="0" w:color="auto"/>
                      </w:divBdr>
                    </w:div>
                  </w:divsChild>
                </w:div>
                <w:div w:id="43260191">
                  <w:marLeft w:val="0"/>
                  <w:marRight w:val="0"/>
                  <w:marTop w:val="0"/>
                  <w:marBottom w:val="0"/>
                  <w:divBdr>
                    <w:top w:val="none" w:sz="0" w:space="0" w:color="auto"/>
                    <w:left w:val="none" w:sz="0" w:space="0" w:color="auto"/>
                    <w:bottom w:val="none" w:sz="0" w:space="0" w:color="auto"/>
                    <w:right w:val="none" w:sz="0" w:space="0" w:color="auto"/>
                  </w:divBdr>
                  <w:divsChild>
                    <w:div w:id="1350133944">
                      <w:marLeft w:val="0"/>
                      <w:marRight w:val="0"/>
                      <w:marTop w:val="0"/>
                      <w:marBottom w:val="0"/>
                      <w:divBdr>
                        <w:top w:val="none" w:sz="0" w:space="0" w:color="auto"/>
                        <w:left w:val="none" w:sz="0" w:space="0" w:color="auto"/>
                        <w:bottom w:val="none" w:sz="0" w:space="0" w:color="auto"/>
                        <w:right w:val="none" w:sz="0" w:space="0" w:color="auto"/>
                      </w:divBdr>
                    </w:div>
                  </w:divsChild>
                </w:div>
                <w:div w:id="44529158">
                  <w:marLeft w:val="0"/>
                  <w:marRight w:val="0"/>
                  <w:marTop w:val="0"/>
                  <w:marBottom w:val="0"/>
                  <w:divBdr>
                    <w:top w:val="none" w:sz="0" w:space="0" w:color="auto"/>
                    <w:left w:val="none" w:sz="0" w:space="0" w:color="auto"/>
                    <w:bottom w:val="none" w:sz="0" w:space="0" w:color="auto"/>
                    <w:right w:val="none" w:sz="0" w:space="0" w:color="auto"/>
                  </w:divBdr>
                  <w:divsChild>
                    <w:div w:id="1746873921">
                      <w:marLeft w:val="0"/>
                      <w:marRight w:val="0"/>
                      <w:marTop w:val="0"/>
                      <w:marBottom w:val="0"/>
                      <w:divBdr>
                        <w:top w:val="none" w:sz="0" w:space="0" w:color="auto"/>
                        <w:left w:val="none" w:sz="0" w:space="0" w:color="auto"/>
                        <w:bottom w:val="none" w:sz="0" w:space="0" w:color="auto"/>
                        <w:right w:val="none" w:sz="0" w:space="0" w:color="auto"/>
                      </w:divBdr>
                    </w:div>
                  </w:divsChild>
                </w:div>
                <w:div w:id="61146057">
                  <w:marLeft w:val="0"/>
                  <w:marRight w:val="0"/>
                  <w:marTop w:val="0"/>
                  <w:marBottom w:val="0"/>
                  <w:divBdr>
                    <w:top w:val="none" w:sz="0" w:space="0" w:color="auto"/>
                    <w:left w:val="none" w:sz="0" w:space="0" w:color="auto"/>
                    <w:bottom w:val="none" w:sz="0" w:space="0" w:color="auto"/>
                    <w:right w:val="none" w:sz="0" w:space="0" w:color="auto"/>
                  </w:divBdr>
                  <w:divsChild>
                    <w:div w:id="1276656">
                      <w:marLeft w:val="0"/>
                      <w:marRight w:val="0"/>
                      <w:marTop w:val="0"/>
                      <w:marBottom w:val="0"/>
                      <w:divBdr>
                        <w:top w:val="none" w:sz="0" w:space="0" w:color="auto"/>
                        <w:left w:val="none" w:sz="0" w:space="0" w:color="auto"/>
                        <w:bottom w:val="none" w:sz="0" w:space="0" w:color="auto"/>
                        <w:right w:val="none" w:sz="0" w:space="0" w:color="auto"/>
                      </w:divBdr>
                    </w:div>
                  </w:divsChild>
                </w:div>
                <w:div w:id="66465570">
                  <w:marLeft w:val="0"/>
                  <w:marRight w:val="0"/>
                  <w:marTop w:val="0"/>
                  <w:marBottom w:val="0"/>
                  <w:divBdr>
                    <w:top w:val="none" w:sz="0" w:space="0" w:color="auto"/>
                    <w:left w:val="none" w:sz="0" w:space="0" w:color="auto"/>
                    <w:bottom w:val="none" w:sz="0" w:space="0" w:color="auto"/>
                    <w:right w:val="none" w:sz="0" w:space="0" w:color="auto"/>
                  </w:divBdr>
                  <w:divsChild>
                    <w:div w:id="500511384">
                      <w:marLeft w:val="0"/>
                      <w:marRight w:val="0"/>
                      <w:marTop w:val="0"/>
                      <w:marBottom w:val="0"/>
                      <w:divBdr>
                        <w:top w:val="none" w:sz="0" w:space="0" w:color="auto"/>
                        <w:left w:val="none" w:sz="0" w:space="0" w:color="auto"/>
                        <w:bottom w:val="none" w:sz="0" w:space="0" w:color="auto"/>
                        <w:right w:val="none" w:sz="0" w:space="0" w:color="auto"/>
                      </w:divBdr>
                    </w:div>
                  </w:divsChild>
                </w:div>
                <w:div w:id="71434689">
                  <w:marLeft w:val="0"/>
                  <w:marRight w:val="0"/>
                  <w:marTop w:val="0"/>
                  <w:marBottom w:val="0"/>
                  <w:divBdr>
                    <w:top w:val="none" w:sz="0" w:space="0" w:color="auto"/>
                    <w:left w:val="none" w:sz="0" w:space="0" w:color="auto"/>
                    <w:bottom w:val="none" w:sz="0" w:space="0" w:color="auto"/>
                    <w:right w:val="none" w:sz="0" w:space="0" w:color="auto"/>
                  </w:divBdr>
                  <w:divsChild>
                    <w:div w:id="778717436">
                      <w:marLeft w:val="0"/>
                      <w:marRight w:val="0"/>
                      <w:marTop w:val="0"/>
                      <w:marBottom w:val="0"/>
                      <w:divBdr>
                        <w:top w:val="none" w:sz="0" w:space="0" w:color="auto"/>
                        <w:left w:val="none" w:sz="0" w:space="0" w:color="auto"/>
                        <w:bottom w:val="none" w:sz="0" w:space="0" w:color="auto"/>
                        <w:right w:val="none" w:sz="0" w:space="0" w:color="auto"/>
                      </w:divBdr>
                    </w:div>
                  </w:divsChild>
                </w:div>
                <w:div w:id="71858616">
                  <w:marLeft w:val="0"/>
                  <w:marRight w:val="0"/>
                  <w:marTop w:val="0"/>
                  <w:marBottom w:val="0"/>
                  <w:divBdr>
                    <w:top w:val="none" w:sz="0" w:space="0" w:color="auto"/>
                    <w:left w:val="none" w:sz="0" w:space="0" w:color="auto"/>
                    <w:bottom w:val="none" w:sz="0" w:space="0" w:color="auto"/>
                    <w:right w:val="none" w:sz="0" w:space="0" w:color="auto"/>
                  </w:divBdr>
                  <w:divsChild>
                    <w:div w:id="620915706">
                      <w:marLeft w:val="0"/>
                      <w:marRight w:val="0"/>
                      <w:marTop w:val="0"/>
                      <w:marBottom w:val="0"/>
                      <w:divBdr>
                        <w:top w:val="none" w:sz="0" w:space="0" w:color="auto"/>
                        <w:left w:val="none" w:sz="0" w:space="0" w:color="auto"/>
                        <w:bottom w:val="none" w:sz="0" w:space="0" w:color="auto"/>
                        <w:right w:val="none" w:sz="0" w:space="0" w:color="auto"/>
                      </w:divBdr>
                    </w:div>
                  </w:divsChild>
                </w:div>
                <w:div w:id="75128978">
                  <w:marLeft w:val="0"/>
                  <w:marRight w:val="0"/>
                  <w:marTop w:val="0"/>
                  <w:marBottom w:val="0"/>
                  <w:divBdr>
                    <w:top w:val="none" w:sz="0" w:space="0" w:color="auto"/>
                    <w:left w:val="none" w:sz="0" w:space="0" w:color="auto"/>
                    <w:bottom w:val="none" w:sz="0" w:space="0" w:color="auto"/>
                    <w:right w:val="none" w:sz="0" w:space="0" w:color="auto"/>
                  </w:divBdr>
                  <w:divsChild>
                    <w:div w:id="71508607">
                      <w:marLeft w:val="0"/>
                      <w:marRight w:val="0"/>
                      <w:marTop w:val="0"/>
                      <w:marBottom w:val="0"/>
                      <w:divBdr>
                        <w:top w:val="none" w:sz="0" w:space="0" w:color="auto"/>
                        <w:left w:val="none" w:sz="0" w:space="0" w:color="auto"/>
                        <w:bottom w:val="none" w:sz="0" w:space="0" w:color="auto"/>
                        <w:right w:val="none" w:sz="0" w:space="0" w:color="auto"/>
                      </w:divBdr>
                    </w:div>
                  </w:divsChild>
                </w:div>
                <w:div w:id="79641837">
                  <w:marLeft w:val="0"/>
                  <w:marRight w:val="0"/>
                  <w:marTop w:val="0"/>
                  <w:marBottom w:val="0"/>
                  <w:divBdr>
                    <w:top w:val="none" w:sz="0" w:space="0" w:color="auto"/>
                    <w:left w:val="none" w:sz="0" w:space="0" w:color="auto"/>
                    <w:bottom w:val="none" w:sz="0" w:space="0" w:color="auto"/>
                    <w:right w:val="none" w:sz="0" w:space="0" w:color="auto"/>
                  </w:divBdr>
                  <w:divsChild>
                    <w:div w:id="124087380">
                      <w:marLeft w:val="0"/>
                      <w:marRight w:val="0"/>
                      <w:marTop w:val="0"/>
                      <w:marBottom w:val="0"/>
                      <w:divBdr>
                        <w:top w:val="none" w:sz="0" w:space="0" w:color="auto"/>
                        <w:left w:val="none" w:sz="0" w:space="0" w:color="auto"/>
                        <w:bottom w:val="none" w:sz="0" w:space="0" w:color="auto"/>
                        <w:right w:val="none" w:sz="0" w:space="0" w:color="auto"/>
                      </w:divBdr>
                    </w:div>
                  </w:divsChild>
                </w:div>
                <w:div w:id="81994780">
                  <w:marLeft w:val="0"/>
                  <w:marRight w:val="0"/>
                  <w:marTop w:val="0"/>
                  <w:marBottom w:val="0"/>
                  <w:divBdr>
                    <w:top w:val="none" w:sz="0" w:space="0" w:color="auto"/>
                    <w:left w:val="none" w:sz="0" w:space="0" w:color="auto"/>
                    <w:bottom w:val="none" w:sz="0" w:space="0" w:color="auto"/>
                    <w:right w:val="none" w:sz="0" w:space="0" w:color="auto"/>
                  </w:divBdr>
                  <w:divsChild>
                    <w:div w:id="540559171">
                      <w:marLeft w:val="0"/>
                      <w:marRight w:val="0"/>
                      <w:marTop w:val="0"/>
                      <w:marBottom w:val="0"/>
                      <w:divBdr>
                        <w:top w:val="none" w:sz="0" w:space="0" w:color="auto"/>
                        <w:left w:val="none" w:sz="0" w:space="0" w:color="auto"/>
                        <w:bottom w:val="none" w:sz="0" w:space="0" w:color="auto"/>
                        <w:right w:val="none" w:sz="0" w:space="0" w:color="auto"/>
                      </w:divBdr>
                    </w:div>
                  </w:divsChild>
                </w:div>
                <w:div w:id="83842910">
                  <w:marLeft w:val="0"/>
                  <w:marRight w:val="0"/>
                  <w:marTop w:val="0"/>
                  <w:marBottom w:val="0"/>
                  <w:divBdr>
                    <w:top w:val="none" w:sz="0" w:space="0" w:color="auto"/>
                    <w:left w:val="none" w:sz="0" w:space="0" w:color="auto"/>
                    <w:bottom w:val="none" w:sz="0" w:space="0" w:color="auto"/>
                    <w:right w:val="none" w:sz="0" w:space="0" w:color="auto"/>
                  </w:divBdr>
                  <w:divsChild>
                    <w:div w:id="468861910">
                      <w:marLeft w:val="0"/>
                      <w:marRight w:val="0"/>
                      <w:marTop w:val="0"/>
                      <w:marBottom w:val="0"/>
                      <w:divBdr>
                        <w:top w:val="none" w:sz="0" w:space="0" w:color="auto"/>
                        <w:left w:val="none" w:sz="0" w:space="0" w:color="auto"/>
                        <w:bottom w:val="none" w:sz="0" w:space="0" w:color="auto"/>
                        <w:right w:val="none" w:sz="0" w:space="0" w:color="auto"/>
                      </w:divBdr>
                    </w:div>
                  </w:divsChild>
                </w:div>
                <w:div w:id="85004643">
                  <w:marLeft w:val="0"/>
                  <w:marRight w:val="0"/>
                  <w:marTop w:val="0"/>
                  <w:marBottom w:val="0"/>
                  <w:divBdr>
                    <w:top w:val="none" w:sz="0" w:space="0" w:color="auto"/>
                    <w:left w:val="none" w:sz="0" w:space="0" w:color="auto"/>
                    <w:bottom w:val="none" w:sz="0" w:space="0" w:color="auto"/>
                    <w:right w:val="none" w:sz="0" w:space="0" w:color="auto"/>
                  </w:divBdr>
                  <w:divsChild>
                    <w:div w:id="1623875390">
                      <w:marLeft w:val="0"/>
                      <w:marRight w:val="0"/>
                      <w:marTop w:val="0"/>
                      <w:marBottom w:val="0"/>
                      <w:divBdr>
                        <w:top w:val="none" w:sz="0" w:space="0" w:color="auto"/>
                        <w:left w:val="none" w:sz="0" w:space="0" w:color="auto"/>
                        <w:bottom w:val="none" w:sz="0" w:space="0" w:color="auto"/>
                        <w:right w:val="none" w:sz="0" w:space="0" w:color="auto"/>
                      </w:divBdr>
                    </w:div>
                  </w:divsChild>
                </w:div>
                <w:div w:id="85737373">
                  <w:marLeft w:val="0"/>
                  <w:marRight w:val="0"/>
                  <w:marTop w:val="0"/>
                  <w:marBottom w:val="0"/>
                  <w:divBdr>
                    <w:top w:val="none" w:sz="0" w:space="0" w:color="auto"/>
                    <w:left w:val="none" w:sz="0" w:space="0" w:color="auto"/>
                    <w:bottom w:val="none" w:sz="0" w:space="0" w:color="auto"/>
                    <w:right w:val="none" w:sz="0" w:space="0" w:color="auto"/>
                  </w:divBdr>
                  <w:divsChild>
                    <w:div w:id="1679893453">
                      <w:marLeft w:val="0"/>
                      <w:marRight w:val="0"/>
                      <w:marTop w:val="0"/>
                      <w:marBottom w:val="0"/>
                      <w:divBdr>
                        <w:top w:val="none" w:sz="0" w:space="0" w:color="auto"/>
                        <w:left w:val="none" w:sz="0" w:space="0" w:color="auto"/>
                        <w:bottom w:val="none" w:sz="0" w:space="0" w:color="auto"/>
                        <w:right w:val="none" w:sz="0" w:space="0" w:color="auto"/>
                      </w:divBdr>
                    </w:div>
                  </w:divsChild>
                </w:div>
                <w:div w:id="93526486">
                  <w:marLeft w:val="0"/>
                  <w:marRight w:val="0"/>
                  <w:marTop w:val="0"/>
                  <w:marBottom w:val="0"/>
                  <w:divBdr>
                    <w:top w:val="none" w:sz="0" w:space="0" w:color="auto"/>
                    <w:left w:val="none" w:sz="0" w:space="0" w:color="auto"/>
                    <w:bottom w:val="none" w:sz="0" w:space="0" w:color="auto"/>
                    <w:right w:val="none" w:sz="0" w:space="0" w:color="auto"/>
                  </w:divBdr>
                  <w:divsChild>
                    <w:div w:id="40330284">
                      <w:marLeft w:val="0"/>
                      <w:marRight w:val="0"/>
                      <w:marTop w:val="0"/>
                      <w:marBottom w:val="0"/>
                      <w:divBdr>
                        <w:top w:val="none" w:sz="0" w:space="0" w:color="auto"/>
                        <w:left w:val="none" w:sz="0" w:space="0" w:color="auto"/>
                        <w:bottom w:val="none" w:sz="0" w:space="0" w:color="auto"/>
                        <w:right w:val="none" w:sz="0" w:space="0" w:color="auto"/>
                      </w:divBdr>
                    </w:div>
                  </w:divsChild>
                </w:div>
                <w:div w:id="97875329">
                  <w:marLeft w:val="0"/>
                  <w:marRight w:val="0"/>
                  <w:marTop w:val="0"/>
                  <w:marBottom w:val="0"/>
                  <w:divBdr>
                    <w:top w:val="none" w:sz="0" w:space="0" w:color="auto"/>
                    <w:left w:val="none" w:sz="0" w:space="0" w:color="auto"/>
                    <w:bottom w:val="none" w:sz="0" w:space="0" w:color="auto"/>
                    <w:right w:val="none" w:sz="0" w:space="0" w:color="auto"/>
                  </w:divBdr>
                  <w:divsChild>
                    <w:div w:id="193618941">
                      <w:marLeft w:val="0"/>
                      <w:marRight w:val="0"/>
                      <w:marTop w:val="0"/>
                      <w:marBottom w:val="0"/>
                      <w:divBdr>
                        <w:top w:val="none" w:sz="0" w:space="0" w:color="auto"/>
                        <w:left w:val="none" w:sz="0" w:space="0" w:color="auto"/>
                        <w:bottom w:val="none" w:sz="0" w:space="0" w:color="auto"/>
                        <w:right w:val="none" w:sz="0" w:space="0" w:color="auto"/>
                      </w:divBdr>
                    </w:div>
                  </w:divsChild>
                </w:div>
                <w:div w:id="101729124">
                  <w:marLeft w:val="0"/>
                  <w:marRight w:val="0"/>
                  <w:marTop w:val="0"/>
                  <w:marBottom w:val="0"/>
                  <w:divBdr>
                    <w:top w:val="none" w:sz="0" w:space="0" w:color="auto"/>
                    <w:left w:val="none" w:sz="0" w:space="0" w:color="auto"/>
                    <w:bottom w:val="none" w:sz="0" w:space="0" w:color="auto"/>
                    <w:right w:val="none" w:sz="0" w:space="0" w:color="auto"/>
                  </w:divBdr>
                  <w:divsChild>
                    <w:div w:id="2130659690">
                      <w:marLeft w:val="0"/>
                      <w:marRight w:val="0"/>
                      <w:marTop w:val="0"/>
                      <w:marBottom w:val="0"/>
                      <w:divBdr>
                        <w:top w:val="none" w:sz="0" w:space="0" w:color="auto"/>
                        <w:left w:val="none" w:sz="0" w:space="0" w:color="auto"/>
                        <w:bottom w:val="none" w:sz="0" w:space="0" w:color="auto"/>
                        <w:right w:val="none" w:sz="0" w:space="0" w:color="auto"/>
                      </w:divBdr>
                    </w:div>
                  </w:divsChild>
                </w:div>
                <w:div w:id="109279586">
                  <w:marLeft w:val="0"/>
                  <w:marRight w:val="0"/>
                  <w:marTop w:val="0"/>
                  <w:marBottom w:val="0"/>
                  <w:divBdr>
                    <w:top w:val="none" w:sz="0" w:space="0" w:color="auto"/>
                    <w:left w:val="none" w:sz="0" w:space="0" w:color="auto"/>
                    <w:bottom w:val="none" w:sz="0" w:space="0" w:color="auto"/>
                    <w:right w:val="none" w:sz="0" w:space="0" w:color="auto"/>
                  </w:divBdr>
                  <w:divsChild>
                    <w:div w:id="736245454">
                      <w:marLeft w:val="0"/>
                      <w:marRight w:val="0"/>
                      <w:marTop w:val="0"/>
                      <w:marBottom w:val="0"/>
                      <w:divBdr>
                        <w:top w:val="none" w:sz="0" w:space="0" w:color="auto"/>
                        <w:left w:val="none" w:sz="0" w:space="0" w:color="auto"/>
                        <w:bottom w:val="none" w:sz="0" w:space="0" w:color="auto"/>
                        <w:right w:val="none" w:sz="0" w:space="0" w:color="auto"/>
                      </w:divBdr>
                    </w:div>
                  </w:divsChild>
                </w:div>
                <w:div w:id="115292522">
                  <w:marLeft w:val="0"/>
                  <w:marRight w:val="0"/>
                  <w:marTop w:val="0"/>
                  <w:marBottom w:val="0"/>
                  <w:divBdr>
                    <w:top w:val="none" w:sz="0" w:space="0" w:color="auto"/>
                    <w:left w:val="none" w:sz="0" w:space="0" w:color="auto"/>
                    <w:bottom w:val="none" w:sz="0" w:space="0" w:color="auto"/>
                    <w:right w:val="none" w:sz="0" w:space="0" w:color="auto"/>
                  </w:divBdr>
                  <w:divsChild>
                    <w:div w:id="404839974">
                      <w:marLeft w:val="0"/>
                      <w:marRight w:val="0"/>
                      <w:marTop w:val="0"/>
                      <w:marBottom w:val="0"/>
                      <w:divBdr>
                        <w:top w:val="none" w:sz="0" w:space="0" w:color="auto"/>
                        <w:left w:val="none" w:sz="0" w:space="0" w:color="auto"/>
                        <w:bottom w:val="none" w:sz="0" w:space="0" w:color="auto"/>
                        <w:right w:val="none" w:sz="0" w:space="0" w:color="auto"/>
                      </w:divBdr>
                    </w:div>
                  </w:divsChild>
                </w:div>
                <w:div w:id="120609720">
                  <w:marLeft w:val="0"/>
                  <w:marRight w:val="0"/>
                  <w:marTop w:val="0"/>
                  <w:marBottom w:val="0"/>
                  <w:divBdr>
                    <w:top w:val="none" w:sz="0" w:space="0" w:color="auto"/>
                    <w:left w:val="none" w:sz="0" w:space="0" w:color="auto"/>
                    <w:bottom w:val="none" w:sz="0" w:space="0" w:color="auto"/>
                    <w:right w:val="none" w:sz="0" w:space="0" w:color="auto"/>
                  </w:divBdr>
                  <w:divsChild>
                    <w:div w:id="66852749">
                      <w:marLeft w:val="0"/>
                      <w:marRight w:val="0"/>
                      <w:marTop w:val="0"/>
                      <w:marBottom w:val="0"/>
                      <w:divBdr>
                        <w:top w:val="none" w:sz="0" w:space="0" w:color="auto"/>
                        <w:left w:val="none" w:sz="0" w:space="0" w:color="auto"/>
                        <w:bottom w:val="none" w:sz="0" w:space="0" w:color="auto"/>
                        <w:right w:val="none" w:sz="0" w:space="0" w:color="auto"/>
                      </w:divBdr>
                    </w:div>
                  </w:divsChild>
                </w:div>
                <w:div w:id="121116447">
                  <w:marLeft w:val="0"/>
                  <w:marRight w:val="0"/>
                  <w:marTop w:val="0"/>
                  <w:marBottom w:val="0"/>
                  <w:divBdr>
                    <w:top w:val="none" w:sz="0" w:space="0" w:color="auto"/>
                    <w:left w:val="none" w:sz="0" w:space="0" w:color="auto"/>
                    <w:bottom w:val="none" w:sz="0" w:space="0" w:color="auto"/>
                    <w:right w:val="none" w:sz="0" w:space="0" w:color="auto"/>
                  </w:divBdr>
                  <w:divsChild>
                    <w:div w:id="1378621872">
                      <w:marLeft w:val="0"/>
                      <w:marRight w:val="0"/>
                      <w:marTop w:val="0"/>
                      <w:marBottom w:val="0"/>
                      <w:divBdr>
                        <w:top w:val="none" w:sz="0" w:space="0" w:color="auto"/>
                        <w:left w:val="none" w:sz="0" w:space="0" w:color="auto"/>
                        <w:bottom w:val="none" w:sz="0" w:space="0" w:color="auto"/>
                        <w:right w:val="none" w:sz="0" w:space="0" w:color="auto"/>
                      </w:divBdr>
                    </w:div>
                  </w:divsChild>
                </w:div>
                <w:div w:id="121272481">
                  <w:marLeft w:val="0"/>
                  <w:marRight w:val="0"/>
                  <w:marTop w:val="0"/>
                  <w:marBottom w:val="0"/>
                  <w:divBdr>
                    <w:top w:val="none" w:sz="0" w:space="0" w:color="auto"/>
                    <w:left w:val="none" w:sz="0" w:space="0" w:color="auto"/>
                    <w:bottom w:val="none" w:sz="0" w:space="0" w:color="auto"/>
                    <w:right w:val="none" w:sz="0" w:space="0" w:color="auto"/>
                  </w:divBdr>
                  <w:divsChild>
                    <w:div w:id="374548099">
                      <w:marLeft w:val="0"/>
                      <w:marRight w:val="0"/>
                      <w:marTop w:val="0"/>
                      <w:marBottom w:val="0"/>
                      <w:divBdr>
                        <w:top w:val="none" w:sz="0" w:space="0" w:color="auto"/>
                        <w:left w:val="none" w:sz="0" w:space="0" w:color="auto"/>
                        <w:bottom w:val="none" w:sz="0" w:space="0" w:color="auto"/>
                        <w:right w:val="none" w:sz="0" w:space="0" w:color="auto"/>
                      </w:divBdr>
                    </w:div>
                  </w:divsChild>
                </w:div>
                <w:div w:id="139813602">
                  <w:marLeft w:val="0"/>
                  <w:marRight w:val="0"/>
                  <w:marTop w:val="0"/>
                  <w:marBottom w:val="0"/>
                  <w:divBdr>
                    <w:top w:val="none" w:sz="0" w:space="0" w:color="auto"/>
                    <w:left w:val="none" w:sz="0" w:space="0" w:color="auto"/>
                    <w:bottom w:val="none" w:sz="0" w:space="0" w:color="auto"/>
                    <w:right w:val="none" w:sz="0" w:space="0" w:color="auto"/>
                  </w:divBdr>
                  <w:divsChild>
                    <w:div w:id="1101533799">
                      <w:marLeft w:val="0"/>
                      <w:marRight w:val="0"/>
                      <w:marTop w:val="0"/>
                      <w:marBottom w:val="0"/>
                      <w:divBdr>
                        <w:top w:val="none" w:sz="0" w:space="0" w:color="auto"/>
                        <w:left w:val="none" w:sz="0" w:space="0" w:color="auto"/>
                        <w:bottom w:val="none" w:sz="0" w:space="0" w:color="auto"/>
                        <w:right w:val="none" w:sz="0" w:space="0" w:color="auto"/>
                      </w:divBdr>
                    </w:div>
                  </w:divsChild>
                </w:div>
                <w:div w:id="141701429">
                  <w:marLeft w:val="0"/>
                  <w:marRight w:val="0"/>
                  <w:marTop w:val="0"/>
                  <w:marBottom w:val="0"/>
                  <w:divBdr>
                    <w:top w:val="none" w:sz="0" w:space="0" w:color="auto"/>
                    <w:left w:val="none" w:sz="0" w:space="0" w:color="auto"/>
                    <w:bottom w:val="none" w:sz="0" w:space="0" w:color="auto"/>
                    <w:right w:val="none" w:sz="0" w:space="0" w:color="auto"/>
                  </w:divBdr>
                  <w:divsChild>
                    <w:div w:id="1448893363">
                      <w:marLeft w:val="0"/>
                      <w:marRight w:val="0"/>
                      <w:marTop w:val="0"/>
                      <w:marBottom w:val="0"/>
                      <w:divBdr>
                        <w:top w:val="none" w:sz="0" w:space="0" w:color="auto"/>
                        <w:left w:val="none" w:sz="0" w:space="0" w:color="auto"/>
                        <w:bottom w:val="none" w:sz="0" w:space="0" w:color="auto"/>
                        <w:right w:val="none" w:sz="0" w:space="0" w:color="auto"/>
                      </w:divBdr>
                    </w:div>
                  </w:divsChild>
                </w:div>
                <w:div w:id="153031757">
                  <w:marLeft w:val="0"/>
                  <w:marRight w:val="0"/>
                  <w:marTop w:val="0"/>
                  <w:marBottom w:val="0"/>
                  <w:divBdr>
                    <w:top w:val="none" w:sz="0" w:space="0" w:color="auto"/>
                    <w:left w:val="none" w:sz="0" w:space="0" w:color="auto"/>
                    <w:bottom w:val="none" w:sz="0" w:space="0" w:color="auto"/>
                    <w:right w:val="none" w:sz="0" w:space="0" w:color="auto"/>
                  </w:divBdr>
                  <w:divsChild>
                    <w:div w:id="363286287">
                      <w:marLeft w:val="0"/>
                      <w:marRight w:val="0"/>
                      <w:marTop w:val="0"/>
                      <w:marBottom w:val="0"/>
                      <w:divBdr>
                        <w:top w:val="none" w:sz="0" w:space="0" w:color="auto"/>
                        <w:left w:val="none" w:sz="0" w:space="0" w:color="auto"/>
                        <w:bottom w:val="none" w:sz="0" w:space="0" w:color="auto"/>
                        <w:right w:val="none" w:sz="0" w:space="0" w:color="auto"/>
                      </w:divBdr>
                    </w:div>
                  </w:divsChild>
                </w:div>
                <w:div w:id="153379012">
                  <w:marLeft w:val="0"/>
                  <w:marRight w:val="0"/>
                  <w:marTop w:val="0"/>
                  <w:marBottom w:val="0"/>
                  <w:divBdr>
                    <w:top w:val="none" w:sz="0" w:space="0" w:color="auto"/>
                    <w:left w:val="none" w:sz="0" w:space="0" w:color="auto"/>
                    <w:bottom w:val="none" w:sz="0" w:space="0" w:color="auto"/>
                    <w:right w:val="none" w:sz="0" w:space="0" w:color="auto"/>
                  </w:divBdr>
                  <w:divsChild>
                    <w:div w:id="799693313">
                      <w:marLeft w:val="0"/>
                      <w:marRight w:val="0"/>
                      <w:marTop w:val="0"/>
                      <w:marBottom w:val="0"/>
                      <w:divBdr>
                        <w:top w:val="none" w:sz="0" w:space="0" w:color="auto"/>
                        <w:left w:val="none" w:sz="0" w:space="0" w:color="auto"/>
                        <w:bottom w:val="none" w:sz="0" w:space="0" w:color="auto"/>
                        <w:right w:val="none" w:sz="0" w:space="0" w:color="auto"/>
                      </w:divBdr>
                    </w:div>
                  </w:divsChild>
                </w:div>
                <w:div w:id="153380975">
                  <w:marLeft w:val="0"/>
                  <w:marRight w:val="0"/>
                  <w:marTop w:val="0"/>
                  <w:marBottom w:val="0"/>
                  <w:divBdr>
                    <w:top w:val="none" w:sz="0" w:space="0" w:color="auto"/>
                    <w:left w:val="none" w:sz="0" w:space="0" w:color="auto"/>
                    <w:bottom w:val="none" w:sz="0" w:space="0" w:color="auto"/>
                    <w:right w:val="none" w:sz="0" w:space="0" w:color="auto"/>
                  </w:divBdr>
                  <w:divsChild>
                    <w:div w:id="1216163540">
                      <w:marLeft w:val="0"/>
                      <w:marRight w:val="0"/>
                      <w:marTop w:val="0"/>
                      <w:marBottom w:val="0"/>
                      <w:divBdr>
                        <w:top w:val="none" w:sz="0" w:space="0" w:color="auto"/>
                        <w:left w:val="none" w:sz="0" w:space="0" w:color="auto"/>
                        <w:bottom w:val="none" w:sz="0" w:space="0" w:color="auto"/>
                        <w:right w:val="none" w:sz="0" w:space="0" w:color="auto"/>
                      </w:divBdr>
                    </w:div>
                  </w:divsChild>
                </w:div>
                <w:div w:id="154883676">
                  <w:marLeft w:val="0"/>
                  <w:marRight w:val="0"/>
                  <w:marTop w:val="0"/>
                  <w:marBottom w:val="0"/>
                  <w:divBdr>
                    <w:top w:val="none" w:sz="0" w:space="0" w:color="auto"/>
                    <w:left w:val="none" w:sz="0" w:space="0" w:color="auto"/>
                    <w:bottom w:val="none" w:sz="0" w:space="0" w:color="auto"/>
                    <w:right w:val="none" w:sz="0" w:space="0" w:color="auto"/>
                  </w:divBdr>
                  <w:divsChild>
                    <w:div w:id="355468065">
                      <w:marLeft w:val="0"/>
                      <w:marRight w:val="0"/>
                      <w:marTop w:val="0"/>
                      <w:marBottom w:val="0"/>
                      <w:divBdr>
                        <w:top w:val="none" w:sz="0" w:space="0" w:color="auto"/>
                        <w:left w:val="none" w:sz="0" w:space="0" w:color="auto"/>
                        <w:bottom w:val="none" w:sz="0" w:space="0" w:color="auto"/>
                        <w:right w:val="none" w:sz="0" w:space="0" w:color="auto"/>
                      </w:divBdr>
                    </w:div>
                  </w:divsChild>
                </w:div>
                <w:div w:id="170921295">
                  <w:marLeft w:val="0"/>
                  <w:marRight w:val="0"/>
                  <w:marTop w:val="0"/>
                  <w:marBottom w:val="0"/>
                  <w:divBdr>
                    <w:top w:val="none" w:sz="0" w:space="0" w:color="auto"/>
                    <w:left w:val="none" w:sz="0" w:space="0" w:color="auto"/>
                    <w:bottom w:val="none" w:sz="0" w:space="0" w:color="auto"/>
                    <w:right w:val="none" w:sz="0" w:space="0" w:color="auto"/>
                  </w:divBdr>
                  <w:divsChild>
                    <w:div w:id="242760078">
                      <w:marLeft w:val="0"/>
                      <w:marRight w:val="0"/>
                      <w:marTop w:val="0"/>
                      <w:marBottom w:val="0"/>
                      <w:divBdr>
                        <w:top w:val="none" w:sz="0" w:space="0" w:color="auto"/>
                        <w:left w:val="none" w:sz="0" w:space="0" w:color="auto"/>
                        <w:bottom w:val="none" w:sz="0" w:space="0" w:color="auto"/>
                        <w:right w:val="none" w:sz="0" w:space="0" w:color="auto"/>
                      </w:divBdr>
                    </w:div>
                  </w:divsChild>
                </w:div>
                <w:div w:id="172646055">
                  <w:marLeft w:val="0"/>
                  <w:marRight w:val="0"/>
                  <w:marTop w:val="0"/>
                  <w:marBottom w:val="0"/>
                  <w:divBdr>
                    <w:top w:val="none" w:sz="0" w:space="0" w:color="auto"/>
                    <w:left w:val="none" w:sz="0" w:space="0" w:color="auto"/>
                    <w:bottom w:val="none" w:sz="0" w:space="0" w:color="auto"/>
                    <w:right w:val="none" w:sz="0" w:space="0" w:color="auto"/>
                  </w:divBdr>
                  <w:divsChild>
                    <w:div w:id="2104492496">
                      <w:marLeft w:val="0"/>
                      <w:marRight w:val="0"/>
                      <w:marTop w:val="0"/>
                      <w:marBottom w:val="0"/>
                      <w:divBdr>
                        <w:top w:val="none" w:sz="0" w:space="0" w:color="auto"/>
                        <w:left w:val="none" w:sz="0" w:space="0" w:color="auto"/>
                        <w:bottom w:val="none" w:sz="0" w:space="0" w:color="auto"/>
                        <w:right w:val="none" w:sz="0" w:space="0" w:color="auto"/>
                      </w:divBdr>
                    </w:div>
                  </w:divsChild>
                </w:div>
                <w:div w:id="178930168">
                  <w:marLeft w:val="0"/>
                  <w:marRight w:val="0"/>
                  <w:marTop w:val="0"/>
                  <w:marBottom w:val="0"/>
                  <w:divBdr>
                    <w:top w:val="none" w:sz="0" w:space="0" w:color="auto"/>
                    <w:left w:val="none" w:sz="0" w:space="0" w:color="auto"/>
                    <w:bottom w:val="none" w:sz="0" w:space="0" w:color="auto"/>
                    <w:right w:val="none" w:sz="0" w:space="0" w:color="auto"/>
                  </w:divBdr>
                  <w:divsChild>
                    <w:div w:id="1228372003">
                      <w:marLeft w:val="0"/>
                      <w:marRight w:val="0"/>
                      <w:marTop w:val="0"/>
                      <w:marBottom w:val="0"/>
                      <w:divBdr>
                        <w:top w:val="none" w:sz="0" w:space="0" w:color="auto"/>
                        <w:left w:val="none" w:sz="0" w:space="0" w:color="auto"/>
                        <w:bottom w:val="none" w:sz="0" w:space="0" w:color="auto"/>
                        <w:right w:val="none" w:sz="0" w:space="0" w:color="auto"/>
                      </w:divBdr>
                    </w:div>
                  </w:divsChild>
                </w:div>
                <w:div w:id="181018958">
                  <w:marLeft w:val="0"/>
                  <w:marRight w:val="0"/>
                  <w:marTop w:val="0"/>
                  <w:marBottom w:val="0"/>
                  <w:divBdr>
                    <w:top w:val="none" w:sz="0" w:space="0" w:color="auto"/>
                    <w:left w:val="none" w:sz="0" w:space="0" w:color="auto"/>
                    <w:bottom w:val="none" w:sz="0" w:space="0" w:color="auto"/>
                    <w:right w:val="none" w:sz="0" w:space="0" w:color="auto"/>
                  </w:divBdr>
                  <w:divsChild>
                    <w:div w:id="257298700">
                      <w:marLeft w:val="0"/>
                      <w:marRight w:val="0"/>
                      <w:marTop w:val="0"/>
                      <w:marBottom w:val="0"/>
                      <w:divBdr>
                        <w:top w:val="none" w:sz="0" w:space="0" w:color="auto"/>
                        <w:left w:val="none" w:sz="0" w:space="0" w:color="auto"/>
                        <w:bottom w:val="none" w:sz="0" w:space="0" w:color="auto"/>
                        <w:right w:val="none" w:sz="0" w:space="0" w:color="auto"/>
                      </w:divBdr>
                    </w:div>
                  </w:divsChild>
                </w:div>
                <w:div w:id="193809039">
                  <w:marLeft w:val="0"/>
                  <w:marRight w:val="0"/>
                  <w:marTop w:val="0"/>
                  <w:marBottom w:val="0"/>
                  <w:divBdr>
                    <w:top w:val="none" w:sz="0" w:space="0" w:color="auto"/>
                    <w:left w:val="none" w:sz="0" w:space="0" w:color="auto"/>
                    <w:bottom w:val="none" w:sz="0" w:space="0" w:color="auto"/>
                    <w:right w:val="none" w:sz="0" w:space="0" w:color="auto"/>
                  </w:divBdr>
                  <w:divsChild>
                    <w:div w:id="842203353">
                      <w:marLeft w:val="0"/>
                      <w:marRight w:val="0"/>
                      <w:marTop w:val="0"/>
                      <w:marBottom w:val="0"/>
                      <w:divBdr>
                        <w:top w:val="none" w:sz="0" w:space="0" w:color="auto"/>
                        <w:left w:val="none" w:sz="0" w:space="0" w:color="auto"/>
                        <w:bottom w:val="none" w:sz="0" w:space="0" w:color="auto"/>
                        <w:right w:val="none" w:sz="0" w:space="0" w:color="auto"/>
                      </w:divBdr>
                    </w:div>
                  </w:divsChild>
                </w:div>
                <w:div w:id="195119039">
                  <w:marLeft w:val="0"/>
                  <w:marRight w:val="0"/>
                  <w:marTop w:val="0"/>
                  <w:marBottom w:val="0"/>
                  <w:divBdr>
                    <w:top w:val="none" w:sz="0" w:space="0" w:color="auto"/>
                    <w:left w:val="none" w:sz="0" w:space="0" w:color="auto"/>
                    <w:bottom w:val="none" w:sz="0" w:space="0" w:color="auto"/>
                    <w:right w:val="none" w:sz="0" w:space="0" w:color="auto"/>
                  </w:divBdr>
                  <w:divsChild>
                    <w:div w:id="1390962802">
                      <w:marLeft w:val="0"/>
                      <w:marRight w:val="0"/>
                      <w:marTop w:val="0"/>
                      <w:marBottom w:val="0"/>
                      <w:divBdr>
                        <w:top w:val="none" w:sz="0" w:space="0" w:color="auto"/>
                        <w:left w:val="none" w:sz="0" w:space="0" w:color="auto"/>
                        <w:bottom w:val="none" w:sz="0" w:space="0" w:color="auto"/>
                        <w:right w:val="none" w:sz="0" w:space="0" w:color="auto"/>
                      </w:divBdr>
                    </w:div>
                  </w:divsChild>
                </w:div>
                <w:div w:id="196432242">
                  <w:marLeft w:val="0"/>
                  <w:marRight w:val="0"/>
                  <w:marTop w:val="0"/>
                  <w:marBottom w:val="0"/>
                  <w:divBdr>
                    <w:top w:val="none" w:sz="0" w:space="0" w:color="auto"/>
                    <w:left w:val="none" w:sz="0" w:space="0" w:color="auto"/>
                    <w:bottom w:val="none" w:sz="0" w:space="0" w:color="auto"/>
                    <w:right w:val="none" w:sz="0" w:space="0" w:color="auto"/>
                  </w:divBdr>
                  <w:divsChild>
                    <w:div w:id="975641565">
                      <w:marLeft w:val="0"/>
                      <w:marRight w:val="0"/>
                      <w:marTop w:val="0"/>
                      <w:marBottom w:val="0"/>
                      <w:divBdr>
                        <w:top w:val="none" w:sz="0" w:space="0" w:color="auto"/>
                        <w:left w:val="none" w:sz="0" w:space="0" w:color="auto"/>
                        <w:bottom w:val="none" w:sz="0" w:space="0" w:color="auto"/>
                        <w:right w:val="none" w:sz="0" w:space="0" w:color="auto"/>
                      </w:divBdr>
                    </w:div>
                  </w:divsChild>
                </w:div>
                <w:div w:id="206797051">
                  <w:marLeft w:val="0"/>
                  <w:marRight w:val="0"/>
                  <w:marTop w:val="0"/>
                  <w:marBottom w:val="0"/>
                  <w:divBdr>
                    <w:top w:val="none" w:sz="0" w:space="0" w:color="auto"/>
                    <w:left w:val="none" w:sz="0" w:space="0" w:color="auto"/>
                    <w:bottom w:val="none" w:sz="0" w:space="0" w:color="auto"/>
                    <w:right w:val="none" w:sz="0" w:space="0" w:color="auto"/>
                  </w:divBdr>
                  <w:divsChild>
                    <w:div w:id="1218400665">
                      <w:marLeft w:val="0"/>
                      <w:marRight w:val="0"/>
                      <w:marTop w:val="0"/>
                      <w:marBottom w:val="0"/>
                      <w:divBdr>
                        <w:top w:val="none" w:sz="0" w:space="0" w:color="auto"/>
                        <w:left w:val="none" w:sz="0" w:space="0" w:color="auto"/>
                        <w:bottom w:val="none" w:sz="0" w:space="0" w:color="auto"/>
                        <w:right w:val="none" w:sz="0" w:space="0" w:color="auto"/>
                      </w:divBdr>
                    </w:div>
                  </w:divsChild>
                </w:div>
                <w:div w:id="217711573">
                  <w:marLeft w:val="0"/>
                  <w:marRight w:val="0"/>
                  <w:marTop w:val="0"/>
                  <w:marBottom w:val="0"/>
                  <w:divBdr>
                    <w:top w:val="none" w:sz="0" w:space="0" w:color="auto"/>
                    <w:left w:val="none" w:sz="0" w:space="0" w:color="auto"/>
                    <w:bottom w:val="none" w:sz="0" w:space="0" w:color="auto"/>
                    <w:right w:val="none" w:sz="0" w:space="0" w:color="auto"/>
                  </w:divBdr>
                  <w:divsChild>
                    <w:div w:id="1179200472">
                      <w:marLeft w:val="0"/>
                      <w:marRight w:val="0"/>
                      <w:marTop w:val="0"/>
                      <w:marBottom w:val="0"/>
                      <w:divBdr>
                        <w:top w:val="none" w:sz="0" w:space="0" w:color="auto"/>
                        <w:left w:val="none" w:sz="0" w:space="0" w:color="auto"/>
                        <w:bottom w:val="none" w:sz="0" w:space="0" w:color="auto"/>
                        <w:right w:val="none" w:sz="0" w:space="0" w:color="auto"/>
                      </w:divBdr>
                    </w:div>
                  </w:divsChild>
                </w:div>
                <w:div w:id="229270124">
                  <w:marLeft w:val="0"/>
                  <w:marRight w:val="0"/>
                  <w:marTop w:val="0"/>
                  <w:marBottom w:val="0"/>
                  <w:divBdr>
                    <w:top w:val="none" w:sz="0" w:space="0" w:color="auto"/>
                    <w:left w:val="none" w:sz="0" w:space="0" w:color="auto"/>
                    <w:bottom w:val="none" w:sz="0" w:space="0" w:color="auto"/>
                    <w:right w:val="none" w:sz="0" w:space="0" w:color="auto"/>
                  </w:divBdr>
                  <w:divsChild>
                    <w:div w:id="1273174468">
                      <w:marLeft w:val="0"/>
                      <w:marRight w:val="0"/>
                      <w:marTop w:val="0"/>
                      <w:marBottom w:val="0"/>
                      <w:divBdr>
                        <w:top w:val="none" w:sz="0" w:space="0" w:color="auto"/>
                        <w:left w:val="none" w:sz="0" w:space="0" w:color="auto"/>
                        <w:bottom w:val="none" w:sz="0" w:space="0" w:color="auto"/>
                        <w:right w:val="none" w:sz="0" w:space="0" w:color="auto"/>
                      </w:divBdr>
                    </w:div>
                  </w:divsChild>
                </w:div>
                <w:div w:id="238906676">
                  <w:marLeft w:val="0"/>
                  <w:marRight w:val="0"/>
                  <w:marTop w:val="0"/>
                  <w:marBottom w:val="0"/>
                  <w:divBdr>
                    <w:top w:val="none" w:sz="0" w:space="0" w:color="auto"/>
                    <w:left w:val="none" w:sz="0" w:space="0" w:color="auto"/>
                    <w:bottom w:val="none" w:sz="0" w:space="0" w:color="auto"/>
                    <w:right w:val="none" w:sz="0" w:space="0" w:color="auto"/>
                  </w:divBdr>
                  <w:divsChild>
                    <w:div w:id="782773648">
                      <w:marLeft w:val="0"/>
                      <w:marRight w:val="0"/>
                      <w:marTop w:val="0"/>
                      <w:marBottom w:val="0"/>
                      <w:divBdr>
                        <w:top w:val="none" w:sz="0" w:space="0" w:color="auto"/>
                        <w:left w:val="none" w:sz="0" w:space="0" w:color="auto"/>
                        <w:bottom w:val="none" w:sz="0" w:space="0" w:color="auto"/>
                        <w:right w:val="none" w:sz="0" w:space="0" w:color="auto"/>
                      </w:divBdr>
                    </w:div>
                  </w:divsChild>
                </w:div>
                <w:div w:id="296229927">
                  <w:marLeft w:val="0"/>
                  <w:marRight w:val="0"/>
                  <w:marTop w:val="0"/>
                  <w:marBottom w:val="0"/>
                  <w:divBdr>
                    <w:top w:val="none" w:sz="0" w:space="0" w:color="auto"/>
                    <w:left w:val="none" w:sz="0" w:space="0" w:color="auto"/>
                    <w:bottom w:val="none" w:sz="0" w:space="0" w:color="auto"/>
                    <w:right w:val="none" w:sz="0" w:space="0" w:color="auto"/>
                  </w:divBdr>
                  <w:divsChild>
                    <w:div w:id="100075858">
                      <w:marLeft w:val="0"/>
                      <w:marRight w:val="0"/>
                      <w:marTop w:val="0"/>
                      <w:marBottom w:val="0"/>
                      <w:divBdr>
                        <w:top w:val="none" w:sz="0" w:space="0" w:color="auto"/>
                        <w:left w:val="none" w:sz="0" w:space="0" w:color="auto"/>
                        <w:bottom w:val="none" w:sz="0" w:space="0" w:color="auto"/>
                        <w:right w:val="none" w:sz="0" w:space="0" w:color="auto"/>
                      </w:divBdr>
                    </w:div>
                  </w:divsChild>
                </w:div>
                <w:div w:id="306714368">
                  <w:marLeft w:val="0"/>
                  <w:marRight w:val="0"/>
                  <w:marTop w:val="0"/>
                  <w:marBottom w:val="0"/>
                  <w:divBdr>
                    <w:top w:val="none" w:sz="0" w:space="0" w:color="auto"/>
                    <w:left w:val="none" w:sz="0" w:space="0" w:color="auto"/>
                    <w:bottom w:val="none" w:sz="0" w:space="0" w:color="auto"/>
                    <w:right w:val="none" w:sz="0" w:space="0" w:color="auto"/>
                  </w:divBdr>
                  <w:divsChild>
                    <w:div w:id="94449538">
                      <w:marLeft w:val="0"/>
                      <w:marRight w:val="0"/>
                      <w:marTop w:val="0"/>
                      <w:marBottom w:val="0"/>
                      <w:divBdr>
                        <w:top w:val="none" w:sz="0" w:space="0" w:color="auto"/>
                        <w:left w:val="none" w:sz="0" w:space="0" w:color="auto"/>
                        <w:bottom w:val="none" w:sz="0" w:space="0" w:color="auto"/>
                        <w:right w:val="none" w:sz="0" w:space="0" w:color="auto"/>
                      </w:divBdr>
                    </w:div>
                  </w:divsChild>
                </w:div>
                <w:div w:id="318392042">
                  <w:marLeft w:val="0"/>
                  <w:marRight w:val="0"/>
                  <w:marTop w:val="0"/>
                  <w:marBottom w:val="0"/>
                  <w:divBdr>
                    <w:top w:val="none" w:sz="0" w:space="0" w:color="auto"/>
                    <w:left w:val="none" w:sz="0" w:space="0" w:color="auto"/>
                    <w:bottom w:val="none" w:sz="0" w:space="0" w:color="auto"/>
                    <w:right w:val="none" w:sz="0" w:space="0" w:color="auto"/>
                  </w:divBdr>
                  <w:divsChild>
                    <w:div w:id="1181625444">
                      <w:marLeft w:val="0"/>
                      <w:marRight w:val="0"/>
                      <w:marTop w:val="0"/>
                      <w:marBottom w:val="0"/>
                      <w:divBdr>
                        <w:top w:val="none" w:sz="0" w:space="0" w:color="auto"/>
                        <w:left w:val="none" w:sz="0" w:space="0" w:color="auto"/>
                        <w:bottom w:val="none" w:sz="0" w:space="0" w:color="auto"/>
                        <w:right w:val="none" w:sz="0" w:space="0" w:color="auto"/>
                      </w:divBdr>
                    </w:div>
                  </w:divsChild>
                </w:div>
                <w:div w:id="337923110">
                  <w:marLeft w:val="0"/>
                  <w:marRight w:val="0"/>
                  <w:marTop w:val="0"/>
                  <w:marBottom w:val="0"/>
                  <w:divBdr>
                    <w:top w:val="none" w:sz="0" w:space="0" w:color="auto"/>
                    <w:left w:val="none" w:sz="0" w:space="0" w:color="auto"/>
                    <w:bottom w:val="none" w:sz="0" w:space="0" w:color="auto"/>
                    <w:right w:val="none" w:sz="0" w:space="0" w:color="auto"/>
                  </w:divBdr>
                  <w:divsChild>
                    <w:div w:id="800078235">
                      <w:marLeft w:val="0"/>
                      <w:marRight w:val="0"/>
                      <w:marTop w:val="0"/>
                      <w:marBottom w:val="0"/>
                      <w:divBdr>
                        <w:top w:val="none" w:sz="0" w:space="0" w:color="auto"/>
                        <w:left w:val="none" w:sz="0" w:space="0" w:color="auto"/>
                        <w:bottom w:val="none" w:sz="0" w:space="0" w:color="auto"/>
                        <w:right w:val="none" w:sz="0" w:space="0" w:color="auto"/>
                      </w:divBdr>
                    </w:div>
                  </w:divsChild>
                </w:div>
                <w:div w:id="341200636">
                  <w:marLeft w:val="0"/>
                  <w:marRight w:val="0"/>
                  <w:marTop w:val="0"/>
                  <w:marBottom w:val="0"/>
                  <w:divBdr>
                    <w:top w:val="none" w:sz="0" w:space="0" w:color="auto"/>
                    <w:left w:val="none" w:sz="0" w:space="0" w:color="auto"/>
                    <w:bottom w:val="none" w:sz="0" w:space="0" w:color="auto"/>
                    <w:right w:val="none" w:sz="0" w:space="0" w:color="auto"/>
                  </w:divBdr>
                  <w:divsChild>
                    <w:div w:id="440686218">
                      <w:marLeft w:val="0"/>
                      <w:marRight w:val="0"/>
                      <w:marTop w:val="0"/>
                      <w:marBottom w:val="0"/>
                      <w:divBdr>
                        <w:top w:val="none" w:sz="0" w:space="0" w:color="auto"/>
                        <w:left w:val="none" w:sz="0" w:space="0" w:color="auto"/>
                        <w:bottom w:val="none" w:sz="0" w:space="0" w:color="auto"/>
                        <w:right w:val="none" w:sz="0" w:space="0" w:color="auto"/>
                      </w:divBdr>
                    </w:div>
                  </w:divsChild>
                </w:div>
                <w:div w:id="345252282">
                  <w:marLeft w:val="0"/>
                  <w:marRight w:val="0"/>
                  <w:marTop w:val="0"/>
                  <w:marBottom w:val="0"/>
                  <w:divBdr>
                    <w:top w:val="none" w:sz="0" w:space="0" w:color="auto"/>
                    <w:left w:val="none" w:sz="0" w:space="0" w:color="auto"/>
                    <w:bottom w:val="none" w:sz="0" w:space="0" w:color="auto"/>
                    <w:right w:val="none" w:sz="0" w:space="0" w:color="auto"/>
                  </w:divBdr>
                  <w:divsChild>
                    <w:div w:id="1294865710">
                      <w:marLeft w:val="0"/>
                      <w:marRight w:val="0"/>
                      <w:marTop w:val="0"/>
                      <w:marBottom w:val="0"/>
                      <w:divBdr>
                        <w:top w:val="none" w:sz="0" w:space="0" w:color="auto"/>
                        <w:left w:val="none" w:sz="0" w:space="0" w:color="auto"/>
                        <w:bottom w:val="none" w:sz="0" w:space="0" w:color="auto"/>
                        <w:right w:val="none" w:sz="0" w:space="0" w:color="auto"/>
                      </w:divBdr>
                    </w:div>
                  </w:divsChild>
                </w:div>
                <w:div w:id="346105012">
                  <w:marLeft w:val="0"/>
                  <w:marRight w:val="0"/>
                  <w:marTop w:val="0"/>
                  <w:marBottom w:val="0"/>
                  <w:divBdr>
                    <w:top w:val="none" w:sz="0" w:space="0" w:color="auto"/>
                    <w:left w:val="none" w:sz="0" w:space="0" w:color="auto"/>
                    <w:bottom w:val="none" w:sz="0" w:space="0" w:color="auto"/>
                    <w:right w:val="none" w:sz="0" w:space="0" w:color="auto"/>
                  </w:divBdr>
                  <w:divsChild>
                    <w:div w:id="389692237">
                      <w:marLeft w:val="0"/>
                      <w:marRight w:val="0"/>
                      <w:marTop w:val="0"/>
                      <w:marBottom w:val="0"/>
                      <w:divBdr>
                        <w:top w:val="none" w:sz="0" w:space="0" w:color="auto"/>
                        <w:left w:val="none" w:sz="0" w:space="0" w:color="auto"/>
                        <w:bottom w:val="none" w:sz="0" w:space="0" w:color="auto"/>
                        <w:right w:val="none" w:sz="0" w:space="0" w:color="auto"/>
                      </w:divBdr>
                    </w:div>
                  </w:divsChild>
                </w:div>
                <w:div w:id="352265678">
                  <w:marLeft w:val="0"/>
                  <w:marRight w:val="0"/>
                  <w:marTop w:val="0"/>
                  <w:marBottom w:val="0"/>
                  <w:divBdr>
                    <w:top w:val="none" w:sz="0" w:space="0" w:color="auto"/>
                    <w:left w:val="none" w:sz="0" w:space="0" w:color="auto"/>
                    <w:bottom w:val="none" w:sz="0" w:space="0" w:color="auto"/>
                    <w:right w:val="none" w:sz="0" w:space="0" w:color="auto"/>
                  </w:divBdr>
                  <w:divsChild>
                    <w:div w:id="299776051">
                      <w:marLeft w:val="0"/>
                      <w:marRight w:val="0"/>
                      <w:marTop w:val="0"/>
                      <w:marBottom w:val="0"/>
                      <w:divBdr>
                        <w:top w:val="none" w:sz="0" w:space="0" w:color="auto"/>
                        <w:left w:val="none" w:sz="0" w:space="0" w:color="auto"/>
                        <w:bottom w:val="none" w:sz="0" w:space="0" w:color="auto"/>
                        <w:right w:val="none" w:sz="0" w:space="0" w:color="auto"/>
                      </w:divBdr>
                    </w:div>
                  </w:divsChild>
                </w:div>
                <w:div w:id="364329924">
                  <w:marLeft w:val="0"/>
                  <w:marRight w:val="0"/>
                  <w:marTop w:val="0"/>
                  <w:marBottom w:val="0"/>
                  <w:divBdr>
                    <w:top w:val="none" w:sz="0" w:space="0" w:color="auto"/>
                    <w:left w:val="none" w:sz="0" w:space="0" w:color="auto"/>
                    <w:bottom w:val="none" w:sz="0" w:space="0" w:color="auto"/>
                    <w:right w:val="none" w:sz="0" w:space="0" w:color="auto"/>
                  </w:divBdr>
                  <w:divsChild>
                    <w:div w:id="2137091787">
                      <w:marLeft w:val="0"/>
                      <w:marRight w:val="0"/>
                      <w:marTop w:val="0"/>
                      <w:marBottom w:val="0"/>
                      <w:divBdr>
                        <w:top w:val="none" w:sz="0" w:space="0" w:color="auto"/>
                        <w:left w:val="none" w:sz="0" w:space="0" w:color="auto"/>
                        <w:bottom w:val="none" w:sz="0" w:space="0" w:color="auto"/>
                        <w:right w:val="none" w:sz="0" w:space="0" w:color="auto"/>
                      </w:divBdr>
                    </w:div>
                  </w:divsChild>
                </w:div>
                <w:div w:id="368379790">
                  <w:marLeft w:val="0"/>
                  <w:marRight w:val="0"/>
                  <w:marTop w:val="0"/>
                  <w:marBottom w:val="0"/>
                  <w:divBdr>
                    <w:top w:val="none" w:sz="0" w:space="0" w:color="auto"/>
                    <w:left w:val="none" w:sz="0" w:space="0" w:color="auto"/>
                    <w:bottom w:val="none" w:sz="0" w:space="0" w:color="auto"/>
                    <w:right w:val="none" w:sz="0" w:space="0" w:color="auto"/>
                  </w:divBdr>
                  <w:divsChild>
                    <w:div w:id="1827435999">
                      <w:marLeft w:val="0"/>
                      <w:marRight w:val="0"/>
                      <w:marTop w:val="0"/>
                      <w:marBottom w:val="0"/>
                      <w:divBdr>
                        <w:top w:val="none" w:sz="0" w:space="0" w:color="auto"/>
                        <w:left w:val="none" w:sz="0" w:space="0" w:color="auto"/>
                        <w:bottom w:val="none" w:sz="0" w:space="0" w:color="auto"/>
                        <w:right w:val="none" w:sz="0" w:space="0" w:color="auto"/>
                      </w:divBdr>
                    </w:div>
                  </w:divsChild>
                </w:div>
                <w:div w:id="382872281">
                  <w:marLeft w:val="0"/>
                  <w:marRight w:val="0"/>
                  <w:marTop w:val="0"/>
                  <w:marBottom w:val="0"/>
                  <w:divBdr>
                    <w:top w:val="none" w:sz="0" w:space="0" w:color="auto"/>
                    <w:left w:val="none" w:sz="0" w:space="0" w:color="auto"/>
                    <w:bottom w:val="none" w:sz="0" w:space="0" w:color="auto"/>
                    <w:right w:val="none" w:sz="0" w:space="0" w:color="auto"/>
                  </w:divBdr>
                  <w:divsChild>
                    <w:div w:id="1415592461">
                      <w:marLeft w:val="0"/>
                      <w:marRight w:val="0"/>
                      <w:marTop w:val="0"/>
                      <w:marBottom w:val="0"/>
                      <w:divBdr>
                        <w:top w:val="none" w:sz="0" w:space="0" w:color="auto"/>
                        <w:left w:val="none" w:sz="0" w:space="0" w:color="auto"/>
                        <w:bottom w:val="none" w:sz="0" w:space="0" w:color="auto"/>
                        <w:right w:val="none" w:sz="0" w:space="0" w:color="auto"/>
                      </w:divBdr>
                    </w:div>
                  </w:divsChild>
                </w:div>
                <w:div w:id="384256290">
                  <w:marLeft w:val="0"/>
                  <w:marRight w:val="0"/>
                  <w:marTop w:val="0"/>
                  <w:marBottom w:val="0"/>
                  <w:divBdr>
                    <w:top w:val="none" w:sz="0" w:space="0" w:color="auto"/>
                    <w:left w:val="none" w:sz="0" w:space="0" w:color="auto"/>
                    <w:bottom w:val="none" w:sz="0" w:space="0" w:color="auto"/>
                    <w:right w:val="none" w:sz="0" w:space="0" w:color="auto"/>
                  </w:divBdr>
                  <w:divsChild>
                    <w:div w:id="1420904654">
                      <w:marLeft w:val="0"/>
                      <w:marRight w:val="0"/>
                      <w:marTop w:val="0"/>
                      <w:marBottom w:val="0"/>
                      <w:divBdr>
                        <w:top w:val="none" w:sz="0" w:space="0" w:color="auto"/>
                        <w:left w:val="none" w:sz="0" w:space="0" w:color="auto"/>
                        <w:bottom w:val="none" w:sz="0" w:space="0" w:color="auto"/>
                        <w:right w:val="none" w:sz="0" w:space="0" w:color="auto"/>
                      </w:divBdr>
                    </w:div>
                  </w:divsChild>
                </w:div>
                <w:div w:id="387843877">
                  <w:marLeft w:val="0"/>
                  <w:marRight w:val="0"/>
                  <w:marTop w:val="0"/>
                  <w:marBottom w:val="0"/>
                  <w:divBdr>
                    <w:top w:val="none" w:sz="0" w:space="0" w:color="auto"/>
                    <w:left w:val="none" w:sz="0" w:space="0" w:color="auto"/>
                    <w:bottom w:val="none" w:sz="0" w:space="0" w:color="auto"/>
                    <w:right w:val="none" w:sz="0" w:space="0" w:color="auto"/>
                  </w:divBdr>
                  <w:divsChild>
                    <w:div w:id="62875913">
                      <w:marLeft w:val="0"/>
                      <w:marRight w:val="0"/>
                      <w:marTop w:val="0"/>
                      <w:marBottom w:val="0"/>
                      <w:divBdr>
                        <w:top w:val="none" w:sz="0" w:space="0" w:color="auto"/>
                        <w:left w:val="none" w:sz="0" w:space="0" w:color="auto"/>
                        <w:bottom w:val="none" w:sz="0" w:space="0" w:color="auto"/>
                        <w:right w:val="none" w:sz="0" w:space="0" w:color="auto"/>
                      </w:divBdr>
                    </w:div>
                  </w:divsChild>
                </w:div>
                <w:div w:id="395706598">
                  <w:marLeft w:val="0"/>
                  <w:marRight w:val="0"/>
                  <w:marTop w:val="0"/>
                  <w:marBottom w:val="0"/>
                  <w:divBdr>
                    <w:top w:val="none" w:sz="0" w:space="0" w:color="auto"/>
                    <w:left w:val="none" w:sz="0" w:space="0" w:color="auto"/>
                    <w:bottom w:val="none" w:sz="0" w:space="0" w:color="auto"/>
                    <w:right w:val="none" w:sz="0" w:space="0" w:color="auto"/>
                  </w:divBdr>
                  <w:divsChild>
                    <w:div w:id="1425497065">
                      <w:marLeft w:val="0"/>
                      <w:marRight w:val="0"/>
                      <w:marTop w:val="0"/>
                      <w:marBottom w:val="0"/>
                      <w:divBdr>
                        <w:top w:val="none" w:sz="0" w:space="0" w:color="auto"/>
                        <w:left w:val="none" w:sz="0" w:space="0" w:color="auto"/>
                        <w:bottom w:val="none" w:sz="0" w:space="0" w:color="auto"/>
                        <w:right w:val="none" w:sz="0" w:space="0" w:color="auto"/>
                      </w:divBdr>
                    </w:div>
                  </w:divsChild>
                </w:div>
                <w:div w:id="407651333">
                  <w:marLeft w:val="0"/>
                  <w:marRight w:val="0"/>
                  <w:marTop w:val="0"/>
                  <w:marBottom w:val="0"/>
                  <w:divBdr>
                    <w:top w:val="none" w:sz="0" w:space="0" w:color="auto"/>
                    <w:left w:val="none" w:sz="0" w:space="0" w:color="auto"/>
                    <w:bottom w:val="none" w:sz="0" w:space="0" w:color="auto"/>
                    <w:right w:val="none" w:sz="0" w:space="0" w:color="auto"/>
                  </w:divBdr>
                  <w:divsChild>
                    <w:div w:id="1425959160">
                      <w:marLeft w:val="0"/>
                      <w:marRight w:val="0"/>
                      <w:marTop w:val="0"/>
                      <w:marBottom w:val="0"/>
                      <w:divBdr>
                        <w:top w:val="none" w:sz="0" w:space="0" w:color="auto"/>
                        <w:left w:val="none" w:sz="0" w:space="0" w:color="auto"/>
                        <w:bottom w:val="none" w:sz="0" w:space="0" w:color="auto"/>
                        <w:right w:val="none" w:sz="0" w:space="0" w:color="auto"/>
                      </w:divBdr>
                    </w:div>
                  </w:divsChild>
                </w:div>
                <w:div w:id="418454318">
                  <w:marLeft w:val="0"/>
                  <w:marRight w:val="0"/>
                  <w:marTop w:val="0"/>
                  <w:marBottom w:val="0"/>
                  <w:divBdr>
                    <w:top w:val="none" w:sz="0" w:space="0" w:color="auto"/>
                    <w:left w:val="none" w:sz="0" w:space="0" w:color="auto"/>
                    <w:bottom w:val="none" w:sz="0" w:space="0" w:color="auto"/>
                    <w:right w:val="none" w:sz="0" w:space="0" w:color="auto"/>
                  </w:divBdr>
                  <w:divsChild>
                    <w:div w:id="255986532">
                      <w:marLeft w:val="0"/>
                      <w:marRight w:val="0"/>
                      <w:marTop w:val="0"/>
                      <w:marBottom w:val="0"/>
                      <w:divBdr>
                        <w:top w:val="none" w:sz="0" w:space="0" w:color="auto"/>
                        <w:left w:val="none" w:sz="0" w:space="0" w:color="auto"/>
                        <w:bottom w:val="none" w:sz="0" w:space="0" w:color="auto"/>
                        <w:right w:val="none" w:sz="0" w:space="0" w:color="auto"/>
                      </w:divBdr>
                    </w:div>
                  </w:divsChild>
                </w:div>
                <w:div w:id="431170147">
                  <w:marLeft w:val="0"/>
                  <w:marRight w:val="0"/>
                  <w:marTop w:val="0"/>
                  <w:marBottom w:val="0"/>
                  <w:divBdr>
                    <w:top w:val="none" w:sz="0" w:space="0" w:color="auto"/>
                    <w:left w:val="none" w:sz="0" w:space="0" w:color="auto"/>
                    <w:bottom w:val="none" w:sz="0" w:space="0" w:color="auto"/>
                    <w:right w:val="none" w:sz="0" w:space="0" w:color="auto"/>
                  </w:divBdr>
                  <w:divsChild>
                    <w:div w:id="1235504461">
                      <w:marLeft w:val="0"/>
                      <w:marRight w:val="0"/>
                      <w:marTop w:val="0"/>
                      <w:marBottom w:val="0"/>
                      <w:divBdr>
                        <w:top w:val="none" w:sz="0" w:space="0" w:color="auto"/>
                        <w:left w:val="none" w:sz="0" w:space="0" w:color="auto"/>
                        <w:bottom w:val="none" w:sz="0" w:space="0" w:color="auto"/>
                        <w:right w:val="none" w:sz="0" w:space="0" w:color="auto"/>
                      </w:divBdr>
                    </w:div>
                  </w:divsChild>
                </w:div>
                <w:div w:id="443156414">
                  <w:marLeft w:val="0"/>
                  <w:marRight w:val="0"/>
                  <w:marTop w:val="0"/>
                  <w:marBottom w:val="0"/>
                  <w:divBdr>
                    <w:top w:val="none" w:sz="0" w:space="0" w:color="auto"/>
                    <w:left w:val="none" w:sz="0" w:space="0" w:color="auto"/>
                    <w:bottom w:val="none" w:sz="0" w:space="0" w:color="auto"/>
                    <w:right w:val="none" w:sz="0" w:space="0" w:color="auto"/>
                  </w:divBdr>
                  <w:divsChild>
                    <w:div w:id="812720541">
                      <w:marLeft w:val="0"/>
                      <w:marRight w:val="0"/>
                      <w:marTop w:val="0"/>
                      <w:marBottom w:val="0"/>
                      <w:divBdr>
                        <w:top w:val="none" w:sz="0" w:space="0" w:color="auto"/>
                        <w:left w:val="none" w:sz="0" w:space="0" w:color="auto"/>
                        <w:bottom w:val="none" w:sz="0" w:space="0" w:color="auto"/>
                        <w:right w:val="none" w:sz="0" w:space="0" w:color="auto"/>
                      </w:divBdr>
                    </w:div>
                  </w:divsChild>
                </w:div>
                <w:div w:id="450365074">
                  <w:marLeft w:val="0"/>
                  <w:marRight w:val="0"/>
                  <w:marTop w:val="0"/>
                  <w:marBottom w:val="0"/>
                  <w:divBdr>
                    <w:top w:val="none" w:sz="0" w:space="0" w:color="auto"/>
                    <w:left w:val="none" w:sz="0" w:space="0" w:color="auto"/>
                    <w:bottom w:val="none" w:sz="0" w:space="0" w:color="auto"/>
                    <w:right w:val="none" w:sz="0" w:space="0" w:color="auto"/>
                  </w:divBdr>
                  <w:divsChild>
                    <w:div w:id="648821545">
                      <w:marLeft w:val="0"/>
                      <w:marRight w:val="0"/>
                      <w:marTop w:val="0"/>
                      <w:marBottom w:val="0"/>
                      <w:divBdr>
                        <w:top w:val="none" w:sz="0" w:space="0" w:color="auto"/>
                        <w:left w:val="none" w:sz="0" w:space="0" w:color="auto"/>
                        <w:bottom w:val="none" w:sz="0" w:space="0" w:color="auto"/>
                        <w:right w:val="none" w:sz="0" w:space="0" w:color="auto"/>
                      </w:divBdr>
                    </w:div>
                  </w:divsChild>
                </w:div>
                <w:div w:id="453864197">
                  <w:marLeft w:val="0"/>
                  <w:marRight w:val="0"/>
                  <w:marTop w:val="0"/>
                  <w:marBottom w:val="0"/>
                  <w:divBdr>
                    <w:top w:val="none" w:sz="0" w:space="0" w:color="auto"/>
                    <w:left w:val="none" w:sz="0" w:space="0" w:color="auto"/>
                    <w:bottom w:val="none" w:sz="0" w:space="0" w:color="auto"/>
                    <w:right w:val="none" w:sz="0" w:space="0" w:color="auto"/>
                  </w:divBdr>
                  <w:divsChild>
                    <w:div w:id="1343505373">
                      <w:marLeft w:val="0"/>
                      <w:marRight w:val="0"/>
                      <w:marTop w:val="0"/>
                      <w:marBottom w:val="0"/>
                      <w:divBdr>
                        <w:top w:val="none" w:sz="0" w:space="0" w:color="auto"/>
                        <w:left w:val="none" w:sz="0" w:space="0" w:color="auto"/>
                        <w:bottom w:val="none" w:sz="0" w:space="0" w:color="auto"/>
                        <w:right w:val="none" w:sz="0" w:space="0" w:color="auto"/>
                      </w:divBdr>
                    </w:div>
                  </w:divsChild>
                </w:div>
                <w:div w:id="454562455">
                  <w:marLeft w:val="0"/>
                  <w:marRight w:val="0"/>
                  <w:marTop w:val="0"/>
                  <w:marBottom w:val="0"/>
                  <w:divBdr>
                    <w:top w:val="none" w:sz="0" w:space="0" w:color="auto"/>
                    <w:left w:val="none" w:sz="0" w:space="0" w:color="auto"/>
                    <w:bottom w:val="none" w:sz="0" w:space="0" w:color="auto"/>
                    <w:right w:val="none" w:sz="0" w:space="0" w:color="auto"/>
                  </w:divBdr>
                  <w:divsChild>
                    <w:div w:id="791170010">
                      <w:marLeft w:val="0"/>
                      <w:marRight w:val="0"/>
                      <w:marTop w:val="0"/>
                      <w:marBottom w:val="0"/>
                      <w:divBdr>
                        <w:top w:val="none" w:sz="0" w:space="0" w:color="auto"/>
                        <w:left w:val="none" w:sz="0" w:space="0" w:color="auto"/>
                        <w:bottom w:val="none" w:sz="0" w:space="0" w:color="auto"/>
                        <w:right w:val="none" w:sz="0" w:space="0" w:color="auto"/>
                      </w:divBdr>
                    </w:div>
                  </w:divsChild>
                </w:div>
                <w:div w:id="502866206">
                  <w:marLeft w:val="0"/>
                  <w:marRight w:val="0"/>
                  <w:marTop w:val="0"/>
                  <w:marBottom w:val="0"/>
                  <w:divBdr>
                    <w:top w:val="none" w:sz="0" w:space="0" w:color="auto"/>
                    <w:left w:val="none" w:sz="0" w:space="0" w:color="auto"/>
                    <w:bottom w:val="none" w:sz="0" w:space="0" w:color="auto"/>
                    <w:right w:val="none" w:sz="0" w:space="0" w:color="auto"/>
                  </w:divBdr>
                  <w:divsChild>
                    <w:div w:id="838541402">
                      <w:marLeft w:val="0"/>
                      <w:marRight w:val="0"/>
                      <w:marTop w:val="0"/>
                      <w:marBottom w:val="0"/>
                      <w:divBdr>
                        <w:top w:val="none" w:sz="0" w:space="0" w:color="auto"/>
                        <w:left w:val="none" w:sz="0" w:space="0" w:color="auto"/>
                        <w:bottom w:val="none" w:sz="0" w:space="0" w:color="auto"/>
                        <w:right w:val="none" w:sz="0" w:space="0" w:color="auto"/>
                      </w:divBdr>
                    </w:div>
                  </w:divsChild>
                </w:div>
                <w:div w:id="538319261">
                  <w:marLeft w:val="0"/>
                  <w:marRight w:val="0"/>
                  <w:marTop w:val="0"/>
                  <w:marBottom w:val="0"/>
                  <w:divBdr>
                    <w:top w:val="none" w:sz="0" w:space="0" w:color="auto"/>
                    <w:left w:val="none" w:sz="0" w:space="0" w:color="auto"/>
                    <w:bottom w:val="none" w:sz="0" w:space="0" w:color="auto"/>
                    <w:right w:val="none" w:sz="0" w:space="0" w:color="auto"/>
                  </w:divBdr>
                  <w:divsChild>
                    <w:div w:id="1057440300">
                      <w:marLeft w:val="0"/>
                      <w:marRight w:val="0"/>
                      <w:marTop w:val="0"/>
                      <w:marBottom w:val="0"/>
                      <w:divBdr>
                        <w:top w:val="none" w:sz="0" w:space="0" w:color="auto"/>
                        <w:left w:val="none" w:sz="0" w:space="0" w:color="auto"/>
                        <w:bottom w:val="none" w:sz="0" w:space="0" w:color="auto"/>
                        <w:right w:val="none" w:sz="0" w:space="0" w:color="auto"/>
                      </w:divBdr>
                    </w:div>
                  </w:divsChild>
                </w:div>
                <w:div w:id="544290216">
                  <w:marLeft w:val="0"/>
                  <w:marRight w:val="0"/>
                  <w:marTop w:val="0"/>
                  <w:marBottom w:val="0"/>
                  <w:divBdr>
                    <w:top w:val="none" w:sz="0" w:space="0" w:color="auto"/>
                    <w:left w:val="none" w:sz="0" w:space="0" w:color="auto"/>
                    <w:bottom w:val="none" w:sz="0" w:space="0" w:color="auto"/>
                    <w:right w:val="none" w:sz="0" w:space="0" w:color="auto"/>
                  </w:divBdr>
                  <w:divsChild>
                    <w:div w:id="1871064678">
                      <w:marLeft w:val="0"/>
                      <w:marRight w:val="0"/>
                      <w:marTop w:val="0"/>
                      <w:marBottom w:val="0"/>
                      <w:divBdr>
                        <w:top w:val="none" w:sz="0" w:space="0" w:color="auto"/>
                        <w:left w:val="none" w:sz="0" w:space="0" w:color="auto"/>
                        <w:bottom w:val="none" w:sz="0" w:space="0" w:color="auto"/>
                        <w:right w:val="none" w:sz="0" w:space="0" w:color="auto"/>
                      </w:divBdr>
                    </w:div>
                  </w:divsChild>
                </w:div>
                <w:div w:id="551968221">
                  <w:marLeft w:val="0"/>
                  <w:marRight w:val="0"/>
                  <w:marTop w:val="0"/>
                  <w:marBottom w:val="0"/>
                  <w:divBdr>
                    <w:top w:val="none" w:sz="0" w:space="0" w:color="auto"/>
                    <w:left w:val="none" w:sz="0" w:space="0" w:color="auto"/>
                    <w:bottom w:val="none" w:sz="0" w:space="0" w:color="auto"/>
                    <w:right w:val="none" w:sz="0" w:space="0" w:color="auto"/>
                  </w:divBdr>
                  <w:divsChild>
                    <w:div w:id="373045590">
                      <w:marLeft w:val="0"/>
                      <w:marRight w:val="0"/>
                      <w:marTop w:val="0"/>
                      <w:marBottom w:val="0"/>
                      <w:divBdr>
                        <w:top w:val="none" w:sz="0" w:space="0" w:color="auto"/>
                        <w:left w:val="none" w:sz="0" w:space="0" w:color="auto"/>
                        <w:bottom w:val="none" w:sz="0" w:space="0" w:color="auto"/>
                        <w:right w:val="none" w:sz="0" w:space="0" w:color="auto"/>
                      </w:divBdr>
                    </w:div>
                  </w:divsChild>
                </w:div>
                <w:div w:id="563957553">
                  <w:marLeft w:val="0"/>
                  <w:marRight w:val="0"/>
                  <w:marTop w:val="0"/>
                  <w:marBottom w:val="0"/>
                  <w:divBdr>
                    <w:top w:val="none" w:sz="0" w:space="0" w:color="auto"/>
                    <w:left w:val="none" w:sz="0" w:space="0" w:color="auto"/>
                    <w:bottom w:val="none" w:sz="0" w:space="0" w:color="auto"/>
                    <w:right w:val="none" w:sz="0" w:space="0" w:color="auto"/>
                  </w:divBdr>
                  <w:divsChild>
                    <w:div w:id="1288045072">
                      <w:marLeft w:val="0"/>
                      <w:marRight w:val="0"/>
                      <w:marTop w:val="0"/>
                      <w:marBottom w:val="0"/>
                      <w:divBdr>
                        <w:top w:val="none" w:sz="0" w:space="0" w:color="auto"/>
                        <w:left w:val="none" w:sz="0" w:space="0" w:color="auto"/>
                        <w:bottom w:val="none" w:sz="0" w:space="0" w:color="auto"/>
                        <w:right w:val="none" w:sz="0" w:space="0" w:color="auto"/>
                      </w:divBdr>
                    </w:div>
                  </w:divsChild>
                </w:div>
                <w:div w:id="602810238">
                  <w:marLeft w:val="0"/>
                  <w:marRight w:val="0"/>
                  <w:marTop w:val="0"/>
                  <w:marBottom w:val="0"/>
                  <w:divBdr>
                    <w:top w:val="none" w:sz="0" w:space="0" w:color="auto"/>
                    <w:left w:val="none" w:sz="0" w:space="0" w:color="auto"/>
                    <w:bottom w:val="none" w:sz="0" w:space="0" w:color="auto"/>
                    <w:right w:val="none" w:sz="0" w:space="0" w:color="auto"/>
                  </w:divBdr>
                  <w:divsChild>
                    <w:div w:id="1522815913">
                      <w:marLeft w:val="0"/>
                      <w:marRight w:val="0"/>
                      <w:marTop w:val="0"/>
                      <w:marBottom w:val="0"/>
                      <w:divBdr>
                        <w:top w:val="none" w:sz="0" w:space="0" w:color="auto"/>
                        <w:left w:val="none" w:sz="0" w:space="0" w:color="auto"/>
                        <w:bottom w:val="none" w:sz="0" w:space="0" w:color="auto"/>
                        <w:right w:val="none" w:sz="0" w:space="0" w:color="auto"/>
                      </w:divBdr>
                    </w:div>
                  </w:divsChild>
                </w:div>
                <w:div w:id="621378010">
                  <w:marLeft w:val="0"/>
                  <w:marRight w:val="0"/>
                  <w:marTop w:val="0"/>
                  <w:marBottom w:val="0"/>
                  <w:divBdr>
                    <w:top w:val="none" w:sz="0" w:space="0" w:color="auto"/>
                    <w:left w:val="none" w:sz="0" w:space="0" w:color="auto"/>
                    <w:bottom w:val="none" w:sz="0" w:space="0" w:color="auto"/>
                    <w:right w:val="none" w:sz="0" w:space="0" w:color="auto"/>
                  </w:divBdr>
                  <w:divsChild>
                    <w:div w:id="2064676770">
                      <w:marLeft w:val="0"/>
                      <w:marRight w:val="0"/>
                      <w:marTop w:val="0"/>
                      <w:marBottom w:val="0"/>
                      <w:divBdr>
                        <w:top w:val="none" w:sz="0" w:space="0" w:color="auto"/>
                        <w:left w:val="none" w:sz="0" w:space="0" w:color="auto"/>
                        <w:bottom w:val="none" w:sz="0" w:space="0" w:color="auto"/>
                        <w:right w:val="none" w:sz="0" w:space="0" w:color="auto"/>
                      </w:divBdr>
                    </w:div>
                  </w:divsChild>
                </w:div>
                <w:div w:id="637221067">
                  <w:marLeft w:val="0"/>
                  <w:marRight w:val="0"/>
                  <w:marTop w:val="0"/>
                  <w:marBottom w:val="0"/>
                  <w:divBdr>
                    <w:top w:val="none" w:sz="0" w:space="0" w:color="auto"/>
                    <w:left w:val="none" w:sz="0" w:space="0" w:color="auto"/>
                    <w:bottom w:val="none" w:sz="0" w:space="0" w:color="auto"/>
                    <w:right w:val="none" w:sz="0" w:space="0" w:color="auto"/>
                  </w:divBdr>
                  <w:divsChild>
                    <w:div w:id="474178975">
                      <w:marLeft w:val="0"/>
                      <w:marRight w:val="0"/>
                      <w:marTop w:val="0"/>
                      <w:marBottom w:val="0"/>
                      <w:divBdr>
                        <w:top w:val="none" w:sz="0" w:space="0" w:color="auto"/>
                        <w:left w:val="none" w:sz="0" w:space="0" w:color="auto"/>
                        <w:bottom w:val="none" w:sz="0" w:space="0" w:color="auto"/>
                        <w:right w:val="none" w:sz="0" w:space="0" w:color="auto"/>
                      </w:divBdr>
                    </w:div>
                  </w:divsChild>
                </w:div>
                <w:div w:id="638460931">
                  <w:marLeft w:val="0"/>
                  <w:marRight w:val="0"/>
                  <w:marTop w:val="0"/>
                  <w:marBottom w:val="0"/>
                  <w:divBdr>
                    <w:top w:val="none" w:sz="0" w:space="0" w:color="auto"/>
                    <w:left w:val="none" w:sz="0" w:space="0" w:color="auto"/>
                    <w:bottom w:val="none" w:sz="0" w:space="0" w:color="auto"/>
                    <w:right w:val="none" w:sz="0" w:space="0" w:color="auto"/>
                  </w:divBdr>
                  <w:divsChild>
                    <w:div w:id="1565556609">
                      <w:marLeft w:val="0"/>
                      <w:marRight w:val="0"/>
                      <w:marTop w:val="0"/>
                      <w:marBottom w:val="0"/>
                      <w:divBdr>
                        <w:top w:val="none" w:sz="0" w:space="0" w:color="auto"/>
                        <w:left w:val="none" w:sz="0" w:space="0" w:color="auto"/>
                        <w:bottom w:val="none" w:sz="0" w:space="0" w:color="auto"/>
                        <w:right w:val="none" w:sz="0" w:space="0" w:color="auto"/>
                      </w:divBdr>
                    </w:div>
                  </w:divsChild>
                </w:div>
                <w:div w:id="645934630">
                  <w:marLeft w:val="0"/>
                  <w:marRight w:val="0"/>
                  <w:marTop w:val="0"/>
                  <w:marBottom w:val="0"/>
                  <w:divBdr>
                    <w:top w:val="none" w:sz="0" w:space="0" w:color="auto"/>
                    <w:left w:val="none" w:sz="0" w:space="0" w:color="auto"/>
                    <w:bottom w:val="none" w:sz="0" w:space="0" w:color="auto"/>
                    <w:right w:val="none" w:sz="0" w:space="0" w:color="auto"/>
                  </w:divBdr>
                  <w:divsChild>
                    <w:div w:id="752747805">
                      <w:marLeft w:val="0"/>
                      <w:marRight w:val="0"/>
                      <w:marTop w:val="0"/>
                      <w:marBottom w:val="0"/>
                      <w:divBdr>
                        <w:top w:val="none" w:sz="0" w:space="0" w:color="auto"/>
                        <w:left w:val="none" w:sz="0" w:space="0" w:color="auto"/>
                        <w:bottom w:val="none" w:sz="0" w:space="0" w:color="auto"/>
                        <w:right w:val="none" w:sz="0" w:space="0" w:color="auto"/>
                      </w:divBdr>
                    </w:div>
                  </w:divsChild>
                </w:div>
                <w:div w:id="654794395">
                  <w:marLeft w:val="0"/>
                  <w:marRight w:val="0"/>
                  <w:marTop w:val="0"/>
                  <w:marBottom w:val="0"/>
                  <w:divBdr>
                    <w:top w:val="none" w:sz="0" w:space="0" w:color="auto"/>
                    <w:left w:val="none" w:sz="0" w:space="0" w:color="auto"/>
                    <w:bottom w:val="none" w:sz="0" w:space="0" w:color="auto"/>
                    <w:right w:val="none" w:sz="0" w:space="0" w:color="auto"/>
                  </w:divBdr>
                  <w:divsChild>
                    <w:div w:id="127626992">
                      <w:marLeft w:val="0"/>
                      <w:marRight w:val="0"/>
                      <w:marTop w:val="0"/>
                      <w:marBottom w:val="0"/>
                      <w:divBdr>
                        <w:top w:val="none" w:sz="0" w:space="0" w:color="auto"/>
                        <w:left w:val="none" w:sz="0" w:space="0" w:color="auto"/>
                        <w:bottom w:val="none" w:sz="0" w:space="0" w:color="auto"/>
                        <w:right w:val="none" w:sz="0" w:space="0" w:color="auto"/>
                      </w:divBdr>
                    </w:div>
                  </w:divsChild>
                </w:div>
                <w:div w:id="656306983">
                  <w:marLeft w:val="0"/>
                  <w:marRight w:val="0"/>
                  <w:marTop w:val="0"/>
                  <w:marBottom w:val="0"/>
                  <w:divBdr>
                    <w:top w:val="none" w:sz="0" w:space="0" w:color="auto"/>
                    <w:left w:val="none" w:sz="0" w:space="0" w:color="auto"/>
                    <w:bottom w:val="none" w:sz="0" w:space="0" w:color="auto"/>
                    <w:right w:val="none" w:sz="0" w:space="0" w:color="auto"/>
                  </w:divBdr>
                  <w:divsChild>
                    <w:div w:id="1235890230">
                      <w:marLeft w:val="0"/>
                      <w:marRight w:val="0"/>
                      <w:marTop w:val="0"/>
                      <w:marBottom w:val="0"/>
                      <w:divBdr>
                        <w:top w:val="none" w:sz="0" w:space="0" w:color="auto"/>
                        <w:left w:val="none" w:sz="0" w:space="0" w:color="auto"/>
                        <w:bottom w:val="none" w:sz="0" w:space="0" w:color="auto"/>
                        <w:right w:val="none" w:sz="0" w:space="0" w:color="auto"/>
                      </w:divBdr>
                    </w:div>
                  </w:divsChild>
                </w:div>
                <w:div w:id="656540867">
                  <w:marLeft w:val="0"/>
                  <w:marRight w:val="0"/>
                  <w:marTop w:val="0"/>
                  <w:marBottom w:val="0"/>
                  <w:divBdr>
                    <w:top w:val="none" w:sz="0" w:space="0" w:color="auto"/>
                    <w:left w:val="none" w:sz="0" w:space="0" w:color="auto"/>
                    <w:bottom w:val="none" w:sz="0" w:space="0" w:color="auto"/>
                    <w:right w:val="none" w:sz="0" w:space="0" w:color="auto"/>
                  </w:divBdr>
                  <w:divsChild>
                    <w:div w:id="1498764135">
                      <w:marLeft w:val="0"/>
                      <w:marRight w:val="0"/>
                      <w:marTop w:val="0"/>
                      <w:marBottom w:val="0"/>
                      <w:divBdr>
                        <w:top w:val="none" w:sz="0" w:space="0" w:color="auto"/>
                        <w:left w:val="none" w:sz="0" w:space="0" w:color="auto"/>
                        <w:bottom w:val="none" w:sz="0" w:space="0" w:color="auto"/>
                        <w:right w:val="none" w:sz="0" w:space="0" w:color="auto"/>
                      </w:divBdr>
                    </w:div>
                  </w:divsChild>
                </w:div>
                <w:div w:id="668677376">
                  <w:marLeft w:val="0"/>
                  <w:marRight w:val="0"/>
                  <w:marTop w:val="0"/>
                  <w:marBottom w:val="0"/>
                  <w:divBdr>
                    <w:top w:val="none" w:sz="0" w:space="0" w:color="auto"/>
                    <w:left w:val="none" w:sz="0" w:space="0" w:color="auto"/>
                    <w:bottom w:val="none" w:sz="0" w:space="0" w:color="auto"/>
                    <w:right w:val="none" w:sz="0" w:space="0" w:color="auto"/>
                  </w:divBdr>
                  <w:divsChild>
                    <w:div w:id="1223757829">
                      <w:marLeft w:val="0"/>
                      <w:marRight w:val="0"/>
                      <w:marTop w:val="0"/>
                      <w:marBottom w:val="0"/>
                      <w:divBdr>
                        <w:top w:val="none" w:sz="0" w:space="0" w:color="auto"/>
                        <w:left w:val="none" w:sz="0" w:space="0" w:color="auto"/>
                        <w:bottom w:val="none" w:sz="0" w:space="0" w:color="auto"/>
                        <w:right w:val="none" w:sz="0" w:space="0" w:color="auto"/>
                      </w:divBdr>
                    </w:div>
                  </w:divsChild>
                </w:div>
                <w:div w:id="684594506">
                  <w:marLeft w:val="0"/>
                  <w:marRight w:val="0"/>
                  <w:marTop w:val="0"/>
                  <w:marBottom w:val="0"/>
                  <w:divBdr>
                    <w:top w:val="none" w:sz="0" w:space="0" w:color="auto"/>
                    <w:left w:val="none" w:sz="0" w:space="0" w:color="auto"/>
                    <w:bottom w:val="none" w:sz="0" w:space="0" w:color="auto"/>
                    <w:right w:val="none" w:sz="0" w:space="0" w:color="auto"/>
                  </w:divBdr>
                  <w:divsChild>
                    <w:div w:id="2132506193">
                      <w:marLeft w:val="0"/>
                      <w:marRight w:val="0"/>
                      <w:marTop w:val="0"/>
                      <w:marBottom w:val="0"/>
                      <w:divBdr>
                        <w:top w:val="none" w:sz="0" w:space="0" w:color="auto"/>
                        <w:left w:val="none" w:sz="0" w:space="0" w:color="auto"/>
                        <w:bottom w:val="none" w:sz="0" w:space="0" w:color="auto"/>
                        <w:right w:val="none" w:sz="0" w:space="0" w:color="auto"/>
                      </w:divBdr>
                    </w:div>
                  </w:divsChild>
                </w:div>
                <w:div w:id="699747515">
                  <w:marLeft w:val="0"/>
                  <w:marRight w:val="0"/>
                  <w:marTop w:val="0"/>
                  <w:marBottom w:val="0"/>
                  <w:divBdr>
                    <w:top w:val="none" w:sz="0" w:space="0" w:color="auto"/>
                    <w:left w:val="none" w:sz="0" w:space="0" w:color="auto"/>
                    <w:bottom w:val="none" w:sz="0" w:space="0" w:color="auto"/>
                    <w:right w:val="none" w:sz="0" w:space="0" w:color="auto"/>
                  </w:divBdr>
                  <w:divsChild>
                    <w:div w:id="163328815">
                      <w:marLeft w:val="0"/>
                      <w:marRight w:val="0"/>
                      <w:marTop w:val="0"/>
                      <w:marBottom w:val="0"/>
                      <w:divBdr>
                        <w:top w:val="none" w:sz="0" w:space="0" w:color="auto"/>
                        <w:left w:val="none" w:sz="0" w:space="0" w:color="auto"/>
                        <w:bottom w:val="none" w:sz="0" w:space="0" w:color="auto"/>
                        <w:right w:val="none" w:sz="0" w:space="0" w:color="auto"/>
                      </w:divBdr>
                    </w:div>
                  </w:divsChild>
                </w:div>
                <w:div w:id="705255928">
                  <w:marLeft w:val="0"/>
                  <w:marRight w:val="0"/>
                  <w:marTop w:val="0"/>
                  <w:marBottom w:val="0"/>
                  <w:divBdr>
                    <w:top w:val="none" w:sz="0" w:space="0" w:color="auto"/>
                    <w:left w:val="none" w:sz="0" w:space="0" w:color="auto"/>
                    <w:bottom w:val="none" w:sz="0" w:space="0" w:color="auto"/>
                    <w:right w:val="none" w:sz="0" w:space="0" w:color="auto"/>
                  </w:divBdr>
                  <w:divsChild>
                    <w:div w:id="60102575">
                      <w:marLeft w:val="0"/>
                      <w:marRight w:val="0"/>
                      <w:marTop w:val="0"/>
                      <w:marBottom w:val="0"/>
                      <w:divBdr>
                        <w:top w:val="none" w:sz="0" w:space="0" w:color="auto"/>
                        <w:left w:val="none" w:sz="0" w:space="0" w:color="auto"/>
                        <w:bottom w:val="none" w:sz="0" w:space="0" w:color="auto"/>
                        <w:right w:val="none" w:sz="0" w:space="0" w:color="auto"/>
                      </w:divBdr>
                    </w:div>
                  </w:divsChild>
                </w:div>
                <w:div w:id="709493591">
                  <w:marLeft w:val="0"/>
                  <w:marRight w:val="0"/>
                  <w:marTop w:val="0"/>
                  <w:marBottom w:val="0"/>
                  <w:divBdr>
                    <w:top w:val="none" w:sz="0" w:space="0" w:color="auto"/>
                    <w:left w:val="none" w:sz="0" w:space="0" w:color="auto"/>
                    <w:bottom w:val="none" w:sz="0" w:space="0" w:color="auto"/>
                    <w:right w:val="none" w:sz="0" w:space="0" w:color="auto"/>
                  </w:divBdr>
                  <w:divsChild>
                    <w:div w:id="1350448416">
                      <w:marLeft w:val="0"/>
                      <w:marRight w:val="0"/>
                      <w:marTop w:val="0"/>
                      <w:marBottom w:val="0"/>
                      <w:divBdr>
                        <w:top w:val="none" w:sz="0" w:space="0" w:color="auto"/>
                        <w:left w:val="none" w:sz="0" w:space="0" w:color="auto"/>
                        <w:bottom w:val="none" w:sz="0" w:space="0" w:color="auto"/>
                        <w:right w:val="none" w:sz="0" w:space="0" w:color="auto"/>
                      </w:divBdr>
                    </w:div>
                  </w:divsChild>
                </w:div>
                <w:div w:id="710883243">
                  <w:marLeft w:val="0"/>
                  <w:marRight w:val="0"/>
                  <w:marTop w:val="0"/>
                  <w:marBottom w:val="0"/>
                  <w:divBdr>
                    <w:top w:val="none" w:sz="0" w:space="0" w:color="auto"/>
                    <w:left w:val="none" w:sz="0" w:space="0" w:color="auto"/>
                    <w:bottom w:val="none" w:sz="0" w:space="0" w:color="auto"/>
                    <w:right w:val="none" w:sz="0" w:space="0" w:color="auto"/>
                  </w:divBdr>
                  <w:divsChild>
                    <w:div w:id="226379258">
                      <w:marLeft w:val="0"/>
                      <w:marRight w:val="0"/>
                      <w:marTop w:val="0"/>
                      <w:marBottom w:val="0"/>
                      <w:divBdr>
                        <w:top w:val="none" w:sz="0" w:space="0" w:color="auto"/>
                        <w:left w:val="none" w:sz="0" w:space="0" w:color="auto"/>
                        <w:bottom w:val="none" w:sz="0" w:space="0" w:color="auto"/>
                        <w:right w:val="none" w:sz="0" w:space="0" w:color="auto"/>
                      </w:divBdr>
                    </w:div>
                  </w:divsChild>
                </w:div>
                <w:div w:id="715158849">
                  <w:marLeft w:val="0"/>
                  <w:marRight w:val="0"/>
                  <w:marTop w:val="0"/>
                  <w:marBottom w:val="0"/>
                  <w:divBdr>
                    <w:top w:val="none" w:sz="0" w:space="0" w:color="auto"/>
                    <w:left w:val="none" w:sz="0" w:space="0" w:color="auto"/>
                    <w:bottom w:val="none" w:sz="0" w:space="0" w:color="auto"/>
                    <w:right w:val="none" w:sz="0" w:space="0" w:color="auto"/>
                  </w:divBdr>
                  <w:divsChild>
                    <w:div w:id="813840956">
                      <w:marLeft w:val="0"/>
                      <w:marRight w:val="0"/>
                      <w:marTop w:val="0"/>
                      <w:marBottom w:val="0"/>
                      <w:divBdr>
                        <w:top w:val="none" w:sz="0" w:space="0" w:color="auto"/>
                        <w:left w:val="none" w:sz="0" w:space="0" w:color="auto"/>
                        <w:bottom w:val="none" w:sz="0" w:space="0" w:color="auto"/>
                        <w:right w:val="none" w:sz="0" w:space="0" w:color="auto"/>
                      </w:divBdr>
                    </w:div>
                  </w:divsChild>
                </w:div>
                <w:div w:id="741293007">
                  <w:marLeft w:val="0"/>
                  <w:marRight w:val="0"/>
                  <w:marTop w:val="0"/>
                  <w:marBottom w:val="0"/>
                  <w:divBdr>
                    <w:top w:val="none" w:sz="0" w:space="0" w:color="auto"/>
                    <w:left w:val="none" w:sz="0" w:space="0" w:color="auto"/>
                    <w:bottom w:val="none" w:sz="0" w:space="0" w:color="auto"/>
                    <w:right w:val="none" w:sz="0" w:space="0" w:color="auto"/>
                  </w:divBdr>
                  <w:divsChild>
                    <w:div w:id="1882665405">
                      <w:marLeft w:val="0"/>
                      <w:marRight w:val="0"/>
                      <w:marTop w:val="0"/>
                      <w:marBottom w:val="0"/>
                      <w:divBdr>
                        <w:top w:val="none" w:sz="0" w:space="0" w:color="auto"/>
                        <w:left w:val="none" w:sz="0" w:space="0" w:color="auto"/>
                        <w:bottom w:val="none" w:sz="0" w:space="0" w:color="auto"/>
                        <w:right w:val="none" w:sz="0" w:space="0" w:color="auto"/>
                      </w:divBdr>
                    </w:div>
                  </w:divsChild>
                </w:div>
                <w:div w:id="752555886">
                  <w:marLeft w:val="0"/>
                  <w:marRight w:val="0"/>
                  <w:marTop w:val="0"/>
                  <w:marBottom w:val="0"/>
                  <w:divBdr>
                    <w:top w:val="none" w:sz="0" w:space="0" w:color="auto"/>
                    <w:left w:val="none" w:sz="0" w:space="0" w:color="auto"/>
                    <w:bottom w:val="none" w:sz="0" w:space="0" w:color="auto"/>
                    <w:right w:val="none" w:sz="0" w:space="0" w:color="auto"/>
                  </w:divBdr>
                  <w:divsChild>
                    <w:div w:id="1527258389">
                      <w:marLeft w:val="0"/>
                      <w:marRight w:val="0"/>
                      <w:marTop w:val="0"/>
                      <w:marBottom w:val="0"/>
                      <w:divBdr>
                        <w:top w:val="none" w:sz="0" w:space="0" w:color="auto"/>
                        <w:left w:val="none" w:sz="0" w:space="0" w:color="auto"/>
                        <w:bottom w:val="none" w:sz="0" w:space="0" w:color="auto"/>
                        <w:right w:val="none" w:sz="0" w:space="0" w:color="auto"/>
                      </w:divBdr>
                    </w:div>
                  </w:divsChild>
                </w:div>
                <w:div w:id="754129657">
                  <w:marLeft w:val="0"/>
                  <w:marRight w:val="0"/>
                  <w:marTop w:val="0"/>
                  <w:marBottom w:val="0"/>
                  <w:divBdr>
                    <w:top w:val="none" w:sz="0" w:space="0" w:color="auto"/>
                    <w:left w:val="none" w:sz="0" w:space="0" w:color="auto"/>
                    <w:bottom w:val="none" w:sz="0" w:space="0" w:color="auto"/>
                    <w:right w:val="none" w:sz="0" w:space="0" w:color="auto"/>
                  </w:divBdr>
                  <w:divsChild>
                    <w:div w:id="1114440238">
                      <w:marLeft w:val="0"/>
                      <w:marRight w:val="0"/>
                      <w:marTop w:val="0"/>
                      <w:marBottom w:val="0"/>
                      <w:divBdr>
                        <w:top w:val="none" w:sz="0" w:space="0" w:color="auto"/>
                        <w:left w:val="none" w:sz="0" w:space="0" w:color="auto"/>
                        <w:bottom w:val="none" w:sz="0" w:space="0" w:color="auto"/>
                        <w:right w:val="none" w:sz="0" w:space="0" w:color="auto"/>
                      </w:divBdr>
                    </w:div>
                  </w:divsChild>
                </w:div>
                <w:div w:id="767038808">
                  <w:marLeft w:val="0"/>
                  <w:marRight w:val="0"/>
                  <w:marTop w:val="0"/>
                  <w:marBottom w:val="0"/>
                  <w:divBdr>
                    <w:top w:val="none" w:sz="0" w:space="0" w:color="auto"/>
                    <w:left w:val="none" w:sz="0" w:space="0" w:color="auto"/>
                    <w:bottom w:val="none" w:sz="0" w:space="0" w:color="auto"/>
                    <w:right w:val="none" w:sz="0" w:space="0" w:color="auto"/>
                  </w:divBdr>
                  <w:divsChild>
                    <w:div w:id="296304038">
                      <w:marLeft w:val="0"/>
                      <w:marRight w:val="0"/>
                      <w:marTop w:val="0"/>
                      <w:marBottom w:val="0"/>
                      <w:divBdr>
                        <w:top w:val="none" w:sz="0" w:space="0" w:color="auto"/>
                        <w:left w:val="none" w:sz="0" w:space="0" w:color="auto"/>
                        <w:bottom w:val="none" w:sz="0" w:space="0" w:color="auto"/>
                        <w:right w:val="none" w:sz="0" w:space="0" w:color="auto"/>
                      </w:divBdr>
                    </w:div>
                  </w:divsChild>
                </w:div>
                <w:div w:id="774446087">
                  <w:marLeft w:val="0"/>
                  <w:marRight w:val="0"/>
                  <w:marTop w:val="0"/>
                  <w:marBottom w:val="0"/>
                  <w:divBdr>
                    <w:top w:val="none" w:sz="0" w:space="0" w:color="auto"/>
                    <w:left w:val="none" w:sz="0" w:space="0" w:color="auto"/>
                    <w:bottom w:val="none" w:sz="0" w:space="0" w:color="auto"/>
                    <w:right w:val="none" w:sz="0" w:space="0" w:color="auto"/>
                  </w:divBdr>
                  <w:divsChild>
                    <w:div w:id="2036033071">
                      <w:marLeft w:val="0"/>
                      <w:marRight w:val="0"/>
                      <w:marTop w:val="0"/>
                      <w:marBottom w:val="0"/>
                      <w:divBdr>
                        <w:top w:val="none" w:sz="0" w:space="0" w:color="auto"/>
                        <w:left w:val="none" w:sz="0" w:space="0" w:color="auto"/>
                        <w:bottom w:val="none" w:sz="0" w:space="0" w:color="auto"/>
                        <w:right w:val="none" w:sz="0" w:space="0" w:color="auto"/>
                      </w:divBdr>
                    </w:div>
                  </w:divsChild>
                </w:div>
                <w:div w:id="787702757">
                  <w:marLeft w:val="0"/>
                  <w:marRight w:val="0"/>
                  <w:marTop w:val="0"/>
                  <w:marBottom w:val="0"/>
                  <w:divBdr>
                    <w:top w:val="none" w:sz="0" w:space="0" w:color="auto"/>
                    <w:left w:val="none" w:sz="0" w:space="0" w:color="auto"/>
                    <w:bottom w:val="none" w:sz="0" w:space="0" w:color="auto"/>
                    <w:right w:val="none" w:sz="0" w:space="0" w:color="auto"/>
                  </w:divBdr>
                  <w:divsChild>
                    <w:div w:id="1713459327">
                      <w:marLeft w:val="0"/>
                      <w:marRight w:val="0"/>
                      <w:marTop w:val="0"/>
                      <w:marBottom w:val="0"/>
                      <w:divBdr>
                        <w:top w:val="none" w:sz="0" w:space="0" w:color="auto"/>
                        <w:left w:val="none" w:sz="0" w:space="0" w:color="auto"/>
                        <w:bottom w:val="none" w:sz="0" w:space="0" w:color="auto"/>
                        <w:right w:val="none" w:sz="0" w:space="0" w:color="auto"/>
                      </w:divBdr>
                    </w:div>
                  </w:divsChild>
                </w:div>
                <w:div w:id="790396004">
                  <w:marLeft w:val="0"/>
                  <w:marRight w:val="0"/>
                  <w:marTop w:val="0"/>
                  <w:marBottom w:val="0"/>
                  <w:divBdr>
                    <w:top w:val="none" w:sz="0" w:space="0" w:color="auto"/>
                    <w:left w:val="none" w:sz="0" w:space="0" w:color="auto"/>
                    <w:bottom w:val="none" w:sz="0" w:space="0" w:color="auto"/>
                    <w:right w:val="none" w:sz="0" w:space="0" w:color="auto"/>
                  </w:divBdr>
                  <w:divsChild>
                    <w:div w:id="196895118">
                      <w:marLeft w:val="0"/>
                      <w:marRight w:val="0"/>
                      <w:marTop w:val="0"/>
                      <w:marBottom w:val="0"/>
                      <w:divBdr>
                        <w:top w:val="none" w:sz="0" w:space="0" w:color="auto"/>
                        <w:left w:val="none" w:sz="0" w:space="0" w:color="auto"/>
                        <w:bottom w:val="none" w:sz="0" w:space="0" w:color="auto"/>
                        <w:right w:val="none" w:sz="0" w:space="0" w:color="auto"/>
                      </w:divBdr>
                    </w:div>
                  </w:divsChild>
                </w:div>
                <w:div w:id="810056520">
                  <w:marLeft w:val="0"/>
                  <w:marRight w:val="0"/>
                  <w:marTop w:val="0"/>
                  <w:marBottom w:val="0"/>
                  <w:divBdr>
                    <w:top w:val="none" w:sz="0" w:space="0" w:color="auto"/>
                    <w:left w:val="none" w:sz="0" w:space="0" w:color="auto"/>
                    <w:bottom w:val="none" w:sz="0" w:space="0" w:color="auto"/>
                    <w:right w:val="none" w:sz="0" w:space="0" w:color="auto"/>
                  </w:divBdr>
                  <w:divsChild>
                    <w:div w:id="1909537814">
                      <w:marLeft w:val="0"/>
                      <w:marRight w:val="0"/>
                      <w:marTop w:val="0"/>
                      <w:marBottom w:val="0"/>
                      <w:divBdr>
                        <w:top w:val="none" w:sz="0" w:space="0" w:color="auto"/>
                        <w:left w:val="none" w:sz="0" w:space="0" w:color="auto"/>
                        <w:bottom w:val="none" w:sz="0" w:space="0" w:color="auto"/>
                        <w:right w:val="none" w:sz="0" w:space="0" w:color="auto"/>
                      </w:divBdr>
                    </w:div>
                  </w:divsChild>
                </w:div>
                <w:div w:id="817527575">
                  <w:marLeft w:val="0"/>
                  <w:marRight w:val="0"/>
                  <w:marTop w:val="0"/>
                  <w:marBottom w:val="0"/>
                  <w:divBdr>
                    <w:top w:val="none" w:sz="0" w:space="0" w:color="auto"/>
                    <w:left w:val="none" w:sz="0" w:space="0" w:color="auto"/>
                    <w:bottom w:val="none" w:sz="0" w:space="0" w:color="auto"/>
                    <w:right w:val="none" w:sz="0" w:space="0" w:color="auto"/>
                  </w:divBdr>
                  <w:divsChild>
                    <w:div w:id="920409235">
                      <w:marLeft w:val="0"/>
                      <w:marRight w:val="0"/>
                      <w:marTop w:val="0"/>
                      <w:marBottom w:val="0"/>
                      <w:divBdr>
                        <w:top w:val="none" w:sz="0" w:space="0" w:color="auto"/>
                        <w:left w:val="none" w:sz="0" w:space="0" w:color="auto"/>
                        <w:bottom w:val="none" w:sz="0" w:space="0" w:color="auto"/>
                        <w:right w:val="none" w:sz="0" w:space="0" w:color="auto"/>
                      </w:divBdr>
                    </w:div>
                  </w:divsChild>
                </w:div>
                <w:div w:id="824587281">
                  <w:marLeft w:val="0"/>
                  <w:marRight w:val="0"/>
                  <w:marTop w:val="0"/>
                  <w:marBottom w:val="0"/>
                  <w:divBdr>
                    <w:top w:val="none" w:sz="0" w:space="0" w:color="auto"/>
                    <w:left w:val="none" w:sz="0" w:space="0" w:color="auto"/>
                    <w:bottom w:val="none" w:sz="0" w:space="0" w:color="auto"/>
                    <w:right w:val="none" w:sz="0" w:space="0" w:color="auto"/>
                  </w:divBdr>
                  <w:divsChild>
                    <w:div w:id="861280459">
                      <w:marLeft w:val="0"/>
                      <w:marRight w:val="0"/>
                      <w:marTop w:val="0"/>
                      <w:marBottom w:val="0"/>
                      <w:divBdr>
                        <w:top w:val="none" w:sz="0" w:space="0" w:color="auto"/>
                        <w:left w:val="none" w:sz="0" w:space="0" w:color="auto"/>
                        <w:bottom w:val="none" w:sz="0" w:space="0" w:color="auto"/>
                        <w:right w:val="none" w:sz="0" w:space="0" w:color="auto"/>
                      </w:divBdr>
                    </w:div>
                  </w:divsChild>
                </w:div>
                <w:div w:id="827095612">
                  <w:marLeft w:val="0"/>
                  <w:marRight w:val="0"/>
                  <w:marTop w:val="0"/>
                  <w:marBottom w:val="0"/>
                  <w:divBdr>
                    <w:top w:val="none" w:sz="0" w:space="0" w:color="auto"/>
                    <w:left w:val="none" w:sz="0" w:space="0" w:color="auto"/>
                    <w:bottom w:val="none" w:sz="0" w:space="0" w:color="auto"/>
                    <w:right w:val="none" w:sz="0" w:space="0" w:color="auto"/>
                  </w:divBdr>
                  <w:divsChild>
                    <w:div w:id="865873748">
                      <w:marLeft w:val="0"/>
                      <w:marRight w:val="0"/>
                      <w:marTop w:val="0"/>
                      <w:marBottom w:val="0"/>
                      <w:divBdr>
                        <w:top w:val="none" w:sz="0" w:space="0" w:color="auto"/>
                        <w:left w:val="none" w:sz="0" w:space="0" w:color="auto"/>
                        <w:bottom w:val="none" w:sz="0" w:space="0" w:color="auto"/>
                        <w:right w:val="none" w:sz="0" w:space="0" w:color="auto"/>
                      </w:divBdr>
                    </w:div>
                  </w:divsChild>
                </w:div>
                <w:div w:id="848177370">
                  <w:marLeft w:val="0"/>
                  <w:marRight w:val="0"/>
                  <w:marTop w:val="0"/>
                  <w:marBottom w:val="0"/>
                  <w:divBdr>
                    <w:top w:val="none" w:sz="0" w:space="0" w:color="auto"/>
                    <w:left w:val="none" w:sz="0" w:space="0" w:color="auto"/>
                    <w:bottom w:val="none" w:sz="0" w:space="0" w:color="auto"/>
                    <w:right w:val="none" w:sz="0" w:space="0" w:color="auto"/>
                  </w:divBdr>
                  <w:divsChild>
                    <w:div w:id="1833451192">
                      <w:marLeft w:val="0"/>
                      <w:marRight w:val="0"/>
                      <w:marTop w:val="0"/>
                      <w:marBottom w:val="0"/>
                      <w:divBdr>
                        <w:top w:val="none" w:sz="0" w:space="0" w:color="auto"/>
                        <w:left w:val="none" w:sz="0" w:space="0" w:color="auto"/>
                        <w:bottom w:val="none" w:sz="0" w:space="0" w:color="auto"/>
                        <w:right w:val="none" w:sz="0" w:space="0" w:color="auto"/>
                      </w:divBdr>
                    </w:div>
                  </w:divsChild>
                </w:div>
                <w:div w:id="858280948">
                  <w:marLeft w:val="0"/>
                  <w:marRight w:val="0"/>
                  <w:marTop w:val="0"/>
                  <w:marBottom w:val="0"/>
                  <w:divBdr>
                    <w:top w:val="none" w:sz="0" w:space="0" w:color="auto"/>
                    <w:left w:val="none" w:sz="0" w:space="0" w:color="auto"/>
                    <w:bottom w:val="none" w:sz="0" w:space="0" w:color="auto"/>
                    <w:right w:val="none" w:sz="0" w:space="0" w:color="auto"/>
                  </w:divBdr>
                  <w:divsChild>
                    <w:div w:id="23555585">
                      <w:marLeft w:val="0"/>
                      <w:marRight w:val="0"/>
                      <w:marTop w:val="0"/>
                      <w:marBottom w:val="0"/>
                      <w:divBdr>
                        <w:top w:val="none" w:sz="0" w:space="0" w:color="auto"/>
                        <w:left w:val="none" w:sz="0" w:space="0" w:color="auto"/>
                        <w:bottom w:val="none" w:sz="0" w:space="0" w:color="auto"/>
                        <w:right w:val="none" w:sz="0" w:space="0" w:color="auto"/>
                      </w:divBdr>
                    </w:div>
                  </w:divsChild>
                </w:div>
                <w:div w:id="880823605">
                  <w:marLeft w:val="0"/>
                  <w:marRight w:val="0"/>
                  <w:marTop w:val="0"/>
                  <w:marBottom w:val="0"/>
                  <w:divBdr>
                    <w:top w:val="none" w:sz="0" w:space="0" w:color="auto"/>
                    <w:left w:val="none" w:sz="0" w:space="0" w:color="auto"/>
                    <w:bottom w:val="none" w:sz="0" w:space="0" w:color="auto"/>
                    <w:right w:val="none" w:sz="0" w:space="0" w:color="auto"/>
                  </w:divBdr>
                  <w:divsChild>
                    <w:div w:id="1037314132">
                      <w:marLeft w:val="0"/>
                      <w:marRight w:val="0"/>
                      <w:marTop w:val="0"/>
                      <w:marBottom w:val="0"/>
                      <w:divBdr>
                        <w:top w:val="none" w:sz="0" w:space="0" w:color="auto"/>
                        <w:left w:val="none" w:sz="0" w:space="0" w:color="auto"/>
                        <w:bottom w:val="none" w:sz="0" w:space="0" w:color="auto"/>
                        <w:right w:val="none" w:sz="0" w:space="0" w:color="auto"/>
                      </w:divBdr>
                    </w:div>
                  </w:divsChild>
                </w:div>
                <w:div w:id="883446655">
                  <w:marLeft w:val="0"/>
                  <w:marRight w:val="0"/>
                  <w:marTop w:val="0"/>
                  <w:marBottom w:val="0"/>
                  <w:divBdr>
                    <w:top w:val="none" w:sz="0" w:space="0" w:color="auto"/>
                    <w:left w:val="none" w:sz="0" w:space="0" w:color="auto"/>
                    <w:bottom w:val="none" w:sz="0" w:space="0" w:color="auto"/>
                    <w:right w:val="none" w:sz="0" w:space="0" w:color="auto"/>
                  </w:divBdr>
                  <w:divsChild>
                    <w:div w:id="569343259">
                      <w:marLeft w:val="0"/>
                      <w:marRight w:val="0"/>
                      <w:marTop w:val="0"/>
                      <w:marBottom w:val="0"/>
                      <w:divBdr>
                        <w:top w:val="none" w:sz="0" w:space="0" w:color="auto"/>
                        <w:left w:val="none" w:sz="0" w:space="0" w:color="auto"/>
                        <w:bottom w:val="none" w:sz="0" w:space="0" w:color="auto"/>
                        <w:right w:val="none" w:sz="0" w:space="0" w:color="auto"/>
                      </w:divBdr>
                    </w:div>
                  </w:divsChild>
                </w:div>
                <w:div w:id="935599104">
                  <w:marLeft w:val="0"/>
                  <w:marRight w:val="0"/>
                  <w:marTop w:val="0"/>
                  <w:marBottom w:val="0"/>
                  <w:divBdr>
                    <w:top w:val="none" w:sz="0" w:space="0" w:color="auto"/>
                    <w:left w:val="none" w:sz="0" w:space="0" w:color="auto"/>
                    <w:bottom w:val="none" w:sz="0" w:space="0" w:color="auto"/>
                    <w:right w:val="none" w:sz="0" w:space="0" w:color="auto"/>
                  </w:divBdr>
                  <w:divsChild>
                    <w:div w:id="979462203">
                      <w:marLeft w:val="0"/>
                      <w:marRight w:val="0"/>
                      <w:marTop w:val="0"/>
                      <w:marBottom w:val="0"/>
                      <w:divBdr>
                        <w:top w:val="none" w:sz="0" w:space="0" w:color="auto"/>
                        <w:left w:val="none" w:sz="0" w:space="0" w:color="auto"/>
                        <w:bottom w:val="none" w:sz="0" w:space="0" w:color="auto"/>
                        <w:right w:val="none" w:sz="0" w:space="0" w:color="auto"/>
                      </w:divBdr>
                    </w:div>
                  </w:divsChild>
                </w:div>
                <w:div w:id="944771731">
                  <w:marLeft w:val="0"/>
                  <w:marRight w:val="0"/>
                  <w:marTop w:val="0"/>
                  <w:marBottom w:val="0"/>
                  <w:divBdr>
                    <w:top w:val="none" w:sz="0" w:space="0" w:color="auto"/>
                    <w:left w:val="none" w:sz="0" w:space="0" w:color="auto"/>
                    <w:bottom w:val="none" w:sz="0" w:space="0" w:color="auto"/>
                    <w:right w:val="none" w:sz="0" w:space="0" w:color="auto"/>
                  </w:divBdr>
                  <w:divsChild>
                    <w:div w:id="1580557807">
                      <w:marLeft w:val="0"/>
                      <w:marRight w:val="0"/>
                      <w:marTop w:val="0"/>
                      <w:marBottom w:val="0"/>
                      <w:divBdr>
                        <w:top w:val="none" w:sz="0" w:space="0" w:color="auto"/>
                        <w:left w:val="none" w:sz="0" w:space="0" w:color="auto"/>
                        <w:bottom w:val="none" w:sz="0" w:space="0" w:color="auto"/>
                        <w:right w:val="none" w:sz="0" w:space="0" w:color="auto"/>
                      </w:divBdr>
                    </w:div>
                  </w:divsChild>
                </w:div>
                <w:div w:id="957879712">
                  <w:marLeft w:val="0"/>
                  <w:marRight w:val="0"/>
                  <w:marTop w:val="0"/>
                  <w:marBottom w:val="0"/>
                  <w:divBdr>
                    <w:top w:val="none" w:sz="0" w:space="0" w:color="auto"/>
                    <w:left w:val="none" w:sz="0" w:space="0" w:color="auto"/>
                    <w:bottom w:val="none" w:sz="0" w:space="0" w:color="auto"/>
                    <w:right w:val="none" w:sz="0" w:space="0" w:color="auto"/>
                  </w:divBdr>
                  <w:divsChild>
                    <w:div w:id="2062437056">
                      <w:marLeft w:val="0"/>
                      <w:marRight w:val="0"/>
                      <w:marTop w:val="0"/>
                      <w:marBottom w:val="0"/>
                      <w:divBdr>
                        <w:top w:val="none" w:sz="0" w:space="0" w:color="auto"/>
                        <w:left w:val="none" w:sz="0" w:space="0" w:color="auto"/>
                        <w:bottom w:val="none" w:sz="0" w:space="0" w:color="auto"/>
                        <w:right w:val="none" w:sz="0" w:space="0" w:color="auto"/>
                      </w:divBdr>
                    </w:div>
                  </w:divsChild>
                </w:div>
                <w:div w:id="959872561">
                  <w:marLeft w:val="0"/>
                  <w:marRight w:val="0"/>
                  <w:marTop w:val="0"/>
                  <w:marBottom w:val="0"/>
                  <w:divBdr>
                    <w:top w:val="none" w:sz="0" w:space="0" w:color="auto"/>
                    <w:left w:val="none" w:sz="0" w:space="0" w:color="auto"/>
                    <w:bottom w:val="none" w:sz="0" w:space="0" w:color="auto"/>
                    <w:right w:val="none" w:sz="0" w:space="0" w:color="auto"/>
                  </w:divBdr>
                  <w:divsChild>
                    <w:div w:id="1077022269">
                      <w:marLeft w:val="0"/>
                      <w:marRight w:val="0"/>
                      <w:marTop w:val="0"/>
                      <w:marBottom w:val="0"/>
                      <w:divBdr>
                        <w:top w:val="none" w:sz="0" w:space="0" w:color="auto"/>
                        <w:left w:val="none" w:sz="0" w:space="0" w:color="auto"/>
                        <w:bottom w:val="none" w:sz="0" w:space="0" w:color="auto"/>
                        <w:right w:val="none" w:sz="0" w:space="0" w:color="auto"/>
                      </w:divBdr>
                    </w:div>
                  </w:divsChild>
                </w:div>
                <w:div w:id="961694174">
                  <w:marLeft w:val="0"/>
                  <w:marRight w:val="0"/>
                  <w:marTop w:val="0"/>
                  <w:marBottom w:val="0"/>
                  <w:divBdr>
                    <w:top w:val="none" w:sz="0" w:space="0" w:color="auto"/>
                    <w:left w:val="none" w:sz="0" w:space="0" w:color="auto"/>
                    <w:bottom w:val="none" w:sz="0" w:space="0" w:color="auto"/>
                    <w:right w:val="none" w:sz="0" w:space="0" w:color="auto"/>
                  </w:divBdr>
                  <w:divsChild>
                    <w:div w:id="2071075643">
                      <w:marLeft w:val="0"/>
                      <w:marRight w:val="0"/>
                      <w:marTop w:val="0"/>
                      <w:marBottom w:val="0"/>
                      <w:divBdr>
                        <w:top w:val="none" w:sz="0" w:space="0" w:color="auto"/>
                        <w:left w:val="none" w:sz="0" w:space="0" w:color="auto"/>
                        <w:bottom w:val="none" w:sz="0" w:space="0" w:color="auto"/>
                        <w:right w:val="none" w:sz="0" w:space="0" w:color="auto"/>
                      </w:divBdr>
                    </w:div>
                  </w:divsChild>
                </w:div>
                <w:div w:id="972445202">
                  <w:marLeft w:val="0"/>
                  <w:marRight w:val="0"/>
                  <w:marTop w:val="0"/>
                  <w:marBottom w:val="0"/>
                  <w:divBdr>
                    <w:top w:val="none" w:sz="0" w:space="0" w:color="auto"/>
                    <w:left w:val="none" w:sz="0" w:space="0" w:color="auto"/>
                    <w:bottom w:val="none" w:sz="0" w:space="0" w:color="auto"/>
                    <w:right w:val="none" w:sz="0" w:space="0" w:color="auto"/>
                  </w:divBdr>
                  <w:divsChild>
                    <w:div w:id="411464063">
                      <w:marLeft w:val="0"/>
                      <w:marRight w:val="0"/>
                      <w:marTop w:val="0"/>
                      <w:marBottom w:val="0"/>
                      <w:divBdr>
                        <w:top w:val="none" w:sz="0" w:space="0" w:color="auto"/>
                        <w:left w:val="none" w:sz="0" w:space="0" w:color="auto"/>
                        <w:bottom w:val="none" w:sz="0" w:space="0" w:color="auto"/>
                        <w:right w:val="none" w:sz="0" w:space="0" w:color="auto"/>
                      </w:divBdr>
                    </w:div>
                  </w:divsChild>
                </w:div>
                <w:div w:id="973372368">
                  <w:marLeft w:val="0"/>
                  <w:marRight w:val="0"/>
                  <w:marTop w:val="0"/>
                  <w:marBottom w:val="0"/>
                  <w:divBdr>
                    <w:top w:val="none" w:sz="0" w:space="0" w:color="auto"/>
                    <w:left w:val="none" w:sz="0" w:space="0" w:color="auto"/>
                    <w:bottom w:val="none" w:sz="0" w:space="0" w:color="auto"/>
                    <w:right w:val="none" w:sz="0" w:space="0" w:color="auto"/>
                  </w:divBdr>
                  <w:divsChild>
                    <w:div w:id="126317050">
                      <w:marLeft w:val="0"/>
                      <w:marRight w:val="0"/>
                      <w:marTop w:val="0"/>
                      <w:marBottom w:val="0"/>
                      <w:divBdr>
                        <w:top w:val="none" w:sz="0" w:space="0" w:color="auto"/>
                        <w:left w:val="none" w:sz="0" w:space="0" w:color="auto"/>
                        <w:bottom w:val="none" w:sz="0" w:space="0" w:color="auto"/>
                        <w:right w:val="none" w:sz="0" w:space="0" w:color="auto"/>
                      </w:divBdr>
                    </w:div>
                  </w:divsChild>
                </w:div>
                <w:div w:id="977346405">
                  <w:marLeft w:val="0"/>
                  <w:marRight w:val="0"/>
                  <w:marTop w:val="0"/>
                  <w:marBottom w:val="0"/>
                  <w:divBdr>
                    <w:top w:val="none" w:sz="0" w:space="0" w:color="auto"/>
                    <w:left w:val="none" w:sz="0" w:space="0" w:color="auto"/>
                    <w:bottom w:val="none" w:sz="0" w:space="0" w:color="auto"/>
                    <w:right w:val="none" w:sz="0" w:space="0" w:color="auto"/>
                  </w:divBdr>
                  <w:divsChild>
                    <w:div w:id="1575696349">
                      <w:marLeft w:val="0"/>
                      <w:marRight w:val="0"/>
                      <w:marTop w:val="0"/>
                      <w:marBottom w:val="0"/>
                      <w:divBdr>
                        <w:top w:val="none" w:sz="0" w:space="0" w:color="auto"/>
                        <w:left w:val="none" w:sz="0" w:space="0" w:color="auto"/>
                        <w:bottom w:val="none" w:sz="0" w:space="0" w:color="auto"/>
                        <w:right w:val="none" w:sz="0" w:space="0" w:color="auto"/>
                      </w:divBdr>
                    </w:div>
                  </w:divsChild>
                </w:div>
                <w:div w:id="983509384">
                  <w:marLeft w:val="0"/>
                  <w:marRight w:val="0"/>
                  <w:marTop w:val="0"/>
                  <w:marBottom w:val="0"/>
                  <w:divBdr>
                    <w:top w:val="none" w:sz="0" w:space="0" w:color="auto"/>
                    <w:left w:val="none" w:sz="0" w:space="0" w:color="auto"/>
                    <w:bottom w:val="none" w:sz="0" w:space="0" w:color="auto"/>
                    <w:right w:val="none" w:sz="0" w:space="0" w:color="auto"/>
                  </w:divBdr>
                  <w:divsChild>
                    <w:div w:id="605038863">
                      <w:marLeft w:val="0"/>
                      <w:marRight w:val="0"/>
                      <w:marTop w:val="0"/>
                      <w:marBottom w:val="0"/>
                      <w:divBdr>
                        <w:top w:val="none" w:sz="0" w:space="0" w:color="auto"/>
                        <w:left w:val="none" w:sz="0" w:space="0" w:color="auto"/>
                        <w:bottom w:val="none" w:sz="0" w:space="0" w:color="auto"/>
                        <w:right w:val="none" w:sz="0" w:space="0" w:color="auto"/>
                      </w:divBdr>
                    </w:div>
                  </w:divsChild>
                </w:div>
                <w:div w:id="1007444714">
                  <w:marLeft w:val="0"/>
                  <w:marRight w:val="0"/>
                  <w:marTop w:val="0"/>
                  <w:marBottom w:val="0"/>
                  <w:divBdr>
                    <w:top w:val="none" w:sz="0" w:space="0" w:color="auto"/>
                    <w:left w:val="none" w:sz="0" w:space="0" w:color="auto"/>
                    <w:bottom w:val="none" w:sz="0" w:space="0" w:color="auto"/>
                    <w:right w:val="none" w:sz="0" w:space="0" w:color="auto"/>
                  </w:divBdr>
                  <w:divsChild>
                    <w:div w:id="213349409">
                      <w:marLeft w:val="0"/>
                      <w:marRight w:val="0"/>
                      <w:marTop w:val="0"/>
                      <w:marBottom w:val="0"/>
                      <w:divBdr>
                        <w:top w:val="none" w:sz="0" w:space="0" w:color="auto"/>
                        <w:left w:val="none" w:sz="0" w:space="0" w:color="auto"/>
                        <w:bottom w:val="none" w:sz="0" w:space="0" w:color="auto"/>
                        <w:right w:val="none" w:sz="0" w:space="0" w:color="auto"/>
                      </w:divBdr>
                    </w:div>
                  </w:divsChild>
                </w:div>
                <w:div w:id="1011764984">
                  <w:marLeft w:val="0"/>
                  <w:marRight w:val="0"/>
                  <w:marTop w:val="0"/>
                  <w:marBottom w:val="0"/>
                  <w:divBdr>
                    <w:top w:val="none" w:sz="0" w:space="0" w:color="auto"/>
                    <w:left w:val="none" w:sz="0" w:space="0" w:color="auto"/>
                    <w:bottom w:val="none" w:sz="0" w:space="0" w:color="auto"/>
                    <w:right w:val="none" w:sz="0" w:space="0" w:color="auto"/>
                  </w:divBdr>
                  <w:divsChild>
                    <w:div w:id="365326282">
                      <w:marLeft w:val="0"/>
                      <w:marRight w:val="0"/>
                      <w:marTop w:val="0"/>
                      <w:marBottom w:val="0"/>
                      <w:divBdr>
                        <w:top w:val="none" w:sz="0" w:space="0" w:color="auto"/>
                        <w:left w:val="none" w:sz="0" w:space="0" w:color="auto"/>
                        <w:bottom w:val="none" w:sz="0" w:space="0" w:color="auto"/>
                        <w:right w:val="none" w:sz="0" w:space="0" w:color="auto"/>
                      </w:divBdr>
                    </w:div>
                  </w:divsChild>
                </w:div>
                <w:div w:id="1030450452">
                  <w:marLeft w:val="0"/>
                  <w:marRight w:val="0"/>
                  <w:marTop w:val="0"/>
                  <w:marBottom w:val="0"/>
                  <w:divBdr>
                    <w:top w:val="none" w:sz="0" w:space="0" w:color="auto"/>
                    <w:left w:val="none" w:sz="0" w:space="0" w:color="auto"/>
                    <w:bottom w:val="none" w:sz="0" w:space="0" w:color="auto"/>
                    <w:right w:val="none" w:sz="0" w:space="0" w:color="auto"/>
                  </w:divBdr>
                  <w:divsChild>
                    <w:div w:id="415715075">
                      <w:marLeft w:val="0"/>
                      <w:marRight w:val="0"/>
                      <w:marTop w:val="0"/>
                      <w:marBottom w:val="0"/>
                      <w:divBdr>
                        <w:top w:val="none" w:sz="0" w:space="0" w:color="auto"/>
                        <w:left w:val="none" w:sz="0" w:space="0" w:color="auto"/>
                        <w:bottom w:val="none" w:sz="0" w:space="0" w:color="auto"/>
                        <w:right w:val="none" w:sz="0" w:space="0" w:color="auto"/>
                      </w:divBdr>
                    </w:div>
                  </w:divsChild>
                </w:div>
                <w:div w:id="1034425874">
                  <w:marLeft w:val="0"/>
                  <w:marRight w:val="0"/>
                  <w:marTop w:val="0"/>
                  <w:marBottom w:val="0"/>
                  <w:divBdr>
                    <w:top w:val="none" w:sz="0" w:space="0" w:color="auto"/>
                    <w:left w:val="none" w:sz="0" w:space="0" w:color="auto"/>
                    <w:bottom w:val="none" w:sz="0" w:space="0" w:color="auto"/>
                    <w:right w:val="none" w:sz="0" w:space="0" w:color="auto"/>
                  </w:divBdr>
                  <w:divsChild>
                    <w:div w:id="1593271802">
                      <w:marLeft w:val="0"/>
                      <w:marRight w:val="0"/>
                      <w:marTop w:val="0"/>
                      <w:marBottom w:val="0"/>
                      <w:divBdr>
                        <w:top w:val="none" w:sz="0" w:space="0" w:color="auto"/>
                        <w:left w:val="none" w:sz="0" w:space="0" w:color="auto"/>
                        <w:bottom w:val="none" w:sz="0" w:space="0" w:color="auto"/>
                        <w:right w:val="none" w:sz="0" w:space="0" w:color="auto"/>
                      </w:divBdr>
                    </w:div>
                  </w:divsChild>
                </w:div>
                <w:div w:id="1039432597">
                  <w:marLeft w:val="0"/>
                  <w:marRight w:val="0"/>
                  <w:marTop w:val="0"/>
                  <w:marBottom w:val="0"/>
                  <w:divBdr>
                    <w:top w:val="none" w:sz="0" w:space="0" w:color="auto"/>
                    <w:left w:val="none" w:sz="0" w:space="0" w:color="auto"/>
                    <w:bottom w:val="none" w:sz="0" w:space="0" w:color="auto"/>
                    <w:right w:val="none" w:sz="0" w:space="0" w:color="auto"/>
                  </w:divBdr>
                  <w:divsChild>
                    <w:div w:id="900822196">
                      <w:marLeft w:val="0"/>
                      <w:marRight w:val="0"/>
                      <w:marTop w:val="0"/>
                      <w:marBottom w:val="0"/>
                      <w:divBdr>
                        <w:top w:val="none" w:sz="0" w:space="0" w:color="auto"/>
                        <w:left w:val="none" w:sz="0" w:space="0" w:color="auto"/>
                        <w:bottom w:val="none" w:sz="0" w:space="0" w:color="auto"/>
                        <w:right w:val="none" w:sz="0" w:space="0" w:color="auto"/>
                      </w:divBdr>
                    </w:div>
                  </w:divsChild>
                </w:div>
                <w:div w:id="1052190975">
                  <w:marLeft w:val="0"/>
                  <w:marRight w:val="0"/>
                  <w:marTop w:val="0"/>
                  <w:marBottom w:val="0"/>
                  <w:divBdr>
                    <w:top w:val="none" w:sz="0" w:space="0" w:color="auto"/>
                    <w:left w:val="none" w:sz="0" w:space="0" w:color="auto"/>
                    <w:bottom w:val="none" w:sz="0" w:space="0" w:color="auto"/>
                    <w:right w:val="none" w:sz="0" w:space="0" w:color="auto"/>
                  </w:divBdr>
                  <w:divsChild>
                    <w:div w:id="37171425">
                      <w:marLeft w:val="0"/>
                      <w:marRight w:val="0"/>
                      <w:marTop w:val="0"/>
                      <w:marBottom w:val="0"/>
                      <w:divBdr>
                        <w:top w:val="none" w:sz="0" w:space="0" w:color="auto"/>
                        <w:left w:val="none" w:sz="0" w:space="0" w:color="auto"/>
                        <w:bottom w:val="none" w:sz="0" w:space="0" w:color="auto"/>
                        <w:right w:val="none" w:sz="0" w:space="0" w:color="auto"/>
                      </w:divBdr>
                    </w:div>
                  </w:divsChild>
                </w:div>
                <w:div w:id="1054042571">
                  <w:marLeft w:val="0"/>
                  <w:marRight w:val="0"/>
                  <w:marTop w:val="0"/>
                  <w:marBottom w:val="0"/>
                  <w:divBdr>
                    <w:top w:val="none" w:sz="0" w:space="0" w:color="auto"/>
                    <w:left w:val="none" w:sz="0" w:space="0" w:color="auto"/>
                    <w:bottom w:val="none" w:sz="0" w:space="0" w:color="auto"/>
                    <w:right w:val="none" w:sz="0" w:space="0" w:color="auto"/>
                  </w:divBdr>
                  <w:divsChild>
                    <w:div w:id="1205405181">
                      <w:marLeft w:val="0"/>
                      <w:marRight w:val="0"/>
                      <w:marTop w:val="0"/>
                      <w:marBottom w:val="0"/>
                      <w:divBdr>
                        <w:top w:val="none" w:sz="0" w:space="0" w:color="auto"/>
                        <w:left w:val="none" w:sz="0" w:space="0" w:color="auto"/>
                        <w:bottom w:val="none" w:sz="0" w:space="0" w:color="auto"/>
                        <w:right w:val="none" w:sz="0" w:space="0" w:color="auto"/>
                      </w:divBdr>
                    </w:div>
                  </w:divsChild>
                </w:div>
                <w:div w:id="1088503031">
                  <w:marLeft w:val="0"/>
                  <w:marRight w:val="0"/>
                  <w:marTop w:val="0"/>
                  <w:marBottom w:val="0"/>
                  <w:divBdr>
                    <w:top w:val="none" w:sz="0" w:space="0" w:color="auto"/>
                    <w:left w:val="none" w:sz="0" w:space="0" w:color="auto"/>
                    <w:bottom w:val="none" w:sz="0" w:space="0" w:color="auto"/>
                    <w:right w:val="none" w:sz="0" w:space="0" w:color="auto"/>
                  </w:divBdr>
                  <w:divsChild>
                    <w:div w:id="1671640676">
                      <w:marLeft w:val="0"/>
                      <w:marRight w:val="0"/>
                      <w:marTop w:val="0"/>
                      <w:marBottom w:val="0"/>
                      <w:divBdr>
                        <w:top w:val="none" w:sz="0" w:space="0" w:color="auto"/>
                        <w:left w:val="none" w:sz="0" w:space="0" w:color="auto"/>
                        <w:bottom w:val="none" w:sz="0" w:space="0" w:color="auto"/>
                        <w:right w:val="none" w:sz="0" w:space="0" w:color="auto"/>
                      </w:divBdr>
                    </w:div>
                  </w:divsChild>
                </w:div>
                <w:div w:id="1090932355">
                  <w:marLeft w:val="0"/>
                  <w:marRight w:val="0"/>
                  <w:marTop w:val="0"/>
                  <w:marBottom w:val="0"/>
                  <w:divBdr>
                    <w:top w:val="none" w:sz="0" w:space="0" w:color="auto"/>
                    <w:left w:val="none" w:sz="0" w:space="0" w:color="auto"/>
                    <w:bottom w:val="none" w:sz="0" w:space="0" w:color="auto"/>
                    <w:right w:val="none" w:sz="0" w:space="0" w:color="auto"/>
                  </w:divBdr>
                  <w:divsChild>
                    <w:div w:id="431777220">
                      <w:marLeft w:val="0"/>
                      <w:marRight w:val="0"/>
                      <w:marTop w:val="0"/>
                      <w:marBottom w:val="0"/>
                      <w:divBdr>
                        <w:top w:val="none" w:sz="0" w:space="0" w:color="auto"/>
                        <w:left w:val="none" w:sz="0" w:space="0" w:color="auto"/>
                        <w:bottom w:val="none" w:sz="0" w:space="0" w:color="auto"/>
                        <w:right w:val="none" w:sz="0" w:space="0" w:color="auto"/>
                      </w:divBdr>
                    </w:div>
                  </w:divsChild>
                </w:div>
                <w:div w:id="1108546645">
                  <w:marLeft w:val="0"/>
                  <w:marRight w:val="0"/>
                  <w:marTop w:val="0"/>
                  <w:marBottom w:val="0"/>
                  <w:divBdr>
                    <w:top w:val="none" w:sz="0" w:space="0" w:color="auto"/>
                    <w:left w:val="none" w:sz="0" w:space="0" w:color="auto"/>
                    <w:bottom w:val="none" w:sz="0" w:space="0" w:color="auto"/>
                    <w:right w:val="none" w:sz="0" w:space="0" w:color="auto"/>
                  </w:divBdr>
                  <w:divsChild>
                    <w:div w:id="1369377741">
                      <w:marLeft w:val="0"/>
                      <w:marRight w:val="0"/>
                      <w:marTop w:val="0"/>
                      <w:marBottom w:val="0"/>
                      <w:divBdr>
                        <w:top w:val="none" w:sz="0" w:space="0" w:color="auto"/>
                        <w:left w:val="none" w:sz="0" w:space="0" w:color="auto"/>
                        <w:bottom w:val="none" w:sz="0" w:space="0" w:color="auto"/>
                        <w:right w:val="none" w:sz="0" w:space="0" w:color="auto"/>
                      </w:divBdr>
                    </w:div>
                  </w:divsChild>
                </w:div>
                <w:div w:id="1124234177">
                  <w:marLeft w:val="0"/>
                  <w:marRight w:val="0"/>
                  <w:marTop w:val="0"/>
                  <w:marBottom w:val="0"/>
                  <w:divBdr>
                    <w:top w:val="none" w:sz="0" w:space="0" w:color="auto"/>
                    <w:left w:val="none" w:sz="0" w:space="0" w:color="auto"/>
                    <w:bottom w:val="none" w:sz="0" w:space="0" w:color="auto"/>
                    <w:right w:val="none" w:sz="0" w:space="0" w:color="auto"/>
                  </w:divBdr>
                  <w:divsChild>
                    <w:div w:id="93597664">
                      <w:marLeft w:val="0"/>
                      <w:marRight w:val="0"/>
                      <w:marTop w:val="0"/>
                      <w:marBottom w:val="0"/>
                      <w:divBdr>
                        <w:top w:val="none" w:sz="0" w:space="0" w:color="auto"/>
                        <w:left w:val="none" w:sz="0" w:space="0" w:color="auto"/>
                        <w:bottom w:val="none" w:sz="0" w:space="0" w:color="auto"/>
                        <w:right w:val="none" w:sz="0" w:space="0" w:color="auto"/>
                      </w:divBdr>
                    </w:div>
                  </w:divsChild>
                </w:div>
                <w:div w:id="1149178105">
                  <w:marLeft w:val="0"/>
                  <w:marRight w:val="0"/>
                  <w:marTop w:val="0"/>
                  <w:marBottom w:val="0"/>
                  <w:divBdr>
                    <w:top w:val="none" w:sz="0" w:space="0" w:color="auto"/>
                    <w:left w:val="none" w:sz="0" w:space="0" w:color="auto"/>
                    <w:bottom w:val="none" w:sz="0" w:space="0" w:color="auto"/>
                    <w:right w:val="none" w:sz="0" w:space="0" w:color="auto"/>
                  </w:divBdr>
                  <w:divsChild>
                    <w:div w:id="299190442">
                      <w:marLeft w:val="0"/>
                      <w:marRight w:val="0"/>
                      <w:marTop w:val="0"/>
                      <w:marBottom w:val="0"/>
                      <w:divBdr>
                        <w:top w:val="none" w:sz="0" w:space="0" w:color="auto"/>
                        <w:left w:val="none" w:sz="0" w:space="0" w:color="auto"/>
                        <w:bottom w:val="none" w:sz="0" w:space="0" w:color="auto"/>
                        <w:right w:val="none" w:sz="0" w:space="0" w:color="auto"/>
                      </w:divBdr>
                    </w:div>
                  </w:divsChild>
                </w:div>
                <w:div w:id="1167936224">
                  <w:marLeft w:val="0"/>
                  <w:marRight w:val="0"/>
                  <w:marTop w:val="0"/>
                  <w:marBottom w:val="0"/>
                  <w:divBdr>
                    <w:top w:val="none" w:sz="0" w:space="0" w:color="auto"/>
                    <w:left w:val="none" w:sz="0" w:space="0" w:color="auto"/>
                    <w:bottom w:val="none" w:sz="0" w:space="0" w:color="auto"/>
                    <w:right w:val="none" w:sz="0" w:space="0" w:color="auto"/>
                  </w:divBdr>
                  <w:divsChild>
                    <w:div w:id="1466855487">
                      <w:marLeft w:val="0"/>
                      <w:marRight w:val="0"/>
                      <w:marTop w:val="0"/>
                      <w:marBottom w:val="0"/>
                      <w:divBdr>
                        <w:top w:val="none" w:sz="0" w:space="0" w:color="auto"/>
                        <w:left w:val="none" w:sz="0" w:space="0" w:color="auto"/>
                        <w:bottom w:val="none" w:sz="0" w:space="0" w:color="auto"/>
                        <w:right w:val="none" w:sz="0" w:space="0" w:color="auto"/>
                      </w:divBdr>
                    </w:div>
                  </w:divsChild>
                </w:div>
                <w:div w:id="1180317922">
                  <w:marLeft w:val="0"/>
                  <w:marRight w:val="0"/>
                  <w:marTop w:val="0"/>
                  <w:marBottom w:val="0"/>
                  <w:divBdr>
                    <w:top w:val="none" w:sz="0" w:space="0" w:color="auto"/>
                    <w:left w:val="none" w:sz="0" w:space="0" w:color="auto"/>
                    <w:bottom w:val="none" w:sz="0" w:space="0" w:color="auto"/>
                    <w:right w:val="none" w:sz="0" w:space="0" w:color="auto"/>
                  </w:divBdr>
                  <w:divsChild>
                    <w:div w:id="876360042">
                      <w:marLeft w:val="0"/>
                      <w:marRight w:val="0"/>
                      <w:marTop w:val="0"/>
                      <w:marBottom w:val="0"/>
                      <w:divBdr>
                        <w:top w:val="none" w:sz="0" w:space="0" w:color="auto"/>
                        <w:left w:val="none" w:sz="0" w:space="0" w:color="auto"/>
                        <w:bottom w:val="none" w:sz="0" w:space="0" w:color="auto"/>
                        <w:right w:val="none" w:sz="0" w:space="0" w:color="auto"/>
                      </w:divBdr>
                    </w:div>
                  </w:divsChild>
                </w:div>
                <w:div w:id="1180780277">
                  <w:marLeft w:val="0"/>
                  <w:marRight w:val="0"/>
                  <w:marTop w:val="0"/>
                  <w:marBottom w:val="0"/>
                  <w:divBdr>
                    <w:top w:val="none" w:sz="0" w:space="0" w:color="auto"/>
                    <w:left w:val="none" w:sz="0" w:space="0" w:color="auto"/>
                    <w:bottom w:val="none" w:sz="0" w:space="0" w:color="auto"/>
                    <w:right w:val="none" w:sz="0" w:space="0" w:color="auto"/>
                  </w:divBdr>
                  <w:divsChild>
                    <w:div w:id="2030326735">
                      <w:marLeft w:val="0"/>
                      <w:marRight w:val="0"/>
                      <w:marTop w:val="0"/>
                      <w:marBottom w:val="0"/>
                      <w:divBdr>
                        <w:top w:val="none" w:sz="0" w:space="0" w:color="auto"/>
                        <w:left w:val="none" w:sz="0" w:space="0" w:color="auto"/>
                        <w:bottom w:val="none" w:sz="0" w:space="0" w:color="auto"/>
                        <w:right w:val="none" w:sz="0" w:space="0" w:color="auto"/>
                      </w:divBdr>
                    </w:div>
                  </w:divsChild>
                </w:div>
                <w:div w:id="1206522900">
                  <w:marLeft w:val="0"/>
                  <w:marRight w:val="0"/>
                  <w:marTop w:val="0"/>
                  <w:marBottom w:val="0"/>
                  <w:divBdr>
                    <w:top w:val="none" w:sz="0" w:space="0" w:color="auto"/>
                    <w:left w:val="none" w:sz="0" w:space="0" w:color="auto"/>
                    <w:bottom w:val="none" w:sz="0" w:space="0" w:color="auto"/>
                    <w:right w:val="none" w:sz="0" w:space="0" w:color="auto"/>
                  </w:divBdr>
                  <w:divsChild>
                    <w:div w:id="1958832194">
                      <w:marLeft w:val="0"/>
                      <w:marRight w:val="0"/>
                      <w:marTop w:val="0"/>
                      <w:marBottom w:val="0"/>
                      <w:divBdr>
                        <w:top w:val="none" w:sz="0" w:space="0" w:color="auto"/>
                        <w:left w:val="none" w:sz="0" w:space="0" w:color="auto"/>
                        <w:bottom w:val="none" w:sz="0" w:space="0" w:color="auto"/>
                        <w:right w:val="none" w:sz="0" w:space="0" w:color="auto"/>
                      </w:divBdr>
                    </w:div>
                  </w:divsChild>
                </w:div>
                <w:div w:id="1209607551">
                  <w:marLeft w:val="0"/>
                  <w:marRight w:val="0"/>
                  <w:marTop w:val="0"/>
                  <w:marBottom w:val="0"/>
                  <w:divBdr>
                    <w:top w:val="none" w:sz="0" w:space="0" w:color="auto"/>
                    <w:left w:val="none" w:sz="0" w:space="0" w:color="auto"/>
                    <w:bottom w:val="none" w:sz="0" w:space="0" w:color="auto"/>
                    <w:right w:val="none" w:sz="0" w:space="0" w:color="auto"/>
                  </w:divBdr>
                  <w:divsChild>
                    <w:div w:id="1298802586">
                      <w:marLeft w:val="0"/>
                      <w:marRight w:val="0"/>
                      <w:marTop w:val="0"/>
                      <w:marBottom w:val="0"/>
                      <w:divBdr>
                        <w:top w:val="none" w:sz="0" w:space="0" w:color="auto"/>
                        <w:left w:val="none" w:sz="0" w:space="0" w:color="auto"/>
                        <w:bottom w:val="none" w:sz="0" w:space="0" w:color="auto"/>
                        <w:right w:val="none" w:sz="0" w:space="0" w:color="auto"/>
                      </w:divBdr>
                    </w:div>
                  </w:divsChild>
                </w:div>
                <w:div w:id="1217349729">
                  <w:marLeft w:val="0"/>
                  <w:marRight w:val="0"/>
                  <w:marTop w:val="0"/>
                  <w:marBottom w:val="0"/>
                  <w:divBdr>
                    <w:top w:val="none" w:sz="0" w:space="0" w:color="auto"/>
                    <w:left w:val="none" w:sz="0" w:space="0" w:color="auto"/>
                    <w:bottom w:val="none" w:sz="0" w:space="0" w:color="auto"/>
                    <w:right w:val="none" w:sz="0" w:space="0" w:color="auto"/>
                  </w:divBdr>
                  <w:divsChild>
                    <w:div w:id="1121729485">
                      <w:marLeft w:val="0"/>
                      <w:marRight w:val="0"/>
                      <w:marTop w:val="0"/>
                      <w:marBottom w:val="0"/>
                      <w:divBdr>
                        <w:top w:val="none" w:sz="0" w:space="0" w:color="auto"/>
                        <w:left w:val="none" w:sz="0" w:space="0" w:color="auto"/>
                        <w:bottom w:val="none" w:sz="0" w:space="0" w:color="auto"/>
                        <w:right w:val="none" w:sz="0" w:space="0" w:color="auto"/>
                      </w:divBdr>
                    </w:div>
                  </w:divsChild>
                </w:div>
                <w:div w:id="1231847022">
                  <w:marLeft w:val="0"/>
                  <w:marRight w:val="0"/>
                  <w:marTop w:val="0"/>
                  <w:marBottom w:val="0"/>
                  <w:divBdr>
                    <w:top w:val="none" w:sz="0" w:space="0" w:color="auto"/>
                    <w:left w:val="none" w:sz="0" w:space="0" w:color="auto"/>
                    <w:bottom w:val="none" w:sz="0" w:space="0" w:color="auto"/>
                    <w:right w:val="none" w:sz="0" w:space="0" w:color="auto"/>
                  </w:divBdr>
                  <w:divsChild>
                    <w:div w:id="214435182">
                      <w:marLeft w:val="0"/>
                      <w:marRight w:val="0"/>
                      <w:marTop w:val="0"/>
                      <w:marBottom w:val="0"/>
                      <w:divBdr>
                        <w:top w:val="none" w:sz="0" w:space="0" w:color="auto"/>
                        <w:left w:val="none" w:sz="0" w:space="0" w:color="auto"/>
                        <w:bottom w:val="none" w:sz="0" w:space="0" w:color="auto"/>
                        <w:right w:val="none" w:sz="0" w:space="0" w:color="auto"/>
                      </w:divBdr>
                    </w:div>
                  </w:divsChild>
                </w:div>
                <w:div w:id="1246068371">
                  <w:marLeft w:val="0"/>
                  <w:marRight w:val="0"/>
                  <w:marTop w:val="0"/>
                  <w:marBottom w:val="0"/>
                  <w:divBdr>
                    <w:top w:val="none" w:sz="0" w:space="0" w:color="auto"/>
                    <w:left w:val="none" w:sz="0" w:space="0" w:color="auto"/>
                    <w:bottom w:val="none" w:sz="0" w:space="0" w:color="auto"/>
                    <w:right w:val="none" w:sz="0" w:space="0" w:color="auto"/>
                  </w:divBdr>
                  <w:divsChild>
                    <w:div w:id="348531520">
                      <w:marLeft w:val="0"/>
                      <w:marRight w:val="0"/>
                      <w:marTop w:val="0"/>
                      <w:marBottom w:val="0"/>
                      <w:divBdr>
                        <w:top w:val="none" w:sz="0" w:space="0" w:color="auto"/>
                        <w:left w:val="none" w:sz="0" w:space="0" w:color="auto"/>
                        <w:bottom w:val="none" w:sz="0" w:space="0" w:color="auto"/>
                        <w:right w:val="none" w:sz="0" w:space="0" w:color="auto"/>
                      </w:divBdr>
                    </w:div>
                  </w:divsChild>
                </w:div>
                <w:div w:id="1268123217">
                  <w:marLeft w:val="0"/>
                  <w:marRight w:val="0"/>
                  <w:marTop w:val="0"/>
                  <w:marBottom w:val="0"/>
                  <w:divBdr>
                    <w:top w:val="none" w:sz="0" w:space="0" w:color="auto"/>
                    <w:left w:val="none" w:sz="0" w:space="0" w:color="auto"/>
                    <w:bottom w:val="none" w:sz="0" w:space="0" w:color="auto"/>
                    <w:right w:val="none" w:sz="0" w:space="0" w:color="auto"/>
                  </w:divBdr>
                  <w:divsChild>
                    <w:div w:id="701054832">
                      <w:marLeft w:val="0"/>
                      <w:marRight w:val="0"/>
                      <w:marTop w:val="0"/>
                      <w:marBottom w:val="0"/>
                      <w:divBdr>
                        <w:top w:val="none" w:sz="0" w:space="0" w:color="auto"/>
                        <w:left w:val="none" w:sz="0" w:space="0" w:color="auto"/>
                        <w:bottom w:val="none" w:sz="0" w:space="0" w:color="auto"/>
                        <w:right w:val="none" w:sz="0" w:space="0" w:color="auto"/>
                      </w:divBdr>
                    </w:div>
                  </w:divsChild>
                </w:div>
                <w:div w:id="1278760949">
                  <w:marLeft w:val="0"/>
                  <w:marRight w:val="0"/>
                  <w:marTop w:val="0"/>
                  <w:marBottom w:val="0"/>
                  <w:divBdr>
                    <w:top w:val="none" w:sz="0" w:space="0" w:color="auto"/>
                    <w:left w:val="none" w:sz="0" w:space="0" w:color="auto"/>
                    <w:bottom w:val="none" w:sz="0" w:space="0" w:color="auto"/>
                    <w:right w:val="none" w:sz="0" w:space="0" w:color="auto"/>
                  </w:divBdr>
                  <w:divsChild>
                    <w:div w:id="709257836">
                      <w:marLeft w:val="0"/>
                      <w:marRight w:val="0"/>
                      <w:marTop w:val="0"/>
                      <w:marBottom w:val="0"/>
                      <w:divBdr>
                        <w:top w:val="none" w:sz="0" w:space="0" w:color="auto"/>
                        <w:left w:val="none" w:sz="0" w:space="0" w:color="auto"/>
                        <w:bottom w:val="none" w:sz="0" w:space="0" w:color="auto"/>
                        <w:right w:val="none" w:sz="0" w:space="0" w:color="auto"/>
                      </w:divBdr>
                    </w:div>
                  </w:divsChild>
                </w:div>
                <w:div w:id="1283877724">
                  <w:marLeft w:val="0"/>
                  <w:marRight w:val="0"/>
                  <w:marTop w:val="0"/>
                  <w:marBottom w:val="0"/>
                  <w:divBdr>
                    <w:top w:val="none" w:sz="0" w:space="0" w:color="auto"/>
                    <w:left w:val="none" w:sz="0" w:space="0" w:color="auto"/>
                    <w:bottom w:val="none" w:sz="0" w:space="0" w:color="auto"/>
                    <w:right w:val="none" w:sz="0" w:space="0" w:color="auto"/>
                  </w:divBdr>
                  <w:divsChild>
                    <w:div w:id="1188910728">
                      <w:marLeft w:val="0"/>
                      <w:marRight w:val="0"/>
                      <w:marTop w:val="0"/>
                      <w:marBottom w:val="0"/>
                      <w:divBdr>
                        <w:top w:val="none" w:sz="0" w:space="0" w:color="auto"/>
                        <w:left w:val="none" w:sz="0" w:space="0" w:color="auto"/>
                        <w:bottom w:val="none" w:sz="0" w:space="0" w:color="auto"/>
                        <w:right w:val="none" w:sz="0" w:space="0" w:color="auto"/>
                      </w:divBdr>
                    </w:div>
                  </w:divsChild>
                </w:div>
                <w:div w:id="1287588757">
                  <w:marLeft w:val="0"/>
                  <w:marRight w:val="0"/>
                  <w:marTop w:val="0"/>
                  <w:marBottom w:val="0"/>
                  <w:divBdr>
                    <w:top w:val="none" w:sz="0" w:space="0" w:color="auto"/>
                    <w:left w:val="none" w:sz="0" w:space="0" w:color="auto"/>
                    <w:bottom w:val="none" w:sz="0" w:space="0" w:color="auto"/>
                    <w:right w:val="none" w:sz="0" w:space="0" w:color="auto"/>
                  </w:divBdr>
                  <w:divsChild>
                    <w:div w:id="1423263991">
                      <w:marLeft w:val="0"/>
                      <w:marRight w:val="0"/>
                      <w:marTop w:val="0"/>
                      <w:marBottom w:val="0"/>
                      <w:divBdr>
                        <w:top w:val="none" w:sz="0" w:space="0" w:color="auto"/>
                        <w:left w:val="none" w:sz="0" w:space="0" w:color="auto"/>
                        <w:bottom w:val="none" w:sz="0" w:space="0" w:color="auto"/>
                        <w:right w:val="none" w:sz="0" w:space="0" w:color="auto"/>
                      </w:divBdr>
                    </w:div>
                  </w:divsChild>
                </w:div>
                <w:div w:id="1323463031">
                  <w:marLeft w:val="0"/>
                  <w:marRight w:val="0"/>
                  <w:marTop w:val="0"/>
                  <w:marBottom w:val="0"/>
                  <w:divBdr>
                    <w:top w:val="none" w:sz="0" w:space="0" w:color="auto"/>
                    <w:left w:val="none" w:sz="0" w:space="0" w:color="auto"/>
                    <w:bottom w:val="none" w:sz="0" w:space="0" w:color="auto"/>
                    <w:right w:val="none" w:sz="0" w:space="0" w:color="auto"/>
                  </w:divBdr>
                  <w:divsChild>
                    <w:div w:id="496072431">
                      <w:marLeft w:val="0"/>
                      <w:marRight w:val="0"/>
                      <w:marTop w:val="0"/>
                      <w:marBottom w:val="0"/>
                      <w:divBdr>
                        <w:top w:val="none" w:sz="0" w:space="0" w:color="auto"/>
                        <w:left w:val="none" w:sz="0" w:space="0" w:color="auto"/>
                        <w:bottom w:val="none" w:sz="0" w:space="0" w:color="auto"/>
                        <w:right w:val="none" w:sz="0" w:space="0" w:color="auto"/>
                      </w:divBdr>
                    </w:div>
                  </w:divsChild>
                </w:div>
                <w:div w:id="1329675028">
                  <w:marLeft w:val="0"/>
                  <w:marRight w:val="0"/>
                  <w:marTop w:val="0"/>
                  <w:marBottom w:val="0"/>
                  <w:divBdr>
                    <w:top w:val="none" w:sz="0" w:space="0" w:color="auto"/>
                    <w:left w:val="none" w:sz="0" w:space="0" w:color="auto"/>
                    <w:bottom w:val="none" w:sz="0" w:space="0" w:color="auto"/>
                    <w:right w:val="none" w:sz="0" w:space="0" w:color="auto"/>
                  </w:divBdr>
                  <w:divsChild>
                    <w:div w:id="47998732">
                      <w:marLeft w:val="0"/>
                      <w:marRight w:val="0"/>
                      <w:marTop w:val="0"/>
                      <w:marBottom w:val="0"/>
                      <w:divBdr>
                        <w:top w:val="none" w:sz="0" w:space="0" w:color="auto"/>
                        <w:left w:val="none" w:sz="0" w:space="0" w:color="auto"/>
                        <w:bottom w:val="none" w:sz="0" w:space="0" w:color="auto"/>
                        <w:right w:val="none" w:sz="0" w:space="0" w:color="auto"/>
                      </w:divBdr>
                    </w:div>
                  </w:divsChild>
                </w:div>
                <w:div w:id="1332686066">
                  <w:marLeft w:val="0"/>
                  <w:marRight w:val="0"/>
                  <w:marTop w:val="0"/>
                  <w:marBottom w:val="0"/>
                  <w:divBdr>
                    <w:top w:val="none" w:sz="0" w:space="0" w:color="auto"/>
                    <w:left w:val="none" w:sz="0" w:space="0" w:color="auto"/>
                    <w:bottom w:val="none" w:sz="0" w:space="0" w:color="auto"/>
                    <w:right w:val="none" w:sz="0" w:space="0" w:color="auto"/>
                  </w:divBdr>
                  <w:divsChild>
                    <w:div w:id="232159239">
                      <w:marLeft w:val="0"/>
                      <w:marRight w:val="0"/>
                      <w:marTop w:val="0"/>
                      <w:marBottom w:val="0"/>
                      <w:divBdr>
                        <w:top w:val="none" w:sz="0" w:space="0" w:color="auto"/>
                        <w:left w:val="none" w:sz="0" w:space="0" w:color="auto"/>
                        <w:bottom w:val="none" w:sz="0" w:space="0" w:color="auto"/>
                        <w:right w:val="none" w:sz="0" w:space="0" w:color="auto"/>
                      </w:divBdr>
                    </w:div>
                  </w:divsChild>
                </w:div>
                <w:div w:id="1338579666">
                  <w:marLeft w:val="0"/>
                  <w:marRight w:val="0"/>
                  <w:marTop w:val="0"/>
                  <w:marBottom w:val="0"/>
                  <w:divBdr>
                    <w:top w:val="none" w:sz="0" w:space="0" w:color="auto"/>
                    <w:left w:val="none" w:sz="0" w:space="0" w:color="auto"/>
                    <w:bottom w:val="none" w:sz="0" w:space="0" w:color="auto"/>
                    <w:right w:val="none" w:sz="0" w:space="0" w:color="auto"/>
                  </w:divBdr>
                  <w:divsChild>
                    <w:div w:id="1567380117">
                      <w:marLeft w:val="0"/>
                      <w:marRight w:val="0"/>
                      <w:marTop w:val="0"/>
                      <w:marBottom w:val="0"/>
                      <w:divBdr>
                        <w:top w:val="none" w:sz="0" w:space="0" w:color="auto"/>
                        <w:left w:val="none" w:sz="0" w:space="0" w:color="auto"/>
                        <w:bottom w:val="none" w:sz="0" w:space="0" w:color="auto"/>
                        <w:right w:val="none" w:sz="0" w:space="0" w:color="auto"/>
                      </w:divBdr>
                    </w:div>
                  </w:divsChild>
                </w:div>
                <w:div w:id="1342662380">
                  <w:marLeft w:val="0"/>
                  <w:marRight w:val="0"/>
                  <w:marTop w:val="0"/>
                  <w:marBottom w:val="0"/>
                  <w:divBdr>
                    <w:top w:val="none" w:sz="0" w:space="0" w:color="auto"/>
                    <w:left w:val="none" w:sz="0" w:space="0" w:color="auto"/>
                    <w:bottom w:val="none" w:sz="0" w:space="0" w:color="auto"/>
                    <w:right w:val="none" w:sz="0" w:space="0" w:color="auto"/>
                  </w:divBdr>
                  <w:divsChild>
                    <w:div w:id="322006382">
                      <w:marLeft w:val="0"/>
                      <w:marRight w:val="0"/>
                      <w:marTop w:val="0"/>
                      <w:marBottom w:val="0"/>
                      <w:divBdr>
                        <w:top w:val="none" w:sz="0" w:space="0" w:color="auto"/>
                        <w:left w:val="none" w:sz="0" w:space="0" w:color="auto"/>
                        <w:bottom w:val="none" w:sz="0" w:space="0" w:color="auto"/>
                        <w:right w:val="none" w:sz="0" w:space="0" w:color="auto"/>
                      </w:divBdr>
                    </w:div>
                  </w:divsChild>
                </w:div>
                <w:div w:id="1347176924">
                  <w:marLeft w:val="0"/>
                  <w:marRight w:val="0"/>
                  <w:marTop w:val="0"/>
                  <w:marBottom w:val="0"/>
                  <w:divBdr>
                    <w:top w:val="none" w:sz="0" w:space="0" w:color="auto"/>
                    <w:left w:val="none" w:sz="0" w:space="0" w:color="auto"/>
                    <w:bottom w:val="none" w:sz="0" w:space="0" w:color="auto"/>
                    <w:right w:val="none" w:sz="0" w:space="0" w:color="auto"/>
                  </w:divBdr>
                  <w:divsChild>
                    <w:div w:id="1909881930">
                      <w:marLeft w:val="0"/>
                      <w:marRight w:val="0"/>
                      <w:marTop w:val="0"/>
                      <w:marBottom w:val="0"/>
                      <w:divBdr>
                        <w:top w:val="none" w:sz="0" w:space="0" w:color="auto"/>
                        <w:left w:val="none" w:sz="0" w:space="0" w:color="auto"/>
                        <w:bottom w:val="none" w:sz="0" w:space="0" w:color="auto"/>
                        <w:right w:val="none" w:sz="0" w:space="0" w:color="auto"/>
                      </w:divBdr>
                    </w:div>
                  </w:divsChild>
                </w:div>
                <w:div w:id="1347561268">
                  <w:marLeft w:val="0"/>
                  <w:marRight w:val="0"/>
                  <w:marTop w:val="0"/>
                  <w:marBottom w:val="0"/>
                  <w:divBdr>
                    <w:top w:val="none" w:sz="0" w:space="0" w:color="auto"/>
                    <w:left w:val="none" w:sz="0" w:space="0" w:color="auto"/>
                    <w:bottom w:val="none" w:sz="0" w:space="0" w:color="auto"/>
                    <w:right w:val="none" w:sz="0" w:space="0" w:color="auto"/>
                  </w:divBdr>
                  <w:divsChild>
                    <w:div w:id="1967352828">
                      <w:marLeft w:val="0"/>
                      <w:marRight w:val="0"/>
                      <w:marTop w:val="0"/>
                      <w:marBottom w:val="0"/>
                      <w:divBdr>
                        <w:top w:val="none" w:sz="0" w:space="0" w:color="auto"/>
                        <w:left w:val="none" w:sz="0" w:space="0" w:color="auto"/>
                        <w:bottom w:val="none" w:sz="0" w:space="0" w:color="auto"/>
                        <w:right w:val="none" w:sz="0" w:space="0" w:color="auto"/>
                      </w:divBdr>
                    </w:div>
                  </w:divsChild>
                </w:div>
                <w:div w:id="1348219125">
                  <w:marLeft w:val="0"/>
                  <w:marRight w:val="0"/>
                  <w:marTop w:val="0"/>
                  <w:marBottom w:val="0"/>
                  <w:divBdr>
                    <w:top w:val="none" w:sz="0" w:space="0" w:color="auto"/>
                    <w:left w:val="none" w:sz="0" w:space="0" w:color="auto"/>
                    <w:bottom w:val="none" w:sz="0" w:space="0" w:color="auto"/>
                    <w:right w:val="none" w:sz="0" w:space="0" w:color="auto"/>
                  </w:divBdr>
                  <w:divsChild>
                    <w:div w:id="1798646605">
                      <w:marLeft w:val="0"/>
                      <w:marRight w:val="0"/>
                      <w:marTop w:val="0"/>
                      <w:marBottom w:val="0"/>
                      <w:divBdr>
                        <w:top w:val="none" w:sz="0" w:space="0" w:color="auto"/>
                        <w:left w:val="none" w:sz="0" w:space="0" w:color="auto"/>
                        <w:bottom w:val="none" w:sz="0" w:space="0" w:color="auto"/>
                        <w:right w:val="none" w:sz="0" w:space="0" w:color="auto"/>
                      </w:divBdr>
                    </w:div>
                  </w:divsChild>
                </w:div>
                <w:div w:id="1351449221">
                  <w:marLeft w:val="0"/>
                  <w:marRight w:val="0"/>
                  <w:marTop w:val="0"/>
                  <w:marBottom w:val="0"/>
                  <w:divBdr>
                    <w:top w:val="none" w:sz="0" w:space="0" w:color="auto"/>
                    <w:left w:val="none" w:sz="0" w:space="0" w:color="auto"/>
                    <w:bottom w:val="none" w:sz="0" w:space="0" w:color="auto"/>
                    <w:right w:val="none" w:sz="0" w:space="0" w:color="auto"/>
                  </w:divBdr>
                  <w:divsChild>
                    <w:div w:id="1096292539">
                      <w:marLeft w:val="0"/>
                      <w:marRight w:val="0"/>
                      <w:marTop w:val="0"/>
                      <w:marBottom w:val="0"/>
                      <w:divBdr>
                        <w:top w:val="none" w:sz="0" w:space="0" w:color="auto"/>
                        <w:left w:val="none" w:sz="0" w:space="0" w:color="auto"/>
                        <w:bottom w:val="none" w:sz="0" w:space="0" w:color="auto"/>
                        <w:right w:val="none" w:sz="0" w:space="0" w:color="auto"/>
                      </w:divBdr>
                    </w:div>
                  </w:divsChild>
                </w:div>
                <w:div w:id="1357776578">
                  <w:marLeft w:val="0"/>
                  <w:marRight w:val="0"/>
                  <w:marTop w:val="0"/>
                  <w:marBottom w:val="0"/>
                  <w:divBdr>
                    <w:top w:val="none" w:sz="0" w:space="0" w:color="auto"/>
                    <w:left w:val="none" w:sz="0" w:space="0" w:color="auto"/>
                    <w:bottom w:val="none" w:sz="0" w:space="0" w:color="auto"/>
                    <w:right w:val="none" w:sz="0" w:space="0" w:color="auto"/>
                  </w:divBdr>
                  <w:divsChild>
                    <w:div w:id="1996450669">
                      <w:marLeft w:val="0"/>
                      <w:marRight w:val="0"/>
                      <w:marTop w:val="0"/>
                      <w:marBottom w:val="0"/>
                      <w:divBdr>
                        <w:top w:val="none" w:sz="0" w:space="0" w:color="auto"/>
                        <w:left w:val="none" w:sz="0" w:space="0" w:color="auto"/>
                        <w:bottom w:val="none" w:sz="0" w:space="0" w:color="auto"/>
                        <w:right w:val="none" w:sz="0" w:space="0" w:color="auto"/>
                      </w:divBdr>
                    </w:div>
                  </w:divsChild>
                </w:div>
                <w:div w:id="1377659651">
                  <w:marLeft w:val="0"/>
                  <w:marRight w:val="0"/>
                  <w:marTop w:val="0"/>
                  <w:marBottom w:val="0"/>
                  <w:divBdr>
                    <w:top w:val="none" w:sz="0" w:space="0" w:color="auto"/>
                    <w:left w:val="none" w:sz="0" w:space="0" w:color="auto"/>
                    <w:bottom w:val="none" w:sz="0" w:space="0" w:color="auto"/>
                    <w:right w:val="none" w:sz="0" w:space="0" w:color="auto"/>
                  </w:divBdr>
                  <w:divsChild>
                    <w:div w:id="1655375107">
                      <w:marLeft w:val="0"/>
                      <w:marRight w:val="0"/>
                      <w:marTop w:val="0"/>
                      <w:marBottom w:val="0"/>
                      <w:divBdr>
                        <w:top w:val="none" w:sz="0" w:space="0" w:color="auto"/>
                        <w:left w:val="none" w:sz="0" w:space="0" w:color="auto"/>
                        <w:bottom w:val="none" w:sz="0" w:space="0" w:color="auto"/>
                        <w:right w:val="none" w:sz="0" w:space="0" w:color="auto"/>
                      </w:divBdr>
                    </w:div>
                  </w:divsChild>
                </w:div>
                <w:div w:id="1383557471">
                  <w:marLeft w:val="0"/>
                  <w:marRight w:val="0"/>
                  <w:marTop w:val="0"/>
                  <w:marBottom w:val="0"/>
                  <w:divBdr>
                    <w:top w:val="none" w:sz="0" w:space="0" w:color="auto"/>
                    <w:left w:val="none" w:sz="0" w:space="0" w:color="auto"/>
                    <w:bottom w:val="none" w:sz="0" w:space="0" w:color="auto"/>
                    <w:right w:val="none" w:sz="0" w:space="0" w:color="auto"/>
                  </w:divBdr>
                  <w:divsChild>
                    <w:div w:id="1845363110">
                      <w:marLeft w:val="0"/>
                      <w:marRight w:val="0"/>
                      <w:marTop w:val="0"/>
                      <w:marBottom w:val="0"/>
                      <w:divBdr>
                        <w:top w:val="none" w:sz="0" w:space="0" w:color="auto"/>
                        <w:left w:val="none" w:sz="0" w:space="0" w:color="auto"/>
                        <w:bottom w:val="none" w:sz="0" w:space="0" w:color="auto"/>
                        <w:right w:val="none" w:sz="0" w:space="0" w:color="auto"/>
                      </w:divBdr>
                    </w:div>
                  </w:divsChild>
                </w:div>
                <w:div w:id="1396582473">
                  <w:marLeft w:val="0"/>
                  <w:marRight w:val="0"/>
                  <w:marTop w:val="0"/>
                  <w:marBottom w:val="0"/>
                  <w:divBdr>
                    <w:top w:val="none" w:sz="0" w:space="0" w:color="auto"/>
                    <w:left w:val="none" w:sz="0" w:space="0" w:color="auto"/>
                    <w:bottom w:val="none" w:sz="0" w:space="0" w:color="auto"/>
                    <w:right w:val="none" w:sz="0" w:space="0" w:color="auto"/>
                  </w:divBdr>
                  <w:divsChild>
                    <w:div w:id="213976106">
                      <w:marLeft w:val="0"/>
                      <w:marRight w:val="0"/>
                      <w:marTop w:val="0"/>
                      <w:marBottom w:val="0"/>
                      <w:divBdr>
                        <w:top w:val="none" w:sz="0" w:space="0" w:color="auto"/>
                        <w:left w:val="none" w:sz="0" w:space="0" w:color="auto"/>
                        <w:bottom w:val="none" w:sz="0" w:space="0" w:color="auto"/>
                        <w:right w:val="none" w:sz="0" w:space="0" w:color="auto"/>
                      </w:divBdr>
                    </w:div>
                  </w:divsChild>
                </w:div>
                <w:div w:id="1397901001">
                  <w:marLeft w:val="0"/>
                  <w:marRight w:val="0"/>
                  <w:marTop w:val="0"/>
                  <w:marBottom w:val="0"/>
                  <w:divBdr>
                    <w:top w:val="none" w:sz="0" w:space="0" w:color="auto"/>
                    <w:left w:val="none" w:sz="0" w:space="0" w:color="auto"/>
                    <w:bottom w:val="none" w:sz="0" w:space="0" w:color="auto"/>
                    <w:right w:val="none" w:sz="0" w:space="0" w:color="auto"/>
                  </w:divBdr>
                  <w:divsChild>
                    <w:div w:id="568267469">
                      <w:marLeft w:val="0"/>
                      <w:marRight w:val="0"/>
                      <w:marTop w:val="0"/>
                      <w:marBottom w:val="0"/>
                      <w:divBdr>
                        <w:top w:val="none" w:sz="0" w:space="0" w:color="auto"/>
                        <w:left w:val="none" w:sz="0" w:space="0" w:color="auto"/>
                        <w:bottom w:val="none" w:sz="0" w:space="0" w:color="auto"/>
                        <w:right w:val="none" w:sz="0" w:space="0" w:color="auto"/>
                      </w:divBdr>
                    </w:div>
                  </w:divsChild>
                </w:div>
                <w:div w:id="1399355631">
                  <w:marLeft w:val="0"/>
                  <w:marRight w:val="0"/>
                  <w:marTop w:val="0"/>
                  <w:marBottom w:val="0"/>
                  <w:divBdr>
                    <w:top w:val="none" w:sz="0" w:space="0" w:color="auto"/>
                    <w:left w:val="none" w:sz="0" w:space="0" w:color="auto"/>
                    <w:bottom w:val="none" w:sz="0" w:space="0" w:color="auto"/>
                    <w:right w:val="none" w:sz="0" w:space="0" w:color="auto"/>
                  </w:divBdr>
                  <w:divsChild>
                    <w:div w:id="1904560702">
                      <w:marLeft w:val="0"/>
                      <w:marRight w:val="0"/>
                      <w:marTop w:val="0"/>
                      <w:marBottom w:val="0"/>
                      <w:divBdr>
                        <w:top w:val="none" w:sz="0" w:space="0" w:color="auto"/>
                        <w:left w:val="none" w:sz="0" w:space="0" w:color="auto"/>
                        <w:bottom w:val="none" w:sz="0" w:space="0" w:color="auto"/>
                        <w:right w:val="none" w:sz="0" w:space="0" w:color="auto"/>
                      </w:divBdr>
                    </w:div>
                  </w:divsChild>
                </w:div>
                <w:div w:id="1405685047">
                  <w:marLeft w:val="0"/>
                  <w:marRight w:val="0"/>
                  <w:marTop w:val="0"/>
                  <w:marBottom w:val="0"/>
                  <w:divBdr>
                    <w:top w:val="none" w:sz="0" w:space="0" w:color="auto"/>
                    <w:left w:val="none" w:sz="0" w:space="0" w:color="auto"/>
                    <w:bottom w:val="none" w:sz="0" w:space="0" w:color="auto"/>
                    <w:right w:val="none" w:sz="0" w:space="0" w:color="auto"/>
                  </w:divBdr>
                  <w:divsChild>
                    <w:div w:id="70079596">
                      <w:marLeft w:val="0"/>
                      <w:marRight w:val="0"/>
                      <w:marTop w:val="0"/>
                      <w:marBottom w:val="0"/>
                      <w:divBdr>
                        <w:top w:val="none" w:sz="0" w:space="0" w:color="auto"/>
                        <w:left w:val="none" w:sz="0" w:space="0" w:color="auto"/>
                        <w:bottom w:val="none" w:sz="0" w:space="0" w:color="auto"/>
                        <w:right w:val="none" w:sz="0" w:space="0" w:color="auto"/>
                      </w:divBdr>
                    </w:div>
                  </w:divsChild>
                </w:div>
                <w:div w:id="1441533957">
                  <w:marLeft w:val="0"/>
                  <w:marRight w:val="0"/>
                  <w:marTop w:val="0"/>
                  <w:marBottom w:val="0"/>
                  <w:divBdr>
                    <w:top w:val="none" w:sz="0" w:space="0" w:color="auto"/>
                    <w:left w:val="none" w:sz="0" w:space="0" w:color="auto"/>
                    <w:bottom w:val="none" w:sz="0" w:space="0" w:color="auto"/>
                    <w:right w:val="none" w:sz="0" w:space="0" w:color="auto"/>
                  </w:divBdr>
                  <w:divsChild>
                    <w:div w:id="30999364">
                      <w:marLeft w:val="0"/>
                      <w:marRight w:val="0"/>
                      <w:marTop w:val="0"/>
                      <w:marBottom w:val="0"/>
                      <w:divBdr>
                        <w:top w:val="none" w:sz="0" w:space="0" w:color="auto"/>
                        <w:left w:val="none" w:sz="0" w:space="0" w:color="auto"/>
                        <w:bottom w:val="none" w:sz="0" w:space="0" w:color="auto"/>
                        <w:right w:val="none" w:sz="0" w:space="0" w:color="auto"/>
                      </w:divBdr>
                    </w:div>
                  </w:divsChild>
                </w:div>
                <w:div w:id="1445997058">
                  <w:marLeft w:val="0"/>
                  <w:marRight w:val="0"/>
                  <w:marTop w:val="0"/>
                  <w:marBottom w:val="0"/>
                  <w:divBdr>
                    <w:top w:val="none" w:sz="0" w:space="0" w:color="auto"/>
                    <w:left w:val="none" w:sz="0" w:space="0" w:color="auto"/>
                    <w:bottom w:val="none" w:sz="0" w:space="0" w:color="auto"/>
                    <w:right w:val="none" w:sz="0" w:space="0" w:color="auto"/>
                  </w:divBdr>
                  <w:divsChild>
                    <w:div w:id="805977885">
                      <w:marLeft w:val="0"/>
                      <w:marRight w:val="0"/>
                      <w:marTop w:val="0"/>
                      <w:marBottom w:val="0"/>
                      <w:divBdr>
                        <w:top w:val="none" w:sz="0" w:space="0" w:color="auto"/>
                        <w:left w:val="none" w:sz="0" w:space="0" w:color="auto"/>
                        <w:bottom w:val="none" w:sz="0" w:space="0" w:color="auto"/>
                        <w:right w:val="none" w:sz="0" w:space="0" w:color="auto"/>
                      </w:divBdr>
                    </w:div>
                  </w:divsChild>
                </w:div>
                <w:div w:id="1447382554">
                  <w:marLeft w:val="0"/>
                  <w:marRight w:val="0"/>
                  <w:marTop w:val="0"/>
                  <w:marBottom w:val="0"/>
                  <w:divBdr>
                    <w:top w:val="none" w:sz="0" w:space="0" w:color="auto"/>
                    <w:left w:val="none" w:sz="0" w:space="0" w:color="auto"/>
                    <w:bottom w:val="none" w:sz="0" w:space="0" w:color="auto"/>
                    <w:right w:val="none" w:sz="0" w:space="0" w:color="auto"/>
                  </w:divBdr>
                  <w:divsChild>
                    <w:div w:id="765735495">
                      <w:marLeft w:val="0"/>
                      <w:marRight w:val="0"/>
                      <w:marTop w:val="0"/>
                      <w:marBottom w:val="0"/>
                      <w:divBdr>
                        <w:top w:val="none" w:sz="0" w:space="0" w:color="auto"/>
                        <w:left w:val="none" w:sz="0" w:space="0" w:color="auto"/>
                        <w:bottom w:val="none" w:sz="0" w:space="0" w:color="auto"/>
                        <w:right w:val="none" w:sz="0" w:space="0" w:color="auto"/>
                      </w:divBdr>
                    </w:div>
                  </w:divsChild>
                </w:div>
                <w:div w:id="1458910203">
                  <w:marLeft w:val="0"/>
                  <w:marRight w:val="0"/>
                  <w:marTop w:val="0"/>
                  <w:marBottom w:val="0"/>
                  <w:divBdr>
                    <w:top w:val="none" w:sz="0" w:space="0" w:color="auto"/>
                    <w:left w:val="none" w:sz="0" w:space="0" w:color="auto"/>
                    <w:bottom w:val="none" w:sz="0" w:space="0" w:color="auto"/>
                    <w:right w:val="none" w:sz="0" w:space="0" w:color="auto"/>
                  </w:divBdr>
                  <w:divsChild>
                    <w:div w:id="1509370892">
                      <w:marLeft w:val="0"/>
                      <w:marRight w:val="0"/>
                      <w:marTop w:val="0"/>
                      <w:marBottom w:val="0"/>
                      <w:divBdr>
                        <w:top w:val="none" w:sz="0" w:space="0" w:color="auto"/>
                        <w:left w:val="none" w:sz="0" w:space="0" w:color="auto"/>
                        <w:bottom w:val="none" w:sz="0" w:space="0" w:color="auto"/>
                        <w:right w:val="none" w:sz="0" w:space="0" w:color="auto"/>
                      </w:divBdr>
                    </w:div>
                  </w:divsChild>
                </w:div>
                <w:div w:id="1483305371">
                  <w:marLeft w:val="0"/>
                  <w:marRight w:val="0"/>
                  <w:marTop w:val="0"/>
                  <w:marBottom w:val="0"/>
                  <w:divBdr>
                    <w:top w:val="none" w:sz="0" w:space="0" w:color="auto"/>
                    <w:left w:val="none" w:sz="0" w:space="0" w:color="auto"/>
                    <w:bottom w:val="none" w:sz="0" w:space="0" w:color="auto"/>
                    <w:right w:val="none" w:sz="0" w:space="0" w:color="auto"/>
                  </w:divBdr>
                  <w:divsChild>
                    <w:div w:id="838152144">
                      <w:marLeft w:val="0"/>
                      <w:marRight w:val="0"/>
                      <w:marTop w:val="0"/>
                      <w:marBottom w:val="0"/>
                      <w:divBdr>
                        <w:top w:val="none" w:sz="0" w:space="0" w:color="auto"/>
                        <w:left w:val="none" w:sz="0" w:space="0" w:color="auto"/>
                        <w:bottom w:val="none" w:sz="0" w:space="0" w:color="auto"/>
                        <w:right w:val="none" w:sz="0" w:space="0" w:color="auto"/>
                      </w:divBdr>
                    </w:div>
                  </w:divsChild>
                </w:div>
                <w:div w:id="1488210842">
                  <w:marLeft w:val="0"/>
                  <w:marRight w:val="0"/>
                  <w:marTop w:val="0"/>
                  <w:marBottom w:val="0"/>
                  <w:divBdr>
                    <w:top w:val="none" w:sz="0" w:space="0" w:color="auto"/>
                    <w:left w:val="none" w:sz="0" w:space="0" w:color="auto"/>
                    <w:bottom w:val="none" w:sz="0" w:space="0" w:color="auto"/>
                    <w:right w:val="none" w:sz="0" w:space="0" w:color="auto"/>
                  </w:divBdr>
                  <w:divsChild>
                    <w:div w:id="1826386227">
                      <w:marLeft w:val="0"/>
                      <w:marRight w:val="0"/>
                      <w:marTop w:val="0"/>
                      <w:marBottom w:val="0"/>
                      <w:divBdr>
                        <w:top w:val="none" w:sz="0" w:space="0" w:color="auto"/>
                        <w:left w:val="none" w:sz="0" w:space="0" w:color="auto"/>
                        <w:bottom w:val="none" w:sz="0" w:space="0" w:color="auto"/>
                        <w:right w:val="none" w:sz="0" w:space="0" w:color="auto"/>
                      </w:divBdr>
                    </w:div>
                  </w:divsChild>
                </w:div>
                <w:div w:id="1517580336">
                  <w:marLeft w:val="0"/>
                  <w:marRight w:val="0"/>
                  <w:marTop w:val="0"/>
                  <w:marBottom w:val="0"/>
                  <w:divBdr>
                    <w:top w:val="none" w:sz="0" w:space="0" w:color="auto"/>
                    <w:left w:val="none" w:sz="0" w:space="0" w:color="auto"/>
                    <w:bottom w:val="none" w:sz="0" w:space="0" w:color="auto"/>
                    <w:right w:val="none" w:sz="0" w:space="0" w:color="auto"/>
                  </w:divBdr>
                  <w:divsChild>
                    <w:div w:id="1343968851">
                      <w:marLeft w:val="0"/>
                      <w:marRight w:val="0"/>
                      <w:marTop w:val="0"/>
                      <w:marBottom w:val="0"/>
                      <w:divBdr>
                        <w:top w:val="none" w:sz="0" w:space="0" w:color="auto"/>
                        <w:left w:val="none" w:sz="0" w:space="0" w:color="auto"/>
                        <w:bottom w:val="none" w:sz="0" w:space="0" w:color="auto"/>
                        <w:right w:val="none" w:sz="0" w:space="0" w:color="auto"/>
                      </w:divBdr>
                    </w:div>
                  </w:divsChild>
                </w:div>
                <w:div w:id="1519153377">
                  <w:marLeft w:val="0"/>
                  <w:marRight w:val="0"/>
                  <w:marTop w:val="0"/>
                  <w:marBottom w:val="0"/>
                  <w:divBdr>
                    <w:top w:val="none" w:sz="0" w:space="0" w:color="auto"/>
                    <w:left w:val="none" w:sz="0" w:space="0" w:color="auto"/>
                    <w:bottom w:val="none" w:sz="0" w:space="0" w:color="auto"/>
                    <w:right w:val="none" w:sz="0" w:space="0" w:color="auto"/>
                  </w:divBdr>
                  <w:divsChild>
                    <w:div w:id="705636814">
                      <w:marLeft w:val="0"/>
                      <w:marRight w:val="0"/>
                      <w:marTop w:val="0"/>
                      <w:marBottom w:val="0"/>
                      <w:divBdr>
                        <w:top w:val="none" w:sz="0" w:space="0" w:color="auto"/>
                        <w:left w:val="none" w:sz="0" w:space="0" w:color="auto"/>
                        <w:bottom w:val="none" w:sz="0" w:space="0" w:color="auto"/>
                        <w:right w:val="none" w:sz="0" w:space="0" w:color="auto"/>
                      </w:divBdr>
                    </w:div>
                  </w:divsChild>
                </w:div>
                <w:div w:id="1533570110">
                  <w:marLeft w:val="0"/>
                  <w:marRight w:val="0"/>
                  <w:marTop w:val="0"/>
                  <w:marBottom w:val="0"/>
                  <w:divBdr>
                    <w:top w:val="none" w:sz="0" w:space="0" w:color="auto"/>
                    <w:left w:val="none" w:sz="0" w:space="0" w:color="auto"/>
                    <w:bottom w:val="none" w:sz="0" w:space="0" w:color="auto"/>
                    <w:right w:val="none" w:sz="0" w:space="0" w:color="auto"/>
                  </w:divBdr>
                  <w:divsChild>
                    <w:div w:id="1575045704">
                      <w:marLeft w:val="0"/>
                      <w:marRight w:val="0"/>
                      <w:marTop w:val="0"/>
                      <w:marBottom w:val="0"/>
                      <w:divBdr>
                        <w:top w:val="none" w:sz="0" w:space="0" w:color="auto"/>
                        <w:left w:val="none" w:sz="0" w:space="0" w:color="auto"/>
                        <w:bottom w:val="none" w:sz="0" w:space="0" w:color="auto"/>
                        <w:right w:val="none" w:sz="0" w:space="0" w:color="auto"/>
                      </w:divBdr>
                    </w:div>
                  </w:divsChild>
                </w:div>
                <w:div w:id="1538464972">
                  <w:marLeft w:val="0"/>
                  <w:marRight w:val="0"/>
                  <w:marTop w:val="0"/>
                  <w:marBottom w:val="0"/>
                  <w:divBdr>
                    <w:top w:val="none" w:sz="0" w:space="0" w:color="auto"/>
                    <w:left w:val="none" w:sz="0" w:space="0" w:color="auto"/>
                    <w:bottom w:val="none" w:sz="0" w:space="0" w:color="auto"/>
                    <w:right w:val="none" w:sz="0" w:space="0" w:color="auto"/>
                  </w:divBdr>
                  <w:divsChild>
                    <w:div w:id="1921862600">
                      <w:marLeft w:val="0"/>
                      <w:marRight w:val="0"/>
                      <w:marTop w:val="0"/>
                      <w:marBottom w:val="0"/>
                      <w:divBdr>
                        <w:top w:val="none" w:sz="0" w:space="0" w:color="auto"/>
                        <w:left w:val="none" w:sz="0" w:space="0" w:color="auto"/>
                        <w:bottom w:val="none" w:sz="0" w:space="0" w:color="auto"/>
                        <w:right w:val="none" w:sz="0" w:space="0" w:color="auto"/>
                      </w:divBdr>
                    </w:div>
                  </w:divsChild>
                </w:div>
                <w:div w:id="1570726282">
                  <w:marLeft w:val="0"/>
                  <w:marRight w:val="0"/>
                  <w:marTop w:val="0"/>
                  <w:marBottom w:val="0"/>
                  <w:divBdr>
                    <w:top w:val="none" w:sz="0" w:space="0" w:color="auto"/>
                    <w:left w:val="none" w:sz="0" w:space="0" w:color="auto"/>
                    <w:bottom w:val="none" w:sz="0" w:space="0" w:color="auto"/>
                    <w:right w:val="none" w:sz="0" w:space="0" w:color="auto"/>
                  </w:divBdr>
                  <w:divsChild>
                    <w:div w:id="250940202">
                      <w:marLeft w:val="0"/>
                      <w:marRight w:val="0"/>
                      <w:marTop w:val="0"/>
                      <w:marBottom w:val="0"/>
                      <w:divBdr>
                        <w:top w:val="none" w:sz="0" w:space="0" w:color="auto"/>
                        <w:left w:val="none" w:sz="0" w:space="0" w:color="auto"/>
                        <w:bottom w:val="none" w:sz="0" w:space="0" w:color="auto"/>
                        <w:right w:val="none" w:sz="0" w:space="0" w:color="auto"/>
                      </w:divBdr>
                    </w:div>
                  </w:divsChild>
                </w:div>
                <w:div w:id="1582639205">
                  <w:marLeft w:val="0"/>
                  <w:marRight w:val="0"/>
                  <w:marTop w:val="0"/>
                  <w:marBottom w:val="0"/>
                  <w:divBdr>
                    <w:top w:val="none" w:sz="0" w:space="0" w:color="auto"/>
                    <w:left w:val="none" w:sz="0" w:space="0" w:color="auto"/>
                    <w:bottom w:val="none" w:sz="0" w:space="0" w:color="auto"/>
                    <w:right w:val="none" w:sz="0" w:space="0" w:color="auto"/>
                  </w:divBdr>
                  <w:divsChild>
                    <w:div w:id="684290572">
                      <w:marLeft w:val="0"/>
                      <w:marRight w:val="0"/>
                      <w:marTop w:val="0"/>
                      <w:marBottom w:val="0"/>
                      <w:divBdr>
                        <w:top w:val="none" w:sz="0" w:space="0" w:color="auto"/>
                        <w:left w:val="none" w:sz="0" w:space="0" w:color="auto"/>
                        <w:bottom w:val="none" w:sz="0" w:space="0" w:color="auto"/>
                        <w:right w:val="none" w:sz="0" w:space="0" w:color="auto"/>
                      </w:divBdr>
                    </w:div>
                  </w:divsChild>
                </w:div>
                <w:div w:id="1599362629">
                  <w:marLeft w:val="0"/>
                  <w:marRight w:val="0"/>
                  <w:marTop w:val="0"/>
                  <w:marBottom w:val="0"/>
                  <w:divBdr>
                    <w:top w:val="none" w:sz="0" w:space="0" w:color="auto"/>
                    <w:left w:val="none" w:sz="0" w:space="0" w:color="auto"/>
                    <w:bottom w:val="none" w:sz="0" w:space="0" w:color="auto"/>
                    <w:right w:val="none" w:sz="0" w:space="0" w:color="auto"/>
                  </w:divBdr>
                  <w:divsChild>
                    <w:div w:id="708149079">
                      <w:marLeft w:val="0"/>
                      <w:marRight w:val="0"/>
                      <w:marTop w:val="0"/>
                      <w:marBottom w:val="0"/>
                      <w:divBdr>
                        <w:top w:val="none" w:sz="0" w:space="0" w:color="auto"/>
                        <w:left w:val="none" w:sz="0" w:space="0" w:color="auto"/>
                        <w:bottom w:val="none" w:sz="0" w:space="0" w:color="auto"/>
                        <w:right w:val="none" w:sz="0" w:space="0" w:color="auto"/>
                      </w:divBdr>
                    </w:div>
                  </w:divsChild>
                </w:div>
                <w:div w:id="1600985144">
                  <w:marLeft w:val="0"/>
                  <w:marRight w:val="0"/>
                  <w:marTop w:val="0"/>
                  <w:marBottom w:val="0"/>
                  <w:divBdr>
                    <w:top w:val="none" w:sz="0" w:space="0" w:color="auto"/>
                    <w:left w:val="none" w:sz="0" w:space="0" w:color="auto"/>
                    <w:bottom w:val="none" w:sz="0" w:space="0" w:color="auto"/>
                    <w:right w:val="none" w:sz="0" w:space="0" w:color="auto"/>
                  </w:divBdr>
                  <w:divsChild>
                    <w:div w:id="1601140780">
                      <w:marLeft w:val="0"/>
                      <w:marRight w:val="0"/>
                      <w:marTop w:val="0"/>
                      <w:marBottom w:val="0"/>
                      <w:divBdr>
                        <w:top w:val="none" w:sz="0" w:space="0" w:color="auto"/>
                        <w:left w:val="none" w:sz="0" w:space="0" w:color="auto"/>
                        <w:bottom w:val="none" w:sz="0" w:space="0" w:color="auto"/>
                        <w:right w:val="none" w:sz="0" w:space="0" w:color="auto"/>
                      </w:divBdr>
                    </w:div>
                  </w:divsChild>
                </w:div>
                <w:div w:id="1606385054">
                  <w:marLeft w:val="0"/>
                  <w:marRight w:val="0"/>
                  <w:marTop w:val="0"/>
                  <w:marBottom w:val="0"/>
                  <w:divBdr>
                    <w:top w:val="none" w:sz="0" w:space="0" w:color="auto"/>
                    <w:left w:val="none" w:sz="0" w:space="0" w:color="auto"/>
                    <w:bottom w:val="none" w:sz="0" w:space="0" w:color="auto"/>
                    <w:right w:val="none" w:sz="0" w:space="0" w:color="auto"/>
                  </w:divBdr>
                  <w:divsChild>
                    <w:div w:id="1163357975">
                      <w:marLeft w:val="0"/>
                      <w:marRight w:val="0"/>
                      <w:marTop w:val="0"/>
                      <w:marBottom w:val="0"/>
                      <w:divBdr>
                        <w:top w:val="none" w:sz="0" w:space="0" w:color="auto"/>
                        <w:left w:val="none" w:sz="0" w:space="0" w:color="auto"/>
                        <w:bottom w:val="none" w:sz="0" w:space="0" w:color="auto"/>
                        <w:right w:val="none" w:sz="0" w:space="0" w:color="auto"/>
                      </w:divBdr>
                    </w:div>
                  </w:divsChild>
                </w:div>
                <w:div w:id="1615014723">
                  <w:marLeft w:val="0"/>
                  <w:marRight w:val="0"/>
                  <w:marTop w:val="0"/>
                  <w:marBottom w:val="0"/>
                  <w:divBdr>
                    <w:top w:val="none" w:sz="0" w:space="0" w:color="auto"/>
                    <w:left w:val="none" w:sz="0" w:space="0" w:color="auto"/>
                    <w:bottom w:val="none" w:sz="0" w:space="0" w:color="auto"/>
                    <w:right w:val="none" w:sz="0" w:space="0" w:color="auto"/>
                  </w:divBdr>
                  <w:divsChild>
                    <w:div w:id="71046815">
                      <w:marLeft w:val="0"/>
                      <w:marRight w:val="0"/>
                      <w:marTop w:val="0"/>
                      <w:marBottom w:val="0"/>
                      <w:divBdr>
                        <w:top w:val="none" w:sz="0" w:space="0" w:color="auto"/>
                        <w:left w:val="none" w:sz="0" w:space="0" w:color="auto"/>
                        <w:bottom w:val="none" w:sz="0" w:space="0" w:color="auto"/>
                        <w:right w:val="none" w:sz="0" w:space="0" w:color="auto"/>
                      </w:divBdr>
                    </w:div>
                  </w:divsChild>
                </w:div>
                <w:div w:id="1647660593">
                  <w:marLeft w:val="0"/>
                  <w:marRight w:val="0"/>
                  <w:marTop w:val="0"/>
                  <w:marBottom w:val="0"/>
                  <w:divBdr>
                    <w:top w:val="none" w:sz="0" w:space="0" w:color="auto"/>
                    <w:left w:val="none" w:sz="0" w:space="0" w:color="auto"/>
                    <w:bottom w:val="none" w:sz="0" w:space="0" w:color="auto"/>
                    <w:right w:val="none" w:sz="0" w:space="0" w:color="auto"/>
                  </w:divBdr>
                  <w:divsChild>
                    <w:div w:id="1086072460">
                      <w:marLeft w:val="0"/>
                      <w:marRight w:val="0"/>
                      <w:marTop w:val="0"/>
                      <w:marBottom w:val="0"/>
                      <w:divBdr>
                        <w:top w:val="none" w:sz="0" w:space="0" w:color="auto"/>
                        <w:left w:val="none" w:sz="0" w:space="0" w:color="auto"/>
                        <w:bottom w:val="none" w:sz="0" w:space="0" w:color="auto"/>
                        <w:right w:val="none" w:sz="0" w:space="0" w:color="auto"/>
                      </w:divBdr>
                    </w:div>
                  </w:divsChild>
                </w:div>
                <w:div w:id="1676155415">
                  <w:marLeft w:val="0"/>
                  <w:marRight w:val="0"/>
                  <w:marTop w:val="0"/>
                  <w:marBottom w:val="0"/>
                  <w:divBdr>
                    <w:top w:val="none" w:sz="0" w:space="0" w:color="auto"/>
                    <w:left w:val="none" w:sz="0" w:space="0" w:color="auto"/>
                    <w:bottom w:val="none" w:sz="0" w:space="0" w:color="auto"/>
                    <w:right w:val="none" w:sz="0" w:space="0" w:color="auto"/>
                  </w:divBdr>
                  <w:divsChild>
                    <w:div w:id="1118111440">
                      <w:marLeft w:val="0"/>
                      <w:marRight w:val="0"/>
                      <w:marTop w:val="0"/>
                      <w:marBottom w:val="0"/>
                      <w:divBdr>
                        <w:top w:val="none" w:sz="0" w:space="0" w:color="auto"/>
                        <w:left w:val="none" w:sz="0" w:space="0" w:color="auto"/>
                        <w:bottom w:val="none" w:sz="0" w:space="0" w:color="auto"/>
                        <w:right w:val="none" w:sz="0" w:space="0" w:color="auto"/>
                      </w:divBdr>
                    </w:div>
                  </w:divsChild>
                </w:div>
                <w:div w:id="1679767613">
                  <w:marLeft w:val="0"/>
                  <w:marRight w:val="0"/>
                  <w:marTop w:val="0"/>
                  <w:marBottom w:val="0"/>
                  <w:divBdr>
                    <w:top w:val="none" w:sz="0" w:space="0" w:color="auto"/>
                    <w:left w:val="none" w:sz="0" w:space="0" w:color="auto"/>
                    <w:bottom w:val="none" w:sz="0" w:space="0" w:color="auto"/>
                    <w:right w:val="none" w:sz="0" w:space="0" w:color="auto"/>
                  </w:divBdr>
                  <w:divsChild>
                    <w:div w:id="760179255">
                      <w:marLeft w:val="0"/>
                      <w:marRight w:val="0"/>
                      <w:marTop w:val="0"/>
                      <w:marBottom w:val="0"/>
                      <w:divBdr>
                        <w:top w:val="none" w:sz="0" w:space="0" w:color="auto"/>
                        <w:left w:val="none" w:sz="0" w:space="0" w:color="auto"/>
                        <w:bottom w:val="none" w:sz="0" w:space="0" w:color="auto"/>
                        <w:right w:val="none" w:sz="0" w:space="0" w:color="auto"/>
                      </w:divBdr>
                    </w:div>
                  </w:divsChild>
                </w:div>
                <w:div w:id="1679967756">
                  <w:marLeft w:val="0"/>
                  <w:marRight w:val="0"/>
                  <w:marTop w:val="0"/>
                  <w:marBottom w:val="0"/>
                  <w:divBdr>
                    <w:top w:val="none" w:sz="0" w:space="0" w:color="auto"/>
                    <w:left w:val="none" w:sz="0" w:space="0" w:color="auto"/>
                    <w:bottom w:val="none" w:sz="0" w:space="0" w:color="auto"/>
                    <w:right w:val="none" w:sz="0" w:space="0" w:color="auto"/>
                  </w:divBdr>
                  <w:divsChild>
                    <w:div w:id="1756124569">
                      <w:marLeft w:val="0"/>
                      <w:marRight w:val="0"/>
                      <w:marTop w:val="0"/>
                      <w:marBottom w:val="0"/>
                      <w:divBdr>
                        <w:top w:val="none" w:sz="0" w:space="0" w:color="auto"/>
                        <w:left w:val="none" w:sz="0" w:space="0" w:color="auto"/>
                        <w:bottom w:val="none" w:sz="0" w:space="0" w:color="auto"/>
                        <w:right w:val="none" w:sz="0" w:space="0" w:color="auto"/>
                      </w:divBdr>
                    </w:div>
                  </w:divsChild>
                </w:div>
                <w:div w:id="1684044302">
                  <w:marLeft w:val="0"/>
                  <w:marRight w:val="0"/>
                  <w:marTop w:val="0"/>
                  <w:marBottom w:val="0"/>
                  <w:divBdr>
                    <w:top w:val="none" w:sz="0" w:space="0" w:color="auto"/>
                    <w:left w:val="none" w:sz="0" w:space="0" w:color="auto"/>
                    <w:bottom w:val="none" w:sz="0" w:space="0" w:color="auto"/>
                    <w:right w:val="none" w:sz="0" w:space="0" w:color="auto"/>
                  </w:divBdr>
                  <w:divsChild>
                    <w:div w:id="1388188469">
                      <w:marLeft w:val="0"/>
                      <w:marRight w:val="0"/>
                      <w:marTop w:val="0"/>
                      <w:marBottom w:val="0"/>
                      <w:divBdr>
                        <w:top w:val="none" w:sz="0" w:space="0" w:color="auto"/>
                        <w:left w:val="none" w:sz="0" w:space="0" w:color="auto"/>
                        <w:bottom w:val="none" w:sz="0" w:space="0" w:color="auto"/>
                        <w:right w:val="none" w:sz="0" w:space="0" w:color="auto"/>
                      </w:divBdr>
                    </w:div>
                  </w:divsChild>
                </w:div>
                <w:div w:id="1696812558">
                  <w:marLeft w:val="0"/>
                  <w:marRight w:val="0"/>
                  <w:marTop w:val="0"/>
                  <w:marBottom w:val="0"/>
                  <w:divBdr>
                    <w:top w:val="none" w:sz="0" w:space="0" w:color="auto"/>
                    <w:left w:val="none" w:sz="0" w:space="0" w:color="auto"/>
                    <w:bottom w:val="none" w:sz="0" w:space="0" w:color="auto"/>
                    <w:right w:val="none" w:sz="0" w:space="0" w:color="auto"/>
                  </w:divBdr>
                  <w:divsChild>
                    <w:div w:id="1390693657">
                      <w:marLeft w:val="0"/>
                      <w:marRight w:val="0"/>
                      <w:marTop w:val="0"/>
                      <w:marBottom w:val="0"/>
                      <w:divBdr>
                        <w:top w:val="none" w:sz="0" w:space="0" w:color="auto"/>
                        <w:left w:val="none" w:sz="0" w:space="0" w:color="auto"/>
                        <w:bottom w:val="none" w:sz="0" w:space="0" w:color="auto"/>
                        <w:right w:val="none" w:sz="0" w:space="0" w:color="auto"/>
                      </w:divBdr>
                    </w:div>
                  </w:divsChild>
                </w:div>
                <w:div w:id="1704817207">
                  <w:marLeft w:val="0"/>
                  <w:marRight w:val="0"/>
                  <w:marTop w:val="0"/>
                  <w:marBottom w:val="0"/>
                  <w:divBdr>
                    <w:top w:val="none" w:sz="0" w:space="0" w:color="auto"/>
                    <w:left w:val="none" w:sz="0" w:space="0" w:color="auto"/>
                    <w:bottom w:val="none" w:sz="0" w:space="0" w:color="auto"/>
                    <w:right w:val="none" w:sz="0" w:space="0" w:color="auto"/>
                  </w:divBdr>
                  <w:divsChild>
                    <w:div w:id="1780950425">
                      <w:marLeft w:val="0"/>
                      <w:marRight w:val="0"/>
                      <w:marTop w:val="0"/>
                      <w:marBottom w:val="0"/>
                      <w:divBdr>
                        <w:top w:val="none" w:sz="0" w:space="0" w:color="auto"/>
                        <w:left w:val="none" w:sz="0" w:space="0" w:color="auto"/>
                        <w:bottom w:val="none" w:sz="0" w:space="0" w:color="auto"/>
                        <w:right w:val="none" w:sz="0" w:space="0" w:color="auto"/>
                      </w:divBdr>
                    </w:div>
                  </w:divsChild>
                </w:div>
                <w:div w:id="1714576469">
                  <w:marLeft w:val="0"/>
                  <w:marRight w:val="0"/>
                  <w:marTop w:val="0"/>
                  <w:marBottom w:val="0"/>
                  <w:divBdr>
                    <w:top w:val="none" w:sz="0" w:space="0" w:color="auto"/>
                    <w:left w:val="none" w:sz="0" w:space="0" w:color="auto"/>
                    <w:bottom w:val="none" w:sz="0" w:space="0" w:color="auto"/>
                    <w:right w:val="none" w:sz="0" w:space="0" w:color="auto"/>
                  </w:divBdr>
                  <w:divsChild>
                    <w:div w:id="1794250980">
                      <w:marLeft w:val="0"/>
                      <w:marRight w:val="0"/>
                      <w:marTop w:val="0"/>
                      <w:marBottom w:val="0"/>
                      <w:divBdr>
                        <w:top w:val="none" w:sz="0" w:space="0" w:color="auto"/>
                        <w:left w:val="none" w:sz="0" w:space="0" w:color="auto"/>
                        <w:bottom w:val="none" w:sz="0" w:space="0" w:color="auto"/>
                        <w:right w:val="none" w:sz="0" w:space="0" w:color="auto"/>
                      </w:divBdr>
                    </w:div>
                  </w:divsChild>
                </w:div>
                <w:div w:id="1727683868">
                  <w:marLeft w:val="0"/>
                  <w:marRight w:val="0"/>
                  <w:marTop w:val="0"/>
                  <w:marBottom w:val="0"/>
                  <w:divBdr>
                    <w:top w:val="none" w:sz="0" w:space="0" w:color="auto"/>
                    <w:left w:val="none" w:sz="0" w:space="0" w:color="auto"/>
                    <w:bottom w:val="none" w:sz="0" w:space="0" w:color="auto"/>
                    <w:right w:val="none" w:sz="0" w:space="0" w:color="auto"/>
                  </w:divBdr>
                  <w:divsChild>
                    <w:div w:id="1255091763">
                      <w:marLeft w:val="0"/>
                      <w:marRight w:val="0"/>
                      <w:marTop w:val="0"/>
                      <w:marBottom w:val="0"/>
                      <w:divBdr>
                        <w:top w:val="none" w:sz="0" w:space="0" w:color="auto"/>
                        <w:left w:val="none" w:sz="0" w:space="0" w:color="auto"/>
                        <w:bottom w:val="none" w:sz="0" w:space="0" w:color="auto"/>
                        <w:right w:val="none" w:sz="0" w:space="0" w:color="auto"/>
                      </w:divBdr>
                    </w:div>
                  </w:divsChild>
                </w:div>
                <w:div w:id="1745103041">
                  <w:marLeft w:val="0"/>
                  <w:marRight w:val="0"/>
                  <w:marTop w:val="0"/>
                  <w:marBottom w:val="0"/>
                  <w:divBdr>
                    <w:top w:val="none" w:sz="0" w:space="0" w:color="auto"/>
                    <w:left w:val="none" w:sz="0" w:space="0" w:color="auto"/>
                    <w:bottom w:val="none" w:sz="0" w:space="0" w:color="auto"/>
                    <w:right w:val="none" w:sz="0" w:space="0" w:color="auto"/>
                  </w:divBdr>
                  <w:divsChild>
                    <w:div w:id="97407975">
                      <w:marLeft w:val="0"/>
                      <w:marRight w:val="0"/>
                      <w:marTop w:val="0"/>
                      <w:marBottom w:val="0"/>
                      <w:divBdr>
                        <w:top w:val="none" w:sz="0" w:space="0" w:color="auto"/>
                        <w:left w:val="none" w:sz="0" w:space="0" w:color="auto"/>
                        <w:bottom w:val="none" w:sz="0" w:space="0" w:color="auto"/>
                        <w:right w:val="none" w:sz="0" w:space="0" w:color="auto"/>
                      </w:divBdr>
                    </w:div>
                  </w:divsChild>
                </w:div>
                <w:div w:id="1752392208">
                  <w:marLeft w:val="0"/>
                  <w:marRight w:val="0"/>
                  <w:marTop w:val="0"/>
                  <w:marBottom w:val="0"/>
                  <w:divBdr>
                    <w:top w:val="none" w:sz="0" w:space="0" w:color="auto"/>
                    <w:left w:val="none" w:sz="0" w:space="0" w:color="auto"/>
                    <w:bottom w:val="none" w:sz="0" w:space="0" w:color="auto"/>
                    <w:right w:val="none" w:sz="0" w:space="0" w:color="auto"/>
                  </w:divBdr>
                  <w:divsChild>
                    <w:div w:id="618142898">
                      <w:marLeft w:val="0"/>
                      <w:marRight w:val="0"/>
                      <w:marTop w:val="0"/>
                      <w:marBottom w:val="0"/>
                      <w:divBdr>
                        <w:top w:val="none" w:sz="0" w:space="0" w:color="auto"/>
                        <w:left w:val="none" w:sz="0" w:space="0" w:color="auto"/>
                        <w:bottom w:val="none" w:sz="0" w:space="0" w:color="auto"/>
                        <w:right w:val="none" w:sz="0" w:space="0" w:color="auto"/>
                      </w:divBdr>
                    </w:div>
                  </w:divsChild>
                </w:div>
                <w:div w:id="1763448194">
                  <w:marLeft w:val="0"/>
                  <w:marRight w:val="0"/>
                  <w:marTop w:val="0"/>
                  <w:marBottom w:val="0"/>
                  <w:divBdr>
                    <w:top w:val="none" w:sz="0" w:space="0" w:color="auto"/>
                    <w:left w:val="none" w:sz="0" w:space="0" w:color="auto"/>
                    <w:bottom w:val="none" w:sz="0" w:space="0" w:color="auto"/>
                    <w:right w:val="none" w:sz="0" w:space="0" w:color="auto"/>
                  </w:divBdr>
                  <w:divsChild>
                    <w:div w:id="380979715">
                      <w:marLeft w:val="0"/>
                      <w:marRight w:val="0"/>
                      <w:marTop w:val="0"/>
                      <w:marBottom w:val="0"/>
                      <w:divBdr>
                        <w:top w:val="none" w:sz="0" w:space="0" w:color="auto"/>
                        <w:left w:val="none" w:sz="0" w:space="0" w:color="auto"/>
                        <w:bottom w:val="none" w:sz="0" w:space="0" w:color="auto"/>
                        <w:right w:val="none" w:sz="0" w:space="0" w:color="auto"/>
                      </w:divBdr>
                    </w:div>
                  </w:divsChild>
                </w:div>
                <w:div w:id="1771268951">
                  <w:marLeft w:val="0"/>
                  <w:marRight w:val="0"/>
                  <w:marTop w:val="0"/>
                  <w:marBottom w:val="0"/>
                  <w:divBdr>
                    <w:top w:val="none" w:sz="0" w:space="0" w:color="auto"/>
                    <w:left w:val="none" w:sz="0" w:space="0" w:color="auto"/>
                    <w:bottom w:val="none" w:sz="0" w:space="0" w:color="auto"/>
                    <w:right w:val="none" w:sz="0" w:space="0" w:color="auto"/>
                  </w:divBdr>
                  <w:divsChild>
                    <w:div w:id="1326204212">
                      <w:marLeft w:val="0"/>
                      <w:marRight w:val="0"/>
                      <w:marTop w:val="0"/>
                      <w:marBottom w:val="0"/>
                      <w:divBdr>
                        <w:top w:val="none" w:sz="0" w:space="0" w:color="auto"/>
                        <w:left w:val="none" w:sz="0" w:space="0" w:color="auto"/>
                        <w:bottom w:val="none" w:sz="0" w:space="0" w:color="auto"/>
                        <w:right w:val="none" w:sz="0" w:space="0" w:color="auto"/>
                      </w:divBdr>
                    </w:div>
                  </w:divsChild>
                </w:div>
                <w:div w:id="1791318742">
                  <w:marLeft w:val="0"/>
                  <w:marRight w:val="0"/>
                  <w:marTop w:val="0"/>
                  <w:marBottom w:val="0"/>
                  <w:divBdr>
                    <w:top w:val="none" w:sz="0" w:space="0" w:color="auto"/>
                    <w:left w:val="none" w:sz="0" w:space="0" w:color="auto"/>
                    <w:bottom w:val="none" w:sz="0" w:space="0" w:color="auto"/>
                    <w:right w:val="none" w:sz="0" w:space="0" w:color="auto"/>
                  </w:divBdr>
                  <w:divsChild>
                    <w:div w:id="1042437949">
                      <w:marLeft w:val="0"/>
                      <w:marRight w:val="0"/>
                      <w:marTop w:val="0"/>
                      <w:marBottom w:val="0"/>
                      <w:divBdr>
                        <w:top w:val="none" w:sz="0" w:space="0" w:color="auto"/>
                        <w:left w:val="none" w:sz="0" w:space="0" w:color="auto"/>
                        <w:bottom w:val="none" w:sz="0" w:space="0" w:color="auto"/>
                        <w:right w:val="none" w:sz="0" w:space="0" w:color="auto"/>
                      </w:divBdr>
                    </w:div>
                  </w:divsChild>
                </w:div>
                <w:div w:id="1824272391">
                  <w:marLeft w:val="0"/>
                  <w:marRight w:val="0"/>
                  <w:marTop w:val="0"/>
                  <w:marBottom w:val="0"/>
                  <w:divBdr>
                    <w:top w:val="none" w:sz="0" w:space="0" w:color="auto"/>
                    <w:left w:val="none" w:sz="0" w:space="0" w:color="auto"/>
                    <w:bottom w:val="none" w:sz="0" w:space="0" w:color="auto"/>
                    <w:right w:val="none" w:sz="0" w:space="0" w:color="auto"/>
                  </w:divBdr>
                  <w:divsChild>
                    <w:div w:id="72315985">
                      <w:marLeft w:val="0"/>
                      <w:marRight w:val="0"/>
                      <w:marTop w:val="0"/>
                      <w:marBottom w:val="0"/>
                      <w:divBdr>
                        <w:top w:val="none" w:sz="0" w:space="0" w:color="auto"/>
                        <w:left w:val="none" w:sz="0" w:space="0" w:color="auto"/>
                        <w:bottom w:val="none" w:sz="0" w:space="0" w:color="auto"/>
                        <w:right w:val="none" w:sz="0" w:space="0" w:color="auto"/>
                      </w:divBdr>
                    </w:div>
                  </w:divsChild>
                </w:div>
                <w:div w:id="1844782141">
                  <w:marLeft w:val="0"/>
                  <w:marRight w:val="0"/>
                  <w:marTop w:val="0"/>
                  <w:marBottom w:val="0"/>
                  <w:divBdr>
                    <w:top w:val="none" w:sz="0" w:space="0" w:color="auto"/>
                    <w:left w:val="none" w:sz="0" w:space="0" w:color="auto"/>
                    <w:bottom w:val="none" w:sz="0" w:space="0" w:color="auto"/>
                    <w:right w:val="none" w:sz="0" w:space="0" w:color="auto"/>
                  </w:divBdr>
                  <w:divsChild>
                    <w:div w:id="69549046">
                      <w:marLeft w:val="0"/>
                      <w:marRight w:val="0"/>
                      <w:marTop w:val="0"/>
                      <w:marBottom w:val="0"/>
                      <w:divBdr>
                        <w:top w:val="none" w:sz="0" w:space="0" w:color="auto"/>
                        <w:left w:val="none" w:sz="0" w:space="0" w:color="auto"/>
                        <w:bottom w:val="none" w:sz="0" w:space="0" w:color="auto"/>
                        <w:right w:val="none" w:sz="0" w:space="0" w:color="auto"/>
                      </w:divBdr>
                    </w:div>
                  </w:divsChild>
                </w:div>
                <w:div w:id="1863399296">
                  <w:marLeft w:val="0"/>
                  <w:marRight w:val="0"/>
                  <w:marTop w:val="0"/>
                  <w:marBottom w:val="0"/>
                  <w:divBdr>
                    <w:top w:val="none" w:sz="0" w:space="0" w:color="auto"/>
                    <w:left w:val="none" w:sz="0" w:space="0" w:color="auto"/>
                    <w:bottom w:val="none" w:sz="0" w:space="0" w:color="auto"/>
                    <w:right w:val="none" w:sz="0" w:space="0" w:color="auto"/>
                  </w:divBdr>
                  <w:divsChild>
                    <w:div w:id="1688867827">
                      <w:marLeft w:val="0"/>
                      <w:marRight w:val="0"/>
                      <w:marTop w:val="0"/>
                      <w:marBottom w:val="0"/>
                      <w:divBdr>
                        <w:top w:val="none" w:sz="0" w:space="0" w:color="auto"/>
                        <w:left w:val="none" w:sz="0" w:space="0" w:color="auto"/>
                        <w:bottom w:val="none" w:sz="0" w:space="0" w:color="auto"/>
                        <w:right w:val="none" w:sz="0" w:space="0" w:color="auto"/>
                      </w:divBdr>
                    </w:div>
                  </w:divsChild>
                </w:div>
                <w:div w:id="1868711253">
                  <w:marLeft w:val="0"/>
                  <w:marRight w:val="0"/>
                  <w:marTop w:val="0"/>
                  <w:marBottom w:val="0"/>
                  <w:divBdr>
                    <w:top w:val="none" w:sz="0" w:space="0" w:color="auto"/>
                    <w:left w:val="none" w:sz="0" w:space="0" w:color="auto"/>
                    <w:bottom w:val="none" w:sz="0" w:space="0" w:color="auto"/>
                    <w:right w:val="none" w:sz="0" w:space="0" w:color="auto"/>
                  </w:divBdr>
                  <w:divsChild>
                    <w:div w:id="759762668">
                      <w:marLeft w:val="0"/>
                      <w:marRight w:val="0"/>
                      <w:marTop w:val="0"/>
                      <w:marBottom w:val="0"/>
                      <w:divBdr>
                        <w:top w:val="none" w:sz="0" w:space="0" w:color="auto"/>
                        <w:left w:val="none" w:sz="0" w:space="0" w:color="auto"/>
                        <w:bottom w:val="none" w:sz="0" w:space="0" w:color="auto"/>
                        <w:right w:val="none" w:sz="0" w:space="0" w:color="auto"/>
                      </w:divBdr>
                    </w:div>
                  </w:divsChild>
                </w:div>
                <w:div w:id="1869172824">
                  <w:marLeft w:val="0"/>
                  <w:marRight w:val="0"/>
                  <w:marTop w:val="0"/>
                  <w:marBottom w:val="0"/>
                  <w:divBdr>
                    <w:top w:val="none" w:sz="0" w:space="0" w:color="auto"/>
                    <w:left w:val="none" w:sz="0" w:space="0" w:color="auto"/>
                    <w:bottom w:val="none" w:sz="0" w:space="0" w:color="auto"/>
                    <w:right w:val="none" w:sz="0" w:space="0" w:color="auto"/>
                  </w:divBdr>
                  <w:divsChild>
                    <w:div w:id="1044215152">
                      <w:marLeft w:val="0"/>
                      <w:marRight w:val="0"/>
                      <w:marTop w:val="0"/>
                      <w:marBottom w:val="0"/>
                      <w:divBdr>
                        <w:top w:val="none" w:sz="0" w:space="0" w:color="auto"/>
                        <w:left w:val="none" w:sz="0" w:space="0" w:color="auto"/>
                        <w:bottom w:val="none" w:sz="0" w:space="0" w:color="auto"/>
                        <w:right w:val="none" w:sz="0" w:space="0" w:color="auto"/>
                      </w:divBdr>
                    </w:div>
                  </w:divsChild>
                </w:div>
                <w:div w:id="1880314300">
                  <w:marLeft w:val="0"/>
                  <w:marRight w:val="0"/>
                  <w:marTop w:val="0"/>
                  <w:marBottom w:val="0"/>
                  <w:divBdr>
                    <w:top w:val="none" w:sz="0" w:space="0" w:color="auto"/>
                    <w:left w:val="none" w:sz="0" w:space="0" w:color="auto"/>
                    <w:bottom w:val="none" w:sz="0" w:space="0" w:color="auto"/>
                    <w:right w:val="none" w:sz="0" w:space="0" w:color="auto"/>
                  </w:divBdr>
                  <w:divsChild>
                    <w:div w:id="1725568118">
                      <w:marLeft w:val="0"/>
                      <w:marRight w:val="0"/>
                      <w:marTop w:val="0"/>
                      <w:marBottom w:val="0"/>
                      <w:divBdr>
                        <w:top w:val="none" w:sz="0" w:space="0" w:color="auto"/>
                        <w:left w:val="none" w:sz="0" w:space="0" w:color="auto"/>
                        <w:bottom w:val="none" w:sz="0" w:space="0" w:color="auto"/>
                        <w:right w:val="none" w:sz="0" w:space="0" w:color="auto"/>
                      </w:divBdr>
                    </w:div>
                  </w:divsChild>
                </w:div>
                <w:div w:id="1897205775">
                  <w:marLeft w:val="0"/>
                  <w:marRight w:val="0"/>
                  <w:marTop w:val="0"/>
                  <w:marBottom w:val="0"/>
                  <w:divBdr>
                    <w:top w:val="none" w:sz="0" w:space="0" w:color="auto"/>
                    <w:left w:val="none" w:sz="0" w:space="0" w:color="auto"/>
                    <w:bottom w:val="none" w:sz="0" w:space="0" w:color="auto"/>
                    <w:right w:val="none" w:sz="0" w:space="0" w:color="auto"/>
                  </w:divBdr>
                  <w:divsChild>
                    <w:div w:id="1723403988">
                      <w:marLeft w:val="0"/>
                      <w:marRight w:val="0"/>
                      <w:marTop w:val="0"/>
                      <w:marBottom w:val="0"/>
                      <w:divBdr>
                        <w:top w:val="none" w:sz="0" w:space="0" w:color="auto"/>
                        <w:left w:val="none" w:sz="0" w:space="0" w:color="auto"/>
                        <w:bottom w:val="none" w:sz="0" w:space="0" w:color="auto"/>
                        <w:right w:val="none" w:sz="0" w:space="0" w:color="auto"/>
                      </w:divBdr>
                    </w:div>
                  </w:divsChild>
                </w:div>
                <w:div w:id="1902015333">
                  <w:marLeft w:val="0"/>
                  <w:marRight w:val="0"/>
                  <w:marTop w:val="0"/>
                  <w:marBottom w:val="0"/>
                  <w:divBdr>
                    <w:top w:val="none" w:sz="0" w:space="0" w:color="auto"/>
                    <w:left w:val="none" w:sz="0" w:space="0" w:color="auto"/>
                    <w:bottom w:val="none" w:sz="0" w:space="0" w:color="auto"/>
                    <w:right w:val="none" w:sz="0" w:space="0" w:color="auto"/>
                  </w:divBdr>
                  <w:divsChild>
                    <w:div w:id="753361783">
                      <w:marLeft w:val="0"/>
                      <w:marRight w:val="0"/>
                      <w:marTop w:val="0"/>
                      <w:marBottom w:val="0"/>
                      <w:divBdr>
                        <w:top w:val="none" w:sz="0" w:space="0" w:color="auto"/>
                        <w:left w:val="none" w:sz="0" w:space="0" w:color="auto"/>
                        <w:bottom w:val="none" w:sz="0" w:space="0" w:color="auto"/>
                        <w:right w:val="none" w:sz="0" w:space="0" w:color="auto"/>
                      </w:divBdr>
                    </w:div>
                  </w:divsChild>
                </w:div>
                <w:div w:id="1951815032">
                  <w:marLeft w:val="0"/>
                  <w:marRight w:val="0"/>
                  <w:marTop w:val="0"/>
                  <w:marBottom w:val="0"/>
                  <w:divBdr>
                    <w:top w:val="none" w:sz="0" w:space="0" w:color="auto"/>
                    <w:left w:val="none" w:sz="0" w:space="0" w:color="auto"/>
                    <w:bottom w:val="none" w:sz="0" w:space="0" w:color="auto"/>
                    <w:right w:val="none" w:sz="0" w:space="0" w:color="auto"/>
                  </w:divBdr>
                  <w:divsChild>
                    <w:div w:id="2086682318">
                      <w:marLeft w:val="0"/>
                      <w:marRight w:val="0"/>
                      <w:marTop w:val="0"/>
                      <w:marBottom w:val="0"/>
                      <w:divBdr>
                        <w:top w:val="none" w:sz="0" w:space="0" w:color="auto"/>
                        <w:left w:val="none" w:sz="0" w:space="0" w:color="auto"/>
                        <w:bottom w:val="none" w:sz="0" w:space="0" w:color="auto"/>
                        <w:right w:val="none" w:sz="0" w:space="0" w:color="auto"/>
                      </w:divBdr>
                    </w:div>
                  </w:divsChild>
                </w:div>
                <w:div w:id="1954558724">
                  <w:marLeft w:val="0"/>
                  <w:marRight w:val="0"/>
                  <w:marTop w:val="0"/>
                  <w:marBottom w:val="0"/>
                  <w:divBdr>
                    <w:top w:val="none" w:sz="0" w:space="0" w:color="auto"/>
                    <w:left w:val="none" w:sz="0" w:space="0" w:color="auto"/>
                    <w:bottom w:val="none" w:sz="0" w:space="0" w:color="auto"/>
                    <w:right w:val="none" w:sz="0" w:space="0" w:color="auto"/>
                  </w:divBdr>
                  <w:divsChild>
                    <w:div w:id="1411344885">
                      <w:marLeft w:val="0"/>
                      <w:marRight w:val="0"/>
                      <w:marTop w:val="0"/>
                      <w:marBottom w:val="0"/>
                      <w:divBdr>
                        <w:top w:val="none" w:sz="0" w:space="0" w:color="auto"/>
                        <w:left w:val="none" w:sz="0" w:space="0" w:color="auto"/>
                        <w:bottom w:val="none" w:sz="0" w:space="0" w:color="auto"/>
                        <w:right w:val="none" w:sz="0" w:space="0" w:color="auto"/>
                      </w:divBdr>
                    </w:div>
                  </w:divsChild>
                </w:div>
                <w:div w:id="1962880922">
                  <w:marLeft w:val="0"/>
                  <w:marRight w:val="0"/>
                  <w:marTop w:val="0"/>
                  <w:marBottom w:val="0"/>
                  <w:divBdr>
                    <w:top w:val="none" w:sz="0" w:space="0" w:color="auto"/>
                    <w:left w:val="none" w:sz="0" w:space="0" w:color="auto"/>
                    <w:bottom w:val="none" w:sz="0" w:space="0" w:color="auto"/>
                    <w:right w:val="none" w:sz="0" w:space="0" w:color="auto"/>
                  </w:divBdr>
                  <w:divsChild>
                    <w:div w:id="1004043996">
                      <w:marLeft w:val="0"/>
                      <w:marRight w:val="0"/>
                      <w:marTop w:val="0"/>
                      <w:marBottom w:val="0"/>
                      <w:divBdr>
                        <w:top w:val="none" w:sz="0" w:space="0" w:color="auto"/>
                        <w:left w:val="none" w:sz="0" w:space="0" w:color="auto"/>
                        <w:bottom w:val="none" w:sz="0" w:space="0" w:color="auto"/>
                        <w:right w:val="none" w:sz="0" w:space="0" w:color="auto"/>
                      </w:divBdr>
                    </w:div>
                  </w:divsChild>
                </w:div>
                <w:div w:id="1993218571">
                  <w:marLeft w:val="0"/>
                  <w:marRight w:val="0"/>
                  <w:marTop w:val="0"/>
                  <w:marBottom w:val="0"/>
                  <w:divBdr>
                    <w:top w:val="none" w:sz="0" w:space="0" w:color="auto"/>
                    <w:left w:val="none" w:sz="0" w:space="0" w:color="auto"/>
                    <w:bottom w:val="none" w:sz="0" w:space="0" w:color="auto"/>
                    <w:right w:val="none" w:sz="0" w:space="0" w:color="auto"/>
                  </w:divBdr>
                  <w:divsChild>
                    <w:div w:id="745493716">
                      <w:marLeft w:val="0"/>
                      <w:marRight w:val="0"/>
                      <w:marTop w:val="0"/>
                      <w:marBottom w:val="0"/>
                      <w:divBdr>
                        <w:top w:val="none" w:sz="0" w:space="0" w:color="auto"/>
                        <w:left w:val="none" w:sz="0" w:space="0" w:color="auto"/>
                        <w:bottom w:val="none" w:sz="0" w:space="0" w:color="auto"/>
                        <w:right w:val="none" w:sz="0" w:space="0" w:color="auto"/>
                      </w:divBdr>
                    </w:div>
                  </w:divsChild>
                </w:div>
                <w:div w:id="1996647344">
                  <w:marLeft w:val="0"/>
                  <w:marRight w:val="0"/>
                  <w:marTop w:val="0"/>
                  <w:marBottom w:val="0"/>
                  <w:divBdr>
                    <w:top w:val="none" w:sz="0" w:space="0" w:color="auto"/>
                    <w:left w:val="none" w:sz="0" w:space="0" w:color="auto"/>
                    <w:bottom w:val="none" w:sz="0" w:space="0" w:color="auto"/>
                    <w:right w:val="none" w:sz="0" w:space="0" w:color="auto"/>
                  </w:divBdr>
                  <w:divsChild>
                    <w:div w:id="1138449197">
                      <w:marLeft w:val="0"/>
                      <w:marRight w:val="0"/>
                      <w:marTop w:val="0"/>
                      <w:marBottom w:val="0"/>
                      <w:divBdr>
                        <w:top w:val="none" w:sz="0" w:space="0" w:color="auto"/>
                        <w:left w:val="none" w:sz="0" w:space="0" w:color="auto"/>
                        <w:bottom w:val="none" w:sz="0" w:space="0" w:color="auto"/>
                        <w:right w:val="none" w:sz="0" w:space="0" w:color="auto"/>
                      </w:divBdr>
                    </w:div>
                  </w:divsChild>
                </w:div>
                <w:div w:id="2011251838">
                  <w:marLeft w:val="0"/>
                  <w:marRight w:val="0"/>
                  <w:marTop w:val="0"/>
                  <w:marBottom w:val="0"/>
                  <w:divBdr>
                    <w:top w:val="none" w:sz="0" w:space="0" w:color="auto"/>
                    <w:left w:val="none" w:sz="0" w:space="0" w:color="auto"/>
                    <w:bottom w:val="none" w:sz="0" w:space="0" w:color="auto"/>
                    <w:right w:val="none" w:sz="0" w:space="0" w:color="auto"/>
                  </w:divBdr>
                  <w:divsChild>
                    <w:div w:id="2067334791">
                      <w:marLeft w:val="0"/>
                      <w:marRight w:val="0"/>
                      <w:marTop w:val="0"/>
                      <w:marBottom w:val="0"/>
                      <w:divBdr>
                        <w:top w:val="none" w:sz="0" w:space="0" w:color="auto"/>
                        <w:left w:val="none" w:sz="0" w:space="0" w:color="auto"/>
                        <w:bottom w:val="none" w:sz="0" w:space="0" w:color="auto"/>
                        <w:right w:val="none" w:sz="0" w:space="0" w:color="auto"/>
                      </w:divBdr>
                    </w:div>
                  </w:divsChild>
                </w:div>
                <w:div w:id="2018343990">
                  <w:marLeft w:val="0"/>
                  <w:marRight w:val="0"/>
                  <w:marTop w:val="0"/>
                  <w:marBottom w:val="0"/>
                  <w:divBdr>
                    <w:top w:val="none" w:sz="0" w:space="0" w:color="auto"/>
                    <w:left w:val="none" w:sz="0" w:space="0" w:color="auto"/>
                    <w:bottom w:val="none" w:sz="0" w:space="0" w:color="auto"/>
                    <w:right w:val="none" w:sz="0" w:space="0" w:color="auto"/>
                  </w:divBdr>
                  <w:divsChild>
                    <w:div w:id="292951908">
                      <w:marLeft w:val="0"/>
                      <w:marRight w:val="0"/>
                      <w:marTop w:val="0"/>
                      <w:marBottom w:val="0"/>
                      <w:divBdr>
                        <w:top w:val="none" w:sz="0" w:space="0" w:color="auto"/>
                        <w:left w:val="none" w:sz="0" w:space="0" w:color="auto"/>
                        <w:bottom w:val="none" w:sz="0" w:space="0" w:color="auto"/>
                        <w:right w:val="none" w:sz="0" w:space="0" w:color="auto"/>
                      </w:divBdr>
                    </w:div>
                  </w:divsChild>
                </w:div>
                <w:div w:id="2040083487">
                  <w:marLeft w:val="0"/>
                  <w:marRight w:val="0"/>
                  <w:marTop w:val="0"/>
                  <w:marBottom w:val="0"/>
                  <w:divBdr>
                    <w:top w:val="none" w:sz="0" w:space="0" w:color="auto"/>
                    <w:left w:val="none" w:sz="0" w:space="0" w:color="auto"/>
                    <w:bottom w:val="none" w:sz="0" w:space="0" w:color="auto"/>
                    <w:right w:val="none" w:sz="0" w:space="0" w:color="auto"/>
                  </w:divBdr>
                  <w:divsChild>
                    <w:div w:id="1096561924">
                      <w:marLeft w:val="0"/>
                      <w:marRight w:val="0"/>
                      <w:marTop w:val="0"/>
                      <w:marBottom w:val="0"/>
                      <w:divBdr>
                        <w:top w:val="none" w:sz="0" w:space="0" w:color="auto"/>
                        <w:left w:val="none" w:sz="0" w:space="0" w:color="auto"/>
                        <w:bottom w:val="none" w:sz="0" w:space="0" w:color="auto"/>
                        <w:right w:val="none" w:sz="0" w:space="0" w:color="auto"/>
                      </w:divBdr>
                    </w:div>
                  </w:divsChild>
                </w:div>
                <w:div w:id="2051369375">
                  <w:marLeft w:val="0"/>
                  <w:marRight w:val="0"/>
                  <w:marTop w:val="0"/>
                  <w:marBottom w:val="0"/>
                  <w:divBdr>
                    <w:top w:val="none" w:sz="0" w:space="0" w:color="auto"/>
                    <w:left w:val="none" w:sz="0" w:space="0" w:color="auto"/>
                    <w:bottom w:val="none" w:sz="0" w:space="0" w:color="auto"/>
                    <w:right w:val="none" w:sz="0" w:space="0" w:color="auto"/>
                  </w:divBdr>
                  <w:divsChild>
                    <w:div w:id="2007126141">
                      <w:marLeft w:val="0"/>
                      <w:marRight w:val="0"/>
                      <w:marTop w:val="0"/>
                      <w:marBottom w:val="0"/>
                      <w:divBdr>
                        <w:top w:val="none" w:sz="0" w:space="0" w:color="auto"/>
                        <w:left w:val="none" w:sz="0" w:space="0" w:color="auto"/>
                        <w:bottom w:val="none" w:sz="0" w:space="0" w:color="auto"/>
                        <w:right w:val="none" w:sz="0" w:space="0" w:color="auto"/>
                      </w:divBdr>
                    </w:div>
                  </w:divsChild>
                </w:div>
                <w:div w:id="2059284023">
                  <w:marLeft w:val="0"/>
                  <w:marRight w:val="0"/>
                  <w:marTop w:val="0"/>
                  <w:marBottom w:val="0"/>
                  <w:divBdr>
                    <w:top w:val="none" w:sz="0" w:space="0" w:color="auto"/>
                    <w:left w:val="none" w:sz="0" w:space="0" w:color="auto"/>
                    <w:bottom w:val="none" w:sz="0" w:space="0" w:color="auto"/>
                    <w:right w:val="none" w:sz="0" w:space="0" w:color="auto"/>
                  </w:divBdr>
                  <w:divsChild>
                    <w:div w:id="806582774">
                      <w:marLeft w:val="0"/>
                      <w:marRight w:val="0"/>
                      <w:marTop w:val="0"/>
                      <w:marBottom w:val="0"/>
                      <w:divBdr>
                        <w:top w:val="none" w:sz="0" w:space="0" w:color="auto"/>
                        <w:left w:val="none" w:sz="0" w:space="0" w:color="auto"/>
                        <w:bottom w:val="none" w:sz="0" w:space="0" w:color="auto"/>
                        <w:right w:val="none" w:sz="0" w:space="0" w:color="auto"/>
                      </w:divBdr>
                    </w:div>
                  </w:divsChild>
                </w:div>
                <w:div w:id="2079787868">
                  <w:marLeft w:val="0"/>
                  <w:marRight w:val="0"/>
                  <w:marTop w:val="0"/>
                  <w:marBottom w:val="0"/>
                  <w:divBdr>
                    <w:top w:val="none" w:sz="0" w:space="0" w:color="auto"/>
                    <w:left w:val="none" w:sz="0" w:space="0" w:color="auto"/>
                    <w:bottom w:val="none" w:sz="0" w:space="0" w:color="auto"/>
                    <w:right w:val="none" w:sz="0" w:space="0" w:color="auto"/>
                  </w:divBdr>
                  <w:divsChild>
                    <w:div w:id="906770145">
                      <w:marLeft w:val="0"/>
                      <w:marRight w:val="0"/>
                      <w:marTop w:val="0"/>
                      <w:marBottom w:val="0"/>
                      <w:divBdr>
                        <w:top w:val="none" w:sz="0" w:space="0" w:color="auto"/>
                        <w:left w:val="none" w:sz="0" w:space="0" w:color="auto"/>
                        <w:bottom w:val="none" w:sz="0" w:space="0" w:color="auto"/>
                        <w:right w:val="none" w:sz="0" w:space="0" w:color="auto"/>
                      </w:divBdr>
                    </w:div>
                  </w:divsChild>
                </w:div>
                <w:div w:id="2094233682">
                  <w:marLeft w:val="0"/>
                  <w:marRight w:val="0"/>
                  <w:marTop w:val="0"/>
                  <w:marBottom w:val="0"/>
                  <w:divBdr>
                    <w:top w:val="none" w:sz="0" w:space="0" w:color="auto"/>
                    <w:left w:val="none" w:sz="0" w:space="0" w:color="auto"/>
                    <w:bottom w:val="none" w:sz="0" w:space="0" w:color="auto"/>
                    <w:right w:val="none" w:sz="0" w:space="0" w:color="auto"/>
                  </w:divBdr>
                  <w:divsChild>
                    <w:div w:id="35954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479226">
          <w:marLeft w:val="0"/>
          <w:marRight w:val="0"/>
          <w:marTop w:val="0"/>
          <w:marBottom w:val="0"/>
          <w:divBdr>
            <w:top w:val="none" w:sz="0" w:space="0" w:color="auto"/>
            <w:left w:val="none" w:sz="0" w:space="0" w:color="auto"/>
            <w:bottom w:val="none" w:sz="0" w:space="0" w:color="auto"/>
            <w:right w:val="none" w:sz="0" w:space="0" w:color="auto"/>
          </w:divBdr>
        </w:div>
      </w:divsChild>
    </w:div>
    <w:div w:id="1973755571">
      <w:bodyDiv w:val="1"/>
      <w:marLeft w:val="0"/>
      <w:marRight w:val="0"/>
      <w:marTop w:val="0"/>
      <w:marBottom w:val="0"/>
      <w:divBdr>
        <w:top w:val="none" w:sz="0" w:space="0" w:color="auto"/>
        <w:left w:val="none" w:sz="0" w:space="0" w:color="auto"/>
        <w:bottom w:val="none" w:sz="0" w:space="0" w:color="auto"/>
        <w:right w:val="none" w:sz="0" w:space="0" w:color="auto"/>
      </w:divBdr>
    </w:div>
    <w:div w:id="1982464997">
      <w:bodyDiv w:val="1"/>
      <w:marLeft w:val="0"/>
      <w:marRight w:val="0"/>
      <w:marTop w:val="0"/>
      <w:marBottom w:val="0"/>
      <w:divBdr>
        <w:top w:val="none" w:sz="0" w:space="0" w:color="auto"/>
        <w:left w:val="none" w:sz="0" w:space="0" w:color="auto"/>
        <w:bottom w:val="none" w:sz="0" w:space="0" w:color="auto"/>
        <w:right w:val="none" w:sz="0" w:space="0" w:color="auto"/>
      </w:divBdr>
      <w:divsChild>
        <w:div w:id="563368375">
          <w:marLeft w:val="547"/>
          <w:marRight w:val="0"/>
          <w:marTop w:val="0"/>
          <w:marBottom w:val="0"/>
          <w:divBdr>
            <w:top w:val="none" w:sz="0" w:space="0" w:color="auto"/>
            <w:left w:val="none" w:sz="0" w:space="0" w:color="auto"/>
            <w:bottom w:val="none" w:sz="0" w:space="0" w:color="auto"/>
            <w:right w:val="none" w:sz="0" w:space="0" w:color="auto"/>
          </w:divBdr>
        </w:div>
        <w:div w:id="595137337">
          <w:marLeft w:val="547"/>
          <w:marRight w:val="0"/>
          <w:marTop w:val="0"/>
          <w:marBottom w:val="0"/>
          <w:divBdr>
            <w:top w:val="none" w:sz="0" w:space="0" w:color="auto"/>
            <w:left w:val="none" w:sz="0" w:space="0" w:color="auto"/>
            <w:bottom w:val="none" w:sz="0" w:space="0" w:color="auto"/>
            <w:right w:val="none" w:sz="0" w:space="0" w:color="auto"/>
          </w:divBdr>
        </w:div>
        <w:div w:id="741802739">
          <w:marLeft w:val="547"/>
          <w:marRight w:val="0"/>
          <w:marTop w:val="0"/>
          <w:marBottom w:val="0"/>
          <w:divBdr>
            <w:top w:val="none" w:sz="0" w:space="0" w:color="auto"/>
            <w:left w:val="none" w:sz="0" w:space="0" w:color="auto"/>
            <w:bottom w:val="none" w:sz="0" w:space="0" w:color="auto"/>
            <w:right w:val="none" w:sz="0" w:space="0" w:color="auto"/>
          </w:divBdr>
        </w:div>
      </w:divsChild>
    </w:div>
    <w:div w:id="2006860509">
      <w:bodyDiv w:val="1"/>
      <w:marLeft w:val="0"/>
      <w:marRight w:val="0"/>
      <w:marTop w:val="0"/>
      <w:marBottom w:val="0"/>
      <w:divBdr>
        <w:top w:val="none" w:sz="0" w:space="0" w:color="auto"/>
        <w:left w:val="none" w:sz="0" w:space="0" w:color="auto"/>
        <w:bottom w:val="none" w:sz="0" w:space="0" w:color="auto"/>
        <w:right w:val="none" w:sz="0" w:space="0" w:color="auto"/>
      </w:divBdr>
    </w:div>
    <w:div w:id="2034262201">
      <w:bodyDiv w:val="1"/>
      <w:marLeft w:val="0"/>
      <w:marRight w:val="0"/>
      <w:marTop w:val="0"/>
      <w:marBottom w:val="0"/>
      <w:divBdr>
        <w:top w:val="none" w:sz="0" w:space="0" w:color="auto"/>
        <w:left w:val="none" w:sz="0" w:space="0" w:color="auto"/>
        <w:bottom w:val="none" w:sz="0" w:space="0" w:color="auto"/>
        <w:right w:val="none" w:sz="0" w:space="0" w:color="auto"/>
      </w:divBdr>
    </w:div>
    <w:div w:id="2034531401">
      <w:bodyDiv w:val="1"/>
      <w:marLeft w:val="0"/>
      <w:marRight w:val="0"/>
      <w:marTop w:val="0"/>
      <w:marBottom w:val="0"/>
      <w:divBdr>
        <w:top w:val="none" w:sz="0" w:space="0" w:color="auto"/>
        <w:left w:val="none" w:sz="0" w:space="0" w:color="auto"/>
        <w:bottom w:val="none" w:sz="0" w:space="0" w:color="auto"/>
        <w:right w:val="none" w:sz="0" w:space="0" w:color="auto"/>
      </w:divBdr>
    </w:div>
    <w:div w:id="2056201591">
      <w:bodyDiv w:val="1"/>
      <w:marLeft w:val="0"/>
      <w:marRight w:val="0"/>
      <w:marTop w:val="0"/>
      <w:marBottom w:val="0"/>
      <w:divBdr>
        <w:top w:val="none" w:sz="0" w:space="0" w:color="auto"/>
        <w:left w:val="none" w:sz="0" w:space="0" w:color="auto"/>
        <w:bottom w:val="none" w:sz="0" w:space="0" w:color="auto"/>
        <w:right w:val="none" w:sz="0" w:space="0" w:color="auto"/>
      </w:divBdr>
    </w:div>
    <w:div w:id="2057964464">
      <w:bodyDiv w:val="1"/>
      <w:marLeft w:val="0"/>
      <w:marRight w:val="0"/>
      <w:marTop w:val="0"/>
      <w:marBottom w:val="0"/>
      <w:divBdr>
        <w:top w:val="none" w:sz="0" w:space="0" w:color="auto"/>
        <w:left w:val="none" w:sz="0" w:space="0" w:color="auto"/>
        <w:bottom w:val="none" w:sz="0" w:space="0" w:color="auto"/>
        <w:right w:val="none" w:sz="0" w:space="0" w:color="auto"/>
      </w:divBdr>
    </w:div>
    <w:div w:id="2061052727">
      <w:bodyDiv w:val="1"/>
      <w:marLeft w:val="0"/>
      <w:marRight w:val="0"/>
      <w:marTop w:val="0"/>
      <w:marBottom w:val="0"/>
      <w:divBdr>
        <w:top w:val="none" w:sz="0" w:space="0" w:color="auto"/>
        <w:left w:val="none" w:sz="0" w:space="0" w:color="auto"/>
        <w:bottom w:val="none" w:sz="0" w:space="0" w:color="auto"/>
        <w:right w:val="none" w:sz="0" w:space="0" w:color="auto"/>
      </w:divBdr>
    </w:div>
    <w:div w:id="2078168612">
      <w:bodyDiv w:val="1"/>
      <w:marLeft w:val="0"/>
      <w:marRight w:val="0"/>
      <w:marTop w:val="0"/>
      <w:marBottom w:val="0"/>
      <w:divBdr>
        <w:top w:val="none" w:sz="0" w:space="0" w:color="auto"/>
        <w:left w:val="none" w:sz="0" w:space="0" w:color="auto"/>
        <w:bottom w:val="none" w:sz="0" w:space="0" w:color="auto"/>
        <w:right w:val="none" w:sz="0" w:space="0" w:color="auto"/>
      </w:divBdr>
      <w:divsChild>
        <w:div w:id="158078516">
          <w:marLeft w:val="0"/>
          <w:marRight w:val="0"/>
          <w:marTop w:val="0"/>
          <w:marBottom w:val="0"/>
          <w:divBdr>
            <w:top w:val="none" w:sz="0" w:space="0" w:color="auto"/>
            <w:left w:val="none" w:sz="0" w:space="0" w:color="auto"/>
            <w:bottom w:val="none" w:sz="0" w:space="0" w:color="auto"/>
            <w:right w:val="none" w:sz="0" w:space="0" w:color="auto"/>
          </w:divBdr>
          <w:divsChild>
            <w:div w:id="544946117">
              <w:marLeft w:val="0"/>
              <w:marRight w:val="0"/>
              <w:marTop w:val="0"/>
              <w:marBottom w:val="0"/>
              <w:divBdr>
                <w:top w:val="none" w:sz="0" w:space="0" w:color="auto"/>
                <w:left w:val="none" w:sz="0" w:space="0" w:color="auto"/>
                <w:bottom w:val="none" w:sz="0" w:space="0" w:color="auto"/>
                <w:right w:val="none" w:sz="0" w:space="0" w:color="auto"/>
              </w:divBdr>
            </w:div>
          </w:divsChild>
        </w:div>
        <w:div w:id="224994156">
          <w:marLeft w:val="0"/>
          <w:marRight w:val="0"/>
          <w:marTop w:val="0"/>
          <w:marBottom w:val="0"/>
          <w:divBdr>
            <w:top w:val="none" w:sz="0" w:space="0" w:color="auto"/>
            <w:left w:val="none" w:sz="0" w:space="0" w:color="auto"/>
            <w:bottom w:val="none" w:sz="0" w:space="0" w:color="auto"/>
            <w:right w:val="none" w:sz="0" w:space="0" w:color="auto"/>
          </w:divBdr>
          <w:divsChild>
            <w:div w:id="1433432199">
              <w:marLeft w:val="0"/>
              <w:marRight w:val="0"/>
              <w:marTop w:val="0"/>
              <w:marBottom w:val="0"/>
              <w:divBdr>
                <w:top w:val="none" w:sz="0" w:space="0" w:color="auto"/>
                <w:left w:val="none" w:sz="0" w:space="0" w:color="auto"/>
                <w:bottom w:val="none" w:sz="0" w:space="0" w:color="auto"/>
                <w:right w:val="none" w:sz="0" w:space="0" w:color="auto"/>
              </w:divBdr>
            </w:div>
          </w:divsChild>
        </w:div>
        <w:div w:id="299531790">
          <w:marLeft w:val="0"/>
          <w:marRight w:val="0"/>
          <w:marTop w:val="0"/>
          <w:marBottom w:val="0"/>
          <w:divBdr>
            <w:top w:val="none" w:sz="0" w:space="0" w:color="auto"/>
            <w:left w:val="none" w:sz="0" w:space="0" w:color="auto"/>
            <w:bottom w:val="none" w:sz="0" w:space="0" w:color="auto"/>
            <w:right w:val="none" w:sz="0" w:space="0" w:color="auto"/>
          </w:divBdr>
          <w:divsChild>
            <w:div w:id="1769499069">
              <w:marLeft w:val="0"/>
              <w:marRight w:val="0"/>
              <w:marTop w:val="0"/>
              <w:marBottom w:val="0"/>
              <w:divBdr>
                <w:top w:val="none" w:sz="0" w:space="0" w:color="auto"/>
                <w:left w:val="none" w:sz="0" w:space="0" w:color="auto"/>
                <w:bottom w:val="none" w:sz="0" w:space="0" w:color="auto"/>
                <w:right w:val="none" w:sz="0" w:space="0" w:color="auto"/>
              </w:divBdr>
            </w:div>
          </w:divsChild>
        </w:div>
        <w:div w:id="358432078">
          <w:marLeft w:val="0"/>
          <w:marRight w:val="0"/>
          <w:marTop w:val="0"/>
          <w:marBottom w:val="0"/>
          <w:divBdr>
            <w:top w:val="none" w:sz="0" w:space="0" w:color="auto"/>
            <w:left w:val="none" w:sz="0" w:space="0" w:color="auto"/>
            <w:bottom w:val="none" w:sz="0" w:space="0" w:color="auto"/>
            <w:right w:val="none" w:sz="0" w:space="0" w:color="auto"/>
          </w:divBdr>
          <w:divsChild>
            <w:div w:id="1091005304">
              <w:marLeft w:val="0"/>
              <w:marRight w:val="0"/>
              <w:marTop w:val="0"/>
              <w:marBottom w:val="0"/>
              <w:divBdr>
                <w:top w:val="none" w:sz="0" w:space="0" w:color="auto"/>
                <w:left w:val="none" w:sz="0" w:space="0" w:color="auto"/>
                <w:bottom w:val="none" w:sz="0" w:space="0" w:color="auto"/>
                <w:right w:val="none" w:sz="0" w:space="0" w:color="auto"/>
              </w:divBdr>
            </w:div>
          </w:divsChild>
        </w:div>
        <w:div w:id="400562320">
          <w:marLeft w:val="0"/>
          <w:marRight w:val="0"/>
          <w:marTop w:val="0"/>
          <w:marBottom w:val="0"/>
          <w:divBdr>
            <w:top w:val="none" w:sz="0" w:space="0" w:color="auto"/>
            <w:left w:val="none" w:sz="0" w:space="0" w:color="auto"/>
            <w:bottom w:val="none" w:sz="0" w:space="0" w:color="auto"/>
            <w:right w:val="none" w:sz="0" w:space="0" w:color="auto"/>
          </w:divBdr>
          <w:divsChild>
            <w:div w:id="844318906">
              <w:marLeft w:val="0"/>
              <w:marRight w:val="0"/>
              <w:marTop w:val="0"/>
              <w:marBottom w:val="0"/>
              <w:divBdr>
                <w:top w:val="none" w:sz="0" w:space="0" w:color="auto"/>
                <w:left w:val="none" w:sz="0" w:space="0" w:color="auto"/>
                <w:bottom w:val="none" w:sz="0" w:space="0" w:color="auto"/>
                <w:right w:val="none" w:sz="0" w:space="0" w:color="auto"/>
              </w:divBdr>
            </w:div>
          </w:divsChild>
        </w:div>
        <w:div w:id="457064394">
          <w:marLeft w:val="0"/>
          <w:marRight w:val="0"/>
          <w:marTop w:val="0"/>
          <w:marBottom w:val="0"/>
          <w:divBdr>
            <w:top w:val="none" w:sz="0" w:space="0" w:color="auto"/>
            <w:left w:val="none" w:sz="0" w:space="0" w:color="auto"/>
            <w:bottom w:val="none" w:sz="0" w:space="0" w:color="auto"/>
            <w:right w:val="none" w:sz="0" w:space="0" w:color="auto"/>
          </w:divBdr>
          <w:divsChild>
            <w:div w:id="1306157067">
              <w:marLeft w:val="0"/>
              <w:marRight w:val="0"/>
              <w:marTop w:val="0"/>
              <w:marBottom w:val="0"/>
              <w:divBdr>
                <w:top w:val="none" w:sz="0" w:space="0" w:color="auto"/>
                <w:left w:val="none" w:sz="0" w:space="0" w:color="auto"/>
                <w:bottom w:val="none" w:sz="0" w:space="0" w:color="auto"/>
                <w:right w:val="none" w:sz="0" w:space="0" w:color="auto"/>
              </w:divBdr>
            </w:div>
          </w:divsChild>
        </w:div>
        <w:div w:id="467012204">
          <w:marLeft w:val="0"/>
          <w:marRight w:val="0"/>
          <w:marTop w:val="0"/>
          <w:marBottom w:val="0"/>
          <w:divBdr>
            <w:top w:val="none" w:sz="0" w:space="0" w:color="auto"/>
            <w:left w:val="none" w:sz="0" w:space="0" w:color="auto"/>
            <w:bottom w:val="none" w:sz="0" w:space="0" w:color="auto"/>
            <w:right w:val="none" w:sz="0" w:space="0" w:color="auto"/>
          </w:divBdr>
          <w:divsChild>
            <w:div w:id="2110391414">
              <w:marLeft w:val="0"/>
              <w:marRight w:val="0"/>
              <w:marTop w:val="0"/>
              <w:marBottom w:val="0"/>
              <w:divBdr>
                <w:top w:val="none" w:sz="0" w:space="0" w:color="auto"/>
                <w:left w:val="none" w:sz="0" w:space="0" w:color="auto"/>
                <w:bottom w:val="none" w:sz="0" w:space="0" w:color="auto"/>
                <w:right w:val="none" w:sz="0" w:space="0" w:color="auto"/>
              </w:divBdr>
            </w:div>
          </w:divsChild>
        </w:div>
        <w:div w:id="491531612">
          <w:marLeft w:val="0"/>
          <w:marRight w:val="0"/>
          <w:marTop w:val="0"/>
          <w:marBottom w:val="0"/>
          <w:divBdr>
            <w:top w:val="none" w:sz="0" w:space="0" w:color="auto"/>
            <w:left w:val="none" w:sz="0" w:space="0" w:color="auto"/>
            <w:bottom w:val="none" w:sz="0" w:space="0" w:color="auto"/>
            <w:right w:val="none" w:sz="0" w:space="0" w:color="auto"/>
          </w:divBdr>
          <w:divsChild>
            <w:div w:id="247468307">
              <w:marLeft w:val="0"/>
              <w:marRight w:val="0"/>
              <w:marTop w:val="0"/>
              <w:marBottom w:val="0"/>
              <w:divBdr>
                <w:top w:val="none" w:sz="0" w:space="0" w:color="auto"/>
                <w:left w:val="none" w:sz="0" w:space="0" w:color="auto"/>
                <w:bottom w:val="none" w:sz="0" w:space="0" w:color="auto"/>
                <w:right w:val="none" w:sz="0" w:space="0" w:color="auto"/>
              </w:divBdr>
            </w:div>
          </w:divsChild>
        </w:div>
        <w:div w:id="571894692">
          <w:marLeft w:val="0"/>
          <w:marRight w:val="0"/>
          <w:marTop w:val="0"/>
          <w:marBottom w:val="0"/>
          <w:divBdr>
            <w:top w:val="none" w:sz="0" w:space="0" w:color="auto"/>
            <w:left w:val="none" w:sz="0" w:space="0" w:color="auto"/>
            <w:bottom w:val="none" w:sz="0" w:space="0" w:color="auto"/>
            <w:right w:val="none" w:sz="0" w:space="0" w:color="auto"/>
          </w:divBdr>
          <w:divsChild>
            <w:div w:id="1427926541">
              <w:marLeft w:val="0"/>
              <w:marRight w:val="0"/>
              <w:marTop w:val="0"/>
              <w:marBottom w:val="0"/>
              <w:divBdr>
                <w:top w:val="none" w:sz="0" w:space="0" w:color="auto"/>
                <w:left w:val="none" w:sz="0" w:space="0" w:color="auto"/>
                <w:bottom w:val="none" w:sz="0" w:space="0" w:color="auto"/>
                <w:right w:val="none" w:sz="0" w:space="0" w:color="auto"/>
              </w:divBdr>
            </w:div>
          </w:divsChild>
        </w:div>
        <w:div w:id="591477328">
          <w:marLeft w:val="0"/>
          <w:marRight w:val="0"/>
          <w:marTop w:val="0"/>
          <w:marBottom w:val="0"/>
          <w:divBdr>
            <w:top w:val="none" w:sz="0" w:space="0" w:color="auto"/>
            <w:left w:val="none" w:sz="0" w:space="0" w:color="auto"/>
            <w:bottom w:val="none" w:sz="0" w:space="0" w:color="auto"/>
            <w:right w:val="none" w:sz="0" w:space="0" w:color="auto"/>
          </w:divBdr>
          <w:divsChild>
            <w:div w:id="2046058350">
              <w:marLeft w:val="0"/>
              <w:marRight w:val="0"/>
              <w:marTop w:val="0"/>
              <w:marBottom w:val="0"/>
              <w:divBdr>
                <w:top w:val="none" w:sz="0" w:space="0" w:color="auto"/>
                <w:left w:val="none" w:sz="0" w:space="0" w:color="auto"/>
                <w:bottom w:val="none" w:sz="0" w:space="0" w:color="auto"/>
                <w:right w:val="none" w:sz="0" w:space="0" w:color="auto"/>
              </w:divBdr>
            </w:div>
          </w:divsChild>
        </w:div>
        <w:div w:id="601259221">
          <w:marLeft w:val="0"/>
          <w:marRight w:val="0"/>
          <w:marTop w:val="0"/>
          <w:marBottom w:val="0"/>
          <w:divBdr>
            <w:top w:val="none" w:sz="0" w:space="0" w:color="auto"/>
            <w:left w:val="none" w:sz="0" w:space="0" w:color="auto"/>
            <w:bottom w:val="none" w:sz="0" w:space="0" w:color="auto"/>
            <w:right w:val="none" w:sz="0" w:space="0" w:color="auto"/>
          </w:divBdr>
          <w:divsChild>
            <w:div w:id="2060863624">
              <w:marLeft w:val="0"/>
              <w:marRight w:val="0"/>
              <w:marTop w:val="0"/>
              <w:marBottom w:val="0"/>
              <w:divBdr>
                <w:top w:val="none" w:sz="0" w:space="0" w:color="auto"/>
                <w:left w:val="none" w:sz="0" w:space="0" w:color="auto"/>
                <w:bottom w:val="none" w:sz="0" w:space="0" w:color="auto"/>
                <w:right w:val="none" w:sz="0" w:space="0" w:color="auto"/>
              </w:divBdr>
            </w:div>
          </w:divsChild>
        </w:div>
        <w:div w:id="618220720">
          <w:marLeft w:val="0"/>
          <w:marRight w:val="0"/>
          <w:marTop w:val="0"/>
          <w:marBottom w:val="0"/>
          <w:divBdr>
            <w:top w:val="none" w:sz="0" w:space="0" w:color="auto"/>
            <w:left w:val="none" w:sz="0" w:space="0" w:color="auto"/>
            <w:bottom w:val="none" w:sz="0" w:space="0" w:color="auto"/>
            <w:right w:val="none" w:sz="0" w:space="0" w:color="auto"/>
          </w:divBdr>
          <w:divsChild>
            <w:div w:id="693920225">
              <w:marLeft w:val="0"/>
              <w:marRight w:val="0"/>
              <w:marTop w:val="0"/>
              <w:marBottom w:val="0"/>
              <w:divBdr>
                <w:top w:val="none" w:sz="0" w:space="0" w:color="auto"/>
                <w:left w:val="none" w:sz="0" w:space="0" w:color="auto"/>
                <w:bottom w:val="none" w:sz="0" w:space="0" w:color="auto"/>
                <w:right w:val="none" w:sz="0" w:space="0" w:color="auto"/>
              </w:divBdr>
            </w:div>
          </w:divsChild>
        </w:div>
        <w:div w:id="677855693">
          <w:marLeft w:val="0"/>
          <w:marRight w:val="0"/>
          <w:marTop w:val="0"/>
          <w:marBottom w:val="0"/>
          <w:divBdr>
            <w:top w:val="none" w:sz="0" w:space="0" w:color="auto"/>
            <w:left w:val="none" w:sz="0" w:space="0" w:color="auto"/>
            <w:bottom w:val="none" w:sz="0" w:space="0" w:color="auto"/>
            <w:right w:val="none" w:sz="0" w:space="0" w:color="auto"/>
          </w:divBdr>
          <w:divsChild>
            <w:div w:id="566574232">
              <w:marLeft w:val="0"/>
              <w:marRight w:val="0"/>
              <w:marTop w:val="0"/>
              <w:marBottom w:val="0"/>
              <w:divBdr>
                <w:top w:val="none" w:sz="0" w:space="0" w:color="auto"/>
                <w:left w:val="none" w:sz="0" w:space="0" w:color="auto"/>
                <w:bottom w:val="none" w:sz="0" w:space="0" w:color="auto"/>
                <w:right w:val="none" w:sz="0" w:space="0" w:color="auto"/>
              </w:divBdr>
            </w:div>
          </w:divsChild>
        </w:div>
        <w:div w:id="725103268">
          <w:marLeft w:val="0"/>
          <w:marRight w:val="0"/>
          <w:marTop w:val="0"/>
          <w:marBottom w:val="0"/>
          <w:divBdr>
            <w:top w:val="none" w:sz="0" w:space="0" w:color="auto"/>
            <w:left w:val="none" w:sz="0" w:space="0" w:color="auto"/>
            <w:bottom w:val="none" w:sz="0" w:space="0" w:color="auto"/>
            <w:right w:val="none" w:sz="0" w:space="0" w:color="auto"/>
          </w:divBdr>
          <w:divsChild>
            <w:div w:id="482356755">
              <w:marLeft w:val="0"/>
              <w:marRight w:val="0"/>
              <w:marTop w:val="0"/>
              <w:marBottom w:val="0"/>
              <w:divBdr>
                <w:top w:val="none" w:sz="0" w:space="0" w:color="auto"/>
                <w:left w:val="none" w:sz="0" w:space="0" w:color="auto"/>
                <w:bottom w:val="none" w:sz="0" w:space="0" w:color="auto"/>
                <w:right w:val="none" w:sz="0" w:space="0" w:color="auto"/>
              </w:divBdr>
            </w:div>
          </w:divsChild>
        </w:div>
        <w:div w:id="841433274">
          <w:marLeft w:val="0"/>
          <w:marRight w:val="0"/>
          <w:marTop w:val="0"/>
          <w:marBottom w:val="0"/>
          <w:divBdr>
            <w:top w:val="none" w:sz="0" w:space="0" w:color="auto"/>
            <w:left w:val="none" w:sz="0" w:space="0" w:color="auto"/>
            <w:bottom w:val="none" w:sz="0" w:space="0" w:color="auto"/>
            <w:right w:val="none" w:sz="0" w:space="0" w:color="auto"/>
          </w:divBdr>
          <w:divsChild>
            <w:div w:id="1261262048">
              <w:marLeft w:val="0"/>
              <w:marRight w:val="0"/>
              <w:marTop w:val="0"/>
              <w:marBottom w:val="0"/>
              <w:divBdr>
                <w:top w:val="none" w:sz="0" w:space="0" w:color="auto"/>
                <w:left w:val="none" w:sz="0" w:space="0" w:color="auto"/>
                <w:bottom w:val="none" w:sz="0" w:space="0" w:color="auto"/>
                <w:right w:val="none" w:sz="0" w:space="0" w:color="auto"/>
              </w:divBdr>
            </w:div>
          </w:divsChild>
        </w:div>
        <w:div w:id="892471130">
          <w:marLeft w:val="0"/>
          <w:marRight w:val="0"/>
          <w:marTop w:val="0"/>
          <w:marBottom w:val="0"/>
          <w:divBdr>
            <w:top w:val="none" w:sz="0" w:space="0" w:color="auto"/>
            <w:left w:val="none" w:sz="0" w:space="0" w:color="auto"/>
            <w:bottom w:val="none" w:sz="0" w:space="0" w:color="auto"/>
            <w:right w:val="none" w:sz="0" w:space="0" w:color="auto"/>
          </w:divBdr>
          <w:divsChild>
            <w:div w:id="1922064819">
              <w:marLeft w:val="0"/>
              <w:marRight w:val="0"/>
              <w:marTop w:val="0"/>
              <w:marBottom w:val="0"/>
              <w:divBdr>
                <w:top w:val="none" w:sz="0" w:space="0" w:color="auto"/>
                <w:left w:val="none" w:sz="0" w:space="0" w:color="auto"/>
                <w:bottom w:val="none" w:sz="0" w:space="0" w:color="auto"/>
                <w:right w:val="none" w:sz="0" w:space="0" w:color="auto"/>
              </w:divBdr>
            </w:div>
          </w:divsChild>
        </w:div>
        <w:div w:id="932906030">
          <w:marLeft w:val="0"/>
          <w:marRight w:val="0"/>
          <w:marTop w:val="0"/>
          <w:marBottom w:val="0"/>
          <w:divBdr>
            <w:top w:val="none" w:sz="0" w:space="0" w:color="auto"/>
            <w:left w:val="none" w:sz="0" w:space="0" w:color="auto"/>
            <w:bottom w:val="none" w:sz="0" w:space="0" w:color="auto"/>
            <w:right w:val="none" w:sz="0" w:space="0" w:color="auto"/>
          </w:divBdr>
          <w:divsChild>
            <w:div w:id="1503817590">
              <w:marLeft w:val="0"/>
              <w:marRight w:val="0"/>
              <w:marTop w:val="0"/>
              <w:marBottom w:val="0"/>
              <w:divBdr>
                <w:top w:val="none" w:sz="0" w:space="0" w:color="auto"/>
                <w:left w:val="none" w:sz="0" w:space="0" w:color="auto"/>
                <w:bottom w:val="none" w:sz="0" w:space="0" w:color="auto"/>
                <w:right w:val="none" w:sz="0" w:space="0" w:color="auto"/>
              </w:divBdr>
            </w:div>
          </w:divsChild>
        </w:div>
        <w:div w:id="956792742">
          <w:marLeft w:val="0"/>
          <w:marRight w:val="0"/>
          <w:marTop w:val="0"/>
          <w:marBottom w:val="0"/>
          <w:divBdr>
            <w:top w:val="none" w:sz="0" w:space="0" w:color="auto"/>
            <w:left w:val="none" w:sz="0" w:space="0" w:color="auto"/>
            <w:bottom w:val="none" w:sz="0" w:space="0" w:color="auto"/>
            <w:right w:val="none" w:sz="0" w:space="0" w:color="auto"/>
          </w:divBdr>
          <w:divsChild>
            <w:div w:id="579213428">
              <w:marLeft w:val="0"/>
              <w:marRight w:val="0"/>
              <w:marTop w:val="0"/>
              <w:marBottom w:val="0"/>
              <w:divBdr>
                <w:top w:val="none" w:sz="0" w:space="0" w:color="auto"/>
                <w:left w:val="none" w:sz="0" w:space="0" w:color="auto"/>
                <w:bottom w:val="none" w:sz="0" w:space="0" w:color="auto"/>
                <w:right w:val="none" w:sz="0" w:space="0" w:color="auto"/>
              </w:divBdr>
            </w:div>
          </w:divsChild>
        </w:div>
        <w:div w:id="1101338410">
          <w:marLeft w:val="0"/>
          <w:marRight w:val="0"/>
          <w:marTop w:val="0"/>
          <w:marBottom w:val="0"/>
          <w:divBdr>
            <w:top w:val="none" w:sz="0" w:space="0" w:color="auto"/>
            <w:left w:val="none" w:sz="0" w:space="0" w:color="auto"/>
            <w:bottom w:val="none" w:sz="0" w:space="0" w:color="auto"/>
            <w:right w:val="none" w:sz="0" w:space="0" w:color="auto"/>
          </w:divBdr>
          <w:divsChild>
            <w:div w:id="256789437">
              <w:marLeft w:val="0"/>
              <w:marRight w:val="0"/>
              <w:marTop w:val="0"/>
              <w:marBottom w:val="0"/>
              <w:divBdr>
                <w:top w:val="none" w:sz="0" w:space="0" w:color="auto"/>
                <w:left w:val="none" w:sz="0" w:space="0" w:color="auto"/>
                <w:bottom w:val="none" w:sz="0" w:space="0" w:color="auto"/>
                <w:right w:val="none" w:sz="0" w:space="0" w:color="auto"/>
              </w:divBdr>
            </w:div>
          </w:divsChild>
        </w:div>
        <w:div w:id="1104569547">
          <w:marLeft w:val="0"/>
          <w:marRight w:val="0"/>
          <w:marTop w:val="0"/>
          <w:marBottom w:val="0"/>
          <w:divBdr>
            <w:top w:val="none" w:sz="0" w:space="0" w:color="auto"/>
            <w:left w:val="none" w:sz="0" w:space="0" w:color="auto"/>
            <w:bottom w:val="none" w:sz="0" w:space="0" w:color="auto"/>
            <w:right w:val="none" w:sz="0" w:space="0" w:color="auto"/>
          </w:divBdr>
          <w:divsChild>
            <w:div w:id="1298604433">
              <w:marLeft w:val="0"/>
              <w:marRight w:val="0"/>
              <w:marTop w:val="0"/>
              <w:marBottom w:val="0"/>
              <w:divBdr>
                <w:top w:val="none" w:sz="0" w:space="0" w:color="auto"/>
                <w:left w:val="none" w:sz="0" w:space="0" w:color="auto"/>
                <w:bottom w:val="none" w:sz="0" w:space="0" w:color="auto"/>
                <w:right w:val="none" w:sz="0" w:space="0" w:color="auto"/>
              </w:divBdr>
            </w:div>
          </w:divsChild>
        </w:div>
        <w:div w:id="1109393531">
          <w:marLeft w:val="0"/>
          <w:marRight w:val="0"/>
          <w:marTop w:val="0"/>
          <w:marBottom w:val="0"/>
          <w:divBdr>
            <w:top w:val="none" w:sz="0" w:space="0" w:color="auto"/>
            <w:left w:val="none" w:sz="0" w:space="0" w:color="auto"/>
            <w:bottom w:val="none" w:sz="0" w:space="0" w:color="auto"/>
            <w:right w:val="none" w:sz="0" w:space="0" w:color="auto"/>
          </w:divBdr>
          <w:divsChild>
            <w:div w:id="424805585">
              <w:marLeft w:val="0"/>
              <w:marRight w:val="0"/>
              <w:marTop w:val="0"/>
              <w:marBottom w:val="0"/>
              <w:divBdr>
                <w:top w:val="none" w:sz="0" w:space="0" w:color="auto"/>
                <w:left w:val="none" w:sz="0" w:space="0" w:color="auto"/>
                <w:bottom w:val="none" w:sz="0" w:space="0" w:color="auto"/>
                <w:right w:val="none" w:sz="0" w:space="0" w:color="auto"/>
              </w:divBdr>
            </w:div>
          </w:divsChild>
        </w:div>
        <w:div w:id="1136992491">
          <w:marLeft w:val="0"/>
          <w:marRight w:val="0"/>
          <w:marTop w:val="0"/>
          <w:marBottom w:val="0"/>
          <w:divBdr>
            <w:top w:val="none" w:sz="0" w:space="0" w:color="auto"/>
            <w:left w:val="none" w:sz="0" w:space="0" w:color="auto"/>
            <w:bottom w:val="none" w:sz="0" w:space="0" w:color="auto"/>
            <w:right w:val="none" w:sz="0" w:space="0" w:color="auto"/>
          </w:divBdr>
          <w:divsChild>
            <w:div w:id="232276695">
              <w:marLeft w:val="0"/>
              <w:marRight w:val="0"/>
              <w:marTop w:val="0"/>
              <w:marBottom w:val="0"/>
              <w:divBdr>
                <w:top w:val="none" w:sz="0" w:space="0" w:color="auto"/>
                <w:left w:val="none" w:sz="0" w:space="0" w:color="auto"/>
                <w:bottom w:val="none" w:sz="0" w:space="0" w:color="auto"/>
                <w:right w:val="none" w:sz="0" w:space="0" w:color="auto"/>
              </w:divBdr>
            </w:div>
          </w:divsChild>
        </w:div>
        <w:div w:id="1169978071">
          <w:marLeft w:val="0"/>
          <w:marRight w:val="0"/>
          <w:marTop w:val="0"/>
          <w:marBottom w:val="0"/>
          <w:divBdr>
            <w:top w:val="none" w:sz="0" w:space="0" w:color="auto"/>
            <w:left w:val="none" w:sz="0" w:space="0" w:color="auto"/>
            <w:bottom w:val="none" w:sz="0" w:space="0" w:color="auto"/>
            <w:right w:val="none" w:sz="0" w:space="0" w:color="auto"/>
          </w:divBdr>
          <w:divsChild>
            <w:div w:id="1554121126">
              <w:marLeft w:val="0"/>
              <w:marRight w:val="0"/>
              <w:marTop w:val="0"/>
              <w:marBottom w:val="0"/>
              <w:divBdr>
                <w:top w:val="none" w:sz="0" w:space="0" w:color="auto"/>
                <w:left w:val="none" w:sz="0" w:space="0" w:color="auto"/>
                <w:bottom w:val="none" w:sz="0" w:space="0" w:color="auto"/>
                <w:right w:val="none" w:sz="0" w:space="0" w:color="auto"/>
              </w:divBdr>
            </w:div>
          </w:divsChild>
        </w:div>
        <w:div w:id="1200245379">
          <w:marLeft w:val="0"/>
          <w:marRight w:val="0"/>
          <w:marTop w:val="0"/>
          <w:marBottom w:val="0"/>
          <w:divBdr>
            <w:top w:val="none" w:sz="0" w:space="0" w:color="auto"/>
            <w:left w:val="none" w:sz="0" w:space="0" w:color="auto"/>
            <w:bottom w:val="none" w:sz="0" w:space="0" w:color="auto"/>
            <w:right w:val="none" w:sz="0" w:space="0" w:color="auto"/>
          </w:divBdr>
          <w:divsChild>
            <w:div w:id="1196844444">
              <w:marLeft w:val="0"/>
              <w:marRight w:val="0"/>
              <w:marTop w:val="0"/>
              <w:marBottom w:val="0"/>
              <w:divBdr>
                <w:top w:val="none" w:sz="0" w:space="0" w:color="auto"/>
                <w:left w:val="none" w:sz="0" w:space="0" w:color="auto"/>
                <w:bottom w:val="none" w:sz="0" w:space="0" w:color="auto"/>
                <w:right w:val="none" w:sz="0" w:space="0" w:color="auto"/>
              </w:divBdr>
            </w:div>
          </w:divsChild>
        </w:div>
        <w:div w:id="1387340134">
          <w:marLeft w:val="0"/>
          <w:marRight w:val="0"/>
          <w:marTop w:val="0"/>
          <w:marBottom w:val="0"/>
          <w:divBdr>
            <w:top w:val="none" w:sz="0" w:space="0" w:color="auto"/>
            <w:left w:val="none" w:sz="0" w:space="0" w:color="auto"/>
            <w:bottom w:val="none" w:sz="0" w:space="0" w:color="auto"/>
            <w:right w:val="none" w:sz="0" w:space="0" w:color="auto"/>
          </w:divBdr>
          <w:divsChild>
            <w:div w:id="2046055305">
              <w:marLeft w:val="0"/>
              <w:marRight w:val="0"/>
              <w:marTop w:val="0"/>
              <w:marBottom w:val="0"/>
              <w:divBdr>
                <w:top w:val="none" w:sz="0" w:space="0" w:color="auto"/>
                <w:left w:val="none" w:sz="0" w:space="0" w:color="auto"/>
                <w:bottom w:val="none" w:sz="0" w:space="0" w:color="auto"/>
                <w:right w:val="none" w:sz="0" w:space="0" w:color="auto"/>
              </w:divBdr>
            </w:div>
          </w:divsChild>
        </w:div>
        <w:div w:id="1397320466">
          <w:marLeft w:val="0"/>
          <w:marRight w:val="0"/>
          <w:marTop w:val="0"/>
          <w:marBottom w:val="0"/>
          <w:divBdr>
            <w:top w:val="none" w:sz="0" w:space="0" w:color="auto"/>
            <w:left w:val="none" w:sz="0" w:space="0" w:color="auto"/>
            <w:bottom w:val="none" w:sz="0" w:space="0" w:color="auto"/>
            <w:right w:val="none" w:sz="0" w:space="0" w:color="auto"/>
          </w:divBdr>
          <w:divsChild>
            <w:div w:id="1962496718">
              <w:marLeft w:val="0"/>
              <w:marRight w:val="0"/>
              <w:marTop w:val="0"/>
              <w:marBottom w:val="0"/>
              <w:divBdr>
                <w:top w:val="none" w:sz="0" w:space="0" w:color="auto"/>
                <w:left w:val="none" w:sz="0" w:space="0" w:color="auto"/>
                <w:bottom w:val="none" w:sz="0" w:space="0" w:color="auto"/>
                <w:right w:val="none" w:sz="0" w:space="0" w:color="auto"/>
              </w:divBdr>
            </w:div>
          </w:divsChild>
        </w:div>
        <w:div w:id="1435785954">
          <w:marLeft w:val="0"/>
          <w:marRight w:val="0"/>
          <w:marTop w:val="0"/>
          <w:marBottom w:val="0"/>
          <w:divBdr>
            <w:top w:val="none" w:sz="0" w:space="0" w:color="auto"/>
            <w:left w:val="none" w:sz="0" w:space="0" w:color="auto"/>
            <w:bottom w:val="none" w:sz="0" w:space="0" w:color="auto"/>
            <w:right w:val="none" w:sz="0" w:space="0" w:color="auto"/>
          </w:divBdr>
          <w:divsChild>
            <w:div w:id="1727030104">
              <w:marLeft w:val="0"/>
              <w:marRight w:val="0"/>
              <w:marTop w:val="0"/>
              <w:marBottom w:val="0"/>
              <w:divBdr>
                <w:top w:val="none" w:sz="0" w:space="0" w:color="auto"/>
                <w:left w:val="none" w:sz="0" w:space="0" w:color="auto"/>
                <w:bottom w:val="none" w:sz="0" w:space="0" w:color="auto"/>
                <w:right w:val="none" w:sz="0" w:space="0" w:color="auto"/>
              </w:divBdr>
            </w:div>
          </w:divsChild>
        </w:div>
        <w:div w:id="1495073926">
          <w:marLeft w:val="0"/>
          <w:marRight w:val="0"/>
          <w:marTop w:val="0"/>
          <w:marBottom w:val="0"/>
          <w:divBdr>
            <w:top w:val="none" w:sz="0" w:space="0" w:color="auto"/>
            <w:left w:val="none" w:sz="0" w:space="0" w:color="auto"/>
            <w:bottom w:val="none" w:sz="0" w:space="0" w:color="auto"/>
            <w:right w:val="none" w:sz="0" w:space="0" w:color="auto"/>
          </w:divBdr>
          <w:divsChild>
            <w:div w:id="1588418702">
              <w:marLeft w:val="0"/>
              <w:marRight w:val="0"/>
              <w:marTop w:val="0"/>
              <w:marBottom w:val="0"/>
              <w:divBdr>
                <w:top w:val="none" w:sz="0" w:space="0" w:color="auto"/>
                <w:left w:val="none" w:sz="0" w:space="0" w:color="auto"/>
                <w:bottom w:val="none" w:sz="0" w:space="0" w:color="auto"/>
                <w:right w:val="none" w:sz="0" w:space="0" w:color="auto"/>
              </w:divBdr>
            </w:div>
          </w:divsChild>
        </w:div>
        <w:div w:id="1601721805">
          <w:marLeft w:val="0"/>
          <w:marRight w:val="0"/>
          <w:marTop w:val="0"/>
          <w:marBottom w:val="0"/>
          <w:divBdr>
            <w:top w:val="none" w:sz="0" w:space="0" w:color="auto"/>
            <w:left w:val="none" w:sz="0" w:space="0" w:color="auto"/>
            <w:bottom w:val="none" w:sz="0" w:space="0" w:color="auto"/>
            <w:right w:val="none" w:sz="0" w:space="0" w:color="auto"/>
          </w:divBdr>
          <w:divsChild>
            <w:div w:id="1981685488">
              <w:marLeft w:val="0"/>
              <w:marRight w:val="0"/>
              <w:marTop w:val="0"/>
              <w:marBottom w:val="0"/>
              <w:divBdr>
                <w:top w:val="none" w:sz="0" w:space="0" w:color="auto"/>
                <w:left w:val="none" w:sz="0" w:space="0" w:color="auto"/>
                <w:bottom w:val="none" w:sz="0" w:space="0" w:color="auto"/>
                <w:right w:val="none" w:sz="0" w:space="0" w:color="auto"/>
              </w:divBdr>
            </w:div>
          </w:divsChild>
        </w:div>
        <w:div w:id="1635329970">
          <w:marLeft w:val="0"/>
          <w:marRight w:val="0"/>
          <w:marTop w:val="0"/>
          <w:marBottom w:val="0"/>
          <w:divBdr>
            <w:top w:val="none" w:sz="0" w:space="0" w:color="auto"/>
            <w:left w:val="none" w:sz="0" w:space="0" w:color="auto"/>
            <w:bottom w:val="none" w:sz="0" w:space="0" w:color="auto"/>
            <w:right w:val="none" w:sz="0" w:space="0" w:color="auto"/>
          </w:divBdr>
          <w:divsChild>
            <w:div w:id="1239368604">
              <w:marLeft w:val="0"/>
              <w:marRight w:val="0"/>
              <w:marTop w:val="0"/>
              <w:marBottom w:val="0"/>
              <w:divBdr>
                <w:top w:val="none" w:sz="0" w:space="0" w:color="auto"/>
                <w:left w:val="none" w:sz="0" w:space="0" w:color="auto"/>
                <w:bottom w:val="none" w:sz="0" w:space="0" w:color="auto"/>
                <w:right w:val="none" w:sz="0" w:space="0" w:color="auto"/>
              </w:divBdr>
            </w:div>
          </w:divsChild>
        </w:div>
        <w:div w:id="1725910128">
          <w:marLeft w:val="0"/>
          <w:marRight w:val="0"/>
          <w:marTop w:val="0"/>
          <w:marBottom w:val="0"/>
          <w:divBdr>
            <w:top w:val="none" w:sz="0" w:space="0" w:color="auto"/>
            <w:left w:val="none" w:sz="0" w:space="0" w:color="auto"/>
            <w:bottom w:val="none" w:sz="0" w:space="0" w:color="auto"/>
            <w:right w:val="none" w:sz="0" w:space="0" w:color="auto"/>
          </w:divBdr>
          <w:divsChild>
            <w:div w:id="1650405172">
              <w:marLeft w:val="0"/>
              <w:marRight w:val="0"/>
              <w:marTop w:val="0"/>
              <w:marBottom w:val="0"/>
              <w:divBdr>
                <w:top w:val="none" w:sz="0" w:space="0" w:color="auto"/>
                <w:left w:val="none" w:sz="0" w:space="0" w:color="auto"/>
                <w:bottom w:val="none" w:sz="0" w:space="0" w:color="auto"/>
                <w:right w:val="none" w:sz="0" w:space="0" w:color="auto"/>
              </w:divBdr>
            </w:div>
          </w:divsChild>
        </w:div>
        <w:div w:id="1727336701">
          <w:marLeft w:val="0"/>
          <w:marRight w:val="0"/>
          <w:marTop w:val="0"/>
          <w:marBottom w:val="0"/>
          <w:divBdr>
            <w:top w:val="none" w:sz="0" w:space="0" w:color="auto"/>
            <w:left w:val="none" w:sz="0" w:space="0" w:color="auto"/>
            <w:bottom w:val="none" w:sz="0" w:space="0" w:color="auto"/>
            <w:right w:val="none" w:sz="0" w:space="0" w:color="auto"/>
          </w:divBdr>
          <w:divsChild>
            <w:div w:id="470362908">
              <w:marLeft w:val="0"/>
              <w:marRight w:val="0"/>
              <w:marTop w:val="0"/>
              <w:marBottom w:val="0"/>
              <w:divBdr>
                <w:top w:val="none" w:sz="0" w:space="0" w:color="auto"/>
                <w:left w:val="none" w:sz="0" w:space="0" w:color="auto"/>
                <w:bottom w:val="none" w:sz="0" w:space="0" w:color="auto"/>
                <w:right w:val="none" w:sz="0" w:space="0" w:color="auto"/>
              </w:divBdr>
            </w:div>
          </w:divsChild>
        </w:div>
        <w:div w:id="1745297251">
          <w:marLeft w:val="0"/>
          <w:marRight w:val="0"/>
          <w:marTop w:val="0"/>
          <w:marBottom w:val="0"/>
          <w:divBdr>
            <w:top w:val="none" w:sz="0" w:space="0" w:color="auto"/>
            <w:left w:val="none" w:sz="0" w:space="0" w:color="auto"/>
            <w:bottom w:val="none" w:sz="0" w:space="0" w:color="auto"/>
            <w:right w:val="none" w:sz="0" w:space="0" w:color="auto"/>
          </w:divBdr>
          <w:divsChild>
            <w:div w:id="124005982">
              <w:marLeft w:val="0"/>
              <w:marRight w:val="0"/>
              <w:marTop w:val="0"/>
              <w:marBottom w:val="0"/>
              <w:divBdr>
                <w:top w:val="none" w:sz="0" w:space="0" w:color="auto"/>
                <w:left w:val="none" w:sz="0" w:space="0" w:color="auto"/>
                <w:bottom w:val="none" w:sz="0" w:space="0" w:color="auto"/>
                <w:right w:val="none" w:sz="0" w:space="0" w:color="auto"/>
              </w:divBdr>
            </w:div>
          </w:divsChild>
        </w:div>
        <w:div w:id="1788817659">
          <w:marLeft w:val="0"/>
          <w:marRight w:val="0"/>
          <w:marTop w:val="0"/>
          <w:marBottom w:val="0"/>
          <w:divBdr>
            <w:top w:val="none" w:sz="0" w:space="0" w:color="auto"/>
            <w:left w:val="none" w:sz="0" w:space="0" w:color="auto"/>
            <w:bottom w:val="none" w:sz="0" w:space="0" w:color="auto"/>
            <w:right w:val="none" w:sz="0" w:space="0" w:color="auto"/>
          </w:divBdr>
          <w:divsChild>
            <w:div w:id="983705175">
              <w:marLeft w:val="0"/>
              <w:marRight w:val="0"/>
              <w:marTop w:val="0"/>
              <w:marBottom w:val="0"/>
              <w:divBdr>
                <w:top w:val="none" w:sz="0" w:space="0" w:color="auto"/>
                <w:left w:val="none" w:sz="0" w:space="0" w:color="auto"/>
                <w:bottom w:val="none" w:sz="0" w:space="0" w:color="auto"/>
                <w:right w:val="none" w:sz="0" w:space="0" w:color="auto"/>
              </w:divBdr>
            </w:div>
          </w:divsChild>
        </w:div>
        <w:div w:id="1815756684">
          <w:marLeft w:val="0"/>
          <w:marRight w:val="0"/>
          <w:marTop w:val="0"/>
          <w:marBottom w:val="0"/>
          <w:divBdr>
            <w:top w:val="none" w:sz="0" w:space="0" w:color="auto"/>
            <w:left w:val="none" w:sz="0" w:space="0" w:color="auto"/>
            <w:bottom w:val="none" w:sz="0" w:space="0" w:color="auto"/>
            <w:right w:val="none" w:sz="0" w:space="0" w:color="auto"/>
          </w:divBdr>
          <w:divsChild>
            <w:div w:id="336008620">
              <w:marLeft w:val="0"/>
              <w:marRight w:val="0"/>
              <w:marTop w:val="0"/>
              <w:marBottom w:val="0"/>
              <w:divBdr>
                <w:top w:val="none" w:sz="0" w:space="0" w:color="auto"/>
                <w:left w:val="none" w:sz="0" w:space="0" w:color="auto"/>
                <w:bottom w:val="none" w:sz="0" w:space="0" w:color="auto"/>
                <w:right w:val="none" w:sz="0" w:space="0" w:color="auto"/>
              </w:divBdr>
            </w:div>
          </w:divsChild>
        </w:div>
        <w:div w:id="1828009390">
          <w:marLeft w:val="0"/>
          <w:marRight w:val="0"/>
          <w:marTop w:val="0"/>
          <w:marBottom w:val="0"/>
          <w:divBdr>
            <w:top w:val="none" w:sz="0" w:space="0" w:color="auto"/>
            <w:left w:val="none" w:sz="0" w:space="0" w:color="auto"/>
            <w:bottom w:val="none" w:sz="0" w:space="0" w:color="auto"/>
            <w:right w:val="none" w:sz="0" w:space="0" w:color="auto"/>
          </w:divBdr>
          <w:divsChild>
            <w:div w:id="825435885">
              <w:marLeft w:val="0"/>
              <w:marRight w:val="0"/>
              <w:marTop w:val="0"/>
              <w:marBottom w:val="0"/>
              <w:divBdr>
                <w:top w:val="none" w:sz="0" w:space="0" w:color="auto"/>
                <w:left w:val="none" w:sz="0" w:space="0" w:color="auto"/>
                <w:bottom w:val="none" w:sz="0" w:space="0" w:color="auto"/>
                <w:right w:val="none" w:sz="0" w:space="0" w:color="auto"/>
              </w:divBdr>
            </w:div>
          </w:divsChild>
        </w:div>
        <w:div w:id="1973896935">
          <w:marLeft w:val="0"/>
          <w:marRight w:val="0"/>
          <w:marTop w:val="0"/>
          <w:marBottom w:val="0"/>
          <w:divBdr>
            <w:top w:val="none" w:sz="0" w:space="0" w:color="auto"/>
            <w:left w:val="none" w:sz="0" w:space="0" w:color="auto"/>
            <w:bottom w:val="none" w:sz="0" w:space="0" w:color="auto"/>
            <w:right w:val="none" w:sz="0" w:space="0" w:color="auto"/>
          </w:divBdr>
          <w:divsChild>
            <w:div w:id="906843128">
              <w:marLeft w:val="0"/>
              <w:marRight w:val="0"/>
              <w:marTop w:val="0"/>
              <w:marBottom w:val="0"/>
              <w:divBdr>
                <w:top w:val="none" w:sz="0" w:space="0" w:color="auto"/>
                <w:left w:val="none" w:sz="0" w:space="0" w:color="auto"/>
                <w:bottom w:val="none" w:sz="0" w:space="0" w:color="auto"/>
                <w:right w:val="none" w:sz="0" w:space="0" w:color="auto"/>
              </w:divBdr>
            </w:div>
          </w:divsChild>
        </w:div>
        <w:div w:id="1997803877">
          <w:marLeft w:val="0"/>
          <w:marRight w:val="0"/>
          <w:marTop w:val="0"/>
          <w:marBottom w:val="0"/>
          <w:divBdr>
            <w:top w:val="none" w:sz="0" w:space="0" w:color="auto"/>
            <w:left w:val="none" w:sz="0" w:space="0" w:color="auto"/>
            <w:bottom w:val="none" w:sz="0" w:space="0" w:color="auto"/>
            <w:right w:val="none" w:sz="0" w:space="0" w:color="auto"/>
          </w:divBdr>
          <w:divsChild>
            <w:div w:id="820274123">
              <w:marLeft w:val="0"/>
              <w:marRight w:val="0"/>
              <w:marTop w:val="0"/>
              <w:marBottom w:val="0"/>
              <w:divBdr>
                <w:top w:val="none" w:sz="0" w:space="0" w:color="auto"/>
                <w:left w:val="none" w:sz="0" w:space="0" w:color="auto"/>
                <w:bottom w:val="none" w:sz="0" w:space="0" w:color="auto"/>
                <w:right w:val="none" w:sz="0" w:space="0" w:color="auto"/>
              </w:divBdr>
            </w:div>
          </w:divsChild>
        </w:div>
        <w:div w:id="2033990350">
          <w:marLeft w:val="0"/>
          <w:marRight w:val="0"/>
          <w:marTop w:val="0"/>
          <w:marBottom w:val="0"/>
          <w:divBdr>
            <w:top w:val="none" w:sz="0" w:space="0" w:color="auto"/>
            <w:left w:val="none" w:sz="0" w:space="0" w:color="auto"/>
            <w:bottom w:val="none" w:sz="0" w:space="0" w:color="auto"/>
            <w:right w:val="none" w:sz="0" w:space="0" w:color="auto"/>
          </w:divBdr>
          <w:divsChild>
            <w:div w:id="516894693">
              <w:marLeft w:val="0"/>
              <w:marRight w:val="0"/>
              <w:marTop w:val="0"/>
              <w:marBottom w:val="0"/>
              <w:divBdr>
                <w:top w:val="none" w:sz="0" w:space="0" w:color="auto"/>
                <w:left w:val="none" w:sz="0" w:space="0" w:color="auto"/>
                <w:bottom w:val="none" w:sz="0" w:space="0" w:color="auto"/>
                <w:right w:val="none" w:sz="0" w:space="0" w:color="auto"/>
              </w:divBdr>
            </w:div>
          </w:divsChild>
        </w:div>
        <w:div w:id="2138987910">
          <w:marLeft w:val="0"/>
          <w:marRight w:val="0"/>
          <w:marTop w:val="0"/>
          <w:marBottom w:val="0"/>
          <w:divBdr>
            <w:top w:val="none" w:sz="0" w:space="0" w:color="auto"/>
            <w:left w:val="none" w:sz="0" w:space="0" w:color="auto"/>
            <w:bottom w:val="none" w:sz="0" w:space="0" w:color="auto"/>
            <w:right w:val="none" w:sz="0" w:space="0" w:color="auto"/>
          </w:divBdr>
          <w:divsChild>
            <w:div w:id="212726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54084">
      <w:bodyDiv w:val="1"/>
      <w:marLeft w:val="0"/>
      <w:marRight w:val="0"/>
      <w:marTop w:val="0"/>
      <w:marBottom w:val="0"/>
      <w:divBdr>
        <w:top w:val="none" w:sz="0" w:space="0" w:color="auto"/>
        <w:left w:val="none" w:sz="0" w:space="0" w:color="auto"/>
        <w:bottom w:val="none" w:sz="0" w:space="0" w:color="auto"/>
        <w:right w:val="none" w:sz="0" w:space="0" w:color="auto"/>
      </w:divBdr>
    </w:div>
    <w:div w:id="2081175181">
      <w:bodyDiv w:val="1"/>
      <w:marLeft w:val="0"/>
      <w:marRight w:val="0"/>
      <w:marTop w:val="0"/>
      <w:marBottom w:val="0"/>
      <w:divBdr>
        <w:top w:val="none" w:sz="0" w:space="0" w:color="auto"/>
        <w:left w:val="none" w:sz="0" w:space="0" w:color="auto"/>
        <w:bottom w:val="none" w:sz="0" w:space="0" w:color="auto"/>
        <w:right w:val="none" w:sz="0" w:space="0" w:color="auto"/>
      </w:divBdr>
    </w:div>
    <w:div w:id="2087149824">
      <w:bodyDiv w:val="1"/>
      <w:marLeft w:val="0"/>
      <w:marRight w:val="0"/>
      <w:marTop w:val="0"/>
      <w:marBottom w:val="0"/>
      <w:divBdr>
        <w:top w:val="none" w:sz="0" w:space="0" w:color="auto"/>
        <w:left w:val="none" w:sz="0" w:space="0" w:color="auto"/>
        <w:bottom w:val="none" w:sz="0" w:space="0" w:color="auto"/>
        <w:right w:val="none" w:sz="0" w:space="0" w:color="auto"/>
      </w:divBdr>
    </w:div>
    <w:div w:id="2088113662">
      <w:bodyDiv w:val="1"/>
      <w:marLeft w:val="0"/>
      <w:marRight w:val="0"/>
      <w:marTop w:val="0"/>
      <w:marBottom w:val="0"/>
      <w:divBdr>
        <w:top w:val="none" w:sz="0" w:space="0" w:color="auto"/>
        <w:left w:val="none" w:sz="0" w:space="0" w:color="auto"/>
        <w:bottom w:val="none" w:sz="0" w:space="0" w:color="auto"/>
        <w:right w:val="none" w:sz="0" w:space="0" w:color="auto"/>
      </w:divBdr>
    </w:div>
    <w:div w:id="2102339010">
      <w:bodyDiv w:val="1"/>
      <w:marLeft w:val="0"/>
      <w:marRight w:val="0"/>
      <w:marTop w:val="0"/>
      <w:marBottom w:val="0"/>
      <w:divBdr>
        <w:top w:val="none" w:sz="0" w:space="0" w:color="auto"/>
        <w:left w:val="none" w:sz="0" w:space="0" w:color="auto"/>
        <w:bottom w:val="none" w:sz="0" w:space="0" w:color="auto"/>
        <w:right w:val="none" w:sz="0" w:space="0" w:color="auto"/>
      </w:divBdr>
    </w:div>
    <w:div w:id="2108773466">
      <w:bodyDiv w:val="1"/>
      <w:marLeft w:val="0"/>
      <w:marRight w:val="0"/>
      <w:marTop w:val="0"/>
      <w:marBottom w:val="0"/>
      <w:divBdr>
        <w:top w:val="none" w:sz="0" w:space="0" w:color="auto"/>
        <w:left w:val="none" w:sz="0" w:space="0" w:color="auto"/>
        <w:bottom w:val="none" w:sz="0" w:space="0" w:color="auto"/>
        <w:right w:val="none" w:sz="0" w:space="0" w:color="auto"/>
      </w:divBdr>
    </w:div>
    <w:div w:id="2111702753">
      <w:bodyDiv w:val="1"/>
      <w:marLeft w:val="0"/>
      <w:marRight w:val="0"/>
      <w:marTop w:val="0"/>
      <w:marBottom w:val="0"/>
      <w:divBdr>
        <w:top w:val="none" w:sz="0" w:space="0" w:color="auto"/>
        <w:left w:val="none" w:sz="0" w:space="0" w:color="auto"/>
        <w:bottom w:val="none" w:sz="0" w:space="0" w:color="auto"/>
        <w:right w:val="none" w:sz="0" w:space="0" w:color="auto"/>
      </w:divBdr>
    </w:div>
    <w:div w:id="2114475466">
      <w:bodyDiv w:val="1"/>
      <w:marLeft w:val="0"/>
      <w:marRight w:val="0"/>
      <w:marTop w:val="0"/>
      <w:marBottom w:val="0"/>
      <w:divBdr>
        <w:top w:val="none" w:sz="0" w:space="0" w:color="auto"/>
        <w:left w:val="none" w:sz="0" w:space="0" w:color="auto"/>
        <w:bottom w:val="none" w:sz="0" w:space="0" w:color="auto"/>
        <w:right w:val="none" w:sz="0" w:space="0" w:color="auto"/>
      </w:divBdr>
    </w:div>
    <w:div w:id="2117675416">
      <w:bodyDiv w:val="1"/>
      <w:marLeft w:val="0"/>
      <w:marRight w:val="0"/>
      <w:marTop w:val="0"/>
      <w:marBottom w:val="0"/>
      <w:divBdr>
        <w:top w:val="none" w:sz="0" w:space="0" w:color="auto"/>
        <w:left w:val="none" w:sz="0" w:space="0" w:color="auto"/>
        <w:bottom w:val="none" w:sz="0" w:space="0" w:color="auto"/>
        <w:right w:val="none" w:sz="0" w:space="0" w:color="auto"/>
      </w:divBdr>
    </w:div>
    <w:div w:id="2121409155">
      <w:bodyDiv w:val="1"/>
      <w:marLeft w:val="0"/>
      <w:marRight w:val="0"/>
      <w:marTop w:val="0"/>
      <w:marBottom w:val="0"/>
      <w:divBdr>
        <w:top w:val="none" w:sz="0" w:space="0" w:color="auto"/>
        <w:left w:val="none" w:sz="0" w:space="0" w:color="auto"/>
        <w:bottom w:val="none" w:sz="0" w:space="0" w:color="auto"/>
        <w:right w:val="none" w:sz="0" w:space="0" w:color="auto"/>
      </w:divBdr>
      <w:divsChild>
        <w:div w:id="900365210">
          <w:marLeft w:val="0"/>
          <w:marRight w:val="0"/>
          <w:marTop w:val="0"/>
          <w:marBottom w:val="0"/>
          <w:divBdr>
            <w:top w:val="none" w:sz="0" w:space="0" w:color="auto"/>
            <w:left w:val="none" w:sz="0" w:space="0" w:color="auto"/>
            <w:bottom w:val="none" w:sz="0" w:space="0" w:color="auto"/>
            <w:right w:val="none" w:sz="0" w:space="0" w:color="auto"/>
          </w:divBdr>
        </w:div>
        <w:div w:id="1088389013">
          <w:marLeft w:val="0"/>
          <w:marRight w:val="0"/>
          <w:marTop w:val="0"/>
          <w:marBottom w:val="0"/>
          <w:divBdr>
            <w:top w:val="none" w:sz="0" w:space="0" w:color="auto"/>
            <w:left w:val="none" w:sz="0" w:space="0" w:color="auto"/>
            <w:bottom w:val="none" w:sz="0" w:space="0" w:color="auto"/>
            <w:right w:val="none" w:sz="0" w:space="0" w:color="auto"/>
          </w:divBdr>
        </w:div>
        <w:div w:id="1429888195">
          <w:marLeft w:val="0"/>
          <w:marRight w:val="0"/>
          <w:marTop w:val="0"/>
          <w:marBottom w:val="0"/>
          <w:divBdr>
            <w:top w:val="none" w:sz="0" w:space="0" w:color="auto"/>
            <w:left w:val="none" w:sz="0" w:space="0" w:color="auto"/>
            <w:bottom w:val="none" w:sz="0" w:space="0" w:color="auto"/>
            <w:right w:val="none" w:sz="0" w:space="0" w:color="auto"/>
          </w:divBdr>
        </w:div>
      </w:divsChild>
    </w:div>
    <w:div w:id="2138137142">
      <w:bodyDiv w:val="1"/>
      <w:marLeft w:val="0"/>
      <w:marRight w:val="0"/>
      <w:marTop w:val="0"/>
      <w:marBottom w:val="0"/>
      <w:divBdr>
        <w:top w:val="none" w:sz="0" w:space="0" w:color="auto"/>
        <w:left w:val="none" w:sz="0" w:space="0" w:color="auto"/>
        <w:bottom w:val="none" w:sz="0" w:space="0" w:color="auto"/>
        <w:right w:val="none" w:sz="0" w:space="0" w:color="auto"/>
      </w:divBdr>
      <w:divsChild>
        <w:div w:id="86730593">
          <w:marLeft w:val="0"/>
          <w:marRight w:val="0"/>
          <w:marTop w:val="0"/>
          <w:marBottom w:val="0"/>
          <w:divBdr>
            <w:top w:val="none" w:sz="0" w:space="0" w:color="auto"/>
            <w:left w:val="none" w:sz="0" w:space="0" w:color="auto"/>
            <w:bottom w:val="none" w:sz="0" w:space="0" w:color="auto"/>
            <w:right w:val="none" w:sz="0" w:space="0" w:color="auto"/>
          </w:divBdr>
          <w:divsChild>
            <w:div w:id="1093356139">
              <w:marLeft w:val="0"/>
              <w:marRight w:val="0"/>
              <w:marTop w:val="0"/>
              <w:marBottom w:val="0"/>
              <w:divBdr>
                <w:top w:val="none" w:sz="0" w:space="0" w:color="auto"/>
                <w:left w:val="none" w:sz="0" w:space="0" w:color="auto"/>
                <w:bottom w:val="none" w:sz="0" w:space="0" w:color="auto"/>
                <w:right w:val="none" w:sz="0" w:space="0" w:color="auto"/>
              </w:divBdr>
            </w:div>
          </w:divsChild>
        </w:div>
        <w:div w:id="233708912">
          <w:marLeft w:val="0"/>
          <w:marRight w:val="0"/>
          <w:marTop w:val="0"/>
          <w:marBottom w:val="0"/>
          <w:divBdr>
            <w:top w:val="none" w:sz="0" w:space="0" w:color="auto"/>
            <w:left w:val="none" w:sz="0" w:space="0" w:color="auto"/>
            <w:bottom w:val="none" w:sz="0" w:space="0" w:color="auto"/>
            <w:right w:val="none" w:sz="0" w:space="0" w:color="auto"/>
          </w:divBdr>
          <w:divsChild>
            <w:div w:id="1759398621">
              <w:marLeft w:val="0"/>
              <w:marRight w:val="0"/>
              <w:marTop w:val="0"/>
              <w:marBottom w:val="0"/>
              <w:divBdr>
                <w:top w:val="none" w:sz="0" w:space="0" w:color="auto"/>
                <w:left w:val="none" w:sz="0" w:space="0" w:color="auto"/>
                <w:bottom w:val="none" w:sz="0" w:space="0" w:color="auto"/>
                <w:right w:val="none" w:sz="0" w:space="0" w:color="auto"/>
              </w:divBdr>
            </w:div>
          </w:divsChild>
        </w:div>
        <w:div w:id="290206057">
          <w:marLeft w:val="0"/>
          <w:marRight w:val="0"/>
          <w:marTop w:val="0"/>
          <w:marBottom w:val="0"/>
          <w:divBdr>
            <w:top w:val="none" w:sz="0" w:space="0" w:color="auto"/>
            <w:left w:val="none" w:sz="0" w:space="0" w:color="auto"/>
            <w:bottom w:val="none" w:sz="0" w:space="0" w:color="auto"/>
            <w:right w:val="none" w:sz="0" w:space="0" w:color="auto"/>
          </w:divBdr>
          <w:divsChild>
            <w:div w:id="1990791880">
              <w:marLeft w:val="0"/>
              <w:marRight w:val="0"/>
              <w:marTop w:val="0"/>
              <w:marBottom w:val="0"/>
              <w:divBdr>
                <w:top w:val="none" w:sz="0" w:space="0" w:color="auto"/>
                <w:left w:val="none" w:sz="0" w:space="0" w:color="auto"/>
                <w:bottom w:val="none" w:sz="0" w:space="0" w:color="auto"/>
                <w:right w:val="none" w:sz="0" w:space="0" w:color="auto"/>
              </w:divBdr>
            </w:div>
          </w:divsChild>
        </w:div>
        <w:div w:id="419108897">
          <w:marLeft w:val="0"/>
          <w:marRight w:val="0"/>
          <w:marTop w:val="0"/>
          <w:marBottom w:val="0"/>
          <w:divBdr>
            <w:top w:val="none" w:sz="0" w:space="0" w:color="auto"/>
            <w:left w:val="none" w:sz="0" w:space="0" w:color="auto"/>
            <w:bottom w:val="none" w:sz="0" w:space="0" w:color="auto"/>
            <w:right w:val="none" w:sz="0" w:space="0" w:color="auto"/>
          </w:divBdr>
          <w:divsChild>
            <w:div w:id="1478305899">
              <w:marLeft w:val="0"/>
              <w:marRight w:val="0"/>
              <w:marTop w:val="0"/>
              <w:marBottom w:val="0"/>
              <w:divBdr>
                <w:top w:val="none" w:sz="0" w:space="0" w:color="auto"/>
                <w:left w:val="none" w:sz="0" w:space="0" w:color="auto"/>
                <w:bottom w:val="none" w:sz="0" w:space="0" w:color="auto"/>
                <w:right w:val="none" w:sz="0" w:space="0" w:color="auto"/>
              </w:divBdr>
            </w:div>
          </w:divsChild>
        </w:div>
        <w:div w:id="498039858">
          <w:marLeft w:val="0"/>
          <w:marRight w:val="0"/>
          <w:marTop w:val="0"/>
          <w:marBottom w:val="0"/>
          <w:divBdr>
            <w:top w:val="none" w:sz="0" w:space="0" w:color="auto"/>
            <w:left w:val="none" w:sz="0" w:space="0" w:color="auto"/>
            <w:bottom w:val="none" w:sz="0" w:space="0" w:color="auto"/>
            <w:right w:val="none" w:sz="0" w:space="0" w:color="auto"/>
          </w:divBdr>
          <w:divsChild>
            <w:div w:id="284315194">
              <w:marLeft w:val="0"/>
              <w:marRight w:val="0"/>
              <w:marTop w:val="0"/>
              <w:marBottom w:val="0"/>
              <w:divBdr>
                <w:top w:val="none" w:sz="0" w:space="0" w:color="auto"/>
                <w:left w:val="none" w:sz="0" w:space="0" w:color="auto"/>
                <w:bottom w:val="none" w:sz="0" w:space="0" w:color="auto"/>
                <w:right w:val="none" w:sz="0" w:space="0" w:color="auto"/>
              </w:divBdr>
            </w:div>
          </w:divsChild>
        </w:div>
        <w:div w:id="774323673">
          <w:marLeft w:val="0"/>
          <w:marRight w:val="0"/>
          <w:marTop w:val="0"/>
          <w:marBottom w:val="0"/>
          <w:divBdr>
            <w:top w:val="none" w:sz="0" w:space="0" w:color="auto"/>
            <w:left w:val="none" w:sz="0" w:space="0" w:color="auto"/>
            <w:bottom w:val="none" w:sz="0" w:space="0" w:color="auto"/>
            <w:right w:val="none" w:sz="0" w:space="0" w:color="auto"/>
          </w:divBdr>
          <w:divsChild>
            <w:div w:id="72896856">
              <w:marLeft w:val="0"/>
              <w:marRight w:val="0"/>
              <w:marTop w:val="0"/>
              <w:marBottom w:val="0"/>
              <w:divBdr>
                <w:top w:val="none" w:sz="0" w:space="0" w:color="auto"/>
                <w:left w:val="none" w:sz="0" w:space="0" w:color="auto"/>
                <w:bottom w:val="none" w:sz="0" w:space="0" w:color="auto"/>
                <w:right w:val="none" w:sz="0" w:space="0" w:color="auto"/>
              </w:divBdr>
            </w:div>
          </w:divsChild>
        </w:div>
        <w:div w:id="1002774980">
          <w:marLeft w:val="0"/>
          <w:marRight w:val="0"/>
          <w:marTop w:val="0"/>
          <w:marBottom w:val="0"/>
          <w:divBdr>
            <w:top w:val="none" w:sz="0" w:space="0" w:color="auto"/>
            <w:left w:val="none" w:sz="0" w:space="0" w:color="auto"/>
            <w:bottom w:val="none" w:sz="0" w:space="0" w:color="auto"/>
            <w:right w:val="none" w:sz="0" w:space="0" w:color="auto"/>
          </w:divBdr>
          <w:divsChild>
            <w:div w:id="1294482094">
              <w:marLeft w:val="0"/>
              <w:marRight w:val="0"/>
              <w:marTop w:val="0"/>
              <w:marBottom w:val="0"/>
              <w:divBdr>
                <w:top w:val="none" w:sz="0" w:space="0" w:color="auto"/>
                <w:left w:val="none" w:sz="0" w:space="0" w:color="auto"/>
                <w:bottom w:val="none" w:sz="0" w:space="0" w:color="auto"/>
                <w:right w:val="none" w:sz="0" w:space="0" w:color="auto"/>
              </w:divBdr>
            </w:div>
          </w:divsChild>
        </w:div>
        <w:div w:id="1025445451">
          <w:marLeft w:val="0"/>
          <w:marRight w:val="0"/>
          <w:marTop w:val="0"/>
          <w:marBottom w:val="0"/>
          <w:divBdr>
            <w:top w:val="none" w:sz="0" w:space="0" w:color="auto"/>
            <w:left w:val="none" w:sz="0" w:space="0" w:color="auto"/>
            <w:bottom w:val="none" w:sz="0" w:space="0" w:color="auto"/>
            <w:right w:val="none" w:sz="0" w:space="0" w:color="auto"/>
          </w:divBdr>
          <w:divsChild>
            <w:div w:id="1075203869">
              <w:marLeft w:val="0"/>
              <w:marRight w:val="0"/>
              <w:marTop w:val="0"/>
              <w:marBottom w:val="0"/>
              <w:divBdr>
                <w:top w:val="none" w:sz="0" w:space="0" w:color="auto"/>
                <w:left w:val="none" w:sz="0" w:space="0" w:color="auto"/>
                <w:bottom w:val="none" w:sz="0" w:space="0" w:color="auto"/>
                <w:right w:val="none" w:sz="0" w:space="0" w:color="auto"/>
              </w:divBdr>
            </w:div>
          </w:divsChild>
        </w:div>
        <w:div w:id="1219786890">
          <w:marLeft w:val="0"/>
          <w:marRight w:val="0"/>
          <w:marTop w:val="0"/>
          <w:marBottom w:val="0"/>
          <w:divBdr>
            <w:top w:val="none" w:sz="0" w:space="0" w:color="auto"/>
            <w:left w:val="none" w:sz="0" w:space="0" w:color="auto"/>
            <w:bottom w:val="none" w:sz="0" w:space="0" w:color="auto"/>
            <w:right w:val="none" w:sz="0" w:space="0" w:color="auto"/>
          </w:divBdr>
          <w:divsChild>
            <w:div w:id="2114671263">
              <w:marLeft w:val="0"/>
              <w:marRight w:val="0"/>
              <w:marTop w:val="0"/>
              <w:marBottom w:val="0"/>
              <w:divBdr>
                <w:top w:val="none" w:sz="0" w:space="0" w:color="auto"/>
                <w:left w:val="none" w:sz="0" w:space="0" w:color="auto"/>
                <w:bottom w:val="none" w:sz="0" w:space="0" w:color="auto"/>
                <w:right w:val="none" w:sz="0" w:space="0" w:color="auto"/>
              </w:divBdr>
            </w:div>
          </w:divsChild>
        </w:div>
        <w:div w:id="1227450016">
          <w:marLeft w:val="0"/>
          <w:marRight w:val="0"/>
          <w:marTop w:val="0"/>
          <w:marBottom w:val="0"/>
          <w:divBdr>
            <w:top w:val="none" w:sz="0" w:space="0" w:color="auto"/>
            <w:left w:val="none" w:sz="0" w:space="0" w:color="auto"/>
            <w:bottom w:val="none" w:sz="0" w:space="0" w:color="auto"/>
            <w:right w:val="none" w:sz="0" w:space="0" w:color="auto"/>
          </w:divBdr>
          <w:divsChild>
            <w:div w:id="1686127579">
              <w:marLeft w:val="0"/>
              <w:marRight w:val="0"/>
              <w:marTop w:val="0"/>
              <w:marBottom w:val="0"/>
              <w:divBdr>
                <w:top w:val="none" w:sz="0" w:space="0" w:color="auto"/>
                <w:left w:val="none" w:sz="0" w:space="0" w:color="auto"/>
                <w:bottom w:val="none" w:sz="0" w:space="0" w:color="auto"/>
                <w:right w:val="none" w:sz="0" w:space="0" w:color="auto"/>
              </w:divBdr>
            </w:div>
          </w:divsChild>
        </w:div>
        <w:div w:id="1361854373">
          <w:marLeft w:val="0"/>
          <w:marRight w:val="0"/>
          <w:marTop w:val="0"/>
          <w:marBottom w:val="0"/>
          <w:divBdr>
            <w:top w:val="none" w:sz="0" w:space="0" w:color="auto"/>
            <w:left w:val="none" w:sz="0" w:space="0" w:color="auto"/>
            <w:bottom w:val="none" w:sz="0" w:space="0" w:color="auto"/>
            <w:right w:val="none" w:sz="0" w:space="0" w:color="auto"/>
          </w:divBdr>
          <w:divsChild>
            <w:div w:id="724109575">
              <w:marLeft w:val="0"/>
              <w:marRight w:val="0"/>
              <w:marTop w:val="0"/>
              <w:marBottom w:val="0"/>
              <w:divBdr>
                <w:top w:val="none" w:sz="0" w:space="0" w:color="auto"/>
                <w:left w:val="none" w:sz="0" w:space="0" w:color="auto"/>
                <w:bottom w:val="none" w:sz="0" w:space="0" w:color="auto"/>
                <w:right w:val="none" w:sz="0" w:space="0" w:color="auto"/>
              </w:divBdr>
            </w:div>
          </w:divsChild>
        </w:div>
        <w:div w:id="1387994921">
          <w:marLeft w:val="0"/>
          <w:marRight w:val="0"/>
          <w:marTop w:val="0"/>
          <w:marBottom w:val="0"/>
          <w:divBdr>
            <w:top w:val="none" w:sz="0" w:space="0" w:color="auto"/>
            <w:left w:val="none" w:sz="0" w:space="0" w:color="auto"/>
            <w:bottom w:val="none" w:sz="0" w:space="0" w:color="auto"/>
            <w:right w:val="none" w:sz="0" w:space="0" w:color="auto"/>
          </w:divBdr>
          <w:divsChild>
            <w:div w:id="1560482646">
              <w:marLeft w:val="0"/>
              <w:marRight w:val="0"/>
              <w:marTop w:val="0"/>
              <w:marBottom w:val="0"/>
              <w:divBdr>
                <w:top w:val="none" w:sz="0" w:space="0" w:color="auto"/>
                <w:left w:val="none" w:sz="0" w:space="0" w:color="auto"/>
                <w:bottom w:val="none" w:sz="0" w:space="0" w:color="auto"/>
                <w:right w:val="none" w:sz="0" w:space="0" w:color="auto"/>
              </w:divBdr>
            </w:div>
          </w:divsChild>
        </w:div>
        <w:div w:id="1515608320">
          <w:marLeft w:val="0"/>
          <w:marRight w:val="0"/>
          <w:marTop w:val="0"/>
          <w:marBottom w:val="0"/>
          <w:divBdr>
            <w:top w:val="none" w:sz="0" w:space="0" w:color="auto"/>
            <w:left w:val="none" w:sz="0" w:space="0" w:color="auto"/>
            <w:bottom w:val="none" w:sz="0" w:space="0" w:color="auto"/>
            <w:right w:val="none" w:sz="0" w:space="0" w:color="auto"/>
          </w:divBdr>
          <w:divsChild>
            <w:div w:id="892929967">
              <w:marLeft w:val="0"/>
              <w:marRight w:val="0"/>
              <w:marTop w:val="0"/>
              <w:marBottom w:val="0"/>
              <w:divBdr>
                <w:top w:val="none" w:sz="0" w:space="0" w:color="auto"/>
                <w:left w:val="none" w:sz="0" w:space="0" w:color="auto"/>
                <w:bottom w:val="none" w:sz="0" w:space="0" w:color="auto"/>
                <w:right w:val="none" w:sz="0" w:space="0" w:color="auto"/>
              </w:divBdr>
            </w:div>
          </w:divsChild>
        </w:div>
        <w:div w:id="1655449336">
          <w:marLeft w:val="0"/>
          <w:marRight w:val="0"/>
          <w:marTop w:val="0"/>
          <w:marBottom w:val="0"/>
          <w:divBdr>
            <w:top w:val="none" w:sz="0" w:space="0" w:color="auto"/>
            <w:left w:val="none" w:sz="0" w:space="0" w:color="auto"/>
            <w:bottom w:val="none" w:sz="0" w:space="0" w:color="auto"/>
            <w:right w:val="none" w:sz="0" w:space="0" w:color="auto"/>
          </w:divBdr>
          <w:divsChild>
            <w:div w:id="704134391">
              <w:marLeft w:val="0"/>
              <w:marRight w:val="0"/>
              <w:marTop w:val="0"/>
              <w:marBottom w:val="0"/>
              <w:divBdr>
                <w:top w:val="none" w:sz="0" w:space="0" w:color="auto"/>
                <w:left w:val="none" w:sz="0" w:space="0" w:color="auto"/>
                <w:bottom w:val="none" w:sz="0" w:space="0" w:color="auto"/>
                <w:right w:val="none" w:sz="0" w:space="0" w:color="auto"/>
              </w:divBdr>
            </w:div>
          </w:divsChild>
        </w:div>
        <w:div w:id="1923562455">
          <w:marLeft w:val="0"/>
          <w:marRight w:val="0"/>
          <w:marTop w:val="0"/>
          <w:marBottom w:val="0"/>
          <w:divBdr>
            <w:top w:val="none" w:sz="0" w:space="0" w:color="auto"/>
            <w:left w:val="none" w:sz="0" w:space="0" w:color="auto"/>
            <w:bottom w:val="none" w:sz="0" w:space="0" w:color="auto"/>
            <w:right w:val="none" w:sz="0" w:space="0" w:color="auto"/>
          </w:divBdr>
          <w:divsChild>
            <w:div w:id="344215153">
              <w:marLeft w:val="0"/>
              <w:marRight w:val="0"/>
              <w:marTop w:val="0"/>
              <w:marBottom w:val="0"/>
              <w:divBdr>
                <w:top w:val="none" w:sz="0" w:space="0" w:color="auto"/>
                <w:left w:val="none" w:sz="0" w:space="0" w:color="auto"/>
                <w:bottom w:val="none" w:sz="0" w:space="0" w:color="auto"/>
                <w:right w:val="none" w:sz="0" w:space="0" w:color="auto"/>
              </w:divBdr>
            </w:div>
          </w:divsChild>
        </w:div>
        <w:div w:id="1946568762">
          <w:marLeft w:val="0"/>
          <w:marRight w:val="0"/>
          <w:marTop w:val="0"/>
          <w:marBottom w:val="0"/>
          <w:divBdr>
            <w:top w:val="none" w:sz="0" w:space="0" w:color="auto"/>
            <w:left w:val="none" w:sz="0" w:space="0" w:color="auto"/>
            <w:bottom w:val="none" w:sz="0" w:space="0" w:color="auto"/>
            <w:right w:val="none" w:sz="0" w:space="0" w:color="auto"/>
          </w:divBdr>
          <w:divsChild>
            <w:div w:id="14850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jcr-my.sharepoint.com/:f:/g/personal/mmesent_poder-judicial_go_cr/Ev_QIXOmZF1Hr4-BU-pU76oBfEd7wnOBhpLqFy3gT04ITQ?e=RWxeX6" TargetMode="External"/><Relationship Id="rId18" Type="http://schemas.openxmlformats.org/officeDocument/2006/relationships/hyperlink" Target="https://pjcr-my.sharepoint.com/:f:/g/personal/mmesent_poder-judicial_go_cr/En3hHLyNrqpLo_w8cyMV2WoB11XuhecBcPg8x2AiN7NptA?e=Yr7Da7" TargetMode="External"/><Relationship Id="rId26" Type="http://schemas.openxmlformats.org/officeDocument/2006/relationships/hyperlink" Target="https://pjcr-my.sharepoint.com/:f:/g/personal/mmesent_poder-judicial_go_cr/EuoXYsYXcytFiu0mUPeX7oMBs2mWy1EDlhqPdHwECRU8Ng?e=qL7LtI" TargetMode="External"/><Relationship Id="rId39" Type="http://schemas.openxmlformats.org/officeDocument/2006/relationships/oleObject" Target="embeddings/oleObject2.bin"/><Relationship Id="rId21" Type="http://schemas.openxmlformats.org/officeDocument/2006/relationships/hyperlink" Target="https://pjcr-my.sharepoint.com/:f:/g/personal/mmesent_poder-judicial_go_cr/ElzkXtjgq65GvQ57PxctA18BPrLU2soDnP9rj-T_tvZfSA?e=GzIdQ9" TargetMode="External"/><Relationship Id="rId34" Type="http://schemas.openxmlformats.org/officeDocument/2006/relationships/hyperlink" Target="https://pjcr-my.sharepoint.com/:f:/g/personal/mmesent_poder-judicial_go_cr/EuuOWrmlGJ9HutXk8XfEvL8BdbxMzq03RF9aM50r0Swntw?e=sM6O7s" TargetMode="External"/><Relationship Id="rId42" Type="http://schemas.openxmlformats.org/officeDocument/2006/relationships/image" Target="media/image4.emf"/><Relationship Id="rId47" Type="http://schemas.openxmlformats.org/officeDocument/2006/relationships/oleObject" Target="embeddings/oleObject7.bin"/><Relationship Id="rId50" Type="http://schemas.openxmlformats.org/officeDocument/2006/relationships/image" Target="media/image7.emf"/><Relationship Id="rId55" Type="http://schemas.openxmlformats.org/officeDocument/2006/relationships/oleObject" Target="embeddings/oleObject10.bin"/><Relationship Id="rId63" Type="http://schemas.openxmlformats.org/officeDocument/2006/relationships/hyperlink" Target="https://pjcr-my.sharepoint.com/:f:/g/personal/mmesent_poder-judicial_go_cr/ErfEGOVwEcJGlEhped4fv78BSpqd6FXz_ndOqmgpMwZ0kw?e=9gxrPf" TargetMode="External"/><Relationship Id="rId68" Type="http://schemas.openxmlformats.org/officeDocument/2006/relationships/hyperlink" Target="https://pjcr-my.sharepoint.com/:x:/g/personal/mmesent_poder-judicial_go_cr/EeAcZSLVo09DqiVR-XIiE6YBDC_MBxfrv73qT9ZU0Qgbhw?e=pwLWwg" TargetMode="External"/><Relationship Id="rId76" Type="http://schemas.openxmlformats.org/officeDocument/2006/relationships/hyperlink" Target="https://pjcr-my.sharepoint.com/:b:/g/personal/amurillob_poder-judicial_go_cr/EXpx9eBGnXlMosIcWJDoja4BfekvQbSx9UAvDQIJoZWqag?e=HQdd0v" TargetMode="External"/><Relationship Id="rId84" Type="http://schemas.openxmlformats.org/officeDocument/2006/relationships/image" Target="media/image19.e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pjcr-my.sharepoint.com/:f:/g/personal/mmesent_poder-judicial_go_cr/Eo_pWJQ9d21NqD7fS5K7yzoB1nyqX9XpxhNLhjHzGwloaA?e=L2bybS" TargetMode="External"/><Relationship Id="rId2" Type="http://schemas.openxmlformats.org/officeDocument/2006/relationships/numbering" Target="numbering.xml"/><Relationship Id="rId16" Type="http://schemas.openxmlformats.org/officeDocument/2006/relationships/hyperlink" Target="https://pjcr-my.sharepoint.com/:f:/g/personal/mmesent_poder-judicial_go_cr/EisH6l8dgl9HhXn5wyYYUcoB6FLhlCaFifN_uM6fedeLYg?e=0V2tWP" TargetMode="External"/><Relationship Id="rId29" Type="http://schemas.openxmlformats.org/officeDocument/2006/relationships/hyperlink" Target="https://pjcr-my.sharepoint.com/:f:/g/personal/mmesent_poder-judicial_go_cr/EpKPQmXft7VGvBzPIPTtjfsBSe_HncK3wjs_2-tcWFGbqw?e=ZbtSqt" TargetMode="External"/><Relationship Id="rId11" Type="http://schemas.openxmlformats.org/officeDocument/2006/relationships/hyperlink" Target="https://pjcr-my.sharepoint.com/:f:/g/personal/mmesent_poder-judicial_go_cr/EukH-Fj7YIFPuuW1KUym9t8BQQQQUXP1pxFUbV3OtltnCQ?e=anjDNx" TargetMode="External"/><Relationship Id="rId24" Type="http://schemas.openxmlformats.org/officeDocument/2006/relationships/hyperlink" Target="https://pjcr-my.sharepoint.com/:f:/g/personal/mmesent_poder-judicial_go_cr/EnWk0Npv1G5Ik_Xf9PRgY14BjX_bLdPH_0xYJmScHy3MJQ?e=UZ8wso" TargetMode="External"/><Relationship Id="rId32" Type="http://schemas.openxmlformats.org/officeDocument/2006/relationships/hyperlink" Target="https://pjcr-my.sharepoint.com/:f:/g/personal/mmesent_poder-judicial_go_cr/Eq-ovYQjFzNBqCncqo-t89MBZcqV3Svg30GoiWa0-sMq2A?e=dRGixZ" TargetMode="External"/><Relationship Id="rId37" Type="http://schemas.openxmlformats.org/officeDocument/2006/relationships/image" Target="media/image2.emf"/><Relationship Id="rId40" Type="http://schemas.openxmlformats.org/officeDocument/2006/relationships/image" Target="media/image3.emf"/><Relationship Id="rId45" Type="http://schemas.openxmlformats.org/officeDocument/2006/relationships/oleObject" Target="embeddings/oleObject6.bin"/><Relationship Id="rId53" Type="http://schemas.openxmlformats.org/officeDocument/2006/relationships/oleObject" Target="embeddings/oleObject9.bin"/><Relationship Id="rId58" Type="http://schemas.openxmlformats.org/officeDocument/2006/relationships/image" Target="media/image10.png"/><Relationship Id="rId66" Type="http://schemas.openxmlformats.org/officeDocument/2006/relationships/hyperlink" Target="https://pjcr-my.sharepoint.com/:x:/g/personal/mmesent_poder-judicial_go_cr/EYhlVT0B_4pLupwmzHLtwVABqiR-EVOYPyZ9Uuni2_vXPA?e=4DXnb9" TargetMode="External"/><Relationship Id="rId74" Type="http://schemas.openxmlformats.org/officeDocument/2006/relationships/image" Target="media/image14.png"/><Relationship Id="rId79" Type="http://schemas.openxmlformats.org/officeDocument/2006/relationships/oleObject" Target="embeddings/oleObject12.bin"/><Relationship Id="rId87" Type="http://schemas.openxmlformats.org/officeDocument/2006/relationships/hyperlink" Target="https://planificacion.poder-judicial.go.cr/index.php/estrategia/portafolio-de-proyectos-estrategicos" TargetMode="External"/><Relationship Id="rId5" Type="http://schemas.openxmlformats.org/officeDocument/2006/relationships/webSettings" Target="webSettings.xml"/><Relationship Id="rId61" Type="http://schemas.openxmlformats.org/officeDocument/2006/relationships/image" Target="media/image11.png"/><Relationship Id="rId82" Type="http://schemas.openxmlformats.org/officeDocument/2006/relationships/hyperlink" Target="https://pjcr-my.sharepoint.com/:f:/g/personal/mmesent_poder-judicial_go_cr/ErVj-jnzgdxDqMEWhPn63VEBT2s2fK81zv1SOrkCoDcKhw?e=jYpVSb" TargetMode="External"/><Relationship Id="rId90" Type="http://schemas.openxmlformats.org/officeDocument/2006/relationships/theme" Target="theme/theme1.xml"/><Relationship Id="rId19" Type="http://schemas.openxmlformats.org/officeDocument/2006/relationships/hyperlink" Target="https://pjcr-my.sharepoint.com/:f:/g/personal/mmesent_poder-judicial_go_cr/Eqz8SF7dJ0RDld7U94-T1gMBjIH9T8CKkRLQEp-avwOSdA?e=Mbfg4W"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jcr-my.sharepoint.com/:f:/g/personal/mmesent_poder-judicial_go_cr/EvOfRavtd2tPr2-yymZCXYEBQKkUdC0uQkBLvgFcs1qiDQ?e=OCggaW" TargetMode="External"/><Relationship Id="rId22" Type="http://schemas.openxmlformats.org/officeDocument/2006/relationships/hyperlink" Target="https://pjcr-my.sharepoint.com/:f:/g/personal/mmesent_poder-judicial_go_cr/EoAeusxVxIVLv_XD60AqEBoB1Mwrjsajs_gRZjaROzlrVw?e=KE2GCL" TargetMode="External"/><Relationship Id="rId27" Type="http://schemas.openxmlformats.org/officeDocument/2006/relationships/hyperlink" Target="https://pjcr-my.sharepoint.com/:f:/g/personal/mmesent_poder-judicial_go_cr/EqaP_QvtIMVPr26hFXVPP0IByav4gr5cps9J_b6tVrP2tg?e=Z1YAlS" TargetMode="External"/><Relationship Id="rId30" Type="http://schemas.openxmlformats.org/officeDocument/2006/relationships/hyperlink" Target="https://pjcr-my.sharepoint.com/:f:/g/personal/mmesent_poder-judicial_go_cr/Eum-FJb3nWlGp0Lt7I58RLEB2kZY7J382P2zPUPY-oWEhQ?e=UCfE8W" TargetMode="External"/><Relationship Id="rId35" Type="http://schemas.openxmlformats.org/officeDocument/2006/relationships/hyperlink" Target="https://pjcr-my.sharepoint.com/:f:/g/personal/mmesent_poder-judicial_go_cr/ErqKlvbbPGtOjXfmPtePxGoB-I3gZnfopDycYkv2oYfuzw?e=n7voVH" TargetMode="External"/><Relationship Id="rId43" Type="http://schemas.openxmlformats.org/officeDocument/2006/relationships/oleObject" Target="embeddings/oleObject4.bin"/><Relationship Id="rId48" Type="http://schemas.openxmlformats.org/officeDocument/2006/relationships/image" Target="media/image6.emf"/><Relationship Id="rId56" Type="http://schemas.openxmlformats.org/officeDocument/2006/relationships/hyperlink" Target="https://pjcr-my.sharepoint.com/:x:/g/personal/mmesent_poder-judicial_go_cr/ETvfoa04vRpBmx7c-R8xMDQB4Mz3aTT7qNBS0DHiu_wFEw?e=7Ajdkn" TargetMode="External"/><Relationship Id="rId64" Type="http://schemas.openxmlformats.org/officeDocument/2006/relationships/image" Target="media/image12.png"/><Relationship Id="rId69" Type="http://schemas.openxmlformats.org/officeDocument/2006/relationships/chart" Target="charts/chart2.xml"/><Relationship Id="rId77" Type="http://schemas.openxmlformats.org/officeDocument/2006/relationships/image" Target="media/image16.png"/><Relationship Id="rId8" Type="http://schemas.openxmlformats.org/officeDocument/2006/relationships/header" Target="header1.xml"/><Relationship Id="rId51" Type="http://schemas.openxmlformats.org/officeDocument/2006/relationships/oleObject" Target="embeddings/oleObject8.bin"/><Relationship Id="rId72" Type="http://schemas.openxmlformats.org/officeDocument/2006/relationships/hyperlink" Target="https://pjcr-my.sharepoint.com/:x:/g/personal/mmesent_poder-judicial_go_cr/EWHm-cNEmHZEsIsXwpgGUBcBj6zgYHJgV_sY49Dq5Kzk-Q?e=KeAMFn" TargetMode="External"/><Relationship Id="rId80" Type="http://schemas.openxmlformats.org/officeDocument/2006/relationships/hyperlink" Target="https://pjcr-my.sharepoint.com/:b:/g/personal/mmesent_poder-judicial_go_cr/EZOdBG7UTmlBsYLT0pjd6DEBIqkpfeAmJmI5YNqyWmE6_A?e=HUdjXc" TargetMode="External"/><Relationship Id="rId85" Type="http://schemas.openxmlformats.org/officeDocument/2006/relationships/package" Target="embeddings/Microsoft_Word_Document1.docx"/><Relationship Id="rId3" Type="http://schemas.openxmlformats.org/officeDocument/2006/relationships/styles" Target="styles.xml"/><Relationship Id="rId12" Type="http://schemas.openxmlformats.org/officeDocument/2006/relationships/hyperlink" Target="https://pjcr-my.sharepoint.com/:f:/g/personal/mmesent_poder-judicial_go_cr/EgLLc-ec-9lBjab_A6idOUMB5hV0WjUI_h0Jq0488WbukQ?e=Miwru0" TargetMode="External"/><Relationship Id="rId17" Type="http://schemas.openxmlformats.org/officeDocument/2006/relationships/hyperlink" Target="https://pjcr-my.sharepoint.com/:f:/g/personal/mmesent_poder-judicial_go_cr/Eu-tKxAN76FGiozhqzyWL3gBB0bU7_zMy5-1M2MPvGbkOg?e=NhHAEr" TargetMode="External"/><Relationship Id="rId25" Type="http://schemas.openxmlformats.org/officeDocument/2006/relationships/hyperlink" Target="https://pjcr-my.sharepoint.com/:f:/g/personal/mmesent_poder-judicial_go_cr/ElohwEJWjU1IvduEu2RmulcBBtQLz_Kh0KmHDfK2IUuBiQ?e=hlxkW7" TargetMode="External"/><Relationship Id="rId33" Type="http://schemas.openxmlformats.org/officeDocument/2006/relationships/hyperlink" Target="https://pjcr-my.sharepoint.com/:f:/g/personal/mmesent_poder-judicial_go_cr/EgPRmuBdlrJFq-3Tov3038YBvOJk53D3AcKSemNX6KkH0Q?e=OHMTnJ" TargetMode="External"/><Relationship Id="rId38" Type="http://schemas.openxmlformats.org/officeDocument/2006/relationships/oleObject" Target="embeddings/oleObject1.bin"/><Relationship Id="rId46" Type="http://schemas.openxmlformats.org/officeDocument/2006/relationships/image" Target="media/image5.emf"/><Relationship Id="rId59" Type="http://schemas.openxmlformats.org/officeDocument/2006/relationships/hyperlink" Target="https://pjcr-my.sharepoint.com/:x:/g/personal/mmesent_poder-judicial_go_cr/EdDvwXTyjUpEoA3GVnmhxlQBwM2B_erxbzB-SIl-HQ8w2g?e=j9twSr" TargetMode="External"/><Relationship Id="rId67" Type="http://schemas.openxmlformats.org/officeDocument/2006/relationships/hyperlink" Target="https://pjcr-my.sharepoint.com/:x:/g/personal/mmesent_poder-judicial_go_cr/ESyT_kn9xohCm4lddy8BcWIBF1eZoWd9zvmSXx2vCk3QPA?e=OjPkUW" TargetMode="External"/><Relationship Id="rId20" Type="http://schemas.openxmlformats.org/officeDocument/2006/relationships/hyperlink" Target="https://pjcr-my.sharepoint.com/:f:/g/personal/mmesent_poder-judicial_go_cr/El2xQqYlS1JDt77EyoIkLBQBe_JofNw3Iig3JewKD1wwug?e=DnnFfj" TargetMode="External"/><Relationship Id="rId41" Type="http://schemas.openxmlformats.org/officeDocument/2006/relationships/oleObject" Target="embeddings/oleObject3.bin"/><Relationship Id="rId54" Type="http://schemas.openxmlformats.org/officeDocument/2006/relationships/image" Target="media/image9.emf"/><Relationship Id="rId62" Type="http://schemas.openxmlformats.org/officeDocument/2006/relationships/hyperlink" Target="https://pjcr-my.sharepoint.com/:f:/g/personal/mmesent_poder-judicial_go_cr/EhNDRjqrllpDpVmUTM2QQiIBdkOlAVhv-Vz5RVN3tY2OZA?e=X2mb8n" TargetMode="External"/><Relationship Id="rId70" Type="http://schemas.openxmlformats.org/officeDocument/2006/relationships/hyperlink" Target="https://pjcr-my.sharepoint.com/:f:/g/personal/mmesent_poder-judicial_go_cr/EvuPCl2YiEVPqPC1vKpkV6EBIMeDlKXJn94xk0PRgWML6A?e=9Zn8hi" TargetMode="External"/><Relationship Id="rId75" Type="http://schemas.openxmlformats.org/officeDocument/2006/relationships/image" Target="media/image15.svg"/><Relationship Id="rId83" Type="http://schemas.openxmlformats.org/officeDocument/2006/relationships/hyperlink" Target="https://pjcr-my.sharepoint.com/:f:/g/personal/mmesent_poder-judicial_go_cr/ErVj-jnzgdxDqMEWhPn63VEBT2s2fK81zv1SOrkCoDcKhw?e=jYpVSb" TargetMode="External"/><Relationship Id="rId88"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jcr-my.sharepoint.com/:f:/g/personal/mmesent_poder-judicial_go_cr/EnG9Fn6UIuRJhHKAwETxSJ0BO7jwAG_2875gsW4bf77nVA?e=qlAgFV" TargetMode="External"/><Relationship Id="rId23" Type="http://schemas.openxmlformats.org/officeDocument/2006/relationships/hyperlink" Target="https://pjcr-my.sharepoint.com/:f:/g/personal/mmesent_poder-judicial_go_cr/Eqt0tH2uFltMgwY43g7UjgQBcVGQ9r8dYoCHZSUNoPjvdg?e=9vNV5s" TargetMode="External"/><Relationship Id="rId28" Type="http://schemas.openxmlformats.org/officeDocument/2006/relationships/hyperlink" Target="https://pjcr-my.sharepoint.com/:f:/g/personal/mmesent_poder-judicial_go_cr/EhLGTFGEKxFNlIt5kVwAniYBHhZUu-DY7MwoIXM3kzbLnQ?e=h6DBcJ" TargetMode="External"/><Relationship Id="rId36" Type="http://schemas.openxmlformats.org/officeDocument/2006/relationships/chart" Target="charts/chart1.xml"/><Relationship Id="rId49" Type="http://schemas.openxmlformats.org/officeDocument/2006/relationships/package" Target="embeddings/Microsoft_Word_Document.docx"/><Relationship Id="rId57" Type="http://schemas.openxmlformats.org/officeDocument/2006/relationships/hyperlink" Target="https://pjcr-my.sharepoint.com/:x:/g/personal/mmesent_poder-judicial_go_cr/ETvfoa04vRpBmx7c-R8xMDQB4Mz3aTT7qNBS0DHiu_wFEw?e=7Ajdkn" TargetMode="External"/><Relationship Id="rId10" Type="http://schemas.openxmlformats.org/officeDocument/2006/relationships/hyperlink" Target="https://pjcr-my.sharepoint.com/:f:/g/personal/mmesent_poder-judicial_go_cr/Ej8pxLAXAqtFlpRyVvLHA4kBN--jU1czJtix6dvvGSgptA?e=JYK5oN" TargetMode="External"/><Relationship Id="rId31" Type="http://schemas.openxmlformats.org/officeDocument/2006/relationships/hyperlink" Target="https://pjcr-my.sharepoint.com/:f:/g/personal/mmesent_poder-judicial_go_cr/EvCkiSL6c7VJsDRv4ELhjS8Bo-CRD_KpmWVaxUjDikruHw?e=RRjpq3" TargetMode="External"/><Relationship Id="rId44" Type="http://schemas.openxmlformats.org/officeDocument/2006/relationships/oleObject" Target="embeddings/oleObject5.bin"/><Relationship Id="rId52" Type="http://schemas.openxmlformats.org/officeDocument/2006/relationships/image" Target="media/image8.emf"/><Relationship Id="rId60" Type="http://schemas.openxmlformats.org/officeDocument/2006/relationships/hyperlink" Target="https://pjcr-my.sharepoint.com/:f:/g/personal/mmesent_poder-judicial_go_cr/EtsAhDfylYpLood5FQUhbTcBgn_QXm3TvfYmr7VhYHTaFA?e=yGKcNx" TargetMode="External"/><Relationship Id="rId65" Type="http://schemas.openxmlformats.org/officeDocument/2006/relationships/hyperlink" Target="https://pjcr-my.sharepoint.com/:f:/g/personal/mmesent_poder-judicial_go_cr/Eneb5XI-JmVBtFvHRCqVBZUBJU3thla9apWZi-5t50Vt1A?e=FMcoaS" TargetMode="External"/><Relationship Id="rId73" Type="http://schemas.openxmlformats.org/officeDocument/2006/relationships/image" Target="media/image13.emf"/><Relationship Id="rId78" Type="http://schemas.openxmlformats.org/officeDocument/2006/relationships/image" Target="media/image17.emf"/><Relationship Id="rId81" Type="http://schemas.openxmlformats.org/officeDocument/2006/relationships/image" Target="media/image18.png"/><Relationship Id="rId86" Type="http://schemas.openxmlformats.org/officeDocument/2006/relationships/hyperlink" Target="https://planificacion.poder-judicial.go.cr/index.php/estrategia/portafolio-de-proyectos-estrategic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https://pjcr-my.sharepoint.com/personal/mmesent_poder-judicial_go_cr/Documents/1.%20UEPPI/005.%20An&#225;lisis%20de%20informes%20de%20Avance/2023/I%20avance%202023/Silvia/Datos%20del%20primer%20Seguimiento%202023%20Proyectos%20Estrat&#233;gico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[Datos del primer Seguimiento 2023 Proyectos Estratégicos.xlsx]graficos !TablaDinámica3</c:name>
    <c:fmtId val="-1"/>
  </c:pivotSource>
  <c:chart>
    <c:autoTitleDeleted val="1"/>
    <c:pivotFmts>
      <c:pivotFmt>
        <c:idx val="0"/>
        <c:marker>
          <c:symbol val="none"/>
        </c:marker>
        <c:dLbl>
          <c:idx val="0"/>
          <c:spPr>
            <a:noFill/>
            <a:ln>
              <a:noFill/>
            </a:ln>
            <a:effectLst/>
          </c:spPr>
          <c:txPr>
            <a:bodyPr wrap="square" lIns="38100" tIns="19050" rIns="38100" bIns="19050" anchor="ctr">
              <a:spAutoFit/>
            </a:bodyPr>
            <a:lstStyle/>
            <a:p>
              <a:pPr>
                <a:defRPr/>
              </a:pPr>
              <a:endParaRPr lang="es-CR"/>
            </a:p>
          </c:txPr>
          <c:showLegendKey val="0"/>
          <c:showVal val="0"/>
          <c:showCatName val="0"/>
          <c:showSerName val="0"/>
          <c:showPercent val="1"/>
          <c:showBubbleSize val="0"/>
          <c:extLst>
            <c:ext xmlns:c15="http://schemas.microsoft.com/office/drawing/2012/chart" uri="{CE6537A1-D6FC-4f65-9D91-7224C49458BB}"/>
          </c:extLst>
        </c:dLbl>
      </c:pivotFmt>
      <c:pivotFmt>
        <c:idx val="1"/>
        <c:marker>
          <c:symbol val="none"/>
        </c:marker>
        <c:dLbl>
          <c:idx val="0"/>
          <c:spPr>
            <a:noFill/>
            <a:ln>
              <a:noFill/>
            </a:ln>
            <a:effectLst/>
          </c:spPr>
          <c:txPr>
            <a:bodyPr wrap="square" lIns="38100" tIns="19050" rIns="38100" bIns="19050" anchor="ctr">
              <a:spAutoFit/>
            </a:bodyPr>
            <a:lstStyle/>
            <a:p>
              <a:pPr>
                <a:defRPr/>
              </a:pPr>
              <a:endParaRPr lang="es-CR"/>
            </a:p>
          </c:txPr>
          <c:showLegendKey val="0"/>
          <c:showVal val="0"/>
          <c:showCatName val="0"/>
          <c:showSerName val="0"/>
          <c:showPercent val="1"/>
          <c:showBubbleSize val="0"/>
          <c:extLst>
            <c:ext xmlns:c15="http://schemas.microsoft.com/office/drawing/2012/chart" uri="{CE6537A1-D6FC-4f65-9D91-7224C49458BB}"/>
          </c:extLst>
        </c:dLbl>
      </c:pivotFmt>
      <c:pivotFmt>
        <c:idx val="2"/>
        <c:marker>
          <c:symbol val="none"/>
        </c:marker>
        <c:dLbl>
          <c:idx val="0"/>
          <c:spPr>
            <a:noFill/>
            <a:ln>
              <a:noFill/>
            </a:ln>
            <a:effectLst/>
          </c:spPr>
          <c:txPr>
            <a:bodyPr wrap="square" lIns="38100" tIns="19050" rIns="38100" bIns="19050" anchor="ctr">
              <a:spAutoFit/>
            </a:bodyPr>
            <a:lstStyle/>
            <a:p>
              <a:pPr>
                <a:defRPr/>
              </a:pPr>
              <a:endParaRPr lang="es-CR"/>
            </a:p>
          </c:txPr>
          <c:showLegendKey val="0"/>
          <c:showVal val="0"/>
          <c:showCatName val="0"/>
          <c:showSerName val="0"/>
          <c:showPercent val="1"/>
          <c:showBubbleSize val="0"/>
          <c:extLst>
            <c:ext xmlns:c15="http://schemas.microsoft.com/office/drawing/2012/chart" uri="{CE6537A1-D6FC-4f65-9D91-7224C49458BB}"/>
          </c:extLst>
        </c:dLbl>
      </c:pivotFmt>
    </c:pivotFmts>
    <c:plotArea>
      <c:layout>
        <c:manualLayout>
          <c:layoutTarget val="inner"/>
          <c:xMode val="edge"/>
          <c:yMode val="edge"/>
          <c:x val="8.7374302067904724E-2"/>
          <c:y val="8.5175662565988769E-2"/>
          <c:w val="0.51347597587722182"/>
          <c:h val="0.87122085929734971"/>
        </c:manualLayout>
      </c:layout>
      <c:pieChart>
        <c:varyColors val="1"/>
        <c:ser>
          <c:idx val="0"/>
          <c:order val="0"/>
          <c:tx>
            <c:strRef>
              <c:f>'graficos '!$B$6</c:f>
              <c:strCache>
                <c:ptCount val="1"/>
                <c:pt idx="0">
                  <c:v>Total</c:v>
                </c:pt>
              </c:strCache>
            </c:strRef>
          </c:tx>
          <c:dLbls>
            <c:spPr>
              <a:solidFill>
                <a:schemeClr val="lt1"/>
              </a:solidFill>
              <a:ln w="12700" cap="flat" cmpd="sng" algn="ctr">
                <a:solidFill>
                  <a:schemeClr val="accent5"/>
                </a:solidFill>
                <a:prstDash val="solid"/>
                <a:miter lim="800000"/>
              </a:ln>
              <a:effectLst/>
            </c:spPr>
            <c:txPr>
              <a:bodyPr wrap="square" lIns="38100" tIns="19050" rIns="38100" bIns="19050" anchor="ctr">
                <a:spAutoFit/>
              </a:bodyPr>
              <a:lstStyle/>
              <a:p>
                <a:pPr>
                  <a:defRPr>
                    <a:solidFill>
                      <a:schemeClr val="dk1"/>
                    </a:solidFill>
                    <a:latin typeface="+mn-lt"/>
                    <a:ea typeface="+mn-ea"/>
                    <a:cs typeface="+mn-cs"/>
                  </a:defRPr>
                </a:pPr>
                <a:endParaRPr lang="es-CR"/>
              </a:p>
            </c:txPr>
            <c:showLegendKey val="0"/>
            <c:showVal val="0"/>
            <c:showCatName val="0"/>
            <c:showSerName val="0"/>
            <c:showPercent val="1"/>
            <c:showBubbleSize val="0"/>
            <c:showLeaderLines val="1"/>
            <c:extLst>
              <c:ext xmlns:c15="http://schemas.microsoft.com/office/drawing/2012/chart" uri="{CE6537A1-D6FC-4f65-9D91-7224C49458BB}"/>
            </c:extLst>
          </c:dLbls>
          <c:cat>
            <c:strRef>
              <c:f>'graficos '!$A$7:$A$15</c:f>
              <c:strCache>
                <c:ptCount val="8"/>
                <c:pt idx="0">
                  <c:v>En progreso</c:v>
                </c:pt>
                <c:pt idx="1">
                  <c:v>Pendiente Evaluación de Beneficios</c:v>
                </c:pt>
                <c:pt idx="2">
                  <c:v>Suspendido</c:v>
                </c:pt>
                <c:pt idx="3">
                  <c:v>Terminado</c:v>
                </c:pt>
                <c:pt idx="4">
                  <c:v>Aprobado - No iniciado</c:v>
                </c:pt>
                <c:pt idx="5">
                  <c:v>Cancelado</c:v>
                </c:pt>
                <c:pt idx="6">
                  <c:v>No aprobado</c:v>
                </c:pt>
                <c:pt idx="7">
                  <c:v>Iniciativa</c:v>
                </c:pt>
              </c:strCache>
            </c:strRef>
          </c:cat>
          <c:val>
            <c:numRef>
              <c:f>'graficos '!$B$7:$B$15</c:f>
              <c:numCache>
                <c:formatCode>General</c:formatCode>
                <c:ptCount val="8"/>
                <c:pt idx="0">
                  <c:v>85</c:v>
                </c:pt>
                <c:pt idx="1">
                  <c:v>51</c:v>
                </c:pt>
                <c:pt idx="2">
                  <c:v>20</c:v>
                </c:pt>
                <c:pt idx="3">
                  <c:v>11</c:v>
                </c:pt>
                <c:pt idx="4">
                  <c:v>11</c:v>
                </c:pt>
                <c:pt idx="5">
                  <c:v>8</c:v>
                </c:pt>
                <c:pt idx="6">
                  <c:v>5</c:v>
                </c:pt>
                <c:pt idx="7">
                  <c:v>3</c:v>
                </c:pt>
              </c:numCache>
            </c:numRef>
          </c:val>
          <c:extLst>
            <c:ext xmlns:c16="http://schemas.microsoft.com/office/drawing/2014/chart" uri="{C3380CC4-5D6E-409C-BE32-E72D297353CC}">
              <c16:uniqueId val="{00000000-6668-4CED-8BF7-502031681BB9}"/>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65926812606493013"/>
          <c:y val="8.9945304455990624E-2"/>
          <c:w val="0.3273673567282539"/>
          <c:h val="0.83900583855589483"/>
        </c:manualLayout>
      </c:layout>
      <c:overlay val="0"/>
      <c:spPr>
        <a:solidFill>
          <a:srgbClr val="F2F2F2">
            <a:alpha val="39000"/>
          </a:srgbClr>
        </a:solidFill>
        <a:ln w="0">
          <a:noFill/>
        </a:ln>
      </c:spPr>
      <c:txPr>
        <a:bodyPr/>
        <a:lstStyle/>
        <a:p>
          <a:pPr>
            <a:defRPr sz="1000" b="0" strike="noStrike" spc="-1">
              <a:solidFill>
                <a:srgbClr val="404040"/>
              </a:solidFill>
              <a:latin typeface="Calibri"/>
            </a:defRPr>
          </a:pPr>
          <a:endParaRPr lang="es-CR"/>
        </a:p>
      </c:txPr>
    </c:legend>
    <c:plotVisOnly val="1"/>
    <c:dispBlanksAs val="gap"/>
    <c:showDLblsOverMax val="1"/>
  </c:chart>
  <c:spPr>
    <a:gradFill>
      <a:gsLst>
        <a:gs pos="0">
          <a:srgbClr val="FFFFFF"/>
        </a:gs>
        <a:gs pos="100000">
          <a:srgbClr val="BFBFBF"/>
        </a:gs>
      </a:gsLst>
      <a:path path="circle">
        <a:fillToRect l="50000" r="50000" b="100000"/>
      </a:path>
    </a:gradFill>
    <a:ln w="9360">
      <a:solidFill>
        <a:srgbClr val="BFBFBF"/>
      </a:solidFill>
      <a:round/>
    </a:ln>
  </c:sp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E352-4836-9A0F-1F4D58CC77E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E352-4836-9A0F-1F4D58CC77E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E352-4836-9A0F-1F4D58CC77EA}"/>
              </c:ext>
            </c:extLst>
          </c:dPt>
          <c:dLbls>
            <c:dLbl>
              <c:idx val="0"/>
              <c:layout>
                <c:manualLayout>
                  <c:x val="-8.5835900947164312E-2"/>
                  <c:y val="-0.39578079585689374"/>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endParaRPr lang="es-CR"/>
                </a:p>
              </c:txPr>
              <c:dLblPos val="bestFit"/>
              <c:showLegendKey val="0"/>
              <c:showVal val="1"/>
              <c:showCatName val="0"/>
              <c:showSerName val="0"/>
              <c:showPercent val="0"/>
              <c:showBubbleSize val="0"/>
              <c:extLst>
                <c:ext xmlns:c15="http://schemas.microsoft.com/office/drawing/2012/chart" uri="{CE6537A1-D6FC-4f65-9D91-7224C49458BB}">
                  <c15:layout>
                    <c:manualLayout>
                      <c:w val="0.13204359237703983"/>
                      <c:h val="7.599570187954692E-2"/>
                    </c:manualLayout>
                  </c15:layout>
                </c:ext>
                <c:ext xmlns:c16="http://schemas.microsoft.com/office/drawing/2014/chart" uri="{C3380CC4-5D6E-409C-BE32-E72D297353CC}">
                  <c16:uniqueId val="{00000001-E352-4836-9A0F-1F4D58CC77EA}"/>
                </c:ext>
              </c:extLst>
            </c:dLbl>
            <c:dLbl>
              <c:idx val="1"/>
              <c:layout>
                <c:manualLayout>
                  <c:x val="-2.860780279349508E-2"/>
                  <c:y val="-3.234444885635727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52-4836-9A0F-1F4D58CC77EA}"/>
                </c:ext>
              </c:extLst>
            </c:dLbl>
            <c:dLbl>
              <c:idx val="2"/>
              <c:layout>
                <c:manualLayout>
                  <c:x val="0.11466228781703786"/>
                  <c:y val="-4.2365051656839757E-2"/>
                </c:manualLayout>
              </c:layout>
              <c:tx>
                <c:rich>
                  <a:bodyPr/>
                  <a:lstStyle/>
                  <a:p>
                    <a:fld id="{7028C151-F274-484C-B0EB-B03BAEFC0027}" type="VALUE">
                      <a:rPr lang="en-US" sz="1000" b="1">
                        <a:solidFill>
                          <a:sysClr val="windowText" lastClr="000000"/>
                        </a:solidFill>
                      </a:rPr>
                      <a:pPr/>
                      <a:t>[VALOR]</a:t>
                    </a:fld>
                    <a:endParaRPr lang="es-C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352-4836-9A0F-1F4D58CC77E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R"/>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 Detalle del Seguimieto de Indicadores.xlsx]grafico'!$B$2:$B$7</c:f>
              <c:strCache>
                <c:ptCount val="3"/>
                <c:pt idx="0">
                  <c:v>A tiempo </c:v>
                </c:pt>
                <c:pt idx="1">
                  <c:v>Con atraso </c:v>
                </c:pt>
                <c:pt idx="2">
                  <c:v>Adelantado </c:v>
                </c:pt>
              </c:strCache>
            </c:strRef>
          </c:cat>
          <c:val>
            <c:numRef>
              <c:f>'[2. Detalle del Seguimieto de Indicadores.xlsx]grafico'!$C$2:$C$4</c:f>
              <c:numCache>
                <c:formatCode>0%</c:formatCode>
                <c:ptCount val="3"/>
                <c:pt idx="0">
                  <c:v>0.91</c:v>
                </c:pt>
                <c:pt idx="1">
                  <c:v>7.0000000000000007E-2</c:v>
                </c:pt>
                <c:pt idx="2">
                  <c:v>0.02</c:v>
                </c:pt>
              </c:numCache>
            </c:numRef>
          </c:val>
          <c:extLst>
            <c:ext xmlns:c16="http://schemas.microsoft.com/office/drawing/2014/chart" uri="{C3380CC4-5D6E-409C-BE32-E72D297353CC}">
              <c16:uniqueId val="{00000006-E352-4836-9A0F-1F4D58CC77EA}"/>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27249732916551261"/>
          <c:y val="0.91293960757284032"/>
          <c:w val="0.51028172357852253"/>
          <c:h val="6.422499756512357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DE79C-D2FC-47AA-BA0F-340F937DE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226</Pages>
  <Words>72387</Words>
  <Characters>398130</Characters>
  <Application>Microsoft Office Word</Application>
  <DocSecurity>0</DocSecurity>
  <Lines>3317</Lines>
  <Paragraphs>939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469578</CharactersWithSpaces>
  <SharedDoc>false</SharedDoc>
  <HLinks>
    <vt:vector size="828" baseType="variant">
      <vt:variant>
        <vt:i4>524290</vt:i4>
      </vt:variant>
      <vt:variant>
        <vt:i4>879</vt:i4>
      </vt:variant>
      <vt:variant>
        <vt:i4>0</vt:i4>
      </vt:variant>
      <vt:variant>
        <vt:i4>5</vt:i4>
      </vt:variant>
      <vt:variant>
        <vt:lpwstr>https://planificacion.poder-judicial.go.cr/index.php/estrategia/portafolio-de-proyectos-estrategicos</vt:lpwstr>
      </vt:variant>
      <vt:variant>
        <vt:lpwstr/>
      </vt:variant>
      <vt:variant>
        <vt:i4>524290</vt:i4>
      </vt:variant>
      <vt:variant>
        <vt:i4>876</vt:i4>
      </vt:variant>
      <vt:variant>
        <vt:i4>0</vt:i4>
      </vt:variant>
      <vt:variant>
        <vt:i4>5</vt:i4>
      </vt:variant>
      <vt:variant>
        <vt:lpwstr>https://planificacion.poder-judicial.go.cr/index.php/estrategia/portafolio-de-proyectos-estrategicos</vt:lpwstr>
      </vt:variant>
      <vt:variant>
        <vt:lpwstr/>
      </vt:variant>
      <vt:variant>
        <vt:i4>3801112</vt:i4>
      </vt:variant>
      <vt:variant>
        <vt:i4>870</vt:i4>
      </vt:variant>
      <vt:variant>
        <vt:i4>0</vt:i4>
      </vt:variant>
      <vt:variant>
        <vt:i4>5</vt:i4>
      </vt:variant>
      <vt:variant>
        <vt:lpwstr>https://pjcr-my.sharepoint.com/:f:/g/personal/mmesent_poder-judicial_go_cr/ErVj-jnzgdxDqMEWhPn63VEBT2s2fK81zv1SOrkCoDcKhw?e=jYpVSb</vt:lpwstr>
      </vt:variant>
      <vt:variant>
        <vt:lpwstr/>
      </vt:variant>
      <vt:variant>
        <vt:i4>3801112</vt:i4>
      </vt:variant>
      <vt:variant>
        <vt:i4>867</vt:i4>
      </vt:variant>
      <vt:variant>
        <vt:i4>0</vt:i4>
      </vt:variant>
      <vt:variant>
        <vt:i4>5</vt:i4>
      </vt:variant>
      <vt:variant>
        <vt:lpwstr>https://pjcr-my.sharepoint.com/:f:/g/personal/mmesent_poder-judicial_go_cr/ErVj-jnzgdxDqMEWhPn63VEBT2s2fK81zv1SOrkCoDcKhw?e=jYpVSb</vt:lpwstr>
      </vt:variant>
      <vt:variant>
        <vt:lpwstr/>
      </vt:variant>
      <vt:variant>
        <vt:i4>4194327</vt:i4>
      </vt:variant>
      <vt:variant>
        <vt:i4>858</vt:i4>
      </vt:variant>
      <vt:variant>
        <vt:i4>0</vt:i4>
      </vt:variant>
      <vt:variant>
        <vt:i4>5</vt:i4>
      </vt:variant>
      <vt:variant>
        <vt:lpwstr>https://pjcr-my.sharepoint.com/:b:/g/personal/mmesent_poder-judicial_go_cr/EZOdBG7UTmlBsYLT0pjd6DEBIqkpfeAmJmI5YNqyWmE6_A?e=HUdjXc</vt:lpwstr>
      </vt:variant>
      <vt:variant>
        <vt:lpwstr/>
      </vt:variant>
      <vt:variant>
        <vt:i4>327721</vt:i4>
      </vt:variant>
      <vt:variant>
        <vt:i4>831</vt:i4>
      </vt:variant>
      <vt:variant>
        <vt:i4>0</vt:i4>
      </vt:variant>
      <vt:variant>
        <vt:i4>5</vt:i4>
      </vt:variant>
      <vt:variant>
        <vt:lpwstr>https://pjcr-my.sharepoint.com/:b:/g/personal/amurillob_poder-judicial_go_cr/EXpx9eBGnXlMosIcWJDoja4BfekvQbSx9UAvDQIJoZWqag?e=HQdd0v</vt:lpwstr>
      </vt:variant>
      <vt:variant>
        <vt:lpwstr/>
      </vt:variant>
      <vt:variant>
        <vt:i4>2293795</vt:i4>
      </vt:variant>
      <vt:variant>
        <vt:i4>819</vt:i4>
      </vt:variant>
      <vt:variant>
        <vt:i4>0</vt:i4>
      </vt:variant>
      <vt:variant>
        <vt:i4>5</vt:i4>
      </vt:variant>
      <vt:variant>
        <vt:lpwstr>https://pjcr-my.sharepoint.com/:x:/g/personal/mmesent_poder-judicial_go_cr/EWHm-cNEmHZEsIsXwpgGUBcBj6zgYHJgV_sY49Dq5Kzk-Q?e=KeAMFn</vt:lpwstr>
      </vt:variant>
      <vt:variant>
        <vt:lpwstr/>
      </vt:variant>
      <vt:variant>
        <vt:i4>196696</vt:i4>
      </vt:variant>
      <vt:variant>
        <vt:i4>816</vt:i4>
      </vt:variant>
      <vt:variant>
        <vt:i4>0</vt:i4>
      </vt:variant>
      <vt:variant>
        <vt:i4>5</vt:i4>
      </vt:variant>
      <vt:variant>
        <vt:lpwstr>https://pjcr-my.sharepoint.com/:f:/g/personal/mmesent_poder-judicial_go_cr/Eo_pWJQ9d21NqD7fS5K7yzoB1nyqX9XpxhNLhjHzGwloaA?e=L2bybS</vt:lpwstr>
      </vt:variant>
      <vt:variant>
        <vt:lpwstr/>
      </vt:variant>
      <vt:variant>
        <vt:i4>3735642</vt:i4>
      </vt:variant>
      <vt:variant>
        <vt:i4>813</vt:i4>
      </vt:variant>
      <vt:variant>
        <vt:i4>0</vt:i4>
      </vt:variant>
      <vt:variant>
        <vt:i4>5</vt:i4>
      </vt:variant>
      <vt:variant>
        <vt:lpwstr>https://pjcr-my.sharepoint.com/:f:/g/personal/mmesent_poder-judicial_go_cr/EvuPCl2YiEVPqPC1vKpkV6EBIMeDlKXJn94xk0PRgWML6A?e=9Zn8hi</vt:lpwstr>
      </vt:variant>
      <vt:variant>
        <vt:lpwstr/>
      </vt:variant>
      <vt:variant>
        <vt:i4>1638417</vt:i4>
      </vt:variant>
      <vt:variant>
        <vt:i4>807</vt:i4>
      </vt:variant>
      <vt:variant>
        <vt:i4>0</vt:i4>
      </vt:variant>
      <vt:variant>
        <vt:i4>5</vt:i4>
      </vt:variant>
      <vt:variant>
        <vt:lpwstr>https://pjcr-my.sharepoint.com/:x:/g/personal/mmesent_poder-judicial_go_cr/EeAcZSLVo09DqiVR-XIiE6YBDC_MBxfrv73qT9ZU0Qgbhw?e=pwLWwg</vt:lpwstr>
      </vt:variant>
      <vt:variant>
        <vt:lpwstr/>
      </vt:variant>
      <vt:variant>
        <vt:i4>4653057</vt:i4>
      </vt:variant>
      <vt:variant>
        <vt:i4>798</vt:i4>
      </vt:variant>
      <vt:variant>
        <vt:i4>0</vt:i4>
      </vt:variant>
      <vt:variant>
        <vt:i4>5</vt:i4>
      </vt:variant>
      <vt:variant>
        <vt:lpwstr>https://pjcr-my.sharepoint.com/:x:/g/personal/mmesent_poder-judicial_go_cr/ESyT_kn9xohCm4lddy8BcWIBF1eZoWd9zvmSXx2vCk3QPA?e=OjPkUW</vt:lpwstr>
      </vt:variant>
      <vt:variant>
        <vt:lpwstr/>
      </vt:variant>
      <vt:variant>
        <vt:i4>5701672</vt:i4>
      </vt:variant>
      <vt:variant>
        <vt:i4>795</vt:i4>
      </vt:variant>
      <vt:variant>
        <vt:i4>0</vt:i4>
      </vt:variant>
      <vt:variant>
        <vt:i4>5</vt:i4>
      </vt:variant>
      <vt:variant>
        <vt:lpwstr>https://pjcr-my.sharepoint.com/:x:/g/personal/mmesent_poder-judicial_go_cr/EYhlVT0B_4pLupwmzHLtwVABqiR-EVOYPyZ9Uuni2_vXPA?e=4DXnb9</vt:lpwstr>
      </vt:variant>
      <vt:variant>
        <vt:lpwstr/>
      </vt:variant>
      <vt:variant>
        <vt:i4>6357012</vt:i4>
      </vt:variant>
      <vt:variant>
        <vt:i4>780</vt:i4>
      </vt:variant>
      <vt:variant>
        <vt:i4>0</vt:i4>
      </vt:variant>
      <vt:variant>
        <vt:i4>5</vt:i4>
      </vt:variant>
      <vt:variant>
        <vt:lpwstr>https://pjcr-my.sharepoint.com/:f:/g/personal/mmesent_poder-judicial_go_cr/Eneb5XI-JmVBtFvHRCqVBZUBJU3thla9apWZi-5t50Vt1A?e=FMcoaS</vt:lpwstr>
      </vt:variant>
      <vt:variant>
        <vt:lpwstr/>
      </vt:variant>
      <vt:variant>
        <vt:i4>4587611</vt:i4>
      </vt:variant>
      <vt:variant>
        <vt:i4>762</vt:i4>
      </vt:variant>
      <vt:variant>
        <vt:i4>0</vt:i4>
      </vt:variant>
      <vt:variant>
        <vt:i4>5</vt:i4>
      </vt:variant>
      <vt:variant>
        <vt:lpwstr>https://pjcr-my.sharepoint.com/:f:/g/personal/mmesent_poder-judicial_go_cr/ErfEGOVwEcJGlEhped4fv78BSpqd6FXz_ndOqmgpMwZ0kw?e=9gxrPf</vt:lpwstr>
      </vt:variant>
      <vt:variant>
        <vt:lpwstr/>
      </vt:variant>
      <vt:variant>
        <vt:i4>3276884</vt:i4>
      </vt:variant>
      <vt:variant>
        <vt:i4>759</vt:i4>
      </vt:variant>
      <vt:variant>
        <vt:i4>0</vt:i4>
      </vt:variant>
      <vt:variant>
        <vt:i4>5</vt:i4>
      </vt:variant>
      <vt:variant>
        <vt:lpwstr>https://pjcr-my.sharepoint.com/:f:/g/personal/mmesent_poder-judicial_go_cr/EhNDRjqrllpDpVmUTM2QQiIBdkOlAVhv-Vz5RVN3tY2OZA?e=X2mb8n</vt:lpwstr>
      </vt:variant>
      <vt:variant>
        <vt:lpwstr/>
      </vt:variant>
      <vt:variant>
        <vt:i4>6029321</vt:i4>
      </vt:variant>
      <vt:variant>
        <vt:i4>747</vt:i4>
      </vt:variant>
      <vt:variant>
        <vt:i4>0</vt:i4>
      </vt:variant>
      <vt:variant>
        <vt:i4>5</vt:i4>
      </vt:variant>
      <vt:variant>
        <vt:lpwstr>https://pjcr-my.sharepoint.com/:f:/g/personal/mmesent_poder-judicial_go_cr/EtsAhDfylYpLood5FQUhbTcBgn_QXm3TvfYmr7VhYHTaFA?e=yGKcNx</vt:lpwstr>
      </vt:variant>
      <vt:variant>
        <vt:lpwstr/>
      </vt:variant>
      <vt:variant>
        <vt:i4>5308441</vt:i4>
      </vt:variant>
      <vt:variant>
        <vt:i4>741</vt:i4>
      </vt:variant>
      <vt:variant>
        <vt:i4>0</vt:i4>
      </vt:variant>
      <vt:variant>
        <vt:i4>5</vt:i4>
      </vt:variant>
      <vt:variant>
        <vt:lpwstr>https://pjcr-my.sharepoint.com/:x:/g/personal/mmesent_poder-judicial_go_cr/EdDvwXTyjUpEoA3GVnmhxlQBwM2B_erxbzB-SIl-HQ8w2g?e=j9twSr</vt:lpwstr>
      </vt:variant>
      <vt:variant>
        <vt:lpwstr/>
      </vt:variant>
      <vt:variant>
        <vt:i4>2818092</vt:i4>
      </vt:variant>
      <vt:variant>
        <vt:i4>735</vt:i4>
      </vt:variant>
      <vt:variant>
        <vt:i4>0</vt:i4>
      </vt:variant>
      <vt:variant>
        <vt:i4>5</vt:i4>
      </vt:variant>
      <vt:variant>
        <vt:lpwstr>https://pjcr-my.sharepoint.com/:x:/g/personal/mmesent_poder-judicial_go_cr/ETvfoa04vRpBmx7c-R8xMDQB4Mz3aTT7qNBS0DHiu_wFEw?e=7Ajdkn</vt:lpwstr>
      </vt:variant>
      <vt:variant>
        <vt:lpwstr/>
      </vt:variant>
      <vt:variant>
        <vt:i4>2818092</vt:i4>
      </vt:variant>
      <vt:variant>
        <vt:i4>732</vt:i4>
      </vt:variant>
      <vt:variant>
        <vt:i4>0</vt:i4>
      </vt:variant>
      <vt:variant>
        <vt:i4>5</vt:i4>
      </vt:variant>
      <vt:variant>
        <vt:lpwstr>https://pjcr-my.sharepoint.com/:x:/g/personal/mmesent_poder-judicial_go_cr/ETvfoa04vRpBmx7c-R8xMDQB4Mz3aTT7qNBS0DHiu_wFEw?e=7Ajdkn</vt:lpwstr>
      </vt:variant>
      <vt:variant>
        <vt:lpwstr/>
      </vt:variant>
      <vt:variant>
        <vt:i4>7929938</vt:i4>
      </vt:variant>
      <vt:variant>
        <vt:i4>678</vt:i4>
      </vt:variant>
      <vt:variant>
        <vt:i4>0</vt:i4>
      </vt:variant>
      <vt:variant>
        <vt:i4>5</vt:i4>
      </vt:variant>
      <vt:variant>
        <vt:lpwstr>https://pjcr-my.sharepoint.com/:f:/g/personal/mmesent_poder-judicial_go_cr/ErqKlvbbPGtOjXfmPtePxGoB-I3gZnfopDycYkv2oYfuzw?e=n7voVH</vt:lpwstr>
      </vt:variant>
      <vt:variant>
        <vt:lpwstr/>
      </vt:variant>
      <vt:variant>
        <vt:i4>6619160</vt:i4>
      </vt:variant>
      <vt:variant>
        <vt:i4>675</vt:i4>
      </vt:variant>
      <vt:variant>
        <vt:i4>0</vt:i4>
      </vt:variant>
      <vt:variant>
        <vt:i4>5</vt:i4>
      </vt:variant>
      <vt:variant>
        <vt:lpwstr>https://pjcr-my.sharepoint.com/:f:/g/personal/mmesent_poder-judicial_go_cr/EuuOWrmlGJ9HutXk8XfEvL8BdbxMzq03RF9aM50r0Swntw?e=sM6O7s</vt:lpwstr>
      </vt:variant>
      <vt:variant>
        <vt:lpwstr/>
      </vt:variant>
      <vt:variant>
        <vt:i4>3211341</vt:i4>
      </vt:variant>
      <vt:variant>
        <vt:i4>669</vt:i4>
      </vt:variant>
      <vt:variant>
        <vt:i4>0</vt:i4>
      </vt:variant>
      <vt:variant>
        <vt:i4>5</vt:i4>
      </vt:variant>
      <vt:variant>
        <vt:lpwstr>https://pjcr-my.sharepoint.com/:f:/g/personal/mmesent_poder-judicial_go_cr/EgPRmuBdlrJFq-3Tov3038YBvOJk53D3AcKSemNX6KkH0Q?e=OHMTnJ</vt:lpwstr>
      </vt:variant>
      <vt:variant>
        <vt:lpwstr/>
      </vt:variant>
      <vt:variant>
        <vt:i4>8257619</vt:i4>
      </vt:variant>
      <vt:variant>
        <vt:i4>666</vt:i4>
      </vt:variant>
      <vt:variant>
        <vt:i4>0</vt:i4>
      </vt:variant>
      <vt:variant>
        <vt:i4>5</vt:i4>
      </vt:variant>
      <vt:variant>
        <vt:lpwstr>https://pjcr-my.sharepoint.com/:f:/g/personal/mmesent_poder-judicial_go_cr/Eq-ovYQjFzNBqCncqo-t89MBZcqV3Svg30GoiWa0-sMq2A?e=dRGixZ</vt:lpwstr>
      </vt:variant>
      <vt:variant>
        <vt:lpwstr/>
      </vt:variant>
      <vt:variant>
        <vt:i4>8061051</vt:i4>
      </vt:variant>
      <vt:variant>
        <vt:i4>660</vt:i4>
      </vt:variant>
      <vt:variant>
        <vt:i4>0</vt:i4>
      </vt:variant>
      <vt:variant>
        <vt:i4>5</vt:i4>
      </vt:variant>
      <vt:variant>
        <vt:lpwstr>https://pjcr-my.sharepoint.com/:f:/g/personal/mmesent_poder-judicial_go_cr/EvCkiSL6c7VJsDRv4ELhjS8Bo-CRD_KpmWVaxUjDikruHw?e=RRjpq3</vt:lpwstr>
      </vt:variant>
      <vt:variant>
        <vt:lpwstr/>
      </vt:variant>
      <vt:variant>
        <vt:i4>2490395</vt:i4>
      </vt:variant>
      <vt:variant>
        <vt:i4>654</vt:i4>
      </vt:variant>
      <vt:variant>
        <vt:i4>0</vt:i4>
      </vt:variant>
      <vt:variant>
        <vt:i4>5</vt:i4>
      </vt:variant>
      <vt:variant>
        <vt:lpwstr>https://pjcr-my.sharepoint.com/:f:/g/personal/mmesent_poder-judicial_go_cr/Eum-FJb3nWlGp0Lt7I58RLEB2kZY7J382P2zPUPY-oWEhQ?e=UCfE8W</vt:lpwstr>
      </vt:variant>
      <vt:variant>
        <vt:lpwstr/>
      </vt:variant>
      <vt:variant>
        <vt:i4>4980836</vt:i4>
      </vt:variant>
      <vt:variant>
        <vt:i4>648</vt:i4>
      </vt:variant>
      <vt:variant>
        <vt:i4>0</vt:i4>
      </vt:variant>
      <vt:variant>
        <vt:i4>5</vt:i4>
      </vt:variant>
      <vt:variant>
        <vt:lpwstr>https://pjcr-my.sharepoint.com/:f:/g/personal/mmesent_poder-judicial_go_cr/EpKPQmXft7VGvBzPIPTtjfsBSe_HncK3wjs_2-tcWFGbqw?e=ZbtSqt</vt:lpwstr>
      </vt:variant>
      <vt:variant>
        <vt:lpwstr/>
      </vt:variant>
      <vt:variant>
        <vt:i4>3407957</vt:i4>
      </vt:variant>
      <vt:variant>
        <vt:i4>642</vt:i4>
      </vt:variant>
      <vt:variant>
        <vt:i4>0</vt:i4>
      </vt:variant>
      <vt:variant>
        <vt:i4>5</vt:i4>
      </vt:variant>
      <vt:variant>
        <vt:lpwstr>https://pjcr-my.sharepoint.com/:f:/g/personal/mmesent_poder-judicial_go_cr/EhLGTFGEKxFNlIt5kVwAniYBHhZUu-DY7MwoIXM3kzbLnQ?e=h6DBcJ</vt:lpwstr>
      </vt:variant>
      <vt:variant>
        <vt:lpwstr/>
      </vt:variant>
      <vt:variant>
        <vt:i4>8192029</vt:i4>
      </vt:variant>
      <vt:variant>
        <vt:i4>636</vt:i4>
      </vt:variant>
      <vt:variant>
        <vt:i4>0</vt:i4>
      </vt:variant>
      <vt:variant>
        <vt:i4>5</vt:i4>
      </vt:variant>
      <vt:variant>
        <vt:lpwstr>https://pjcr-my.sharepoint.com/:f:/g/personal/mmesent_poder-judicial_go_cr/EqaP_QvtIMVPr26hFXVPP0IByav4gr5cps9J_b6tVrP2tg?e=Z1YAlS</vt:lpwstr>
      </vt:variant>
      <vt:variant>
        <vt:lpwstr/>
      </vt:variant>
      <vt:variant>
        <vt:i4>3997721</vt:i4>
      </vt:variant>
      <vt:variant>
        <vt:i4>633</vt:i4>
      </vt:variant>
      <vt:variant>
        <vt:i4>0</vt:i4>
      </vt:variant>
      <vt:variant>
        <vt:i4>5</vt:i4>
      </vt:variant>
      <vt:variant>
        <vt:lpwstr>https://pjcr-my.sharepoint.com/:f:/g/personal/mmesent_poder-judicial_go_cr/EuoXYsYXcytFiu0mUPeX7oMBs2mWy1EDlhqPdHwECRU8Ng?e=qL7LtI</vt:lpwstr>
      </vt:variant>
      <vt:variant>
        <vt:lpwstr/>
      </vt:variant>
      <vt:variant>
        <vt:i4>6619172</vt:i4>
      </vt:variant>
      <vt:variant>
        <vt:i4>630</vt:i4>
      </vt:variant>
      <vt:variant>
        <vt:i4>0</vt:i4>
      </vt:variant>
      <vt:variant>
        <vt:i4>5</vt:i4>
      </vt:variant>
      <vt:variant>
        <vt:lpwstr>https://pjcr-my.sharepoint.com/:f:/g/personal/mmesent_poder-judicial_go_cr/ElohwEJWjU1IvduEu2RmulcBBtQLz_Kh0KmHDfK2IUuBiQ?e=hlxkW7</vt:lpwstr>
      </vt:variant>
      <vt:variant>
        <vt:lpwstr/>
      </vt:variant>
      <vt:variant>
        <vt:i4>2687075</vt:i4>
      </vt:variant>
      <vt:variant>
        <vt:i4>624</vt:i4>
      </vt:variant>
      <vt:variant>
        <vt:i4>0</vt:i4>
      </vt:variant>
      <vt:variant>
        <vt:i4>5</vt:i4>
      </vt:variant>
      <vt:variant>
        <vt:lpwstr>https://pjcr-my.sharepoint.com/:f:/g/personal/mmesent_poder-judicial_go_cr/EnWk0Npv1G5Ik_Xf9PRgY14BjX_bLdPH_0xYJmScHy3MJQ?e=UZ8wso</vt:lpwstr>
      </vt:variant>
      <vt:variant>
        <vt:lpwstr/>
      </vt:variant>
      <vt:variant>
        <vt:i4>6815750</vt:i4>
      </vt:variant>
      <vt:variant>
        <vt:i4>618</vt:i4>
      </vt:variant>
      <vt:variant>
        <vt:i4>0</vt:i4>
      </vt:variant>
      <vt:variant>
        <vt:i4>5</vt:i4>
      </vt:variant>
      <vt:variant>
        <vt:lpwstr>https://pjcr-my.sharepoint.com/:f:/g/personal/mmesent_poder-judicial_go_cr/Eqt0tH2uFltMgwY43g7UjgQBcVGQ9r8dYoCHZSUNoPjvdg?e=9vNV5s</vt:lpwstr>
      </vt:variant>
      <vt:variant>
        <vt:lpwstr/>
      </vt:variant>
      <vt:variant>
        <vt:i4>2293761</vt:i4>
      </vt:variant>
      <vt:variant>
        <vt:i4>612</vt:i4>
      </vt:variant>
      <vt:variant>
        <vt:i4>0</vt:i4>
      </vt:variant>
      <vt:variant>
        <vt:i4>5</vt:i4>
      </vt:variant>
      <vt:variant>
        <vt:lpwstr>https://pjcr-my.sharepoint.com/:f:/g/personal/mmesent_poder-judicial_go_cr/EoAeusxVxIVLv_XD60AqEBoB1Mwrjsajs_gRZjaROzlrVw?e=KE2GCL</vt:lpwstr>
      </vt:variant>
      <vt:variant>
        <vt:lpwstr/>
      </vt:variant>
      <vt:variant>
        <vt:i4>3932213</vt:i4>
      </vt:variant>
      <vt:variant>
        <vt:i4>606</vt:i4>
      </vt:variant>
      <vt:variant>
        <vt:i4>0</vt:i4>
      </vt:variant>
      <vt:variant>
        <vt:i4>5</vt:i4>
      </vt:variant>
      <vt:variant>
        <vt:lpwstr>https://pjcr-my.sharepoint.com/:f:/g/personal/mmesent_poder-judicial_go_cr/ElzkXtjgq65GvQ57PxctA18BPrLU2soDnP9rj-T_tvZfSA?e=GzIdQ9</vt:lpwstr>
      </vt:variant>
      <vt:variant>
        <vt:lpwstr/>
      </vt:variant>
      <vt:variant>
        <vt:i4>3080313</vt:i4>
      </vt:variant>
      <vt:variant>
        <vt:i4>600</vt:i4>
      </vt:variant>
      <vt:variant>
        <vt:i4>0</vt:i4>
      </vt:variant>
      <vt:variant>
        <vt:i4>5</vt:i4>
      </vt:variant>
      <vt:variant>
        <vt:lpwstr>https://pjcr-my.sharepoint.com/:f:/g/personal/mmesent_poder-judicial_go_cr/El2xQqYlS1JDt77EyoIkLBQBe_JofNw3Iig3JewKD1wwug?e=DnnFfj</vt:lpwstr>
      </vt:variant>
      <vt:variant>
        <vt:lpwstr/>
      </vt:variant>
      <vt:variant>
        <vt:i4>2818055</vt:i4>
      </vt:variant>
      <vt:variant>
        <vt:i4>594</vt:i4>
      </vt:variant>
      <vt:variant>
        <vt:i4>0</vt:i4>
      </vt:variant>
      <vt:variant>
        <vt:i4>5</vt:i4>
      </vt:variant>
      <vt:variant>
        <vt:lpwstr>https://pjcr-my.sharepoint.com/:f:/g/personal/mmesent_poder-judicial_go_cr/Eqz8SF7dJ0RDld7U94-T1gMBjIH9T8CKkRLQEp-avwOSdA?e=Mbfg4W</vt:lpwstr>
      </vt:variant>
      <vt:variant>
        <vt:lpwstr/>
      </vt:variant>
      <vt:variant>
        <vt:i4>2752570</vt:i4>
      </vt:variant>
      <vt:variant>
        <vt:i4>591</vt:i4>
      </vt:variant>
      <vt:variant>
        <vt:i4>0</vt:i4>
      </vt:variant>
      <vt:variant>
        <vt:i4>5</vt:i4>
      </vt:variant>
      <vt:variant>
        <vt:lpwstr>https://pjcr-my.sharepoint.com/:f:/g/personal/mmesent_poder-judicial_go_cr/En3hHLyNrqpLo_w8cyMV2WoB11XuhecBcPg8x2AiN7NptA?e=Yr7Da7</vt:lpwstr>
      </vt:variant>
      <vt:variant>
        <vt:lpwstr/>
      </vt:variant>
      <vt:variant>
        <vt:i4>3407907</vt:i4>
      </vt:variant>
      <vt:variant>
        <vt:i4>588</vt:i4>
      </vt:variant>
      <vt:variant>
        <vt:i4>0</vt:i4>
      </vt:variant>
      <vt:variant>
        <vt:i4>5</vt:i4>
      </vt:variant>
      <vt:variant>
        <vt:lpwstr>https://pjcr-my.sharepoint.com/:f:/g/personal/mmesent_poder-judicial_go_cr/Eu-tKxAN76FGiozhqzyWL3gBB0bU7_zMy5-1M2MPvGbkOg?e=NhHAEr</vt:lpwstr>
      </vt:variant>
      <vt:variant>
        <vt:lpwstr/>
      </vt:variant>
      <vt:variant>
        <vt:i4>6422629</vt:i4>
      </vt:variant>
      <vt:variant>
        <vt:i4>585</vt:i4>
      </vt:variant>
      <vt:variant>
        <vt:i4>0</vt:i4>
      </vt:variant>
      <vt:variant>
        <vt:i4>5</vt:i4>
      </vt:variant>
      <vt:variant>
        <vt:lpwstr>https://pjcr-my.sharepoint.com/:f:/g/personal/mmesent_poder-judicial_go_cr/EisH6l8dgl9HhXn5wyYYUcoB6FLhlCaFifN_uM6fedeLYg?e=0V2tWP</vt:lpwstr>
      </vt:variant>
      <vt:variant>
        <vt:lpwstr/>
      </vt:variant>
      <vt:variant>
        <vt:i4>983126</vt:i4>
      </vt:variant>
      <vt:variant>
        <vt:i4>579</vt:i4>
      </vt:variant>
      <vt:variant>
        <vt:i4>0</vt:i4>
      </vt:variant>
      <vt:variant>
        <vt:i4>5</vt:i4>
      </vt:variant>
      <vt:variant>
        <vt:lpwstr>https://pjcr-my.sharepoint.com/:f:/g/personal/mmesent_poder-judicial_go_cr/EnG9Fn6UIuRJhHKAwETxSJ0BO7jwAG_2875gsW4bf77nVA?e=qlAgFV</vt:lpwstr>
      </vt:variant>
      <vt:variant>
        <vt:lpwstr/>
      </vt:variant>
      <vt:variant>
        <vt:i4>2687061</vt:i4>
      </vt:variant>
      <vt:variant>
        <vt:i4>576</vt:i4>
      </vt:variant>
      <vt:variant>
        <vt:i4>0</vt:i4>
      </vt:variant>
      <vt:variant>
        <vt:i4>5</vt:i4>
      </vt:variant>
      <vt:variant>
        <vt:lpwstr>https://pjcr-my.sharepoint.com/:f:/g/personal/mmesent_poder-judicial_go_cr/EvOfRavtd2tPr2-yymZCXYEBQKkUdC0uQkBLvgFcs1qiDQ?e=OCggaW</vt:lpwstr>
      </vt:variant>
      <vt:variant>
        <vt:lpwstr/>
      </vt:variant>
      <vt:variant>
        <vt:i4>90</vt:i4>
      </vt:variant>
      <vt:variant>
        <vt:i4>573</vt:i4>
      </vt:variant>
      <vt:variant>
        <vt:i4>0</vt:i4>
      </vt:variant>
      <vt:variant>
        <vt:i4>5</vt:i4>
      </vt:variant>
      <vt:variant>
        <vt:lpwstr>https://pjcr-my.sharepoint.com/:f:/g/personal/mmesent_poder-judicial_go_cr/Ev_QIXOmZF1Hr4-BU-pU76oBfEd7wnOBhpLqFy3gT04ITQ?e=RWxeX6</vt:lpwstr>
      </vt:variant>
      <vt:variant>
        <vt:lpwstr/>
      </vt:variant>
      <vt:variant>
        <vt:i4>1245231</vt:i4>
      </vt:variant>
      <vt:variant>
        <vt:i4>570</vt:i4>
      </vt:variant>
      <vt:variant>
        <vt:i4>0</vt:i4>
      </vt:variant>
      <vt:variant>
        <vt:i4>5</vt:i4>
      </vt:variant>
      <vt:variant>
        <vt:lpwstr>https://pjcr-my.sharepoint.com/:f:/g/personal/mmesent_poder-judicial_go_cr/EgLLc-ec-9lBjab_A6idOUMB5hV0WjUI_h0Jq0488WbukQ?e=Miwru0</vt:lpwstr>
      </vt:variant>
      <vt:variant>
        <vt:lpwstr/>
      </vt:variant>
      <vt:variant>
        <vt:i4>3801171</vt:i4>
      </vt:variant>
      <vt:variant>
        <vt:i4>567</vt:i4>
      </vt:variant>
      <vt:variant>
        <vt:i4>0</vt:i4>
      </vt:variant>
      <vt:variant>
        <vt:i4>5</vt:i4>
      </vt:variant>
      <vt:variant>
        <vt:lpwstr>https://pjcr-my.sharepoint.com/:f:/g/personal/mmesent_poder-judicial_go_cr/EukH-Fj7YIFPuuW1KUym9t8BQQQQUXP1pxFUbV3OtltnCQ?e=anjDNx</vt:lpwstr>
      </vt:variant>
      <vt:variant>
        <vt:lpwstr/>
      </vt:variant>
      <vt:variant>
        <vt:i4>3211329</vt:i4>
      </vt:variant>
      <vt:variant>
        <vt:i4>561</vt:i4>
      </vt:variant>
      <vt:variant>
        <vt:i4>0</vt:i4>
      </vt:variant>
      <vt:variant>
        <vt:i4>5</vt:i4>
      </vt:variant>
      <vt:variant>
        <vt:lpwstr>https://pjcr-my.sharepoint.com/:f:/g/personal/mmesent_poder-judicial_go_cr/Ej8pxLAXAqtFlpRyVvLHA4kBN--jU1czJtix6dvvGSgptA?e=JYK5oN</vt:lpwstr>
      </vt:variant>
      <vt:variant>
        <vt:lpwstr/>
      </vt:variant>
      <vt:variant>
        <vt:i4>1703984</vt:i4>
      </vt:variant>
      <vt:variant>
        <vt:i4>554</vt:i4>
      </vt:variant>
      <vt:variant>
        <vt:i4>0</vt:i4>
      </vt:variant>
      <vt:variant>
        <vt:i4>5</vt:i4>
      </vt:variant>
      <vt:variant>
        <vt:lpwstr/>
      </vt:variant>
      <vt:variant>
        <vt:lpwstr>_Toc138680187</vt:lpwstr>
      </vt:variant>
      <vt:variant>
        <vt:i4>1703984</vt:i4>
      </vt:variant>
      <vt:variant>
        <vt:i4>548</vt:i4>
      </vt:variant>
      <vt:variant>
        <vt:i4>0</vt:i4>
      </vt:variant>
      <vt:variant>
        <vt:i4>5</vt:i4>
      </vt:variant>
      <vt:variant>
        <vt:lpwstr/>
      </vt:variant>
      <vt:variant>
        <vt:lpwstr>_Toc138680186</vt:lpwstr>
      </vt:variant>
      <vt:variant>
        <vt:i4>1703984</vt:i4>
      </vt:variant>
      <vt:variant>
        <vt:i4>542</vt:i4>
      </vt:variant>
      <vt:variant>
        <vt:i4>0</vt:i4>
      </vt:variant>
      <vt:variant>
        <vt:i4>5</vt:i4>
      </vt:variant>
      <vt:variant>
        <vt:lpwstr/>
      </vt:variant>
      <vt:variant>
        <vt:lpwstr>_Toc138680185</vt:lpwstr>
      </vt:variant>
      <vt:variant>
        <vt:i4>1703984</vt:i4>
      </vt:variant>
      <vt:variant>
        <vt:i4>536</vt:i4>
      </vt:variant>
      <vt:variant>
        <vt:i4>0</vt:i4>
      </vt:variant>
      <vt:variant>
        <vt:i4>5</vt:i4>
      </vt:variant>
      <vt:variant>
        <vt:lpwstr/>
      </vt:variant>
      <vt:variant>
        <vt:lpwstr>_Toc138680184</vt:lpwstr>
      </vt:variant>
      <vt:variant>
        <vt:i4>1703984</vt:i4>
      </vt:variant>
      <vt:variant>
        <vt:i4>530</vt:i4>
      </vt:variant>
      <vt:variant>
        <vt:i4>0</vt:i4>
      </vt:variant>
      <vt:variant>
        <vt:i4>5</vt:i4>
      </vt:variant>
      <vt:variant>
        <vt:lpwstr/>
      </vt:variant>
      <vt:variant>
        <vt:lpwstr>_Toc138680183</vt:lpwstr>
      </vt:variant>
      <vt:variant>
        <vt:i4>1703984</vt:i4>
      </vt:variant>
      <vt:variant>
        <vt:i4>524</vt:i4>
      </vt:variant>
      <vt:variant>
        <vt:i4>0</vt:i4>
      </vt:variant>
      <vt:variant>
        <vt:i4>5</vt:i4>
      </vt:variant>
      <vt:variant>
        <vt:lpwstr/>
      </vt:variant>
      <vt:variant>
        <vt:lpwstr>_Toc138680182</vt:lpwstr>
      </vt:variant>
      <vt:variant>
        <vt:i4>1703984</vt:i4>
      </vt:variant>
      <vt:variant>
        <vt:i4>518</vt:i4>
      </vt:variant>
      <vt:variant>
        <vt:i4>0</vt:i4>
      </vt:variant>
      <vt:variant>
        <vt:i4>5</vt:i4>
      </vt:variant>
      <vt:variant>
        <vt:lpwstr/>
      </vt:variant>
      <vt:variant>
        <vt:lpwstr>_Toc138680181</vt:lpwstr>
      </vt:variant>
      <vt:variant>
        <vt:i4>1703984</vt:i4>
      </vt:variant>
      <vt:variant>
        <vt:i4>512</vt:i4>
      </vt:variant>
      <vt:variant>
        <vt:i4>0</vt:i4>
      </vt:variant>
      <vt:variant>
        <vt:i4>5</vt:i4>
      </vt:variant>
      <vt:variant>
        <vt:lpwstr/>
      </vt:variant>
      <vt:variant>
        <vt:lpwstr>_Toc138680180</vt:lpwstr>
      </vt:variant>
      <vt:variant>
        <vt:i4>1376304</vt:i4>
      </vt:variant>
      <vt:variant>
        <vt:i4>506</vt:i4>
      </vt:variant>
      <vt:variant>
        <vt:i4>0</vt:i4>
      </vt:variant>
      <vt:variant>
        <vt:i4>5</vt:i4>
      </vt:variant>
      <vt:variant>
        <vt:lpwstr/>
      </vt:variant>
      <vt:variant>
        <vt:lpwstr>_Toc138680179</vt:lpwstr>
      </vt:variant>
      <vt:variant>
        <vt:i4>1376304</vt:i4>
      </vt:variant>
      <vt:variant>
        <vt:i4>500</vt:i4>
      </vt:variant>
      <vt:variant>
        <vt:i4>0</vt:i4>
      </vt:variant>
      <vt:variant>
        <vt:i4>5</vt:i4>
      </vt:variant>
      <vt:variant>
        <vt:lpwstr/>
      </vt:variant>
      <vt:variant>
        <vt:lpwstr>_Toc138680178</vt:lpwstr>
      </vt:variant>
      <vt:variant>
        <vt:i4>1376304</vt:i4>
      </vt:variant>
      <vt:variant>
        <vt:i4>494</vt:i4>
      </vt:variant>
      <vt:variant>
        <vt:i4>0</vt:i4>
      </vt:variant>
      <vt:variant>
        <vt:i4>5</vt:i4>
      </vt:variant>
      <vt:variant>
        <vt:lpwstr/>
      </vt:variant>
      <vt:variant>
        <vt:lpwstr>_Toc138680177</vt:lpwstr>
      </vt:variant>
      <vt:variant>
        <vt:i4>1376304</vt:i4>
      </vt:variant>
      <vt:variant>
        <vt:i4>488</vt:i4>
      </vt:variant>
      <vt:variant>
        <vt:i4>0</vt:i4>
      </vt:variant>
      <vt:variant>
        <vt:i4>5</vt:i4>
      </vt:variant>
      <vt:variant>
        <vt:lpwstr/>
      </vt:variant>
      <vt:variant>
        <vt:lpwstr>_Toc138680176</vt:lpwstr>
      </vt:variant>
      <vt:variant>
        <vt:i4>1376304</vt:i4>
      </vt:variant>
      <vt:variant>
        <vt:i4>482</vt:i4>
      </vt:variant>
      <vt:variant>
        <vt:i4>0</vt:i4>
      </vt:variant>
      <vt:variant>
        <vt:i4>5</vt:i4>
      </vt:variant>
      <vt:variant>
        <vt:lpwstr/>
      </vt:variant>
      <vt:variant>
        <vt:lpwstr>_Toc138680175</vt:lpwstr>
      </vt:variant>
      <vt:variant>
        <vt:i4>1376304</vt:i4>
      </vt:variant>
      <vt:variant>
        <vt:i4>476</vt:i4>
      </vt:variant>
      <vt:variant>
        <vt:i4>0</vt:i4>
      </vt:variant>
      <vt:variant>
        <vt:i4>5</vt:i4>
      </vt:variant>
      <vt:variant>
        <vt:lpwstr/>
      </vt:variant>
      <vt:variant>
        <vt:lpwstr>_Toc138680174</vt:lpwstr>
      </vt:variant>
      <vt:variant>
        <vt:i4>1376304</vt:i4>
      </vt:variant>
      <vt:variant>
        <vt:i4>470</vt:i4>
      </vt:variant>
      <vt:variant>
        <vt:i4>0</vt:i4>
      </vt:variant>
      <vt:variant>
        <vt:i4>5</vt:i4>
      </vt:variant>
      <vt:variant>
        <vt:lpwstr/>
      </vt:variant>
      <vt:variant>
        <vt:lpwstr>_Toc138680173</vt:lpwstr>
      </vt:variant>
      <vt:variant>
        <vt:i4>1376304</vt:i4>
      </vt:variant>
      <vt:variant>
        <vt:i4>464</vt:i4>
      </vt:variant>
      <vt:variant>
        <vt:i4>0</vt:i4>
      </vt:variant>
      <vt:variant>
        <vt:i4>5</vt:i4>
      </vt:variant>
      <vt:variant>
        <vt:lpwstr/>
      </vt:variant>
      <vt:variant>
        <vt:lpwstr>_Toc138680172</vt:lpwstr>
      </vt:variant>
      <vt:variant>
        <vt:i4>1376304</vt:i4>
      </vt:variant>
      <vt:variant>
        <vt:i4>458</vt:i4>
      </vt:variant>
      <vt:variant>
        <vt:i4>0</vt:i4>
      </vt:variant>
      <vt:variant>
        <vt:i4>5</vt:i4>
      </vt:variant>
      <vt:variant>
        <vt:lpwstr/>
      </vt:variant>
      <vt:variant>
        <vt:lpwstr>_Toc138680171</vt:lpwstr>
      </vt:variant>
      <vt:variant>
        <vt:i4>1376304</vt:i4>
      </vt:variant>
      <vt:variant>
        <vt:i4>452</vt:i4>
      </vt:variant>
      <vt:variant>
        <vt:i4>0</vt:i4>
      </vt:variant>
      <vt:variant>
        <vt:i4>5</vt:i4>
      </vt:variant>
      <vt:variant>
        <vt:lpwstr/>
      </vt:variant>
      <vt:variant>
        <vt:lpwstr>_Toc138680170</vt:lpwstr>
      </vt:variant>
      <vt:variant>
        <vt:i4>1310768</vt:i4>
      </vt:variant>
      <vt:variant>
        <vt:i4>446</vt:i4>
      </vt:variant>
      <vt:variant>
        <vt:i4>0</vt:i4>
      </vt:variant>
      <vt:variant>
        <vt:i4>5</vt:i4>
      </vt:variant>
      <vt:variant>
        <vt:lpwstr/>
      </vt:variant>
      <vt:variant>
        <vt:lpwstr>_Toc138680169</vt:lpwstr>
      </vt:variant>
      <vt:variant>
        <vt:i4>1310768</vt:i4>
      </vt:variant>
      <vt:variant>
        <vt:i4>440</vt:i4>
      </vt:variant>
      <vt:variant>
        <vt:i4>0</vt:i4>
      </vt:variant>
      <vt:variant>
        <vt:i4>5</vt:i4>
      </vt:variant>
      <vt:variant>
        <vt:lpwstr/>
      </vt:variant>
      <vt:variant>
        <vt:lpwstr>_Toc138680168</vt:lpwstr>
      </vt:variant>
      <vt:variant>
        <vt:i4>1310768</vt:i4>
      </vt:variant>
      <vt:variant>
        <vt:i4>434</vt:i4>
      </vt:variant>
      <vt:variant>
        <vt:i4>0</vt:i4>
      </vt:variant>
      <vt:variant>
        <vt:i4>5</vt:i4>
      </vt:variant>
      <vt:variant>
        <vt:lpwstr/>
      </vt:variant>
      <vt:variant>
        <vt:lpwstr>_Toc138680167</vt:lpwstr>
      </vt:variant>
      <vt:variant>
        <vt:i4>1310768</vt:i4>
      </vt:variant>
      <vt:variant>
        <vt:i4>428</vt:i4>
      </vt:variant>
      <vt:variant>
        <vt:i4>0</vt:i4>
      </vt:variant>
      <vt:variant>
        <vt:i4>5</vt:i4>
      </vt:variant>
      <vt:variant>
        <vt:lpwstr/>
      </vt:variant>
      <vt:variant>
        <vt:lpwstr>_Toc138680166</vt:lpwstr>
      </vt:variant>
      <vt:variant>
        <vt:i4>1310768</vt:i4>
      </vt:variant>
      <vt:variant>
        <vt:i4>422</vt:i4>
      </vt:variant>
      <vt:variant>
        <vt:i4>0</vt:i4>
      </vt:variant>
      <vt:variant>
        <vt:i4>5</vt:i4>
      </vt:variant>
      <vt:variant>
        <vt:lpwstr/>
      </vt:variant>
      <vt:variant>
        <vt:lpwstr>_Toc138680165</vt:lpwstr>
      </vt:variant>
      <vt:variant>
        <vt:i4>1310768</vt:i4>
      </vt:variant>
      <vt:variant>
        <vt:i4>416</vt:i4>
      </vt:variant>
      <vt:variant>
        <vt:i4>0</vt:i4>
      </vt:variant>
      <vt:variant>
        <vt:i4>5</vt:i4>
      </vt:variant>
      <vt:variant>
        <vt:lpwstr/>
      </vt:variant>
      <vt:variant>
        <vt:lpwstr>_Toc138680164</vt:lpwstr>
      </vt:variant>
      <vt:variant>
        <vt:i4>1310768</vt:i4>
      </vt:variant>
      <vt:variant>
        <vt:i4>410</vt:i4>
      </vt:variant>
      <vt:variant>
        <vt:i4>0</vt:i4>
      </vt:variant>
      <vt:variant>
        <vt:i4>5</vt:i4>
      </vt:variant>
      <vt:variant>
        <vt:lpwstr/>
      </vt:variant>
      <vt:variant>
        <vt:lpwstr>_Toc138680163</vt:lpwstr>
      </vt:variant>
      <vt:variant>
        <vt:i4>1310768</vt:i4>
      </vt:variant>
      <vt:variant>
        <vt:i4>404</vt:i4>
      </vt:variant>
      <vt:variant>
        <vt:i4>0</vt:i4>
      </vt:variant>
      <vt:variant>
        <vt:i4>5</vt:i4>
      </vt:variant>
      <vt:variant>
        <vt:lpwstr/>
      </vt:variant>
      <vt:variant>
        <vt:lpwstr>_Toc138680162</vt:lpwstr>
      </vt:variant>
      <vt:variant>
        <vt:i4>1310768</vt:i4>
      </vt:variant>
      <vt:variant>
        <vt:i4>398</vt:i4>
      </vt:variant>
      <vt:variant>
        <vt:i4>0</vt:i4>
      </vt:variant>
      <vt:variant>
        <vt:i4>5</vt:i4>
      </vt:variant>
      <vt:variant>
        <vt:lpwstr/>
      </vt:variant>
      <vt:variant>
        <vt:lpwstr>_Toc138680161</vt:lpwstr>
      </vt:variant>
      <vt:variant>
        <vt:i4>1310768</vt:i4>
      </vt:variant>
      <vt:variant>
        <vt:i4>392</vt:i4>
      </vt:variant>
      <vt:variant>
        <vt:i4>0</vt:i4>
      </vt:variant>
      <vt:variant>
        <vt:i4>5</vt:i4>
      </vt:variant>
      <vt:variant>
        <vt:lpwstr/>
      </vt:variant>
      <vt:variant>
        <vt:lpwstr>_Toc138680160</vt:lpwstr>
      </vt:variant>
      <vt:variant>
        <vt:i4>1507376</vt:i4>
      </vt:variant>
      <vt:variant>
        <vt:i4>386</vt:i4>
      </vt:variant>
      <vt:variant>
        <vt:i4>0</vt:i4>
      </vt:variant>
      <vt:variant>
        <vt:i4>5</vt:i4>
      </vt:variant>
      <vt:variant>
        <vt:lpwstr/>
      </vt:variant>
      <vt:variant>
        <vt:lpwstr>_Toc138680159</vt:lpwstr>
      </vt:variant>
      <vt:variant>
        <vt:i4>1507376</vt:i4>
      </vt:variant>
      <vt:variant>
        <vt:i4>380</vt:i4>
      </vt:variant>
      <vt:variant>
        <vt:i4>0</vt:i4>
      </vt:variant>
      <vt:variant>
        <vt:i4>5</vt:i4>
      </vt:variant>
      <vt:variant>
        <vt:lpwstr/>
      </vt:variant>
      <vt:variant>
        <vt:lpwstr>_Toc138680158</vt:lpwstr>
      </vt:variant>
      <vt:variant>
        <vt:i4>1507376</vt:i4>
      </vt:variant>
      <vt:variant>
        <vt:i4>374</vt:i4>
      </vt:variant>
      <vt:variant>
        <vt:i4>0</vt:i4>
      </vt:variant>
      <vt:variant>
        <vt:i4>5</vt:i4>
      </vt:variant>
      <vt:variant>
        <vt:lpwstr/>
      </vt:variant>
      <vt:variant>
        <vt:lpwstr>_Toc138680157</vt:lpwstr>
      </vt:variant>
      <vt:variant>
        <vt:i4>1507376</vt:i4>
      </vt:variant>
      <vt:variant>
        <vt:i4>368</vt:i4>
      </vt:variant>
      <vt:variant>
        <vt:i4>0</vt:i4>
      </vt:variant>
      <vt:variant>
        <vt:i4>5</vt:i4>
      </vt:variant>
      <vt:variant>
        <vt:lpwstr/>
      </vt:variant>
      <vt:variant>
        <vt:lpwstr>_Toc138680156</vt:lpwstr>
      </vt:variant>
      <vt:variant>
        <vt:i4>1507376</vt:i4>
      </vt:variant>
      <vt:variant>
        <vt:i4>362</vt:i4>
      </vt:variant>
      <vt:variant>
        <vt:i4>0</vt:i4>
      </vt:variant>
      <vt:variant>
        <vt:i4>5</vt:i4>
      </vt:variant>
      <vt:variant>
        <vt:lpwstr/>
      </vt:variant>
      <vt:variant>
        <vt:lpwstr>_Toc138680155</vt:lpwstr>
      </vt:variant>
      <vt:variant>
        <vt:i4>1507376</vt:i4>
      </vt:variant>
      <vt:variant>
        <vt:i4>356</vt:i4>
      </vt:variant>
      <vt:variant>
        <vt:i4>0</vt:i4>
      </vt:variant>
      <vt:variant>
        <vt:i4>5</vt:i4>
      </vt:variant>
      <vt:variant>
        <vt:lpwstr/>
      </vt:variant>
      <vt:variant>
        <vt:lpwstr>_Toc138680154</vt:lpwstr>
      </vt:variant>
      <vt:variant>
        <vt:i4>1507376</vt:i4>
      </vt:variant>
      <vt:variant>
        <vt:i4>350</vt:i4>
      </vt:variant>
      <vt:variant>
        <vt:i4>0</vt:i4>
      </vt:variant>
      <vt:variant>
        <vt:i4>5</vt:i4>
      </vt:variant>
      <vt:variant>
        <vt:lpwstr/>
      </vt:variant>
      <vt:variant>
        <vt:lpwstr>_Toc138680153</vt:lpwstr>
      </vt:variant>
      <vt:variant>
        <vt:i4>1507376</vt:i4>
      </vt:variant>
      <vt:variant>
        <vt:i4>344</vt:i4>
      </vt:variant>
      <vt:variant>
        <vt:i4>0</vt:i4>
      </vt:variant>
      <vt:variant>
        <vt:i4>5</vt:i4>
      </vt:variant>
      <vt:variant>
        <vt:lpwstr/>
      </vt:variant>
      <vt:variant>
        <vt:lpwstr>_Toc138680152</vt:lpwstr>
      </vt:variant>
      <vt:variant>
        <vt:i4>1507376</vt:i4>
      </vt:variant>
      <vt:variant>
        <vt:i4>338</vt:i4>
      </vt:variant>
      <vt:variant>
        <vt:i4>0</vt:i4>
      </vt:variant>
      <vt:variant>
        <vt:i4>5</vt:i4>
      </vt:variant>
      <vt:variant>
        <vt:lpwstr/>
      </vt:variant>
      <vt:variant>
        <vt:lpwstr>_Toc138680151</vt:lpwstr>
      </vt:variant>
      <vt:variant>
        <vt:i4>1507376</vt:i4>
      </vt:variant>
      <vt:variant>
        <vt:i4>332</vt:i4>
      </vt:variant>
      <vt:variant>
        <vt:i4>0</vt:i4>
      </vt:variant>
      <vt:variant>
        <vt:i4>5</vt:i4>
      </vt:variant>
      <vt:variant>
        <vt:lpwstr/>
      </vt:variant>
      <vt:variant>
        <vt:lpwstr>_Toc138680150</vt:lpwstr>
      </vt:variant>
      <vt:variant>
        <vt:i4>1441840</vt:i4>
      </vt:variant>
      <vt:variant>
        <vt:i4>326</vt:i4>
      </vt:variant>
      <vt:variant>
        <vt:i4>0</vt:i4>
      </vt:variant>
      <vt:variant>
        <vt:i4>5</vt:i4>
      </vt:variant>
      <vt:variant>
        <vt:lpwstr/>
      </vt:variant>
      <vt:variant>
        <vt:lpwstr>_Toc138680149</vt:lpwstr>
      </vt:variant>
      <vt:variant>
        <vt:i4>1441840</vt:i4>
      </vt:variant>
      <vt:variant>
        <vt:i4>320</vt:i4>
      </vt:variant>
      <vt:variant>
        <vt:i4>0</vt:i4>
      </vt:variant>
      <vt:variant>
        <vt:i4>5</vt:i4>
      </vt:variant>
      <vt:variant>
        <vt:lpwstr/>
      </vt:variant>
      <vt:variant>
        <vt:lpwstr>_Toc138680148</vt:lpwstr>
      </vt:variant>
      <vt:variant>
        <vt:i4>1441840</vt:i4>
      </vt:variant>
      <vt:variant>
        <vt:i4>314</vt:i4>
      </vt:variant>
      <vt:variant>
        <vt:i4>0</vt:i4>
      </vt:variant>
      <vt:variant>
        <vt:i4>5</vt:i4>
      </vt:variant>
      <vt:variant>
        <vt:lpwstr/>
      </vt:variant>
      <vt:variant>
        <vt:lpwstr>_Toc138680147</vt:lpwstr>
      </vt:variant>
      <vt:variant>
        <vt:i4>1441840</vt:i4>
      </vt:variant>
      <vt:variant>
        <vt:i4>308</vt:i4>
      </vt:variant>
      <vt:variant>
        <vt:i4>0</vt:i4>
      </vt:variant>
      <vt:variant>
        <vt:i4>5</vt:i4>
      </vt:variant>
      <vt:variant>
        <vt:lpwstr/>
      </vt:variant>
      <vt:variant>
        <vt:lpwstr>_Toc138680146</vt:lpwstr>
      </vt:variant>
      <vt:variant>
        <vt:i4>1441840</vt:i4>
      </vt:variant>
      <vt:variant>
        <vt:i4>302</vt:i4>
      </vt:variant>
      <vt:variant>
        <vt:i4>0</vt:i4>
      </vt:variant>
      <vt:variant>
        <vt:i4>5</vt:i4>
      </vt:variant>
      <vt:variant>
        <vt:lpwstr/>
      </vt:variant>
      <vt:variant>
        <vt:lpwstr>_Toc138680145</vt:lpwstr>
      </vt:variant>
      <vt:variant>
        <vt:i4>1441840</vt:i4>
      </vt:variant>
      <vt:variant>
        <vt:i4>296</vt:i4>
      </vt:variant>
      <vt:variant>
        <vt:i4>0</vt:i4>
      </vt:variant>
      <vt:variant>
        <vt:i4>5</vt:i4>
      </vt:variant>
      <vt:variant>
        <vt:lpwstr/>
      </vt:variant>
      <vt:variant>
        <vt:lpwstr>_Toc138680144</vt:lpwstr>
      </vt:variant>
      <vt:variant>
        <vt:i4>1441840</vt:i4>
      </vt:variant>
      <vt:variant>
        <vt:i4>290</vt:i4>
      </vt:variant>
      <vt:variant>
        <vt:i4>0</vt:i4>
      </vt:variant>
      <vt:variant>
        <vt:i4>5</vt:i4>
      </vt:variant>
      <vt:variant>
        <vt:lpwstr/>
      </vt:variant>
      <vt:variant>
        <vt:lpwstr>_Toc138680143</vt:lpwstr>
      </vt:variant>
      <vt:variant>
        <vt:i4>1441840</vt:i4>
      </vt:variant>
      <vt:variant>
        <vt:i4>284</vt:i4>
      </vt:variant>
      <vt:variant>
        <vt:i4>0</vt:i4>
      </vt:variant>
      <vt:variant>
        <vt:i4>5</vt:i4>
      </vt:variant>
      <vt:variant>
        <vt:lpwstr/>
      </vt:variant>
      <vt:variant>
        <vt:lpwstr>_Toc138680142</vt:lpwstr>
      </vt:variant>
      <vt:variant>
        <vt:i4>1441840</vt:i4>
      </vt:variant>
      <vt:variant>
        <vt:i4>278</vt:i4>
      </vt:variant>
      <vt:variant>
        <vt:i4>0</vt:i4>
      </vt:variant>
      <vt:variant>
        <vt:i4>5</vt:i4>
      </vt:variant>
      <vt:variant>
        <vt:lpwstr/>
      </vt:variant>
      <vt:variant>
        <vt:lpwstr>_Toc138680141</vt:lpwstr>
      </vt:variant>
      <vt:variant>
        <vt:i4>1441840</vt:i4>
      </vt:variant>
      <vt:variant>
        <vt:i4>272</vt:i4>
      </vt:variant>
      <vt:variant>
        <vt:i4>0</vt:i4>
      </vt:variant>
      <vt:variant>
        <vt:i4>5</vt:i4>
      </vt:variant>
      <vt:variant>
        <vt:lpwstr/>
      </vt:variant>
      <vt:variant>
        <vt:lpwstr>_Toc138680140</vt:lpwstr>
      </vt:variant>
      <vt:variant>
        <vt:i4>1114160</vt:i4>
      </vt:variant>
      <vt:variant>
        <vt:i4>266</vt:i4>
      </vt:variant>
      <vt:variant>
        <vt:i4>0</vt:i4>
      </vt:variant>
      <vt:variant>
        <vt:i4>5</vt:i4>
      </vt:variant>
      <vt:variant>
        <vt:lpwstr/>
      </vt:variant>
      <vt:variant>
        <vt:lpwstr>_Toc138680139</vt:lpwstr>
      </vt:variant>
      <vt:variant>
        <vt:i4>1114160</vt:i4>
      </vt:variant>
      <vt:variant>
        <vt:i4>260</vt:i4>
      </vt:variant>
      <vt:variant>
        <vt:i4>0</vt:i4>
      </vt:variant>
      <vt:variant>
        <vt:i4>5</vt:i4>
      </vt:variant>
      <vt:variant>
        <vt:lpwstr/>
      </vt:variant>
      <vt:variant>
        <vt:lpwstr>_Toc138680138</vt:lpwstr>
      </vt:variant>
      <vt:variant>
        <vt:i4>1114160</vt:i4>
      </vt:variant>
      <vt:variant>
        <vt:i4>254</vt:i4>
      </vt:variant>
      <vt:variant>
        <vt:i4>0</vt:i4>
      </vt:variant>
      <vt:variant>
        <vt:i4>5</vt:i4>
      </vt:variant>
      <vt:variant>
        <vt:lpwstr/>
      </vt:variant>
      <vt:variant>
        <vt:lpwstr>_Toc138680137</vt:lpwstr>
      </vt:variant>
      <vt:variant>
        <vt:i4>1114160</vt:i4>
      </vt:variant>
      <vt:variant>
        <vt:i4>248</vt:i4>
      </vt:variant>
      <vt:variant>
        <vt:i4>0</vt:i4>
      </vt:variant>
      <vt:variant>
        <vt:i4>5</vt:i4>
      </vt:variant>
      <vt:variant>
        <vt:lpwstr/>
      </vt:variant>
      <vt:variant>
        <vt:lpwstr>_Toc138680136</vt:lpwstr>
      </vt:variant>
      <vt:variant>
        <vt:i4>1114160</vt:i4>
      </vt:variant>
      <vt:variant>
        <vt:i4>242</vt:i4>
      </vt:variant>
      <vt:variant>
        <vt:i4>0</vt:i4>
      </vt:variant>
      <vt:variant>
        <vt:i4>5</vt:i4>
      </vt:variant>
      <vt:variant>
        <vt:lpwstr/>
      </vt:variant>
      <vt:variant>
        <vt:lpwstr>_Toc138680135</vt:lpwstr>
      </vt:variant>
      <vt:variant>
        <vt:i4>1114160</vt:i4>
      </vt:variant>
      <vt:variant>
        <vt:i4>236</vt:i4>
      </vt:variant>
      <vt:variant>
        <vt:i4>0</vt:i4>
      </vt:variant>
      <vt:variant>
        <vt:i4>5</vt:i4>
      </vt:variant>
      <vt:variant>
        <vt:lpwstr/>
      </vt:variant>
      <vt:variant>
        <vt:lpwstr>_Toc138680134</vt:lpwstr>
      </vt:variant>
      <vt:variant>
        <vt:i4>1114160</vt:i4>
      </vt:variant>
      <vt:variant>
        <vt:i4>230</vt:i4>
      </vt:variant>
      <vt:variant>
        <vt:i4>0</vt:i4>
      </vt:variant>
      <vt:variant>
        <vt:i4>5</vt:i4>
      </vt:variant>
      <vt:variant>
        <vt:lpwstr/>
      </vt:variant>
      <vt:variant>
        <vt:lpwstr>_Toc138680133</vt:lpwstr>
      </vt:variant>
      <vt:variant>
        <vt:i4>1114160</vt:i4>
      </vt:variant>
      <vt:variant>
        <vt:i4>224</vt:i4>
      </vt:variant>
      <vt:variant>
        <vt:i4>0</vt:i4>
      </vt:variant>
      <vt:variant>
        <vt:i4>5</vt:i4>
      </vt:variant>
      <vt:variant>
        <vt:lpwstr/>
      </vt:variant>
      <vt:variant>
        <vt:lpwstr>_Toc138680132</vt:lpwstr>
      </vt:variant>
      <vt:variant>
        <vt:i4>1114160</vt:i4>
      </vt:variant>
      <vt:variant>
        <vt:i4>218</vt:i4>
      </vt:variant>
      <vt:variant>
        <vt:i4>0</vt:i4>
      </vt:variant>
      <vt:variant>
        <vt:i4>5</vt:i4>
      </vt:variant>
      <vt:variant>
        <vt:lpwstr/>
      </vt:variant>
      <vt:variant>
        <vt:lpwstr>_Toc138680131</vt:lpwstr>
      </vt:variant>
      <vt:variant>
        <vt:i4>1114160</vt:i4>
      </vt:variant>
      <vt:variant>
        <vt:i4>212</vt:i4>
      </vt:variant>
      <vt:variant>
        <vt:i4>0</vt:i4>
      </vt:variant>
      <vt:variant>
        <vt:i4>5</vt:i4>
      </vt:variant>
      <vt:variant>
        <vt:lpwstr/>
      </vt:variant>
      <vt:variant>
        <vt:lpwstr>_Toc138680130</vt:lpwstr>
      </vt:variant>
      <vt:variant>
        <vt:i4>1048624</vt:i4>
      </vt:variant>
      <vt:variant>
        <vt:i4>206</vt:i4>
      </vt:variant>
      <vt:variant>
        <vt:i4>0</vt:i4>
      </vt:variant>
      <vt:variant>
        <vt:i4>5</vt:i4>
      </vt:variant>
      <vt:variant>
        <vt:lpwstr/>
      </vt:variant>
      <vt:variant>
        <vt:lpwstr>_Toc138680129</vt:lpwstr>
      </vt:variant>
      <vt:variant>
        <vt:i4>1048624</vt:i4>
      </vt:variant>
      <vt:variant>
        <vt:i4>200</vt:i4>
      </vt:variant>
      <vt:variant>
        <vt:i4>0</vt:i4>
      </vt:variant>
      <vt:variant>
        <vt:i4>5</vt:i4>
      </vt:variant>
      <vt:variant>
        <vt:lpwstr/>
      </vt:variant>
      <vt:variant>
        <vt:lpwstr>_Toc138680128</vt:lpwstr>
      </vt:variant>
      <vt:variant>
        <vt:i4>1048624</vt:i4>
      </vt:variant>
      <vt:variant>
        <vt:i4>194</vt:i4>
      </vt:variant>
      <vt:variant>
        <vt:i4>0</vt:i4>
      </vt:variant>
      <vt:variant>
        <vt:i4>5</vt:i4>
      </vt:variant>
      <vt:variant>
        <vt:lpwstr/>
      </vt:variant>
      <vt:variant>
        <vt:lpwstr>_Toc138680127</vt:lpwstr>
      </vt:variant>
      <vt:variant>
        <vt:i4>1048624</vt:i4>
      </vt:variant>
      <vt:variant>
        <vt:i4>188</vt:i4>
      </vt:variant>
      <vt:variant>
        <vt:i4>0</vt:i4>
      </vt:variant>
      <vt:variant>
        <vt:i4>5</vt:i4>
      </vt:variant>
      <vt:variant>
        <vt:lpwstr/>
      </vt:variant>
      <vt:variant>
        <vt:lpwstr>_Toc138680126</vt:lpwstr>
      </vt:variant>
      <vt:variant>
        <vt:i4>1048624</vt:i4>
      </vt:variant>
      <vt:variant>
        <vt:i4>182</vt:i4>
      </vt:variant>
      <vt:variant>
        <vt:i4>0</vt:i4>
      </vt:variant>
      <vt:variant>
        <vt:i4>5</vt:i4>
      </vt:variant>
      <vt:variant>
        <vt:lpwstr/>
      </vt:variant>
      <vt:variant>
        <vt:lpwstr>_Toc138680125</vt:lpwstr>
      </vt:variant>
      <vt:variant>
        <vt:i4>1048624</vt:i4>
      </vt:variant>
      <vt:variant>
        <vt:i4>176</vt:i4>
      </vt:variant>
      <vt:variant>
        <vt:i4>0</vt:i4>
      </vt:variant>
      <vt:variant>
        <vt:i4>5</vt:i4>
      </vt:variant>
      <vt:variant>
        <vt:lpwstr/>
      </vt:variant>
      <vt:variant>
        <vt:lpwstr>_Toc138680124</vt:lpwstr>
      </vt:variant>
      <vt:variant>
        <vt:i4>1048624</vt:i4>
      </vt:variant>
      <vt:variant>
        <vt:i4>170</vt:i4>
      </vt:variant>
      <vt:variant>
        <vt:i4>0</vt:i4>
      </vt:variant>
      <vt:variant>
        <vt:i4>5</vt:i4>
      </vt:variant>
      <vt:variant>
        <vt:lpwstr/>
      </vt:variant>
      <vt:variant>
        <vt:lpwstr>_Toc138680123</vt:lpwstr>
      </vt:variant>
      <vt:variant>
        <vt:i4>1048624</vt:i4>
      </vt:variant>
      <vt:variant>
        <vt:i4>164</vt:i4>
      </vt:variant>
      <vt:variant>
        <vt:i4>0</vt:i4>
      </vt:variant>
      <vt:variant>
        <vt:i4>5</vt:i4>
      </vt:variant>
      <vt:variant>
        <vt:lpwstr/>
      </vt:variant>
      <vt:variant>
        <vt:lpwstr>_Toc138680122</vt:lpwstr>
      </vt:variant>
      <vt:variant>
        <vt:i4>1048624</vt:i4>
      </vt:variant>
      <vt:variant>
        <vt:i4>158</vt:i4>
      </vt:variant>
      <vt:variant>
        <vt:i4>0</vt:i4>
      </vt:variant>
      <vt:variant>
        <vt:i4>5</vt:i4>
      </vt:variant>
      <vt:variant>
        <vt:lpwstr/>
      </vt:variant>
      <vt:variant>
        <vt:lpwstr>_Toc138680121</vt:lpwstr>
      </vt:variant>
      <vt:variant>
        <vt:i4>1048624</vt:i4>
      </vt:variant>
      <vt:variant>
        <vt:i4>152</vt:i4>
      </vt:variant>
      <vt:variant>
        <vt:i4>0</vt:i4>
      </vt:variant>
      <vt:variant>
        <vt:i4>5</vt:i4>
      </vt:variant>
      <vt:variant>
        <vt:lpwstr/>
      </vt:variant>
      <vt:variant>
        <vt:lpwstr>_Toc138680120</vt:lpwstr>
      </vt:variant>
      <vt:variant>
        <vt:i4>1245232</vt:i4>
      </vt:variant>
      <vt:variant>
        <vt:i4>146</vt:i4>
      </vt:variant>
      <vt:variant>
        <vt:i4>0</vt:i4>
      </vt:variant>
      <vt:variant>
        <vt:i4>5</vt:i4>
      </vt:variant>
      <vt:variant>
        <vt:lpwstr/>
      </vt:variant>
      <vt:variant>
        <vt:lpwstr>_Toc138680119</vt:lpwstr>
      </vt:variant>
      <vt:variant>
        <vt:i4>1245232</vt:i4>
      </vt:variant>
      <vt:variant>
        <vt:i4>140</vt:i4>
      </vt:variant>
      <vt:variant>
        <vt:i4>0</vt:i4>
      </vt:variant>
      <vt:variant>
        <vt:i4>5</vt:i4>
      </vt:variant>
      <vt:variant>
        <vt:lpwstr/>
      </vt:variant>
      <vt:variant>
        <vt:lpwstr>_Toc138680118</vt:lpwstr>
      </vt:variant>
      <vt:variant>
        <vt:i4>1245232</vt:i4>
      </vt:variant>
      <vt:variant>
        <vt:i4>134</vt:i4>
      </vt:variant>
      <vt:variant>
        <vt:i4>0</vt:i4>
      </vt:variant>
      <vt:variant>
        <vt:i4>5</vt:i4>
      </vt:variant>
      <vt:variant>
        <vt:lpwstr/>
      </vt:variant>
      <vt:variant>
        <vt:lpwstr>_Toc138680117</vt:lpwstr>
      </vt:variant>
      <vt:variant>
        <vt:i4>1245232</vt:i4>
      </vt:variant>
      <vt:variant>
        <vt:i4>128</vt:i4>
      </vt:variant>
      <vt:variant>
        <vt:i4>0</vt:i4>
      </vt:variant>
      <vt:variant>
        <vt:i4>5</vt:i4>
      </vt:variant>
      <vt:variant>
        <vt:lpwstr/>
      </vt:variant>
      <vt:variant>
        <vt:lpwstr>_Toc138680116</vt:lpwstr>
      </vt:variant>
      <vt:variant>
        <vt:i4>1245232</vt:i4>
      </vt:variant>
      <vt:variant>
        <vt:i4>122</vt:i4>
      </vt:variant>
      <vt:variant>
        <vt:i4>0</vt:i4>
      </vt:variant>
      <vt:variant>
        <vt:i4>5</vt:i4>
      </vt:variant>
      <vt:variant>
        <vt:lpwstr/>
      </vt:variant>
      <vt:variant>
        <vt:lpwstr>_Toc138680115</vt:lpwstr>
      </vt:variant>
      <vt:variant>
        <vt:i4>1245232</vt:i4>
      </vt:variant>
      <vt:variant>
        <vt:i4>116</vt:i4>
      </vt:variant>
      <vt:variant>
        <vt:i4>0</vt:i4>
      </vt:variant>
      <vt:variant>
        <vt:i4>5</vt:i4>
      </vt:variant>
      <vt:variant>
        <vt:lpwstr/>
      </vt:variant>
      <vt:variant>
        <vt:lpwstr>_Toc138680114</vt:lpwstr>
      </vt:variant>
      <vt:variant>
        <vt:i4>1245232</vt:i4>
      </vt:variant>
      <vt:variant>
        <vt:i4>110</vt:i4>
      </vt:variant>
      <vt:variant>
        <vt:i4>0</vt:i4>
      </vt:variant>
      <vt:variant>
        <vt:i4>5</vt:i4>
      </vt:variant>
      <vt:variant>
        <vt:lpwstr/>
      </vt:variant>
      <vt:variant>
        <vt:lpwstr>_Toc138680113</vt:lpwstr>
      </vt:variant>
      <vt:variant>
        <vt:i4>1245232</vt:i4>
      </vt:variant>
      <vt:variant>
        <vt:i4>104</vt:i4>
      </vt:variant>
      <vt:variant>
        <vt:i4>0</vt:i4>
      </vt:variant>
      <vt:variant>
        <vt:i4>5</vt:i4>
      </vt:variant>
      <vt:variant>
        <vt:lpwstr/>
      </vt:variant>
      <vt:variant>
        <vt:lpwstr>_Toc138680112</vt:lpwstr>
      </vt:variant>
      <vt:variant>
        <vt:i4>1245232</vt:i4>
      </vt:variant>
      <vt:variant>
        <vt:i4>98</vt:i4>
      </vt:variant>
      <vt:variant>
        <vt:i4>0</vt:i4>
      </vt:variant>
      <vt:variant>
        <vt:i4>5</vt:i4>
      </vt:variant>
      <vt:variant>
        <vt:lpwstr/>
      </vt:variant>
      <vt:variant>
        <vt:lpwstr>_Toc138680111</vt:lpwstr>
      </vt:variant>
      <vt:variant>
        <vt:i4>1245232</vt:i4>
      </vt:variant>
      <vt:variant>
        <vt:i4>92</vt:i4>
      </vt:variant>
      <vt:variant>
        <vt:i4>0</vt:i4>
      </vt:variant>
      <vt:variant>
        <vt:i4>5</vt:i4>
      </vt:variant>
      <vt:variant>
        <vt:lpwstr/>
      </vt:variant>
      <vt:variant>
        <vt:lpwstr>_Toc138680110</vt:lpwstr>
      </vt:variant>
      <vt:variant>
        <vt:i4>1179696</vt:i4>
      </vt:variant>
      <vt:variant>
        <vt:i4>86</vt:i4>
      </vt:variant>
      <vt:variant>
        <vt:i4>0</vt:i4>
      </vt:variant>
      <vt:variant>
        <vt:i4>5</vt:i4>
      </vt:variant>
      <vt:variant>
        <vt:lpwstr/>
      </vt:variant>
      <vt:variant>
        <vt:lpwstr>_Toc138680109</vt:lpwstr>
      </vt:variant>
      <vt:variant>
        <vt:i4>1179696</vt:i4>
      </vt:variant>
      <vt:variant>
        <vt:i4>80</vt:i4>
      </vt:variant>
      <vt:variant>
        <vt:i4>0</vt:i4>
      </vt:variant>
      <vt:variant>
        <vt:i4>5</vt:i4>
      </vt:variant>
      <vt:variant>
        <vt:lpwstr/>
      </vt:variant>
      <vt:variant>
        <vt:lpwstr>_Toc138680108</vt:lpwstr>
      </vt:variant>
      <vt:variant>
        <vt:i4>1179696</vt:i4>
      </vt:variant>
      <vt:variant>
        <vt:i4>74</vt:i4>
      </vt:variant>
      <vt:variant>
        <vt:i4>0</vt:i4>
      </vt:variant>
      <vt:variant>
        <vt:i4>5</vt:i4>
      </vt:variant>
      <vt:variant>
        <vt:lpwstr/>
      </vt:variant>
      <vt:variant>
        <vt:lpwstr>_Toc138680107</vt:lpwstr>
      </vt:variant>
      <vt:variant>
        <vt:i4>1179696</vt:i4>
      </vt:variant>
      <vt:variant>
        <vt:i4>68</vt:i4>
      </vt:variant>
      <vt:variant>
        <vt:i4>0</vt:i4>
      </vt:variant>
      <vt:variant>
        <vt:i4>5</vt:i4>
      </vt:variant>
      <vt:variant>
        <vt:lpwstr/>
      </vt:variant>
      <vt:variant>
        <vt:lpwstr>_Toc138680106</vt:lpwstr>
      </vt:variant>
      <vt:variant>
        <vt:i4>1179696</vt:i4>
      </vt:variant>
      <vt:variant>
        <vt:i4>62</vt:i4>
      </vt:variant>
      <vt:variant>
        <vt:i4>0</vt:i4>
      </vt:variant>
      <vt:variant>
        <vt:i4>5</vt:i4>
      </vt:variant>
      <vt:variant>
        <vt:lpwstr/>
      </vt:variant>
      <vt:variant>
        <vt:lpwstr>_Toc138680105</vt:lpwstr>
      </vt:variant>
      <vt:variant>
        <vt:i4>1179696</vt:i4>
      </vt:variant>
      <vt:variant>
        <vt:i4>56</vt:i4>
      </vt:variant>
      <vt:variant>
        <vt:i4>0</vt:i4>
      </vt:variant>
      <vt:variant>
        <vt:i4>5</vt:i4>
      </vt:variant>
      <vt:variant>
        <vt:lpwstr/>
      </vt:variant>
      <vt:variant>
        <vt:lpwstr>_Toc138680104</vt:lpwstr>
      </vt:variant>
      <vt:variant>
        <vt:i4>1179696</vt:i4>
      </vt:variant>
      <vt:variant>
        <vt:i4>50</vt:i4>
      </vt:variant>
      <vt:variant>
        <vt:i4>0</vt:i4>
      </vt:variant>
      <vt:variant>
        <vt:i4>5</vt:i4>
      </vt:variant>
      <vt:variant>
        <vt:lpwstr/>
      </vt:variant>
      <vt:variant>
        <vt:lpwstr>_Toc138680103</vt:lpwstr>
      </vt:variant>
      <vt:variant>
        <vt:i4>1179696</vt:i4>
      </vt:variant>
      <vt:variant>
        <vt:i4>44</vt:i4>
      </vt:variant>
      <vt:variant>
        <vt:i4>0</vt:i4>
      </vt:variant>
      <vt:variant>
        <vt:i4>5</vt:i4>
      </vt:variant>
      <vt:variant>
        <vt:lpwstr/>
      </vt:variant>
      <vt:variant>
        <vt:lpwstr>_Toc138680102</vt:lpwstr>
      </vt:variant>
      <vt:variant>
        <vt:i4>1179696</vt:i4>
      </vt:variant>
      <vt:variant>
        <vt:i4>38</vt:i4>
      </vt:variant>
      <vt:variant>
        <vt:i4>0</vt:i4>
      </vt:variant>
      <vt:variant>
        <vt:i4>5</vt:i4>
      </vt:variant>
      <vt:variant>
        <vt:lpwstr/>
      </vt:variant>
      <vt:variant>
        <vt:lpwstr>_Toc138680101</vt:lpwstr>
      </vt:variant>
      <vt:variant>
        <vt:i4>1179696</vt:i4>
      </vt:variant>
      <vt:variant>
        <vt:i4>32</vt:i4>
      </vt:variant>
      <vt:variant>
        <vt:i4>0</vt:i4>
      </vt:variant>
      <vt:variant>
        <vt:i4>5</vt:i4>
      </vt:variant>
      <vt:variant>
        <vt:lpwstr/>
      </vt:variant>
      <vt:variant>
        <vt:lpwstr>_Toc138680100</vt:lpwstr>
      </vt:variant>
      <vt:variant>
        <vt:i4>1769521</vt:i4>
      </vt:variant>
      <vt:variant>
        <vt:i4>26</vt:i4>
      </vt:variant>
      <vt:variant>
        <vt:i4>0</vt:i4>
      </vt:variant>
      <vt:variant>
        <vt:i4>5</vt:i4>
      </vt:variant>
      <vt:variant>
        <vt:lpwstr/>
      </vt:variant>
      <vt:variant>
        <vt:lpwstr>_Toc138680099</vt:lpwstr>
      </vt:variant>
      <vt:variant>
        <vt:i4>1769521</vt:i4>
      </vt:variant>
      <vt:variant>
        <vt:i4>20</vt:i4>
      </vt:variant>
      <vt:variant>
        <vt:i4>0</vt:i4>
      </vt:variant>
      <vt:variant>
        <vt:i4>5</vt:i4>
      </vt:variant>
      <vt:variant>
        <vt:lpwstr/>
      </vt:variant>
      <vt:variant>
        <vt:lpwstr>_Toc138680098</vt:lpwstr>
      </vt:variant>
      <vt:variant>
        <vt:i4>1769521</vt:i4>
      </vt:variant>
      <vt:variant>
        <vt:i4>14</vt:i4>
      </vt:variant>
      <vt:variant>
        <vt:i4>0</vt:i4>
      </vt:variant>
      <vt:variant>
        <vt:i4>5</vt:i4>
      </vt:variant>
      <vt:variant>
        <vt:lpwstr/>
      </vt:variant>
      <vt:variant>
        <vt:lpwstr>_Toc138680097</vt:lpwstr>
      </vt:variant>
      <vt:variant>
        <vt:i4>1769521</vt:i4>
      </vt:variant>
      <vt:variant>
        <vt:i4>8</vt:i4>
      </vt:variant>
      <vt:variant>
        <vt:i4>0</vt:i4>
      </vt:variant>
      <vt:variant>
        <vt:i4>5</vt:i4>
      </vt:variant>
      <vt:variant>
        <vt:lpwstr/>
      </vt:variant>
      <vt:variant>
        <vt:lpwstr>_Toc138680096</vt:lpwstr>
      </vt:variant>
      <vt:variant>
        <vt:i4>1769521</vt:i4>
      </vt:variant>
      <vt:variant>
        <vt:i4>2</vt:i4>
      </vt:variant>
      <vt:variant>
        <vt:i4>0</vt:i4>
      </vt:variant>
      <vt:variant>
        <vt:i4>5</vt:i4>
      </vt:variant>
      <vt:variant>
        <vt:lpwstr/>
      </vt:variant>
      <vt:variant>
        <vt:lpwstr>_Toc138680095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Hernández Gutiérrez</dc:creator>
  <cp:keywords/>
  <dc:description/>
  <cp:lastModifiedBy>Xinia Barrientos Arroyo (Autorizada-Dirección de Planificación)</cp:lastModifiedBy>
  <cp:revision>2</cp:revision>
  <dcterms:created xsi:type="dcterms:W3CDTF">2023-06-27T21:47:00Z</dcterms:created>
  <dcterms:modified xsi:type="dcterms:W3CDTF">2023-06-27T21:47:00Z</dcterms:modified>
</cp:coreProperties>
</file>